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6.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A93F6" w14:textId="51761A15" w:rsidR="00ED12C3" w:rsidRDefault="00ED12C3" w:rsidP="000534CD">
      <w:pPr>
        <w:pStyle w:val="Title"/>
      </w:pPr>
    </w:p>
    <w:p w14:paraId="7B1B28B1" w14:textId="7454DE85" w:rsidR="000539AE" w:rsidRPr="00A5499C" w:rsidRDefault="00530205" w:rsidP="000534CD">
      <w:pPr>
        <w:pStyle w:val="Title"/>
        <w:rPr>
          <w:b w:val="0"/>
        </w:rPr>
      </w:pPr>
      <w:r>
        <w:t xml:space="preserve"> </w:t>
      </w:r>
      <w:r w:rsidR="000534CD">
        <w:t>POLICE AND CRIME COMMISSIONER FOR LANCASHIRE</w:t>
      </w:r>
    </w:p>
    <w:p w14:paraId="5BF516D2" w14:textId="5F7529EA" w:rsidR="000539AE" w:rsidRPr="00804A7F" w:rsidRDefault="000539AE">
      <w:pPr>
        <w:jc w:val="center"/>
        <w:rPr>
          <w:rFonts w:ascii="Arial" w:hAnsi="Arial"/>
          <w:sz w:val="32"/>
        </w:rPr>
      </w:pPr>
    </w:p>
    <w:p w14:paraId="64794E54" w14:textId="3DF3A56A" w:rsidR="000539AE" w:rsidRPr="00A5499C" w:rsidRDefault="000539AE">
      <w:pPr>
        <w:jc w:val="center"/>
        <w:rPr>
          <w:rFonts w:ascii="Arial" w:hAnsi="Arial"/>
          <w:b/>
          <w:sz w:val="32"/>
        </w:rPr>
      </w:pPr>
    </w:p>
    <w:p w14:paraId="1CBED6C4" w14:textId="6CB0FE66" w:rsidR="000539AE" w:rsidRPr="00A5499C" w:rsidRDefault="000539AE">
      <w:pPr>
        <w:jc w:val="center"/>
        <w:rPr>
          <w:rFonts w:ascii="Arial" w:hAnsi="Arial"/>
          <w:b/>
          <w:sz w:val="32"/>
        </w:rPr>
      </w:pPr>
      <w:r w:rsidRPr="00A5499C">
        <w:rPr>
          <w:rFonts w:ascii="Arial" w:hAnsi="Arial"/>
          <w:b/>
          <w:sz w:val="32"/>
        </w:rPr>
        <w:t>STATEMENT OF ACCOUNTS</w:t>
      </w:r>
    </w:p>
    <w:p w14:paraId="6041E668" w14:textId="3AB9D1FB" w:rsidR="000539AE" w:rsidRPr="00A5499C" w:rsidRDefault="000539AE">
      <w:pPr>
        <w:jc w:val="center"/>
        <w:rPr>
          <w:rFonts w:ascii="Arial" w:hAnsi="Arial"/>
          <w:b/>
          <w:sz w:val="32"/>
        </w:rPr>
      </w:pPr>
    </w:p>
    <w:p w14:paraId="5B310F60" w14:textId="1E30DD4B" w:rsidR="000539AE" w:rsidRPr="00A5499C" w:rsidRDefault="000539AE">
      <w:pPr>
        <w:jc w:val="center"/>
        <w:rPr>
          <w:rFonts w:ascii="Arial" w:hAnsi="Arial"/>
          <w:b/>
          <w:sz w:val="32"/>
        </w:rPr>
      </w:pPr>
    </w:p>
    <w:p w14:paraId="0427CFCA" w14:textId="75C5C536" w:rsidR="000539AE" w:rsidRPr="00B203E6" w:rsidRDefault="000539AE">
      <w:pPr>
        <w:jc w:val="center"/>
        <w:rPr>
          <w:rFonts w:ascii="Arial" w:hAnsi="Arial"/>
          <w:b/>
          <w:sz w:val="32"/>
        </w:rPr>
      </w:pPr>
    </w:p>
    <w:p w14:paraId="065B19CE" w14:textId="16C1FC75" w:rsidR="000539AE" w:rsidRDefault="00C37E7F">
      <w:pPr>
        <w:jc w:val="center"/>
        <w:rPr>
          <w:rFonts w:ascii="Arial" w:hAnsi="Arial"/>
          <w:b/>
          <w:caps/>
          <w:sz w:val="32"/>
        </w:rPr>
      </w:pPr>
      <w:r>
        <w:rPr>
          <w:rFonts w:ascii="Arial" w:hAnsi="Arial"/>
          <w:b/>
          <w:caps/>
          <w:sz w:val="32"/>
        </w:rPr>
        <w:t>2024/25</w:t>
      </w:r>
    </w:p>
    <w:p w14:paraId="2F5A0AAE" w14:textId="77777777" w:rsidR="000C2BEB" w:rsidRPr="00B203E6" w:rsidRDefault="000C2BEB">
      <w:pPr>
        <w:jc w:val="center"/>
        <w:rPr>
          <w:rFonts w:ascii="Arial" w:hAnsi="Arial"/>
          <w:b/>
          <w:sz w:val="32"/>
        </w:rPr>
      </w:pPr>
    </w:p>
    <w:p w14:paraId="6FF9A7C2" w14:textId="77777777" w:rsidR="000539AE" w:rsidRDefault="000539AE">
      <w:pPr>
        <w:jc w:val="center"/>
        <w:rPr>
          <w:rFonts w:ascii="Arial" w:hAnsi="Arial"/>
          <w:b/>
          <w:sz w:val="28"/>
        </w:rPr>
      </w:pPr>
    </w:p>
    <w:p w14:paraId="57A5B8F5" w14:textId="77777777" w:rsidR="00B87052" w:rsidRDefault="00B87052">
      <w:pPr>
        <w:jc w:val="center"/>
        <w:rPr>
          <w:rFonts w:ascii="Arial" w:hAnsi="Arial"/>
          <w:b/>
          <w:sz w:val="28"/>
        </w:rPr>
      </w:pPr>
    </w:p>
    <w:p w14:paraId="0BB57609" w14:textId="5254A10D" w:rsidR="00B87052" w:rsidRDefault="00B87052">
      <w:pPr>
        <w:jc w:val="center"/>
        <w:rPr>
          <w:rFonts w:ascii="Arial" w:hAnsi="Arial"/>
          <w:b/>
          <w:sz w:val="28"/>
        </w:rPr>
      </w:pPr>
    </w:p>
    <w:p w14:paraId="19202B82" w14:textId="77777777" w:rsidR="00B87052" w:rsidRDefault="00B87052" w:rsidP="00A2421F">
      <w:pPr>
        <w:rPr>
          <w:rFonts w:ascii="Arial" w:hAnsi="Arial"/>
          <w:b/>
          <w:sz w:val="28"/>
        </w:rPr>
      </w:pPr>
    </w:p>
    <w:p w14:paraId="0231DFFD" w14:textId="77777777" w:rsidR="00B87052" w:rsidRPr="00B203E6" w:rsidRDefault="00B87052">
      <w:pPr>
        <w:jc w:val="center"/>
        <w:rPr>
          <w:rFonts w:ascii="Arial" w:hAnsi="Arial"/>
          <w:b/>
          <w:sz w:val="28"/>
        </w:rPr>
        <w:sectPr w:rsidR="00B87052" w:rsidRPr="00B203E6" w:rsidSect="00CD2558">
          <w:headerReference w:type="even" r:id="rId12"/>
          <w:headerReference w:type="default" r:id="rId13"/>
          <w:footerReference w:type="even" r:id="rId14"/>
          <w:footerReference w:type="default" r:id="rId15"/>
          <w:headerReference w:type="first" r:id="rId16"/>
          <w:footerReference w:type="first" r:id="rId17"/>
          <w:pgSz w:w="11909" w:h="16834" w:code="9"/>
          <w:pgMar w:top="1440" w:right="1440" w:bottom="1440" w:left="1440" w:header="706" w:footer="706" w:gutter="0"/>
          <w:pgNumType w:start="1"/>
          <w:cols w:space="720"/>
          <w:vAlign w:val="center"/>
          <w:titlePg/>
        </w:sectPr>
      </w:pPr>
    </w:p>
    <w:p w14:paraId="7426155E" w14:textId="77777777" w:rsidR="002D525D" w:rsidRPr="00A5499C" w:rsidRDefault="002D525D" w:rsidP="002D525D">
      <w:pPr>
        <w:jc w:val="center"/>
        <w:rPr>
          <w:rFonts w:ascii="Arial" w:hAnsi="Arial"/>
          <w:b/>
          <w:sz w:val="28"/>
        </w:rPr>
      </w:pPr>
      <w:r>
        <w:rPr>
          <w:rFonts w:ascii="Arial" w:hAnsi="Arial"/>
          <w:b/>
          <w:sz w:val="28"/>
        </w:rPr>
        <w:lastRenderedPageBreak/>
        <w:t>POLICE AND CRIME COMMISSIONER FOR LANCASHIRE</w:t>
      </w:r>
    </w:p>
    <w:p w14:paraId="740E9A0D" w14:textId="77777777" w:rsidR="002D525D" w:rsidRPr="00A5499C" w:rsidRDefault="002D525D" w:rsidP="002D525D">
      <w:pPr>
        <w:jc w:val="center"/>
        <w:rPr>
          <w:rFonts w:ascii="Arial" w:hAnsi="Arial"/>
          <w:b/>
          <w:sz w:val="28"/>
        </w:rPr>
      </w:pPr>
    </w:p>
    <w:p w14:paraId="6F38DBEE" w14:textId="49B4F1DD" w:rsidR="002D525D" w:rsidRDefault="002D525D" w:rsidP="002D525D">
      <w:pPr>
        <w:jc w:val="center"/>
        <w:rPr>
          <w:rFonts w:ascii="Arial" w:hAnsi="Arial"/>
          <w:b/>
          <w:sz w:val="28"/>
        </w:rPr>
      </w:pPr>
      <w:r w:rsidRPr="00A5499C">
        <w:rPr>
          <w:rFonts w:ascii="Arial" w:hAnsi="Arial"/>
          <w:b/>
          <w:sz w:val="28"/>
        </w:rPr>
        <w:t xml:space="preserve">STATEMENT OF ACCOUNTS </w:t>
      </w:r>
      <w:r w:rsidR="00C37E7F">
        <w:rPr>
          <w:rFonts w:ascii="Arial" w:hAnsi="Arial"/>
          <w:b/>
          <w:sz w:val="28"/>
        </w:rPr>
        <w:t>2024/25</w:t>
      </w:r>
    </w:p>
    <w:p w14:paraId="735A395C" w14:textId="77777777" w:rsidR="002D525D" w:rsidRPr="00B203E6" w:rsidRDefault="002D525D" w:rsidP="002D525D">
      <w:pPr>
        <w:jc w:val="center"/>
        <w:rPr>
          <w:rFonts w:ascii="Arial" w:hAnsi="Arial"/>
          <w:b/>
          <w:sz w:val="28"/>
        </w:rPr>
      </w:pPr>
    </w:p>
    <w:p w14:paraId="67578105" w14:textId="77777777" w:rsidR="002D525D" w:rsidRPr="00A5499C" w:rsidRDefault="002D525D" w:rsidP="002D525D">
      <w:pPr>
        <w:jc w:val="center"/>
        <w:rPr>
          <w:rFonts w:ascii="Arial" w:hAnsi="Arial"/>
          <w:b/>
          <w:sz w:val="28"/>
        </w:rPr>
      </w:pPr>
    </w:p>
    <w:p w14:paraId="743334DE" w14:textId="77777777" w:rsidR="002D525D" w:rsidRPr="00A5499C" w:rsidRDefault="002D525D" w:rsidP="002D525D">
      <w:pPr>
        <w:jc w:val="center"/>
        <w:rPr>
          <w:rFonts w:ascii="Arial" w:hAnsi="Arial"/>
        </w:rPr>
      </w:pPr>
      <w:r w:rsidRPr="00A5499C">
        <w:rPr>
          <w:rFonts w:ascii="Arial" w:hAnsi="Arial"/>
          <w:b/>
          <w:sz w:val="28"/>
        </w:rPr>
        <w:t>CONTENTS</w:t>
      </w:r>
    </w:p>
    <w:p w14:paraId="2E1C4B69" w14:textId="77777777" w:rsidR="002D525D" w:rsidRPr="00A5499C" w:rsidRDefault="002D525D" w:rsidP="002D525D">
      <w:pPr>
        <w:jc w:val="center"/>
        <w:rPr>
          <w:rFonts w:ascii="Arial" w:hAnsi="Arial"/>
        </w:rPr>
      </w:pPr>
    </w:p>
    <w:p w14:paraId="054BB8ED" w14:textId="77777777" w:rsidR="002D525D" w:rsidRDefault="002D525D" w:rsidP="002D525D">
      <w:pPr>
        <w:tabs>
          <w:tab w:val="left" w:pos="8730"/>
        </w:tabs>
        <w:rPr>
          <w:rFonts w:ascii="Arial" w:hAnsi="Arial"/>
          <w:sz w:val="24"/>
        </w:rPr>
      </w:pPr>
    </w:p>
    <w:tbl>
      <w:tblPr>
        <w:tblW w:w="0" w:type="auto"/>
        <w:tblLayout w:type="fixed"/>
        <w:tblLook w:val="0000" w:firstRow="0" w:lastRow="0" w:firstColumn="0" w:lastColumn="0" w:noHBand="0" w:noVBand="0"/>
      </w:tblPr>
      <w:tblGrid>
        <w:gridCol w:w="7668"/>
        <w:gridCol w:w="1576"/>
      </w:tblGrid>
      <w:tr w:rsidR="0095373B" w:rsidRPr="00A5499C" w14:paraId="3F53CED3" w14:textId="77777777">
        <w:tc>
          <w:tcPr>
            <w:tcW w:w="7668" w:type="dxa"/>
          </w:tcPr>
          <w:p w14:paraId="2F91182E" w14:textId="77777777" w:rsidR="0095373B" w:rsidRPr="00A5499C" w:rsidRDefault="0095373B">
            <w:pPr>
              <w:spacing w:before="240" w:after="240"/>
              <w:rPr>
                <w:rFonts w:ascii="Arial" w:hAnsi="Arial"/>
                <w:sz w:val="24"/>
              </w:rPr>
            </w:pPr>
            <w:bookmarkStart w:id="0" w:name="_Hlk131678660"/>
          </w:p>
        </w:tc>
        <w:tc>
          <w:tcPr>
            <w:tcW w:w="1576" w:type="dxa"/>
          </w:tcPr>
          <w:p w14:paraId="6C5977BF" w14:textId="77777777" w:rsidR="0095373B" w:rsidRPr="00287896" w:rsidRDefault="0095373B">
            <w:pPr>
              <w:spacing w:before="240" w:after="240"/>
              <w:jc w:val="center"/>
              <w:rPr>
                <w:rFonts w:ascii="Arial" w:hAnsi="Arial"/>
                <w:sz w:val="24"/>
              </w:rPr>
            </w:pPr>
            <w:r w:rsidRPr="00287896">
              <w:rPr>
                <w:rFonts w:ascii="Arial" w:hAnsi="Arial"/>
                <w:b/>
                <w:sz w:val="24"/>
              </w:rPr>
              <w:t>Page</w:t>
            </w:r>
          </w:p>
        </w:tc>
      </w:tr>
      <w:tr w:rsidR="0095373B" w:rsidRPr="00A5499C" w14:paraId="2ACB1C7F" w14:textId="77777777">
        <w:tc>
          <w:tcPr>
            <w:tcW w:w="7668" w:type="dxa"/>
          </w:tcPr>
          <w:p w14:paraId="0D3258FC" w14:textId="77777777" w:rsidR="0095373B" w:rsidRPr="00563934" w:rsidRDefault="0095373B">
            <w:pPr>
              <w:pStyle w:val="CommentText"/>
              <w:spacing w:before="240" w:after="240"/>
              <w:rPr>
                <w:b/>
                <w:sz w:val="24"/>
              </w:rPr>
            </w:pPr>
            <w:r>
              <w:rPr>
                <w:b/>
                <w:sz w:val="24"/>
              </w:rPr>
              <w:t xml:space="preserve">Narrative Report  </w:t>
            </w:r>
          </w:p>
        </w:tc>
        <w:tc>
          <w:tcPr>
            <w:tcW w:w="1576" w:type="dxa"/>
          </w:tcPr>
          <w:p w14:paraId="5F8C7757" w14:textId="77777777" w:rsidR="0095373B" w:rsidRPr="00287896" w:rsidRDefault="0095373B">
            <w:pPr>
              <w:spacing w:before="240" w:after="240"/>
              <w:jc w:val="center"/>
              <w:rPr>
                <w:rFonts w:ascii="Arial" w:hAnsi="Arial"/>
                <w:sz w:val="24"/>
              </w:rPr>
            </w:pPr>
            <w:r w:rsidRPr="00287896">
              <w:rPr>
                <w:rFonts w:ascii="Arial" w:hAnsi="Arial"/>
                <w:sz w:val="24"/>
              </w:rPr>
              <w:t>1</w:t>
            </w:r>
          </w:p>
        </w:tc>
      </w:tr>
      <w:tr w:rsidR="0095373B" w:rsidRPr="00A5499C" w14:paraId="7623BE8D" w14:textId="77777777">
        <w:tc>
          <w:tcPr>
            <w:tcW w:w="7668" w:type="dxa"/>
          </w:tcPr>
          <w:p w14:paraId="4D111073" w14:textId="77777777" w:rsidR="0095373B" w:rsidRPr="00563934" w:rsidRDefault="0095373B">
            <w:pPr>
              <w:spacing w:before="240" w:after="240"/>
              <w:rPr>
                <w:rFonts w:ascii="Arial" w:hAnsi="Arial"/>
                <w:b/>
                <w:sz w:val="24"/>
              </w:rPr>
            </w:pPr>
            <w:r w:rsidRPr="00563934">
              <w:rPr>
                <w:rFonts w:ascii="Arial" w:hAnsi="Arial"/>
                <w:b/>
                <w:sz w:val="24"/>
              </w:rPr>
              <w:t xml:space="preserve">Statement of Responsibilities </w:t>
            </w:r>
          </w:p>
        </w:tc>
        <w:tc>
          <w:tcPr>
            <w:tcW w:w="1576" w:type="dxa"/>
          </w:tcPr>
          <w:p w14:paraId="22B0DD3A" w14:textId="77777777" w:rsidR="0095373B" w:rsidRPr="00287896" w:rsidRDefault="0095373B">
            <w:pPr>
              <w:spacing w:before="240" w:after="240"/>
              <w:jc w:val="center"/>
              <w:rPr>
                <w:rFonts w:ascii="Arial" w:hAnsi="Arial"/>
                <w:sz w:val="24"/>
              </w:rPr>
            </w:pPr>
            <w:r w:rsidRPr="00287896">
              <w:rPr>
                <w:rFonts w:ascii="Arial" w:hAnsi="Arial"/>
                <w:sz w:val="24"/>
              </w:rPr>
              <w:t>10</w:t>
            </w:r>
          </w:p>
        </w:tc>
      </w:tr>
      <w:tr w:rsidR="0095373B" w:rsidRPr="00A5499C" w14:paraId="0B86FD3D" w14:textId="77777777">
        <w:tc>
          <w:tcPr>
            <w:tcW w:w="7668" w:type="dxa"/>
          </w:tcPr>
          <w:p w14:paraId="5452282C" w14:textId="77777777" w:rsidR="0095373B" w:rsidRPr="00563934" w:rsidRDefault="0095373B">
            <w:pPr>
              <w:spacing w:before="240" w:after="240"/>
              <w:rPr>
                <w:rFonts w:ascii="Arial" w:hAnsi="Arial"/>
                <w:b/>
                <w:sz w:val="24"/>
              </w:rPr>
            </w:pPr>
            <w:r w:rsidRPr="00563934">
              <w:rPr>
                <w:rFonts w:ascii="Arial" w:hAnsi="Arial"/>
                <w:b/>
                <w:sz w:val="24"/>
              </w:rPr>
              <w:t>Financial Statements</w:t>
            </w:r>
            <w:r>
              <w:rPr>
                <w:rFonts w:ascii="Arial" w:hAnsi="Arial"/>
                <w:b/>
                <w:sz w:val="24"/>
              </w:rPr>
              <w:t>:</w:t>
            </w:r>
          </w:p>
        </w:tc>
        <w:tc>
          <w:tcPr>
            <w:tcW w:w="1576" w:type="dxa"/>
          </w:tcPr>
          <w:p w14:paraId="6EDC110C" w14:textId="77777777" w:rsidR="0095373B" w:rsidRPr="00287896" w:rsidRDefault="0095373B">
            <w:pPr>
              <w:spacing w:before="240" w:after="240"/>
              <w:jc w:val="center"/>
              <w:rPr>
                <w:rFonts w:ascii="Arial" w:hAnsi="Arial"/>
                <w:sz w:val="24"/>
              </w:rPr>
            </w:pPr>
          </w:p>
        </w:tc>
      </w:tr>
      <w:tr w:rsidR="0095373B" w:rsidRPr="00B15556" w14:paraId="29062F74" w14:textId="77777777">
        <w:tc>
          <w:tcPr>
            <w:tcW w:w="7668" w:type="dxa"/>
          </w:tcPr>
          <w:p w14:paraId="54ADB4A5" w14:textId="77777777" w:rsidR="0095373B" w:rsidRDefault="0095373B">
            <w:pPr>
              <w:rPr>
                <w:rFonts w:ascii="Arial" w:hAnsi="Arial"/>
                <w:sz w:val="24"/>
              </w:rPr>
            </w:pPr>
            <w:r w:rsidRPr="00B15556">
              <w:rPr>
                <w:rFonts w:ascii="Arial" w:hAnsi="Arial"/>
                <w:sz w:val="24"/>
              </w:rPr>
              <w:t>Comprehensive Income and Expenditure Statement</w:t>
            </w:r>
            <w:r>
              <w:rPr>
                <w:rFonts w:ascii="Arial" w:hAnsi="Arial"/>
                <w:sz w:val="24"/>
              </w:rPr>
              <w:t>s</w:t>
            </w:r>
          </w:p>
          <w:p w14:paraId="26F81395" w14:textId="77777777" w:rsidR="0095373B" w:rsidRDefault="0095373B">
            <w:pPr>
              <w:ind w:left="720"/>
              <w:rPr>
                <w:rFonts w:ascii="Arial" w:hAnsi="Arial"/>
                <w:sz w:val="24"/>
              </w:rPr>
            </w:pPr>
            <w:r>
              <w:rPr>
                <w:rFonts w:ascii="Arial" w:hAnsi="Arial"/>
                <w:sz w:val="24"/>
              </w:rPr>
              <w:t>PCC Group</w:t>
            </w:r>
          </w:p>
          <w:p w14:paraId="1613F55A" w14:textId="77777777" w:rsidR="0095373B" w:rsidRPr="00B15556" w:rsidRDefault="0095373B">
            <w:pPr>
              <w:ind w:left="720"/>
              <w:rPr>
                <w:rFonts w:ascii="Arial" w:hAnsi="Arial"/>
                <w:sz w:val="24"/>
              </w:rPr>
            </w:pPr>
            <w:r>
              <w:rPr>
                <w:rFonts w:ascii="Arial" w:hAnsi="Arial"/>
                <w:sz w:val="24"/>
              </w:rPr>
              <w:t>PCC Single entity</w:t>
            </w:r>
          </w:p>
        </w:tc>
        <w:tc>
          <w:tcPr>
            <w:tcW w:w="1576" w:type="dxa"/>
          </w:tcPr>
          <w:p w14:paraId="16B83658" w14:textId="77777777" w:rsidR="0095373B" w:rsidRDefault="0095373B">
            <w:pPr>
              <w:jc w:val="center"/>
              <w:rPr>
                <w:rFonts w:ascii="Arial" w:hAnsi="Arial"/>
                <w:sz w:val="24"/>
              </w:rPr>
            </w:pPr>
          </w:p>
          <w:p w14:paraId="34098DBC" w14:textId="77777777" w:rsidR="0095373B" w:rsidRDefault="0095373B">
            <w:pPr>
              <w:jc w:val="center"/>
              <w:rPr>
                <w:rFonts w:ascii="Arial" w:hAnsi="Arial"/>
                <w:sz w:val="24"/>
              </w:rPr>
            </w:pPr>
            <w:r w:rsidRPr="00287896">
              <w:rPr>
                <w:rFonts w:ascii="Arial" w:hAnsi="Arial"/>
                <w:sz w:val="24"/>
              </w:rPr>
              <w:t>11</w:t>
            </w:r>
          </w:p>
          <w:p w14:paraId="6D8F2EE0" w14:textId="77777777" w:rsidR="0095373B" w:rsidRPr="00287896" w:rsidRDefault="0095373B">
            <w:pPr>
              <w:jc w:val="center"/>
              <w:rPr>
                <w:rFonts w:ascii="Arial" w:hAnsi="Arial"/>
                <w:sz w:val="24"/>
              </w:rPr>
            </w:pPr>
            <w:r>
              <w:rPr>
                <w:rFonts w:ascii="Arial" w:hAnsi="Arial"/>
                <w:sz w:val="24"/>
              </w:rPr>
              <w:t>12</w:t>
            </w:r>
          </w:p>
        </w:tc>
      </w:tr>
      <w:tr w:rsidR="0095373B" w:rsidRPr="00B15556" w14:paraId="5FC8D6F1" w14:textId="77777777">
        <w:tc>
          <w:tcPr>
            <w:tcW w:w="7668" w:type="dxa"/>
          </w:tcPr>
          <w:p w14:paraId="6D573427" w14:textId="77777777" w:rsidR="0095373B" w:rsidRDefault="0095373B">
            <w:pPr>
              <w:tabs>
                <w:tab w:val="left" w:pos="5222"/>
              </w:tabs>
              <w:rPr>
                <w:rFonts w:ascii="Arial" w:hAnsi="Arial"/>
                <w:sz w:val="24"/>
              </w:rPr>
            </w:pPr>
            <w:bookmarkStart w:id="1" w:name="_Hlk216178029"/>
            <w:r w:rsidRPr="00B15556">
              <w:rPr>
                <w:rFonts w:ascii="Arial" w:hAnsi="Arial"/>
                <w:sz w:val="24"/>
              </w:rPr>
              <w:t>Movement in Reserves Statement</w:t>
            </w:r>
            <w:r>
              <w:rPr>
                <w:rFonts w:ascii="Arial" w:hAnsi="Arial"/>
                <w:sz w:val="24"/>
              </w:rPr>
              <w:t>s</w:t>
            </w:r>
            <w:r>
              <w:rPr>
                <w:rFonts w:ascii="Arial" w:hAnsi="Arial"/>
                <w:sz w:val="24"/>
              </w:rPr>
              <w:tab/>
            </w:r>
          </w:p>
          <w:p w14:paraId="4578B327" w14:textId="77777777" w:rsidR="0095373B" w:rsidRDefault="0095373B">
            <w:pPr>
              <w:ind w:left="720"/>
              <w:rPr>
                <w:rFonts w:ascii="Arial" w:hAnsi="Arial"/>
                <w:sz w:val="24"/>
              </w:rPr>
            </w:pPr>
            <w:r>
              <w:rPr>
                <w:rFonts w:ascii="Arial" w:hAnsi="Arial"/>
                <w:sz w:val="24"/>
              </w:rPr>
              <w:t>PCC Group</w:t>
            </w:r>
          </w:p>
          <w:p w14:paraId="427DCA17" w14:textId="77777777" w:rsidR="0095373B" w:rsidRPr="00B15556" w:rsidRDefault="0095373B">
            <w:pPr>
              <w:tabs>
                <w:tab w:val="left" w:pos="5222"/>
              </w:tabs>
              <w:ind w:left="720"/>
              <w:rPr>
                <w:rFonts w:ascii="Arial" w:hAnsi="Arial"/>
                <w:sz w:val="24"/>
              </w:rPr>
            </w:pPr>
            <w:r>
              <w:rPr>
                <w:rFonts w:ascii="Arial" w:hAnsi="Arial"/>
                <w:sz w:val="24"/>
              </w:rPr>
              <w:t>PCC Single entity</w:t>
            </w:r>
          </w:p>
        </w:tc>
        <w:tc>
          <w:tcPr>
            <w:tcW w:w="1576" w:type="dxa"/>
          </w:tcPr>
          <w:p w14:paraId="6EBEB5E9" w14:textId="77777777" w:rsidR="0095373B" w:rsidRDefault="0095373B">
            <w:pPr>
              <w:jc w:val="center"/>
              <w:rPr>
                <w:rFonts w:ascii="Arial" w:hAnsi="Arial"/>
                <w:sz w:val="24"/>
              </w:rPr>
            </w:pPr>
          </w:p>
          <w:p w14:paraId="098F3D29" w14:textId="77777777" w:rsidR="0095373B" w:rsidRDefault="0095373B">
            <w:pPr>
              <w:jc w:val="center"/>
              <w:rPr>
                <w:rFonts w:ascii="Arial" w:hAnsi="Arial"/>
                <w:sz w:val="24"/>
              </w:rPr>
            </w:pPr>
            <w:r w:rsidRPr="00287896">
              <w:rPr>
                <w:rFonts w:ascii="Arial" w:hAnsi="Arial"/>
                <w:sz w:val="24"/>
              </w:rPr>
              <w:t>1</w:t>
            </w:r>
            <w:r>
              <w:rPr>
                <w:rFonts w:ascii="Arial" w:hAnsi="Arial"/>
                <w:sz w:val="24"/>
              </w:rPr>
              <w:t>3</w:t>
            </w:r>
          </w:p>
          <w:p w14:paraId="25559884" w14:textId="022FE36E" w:rsidR="003E68AA" w:rsidRPr="00287896" w:rsidRDefault="003E68AA">
            <w:pPr>
              <w:jc w:val="center"/>
              <w:rPr>
                <w:rFonts w:ascii="Arial" w:hAnsi="Arial"/>
                <w:sz w:val="24"/>
              </w:rPr>
            </w:pPr>
            <w:r>
              <w:rPr>
                <w:rFonts w:ascii="Arial" w:hAnsi="Arial"/>
                <w:sz w:val="24"/>
              </w:rPr>
              <w:t>14</w:t>
            </w:r>
          </w:p>
        </w:tc>
      </w:tr>
      <w:tr w:rsidR="0095373B" w:rsidRPr="00A5499C" w14:paraId="74CC04FA" w14:textId="77777777">
        <w:tc>
          <w:tcPr>
            <w:tcW w:w="7668" w:type="dxa"/>
          </w:tcPr>
          <w:p w14:paraId="36EAD755" w14:textId="77777777" w:rsidR="0095373B" w:rsidRDefault="0095373B">
            <w:pPr>
              <w:rPr>
                <w:rFonts w:ascii="Arial" w:hAnsi="Arial"/>
                <w:sz w:val="24"/>
              </w:rPr>
            </w:pPr>
            <w:bookmarkStart w:id="2" w:name="_Hlk216184275"/>
            <w:bookmarkEnd w:id="1"/>
            <w:r w:rsidRPr="00B15556">
              <w:rPr>
                <w:rFonts w:ascii="Arial" w:hAnsi="Arial"/>
                <w:sz w:val="24"/>
              </w:rPr>
              <w:t>Balance Sheet</w:t>
            </w:r>
            <w:r>
              <w:rPr>
                <w:rFonts w:ascii="Arial" w:hAnsi="Arial"/>
                <w:sz w:val="24"/>
              </w:rPr>
              <w:t>s</w:t>
            </w:r>
          </w:p>
          <w:p w14:paraId="6A53B46A" w14:textId="77777777" w:rsidR="0095373B" w:rsidRDefault="0095373B">
            <w:pPr>
              <w:ind w:left="720"/>
              <w:rPr>
                <w:rFonts w:ascii="Arial" w:hAnsi="Arial"/>
                <w:sz w:val="24"/>
              </w:rPr>
            </w:pPr>
            <w:r>
              <w:rPr>
                <w:rFonts w:ascii="Arial" w:hAnsi="Arial"/>
                <w:sz w:val="24"/>
              </w:rPr>
              <w:t>PCC Group</w:t>
            </w:r>
          </w:p>
          <w:p w14:paraId="283D2CDD" w14:textId="77777777" w:rsidR="0095373B" w:rsidRPr="00B15556" w:rsidRDefault="0095373B">
            <w:pPr>
              <w:ind w:left="720"/>
              <w:rPr>
                <w:rFonts w:ascii="Arial" w:hAnsi="Arial"/>
                <w:sz w:val="24"/>
              </w:rPr>
            </w:pPr>
            <w:r>
              <w:rPr>
                <w:rFonts w:ascii="Arial" w:hAnsi="Arial"/>
                <w:sz w:val="24"/>
              </w:rPr>
              <w:t>PCC Single entity</w:t>
            </w:r>
          </w:p>
        </w:tc>
        <w:tc>
          <w:tcPr>
            <w:tcW w:w="1576" w:type="dxa"/>
          </w:tcPr>
          <w:p w14:paraId="4DEED268" w14:textId="77777777" w:rsidR="0095373B" w:rsidRDefault="0095373B">
            <w:pPr>
              <w:jc w:val="center"/>
              <w:rPr>
                <w:rFonts w:ascii="Arial" w:hAnsi="Arial"/>
                <w:sz w:val="24"/>
              </w:rPr>
            </w:pPr>
          </w:p>
          <w:p w14:paraId="5E0ABB7E" w14:textId="364146A0" w:rsidR="0095373B" w:rsidRDefault="0095373B">
            <w:pPr>
              <w:jc w:val="center"/>
              <w:rPr>
                <w:rFonts w:ascii="Arial" w:hAnsi="Arial"/>
                <w:sz w:val="24"/>
              </w:rPr>
            </w:pPr>
            <w:r>
              <w:rPr>
                <w:rFonts w:ascii="Arial" w:hAnsi="Arial"/>
                <w:sz w:val="24"/>
              </w:rPr>
              <w:t>1</w:t>
            </w:r>
            <w:r w:rsidR="003E68AA">
              <w:rPr>
                <w:rFonts w:ascii="Arial" w:hAnsi="Arial"/>
                <w:sz w:val="24"/>
              </w:rPr>
              <w:t>5</w:t>
            </w:r>
          </w:p>
          <w:p w14:paraId="5CC7B733" w14:textId="713CF6A1" w:rsidR="0095373B" w:rsidRPr="00287896" w:rsidRDefault="0095373B">
            <w:pPr>
              <w:jc w:val="center"/>
              <w:rPr>
                <w:rFonts w:ascii="Arial" w:hAnsi="Arial"/>
                <w:sz w:val="24"/>
              </w:rPr>
            </w:pPr>
            <w:r>
              <w:rPr>
                <w:rFonts w:ascii="Arial" w:hAnsi="Arial"/>
                <w:sz w:val="24"/>
              </w:rPr>
              <w:t>1</w:t>
            </w:r>
            <w:r w:rsidR="003E68AA">
              <w:rPr>
                <w:rFonts w:ascii="Arial" w:hAnsi="Arial"/>
                <w:sz w:val="24"/>
              </w:rPr>
              <w:t>6</w:t>
            </w:r>
          </w:p>
        </w:tc>
      </w:tr>
      <w:bookmarkEnd w:id="2"/>
      <w:tr w:rsidR="0095373B" w:rsidRPr="00A5499C" w14:paraId="58839A2E" w14:textId="77777777">
        <w:tc>
          <w:tcPr>
            <w:tcW w:w="7668" w:type="dxa"/>
          </w:tcPr>
          <w:p w14:paraId="51E7E8C6" w14:textId="77777777" w:rsidR="0095373B" w:rsidRDefault="0095373B">
            <w:pPr>
              <w:rPr>
                <w:rFonts w:ascii="Arial" w:hAnsi="Arial"/>
                <w:sz w:val="24"/>
              </w:rPr>
            </w:pPr>
            <w:r w:rsidRPr="00B15556">
              <w:rPr>
                <w:rFonts w:ascii="Arial" w:hAnsi="Arial"/>
                <w:sz w:val="24"/>
              </w:rPr>
              <w:t>Cash Flow Statement</w:t>
            </w:r>
            <w:r>
              <w:rPr>
                <w:rFonts w:ascii="Arial" w:hAnsi="Arial"/>
                <w:sz w:val="24"/>
              </w:rPr>
              <w:t>s</w:t>
            </w:r>
          </w:p>
          <w:p w14:paraId="48D9DACE" w14:textId="77777777" w:rsidR="0095373B" w:rsidRDefault="0095373B">
            <w:pPr>
              <w:ind w:left="720"/>
              <w:rPr>
                <w:rFonts w:ascii="Arial" w:hAnsi="Arial"/>
                <w:sz w:val="24"/>
              </w:rPr>
            </w:pPr>
            <w:r>
              <w:rPr>
                <w:rFonts w:ascii="Arial" w:hAnsi="Arial"/>
                <w:sz w:val="24"/>
              </w:rPr>
              <w:t>PCC Group</w:t>
            </w:r>
          </w:p>
          <w:p w14:paraId="68ABF9BC" w14:textId="77777777" w:rsidR="0095373B" w:rsidRPr="000534CD" w:rsidRDefault="0095373B">
            <w:pPr>
              <w:ind w:left="720"/>
              <w:rPr>
                <w:rFonts w:ascii="Arial" w:hAnsi="Arial"/>
                <w:sz w:val="24"/>
                <w:highlight w:val="yellow"/>
              </w:rPr>
            </w:pPr>
            <w:r>
              <w:rPr>
                <w:rFonts w:ascii="Arial" w:hAnsi="Arial"/>
                <w:sz w:val="24"/>
              </w:rPr>
              <w:t>PCC Single entity</w:t>
            </w:r>
          </w:p>
        </w:tc>
        <w:tc>
          <w:tcPr>
            <w:tcW w:w="1576" w:type="dxa"/>
          </w:tcPr>
          <w:p w14:paraId="28988687" w14:textId="77777777" w:rsidR="0095373B" w:rsidRDefault="0095373B">
            <w:pPr>
              <w:jc w:val="center"/>
              <w:rPr>
                <w:rFonts w:ascii="Arial" w:hAnsi="Arial"/>
                <w:sz w:val="24"/>
              </w:rPr>
            </w:pPr>
          </w:p>
          <w:p w14:paraId="7DFAA25F" w14:textId="77777777" w:rsidR="003E68AA" w:rsidRDefault="0095373B" w:rsidP="003E68AA">
            <w:pPr>
              <w:jc w:val="center"/>
              <w:rPr>
                <w:rFonts w:ascii="Arial" w:hAnsi="Arial"/>
                <w:sz w:val="24"/>
              </w:rPr>
            </w:pPr>
            <w:r w:rsidRPr="00287896">
              <w:rPr>
                <w:rFonts w:ascii="Arial" w:hAnsi="Arial"/>
                <w:sz w:val="24"/>
              </w:rPr>
              <w:t>1</w:t>
            </w:r>
            <w:r w:rsidR="003E68AA">
              <w:rPr>
                <w:rFonts w:ascii="Arial" w:hAnsi="Arial"/>
                <w:sz w:val="24"/>
              </w:rPr>
              <w:t>7</w:t>
            </w:r>
          </w:p>
          <w:p w14:paraId="5061F1BC" w14:textId="4D41BFB7" w:rsidR="0095373B" w:rsidRPr="00287896" w:rsidRDefault="0095373B" w:rsidP="003E68AA">
            <w:pPr>
              <w:jc w:val="center"/>
              <w:rPr>
                <w:rFonts w:ascii="Arial" w:hAnsi="Arial"/>
                <w:sz w:val="24"/>
              </w:rPr>
            </w:pPr>
            <w:r>
              <w:rPr>
                <w:rFonts w:ascii="Arial" w:hAnsi="Arial"/>
                <w:sz w:val="24"/>
              </w:rPr>
              <w:t>1</w:t>
            </w:r>
            <w:r w:rsidR="003E68AA">
              <w:rPr>
                <w:rFonts w:ascii="Arial" w:hAnsi="Arial"/>
                <w:sz w:val="24"/>
              </w:rPr>
              <w:t>8</w:t>
            </w:r>
          </w:p>
        </w:tc>
      </w:tr>
      <w:tr w:rsidR="0095373B" w:rsidRPr="00A5499C" w14:paraId="7B90E657" w14:textId="77777777">
        <w:tc>
          <w:tcPr>
            <w:tcW w:w="7668" w:type="dxa"/>
          </w:tcPr>
          <w:p w14:paraId="4BBEAB3B" w14:textId="77777777" w:rsidR="0095373B" w:rsidRPr="000534CD" w:rsidRDefault="0095373B">
            <w:pPr>
              <w:spacing w:before="240" w:after="240"/>
              <w:rPr>
                <w:rFonts w:ascii="Arial" w:hAnsi="Arial"/>
                <w:sz w:val="24"/>
                <w:highlight w:val="yellow"/>
              </w:rPr>
            </w:pPr>
            <w:r w:rsidRPr="00B15556">
              <w:rPr>
                <w:rFonts w:ascii="Arial" w:hAnsi="Arial"/>
                <w:sz w:val="24"/>
              </w:rPr>
              <w:t>Notes to the Accounts</w:t>
            </w:r>
          </w:p>
        </w:tc>
        <w:tc>
          <w:tcPr>
            <w:tcW w:w="1576" w:type="dxa"/>
          </w:tcPr>
          <w:p w14:paraId="6CBBCC13" w14:textId="06CE6107" w:rsidR="0095373B" w:rsidRPr="00287896" w:rsidRDefault="003E68AA">
            <w:pPr>
              <w:spacing w:before="240" w:after="240"/>
              <w:jc w:val="center"/>
              <w:rPr>
                <w:rFonts w:ascii="Arial" w:hAnsi="Arial"/>
                <w:sz w:val="24"/>
              </w:rPr>
            </w:pPr>
            <w:r>
              <w:rPr>
                <w:rFonts w:ascii="Arial" w:hAnsi="Arial"/>
                <w:sz w:val="24"/>
              </w:rPr>
              <w:t>19</w:t>
            </w:r>
          </w:p>
        </w:tc>
      </w:tr>
      <w:tr w:rsidR="0095373B" w:rsidRPr="00A5499C" w14:paraId="1B9618D7" w14:textId="77777777">
        <w:tc>
          <w:tcPr>
            <w:tcW w:w="7668" w:type="dxa"/>
          </w:tcPr>
          <w:p w14:paraId="00E1981D" w14:textId="77777777" w:rsidR="0095373B" w:rsidRPr="00B15556" w:rsidRDefault="0095373B">
            <w:pPr>
              <w:spacing w:before="240" w:after="240"/>
              <w:rPr>
                <w:rFonts w:ascii="Arial" w:hAnsi="Arial"/>
                <w:sz w:val="24"/>
              </w:rPr>
            </w:pPr>
            <w:r>
              <w:rPr>
                <w:rFonts w:ascii="Arial" w:hAnsi="Arial"/>
                <w:sz w:val="24"/>
              </w:rPr>
              <w:t>Other Significant Accounting Policies</w:t>
            </w:r>
          </w:p>
        </w:tc>
        <w:tc>
          <w:tcPr>
            <w:tcW w:w="1576" w:type="dxa"/>
          </w:tcPr>
          <w:p w14:paraId="6995316D" w14:textId="7901BEF8" w:rsidR="0095373B" w:rsidRPr="00287896" w:rsidRDefault="006B21A7">
            <w:pPr>
              <w:spacing w:before="240" w:after="240"/>
              <w:jc w:val="center"/>
              <w:rPr>
                <w:rFonts w:ascii="Arial" w:hAnsi="Arial"/>
                <w:sz w:val="24"/>
              </w:rPr>
            </w:pPr>
            <w:r>
              <w:rPr>
                <w:rFonts w:ascii="Arial" w:hAnsi="Arial"/>
                <w:sz w:val="24"/>
              </w:rPr>
              <w:t>9</w:t>
            </w:r>
            <w:r w:rsidR="00877D23">
              <w:rPr>
                <w:rFonts w:ascii="Arial" w:hAnsi="Arial"/>
                <w:sz w:val="24"/>
              </w:rPr>
              <w:t>7</w:t>
            </w:r>
          </w:p>
        </w:tc>
      </w:tr>
      <w:tr w:rsidR="0095373B" w:rsidRPr="00A5499C" w14:paraId="27B2AFE9" w14:textId="77777777">
        <w:tc>
          <w:tcPr>
            <w:tcW w:w="7668" w:type="dxa"/>
          </w:tcPr>
          <w:p w14:paraId="6843A0CF" w14:textId="77777777" w:rsidR="0095373B" w:rsidRPr="00B15556" w:rsidRDefault="0095373B">
            <w:pPr>
              <w:spacing w:before="240" w:after="240"/>
              <w:rPr>
                <w:rFonts w:ascii="Arial" w:hAnsi="Arial"/>
                <w:sz w:val="24"/>
              </w:rPr>
            </w:pPr>
            <w:r>
              <w:rPr>
                <w:rFonts w:ascii="Arial" w:hAnsi="Arial"/>
                <w:sz w:val="24"/>
              </w:rPr>
              <w:t>Police Pension Account</w:t>
            </w:r>
          </w:p>
        </w:tc>
        <w:tc>
          <w:tcPr>
            <w:tcW w:w="1576" w:type="dxa"/>
          </w:tcPr>
          <w:p w14:paraId="057D0197" w14:textId="7BDB693C" w:rsidR="0095373B" w:rsidRPr="00287896" w:rsidRDefault="006B21A7">
            <w:pPr>
              <w:spacing w:before="240" w:after="240"/>
              <w:jc w:val="center"/>
              <w:rPr>
                <w:rFonts w:ascii="Arial" w:hAnsi="Arial"/>
                <w:sz w:val="24"/>
              </w:rPr>
            </w:pPr>
            <w:r>
              <w:rPr>
                <w:rFonts w:ascii="Arial" w:hAnsi="Arial"/>
                <w:sz w:val="24"/>
              </w:rPr>
              <w:t>10</w:t>
            </w:r>
            <w:r w:rsidR="00877D23">
              <w:rPr>
                <w:rFonts w:ascii="Arial" w:hAnsi="Arial"/>
                <w:sz w:val="24"/>
              </w:rPr>
              <w:t>1</w:t>
            </w:r>
          </w:p>
        </w:tc>
      </w:tr>
      <w:tr w:rsidR="0095373B" w:rsidRPr="00A5499C" w14:paraId="1D9A2669" w14:textId="77777777">
        <w:tc>
          <w:tcPr>
            <w:tcW w:w="7668" w:type="dxa"/>
          </w:tcPr>
          <w:p w14:paraId="0D133E03" w14:textId="77777777" w:rsidR="0095373B" w:rsidRPr="00563934" w:rsidRDefault="0095373B">
            <w:pPr>
              <w:pStyle w:val="Footer"/>
              <w:tabs>
                <w:tab w:val="clear" w:pos="4153"/>
                <w:tab w:val="clear" w:pos="8306"/>
              </w:tabs>
              <w:spacing w:before="240" w:after="240"/>
              <w:rPr>
                <w:b/>
              </w:rPr>
            </w:pPr>
            <w:r w:rsidRPr="00563934">
              <w:rPr>
                <w:b/>
              </w:rPr>
              <w:t>Audit Report and Opinion</w:t>
            </w:r>
          </w:p>
        </w:tc>
        <w:tc>
          <w:tcPr>
            <w:tcW w:w="1576" w:type="dxa"/>
          </w:tcPr>
          <w:p w14:paraId="363EADB1" w14:textId="450A90E4" w:rsidR="0095373B" w:rsidRPr="00287896" w:rsidRDefault="0095373B">
            <w:pPr>
              <w:spacing w:before="240" w:after="240"/>
              <w:jc w:val="center"/>
              <w:rPr>
                <w:rFonts w:ascii="Arial" w:hAnsi="Arial"/>
                <w:sz w:val="24"/>
              </w:rPr>
            </w:pPr>
            <w:r w:rsidRPr="00287896">
              <w:rPr>
                <w:rFonts w:ascii="Arial" w:hAnsi="Arial"/>
                <w:sz w:val="24"/>
              </w:rPr>
              <w:t>10</w:t>
            </w:r>
            <w:r w:rsidR="00877D23">
              <w:rPr>
                <w:rFonts w:ascii="Arial" w:hAnsi="Arial"/>
                <w:sz w:val="24"/>
              </w:rPr>
              <w:t>5</w:t>
            </w:r>
          </w:p>
        </w:tc>
      </w:tr>
      <w:tr w:rsidR="0095373B" w:rsidRPr="00A5499C" w14:paraId="76FA269C" w14:textId="77777777">
        <w:tc>
          <w:tcPr>
            <w:tcW w:w="7668" w:type="dxa"/>
          </w:tcPr>
          <w:p w14:paraId="3DC04C15" w14:textId="77777777" w:rsidR="0095373B" w:rsidRPr="002773DF" w:rsidRDefault="0095373B">
            <w:pPr>
              <w:spacing w:before="240" w:after="240"/>
              <w:rPr>
                <w:rFonts w:ascii="Arial" w:hAnsi="Arial"/>
                <w:b/>
                <w:sz w:val="24"/>
              </w:rPr>
            </w:pPr>
            <w:r w:rsidRPr="002773DF">
              <w:rPr>
                <w:rFonts w:ascii="Arial" w:hAnsi="Arial"/>
                <w:b/>
                <w:sz w:val="24"/>
              </w:rPr>
              <w:t xml:space="preserve">Annual Governance Statement </w:t>
            </w:r>
          </w:p>
        </w:tc>
        <w:tc>
          <w:tcPr>
            <w:tcW w:w="1576" w:type="dxa"/>
          </w:tcPr>
          <w:p w14:paraId="1533957A" w14:textId="0E007EA1" w:rsidR="0095373B" w:rsidRPr="00287896" w:rsidRDefault="0095373B">
            <w:pPr>
              <w:spacing w:before="240" w:after="240"/>
              <w:jc w:val="center"/>
              <w:rPr>
                <w:rFonts w:ascii="Arial" w:hAnsi="Arial"/>
                <w:sz w:val="24"/>
              </w:rPr>
            </w:pPr>
            <w:r w:rsidRPr="00287896">
              <w:rPr>
                <w:rFonts w:ascii="Arial" w:hAnsi="Arial"/>
                <w:sz w:val="24"/>
              </w:rPr>
              <w:t>1</w:t>
            </w:r>
            <w:r w:rsidR="00C457C9">
              <w:rPr>
                <w:rFonts w:ascii="Arial" w:hAnsi="Arial"/>
                <w:sz w:val="24"/>
              </w:rPr>
              <w:t>1</w:t>
            </w:r>
            <w:r w:rsidR="00E1307E">
              <w:rPr>
                <w:rFonts w:ascii="Arial" w:hAnsi="Arial"/>
                <w:sz w:val="24"/>
              </w:rPr>
              <w:t>0</w:t>
            </w:r>
          </w:p>
        </w:tc>
      </w:tr>
      <w:tr w:rsidR="0095373B" w:rsidRPr="00A5499C" w14:paraId="0BC31619" w14:textId="77777777">
        <w:trPr>
          <w:trHeight w:val="633"/>
        </w:trPr>
        <w:tc>
          <w:tcPr>
            <w:tcW w:w="7668" w:type="dxa"/>
          </w:tcPr>
          <w:p w14:paraId="75A81ED6" w14:textId="77777777" w:rsidR="0095373B" w:rsidRPr="002773DF" w:rsidRDefault="0095373B">
            <w:pPr>
              <w:spacing w:before="240" w:after="240"/>
              <w:rPr>
                <w:rFonts w:ascii="Arial" w:hAnsi="Arial"/>
                <w:b/>
                <w:sz w:val="24"/>
              </w:rPr>
            </w:pPr>
            <w:r w:rsidRPr="002773DF">
              <w:rPr>
                <w:rFonts w:ascii="Arial" w:hAnsi="Arial"/>
                <w:b/>
                <w:sz w:val="24"/>
              </w:rPr>
              <w:t xml:space="preserve">Glossary </w:t>
            </w:r>
          </w:p>
        </w:tc>
        <w:tc>
          <w:tcPr>
            <w:tcW w:w="1576" w:type="dxa"/>
          </w:tcPr>
          <w:p w14:paraId="4DB3F4CC" w14:textId="4C98270A" w:rsidR="0095373B" w:rsidRPr="00287896" w:rsidRDefault="00CC0107">
            <w:pPr>
              <w:spacing w:before="240" w:after="240"/>
              <w:jc w:val="center"/>
              <w:rPr>
                <w:rFonts w:ascii="Arial" w:hAnsi="Arial"/>
                <w:sz w:val="24"/>
              </w:rPr>
            </w:pPr>
            <w:r>
              <w:rPr>
                <w:rFonts w:ascii="Arial" w:hAnsi="Arial"/>
                <w:sz w:val="24"/>
              </w:rPr>
              <w:t>1</w:t>
            </w:r>
            <w:r w:rsidR="00C457C9">
              <w:rPr>
                <w:rFonts w:ascii="Arial" w:hAnsi="Arial"/>
                <w:sz w:val="24"/>
              </w:rPr>
              <w:t>2</w:t>
            </w:r>
            <w:r w:rsidR="00E1307E">
              <w:rPr>
                <w:rFonts w:ascii="Arial" w:hAnsi="Arial"/>
                <w:sz w:val="24"/>
              </w:rPr>
              <w:t>0</w:t>
            </w:r>
          </w:p>
        </w:tc>
      </w:tr>
      <w:bookmarkEnd w:id="0"/>
    </w:tbl>
    <w:p w14:paraId="3699FF83" w14:textId="11275C7B" w:rsidR="0095373B" w:rsidRPr="008D1ED5" w:rsidRDefault="0095373B" w:rsidP="002D525D">
      <w:pPr>
        <w:tabs>
          <w:tab w:val="left" w:pos="8730"/>
        </w:tabs>
        <w:rPr>
          <w:rFonts w:ascii="Arial" w:hAnsi="Arial"/>
          <w:sz w:val="24"/>
        </w:rPr>
        <w:sectPr w:rsidR="0095373B" w:rsidRPr="008D1ED5" w:rsidSect="00CD2558">
          <w:headerReference w:type="even" r:id="rId18"/>
          <w:headerReference w:type="default" r:id="rId19"/>
          <w:footerReference w:type="default" r:id="rId20"/>
          <w:headerReference w:type="first" r:id="rId21"/>
          <w:pgSz w:w="11906" w:h="16838" w:code="9"/>
          <w:pgMar w:top="964" w:right="1134" w:bottom="851" w:left="1134" w:header="397" w:footer="567" w:gutter="0"/>
          <w:pgNumType w:start="1"/>
          <w:cols w:space="720"/>
          <w:docGrid w:linePitch="272"/>
        </w:sectPr>
      </w:pPr>
    </w:p>
    <w:p w14:paraId="0E2792BC" w14:textId="77777777" w:rsidR="001F73BA" w:rsidRDefault="001F73BA" w:rsidP="001F73BA">
      <w:pPr>
        <w:jc w:val="center"/>
        <w:textAlignment w:val="baseline"/>
        <w:rPr>
          <w:rFonts w:ascii="Arial" w:hAnsi="Arial" w:cs="Arial"/>
          <w:b/>
          <w:bCs/>
          <w:sz w:val="28"/>
          <w:szCs w:val="28"/>
        </w:rPr>
      </w:pPr>
      <w:bookmarkStart w:id="3" w:name="_Hlk83717512"/>
    </w:p>
    <w:p w14:paraId="0E73F052" w14:textId="1183F3AB" w:rsidR="001F73BA" w:rsidRPr="001F73BA" w:rsidRDefault="001F73BA" w:rsidP="001F73BA">
      <w:pPr>
        <w:jc w:val="center"/>
        <w:textAlignment w:val="baseline"/>
        <w:rPr>
          <w:rFonts w:ascii="Segoe UI" w:hAnsi="Segoe UI" w:cs="Segoe UI"/>
          <w:b/>
          <w:bCs/>
          <w:sz w:val="18"/>
          <w:szCs w:val="18"/>
        </w:rPr>
      </w:pPr>
      <w:r w:rsidRPr="001F73BA">
        <w:rPr>
          <w:rFonts w:ascii="Arial" w:hAnsi="Arial" w:cs="Arial"/>
          <w:b/>
          <w:bCs/>
          <w:sz w:val="28"/>
          <w:szCs w:val="28"/>
        </w:rPr>
        <w:t>NARRATIVE REPORT </w:t>
      </w:r>
    </w:p>
    <w:p w14:paraId="10D73343" w14:textId="003659A8" w:rsidR="001F73BA" w:rsidRPr="001F73BA" w:rsidRDefault="001F73BA" w:rsidP="001F73BA">
      <w:pPr>
        <w:textAlignment w:val="baseline"/>
        <w:rPr>
          <w:rFonts w:ascii="Segoe UI" w:hAnsi="Segoe UI" w:cs="Segoe UI"/>
          <w:sz w:val="18"/>
          <w:szCs w:val="18"/>
        </w:rPr>
      </w:pPr>
    </w:p>
    <w:p w14:paraId="2AD65108" w14:textId="77777777" w:rsidR="001F73BA" w:rsidRPr="001F73BA" w:rsidRDefault="001F73BA" w:rsidP="001F73BA">
      <w:pPr>
        <w:textAlignment w:val="baseline"/>
        <w:rPr>
          <w:rFonts w:ascii="Segoe UI" w:hAnsi="Segoe UI" w:cs="Segoe UI"/>
          <w:b/>
          <w:bCs/>
          <w:sz w:val="18"/>
          <w:szCs w:val="18"/>
        </w:rPr>
      </w:pPr>
      <w:r w:rsidRPr="001F73BA">
        <w:rPr>
          <w:rFonts w:ascii="Arial" w:hAnsi="Arial" w:cs="Arial"/>
          <w:b/>
          <w:bCs/>
          <w:sz w:val="22"/>
          <w:szCs w:val="22"/>
        </w:rPr>
        <w:t>Background </w:t>
      </w:r>
    </w:p>
    <w:p w14:paraId="7AEF6284"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2"/>
          <w:szCs w:val="22"/>
        </w:rPr>
        <w:t> </w:t>
      </w:r>
    </w:p>
    <w:p w14:paraId="4CA34E26"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Under the Police Reform and Social Responsibility Act (PRSRA) 2011 (the Act), Police and Crime Commissioners (PCC) and Chief Constables (CC) are deemed to be separate entities (Corporations Sole) and further to this the two entities have been established as Schedule 2 bodies under the Audit Commission Act 1998 (now replaced by the Local Audit and Accountability Act 2014) which means that they are both required to produce accounts which are subject to audit. </w:t>
      </w:r>
    </w:p>
    <w:p w14:paraId="2FF9ECBC"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21FBB57A"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The primary function of the PCC is to secure the maintenance of an efficient and effective police force in Lancashire and to hold the Chief Constable (CC) to account for the exercise of operational policing duties under the Act.   </w:t>
      </w:r>
    </w:p>
    <w:p w14:paraId="506DC03E"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1D74E9D6" w14:textId="0BDF0C7C"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The CC is, in technical terms, a 100% subsidiary of the PCC and in accounting terms this means that, although the CC is required to produce accounts in h</w:t>
      </w:r>
      <w:r w:rsidR="00F5659C">
        <w:rPr>
          <w:rFonts w:ascii="Arial" w:hAnsi="Arial" w:cs="Arial"/>
          <w:sz w:val="24"/>
          <w:szCs w:val="24"/>
        </w:rPr>
        <w:t>er</w:t>
      </w:r>
      <w:r w:rsidRPr="001F73BA">
        <w:rPr>
          <w:rFonts w:ascii="Arial" w:hAnsi="Arial" w:cs="Arial"/>
          <w:sz w:val="24"/>
          <w:szCs w:val="24"/>
        </w:rPr>
        <w:t xml:space="preserve"> own right, </w:t>
      </w:r>
      <w:r w:rsidR="00863A0A">
        <w:rPr>
          <w:rFonts w:ascii="Arial" w:hAnsi="Arial" w:cs="Arial"/>
          <w:sz w:val="24"/>
          <w:szCs w:val="24"/>
        </w:rPr>
        <w:t>the</w:t>
      </w:r>
      <w:r w:rsidRPr="001F73BA">
        <w:rPr>
          <w:rFonts w:ascii="Arial" w:hAnsi="Arial" w:cs="Arial"/>
          <w:sz w:val="24"/>
          <w:szCs w:val="24"/>
        </w:rPr>
        <w:t xml:space="preserve"> accounts will also be consolidated with those of the PCC to form a third set of "PCC Group" accounts. The CC's accounts can be found at the following link: </w:t>
      </w:r>
    </w:p>
    <w:p w14:paraId="293B6C05"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color w:val="0000FF"/>
          <w:sz w:val="24"/>
          <w:szCs w:val="24"/>
        </w:rPr>
        <w:t> </w:t>
      </w:r>
    </w:p>
    <w:p w14:paraId="67ABB4E9" w14:textId="102CC0B9" w:rsidR="001F73BA" w:rsidRPr="007103F4" w:rsidRDefault="001F73BA" w:rsidP="001F73BA">
      <w:pPr>
        <w:jc w:val="both"/>
        <w:textAlignment w:val="baseline"/>
        <w:rPr>
          <w:rFonts w:ascii="Segoe UI" w:hAnsi="Segoe UI" w:cs="Segoe UI"/>
          <w:sz w:val="18"/>
          <w:szCs w:val="18"/>
        </w:rPr>
      </w:pPr>
      <w:r w:rsidRPr="00A236E3">
        <w:rPr>
          <w:rFonts w:ascii="Arial" w:hAnsi="Arial" w:cs="Arial"/>
          <w:sz w:val="24"/>
          <w:szCs w:val="24"/>
          <w:u w:val="single"/>
        </w:rPr>
        <w:t>https://www.lancashire.police.uk/about-us/our-performance/statement-of-accounts/ </w:t>
      </w:r>
      <w:r w:rsidRPr="00A236E3">
        <w:rPr>
          <w:rFonts w:ascii="Arial" w:hAnsi="Arial" w:cs="Arial"/>
          <w:sz w:val="24"/>
          <w:szCs w:val="24"/>
        </w:rPr>
        <w:t> </w:t>
      </w:r>
    </w:p>
    <w:p w14:paraId="41483838" w14:textId="77777777" w:rsidR="001F73BA" w:rsidRPr="007103F4" w:rsidRDefault="001F73BA" w:rsidP="001F73BA">
      <w:pPr>
        <w:jc w:val="both"/>
        <w:textAlignment w:val="baseline"/>
        <w:rPr>
          <w:rFonts w:ascii="Segoe UI" w:hAnsi="Segoe UI" w:cs="Segoe UI"/>
          <w:sz w:val="18"/>
          <w:szCs w:val="18"/>
        </w:rPr>
      </w:pPr>
      <w:r w:rsidRPr="00A236E3">
        <w:rPr>
          <w:rFonts w:ascii="Arial" w:hAnsi="Arial" w:cs="Arial"/>
          <w:sz w:val="24"/>
          <w:szCs w:val="24"/>
        </w:rPr>
        <w:t> </w:t>
      </w:r>
    </w:p>
    <w:p w14:paraId="0AA19390"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The governance framework reinforces the PCC's position in control of the budget whereby the CC has a budget delegated to him by the PCC against which performance is monitored and reported to the PCC throughout the year. The governance framework can be found at the following link: </w:t>
      </w:r>
    </w:p>
    <w:p w14:paraId="73A6BF45"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5F04B09A" w14:textId="75C1073E" w:rsidR="001F73BA" w:rsidRPr="007103F4" w:rsidRDefault="001F73BA" w:rsidP="001F73BA">
      <w:pPr>
        <w:jc w:val="both"/>
        <w:textAlignment w:val="baseline"/>
        <w:rPr>
          <w:rFonts w:ascii="Segoe UI" w:hAnsi="Segoe UI" w:cs="Segoe UI"/>
          <w:sz w:val="18"/>
          <w:szCs w:val="18"/>
        </w:rPr>
      </w:pPr>
      <w:r w:rsidRPr="00A236E3">
        <w:rPr>
          <w:rFonts w:ascii="Arial" w:hAnsi="Arial" w:cs="Arial"/>
          <w:sz w:val="24"/>
          <w:szCs w:val="24"/>
          <w:u w:val="single"/>
        </w:rPr>
        <w:t>https://www.lancashire-pcc.gov.uk/transparency/governance-documents/</w:t>
      </w:r>
      <w:r w:rsidRPr="007103F4">
        <w:rPr>
          <w:rFonts w:ascii="Arial" w:hAnsi="Arial" w:cs="Arial"/>
          <w:sz w:val="24"/>
          <w:szCs w:val="24"/>
        </w:rPr>
        <w:t>  </w:t>
      </w:r>
    </w:p>
    <w:p w14:paraId="51F7EB92"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2F1521E6"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b/>
          <w:bCs/>
          <w:sz w:val="24"/>
          <w:szCs w:val="24"/>
        </w:rPr>
        <w:t>The Financial Statements of the Police and Crime Commissioner and Chief Constable</w:t>
      </w:r>
      <w:r w:rsidRPr="001F73BA">
        <w:rPr>
          <w:rFonts w:ascii="Arial" w:hAnsi="Arial" w:cs="Arial"/>
          <w:sz w:val="24"/>
          <w:szCs w:val="24"/>
        </w:rPr>
        <w:t> </w:t>
      </w:r>
    </w:p>
    <w:p w14:paraId="58C23092"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58458AD1" w14:textId="77777777" w:rsidR="005C7065" w:rsidRDefault="001F73BA" w:rsidP="001F73BA">
      <w:pPr>
        <w:jc w:val="both"/>
        <w:textAlignment w:val="baseline"/>
        <w:rPr>
          <w:rFonts w:ascii="Arial" w:hAnsi="Arial" w:cs="Arial"/>
          <w:sz w:val="24"/>
          <w:szCs w:val="24"/>
        </w:rPr>
      </w:pPr>
      <w:r w:rsidRPr="001F73BA">
        <w:rPr>
          <w:rFonts w:ascii="Arial" w:hAnsi="Arial" w:cs="Arial"/>
          <w:sz w:val="24"/>
          <w:szCs w:val="24"/>
        </w:rPr>
        <w:t xml:space="preserve">The Accounts and Audit (England) Regulations 2015 require authorities to follow "proper practices in relation to accounts" when preparing the accounts. The Code of Practice on Local Authority Accounting in the United Kingdom </w:t>
      </w:r>
      <w:r w:rsidR="00C37E7F">
        <w:rPr>
          <w:rFonts w:ascii="Arial" w:hAnsi="Arial" w:cs="Arial"/>
          <w:sz w:val="24"/>
          <w:szCs w:val="24"/>
        </w:rPr>
        <w:t>2024/25</w:t>
      </w:r>
      <w:r w:rsidRPr="001F73BA">
        <w:rPr>
          <w:rFonts w:ascii="Arial" w:hAnsi="Arial" w:cs="Arial"/>
          <w:sz w:val="24"/>
          <w:szCs w:val="24"/>
        </w:rPr>
        <w:t xml:space="preserve"> (the Code), which is based on International Financial Reporting Standards (IFRS) constitutes a "proper accounting practice" in England and Wales under the terms of Section 21 (2) of the Local Government Act 2003. The </w:t>
      </w:r>
      <w:r w:rsidR="00C37E7F">
        <w:rPr>
          <w:rFonts w:ascii="Arial" w:hAnsi="Arial" w:cs="Arial"/>
          <w:sz w:val="24"/>
          <w:szCs w:val="24"/>
        </w:rPr>
        <w:t>2024/25</w:t>
      </w:r>
      <w:r w:rsidRPr="001F73BA">
        <w:rPr>
          <w:rFonts w:ascii="Arial" w:hAnsi="Arial" w:cs="Arial"/>
          <w:sz w:val="24"/>
          <w:szCs w:val="24"/>
        </w:rPr>
        <w:t xml:space="preserve"> Statement of Accounts is also prepared in accordance with the Code. </w:t>
      </w:r>
    </w:p>
    <w:p w14:paraId="1C8D286B" w14:textId="77777777" w:rsidR="005C7065" w:rsidRDefault="005C7065" w:rsidP="001F73BA">
      <w:pPr>
        <w:jc w:val="both"/>
        <w:textAlignment w:val="baseline"/>
        <w:rPr>
          <w:rFonts w:ascii="Arial" w:hAnsi="Arial" w:cs="Arial"/>
          <w:sz w:val="24"/>
          <w:szCs w:val="24"/>
        </w:rPr>
      </w:pPr>
    </w:p>
    <w:p w14:paraId="17D1FAE0" w14:textId="3AFB5DAD"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The accounts reflect the current legislative framework as well as the local arrangements operating in practice.  </w:t>
      </w:r>
    </w:p>
    <w:p w14:paraId="6D921D71"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19806F7D"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b/>
          <w:bCs/>
          <w:sz w:val="24"/>
          <w:szCs w:val="24"/>
        </w:rPr>
        <w:t>Contents of the Statement of Accounts</w:t>
      </w:r>
      <w:r w:rsidRPr="001F73BA">
        <w:rPr>
          <w:rFonts w:ascii="Arial" w:hAnsi="Arial" w:cs="Arial"/>
          <w:sz w:val="24"/>
          <w:szCs w:val="24"/>
        </w:rPr>
        <w:t> </w:t>
      </w:r>
    </w:p>
    <w:p w14:paraId="6F41D690"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37E18914" w14:textId="36A8A423"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The statement gives the reader an overall impression of the finances of the PCC and the PCC Group for the financial year ended on 31 March 202</w:t>
      </w:r>
      <w:r w:rsidR="005C7065">
        <w:rPr>
          <w:rFonts w:ascii="Arial" w:hAnsi="Arial" w:cs="Arial"/>
          <w:sz w:val="24"/>
          <w:szCs w:val="24"/>
        </w:rPr>
        <w:t>5</w:t>
      </w:r>
      <w:r w:rsidRPr="001F73BA">
        <w:rPr>
          <w:rFonts w:ascii="Arial" w:hAnsi="Arial" w:cs="Arial"/>
          <w:sz w:val="24"/>
          <w:szCs w:val="24"/>
        </w:rPr>
        <w:t xml:space="preserve"> (referred to as </w:t>
      </w:r>
      <w:r w:rsidR="00C37E7F">
        <w:rPr>
          <w:rFonts w:ascii="Arial" w:hAnsi="Arial" w:cs="Arial"/>
          <w:sz w:val="24"/>
          <w:szCs w:val="24"/>
        </w:rPr>
        <w:t>2024/25</w:t>
      </w:r>
      <w:r w:rsidRPr="001F73BA">
        <w:rPr>
          <w:rFonts w:ascii="Arial" w:hAnsi="Arial" w:cs="Arial"/>
          <w:sz w:val="24"/>
          <w:szCs w:val="24"/>
        </w:rPr>
        <w:t>).   </w:t>
      </w:r>
    </w:p>
    <w:p w14:paraId="50C06848" w14:textId="77777777" w:rsidR="00523C22" w:rsidRDefault="00523C22" w:rsidP="001F73BA">
      <w:pPr>
        <w:jc w:val="both"/>
        <w:textAlignment w:val="baseline"/>
        <w:rPr>
          <w:rFonts w:ascii="Arial" w:hAnsi="Arial" w:cs="Arial"/>
          <w:sz w:val="24"/>
          <w:szCs w:val="24"/>
        </w:rPr>
      </w:pPr>
    </w:p>
    <w:p w14:paraId="625494BD"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The various sections contained within the consolidated financial statements are: </w:t>
      </w:r>
    </w:p>
    <w:p w14:paraId="506E470E" w14:textId="4C988B03"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0147E224" w14:textId="77777777" w:rsidR="00523C22" w:rsidRDefault="00523C22">
      <w:pPr>
        <w:rPr>
          <w:rFonts w:ascii="Arial" w:hAnsi="Arial" w:cs="Arial"/>
          <w:b/>
          <w:bCs/>
          <w:sz w:val="24"/>
          <w:szCs w:val="24"/>
        </w:rPr>
      </w:pPr>
      <w:r>
        <w:rPr>
          <w:rFonts w:ascii="Arial" w:hAnsi="Arial" w:cs="Arial"/>
          <w:b/>
          <w:bCs/>
          <w:sz w:val="24"/>
          <w:szCs w:val="24"/>
        </w:rPr>
        <w:br w:type="page"/>
      </w:r>
    </w:p>
    <w:p w14:paraId="27C1EABE" w14:textId="05094A26" w:rsidR="001F73BA" w:rsidRPr="001F73BA" w:rsidRDefault="001F73BA" w:rsidP="001F73BA">
      <w:pPr>
        <w:jc w:val="both"/>
        <w:textAlignment w:val="baseline"/>
        <w:rPr>
          <w:rFonts w:ascii="Segoe UI" w:hAnsi="Segoe UI" w:cs="Segoe UI"/>
          <w:sz w:val="18"/>
          <w:szCs w:val="18"/>
        </w:rPr>
      </w:pPr>
      <w:r w:rsidRPr="001F73BA">
        <w:rPr>
          <w:rFonts w:ascii="Arial" w:hAnsi="Arial" w:cs="Arial"/>
          <w:b/>
          <w:bCs/>
          <w:sz w:val="24"/>
          <w:szCs w:val="24"/>
        </w:rPr>
        <w:lastRenderedPageBreak/>
        <w:t>Comprehensive Income and Expenditure Statements for the PCC and the PCC Group</w:t>
      </w:r>
      <w:r w:rsidRPr="001F73BA">
        <w:rPr>
          <w:rFonts w:ascii="Arial" w:hAnsi="Arial" w:cs="Arial"/>
          <w:sz w:val="24"/>
          <w:szCs w:val="24"/>
        </w:rPr>
        <w:t> </w:t>
      </w:r>
    </w:p>
    <w:p w14:paraId="555740C8"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These statements show the accounting cost in the year of the PCC and PCC Group providing services in accordance with generally accepted accounting practices, rather than the amount to be funded from taxation. The PCC raises taxation to cover expenditure in accordance with regulations; this may be different from the accounting cost. The taxation position is shown in the movement in reserves statement.  </w:t>
      </w:r>
    </w:p>
    <w:p w14:paraId="0F5D169F" w14:textId="77777777" w:rsidR="001F73BA" w:rsidRPr="001F73BA" w:rsidRDefault="001F73BA" w:rsidP="001F73BA">
      <w:pPr>
        <w:jc w:val="both"/>
        <w:textAlignment w:val="baseline"/>
        <w:rPr>
          <w:rFonts w:ascii="Segoe UI" w:hAnsi="Segoe UI" w:cs="Segoe UI"/>
          <w:sz w:val="18"/>
          <w:szCs w:val="18"/>
        </w:rPr>
      </w:pPr>
      <w:r w:rsidRPr="001F73BA">
        <w:rPr>
          <w:rFonts w:ascii="Arial" w:hAnsi="Arial" w:cs="Arial"/>
          <w:sz w:val="24"/>
          <w:szCs w:val="24"/>
        </w:rPr>
        <w:t> </w:t>
      </w:r>
    </w:p>
    <w:p w14:paraId="27262D4F" w14:textId="77777777" w:rsidR="008D5FD2" w:rsidRDefault="008D5FD2" w:rsidP="008D5FD2">
      <w:pPr>
        <w:jc w:val="both"/>
        <w:rPr>
          <w:rFonts w:ascii="Arial" w:hAnsi="Arial" w:cs="Arial"/>
          <w:b/>
          <w:sz w:val="24"/>
          <w:szCs w:val="24"/>
        </w:rPr>
      </w:pPr>
      <w:bookmarkStart w:id="4" w:name="_Hlk106955140"/>
      <w:r w:rsidRPr="00B018C9">
        <w:rPr>
          <w:rFonts w:ascii="Arial" w:hAnsi="Arial" w:cs="Arial"/>
          <w:b/>
          <w:sz w:val="24"/>
          <w:szCs w:val="24"/>
        </w:rPr>
        <w:t>Movement in Reserves Statement for the PCC and the PCC Group</w:t>
      </w:r>
    </w:p>
    <w:p w14:paraId="7EA4F035" w14:textId="29E358CE" w:rsidR="008D5FD2" w:rsidRDefault="008D5FD2" w:rsidP="008D5FD2">
      <w:pPr>
        <w:jc w:val="both"/>
        <w:rPr>
          <w:rFonts w:ascii="Arial" w:hAnsi="Arial" w:cs="Arial"/>
          <w:sz w:val="24"/>
          <w:szCs w:val="24"/>
        </w:rPr>
      </w:pPr>
      <w:r w:rsidRPr="00B018C9">
        <w:rPr>
          <w:rFonts w:ascii="Arial" w:hAnsi="Arial" w:cs="Arial"/>
          <w:iCs/>
          <w:color w:val="000000"/>
          <w:sz w:val="24"/>
          <w:szCs w:val="24"/>
        </w:rPr>
        <w:t>The statement shows the movement from the start of the year to the end on the different reserves held by the PCC, analysed into ‘usable reserves’ (i.e., those that can be applied to fund expenditure or reduce local taxation) and other ‘unusable reserves’. This statement shows how the movements in year of the PCC’s reserves are broken down between gains and losses incurred in accordance with generally accepted accounting practices and the statutory adjustments required to return to the amounts chargeable to council tax for the year. The Net Increase/Decrease line shows the statutory General Fund Balance movements in the year following those adjustments</w:t>
      </w:r>
      <w:r w:rsidRPr="00B018C9">
        <w:rPr>
          <w:rFonts w:ascii="Arial" w:hAnsi="Arial" w:cs="Arial"/>
          <w:sz w:val="24"/>
          <w:szCs w:val="24"/>
        </w:rPr>
        <w:t xml:space="preserve">. During </w:t>
      </w:r>
      <w:r>
        <w:rPr>
          <w:rFonts w:ascii="Arial" w:hAnsi="Arial" w:cs="Arial"/>
          <w:sz w:val="24"/>
          <w:szCs w:val="24"/>
        </w:rPr>
        <w:t>2024/25</w:t>
      </w:r>
      <w:r w:rsidRPr="00B018C9">
        <w:rPr>
          <w:rFonts w:ascii="Arial" w:hAnsi="Arial" w:cs="Arial"/>
          <w:sz w:val="24"/>
          <w:szCs w:val="24"/>
        </w:rPr>
        <w:t xml:space="preserve"> total reserves of the Group </w:t>
      </w:r>
      <w:r w:rsidR="00F60B7F">
        <w:rPr>
          <w:rFonts w:ascii="Arial" w:hAnsi="Arial" w:cs="Arial"/>
          <w:sz w:val="24"/>
          <w:szCs w:val="24"/>
        </w:rPr>
        <w:t>increased</w:t>
      </w:r>
      <w:r w:rsidRPr="00B018C9">
        <w:rPr>
          <w:rFonts w:ascii="Arial" w:hAnsi="Arial" w:cs="Arial"/>
          <w:sz w:val="24"/>
          <w:szCs w:val="24"/>
        </w:rPr>
        <w:t xml:space="preserve"> </w:t>
      </w:r>
      <w:r w:rsidRPr="00A2081B">
        <w:rPr>
          <w:rFonts w:ascii="Arial" w:hAnsi="Arial" w:cs="Arial"/>
          <w:sz w:val="24"/>
          <w:szCs w:val="24"/>
        </w:rPr>
        <w:t xml:space="preserve">by </w:t>
      </w:r>
      <w:r w:rsidRPr="00254ADC">
        <w:rPr>
          <w:rFonts w:ascii="Arial" w:hAnsi="Arial" w:cs="Arial"/>
          <w:sz w:val="24"/>
          <w:szCs w:val="24"/>
        </w:rPr>
        <w:t>£</w:t>
      </w:r>
      <w:r w:rsidR="007633E3" w:rsidRPr="00254ADC">
        <w:rPr>
          <w:rFonts w:ascii="Arial" w:hAnsi="Arial" w:cs="Arial"/>
          <w:sz w:val="24"/>
          <w:szCs w:val="24"/>
        </w:rPr>
        <w:t>367</w:t>
      </w:r>
      <w:r w:rsidRPr="00254ADC">
        <w:rPr>
          <w:rFonts w:ascii="Arial" w:hAnsi="Arial" w:cs="Arial"/>
          <w:sz w:val="24"/>
          <w:szCs w:val="24"/>
        </w:rPr>
        <w:t>.</w:t>
      </w:r>
      <w:r w:rsidR="00FB1623">
        <w:rPr>
          <w:rFonts w:ascii="Arial" w:hAnsi="Arial" w:cs="Arial"/>
          <w:sz w:val="24"/>
          <w:szCs w:val="24"/>
        </w:rPr>
        <w:t>6</w:t>
      </w:r>
      <w:r w:rsidR="003944A0">
        <w:rPr>
          <w:rFonts w:ascii="Arial" w:hAnsi="Arial" w:cs="Arial"/>
          <w:sz w:val="24"/>
          <w:szCs w:val="24"/>
        </w:rPr>
        <w:t>0</w:t>
      </w:r>
      <w:r w:rsidRPr="00254ADC">
        <w:rPr>
          <w:rFonts w:ascii="Arial" w:hAnsi="Arial" w:cs="Arial"/>
          <w:sz w:val="24"/>
          <w:szCs w:val="24"/>
        </w:rPr>
        <w:t xml:space="preserve">m (PCC </w:t>
      </w:r>
      <w:r w:rsidR="007633E3" w:rsidRPr="00254ADC">
        <w:rPr>
          <w:rFonts w:ascii="Arial" w:hAnsi="Arial" w:cs="Arial"/>
          <w:sz w:val="24"/>
          <w:szCs w:val="24"/>
        </w:rPr>
        <w:t>reduced</w:t>
      </w:r>
      <w:r w:rsidRPr="00254ADC">
        <w:rPr>
          <w:rFonts w:ascii="Arial" w:hAnsi="Arial" w:cs="Arial"/>
          <w:sz w:val="24"/>
          <w:szCs w:val="24"/>
        </w:rPr>
        <w:t xml:space="preserve"> by £</w:t>
      </w:r>
      <w:r w:rsidR="007633E3" w:rsidRPr="00254ADC">
        <w:rPr>
          <w:rFonts w:ascii="Arial" w:hAnsi="Arial" w:cs="Arial"/>
          <w:sz w:val="24"/>
          <w:szCs w:val="24"/>
        </w:rPr>
        <w:t>7</w:t>
      </w:r>
      <w:r w:rsidRPr="00254ADC">
        <w:rPr>
          <w:rFonts w:ascii="Arial" w:hAnsi="Arial" w:cs="Arial"/>
          <w:sz w:val="24"/>
          <w:szCs w:val="24"/>
        </w:rPr>
        <w:t>.</w:t>
      </w:r>
      <w:r w:rsidR="00AB2E36">
        <w:rPr>
          <w:rFonts w:ascii="Arial" w:hAnsi="Arial" w:cs="Arial"/>
          <w:sz w:val="24"/>
          <w:szCs w:val="24"/>
        </w:rPr>
        <w:t>14</w:t>
      </w:r>
      <w:r w:rsidRPr="00254ADC">
        <w:rPr>
          <w:rFonts w:ascii="Arial" w:hAnsi="Arial" w:cs="Arial"/>
          <w:sz w:val="24"/>
          <w:szCs w:val="24"/>
        </w:rPr>
        <w:t xml:space="preserve">m): a </w:t>
      </w:r>
      <w:r w:rsidR="00254ADC" w:rsidRPr="00254ADC">
        <w:rPr>
          <w:rFonts w:ascii="Arial" w:hAnsi="Arial" w:cs="Arial"/>
          <w:sz w:val="24"/>
          <w:szCs w:val="24"/>
        </w:rPr>
        <w:t>decrease</w:t>
      </w:r>
      <w:r w:rsidRPr="00254ADC">
        <w:rPr>
          <w:rFonts w:ascii="Arial" w:hAnsi="Arial" w:cs="Arial"/>
          <w:sz w:val="24"/>
          <w:szCs w:val="24"/>
        </w:rPr>
        <w:t xml:space="preserve"> in usable reserves of £</w:t>
      </w:r>
      <w:r w:rsidR="00254ADC" w:rsidRPr="00254ADC">
        <w:rPr>
          <w:rFonts w:ascii="Arial" w:hAnsi="Arial" w:cs="Arial"/>
          <w:sz w:val="24"/>
          <w:szCs w:val="24"/>
        </w:rPr>
        <w:t>2</w:t>
      </w:r>
      <w:r w:rsidRPr="00254ADC">
        <w:rPr>
          <w:rFonts w:ascii="Arial" w:hAnsi="Arial" w:cs="Arial"/>
          <w:sz w:val="24"/>
          <w:szCs w:val="24"/>
        </w:rPr>
        <w:t>.</w:t>
      </w:r>
      <w:r w:rsidR="003944A0">
        <w:rPr>
          <w:rFonts w:ascii="Arial" w:hAnsi="Arial" w:cs="Arial"/>
          <w:sz w:val="24"/>
          <w:szCs w:val="24"/>
        </w:rPr>
        <w:t>2</w:t>
      </w:r>
      <w:r w:rsidR="00AB2E36">
        <w:rPr>
          <w:rFonts w:ascii="Arial" w:hAnsi="Arial" w:cs="Arial"/>
          <w:sz w:val="24"/>
          <w:szCs w:val="24"/>
        </w:rPr>
        <w:t>8</w:t>
      </w:r>
      <w:r w:rsidRPr="00254ADC">
        <w:rPr>
          <w:rFonts w:ascii="Arial" w:hAnsi="Arial" w:cs="Arial"/>
          <w:sz w:val="24"/>
          <w:szCs w:val="24"/>
        </w:rPr>
        <w:t xml:space="preserve">m (PCC </w:t>
      </w:r>
      <w:r w:rsidR="004D5349">
        <w:rPr>
          <w:rFonts w:ascii="Arial" w:hAnsi="Arial" w:cs="Arial"/>
          <w:sz w:val="24"/>
          <w:szCs w:val="24"/>
        </w:rPr>
        <w:t>reduce</w:t>
      </w:r>
      <w:r w:rsidRPr="00254ADC">
        <w:rPr>
          <w:rFonts w:ascii="Arial" w:hAnsi="Arial" w:cs="Arial"/>
          <w:sz w:val="24"/>
          <w:szCs w:val="24"/>
        </w:rPr>
        <w:t>d by £</w:t>
      </w:r>
      <w:r w:rsidR="00254ADC" w:rsidRPr="00254ADC">
        <w:rPr>
          <w:rFonts w:ascii="Arial" w:hAnsi="Arial" w:cs="Arial"/>
          <w:sz w:val="24"/>
          <w:szCs w:val="24"/>
        </w:rPr>
        <w:t>2</w:t>
      </w:r>
      <w:r w:rsidRPr="00254ADC">
        <w:rPr>
          <w:rFonts w:ascii="Arial" w:hAnsi="Arial" w:cs="Arial"/>
          <w:sz w:val="24"/>
          <w:szCs w:val="24"/>
        </w:rPr>
        <w:t>.</w:t>
      </w:r>
      <w:r w:rsidR="003944A0">
        <w:rPr>
          <w:rFonts w:ascii="Arial" w:hAnsi="Arial" w:cs="Arial"/>
          <w:sz w:val="24"/>
          <w:szCs w:val="24"/>
        </w:rPr>
        <w:t>2</w:t>
      </w:r>
      <w:r w:rsidR="00AB2E36">
        <w:rPr>
          <w:rFonts w:ascii="Arial" w:hAnsi="Arial" w:cs="Arial"/>
          <w:sz w:val="24"/>
          <w:szCs w:val="24"/>
        </w:rPr>
        <w:t>8</w:t>
      </w:r>
      <w:r w:rsidRPr="00254ADC">
        <w:rPr>
          <w:rFonts w:ascii="Arial" w:hAnsi="Arial" w:cs="Arial"/>
          <w:sz w:val="24"/>
          <w:szCs w:val="24"/>
        </w:rPr>
        <w:t>m)</w:t>
      </w:r>
      <w:r w:rsidRPr="00A2081B">
        <w:rPr>
          <w:rFonts w:ascii="Arial" w:hAnsi="Arial" w:cs="Arial"/>
          <w:sz w:val="24"/>
          <w:szCs w:val="24"/>
        </w:rPr>
        <w:t xml:space="preserve"> and </w:t>
      </w:r>
      <w:r w:rsidR="00DB2AFC">
        <w:rPr>
          <w:rFonts w:ascii="Arial" w:hAnsi="Arial" w:cs="Arial"/>
          <w:sz w:val="24"/>
          <w:szCs w:val="24"/>
        </w:rPr>
        <w:t>an incre</w:t>
      </w:r>
      <w:r w:rsidR="00583128">
        <w:rPr>
          <w:rFonts w:ascii="Arial" w:hAnsi="Arial" w:cs="Arial"/>
          <w:sz w:val="24"/>
          <w:szCs w:val="24"/>
        </w:rPr>
        <w:t>ase</w:t>
      </w:r>
      <w:r w:rsidRPr="00A2081B">
        <w:rPr>
          <w:rFonts w:ascii="Arial" w:hAnsi="Arial" w:cs="Arial"/>
          <w:sz w:val="24"/>
          <w:szCs w:val="24"/>
        </w:rPr>
        <w:t xml:space="preserve"> in unusable reserves of </w:t>
      </w:r>
      <w:r w:rsidRPr="000E1FDC">
        <w:rPr>
          <w:rFonts w:ascii="Arial" w:hAnsi="Arial" w:cs="Arial"/>
          <w:sz w:val="24"/>
          <w:szCs w:val="24"/>
        </w:rPr>
        <w:t>£</w:t>
      </w:r>
      <w:r w:rsidR="002C2EC9" w:rsidRPr="000E1FDC">
        <w:rPr>
          <w:rFonts w:ascii="Arial" w:hAnsi="Arial" w:cs="Arial"/>
          <w:sz w:val="24"/>
          <w:szCs w:val="24"/>
        </w:rPr>
        <w:t>369</w:t>
      </w:r>
      <w:r w:rsidRPr="000E1FDC">
        <w:rPr>
          <w:rFonts w:ascii="Arial" w:hAnsi="Arial" w:cs="Arial"/>
          <w:sz w:val="24"/>
          <w:szCs w:val="24"/>
        </w:rPr>
        <w:t>.</w:t>
      </w:r>
      <w:r w:rsidR="001C4ED2">
        <w:rPr>
          <w:rFonts w:ascii="Arial" w:hAnsi="Arial" w:cs="Arial"/>
          <w:sz w:val="24"/>
          <w:szCs w:val="24"/>
        </w:rPr>
        <w:t>88</w:t>
      </w:r>
      <w:r w:rsidRPr="000E1FDC">
        <w:rPr>
          <w:rFonts w:ascii="Arial" w:hAnsi="Arial" w:cs="Arial"/>
          <w:sz w:val="24"/>
          <w:szCs w:val="24"/>
        </w:rPr>
        <w:t>m</w:t>
      </w:r>
      <w:r w:rsidRPr="00A2081B">
        <w:rPr>
          <w:rFonts w:ascii="Arial" w:hAnsi="Arial" w:cs="Arial"/>
          <w:sz w:val="24"/>
          <w:szCs w:val="24"/>
        </w:rPr>
        <w:t xml:space="preserve"> (PCC </w:t>
      </w:r>
      <w:r w:rsidR="004D5349">
        <w:rPr>
          <w:rFonts w:ascii="Arial" w:hAnsi="Arial" w:cs="Arial"/>
          <w:sz w:val="24"/>
          <w:szCs w:val="24"/>
        </w:rPr>
        <w:t>reduce</w:t>
      </w:r>
      <w:r w:rsidR="001F2277">
        <w:rPr>
          <w:rFonts w:ascii="Arial" w:hAnsi="Arial" w:cs="Arial"/>
          <w:sz w:val="24"/>
          <w:szCs w:val="24"/>
        </w:rPr>
        <w:t>d</w:t>
      </w:r>
      <w:r w:rsidRPr="00A2081B">
        <w:rPr>
          <w:rFonts w:ascii="Arial" w:hAnsi="Arial" w:cs="Arial"/>
          <w:sz w:val="24"/>
          <w:szCs w:val="24"/>
        </w:rPr>
        <w:t xml:space="preserve"> </w:t>
      </w:r>
      <w:r w:rsidRPr="001F2277">
        <w:rPr>
          <w:rFonts w:ascii="Arial" w:hAnsi="Arial" w:cs="Arial"/>
          <w:sz w:val="24"/>
          <w:szCs w:val="24"/>
        </w:rPr>
        <w:t>by £</w:t>
      </w:r>
      <w:r w:rsidR="001C4ED2">
        <w:rPr>
          <w:rFonts w:ascii="Arial" w:hAnsi="Arial" w:cs="Arial"/>
          <w:sz w:val="24"/>
          <w:szCs w:val="24"/>
        </w:rPr>
        <w:t>4</w:t>
      </w:r>
      <w:r w:rsidRPr="001F2277">
        <w:rPr>
          <w:rFonts w:ascii="Arial" w:hAnsi="Arial" w:cs="Arial"/>
          <w:sz w:val="24"/>
          <w:szCs w:val="24"/>
        </w:rPr>
        <w:t>.</w:t>
      </w:r>
      <w:r w:rsidR="001C4ED2">
        <w:rPr>
          <w:rFonts w:ascii="Arial" w:hAnsi="Arial" w:cs="Arial"/>
          <w:sz w:val="24"/>
          <w:szCs w:val="24"/>
        </w:rPr>
        <w:t>86</w:t>
      </w:r>
      <w:r w:rsidRPr="001F2277">
        <w:rPr>
          <w:rFonts w:ascii="Arial" w:hAnsi="Arial" w:cs="Arial"/>
          <w:sz w:val="24"/>
          <w:szCs w:val="24"/>
        </w:rPr>
        <w:t>m).</w:t>
      </w:r>
    </w:p>
    <w:p w14:paraId="534AD5E3" w14:textId="77777777" w:rsidR="00F5659C" w:rsidRDefault="00F5659C" w:rsidP="008D5FD2">
      <w:pPr>
        <w:jc w:val="both"/>
        <w:rPr>
          <w:rFonts w:ascii="Arial" w:hAnsi="Arial" w:cs="Arial"/>
          <w:sz w:val="24"/>
          <w:szCs w:val="24"/>
        </w:rPr>
      </w:pPr>
    </w:p>
    <w:p w14:paraId="4852B7ED" w14:textId="66CCF2FE" w:rsidR="00F5659C" w:rsidRPr="00B018C9" w:rsidRDefault="00F5659C" w:rsidP="008D5FD2">
      <w:pPr>
        <w:jc w:val="both"/>
        <w:rPr>
          <w:rFonts w:ascii="Arial" w:hAnsi="Arial" w:cs="Arial"/>
          <w:sz w:val="24"/>
          <w:szCs w:val="24"/>
        </w:rPr>
      </w:pPr>
      <w:r>
        <w:rPr>
          <w:rFonts w:ascii="Arial" w:hAnsi="Arial" w:cs="Arial"/>
          <w:sz w:val="24"/>
          <w:szCs w:val="24"/>
        </w:rPr>
        <w:t>The increase in unusable reserves is primarily due to an increase in the Pension Reserve of £37</w:t>
      </w:r>
      <w:r w:rsidR="00A31F79">
        <w:rPr>
          <w:rFonts w:ascii="Arial" w:hAnsi="Arial" w:cs="Arial"/>
          <w:sz w:val="24"/>
          <w:szCs w:val="24"/>
        </w:rPr>
        <w:t>3.4m which is offset by minimal changes within the other Reserves. These are detailed within the Unusable Reserves Notes in the accounts.</w:t>
      </w:r>
    </w:p>
    <w:p w14:paraId="18A03085" w14:textId="77777777" w:rsidR="008D5FD2" w:rsidRPr="00B018C9" w:rsidRDefault="008D5FD2" w:rsidP="008D5FD2">
      <w:pPr>
        <w:jc w:val="both"/>
        <w:rPr>
          <w:rFonts w:ascii="Arial" w:hAnsi="Arial" w:cs="Arial"/>
          <w:b/>
          <w:sz w:val="24"/>
          <w:szCs w:val="24"/>
          <w:highlight w:val="yellow"/>
        </w:rPr>
      </w:pPr>
    </w:p>
    <w:p w14:paraId="54721D2E" w14:textId="77777777" w:rsidR="008D5FD2" w:rsidRDefault="008D5FD2" w:rsidP="008D5FD2">
      <w:pPr>
        <w:jc w:val="both"/>
        <w:rPr>
          <w:rFonts w:ascii="Arial" w:hAnsi="Arial" w:cs="Arial"/>
          <w:sz w:val="24"/>
          <w:szCs w:val="24"/>
        </w:rPr>
      </w:pPr>
      <w:r w:rsidRPr="00B018C9">
        <w:rPr>
          <w:rFonts w:ascii="Arial" w:hAnsi="Arial" w:cs="Arial"/>
          <w:b/>
          <w:sz w:val="24"/>
          <w:szCs w:val="24"/>
        </w:rPr>
        <w:t>Balance Sheets</w:t>
      </w:r>
      <w:r w:rsidRPr="00B018C9">
        <w:rPr>
          <w:rFonts w:ascii="Arial" w:hAnsi="Arial" w:cs="Arial"/>
          <w:sz w:val="24"/>
          <w:szCs w:val="24"/>
        </w:rPr>
        <w:t xml:space="preserve"> </w:t>
      </w:r>
      <w:r w:rsidRPr="00B018C9">
        <w:rPr>
          <w:rFonts w:ascii="Arial" w:hAnsi="Arial" w:cs="Arial"/>
          <w:b/>
          <w:sz w:val="24"/>
          <w:szCs w:val="24"/>
        </w:rPr>
        <w:t>for the</w:t>
      </w:r>
      <w:r w:rsidRPr="00B018C9">
        <w:rPr>
          <w:rFonts w:ascii="Arial" w:hAnsi="Arial" w:cs="Arial"/>
          <w:sz w:val="24"/>
          <w:szCs w:val="24"/>
        </w:rPr>
        <w:t xml:space="preserve"> </w:t>
      </w:r>
      <w:r w:rsidRPr="00B018C9">
        <w:rPr>
          <w:rFonts w:ascii="Arial" w:hAnsi="Arial" w:cs="Arial"/>
          <w:b/>
          <w:sz w:val="24"/>
          <w:szCs w:val="24"/>
        </w:rPr>
        <w:t>PCC and the PCC Group</w:t>
      </w:r>
    </w:p>
    <w:p w14:paraId="38D656C3" w14:textId="77777777" w:rsidR="008D5FD2" w:rsidRPr="00B018C9" w:rsidRDefault="008D5FD2" w:rsidP="008D5FD2">
      <w:pPr>
        <w:jc w:val="both"/>
        <w:rPr>
          <w:rFonts w:ascii="Arial" w:hAnsi="Arial" w:cs="Arial"/>
          <w:sz w:val="24"/>
          <w:szCs w:val="24"/>
        </w:rPr>
      </w:pPr>
      <w:r w:rsidRPr="00B018C9">
        <w:rPr>
          <w:rFonts w:ascii="Arial" w:hAnsi="Arial" w:cs="Arial"/>
          <w:sz w:val="24"/>
          <w:szCs w:val="24"/>
        </w:rPr>
        <w:t xml:space="preserve">These statements show the value as at the balance sheet date of the assets and liabilities recognised by the PCC and the PCC Group. Net assets (assets less liabilities) are matched by the reserves held by the PCC. </w:t>
      </w:r>
    </w:p>
    <w:bookmarkEnd w:id="4"/>
    <w:p w14:paraId="11CB43A5" w14:textId="77777777" w:rsidR="008D5FD2" w:rsidRPr="00B018C9" w:rsidRDefault="008D5FD2" w:rsidP="008D5FD2">
      <w:pPr>
        <w:jc w:val="both"/>
        <w:rPr>
          <w:rFonts w:ascii="Arial" w:hAnsi="Arial" w:cs="Arial"/>
          <w:sz w:val="24"/>
          <w:szCs w:val="24"/>
        </w:rPr>
      </w:pPr>
    </w:p>
    <w:p w14:paraId="3DEECB63" w14:textId="77777777" w:rsidR="008D5FD2" w:rsidRDefault="008D5FD2" w:rsidP="008D5FD2">
      <w:pPr>
        <w:jc w:val="both"/>
        <w:rPr>
          <w:rFonts w:ascii="Arial" w:hAnsi="Arial" w:cs="Arial"/>
          <w:sz w:val="24"/>
          <w:szCs w:val="24"/>
        </w:rPr>
      </w:pPr>
      <w:bookmarkStart w:id="5" w:name="_Hlk106955195"/>
      <w:r w:rsidRPr="00B018C9">
        <w:rPr>
          <w:rFonts w:ascii="Arial" w:hAnsi="Arial" w:cs="Arial"/>
          <w:b/>
          <w:sz w:val="24"/>
          <w:szCs w:val="24"/>
        </w:rPr>
        <w:t>Cash Flow Statements</w:t>
      </w:r>
      <w:r w:rsidRPr="00B018C9">
        <w:rPr>
          <w:rFonts w:ascii="Arial" w:hAnsi="Arial" w:cs="Arial"/>
          <w:sz w:val="24"/>
          <w:szCs w:val="24"/>
        </w:rPr>
        <w:t xml:space="preserve"> </w:t>
      </w:r>
      <w:r w:rsidRPr="00B018C9">
        <w:rPr>
          <w:rFonts w:ascii="Arial" w:hAnsi="Arial" w:cs="Arial"/>
          <w:b/>
          <w:sz w:val="24"/>
          <w:szCs w:val="24"/>
        </w:rPr>
        <w:t>for the PCC and the PCC Group</w:t>
      </w:r>
    </w:p>
    <w:p w14:paraId="0CFD6285" w14:textId="0C21AFA0" w:rsidR="008D5FD2" w:rsidRPr="00B018C9" w:rsidRDefault="008D5FD2" w:rsidP="008D5FD2">
      <w:pPr>
        <w:jc w:val="both"/>
        <w:rPr>
          <w:rFonts w:ascii="Arial" w:hAnsi="Arial" w:cs="Arial"/>
          <w:sz w:val="24"/>
          <w:szCs w:val="24"/>
        </w:rPr>
      </w:pPr>
      <w:r w:rsidRPr="00B018C9">
        <w:rPr>
          <w:rFonts w:ascii="Arial" w:hAnsi="Arial" w:cs="Arial"/>
          <w:sz w:val="24"/>
          <w:szCs w:val="24"/>
        </w:rPr>
        <w:t>These statements show the changes in cash and cash equivalents of the PCC during the reporting period. The statements show how the PCC generates and uses cash and cash equivalents by classifying cash flows as operating, investing, and financing activities. The statements show a</w:t>
      </w:r>
      <w:r w:rsidR="00BF47AB">
        <w:rPr>
          <w:rFonts w:ascii="Arial" w:hAnsi="Arial" w:cs="Arial"/>
          <w:sz w:val="24"/>
          <w:szCs w:val="24"/>
        </w:rPr>
        <w:t>n</w:t>
      </w:r>
      <w:r w:rsidRPr="00B018C9">
        <w:rPr>
          <w:rFonts w:ascii="Arial" w:hAnsi="Arial" w:cs="Arial"/>
          <w:sz w:val="24"/>
          <w:szCs w:val="24"/>
        </w:rPr>
        <w:t xml:space="preserve"> </w:t>
      </w:r>
      <w:r w:rsidR="00B161FC">
        <w:rPr>
          <w:rFonts w:ascii="Arial" w:hAnsi="Arial" w:cs="Arial"/>
          <w:sz w:val="24"/>
          <w:szCs w:val="24"/>
        </w:rPr>
        <w:t>increase</w:t>
      </w:r>
      <w:r w:rsidRPr="00B018C9">
        <w:rPr>
          <w:rFonts w:ascii="Arial" w:hAnsi="Arial" w:cs="Arial"/>
          <w:sz w:val="24"/>
          <w:szCs w:val="24"/>
        </w:rPr>
        <w:t xml:space="preserve"> in cash and cash equivalents during </w:t>
      </w:r>
      <w:r>
        <w:rPr>
          <w:rFonts w:ascii="Arial" w:hAnsi="Arial" w:cs="Arial"/>
          <w:sz w:val="24"/>
          <w:szCs w:val="24"/>
        </w:rPr>
        <w:t>2024/25</w:t>
      </w:r>
      <w:r w:rsidRPr="00B018C9">
        <w:rPr>
          <w:rFonts w:ascii="Arial" w:hAnsi="Arial" w:cs="Arial"/>
          <w:sz w:val="24"/>
          <w:szCs w:val="24"/>
        </w:rPr>
        <w:t xml:space="preserve"> </w:t>
      </w:r>
      <w:r w:rsidRPr="009B19FB">
        <w:rPr>
          <w:rFonts w:ascii="Arial" w:hAnsi="Arial" w:cs="Arial"/>
          <w:sz w:val="24"/>
          <w:szCs w:val="24"/>
        </w:rPr>
        <w:t xml:space="preserve">from </w:t>
      </w:r>
      <w:r w:rsidRPr="00E53BDD">
        <w:rPr>
          <w:rFonts w:ascii="Arial" w:hAnsi="Arial" w:cs="Arial"/>
          <w:sz w:val="24"/>
          <w:szCs w:val="24"/>
        </w:rPr>
        <w:t>£</w:t>
      </w:r>
      <w:r w:rsidR="00E42CFD">
        <w:rPr>
          <w:rFonts w:ascii="Arial" w:hAnsi="Arial" w:cs="Arial"/>
          <w:sz w:val="24"/>
          <w:szCs w:val="24"/>
        </w:rPr>
        <w:t>4</w:t>
      </w:r>
      <w:r w:rsidRPr="00E53BDD">
        <w:rPr>
          <w:rFonts w:ascii="Arial" w:hAnsi="Arial" w:cs="Arial"/>
          <w:sz w:val="24"/>
          <w:szCs w:val="24"/>
        </w:rPr>
        <w:t>.</w:t>
      </w:r>
      <w:r w:rsidR="003D6453">
        <w:rPr>
          <w:rFonts w:ascii="Arial" w:hAnsi="Arial" w:cs="Arial"/>
          <w:sz w:val="24"/>
          <w:szCs w:val="24"/>
        </w:rPr>
        <w:t>6</w:t>
      </w:r>
      <w:r w:rsidRPr="00E53BDD">
        <w:rPr>
          <w:rFonts w:ascii="Arial" w:hAnsi="Arial" w:cs="Arial"/>
          <w:sz w:val="24"/>
          <w:szCs w:val="24"/>
        </w:rPr>
        <w:t>m</w:t>
      </w:r>
      <w:r w:rsidRPr="00707990">
        <w:rPr>
          <w:rFonts w:ascii="Arial" w:hAnsi="Arial" w:cs="Arial"/>
          <w:sz w:val="24"/>
          <w:szCs w:val="24"/>
        </w:rPr>
        <w:t xml:space="preserve"> at 31 March 202</w:t>
      </w:r>
      <w:r>
        <w:rPr>
          <w:rFonts w:ascii="Arial" w:hAnsi="Arial" w:cs="Arial"/>
          <w:sz w:val="24"/>
          <w:szCs w:val="24"/>
        </w:rPr>
        <w:t>4</w:t>
      </w:r>
      <w:r w:rsidRPr="00707990">
        <w:rPr>
          <w:rFonts w:ascii="Arial" w:hAnsi="Arial" w:cs="Arial"/>
          <w:sz w:val="24"/>
          <w:szCs w:val="24"/>
        </w:rPr>
        <w:t xml:space="preserve"> to £</w:t>
      </w:r>
      <w:r w:rsidR="00B161FC">
        <w:rPr>
          <w:rFonts w:ascii="Arial" w:hAnsi="Arial" w:cs="Arial"/>
          <w:sz w:val="24"/>
          <w:szCs w:val="24"/>
        </w:rPr>
        <w:t>11.</w:t>
      </w:r>
      <w:r w:rsidR="00B161FC" w:rsidRPr="00B161FC">
        <w:rPr>
          <w:rFonts w:ascii="Arial" w:hAnsi="Arial" w:cs="Arial"/>
          <w:sz w:val="24"/>
          <w:szCs w:val="24"/>
        </w:rPr>
        <w:t>9</w:t>
      </w:r>
      <w:r w:rsidRPr="00B161FC">
        <w:rPr>
          <w:rFonts w:ascii="Arial" w:hAnsi="Arial" w:cs="Arial"/>
          <w:sz w:val="24"/>
          <w:szCs w:val="24"/>
        </w:rPr>
        <w:t>m</w:t>
      </w:r>
      <w:r w:rsidRPr="00707990">
        <w:rPr>
          <w:rFonts w:ascii="Arial" w:hAnsi="Arial" w:cs="Arial"/>
          <w:sz w:val="24"/>
          <w:szCs w:val="24"/>
        </w:rPr>
        <w:t xml:space="preserve"> at 31 March 202</w:t>
      </w:r>
      <w:r>
        <w:rPr>
          <w:rFonts w:ascii="Arial" w:hAnsi="Arial" w:cs="Arial"/>
          <w:sz w:val="24"/>
          <w:szCs w:val="24"/>
        </w:rPr>
        <w:t>5</w:t>
      </w:r>
      <w:r w:rsidRPr="00707990">
        <w:rPr>
          <w:rFonts w:ascii="Arial" w:hAnsi="Arial" w:cs="Arial"/>
          <w:sz w:val="24"/>
          <w:szCs w:val="24"/>
        </w:rPr>
        <w:t>.</w:t>
      </w:r>
    </w:p>
    <w:bookmarkEnd w:id="5"/>
    <w:p w14:paraId="6FB93BB7" w14:textId="77777777" w:rsidR="008D5FD2" w:rsidRPr="00B018C9" w:rsidRDefault="008D5FD2" w:rsidP="008D5FD2">
      <w:pPr>
        <w:jc w:val="both"/>
        <w:rPr>
          <w:rFonts w:ascii="Arial" w:hAnsi="Arial" w:cs="Arial"/>
          <w:sz w:val="24"/>
          <w:szCs w:val="24"/>
          <w:highlight w:val="yellow"/>
        </w:rPr>
      </w:pPr>
      <w:r w:rsidRPr="00B018C9">
        <w:rPr>
          <w:rFonts w:ascii="Arial" w:hAnsi="Arial" w:cs="Arial"/>
          <w:sz w:val="24"/>
          <w:szCs w:val="24"/>
          <w:highlight w:val="yellow"/>
        </w:rPr>
        <w:t xml:space="preserve"> </w:t>
      </w:r>
    </w:p>
    <w:p w14:paraId="3034CC8C" w14:textId="77777777" w:rsidR="008D5FD2" w:rsidRDefault="008D5FD2" w:rsidP="008D5FD2">
      <w:pPr>
        <w:jc w:val="both"/>
        <w:rPr>
          <w:rFonts w:ascii="Arial" w:hAnsi="Arial" w:cs="Arial"/>
          <w:sz w:val="24"/>
          <w:szCs w:val="24"/>
        </w:rPr>
      </w:pPr>
      <w:r w:rsidRPr="00B018C9">
        <w:rPr>
          <w:rFonts w:ascii="Arial" w:hAnsi="Arial" w:cs="Arial"/>
          <w:b/>
          <w:sz w:val="24"/>
          <w:szCs w:val="24"/>
        </w:rPr>
        <w:t>Auditor's Report</w:t>
      </w:r>
    </w:p>
    <w:p w14:paraId="7497F471" w14:textId="77777777" w:rsidR="008D5FD2" w:rsidRPr="00B018C9" w:rsidRDefault="008D5FD2" w:rsidP="008D5FD2">
      <w:pPr>
        <w:jc w:val="both"/>
        <w:rPr>
          <w:rFonts w:ascii="Arial" w:hAnsi="Arial" w:cs="Arial"/>
          <w:sz w:val="24"/>
          <w:szCs w:val="24"/>
        </w:rPr>
      </w:pPr>
      <w:r w:rsidRPr="00B018C9">
        <w:rPr>
          <w:rFonts w:ascii="Arial" w:hAnsi="Arial" w:cs="Arial"/>
          <w:sz w:val="24"/>
          <w:szCs w:val="24"/>
        </w:rPr>
        <w:t xml:space="preserve">This sets out the opinion of the PCC's external auditor on whether the Accounts present a true and fair view of the financial position and operations of the PCC and the PCC Group for </w:t>
      </w:r>
      <w:r>
        <w:rPr>
          <w:rFonts w:ascii="Arial" w:hAnsi="Arial" w:cs="Arial"/>
          <w:sz w:val="24"/>
          <w:szCs w:val="24"/>
        </w:rPr>
        <w:t>2024/25</w:t>
      </w:r>
      <w:r w:rsidRPr="00B018C9">
        <w:rPr>
          <w:rFonts w:ascii="Arial" w:hAnsi="Arial" w:cs="Arial"/>
          <w:sz w:val="24"/>
          <w:szCs w:val="24"/>
        </w:rPr>
        <w:t>.</w:t>
      </w:r>
    </w:p>
    <w:p w14:paraId="04898E3D" w14:textId="77777777" w:rsidR="008D5FD2" w:rsidRPr="00B018C9" w:rsidRDefault="008D5FD2" w:rsidP="008D5FD2">
      <w:pPr>
        <w:jc w:val="both"/>
        <w:rPr>
          <w:rFonts w:ascii="Arial" w:hAnsi="Arial" w:cs="Arial"/>
          <w:sz w:val="24"/>
          <w:szCs w:val="24"/>
          <w:highlight w:val="yellow"/>
        </w:rPr>
      </w:pPr>
    </w:p>
    <w:p w14:paraId="2C225EF4" w14:textId="77777777" w:rsidR="008D5FD2" w:rsidRDefault="008D5FD2" w:rsidP="008D5FD2">
      <w:pPr>
        <w:jc w:val="both"/>
        <w:rPr>
          <w:rFonts w:ascii="Arial" w:hAnsi="Arial" w:cs="Arial"/>
          <w:sz w:val="24"/>
          <w:szCs w:val="24"/>
        </w:rPr>
      </w:pPr>
      <w:r w:rsidRPr="00B018C9">
        <w:rPr>
          <w:rFonts w:ascii="Arial" w:hAnsi="Arial" w:cs="Arial"/>
          <w:b/>
          <w:sz w:val="24"/>
          <w:szCs w:val="24"/>
        </w:rPr>
        <w:t>Annual Governance Statement</w:t>
      </w:r>
    </w:p>
    <w:p w14:paraId="3DA1713C" w14:textId="77777777" w:rsidR="008D5FD2" w:rsidRPr="00B018C9" w:rsidRDefault="008D5FD2" w:rsidP="008D5FD2">
      <w:pPr>
        <w:jc w:val="both"/>
        <w:rPr>
          <w:rFonts w:ascii="Arial" w:hAnsi="Arial" w:cs="Arial"/>
          <w:sz w:val="24"/>
          <w:szCs w:val="24"/>
        </w:rPr>
      </w:pPr>
      <w:r w:rsidRPr="00B018C9">
        <w:rPr>
          <w:rFonts w:ascii="Arial" w:hAnsi="Arial" w:cs="Arial"/>
          <w:sz w:val="24"/>
          <w:szCs w:val="24"/>
        </w:rPr>
        <w:t xml:space="preserve">This is a statement by the PCC which states his position on governance issues, and which provides assurances on the systems of control which are maintained and on the </w:t>
      </w:r>
      <w:proofErr w:type="gramStart"/>
      <w:r w:rsidRPr="00B018C9">
        <w:rPr>
          <w:rFonts w:ascii="Arial" w:hAnsi="Arial" w:cs="Arial"/>
          <w:sz w:val="24"/>
          <w:szCs w:val="24"/>
        </w:rPr>
        <w:t>way</w:t>
      </w:r>
      <w:proofErr w:type="gramEnd"/>
      <w:r w:rsidRPr="00B018C9">
        <w:rPr>
          <w:rFonts w:ascii="Arial" w:hAnsi="Arial" w:cs="Arial"/>
          <w:sz w:val="24"/>
          <w:szCs w:val="24"/>
        </w:rPr>
        <w:t xml:space="preserve"> he conducts his business. </w:t>
      </w:r>
    </w:p>
    <w:p w14:paraId="7581E648" w14:textId="77777777" w:rsidR="008D5FD2" w:rsidRPr="00B018C9" w:rsidRDefault="008D5FD2" w:rsidP="008D5FD2">
      <w:pPr>
        <w:ind w:left="720"/>
        <w:jc w:val="both"/>
        <w:rPr>
          <w:rFonts w:ascii="Arial" w:hAnsi="Arial" w:cs="Arial"/>
          <w:sz w:val="24"/>
          <w:szCs w:val="24"/>
          <w:highlight w:val="yellow"/>
        </w:rPr>
      </w:pPr>
    </w:p>
    <w:p w14:paraId="136C500B" w14:textId="77777777" w:rsidR="008D5FD2" w:rsidRPr="00B018C9" w:rsidRDefault="008D5FD2" w:rsidP="008D5FD2">
      <w:pPr>
        <w:jc w:val="both"/>
        <w:rPr>
          <w:rFonts w:ascii="Arial" w:hAnsi="Arial" w:cs="Arial"/>
          <w:sz w:val="24"/>
          <w:szCs w:val="24"/>
        </w:rPr>
      </w:pPr>
      <w:r w:rsidRPr="00B018C9">
        <w:rPr>
          <w:rFonts w:ascii="Arial" w:hAnsi="Arial" w:cs="Arial"/>
          <w:sz w:val="24"/>
          <w:szCs w:val="24"/>
        </w:rPr>
        <w:t xml:space="preserve">As the PCC Group position presents the most meaningful picture, from a reader's perspective, of the activities of the PCC and the CC, where there is a separate statement or note for the PCC and the PCC Group the order of presentation will be the PCC Group followed by the single entity PCC statement or note. </w:t>
      </w:r>
    </w:p>
    <w:p w14:paraId="3D478173" w14:textId="77777777" w:rsidR="008D5FD2" w:rsidRPr="00B018C9" w:rsidRDefault="008D5FD2" w:rsidP="008D5FD2">
      <w:pPr>
        <w:jc w:val="both"/>
        <w:rPr>
          <w:rFonts w:ascii="Arial" w:hAnsi="Arial" w:cs="Arial"/>
          <w:sz w:val="24"/>
          <w:szCs w:val="24"/>
          <w:highlight w:val="yellow"/>
        </w:rPr>
      </w:pPr>
    </w:p>
    <w:p w14:paraId="3FA76B50" w14:textId="77777777" w:rsidR="00D80A06" w:rsidRDefault="00D80A06">
      <w:pPr>
        <w:rPr>
          <w:rFonts w:ascii="Arial" w:hAnsi="Arial" w:cs="Arial"/>
          <w:b/>
          <w:sz w:val="24"/>
          <w:szCs w:val="24"/>
        </w:rPr>
      </w:pPr>
      <w:r>
        <w:rPr>
          <w:rFonts w:ascii="Arial" w:hAnsi="Arial" w:cs="Arial"/>
          <w:b/>
          <w:sz w:val="24"/>
          <w:szCs w:val="24"/>
        </w:rPr>
        <w:br w:type="page"/>
      </w:r>
    </w:p>
    <w:p w14:paraId="12100EE5" w14:textId="572BA009" w:rsidR="008D5FD2" w:rsidRPr="00B018C9" w:rsidRDefault="008D5FD2" w:rsidP="008D5FD2">
      <w:pPr>
        <w:jc w:val="both"/>
        <w:rPr>
          <w:rFonts w:ascii="Arial" w:hAnsi="Arial" w:cs="Arial"/>
          <w:b/>
          <w:sz w:val="24"/>
          <w:szCs w:val="24"/>
        </w:rPr>
      </w:pPr>
      <w:r w:rsidRPr="00B018C9">
        <w:rPr>
          <w:rFonts w:ascii="Arial" w:hAnsi="Arial" w:cs="Arial"/>
          <w:b/>
          <w:sz w:val="24"/>
          <w:szCs w:val="24"/>
        </w:rPr>
        <w:lastRenderedPageBreak/>
        <w:t xml:space="preserve">Review of </w:t>
      </w:r>
      <w:r>
        <w:rPr>
          <w:rFonts w:ascii="Arial" w:hAnsi="Arial" w:cs="Arial"/>
          <w:b/>
          <w:sz w:val="24"/>
          <w:szCs w:val="24"/>
        </w:rPr>
        <w:t>2024/25</w:t>
      </w:r>
    </w:p>
    <w:p w14:paraId="0D1813ED" w14:textId="77777777" w:rsidR="008D5FD2" w:rsidRPr="00B018C9" w:rsidRDefault="008D5FD2" w:rsidP="008D5FD2">
      <w:pPr>
        <w:jc w:val="both"/>
        <w:rPr>
          <w:rFonts w:ascii="Arial" w:hAnsi="Arial" w:cs="Arial"/>
          <w:sz w:val="24"/>
          <w:szCs w:val="24"/>
          <w:highlight w:val="yellow"/>
        </w:rPr>
      </w:pPr>
    </w:p>
    <w:p w14:paraId="6FC12F6E" w14:textId="19410886" w:rsidR="008D5FD2" w:rsidRPr="00B018C9" w:rsidRDefault="008D5FD2" w:rsidP="008D5FD2">
      <w:pPr>
        <w:tabs>
          <w:tab w:val="left" w:pos="5110"/>
        </w:tabs>
        <w:spacing w:after="160" w:line="256" w:lineRule="auto"/>
        <w:jc w:val="both"/>
        <w:rPr>
          <w:rFonts w:ascii="Arial" w:eastAsia="Calibri" w:hAnsi="Arial" w:cs="Arial"/>
          <w:sz w:val="24"/>
          <w:szCs w:val="24"/>
          <w:lang w:eastAsia="en-US"/>
        </w:rPr>
      </w:pPr>
      <w:r w:rsidRPr="00E53BDD">
        <w:rPr>
          <w:rFonts w:ascii="Arial" w:eastAsia="Calibri" w:hAnsi="Arial" w:cs="Arial"/>
          <w:sz w:val="24"/>
          <w:szCs w:val="24"/>
          <w:lang w:eastAsia="en-US"/>
        </w:rPr>
        <w:t xml:space="preserve">The </w:t>
      </w:r>
      <w:r w:rsidRPr="004D5349">
        <w:rPr>
          <w:rFonts w:ascii="Arial" w:hAnsi="Arial" w:cs="Arial"/>
          <w:sz w:val="24"/>
          <w:szCs w:val="24"/>
        </w:rPr>
        <w:t>PCC's Police and Crime Plan 2024-2029</w:t>
      </w:r>
      <w:r w:rsidRPr="00E53BDD">
        <w:rPr>
          <w:rFonts w:ascii="Arial" w:hAnsi="Arial" w:cs="Arial"/>
          <w:sz w:val="24"/>
          <w:szCs w:val="24"/>
        </w:rPr>
        <w:t xml:space="preserve"> </w:t>
      </w:r>
      <w:proofErr w:type="gramStart"/>
      <w:r w:rsidRPr="00E53BDD">
        <w:rPr>
          <w:rFonts w:ascii="Arial" w:eastAsia="Calibri" w:hAnsi="Arial" w:cs="Arial"/>
          <w:sz w:val="24"/>
          <w:szCs w:val="24"/>
          <w:lang w:eastAsia="en-US"/>
        </w:rPr>
        <w:t>identifies</w:t>
      </w:r>
      <w:proofErr w:type="gramEnd"/>
      <w:r w:rsidRPr="00B018C9">
        <w:rPr>
          <w:rFonts w:ascii="Arial" w:eastAsia="Calibri" w:hAnsi="Arial" w:cs="Arial"/>
          <w:sz w:val="24"/>
          <w:szCs w:val="24"/>
          <w:lang w:eastAsia="en-US"/>
        </w:rPr>
        <w:t xml:space="preserve"> five priorities:</w:t>
      </w:r>
    </w:p>
    <w:p w14:paraId="614581F9" w14:textId="77777777" w:rsidR="008D5FD2" w:rsidRPr="00B018C9" w:rsidRDefault="008D5FD2" w:rsidP="004E2882">
      <w:pPr>
        <w:pStyle w:val="ListParagraph"/>
        <w:numPr>
          <w:ilvl w:val="0"/>
          <w:numId w:val="46"/>
        </w:numPr>
        <w:tabs>
          <w:tab w:val="left" w:pos="5110"/>
        </w:tabs>
        <w:spacing w:after="160" w:line="256" w:lineRule="auto"/>
        <w:jc w:val="both"/>
        <w:rPr>
          <w:rFonts w:ascii="Arial" w:hAnsi="Arial" w:cs="Arial"/>
          <w:sz w:val="24"/>
          <w:szCs w:val="24"/>
        </w:rPr>
      </w:pPr>
      <w:r>
        <w:rPr>
          <w:rFonts w:ascii="Arial" w:hAnsi="Arial" w:cs="Arial"/>
          <w:sz w:val="24"/>
          <w:szCs w:val="24"/>
        </w:rPr>
        <w:t>Prevent Violence Against Women and Girls</w:t>
      </w:r>
    </w:p>
    <w:p w14:paraId="429826C4" w14:textId="77777777" w:rsidR="008D5FD2" w:rsidRPr="00B018C9" w:rsidRDefault="008D5FD2" w:rsidP="004E2882">
      <w:pPr>
        <w:pStyle w:val="ListParagraph"/>
        <w:numPr>
          <w:ilvl w:val="0"/>
          <w:numId w:val="46"/>
        </w:numPr>
        <w:tabs>
          <w:tab w:val="left" w:pos="5110"/>
        </w:tabs>
        <w:spacing w:after="160" w:line="256" w:lineRule="auto"/>
        <w:jc w:val="both"/>
        <w:rPr>
          <w:rFonts w:ascii="Arial" w:hAnsi="Arial" w:cs="Arial"/>
          <w:sz w:val="24"/>
          <w:szCs w:val="24"/>
        </w:rPr>
      </w:pPr>
      <w:r>
        <w:rPr>
          <w:rFonts w:ascii="Arial" w:hAnsi="Arial" w:cs="Arial"/>
          <w:sz w:val="24"/>
          <w:szCs w:val="24"/>
        </w:rPr>
        <w:t>Tackle Crime and Anti-Social Behaviours</w:t>
      </w:r>
    </w:p>
    <w:p w14:paraId="621409F6" w14:textId="77777777" w:rsidR="008D5FD2" w:rsidRPr="00E53BDD" w:rsidRDefault="008D5FD2" w:rsidP="004E2882">
      <w:pPr>
        <w:pStyle w:val="ListParagraph"/>
        <w:numPr>
          <w:ilvl w:val="0"/>
          <w:numId w:val="46"/>
        </w:numPr>
        <w:tabs>
          <w:tab w:val="left" w:pos="5110"/>
        </w:tabs>
        <w:spacing w:after="160" w:line="256" w:lineRule="auto"/>
        <w:jc w:val="both"/>
        <w:rPr>
          <w:rFonts w:ascii="Arial" w:hAnsi="Arial" w:cs="Arial"/>
          <w:sz w:val="24"/>
          <w:szCs w:val="24"/>
        </w:rPr>
      </w:pPr>
      <w:r w:rsidRPr="00E53BDD">
        <w:rPr>
          <w:rFonts w:ascii="Arial" w:hAnsi="Arial" w:cs="Arial"/>
          <w:sz w:val="24"/>
          <w:szCs w:val="24"/>
        </w:rPr>
        <w:t>Get Tough on Serious Violent Crime</w:t>
      </w:r>
    </w:p>
    <w:p w14:paraId="35CF1DA0" w14:textId="77777777" w:rsidR="008D5FD2" w:rsidRPr="00B018C9" w:rsidRDefault="008D5FD2" w:rsidP="004E2882">
      <w:pPr>
        <w:pStyle w:val="ListParagraph"/>
        <w:numPr>
          <w:ilvl w:val="0"/>
          <w:numId w:val="46"/>
        </w:numPr>
        <w:tabs>
          <w:tab w:val="left" w:pos="5110"/>
        </w:tabs>
        <w:spacing w:after="160" w:line="256" w:lineRule="auto"/>
        <w:jc w:val="both"/>
        <w:rPr>
          <w:rFonts w:ascii="Arial" w:hAnsi="Arial" w:cs="Arial"/>
          <w:sz w:val="24"/>
          <w:szCs w:val="24"/>
        </w:rPr>
      </w:pPr>
      <w:r>
        <w:rPr>
          <w:rFonts w:ascii="Arial" w:hAnsi="Arial" w:cs="Arial"/>
          <w:sz w:val="24"/>
          <w:szCs w:val="24"/>
        </w:rPr>
        <w:t>Rebuild Public Trust and Confidence</w:t>
      </w:r>
    </w:p>
    <w:p w14:paraId="65B0553F" w14:textId="7D4B452F" w:rsidR="008D5FD2" w:rsidRPr="00B018C9" w:rsidRDefault="008D5FD2" w:rsidP="008D5FD2">
      <w:pPr>
        <w:tabs>
          <w:tab w:val="left" w:pos="5110"/>
        </w:tabs>
        <w:spacing w:after="160" w:line="256" w:lineRule="auto"/>
        <w:jc w:val="both"/>
        <w:rPr>
          <w:rFonts w:ascii="Arial" w:eastAsia="Calibri" w:hAnsi="Arial" w:cs="Arial"/>
          <w:sz w:val="24"/>
          <w:szCs w:val="24"/>
          <w:lang w:eastAsia="en-US"/>
        </w:rPr>
      </w:pPr>
      <w:r w:rsidRPr="00B018C9">
        <w:rPr>
          <w:rFonts w:ascii="Arial" w:eastAsia="Calibri" w:hAnsi="Arial" w:cs="Arial"/>
          <w:sz w:val="24"/>
          <w:szCs w:val="24"/>
          <w:lang w:eastAsia="en-US"/>
        </w:rPr>
        <w:t>The PCC has reported his progress against these priorities</w:t>
      </w:r>
      <w:r>
        <w:rPr>
          <w:rFonts w:ascii="Arial" w:eastAsia="Calibri" w:hAnsi="Arial" w:cs="Arial"/>
          <w:sz w:val="24"/>
          <w:szCs w:val="24"/>
          <w:lang w:eastAsia="en-US"/>
        </w:rPr>
        <w:t xml:space="preserve"> in 2024/25</w:t>
      </w:r>
      <w:r w:rsidRPr="00B018C9">
        <w:rPr>
          <w:rFonts w:ascii="Arial" w:eastAsia="Calibri" w:hAnsi="Arial" w:cs="Arial"/>
          <w:sz w:val="24"/>
          <w:szCs w:val="24"/>
          <w:lang w:eastAsia="en-US"/>
        </w:rPr>
        <w:t xml:space="preserve"> here: </w:t>
      </w:r>
      <w:r w:rsidRPr="004D5349">
        <w:rPr>
          <w:rFonts w:ascii="Arial" w:eastAsia="Calibri" w:hAnsi="Arial" w:cs="Arial"/>
          <w:sz w:val="24"/>
          <w:szCs w:val="24"/>
          <w:lang w:eastAsia="en-US"/>
        </w:rPr>
        <w:t>https://www.lancashire-pcc.gov.uk/the-police-and-crime-plan/annual-report/</w:t>
      </w:r>
      <w:r>
        <w:rPr>
          <w:rFonts w:ascii="Arial" w:eastAsia="Calibri" w:hAnsi="Arial" w:cs="Arial"/>
          <w:sz w:val="24"/>
          <w:szCs w:val="24"/>
          <w:lang w:eastAsia="en-US"/>
        </w:rPr>
        <w:t xml:space="preserve"> </w:t>
      </w:r>
    </w:p>
    <w:p w14:paraId="1544609D" w14:textId="77777777" w:rsidR="00B161FC" w:rsidRDefault="00B161FC" w:rsidP="008D5FD2">
      <w:pPr>
        <w:tabs>
          <w:tab w:val="left" w:pos="5110"/>
        </w:tabs>
        <w:spacing w:after="160" w:line="256" w:lineRule="auto"/>
        <w:jc w:val="both"/>
        <w:rPr>
          <w:rFonts w:ascii="Arial" w:eastAsia="Calibri" w:hAnsi="Arial" w:cs="Arial"/>
          <w:sz w:val="24"/>
          <w:szCs w:val="24"/>
          <w:lang w:eastAsia="en-US"/>
        </w:rPr>
      </w:pPr>
    </w:p>
    <w:p w14:paraId="38C32EB9" w14:textId="77A1CD0D" w:rsidR="008D5FD2" w:rsidRPr="00B018C9" w:rsidRDefault="008D5FD2" w:rsidP="008D5FD2">
      <w:pPr>
        <w:tabs>
          <w:tab w:val="left" w:pos="5110"/>
        </w:tabs>
        <w:spacing w:after="160" w:line="256" w:lineRule="auto"/>
        <w:jc w:val="both"/>
        <w:rPr>
          <w:rFonts w:ascii="Arial" w:eastAsia="Calibri" w:hAnsi="Arial" w:cs="Arial"/>
          <w:sz w:val="24"/>
          <w:szCs w:val="24"/>
          <w:lang w:eastAsia="en-US"/>
        </w:rPr>
      </w:pPr>
      <w:r w:rsidRPr="00B018C9">
        <w:rPr>
          <w:rFonts w:ascii="Arial" w:eastAsia="Calibri" w:hAnsi="Arial" w:cs="Arial"/>
          <w:sz w:val="24"/>
          <w:szCs w:val="24"/>
          <w:lang w:eastAsia="en-US"/>
        </w:rPr>
        <w:t>Selected highlights include:</w:t>
      </w:r>
    </w:p>
    <w:p w14:paraId="32E44B12" w14:textId="77777777" w:rsidR="008D5FD2" w:rsidRPr="00CA541B" w:rsidRDefault="008D5FD2" w:rsidP="004E2882">
      <w:pPr>
        <w:pStyle w:val="ListParagraph"/>
        <w:numPr>
          <w:ilvl w:val="0"/>
          <w:numId w:val="47"/>
        </w:numPr>
        <w:tabs>
          <w:tab w:val="left" w:pos="5110"/>
        </w:tabs>
        <w:spacing w:after="160" w:line="256" w:lineRule="auto"/>
        <w:jc w:val="both"/>
        <w:rPr>
          <w:rFonts w:ascii="Arial" w:hAnsi="Arial" w:cs="Arial"/>
          <w:sz w:val="24"/>
          <w:szCs w:val="24"/>
        </w:rPr>
      </w:pPr>
      <w:r w:rsidRPr="00CA541B">
        <w:rPr>
          <w:rFonts w:ascii="Arial" w:hAnsi="Arial" w:cs="Arial"/>
          <w:sz w:val="24"/>
          <w:szCs w:val="24"/>
        </w:rPr>
        <w:t>7,530 victims of crime supported by commissioned</w:t>
      </w:r>
      <w:r>
        <w:rPr>
          <w:rFonts w:ascii="Arial" w:hAnsi="Arial" w:cs="Arial"/>
          <w:sz w:val="24"/>
          <w:szCs w:val="24"/>
        </w:rPr>
        <w:t xml:space="preserve"> </w:t>
      </w:r>
      <w:r w:rsidRPr="00CA541B">
        <w:rPr>
          <w:rFonts w:ascii="Arial" w:hAnsi="Arial" w:cs="Arial"/>
          <w:sz w:val="24"/>
          <w:szCs w:val="24"/>
        </w:rPr>
        <w:t>victim services</w:t>
      </w:r>
    </w:p>
    <w:p w14:paraId="7B20BF89" w14:textId="77777777" w:rsidR="008D5FD2" w:rsidRPr="00CA541B" w:rsidRDefault="008D5FD2" w:rsidP="004E2882">
      <w:pPr>
        <w:pStyle w:val="ListParagraph"/>
        <w:numPr>
          <w:ilvl w:val="0"/>
          <w:numId w:val="47"/>
        </w:numPr>
        <w:tabs>
          <w:tab w:val="left" w:pos="5110"/>
        </w:tabs>
        <w:spacing w:after="160" w:line="256" w:lineRule="auto"/>
        <w:jc w:val="both"/>
        <w:rPr>
          <w:rFonts w:ascii="Arial" w:hAnsi="Arial" w:cs="Arial"/>
          <w:sz w:val="24"/>
          <w:szCs w:val="24"/>
        </w:rPr>
      </w:pPr>
      <w:r w:rsidRPr="00CA541B">
        <w:rPr>
          <w:rFonts w:ascii="Arial" w:hAnsi="Arial" w:cs="Arial"/>
          <w:sz w:val="24"/>
          <w:szCs w:val="24"/>
        </w:rPr>
        <w:t>£211,520 given out in Grant Funding to support communities and prevent and tackle crime</w:t>
      </w:r>
    </w:p>
    <w:p w14:paraId="3260EE58" w14:textId="327F588B" w:rsidR="008D5FD2" w:rsidRPr="00CA541B" w:rsidRDefault="0025631D" w:rsidP="004E2882">
      <w:pPr>
        <w:pStyle w:val="ListParagraph"/>
        <w:numPr>
          <w:ilvl w:val="0"/>
          <w:numId w:val="47"/>
        </w:numPr>
        <w:tabs>
          <w:tab w:val="left" w:pos="5110"/>
        </w:tabs>
        <w:spacing w:after="160" w:line="256" w:lineRule="auto"/>
        <w:jc w:val="both"/>
        <w:rPr>
          <w:rFonts w:ascii="Arial" w:hAnsi="Arial" w:cs="Arial"/>
          <w:sz w:val="24"/>
          <w:szCs w:val="24"/>
        </w:rPr>
      </w:pPr>
      <w:r>
        <w:rPr>
          <w:rFonts w:ascii="Arial" w:hAnsi="Arial" w:cs="Arial"/>
          <w:sz w:val="24"/>
          <w:szCs w:val="24"/>
        </w:rPr>
        <w:t>3,03</w:t>
      </w:r>
      <w:r w:rsidR="008D5FD2" w:rsidRPr="00CA541B">
        <w:rPr>
          <w:rFonts w:ascii="Arial" w:hAnsi="Arial" w:cs="Arial"/>
          <w:sz w:val="24"/>
          <w:szCs w:val="24"/>
        </w:rPr>
        <w:t xml:space="preserve">5 arrests and </w:t>
      </w:r>
      <w:r>
        <w:rPr>
          <w:rFonts w:ascii="Arial" w:hAnsi="Arial" w:cs="Arial"/>
          <w:sz w:val="24"/>
          <w:szCs w:val="24"/>
        </w:rPr>
        <w:t>935</w:t>
      </w:r>
      <w:r w:rsidR="008D5FD2" w:rsidRPr="00CA541B">
        <w:rPr>
          <w:rFonts w:ascii="Arial" w:hAnsi="Arial" w:cs="Arial"/>
          <w:sz w:val="24"/>
          <w:szCs w:val="24"/>
        </w:rPr>
        <w:t xml:space="preserve"> civil orders as part of Op Centurion to tackle antisocial behaviour</w:t>
      </w:r>
    </w:p>
    <w:p w14:paraId="4BA47E4F" w14:textId="77777777" w:rsidR="008D5FD2" w:rsidRDefault="008D5FD2" w:rsidP="004E2882">
      <w:pPr>
        <w:pStyle w:val="ListParagraph"/>
        <w:numPr>
          <w:ilvl w:val="0"/>
          <w:numId w:val="47"/>
        </w:numPr>
        <w:tabs>
          <w:tab w:val="left" w:pos="5110"/>
        </w:tabs>
        <w:spacing w:after="160" w:line="256" w:lineRule="auto"/>
        <w:jc w:val="both"/>
        <w:rPr>
          <w:rFonts w:ascii="Arial" w:hAnsi="Arial" w:cs="Arial"/>
          <w:b/>
          <w:sz w:val="24"/>
          <w:szCs w:val="24"/>
        </w:rPr>
      </w:pPr>
      <w:r w:rsidRPr="00CA541B">
        <w:rPr>
          <w:rFonts w:ascii="Arial" w:hAnsi="Arial" w:cs="Arial"/>
          <w:sz w:val="24"/>
          <w:szCs w:val="24"/>
        </w:rPr>
        <w:t>£4.3M in cash, 77kg class A and 539kg class B drugs seized as part of Op Warrior fighting organised crime</w:t>
      </w:r>
    </w:p>
    <w:p w14:paraId="008E7C76" w14:textId="77777777" w:rsidR="008D5FD2" w:rsidRPr="00B018C9" w:rsidRDefault="008D5FD2" w:rsidP="008D5FD2">
      <w:pPr>
        <w:jc w:val="both"/>
        <w:rPr>
          <w:rFonts w:ascii="Arial" w:hAnsi="Arial" w:cs="Arial"/>
          <w:b/>
          <w:sz w:val="24"/>
          <w:szCs w:val="24"/>
        </w:rPr>
      </w:pPr>
      <w:r w:rsidRPr="00B018C9">
        <w:rPr>
          <w:rFonts w:ascii="Arial" w:hAnsi="Arial" w:cs="Arial"/>
          <w:b/>
          <w:sz w:val="24"/>
          <w:szCs w:val="24"/>
        </w:rPr>
        <w:t xml:space="preserve">Financial performance of the Group </w:t>
      </w:r>
    </w:p>
    <w:p w14:paraId="75497396" w14:textId="77777777" w:rsidR="008D5FD2" w:rsidRPr="00B018C9" w:rsidRDefault="008D5FD2" w:rsidP="008D5FD2">
      <w:pPr>
        <w:jc w:val="both"/>
        <w:rPr>
          <w:rFonts w:ascii="Arial" w:hAnsi="Arial" w:cs="Arial"/>
          <w:b/>
          <w:sz w:val="24"/>
          <w:szCs w:val="24"/>
        </w:rPr>
      </w:pPr>
    </w:p>
    <w:p w14:paraId="1DE42E97" w14:textId="77777777" w:rsidR="008D5FD2" w:rsidRPr="00B018C9" w:rsidRDefault="008D5FD2" w:rsidP="008D5FD2">
      <w:pPr>
        <w:jc w:val="both"/>
        <w:rPr>
          <w:rFonts w:ascii="Arial" w:hAnsi="Arial" w:cs="Arial"/>
          <w:b/>
          <w:sz w:val="24"/>
          <w:szCs w:val="24"/>
        </w:rPr>
      </w:pPr>
      <w:r w:rsidRPr="00B018C9">
        <w:rPr>
          <w:rFonts w:ascii="Arial" w:hAnsi="Arial" w:cs="Arial"/>
          <w:b/>
          <w:sz w:val="24"/>
          <w:szCs w:val="24"/>
        </w:rPr>
        <w:t>Revenue Budget</w:t>
      </w:r>
    </w:p>
    <w:p w14:paraId="55DC27DA" w14:textId="77777777" w:rsidR="008D5FD2" w:rsidRPr="00B018C9" w:rsidRDefault="008D5FD2" w:rsidP="008D5FD2">
      <w:pPr>
        <w:jc w:val="both"/>
        <w:rPr>
          <w:rFonts w:ascii="Arial" w:hAnsi="Arial" w:cs="Arial"/>
          <w:b/>
          <w:sz w:val="24"/>
          <w:szCs w:val="24"/>
          <w:u w:val="single"/>
        </w:rPr>
      </w:pPr>
    </w:p>
    <w:p w14:paraId="79F1BD98" w14:textId="77777777" w:rsidR="008D5FD2" w:rsidRPr="007F03AF" w:rsidRDefault="008D5FD2" w:rsidP="008D5FD2">
      <w:pPr>
        <w:jc w:val="both"/>
        <w:rPr>
          <w:rFonts w:ascii="Arial" w:hAnsi="Arial" w:cs="Arial"/>
          <w:sz w:val="24"/>
          <w:szCs w:val="24"/>
        </w:rPr>
      </w:pPr>
      <w:r w:rsidRPr="00B018C9">
        <w:rPr>
          <w:rFonts w:ascii="Arial" w:hAnsi="Arial" w:cs="Arial"/>
          <w:sz w:val="24"/>
          <w:szCs w:val="24"/>
        </w:rPr>
        <w:t xml:space="preserve">The PCC for Lancashire's spending power in respect of </w:t>
      </w:r>
      <w:r>
        <w:rPr>
          <w:rFonts w:ascii="Arial" w:hAnsi="Arial" w:cs="Arial"/>
          <w:sz w:val="24"/>
          <w:szCs w:val="24"/>
        </w:rPr>
        <w:t>2024/25</w:t>
      </w:r>
      <w:r w:rsidRPr="00B018C9">
        <w:rPr>
          <w:rFonts w:ascii="Arial" w:hAnsi="Arial" w:cs="Arial"/>
          <w:sz w:val="24"/>
          <w:szCs w:val="24"/>
        </w:rPr>
        <w:t xml:space="preserve"> was agreed at </w:t>
      </w:r>
      <w:r w:rsidRPr="007F03AF">
        <w:rPr>
          <w:rFonts w:ascii="Arial" w:hAnsi="Arial" w:cs="Arial"/>
          <w:sz w:val="24"/>
          <w:szCs w:val="24"/>
        </w:rPr>
        <w:t>£</w:t>
      </w:r>
      <w:r w:rsidRPr="007F5967">
        <w:rPr>
          <w:rFonts w:ascii="Arial" w:hAnsi="Arial" w:cs="Arial"/>
          <w:sz w:val="24"/>
          <w:szCs w:val="24"/>
        </w:rPr>
        <w:t>3</w:t>
      </w:r>
      <w:r>
        <w:rPr>
          <w:rFonts w:ascii="Arial" w:hAnsi="Arial" w:cs="Arial"/>
          <w:sz w:val="24"/>
          <w:szCs w:val="24"/>
        </w:rPr>
        <w:t>94.097</w:t>
      </w:r>
      <w:r w:rsidRPr="007F5967">
        <w:rPr>
          <w:rFonts w:ascii="Arial" w:hAnsi="Arial" w:cs="Arial"/>
          <w:sz w:val="24"/>
          <w:szCs w:val="24"/>
        </w:rPr>
        <w:t>m</w:t>
      </w:r>
      <w:r w:rsidRPr="007F03AF">
        <w:rPr>
          <w:rFonts w:ascii="Arial" w:hAnsi="Arial" w:cs="Arial"/>
          <w:sz w:val="24"/>
          <w:szCs w:val="24"/>
        </w:rPr>
        <w:t xml:space="preserve"> and, after taking account of specific grants, the net budget requirement was set by the Police and Crime Commissioner in February 202</w:t>
      </w:r>
      <w:r>
        <w:rPr>
          <w:rFonts w:ascii="Arial" w:hAnsi="Arial" w:cs="Arial"/>
          <w:sz w:val="24"/>
          <w:szCs w:val="24"/>
        </w:rPr>
        <w:t>4</w:t>
      </w:r>
      <w:r w:rsidRPr="007F03AF">
        <w:rPr>
          <w:rFonts w:ascii="Arial" w:hAnsi="Arial" w:cs="Arial"/>
          <w:sz w:val="24"/>
          <w:szCs w:val="24"/>
        </w:rPr>
        <w:t xml:space="preserve"> at £</w:t>
      </w:r>
      <w:r w:rsidRPr="007F5967">
        <w:rPr>
          <w:rFonts w:ascii="Arial" w:hAnsi="Arial" w:cs="Arial"/>
          <w:sz w:val="24"/>
          <w:szCs w:val="24"/>
        </w:rPr>
        <w:t>3</w:t>
      </w:r>
      <w:r>
        <w:rPr>
          <w:rFonts w:ascii="Arial" w:hAnsi="Arial" w:cs="Arial"/>
          <w:sz w:val="24"/>
          <w:szCs w:val="24"/>
        </w:rPr>
        <w:t>67.083</w:t>
      </w:r>
      <w:r w:rsidRPr="007F5967">
        <w:rPr>
          <w:rFonts w:ascii="Arial" w:hAnsi="Arial" w:cs="Arial"/>
          <w:sz w:val="24"/>
          <w:szCs w:val="24"/>
        </w:rPr>
        <w:t>m</w:t>
      </w:r>
      <w:r w:rsidRPr="007F03AF">
        <w:rPr>
          <w:rFonts w:ascii="Arial" w:hAnsi="Arial" w:cs="Arial"/>
          <w:sz w:val="24"/>
          <w:szCs w:val="24"/>
        </w:rPr>
        <w:t xml:space="preserve"> funded as follows: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4"/>
        <w:gridCol w:w="1084"/>
        <w:gridCol w:w="729"/>
      </w:tblGrid>
      <w:tr w:rsidR="008D5FD2" w:rsidRPr="007F03AF" w14:paraId="681754DF" w14:textId="77777777">
        <w:trPr>
          <w:jc w:val="center"/>
        </w:trPr>
        <w:tc>
          <w:tcPr>
            <w:tcW w:w="0" w:type="auto"/>
          </w:tcPr>
          <w:p w14:paraId="4A036388" w14:textId="77777777" w:rsidR="008D5FD2" w:rsidRPr="007F03AF" w:rsidRDefault="008D5FD2">
            <w:pPr>
              <w:jc w:val="both"/>
              <w:rPr>
                <w:rFonts w:ascii="Arial" w:hAnsi="Arial" w:cs="Arial"/>
                <w:sz w:val="24"/>
                <w:szCs w:val="24"/>
              </w:rPr>
            </w:pPr>
          </w:p>
        </w:tc>
        <w:tc>
          <w:tcPr>
            <w:tcW w:w="0" w:type="auto"/>
            <w:vAlign w:val="center"/>
            <w:hideMark/>
          </w:tcPr>
          <w:p w14:paraId="7F0E4739" w14:textId="77777777" w:rsidR="008D5FD2" w:rsidRPr="007F03AF" w:rsidRDefault="008D5FD2">
            <w:pPr>
              <w:jc w:val="center"/>
              <w:rPr>
                <w:rFonts w:ascii="Arial" w:hAnsi="Arial" w:cs="Arial"/>
                <w:b/>
                <w:sz w:val="24"/>
                <w:szCs w:val="24"/>
              </w:rPr>
            </w:pPr>
            <w:r w:rsidRPr="007F03AF">
              <w:rPr>
                <w:rFonts w:ascii="Arial" w:hAnsi="Arial" w:cs="Arial"/>
                <w:b/>
                <w:sz w:val="24"/>
                <w:szCs w:val="24"/>
              </w:rPr>
              <w:t>£m</w:t>
            </w:r>
          </w:p>
        </w:tc>
        <w:tc>
          <w:tcPr>
            <w:tcW w:w="729" w:type="dxa"/>
          </w:tcPr>
          <w:p w14:paraId="61CF4858" w14:textId="77777777" w:rsidR="008D5FD2" w:rsidRPr="007F03AF" w:rsidRDefault="008D5FD2">
            <w:pPr>
              <w:jc w:val="both"/>
              <w:rPr>
                <w:rFonts w:ascii="Arial" w:hAnsi="Arial" w:cs="Arial"/>
                <w:sz w:val="24"/>
                <w:szCs w:val="24"/>
              </w:rPr>
            </w:pPr>
          </w:p>
        </w:tc>
      </w:tr>
      <w:tr w:rsidR="008D5FD2" w:rsidRPr="007F03AF" w14:paraId="17B7FA63" w14:textId="77777777">
        <w:trPr>
          <w:jc w:val="center"/>
        </w:trPr>
        <w:tc>
          <w:tcPr>
            <w:tcW w:w="0" w:type="auto"/>
            <w:hideMark/>
          </w:tcPr>
          <w:p w14:paraId="621FE758" w14:textId="77777777" w:rsidR="008D5FD2" w:rsidRPr="007F03AF" w:rsidRDefault="008D5FD2">
            <w:pPr>
              <w:jc w:val="both"/>
              <w:rPr>
                <w:rFonts w:ascii="Arial" w:hAnsi="Arial" w:cs="Arial"/>
                <w:sz w:val="24"/>
                <w:szCs w:val="24"/>
              </w:rPr>
            </w:pPr>
            <w:r w:rsidRPr="007F03AF">
              <w:rPr>
                <w:rFonts w:ascii="Arial" w:hAnsi="Arial" w:cs="Arial"/>
                <w:sz w:val="24"/>
                <w:szCs w:val="24"/>
              </w:rPr>
              <w:t>Police grant</w:t>
            </w:r>
          </w:p>
        </w:tc>
        <w:tc>
          <w:tcPr>
            <w:tcW w:w="0" w:type="auto"/>
            <w:vAlign w:val="center"/>
            <w:hideMark/>
          </w:tcPr>
          <w:p w14:paraId="7CFB103A" w14:textId="77777777" w:rsidR="008D5FD2" w:rsidRPr="007F5967" w:rsidRDefault="008D5FD2">
            <w:pPr>
              <w:jc w:val="right"/>
              <w:rPr>
                <w:rFonts w:ascii="Arial" w:hAnsi="Arial" w:cs="Arial"/>
                <w:sz w:val="24"/>
                <w:szCs w:val="24"/>
              </w:rPr>
            </w:pPr>
            <w:r w:rsidRPr="007F5967">
              <w:rPr>
                <w:rFonts w:ascii="Arial" w:hAnsi="Arial" w:cs="Arial"/>
                <w:sz w:val="24"/>
                <w:szCs w:val="24"/>
              </w:rPr>
              <w:t>2</w:t>
            </w:r>
            <w:r>
              <w:rPr>
                <w:rFonts w:ascii="Arial" w:hAnsi="Arial" w:cs="Arial"/>
                <w:sz w:val="24"/>
                <w:szCs w:val="24"/>
              </w:rPr>
              <w:t>44.613</w:t>
            </w:r>
          </w:p>
        </w:tc>
        <w:tc>
          <w:tcPr>
            <w:tcW w:w="729" w:type="dxa"/>
            <w:hideMark/>
          </w:tcPr>
          <w:p w14:paraId="46AA8B8A" w14:textId="77777777" w:rsidR="008D5FD2" w:rsidRPr="007F5967" w:rsidRDefault="008D5FD2">
            <w:pPr>
              <w:jc w:val="both"/>
              <w:rPr>
                <w:rFonts w:ascii="Arial" w:hAnsi="Arial" w:cs="Arial"/>
                <w:sz w:val="24"/>
                <w:szCs w:val="24"/>
              </w:rPr>
            </w:pPr>
            <w:r w:rsidRPr="007F5967">
              <w:rPr>
                <w:rFonts w:ascii="Arial" w:hAnsi="Arial" w:cs="Arial"/>
                <w:sz w:val="24"/>
                <w:szCs w:val="24"/>
              </w:rPr>
              <w:t>6</w:t>
            </w:r>
            <w:r>
              <w:rPr>
                <w:rFonts w:ascii="Arial" w:hAnsi="Arial" w:cs="Arial"/>
                <w:sz w:val="24"/>
                <w:szCs w:val="24"/>
              </w:rPr>
              <w:t>7</w:t>
            </w:r>
            <w:r w:rsidRPr="007F5967">
              <w:rPr>
                <w:rFonts w:ascii="Arial" w:hAnsi="Arial" w:cs="Arial"/>
                <w:sz w:val="24"/>
                <w:szCs w:val="24"/>
              </w:rPr>
              <w:t>%</w:t>
            </w:r>
          </w:p>
        </w:tc>
      </w:tr>
      <w:tr w:rsidR="008D5FD2" w:rsidRPr="007F03AF" w14:paraId="6272D8FD" w14:textId="77777777">
        <w:trPr>
          <w:jc w:val="center"/>
        </w:trPr>
        <w:tc>
          <w:tcPr>
            <w:tcW w:w="0" w:type="auto"/>
            <w:hideMark/>
          </w:tcPr>
          <w:p w14:paraId="080D65DC" w14:textId="77777777" w:rsidR="008D5FD2" w:rsidRPr="007F03AF" w:rsidRDefault="008D5FD2">
            <w:pPr>
              <w:jc w:val="both"/>
              <w:rPr>
                <w:rFonts w:ascii="Arial" w:hAnsi="Arial" w:cs="Arial"/>
                <w:sz w:val="24"/>
                <w:szCs w:val="24"/>
              </w:rPr>
            </w:pPr>
            <w:r w:rsidRPr="007F03AF">
              <w:rPr>
                <w:rFonts w:ascii="Arial" w:hAnsi="Arial" w:cs="Arial"/>
                <w:sz w:val="24"/>
                <w:szCs w:val="24"/>
              </w:rPr>
              <w:t>Council Tax</w:t>
            </w:r>
          </w:p>
        </w:tc>
        <w:tc>
          <w:tcPr>
            <w:tcW w:w="0" w:type="auto"/>
            <w:tcBorders>
              <w:top w:val="nil"/>
              <w:left w:val="nil"/>
              <w:bottom w:val="single" w:sz="4" w:space="0" w:color="auto"/>
              <w:right w:val="nil"/>
            </w:tcBorders>
            <w:vAlign w:val="center"/>
            <w:hideMark/>
          </w:tcPr>
          <w:p w14:paraId="05095DC0" w14:textId="77777777" w:rsidR="008D5FD2" w:rsidRPr="007F5967" w:rsidRDefault="008D5FD2">
            <w:pPr>
              <w:jc w:val="right"/>
              <w:rPr>
                <w:rFonts w:ascii="Arial" w:hAnsi="Arial" w:cs="Arial"/>
                <w:sz w:val="24"/>
                <w:szCs w:val="24"/>
              </w:rPr>
            </w:pPr>
            <w:r>
              <w:rPr>
                <w:rFonts w:ascii="Arial" w:hAnsi="Arial" w:cs="Arial"/>
                <w:sz w:val="24"/>
                <w:szCs w:val="24"/>
              </w:rPr>
              <w:t>122.470</w:t>
            </w:r>
          </w:p>
        </w:tc>
        <w:tc>
          <w:tcPr>
            <w:tcW w:w="729" w:type="dxa"/>
            <w:hideMark/>
          </w:tcPr>
          <w:p w14:paraId="535E4466" w14:textId="77777777" w:rsidR="008D5FD2" w:rsidRPr="007F5967" w:rsidRDefault="008D5FD2">
            <w:pPr>
              <w:jc w:val="both"/>
              <w:rPr>
                <w:rFonts w:ascii="Arial" w:hAnsi="Arial" w:cs="Arial"/>
                <w:sz w:val="24"/>
                <w:szCs w:val="24"/>
              </w:rPr>
            </w:pPr>
            <w:r w:rsidRPr="007F5967">
              <w:rPr>
                <w:rFonts w:ascii="Arial" w:hAnsi="Arial" w:cs="Arial"/>
                <w:sz w:val="24"/>
                <w:szCs w:val="24"/>
              </w:rPr>
              <w:t>3</w:t>
            </w:r>
            <w:r>
              <w:rPr>
                <w:rFonts w:ascii="Arial" w:hAnsi="Arial" w:cs="Arial"/>
                <w:sz w:val="24"/>
                <w:szCs w:val="24"/>
              </w:rPr>
              <w:t>3</w:t>
            </w:r>
            <w:r w:rsidRPr="007F5967">
              <w:rPr>
                <w:rFonts w:ascii="Arial" w:hAnsi="Arial" w:cs="Arial"/>
                <w:sz w:val="24"/>
                <w:szCs w:val="24"/>
              </w:rPr>
              <w:t>%</w:t>
            </w:r>
          </w:p>
        </w:tc>
      </w:tr>
      <w:tr w:rsidR="008D5FD2" w:rsidRPr="0049066F" w14:paraId="354650DC" w14:textId="77777777">
        <w:trPr>
          <w:jc w:val="center"/>
        </w:trPr>
        <w:tc>
          <w:tcPr>
            <w:tcW w:w="0" w:type="auto"/>
          </w:tcPr>
          <w:p w14:paraId="6AFB5D3D" w14:textId="77777777" w:rsidR="008D5FD2" w:rsidRPr="007F03AF" w:rsidRDefault="008D5FD2">
            <w:pPr>
              <w:jc w:val="both"/>
              <w:rPr>
                <w:rFonts w:ascii="Arial" w:hAnsi="Arial" w:cs="Arial"/>
                <w:sz w:val="24"/>
                <w:szCs w:val="24"/>
              </w:rPr>
            </w:pPr>
          </w:p>
        </w:tc>
        <w:tc>
          <w:tcPr>
            <w:tcW w:w="0" w:type="auto"/>
            <w:tcBorders>
              <w:top w:val="single" w:sz="4" w:space="0" w:color="auto"/>
              <w:left w:val="nil"/>
              <w:bottom w:val="nil"/>
              <w:right w:val="nil"/>
            </w:tcBorders>
            <w:vAlign w:val="center"/>
            <w:hideMark/>
          </w:tcPr>
          <w:p w14:paraId="4834EC9D" w14:textId="77777777" w:rsidR="008D5FD2" w:rsidRPr="007F5967" w:rsidRDefault="008D5FD2">
            <w:pPr>
              <w:jc w:val="right"/>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=SUM(ABOVE) </w:instrText>
            </w:r>
            <w:r>
              <w:rPr>
                <w:rFonts w:ascii="Arial" w:hAnsi="Arial" w:cs="Arial"/>
                <w:b/>
                <w:sz w:val="24"/>
                <w:szCs w:val="24"/>
              </w:rPr>
              <w:fldChar w:fldCharType="separate"/>
            </w:r>
            <w:r>
              <w:rPr>
                <w:rFonts w:ascii="Arial" w:hAnsi="Arial" w:cs="Arial"/>
                <w:b/>
                <w:noProof/>
                <w:sz w:val="24"/>
                <w:szCs w:val="24"/>
              </w:rPr>
              <w:t>367.083</w:t>
            </w:r>
            <w:r>
              <w:rPr>
                <w:rFonts w:ascii="Arial" w:hAnsi="Arial" w:cs="Arial"/>
                <w:b/>
                <w:sz w:val="24"/>
                <w:szCs w:val="24"/>
              </w:rPr>
              <w:fldChar w:fldCharType="end"/>
            </w:r>
          </w:p>
        </w:tc>
        <w:tc>
          <w:tcPr>
            <w:tcW w:w="729" w:type="dxa"/>
          </w:tcPr>
          <w:p w14:paraId="31661BD4" w14:textId="77777777" w:rsidR="008D5FD2" w:rsidRPr="007F5967" w:rsidRDefault="008D5FD2">
            <w:pPr>
              <w:jc w:val="both"/>
              <w:rPr>
                <w:rFonts w:ascii="Arial" w:hAnsi="Arial" w:cs="Arial"/>
                <w:sz w:val="24"/>
                <w:szCs w:val="24"/>
              </w:rPr>
            </w:pPr>
          </w:p>
        </w:tc>
      </w:tr>
    </w:tbl>
    <w:p w14:paraId="6598CE47" w14:textId="77777777" w:rsidR="008D5FD2" w:rsidRPr="00B018C9" w:rsidRDefault="008D5FD2" w:rsidP="008D5FD2">
      <w:pPr>
        <w:jc w:val="both"/>
        <w:rPr>
          <w:rFonts w:ascii="Arial" w:hAnsi="Arial" w:cs="Arial"/>
          <w:sz w:val="24"/>
          <w:szCs w:val="24"/>
        </w:rPr>
      </w:pPr>
    </w:p>
    <w:p w14:paraId="322E6923" w14:textId="77777777" w:rsidR="008D5FD2" w:rsidRPr="00C45D3A" w:rsidRDefault="008D5FD2" w:rsidP="008D5FD2">
      <w:pPr>
        <w:spacing w:after="120"/>
        <w:jc w:val="both"/>
        <w:rPr>
          <w:rFonts w:ascii="Arial" w:hAnsi="Arial" w:cs="Arial"/>
          <w:sz w:val="24"/>
          <w:szCs w:val="24"/>
        </w:rPr>
      </w:pPr>
      <w:r w:rsidRPr="00C45D3A">
        <w:rPr>
          <w:rFonts w:ascii="Arial" w:hAnsi="Arial" w:cs="Arial"/>
          <w:sz w:val="24"/>
          <w:szCs w:val="24"/>
        </w:rPr>
        <w:t>Funding received from central government increased from £2</w:t>
      </w:r>
      <w:r>
        <w:rPr>
          <w:rFonts w:ascii="Arial" w:hAnsi="Arial" w:cs="Arial"/>
          <w:sz w:val="24"/>
          <w:szCs w:val="24"/>
        </w:rPr>
        <w:t>31.528</w:t>
      </w:r>
      <w:r w:rsidRPr="00C45D3A">
        <w:rPr>
          <w:rFonts w:ascii="Arial" w:hAnsi="Arial" w:cs="Arial"/>
          <w:sz w:val="24"/>
          <w:szCs w:val="24"/>
        </w:rPr>
        <w:t xml:space="preserve">m in </w:t>
      </w:r>
      <w:r>
        <w:rPr>
          <w:rFonts w:ascii="Arial" w:hAnsi="Arial" w:cs="Arial"/>
          <w:sz w:val="24"/>
          <w:szCs w:val="24"/>
        </w:rPr>
        <w:t>2023/24</w:t>
      </w:r>
      <w:r w:rsidRPr="00C45D3A">
        <w:rPr>
          <w:rFonts w:ascii="Arial" w:hAnsi="Arial" w:cs="Arial"/>
          <w:sz w:val="24"/>
          <w:szCs w:val="24"/>
        </w:rPr>
        <w:t xml:space="preserve"> to £2</w:t>
      </w:r>
      <w:r>
        <w:rPr>
          <w:rFonts w:ascii="Arial" w:hAnsi="Arial" w:cs="Arial"/>
          <w:sz w:val="24"/>
          <w:szCs w:val="24"/>
        </w:rPr>
        <w:t>44.613</w:t>
      </w:r>
      <w:r w:rsidRPr="00C45D3A">
        <w:rPr>
          <w:rFonts w:ascii="Arial" w:hAnsi="Arial" w:cs="Arial"/>
          <w:sz w:val="24"/>
          <w:szCs w:val="24"/>
        </w:rPr>
        <w:t xml:space="preserve">m in </w:t>
      </w:r>
      <w:r>
        <w:rPr>
          <w:rFonts w:ascii="Arial" w:hAnsi="Arial" w:cs="Arial"/>
          <w:sz w:val="24"/>
          <w:szCs w:val="24"/>
        </w:rPr>
        <w:t>2024/25</w:t>
      </w:r>
      <w:r w:rsidRPr="00C45D3A">
        <w:rPr>
          <w:rFonts w:ascii="Arial" w:hAnsi="Arial" w:cs="Arial"/>
          <w:sz w:val="24"/>
          <w:szCs w:val="24"/>
        </w:rPr>
        <w:t xml:space="preserve">. </w:t>
      </w:r>
      <w:r>
        <w:rPr>
          <w:rFonts w:ascii="Arial" w:hAnsi="Arial" w:cs="Arial"/>
          <w:sz w:val="24"/>
          <w:szCs w:val="24"/>
        </w:rPr>
        <w:t>In addition to this increase there was an increase in the specific grant provided by government for the uplift programme. This grant is only received if every additional officer identified for the uplift programme is recruited.</w:t>
      </w:r>
    </w:p>
    <w:p w14:paraId="39843A68" w14:textId="77777777" w:rsidR="008D5FD2" w:rsidRPr="00C45D3A" w:rsidRDefault="008D5FD2" w:rsidP="008D5FD2">
      <w:pPr>
        <w:spacing w:after="120"/>
        <w:jc w:val="both"/>
        <w:rPr>
          <w:rFonts w:ascii="Arial" w:hAnsi="Arial" w:cs="Arial"/>
          <w:sz w:val="24"/>
          <w:szCs w:val="24"/>
        </w:rPr>
      </w:pPr>
      <w:r w:rsidRPr="00C45D3A">
        <w:rPr>
          <w:rFonts w:ascii="Arial" w:hAnsi="Arial" w:cs="Arial"/>
          <w:sz w:val="24"/>
          <w:szCs w:val="24"/>
        </w:rPr>
        <w:t>The Commissioner raised £</w:t>
      </w:r>
      <w:r>
        <w:rPr>
          <w:rFonts w:ascii="Arial" w:hAnsi="Arial" w:cs="Arial"/>
          <w:sz w:val="24"/>
          <w:szCs w:val="24"/>
        </w:rPr>
        <w:t>122.470</w:t>
      </w:r>
      <w:r w:rsidRPr="00C45D3A">
        <w:rPr>
          <w:rFonts w:ascii="Arial" w:hAnsi="Arial" w:cs="Arial"/>
          <w:sz w:val="24"/>
          <w:szCs w:val="24"/>
        </w:rPr>
        <w:t xml:space="preserve">m from council tax in </w:t>
      </w:r>
      <w:r>
        <w:rPr>
          <w:rFonts w:ascii="Arial" w:hAnsi="Arial" w:cs="Arial"/>
          <w:sz w:val="24"/>
          <w:szCs w:val="24"/>
        </w:rPr>
        <w:t>2024/25</w:t>
      </w:r>
      <w:r w:rsidRPr="00C45D3A">
        <w:rPr>
          <w:rFonts w:ascii="Arial" w:hAnsi="Arial" w:cs="Arial"/>
          <w:sz w:val="24"/>
          <w:szCs w:val="24"/>
        </w:rPr>
        <w:t xml:space="preserve"> made up as follows:</w:t>
      </w:r>
    </w:p>
    <w:tbl>
      <w:tblPr>
        <w:tblStyle w:val="TableGrid"/>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084"/>
      </w:tblGrid>
      <w:tr w:rsidR="008D5FD2" w:rsidRPr="00C45D3A" w14:paraId="1F5E36DC" w14:textId="77777777">
        <w:tc>
          <w:tcPr>
            <w:tcW w:w="3686" w:type="dxa"/>
          </w:tcPr>
          <w:p w14:paraId="20C187B1" w14:textId="77777777" w:rsidR="008D5FD2" w:rsidRPr="00C45D3A" w:rsidRDefault="008D5FD2">
            <w:pPr>
              <w:jc w:val="both"/>
              <w:rPr>
                <w:rFonts w:ascii="Arial" w:hAnsi="Arial" w:cs="Arial"/>
                <w:sz w:val="24"/>
                <w:szCs w:val="24"/>
              </w:rPr>
            </w:pPr>
          </w:p>
        </w:tc>
        <w:tc>
          <w:tcPr>
            <w:tcW w:w="0" w:type="auto"/>
            <w:vAlign w:val="center"/>
            <w:hideMark/>
          </w:tcPr>
          <w:p w14:paraId="3B7F57F5" w14:textId="77777777" w:rsidR="008D5FD2" w:rsidRPr="00C45D3A" w:rsidRDefault="008D5FD2">
            <w:pPr>
              <w:jc w:val="center"/>
              <w:rPr>
                <w:rFonts w:ascii="Arial" w:hAnsi="Arial" w:cs="Arial"/>
                <w:b/>
                <w:sz w:val="24"/>
                <w:szCs w:val="24"/>
              </w:rPr>
            </w:pPr>
            <w:r w:rsidRPr="00C45D3A">
              <w:rPr>
                <w:rFonts w:ascii="Arial" w:hAnsi="Arial" w:cs="Arial"/>
                <w:b/>
                <w:sz w:val="24"/>
                <w:szCs w:val="24"/>
              </w:rPr>
              <w:t>£m</w:t>
            </w:r>
          </w:p>
        </w:tc>
      </w:tr>
      <w:tr w:rsidR="008D5FD2" w:rsidRPr="00C45D3A" w14:paraId="2D1EE4A1" w14:textId="77777777">
        <w:tc>
          <w:tcPr>
            <w:tcW w:w="3686" w:type="dxa"/>
            <w:hideMark/>
          </w:tcPr>
          <w:p w14:paraId="7C6B5C20" w14:textId="77777777" w:rsidR="008D5FD2" w:rsidRPr="00C45D3A" w:rsidRDefault="008D5FD2">
            <w:pPr>
              <w:jc w:val="both"/>
              <w:rPr>
                <w:rFonts w:ascii="Arial" w:hAnsi="Arial" w:cs="Arial"/>
                <w:sz w:val="24"/>
                <w:szCs w:val="24"/>
              </w:rPr>
            </w:pPr>
            <w:r w:rsidRPr="00C45D3A">
              <w:rPr>
                <w:rFonts w:ascii="Arial" w:hAnsi="Arial" w:cs="Arial"/>
                <w:sz w:val="24"/>
                <w:szCs w:val="24"/>
              </w:rPr>
              <w:t xml:space="preserve">Council tax precept </w:t>
            </w:r>
            <w:r>
              <w:rPr>
                <w:rFonts w:ascii="Arial" w:hAnsi="Arial" w:cs="Arial"/>
                <w:sz w:val="24"/>
                <w:szCs w:val="24"/>
              </w:rPr>
              <w:t>2024/25</w:t>
            </w:r>
          </w:p>
        </w:tc>
        <w:tc>
          <w:tcPr>
            <w:tcW w:w="0" w:type="auto"/>
            <w:vAlign w:val="center"/>
            <w:hideMark/>
          </w:tcPr>
          <w:p w14:paraId="3DBA3F65" w14:textId="77777777" w:rsidR="008D5FD2" w:rsidRPr="00C45D3A" w:rsidRDefault="008D5FD2">
            <w:pPr>
              <w:jc w:val="right"/>
              <w:rPr>
                <w:rFonts w:ascii="Arial" w:hAnsi="Arial" w:cs="Arial"/>
                <w:sz w:val="24"/>
                <w:szCs w:val="24"/>
              </w:rPr>
            </w:pPr>
            <w:r>
              <w:rPr>
                <w:rFonts w:ascii="Arial" w:hAnsi="Arial" w:cs="Arial"/>
                <w:sz w:val="24"/>
                <w:szCs w:val="24"/>
              </w:rPr>
              <w:t>122.288</w:t>
            </w:r>
          </w:p>
        </w:tc>
      </w:tr>
      <w:tr w:rsidR="008D5FD2" w:rsidRPr="00C45D3A" w14:paraId="53C7270B" w14:textId="77777777">
        <w:tc>
          <w:tcPr>
            <w:tcW w:w="3686" w:type="dxa"/>
            <w:hideMark/>
          </w:tcPr>
          <w:p w14:paraId="1535AD49" w14:textId="77777777" w:rsidR="008D5FD2" w:rsidRPr="00C45D3A" w:rsidRDefault="008D5FD2">
            <w:pPr>
              <w:jc w:val="both"/>
              <w:rPr>
                <w:rFonts w:ascii="Arial" w:hAnsi="Arial" w:cs="Arial"/>
                <w:sz w:val="24"/>
                <w:szCs w:val="24"/>
              </w:rPr>
            </w:pPr>
            <w:r w:rsidRPr="00C45D3A">
              <w:rPr>
                <w:rFonts w:ascii="Arial" w:hAnsi="Arial" w:cs="Arial"/>
                <w:sz w:val="24"/>
                <w:szCs w:val="24"/>
              </w:rPr>
              <w:t xml:space="preserve">Council Tax </w:t>
            </w:r>
            <w:r>
              <w:rPr>
                <w:rFonts w:ascii="Arial" w:hAnsi="Arial" w:cs="Arial"/>
                <w:sz w:val="24"/>
                <w:szCs w:val="24"/>
              </w:rPr>
              <w:t>surplus</w:t>
            </w:r>
            <w:r w:rsidRPr="00C45D3A">
              <w:rPr>
                <w:rFonts w:ascii="Arial" w:hAnsi="Arial" w:cs="Arial"/>
                <w:sz w:val="24"/>
                <w:szCs w:val="24"/>
              </w:rPr>
              <w:t xml:space="preserve"> </w:t>
            </w:r>
            <w:r>
              <w:rPr>
                <w:rFonts w:ascii="Arial" w:hAnsi="Arial" w:cs="Arial"/>
                <w:sz w:val="24"/>
                <w:szCs w:val="24"/>
              </w:rPr>
              <w:t>2023/24</w:t>
            </w:r>
          </w:p>
        </w:tc>
        <w:tc>
          <w:tcPr>
            <w:tcW w:w="0" w:type="auto"/>
            <w:tcBorders>
              <w:top w:val="nil"/>
              <w:left w:val="nil"/>
              <w:bottom w:val="single" w:sz="4" w:space="0" w:color="auto"/>
              <w:right w:val="nil"/>
            </w:tcBorders>
            <w:vAlign w:val="center"/>
            <w:hideMark/>
          </w:tcPr>
          <w:p w14:paraId="47459738" w14:textId="77777777" w:rsidR="008D5FD2" w:rsidRPr="00C45D3A" w:rsidRDefault="008D5FD2">
            <w:pPr>
              <w:jc w:val="right"/>
              <w:rPr>
                <w:rFonts w:ascii="Arial" w:hAnsi="Arial" w:cs="Arial"/>
                <w:sz w:val="24"/>
                <w:szCs w:val="24"/>
              </w:rPr>
            </w:pPr>
            <w:r>
              <w:rPr>
                <w:rFonts w:ascii="Arial" w:hAnsi="Arial" w:cs="Arial"/>
                <w:sz w:val="24"/>
                <w:szCs w:val="24"/>
              </w:rPr>
              <w:t>0.182</w:t>
            </w:r>
          </w:p>
        </w:tc>
      </w:tr>
      <w:tr w:rsidR="008D5FD2" w:rsidRPr="0049066F" w14:paraId="5CA06707" w14:textId="77777777">
        <w:tc>
          <w:tcPr>
            <w:tcW w:w="3686" w:type="dxa"/>
          </w:tcPr>
          <w:p w14:paraId="1A31B9D3" w14:textId="77777777" w:rsidR="008D5FD2" w:rsidRPr="00C45D3A" w:rsidRDefault="008D5FD2">
            <w:pPr>
              <w:jc w:val="both"/>
              <w:rPr>
                <w:rFonts w:ascii="Arial" w:hAnsi="Arial" w:cs="Arial"/>
                <w:sz w:val="24"/>
                <w:szCs w:val="24"/>
              </w:rPr>
            </w:pPr>
          </w:p>
        </w:tc>
        <w:tc>
          <w:tcPr>
            <w:tcW w:w="0" w:type="auto"/>
            <w:tcBorders>
              <w:top w:val="single" w:sz="4" w:space="0" w:color="auto"/>
              <w:left w:val="nil"/>
              <w:bottom w:val="nil"/>
              <w:right w:val="nil"/>
            </w:tcBorders>
            <w:vAlign w:val="center"/>
            <w:hideMark/>
          </w:tcPr>
          <w:p w14:paraId="00B28B8E" w14:textId="77777777" w:rsidR="008D5FD2" w:rsidRPr="00C45D3A" w:rsidRDefault="008D5FD2">
            <w:pPr>
              <w:jc w:val="right"/>
              <w:rPr>
                <w:rFonts w:ascii="Arial" w:hAnsi="Arial" w:cs="Arial"/>
                <w:b/>
                <w:sz w:val="24"/>
                <w:szCs w:val="24"/>
              </w:rPr>
            </w:pPr>
            <w:r>
              <w:rPr>
                <w:rFonts w:ascii="Arial" w:hAnsi="Arial" w:cs="Arial"/>
                <w:b/>
                <w:sz w:val="24"/>
                <w:szCs w:val="24"/>
              </w:rPr>
              <w:fldChar w:fldCharType="begin"/>
            </w:r>
            <w:r>
              <w:rPr>
                <w:rFonts w:ascii="Arial" w:hAnsi="Arial" w:cs="Arial"/>
                <w:b/>
                <w:sz w:val="24"/>
                <w:szCs w:val="24"/>
              </w:rPr>
              <w:instrText xml:space="preserve"> =SUM(ABOVE) </w:instrText>
            </w:r>
            <w:r>
              <w:rPr>
                <w:rFonts w:ascii="Arial" w:hAnsi="Arial" w:cs="Arial"/>
                <w:b/>
                <w:sz w:val="24"/>
                <w:szCs w:val="24"/>
              </w:rPr>
              <w:fldChar w:fldCharType="separate"/>
            </w:r>
            <w:r>
              <w:rPr>
                <w:rFonts w:ascii="Arial" w:hAnsi="Arial" w:cs="Arial"/>
                <w:b/>
                <w:noProof/>
                <w:sz w:val="24"/>
                <w:szCs w:val="24"/>
              </w:rPr>
              <w:t>122.47</w:t>
            </w:r>
            <w:r>
              <w:rPr>
                <w:rFonts w:ascii="Arial" w:hAnsi="Arial" w:cs="Arial"/>
                <w:b/>
                <w:sz w:val="24"/>
                <w:szCs w:val="24"/>
              </w:rPr>
              <w:fldChar w:fldCharType="end"/>
            </w:r>
            <w:r>
              <w:rPr>
                <w:rFonts w:ascii="Arial" w:hAnsi="Arial" w:cs="Arial"/>
                <w:b/>
                <w:sz w:val="24"/>
                <w:szCs w:val="24"/>
              </w:rPr>
              <w:t>0</w:t>
            </w:r>
          </w:p>
        </w:tc>
      </w:tr>
    </w:tbl>
    <w:p w14:paraId="109D6A56" w14:textId="77777777" w:rsidR="008D5FD2" w:rsidRPr="00B018C9" w:rsidRDefault="008D5FD2" w:rsidP="008D5FD2">
      <w:pPr>
        <w:jc w:val="both"/>
        <w:rPr>
          <w:rFonts w:ascii="Arial" w:hAnsi="Arial" w:cs="Arial"/>
          <w:sz w:val="24"/>
          <w:szCs w:val="24"/>
          <w:highlight w:val="yellow"/>
        </w:rPr>
      </w:pPr>
    </w:p>
    <w:p w14:paraId="02052EAD" w14:textId="77777777" w:rsidR="008D5FD2" w:rsidRPr="00B018C9" w:rsidRDefault="008D5FD2" w:rsidP="008D5FD2">
      <w:pPr>
        <w:jc w:val="both"/>
        <w:rPr>
          <w:rFonts w:ascii="Arial" w:hAnsi="Arial" w:cs="Arial"/>
          <w:sz w:val="24"/>
          <w:szCs w:val="24"/>
        </w:rPr>
      </w:pPr>
      <w:r w:rsidRPr="00B018C9">
        <w:rPr>
          <w:rFonts w:ascii="Arial" w:hAnsi="Arial" w:cs="Arial"/>
          <w:sz w:val="24"/>
          <w:szCs w:val="24"/>
        </w:rPr>
        <w:t>This represents £2</w:t>
      </w:r>
      <w:r>
        <w:rPr>
          <w:rFonts w:ascii="Arial" w:hAnsi="Arial" w:cs="Arial"/>
          <w:sz w:val="24"/>
          <w:szCs w:val="24"/>
        </w:rPr>
        <w:t>63.40</w:t>
      </w:r>
      <w:r w:rsidRPr="00B018C9">
        <w:rPr>
          <w:rFonts w:ascii="Arial" w:hAnsi="Arial" w:cs="Arial"/>
          <w:sz w:val="24"/>
          <w:szCs w:val="24"/>
        </w:rPr>
        <w:t xml:space="preserve"> for each Band D property in the County, an increase of £1</w:t>
      </w:r>
      <w:r>
        <w:rPr>
          <w:rFonts w:ascii="Arial" w:hAnsi="Arial" w:cs="Arial"/>
          <w:sz w:val="24"/>
          <w:szCs w:val="24"/>
        </w:rPr>
        <w:t>1.95</w:t>
      </w:r>
      <w:r w:rsidRPr="00B018C9">
        <w:rPr>
          <w:rFonts w:ascii="Arial" w:hAnsi="Arial" w:cs="Arial"/>
          <w:sz w:val="24"/>
          <w:szCs w:val="24"/>
        </w:rPr>
        <w:t xml:space="preserve"> (</w:t>
      </w:r>
      <w:r>
        <w:rPr>
          <w:rFonts w:ascii="Arial" w:hAnsi="Arial" w:cs="Arial"/>
          <w:sz w:val="24"/>
          <w:szCs w:val="24"/>
        </w:rPr>
        <w:t>4.75</w:t>
      </w:r>
      <w:r w:rsidRPr="00B018C9">
        <w:rPr>
          <w:rFonts w:ascii="Arial" w:hAnsi="Arial" w:cs="Arial"/>
          <w:sz w:val="24"/>
          <w:szCs w:val="24"/>
        </w:rPr>
        <w:t xml:space="preserve">%) over the </w:t>
      </w:r>
      <w:r>
        <w:rPr>
          <w:rFonts w:ascii="Arial" w:hAnsi="Arial" w:cs="Arial"/>
          <w:sz w:val="24"/>
          <w:szCs w:val="24"/>
        </w:rPr>
        <w:t>2023/24</w:t>
      </w:r>
      <w:r w:rsidRPr="00B018C9">
        <w:rPr>
          <w:rFonts w:ascii="Arial" w:hAnsi="Arial" w:cs="Arial"/>
          <w:sz w:val="24"/>
          <w:szCs w:val="24"/>
        </w:rPr>
        <w:t xml:space="preserve"> charge. </w:t>
      </w:r>
    </w:p>
    <w:p w14:paraId="1BDC56A0" w14:textId="77777777" w:rsidR="008D5FD2" w:rsidRDefault="008D5FD2" w:rsidP="008D5FD2">
      <w:pPr>
        <w:jc w:val="both"/>
        <w:rPr>
          <w:rFonts w:ascii="Arial" w:hAnsi="Arial" w:cs="Arial"/>
          <w:sz w:val="24"/>
          <w:szCs w:val="24"/>
          <w:highlight w:val="yellow"/>
        </w:rPr>
      </w:pPr>
    </w:p>
    <w:p w14:paraId="094C148C" w14:textId="77777777" w:rsidR="00D80A06" w:rsidRDefault="00D80A06">
      <w:pPr>
        <w:rPr>
          <w:rFonts w:ascii="Arial" w:hAnsi="Arial" w:cs="Arial"/>
          <w:b/>
          <w:sz w:val="24"/>
          <w:szCs w:val="24"/>
        </w:rPr>
      </w:pPr>
      <w:r>
        <w:rPr>
          <w:rFonts w:cs="Arial"/>
          <w:szCs w:val="24"/>
        </w:rPr>
        <w:br w:type="page"/>
      </w:r>
    </w:p>
    <w:p w14:paraId="2196599C" w14:textId="14CCA113" w:rsidR="008D5FD2" w:rsidRPr="00B018C9" w:rsidRDefault="008D5FD2" w:rsidP="008D5FD2">
      <w:pPr>
        <w:pStyle w:val="Heading1"/>
        <w:jc w:val="both"/>
        <w:rPr>
          <w:rFonts w:cs="Arial"/>
          <w:szCs w:val="24"/>
        </w:rPr>
      </w:pPr>
      <w:r w:rsidRPr="00B018C9">
        <w:rPr>
          <w:rFonts w:cs="Arial"/>
          <w:szCs w:val="24"/>
        </w:rPr>
        <w:lastRenderedPageBreak/>
        <w:t xml:space="preserve">The </w:t>
      </w:r>
      <w:r>
        <w:rPr>
          <w:rFonts w:cs="Arial"/>
          <w:szCs w:val="24"/>
        </w:rPr>
        <w:t>2024/25</w:t>
      </w:r>
      <w:r w:rsidRPr="00B018C9">
        <w:rPr>
          <w:rFonts w:cs="Arial"/>
          <w:szCs w:val="24"/>
        </w:rPr>
        <w:t xml:space="preserve"> Revenue Outturn </w:t>
      </w:r>
    </w:p>
    <w:p w14:paraId="1FF87C55" w14:textId="77777777" w:rsidR="008D5FD2" w:rsidRPr="00B018C9" w:rsidRDefault="008D5FD2" w:rsidP="008D5FD2">
      <w:pPr>
        <w:jc w:val="both"/>
        <w:rPr>
          <w:rFonts w:ascii="Arial" w:hAnsi="Arial" w:cs="Arial"/>
          <w:sz w:val="24"/>
          <w:szCs w:val="24"/>
          <w:highlight w:val="yellow"/>
        </w:rPr>
      </w:pPr>
    </w:p>
    <w:p w14:paraId="1AC6875F" w14:textId="77777777" w:rsidR="008D5FD2" w:rsidRDefault="008D5FD2" w:rsidP="008D5FD2">
      <w:pPr>
        <w:spacing w:after="240"/>
        <w:jc w:val="both"/>
        <w:rPr>
          <w:rFonts w:ascii="Arial" w:hAnsi="Arial" w:cs="Arial"/>
          <w:sz w:val="24"/>
          <w:szCs w:val="24"/>
        </w:rPr>
      </w:pPr>
      <w:r w:rsidRPr="00B018C9">
        <w:rPr>
          <w:rFonts w:ascii="Arial" w:hAnsi="Arial" w:cs="Arial"/>
          <w:sz w:val="24"/>
          <w:szCs w:val="24"/>
        </w:rPr>
        <w:t xml:space="preserve">The </w:t>
      </w:r>
      <w:r>
        <w:rPr>
          <w:rFonts w:ascii="Arial" w:hAnsi="Arial" w:cs="Arial"/>
          <w:sz w:val="24"/>
          <w:szCs w:val="24"/>
        </w:rPr>
        <w:t>2024/25</w:t>
      </w:r>
      <w:r w:rsidRPr="00B018C9">
        <w:rPr>
          <w:rFonts w:ascii="Arial" w:hAnsi="Arial" w:cs="Arial"/>
          <w:sz w:val="24"/>
          <w:szCs w:val="24"/>
        </w:rPr>
        <w:t xml:space="preserve"> year-end position shows spending of £3</w:t>
      </w:r>
      <w:r>
        <w:rPr>
          <w:rFonts w:ascii="Arial" w:hAnsi="Arial" w:cs="Arial"/>
          <w:sz w:val="24"/>
          <w:szCs w:val="24"/>
        </w:rPr>
        <w:t>70.778</w:t>
      </w:r>
      <w:r w:rsidRPr="00B018C9">
        <w:rPr>
          <w:rFonts w:ascii="Arial" w:hAnsi="Arial" w:cs="Arial"/>
          <w:sz w:val="24"/>
          <w:szCs w:val="24"/>
        </w:rPr>
        <w:t xml:space="preserve">m </w:t>
      </w:r>
      <w:r>
        <w:rPr>
          <w:rFonts w:ascii="Arial" w:hAnsi="Arial" w:cs="Arial"/>
          <w:sz w:val="24"/>
          <w:szCs w:val="24"/>
        </w:rPr>
        <w:t>representing an underspend of £0.471m (0.13%) against the revenue budget</w:t>
      </w:r>
      <w:r w:rsidRPr="00B018C9">
        <w:rPr>
          <w:rFonts w:ascii="Arial" w:hAnsi="Arial" w:cs="Arial"/>
          <w:sz w:val="24"/>
          <w:szCs w:val="24"/>
        </w:rPr>
        <w:t>.</w:t>
      </w:r>
    </w:p>
    <w:tbl>
      <w:tblPr>
        <w:tblW w:w="0" w:type="auto"/>
        <w:jc w:val="center"/>
        <w:tblLook w:val="04A0" w:firstRow="1" w:lastRow="0" w:firstColumn="1" w:lastColumn="0" w:noHBand="0" w:noVBand="1"/>
      </w:tblPr>
      <w:tblGrid>
        <w:gridCol w:w="4098"/>
        <w:gridCol w:w="1084"/>
        <w:gridCol w:w="1084"/>
        <w:gridCol w:w="897"/>
        <w:gridCol w:w="897"/>
      </w:tblGrid>
      <w:tr w:rsidR="008D5FD2" w:rsidRPr="00450502" w14:paraId="1E025480" w14:textId="77777777" w:rsidTr="00B27992">
        <w:trPr>
          <w:trHeight w:val="315"/>
          <w:jc w:val="center"/>
        </w:trPr>
        <w:tc>
          <w:tcPr>
            <w:tcW w:w="0" w:type="auto"/>
            <w:tcBorders>
              <w:top w:val="single" w:sz="4" w:space="0" w:color="auto"/>
              <w:left w:val="single" w:sz="8" w:space="0" w:color="auto"/>
              <w:bottom w:val="nil"/>
              <w:right w:val="nil"/>
            </w:tcBorders>
            <w:vAlign w:val="center"/>
            <w:hideMark/>
          </w:tcPr>
          <w:p w14:paraId="4D440DB8" w14:textId="77777777" w:rsidR="008D5FD2" w:rsidRPr="00450502" w:rsidRDefault="008D5FD2">
            <w:pPr>
              <w:rPr>
                <w:rFonts w:ascii="Arial" w:hAnsi="Arial" w:cs="Arial"/>
                <w:b/>
                <w:bCs/>
                <w:color w:val="000000"/>
                <w:sz w:val="24"/>
                <w:szCs w:val="24"/>
              </w:rPr>
            </w:pPr>
            <w:r w:rsidRPr="00450502">
              <w:rPr>
                <w:rFonts w:ascii="Arial" w:hAnsi="Arial" w:cs="Arial"/>
                <w:b/>
                <w:bCs/>
                <w:color w:val="000000"/>
                <w:sz w:val="24"/>
                <w:szCs w:val="24"/>
              </w:rPr>
              <w:t> </w:t>
            </w:r>
          </w:p>
        </w:tc>
        <w:tc>
          <w:tcPr>
            <w:tcW w:w="0" w:type="auto"/>
            <w:tcBorders>
              <w:top w:val="single" w:sz="4" w:space="0" w:color="auto"/>
              <w:left w:val="nil"/>
              <w:bottom w:val="nil"/>
              <w:right w:val="nil"/>
            </w:tcBorders>
            <w:vAlign w:val="center"/>
            <w:hideMark/>
          </w:tcPr>
          <w:p w14:paraId="46CF2D40" w14:textId="77777777" w:rsidR="008D5FD2" w:rsidRPr="00450502" w:rsidRDefault="008D5FD2">
            <w:pPr>
              <w:jc w:val="center"/>
              <w:rPr>
                <w:rFonts w:ascii="Arial" w:hAnsi="Arial" w:cs="Arial"/>
                <w:b/>
                <w:bCs/>
                <w:color w:val="000000"/>
                <w:sz w:val="24"/>
                <w:szCs w:val="24"/>
              </w:rPr>
            </w:pPr>
            <w:r w:rsidRPr="00450502">
              <w:rPr>
                <w:rFonts w:ascii="Arial" w:hAnsi="Arial" w:cs="Arial"/>
                <w:b/>
                <w:bCs/>
                <w:color w:val="000000"/>
                <w:sz w:val="24"/>
                <w:szCs w:val="24"/>
              </w:rPr>
              <w:t>Budget</w:t>
            </w:r>
          </w:p>
        </w:tc>
        <w:tc>
          <w:tcPr>
            <w:tcW w:w="0" w:type="auto"/>
            <w:tcBorders>
              <w:top w:val="single" w:sz="4" w:space="0" w:color="auto"/>
              <w:left w:val="nil"/>
              <w:bottom w:val="nil"/>
              <w:right w:val="nil"/>
            </w:tcBorders>
            <w:vAlign w:val="center"/>
            <w:hideMark/>
          </w:tcPr>
          <w:p w14:paraId="1507CF30" w14:textId="77777777" w:rsidR="008D5FD2" w:rsidRPr="00450502" w:rsidRDefault="008D5FD2">
            <w:pPr>
              <w:jc w:val="center"/>
              <w:rPr>
                <w:rFonts w:ascii="Arial" w:hAnsi="Arial" w:cs="Arial"/>
                <w:b/>
                <w:bCs/>
                <w:color w:val="000000"/>
                <w:sz w:val="24"/>
                <w:szCs w:val="24"/>
              </w:rPr>
            </w:pPr>
            <w:r w:rsidRPr="00450502">
              <w:rPr>
                <w:rFonts w:ascii="Arial" w:hAnsi="Arial" w:cs="Arial"/>
                <w:b/>
                <w:bCs/>
                <w:color w:val="000000"/>
                <w:sz w:val="24"/>
                <w:szCs w:val="24"/>
              </w:rPr>
              <w:t>Spend</w:t>
            </w:r>
          </w:p>
        </w:tc>
        <w:tc>
          <w:tcPr>
            <w:tcW w:w="0" w:type="auto"/>
            <w:gridSpan w:val="2"/>
            <w:tcBorders>
              <w:top w:val="single" w:sz="8" w:space="0" w:color="auto"/>
              <w:left w:val="nil"/>
              <w:bottom w:val="nil"/>
              <w:right w:val="single" w:sz="8" w:space="0" w:color="000000"/>
            </w:tcBorders>
            <w:vAlign w:val="center"/>
            <w:hideMark/>
          </w:tcPr>
          <w:p w14:paraId="67A41D3B" w14:textId="77777777" w:rsidR="008D5FD2" w:rsidRPr="00450502" w:rsidRDefault="008D5FD2">
            <w:pPr>
              <w:jc w:val="center"/>
              <w:rPr>
                <w:rFonts w:ascii="Arial" w:hAnsi="Arial" w:cs="Arial"/>
                <w:b/>
                <w:bCs/>
                <w:color w:val="000000"/>
                <w:sz w:val="24"/>
                <w:szCs w:val="24"/>
              </w:rPr>
            </w:pPr>
            <w:r w:rsidRPr="00450502">
              <w:rPr>
                <w:rFonts w:ascii="Arial" w:hAnsi="Arial" w:cs="Arial"/>
                <w:b/>
                <w:bCs/>
                <w:color w:val="000000"/>
                <w:sz w:val="24"/>
                <w:szCs w:val="24"/>
              </w:rPr>
              <w:t>Variance</w:t>
            </w:r>
          </w:p>
        </w:tc>
      </w:tr>
      <w:tr w:rsidR="008D5FD2" w:rsidRPr="00450502" w14:paraId="3E232F03" w14:textId="77777777" w:rsidTr="00B27992">
        <w:trPr>
          <w:trHeight w:val="315"/>
          <w:jc w:val="center"/>
        </w:trPr>
        <w:tc>
          <w:tcPr>
            <w:tcW w:w="0" w:type="auto"/>
            <w:tcBorders>
              <w:top w:val="nil"/>
              <w:left w:val="single" w:sz="8" w:space="0" w:color="auto"/>
              <w:bottom w:val="nil"/>
              <w:right w:val="nil"/>
            </w:tcBorders>
            <w:vAlign w:val="center"/>
            <w:hideMark/>
          </w:tcPr>
          <w:p w14:paraId="5A7073D6" w14:textId="77777777" w:rsidR="008D5FD2" w:rsidRPr="00450502" w:rsidRDefault="008D5FD2">
            <w:pPr>
              <w:rPr>
                <w:rFonts w:ascii="Arial" w:hAnsi="Arial" w:cs="Arial"/>
                <w:b/>
                <w:bCs/>
                <w:color w:val="000000"/>
                <w:sz w:val="24"/>
                <w:szCs w:val="24"/>
              </w:rPr>
            </w:pPr>
            <w:r w:rsidRPr="00450502">
              <w:rPr>
                <w:rFonts w:ascii="Arial" w:hAnsi="Arial" w:cs="Arial"/>
                <w:b/>
                <w:bCs/>
                <w:color w:val="000000"/>
                <w:sz w:val="24"/>
                <w:szCs w:val="24"/>
              </w:rPr>
              <w:t> </w:t>
            </w:r>
          </w:p>
        </w:tc>
        <w:tc>
          <w:tcPr>
            <w:tcW w:w="0" w:type="auto"/>
            <w:tcBorders>
              <w:top w:val="nil"/>
              <w:left w:val="nil"/>
              <w:bottom w:val="nil"/>
              <w:right w:val="nil"/>
            </w:tcBorders>
            <w:vAlign w:val="center"/>
            <w:hideMark/>
          </w:tcPr>
          <w:p w14:paraId="2718C192" w14:textId="77777777" w:rsidR="008D5FD2" w:rsidRPr="00450502" w:rsidRDefault="008D5FD2">
            <w:pPr>
              <w:jc w:val="center"/>
              <w:rPr>
                <w:rFonts w:ascii="Arial" w:hAnsi="Arial" w:cs="Arial"/>
                <w:b/>
                <w:bCs/>
                <w:color w:val="000000"/>
                <w:sz w:val="24"/>
                <w:szCs w:val="24"/>
              </w:rPr>
            </w:pPr>
            <w:r w:rsidRPr="00450502">
              <w:rPr>
                <w:rFonts w:ascii="Arial" w:hAnsi="Arial" w:cs="Arial"/>
                <w:b/>
                <w:bCs/>
                <w:color w:val="000000"/>
                <w:sz w:val="24"/>
                <w:szCs w:val="24"/>
              </w:rPr>
              <w:t>£m</w:t>
            </w:r>
          </w:p>
        </w:tc>
        <w:tc>
          <w:tcPr>
            <w:tcW w:w="0" w:type="auto"/>
            <w:tcBorders>
              <w:top w:val="nil"/>
              <w:left w:val="nil"/>
              <w:bottom w:val="nil"/>
              <w:right w:val="nil"/>
            </w:tcBorders>
            <w:vAlign w:val="center"/>
            <w:hideMark/>
          </w:tcPr>
          <w:p w14:paraId="7BC6B5EF" w14:textId="77777777" w:rsidR="008D5FD2" w:rsidRPr="00450502" w:rsidRDefault="008D5FD2">
            <w:pPr>
              <w:jc w:val="center"/>
              <w:rPr>
                <w:rFonts w:ascii="Arial" w:hAnsi="Arial" w:cs="Arial"/>
                <w:b/>
                <w:bCs/>
                <w:color w:val="000000"/>
                <w:sz w:val="24"/>
                <w:szCs w:val="24"/>
              </w:rPr>
            </w:pPr>
            <w:r w:rsidRPr="00450502">
              <w:rPr>
                <w:rFonts w:ascii="Arial" w:hAnsi="Arial" w:cs="Arial"/>
                <w:b/>
                <w:bCs/>
                <w:color w:val="000000"/>
                <w:sz w:val="24"/>
                <w:szCs w:val="24"/>
              </w:rPr>
              <w:t>£m</w:t>
            </w:r>
          </w:p>
        </w:tc>
        <w:tc>
          <w:tcPr>
            <w:tcW w:w="0" w:type="auto"/>
            <w:tcBorders>
              <w:top w:val="nil"/>
              <w:left w:val="nil"/>
              <w:bottom w:val="nil"/>
              <w:right w:val="nil"/>
            </w:tcBorders>
            <w:vAlign w:val="center"/>
            <w:hideMark/>
          </w:tcPr>
          <w:p w14:paraId="113E7EFF" w14:textId="77777777" w:rsidR="008D5FD2" w:rsidRPr="00450502" w:rsidRDefault="008D5FD2">
            <w:pPr>
              <w:jc w:val="center"/>
              <w:rPr>
                <w:rFonts w:ascii="Arial" w:hAnsi="Arial" w:cs="Arial"/>
                <w:b/>
                <w:bCs/>
                <w:color w:val="000000"/>
                <w:sz w:val="24"/>
                <w:szCs w:val="24"/>
              </w:rPr>
            </w:pPr>
            <w:r w:rsidRPr="00450502">
              <w:rPr>
                <w:rFonts w:ascii="Arial" w:hAnsi="Arial" w:cs="Arial"/>
                <w:b/>
                <w:bCs/>
                <w:color w:val="000000"/>
                <w:sz w:val="24"/>
                <w:szCs w:val="24"/>
              </w:rPr>
              <w:t>£m</w:t>
            </w:r>
          </w:p>
        </w:tc>
        <w:tc>
          <w:tcPr>
            <w:tcW w:w="0" w:type="auto"/>
            <w:tcBorders>
              <w:top w:val="nil"/>
              <w:left w:val="nil"/>
              <w:bottom w:val="nil"/>
              <w:right w:val="single" w:sz="8" w:space="0" w:color="auto"/>
            </w:tcBorders>
            <w:vAlign w:val="center"/>
            <w:hideMark/>
          </w:tcPr>
          <w:p w14:paraId="259AC924" w14:textId="77777777" w:rsidR="008D5FD2" w:rsidRPr="00450502" w:rsidRDefault="008D5FD2">
            <w:pPr>
              <w:jc w:val="center"/>
              <w:rPr>
                <w:rFonts w:ascii="Arial" w:hAnsi="Arial" w:cs="Arial"/>
                <w:b/>
                <w:bCs/>
                <w:color w:val="000000"/>
                <w:sz w:val="24"/>
                <w:szCs w:val="24"/>
              </w:rPr>
            </w:pPr>
            <w:r w:rsidRPr="00450502">
              <w:rPr>
                <w:rFonts w:ascii="Arial" w:hAnsi="Arial" w:cs="Arial"/>
                <w:b/>
                <w:bCs/>
                <w:color w:val="000000"/>
                <w:sz w:val="24"/>
                <w:szCs w:val="24"/>
              </w:rPr>
              <w:t>%</w:t>
            </w:r>
          </w:p>
        </w:tc>
      </w:tr>
      <w:tr w:rsidR="008D5FD2" w:rsidRPr="00450502" w14:paraId="4DED3A91" w14:textId="77777777" w:rsidTr="00B27992">
        <w:trPr>
          <w:trHeight w:val="315"/>
          <w:jc w:val="center"/>
        </w:trPr>
        <w:tc>
          <w:tcPr>
            <w:tcW w:w="0" w:type="auto"/>
            <w:tcBorders>
              <w:top w:val="nil"/>
              <w:left w:val="single" w:sz="8" w:space="0" w:color="auto"/>
              <w:bottom w:val="nil"/>
              <w:right w:val="nil"/>
            </w:tcBorders>
            <w:vAlign w:val="center"/>
            <w:hideMark/>
          </w:tcPr>
          <w:p w14:paraId="66CF641F" w14:textId="77777777" w:rsidR="008D5FD2" w:rsidRPr="00450502" w:rsidRDefault="008D5FD2">
            <w:pPr>
              <w:rPr>
                <w:rFonts w:ascii="Arial" w:hAnsi="Arial" w:cs="Arial"/>
                <w:b/>
                <w:bCs/>
                <w:color w:val="000000"/>
                <w:sz w:val="24"/>
                <w:szCs w:val="24"/>
              </w:rPr>
            </w:pPr>
            <w:r w:rsidRPr="00450502">
              <w:rPr>
                <w:rFonts w:ascii="Arial" w:hAnsi="Arial" w:cs="Arial"/>
                <w:b/>
                <w:bCs/>
                <w:color w:val="000000"/>
                <w:sz w:val="24"/>
                <w:szCs w:val="24"/>
              </w:rPr>
              <w:t>Chief Constable:</w:t>
            </w:r>
          </w:p>
        </w:tc>
        <w:tc>
          <w:tcPr>
            <w:tcW w:w="0" w:type="auto"/>
            <w:tcBorders>
              <w:top w:val="nil"/>
              <w:left w:val="nil"/>
              <w:bottom w:val="nil"/>
              <w:right w:val="nil"/>
            </w:tcBorders>
            <w:vAlign w:val="center"/>
            <w:hideMark/>
          </w:tcPr>
          <w:p w14:paraId="3D40F7E4" w14:textId="77777777" w:rsidR="008D5FD2" w:rsidRPr="00450502" w:rsidRDefault="008D5FD2">
            <w:pPr>
              <w:rPr>
                <w:rFonts w:ascii="Arial" w:hAnsi="Arial" w:cs="Arial"/>
                <w:b/>
                <w:bCs/>
                <w:color w:val="000000"/>
                <w:sz w:val="24"/>
                <w:szCs w:val="24"/>
              </w:rPr>
            </w:pPr>
          </w:p>
        </w:tc>
        <w:tc>
          <w:tcPr>
            <w:tcW w:w="0" w:type="auto"/>
            <w:tcBorders>
              <w:top w:val="nil"/>
              <w:left w:val="nil"/>
              <w:bottom w:val="nil"/>
              <w:right w:val="nil"/>
            </w:tcBorders>
            <w:vAlign w:val="center"/>
            <w:hideMark/>
          </w:tcPr>
          <w:p w14:paraId="0072BE9F" w14:textId="77777777" w:rsidR="008D5FD2" w:rsidRPr="00450502" w:rsidRDefault="008D5FD2">
            <w:pPr>
              <w:jc w:val="right"/>
              <w:rPr>
                <w:rFonts w:ascii="Arial" w:hAnsi="Arial" w:cs="Arial"/>
                <w:sz w:val="24"/>
                <w:szCs w:val="24"/>
              </w:rPr>
            </w:pPr>
          </w:p>
        </w:tc>
        <w:tc>
          <w:tcPr>
            <w:tcW w:w="0" w:type="auto"/>
            <w:tcBorders>
              <w:top w:val="nil"/>
              <w:left w:val="nil"/>
              <w:bottom w:val="nil"/>
              <w:right w:val="nil"/>
            </w:tcBorders>
            <w:vAlign w:val="center"/>
            <w:hideMark/>
          </w:tcPr>
          <w:p w14:paraId="4D07969A" w14:textId="77777777" w:rsidR="008D5FD2" w:rsidRPr="00450502" w:rsidRDefault="008D5FD2">
            <w:pPr>
              <w:jc w:val="right"/>
              <w:rPr>
                <w:rFonts w:ascii="Arial" w:hAnsi="Arial" w:cs="Arial"/>
                <w:sz w:val="24"/>
                <w:szCs w:val="24"/>
              </w:rPr>
            </w:pPr>
          </w:p>
        </w:tc>
        <w:tc>
          <w:tcPr>
            <w:tcW w:w="0" w:type="auto"/>
            <w:tcBorders>
              <w:top w:val="nil"/>
              <w:left w:val="nil"/>
              <w:bottom w:val="nil"/>
              <w:right w:val="single" w:sz="8" w:space="0" w:color="auto"/>
            </w:tcBorders>
            <w:vAlign w:val="center"/>
            <w:hideMark/>
          </w:tcPr>
          <w:p w14:paraId="37297EAB"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 </w:t>
            </w:r>
          </w:p>
        </w:tc>
      </w:tr>
      <w:tr w:rsidR="008D5FD2" w:rsidRPr="00450502" w14:paraId="30EE1C26" w14:textId="77777777" w:rsidTr="00B27992">
        <w:trPr>
          <w:trHeight w:val="315"/>
          <w:jc w:val="center"/>
        </w:trPr>
        <w:tc>
          <w:tcPr>
            <w:tcW w:w="0" w:type="auto"/>
            <w:tcBorders>
              <w:top w:val="nil"/>
              <w:left w:val="single" w:sz="8" w:space="0" w:color="auto"/>
              <w:bottom w:val="nil"/>
              <w:right w:val="nil"/>
            </w:tcBorders>
            <w:vAlign w:val="center"/>
            <w:hideMark/>
          </w:tcPr>
          <w:p w14:paraId="20EC9B5A"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Pay costs</w:t>
            </w:r>
          </w:p>
        </w:tc>
        <w:tc>
          <w:tcPr>
            <w:tcW w:w="0" w:type="auto"/>
            <w:tcBorders>
              <w:top w:val="nil"/>
              <w:left w:val="nil"/>
              <w:bottom w:val="nil"/>
              <w:right w:val="nil"/>
            </w:tcBorders>
            <w:vAlign w:val="center"/>
          </w:tcPr>
          <w:p w14:paraId="30109AE5" w14:textId="2538E003"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305.105</w:t>
            </w:r>
          </w:p>
        </w:tc>
        <w:tc>
          <w:tcPr>
            <w:tcW w:w="0" w:type="auto"/>
            <w:tcBorders>
              <w:top w:val="nil"/>
              <w:left w:val="nil"/>
              <w:bottom w:val="nil"/>
              <w:right w:val="nil"/>
            </w:tcBorders>
            <w:vAlign w:val="center"/>
          </w:tcPr>
          <w:p w14:paraId="08131CCF"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305.428</w:t>
            </w:r>
          </w:p>
        </w:tc>
        <w:tc>
          <w:tcPr>
            <w:tcW w:w="0" w:type="auto"/>
            <w:tcBorders>
              <w:top w:val="nil"/>
              <w:left w:val="nil"/>
              <w:bottom w:val="nil"/>
              <w:right w:val="nil"/>
            </w:tcBorders>
            <w:vAlign w:val="center"/>
          </w:tcPr>
          <w:p w14:paraId="6044EDF7"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0.323</w:t>
            </w:r>
          </w:p>
        </w:tc>
        <w:tc>
          <w:tcPr>
            <w:tcW w:w="0" w:type="auto"/>
            <w:tcBorders>
              <w:top w:val="nil"/>
              <w:left w:val="nil"/>
              <w:bottom w:val="nil"/>
              <w:right w:val="single" w:sz="8" w:space="0" w:color="auto"/>
            </w:tcBorders>
            <w:vAlign w:val="center"/>
          </w:tcPr>
          <w:p w14:paraId="4F6A027C"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0.11</w:t>
            </w:r>
          </w:p>
        </w:tc>
      </w:tr>
      <w:tr w:rsidR="008D5FD2" w:rsidRPr="00450502" w14:paraId="5A74E79E" w14:textId="77777777" w:rsidTr="00B27992">
        <w:trPr>
          <w:trHeight w:val="315"/>
          <w:jc w:val="center"/>
        </w:trPr>
        <w:tc>
          <w:tcPr>
            <w:tcW w:w="0" w:type="auto"/>
            <w:tcBorders>
              <w:top w:val="nil"/>
              <w:left w:val="single" w:sz="8" w:space="0" w:color="auto"/>
              <w:bottom w:val="nil"/>
              <w:right w:val="nil"/>
            </w:tcBorders>
            <w:vAlign w:val="center"/>
            <w:hideMark/>
          </w:tcPr>
          <w:p w14:paraId="39BAB41F"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ACC Territorial Operations</w:t>
            </w:r>
          </w:p>
        </w:tc>
        <w:tc>
          <w:tcPr>
            <w:tcW w:w="0" w:type="auto"/>
            <w:tcBorders>
              <w:top w:val="nil"/>
              <w:left w:val="nil"/>
              <w:bottom w:val="nil"/>
              <w:right w:val="nil"/>
            </w:tcBorders>
            <w:vAlign w:val="center"/>
          </w:tcPr>
          <w:p w14:paraId="4A9CECB1"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7.362</w:t>
            </w:r>
          </w:p>
        </w:tc>
        <w:tc>
          <w:tcPr>
            <w:tcW w:w="0" w:type="auto"/>
            <w:tcBorders>
              <w:top w:val="nil"/>
              <w:left w:val="nil"/>
              <w:bottom w:val="nil"/>
              <w:right w:val="nil"/>
            </w:tcBorders>
            <w:vAlign w:val="center"/>
          </w:tcPr>
          <w:p w14:paraId="01311D91"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7.357</w:t>
            </w:r>
          </w:p>
        </w:tc>
        <w:tc>
          <w:tcPr>
            <w:tcW w:w="0" w:type="auto"/>
            <w:tcBorders>
              <w:top w:val="nil"/>
              <w:left w:val="nil"/>
              <w:bottom w:val="nil"/>
              <w:right w:val="nil"/>
            </w:tcBorders>
            <w:vAlign w:val="center"/>
          </w:tcPr>
          <w:p w14:paraId="5448004B"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-0.005</w:t>
            </w:r>
          </w:p>
        </w:tc>
        <w:tc>
          <w:tcPr>
            <w:tcW w:w="0" w:type="auto"/>
            <w:tcBorders>
              <w:top w:val="nil"/>
              <w:left w:val="nil"/>
              <w:bottom w:val="nil"/>
              <w:right w:val="single" w:sz="8" w:space="0" w:color="auto"/>
            </w:tcBorders>
            <w:vAlign w:val="center"/>
          </w:tcPr>
          <w:p w14:paraId="69401510"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-0.07</w:t>
            </w:r>
          </w:p>
        </w:tc>
      </w:tr>
      <w:tr w:rsidR="008D5FD2" w:rsidRPr="00450502" w14:paraId="791176FE" w14:textId="77777777" w:rsidTr="00B27992">
        <w:trPr>
          <w:trHeight w:val="315"/>
          <w:jc w:val="center"/>
        </w:trPr>
        <w:tc>
          <w:tcPr>
            <w:tcW w:w="0" w:type="auto"/>
            <w:tcBorders>
              <w:top w:val="nil"/>
              <w:left w:val="single" w:sz="8" w:space="0" w:color="auto"/>
              <w:bottom w:val="nil"/>
              <w:right w:val="nil"/>
            </w:tcBorders>
            <w:vAlign w:val="center"/>
            <w:hideMark/>
          </w:tcPr>
          <w:p w14:paraId="51E68C50"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ACC Specialist Uniform Operations</w:t>
            </w:r>
          </w:p>
        </w:tc>
        <w:tc>
          <w:tcPr>
            <w:tcW w:w="0" w:type="auto"/>
            <w:tcBorders>
              <w:top w:val="nil"/>
              <w:left w:val="nil"/>
              <w:bottom w:val="nil"/>
              <w:right w:val="nil"/>
            </w:tcBorders>
            <w:vAlign w:val="center"/>
          </w:tcPr>
          <w:p w14:paraId="14A1B2D4"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5.759</w:t>
            </w:r>
          </w:p>
        </w:tc>
        <w:tc>
          <w:tcPr>
            <w:tcW w:w="0" w:type="auto"/>
            <w:tcBorders>
              <w:top w:val="nil"/>
              <w:left w:val="nil"/>
              <w:bottom w:val="nil"/>
              <w:right w:val="nil"/>
            </w:tcBorders>
            <w:vAlign w:val="center"/>
          </w:tcPr>
          <w:p w14:paraId="1A5639B9"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6.203</w:t>
            </w:r>
          </w:p>
        </w:tc>
        <w:tc>
          <w:tcPr>
            <w:tcW w:w="0" w:type="auto"/>
            <w:tcBorders>
              <w:top w:val="nil"/>
              <w:left w:val="nil"/>
              <w:bottom w:val="nil"/>
              <w:right w:val="nil"/>
            </w:tcBorders>
            <w:vAlign w:val="center"/>
          </w:tcPr>
          <w:p w14:paraId="78F1255A"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0.444</w:t>
            </w:r>
          </w:p>
        </w:tc>
        <w:tc>
          <w:tcPr>
            <w:tcW w:w="0" w:type="auto"/>
            <w:tcBorders>
              <w:top w:val="nil"/>
              <w:left w:val="nil"/>
              <w:bottom w:val="nil"/>
              <w:right w:val="single" w:sz="8" w:space="0" w:color="auto"/>
            </w:tcBorders>
            <w:vAlign w:val="center"/>
          </w:tcPr>
          <w:p w14:paraId="5632E1E8"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7.71</w:t>
            </w:r>
          </w:p>
        </w:tc>
      </w:tr>
      <w:tr w:rsidR="008D5FD2" w:rsidRPr="00450502" w14:paraId="0B120679" w14:textId="77777777" w:rsidTr="00B27992">
        <w:trPr>
          <w:trHeight w:val="315"/>
          <w:jc w:val="center"/>
        </w:trPr>
        <w:tc>
          <w:tcPr>
            <w:tcW w:w="0" w:type="auto"/>
            <w:tcBorders>
              <w:top w:val="nil"/>
              <w:left w:val="single" w:sz="8" w:space="0" w:color="auto"/>
              <w:bottom w:val="nil"/>
              <w:right w:val="nil"/>
            </w:tcBorders>
            <w:vAlign w:val="center"/>
            <w:hideMark/>
          </w:tcPr>
          <w:p w14:paraId="2E0ED5D3"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ACC Crime</w:t>
            </w:r>
          </w:p>
        </w:tc>
        <w:tc>
          <w:tcPr>
            <w:tcW w:w="0" w:type="auto"/>
            <w:tcBorders>
              <w:top w:val="nil"/>
              <w:left w:val="nil"/>
              <w:bottom w:val="nil"/>
              <w:right w:val="nil"/>
            </w:tcBorders>
            <w:vAlign w:val="center"/>
          </w:tcPr>
          <w:p w14:paraId="0A2DDAB2"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3.778</w:t>
            </w:r>
          </w:p>
        </w:tc>
        <w:tc>
          <w:tcPr>
            <w:tcW w:w="0" w:type="auto"/>
            <w:tcBorders>
              <w:top w:val="nil"/>
              <w:left w:val="nil"/>
              <w:bottom w:val="nil"/>
              <w:right w:val="nil"/>
            </w:tcBorders>
            <w:vAlign w:val="center"/>
          </w:tcPr>
          <w:p w14:paraId="1C2B8661"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4.606</w:t>
            </w:r>
          </w:p>
        </w:tc>
        <w:tc>
          <w:tcPr>
            <w:tcW w:w="0" w:type="auto"/>
            <w:tcBorders>
              <w:top w:val="nil"/>
              <w:left w:val="nil"/>
              <w:bottom w:val="nil"/>
              <w:right w:val="nil"/>
            </w:tcBorders>
            <w:vAlign w:val="center"/>
          </w:tcPr>
          <w:p w14:paraId="4CCEF50E"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0.828</w:t>
            </w:r>
          </w:p>
        </w:tc>
        <w:tc>
          <w:tcPr>
            <w:tcW w:w="0" w:type="auto"/>
            <w:tcBorders>
              <w:top w:val="nil"/>
              <w:left w:val="nil"/>
              <w:bottom w:val="nil"/>
              <w:right w:val="single" w:sz="8" w:space="0" w:color="auto"/>
            </w:tcBorders>
            <w:vAlign w:val="center"/>
          </w:tcPr>
          <w:p w14:paraId="3A9BEE4E"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21.91</w:t>
            </w:r>
          </w:p>
        </w:tc>
      </w:tr>
      <w:tr w:rsidR="008D5FD2" w:rsidRPr="00450502" w14:paraId="3A5C21EA" w14:textId="77777777" w:rsidTr="00B27992">
        <w:trPr>
          <w:trHeight w:val="315"/>
          <w:jc w:val="center"/>
        </w:trPr>
        <w:tc>
          <w:tcPr>
            <w:tcW w:w="0" w:type="auto"/>
            <w:tcBorders>
              <w:top w:val="nil"/>
              <w:left w:val="single" w:sz="8" w:space="0" w:color="auto"/>
              <w:bottom w:val="nil"/>
              <w:right w:val="nil"/>
            </w:tcBorders>
            <w:vAlign w:val="center"/>
            <w:hideMark/>
          </w:tcPr>
          <w:p w14:paraId="4D8F0528"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Chief Operating Officer</w:t>
            </w:r>
          </w:p>
        </w:tc>
        <w:tc>
          <w:tcPr>
            <w:tcW w:w="0" w:type="auto"/>
            <w:tcBorders>
              <w:top w:val="nil"/>
              <w:left w:val="nil"/>
              <w:bottom w:val="nil"/>
              <w:right w:val="nil"/>
            </w:tcBorders>
            <w:vAlign w:val="center"/>
          </w:tcPr>
          <w:p w14:paraId="02C5A807"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35.015</w:t>
            </w:r>
          </w:p>
        </w:tc>
        <w:tc>
          <w:tcPr>
            <w:tcW w:w="0" w:type="auto"/>
            <w:tcBorders>
              <w:top w:val="nil"/>
              <w:left w:val="nil"/>
              <w:bottom w:val="nil"/>
              <w:right w:val="nil"/>
            </w:tcBorders>
            <w:vAlign w:val="center"/>
          </w:tcPr>
          <w:p w14:paraId="73CBB582"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34.499</w:t>
            </w:r>
          </w:p>
        </w:tc>
        <w:tc>
          <w:tcPr>
            <w:tcW w:w="0" w:type="auto"/>
            <w:tcBorders>
              <w:top w:val="nil"/>
              <w:left w:val="nil"/>
              <w:bottom w:val="nil"/>
              <w:right w:val="nil"/>
            </w:tcBorders>
            <w:vAlign w:val="center"/>
          </w:tcPr>
          <w:p w14:paraId="68FF396F"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-0.516</w:t>
            </w:r>
          </w:p>
        </w:tc>
        <w:tc>
          <w:tcPr>
            <w:tcW w:w="0" w:type="auto"/>
            <w:tcBorders>
              <w:top w:val="nil"/>
              <w:left w:val="nil"/>
              <w:bottom w:val="nil"/>
              <w:right w:val="single" w:sz="8" w:space="0" w:color="auto"/>
            </w:tcBorders>
            <w:vAlign w:val="center"/>
          </w:tcPr>
          <w:p w14:paraId="224B35D0"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-1.47</w:t>
            </w:r>
          </w:p>
        </w:tc>
      </w:tr>
      <w:tr w:rsidR="008D5FD2" w:rsidRPr="00450502" w14:paraId="61ABAD90" w14:textId="77777777" w:rsidTr="00B27992">
        <w:trPr>
          <w:trHeight w:val="315"/>
          <w:jc w:val="center"/>
        </w:trPr>
        <w:tc>
          <w:tcPr>
            <w:tcW w:w="0" w:type="auto"/>
            <w:tcBorders>
              <w:top w:val="nil"/>
              <w:left w:val="single" w:sz="8" w:space="0" w:color="auto"/>
              <w:bottom w:val="nil"/>
              <w:right w:val="nil"/>
            </w:tcBorders>
            <w:vAlign w:val="center"/>
          </w:tcPr>
          <w:p w14:paraId="7B8DCE11"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Deputy Chief Constable</w:t>
            </w:r>
          </w:p>
        </w:tc>
        <w:tc>
          <w:tcPr>
            <w:tcW w:w="0" w:type="auto"/>
            <w:tcBorders>
              <w:top w:val="nil"/>
              <w:left w:val="nil"/>
              <w:bottom w:val="nil"/>
              <w:right w:val="nil"/>
            </w:tcBorders>
            <w:vAlign w:val="center"/>
          </w:tcPr>
          <w:p w14:paraId="0A276DFF"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1.504</w:t>
            </w:r>
          </w:p>
        </w:tc>
        <w:tc>
          <w:tcPr>
            <w:tcW w:w="0" w:type="auto"/>
            <w:tcBorders>
              <w:top w:val="nil"/>
              <w:left w:val="nil"/>
              <w:bottom w:val="nil"/>
              <w:right w:val="nil"/>
            </w:tcBorders>
            <w:vAlign w:val="center"/>
          </w:tcPr>
          <w:p w14:paraId="25B38104"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1.497</w:t>
            </w:r>
          </w:p>
        </w:tc>
        <w:tc>
          <w:tcPr>
            <w:tcW w:w="0" w:type="auto"/>
            <w:tcBorders>
              <w:top w:val="nil"/>
              <w:left w:val="nil"/>
              <w:bottom w:val="nil"/>
              <w:right w:val="nil"/>
            </w:tcBorders>
            <w:vAlign w:val="center"/>
          </w:tcPr>
          <w:p w14:paraId="726944D3"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-0.007</w:t>
            </w:r>
          </w:p>
        </w:tc>
        <w:tc>
          <w:tcPr>
            <w:tcW w:w="0" w:type="auto"/>
            <w:tcBorders>
              <w:top w:val="nil"/>
              <w:left w:val="nil"/>
              <w:bottom w:val="nil"/>
              <w:right w:val="single" w:sz="8" w:space="0" w:color="auto"/>
            </w:tcBorders>
            <w:vAlign w:val="center"/>
          </w:tcPr>
          <w:p w14:paraId="4B8252B4"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-0.47</w:t>
            </w:r>
          </w:p>
        </w:tc>
      </w:tr>
      <w:tr w:rsidR="008D5FD2" w:rsidRPr="00450502" w14:paraId="28AAD48D" w14:textId="77777777" w:rsidTr="00B27992">
        <w:trPr>
          <w:trHeight w:val="315"/>
          <w:jc w:val="center"/>
        </w:trPr>
        <w:tc>
          <w:tcPr>
            <w:tcW w:w="0" w:type="auto"/>
            <w:tcBorders>
              <w:top w:val="single" w:sz="4" w:space="0" w:color="auto"/>
              <w:left w:val="single" w:sz="8" w:space="0" w:color="auto"/>
              <w:bottom w:val="nil"/>
              <w:right w:val="nil"/>
            </w:tcBorders>
            <w:vAlign w:val="center"/>
            <w:hideMark/>
          </w:tcPr>
          <w:p w14:paraId="122E55EA"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Sub total</w:t>
            </w:r>
          </w:p>
        </w:tc>
        <w:tc>
          <w:tcPr>
            <w:tcW w:w="0" w:type="auto"/>
            <w:tcBorders>
              <w:top w:val="single" w:sz="4" w:space="0" w:color="auto"/>
              <w:left w:val="nil"/>
              <w:bottom w:val="nil"/>
              <w:right w:val="nil"/>
            </w:tcBorders>
            <w:vAlign w:val="center"/>
          </w:tcPr>
          <w:p w14:paraId="16A2BB5E"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358.523</w:t>
            </w:r>
          </w:p>
        </w:tc>
        <w:tc>
          <w:tcPr>
            <w:tcW w:w="0" w:type="auto"/>
            <w:tcBorders>
              <w:top w:val="single" w:sz="4" w:space="0" w:color="auto"/>
              <w:left w:val="nil"/>
              <w:bottom w:val="nil"/>
              <w:right w:val="nil"/>
            </w:tcBorders>
            <w:vAlign w:val="center"/>
          </w:tcPr>
          <w:p w14:paraId="7BFAB1F4"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359.590</w:t>
            </w:r>
          </w:p>
        </w:tc>
        <w:tc>
          <w:tcPr>
            <w:tcW w:w="0" w:type="auto"/>
            <w:tcBorders>
              <w:top w:val="single" w:sz="4" w:space="0" w:color="auto"/>
              <w:left w:val="nil"/>
              <w:bottom w:val="nil"/>
              <w:right w:val="nil"/>
            </w:tcBorders>
            <w:vAlign w:val="center"/>
          </w:tcPr>
          <w:p w14:paraId="5B89CF4E"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1.067</w:t>
            </w:r>
          </w:p>
        </w:tc>
        <w:tc>
          <w:tcPr>
            <w:tcW w:w="0" w:type="auto"/>
            <w:tcBorders>
              <w:top w:val="single" w:sz="4" w:space="0" w:color="auto"/>
              <w:left w:val="nil"/>
              <w:bottom w:val="nil"/>
              <w:right w:val="single" w:sz="8" w:space="0" w:color="auto"/>
            </w:tcBorders>
            <w:vAlign w:val="center"/>
          </w:tcPr>
          <w:p w14:paraId="50E2D24E"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0.30</w:t>
            </w:r>
          </w:p>
        </w:tc>
      </w:tr>
      <w:tr w:rsidR="008D5FD2" w:rsidRPr="00450502" w14:paraId="6FAF1169" w14:textId="77777777" w:rsidTr="00B27992">
        <w:trPr>
          <w:trHeight w:val="315"/>
          <w:jc w:val="center"/>
        </w:trPr>
        <w:tc>
          <w:tcPr>
            <w:tcW w:w="0" w:type="auto"/>
            <w:tcBorders>
              <w:top w:val="nil"/>
              <w:left w:val="single" w:sz="8" w:space="0" w:color="auto"/>
              <w:bottom w:val="single" w:sz="4" w:space="0" w:color="auto"/>
              <w:right w:val="nil"/>
            </w:tcBorders>
            <w:vAlign w:val="center"/>
            <w:hideMark/>
          </w:tcPr>
          <w:p w14:paraId="3CA8F360"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Non-DFM budget</w:t>
            </w:r>
          </w:p>
        </w:tc>
        <w:tc>
          <w:tcPr>
            <w:tcW w:w="0" w:type="auto"/>
            <w:tcBorders>
              <w:top w:val="nil"/>
              <w:left w:val="nil"/>
              <w:bottom w:val="nil"/>
              <w:right w:val="nil"/>
            </w:tcBorders>
            <w:vAlign w:val="center"/>
          </w:tcPr>
          <w:p w14:paraId="388D6EA9"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7.229</w:t>
            </w:r>
          </w:p>
        </w:tc>
        <w:tc>
          <w:tcPr>
            <w:tcW w:w="0" w:type="auto"/>
            <w:tcBorders>
              <w:top w:val="nil"/>
              <w:left w:val="nil"/>
              <w:bottom w:val="nil"/>
              <w:right w:val="nil"/>
            </w:tcBorders>
            <w:vAlign w:val="center"/>
          </w:tcPr>
          <w:p w14:paraId="24DB197F"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5.762</w:t>
            </w:r>
          </w:p>
        </w:tc>
        <w:tc>
          <w:tcPr>
            <w:tcW w:w="0" w:type="auto"/>
            <w:tcBorders>
              <w:top w:val="nil"/>
              <w:left w:val="nil"/>
              <w:bottom w:val="nil"/>
              <w:right w:val="nil"/>
            </w:tcBorders>
            <w:vAlign w:val="center"/>
          </w:tcPr>
          <w:p w14:paraId="046DD749"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-1.467</w:t>
            </w:r>
          </w:p>
        </w:tc>
        <w:tc>
          <w:tcPr>
            <w:tcW w:w="0" w:type="auto"/>
            <w:tcBorders>
              <w:top w:val="nil"/>
              <w:left w:val="nil"/>
              <w:bottom w:val="nil"/>
              <w:right w:val="single" w:sz="8" w:space="0" w:color="auto"/>
            </w:tcBorders>
            <w:vAlign w:val="center"/>
          </w:tcPr>
          <w:p w14:paraId="04E8BD33"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-20.29</w:t>
            </w:r>
          </w:p>
        </w:tc>
      </w:tr>
      <w:tr w:rsidR="008D5FD2" w:rsidRPr="00450502" w14:paraId="67A40A68" w14:textId="77777777" w:rsidTr="00B27992">
        <w:trPr>
          <w:trHeight w:val="315"/>
          <w:jc w:val="center"/>
        </w:trPr>
        <w:tc>
          <w:tcPr>
            <w:tcW w:w="0" w:type="auto"/>
            <w:tcBorders>
              <w:top w:val="single" w:sz="4" w:space="0" w:color="auto"/>
              <w:left w:val="single" w:sz="8" w:space="0" w:color="auto"/>
              <w:bottom w:val="nil"/>
              <w:right w:val="nil"/>
            </w:tcBorders>
            <w:vAlign w:val="center"/>
            <w:hideMark/>
          </w:tcPr>
          <w:p w14:paraId="2A3BD8B7" w14:textId="77777777" w:rsidR="008D5FD2" w:rsidRPr="00450502" w:rsidRDefault="008D5FD2">
            <w:pPr>
              <w:rPr>
                <w:rFonts w:ascii="Arial" w:hAnsi="Arial" w:cs="Arial"/>
                <w:b/>
                <w:bCs/>
                <w:color w:val="000000"/>
                <w:sz w:val="24"/>
                <w:szCs w:val="24"/>
              </w:rPr>
            </w:pPr>
            <w:r w:rsidRPr="00450502">
              <w:rPr>
                <w:rFonts w:ascii="Arial" w:hAnsi="Arial" w:cs="Arial"/>
                <w:b/>
                <w:bCs/>
                <w:color w:val="000000"/>
                <w:sz w:val="24"/>
                <w:szCs w:val="24"/>
              </w:rPr>
              <w:t>Total Constabulary Budget</w:t>
            </w:r>
          </w:p>
        </w:tc>
        <w:tc>
          <w:tcPr>
            <w:tcW w:w="0" w:type="auto"/>
            <w:tcBorders>
              <w:top w:val="single" w:sz="4" w:space="0" w:color="auto"/>
              <w:left w:val="nil"/>
              <w:bottom w:val="nil"/>
              <w:right w:val="nil"/>
            </w:tcBorders>
            <w:vAlign w:val="center"/>
          </w:tcPr>
          <w:p w14:paraId="54F5A9CA"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365.752</w:t>
            </w:r>
          </w:p>
        </w:tc>
        <w:tc>
          <w:tcPr>
            <w:tcW w:w="0" w:type="auto"/>
            <w:tcBorders>
              <w:top w:val="single" w:sz="4" w:space="0" w:color="auto"/>
              <w:left w:val="nil"/>
              <w:bottom w:val="nil"/>
              <w:right w:val="nil"/>
            </w:tcBorders>
            <w:vAlign w:val="center"/>
          </w:tcPr>
          <w:p w14:paraId="6F7F84E5"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365.352</w:t>
            </w:r>
          </w:p>
        </w:tc>
        <w:tc>
          <w:tcPr>
            <w:tcW w:w="0" w:type="auto"/>
            <w:tcBorders>
              <w:top w:val="single" w:sz="4" w:space="0" w:color="auto"/>
              <w:left w:val="nil"/>
              <w:bottom w:val="nil"/>
              <w:right w:val="nil"/>
            </w:tcBorders>
            <w:vAlign w:val="center"/>
          </w:tcPr>
          <w:p w14:paraId="0A1A2F38"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-0.401</w:t>
            </w:r>
          </w:p>
        </w:tc>
        <w:tc>
          <w:tcPr>
            <w:tcW w:w="0" w:type="auto"/>
            <w:tcBorders>
              <w:top w:val="single" w:sz="4" w:space="0" w:color="auto"/>
              <w:left w:val="nil"/>
              <w:bottom w:val="nil"/>
              <w:right w:val="single" w:sz="8" w:space="0" w:color="auto"/>
            </w:tcBorders>
            <w:vAlign w:val="center"/>
          </w:tcPr>
          <w:p w14:paraId="29922BB8"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-0.11</w:t>
            </w:r>
          </w:p>
        </w:tc>
      </w:tr>
      <w:tr w:rsidR="008D5FD2" w:rsidRPr="00450502" w14:paraId="6DE099B6" w14:textId="77777777" w:rsidTr="00B27992">
        <w:trPr>
          <w:trHeight w:val="315"/>
          <w:jc w:val="center"/>
        </w:trPr>
        <w:tc>
          <w:tcPr>
            <w:tcW w:w="0" w:type="auto"/>
            <w:tcBorders>
              <w:top w:val="nil"/>
              <w:left w:val="single" w:sz="8" w:space="0" w:color="auto"/>
              <w:bottom w:val="nil"/>
              <w:right w:val="nil"/>
            </w:tcBorders>
            <w:vAlign w:val="center"/>
            <w:hideMark/>
          </w:tcPr>
          <w:p w14:paraId="1B302C72" w14:textId="77777777" w:rsidR="008D5FD2" w:rsidRPr="00450502" w:rsidRDefault="008D5FD2">
            <w:pPr>
              <w:rPr>
                <w:rFonts w:ascii="Arial" w:hAnsi="Arial" w:cs="Arial"/>
                <w:b/>
                <w:bCs/>
                <w:color w:val="000000"/>
                <w:sz w:val="24"/>
                <w:szCs w:val="24"/>
              </w:rPr>
            </w:pPr>
            <w:r w:rsidRPr="00450502">
              <w:rPr>
                <w:rFonts w:ascii="Arial" w:hAnsi="Arial" w:cs="Arial"/>
                <w:b/>
                <w:bCs/>
                <w:color w:val="000000"/>
                <w:sz w:val="24"/>
                <w:szCs w:val="24"/>
              </w:rPr>
              <w:t> </w:t>
            </w:r>
          </w:p>
        </w:tc>
        <w:tc>
          <w:tcPr>
            <w:tcW w:w="0" w:type="auto"/>
            <w:tcBorders>
              <w:top w:val="nil"/>
              <w:left w:val="nil"/>
              <w:bottom w:val="nil"/>
              <w:right w:val="nil"/>
            </w:tcBorders>
            <w:vAlign w:val="center"/>
          </w:tcPr>
          <w:p w14:paraId="2225E423" w14:textId="77777777" w:rsidR="008D5FD2" w:rsidRPr="00450502" w:rsidRDefault="008D5FD2">
            <w:pPr>
              <w:rPr>
                <w:rFonts w:ascii="Arial" w:hAnsi="Arial" w:cs="Arial"/>
                <w:b/>
                <w:bCs/>
                <w:color w:val="000000"/>
                <w:sz w:val="24"/>
                <w:szCs w:val="24"/>
              </w:rPr>
            </w:pPr>
          </w:p>
        </w:tc>
        <w:tc>
          <w:tcPr>
            <w:tcW w:w="0" w:type="auto"/>
            <w:tcBorders>
              <w:top w:val="nil"/>
              <w:left w:val="nil"/>
              <w:bottom w:val="nil"/>
              <w:right w:val="nil"/>
            </w:tcBorders>
            <w:vAlign w:val="center"/>
          </w:tcPr>
          <w:p w14:paraId="22ADDA93" w14:textId="77777777" w:rsidR="008D5FD2" w:rsidRPr="00450502" w:rsidRDefault="008D5FD2">
            <w:pPr>
              <w:jc w:val="right"/>
              <w:rPr>
                <w:rFonts w:ascii="Arial" w:hAnsi="Arial" w:cs="Arial"/>
                <w:sz w:val="24"/>
                <w:szCs w:val="24"/>
              </w:rPr>
            </w:pPr>
          </w:p>
        </w:tc>
        <w:tc>
          <w:tcPr>
            <w:tcW w:w="0" w:type="auto"/>
            <w:tcBorders>
              <w:top w:val="nil"/>
              <w:left w:val="nil"/>
              <w:bottom w:val="nil"/>
              <w:right w:val="nil"/>
            </w:tcBorders>
            <w:vAlign w:val="center"/>
          </w:tcPr>
          <w:p w14:paraId="02A6F44D" w14:textId="77777777" w:rsidR="008D5FD2" w:rsidRPr="00450502" w:rsidRDefault="008D5FD2">
            <w:pPr>
              <w:jc w:val="right"/>
              <w:rPr>
                <w:rFonts w:ascii="Arial" w:hAnsi="Arial" w:cs="Arial"/>
                <w:sz w:val="24"/>
                <w:szCs w:val="24"/>
              </w:rPr>
            </w:pPr>
          </w:p>
        </w:tc>
        <w:tc>
          <w:tcPr>
            <w:tcW w:w="0" w:type="auto"/>
            <w:tcBorders>
              <w:top w:val="nil"/>
              <w:left w:val="nil"/>
              <w:bottom w:val="nil"/>
              <w:right w:val="single" w:sz="8" w:space="0" w:color="auto"/>
            </w:tcBorders>
            <w:vAlign w:val="center"/>
          </w:tcPr>
          <w:p w14:paraId="59F6D89B" w14:textId="77777777" w:rsidR="008D5FD2" w:rsidRPr="00450502" w:rsidRDefault="008D5FD2">
            <w:pPr>
              <w:jc w:val="right"/>
              <w:rPr>
                <w:rFonts w:ascii="Arial" w:hAnsi="Arial" w:cs="Arial"/>
                <w:color w:val="000000"/>
                <w:sz w:val="24"/>
                <w:szCs w:val="24"/>
              </w:rPr>
            </w:pPr>
          </w:p>
        </w:tc>
      </w:tr>
      <w:tr w:rsidR="008D5FD2" w:rsidRPr="00450502" w14:paraId="55ED5EED" w14:textId="77777777" w:rsidTr="00B27992">
        <w:trPr>
          <w:trHeight w:val="315"/>
          <w:jc w:val="center"/>
        </w:trPr>
        <w:tc>
          <w:tcPr>
            <w:tcW w:w="0" w:type="auto"/>
            <w:tcBorders>
              <w:top w:val="nil"/>
              <w:left w:val="single" w:sz="8" w:space="0" w:color="auto"/>
              <w:bottom w:val="nil"/>
              <w:right w:val="nil"/>
            </w:tcBorders>
            <w:vAlign w:val="center"/>
            <w:hideMark/>
          </w:tcPr>
          <w:p w14:paraId="5C75BF12" w14:textId="77777777" w:rsidR="008D5FD2" w:rsidRPr="00450502" w:rsidRDefault="008D5FD2">
            <w:pPr>
              <w:rPr>
                <w:rFonts w:ascii="Arial" w:hAnsi="Arial" w:cs="Arial"/>
                <w:b/>
                <w:bCs/>
                <w:color w:val="000000"/>
                <w:sz w:val="24"/>
                <w:szCs w:val="24"/>
              </w:rPr>
            </w:pPr>
            <w:r w:rsidRPr="00450502">
              <w:rPr>
                <w:rFonts w:ascii="Arial" w:hAnsi="Arial" w:cs="Arial"/>
                <w:b/>
                <w:bCs/>
                <w:color w:val="000000"/>
                <w:sz w:val="24"/>
                <w:szCs w:val="24"/>
              </w:rPr>
              <w:t>PCC:</w:t>
            </w:r>
          </w:p>
        </w:tc>
        <w:tc>
          <w:tcPr>
            <w:tcW w:w="0" w:type="auto"/>
            <w:tcBorders>
              <w:top w:val="nil"/>
              <w:left w:val="nil"/>
              <w:bottom w:val="nil"/>
              <w:right w:val="nil"/>
            </w:tcBorders>
            <w:vAlign w:val="center"/>
          </w:tcPr>
          <w:p w14:paraId="2C2FFB5E" w14:textId="77777777" w:rsidR="008D5FD2" w:rsidRPr="00450502" w:rsidRDefault="008D5FD2">
            <w:pPr>
              <w:rPr>
                <w:rFonts w:ascii="Arial" w:hAnsi="Arial" w:cs="Arial"/>
                <w:b/>
                <w:bCs/>
                <w:color w:val="000000"/>
                <w:sz w:val="24"/>
                <w:szCs w:val="24"/>
              </w:rPr>
            </w:pPr>
          </w:p>
        </w:tc>
        <w:tc>
          <w:tcPr>
            <w:tcW w:w="0" w:type="auto"/>
            <w:tcBorders>
              <w:top w:val="nil"/>
              <w:left w:val="nil"/>
              <w:bottom w:val="nil"/>
              <w:right w:val="nil"/>
            </w:tcBorders>
            <w:vAlign w:val="center"/>
          </w:tcPr>
          <w:p w14:paraId="47CB1938" w14:textId="77777777" w:rsidR="008D5FD2" w:rsidRPr="00450502" w:rsidRDefault="008D5FD2">
            <w:pPr>
              <w:jc w:val="right"/>
              <w:rPr>
                <w:rFonts w:ascii="Arial" w:hAnsi="Arial" w:cs="Arial"/>
                <w:sz w:val="24"/>
                <w:szCs w:val="24"/>
              </w:rPr>
            </w:pPr>
          </w:p>
        </w:tc>
        <w:tc>
          <w:tcPr>
            <w:tcW w:w="0" w:type="auto"/>
            <w:tcBorders>
              <w:top w:val="nil"/>
              <w:left w:val="nil"/>
              <w:bottom w:val="nil"/>
              <w:right w:val="nil"/>
            </w:tcBorders>
            <w:vAlign w:val="center"/>
          </w:tcPr>
          <w:p w14:paraId="55934B8A" w14:textId="77777777" w:rsidR="008D5FD2" w:rsidRPr="00450502" w:rsidRDefault="008D5FD2">
            <w:pPr>
              <w:jc w:val="right"/>
              <w:rPr>
                <w:rFonts w:ascii="Arial" w:hAnsi="Arial" w:cs="Arial"/>
                <w:sz w:val="24"/>
                <w:szCs w:val="24"/>
              </w:rPr>
            </w:pPr>
          </w:p>
        </w:tc>
        <w:tc>
          <w:tcPr>
            <w:tcW w:w="0" w:type="auto"/>
            <w:tcBorders>
              <w:top w:val="nil"/>
              <w:left w:val="nil"/>
              <w:bottom w:val="nil"/>
              <w:right w:val="single" w:sz="8" w:space="0" w:color="auto"/>
            </w:tcBorders>
            <w:vAlign w:val="center"/>
          </w:tcPr>
          <w:p w14:paraId="0EC5D0F1" w14:textId="77777777" w:rsidR="008D5FD2" w:rsidRPr="00450502" w:rsidRDefault="008D5FD2">
            <w:pPr>
              <w:jc w:val="right"/>
              <w:rPr>
                <w:rFonts w:ascii="Arial" w:hAnsi="Arial" w:cs="Arial"/>
                <w:color w:val="000000"/>
                <w:sz w:val="24"/>
                <w:szCs w:val="24"/>
              </w:rPr>
            </w:pPr>
          </w:p>
        </w:tc>
      </w:tr>
      <w:tr w:rsidR="008D5FD2" w:rsidRPr="00450502" w14:paraId="75352D9A" w14:textId="77777777" w:rsidTr="00B27992">
        <w:trPr>
          <w:trHeight w:val="315"/>
          <w:jc w:val="center"/>
        </w:trPr>
        <w:tc>
          <w:tcPr>
            <w:tcW w:w="0" w:type="auto"/>
            <w:tcBorders>
              <w:top w:val="nil"/>
              <w:left w:val="single" w:sz="8" w:space="0" w:color="auto"/>
              <w:bottom w:val="nil"/>
              <w:right w:val="nil"/>
            </w:tcBorders>
            <w:vAlign w:val="center"/>
            <w:hideMark/>
          </w:tcPr>
          <w:p w14:paraId="0E5F9ED7"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Office of the PCC</w:t>
            </w:r>
          </w:p>
        </w:tc>
        <w:tc>
          <w:tcPr>
            <w:tcW w:w="0" w:type="auto"/>
            <w:tcBorders>
              <w:top w:val="nil"/>
              <w:left w:val="nil"/>
              <w:bottom w:val="nil"/>
              <w:right w:val="nil"/>
            </w:tcBorders>
            <w:vAlign w:val="center"/>
          </w:tcPr>
          <w:p w14:paraId="055D516F"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1.812</w:t>
            </w:r>
          </w:p>
        </w:tc>
        <w:tc>
          <w:tcPr>
            <w:tcW w:w="0" w:type="auto"/>
            <w:tcBorders>
              <w:top w:val="nil"/>
              <w:left w:val="nil"/>
              <w:bottom w:val="nil"/>
              <w:right w:val="nil"/>
            </w:tcBorders>
            <w:vAlign w:val="center"/>
          </w:tcPr>
          <w:p w14:paraId="6809D30F"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1.863</w:t>
            </w:r>
          </w:p>
        </w:tc>
        <w:tc>
          <w:tcPr>
            <w:tcW w:w="0" w:type="auto"/>
            <w:tcBorders>
              <w:top w:val="nil"/>
              <w:left w:val="nil"/>
              <w:bottom w:val="nil"/>
              <w:right w:val="nil"/>
            </w:tcBorders>
            <w:vAlign w:val="center"/>
          </w:tcPr>
          <w:p w14:paraId="5BF2C814"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0.051</w:t>
            </w:r>
          </w:p>
        </w:tc>
        <w:tc>
          <w:tcPr>
            <w:tcW w:w="0" w:type="auto"/>
            <w:tcBorders>
              <w:top w:val="nil"/>
              <w:left w:val="nil"/>
              <w:bottom w:val="nil"/>
              <w:right w:val="single" w:sz="8" w:space="0" w:color="auto"/>
            </w:tcBorders>
            <w:vAlign w:val="center"/>
          </w:tcPr>
          <w:p w14:paraId="0BF29B1C"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2.83</w:t>
            </w:r>
          </w:p>
        </w:tc>
      </w:tr>
      <w:tr w:rsidR="008D5FD2" w:rsidRPr="00450502" w14:paraId="496B7DF0" w14:textId="77777777" w:rsidTr="00B27992">
        <w:trPr>
          <w:trHeight w:val="315"/>
          <w:jc w:val="center"/>
        </w:trPr>
        <w:tc>
          <w:tcPr>
            <w:tcW w:w="0" w:type="auto"/>
            <w:tcBorders>
              <w:top w:val="nil"/>
              <w:left w:val="single" w:sz="8" w:space="0" w:color="auto"/>
              <w:bottom w:val="nil"/>
              <w:right w:val="nil"/>
            </w:tcBorders>
            <w:vAlign w:val="center"/>
            <w:hideMark/>
          </w:tcPr>
          <w:p w14:paraId="14236223"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Communications</w:t>
            </w:r>
          </w:p>
        </w:tc>
        <w:tc>
          <w:tcPr>
            <w:tcW w:w="0" w:type="auto"/>
            <w:tcBorders>
              <w:top w:val="nil"/>
              <w:left w:val="nil"/>
              <w:bottom w:val="nil"/>
              <w:right w:val="nil"/>
            </w:tcBorders>
            <w:vAlign w:val="center"/>
          </w:tcPr>
          <w:p w14:paraId="2C788F7D"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0.130</w:t>
            </w:r>
          </w:p>
        </w:tc>
        <w:tc>
          <w:tcPr>
            <w:tcW w:w="0" w:type="auto"/>
            <w:tcBorders>
              <w:top w:val="nil"/>
              <w:left w:val="nil"/>
              <w:bottom w:val="nil"/>
              <w:right w:val="nil"/>
            </w:tcBorders>
            <w:vAlign w:val="center"/>
          </w:tcPr>
          <w:p w14:paraId="28257FC9"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0.127</w:t>
            </w:r>
          </w:p>
        </w:tc>
        <w:tc>
          <w:tcPr>
            <w:tcW w:w="0" w:type="auto"/>
            <w:tcBorders>
              <w:top w:val="nil"/>
              <w:left w:val="nil"/>
              <w:bottom w:val="nil"/>
              <w:right w:val="nil"/>
            </w:tcBorders>
            <w:vAlign w:val="center"/>
          </w:tcPr>
          <w:p w14:paraId="41A3FF89"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-0.003</w:t>
            </w:r>
          </w:p>
        </w:tc>
        <w:tc>
          <w:tcPr>
            <w:tcW w:w="0" w:type="auto"/>
            <w:tcBorders>
              <w:top w:val="nil"/>
              <w:left w:val="nil"/>
              <w:bottom w:val="nil"/>
              <w:right w:val="single" w:sz="8" w:space="0" w:color="auto"/>
            </w:tcBorders>
            <w:vAlign w:val="center"/>
          </w:tcPr>
          <w:p w14:paraId="4B8F097A"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-2.04</w:t>
            </w:r>
          </w:p>
        </w:tc>
      </w:tr>
      <w:tr w:rsidR="008D5FD2" w:rsidRPr="00450502" w14:paraId="08129A5C" w14:textId="77777777" w:rsidTr="00B27992">
        <w:trPr>
          <w:trHeight w:val="315"/>
          <w:jc w:val="center"/>
        </w:trPr>
        <w:tc>
          <w:tcPr>
            <w:tcW w:w="0" w:type="auto"/>
            <w:tcBorders>
              <w:top w:val="nil"/>
              <w:left w:val="single" w:sz="8" w:space="0" w:color="auto"/>
              <w:bottom w:val="nil"/>
              <w:right w:val="nil"/>
            </w:tcBorders>
            <w:vAlign w:val="center"/>
            <w:hideMark/>
          </w:tcPr>
          <w:p w14:paraId="3BCB3A40"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Prevention</w:t>
            </w:r>
          </w:p>
        </w:tc>
        <w:tc>
          <w:tcPr>
            <w:tcW w:w="0" w:type="auto"/>
            <w:tcBorders>
              <w:top w:val="nil"/>
              <w:left w:val="nil"/>
              <w:bottom w:val="nil"/>
              <w:right w:val="nil"/>
            </w:tcBorders>
            <w:vAlign w:val="center"/>
          </w:tcPr>
          <w:p w14:paraId="7E868FD3"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1.006</w:t>
            </w:r>
          </w:p>
        </w:tc>
        <w:tc>
          <w:tcPr>
            <w:tcW w:w="0" w:type="auto"/>
            <w:tcBorders>
              <w:top w:val="nil"/>
              <w:left w:val="nil"/>
              <w:bottom w:val="nil"/>
              <w:right w:val="nil"/>
            </w:tcBorders>
            <w:vAlign w:val="center"/>
          </w:tcPr>
          <w:p w14:paraId="0B48850C"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0.754</w:t>
            </w:r>
          </w:p>
        </w:tc>
        <w:tc>
          <w:tcPr>
            <w:tcW w:w="0" w:type="auto"/>
            <w:tcBorders>
              <w:top w:val="nil"/>
              <w:left w:val="nil"/>
              <w:bottom w:val="nil"/>
              <w:right w:val="nil"/>
            </w:tcBorders>
            <w:vAlign w:val="center"/>
          </w:tcPr>
          <w:p w14:paraId="7824C658"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-0.252</w:t>
            </w:r>
          </w:p>
        </w:tc>
        <w:tc>
          <w:tcPr>
            <w:tcW w:w="0" w:type="auto"/>
            <w:tcBorders>
              <w:top w:val="nil"/>
              <w:left w:val="nil"/>
              <w:bottom w:val="nil"/>
              <w:right w:val="single" w:sz="8" w:space="0" w:color="auto"/>
            </w:tcBorders>
            <w:vAlign w:val="center"/>
          </w:tcPr>
          <w:p w14:paraId="35DA0585"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-25.04</w:t>
            </w:r>
          </w:p>
        </w:tc>
      </w:tr>
      <w:tr w:rsidR="008D5FD2" w:rsidRPr="00450502" w14:paraId="35287FA0" w14:textId="77777777" w:rsidTr="00B27992">
        <w:trPr>
          <w:trHeight w:val="315"/>
          <w:jc w:val="center"/>
        </w:trPr>
        <w:tc>
          <w:tcPr>
            <w:tcW w:w="0" w:type="auto"/>
            <w:tcBorders>
              <w:top w:val="nil"/>
              <w:left w:val="single" w:sz="8" w:space="0" w:color="auto"/>
              <w:bottom w:val="single" w:sz="4" w:space="0" w:color="auto"/>
              <w:right w:val="nil"/>
            </w:tcBorders>
            <w:vAlign w:val="center"/>
            <w:hideMark/>
          </w:tcPr>
          <w:p w14:paraId="4CB86322"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Victim and Domestic Abuse services</w:t>
            </w:r>
          </w:p>
        </w:tc>
        <w:tc>
          <w:tcPr>
            <w:tcW w:w="0" w:type="auto"/>
            <w:tcBorders>
              <w:top w:val="nil"/>
              <w:left w:val="nil"/>
              <w:bottom w:val="nil"/>
              <w:right w:val="nil"/>
            </w:tcBorders>
            <w:vAlign w:val="center"/>
          </w:tcPr>
          <w:p w14:paraId="58BFF388"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0.680</w:t>
            </w:r>
          </w:p>
        </w:tc>
        <w:tc>
          <w:tcPr>
            <w:tcW w:w="0" w:type="auto"/>
            <w:tcBorders>
              <w:top w:val="nil"/>
              <w:left w:val="nil"/>
              <w:bottom w:val="nil"/>
              <w:right w:val="nil"/>
            </w:tcBorders>
            <w:vAlign w:val="center"/>
          </w:tcPr>
          <w:p w14:paraId="56EE7CA0"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0.720</w:t>
            </w:r>
          </w:p>
        </w:tc>
        <w:tc>
          <w:tcPr>
            <w:tcW w:w="0" w:type="auto"/>
            <w:tcBorders>
              <w:top w:val="nil"/>
              <w:left w:val="nil"/>
              <w:bottom w:val="nil"/>
              <w:right w:val="nil"/>
            </w:tcBorders>
            <w:vAlign w:val="center"/>
          </w:tcPr>
          <w:p w14:paraId="162FE643"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0.040</w:t>
            </w:r>
          </w:p>
        </w:tc>
        <w:tc>
          <w:tcPr>
            <w:tcW w:w="0" w:type="auto"/>
            <w:tcBorders>
              <w:top w:val="nil"/>
              <w:left w:val="nil"/>
              <w:bottom w:val="nil"/>
              <w:right w:val="single" w:sz="8" w:space="0" w:color="auto"/>
            </w:tcBorders>
            <w:vAlign w:val="center"/>
          </w:tcPr>
          <w:p w14:paraId="46A14D8A"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5.93</w:t>
            </w:r>
          </w:p>
        </w:tc>
      </w:tr>
      <w:tr w:rsidR="008D5FD2" w:rsidRPr="00450502" w14:paraId="0EC5BDFD" w14:textId="77777777" w:rsidTr="00B27992">
        <w:trPr>
          <w:trHeight w:val="315"/>
          <w:jc w:val="center"/>
        </w:trPr>
        <w:tc>
          <w:tcPr>
            <w:tcW w:w="0" w:type="auto"/>
            <w:tcBorders>
              <w:top w:val="single" w:sz="4" w:space="0" w:color="auto"/>
              <w:left w:val="single" w:sz="8" w:space="0" w:color="auto"/>
              <w:bottom w:val="nil"/>
              <w:right w:val="nil"/>
            </w:tcBorders>
            <w:vAlign w:val="center"/>
            <w:hideMark/>
          </w:tcPr>
          <w:p w14:paraId="6DB4E474"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Sub total</w:t>
            </w:r>
          </w:p>
        </w:tc>
        <w:tc>
          <w:tcPr>
            <w:tcW w:w="0" w:type="auto"/>
            <w:tcBorders>
              <w:top w:val="single" w:sz="4" w:space="0" w:color="auto"/>
              <w:left w:val="nil"/>
              <w:bottom w:val="nil"/>
              <w:right w:val="nil"/>
            </w:tcBorders>
            <w:vAlign w:val="center"/>
          </w:tcPr>
          <w:p w14:paraId="4FAD3358"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3.628</w:t>
            </w:r>
          </w:p>
        </w:tc>
        <w:tc>
          <w:tcPr>
            <w:tcW w:w="0" w:type="auto"/>
            <w:tcBorders>
              <w:top w:val="single" w:sz="4" w:space="0" w:color="auto"/>
              <w:left w:val="nil"/>
              <w:bottom w:val="nil"/>
              <w:right w:val="nil"/>
            </w:tcBorders>
            <w:vAlign w:val="center"/>
          </w:tcPr>
          <w:p w14:paraId="4297A4E4"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3.465</w:t>
            </w:r>
          </w:p>
        </w:tc>
        <w:tc>
          <w:tcPr>
            <w:tcW w:w="0" w:type="auto"/>
            <w:tcBorders>
              <w:top w:val="single" w:sz="4" w:space="0" w:color="auto"/>
              <w:left w:val="nil"/>
              <w:bottom w:val="nil"/>
              <w:right w:val="nil"/>
            </w:tcBorders>
            <w:vAlign w:val="center"/>
          </w:tcPr>
          <w:p w14:paraId="4E9D8436"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-0.163</w:t>
            </w:r>
          </w:p>
        </w:tc>
        <w:tc>
          <w:tcPr>
            <w:tcW w:w="0" w:type="auto"/>
            <w:tcBorders>
              <w:top w:val="single" w:sz="4" w:space="0" w:color="auto"/>
              <w:left w:val="nil"/>
              <w:bottom w:val="nil"/>
              <w:right w:val="single" w:sz="8" w:space="0" w:color="auto"/>
            </w:tcBorders>
            <w:vAlign w:val="center"/>
          </w:tcPr>
          <w:p w14:paraId="0BE5ED1A"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-4.49</w:t>
            </w:r>
          </w:p>
        </w:tc>
      </w:tr>
      <w:tr w:rsidR="008D5FD2" w:rsidRPr="00450502" w14:paraId="255A0129" w14:textId="77777777" w:rsidTr="00B27992">
        <w:trPr>
          <w:trHeight w:val="315"/>
          <w:jc w:val="center"/>
        </w:trPr>
        <w:tc>
          <w:tcPr>
            <w:tcW w:w="0" w:type="auto"/>
            <w:tcBorders>
              <w:top w:val="nil"/>
              <w:left w:val="single" w:sz="8" w:space="0" w:color="auto"/>
              <w:bottom w:val="single" w:sz="4" w:space="0" w:color="auto"/>
              <w:right w:val="nil"/>
            </w:tcBorders>
            <w:vAlign w:val="center"/>
            <w:hideMark/>
          </w:tcPr>
          <w:p w14:paraId="53164795" w14:textId="77777777" w:rsidR="008D5FD2" w:rsidRPr="00450502" w:rsidRDefault="008D5FD2">
            <w:pPr>
              <w:rPr>
                <w:rFonts w:ascii="Arial" w:hAnsi="Arial" w:cs="Arial"/>
                <w:bCs/>
                <w:color w:val="000000"/>
                <w:sz w:val="24"/>
                <w:szCs w:val="24"/>
              </w:rPr>
            </w:pPr>
            <w:r w:rsidRPr="00450502">
              <w:rPr>
                <w:rFonts w:ascii="Arial" w:hAnsi="Arial" w:cs="Arial"/>
                <w:bCs/>
                <w:color w:val="000000"/>
                <w:sz w:val="24"/>
                <w:szCs w:val="24"/>
              </w:rPr>
              <w:t>Non-DFM</w:t>
            </w:r>
          </w:p>
        </w:tc>
        <w:tc>
          <w:tcPr>
            <w:tcW w:w="0" w:type="auto"/>
            <w:tcBorders>
              <w:top w:val="nil"/>
              <w:left w:val="nil"/>
              <w:bottom w:val="nil"/>
              <w:right w:val="nil"/>
            </w:tcBorders>
            <w:vAlign w:val="center"/>
          </w:tcPr>
          <w:p w14:paraId="18C51392"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1.869</w:t>
            </w:r>
          </w:p>
        </w:tc>
        <w:tc>
          <w:tcPr>
            <w:tcW w:w="0" w:type="auto"/>
            <w:tcBorders>
              <w:top w:val="nil"/>
              <w:left w:val="nil"/>
              <w:bottom w:val="nil"/>
              <w:right w:val="nil"/>
            </w:tcBorders>
            <w:vAlign w:val="center"/>
          </w:tcPr>
          <w:p w14:paraId="5B8C85DB"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1.961</w:t>
            </w:r>
          </w:p>
        </w:tc>
        <w:tc>
          <w:tcPr>
            <w:tcW w:w="0" w:type="auto"/>
            <w:tcBorders>
              <w:top w:val="nil"/>
              <w:left w:val="nil"/>
              <w:bottom w:val="nil"/>
              <w:right w:val="nil"/>
            </w:tcBorders>
            <w:vAlign w:val="center"/>
          </w:tcPr>
          <w:p w14:paraId="38F7F6C7"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0.092</w:t>
            </w:r>
          </w:p>
        </w:tc>
        <w:tc>
          <w:tcPr>
            <w:tcW w:w="0" w:type="auto"/>
            <w:tcBorders>
              <w:top w:val="nil"/>
              <w:left w:val="nil"/>
              <w:bottom w:val="nil"/>
              <w:right w:val="single" w:sz="8" w:space="0" w:color="auto"/>
            </w:tcBorders>
            <w:vAlign w:val="center"/>
          </w:tcPr>
          <w:p w14:paraId="1BC3106E" w14:textId="77777777" w:rsidR="008D5FD2" w:rsidRPr="00450502" w:rsidRDefault="008D5FD2">
            <w:pPr>
              <w:jc w:val="right"/>
              <w:rPr>
                <w:rFonts w:ascii="Arial" w:hAnsi="Arial" w:cs="Arial"/>
                <w:color w:val="000000"/>
                <w:sz w:val="24"/>
                <w:szCs w:val="24"/>
              </w:rPr>
            </w:pPr>
            <w:r w:rsidRPr="00450502">
              <w:rPr>
                <w:rFonts w:ascii="Arial" w:hAnsi="Arial" w:cs="Arial"/>
                <w:color w:val="000000"/>
                <w:sz w:val="24"/>
                <w:szCs w:val="24"/>
              </w:rPr>
              <w:t>4.95</w:t>
            </w:r>
          </w:p>
        </w:tc>
      </w:tr>
      <w:tr w:rsidR="008D5FD2" w:rsidRPr="00450502" w14:paraId="753AFD79" w14:textId="77777777" w:rsidTr="00B27992">
        <w:trPr>
          <w:trHeight w:val="330"/>
          <w:jc w:val="center"/>
        </w:trPr>
        <w:tc>
          <w:tcPr>
            <w:tcW w:w="0" w:type="auto"/>
            <w:tcBorders>
              <w:top w:val="single" w:sz="4" w:space="0" w:color="auto"/>
              <w:left w:val="single" w:sz="8" w:space="0" w:color="auto"/>
              <w:bottom w:val="single" w:sz="8" w:space="0" w:color="auto"/>
              <w:right w:val="nil"/>
            </w:tcBorders>
            <w:vAlign w:val="center"/>
            <w:hideMark/>
          </w:tcPr>
          <w:p w14:paraId="08EB5A63" w14:textId="77777777" w:rsidR="008D5FD2" w:rsidRPr="00450502" w:rsidRDefault="008D5FD2">
            <w:pPr>
              <w:rPr>
                <w:rFonts w:ascii="Arial" w:hAnsi="Arial" w:cs="Arial"/>
                <w:b/>
                <w:bCs/>
                <w:color w:val="000000"/>
                <w:sz w:val="24"/>
                <w:szCs w:val="24"/>
              </w:rPr>
            </w:pPr>
            <w:r w:rsidRPr="00450502">
              <w:rPr>
                <w:rFonts w:ascii="Arial" w:hAnsi="Arial" w:cs="Arial"/>
                <w:b/>
                <w:bCs/>
                <w:color w:val="000000"/>
                <w:sz w:val="24"/>
                <w:szCs w:val="24"/>
              </w:rPr>
              <w:t>Total PCC</w:t>
            </w:r>
          </w:p>
        </w:tc>
        <w:tc>
          <w:tcPr>
            <w:tcW w:w="0" w:type="auto"/>
            <w:tcBorders>
              <w:top w:val="single" w:sz="4" w:space="0" w:color="auto"/>
              <w:left w:val="nil"/>
              <w:bottom w:val="nil"/>
              <w:right w:val="nil"/>
            </w:tcBorders>
            <w:vAlign w:val="center"/>
          </w:tcPr>
          <w:p w14:paraId="47F74F4C"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5.496</w:t>
            </w:r>
          </w:p>
        </w:tc>
        <w:tc>
          <w:tcPr>
            <w:tcW w:w="0" w:type="auto"/>
            <w:tcBorders>
              <w:top w:val="single" w:sz="4" w:space="0" w:color="auto"/>
              <w:left w:val="nil"/>
              <w:bottom w:val="nil"/>
              <w:right w:val="nil"/>
            </w:tcBorders>
            <w:vAlign w:val="center"/>
          </w:tcPr>
          <w:p w14:paraId="75A9ED73"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5.426</w:t>
            </w:r>
          </w:p>
        </w:tc>
        <w:tc>
          <w:tcPr>
            <w:tcW w:w="0" w:type="auto"/>
            <w:tcBorders>
              <w:top w:val="single" w:sz="4" w:space="0" w:color="auto"/>
              <w:left w:val="nil"/>
              <w:bottom w:val="nil"/>
              <w:right w:val="nil"/>
            </w:tcBorders>
            <w:vAlign w:val="center"/>
          </w:tcPr>
          <w:p w14:paraId="130742A0"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-0.070</w:t>
            </w:r>
          </w:p>
        </w:tc>
        <w:tc>
          <w:tcPr>
            <w:tcW w:w="0" w:type="auto"/>
            <w:tcBorders>
              <w:top w:val="single" w:sz="4" w:space="0" w:color="auto"/>
              <w:left w:val="nil"/>
              <w:bottom w:val="nil"/>
              <w:right w:val="single" w:sz="8" w:space="0" w:color="auto"/>
            </w:tcBorders>
            <w:vAlign w:val="center"/>
          </w:tcPr>
          <w:p w14:paraId="1893B2B1"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-1.28</w:t>
            </w:r>
          </w:p>
        </w:tc>
      </w:tr>
      <w:tr w:rsidR="008D5FD2" w:rsidRPr="00450502" w14:paraId="4308FD1F" w14:textId="77777777">
        <w:trPr>
          <w:trHeight w:val="795"/>
          <w:jc w:val="center"/>
        </w:trPr>
        <w:tc>
          <w:tcPr>
            <w:tcW w:w="0" w:type="auto"/>
            <w:tcBorders>
              <w:top w:val="single" w:sz="8" w:space="0" w:color="auto"/>
              <w:left w:val="single" w:sz="8" w:space="0" w:color="auto"/>
              <w:bottom w:val="single" w:sz="8" w:space="0" w:color="auto"/>
              <w:right w:val="nil"/>
            </w:tcBorders>
            <w:shd w:val="clear" w:color="auto" w:fill="DEEAF6"/>
            <w:vAlign w:val="center"/>
            <w:hideMark/>
          </w:tcPr>
          <w:p w14:paraId="731B0E9A" w14:textId="77777777" w:rsidR="008D5FD2" w:rsidRPr="00450502" w:rsidRDefault="008D5FD2">
            <w:pPr>
              <w:rPr>
                <w:rFonts w:ascii="Arial" w:hAnsi="Arial" w:cs="Arial"/>
                <w:b/>
                <w:bCs/>
                <w:color w:val="000000"/>
                <w:sz w:val="24"/>
                <w:szCs w:val="24"/>
              </w:rPr>
            </w:pPr>
            <w:r w:rsidRPr="00450502">
              <w:rPr>
                <w:rFonts w:ascii="Arial" w:hAnsi="Arial" w:cs="Arial"/>
                <w:b/>
                <w:bCs/>
                <w:color w:val="000000"/>
                <w:sz w:val="24"/>
                <w:szCs w:val="24"/>
              </w:rPr>
              <w:t>TOTAL BUDGET</w:t>
            </w:r>
          </w:p>
        </w:tc>
        <w:tc>
          <w:tcPr>
            <w:tcW w:w="0" w:type="auto"/>
            <w:tcBorders>
              <w:top w:val="single" w:sz="8" w:space="0" w:color="auto"/>
              <w:left w:val="nil"/>
              <w:bottom w:val="single" w:sz="8" w:space="0" w:color="auto"/>
              <w:right w:val="nil"/>
            </w:tcBorders>
            <w:shd w:val="clear" w:color="auto" w:fill="DEEAF6"/>
            <w:vAlign w:val="center"/>
          </w:tcPr>
          <w:p w14:paraId="700C2FB1"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371.249</w:t>
            </w:r>
          </w:p>
        </w:tc>
        <w:tc>
          <w:tcPr>
            <w:tcW w:w="0" w:type="auto"/>
            <w:tcBorders>
              <w:top w:val="single" w:sz="8" w:space="0" w:color="auto"/>
              <w:left w:val="nil"/>
              <w:bottom w:val="single" w:sz="8" w:space="0" w:color="auto"/>
              <w:right w:val="nil"/>
            </w:tcBorders>
            <w:shd w:val="clear" w:color="auto" w:fill="DEEAF6"/>
            <w:vAlign w:val="center"/>
          </w:tcPr>
          <w:p w14:paraId="1E8E7BFC"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370.778</w:t>
            </w:r>
          </w:p>
        </w:tc>
        <w:tc>
          <w:tcPr>
            <w:tcW w:w="0" w:type="auto"/>
            <w:tcBorders>
              <w:top w:val="single" w:sz="8" w:space="0" w:color="auto"/>
              <w:left w:val="nil"/>
              <w:bottom w:val="single" w:sz="8" w:space="0" w:color="auto"/>
              <w:right w:val="nil"/>
            </w:tcBorders>
            <w:shd w:val="clear" w:color="auto" w:fill="DEEAF6"/>
            <w:vAlign w:val="center"/>
          </w:tcPr>
          <w:p w14:paraId="5B372E90"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-0.471</w:t>
            </w:r>
          </w:p>
        </w:tc>
        <w:tc>
          <w:tcPr>
            <w:tcW w:w="0" w:type="auto"/>
            <w:tcBorders>
              <w:top w:val="single" w:sz="8" w:space="0" w:color="auto"/>
              <w:left w:val="nil"/>
              <w:bottom w:val="single" w:sz="8" w:space="0" w:color="auto"/>
              <w:right w:val="single" w:sz="8" w:space="0" w:color="auto"/>
            </w:tcBorders>
            <w:shd w:val="clear" w:color="auto" w:fill="DEEAF6"/>
            <w:vAlign w:val="center"/>
          </w:tcPr>
          <w:p w14:paraId="6F02371B" w14:textId="77777777" w:rsidR="008D5FD2" w:rsidRPr="00450502" w:rsidRDefault="008D5FD2">
            <w:pPr>
              <w:jc w:val="right"/>
              <w:rPr>
                <w:rFonts w:ascii="Arial" w:hAnsi="Arial" w:cs="Arial"/>
                <w:b/>
                <w:color w:val="000000"/>
                <w:sz w:val="24"/>
                <w:szCs w:val="24"/>
              </w:rPr>
            </w:pPr>
            <w:r w:rsidRPr="00450502">
              <w:rPr>
                <w:rFonts w:ascii="Arial" w:hAnsi="Arial" w:cs="Arial"/>
                <w:b/>
                <w:color w:val="000000"/>
                <w:sz w:val="24"/>
                <w:szCs w:val="24"/>
              </w:rPr>
              <w:t>-0.13</w:t>
            </w:r>
          </w:p>
        </w:tc>
      </w:tr>
    </w:tbl>
    <w:p w14:paraId="4AE360E8" w14:textId="77777777" w:rsidR="008D5FD2" w:rsidRPr="00B018C9" w:rsidRDefault="008D5FD2" w:rsidP="008D5FD2">
      <w:pPr>
        <w:spacing w:after="120"/>
        <w:jc w:val="both"/>
        <w:rPr>
          <w:rFonts w:ascii="Arial" w:hAnsi="Arial" w:cs="Arial"/>
          <w:sz w:val="22"/>
          <w:szCs w:val="22"/>
        </w:rPr>
      </w:pPr>
    </w:p>
    <w:p w14:paraId="10098B89" w14:textId="5836BFAC" w:rsidR="008D5FD2" w:rsidRPr="005B1BC1" w:rsidRDefault="008D5FD2" w:rsidP="008D5FD2">
      <w:pPr>
        <w:spacing w:after="120"/>
        <w:jc w:val="both"/>
        <w:rPr>
          <w:rFonts w:ascii="Arial" w:hAnsi="Arial" w:cs="Arial"/>
          <w:sz w:val="24"/>
          <w:szCs w:val="24"/>
        </w:rPr>
      </w:pPr>
      <w:r w:rsidRPr="005B1BC1">
        <w:rPr>
          <w:rFonts w:ascii="Arial" w:hAnsi="Arial" w:cs="Arial"/>
          <w:sz w:val="24"/>
          <w:szCs w:val="24"/>
        </w:rPr>
        <w:t>The detailed year-end report is on the PCC website</w:t>
      </w:r>
      <w:r>
        <w:rPr>
          <w:rFonts w:ascii="Arial" w:hAnsi="Arial" w:cs="Arial"/>
          <w:sz w:val="24"/>
          <w:szCs w:val="24"/>
        </w:rPr>
        <w:t xml:space="preserve"> here</w:t>
      </w:r>
      <w:r w:rsidRPr="005B1BC1">
        <w:rPr>
          <w:rFonts w:ascii="Arial" w:hAnsi="Arial" w:cs="Arial"/>
          <w:sz w:val="24"/>
          <w:szCs w:val="24"/>
        </w:rPr>
        <w:t xml:space="preserve"> </w:t>
      </w:r>
      <w:r w:rsidRPr="004D5349">
        <w:rPr>
          <w:rFonts w:ascii="Arial" w:hAnsi="Arial" w:cs="Arial"/>
          <w:sz w:val="24"/>
          <w:szCs w:val="24"/>
        </w:rPr>
        <w:t>PCC Decisions</w:t>
      </w:r>
      <w:r>
        <w:rPr>
          <w:rFonts w:ascii="Arial" w:hAnsi="Arial" w:cs="Arial"/>
          <w:sz w:val="24"/>
          <w:szCs w:val="24"/>
        </w:rPr>
        <w:t xml:space="preserve"> </w:t>
      </w:r>
    </w:p>
    <w:p w14:paraId="593AC5C8" w14:textId="47641FB9" w:rsidR="008D5FD2" w:rsidRPr="005B1BC1" w:rsidRDefault="008D5FD2" w:rsidP="008D5FD2">
      <w:pPr>
        <w:spacing w:after="240"/>
        <w:jc w:val="both"/>
        <w:rPr>
          <w:rFonts w:ascii="Arial" w:hAnsi="Arial" w:cs="Arial"/>
          <w:sz w:val="24"/>
          <w:szCs w:val="24"/>
        </w:rPr>
      </w:pPr>
      <w:r w:rsidRPr="005B1BC1">
        <w:rPr>
          <w:rFonts w:ascii="Arial" w:hAnsi="Arial" w:cs="Arial"/>
          <w:sz w:val="24"/>
          <w:szCs w:val="24"/>
        </w:rPr>
        <w:t xml:space="preserve">The year-end position is made up of </w:t>
      </w:r>
      <w:proofErr w:type="gramStart"/>
      <w:r w:rsidRPr="005B1BC1">
        <w:rPr>
          <w:rFonts w:ascii="Arial" w:hAnsi="Arial" w:cs="Arial"/>
          <w:sz w:val="24"/>
          <w:szCs w:val="24"/>
        </w:rPr>
        <w:t>a number of</w:t>
      </w:r>
      <w:proofErr w:type="gramEnd"/>
      <w:r w:rsidRPr="005B1BC1">
        <w:rPr>
          <w:rFonts w:ascii="Arial" w:hAnsi="Arial" w:cs="Arial"/>
          <w:sz w:val="24"/>
          <w:szCs w:val="24"/>
        </w:rPr>
        <w:t xml:space="preserve"> pressures and </w:t>
      </w:r>
      <w:proofErr w:type="gramStart"/>
      <w:r w:rsidRPr="005B1BC1">
        <w:rPr>
          <w:rFonts w:ascii="Arial" w:hAnsi="Arial" w:cs="Arial"/>
          <w:sz w:val="24"/>
          <w:szCs w:val="24"/>
        </w:rPr>
        <w:t>savings,</w:t>
      </w:r>
      <w:proofErr w:type="gramEnd"/>
      <w:r w:rsidRPr="005B1BC1">
        <w:rPr>
          <w:rFonts w:ascii="Arial" w:hAnsi="Arial" w:cs="Arial"/>
          <w:sz w:val="24"/>
          <w:szCs w:val="24"/>
        </w:rPr>
        <w:t xml:space="preserve"> the </w:t>
      </w:r>
      <w:r w:rsidRPr="005B1BC1">
        <w:rPr>
          <w:rFonts w:ascii="Arial" w:hAnsi="Arial" w:cs="Arial"/>
          <w:b/>
          <w:bCs/>
          <w:sz w:val="24"/>
          <w:szCs w:val="24"/>
        </w:rPr>
        <w:t xml:space="preserve">main </w:t>
      </w:r>
      <w:r w:rsidRPr="005B1BC1">
        <w:rPr>
          <w:rFonts w:ascii="Arial" w:hAnsi="Arial" w:cs="Arial"/>
          <w:sz w:val="24"/>
          <w:szCs w:val="24"/>
        </w:rPr>
        <w:t>elements of the position are: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5"/>
        <w:gridCol w:w="2538"/>
        <w:gridCol w:w="6005"/>
      </w:tblGrid>
      <w:tr w:rsidR="008D5FD2" w:rsidRPr="00450502" w14:paraId="3CD6E4EC" w14:textId="77777777" w:rsidTr="00B27992">
        <w:trPr>
          <w:trHeight w:val="569"/>
        </w:trPr>
        <w:tc>
          <w:tcPr>
            <w:tcW w:w="0" w:type="auto"/>
          </w:tcPr>
          <w:p w14:paraId="3EC280A5" w14:textId="77777777" w:rsidR="008D5FD2" w:rsidRPr="00450502" w:rsidRDefault="008D5FD2">
            <w:pPr>
              <w:jc w:val="center"/>
              <w:rPr>
                <w:rFonts w:ascii="Arial" w:hAnsi="Arial" w:cs="Arial"/>
                <w:sz w:val="22"/>
                <w:szCs w:val="22"/>
              </w:rPr>
            </w:pPr>
            <w:r w:rsidRPr="00450502">
              <w:rPr>
                <w:rFonts w:ascii="Arial" w:hAnsi="Arial" w:cs="Arial"/>
                <w:sz w:val="22"/>
                <w:szCs w:val="22"/>
              </w:rPr>
              <w:t>Variance</w:t>
            </w:r>
          </w:p>
          <w:p w14:paraId="46CDFE80" w14:textId="77777777" w:rsidR="008D5FD2" w:rsidRPr="00450502" w:rsidRDefault="008D5FD2">
            <w:pPr>
              <w:jc w:val="center"/>
              <w:rPr>
                <w:rFonts w:ascii="Arial" w:hAnsi="Arial" w:cs="Arial"/>
                <w:sz w:val="22"/>
                <w:szCs w:val="22"/>
              </w:rPr>
            </w:pPr>
            <w:r w:rsidRPr="00450502">
              <w:rPr>
                <w:rFonts w:ascii="Arial" w:hAnsi="Arial" w:cs="Arial"/>
                <w:sz w:val="22"/>
                <w:szCs w:val="22"/>
              </w:rPr>
              <w:t>(£m)</w:t>
            </w:r>
          </w:p>
        </w:tc>
        <w:tc>
          <w:tcPr>
            <w:tcW w:w="0" w:type="auto"/>
          </w:tcPr>
          <w:p w14:paraId="67A9560E" w14:textId="77777777" w:rsidR="008D5FD2" w:rsidRPr="00450502" w:rsidRDefault="008D5FD2">
            <w:pPr>
              <w:rPr>
                <w:rFonts w:ascii="Arial" w:hAnsi="Arial" w:cs="Arial"/>
                <w:sz w:val="22"/>
                <w:szCs w:val="22"/>
              </w:rPr>
            </w:pPr>
          </w:p>
        </w:tc>
        <w:tc>
          <w:tcPr>
            <w:tcW w:w="0" w:type="auto"/>
          </w:tcPr>
          <w:p w14:paraId="665743F4" w14:textId="77777777" w:rsidR="008D5FD2" w:rsidRPr="00450502" w:rsidRDefault="008D5FD2">
            <w:pPr>
              <w:rPr>
                <w:rFonts w:ascii="Arial" w:hAnsi="Arial" w:cs="Arial"/>
                <w:sz w:val="22"/>
                <w:szCs w:val="22"/>
              </w:rPr>
            </w:pPr>
          </w:p>
        </w:tc>
      </w:tr>
      <w:tr w:rsidR="008D5FD2" w:rsidRPr="00450502" w14:paraId="678EAEA6" w14:textId="77777777" w:rsidTr="00B27992">
        <w:tc>
          <w:tcPr>
            <w:tcW w:w="0" w:type="auto"/>
          </w:tcPr>
          <w:p w14:paraId="1B190030" w14:textId="77777777" w:rsidR="008D5FD2" w:rsidRPr="00450502" w:rsidRDefault="008D5FD2">
            <w:pPr>
              <w:jc w:val="right"/>
              <w:rPr>
                <w:rFonts w:ascii="Arial" w:hAnsi="Arial" w:cs="Arial"/>
                <w:sz w:val="22"/>
                <w:szCs w:val="22"/>
              </w:rPr>
            </w:pPr>
            <w:r w:rsidRPr="00450502">
              <w:rPr>
                <w:rFonts w:ascii="Arial" w:hAnsi="Arial" w:cs="Arial"/>
                <w:sz w:val="22"/>
                <w:szCs w:val="22"/>
              </w:rPr>
              <w:t>1.058</w:t>
            </w:r>
          </w:p>
        </w:tc>
        <w:tc>
          <w:tcPr>
            <w:tcW w:w="0" w:type="auto"/>
          </w:tcPr>
          <w:p w14:paraId="2928EBBC" w14:textId="77777777" w:rsidR="008D5FD2" w:rsidRPr="00450502" w:rsidRDefault="008D5FD2">
            <w:pPr>
              <w:rPr>
                <w:rFonts w:ascii="Arial" w:hAnsi="Arial" w:cs="Arial"/>
                <w:sz w:val="22"/>
                <w:szCs w:val="22"/>
              </w:rPr>
            </w:pPr>
            <w:r w:rsidRPr="00450502">
              <w:rPr>
                <w:rFonts w:ascii="Arial" w:hAnsi="Arial" w:cs="Arial"/>
                <w:sz w:val="22"/>
                <w:szCs w:val="22"/>
              </w:rPr>
              <w:t>Agency staff costs</w:t>
            </w:r>
          </w:p>
        </w:tc>
        <w:tc>
          <w:tcPr>
            <w:tcW w:w="0" w:type="auto"/>
          </w:tcPr>
          <w:p w14:paraId="21E84AEA" w14:textId="77777777" w:rsidR="008D5FD2" w:rsidRPr="00450502" w:rsidRDefault="008D5FD2">
            <w:pPr>
              <w:rPr>
                <w:rFonts w:ascii="Arial" w:hAnsi="Arial" w:cs="Arial"/>
                <w:sz w:val="22"/>
                <w:szCs w:val="22"/>
              </w:rPr>
            </w:pPr>
            <w:r w:rsidRPr="00450502">
              <w:rPr>
                <w:rFonts w:ascii="Arial" w:hAnsi="Arial" w:cs="Arial"/>
                <w:sz w:val="22"/>
                <w:szCs w:val="22"/>
              </w:rPr>
              <w:t>Agency staff required to cover essential roles that were vacant during the year</w:t>
            </w:r>
          </w:p>
        </w:tc>
      </w:tr>
      <w:tr w:rsidR="008D5FD2" w:rsidRPr="00450502" w14:paraId="10C1D128" w14:textId="77777777" w:rsidTr="00B27992">
        <w:tc>
          <w:tcPr>
            <w:tcW w:w="0" w:type="auto"/>
          </w:tcPr>
          <w:p w14:paraId="67CF069F" w14:textId="77777777" w:rsidR="008D5FD2" w:rsidRPr="00450502" w:rsidRDefault="008D5FD2">
            <w:pPr>
              <w:jc w:val="right"/>
              <w:rPr>
                <w:rFonts w:ascii="Arial" w:hAnsi="Arial" w:cs="Arial"/>
                <w:sz w:val="22"/>
                <w:szCs w:val="22"/>
              </w:rPr>
            </w:pPr>
            <w:r w:rsidRPr="00450502">
              <w:rPr>
                <w:rFonts w:ascii="Arial" w:hAnsi="Arial" w:cs="Arial"/>
                <w:sz w:val="22"/>
                <w:szCs w:val="22"/>
              </w:rPr>
              <w:t>0.282</w:t>
            </w:r>
          </w:p>
        </w:tc>
        <w:tc>
          <w:tcPr>
            <w:tcW w:w="0" w:type="auto"/>
          </w:tcPr>
          <w:p w14:paraId="0C3DE652" w14:textId="77777777" w:rsidR="008D5FD2" w:rsidRPr="00450502" w:rsidRDefault="008D5FD2">
            <w:pPr>
              <w:rPr>
                <w:rFonts w:ascii="Arial" w:hAnsi="Arial" w:cs="Arial"/>
                <w:sz w:val="22"/>
                <w:szCs w:val="22"/>
              </w:rPr>
            </w:pPr>
            <w:r w:rsidRPr="00450502">
              <w:rPr>
                <w:rFonts w:ascii="Arial" w:hAnsi="Arial" w:cs="Arial"/>
                <w:sz w:val="22"/>
                <w:szCs w:val="22"/>
              </w:rPr>
              <w:t>Overtime</w:t>
            </w:r>
          </w:p>
        </w:tc>
        <w:tc>
          <w:tcPr>
            <w:tcW w:w="0" w:type="auto"/>
          </w:tcPr>
          <w:p w14:paraId="3DB98220" w14:textId="77777777" w:rsidR="008D5FD2" w:rsidRPr="00450502" w:rsidRDefault="008D5FD2">
            <w:pPr>
              <w:rPr>
                <w:rFonts w:ascii="Arial" w:hAnsi="Arial" w:cs="Arial"/>
                <w:sz w:val="22"/>
                <w:szCs w:val="22"/>
              </w:rPr>
            </w:pPr>
          </w:p>
        </w:tc>
      </w:tr>
      <w:tr w:rsidR="008D5FD2" w:rsidRPr="00450502" w14:paraId="2FE9B01D" w14:textId="77777777" w:rsidTr="00B27992">
        <w:tc>
          <w:tcPr>
            <w:tcW w:w="0" w:type="auto"/>
          </w:tcPr>
          <w:p w14:paraId="7681A29A" w14:textId="77777777" w:rsidR="008D5FD2" w:rsidRPr="00450502" w:rsidRDefault="008D5FD2">
            <w:pPr>
              <w:jc w:val="right"/>
              <w:rPr>
                <w:rFonts w:ascii="Arial" w:hAnsi="Arial" w:cs="Arial"/>
                <w:sz w:val="22"/>
                <w:szCs w:val="22"/>
              </w:rPr>
            </w:pPr>
            <w:r w:rsidRPr="00450502">
              <w:rPr>
                <w:rFonts w:ascii="Arial" w:hAnsi="Arial" w:cs="Arial"/>
                <w:sz w:val="22"/>
                <w:szCs w:val="22"/>
              </w:rPr>
              <w:t>-0.736</w:t>
            </w:r>
          </w:p>
        </w:tc>
        <w:tc>
          <w:tcPr>
            <w:tcW w:w="0" w:type="auto"/>
          </w:tcPr>
          <w:p w14:paraId="6647DB30" w14:textId="77777777" w:rsidR="008D5FD2" w:rsidRPr="00450502" w:rsidRDefault="008D5FD2">
            <w:pPr>
              <w:rPr>
                <w:rFonts w:ascii="Arial" w:hAnsi="Arial" w:cs="Arial"/>
                <w:sz w:val="22"/>
                <w:szCs w:val="22"/>
              </w:rPr>
            </w:pPr>
            <w:r w:rsidRPr="00450502">
              <w:rPr>
                <w:rFonts w:ascii="Arial" w:hAnsi="Arial" w:cs="Arial"/>
                <w:sz w:val="22"/>
                <w:szCs w:val="22"/>
              </w:rPr>
              <w:t>Staff vacancies</w:t>
            </w:r>
          </w:p>
        </w:tc>
        <w:tc>
          <w:tcPr>
            <w:tcW w:w="0" w:type="auto"/>
          </w:tcPr>
          <w:p w14:paraId="6DB0BA58" w14:textId="77777777" w:rsidR="008D5FD2" w:rsidRPr="00450502" w:rsidRDefault="008D5FD2">
            <w:pPr>
              <w:rPr>
                <w:rFonts w:ascii="Arial" w:hAnsi="Arial" w:cs="Arial"/>
                <w:sz w:val="22"/>
                <w:szCs w:val="22"/>
              </w:rPr>
            </w:pPr>
            <w:r w:rsidRPr="00450502">
              <w:rPr>
                <w:rFonts w:ascii="Arial" w:hAnsi="Arial" w:cs="Arial"/>
                <w:sz w:val="22"/>
                <w:szCs w:val="22"/>
              </w:rPr>
              <w:t>A small saving arose due to the timing of vacancies during the year</w:t>
            </w:r>
          </w:p>
        </w:tc>
      </w:tr>
      <w:tr w:rsidR="008D5FD2" w:rsidRPr="00450502" w14:paraId="0FF9692D" w14:textId="77777777" w:rsidTr="00B27992">
        <w:tc>
          <w:tcPr>
            <w:tcW w:w="0" w:type="auto"/>
          </w:tcPr>
          <w:p w14:paraId="331622FA" w14:textId="77777777" w:rsidR="008D5FD2" w:rsidRPr="00450502" w:rsidRDefault="008D5FD2">
            <w:pPr>
              <w:jc w:val="right"/>
              <w:rPr>
                <w:rFonts w:ascii="Arial" w:hAnsi="Arial" w:cs="Arial"/>
                <w:sz w:val="22"/>
                <w:szCs w:val="22"/>
              </w:rPr>
            </w:pPr>
            <w:r w:rsidRPr="00450502">
              <w:rPr>
                <w:rFonts w:ascii="Arial" w:hAnsi="Arial" w:cs="Arial"/>
                <w:sz w:val="22"/>
                <w:szCs w:val="22"/>
              </w:rPr>
              <w:t>0.808</w:t>
            </w:r>
          </w:p>
        </w:tc>
        <w:tc>
          <w:tcPr>
            <w:tcW w:w="0" w:type="auto"/>
          </w:tcPr>
          <w:p w14:paraId="73488D82" w14:textId="77777777" w:rsidR="008D5FD2" w:rsidRPr="00450502" w:rsidRDefault="008D5FD2">
            <w:pPr>
              <w:rPr>
                <w:rFonts w:ascii="Arial" w:hAnsi="Arial" w:cs="Arial"/>
                <w:sz w:val="22"/>
                <w:szCs w:val="22"/>
              </w:rPr>
            </w:pPr>
            <w:r w:rsidRPr="00450502">
              <w:rPr>
                <w:rFonts w:ascii="Arial" w:hAnsi="Arial" w:cs="Arial"/>
                <w:sz w:val="22"/>
                <w:szCs w:val="22"/>
              </w:rPr>
              <w:t>Under delivery of income for training for external organisations</w:t>
            </w:r>
          </w:p>
        </w:tc>
        <w:tc>
          <w:tcPr>
            <w:tcW w:w="0" w:type="auto"/>
          </w:tcPr>
          <w:p w14:paraId="4169B960" w14:textId="77777777" w:rsidR="008D5FD2" w:rsidRPr="00450502" w:rsidRDefault="008D5FD2">
            <w:pPr>
              <w:rPr>
                <w:rFonts w:ascii="Arial" w:hAnsi="Arial" w:cs="Arial"/>
                <w:sz w:val="22"/>
                <w:szCs w:val="22"/>
              </w:rPr>
            </w:pPr>
            <w:r w:rsidRPr="00450502">
              <w:rPr>
                <w:rFonts w:ascii="Arial" w:hAnsi="Arial" w:cs="Arial"/>
                <w:sz w:val="22"/>
                <w:szCs w:val="22"/>
              </w:rPr>
              <w:t>Due to the prioritisation of training new recruits, in force training requirements and a lack of demand from other forces.</w:t>
            </w:r>
          </w:p>
        </w:tc>
      </w:tr>
      <w:tr w:rsidR="008D5FD2" w:rsidRPr="00450502" w14:paraId="4E7DBDE8" w14:textId="77777777" w:rsidTr="00B27992">
        <w:tc>
          <w:tcPr>
            <w:tcW w:w="0" w:type="auto"/>
          </w:tcPr>
          <w:p w14:paraId="6E4499E5" w14:textId="77777777" w:rsidR="008D5FD2" w:rsidRPr="00450502" w:rsidRDefault="008D5FD2">
            <w:pPr>
              <w:jc w:val="right"/>
              <w:rPr>
                <w:rFonts w:ascii="Arial" w:hAnsi="Arial" w:cs="Arial"/>
                <w:sz w:val="22"/>
                <w:szCs w:val="22"/>
              </w:rPr>
            </w:pPr>
            <w:r w:rsidRPr="00450502">
              <w:rPr>
                <w:rFonts w:ascii="Arial" w:hAnsi="Arial" w:cs="Arial"/>
                <w:sz w:val="22"/>
                <w:szCs w:val="22"/>
              </w:rPr>
              <w:t>0.523</w:t>
            </w:r>
          </w:p>
        </w:tc>
        <w:tc>
          <w:tcPr>
            <w:tcW w:w="0" w:type="auto"/>
          </w:tcPr>
          <w:p w14:paraId="58D0C905" w14:textId="77777777" w:rsidR="008D5FD2" w:rsidRPr="00450502" w:rsidRDefault="008D5FD2">
            <w:pPr>
              <w:rPr>
                <w:rFonts w:ascii="Arial" w:hAnsi="Arial" w:cs="Arial"/>
                <w:sz w:val="22"/>
                <w:szCs w:val="22"/>
              </w:rPr>
            </w:pPr>
            <w:r w:rsidRPr="00450502">
              <w:rPr>
                <w:rFonts w:ascii="Arial" w:hAnsi="Arial" w:cs="Arial"/>
                <w:sz w:val="22"/>
                <w:szCs w:val="22"/>
              </w:rPr>
              <w:t>Regional Toxicology collaboration</w:t>
            </w:r>
          </w:p>
        </w:tc>
        <w:tc>
          <w:tcPr>
            <w:tcW w:w="0" w:type="auto"/>
          </w:tcPr>
          <w:p w14:paraId="5CBCB522" w14:textId="77777777" w:rsidR="008D5FD2" w:rsidRPr="00450502" w:rsidRDefault="008D5FD2">
            <w:pPr>
              <w:rPr>
                <w:rFonts w:ascii="Arial" w:hAnsi="Arial" w:cs="Arial"/>
                <w:sz w:val="22"/>
                <w:szCs w:val="22"/>
              </w:rPr>
            </w:pPr>
            <w:r w:rsidRPr="00450502">
              <w:rPr>
                <w:rFonts w:ascii="Arial" w:hAnsi="Arial" w:cs="Arial"/>
                <w:sz w:val="22"/>
                <w:szCs w:val="22"/>
              </w:rPr>
              <w:t>The regional toxicology collaboration led by Merseyside Police has been delayed due to the unit failing to achieve accreditation status. This has resulted in the renewal of the contract with ASI for forensic services and a 'double cost'</w:t>
            </w:r>
          </w:p>
        </w:tc>
      </w:tr>
      <w:tr w:rsidR="008D5FD2" w:rsidRPr="00450502" w14:paraId="12849E79" w14:textId="77777777" w:rsidTr="00B27992">
        <w:tc>
          <w:tcPr>
            <w:tcW w:w="0" w:type="auto"/>
          </w:tcPr>
          <w:p w14:paraId="48EB3DFB" w14:textId="77777777" w:rsidR="008D5FD2" w:rsidRPr="00450502" w:rsidRDefault="008D5FD2">
            <w:pPr>
              <w:jc w:val="right"/>
              <w:rPr>
                <w:rFonts w:ascii="Arial" w:hAnsi="Arial" w:cs="Arial"/>
                <w:sz w:val="22"/>
                <w:szCs w:val="22"/>
              </w:rPr>
            </w:pPr>
            <w:r w:rsidRPr="00450502">
              <w:rPr>
                <w:rFonts w:ascii="Arial" w:hAnsi="Arial" w:cs="Arial"/>
                <w:sz w:val="22"/>
                <w:szCs w:val="22"/>
              </w:rPr>
              <w:lastRenderedPageBreak/>
              <w:t>0.273</w:t>
            </w:r>
          </w:p>
        </w:tc>
        <w:tc>
          <w:tcPr>
            <w:tcW w:w="0" w:type="auto"/>
          </w:tcPr>
          <w:p w14:paraId="03B591B7" w14:textId="77777777" w:rsidR="008D5FD2" w:rsidRPr="00450502" w:rsidRDefault="008D5FD2">
            <w:pPr>
              <w:rPr>
                <w:rFonts w:ascii="Arial" w:hAnsi="Arial" w:cs="Arial"/>
                <w:sz w:val="22"/>
                <w:szCs w:val="22"/>
              </w:rPr>
            </w:pPr>
            <w:r w:rsidRPr="00450502">
              <w:rPr>
                <w:rFonts w:ascii="Arial" w:hAnsi="Arial" w:cs="Arial"/>
                <w:sz w:val="22"/>
                <w:szCs w:val="22"/>
              </w:rPr>
              <w:t>Ill Health Pensions</w:t>
            </w:r>
          </w:p>
        </w:tc>
        <w:tc>
          <w:tcPr>
            <w:tcW w:w="0" w:type="auto"/>
          </w:tcPr>
          <w:p w14:paraId="67A3D08D" w14:textId="77777777" w:rsidR="008D5FD2" w:rsidRPr="00450502" w:rsidRDefault="008D5FD2">
            <w:pPr>
              <w:rPr>
                <w:rFonts w:ascii="Arial" w:hAnsi="Arial" w:cs="Arial"/>
                <w:sz w:val="22"/>
                <w:szCs w:val="22"/>
              </w:rPr>
            </w:pPr>
            <w:r w:rsidRPr="00450502">
              <w:rPr>
                <w:rFonts w:ascii="Arial" w:hAnsi="Arial" w:cs="Arial"/>
                <w:sz w:val="22"/>
                <w:szCs w:val="22"/>
              </w:rPr>
              <w:t>The injury element of police officer pensions is index linked, and costs vary according to the mix of ranks of officers taking ill health retirements.</w:t>
            </w:r>
          </w:p>
        </w:tc>
      </w:tr>
      <w:tr w:rsidR="008D5FD2" w:rsidRPr="00450502" w14:paraId="31372B55" w14:textId="77777777" w:rsidTr="00B27992">
        <w:tc>
          <w:tcPr>
            <w:tcW w:w="0" w:type="auto"/>
          </w:tcPr>
          <w:p w14:paraId="04C034FE" w14:textId="77777777" w:rsidR="008D5FD2" w:rsidRPr="00450502" w:rsidRDefault="008D5FD2">
            <w:pPr>
              <w:jc w:val="right"/>
              <w:rPr>
                <w:rFonts w:ascii="Arial" w:hAnsi="Arial" w:cs="Arial"/>
                <w:sz w:val="22"/>
                <w:szCs w:val="22"/>
              </w:rPr>
            </w:pPr>
            <w:r w:rsidRPr="00450502">
              <w:rPr>
                <w:rFonts w:ascii="Arial" w:hAnsi="Arial" w:cs="Arial"/>
                <w:sz w:val="22"/>
                <w:szCs w:val="22"/>
              </w:rPr>
              <w:t>0.146</w:t>
            </w:r>
          </w:p>
        </w:tc>
        <w:tc>
          <w:tcPr>
            <w:tcW w:w="0" w:type="auto"/>
          </w:tcPr>
          <w:p w14:paraId="5CBDAE1E" w14:textId="77777777" w:rsidR="008D5FD2" w:rsidRPr="00450502" w:rsidRDefault="008D5FD2">
            <w:pPr>
              <w:rPr>
                <w:rFonts w:ascii="Arial" w:hAnsi="Arial" w:cs="Arial"/>
                <w:sz w:val="22"/>
                <w:szCs w:val="22"/>
              </w:rPr>
            </w:pPr>
            <w:r w:rsidRPr="00450502">
              <w:rPr>
                <w:rFonts w:ascii="Arial" w:hAnsi="Arial" w:cs="Arial"/>
                <w:sz w:val="22"/>
                <w:szCs w:val="22"/>
              </w:rPr>
              <w:t>Dangerous dogs</w:t>
            </w:r>
          </w:p>
        </w:tc>
        <w:tc>
          <w:tcPr>
            <w:tcW w:w="0" w:type="auto"/>
          </w:tcPr>
          <w:p w14:paraId="73CD976D" w14:textId="77777777" w:rsidR="008D5FD2" w:rsidRPr="00450502" w:rsidRDefault="008D5FD2">
            <w:pPr>
              <w:rPr>
                <w:rFonts w:ascii="Arial" w:hAnsi="Arial" w:cs="Arial"/>
                <w:sz w:val="22"/>
                <w:szCs w:val="22"/>
              </w:rPr>
            </w:pPr>
            <w:r w:rsidRPr="00450502">
              <w:rPr>
                <w:rFonts w:ascii="Arial" w:hAnsi="Arial" w:cs="Arial"/>
                <w:sz w:val="22"/>
                <w:szCs w:val="22"/>
              </w:rPr>
              <w:t>The change in legislation has caused increased costs in kennelling due to seizures under the act</w:t>
            </w:r>
          </w:p>
        </w:tc>
      </w:tr>
      <w:tr w:rsidR="008D5FD2" w:rsidRPr="00450502" w14:paraId="5DE0D787" w14:textId="77777777" w:rsidTr="00B27992">
        <w:tc>
          <w:tcPr>
            <w:tcW w:w="0" w:type="auto"/>
          </w:tcPr>
          <w:p w14:paraId="2C8623BD" w14:textId="77777777" w:rsidR="008D5FD2" w:rsidRPr="00450502" w:rsidRDefault="008D5FD2">
            <w:pPr>
              <w:jc w:val="right"/>
              <w:rPr>
                <w:rFonts w:ascii="Arial" w:hAnsi="Arial" w:cs="Arial"/>
                <w:sz w:val="22"/>
                <w:szCs w:val="22"/>
              </w:rPr>
            </w:pPr>
            <w:r w:rsidRPr="00450502">
              <w:rPr>
                <w:rFonts w:ascii="Arial" w:hAnsi="Arial" w:cs="Arial"/>
                <w:sz w:val="22"/>
                <w:szCs w:val="22"/>
              </w:rPr>
              <w:t>0.996</w:t>
            </w:r>
          </w:p>
        </w:tc>
        <w:tc>
          <w:tcPr>
            <w:tcW w:w="0" w:type="auto"/>
          </w:tcPr>
          <w:p w14:paraId="3115C48E" w14:textId="77777777" w:rsidR="008D5FD2" w:rsidRPr="00450502" w:rsidRDefault="008D5FD2">
            <w:pPr>
              <w:rPr>
                <w:rFonts w:ascii="Arial" w:hAnsi="Arial" w:cs="Arial"/>
                <w:sz w:val="22"/>
                <w:szCs w:val="22"/>
              </w:rPr>
            </w:pPr>
            <w:r w:rsidRPr="00450502">
              <w:rPr>
                <w:rFonts w:ascii="Arial" w:hAnsi="Arial" w:cs="Arial"/>
                <w:sz w:val="22"/>
                <w:szCs w:val="22"/>
              </w:rPr>
              <w:t>Operation Eskin</w:t>
            </w:r>
          </w:p>
        </w:tc>
        <w:tc>
          <w:tcPr>
            <w:tcW w:w="0" w:type="auto"/>
          </w:tcPr>
          <w:p w14:paraId="2B224C96" w14:textId="77777777" w:rsidR="008D5FD2" w:rsidRPr="00450502" w:rsidRDefault="008D5FD2">
            <w:pPr>
              <w:rPr>
                <w:rFonts w:ascii="Arial" w:hAnsi="Arial" w:cs="Arial"/>
                <w:sz w:val="22"/>
                <w:szCs w:val="22"/>
              </w:rPr>
            </w:pPr>
            <w:r w:rsidRPr="00450502">
              <w:rPr>
                <w:rFonts w:ascii="Arial" w:hAnsi="Arial" w:cs="Arial"/>
                <w:sz w:val="22"/>
                <w:szCs w:val="22"/>
              </w:rPr>
              <w:t>Cost incurred by Lancashire in response to the murder of three children in Southport and the subsequent protests and incidents of disorder</w:t>
            </w:r>
          </w:p>
        </w:tc>
      </w:tr>
      <w:tr w:rsidR="008D5FD2" w:rsidRPr="00450502" w14:paraId="60D43FF4" w14:textId="77777777" w:rsidTr="00B27992">
        <w:tc>
          <w:tcPr>
            <w:tcW w:w="0" w:type="auto"/>
          </w:tcPr>
          <w:p w14:paraId="15B9495C" w14:textId="77777777" w:rsidR="008D5FD2" w:rsidRPr="00450502" w:rsidRDefault="008D5FD2">
            <w:pPr>
              <w:jc w:val="right"/>
              <w:rPr>
                <w:rFonts w:ascii="Arial" w:hAnsi="Arial" w:cs="Arial"/>
                <w:sz w:val="22"/>
                <w:szCs w:val="22"/>
              </w:rPr>
            </w:pPr>
            <w:r w:rsidRPr="00450502">
              <w:rPr>
                <w:rFonts w:ascii="Arial" w:hAnsi="Arial" w:cs="Arial"/>
                <w:sz w:val="22"/>
                <w:szCs w:val="22"/>
              </w:rPr>
              <w:t>-0.793</w:t>
            </w:r>
          </w:p>
        </w:tc>
        <w:tc>
          <w:tcPr>
            <w:tcW w:w="0" w:type="auto"/>
          </w:tcPr>
          <w:p w14:paraId="004016CF" w14:textId="77777777" w:rsidR="008D5FD2" w:rsidRPr="00450502" w:rsidRDefault="008D5FD2">
            <w:pPr>
              <w:rPr>
                <w:rFonts w:ascii="Arial" w:hAnsi="Arial" w:cs="Arial"/>
                <w:sz w:val="22"/>
                <w:szCs w:val="22"/>
              </w:rPr>
            </w:pPr>
            <w:r w:rsidRPr="00450502">
              <w:rPr>
                <w:rFonts w:ascii="Arial" w:hAnsi="Arial" w:cs="Arial"/>
                <w:sz w:val="22"/>
                <w:szCs w:val="22"/>
              </w:rPr>
              <w:t>Op Eskin grant</w:t>
            </w:r>
          </w:p>
        </w:tc>
        <w:tc>
          <w:tcPr>
            <w:tcW w:w="0" w:type="auto"/>
          </w:tcPr>
          <w:p w14:paraId="35B7A225" w14:textId="77777777" w:rsidR="008D5FD2" w:rsidRPr="00450502" w:rsidRDefault="008D5FD2">
            <w:pPr>
              <w:rPr>
                <w:rFonts w:ascii="Arial" w:hAnsi="Arial" w:cs="Arial"/>
                <w:sz w:val="22"/>
                <w:szCs w:val="22"/>
              </w:rPr>
            </w:pPr>
            <w:r w:rsidRPr="00450502">
              <w:rPr>
                <w:rFonts w:ascii="Arial" w:hAnsi="Arial" w:cs="Arial"/>
                <w:sz w:val="22"/>
                <w:szCs w:val="22"/>
              </w:rPr>
              <w:t xml:space="preserve">Government agreed to fund </w:t>
            </w:r>
            <w:proofErr w:type="gramStart"/>
            <w:r w:rsidRPr="00450502">
              <w:rPr>
                <w:rFonts w:ascii="Arial" w:hAnsi="Arial" w:cs="Arial"/>
                <w:sz w:val="22"/>
                <w:szCs w:val="22"/>
              </w:rPr>
              <w:t>the majority of</w:t>
            </w:r>
            <w:proofErr w:type="gramEnd"/>
            <w:r w:rsidRPr="00450502">
              <w:rPr>
                <w:rFonts w:ascii="Arial" w:hAnsi="Arial" w:cs="Arial"/>
                <w:sz w:val="22"/>
                <w:szCs w:val="22"/>
              </w:rPr>
              <w:t xml:space="preserve"> costs for the operation</w:t>
            </w:r>
          </w:p>
        </w:tc>
      </w:tr>
      <w:tr w:rsidR="008D5FD2" w:rsidRPr="00450502" w14:paraId="14F5A9BC" w14:textId="77777777" w:rsidTr="00B27992">
        <w:tc>
          <w:tcPr>
            <w:tcW w:w="0" w:type="auto"/>
          </w:tcPr>
          <w:p w14:paraId="49A66C0D" w14:textId="77777777" w:rsidR="008D5FD2" w:rsidRPr="00450502" w:rsidRDefault="008D5FD2">
            <w:pPr>
              <w:jc w:val="right"/>
              <w:rPr>
                <w:rFonts w:ascii="Arial" w:hAnsi="Arial" w:cs="Arial"/>
                <w:sz w:val="22"/>
                <w:szCs w:val="22"/>
              </w:rPr>
            </w:pPr>
            <w:r w:rsidRPr="00450502">
              <w:rPr>
                <w:rFonts w:ascii="Arial" w:hAnsi="Arial" w:cs="Arial"/>
                <w:sz w:val="22"/>
                <w:szCs w:val="22"/>
              </w:rPr>
              <w:t>-0.621</w:t>
            </w:r>
          </w:p>
        </w:tc>
        <w:tc>
          <w:tcPr>
            <w:tcW w:w="0" w:type="auto"/>
          </w:tcPr>
          <w:p w14:paraId="108C0498" w14:textId="77777777" w:rsidR="008D5FD2" w:rsidRPr="00450502" w:rsidRDefault="008D5FD2">
            <w:pPr>
              <w:rPr>
                <w:rFonts w:ascii="Arial" w:hAnsi="Arial" w:cs="Arial"/>
                <w:sz w:val="22"/>
                <w:szCs w:val="22"/>
              </w:rPr>
            </w:pPr>
            <w:r w:rsidRPr="00450502">
              <w:rPr>
                <w:rFonts w:ascii="Arial" w:hAnsi="Arial" w:cs="Arial"/>
                <w:sz w:val="22"/>
                <w:szCs w:val="22"/>
              </w:rPr>
              <w:t>Pension costs</w:t>
            </w:r>
          </w:p>
        </w:tc>
        <w:tc>
          <w:tcPr>
            <w:tcW w:w="0" w:type="auto"/>
          </w:tcPr>
          <w:p w14:paraId="6698F4D6" w14:textId="77777777" w:rsidR="008D5FD2" w:rsidRPr="00450502" w:rsidRDefault="008D5FD2">
            <w:pPr>
              <w:rPr>
                <w:rFonts w:ascii="Arial" w:hAnsi="Arial" w:cs="Arial"/>
                <w:sz w:val="22"/>
                <w:szCs w:val="22"/>
              </w:rPr>
            </w:pPr>
            <w:r w:rsidRPr="00450502">
              <w:rPr>
                <w:rFonts w:ascii="Arial" w:hAnsi="Arial" w:cs="Arial"/>
                <w:sz w:val="22"/>
                <w:szCs w:val="22"/>
              </w:rPr>
              <w:t>Advance payment of contributions has generated a saving on the budget</w:t>
            </w:r>
          </w:p>
        </w:tc>
      </w:tr>
      <w:tr w:rsidR="008D5FD2" w:rsidRPr="00450502" w14:paraId="47F91632" w14:textId="77777777" w:rsidTr="00B27992">
        <w:tc>
          <w:tcPr>
            <w:tcW w:w="0" w:type="auto"/>
          </w:tcPr>
          <w:p w14:paraId="2F7D4BAB" w14:textId="77777777" w:rsidR="008D5FD2" w:rsidRPr="00450502" w:rsidRDefault="008D5FD2">
            <w:pPr>
              <w:jc w:val="right"/>
              <w:rPr>
                <w:rFonts w:ascii="Arial" w:hAnsi="Arial" w:cs="Arial"/>
                <w:sz w:val="22"/>
                <w:szCs w:val="22"/>
              </w:rPr>
            </w:pPr>
            <w:r w:rsidRPr="00450502">
              <w:rPr>
                <w:rFonts w:ascii="Arial" w:hAnsi="Arial" w:cs="Arial"/>
                <w:sz w:val="22"/>
                <w:szCs w:val="22"/>
              </w:rPr>
              <w:t>-0.560</w:t>
            </w:r>
          </w:p>
        </w:tc>
        <w:tc>
          <w:tcPr>
            <w:tcW w:w="0" w:type="auto"/>
          </w:tcPr>
          <w:p w14:paraId="74CCA5B3" w14:textId="77777777" w:rsidR="008D5FD2" w:rsidRPr="00450502" w:rsidRDefault="008D5FD2">
            <w:pPr>
              <w:rPr>
                <w:rFonts w:ascii="Arial" w:hAnsi="Arial" w:cs="Arial"/>
                <w:sz w:val="22"/>
                <w:szCs w:val="22"/>
              </w:rPr>
            </w:pPr>
            <w:r w:rsidRPr="00450502">
              <w:rPr>
                <w:rFonts w:ascii="Arial" w:hAnsi="Arial" w:cs="Arial"/>
                <w:sz w:val="22"/>
                <w:szCs w:val="22"/>
              </w:rPr>
              <w:t>Energy</w:t>
            </w:r>
          </w:p>
        </w:tc>
        <w:tc>
          <w:tcPr>
            <w:tcW w:w="0" w:type="auto"/>
          </w:tcPr>
          <w:p w14:paraId="69FDC846" w14:textId="77777777" w:rsidR="008D5FD2" w:rsidRPr="00450502" w:rsidRDefault="008D5FD2">
            <w:pPr>
              <w:rPr>
                <w:rFonts w:ascii="Arial" w:hAnsi="Arial" w:cs="Arial"/>
                <w:sz w:val="22"/>
                <w:szCs w:val="22"/>
              </w:rPr>
            </w:pPr>
            <w:r w:rsidRPr="00450502">
              <w:rPr>
                <w:rFonts w:ascii="Arial" w:hAnsi="Arial" w:cs="Arial"/>
                <w:sz w:val="22"/>
                <w:szCs w:val="22"/>
              </w:rPr>
              <w:t>Energy budgets have underspent due to advanced purchase of energy baskets under the contract with a new supplier combined with a reduction in market price</w:t>
            </w:r>
          </w:p>
        </w:tc>
      </w:tr>
      <w:tr w:rsidR="008D5FD2" w:rsidRPr="00450502" w14:paraId="00B2E7F2" w14:textId="77777777" w:rsidTr="00B27992">
        <w:tc>
          <w:tcPr>
            <w:tcW w:w="0" w:type="auto"/>
          </w:tcPr>
          <w:p w14:paraId="39D5642A" w14:textId="77777777" w:rsidR="008D5FD2" w:rsidRPr="00450502" w:rsidRDefault="008D5FD2">
            <w:pPr>
              <w:jc w:val="right"/>
              <w:rPr>
                <w:rFonts w:ascii="Arial" w:hAnsi="Arial" w:cs="Arial"/>
                <w:sz w:val="22"/>
                <w:szCs w:val="22"/>
              </w:rPr>
            </w:pPr>
            <w:r w:rsidRPr="00450502">
              <w:rPr>
                <w:rFonts w:ascii="Arial" w:hAnsi="Arial" w:cs="Arial"/>
                <w:sz w:val="22"/>
                <w:szCs w:val="22"/>
              </w:rPr>
              <w:t>-0.591</w:t>
            </w:r>
          </w:p>
        </w:tc>
        <w:tc>
          <w:tcPr>
            <w:tcW w:w="0" w:type="auto"/>
          </w:tcPr>
          <w:p w14:paraId="4A707D98" w14:textId="77777777" w:rsidR="008D5FD2" w:rsidRPr="00450502" w:rsidRDefault="008D5FD2">
            <w:pPr>
              <w:rPr>
                <w:rFonts w:ascii="Arial" w:hAnsi="Arial" w:cs="Arial"/>
                <w:sz w:val="22"/>
                <w:szCs w:val="22"/>
              </w:rPr>
            </w:pPr>
            <w:r w:rsidRPr="00450502">
              <w:rPr>
                <w:rFonts w:ascii="Arial" w:hAnsi="Arial" w:cs="Arial"/>
                <w:sz w:val="22"/>
                <w:szCs w:val="22"/>
              </w:rPr>
              <w:t>Airwave</w:t>
            </w:r>
          </w:p>
        </w:tc>
        <w:tc>
          <w:tcPr>
            <w:tcW w:w="0" w:type="auto"/>
          </w:tcPr>
          <w:p w14:paraId="588EFDFE" w14:textId="77777777" w:rsidR="008D5FD2" w:rsidRPr="00450502" w:rsidRDefault="008D5FD2">
            <w:pPr>
              <w:rPr>
                <w:rFonts w:ascii="Arial" w:hAnsi="Arial" w:cs="Arial"/>
                <w:sz w:val="22"/>
                <w:szCs w:val="22"/>
              </w:rPr>
            </w:pPr>
            <w:r w:rsidRPr="00450502">
              <w:rPr>
                <w:rFonts w:ascii="Arial" w:hAnsi="Arial" w:cs="Arial"/>
                <w:sz w:val="22"/>
                <w:szCs w:val="22"/>
              </w:rPr>
              <w:t>The successful challenge to the cost increase by the provider has reduced the cost and generated a saving</w:t>
            </w:r>
          </w:p>
        </w:tc>
      </w:tr>
      <w:tr w:rsidR="008D5FD2" w:rsidRPr="00450502" w14:paraId="03C5012C" w14:textId="77777777" w:rsidTr="00B27992">
        <w:tc>
          <w:tcPr>
            <w:tcW w:w="0" w:type="auto"/>
          </w:tcPr>
          <w:p w14:paraId="6A78ED41" w14:textId="77777777" w:rsidR="008D5FD2" w:rsidRPr="00450502" w:rsidRDefault="008D5FD2">
            <w:pPr>
              <w:jc w:val="right"/>
              <w:rPr>
                <w:rFonts w:ascii="Arial" w:hAnsi="Arial" w:cs="Arial"/>
                <w:sz w:val="22"/>
                <w:szCs w:val="22"/>
              </w:rPr>
            </w:pPr>
            <w:r w:rsidRPr="00450502">
              <w:rPr>
                <w:rFonts w:ascii="Arial" w:hAnsi="Arial" w:cs="Arial"/>
                <w:sz w:val="22"/>
                <w:szCs w:val="22"/>
              </w:rPr>
              <w:t>-0.427</w:t>
            </w:r>
          </w:p>
        </w:tc>
        <w:tc>
          <w:tcPr>
            <w:tcW w:w="0" w:type="auto"/>
          </w:tcPr>
          <w:p w14:paraId="3C32B540" w14:textId="77777777" w:rsidR="008D5FD2" w:rsidRPr="00450502" w:rsidRDefault="008D5FD2">
            <w:pPr>
              <w:rPr>
                <w:rFonts w:ascii="Arial" w:hAnsi="Arial" w:cs="Arial"/>
                <w:sz w:val="22"/>
                <w:szCs w:val="22"/>
              </w:rPr>
            </w:pPr>
            <w:r w:rsidRPr="00450502">
              <w:rPr>
                <w:rFonts w:ascii="Arial" w:hAnsi="Arial" w:cs="Arial"/>
                <w:sz w:val="22"/>
                <w:szCs w:val="22"/>
              </w:rPr>
              <w:t>Income</w:t>
            </w:r>
          </w:p>
        </w:tc>
        <w:tc>
          <w:tcPr>
            <w:tcW w:w="0" w:type="auto"/>
          </w:tcPr>
          <w:p w14:paraId="00602701" w14:textId="77777777" w:rsidR="008D5FD2" w:rsidRPr="00450502" w:rsidRDefault="008D5FD2">
            <w:pPr>
              <w:rPr>
                <w:rFonts w:ascii="Arial" w:hAnsi="Arial" w:cs="Arial"/>
                <w:sz w:val="22"/>
                <w:szCs w:val="22"/>
              </w:rPr>
            </w:pPr>
            <w:r w:rsidRPr="00450502">
              <w:rPr>
                <w:rFonts w:ascii="Arial" w:hAnsi="Arial" w:cs="Arial"/>
                <w:sz w:val="22"/>
                <w:szCs w:val="22"/>
              </w:rPr>
              <w:t>Additional, one-off' additional income from police confiscations</w:t>
            </w:r>
          </w:p>
        </w:tc>
      </w:tr>
      <w:tr w:rsidR="008D5FD2" w:rsidRPr="00450502" w14:paraId="02DA0365" w14:textId="77777777" w:rsidTr="00B27992">
        <w:tc>
          <w:tcPr>
            <w:tcW w:w="0" w:type="auto"/>
          </w:tcPr>
          <w:p w14:paraId="37CAA41E" w14:textId="77777777" w:rsidR="008D5FD2" w:rsidRPr="00450502" w:rsidRDefault="008D5FD2">
            <w:pPr>
              <w:jc w:val="right"/>
              <w:rPr>
                <w:rFonts w:ascii="Arial" w:hAnsi="Arial" w:cs="Arial"/>
                <w:sz w:val="22"/>
                <w:szCs w:val="22"/>
              </w:rPr>
            </w:pPr>
            <w:r w:rsidRPr="00450502">
              <w:rPr>
                <w:rFonts w:ascii="Arial" w:hAnsi="Arial" w:cs="Arial"/>
                <w:sz w:val="22"/>
                <w:szCs w:val="22"/>
              </w:rPr>
              <w:t>-0.317</w:t>
            </w:r>
          </w:p>
        </w:tc>
        <w:tc>
          <w:tcPr>
            <w:tcW w:w="0" w:type="auto"/>
          </w:tcPr>
          <w:p w14:paraId="7406DE69" w14:textId="77777777" w:rsidR="008D5FD2" w:rsidRPr="00450502" w:rsidRDefault="008D5FD2">
            <w:pPr>
              <w:rPr>
                <w:rFonts w:ascii="Arial" w:hAnsi="Arial" w:cs="Arial"/>
                <w:sz w:val="22"/>
                <w:szCs w:val="22"/>
              </w:rPr>
            </w:pPr>
            <w:r w:rsidRPr="00450502">
              <w:rPr>
                <w:rFonts w:ascii="Arial" w:hAnsi="Arial" w:cs="Arial"/>
                <w:sz w:val="22"/>
                <w:szCs w:val="22"/>
              </w:rPr>
              <w:t>Telephony</w:t>
            </w:r>
          </w:p>
        </w:tc>
        <w:tc>
          <w:tcPr>
            <w:tcW w:w="0" w:type="auto"/>
          </w:tcPr>
          <w:p w14:paraId="468F4F17" w14:textId="77777777" w:rsidR="008D5FD2" w:rsidRPr="00450502" w:rsidRDefault="008D5FD2">
            <w:pPr>
              <w:rPr>
                <w:rFonts w:ascii="Arial" w:hAnsi="Arial" w:cs="Arial"/>
                <w:sz w:val="22"/>
                <w:szCs w:val="22"/>
              </w:rPr>
            </w:pPr>
            <w:r w:rsidRPr="00450502">
              <w:rPr>
                <w:rFonts w:ascii="Arial" w:hAnsi="Arial" w:cs="Arial"/>
                <w:sz w:val="22"/>
                <w:szCs w:val="22"/>
              </w:rPr>
              <w:t>New telephony contract has delivered a saving</w:t>
            </w:r>
          </w:p>
        </w:tc>
      </w:tr>
      <w:tr w:rsidR="008D5FD2" w:rsidRPr="00450502" w14:paraId="4FDC1FFD" w14:textId="77777777" w:rsidTr="00B27992">
        <w:tc>
          <w:tcPr>
            <w:tcW w:w="0" w:type="auto"/>
          </w:tcPr>
          <w:p w14:paraId="00C0EB99" w14:textId="77777777" w:rsidR="008D5FD2" w:rsidRPr="00450502" w:rsidRDefault="008D5FD2">
            <w:pPr>
              <w:jc w:val="right"/>
              <w:rPr>
                <w:rFonts w:ascii="Arial" w:hAnsi="Arial" w:cs="Arial"/>
                <w:sz w:val="22"/>
                <w:szCs w:val="22"/>
              </w:rPr>
            </w:pPr>
            <w:r w:rsidRPr="00450502">
              <w:rPr>
                <w:rFonts w:ascii="Arial" w:hAnsi="Arial" w:cs="Arial"/>
                <w:sz w:val="22"/>
                <w:szCs w:val="22"/>
              </w:rPr>
              <w:t>-0.249</w:t>
            </w:r>
          </w:p>
        </w:tc>
        <w:tc>
          <w:tcPr>
            <w:tcW w:w="0" w:type="auto"/>
          </w:tcPr>
          <w:p w14:paraId="041AFF04" w14:textId="77777777" w:rsidR="008D5FD2" w:rsidRPr="00450502" w:rsidRDefault="008D5FD2">
            <w:pPr>
              <w:rPr>
                <w:rFonts w:ascii="Arial" w:hAnsi="Arial" w:cs="Arial"/>
                <w:sz w:val="22"/>
                <w:szCs w:val="22"/>
              </w:rPr>
            </w:pPr>
            <w:r w:rsidRPr="00450502">
              <w:rPr>
                <w:rFonts w:ascii="Arial" w:hAnsi="Arial" w:cs="Arial"/>
                <w:sz w:val="22"/>
                <w:szCs w:val="22"/>
              </w:rPr>
              <w:t>Prevention</w:t>
            </w:r>
          </w:p>
        </w:tc>
        <w:tc>
          <w:tcPr>
            <w:tcW w:w="0" w:type="auto"/>
          </w:tcPr>
          <w:p w14:paraId="1AB5E9EE" w14:textId="77777777" w:rsidR="008D5FD2" w:rsidRPr="00450502" w:rsidRDefault="008D5FD2">
            <w:pPr>
              <w:rPr>
                <w:rFonts w:ascii="Arial" w:hAnsi="Arial" w:cs="Arial"/>
                <w:sz w:val="22"/>
                <w:szCs w:val="22"/>
              </w:rPr>
            </w:pPr>
            <w:r w:rsidRPr="00450502">
              <w:rPr>
                <w:rFonts w:ascii="Arial" w:hAnsi="Arial" w:cs="Arial"/>
                <w:sz w:val="22"/>
                <w:szCs w:val="22"/>
              </w:rPr>
              <w:t>An underspend on the budget set aside for prevention activity due to the timing of programmes during the year</w:t>
            </w:r>
          </w:p>
        </w:tc>
      </w:tr>
    </w:tbl>
    <w:p w14:paraId="5FF5A662" w14:textId="77777777" w:rsidR="008D5FD2" w:rsidRPr="006564FF" w:rsidRDefault="008D5FD2" w:rsidP="008D5FD2"/>
    <w:p w14:paraId="6DFCDF61" w14:textId="77777777" w:rsidR="008D5FD2" w:rsidRPr="00B018C9" w:rsidRDefault="008D5FD2" w:rsidP="008D5FD2">
      <w:pPr>
        <w:pStyle w:val="Heading1"/>
        <w:jc w:val="both"/>
        <w:rPr>
          <w:rFonts w:cs="Arial"/>
          <w:szCs w:val="24"/>
        </w:rPr>
      </w:pPr>
      <w:r>
        <w:rPr>
          <w:rFonts w:cs="Arial"/>
          <w:szCs w:val="24"/>
        </w:rPr>
        <w:t>2024/25</w:t>
      </w:r>
      <w:r w:rsidRPr="00B018C9">
        <w:rPr>
          <w:rFonts w:cs="Arial"/>
          <w:szCs w:val="24"/>
        </w:rPr>
        <w:t xml:space="preserve"> year-end position for reserves</w:t>
      </w:r>
    </w:p>
    <w:p w14:paraId="19128E04" w14:textId="77777777" w:rsidR="008D5FD2" w:rsidRPr="00B018C9" w:rsidRDefault="008D5FD2" w:rsidP="008D5FD2">
      <w:pPr>
        <w:jc w:val="both"/>
        <w:rPr>
          <w:rFonts w:ascii="Arial" w:hAnsi="Arial" w:cs="Arial"/>
          <w:sz w:val="24"/>
          <w:szCs w:val="24"/>
        </w:rPr>
      </w:pPr>
    </w:p>
    <w:p w14:paraId="77DEFA01" w14:textId="5741F0A7" w:rsidR="008D5FD2" w:rsidRPr="00D64254" w:rsidRDefault="008D5FD2" w:rsidP="008D5FD2">
      <w:pPr>
        <w:spacing w:after="120"/>
        <w:rPr>
          <w:rFonts w:ascii="Arial" w:hAnsi="Arial"/>
          <w:sz w:val="24"/>
        </w:rPr>
      </w:pPr>
      <w:bookmarkStart w:id="6" w:name="_Hlk106968606"/>
      <w:r w:rsidRPr="00D64254">
        <w:rPr>
          <w:rFonts w:ascii="Arial" w:hAnsi="Arial"/>
          <w:sz w:val="24"/>
        </w:rPr>
        <w:t>The general reserves (DFM and general fund) at 31 March 202</w:t>
      </w:r>
      <w:r>
        <w:rPr>
          <w:rFonts w:ascii="Arial" w:hAnsi="Arial"/>
          <w:sz w:val="24"/>
        </w:rPr>
        <w:t>5</w:t>
      </w:r>
      <w:r w:rsidRPr="00D64254">
        <w:rPr>
          <w:rFonts w:ascii="Arial" w:hAnsi="Arial"/>
          <w:sz w:val="24"/>
        </w:rPr>
        <w:t xml:space="preserve"> are £</w:t>
      </w:r>
      <w:r>
        <w:rPr>
          <w:rFonts w:ascii="Arial" w:hAnsi="Arial"/>
          <w:sz w:val="24"/>
        </w:rPr>
        <w:t>1</w:t>
      </w:r>
      <w:r w:rsidR="00FA65E5">
        <w:rPr>
          <w:rFonts w:ascii="Arial" w:hAnsi="Arial"/>
          <w:sz w:val="24"/>
        </w:rPr>
        <w:t>5</w:t>
      </w:r>
      <w:r>
        <w:rPr>
          <w:rFonts w:ascii="Arial" w:hAnsi="Arial"/>
          <w:sz w:val="24"/>
        </w:rPr>
        <w:t>.</w:t>
      </w:r>
      <w:r w:rsidR="00FA65E5">
        <w:rPr>
          <w:rFonts w:ascii="Arial" w:hAnsi="Arial"/>
          <w:sz w:val="24"/>
        </w:rPr>
        <w:t>9</w:t>
      </w:r>
      <w:r w:rsidR="007B407D">
        <w:rPr>
          <w:rFonts w:ascii="Arial" w:hAnsi="Arial"/>
          <w:sz w:val="24"/>
        </w:rPr>
        <w:t>74</w:t>
      </w:r>
      <w:r w:rsidRPr="00D64254">
        <w:rPr>
          <w:rFonts w:ascii="Arial" w:hAnsi="Arial"/>
          <w:sz w:val="24"/>
        </w:rPr>
        <w:t xml:space="preserve">m and represent around </w:t>
      </w:r>
      <w:r>
        <w:rPr>
          <w:rFonts w:ascii="Arial" w:hAnsi="Arial"/>
          <w:sz w:val="24"/>
        </w:rPr>
        <w:t>3.8</w:t>
      </w:r>
      <w:r w:rsidRPr="00D64254">
        <w:rPr>
          <w:rFonts w:ascii="Arial" w:hAnsi="Arial"/>
          <w:sz w:val="24"/>
        </w:rPr>
        <w:t>% of the 202</w:t>
      </w:r>
      <w:r>
        <w:rPr>
          <w:rFonts w:ascii="Arial" w:hAnsi="Arial"/>
          <w:sz w:val="24"/>
        </w:rPr>
        <w:t>5/26</w:t>
      </w:r>
      <w:r w:rsidRPr="00D64254">
        <w:rPr>
          <w:rFonts w:ascii="Arial" w:hAnsi="Arial"/>
          <w:sz w:val="24"/>
        </w:rPr>
        <w:t xml:space="preserve"> budget of £</w:t>
      </w:r>
      <w:r>
        <w:rPr>
          <w:rFonts w:ascii="Arial" w:hAnsi="Arial"/>
          <w:sz w:val="24"/>
        </w:rPr>
        <w:t>424.764</w:t>
      </w:r>
      <w:r w:rsidRPr="00D64254">
        <w:rPr>
          <w:rFonts w:ascii="Arial" w:hAnsi="Arial"/>
          <w:sz w:val="24"/>
        </w:rPr>
        <w:t>m.  Other earmarked reserves total £</w:t>
      </w:r>
      <w:r>
        <w:rPr>
          <w:rFonts w:ascii="Arial" w:hAnsi="Arial"/>
          <w:sz w:val="24"/>
        </w:rPr>
        <w:t>1</w:t>
      </w:r>
      <w:r w:rsidR="00FA65E5">
        <w:rPr>
          <w:rFonts w:ascii="Arial" w:hAnsi="Arial"/>
          <w:sz w:val="24"/>
        </w:rPr>
        <w:t>1</w:t>
      </w:r>
      <w:r>
        <w:rPr>
          <w:rFonts w:ascii="Arial" w:hAnsi="Arial"/>
          <w:sz w:val="24"/>
        </w:rPr>
        <w:t>.</w:t>
      </w:r>
      <w:r w:rsidR="00FA65E5">
        <w:rPr>
          <w:rFonts w:ascii="Arial" w:hAnsi="Arial"/>
          <w:sz w:val="24"/>
        </w:rPr>
        <w:t>1</w:t>
      </w:r>
      <w:r w:rsidRPr="00450502">
        <w:rPr>
          <w:rFonts w:ascii="Arial" w:hAnsi="Arial" w:cs="Arial"/>
          <w:sz w:val="24"/>
          <w:szCs w:val="24"/>
        </w:rPr>
        <w:t>8m including £</w:t>
      </w:r>
      <w:r w:rsidR="00FA65E5">
        <w:rPr>
          <w:rFonts w:ascii="Arial" w:hAnsi="Arial" w:cs="Arial"/>
          <w:sz w:val="24"/>
          <w:szCs w:val="24"/>
        </w:rPr>
        <w:t>3</w:t>
      </w:r>
      <w:r w:rsidRPr="00450502">
        <w:rPr>
          <w:rFonts w:ascii="Arial" w:hAnsi="Arial" w:cs="Arial"/>
          <w:sz w:val="24"/>
          <w:szCs w:val="24"/>
        </w:rPr>
        <w:t>.</w:t>
      </w:r>
      <w:r w:rsidR="00FA65E5">
        <w:rPr>
          <w:rFonts w:ascii="Arial" w:hAnsi="Arial" w:cs="Arial"/>
          <w:sz w:val="24"/>
          <w:szCs w:val="24"/>
        </w:rPr>
        <w:t>76</w:t>
      </w:r>
      <w:r w:rsidRPr="00450502">
        <w:rPr>
          <w:rFonts w:ascii="Arial" w:hAnsi="Arial" w:cs="Arial"/>
          <w:sz w:val="24"/>
          <w:szCs w:val="24"/>
        </w:rPr>
        <w:t>m held in reserves that has resulted from assets recovered from criminals that will be invested in local communities and operational policing across Lancashire.</w:t>
      </w:r>
    </w:p>
    <w:p w14:paraId="4029EE4D" w14:textId="77777777" w:rsidR="008D5FD2" w:rsidRPr="00D64254" w:rsidRDefault="008D5FD2" w:rsidP="008D5FD2">
      <w:pPr>
        <w:spacing w:after="120"/>
        <w:rPr>
          <w:rFonts w:ascii="Arial" w:hAnsi="Arial"/>
          <w:sz w:val="24"/>
        </w:rPr>
      </w:pPr>
      <w:r w:rsidRPr="00D64254">
        <w:rPr>
          <w:rFonts w:ascii="Arial" w:hAnsi="Arial"/>
          <w:sz w:val="24"/>
        </w:rPr>
        <w:t xml:space="preserve">The PCC's Chief Finance Officer believes that the level of reserves remains appropriate </w:t>
      </w:r>
      <w:proofErr w:type="gramStart"/>
      <w:r w:rsidRPr="00D64254">
        <w:rPr>
          <w:rFonts w:ascii="Arial" w:hAnsi="Arial"/>
          <w:sz w:val="24"/>
        </w:rPr>
        <w:t>and in particular, the</w:t>
      </w:r>
      <w:proofErr w:type="gramEnd"/>
      <w:r w:rsidRPr="00D64254">
        <w:rPr>
          <w:rFonts w:ascii="Arial" w:hAnsi="Arial"/>
          <w:sz w:val="24"/>
        </w:rPr>
        <w:t xml:space="preserve"> level of general reserves is considered sufficient to meet any unexpected or unusual financial issues during the financial year 202</w:t>
      </w:r>
      <w:r>
        <w:rPr>
          <w:rFonts w:ascii="Arial" w:hAnsi="Arial"/>
          <w:sz w:val="24"/>
        </w:rPr>
        <w:t>5/26</w:t>
      </w:r>
      <w:r w:rsidRPr="00D64254">
        <w:rPr>
          <w:rFonts w:ascii="Arial" w:hAnsi="Arial"/>
          <w:sz w:val="24"/>
        </w:rPr>
        <w:t>.</w:t>
      </w:r>
    </w:p>
    <w:bookmarkEnd w:id="6"/>
    <w:p w14:paraId="78D1D870" w14:textId="77777777" w:rsidR="008D5FD2" w:rsidRPr="00B018C9" w:rsidRDefault="008D5FD2" w:rsidP="008D5FD2">
      <w:pPr>
        <w:jc w:val="both"/>
        <w:rPr>
          <w:rFonts w:ascii="Arial" w:hAnsi="Arial" w:cs="Arial"/>
          <w:color w:val="FF0000"/>
          <w:sz w:val="24"/>
          <w:szCs w:val="24"/>
        </w:rPr>
      </w:pPr>
      <w:r w:rsidRPr="00B018C9">
        <w:rPr>
          <w:rFonts w:ascii="Arial" w:hAnsi="Arial" w:cs="Arial"/>
          <w:sz w:val="24"/>
          <w:szCs w:val="24"/>
        </w:rPr>
        <w:t>Further detail on movement in reserves can be found in the movement in reserves statement and in Notes 8 and 9 to the accounts</w:t>
      </w:r>
      <w:r w:rsidRPr="00B018C9">
        <w:rPr>
          <w:rFonts w:ascii="Arial" w:hAnsi="Arial" w:cs="Arial"/>
          <w:color w:val="FF0000"/>
          <w:sz w:val="24"/>
          <w:szCs w:val="24"/>
        </w:rPr>
        <w:t>.</w:t>
      </w:r>
    </w:p>
    <w:p w14:paraId="611DE111" w14:textId="284A71CE" w:rsidR="004D5349" w:rsidRDefault="004D5349">
      <w:pPr>
        <w:rPr>
          <w:rFonts w:ascii="Arial" w:hAnsi="Arial" w:cs="Arial"/>
          <w:b/>
          <w:sz w:val="24"/>
          <w:szCs w:val="24"/>
        </w:rPr>
      </w:pPr>
      <w:bookmarkStart w:id="7" w:name="_Hlk74731137"/>
    </w:p>
    <w:p w14:paraId="52BFF301" w14:textId="15FB349B" w:rsidR="008D5FD2" w:rsidRPr="00B018C9" w:rsidRDefault="008D5FD2" w:rsidP="008D5FD2">
      <w:pPr>
        <w:spacing w:after="120"/>
        <w:jc w:val="both"/>
        <w:rPr>
          <w:rFonts w:ascii="Arial" w:hAnsi="Arial" w:cs="Arial"/>
          <w:b/>
          <w:sz w:val="24"/>
          <w:szCs w:val="24"/>
        </w:rPr>
      </w:pPr>
      <w:r w:rsidRPr="00B018C9">
        <w:rPr>
          <w:rFonts w:ascii="Arial" w:hAnsi="Arial" w:cs="Arial"/>
          <w:b/>
          <w:sz w:val="24"/>
          <w:szCs w:val="24"/>
        </w:rPr>
        <w:t>Capital Funding</w:t>
      </w:r>
    </w:p>
    <w:bookmarkEnd w:id="7"/>
    <w:p w14:paraId="28DA4FAC" w14:textId="77777777" w:rsidR="008D5FD2" w:rsidRDefault="008D5FD2" w:rsidP="008D5FD2">
      <w:pPr>
        <w:spacing w:after="120"/>
        <w:rPr>
          <w:rFonts w:ascii="Arial" w:hAnsi="Arial"/>
          <w:sz w:val="24"/>
        </w:rPr>
      </w:pPr>
      <w:r w:rsidRPr="00D64254">
        <w:rPr>
          <w:rFonts w:ascii="Arial" w:hAnsi="Arial"/>
          <w:sz w:val="24"/>
        </w:rPr>
        <w:t xml:space="preserve">A total of </w:t>
      </w:r>
      <w:r w:rsidRPr="00D64254">
        <w:rPr>
          <w:rFonts w:ascii="Arial" w:hAnsi="Arial"/>
          <w:b/>
          <w:sz w:val="24"/>
        </w:rPr>
        <w:t>£</w:t>
      </w:r>
      <w:r>
        <w:rPr>
          <w:rFonts w:ascii="Arial" w:hAnsi="Arial"/>
          <w:b/>
          <w:sz w:val="24"/>
        </w:rPr>
        <w:t>30.902</w:t>
      </w:r>
      <w:r w:rsidRPr="00D64254">
        <w:rPr>
          <w:rFonts w:ascii="Arial" w:hAnsi="Arial"/>
          <w:b/>
          <w:sz w:val="24"/>
        </w:rPr>
        <w:t>m</w:t>
      </w:r>
      <w:r w:rsidRPr="00D64254">
        <w:rPr>
          <w:rFonts w:ascii="Arial" w:hAnsi="Arial"/>
          <w:sz w:val="24"/>
        </w:rPr>
        <w:t xml:space="preserve"> has been spent on capital projects in this year:</w:t>
      </w:r>
    </w:p>
    <w:tbl>
      <w:tblPr>
        <w:tblW w:w="0" w:type="auto"/>
        <w:tblLook w:val="04A0" w:firstRow="1" w:lastRow="0" w:firstColumn="1" w:lastColumn="0" w:noHBand="0" w:noVBand="1"/>
      </w:tblPr>
      <w:tblGrid>
        <w:gridCol w:w="4644"/>
        <w:gridCol w:w="993"/>
      </w:tblGrid>
      <w:tr w:rsidR="008D5FD2" w:rsidRPr="00330E8A" w14:paraId="3E9CA687" w14:textId="77777777" w:rsidTr="00B27992">
        <w:tc>
          <w:tcPr>
            <w:tcW w:w="4644" w:type="dxa"/>
          </w:tcPr>
          <w:p w14:paraId="5A2F38F3" w14:textId="77777777" w:rsidR="008D5FD2" w:rsidRPr="00330E8A" w:rsidRDefault="008D5FD2">
            <w:pPr>
              <w:jc w:val="both"/>
              <w:rPr>
                <w:rFonts w:ascii="Arial" w:hAnsi="Arial"/>
                <w:sz w:val="24"/>
              </w:rPr>
            </w:pPr>
          </w:p>
        </w:tc>
        <w:tc>
          <w:tcPr>
            <w:tcW w:w="993" w:type="dxa"/>
          </w:tcPr>
          <w:p w14:paraId="60A89658" w14:textId="77777777" w:rsidR="008D5FD2" w:rsidRPr="00330E8A" w:rsidRDefault="008D5FD2">
            <w:pPr>
              <w:jc w:val="center"/>
              <w:rPr>
                <w:rFonts w:ascii="Arial" w:hAnsi="Arial"/>
                <w:b/>
                <w:sz w:val="24"/>
              </w:rPr>
            </w:pPr>
            <w:r w:rsidRPr="00330E8A">
              <w:rPr>
                <w:rFonts w:ascii="Arial" w:hAnsi="Arial"/>
                <w:b/>
                <w:sz w:val="24"/>
              </w:rPr>
              <w:t>£m</w:t>
            </w:r>
          </w:p>
        </w:tc>
      </w:tr>
      <w:tr w:rsidR="008D5FD2" w:rsidRPr="00330E8A" w14:paraId="452B0DC7" w14:textId="77777777" w:rsidTr="00B27992">
        <w:tc>
          <w:tcPr>
            <w:tcW w:w="4644" w:type="dxa"/>
            <w:vAlign w:val="center"/>
          </w:tcPr>
          <w:p w14:paraId="1AAD6CDA" w14:textId="77777777" w:rsidR="008D5FD2" w:rsidRPr="00330E8A" w:rsidRDefault="008D5FD2">
            <w:pPr>
              <w:rPr>
                <w:rFonts w:ascii="Arial" w:hAnsi="Arial"/>
                <w:sz w:val="24"/>
              </w:rPr>
            </w:pPr>
            <w:r w:rsidRPr="00330E8A">
              <w:rPr>
                <w:rFonts w:ascii="Arial" w:hAnsi="Arial"/>
                <w:sz w:val="24"/>
              </w:rPr>
              <w:t>Estate</w:t>
            </w:r>
          </w:p>
        </w:tc>
        <w:tc>
          <w:tcPr>
            <w:tcW w:w="993" w:type="dxa"/>
            <w:vAlign w:val="center"/>
          </w:tcPr>
          <w:p w14:paraId="0A359894" w14:textId="4104C89D" w:rsidR="008D5FD2" w:rsidRPr="00330E8A" w:rsidRDefault="008D5FD2">
            <w:pPr>
              <w:jc w:val="right"/>
              <w:rPr>
                <w:rFonts w:ascii="Arial" w:hAnsi="Arial"/>
                <w:sz w:val="24"/>
              </w:rPr>
            </w:pPr>
            <w:r w:rsidRPr="00330E8A">
              <w:rPr>
                <w:rFonts w:ascii="Arial" w:hAnsi="Arial"/>
                <w:sz w:val="24"/>
              </w:rPr>
              <w:t>17.</w:t>
            </w:r>
            <w:r w:rsidR="0047662F">
              <w:rPr>
                <w:rFonts w:ascii="Arial" w:hAnsi="Arial"/>
                <w:sz w:val="24"/>
              </w:rPr>
              <w:t>837</w:t>
            </w:r>
          </w:p>
        </w:tc>
      </w:tr>
      <w:tr w:rsidR="008D5FD2" w:rsidRPr="00330E8A" w14:paraId="193B3ACA" w14:textId="77777777" w:rsidTr="00B27992">
        <w:tc>
          <w:tcPr>
            <w:tcW w:w="4644" w:type="dxa"/>
            <w:vAlign w:val="center"/>
          </w:tcPr>
          <w:p w14:paraId="1FBC64FC" w14:textId="77777777" w:rsidR="008D5FD2" w:rsidRPr="00330E8A" w:rsidRDefault="008D5FD2">
            <w:pPr>
              <w:rPr>
                <w:rFonts w:ascii="Arial" w:hAnsi="Arial"/>
                <w:sz w:val="24"/>
              </w:rPr>
            </w:pPr>
            <w:r w:rsidRPr="00330E8A">
              <w:rPr>
                <w:rFonts w:ascii="Arial" w:hAnsi="Arial"/>
                <w:sz w:val="24"/>
              </w:rPr>
              <w:t>ICT</w:t>
            </w:r>
          </w:p>
        </w:tc>
        <w:tc>
          <w:tcPr>
            <w:tcW w:w="993" w:type="dxa"/>
            <w:vAlign w:val="center"/>
          </w:tcPr>
          <w:p w14:paraId="197ADB49" w14:textId="637EAB83" w:rsidR="008D5FD2" w:rsidRPr="00330E8A" w:rsidRDefault="008D5FD2">
            <w:pPr>
              <w:jc w:val="right"/>
              <w:rPr>
                <w:rFonts w:ascii="Arial" w:hAnsi="Arial"/>
                <w:sz w:val="24"/>
              </w:rPr>
            </w:pPr>
            <w:r w:rsidRPr="00330E8A">
              <w:rPr>
                <w:rFonts w:ascii="Arial" w:hAnsi="Arial"/>
                <w:sz w:val="24"/>
              </w:rPr>
              <w:t>8.3</w:t>
            </w:r>
            <w:r w:rsidR="0047662F">
              <w:rPr>
                <w:rFonts w:ascii="Arial" w:hAnsi="Arial"/>
                <w:sz w:val="24"/>
              </w:rPr>
              <w:t>56</w:t>
            </w:r>
          </w:p>
        </w:tc>
      </w:tr>
      <w:tr w:rsidR="008D5FD2" w:rsidRPr="00330E8A" w14:paraId="675A07AB" w14:textId="77777777" w:rsidTr="00B27992">
        <w:tc>
          <w:tcPr>
            <w:tcW w:w="4644" w:type="dxa"/>
            <w:vAlign w:val="center"/>
          </w:tcPr>
          <w:p w14:paraId="104B24DD" w14:textId="77777777" w:rsidR="008D5FD2" w:rsidRPr="00330E8A" w:rsidRDefault="008D5FD2">
            <w:pPr>
              <w:jc w:val="both"/>
              <w:rPr>
                <w:rFonts w:ascii="Arial" w:hAnsi="Arial"/>
                <w:sz w:val="24"/>
              </w:rPr>
            </w:pPr>
            <w:r w:rsidRPr="00330E8A">
              <w:rPr>
                <w:rFonts w:ascii="Arial" w:hAnsi="Arial"/>
                <w:sz w:val="24"/>
              </w:rPr>
              <w:t>Vehicle Replacement Programme</w:t>
            </w:r>
          </w:p>
        </w:tc>
        <w:tc>
          <w:tcPr>
            <w:tcW w:w="993" w:type="dxa"/>
            <w:vAlign w:val="center"/>
          </w:tcPr>
          <w:p w14:paraId="2DD1DEB8" w14:textId="77777777" w:rsidR="008D5FD2" w:rsidRPr="00330E8A" w:rsidRDefault="008D5FD2">
            <w:pPr>
              <w:jc w:val="right"/>
              <w:rPr>
                <w:rFonts w:ascii="Arial" w:hAnsi="Arial"/>
                <w:sz w:val="24"/>
              </w:rPr>
            </w:pPr>
            <w:r w:rsidRPr="00330E8A">
              <w:rPr>
                <w:rFonts w:ascii="Arial" w:hAnsi="Arial"/>
                <w:sz w:val="24"/>
              </w:rPr>
              <w:t>3.563</w:t>
            </w:r>
          </w:p>
        </w:tc>
      </w:tr>
      <w:tr w:rsidR="008D5FD2" w:rsidRPr="00330E8A" w14:paraId="6EF34335" w14:textId="77777777" w:rsidTr="00B27992">
        <w:tc>
          <w:tcPr>
            <w:tcW w:w="4644" w:type="dxa"/>
            <w:vAlign w:val="center"/>
          </w:tcPr>
          <w:p w14:paraId="03E50843" w14:textId="77777777" w:rsidR="008D5FD2" w:rsidRPr="00330E8A" w:rsidRDefault="008D5FD2">
            <w:pPr>
              <w:jc w:val="both"/>
              <w:rPr>
                <w:rFonts w:ascii="Arial" w:hAnsi="Arial"/>
                <w:sz w:val="24"/>
              </w:rPr>
            </w:pPr>
            <w:r w:rsidRPr="00330E8A">
              <w:rPr>
                <w:rFonts w:ascii="Arial" w:hAnsi="Arial"/>
                <w:sz w:val="24"/>
              </w:rPr>
              <w:t>Other schemes</w:t>
            </w:r>
          </w:p>
        </w:tc>
        <w:tc>
          <w:tcPr>
            <w:tcW w:w="993" w:type="dxa"/>
            <w:vAlign w:val="center"/>
          </w:tcPr>
          <w:p w14:paraId="047A9D5A" w14:textId="4BE9D03A" w:rsidR="008D5FD2" w:rsidRPr="00330E8A" w:rsidRDefault="008D5FD2">
            <w:pPr>
              <w:jc w:val="right"/>
              <w:rPr>
                <w:rFonts w:ascii="Arial" w:hAnsi="Arial"/>
                <w:sz w:val="24"/>
              </w:rPr>
            </w:pPr>
            <w:r w:rsidRPr="00330E8A">
              <w:rPr>
                <w:rFonts w:ascii="Arial" w:hAnsi="Arial"/>
                <w:sz w:val="24"/>
              </w:rPr>
              <w:t>1.1</w:t>
            </w:r>
            <w:r w:rsidR="0047662F">
              <w:rPr>
                <w:rFonts w:ascii="Arial" w:hAnsi="Arial"/>
                <w:sz w:val="24"/>
              </w:rPr>
              <w:t>46</w:t>
            </w:r>
          </w:p>
        </w:tc>
      </w:tr>
      <w:tr w:rsidR="008D5FD2" w:rsidRPr="00330E8A" w14:paraId="6ECDB4A1" w14:textId="77777777">
        <w:trPr>
          <w:trHeight w:val="426"/>
        </w:trPr>
        <w:tc>
          <w:tcPr>
            <w:tcW w:w="4644" w:type="dxa"/>
            <w:shd w:val="clear" w:color="auto" w:fill="D9E2F3"/>
            <w:vAlign w:val="center"/>
          </w:tcPr>
          <w:p w14:paraId="05664D55" w14:textId="77777777" w:rsidR="008D5FD2" w:rsidRPr="00330E8A" w:rsidRDefault="008D5FD2">
            <w:pPr>
              <w:rPr>
                <w:rFonts w:ascii="Arial" w:hAnsi="Arial"/>
                <w:b/>
                <w:sz w:val="24"/>
              </w:rPr>
            </w:pPr>
            <w:r w:rsidRPr="00330E8A">
              <w:rPr>
                <w:rFonts w:ascii="Arial" w:hAnsi="Arial"/>
                <w:b/>
                <w:sz w:val="24"/>
              </w:rPr>
              <w:t>Total</w:t>
            </w:r>
          </w:p>
        </w:tc>
        <w:tc>
          <w:tcPr>
            <w:tcW w:w="993" w:type="dxa"/>
            <w:shd w:val="clear" w:color="auto" w:fill="D9E2F3"/>
            <w:vAlign w:val="center"/>
          </w:tcPr>
          <w:p w14:paraId="40B159C5" w14:textId="77777777" w:rsidR="008D5FD2" w:rsidRPr="00330E8A" w:rsidRDefault="008D5FD2">
            <w:pPr>
              <w:jc w:val="right"/>
              <w:rPr>
                <w:rFonts w:ascii="Arial" w:hAnsi="Arial"/>
                <w:b/>
                <w:sz w:val="24"/>
              </w:rPr>
            </w:pPr>
            <w:r w:rsidRPr="00330E8A">
              <w:rPr>
                <w:rFonts w:ascii="Arial" w:hAnsi="Arial"/>
                <w:b/>
                <w:sz w:val="24"/>
              </w:rPr>
              <w:fldChar w:fldCharType="begin"/>
            </w:r>
            <w:r w:rsidRPr="00330E8A">
              <w:rPr>
                <w:rFonts w:ascii="Arial" w:hAnsi="Arial"/>
                <w:b/>
                <w:sz w:val="24"/>
              </w:rPr>
              <w:instrText xml:space="preserve"> =SUM(ABOVE) </w:instrText>
            </w:r>
            <w:r w:rsidRPr="00330E8A">
              <w:rPr>
                <w:rFonts w:ascii="Arial" w:hAnsi="Arial"/>
                <w:b/>
                <w:sz w:val="24"/>
              </w:rPr>
              <w:fldChar w:fldCharType="separate"/>
            </w:r>
            <w:r w:rsidRPr="00330E8A">
              <w:rPr>
                <w:rFonts w:ascii="Arial" w:hAnsi="Arial"/>
                <w:b/>
                <w:noProof/>
                <w:sz w:val="24"/>
              </w:rPr>
              <w:t>30.902</w:t>
            </w:r>
            <w:r w:rsidRPr="00330E8A">
              <w:rPr>
                <w:rFonts w:ascii="Arial" w:hAnsi="Arial"/>
                <w:b/>
                <w:sz w:val="24"/>
              </w:rPr>
              <w:fldChar w:fldCharType="end"/>
            </w:r>
          </w:p>
        </w:tc>
      </w:tr>
    </w:tbl>
    <w:p w14:paraId="20FB1951" w14:textId="77777777" w:rsidR="00204FC1" w:rsidRDefault="00204FC1" w:rsidP="00A5491C">
      <w:pPr>
        <w:spacing w:after="120"/>
        <w:rPr>
          <w:rFonts w:ascii="Arial" w:hAnsi="Arial"/>
          <w:sz w:val="24"/>
        </w:rPr>
      </w:pPr>
    </w:p>
    <w:p w14:paraId="64976B10" w14:textId="788BA9B9" w:rsidR="008D5FD2" w:rsidRPr="00330E8A" w:rsidRDefault="008D5FD2" w:rsidP="00A5491C">
      <w:pPr>
        <w:spacing w:after="120"/>
        <w:rPr>
          <w:rFonts w:ascii="Arial" w:hAnsi="Arial"/>
          <w:sz w:val="24"/>
        </w:rPr>
      </w:pPr>
      <w:r w:rsidRPr="00330E8A">
        <w:rPr>
          <w:rFonts w:ascii="Arial" w:hAnsi="Arial"/>
          <w:sz w:val="24"/>
        </w:rPr>
        <w:t xml:space="preserve">The </w:t>
      </w:r>
      <w:r w:rsidRPr="0047662F">
        <w:rPr>
          <w:rFonts w:ascii="Arial" w:hAnsi="Arial"/>
          <w:b/>
          <w:bCs/>
          <w:sz w:val="24"/>
        </w:rPr>
        <w:t>main</w:t>
      </w:r>
      <w:r w:rsidRPr="00330E8A">
        <w:rPr>
          <w:rFonts w:ascii="Arial" w:hAnsi="Arial"/>
          <w:sz w:val="24"/>
        </w:rPr>
        <w:t xml:space="preserve"> elements of the spend summarised above are:</w:t>
      </w:r>
    </w:p>
    <w:p w14:paraId="1FF33847" w14:textId="77777777" w:rsidR="008D5FD2" w:rsidRPr="00330E8A" w:rsidRDefault="008D5FD2" w:rsidP="008D5FD2">
      <w:pPr>
        <w:spacing w:after="120"/>
        <w:ind w:left="426"/>
        <w:rPr>
          <w:rFonts w:ascii="Arial" w:hAnsi="Arial"/>
          <w:sz w:val="24"/>
          <w:u w:val="single"/>
        </w:rPr>
      </w:pPr>
      <w:r w:rsidRPr="00330E8A">
        <w:rPr>
          <w:rFonts w:ascii="Arial" w:hAnsi="Arial"/>
          <w:sz w:val="24"/>
          <w:u w:val="single"/>
        </w:rPr>
        <w:t>Estate</w:t>
      </w:r>
    </w:p>
    <w:p w14:paraId="50C2D21C" w14:textId="429B4FF2" w:rsidR="008D5FD2" w:rsidRPr="00330E8A" w:rsidRDefault="008D5FD2" w:rsidP="004E2882">
      <w:pPr>
        <w:numPr>
          <w:ilvl w:val="0"/>
          <w:numId w:val="45"/>
        </w:numPr>
        <w:rPr>
          <w:rFonts w:ascii="Arial" w:hAnsi="Arial"/>
          <w:sz w:val="24"/>
        </w:rPr>
      </w:pPr>
      <w:r w:rsidRPr="00330E8A">
        <w:rPr>
          <w:rFonts w:ascii="Arial" w:hAnsi="Arial"/>
          <w:sz w:val="24"/>
        </w:rPr>
        <w:t>£11.</w:t>
      </w:r>
      <w:r w:rsidR="00F90883">
        <w:rPr>
          <w:rFonts w:ascii="Arial" w:hAnsi="Arial"/>
          <w:sz w:val="24"/>
        </w:rPr>
        <w:t>64</w:t>
      </w:r>
      <w:r w:rsidR="00F17719">
        <w:rPr>
          <w:rFonts w:ascii="Arial" w:hAnsi="Arial"/>
          <w:sz w:val="24"/>
        </w:rPr>
        <w:t>3</w:t>
      </w:r>
      <w:r w:rsidRPr="00330E8A">
        <w:rPr>
          <w:rFonts w:ascii="Arial" w:hAnsi="Arial"/>
          <w:sz w:val="24"/>
        </w:rPr>
        <w:t xml:space="preserve">m Pendle police station </w:t>
      </w:r>
    </w:p>
    <w:p w14:paraId="5D035F9A" w14:textId="71BCBC93" w:rsidR="008D5FD2" w:rsidRPr="00330E8A" w:rsidRDefault="008D5FD2" w:rsidP="004E2882">
      <w:pPr>
        <w:numPr>
          <w:ilvl w:val="0"/>
          <w:numId w:val="45"/>
        </w:numPr>
        <w:rPr>
          <w:rFonts w:ascii="Arial" w:hAnsi="Arial"/>
          <w:sz w:val="24"/>
        </w:rPr>
      </w:pPr>
      <w:r w:rsidRPr="00330E8A">
        <w:rPr>
          <w:rFonts w:ascii="Arial" w:hAnsi="Arial"/>
          <w:sz w:val="24"/>
        </w:rPr>
        <w:t>£2.</w:t>
      </w:r>
      <w:r w:rsidR="00F90883">
        <w:rPr>
          <w:rFonts w:ascii="Arial" w:hAnsi="Arial"/>
          <w:sz w:val="24"/>
        </w:rPr>
        <w:t>297</w:t>
      </w:r>
      <w:r w:rsidRPr="00330E8A">
        <w:rPr>
          <w:rFonts w:ascii="Arial" w:hAnsi="Arial"/>
          <w:sz w:val="24"/>
        </w:rPr>
        <w:t>m Chorley police station</w:t>
      </w:r>
    </w:p>
    <w:p w14:paraId="65777235" w14:textId="0F9900FA" w:rsidR="008D5FD2" w:rsidRPr="00330E8A" w:rsidRDefault="008D5FD2" w:rsidP="004E2882">
      <w:pPr>
        <w:numPr>
          <w:ilvl w:val="0"/>
          <w:numId w:val="45"/>
        </w:numPr>
        <w:rPr>
          <w:rFonts w:ascii="Arial" w:hAnsi="Arial"/>
          <w:sz w:val="24"/>
        </w:rPr>
      </w:pPr>
      <w:r w:rsidRPr="00330E8A">
        <w:rPr>
          <w:rFonts w:ascii="Arial" w:hAnsi="Arial"/>
          <w:sz w:val="24"/>
        </w:rPr>
        <w:t>£</w:t>
      </w:r>
      <w:r w:rsidR="009311D3">
        <w:rPr>
          <w:rFonts w:ascii="Arial" w:hAnsi="Arial"/>
          <w:sz w:val="24"/>
        </w:rPr>
        <w:t>2</w:t>
      </w:r>
      <w:r w:rsidRPr="00330E8A">
        <w:rPr>
          <w:rFonts w:ascii="Arial" w:hAnsi="Arial"/>
          <w:sz w:val="24"/>
        </w:rPr>
        <w:t>.</w:t>
      </w:r>
      <w:r w:rsidR="009311D3">
        <w:rPr>
          <w:rFonts w:ascii="Arial" w:hAnsi="Arial"/>
          <w:sz w:val="24"/>
        </w:rPr>
        <w:t>010</w:t>
      </w:r>
      <w:r w:rsidRPr="00330E8A">
        <w:rPr>
          <w:rFonts w:ascii="Arial" w:hAnsi="Arial"/>
          <w:sz w:val="24"/>
        </w:rPr>
        <w:t>m CPIP</w:t>
      </w:r>
    </w:p>
    <w:p w14:paraId="32653E3C" w14:textId="68AAD050" w:rsidR="008D5FD2" w:rsidRDefault="008D5FD2" w:rsidP="004E2882">
      <w:pPr>
        <w:numPr>
          <w:ilvl w:val="0"/>
          <w:numId w:val="45"/>
        </w:numPr>
        <w:rPr>
          <w:rFonts w:ascii="Arial" w:hAnsi="Arial"/>
          <w:sz w:val="24"/>
        </w:rPr>
      </w:pPr>
      <w:r w:rsidRPr="00330E8A">
        <w:rPr>
          <w:rFonts w:ascii="Arial" w:hAnsi="Arial"/>
          <w:sz w:val="24"/>
        </w:rPr>
        <w:t>£1.</w:t>
      </w:r>
      <w:r w:rsidR="00D76BDA">
        <w:rPr>
          <w:rFonts w:ascii="Arial" w:hAnsi="Arial"/>
          <w:sz w:val="24"/>
        </w:rPr>
        <w:t>887</w:t>
      </w:r>
      <w:r w:rsidRPr="00330E8A">
        <w:rPr>
          <w:rFonts w:ascii="Arial" w:hAnsi="Arial"/>
          <w:sz w:val="24"/>
        </w:rPr>
        <w:t>m refurbishment of operating bases</w:t>
      </w:r>
    </w:p>
    <w:p w14:paraId="71115B9C" w14:textId="77777777" w:rsidR="008D5FD2" w:rsidRPr="00330E8A" w:rsidRDefault="008D5FD2" w:rsidP="008D5FD2">
      <w:pPr>
        <w:spacing w:after="120"/>
        <w:ind w:left="426"/>
        <w:rPr>
          <w:rFonts w:ascii="Arial" w:hAnsi="Arial"/>
          <w:sz w:val="24"/>
          <w:u w:val="single"/>
        </w:rPr>
      </w:pPr>
      <w:r w:rsidRPr="00330E8A">
        <w:rPr>
          <w:rFonts w:ascii="Arial" w:hAnsi="Arial"/>
          <w:sz w:val="24"/>
          <w:u w:val="single"/>
        </w:rPr>
        <w:lastRenderedPageBreak/>
        <w:t>I.C.T.</w:t>
      </w:r>
    </w:p>
    <w:p w14:paraId="41F46B61" w14:textId="77777777" w:rsidR="008D5FD2" w:rsidRPr="00330E8A" w:rsidRDefault="008D5FD2" w:rsidP="004E2882">
      <w:pPr>
        <w:numPr>
          <w:ilvl w:val="0"/>
          <w:numId w:val="45"/>
        </w:numPr>
        <w:rPr>
          <w:rFonts w:ascii="Arial" w:hAnsi="Arial"/>
          <w:sz w:val="24"/>
        </w:rPr>
      </w:pPr>
      <w:r w:rsidRPr="00330E8A">
        <w:rPr>
          <w:rFonts w:ascii="Arial" w:hAnsi="Arial"/>
          <w:sz w:val="24"/>
        </w:rPr>
        <w:t>£1.635m Network Access and Security</w:t>
      </w:r>
    </w:p>
    <w:p w14:paraId="77892BFF" w14:textId="77777777" w:rsidR="00FC443E" w:rsidRDefault="008D5FD2" w:rsidP="004E2882">
      <w:pPr>
        <w:numPr>
          <w:ilvl w:val="0"/>
          <w:numId w:val="45"/>
        </w:numPr>
        <w:rPr>
          <w:rFonts w:ascii="Arial" w:hAnsi="Arial"/>
          <w:sz w:val="24"/>
        </w:rPr>
      </w:pPr>
      <w:r w:rsidRPr="00330E8A">
        <w:rPr>
          <w:rFonts w:ascii="Arial" w:hAnsi="Arial"/>
          <w:sz w:val="24"/>
        </w:rPr>
        <w:t>£2.18</w:t>
      </w:r>
      <w:r w:rsidR="00F16FD2">
        <w:rPr>
          <w:rFonts w:ascii="Arial" w:hAnsi="Arial"/>
          <w:sz w:val="24"/>
        </w:rPr>
        <w:t>2</w:t>
      </w:r>
      <w:r w:rsidRPr="00330E8A">
        <w:rPr>
          <w:rFonts w:ascii="Arial" w:hAnsi="Arial"/>
          <w:sz w:val="24"/>
        </w:rPr>
        <w:t>m Device upgrade and replacement</w:t>
      </w:r>
    </w:p>
    <w:p w14:paraId="5C8122C1" w14:textId="393313BE" w:rsidR="00FC443E" w:rsidRPr="00FC443E" w:rsidRDefault="008D5FD2" w:rsidP="004E2882">
      <w:pPr>
        <w:numPr>
          <w:ilvl w:val="0"/>
          <w:numId w:val="45"/>
        </w:numPr>
        <w:rPr>
          <w:rFonts w:ascii="Arial" w:hAnsi="Arial"/>
          <w:sz w:val="24"/>
        </w:rPr>
      </w:pPr>
      <w:r w:rsidRPr="00FC443E">
        <w:rPr>
          <w:rFonts w:ascii="Arial" w:hAnsi="Arial"/>
          <w:sz w:val="24"/>
        </w:rPr>
        <w:t>£</w:t>
      </w:r>
      <w:r w:rsidR="00CA53C5" w:rsidRPr="00FC443E">
        <w:rPr>
          <w:rFonts w:ascii="Arial" w:hAnsi="Arial"/>
          <w:sz w:val="24"/>
        </w:rPr>
        <w:t>3</w:t>
      </w:r>
      <w:r w:rsidRPr="00FC443E">
        <w:rPr>
          <w:rFonts w:ascii="Arial" w:hAnsi="Arial"/>
          <w:sz w:val="24"/>
        </w:rPr>
        <w:t>.</w:t>
      </w:r>
      <w:r w:rsidR="00CA53C5" w:rsidRPr="00FC443E">
        <w:rPr>
          <w:rFonts w:ascii="Arial" w:hAnsi="Arial"/>
          <w:sz w:val="24"/>
        </w:rPr>
        <w:t>729</w:t>
      </w:r>
      <w:r w:rsidRPr="00FC443E">
        <w:rPr>
          <w:rFonts w:ascii="Arial" w:hAnsi="Arial"/>
          <w:sz w:val="24"/>
        </w:rPr>
        <w:t>m System replacement</w:t>
      </w:r>
    </w:p>
    <w:p w14:paraId="79D87314" w14:textId="275E020B" w:rsidR="00805234" w:rsidRDefault="00CA53C5">
      <w:pPr>
        <w:numPr>
          <w:ilvl w:val="0"/>
          <w:numId w:val="45"/>
        </w:numPr>
        <w:spacing w:after="120"/>
        <w:rPr>
          <w:rFonts w:ascii="Arial" w:hAnsi="Arial"/>
          <w:sz w:val="24"/>
        </w:rPr>
      </w:pPr>
      <w:r w:rsidRPr="00805234">
        <w:rPr>
          <w:rFonts w:ascii="Arial" w:hAnsi="Arial"/>
          <w:sz w:val="24"/>
        </w:rPr>
        <w:t>£</w:t>
      </w:r>
      <w:r w:rsidR="00FC443E" w:rsidRPr="00805234">
        <w:rPr>
          <w:rFonts w:ascii="Arial" w:hAnsi="Arial"/>
          <w:sz w:val="24"/>
        </w:rPr>
        <w:t>0.780m Digital Innovation</w:t>
      </w:r>
    </w:p>
    <w:p w14:paraId="053DA1CC" w14:textId="6A939A9E" w:rsidR="00805234" w:rsidRPr="00805234" w:rsidRDefault="00805234">
      <w:pPr>
        <w:numPr>
          <w:ilvl w:val="0"/>
          <w:numId w:val="45"/>
        </w:numPr>
        <w:spacing w:after="120"/>
        <w:rPr>
          <w:rFonts w:ascii="Arial" w:hAnsi="Arial"/>
          <w:sz w:val="24"/>
        </w:rPr>
      </w:pPr>
      <w:r w:rsidRPr="00805234">
        <w:rPr>
          <w:rFonts w:ascii="Arial" w:hAnsi="Arial"/>
          <w:sz w:val="24"/>
        </w:rPr>
        <w:t>£0.030 Other</w:t>
      </w:r>
    </w:p>
    <w:p w14:paraId="755E08B2" w14:textId="77777777" w:rsidR="008D5FD2" w:rsidRPr="00330E8A" w:rsidRDefault="008D5FD2" w:rsidP="008D5FD2">
      <w:pPr>
        <w:spacing w:after="120"/>
        <w:ind w:left="426"/>
        <w:rPr>
          <w:rFonts w:ascii="Arial" w:hAnsi="Arial"/>
          <w:sz w:val="24"/>
          <w:u w:val="single"/>
        </w:rPr>
      </w:pPr>
      <w:r w:rsidRPr="00330E8A">
        <w:rPr>
          <w:rFonts w:ascii="Arial" w:hAnsi="Arial"/>
          <w:sz w:val="24"/>
          <w:u w:val="single"/>
        </w:rPr>
        <w:t>Other Schemes</w:t>
      </w:r>
    </w:p>
    <w:p w14:paraId="33809AA3" w14:textId="70442D25" w:rsidR="008D5FD2" w:rsidRPr="00330E8A" w:rsidRDefault="008D5FD2" w:rsidP="004E2882">
      <w:pPr>
        <w:numPr>
          <w:ilvl w:val="0"/>
          <w:numId w:val="45"/>
        </w:numPr>
        <w:rPr>
          <w:rFonts w:ascii="Arial" w:hAnsi="Arial"/>
          <w:sz w:val="24"/>
        </w:rPr>
      </w:pPr>
      <w:r w:rsidRPr="00330E8A">
        <w:rPr>
          <w:rFonts w:ascii="Arial" w:hAnsi="Arial"/>
          <w:sz w:val="24"/>
        </w:rPr>
        <w:t>£0.19</w:t>
      </w:r>
      <w:r w:rsidR="00805234">
        <w:rPr>
          <w:rFonts w:ascii="Arial" w:hAnsi="Arial"/>
          <w:sz w:val="24"/>
        </w:rPr>
        <w:t>1</w:t>
      </w:r>
      <w:r w:rsidRPr="00330E8A">
        <w:rPr>
          <w:rFonts w:ascii="Arial" w:hAnsi="Arial"/>
          <w:sz w:val="24"/>
        </w:rPr>
        <w:t>m Replacement of specialist equipment</w:t>
      </w:r>
    </w:p>
    <w:p w14:paraId="67B9305C" w14:textId="77777777" w:rsidR="008D5FD2" w:rsidRPr="00330E8A" w:rsidRDefault="008D5FD2" w:rsidP="004E2882">
      <w:pPr>
        <w:numPr>
          <w:ilvl w:val="0"/>
          <w:numId w:val="45"/>
        </w:numPr>
        <w:rPr>
          <w:rFonts w:ascii="Arial" w:hAnsi="Arial"/>
          <w:sz w:val="24"/>
        </w:rPr>
      </w:pPr>
      <w:r w:rsidRPr="00330E8A">
        <w:rPr>
          <w:rFonts w:ascii="Arial" w:hAnsi="Arial"/>
          <w:sz w:val="24"/>
        </w:rPr>
        <w:t>£0.507m ANPR equipment and infrastructure</w:t>
      </w:r>
    </w:p>
    <w:p w14:paraId="46812EC2" w14:textId="77777777" w:rsidR="008D5FD2" w:rsidRDefault="008D5FD2" w:rsidP="004E2882">
      <w:pPr>
        <w:numPr>
          <w:ilvl w:val="0"/>
          <w:numId w:val="45"/>
        </w:numPr>
        <w:rPr>
          <w:rFonts w:ascii="Arial" w:hAnsi="Arial"/>
          <w:sz w:val="24"/>
        </w:rPr>
      </w:pPr>
      <w:r w:rsidRPr="00330E8A">
        <w:rPr>
          <w:rFonts w:ascii="Arial" w:hAnsi="Arial"/>
          <w:sz w:val="24"/>
        </w:rPr>
        <w:t>£0.123m Regional collaborations</w:t>
      </w:r>
    </w:p>
    <w:p w14:paraId="1A3D301F" w14:textId="2910CD2A" w:rsidR="00A5263D" w:rsidRPr="00330E8A" w:rsidRDefault="00A5263D" w:rsidP="004E2882">
      <w:pPr>
        <w:numPr>
          <w:ilvl w:val="0"/>
          <w:numId w:val="45"/>
        </w:numPr>
        <w:rPr>
          <w:rFonts w:ascii="Arial" w:hAnsi="Arial"/>
          <w:sz w:val="24"/>
        </w:rPr>
      </w:pPr>
      <w:r>
        <w:rPr>
          <w:rFonts w:ascii="Arial" w:hAnsi="Arial"/>
          <w:sz w:val="24"/>
        </w:rPr>
        <w:t>£0.</w:t>
      </w:r>
      <w:r w:rsidR="00A74F4A">
        <w:rPr>
          <w:rFonts w:ascii="Arial" w:hAnsi="Arial"/>
          <w:sz w:val="24"/>
        </w:rPr>
        <w:t>325</w:t>
      </w:r>
      <w:r w:rsidR="0016682E">
        <w:rPr>
          <w:rFonts w:ascii="Arial" w:hAnsi="Arial"/>
          <w:sz w:val="24"/>
        </w:rPr>
        <w:t xml:space="preserve">m </w:t>
      </w:r>
      <w:proofErr w:type="gramStart"/>
      <w:r w:rsidR="0016682E">
        <w:rPr>
          <w:rFonts w:ascii="Arial" w:hAnsi="Arial"/>
          <w:sz w:val="24"/>
        </w:rPr>
        <w:t>Other</w:t>
      </w:r>
      <w:proofErr w:type="gramEnd"/>
      <w:r w:rsidR="0016682E">
        <w:rPr>
          <w:rFonts w:ascii="Arial" w:hAnsi="Arial"/>
          <w:sz w:val="24"/>
        </w:rPr>
        <w:t xml:space="preserve"> Miscellaneous scheme</w:t>
      </w:r>
    </w:p>
    <w:p w14:paraId="64EBB38C" w14:textId="77777777" w:rsidR="008D5FD2" w:rsidRDefault="008D5FD2" w:rsidP="008D5FD2">
      <w:pPr>
        <w:spacing w:after="120"/>
        <w:jc w:val="both"/>
        <w:rPr>
          <w:rFonts w:ascii="Arial" w:hAnsi="Arial" w:cs="Arial"/>
          <w:sz w:val="24"/>
          <w:szCs w:val="24"/>
        </w:rPr>
      </w:pPr>
    </w:p>
    <w:p w14:paraId="4153F15A" w14:textId="7D3D1916" w:rsidR="008D5FD2" w:rsidRPr="00D64254" w:rsidRDefault="008D5FD2" w:rsidP="008D5FD2">
      <w:pPr>
        <w:spacing w:after="120"/>
        <w:rPr>
          <w:rFonts w:ascii="Arial" w:hAnsi="Arial"/>
          <w:sz w:val="24"/>
        </w:rPr>
      </w:pPr>
      <w:r w:rsidRPr="00D64254">
        <w:rPr>
          <w:rFonts w:ascii="Arial" w:hAnsi="Arial"/>
          <w:sz w:val="24"/>
        </w:rPr>
        <w:t>The following table shows how the expenditure of £</w:t>
      </w:r>
      <w:r w:rsidR="00BA16A1">
        <w:rPr>
          <w:rFonts w:ascii="Arial" w:hAnsi="Arial"/>
          <w:sz w:val="24"/>
        </w:rPr>
        <w:t>30</w:t>
      </w:r>
      <w:r w:rsidRPr="00D64254">
        <w:rPr>
          <w:rFonts w:ascii="Arial" w:hAnsi="Arial"/>
          <w:sz w:val="24"/>
        </w:rPr>
        <w:t>.</w:t>
      </w:r>
      <w:r w:rsidR="00BA16A1">
        <w:rPr>
          <w:rFonts w:ascii="Arial" w:hAnsi="Arial"/>
          <w:sz w:val="24"/>
        </w:rPr>
        <w:t>902</w:t>
      </w:r>
      <w:r w:rsidRPr="00D64254">
        <w:rPr>
          <w:rFonts w:ascii="Arial" w:hAnsi="Arial"/>
          <w:sz w:val="24"/>
        </w:rPr>
        <w:t>m has been financed: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8"/>
        <w:gridCol w:w="1134"/>
      </w:tblGrid>
      <w:tr w:rsidR="008D5FD2" w:rsidRPr="00330E8A" w14:paraId="5223E8B2" w14:textId="77777777" w:rsidTr="00B27992">
        <w:tc>
          <w:tcPr>
            <w:tcW w:w="4928" w:type="dxa"/>
            <w:tcBorders>
              <w:bottom w:val="single" w:sz="4" w:space="0" w:color="auto"/>
            </w:tcBorders>
          </w:tcPr>
          <w:p w14:paraId="4C5EEE53" w14:textId="77777777" w:rsidR="008D5FD2" w:rsidRPr="00330E8A" w:rsidRDefault="008D5FD2">
            <w:pPr>
              <w:rPr>
                <w:rFonts w:ascii="Arial" w:hAnsi="Arial"/>
                <w:sz w:val="24"/>
              </w:rPr>
            </w:pPr>
          </w:p>
        </w:tc>
        <w:tc>
          <w:tcPr>
            <w:tcW w:w="1134" w:type="dxa"/>
            <w:tcBorders>
              <w:bottom w:val="single" w:sz="4" w:space="0" w:color="auto"/>
            </w:tcBorders>
          </w:tcPr>
          <w:p w14:paraId="70E9BDD1" w14:textId="77777777" w:rsidR="008D5FD2" w:rsidRPr="00330E8A" w:rsidRDefault="008D5FD2">
            <w:pPr>
              <w:jc w:val="center"/>
              <w:rPr>
                <w:rFonts w:ascii="Arial" w:hAnsi="Arial"/>
                <w:b/>
                <w:sz w:val="24"/>
              </w:rPr>
            </w:pPr>
            <w:r w:rsidRPr="00330E8A">
              <w:rPr>
                <w:rFonts w:ascii="Arial" w:hAnsi="Arial"/>
                <w:b/>
                <w:sz w:val="24"/>
              </w:rPr>
              <w:t>£m</w:t>
            </w:r>
          </w:p>
        </w:tc>
      </w:tr>
      <w:tr w:rsidR="008D5FD2" w:rsidRPr="00330E8A" w14:paraId="58374341" w14:textId="77777777" w:rsidTr="00B27992">
        <w:tc>
          <w:tcPr>
            <w:tcW w:w="4928" w:type="dxa"/>
            <w:tcBorders>
              <w:top w:val="nil"/>
              <w:bottom w:val="nil"/>
            </w:tcBorders>
          </w:tcPr>
          <w:p w14:paraId="46A2D28D" w14:textId="77777777" w:rsidR="008D5FD2" w:rsidRPr="00330E8A" w:rsidRDefault="008D5FD2">
            <w:pPr>
              <w:rPr>
                <w:rFonts w:ascii="Arial" w:hAnsi="Arial"/>
                <w:sz w:val="24"/>
              </w:rPr>
            </w:pPr>
            <w:r w:rsidRPr="00330E8A">
              <w:rPr>
                <w:rFonts w:ascii="Arial" w:hAnsi="Arial"/>
                <w:sz w:val="24"/>
              </w:rPr>
              <w:t>Capital Grant/Contribution</w:t>
            </w:r>
          </w:p>
        </w:tc>
        <w:tc>
          <w:tcPr>
            <w:tcW w:w="1134" w:type="dxa"/>
            <w:tcBorders>
              <w:top w:val="nil"/>
              <w:bottom w:val="nil"/>
            </w:tcBorders>
            <w:vAlign w:val="center"/>
          </w:tcPr>
          <w:p w14:paraId="6F74358D" w14:textId="77777777" w:rsidR="008D5FD2" w:rsidRPr="00330E8A" w:rsidRDefault="008D5FD2">
            <w:pPr>
              <w:jc w:val="right"/>
              <w:rPr>
                <w:rFonts w:ascii="Arial" w:hAnsi="Arial"/>
                <w:sz w:val="24"/>
              </w:rPr>
            </w:pPr>
            <w:r w:rsidRPr="00330E8A">
              <w:rPr>
                <w:rFonts w:ascii="Arial" w:hAnsi="Arial"/>
                <w:sz w:val="24"/>
              </w:rPr>
              <w:t>0.283</w:t>
            </w:r>
          </w:p>
        </w:tc>
      </w:tr>
      <w:tr w:rsidR="008D5FD2" w:rsidRPr="00330E8A" w14:paraId="22426545" w14:textId="77777777" w:rsidTr="00B27992">
        <w:tc>
          <w:tcPr>
            <w:tcW w:w="4928" w:type="dxa"/>
            <w:tcBorders>
              <w:top w:val="nil"/>
              <w:bottom w:val="nil"/>
            </w:tcBorders>
          </w:tcPr>
          <w:p w14:paraId="5B1BF725" w14:textId="77777777" w:rsidR="008D5FD2" w:rsidRPr="00330E8A" w:rsidRDefault="008D5FD2">
            <w:pPr>
              <w:rPr>
                <w:rFonts w:ascii="Arial" w:hAnsi="Arial"/>
                <w:sz w:val="24"/>
              </w:rPr>
            </w:pPr>
            <w:r w:rsidRPr="00330E8A">
              <w:rPr>
                <w:rFonts w:ascii="Arial" w:hAnsi="Arial"/>
                <w:sz w:val="24"/>
              </w:rPr>
              <w:t>Revenue Resources</w:t>
            </w:r>
          </w:p>
        </w:tc>
        <w:tc>
          <w:tcPr>
            <w:tcW w:w="1134" w:type="dxa"/>
            <w:tcBorders>
              <w:top w:val="nil"/>
              <w:bottom w:val="nil"/>
            </w:tcBorders>
            <w:vAlign w:val="center"/>
          </w:tcPr>
          <w:p w14:paraId="5AE51ACF" w14:textId="77777777" w:rsidR="008D5FD2" w:rsidRPr="00330E8A" w:rsidRDefault="008D5FD2">
            <w:pPr>
              <w:jc w:val="right"/>
              <w:rPr>
                <w:rFonts w:ascii="Arial" w:hAnsi="Arial"/>
                <w:sz w:val="24"/>
              </w:rPr>
            </w:pPr>
            <w:r w:rsidRPr="00330E8A">
              <w:rPr>
                <w:rFonts w:ascii="Arial" w:hAnsi="Arial"/>
                <w:sz w:val="24"/>
              </w:rPr>
              <w:t>13.384</w:t>
            </w:r>
          </w:p>
        </w:tc>
      </w:tr>
      <w:tr w:rsidR="008D5FD2" w:rsidRPr="00330E8A" w14:paraId="0E83378C" w14:textId="77777777" w:rsidTr="00B27992">
        <w:tc>
          <w:tcPr>
            <w:tcW w:w="4928" w:type="dxa"/>
            <w:tcBorders>
              <w:top w:val="nil"/>
              <w:bottom w:val="single" w:sz="4" w:space="0" w:color="auto"/>
            </w:tcBorders>
          </w:tcPr>
          <w:p w14:paraId="6833DB62" w14:textId="77777777" w:rsidR="008D5FD2" w:rsidRPr="00330E8A" w:rsidRDefault="008D5FD2">
            <w:pPr>
              <w:rPr>
                <w:rFonts w:ascii="Arial" w:hAnsi="Arial"/>
                <w:sz w:val="24"/>
              </w:rPr>
            </w:pPr>
            <w:r w:rsidRPr="00330E8A">
              <w:rPr>
                <w:rFonts w:ascii="Arial" w:hAnsi="Arial"/>
                <w:sz w:val="24"/>
              </w:rPr>
              <w:t>Borrowing</w:t>
            </w:r>
          </w:p>
        </w:tc>
        <w:tc>
          <w:tcPr>
            <w:tcW w:w="1134" w:type="dxa"/>
            <w:tcBorders>
              <w:top w:val="nil"/>
              <w:bottom w:val="single" w:sz="4" w:space="0" w:color="auto"/>
            </w:tcBorders>
            <w:vAlign w:val="center"/>
          </w:tcPr>
          <w:p w14:paraId="28743E35" w14:textId="77777777" w:rsidR="008D5FD2" w:rsidRPr="00330E8A" w:rsidRDefault="008D5FD2">
            <w:pPr>
              <w:jc w:val="right"/>
              <w:rPr>
                <w:rFonts w:ascii="Arial" w:hAnsi="Arial"/>
                <w:sz w:val="24"/>
              </w:rPr>
            </w:pPr>
            <w:r w:rsidRPr="00330E8A">
              <w:rPr>
                <w:rFonts w:ascii="Arial" w:hAnsi="Arial"/>
                <w:sz w:val="24"/>
              </w:rPr>
              <w:t>17.235</w:t>
            </w:r>
          </w:p>
        </w:tc>
      </w:tr>
      <w:tr w:rsidR="008D5FD2" w:rsidRPr="00330E8A" w14:paraId="4839BBED" w14:textId="77777777">
        <w:trPr>
          <w:trHeight w:val="435"/>
        </w:trPr>
        <w:tc>
          <w:tcPr>
            <w:tcW w:w="4928" w:type="dxa"/>
            <w:tcBorders>
              <w:bottom w:val="single" w:sz="4" w:space="0" w:color="auto"/>
            </w:tcBorders>
            <w:shd w:val="clear" w:color="auto" w:fill="D9E2F3"/>
            <w:vAlign w:val="center"/>
          </w:tcPr>
          <w:p w14:paraId="5AF6A37D" w14:textId="77777777" w:rsidR="008D5FD2" w:rsidRPr="00330E8A" w:rsidRDefault="008D5FD2">
            <w:pPr>
              <w:rPr>
                <w:rFonts w:ascii="Arial" w:hAnsi="Arial"/>
                <w:b/>
                <w:sz w:val="24"/>
              </w:rPr>
            </w:pPr>
            <w:r w:rsidRPr="00330E8A">
              <w:rPr>
                <w:rFonts w:ascii="Arial" w:hAnsi="Arial"/>
                <w:b/>
                <w:sz w:val="24"/>
              </w:rPr>
              <w:t>Total</w:t>
            </w:r>
          </w:p>
        </w:tc>
        <w:tc>
          <w:tcPr>
            <w:tcW w:w="1134" w:type="dxa"/>
            <w:tcBorders>
              <w:bottom w:val="single" w:sz="4" w:space="0" w:color="auto"/>
            </w:tcBorders>
            <w:shd w:val="clear" w:color="auto" w:fill="D9E2F3"/>
            <w:vAlign w:val="center"/>
          </w:tcPr>
          <w:p w14:paraId="42EAE400" w14:textId="77777777" w:rsidR="008D5FD2" w:rsidRPr="00330E8A" w:rsidRDefault="008D5FD2">
            <w:pPr>
              <w:jc w:val="right"/>
              <w:rPr>
                <w:rFonts w:ascii="Arial" w:hAnsi="Arial"/>
                <w:b/>
                <w:sz w:val="24"/>
              </w:rPr>
            </w:pPr>
            <w:r w:rsidRPr="00330E8A">
              <w:rPr>
                <w:rFonts w:ascii="Arial" w:hAnsi="Arial"/>
                <w:b/>
                <w:sz w:val="24"/>
              </w:rPr>
              <w:fldChar w:fldCharType="begin"/>
            </w:r>
            <w:r w:rsidRPr="00330E8A">
              <w:rPr>
                <w:rFonts w:ascii="Arial" w:hAnsi="Arial"/>
                <w:b/>
                <w:sz w:val="24"/>
              </w:rPr>
              <w:instrText xml:space="preserve"> =SUM(ABOVE) </w:instrText>
            </w:r>
            <w:r w:rsidRPr="00330E8A">
              <w:rPr>
                <w:rFonts w:ascii="Arial" w:hAnsi="Arial"/>
                <w:b/>
                <w:sz w:val="24"/>
              </w:rPr>
              <w:fldChar w:fldCharType="separate"/>
            </w:r>
            <w:r w:rsidRPr="00330E8A">
              <w:rPr>
                <w:rFonts w:ascii="Arial" w:hAnsi="Arial"/>
                <w:b/>
                <w:noProof/>
                <w:sz w:val="24"/>
              </w:rPr>
              <w:t>30.902</w:t>
            </w:r>
            <w:r w:rsidRPr="00330E8A">
              <w:rPr>
                <w:rFonts w:ascii="Arial" w:hAnsi="Arial"/>
                <w:b/>
                <w:sz w:val="24"/>
              </w:rPr>
              <w:fldChar w:fldCharType="end"/>
            </w:r>
          </w:p>
        </w:tc>
      </w:tr>
    </w:tbl>
    <w:p w14:paraId="69EB4A76" w14:textId="77777777" w:rsidR="008D5FD2" w:rsidRDefault="008D5FD2" w:rsidP="008D5FD2">
      <w:pPr>
        <w:jc w:val="both"/>
        <w:rPr>
          <w:rFonts w:ascii="Arial" w:hAnsi="Arial" w:cs="Arial"/>
          <w:sz w:val="24"/>
          <w:szCs w:val="24"/>
        </w:rPr>
      </w:pPr>
    </w:p>
    <w:p w14:paraId="02948922" w14:textId="77777777" w:rsidR="008D5FD2" w:rsidRPr="00B018C9" w:rsidRDefault="008D5FD2" w:rsidP="008D5FD2">
      <w:pPr>
        <w:jc w:val="both"/>
        <w:rPr>
          <w:rFonts w:ascii="Arial" w:hAnsi="Arial" w:cs="Arial"/>
          <w:sz w:val="24"/>
          <w:szCs w:val="24"/>
        </w:rPr>
      </w:pPr>
      <w:r w:rsidRPr="00B018C9">
        <w:rPr>
          <w:rFonts w:ascii="Arial" w:hAnsi="Arial" w:cs="Arial"/>
          <w:sz w:val="24"/>
          <w:szCs w:val="24"/>
        </w:rPr>
        <w:t>The capital expenditure is partially funded from borrowing</w:t>
      </w:r>
      <w:r>
        <w:rPr>
          <w:rFonts w:ascii="Arial" w:hAnsi="Arial" w:cs="Arial"/>
          <w:sz w:val="24"/>
          <w:szCs w:val="24"/>
        </w:rPr>
        <w:t>.</w:t>
      </w:r>
      <w:r w:rsidRPr="00B018C9">
        <w:rPr>
          <w:rFonts w:ascii="Arial" w:hAnsi="Arial" w:cs="Arial"/>
          <w:sz w:val="24"/>
          <w:szCs w:val="24"/>
        </w:rPr>
        <w:t xml:space="preserve"> The PCC needs to pay the cost of this borrowing out of his own resources and therefore must ensure such borrowing is prudent, sustainable, and affordable in the long run. The borrowing is met by a mixture of long and short-term loans and the use </w:t>
      </w:r>
      <w:r>
        <w:rPr>
          <w:rFonts w:ascii="Arial" w:hAnsi="Arial" w:cs="Arial"/>
          <w:sz w:val="24"/>
          <w:szCs w:val="24"/>
        </w:rPr>
        <w:t xml:space="preserve">of </w:t>
      </w:r>
      <w:r w:rsidRPr="00B018C9">
        <w:rPr>
          <w:rFonts w:ascii="Arial" w:hAnsi="Arial" w:cs="Arial"/>
          <w:sz w:val="24"/>
          <w:szCs w:val="24"/>
        </w:rPr>
        <w:t xml:space="preserve">internal cash balances. </w:t>
      </w:r>
      <w:proofErr w:type="gramStart"/>
      <w:r>
        <w:rPr>
          <w:rFonts w:ascii="Arial" w:hAnsi="Arial" w:cs="Arial"/>
          <w:sz w:val="24"/>
          <w:szCs w:val="24"/>
        </w:rPr>
        <w:t>The majority of</w:t>
      </w:r>
      <w:proofErr w:type="gramEnd"/>
      <w:r>
        <w:rPr>
          <w:rFonts w:ascii="Arial" w:hAnsi="Arial" w:cs="Arial"/>
          <w:sz w:val="24"/>
          <w:szCs w:val="24"/>
        </w:rPr>
        <w:t xml:space="preserve"> </w:t>
      </w:r>
      <w:r w:rsidRPr="00B018C9">
        <w:rPr>
          <w:rFonts w:ascii="Arial" w:hAnsi="Arial" w:cs="Arial"/>
          <w:sz w:val="24"/>
          <w:szCs w:val="24"/>
        </w:rPr>
        <w:t xml:space="preserve">long-term loans have been taken with the PWLB and are taken in line with long term need. The borrowing strategy is outlined in the </w:t>
      </w:r>
      <w:r>
        <w:rPr>
          <w:rFonts w:ascii="Arial" w:hAnsi="Arial" w:cs="Arial"/>
          <w:sz w:val="24"/>
          <w:szCs w:val="24"/>
        </w:rPr>
        <w:t>2024/25</w:t>
      </w:r>
      <w:r w:rsidRPr="00B018C9">
        <w:rPr>
          <w:rFonts w:ascii="Arial" w:hAnsi="Arial" w:cs="Arial"/>
          <w:sz w:val="24"/>
          <w:szCs w:val="24"/>
        </w:rPr>
        <w:t xml:space="preserve"> Treasury Management Strategy, a copy of which can be found on the PCC's website at the following link:</w:t>
      </w:r>
    </w:p>
    <w:p w14:paraId="175D7EEC" w14:textId="77777777" w:rsidR="008D5FD2" w:rsidRPr="00B018C9" w:rsidRDefault="008D5FD2" w:rsidP="008D5FD2">
      <w:pPr>
        <w:jc w:val="both"/>
        <w:rPr>
          <w:rFonts w:ascii="Arial" w:hAnsi="Arial" w:cs="Arial"/>
          <w:sz w:val="24"/>
          <w:szCs w:val="24"/>
        </w:rPr>
      </w:pPr>
    </w:p>
    <w:p w14:paraId="78DAE598" w14:textId="4A41F1D8" w:rsidR="008D5FD2" w:rsidRPr="00B018C9" w:rsidRDefault="008D5FD2" w:rsidP="008D5FD2">
      <w:pPr>
        <w:jc w:val="both"/>
        <w:rPr>
          <w:rFonts w:ascii="Arial" w:hAnsi="Arial" w:cs="Arial"/>
          <w:sz w:val="24"/>
          <w:szCs w:val="24"/>
        </w:rPr>
      </w:pPr>
      <w:r w:rsidRPr="004D5349">
        <w:rPr>
          <w:rFonts w:ascii="Arial" w:hAnsi="Arial" w:cs="Arial"/>
          <w:sz w:val="24"/>
          <w:szCs w:val="24"/>
        </w:rPr>
        <w:t>https://www.lancashire-pcc.gov.uk/transparency/financial-information/financial-strategy/</w:t>
      </w:r>
      <w:r w:rsidRPr="00B018C9">
        <w:rPr>
          <w:rFonts w:ascii="Arial" w:hAnsi="Arial" w:cs="Arial"/>
          <w:sz w:val="24"/>
          <w:szCs w:val="24"/>
        </w:rPr>
        <w:t xml:space="preserve"> </w:t>
      </w:r>
    </w:p>
    <w:p w14:paraId="00A70277" w14:textId="77777777" w:rsidR="008D5FD2" w:rsidRPr="00B018C9" w:rsidRDefault="008D5FD2" w:rsidP="008D5FD2">
      <w:pPr>
        <w:jc w:val="both"/>
        <w:rPr>
          <w:rFonts w:ascii="Arial" w:hAnsi="Arial" w:cs="Arial"/>
          <w:sz w:val="24"/>
          <w:szCs w:val="24"/>
        </w:rPr>
      </w:pPr>
    </w:p>
    <w:p w14:paraId="221647A7" w14:textId="77777777" w:rsidR="008D5FD2" w:rsidRPr="00B018C9" w:rsidRDefault="008D5FD2" w:rsidP="008D5FD2">
      <w:pPr>
        <w:spacing w:after="120"/>
        <w:jc w:val="both"/>
        <w:rPr>
          <w:rFonts w:ascii="Arial" w:hAnsi="Arial" w:cs="Arial"/>
          <w:sz w:val="24"/>
          <w:szCs w:val="24"/>
        </w:rPr>
      </w:pPr>
      <w:r w:rsidRPr="00B018C9">
        <w:rPr>
          <w:rFonts w:ascii="Arial" w:hAnsi="Arial" w:cs="Arial"/>
          <w:sz w:val="24"/>
          <w:szCs w:val="24"/>
        </w:rPr>
        <w:t>The PCC maintains a rolling five-year capital forecast and resources are set aside to finance future capital expenditure. As at 31 March 202</w:t>
      </w:r>
      <w:r>
        <w:rPr>
          <w:rFonts w:ascii="Arial" w:hAnsi="Arial" w:cs="Arial"/>
          <w:sz w:val="24"/>
          <w:szCs w:val="24"/>
        </w:rPr>
        <w:t>5</w:t>
      </w:r>
      <w:r w:rsidRPr="00B018C9">
        <w:rPr>
          <w:rFonts w:ascii="Arial" w:hAnsi="Arial" w:cs="Arial"/>
          <w:sz w:val="24"/>
          <w:szCs w:val="24"/>
        </w:rPr>
        <w:t xml:space="preserve"> the PCC has set aside </w:t>
      </w:r>
      <w:r w:rsidRPr="00684B35">
        <w:rPr>
          <w:rFonts w:ascii="Arial" w:hAnsi="Arial" w:cs="Arial"/>
          <w:sz w:val="24"/>
          <w:szCs w:val="24"/>
        </w:rPr>
        <w:t>£</w:t>
      </w:r>
      <w:r>
        <w:rPr>
          <w:rFonts w:ascii="Arial" w:hAnsi="Arial" w:cs="Arial"/>
          <w:sz w:val="24"/>
          <w:szCs w:val="24"/>
        </w:rPr>
        <w:t>2.888</w:t>
      </w:r>
      <w:r w:rsidRPr="00684B35">
        <w:rPr>
          <w:rFonts w:ascii="Arial" w:hAnsi="Arial" w:cs="Arial"/>
          <w:sz w:val="24"/>
          <w:szCs w:val="24"/>
        </w:rPr>
        <w:t>m</w:t>
      </w:r>
      <w:r w:rsidRPr="00B018C9">
        <w:rPr>
          <w:rFonts w:ascii="Arial" w:hAnsi="Arial" w:cs="Arial"/>
          <w:sz w:val="24"/>
          <w:szCs w:val="24"/>
        </w:rPr>
        <w:t xml:space="preserve"> in earmarked reserves to support capital expenditure.</w:t>
      </w:r>
    </w:p>
    <w:p w14:paraId="44C0E646" w14:textId="1E5AE0B6" w:rsidR="008D5FD2" w:rsidRPr="00B018C9" w:rsidRDefault="008D5FD2" w:rsidP="008D5FD2">
      <w:pPr>
        <w:spacing w:after="120"/>
        <w:jc w:val="both"/>
        <w:rPr>
          <w:rFonts w:ascii="Arial" w:hAnsi="Arial" w:cs="Arial"/>
          <w:sz w:val="24"/>
          <w:szCs w:val="24"/>
        </w:rPr>
      </w:pPr>
      <w:r w:rsidRPr="00B018C9">
        <w:rPr>
          <w:rFonts w:ascii="Arial" w:hAnsi="Arial" w:cs="Arial"/>
          <w:b/>
          <w:sz w:val="24"/>
          <w:szCs w:val="24"/>
        </w:rPr>
        <w:t>Investing for the future</w:t>
      </w:r>
    </w:p>
    <w:p w14:paraId="374EDAB4" w14:textId="77777777" w:rsidR="008D5FD2" w:rsidRPr="00B018C9" w:rsidRDefault="008D5FD2" w:rsidP="008D5FD2">
      <w:pPr>
        <w:spacing w:after="120"/>
        <w:jc w:val="both"/>
        <w:rPr>
          <w:rFonts w:ascii="Arial" w:hAnsi="Arial" w:cs="Arial"/>
          <w:sz w:val="24"/>
          <w:szCs w:val="24"/>
        </w:rPr>
      </w:pPr>
      <w:r w:rsidRPr="00B018C9">
        <w:rPr>
          <w:rFonts w:ascii="Arial" w:hAnsi="Arial" w:cs="Arial"/>
          <w:sz w:val="24"/>
          <w:szCs w:val="24"/>
        </w:rPr>
        <w:t>To preserve the operational integrity and capability of the force in future years, whilst delivering the savings required, the PCC must consider several proposals that will change how the service operates.</w:t>
      </w:r>
    </w:p>
    <w:p w14:paraId="67290BF9" w14:textId="77777777" w:rsidR="008D5FD2" w:rsidRPr="00B018C9" w:rsidRDefault="008D5FD2" w:rsidP="008D5FD2">
      <w:pPr>
        <w:spacing w:after="120"/>
        <w:jc w:val="both"/>
        <w:rPr>
          <w:rFonts w:ascii="Arial" w:hAnsi="Arial" w:cs="Arial"/>
          <w:sz w:val="24"/>
          <w:szCs w:val="24"/>
        </w:rPr>
      </w:pPr>
      <w:r w:rsidRPr="00B018C9">
        <w:rPr>
          <w:rFonts w:ascii="Arial" w:hAnsi="Arial" w:cs="Arial"/>
          <w:sz w:val="24"/>
          <w:szCs w:val="24"/>
        </w:rPr>
        <w:t>It is recognised that, to deliver savings proposals to meet the funding gap faced by the PCC in future years, the way the police service is delivered will need to change significantly. It is also recognised that improving the efficiency in which assets such as buildings, infrastructure, IT networks, IT equipment and staff are used, is crucial if the level of service being provided is to be maintained whilst the way it is delivered changes.</w:t>
      </w:r>
    </w:p>
    <w:p w14:paraId="2CBD2E78" w14:textId="77777777" w:rsidR="008D5FD2" w:rsidRPr="00B018C9" w:rsidRDefault="008D5FD2" w:rsidP="008D5FD2">
      <w:pPr>
        <w:spacing w:after="120"/>
        <w:jc w:val="both"/>
        <w:rPr>
          <w:rFonts w:ascii="Arial" w:hAnsi="Arial" w:cs="Arial"/>
          <w:sz w:val="24"/>
          <w:szCs w:val="24"/>
        </w:rPr>
      </w:pPr>
      <w:r w:rsidRPr="00B018C9">
        <w:rPr>
          <w:rFonts w:ascii="Arial" w:hAnsi="Arial" w:cs="Arial"/>
          <w:sz w:val="24"/>
          <w:szCs w:val="24"/>
        </w:rPr>
        <w:t>To improve the efficiency of the service it has been identified that significant investment is therefore needed in these assets which is recognised in both the ICT and the Asset Management strategies.</w:t>
      </w:r>
    </w:p>
    <w:p w14:paraId="70AC715B" w14:textId="77777777" w:rsidR="008D5FD2" w:rsidRPr="00B018C9" w:rsidRDefault="008D5FD2" w:rsidP="008D5FD2">
      <w:pPr>
        <w:spacing w:after="120"/>
        <w:jc w:val="both"/>
        <w:rPr>
          <w:rFonts w:ascii="Arial" w:hAnsi="Arial" w:cs="Arial"/>
          <w:sz w:val="24"/>
          <w:szCs w:val="24"/>
        </w:rPr>
      </w:pPr>
      <w:r w:rsidRPr="00B018C9">
        <w:rPr>
          <w:rFonts w:ascii="Arial" w:hAnsi="Arial" w:cs="Arial"/>
          <w:sz w:val="24"/>
          <w:szCs w:val="24"/>
        </w:rPr>
        <w:t>This investment will help to deliver the permanent savings in the revenue budget that are required in future years to ensure that the PCC can provide policing services in Lancashire within the resources he has available.</w:t>
      </w:r>
    </w:p>
    <w:p w14:paraId="2285A001" w14:textId="5D5173CC" w:rsidR="008D5FD2" w:rsidRPr="00B018C9" w:rsidRDefault="008D5FD2" w:rsidP="008D5FD2">
      <w:pPr>
        <w:spacing w:after="120"/>
        <w:jc w:val="both"/>
        <w:rPr>
          <w:rFonts w:ascii="Arial" w:hAnsi="Arial" w:cs="Arial"/>
          <w:sz w:val="24"/>
          <w:szCs w:val="24"/>
        </w:rPr>
      </w:pPr>
      <w:r w:rsidRPr="00B018C9">
        <w:rPr>
          <w:rFonts w:ascii="Arial" w:hAnsi="Arial" w:cs="Arial"/>
          <w:sz w:val="24"/>
          <w:szCs w:val="24"/>
        </w:rPr>
        <w:lastRenderedPageBreak/>
        <w:t xml:space="preserve">The </w:t>
      </w:r>
      <w:r w:rsidR="00DC2030" w:rsidRPr="00B018C9">
        <w:rPr>
          <w:rFonts w:ascii="Arial" w:hAnsi="Arial" w:cs="Arial"/>
          <w:sz w:val="24"/>
          <w:szCs w:val="24"/>
        </w:rPr>
        <w:t>Commissioner’s Reserves</w:t>
      </w:r>
      <w:r w:rsidRPr="00140849">
        <w:rPr>
          <w:rFonts w:ascii="Arial" w:hAnsi="Arial" w:cs="Arial"/>
          <w:sz w:val="24"/>
          <w:szCs w:val="24"/>
        </w:rPr>
        <w:t xml:space="preserve"> Strategy</w:t>
      </w:r>
      <w:r w:rsidRPr="00B018C9">
        <w:rPr>
          <w:rFonts w:ascii="Arial" w:hAnsi="Arial" w:cs="Arial"/>
          <w:sz w:val="24"/>
          <w:szCs w:val="24"/>
        </w:rPr>
        <w:t xml:space="preserve"> is reviewed each year considering the level of general reserves and the level of earmarked reserves available for investment in the capital programme.</w:t>
      </w:r>
    </w:p>
    <w:p w14:paraId="7B580839" w14:textId="77777777" w:rsidR="008D5FD2" w:rsidRDefault="008D5FD2" w:rsidP="008D5FD2">
      <w:pPr>
        <w:spacing w:after="120"/>
        <w:jc w:val="both"/>
        <w:rPr>
          <w:rFonts w:ascii="Arial" w:hAnsi="Arial" w:cs="Arial"/>
          <w:sz w:val="24"/>
          <w:szCs w:val="24"/>
        </w:rPr>
      </w:pPr>
      <w:r w:rsidRPr="00B018C9">
        <w:rPr>
          <w:rFonts w:ascii="Arial" w:hAnsi="Arial" w:cs="Arial"/>
          <w:sz w:val="24"/>
          <w:szCs w:val="24"/>
        </w:rPr>
        <w:t>This process ensures that all future investment decisions are considered against the resources available for investment each year and this in turn informs the Medium-Term Financial Strategy and the setting of the annual revenue budget.</w:t>
      </w:r>
    </w:p>
    <w:p w14:paraId="7093DCD6" w14:textId="77777777" w:rsidR="008D5FD2" w:rsidRPr="005E54D0" w:rsidRDefault="008D5FD2" w:rsidP="008D5FD2">
      <w:pPr>
        <w:spacing w:after="120"/>
        <w:jc w:val="both"/>
        <w:rPr>
          <w:rFonts w:ascii="Arial" w:hAnsi="Arial" w:cs="Arial"/>
          <w:b/>
          <w:bCs/>
          <w:sz w:val="24"/>
          <w:szCs w:val="24"/>
        </w:rPr>
      </w:pPr>
      <w:r w:rsidRPr="005E54D0">
        <w:rPr>
          <w:rFonts w:ascii="Arial" w:hAnsi="Arial" w:cs="Arial"/>
          <w:b/>
          <w:bCs/>
          <w:sz w:val="24"/>
          <w:szCs w:val="24"/>
        </w:rPr>
        <w:t>Police Pension Account</w:t>
      </w:r>
    </w:p>
    <w:p w14:paraId="738BFB8B" w14:textId="77777777" w:rsidR="008D5FD2" w:rsidRPr="005E54D0" w:rsidRDefault="008D5FD2" w:rsidP="008D5FD2">
      <w:pPr>
        <w:spacing w:after="120"/>
        <w:jc w:val="both"/>
        <w:rPr>
          <w:rFonts w:ascii="Arial" w:hAnsi="Arial" w:cs="Arial"/>
          <w:sz w:val="24"/>
          <w:szCs w:val="24"/>
        </w:rPr>
      </w:pPr>
      <w:r w:rsidRPr="005E54D0">
        <w:rPr>
          <w:rFonts w:ascii="Arial" w:hAnsi="Arial" w:cs="Arial"/>
          <w:sz w:val="24"/>
          <w:szCs w:val="24"/>
        </w:rPr>
        <w:t xml:space="preserve">The police pension account administers all the police pension schemes (the 1987, 2006 and the new 2015 schemes). Under the Police Reform and Social Responsibility Act 2011, the account is to be administered by the CC and the accounts for </w:t>
      </w:r>
      <w:r>
        <w:rPr>
          <w:rFonts w:ascii="Arial" w:hAnsi="Arial" w:cs="Arial"/>
          <w:sz w:val="24"/>
          <w:szCs w:val="24"/>
        </w:rPr>
        <w:t>2024/25</w:t>
      </w:r>
      <w:r w:rsidRPr="005E54D0">
        <w:rPr>
          <w:rFonts w:ascii="Arial" w:hAnsi="Arial" w:cs="Arial"/>
          <w:sz w:val="24"/>
          <w:szCs w:val="24"/>
        </w:rPr>
        <w:t xml:space="preserve"> follow the main statements.</w:t>
      </w:r>
    </w:p>
    <w:p w14:paraId="5C3E02CC" w14:textId="77777777" w:rsidR="008D5FD2" w:rsidRPr="005E54D0" w:rsidRDefault="008D5FD2" w:rsidP="008D5FD2">
      <w:pPr>
        <w:spacing w:after="120"/>
        <w:jc w:val="both"/>
        <w:rPr>
          <w:rFonts w:ascii="Arial" w:hAnsi="Arial" w:cs="Arial"/>
          <w:sz w:val="24"/>
          <w:szCs w:val="24"/>
        </w:rPr>
      </w:pPr>
      <w:r w:rsidRPr="005E54D0">
        <w:rPr>
          <w:rFonts w:ascii="Arial" w:hAnsi="Arial" w:cs="Arial"/>
          <w:sz w:val="24"/>
          <w:szCs w:val="24"/>
        </w:rPr>
        <w:t xml:space="preserve">Benefits payable are funded by contributions from employees and employers and any difference between benefits payable and contributions receivable is funded by an additional contribution by the PCC from the Police General Fund.  </w:t>
      </w:r>
    </w:p>
    <w:p w14:paraId="51FE3D53" w14:textId="77DE1E03" w:rsidR="008D5FD2" w:rsidRPr="00140849" w:rsidRDefault="008D5FD2" w:rsidP="008D5FD2">
      <w:pPr>
        <w:spacing w:after="120"/>
        <w:jc w:val="both"/>
        <w:rPr>
          <w:rFonts w:ascii="Arial" w:hAnsi="Arial" w:cs="Arial"/>
          <w:sz w:val="24"/>
          <w:szCs w:val="24"/>
        </w:rPr>
      </w:pPr>
      <w:r w:rsidRPr="006322BD">
        <w:rPr>
          <w:rFonts w:ascii="Arial" w:hAnsi="Arial" w:cs="Arial"/>
          <w:sz w:val="24"/>
          <w:szCs w:val="24"/>
        </w:rPr>
        <w:t>From 1 April 202</w:t>
      </w:r>
      <w:r w:rsidR="00454546" w:rsidRPr="006322BD">
        <w:rPr>
          <w:rFonts w:ascii="Arial" w:hAnsi="Arial" w:cs="Arial"/>
          <w:sz w:val="24"/>
          <w:szCs w:val="24"/>
        </w:rPr>
        <w:t>4</w:t>
      </w:r>
      <w:r w:rsidRPr="006322BD">
        <w:rPr>
          <w:rFonts w:ascii="Arial" w:hAnsi="Arial" w:cs="Arial"/>
          <w:sz w:val="24"/>
          <w:szCs w:val="24"/>
        </w:rPr>
        <w:t xml:space="preserve"> the actuarial valuation changed the employer contribution rate from </w:t>
      </w:r>
      <w:r w:rsidR="00454546" w:rsidRPr="006322BD">
        <w:rPr>
          <w:rFonts w:ascii="Arial" w:hAnsi="Arial" w:cs="Arial"/>
          <w:sz w:val="24"/>
          <w:szCs w:val="24"/>
        </w:rPr>
        <w:t>31</w:t>
      </w:r>
      <w:r w:rsidRPr="006322BD">
        <w:rPr>
          <w:rFonts w:ascii="Arial" w:hAnsi="Arial" w:cs="Arial"/>
          <w:sz w:val="24"/>
          <w:szCs w:val="24"/>
        </w:rPr>
        <w:t>% to 3</w:t>
      </w:r>
      <w:r w:rsidR="00454546" w:rsidRPr="006322BD">
        <w:rPr>
          <w:rFonts w:ascii="Arial" w:hAnsi="Arial" w:cs="Arial"/>
          <w:sz w:val="24"/>
          <w:szCs w:val="24"/>
        </w:rPr>
        <w:t>5.3</w:t>
      </w:r>
      <w:r w:rsidRPr="006322BD">
        <w:rPr>
          <w:rFonts w:ascii="Arial" w:hAnsi="Arial" w:cs="Arial"/>
          <w:sz w:val="24"/>
          <w:szCs w:val="24"/>
        </w:rPr>
        <w:t>%. The amount of additional contribution required from the PCC in 2024/25</w:t>
      </w:r>
      <w:r w:rsidR="00EC135B">
        <w:rPr>
          <w:rFonts w:ascii="Arial" w:hAnsi="Arial" w:cs="Arial"/>
          <w:sz w:val="24"/>
          <w:szCs w:val="24"/>
        </w:rPr>
        <w:t xml:space="preserve"> on top of his employer </w:t>
      </w:r>
      <w:r w:rsidR="00546E06">
        <w:rPr>
          <w:rFonts w:ascii="Arial" w:hAnsi="Arial" w:cs="Arial"/>
          <w:sz w:val="24"/>
          <w:szCs w:val="24"/>
        </w:rPr>
        <w:t xml:space="preserve">contributions </w:t>
      </w:r>
      <w:r w:rsidRPr="006322BD">
        <w:rPr>
          <w:rFonts w:ascii="Arial" w:hAnsi="Arial" w:cs="Arial"/>
          <w:sz w:val="24"/>
          <w:szCs w:val="24"/>
        </w:rPr>
        <w:t>was £5</w:t>
      </w:r>
      <w:r w:rsidR="006322BD" w:rsidRPr="006322BD">
        <w:rPr>
          <w:rFonts w:ascii="Arial" w:hAnsi="Arial" w:cs="Arial"/>
          <w:sz w:val="24"/>
          <w:szCs w:val="24"/>
        </w:rPr>
        <w:t>4</w:t>
      </w:r>
      <w:r w:rsidRPr="006322BD">
        <w:rPr>
          <w:rFonts w:ascii="Arial" w:hAnsi="Arial" w:cs="Arial"/>
          <w:sz w:val="24"/>
          <w:szCs w:val="24"/>
        </w:rPr>
        <w:t>.</w:t>
      </w:r>
      <w:r w:rsidR="006322BD" w:rsidRPr="006322BD">
        <w:rPr>
          <w:rFonts w:ascii="Arial" w:hAnsi="Arial" w:cs="Arial"/>
          <w:sz w:val="24"/>
          <w:szCs w:val="24"/>
        </w:rPr>
        <w:t>8</w:t>
      </w:r>
      <w:r w:rsidRPr="006322BD">
        <w:rPr>
          <w:rFonts w:ascii="Arial" w:hAnsi="Arial" w:cs="Arial"/>
          <w:sz w:val="24"/>
          <w:szCs w:val="24"/>
        </w:rPr>
        <w:t>m (£</w:t>
      </w:r>
      <w:r w:rsidR="00027F37" w:rsidRPr="006322BD">
        <w:rPr>
          <w:rFonts w:ascii="Arial" w:hAnsi="Arial" w:cs="Arial"/>
          <w:sz w:val="24"/>
          <w:szCs w:val="24"/>
        </w:rPr>
        <w:t>56</w:t>
      </w:r>
      <w:r w:rsidRPr="006322BD">
        <w:rPr>
          <w:rFonts w:ascii="Arial" w:hAnsi="Arial" w:cs="Arial"/>
          <w:sz w:val="24"/>
          <w:szCs w:val="24"/>
        </w:rPr>
        <w:t>m in 202</w:t>
      </w:r>
      <w:r w:rsidR="00027F37" w:rsidRPr="006322BD">
        <w:rPr>
          <w:rFonts w:ascii="Arial" w:hAnsi="Arial" w:cs="Arial"/>
          <w:sz w:val="24"/>
          <w:szCs w:val="24"/>
        </w:rPr>
        <w:t>3</w:t>
      </w:r>
      <w:r w:rsidRPr="006322BD">
        <w:rPr>
          <w:rFonts w:ascii="Arial" w:hAnsi="Arial" w:cs="Arial"/>
          <w:sz w:val="24"/>
          <w:szCs w:val="24"/>
        </w:rPr>
        <w:t>/2</w:t>
      </w:r>
      <w:r w:rsidR="00027F37" w:rsidRPr="006322BD">
        <w:rPr>
          <w:rFonts w:ascii="Arial" w:hAnsi="Arial" w:cs="Arial"/>
          <w:sz w:val="24"/>
          <w:szCs w:val="24"/>
        </w:rPr>
        <w:t>4</w:t>
      </w:r>
      <w:r w:rsidRPr="006322BD">
        <w:rPr>
          <w:rFonts w:ascii="Arial" w:hAnsi="Arial" w:cs="Arial"/>
          <w:sz w:val="24"/>
          <w:szCs w:val="24"/>
        </w:rPr>
        <w:t>) f</w:t>
      </w:r>
      <w:r w:rsidRPr="005E54D0">
        <w:rPr>
          <w:rFonts w:ascii="Arial" w:hAnsi="Arial" w:cs="Arial"/>
          <w:sz w:val="24"/>
          <w:szCs w:val="24"/>
        </w:rPr>
        <w:t>inanced from Home Office grant and the additional funding given to Policing authorities to cover the costs of the additional employer contributions</w:t>
      </w:r>
      <w:r w:rsidRPr="00140849">
        <w:rPr>
          <w:rFonts w:ascii="Arial" w:hAnsi="Arial" w:cs="Arial"/>
          <w:sz w:val="24"/>
          <w:szCs w:val="24"/>
        </w:rPr>
        <w:t xml:space="preserve">. </w:t>
      </w:r>
      <w:r w:rsidR="00EC135B" w:rsidRPr="00140849">
        <w:rPr>
          <w:rFonts w:ascii="Arial" w:hAnsi="Arial" w:cs="Arial"/>
          <w:sz w:val="24"/>
          <w:szCs w:val="24"/>
        </w:rPr>
        <w:t>This is shown in the Police Pension Account breakdown on Page 1</w:t>
      </w:r>
      <w:r w:rsidR="006C65E3">
        <w:rPr>
          <w:rFonts w:ascii="Arial" w:hAnsi="Arial" w:cs="Arial"/>
          <w:sz w:val="24"/>
          <w:szCs w:val="24"/>
        </w:rPr>
        <w:t>0</w:t>
      </w:r>
      <w:r w:rsidR="00A36CB0">
        <w:rPr>
          <w:rFonts w:ascii="Arial" w:hAnsi="Arial" w:cs="Arial"/>
          <w:sz w:val="24"/>
          <w:szCs w:val="24"/>
        </w:rPr>
        <w:t>1</w:t>
      </w:r>
      <w:r w:rsidR="00EC135B" w:rsidRPr="00140849">
        <w:rPr>
          <w:rFonts w:ascii="Arial" w:hAnsi="Arial" w:cs="Arial"/>
          <w:sz w:val="24"/>
          <w:szCs w:val="24"/>
        </w:rPr>
        <w:t>.</w:t>
      </w:r>
    </w:p>
    <w:p w14:paraId="2183849A" w14:textId="77777777" w:rsidR="008D5FD2" w:rsidRPr="005E54D0" w:rsidRDefault="008D5FD2" w:rsidP="008D5FD2">
      <w:pPr>
        <w:spacing w:after="120"/>
        <w:jc w:val="both"/>
        <w:rPr>
          <w:rFonts w:ascii="Arial" w:hAnsi="Arial" w:cs="Arial"/>
          <w:b/>
          <w:bCs/>
          <w:sz w:val="24"/>
          <w:szCs w:val="24"/>
        </w:rPr>
      </w:pPr>
      <w:r w:rsidRPr="005E54D0">
        <w:rPr>
          <w:rFonts w:ascii="Arial" w:hAnsi="Arial" w:cs="Arial"/>
          <w:b/>
          <w:bCs/>
          <w:sz w:val="24"/>
          <w:szCs w:val="24"/>
        </w:rPr>
        <w:t>Pension Liabilities</w:t>
      </w:r>
    </w:p>
    <w:p w14:paraId="4D82CD8E" w14:textId="77777777" w:rsidR="008D5FD2" w:rsidRPr="005E54D0" w:rsidRDefault="008D5FD2" w:rsidP="008D5FD2">
      <w:pPr>
        <w:spacing w:after="120"/>
        <w:jc w:val="both"/>
        <w:rPr>
          <w:rFonts w:ascii="Arial" w:hAnsi="Arial" w:cs="Arial"/>
          <w:sz w:val="24"/>
          <w:szCs w:val="24"/>
        </w:rPr>
      </w:pPr>
      <w:r w:rsidRPr="005E54D0">
        <w:rPr>
          <w:rFonts w:ascii="Arial" w:hAnsi="Arial" w:cs="Arial"/>
          <w:sz w:val="24"/>
          <w:szCs w:val="24"/>
        </w:rPr>
        <w:t xml:space="preserve">Pension costs are reported in line with International Accounting Standard 19 (IAS19). The pensions' liabilities shown on the PCC Group balance sheet reflect the underlying commitment that the PCC has in the long term to fund retirement benefits. Although recognition of these liabilities has a considerable impact on the net worth of the PCC Group, statutory arrangements for funding the deficit mean that the financial position of the PCC Group remains healthy. </w:t>
      </w:r>
    </w:p>
    <w:p w14:paraId="2E14909C" w14:textId="21291524" w:rsidR="008D5FD2" w:rsidRPr="00642A97" w:rsidRDefault="008D5FD2" w:rsidP="008D5FD2">
      <w:pPr>
        <w:spacing w:after="120"/>
        <w:jc w:val="both"/>
        <w:rPr>
          <w:rFonts w:ascii="Arial" w:hAnsi="Arial" w:cs="Arial"/>
          <w:sz w:val="24"/>
          <w:szCs w:val="24"/>
        </w:rPr>
      </w:pPr>
      <w:r w:rsidRPr="00642A97">
        <w:rPr>
          <w:rFonts w:ascii="Arial" w:hAnsi="Arial" w:cs="Arial"/>
          <w:sz w:val="24"/>
          <w:szCs w:val="24"/>
        </w:rPr>
        <w:t>At 31 March 2025 the net pensions' liability of the PCC Group, calculated by the actuary, is £</w:t>
      </w:r>
      <w:r w:rsidR="00E0400D" w:rsidRPr="00642A97">
        <w:rPr>
          <w:rFonts w:ascii="Arial" w:hAnsi="Arial" w:cs="Arial"/>
          <w:sz w:val="24"/>
          <w:szCs w:val="24"/>
        </w:rPr>
        <w:t>2</w:t>
      </w:r>
      <w:r w:rsidRPr="00642A97">
        <w:rPr>
          <w:rFonts w:ascii="Arial" w:hAnsi="Arial" w:cs="Arial"/>
          <w:sz w:val="24"/>
          <w:szCs w:val="24"/>
        </w:rPr>
        <w:t>,</w:t>
      </w:r>
      <w:r w:rsidR="000C2215" w:rsidRPr="00642A97">
        <w:rPr>
          <w:rFonts w:ascii="Arial" w:hAnsi="Arial" w:cs="Arial"/>
          <w:sz w:val="24"/>
          <w:szCs w:val="24"/>
        </w:rPr>
        <w:t>489</w:t>
      </w:r>
      <w:r w:rsidRPr="00642A97">
        <w:rPr>
          <w:rFonts w:ascii="Arial" w:hAnsi="Arial" w:cs="Arial"/>
          <w:sz w:val="24"/>
          <w:szCs w:val="24"/>
        </w:rPr>
        <w:t>.</w:t>
      </w:r>
      <w:r w:rsidR="000C2215" w:rsidRPr="00642A97">
        <w:rPr>
          <w:rFonts w:ascii="Arial" w:hAnsi="Arial" w:cs="Arial"/>
          <w:sz w:val="24"/>
          <w:szCs w:val="24"/>
        </w:rPr>
        <w:t>6</w:t>
      </w:r>
      <w:r w:rsidRPr="00642A97">
        <w:rPr>
          <w:rFonts w:ascii="Arial" w:hAnsi="Arial" w:cs="Arial"/>
          <w:sz w:val="24"/>
          <w:szCs w:val="24"/>
        </w:rPr>
        <w:t>m, (</w:t>
      </w:r>
      <w:r w:rsidR="00DC2030" w:rsidRPr="00642A97">
        <w:rPr>
          <w:rFonts w:ascii="Arial" w:hAnsi="Arial" w:cs="Arial"/>
          <w:sz w:val="24"/>
          <w:szCs w:val="24"/>
        </w:rPr>
        <w:t>a</w:t>
      </w:r>
      <w:r w:rsidRPr="00642A97">
        <w:rPr>
          <w:rFonts w:ascii="Arial" w:hAnsi="Arial" w:cs="Arial"/>
          <w:sz w:val="24"/>
          <w:szCs w:val="24"/>
        </w:rPr>
        <w:t xml:space="preserve"> </w:t>
      </w:r>
      <w:r w:rsidR="000C2215" w:rsidRPr="00642A97">
        <w:rPr>
          <w:rFonts w:ascii="Arial" w:hAnsi="Arial" w:cs="Arial"/>
          <w:sz w:val="24"/>
          <w:szCs w:val="24"/>
        </w:rPr>
        <w:t>decrease</w:t>
      </w:r>
      <w:r w:rsidRPr="00642A97">
        <w:rPr>
          <w:rFonts w:ascii="Arial" w:hAnsi="Arial" w:cs="Arial"/>
          <w:sz w:val="24"/>
          <w:szCs w:val="24"/>
        </w:rPr>
        <w:t xml:space="preserve"> of £</w:t>
      </w:r>
      <w:r w:rsidR="000C2215" w:rsidRPr="00642A97">
        <w:rPr>
          <w:rFonts w:ascii="Arial" w:hAnsi="Arial" w:cs="Arial"/>
          <w:sz w:val="24"/>
          <w:szCs w:val="24"/>
        </w:rPr>
        <w:t>360</w:t>
      </w:r>
      <w:r w:rsidRPr="00642A97">
        <w:rPr>
          <w:rFonts w:ascii="Arial" w:hAnsi="Arial" w:cs="Arial"/>
          <w:sz w:val="24"/>
          <w:szCs w:val="24"/>
        </w:rPr>
        <w:t>.</w:t>
      </w:r>
      <w:r w:rsidR="000C2215" w:rsidRPr="00642A97">
        <w:rPr>
          <w:rFonts w:ascii="Arial" w:hAnsi="Arial" w:cs="Arial"/>
          <w:sz w:val="24"/>
          <w:szCs w:val="24"/>
        </w:rPr>
        <w:t>2</w:t>
      </w:r>
      <w:r w:rsidRPr="00642A97">
        <w:rPr>
          <w:rFonts w:ascii="Arial" w:hAnsi="Arial" w:cs="Arial"/>
          <w:sz w:val="24"/>
          <w:szCs w:val="24"/>
        </w:rPr>
        <w:t>m over the previous year’s figure of £</w:t>
      </w:r>
      <w:r w:rsidR="00AF4CD8" w:rsidRPr="00642A97">
        <w:rPr>
          <w:rFonts w:ascii="Arial" w:hAnsi="Arial" w:cs="Arial"/>
          <w:sz w:val="24"/>
          <w:szCs w:val="24"/>
        </w:rPr>
        <w:t>2</w:t>
      </w:r>
      <w:r w:rsidRPr="00642A97">
        <w:rPr>
          <w:rFonts w:ascii="Arial" w:hAnsi="Arial" w:cs="Arial"/>
          <w:sz w:val="24"/>
          <w:szCs w:val="24"/>
        </w:rPr>
        <w:t>,</w:t>
      </w:r>
      <w:r w:rsidR="00AF4CD8" w:rsidRPr="00642A97">
        <w:rPr>
          <w:rFonts w:ascii="Arial" w:hAnsi="Arial" w:cs="Arial"/>
          <w:sz w:val="24"/>
          <w:szCs w:val="24"/>
        </w:rPr>
        <w:t>849</w:t>
      </w:r>
      <w:r w:rsidRPr="00642A97">
        <w:rPr>
          <w:rFonts w:ascii="Arial" w:hAnsi="Arial" w:cs="Arial"/>
          <w:sz w:val="24"/>
          <w:szCs w:val="24"/>
        </w:rPr>
        <w:t>.</w:t>
      </w:r>
      <w:r w:rsidR="00AF4CD8" w:rsidRPr="00642A97">
        <w:rPr>
          <w:rFonts w:ascii="Arial" w:hAnsi="Arial" w:cs="Arial"/>
          <w:sz w:val="24"/>
          <w:szCs w:val="24"/>
        </w:rPr>
        <w:t>8</w:t>
      </w:r>
      <w:r w:rsidRPr="00642A97">
        <w:rPr>
          <w:rFonts w:ascii="Arial" w:hAnsi="Arial" w:cs="Arial"/>
          <w:sz w:val="24"/>
          <w:szCs w:val="24"/>
        </w:rPr>
        <w:t>m). The net liability is split between the Local Government Pension Scheme (£</w:t>
      </w:r>
      <w:r w:rsidR="00D9470D" w:rsidRPr="00642A97">
        <w:rPr>
          <w:rFonts w:ascii="Arial" w:hAnsi="Arial" w:cs="Arial"/>
          <w:sz w:val="24"/>
          <w:szCs w:val="24"/>
        </w:rPr>
        <w:t>1</w:t>
      </w:r>
      <w:r w:rsidRPr="00642A97">
        <w:rPr>
          <w:rFonts w:ascii="Arial" w:hAnsi="Arial" w:cs="Arial"/>
          <w:sz w:val="24"/>
          <w:szCs w:val="24"/>
        </w:rPr>
        <w:t>.</w:t>
      </w:r>
      <w:r w:rsidR="00140849">
        <w:rPr>
          <w:rFonts w:ascii="Arial" w:hAnsi="Arial" w:cs="Arial"/>
          <w:sz w:val="24"/>
          <w:szCs w:val="24"/>
        </w:rPr>
        <w:t>8</w:t>
      </w:r>
      <w:r w:rsidRPr="00642A97">
        <w:rPr>
          <w:rFonts w:ascii="Arial" w:hAnsi="Arial" w:cs="Arial"/>
          <w:sz w:val="24"/>
          <w:szCs w:val="24"/>
        </w:rPr>
        <w:t>m)</w:t>
      </w:r>
      <w:r w:rsidR="003C7FBA">
        <w:rPr>
          <w:rFonts w:ascii="Arial" w:hAnsi="Arial" w:cs="Arial"/>
          <w:sz w:val="24"/>
          <w:szCs w:val="24"/>
        </w:rPr>
        <w:t xml:space="preserve"> which is a funded scheme (i.e. investments or other assets exist to offset future </w:t>
      </w:r>
      <w:r w:rsidR="00546E06">
        <w:rPr>
          <w:rFonts w:ascii="Arial" w:hAnsi="Arial" w:cs="Arial"/>
          <w:sz w:val="24"/>
          <w:szCs w:val="24"/>
        </w:rPr>
        <w:t>liabilities</w:t>
      </w:r>
      <w:r w:rsidR="003C7FBA">
        <w:rPr>
          <w:rFonts w:ascii="Arial" w:hAnsi="Arial" w:cs="Arial"/>
          <w:sz w:val="24"/>
          <w:szCs w:val="24"/>
        </w:rPr>
        <w:t>)</w:t>
      </w:r>
      <w:r w:rsidR="00546E06">
        <w:rPr>
          <w:rFonts w:ascii="Arial" w:hAnsi="Arial" w:cs="Arial"/>
          <w:sz w:val="24"/>
          <w:szCs w:val="24"/>
        </w:rPr>
        <w:t xml:space="preserve"> </w:t>
      </w:r>
      <w:r w:rsidRPr="00642A97">
        <w:rPr>
          <w:rFonts w:ascii="Arial" w:hAnsi="Arial" w:cs="Arial"/>
          <w:sz w:val="24"/>
          <w:szCs w:val="24"/>
        </w:rPr>
        <w:t>and the Police Pension Schemes (£</w:t>
      </w:r>
      <w:r w:rsidR="008959DF" w:rsidRPr="00642A97">
        <w:rPr>
          <w:rFonts w:ascii="Arial" w:hAnsi="Arial" w:cs="Arial"/>
          <w:sz w:val="24"/>
          <w:szCs w:val="24"/>
        </w:rPr>
        <w:t>2</w:t>
      </w:r>
      <w:r w:rsidRPr="00642A97">
        <w:rPr>
          <w:rFonts w:ascii="Arial" w:hAnsi="Arial" w:cs="Arial"/>
          <w:sz w:val="24"/>
          <w:szCs w:val="24"/>
        </w:rPr>
        <w:t>,</w:t>
      </w:r>
      <w:r w:rsidR="008959DF" w:rsidRPr="00642A97">
        <w:rPr>
          <w:rFonts w:ascii="Arial" w:hAnsi="Arial" w:cs="Arial"/>
          <w:sz w:val="24"/>
          <w:szCs w:val="24"/>
        </w:rPr>
        <w:t>487</w:t>
      </w:r>
      <w:r w:rsidRPr="00642A97">
        <w:rPr>
          <w:rFonts w:ascii="Arial" w:hAnsi="Arial" w:cs="Arial"/>
          <w:sz w:val="24"/>
          <w:szCs w:val="24"/>
        </w:rPr>
        <w:t>.</w:t>
      </w:r>
      <w:r w:rsidR="008959DF" w:rsidRPr="00642A97">
        <w:rPr>
          <w:rFonts w:ascii="Arial" w:hAnsi="Arial" w:cs="Arial"/>
          <w:sz w:val="24"/>
          <w:szCs w:val="24"/>
        </w:rPr>
        <w:t>8</w:t>
      </w:r>
      <w:r w:rsidRPr="00642A97">
        <w:rPr>
          <w:rFonts w:ascii="Arial" w:hAnsi="Arial" w:cs="Arial"/>
          <w:sz w:val="24"/>
          <w:szCs w:val="24"/>
        </w:rPr>
        <w:t xml:space="preserve">m) </w:t>
      </w:r>
      <w:r w:rsidR="003C7FBA">
        <w:rPr>
          <w:rFonts w:ascii="Arial" w:hAnsi="Arial" w:cs="Arial"/>
          <w:sz w:val="24"/>
          <w:szCs w:val="24"/>
        </w:rPr>
        <w:t>which are unfunded.</w:t>
      </w:r>
    </w:p>
    <w:p w14:paraId="65FC8A36" w14:textId="6F8A5DF6" w:rsidR="008D5FD2" w:rsidRPr="005E54D0" w:rsidRDefault="008D5FD2" w:rsidP="008D5FD2">
      <w:pPr>
        <w:spacing w:after="120"/>
        <w:jc w:val="both"/>
        <w:rPr>
          <w:rFonts w:ascii="Arial" w:hAnsi="Arial" w:cs="Arial"/>
          <w:sz w:val="24"/>
          <w:szCs w:val="24"/>
        </w:rPr>
      </w:pPr>
      <w:r w:rsidRPr="00642A97">
        <w:rPr>
          <w:rFonts w:ascii="Arial" w:hAnsi="Arial" w:cs="Arial"/>
          <w:sz w:val="24"/>
          <w:szCs w:val="24"/>
        </w:rPr>
        <w:t xml:space="preserve">The share of the net pensions' liability relating to the PCC's office as at 31 March 2025 is </w:t>
      </w:r>
      <w:r w:rsidR="00140849">
        <w:rPr>
          <w:rFonts w:ascii="Arial" w:hAnsi="Arial" w:cs="Arial"/>
          <w:sz w:val="24"/>
          <w:szCs w:val="24"/>
        </w:rPr>
        <w:t>nil</w:t>
      </w:r>
      <w:r w:rsidRPr="00642A97">
        <w:rPr>
          <w:rFonts w:ascii="Arial" w:hAnsi="Arial" w:cs="Arial"/>
          <w:sz w:val="24"/>
          <w:szCs w:val="24"/>
        </w:rPr>
        <w:t xml:space="preserve"> (</w:t>
      </w:r>
      <w:r w:rsidR="008959DF" w:rsidRPr="00642A97">
        <w:rPr>
          <w:rFonts w:ascii="Arial" w:hAnsi="Arial" w:cs="Arial"/>
          <w:sz w:val="24"/>
          <w:szCs w:val="24"/>
        </w:rPr>
        <w:t xml:space="preserve">A surplus of </w:t>
      </w:r>
      <w:r w:rsidRPr="00642A97">
        <w:rPr>
          <w:rFonts w:ascii="Arial" w:hAnsi="Arial" w:cs="Arial"/>
          <w:sz w:val="24"/>
          <w:szCs w:val="24"/>
        </w:rPr>
        <w:t>£</w:t>
      </w:r>
      <w:r w:rsidR="007C0102" w:rsidRPr="00642A97">
        <w:rPr>
          <w:rFonts w:ascii="Arial" w:hAnsi="Arial" w:cs="Arial"/>
          <w:sz w:val="24"/>
          <w:szCs w:val="24"/>
        </w:rPr>
        <w:t>2</w:t>
      </w:r>
      <w:r w:rsidRPr="00642A97">
        <w:rPr>
          <w:rFonts w:ascii="Arial" w:hAnsi="Arial" w:cs="Arial"/>
          <w:sz w:val="24"/>
          <w:szCs w:val="24"/>
        </w:rPr>
        <w:t>.</w:t>
      </w:r>
      <w:r w:rsidR="007C0102" w:rsidRPr="00642A97">
        <w:rPr>
          <w:rFonts w:ascii="Arial" w:hAnsi="Arial" w:cs="Arial"/>
          <w:sz w:val="24"/>
          <w:szCs w:val="24"/>
        </w:rPr>
        <w:t>22</w:t>
      </w:r>
      <w:r w:rsidRPr="00642A97">
        <w:rPr>
          <w:rFonts w:ascii="Arial" w:hAnsi="Arial" w:cs="Arial"/>
          <w:sz w:val="24"/>
          <w:szCs w:val="24"/>
        </w:rPr>
        <w:t>m at 31 March 2024).</w:t>
      </w:r>
    </w:p>
    <w:p w14:paraId="244F15C8" w14:textId="25B230BE" w:rsidR="008D5FD2" w:rsidRPr="00B018C9" w:rsidRDefault="008D5FD2" w:rsidP="008D5FD2">
      <w:pPr>
        <w:spacing w:after="120"/>
        <w:jc w:val="both"/>
        <w:rPr>
          <w:rFonts w:ascii="Arial" w:hAnsi="Arial" w:cs="Arial"/>
          <w:sz w:val="24"/>
          <w:szCs w:val="24"/>
        </w:rPr>
      </w:pPr>
      <w:r w:rsidRPr="005E54D0">
        <w:rPr>
          <w:rFonts w:ascii="Arial" w:hAnsi="Arial" w:cs="Arial"/>
          <w:sz w:val="24"/>
          <w:szCs w:val="24"/>
        </w:rPr>
        <w:t xml:space="preserve">Other elements affecting the change in liability are shown in detail in Note </w:t>
      </w:r>
      <w:r w:rsidR="00140849">
        <w:rPr>
          <w:rFonts w:ascii="Arial" w:hAnsi="Arial" w:cs="Arial"/>
          <w:sz w:val="24"/>
          <w:szCs w:val="24"/>
        </w:rPr>
        <w:t>30</w:t>
      </w:r>
      <w:r w:rsidRPr="005E54D0">
        <w:rPr>
          <w:rFonts w:ascii="Arial" w:hAnsi="Arial" w:cs="Arial"/>
          <w:sz w:val="24"/>
          <w:szCs w:val="24"/>
        </w:rPr>
        <w:t xml:space="preserve"> to the accounts.</w:t>
      </w:r>
    </w:p>
    <w:p w14:paraId="09035D2C" w14:textId="77777777" w:rsidR="008D5FD2" w:rsidRPr="00B018C9" w:rsidRDefault="008D5FD2" w:rsidP="008D5FD2">
      <w:pPr>
        <w:spacing w:after="120"/>
        <w:jc w:val="both"/>
        <w:rPr>
          <w:rFonts w:ascii="Arial" w:hAnsi="Arial" w:cs="Arial"/>
          <w:b/>
          <w:sz w:val="24"/>
          <w:szCs w:val="24"/>
        </w:rPr>
      </w:pPr>
      <w:r w:rsidRPr="00B018C9">
        <w:rPr>
          <w:rFonts w:ascii="Arial" w:hAnsi="Arial" w:cs="Arial"/>
          <w:b/>
          <w:sz w:val="24"/>
          <w:szCs w:val="24"/>
        </w:rPr>
        <w:t>Financial outlook</w:t>
      </w:r>
    </w:p>
    <w:p w14:paraId="611A0759" w14:textId="77777777"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The PCC, in conjunction with the CC, maintains a multi-year financial strategy to deliver efficient and effective financial management for the organisation.</w:t>
      </w:r>
    </w:p>
    <w:p w14:paraId="3E98BB2C" w14:textId="3D21A635"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The longer-term financial position is reviewed regularly based on best estimates of the likely level of cost pressures, grant income and council tax receipts. Based on this environment further savings of up to £37.8m are currently forecast to be required for the period to 2028/29. This is in addition to the £7.4m of savings that will be delivered in 2025/26 and represent a significant challenge for the PCC and the Constabulary.</w:t>
      </w:r>
    </w:p>
    <w:p w14:paraId="11F98084" w14:textId="0829F6BB" w:rsidR="00A5491C" w:rsidRDefault="008D5FD2" w:rsidP="00140849">
      <w:pPr>
        <w:spacing w:after="120"/>
        <w:jc w:val="both"/>
        <w:rPr>
          <w:rFonts w:ascii="Arial" w:hAnsi="Arial" w:cs="Arial"/>
          <w:sz w:val="24"/>
          <w:szCs w:val="24"/>
        </w:rPr>
      </w:pPr>
      <w:r w:rsidRPr="00330E8A">
        <w:rPr>
          <w:rFonts w:ascii="Arial" w:hAnsi="Arial" w:cs="Arial"/>
          <w:sz w:val="24"/>
          <w:szCs w:val="24"/>
        </w:rPr>
        <w:t>Business planning programmes are underway to develop proposals for how the further savings can be achieved.</w:t>
      </w:r>
    </w:p>
    <w:p w14:paraId="3FC2FE6C" w14:textId="1833B027"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lastRenderedPageBreak/>
        <w:t xml:space="preserve">The PCC and the Constabulary have a proven track record, as recognised by both HMIC and external audit reports, in their ability to identify and deliver financial savings and it is anticipated that this will continue.  However, as the economic position continues to be extremely challenging, it will be increasingly difficult to find savings on the scale required.  </w:t>
      </w:r>
    </w:p>
    <w:p w14:paraId="36A74376" w14:textId="77777777"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 xml:space="preserve">The level of funding and demand pressures for 2025/26 and future years remains uncertain. </w:t>
      </w:r>
    </w:p>
    <w:p w14:paraId="5E1D8CBD" w14:textId="5E362A68" w:rsidR="008D5FD2" w:rsidRDefault="008D5FD2" w:rsidP="008D5FD2">
      <w:pPr>
        <w:jc w:val="both"/>
        <w:rPr>
          <w:rFonts w:ascii="Arial" w:hAnsi="Arial" w:cs="Arial"/>
          <w:sz w:val="24"/>
          <w:szCs w:val="24"/>
        </w:rPr>
      </w:pPr>
      <w:r w:rsidRPr="00330E8A">
        <w:rPr>
          <w:rFonts w:ascii="Arial" w:hAnsi="Arial" w:cs="Arial"/>
          <w:b/>
          <w:i/>
          <w:sz w:val="24"/>
          <w:szCs w:val="24"/>
        </w:rPr>
        <w:t>Specific Risks</w:t>
      </w:r>
      <w:r w:rsidRPr="00330E8A">
        <w:rPr>
          <w:rFonts w:ascii="Arial" w:hAnsi="Arial" w:cs="Arial"/>
          <w:sz w:val="24"/>
          <w:szCs w:val="24"/>
        </w:rPr>
        <w:t xml:space="preserve"> include:</w:t>
      </w:r>
    </w:p>
    <w:p w14:paraId="1CC676E9" w14:textId="77777777" w:rsidR="00454546" w:rsidRPr="00330E8A" w:rsidRDefault="00454546" w:rsidP="008D5FD2">
      <w:pPr>
        <w:jc w:val="both"/>
        <w:rPr>
          <w:rFonts w:ascii="Arial" w:hAnsi="Arial" w:cs="Arial"/>
          <w:sz w:val="24"/>
          <w:szCs w:val="24"/>
        </w:rPr>
      </w:pPr>
    </w:p>
    <w:p w14:paraId="2EAD0F8B" w14:textId="77777777"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Inflation and pay award</w:t>
      </w:r>
    </w:p>
    <w:p w14:paraId="403A1C04" w14:textId="439F0A0E"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 xml:space="preserve">The 'general' rate of inflation has fallen in recent </w:t>
      </w:r>
      <w:r w:rsidR="00DC2030" w:rsidRPr="00330E8A">
        <w:rPr>
          <w:rFonts w:ascii="Arial" w:hAnsi="Arial" w:cs="Arial"/>
          <w:sz w:val="24"/>
          <w:szCs w:val="24"/>
        </w:rPr>
        <w:t>months,</w:t>
      </w:r>
      <w:r w:rsidRPr="00330E8A">
        <w:rPr>
          <w:rFonts w:ascii="Arial" w:hAnsi="Arial" w:cs="Arial"/>
          <w:sz w:val="24"/>
          <w:szCs w:val="24"/>
        </w:rPr>
        <w:t xml:space="preserve"> and current forecasts expect the rate to fall further in the coming months. The rate at which inflation will reduce is still uncertain and is different for different types of expenditure. </w:t>
      </w:r>
      <w:proofErr w:type="gramStart"/>
      <w:r w:rsidRPr="00330E8A">
        <w:rPr>
          <w:rFonts w:ascii="Arial" w:hAnsi="Arial" w:cs="Arial"/>
          <w:sz w:val="24"/>
          <w:szCs w:val="24"/>
        </w:rPr>
        <w:t>In particular the</w:t>
      </w:r>
      <w:proofErr w:type="gramEnd"/>
      <w:r w:rsidRPr="00330E8A">
        <w:rPr>
          <w:rFonts w:ascii="Arial" w:hAnsi="Arial" w:cs="Arial"/>
          <w:sz w:val="24"/>
          <w:szCs w:val="24"/>
        </w:rPr>
        <w:t xml:space="preserve"> cost of insurance is increasing at a rate that is significantly higher than general inflation and this cost </w:t>
      </w:r>
      <w:proofErr w:type="gramStart"/>
      <w:r w:rsidRPr="00330E8A">
        <w:rPr>
          <w:rFonts w:ascii="Arial" w:hAnsi="Arial" w:cs="Arial"/>
          <w:sz w:val="24"/>
          <w:szCs w:val="24"/>
        </w:rPr>
        <w:t>in particular will</w:t>
      </w:r>
      <w:proofErr w:type="gramEnd"/>
      <w:r w:rsidRPr="00330E8A">
        <w:rPr>
          <w:rFonts w:ascii="Arial" w:hAnsi="Arial" w:cs="Arial"/>
          <w:sz w:val="24"/>
          <w:szCs w:val="24"/>
        </w:rPr>
        <w:t xml:space="preserve"> be closely monitored as part of the continuing financial planning process in preparation for setting future years' budgets.</w:t>
      </w:r>
    </w:p>
    <w:p w14:paraId="10519B19"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 pay award for policing in September 2024 was a significant increase of 4.75%. The government has provided grant funding to support PCCs in meeting the cost pressure this represents. Forecasts of the pay award in future years remain uncertain as they will be affected by the rate of inflation and other cost of living pressures.</w:t>
      </w:r>
    </w:p>
    <w:p w14:paraId="25B7D92A"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Every 1% increase in pay costs for Lancashire equates to increased budget requirement of approximately £3m.</w:t>
      </w:r>
    </w:p>
    <w:p w14:paraId="1912D3E3" w14:textId="77777777"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Maintaining the Police Uplift and the Neighbourhood Policing Guarantee</w:t>
      </w:r>
    </w:p>
    <w:p w14:paraId="025764B7" w14:textId="77777777" w:rsidR="008D5FD2" w:rsidRPr="00330E8A" w:rsidRDefault="008D5FD2" w:rsidP="004E2882">
      <w:pPr>
        <w:numPr>
          <w:ilvl w:val="0"/>
          <w:numId w:val="45"/>
        </w:numPr>
        <w:tabs>
          <w:tab w:val="num" w:pos="720"/>
        </w:tabs>
        <w:spacing w:after="120"/>
        <w:rPr>
          <w:rFonts w:ascii="Arial" w:hAnsi="Arial" w:cs="Arial"/>
          <w:sz w:val="24"/>
          <w:szCs w:val="24"/>
        </w:rPr>
      </w:pPr>
      <w:r w:rsidRPr="00330E8A">
        <w:rPr>
          <w:rFonts w:ascii="Arial" w:hAnsi="Arial" w:cs="Arial"/>
          <w:sz w:val="24"/>
          <w:szCs w:val="24"/>
        </w:rPr>
        <w:t>The uplift and neighbourhood policing programmes have a direct impact on how the budget is managed.</w:t>
      </w:r>
    </w:p>
    <w:p w14:paraId="6DBF6B43" w14:textId="77777777" w:rsidR="008D5FD2" w:rsidRPr="00330E8A" w:rsidRDefault="008D5FD2" w:rsidP="004E2882">
      <w:pPr>
        <w:numPr>
          <w:ilvl w:val="0"/>
          <w:numId w:val="45"/>
        </w:numPr>
        <w:tabs>
          <w:tab w:val="num" w:pos="720"/>
        </w:tabs>
        <w:spacing w:after="120"/>
        <w:rPr>
          <w:rFonts w:ascii="Arial" w:hAnsi="Arial" w:cs="Arial"/>
          <w:sz w:val="24"/>
          <w:szCs w:val="24"/>
        </w:rPr>
      </w:pPr>
      <w:r w:rsidRPr="00330E8A">
        <w:rPr>
          <w:rFonts w:ascii="Arial" w:hAnsi="Arial" w:cs="Arial"/>
          <w:sz w:val="24"/>
          <w:szCs w:val="24"/>
        </w:rPr>
        <w:t>The government has been clear that failure to maintain these allocations will mean a reduction in funding.</w:t>
      </w:r>
    </w:p>
    <w:p w14:paraId="6382DEAE" w14:textId="77777777" w:rsidR="008D5FD2" w:rsidRPr="00330E8A" w:rsidRDefault="008D5FD2" w:rsidP="004E2882">
      <w:pPr>
        <w:numPr>
          <w:ilvl w:val="0"/>
          <w:numId w:val="45"/>
        </w:numPr>
        <w:tabs>
          <w:tab w:val="num" w:pos="720"/>
        </w:tabs>
        <w:spacing w:after="120"/>
        <w:rPr>
          <w:rFonts w:ascii="Arial" w:hAnsi="Arial" w:cs="Arial"/>
          <w:sz w:val="24"/>
          <w:szCs w:val="24"/>
        </w:rPr>
      </w:pPr>
      <w:r w:rsidRPr="00330E8A">
        <w:rPr>
          <w:rFonts w:ascii="Arial" w:hAnsi="Arial" w:cs="Arial"/>
          <w:sz w:val="24"/>
          <w:szCs w:val="24"/>
        </w:rPr>
        <w:t>This affects how savings can be delivered as police officer pay represents around 58% of the total budget for the organisation.</w:t>
      </w:r>
    </w:p>
    <w:p w14:paraId="2EA59500" w14:textId="77777777" w:rsidR="008D5FD2" w:rsidRPr="00330E8A" w:rsidRDefault="008D5FD2" w:rsidP="004E2882">
      <w:pPr>
        <w:numPr>
          <w:ilvl w:val="0"/>
          <w:numId w:val="45"/>
        </w:numPr>
        <w:tabs>
          <w:tab w:val="num" w:pos="720"/>
        </w:tabs>
        <w:spacing w:after="120"/>
        <w:rPr>
          <w:rFonts w:ascii="Arial" w:hAnsi="Arial" w:cs="Arial"/>
          <w:sz w:val="24"/>
          <w:szCs w:val="24"/>
        </w:rPr>
      </w:pPr>
      <w:r w:rsidRPr="00330E8A">
        <w:rPr>
          <w:rFonts w:ascii="Arial" w:hAnsi="Arial" w:cs="Arial"/>
          <w:sz w:val="24"/>
          <w:szCs w:val="24"/>
        </w:rPr>
        <w:t>A risk has been identified nationally that this could lead to staff being made redundant and police officers filling staff roles to meet savings targets whilst maintain the uplift number of officers.</w:t>
      </w:r>
    </w:p>
    <w:p w14:paraId="2151E809" w14:textId="77777777" w:rsidR="008D5FD2" w:rsidRPr="00330E8A" w:rsidRDefault="008D5FD2" w:rsidP="004E2882">
      <w:pPr>
        <w:numPr>
          <w:ilvl w:val="0"/>
          <w:numId w:val="45"/>
        </w:numPr>
        <w:tabs>
          <w:tab w:val="num" w:pos="720"/>
        </w:tabs>
        <w:spacing w:after="120"/>
        <w:rPr>
          <w:rFonts w:ascii="Arial" w:hAnsi="Arial" w:cs="Arial"/>
          <w:sz w:val="24"/>
          <w:szCs w:val="24"/>
        </w:rPr>
      </w:pPr>
      <w:r w:rsidRPr="00330E8A">
        <w:rPr>
          <w:rFonts w:ascii="Arial" w:hAnsi="Arial" w:cs="Arial"/>
          <w:sz w:val="24"/>
          <w:szCs w:val="24"/>
        </w:rPr>
        <w:t>This doesn't represent the best use of resources or maximise value for money.</w:t>
      </w:r>
    </w:p>
    <w:p w14:paraId="5E3F5C3D" w14:textId="1B6BD38B"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Delivering the capital programme</w:t>
      </w:r>
    </w:p>
    <w:p w14:paraId="3FC26820"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There is an ambitious capital programme for the forthcoming period which impacts directly upon the revenue budget and medium-term financial planning.</w:t>
      </w:r>
    </w:p>
    <w:p w14:paraId="202176E8"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There is a risk that both internal and external factors could delay the delivery of projects which will in turn impact upon the budget position and future years of the programme.</w:t>
      </w:r>
    </w:p>
    <w:p w14:paraId="3EDB6F9C" w14:textId="77777777"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Future government funding</w:t>
      </w:r>
    </w:p>
    <w:p w14:paraId="03557889"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A spending review to determine the level of funding for the period 2026/27 to 2028/29 will be completed in early summer 2025</w:t>
      </w:r>
    </w:p>
    <w:p w14:paraId="00FDD07A"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There is significant risk in any assumption made for government funding in future years but the announcement of a three-year settlement later this year will mitigate a significant element of this uncertainty.</w:t>
      </w:r>
    </w:p>
    <w:p w14:paraId="24338E58" w14:textId="10EE23B1"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lastRenderedPageBreak/>
        <w:t>Additional government funding</w:t>
      </w:r>
    </w:p>
    <w:p w14:paraId="68E89E62"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 xml:space="preserve">Lancashire receives a significant amount of additional funding for </w:t>
      </w:r>
      <w:proofErr w:type="gramStart"/>
      <w:r w:rsidRPr="00330E8A">
        <w:rPr>
          <w:rFonts w:ascii="Arial" w:hAnsi="Arial" w:cs="Arial"/>
          <w:sz w:val="24"/>
          <w:szCs w:val="24"/>
        </w:rPr>
        <w:t>a number of</w:t>
      </w:r>
      <w:proofErr w:type="gramEnd"/>
      <w:r w:rsidRPr="00330E8A">
        <w:rPr>
          <w:rFonts w:ascii="Arial" w:hAnsi="Arial" w:cs="Arial"/>
          <w:sz w:val="24"/>
          <w:szCs w:val="24"/>
        </w:rPr>
        <w:t xml:space="preserve"> areas including for Serious Violence, Violence Against Women and Girls and for Victims of Domestic and Sexual Abuse.</w:t>
      </w:r>
    </w:p>
    <w:p w14:paraId="3F1107D5" w14:textId="1EBA060F"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 xml:space="preserve">It is expected that the multi-year settlement announcement made later this year will confirm these funding streams for the next three years but if not the </w:t>
      </w:r>
      <w:proofErr w:type="gramStart"/>
      <w:r w:rsidRPr="00330E8A">
        <w:rPr>
          <w:rFonts w:ascii="Arial" w:hAnsi="Arial" w:cs="Arial"/>
          <w:sz w:val="24"/>
          <w:szCs w:val="24"/>
        </w:rPr>
        <w:t>case</w:t>
      </w:r>
      <w:proofErr w:type="gramEnd"/>
      <w:r w:rsidRPr="00330E8A">
        <w:rPr>
          <w:rFonts w:ascii="Arial" w:hAnsi="Arial" w:cs="Arial"/>
          <w:sz w:val="24"/>
          <w:szCs w:val="24"/>
        </w:rPr>
        <w:t xml:space="preserve"> then significant uncertainty will </w:t>
      </w:r>
      <w:r w:rsidR="00DC2030" w:rsidRPr="00330E8A">
        <w:rPr>
          <w:rFonts w:ascii="Arial" w:hAnsi="Arial" w:cs="Arial"/>
          <w:sz w:val="24"/>
          <w:szCs w:val="24"/>
        </w:rPr>
        <w:t>remain.</w:t>
      </w:r>
    </w:p>
    <w:p w14:paraId="0B6639AB"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 uncertainty of this funding makes effective financial planning extremely problematic, particularly when planning future service delivery.</w:t>
      </w:r>
    </w:p>
    <w:p w14:paraId="6BBF0CF1" w14:textId="77777777"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 xml:space="preserve">Emergency Services Network (ESN) - Replacement of Airwave </w:t>
      </w:r>
    </w:p>
    <w:p w14:paraId="1B605FC1"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 emergency services communications network ‘Airwave’ replacement programme has already 'slipped' by several years. There is a financial consequence of a delay in moving over to the new system that is not yet clear.</w:t>
      </w:r>
    </w:p>
    <w:p w14:paraId="5B463FA9"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There is also a capital requirement for the equipment that will be required to operate on the new system that will impact upon future years' capital investment programme.</w:t>
      </w:r>
    </w:p>
    <w:p w14:paraId="31051A5A"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 financial impact of these is not yet fully known with estimated provision included in the draft capital programme based on best available information. When further information is received from the Home Office the financial forecast will be updated</w:t>
      </w:r>
    </w:p>
    <w:p w14:paraId="2BD0AE03" w14:textId="77777777" w:rsidR="008D5FD2" w:rsidRPr="00330E8A" w:rsidRDefault="008D5FD2" w:rsidP="008D5FD2">
      <w:pPr>
        <w:spacing w:after="120"/>
        <w:jc w:val="both"/>
        <w:rPr>
          <w:rFonts w:ascii="Arial" w:hAnsi="Arial" w:cs="Arial"/>
          <w:sz w:val="24"/>
          <w:szCs w:val="24"/>
        </w:rPr>
      </w:pPr>
      <w:r w:rsidRPr="00330E8A">
        <w:rPr>
          <w:rFonts w:ascii="Arial" w:hAnsi="Arial" w:cs="Arial"/>
          <w:sz w:val="24"/>
          <w:szCs w:val="24"/>
        </w:rPr>
        <w:t>Impact of the Police Pensions Remedy</w:t>
      </w:r>
    </w:p>
    <w:p w14:paraId="7FB06F38"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The Government introduced changes to public sector pensions and introduced revised pension arrangements for Police Officers in 2015. As part of the implementation a series of protection measures were put in place to protect those officers within 10 years of their normal retirement date.</w:t>
      </w:r>
    </w:p>
    <w:p w14:paraId="2EA7B826"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 xml:space="preserve">This policy was successfully challenged in the Courts and was found to be discriminatory </w:t>
      </w:r>
      <w:proofErr w:type="gramStart"/>
      <w:r w:rsidRPr="00330E8A">
        <w:rPr>
          <w:rFonts w:ascii="Arial" w:hAnsi="Arial" w:cs="Arial"/>
          <w:sz w:val="24"/>
          <w:szCs w:val="24"/>
        </w:rPr>
        <w:t>on the basis of</w:t>
      </w:r>
      <w:proofErr w:type="gramEnd"/>
      <w:r w:rsidRPr="00330E8A">
        <w:rPr>
          <w:rFonts w:ascii="Arial" w:hAnsi="Arial" w:cs="Arial"/>
          <w:sz w:val="24"/>
          <w:szCs w:val="24"/>
        </w:rPr>
        <w:t xml:space="preserve"> age. The Government has recently announced its proposals to remedy the discrimination. Whilst these proposals will take some time before they are in place, initial indications are that the cost of administering the remediation will be an additional cost on police forces and the ultimate cost of the remedy may require an increase in employer contributions of 10%.</w:t>
      </w:r>
    </w:p>
    <w:p w14:paraId="73504692" w14:textId="77777777" w:rsidR="008D5FD2" w:rsidRPr="00330E8A" w:rsidRDefault="008D5FD2" w:rsidP="004E2882">
      <w:pPr>
        <w:numPr>
          <w:ilvl w:val="0"/>
          <w:numId w:val="45"/>
        </w:numPr>
        <w:spacing w:after="120"/>
        <w:rPr>
          <w:rFonts w:ascii="Arial" w:hAnsi="Arial" w:cs="Arial"/>
          <w:sz w:val="24"/>
          <w:szCs w:val="24"/>
        </w:rPr>
      </w:pPr>
      <w:r w:rsidRPr="00330E8A">
        <w:rPr>
          <w:rFonts w:ascii="Arial" w:hAnsi="Arial" w:cs="Arial"/>
          <w:sz w:val="24"/>
          <w:szCs w:val="24"/>
        </w:rPr>
        <w:t xml:space="preserve">This will form detailed discussion with the Government and the extent to which sufficient funding is made available will be a key element of the discussion. </w:t>
      </w:r>
    </w:p>
    <w:p w14:paraId="69B034CA" w14:textId="77777777" w:rsidR="008D5FD2" w:rsidRDefault="008D5FD2" w:rsidP="008D5FD2">
      <w:pPr>
        <w:rPr>
          <w:rFonts w:ascii="Bradley Hand ITC" w:hAnsi="Bradley Hand ITC"/>
          <w:sz w:val="28"/>
          <w:szCs w:val="28"/>
        </w:rPr>
      </w:pPr>
    </w:p>
    <w:p w14:paraId="27E61D00" w14:textId="02584F0B" w:rsidR="008D5FD2" w:rsidRDefault="008D5FD2" w:rsidP="008D5FD2">
      <w:pPr>
        <w:rPr>
          <w:rFonts w:ascii="Bradley Hand ITC" w:hAnsi="Bradley Hand ITC"/>
          <w:sz w:val="28"/>
          <w:szCs w:val="28"/>
        </w:rPr>
      </w:pPr>
    </w:p>
    <w:p w14:paraId="2CF37404" w14:textId="1CEB4799" w:rsidR="008D5FD2" w:rsidRPr="008F6669" w:rsidRDefault="00863345" w:rsidP="008D5FD2">
      <w:pPr>
        <w:rPr>
          <w:rFonts w:ascii="Bradley Hand ITC" w:hAnsi="Bradley Hand ITC"/>
          <w:sz w:val="28"/>
          <w:szCs w:val="28"/>
        </w:rPr>
      </w:pPr>
      <w:r>
        <w:rPr>
          <w:noProof/>
        </w:rPr>
        <w:drawing>
          <wp:anchor distT="0" distB="0" distL="114300" distR="114300" simplePos="0" relativeHeight="251658245" behindDoc="0" locked="0" layoutInCell="1" allowOverlap="1" wp14:anchorId="092684DD" wp14:editId="25C3C251">
            <wp:simplePos x="0" y="0"/>
            <wp:positionH relativeFrom="column">
              <wp:posOffset>0</wp:posOffset>
            </wp:positionH>
            <wp:positionV relativeFrom="paragraph">
              <wp:posOffset>-635</wp:posOffset>
            </wp:positionV>
            <wp:extent cx="1651000" cy="554990"/>
            <wp:effectExtent l="0" t="0" r="6350" b="0"/>
            <wp:wrapNone/>
            <wp:docPr id="1366711295" name="Picture 8" descr="A black line with a pointy m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40417" name="Picture 8" descr="A black line with a pointy mark&#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1000" cy="554990"/>
                    </a:xfrm>
                    <a:prstGeom prst="rect">
                      <a:avLst/>
                    </a:prstGeom>
                    <a:noFill/>
                  </pic:spPr>
                </pic:pic>
              </a:graphicData>
            </a:graphic>
            <wp14:sizeRelH relativeFrom="page">
              <wp14:pctWidth>0</wp14:pctWidth>
            </wp14:sizeRelH>
            <wp14:sizeRelV relativeFrom="page">
              <wp14:pctHeight>0</wp14:pctHeight>
            </wp14:sizeRelV>
          </wp:anchor>
        </w:drawing>
      </w:r>
    </w:p>
    <w:p w14:paraId="1E8E53BB" w14:textId="1A1C18CA" w:rsidR="002C0523" w:rsidRDefault="002C0523" w:rsidP="00144E7C">
      <w:pPr>
        <w:jc w:val="both"/>
        <w:rPr>
          <w:rFonts w:ascii="Arial" w:hAnsi="Arial" w:cs="Arial"/>
          <w:sz w:val="22"/>
          <w:szCs w:val="22"/>
        </w:rPr>
      </w:pPr>
    </w:p>
    <w:p w14:paraId="1B238644" w14:textId="20F17F57" w:rsidR="00863345" w:rsidRDefault="00863345" w:rsidP="00144E7C">
      <w:pPr>
        <w:jc w:val="both"/>
        <w:rPr>
          <w:rFonts w:ascii="Arial" w:hAnsi="Arial"/>
          <w:sz w:val="24"/>
        </w:rPr>
      </w:pPr>
      <w:r w:rsidRPr="00A2421F">
        <w:rPr>
          <w:rFonts w:cs="Arial"/>
          <w:noProof/>
          <w:sz w:val="22"/>
          <w:szCs w:val="22"/>
          <w:highlight w:val="yellow"/>
        </w:rPr>
        <mc:AlternateContent>
          <mc:Choice Requires="wps">
            <w:drawing>
              <wp:anchor distT="0" distB="0" distL="114300" distR="114300" simplePos="0" relativeHeight="251658244" behindDoc="0" locked="0" layoutInCell="1" allowOverlap="1" wp14:anchorId="14D06819" wp14:editId="6BAF023F">
                <wp:simplePos x="0" y="0"/>
                <wp:positionH relativeFrom="margin">
                  <wp:align>left</wp:align>
                </wp:positionH>
                <wp:positionV relativeFrom="paragraph">
                  <wp:posOffset>172720</wp:posOffset>
                </wp:positionV>
                <wp:extent cx="2456180" cy="1016000"/>
                <wp:effectExtent l="0" t="0" r="127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6180" cy="1016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27F834" w14:textId="77777777" w:rsidR="00863345" w:rsidRPr="001B442B" w:rsidRDefault="00863345" w:rsidP="00863345">
                            <w:pPr>
                              <w:pStyle w:val="Footer"/>
                              <w:tabs>
                                <w:tab w:val="clear" w:pos="4153"/>
                                <w:tab w:val="clear" w:pos="8306"/>
                              </w:tabs>
                            </w:pPr>
                            <w:r w:rsidRPr="001B442B">
                              <w:t>Steve Freeman CPFA</w:t>
                            </w:r>
                          </w:p>
                          <w:p w14:paraId="3B69D9BA" w14:textId="77777777" w:rsidR="00863345" w:rsidRDefault="00863345" w:rsidP="00863345">
                            <w:pPr>
                              <w:rPr>
                                <w:rFonts w:ascii="Arial" w:hAnsi="Arial"/>
                                <w:sz w:val="22"/>
                                <w:szCs w:val="22"/>
                              </w:rPr>
                            </w:pPr>
                            <w:r w:rsidRPr="001B442B">
                              <w:rPr>
                                <w:rFonts w:ascii="Arial" w:hAnsi="Arial"/>
                                <w:sz w:val="22"/>
                                <w:szCs w:val="22"/>
                              </w:rPr>
                              <w:t>CFO to the Police and Crime Commissioner for Lancashire</w:t>
                            </w:r>
                          </w:p>
                          <w:p w14:paraId="66D291B4" w14:textId="77777777" w:rsidR="00863345" w:rsidRDefault="00863345" w:rsidP="00863345">
                            <w:pPr>
                              <w:rPr>
                                <w:rFonts w:ascii="Arial" w:hAnsi="Arial"/>
                                <w:sz w:val="22"/>
                                <w:szCs w:val="22"/>
                              </w:rPr>
                            </w:pPr>
                          </w:p>
                          <w:p w14:paraId="372C9E20" w14:textId="110EE834" w:rsidR="00863345" w:rsidRPr="001B442B" w:rsidRDefault="00863345" w:rsidP="00863345">
                            <w:pPr>
                              <w:rPr>
                                <w:rFonts w:ascii="Arial" w:hAnsi="Arial"/>
                                <w:sz w:val="22"/>
                                <w:szCs w:val="22"/>
                              </w:rPr>
                            </w:pPr>
                            <w:r>
                              <w:rPr>
                                <w:rFonts w:ascii="Arial" w:hAnsi="Arial"/>
                                <w:sz w:val="22"/>
                                <w:szCs w:val="22"/>
                              </w:rPr>
                              <w:t xml:space="preserve"> </w:t>
                            </w:r>
                            <w:r w:rsidR="00F021DE">
                              <w:rPr>
                                <w:rFonts w:ascii="Arial" w:hAnsi="Arial"/>
                                <w:sz w:val="22"/>
                                <w:szCs w:val="22"/>
                              </w:rPr>
                              <w:t>1</w:t>
                            </w:r>
                            <w:r w:rsidR="00BF2587">
                              <w:rPr>
                                <w:rFonts w:ascii="Arial" w:hAnsi="Arial"/>
                                <w:sz w:val="22"/>
                                <w:szCs w:val="22"/>
                              </w:rPr>
                              <w:t>8</w:t>
                            </w:r>
                            <w:r w:rsidR="00F021DE" w:rsidRPr="00F021DE">
                              <w:rPr>
                                <w:rFonts w:ascii="Arial" w:hAnsi="Arial"/>
                                <w:sz w:val="22"/>
                                <w:szCs w:val="22"/>
                                <w:vertAlign w:val="superscript"/>
                              </w:rPr>
                              <w:t>th</w:t>
                            </w:r>
                            <w:r w:rsidR="00F021DE">
                              <w:rPr>
                                <w:rFonts w:ascii="Arial" w:hAnsi="Arial"/>
                                <w:sz w:val="22"/>
                                <w:szCs w:val="22"/>
                              </w:rPr>
                              <w:t xml:space="preserve"> </w:t>
                            </w:r>
                            <w:r>
                              <w:rPr>
                                <w:rFonts w:ascii="Arial" w:hAnsi="Arial"/>
                                <w:sz w:val="22"/>
                                <w:szCs w:val="22"/>
                              </w:rPr>
                              <w:t>December 2025</w:t>
                            </w:r>
                          </w:p>
                          <w:p w14:paraId="45BB1581" w14:textId="77777777" w:rsidR="00863345" w:rsidRPr="001B442B" w:rsidRDefault="00863345" w:rsidP="00863345">
                            <w:pPr>
                              <w:rPr>
                                <w:rFonts w:ascii="Arial" w:hAnsi="Arial"/>
                                <w:sz w:val="22"/>
                                <w:szCs w:val="22"/>
                              </w:rPr>
                            </w:pPr>
                          </w:p>
                          <w:p w14:paraId="3534D493" w14:textId="77777777" w:rsidR="00863345" w:rsidRDefault="00863345" w:rsidP="00863345">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4D06819" id="_x0000_t202" coordsize="21600,21600" o:spt="202" path="m,l,21600r21600,l21600,xe">
                <v:stroke joinstyle="miter"/>
                <v:path gradientshapeok="t" o:connecttype="rect"/>
              </v:shapetype>
              <v:shape id="Text Box 2" o:spid="_x0000_s1026" type="#_x0000_t202" style="position:absolute;left:0;text-align:left;margin-left:0;margin-top:13.6pt;width:193.4pt;height:80pt;z-index:2516582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" stroked="f">
                <v:textbox>
                  <w:txbxContent>
                    <w:p w14:paraId="7F27F834" w14:textId="77777777" w:rsidR="00863345" w:rsidRPr="001B442B" w:rsidRDefault="00863345" w:rsidP="00863345">
                      <w:pPr>
                        <w:pStyle w:val="Footer"/>
                        <w:tabs>
                          <w:tab w:val="clear" w:pos="4153"/>
                          <w:tab w:val="clear" w:pos="8306"/>
                        </w:tabs>
                      </w:pPr>
                      <w:r w:rsidRPr="001B442B">
                        <w:t>Steve Freeman CPFA</w:t>
                      </w:r>
                    </w:p>
                    <w:p w14:paraId="3B69D9BA" w14:textId="77777777" w:rsidR="00863345" w:rsidRDefault="00863345" w:rsidP="00863345">
                      <w:pPr>
                        <w:rPr>
                          <w:rFonts w:ascii="Arial" w:hAnsi="Arial"/>
                          <w:sz w:val="22"/>
                          <w:szCs w:val="22"/>
                        </w:rPr>
                      </w:pPr>
                      <w:r w:rsidRPr="001B442B">
                        <w:rPr>
                          <w:rFonts w:ascii="Arial" w:hAnsi="Arial"/>
                          <w:sz w:val="22"/>
                          <w:szCs w:val="22"/>
                        </w:rPr>
                        <w:t>CFO to the Police and Crime Commissioner for Lancashire</w:t>
                      </w:r>
                    </w:p>
                    <w:p w14:paraId="66D291B4" w14:textId="77777777" w:rsidR="00863345" w:rsidRDefault="00863345" w:rsidP="00863345">
                      <w:pPr>
                        <w:rPr>
                          <w:rFonts w:ascii="Arial" w:hAnsi="Arial"/>
                          <w:sz w:val="22"/>
                          <w:szCs w:val="22"/>
                        </w:rPr>
                      </w:pPr>
                    </w:p>
                    <w:p w14:paraId="372C9E20" w14:textId="110EE834" w:rsidR="00863345" w:rsidRPr="001B442B" w:rsidRDefault="00863345" w:rsidP="00863345">
                      <w:pPr>
                        <w:rPr>
                          <w:rFonts w:ascii="Arial" w:hAnsi="Arial"/>
                          <w:sz w:val="22"/>
                          <w:szCs w:val="22"/>
                        </w:rPr>
                      </w:pPr>
                      <w:r>
                        <w:rPr>
                          <w:rFonts w:ascii="Arial" w:hAnsi="Arial"/>
                          <w:sz w:val="22"/>
                          <w:szCs w:val="22"/>
                        </w:rPr>
                        <w:t xml:space="preserve"> </w:t>
                      </w:r>
                      <w:r w:rsidR="00F021DE">
                        <w:rPr>
                          <w:rFonts w:ascii="Arial" w:hAnsi="Arial"/>
                          <w:sz w:val="22"/>
                          <w:szCs w:val="22"/>
                        </w:rPr>
                        <w:t>1</w:t>
                      </w:r>
                      <w:r w:rsidR="00BF2587">
                        <w:rPr>
                          <w:rFonts w:ascii="Arial" w:hAnsi="Arial"/>
                          <w:sz w:val="22"/>
                          <w:szCs w:val="22"/>
                        </w:rPr>
                        <w:t>8</w:t>
                      </w:r>
                      <w:r w:rsidR="00F021DE" w:rsidRPr="00F021DE">
                        <w:rPr>
                          <w:rFonts w:ascii="Arial" w:hAnsi="Arial"/>
                          <w:sz w:val="22"/>
                          <w:szCs w:val="22"/>
                          <w:vertAlign w:val="superscript"/>
                        </w:rPr>
                        <w:t>th</w:t>
                      </w:r>
                      <w:r w:rsidR="00F021DE">
                        <w:rPr>
                          <w:rFonts w:ascii="Arial" w:hAnsi="Arial"/>
                          <w:sz w:val="22"/>
                          <w:szCs w:val="22"/>
                        </w:rPr>
                        <w:t xml:space="preserve"> </w:t>
                      </w:r>
                      <w:r>
                        <w:rPr>
                          <w:rFonts w:ascii="Arial" w:hAnsi="Arial"/>
                          <w:sz w:val="22"/>
                          <w:szCs w:val="22"/>
                        </w:rPr>
                        <w:t>December 2025</w:t>
                      </w:r>
                    </w:p>
                    <w:p w14:paraId="45BB1581" w14:textId="77777777" w:rsidR="00863345" w:rsidRPr="001B442B" w:rsidRDefault="00863345" w:rsidP="00863345">
                      <w:pPr>
                        <w:rPr>
                          <w:rFonts w:ascii="Arial" w:hAnsi="Arial"/>
                          <w:sz w:val="22"/>
                          <w:szCs w:val="22"/>
                        </w:rPr>
                      </w:pPr>
                    </w:p>
                    <w:p w14:paraId="3534D493" w14:textId="77777777" w:rsidR="00863345" w:rsidRDefault="00863345" w:rsidP="00863345">
                      <w:r>
                        <w:t xml:space="preserve"> </w:t>
                      </w:r>
                    </w:p>
                  </w:txbxContent>
                </v:textbox>
                <w10:wrap anchorx="margin"/>
              </v:shape>
            </w:pict>
          </mc:Fallback>
        </mc:AlternateContent>
      </w:r>
    </w:p>
    <w:p w14:paraId="2F2A2707" w14:textId="43E0C4FA" w:rsidR="00863345" w:rsidRDefault="00863345" w:rsidP="00144E7C">
      <w:pPr>
        <w:jc w:val="both"/>
        <w:rPr>
          <w:rFonts w:ascii="Arial" w:hAnsi="Arial" w:cs="Arial"/>
          <w:sz w:val="22"/>
          <w:szCs w:val="22"/>
        </w:rPr>
      </w:pPr>
    </w:p>
    <w:p w14:paraId="1B96E685" w14:textId="176D7E03" w:rsidR="00863345" w:rsidRDefault="00863345" w:rsidP="00144E7C">
      <w:pPr>
        <w:jc w:val="both"/>
        <w:rPr>
          <w:rFonts w:ascii="Arial" w:hAnsi="Arial" w:cs="Arial"/>
          <w:sz w:val="22"/>
          <w:szCs w:val="22"/>
        </w:rPr>
        <w:sectPr w:rsidR="00863345" w:rsidSect="001A29A4">
          <w:headerReference w:type="even" r:id="rId23"/>
          <w:headerReference w:type="default" r:id="rId24"/>
          <w:footerReference w:type="default" r:id="rId25"/>
          <w:headerReference w:type="first" r:id="rId26"/>
          <w:pgSz w:w="11906" w:h="16838" w:code="9"/>
          <w:pgMar w:top="964" w:right="1134" w:bottom="851" w:left="1134" w:header="397" w:footer="567" w:gutter="0"/>
          <w:pgNumType w:start="1"/>
          <w:cols w:space="720"/>
          <w:docGrid w:linePitch="272"/>
        </w:sectPr>
      </w:pPr>
    </w:p>
    <w:bookmarkEnd w:id="3"/>
    <w:p w14:paraId="05BDC3BF" w14:textId="4B08FE8F" w:rsidR="00241D06" w:rsidRPr="00804A7F" w:rsidRDefault="00241D06" w:rsidP="00241D06">
      <w:pPr>
        <w:jc w:val="both"/>
        <w:rPr>
          <w:rFonts w:ascii="Arial" w:hAnsi="Arial"/>
          <w:b/>
          <w:sz w:val="22"/>
          <w:szCs w:val="22"/>
        </w:rPr>
      </w:pPr>
      <w:r w:rsidRPr="00804A7F">
        <w:rPr>
          <w:rFonts w:ascii="Arial" w:hAnsi="Arial"/>
          <w:b/>
          <w:sz w:val="22"/>
          <w:szCs w:val="22"/>
        </w:rPr>
        <w:lastRenderedPageBreak/>
        <w:t xml:space="preserve">STATEMENT OF RESPONSIBILITIES </w:t>
      </w:r>
    </w:p>
    <w:p w14:paraId="5C0B3D1E" w14:textId="77777777" w:rsidR="00241D06" w:rsidRPr="00804A7F" w:rsidRDefault="00241D06" w:rsidP="00241D06">
      <w:pPr>
        <w:pStyle w:val="secheadc"/>
        <w:jc w:val="both"/>
        <w:rPr>
          <w:rFonts w:ascii="Arial" w:hAnsi="Arial" w:cs="Arial"/>
          <w:color w:val="auto"/>
          <w:sz w:val="22"/>
          <w:szCs w:val="22"/>
        </w:rPr>
      </w:pPr>
      <w:r>
        <w:rPr>
          <w:rFonts w:ascii="Arial" w:hAnsi="Arial" w:cs="Arial"/>
          <w:color w:val="auto"/>
          <w:sz w:val="22"/>
          <w:szCs w:val="22"/>
        </w:rPr>
        <w:t>T</w:t>
      </w:r>
      <w:r w:rsidRPr="00804A7F">
        <w:rPr>
          <w:rFonts w:ascii="Arial" w:hAnsi="Arial" w:cs="Arial"/>
          <w:color w:val="auto"/>
          <w:sz w:val="22"/>
          <w:szCs w:val="22"/>
        </w:rPr>
        <w:t>he Police and Crime Commissioner's Responsibilities</w:t>
      </w:r>
    </w:p>
    <w:p w14:paraId="363493B9" w14:textId="77777777" w:rsidR="00241D06" w:rsidRPr="00804A7F" w:rsidRDefault="00241D06" w:rsidP="00241D06">
      <w:pPr>
        <w:pStyle w:val="secbody"/>
        <w:jc w:val="both"/>
        <w:rPr>
          <w:rFonts w:ascii="Arial" w:hAnsi="Arial" w:cs="Arial"/>
          <w:color w:val="auto"/>
          <w:sz w:val="22"/>
          <w:szCs w:val="22"/>
        </w:rPr>
      </w:pPr>
      <w:r w:rsidRPr="00804A7F">
        <w:rPr>
          <w:rFonts w:ascii="Arial" w:hAnsi="Arial" w:cs="Arial"/>
          <w:color w:val="auto"/>
          <w:sz w:val="22"/>
          <w:szCs w:val="22"/>
        </w:rPr>
        <w:t>The Police and Crime Commissioner is required to:</w:t>
      </w:r>
    </w:p>
    <w:p w14:paraId="1A13E24C" w14:textId="77777777" w:rsidR="00241D06" w:rsidRPr="00804A7F" w:rsidRDefault="00241D06" w:rsidP="004E2882">
      <w:pPr>
        <w:pStyle w:val="secbullets"/>
        <w:numPr>
          <w:ilvl w:val="0"/>
          <w:numId w:val="11"/>
        </w:numPr>
        <w:jc w:val="both"/>
        <w:rPr>
          <w:rFonts w:ascii="Arial" w:hAnsi="Arial" w:cs="Arial"/>
          <w:color w:val="auto"/>
          <w:sz w:val="22"/>
          <w:szCs w:val="22"/>
        </w:rPr>
      </w:pPr>
      <w:proofErr w:type="gramStart"/>
      <w:r w:rsidRPr="00804A7F">
        <w:rPr>
          <w:rFonts w:ascii="Arial" w:hAnsi="Arial" w:cs="Arial"/>
          <w:color w:val="auto"/>
          <w:sz w:val="22"/>
          <w:szCs w:val="22"/>
        </w:rPr>
        <w:t>make arrangements</w:t>
      </w:r>
      <w:proofErr w:type="gramEnd"/>
      <w:r w:rsidRPr="00804A7F">
        <w:rPr>
          <w:rFonts w:ascii="Arial" w:hAnsi="Arial" w:cs="Arial"/>
          <w:color w:val="auto"/>
          <w:sz w:val="22"/>
          <w:szCs w:val="22"/>
        </w:rPr>
        <w:t xml:space="preserve"> for the proper administration of the financial affairs of the Office of the Police and Crime Commissioner and to secure that one of its officers has the responsibility for the administration of those affairs. In this instance, that officer is the chief financial officer.</w:t>
      </w:r>
    </w:p>
    <w:p w14:paraId="07DD3908" w14:textId="77777777" w:rsidR="00241D06" w:rsidRPr="00804A7F" w:rsidRDefault="00241D06" w:rsidP="004E2882">
      <w:pPr>
        <w:pStyle w:val="secbullets"/>
        <w:numPr>
          <w:ilvl w:val="0"/>
          <w:numId w:val="11"/>
        </w:numPr>
        <w:jc w:val="both"/>
        <w:rPr>
          <w:rFonts w:ascii="Arial" w:hAnsi="Arial" w:cs="Arial"/>
          <w:color w:val="auto"/>
          <w:sz w:val="22"/>
          <w:szCs w:val="22"/>
        </w:rPr>
      </w:pPr>
      <w:r w:rsidRPr="00804A7F">
        <w:rPr>
          <w:rFonts w:ascii="Arial" w:hAnsi="Arial" w:cs="Arial"/>
          <w:color w:val="auto"/>
          <w:sz w:val="22"/>
          <w:szCs w:val="22"/>
        </w:rPr>
        <w:t>manage its affairs to secure economic, efficient and effective use of resources and safeguard its assets.</w:t>
      </w:r>
    </w:p>
    <w:p w14:paraId="175968A3" w14:textId="275F0C10" w:rsidR="00CD609D" w:rsidRPr="00D140A9" w:rsidRDefault="00241D06" w:rsidP="004E2882">
      <w:pPr>
        <w:pStyle w:val="secbullets"/>
        <w:numPr>
          <w:ilvl w:val="0"/>
          <w:numId w:val="11"/>
        </w:numPr>
        <w:jc w:val="both"/>
        <w:rPr>
          <w:rFonts w:ascii="Arial" w:hAnsi="Arial" w:cs="Arial"/>
          <w:color w:val="auto"/>
          <w:sz w:val="22"/>
          <w:szCs w:val="22"/>
        </w:rPr>
      </w:pPr>
      <w:r w:rsidRPr="00915484">
        <w:rPr>
          <w:rFonts w:ascii="Arial" w:hAnsi="Arial" w:cs="Arial"/>
          <w:color w:val="auto"/>
          <w:sz w:val="22"/>
          <w:szCs w:val="22"/>
        </w:rPr>
        <w:t>approve the Statement of Accounts.</w:t>
      </w:r>
    </w:p>
    <w:p w14:paraId="4F1A2CE1" w14:textId="0AF85EE3" w:rsidR="00E42442" w:rsidRPr="00D140A9" w:rsidRDefault="00204FC1" w:rsidP="00E42442">
      <w:pPr>
        <w:rPr>
          <w:rFonts w:ascii="Bradley Hand ITC" w:hAnsi="Bradley Hand ITC"/>
        </w:rPr>
      </w:pPr>
      <w:r w:rsidRPr="00171C43">
        <w:rPr>
          <w:b/>
          <w:bCs/>
          <w:noProof/>
          <w:sz w:val="24"/>
          <w:szCs w:val="24"/>
        </w:rPr>
        <w:drawing>
          <wp:inline distT="0" distB="0" distL="0" distR="0" wp14:anchorId="755CD459" wp14:editId="054B48C8">
            <wp:extent cx="2040791" cy="814191"/>
            <wp:effectExtent l="0" t="0" r="0" b="0"/>
            <wp:docPr id="1758380676"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80676" name="Picture 1" descr="A close-up of a signature&#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046947" cy="816647"/>
                    </a:xfrm>
                    <a:prstGeom prst="rect">
                      <a:avLst/>
                    </a:prstGeom>
                    <a:noFill/>
                    <a:ln>
                      <a:noFill/>
                    </a:ln>
                  </pic:spPr>
                </pic:pic>
              </a:graphicData>
            </a:graphic>
          </wp:inline>
        </w:drawing>
      </w:r>
    </w:p>
    <w:p w14:paraId="070268C7" w14:textId="6B344344" w:rsidR="00241D06" w:rsidRPr="00D140A9" w:rsidRDefault="00781D86" w:rsidP="00241D06">
      <w:pPr>
        <w:jc w:val="both"/>
        <w:rPr>
          <w:rFonts w:ascii="Arial" w:hAnsi="Arial"/>
          <w:sz w:val="22"/>
          <w:szCs w:val="22"/>
        </w:rPr>
      </w:pPr>
      <w:r w:rsidRPr="00D140A9">
        <w:rPr>
          <w:rFonts w:ascii="Arial" w:hAnsi="Arial"/>
          <w:sz w:val="22"/>
          <w:szCs w:val="22"/>
        </w:rPr>
        <w:t>Clive Grunshaw</w:t>
      </w:r>
    </w:p>
    <w:p w14:paraId="027A4275" w14:textId="2644BB0B" w:rsidR="00241D06" w:rsidRPr="00781D86" w:rsidRDefault="00241D06" w:rsidP="00241D06">
      <w:pPr>
        <w:jc w:val="both"/>
        <w:rPr>
          <w:rFonts w:ascii="Arial" w:hAnsi="Arial"/>
          <w:color w:val="FFFFFF" w:themeColor="background1"/>
          <w:sz w:val="22"/>
          <w:szCs w:val="22"/>
        </w:rPr>
      </w:pPr>
      <w:r w:rsidRPr="00063EA8">
        <w:rPr>
          <w:rFonts w:ascii="Arial" w:hAnsi="Arial"/>
          <w:sz w:val="22"/>
          <w:szCs w:val="22"/>
        </w:rPr>
        <w:t xml:space="preserve">Police and Crime Commissioner </w:t>
      </w:r>
      <w:r w:rsidRPr="00781D86">
        <w:rPr>
          <w:rFonts w:ascii="Arial" w:hAnsi="Arial"/>
          <w:color w:val="FFFFFF" w:themeColor="background1"/>
          <w:sz w:val="22"/>
          <w:szCs w:val="22"/>
        </w:rPr>
        <w:t>for Lancashire</w:t>
      </w:r>
    </w:p>
    <w:p w14:paraId="275443C5" w14:textId="0E56069D" w:rsidR="00241D06" w:rsidRPr="00863345" w:rsidRDefault="00F021DE" w:rsidP="00241D06">
      <w:pPr>
        <w:jc w:val="both"/>
        <w:rPr>
          <w:rFonts w:ascii="Arial" w:hAnsi="Arial"/>
          <w:sz w:val="22"/>
          <w:szCs w:val="22"/>
        </w:rPr>
      </w:pPr>
      <w:r>
        <w:rPr>
          <w:rFonts w:ascii="Arial" w:hAnsi="Arial"/>
          <w:sz w:val="22"/>
          <w:szCs w:val="22"/>
        </w:rPr>
        <w:t>1</w:t>
      </w:r>
      <w:r w:rsidR="00992093">
        <w:rPr>
          <w:rFonts w:ascii="Arial" w:hAnsi="Arial"/>
          <w:sz w:val="22"/>
          <w:szCs w:val="22"/>
        </w:rPr>
        <w:t>8</w:t>
      </w:r>
      <w:r w:rsidRPr="00F021DE">
        <w:rPr>
          <w:rFonts w:ascii="Arial" w:hAnsi="Arial"/>
          <w:sz w:val="22"/>
          <w:szCs w:val="22"/>
          <w:vertAlign w:val="superscript"/>
        </w:rPr>
        <w:t>th</w:t>
      </w:r>
      <w:r>
        <w:rPr>
          <w:rFonts w:ascii="Arial" w:hAnsi="Arial"/>
          <w:sz w:val="22"/>
          <w:szCs w:val="22"/>
        </w:rPr>
        <w:t xml:space="preserve"> </w:t>
      </w:r>
      <w:r w:rsidR="00863345">
        <w:rPr>
          <w:rFonts w:ascii="Arial" w:hAnsi="Arial"/>
          <w:sz w:val="22"/>
          <w:szCs w:val="22"/>
        </w:rPr>
        <w:t>December</w:t>
      </w:r>
      <w:r w:rsidR="00ED48F1" w:rsidRPr="00863345">
        <w:rPr>
          <w:rFonts w:ascii="Arial" w:hAnsi="Arial"/>
          <w:sz w:val="22"/>
          <w:szCs w:val="22"/>
        </w:rPr>
        <w:t xml:space="preserve"> 2025</w:t>
      </w:r>
    </w:p>
    <w:p w14:paraId="52AE70D5" w14:textId="18B7F7FE" w:rsidR="00241D06" w:rsidRPr="00804A7F" w:rsidRDefault="00241D06" w:rsidP="00241D06">
      <w:pPr>
        <w:pStyle w:val="secheadc"/>
        <w:jc w:val="both"/>
        <w:rPr>
          <w:rFonts w:ascii="Arial" w:hAnsi="Arial" w:cs="Arial"/>
          <w:color w:val="auto"/>
          <w:sz w:val="22"/>
          <w:szCs w:val="22"/>
        </w:rPr>
      </w:pPr>
      <w:r>
        <w:rPr>
          <w:rFonts w:ascii="Arial" w:hAnsi="Arial" w:cs="Arial"/>
          <w:color w:val="auto"/>
          <w:sz w:val="22"/>
          <w:szCs w:val="22"/>
        </w:rPr>
        <w:t>T</w:t>
      </w:r>
      <w:r w:rsidRPr="00804A7F">
        <w:rPr>
          <w:rFonts w:ascii="Arial" w:hAnsi="Arial" w:cs="Arial"/>
          <w:color w:val="auto"/>
          <w:sz w:val="22"/>
          <w:szCs w:val="22"/>
        </w:rPr>
        <w:t>he Chief Financial Officer’s Responsibilities</w:t>
      </w:r>
    </w:p>
    <w:p w14:paraId="092B7F1D" w14:textId="09EEEC6E" w:rsidR="00241D06" w:rsidRPr="00804A7F" w:rsidRDefault="00241D06" w:rsidP="00241D06">
      <w:pPr>
        <w:pStyle w:val="secbodyindent01"/>
        <w:jc w:val="both"/>
        <w:rPr>
          <w:rFonts w:ascii="Arial" w:hAnsi="Arial" w:cs="Arial"/>
          <w:color w:val="auto"/>
          <w:sz w:val="22"/>
          <w:szCs w:val="22"/>
        </w:rPr>
      </w:pPr>
      <w:r>
        <w:rPr>
          <w:rFonts w:ascii="Arial" w:hAnsi="Arial" w:cs="Arial"/>
          <w:color w:val="auto"/>
          <w:sz w:val="22"/>
          <w:szCs w:val="22"/>
        </w:rPr>
        <w:t>T</w:t>
      </w:r>
      <w:r w:rsidRPr="00804A7F">
        <w:rPr>
          <w:rFonts w:ascii="Arial" w:hAnsi="Arial" w:cs="Arial"/>
          <w:color w:val="auto"/>
          <w:sz w:val="22"/>
          <w:szCs w:val="22"/>
        </w:rPr>
        <w:t xml:space="preserve">he </w:t>
      </w:r>
      <w:r>
        <w:rPr>
          <w:rFonts w:ascii="Arial" w:hAnsi="Arial" w:cs="Arial"/>
          <w:color w:val="auto"/>
          <w:sz w:val="22"/>
          <w:szCs w:val="22"/>
        </w:rPr>
        <w:t>Police and Crime Commissioner's</w:t>
      </w:r>
      <w:r w:rsidRPr="00804A7F">
        <w:rPr>
          <w:rFonts w:ascii="Arial" w:hAnsi="Arial" w:cs="Arial"/>
          <w:color w:val="auto"/>
          <w:sz w:val="22"/>
          <w:szCs w:val="22"/>
        </w:rPr>
        <w:t xml:space="preserve"> </w:t>
      </w:r>
      <w:r>
        <w:rPr>
          <w:rFonts w:ascii="Arial" w:hAnsi="Arial" w:cs="Arial"/>
          <w:color w:val="auto"/>
          <w:sz w:val="22"/>
          <w:szCs w:val="22"/>
        </w:rPr>
        <w:t>C</w:t>
      </w:r>
      <w:r w:rsidRPr="00804A7F">
        <w:rPr>
          <w:rFonts w:ascii="Arial" w:hAnsi="Arial" w:cs="Arial"/>
          <w:color w:val="auto"/>
          <w:sz w:val="22"/>
          <w:szCs w:val="22"/>
        </w:rPr>
        <w:t xml:space="preserve">hief </w:t>
      </w:r>
      <w:r>
        <w:rPr>
          <w:rFonts w:ascii="Arial" w:hAnsi="Arial" w:cs="Arial"/>
          <w:color w:val="auto"/>
          <w:sz w:val="22"/>
          <w:szCs w:val="22"/>
        </w:rPr>
        <w:t>Fi</w:t>
      </w:r>
      <w:r w:rsidRPr="00804A7F">
        <w:rPr>
          <w:rFonts w:ascii="Arial" w:hAnsi="Arial" w:cs="Arial"/>
          <w:color w:val="auto"/>
          <w:sz w:val="22"/>
          <w:szCs w:val="22"/>
        </w:rPr>
        <w:t xml:space="preserve">nancial </w:t>
      </w:r>
      <w:r>
        <w:rPr>
          <w:rFonts w:ascii="Arial" w:hAnsi="Arial" w:cs="Arial"/>
          <w:color w:val="auto"/>
          <w:sz w:val="22"/>
          <w:szCs w:val="22"/>
        </w:rPr>
        <w:t>O</w:t>
      </w:r>
      <w:r w:rsidRPr="00804A7F">
        <w:rPr>
          <w:rFonts w:ascii="Arial" w:hAnsi="Arial" w:cs="Arial"/>
          <w:color w:val="auto"/>
          <w:sz w:val="22"/>
          <w:szCs w:val="22"/>
        </w:rPr>
        <w:t xml:space="preserve">fficer </w:t>
      </w:r>
      <w:proofErr w:type="gramStart"/>
      <w:r w:rsidRPr="00804A7F">
        <w:rPr>
          <w:rFonts w:ascii="Arial" w:hAnsi="Arial" w:cs="Arial"/>
          <w:color w:val="auto"/>
          <w:sz w:val="22"/>
          <w:szCs w:val="22"/>
        </w:rPr>
        <w:t>is</w:t>
      </w:r>
      <w:proofErr w:type="gramEnd"/>
      <w:r w:rsidRPr="00804A7F">
        <w:rPr>
          <w:rFonts w:ascii="Arial" w:hAnsi="Arial" w:cs="Arial"/>
          <w:color w:val="auto"/>
          <w:sz w:val="22"/>
          <w:szCs w:val="22"/>
        </w:rPr>
        <w:t xml:space="preserve"> responsible for the preparation of the Statement of Accounts </w:t>
      </w:r>
      <w:r>
        <w:rPr>
          <w:rFonts w:ascii="Arial" w:hAnsi="Arial" w:cs="Arial"/>
          <w:color w:val="auto"/>
          <w:sz w:val="22"/>
          <w:szCs w:val="22"/>
        </w:rPr>
        <w:t>of the Police and Crime Commissioner (PCC) and the PCC Group</w:t>
      </w:r>
      <w:r w:rsidRPr="00804A7F">
        <w:rPr>
          <w:rFonts w:ascii="Arial" w:hAnsi="Arial" w:cs="Arial"/>
          <w:color w:val="auto"/>
          <w:sz w:val="22"/>
          <w:szCs w:val="22"/>
        </w:rPr>
        <w:t xml:space="preserve"> in accordance with proper practices as set out in the CIPFA/LASAAC </w:t>
      </w:r>
      <w:r w:rsidRPr="00804A7F">
        <w:rPr>
          <w:rStyle w:val="italic1"/>
          <w:rFonts w:ascii="Arial" w:hAnsi="Arial" w:cs="Arial"/>
          <w:color w:val="auto"/>
          <w:sz w:val="22"/>
          <w:szCs w:val="22"/>
        </w:rPr>
        <w:t>Code of Practice on Local Authority Accounting in the United Kingdom</w:t>
      </w:r>
      <w:r w:rsidRPr="00804A7F">
        <w:rPr>
          <w:rFonts w:ascii="Arial" w:hAnsi="Arial" w:cs="Arial"/>
          <w:color w:val="auto"/>
          <w:sz w:val="22"/>
          <w:szCs w:val="22"/>
        </w:rPr>
        <w:t xml:space="preserve"> (the Code).</w:t>
      </w:r>
    </w:p>
    <w:p w14:paraId="64B825F1" w14:textId="774D82DA" w:rsidR="00241D06" w:rsidRPr="00804A7F" w:rsidRDefault="00241D06" w:rsidP="00241D06">
      <w:pPr>
        <w:pStyle w:val="secbodyindent01"/>
        <w:jc w:val="both"/>
        <w:rPr>
          <w:rFonts w:ascii="Arial" w:hAnsi="Arial" w:cs="Arial"/>
          <w:color w:val="auto"/>
          <w:sz w:val="22"/>
          <w:szCs w:val="22"/>
        </w:rPr>
      </w:pPr>
      <w:r w:rsidRPr="00804A7F">
        <w:rPr>
          <w:rFonts w:ascii="Arial" w:hAnsi="Arial" w:cs="Arial"/>
          <w:color w:val="auto"/>
          <w:sz w:val="22"/>
          <w:szCs w:val="22"/>
        </w:rPr>
        <w:t xml:space="preserve">In preparing this Statement of Accounts, the </w:t>
      </w:r>
      <w:r>
        <w:rPr>
          <w:rFonts w:ascii="Arial" w:hAnsi="Arial" w:cs="Arial"/>
          <w:color w:val="auto"/>
          <w:sz w:val="22"/>
          <w:szCs w:val="22"/>
        </w:rPr>
        <w:t>PCC's CFO</w:t>
      </w:r>
      <w:r w:rsidRPr="00804A7F">
        <w:rPr>
          <w:rFonts w:ascii="Arial" w:hAnsi="Arial" w:cs="Arial"/>
          <w:color w:val="auto"/>
          <w:sz w:val="22"/>
          <w:szCs w:val="22"/>
        </w:rPr>
        <w:t xml:space="preserve"> has:</w:t>
      </w:r>
    </w:p>
    <w:p w14:paraId="0794876A" w14:textId="77777777" w:rsidR="00241D06" w:rsidRPr="00804A7F" w:rsidRDefault="00241D06" w:rsidP="004E2882">
      <w:pPr>
        <w:pStyle w:val="secbullets"/>
        <w:numPr>
          <w:ilvl w:val="0"/>
          <w:numId w:val="12"/>
        </w:numPr>
        <w:jc w:val="both"/>
        <w:rPr>
          <w:rFonts w:ascii="Arial" w:hAnsi="Arial" w:cs="Arial"/>
          <w:color w:val="auto"/>
          <w:sz w:val="22"/>
          <w:szCs w:val="22"/>
        </w:rPr>
      </w:pPr>
      <w:r w:rsidRPr="00804A7F">
        <w:rPr>
          <w:rFonts w:ascii="Arial" w:hAnsi="Arial" w:cs="Arial"/>
          <w:color w:val="auto"/>
          <w:sz w:val="22"/>
          <w:szCs w:val="22"/>
        </w:rPr>
        <w:t>selected suitable accounting policies and then applied them consistently</w:t>
      </w:r>
    </w:p>
    <w:p w14:paraId="681BA075" w14:textId="77777777" w:rsidR="00241D06" w:rsidRPr="00804A7F" w:rsidRDefault="00241D06" w:rsidP="004E2882">
      <w:pPr>
        <w:pStyle w:val="secbullets"/>
        <w:numPr>
          <w:ilvl w:val="0"/>
          <w:numId w:val="12"/>
        </w:numPr>
        <w:jc w:val="both"/>
        <w:rPr>
          <w:rFonts w:ascii="Arial" w:hAnsi="Arial" w:cs="Arial"/>
          <w:color w:val="auto"/>
          <w:sz w:val="22"/>
          <w:szCs w:val="22"/>
        </w:rPr>
      </w:pPr>
      <w:r w:rsidRPr="00804A7F">
        <w:rPr>
          <w:rFonts w:ascii="Arial" w:hAnsi="Arial" w:cs="Arial"/>
          <w:color w:val="auto"/>
          <w:sz w:val="22"/>
          <w:szCs w:val="22"/>
        </w:rPr>
        <w:t>made judgements and estimates that were reasonable and prudent</w:t>
      </w:r>
    </w:p>
    <w:p w14:paraId="06E79621" w14:textId="77777777" w:rsidR="00241D06" w:rsidRPr="00804A7F" w:rsidRDefault="00241D06" w:rsidP="004E2882">
      <w:pPr>
        <w:pStyle w:val="secbullets"/>
        <w:numPr>
          <w:ilvl w:val="0"/>
          <w:numId w:val="12"/>
        </w:numPr>
        <w:jc w:val="both"/>
        <w:rPr>
          <w:rFonts w:ascii="Arial" w:hAnsi="Arial" w:cs="Arial"/>
          <w:color w:val="auto"/>
          <w:sz w:val="22"/>
          <w:szCs w:val="22"/>
        </w:rPr>
      </w:pPr>
      <w:r w:rsidRPr="00804A7F">
        <w:rPr>
          <w:rFonts w:ascii="Arial" w:hAnsi="Arial" w:cs="Arial"/>
          <w:color w:val="auto"/>
          <w:sz w:val="22"/>
          <w:szCs w:val="22"/>
        </w:rPr>
        <w:t>complied with the local authority Code.</w:t>
      </w:r>
    </w:p>
    <w:p w14:paraId="7D77197F" w14:textId="77777777" w:rsidR="00241D06" w:rsidRPr="00804A7F" w:rsidRDefault="00241D06" w:rsidP="00241D06">
      <w:pPr>
        <w:pStyle w:val="secbodyindent01"/>
        <w:jc w:val="both"/>
        <w:rPr>
          <w:rFonts w:ascii="Arial" w:hAnsi="Arial" w:cs="Arial"/>
          <w:color w:val="auto"/>
          <w:sz w:val="22"/>
          <w:szCs w:val="22"/>
        </w:rPr>
      </w:pPr>
      <w:r w:rsidRPr="00804A7F">
        <w:rPr>
          <w:rFonts w:ascii="Arial" w:hAnsi="Arial" w:cs="Arial"/>
          <w:color w:val="auto"/>
          <w:sz w:val="22"/>
          <w:szCs w:val="22"/>
        </w:rPr>
        <w:t xml:space="preserve">The </w:t>
      </w:r>
      <w:r>
        <w:rPr>
          <w:rFonts w:ascii="Arial" w:hAnsi="Arial" w:cs="Arial"/>
          <w:color w:val="auto"/>
          <w:sz w:val="22"/>
          <w:szCs w:val="22"/>
        </w:rPr>
        <w:t>PCC's CFO</w:t>
      </w:r>
      <w:r w:rsidRPr="00804A7F">
        <w:rPr>
          <w:rFonts w:ascii="Arial" w:hAnsi="Arial" w:cs="Arial"/>
          <w:color w:val="auto"/>
          <w:sz w:val="22"/>
          <w:szCs w:val="22"/>
        </w:rPr>
        <w:t xml:space="preserve"> has also:</w:t>
      </w:r>
    </w:p>
    <w:p w14:paraId="5D1A0F1A" w14:textId="77777777" w:rsidR="00241D06" w:rsidRPr="00804A7F" w:rsidRDefault="00241D06" w:rsidP="004E2882">
      <w:pPr>
        <w:pStyle w:val="secbullets"/>
        <w:numPr>
          <w:ilvl w:val="0"/>
          <w:numId w:val="13"/>
        </w:numPr>
        <w:jc w:val="both"/>
        <w:rPr>
          <w:rFonts w:ascii="Arial" w:hAnsi="Arial" w:cs="Arial"/>
          <w:color w:val="auto"/>
          <w:sz w:val="22"/>
          <w:szCs w:val="22"/>
        </w:rPr>
      </w:pPr>
      <w:r w:rsidRPr="00804A7F">
        <w:rPr>
          <w:rFonts w:ascii="Arial" w:hAnsi="Arial" w:cs="Arial"/>
          <w:color w:val="auto"/>
          <w:sz w:val="22"/>
          <w:szCs w:val="22"/>
        </w:rPr>
        <w:t>kept proper accounting records which were up to date</w:t>
      </w:r>
    </w:p>
    <w:p w14:paraId="4BC23CEC" w14:textId="77777777" w:rsidR="00241D06" w:rsidRPr="00915484" w:rsidRDefault="00241D06" w:rsidP="004E2882">
      <w:pPr>
        <w:pStyle w:val="secbullets"/>
        <w:numPr>
          <w:ilvl w:val="0"/>
          <w:numId w:val="13"/>
        </w:numPr>
        <w:jc w:val="both"/>
        <w:rPr>
          <w:rFonts w:ascii="Arial" w:hAnsi="Arial" w:cs="Arial"/>
          <w:color w:val="auto"/>
          <w:sz w:val="22"/>
          <w:szCs w:val="22"/>
        </w:rPr>
      </w:pPr>
      <w:r w:rsidRPr="00915484">
        <w:rPr>
          <w:rFonts w:ascii="Arial" w:hAnsi="Arial" w:cs="Arial"/>
          <w:color w:val="auto"/>
          <w:sz w:val="22"/>
          <w:szCs w:val="22"/>
        </w:rPr>
        <w:t>taken reasonable steps for the prevention and detection of fraud and other irregularities.</w:t>
      </w:r>
    </w:p>
    <w:p w14:paraId="75A819D3" w14:textId="593A456C" w:rsidR="00241D06" w:rsidRDefault="00241D06" w:rsidP="00241D06">
      <w:pPr>
        <w:jc w:val="both"/>
        <w:rPr>
          <w:rFonts w:ascii="Arial" w:hAnsi="Arial"/>
          <w:sz w:val="22"/>
          <w:szCs w:val="22"/>
        </w:rPr>
      </w:pPr>
      <w:r w:rsidRPr="00804A7F">
        <w:rPr>
          <w:rFonts w:ascii="Arial" w:hAnsi="Arial"/>
          <w:sz w:val="22"/>
          <w:szCs w:val="22"/>
        </w:rPr>
        <w:t>I certify that this Statement of Accounts is that upon which the auditor should enter a certificate and an opinion. It presents a true and fair view of the financial position of the Police and Crime Commissioner for Lancashire (PCC) and the PCC Group and their transactions as at 31 March 20</w:t>
      </w:r>
      <w:r>
        <w:rPr>
          <w:rFonts w:ascii="Arial" w:hAnsi="Arial"/>
          <w:sz w:val="22"/>
          <w:szCs w:val="22"/>
        </w:rPr>
        <w:t>2</w:t>
      </w:r>
      <w:r w:rsidR="006B31B5">
        <w:rPr>
          <w:rFonts w:ascii="Arial" w:hAnsi="Arial"/>
          <w:sz w:val="22"/>
          <w:szCs w:val="22"/>
        </w:rPr>
        <w:t>5</w:t>
      </w:r>
      <w:r w:rsidR="00CD609D">
        <w:rPr>
          <w:rFonts w:ascii="Arial" w:hAnsi="Arial"/>
          <w:sz w:val="22"/>
          <w:szCs w:val="22"/>
        </w:rPr>
        <w:t xml:space="preserve"> </w:t>
      </w:r>
      <w:r w:rsidRPr="00804A7F">
        <w:rPr>
          <w:rFonts w:ascii="Arial" w:hAnsi="Arial"/>
          <w:sz w:val="22"/>
          <w:szCs w:val="22"/>
        </w:rPr>
        <w:t>and for the year then ended.</w:t>
      </w:r>
    </w:p>
    <w:p w14:paraId="4CF3A9AA" w14:textId="77777777" w:rsidR="00241D06" w:rsidRDefault="00241D06" w:rsidP="00241D06">
      <w:pPr>
        <w:jc w:val="both"/>
        <w:rPr>
          <w:rFonts w:ascii="Arial" w:hAnsi="Arial"/>
          <w:sz w:val="22"/>
          <w:szCs w:val="22"/>
        </w:rPr>
      </w:pPr>
    </w:p>
    <w:p w14:paraId="3AC0BBE5" w14:textId="126B35A7" w:rsidR="00241D06" w:rsidRDefault="00CA763F" w:rsidP="00241D06">
      <w:pPr>
        <w:jc w:val="both"/>
        <w:rPr>
          <w:rFonts w:ascii="Bradley Hand ITC" w:hAnsi="Bradley Hand ITC"/>
          <w:sz w:val="28"/>
          <w:szCs w:val="28"/>
        </w:rPr>
      </w:pPr>
      <w:bookmarkStart w:id="8" w:name="_Hlk161061228"/>
      <w:r>
        <w:rPr>
          <w:noProof/>
        </w:rPr>
        <w:drawing>
          <wp:anchor distT="0" distB="0" distL="114300" distR="114300" simplePos="0" relativeHeight="251658241" behindDoc="0" locked="0" layoutInCell="1" allowOverlap="1" wp14:anchorId="35F60662" wp14:editId="41D2DD22">
            <wp:simplePos x="0" y="0"/>
            <wp:positionH relativeFrom="column">
              <wp:posOffset>0</wp:posOffset>
            </wp:positionH>
            <wp:positionV relativeFrom="paragraph">
              <wp:posOffset>-635</wp:posOffset>
            </wp:positionV>
            <wp:extent cx="1651000" cy="554990"/>
            <wp:effectExtent l="0" t="0" r="6350" b="0"/>
            <wp:wrapNone/>
            <wp:docPr id="911140417" name="Picture 8" descr="A black line with a pointy m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40417" name="Picture 8" descr="A black line with a pointy mark&#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51000" cy="554990"/>
                    </a:xfrm>
                    <a:prstGeom prst="rect">
                      <a:avLst/>
                    </a:prstGeom>
                    <a:noFill/>
                  </pic:spPr>
                </pic:pic>
              </a:graphicData>
            </a:graphic>
            <wp14:sizeRelH relativeFrom="page">
              <wp14:pctWidth>0</wp14:pctWidth>
            </wp14:sizeRelH>
            <wp14:sizeRelV relativeFrom="page">
              <wp14:pctHeight>0</wp14:pctHeight>
            </wp14:sizeRelV>
          </wp:anchor>
        </w:drawing>
      </w:r>
    </w:p>
    <w:p w14:paraId="1799455C" w14:textId="77777777" w:rsidR="00CA763F" w:rsidRDefault="00CA763F" w:rsidP="00241D06">
      <w:pPr>
        <w:jc w:val="both"/>
        <w:rPr>
          <w:rFonts w:ascii="Bradley Hand ITC" w:hAnsi="Bradley Hand ITC"/>
          <w:sz w:val="28"/>
          <w:szCs w:val="28"/>
        </w:rPr>
      </w:pPr>
    </w:p>
    <w:p w14:paraId="0FC01CBA" w14:textId="77777777" w:rsidR="00CA763F" w:rsidRPr="006E4D49" w:rsidRDefault="00CA763F" w:rsidP="00241D06">
      <w:pPr>
        <w:jc w:val="both"/>
        <w:rPr>
          <w:rFonts w:ascii="Bradley Hand ITC" w:hAnsi="Bradley Hand ITC"/>
          <w:sz w:val="28"/>
          <w:szCs w:val="28"/>
        </w:rPr>
      </w:pPr>
    </w:p>
    <w:bookmarkEnd w:id="8"/>
    <w:p w14:paraId="6AAFA531" w14:textId="77777777" w:rsidR="00241D06" w:rsidRPr="006E4D49" w:rsidRDefault="00241D06" w:rsidP="00241D06">
      <w:pPr>
        <w:jc w:val="both"/>
        <w:rPr>
          <w:rFonts w:ascii="Arial" w:hAnsi="Arial"/>
          <w:sz w:val="22"/>
          <w:szCs w:val="22"/>
        </w:rPr>
      </w:pPr>
      <w:r w:rsidRPr="006E4D49">
        <w:rPr>
          <w:rFonts w:ascii="Arial" w:hAnsi="Arial"/>
          <w:sz w:val="22"/>
          <w:szCs w:val="22"/>
        </w:rPr>
        <w:t>STEVE FREEMAN CPFA</w:t>
      </w:r>
    </w:p>
    <w:p w14:paraId="2C4FEBAC" w14:textId="77777777" w:rsidR="00ED48F1" w:rsidRDefault="00241D06" w:rsidP="00144E7C">
      <w:pPr>
        <w:jc w:val="both"/>
        <w:rPr>
          <w:rFonts w:ascii="Arial" w:hAnsi="Arial"/>
          <w:sz w:val="22"/>
          <w:szCs w:val="22"/>
        </w:rPr>
      </w:pPr>
      <w:r w:rsidRPr="006E4D49">
        <w:rPr>
          <w:rFonts w:ascii="Arial" w:hAnsi="Arial"/>
          <w:sz w:val="22"/>
          <w:szCs w:val="22"/>
        </w:rPr>
        <w:t>CFO to the Police and Crime Commissioner for Lancashire</w:t>
      </w:r>
    </w:p>
    <w:p w14:paraId="52CCB415" w14:textId="77777777" w:rsidR="00ED48F1" w:rsidRDefault="00ED48F1" w:rsidP="00144E7C">
      <w:pPr>
        <w:jc w:val="both"/>
        <w:rPr>
          <w:rFonts w:ascii="Arial" w:hAnsi="Arial"/>
          <w:sz w:val="22"/>
          <w:szCs w:val="22"/>
        </w:rPr>
      </w:pPr>
    </w:p>
    <w:p w14:paraId="347EDC56" w14:textId="569C5182" w:rsidR="00ED48F1" w:rsidRPr="00ED48F1" w:rsidRDefault="00F021DE" w:rsidP="00144E7C">
      <w:pPr>
        <w:jc w:val="both"/>
        <w:rPr>
          <w:rFonts w:ascii="Arial" w:hAnsi="Arial"/>
          <w:sz w:val="22"/>
          <w:szCs w:val="22"/>
        </w:rPr>
        <w:sectPr w:rsidR="00ED48F1" w:rsidRPr="00ED48F1" w:rsidSect="00784E9A">
          <w:headerReference w:type="even" r:id="rId28"/>
          <w:headerReference w:type="default" r:id="rId29"/>
          <w:headerReference w:type="first" r:id="rId30"/>
          <w:pgSz w:w="11906" w:h="16838" w:code="9"/>
          <w:pgMar w:top="964" w:right="1134" w:bottom="851" w:left="1134" w:header="397" w:footer="567" w:gutter="0"/>
          <w:cols w:space="720"/>
          <w:docGrid w:linePitch="272"/>
        </w:sectPr>
      </w:pPr>
      <w:r>
        <w:rPr>
          <w:rFonts w:ascii="Arial" w:hAnsi="Arial"/>
          <w:sz w:val="22"/>
          <w:szCs w:val="22"/>
        </w:rPr>
        <w:t>1</w:t>
      </w:r>
      <w:r w:rsidR="00992093">
        <w:rPr>
          <w:rFonts w:ascii="Arial" w:hAnsi="Arial"/>
          <w:sz w:val="22"/>
          <w:szCs w:val="22"/>
        </w:rPr>
        <w:t>8</w:t>
      </w:r>
      <w:r w:rsidRPr="00F021DE">
        <w:rPr>
          <w:rFonts w:ascii="Arial" w:hAnsi="Arial"/>
          <w:sz w:val="22"/>
          <w:szCs w:val="22"/>
          <w:vertAlign w:val="superscript"/>
        </w:rPr>
        <w:t>th</w:t>
      </w:r>
      <w:r>
        <w:rPr>
          <w:rFonts w:ascii="Arial" w:hAnsi="Arial"/>
          <w:sz w:val="22"/>
          <w:szCs w:val="22"/>
        </w:rPr>
        <w:t xml:space="preserve"> </w:t>
      </w:r>
      <w:r w:rsidR="00863345">
        <w:rPr>
          <w:rFonts w:ascii="Arial" w:hAnsi="Arial"/>
          <w:sz w:val="22"/>
          <w:szCs w:val="22"/>
        </w:rPr>
        <w:t>December</w:t>
      </w:r>
      <w:r w:rsidR="00ED48F1">
        <w:rPr>
          <w:rFonts w:ascii="Arial" w:hAnsi="Arial"/>
          <w:sz w:val="22"/>
          <w:szCs w:val="22"/>
        </w:rPr>
        <w:t xml:space="preserve"> 2025</w:t>
      </w:r>
    </w:p>
    <w:p w14:paraId="383FE4EF" w14:textId="24DD7A2F" w:rsidR="003B74DA" w:rsidRDefault="003B74DA" w:rsidP="003B74DA">
      <w:pPr>
        <w:pStyle w:val="Bodyindent"/>
        <w:spacing w:before="0" w:line="240" w:lineRule="auto"/>
        <w:ind w:left="0"/>
        <w:jc w:val="both"/>
        <w:rPr>
          <w:rFonts w:ascii="Arial" w:hAnsi="Arial"/>
          <w:b/>
          <w:sz w:val="28"/>
        </w:rPr>
      </w:pPr>
      <w:r>
        <w:rPr>
          <w:rFonts w:ascii="Arial" w:hAnsi="Arial"/>
          <w:b/>
          <w:sz w:val="28"/>
        </w:rPr>
        <w:lastRenderedPageBreak/>
        <w:t>PCC GROUP COMPREHENSIVE INCOME AND EXPENDITURE STATEMENT</w:t>
      </w:r>
    </w:p>
    <w:p w14:paraId="063E674A" w14:textId="77777777" w:rsidR="003B74DA" w:rsidRPr="0066250F" w:rsidRDefault="003B74DA" w:rsidP="00E14BDD">
      <w:pPr>
        <w:rPr>
          <w:rFonts w:ascii="Arial" w:hAnsi="Arial"/>
          <w:b/>
          <w:sz w:val="12"/>
          <w:szCs w:val="6"/>
        </w:rPr>
      </w:pPr>
    </w:p>
    <w:p w14:paraId="230D39C8" w14:textId="6D5467B3" w:rsidR="003B74DA" w:rsidRPr="006E7B68" w:rsidRDefault="003B74DA" w:rsidP="003B74DA">
      <w:pPr>
        <w:jc w:val="both"/>
        <w:rPr>
          <w:rFonts w:ascii="Arial" w:hAnsi="Arial"/>
          <w:sz w:val="22"/>
          <w:szCs w:val="22"/>
        </w:rPr>
      </w:pPr>
      <w:r>
        <w:rPr>
          <w:rFonts w:ascii="Arial" w:hAnsi="Arial"/>
          <w:sz w:val="22"/>
          <w:szCs w:val="22"/>
        </w:rPr>
        <w:t>This statement shows the accounting cost in the year of providing services for the Group in accordance with generally accepted accounting practices, rather than the amount to be funded from taxation. Authorities raise taxation to cover expenditure in accordance with regulations: this may be different from the accounting cost. The taxation position is shown in the movement in reserves statement</w:t>
      </w:r>
    </w:p>
    <w:p w14:paraId="491222DE" w14:textId="5582654C" w:rsidR="00207BD2" w:rsidRPr="0066250F" w:rsidRDefault="00207BD2" w:rsidP="003B74DA">
      <w:pPr>
        <w:rPr>
          <w:sz w:val="8"/>
          <w:szCs w:val="8"/>
        </w:rPr>
      </w:pPr>
    </w:p>
    <w:tbl>
      <w:tblPr>
        <w:tblW w:w="9618" w:type="dxa"/>
        <w:tblLayout w:type="fixed"/>
        <w:tblLook w:val="04A0" w:firstRow="1" w:lastRow="0" w:firstColumn="1" w:lastColumn="0" w:noHBand="0" w:noVBand="1"/>
      </w:tblPr>
      <w:tblGrid>
        <w:gridCol w:w="1124"/>
        <w:gridCol w:w="1276"/>
        <w:gridCol w:w="1276"/>
        <w:gridCol w:w="2551"/>
        <w:gridCol w:w="1124"/>
        <w:gridCol w:w="1003"/>
        <w:gridCol w:w="1264"/>
      </w:tblGrid>
      <w:tr w:rsidR="00393A9E" w:rsidRPr="00867925" w14:paraId="294F57AC" w14:textId="77777777" w:rsidTr="005E2F77">
        <w:trPr>
          <w:trHeight w:val="86"/>
        </w:trPr>
        <w:tc>
          <w:tcPr>
            <w:tcW w:w="3676" w:type="dxa"/>
            <w:gridSpan w:val="3"/>
            <w:tcBorders>
              <w:top w:val="single" w:sz="8" w:space="0" w:color="auto"/>
              <w:left w:val="single" w:sz="8" w:space="0" w:color="auto"/>
              <w:bottom w:val="nil"/>
              <w:right w:val="nil"/>
            </w:tcBorders>
            <w:vAlign w:val="center"/>
            <w:hideMark/>
          </w:tcPr>
          <w:p w14:paraId="5A04FEF2" w14:textId="5D5827E8" w:rsidR="00867925" w:rsidRPr="00867925" w:rsidRDefault="00C37E7F" w:rsidP="00867925">
            <w:pPr>
              <w:jc w:val="center"/>
              <w:rPr>
                <w:rFonts w:ascii="Arial" w:hAnsi="Arial" w:cs="Arial"/>
                <w:b/>
                <w:bCs/>
                <w:color w:val="000000"/>
              </w:rPr>
            </w:pPr>
            <w:r>
              <w:rPr>
                <w:rFonts w:ascii="Arial" w:hAnsi="Arial" w:cs="Arial"/>
                <w:b/>
                <w:bCs/>
                <w:color w:val="000000"/>
              </w:rPr>
              <w:t>2023/24</w:t>
            </w:r>
            <w:r w:rsidR="00171D86">
              <w:rPr>
                <w:rFonts w:ascii="Arial" w:hAnsi="Arial" w:cs="Arial"/>
                <w:b/>
                <w:bCs/>
                <w:color w:val="000000"/>
              </w:rPr>
              <w:t xml:space="preserve"> (restated)</w:t>
            </w:r>
          </w:p>
        </w:tc>
        <w:tc>
          <w:tcPr>
            <w:tcW w:w="2551" w:type="dxa"/>
            <w:tcBorders>
              <w:top w:val="single" w:sz="8" w:space="0" w:color="auto"/>
              <w:left w:val="nil"/>
              <w:bottom w:val="nil"/>
              <w:right w:val="nil"/>
            </w:tcBorders>
            <w:shd w:val="clear" w:color="000000" w:fill="D9D9D9"/>
            <w:vAlign w:val="center"/>
            <w:hideMark/>
          </w:tcPr>
          <w:p w14:paraId="0CB57CEF"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 </w:t>
            </w:r>
          </w:p>
        </w:tc>
        <w:tc>
          <w:tcPr>
            <w:tcW w:w="3391" w:type="dxa"/>
            <w:gridSpan w:val="3"/>
            <w:tcBorders>
              <w:top w:val="single" w:sz="8" w:space="0" w:color="auto"/>
              <w:left w:val="nil"/>
              <w:bottom w:val="nil"/>
              <w:right w:val="single" w:sz="8" w:space="0" w:color="000000"/>
            </w:tcBorders>
            <w:shd w:val="clear" w:color="000000" w:fill="D9D9D9"/>
            <w:vAlign w:val="center"/>
            <w:hideMark/>
          </w:tcPr>
          <w:p w14:paraId="29868955" w14:textId="725583D8" w:rsidR="00867925" w:rsidRPr="00867925" w:rsidRDefault="00C37E7F" w:rsidP="00867925">
            <w:pPr>
              <w:jc w:val="center"/>
              <w:rPr>
                <w:rFonts w:ascii="Arial" w:hAnsi="Arial" w:cs="Arial"/>
                <w:b/>
                <w:bCs/>
                <w:color w:val="000000"/>
              </w:rPr>
            </w:pPr>
            <w:r>
              <w:rPr>
                <w:rFonts w:ascii="Arial" w:hAnsi="Arial" w:cs="Arial"/>
                <w:b/>
                <w:bCs/>
                <w:color w:val="000000"/>
              </w:rPr>
              <w:t>2024/25</w:t>
            </w:r>
          </w:p>
        </w:tc>
      </w:tr>
      <w:tr w:rsidR="00681F6E" w:rsidRPr="00867925" w14:paraId="65B63A35" w14:textId="77777777" w:rsidTr="005E2F77">
        <w:trPr>
          <w:trHeight w:val="139"/>
        </w:trPr>
        <w:tc>
          <w:tcPr>
            <w:tcW w:w="1124" w:type="dxa"/>
            <w:tcBorders>
              <w:top w:val="nil"/>
              <w:left w:val="single" w:sz="8" w:space="0" w:color="auto"/>
              <w:bottom w:val="nil"/>
              <w:right w:val="nil"/>
            </w:tcBorders>
            <w:vAlign w:val="center"/>
            <w:hideMark/>
          </w:tcPr>
          <w:p w14:paraId="63E33A7F" w14:textId="77777777" w:rsidR="00867925" w:rsidRPr="00867925" w:rsidRDefault="00867925" w:rsidP="00867925">
            <w:pPr>
              <w:jc w:val="center"/>
              <w:rPr>
                <w:rFonts w:ascii="Arial" w:hAnsi="Arial" w:cs="Arial"/>
                <w:b/>
                <w:bCs/>
                <w:color w:val="000000"/>
                <w:sz w:val="18"/>
                <w:szCs w:val="18"/>
              </w:rPr>
            </w:pPr>
            <w:r w:rsidRPr="00867925">
              <w:rPr>
                <w:rFonts w:ascii="Arial" w:hAnsi="Arial" w:cs="Arial"/>
                <w:b/>
                <w:bCs/>
                <w:color w:val="000000"/>
                <w:sz w:val="18"/>
                <w:szCs w:val="18"/>
              </w:rPr>
              <w:t>Gross Exp</w:t>
            </w:r>
          </w:p>
        </w:tc>
        <w:tc>
          <w:tcPr>
            <w:tcW w:w="1276" w:type="dxa"/>
            <w:tcBorders>
              <w:top w:val="nil"/>
              <w:left w:val="nil"/>
              <w:bottom w:val="nil"/>
              <w:right w:val="nil"/>
            </w:tcBorders>
            <w:vAlign w:val="center"/>
            <w:hideMark/>
          </w:tcPr>
          <w:p w14:paraId="1F481240" w14:textId="77777777" w:rsidR="00867925" w:rsidRPr="00867925" w:rsidRDefault="00867925" w:rsidP="00867925">
            <w:pPr>
              <w:jc w:val="center"/>
              <w:rPr>
                <w:rFonts w:ascii="Arial" w:hAnsi="Arial" w:cs="Arial"/>
                <w:b/>
                <w:bCs/>
                <w:color w:val="000000"/>
                <w:sz w:val="18"/>
                <w:szCs w:val="18"/>
              </w:rPr>
            </w:pPr>
            <w:r w:rsidRPr="00867925">
              <w:rPr>
                <w:rFonts w:ascii="Arial" w:hAnsi="Arial" w:cs="Arial"/>
                <w:b/>
                <w:bCs/>
                <w:color w:val="000000"/>
                <w:sz w:val="18"/>
                <w:szCs w:val="18"/>
              </w:rPr>
              <w:t>Gross Inc</w:t>
            </w:r>
          </w:p>
        </w:tc>
        <w:tc>
          <w:tcPr>
            <w:tcW w:w="1276" w:type="dxa"/>
            <w:tcBorders>
              <w:top w:val="nil"/>
              <w:left w:val="nil"/>
              <w:bottom w:val="nil"/>
              <w:right w:val="nil"/>
            </w:tcBorders>
            <w:vAlign w:val="center"/>
            <w:hideMark/>
          </w:tcPr>
          <w:p w14:paraId="2AF0DB3F" w14:textId="77777777" w:rsidR="00867925" w:rsidRPr="00867925" w:rsidRDefault="00867925" w:rsidP="00867925">
            <w:pPr>
              <w:jc w:val="center"/>
              <w:rPr>
                <w:rFonts w:ascii="Arial" w:hAnsi="Arial" w:cs="Arial"/>
                <w:b/>
                <w:bCs/>
                <w:color w:val="000000"/>
                <w:sz w:val="18"/>
                <w:szCs w:val="18"/>
              </w:rPr>
            </w:pPr>
            <w:r w:rsidRPr="00867925">
              <w:rPr>
                <w:rFonts w:ascii="Arial" w:hAnsi="Arial" w:cs="Arial"/>
                <w:b/>
                <w:bCs/>
                <w:color w:val="000000"/>
                <w:sz w:val="18"/>
                <w:szCs w:val="18"/>
              </w:rPr>
              <w:t>Net Exp</w:t>
            </w:r>
          </w:p>
        </w:tc>
        <w:tc>
          <w:tcPr>
            <w:tcW w:w="2551" w:type="dxa"/>
            <w:tcBorders>
              <w:top w:val="nil"/>
              <w:left w:val="nil"/>
              <w:bottom w:val="nil"/>
              <w:right w:val="nil"/>
            </w:tcBorders>
            <w:shd w:val="clear" w:color="000000" w:fill="D9D9D9"/>
            <w:vAlign w:val="center"/>
            <w:hideMark/>
          </w:tcPr>
          <w:p w14:paraId="7517C9FD" w14:textId="77777777" w:rsidR="00867925" w:rsidRPr="00867925" w:rsidRDefault="00867925" w:rsidP="00867925">
            <w:pPr>
              <w:jc w:val="center"/>
              <w:rPr>
                <w:rFonts w:ascii="Arial" w:hAnsi="Arial" w:cs="Arial"/>
                <w:b/>
                <w:bCs/>
                <w:color w:val="000000"/>
                <w:sz w:val="18"/>
                <w:szCs w:val="18"/>
              </w:rPr>
            </w:pPr>
            <w:r w:rsidRPr="00867925">
              <w:rPr>
                <w:rFonts w:ascii="Arial" w:hAnsi="Arial" w:cs="Arial"/>
                <w:b/>
                <w:bCs/>
                <w:color w:val="000000"/>
                <w:sz w:val="18"/>
                <w:szCs w:val="18"/>
              </w:rPr>
              <w:t> </w:t>
            </w:r>
          </w:p>
        </w:tc>
        <w:tc>
          <w:tcPr>
            <w:tcW w:w="1124" w:type="dxa"/>
            <w:tcBorders>
              <w:top w:val="nil"/>
              <w:left w:val="nil"/>
              <w:bottom w:val="nil"/>
              <w:right w:val="nil"/>
            </w:tcBorders>
            <w:shd w:val="clear" w:color="000000" w:fill="D9D9D9"/>
            <w:vAlign w:val="center"/>
            <w:hideMark/>
          </w:tcPr>
          <w:p w14:paraId="2CACE167" w14:textId="77777777" w:rsidR="00867925" w:rsidRPr="00867925" w:rsidRDefault="00867925" w:rsidP="00867925">
            <w:pPr>
              <w:jc w:val="center"/>
              <w:rPr>
                <w:rFonts w:ascii="Arial" w:hAnsi="Arial" w:cs="Arial"/>
                <w:b/>
                <w:bCs/>
                <w:color w:val="000000"/>
                <w:sz w:val="18"/>
                <w:szCs w:val="18"/>
              </w:rPr>
            </w:pPr>
            <w:r w:rsidRPr="00867925">
              <w:rPr>
                <w:rFonts w:ascii="Arial" w:hAnsi="Arial" w:cs="Arial"/>
                <w:b/>
                <w:bCs/>
                <w:color w:val="000000"/>
                <w:sz w:val="18"/>
                <w:szCs w:val="18"/>
              </w:rPr>
              <w:t>Gross Exp</w:t>
            </w:r>
          </w:p>
        </w:tc>
        <w:tc>
          <w:tcPr>
            <w:tcW w:w="1003" w:type="dxa"/>
            <w:tcBorders>
              <w:top w:val="nil"/>
              <w:left w:val="nil"/>
              <w:bottom w:val="nil"/>
              <w:right w:val="nil"/>
            </w:tcBorders>
            <w:shd w:val="clear" w:color="000000" w:fill="D9D9D9"/>
            <w:vAlign w:val="center"/>
            <w:hideMark/>
          </w:tcPr>
          <w:p w14:paraId="7F4FF4DF" w14:textId="77777777" w:rsidR="00867925" w:rsidRPr="00867925" w:rsidRDefault="00867925" w:rsidP="00867925">
            <w:pPr>
              <w:jc w:val="center"/>
              <w:rPr>
                <w:rFonts w:ascii="Arial" w:hAnsi="Arial" w:cs="Arial"/>
                <w:b/>
                <w:bCs/>
                <w:color w:val="000000"/>
                <w:sz w:val="18"/>
                <w:szCs w:val="18"/>
              </w:rPr>
            </w:pPr>
            <w:r w:rsidRPr="00867925">
              <w:rPr>
                <w:rFonts w:ascii="Arial" w:hAnsi="Arial" w:cs="Arial"/>
                <w:b/>
                <w:bCs/>
                <w:color w:val="000000"/>
                <w:sz w:val="18"/>
                <w:szCs w:val="18"/>
              </w:rPr>
              <w:t>Gross Inc</w:t>
            </w:r>
          </w:p>
        </w:tc>
        <w:tc>
          <w:tcPr>
            <w:tcW w:w="1264" w:type="dxa"/>
            <w:tcBorders>
              <w:top w:val="nil"/>
              <w:left w:val="nil"/>
              <w:bottom w:val="nil"/>
              <w:right w:val="single" w:sz="8" w:space="0" w:color="auto"/>
            </w:tcBorders>
            <w:shd w:val="clear" w:color="000000" w:fill="D9D9D9"/>
            <w:vAlign w:val="center"/>
            <w:hideMark/>
          </w:tcPr>
          <w:p w14:paraId="397201A7" w14:textId="77777777" w:rsidR="00867925" w:rsidRPr="00867925" w:rsidRDefault="00867925" w:rsidP="00867925">
            <w:pPr>
              <w:jc w:val="center"/>
              <w:rPr>
                <w:rFonts w:ascii="Arial" w:hAnsi="Arial" w:cs="Arial"/>
                <w:b/>
                <w:bCs/>
                <w:color w:val="000000"/>
                <w:sz w:val="18"/>
                <w:szCs w:val="18"/>
              </w:rPr>
            </w:pPr>
            <w:r w:rsidRPr="00867925">
              <w:rPr>
                <w:rFonts w:ascii="Arial" w:hAnsi="Arial" w:cs="Arial"/>
                <w:b/>
                <w:bCs/>
                <w:color w:val="000000"/>
                <w:sz w:val="18"/>
                <w:szCs w:val="18"/>
              </w:rPr>
              <w:t>Net Exp</w:t>
            </w:r>
          </w:p>
        </w:tc>
      </w:tr>
      <w:tr w:rsidR="00681F6E" w:rsidRPr="00867925" w14:paraId="0B5A5E2D" w14:textId="77777777" w:rsidTr="005E2F77">
        <w:trPr>
          <w:trHeight w:val="86"/>
        </w:trPr>
        <w:tc>
          <w:tcPr>
            <w:tcW w:w="1124" w:type="dxa"/>
            <w:tcBorders>
              <w:top w:val="nil"/>
              <w:left w:val="single" w:sz="8" w:space="0" w:color="auto"/>
              <w:bottom w:val="nil"/>
              <w:right w:val="nil"/>
            </w:tcBorders>
            <w:vAlign w:val="center"/>
            <w:hideMark/>
          </w:tcPr>
          <w:p w14:paraId="1AE3FB97"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£000</w:t>
            </w:r>
          </w:p>
        </w:tc>
        <w:tc>
          <w:tcPr>
            <w:tcW w:w="1276" w:type="dxa"/>
            <w:tcBorders>
              <w:top w:val="nil"/>
              <w:left w:val="nil"/>
              <w:bottom w:val="nil"/>
              <w:right w:val="nil"/>
            </w:tcBorders>
            <w:vAlign w:val="center"/>
            <w:hideMark/>
          </w:tcPr>
          <w:p w14:paraId="37379EC1"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£000</w:t>
            </w:r>
          </w:p>
        </w:tc>
        <w:tc>
          <w:tcPr>
            <w:tcW w:w="1276" w:type="dxa"/>
            <w:tcBorders>
              <w:top w:val="nil"/>
              <w:left w:val="nil"/>
              <w:bottom w:val="nil"/>
              <w:right w:val="nil"/>
            </w:tcBorders>
            <w:vAlign w:val="center"/>
            <w:hideMark/>
          </w:tcPr>
          <w:p w14:paraId="6BD23637"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£000</w:t>
            </w:r>
          </w:p>
        </w:tc>
        <w:tc>
          <w:tcPr>
            <w:tcW w:w="2551" w:type="dxa"/>
            <w:tcBorders>
              <w:top w:val="nil"/>
              <w:left w:val="nil"/>
              <w:bottom w:val="nil"/>
              <w:right w:val="nil"/>
            </w:tcBorders>
            <w:shd w:val="clear" w:color="000000" w:fill="D9D9D9"/>
            <w:vAlign w:val="center"/>
            <w:hideMark/>
          </w:tcPr>
          <w:p w14:paraId="7A76CF97"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 </w:t>
            </w:r>
          </w:p>
        </w:tc>
        <w:tc>
          <w:tcPr>
            <w:tcW w:w="1124" w:type="dxa"/>
            <w:tcBorders>
              <w:top w:val="nil"/>
              <w:left w:val="nil"/>
              <w:bottom w:val="nil"/>
              <w:right w:val="nil"/>
            </w:tcBorders>
            <w:shd w:val="clear" w:color="000000" w:fill="D9D9D9"/>
            <w:vAlign w:val="center"/>
            <w:hideMark/>
          </w:tcPr>
          <w:p w14:paraId="3B06DE8C"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£000</w:t>
            </w:r>
          </w:p>
        </w:tc>
        <w:tc>
          <w:tcPr>
            <w:tcW w:w="1003" w:type="dxa"/>
            <w:tcBorders>
              <w:top w:val="nil"/>
              <w:left w:val="nil"/>
              <w:bottom w:val="nil"/>
              <w:right w:val="nil"/>
            </w:tcBorders>
            <w:shd w:val="clear" w:color="000000" w:fill="D9D9D9"/>
            <w:vAlign w:val="center"/>
            <w:hideMark/>
          </w:tcPr>
          <w:p w14:paraId="11948318"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£000</w:t>
            </w:r>
          </w:p>
        </w:tc>
        <w:tc>
          <w:tcPr>
            <w:tcW w:w="1264" w:type="dxa"/>
            <w:tcBorders>
              <w:top w:val="nil"/>
              <w:left w:val="nil"/>
              <w:bottom w:val="nil"/>
              <w:right w:val="single" w:sz="8" w:space="0" w:color="auto"/>
            </w:tcBorders>
            <w:shd w:val="clear" w:color="000000" w:fill="D9D9D9"/>
            <w:vAlign w:val="center"/>
            <w:hideMark/>
          </w:tcPr>
          <w:p w14:paraId="0975E838"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£000</w:t>
            </w:r>
          </w:p>
        </w:tc>
      </w:tr>
      <w:tr w:rsidR="00681F6E" w:rsidRPr="00867925" w14:paraId="78C357CF" w14:textId="77777777" w:rsidTr="005E2F77">
        <w:trPr>
          <w:trHeight w:val="86"/>
        </w:trPr>
        <w:tc>
          <w:tcPr>
            <w:tcW w:w="1124" w:type="dxa"/>
            <w:tcBorders>
              <w:top w:val="nil"/>
              <w:left w:val="single" w:sz="8" w:space="0" w:color="auto"/>
              <w:bottom w:val="nil"/>
              <w:right w:val="nil"/>
            </w:tcBorders>
            <w:vAlign w:val="center"/>
            <w:hideMark/>
          </w:tcPr>
          <w:p w14:paraId="24DB8FCF" w14:textId="77777777" w:rsidR="00867925" w:rsidRPr="00867925" w:rsidRDefault="00867925" w:rsidP="00867925">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1628B92A" w14:textId="77777777" w:rsidR="00867925" w:rsidRPr="00867925" w:rsidRDefault="00867925" w:rsidP="00867925">
            <w:pPr>
              <w:jc w:val="right"/>
              <w:rPr>
                <w:rFonts w:ascii="Arial" w:hAnsi="Arial" w:cs="Arial"/>
                <w:color w:val="000000"/>
              </w:rPr>
            </w:pPr>
          </w:p>
        </w:tc>
        <w:tc>
          <w:tcPr>
            <w:tcW w:w="1276" w:type="dxa"/>
            <w:tcBorders>
              <w:top w:val="nil"/>
              <w:left w:val="nil"/>
              <w:bottom w:val="nil"/>
              <w:right w:val="nil"/>
            </w:tcBorders>
            <w:vAlign w:val="center"/>
            <w:hideMark/>
          </w:tcPr>
          <w:p w14:paraId="3354463E" w14:textId="77777777" w:rsidR="00867925" w:rsidRPr="00867925" w:rsidRDefault="00867925" w:rsidP="00867925">
            <w:pPr>
              <w:jc w:val="right"/>
            </w:pPr>
          </w:p>
        </w:tc>
        <w:tc>
          <w:tcPr>
            <w:tcW w:w="2551" w:type="dxa"/>
            <w:tcBorders>
              <w:top w:val="nil"/>
              <w:left w:val="nil"/>
              <w:bottom w:val="nil"/>
              <w:right w:val="nil"/>
            </w:tcBorders>
            <w:shd w:val="clear" w:color="000000" w:fill="D9D9D9"/>
            <w:vAlign w:val="center"/>
            <w:hideMark/>
          </w:tcPr>
          <w:p w14:paraId="43178506" w14:textId="77777777" w:rsidR="00867925" w:rsidRPr="00867925" w:rsidRDefault="00867925" w:rsidP="00867925">
            <w:pPr>
              <w:rPr>
                <w:rFonts w:ascii="Arial" w:hAnsi="Arial" w:cs="Arial"/>
                <w:b/>
                <w:bCs/>
                <w:color w:val="000000"/>
              </w:rPr>
            </w:pPr>
            <w:r w:rsidRPr="00867925">
              <w:rPr>
                <w:rFonts w:ascii="Arial" w:hAnsi="Arial" w:cs="Arial"/>
                <w:b/>
                <w:bCs/>
                <w:color w:val="000000"/>
              </w:rPr>
              <w:t>Chief Constable:</w:t>
            </w:r>
          </w:p>
        </w:tc>
        <w:tc>
          <w:tcPr>
            <w:tcW w:w="1124" w:type="dxa"/>
            <w:tcBorders>
              <w:top w:val="nil"/>
              <w:left w:val="nil"/>
              <w:bottom w:val="nil"/>
              <w:right w:val="nil"/>
            </w:tcBorders>
            <w:shd w:val="clear" w:color="000000" w:fill="D9D9D9"/>
            <w:vAlign w:val="center"/>
            <w:hideMark/>
          </w:tcPr>
          <w:p w14:paraId="78572279" w14:textId="77777777" w:rsidR="00867925" w:rsidRPr="00867925" w:rsidRDefault="00867925" w:rsidP="00867925">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41D2805B" w14:textId="77777777" w:rsidR="00867925" w:rsidRPr="00867925" w:rsidRDefault="00867925" w:rsidP="00867925">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4392FB66" w14:textId="77777777" w:rsidR="00867925" w:rsidRPr="00867925" w:rsidRDefault="00867925" w:rsidP="00867925">
            <w:pPr>
              <w:jc w:val="right"/>
              <w:rPr>
                <w:rFonts w:ascii="Arial" w:hAnsi="Arial" w:cs="Arial"/>
                <w:b/>
                <w:bCs/>
                <w:color w:val="000000"/>
              </w:rPr>
            </w:pPr>
            <w:r w:rsidRPr="00867925">
              <w:rPr>
                <w:rFonts w:ascii="Arial" w:hAnsi="Arial" w:cs="Arial"/>
                <w:b/>
                <w:bCs/>
                <w:color w:val="000000"/>
              </w:rPr>
              <w:t> </w:t>
            </w:r>
          </w:p>
        </w:tc>
      </w:tr>
      <w:tr w:rsidR="00C51867" w:rsidRPr="00867925" w14:paraId="305E41E7" w14:textId="77777777" w:rsidTr="005E2F77">
        <w:trPr>
          <w:trHeight w:val="86"/>
        </w:trPr>
        <w:tc>
          <w:tcPr>
            <w:tcW w:w="1124" w:type="dxa"/>
            <w:tcBorders>
              <w:top w:val="nil"/>
              <w:left w:val="single" w:sz="8" w:space="0" w:color="auto"/>
              <w:bottom w:val="nil"/>
              <w:right w:val="nil"/>
            </w:tcBorders>
            <w:vAlign w:val="center"/>
            <w:hideMark/>
          </w:tcPr>
          <w:p w14:paraId="790CA5A5" w14:textId="5EC83FC6" w:rsidR="00C51867" w:rsidRPr="00867925" w:rsidRDefault="00C51867" w:rsidP="00C51867">
            <w:pPr>
              <w:jc w:val="right"/>
              <w:rPr>
                <w:rFonts w:ascii="Arial" w:hAnsi="Arial" w:cs="Arial"/>
                <w:color w:val="000000"/>
              </w:rPr>
            </w:pPr>
            <w:r>
              <w:rPr>
                <w:rFonts w:ascii="Arial" w:hAnsi="Arial" w:cs="Arial"/>
                <w:color w:val="000000"/>
              </w:rPr>
              <w:t>276</w:t>
            </w:r>
            <w:r w:rsidRPr="00867925">
              <w:rPr>
                <w:rFonts w:ascii="Arial" w:hAnsi="Arial" w:cs="Arial"/>
                <w:color w:val="000000"/>
              </w:rPr>
              <w:t>,</w:t>
            </w:r>
            <w:r>
              <w:rPr>
                <w:rFonts w:ascii="Arial" w:hAnsi="Arial" w:cs="Arial"/>
                <w:color w:val="000000"/>
              </w:rPr>
              <w:t>185</w:t>
            </w:r>
          </w:p>
        </w:tc>
        <w:tc>
          <w:tcPr>
            <w:tcW w:w="1276" w:type="dxa"/>
            <w:tcBorders>
              <w:top w:val="nil"/>
              <w:left w:val="nil"/>
              <w:bottom w:val="nil"/>
              <w:right w:val="nil"/>
            </w:tcBorders>
            <w:vAlign w:val="center"/>
            <w:hideMark/>
          </w:tcPr>
          <w:p w14:paraId="753B981C" w14:textId="77777777" w:rsidR="00C51867" w:rsidRPr="00867925" w:rsidRDefault="00C51867" w:rsidP="00C51867">
            <w:pPr>
              <w:jc w:val="right"/>
              <w:rPr>
                <w:rFonts w:ascii="Arial" w:hAnsi="Arial" w:cs="Arial"/>
                <w:color w:val="000000"/>
              </w:rPr>
            </w:pPr>
            <w:r w:rsidRPr="00867925">
              <w:rPr>
                <w:rFonts w:ascii="Arial" w:hAnsi="Arial" w:cs="Arial"/>
                <w:color w:val="000000"/>
              </w:rPr>
              <w:t>0</w:t>
            </w:r>
          </w:p>
        </w:tc>
        <w:tc>
          <w:tcPr>
            <w:tcW w:w="1276" w:type="dxa"/>
            <w:tcBorders>
              <w:top w:val="nil"/>
              <w:left w:val="nil"/>
              <w:bottom w:val="nil"/>
              <w:right w:val="nil"/>
            </w:tcBorders>
            <w:vAlign w:val="center"/>
            <w:hideMark/>
          </w:tcPr>
          <w:p w14:paraId="0A475D0A" w14:textId="2B92339C" w:rsidR="00C51867" w:rsidRPr="00867925" w:rsidRDefault="00C51867" w:rsidP="00C51867">
            <w:pPr>
              <w:jc w:val="right"/>
              <w:rPr>
                <w:rFonts w:ascii="Arial" w:hAnsi="Arial" w:cs="Arial"/>
                <w:b/>
                <w:bCs/>
                <w:color w:val="000000"/>
              </w:rPr>
            </w:pPr>
            <w:r>
              <w:rPr>
                <w:rFonts w:ascii="Arial" w:hAnsi="Arial" w:cs="Arial"/>
                <w:b/>
                <w:bCs/>
                <w:color w:val="000000"/>
              </w:rPr>
              <w:t>276</w:t>
            </w:r>
            <w:r w:rsidRPr="00867925">
              <w:rPr>
                <w:rFonts w:ascii="Arial" w:hAnsi="Arial" w:cs="Arial"/>
                <w:b/>
                <w:bCs/>
                <w:color w:val="000000"/>
              </w:rPr>
              <w:t>,</w:t>
            </w:r>
            <w:r>
              <w:rPr>
                <w:rFonts w:ascii="Arial" w:hAnsi="Arial" w:cs="Arial"/>
                <w:b/>
                <w:bCs/>
                <w:color w:val="000000"/>
              </w:rPr>
              <w:t>18</w:t>
            </w:r>
            <w:r w:rsidRPr="00867925">
              <w:rPr>
                <w:rFonts w:ascii="Arial" w:hAnsi="Arial" w:cs="Arial"/>
                <w:b/>
                <w:bCs/>
                <w:color w:val="000000"/>
              </w:rPr>
              <w:t>5</w:t>
            </w:r>
          </w:p>
        </w:tc>
        <w:tc>
          <w:tcPr>
            <w:tcW w:w="2551" w:type="dxa"/>
            <w:tcBorders>
              <w:top w:val="nil"/>
              <w:left w:val="nil"/>
              <w:bottom w:val="nil"/>
              <w:right w:val="nil"/>
            </w:tcBorders>
            <w:shd w:val="clear" w:color="000000" w:fill="D9D9D9"/>
            <w:vAlign w:val="center"/>
            <w:hideMark/>
          </w:tcPr>
          <w:p w14:paraId="6EC90DA4" w14:textId="77777777" w:rsidR="00C51867" w:rsidRPr="00867925" w:rsidRDefault="00C51867" w:rsidP="00C51867">
            <w:pPr>
              <w:rPr>
                <w:rFonts w:ascii="Arial" w:hAnsi="Arial" w:cs="Arial"/>
                <w:color w:val="000000"/>
              </w:rPr>
            </w:pPr>
            <w:r w:rsidRPr="00867925">
              <w:rPr>
                <w:rFonts w:ascii="Arial" w:hAnsi="Arial" w:cs="Arial"/>
                <w:color w:val="000000"/>
              </w:rPr>
              <w:t>Centralised Pay Budgets</w:t>
            </w:r>
          </w:p>
        </w:tc>
        <w:tc>
          <w:tcPr>
            <w:tcW w:w="1124" w:type="dxa"/>
            <w:tcBorders>
              <w:top w:val="nil"/>
              <w:left w:val="nil"/>
              <w:bottom w:val="nil"/>
              <w:right w:val="nil"/>
            </w:tcBorders>
            <w:shd w:val="clear" w:color="000000" w:fill="D9D9D9"/>
            <w:vAlign w:val="center"/>
            <w:hideMark/>
          </w:tcPr>
          <w:p w14:paraId="321D3195" w14:textId="79C13AD6" w:rsidR="00C51867" w:rsidRPr="00867925" w:rsidRDefault="00C51867" w:rsidP="00C51867">
            <w:pPr>
              <w:jc w:val="right"/>
              <w:rPr>
                <w:rFonts w:ascii="Arial" w:hAnsi="Arial" w:cs="Arial"/>
                <w:color w:val="000000"/>
              </w:rPr>
            </w:pPr>
            <w:r>
              <w:rPr>
                <w:rFonts w:ascii="Arial" w:hAnsi="Arial" w:cs="Arial"/>
                <w:color w:val="000000"/>
              </w:rPr>
              <w:t>289,341</w:t>
            </w:r>
          </w:p>
        </w:tc>
        <w:tc>
          <w:tcPr>
            <w:tcW w:w="1003" w:type="dxa"/>
            <w:tcBorders>
              <w:top w:val="nil"/>
              <w:left w:val="nil"/>
              <w:bottom w:val="nil"/>
              <w:right w:val="nil"/>
            </w:tcBorders>
            <w:shd w:val="clear" w:color="000000" w:fill="D9D9D9"/>
            <w:vAlign w:val="center"/>
            <w:hideMark/>
          </w:tcPr>
          <w:p w14:paraId="2503F546" w14:textId="311A929C" w:rsidR="00C51867" w:rsidRPr="00867925" w:rsidRDefault="00C51867" w:rsidP="00C51867">
            <w:pPr>
              <w:jc w:val="right"/>
              <w:rPr>
                <w:rFonts w:ascii="Arial" w:hAnsi="Arial" w:cs="Arial"/>
                <w:color w:val="000000"/>
              </w:rPr>
            </w:pPr>
            <w:r>
              <w:rPr>
                <w:rFonts w:ascii="Arial" w:hAnsi="Arial" w:cs="Arial"/>
                <w:color w:val="000000"/>
              </w:rPr>
              <w:t>0</w:t>
            </w:r>
          </w:p>
        </w:tc>
        <w:tc>
          <w:tcPr>
            <w:tcW w:w="1264" w:type="dxa"/>
            <w:tcBorders>
              <w:top w:val="nil"/>
              <w:left w:val="nil"/>
              <w:bottom w:val="nil"/>
              <w:right w:val="single" w:sz="8" w:space="0" w:color="auto"/>
            </w:tcBorders>
            <w:shd w:val="clear" w:color="000000" w:fill="D9D9D9"/>
            <w:vAlign w:val="center"/>
            <w:hideMark/>
          </w:tcPr>
          <w:p w14:paraId="23E55799" w14:textId="722FFFE3" w:rsidR="00C51867" w:rsidRPr="00867925" w:rsidRDefault="00C51867" w:rsidP="00C51867">
            <w:pPr>
              <w:jc w:val="right"/>
              <w:rPr>
                <w:rFonts w:ascii="Arial" w:hAnsi="Arial" w:cs="Arial"/>
                <w:b/>
                <w:bCs/>
                <w:color w:val="000000"/>
              </w:rPr>
            </w:pPr>
            <w:r>
              <w:rPr>
                <w:rFonts w:ascii="Arial" w:hAnsi="Arial" w:cs="Arial"/>
                <w:b/>
                <w:bCs/>
                <w:color w:val="000000"/>
              </w:rPr>
              <w:t>289,341</w:t>
            </w:r>
          </w:p>
        </w:tc>
      </w:tr>
      <w:tr w:rsidR="00C51867" w:rsidRPr="00867925" w14:paraId="7A803616" w14:textId="77777777" w:rsidTr="005E2F77">
        <w:trPr>
          <w:trHeight w:val="86"/>
        </w:trPr>
        <w:tc>
          <w:tcPr>
            <w:tcW w:w="1124" w:type="dxa"/>
            <w:tcBorders>
              <w:top w:val="nil"/>
              <w:left w:val="single" w:sz="8" w:space="0" w:color="auto"/>
              <w:bottom w:val="nil"/>
              <w:right w:val="nil"/>
            </w:tcBorders>
            <w:vAlign w:val="center"/>
            <w:hideMark/>
          </w:tcPr>
          <w:p w14:paraId="2B131309" w14:textId="717F03D9" w:rsidR="00C51867" w:rsidRPr="00867925" w:rsidRDefault="00C51867" w:rsidP="00C51867">
            <w:pPr>
              <w:jc w:val="right"/>
              <w:rPr>
                <w:rFonts w:ascii="Arial" w:hAnsi="Arial" w:cs="Arial"/>
                <w:color w:val="000000"/>
              </w:rPr>
            </w:pPr>
            <w:r w:rsidRPr="00867925">
              <w:rPr>
                <w:rFonts w:ascii="Arial" w:hAnsi="Arial" w:cs="Arial"/>
                <w:color w:val="000000"/>
              </w:rPr>
              <w:t>3</w:t>
            </w:r>
            <w:r>
              <w:rPr>
                <w:rFonts w:ascii="Arial" w:hAnsi="Arial" w:cs="Arial"/>
                <w:color w:val="000000"/>
              </w:rPr>
              <w:t>8</w:t>
            </w:r>
            <w:r w:rsidRPr="00867925">
              <w:rPr>
                <w:rFonts w:ascii="Arial" w:hAnsi="Arial" w:cs="Arial"/>
                <w:color w:val="000000"/>
              </w:rPr>
              <w:t>,</w:t>
            </w:r>
            <w:r>
              <w:rPr>
                <w:rFonts w:ascii="Arial" w:hAnsi="Arial" w:cs="Arial"/>
                <w:color w:val="000000"/>
              </w:rPr>
              <w:t>815</w:t>
            </w:r>
          </w:p>
        </w:tc>
        <w:tc>
          <w:tcPr>
            <w:tcW w:w="1276" w:type="dxa"/>
            <w:tcBorders>
              <w:top w:val="nil"/>
              <w:left w:val="nil"/>
              <w:bottom w:val="nil"/>
              <w:right w:val="nil"/>
            </w:tcBorders>
            <w:vAlign w:val="center"/>
            <w:hideMark/>
          </w:tcPr>
          <w:p w14:paraId="15CE0B20" w14:textId="4607CAA4" w:rsidR="00C51867" w:rsidRPr="00867925" w:rsidRDefault="00C51867" w:rsidP="00C51867">
            <w:pPr>
              <w:jc w:val="right"/>
              <w:rPr>
                <w:rFonts w:ascii="Arial" w:hAnsi="Arial" w:cs="Arial"/>
                <w:color w:val="000000"/>
              </w:rPr>
            </w:pPr>
            <w:r w:rsidRPr="00867925">
              <w:rPr>
                <w:rFonts w:ascii="Arial" w:hAnsi="Arial" w:cs="Arial"/>
                <w:color w:val="000000"/>
              </w:rPr>
              <w:t>(</w:t>
            </w:r>
            <w:r>
              <w:rPr>
                <w:rFonts w:ascii="Arial" w:hAnsi="Arial" w:cs="Arial"/>
                <w:color w:val="000000"/>
              </w:rPr>
              <w:t>5,652</w:t>
            </w:r>
            <w:r w:rsidRPr="00867925">
              <w:rPr>
                <w:rFonts w:ascii="Arial" w:hAnsi="Arial" w:cs="Arial"/>
                <w:color w:val="000000"/>
              </w:rPr>
              <w:t>)</w:t>
            </w:r>
          </w:p>
        </w:tc>
        <w:tc>
          <w:tcPr>
            <w:tcW w:w="1276" w:type="dxa"/>
            <w:tcBorders>
              <w:top w:val="nil"/>
              <w:left w:val="nil"/>
              <w:bottom w:val="nil"/>
              <w:right w:val="nil"/>
            </w:tcBorders>
            <w:vAlign w:val="center"/>
            <w:hideMark/>
          </w:tcPr>
          <w:p w14:paraId="1C8D8FB6" w14:textId="40D42D7F" w:rsidR="00C51867" w:rsidRPr="00867925" w:rsidRDefault="00C51867" w:rsidP="00C51867">
            <w:pPr>
              <w:jc w:val="right"/>
              <w:rPr>
                <w:rFonts w:ascii="Arial" w:hAnsi="Arial" w:cs="Arial"/>
                <w:b/>
                <w:bCs/>
                <w:color w:val="000000"/>
              </w:rPr>
            </w:pPr>
            <w:r>
              <w:rPr>
                <w:rFonts w:ascii="Arial" w:hAnsi="Arial" w:cs="Arial"/>
                <w:b/>
                <w:bCs/>
                <w:color w:val="000000"/>
              </w:rPr>
              <w:t>33</w:t>
            </w:r>
            <w:r w:rsidRPr="00867925">
              <w:rPr>
                <w:rFonts w:ascii="Arial" w:hAnsi="Arial" w:cs="Arial"/>
                <w:b/>
                <w:bCs/>
                <w:color w:val="000000"/>
              </w:rPr>
              <w:t>,</w:t>
            </w:r>
            <w:r>
              <w:rPr>
                <w:rFonts w:ascii="Arial" w:hAnsi="Arial" w:cs="Arial"/>
                <w:b/>
                <w:bCs/>
                <w:color w:val="000000"/>
              </w:rPr>
              <w:t>163</w:t>
            </w:r>
          </w:p>
        </w:tc>
        <w:tc>
          <w:tcPr>
            <w:tcW w:w="2551" w:type="dxa"/>
            <w:tcBorders>
              <w:top w:val="nil"/>
              <w:left w:val="nil"/>
              <w:bottom w:val="nil"/>
              <w:right w:val="nil"/>
            </w:tcBorders>
            <w:shd w:val="clear" w:color="000000" w:fill="D9D9D9"/>
            <w:vAlign w:val="center"/>
            <w:hideMark/>
          </w:tcPr>
          <w:p w14:paraId="7DCEFEB9" w14:textId="125CD73E" w:rsidR="00C51867" w:rsidRPr="00867925" w:rsidRDefault="00C51867" w:rsidP="00C51867">
            <w:pPr>
              <w:rPr>
                <w:rFonts w:ascii="Arial" w:hAnsi="Arial" w:cs="Arial"/>
                <w:color w:val="000000"/>
              </w:rPr>
            </w:pPr>
            <w:r w:rsidRPr="00867925">
              <w:rPr>
                <w:rFonts w:ascii="Arial" w:hAnsi="Arial" w:cs="Arial"/>
                <w:color w:val="000000"/>
              </w:rPr>
              <w:t>Chief Operating Officer</w:t>
            </w:r>
          </w:p>
        </w:tc>
        <w:tc>
          <w:tcPr>
            <w:tcW w:w="1124" w:type="dxa"/>
            <w:tcBorders>
              <w:top w:val="nil"/>
              <w:left w:val="nil"/>
              <w:bottom w:val="nil"/>
              <w:right w:val="nil"/>
            </w:tcBorders>
            <w:shd w:val="clear" w:color="000000" w:fill="D9D9D9"/>
            <w:vAlign w:val="center"/>
            <w:hideMark/>
          </w:tcPr>
          <w:p w14:paraId="090EF599" w14:textId="149DC39D" w:rsidR="00C51867" w:rsidRPr="00867925" w:rsidRDefault="00C51867" w:rsidP="00C51867">
            <w:pPr>
              <w:jc w:val="right"/>
              <w:rPr>
                <w:rFonts w:ascii="Arial" w:hAnsi="Arial" w:cs="Arial"/>
                <w:color w:val="000000"/>
              </w:rPr>
            </w:pPr>
            <w:r>
              <w:rPr>
                <w:rFonts w:ascii="Arial" w:hAnsi="Arial" w:cs="Arial"/>
                <w:color w:val="000000"/>
              </w:rPr>
              <w:t>40,31</w:t>
            </w:r>
            <w:r w:rsidR="00745DCC">
              <w:rPr>
                <w:rFonts w:ascii="Arial" w:hAnsi="Arial" w:cs="Arial"/>
                <w:color w:val="000000"/>
              </w:rPr>
              <w:t>7</w:t>
            </w:r>
          </w:p>
        </w:tc>
        <w:tc>
          <w:tcPr>
            <w:tcW w:w="1003" w:type="dxa"/>
            <w:tcBorders>
              <w:top w:val="nil"/>
              <w:left w:val="nil"/>
              <w:bottom w:val="nil"/>
              <w:right w:val="nil"/>
            </w:tcBorders>
            <w:shd w:val="clear" w:color="000000" w:fill="D9D9D9"/>
            <w:vAlign w:val="center"/>
            <w:hideMark/>
          </w:tcPr>
          <w:p w14:paraId="1DF0A1C3" w14:textId="58724FBB" w:rsidR="00C51867" w:rsidRPr="00867925" w:rsidRDefault="00C51867" w:rsidP="00C51867">
            <w:pPr>
              <w:jc w:val="right"/>
              <w:rPr>
                <w:rFonts w:ascii="Arial" w:hAnsi="Arial" w:cs="Arial"/>
                <w:color w:val="000000"/>
              </w:rPr>
            </w:pPr>
            <w:r>
              <w:rPr>
                <w:rFonts w:ascii="Arial" w:hAnsi="Arial" w:cs="Arial"/>
                <w:color w:val="000000"/>
              </w:rPr>
              <w:t>(5,350)</w:t>
            </w:r>
          </w:p>
        </w:tc>
        <w:tc>
          <w:tcPr>
            <w:tcW w:w="1264" w:type="dxa"/>
            <w:tcBorders>
              <w:top w:val="nil"/>
              <w:left w:val="nil"/>
              <w:bottom w:val="nil"/>
              <w:right w:val="single" w:sz="8" w:space="0" w:color="auto"/>
            </w:tcBorders>
            <w:shd w:val="clear" w:color="000000" w:fill="D9D9D9"/>
            <w:vAlign w:val="center"/>
            <w:hideMark/>
          </w:tcPr>
          <w:p w14:paraId="337A6BA4" w14:textId="0366273E" w:rsidR="00C51867" w:rsidRPr="00867925" w:rsidRDefault="00C51867" w:rsidP="00C51867">
            <w:pPr>
              <w:jc w:val="right"/>
              <w:rPr>
                <w:rFonts w:ascii="Arial" w:hAnsi="Arial" w:cs="Arial"/>
                <w:b/>
                <w:bCs/>
                <w:color w:val="000000"/>
              </w:rPr>
            </w:pPr>
            <w:r>
              <w:rPr>
                <w:rFonts w:ascii="Arial" w:hAnsi="Arial" w:cs="Arial"/>
                <w:b/>
                <w:bCs/>
                <w:color w:val="000000"/>
              </w:rPr>
              <w:t>34,96</w:t>
            </w:r>
            <w:r w:rsidR="00745DCC">
              <w:rPr>
                <w:rFonts w:ascii="Arial" w:hAnsi="Arial" w:cs="Arial"/>
                <w:b/>
                <w:bCs/>
                <w:color w:val="000000"/>
              </w:rPr>
              <w:t>7</w:t>
            </w:r>
          </w:p>
        </w:tc>
      </w:tr>
      <w:tr w:rsidR="00C51867" w:rsidRPr="00867925" w14:paraId="70864AB3" w14:textId="77777777" w:rsidTr="005E2F77">
        <w:trPr>
          <w:trHeight w:val="86"/>
        </w:trPr>
        <w:tc>
          <w:tcPr>
            <w:tcW w:w="1124" w:type="dxa"/>
            <w:tcBorders>
              <w:top w:val="nil"/>
              <w:left w:val="single" w:sz="8" w:space="0" w:color="auto"/>
              <w:bottom w:val="nil"/>
              <w:right w:val="nil"/>
            </w:tcBorders>
            <w:vAlign w:val="center"/>
            <w:hideMark/>
          </w:tcPr>
          <w:p w14:paraId="23A7DD16" w14:textId="00E68D52" w:rsidR="00C51867" w:rsidRPr="00867925" w:rsidRDefault="00C51867" w:rsidP="00C51867">
            <w:pPr>
              <w:jc w:val="right"/>
              <w:rPr>
                <w:rFonts w:ascii="Arial" w:hAnsi="Arial" w:cs="Arial"/>
                <w:color w:val="000000"/>
              </w:rPr>
            </w:pPr>
            <w:r>
              <w:rPr>
                <w:rFonts w:ascii="Arial" w:hAnsi="Arial" w:cs="Arial"/>
                <w:color w:val="000000"/>
              </w:rPr>
              <w:t>7,968</w:t>
            </w:r>
          </w:p>
        </w:tc>
        <w:tc>
          <w:tcPr>
            <w:tcW w:w="1276" w:type="dxa"/>
            <w:tcBorders>
              <w:top w:val="nil"/>
              <w:left w:val="nil"/>
              <w:bottom w:val="nil"/>
              <w:right w:val="nil"/>
            </w:tcBorders>
            <w:vAlign w:val="center"/>
            <w:hideMark/>
          </w:tcPr>
          <w:p w14:paraId="79D94877" w14:textId="47ED7F54" w:rsidR="00C51867" w:rsidRPr="00867925" w:rsidRDefault="00C51867" w:rsidP="00C51867">
            <w:pPr>
              <w:jc w:val="right"/>
              <w:rPr>
                <w:rFonts w:ascii="Arial" w:hAnsi="Arial" w:cs="Arial"/>
                <w:color w:val="000000"/>
              </w:rPr>
            </w:pPr>
            <w:r>
              <w:rPr>
                <w:rFonts w:ascii="Arial" w:hAnsi="Arial" w:cs="Arial"/>
                <w:color w:val="000000"/>
              </w:rPr>
              <w:t>(539)</w:t>
            </w:r>
          </w:p>
        </w:tc>
        <w:tc>
          <w:tcPr>
            <w:tcW w:w="1276" w:type="dxa"/>
            <w:tcBorders>
              <w:top w:val="nil"/>
              <w:left w:val="nil"/>
              <w:bottom w:val="nil"/>
              <w:right w:val="nil"/>
            </w:tcBorders>
            <w:vAlign w:val="center"/>
            <w:hideMark/>
          </w:tcPr>
          <w:p w14:paraId="1FBDF545" w14:textId="4D37D48E" w:rsidR="00C51867" w:rsidRPr="00867925" w:rsidRDefault="00C51867" w:rsidP="00C51867">
            <w:pPr>
              <w:jc w:val="right"/>
              <w:rPr>
                <w:rFonts w:ascii="Arial" w:hAnsi="Arial" w:cs="Arial"/>
                <w:b/>
                <w:bCs/>
                <w:color w:val="000000"/>
              </w:rPr>
            </w:pPr>
            <w:r>
              <w:rPr>
                <w:rFonts w:ascii="Arial" w:hAnsi="Arial" w:cs="Arial"/>
                <w:b/>
                <w:bCs/>
                <w:color w:val="000000"/>
              </w:rPr>
              <w:t>7,430</w:t>
            </w:r>
          </w:p>
        </w:tc>
        <w:tc>
          <w:tcPr>
            <w:tcW w:w="2551" w:type="dxa"/>
            <w:tcBorders>
              <w:top w:val="nil"/>
              <w:left w:val="nil"/>
              <w:bottom w:val="nil"/>
              <w:right w:val="nil"/>
            </w:tcBorders>
            <w:shd w:val="clear" w:color="000000" w:fill="D9D9D9"/>
            <w:vAlign w:val="center"/>
            <w:hideMark/>
          </w:tcPr>
          <w:p w14:paraId="55770B3E" w14:textId="19A9638D" w:rsidR="00C51867" w:rsidRPr="00867925" w:rsidRDefault="00C51867" w:rsidP="00C51867">
            <w:pPr>
              <w:rPr>
                <w:rFonts w:ascii="Arial" w:hAnsi="Arial" w:cs="Arial"/>
                <w:color w:val="000000"/>
              </w:rPr>
            </w:pPr>
            <w:r w:rsidRPr="00867925">
              <w:rPr>
                <w:rFonts w:ascii="Arial" w:hAnsi="Arial" w:cs="Arial"/>
                <w:color w:val="000000"/>
              </w:rPr>
              <w:t>ACC</w:t>
            </w:r>
            <w:r>
              <w:rPr>
                <w:rFonts w:ascii="Arial" w:hAnsi="Arial" w:cs="Arial"/>
                <w:color w:val="000000"/>
              </w:rPr>
              <w:t xml:space="preserve"> </w:t>
            </w:r>
            <w:r w:rsidRPr="00867925">
              <w:rPr>
                <w:rFonts w:ascii="Arial" w:hAnsi="Arial" w:cs="Arial"/>
                <w:color w:val="000000"/>
              </w:rPr>
              <w:t>Territorial Ops*</w:t>
            </w:r>
          </w:p>
        </w:tc>
        <w:tc>
          <w:tcPr>
            <w:tcW w:w="1124" w:type="dxa"/>
            <w:tcBorders>
              <w:top w:val="nil"/>
              <w:left w:val="nil"/>
              <w:bottom w:val="nil"/>
              <w:right w:val="nil"/>
            </w:tcBorders>
            <w:shd w:val="clear" w:color="000000" w:fill="D9D9D9"/>
            <w:vAlign w:val="center"/>
            <w:hideMark/>
          </w:tcPr>
          <w:p w14:paraId="52F725AF" w14:textId="0103980D" w:rsidR="00C51867" w:rsidRPr="00867925" w:rsidRDefault="00C51867" w:rsidP="00C51867">
            <w:pPr>
              <w:jc w:val="right"/>
              <w:rPr>
                <w:rFonts w:ascii="Arial" w:hAnsi="Arial" w:cs="Arial"/>
                <w:color w:val="000000"/>
              </w:rPr>
            </w:pPr>
            <w:r>
              <w:rPr>
                <w:rFonts w:ascii="Arial" w:hAnsi="Arial" w:cs="Arial"/>
                <w:color w:val="000000"/>
              </w:rPr>
              <w:t>7,731</w:t>
            </w:r>
          </w:p>
        </w:tc>
        <w:tc>
          <w:tcPr>
            <w:tcW w:w="1003" w:type="dxa"/>
            <w:tcBorders>
              <w:top w:val="nil"/>
              <w:left w:val="nil"/>
              <w:bottom w:val="nil"/>
              <w:right w:val="nil"/>
            </w:tcBorders>
            <w:shd w:val="clear" w:color="000000" w:fill="D9D9D9"/>
            <w:vAlign w:val="center"/>
            <w:hideMark/>
          </w:tcPr>
          <w:p w14:paraId="6E6D9472" w14:textId="78AA69F6" w:rsidR="00C51867" w:rsidRPr="00867925" w:rsidRDefault="00C51867" w:rsidP="00C51867">
            <w:pPr>
              <w:jc w:val="right"/>
              <w:rPr>
                <w:rFonts w:ascii="Arial" w:hAnsi="Arial" w:cs="Arial"/>
                <w:color w:val="000000"/>
              </w:rPr>
            </w:pPr>
            <w:r>
              <w:rPr>
                <w:rFonts w:ascii="Arial" w:hAnsi="Arial" w:cs="Arial"/>
                <w:color w:val="000000"/>
              </w:rPr>
              <w:t>(350)</w:t>
            </w:r>
          </w:p>
        </w:tc>
        <w:tc>
          <w:tcPr>
            <w:tcW w:w="1264" w:type="dxa"/>
            <w:tcBorders>
              <w:top w:val="nil"/>
              <w:left w:val="nil"/>
              <w:bottom w:val="nil"/>
              <w:right w:val="single" w:sz="8" w:space="0" w:color="auto"/>
            </w:tcBorders>
            <w:shd w:val="clear" w:color="000000" w:fill="D9D9D9"/>
            <w:vAlign w:val="center"/>
            <w:hideMark/>
          </w:tcPr>
          <w:p w14:paraId="7CE4CC80" w14:textId="482FBC72" w:rsidR="00C51867" w:rsidRPr="00867925" w:rsidRDefault="00C51867" w:rsidP="00C51867">
            <w:pPr>
              <w:jc w:val="right"/>
              <w:rPr>
                <w:rFonts w:ascii="Arial" w:hAnsi="Arial" w:cs="Arial"/>
                <w:b/>
                <w:bCs/>
                <w:color w:val="000000"/>
              </w:rPr>
            </w:pPr>
            <w:r>
              <w:rPr>
                <w:rFonts w:ascii="Arial" w:hAnsi="Arial" w:cs="Arial"/>
                <w:b/>
                <w:bCs/>
                <w:color w:val="000000"/>
              </w:rPr>
              <w:t>7,381</w:t>
            </w:r>
          </w:p>
        </w:tc>
      </w:tr>
      <w:tr w:rsidR="00C51867" w:rsidRPr="00867925" w14:paraId="54A64F9C" w14:textId="77777777" w:rsidTr="005E2F77">
        <w:trPr>
          <w:trHeight w:val="86"/>
        </w:trPr>
        <w:tc>
          <w:tcPr>
            <w:tcW w:w="1124" w:type="dxa"/>
            <w:tcBorders>
              <w:top w:val="nil"/>
              <w:left w:val="single" w:sz="8" w:space="0" w:color="auto"/>
              <w:bottom w:val="nil"/>
              <w:right w:val="nil"/>
            </w:tcBorders>
            <w:vAlign w:val="center"/>
            <w:hideMark/>
          </w:tcPr>
          <w:p w14:paraId="6AECAD23" w14:textId="0A97A5B9" w:rsidR="00C51867" w:rsidRPr="00867925" w:rsidRDefault="00C51867" w:rsidP="00C51867">
            <w:pPr>
              <w:jc w:val="right"/>
              <w:rPr>
                <w:rFonts w:ascii="Arial" w:hAnsi="Arial" w:cs="Arial"/>
                <w:color w:val="000000"/>
              </w:rPr>
            </w:pPr>
            <w:r>
              <w:rPr>
                <w:rFonts w:ascii="Arial" w:hAnsi="Arial" w:cs="Arial"/>
                <w:color w:val="000000"/>
              </w:rPr>
              <w:t>5,020</w:t>
            </w:r>
          </w:p>
        </w:tc>
        <w:tc>
          <w:tcPr>
            <w:tcW w:w="1276" w:type="dxa"/>
            <w:tcBorders>
              <w:top w:val="nil"/>
              <w:left w:val="nil"/>
              <w:bottom w:val="nil"/>
              <w:right w:val="nil"/>
            </w:tcBorders>
            <w:vAlign w:val="center"/>
            <w:hideMark/>
          </w:tcPr>
          <w:p w14:paraId="14BAF827" w14:textId="5AB14962" w:rsidR="00C51867" w:rsidRPr="00867925" w:rsidRDefault="00C51867" w:rsidP="00C51867">
            <w:pPr>
              <w:jc w:val="right"/>
              <w:rPr>
                <w:rFonts w:ascii="Arial" w:hAnsi="Arial" w:cs="Arial"/>
                <w:color w:val="000000"/>
              </w:rPr>
            </w:pPr>
            <w:r>
              <w:rPr>
                <w:rFonts w:ascii="Arial" w:hAnsi="Arial" w:cs="Arial"/>
                <w:color w:val="000000"/>
              </w:rPr>
              <w:t>(812)</w:t>
            </w:r>
          </w:p>
        </w:tc>
        <w:tc>
          <w:tcPr>
            <w:tcW w:w="1276" w:type="dxa"/>
            <w:tcBorders>
              <w:top w:val="nil"/>
              <w:left w:val="nil"/>
              <w:bottom w:val="nil"/>
              <w:right w:val="nil"/>
            </w:tcBorders>
            <w:vAlign w:val="center"/>
            <w:hideMark/>
          </w:tcPr>
          <w:p w14:paraId="63CE9AF3" w14:textId="195DD8CB" w:rsidR="00C51867" w:rsidRPr="00867925" w:rsidRDefault="00C51867" w:rsidP="00C51867">
            <w:pPr>
              <w:jc w:val="right"/>
              <w:rPr>
                <w:rFonts w:ascii="Arial" w:hAnsi="Arial" w:cs="Arial"/>
                <w:b/>
                <w:bCs/>
                <w:color w:val="000000"/>
              </w:rPr>
            </w:pPr>
            <w:r>
              <w:rPr>
                <w:rFonts w:ascii="Arial" w:hAnsi="Arial" w:cs="Arial"/>
                <w:b/>
                <w:bCs/>
                <w:color w:val="000000"/>
              </w:rPr>
              <w:t>4,208</w:t>
            </w:r>
          </w:p>
        </w:tc>
        <w:tc>
          <w:tcPr>
            <w:tcW w:w="2551" w:type="dxa"/>
            <w:tcBorders>
              <w:top w:val="nil"/>
              <w:left w:val="nil"/>
              <w:bottom w:val="nil"/>
              <w:right w:val="nil"/>
            </w:tcBorders>
            <w:shd w:val="clear" w:color="000000" w:fill="D9D9D9"/>
            <w:vAlign w:val="center"/>
            <w:hideMark/>
          </w:tcPr>
          <w:p w14:paraId="081B519E" w14:textId="3721C703" w:rsidR="00C51867" w:rsidRPr="00867925" w:rsidRDefault="00C51867" w:rsidP="00C51867">
            <w:pPr>
              <w:rPr>
                <w:rFonts w:ascii="Arial" w:hAnsi="Arial" w:cs="Arial"/>
                <w:color w:val="000000"/>
              </w:rPr>
            </w:pPr>
            <w:r w:rsidRPr="00867925">
              <w:rPr>
                <w:rFonts w:ascii="Arial" w:hAnsi="Arial" w:cs="Arial"/>
                <w:color w:val="000000"/>
              </w:rPr>
              <w:t>ACC</w:t>
            </w:r>
            <w:r>
              <w:rPr>
                <w:rFonts w:ascii="Arial" w:hAnsi="Arial" w:cs="Arial"/>
                <w:color w:val="000000"/>
              </w:rPr>
              <w:t xml:space="preserve"> Crime</w:t>
            </w:r>
          </w:p>
        </w:tc>
        <w:tc>
          <w:tcPr>
            <w:tcW w:w="1124" w:type="dxa"/>
            <w:tcBorders>
              <w:top w:val="nil"/>
              <w:left w:val="nil"/>
              <w:bottom w:val="nil"/>
              <w:right w:val="nil"/>
            </w:tcBorders>
            <w:shd w:val="clear" w:color="000000" w:fill="D9D9D9"/>
            <w:vAlign w:val="center"/>
            <w:hideMark/>
          </w:tcPr>
          <w:p w14:paraId="1B16DF1C" w14:textId="140AB18F" w:rsidR="00C51867" w:rsidRPr="00867925" w:rsidRDefault="00C51867" w:rsidP="00C51867">
            <w:pPr>
              <w:jc w:val="right"/>
              <w:rPr>
                <w:rFonts w:ascii="Arial" w:hAnsi="Arial" w:cs="Arial"/>
                <w:color w:val="000000"/>
              </w:rPr>
            </w:pPr>
            <w:r>
              <w:rPr>
                <w:rFonts w:ascii="Arial" w:hAnsi="Arial" w:cs="Arial"/>
                <w:color w:val="000000"/>
              </w:rPr>
              <w:t>5,245</w:t>
            </w:r>
          </w:p>
        </w:tc>
        <w:tc>
          <w:tcPr>
            <w:tcW w:w="1003" w:type="dxa"/>
            <w:tcBorders>
              <w:top w:val="nil"/>
              <w:left w:val="nil"/>
              <w:bottom w:val="nil"/>
              <w:right w:val="nil"/>
            </w:tcBorders>
            <w:shd w:val="clear" w:color="000000" w:fill="D9D9D9"/>
            <w:vAlign w:val="center"/>
            <w:hideMark/>
          </w:tcPr>
          <w:p w14:paraId="5779FE4D" w14:textId="37727DA9" w:rsidR="00C51867" w:rsidRPr="00867925" w:rsidRDefault="00C51867" w:rsidP="00C51867">
            <w:pPr>
              <w:jc w:val="right"/>
              <w:rPr>
                <w:rFonts w:ascii="Arial" w:hAnsi="Arial" w:cs="Arial"/>
                <w:color w:val="000000"/>
              </w:rPr>
            </w:pPr>
            <w:r>
              <w:rPr>
                <w:rFonts w:ascii="Arial" w:hAnsi="Arial" w:cs="Arial"/>
                <w:color w:val="000000"/>
              </w:rPr>
              <w:t>(732)</w:t>
            </w:r>
          </w:p>
        </w:tc>
        <w:tc>
          <w:tcPr>
            <w:tcW w:w="1264" w:type="dxa"/>
            <w:tcBorders>
              <w:top w:val="nil"/>
              <w:left w:val="nil"/>
              <w:bottom w:val="nil"/>
              <w:right w:val="single" w:sz="8" w:space="0" w:color="auto"/>
            </w:tcBorders>
            <w:shd w:val="clear" w:color="000000" w:fill="D9D9D9"/>
            <w:vAlign w:val="center"/>
            <w:hideMark/>
          </w:tcPr>
          <w:p w14:paraId="7E1DB499" w14:textId="70DB7AFD" w:rsidR="00C51867" w:rsidRPr="00867925" w:rsidRDefault="00C51867" w:rsidP="00C51867">
            <w:pPr>
              <w:jc w:val="right"/>
              <w:rPr>
                <w:rFonts w:ascii="Arial" w:hAnsi="Arial" w:cs="Arial"/>
                <w:b/>
                <w:bCs/>
                <w:color w:val="000000"/>
              </w:rPr>
            </w:pPr>
            <w:r>
              <w:rPr>
                <w:rFonts w:ascii="Arial" w:hAnsi="Arial" w:cs="Arial"/>
                <w:b/>
                <w:bCs/>
                <w:color w:val="000000"/>
              </w:rPr>
              <w:t>4,512</w:t>
            </w:r>
          </w:p>
        </w:tc>
      </w:tr>
      <w:tr w:rsidR="00C51867" w:rsidRPr="00867925" w14:paraId="19201D8C" w14:textId="77777777" w:rsidTr="005E2F77">
        <w:trPr>
          <w:trHeight w:val="86"/>
        </w:trPr>
        <w:tc>
          <w:tcPr>
            <w:tcW w:w="1124" w:type="dxa"/>
            <w:tcBorders>
              <w:top w:val="nil"/>
              <w:left w:val="single" w:sz="8" w:space="0" w:color="auto"/>
              <w:bottom w:val="nil"/>
              <w:right w:val="nil"/>
            </w:tcBorders>
            <w:vAlign w:val="center"/>
            <w:hideMark/>
          </w:tcPr>
          <w:p w14:paraId="0B490198" w14:textId="3F90C890" w:rsidR="00C51867" w:rsidRPr="00867925" w:rsidRDefault="00C51867" w:rsidP="00C51867">
            <w:pPr>
              <w:jc w:val="right"/>
              <w:rPr>
                <w:rFonts w:ascii="Arial" w:hAnsi="Arial" w:cs="Arial"/>
                <w:color w:val="000000"/>
              </w:rPr>
            </w:pPr>
            <w:r>
              <w:rPr>
                <w:rFonts w:ascii="Arial" w:hAnsi="Arial" w:cs="Arial"/>
                <w:color w:val="000000"/>
              </w:rPr>
              <w:t>8,012</w:t>
            </w:r>
          </w:p>
        </w:tc>
        <w:tc>
          <w:tcPr>
            <w:tcW w:w="1276" w:type="dxa"/>
            <w:tcBorders>
              <w:top w:val="nil"/>
              <w:left w:val="nil"/>
              <w:bottom w:val="nil"/>
              <w:right w:val="nil"/>
            </w:tcBorders>
            <w:vAlign w:val="center"/>
            <w:hideMark/>
          </w:tcPr>
          <w:p w14:paraId="0ACEE99B" w14:textId="17D3211E" w:rsidR="00C51867" w:rsidRPr="00867925" w:rsidRDefault="00C51867" w:rsidP="00C51867">
            <w:pPr>
              <w:jc w:val="right"/>
              <w:rPr>
                <w:rFonts w:ascii="Arial" w:hAnsi="Arial" w:cs="Arial"/>
                <w:color w:val="000000"/>
              </w:rPr>
            </w:pPr>
            <w:r>
              <w:rPr>
                <w:rFonts w:ascii="Arial" w:hAnsi="Arial" w:cs="Arial"/>
                <w:color w:val="000000"/>
              </w:rPr>
              <w:t>(3,205)</w:t>
            </w:r>
          </w:p>
        </w:tc>
        <w:tc>
          <w:tcPr>
            <w:tcW w:w="1276" w:type="dxa"/>
            <w:tcBorders>
              <w:top w:val="nil"/>
              <w:left w:val="nil"/>
              <w:bottom w:val="nil"/>
              <w:right w:val="nil"/>
            </w:tcBorders>
            <w:vAlign w:val="center"/>
            <w:hideMark/>
          </w:tcPr>
          <w:p w14:paraId="3EE49A6D" w14:textId="33386CE8" w:rsidR="00C51867" w:rsidRPr="00867925" w:rsidRDefault="00C51867" w:rsidP="00C51867">
            <w:pPr>
              <w:jc w:val="right"/>
              <w:rPr>
                <w:rFonts w:ascii="Arial" w:hAnsi="Arial" w:cs="Arial"/>
                <w:b/>
                <w:bCs/>
                <w:color w:val="000000"/>
              </w:rPr>
            </w:pPr>
            <w:r>
              <w:rPr>
                <w:rFonts w:ascii="Arial" w:hAnsi="Arial" w:cs="Arial"/>
                <w:b/>
                <w:bCs/>
                <w:color w:val="000000"/>
              </w:rPr>
              <w:t>4,807</w:t>
            </w:r>
          </w:p>
        </w:tc>
        <w:tc>
          <w:tcPr>
            <w:tcW w:w="2551" w:type="dxa"/>
            <w:tcBorders>
              <w:top w:val="nil"/>
              <w:left w:val="nil"/>
              <w:bottom w:val="nil"/>
              <w:right w:val="nil"/>
            </w:tcBorders>
            <w:shd w:val="clear" w:color="000000" w:fill="D9D9D9"/>
            <w:vAlign w:val="center"/>
            <w:hideMark/>
          </w:tcPr>
          <w:p w14:paraId="63052D80" w14:textId="0EBA0FC9" w:rsidR="00C51867" w:rsidRPr="00867925" w:rsidRDefault="00C51867" w:rsidP="00C51867">
            <w:pPr>
              <w:rPr>
                <w:rFonts w:ascii="Arial" w:hAnsi="Arial" w:cs="Arial"/>
                <w:color w:val="000000"/>
              </w:rPr>
            </w:pPr>
            <w:r w:rsidRPr="00867925">
              <w:rPr>
                <w:rFonts w:ascii="Arial" w:hAnsi="Arial" w:cs="Arial"/>
                <w:color w:val="000000"/>
              </w:rPr>
              <w:t xml:space="preserve">ACC </w:t>
            </w:r>
            <w:r>
              <w:rPr>
                <w:rFonts w:ascii="Arial" w:hAnsi="Arial" w:cs="Arial"/>
                <w:color w:val="000000"/>
              </w:rPr>
              <w:t>Specialist Uniform Operations</w:t>
            </w:r>
            <w:r w:rsidRPr="00867925">
              <w:rPr>
                <w:rFonts w:ascii="Arial" w:hAnsi="Arial" w:cs="Arial"/>
                <w:color w:val="000000"/>
              </w:rPr>
              <w:t>*</w:t>
            </w:r>
          </w:p>
        </w:tc>
        <w:tc>
          <w:tcPr>
            <w:tcW w:w="1124" w:type="dxa"/>
            <w:tcBorders>
              <w:top w:val="nil"/>
              <w:left w:val="nil"/>
              <w:bottom w:val="nil"/>
              <w:right w:val="nil"/>
            </w:tcBorders>
            <w:shd w:val="clear" w:color="000000" w:fill="D9D9D9"/>
            <w:vAlign w:val="center"/>
            <w:hideMark/>
          </w:tcPr>
          <w:p w14:paraId="58AF6289" w14:textId="358BC379" w:rsidR="00C51867" w:rsidRPr="00867925" w:rsidRDefault="00C51867" w:rsidP="00C51867">
            <w:pPr>
              <w:jc w:val="right"/>
              <w:rPr>
                <w:rFonts w:ascii="Arial" w:hAnsi="Arial" w:cs="Arial"/>
                <w:color w:val="000000"/>
              </w:rPr>
            </w:pPr>
            <w:r>
              <w:rPr>
                <w:rFonts w:ascii="Arial" w:hAnsi="Arial" w:cs="Arial"/>
                <w:color w:val="000000"/>
              </w:rPr>
              <w:t>8,658</w:t>
            </w:r>
          </w:p>
        </w:tc>
        <w:tc>
          <w:tcPr>
            <w:tcW w:w="1003" w:type="dxa"/>
            <w:tcBorders>
              <w:top w:val="nil"/>
              <w:left w:val="nil"/>
              <w:bottom w:val="nil"/>
              <w:right w:val="nil"/>
            </w:tcBorders>
            <w:shd w:val="clear" w:color="000000" w:fill="D9D9D9"/>
            <w:vAlign w:val="center"/>
            <w:hideMark/>
          </w:tcPr>
          <w:p w14:paraId="5B641635" w14:textId="461C8560" w:rsidR="00C51867" w:rsidRPr="00867925" w:rsidRDefault="00C51867" w:rsidP="00C51867">
            <w:pPr>
              <w:jc w:val="right"/>
              <w:rPr>
                <w:rFonts w:ascii="Arial" w:hAnsi="Arial" w:cs="Arial"/>
                <w:color w:val="000000"/>
              </w:rPr>
            </w:pPr>
            <w:r>
              <w:rPr>
                <w:rFonts w:ascii="Arial" w:hAnsi="Arial" w:cs="Arial"/>
                <w:color w:val="000000"/>
              </w:rPr>
              <w:t>(2,846)</w:t>
            </w:r>
          </w:p>
        </w:tc>
        <w:tc>
          <w:tcPr>
            <w:tcW w:w="1264" w:type="dxa"/>
            <w:tcBorders>
              <w:top w:val="nil"/>
              <w:left w:val="nil"/>
              <w:bottom w:val="nil"/>
              <w:right w:val="single" w:sz="8" w:space="0" w:color="auto"/>
            </w:tcBorders>
            <w:shd w:val="clear" w:color="000000" w:fill="D9D9D9"/>
            <w:vAlign w:val="center"/>
            <w:hideMark/>
          </w:tcPr>
          <w:p w14:paraId="29B4D36F" w14:textId="549316C3" w:rsidR="00C51867" w:rsidRPr="00867925" w:rsidRDefault="00C51867" w:rsidP="00C51867">
            <w:pPr>
              <w:jc w:val="right"/>
              <w:rPr>
                <w:rFonts w:ascii="Arial" w:hAnsi="Arial" w:cs="Arial"/>
                <w:b/>
                <w:bCs/>
                <w:color w:val="000000"/>
              </w:rPr>
            </w:pPr>
            <w:r>
              <w:rPr>
                <w:rFonts w:ascii="Arial" w:hAnsi="Arial" w:cs="Arial"/>
                <w:b/>
                <w:bCs/>
                <w:color w:val="000000"/>
              </w:rPr>
              <w:t>5,812</w:t>
            </w:r>
          </w:p>
        </w:tc>
      </w:tr>
      <w:tr w:rsidR="00C51867" w:rsidRPr="00867925" w14:paraId="32786D42" w14:textId="77777777" w:rsidTr="005E2F77">
        <w:trPr>
          <w:trHeight w:val="86"/>
        </w:trPr>
        <w:tc>
          <w:tcPr>
            <w:tcW w:w="1124" w:type="dxa"/>
            <w:tcBorders>
              <w:top w:val="nil"/>
              <w:left w:val="single" w:sz="8" w:space="0" w:color="auto"/>
              <w:bottom w:val="nil"/>
              <w:right w:val="nil"/>
            </w:tcBorders>
            <w:vAlign w:val="center"/>
            <w:hideMark/>
          </w:tcPr>
          <w:p w14:paraId="001A3DA2" w14:textId="7F0BB23E" w:rsidR="00C51867" w:rsidRPr="00867925" w:rsidRDefault="00C51867" w:rsidP="00C51867">
            <w:pPr>
              <w:jc w:val="right"/>
              <w:rPr>
                <w:rFonts w:ascii="Arial" w:hAnsi="Arial" w:cs="Arial"/>
                <w:color w:val="000000"/>
              </w:rPr>
            </w:pPr>
            <w:r>
              <w:rPr>
                <w:rFonts w:ascii="Arial" w:hAnsi="Arial" w:cs="Arial"/>
                <w:color w:val="000000"/>
              </w:rPr>
              <w:t>1,989</w:t>
            </w:r>
          </w:p>
        </w:tc>
        <w:tc>
          <w:tcPr>
            <w:tcW w:w="1276" w:type="dxa"/>
            <w:tcBorders>
              <w:top w:val="nil"/>
              <w:left w:val="nil"/>
              <w:bottom w:val="nil"/>
              <w:right w:val="nil"/>
            </w:tcBorders>
            <w:vAlign w:val="center"/>
            <w:hideMark/>
          </w:tcPr>
          <w:p w14:paraId="09BB250E" w14:textId="703E27AE" w:rsidR="00C51867" w:rsidRPr="00867925" w:rsidRDefault="00C51867" w:rsidP="00C51867">
            <w:pPr>
              <w:jc w:val="right"/>
              <w:rPr>
                <w:rFonts w:ascii="Arial" w:hAnsi="Arial" w:cs="Arial"/>
                <w:color w:val="000000"/>
              </w:rPr>
            </w:pPr>
            <w:r>
              <w:rPr>
                <w:rFonts w:ascii="Arial" w:hAnsi="Arial" w:cs="Arial"/>
                <w:color w:val="000000"/>
              </w:rPr>
              <w:t>(468)</w:t>
            </w:r>
          </w:p>
        </w:tc>
        <w:tc>
          <w:tcPr>
            <w:tcW w:w="1276" w:type="dxa"/>
            <w:tcBorders>
              <w:top w:val="nil"/>
              <w:left w:val="nil"/>
              <w:bottom w:val="nil"/>
              <w:right w:val="nil"/>
            </w:tcBorders>
            <w:vAlign w:val="center"/>
            <w:hideMark/>
          </w:tcPr>
          <w:p w14:paraId="6B893C36" w14:textId="5E6B2046" w:rsidR="00C51867" w:rsidRPr="00867925" w:rsidRDefault="00C51867" w:rsidP="00C51867">
            <w:pPr>
              <w:jc w:val="right"/>
              <w:rPr>
                <w:rFonts w:ascii="Arial" w:hAnsi="Arial" w:cs="Arial"/>
                <w:b/>
                <w:bCs/>
                <w:color w:val="000000"/>
              </w:rPr>
            </w:pPr>
            <w:r>
              <w:rPr>
                <w:rFonts w:ascii="Arial" w:hAnsi="Arial" w:cs="Arial"/>
                <w:b/>
                <w:bCs/>
                <w:color w:val="000000"/>
              </w:rPr>
              <w:t>1,521</w:t>
            </w:r>
          </w:p>
        </w:tc>
        <w:tc>
          <w:tcPr>
            <w:tcW w:w="2551" w:type="dxa"/>
            <w:tcBorders>
              <w:top w:val="nil"/>
              <w:left w:val="nil"/>
              <w:bottom w:val="nil"/>
              <w:right w:val="nil"/>
            </w:tcBorders>
            <w:shd w:val="clear" w:color="000000" w:fill="D9D9D9"/>
            <w:vAlign w:val="center"/>
            <w:hideMark/>
          </w:tcPr>
          <w:p w14:paraId="0AD7DFB1" w14:textId="75924D52" w:rsidR="00C51867" w:rsidRPr="00867925" w:rsidRDefault="00C51867" w:rsidP="00C51867">
            <w:pPr>
              <w:rPr>
                <w:rFonts w:ascii="Arial" w:hAnsi="Arial" w:cs="Arial"/>
                <w:color w:val="000000"/>
              </w:rPr>
            </w:pPr>
            <w:r w:rsidRPr="00867925">
              <w:rPr>
                <w:rFonts w:ascii="Arial" w:hAnsi="Arial" w:cs="Arial"/>
                <w:color w:val="000000"/>
              </w:rPr>
              <w:t>Deputy Chief Constable</w:t>
            </w:r>
          </w:p>
        </w:tc>
        <w:tc>
          <w:tcPr>
            <w:tcW w:w="1124" w:type="dxa"/>
            <w:tcBorders>
              <w:top w:val="nil"/>
              <w:left w:val="nil"/>
              <w:bottom w:val="nil"/>
              <w:right w:val="nil"/>
            </w:tcBorders>
            <w:shd w:val="clear" w:color="000000" w:fill="D9D9D9"/>
            <w:vAlign w:val="center"/>
            <w:hideMark/>
          </w:tcPr>
          <w:p w14:paraId="16AD4C37" w14:textId="24A9E8C9" w:rsidR="00C51867" w:rsidRPr="00867925" w:rsidRDefault="00C51867" w:rsidP="00C51867">
            <w:pPr>
              <w:jc w:val="right"/>
              <w:rPr>
                <w:rFonts w:ascii="Arial" w:hAnsi="Arial" w:cs="Arial"/>
                <w:color w:val="000000"/>
              </w:rPr>
            </w:pPr>
            <w:r>
              <w:rPr>
                <w:rFonts w:ascii="Arial" w:hAnsi="Arial" w:cs="Arial"/>
                <w:color w:val="000000"/>
              </w:rPr>
              <w:t>2,608</w:t>
            </w:r>
          </w:p>
        </w:tc>
        <w:tc>
          <w:tcPr>
            <w:tcW w:w="1003" w:type="dxa"/>
            <w:tcBorders>
              <w:top w:val="nil"/>
              <w:left w:val="nil"/>
              <w:bottom w:val="nil"/>
              <w:right w:val="nil"/>
            </w:tcBorders>
            <w:shd w:val="clear" w:color="000000" w:fill="D9D9D9"/>
            <w:vAlign w:val="center"/>
            <w:hideMark/>
          </w:tcPr>
          <w:p w14:paraId="11519554" w14:textId="28975425" w:rsidR="00C51867" w:rsidRPr="00867925" w:rsidRDefault="00C51867" w:rsidP="00C51867">
            <w:pPr>
              <w:jc w:val="right"/>
              <w:rPr>
                <w:rFonts w:ascii="Arial" w:hAnsi="Arial" w:cs="Arial"/>
                <w:color w:val="000000"/>
              </w:rPr>
            </w:pPr>
            <w:r>
              <w:rPr>
                <w:rFonts w:ascii="Arial" w:hAnsi="Arial" w:cs="Arial"/>
                <w:color w:val="000000"/>
              </w:rPr>
              <w:t>(426)</w:t>
            </w:r>
          </w:p>
        </w:tc>
        <w:tc>
          <w:tcPr>
            <w:tcW w:w="1264" w:type="dxa"/>
            <w:tcBorders>
              <w:top w:val="nil"/>
              <w:left w:val="nil"/>
              <w:bottom w:val="nil"/>
              <w:right w:val="single" w:sz="8" w:space="0" w:color="auto"/>
            </w:tcBorders>
            <w:shd w:val="clear" w:color="000000" w:fill="D9D9D9"/>
            <w:vAlign w:val="center"/>
            <w:hideMark/>
          </w:tcPr>
          <w:p w14:paraId="01DA659A" w14:textId="6BBF4D2F" w:rsidR="00C51867" w:rsidRPr="00867925" w:rsidRDefault="00C51867" w:rsidP="00C51867">
            <w:pPr>
              <w:jc w:val="right"/>
              <w:rPr>
                <w:rFonts w:ascii="Arial" w:hAnsi="Arial" w:cs="Arial"/>
                <w:b/>
                <w:bCs/>
                <w:color w:val="000000"/>
              </w:rPr>
            </w:pPr>
            <w:r>
              <w:rPr>
                <w:rFonts w:ascii="Arial" w:hAnsi="Arial" w:cs="Arial"/>
                <w:b/>
                <w:bCs/>
                <w:color w:val="000000"/>
              </w:rPr>
              <w:t>2,182</w:t>
            </w:r>
          </w:p>
        </w:tc>
      </w:tr>
      <w:tr w:rsidR="00C51867" w:rsidRPr="00867925" w14:paraId="2EC6500A" w14:textId="77777777" w:rsidTr="005E2F77">
        <w:trPr>
          <w:trHeight w:val="148"/>
        </w:trPr>
        <w:tc>
          <w:tcPr>
            <w:tcW w:w="1124" w:type="dxa"/>
            <w:tcBorders>
              <w:top w:val="nil"/>
              <w:left w:val="single" w:sz="8" w:space="0" w:color="auto"/>
              <w:bottom w:val="nil"/>
              <w:right w:val="nil"/>
            </w:tcBorders>
            <w:vAlign w:val="center"/>
            <w:hideMark/>
          </w:tcPr>
          <w:p w14:paraId="51044C2D" w14:textId="04AC60DD" w:rsidR="00C51867" w:rsidRPr="00867925" w:rsidRDefault="00C51867" w:rsidP="00C51867">
            <w:pPr>
              <w:jc w:val="right"/>
              <w:rPr>
                <w:rFonts w:ascii="Arial" w:hAnsi="Arial" w:cs="Arial"/>
                <w:color w:val="000000"/>
              </w:rPr>
            </w:pPr>
            <w:r>
              <w:rPr>
                <w:rFonts w:ascii="Arial" w:hAnsi="Arial" w:cs="Arial"/>
                <w:color w:val="000000"/>
              </w:rPr>
              <w:t>38,639</w:t>
            </w:r>
          </w:p>
        </w:tc>
        <w:tc>
          <w:tcPr>
            <w:tcW w:w="1276" w:type="dxa"/>
            <w:tcBorders>
              <w:top w:val="nil"/>
              <w:left w:val="nil"/>
              <w:bottom w:val="nil"/>
              <w:right w:val="nil"/>
            </w:tcBorders>
            <w:vAlign w:val="center"/>
            <w:hideMark/>
          </w:tcPr>
          <w:p w14:paraId="2CEB4AF7" w14:textId="552661DB" w:rsidR="00C51867" w:rsidRPr="00867925" w:rsidRDefault="00C51867" w:rsidP="00C51867">
            <w:pPr>
              <w:jc w:val="right"/>
              <w:rPr>
                <w:rFonts w:ascii="Arial" w:hAnsi="Arial" w:cs="Arial"/>
                <w:color w:val="000000"/>
              </w:rPr>
            </w:pPr>
            <w:r>
              <w:rPr>
                <w:rFonts w:ascii="Arial" w:hAnsi="Arial" w:cs="Arial"/>
                <w:color w:val="000000"/>
              </w:rPr>
              <w:t>(32,225)</w:t>
            </w:r>
          </w:p>
        </w:tc>
        <w:tc>
          <w:tcPr>
            <w:tcW w:w="1276" w:type="dxa"/>
            <w:tcBorders>
              <w:top w:val="nil"/>
              <w:left w:val="nil"/>
              <w:bottom w:val="nil"/>
              <w:right w:val="nil"/>
            </w:tcBorders>
            <w:vAlign w:val="center"/>
            <w:hideMark/>
          </w:tcPr>
          <w:p w14:paraId="59A7BFCB" w14:textId="30352ADD" w:rsidR="00C51867" w:rsidRPr="00867925" w:rsidRDefault="00C51867" w:rsidP="00C51867">
            <w:pPr>
              <w:jc w:val="right"/>
              <w:rPr>
                <w:rFonts w:ascii="Arial" w:hAnsi="Arial" w:cs="Arial"/>
                <w:b/>
                <w:bCs/>
                <w:color w:val="000000"/>
              </w:rPr>
            </w:pPr>
            <w:r>
              <w:rPr>
                <w:rFonts w:ascii="Arial" w:hAnsi="Arial" w:cs="Arial"/>
                <w:b/>
                <w:bCs/>
                <w:color w:val="000000"/>
              </w:rPr>
              <w:t>6,414</w:t>
            </w:r>
          </w:p>
        </w:tc>
        <w:tc>
          <w:tcPr>
            <w:tcW w:w="2551" w:type="dxa"/>
            <w:tcBorders>
              <w:top w:val="nil"/>
              <w:left w:val="nil"/>
              <w:bottom w:val="nil"/>
              <w:right w:val="nil"/>
            </w:tcBorders>
            <w:shd w:val="clear" w:color="000000" w:fill="D9D9D9"/>
            <w:vAlign w:val="center"/>
            <w:hideMark/>
          </w:tcPr>
          <w:p w14:paraId="1375B553" w14:textId="12FC5695" w:rsidR="00C51867" w:rsidRPr="00867925" w:rsidRDefault="00C51867" w:rsidP="00C51867">
            <w:pPr>
              <w:rPr>
                <w:rFonts w:ascii="Arial" w:hAnsi="Arial" w:cs="Arial"/>
                <w:color w:val="000000"/>
              </w:rPr>
            </w:pPr>
            <w:r w:rsidRPr="00867925">
              <w:rPr>
                <w:rFonts w:ascii="Arial" w:hAnsi="Arial" w:cs="Arial"/>
                <w:color w:val="000000"/>
              </w:rPr>
              <w:t>Constabulary Non-Devolved budgets</w:t>
            </w:r>
          </w:p>
        </w:tc>
        <w:tc>
          <w:tcPr>
            <w:tcW w:w="1124" w:type="dxa"/>
            <w:tcBorders>
              <w:top w:val="nil"/>
              <w:left w:val="nil"/>
              <w:bottom w:val="nil"/>
              <w:right w:val="nil"/>
            </w:tcBorders>
            <w:shd w:val="clear" w:color="000000" w:fill="D9D9D9"/>
            <w:vAlign w:val="center"/>
            <w:hideMark/>
          </w:tcPr>
          <w:p w14:paraId="25B9FE2E" w14:textId="3219949C" w:rsidR="00C51867" w:rsidRPr="00867925" w:rsidRDefault="00C51867" w:rsidP="00C51867">
            <w:pPr>
              <w:jc w:val="right"/>
              <w:rPr>
                <w:rFonts w:ascii="Arial" w:hAnsi="Arial" w:cs="Arial"/>
                <w:color w:val="000000"/>
              </w:rPr>
            </w:pPr>
            <w:r>
              <w:rPr>
                <w:rFonts w:ascii="Arial" w:hAnsi="Arial" w:cs="Arial"/>
                <w:color w:val="000000"/>
              </w:rPr>
              <w:t>43,875</w:t>
            </w:r>
          </w:p>
        </w:tc>
        <w:tc>
          <w:tcPr>
            <w:tcW w:w="1003" w:type="dxa"/>
            <w:tcBorders>
              <w:top w:val="nil"/>
              <w:left w:val="nil"/>
              <w:bottom w:val="nil"/>
              <w:right w:val="nil"/>
            </w:tcBorders>
            <w:shd w:val="clear" w:color="000000" w:fill="D9D9D9"/>
            <w:vAlign w:val="center"/>
            <w:hideMark/>
          </w:tcPr>
          <w:p w14:paraId="6B58FA0F" w14:textId="7944FB88" w:rsidR="00C51867" w:rsidRPr="00867925" w:rsidRDefault="00C51867" w:rsidP="00C51867">
            <w:pPr>
              <w:jc w:val="right"/>
              <w:rPr>
                <w:rFonts w:ascii="Arial" w:hAnsi="Arial" w:cs="Arial"/>
                <w:color w:val="000000"/>
              </w:rPr>
            </w:pPr>
            <w:r>
              <w:rPr>
                <w:rFonts w:ascii="Arial" w:hAnsi="Arial" w:cs="Arial"/>
                <w:color w:val="000000"/>
              </w:rPr>
              <w:t>(40,292)</w:t>
            </w:r>
          </w:p>
        </w:tc>
        <w:tc>
          <w:tcPr>
            <w:tcW w:w="1264" w:type="dxa"/>
            <w:tcBorders>
              <w:top w:val="nil"/>
              <w:left w:val="nil"/>
              <w:bottom w:val="nil"/>
              <w:right w:val="single" w:sz="8" w:space="0" w:color="auto"/>
            </w:tcBorders>
            <w:shd w:val="clear" w:color="000000" w:fill="D9D9D9"/>
            <w:vAlign w:val="center"/>
            <w:hideMark/>
          </w:tcPr>
          <w:p w14:paraId="4F7DF900" w14:textId="5100866D" w:rsidR="00C51867" w:rsidRPr="00867925" w:rsidRDefault="00C51867" w:rsidP="00C51867">
            <w:pPr>
              <w:jc w:val="right"/>
              <w:rPr>
                <w:rFonts w:ascii="Arial" w:hAnsi="Arial" w:cs="Arial"/>
                <w:b/>
                <w:bCs/>
                <w:color w:val="000000"/>
              </w:rPr>
            </w:pPr>
            <w:r>
              <w:rPr>
                <w:rFonts w:ascii="Arial" w:hAnsi="Arial" w:cs="Arial"/>
                <w:b/>
                <w:bCs/>
                <w:color w:val="000000"/>
              </w:rPr>
              <w:t>3,584</w:t>
            </w:r>
          </w:p>
        </w:tc>
      </w:tr>
      <w:tr w:rsidR="00C51867" w:rsidRPr="00867925" w14:paraId="1467E6E3" w14:textId="77777777" w:rsidTr="005E2F77">
        <w:trPr>
          <w:trHeight w:val="86"/>
        </w:trPr>
        <w:tc>
          <w:tcPr>
            <w:tcW w:w="1124" w:type="dxa"/>
            <w:tcBorders>
              <w:top w:val="nil"/>
              <w:left w:val="single" w:sz="8" w:space="0" w:color="auto"/>
              <w:bottom w:val="nil"/>
              <w:right w:val="nil"/>
            </w:tcBorders>
            <w:vAlign w:val="center"/>
            <w:hideMark/>
          </w:tcPr>
          <w:p w14:paraId="08F95DB6" w14:textId="3DFA1FFA" w:rsidR="00C51867" w:rsidRPr="00867925" w:rsidRDefault="00C51867" w:rsidP="00C51867">
            <w:pPr>
              <w:jc w:val="right"/>
              <w:rPr>
                <w:rFonts w:ascii="Arial" w:hAnsi="Arial" w:cs="Arial"/>
                <w:color w:val="000000"/>
              </w:rPr>
            </w:pPr>
          </w:p>
        </w:tc>
        <w:tc>
          <w:tcPr>
            <w:tcW w:w="1276" w:type="dxa"/>
            <w:tcBorders>
              <w:top w:val="nil"/>
              <w:left w:val="nil"/>
              <w:bottom w:val="nil"/>
              <w:right w:val="nil"/>
            </w:tcBorders>
            <w:vAlign w:val="center"/>
            <w:hideMark/>
          </w:tcPr>
          <w:p w14:paraId="618CCCEE" w14:textId="3FA9819A" w:rsidR="00C51867" w:rsidRPr="00867925" w:rsidRDefault="00C51867" w:rsidP="00C51867">
            <w:pPr>
              <w:jc w:val="right"/>
              <w:rPr>
                <w:rFonts w:ascii="Arial" w:hAnsi="Arial" w:cs="Arial"/>
                <w:color w:val="000000"/>
              </w:rPr>
            </w:pPr>
          </w:p>
        </w:tc>
        <w:tc>
          <w:tcPr>
            <w:tcW w:w="1276" w:type="dxa"/>
            <w:tcBorders>
              <w:top w:val="nil"/>
              <w:left w:val="nil"/>
              <w:bottom w:val="nil"/>
              <w:right w:val="nil"/>
            </w:tcBorders>
            <w:vAlign w:val="center"/>
            <w:hideMark/>
          </w:tcPr>
          <w:p w14:paraId="719EC10A" w14:textId="64DDCB3B" w:rsidR="00C51867" w:rsidRPr="00867925" w:rsidRDefault="00C51867" w:rsidP="00C51867">
            <w:pPr>
              <w:jc w:val="right"/>
              <w:rPr>
                <w:rFonts w:ascii="Arial" w:hAnsi="Arial" w:cs="Arial"/>
                <w:b/>
                <w:bCs/>
                <w:color w:val="000000"/>
              </w:rPr>
            </w:pPr>
          </w:p>
        </w:tc>
        <w:tc>
          <w:tcPr>
            <w:tcW w:w="2551" w:type="dxa"/>
            <w:tcBorders>
              <w:top w:val="nil"/>
              <w:left w:val="nil"/>
              <w:bottom w:val="nil"/>
              <w:right w:val="nil"/>
            </w:tcBorders>
            <w:shd w:val="clear" w:color="000000" w:fill="D9D9D9"/>
            <w:vAlign w:val="center"/>
            <w:hideMark/>
          </w:tcPr>
          <w:p w14:paraId="7260A320" w14:textId="77777777" w:rsidR="00C51867" w:rsidRPr="00867925" w:rsidRDefault="00C51867" w:rsidP="00C51867">
            <w:pPr>
              <w:rPr>
                <w:rFonts w:ascii="Arial" w:hAnsi="Arial" w:cs="Arial"/>
                <w:b/>
                <w:bCs/>
                <w:color w:val="000000"/>
              </w:rPr>
            </w:pPr>
            <w:r w:rsidRPr="00867925">
              <w:rPr>
                <w:rFonts w:ascii="Arial" w:hAnsi="Arial" w:cs="Arial"/>
                <w:b/>
                <w:bCs/>
                <w:color w:val="000000"/>
              </w:rPr>
              <w:t>PCC:</w:t>
            </w:r>
          </w:p>
        </w:tc>
        <w:tc>
          <w:tcPr>
            <w:tcW w:w="1124" w:type="dxa"/>
            <w:tcBorders>
              <w:top w:val="nil"/>
              <w:left w:val="nil"/>
              <w:bottom w:val="nil"/>
              <w:right w:val="nil"/>
            </w:tcBorders>
            <w:shd w:val="clear" w:color="000000" w:fill="D9D9D9"/>
            <w:vAlign w:val="center"/>
            <w:hideMark/>
          </w:tcPr>
          <w:p w14:paraId="005F04A1" w14:textId="3FCC8613" w:rsidR="00C51867" w:rsidRPr="00867925" w:rsidRDefault="00C51867" w:rsidP="00C51867">
            <w:pPr>
              <w:jc w:val="right"/>
              <w:rPr>
                <w:rFonts w:ascii="Arial" w:hAnsi="Arial" w:cs="Arial"/>
                <w:color w:val="000000"/>
              </w:rPr>
            </w:pPr>
            <w:r>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58414DA8" w14:textId="56337A87" w:rsidR="00C51867" w:rsidRPr="00867925" w:rsidRDefault="00C51867" w:rsidP="00C51867">
            <w:pPr>
              <w:jc w:val="right"/>
              <w:rPr>
                <w:rFonts w:ascii="Arial" w:hAnsi="Arial" w:cs="Arial"/>
                <w:color w:val="000000"/>
              </w:rPr>
            </w:pPr>
            <w:r>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5C4D1693" w14:textId="17E0B8A9" w:rsidR="00C51867" w:rsidRPr="00867925" w:rsidRDefault="00C51867" w:rsidP="00C51867">
            <w:pPr>
              <w:jc w:val="right"/>
              <w:rPr>
                <w:rFonts w:ascii="Arial" w:hAnsi="Arial" w:cs="Arial"/>
                <w:b/>
                <w:bCs/>
                <w:color w:val="000000"/>
              </w:rPr>
            </w:pPr>
            <w:r>
              <w:rPr>
                <w:rFonts w:ascii="Arial" w:hAnsi="Arial" w:cs="Arial"/>
                <w:b/>
                <w:bCs/>
                <w:color w:val="000000"/>
              </w:rPr>
              <w:t> </w:t>
            </w:r>
          </w:p>
        </w:tc>
      </w:tr>
      <w:tr w:rsidR="00C51867" w:rsidRPr="00867925" w14:paraId="03B24CB5" w14:textId="77777777" w:rsidTr="005E2F77">
        <w:trPr>
          <w:trHeight w:val="86"/>
        </w:trPr>
        <w:tc>
          <w:tcPr>
            <w:tcW w:w="1124" w:type="dxa"/>
            <w:tcBorders>
              <w:top w:val="nil"/>
              <w:left w:val="single" w:sz="8" w:space="0" w:color="auto"/>
              <w:bottom w:val="nil"/>
              <w:right w:val="nil"/>
            </w:tcBorders>
            <w:vAlign w:val="center"/>
            <w:hideMark/>
          </w:tcPr>
          <w:p w14:paraId="71115200" w14:textId="6EBE8A0E" w:rsidR="00C51867" w:rsidRPr="00867925" w:rsidRDefault="00C51867" w:rsidP="00C51867">
            <w:pPr>
              <w:jc w:val="right"/>
              <w:rPr>
                <w:rFonts w:ascii="Arial" w:hAnsi="Arial" w:cs="Arial"/>
                <w:color w:val="000000"/>
              </w:rPr>
            </w:pPr>
            <w:r w:rsidRPr="00867925">
              <w:rPr>
                <w:rFonts w:ascii="Arial" w:hAnsi="Arial" w:cs="Arial"/>
                <w:color w:val="000000"/>
              </w:rPr>
              <w:t>1,</w:t>
            </w:r>
            <w:r>
              <w:rPr>
                <w:rFonts w:ascii="Arial" w:hAnsi="Arial" w:cs="Arial"/>
                <w:color w:val="000000"/>
              </w:rPr>
              <w:t>770</w:t>
            </w:r>
          </w:p>
        </w:tc>
        <w:tc>
          <w:tcPr>
            <w:tcW w:w="1276" w:type="dxa"/>
            <w:tcBorders>
              <w:top w:val="nil"/>
              <w:left w:val="nil"/>
              <w:bottom w:val="nil"/>
              <w:right w:val="nil"/>
            </w:tcBorders>
            <w:vAlign w:val="center"/>
            <w:hideMark/>
          </w:tcPr>
          <w:p w14:paraId="4083CB67" w14:textId="6E47104C" w:rsidR="00C51867" w:rsidRPr="00867925" w:rsidRDefault="00C51867" w:rsidP="00C51867">
            <w:pPr>
              <w:jc w:val="right"/>
              <w:rPr>
                <w:rFonts w:ascii="Arial" w:hAnsi="Arial" w:cs="Arial"/>
                <w:color w:val="000000"/>
              </w:rPr>
            </w:pPr>
            <w:r>
              <w:rPr>
                <w:rFonts w:ascii="Arial" w:hAnsi="Arial" w:cs="Arial"/>
                <w:color w:val="000000"/>
              </w:rPr>
              <w:t>(18)</w:t>
            </w:r>
          </w:p>
        </w:tc>
        <w:tc>
          <w:tcPr>
            <w:tcW w:w="1276" w:type="dxa"/>
            <w:tcBorders>
              <w:top w:val="nil"/>
              <w:left w:val="nil"/>
              <w:bottom w:val="nil"/>
              <w:right w:val="nil"/>
            </w:tcBorders>
            <w:vAlign w:val="center"/>
            <w:hideMark/>
          </w:tcPr>
          <w:p w14:paraId="1B1EFC92" w14:textId="5974AF81" w:rsidR="00C51867" w:rsidRPr="00867925" w:rsidRDefault="00C51867" w:rsidP="00C51867">
            <w:pPr>
              <w:jc w:val="right"/>
              <w:rPr>
                <w:rFonts w:ascii="Arial" w:hAnsi="Arial" w:cs="Arial"/>
                <w:b/>
                <w:bCs/>
                <w:color w:val="000000"/>
              </w:rPr>
            </w:pPr>
            <w:r w:rsidRPr="00867925">
              <w:rPr>
                <w:rFonts w:ascii="Arial" w:hAnsi="Arial" w:cs="Arial"/>
                <w:b/>
                <w:bCs/>
                <w:color w:val="000000"/>
              </w:rPr>
              <w:t>1,</w:t>
            </w:r>
            <w:r>
              <w:rPr>
                <w:rFonts w:ascii="Arial" w:hAnsi="Arial" w:cs="Arial"/>
                <w:b/>
                <w:bCs/>
                <w:color w:val="000000"/>
              </w:rPr>
              <w:t>751</w:t>
            </w:r>
          </w:p>
        </w:tc>
        <w:tc>
          <w:tcPr>
            <w:tcW w:w="2551" w:type="dxa"/>
            <w:tcBorders>
              <w:top w:val="nil"/>
              <w:left w:val="nil"/>
              <w:bottom w:val="nil"/>
              <w:right w:val="nil"/>
            </w:tcBorders>
            <w:shd w:val="clear" w:color="000000" w:fill="D9D9D9"/>
            <w:vAlign w:val="center"/>
            <w:hideMark/>
          </w:tcPr>
          <w:p w14:paraId="0ECC31D4" w14:textId="77777777" w:rsidR="00C51867" w:rsidRPr="00867925" w:rsidRDefault="00C51867" w:rsidP="00C51867">
            <w:pPr>
              <w:rPr>
                <w:rFonts w:ascii="Arial" w:hAnsi="Arial" w:cs="Arial"/>
                <w:color w:val="000000"/>
              </w:rPr>
            </w:pPr>
            <w:r w:rsidRPr="00867925">
              <w:rPr>
                <w:rFonts w:ascii="Arial" w:hAnsi="Arial" w:cs="Arial"/>
                <w:color w:val="000000"/>
              </w:rPr>
              <w:t>Office of the PCC</w:t>
            </w:r>
          </w:p>
        </w:tc>
        <w:tc>
          <w:tcPr>
            <w:tcW w:w="1124" w:type="dxa"/>
            <w:tcBorders>
              <w:top w:val="nil"/>
              <w:left w:val="nil"/>
              <w:bottom w:val="nil"/>
              <w:right w:val="nil"/>
            </w:tcBorders>
            <w:shd w:val="clear" w:color="000000" w:fill="D9D9D9"/>
            <w:vAlign w:val="center"/>
            <w:hideMark/>
          </w:tcPr>
          <w:p w14:paraId="4AA03BC0" w14:textId="00FC3AC3" w:rsidR="00C51867" w:rsidRPr="00867925" w:rsidRDefault="00C51867" w:rsidP="00C51867">
            <w:pPr>
              <w:jc w:val="right"/>
              <w:rPr>
                <w:rFonts w:ascii="Arial" w:hAnsi="Arial" w:cs="Arial"/>
                <w:color w:val="000000"/>
              </w:rPr>
            </w:pPr>
            <w:r>
              <w:rPr>
                <w:rFonts w:ascii="Arial" w:hAnsi="Arial" w:cs="Arial"/>
                <w:color w:val="000000"/>
              </w:rPr>
              <w:t>2,3</w:t>
            </w:r>
            <w:r w:rsidR="00745DCC">
              <w:rPr>
                <w:rFonts w:ascii="Arial" w:hAnsi="Arial" w:cs="Arial"/>
                <w:color w:val="000000"/>
              </w:rPr>
              <w:t>53</w:t>
            </w:r>
          </w:p>
        </w:tc>
        <w:tc>
          <w:tcPr>
            <w:tcW w:w="1003" w:type="dxa"/>
            <w:tcBorders>
              <w:top w:val="nil"/>
              <w:left w:val="nil"/>
              <w:bottom w:val="nil"/>
              <w:right w:val="nil"/>
            </w:tcBorders>
            <w:shd w:val="clear" w:color="000000" w:fill="D9D9D9"/>
            <w:vAlign w:val="center"/>
            <w:hideMark/>
          </w:tcPr>
          <w:p w14:paraId="00211543" w14:textId="24BA2E62" w:rsidR="00C51867" w:rsidRPr="00867925" w:rsidRDefault="00C51867" w:rsidP="00C51867">
            <w:pPr>
              <w:jc w:val="right"/>
              <w:rPr>
                <w:rFonts w:ascii="Arial" w:hAnsi="Arial" w:cs="Arial"/>
                <w:color w:val="000000"/>
              </w:rPr>
            </w:pPr>
            <w:r>
              <w:rPr>
                <w:rFonts w:ascii="Arial" w:hAnsi="Arial" w:cs="Arial"/>
                <w:color w:val="000000"/>
              </w:rPr>
              <w:t>(20)</w:t>
            </w:r>
          </w:p>
        </w:tc>
        <w:tc>
          <w:tcPr>
            <w:tcW w:w="1264" w:type="dxa"/>
            <w:tcBorders>
              <w:top w:val="nil"/>
              <w:left w:val="nil"/>
              <w:bottom w:val="nil"/>
              <w:right w:val="single" w:sz="8" w:space="0" w:color="auto"/>
            </w:tcBorders>
            <w:shd w:val="clear" w:color="000000" w:fill="D9D9D9"/>
            <w:vAlign w:val="center"/>
            <w:hideMark/>
          </w:tcPr>
          <w:p w14:paraId="10395D05" w14:textId="6766F805" w:rsidR="00C51867" w:rsidRPr="005820A2" w:rsidRDefault="00C51867" w:rsidP="00C51867">
            <w:pPr>
              <w:jc w:val="right"/>
              <w:rPr>
                <w:rFonts w:ascii="Arial" w:hAnsi="Arial" w:cs="Arial"/>
                <w:b/>
                <w:bCs/>
                <w:color w:val="000000"/>
              </w:rPr>
            </w:pPr>
            <w:r>
              <w:rPr>
                <w:rFonts w:ascii="Arial" w:hAnsi="Arial" w:cs="Arial"/>
                <w:b/>
                <w:bCs/>
                <w:color w:val="000000"/>
              </w:rPr>
              <w:t>2,3</w:t>
            </w:r>
            <w:r w:rsidR="00745DCC">
              <w:rPr>
                <w:rFonts w:ascii="Arial" w:hAnsi="Arial" w:cs="Arial"/>
                <w:b/>
                <w:bCs/>
                <w:color w:val="000000"/>
              </w:rPr>
              <w:t>33</w:t>
            </w:r>
          </w:p>
        </w:tc>
      </w:tr>
      <w:tr w:rsidR="00C51867" w:rsidRPr="00867925" w14:paraId="31AAA3CA" w14:textId="77777777" w:rsidTr="005E2F77">
        <w:trPr>
          <w:trHeight w:val="86"/>
        </w:trPr>
        <w:tc>
          <w:tcPr>
            <w:tcW w:w="1124" w:type="dxa"/>
            <w:tcBorders>
              <w:top w:val="nil"/>
              <w:left w:val="single" w:sz="8" w:space="0" w:color="auto"/>
              <w:bottom w:val="nil"/>
              <w:right w:val="nil"/>
            </w:tcBorders>
            <w:vAlign w:val="center"/>
            <w:hideMark/>
          </w:tcPr>
          <w:p w14:paraId="6A356CF6" w14:textId="27D3C25D" w:rsidR="00C51867" w:rsidRPr="00867925" w:rsidRDefault="00C51867" w:rsidP="00C51867">
            <w:pPr>
              <w:jc w:val="right"/>
              <w:rPr>
                <w:rFonts w:ascii="Arial" w:hAnsi="Arial" w:cs="Arial"/>
                <w:color w:val="000000"/>
              </w:rPr>
            </w:pPr>
            <w:r>
              <w:rPr>
                <w:rFonts w:ascii="Arial" w:hAnsi="Arial" w:cs="Arial"/>
                <w:color w:val="000000"/>
              </w:rPr>
              <w:t>2</w:t>
            </w:r>
            <w:r w:rsidRPr="00867925">
              <w:rPr>
                <w:rFonts w:ascii="Arial" w:hAnsi="Arial" w:cs="Arial"/>
                <w:color w:val="000000"/>
              </w:rPr>
              <w:t>,7</w:t>
            </w:r>
            <w:r>
              <w:rPr>
                <w:rFonts w:ascii="Arial" w:hAnsi="Arial" w:cs="Arial"/>
                <w:color w:val="000000"/>
              </w:rPr>
              <w:t>79</w:t>
            </w:r>
          </w:p>
        </w:tc>
        <w:tc>
          <w:tcPr>
            <w:tcW w:w="1276" w:type="dxa"/>
            <w:tcBorders>
              <w:top w:val="nil"/>
              <w:left w:val="nil"/>
              <w:bottom w:val="nil"/>
              <w:right w:val="nil"/>
            </w:tcBorders>
            <w:vAlign w:val="center"/>
            <w:hideMark/>
          </w:tcPr>
          <w:p w14:paraId="1EA20805" w14:textId="777E68E5" w:rsidR="00C51867" w:rsidRPr="00867925" w:rsidRDefault="00C51867" w:rsidP="00C51867">
            <w:pPr>
              <w:jc w:val="right"/>
              <w:rPr>
                <w:rFonts w:ascii="Arial" w:hAnsi="Arial" w:cs="Arial"/>
                <w:color w:val="000000"/>
              </w:rPr>
            </w:pPr>
            <w:r w:rsidRPr="00867925">
              <w:rPr>
                <w:rFonts w:ascii="Arial" w:hAnsi="Arial" w:cs="Arial"/>
                <w:color w:val="000000"/>
              </w:rPr>
              <w:t>(</w:t>
            </w:r>
            <w:r>
              <w:rPr>
                <w:rFonts w:ascii="Arial" w:hAnsi="Arial" w:cs="Arial"/>
                <w:color w:val="000000"/>
              </w:rPr>
              <w:t>2,180</w:t>
            </w:r>
            <w:r w:rsidRPr="00867925">
              <w:rPr>
                <w:rFonts w:ascii="Arial" w:hAnsi="Arial" w:cs="Arial"/>
                <w:color w:val="000000"/>
              </w:rPr>
              <w:t>)</w:t>
            </w:r>
          </w:p>
        </w:tc>
        <w:tc>
          <w:tcPr>
            <w:tcW w:w="1276" w:type="dxa"/>
            <w:tcBorders>
              <w:top w:val="nil"/>
              <w:left w:val="nil"/>
              <w:bottom w:val="nil"/>
              <w:right w:val="nil"/>
            </w:tcBorders>
            <w:vAlign w:val="center"/>
            <w:hideMark/>
          </w:tcPr>
          <w:p w14:paraId="491A6E06" w14:textId="2FBC2538" w:rsidR="00C51867" w:rsidRPr="00867925" w:rsidRDefault="00C51867" w:rsidP="00C51867">
            <w:pPr>
              <w:jc w:val="right"/>
              <w:rPr>
                <w:rFonts w:ascii="Arial" w:hAnsi="Arial" w:cs="Arial"/>
                <w:b/>
                <w:bCs/>
                <w:color w:val="000000"/>
              </w:rPr>
            </w:pPr>
            <w:r w:rsidRPr="00867925">
              <w:rPr>
                <w:rFonts w:ascii="Arial" w:hAnsi="Arial" w:cs="Arial"/>
                <w:b/>
                <w:bCs/>
                <w:color w:val="000000"/>
              </w:rPr>
              <w:t>59</w:t>
            </w:r>
            <w:r>
              <w:rPr>
                <w:rFonts w:ascii="Arial" w:hAnsi="Arial" w:cs="Arial"/>
                <w:b/>
                <w:bCs/>
                <w:color w:val="000000"/>
              </w:rPr>
              <w:t>9</w:t>
            </w:r>
          </w:p>
        </w:tc>
        <w:tc>
          <w:tcPr>
            <w:tcW w:w="2551" w:type="dxa"/>
            <w:tcBorders>
              <w:top w:val="nil"/>
              <w:left w:val="nil"/>
              <w:bottom w:val="nil"/>
              <w:right w:val="nil"/>
            </w:tcBorders>
            <w:shd w:val="clear" w:color="000000" w:fill="D9D9D9"/>
            <w:vAlign w:val="center"/>
            <w:hideMark/>
          </w:tcPr>
          <w:p w14:paraId="15FBBD97" w14:textId="4D080AA7" w:rsidR="00C51867" w:rsidRPr="00867925" w:rsidRDefault="0081765F" w:rsidP="00C51867">
            <w:pPr>
              <w:rPr>
                <w:rFonts w:ascii="Arial" w:hAnsi="Arial" w:cs="Arial"/>
                <w:color w:val="000000"/>
              </w:rPr>
            </w:pPr>
            <w:r>
              <w:rPr>
                <w:rFonts w:ascii="Arial" w:hAnsi="Arial" w:cs="Arial"/>
                <w:color w:val="000000"/>
              </w:rPr>
              <w:t>Prevention</w:t>
            </w:r>
          </w:p>
        </w:tc>
        <w:tc>
          <w:tcPr>
            <w:tcW w:w="1124" w:type="dxa"/>
            <w:tcBorders>
              <w:top w:val="nil"/>
              <w:left w:val="nil"/>
              <w:bottom w:val="nil"/>
              <w:right w:val="nil"/>
            </w:tcBorders>
            <w:shd w:val="clear" w:color="000000" w:fill="D9D9D9"/>
            <w:vAlign w:val="center"/>
            <w:hideMark/>
          </w:tcPr>
          <w:p w14:paraId="75A5026C" w14:textId="4E36FD78" w:rsidR="00C51867" w:rsidRPr="00867925" w:rsidRDefault="00C51867" w:rsidP="00C51867">
            <w:pPr>
              <w:jc w:val="right"/>
              <w:rPr>
                <w:rFonts w:ascii="Arial" w:hAnsi="Arial" w:cs="Arial"/>
                <w:color w:val="000000"/>
              </w:rPr>
            </w:pPr>
            <w:r>
              <w:rPr>
                <w:rFonts w:ascii="Arial" w:hAnsi="Arial" w:cs="Arial"/>
                <w:color w:val="000000"/>
              </w:rPr>
              <w:t>3,299</w:t>
            </w:r>
          </w:p>
        </w:tc>
        <w:tc>
          <w:tcPr>
            <w:tcW w:w="1003" w:type="dxa"/>
            <w:tcBorders>
              <w:top w:val="nil"/>
              <w:left w:val="nil"/>
              <w:bottom w:val="nil"/>
              <w:right w:val="nil"/>
            </w:tcBorders>
            <w:shd w:val="clear" w:color="000000" w:fill="D9D9D9"/>
            <w:vAlign w:val="center"/>
            <w:hideMark/>
          </w:tcPr>
          <w:p w14:paraId="565AEEC1" w14:textId="4FF84212" w:rsidR="00C51867" w:rsidRPr="00867925" w:rsidRDefault="00C51867" w:rsidP="00C51867">
            <w:pPr>
              <w:jc w:val="right"/>
              <w:rPr>
                <w:rFonts w:ascii="Arial" w:hAnsi="Arial" w:cs="Arial"/>
                <w:color w:val="000000"/>
              </w:rPr>
            </w:pPr>
            <w:r>
              <w:rPr>
                <w:rFonts w:ascii="Arial" w:hAnsi="Arial" w:cs="Arial"/>
                <w:color w:val="000000"/>
              </w:rPr>
              <w:t>(4,164)</w:t>
            </w:r>
          </w:p>
        </w:tc>
        <w:tc>
          <w:tcPr>
            <w:tcW w:w="1264" w:type="dxa"/>
            <w:tcBorders>
              <w:top w:val="nil"/>
              <w:left w:val="nil"/>
              <w:bottom w:val="nil"/>
              <w:right w:val="single" w:sz="8" w:space="0" w:color="auto"/>
            </w:tcBorders>
            <w:shd w:val="clear" w:color="000000" w:fill="D9D9D9"/>
            <w:vAlign w:val="center"/>
            <w:hideMark/>
          </w:tcPr>
          <w:p w14:paraId="79865653" w14:textId="0FD8A148" w:rsidR="00C51867" w:rsidRPr="005820A2" w:rsidRDefault="00C51867" w:rsidP="00C51867">
            <w:pPr>
              <w:jc w:val="right"/>
              <w:rPr>
                <w:rFonts w:ascii="Arial" w:hAnsi="Arial" w:cs="Arial"/>
                <w:b/>
                <w:bCs/>
                <w:color w:val="000000"/>
              </w:rPr>
            </w:pPr>
            <w:r>
              <w:rPr>
                <w:rFonts w:ascii="Arial" w:hAnsi="Arial" w:cs="Arial"/>
                <w:b/>
                <w:bCs/>
                <w:color w:val="000000"/>
              </w:rPr>
              <w:t>(865)</w:t>
            </w:r>
          </w:p>
        </w:tc>
      </w:tr>
      <w:tr w:rsidR="00C51867" w:rsidRPr="00867925" w14:paraId="12845931" w14:textId="77777777" w:rsidTr="005E2F77">
        <w:trPr>
          <w:trHeight w:val="86"/>
        </w:trPr>
        <w:tc>
          <w:tcPr>
            <w:tcW w:w="1124" w:type="dxa"/>
            <w:tcBorders>
              <w:top w:val="nil"/>
              <w:left w:val="single" w:sz="8" w:space="0" w:color="auto"/>
              <w:bottom w:val="nil"/>
              <w:right w:val="nil"/>
            </w:tcBorders>
            <w:vAlign w:val="center"/>
            <w:hideMark/>
          </w:tcPr>
          <w:p w14:paraId="7A5A5D1D" w14:textId="7352FF2F" w:rsidR="00C51867" w:rsidRPr="00867925" w:rsidRDefault="00C51867" w:rsidP="00C51867">
            <w:pPr>
              <w:jc w:val="right"/>
              <w:rPr>
                <w:rFonts w:ascii="Arial" w:hAnsi="Arial" w:cs="Arial"/>
                <w:color w:val="000000"/>
              </w:rPr>
            </w:pPr>
            <w:r>
              <w:rPr>
                <w:rFonts w:ascii="Arial" w:hAnsi="Arial" w:cs="Arial"/>
                <w:color w:val="000000"/>
              </w:rPr>
              <w:t>5</w:t>
            </w:r>
            <w:r w:rsidRPr="00867925">
              <w:rPr>
                <w:rFonts w:ascii="Arial" w:hAnsi="Arial" w:cs="Arial"/>
                <w:color w:val="000000"/>
              </w:rPr>
              <w:t>,</w:t>
            </w:r>
            <w:r>
              <w:rPr>
                <w:rFonts w:ascii="Arial" w:hAnsi="Arial" w:cs="Arial"/>
                <w:color w:val="000000"/>
              </w:rPr>
              <w:t>856</w:t>
            </w:r>
          </w:p>
        </w:tc>
        <w:tc>
          <w:tcPr>
            <w:tcW w:w="1276" w:type="dxa"/>
            <w:tcBorders>
              <w:top w:val="nil"/>
              <w:left w:val="nil"/>
              <w:bottom w:val="nil"/>
              <w:right w:val="nil"/>
            </w:tcBorders>
            <w:vAlign w:val="center"/>
            <w:hideMark/>
          </w:tcPr>
          <w:p w14:paraId="77B30E7A" w14:textId="3EB0458F" w:rsidR="00C51867" w:rsidRPr="00867925" w:rsidRDefault="00C51867" w:rsidP="00C51867">
            <w:pPr>
              <w:jc w:val="right"/>
              <w:rPr>
                <w:rFonts w:ascii="Arial" w:hAnsi="Arial" w:cs="Arial"/>
                <w:color w:val="000000"/>
              </w:rPr>
            </w:pPr>
            <w:r w:rsidRPr="00867925">
              <w:rPr>
                <w:rFonts w:ascii="Arial" w:hAnsi="Arial" w:cs="Arial"/>
                <w:color w:val="000000"/>
              </w:rPr>
              <w:t>(5,</w:t>
            </w:r>
            <w:r>
              <w:rPr>
                <w:rFonts w:ascii="Arial" w:hAnsi="Arial" w:cs="Arial"/>
                <w:color w:val="000000"/>
              </w:rPr>
              <w:t>4</w:t>
            </w:r>
            <w:r w:rsidRPr="00867925">
              <w:rPr>
                <w:rFonts w:ascii="Arial" w:hAnsi="Arial" w:cs="Arial"/>
                <w:color w:val="000000"/>
              </w:rPr>
              <w:t>51)</w:t>
            </w:r>
          </w:p>
        </w:tc>
        <w:tc>
          <w:tcPr>
            <w:tcW w:w="1276" w:type="dxa"/>
            <w:tcBorders>
              <w:top w:val="nil"/>
              <w:left w:val="nil"/>
              <w:bottom w:val="nil"/>
              <w:right w:val="nil"/>
            </w:tcBorders>
            <w:vAlign w:val="center"/>
            <w:hideMark/>
          </w:tcPr>
          <w:p w14:paraId="2B3F62B8" w14:textId="3060797B" w:rsidR="00C51867" w:rsidRPr="00867925" w:rsidRDefault="00C51867" w:rsidP="00C51867">
            <w:pPr>
              <w:jc w:val="right"/>
              <w:rPr>
                <w:rFonts w:ascii="Arial" w:hAnsi="Arial" w:cs="Arial"/>
                <w:b/>
                <w:bCs/>
                <w:color w:val="000000"/>
              </w:rPr>
            </w:pPr>
            <w:r>
              <w:rPr>
                <w:rFonts w:ascii="Arial" w:hAnsi="Arial" w:cs="Arial"/>
                <w:b/>
                <w:bCs/>
                <w:color w:val="000000"/>
              </w:rPr>
              <w:t>404</w:t>
            </w:r>
          </w:p>
        </w:tc>
        <w:tc>
          <w:tcPr>
            <w:tcW w:w="2551" w:type="dxa"/>
            <w:tcBorders>
              <w:top w:val="nil"/>
              <w:left w:val="nil"/>
              <w:bottom w:val="nil"/>
              <w:right w:val="nil"/>
            </w:tcBorders>
            <w:shd w:val="clear" w:color="000000" w:fill="D9D9D9"/>
            <w:vAlign w:val="center"/>
            <w:hideMark/>
          </w:tcPr>
          <w:p w14:paraId="39BB052F" w14:textId="05138D0B" w:rsidR="00C51867" w:rsidRPr="00867925" w:rsidRDefault="00A52542" w:rsidP="00C51867">
            <w:pPr>
              <w:rPr>
                <w:rFonts w:ascii="Arial" w:hAnsi="Arial" w:cs="Arial"/>
                <w:color w:val="000000"/>
              </w:rPr>
            </w:pPr>
            <w:r w:rsidRPr="00A52542">
              <w:rPr>
                <w:rFonts w:ascii="Arial" w:hAnsi="Arial" w:cs="Arial"/>
                <w:color w:val="000000"/>
              </w:rPr>
              <w:t>Victim and Domestic Abuse services</w:t>
            </w:r>
          </w:p>
        </w:tc>
        <w:tc>
          <w:tcPr>
            <w:tcW w:w="1124" w:type="dxa"/>
            <w:tcBorders>
              <w:top w:val="nil"/>
              <w:left w:val="nil"/>
              <w:bottom w:val="nil"/>
              <w:right w:val="nil"/>
            </w:tcBorders>
            <w:shd w:val="clear" w:color="000000" w:fill="D9D9D9"/>
            <w:vAlign w:val="center"/>
            <w:hideMark/>
          </w:tcPr>
          <w:p w14:paraId="56C2BBD5" w14:textId="71EC3675" w:rsidR="00C51867" w:rsidRPr="00867925" w:rsidRDefault="00C51867" w:rsidP="00C51867">
            <w:pPr>
              <w:jc w:val="right"/>
              <w:rPr>
                <w:rFonts w:ascii="Arial" w:hAnsi="Arial" w:cs="Arial"/>
                <w:color w:val="000000"/>
              </w:rPr>
            </w:pPr>
            <w:r>
              <w:rPr>
                <w:rFonts w:ascii="Arial" w:hAnsi="Arial" w:cs="Arial"/>
                <w:color w:val="000000"/>
              </w:rPr>
              <w:t>6,315</w:t>
            </w:r>
          </w:p>
        </w:tc>
        <w:tc>
          <w:tcPr>
            <w:tcW w:w="1003" w:type="dxa"/>
            <w:tcBorders>
              <w:top w:val="nil"/>
              <w:left w:val="nil"/>
              <w:bottom w:val="nil"/>
              <w:right w:val="nil"/>
            </w:tcBorders>
            <w:shd w:val="clear" w:color="000000" w:fill="D9D9D9"/>
            <w:vAlign w:val="center"/>
            <w:hideMark/>
          </w:tcPr>
          <w:p w14:paraId="07ACB977" w14:textId="1DA700CC" w:rsidR="00C51867" w:rsidRPr="00867925" w:rsidRDefault="00C51867" w:rsidP="00C51867">
            <w:pPr>
              <w:jc w:val="right"/>
              <w:rPr>
                <w:rFonts w:ascii="Arial" w:hAnsi="Arial" w:cs="Arial"/>
                <w:color w:val="000000"/>
              </w:rPr>
            </w:pPr>
            <w:r>
              <w:rPr>
                <w:rFonts w:ascii="Arial" w:hAnsi="Arial" w:cs="Arial"/>
                <w:color w:val="000000"/>
              </w:rPr>
              <w:t>(5,619)</w:t>
            </w:r>
          </w:p>
        </w:tc>
        <w:tc>
          <w:tcPr>
            <w:tcW w:w="1264" w:type="dxa"/>
            <w:tcBorders>
              <w:top w:val="nil"/>
              <w:left w:val="nil"/>
              <w:bottom w:val="nil"/>
              <w:right w:val="single" w:sz="8" w:space="0" w:color="auto"/>
            </w:tcBorders>
            <w:shd w:val="clear" w:color="000000" w:fill="D9D9D9"/>
            <w:vAlign w:val="center"/>
            <w:hideMark/>
          </w:tcPr>
          <w:p w14:paraId="0853D0F7" w14:textId="7A9FACFF" w:rsidR="00C51867" w:rsidRPr="005820A2" w:rsidRDefault="00C51867" w:rsidP="00C51867">
            <w:pPr>
              <w:jc w:val="right"/>
              <w:rPr>
                <w:rFonts w:ascii="Arial" w:hAnsi="Arial" w:cs="Arial"/>
                <w:b/>
                <w:bCs/>
                <w:color w:val="000000"/>
              </w:rPr>
            </w:pPr>
            <w:r>
              <w:rPr>
                <w:rFonts w:ascii="Arial" w:hAnsi="Arial" w:cs="Arial"/>
                <w:b/>
                <w:bCs/>
                <w:color w:val="000000"/>
              </w:rPr>
              <w:t>696</w:t>
            </w:r>
          </w:p>
        </w:tc>
      </w:tr>
      <w:tr w:rsidR="00C51867" w:rsidRPr="00867925" w14:paraId="7B3AF723" w14:textId="77777777" w:rsidTr="005E2F77">
        <w:trPr>
          <w:trHeight w:val="153"/>
        </w:trPr>
        <w:tc>
          <w:tcPr>
            <w:tcW w:w="1124" w:type="dxa"/>
            <w:tcBorders>
              <w:top w:val="nil"/>
              <w:left w:val="single" w:sz="8" w:space="0" w:color="auto"/>
              <w:bottom w:val="single" w:sz="8" w:space="0" w:color="auto"/>
              <w:right w:val="nil"/>
            </w:tcBorders>
            <w:vAlign w:val="center"/>
            <w:hideMark/>
          </w:tcPr>
          <w:p w14:paraId="7A5E6EE2" w14:textId="66D01FEB" w:rsidR="00C51867" w:rsidRPr="00867925" w:rsidRDefault="00C51867" w:rsidP="00C51867">
            <w:pPr>
              <w:jc w:val="right"/>
              <w:rPr>
                <w:rFonts w:ascii="Arial" w:hAnsi="Arial" w:cs="Arial"/>
                <w:color w:val="000000"/>
              </w:rPr>
            </w:pPr>
            <w:r>
              <w:rPr>
                <w:rFonts w:ascii="Arial" w:hAnsi="Arial" w:cs="Arial"/>
                <w:color w:val="000000"/>
              </w:rPr>
              <w:t>21</w:t>
            </w:r>
            <w:r w:rsidRPr="00867925">
              <w:rPr>
                <w:rFonts w:ascii="Arial" w:hAnsi="Arial" w:cs="Arial"/>
                <w:color w:val="000000"/>
              </w:rPr>
              <w:t>,</w:t>
            </w:r>
            <w:r>
              <w:rPr>
                <w:rFonts w:ascii="Arial" w:hAnsi="Arial" w:cs="Arial"/>
                <w:color w:val="000000"/>
              </w:rPr>
              <w:t>580</w:t>
            </w:r>
          </w:p>
        </w:tc>
        <w:tc>
          <w:tcPr>
            <w:tcW w:w="1276" w:type="dxa"/>
            <w:tcBorders>
              <w:top w:val="nil"/>
              <w:left w:val="nil"/>
              <w:bottom w:val="nil"/>
              <w:right w:val="nil"/>
            </w:tcBorders>
            <w:vAlign w:val="center"/>
            <w:hideMark/>
          </w:tcPr>
          <w:p w14:paraId="13D0DC40" w14:textId="77777777" w:rsidR="00C51867" w:rsidRPr="00867925" w:rsidRDefault="00C51867" w:rsidP="00C51867">
            <w:pPr>
              <w:jc w:val="right"/>
              <w:rPr>
                <w:rFonts w:ascii="Arial" w:hAnsi="Arial" w:cs="Arial"/>
                <w:color w:val="000000"/>
              </w:rPr>
            </w:pPr>
            <w:r w:rsidRPr="00867925">
              <w:rPr>
                <w:rFonts w:ascii="Arial" w:hAnsi="Arial" w:cs="Arial"/>
                <w:color w:val="000000"/>
              </w:rPr>
              <w:t>0</w:t>
            </w:r>
          </w:p>
        </w:tc>
        <w:tc>
          <w:tcPr>
            <w:tcW w:w="1276" w:type="dxa"/>
            <w:tcBorders>
              <w:top w:val="nil"/>
              <w:left w:val="nil"/>
              <w:bottom w:val="nil"/>
              <w:right w:val="nil"/>
            </w:tcBorders>
            <w:vAlign w:val="center"/>
            <w:hideMark/>
          </w:tcPr>
          <w:p w14:paraId="4E9E3860" w14:textId="7372C5FD" w:rsidR="00C51867" w:rsidRPr="00867925" w:rsidRDefault="00C51867" w:rsidP="00C51867">
            <w:pPr>
              <w:jc w:val="right"/>
              <w:rPr>
                <w:rFonts w:ascii="Arial" w:hAnsi="Arial" w:cs="Arial"/>
                <w:b/>
                <w:bCs/>
                <w:color w:val="000000"/>
              </w:rPr>
            </w:pPr>
            <w:r>
              <w:rPr>
                <w:rFonts w:ascii="Arial" w:hAnsi="Arial" w:cs="Arial"/>
                <w:b/>
                <w:bCs/>
                <w:color w:val="000000"/>
              </w:rPr>
              <w:t>21</w:t>
            </w:r>
            <w:r w:rsidRPr="00867925">
              <w:rPr>
                <w:rFonts w:ascii="Arial" w:hAnsi="Arial" w:cs="Arial"/>
                <w:b/>
                <w:bCs/>
                <w:color w:val="000000"/>
              </w:rPr>
              <w:t>,</w:t>
            </w:r>
            <w:r>
              <w:rPr>
                <w:rFonts w:ascii="Arial" w:hAnsi="Arial" w:cs="Arial"/>
                <w:b/>
                <w:bCs/>
                <w:color w:val="000000"/>
              </w:rPr>
              <w:t>580</w:t>
            </w:r>
          </w:p>
        </w:tc>
        <w:tc>
          <w:tcPr>
            <w:tcW w:w="2551" w:type="dxa"/>
            <w:tcBorders>
              <w:top w:val="nil"/>
              <w:left w:val="nil"/>
              <w:bottom w:val="nil"/>
              <w:right w:val="nil"/>
            </w:tcBorders>
            <w:shd w:val="clear" w:color="000000" w:fill="D9D9D9"/>
            <w:vAlign w:val="center"/>
            <w:hideMark/>
          </w:tcPr>
          <w:p w14:paraId="26E58C66" w14:textId="77777777" w:rsidR="00C51867" w:rsidRPr="00867925" w:rsidRDefault="00C51867" w:rsidP="00C51867">
            <w:pPr>
              <w:rPr>
                <w:rFonts w:ascii="Arial" w:hAnsi="Arial" w:cs="Arial"/>
                <w:color w:val="000000"/>
              </w:rPr>
            </w:pPr>
            <w:r w:rsidRPr="00867925">
              <w:rPr>
                <w:rFonts w:ascii="Arial" w:hAnsi="Arial" w:cs="Arial"/>
                <w:color w:val="000000"/>
              </w:rPr>
              <w:t>PCC Non-Devolved budgets</w:t>
            </w:r>
          </w:p>
        </w:tc>
        <w:tc>
          <w:tcPr>
            <w:tcW w:w="1124" w:type="dxa"/>
            <w:tcBorders>
              <w:top w:val="nil"/>
              <w:left w:val="nil"/>
              <w:bottom w:val="nil"/>
              <w:right w:val="nil"/>
            </w:tcBorders>
            <w:shd w:val="clear" w:color="000000" w:fill="D9D9D9"/>
            <w:vAlign w:val="center"/>
            <w:hideMark/>
          </w:tcPr>
          <w:p w14:paraId="4F47F082" w14:textId="119EF107" w:rsidR="00C51867" w:rsidRPr="00867925" w:rsidRDefault="00C51867" w:rsidP="00C51867">
            <w:pPr>
              <w:jc w:val="right"/>
              <w:rPr>
                <w:rFonts w:ascii="Arial" w:hAnsi="Arial" w:cs="Arial"/>
                <w:color w:val="000000"/>
              </w:rPr>
            </w:pPr>
            <w:r>
              <w:rPr>
                <w:rFonts w:ascii="Arial" w:hAnsi="Arial" w:cs="Arial"/>
                <w:color w:val="000000"/>
              </w:rPr>
              <w:t>22,684</w:t>
            </w:r>
          </w:p>
        </w:tc>
        <w:tc>
          <w:tcPr>
            <w:tcW w:w="1003" w:type="dxa"/>
            <w:tcBorders>
              <w:top w:val="nil"/>
              <w:left w:val="nil"/>
              <w:bottom w:val="nil"/>
              <w:right w:val="nil"/>
            </w:tcBorders>
            <w:shd w:val="clear" w:color="000000" w:fill="D9D9D9"/>
            <w:vAlign w:val="center"/>
            <w:hideMark/>
          </w:tcPr>
          <w:p w14:paraId="15E281B2" w14:textId="794407F4" w:rsidR="00C51867" w:rsidRPr="00867925" w:rsidRDefault="00C51867" w:rsidP="00C51867">
            <w:pPr>
              <w:jc w:val="right"/>
              <w:rPr>
                <w:rFonts w:ascii="Arial" w:hAnsi="Arial" w:cs="Arial"/>
                <w:color w:val="000000"/>
              </w:rPr>
            </w:pPr>
            <w:r>
              <w:rPr>
                <w:rFonts w:ascii="Arial" w:hAnsi="Arial" w:cs="Arial"/>
                <w:color w:val="000000"/>
              </w:rPr>
              <w:t>(124)</w:t>
            </w:r>
          </w:p>
        </w:tc>
        <w:tc>
          <w:tcPr>
            <w:tcW w:w="1264" w:type="dxa"/>
            <w:tcBorders>
              <w:top w:val="nil"/>
              <w:left w:val="nil"/>
              <w:bottom w:val="single" w:sz="8" w:space="0" w:color="auto"/>
              <w:right w:val="single" w:sz="8" w:space="0" w:color="auto"/>
            </w:tcBorders>
            <w:shd w:val="clear" w:color="000000" w:fill="D9D9D9"/>
            <w:vAlign w:val="center"/>
            <w:hideMark/>
          </w:tcPr>
          <w:p w14:paraId="2D9654AB" w14:textId="01E64AD7" w:rsidR="00C51867" w:rsidRPr="005820A2" w:rsidRDefault="00C51867" w:rsidP="00C51867">
            <w:pPr>
              <w:jc w:val="right"/>
              <w:rPr>
                <w:rFonts w:ascii="Arial" w:hAnsi="Arial" w:cs="Arial"/>
                <w:b/>
                <w:bCs/>
                <w:color w:val="000000"/>
              </w:rPr>
            </w:pPr>
            <w:r>
              <w:rPr>
                <w:rFonts w:ascii="Arial" w:hAnsi="Arial" w:cs="Arial"/>
                <w:b/>
                <w:bCs/>
                <w:color w:val="000000"/>
              </w:rPr>
              <w:t>22,560</w:t>
            </w:r>
          </w:p>
        </w:tc>
      </w:tr>
      <w:tr w:rsidR="00C51867" w:rsidRPr="00867925" w14:paraId="5972191F" w14:textId="77777777">
        <w:trPr>
          <w:trHeight w:val="86"/>
        </w:trPr>
        <w:tc>
          <w:tcPr>
            <w:tcW w:w="1124" w:type="dxa"/>
            <w:tcBorders>
              <w:top w:val="single" w:sz="8" w:space="0" w:color="auto"/>
              <w:left w:val="single" w:sz="4" w:space="0" w:color="auto"/>
              <w:bottom w:val="nil"/>
              <w:right w:val="nil"/>
            </w:tcBorders>
            <w:vAlign w:val="center"/>
            <w:hideMark/>
          </w:tcPr>
          <w:p w14:paraId="202803CF" w14:textId="0FE7A691" w:rsidR="00C51867" w:rsidRPr="00867925" w:rsidRDefault="00C51867" w:rsidP="00C51867">
            <w:pPr>
              <w:jc w:val="right"/>
              <w:rPr>
                <w:rFonts w:ascii="Arial" w:hAnsi="Arial" w:cs="Arial"/>
                <w:b/>
                <w:bCs/>
                <w:color w:val="000000"/>
              </w:rPr>
            </w:pPr>
            <w:r w:rsidRPr="00867925">
              <w:rPr>
                <w:rFonts w:ascii="Arial" w:hAnsi="Arial" w:cs="Arial"/>
                <w:b/>
                <w:bCs/>
                <w:color w:val="000000"/>
              </w:rPr>
              <w:t>4</w:t>
            </w:r>
            <w:r>
              <w:rPr>
                <w:rFonts w:ascii="Arial" w:hAnsi="Arial" w:cs="Arial"/>
                <w:b/>
                <w:bCs/>
                <w:color w:val="000000"/>
              </w:rPr>
              <w:t>08</w:t>
            </w:r>
            <w:r w:rsidRPr="00867925">
              <w:rPr>
                <w:rFonts w:ascii="Arial" w:hAnsi="Arial" w:cs="Arial"/>
                <w:b/>
                <w:bCs/>
                <w:color w:val="000000"/>
              </w:rPr>
              <w:t>,</w:t>
            </w:r>
            <w:r>
              <w:rPr>
                <w:rFonts w:ascii="Arial" w:hAnsi="Arial" w:cs="Arial"/>
                <w:b/>
                <w:bCs/>
                <w:color w:val="000000"/>
              </w:rPr>
              <w:t>611</w:t>
            </w:r>
          </w:p>
        </w:tc>
        <w:tc>
          <w:tcPr>
            <w:tcW w:w="1276" w:type="dxa"/>
            <w:tcBorders>
              <w:top w:val="single" w:sz="8" w:space="0" w:color="auto"/>
              <w:left w:val="nil"/>
              <w:bottom w:val="nil"/>
              <w:right w:val="nil"/>
            </w:tcBorders>
            <w:vAlign w:val="center"/>
            <w:hideMark/>
          </w:tcPr>
          <w:p w14:paraId="3A26ED0C" w14:textId="6748EE57" w:rsidR="00C51867" w:rsidRPr="00867925" w:rsidRDefault="00C51867" w:rsidP="00C51867">
            <w:pPr>
              <w:jc w:val="right"/>
              <w:rPr>
                <w:rFonts w:ascii="Arial" w:hAnsi="Arial" w:cs="Arial"/>
                <w:b/>
                <w:bCs/>
                <w:color w:val="000000"/>
              </w:rPr>
            </w:pPr>
            <w:r w:rsidRPr="00867925">
              <w:rPr>
                <w:rFonts w:ascii="Arial" w:hAnsi="Arial" w:cs="Arial"/>
                <w:b/>
                <w:bCs/>
                <w:color w:val="000000"/>
              </w:rPr>
              <w:t>(</w:t>
            </w:r>
            <w:r>
              <w:rPr>
                <w:rFonts w:ascii="Arial" w:hAnsi="Arial" w:cs="Arial"/>
                <w:b/>
                <w:bCs/>
                <w:color w:val="000000"/>
              </w:rPr>
              <w:t>50</w:t>
            </w:r>
            <w:r w:rsidRPr="00867925">
              <w:rPr>
                <w:rFonts w:ascii="Arial" w:hAnsi="Arial" w:cs="Arial"/>
                <w:b/>
                <w:bCs/>
                <w:color w:val="000000"/>
              </w:rPr>
              <w:t>,</w:t>
            </w:r>
            <w:r>
              <w:rPr>
                <w:rFonts w:ascii="Arial" w:hAnsi="Arial" w:cs="Arial"/>
                <w:b/>
                <w:bCs/>
                <w:color w:val="000000"/>
              </w:rPr>
              <w:t>550</w:t>
            </w:r>
            <w:r w:rsidRPr="00867925">
              <w:rPr>
                <w:rFonts w:ascii="Arial" w:hAnsi="Arial" w:cs="Arial"/>
                <w:b/>
                <w:bCs/>
                <w:color w:val="000000"/>
              </w:rPr>
              <w:t>)</w:t>
            </w:r>
          </w:p>
        </w:tc>
        <w:tc>
          <w:tcPr>
            <w:tcW w:w="1276" w:type="dxa"/>
            <w:tcBorders>
              <w:top w:val="single" w:sz="8" w:space="0" w:color="auto"/>
              <w:left w:val="nil"/>
              <w:bottom w:val="nil"/>
              <w:right w:val="nil"/>
            </w:tcBorders>
            <w:vAlign w:val="center"/>
            <w:hideMark/>
          </w:tcPr>
          <w:p w14:paraId="0260BED4" w14:textId="5DF3468F" w:rsidR="00C51867" w:rsidRPr="00867925" w:rsidRDefault="00C51867" w:rsidP="00C51867">
            <w:pPr>
              <w:jc w:val="right"/>
              <w:rPr>
                <w:rFonts w:ascii="Arial" w:hAnsi="Arial" w:cs="Arial"/>
                <w:b/>
                <w:bCs/>
                <w:color w:val="000000"/>
              </w:rPr>
            </w:pPr>
            <w:r>
              <w:rPr>
                <w:rFonts w:ascii="Arial" w:hAnsi="Arial" w:cs="Arial"/>
                <w:b/>
                <w:bCs/>
                <w:color w:val="000000"/>
              </w:rPr>
              <w:t>358</w:t>
            </w:r>
            <w:r w:rsidRPr="00867925">
              <w:rPr>
                <w:rFonts w:ascii="Arial" w:hAnsi="Arial" w:cs="Arial"/>
                <w:b/>
                <w:bCs/>
                <w:color w:val="000000"/>
              </w:rPr>
              <w:t>,</w:t>
            </w:r>
            <w:r>
              <w:rPr>
                <w:rFonts w:ascii="Arial" w:hAnsi="Arial" w:cs="Arial"/>
                <w:b/>
                <w:bCs/>
                <w:color w:val="000000"/>
              </w:rPr>
              <w:t>061</w:t>
            </w:r>
          </w:p>
        </w:tc>
        <w:tc>
          <w:tcPr>
            <w:tcW w:w="2551" w:type="dxa"/>
            <w:tcBorders>
              <w:top w:val="nil"/>
              <w:left w:val="nil"/>
              <w:bottom w:val="nil"/>
              <w:right w:val="nil"/>
            </w:tcBorders>
            <w:shd w:val="clear" w:color="000000" w:fill="D9D9D9"/>
            <w:vAlign w:val="center"/>
            <w:hideMark/>
          </w:tcPr>
          <w:p w14:paraId="548579D8" w14:textId="77777777" w:rsidR="00C51867" w:rsidRPr="00867925" w:rsidRDefault="00C51867" w:rsidP="00C51867">
            <w:pPr>
              <w:rPr>
                <w:rFonts w:ascii="Arial" w:hAnsi="Arial" w:cs="Arial"/>
                <w:b/>
                <w:bCs/>
                <w:color w:val="000000"/>
              </w:rPr>
            </w:pPr>
            <w:r w:rsidRPr="00867925">
              <w:rPr>
                <w:rFonts w:ascii="Arial" w:hAnsi="Arial" w:cs="Arial"/>
                <w:b/>
                <w:bCs/>
                <w:color w:val="000000"/>
              </w:rPr>
              <w:t>Net Cost of Services</w:t>
            </w:r>
          </w:p>
        </w:tc>
        <w:tc>
          <w:tcPr>
            <w:tcW w:w="1124" w:type="dxa"/>
            <w:tcBorders>
              <w:top w:val="single" w:sz="8" w:space="0" w:color="auto"/>
              <w:left w:val="nil"/>
              <w:bottom w:val="nil"/>
              <w:right w:val="nil"/>
            </w:tcBorders>
            <w:shd w:val="clear" w:color="000000" w:fill="D9D9D9"/>
            <w:vAlign w:val="center"/>
            <w:hideMark/>
          </w:tcPr>
          <w:p w14:paraId="1FA04178" w14:textId="7445C5F6" w:rsidR="00C51867" w:rsidRPr="00867925" w:rsidRDefault="00C51867" w:rsidP="00C51867">
            <w:pPr>
              <w:jc w:val="right"/>
              <w:rPr>
                <w:rFonts w:ascii="Arial" w:hAnsi="Arial" w:cs="Arial"/>
                <w:b/>
                <w:bCs/>
                <w:color w:val="000000"/>
              </w:rPr>
            </w:pPr>
            <w:r>
              <w:rPr>
                <w:rFonts w:ascii="Arial" w:hAnsi="Arial" w:cs="Arial"/>
                <w:b/>
                <w:bCs/>
                <w:color w:val="000000"/>
              </w:rPr>
              <w:t>432,4</w:t>
            </w:r>
            <w:r w:rsidR="00745DCC">
              <w:rPr>
                <w:rFonts w:ascii="Arial" w:hAnsi="Arial" w:cs="Arial"/>
                <w:b/>
                <w:bCs/>
                <w:color w:val="000000"/>
              </w:rPr>
              <w:t>25</w:t>
            </w:r>
          </w:p>
        </w:tc>
        <w:tc>
          <w:tcPr>
            <w:tcW w:w="1003" w:type="dxa"/>
            <w:tcBorders>
              <w:top w:val="single" w:sz="8" w:space="0" w:color="auto"/>
              <w:left w:val="nil"/>
              <w:bottom w:val="nil"/>
              <w:right w:val="nil"/>
            </w:tcBorders>
            <w:shd w:val="clear" w:color="000000" w:fill="D9D9D9"/>
            <w:vAlign w:val="center"/>
            <w:hideMark/>
          </w:tcPr>
          <w:p w14:paraId="61FC5595" w14:textId="65EBDC94" w:rsidR="00C51867" w:rsidRPr="00867925" w:rsidRDefault="00C51867" w:rsidP="00C51867">
            <w:pPr>
              <w:jc w:val="right"/>
              <w:rPr>
                <w:rFonts w:ascii="Arial" w:hAnsi="Arial" w:cs="Arial"/>
                <w:b/>
                <w:bCs/>
                <w:color w:val="000000"/>
              </w:rPr>
            </w:pPr>
            <w:r>
              <w:rPr>
                <w:rFonts w:ascii="Arial" w:hAnsi="Arial" w:cs="Arial"/>
                <w:b/>
                <w:bCs/>
                <w:color w:val="000000"/>
              </w:rPr>
              <w:t>(59,922)</w:t>
            </w:r>
          </w:p>
        </w:tc>
        <w:tc>
          <w:tcPr>
            <w:tcW w:w="1264" w:type="dxa"/>
            <w:tcBorders>
              <w:top w:val="nil"/>
              <w:left w:val="nil"/>
              <w:bottom w:val="nil"/>
              <w:right w:val="single" w:sz="8" w:space="0" w:color="auto"/>
            </w:tcBorders>
            <w:shd w:val="clear" w:color="000000" w:fill="D9D9D9"/>
            <w:vAlign w:val="center"/>
            <w:hideMark/>
          </w:tcPr>
          <w:p w14:paraId="286C2FCA" w14:textId="33C8541F" w:rsidR="00C51867" w:rsidRPr="00867925" w:rsidRDefault="00C51867" w:rsidP="00C51867">
            <w:pPr>
              <w:jc w:val="right"/>
              <w:rPr>
                <w:rFonts w:ascii="Arial" w:hAnsi="Arial" w:cs="Arial"/>
                <w:b/>
                <w:bCs/>
                <w:color w:val="000000"/>
              </w:rPr>
            </w:pPr>
            <w:r>
              <w:rPr>
                <w:rFonts w:ascii="Arial" w:hAnsi="Arial" w:cs="Arial"/>
                <w:b/>
                <w:bCs/>
                <w:color w:val="000000"/>
              </w:rPr>
              <w:t>372,</w:t>
            </w:r>
            <w:r w:rsidR="00745DCC">
              <w:rPr>
                <w:rFonts w:ascii="Arial" w:hAnsi="Arial" w:cs="Arial"/>
                <w:b/>
                <w:bCs/>
                <w:color w:val="000000"/>
              </w:rPr>
              <w:t>503</w:t>
            </w:r>
          </w:p>
        </w:tc>
      </w:tr>
      <w:tr w:rsidR="00681F6E" w:rsidRPr="00867925" w14:paraId="047CBC01" w14:textId="77777777" w:rsidTr="005E2F77">
        <w:trPr>
          <w:trHeight w:val="28"/>
        </w:trPr>
        <w:tc>
          <w:tcPr>
            <w:tcW w:w="1124" w:type="dxa"/>
            <w:tcBorders>
              <w:top w:val="nil"/>
              <w:left w:val="single" w:sz="8" w:space="0" w:color="auto"/>
              <w:bottom w:val="nil"/>
              <w:right w:val="nil"/>
            </w:tcBorders>
            <w:vAlign w:val="center"/>
            <w:hideMark/>
          </w:tcPr>
          <w:p w14:paraId="093A91B5" w14:textId="77777777" w:rsidR="00867925" w:rsidRPr="00867925" w:rsidRDefault="00867925" w:rsidP="00867925">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26F47F42" w14:textId="77777777" w:rsidR="00867925" w:rsidRPr="00867925" w:rsidRDefault="00867925" w:rsidP="00867925">
            <w:pPr>
              <w:jc w:val="right"/>
              <w:rPr>
                <w:rFonts w:ascii="Arial" w:hAnsi="Arial" w:cs="Arial"/>
                <w:color w:val="000000"/>
              </w:rPr>
            </w:pPr>
          </w:p>
        </w:tc>
        <w:tc>
          <w:tcPr>
            <w:tcW w:w="1276" w:type="dxa"/>
            <w:tcBorders>
              <w:top w:val="nil"/>
              <w:left w:val="nil"/>
              <w:bottom w:val="nil"/>
              <w:right w:val="nil"/>
            </w:tcBorders>
            <w:vAlign w:val="center"/>
            <w:hideMark/>
          </w:tcPr>
          <w:p w14:paraId="0CC2CACA" w14:textId="77777777" w:rsidR="00867925" w:rsidRPr="00867925" w:rsidRDefault="00867925" w:rsidP="00867925">
            <w:pPr>
              <w:jc w:val="right"/>
            </w:pPr>
          </w:p>
        </w:tc>
        <w:tc>
          <w:tcPr>
            <w:tcW w:w="2551" w:type="dxa"/>
            <w:tcBorders>
              <w:top w:val="nil"/>
              <w:left w:val="nil"/>
              <w:bottom w:val="nil"/>
              <w:right w:val="nil"/>
            </w:tcBorders>
            <w:shd w:val="clear" w:color="000000" w:fill="D9D9D9"/>
            <w:vAlign w:val="center"/>
            <w:hideMark/>
          </w:tcPr>
          <w:p w14:paraId="27EA699F" w14:textId="77777777" w:rsidR="00867925" w:rsidRPr="00867925" w:rsidRDefault="00867925" w:rsidP="00867925">
            <w:pPr>
              <w:jc w:val="center"/>
              <w:rPr>
                <w:rFonts w:ascii="Arial" w:hAnsi="Arial" w:cs="Arial"/>
                <w:b/>
                <w:bCs/>
                <w:color w:val="000000"/>
              </w:rPr>
            </w:pPr>
            <w:r w:rsidRPr="00867925">
              <w:rPr>
                <w:rFonts w:ascii="Arial" w:hAnsi="Arial" w:cs="Arial"/>
                <w:b/>
                <w:bCs/>
                <w:color w:val="000000"/>
              </w:rPr>
              <w:t> </w:t>
            </w:r>
          </w:p>
        </w:tc>
        <w:tc>
          <w:tcPr>
            <w:tcW w:w="1124" w:type="dxa"/>
            <w:tcBorders>
              <w:top w:val="nil"/>
              <w:left w:val="nil"/>
              <w:bottom w:val="nil"/>
              <w:right w:val="nil"/>
            </w:tcBorders>
            <w:shd w:val="clear" w:color="000000" w:fill="D9D9D9"/>
            <w:vAlign w:val="center"/>
            <w:hideMark/>
          </w:tcPr>
          <w:p w14:paraId="66E2C21D" w14:textId="77777777" w:rsidR="00867925" w:rsidRPr="00867925" w:rsidRDefault="00867925" w:rsidP="00867925">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243DCC12" w14:textId="77777777" w:rsidR="00867925" w:rsidRPr="00867925" w:rsidRDefault="00867925" w:rsidP="00867925">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71CA99D7" w14:textId="77777777" w:rsidR="00867925" w:rsidRPr="00867925" w:rsidRDefault="00867925" w:rsidP="00867925">
            <w:pPr>
              <w:jc w:val="right"/>
              <w:rPr>
                <w:rFonts w:ascii="Arial" w:hAnsi="Arial" w:cs="Arial"/>
                <w:b/>
                <w:bCs/>
                <w:color w:val="000000"/>
              </w:rPr>
            </w:pPr>
            <w:r w:rsidRPr="00867925">
              <w:rPr>
                <w:rFonts w:ascii="Arial" w:hAnsi="Arial" w:cs="Arial"/>
                <w:b/>
                <w:bCs/>
                <w:color w:val="000000"/>
              </w:rPr>
              <w:t> </w:t>
            </w:r>
          </w:p>
        </w:tc>
      </w:tr>
      <w:tr w:rsidR="00B93A08" w:rsidRPr="00867925" w14:paraId="036BEF8E" w14:textId="77777777" w:rsidTr="005E2F77">
        <w:trPr>
          <w:trHeight w:val="176"/>
        </w:trPr>
        <w:tc>
          <w:tcPr>
            <w:tcW w:w="1124" w:type="dxa"/>
            <w:tcBorders>
              <w:top w:val="nil"/>
              <w:left w:val="single" w:sz="8" w:space="0" w:color="auto"/>
              <w:bottom w:val="nil"/>
              <w:right w:val="nil"/>
            </w:tcBorders>
            <w:vAlign w:val="center"/>
            <w:hideMark/>
          </w:tcPr>
          <w:p w14:paraId="40451F3F"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36CC8629" w14:textId="77777777" w:rsidR="00B93A08" w:rsidRPr="00867925" w:rsidRDefault="00B93A08" w:rsidP="00B93A08">
            <w:pPr>
              <w:jc w:val="right"/>
              <w:rPr>
                <w:rFonts w:ascii="Arial" w:hAnsi="Arial" w:cs="Arial"/>
                <w:color w:val="000000"/>
              </w:rPr>
            </w:pPr>
          </w:p>
        </w:tc>
        <w:tc>
          <w:tcPr>
            <w:tcW w:w="1276" w:type="dxa"/>
            <w:tcBorders>
              <w:top w:val="nil"/>
              <w:left w:val="nil"/>
              <w:bottom w:val="nil"/>
              <w:right w:val="nil"/>
            </w:tcBorders>
            <w:vAlign w:val="center"/>
            <w:hideMark/>
          </w:tcPr>
          <w:p w14:paraId="5F43974D" w14:textId="2EB02990" w:rsidR="00B93A08" w:rsidRPr="00867925" w:rsidRDefault="00B93A08" w:rsidP="00B93A08">
            <w:pPr>
              <w:jc w:val="right"/>
              <w:rPr>
                <w:rFonts w:ascii="Arial" w:hAnsi="Arial" w:cs="Arial"/>
                <w:b/>
                <w:bCs/>
                <w:color w:val="000000"/>
              </w:rPr>
            </w:pPr>
            <w:r w:rsidRPr="00867925">
              <w:rPr>
                <w:rFonts w:ascii="Arial" w:hAnsi="Arial" w:cs="Arial"/>
                <w:b/>
                <w:bCs/>
                <w:color w:val="000000"/>
              </w:rPr>
              <w:t>1</w:t>
            </w:r>
            <w:r>
              <w:rPr>
                <w:rFonts w:ascii="Arial" w:hAnsi="Arial" w:cs="Arial"/>
                <w:b/>
                <w:bCs/>
                <w:color w:val="000000"/>
              </w:rPr>
              <w:t>1</w:t>
            </w:r>
            <w:r w:rsidRPr="00867925">
              <w:rPr>
                <w:rFonts w:ascii="Arial" w:hAnsi="Arial" w:cs="Arial"/>
                <w:b/>
                <w:bCs/>
                <w:color w:val="000000"/>
              </w:rPr>
              <w:t>9</w:t>
            </w:r>
          </w:p>
        </w:tc>
        <w:tc>
          <w:tcPr>
            <w:tcW w:w="2551" w:type="dxa"/>
            <w:tcBorders>
              <w:top w:val="nil"/>
              <w:left w:val="nil"/>
              <w:bottom w:val="nil"/>
              <w:right w:val="nil"/>
            </w:tcBorders>
            <w:shd w:val="clear" w:color="000000" w:fill="D9D9D9"/>
            <w:vAlign w:val="center"/>
            <w:hideMark/>
          </w:tcPr>
          <w:p w14:paraId="3F105EF5" w14:textId="77777777" w:rsidR="00B93A08" w:rsidRPr="00867925" w:rsidRDefault="00B93A08" w:rsidP="00B93A08">
            <w:pPr>
              <w:rPr>
                <w:rFonts w:ascii="Arial" w:hAnsi="Arial" w:cs="Arial"/>
                <w:color w:val="000000"/>
              </w:rPr>
            </w:pPr>
            <w:r w:rsidRPr="00867925">
              <w:rPr>
                <w:rFonts w:ascii="Arial" w:hAnsi="Arial" w:cs="Arial"/>
                <w:color w:val="000000"/>
              </w:rPr>
              <w:t>Other operating Income &amp; expenditure (Note 11)</w:t>
            </w:r>
          </w:p>
        </w:tc>
        <w:tc>
          <w:tcPr>
            <w:tcW w:w="1124" w:type="dxa"/>
            <w:tcBorders>
              <w:top w:val="nil"/>
              <w:left w:val="nil"/>
              <w:bottom w:val="nil"/>
              <w:right w:val="nil"/>
            </w:tcBorders>
            <w:shd w:val="clear" w:color="000000" w:fill="D9D9D9"/>
            <w:vAlign w:val="center"/>
            <w:hideMark/>
          </w:tcPr>
          <w:p w14:paraId="7217ABC0"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1124E149"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4EE35CCC" w14:textId="3BC10294" w:rsidR="00B93A08" w:rsidRPr="00867925" w:rsidRDefault="00B93A08" w:rsidP="00B93A08">
            <w:pPr>
              <w:jc w:val="right"/>
              <w:rPr>
                <w:rFonts w:ascii="Arial" w:hAnsi="Arial" w:cs="Arial"/>
                <w:b/>
                <w:bCs/>
                <w:color w:val="000000"/>
              </w:rPr>
            </w:pPr>
            <w:r>
              <w:rPr>
                <w:rFonts w:ascii="Arial" w:hAnsi="Arial" w:cs="Arial"/>
                <w:b/>
                <w:bCs/>
                <w:color w:val="000000"/>
              </w:rPr>
              <w:t>(24)</w:t>
            </w:r>
          </w:p>
        </w:tc>
      </w:tr>
      <w:tr w:rsidR="00B93A08" w:rsidRPr="00867925" w14:paraId="0DDC5E91" w14:textId="77777777" w:rsidTr="005E2F77">
        <w:trPr>
          <w:trHeight w:val="265"/>
        </w:trPr>
        <w:tc>
          <w:tcPr>
            <w:tcW w:w="1124" w:type="dxa"/>
            <w:tcBorders>
              <w:top w:val="nil"/>
              <w:left w:val="single" w:sz="8" w:space="0" w:color="auto"/>
              <w:bottom w:val="nil"/>
              <w:right w:val="nil"/>
            </w:tcBorders>
            <w:vAlign w:val="center"/>
            <w:hideMark/>
          </w:tcPr>
          <w:p w14:paraId="5ED1CE36"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31E0CD3A" w14:textId="77777777" w:rsidR="00B93A08" w:rsidRPr="00867925" w:rsidRDefault="00B93A08" w:rsidP="00B93A08">
            <w:pPr>
              <w:jc w:val="right"/>
              <w:rPr>
                <w:rFonts w:ascii="Arial" w:hAnsi="Arial" w:cs="Arial"/>
                <w:color w:val="000000"/>
              </w:rPr>
            </w:pPr>
          </w:p>
        </w:tc>
        <w:tc>
          <w:tcPr>
            <w:tcW w:w="1276" w:type="dxa"/>
            <w:tcBorders>
              <w:top w:val="nil"/>
              <w:left w:val="nil"/>
              <w:bottom w:val="nil"/>
              <w:right w:val="nil"/>
            </w:tcBorders>
            <w:vAlign w:val="center"/>
            <w:hideMark/>
          </w:tcPr>
          <w:p w14:paraId="182DFB38" w14:textId="5C42197D" w:rsidR="00B93A08" w:rsidRPr="00867925" w:rsidRDefault="00B93A08" w:rsidP="00B93A08">
            <w:pPr>
              <w:jc w:val="right"/>
              <w:rPr>
                <w:rFonts w:ascii="Arial" w:hAnsi="Arial" w:cs="Arial"/>
                <w:b/>
                <w:bCs/>
                <w:color w:val="000000"/>
              </w:rPr>
            </w:pPr>
            <w:r w:rsidRPr="00867925">
              <w:rPr>
                <w:rFonts w:ascii="Arial" w:hAnsi="Arial" w:cs="Arial"/>
                <w:b/>
                <w:bCs/>
                <w:color w:val="000000"/>
              </w:rPr>
              <w:t>1</w:t>
            </w:r>
            <w:r>
              <w:rPr>
                <w:rFonts w:ascii="Arial" w:hAnsi="Arial" w:cs="Arial"/>
                <w:b/>
                <w:bCs/>
                <w:color w:val="000000"/>
              </w:rPr>
              <w:t>34</w:t>
            </w:r>
            <w:r w:rsidRPr="00867925">
              <w:rPr>
                <w:rFonts w:ascii="Arial" w:hAnsi="Arial" w:cs="Arial"/>
                <w:b/>
                <w:bCs/>
                <w:color w:val="000000"/>
              </w:rPr>
              <w:t>,</w:t>
            </w:r>
            <w:r>
              <w:rPr>
                <w:rFonts w:ascii="Arial" w:hAnsi="Arial" w:cs="Arial"/>
                <w:b/>
                <w:bCs/>
                <w:color w:val="000000"/>
              </w:rPr>
              <w:t>237</w:t>
            </w:r>
          </w:p>
        </w:tc>
        <w:tc>
          <w:tcPr>
            <w:tcW w:w="2551" w:type="dxa"/>
            <w:tcBorders>
              <w:top w:val="nil"/>
              <w:left w:val="nil"/>
              <w:bottom w:val="nil"/>
              <w:right w:val="nil"/>
            </w:tcBorders>
            <w:shd w:val="clear" w:color="000000" w:fill="D9D9D9"/>
            <w:vAlign w:val="center"/>
            <w:hideMark/>
          </w:tcPr>
          <w:p w14:paraId="370B6252" w14:textId="77777777" w:rsidR="00B93A08" w:rsidRPr="00867925" w:rsidRDefault="00B93A08" w:rsidP="00B93A08">
            <w:pPr>
              <w:rPr>
                <w:rFonts w:ascii="Arial" w:hAnsi="Arial" w:cs="Arial"/>
                <w:color w:val="000000"/>
              </w:rPr>
            </w:pPr>
            <w:r w:rsidRPr="00867925">
              <w:rPr>
                <w:rFonts w:ascii="Arial" w:hAnsi="Arial" w:cs="Arial"/>
                <w:color w:val="000000"/>
              </w:rPr>
              <w:t>Financing &amp; investment income &amp; expenditure (Note 12)</w:t>
            </w:r>
          </w:p>
        </w:tc>
        <w:tc>
          <w:tcPr>
            <w:tcW w:w="1124" w:type="dxa"/>
            <w:tcBorders>
              <w:top w:val="nil"/>
              <w:left w:val="nil"/>
              <w:bottom w:val="nil"/>
              <w:right w:val="nil"/>
            </w:tcBorders>
            <w:shd w:val="clear" w:color="000000" w:fill="D9D9D9"/>
            <w:vAlign w:val="center"/>
            <w:hideMark/>
          </w:tcPr>
          <w:p w14:paraId="4AC7A87F"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6897FFA1"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2A36A81E" w14:textId="125378D1" w:rsidR="00B93A08" w:rsidRPr="00440F2C" w:rsidRDefault="00B93A08" w:rsidP="00B93A08">
            <w:pPr>
              <w:jc w:val="right"/>
              <w:rPr>
                <w:rFonts w:ascii="Arial" w:hAnsi="Arial" w:cs="Arial"/>
                <w:b/>
                <w:bCs/>
                <w:color w:val="000000"/>
              </w:rPr>
            </w:pPr>
            <w:r>
              <w:rPr>
                <w:rFonts w:ascii="Arial" w:hAnsi="Arial" w:cs="Arial"/>
                <w:b/>
                <w:bCs/>
                <w:color w:val="000000"/>
              </w:rPr>
              <w:t>138,835</w:t>
            </w:r>
          </w:p>
        </w:tc>
      </w:tr>
      <w:tr w:rsidR="00B93A08" w:rsidRPr="00867925" w14:paraId="600AAB8F" w14:textId="77777777" w:rsidTr="005E2F77">
        <w:trPr>
          <w:trHeight w:val="176"/>
        </w:trPr>
        <w:tc>
          <w:tcPr>
            <w:tcW w:w="1124" w:type="dxa"/>
            <w:tcBorders>
              <w:top w:val="nil"/>
              <w:left w:val="single" w:sz="8" w:space="0" w:color="auto"/>
              <w:bottom w:val="nil"/>
              <w:right w:val="nil"/>
            </w:tcBorders>
            <w:vAlign w:val="center"/>
            <w:hideMark/>
          </w:tcPr>
          <w:p w14:paraId="5A24A815"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4B510B70" w14:textId="77777777" w:rsidR="00B93A08" w:rsidRPr="00867925" w:rsidRDefault="00B93A08" w:rsidP="00B93A08">
            <w:pPr>
              <w:jc w:val="right"/>
              <w:rPr>
                <w:rFonts w:ascii="Arial" w:hAnsi="Arial" w:cs="Arial"/>
                <w:color w:val="000000"/>
              </w:rPr>
            </w:pPr>
          </w:p>
        </w:tc>
        <w:tc>
          <w:tcPr>
            <w:tcW w:w="1276" w:type="dxa"/>
            <w:tcBorders>
              <w:top w:val="nil"/>
              <w:left w:val="nil"/>
              <w:bottom w:val="single" w:sz="8" w:space="0" w:color="auto"/>
              <w:right w:val="nil"/>
            </w:tcBorders>
            <w:vAlign w:val="center"/>
            <w:hideMark/>
          </w:tcPr>
          <w:p w14:paraId="7F30B168" w14:textId="0C788FE0" w:rsidR="00B93A08" w:rsidRPr="00867925" w:rsidRDefault="00B93A08" w:rsidP="00B93A08">
            <w:pPr>
              <w:jc w:val="right"/>
              <w:rPr>
                <w:rFonts w:ascii="Arial" w:hAnsi="Arial" w:cs="Arial"/>
                <w:b/>
                <w:bCs/>
                <w:color w:val="000000"/>
              </w:rPr>
            </w:pPr>
            <w:r w:rsidRPr="00867925">
              <w:rPr>
                <w:rFonts w:ascii="Arial" w:hAnsi="Arial" w:cs="Arial"/>
                <w:b/>
                <w:bCs/>
                <w:color w:val="000000"/>
              </w:rPr>
              <w:t>(</w:t>
            </w:r>
            <w:r>
              <w:rPr>
                <w:rFonts w:ascii="Arial" w:hAnsi="Arial" w:cs="Arial"/>
                <w:b/>
                <w:bCs/>
                <w:color w:val="000000"/>
              </w:rPr>
              <w:t>414</w:t>
            </w:r>
            <w:r w:rsidRPr="00867925">
              <w:rPr>
                <w:rFonts w:ascii="Arial" w:hAnsi="Arial" w:cs="Arial"/>
                <w:b/>
                <w:bCs/>
                <w:color w:val="000000"/>
              </w:rPr>
              <w:t>,</w:t>
            </w:r>
            <w:r>
              <w:rPr>
                <w:rFonts w:ascii="Arial" w:hAnsi="Arial" w:cs="Arial"/>
                <w:b/>
                <w:bCs/>
                <w:color w:val="000000"/>
              </w:rPr>
              <w:t>896</w:t>
            </w:r>
            <w:r w:rsidRPr="00867925">
              <w:rPr>
                <w:rFonts w:ascii="Arial" w:hAnsi="Arial" w:cs="Arial"/>
                <w:b/>
                <w:bCs/>
                <w:color w:val="000000"/>
              </w:rPr>
              <w:t>)</w:t>
            </w:r>
          </w:p>
        </w:tc>
        <w:tc>
          <w:tcPr>
            <w:tcW w:w="2551" w:type="dxa"/>
            <w:tcBorders>
              <w:top w:val="nil"/>
              <w:left w:val="nil"/>
              <w:bottom w:val="nil"/>
              <w:right w:val="nil"/>
            </w:tcBorders>
            <w:shd w:val="clear" w:color="000000" w:fill="D9D9D9"/>
            <w:vAlign w:val="center"/>
            <w:hideMark/>
          </w:tcPr>
          <w:p w14:paraId="0A12EE4D" w14:textId="77777777" w:rsidR="00B93A08" w:rsidRPr="00867925" w:rsidRDefault="00B93A08" w:rsidP="00B93A08">
            <w:pPr>
              <w:rPr>
                <w:rFonts w:ascii="Arial" w:hAnsi="Arial" w:cs="Arial"/>
                <w:color w:val="000000"/>
              </w:rPr>
            </w:pPr>
            <w:r w:rsidRPr="00867925">
              <w:rPr>
                <w:rFonts w:ascii="Arial" w:hAnsi="Arial" w:cs="Arial"/>
                <w:color w:val="000000"/>
              </w:rPr>
              <w:t>Taxation &amp; non-specific grant income (Note 13)</w:t>
            </w:r>
          </w:p>
        </w:tc>
        <w:tc>
          <w:tcPr>
            <w:tcW w:w="1124" w:type="dxa"/>
            <w:tcBorders>
              <w:top w:val="nil"/>
              <w:left w:val="nil"/>
              <w:bottom w:val="nil"/>
              <w:right w:val="nil"/>
            </w:tcBorders>
            <w:shd w:val="clear" w:color="000000" w:fill="D9D9D9"/>
            <w:vAlign w:val="center"/>
            <w:hideMark/>
          </w:tcPr>
          <w:p w14:paraId="134CBBD8"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01CF05F8"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single" w:sz="8" w:space="0" w:color="auto"/>
              <w:right w:val="single" w:sz="8" w:space="0" w:color="auto"/>
            </w:tcBorders>
            <w:shd w:val="clear" w:color="000000" w:fill="D9D9D9"/>
            <w:vAlign w:val="center"/>
            <w:hideMark/>
          </w:tcPr>
          <w:p w14:paraId="7E24ACEB" w14:textId="113524D9" w:rsidR="00B93A08" w:rsidRPr="00867925" w:rsidRDefault="00B93A08" w:rsidP="00B93A08">
            <w:pPr>
              <w:jc w:val="right"/>
              <w:rPr>
                <w:rFonts w:ascii="Arial" w:hAnsi="Arial" w:cs="Arial"/>
                <w:b/>
                <w:bCs/>
                <w:color w:val="000000"/>
              </w:rPr>
            </w:pPr>
            <w:r>
              <w:rPr>
                <w:rFonts w:ascii="Arial" w:hAnsi="Arial" w:cs="Arial"/>
                <w:b/>
                <w:bCs/>
                <w:color w:val="000000"/>
              </w:rPr>
              <w:t>(438,344)</w:t>
            </w:r>
          </w:p>
        </w:tc>
      </w:tr>
      <w:tr w:rsidR="00B93A08" w:rsidRPr="00867925" w14:paraId="376CBBD3" w14:textId="77777777" w:rsidTr="005E2F77">
        <w:trPr>
          <w:trHeight w:val="176"/>
        </w:trPr>
        <w:tc>
          <w:tcPr>
            <w:tcW w:w="1124" w:type="dxa"/>
            <w:tcBorders>
              <w:top w:val="nil"/>
              <w:left w:val="single" w:sz="8" w:space="0" w:color="auto"/>
              <w:bottom w:val="nil"/>
              <w:right w:val="nil"/>
            </w:tcBorders>
            <w:vAlign w:val="center"/>
            <w:hideMark/>
          </w:tcPr>
          <w:p w14:paraId="146464FE" w14:textId="77777777" w:rsidR="00B93A08" w:rsidRPr="00867925" w:rsidRDefault="00B93A08" w:rsidP="00B93A08">
            <w:pPr>
              <w:jc w:val="right"/>
              <w:rPr>
                <w:rFonts w:ascii="Arial" w:hAnsi="Arial" w:cs="Arial"/>
                <w:b/>
                <w:bCs/>
                <w:color w:val="000000"/>
              </w:rPr>
            </w:pPr>
            <w:r w:rsidRPr="00867925">
              <w:rPr>
                <w:rFonts w:ascii="Arial" w:hAnsi="Arial" w:cs="Arial"/>
                <w:b/>
                <w:bCs/>
                <w:color w:val="000000"/>
              </w:rPr>
              <w:t> </w:t>
            </w:r>
          </w:p>
        </w:tc>
        <w:tc>
          <w:tcPr>
            <w:tcW w:w="1276" w:type="dxa"/>
            <w:tcBorders>
              <w:top w:val="nil"/>
              <w:left w:val="nil"/>
              <w:bottom w:val="nil"/>
              <w:right w:val="nil"/>
            </w:tcBorders>
            <w:vAlign w:val="center"/>
            <w:hideMark/>
          </w:tcPr>
          <w:p w14:paraId="6A832828" w14:textId="77777777" w:rsidR="00B93A08" w:rsidRPr="00867925" w:rsidRDefault="00B93A08" w:rsidP="00B93A08">
            <w:pPr>
              <w:jc w:val="right"/>
              <w:rPr>
                <w:rFonts w:ascii="Arial" w:hAnsi="Arial" w:cs="Arial"/>
                <w:b/>
                <w:bCs/>
                <w:color w:val="000000"/>
              </w:rPr>
            </w:pPr>
          </w:p>
        </w:tc>
        <w:tc>
          <w:tcPr>
            <w:tcW w:w="1276" w:type="dxa"/>
            <w:tcBorders>
              <w:top w:val="nil"/>
              <w:left w:val="nil"/>
              <w:bottom w:val="nil"/>
              <w:right w:val="nil"/>
            </w:tcBorders>
            <w:vAlign w:val="center"/>
            <w:hideMark/>
          </w:tcPr>
          <w:p w14:paraId="44A87619" w14:textId="2DCC5E36" w:rsidR="00B93A08" w:rsidRPr="00867925" w:rsidRDefault="00B93A08" w:rsidP="00B93A08">
            <w:pPr>
              <w:jc w:val="right"/>
              <w:rPr>
                <w:rFonts w:ascii="Arial" w:hAnsi="Arial" w:cs="Arial"/>
                <w:b/>
                <w:bCs/>
                <w:color w:val="000000"/>
              </w:rPr>
            </w:pPr>
            <w:r>
              <w:rPr>
                <w:rFonts w:ascii="Arial" w:hAnsi="Arial" w:cs="Arial"/>
                <w:b/>
                <w:bCs/>
                <w:color w:val="000000"/>
              </w:rPr>
              <w:t>77</w:t>
            </w:r>
            <w:r w:rsidRPr="00867925">
              <w:rPr>
                <w:rFonts w:ascii="Arial" w:hAnsi="Arial" w:cs="Arial"/>
                <w:b/>
                <w:bCs/>
                <w:color w:val="000000"/>
              </w:rPr>
              <w:t>,</w:t>
            </w:r>
            <w:r>
              <w:rPr>
                <w:rFonts w:ascii="Arial" w:hAnsi="Arial" w:cs="Arial"/>
                <w:b/>
                <w:bCs/>
                <w:color w:val="000000"/>
              </w:rPr>
              <w:t>521</w:t>
            </w:r>
          </w:p>
        </w:tc>
        <w:tc>
          <w:tcPr>
            <w:tcW w:w="2551" w:type="dxa"/>
            <w:tcBorders>
              <w:top w:val="nil"/>
              <w:left w:val="nil"/>
              <w:bottom w:val="nil"/>
              <w:right w:val="nil"/>
            </w:tcBorders>
            <w:shd w:val="clear" w:color="000000" w:fill="D9D9D9"/>
            <w:vAlign w:val="center"/>
            <w:hideMark/>
          </w:tcPr>
          <w:p w14:paraId="0DC788AF" w14:textId="77777777" w:rsidR="00B93A08" w:rsidRPr="00867925" w:rsidRDefault="00B93A08" w:rsidP="00B93A08">
            <w:pPr>
              <w:rPr>
                <w:rFonts w:ascii="Arial" w:hAnsi="Arial" w:cs="Arial"/>
                <w:b/>
                <w:bCs/>
                <w:color w:val="000000"/>
              </w:rPr>
            </w:pPr>
            <w:r w:rsidRPr="00867925">
              <w:rPr>
                <w:rFonts w:ascii="Arial" w:hAnsi="Arial" w:cs="Arial"/>
                <w:b/>
                <w:bCs/>
                <w:color w:val="000000"/>
              </w:rPr>
              <w:t>(Surplus)/Deficit on Provision of Services</w:t>
            </w:r>
          </w:p>
        </w:tc>
        <w:tc>
          <w:tcPr>
            <w:tcW w:w="1124" w:type="dxa"/>
            <w:tcBorders>
              <w:top w:val="nil"/>
              <w:left w:val="nil"/>
              <w:bottom w:val="nil"/>
              <w:right w:val="nil"/>
            </w:tcBorders>
            <w:shd w:val="clear" w:color="000000" w:fill="D9D9D9"/>
            <w:vAlign w:val="center"/>
            <w:hideMark/>
          </w:tcPr>
          <w:p w14:paraId="3AD34EC2" w14:textId="77777777" w:rsidR="00B93A08" w:rsidRPr="00867925" w:rsidRDefault="00B93A08" w:rsidP="00B93A08">
            <w:pPr>
              <w:jc w:val="right"/>
              <w:rPr>
                <w:rFonts w:ascii="Arial" w:hAnsi="Arial" w:cs="Arial"/>
                <w:b/>
                <w:bCs/>
                <w:color w:val="000000"/>
              </w:rPr>
            </w:pPr>
            <w:r w:rsidRPr="00867925">
              <w:rPr>
                <w:rFonts w:ascii="Arial" w:hAnsi="Arial" w:cs="Arial"/>
                <w:b/>
                <w:bCs/>
                <w:color w:val="000000"/>
              </w:rPr>
              <w:t> </w:t>
            </w:r>
          </w:p>
        </w:tc>
        <w:tc>
          <w:tcPr>
            <w:tcW w:w="1003" w:type="dxa"/>
            <w:tcBorders>
              <w:top w:val="nil"/>
              <w:left w:val="nil"/>
              <w:bottom w:val="nil"/>
              <w:right w:val="nil"/>
            </w:tcBorders>
            <w:shd w:val="clear" w:color="000000" w:fill="D9D9D9"/>
            <w:vAlign w:val="center"/>
            <w:hideMark/>
          </w:tcPr>
          <w:p w14:paraId="57813042" w14:textId="77777777" w:rsidR="00B93A08" w:rsidRPr="00867925" w:rsidRDefault="00B93A08" w:rsidP="00B93A08">
            <w:pPr>
              <w:jc w:val="right"/>
              <w:rPr>
                <w:rFonts w:ascii="Arial" w:hAnsi="Arial" w:cs="Arial"/>
                <w:b/>
                <w:bCs/>
                <w:color w:val="000000"/>
              </w:rPr>
            </w:pPr>
            <w:r w:rsidRPr="00867925">
              <w:rPr>
                <w:rFonts w:ascii="Arial" w:hAnsi="Arial" w:cs="Arial"/>
                <w:b/>
                <w:bCs/>
                <w:color w:val="000000"/>
              </w:rPr>
              <w:t> </w:t>
            </w:r>
          </w:p>
        </w:tc>
        <w:tc>
          <w:tcPr>
            <w:tcW w:w="1264" w:type="dxa"/>
            <w:tcBorders>
              <w:top w:val="nil"/>
              <w:left w:val="nil"/>
              <w:bottom w:val="nil"/>
              <w:right w:val="single" w:sz="8" w:space="0" w:color="auto"/>
            </w:tcBorders>
            <w:shd w:val="clear" w:color="000000" w:fill="D9D9D9"/>
            <w:vAlign w:val="center"/>
            <w:hideMark/>
          </w:tcPr>
          <w:p w14:paraId="12252E45" w14:textId="274FF684" w:rsidR="00B93A08" w:rsidRPr="00867925" w:rsidRDefault="00C51867" w:rsidP="00B93A08">
            <w:pPr>
              <w:jc w:val="right"/>
              <w:rPr>
                <w:rFonts w:ascii="Arial" w:hAnsi="Arial" w:cs="Arial"/>
                <w:b/>
                <w:bCs/>
                <w:color w:val="000000"/>
              </w:rPr>
            </w:pPr>
            <w:r w:rsidRPr="00C51867">
              <w:rPr>
                <w:rFonts w:ascii="Arial" w:hAnsi="Arial" w:cs="Arial"/>
                <w:b/>
                <w:bCs/>
                <w:color w:val="000000"/>
              </w:rPr>
              <w:t>72,</w:t>
            </w:r>
            <w:r w:rsidR="006405CA">
              <w:rPr>
                <w:rFonts w:ascii="Arial" w:hAnsi="Arial" w:cs="Arial"/>
                <w:b/>
                <w:bCs/>
                <w:color w:val="000000"/>
              </w:rPr>
              <w:t>971</w:t>
            </w:r>
          </w:p>
        </w:tc>
      </w:tr>
      <w:tr w:rsidR="00B93A08" w:rsidRPr="00867925" w14:paraId="525B96A7" w14:textId="77777777" w:rsidTr="005E2F77">
        <w:trPr>
          <w:trHeight w:val="28"/>
        </w:trPr>
        <w:tc>
          <w:tcPr>
            <w:tcW w:w="1124" w:type="dxa"/>
            <w:tcBorders>
              <w:top w:val="nil"/>
              <w:left w:val="single" w:sz="8" w:space="0" w:color="auto"/>
              <w:bottom w:val="nil"/>
              <w:right w:val="nil"/>
            </w:tcBorders>
            <w:vAlign w:val="center"/>
            <w:hideMark/>
          </w:tcPr>
          <w:p w14:paraId="616E4E50"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5FBF49E6" w14:textId="77777777" w:rsidR="00B93A08" w:rsidRPr="00867925" w:rsidRDefault="00B93A08" w:rsidP="00B93A08">
            <w:pPr>
              <w:jc w:val="right"/>
              <w:rPr>
                <w:rFonts w:ascii="Arial" w:hAnsi="Arial" w:cs="Arial"/>
                <w:color w:val="000000"/>
              </w:rPr>
            </w:pPr>
          </w:p>
        </w:tc>
        <w:tc>
          <w:tcPr>
            <w:tcW w:w="1276" w:type="dxa"/>
            <w:tcBorders>
              <w:top w:val="nil"/>
              <w:left w:val="nil"/>
              <w:bottom w:val="nil"/>
              <w:right w:val="nil"/>
            </w:tcBorders>
            <w:vAlign w:val="center"/>
            <w:hideMark/>
          </w:tcPr>
          <w:p w14:paraId="4882D98A" w14:textId="77777777" w:rsidR="00B93A08" w:rsidRPr="00867925" w:rsidRDefault="00B93A08" w:rsidP="00B93A08">
            <w:pPr>
              <w:jc w:val="right"/>
            </w:pPr>
          </w:p>
        </w:tc>
        <w:tc>
          <w:tcPr>
            <w:tcW w:w="2551" w:type="dxa"/>
            <w:tcBorders>
              <w:top w:val="nil"/>
              <w:left w:val="nil"/>
              <w:bottom w:val="nil"/>
              <w:right w:val="nil"/>
            </w:tcBorders>
            <w:shd w:val="clear" w:color="000000" w:fill="D9D9D9"/>
            <w:vAlign w:val="center"/>
            <w:hideMark/>
          </w:tcPr>
          <w:p w14:paraId="5EE06CEE" w14:textId="77777777" w:rsidR="00B93A08" w:rsidRPr="00867925" w:rsidRDefault="00B93A08" w:rsidP="00B93A08">
            <w:pPr>
              <w:jc w:val="center"/>
              <w:rPr>
                <w:rFonts w:ascii="Arial" w:hAnsi="Arial" w:cs="Arial"/>
                <w:b/>
                <w:bCs/>
                <w:color w:val="000000"/>
              </w:rPr>
            </w:pPr>
            <w:r w:rsidRPr="00867925">
              <w:rPr>
                <w:rFonts w:ascii="Arial" w:hAnsi="Arial" w:cs="Arial"/>
                <w:b/>
                <w:bCs/>
                <w:color w:val="000000"/>
              </w:rPr>
              <w:t> </w:t>
            </w:r>
          </w:p>
        </w:tc>
        <w:tc>
          <w:tcPr>
            <w:tcW w:w="1124" w:type="dxa"/>
            <w:tcBorders>
              <w:top w:val="nil"/>
              <w:left w:val="nil"/>
              <w:bottom w:val="nil"/>
              <w:right w:val="nil"/>
            </w:tcBorders>
            <w:shd w:val="clear" w:color="000000" w:fill="D9D9D9"/>
            <w:vAlign w:val="center"/>
            <w:hideMark/>
          </w:tcPr>
          <w:p w14:paraId="62BFD295"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73FE7C16"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04EB4FA8" w14:textId="12C8966B" w:rsidR="00B93A08" w:rsidRPr="00867925" w:rsidRDefault="00B93A08" w:rsidP="00B93A08">
            <w:pPr>
              <w:jc w:val="right"/>
              <w:rPr>
                <w:rFonts w:ascii="Arial" w:hAnsi="Arial" w:cs="Arial"/>
                <w:b/>
                <w:bCs/>
                <w:color w:val="000000"/>
              </w:rPr>
            </w:pPr>
            <w:r>
              <w:rPr>
                <w:rFonts w:ascii="Arial" w:hAnsi="Arial" w:cs="Arial"/>
                <w:b/>
                <w:bCs/>
                <w:color w:val="000000"/>
              </w:rPr>
              <w:t> </w:t>
            </w:r>
          </w:p>
        </w:tc>
      </w:tr>
      <w:tr w:rsidR="00B93A08" w:rsidRPr="00867925" w14:paraId="0387F832" w14:textId="77777777" w:rsidTr="005E2F77">
        <w:trPr>
          <w:trHeight w:val="265"/>
        </w:trPr>
        <w:tc>
          <w:tcPr>
            <w:tcW w:w="1124" w:type="dxa"/>
            <w:tcBorders>
              <w:top w:val="nil"/>
              <w:left w:val="single" w:sz="8" w:space="0" w:color="auto"/>
              <w:bottom w:val="nil"/>
              <w:right w:val="nil"/>
            </w:tcBorders>
            <w:vAlign w:val="center"/>
            <w:hideMark/>
          </w:tcPr>
          <w:p w14:paraId="1EAF6E78"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4B2DB75A" w14:textId="77777777" w:rsidR="00B93A08" w:rsidRPr="00867925" w:rsidRDefault="00B93A08" w:rsidP="00B93A08">
            <w:pPr>
              <w:jc w:val="right"/>
              <w:rPr>
                <w:rFonts w:ascii="Arial" w:hAnsi="Arial" w:cs="Arial"/>
                <w:color w:val="000000"/>
              </w:rPr>
            </w:pPr>
          </w:p>
        </w:tc>
        <w:tc>
          <w:tcPr>
            <w:tcW w:w="1276" w:type="dxa"/>
            <w:tcBorders>
              <w:top w:val="nil"/>
              <w:left w:val="nil"/>
              <w:bottom w:val="nil"/>
              <w:right w:val="nil"/>
            </w:tcBorders>
            <w:vAlign w:val="center"/>
            <w:hideMark/>
          </w:tcPr>
          <w:p w14:paraId="33DFD5A8" w14:textId="60F61EF0" w:rsidR="00B93A08" w:rsidRPr="00867925" w:rsidRDefault="00B93A08" w:rsidP="00B93A08">
            <w:pPr>
              <w:jc w:val="right"/>
              <w:rPr>
                <w:rFonts w:ascii="Arial" w:hAnsi="Arial" w:cs="Arial"/>
                <w:b/>
                <w:bCs/>
                <w:color w:val="000000"/>
              </w:rPr>
            </w:pPr>
            <w:r w:rsidRPr="00867925">
              <w:rPr>
                <w:rFonts w:ascii="Arial" w:hAnsi="Arial" w:cs="Arial"/>
                <w:b/>
                <w:bCs/>
                <w:color w:val="000000"/>
              </w:rPr>
              <w:t>(</w:t>
            </w:r>
            <w:r>
              <w:rPr>
                <w:rFonts w:ascii="Arial" w:hAnsi="Arial" w:cs="Arial"/>
                <w:b/>
                <w:bCs/>
                <w:color w:val="000000"/>
              </w:rPr>
              <w:t>14,649</w:t>
            </w:r>
            <w:r w:rsidRPr="00867925">
              <w:rPr>
                <w:rFonts w:ascii="Arial" w:hAnsi="Arial" w:cs="Arial"/>
                <w:b/>
                <w:bCs/>
                <w:color w:val="000000"/>
              </w:rPr>
              <w:t>)</w:t>
            </w:r>
          </w:p>
        </w:tc>
        <w:tc>
          <w:tcPr>
            <w:tcW w:w="2551" w:type="dxa"/>
            <w:tcBorders>
              <w:top w:val="nil"/>
              <w:left w:val="nil"/>
              <w:bottom w:val="nil"/>
              <w:right w:val="nil"/>
            </w:tcBorders>
            <w:shd w:val="clear" w:color="000000" w:fill="D9D9D9"/>
            <w:vAlign w:val="center"/>
            <w:hideMark/>
          </w:tcPr>
          <w:p w14:paraId="2D145F54" w14:textId="77777777" w:rsidR="00B93A08" w:rsidRPr="00867925" w:rsidRDefault="00B93A08" w:rsidP="00B93A08">
            <w:pPr>
              <w:rPr>
                <w:rFonts w:ascii="Arial" w:hAnsi="Arial" w:cs="Arial"/>
                <w:color w:val="000000"/>
              </w:rPr>
            </w:pPr>
            <w:r w:rsidRPr="00867925">
              <w:rPr>
                <w:rFonts w:ascii="Arial" w:hAnsi="Arial" w:cs="Arial"/>
                <w:color w:val="000000"/>
              </w:rPr>
              <w:t>(Surplus)/deficit on revaluation of property, plant &amp; equipment assets</w:t>
            </w:r>
          </w:p>
        </w:tc>
        <w:tc>
          <w:tcPr>
            <w:tcW w:w="1124" w:type="dxa"/>
            <w:tcBorders>
              <w:top w:val="nil"/>
              <w:left w:val="nil"/>
              <w:bottom w:val="nil"/>
              <w:right w:val="nil"/>
            </w:tcBorders>
            <w:shd w:val="clear" w:color="000000" w:fill="D9D9D9"/>
            <w:vAlign w:val="center"/>
            <w:hideMark/>
          </w:tcPr>
          <w:p w14:paraId="0199F66E"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0A8F966F"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418AC3D7" w14:textId="7A1869B5" w:rsidR="00B93A08" w:rsidRPr="00234C59" w:rsidRDefault="00B93A08" w:rsidP="00B93A08">
            <w:pPr>
              <w:jc w:val="right"/>
              <w:rPr>
                <w:rFonts w:ascii="Arial" w:hAnsi="Arial" w:cs="Arial"/>
                <w:b/>
                <w:bCs/>
                <w:color w:val="000000"/>
              </w:rPr>
            </w:pPr>
            <w:r>
              <w:rPr>
                <w:rFonts w:ascii="Arial" w:hAnsi="Arial" w:cs="Arial"/>
                <w:b/>
                <w:bCs/>
                <w:color w:val="000000"/>
              </w:rPr>
              <w:t>(2,236)</w:t>
            </w:r>
          </w:p>
        </w:tc>
      </w:tr>
      <w:tr w:rsidR="00B93A08" w:rsidRPr="00867925" w14:paraId="6092F6F0" w14:textId="77777777" w:rsidTr="005E2F77">
        <w:trPr>
          <w:trHeight w:val="28"/>
        </w:trPr>
        <w:tc>
          <w:tcPr>
            <w:tcW w:w="1124" w:type="dxa"/>
            <w:tcBorders>
              <w:top w:val="nil"/>
              <w:left w:val="single" w:sz="8" w:space="0" w:color="auto"/>
              <w:bottom w:val="nil"/>
              <w:right w:val="nil"/>
            </w:tcBorders>
            <w:vAlign w:val="center"/>
            <w:hideMark/>
          </w:tcPr>
          <w:p w14:paraId="1249534F"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220DB992" w14:textId="77777777" w:rsidR="00B93A08" w:rsidRPr="00867925" w:rsidRDefault="00B93A08" w:rsidP="00B93A08">
            <w:pPr>
              <w:jc w:val="right"/>
              <w:rPr>
                <w:rFonts w:ascii="Arial" w:hAnsi="Arial" w:cs="Arial"/>
                <w:color w:val="000000"/>
              </w:rPr>
            </w:pPr>
          </w:p>
        </w:tc>
        <w:tc>
          <w:tcPr>
            <w:tcW w:w="1276" w:type="dxa"/>
            <w:tcBorders>
              <w:top w:val="nil"/>
              <w:left w:val="nil"/>
              <w:bottom w:val="nil"/>
              <w:right w:val="nil"/>
            </w:tcBorders>
            <w:vAlign w:val="center"/>
            <w:hideMark/>
          </w:tcPr>
          <w:p w14:paraId="0394CE8A" w14:textId="77777777" w:rsidR="00B93A08" w:rsidRPr="00867925" w:rsidRDefault="00B93A08" w:rsidP="00B93A08">
            <w:pPr>
              <w:jc w:val="right"/>
            </w:pPr>
          </w:p>
        </w:tc>
        <w:tc>
          <w:tcPr>
            <w:tcW w:w="2551" w:type="dxa"/>
            <w:tcBorders>
              <w:top w:val="nil"/>
              <w:left w:val="nil"/>
              <w:bottom w:val="nil"/>
              <w:right w:val="nil"/>
            </w:tcBorders>
            <w:shd w:val="clear" w:color="000000" w:fill="D9D9D9"/>
            <w:vAlign w:val="center"/>
            <w:hideMark/>
          </w:tcPr>
          <w:p w14:paraId="7EC435F5" w14:textId="77777777" w:rsidR="00B93A08" w:rsidRPr="00867925" w:rsidRDefault="00B93A08" w:rsidP="00B93A08">
            <w:pPr>
              <w:rPr>
                <w:rFonts w:ascii="Arial" w:hAnsi="Arial" w:cs="Arial"/>
                <w:b/>
                <w:bCs/>
                <w:color w:val="000000"/>
              </w:rPr>
            </w:pPr>
            <w:r w:rsidRPr="00867925">
              <w:rPr>
                <w:rFonts w:ascii="Arial" w:hAnsi="Arial" w:cs="Arial"/>
                <w:b/>
                <w:bCs/>
                <w:color w:val="000000"/>
              </w:rPr>
              <w:t> </w:t>
            </w:r>
          </w:p>
        </w:tc>
        <w:tc>
          <w:tcPr>
            <w:tcW w:w="1124" w:type="dxa"/>
            <w:tcBorders>
              <w:top w:val="nil"/>
              <w:left w:val="nil"/>
              <w:bottom w:val="nil"/>
              <w:right w:val="nil"/>
            </w:tcBorders>
            <w:shd w:val="clear" w:color="000000" w:fill="D9D9D9"/>
            <w:vAlign w:val="center"/>
            <w:hideMark/>
          </w:tcPr>
          <w:p w14:paraId="4856F030"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4A4948C3"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78794D2F" w14:textId="23E960F7" w:rsidR="00B93A08" w:rsidRPr="00234C59" w:rsidRDefault="00B93A08" w:rsidP="00B93A08">
            <w:pPr>
              <w:jc w:val="right"/>
              <w:rPr>
                <w:rFonts w:ascii="Arial" w:hAnsi="Arial" w:cs="Arial"/>
                <w:b/>
                <w:bCs/>
                <w:color w:val="000000"/>
              </w:rPr>
            </w:pPr>
            <w:r>
              <w:rPr>
                <w:rFonts w:ascii="Arial" w:hAnsi="Arial" w:cs="Arial"/>
                <w:b/>
                <w:bCs/>
                <w:color w:val="000000"/>
              </w:rPr>
              <w:t> </w:t>
            </w:r>
          </w:p>
        </w:tc>
      </w:tr>
      <w:tr w:rsidR="00B93A08" w:rsidRPr="00867925" w14:paraId="56D79A12" w14:textId="77777777" w:rsidTr="005E2F77">
        <w:trPr>
          <w:trHeight w:val="176"/>
        </w:trPr>
        <w:tc>
          <w:tcPr>
            <w:tcW w:w="1124" w:type="dxa"/>
            <w:tcBorders>
              <w:top w:val="nil"/>
              <w:left w:val="single" w:sz="8" w:space="0" w:color="auto"/>
              <w:bottom w:val="nil"/>
              <w:right w:val="nil"/>
            </w:tcBorders>
            <w:vAlign w:val="center"/>
            <w:hideMark/>
          </w:tcPr>
          <w:p w14:paraId="01184090"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1A7192F5" w14:textId="77777777" w:rsidR="00B93A08" w:rsidRPr="00867925" w:rsidRDefault="00B93A08" w:rsidP="00B93A08">
            <w:pPr>
              <w:jc w:val="right"/>
              <w:rPr>
                <w:rFonts w:ascii="Arial" w:hAnsi="Arial" w:cs="Arial"/>
                <w:color w:val="000000"/>
              </w:rPr>
            </w:pPr>
          </w:p>
        </w:tc>
        <w:tc>
          <w:tcPr>
            <w:tcW w:w="1276" w:type="dxa"/>
            <w:tcBorders>
              <w:top w:val="nil"/>
              <w:left w:val="nil"/>
              <w:bottom w:val="nil"/>
              <w:right w:val="nil"/>
            </w:tcBorders>
            <w:vAlign w:val="center"/>
            <w:hideMark/>
          </w:tcPr>
          <w:p w14:paraId="121F6ECA" w14:textId="6B192CF1" w:rsidR="00B93A08" w:rsidRPr="00867925" w:rsidRDefault="00B93A08" w:rsidP="00B93A08">
            <w:pPr>
              <w:jc w:val="right"/>
              <w:rPr>
                <w:rFonts w:ascii="Arial" w:hAnsi="Arial" w:cs="Arial"/>
                <w:b/>
                <w:bCs/>
                <w:color w:val="000000"/>
              </w:rPr>
            </w:pPr>
            <w:r w:rsidRPr="00867925">
              <w:rPr>
                <w:rFonts w:ascii="Arial" w:hAnsi="Arial" w:cs="Arial"/>
                <w:b/>
                <w:bCs/>
                <w:color w:val="000000"/>
              </w:rPr>
              <w:t>(</w:t>
            </w:r>
            <w:r>
              <w:rPr>
                <w:rFonts w:ascii="Arial" w:hAnsi="Arial" w:cs="Arial"/>
                <w:b/>
                <w:bCs/>
                <w:color w:val="000000"/>
              </w:rPr>
              <w:t>66,473</w:t>
            </w:r>
            <w:r w:rsidRPr="00867925">
              <w:rPr>
                <w:rFonts w:ascii="Arial" w:hAnsi="Arial" w:cs="Arial"/>
                <w:b/>
                <w:bCs/>
                <w:color w:val="000000"/>
              </w:rPr>
              <w:t>)</w:t>
            </w:r>
          </w:p>
        </w:tc>
        <w:tc>
          <w:tcPr>
            <w:tcW w:w="2551" w:type="dxa"/>
            <w:tcBorders>
              <w:top w:val="nil"/>
              <w:left w:val="nil"/>
              <w:bottom w:val="nil"/>
              <w:right w:val="nil"/>
            </w:tcBorders>
            <w:shd w:val="clear" w:color="000000" w:fill="D9D9D9"/>
            <w:vAlign w:val="center"/>
            <w:hideMark/>
          </w:tcPr>
          <w:p w14:paraId="5AE9F9AF" w14:textId="77777777" w:rsidR="00B93A08" w:rsidRPr="00867925" w:rsidRDefault="00B93A08" w:rsidP="00B93A08">
            <w:pPr>
              <w:rPr>
                <w:rFonts w:ascii="Arial" w:hAnsi="Arial" w:cs="Arial"/>
                <w:color w:val="000000"/>
              </w:rPr>
            </w:pPr>
            <w:r w:rsidRPr="00867925">
              <w:rPr>
                <w:rFonts w:ascii="Arial" w:hAnsi="Arial" w:cs="Arial"/>
                <w:color w:val="000000"/>
              </w:rPr>
              <w:t>Re-measurements of pension assets/liabilities</w:t>
            </w:r>
          </w:p>
        </w:tc>
        <w:tc>
          <w:tcPr>
            <w:tcW w:w="1124" w:type="dxa"/>
            <w:tcBorders>
              <w:top w:val="nil"/>
              <w:left w:val="nil"/>
              <w:bottom w:val="nil"/>
              <w:right w:val="nil"/>
            </w:tcBorders>
            <w:shd w:val="clear" w:color="000000" w:fill="D9D9D9"/>
            <w:vAlign w:val="center"/>
            <w:hideMark/>
          </w:tcPr>
          <w:p w14:paraId="5D1C9CE8"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2DBC48D9"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single" w:sz="8" w:space="0" w:color="auto"/>
              <w:right w:val="single" w:sz="8" w:space="0" w:color="auto"/>
            </w:tcBorders>
            <w:shd w:val="clear" w:color="000000" w:fill="D9D9D9"/>
            <w:vAlign w:val="center"/>
            <w:hideMark/>
          </w:tcPr>
          <w:p w14:paraId="2B437B22" w14:textId="7CD7AD7F" w:rsidR="00B93A08" w:rsidRPr="00234C59" w:rsidRDefault="00B93A08" w:rsidP="00B93A08">
            <w:pPr>
              <w:jc w:val="right"/>
              <w:rPr>
                <w:rFonts w:ascii="Arial" w:hAnsi="Arial" w:cs="Arial"/>
                <w:b/>
                <w:bCs/>
                <w:color w:val="000000"/>
              </w:rPr>
            </w:pPr>
            <w:r>
              <w:rPr>
                <w:rFonts w:ascii="Arial" w:hAnsi="Arial" w:cs="Arial"/>
                <w:b/>
                <w:bCs/>
                <w:color w:val="000000"/>
              </w:rPr>
              <w:t>(438,339)</w:t>
            </w:r>
          </w:p>
        </w:tc>
      </w:tr>
      <w:tr w:rsidR="00B93A08" w:rsidRPr="00867925" w14:paraId="6A383585" w14:textId="77777777" w:rsidTr="005E2F77">
        <w:trPr>
          <w:trHeight w:val="176"/>
        </w:trPr>
        <w:tc>
          <w:tcPr>
            <w:tcW w:w="1124" w:type="dxa"/>
            <w:tcBorders>
              <w:top w:val="nil"/>
              <w:left w:val="single" w:sz="8" w:space="0" w:color="auto"/>
              <w:bottom w:val="nil"/>
              <w:right w:val="nil"/>
            </w:tcBorders>
            <w:vAlign w:val="center"/>
            <w:hideMark/>
          </w:tcPr>
          <w:p w14:paraId="283E92C3"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0390FDBD" w14:textId="77777777" w:rsidR="00B93A08" w:rsidRPr="00867925" w:rsidRDefault="00B93A08" w:rsidP="00B93A08">
            <w:pPr>
              <w:jc w:val="right"/>
              <w:rPr>
                <w:rFonts w:ascii="Arial" w:hAnsi="Arial" w:cs="Arial"/>
                <w:color w:val="000000"/>
              </w:rPr>
            </w:pPr>
          </w:p>
        </w:tc>
        <w:tc>
          <w:tcPr>
            <w:tcW w:w="1276" w:type="dxa"/>
            <w:tcBorders>
              <w:top w:val="single" w:sz="8" w:space="0" w:color="auto"/>
              <w:left w:val="nil"/>
              <w:bottom w:val="nil"/>
              <w:right w:val="nil"/>
            </w:tcBorders>
            <w:vAlign w:val="center"/>
            <w:hideMark/>
          </w:tcPr>
          <w:p w14:paraId="6C62E64B" w14:textId="3C5CA6AC" w:rsidR="00B93A08" w:rsidRPr="00867925" w:rsidRDefault="00B93A08" w:rsidP="00B93A08">
            <w:pPr>
              <w:jc w:val="right"/>
              <w:rPr>
                <w:rFonts w:ascii="Arial" w:hAnsi="Arial" w:cs="Arial"/>
                <w:b/>
                <w:bCs/>
                <w:color w:val="000000"/>
              </w:rPr>
            </w:pPr>
            <w:r w:rsidRPr="00867925">
              <w:rPr>
                <w:rFonts w:ascii="Arial" w:hAnsi="Arial" w:cs="Arial"/>
                <w:b/>
                <w:bCs/>
                <w:color w:val="000000"/>
              </w:rPr>
              <w:t>(8</w:t>
            </w:r>
            <w:r>
              <w:rPr>
                <w:rFonts w:ascii="Arial" w:hAnsi="Arial" w:cs="Arial"/>
                <w:b/>
                <w:bCs/>
                <w:color w:val="000000"/>
              </w:rPr>
              <w:t>1</w:t>
            </w:r>
            <w:r w:rsidRPr="00867925">
              <w:rPr>
                <w:rFonts w:ascii="Arial" w:hAnsi="Arial" w:cs="Arial"/>
                <w:b/>
                <w:bCs/>
                <w:color w:val="000000"/>
              </w:rPr>
              <w:t>,</w:t>
            </w:r>
            <w:r>
              <w:rPr>
                <w:rFonts w:ascii="Arial" w:hAnsi="Arial" w:cs="Arial"/>
                <w:b/>
                <w:bCs/>
                <w:color w:val="000000"/>
              </w:rPr>
              <w:t>122</w:t>
            </w:r>
            <w:r w:rsidRPr="00867925">
              <w:rPr>
                <w:rFonts w:ascii="Arial" w:hAnsi="Arial" w:cs="Arial"/>
                <w:b/>
                <w:bCs/>
                <w:color w:val="000000"/>
              </w:rPr>
              <w:t>)</w:t>
            </w:r>
          </w:p>
        </w:tc>
        <w:tc>
          <w:tcPr>
            <w:tcW w:w="2551" w:type="dxa"/>
            <w:tcBorders>
              <w:top w:val="nil"/>
              <w:left w:val="nil"/>
              <w:bottom w:val="nil"/>
              <w:right w:val="nil"/>
            </w:tcBorders>
            <w:shd w:val="clear" w:color="000000" w:fill="D9D9D9"/>
            <w:vAlign w:val="center"/>
            <w:hideMark/>
          </w:tcPr>
          <w:p w14:paraId="2929B2A6" w14:textId="77777777" w:rsidR="00B93A08" w:rsidRPr="00867925" w:rsidRDefault="00B93A08" w:rsidP="00B93A08">
            <w:pPr>
              <w:rPr>
                <w:rFonts w:ascii="Arial" w:hAnsi="Arial" w:cs="Arial"/>
                <w:b/>
                <w:bCs/>
                <w:color w:val="000000"/>
              </w:rPr>
            </w:pPr>
            <w:r w:rsidRPr="00867925">
              <w:rPr>
                <w:rFonts w:ascii="Arial" w:hAnsi="Arial" w:cs="Arial"/>
                <w:b/>
                <w:bCs/>
                <w:color w:val="000000"/>
              </w:rPr>
              <w:t>Other Comprehensive (Income) &amp; Expenditure</w:t>
            </w:r>
          </w:p>
        </w:tc>
        <w:tc>
          <w:tcPr>
            <w:tcW w:w="1124" w:type="dxa"/>
            <w:tcBorders>
              <w:top w:val="nil"/>
              <w:left w:val="nil"/>
              <w:bottom w:val="nil"/>
              <w:right w:val="nil"/>
            </w:tcBorders>
            <w:shd w:val="clear" w:color="000000" w:fill="D9D9D9"/>
            <w:vAlign w:val="center"/>
            <w:hideMark/>
          </w:tcPr>
          <w:p w14:paraId="3FB75742"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779B475B"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nil"/>
              <w:right w:val="single" w:sz="8" w:space="0" w:color="auto"/>
            </w:tcBorders>
            <w:shd w:val="clear" w:color="000000" w:fill="D9D9D9"/>
            <w:vAlign w:val="center"/>
            <w:hideMark/>
          </w:tcPr>
          <w:p w14:paraId="1B0D59BC" w14:textId="0BF96164" w:rsidR="00B93A08" w:rsidRPr="00234C59" w:rsidRDefault="00B93A08" w:rsidP="00B93A08">
            <w:pPr>
              <w:jc w:val="right"/>
              <w:rPr>
                <w:rFonts w:ascii="Arial" w:hAnsi="Arial" w:cs="Arial"/>
                <w:b/>
                <w:bCs/>
                <w:color w:val="000000"/>
              </w:rPr>
            </w:pPr>
            <w:r>
              <w:rPr>
                <w:rFonts w:ascii="Arial" w:hAnsi="Arial" w:cs="Arial"/>
                <w:b/>
                <w:bCs/>
                <w:color w:val="000000"/>
              </w:rPr>
              <w:t>(440,575)</w:t>
            </w:r>
          </w:p>
        </w:tc>
      </w:tr>
      <w:tr w:rsidR="00B93A08" w:rsidRPr="00867925" w14:paraId="6E64DECB" w14:textId="77777777" w:rsidTr="005E2F77">
        <w:trPr>
          <w:trHeight w:val="28"/>
        </w:trPr>
        <w:tc>
          <w:tcPr>
            <w:tcW w:w="1124" w:type="dxa"/>
            <w:tcBorders>
              <w:top w:val="nil"/>
              <w:left w:val="single" w:sz="8" w:space="0" w:color="auto"/>
              <w:bottom w:val="nil"/>
              <w:right w:val="nil"/>
            </w:tcBorders>
            <w:vAlign w:val="center"/>
            <w:hideMark/>
          </w:tcPr>
          <w:p w14:paraId="096A2050"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nil"/>
              <w:right w:val="nil"/>
            </w:tcBorders>
            <w:vAlign w:val="center"/>
            <w:hideMark/>
          </w:tcPr>
          <w:p w14:paraId="47664D3E" w14:textId="77777777" w:rsidR="00B93A08" w:rsidRPr="00867925" w:rsidRDefault="00B93A08" w:rsidP="00B93A08">
            <w:pPr>
              <w:jc w:val="right"/>
              <w:rPr>
                <w:rFonts w:ascii="Arial" w:hAnsi="Arial" w:cs="Arial"/>
                <w:color w:val="000000"/>
              </w:rPr>
            </w:pPr>
          </w:p>
        </w:tc>
        <w:tc>
          <w:tcPr>
            <w:tcW w:w="1276" w:type="dxa"/>
            <w:tcBorders>
              <w:top w:val="nil"/>
              <w:left w:val="nil"/>
              <w:bottom w:val="single" w:sz="8" w:space="0" w:color="auto"/>
              <w:right w:val="nil"/>
            </w:tcBorders>
            <w:vAlign w:val="center"/>
            <w:hideMark/>
          </w:tcPr>
          <w:p w14:paraId="3AAE157F" w14:textId="77777777" w:rsidR="00B93A08" w:rsidRPr="00867925" w:rsidRDefault="00B93A08" w:rsidP="00B93A08">
            <w:pPr>
              <w:jc w:val="right"/>
              <w:rPr>
                <w:rFonts w:ascii="Arial" w:hAnsi="Arial" w:cs="Arial"/>
                <w:b/>
                <w:bCs/>
                <w:color w:val="000000"/>
              </w:rPr>
            </w:pPr>
            <w:r w:rsidRPr="00867925">
              <w:rPr>
                <w:rFonts w:ascii="Arial" w:hAnsi="Arial" w:cs="Arial"/>
                <w:b/>
                <w:bCs/>
                <w:color w:val="000000"/>
              </w:rPr>
              <w:t> </w:t>
            </w:r>
          </w:p>
        </w:tc>
        <w:tc>
          <w:tcPr>
            <w:tcW w:w="2551" w:type="dxa"/>
            <w:tcBorders>
              <w:top w:val="nil"/>
              <w:left w:val="nil"/>
              <w:bottom w:val="nil"/>
              <w:right w:val="nil"/>
            </w:tcBorders>
            <w:shd w:val="clear" w:color="000000" w:fill="D9D9D9"/>
            <w:vAlign w:val="center"/>
            <w:hideMark/>
          </w:tcPr>
          <w:p w14:paraId="437B7809" w14:textId="77777777" w:rsidR="00B93A08" w:rsidRPr="00867925" w:rsidRDefault="00B93A08" w:rsidP="00B93A08">
            <w:pPr>
              <w:jc w:val="center"/>
              <w:rPr>
                <w:rFonts w:ascii="Arial" w:hAnsi="Arial" w:cs="Arial"/>
                <w:b/>
                <w:bCs/>
                <w:color w:val="000000"/>
              </w:rPr>
            </w:pPr>
            <w:r w:rsidRPr="00867925">
              <w:rPr>
                <w:rFonts w:ascii="Arial" w:hAnsi="Arial" w:cs="Arial"/>
                <w:b/>
                <w:bCs/>
                <w:color w:val="000000"/>
              </w:rPr>
              <w:t> </w:t>
            </w:r>
          </w:p>
        </w:tc>
        <w:tc>
          <w:tcPr>
            <w:tcW w:w="1124" w:type="dxa"/>
            <w:tcBorders>
              <w:top w:val="nil"/>
              <w:left w:val="nil"/>
              <w:bottom w:val="nil"/>
              <w:right w:val="nil"/>
            </w:tcBorders>
            <w:shd w:val="clear" w:color="000000" w:fill="D9D9D9"/>
            <w:vAlign w:val="center"/>
            <w:hideMark/>
          </w:tcPr>
          <w:p w14:paraId="72B8D55F"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nil"/>
              <w:right w:val="nil"/>
            </w:tcBorders>
            <w:shd w:val="clear" w:color="000000" w:fill="D9D9D9"/>
            <w:vAlign w:val="center"/>
            <w:hideMark/>
          </w:tcPr>
          <w:p w14:paraId="37DE9120"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single" w:sz="8" w:space="0" w:color="auto"/>
              <w:right w:val="single" w:sz="8" w:space="0" w:color="auto"/>
            </w:tcBorders>
            <w:shd w:val="clear" w:color="000000" w:fill="D9D9D9"/>
            <w:vAlign w:val="center"/>
            <w:hideMark/>
          </w:tcPr>
          <w:p w14:paraId="70725CF4" w14:textId="727BEE0F" w:rsidR="00B93A08" w:rsidRPr="00234C59" w:rsidRDefault="00B93A08" w:rsidP="00B93A08">
            <w:pPr>
              <w:jc w:val="right"/>
              <w:rPr>
                <w:rFonts w:ascii="Arial" w:hAnsi="Arial" w:cs="Arial"/>
                <w:b/>
                <w:bCs/>
                <w:color w:val="000000"/>
              </w:rPr>
            </w:pPr>
            <w:r>
              <w:rPr>
                <w:rFonts w:ascii="Arial" w:hAnsi="Arial" w:cs="Arial"/>
                <w:b/>
                <w:bCs/>
                <w:color w:val="000000"/>
              </w:rPr>
              <w:t> </w:t>
            </w:r>
          </w:p>
        </w:tc>
      </w:tr>
      <w:tr w:rsidR="00B93A08" w:rsidRPr="00867925" w14:paraId="07AC2D58" w14:textId="77777777" w:rsidTr="005E2F77">
        <w:trPr>
          <w:trHeight w:val="176"/>
        </w:trPr>
        <w:tc>
          <w:tcPr>
            <w:tcW w:w="1124" w:type="dxa"/>
            <w:tcBorders>
              <w:top w:val="nil"/>
              <w:left w:val="single" w:sz="8" w:space="0" w:color="auto"/>
              <w:bottom w:val="single" w:sz="8" w:space="0" w:color="auto"/>
              <w:right w:val="nil"/>
            </w:tcBorders>
            <w:vAlign w:val="center"/>
            <w:hideMark/>
          </w:tcPr>
          <w:p w14:paraId="2EC41027"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single" w:sz="8" w:space="0" w:color="auto"/>
              <w:right w:val="nil"/>
            </w:tcBorders>
            <w:vAlign w:val="center"/>
            <w:hideMark/>
          </w:tcPr>
          <w:p w14:paraId="32AC6C21"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76" w:type="dxa"/>
            <w:tcBorders>
              <w:top w:val="nil"/>
              <w:left w:val="nil"/>
              <w:bottom w:val="single" w:sz="8" w:space="0" w:color="auto"/>
              <w:right w:val="nil"/>
            </w:tcBorders>
            <w:vAlign w:val="center"/>
            <w:hideMark/>
          </w:tcPr>
          <w:p w14:paraId="1BBCFE2A" w14:textId="768F5EC4" w:rsidR="00B93A08" w:rsidRPr="00867925" w:rsidRDefault="00B93A08" w:rsidP="00B93A08">
            <w:pPr>
              <w:jc w:val="right"/>
              <w:rPr>
                <w:rFonts w:ascii="Arial" w:hAnsi="Arial" w:cs="Arial"/>
                <w:b/>
                <w:bCs/>
                <w:color w:val="000000"/>
              </w:rPr>
            </w:pPr>
            <w:r w:rsidRPr="00867925">
              <w:rPr>
                <w:rFonts w:ascii="Arial" w:hAnsi="Arial" w:cs="Arial"/>
                <w:b/>
                <w:bCs/>
                <w:color w:val="000000"/>
              </w:rPr>
              <w:t>(</w:t>
            </w:r>
            <w:r>
              <w:rPr>
                <w:rFonts w:ascii="Arial" w:hAnsi="Arial" w:cs="Arial"/>
                <w:b/>
                <w:bCs/>
                <w:color w:val="000000"/>
              </w:rPr>
              <w:t>3,600</w:t>
            </w:r>
            <w:r w:rsidRPr="00867925">
              <w:rPr>
                <w:rFonts w:ascii="Arial" w:hAnsi="Arial" w:cs="Arial"/>
                <w:b/>
                <w:bCs/>
                <w:color w:val="000000"/>
              </w:rPr>
              <w:t>)</w:t>
            </w:r>
          </w:p>
        </w:tc>
        <w:tc>
          <w:tcPr>
            <w:tcW w:w="2551" w:type="dxa"/>
            <w:tcBorders>
              <w:top w:val="nil"/>
              <w:left w:val="nil"/>
              <w:bottom w:val="single" w:sz="8" w:space="0" w:color="auto"/>
              <w:right w:val="nil"/>
            </w:tcBorders>
            <w:shd w:val="clear" w:color="000000" w:fill="D9D9D9"/>
            <w:vAlign w:val="center"/>
            <w:hideMark/>
          </w:tcPr>
          <w:p w14:paraId="3C6F525F" w14:textId="77777777" w:rsidR="00B93A08" w:rsidRPr="00867925" w:rsidRDefault="00B93A08" w:rsidP="00B93A08">
            <w:pPr>
              <w:rPr>
                <w:rFonts w:ascii="Arial" w:hAnsi="Arial" w:cs="Arial"/>
                <w:b/>
                <w:bCs/>
                <w:color w:val="000000"/>
              </w:rPr>
            </w:pPr>
            <w:r w:rsidRPr="00867925">
              <w:rPr>
                <w:rFonts w:ascii="Arial" w:hAnsi="Arial" w:cs="Arial"/>
                <w:b/>
                <w:bCs/>
                <w:color w:val="000000"/>
              </w:rPr>
              <w:t>Total Comprehensive (Income) &amp; Expenditure</w:t>
            </w:r>
          </w:p>
        </w:tc>
        <w:tc>
          <w:tcPr>
            <w:tcW w:w="1124" w:type="dxa"/>
            <w:tcBorders>
              <w:top w:val="nil"/>
              <w:left w:val="nil"/>
              <w:bottom w:val="single" w:sz="8" w:space="0" w:color="auto"/>
              <w:right w:val="nil"/>
            </w:tcBorders>
            <w:shd w:val="clear" w:color="000000" w:fill="D9D9D9"/>
            <w:vAlign w:val="center"/>
            <w:hideMark/>
          </w:tcPr>
          <w:p w14:paraId="15B7DA6F"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003" w:type="dxa"/>
            <w:tcBorders>
              <w:top w:val="nil"/>
              <w:left w:val="nil"/>
              <w:bottom w:val="single" w:sz="8" w:space="0" w:color="auto"/>
              <w:right w:val="nil"/>
            </w:tcBorders>
            <w:shd w:val="clear" w:color="000000" w:fill="D9D9D9"/>
            <w:vAlign w:val="center"/>
            <w:hideMark/>
          </w:tcPr>
          <w:p w14:paraId="49439895" w14:textId="77777777" w:rsidR="00B93A08" w:rsidRPr="00867925" w:rsidRDefault="00B93A08" w:rsidP="00B93A08">
            <w:pPr>
              <w:jc w:val="right"/>
              <w:rPr>
                <w:rFonts w:ascii="Arial" w:hAnsi="Arial" w:cs="Arial"/>
                <w:color w:val="000000"/>
              </w:rPr>
            </w:pPr>
            <w:r w:rsidRPr="00867925">
              <w:rPr>
                <w:rFonts w:ascii="Arial" w:hAnsi="Arial" w:cs="Arial"/>
                <w:color w:val="000000"/>
              </w:rPr>
              <w:t> </w:t>
            </w:r>
          </w:p>
        </w:tc>
        <w:tc>
          <w:tcPr>
            <w:tcW w:w="1264" w:type="dxa"/>
            <w:tcBorders>
              <w:top w:val="nil"/>
              <w:left w:val="nil"/>
              <w:bottom w:val="single" w:sz="8" w:space="0" w:color="auto"/>
              <w:right w:val="single" w:sz="8" w:space="0" w:color="auto"/>
            </w:tcBorders>
            <w:shd w:val="clear" w:color="000000" w:fill="D9D9D9"/>
            <w:vAlign w:val="center"/>
            <w:hideMark/>
          </w:tcPr>
          <w:p w14:paraId="4141782D" w14:textId="41B0E3D8" w:rsidR="00B93A08" w:rsidRPr="00234C59" w:rsidRDefault="00C51867" w:rsidP="00B93A08">
            <w:pPr>
              <w:jc w:val="right"/>
              <w:rPr>
                <w:rFonts w:ascii="Arial" w:hAnsi="Arial" w:cs="Arial"/>
                <w:b/>
                <w:bCs/>
                <w:color w:val="000000"/>
              </w:rPr>
            </w:pPr>
            <w:r w:rsidRPr="00C51867">
              <w:rPr>
                <w:rFonts w:ascii="Arial" w:hAnsi="Arial" w:cs="Arial"/>
                <w:b/>
                <w:bCs/>
                <w:color w:val="000000"/>
              </w:rPr>
              <w:t>(367,</w:t>
            </w:r>
            <w:r w:rsidR="006405CA">
              <w:rPr>
                <w:rFonts w:ascii="Arial" w:hAnsi="Arial" w:cs="Arial"/>
                <w:b/>
                <w:bCs/>
                <w:color w:val="000000"/>
              </w:rPr>
              <w:t>604</w:t>
            </w:r>
            <w:r w:rsidRPr="00C51867">
              <w:rPr>
                <w:rFonts w:ascii="Arial" w:hAnsi="Arial" w:cs="Arial"/>
                <w:b/>
                <w:bCs/>
                <w:color w:val="000000"/>
              </w:rPr>
              <w:t>)</w:t>
            </w:r>
          </w:p>
        </w:tc>
      </w:tr>
    </w:tbl>
    <w:p w14:paraId="679F13A2" w14:textId="64095803" w:rsidR="00207BD2" w:rsidRDefault="00207BD2" w:rsidP="003B74DA">
      <w:pPr>
        <w:rPr>
          <w:rFonts w:ascii="Arial" w:hAnsi="Arial"/>
          <w:iCs/>
          <w:sz w:val="8"/>
          <w:szCs w:val="8"/>
        </w:rPr>
      </w:pPr>
    </w:p>
    <w:p w14:paraId="665A67A7" w14:textId="77777777" w:rsidR="0070567F" w:rsidRDefault="0070567F" w:rsidP="003B74DA">
      <w:pPr>
        <w:rPr>
          <w:rFonts w:ascii="Arial" w:hAnsi="Arial"/>
          <w:iCs/>
          <w:sz w:val="8"/>
          <w:szCs w:val="8"/>
        </w:rPr>
      </w:pPr>
    </w:p>
    <w:p w14:paraId="2F78A598" w14:textId="7CC14D35" w:rsidR="002578CB" w:rsidRDefault="003D290C" w:rsidP="003B74DA">
      <w:pPr>
        <w:rPr>
          <w:rFonts w:ascii="Arial" w:hAnsi="Arial"/>
          <w:iCs/>
          <w:sz w:val="18"/>
          <w:szCs w:val="18"/>
        </w:rPr>
      </w:pPr>
      <w:r w:rsidRPr="00AF556E">
        <w:rPr>
          <w:rFonts w:ascii="Arial" w:hAnsi="Arial"/>
          <w:iCs/>
          <w:sz w:val="18"/>
          <w:szCs w:val="18"/>
        </w:rPr>
        <w:t>*The areas of responsibility covered by these budget holders changed from 1 April 202</w:t>
      </w:r>
      <w:r w:rsidR="00C10972" w:rsidRPr="00AF556E">
        <w:rPr>
          <w:rFonts w:ascii="Arial" w:hAnsi="Arial"/>
          <w:iCs/>
          <w:sz w:val="18"/>
          <w:szCs w:val="18"/>
        </w:rPr>
        <w:t>4</w:t>
      </w:r>
      <w:r w:rsidRPr="00AF556E">
        <w:rPr>
          <w:rFonts w:ascii="Arial" w:hAnsi="Arial"/>
          <w:iCs/>
          <w:sz w:val="18"/>
          <w:szCs w:val="18"/>
        </w:rPr>
        <w:t xml:space="preserve">. The revised responsibilities are listed below, and the </w:t>
      </w:r>
      <w:r w:rsidR="00C37E7F" w:rsidRPr="00AF556E">
        <w:rPr>
          <w:rFonts w:ascii="Arial" w:hAnsi="Arial"/>
          <w:iCs/>
          <w:sz w:val="18"/>
          <w:szCs w:val="18"/>
        </w:rPr>
        <w:t>2023/24</w:t>
      </w:r>
      <w:r w:rsidRPr="00AF556E">
        <w:rPr>
          <w:rFonts w:ascii="Arial" w:hAnsi="Arial"/>
          <w:iCs/>
          <w:sz w:val="18"/>
          <w:szCs w:val="18"/>
        </w:rPr>
        <w:t xml:space="preserve"> analysis has been restated for comparability</w:t>
      </w:r>
      <w:r w:rsidRPr="003D290C">
        <w:rPr>
          <w:rFonts w:ascii="Arial" w:hAnsi="Arial"/>
          <w:iCs/>
          <w:sz w:val="18"/>
          <w:szCs w:val="18"/>
        </w:rPr>
        <w:t>:</w:t>
      </w:r>
    </w:p>
    <w:p w14:paraId="2DA11194" w14:textId="77777777" w:rsidR="003D290C" w:rsidRPr="003D290C" w:rsidRDefault="003D290C" w:rsidP="003B74DA">
      <w:pPr>
        <w:rPr>
          <w:rFonts w:ascii="Arial" w:hAnsi="Arial"/>
          <w:iCs/>
          <w:sz w:val="18"/>
          <w:szCs w:val="18"/>
        </w:rPr>
      </w:pPr>
    </w:p>
    <w:tbl>
      <w:tblPr>
        <w:tblW w:w="9639" w:type="dxa"/>
        <w:tblLook w:val="04A0" w:firstRow="1" w:lastRow="0" w:firstColumn="1" w:lastColumn="0" w:noHBand="0" w:noVBand="1"/>
      </w:tblPr>
      <w:tblGrid>
        <w:gridCol w:w="3119"/>
        <w:gridCol w:w="6520"/>
      </w:tblGrid>
      <w:tr w:rsidR="00C83975" w:rsidRPr="005810EB" w14:paraId="5FD58231" w14:textId="77777777" w:rsidTr="00F16E03">
        <w:trPr>
          <w:trHeight w:val="258"/>
        </w:trPr>
        <w:tc>
          <w:tcPr>
            <w:tcW w:w="3119" w:type="dxa"/>
            <w:tcBorders>
              <w:top w:val="nil"/>
              <w:left w:val="nil"/>
              <w:bottom w:val="nil"/>
              <w:right w:val="nil"/>
            </w:tcBorders>
            <w:noWrap/>
            <w:vAlign w:val="center"/>
          </w:tcPr>
          <w:p w14:paraId="5CD3491F" w14:textId="45D97150" w:rsidR="00C83975" w:rsidRPr="005810EB" w:rsidRDefault="00C83975" w:rsidP="005810EB">
            <w:pPr>
              <w:rPr>
                <w:rFonts w:ascii="Arial" w:hAnsi="Arial" w:cs="Arial"/>
                <w:i/>
                <w:iCs/>
                <w:color w:val="000000"/>
                <w:sz w:val="18"/>
                <w:szCs w:val="18"/>
              </w:rPr>
            </w:pPr>
            <w:r w:rsidRPr="00C83975">
              <w:rPr>
                <w:rFonts w:ascii="Arial" w:hAnsi="Arial" w:cs="Arial"/>
                <w:i/>
                <w:iCs/>
                <w:color w:val="000000"/>
                <w:sz w:val="18"/>
                <w:szCs w:val="18"/>
              </w:rPr>
              <w:t>ACC Territorial Op</w:t>
            </w:r>
            <w:r>
              <w:rPr>
                <w:rFonts w:ascii="Arial" w:hAnsi="Arial" w:cs="Arial"/>
                <w:i/>
                <w:iCs/>
                <w:color w:val="000000"/>
                <w:sz w:val="18"/>
                <w:szCs w:val="18"/>
              </w:rPr>
              <w:t>erations</w:t>
            </w:r>
          </w:p>
        </w:tc>
        <w:tc>
          <w:tcPr>
            <w:tcW w:w="6520" w:type="dxa"/>
            <w:tcBorders>
              <w:top w:val="nil"/>
              <w:left w:val="nil"/>
              <w:bottom w:val="nil"/>
              <w:right w:val="nil"/>
            </w:tcBorders>
            <w:noWrap/>
            <w:vAlign w:val="center"/>
          </w:tcPr>
          <w:p w14:paraId="30A90946" w14:textId="4CEB7B5F" w:rsidR="00C83975" w:rsidRPr="005810EB" w:rsidRDefault="00C83975" w:rsidP="005810EB">
            <w:pPr>
              <w:rPr>
                <w:rFonts w:ascii="Arial" w:hAnsi="Arial" w:cs="Arial"/>
                <w:i/>
                <w:iCs/>
                <w:color w:val="000000"/>
                <w:sz w:val="18"/>
                <w:szCs w:val="18"/>
              </w:rPr>
            </w:pPr>
            <w:r>
              <w:rPr>
                <w:rFonts w:ascii="Arial" w:hAnsi="Arial" w:cs="Arial"/>
                <w:i/>
                <w:iCs/>
                <w:color w:val="000000"/>
                <w:sz w:val="18"/>
                <w:szCs w:val="18"/>
              </w:rPr>
              <w:t>East, South &amp; West Divisions</w:t>
            </w:r>
            <w:r w:rsidR="00BC0FFD">
              <w:rPr>
                <w:rFonts w:ascii="Arial" w:hAnsi="Arial" w:cs="Arial"/>
                <w:i/>
                <w:iCs/>
                <w:color w:val="000000"/>
                <w:sz w:val="18"/>
                <w:szCs w:val="18"/>
              </w:rPr>
              <w:t xml:space="preserve">, Media &amp; </w:t>
            </w:r>
            <w:r w:rsidR="003C2377">
              <w:rPr>
                <w:rFonts w:ascii="Arial" w:hAnsi="Arial" w:cs="Arial"/>
                <w:i/>
                <w:iCs/>
                <w:color w:val="000000"/>
                <w:sz w:val="18"/>
                <w:szCs w:val="18"/>
              </w:rPr>
              <w:t>Engagement</w:t>
            </w:r>
            <w:r w:rsidR="00F16E03">
              <w:rPr>
                <w:rFonts w:ascii="Arial" w:hAnsi="Arial" w:cs="Arial"/>
                <w:i/>
                <w:iCs/>
                <w:color w:val="000000"/>
                <w:sz w:val="18"/>
                <w:szCs w:val="18"/>
              </w:rPr>
              <w:t>, ASB &amp; POP Command</w:t>
            </w:r>
          </w:p>
        </w:tc>
      </w:tr>
      <w:tr w:rsidR="00D409C9" w:rsidRPr="005810EB" w14:paraId="51180DD3" w14:textId="77777777" w:rsidTr="00F16E03">
        <w:trPr>
          <w:trHeight w:val="278"/>
        </w:trPr>
        <w:tc>
          <w:tcPr>
            <w:tcW w:w="3119" w:type="dxa"/>
            <w:tcBorders>
              <w:top w:val="nil"/>
              <w:left w:val="nil"/>
              <w:bottom w:val="nil"/>
              <w:right w:val="nil"/>
            </w:tcBorders>
            <w:noWrap/>
            <w:vAlign w:val="center"/>
            <w:hideMark/>
          </w:tcPr>
          <w:p w14:paraId="793E20E0" w14:textId="0B1F0131" w:rsidR="00D409C9" w:rsidRPr="005810EB" w:rsidRDefault="00D409C9" w:rsidP="005810EB">
            <w:pPr>
              <w:rPr>
                <w:rFonts w:ascii="Arial" w:hAnsi="Arial" w:cs="Arial"/>
                <w:i/>
                <w:iCs/>
                <w:color w:val="000000"/>
                <w:sz w:val="18"/>
                <w:szCs w:val="18"/>
              </w:rPr>
            </w:pPr>
            <w:r w:rsidRPr="005810EB">
              <w:rPr>
                <w:rFonts w:ascii="Arial" w:hAnsi="Arial" w:cs="Arial"/>
                <w:i/>
                <w:iCs/>
                <w:color w:val="000000"/>
                <w:sz w:val="18"/>
                <w:szCs w:val="18"/>
              </w:rPr>
              <w:t>ACC Specialist</w:t>
            </w:r>
            <w:r w:rsidR="00C83975">
              <w:rPr>
                <w:rFonts w:ascii="Arial" w:hAnsi="Arial" w:cs="Arial"/>
                <w:i/>
                <w:iCs/>
                <w:color w:val="000000"/>
                <w:sz w:val="18"/>
                <w:szCs w:val="18"/>
              </w:rPr>
              <w:t xml:space="preserve"> Uniform</w:t>
            </w:r>
            <w:r w:rsidRPr="005810EB">
              <w:rPr>
                <w:rFonts w:ascii="Arial" w:hAnsi="Arial" w:cs="Arial"/>
                <w:i/>
                <w:iCs/>
                <w:color w:val="000000"/>
                <w:sz w:val="18"/>
                <w:szCs w:val="18"/>
              </w:rPr>
              <w:t xml:space="preserve"> Operations</w:t>
            </w:r>
          </w:p>
        </w:tc>
        <w:tc>
          <w:tcPr>
            <w:tcW w:w="6520" w:type="dxa"/>
            <w:tcBorders>
              <w:top w:val="nil"/>
              <w:left w:val="nil"/>
              <w:bottom w:val="nil"/>
              <w:right w:val="nil"/>
            </w:tcBorders>
            <w:noWrap/>
            <w:vAlign w:val="center"/>
            <w:hideMark/>
          </w:tcPr>
          <w:p w14:paraId="5F801E52" w14:textId="4E119653" w:rsidR="00D409C9" w:rsidRPr="005810EB" w:rsidRDefault="00D409C9" w:rsidP="005810EB">
            <w:pPr>
              <w:rPr>
                <w:rFonts w:ascii="Arial" w:hAnsi="Arial" w:cs="Arial"/>
                <w:i/>
                <w:iCs/>
                <w:color w:val="000000"/>
                <w:sz w:val="18"/>
                <w:szCs w:val="18"/>
              </w:rPr>
            </w:pPr>
            <w:r w:rsidRPr="005810EB">
              <w:rPr>
                <w:rFonts w:ascii="Arial" w:hAnsi="Arial" w:cs="Arial"/>
                <w:i/>
                <w:iCs/>
                <w:color w:val="000000"/>
                <w:sz w:val="18"/>
                <w:szCs w:val="18"/>
              </w:rPr>
              <w:t>Operations</w:t>
            </w:r>
            <w:r w:rsidR="00C83975">
              <w:rPr>
                <w:rFonts w:ascii="Arial" w:hAnsi="Arial" w:cs="Arial"/>
                <w:i/>
                <w:iCs/>
                <w:color w:val="000000"/>
                <w:sz w:val="18"/>
                <w:szCs w:val="18"/>
              </w:rPr>
              <w:t>,</w:t>
            </w:r>
            <w:r w:rsidR="003C2377">
              <w:rPr>
                <w:rFonts w:ascii="Arial" w:hAnsi="Arial" w:cs="Arial"/>
                <w:i/>
                <w:iCs/>
                <w:color w:val="000000"/>
                <w:sz w:val="18"/>
                <w:szCs w:val="18"/>
              </w:rPr>
              <w:t xml:space="preserve"> </w:t>
            </w:r>
            <w:r w:rsidR="00C83975">
              <w:rPr>
                <w:rFonts w:ascii="Arial" w:hAnsi="Arial" w:cs="Arial"/>
                <w:i/>
                <w:iCs/>
                <w:color w:val="000000"/>
                <w:sz w:val="18"/>
                <w:szCs w:val="18"/>
              </w:rPr>
              <w:t>Contact M</w:t>
            </w:r>
            <w:r w:rsidR="00BC0FFD">
              <w:rPr>
                <w:rFonts w:ascii="Arial" w:hAnsi="Arial" w:cs="Arial"/>
                <w:i/>
                <w:iCs/>
                <w:color w:val="000000"/>
                <w:sz w:val="18"/>
                <w:szCs w:val="18"/>
              </w:rPr>
              <w:t>anagement</w:t>
            </w:r>
            <w:r w:rsidR="003C2377">
              <w:rPr>
                <w:rFonts w:ascii="Arial" w:hAnsi="Arial" w:cs="Arial"/>
                <w:i/>
                <w:iCs/>
                <w:color w:val="000000"/>
                <w:sz w:val="18"/>
                <w:szCs w:val="18"/>
              </w:rPr>
              <w:t xml:space="preserve">, Sporting &amp; Special </w:t>
            </w:r>
            <w:r w:rsidR="007C334A">
              <w:rPr>
                <w:rFonts w:ascii="Arial" w:hAnsi="Arial" w:cs="Arial"/>
                <w:i/>
                <w:iCs/>
                <w:color w:val="000000"/>
                <w:sz w:val="18"/>
                <w:szCs w:val="18"/>
              </w:rPr>
              <w:t>E</w:t>
            </w:r>
            <w:r w:rsidR="003C2377">
              <w:rPr>
                <w:rFonts w:ascii="Arial" w:hAnsi="Arial" w:cs="Arial"/>
                <w:i/>
                <w:iCs/>
                <w:color w:val="000000"/>
                <w:sz w:val="18"/>
                <w:szCs w:val="18"/>
              </w:rPr>
              <w:t>vent Policing</w:t>
            </w:r>
          </w:p>
        </w:tc>
      </w:tr>
    </w:tbl>
    <w:p w14:paraId="53F4486C" w14:textId="77777777" w:rsidR="00B72908" w:rsidRDefault="00B72908" w:rsidP="003B74DA">
      <w:pPr>
        <w:rPr>
          <w:rFonts w:ascii="Arial" w:hAnsi="Arial"/>
          <w:iCs/>
          <w:sz w:val="18"/>
          <w:szCs w:val="18"/>
        </w:rPr>
        <w:sectPr w:rsidR="00B72908" w:rsidSect="00784E9A">
          <w:headerReference w:type="even" r:id="rId31"/>
          <w:headerReference w:type="default" r:id="rId32"/>
          <w:headerReference w:type="first" r:id="rId33"/>
          <w:pgSz w:w="11906" w:h="16838" w:code="9"/>
          <w:pgMar w:top="964" w:right="1134" w:bottom="851" w:left="1134" w:header="397" w:footer="567" w:gutter="0"/>
          <w:cols w:space="720"/>
          <w:docGrid w:linePitch="272"/>
        </w:sectPr>
      </w:pPr>
    </w:p>
    <w:p w14:paraId="651A1B20" w14:textId="48C1A43E" w:rsidR="003B74DA" w:rsidRDefault="003B74DA" w:rsidP="003B74DA">
      <w:pPr>
        <w:pStyle w:val="Bodyindent"/>
        <w:spacing w:before="0" w:line="240" w:lineRule="auto"/>
        <w:ind w:left="0"/>
        <w:jc w:val="both"/>
        <w:rPr>
          <w:rFonts w:ascii="Arial" w:hAnsi="Arial"/>
          <w:b/>
          <w:sz w:val="28"/>
        </w:rPr>
      </w:pPr>
      <w:r>
        <w:rPr>
          <w:rFonts w:ascii="Arial" w:hAnsi="Arial"/>
          <w:b/>
          <w:sz w:val="28"/>
        </w:rPr>
        <w:lastRenderedPageBreak/>
        <w:t>PCC</w:t>
      </w:r>
      <w:r w:rsidR="00E14BDD" w:rsidRPr="00E14BDD">
        <w:t xml:space="preserve"> </w:t>
      </w:r>
      <w:r w:rsidR="00E14BDD" w:rsidRPr="00E14BDD">
        <w:rPr>
          <w:rFonts w:ascii="Arial" w:hAnsi="Arial"/>
          <w:b/>
          <w:sz w:val="28"/>
        </w:rPr>
        <w:t>SINGLE ENTITY</w:t>
      </w:r>
      <w:r>
        <w:rPr>
          <w:rFonts w:ascii="Arial" w:hAnsi="Arial"/>
          <w:b/>
          <w:sz w:val="28"/>
        </w:rPr>
        <w:t xml:space="preserve"> COMPREHENSIVE INCOME AND EXPENDITURE STATEMENT</w:t>
      </w:r>
    </w:p>
    <w:p w14:paraId="358F8819" w14:textId="77777777" w:rsidR="003B74DA" w:rsidRDefault="003B74DA" w:rsidP="003B74DA">
      <w:pPr>
        <w:jc w:val="center"/>
        <w:rPr>
          <w:rFonts w:ascii="Arial" w:hAnsi="Arial"/>
          <w:b/>
          <w:sz w:val="28"/>
        </w:rPr>
      </w:pPr>
    </w:p>
    <w:p w14:paraId="5E64E904" w14:textId="31EC5147" w:rsidR="003B74DA" w:rsidRDefault="003B74DA" w:rsidP="003B74DA">
      <w:pPr>
        <w:jc w:val="both"/>
        <w:rPr>
          <w:rFonts w:ascii="Arial" w:hAnsi="Arial"/>
          <w:sz w:val="22"/>
          <w:szCs w:val="22"/>
        </w:rPr>
      </w:pPr>
      <w:r>
        <w:rPr>
          <w:rFonts w:ascii="Arial" w:hAnsi="Arial"/>
          <w:sz w:val="22"/>
          <w:szCs w:val="22"/>
        </w:rPr>
        <w:t>This statement shows the accounting cost in the year of providing services in accordance with generally accepted accounting practices for the Office of the PCC, rather than the amount to be funded from taxation.</w:t>
      </w:r>
    </w:p>
    <w:tbl>
      <w:tblPr>
        <w:tblW w:w="10330" w:type="dxa"/>
        <w:tblLayout w:type="fixed"/>
        <w:tblLook w:val="04A0" w:firstRow="1" w:lastRow="0" w:firstColumn="1" w:lastColumn="0" w:noHBand="0" w:noVBand="1"/>
      </w:tblPr>
      <w:tblGrid>
        <w:gridCol w:w="1035"/>
        <w:gridCol w:w="1044"/>
        <w:gridCol w:w="1313"/>
        <w:gridCol w:w="3093"/>
        <w:gridCol w:w="1480"/>
        <w:gridCol w:w="1097"/>
        <w:gridCol w:w="1268"/>
      </w:tblGrid>
      <w:tr w:rsidR="00E942EE" w:rsidRPr="00E942EE" w14:paraId="40C432D7" w14:textId="77777777" w:rsidTr="005E2F77">
        <w:trPr>
          <w:trHeight w:val="323"/>
        </w:trPr>
        <w:tc>
          <w:tcPr>
            <w:tcW w:w="3392" w:type="dxa"/>
            <w:gridSpan w:val="3"/>
            <w:tcBorders>
              <w:top w:val="single" w:sz="8" w:space="0" w:color="auto"/>
              <w:left w:val="single" w:sz="8" w:space="0" w:color="auto"/>
              <w:bottom w:val="nil"/>
              <w:right w:val="nil"/>
            </w:tcBorders>
            <w:vAlign w:val="center"/>
            <w:hideMark/>
          </w:tcPr>
          <w:p w14:paraId="6A751E8E" w14:textId="299FE5E5" w:rsidR="00E942EE" w:rsidRPr="00E942EE" w:rsidRDefault="00C37E7F" w:rsidP="00E942EE">
            <w:pPr>
              <w:jc w:val="center"/>
              <w:rPr>
                <w:rFonts w:ascii="Arial" w:hAnsi="Arial" w:cs="Arial"/>
                <w:b/>
                <w:bCs/>
                <w:color w:val="000000"/>
              </w:rPr>
            </w:pPr>
            <w:r>
              <w:rPr>
                <w:rFonts w:ascii="Arial" w:hAnsi="Arial" w:cs="Arial"/>
                <w:b/>
                <w:bCs/>
                <w:color w:val="000000"/>
              </w:rPr>
              <w:t>2023/24</w:t>
            </w:r>
          </w:p>
        </w:tc>
        <w:tc>
          <w:tcPr>
            <w:tcW w:w="3093" w:type="dxa"/>
            <w:tcBorders>
              <w:top w:val="single" w:sz="8" w:space="0" w:color="auto"/>
              <w:left w:val="nil"/>
              <w:bottom w:val="nil"/>
              <w:right w:val="nil"/>
            </w:tcBorders>
            <w:shd w:val="clear" w:color="000000" w:fill="D9D9D9"/>
            <w:vAlign w:val="center"/>
            <w:hideMark/>
          </w:tcPr>
          <w:p w14:paraId="2A22179C"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 </w:t>
            </w:r>
          </w:p>
        </w:tc>
        <w:tc>
          <w:tcPr>
            <w:tcW w:w="3845" w:type="dxa"/>
            <w:gridSpan w:val="3"/>
            <w:tcBorders>
              <w:top w:val="single" w:sz="8" w:space="0" w:color="auto"/>
              <w:left w:val="nil"/>
              <w:bottom w:val="nil"/>
              <w:right w:val="single" w:sz="8" w:space="0" w:color="000000"/>
            </w:tcBorders>
            <w:shd w:val="clear" w:color="000000" w:fill="D9D9D9"/>
            <w:vAlign w:val="center"/>
            <w:hideMark/>
          </w:tcPr>
          <w:p w14:paraId="78F09655" w14:textId="57D89708" w:rsidR="00E942EE" w:rsidRPr="00E942EE" w:rsidRDefault="00C37E7F" w:rsidP="00E942EE">
            <w:pPr>
              <w:jc w:val="center"/>
              <w:rPr>
                <w:rFonts w:ascii="Arial" w:hAnsi="Arial" w:cs="Arial"/>
                <w:b/>
                <w:bCs/>
                <w:color w:val="000000"/>
              </w:rPr>
            </w:pPr>
            <w:r>
              <w:rPr>
                <w:rFonts w:ascii="Arial" w:hAnsi="Arial" w:cs="Arial"/>
                <w:b/>
                <w:bCs/>
                <w:color w:val="000000"/>
              </w:rPr>
              <w:t>2024/25</w:t>
            </w:r>
          </w:p>
        </w:tc>
      </w:tr>
      <w:tr w:rsidR="00681F6E" w:rsidRPr="00E942EE" w14:paraId="23BF93CC" w14:textId="77777777" w:rsidTr="005E2F77">
        <w:trPr>
          <w:trHeight w:val="519"/>
        </w:trPr>
        <w:tc>
          <w:tcPr>
            <w:tcW w:w="1035" w:type="dxa"/>
            <w:tcBorders>
              <w:top w:val="nil"/>
              <w:left w:val="single" w:sz="8" w:space="0" w:color="auto"/>
              <w:bottom w:val="nil"/>
              <w:right w:val="nil"/>
            </w:tcBorders>
            <w:vAlign w:val="center"/>
            <w:hideMark/>
          </w:tcPr>
          <w:p w14:paraId="41DF349A" w14:textId="77777777" w:rsidR="00E942EE" w:rsidRPr="00E942EE" w:rsidRDefault="00E942EE" w:rsidP="00E942EE">
            <w:pPr>
              <w:jc w:val="center"/>
              <w:rPr>
                <w:rFonts w:ascii="Arial" w:hAnsi="Arial" w:cs="Arial"/>
                <w:b/>
                <w:bCs/>
                <w:color w:val="000000"/>
                <w:sz w:val="18"/>
                <w:szCs w:val="18"/>
              </w:rPr>
            </w:pPr>
            <w:r w:rsidRPr="00E942EE">
              <w:rPr>
                <w:rFonts w:ascii="Arial" w:hAnsi="Arial" w:cs="Arial"/>
                <w:b/>
                <w:bCs/>
                <w:color w:val="000000"/>
                <w:sz w:val="18"/>
                <w:szCs w:val="18"/>
              </w:rPr>
              <w:t>Gross Exp</w:t>
            </w:r>
          </w:p>
        </w:tc>
        <w:tc>
          <w:tcPr>
            <w:tcW w:w="1044" w:type="dxa"/>
            <w:tcBorders>
              <w:top w:val="nil"/>
              <w:left w:val="nil"/>
              <w:bottom w:val="nil"/>
              <w:right w:val="nil"/>
            </w:tcBorders>
            <w:vAlign w:val="center"/>
            <w:hideMark/>
          </w:tcPr>
          <w:p w14:paraId="2AF1D143" w14:textId="77777777" w:rsidR="00E942EE" w:rsidRPr="00E942EE" w:rsidRDefault="00E942EE" w:rsidP="00E942EE">
            <w:pPr>
              <w:jc w:val="center"/>
              <w:rPr>
                <w:rFonts w:ascii="Arial" w:hAnsi="Arial" w:cs="Arial"/>
                <w:b/>
                <w:bCs/>
                <w:color w:val="000000"/>
                <w:sz w:val="18"/>
                <w:szCs w:val="18"/>
              </w:rPr>
            </w:pPr>
            <w:r w:rsidRPr="00E942EE">
              <w:rPr>
                <w:rFonts w:ascii="Arial" w:hAnsi="Arial" w:cs="Arial"/>
                <w:b/>
                <w:bCs/>
                <w:color w:val="000000"/>
                <w:sz w:val="18"/>
                <w:szCs w:val="18"/>
              </w:rPr>
              <w:t>Gross Inc</w:t>
            </w:r>
          </w:p>
        </w:tc>
        <w:tc>
          <w:tcPr>
            <w:tcW w:w="1313" w:type="dxa"/>
            <w:tcBorders>
              <w:top w:val="nil"/>
              <w:left w:val="nil"/>
              <w:bottom w:val="nil"/>
              <w:right w:val="nil"/>
            </w:tcBorders>
            <w:vAlign w:val="center"/>
            <w:hideMark/>
          </w:tcPr>
          <w:p w14:paraId="19F5BE99" w14:textId="77777777" w:rsidR="00E942EE" w:rsidRPr="00E942EE" w:rsidRDefault="00E942EE" w:rsidP="00E942EE">
            <w:pPr>
              <w:jc w:val="center"/>
              <w:rPr>
                <w:rFonts w:ascii="Arial" w:hAnsi="Arial" w:cs="Arial"/>
                <w:b/>
                <w:bCs/>
                <w:color w:val="000000"/>
                <w:sz w:val="18"/>
                <w:szCs w:val="18"/>
              </w:rPr>
            </w:pPr>
            <w:r w:rsidRPr="00E942EE">
              <w:rPr>
                <w:rFonts w:ascii="Arial" w:hAnsi="Arial" w:cs="Arial"/>
                <w:b/>
                <w:bCs/>
                <w:color w:val="000000"/>
                <w:sz w:val="18"/>
                <w:szCs w:val="18"/>
              </w:rPr>
              <w:t>Net Exp</w:t>
            </w:r>
          </w:p>
        </w:tc>
        <w:tc>
          <w:tcPr>
            <w:tcW w:w="3093" w:type="dxa"/>
            <w:tcBorders>
              <w:top w:val="nil"/>
              <w:left w:val="nil"/>
              <w:bottom w:val="nil"/>
              <w:right w:val="nil"/>
            </w:tcBorders>
            <w:shd w:val="clear" w:color="000000" w:fill="D9D9D9"/>
            <w:vAlign w:val="center"/>
            <w:hideMark/>
          </w:tcPr>
          <w:p w14:paraId="039DC376" w14:textId="77777777" w:rsidR="00E942EE" w:rsidRPr="00E942EE" w:rsidRDefault="00E942EE" w:rsidP="00E942EE">
            <w:pPr>
              <w:jc w:val="center"/>
              <w:rPr>
                <w:rFonts w:ascii="Arial" w:hAnsi="Arial" w:cs="Arial"/>
                <w:b/>
                <w:bCs/>
                <w:color w:val="000000"/>
                <w:sz w:val="18"/>
                <w:szCs w:val="18"/>
              </w:rPr>
            </w:pPr>
            <w:r w:rsidRPr="00E942EE">
              <w:rPr>
                <w:rFonts w:ascii="Arial" w:hAnsi="Arial" w:cs="Arial"/>
                <w:b/>
                <w:bCs/>
                <w:color w:val="000000"/>
                <w:sz w:val="18"/>
                <w:szCs w:val="18"/>
              </w:rPr>
              <w:t> </w:t>
            </w:r>
          </w:p>
        </w:tc>
        <w:tc>
          <w:tcPr>
            <w:tcW w:w="1480" w:type="dxa"/>
            <w:tcBorders>
              <w:top w:val="nil"/>
              <w:left w:val="nil"/>
              <w:bottom w:val="nil"/>
              <w:right w:val="nil"/>
            </w:tcBorders>
            <w:shd w:val="clear" w:color="000000" w:fill="D9D9D9"/>
            <w:vAlign w:val="center"/>
            <w:hideMark/>
          </w:tcPr>
          <w:p w14:paraId="56602B1B" w14:textId="77777777" w:rsidR="00E942EE" w:rsidRPr="00E942EE" w:rsidRDefault="00E942EE" w:rsidP="00E942EE">
            <w:pPr>
              <w:jc w:val="center"/>
              <w:rPr>
                <w:rFonts w:ascii="Arial" w:hAnsi="Arial" w:cs="Arial"/>
                <w:b/>
                <w:bCs/>
                <w:color w:val="000000"/>
                <w:sz w:val="18"/>
                <w:szCs w:val="18"/>
              </w:rPr>
            </w:pPr>
            <w:r w:rsidRPr="00E942EE">
              <w:rPr>
                <w:rFonts w:ascii="Arial" w:hAnsi="Arial" w:cs="Arial"/>
                <w:b/>
                <w:bCs/>
                <w:color w:val="000000"/>
                <w:sz w:val="18"/>
                <w:szCs w:val="18"/>
              </w:rPr>
              <w:t>Gross Exp</w:t>
            </w:r>
          </w:p>
        </w:tc>
        <w:tc>
          <w:tcPr>
            <w:tcW w:w="1097" w:type="dxa"/>
            <w:tcBorders>
              <w:top w:val="nil"/>
              <w:left w:val="nil"/>
              <w:bottom w:val="nil"/>
              <w:right w:val="nil"/>
            </w:tcBorders>
            <w:shd w:val="clear" w:color="000000" w:fill="D9D9D9"/>
            <w:vAlign w:val="center"/>
            <w:hideMark/>
          </w:tcPr>
          <w:p w14:paraId="42628F36" w14:textId="77777777" w:rsidR="00E942EE" w:rsidRPr="00E942EE" w:rsidRDefault="00E942EE" w:rsidP="00E942EE">
            <w:pPr>
              <w:jc w:val="center"/>
              <w:rPr>
                <w:rFonts w:ascii="Arial" w:hAnsi="Arial" w:cs="Arial"/>
                <w:b/>
                <w:bCs/>
                <w:color w:val="000000"/>
                <w:sz w:val="18"/>
                <w:szCs w:val="18"/>
              </w:rPr>
            </w:pPr>
            <w:r w:rsidRPr="00E942EE">
              <w:rPr>
                <w:rFonts w:ascii="Arial" w:hAnsi="Arial" w:cs="Arial"/>
                <w:b/>
                <w:bCs/>
                <w:color w:val="000000"/>
                <w:sz w:val="18"/>
                <w:szCs w:val="18"/>
              </w:rPr>
              <w:t>Gross Inc</w:t>
            </w:r>
          </w:p>
        </w:tc>
        <w:tc>
          <w:tcPr>
            <w:tcW w:w="1268" w:type="dxa"/>
            <w:tcBorders>
              <w:top w:val="nil"/>
              <w:left w:val="nil"/>
              <w:bottom w:val="nil"/>
              <w:right w:val="single" w:sz="8" w:space="0" w:color="auto"/>
            </w:tcBorders>
            <w:shd w:val="clear" w:color="000000" w:fill="D9D9D9"/>
            <w:vAlign w:val="center"/>
            <w:hideMark/>
          </w:tcPr>
          <w:p w14:paraId="5A1CF3BE" w14:textId="77777777" w:rsidR="00E942EE" w:rsidRPr="00E942EE" w:rsidRDefault="00E942EE" w:rsidP="00E942EE">
            <w:pPr>
              <w:jc w:val="center"/>
              <w:rPr>
                <w:rFonts w:ascii="Arial" w:hAnsi="Arial" w:cs="Arial"/>
                <w:b/>
                <w:bCs/>
                <w:color w:val="000000"/>
                <w:sz w:val="18"/>
                <w:szCs w:val="18"/>
              </w:rPr>
            </w:pPr>
            <w:r w:rsidRPr="00E942EE">
              <w:rPr>
                <w:rFonts w:ascii="Arial" w:hAnsi="Arial" w:cs="Arial"/>
                <w:b/>
                <w:bCs/>
                <w:color w:val="000000"/>
                <w:sz w:val="18"/>
                <w:szCs w:val="18"/>
              </w:rPr>
              <w:t>Net Exp</w:t>
            </w:r>
          </w:p>
        </w:tc>
      </w:tr>
      <w:tr w:rsidR="00681F6E" w:rsidRPr="00E942EE" w14:paraId="1ECD4ADE" w14:textId="77777777" w:rsidTr="005E2F77">
        <w:trPr>
          <w:trHeight w:val="323"/>
        </w:trPr>
        <w:tc>
          <w:tcPr>
            <w:tcW w:w="1035" w:type="dxa"/>
            <w:tcBorders>
              <w:top w:val="nil"/>
              <w:left w:val="single" w:sz="8" w:space="0" w:color="auto"/>
              <w:bottom w:val="nil"/>
              <w:right w:val="nil"/>
            </w:tcBorders>
            <w:vAlign w:val="center"/>
            <w:hideMark/>
          </w:tcPr>
          <w:p w14:paraId="0795AF70"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£000</w:t>
            </w:r>
          </w:p>
        </w:tc>
        <w:tc>
          <w:tcPr>
            <w:tcW w:w="1044" w:type="dxa"/>
            <w:tcBorders>
              <w:top w:val="nil"/>
              <w:left w:val="nil"/>
              <w:bottom w:val="nil"/>
              <w:right w:val="nil"/>
            </w:tcBorders>
            <w:vAlign w:val="center"/>
            <w:hideMark/>
          </w:tcPr>
          <w:p w14:paraId="14780341"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£000</w:t>
            </w:r>
          </w:p>
        </w:tc>
        <w:tc>
          <w:tcPr>
            <w:tcW w:w="1313" w:type="dxa"/>
            <w:tcBorders>
              <w:top w:val="nil"/>
              <w:left w:val="nil"/>
              <w:bottom w:val="nil"/>
              <w:right w:val="nil"/>
            </w:tcBorders>
            <w:vAlign w:val="center"/>
            <w:hideMark/>
          </w:tcPr>
          <w:p w14:paraId="5B21847E"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£000</w:t>
            </w:r>
          </w:p>
        </w:tc>
        <w:tc>
          <w:tcPr>
            <w:tcW w:w="3093" w:type="dxa"/>
            <w:tcBorders>
              <w:top w:val="nil"/>
              <w:left w:val="nil"/>
              <w:bottom w:val="nil"/>
              <w:right w:val="nil"/>
            </w:tcBorders>
            <w:shd w:val="clear" w:color="000000" w:fill="D9D9D9"/>
            <w:vAlign w:val="center"/>
            <w:hideMark/>
          </w:tcPr>
          <w:p w14:paraId="2FE4B23C"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 </w:t>
            </w:r>
          </w:p>
        </w:tc>
        <w:tc>
          <w:tcPr>
            <w:tcW w:w="1480" w:type="dxa"/>
            <w:tcBorders>
              <w:top w:val="nil"/>
              <w:left w:val="nil"/>
              <w:bottom w:val="nil"/>
              <w:right w:val="nil"/>
            </w:tcBorders>
            <w:shd w:val="clear" w:color="000000" w:fill="D9D9D9"/>
            <w:vAlign w:val="center"/>
            <w:hideMark/>
          </w:tcPr>
          <w:p w14:paraId="7396872E"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£000</w:t>
            </w:r>
          </w:p>
        </w:tc>
        <w:tc>
          <w:tcPr>
            <w:tcW w:w="1097" w:type="dxa"/>
            <w:tcBorders>
              <w:top w:val="nil"/>
              <w:left w:val="nil"/>
              <w:bottom w:val="nil"/>
              <w:right w:val="nil"/>
            </w:tcBorders>
            <w:shd w:val="clear" w:color="000000" w:fill="D9D9D9"/>
            <w:vAlign w:val="center"/>
            <w:hideMark/>
          </w:tcPr>
          <w:p w14:paraId="70CCD250"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£000</w:t>
            </w:r>
          </w:p>
        </w:tc>
        <w:tc>
          <w:tcPr>
            <w:tcW w:w="1268" w:type="dxa"/>
            <w:tcBorders>
              <w:top w:val="nil"/>
              <w:left w:val="nil"/>
              <w:bottom w:val="nil"/>
              <w:right w:val="single" w:sz="8" w:space="0" w:color="auto"/>
            </w:tcBorders>
            <w:shd w:val="clear" w:color="000000" w:fill="D9D9D9"/>
            <w:vAlign w:val="center"/>
            <w:hideMark/>
          </w:tcPr>
          <w:p w14:paraId="7CAD48C3"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£000</w:t>
            </w:r>
          </w:p>
        </w:tc>
      </w:tr>
      <w:tr w:rsidR="00B93A08" w:rsidRPr="00E942EE" w14:paraId="0700098C" w14:textId="77777777" w:rsidTr="005E2F77">
        <w:trPr>
          <w:trHeight w:val="323"/>
        </w:trPr>
        <w:tc>
          <w:tcPr>
            <w:tcW w:w="1035" w:type="dxa"/>
            <w:tcBorders>
              <w:top w:val="nil"/>
              <w:left w:val="single" w:sz="8" w:space="0" w:color="auto"/>
              <w:bottom w:val="nil"/>
              <w:right w:val="nil"/>
            </w:tcBorders>
            <w:vAlign w:val="center"/>
            <w:hideMark/>
          </w:tcPr>
          <w:p w14:paraId="44BDDB06" w14:textId="37097919" w:rsidR="00B93A08" w:rsidRPr="00E942EE" w:rsidRDefault="00B93A08" w:rsidP="00B93A08">
            <w:pPr>
              <w:jc w:val="right"/>
              <w:rPr>
                <w:rFonts w:ascii="Arial" w:hAnsi="Arial" w:cs="Arial"/>
                <w:color w:val="000000"/>
              </w:rPr>
            </w:pPr>
            <w:r w:rsidRPr="00E942EE">
              <w:rPr>
                <w:rFonts w:ascii="Arial" w:hAnsi="Arial" w:cs="Arial"/>
                <w:color w:val="000000"/>
              </w:rPr>
              <w:t>1,</w:t>
            </w:r>
            <w:r>
              <w:rPr>
                <w:rFonts w:ascii="Arial" w:hAnsi="Arial" w:cs="Arial"/>
                <w:color w:val="000000"/>
              </w:rPr>
              <w:t>769</w:t>
            </w:r>
          </w:p>
        </w:tc>
        <w:tc>
          <w:tcPr>
            <w:tcW w:w="1044" w:type="dxa"/>
            <w:tcBorders>
              <w:top w:val="nil"/>
              <w:left w:val="nil"/>
              <w:bottom w:val="nil"/>
              <w:right w:val="nil"/>
            </w:tcBorders>
            <w:vAlign w:val="center"/>
            <w:hideMark/>
          </w:tcPr>
          <w:p w14:paraId="42884DBF" w14:textId="0B2A565C" w:rsidR="00B93A08" w:rsidRPr="00E942EE" w:rsidRDefault="00B93A08" w:rsidP="00B93A08">
            <w:pPr>
              <w:jc w:val="right"/>
              <w:rPr>
                <w:rFonts w:ascii="Arial" w:hAnsi="Arial" w:cs="Arial"/>
                <w:color w:val="000000"/>
              </w:rPr>
            </w:pPr>
            <w:r>
              <w:rPr>
                <w:rFonts w:ascii="Arial" w:hAnsi="Arial" w:cs="Arial"/>
                <w:color w:val="000000"/>
              </w:rPr>
              <w:t>(18)</w:t>
            </w:r>
          </w:p>
        </w:tc>
        <w:tc>
          <w:tcPr>
            <w:tcW w:w="1313" w:type="dxa"/>
            <w:tcBorders>
              <w:top w:val="nil"/>
              <w:left w:val="nil"/>
              <w:bottom w:val="nil"/>
              <w:right w:val="nil"/>
            </w:tcBorders>
            <w:vAlign w:val="center"/>
            <w:hideMark/>
          </w:tcPr>
          <w:p w14:paraId="021B66B1" w14:textId="2C89B13B" w:rsidR="00B93A08" w:rsidRPr="00E942EE" w:rsidRDefault="00B93A08" w:rsidP="00B93A08">
            <w:pPr>
              <w:jc w:val="right"/>
              <w:rPr>
                <w:rFonts w:ascii="Arial" w:hAnsi="Arial" w:cs="Arial"/>
                <w:b/>
                <w:bCs/>
                <w:color w:val="000000"/>
              </w:rPr>
            </w:pPr>
            <w:r w:rsidRPr="00E942EE">
              <w:rPr>
                <w:rFonts w:ascii="Arial" w:hAnsi="Arial" w:cs="Arial"/>
                <w:b/>
                <w:bCs/>
                <w:color w:val="000000"/>
              </w:rPr>
              <w:t>1,</w:t>
            </w:r>
            <w:r>
              <w:rPr>
                <w:rFonts w:ascii="Arial" w:hAnsi="Arial" w:cs="Arial"/>
                <w:b/>
                <w:bCs/>
                <w:color w:val="000000"/>
              </w:rPr>
              <w:t>751</w:t>
            </w:r>
          </w:p>
        </w:tc>
        <w:tc>
          <w:tcPr>
            <w:tcW w:w="3093" w:type="dxa"/>
            <w:tcBorders>
              <w:top w:val="nil"/>
              <w:left w:val="nil"/>
              <w:bottom w:val="nil"/>
              <w:right w:val="nil"/>
            </w:tcBorders>
            <w:shd w:val="clear" w:color="000000" w:fill="D9D9D9"/>
            <w:vAlign w:val="center"/>
            <w:hideMark/>
          </w:tcPr>
          <w:p w14:paraId="703F40A8" w14:textId="77777777" w:rsidR="00B93A08" w:rsidRPr="00E942EE" w:rsidRDefault="00B93A08" w:rsidP="00B93A08">
            <w:pPr>
              <w:rPr>
                <w:rFonts w:ascii="Arial" w:hAnsi="Arial" w:cs="Arial"/>
                <w:color w:val="000000"/>
              </w:rPr>
            </w:pPr>
            <w:r w:rsidRPr="00E942EE">
              <w:rPr>
                <w:rFonts w:ascii="Arial" w:hAnsi="Arial" w:cs="Arial"/>
                <w:color w:val="000000"/>
              </w:rPr>
              <w:t>Office of the PCC</w:t>
            </w:r>
          </w:p>
        </w:tc>
        <w:tc>
          <w:tcPr>
            <w:tcW w:w="1480" w:type="dxa"/>
            <w:tcBorders>
              <w:top w:val="nil"/>
              <w:left w:val="nil"/>
              <w:bottom w:val="nil"/>
              <w:right w:val="nil"/>
            </w:tcBorders>
            <w:shd w:val="clear" w:color="000000" w:fill="D9D9D9"/>
            <w:vAlign w:val="center"/>
            <w:hideMark/>
          </w:tcPr>
          <w:p w14:paraId="45A05B41" w14:textId="3A21B0A8" w:rsidR="00B93A08" w:rsidRPr="00E942EE" w:rsidRDefault="00B93A08" w:rsidP="00B93A08">
            <w:pPr>
              <w:jc w:val="right"/>
              <w:rPr>
                <w:rFonts w:ascii="Arial" w:hAnsi="Arial" w:cs="Arial"/>
                <w:color w:val="000000"/>
              </w:rPr>
            </w:pPr>
            <w:r>
              <w:rPr>
                <w:rFonts w:ascii="Arial" w:hAnsi="Arial" w:cs="Arial"/>
                <w:color w:val="000000"/>
              </w:rPr>
              <w:t>2,</w:t>
            </w:r>
            <w:r w:rsidR="008E77EF">
              <w:rPr>
                <w:rFonts w:ascii="Arial" w:hAnsi="Arial" w:cs="Arial"/>
                <w:color w:val="000000"/>
              </w:rPr>
              <w:t>3</w:t>
            </w:r>
            <w:r w:rsidR="006405CA">
              <w:rPr>
                <w:rFonts w:ascii="Arial" w:hAnsi="Arial" w:cs="Arial"/>
                <w:color w:val="000000"/>
              </w:rPr>
              <w:t>41</w:t>
            </w:r>
          </w:p>
        </w:tc>
        <w:tc>
          <w:tcPr>
            <w:tcW w:w="1097" w:type="dxa"/>
            <w:tcBorders>
              <w:top w:val="nil"/>
              <w:left w:val="nil"/>
              <w:bottom w:val="nil"/>
              <w:right w:val="nil"/>
            </w:tcBorders>
            <w:shd w:val="clear" w:color="000000" w:fill="D9D9D9"/>
            <w:vAlign w:val="center"/>
            <w:hideMark/>
          </w:tcPr>
          <w:p w14:paraId="33D99E83" w14:textId="635DC69B" w:rsidR="00B93A08" w:rsidRPr="00E942EE" w:rsidRDefault="00B93A08" w:rsidP="00B93A08">
            <w:pPr>
              <w:jc w:val="right"/>
              <w:rPr>
                <w:rFonts w:ascii="Arial" w:hAnsi="Arial" w:cs="Arial"/>
                <w:color w:val="000000"/>
              </w:rPr>
            </w:pPr>
            <w:r>
              <w:rPr>
                <w:rFonts w:ascii="Arial" w:hAnsi="Arial" w:cs="Arial"/>
                <w:color w:val="000000"/>
              </w:rPr>
              <w:t>(20)</w:t>
            </w:r>
          </w:p>
        </w:tc>
        <w:tc>
          <w:tcPr>
            <w:tcW w:w="1268" w:type="dxa"/>
            <w:tcBorders>
              <w:top w:val="nil"/>
              <w:left w:val="nil"/>
              <w:bottom w:val="nil"/>
              <w:right w:val="single" w:sz="8" w:space="0" w:color="auto"/>
            </w:tcBorders>
            <w:shd w:val="clear" w:color="000000" w:fill="D9D9D9"/>
            <w:vAlign w:val="center"/>
            <w:hideMark/>
          </w:tcPr>
          <w:p w14:paraId="3EA2CF85" w14:textId="3982F90B" w:rsidR="00B93A08" w:rsidRPr="00E942EE" w:rsidRDefault="008E77EF" w:rsidP="00B93A08">
            <w:pPr>
              <w:jc w:val="right"/>
              <w:rPr>
                <w:rFonts w:ascii="Arial" w:hAnsi="Arial" w:cs="Arial"/>
                <w:b/>
                <w:bCs/>
                <w:color w:val="000000"/>
              </w:rPr>
            </w:pPr>
            <w:r>
              <w:rPr>
                <w:rFonts w:ascii="Arial" w:hAnsi="Arial" w:cs="Arial"/>
                <w:b/>
                <w:bCs/>
                <w:color w:val="000000"/>
              </w:rPr>
              <w:t>2,3</w:t>
            </w:r>
            <w:r w:rsidR="003F1B4F">
              <w:rPr>
                <w:rFonts w:ascii="Arial" w:hAnsi="Arial" w:cs="Arial"/>
                <w:b/>
                <w:bCs/>
                <w:color w:val="000000"/>
              </w:rPr>
              <w:t>21</w:t>
            </w:r>
          </w:p>
        </w:tc>
      </w:tr>
      <w:tr w:rsidR="00B93A08" w:rsidRPr="00E942EE" w14:paraId="3F88B1A3" w14:textId="77777777" w:rsidTr="005E2F77">
        <w:trPr>
          <w:trHeight w:val="323"/>
        </w:trPr>
        <w:tc>
          <w:tcPr>
            <w:tcW w:w="1035" w:type="dxa"/>
            <w:tcBorders>
              <w:top w:val="nil"/>
              <w:left w:val="single" w:sz="8" w:space="0" w:color="auto"/>
              <w:bottom w:val="nil"/>
              <w:right w:val="nil"/>
            </w:tcBorders>
            <w:vAlign w:val="center"/>
            <w:hideMark/>
          </w:tcPr>
          <w:p w14:paraId="277AE660" w14:textId="1C1DCAC1" w:rsidR="00B93A08" w:rsidRPr="00E942EE" w:rsidRDefault="00B93A08" w:rsidP="00B93A08">
            <w:pPr>
              <w:jc w:val="right"/>
              <w:rPr>
                <w:rFonts w:ascii="Arial" w:hAnsi="Arial" w:cs="Arial"/>
                <w:color w:val="000000"/>
              </w:rPr>
            </w:pPr>
            <w:r>
              <w:rPr>
                <w:rFonts w:ascii="Arial" w:hAnsi="Arial" w:cs="Arial"/>
                <w:color w:val="000000"/>
              </w:rPr>
              <w:t>1,411</w:t>
            </w:r>
          </w:p>
        </w:tc>
        <w:tc>
          <w:tcPr>
            <w:tcW w:w="1044" w:type="dxa"/>
            <w:tcBorders>
              <w:top w:val="nil"/>
              <w:left w:val="nil"/>
              <w:bottom w:val="nil"/>
              <w:right w:val="nil"/>
            </w:tcBorders>
            <w:vAlign w:val="center"/>
            <w:hideMark/>
          </w:tcPr>
          <w:p w14:paraId="30E4B24A" w14:textId="2F468BF1" w:rsidR="00B93A08" w:rsidRPr="00E942EE" w:rsidRDefault="00B93A08" w:rsidP="00B93A08">
            <w:pPr>
              <w:jc w:val="right"/>
              <w:rPr>
                <w:rFonts w:ascii="Arial" w:hAnsi="Arial" w:cs="Arial"/>
                <w:color w:val="000000"/>
              </w:rPr>
            </w:pPr>
            <w:r w:rsidRPr="00E942EE">
              <w:rPr>
                <w:rFonts w:ascii="Arial" w:hAnsi="Arial" w:cs="Arial"/>
                <w:color w:val="000000"/>
              </w:rPr>
              <w:t>(</w:t>
            </w:r>
            <w:r>
              <w:rPr>
                <w:rFonts w:ascii="Arial" w:hAnsi="Arial" w:cs="Arial"/>
                <w:color w:val="000000"/>
              </w:rPr>
              <w:t>2,180</w:t>
            </w:r>
            <w:r w:rsidRPr="00E942EE">
              <w:rPr>
                <w:rFonts w:ascii="Arial" w:hAnsi="Arial" w:cs="Arial"/>
                <w:color w:val="000000"/>
              </w:rPr>
              <w:t>)</w:t>
            </w:r>
          </w:p>
        </w:tc>
        <w:tc>
          <w:tcPr>
            <w:tcW w:w="1313" w:type="dxa"/>
            <w:tcBorders>
              <w:top w:val="nil"/>
              <w:left w:val="nil"/>
              <w:bottom w:val="nil"/>
              <w:right w:val="nil"/>
            </w:tcBorders>
            <w:vAlign w:val="center"/>
            <w:hideMark/>
          </w:tcPr>
          <w:p w14:paraId="50988A50" w14:textId="4DF18B58" w:rsidR="00B93A08" w:rsidRPr="00E942EE" w:rsidRDefault="00B93A08" w:rsidP="00B93A08">
            <w:pPr>
              <w:jc w:val="right"/>
              <w:rPr>
                <w:rFonts w:ascii="Arial" w:hAnsi="Arial" w:cs="Arial"/>
                <w:b/>
                <w:bCs/>
                <w:color w:val="000000"/>
              </w:rPr>
            </w:pPr>
            <w:r>
              <w:rPr>
                <w:rFonts w:ascii="Arial" w:hAnsi="Arial" w:cs="Arial"/>
                <w:b/>
                <w:bCs/>
                <w:color w:val="000000"/>
              </w:rPr>
              <w:t>(769)</w:t>
            </w:r>
          </w:p>
        </w:tc>
        <w:tc>
          <w:tcPr>
            <w:tcW w:w="3093" w:type="dxa"/>
            <w:tcBorders>
              <w:top w:val="nil"/>
              <w:left w:val="nil"/>
              <w:bottom w:val="nil"/>
              <w:right w:val="nil"/>
            </w:tcBorders>
            <w:shd w:val="clear" w:color="000000" w:fill="D9D9D9"/>
            <w:vAlign w:val="center"/>
            <w:hideMark/>
          </w:tcPr>
          <w:p w14:paraId="06FEF934" w14:textId="79B7712B" w:rsidR="00B93A08" w:rsidRPr="00E942EE" w:rsidRDefault="0081765F" w:rsidP="00B93A08">
            <w:pPr>
              <w:rPr>
                <w:rFonts w:ascii="Arial" w:hAnsi="Arial" w:cs="Arial"/>
                <w:color w:val="000000"/>
              </w:rPr>
            </w:pPr>
            <w:r>
              <w:rPr>
                <w:rFonts w:ascii="Arial" w:hAnsi="Arial" w:cs="Arial"/>
                <w:color w:val="000000"/>
              </w:rPr>
              <w:t>Prevention</w:t>
            </w:r>
          </w:p>
        </w:tc>
        <w:tc>
          <w:tcPr>
            <w:tcW w:w="1480" w:type="dxa"/>
            <w:tcBorders>
              <w:top w:val="nil"/>
              <w:left w:val="nil"/>
              <w:bottom w:val="nil"/>
              <w:right w:val="nil"/>
            </w:tcBorders>
            <w:shd w:val="clear" w:color="000000" w:fill="D9D9D9"/>
            <w:vAlign w:val="center"/>
            <w:hideMark/>
          </w:tcPr>
          <w:p w14:paraId="7EAB0712" w14:textId="7BC19C7A" w:rsidR="00B93A08" w:rsidRPr="00E942EE" w:rsidRDefault="00B93A08" w:rsidP="00B93A08">
            <w:pPr>
              <w:jc w:val="right"/>
              <w:rPr>
                <w:rFonts w:ascii="Arial" w:hAnsi="Arial" w:cs="Arial"/>
                <w:color w:val="000000"/>
              </w:rPr>
            </w:pPr>
            <w:r>
              <w:rPr>
                <w:rFonts w:ascii="Arial" w:hAnsi="Arial" w:cs="Arial"/>
                <w:color w:val="000000"/>
              </w:rPr>
              <w:t>1,532</w:t>
            </w:r>
          </w:p>
        </w:tc>
        <w:tc>
          <w:tcPr>
            <w:tcW w:w="1097" w:type="dxa"/>
            <w:tcBorders>
              <w:top w:val="nil"/>
              <w:left w:val="nil"/>
              <w:bottom w:val="nil"/>
              <w:right w:val="nil"/>
            </w:tcBorders>
            <w:shd w:val="clear" w:color="000000" w:fill="D9D9D9"/>
            <w:vAlign w:val="center"/>
            <w:hideMark/>
          </w:tcPr>
          <w:p w14:paraId="023B2CD0" w14:textId="1A158227" w:rsidR="00B93A08" w:rsidRPr="00E942EE" w:rsidRDefault="00B93A08" w:rsidP="00B93A08">
            <w:pPr>
              <w:jc w:val="right"/>
              <w:rPr>
                <w:rFonts w:ascii="Arial" w:hAnsi="Arial" w:cs="Arial"/>
                <w:color w:val="000000"/>
              </w:rPr>
            </w:pPr>
            <w:r>
              <w:rPr>
                <w:rFonts w:ascii="Arial" w:hAnsi="Arial" w:cs="Arial"/>
                <w:color w:val="000000"/>
              </w:rPr>
              <w:t>(4,164)</w:t>
            </w:r>
          </w:p>
        </w:tc>
        <w:tc>
          <w:tcPr>
            <w:tcW w:w="1268" w:type="dxa"/>
            <w:tcBorders>
              <w:top w:val="nil"/>
              <w:left w:val="nil"/>
              <w:bottom w:val="nil"/>
              <w:right w:val="single" w:sz="8" w:space="0" w:color="auto"/>
            </w:tcBorders>
            <w:shd w:val="clear" w:color="000000" w:fill="D9D9D9"/>
            <w:vAlign w:val="center"/>
            <w:hideMark/>
          </w:tcPr>
          <w:p w14:paraId="3332D100" w14:textId="0D132917" w:rsidR="00B93A08" w:rsidRPr="00E942EE" w:rsidRDefault="00B93A08" w:rsidP="00B93A08">
            <w:pPr>
              <w:jc w:val="right"/>
              <w:rPr>
                <w:rFonts w:ascii="Arial" w:hAnsi="Arial" w:cs="Arial"/>
                <w:b/>
                <w:bCs/>
                <w:color w:val="000000"/>
              </w:rPr>
            </w:pPr>
            <w:r>
              <w:rPr>
                <w:rFonts w:ascii="Arial" w:hAnsi="Arial" w:cs="Arial"/>
                <w:b/>
                <w:bCs/>
                <w:color w:val="000000"/>
              </w:rPr>
              <w:t>(2,632)</w:t>
            </w:r>
          </w:p>
        </w:tc>
      </w:tr>
      <w:tr w:rsidR="00B93A08" w:rsidRPr="00E942EE" w14:paraId="5214D327" w14:textId="77777777" w:rsidTr="005E2F77">
        <w:trPr>
          <w:trHeight w:val="323"/>
        </w:trPr>
        <w:tc>
          <w:tcPr>
            <w:tcW w:w="1035" w:type="dxa"/>
            <w:tcBorders>
              <w:top w:val="nil"/>
              <w:left w:val="single" w:sz="8" w:space="0" w:color="auto"/>
              <w:bottom w:val="nil"/>
              <w:right w:val="nil"/>
            </w:tcBorders>
            <w:vAlign w:val="center"/>
            <w:hideMark/>
          </w:tcPr>
          <w:p w14:paraId="7A139360" w14:textId="71F3044E" w:rsidR="00B93A08" w:rsidRPr="00E942EE" w:rsidRDefault="00B93A08" w:rsidP="00B93A08">
            <w:pPr>
              <w:jc w:val="right"/>
              <w:rPr>
                <w:rFonts w:ascii="Arial" w:hAnsi="Arial" w:cs="Arial"/>
                <w:color w:val="000000"/>
              </w:rPr>
            </w:pPr>
            <w:r>
              <w:rPr>
                <w:rFonts w:ascii="Arial" w:hAnsi="Arial" w:cs="Arial"/>
                <w:color w:val="000000"/>
              </w:rPr>
              <w:t>5,849</w:t>
            </w:r>
          </w:p>
        </w:tc>
        <w:tc>
          <w:tcPr>
            <w:tcW w:w="1044" w:type="dxa"/>
            <w:tcBorders>
              <w:top w:val="nil"/>
              <w:left w:val="nil"/>
              <w:bottom w:val="nil"/>
              <w:right w:val="nil"/>
            </w:tcBorders>
            <w:vAlign w:val="center"/>
            <w:hideMark/>
          </w:tcPr>
          <w:p w14:paraId="5C09CFEC" w14:textId="25FCA0C0" w:rsidR="00B93A08" w:rsidRPr="00E942EE" w:rsidRDefault="00B93A08" w:rsidP="00B93A08">
            <w:pPr>
              <w:jc w:val="right"/>
              <w:rPr>
                <w:rFonts w:ascii="Arial" w:hAnsi="Arial" w:cs="Arial"/>
                <w:color w:val="000000"/>
              </w:rPr>
            </w:pPr>
            <w:r w:rsidRPr="00E942EE">
              <w:rPr>
                <w:rFonts w:ascii="Arial" w:hAnsi="Arial" w:cs="Arial"/>
                <w:color w:val="000000"/>
              </w:rPr>
              <w:t>(5,</w:t>
            </w:r>
            <w:r>
              <w:rPr>
                <w:rFonts w:ascii="Arial" w:hAnsi="Arial" w:cs="Arial"/>
                <w:color w:val="000000"/>
              </w:rPr>
              <w:t>4</w:t>
            </w:r>
            <w:r w:rsidRPr="00E942EE">
              <w:rPr>
                <w:rFonts w:ascii="Arial" w:hAnsi="Arial" w:cs="Arial"/>
                <w:color w:val="000000"/>
              </w:rPr>
              <w:t>51)</w:t>
            </w:r>
          </w:p>
        </w:tc>
        <w:tc>
          <w:tcPr>
            <w:tcW w:w="1313" w:type="dxa"/>
            <w:tcBorders>
              <w:top w:val="nil"/>
              <w:left w:val="nil"/>
              <w:bottom w:val="nil"/>
              <w:right w:val="nil"/>
            </w:tcBorders>
            <w:vAlign w:val="center"/>
            <w:hideMark/>
          </w:tcPr>
          <w:p w14:paraId="7F7A68EC" w14:textId="184D5AE4" w:rsidR="00B93A08" w:rsidRPr="00E942EE" w:rsidRDefault="00B93A08" w:rsidP="00B93A08">
            <w:pPr>
              <w:jc w:val="right"/>
              <w:rPr>
                <w:rFonts w:ascii="Arial" w:hAnsi="Arial" w:cs="Arial"/>
                <w:b/>
                <w:bCs/>
                <w:color w:val="000000"/>
              </w:rPr>
            </w:pPr>
            <w:r>
              <w:rPr>
                <w:rFonts w:ascii="Arial" w:hAnsi="Arial" w:cs="Arial"/>
                <w:b/>
                <w:bCs/>
                <w:color w:val="000000"/>
              </w:rPr>
              <w:t>397</w:t>
            </w:r>
          </w:p>
        </w:tc>
        <w:tc>
          <w:tcPr>
            <w:tcW w:w="3093" w:type="dxa"/>
            <w:tcBorders>
              <w:top w:val="nil"/>
              <w:left w:val="nil"/>
              <w:bottom w:val="nil"/>
              <w:right w:val="nil"/>
            </w:tcBorders>
            <w:shd w:val="clear" w:color="000000" w:fill="D9D9D9"/>
            <w:vAlign w:val="center"/>
            <w:hideMark/>
          </w:tcPr>
          <w:p w14:paraId="16181DEC" w14:textId="07ACAED7" w:rsidR="00B93A08" w:rsidRPr="00E942EE" w:rsidRDefault="00A52542" w:rsidP="00B93A08">
            <w:pPr>
              <w:rPr>
                <w:rFonts w:ascii="Arial" w:hAnsi="Arial" w:cs="Arial"/>
                <w:color w:val="000000"/>
              </w:rPr>
            </w:pPr>
            <w:r w:rsidRPr="00A52542">
              <w:rPr>
                <w:rFonts w:ascii="Arial" w:hAnsi="Arial" w:cs="Arial"/>
                <w:color w:val="000000"/>
              </w:rPr>
              <w:t>Victim and Domestic Abuse services</w:t>
            </w:r>
          </w:p>
        </w:tc>
        <w:tc>
          <w:tcPr>
            <w:tcW w:w="1480" w:type="dxa"/>
            <w:tcBorders>
              <w:top w:val="nil"/>
              <w:left w:val="nil"/>
              <w:bottom w:val="nil"/>
              <w:right w:val="nil"/>
            </w:tcBorders>
            <w:shd w:val="clear" w:color="000000" w:fill="D9D9D9"/>
            <w:vAlign w:val="center"/>
            <w:hideMark/>
          </w:tcPr>
          <w:p w14:paraId="3640A7B3" w14:textId="54824E71" w:rsidR="00B93A08" w:rsidRPr="00E942EE" w:rsidRDefault="00B93A08" w:rsidP="00B93A08">
            <w:pPr>
              <w:jc w:val="right"/>
              <w:rPr>
                <w:rFonts w:ascii="Arial" w:hAnsi="Arial" w:cs="Arial"/>
                <w:color w:val="000000"/>
              </w:rPr>
            </w:pPr>
            <w:r>
              <w:rPr>
                <w:rFonts w:ascii="Arial" w:hAnsi="Arial" w:cs="Arial"/>
                <w:color w:val="000000"/>
              </w:rPr>
              <w:t>6,295</w:t>
            </w:r>
          </w:p>
        </w:tc>
        <w:tc>
          <w:tcPr>
            <w:tcW w:w="1097" w:type="dxa"/>
            <w:tcBorders>
              <w:top w:val="nil"/>
              <w:left w:val="nil"/>
              <w:bottom w:val="nil"/>
              <w:right w:val="nil"/>
            </w:tcBorders>
            <w:shd w:val="clear" w:color="000000" w:fill="D9D9D9"/>
            <w:vAlign w:val="center"/>
            <w:hideMark/>
          </w:tcPr>
          <w:p w14:paraId="696E4402" w14:textId="1F4591A2" w:rsidR="00B93A08" w:rsidRPr="00E942EE" w:rsidRDefault="00B93A08" w:rsidP="00B93A08">
            <w:pPr>
              <w:jc w:val="right"/>
              <w:rPr>
                <w:rFonts w:ascii="Arial" w:hAnsi="Arial" w:cs="Arial"/>
                <w:color w:val="000000"/>
              </w:rPr>
            </w:pPr>
            <w:r>
              <w:rPr>
                <w:rFonts w:ascii="Arial" w:hAnsi="Arial" w:cs="Arial"/>
                <w:color w:val="000000"/>
              </w:rPr>
              <w:t>(5,619)</w:t>
            </w:r>
          </w:p>
        </w:tc>
        <w:tc>
          <w:tcPr>
            <w:tcW w:w="1268" w:type="dxa"/>
            <w:tcBorders>
              <w:top w:val="nil"/>
              <w:left w:val="nil"/>
              <w:bottom w:val="nil"/>
              <w:right w:val="single" w:sz="8" w:space="0" w:color="auto"/>
            </w:tcBorders>
            <w:shd w:val="clear" w:color="000000" w:fill="D9D9D9"/>
            <w:vAlign w:val="center"/>
            <w:hideMark/>
          </w:tcPr>
          <w:p w14:paraId="4633F397" w14:textId="10834E55" w:rsidR="00B93A08" w:rsidRPr="00E942EE" w:rsidRDefault="00B93A08" w:rsidP="00B93A08">
            <w:pPr>
              <w:jc w:val="right"/>
              <w:rPr>
                <w:rFonts w:ascii="Arial" w:hAnsi="Arial" w:cs="Arial"/>
                <w:b/>
                <w:bCs/>
                <w:color w:val="000000"/>
              </w:rPr>
            </w:pPr>
            <w:r>
              <w:rPr>
                <w:rFonts w:ascii="Arial" w:hAnsi="Arial" w:cs="Arial"/>
                <w:b/>
                <w:bCs/>
                <w:color w:val="000000"/>
              </w:rPr>
              <w:t>676</w:t>
            </w:r>
          </w:p>
        </w:tc>
      </w:tr>
      <w:tr w:rsidR="008D2984" w:rsidRPr="00E942EE" w14:paraId="2896C3C9" w14:textId="77777777" w:rsidTr="005E2F77">
        <w:trPr>
          <w:trHeight w:val="323"/>
        </w:trPr>
        <w:tc>
          <w:tcPr>
            <w:tcW w:w="1035" w:type="dxa"/>
            <w:tcBorders>
              <w:top w:val="nil"/>
              <w:left w:val="single" w:sz="8" w:space="0" w:color="auto"/>
              <w:bottom w:val="nil"/>
              <w:right w:val="nil"/>
            </w:tcBorders>
            <w:vAlign w:val="center"/>
            <w:hideMark/>
          </w:tcPr>
          <w:p w14:paraId="03F55D35" w14:textId="66A6ED9E" w:rsidR="008D2984" w:rsidRPr="00E942EE" w:rsidRDefault="008D2984" w:rsidP="008D2984">
            <w:pPr>
              <w:jc w:val="right"/>
              <w:rPr>
                <w:rFonts w:ascii="Arial" w:hAnsi="Arial" w:cs="Arial"/>
                <w:color w:val="000000"/>
              </w:rPr>
            </w:pPr>
            <w:r>
              <w:rPr>
                <w:rFonts w:ascii="Arial" w:hAnsi="Arial" w:cs="Arial"/>
                <w:color w:val="000000"/>
              </w:rPr>
              <w:t>5</w:t>
            </w:r>
          </w:p>
        </w:tc>
        <w:tc>
          <w:tcPr>
            <w:tcW w:w="1044" w:type="dxa"/>
            <w:tcBorders>
              <w:top w:val="nil"/>
              <w:left w:val="nil"/>
              <w:bottom w:val="nil"/>
              <w:right w:val="nil"/>
            </w:tcBorders>
            <w:vAlign w:val="center"/>
            <w:hideMark/>
          </w:tcPr>
          <w:p w14:paraId="77056C27" w14:textId="77777777" w:rsidR="008D2984" w:rsidRPr="00E942EE" w:rsidRDefault="008D2984" w:rsidP="008D2984">
            <w:pPr>
              <w:jc w:val="right"/>
              <w:rPr>
                <w:rFonts w:ascii="Arial" w:hAnsi="Arial" w:cs="Arial"/>
                <w:color w:val="000000"/>
              </w:rPr>
            </w:pPr>
            <w:r w:rsidRPr="00E942EE">
              <w:rPr>
                <w:rFonts w:ascii="Arial" w:hAnsi="Arial" w:cs="Arial"/>
                <w:color w:val="000000"/>
              </w:rPr>
              <w:t>0</w:t>
            </w:r>
          </w:p>
        </w:tc>
        <w:tc>
          <w:tcPr>
            <w:tcW w:w="1313" w:type="dxa"/>
            <w:tcBorders>
              <w:top w:val="nil"/>
              <w:left w:val="nil"/>
              <w:bottom w:val="nil"/>
              <w:right w:val="nil"/>
            </w:tcBorders>
            <w:vAlign w:val="center"/>
            <w:hideMark/>
          </w:tcPr>
          <w:p w14:paraId="26131353" w14:textId="2BE2C026" w:rsidR="008D2984" w:rsidRPr="00E942EE" w:rsidRDefault="008D2984" w:rsidP="008D2984">
            <w:pPr>
              <w:jc w:val="right"/>
              <w:rPr>
                <w:rFonts w:ascii="Arial" w:hAnsi="Arial" w:cs="Arial"/>
                <w:b/>
                <w:bCs/>
                <w:color w:val="000000"/>
              </w:rPr>
            </w:pPr>
            <w:r>
              <w:rPr>
                <w:rFonts w:ascii="Arial" w:hAnsi="Arial" w:cs="Arial"/>
                <w:b/>
                <w:bCs/>
                <w:color w:val="000000"/>
              </w:rPr>
              <w:t>5</w:t>
            </w:r>
          </w:p>
        </w:tc>
        <w:tc>
          <w:tcPr>
            <w:tcW w:w="3093" w:type="dxa"/>
            <w:tcBorders>
              <w:top w:val="nil"/>
              <w:left w:val="nil"/>
              <w:bottom w:val="nil"/>
              <w:right w:val="nil"/>
            </w:tcBorders>
            <w:shd w:val="clear" w:color="000000" w:fill="D9D9D9"/>
            <w:vAlign w:val="center"/>
            <w:hideMark/>
          </w:tcPr>
          <w:p w14:paraId="44D91412" w14:textId="08AD2FAA" w:rsidR="008D2984" w:rsidRPr="00E942EE" w:rsidRDefault="008D2984" w:rsidP="008D2984">
            <w:pPr>
              <w:rPr>
                <w:rFonts w:ascii="Arial" w:hAnsi="Arial" w:cs="Arial"/>
                <w:color w:val="000000"/>
              </w:rPr>
            </w:pPr>
            <w:r w:rsidRPr="00E942EE">
              <w:rPr>
                <w:rFonts w:ascii="Arial" w:hAnsi="Arial" w:cs="Arial"/>
                <w:color w:val="000000"/>
              </w:rPr>
              <w:t>PCC Non-Devolved budgets</w:t>
            </w:r>
          </w:p>
        </w:tc>
        <w:tc>
          <w:tcPr>
            <w:tcW w:w="1480" w:type="dxa"/>
            <w:tcBorders>
              <w:top w:val="nil"/>
              <w:left w:val="nil"/>
              <w:bottom w:val="nil"/>
              <w:right w:val="nil"/>
            </w:tcBorders>
            <w:shd w:val="clear" w:color="000000" w:fill="D9D9D9"/>
            <w:vAlign w:val="center"/>
            <w:hideMark/>
          </w:tcPr>
          <w:p w14:paraId="56E3C3DD" w14:textId="4EB0EB70" w:rsidR="008D2984" w:rsidRPr="00E942EE" w:rsidRDefault="008D2984" w:rsidP="008D2984">
            <w:pPr>
              <w:jc w:val="right"/>
              <w:rPr>
                <w:rFonts w:ascii="Arial" w:hAnsi="Arial" w:cs="Arial"/>
                <w:color w:val="000000"/>
              </w:rPr>
            </w:pPr>
            <w:r>
              <w:rPr>
                <w:rFonts w:ascii="Arial" w:hAnsi="Arial" w:cs="Arial"/>
                <w:color w:val="000000"/>
              </w:rPr>
              <w:t>440</w:t>
            </w:r>
          </w:p>
        </w:tc>
        <w:tc>
          <w:tcPr>
            <w:tcW w:w="1097" w:type="dxa"/>
            <w:tcBorders>
              <w:top w:val="nil"/>
              <w:left w:val="nil"/>
              <w:bottom w:val="nil"/>
              <w:right w:val="nil"/>
            </w:tcBorders>
            <w:shd w:val="clear" w:color="000000" w:fill="D9D9D9"/>
            <w:vAlign w:val="center"/>
            <w:hideMark/>
          </w:tcPr>
          <w:p w14:paraId="7ADDE081" w14:textId="17F37739" w:rsidR="008D2984" w:rsidRPr="00E942EE" w:rsidRDefault="008D2984" w:rsidP="008D2984">
            <w:pPr>
              <w:jc w:val="right"/>
              <w:rPr>
                <w:rFonts w:ascii="Arial" w:hAnsi="Arial" w:cs="Arial"/>
                <w:color w:val="000000"/>
              </w:rPr>
            </w:pPr>
            <w:r>
              <w:rPr>
                <w:rFonts w:ascii="Arial" w:hAnsi="Arial" w:cs="Arial"/>
                <w:color w:val="000000"/>
              </w:rPr>
              <w:t>(124)</w:t>
            </w:r>
          </w:p>
        </w:tc>
        <w:tc>
          <w:tcPr>
            <w:tcW w:w="1268" w:type="dxa"/>
            <w:tcBorders>
              <w:top w:val="nil"/>
              <w:left w:val="nil"/>
              <w:bottom w:val="nil"/>
              <w:right w:val="single" w:sz="8" w:space="0" w:color="auto"/>
            </w:tcBorders>
            <w:shd w:val="clear" w:color="000000" w:fill="D9D9D9"/>
            <w:vAlign w:val="center"/>
            <w:hideMark/>
          </w:tcPr>
          <w:p w14:paraId="2CFAB24B" w14:textId="72A0681A" w:rsidR="008D2984" w:rsidRPr="00E942EE" w:rsidRDefault="008D2984" w:rsidP="008D2984">
            <w:pPr>
              <w:jc w:val="right"/>
              <w:rPr>
                <w:rFonts w:ascii="Arial" w:hAnsi="Arial" w:cs="Arial"/>
                <w:b/>
                <w:bCs/>
                <w:color w:val="000000"/>
              </w:rPr>
            </w:pPr>
            <w:r>
              <w:rPr>
                <w:rFonts w:ascii="Arial" w:hAnsi="Arial" w:cs="Arial"/>
                <w:b/>
                <w:bCs/>
                <w:color w:val="000000"/>
              </w:rPr>
              <w:t>316</w:t>
            </w:r>
          </w:p>
        </w:tc>
      </w:tr>
      <w:tr w:rsidR="008D2984" w:rsidRPr="00E942EE" w14:paraId="588E74F8" w14:textId="77777777" w:rsidTr="005E2F77">
        <w:trPr>
          <w:trHeight w:val="323"/>
        </w:trPr>
        <w:tc>
          <w:tcPr>
            <w:tcW w:w="1035" w:type="dxa"/>
            <w:tcBorders>
              <w:top w:val="nil"/>
              <w:left w:val="single" w:sz="8" w:space="0" w:color="auto"/>
              <w:bottom w:val="nil"/>
              <w:right w:val="nil"/>
            </w:tcBorders>
            <w:vAlign w:val="center"/>
            <w:hideMark/>
          </w:tcPr>
          <w:p w14:paraId="3AE1B602" w14:textId="753E2280" w:rsidR="008D2984" w:rsidRPr="00E942EE" w:rsidRDefault="008D2984" w:rsidP="008D2984">
            <w:pPr>
              <w:jc w:val="right"/>
              <w:rPr>
                <w:rFonts w:ascii="Arial" w:hAnsi="Arial" w:cs="Arial"/>
                <w:color w:val="000000"/>
              </w:rPr>
            </w:pPr>
            <w:r w:rsidRPr="00E942EE">
              <w:rPr>
                <w:rFonts w:ascii="Arial" w:hAnsi="Arial" w:cs="Arial"/>
                <w:color w:val="000000"/>
              </w:rPr>
              <w:t>4</w:t>
            </w:r>
            <w:r>
              <w:rPr>
                <w:rFonts w:ascii="Arial" w:hAnsi="Arial" w:cs="Arial"/>
                <w:color w:val="000000"/>
              </w:rPr>
              <w:t>63,176</w:t>
            </w:r>
          </w:p>
        </w:tc>
        <w:tc>
          <w:tcPr>
            <w:tcW w:w="1044" w:type="dxa"/>
            <w:tcBorders>
              <w:top w:val="nil"/>
              <w:left w:val="nil"/>
              <w:bottom w:val="nil"/>
              <w:right w:val="nil"/>
            </w:tcBorders>
            <w:vAlign w:val="center"/>
            <w:hideMark/>
          </w:tcPr>
          <w:p w14:paraId="00104937" w14:textId="77777777" w:rsidR="008D2984" w:rsidRPr="00E942EE" w:rsidRDefault="008D2984" w:rsidP="008D2984">
            <w:pPr>
              <w:jc w:val="right"/>
              <w:rPr>
                <w:rFonts w:ascii="Arial" w:hAnsi="Arial" w:cs="Arial"/>
                <w:color w:val="000000"/>
              </w:rPr>
            </w:pPr>
            <w:r w:rsidRPr="00E942EE">
              <w:rPr>
                <w:rFonts w:ascii="Arial" w:hAnsi="Arial" w:cs="Arial"/>
                <w:color w:val="000000"/>
              </w:rPr>
              <w:t>0</w:t>
            </w:r>
          </w:p>
        </w:tc>
        <w:tc>
          <w:tcPr>
            <w:tcW w:w="1313" w:type="dxa"/>
            <w:tcBorders>
              <w:top w:val="nil"/>
              <w:left w:val="nil"/>
              <w:bottom w:val="nil"/>
              <w:right w:val="nil"/>
            </w:tcBorders>
            <w:vAlign w:val="center"/>
            <w:hideMark/>
          </w:tcPr>
          <w:p w14:paraId="0BD57855" w14:textId="764379B0" w:rsidR="008D2984" w:rsidRPr="00E942EE" w:rsidRDefault="008D2984" w:rsidP="008D2984">
            <w:pPr>
              <w:jc w:val="right"/>
              <w:rPr>
                <w:rFonts w:ascii="Arial" w:hAnsi="Arial" w:cs="Arial"/>
                <w:b/>
                <w:bCs/>
                <w:color w:val="000000"/>
              </w:rPr>
            </w:pPr>
            <w:r w:rsidRPr="00E942EE">
              <w:rPr>
                <w:rFonts w:ascii="Arial" w:hAnsi="Arial" w:cs="Arial"/>
                <w:b/>
                <w:bCs/>
                <w:color w:val="000000"/>
              </w:rPr>
              <w:t>4</w:t>
            </w:r>
            <w:r>
              <w:rPr>
                <w:rFonts w:ascii="Arial" w:hAnsi="Arial" w:cs="Arial"/>
                <w:b/>
                <w:bCs/>
                <w:color w:val="000000"/>
              </w:rPr>
              <w:t>63,176</w:t>
            </w:r>
          </w:p>
        </w:tc>
        <w:tc>
          <w:tcPr>
            <w:tcW w:w="3093" w:type="dxa"/>
            <w:tcBorders>
              <w:top w:val="nil"/>
              <w:left w:val="nil"/>
              <w:bottom w:val="nil"/>
              <w:right w:val="nil"/>
            </w:tcBorders>
            <w:shd w:val="clear" w:color="000000" w:fill="D9D9D9"/>
            <w:vAlign w:val="center"/>
            <w:hideMark/>
          </w:tcPr>
          <w:p w14:paraId="177614F2" w14:textId="77777777" w:rsidR="008D2984" w:rsidRPr="00E942EE" w:rsidRDefault="008D2984" w:rsidP="008D2984">
            <w:pPr>
              <w:rPr>
                <w:rFonts w:ascii="Arial" w:hAnsi="Arial" w:cs="Arial"/>
                <w:color w:val="000000"/>
              </w:rPr>
            </w:pPr>
            <w:r w:rsidRPr="00E942EE">
              <w:rPr>
                <w:rFonts w:ascii="Arial" w:hAnsi="Arial" w:cs="Arial"/>
                <w:color w:val="000000"/>
              </w:rPr>
              <w:t>Funding provided by PCC to CC (Note 16)</w:t>
            </w:r>
          </w:p>
        </w:tc>
        <w:tc>
          <w:tcPr>
            <w:tcW w:w="1480" w:type="dxa"/>
            <w:tcBorders>
              <w:top w:val="nil"/>
              <w:left w:val="nil"/>
              <w:bottom w:val="nil"/>
              <w:right w:val="nil"/>
            </w:tcBorders>
            <w:shd w:val="clear" w:color="000000" w:fill="D9D9D9"/>
            <w:vAlign w:val="center"/>
            <w:hideMark/>
          </w:tcPr>
          <w:p w14:paraId="280E54A9" w14:textId="7098F6EE" w:rsidR="008D2984" w:rsidRPr="00E942EE" w:rsidRDefault="008D2984" w:rsidP="008D2984">
            <w:pPr>
              <w:jc w:val="right"/>
              <w:rPr>
                <w:rFonts w:ascii="Arial" w:hAnsi="Arial" w:cs="Arial"/>
                <w:color w:val="000000"/>
              </w:rPr>
            </w:pPr>
            <w:r>
              <w:rPr>
                <w:rFonts w:ascii="Arial" w:hAnsi="Arial" w:cs="Arial"/>
                <w:color w:val="000000"/>
              </w:rPr>
              <w:t>492,99</w:t>
            </w:r>
            <w:r w:rsidR="003F1B4F">
              <w:rPr>
                <w:rFonts w:ascii="Arial" w:hAnsi="Arial" w:cs="Arial"/>
                <w:color w:val="000000"/>
              </w:rPr>
              <w:t>5</w:t>
            </w:r>
          </w:p>
        </w:tc>
        <w:tc>
          <w:tcPr>
            <w:tcW w:w="1097" w:type="dxa"/>
            <w:tcBorders>
              <w:top w:val="nil"/>
              <w:left w:val="nil"/>
              <w:bottom w:val="nil"/>
              <w:right w:val="nil"/>
            </w:tcBorders>
            <w:shd w:val="clear" w:color="000000" w:fill="D9D9D9"/>
            <w:vAlign w:val="center"/>
            <w:hideMark/>
          </w:tcPr>
          <w:p w14:paraId="48D2A962" w14:textId="36003B6F" w:rsidR="008D2984" w:rsidRPr="00E942EE" w:rsidRDefault="008D2984" w:rsidP="008D2984">
            <w:pPr>
              <w:jc w:val="right"/>
              <w:rPr>
                <w:rFonts w:ascii="Arial" w:hAnsi="Arial" w:cs="Arial"/>
                <w:color w:val="000000"/>
              </w:rPr>
            </w:pPr>
            <w:r>
              <w:rPr>
                <w:rFonts w:ascii="Arial" w:hAnsi="Arial" w:cs="Arial"/>
                <w:color w:val="000000"/>
              </w:rPr>
              <w:t>0</w:t>
            </w:r>
          </w:p>
        </w:tc>
        <w:tc>
          <w:tcPr>
            <w:tcW w:w="1268" w:type="dxa"/>
            <w:tcBorders>
              <w:top w:val="nil"/>
              <w:left w:val="nil"/>
              <w:bottom w:val="nil"/>
              <w:right w:val="single" w:sz="8" w:space="0" w:color="auto"/>
            </w:tcBorders>
            <w:shd w:val="clear" w:color="000000" w:fill="D9D9D9"/>
            <w:vAlign w:val="center"/>
            <w:hideMark/>
          </w:tcPr>
          <w:p w14:paraId="54B901FF" w14:textId="374603CB" w:rsidR="008D2984" w:rsidRPr="00E942EE" w:rsidRDefault="008D2984" w:rsidP="008D2984">
            <w:pPr>
              <w:jc w:val="right"/>
              <w:rPr>
                <w:rFonts w:ascii="Arial" w:hAnsi="Arial" w:cs="Arial"/>
                <w:b/>
                <w:bCs/>
                <w:color w:val="000000"/>
              </w:rPr>
            </w:pPr>
            <w:r>
              <w:rPr>
                <w:rFonts w:ascii="Arial" w:hAnsi="Arial" w:cs="Arial"/>
                <w:b/>
                <w:bCs/>
                <w:color w:val="000000"/>
              </w:rPr>
              <w:t>492,99</w:t>
            </w:r>
            <w:r w:rsidR="003F1B4F">
              <w:rPr>
                <w:rFonts w:ascii="Arial" w:hAnsi="Arial" w:cs="Arial"/>
                <w:b/>
                <w:bCs/>
                <w:color w:val="000000"/>
              </w:rPr>
              <w:t>5</w:t>
            </w:r>
          </w:p>
        </w:tc>
      </w:tr>
      <w:tr w:rsidR="008D2984" w:rsidRPr="00E942EE" w14:paraId="6E1694D6" w14:textId="77777777" w:rsidTr="005E2F77">
        <w:trPr>
          <w:trHeight w:val="567"/>
        </w:trPr>
        <w:tc>
          <w:tcPr>
            <w:tcW w:w="1035" w:type="dxa"/>
            <w:tcBorders>
              <w:top w:val="nil"/>
              <w:left w:val="single" w:sz="8" w:space="0" w:color="auto"/>
              <w:bottom w:val="nil"/>
              <w:right w:val="nil"/>
            </w:tcBorders>
            <w:vAlign w:val="center"/>
            <w:hideMark/>
          </w:tcPr>
          <w:p w14:paraId="6C2A260F" w14:textId="77777777" w:rsidR="008D2984" w:rsidRPr="00E942EE" w:rsidRDefault="008D2984" w:rsidP="008D2984">
            <w:pPr>
              <w:jc w:val="right"/>
              <w:rPr>
                <w:rFonts w:ascii="Arial" w:hAnsi="Arial" w:cs="Arial"/>
                <w:color w:val="000000"/>
              </w:rPr>
            </w:pPr>
            <w:r w:rsidRPr="00E942EE">
              <w:rPr>
                <w:rFonts w:ascii="Arial" w:hAnsi="Arial" w:cs="Arial"/>
                <w:color w:val="000000"/>
              </w:rPr>
              <w:t>0</w:t>
            </w:r>
          </w:p>
        </w:tc>
        <w:tc>
          <w:tcPr>
            <w:tcW w:w="1044" w:type="dxa"/>
            <w:tcBorders>
              <w:top w:val="nil"/>
              <w:left w:val="nil"/>
              <w:bottom w:val="nil"/>
              <w:right w:val="nil"/>
            </w:tcBorders>
            <w:vAlign w:val="center"/>
            <w:hideMark/>
          </w:tcPr>
          <w:p w14:paraId="2802F0BB" w14:textId="24BED2B7" w:rsidR="008D2984" w:rsidRPr="00E942EE" w:rsidRDefault="008D2984" w:rsidP="008D2984">
            <w:pPr>
              <w:jc w:val="right"/>
              <w:rPr>
                <w:rFonts w:ascii="Arial" w:hAnsi="Arial" w:cs="Arial"/>
                <w:color w:val="000000"/>
              </w:rPr>
            </w:pPr>
            <w:r w:rsidRPr="00E942EE">
              <w:rPr>
                <w:rFonts w:ascii="Arial" w:hAnsi="Arial" w:cs="Arial"/>
                <w:color w:val="000000"/>
              </w:rPr>
              <w:t>(4</w:t>
            </w:r>
            <w:r>
              <w:rPr>
                <w:rFonts w:ascii="Arial" w:hAnsi="Arial" w:cs="Arial"/>
                <w:color w:val="000000"/>
              </w:rPr>
              <w:t>2</w:t>
            </w:r>
            <w:r w:rsidRPr="00E942EE">
              <w:rPr>
                <w:rFonts w:ascii="Arial" w:hAnsi="Arial" w:cs="Arial"/>
                <w:color w:val="000000"/>
              </w:rPr>
              <w:t>,</w:t>
            </w:r>
            <w:r>
              <w:rPr>
                <w:rFonts w:ascii="Arial" w:hAnsi="Arial" w:cs="Arial"/>
                <w:color w:val="000000"/>
              </w:rPr>
              <w:t>90</w:t>
            </w:r>
            <w:r w:rsidRPr="00E942EE">
              <w:rPr>
                <w:rFonts w:ascii="Arial" w:hAnsi="Arial" w:cs="Arial"/>
                <w:color w:val="000000"/>
              </w:rPr>
              <w:t>0)</w:t>
            </w:r>
          </w:p>
        </w:tc>
        <w:tc>
          <w:tcPr>
            <w:tcW w:w="1313" w:type="dxa"/>
            <w:tcBorders>
              <w:top w:val="nil"/>
              <w:left w:val="nil"/>
              <w:bottom w:val="nil"/>
              <w:right w:val="nil"/>
            </w:tcBorders>
            <w:vAlign w:val="center"/>
            <w:hideMark/>
          </w:tcPr>
          <w:p w14:paraId="13DA0356" w14:textId="690C7F2C" w:rsidR="008D2984" w:rsidRPr="00E942EE" w:rsidRDefault="008D2984" w:rsidP="008D2984">
            <w:pPr>
              <w:jc w:val="right"/>
              <w:rPr>
                <w:rFonts w:ascii="Arial" w:hAnsi="Arial" w:cs="Arial"/>
                <w:b/>
                <w:bCs/>
                <w:color w:val="000000"/>
              </w:rPr>
            </w:pPr>
            <w:r w:rsidRPr="00E942EE">
              <w:rPr>
                <w:rFonts w:ascii="Arial" w:hAnsi="Arial" w:cs="Arial"/>
                <w:b/>
                <w:bCs/>
                <w:color w:val="000000"/>
              </w:rPr>
              <w:t>(4</w:t>
            </w:r>
            <w:r>
              <w:rPr>
                <w:rFonts w:ascii="Arial" w:hAnsi="Arial" w:cs="Arial"/>
                <w:b/>
                <w:bCs/>
                <w:color w:val="000000"/>
              </w:rPr>
              <w:t>2</w:t>
            </w:r>
            <w:r w:rsidRPr="00E942EE">
              <w:rPr>
                <w:rFonts w:ascii="Arial" w:hAnsi="Arial" w:cs="Arial"/>
                <w:b/>
                <w:bCs/>
                <w:color w:val="000000"/>
              </w:rPr>
              <w:t>,</w:t>
            </w:r>
            <w:r>
              <w:rPr>
                <w:rFonts w:ascii="Arial" w:hAnsi="Arial" w:cs="Arial"/>
                <w:b/>
                <w:bCs/>
                <w:color w:val="000000"/>
              </w:rPr>
              <w:t>900</w:t>
            </w:r>
            <w:r w:rsidRPr="00E942EE">
              <w:rPr>
                <w:rFonts w:ascii="Arial" w:hAnsi="Arial" w:cs="Arial"/>
                <w:b/>
                <w:bCs/>
                <w:color w:val="000000"/>
              </w:rPr>
              <w:t>)</w:t>
            </w:r>
          </w:p>
        </w:tc>
        <w:tc>
          <w:tcPr>
            <w:tcW w:w="3093" w:type="dxa"/>
            <w:tcBorders>
              <w:top w:val="nil"/>
              <w:left w:val="nil"/>
              <w:bottom w:val="nil"/>
              <w:right w:val="nil"/>
            </w:tcBorders>
            <w:shd w:val="clear" w:color="000000" w:fill="D9D9D9"/>
            <w:vAlign w:val="center"/>
            <w:hideMark/>
          </w:tcPr>
          <w:p w14:paraId="2DBEC612" w14:textId="77777777" w:rsidR="008D2984" w:rsidRPr="00E942EE" w:rsidRDefault="008D2984" w:rsidP="008D2984">
            <w:pPr>
              <w:rPr>
                <w:rFonts w:ascii="Arial" w:hAnsi="Arial" w:cs="Arial"/>
                <w:color w:val="000000"/>
              </w:rPr>
            </w:pPr>
            <w:r w:rsidRPr="00E942EE">
              <w:rPr>
                <w:rFonts w:ascii="Arial" w:hAnsi="Arial" w:cs="Arial"/>
                <w:color w:val="000000"/>
              </w:rPr>
              <w:t>Income managed within Constabulary Budgets</w:t>
            </w:r>
          </w:p>
        </w:tc>
        <w:tc>
          <w:tcPr>
            <w:tcW w:w="1480" w:type="dxa"/>
            <w:tcBorders>
              <w:top w:val="nil"/>
              <w:left w:val="nil"/>
              <w:bottom w:val="nil"/>
              <w:right w:val="nil"/>
            </w:tcBorders>
            <w:shd w:val="clear" w:color="000000" w:fill="D9D9D9"/>
            <w:vAlign w:val="center"/>
            <w:hideMark/>
          </w:tcPr>
          <w:p w14:paraId="0AC1737D" w14:textId="024D089B" w:rsidR="008D2984" w:rsidRPr="00E942EE" w:rsidRDefault="008D2984" w:rsidP="008D2984">
            <w:pPr>
              <w:jc w:val="right"/>
              <w:rPr>
                <w:rFonts w:ascii="Arial" w:hAnsi="Arial" w:cs="Arial"/>
                <w:color w:val="000000"/>
              </w:rPr>
            </w:pPr>
            <w:r>
              <w:rPr>
                <w:rFonts w:ascii="Arial" w:hAnsi="Arial" w:cs="Arial"/>
                <w:color w:val="000000"/>
              </w:rPr>
              <w:t>0</w:t>
            </w:r>
          </w:p>
        </w:tc>
        <w:tc>
          <w:tcPr>
            <w:tcW w:w="1097" w:type="dxa"/>
            <w:tcBorders>
              <w:top w:val="nil"/>
              <w:left w:val="nil"/>
              <w:bottom w:val="nil"/>
              <w:right w:val="nil"/>
            </w:tcBorders>
            <w:shd w:val="clear" w:color="000000" w:fill="D9D9D9"/>
            <w:vAlign w:val="center"/>
            <w:hideMark/>
          </w:tcPr>
          <w:p w14:paraId="3A7838CF" w14:textId="6EF21269" w:rsidR="008D2984" w:rsidRPr="00E942EE" w:rsidRDefault="008D2984" w:rsidP="008D2984">
            <w:pPr>
              <w:jc w:val="right"/>
              <w:rPr>
                <w:rFonts w:ascii="Arial" w:hAnsi="Arial" w:cs="Arial"/>
                <w:color w:val="000000"/>
              </w:rPr>
            </w:pPr>
            <w:r>
              <w:rPr>
                <w:rFonts w:ascii="Arial" w:hAnsi="Arial" w:cs="Arial"/>
                <w:color w:val="000000"/>
              </w:rPr>
              <w:t>(49,995)</w:t>
            </w:r>
          </w:p>
        </w:tc>
        <w:tc>
          <w:tcPr>
            <w:tcW w:w="1268" w:type="dxa"/>
            <w:tcBorders>
              <w:top w:val="nil"/>
              <w:left w:val="nil"/>
              <w:bottom w:val="nil"/>
              <w:right w:val="single" w:sz="8" w:space="0" w:color="auto"/>
            </w:tcBorders>
            <w:shd w:val="clear" w:color="000000" w:fill="D9D9D9"/>
            <w:vAlign w:val="center"/>
            <w:hideMark/>
          </w:tcPr>
          <w:p w14:paraId="31283218" w14:textId="7873A598" w:rsidR="008D2984" w:rsidRPr="00E942EE" w:rsidRDefault="008D2984" w:rsidP="008D2984">
            <w:pPr>
              <w:jc w:val="right"/>
              <w:rPr>
                <w:rFonts w:ascii="Arial" w:hAnsi="Arial" w:cs="Arial"/>
                <w:b/>
                <w:bCs/>
                <w:color w:val="000000"/>
              </w:rPr>
            </w:pPr>
            <w:r>
              <w:rPr>
                <w:rFonts w:ascii="Arial" w:hAnsi="Arial" w:cs="Arial"/>
                <w:b/>
                <w:bCs/>
                <w:color w:val="000000"/>
              </w:rPr>
              <w:t>(49,995)</w:t>
            </w:r>
          </w:p>
        </w:tc>
      </w:tr>
      <w:tr w:rsidR="008D2984" w:rsidRPr="00E942EE" w14:paraId="732D703D" w14:textId="77777777" w:rsidTr="005E2F77">
        <w:trPr>
          <w:trHeight w:val="323"/>
        </w:trPr>
        <w:tc>
          <w:tcPr>
            <w:tcW w:w="1035" w:type="dxa"/>
            <w:tcBorders>
              <w:top w:val="single" w:sz="8" w:space="0" w:color="auto"/>
              <w:left w:val="single" w:sz="8" w:space="0" w:color="auto"/>
              <w:bottom w:val="nil"/>
              <w:right w:val="nil"/>
            </w:tcBorders>
            <w:vAlign w:val="center"/>
            <w:hideMark/>
          </w:tcPr>
          <w:p w14:paraId="7358D8F0" w14:textId="6D334AD8" w:rsidR="008D2984" w:rsidRPr="00E942EE" w:rsidRDefault="008D2984" w:rsidP="008D2984">
            <w:pPr>
              <w:jc w:val="right"/>
              <w:rPr>
                <w:rFonts w:ascii="Arial" w:hAnsi="Arial" w:cs="Arial"/>
                <w:b/>
                <w:bCs/>
                <w:color w:val="000000"/>
              </w:rPr>
            </w:pPr>
            <w:r w:rsidRPr="00E942EE">
              <w:rPr>
                <w:rFonts w:ascii="Arial" w:hAnsi="Arial" w:cs="Arial"/>
                <w:b/>
                <w:bCs/>
                <w:color w:val="000000"/>
              </w:rPr>
              <w:t>4</w:t>
            </w:r>
            <w:r>
              <w:rPr>
                <w:rFonts w:ascii="Arial" w:hAnsi="Arial" w:cs="Arial"/>
                <w:b/>
                <w:bCs/>
                <w:color w:val="000000"/>
              </w:rPr>
              <w:t>72,210</w:t>
            </w:r>
          </w:p>
        </w:tc>
        <w:tc>
          <w:tcPr>
            <w:tcW w:w="1044" w:type="dxa"/>
            <w:tcBorders>
              <w:top w:val="single" w:sz="8" w:space="0" w:color="auto"/>
              <w:left w:val="nil"/>
              <w:bottom w:val="nil"/>
              <w:right w:val="nil"/>
            </w:tcBorders>
            <w:vAlign w:val="center"/>
            <w:hideMark/>
          </w:tcPr>
          <w:p w14:paraId="3287717D" w14:textId="1FB86CDF" w:rsidR="008D2984" w:rsidRPr="00E942EE" w:rsidRDefault="008D2984" w:rsidP="008D2984">
            <w:pPr>
              <w:jc w:val="right"/>
              <w:rPr>
                <w:rFonts w:ascii="Arial" w:hAnsi="Arial" w:cs="Arial"/>
                <w:b/>
                <w:bCs/>
                <w:color w:val="000000"/>
              </w:rPr>
            </w:pPr>
            <w:r w:rsidRPr="00E942EE">
              <w:rPr>
                <w:rFonts w:ascii="Arial" w:hAnsi="Arial" w:cs="Arial"/>
                <w:b/>
                <w:bCs/>
                <w:color w:val="000000"/>
              </w:rPr>
              <w:t>(</w:t>
            </w:r>
            <w:r>
              <w:rPr>
                <w:rFonts w:ascii="Arial" w:hAnsi="Arial" w:cs="Arial"/>
                <w:b/>
                <w:bCs/>
                <w:color w:val="000000"/>
              </w:rPr>
              <w:t>5</w:t>
            </w:r>
            <w:r w:rsidRPr="00E942EE">
              <w:rPr>
                <w:rFonts w:ascii="Arial" w:hAnsi="Arial" w:cs="Arial"/>
                <w:b/>
                <w:bCs/>
                <w:color w:val="000000"/>
              </w:rPr>
              <w:t>0,</w:t>
            </w:r>
            <w:r>
              <w:rPr>
                <w:rFonts w:ascii="Arial" w:hAnsi="Arial" w:cs="Arial"/>
                <w:b/>
                <w:bCs/>
                <w:color w:val="000000"/>
              </w:rPr>
              <w:t>550</w:t>
            </w:r>
            <w:r w:rsidRPr="00E942EE">
              <w:rPr>
                <w:rFonts w:ascii="Arial" w:hAnsi="Arial" w:cs="Arial"/>
                <w:b/>
                <w:bCs/>
                <w:color w:val="000000"/>
              </w:rPr>
              <w:t>)</w:t>
            </w:r>
          </w:p>
        </w:tc>
        <w:tc>
          <w:tcPr>
            <w:tcW w:w="1313" w:type="dxa"/>
            <w:tcBorders>
              <w:top w:val="single" w:sz="8" w:space="0" w:color="auto"/>
              <w:left w:val="nil"/>
              <w:bottom w:val="nil"/>
              <w:right w:val="nil"/>
            </w:tcBorders>
            <w:vAlign w:val="center"/>
            <w:hideMark/>
          </w:tcPr>
          <w:p w14:paraId="11199D75" w14:textId="3540FB17" w:rsidR="008D2984" w:rsidRPr="00E942EE" w:rsidRDefault="008D2984" w:rsidP="008D2984">
            <w:pPr>
              <w:jc w:val="right"/>
              <w:rPr>
                <w:rFonts w:ascii="Arial" w:hAnsi="Arial" w:cs="Arial"/>
                <w:b/>
                <w:bCs/>
                <w:color w:val="000000"/>
              </w:rPr>
            </w:pPr>
            <w:r>
              <w:rPr>
                <w:rFonts w:ascii="Arial" w:hAnsi="Arial" w:cs="Arial"/>
                <w:b/>
                <w:bCs/>
                <w:color w:val="000000"/>
              </w:rPr>
              <w:t>421</w:t>
            </w:r>
            <w:r w:rsidRPr="00E942EE">
              <w:rPr>
                <w:rFonts w:ascii="Arial" w:hAnsi="Arial" w:cs="Arial"/>
                <w:b/>
                <w:bCs/>
                <w:color w:val="000000"/>
              </w:rPr>
              <w:t>,</w:t>
            </w:r>
            <w:r>
              <w:rPr>
                <w:rFonts w:ascii="Arial" w:hAnsi="Arial" w:cs="Arial"/>
                <w:b/>
                <w:bCs/>
                <w:color w:val="000000"/>
              </w:rPr>
              <w:t>661</w:t>
            </w:r>
          </w:p>
        </w:tc>
        <w:tc>
          <w:tcPr>
            <w:tcW w:w="3093" w:type="dxa"/>
            <w:tcBorders>
              <w:top w:val="nil"/>
              <w:left w:val="nil"/>
              <w:bottom w:val="nil"/>
              <w:right w:val="nil"/>
            </w:tcBorders>
            <w:shd w:val="clear" w:color="000000" w:fill="D9D9D9"/>
            <w:vAlign w:val="center"/>
            <w:hideMark/>
          </w:tcPr>
          <w:p w14:paraId="1EBA4B33" w14:textId="77777777" w:rsidR="008D2984" w:rsidRPr="00E942EE" w:rsidRDefault="008D2984" w:rsidP="008D2984">
            <w:pPr>
              <w:rPr>
                <w:rFonts w:ascii="Arial" w:hAnsi="Arial" w:cs="Arial"/>
                <w:b/>
                <w:bCs/>
                <w:color w:val="000000"/>
              </w:rPr>
            </w:pPr>
            <w:r w:rsidRPr="00E942EE">
              <w:rPr>
                <w:rFonts w:ascii="Arial" w:hAnsi="Arial" w:cs="Arial"/>
                <w:b/>
                <w:bCs/>
                <w:color w:val="000000"/>
              </w:rPr>
              <w:t>Net Cost of Services</w:t>
            </w:r>
          </w:p>
        </w:tc>
        <w:tc>
          <w:tcPr>
            <w:tcW w:w="1480" w:type="dxa"/>
            <w:tcBorders>
              <w:top w:val="single" w:sz="8" w:space="0" w:color="auto"/>
              <w:left w:val="nil"/>
              <w:bottom w:val="nil"/>
              <w:right w:val="nil"/>
            </w:tcBorders>
            <w:shd w:val="clear" w:color="000000" w:fill="D9D9D9"/>
            <w:vAlign w:val="center"/>
            <w:hideMark/>
          </w:tcPr>
          <w:p w14:paraId="6BE3B81E" w14:textId="140C5BFD" w:rsidR="008D2984" w:rsidRPr="00E942EE" w:rsidRDefault="008D2984" w:rsidP="008D2984">
            <w:pPr>
              <w:jc w:val="right"/>
              <w:rPr>
                <w:rFonts w:ascii="Arial" w:hAnsi="Arial" w:cs="Arial"/>
                <w:b/>
                <w:bCs/>
                <w:color w:val="000000"/>
              </w:rPr>
            </w:pPr>
            <w:r>
              <w:rPr>
                <w:rFonts w:ascii="Arial" w:hAnsi="Arial" w:cs="Arial"/>
                <w:b/>
                <w:bCs/>
                <w:color w:val="000000"/>
              </w:rPr>
              <w:t>503,</w:t>
            </w:r>
            <w:r w:rsidR="003F1B4F">
              <w:rPr>
                <w:rFonts w:ascii="Arial" w:hAnsi="Arial" w:cs="Arial"/>
                <w:b/>
                <w:bCs/>
                <w:color w:val="000000"/>
              </w:rPr>
              <w:t>602</w:t>
            </w:r>
          </w:p>
        </w:tc>
        <w:tc>
          <w:tcPr>
            <w:tcW w:w="1097" w:type="dxa"/>
            <w:tcBorders>
              <w:top w:val="single" w:sz="8" w:space="0" w:color="auto"/>
              <w:left w:val="nil"/>
              <w:bottom w:val="nil"/>
              <w:right w:val="nil"/>
            </w:tcBorders>
            <w:shd w:val="clear" w:color="000000" w:fill="D9D9D9"/>
            <w:vAlign w:val="center"/>
            <w:hideMark/>
          </w:tcPr>
          <w:p w14:paraId="1A1B59E0" w14:textId="0047BFC8" w:rsidR="008D2984" w:rsidRPr="00E942EE" w:rsidRDefault="008D2984" w:rsidP="008D2984">
            <w:pPr>
              <w:jc w:val="right"/>
              <w:rPr>
                <w:rFonts w:ascii="Arial" w:hAnsi="Arial" w:cs="Arial"/>
                <w:b/>
                <w:bCs/>
                <w:color w:val="000000"/>
              </w:rPr>
            </w:pPr>
            <w:r>
              <w:rPr>
                <w:rFonts w:ascii="Arial" w:hAnsi="Arial" w:cs="Arial"/>
                <w:b/>
                <w:bCs/>
                <w:color w:val="000000"/>
              </w:rPr>
              <w:t>(59,922)</w:t>
            </w:r>
          </w:p>
        </w:tc>
        <w:tc>
          <w:tcPr>
            <w:tcW w:w="1268" w:type="dxa"/>
            <w:tcBorders>
              <w:top w:val="single" w:sz="8" w:space="0" w:color="auto"/>
              <w:left w:val="nil"/>
              <w:bottom w:val="nil"/>
              <w:right w:val="single" w:sz="8" w:space="0" w:color="auto"/>
            </w:tcBorders>
            <w:shd w:val="clear" w:color="000000" w:fill="D9D9D9"/>
            <w:vAlign w:val="center"/>
            <w:hideMark/>
          </w:tcPr>
          <w:p w14:paraId="2653AD56" w14:textId="3931B933" w:rsidR="008D2984" w:rsidRPr="00E942EE" w:rsidRDefault="008D2984" w:rsidP="008D2984">
            <w:pPr>
              <w:jc w:val="right"/>
              <w:rPr>
                <w:rFonts w:ascii="Arial" w:hAnsi="Arial" w:cs="Arial"/>
                <w:b/>
                <w:bCs/>
                <w:color w:val="000000"/>
              </w:rPr>
            </w:pPr>
            <w:r>
              <w:rPr>
                <w:rFonts w:ascii="Arial" w:hAnsi="Arial" w:cs="Arial"/>
                <w:b/>
                <w:bCs/>
                <w:color w:val="000000"/>
              </w:rPr>
              <w:t>443,6</w:t>
            </w:r>
            <w:r w:rsidR="003F1B4F">
              <w:rPr>
                <w:rFonts w:ascii="Arial" w:hAnsi="Arial" w:cs="Arial"/>
                <w:b/>
                <w:bCs/>
                <w:color w:val="000000"/>
              </w:rPr>
              <w:t>80</w:t>
            </w:r>
          </w:p>
        </w:tc>
      </w:tr>
      <w:tr w:rsidR="00681F6E" w:rsidRPr="00E942EE" w14:paraId="78785B58" w14:textId="77777777" w:rsidTr="005E2F77">
        <w:trPr>
          <w:trHeight w:val="323"/>
        </w:trPr>
        <w:tc>
          <w:tcPr>
            <w:tcW w:w="1035" w:type="dxa"/>
            <w:tcBorders>
              <w:top w:val="nil"/>
              <w:left w:val="single" w:sz="8" w:space="0" w:color="auto"/>
              <w:bottom w:val="nil"/>
              <w:right w:val="nil"/>
            </w:tcBorders>
            <w:vAlign w:val="center"/>
            <w:hideMark/>
          </w:tcPr>
          <w:p w14:paraId="3137D69D" w14:textId="77777777" w:rsidR="00E942EE" w:rsidRPr="00E942EE" w:rsidRDefault="00E942EE" w:rsidP="00E942EE">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463101A7" w14:textId="77777777" w:rsidR="00E942EE" w:rsidRPr="00E942EE" w:rsidRDefault="00E942EE" w:rsidP="00E942EE">
            <w:pPr>
              <w:jc w:val="right"/>
              <w:rPr>
                <w:rFonts w:ascii="Arial" w:hAnsi="Arial" w:cs="Arial"/>
                <w:color w:val="000000"/>
              </w:rPr>
            </w:pPr>
          </w:p>
        </w:tc>
        <w:tc>
          <w:tcPr>
            <w:tcW w:w="1313" w:type="dxa"/>
            <w:tcBorders>
              <w:top w:val="nil"/>
              <w:left w:val="nil"/>
              <w:bottom w:val="nil"/>
              <w:right w:val="nil"/>
            </w:tcBorders>
            <w:vAlign w:val="center"/>
            <w:hideMark/>
          </w:tcPr>
          <w:p w14:paraId="61193B7B" w14:textId="77777777" w:rsidR="00E942EE" w:rsidRPr="00E942EE" w:rsidRDefault="00E942EE" w:rsidP="00E942EE">
            <w:pPr>
              <w:jc w:val="right"/>
            </w:pPr>
          </w:p>
        </w:tc>
        <w:tc>
          <w:tcPr>
            <w:tcW w:w="3093" w:type="dxa"/>
            <w:tcBorders>
              <w:top w:val="nil"/>
              <w:left w:val="nil"/>
              <w:bottom w:val="nil"/>
              <w:right w:val="nil"/>
            </w:tcBorders>
            <w:shd w:val="clear" w:color="000000" w:fill="D9D9D9"/>
            <w:vAlign w:val="center"/>
            <w:hideMark/>
          </w:tcPr>
          <w:p w14:paraId="200BD964" w14:textId="77777777" w:rsidR="00E942EE" w:rsidRPr="00E942EE" w:rsidRDefault="00E942EE" w:rsidP="00E942EE">
            <w:pPr>
              <w:jc w:val="center"/>
              <w:rPr>
                <w:rFonts w:ascii="Arial" w:hAnsi="Arial" w:cs="Arial"/>
                <w:b/>
                <w:bCs/>
                <w:color w:val="000000"/>
              </w:rPr>
            </w:pPr>
            <w:r w:rsidRPr="00E942EE">
              <w:rPr>
                <w:rFonts w:ascii="Arial" w:hAnsi="Arial" w:cs="Arial"/>
                <w:b/>
                <w:bCs/>
                <w:color w:val="000000"/>
              </w:rPr>
              <w:t> </w:t>
            </w:r>
          </w:p>
        </w:tc>
        <w:tc>
          <w:tcPr>
            <w:tcW w:w="1480" w:type="dxa"/>
            <w:tcBorders>
              <w:top w:val="nil"/>
              <w:left w:val="nil"/>
              <w:bottom w:val="nil"/>
              <w:right w:val="nil"/>
            </w:tcBorders>
            <w:shd w:val="clear" w:color="000000" w:fill="D9D9D9"/>
            <w:vAlign w:val="center"/>
            <w:hideMark/>
          </w:tcPr>
          <w:p w14:paraId="019FA6E6" w14:textId="77777777" w:rsidR="00E942EE" w:rsidRPr="00E942EE" w:rsidRDefault="00E942EE" w:rsidP="00E942EE">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nil"/>
              <w:right w:val="nil"/>
            </w:tcBorders>
            <w:shd w:val="clear" w:color="000000" w:fill="D9D9D9"/>
            <w:vAlign w:val="center"/>
            <w:hideMark/>
          </w:tcPr>
          <w:p w14:paraId="64D289AA" w14:textId="77777777" w:rsidR="00E942EE" w:rsidRPr="00E942EE" w:rsidRDefault="00E942EE" w:rsidP="00E942EE">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nil"/>
              <w:right w:val="single" w:sz="8" w:space="0" w:color="auto"/>
            </w:tcBorders>
            <w:shd w:val="clear" w:color="000000" w:fill="D9D9D9"/>
            <w:vAlign w:val="center"/>
            <w:hideMark/>
          </w:tcPr>
          <w:p w14:paraId="7BF81CDE" w14:textId="77777777" w:rsidR="00E942EE" w:rsidRPr="00E942EE" w:rsidRDefault="00E942EE" w:rsidP="00E942EE">
            <w:pPr>
              <w:jc w:val="right"/>
              <w:rPr>
                <w:rFonts w:ascii="Arial" w:hAnsi="Arial" w:cs="Arial"/>
                <w:b/>
                <w:bCs/>
                <w:color w:val="000000"/>
              </w:rPr>
            </w:pPr>
            <w:r w:rsidRPr="00E942EE">
              <w:rPr>
                <w:rFonts w:ascii="Arial" w:hAnsi="Arial" w:cs="Arial"/>
                <w:b/>
                <w:bCs/>
                <w:color w:val="000000"/>
              </w:rPr>
              <w:t> </w:t>
            </w:r>
          </w:p>
        </w:tc>
      </w:tr>
      <w:tr w:rsidR="00E67A82" w:rsidRPr="00E942EE" w14:paraId="1DBACDB5" w14:textId="77777777" w:rsidTr="005E2F77">
        <w:trPr>
          <w:trHeight w:val="552"/>
        </w:trPr>
        <w:tc>
          <w:tcPr>
            <w:tcW w:w="1035" w:type="dxa"/>
            <w:tcBorders>
              <w:top w:val="nil"/>
              <w:left w:val="single" w:sz="8" w:space="0" w:color="auto"/>
              <w:bottom w:val="nil"/>
              <w:right w:val="nil"/>
            </w:tcBorders>
            <w:vAlign w:val="center"/>
            <w:hideMark/>
          </w:tcPr>
          <w:p w14:paraId="3C5531FC"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2B6B637E" w14:textId="77777777" w:rsidR="00E67A82" w:rsidRPr="00E942EE" w:rsidRDefault="00E67A82" w:rsidP="00E67A82">
            <w:pPr>
              <w:jc w:val="right"/>
              <w:rPr>
                <w:rFonts w:ascii="Arial" w:hAnsi="Arial" w:cs="Arial"/>
                <w:color w:val="000000"/>
              </w:rPr>
            </w:pPr>
          </w:p>
        </w:tc>
        <w:tc>
          <w:tcPr>
            <w:tcW w:w="1313" w:type="dxa"/>
            <w:tcBorders>
              <w:top w:val="nil"/>
              <w:left w:val="nil"/>
              <w:bottom w:val="nil"/>
              <w:right w:val="nil"/>
            </w:tcBorders>
            <w:vAlign w:val="center"/>
            <w:hideMark/>
          </w:tcPr>
          <w:p w14:paraId="51D4B589" w14:textId="1DE172B2" w:rsidR="00E67A82" w:rsidRPr="00E942EE" w:rsidRDefault="00E67A82" w:rsidP="00E67A82">
            <w:pPr>
              <w:jc w:val="right"/>
              <w:rPr>
                <w:rFonts w:ascii="Arial" w:hAnsi="Arial" w:cs="Arial"/>
                <w:b/>
                <w:bCs/>
                <w:color w:val="000000"/>
              </w:rPr>
            </w:pPr>
            <w:r w:rsidRPr="00E942EE">
              <w:rPr>
                <w:rFonts w:ascii="Arial" w:hAnsi="Arial" w:cs="Arial"/>
                <w:b/>
                <w:bCs/>
                <w:color w:val="000000"/>
              </w:rPr>
              <w:t>1</w:t>
            </w:r>
            <w:r>
              <w:rPr>
                <w:rFonts w:ascii="Arial" w:hAnsi="Arial" w:cs="Arial"/>
                <w:b/>
                <w:bCs/>
                <w:color w:val="000000"/>
              </w:rPr>
              <w:t>1</w:t>
            </w:r>
            <w:r w:rsidRPr="00E942EE">
              <w:rPr>
                <w:rFonts w:ascii="Arial" w:hAnsi="Arial" w:cs="Arial"/>
                <w:b/>
                <w:bCs/>
                <w:color w:val="000000"/>
              </w:rPr>
              <w:t>9</w:t>
            </w:r>
          </w:p>
        </w:tc>
        <w:tc>
          <w:tcPr>
            <w:tcW w:w="3093" w:type="dxa"/>
            <w:tcBorders>
              <w:top w:val="nil"/>
              <w:left w:val="nil"/>
              <w:bottom w:val="nil"/>
              <w:right w:val="nil"/>
            </w:tcBorders>
            <w:shd w:val="clear" w:color="000000" w:fill="D9D9D9"/>
            <w:vAlign w:val="center"/>
            <w:hideMark/>
          </w:tcPr>
          <w:p w14:paraId="68451DA9" w14:textId="77777777" w:rsidR="00E67A82" w:rsidRPr="00E942EE" w:rsidRDefault="00E67A82" w:rsidP="00E67A82">
            <w:pPr>
              <w:rPr>
                <w:rFonts w:ascii="Arial" w:hAnsi="Arial" w:cs="Arial"/>
                <w:color w:val="000000"/>
              </w:rPr>
            </w:pPr>
            <w:r w:rsidRPr="00E942EE">
              <w:rPr>
                <w:rFonts w:ascii="Arial" w:hAnsi="Arial" w:cs="Arial"/>
                <w:color w:val="000000"/>
              </w:rPr>
              <w:t>Other operating Income &amp; expenditure (Note 11)</w:t>
            </w:r>
          </w:p>
        </w:tc>
        <w:tc>
          <w:tcPr>
            <w:tcW w:w="1480" w:type="dxa"/>
            <w:tcBorders>
              <w:top w:val="nil"/>
              <w:left w:val="nil"/>
              <w:bottom w:val="nil"/>
              <w:right w:val="nil"/>
            </w:tcBorders>
            <w:shd w:val="clear" w:color="000000" w:fill="D9D9D9"/>
            <w:vAlign w:val="center"/>
            <w:hideMark/>
          </w:tcPr>
          <w:p w14:paraId="3E8FD4E1"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nil"/>
              <w:right w:val="nil"/>
            </w:tcBorders>
            <w:shd w:val="clear" w:color="000000" w:fill="D9D9D9"/>
            <w:vAlign w:val="center"/>
            <w:hideMark/>
          </w:tcPr>
          <w:p w14:paraId="2EE69893"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nil"/>
              <w:right w:val="single" w:sz="8" w:space="0" w:color="auto"/>
            </w:tcBorders>
            <w:shd w:val="clear" w:color="000000" w:fill="D9D9D9"/>
            <w:vAlign w:val="center"/>
            <w:hideMark/>
          </w:tcPr>
          <w:p w14:paraId="5F781B43" w14:textId="6385B3C5" w:rsidR="00E67A82" w:rsidRPr="00E942EE" w:rsidRDefault="00E67A82" w:rsidP="00E67A82">
            <w:pPr>
              <w:jc w:val="right"/>
              <w:rPr>
                <w:rFonts w:ascii="Arial" w:hAnsi="Arial" w:cs="Arial"/>
                <w:b/>
                <w:bCs/>
                <w:color w:val="000000"/>
              </w:rPr>
            </w:pPr>
            <w:r>
              <w:rPr>
                <w:rFonts w:ascii="Arial" w:hAnsi="Arial" w:cs="Arial"/>
                <w:b/>
                <w:bCs/>
                <w:color w:val="000000"/>
              </w:rPr>
              <w:t>(24)</w:t>
            </w:r>
          </w:p>
        </w:tc>
      </w:tr>
      <w:tr w:rsidR="00E67A82" w:rsidRPr="00440F2C" w14:paraId="351808C9" w14:textId="77777777" w:rsidTr="005E2F77">
        <w:trPr>
          <w:trHeight w:val="552"/>
        </w:trPr>
        <w:tc>
          <w:tcPr>
            <w:tcW w:w="1035" w:type="dxa"/>
            <w:tcBorders>
              <w:top w:val="nil"/>
              <w:left w:val="single" w:sz="8" w:space="0" w:color="auto"/>
              <w:bottom w:val="nil"/>
              <w:right w:val="nil"/>
            </w:tcBorders>
            <w:vAlign w:val="center"/>
            <w:hideMark/>
          </w:tcPr>
          <w:p w14:paraId="22724F9B"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16649F4A" w14:textId="77777777" w:rsidR="00E67A82" w:rsidRPr="00E942EE" w:rsidRDefault="00E67A82" w:rsidP="00E67A82">
            <w:pPr>
              <w:jc w:val="right"/>
              <w:rPr>
                <w:rFonts w:ascii="Arial" w:hAnsi="Arial" w:cs="Arial"/>
                <w:color w:val="000000"/>
              </w:rPr>
            </w:pPr>
          </w:p>
        </w:tc>
        <w:tc>
          <w:tcPr>
            <w:tcW w:w="1313" w:type="dxa"/>
            <w:tcBorders>
              <w:top w:val="nil"/>
              <w:left w:val="nil"/>
              <w:bottom w:val="nil"/>
              <w:right w:val="nil"/>
            </w:tcBorders>
            <w:vAlign w:val="center"/>
            <w:hideMark/>
          </w:tcPr>
          <w:p w14:paraId="2D3F9348" w14:textId="61B83470" w:rsidR="00E67A82" w:rsidRPr="00E942EE" w:rsidRDefault="00E67A82" w:rsidP="00E67A82">
            <w:pPr>
              <w:jc w:val="right"/>
              <w:rPr>
                <w:rFonts w:ascii="Arial" w:hAnsi="Arial" w:cs="Arial"/>
                <w:b/>
                <w:bCs/>
                <w:color w:val="000000"/>
              </w:rPr>
            </w:pPr>
            <w:r>
              <w:rPr>
                <w:rFonts w:ascii="Arial" w:hAnsi="Arial" w:cs="Arial"/>
                <w:b/>
                <w:bCs/>
                <w:color w:val="000000"/>
              </w:rPr>
              <w:t>495</w:t>
            </w:r>
          </w:p>
        </w:tc>
        <w:tc>
          <w:tcPr>
            <w:tcW w:w="3093" w:type="dxa"/>
            <w:tcBorders>
              <w:top w:val="nil"/>
              <w:left w:val="nil"/>
              <w:bottom w:val="nil"/>
              <w:right w:val="nil"/>
            </w:tcBorders>
            <w:shd w:val="clear" w:color="000000" w:fill="D9D9D9"/>
            <w:vAlign w:val="center"/>
            <w:hideMark/>
          </w:tcPr>
          <w:p w14:paraId="7B01E9E0" w14:textId="77777777" w:rsidR="00E67A82" w:rsidRPr="00E942EE" w:rsidRDefault="00E67A82" w:rsidP="00E67A82">
            <w:pPr>
              <w:rPr>
                <w:rFonts w:ascii="Arial" w:hAnsi="Arial" w:cs="Arial"/>
                <w:color w:val="000000"/>
              </w:rPr>
            </w:pPr>
            <w:r w:rsidRPr="00E942EE">
              <w:rPr>
                <w:rFonts w:ascii="Arial" w:hAnsi="Arial" w:cs="Arial"/>
                <w:color w:val="000000"/>
              </w:rPr>
              <w:t>Financing &amp; investment income &amp; expenditure (Note 12)</w:t>
            </w:r>
          </w:p>
        </w:tc>
        <w:tc>
          <w:tcPr>
            <w:tcW w:w="1480" w:type="dxa"/>
            <w:tcBorders>
              <w:top w:val="nil"/>
              <w:left w:val="nil"/>
              <w:bottom w:val="nil"/>
              <w:right w:val="nil"/>
            </w:tcBorders>
            <w:shd w:val="clear" w:color="000000" w:fill="D9D9D9"/>
            <w:vAlign w:val="center"/>
            <w:hideMark/>
          </w:tcPr>
          <w:p w14:paraId="13762379"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nil"/>
              <w:right w:val="nil"/>
            </w:tcBorders>
            <w:shd w:val="clear" w:color="000000" w:fill="D9D9D9"/>
            <w:vAlign w:val="center"/>
            <w:hideMark/>
          </w:tcPr>
          <w:p w14:paraId="363B9E6B"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nil"/>
              <w:right w:val="single" w:sz="8" w:space="0" w:color="auto"/>
            </w:tcBorders>
            <w:shd w:val="clear" w:color="000000" w:fill="D9D9D9"/>
            <w:vAlign w:val="center"/>
            <w:hideMark/>
          </w:tcPr>
          <w:p w14:paraId="283930F6" w14:textId="2A00725A" w:rsidR="00E67A82" w:rsidRPr="00440F2C" w:rsidRDefault="00E67A82" w:rsidP="00E67A82">
            <w:pPr>
              <w:jc w:val="right"/>
              <w:rPr>
                <w:rFonts w:ascii="Arial" w:hAnsi="Arial" w:cs="Arial"/>
                <w:b/>
                <w:bCs/>
                <w:color w:val="000000"/>
              </w:rPr>
            </w:pPr>
            <w:r>
              <w:rPr>
                <w:rFonts w:ascii="Arial" w:hAnsi="Arial" w:cs="Arial"/>
                <w:b/>
                <w:bCs/>
                <w:color w:val="000000"/>
              </w:rPr>
              <w:t>1,825</w:t>
            </w:r>
          </w:p>
        </w:tc>
      </w:tr>
      <w:tr w:rsidR="00E67A82" w:rsidRPr="00E942EE" w14:paraId="64CEF5BE" w14:textId="77777777" w:rsidTr="005E2F77">
        <w:trPr>
          <w:trHeight w:val="567"/>
        </w:trPr>
        <w:tc>
          <w:tcPr>
            <w:tcW w:w="1035" w:type="dxa"/>
            <w:tcBorders>
              <w:top w:val="nil"/>
              <w:left w:val="single" w:sz="8" w:space="0" w:color="auto"/>
              <w:bottom w:val="nil"/>
              <w:right w:val="nil"/>
            </w:tcBorders>
            <w:vAlign w:val="center"/>
            <w:hideMark/>
          </w:tcPr>
          <w:p w14:paraId="7615E26E"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409C86E1" w14:textId="77777777" w:rsidR="00E67A82" w:rsidRPr="00E942EE" w:rsidRDefault="00E67A82" w:rsidP="00E67A82">
            <w:pPr>
              <w:jc w:val="right"/>
              <w:rPr>
                <w:rFonts w:ascii="Arial" w:hAnsi="Arial" w:cs="Arial"/>
                <w:color w:val="000000"/>
              </w:rPr>
            </w:pPr>
          </w:p>
        </w:tc>
        <w:tc>
          <w:tcPr>
            <w:tcW w:w="1313" w:type="dxa"/>
            <w:tcBorders>
              <w:top w:val="nil"/>
              <w:left w:val="nil"/>
              <w:bottom w:val="single" w:sz="8" w:space="0" w:color="auto"/>
              <w:right w:val="nil"/>
            </w:tcBorders>
            <w:vAlign w:val="center"/>
            <w:hideMark/>
          </w:tcPr>
          <w:p w14:paraId="4FEF3563" w14:textId="3FECB577" w:rsidR="00E67A82" w:rsidRPr="00E942EE" w:rsidRDefault="00E67A82" w:rsidP="00E67A82">
            <w:pPr>
              <w:jc w:val="right"/>
              <w:rPr>
                <w:rFonts w:ascii="Arial" w:hAnsi="Arial" w:cs="Arial"/>
                <w:b/>
                <w:bCs/>
                <w:color w:val="000000"/>
              </w:rPr>
            </w:pPr>
            <w:r w:rsidRPr="00E942EE">
              <w:rPr>
                <w:rFonts w:ascii="Arial" w:hAnsi="Arial" w:cs="Arial"/>
                <w:b/>
                <w:bCs/>
                <w:color w:val="000000"/>
              </w:rPr>
              <w:t>(</w:t>
            </w:r>
            <w:r>
              <w:rPr>
                <w:rFonts w:ascii="Arial" w:hAnsi="Arial" w:cs="Arial"/>
                <w:b/>
                <w:bCs/>
                <w:color w:val="000000"/>
              </w:rPr>
              <w:t>414</w:t>
            </w:r>
            <w:r w:rsidRPr="00E942EE">
              <w:rPr>
                <w:rFonts w:ascii="Arial" w:hAnsi="Arial" w:cs="Arial"/>
                <w:b/>
                <w:bCs/>
                <w:color w:val="000000"/>
              </w:rPr>
              <w:t>,</w:t>
            </w:r>
            <w:r>
              <w:rPr>
                <w:rFonts w:ascii="Arial" w:hAnsi="Arial" w:cs="Arial"/>
                <w:b/>
                <w:bCs/>
                <w:color w:val="000000"/>
              </w:rPr>
              <w:t>896</w:t>
            </w:r>
            <w:r w:rsidRPr="00E942EE">
              <w:rPr>
                <w:rFonts w:ascii="Arial" w:hAnsi="Arial" w:cs="Arial"/>
                <w:b/>
                <w:bCs/>
                <w:color w:val="000000"/>
              </w:rPr>
              <w:t>)</w:t>
            </w:r>
          </w:p>
        </w:tc>
        <w:tc>
          <w:tcPr>
            <w:tcW w:w="3093" w:type="dxa"/>
            <w:tcBorders>
              <w:top w:val="nil"/>
              <w:left w:val="nil"/>
              <w:bottom w:val="nil"/>
              <w:right w:val="nil"/>
            </w:tcBorders>
            <w:shd w:val="clear" w:color="000000" w:fill="D9D9D9"/>
            <w:vAlign w:val="center"/>
            <w:hideMark/>
          </w:tcPr>
          <w:p w14:paraId="26DFF407" w14:textId="77777777" w:rsidR="00E67A82" w:rsidRPr="00E942EE" w:rsidRDefault="00E67A82" w:rsidP="00E67A82">
            <w:pPr>
              <w:rPr>
                <w:rFonts w:ascii="Arial" w:hAnsi="Arial" w:cs="Arial"/>
                <w:color w:val="000000"/>
              </w:rPr>
            </w:pPr>
            <w:r w:rsidRPr="00E942EE">
              <w:rPr>
                <w:rFonts w:ascii="Arial" w:hAnsi="Arial" w:cs="Arial"/>
                <w:color w:val="000000"/>
              </w:rPr>
              <w:t>Taxation &amp; non-specific grant income (Note 13)</w:t>
            </w:r>
          </w:p>
        </w:tc>
        <w:tc>
          <w:tcPr>
            <w:tcW w:w="1480" w:type="dxa"/>
            <w:tcBorders>
              <w:top w:val="nil"/>
              <w:left w:val="nil"/>
              <w:bottom w:val="nil"/>
              <w:right w:val="nil"/>
            </w:tcBorders>
            <w:shd w:val="clear" w:color="000000" w:fill="D9D9D9"/>
            <w:vAlign w:val="center"/>
            <w:hideMark/>
          </w:tcPr>
          <w:p w14:paraId="78A17AF2"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nil"/>
              <w:right w:val="nil"/>
            </w:tcBorders>
            <w:shd w:val="clear" w:color="000000" w:fill="D9D9D9"/>
            <w:vAlign w:val="center"/>
            <w:hideMark/>
          </w:tcPr>
          <w:p w14:paraId="65F67DEA"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single" w:sz="8" w:space="0" w:color="auto"/>
              <w:right w:val="single" w:sz="8" w:space="0" w:color="auto"/>
            </w:tcBorders>
            <w:shd w:val="clear" w:color="000000" w:fill="D9D9D9"/>
            <w:vAlign w:val="center"/>
            <w:hideMark/>
          </w:tcPr>
          <w:p w14:paraId="3C495858" w14:textId="35960080" w:rsidR="00E67A82" w:rsidRPr="00E942EE" w:rsidRDefault="00E67A82" w:rsidP="00E67A82">
            <w:pPr>
              <w:jc w:val="right"/>
              <w:rPr>
                <w:rFonts w:ascii="Arial" w:hAnsi="Arial" w:cs="Arial"/>
                <w:b/>
                <w:bCs/>
                <w:color w:val="000000"/>
              </w:rPr>
            </w:pPr>
            <w:r>
              <w:rPr>
                <w:rFonts w:ascii="Arial" w:hAnsi="Arial" w:cs="Arial"/>
                <w:b/>
                <w:bCs/>
                <w:color w:val="000000"/>
              </w:rPr>
              <w:t>(438,344)</w:t>
            </w:r>
          </w:p>
        </w:tc>
      </w:tr>
      <w:tr w:rsidR="00E67A82" w:rsidRPr="00E942EE" w14:paraId="5D4C0A28" w14:textId="77777777" w:rsidTr="005E2F77">
        <w:trPr>
          <w:trHeight w:val="552"/>
        </w:trPr>
        <w:tc>
          <w:tcPr>
            <w:tcW w:w="1035" w:type="dxa"/>
            <w:tcBorders>
              <w:top w:val="nil"/>
              <w:left w:val="single" w:sz="8" w:space="0" w:color="auto"/>
              <w:bottom w:val="nil"/>
              <w:right w:val="nil"/>
            </w:tcBorders>
            <w:vAlign w:val="center"/>
            <w:hideMark/>
          </w:tcPr>
          <w:p w14:paraId="72B668B1" w14:textId="77777777" w:rsidR="00E67A82" w:rsidRPr="00E942EE" w:rsidRDefault="00E67A82" w:rsidP="00E67A82">
            <w:pPr>
              <w:jc w:val="right"/>
              <w:rPr>
                <w:rFonts w:ascii="Arial" w:hAnsi="Arial" w:cs="Arial"/>
                <w:b/>
                <w:bCs/>
                <w:color w:val="000000"/>
              </w:rPr>
            </w:pPr>
            <w:r w:rsidRPr="00E942EE">
              <w:rPr>
                <w:rFonts w:ascii="Arial" w:hAnsi="Arial" w:cs="Arial"/>
                <w:b/>
                <w:bCs/>
                <w:color w:val="000000"/>
              </w:rPr>
              <w:t> </w:t>
            </w:r>
          </w:p>
        </w:tc>
        <w:tc>
          <w:tcPr>
            <w:tcW w:w="1044" w:type="dxa"/>
            <w:tcBorders>
              <w:top w:val="nil"/>
              <w:left w:val="nil"/>
              <w:bottom w:val="nil"/>
              <w:right w:val="nil"/>
            </w:tcBorders>
            <w:vAlign w:val="center"/>
            <w:hideMark/>
          </w:tcPr>
          <w:p w14:paraId="5ADB3301" w14:textId="77777777" w:rsidR="00E67A82" w:rsidRPr="00E942EE" w:rsidRDefault="00E67A82" w:rsidP="00E67A82">
            <w:pPr>
              <w:jc w:val="right"/>
              <w:rPr>
                <w:rFonts w:ascii="Arial" w:hAnsi="Arial" w:cs="Arial"/>
                <w:b/>
                <w:bCs/>
                <w:color w:val="000000"/>
              </w:rPr>
            </w:pPr>
          </w:p>
        </w:tc>
        <w:tc>
          <w:tcPr>
            <w:tcW w:w="1313" w:type="dxa"/>
            <w:tcBorders>
              <w:top w:val="nil"/>
              <w:left w:val="nil"/>
              <w:bottom w:val="nil"/>
              <w:right w:val="nil"/>
            </w:tcBorders>
            <w:vAlign w:val="center"/>
            <w:hideMark/>
          </w:tcPr>
          <w:p w14:paraId="26408C00" w14:textId="28922F7F" w:rsidR="00E67A82" w:rsidRPr="00E942EE" w:rsidRDefault="00E67A82" w:rsidP="00E67A82">
            <w:pPr>
              <w:jc w:val="right"/>
              <w:rPr>
                <w:rFonts w:ascii="Arial" w:hAnsi="Arial" w:cs="Arial"/>
                <w:b/>
                <w:bCs/>
                <w:color w:val="000000"/>
              </w:rPr>
            </w:pPr>
            <w:r>
              <w:rPr>
                <w:rFonts w:ascii="Arial" w:hAnsi="Arial" w:cs="Arial"/>
                <w:b/>
                <w:bCs/>
                <w:color w:val="000000"/>
              </w:rPr>
              <w:t>7,379</w:t>
            </w:r>
          </w:p>
        </w:tc>
        <w:tc>
          <w:tcPr>
            <w:tcW w:w="3093" w:type="dxa"/>
            <w:tcBorders>
              <w:top w:val="nil"/>
              <w:left w:val="nil"/>
              <w:bottom w:val="nil"/>
              <w:right w:val="nil"/>
            </w:tcBorders>
            <w:shd w:val="clear" w:color="000000" w:fill="D9D9D9"/>
            <w:vAlign w:val="center"/>
            <w:hideMark/>
          </w:tcPr>
          <w:p w14:paraId="15479F4A" w14:textId="77777777" w:rsidR="00E67A82" w:rsidRPr="00E942EE" w:rsidRDefault="00E67A82" w:rsidP="00E67A82">
            <w:pPr>
              <w:rPr>
                <w:rFonts w:ascii="Arial" w:hAnsi="Arial" w:cs="Arial"/>
                <w:b/>
                <w:bCs/>
                <w:color w:val="000000"/>
              </w:rPr>
            </w:pPr>
            <w:r w:rsidRPr="00E942EE">
              <w:rPr>
                <w:rFonts w:ascii="Arial" w:hAnsi="Arial" w:cs="Arial"/>
                <w:b/>
                <w:bCs/>
                <w:color w:val="000000"/>
              </w:rPr>
              <w:t>(Surplus)/Deficit on Provision of Services</w:t>
            </w:r>
          </w:p>
        </w:tc>
        <w:tc>
          <w:tcPr>
            <w:tcW w:w="1480" w:type="dxa"/>
            <w:tcBorders>
              <w:top w:val="nil"/>
              <w:left w:val="nil"/>
              <w:bottom w:val="nil"/>
              <w:right w:val="nil"/>
            </w:tcBorders>
            <w:shd w:val="clear" w:color="000000" w:fill="D9D9D9"/>
            <w:vAlign w:val="center"/>
            <w:hideMark/>
          </w:tcPr>
          <w:p w14:paraId="77B691B4" w14:textId="77777777" w:rsidR="00E67A82" w:rsidRPr="00E942EE" w:rsidRDefault="00E67A82" w:rsidP="00E67A82">
            <w:pPr>
              <w:jc w:val="right"/>
              <w:rPr>
                <w:rFonts w:ascii="Arial" w:hAnsi="Arial" w:cs="Arial"/>
                <w:b/>
                <w:bCs/>
                <w:color w:val="000000"/>
              </w:rPr>
            </w:pPr>
            <w:r w:rsidRPr="00E942EE">
              <w:rPr>
                <w:rFonts w:ascii="Arial" w:hAnsi="Arial" w:cs="Arial"/>
                <w:b/>
                <w:bCs/>
                <w:color w:val="000000"/>
              </w:rPr>
              <w:t> </w:t>
            </w:r>
          </w:p>
        </w:tc>
        <w:tc>
          <w:tcPr>
            <w:tcW w:w="1097" w:type="dxa"/>
            <w:tcBorders>
              <w:top w:val="nil"/>
              <w:left w:val="nil"/>
              <w:bottom w:val="nil"/>
              <w:right w:val="nil"/>
            </w:tcBorders>
            <w:shd w:val="clear" w:color="000000" w:fill="D9D9D9"/>
            <w:vAlign w:val="center"/>
            <w:hideMark/>
          </w:tcPr>
          <w:p w14:paraId="32008C98" w14:textId="77777777" w:rsidR="00E67A82" w:rsidRPr="00E942EE" w:rsidRDefault="00E67A82" w:rsidP="00E67A82">
            <w:pPr>
              <w:jc w:val="right"/>
              <w:rPr>
                <w:rFonts w:ascii="Arial" w:hAnsi="Arial" w:cs="Arial"/>
                <w:b/>
                <w:bCs/>
                <w:color w:val="000000"/>
              </w:rPr>
            </w:pPr>
            <w:r w:rsidRPr="00E942EE">
              <w:rPr>
                <w:rFonts w:ascii="Arial" w:hAnsi="Arial" w:cs="Arial"/>
                <w:b/>
                <w:bCs/>
                <w:color w:val="000000"/>
              </w:rPr>
              <w:t> </w:t>
            </w:r>
          </w:p>
        </w:tc>
        <w:tc>
          <w:tcPr>
            <w:tcW w:w="1268" w:type="dxa"/>
            <w:tcBorders>
              <w:top w:val="nil"/>
              <w:left w:val="nil"/>
              <w:bottom w:val="nil"/>
              <w:right w:val="single" w:sz="8" w:space="0" w:color="auto"/>
            </w:tcBorders>
            <w:shd w:val="clear" w:color="000000" w:fill="D9D9D9"/>
            <w:vAlign w:val="center"/>
            <w:hideMark/>
          </w:tcPr>
          <w:p w14:paraId="5A1E73C4" w14:textId="439AAD86" w:rsidR="00E67A82" w:rsidRPr="00E942EE" w:rsidRDefault="008D2984" w:rsidP="00E67A82">
            <w:pPr>
              <w:jc w:val="right"/>
              <w:rPr>
                <w:rFonts w:ascii="Arial" w:hAnsi="Arial" w:cs="Arial"/>
                <w:b/>
                <w:bCs/>
                <w:color w:val="000000"/>
              </w:rPr>
            </w:pPr>
            <w:r w:rsidRPr="008D2984">
              <w:rPr>
                <w:rFonts w:ascii="Arial" w:hAnsi="Arial" w:cs="Arial"/>
                <w:b/>
                <w:bCs/>
                <w:color w:val="000000"/>
              </w:rPr>
              <w:t>7,1</w:t>
            </w:r>
            <w:r w:rsidR="003F1B4F">
              <w:rPr>
                <w:rFonts w:ascii="Arial" w:hAnsi="Arial" w:cs="Arial"/>
                <w:b/>
                <w:bCs/>
                <w:color w:val="000000"/>
              </w:rPr>
              <w:t>38</w:t>
            </w:r>
          </w:p>
        </w:tc>
      </w:tr>
      <w:tr w:rsidR="00E67A82" w:rsidRPr="00E942EE" w14:paraId="5AF6ABF0" w14:textId="77777777" w:rsidTr="005E2F77">
        <w:trPr>
          <w:trHeight w:val="323"/>
        </w:trPr>
        <w:tc>
          <w:tcPr>
            <w:tcW w:w="1035" w:type="dxa"/>
            <w:tcBorders>
              <w:top w:val="nil"/>
              <w:left w:val="single" w:sz="8" w:space="0" w:color="auto"/>
              <w:bottom w:val="nil"/>
              <w:right w:val="nil"/>
            </w:tcBorders>
            <w:vAlign w:val="center"/>
            <w:hideMark/>
          </w:tcPr>
          <w:p w14:paraId="492E8635"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18DF8BC1" w14:textId="77777777" w:rsidR="00E67A82" w:rsidRPr="00E942EE" w:rsidRDefault="00E67A82" w:rsidP="00E67A82">
            <w:pPr>
              <w:jc w:val="right"/>
              <w:rPr>
                <w:rFonts w:ascii="Arial" w:hAnsi="Arial" w:cs="Arial"/>
                <w:color w:val="000000"/>
              </w:rPr>
            </w:pPr>
          </w:p>
        </w:tc>
        <w:tc>
          <w:tcPr>
            <w:tcW w:w="1313" w:type="dxa"/>
            <w:tcBorders>
              <w:top w:val="nil"/>
              <w:left w:val="nil"/>
              <w:bottom w:val="nil"/>
              <w:right w:val="nil"/>
            </w:tcBorders>
            <w:vAlign w:val="center"/>
            <w:hideMark/>
          </w:tcPr>
          <w:p w14:paraId="53011F30" w14:textId="77777777" w:rsidR="00E67A82" w:rsidRPr="00E942EE" w:rsidRDefault="00E67A82" w:rsidP="00E67A82">
            <w:pPr>
              <w:jc w:val="right"/>
            </w:pPr>
          </w:p>
        </w:tc>
        <w:tc>
          <w:tcPr>
            <w:tcW w:w="3093" w:type="dxa"/>
            <w:tcBorders>
              <w:top w:val="nil"/>
              <w:left w:val="nil"/>
              <w:bottom w:val="nil"/>
              <w:right w:val="nil"/>
            </w:tcBorders>
            <w:shd w:val="clear" w:color="000000" w:fill="D9D9D9"/>
            <w:vAlign w:val="center"/>
            <w:hideMark/>
          </w:tcPr>
          <w:p w14:paraId="6D16577E" w14:textId="77777777" w:rsidR="00E67A82" w:rsidRPr="00E942EE" w:rsidRDefault="00E67A82" w:rsidP="00E67A82">
            <w:pPr>
              <w:jc w:val="center"/>
              <w:rPr>
                <w:rFonts w:ascii="Arial" w:hAnsi="Arial" w:cs="Arial"/>
                <w:b/>
                <w:bCs/>
                <w:color w:val="000000"/>
              </w:rPr>
            </w:pPr>
            <w:r w:rsidRPr="00E942EE">
              <w:rPr>
                <w:rFonts w:ascii="Arial" w:hAnsi="Arial" w:cs="Arial"/>
                <w:b/>
                <w:bCs/>
                <w:color w:val="000000"/>
              </w:rPr>
              <w:t> </w:t>
            </w:r>
          </w:p>
        </w:tc>
        <w:tc>
          <w:tcPr>
            <w:tcW w:w="1480" w:type="dxa"/>
            <w:tcBorders>
              <w:top w:val="nil"/>
              <w:left w:val="nil"/>
              <w:bottom w:val="nil"/>
              <w:right w:val="nil"/>
            </w:tcBorders>
            <w:shd w:val="clear" w:color="000000" w:fill="D9D9D9"/>
            <w:vAlign w:val="center"/>
            <w:hideMark/>
          </w:tcPr>
          <w:p w14:paraId="0D275B90"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nil"/>
              <w:right w:val="nil"/>
            </w:tcBorders>
            <w:shd w:val="clear" w:color="000000" w:fill="D9D9D9"/>
            <w:vAlign w:val="center"/>
            <w:hideMark/>
          </w:tcPr>
          <w:p w14:paraId="39F04E3F" w14:textId="77777777" w:rsidR="00E67A82" w:rsidRPr="00E942EE" w:rsidRDefault="00E67A82" w:rsidP="00E67A82">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nil"/>
              <w:right w:val="single" w:sz="8" w:space="0" w:color="auto"/>
            </w:tcBorders>
            <w:shd w:val="clear" w:color="000000" w:fill="D9D9D9"/>
            <w:vAlign w:val="center"/>
            <w:hideMark/>
          </w:tcPr>
          <w:p w14:paraId="52F6A3CC" w14:textId="2E70E218" w:rsidR="00E67A82" w:rsidRPr="00E942EE" w:rsidRDefault="00E67A82" w:rsidP="00E67A82">
            <w:pPr>
              <w:jc w:val="right"/>
              <w:rPr>
                <w:rFonts w:ascii="Arial" w:hAnsi="Arial" w:cs="Arial"/>
                <w:b/>
                <w:bCs/>
                <w:color w:val="000000"/>
              </w:rPr>
            </w:pPr>
            <w:r>
              <w:rPr>
                <w:rFonts w:ascii="Arial" w:hAnsi="Arial" w:cs="Arial"/>
                <w:b/>
                <w:bCs/>
                <w:color w:val="000000"/>
              </w:rPr>
              <w:t> </w:t>
            </w:r>
          </w:p>
        </w:tc>
      </w:tr>
      <w:tr w:rsidR="00FA68EE" w:rsidRPr="00E942EE" w14:paraId="3BAAFEFD" w14:textId="77777777" w:rsidTr="005E2F77">
        <w:trPr>
          <w:trHeight w:val="552"/>
        </w:trPr>
        <w:tc>
          <w:tcPr>
            <w:tcW w:w="1035" w:type="dxa"/>
            <w:tcBorders>
              <w:top w:val="nil"/>
              <w:left w:val="single" w:sz="8" w:space="0" w:color="auto"/>
              <w:bottom w:val="nil"/>
              <w:right w:val="nil"/>
            </w:tcBorders>
            <w:vAlign w:val="center"/>
            <w:hideMark/>
          </w:tcPr>
          <w:p w14:paraId="442F066E"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5B16878C" w14:textId="77777777" w:rsidR="00FA68EE" w:rsidRPr="00E942EE" w:rsidRDefault="00FA68EE" w:rsidP="00FA68EE">
            <w:pPr>
              <w:jc w:val="right"/>
              <w:rPr>
                <w:rFonts w:ascii="Arial" w:hAnsi="Arial" w:cs="Arial"/>
                <w:color w:val="000000"/>
              </w:rPr>
            </w:pPr>
          </w:p>
        </w:tc>
        <w:tc>
          <w:tcPr>
            <w:tcW w:w="1313" w:type="dxa"/>
            <w:tcBorders>
              <w:top w:val="nil"/>
              <w:left w:val="nil"/>
              <w:bottom w:val="nil"/>
              <w:right w:val="nil"/>
            </w:tcBorders>
            <w:vAlign w:val="center"/>
            <w:hideMark/>
          </w:tcPr>
          <w:p w14:paraId="0A5ADAAF" w14:textId="59ACE837" w:rsidR="00FA68EE" w:rsidRPr="00E942EE" w:rsidRDefault="00FA68EE" w:rsidP="00FA68EE">
            <w:pPr>
              <w:jc w:val="right"/>
              <w:rPr>
                <w:rFonts w:ascii="Arial" w:hAnsi="Arial" w:cs="Arial"/>
                <w:b/>
                <w:bCs/>
                <w:color w:val="000000"/>
              </w:rPr>
            </w:pPr>
            <w:r w:rsidRPr="00E942EE">
              <w:rPr>
                <w:rFonts w:ascii="Arial" w:hAnsi="Arial" w:cs="Arial"/>
                <w:b/>
                <w:bCs/>
                <w:color w:val="000000"/>
              </w:rPr>
              <w:t>(</w:t>
            </w:r>
            <w:r>
              <w:rPr>
                <w:rFonts w:ascii="Arial" w:hAnsi="Arial" w:cs="Arial"/>
                <w:b/>
                <w:bCs/>
                <w:color w:val="000000"/>
              </w:rPr>
              <w:t>14</w:t>
            </w:r>
            <w:r w:rsidRPr="00E942EE">
              <w:rPr>
                <w:rFonts w:ascii="Arial" w:hAnsi="Arial" w:cs="Arial"/>
                <w:b/>
                <w:bCs/>
                <w:color w:val="000000"/>
              </w:rPr>
              <w:t>,</w:t>
            </w:r>
            <w:r>
              <w:rPr>
                <w:rFonts w:ascii="Arial" w:hAnsi="Arial" w:cs="Arial"/>
                <w:b/>
                <w:bCs/>
                <w:color w:val="000000"/>
              </w:rPr>
              <w:t>649</w:t>
            </w:r>
            <w:r w:rsidRPr="00E942EE">
              <w:rPr>
                <w:rFonts w:ascii="Arial" w:hAnsi="Arial" w:cs="Arial"/>
                <w:b/>
                <w:bCs/>
                <w:color w:val="000000"/>
              </w:rPr>
              <w:t>)</w:t>
            </w:r>
          </w:p>
        </w:tc>
        <w:tc>
          <w:tcPr>
            <w:tcW w:w="3093" w:type="dxa"/>
            <w:tcBorders>
              <w:top w:val="nil"/>
              <w:left w:val="nil"/>
              <w:bottom w:val="nil"/>
              <w:right w:val="nil"/>
            </w:tcBorders>
            <w:shd w:val="clear" w:color="000000" w:fill="D9D9D9"/>
            <w:vAlign w:val="center"/>
            <w:hideMark/>
          </w:tcPr>
          <w:p w14:paraId="5A84105D" w14:textId="77777777" w:rsidR="00FA68EE" w:rsidRPr="00E942EE" w:rsidRDefault="00FA68EE" w:rsidP="00FA68EE">
            <w:pPr>
              <w:rPr>
                <w:rFonts w:ascii="Arial" w:hAnsi="Arial" w:cs="Arial"/>
                <w:color w:val="000000"/>
              </w:rPr>
            </w:pPr>
            <w:r w:rsidRPr="00E942EE">
              <w:rPr>
                <w:rFonts w:ascii="Arial" w:hAnsi="Arial" w:cs="Arial"/>
                <w:color w:val="000000"/>
              </w:rPr>
              <w:t>(Surplus)/deficit on revaluation of property, plant &amp; equipment assets</w:t>
            </w:r>
          </w:p>
        </w:tc>
        <w:tc>
          <w:tcPr>
            <w:tcW w:w="1480" w:type="dxa"/>
            <w:tcBorders>
              <w:top w:val="nil"/>
              <w:left w:val="nil"/>
              <w:bottom w:val="nil"/>
              <w:right w:val="nil"/>
            </w:tcBorders>
            <w:shd w:val="clear" w:color="000000" w:fill="D9D9D9"/>
            <w:vAlign w:val="center"/>
            <w:hideMark/>
          </w:tcPr>
          <w:p w14:paraId="1774A0BF"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nil"/>
              <w:right w:val="nil"/>
            </w:tcBorders>
            <w:shd w:val="clear" w:color="000000" w:fill="D9D9D9"/>
            <w:vAlign w:val="center"/>
            <w:hideMark/>
          </w:tcPr>
          <w:p w14:paraId="70477482"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nil"/>
              <w:right w:val="single" w:sz="8" w:space="0" w:color="auto"/>
            </w:tcBorders>
            <w:shd w:val="clear" w:color="000000" w:fill="D9D9D9"/>
            <w:vAlign w:val="center"/>
            <w:hideMark/>
          </w:tcPr>
          <w:p w14:paraId="004D971E" w14:textId="7FD0106C" w:rsidR="00FA68EE" w:rsidRPr="00234C59" w:rsidRDefault="00FA68EE" w:rsidP="00FA68EE">
            <w:pPr>
              <w:jc w:val="right"/>
              <w:rPr>
                <w:rFonts w:ascii="Arial" w:hAnsi="Arial" w:cs="Arial"/>
                <w:b/>
                <w:bCs/>
                <w:color w:val="000000"/>
              </w:rPr>
            </w:pPr>
            <w:r>
              <w:rPr>
                <w:rFonts w:ascii="Arial" w:hAnsi="Arial" w:cs="Arial"/>
                <w:b/>
                <w:bCs/>
                <w:color w:val="000000"/>
              </w:rPr>
              <w:t>(2,236)</w:t>
            </w:r>
          </w:p>
        </w:tc>
      </w:tr>
      <w:tr w:rsidR="00FA68EE" w:rsidRPr="00E942EE" w14:paraId="182AF246" w14:textId="77777777" w:rsidTr="005E2F77">
        <w:trPr>
          <w:trHeight w:val="567"/>
        </w:trPr>
        <w:tc>
          <w:tcPr>
            <w:tcW w:w="1035" w:type="dxa"/>
            <w:tcBorders>
              <w:top w:val="nil"/>
              <w:left w:val="single" w:sz="8" w:space="0" w:color="auto"/>
              <w:bottom w:val="nil"/>
              <w:right w:val="nil"/>
            </w:tcBorders>
            <w:vAlign w:val="center"/>
            <w:hideMark/>
          </w:tcPr>
          <w:p w14:paraId="2A050661"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1DD290A1" w14:textId="77777777" w:rsidR="00FA68EE" w:rsidRPr="00E942EE" w:rsidRDefault="00FA68EE" w:rsidP="00FA68EE">
            <w:pPr>
              <w:jc w:val="right"/>
              <w:rPr>
                <w:rFonts w:ascii="Arial" w:hAnsi="Arial" w:cs="Arial"/>
                <w:color w:val="000000"/>
              </w:rPr>
            </w:pPr>
          </w:p>
        </w:tc>
        <w:tc>
          <w:tcPr>
            <w:tcW w:w="1313" w:type="dxa"/>
            <w:tcBorders>
              <w:top w:val="nil"/>
              <w:left w:val="nil"/>
              <w:bottom w:val="single" w:sz="8" w:space="0" w:color="auto"/>
              <w:right w:val="nil"/>
            </w:tcBorders>
            <w:vAlign w:val="center"/>
            <w:hideMark/>
          </w:tcPr>
          <w:p w14:paraId="32033EB7" w14:textId="4CA8DD77" w:rsidR="00FA68EE" w:rsidRPr="00E942EE" w:rsidRDefault="00FA68EE" w:rsidP="00FA68EE">
            <w:pPr>
              <w:jc w:val="right"/>
              <w:rPr>
                <w:rFonts w:ascii="Arial" w:hAnsi="Arial" w:cs="Arial"/>
                <w:b/>
                <w:bCs/>
                <w:color w:val="000000"/>
              </w:rPr>
            </w:pPr>
            <w:r>
              <w:rPr>
                <w:rFonts w:ascii="Arial" w:hAnsi="Arial" w:cs="Arial"/>
                <w:b/>
                <w:bCs/>
                <w:color w:val="000000"/>
              </w:rPr>
              <w:t>145</w:t>
            </w:r>
          </w:p>
        </w:tc>
        <w:tc>
          <w:tcPr>
            <w:tcW w:w="3093" w:type="dxa"/>
            <w:tcBorders>
              <w:top w:val="nil"/>
              <w:left w:val="nil"/>
              <w:bottom w:val="nil"/>
              <w:right w:val="nil"/>
            </w:tcBorders>
            <w:shd w:val="clear" w:color="000000" w:fill="D9D9D9"/>
            <w:vAlign w:val="center"/>
            <w:hideMark/>
          </w:tcPr>
          <w:p w14:paraId="4189BE3C" w14:textId="77777777" w:rsidR="00FA68EE" w:rsidRPr="00E942EE" w:rsidRDefault="00FA68EE" w:rsidP="00FA68EE">
            <w:pPr>
              <w:rPr>
                <w:rFonts w:ascii="Arial" w:hAnsi="Arial" w:cs="Arial"/>
                <w:color w:val="000000"/>
              </w:rPr>
            </w:pPr>
            <w:r w:rsidRPr="00E942EE">
              <w:rPr>
                <w:rFonts w:ascii="Arial" w:hAnsi="Arial" w:cs="Arial"/>
                <w:color w:val="000000"/>
              </w:rPr>
              <w:t>Re-measurements of pension assets/liabilities</w:t>
            </w:r>
          </w:p>
        </w:tc>
        <w:tc>
          <w:tcPr>
            <w:tcW w:w="1480" w:type="dxa"/>
            <w:tcBorders>
              <w:top w:val="nil"/>
              <w:left w:val="nil"/>
              <w:bottom w:val="nil"/>
              <w:right w:val="nil"/>
            </w:tcBorders>
            <w:shd w:val="clear" w:color="000000" w:fill="D9D9D9"/>
            <w:vAlign w:val="center"/>
            <w:hideMark/>
          </w:tcPr>
          <w:p w14:paraId="5C53CFC6"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nil"/>
              <w:right w:val="nil"/>
            </w:tcBorders>
            <w:shd w:val="clear" w:color="000000" w:fill="D9D9D9"/>
            <w:vAlign w:val="center"/>
            <w:hideMark/>
          </w:tcPr>
          <w:p w14:paraId="1656BFD1"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single" w:sz="8" w:space="0" w:color="auto"/>
              <w:right w:val="single" w:sz="8" w:space="0" w:color="auto"/>
            </w:tcBorders>
            <w:shd w:val="clear" w:color="000000" w:fill="D9D9D9"/>
            <w:vAlign w:val="center"/>
            <w:hideMark/>
          </w:tcPr>
          <w:p w14:paraId="19096316" w14:textId="3103703F" w:rsidR="00FA68EE" w:rsidRPr="00234C59" w:rsidRDefault="00FA68EE" w:rsidP="00FA68EE">
            <w:pPr>
              <w:jc w:val="right"/>
              <w:rPr>
                <w:rFonts w:ascii="Arial" w:hAnsi="Arial" w:cs="Arial"/>
                <w:b/>
                <w:bCs/>
                <w:color w:val="000000"/>
              </w:rPr>
            </w:pPr>
            <w:r>
              <w:rPr>
                <w:rFonts w:ascii="Arial" w:hAnsi="Arial" w:cs="Arial"/>
                <w:b/>
                <w:bCs/>
                <w:color w:val="000000"/>
              </w:rPr>
              <w:t>2,239</w:t>
            </w:r>
          </w:p>
        </w:tc>
      </w:tr>
      <w:tr w:rsidR="00FA68EE" w:rsidRPr="00E942EE" w14:paraId="36005B2E" w14:textId="77777777" w:rsidTr="005E2F77">
        <w:trPr>
          <w:trHeight w:val="567"/>
        </w:trPr>
        <w:tc>
          <w:tcPr>
            <w:tcW w:w="1035" w:type="dxa"/>
            <w:tcBorders>
              <w:top w:val="nil"/>
              <w:left w:val="single" w:sz="8" w:space="0" w:color="auto"/>
              <w:bottom w:val="nil"/>
              <w:right w:val="nil"/>
            </w:tcBorders>
            <w:vAlign w:val="center"/>
            <w:hideMark/>
          </w:tcPr>
          <w:p w14:paraId="429D3282"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23A77F38" w14:textId="77777777" w:rsidR="00FA68EE" w:rsidRPr="00E942EE" w:rsidRDefault="00FA68EE" w:rsidP="00FA68EE">
            <w:pPr>
              <w:jc w:val="right"/>
              <w:rPr>
                <w:rFonts w:ascii="Arial" w:hAnsi="Arial" w:cs="Arial"/>
                <w:color w:val="000000"/>
              </w:rPr>
            </w:pPr>
          </w:p>
        </w:tc>
        <w:tc>
          <w:tcPr>
            <w:tcW w:w="1313" w:type="dxa"/>
            <w:tcBorders>
              <w:top w:val="nil"/>
              <w:left w:val="nil"/>
              <w:bottom w:val="single" w:sz="8" w:space="0" w:color="auto"/>
              <w:right w:val="nil"/>
            </w:tcBorders>
            <w:vAlign w:val="center"/>
            <w:hideMark/>
          </w:tcPr>
          <w:p w14:paraId="6BC84096" w14:textId="383C0A1A" w:rsidR="00FA68EE" w:rsidRPr="00E942EE" w:rsidRDefault="00FA68EE" w:rsidP="00FA68EE">
            <w:pPr>
              <w:jc w:val="right"/>
              <w:rPr>
                <w:rFonts w:ascii="Arial" w:hAnsi="Arial" w:cs="Arial"/>
                <w:b/>
                <w:bCs/>
                <w:color w:val="000000"/>
              </w:rPr>
            </w:pPr>
            <w:r w:rsidRPr="00E942EE">
              <w:rPr>
                <w:rFonts w:ascii="Arial" w:hAnsi="Arial" w:cs="Arial"/>
                <w:b/>
                <w:bCs/>
                <w:color w:val="000000"/>
              </w:rPr>
              <w:t>(</w:t>
            </w:r>
            <w:r>
              <w:rPr>
                <w:rFonts w:ascii="Arial" w:hAnsi="Arial" w:cs="Arial"/>
                <w:b/>
                <w:bCs/>
                <w:color w:val="000000"/>
              </w:rPr>
              <w:t>14</w:t>
            </w:r>
            <w:r w:rsidRPr="00E942EE">
              <w:rPr>
                <w:rFonts w:ascii="Arial" w:hAnsi="Arial" w:cs="Arial"/>
                <w:b/>
                <w:bCs/>
                <w:color w:val="000000"/>
              </w:rPr>
              <w:t>,</w:t>
            </w:r>
            <w:r>
              <w:rPr>
                <w:rFonts w:ascii="Arial" w:hAnsi="Arial" w:cs="Arial"/>
                <w:b/>
                <w:bCs/>
                <w:color w:val="000000"/>
              </w:rPr>
              <w:t>504</w:t>
            </w:r>
            <w:r w:rsidRPr="00E942EE">
              <w:rPr>
                <w:rFonts w:ascii="Arial" w:hAnsi="Arial" w:cs="Arial"/>
                <w:b/>
                <w:bCs/>
                <w:color w:val="000000"/>
              </w:rPr>
              <w:t>)</w:t>
            </w:r>
          </w:p>
        </w:tc>
        <w:tc>
          <w:tcPr>
            <w:tcW w:w="3093" w:type="dxa"/>
            <w:tcBorders>
              <w:top w:val="nil"/>
              <w:left w:val="nil"/>
              <w:bottom w:val="nil"/>
              <w:right w:val="nil"/>
            </w:tcBorders>
            <w:shd w:val="clear" w:color="000000" w:fill="D9D9D9"/>
            <w:vAlign w:val="center"/>
            <w:hideMark/>
          </w:tcPr>
          <w:p w14:paraId="7C62B200" w14:textId="77777777" w:rsidR="00FA68EE" w:rsidRPr="00E942EE" w:rsidRDefault="00FA68EE" w:rsidP="00FA68EE">
            <w:pPr>
              <w:rPr>
                <w:rFonts w:ascii="Arial" w:hAnsi="Arial" w:cs="Arial"/>
                <w:b/>
                <w:bCs/>
                <w:color w:val="000000"/>
              </w:rPr>
            </w:pPr>
            <w:r w:rsidRPr="00E942EE">
              <w:rPr>
                <w:rFonts w:ascii="Arial" w:hAnsi="Arial" w:cs="Arial"/>
                <w:b/>
                <w:bCs/>
                <w:color w:val="000000"/>
              </w:rPr>
              <w:t>Other Comprehensive (Income) &amp; Expenditure</w:t>
            </w:r>
          </w:p>
        </w:tc>
        <w:tc>
          <w:tcPr>
            <w:tcW w:w="1480" w:type="dxa"/>
            <w:tcBorders>
              <w:top w:val="nil"/>
              <w:left w:val="nil"/>
              <w:bottom w:val="nil"/>
              <w:right w:val="nil"/>
            </w:tcBorders>
            <w:shd w:val="clear" w:color="000000" w:fill="D9D9D9"/>
            <w:vAlign w:val="center"/>
            <w:hideMark/>
          </w:tcPr>
          <w:p w14:paraId="71539F69"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nil"/>
              <w:right w:val="nil"/>
            </w:tcBorders>
            <w:shd w:val="clear" w:color="000000" w:fill="D9D9D9"/>
            <w:vAlign w:val="center"/>
            <w:hideMark/>
          </w:tcPr>
          <w:p w14:paraId="30177143"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nil"/>
              <w:right w:val="single" w:sz="8" w:space="0" w:color="auto"/>
            </w:tcBorders>
            <w:shd w:val="clear" w:color="000000" w:fill="D9D9D9"/>
            <w:vAlign w:val="center"/>
            <w:hideMark/>
          </w:tcPr>
          <w:p w14:paraId="0E60E365" w14:textId="521CF73B" w:rsidR="00FA68EE" w:rsidRPr="00234C59" w:rsidRDefault="00FA68EE" w:rsidP="00FA68EE">
            <w:pPr>
              <w:jc w:val="right"/>
              <w:rPr>
                <w:rFonts w:ascii="Arial" w:hAnsi="Arial" w:cs="Arial"/>
                <w:b/>
                <w:bCs/>
                <w:color w:val="000000"/>
              </w:rPr>
            </w:pPr>
            <w:r>
              <w:rPr>
                <w:rFonts w:ascii="Arial" w:hAnsi="Arial" w:cs="Arial"/>
                <w:b/>
                <w:bCs/>
                <w:color w:val="000000"/>
              </w:rPr>
              <w:t>3</w:t>
            </w:r>
          </w:p>
        </w:tc>
      </w:tr>
      <w:tr w:rsidR="00FA68EE" w:rsidRPr="00E942EE" w14:paraId="5D541BCF" w14:textId="77777777" w:rsidTr="005E2F77">
        <w:trPr>
          <w:trHeight w:val="323"/>
        </w:trPr>
        <w:tc>
          <w:tcPr>
            <w:tcW w:w="1035" w:type="dxa"/>
            <w:tcBorders>
              <w:top w:val="nil"/>
              <w:left w:val="single" w:sz="8" w:space="0" w:color="auto"/>
              <w:bottom w:val="nil"/>
              <w:right w:val="nil"/>
            </w:tcBorders>
            <w:vAlign w:val="center"/>
            <w:hideMark/>
          </w:tcPr>
          <w:p w14:paraId="46B6C41C"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044" w:type="dxa"/>
            <w:tcBorders>
              <w:top w:val="nil"/>
              <w:left w:val="nil"/>
              <w:bottom w:val="nil"/>
              <w:right w:val="nil"/>
            </w:tcBorders>
            <w:vAlign w:val="center"/>
            <w:hideMark/>
          </w:tcPr>
          <w:p w14:paraId="6C8E3C30" w14:textId="77777777" w:rsidR="00FA68EE" w:rsidRPr="00E942EE" w:rsidRDefault="00FA68EE" w:rsidP="00FA68EE">
            <w:pPr>
              <w:jc w:val="right"/>
              <w:rPr>
                <w:rFonts w:ascii="Arial" w:hAnsi="Arial" w:cs="Arial"/>
                <w:color w:val="000000"/>
              </w:rPr>
            </w:pPr>
          </w:p>
        </w:tc>
        <w:tc>
          <w:tcPr>
            <w:tcW w:w="1313" w:type="dxa"/>
            <w:tcBorders>
              <w:top w:val="nil"/>
              <w:left w:val="nil"/>
              <w:bottom w:val="nil"/>
              <w:right w:val="nil"/>
            </w:tcBorders>
            <w:noWrap/>
            <w:vAlign w:val="bottom"/>
            <w:hideMark/>
          </w:tcPr>
          <w:p w14:paraId="27A7EB5C" w14:textId="77777777" w:rsidR="00FA68EE" w:rsidRPr="00E942EE" w:rsidRDefault="00FA68EE" w:rsidP="00FA68EE">
            <w:pPr>
              <w:jc w:val="right"/>
            </w:pPr>
          </w:p>
        </w:tc>
        <w:tc>
          <w:tcPr>
            <w:tcW w:w="3093" w:type="dxa"/>
            <w:tcBorders>
              <w:top w:val="nil"/>
              <w:left w:val="nil"/>
              <w:bottom w:val="nil"/>
              <w:right w:val="nil"/>
            </w:tcBorders>
            <w:shd w:val="clear" w:color="000000" w:fill="D9D9D9"/>
            <w:noWrap/>
            <w:vAlign w:val="bottom"/>
            <w:hideMark/>
          </w:tcPr>
          <w:p w14:paraId="6FFCEDE1" w14:textId="77777777" w:rsidR="00FA68EE" w:rsidRPr="00E942EE" w:rsidRDefault="00FA68EE" w:rsidP="00FA68EE">
            <w:pPr>
              <w:rPr>
                <w:rFonts w:ascii="Calibri" w:hAnsi="Calibri" w:cs="Calibri"/>
                <w:color w:val="000000"/>
                <w:sz w:val="22"/>
                <w:szCs w:val="22"/>
              </w:rPr>
            </w:pPr>
            <w:r w:rsidRPr="00E942EE">
              <w:rPr>
                <w:rFonts w:ascii="Calibri" w:hAnsi="Calibri" w:cs="Calibri"/>
                <w:color w:val="000000"/>
                <w:sz w:val="22"/>
                <w:szCs w:val="22"/>
              </w:rPr>
              <w:t> </w:t>
            </w:r>
          </w:p>
        </w:tc>
        <w:tc>
          <w:tcPr>
            <w:tcW w:w="1480" w:type="dxa"/>
            <w:tcBorders>
              <w:top w:val="nil"/>
              <w:left w:val="nil"/>
              <w:bottom w:val="nil"/>
              <w:right w:val="nil"/>
            </w:tcBorders>
            <w:shd w:val="clear" w:color="000000" w:fill="D9D9D9"/>
            <w:noWrap/>
            <w:vAlign w:val="bottom"/>
            <w:hideMark/>
          </w:tcPr>
          <w:p w14:paraId="553EB930" w14:textId="77777777" w:rsidR="00FA68EE" w:rsidRPr="00E942EE" w:rsidRDefault="00FA68EE" w:rsidP="00FA68EE">
            <w:pPr>
              <w:rPr>
                <w:rFonts w:ascii="Calibri" w:hAnsi="Calibri" w:cs="Calibri"/>
                <w:color w:val="000000"/>
                <w:sz w:val="22"/>
                <w:szCs w:val="22"/>
              </w:rPr>
            </w:pPr>
            <w:r w:rsidRPr="00E942EE">
              <w:rPr>
                <w:rFonts w:ascii="Calibri" w:hAnsi="Calibri" w:cs="Calibri"/>
                <w:color w:val="000000"/>
                <w:sz w:val="22"/>
                <w:szCs w:val="22"/>
              </w:rPr>
              <w:t> </w:t>
            </w:r>
          </w:p>
        </w:tc>
        <w:tc>
          <w:tcPr>
            <w:tcW w:w="1097" w:type="dxa"/>
            <w:tcBorders>
              <w:top w:val="nil"/>
              <w:left w:val="nil"/>
              <w:bottom w:val="nil"/>
              <w:right w:val="nil"/>
            </w:tcBorders>
            <w:shd w:val="clear" w:color="000000" w:fill="D9D9D9"/>
            <w:noWrap/>
            <w:vAlign w:val="bottom"/>
            <w:hideMark/>
          </w:tcPr>
          <w:p w14:paraId="6253485E" w14:textId="77777777" w:rsidR="00FA68EE" w:rsidRPr="00E942EE" w:rsidRDefault="00FA68EE" w:rsidP="00FA68EE">
            <w:pPr>
              <w:rPr>
                <w:rFonts w:ascii="Calibri" w:hAnsi="Calibri" w:cs="Calibri"/>
                <w:color w:val="000000"/>
                <w:sz w:val="22"/>
                <w:szCs w:val="22"/>
              </w:rPr>
            </w:pPr>
            <w:r w:rsidRPr="00E942EE">
              <w:rPr>
                <w:rFonts w:ascii="Calibri" w:hAnsi="Calibri" w:cs="Calibri"/>
                <w:color w:val="000000"/>
                <w:sz w:val="22"/>
                <w:szCs w:val="22"/>
              </w:rPr>
              <w:t> </w:t>
            </w:r>
          </w:p>
        </w:tc>
        <w:tc>
          <w:tcPr>
            <w:tcW w:w="1268" w:type="dxa"/>
            <w:tcBorders>
              <w:top w:val="single" w:sz="8" w:space="0" w:color="auto"/>
              <w:left w:val="nil"/>
              <w:bottom w:val="nil"/>
              <w:right w:val="single" w:sz="8" w:space="0" w:color="auto"/>
            </w:tcBorders>
            <w:shd w:val="clear" w:color="000000" w:fill="D9D9D9"/>
            <w:noWrap/>
            <w:vAlign w:val="bottom"/>
            <w:hideMark/>
          </w:tcPr>
          <w:p w14:paraId="300C2780" w14:textId="4F547FB8" w:rsidR="00FA68EE" w:rsidRPr="00234C59" w:rsidRDefault="00FA68EE" w:rsidP="00FA68EE">
            <w:pPr>
              <w:rPr>
                <w:rFonts w:ascii="Calibri" w:hAnsi="Calibri" w:cs="Calibri"/>
                <w:color w:val="000000"/>
                <w:sz w:val="22"/>
                <w:szCs w:val="22"/>
              </w:rPr>
            </w:pPr>
            <w:r>
              <w:rPr>
                <w:rFonts w:ascii="Calibri" w:hAnsi="Calibri" w:cs="Calibri"/>
                <w:color w:val="000000"/>
                <w:sz w:val="22"/>
                <w:szCs w:val="22"/>
              </w:rPr>
              <w:t> </w:t>
            </w:r>
          </w:p>
        </w:tc>
      </w:tr>
      <w:tr w:rsidR="00FA68EE" w:rsidRPr="00E942EE" w14:paraId="7403DC86" w14:textId="77777777" w:rsidTr="005E2F77">
        <w:trPr>
          <w:trHeight w:val="567"/>
        </w:trPr>
        <w:tc>
          <w:tcPr>
            <w:tcW w:w="1035" w:type="dxa"/>
            <w:tcBorders>
              <w:top w:val="nil"/>
              <w:left w:val="single" w:sz="8" w:space="0" w:color="auto"/>
              <w:bottom w:val="single" w:sz="8" w:space="0" w:color="auto"/>
              <w:right w:val="nil"/>
            </w:tcBorders>
            <w:noWrap/>
            <w:vAlign w:val="bottom"/>
            <w:hideMark/>
          </w:tcPr>
          <w:p w14:paraId="7EBBCAE2" w14:textId="77777777" w:rsidR="00FA68EE" w:rsidRPr="00E942EE" w:rsidRDefault="00FA68EE" w:rsidP="00FA68EE">
            <w:pPr>
              <w:rPr>
                <w:rFonts w:ascii="Calibri" w:hAnsi="Calibri" w:cs="Calibri"/>
                <w:color w:val="000000"/>
                <w:sz w:val="22"/>
                <w:szCs w:val="22"/>
              </w:rPr>
            </w:pPr>
            <w:r w:rsidRPr="00E942EE">
              <w:rPr>
                <w:rFonts w:ascii="Calibri" w:hAnsi="Calibri" w:cs="Calibri"/>
                <w:color w:val="000000"/>
                <w:sz w:val="22"/>
                <w:szCs w:val="22"/>
              </w:rPr>
              <w:t> </w:t>
            </w:r>
          </w:p>
        </w:tc>
        <w:tc>
          <w:tcPr>
            <w:tcW w:w="1044" w:type="dxa"/>
            <w:tcBorders>
              <w:top w:val="nil"/>
              <w:left w:val="nil"/>
              <w:bottom w:val="single" w:sz="8" w:space="0" w:color="auto"/>
              <w:right w:val="nil"/>
            </w:tcBorders>
            <w:noWrap/>
            <w:vAlign w:val="bottom"/>
            <w:hideMark/>
          </w:tcPr>
          <w:p w14:paraId="05633585" w14:textId="77777777" w:rsidR="00FA68EE" w:rsidRPr="00E942EE" w:rsidRDefault="00FA68EE" w:rsidP="00FA68EE">
            <w:pPr>
              <w:rPr>
                <w:rFonts w:ascii="Calibri" w:hAnsi="Calibri" w:cs="Calibri"/>
                <w:color w:val="000000"/>
                <w:sz w:val="22"/>
                <w:szCs w:val="22"/>
              </w:rPr>
            </w:pPr>
            <w:r w:rsidRPr="00E942EE">
              <w:rPr>
                <w:rFonts w:ascii="Calibri" w:hAnsi="Calibri" w:cs="Calibri"/>
                <w:color w:val="000000"/>
                <w:sz w:val="22"/>
                <w:szCs w:val="22"/>
              </w:rPr>
              <w:t> </w:t>
            </w:r>
          </w:p>
        </w:tc>
        <w:tc>
          <w:tcPr>
            <w:tcW w:w="1313" w:type="dxa"/>
            <w:tcBorders>
              <w:top w:val="nil"/>
              <w:left w:val="nil"/>
              <w:bottom w:val="single" w:sz="8" w:space="0" w:color="auto"/>
              <w:right w:val="nil"/>
            </w:tcBorders>
            <w:vAlign w:val="center"/>
            <w:hideMark/>
          </w:tcPr>
          <w:p w14:paraId="4A08D4B5" w14:textId="55AB97F4" w:rsidR="00FA68EE" w:rsidRPr="00E942EE" w:rsidRDefault="00FA68EE" w:rsidP="00FA68EE">
            <w:pPr>
              <w:jc w:val="right"/>
              <w:rPr>
                <w:rFonts w:ascii="Arial" w:hAnsi="Arial" w:cs="Arial"/>
                <w:b/>
                <w:bCs/>
                <w:color w:val="000000"/>
              </w:rPr>
            </w:pPr>
            <w:r w:rsidRPr="00E942EE">
              <w:rPr>
                <w:rFonts w:ascii="Arial" w:hAnsi="Arial" w:cs="Arial"/>
                <w:b/>
                <w:bCs/>
                <w:color w:val="000000"/>
              </w:rPr>
              <w:t>(</w:t>
            </w:r>
            <w:r>
              <w:rPr>
                <w:rFonts w:ascii="Arial" w:hAnsi="Arial" w:cs="Arial"/>
                <w:b/>
                <w:bCs/>
                <w:color w:val="000000"/>
              </w:rPr>
              <w:t>7,125</w:t>
            </w:r>
            <w:r w:rsidRPr="00E942EE">
              <w:rPr>
                <w:rFonts w:ascii="Arial" w:hAnsi="Arial" w:cs="Arial"/>
                <w:b/>
                <w:bCs/>
                <w:color w:val="000000"/>
              </w:rPr>
              <w:t>)</w:t>
            </w:r>
          </w:p>
        </w:tc>
        <w:tc>
          <w:tcPr>
            <w:tcW w:w="3093" w:type="dxa"/>
            <w:tcBorders>
              <w:top w:val="nil"/>
              <w:left w:val="nil"/>
              <w:bottom w:val="single" w:sz="8" w:space="0" w:color="auto"/>
              <w:right w:val="nil"/>
            </w:tcBorders>
            <w:shd w:val="clear" w:color="000000" w:fill="D9D9D9"/>
            <w:vAlign w:val="center"/>
            <w:hideMark/>
          </w:tcPr>
          <w:p w14:paraId="4FD4EFBB" w14:textId="77777777" w:rsidR="00FA68EE" w:rsidRPr="00E942EE" w:rsidRDefault="00FA68EE" w:rsidP="00FA68EE">
            <w:pPr>
              <w:rPr>
                <w:rFonts w:ascii="Arial" w:hAnsi="Arial" w:cs="Arial"/>
                <w:b/>
                <w:bCs/>
                <w:color w:val="000000"/>
              </w:rPr>
            </w:pPr>
            <w:r w:rsidRPr="00E942EE">
              <w:rPr>
                <w:rFonts w:ascii="Arial" w:hAnsi="Arial" w:cs="Arial"/>
                <w:b/>
                <w:bCs/>
                <w:color w:val="000000"/>
              </w:rPr>
              <w:t>Total Comprehensive (Income) &amp; Expenditure</w:t>
            </w:r>
          </w:p>
        </w:tc>
        <w:tc>
          <w:tcPr>
            <w:tcW w:w="1480" w:type="dxa"/>
            <w:tcBorders>
              <w:top w:val="nil"/>
              <w:left w:val="nil"/>
              <w:bottom w:val="single" w:sz="8" w:space="0" w:color="auto"/>
              <w:right w:val="nil"/>
            </w:tcBorders>
            <w:shd w:val="clear" w:color="000000" w:fill="D9D9D9"/>
            <w:vAlign w:val="center"/>
            <w:hideMark/>
          </w:tcPr>
          <w:p w14:paraId="36FDB9D1"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097" w:type="dxa"/>
            <w:tcBorders>
              <w:top w:val="nil"/>
              <w:left w:val="nil"/>
              <w:bottom w:val="single" w:sz="8" w:space="0" w:color="auto"/>
              <w:right w:val="nil"/>
            </w:tcBorders>
            <w:shd w:val="clear" w:color="000000" w:fill="D9D9D9"/>
            <w:vAlign w:val="center"/>
            <w:hideMark/>
          </w:tcPr>
          <w:p w14:paraId="3ECE5B72" w14:textId="77777777" w:rsidR="00FA68EE" w:rsidRPr="00E942EE" w:rsidRDefault="00FA68EE" w:rsidP="00FA68EE">
            <w:pPr>
              <w:jc w:val="right"/>
              <w:rPr>
                <w:rFonts w:ascii="Arial" w:hAnsi="Arial" w:cs="Arial"/>
                <w:color w:val="000000"/>
              </w:rPr>
            </w:pPr>
            <w:r w:rsidRPr="00E942EE">
              <w:rPr>
                <w:rFonts w:ascii="Arial" w:hAnsi="Arial" w:cs="Arial"/>
                <w:color w:val="000000"/>
              </w:rPr>
              <w:t> </w:t>
            </w:r>
          </w:p>
        </w:tc>
        <w:tc>
          <w:tcPr>
            <w:tcW w:w="1268" w:type="dxa"/>
            <w:tcBorders>
              <w:top w:val="nil"/>
              <w:left w:val="nil"/>
              <w:bottom w:val="single" w:sz="8" w:space="0" w:color="auto"/>
              <w:right w:val="single" w:sz="8" w:space="0" w:color="auto"/>
            </w:tcBorders>
            <w:shd w:val="clear" w:color="000000" w:fill="D9D9D9"/>
            <w:vAlign w:val="center"/>
            <w:hideMark/>
          </w:tcPr>
          <w:p w14:paraId="0D96FA0F" w14:textId="1FFFB8E9" w:rsidR="00FA68EE" w:rsidRPr="00234C59" w:rsidRDefault="00FA68EE" w:rsidP="00FA68EE">
            <w:pPr>
              <w:jc w:val="right"/>
              <w:rPr>
                <w:rFonts w:ascii="Arial" w:hAnsi="Arial" w:cs="Arial"/>
                <w:b/>
                <w:bCs/>
                <w:color w:val="000000"/>
              </w:rPr>
            </w:pPr>
            <w:r>
              <w:rPr>
                <w:rFonts w:ascii="Arial" w:hAnsi="Arial" w:cs="Arial"/>
                <w:b/>
                <w:bCs/>
                <w:color w:val="000000"/>
              </w:rPr>
              <w:t>7,1</w:t>
            </w:r>
            <w:r w:rsidR="002F0866">
              <w:rPr>
                <w:rFonts w:ascii="Arial" w:hAnsi="Arial" w:cs="Arial"/>
                <w:b/>
                <w:bCs/>
                <w:color w:val="000000"/>
              </w:rPr>
              <w:t>41</w:t>
            </w:r>
          </w:p>
        </w:tc>
      </w:tr>
    </w:tbl>
    <w:p w14:paraId="6819E4E0" w14:textId="77777777" w:rsidR="003B74DA" w:rsidRDefault="003B74DA" w:rsidP="00B67BE4">
      <w:pPr>
        <w:rPr>
          <w:rFonts w:ascii="Arial" w:hAnsi="Arial"/>
          <w:sz w:val="22"/>
          <w:szCs w:val="22"/>
        </w:rPr>
      </w:pPr>
    </w:p>
    <w:p w14:paraId="000BB259" w14:textId="77777777" w:rsidR="006B31B5" w:rsidRDefault="006B31B5" w:rsidP="00B67BE4">
      <w:pPr>
        <w:rPr>
          <w:rFonts w:ascii="Arial" w:hAnsi="Arial"/>
          <w:b/>
          <w:i/>
          <w:sz w:val="18"/>
          <w:szCs w:val="18"/>
        </w:rPr>
      </w:pPr>
    </w:p>
    <w:p w14:paraId="27D3B392" w14:textId="07939D1F" w:rsidR="006B31B5" w:rsidRPr="006B31B5" w:rsidRDefault="006B31B5" w:rsidP="00B67BE4">
      <w:pPr>
        <w:rPr>
          <w:rFonts w:ascii="Arial" w:hAnsi="Arial"/>
          <w:b/>
          <w:iCs/>
          <w:sz w:val="18"/>
          <w:szCs w:val="18"/>
        </w:rPr>
        <w:sectPr w:rsidR="006B31B5" w:rsidRPr="006B31B5" w:rsidSect="00784E9A">
          <w:headerReference w:type="even" r:id="rId34"/>
          <w:headerReference w:type="default" r:id="rId35"/>
          <w:headerReference w:type="first" r:id="rId36"/>
          <w:pgSz w:w="11906" w:h="16838" w:code="9"/>
          <w:pgMar w:top="964" w:right="1134" w:bottom="851" w:left="1134" w:header="397" w:footer="567" w:gutter="0"/>
          <w:cols w:space="720"/>
          <w:docGrid w:linePitch="272"/>
        </w:sectPr>
      </w:pPr>
    </w:p>
    <w:p w14:paraId="7F9CAD32" w14:textId="7B339B0C" w:rsidR="003B74DA" w:rsidRDefault="003B74DA" w:rsidP="003B74DA">
      <w:pPr>
        <w:ind w:left="720" w:hanging="720"/>
        <w:jc w:val="center"/>
        <w:rPr>
          <w:rFonts w:ascii="Arial" w:hAnsi="Arial"/>
          <w:b/>
          <w:sz w:val="28"/>
          <w:szCs w:val="28"/>
        </w:rPr>
      </w:pPr>
      <w:r>
        <w:rPr>
          <w:rFonts w:ascii="Arial" w:hAnsi="Arial"/>
          <w:b/>
          <w:sz w:val="28"/>
          <w:szCs w:val="28"/>
        </w:rPr>
        <w:lastRenderedPageBreak/>
        <w:t>PCC GROUP M</w:t>
      </w:r>
      <w:r w:rsidRPr="00687B1F">
        <w:rPr>
          <w:rFonts w:ascii="Arial" w:hAnsi="Arial"/>
          <w:b/>
          <w:sz w:val="28"/>
          <w:szCs w:val="28"/>
        </w:rPr>
        <w:t>OVEMENT IN RESERVES STATEMENT</w:t>
      </w:r>
    </w:p>
    <w:p w14:paraId="38AD4A1B" w14:textId="77777777" w:rsidR="003B74DA" w:rsidRPr="005E2F77" w:rsidRDefault="003B74DA" w:rsidP="003B74DA">
      <w:pPr>
        <w:ind w:left="720" w:hanging="720"/>
        <w:jc w:val="center"/>
        <w:rPr>
          <w:rFonts w:ascii="Arial" w:hAnsi="Arial"/>
          <w:b/>
          <w:sz w:val="12"/>
          <w:szCs w:val="12"/>
        </w:rPr>
      </w:pPr>
    </w:p>
    <w:p w14:paraId="6B00B9DC" w14:textId="77777777" w:rsidR="003B74DA" w:rsidRDefault="003B74DA" w:rsidP="003B74DA">
      <w:pPr>
        <w:ind w:right="-720"/>
        <w:jc w:val="both"/>
        <w:rPr>
          <w:rFonts w:ascii="Arial" w:hAnsi="Arial"/>
        </w:rPr>
      </w:pPr>
      <w:r w:rsidRPr="00C35EDD">
        <w:rPr>
          <w:rFonts w:ascii="Arial" w:hAnsi="Arial"/>
          <w:sz w:val="22"/>
          <w:szCs w:val="22"/>
        </w:rPr>
        <w:t>This statement shows the movement in the year on the different reserves held by the PCC Group, analysed into usable reserves (those that can be applied to fund expenditure or reduce local taxation) and other reserves. The surplus or (deficit) on the provision of services line shows the true economic cost of providing the PCC Group's services, more details of which are shown in the comprehensive income &amp; expenditure statement. These are different from the statutory amounts required to be charged to the General Fund balance for council tax setting purposes. The net increase/(decrease) before transfers to earmarked reserves line shows the statutory General Fund balance before any discretionary transfers undertaken by the PCC Group</w:t>
      </w:r>
      <w:r w:rsidRPr="0039362B">
        <w:rPr>
          <w:rFonts w:ascii="Arial" w:hAnsi="Arial"/>
        </w:rPr>
        <w:t>.</w:t>
      </w:r>
    </w:p>
    <w:p w14:paraId="3ACDD620" w14:textId="6B39D775" w:rsidR="00117DC8" w:rsidRDefault="00117DC8" w:rsidP="003B74DA">
      <w:pPr>
        <w:ind w:left="720" w:hanging="720"/>
      </w:pPr>
    </w:p>
    <w:tbl>
      <w:tblPr>
        <w:tblW w:w="15163" w:type="dxa"/>
        <w:tblLayout w:type="fixed"/>
        <w:tblCellMar>
          <w:top w:w="15" w:type="dxa"/>
          <w:bottom w:w="15" w:type="dxa"/>
        </w:tblCellMar>
        <w:tblLook w:val="04A0" w:firstRow="1" w:lastRow="0" w:firstColumn="1" w:lastColumn="0" w:noHBand="0" w:noVBand="1"/>
      </w:tblPr>
      <w:tblGrid>
        <w:gridCol w:w="6227"/>
        <w:gridCol w:w="851"/>
        <w:gridCol w:w="1276"/>
        <w:gridCol w:w="1275"/>
        <w:gridCol w:w="1418"/>
        <w:gridCol w:w="1417"/>
        <w:gridCol w:w="1276"/>
        <w:gridCol w:w="1423"/>
      </w:tblGrid>
      <w:tr w:rsidR="00681F6E" w:rsidRPr="003D290C" w14:paraId="4D6FE049" w14:textId="77777777" w:rsidTr="00BA742D">
        <w:trPr>
          <w:trHeight w:val="231"/>
        </w:trPr>
        <w:tc>
          <w:tcPr>
            <w:tcW w:w="6227" w:type="dxa"/>
            <w:tcBorders>
              <w:top w:val="single" w:sz="8" w:space="0" w:color="auto"/>
              <w:left w:val="single" w:sz="8" w:space="0" w:color="auto"/>
              <w:bottom w:val="nil"/>
              <w:right w:val="single" w:sz="8" w:space="0" w:color="auto"/>
            </w:tcBorders>
            <w:vAlign w:val="center"/>
            <w:hideMark/>
          </w:tcPr>
          <w:p w14:paraId="0785E33D" w14:textId="77777777" w:rsidR="003D290C" w:rsidRPr="003D290C" w:rsidRDefault="003D290C" w:rsidP="003D290C">
            <w:pPr>
              <w:rPr>
                <w:sz w:val="24"/>
                <w:szCs w:val="24"/>
              </w:rPr>
            </w:pPr>
          </w:p>
        </w:tc>
        <w:tc>
          <w:tcPr>
            <w:tcW w:w="851" w:type="dxa"/>
            <w:tcBorders>
              <w:top w:val="single" w:sz="8" w:space="0" w:color="auto"/>
              <w:left w:val="nil"/>
              <w:bottom w:val="nil"/>
              <w:right w:val="single" w:sz="8" w:space="0" w:color="auto"/>
            </w:tcBorders>
            <w:vAlign w:val="center"/>
            <w:hideMark/>
          </w:tcPr>
          <w:p w14:paraId="366B5BAD"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 xml:space="preserve">    Notes</w:t>
            </w:r>
          </w:p>
        </w:tc>
        <w:tc>
          <w:tcPr>
            <w:tcW w:w="1276" w:type="dxa"/>
            <w:tcBorders>
              <w:top w:val="single" w:sz="8" w:space="0" w:color="auto"/>
              <w:left w:val="nil"/>
              <w:bottom w:val="nil"/>
              <w:right w:val="single" w:sz="8" w:space="0" w:color="auto"/>
            </w:tcBorders>
            <w:vAlign w:val="center"/>
            <w:hideMark/>
          </w:tcPr>
          <w:p w14:paraId="4FA8BE62"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General Fund Balance</w:t>
            </w:r>
          </w:p>
        </w:tc>
        <w:tc>
          <w:tcPr>
            <w:tcW w:w="1275" w:type="dxa"/>
            <w:tcBorders>
              <w:top w:val="single" w:sz="8" w:space="0" w:color="auto"/>
              <w:left w:val="nil"/>
              <w:bottom w:val="nil"/>
              <w:right w:val="single" w:sz="8" w:space="0" w:color="auto"/>
            </w:tcBorders>
            <w:vAlign w:val="center"/>
            <w:hideMark/>
          </w:tcPr>
          <w:p w14:paraId="179C9AD5"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Capital Receipts Reserve</w:t>
            </w:r>
          </w:p>
        </w:tc>
        <w:tc>
          <w:tcPr>
            <w:tcW w:w="1418" w:type="dxa"/>
            <w:tcBorders>
              <w:top w:val="single" w:sz="8" w:space="0" w:color="auto"/>
              <w:left w:val="nil"/>
              <w:bottom w:val="nil"/>
              <w:right w:val="single" w:sz="8" w:space="0" w:color="auto"/>
            </w:tcBorders>
            <w:vAlign w:val="center"/>
            <w:hideMark/>
          </w:tcPr>
          <w:p w14:paraId="6DECA010"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Capital Grants Unapplied</w:t>
            </w:r>
          </w:p>
        </w:tc>
        <w:tc>
          <w:tcPr>
            <w:tcW w:w="1417" w:type="dxa"/>
            <w:tcBorders>
              <w:top w:val="single" w:sz="8" w:space="0" w:color="auto"/>
              <w:left w:val="nil"/>
              <w:bottom w:val="nil"/>
              <w:right w:val="single" w:sz="8" w:space="0" w:color="auto"/>
            </w:tcBorders>
            <w:shd w:val="clear" w:color="000000" w:fill="D9D9D9"/>
            <w:vAlign w:val="center"/>
            <w:hideMark/>
          </w:tcPr>
          <w:p w14:paraId="29C578FB"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Total Usable Reserves</w:t>
            </w:r>
          </w:p>
        </w:tc>
        <w:tc>
          <w:tcPr>
            <w:tcW w:w="1276" w:type="dxa"/>
            <w:tcBorders>
              <w:top w:val="single" w:sz="8" w:space="0" w:color="auto"/>
              <w:left w:val="nil"/>
              <w:bottom w:val="nil"/>
              <w:right w:val="single" w:sz="8" w:space="0" w:color="auto"/>
            </w:tcBorders>
            <w:shd w:val="clear" w:color="000000" w:fill="D9D9D9"/>
            <w:vAlign w:val="center"/>
            <w:hideMark/>
          </w:tcPr>
          <w:p w14:paraId="17BEEFB5"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Unusable Reserves</w:t>
            </w:r>
          </w:p>
        </w:tc>
        <w:tc>
          <w:tcPr>
            <w:tcW w:w="1423" w:type="dxa"/>
            <w:tcBorders>
              <w:top w:val="single" w:sz="8" w:space="0" w:color="auto"/>
              <w:left w:val="nil"/>
              <w:bottom w:val="nil"/>
              <w:right w:val="single" w:sz="8" w:space="0" w:color="auto"/>
            </w:tcBorders>
            <w:shd w:val="clear" w:color="000000" w:fill="D9D9D9"/>
            <w:vAlign w:val="center"/>
            <w:hideMark/>
          </w:tcPr>
          <w:p w14:paraId="12FEA0EA"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Total PCC Group Reserves</w:t>
            </w:r>
          </w:p>
        </w:tc>
      </w:tr>
      <w:tr w:rsidR="00681F6E" w:rsidRPr="003D290C" w14:paraId="5FA9CA99" w14:textId="77777777" w:rsidTr="00BA742D">
        <w:trPr>
          <w:trHeight w:val="80"/>
        </w:trPr>
        <w:tc>
          <w:tcPr>
            <w:tcW w:w="6227" w:type="dxa"/>
            <w:tcBorders>
              <w:top w:val="nil"/>
              <w:left w:val="single" w:sz="8" w:space="0" w:color="auto"/>
              <w:bottom w:val="single" w:sz="8" w:space="0" w:color="auto"/>
              <w:right w:val="single" w:sz="8" w:space="0" w:color="auto"/>
            </w:tcBorders>
            <w:vAlign w:val="center"/>
            <w:hideMark/>
          </w:tcPr>
          <w:p w14:paraId="57FC41F6" w14:textId="77777777" w:rsidR="003D290C" w:rsidRPr="003D290C" w:rsidRDefault="003D290C" w:rsidP="003D290C">
            <w:pPr>
              <w:jc w:val="right"/>
              <w:rPr>
                <w:rFonts w:ascii="Arial" w:hAnsi="Arial" w:cs="Arial"/>
                <w:b/>
                <w:bCs/>
                <w:color w:val="000000"/>
                <w:sz w:val="22"/>
                <w:szCs w:val="22"/>
              </w:rPr>
            </w:pPr>
          </w:p>
        </w:tc>
        <w:tc>
          <w:tcPr>
            <w:tcW w:w="851" w:type="dxa"/>
            <w:tcBorders>
              <w:top w:val="nil"/>
              <w:left w:val="single" w:sz="8" w:space="0" w:color="auto"/>
              <w:bottom w:val="single" w:sz="8" w:space="0" w:color="auto"/>
              <w:right w:val="single" w:sz="8" w:space="0" w:color="auto"/>
            </w:tcBorders>
            <w:vAlign w:val="center"/>
            <w:hideMark/>
          </w:tcPr>
          <w:p w14:paraId="037B545C" w14:textId="77777777" w:rsidR="003D290C" w:rsidRPr="003D290C" w:rsidRDefault="003D290C" w:rsidP="003D290C"/>
        </w:tc>
        <w:tc>
          <w:tcPr>
            <w:tcW w:w="1276" w:type="dxa"/>
            <w:tcBorders>
              <w:top w:val="nil"/>
              <w:left w:val="nil"/>
              <w:bottom w:val="nil"/>
              <w:right w:val="single" w:sz="8" w:space="0" w:color="auto"/>
            </w:tcBorders>
            <w:vAlign w:val="center"/>
            <w:hideMark/>
          </w:tcPr>
          <w:p w14:paraId="2D6006AB"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£000</w:t>
            </w:r>
          </w:p>
        </w:tc>
        <w:tc>
          <w:tcPr>
            <w:tcW w:w="1275" w:type="dxa"/>
            <w:tcBorders>
              <w:top w:val="nil"/>
              <w:left w:val="nil"/>
              <w:bottom w:val="nil"/>
              <w:right w:val="single" w:sz="8" w:space="0" w:color="auto"/>
            </w:tcBorders>
            <w:vAlign w:val="center"/>
            <w:hideMark/>
          </w:tcPr>
          <w:p w14:paraId="57EC9F44"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£000</w:t>
            </w:r>
          </w:p>
        </w:tc>
        <w:tc>
          <w:tcPr>
            <w:tcW w:w="1418" w:type="dxa"/>
            <w:tcBorders>
              <w:top w:val="nil"/>
              <w:left w:val="nil"/>
              <w:bottom w:val="nil"/>
              <w:right w:val="single" w:sz="8" w:space="0" w:color="auto"/>
            </w:tcBorders>
            <w:vAlign w:val="center"/>
            <w:hideMark/>
          </w:tcPr>
          <w:p w14:paraId="2BA6E90B"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£000</w:t>
            </w:r>
          </w:p>
        </w:tc>
        <w:tc>
          <w:tcPr>
            <w:tcW w:w="1417" w:type="dxa"/>
            <w:tcBorders>
              <w:top w:val="nil"/>
              <w:left w:val="nil"/>
              <w:bottom w:val="nil"/>
              <w:right w:val="single" w:sz="8" w:space="0" w:color="auto"/>
            </w:tcBorders>
            <w:shd w:val="clear" w:color="000000" w:fill="D9D9D9"/>
            <w:vAlign w:val="center"/>
            <w:hideMark/>
          </w:tcPr>
          <w:p w14:paraId="3D470FB5"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£000</w:t>
            </w:r>
          </w:p>
        </w:tc>
        <w:tc>
          <w:tcPr>
            <w:tcW w:w="1276" w:type="dxa"/>
            <w:tcBorders>
              <w:top w:val="nil"/>
              <w:left w:val="nil"/>
              <w:bottom w:val="nil"/>
              <w:right w:val="single" w:sz="8" w:space="0" w:color="auto"/>
            </w:tcBorders>
            <w:shd w:val="clear" w:color="000000" w:fill="D9D9D9"/>
            <w:vAlign w:val="center"/>
            <w:hideMark/>
          </w:tcPr>
          <w:p w14:paraId="6A325BE2"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£000</w:t>
            </w:r>
          </w:p>
        </w:tc>
        <w:tc>
          <w:tcPr>
            <w:tcW w:w="1423" w:type="dxa"/>
            <w:tcBorders>
              <w:top w:val="nil"/>
              <w:left w:val="nil"/>
              <w:bottom w:val="nil"/>
              <w:right w:val="single" w:sz="8" w:space="0" w:color="auto"/>
            </w:tcBorders>
            <w:shd w:val="clear" w:color="000000" w:fill="D9D9D9"/>
            <w:vAlign w:val="center"/>
            <w:hideMark/>
          </w:tcPr>
          <w:p w14:paraId="28FBD1BB" w14:textId="77777777" w:rsidR="003D290C" w:rsidRPr="003D290C" w:rsidRDefault="003D290C" w:rsidP="003D290C">
            <w:pPr>
              <w:jc w:val="right"/>
              <w:rPr>
                <w:rFonts w:ascii="Arial" w:hAnsi="Arial" w:cs="Arial"/>
                <w:b/>
                <w:bCs/>
                <w:color w:val="000000"/>
                <w:sz w:val="22"/>
                <w:szCs w:val="22"/>
              </w:rPr>
            </w:pPr>
            <w:r w:rsidRPr="003D290C">
              <w:rPr>
                <w:rFonts w:ascii="Arial" w:hAnsi="Arial" w:cs="Arial"/>
                <w:b/>
                <w:bCs/>
                <w:color w:val="000000"/>
                <w:sz w:val="22"/>
                <w:szCs w:val="22"/>
              </w:rPr>
              <w:t>£000</w:t>
            </w:r>
          </w:p>
        </w:tc>
      </w:tr>
      <w:tr w:rsidR="00FA3E5E" w:rsidRPr="003D290C" w14:paraId="651EFA79" w14:textId="77777777" w:rsidTr="00BA742D">
        <w:trPr>
          <w:trHeight w:val="76"/>
        </w:trPr>
        <w:tc>
          <w:tcPr>
            <w:tcW w:w="6227" w:type="dxa"/>
            <w:tcBorders>
              <w:top w:val="nil"/>
              <w:left w:val="single" w:sz="8" w:space="0" w:color="auto"/>
              <w:bottom w:val="nil"/>
              <w:right w:val="single" w:sz="8" w:space="0" w:color="auto"/>
            </w:tcBorders>
            <w:vAlign w:val="center"/>
            <w:hideMark/>
          </w:tcPr>
          <w:p w14:paraId="0FCE3D5B" w14:textId="30306518" w:rsidR="00FA3E5E" w:rsidRPr="003D290C" w:rsidRDefault="00FA3E5E" w:rsidP="00FA3E5E">
            <w:pPr>
              <w:rPr>
                <w:rFonts w:ascii="Arial" w:hAnsi="Arial" w:cs="Arial"/>
                <w:b/>
                <w:bCs/>
                <w:color w:val="000000"/>
                <w:sz w:val="22"/>
                <w:szCs w:val="22"/>
              </w:rPr>
            </w:pPr>
            <w:r w:rsidRPr="003D290C">
              <w:rPr>
                <w:rFonts w:ascii="Arial" w:hAnsi="Arial" w:cs="Arial"/>
                <w:b/>
                <w:bCs/>
                <w:color w:val="000000"/>
                <w:sz w:val="22"/>
                <w:szCs w:val="22"/>
              </w:rPr>
              <w:t>Balance at 31 March 202</w:t>
            </w:r>
            <w:r>
              <w:rPr>
                <w:rFonts w:ascii="Arial" w:hAnsi="Arial" w:cs="Arial"/>
                <w:b/>
                <w:bCs/>
                <w:color w:val="000000"/>
                <w:sz w:val="22"/>
                <w:szCs w:val="22"/>
              </w:rPr>
              <w:t>3</w:t>
            </w:r>
          </w:p>
        </w:tc>
        <w:tc>
          <w:tcPr>
            <w:tcW w:w="851" w:type="dxa"/>
            <w:tcBorders>
              <w:top w:val="nil"/>
              <w:left w:val="nil"/>
              <w:bottom w:val="nil"/>
              <w:right w:val="single" w:sz="8" w:space="0" w:color="auto"/>
            </w:tcBorders>
            <w:vAlign w:val="center"/>
            <w:hideMark/>
          </w:tcPr>
          <w:p w14:paraId="76148381" w14:textId="77777777" w:rsidR="00FA3E5E" w:rsidRPr="003D290C" w:rsidRDefault="00FA3E5E" w:rsidP="00FA3E5E">
            <w:pPr>
              <w:rPr>
                <w:rFonts w:ascii="Arial" w:hAnsi="Arial" w:cs="Arial"/>
                <w:b/>
                <w:bCs/>
                <w:color w:val="000000"/>
                <w:sz w:val="22"/>
                <w:szCs w:val="22"/>
              </w:rPr>
            </w:pPr>
          </w:p>
        </w:tc>
        <w:tc>
          <w:tcPr>
            <w:tcW w:w="1276" w:type="dxa"/>
            <w:tcBorders>
              <w:top w:val="single" w:sz="8" w:space="0" w:color="auto"/>
              <w:left w:val="nil"/>
              <w:bottom w:val="nil"/>
              <w:right w:val="single" w:sz="8" w:space="0" w:color="auto"/>
            </w:tcBorders>
            <w:vAlign w:val="center"/>
            <w:hideMark/>
          </w:tcPr>
          <w:p w14:paraId="0C05D597" w14:textId="7AB28316"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(30,21</w:t>
            </w:r>
            <w:r w:rsidR="000A24F9">
              <w:rPr>
                <w:rFonts w:ascii="Arial" w:hAnsi="Arial" w:cs="Arial"/>
                <w:b/>
                <w:bCs/>
                <w:color w:val="000000"/>
                <w:sz w:val="22"/>
                <w:szCs w:val="22"/>
              </w:rPr>
              <w:t>6</w:t>
            </w:r>
            <w:r>
              <w:rPr>
                <w:rFonts w:ascii="Arial" w:hAnsi="Arial" w:cs="Arial"/>
                <w:b/>
                <w:bCs/>
                <w:color w:val="000000"/>
                <w:sz w:val="22"/>
                <w:szCs w:val="22"/>
              </w:rPr>
              <w:t>)</w:t>
            </w:r>
          </w:p>
        </w:tc>
        <w:tc>
          <w:tcPr>
            <w:tcW w:w="1275" w:type="dxa"/>
            <w:tcBorders>
              <w:top w:val="single" w:sz="8" w:space="0" w:color="auto"/>
              <w:left w:val="nil"/>
              <w:bottom w:val="nil"/>
              <w:right w:val="single" w:sz="8" w:space="0" w:color="auto"/>
            </w:tcBorders>
            <w:vAlign w:val="center"/>
            <w:hideMark/>
          </w:tcPr>
          <w:p w14:paraId="56DFC0B8" w14:textId="2674FE1D"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(1,505)</w:t>
            </w:r>
          </w:p>
        </w:tc>
        <w:tc>
          <w:tcPr>
            <w:tcW w:w="1418" w:type="dxa"/>
            <w:tcBorders>
              <w:top w:val="single" w:sz="8" w:space="0" w:color="auto"/>
              <w:left w:val="nil"/>
              <w:bottom w:val="nil"/>
              <w:right w:val="single" w:sz="8" w:space="0" w:color="auto"/>
            </w:tcBorders>
            <w:vAlign w:val="center"/>
            <w:hideMark/>
          </w:tcPr>
          <w:p w14:paraId="60F13BE4" w14:textId="491E8FC4"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(24</w:t>
            </w:r>
            <w:r w:rsidR="00FD400D">
              <w:rPr>
                <w:rFonts w:ascii="Arial" w:hAnsi="Arial" w:cs="Arial"/>
                <w:b/>
                <w:bCs/>
                <w:color w:val="000000"/>
                <w:sz w:val="22"/>
                <w:szCs w:val="22"/>
              </w:rPr>
              <w:t>3</w:t>
            </w:r>
            <w:r>
              <w:rPr>
                <w:rFonts w:ascii="Arial" w:hAnsi="Arial" w:cs="Arial"/>
                <w:b/>
                <w:bCs/>
                <w:color w:val="000000"/>
                <w:sz w:val="22"/>
                <w:szCs w:val="22"/>
              </w:rPr>
              <w:t>)</w:t>
            </w:r>
          </w:p>
        </w:tc>
        <w:tc>
          <w:tcPr>
            <w:tcW w:w="1417" w:type="dxa"/>
            <w:tcBorders>
              <w:top w:val="single" w:sz="8" w:space="0" w:color="auto"/>
              <w:left w:val="nil"/>
              <w:bottom w:val="nil"/>
              <w:right w:val="single" w:sz="8" w:space="0" w:color="auto"/>
            </w:tcBorders>
            <w:shd w:val="clear" w:color="000000" w:fill="D9D9D9"/>
            <w:vAlign w:val="center"/>
            <w:hideMark/>
          </w:tcPr>
          <w:p w14:paraId="21938CFF" w14:textId="347E278C"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(31,96</w:t>
            </w:r>
            <w:r w:rsidR="00FD400D">
              <w:rPr>
                <w:rFonts w:ascii="Arial" w:hAnsi="Arial" w:cs="Arial"/>
                <w:b/>
                <w:bCs/>
                <w:color w:val="000000"/>
                <w:sz w:val="22"/>
                <w:szCs w:val="22"/>
              </w:rPr>
              <w:t>4</w:t>
            </w:r>
            <w:r>
              <w:rPr>
                <w:rFonts w:ascii="Arial" w:hAnsi="Arial" w:cs="Arial"/>
                <w:b/>
                <w:bCs/>
                <w:color w:val="000000"/>
                <w:sz w:val="22"/>
                <w:szCs w:val="22"/>
              </w:rPr>
              <w:t>)</w:t>
            </w:r>
          </w:p>
        </w:tc>
        <w:tc>
          <w:tcPr>
            <w:tcW w:w="1276" w:type="dxa"/>
            <w:tcBorders>
              <w:top w:val="single" w:sz="8" w:space="0" w:color="auto"/>
              <w:left w:val="nil"/>
              <w:bottom w:val="nil"/>
              <w:right w:val="single" w:sz="8" w:space="0" w:color="auto"/>
            </w:tcBorders>
            <w:shd w:val="clear" w:color="000000" w:fill="D9D9D9"/>
            <w:vAlign w:val="center"/>
            <w:hideMark/>
          </w:tcPr>
          <w:p w14:paraId="3494CD15" w14:textId="1C10907A"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2,709,224</w:t>
            </w:r>
          </w:p>
        </w:tc>
        <w:tc>
          <w:tcPr>
            <w:tcW w:w="1423" w:type="dxa"/>
            <w:tcBorders>
              <w:top w:val="single" w:sz="8" w:space="0" w:color="auto"/>
              <w:left w:val="nil"/>
              <w:bottom w:val="nil"/>
              <w:right w:val="single" w:sz="8" w:space="0" w:color="auto"/>
            </w:tcBorders>
            <w:shd w:val="clear" w:color="000000" w:fill="D9D9D9"/>
            <w:vAlign w:val="center"/>
            <w:hideMark/>
          </w:tcPr>
          <w:p w14:paraId="4B8C6C2E" w14:textId="66BFFB6D"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2,677,26</w:t>
            </w:r>
            <w:r w:rsidR="00FD400D">
              <w:rPr>
                <w:rFonts w:ascii="Arial" w:hAnsi="Arial" w:cs="Arial"/>
                <w:b/>
                <w:bCs/>
                <w:color w:val="000000"/>
                <w:sz w:val="22"/>
                <w:szCs w:val="22"/>
              </w:rPr>
              <w:t>0</w:t>
            </w:r>
          </w:p>
        </w:tc>
      </w:tr>
      <w:tr w:rsidR="00FA3E5E" w:rsidRPr="003D290C" w14:paraId="6541E740" w14:textId="77777777" w:rsidTr="00BA742D">
        <w:trPr>
          <w:trHeight w:val="153"/>
        </w:trPr>
        <w:tc>
          <w:tcPr>
            <w:tcW w:w="6227" w:type="dxa"/>
            <w:tcBorders>
              <w:top w:val="nil"/>
              <w:left w:val="single" w:sz="8" w:space="0" w:color="auto"/>
              <w:bottom w:val="nil"/>
              <w:right w:val="single" w:sz="8" w:space="0" w:color="auto"/>
            </w:tcBorders>
            <w:vAlign w:val="center"/>
            <w:hideMark/>
          </w:tcPr>
          <w:p w14:paraId="707BE505" w14:textId="7A1C2ABE" w:rsidR="00FA3E5E" w:rsidRPr="003D290C" w:rsidRDefault="00FA3E5E" w:rsidP="00FA3E5E">
            <w:pPr>
              <w:rPr>
                <w:rFonts w:ascii="Arial" w:hAnsi="Arial" w:cs="Arial"/>
                <w:b/>
                <w:bCs/>
                <w:color w:val="000000"/>
                <w:sz w:val="22"/>
                <w:szCs w:val="22"/>
              </w:rPr>
            </w:pPr>
            <w:r w:rsidRPr="003D290C">
              <w:rPr>
                <w:rFonts w:ascii="Arial" w:hAnsi="Arial" w:cs="Arial"/>
                <w:b/>
                <w:bCs/>
                <w:color w:val="000000"/>
                <w:sz w:val="22"/>
                <w:szCs w:val="22"/>
              </w:rPr>
              <w:t xml:space="preserve">Movement in reserves during </w:t>
            </w:r>
            <w:r>
              <w:rPr>
                <w:rFonts w:ascii="Arial" w:hAnsi="Arial" w:cs="Arial"/>
                <w:b/>
                <w:bCs/>
                <w:color w:val="000000"/>
                <w:sz w:val="22"/>
                <w:szCs w:val="22"/>
              </w:rPr>
              <w:t>2023/24</w:t>
            </w:r>
            <w:r w:rsidRPr="003D290C">
              <w:rPr>
                <w:rFonts w:ascii="Arial" w:hAnsi="Arial" w:cs="Arial"/>
                <w:b/>
                <w:bCs/>
                <w:color w:val="000000"/>
                <w:sz w:val="22"/>
                <w:szCs w:val="22"/>
              </w:rPr>
              <w:t>:</w:t>
            </w:r>
          </w:p>
        </w:tc>
        <w:tc>
          <w:tcPr>
            <w:tcW w:w="851" w:type="dxa"/>
            <w:tcBorders>
              <w:top w:val="nil"/>
              <w:left w:val="nil"/>
              <w:bottom w:val="nil"/>
              <w:right w:val="single" w:sz="8" w:space="0" w:color="auto"/>
            </w:tcBorders>
            <w:vAlign w:val="center"/>
            <w:hideMark/>
          </w:tcPr>
          <w:p w14:paraId="5C0DF4B0" w14:textId="77777777" w:rsidR="00FA3E5E" w:rsidRPr="003D290C" w:rsidRDefault="00FA3E5E" w:rsidP="00FA3E5E">
            <w:pPr>
              <w:rPr>
                <w:rFonts w:ascii="Arial" w:hAnsi="Arial" w:cs="Arial"/>
                <w:b/>
                <w:bCs/>
                <w:color w:val="000000"/>
                <w:sz w:val="22"/>
                <w:szCs w:val="22"/>
              </w:rPr>
            </w:pPr>
          </w:p>
        </w:tc>
        <w:tc>
          <w:tcPr>
            <w:tcW w:w="1276" w:type="dxa"/>
            <w:tcBorders>
              <w:top w:val="nil"/>
              <w:left w:val="nil"/>
              <w:bottom w:val="nil"/>
              <w:right w:val="single" w:sz="8" w:space="0" w:color="auto"/>
            </w:tcBorders>
            <w:vAlign w:val="center"/>
            <w:hideMark/>
          </w:tcPr>
          <w:p w14:paraId="1E70F827" w14:textId="38164EED" w:rsidR="00FA3E5E" w:rsidRPr="003D290C" w:rsidRDefault="00FA3E5E" w:rsidP="00FA3E5E">
            <w:pPr>
              <w:jc w:val="right"/>
            </w:pPr>
            <w:r>
              <w:rPr>
                <w:rFonts w:ascii="Arial" w:hAnsi="Arial" w:cs="Arial"/>
                <w:b/>
                <w:bCs/>
                <w:color w:val="000000"/>
                <w:sz w:val="22"/>
                <w:szCs w:val="22"/>
              </w:rPr>
              <w:t> </w:t>
            </w:r>
          </w:p>
        </w:tc>
        <w:tc>
          <w:tcPr>
            <w:tcW w:w="1275" w:type="dxa"/>
            <w:tcBorders>
              <w:top w:val="nil"/>
              <w:left w:val="nil"/>
              <w:bottom w:val="nil"/>
              <w:right w:val="single" w:sz="8" w:space="0" w:color="auto"/>
            </w:tcBorders>
            <w:vAlign w:val="center"/>
            <w:hideMark/>
          </w:tcPr>
          <w:p w14:paraId="6EECBF71" w14:textId="4ADEAEEB" w:rsidR="00FA3E5E" w:rsidRPr="003D290C" w:rsidRDefault="00FA3E5E" w:rsidP="00FA3E5E">
            <w:pPr>
              <w:jc w:val="right"/>
            </w:pPr>
            <w:r>
              <w:rPr>
                <w:rFonts w:ascii="Arial" w:hAnsi="Arial" w:cs="Arial"/>
                <w:b/>
                <w:bCs/>
                <w:color w:val="000000"/>
                <w:sz w:val="22"/>
                <w:szCs w:val="22"/>
              </w:rPr>
              <w:t> </w:t>
            </w:r>
          </w:p>
        </w:tc>
        <w:tc>
          <w:tcPr>
            <w:tcW w:w="1418" w:type="dxa"/>
            <w:tcBorders>
              <w:top w:val="nil"/>
              <w:left w:val="nil"/>
              <w:bottom w:val="nil"/>
              <w:right w:val="single" w:sz="8" w:space="0" w:color="auto"/>
            </w:tcBorders>
            <w:vAlign w:val="center"/>
            <w:hideMark/>
          </w:tcPr>
          <w:p w14:paraId="0B7932A3" w14:textId="5BE93886" w:rsidR="00FA3E5E" w:rsidRPr="003D290C" w:rsidRDefault="00FA3E5E" w:rsidP="00FA3E5E">
            <w:pPr>
              <w:jc w:val="right"/>
            </w:pPr>
            <w:r>
              <w:rPr>
                <w:rFonts w:ascii="Arial" w:hAnsi="Arial" w:cs="Arial"/>
                <w:b/>
                <w:bCs/>
                <w:color w:val="000000"/>
                <w:sz w:val="22"/>
                <w:szCs w:val="22"/>
              </w:rPr>
              <w:t> </w:t>
            </w:r>
          </w:p>
        </w:tc>
        <w:tc>
          <w:tcPr>
            <w:tcW w:w="1417" w:type="dxa"/>
            <w:tcBorders>
              <w:top w:val="nil"/>
              <w:left w:val="nil"/>
              <w:bottom w:val="nil"/>
              <w:right w:val="single" w:sz="8" w:space="0" w:color="auto"/>
            </w:tcBorders>
            <w:shd w:val="clear" w:color="000000" w:fill="D9D9D9"/>
            <w:vAlign w:val="center"/>
            <w:hideMark/>
          </w:tcPr>
          <w:p w14:paraId="43984FF0" w14:textId="1D2A4DA4" w:rsidR="00FA3E5E" w:rsidRPr="003D290C" w:rsidRDefault="00FA3E5E" w:rsidP="00FA3E5E">
            <w:pPr>
              <w:jc w:val="right"/>
            </w:pPr>
            <w:r>
              <w:rPr>
                <w:rFonts w:ascii="Arial" w:hAnsi="Arial" w:cs="Arial"/>
                <w:b/>
                <w:bCs/>
                <w:color w:val="000000"/>
                <w:sz w:val="22"/>
                <w:szCs w:val="22"/>
              </w:rPr>
              <w:t> </w:t>
            </w:r>
          </w:p>
        </w:tc>
        <w:tc>
          <w:tcPr>
            <w:tcW w:w="1276" w:type="dxa"/>
            <w:tcBorders>
              <w:top w:val="nil"/>
              <w:left w:val="nil"/>
              <w:bottom w:val="nil"/>
              <w:right w:val="single" w:sz="8" w:space="0" w:color="auto"/>
            </w:tcBorders>
            <w:shd w:val="clear" w:color="000000" w:fill="D9D9D9"/>
            <w:vAlign w:val="center"/>
            <w:hideMark/>
          </w:tcPr>
          <w:p w14:paraId="453F70EB" w14:textId="7AF141B3" w:rsidR="00FA3E5E" w:rsidRPr="003D290C" w:rsidRDefault="00FA3E5E" w:rsidP="00FA3E5E">
            <w:pPr>
              <w:jc w:val="right"/>
            </w:pPr>
            <w:r>
              <w:rPr>
                <w:rFonts w:ascii="Arial" w:hAnsi="Arial" w:cs="Arial"/>
                <w:b/>
                <w:bCs/>
                <w:color w:val="000000"/>
                <w:sz w:val="22"/>
                <w:szCs w:val="22"/>
              </w:rPr>
              <w:t> </w:t>
            </w:r>
          </w:p>
        </w:tc>
        <w:tc>
          <w:tcPr>
            <w:tcW w:w="1423" w:type="dxa"/>
            <w:tcBorders>
              <w:top w:val="nil"/>
              <w:left w:val="nil"/>
              <w:bottom w:val="nil"/>
              <w:right w:val="single" w:sz="8" w:space="0" w:color="auto"/>
            </w:tcBorders>
            <w:shd w:val="clear" w:color="000000" w:fill="D9D9D9"/>
            <w:vAlign w:val="center"/>
            <w:hideMark/>
          </w:tcPr>
          <w:p w14:paraId="2DDBD332" w14:textId="147267EA" w:rsidR="00FA3E5E" w:rsidRPr="003D290C" w:rsidRDefault="00FA3E5E" w:rsidP="00FA3E5E">
            <w:pPr>
              <w:jc w:val="right"/>
            </w:pPr>
            <w:r>
              <w:rPr>
                <w:rFonts w:ascii="Arial" w:hAnsi="Arial" w:cs="Arial"/>
                <w:b/>
                <w:bCs/>
                <w:color w:val="000000"/>
                <w:sz w:val="22"/>
                <w:szCs w:val="22"/>
              </w:rPr>
              <w:t> </w:t>
            </w:r>
          </w:p>
        </w:tc>
      </w:tr>
      <w:tr w:rsidR="00FA3E5E" w:rsidRPr="003D290C" w14:paraId="565F3D75" w14:textId="77777777" w:rsidTr="00BA742D">
        <w:trPr>
          <w:trHeight w:val="153"/>
        </w:trPr>
        <w:tc>
          <w:tcPr>
            <w:tcW w:w="6227" w:type="dxa"/>
            <w:tcBorders>
              <w:top w:val="nil"/>
              <w:left w:val="single" w:sz="8" w:space="0" w:color="auto"/>
              <w:bottom w:val="nil"/>
              <w:right w:val="single" w:sz="8" w:space="0" w:color="auto"/>
            </w:tcBorders>
            <w:vAlign w:val="center"/>
            <w:hideMark/>
          </w:tcPr>
          <w:p w14:paraId="2C516408" w14:textId="15CB0BC1" w:rsidR="00FA3E5E" w:rsidRPr="003D290C" w:rsidRDefault="00FA3E5E" w:rsidP="00FA3E5E">
            <w:pPr>
              <w:rPr>
                <w:rFonts w:ascii="Arial" w:hAnsi="Arial" w:cs="Arial"/>
                <w:color w:val="000000"/>
                <w:sz w:val="22"/>
                <w:szCs w:val="22"/>
              </w:rPr>
            </w:pPr>
            <w:r w:rsidRPr="003D290C">
              <w:rPr>
                <w:rFonts w:ascii="Arial" w:hAnsi="Arial" w:cs="Arial"/>
                <w:color w:val="000000"/>
                <w:sz w:val="22"/>
                <w:szCs w:val="22"/>
              </w:rPr>
              <w:t xml:space="preserve">Total Comprehensive </w:t>
            </w:r>
            <w:r>
              <w:rPr>
                <w:rFonts w:ascii="Arial" w:hAnsi="Arial" w:cs="Arial"/>
                <w:color w:val="000000"/>
                <w:sz w:val="22"/>
                <w:szCs w:val="22"/>
              </w:rPr>
              <w:t>(</w:t>
            </w:r>
            <w:r w:rsidRPr="003D290C">
              <w:rPr>
                <w:rFonts w:ascii="Arial" w:hAnsi="Arial" w:cs="Arial"/>
                <w:color w:val="000000"/>
                <w:sz w:val="22"/>
                <w:szCs w:val="22"/>
              </w:rPr>
              <w:t>Income</w:t>
            </w:r>
            <w:r>
              <w:rPr>
                <w:rFonts w:ascii="Arial" w:hAnsi="Arial" w:cs="Arial"/>
                <w:color w:val="000000"/>
                <w:sz w:val="22"/>
                <w:szCs w:val="22"/>
              </w:rPr>
              <w:t>)</w:t>
            </w:r>
            <w:r w:rsidRPr="003D290C">
              <w:rPr>
                <w:rFonts w:ascii="Arial" w:hAnsi="Arial" w:cs="Arial"/>
                <w:color w:val="000000"/>
                <w:sz w:val="22"/>
                <w:szCs w:val="22"/>
              </w:rPr>
              <w:t xml:space="preserve"> &amp; Expenditure </w:t>
            </w:r>
            <w:r>
              <w:rPr>
                <w:rFonts w:ascii="Arial" w:hAnsi="Arial" w:cs="Arial"/>
                <w:color w:val="000000"/>
                <w:sz w:val="22"/>
                <w:szCs w:val="22"/>
              </w:rPr>
              <w:t>(restated)</w:t>
            </w:r>
          </w:p>
        </w:tc>
        <w:tc>
          <w:tcPr>
            <w:tcW w:w="851" w:type="dxa"/>
            <w:tcBorders>
              <w:top w:val="nil"/>
              <w:left w:val="nil"/>
              <w:bottom w:val="nil"/>
              <w:right w:val="single" w:sz="8" w:space="0" w:color="auto"/>
            </w:tcBorders>
            <w:vAlign w:val="center"/>
            <w:hideMark/>
          </w:tcPr>
          <w:p w14:paraId="49776252" w14:textId="77777777" w:rsidR="00FA3E5E" w:rsidRPr="003D290C" w:rsidRDefault="00FA3E5E" w:rsidP="00FA3E5E">
            <w:pPr>
              <w:rPr>
                <w:rFonts w:ascii="Arial" w:hAnsi="Arial" w:cs="Arial"/>
                <w:color w:val="000000"/>
                <w:sz w:val="22"/>
                <w:szCs w:val="22"/>
              </w:rPr>
            </w:pPr>
          </w:p>
        </w:tc>
        <w:tc>
          <w:tcPr>
            <w:tcW w:w="1276" w:type="dxa"/>
            <w:tcBorders>
              <w:top w:val="nil"/>
              <w:left w:val="nil"/>
              <w:bottom w:val="nil"/>
              <w:right w:val="single" w:sz="8" w:space="0" w:color="auto"/>
            </w:tcBorders>
            <w:vAlign w:val="center"/>
            <w:hideMark/>
          </w:tcPr>
          <w:p w14:paraId="0403AE59" w14:textId="73075055"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77,521</w:t>
            </w:r>
          </w:p>
        </w:tc>
        <w:tc>
          <w:tcPr>
            <w:tcW w:w="1275" w:type="dxa"/>
            <w:tcBorders>
              <w:top w:val="nil"/>
              <w:left w:val="nil"/>
              <w:bottom w:val="nil"/>
              <w:right w:val="single" w:sz="8" w:space="0" w:color="auto"/>
            </w:tcBorders>
            <w:vAlign w:val="center"/>
            <w:hideMark/>
          </w:tcPr>
          <w:p w14:paraId="1C44358C" w14:textId="2A0C49FC"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418" w:type="dxa"/>
            <w:tcBorders>
              <w:top w:val="nil"/>
              <w:left w:val="nil"/>
              <w:bottom w:val="nil"/>
              <w:right w:val="single" w:sz="8" w:space="0" w:color="auto"/>
            </w:tcBorders>
            <w:vAlign w:val="center"/>
            <w:hideMark/>
          </w:tcPr>
          <w:p w14:paraId="7FC6EB96" w14:textId="0920E6A1"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417" w:type="dxa"/>
            <w:tcBorders>
              <w:top w:val="nil"/>
              <w:left w:val="nil"/>
              <w:bottom w:val="nil"/>
              <w:right w:val="single" w:sz="8" w:space="0" w:color="auto"/>
            </w:tcBorders>
            <w:shd w:val="clear" w:color="000000" w:fill="D9D9D9"/>
            <w:vAlign w:val="center"/>
            <w:hideMark/>
          </w:tcPr>
          <w:p w14:paraId="0D48CE62" w14:textId="7BDDA58A"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77,521</w:t>
            </w:r>
          </w:p>
        </w:tc>
        <w:tc>
          <w:tcPr>
            <w:tcW w:w="1276" w:type="dxa"/>
            <w:tcBorders>
              <w:top w:val="nil"/>
              <w:left w:val="nil"/>
              <w:bottom w:val="nil"/>
              <w:right w:val="single" w:sz="8" w:space="0" w:color="auto"/>
            </w:tcBorders>
            <w:shd w:val="clear" w:color="000000" w:fill="D9D9D9"/>
            <w:vAlign w:val="center"/>
            <w:hideMark/>
          </w:tcPr>
          <w:p w14:paraId="3D2246DD" w14:textId="745ABF7D"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(81,122)</w:t>
            </w:r>
          </w:p>
        </w:tc>
        <w:tc>
          <w:tcPr>
            <w:tcW w:w="1423" w:type="dxa"/>
            <w:tcBorders>
              <w:top w:val="nil"/>
              <w:left w:val="nil"/>
              <w:bottom w:val="nil"/>
              <w:right w:val="single" w:sz="8" w:space="0" w:color="auto"/>
            </w:tcBorders>
            <w:shd w:val="clear" w:color="000000" w:fill="D9D9D9"/>
            <w:vAlign w:val="center"/>
            <w:hideMark/>
          </w:tcPr>
          <w:p w14:paraId="67056E24" w14:textId="033DD1F4"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(3,600)</w:t>
            </w:r>
          </w:p>
        </w:tc>
      </w:tr>
      <w:tr w:rsidR="00FA3E5E" w:rsidRPr="003D290C" w14:paraId="3D9F9324" w14:textId="77777777" w:rsidTr="00BA742D">
        <w:trPr>
          <w:trHeight w:val="153"/>
        </w:trPr>
        <w:tc>
          <w:tcPr>
            <w:tcW w:w="6227" w:type="dxa"/>
            <w:tcBorders>
              <w:top w:val="nil"/>
              <w:left w:val="single" w:sz="8" w:space="0" w:color="auto"/>
              <w:bottom w:val="nil"/>
              <w:right w:val="single" w:sz="8" w:space="0" w:color="auto"/>
            </w:tcBorders>
            <w:vAlign w:val="center"/>
          </w:tcPr>
          <w:p w14:paraId="1F21AC13" w14:textId="4A63AD63" w:rsidR="00FA3E5E" w:rsidRPr="003D290C" w:rsidRDefault="00FA3E5E" w:rsidP="00FA3E5E">
            <w:pPr>
              <w:rPr>
                <w:rFonts w:ascii="Arial" w:hAnsi="Arial" w:cs="Arial"/>
                <w:color w:val="000000"/>
                <w:sz w:val="22"/>
                <w:szCs w:val="22"/>
              </w:rPr>
            </w:pPr>
            <w:r w:rsidRPr="005955F2">
              <w:rPr>
                <w:rFonts w:ascii="Arial" w:hAnsi="Arial" w:cs="Arial"/>
                <w:color w:val="000000"/>
                <w:sz w:val="22"/>
                <w:szCs w:val="22"/>
              </w:rPr>
              <w:t xml:space="preserve">Adjustment to Pension Reserve as detailed in Note </w:t>
            </w:r>
            <w:r>
              <w:rPr>
                <w:rFonts w:ascii="Arial" w:hAnsi="Arial" w:cs="Arial"/>
                <w:color w:val="000000"/>
                <w:sz w:val="22"/>
                <w:szCs w:val="22"/>
              </w:rPr>
              <w:t>10</w:t>
            </w:r>
          </w:p>
        </w:tc>
        <w:tc>
          <w:tcPr>
            <w:tcW w:w="851" w:type="dxa"/>
            <w:tcBorders>
              <w:top w:val="nil"/>
              <w:left w:val="nil"/>
              <w:bottom w:val="nil"/>
              <w:right w:val="single" w:sz="8" w:space="0" w:color="auto"/>
            </w:tcBorders>
            <w:vAlign w:val="center"/>
          </w:tcPr>
          <w:p w14:paraId="69D31FFA" w14:textId="77777777" w:rsidR="00FA3E5E" w:rsidRPr="003D290C" w:rsidRDefault="00FA3E5E" w:rsidP="00FA3E5E">
            <w:pPr>
              <w:rPr>
                <w:rFonts w:ascii="Arial" w:hAnsi="Arial" w:cs="Arial"/>
                <w:color w:val="000000"/>
                <w:sz w:val="22"/>
                <w:szCs w:val="22"/>
              </w:rPr>
            </w:pPr>
          </w:p>
        </w:tc>
        <w:tc>
          <w:tcPr>
            <w:tcW w:w="1276" w:type="dxa"/>
            <w:tcBorders>
              <w:top w:val="nil"/>
              <w:left w:val="nil"/>
              <w:bottom w:val="nil"/>
              <w:right w:val="single" w:sz="8" w:space="0" w:color="auto"/>
            </w:tcBorders>
            <w:vAlign w:val="center"/>
          </w:tcPr>
          <w:p w14:paraId="637EBA2C" w14:textId="75AC2ECA" w:rsidR="00FA3E5E"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275" w:type="dxa"/>
            <w:tcBorders>
              <w:top w:val="nil"/>
              <w:left w:val="nil"/>
              <w:bottom w:val="nil"/>
              <w:right w:val="single" w:sz="8" w:space="0" w:color="auto"/>
            </w:tcBorders>
            <w:vAlign w:val="center"/>
          </w:tcPr>
          <w:p w14:paraId="0FB90999" w14:textId="698C0194"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418" w:type="dxa"/>
            <w:tcBorders>
              <w:top w:val="nil"/>
              <w:left w:val="nil"/>
              <w:bottom w:val="nil"/>
              <w:right w:val="single" w:sz="8" w:space="0" w:color="auto"/>
            </w:tcBorders>
            <w:vAlign w:val="center"/>
          </w:tcPr>
          <w:p w14:paraId="48B1DD5E" w14:textId="3B2587D2"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417" w:type="dxa"/>
            <w:tcBorders>
              <w:top w:val="nil"/>
              <w:left w:val="nil"/>
              <w:bottom w:val="nil"/>
              <w:right w:val="single" w:sz="8" w:space="0" w:color="auto"/>
            </w:tcBorders>
            <w:shd w:val="clear" w:color="000000" w:fill="D9D9D9"/>
            <w:vAlign w:val="center"/>
          </w:tcPr>
          <w:p w14:paraId="6A862E1F" w14:textId="29D86333" w:rsidR="00FA3E5E"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276" w:type="dxa"/>
            <w:tcBorders>
              <w:top w:val="nil"/>
              <w:left w:val="nil"/>
              <w:bottom w:val="nil"/>
              <w:right w:val="single" w:sz="8" w:space="0" w:color="auto"/>
            </w:tcBorders>
            <w:shd w:val="clear" w:color="000000" w:fill="D9D9D9"/>
            <w:vAlign w:val="center"/>
          </w:tcPr>
          <w:p w14:paraId="38A44656" w14:textId="725D89ED" w:rsidR="00FA3E5E" w:rsidRDefault="00FA3E5E" w:rsidP="00FA3E5E">
            <w:pPr>
              <w:jc w:val="right"/>
              <w:rPr>
                <w:rFonts w:ascii="Arial" w:hAnsi="Arial" w:cs="Arial"/>
                <w:b/>
                <w:bCs/>
                <w:color w:val="000000"/>
                <w:sz w:val="22"/>
                <w:szCs w:val="22"/>
              </w:rPr>
            </w:pPr>
            <w:r>
              <w:rPr>
                <w:rFonts w:ascii="Arial" w:hAnsi="Arial" w:cs="Arial"/>
                <w:b/>
                <w:bCs/>
                <w:color w:val="000000"/>
                <w:sz w:val="22"/>
                <w:szCs w:val="22"/>
              </w:rPr>
              <w:t>308</w:t>
            </w:r>
          </w:p>
        </w:tc>
        <w:tc>
          <w:tcPr>
            <w:tcW w:w="1423" w:type="dxa"/>
            <w:tcBorders>
              <w:top w:val="nil"/>
              <w:left w:val="nil"/>
              <w:bottom w:val="nil"/>
              <w:right w:val="single" w:sz="8" w:space="0" w:color="auto"/>
            </w:tcBorders>
            <w:shd w:val="clear" w:color="000000" w:fill="D9D9D9"/>
            <w:vAlign w:val="center"/>
          </w:tcPr>
          <w:p w14:paraId="112B1A60" w14:textId="3CFA8258" w:rsidR="00FA3E5E" w:rsidRDefault="00FA3E5E" w:rsidP="00FA3E5E">
            <w:pPr>
              <w:jc w:val="right"/>
              <w:rPr>
                <w:rFonts w:ascii="Arial" w:hAnsi="Arial" w:cs="Arial"/>
                <w:b/>
                <w:bCs/>
                <w:color w:val="000000"/>
                <w:sz w:val="22"/>
                <w:szCs w:val="22"/>
              </w:rPr>
            </w:pPr>
            <w:r>
              <w:rPr>
                <w:rFonts w:ascii="Arial" w:hAnsi="Arial" w:cs="Arial"/>
                <w:b/>
                <w:bCs/>
                <w:color w:val="000000"/>
                <w:sz w:val="22"/>
                <w:szCs w:val="22"/>
              </w:rPr>
              <w:t>308</w:t>
            </w:r>
          </w:p>
        </w:tc>
      </w:tr>
      <w:tr w:rsidR="00FA3E5E" w:rsidRPr="003D290C" w14:paraId="1F11DC46" w14:textId="77777777" w:rsidTr="00BA742D">
        <w:trPr>
          <w:trHeight w:val="153"/>
        </w:trPr>
        <w:tc>
          <w:tcPr>
            <w:tcW w:w="6227" w:type="dxa"/>
            <w:tcBorders>
              <w:top w:val="nil"/>
              <w:left w:val="single" w:sz="8" w:space="0" w:color="auto"/>
              <w:bottom w:val="nil"/>
              <w:right w:val="single" w:sz="8" w:space="0" w:color="auto"/>
            </w:tcBorders>
            <w:vAlign w:val="center"/>
            <w:hideMark/>
          </w:tcPr>
          <w:p w14:paraId="1EC59E4D" w14:textId="31AFE51A" w:rsidR="00FA3E5E" w:rsidRPr="003D290C" w:rsidRDefault="00FA3E5E" w:rsidP="00FA3E5E">
            <w:pPr>
              <w:rPr>
                <w:rFonts w:ascii="Arial" w:hAnsi="Arial" w:cs="Arial"/>
                <w:color w:val="000000"/>
                <w:sz w:val="22"/>
                <w:szCs w:val="22"/>
              </w:rPr>
            </w:pPr>
            <w:proofErr w:type="spellStart"/>
            <w:r w:rsidRPr="003D290C">
              <w:rPr>
                <w:rFonts w:ascii="Arial" w:hAnsi="Arial" w:cs="Arial"/>
                <w:color w:val="000000"/>
                <w:sz w:val="22"/>
                <w:szCs w:val="22"/>
              </w:rPr>
              <w:t>Adjs</w:t>
            </w:r>
            <w:proofErr w:type="spellEnd"/>
            <w:r w:rsidRPr="003D290C">
              <w:rPr>
                <w:rFonts w:ascii="Arial" w:hAnsi="Arial" w:cs="Arial"/>
                <w:color w:val="000000"/>
                <w:sz w:val="22"/>
                <w:szCs w:val="22"/>
              </w:rPr>
              <w:t xml:space="preserve"> between accounting basis &amp; funding basis under regulations</w:t>
            </w:r>
            <w:r>
              <w:rPr>
                <w:rFonts w:ascii="Arial" w:hAnsi="Arial" w:cs="Arial"/>
                <w:color w:val="000000"/>
                <w:sz w:val="22"/>
                <w:szCs w:val="22"/>
              </w:rPr>
              <w:t xml:space="preserve"> (restated)</w:t>
            </w:r>
          </w:p>
        </w:tc>
        <w:tc>
          <w:tcPr>
            <w:tcW w:w="851" w:type="dxa"/>
            <w:tcBorders>
              <w:top w:val="nil"/>
              <w:left w:val="nil"/>
              <w:bottom w:val="nil"/>
              <w:right w:val="single" w:sz="8" w:space="0" w:color="auto"/>
            </w:tcBorders>
            <w:vAlign w:val="center"/>
            <w:hideMark/>
          </w:tcPr>
          <w:p w14:paraId="1E56BFEC" w14:textId="77777777" w:rsidR="00FA3E5E" w:rsidRPr="003D290C" w:rsidRDefault="00FA3E5E" w:rsidP="00FA3E5E">
            <w:pPr>
              <w:jc w:val="right"/>
              <w:rPr>
                <w:rFonts w:ascii="Arial" w:hAnsi="Arial" w:cs="Arial"/>
                <w:color w:val="000000"/>
                <w:sz w:val="22"/>
                <w:szCs w:val="22"/>
              </w:rPr>
            </w:pPr>
            <w:r w:rsidRPr="003D290C">
              <w:rPr>
                <w:rFonts w:ascii="Arial" w:hAnsi="Arial" w:cs="Arial"/>
                <w:color w:val="000000"/>
                <w:sz w:val="22"/>
                <w:szCs w:val="22"/>
              </w:rPr>
              <w:t>8</w:t>
            </w:r>
          </w:p>
        </w:tc>
        <w:tc>
          <w:tcPr>
            <w:tcW w:w="1276" w:type="dxa"/>
            <w:tcBorders>
              <w:top w:val="nil"/>
              <w:left w:val="nil"/>
              <w:bottom w:val="nil"/>
              <w:right w:val="single" w:sz="8" w:space="0" w:color="auto"/>
            </w:tcBorders>
            <w:vAlign w:val="center"/>
            <w:hideMark/>
          </w:tcPr>
          <w:p w14:paraId="010D934F" w14:textId="2233C747"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(76,749)</w:t>
            </w:r>
          </w:p>
        </w:tc>
        <w:tc>
          <w:tcPr>
            <w:tcW w:w="1275" w:type="dxa"/>
            <w:tcBorders>
              <w:top w:val="nil"/>
              <w:left w:val="nil"/>
              <w:bottom w:val="nil"/>
              <w:right w:val="single" w:sz="8" w:space="0" w:color="auto"/>
            </w:tcBorders>
            <w:vAlign w:val="center"/>
            <w:hideMark/>
          </w:tcPr>
          <w:p w14:paraId="00D8F79F" w14:textId="79FF20DA"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418" w:type="dxa"/>
            <w:tcBorders>
              <w:top w:val="nil"/>
              <w:left w:val="nil"/>
              <w:bottom w:val="nil"/>
              <w:right w:val="single" w:sz="8" w:space="0" w:color="auto"/>
            </w:tcBorders>
            <w:vAlign w:val="center"/>
            <w:hideMark/>
          </w:tcPr>
          <w:p w14:paraId="1EA051E7" w14:textId="451F6426"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(93)</w:t>
            </w:r>
          </w:p>
        </w:tc>
        <w:tc>
          <w:tcPr>
            <w:tcW w:w="1417" w:type="dxa"/>
            <w:tcBorders>
              <w:top w:val="nil"/>
              <w:left w:val="nil"/>
              <w:bottom w:val="nil"/>
              <w:right w:val="single" w:sz="8" w:space="0" w:color="auto"/>
            </w:tcBorders>
            <w:shd w:val="clear" w:color="000000" w:fill="D9D9D9"/>
            <w:vAlign w:val="center"/>
            <w:hideMark/>
          </w:tcPr>
          <w:p w14:paraId="0772C04E" w14:textId="3EA1BE43"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(76,842)</w:t>
            </w:r>
          </w:p>
        </w:tc>
        <w:tc>
          <w:tcPr>
            <w:tcW w:w="1276" w:type="dxa"/>
            <w:tcBorders>
              <w:top w:val="nil"/>
              <w:left w:val="nil"/>
              <w:bottom w:val="nil"/>
              <w:right w:val="single" w:sz="8" w:space="0" w:color="auto"/>
            </w:tcBorders>
            <w:shd w:val="clear" w:color="000000" w:fill="D9D9D9"/>
            <w:vAlign w:val="center"/>
            <w:hideMark/>
          </w:tcPr>
          <w:p w14:paraId="58483010" w14:textId="306C994A"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76,842</w:t>
            </w:r>
          </w:p>
        </w:tc>
        <w:tc>
          <w:tcPr>
            <w:tcW w:w="1423" w:type="dxa"/>
            <w:tcBorders>
              <w:top w:val="nil"/>
              <w:left w:val="nil"/>
              <w:bottom w:val="nil"/>
              <w:right w:val="single" w:sz="8" w:space="0" w:color="auto"/>
            </w:tcBorders>
            <w:shd w:val="clear" w:color="000000" w:fill="D9D9D9"/>
            <w:vAlign w:val="center"/>
            <w:hideMark/>
          </w:tcPr>
          <w:p w14:paraId="6468AF16" w14:textId="58358D14"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r>
      <w:tr w:rsidR="00FA3E5E" w:rsidRPr="003D290C" w14:paraId="1E87D98D" w14:textId="77777777" w:rsidTr="00BA742D">
        <w:trPr>
          <w:trHeight w:val="153"/>
        </w:trPr>
        <w:tc>
          <w:tcPr>
            <w:tcW w:w="6227" w:type="dxa"/>
            <w:tcBorders>
              <w:top w:val="single" w:sz="8" w:space="0" w:color="auto"/>
              <w:left w:val="single" w:sz="8" w:space="0" w:color="auto"/>
              <w:bottom w:val="single" w:sz="8" w:space="0" w:color="auto"/>
              <w:right w:val="single" w:sz="8" w:space="0" w:color="auto"/>
            </w:tcBorders>
            <w:vAlign w:val="center"/>
            <w:hideMark/>
          </w:tcPr>
          <w:p w14:paraId="0B3C37E2" w14:textId="231BA7BB" w:rsidR="00FA3E5E" w:rsidRPr="003D290C" w:rsidRDefault="00FA3E5E" w:rsidP="00FA3E5E">
            <w:pPr>
              <w:rPr>
                <w:rFonts w:ascii="Arial" w:hAnsi="Arial" w:cs="Arial"/>
                <w:b/>
                <w:bCs/>
                <w:color w:val="000000"/>
                <w:sz w:val="22"/>
                <w:szCs w:val="22"/>
              </w:rPr>
            </w:pPr>
            <w:r w:rsidRPr="003D290C">
              <w:rPr>
                <w:rFonts w:ascii="Arial" w:hAnsi="Arial" w:cs="Arial"/>
                <w:b/>
                <w:bCs/>
                <w:color w:val="000000"/>
                <w:sz w:val="22"/>
                <w:szCs w:val="22"/>
              </w:rPr>
              <w:t xml:space="preserve">Net </w:t>
            </w:r>
            <w:r>
              <w:rPr>
                <w:rFonts w:ascii="Arial" w:hAnsi="Arial" w:cs="Arial"/>
                <w:b/>
                <w:bCs/>
                <w:color w:val="000000"/>
                <w:sz w:val="22"/>
                <w:szCs w:val="22"/>
              </w:rPr>
              <w:t>(</w:t>
            </w:r>
            <w:r w:rsidRPr="003D290C">
              <w:rPr>
                <w:rFonts w:ascii="Arial" w:hAnsi="Arial" w:cs="Arial"/>
                <w:b/>
                <w:bCs/>
                <w:color w:val="000000"/>
                <w:sz w:val="22"/>
                <w:szCs w:val="22"/>
              </w:rPr>
              <w:t>Increase</w:t>
            </w:r>
            <w:r>
              <w:rPr>
                <w:rFonts w:ascii="Arial" w:hAnsi="Arial" w:cs="Arial"/>
                <w:b/>
                <w:bCs/>
                <w:color w:val="000000"/>
                <w:sz w:val="22"/>
                <w:szCs w:val="22"/>
              </w:rPr>
              <w:t>)</w:t>
            </w:r>
            <w:r w:rsidRPr="003D290C">
              <w:rPr>
                <w:rFonts w:ascii="Arial" w:hAnsi="Arial" w:cs="Arial"/>
                <w:b/>
                <w:bCs/>
                <w:color w:val="000000"/>
                <w:sz w:val="22"/>
                <w:szCs w:val="22"/>
              </w:rPr>
              <w:t xml:space="preserve">/Decrease in </w:t>
            </w:r>
            <w:r>
              <w:rPr>
                <w:rFonts w:ascii="Arial" w:hAnsi="Arial" w:cs="Arial"/>
                <w:b/>
                <w:bCs/>
                <w:color w:val="000000"/>
                <w:sz w:val="22"/>
                <w:szCs w:val="22"/>
              </w:rPr>
              <w:t>2023/24</w:t>
            </w:r>
          </w:p>
        </w:tc>
        <w:tc>
          <w:tcPr>
            <w:tcW w:w="851" w:type="dxa"/>
            <w:tcBorders>
              <w:top w:val="single" w:sz="8" w:space="0" w:color="auto"/>
              <w:left w:val="single" w:sz="8" w:space="0" w:color="auto"/>
              <w:bottom w:val="single" w:sz="8" w:space="0" w:color="auto"/>
              <w:right w:val="single" w:sz="8" w:space="0" w:color="auto"/>
            </w:tcBorders>
            <w:vAlign w:val="center"/>
            <w:hideMark/>
          </w:tcPr>
          <w:p w14:paraId="20389366" w14:textId="77777777" w:rsidR="00FA3E5E" w:rsidRPr="003D290C" w:rsidRDefault="00FA3E5E" w:rsidP="00FA3E5E">
            <w:pPr>
              <w:rPr>
                <w:rFonts w:ascii="Arial" w:hAnsi="Arial" w:cs="Arial"/>
                <w:b/>
                <w:bCs/>
                <w:color w:val="000000"/>
                <w:sz w:val="22"/>
                <w:szCs w:val="22"/>
              </w:rPr>
            </w:pPr>
          </w:p>
        </w:tc>
        <w:tc>
          <w:tcPr>
            <w:tcW w:w="1276" w:type="dxa"/>
            <w:tcBorders>
              <w:top w:val="single" w:sz="8" w:space="0" w:color="auto"/>
              <w:left w:val="single" w:sz="8" w:space="0" w:color="auto"/>
              <w:bottom w:val="single" w:sz="8" w:space="0" w:color="auto"/>
              <w:right w:val="single" w:sz="8" w:space="0" w:color="auto"/>
            </w:tcBorders>
            <w:vAlign w:val="center"/>
            <w:hideMark/>
          </w:tcPr>
          <w:p w14:paraId="357B6FAB" w14:textId="49C2B53F"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772</w:t>
            </w:r>
          </w:p>
        </w:tc>
        <w:tc>
          <w:tcPr>
            <w:tcW w:w="1275" w:type="dxa"/>
            <w:tcBorders>
              <w:top w:val="single" w:sz="8" w:space="0" w:color="auto"/>
              <w:left w:val="nil"/>
              <w:bottom w:val="single" w:sz="8" w:space="0" w:color="auto"/>
              <w:right w:val="single" w:sz="8" w:space="0" w:color="auto"/>
            </w:tcBorders>
            <w:vAlign w:val="center"/>
            <w:hideMark/>
          </w:tcPr>
          <w:p w14:paraId="5B77D520" w14:textId="74D5DAB7"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418" w:type="dxa"/>
            <w:tcBorders>
              <w:top w:val="single" w:sz="8" w:space="0" w:color="auto"/>
              <w:left w:val="nil"/>
              <w:bottom w:val="single" w:sz="8" w:space="0" w:color="auto"/>
              <w:right w:val="single" w:sz="8" w:space="0" w:color="auto"/>
            </w:tcBorders>
            <w:vAlign w:val="center"/>
            <w:hideMark/>
          </w:tcPr>
          <w:p w14:paraId="1F381CF2" w14:textId="3AEF65CF"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(93)</w:t>
            </w:r>
          </w:p>
        </w:tc>
        <w:tc>
          <w:tcPr>
            <w:tcW w:w="1417" w:type="dxa"/>
            <w:tcBorders>
              <w:top w:val="single" w:sz="8" w:space="0" w:color="auto"/>
              <w:left w:val="nil"/>
              <w:bottom w:val="single" w:sz="8" w:space="0" w:color="auto"/>
              <w:right w:val="single" w:sz="8" w:space="0" w:color="auto"/>
            </w:tcBorders>
            <w:shd w:val="clear" w:color="000000" w:fill="D9D9D9"/>
            <w:vAlign w:val="center"/>
            <w:hideMark/>
          </w:tcPr>
          <w:p w14:paraId="46BB2E1B" w14:textId="5C043CC7"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679</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15E49282" w14:textId="7409D2E4"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(3,971)</w:t>
            </w:r>
          </w:p>
        </w:tc>
        <w:tc>
          <w:tcPr>
            <w:tcW w:w="1423" w:type="dxa"/>
            <w:tcBorders>
              <w:top w:val="single" w:sz="8" w:space="0" w:color="auto"/>
              <w:left w:val="nil"/>
              <w:bottom w:val="single" w:sz="8" w:space="0" w:color="auto"/>
              <w:right w:val="single" w:sz="8" w:space="0" w:color="auto"/>
            </w:tcBorders>
            <w:shd w:val="clear" w:color="000000" w:fill="D9D9D9"/>
            <w:vAlign w:val="center"/>
            <w:hideMark/>
          </w:tcPr>
          <w:p w14:paraId="7CD550C0" w14:textId="01FCCC24"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(3,292)</w:t>
            </w:r>
          </w:p>
        </w:tc>
      </w:tr>
      <w:tr w:rsidR="00FA3E5E" w:rsidRPr="003D290C" w14:paraId="0B8CC94F" w14:textId="77777777" w:rsidTr="00BA742D">
        <w:trPr>
          <w:trHeight w:val="153"/>
        </w:trPr>
        <w:tc>
          <w:tcPr>
            <w:tcW w:w="6227" w:type="dxa"/>
            <w:tcBorders>
              <w:top w:val="single" w:sz="8" w:space="0" w:color="auto"/>
              <w:left w:val="single" w:sz="8" w:space="0" w:color="auto"/>
              <w:bottom w:val="single" w:sz="8" w:space="0" w:color="auto"/>
              <w:right w:val="single" w:sz="8" w:space="0" w:color="auto"/>
            </w:tcBorders>
            <w:vAlign w:val="center"/>
            <w:hideMark/>
          </w:tcPr>
          <w:p w14:paraId="5CB1BD2E" w14:textId="4ADA6AAB" w:rsidR="00FA3E5E" w:rsidRPr="003D290C" w:rsidRDefault="00FA3E5E" w:rsidP="00FA3E5E">
            <w:pPr>
              <w:rPr>
                <w:rFonts w:ascii="Arial" w:hAnsi="Arial" w:cs="Arial"/>
                <w:b/>
                <w:bCs/>
                <w:color w:val="000000"/>
                <w:sz w:val="22"/>
                <w:szCs w:val="22"/>
              </w:rPr>
            </w:pPr>
            <w:r w:rsidRPr="003D290C">
              <w:rPr>
                <w:rFonts w:ascii="Arial" w:hAnsi="Arial" w:cs="Arial"/>
                <w:b/>
                <w:bCs/>
                <w:color w:val="000000"/>
                <w:sz w:val="22"/>
                <w:szCs w:val="22"/>
              </w:rPr>
              <w:t>Balance at 31 March 202</w:t>
            </w:r>
            <w:r>
              <w:rPr>
                <w:rFonts w:ascii="Arial" w:hAnsi="Arial" w:cs="Arial"/>
                <w:b/>
                <w:bCs/>
                <w:color w:val="000000"/>
                <w:sz w:val="22"/>
                <w:szCs w:val="22"/>
              </w:rPr>
              <w:t>4</w:t>
            </w:r>
          </w:p>
        </w:tc>
        <w:tc>
          <w:tcPr>
            <w:tcW w:w="851" w:type="dxa"/>
            <w:tcBorders>
              <w:top w:val="single" w:sz="8" w:space="0" w:color="auto"/>
              <w:left w:val="single" w:sz="8" w:space="0" w:color="auto"/>
              <w:bottom w:val="single" w:sz="8" w:space="0" w:color="auto"/>
              <w:right w:val="single" w:sz="8" w:space="0" w:color="auto"/>
            </w:tcBorders>
            <w:vAlign w:val="center"/>
            <w:hideMark/>
          </w:tcPr>
          <w:p w14:paraId="29B36813" w14:textId="77777777" w:rsidR="00FA3E5E" w:rsidRPr="003D290C" w:rsidRDefault="00FA3E5E" w:rsidP="00FA3E5E">
            <w:pPr>
              <w:rPr>
                <w:rFonts w:ascii="Arial" w:hAnsi="Arial" w:cs="Arial"/>
                <w:b/>
                <w:bCs/>
                <w:color w:val="000000"/>
                <w:sz w:val="22"/>
                <w:szCs w:val="22"/>
              </w:rPr>
            </w:pPr>
          </w:p>
        </w:tc>
        <w:tc>
          <w:tcPr>
            <w:tcW w:w="1276" w:type="dxa"/>
            <w:tcBorders>
              <w:top w:val="nil"/>
              <w:left w:val="nil"/>
              <w:bottom w:val="single" w:sz="8" w:space="0" w:color="auto"/>
              <w:right w:val="single" w:sz="8" w:space="0" w:color="auto"/>
            </w:tcBorders>
            <w:vAlign w:val="center"/>
            <w:hideMark/>
          </w:tcPr>
          <w:p w14:paraId="62AC7CFD" w14:textId="48EBA767"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(29,44</w:t>
            </w:r>
            <w:r w:rsidR="000A24F9">
              <w:rPr>
                <w:rFonts w:ascii="Arial" w:hAnsi="Arial" w:cs="Arial"/>
                <w:b/>
                <w:bCs/>
                <w:color w:val="000000"/>
                <w:sz w:val="22"/>
                <w:szCs w:val="22"/>
              </w:rPr>
              <w:t>4</w:t>
            </w:r>
            <w:r>
              <w:rPr>
                <w:rFonts w:ascii="Arial" w:hAnsi="Arial" w:cs="Arial"/>
                <w:b/>
                <w:bCs/>
                <w:color w:val="000000"/>
                <w:sz w:val="22"/>
                <w:szCs w:val="22"/>
              </w:rPr>
              <w:t>)</w:t>
            </w:r>
          </w:p>
        </w:tc>
        <w:tc>
          <w:tcPr>
            <w:tcW w:w="1275" w:type="dxa"/>
            <w:tcBorders>
              <w:top w:val="nil"/>
              <w:left w:val="nil"/>
              <w:bottom w:val="single" w:sz="8" w:space="0" w:color="auto"/>
              <w:right w:val="single" w:sz="8" w:space="0" w:color="auto"/>
            </w:tcBorders>
            <w:vAlign w:val="center"/>
            <w:hideMark/>
          </w:tcPr>
          <w:p w14:paraId="0E43D8D2" w14:textId="6EB6B53B"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(1,505)</w:t>
            </w:r>
          </w:p>
        </w:tc>
        <w:tc>
          <w:tcPr>
            <w:tcW w:w="1418" w:type="dxa"/>
            <w:tcBorders>
              <w:top w:val="nil"/>
              <w:left w:val="nil"/>
              <w:bottom w:val="single" w:sz="8" w:space="0" w:color="auto"/>
              <w:right w:val="single" w:sz="8" w:space="0" w:color="auto"/>
            </w:tcBorders>
            <w:vAlign w:val="center"/>
            <w:hideMark/>
          </w:tcPr>
          <w:p w14:paraId="5BE19AC6" w14:textId="6E1D6F11"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(33</w:t>
            </w:r>
            <w:r w:rsidR="00FD400D">
              <w:rPr>
                <w:rFonts w:ascii="Arial" w:hAnsi="Arial" w:cs="Arial"/>
                <w:b/>
                <w:bCs/>
                <w:color w:val="000000"/>
                <w:sz w:val="22"/>
                <w:szCs w:val="22"/>
              </w:rPr>
              <w:t>6</w:t>
            </w:r>
            <w:r>
              <w:rPr>
                <w:rFonts w:ascii="Arial" w:hAnsi="Arial" w:cs="Arial"/>
                <w:b/>
                <w:bCs/>
                <w:color w:val="000000"/>
                <w:sz w:val="22"/>
                <w:szCs w:val="22"/>
              </w:rPr>
              <w:t>)</w:t>
            </w:r>
          </w:p>
        </w:tc>
        <w:tc>
          <w:tcPr>
            <w:tcW w:w="1417" w:type="dxa"/>
            <w:tcBorders>
              <w:top w:val="nil"/>
              <w:left w:val="nil"/>
              <w:bottom w:val="single" w:sz="8" w:space="0" w:color="auto"/>
              <w:right w:val="single" w:sz="8" w:space="0" w:color="auto"/>
            </w:tcBorders>
            <w:shd w:val="clear" w:color="000000" w:fill="D9D9D9"/>
            <w:vAlign w:val="center"/>
            <w:hideMark/>
          </w:tcPr>
          <w:p w14:paraId="78FB7764" w14:textId="7A3AE3A5"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(31,28</w:t>
            </w:r>
            <w:r w:rsidR="00FD400D">
              <w:rPr>
                <w:rFonts w:ascii="Arial" w:hAnsi="Arial" w:cs="Arial"/>
                <w:b/>
                <w:bCs/>
                <w:color w:val="000000"/>
                <w:sz w:val="22"/>
                <w:szCs w:val="22"/>
              </w:rPr>
              <w:t>5</w:t>
            </w:r>
            <w:r>
              <w:rPr>
                <w:rFonts w:ascii="Arial" w:hAnsi="Arial" w:cs="Arial"/>
                <w:b/>
                <w:bCs/>
                <w:color w:val="000000"/>
                <w:sz w:val="22"/>
                <w:szCs w:val="22"/>
              </w:rPr>
              <w:t>)</w:t>
            </w:r>
          </w:p>
        </w:tc>
        <w:tc>
          <w:tcPr>
            <w:tcW w:w="1276" w:type="dxa"/>
            <w:tcBorders>
              <w:top w:val="nil"/>
              <w:left w:val="nil"/>
              <w:bottom w:val="single" w:sz="8" w:space="0" w:color="auto"/>
              <w:right w:val="single" w:sz="8" w:space="0" w:color="auto"/>
            </w:tcBorders>
            <w:shd w:val="clear" w:color="000000" w:fill="D9D9D9"/>
            <w:vAlign w:val="center"/>
            <w:hideMark/>
          </w:tcPr>
          <w:p w14:paraId="622032E2" w14:textId="08A97742"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2,705,253</w:t>
            </w:r>
          </w:p>
        </w:tc>
        <w:tc>
          <w:tcPr>
            <w:tcW w:w="1423" w:type="dxa"/>
            <w:tcBorders>
              <w:top w:val="nil"/>
              <w:left w:val="nil"/>
              <w:bottom w:val="single" w:sz="8" w:space="0" w:color="auto"/>
              <w:right w:val="single" w:sz="8" w:space="0" w:color="auto"/>
            </w:tcBorders>
            <w:shd w:val="clear" w:color="000000" w:fill="D9D9D9"/>
            <w:vAlign w:val="center"/>
            <w:hideMark/>
          </w:tcPr>
          <w:p w14:paraId="084CF62D" w14:textId="403C368A"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2,673,96</w:t>
            </w:r>
            <w:r w:rsidR="00FD400D">
              <w:rPr>
                <w:rFonts w:ascii="Arial" w:hAnsi="Arial" w:cs="Arial"/>
                <w:b/>
                <w:bCs/>
                <w:color w:val="000000"/>
                <w:sz w:val="22"/>
                <w:szCs w:val="22"/>
              </w:rPr>
              <w:t>8</w:t>
            </w:r>
          </w:p>
        </w:tc>
      </w:tr>
      <w:tr w:rsidR="00FA3E5E" w:rsidRPr="003D290C" w14:paraId="30BE9090" w14:textId="77777777" w:rsidTr="00BA742D">
        <w:trPr>
          <w:trHeight w:val="153"/>
        </w:trPr>
        <w:tc>
          <w:tcPr>
            <w:tcW w:w="6227" w:type="dxa"/>
            <w:tcBorders>
              <w:top w:val="single" w:sz="8" w:space="0" w:color="auto"/>
              <w:left w:val="single" w:sz="8" w:space="0" w:color="auto"/>
              <w:bottom w:val="single" w:sz="8" w:space="0" w:color="auto"/>
              <w:right w:val="single" w:sz="8" w:space="0" w:color="auto"/>
            </w:tcBorders>
            <w:vAlign w:val="center"/>
          </w:tcPr>
          <w:p w14:paraId="53F1B298" w14:textId="49A6C6B3" w:rsidR="00FA3E5E" w:rsidRPr="003D290C" w:rsidRDefault="00FA3E5E" w:rsidP="00FA3E5E">
            <w:pPr>
              <w:rPr>
                <w:rFonts w:ascii="Arial" w:hAnsi="Arial" w:cs="Arial"/>
                <w:b/>
                <w:bCs/>
                <w:color w:val="000000"/>
                <w:sz w:val="22"/>
                <w:szCs w:val="22"/>
              </w:rPr>
            </w:pPr>
            <w:r>
              <w:rPr>
                <w:rFonts w:ascii="Arial" w:hAnsi="Arial" w:cs="Arial"/>
                <w:b/>
                <w:bCs/>
                <w:color w:val="000000"/>
                <w:sz w:val="22"/>
                <w:szCs w:val="22"/>
              </w:rPr>
              <w:t>Adj</w:t>
            </w:r>
            <w:r w:rsidR="00D4571A">
              <w:rPr>
                <w:rFonts w:ascii="Arial" w:hAnsi="Arial" w:cs="Arial"/>
                <w:b/>
                <w:bCs/>
                <w:color w:val="000000"/>
                <w:sz w:val="22"/>
                <w:szCs w:val="22"/>
              </w:rPr>
              <w:t>ustment</w:t>
            </w:r>
            <w:r>
              <w:rPr>
                <w:rFonts w:ascii="Arial" w:hAnsi="Arial" w:cs="Arial"/>
                <w:b/>
                <w:bCs/>
                <w:color w:val="000000"/>
                <w:sz w:val="22"/>
                <w:szCs w:val="22"/>
              </w:rPr>
              <w:t xml:space="preserve"> for IFRIC14 Amendment</w:t>
            </w:r>
          </w:p>
        </w:tc>
        <w:tc>
          <w:tcPr>
            <w:tcW w:w="851" w:type="dxa"/>
            <w:tcBorders>
              <w:top w:val="single" w:sz="8" w:space="0" w:color="auto"/>
              <w:left w:val="single" w:sz="8" w:space="0" w:color="auto"/>
              <w:bottom w:val="single" w:sz="8" w:space="0" w:color="auto"/>
              <w:right w:val="single" w:sz="8" w:space="0" w:color="auto"/>
            </w:tcBorders>
            <w:vAlign w:val="center"/>
          </w:tcPr>
          <w:p w14:paraId="7A5D52FF" w14:textId="233D0EE8" w:rsidR="00FA3E5E" w:rsidRPr="003D290C" w:rsidRDefault="00DE7A5B" w:rsidP="00DE7A5B">
            <w:pPr>
              <w:jc w:val="right"/>
              <w:rPr>
                <w:rFonts w:ascii="Arial" w:hAnsi="Arial" w:cs="Arial"/>
                <w:b/>
                <w:bCs/>
                <w:color w:val="000000"/>
                <w:sz w:val="22"/>
                <w:szCs w:val="22"/>
              </w:rPr>
            </w:pPr>
            <w:r>
              <w:rPr>
                <w:rFonts w:ascii="Arial" w:hAnsi="Arial" w:cs="Arial"/>
                <w:b/>
                <w:bCs/>
                <w:color w:val="000000"/>
                <w:sz w:val="22"/>
                <w:szCs w:val="22"/>
              </w:rPr>
              <w:t>10</w:t>
            </w:r>
          </w:p>
        </w:tc>
        <w:tc>
          <w:tcPr>
            <w:tcW w:w="1276" w:type="dxa"/>
            <w:tcBorders>
              <w:top w:val="nil"/>
              <w:left w:val="nil"/>
              <w:bottom w:val="single" w:sz="8" w:space="0" w:color="auto"/>
              <w:right w:val="single" w:sz="8" w:space="0" w:color="auto"/>
            </w:tcBorders>
            <w:vAlign w:val="center"/>
          </w:tcPr>
          <w:p w14:paraId="69460269" w14:textId="64C7DE86" w:rsidR="00FA3E5E" w:rsidRDefault="00A5491C" w:rsidP="00FA3E5E">
            <w:pPr>
              <w:jc w:val="right"/>
              <w:rPr>
                <w:rFonts w:ascii="Arial" w:hAnsi="Arial" w:cs="Arial"/>
                <w:b/>
                <w:bCs/>
                <w:color w:val="000000"/>
                <w:sz w:val="22"/>
                <w:szCs w:val="22"/>
              </w:rPr>
            </w:pPr>
            <w:r>
              <w:rPr>
                <w:rFonts w:ascii="Arial" w:hAnsi="Arial" w:cs="Arial"/>
                <w:b/>
                <w:bCs/>
                <w:color w:val="000000"/>
                <w:sz w:val="22"/>
                <w:szCs w:val="22"/>
              </w:rPr>
              <w:t>0</w:t>
            </w:r>
          </w:p>
        </w:tc>
        <w:tc>
          <w:tcPr>
            <w:tcW w:w="1275" w:type="dxa"/>
            <w:tcBorders>
              <w:top w:val="nil"/>
              <w:left w:val="nil"/>
              <w:bottom w:val="single" w:sz="8" w:space="0" w:color="auto"/>
              <w:right w:val="single" w:sz="8" w:space="0" w:color="auto"/>
            </w:tcBorders>
            <w:vAlign w:val="center"/>
          </w:tcPr>
          <w:p w14:paraId="3DD76710" w14:textId="3E1C74A9" w:rsidR="00FA3E5E"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418" w:type="dxa"/>
            <w:tcBorders>
              <w:top w:val="nil"/>
              <w:left w:val="nil"/>
              <w:bottom w:val="single" w:sz="8" w:space="0" w:color="auto"/>
              <w:right w:val="single" w:sz="8" w:space="0" w:color="auto"/>
            </w:tcBorders>
            <w:vAlign w:val="center"/>
          </w:tcPr>
          <w:p w14:paraId="0B99A064" w14:textId="64B44D43" w:rsidR="00FA3E5E" w:rsidRDefault="00FA3E5E" w:rsidP="00FA3E5E">
            <w:pPr>
              <w:jc w:val="right"/>
              <w:rPr>
                <w:rFonts w:ascii="Arial" w:hAnsi="Arial" w:cs="Arial"/>
                <w:b/>
                <w:bCs/>
                <w:color w:val="000000"/>
                <w:sz w:val="22"/>
                <w:szCs w:val="22"/>
              </w:rPr>
            </w:pPr>
            <w:r>
              <w:rPr>
                <w:rFonts w:ascii="Arial" w:hAnsi="Arial" w:cs="Arial"/>
                <w:b/>
                <w:bCs/>
                <w:color w:val="000000"/>
                <w:sz w:val="22"/>
                <w:szCs w:val="22"/>
              </w:rPr>
              <w:t>0</w:t>
            </w:r>
          </w:p>
        </w:tc>
        <w:tc>
          <w:tcPr>
            <w:tcW w:w="1417" w:type="dxa"/>
            <w:tcBorders>
              <w:top w:val="nil"/>
              <w:left w:val="nil"/>
              <w:bottom w:val="single" w:sz="8" w:space="0" w:color="auto"/>
              <w:right w:val="single" w:sz="8" w:space="0" w:color="auto"/>
            </w:tcBorders>
            <w:shd w:val="clear" w:color="000000" w:fill="D9D9D9"/>
            <w:vAlign w:val="center"/>
          </w:tcPr>
          <w:p w14:paraId="1FAACC0F" w14:textId="3037EAB3" w:rsidR="00FA3E5E" w:rsidRDefault="00A5491C" w:rsidP="00FA3E5E">
            <w:pPr>
              <w:jc w:val="right"/>
              <w:rPr>
                <w:rFonts w:ascii="Arial" w:hAnsi="Arial" w:cs="Arial"/>
                <w:b/>
                <w:bCs/>
                <w:color w:val="000000"/>
                <w:sz w:val="22"/>
                <w:szCs w:val="22"/>
              </w:rPr>
            </w:pPr>
            <w:r>
              <w:rPr>
                <w:rFonts w:ascii="Arial" w:hAnsi="Arial" w:cs="Arial"/>
                <w:b/>
                <w:bCs/>
                <w:color w:val="000000"/>
                <w:sz w:val="22"/>
                <w:szCs w:val="22"/>
              </w:rPr>
              <w:t>0</w:t>
            </w:r>
          </w:p>
        </w:tc>
        <w:tc>
          <w:tcPr>
            <w:tcW w:w="1276" w:type="dxa"/>
            <w:tcBorders>
              <w:top w:val="nil"/>
              <w:left w:val="nil"/>
              <w:bottom w:val="single" w:sz="8" w:space="0" w:color="auto"/>
              <w:right w:val="single" w:sz="8" w:space="0" w:color="auto"/>
            </w:tcBorders>
            <w:shd w:val="clear" w:color="000000" w:fill="D9D9D9"/>
            <w:vAlign w:val="center"/>
          </w:tcPr>
          <w:p w14:paraId="766329F9" w14:textId="30658435"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(2,</w:t>
            </w:r>
            <w:r w:rsidR="002E4A2E">
              <w:rPr>
                <w:rFonts w:ascii="Arial" w:hAnsi="Arial" w:cs="Arial"/>
                <w:b/>
                <w:bCs/>
                <w:color w:val="000000"/>
                <w:sz w:val="22"/>
                <w:szCs w:val="22"/>
              </w:rPr>
              <w:t>219</w:t>
            </w:r>
            <w:r>
              <w:rPr>
                <w:rFonts w:ascii="Arial" w:hAnsi="Arial" w:cs="Arial"/>
                <w:b/>
                <w:bCs/>
                <w:color w:val="000000"/>
                <w:sz w:val="22"/>
                <w:szCs w:val="22"/>
              </w:rPr>
              <w:t>)</w:t>
            </w:r>
          </w:p>
        </w:tc>
        <w:tc>
          <w:tcPr>
            <w:tcW w:w="1423" w:type="dxa"/>
            <w:tcBorders>
              <w:top w:val="nil"/>
              <w:left w:val="nil"/>
              <w:bottom w:val="single" w:sz="8" w:space="0" w:color="auto"/>
              <w:right w:val="single" w:sz="8" w:space="0" w:color="auto"/>
            </w:tcBorders>
            <w:shd w:val="clear" w:color="000000" w:fill="D9D9D9"/>
            <w:vAlign w:val="center"/>
          </w:tcPr>
          <w:p w14:paraId="554E1D15" w14:textId="418DBC9F" w:rsidR="00FA3E5E" w:rsidRPr="003D290C" w:rsidRDefault="00FA3E5E" w:rsidP="00FA3E5E">
            <w:pPr>
              <w:jc w:val="right"/>
              <w:rPr>
                <w:rFonts w:ascii="Arial" w:hAnsi="Arial" w:cs="Arial"/>
                <w:b/>
                <w:bCs/>
                <w:color w:val="000000"/>
                <w:sz w:val="22"/>
                <w:szCs w:val="22"/>
              </w:rPr>
            </w:pPr>
            <w:r>
              <w:rPr>
                <w:rFonts w:ascii="Arial" w:hAnsi="Arial" w:cs="Arial"/>
                <w:b/>
                <w:bCs/>
                <w:color w:val="000000"/>
                <w:sz w:val="22"/>
                <w:szCs w:val="22"/>
              </w:rPr>
              <w:t>(2,</w:t>
            </w:r>
            <w:r w:rsidR="002E4A2E">
              <w:rPr>
                <w:rFonts w:ascii="Arial" w:hAnsi="Arial" w:cs="Arial"/>
                <w:b/>
                <w:bCs/>
                <w:color w:val="000000"/>
                <w:sz w:val="22"/>
                <w:szCs w:val="22"/>
              </w:rPr>
              <w:t>219</w:t>
            </w:r>
            <w:r>
              <w:rPr>
                <w:rFonts w:ascii="Arial" w:hAnsi="Arial" w:cs="Arial"/>
                <w:b/>
                <w:bCs/>
                <w:color w:val="000000"/>
                <w:sz w:val="22"/>
                <w:szCs w:val="22"/>
              </w:rPr>
              <w:t>)</w:t>
            </w:r>
          </w:p>
        </w:tc>
      </w:tr>
      <w:tr w:rsidR="002C0D29" w:rsidRPr="003D290C" w14:paraId="5CD9BA91" w14:textId="77777777" w:rsidTr="00BA742D">
        <w:trPr>
          <w:trHeight w:val="153"/>
        </w:trPr>
        <w:tc>
          <w:tcPr>
            <w:tcW w:w="6227" w:type="dxa"/>
            <w:tcBorders>
              <w:top w:val="single" w:sz="8" w:space="0" w:color="auto"/>
              <w:left w:val="single" w:sz="8" w:space="0" w:color="auto"/>
              <w:bottom w:val="single" w:sz="8" w:space="0" w:color="auto"/>
              <w:right w:val="single" w:sz="8" w:space="0" w:color="auto"/>
            </w:tcBorders>
            <w:vAlign w:val="center"/>
          </w:tcPr>
          <w:p w14:paraId="32A91B05" w14:textId="14EA5157" w:rsidR="002C0D29" w:rsidRPr="003D290C" w:rsidRDefault="002C0D29" w:rsidP="002C0D29">
            <w:pPr>
              <w:rPr>
                <w:rFonts w:ascii="Arial" w:hAnsi="Arial" w:cs="Arial"/>
                <w:b/>
                <w:bCs/>
                <w:color w:val="000000"/>
                <w:sz w:val="22"/>
                <w:szCs w:val="22"/>
              </w:rPr>
            </w:pPr>
            <w:r w:rsidRPr="002D2276">
              <w:rPr>
                <w:rFonts w:ascii="Arial" w:hAnsi="Arial" w:cs="Arial"/>
                <w:b/>
                <w:bCs/>
                <w:color w:val="000000"/>
                <w:sz w:val="22"/>
                <w:szCs w:val="22"/>
              </w:rPr>
              <w:t xml:space="preserve">Balance at 1 </w:t>
            </w:r>
            <w:r>
              <w:rPr>
                <w:rFonts w:ascii="Arial" w:hAnsi="Arial" w:cs="Arial"/>
                <w:b/>
                <w:bCs/>
                <w:color w:val="000000"/>
                <w:sz w:val="22"/>
                <w:szCs w:val="22"/>
              </w:rPr>
              <w:t>April</w:t>
            </w:r>
            <w:r w:rsidRPr="002D2276">
              <w:rPr>
                <w:rFonts w:ascii="Arial" w:hAnsi="Arial" w:cs="Arial"/>
                <w:b/>
                <w:bCs/>
                <w:color w:val="000000"/>
                <w:sz w:val="22"/>
                <w:szCs w:val="22"/>
              </w:rPr>
              <w:t xml:space="preserve"> 2024</w:t>
            </w:r>
          </w:p>
        </w:tc>
        <w:tc>
          <w:tcPr>
            <w:tcW w:w="851" w:type="dxa"/>
            <w:tcBorders>
              <w:top w:val="single" w:sz="8" w:space="0" w:color="auto"/>
              <w:left w:val="single" w:sz="8" w:space="0" w:color="auto"/>
              <w:bottom w:val="single" w:sz="8" w:space="0" w:color="auto"/>
              <w:right w:val="single" w:sz="8" w:space="0" w:color="auto"/>
            </w:tcBorders>
            <w:vAlign w:val="center"/>
          </w:tcPr>
          <w:p w14:paraId="1C7E6776" w14:textId="77777777" w:rsidR="002C0D29" w:rsidRPr="003D290C" w:rsidRDefault="002C0D29" w:rsidP="002C0D29">
            <w:pPr>
              <w:rPr>
                <w:rFonts w:ascii="Arial" w:hAnsi="Arial" w:cs="Arial"/>
                <w:b/>
                <w:bCs/>
                <w:color w:val="000000"/>
                <w:sz w:val="22"/>
                <w:szCs w:val="22"/>
              </w:rPr>
            </w:pPr>
          </w:p>
        </w:tc>
        <w:tc>
          <w:tcPr>
            <w:tcW w:w="1276" w:type="dxa"/>
            <w:tcBorders>
              <w:top w:val="single" w:sz="8" w:space="0" w:color="auto"/>
              <w:left w:val="nil"/>
              <w:bottom w:val="single" w:sz="8" w:space="0" w:color="auto"/>
              <w:right w:val="single" w:sz="8" w:space="0" w:color="auto"/>
            </w:tcBorders>
            <w:vAlign w:val="center"/>
          </w:tcPr>
          <w:p w14:paraId="3853C8C6" w14:textId="2F9BCF3D" w:rsidR="002C0D29" w:rsidRDefault="002C0D29" w:rsidP="002C0D29">
            <w:pPr>
              <w:jc w:val="right"/>
              <w:rPr>
                <w:rFonts w:ascii="Arial" w:hAnsi="Arial" w:cs="Arial"/>
                <w:b/>
                <w:bCs/>
                <w:color w:val="000000"/>
                <w:sz w:val="22"/>
                <w:szCs w:val="22"/>
              </w:rPr>
            </w:pPr>
            <w:r>
              <w:rPr>
                <w:rFonts w:ascii="Arial" w:hAnsi="Arial" w:cs="Arial"/>
                <w:b/>
                <w:bCs/>
                <w:color w:val="000000"/>
                <w:sz w:val="22"/>
                <w:szCs w:val="22"/>
              </w:rPr>
              <w:t>(29,444)</w:t>
            </w:r>
          </w:p>
        </w:tc>
        <w:tc>
          <w:tcPr>
            <w:tcW w:w="1275" w:type="dxa"/>
            <w:tcBorders>
              <w:top w:val="single" w:sz="8" w:space="0" w:color="auto"/>
              <w:left w:val="nil"/>
              <w:bottom w:val="single" w:sz="8" w:space="0" w:color="auto"/>
              <w:right w:val="single" w:sz="8" w:space="0" w:color="auto"/>
            </w:tcBorders>
            <w:vAlign w:val="center"/>
          </w:tcPr>
          <w:p w14:paraId="014A2289" w14:textId="0D8819F7" w:rsidR="002C0D29" w:rsidRDefault="002C0D29" w:rsidP="002C0D29">
            <w:pPr>
              <w:jc w:val="right"/>
              <w:rPr>
                <w:rFonts w:ascii="Arial" w:hAnsi="Arial" w:cs="Arial"/>
                <w:b/>
                <w:bCs/>
                <w:color w:val="000000"/>
                <w:sz w:val="22"/>
                <w:szCs w:val="22"/>
              </w:rPr>
            </w:pPr>
            <w:r>
              <w:rPr>
                <w:rFonts w:ascii="Arial" w:hAnsi="Arial" w:cs="Arial"/>
                <w:b/>
                <w:bCs/>
                <w:color w:val="000000"/>
                <w:sz w:val="22"/>
                <w:szCs w:val="22"/>
              </w:rPr>
              <w:t>(1,505)</w:t>
            </w:r>
          </w:p>
        </w:tc>
        <w:tc>
          <w:tcPr>
            <w:tcW w:w="1418" w:type="dxa"/>
            <w:tcBorders>
              <w:top w:val="single" w:sz="8" w:space="0" w:color="auto"/>
              <w:left w:val="nil"/>
              <w:bottom w:val="single" w:sz="8" w:space="0" w:color="auto"/>
              <w:right w:val="single" w:sz="8" w:space="0" w:color="auto"/>
            </w:tcBorders>
            <w:vAlign w:val="center"/>
          </w:tcPr>
          <w:p w14:paraId="141B83A4" w14:textId="1CA215D2" w:rsidR="002C0D29" w:rsidRDefault="002C0D29" w:rsidP="002C0D29">
            <w:pPr>
              <w:jc w:val="right"/>
              <w:rPr>
                <w:rFonts w:ascii="Arial" w:hAnsi="Arial" w:cs="Arial"/>
                <w:b/>
                <w:bCs/>
                <w:color w:val="000000"/>
                <w:sz w:val="22"/>
                <w:szCs w:val="22"/>
              </w:rPr>
            </w:pPr>
            <w:r>
              <w:rPr>
                <w:rFonts w:ascii="Arial" w:hAnsi="Arial" w:cs="Arial"/>
                <w:b/>
                <w:bCs/>
                <w:color w:val="000000"/>
                <w:sz w:val="22"/>
                <w:szCs w:val="22"/>
              </w:rPr>
              <w:t>(336)</w:t>
            </w:r>
          </w:p>
        </w:tc>
        <w:tc>
          <w:tcPr>
            <w:tcW w:w="1417" w:type="dxa"/>
            <w:tcBorders>
              <w:top w:val="single" w:sz="8" w:space="0" w:color="auto"/>
              <w:left w:val="nil"/>
              <w:bottom w:val="single" w:sz="8" w:space="0" w:color="auto"/>
              <w:right w:val="single" w:sz="8" w:space="0" w:color="auto"/>
            </w:tcBorders>
            <w:shd w:val="clear" w:color="000000" w:fill="D9D9D9"/>
            <w:vAlign w:val="center"/>
          </w:tcPr>
          <w:p w14:paraId="7E95E1F3" w14:textId="585E2CBF" w:rsidR="002C0D29" w:rsidRDefault="002C0D29" w:rsidP="002C0D29">
            <w:pPr>
              <w:jc w:val="right"/>
              <w:rPr>
                <w:rFonts w:ascii="Arial" w:hAnsi="Arial" w:cs="Arial"/>
                <w:b/>
                <w:bCs/>
                <w:color w:val="000000"/>
                <w:sz w:val="22"/>
                <w:szCs w:val="22"/>
              </w:rPr>
            </w:pPr>
            <w:r>
              <w:rPr>
                <w:rFonts w:ascii="Arial" w:hAnsi="Arial" w:cs="Arial"/>
                <w:b/>
                <w:bCs/>
                <w:color w:val="000000"/>
                <w:sz w:val="22"/>
                <w:szCs w:val="22"/>
              </w:rPr>
              <w:t>(31,285)</w:t>
            </w:r>
          </w:p>
        </w:tc>
        <w:tc>
          <w:tcPr>
            <w:tcW w:w="1276" w:type="dxa"/>
            <w:tcBorders>
              <w:top w:val="single" w:sz="8" w:space="0" w:color="auto"/>
              <w:left w:val="nil"/>
              <w:bottom w:val="single" w:sz="8" w:space="0" w:color="auto"/>
              <w:right w:val="single" w:sz="8" w:space="0" w:color="auto"/>
            </w:tcBorders>
            <w:shd w:val="clear" w:color="000000" w:fill="D9D9D9"/>
            <w:vAlign w:val="center"/>
          </w:tcPr>
          <w:p w14:paraId="570A1589" w14:textId="5CD9ABA1" w:rsidR="002C0D29" w:rsidRPr="003D290C" w:rsidRDefault="002C0D29" w:rsidP="002C0D29">
            <w:pPr>
              <w:jc w:val="right"/>
              <w:rPr>
                <w:rFonts w:ascii="Arial" w:hAnsi="Arial" w:cs="Arial"/>
                <w:b/>
                <w:bCs/>
                <w:color w:val="000000"/>
                <w:sz w:val="22"/>
                <w:szCs w:val="22"/>
              </w:rPr>
            </w:pPr>
            <w:r>
              <w:rPr>
                <w:rFonts w:ascii="Arial" w:hAnsi="Arial" w:cs="Arial"/>
                <w:b/>
                <w:bCs/>
                <w:color w:val="000000"/>
                <w:sz w:val="22"/>
                <w:szCs w:val="22"/>
              </w:rPr>
              <w:t>2,703,034</w:t>
            </w:r>
          </w:p>
        </w:tc>
        <w:tc>
          <w:tcPr>
            <w:tcW w:w="1423" w:type="dxa"/>
            <w:tcBorders>
              <w:top w:val="single" w:sz="8" w:space="0" w:color="auto"/>
              <w:left w:val="nil"/>
              <w:bottom w:val="single" w:sz="8" w:space="0" w:color="auto"/>
              <w:right w:val="single" w:sz="8" w:space="0" w:color="auto"/>
            </w:tcBorders>
            <w:shd w:val="clear" w:color="000000" w:fill="D9D9D9"/>
            <w:vAlign w:val="center"/>
          </w:tcPr>
          <w:p w14:paraId="38E8FA5E" w14:textId="26E6B95E" w:rsidR="002C0D29" w:rsidRPr="003D290C" w:rsidRDefault="002C0D29" w:rsidP="002C0D29">
            <w:pPr>
              <w:jc w:val="right"/>
              <w:rPr>
                <w:rFonts w:ascii="Arial" w:hAnsi="Arial" w:cs="Arial"/>
                <w:b/>
                <w:bCs/>
                <w:color w:val="000000"/>
                <w:sz w:val="22"/>
                <w:szCs w:val="22"/>
              </w:rPr>
            </w:pPr>
            <w:r>
              <w:rPr>
                <w:rFonts w:ascii="Arial" w:hAnsi="Arial" w:cs="Arial"/>
                <w:b/>
                <w:bCs/>
                <w:color w:val="000000"/>
                <w:sz w:val="22"/>
                <w:szCs w:val="22"/>
              </w:rPr>
              <w:t>2,671,749</w:t>
            </w:r>
          </w:p>
        </w:tc>
      </w:tr>
      <w:tr w:rsidR="00FA3E5E" w:rsidRPr="003D290C" w14:paraId="04E6794B" w14:textId="77777777" w:rsidTr="00BA742D">
        <w:trPr>
          <w:trHeight w:val="153"/>
        </w:trPr>
        <w:tc>
          <w:tcPr>
            <w:tcW w:w="6227" w:type="dxa"/>
            <w:tcBorders>
              <w:top w:val="nil"/>
              <w:left w:val="single" w:sz="8" w:space="0" w:color="auto"/>
              <w:bottom w:val="nil"/>
              <w:right w:val="single" w:sz="8" w:space="0" w:color="auto"/>
            </w:tcBorders>
            <w:vAlign w:val="center"/>
            <w:hideMark/>
          </w:tcPr>
          <w:p w14:paraId="33138E94" w14:textId="0D730920" w:rsidR="00FA3E5E" w:rsidRPr="003D290C" w:rsidRDefault="00FA3E5E" w:rsidP="00FA3E5E">
            <w:pPr>
              <w:rPr>
                <w:rFonts w:ascii="Arial" w:hAnsi="Arial" w:cs="Arial"/>
                <w:b/>
                <w:bCs/>
                <w:color w:val="000000"/>
                <w:sz w:val="22"/>
                <w:szCs w:val="22"/>
              </w:rPr>
            </w:pPr>
            <w:r w:rsidRPr="003D290C">
              <w:rPr>
                <w:rFonts w:ascii="Arial" w:hAnsi="Arial" w:cs="Arial"/>
                <w:b/>
                <w:bCs/>
                <w:color w:val="000000"/>
                <w:sz w:val="22"/>
                <w:szCs w:val="22"/>
              </w:rPr>
              <w:t xml:space="preserve">Movement in reserves during </w:t>
            </w:r>
            <w:r>
              <w:rPr>
                <w:rFonts w:ascii="Arial" w:hAnsi="Arial" w:cs="Arial"/>
                <w:b/>
                <w:bCs/>
                <w:color w:val="000000"/>
                <w:sz w:val="22"/>
                <w:szCs w:val="22"/>
              </w:rPr>
              <w:t>2024/25</w:t>
            </w:r>
            <w:r w:rsidRPr="003D290C">
              <w:rPr>
                <w:rFonts w:ascii="Arial" w:hAnsi="Arial" w:cs="Arial"/>
                <w:b/>
                <w:bCs/>
                <w:color w:val="000000"/>
                <w:sz w:val="22"/>
                <w:szCs w:val="22"/>
              </w:rPr>
              <w:t>:</w:t>
            </w:r>
          </w:p>
        </w:tc>
        <w:tc>
          <w:tcPr>
            <w:tcW w:w="851" w:type="dxa"/>
            <w:tcBorders>
              <w:top w:val="nil"/>
              <w:left w:val="nil"/>
              <w:bottom w:val="nil"/>
              <w:right w:val="single" w:sz="8" w:space="0" w:color="auto"/>
            </w:tcBorders>
            <w:vAlign w:val="center"/>
            <w:hideMark/>
          </w:tcPr>
          <w:p w14:paraId="1051840F" w14:textId="77777777" w:rsidR="00FA3E5E" w:rsidRPr="003D290C" w:rsidRDefault="00FA3E5E" w:rsidP="00FA3E5E">
            <w:pPr>
              <w:rPr>
                <w:rFonts w:ascii="Arial" w:hAnsi="Arial" w:cs="Arial"/>
                <w:b/>
                <w:bCs/>
                <w:color w:val="000000"/>
                <w:sz w:val="22"/>
                <w:szCs w:val="22"/>
              </w:rPr>
            </w:pPr>
          </w:p>
        </w:tc>
        <w:tc>
          <w:tcPr>
            <w:tcW w:w="1276" w:type="dxa"/>
            <w:tcBorders>
              <w:top w:val="nil"/>
              <w:left w:val="nil"/>
              <w:bottom w:val="nil"/>
              <w:right w:val="single" w:sz="8" w:space="0" w:color="auto"/>
            </w:tcBorders>
            <w:vAlign w:val="center"/>
            <w:hideMark/>
          </w:tcPr>
          <w:p w14:paraId="2243E115" w14:textId="179A6D98" w:rsidR="00FA3E5E" w:rsidRPr="003D290C" w:rsidRDefault="00FA3E5E" w:rsidP="00FA3E5E">
            <w:pPr>
              <w:jc w:val="right"/>
            </w:pPr>
            <w:r>
              <w:rPr>
                <w:rFonts w:ascii="Arial" w:hAnsi="Arial" w:cs="Arial"/>
                <w:b/>
                <w:bCs/>
                <w:color w:val="000000"/>
                <w:sz w:val="22"/>
                <w:szCs w:val="22"/>
              </w:rPr>
              <w:t> </w:t>
            </w:r>
          </w:p>
        </w:tc>
        <w:tc>
          <w:tcPr>
            <w:tcW w:w="1275" w:type="dxa"/>
            <w:tcBorders>
              <w:top w:val="nil"/>
              <w:left w:val="nil"/>
              <w:bottom w:val="nil"/>
              <w:right w:val="single" w:sz="8" w:space="0" w:color="auto"/>
            </w:tcBorders>
            <w:vAlign w:val="center"/>
            <w:hideMark/>
          </w:tcPr>
          <w:p w14:paraId="211EADDC" w14:textId="1A6B314B" w:rsidR="00FA3E5E" w:rsidRPr="003D290C" w:rsidRDefault="00FA3E5E" w:rsidP="00FA3E5E">
            <w:pPr>
              <w:jc w:val="right"/>
            </w:pPr>
            <w:r>
              <w:rPr>
                <w:rFonts w:ascii="Arial" w:hAnsi="Arial" w:cs="Arial"/>
                <w:b/>
                <w:bCs/>
                <w:color w:val="000000"/>
                <w:sz w:val="22"/>
                <w:szCs w:val="22"/>
              </w:rPr>
              <w:t> </w:t>
            </w:r>
          </w:p>
        </w:tc>
        <w:tc>
          <w:tcPr>
            <w:tcW w:w="1418" w:type="dxa"/>
            <w:tcBorders>
              <w:top w:val="nil"/>
              <w:left w:val="nil"/>
              <w:bottom w:val="nil"/>
              <w:right w:val="single" w:sz="8" w:space="0" w:color="auto"/>
            </w:tcBorders>
            <w:vAlign w:val="center"/>
            <w:hideMark/>
          </w:tcPr>
          <w:p w14:paraId="3100927C" w14:textId="1D4ED241" w:rsidR="00FA3E5E" w:rsidRPr="003D290C" w:rsidRDefault="00FA3E5E" w:rsidP="00FA3E5E">
            <w:pPr>
              <w:jc w:val="right"/>
            </w:pPr>
            <w:r>
              <w:rPr>
                <w:rFonts w:ascii="Arial" w:hAnsi="Arial" w:cs="Arial"/>
                <w:b/>
                <w:bCs/>
                <w:color w:val="000000"/>
                <w:sz w:val="22"/>
                <w:szCs w:val="22"/>
              </w:rPr>
              <w:t> </w:t>
            </w:r>
          </w:p>
        </w:tc>
        <w:tc>
          <w:tcPr>
            <w:tcW w:w="1417" w:type="dxa"/>
            <w:tcBorders>
              <w:top w:val="nil"/>
              <w:left w:val="nil"/>
              <w:bottom w:val="nil"/>
              <w:right w:val="single" w:sz="8" w:space="0" w:color="auto"/>
            </w:tcBorders>
            <w:shd w:val="clear" w:color="000000" w:fill="D9D9D9"/>
            <w:vAlign w:val="center"/>
            <w:hideMark/>
          </w:tcPr>
          <w:p w14:paraId="7E007669" w14:textId="73E4D071" w:rsidR="00FA3E5E" w:rsidRPr="003D290C" w:rsidRDefault="00FA3E5E" w:rsidP="00FA3E5E">
            <w:pPr>
              <w:jc w:val="right"/>
            </w:pPr>
            <w:r>
              <w:rPr>
                <w:rFonts w:ascii="Arial" w:hAnsi="Arial" w:cs="Arial"/>
                <w:b/>
                <w:bCs/>
                <w:color w:val="000000"/>
                <w:sz w:val="22"/>
                <w:szCs w:val="22"/>
              </w:rPr>
              <w:t> </w:t>
            </w:r>
          </w:p>
        </w:tc>
        <w:tc>
          <w:tcPr>
            <w:tcW w:w="1276" w:type="dxa"/>
            <w:tcBorders>
              <w:top w:val="nil"/>
              <w:left w:val="nil"/>
              <w:bottom w:val="nil"/>
              <w:right w:val="single" w:sz="8" w:space="0" w:color="auto"/>
            </w:tcBorders>
            <w:shd w:val="clear" w:color="000000" w:fill="D9D9D9"/>
            <w:vAlign w:val="center"/>
            <w:hideMark/>
          </w:tcPr>
          <w:p w14:paraId="72CB9267" w14:textId="2C1D6E2C" w:rsidR="00FA3E5E" w:rsidRPr="003D290C" w:rsidRDefault="00FA3E5E" w:rsidP="00FA3E5E">
            <w:pPr>
              <w:jc w:val="right"/>
            </w:pPr>
            <w:r>
              <w:rPr>
                <w:rFonts w:ascii="Arial" w:hAnsi="Arial" w:cs="Arial"/>
                <w:b/>
                <w:bCs/>
                <w:color w:val="000000"/>
                <w:sz w:val="22"/>
                <w:szCs w:val="22"/>
              </w:rPr>
              <w:t> </w:t>
            </w:r>
          </w:p>
        </w:tc>
        <w:tc>
          <w:tcPr>
            <w:tcW w:w="1423" w:type="dxa"/>
            <w:tcBorders>
              <w:top w:val="nil"/>
              <w:left w:val="nil"/>
              <w:bottom w:val="nil"/>
              <w:right w:val="single" w:sz="8" w:space="0" w:color="auto"/>
            </w:tcBorders>
            <w:shd w:val="clear" w:color="000000" w:fill="D9D9D9"/>
            <w:vAlign w:val="center"/>
            <w:hideMark/>
          </w:tcPr>
          <w:p w14:paraId="06BC67CB" w14:textId="00184FDA" w:rsidR="00FA3E5E" w:rsidRPr="003D290C" w:rsidRDefault="00FA3E5E" w:rsidP="00FA3E5E">
            <w:pPr>
              <w:jc w:val="right"/>
            </w:pPr>
            <w:r>
              <w:rPr>
                <w:rFonts w:ascii="Arial" w:hAnsi="Arial" w:cs="Arial"/>
                <w:b/>
                <w:bCs/>
                <w:color w:val="000000"/>
                <w:sz w:val="22"/>
                <w:szCs w:val="22"/>
              </w:rPr>
              <w:t> </w:t>
            </w:r>
          </w:p>
        </w:tc>
      </w:tr>
      <w:tr w:rsidR="008F49F7" w:rsidRPr="003D290C" w14:paraId="18EA2711" w14:textId="77777777" w:rsidTr="00BA742D">
        <w:trPr>
          <w:trHeight w:val="153"/>
        </w:trPr>
        <w:tc>
          <w:tcPr>
            <w:tcW w:w="6227" w:type="dxa"/>
            <w:tcBorders>
              <w:top w:val="nil"/>
              <w:left w:val="single" w:sz="8" w:space="0" w:color="auto"/>
              <w:bottom w:val="nil"/>
              <w:right w:val="single" w:sz="8" w:space="0" w:color="auto"/>
            </w:tcBorders>
            <w:vAlign w:val="center"/>
            <w:hideMark/>
          </w:tcPr>
          <w:p w14:paraId="18C7DB9C" w14:textId="41AC9687" w:rsidR="008F49F7" w:rsidRPr="003D290C" w:rsidRDefault="008F49F7" w:rsidP="008F49F7">
            <w:pPr>
              <w:rPr>
                <w:rFonts w:ascii="Arial" w:hAnsi="Arial" w:cs="Arial"/>
                <w:color w:val="000000"/>
                <w:sz w:val="22"/>
                <w:szCs w:val="22"/>
              </w:rPr>
            </w:pPr>
            <w:r w:rsidRPr="003D290C">
              <w:rPr>
                <w:rFonts w:ascii="Arial" w:hAnsi="Arial" w:cs="Arial"/>
                <w:color w:val="000000"/>
                <w:sz w:val="22"/>
                <w:szCs w:val="22"/>
              </w:rPr>
              <w:t xml:space="preserve">Total Comprehensive </w:t>
            </w:r>
            <w:r>
              <w:rPr>
                <w:rFonts w:ascii="Arial" w:hAnsi="Arial" w:cs="Arial"/>
                <w:color w:val="000000"/>
                <w:sz w:val="22"/>
                <w:szCs w:val="22"/>
              </w:rPr>
              <w:t>(</w:t>
            </w:r>
            <w:r w:rsidRPr="003D290C">
              <w:rPr>
                <w:rFonts w:ascii="Arial" w:hAnsi="Arial" w:cs="Arial"/>
                <w:color w:val="000000"/>
                <w:sz w:val="22"/>
                <w:szCs w:val="22"/>
              </w:rPr>
              <w:t>Income</w:t>
            </w:r>
            <w:r>
              <w:rPr>
                <w:rFonts w:ascii="Arial" w:hAnsi="Arial" w:cs="Arial"/>
                <w:color w:val="000000"/>
                <w:sz w:val="22"/>
                <w:szCs w:val="22"/>
              </w:rPr>
              <w:t>)</w:t>
            </w:r>
            <w:r w:rsidRPr="003D290C">
              <w:rPr>
                <w:rFonts w:ascii="Arial" w:hAnsi="Arial" w:cs="Arial"/>
                <w:color w:val="000000"/>
                <w:sz w:val="22"/>
                <w:szCs w:val="22"/>
              </w:rPr>
              <w:t xml:space="preserve"> &amp; Expenditure </w:t>
            </w:r>
          </w:p>
        </w:tc>
        <w:tc>
          <w:tcPr>
            <w:tcW w:w="851" w:type="dxa"/>
            <w:tcBorders>
              <w:top w:val="nil"/>
              <w:left w:val="nil"/>
              <w:bottom w:val="nil"/>
              <w:right w:val="single" w:sz="8" w:space="0" w:color="auto"/>
            </w:tcBorders>
            <w:vAlign w:val="center"/>
            <w:hideMark/>
          </w:tcPr>
          <w:p w14:paraId="4640AD56" w14:textId="77777777" w:rsidR="008F49F7" w:rsidRPr="003D290C" w:rsidRDefault="008F49F7" w:rsidP="008F49F7">
            <w:pPr>
              <w:rPr>
                <w:rFonts w:ascii="Arial" w:hAnsi="Arial" w:cs="Arial"/>
                <w:color w:val="000000"/>
                <w:sz w:val="22"/>
                <w:szCs w:val="22"/>
              </w:rPr>
            </w:pPr>
          </w:p>
        </w:tc>
        <w:tc>
          <w:tcPr>
            <w:tcW w:w="1276" w:type="dxa"/>
            <w:tcBorders>
              <w:top w:val="nil"/>
              <w:left w:val="nil"/>
              <w:bottom w:val="nil"/>
              <w:right w:val="single" w:sz="8" w:space="0" w:color="auto"/>
            </w:tcBorders>
            <w:vAlign w:val="center"/>
            <w:hideMark/>
          </w:tcPr>
          <w:p w14:paraId="3A46A8E4" w14:textId="7589F1A8" w:rsidR="008F49F7" w:rsidRPr="003D290C" w:rsidRDefault="008F49F7" w:rsidP="008F49F7">
            <w:pPr>
              <w:jc w:val="right"/>
              <w:rPr>
                <w:rFonts w:ascii="Arial" w:hAnsi="Arial" w:cs="Arial"/>
                <w:b/>
                <w:bCs/>
                <w:sz w:val="22"/>
                <w:szCs w:val="22"/>
              </w:rPr>
            </w:pPr>
            <w:r>
              <w:rPr>
                <w:rFonts w:ascii="Arial" w:hAnsi="Arial" w:cs="Arial"/>
                <w:b/>
                <w:bCs/>
                <w:sz w:val="22"/>
                <w:szCs w:val="22"/>
              </w:rPr>
              <w:t>72,9</w:t>
            </w:r>
            <w:r w:rsidR="002F0866">
              <w:rPr>
                <w:rFonts w:ascii="Arial" w:hAnsi="Arial" w:cs="Arial"/>
                <w:b/>
                <w:bCs/>
                <w:sz w:val="22"/>
                <w:szCs w:val="22"/>
              </w:rPr>
              <w:t>71</w:t>
            </w:r>
          </w:p>
        </w:tc>
        <w:tc>
          <w:tcPr>
            <w:tcW w:w="1275" w:type="dxa"/>
            <w:tcBorders>
              <w:top w:val="nil"/>
              <w:left w:val="nil"/>
              <w:bottom w:val="nil"/>
              <w:right w:val="single" w:sz="8" w:space="0" w:color="auto"/>
            </w:tcBorders>
            <w:vAlign w:val="center"/>
            <w:hideMark/>
          </w:tcPr>
          <w:p w14:paraId="43C9F4D7" w14:textId="4E0A8569" w:rsidR="008F49F7" w:rsidRPr="003D290C" w:rsidRDefault="008F49F7" w:rsidP="008F49F7">
            <w:pPr>
              <w:jc w:val="right"/>
              <w:rPr>
                <w:rFonts w:ascii="Arial" w:hAnsi="Arial" w:cs="Arial"/>
                <w:b/>
                <w:bCs/>
                <w:sz w:val="22"/>
                <w:szCs w:val="22"/>
              </w:rPr>
            </w:pPr>
            <w:r>
              <w:rPr>
                <w:rFonts w:ascii="Arial" w:hAnsi="Arial" w:cs="Arial"/>
                <w:b/>
                <w:bCs/>
                <w:sz w:val="22"/>
                <w:szCs w:val="22"/>
              </w:rPr>
              <w:t>0</w:t>
            </w:r>
          </w:p>
        </w:tc>
        <w:tc>
          <w:tcPr>
            <w:tcW w:w="1418" w:type="dxa"/>
            <w:tcBorders>
              <w:top w:val="nil"/>
              <w:left w:val="nil"/>
              <w:bottom w:val="nil"/>
              <w:right w:val="single" w:sz="8" w:space="0" w:color="auto"/>
            </w:tcBorders>
            <w:vAlign w:val="center"/>
            <w:hideMark/>
          </w:tcPr>
          <w:p w14:paraId="35C2B6EB" w14:textId="7AB585BB" w:rsidR="008F49F7" w:rsidRPr="003D290C" w:rsidRDefault="008F49F7" w:rsidP="008F49F7">
            <w:pPr>
              <w:jc w:val="right"/>
              <w:rPr>
                <w:rFonts w:ascii="Arial" w:hAnsi="Arial" w:cs="Arial"/>
                <w:b/>
                <w:bCs/>
                <w:sz w:val="22"/>
                <w:szCs w:val="22"/>
              </w:rPr>
            </w:pPr>
            <w:r>
              <w:rPr>
                <w:rFonts w:ascii="Arial" w:hAnsi="Arial" w:cs="Arial"/>
                <w:b/>
                <w:bCs/>
                <w:sz w:val="22"/>
                <w:szCs w:val="22"/>
              </w:rPr>
              <w:t>0</w:t>
            </w:r>
          </w:p>
        </w:tc>
        <w:tc>
          <w:tcPr>
            <w:tcW w:w="1417" w:type="dxa"/>
            <w:tcBorders>
              <w:top w:val="nil"/>
              <w:left w:val="nil"/>
              <w:bottom w:val="nil"/>
              <w:right w:val="single" w:sz="8" w:space="0" w:color="auto"/>
            </w:tcBorders>
            <w:shd w:val="clear" w:color="000000" w:fill="D9D9D9"/>
            <w:vAlign w:val="center"/>
            <w:hideMark/>
          </w:tcPr>
          <w:p w14:paraId="09F034E9" w14:textId="4808A853" w:rsidR="008F49F7" w:rsidRPr="003D290C" w:rsidRDefault="008F49F7" w:rsidP="008F49F7">
            <w:pPr>
              <w:jc w:val="right"/>
              <w:rPr>
                <w:rFonts w:ascii="Arial" w:hAnsi="Arial" w:cs="Arial"/>
                <w:b/>
                <w:bCs/>
                <w:sz w:val="22"/>
                <w:szCs w:val="22"/>
              </w:rPr>
            </w:pPr>
            <w:r>
              <w:rPr>
                <w:rFonts w:ascii="Arial" w:hAnsi="Arial" w:cs="Arial"/>
                <w:b/>
                <w:bCs/>
                <w:sz w:val="22"/>
                <w:szCs w:val="22"/>
              </w:rPr>
              <w:t>72,9</w:t>
            </w:r>
            <w:r w:rsidR="002F0866">
              <w:rPr>
                <w:rFonts w:ascii="Arial" w:hAnsi="Arial" w:cs="Arial"/>
                <w:b/>
                <w:bCs/>
                <w:sz w:val="22"/>
                <w:szCs w:val="22"/>
              </w:rPr>
              <w:t>71</w:t>
            </w:r>
          </w:p>
        </w:tc>
        <w:tc>
          <w:tcPr>
            <w:tcW w:w="1276" w:type="dxa"/>
            <w:tcBorders>
              <w:top w:val="nil"/>
              <w:left w:val="nil"/>
              <w:bottom w:val="nil"/>
              <w:right w:val="single" w:sz="8" w:space="0" w:color="auto"/>
            </w:tcBorders>
            <w:shd w:val="clear" w:color="000000" w:fill="D9D9D9"/>
            <w:vAlign w:val="center"/>
            <w:hideMark/>
          </w:tcPr>
          <w:p w14:paraId="5F2A7275" w14:textId="0FB0DCDD" w:rsidR="008F49F7" w:rsidRPr="00234C59" w:rsidRDefault="008F49F7" w:rsidP="008F49F7">
            <w:pPr>
              <w:jc w:val="right"/>
              <w:rPr>
                <w:rFonts w:ascii="Arial" w:hAnsi="Arial" w:cs="Arial"/>
                <w:b/>
                <w:bCs/>
                <w:sz w:val="22"/>
                <w:szCs w:val="22"/>
              </w:rPr>
            </w:pPr>
            <w:r>
              <w:rPr>
                <w:rFonts w:ascii="Arial" w:hAnsi="Arial" w:cs="Arial"/>
                <w:b/>
                <w:bCs/>
                <w:sz w:val="22"/>
                <w:szCs w:val="22"/>
              </w:rPr>
              <w:t>(440,575)</w:t>
            </w:r>
          </w:p>
        </w:tc>
        <w:tc>
          <w:tcPr>
            <w:tcW w:w="1423" w:type="dxa"/>
            <w:tcBorders>
              <w:top w:val="nil"/>
              <w:left w:val="nil"/>
              <w:bottom w:val="nil"/>
              <w:right w:val="single" w:sz="8" w:space="0" w:color="auto"/>
            </w:tcBorders>
            <w:shd w:val="clear" w:color="000000" w:fill="D9D9D9"/>
            <w:vAlign w:val="center"/>
            <w:hideMark/>
          </w:tcPr>
          <w:p w14:paraId="7A75EBF6" w14:textId="0F2E6062" w:rsidR="008F49F7" w:rsidRPr="00234C59" w:rsidRDefault="008F49F7" w:rsidP="008F49F7">
            <w:pPr>
              <w:jc w:val="right"/>
              <w:rPr>
                <w:rFonts w:ascii="Arial" w:hAnsi="Arial" w:cs="Arial"/>
                <w:b/>
                <w:bCs/>
                <w:sz w:val="22"/>
                <w:szCs w:val="22"/>
              </w:rPr>
            </w:pPr>
            <w:r>
              <w:rPr>
                <w:rFonts w:ascii="Arial" w:hAnsi="Arial" w:cs="Arial"/>
                <w:b/>
                <w:bCs/>
                <w:sz w:val="22"/>
                <w:szCs w:val="22"/>
              </w:rPr>
              <w:t>(367,6</w:t>
            </w:r>
            <w:r w:rsidR="002F0866">
              <w:rPr>
                <w:rFonts w:ascii="Arial" w:hAnsi="Arial" w:cs="Arial"/>
                <w:b/>
                <w:bCs/>
                <w:sz w:val="22"/>
                <w:szCs w:val="22"/>
              </w:rPr>
              <w:t>04</w:t>
            </w:r>
            <w:r>
              <w:rPr>
                <w:rFonts w:ascii="Arial" w:hAnsi="Arial" w:cs="Arial"/>
                <w:b/>
                <w:bCs/>
                <w:sz w:val="22"/>
                <w:szCs w:val="22"/>
              </w:rPr>
              <w:t>)</w:t>
            </w:r>
          </w:p>
        </w:tc>
      </w:tr>
      <w:tr w:rsidR="008F49F7" w:rsidRPr="003D290C" w14:paraId="42D05B86" w14:textId="77777777" w:rsidTr="00BA742D">
        <w:trPr>
          <w:trHeight w:val="153"/>
        </w:trPr>
        <w:tc>
          <w:tcPr>
            <w:tcW w:w="6227" w:type="dxa"/>
            <w:tcBorders>
              <w:top w:val="nil"/>
              <w:left w:val="single" w:sz="8" w:space="0" w:color="auto"/>
              <w:bottom w:val="single" w:sz="8" w:space="0" w:color="auto"/>
              <w:right w:val="single" w:sz="8" w:space="0" w:color="auto"/>
            </w:tcBorders>
            <w:vAlign w:val="center"/>
            <w:hideMark/>
          </w:tcPr>
          <w:p w14:paraId="69E983D3" w14:textId="77777777" w:rsidR="008F49F7" w:rsidRPr="003D290C" w:rsidRDefault="008F49F7" w:rsidP="008F49F7">
            <w:pPr>
              <w:rPr>
                <w:rFonts w:ascii="Arial" w:hAnsi="Arial" w:cs="Arial"/>
                <w:color w:val="000000"/>
                <w:sz w:val="22"/>
                <w:szCs w:val="22"/>
              </w:rPr>
            </w:pPr>
            <w:proofErr w:type="spellStart"/>
            <w:r w:rsidRPr="003D290C">
              <w:rPr>
                <w:rFonts w:ascii="Arial" w:hAnsi="Arial" w:cs="Arial"/>
                <w:color w:val="000000"/>
                <w:sz w:val="22"/>
                <w:szCs w:val="22"/>
              </w:rPr>
              <w:t>Adjs</w:t>
            </w:r>
            <w:proofErr w:type="spellEnd"/>
            <w:r w:rsidRPr="003D290C">
              <w:rPr>
                <w:rFonts w:ascii="Arial" w:hAnsi="Arial" w:cs="Arial"/>
                <w:color w:val="000000"/>
                <w:sz w:val="22"/>
                <w:szCs w:val="22"/>
              </w:rPr>
              <w:t xml:space="preserve"> between accounting basis &amp; funding basis under regulations</w:t>
            </w:r>
          </w:p>
        </w:tc>
        <w:tc>
          <w:tcPr>
            <w:tcW w:w="851" w:type="dxa"/>
            <w:tcBorders>
              <w:top w:val="nil"/>
              <w:left w:val="single" w:sz="8" w:space="0" w:color="auto"/>
              <w:bottom w:val="single" w:sz="8" w:space="0" w:color="auto"/>
              <w:right w:val="single" w:sz="8" w:space="0" w:color="auto"/>
            </w:tcBorders>
            <w:vAlign w:val="center"/>
            <w:hideMark/>
          </w:tcPr>
          <w:p w14:paraId="3E732EE3" w14:textId="77777777" w:rsidR="008F49F7" w:rsidRPr="003D290C" w:rsidRDefault="008F49F7" w:rsidP="008F49F7">
            <w:pPr>
              <w:jc w:val="right"/>
              <w:rPr>
                <w:rFonts w:ascii="Arial" w:hAnsi="Arial" w:cs="Arial"/>
                <w:color w:val="000000"/>
                <w:sz w:val="22"/>
                <w:szCs w:val="22"/>
              </w:rPr>
            </w:pPr>
            <w:r w:rsidRPr="003D290C">
              <w:rPr>
                <w:rFonts w:ascii="Arial" w:hAnsi="Arial" w:cs="Arial"/>
                <w:color w:val="000000"/>
                <w:sz w:val="22"/>
                <w:szCs w:val="22"/>
              </w:rPr>
              <w:t>8</w:t>
            </w:r>
          </w:p>
        </w:tc>
        <w:tc>
          <w:tcPr>
            <w:tcW w:w="1276" w:type="dxa"/>
            <w:tcBorders>
              <w:top w:val="nil"/>
              <w:left w:val="nil"/>
              <w:bottom w:val="single" w:sz="8" w:space="0" w:color="auto"/>
              <w:right w:val="single" w:sz="8" w:space="0" w:color="auto"/>
            </w:tcBorders>
            <w:vAlign w:val="center"/>
            <w:hideMark/>
          </w:tcPr>
          <w:p w14:paraId="63DA9042" w14:textId="505B9A45" w:rsidR="008F49F7" w:rsidRPr="003D290C" w:rsidRDefault="008F49F7" w:rsidP="008F49F7">
            <w:pPr>
              <w:jc w:val="right"/>
              <w:rPr>
                <w:rFonts w:ascii="Arial" w:hAnsi="Arial" w:cs="Arial"/>
                <w:b/>
                <w:bCs/>
                <w:sz w:val="22"/>
                <w:szCs w:val="22"/>
              </w:rPr>
            </w:pPr>
            <w:r>
              <w:rPr>
                <w:rFonts w:ascii="Arial" w:hAnsi="Arial" w:cs="Arial"/>
                <w:b/>
                <w:bCs/>
                <w:sz w:val="22"/>
                <w:szCs w:val="22"/>
              </w:rPr>
              <w:t>(70,682)</w:t>
            </w:r>
          </w:p>
        </w:tc>
        <w:tc>
          <w:tcPr>
            <w:tcW w:w="1275" w:type="dxa"/>
            <w:tcBorders>
              <w:top w:val="nil"/>
              <w:left w:val="nil"/>
              <w:bottom w:val="single" w:sz="8" w:space="0" w:color="auto"/>
              <w:right w:val="single" w:sz="8" w:space="0" w:color="auto"/>
            </w:tcBorders>
            <w:vAlign w:val="center"/>
            <w:hideMark/>
          </w:tcPr>
          <w:p w14:paraId="52DD0CFE" w14:textId="04177BE9" w:rsidR="008F49F7" w:rsidRPr="003D290C" w:rsidRDefault="008F49F7" w:rsidP="008F49F7">
            <w:pPr>
              <w:jc w:val="right"/>
              <w:rPr>
                <w:rFonts w:ascii="Arial" w:hAnsi="Arial" w:cs="Arial"/>
                <w:b/>
                <w:bCs/>
                <w:sz w:val="22"/>
                <w:szCs w:val="22"/>
              </w:rPr>
            </w:pPr>
            <w:r>
              <w:rPr>
                <w:rFonts w:ascii="Arial" w:hAnsi="Arial" w:cs="Arial"/>
                <w:b/>
                <w:bCs/>
                <w:sz w:val="22"/>
                <w:szCs w:val="22"/>
              </w:rPr>
              <w:t>(91)</w:t>
            </w:r>
          </w:p>
        </w:tc>
        <w:tc>
          <w:tcPr>
            <w:tcW w:w="1418" w:type="dxa"/>
            <w:tcBorders>
              <w:top w:val="nil"/>
              <w:left w:val="nil"/>
              <w:bottom w:val="single" w:sz="8" w:space="0" w:color="auto"/>
              <w:right w:val="single" w:sz="8" w:space="0" w:color="auto"/>
            </w:tcBorders>
            <w:vAlign w:val="center"/>
            <w:hideMark/>
          </w:tcPr>
          <w:p w14:paraId="05483E06" w14:textId="6001B98F" w:rsidR="008F49F7" w:rsidRPr="003D290C" w:rsidRDefault="008F49F7" w:rsidP="008F49F7">
            <w:pPr>
              <w:jc w:val="right"/>
              <w:rPr>
                <w:rFonts w:ascii="Arial" w:hAnsi="Arial" w:cs="Arial"/>
                <w:b/>
                <w:bCs/>
                <w:sz w:val="22"/>
                <w:szCs w:val="22"/>
              </w:rPr>
            </w:pPr>
            <w:r>
              <w:rPr>
                <w:rFonts w:ascii="Arial" w:hAnsi="Arial" w:cs="Arial"/>
                <w:b/>
                <w:bCs/>
                <w:sz w:val="22"/>
                <w:szCs w:val="22"/>
              </w:rPr>
              <w:t>80</w:t>
            </w:r>
          </w:p>
        </w:tc>
        <w:tc>
          <w:tcPr>
            <w:tcW w:w="1417" w:type="dxa"/>
            <w:tcBorders>
              <w:top w:val="nil"/>
              <w:left w:val="nil"/>
              <w:bottom w:val="single" w:sz="8" w:space="0" w:color="auto"/>
              <w:right w:val="single" w:sz="8" w:space="0" w:color="auto"/>
            </w:tcBorders>
            <w:shd w:val="clear" w:color="000000" w:fill="D9D9D9"/>
            <w:vAlign w:val="center"/>
            <w:hideMark/>
          </w:tcPr>
          <w:p w14:paraId="3F80262D" w14:textId="3D6B2849" w:rsidR="008F49F7" w:rsidRPr="003D290C" w:rsidRDefault="008F49F7" w:rsidP="008F49F7">
            <w:pPr>
              <w:jc w:val="right"/>
              <w:rPr>
                <w:rFonts w:ascii="Arial" w:hAnsi="Arial" w:cs="Arial"/>
                <w:b/>
                <w:bCs/>
                <w:sz w:val="22"/>
                <w:szCs w:val="22"/>
              </w:rPr>
            </w:pPr>
            <w:r>
              <w:rPr>
                <w:rFonts w:ascii="Arial" w:hAnsi="Arial" w:cs="Arial"/>
                <w:b/>
                <w:bCs/>
                <w:sz w:val="22"/>
                <w:szCs w:val="22"/>
              </w:rPr>
              <w:t>(70,693)</w:t>
            </w:r>
          </w:p>
        </w:tc>
        <w:tc>
          <w:tcPr>
            <w:tcW w:w="1276" w:type="dxa"/>
            <w:tcBorders>
              <w:top w:val="nil"/>
              <w:left w:val="nil"/>
              <w:bottom w:val="single" w:sz="8" w:space="0" w:color="auto"/>
              <w:right w:val="single" w:sz="8" w:space="0" w:color="auto"/>
            </w:tcBorders>
            <w:shd w:val="clear" w:color="000000" w:fill="D9D9D9"/>
            <w:vAlign w:val="center"/>
            <w:hideMark/>
          </w:tcPr>
          <w:p w14:paraId="32455674" w14:textId="26F85585" w:rsidR="008F49F7" w:rsidRPr="00234C59" w:rsidRDefault="008F49F7" w:rsidP="008F49F7">
            <w:pPr>
              <w:jc w:val="right"/>
              <w:rPr>
                <w:rFonts w:ascii="Arial" w:hAnsi="Arial" w:cs="Arial"/>
                <w:b/>
                <w:bCs/>
                <w:sz w:val="22"/>
                <w:szCs w:val="22"/>
              </w:rPr>
            </w:pPr>
            <w:r>
              <w:rPr>
                <w:rFonts w:ascii="Arial" w:hAnsi="Arial" w:cs="Arial"/>
                <w:b/>
                <w:bCs/>
                <w:sz w:val="22"/>
                <w:szCs w:val="22"/>
              </w:rPr>
              <w:t>70,693</w:t>
            </w:r>
          </w:p>
        </w:tc>
        <w:tc>
          <w:tcPr>
            <w:tcW w:w="1423" w:type="dxa"/>
            <w:tcBorders>
              <w:top w:val="nil"/>
              <w:left w:val="nil"/>
              <w:bottom w:val="single" w:sz="8" w:space="0" w:color="auto"/>
              <w:right w:val="single" w:sz="8" w:space="0" w:color="auto"/>
            </w:tcBorders>
            <w:shd w:val="clear" w:color="000000" w:fill="D9D9D9"/>
            <w:vAlign w:val="center"/>
            <w:hideMark/>
          </w:tcPr>
          <w:p w14:paraId="29126C45" w14:textId="2C47EDA6" w:rsidR="008F49F7" w:rsidRPr="00234C59" w:rsidRDefault="008F49F7" w:rsidP="008F49F7">
            <w:pPr>
              <w:jc w:val="right"/>
              <w:rPr>
                <w:rFonts w:ascii="Arial" w:hAnsi="Arial" w:cs="Arial"/>
                <w:b/>
                <w:bCs/>
                <w:sz w:val="22"/>
                <w:szCs w:val="22"/>
              </w:rPr>
            </w:pPr>
            <w:r>
              <w:rPr>
                <w:rFonts w:ascii="Arial" w:hAnsi="Arial" w:cs="Arial"/>
                <w:b/>
                <w:bCs/>
                <w:sz w:val="22"/>
                <w:szCs w:val="22"/>
              </w:rPr>
              <w:t>0</w:t>
            </w:r>
          </w:p>
        </w:tc>
      </w:tr>
      <w:tr w:rsidR="008F49F7" w:rsidRPr="003D290C" w14:paraId="1353F3AA" w14:textId="77777777" w:rsidTr="00BA742D">
        <w:trPr>
          <w:trHeight w:val="153"/>
        </w:trPr>
        <w:tc>
          <w:tcPr>
            <w:tcW w:w="6227" w:type="dxa"/>
            <w:tcBorders>
              <w:top w:val="nil"/>
              <w:left w:val="single" w:sz="8" w:space="0" w:color="auto"/>
              <w:bottom w:val="single" w:sz="8" w:space="0" w:color="auto"/>
              <w:right w:val="single" w:sz="8" w:space="0" w:color="auto"/>
            </w:tcBorders>
            <w:vAlign w:val="center"/>
            <w:hideMark/>
          </w:tcPr>
          <w:p w14:paraId="4E53EFF5" w14:textId="3C4E55DA" w:rsidR="008F49F7" w:rsidRPr="003D290C" w:rsidRDefault="008F49F7" w:rsidP="008F49F7">
            <w:pPr>
              <w:rPr>
                <w:rFonts w:ascii="Arial" w:hAnsi="Arial" w:cs="Arial"/>
                <w:b/>
                <w:bCs/>
                <w:color w:val="000000"/>
                <w:sz w:val="22"/>
                <w:szCs w:val="22"/>
              </w:rPr>
            </w:pPr>
            <w:r w:rsidRPr="003D290C">
              <w:rPr>
                <w:rFonts w:ascii="Arial" w:hAnsi="Arial" w:cs="Arial"/>
                <w:b/>
                <w:bCs/>
                <w:color w:val="000000"/>
                <w:sz w:val="22"/>
                <w:szCs w:val="22"/>
              </w:rPr>
              <w:t xml:space="preserve">Net </w:t>
            </w:r>
            <w:r>
              <w:rPr>
                <w:rFonts w:ascii="Arial" w:hAnsi="Arial" w:cs="Arial"/>
                <w:b/>
                <w:bCs/>
                <w:color w:val="000000"/>
                <w:sz w:val="22"/>
                <w:szCs w:val="22"/>
              </w:rPr>
              <w:t>(</w:t>
            </w:r>
            <w:r w:rsidRPr="003D290C">
              <w:rPr>
                <w:rFonts w:ascii="Arial" w:hAnsi="Arial" w:cs="Arial"/>
                <w:b/>
                <w:bCs/>
                <w:color w:val="000000"/>
                <w:sz w:val="22"/>
                <w:szCs w:val="22"/>
              </w:rPr>
              <w:t>Increase</w:t>
            </w:r>
            <w:r>
              <w:rPr>
                <w:rFonts w:ascii="Arial" w:hAnsi="Arial" w:cs="Arial"/>
                <w:b/>
                <w:bCs/>
                <w:color w:val="000000"/>
                <w:sz w:val="22"/>
                <w:szCs w:val="22"/>
              </w:rPr>
              <w:t>)</w:t>
            </w:r>
            <w:r w:rsidRPr="003D290C">
              <w:rPr>
                <w:rFonts w:ascii="Arial" w:hAnsi="Arial" w:cs="Arial"/>
                <w:b/>
                <w:bCs/>
                <w:color w:val="000000"/>
                <w:sz w:val="22"/>
                <w:szCs w:val="22"/>
              </w:rPr>
              <w:t xml:space="preserve">/Decrease in </w:t>
            </w:r>
            <w:r>
              <w:rPr>
                <w:rFonts w:ascii="Arial" w:hAnsi="Arial" w:cs="Arial"/>
                <w:b/>
                <w:bCs/>
                <w:color w:val="000000"/>
                <w:sz w:val="22"/>
                <w:szCs w:val="22"/>
              </w:rPr>
              <w:t>2024/25</w:t>
            </w:r>
          </w:p>
        </w:tc>
        <w:tc>
          <w:tcPr>
            <w:tcW w:w="851" w:type="dxa"/>
            <w:tcBorders>
              <w:top w:val="single" w:sz="8" w:space="0" w:color="auto"/>
              <w:left w:val="single" w:sz="8" w:space="0" w:color="auto"/>
              <w:bottom w:val="single" w:sz="8" w:space="0" w:color="auto"/>
              <w:right w:val="single" w:sz="8" w:space="0" w:color="auto"/>
            </w:tcBorders>
            <w:vAlign w:val="center"/>
            <w:hideMark/>
          </w:tcPr>
          <w:p w14:paraId="05296066" w14:textId="77777777" w:rsidR="008F49F7" w:rsidRPr="003D290C" w:rsidRDefault="008F49F7" w:rsidP="008F49F7">
            <w:pPr>
              <w:rPr>
                <w:rFonts w:ascii="Arial" w:hAnsi="Arial" w:cs="Arial"/>
                <w:b/>
                <w:bCs/>
                <w:color w:val="000000"/>
                <w:sz w:val="22"/>
                <w:szCs w:val="22"/>
              </w:rPr>
            </w:pPr>
          </w:p>
        </w:tc>
        <w:tc>
          <w:tcPr>
            <w:tcW w:w="1276" w:type="dxa"/>
            <w:tcBorders>
              <w:top w:val="nil"/>
              <w:left w:val="nil"/>
              <w:bottom w:val="single" w:sz="8" w:space="0" w:color="auto"/>
              <w:right w:val="single" w:sz="8" w:space="0" w:color="auto"/>
            </w:tcBorders>
            <w:vAlign w:val="center"/>
            <w:hideMark/>
          </w:tcPr>
          <w:p w14:paraId="1F63ED18" w14:textId="0134361E" w:rsidR="008F49F7" w:rsidRPr="003D290C" w:rsidRDefault="008F49F7" w:rsidP="008F49F7">
            <w:pPr>
              <w:jc w:val="right"/>
              <w:rPr>
                <w:rFonts w:ascii="Arial" w:hAnsi="Arial" w:cs="Arial"/>
                <w:b/>
                <w:bCs/>
                <w:color w:val="000000"/>
                <w:sz w:val="22"/>
                <w:szCs w:val="22"/>
              </w:rPr>
            </w:pPr>
            <w:r>
              <w:rPr>
                <w:rFonts w:ascii="Arial" w:hAnsi="Arial" w:cs="Arial"/>
                <w:b/>
                <w:bCs/>
                <w:color w:val="000000"/>
                <w:sz w:val="22"/>
                <w:szCs w:val="22"/>
              </w:rPr>
              <w:t>2,2</w:t>
            </w:r>
            <w:r w:rsidR="002F0866">
              <w:rPr>
                <w:rFonts w:ascii="Arial" w:hAnsi="Arial" w:cs="Arial"/>
                <w:b/>
                <w:bCs/>
                <w:color w:val="000000"/>
                <w:sz w:val="22"/>
                <w:szCs w:val="22"/>
              </w:rPr>
              <w:t>89</w:t>
            </w:r>
          </w:p>
        </w:tc>
        <w:tc>
          <w:tcPr>
            <w:tcW w:w="1275" w:type="dxa"/>
            <w:tcBorders>
              <w:top w:val="nil"/>
              <w:left w:val="nil"/>
              <w:bottom w:val="single" w:sz="8" w:space="0" w:color="auto"/>
              <w:right w:val="single" w:sz="8" w:space="0" w:color="auto"/>
            </w:tcBorders>
            <w:vAlign w:val="center"/>
            <w:hideMark/>
          </w:tcPr>
          <w:p w14:paraId="578B627F" w14:textId="09B389B9" w:rsidR="008F49F7" w:rsidRPr="003D290C" w:rsidRDefault="008F49F7" w:rsidP="008F49F7">
            <w:pPr>
              <w:jc w:val="right"/>
              <w:rPr>
                <w:rFonts w:ascii="Arial" w:hAnsi="Arial" w:cs="Arial"/>
                <w:b/>
                <w:bCs/>
                <w:color w:val="000000"/>
                <w:sz w:val="22"/>
                <w:szCs w:val="22"/>
              </w:rPr>
            </w:pPr>
            <w:r>
              <w:rPr>
                <w:rFonts w:ascii="Arial" w:hAnsi="Arial" w:cs="Arial"/>
                <w:b/>
                <w:bCs/>
                <w:color w:val="000000"/>
                <w:sz w:val="22"/>
                <w:szCs w:val="22"/>
              </w:rPr>
              <w:t>(91)</w:t>
            </w:r>
          </w:p>
        </w:tc>
        <w:tc>
          <w:tcPr>
            <w:tcW w:w="1418" w:type="dxa"/>
            <w:tcBorders>
              <w:top w:val="nil"/>
              <w:left w:val="nil"/>
              <w:bottom w:val="single" w:sz="8" w:space="0" w:color="auto"/>
              <w:right w:val="single" w:sz="8" w:space="0" w:color="auto"/>
            </w:tcBorders>
            <w:vAlign w:val="center"/>
            <w:hideMark/>
          </w:tcPr>
          <w:p w14:paraId="194E857F" w14:textId="59B7BB38" w:rsidR="008F49F7" w:rsidRPr="003D290C" w:rsidRDefault="008F49F7" w:rsidP="008F49F7">
            <w:pPr>
              <w:jc w:val="right"/>
              <w:rPr>
                <w:rFonts w:ascii="Arial" w:hAnsi="Arial" w:cs="Arial"/>
                <w:b/>
                <w:bCs/>
                <w:color w:val="000000"/>
                <w:sz w:val="22"/>
                <w:szCs w:val="22"/>
              </w:rPr>
            </w:pPr>
            <w:r>
              <w:rPr>
                <w:rFonts w:ascii="Arial" w:hAnsi="Arial" w:cs="Arial"/>
                <w:b/>
                <w:bCs/>
                <w:color w:val="000000"/>
                <w:sz w:val="22"/>
                <w:szCs w:val="22"/>
              </w:rPr>
              <w:t>80</w:t>
            </w:r>
          </w:p>
        </w:tc>
        <w:tc>
          <w:tcPr>
            <w:tcW w:w="1417" w:type="dxa"/>
            <w:tcBorders>
              <w:top w:val="nil"/>
              <w:left w:val="nil"/>
              <w:bottom w:val="single" w:sz="8" w:space="0" w:color="auto"/>
              <w:right w:val="single" w:sz="8" w:space="0" w:color="auto"/>
            </w:tcBorders>
            <w:shd w:val="clear" w:color="000000" w:fill="D9D9D9"/>
            <w:vAlign w:val="center"/>
            <w:hideMark/>
          </w:tcPr>
          <w:p w14:paraId="74640711" w14:textId="4B0CDE4F" w:rsidR="008F49F7" w:rsidRPr="003D290C" w:rsidRDefault="008F49F7" w:rsidP="008F49F7">
            <w:pPr>
              <w:jc w:val="right"/>
              <w:rPr>
                <w:rFonts w:ascii="Arial" w:hAnsi="Arial" w:cs="Arial"/>
                <w:b/>
                <w:bCs/>
                <w:color w:val="000000"/>
                <w:sz w:val="22"/>
                <w:szCs w:val="22"/>
              </w:rPr>
            </w:pPr>
            <w:r>
              <w:rPr>
                <w:rFonts w:ascii="Arial" w:hAnsi="Arial" w:cs="Arial"/>
                <w:b/>
                <w:bCs/>
                <w:color w:val="000000"/>
                <w:sz w:val="22"/>
                <w:szCs w:val="22"/>
              </w:rPr>
              <w:t>2,2</w:t>
            </w:r>
            <w:r w:rsidR="00DD6EBD">
              <w:rPr>
                <w:rFonts w:ascii="Arial" w:hAnsi="Arial" w:cs="Arial"/>
                <w:b/>
                <w:bCs/>
                <w:color w:val="000000"/>
                <w:sz w:val="22"/>
                <w:szCs w:val="22"/>
              </w:rPr>
              <w:t>79</w:t>
            </w:r>
          </w:p>
        </w:tc>
        <w:tc>
          <w:tcPr>
            <w:tcW w:w="1276" w:type="dxa"/>
            <w:tcBorders>
              <w:top w:val="nil"/>
              <w:left w:val="nil"/>
              <w:bottom w:val="single" w:sz="8" w:space="0" w:color="auto"/>
              <w:right w:val="single" w:sz="8" w:space="0" w:color="auto"/>
            </w:tcBorders>
            <w:shd w:val="clear" w:color="000000" w:fill="D9D9D9"/>
            <w:vAlign w:val="center"/>
            <w:hideMark/>
          </w:tcPr>
          <w:p w14:paraId="3C6FFE47" w14:textId="7D365509" w:rsidR="008F49F7" w:rsidRPr="00234C59" w:rsidRDefault="008F49F7" w:rsidP="008F49F7">
            <w:pPr>
              <w:jc w:val="right"/>
              <w:rPr>
                <w:rFonts w:ascii="Arial" w:hAnsi="Arial" w:cs="Arial"/>
                <w:b/>
                <w:bCs/>
                <w:color w:val="000000"/>
                <w:sz w:val="22"/>
                <w:szCs w:val="22"/>
              </w:rPr>
            </w:pPr>
            <w:r>
              <w:rPr>
                <w:rFonts w:ascii="Arial" w:hAnsi="Arial" w:cs="Arial"/>
                <w:b/>
                <w:bCs/>
                <w:color w:val="000000"/>
                <w:sz w:val="22"/>
                <w:szCs w:val="22"/>
              </w:rPr>
              <w:t>(369,883)</w:t>
            </w:r>
          </w:p>
        </w:tc>
        <w:tc>
          <w:tcPr>
            <w:tcW w:w="1423" w:type="dxa"/>
            <w:tcBorders>
              <w:top w:val="nil"/>
              <w:left w:val="nil"/>
              <w:bottom w:val="single" w:sz="8" w:space="0" w:color="auto"/>
              <w:right w:val="single" w:sz="8" w:space="0" w:color="auto"/>
            </w:tcBorders>
            <w:shd w:val="clear" w:color="000000" w:fill="D9D9D9"/>
            <w:vAlign w:val="center"/>
            <w:hideMark/>
          </w:tcPr>
          <w:p w14:paraId="2F7AC13C" w14:textId="47B96C7E" w:rsidR="008F49F7" w:rsidRPr="00234C59" w:rsidRDefault="008F49F7" w:rsidP="008F49F7">
            <w:pPr>
              <w:jc w:val="right"/>
              <w:rPr>
                <w:rFonts w:ascii="Arial" w:hAnsi="Arial" w:cs="Arial"/>
                <w:b/>
                <w:bCs/>
                <w:color w:val="000000"/>
                <w:sz w:val="22"/>
                <w:szCs w:val="22"/>
              </w:rPr>
            </w:pPr>
            <w:r>
              <w:rPr>
                <w:rFonts w:ascii="Arial" w:hAnsi="Arial" w:cs="Arial"/>
                <w:b/>
                <w:bCs/>
                <w:color w:val="000000"/>
                <w:sz w:val="22"/>
                <w:szCs w:val="22"/>
              </w:rPr>
              <w:t>(367,6</w:t>
            </w:r>
            <w:r w:rsidR="00D41E53">
              <w:rPr>
                <w:rFonts w:ascii="Arial" w:hAnsi="Arial" w:cs="Arial"/>
                <w:b/>
                <w:bCs/>
                <w:color w:val="000000"/>
                <w:sz w:val="22"/>
                <w:szCs w:val="22"/>
              </w:rPr>
              <w:t>04</w:t>
            </w:r>
            <w:r>
              <w:rPr>
                <w:rFonts w:ascii="Arial" w:hAnsi="Arial" w:cs="Arial"/>
                <w:b/>
                <w:bCs/>
                <w:color w:val="000000"/>
                <w:sz w:val="22"/>
                <w:szCs w:val="22"/>
              </w:rPr>
              <w:t>)</w:t>
            </w:r>
          </w:p>
        </w:tc>
      </w:tr>
      <w:tr w:rsidR="008F49F7" w:rsidRPr="003D290C" w14:paraId="6D754529" w14:textId="77777777" w:rsidTr="00BA742D">
        <w:trPr>
          <w:trHeight w:val="80"/>
        </w:trPr>
        <w:tc>
          <w:tcPr>
            <w:tcW w:w="6227" w:type="dxa"/>
            <w:tcBorders>
              <w:top w:val="nil"/>
              <w:left w:val="single" w:sz="8" w:space="0" w:color="auto"/>
              <w:bottom w:val="single" w:sz="8" w:space="0" w:color="auto"/>
              <w:right w:val="single" w:sz="8" w:space="0" w:color="auto"/>
            </w:tcBorders>
            <w:vAlign w:val="center"/>
            <w:hideMark/>
          </w:tcPr>
          <w:p w14:paraId="16B78492" w14:textId="47CD15F7" w:rsidR="008F49F7" w:rsidRPr="003D290C" w:rsidRDefault="008F49F7" w:rsidP="008F49F7">
            <w:pPr>
              <w:rPr>
                <w:rFonts w:ascii="Arial" w:hAnsi="Arial" w:cs="Arial"/>
                <w:b/>
                <w:bCs/>
                <w:color w:val="000000"/>
                <w:sz w:val="22"/>
                <w:szCs w:val="22"/>
              </w:rPr>
            </w:pPr>
            <w:r w:rsidRPr="003D290C">
              <w:rPr>
                <w:rFonts w:ascii="Arial" w:hAnsi="Arial" w:cs="Arial"/>
                <w:b/>
                <w:bCs/>
                <w:color w:val="000000"/>
                <w:sz w:val="22"/>
                <w:szCs w:val="22"/>
              </w:rPr>
              <w:t>Balance at 31 March 202</w:t>
            </w:r>
            <w:r>
              <w:rPr>
                <w:rFonts w:ascii="Arial" w:hAnsi="Arial" w:cs="Arial"/>
                <w:b/>
                <w:bCs/>
                <w:color w:val="000000"/>
                <w:sz w:val="22"/>
                <w:szCs w:val="22"/>
              </w:rPr>
              <w:t>5</w:t>
            </w:r>
          </w:p>
        </w:tc>
        <w:tc>
          <w:tcPr>
            <w:tcW w:w="851" w:type="dxa"/>
            <w:tcBorders>
              <w:top w:val="nil"/>
              <w:left w:val="single" w:sz="8" w:space="0" w:color="auto"/>
              <w:bottom w:val="single" w:sz="8" w:space="0" w:color="auto"/>
              <w:right w:val="single" w:sz="8" w:space="0" w:color="auto"/>
            </w:tcBorders>
            <w:vAlign w:val="center"/>
            <w:hideMark/>
          </w:tcPr>
          <w:p w14:paraId="19659747" w14:textId="77777777" w:rsidR="008F49F7" w:rsidRPr="003D290C" w:rsidRDefault="008F49F7" w:rsidP="008F49F7">
            <w:pPr>
              <w:rPr>
                <w:rFonts w:ascii="Arial" w:hAnsi="Arial" w:cs="Arial"/>
                <w:b/>
                <w:bCs/>
                <w:color w:val="000000"/>
                <w:sz w:val="22"/>
                <w:szCs w:val="22"/>
              </w:rPr>
            </w:pPr>
          </w:p>
        </w:tc>
        <w:tc>
          <w:tcPr>
            <w:tcW w:w="1276" w:type="dxa"/>
            <w:tcBorders>
              <w:top w:val="nil"/>
              <w:left w:val="nil"/>
              <w:bottom w:val="single" w:sz="8" w:space="0" w:color="auto"/>
              <w:right w:val="single" w:sz="8" w:space="0" w:color="auto"/>
            </w:tcBorders>
            <w:vAlign w:val="center"/>
            <w:hideMark/>
          </w:tcPr>
          <w:p w14:paraId="69694825" w14:textId="2F840361" w:rsidR="008F49F7" w:rsidRPr="003D290C" w:rsidRDefault="008F49F7" w:rsidP="008F49F7">
            <w:pPr>
              <w:jc w:val="right"/>
              <w:rPr>
                <w:rFonts w:ascii="Arial" w:hAnsi="Arial" w:cs="Arial"/>
                <w:b/>
                <w:bCs/>
                <w:color w:val="000000"/>
                <w:sz w:val="22"/>
                <w:szCs w:val="22"/>
              </w:rPr>
            </w:pPr>
            <w:r>
              <w:rPr>
                <w:rFonts w:ascii="Arial" w:hAnsi="Arial" w:cs="Arial"/>
                <w:b/>
                <w:bCs/>
                <w:color w:val="000000"/>
                <w:sz w:val="22"/>
                <w:szCs w:val="22"/>
              </w:rPr>
              <w:t>(27,1</w:t>
            </w:r>
            <w:r w:rsidR="00FC53E1">
              <w:rPr>
                <w:rFonts w:ascii="Arial" w:hAnsi="Arial" w:cs="Arial"/>
                <w:b/>
                <w:bCs/>
                <w:color w:val="000000"/>
                <w:sz w:val="22"/>
                <w:szCs w:val="22"/>
              </w:rPr>
              <w:t>54</w:t>
            </w:r>
            <w:r>
              <w:rPr>
                <w:rFonts w:ascii="Arial" w:hAnsi="Arial" w:cs="Arial"/>
                <w:b/>
                <w:bCs/>
                <w:color w:val="000000"/>
                <w:sz w:val="22"/>
                <w:szCs w:val="22"/>
              </w:rPr>
              <w:t>)</w:t>
            </w:r>
          </w:p>
        </w:tc>
        <w:tc>
          <w:tcPr>
            <w:tcW w:w="1275" w:type="dxa"/>
            <w:tcBorders>
              <w:top w:val="nil"/>
              <w:left w:val="nil"/>
              <w:bottom w:val="single" w:sz="8" w:space="0" w:color="auto"/>
              <w:right w:val="single" w:sz="8" w:space="0" w:color="auto"/>
            </w:tcBorders>
            <w:vAlign w:val="center"/>
            <w:hideMark/>
          </w:tcPr>
          <w:p w14:paraId="0701ACFB" w14:textId="420084A4" w:rsidR="008F49F7" w:rsidRPr="003D290C" w:rsidRDefault="008F49F7" w:rsidP="008F49F7">
            <w:pPr>
              <w:jc w:val="right"/>
              <w:rPr>
                <w:rFonts w:ascii="Arial" w:hAnsi="Arial" w:cs="Arial"/>
                <w:b/>
                <w:bCs/>
                <w:color w:val="000000"/>
                <w:sz w:val="22"/>
                <w:szCs w:val="22"/>
              </w:rPr>
            </w:pPr>
            <w:r>
              <w:rPr>
                <w:rFonts w:ascii="Arial" w:hAnsi="Arial" w:cs="Arial"/>
                <w:b/>
                <w:bCs/>
                <w:color w:val="000000"/>
                <w:sz w:val="22"/>
                <w:szCs w:val="22"/>
              </w:rPr>
              <w:t>(1,596)</w:t>
            </w:r>
          </w:p>
        </w:tc>
        <w:tc>
          <w:tcPr>
            <w:tcW w:w="1418" w:type="dxa"/>
            <w:tcBorders>
              <w:top w:val="nil"/>
              <w:left w:val="nil"/>
              <w:bottom w:val="single" w:sz="8" w:space="0" w:color="auto"/>
              <w:right w:val="single" w:sz="8" w:space="0" w:color="auto"/>
            </w:tcBorders>
            <w:vAlign w:val="center"/>
            <w:hideMark/>
          </w:tcPr>
          <w:p w14:paraId="6655BE1F" w14:textId="32B9DA55" w:rsidR="008F49F7" w:rsidRPr="003D290C" w:rsidRDefault="008F49F7" w:rsidP="008F49F7">
            <w:pPr>
              <w:jc w:val="right"/>
              <w:rPr>
                <w:rFonts w:ascii="Arial" w:hAnsi="Arial" w:cs="Arial"/>
                <w:b/>
                <w:bCs/>
                <w:color w:val="000000"/>
                <w:sz w:val="22"/>
                <w:szCs w:val="22"/>
              </w:rPr>
            </w:pPr>
            <w:r>
              <w:rPr>
                <w:rFonts w:ascii="Arial" w:hAnsi="Arial" w:cs="Arial"/>
                <w:b/>
                <w:bCs/>
                <w:color w:val="000000"/>
                <w:sz w:val="22"/>
                <w:szCs w:val="22"/>
              </w:rPr>
              <w:t>(256)</w:t>
            </w:r>
          </w:p>
        </w:tc>
        <w:tc>
          <w:tcPr>
            <w:tcW w:w="1417" w:type="dxa"/>
            <w:tcBorders>
              <w:top w:val="nil"/>
              <w:left w:val="nil"/>
              <w:bottom w:val="single" w:sz="8" w:space="0" w:color="auto"/>
              <w:right w:val="single" w:sz="8" w:space="0" w:color="auto"/>
            </w:tcBorders>
            <w:shd w:val="clear" w:color="000000" w:fill="D9D9D9"/>
            <w:vAlign w:val="center"/>
            <w:hideMark/>
          </w:tcPr>
          <w:p w14:paraId="026B9A29" w14:textId="76825F66" w:rsidR="008F49F7" w:rsidRPr="003D290C" w:rsidRDefault="008F49F7" w:rsidP="008F49F7">
            <w:pPr>
              <w:jc w:val="right"/>
              <w:rPr>
                <w:rFonts w:ascii="Arial" w:hAnsi="Arial" w:cs="Arial"/>
                <w:b/>
                <w:bCs/>
                <w:color w:val="000000"/>
                <w:sz w:val="22"/>
                <w:szCs w:val="22"/>
              </w:rPr>
            </w:pPr>
            <w:r>
              <w:rPr>
                <w:rFonts w:ascii="Arial" w:hAnsi="Arial" w:cs="Arial"/>
                <w:b/>
                <w:bCs/>
                <w:color w:val="000000"/>
                <w:sz w:val="22"/>
                <w:szCs w:val="22"/>
              </w:rPr>
              <w:t>(29,0</w:t>
            </w:r>
            <w:r w:rsidR="00DD6EBD">
              <w:rPr>
                <w:rFonts w:ascii="Arial" w:hAnsi="Arial" w:cs="Arial"/>
                <w:b/>
                <w:bCs/>
                <w:color w:val="000000"/>
                <w:sz w:val="22"/>
                <w:szCs w:val="22"/>
              </w:rPr>
              <w:t>06</w:t>
            </w:r>
            <w:r>
              <w:rPr>
                <w:rFonts w:ascii="Arial" w:hAnsi="Arial" w:cs="Arial"/>
                <w:b/>
                <w:bCs/>
                <w:color w:val="000000"/>
                <w:sz w:val="22"/>
                <w:szCs w:val="22"/>
              </w:rPr>
              <w:t>)</w:t>
            </w:r>
          </w:p>
        </w:tc>
        <w:tc>
          <w:tcPr>
            <w:tcW w:w="1276" w:type="dxa"/>
            <w:tcBorders>
              <w:top w:val="nil"/>
              <w:left w:val="nil"/>
              <w:bottom w:val="single" w:sz="8" w:space="0" w:color="auto"/>
              <w:right w:val="single" w:sz="8" w:space="0" w:color="auto"/>
            </w:tcBorders>
            <w:shd w:val="clear" w:color="000000" w:fill="D9D9D9"/>
            <w:vAlign w:val="center"/>
            <w:hideMark/>
          </w:tcPr>
          <w:p w14:paraId="7505C3C6" w14:textId="62EF6B61" w:rsidR="008F49F7" w:rsidRPr="00101531" w:rsidRDefault="008F49F7" w:rsidP="008F49F7">
            <w:pPr>
              <w:jc w:val="right"/>
              <w:rPr>
                <w:rFonts w:ascii="Arial" w:hAnsi="Arial" w:cs="Arial"/>
                <w:b/>
                <w:bCs/>
                <w:color w:val="000000"/>
                <w:sz w:val="22"/>
                <w:szCs w:val="22"/>
              </w:rPr>
            </w:pPr>
            <w:r>
              <w:rPr>
                <w:rFonts w:ascii="Arial" w:hAnsi="Arial" w:cs="Arial"/>
                <w:b/>
                <w:bCs/>
                <w:color w:val="000000"/>
                <w:sz w:val="22"/>
                <w:szCs w:val="22"/>
              </w:rPr>
              <w:t>2,333,151</w:t>
            </w:r>
          </w:p>
        </w:tc>
        <w:tc>
          <w:tcPr>
            <w:tcW w:w="1423" w:type="dxa"/>
            <w:tcBorders>
              <w:top w:val="nil"/>
              <w:left w:val="nil"/>
              <w:bottom w:val="single" w:sz="8" w:space="0" w:color="auto"/>
              <w:right w:val="single" w:sz="8" w:space="0" w:color="auto"/>
            </w:tcBorders>
            <w:shd w:val="clear" w:color="000000" w:fill="D9D9D9"/>
            <w:vAlign w:val="center"/>
            <w:hideMark/>
          </w:tcPr>
          <w:p w14:paraId="79347B90" w14:textId="0292D0FB" w:rsidR="008F49F7" w:rsidRPr="00101531" w:rsidRDefault="008F49F7" w:rsidP="008F49F7">
            <w:pPr>
              <w:jc w:val="right"/>
              <w:rPr>
                <w:rFonts w:ascii="Arial" w:hAnsi="Arial" w:cs="Arial"/>
                <w:b/>
                <w:bCs/>
                <w:color w:val="000000"/>
                <w:sz w:val="22"/>
                <w:szCs w:val="22"/>
              </w:rPr>
            </w:pPr>
            <w:r>
              <w:rPr>
                <w:rFonts w:ascii="Arial" w:hAnsi="Arial" w:cs="Arial"/>
                <w:b/>
                <w:bCs/>
                <w:color w:val="000000"/>
                <w:sz w:val="22"/>
                <w:szCs w:val="22"/>
              </w:rPr>
              <w:t>2,304,1</w:t>
            </w:r>
            <w:r w:rsidR="00D41E53">
              <w:rPr>
                <w:rFonts w:ascii="Arial" w:hAnsi="Arial" w:cs="Arial"/>
                <w:b/>
                <w:bCs/>
                <w:color w:val="000000"/>
                <w:sz w:val="22"/>
                <w:szCs w:val="22"/>
              </w:rPr>
              <w:t>45</w:t>
            </w:r>
          </w:p>
        </w:tc>
      </w:tr>
    </w:tbl>
    <w:p w14:paraId="05834359" w14:textId="785B8EA2" w:rsidR="003B74DA" w:rsidRPr="004D0773" w:rsidRDefault="003B74DA" w:rsidP="003B74DA">
      <w:pPr>
        <w:ind w:left="720" w:hanging="720"/>
        <w:rPr>
          <w:rFonts w:ascii="Arial" w:hAnsi="Arial"/>
          <w:sz w:val="22"/>
          <w:szCs w:val="22"/>
        </w:rPr>
      </w:pPr>
      <w:bookmarkStart w:id="9" w:name="_Hlk74123286"/>
      <w:r w:rsidRPr="004D0773">
        <w:rPr>
          <w:rFonts w:ascii="Arial" w:hAnsi="Arial"/>
          <w:sz w:val="22"/>
          <w:szCs w:val="22"/>
        </w:rPr>
        <w:t>NOTE: The General Fund Balance is held by the PCC in reserves that are earmarked for specific purposes or in a general reserve, as follows:</w:t>
      </w:r>
    </w:p>
    <w:p w14:paraId="4F6532D2" w14:textId="77777777" w:rsidR="00A96C4E" w:rsidRDefault="00A96C4E" w:rsidP="00F73E3F">
      <w:pPr>
        <w:rPr>
          <w:rFonts w:ascii="Arial" w:hAnsi="Arial"/>
          <w:sz w:val="12"/>
          <w:szCs w:val="12"/>
        </w:rPr>
      </w:pPr>
    </w:p>
    <w:tbl>
      <w:tblPr>
        <w:tblStyle w:val="TableGrid"/>
        <w:tblpPr w:leftFromText="180" w:rightFromText="180" w:vertAnchor="text" w:horzAnchor="margin" w:tblpY="5"/>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1562"/>
        <w:gridCol w:w="1562"/>
        <w:gridCol w:w="1562"/>
      </w:tblGrid>
      <w:tr w:rsidR="006B31B5" w:rsidRPr="002235E8" w14:paraId="445BD3A9" w14:textId="77777777" w:rsidTr="006B31B5">
        <w:tc>
          <w:tcPr>
            <w:tcW w:w="1696" w:type="dxa"/>
          </w:tcPr>
          <w:p w14:paraId="42E7D4B2" w14:textId="77777777" w:rsidR="006B31B5" w:rsidRPr="004D0773" w:rsidRDefault="006B31B5" w:rsidP="006B31B5">
            <w:pPr>
              <w:rPr>
                <w:rFonts w:ascii="Arial" w:hAnsi="Arial"/>
                <w:sz w:val="22"/>
                <w:szCs w:val="22"/>
              </w:rPr>
            </w:pPr>
          </w:p>
        </w:tc>
        <w:tc>
          <w:tcPr>
            <w:tcW w:w="1562" w:type="dxa"/>
          </w:tcPr>
          <w:p w14:paraId="52D788DB" w14:textId="77777777" w:rsidR="006B31B5" w:rsidRPr="004D0773" w:rsidRDefault="006B31B5" w:rsidP="006B31B5">
            <w:pPr>
              <w:jc w:val="right"/>
              <w:rPr>
                <w:rFonts w:ascii="Arial" w:hAnsi="Arial"/>
                <w:sz w:val="22"/>
                <w:szCs w:val="22"/>
              </w:rPr>
            </w:pPr>
            <w:r w:rsidRPr="004D0773">
              <w:rPr>
                <w:rFonts w:ascii="Arial" w:hAnsi="Arial"/>
                <w:sz w:val="22"/>
                <w:szCs w:val="22"/>
              </w:rPr>
              <w:t>Earmarked</w:t>
            </w:r>
          </w:p>
        </w:tc>
        <w:tc>
          <w:tcPr>
            <w:tcW w:w="1562" w:type="dxa"/>
          </w:tcPr>
          <w:p w14:paraId="31AA0B62" w14:textId="77777777" w:rsidR="006B31B5" w:rsidRPr="004D0773" w:rsidRDefault="006B31B5" w:rsidP="006B31B5">
            <w:pPr>
              <w:jc w:val="right"/>
              <w:rPr>
                <w:rFonts w:ascii="Arial" w:hAnsi="Arial"/>
                <w:sz w:val="22"/>
                <w:szCs w:val="22"/>
              </w:rPr>
            </w:pPr>
            <w:r w:rsidRPr="004D0773">
              <w:rPr>
                <w:rFonts w:ascii="Arial" w:hAnsi="Arial"/>
                <w:sz w:val="22"/>
                <w:szCs w:val="22"/>
              </w:rPr>
              <w:t>General</w:t>
            </w:r>
          </w:p>
        </w:tc>
        <w:tc>
          <w:tcPr>
            <w:tcW w:w="1562" w:type="dxa"/>
          </w:tcPr>
          <w:p w14:paraId="63836F90" w14:textId="77777777" w:rsidR="006B31B5" w:rsidRPr="004D0773" w:rsidRDefault="006B31B5" w:rsidP="006B31B5">
            <w:pPr>
              <w:jc w:val="right"/>
              <w:rPr>
                <w:rFonts w:ascii="Arial" w:hAnsi="Arial"/>
                <w:sz w:val="22"/>
                <w:szCs w:val="22"/>
              </w:rPr>
            </w:pPr>
            <w:r w:rsidRPr="004D0773">
              <w:rPr>
                <w:rFonts w:ascii="Arial" w:hAnsi="Arial"/>
                <w:sz w:val="22"/>
                <w:szCs w:val="22"/>
              </w:rPr>
              <w:t>Total</w:t>
            </w:r>
          </w:p>
        </w:tc>
      </w:tr>
      <w:tr w:rsidR="006B31B5" w:rsidRPr="002235E8" w14:paraId="1252F801" w14:textId="77777777" w:rsidTr="006B31B5">
        <w:tc>
          <w:tcPr>
            <w:tcW w:w="1696" w:type="dxa"/>
          </w:tcPr>
          <w:p w14:paraId="11D3C6E6" w14:textId="77777777" w:rsidR="006B31B5" w:rsidRPr="004D0773" w:rsidRDefault="006B31B5" w:rsidP="006B31B5">
            <w:pPr>
              <w:rPr>
                <w:rFonts w:ascii="Arial" w:hAnsi="Arial"/>
                <w:sz w:val="22"/>
                <w:szCs w:val="22"/>
              </w:rPr>
            </w:pPr>
          </w:p>
        </w:tc>
        <w:tc>
          <w:tcPr>
            <w:tcW w:w="1562" w:type="dxa"/>
          </w:tcPr>
          <w:p w14:paraId="04822A7E" w14:textId="77777777" w:rsidR="006B31B5" w:rsidRPr="004D0773" w:rsidRDefault="006B31B5" w:rsidP="006B31B5">
            <w:pPr>
              <w:jc w:val="right"/>
              <w:rPr>
                <w:rFonts w:ascii="Arial" w:hAnsi="Arial"/>
                <w:sz w:val="22"/>
                <w:szCs w:val="22"/>
              </w:rPr>
            </w:pPr>
            <w:r w:rsidRPr="004D0773">
              <w:rPr>
                <w:rFonts w:ascii="Arial" w:hAnsi="Arial"/>
                <w:sz w:val="22"/>
                <w:szCs w:val="22"/>
              </w:rPr>
              <w:t>£000</w:t>
            </w:r>
          </w:p>
        </w:tc>
        <w:tc>
          <w:tcPr>
            <w:tcW w:w="1562" w:type="dxa"/>
          </w:tcPr>
          <w:p w14:paraId="10A4DB73" w14:textId="77777777" w:rsidR="006B31B5" w:rsidRPr="004D0773" w:rsidRDefault="006B31B5" w:rsidP="006B31B5">
            <w:pPr>
              <w:jc w:val="right"/>
              <w:rPr>
                <w:rFonts w:ascii="Arial" w:hAnsi="Arial"/>
                <w:sz w:val="22"/>
                <w:szCs w:val="22"/>
              </w:rPr>
            </w:pPr>
            <w:r w:rsidRPr="004D0773">
              <w:rPr>
                <w:rFonts w:ascii="Arial" w:hAnsi="Arial"/>
                <w:sz w:val="22"/>
                <w:szCs w:val="22"/>
              </w:rPr>
              <w:t>£000</w:t>
            </w:r>
          </w:p>
        </w:tc>
        <w:tc>
          <w:tcPr>
            <w:tcW w:w="1562" w:type="dxa"/>
          </w:tcPr>
          <w:p w14:paraId="1F837CAF" w14:textId="77777777" w:rsidR="006B31B5" w:rsidRPr="004D0773" w:rsidRDefault="006B31B5" w:rsidP="006B31B5">
            <w:pPr>
              <w:jc w:val="right"/>
              <w:rPr>
                <w:rFonts w:ascii="Arial" w:hAnsi="Arial"/>
                <w:sz w:val="22"/>
                <w:szCs w:val="22"/>
              </w:rPr>
            </w:pPr>
            <w:r w:rsidRPr="004D0773">
              <w:rPr>
                <w:rFonts w:ascii="Arial" w:hAnsi="Arial"/>
                <w:sz w:val="22"/>
                <w:szCs w:val="22"/>
              </w:rPr>
              <w:t>£000</w:t>
            </w:r>
          </w:p>
        </w:tc>
      </w:tr>
      <w:tr w:rsidR="006B31B5" w:rsidRPr="002235E8" w14:paraId="61506959" w14:textId="77777777" w:rsidTr="006B31B5">
        <w:tc>
          <w:tcPr>
            <w:tcW w:w="1696" w:type="dxa"/>
          </w:tcPr>
          <w:p w14:paraId="1400FB35" w14:textId="77777777" w:rsidR="006B31B5" w:rsidRPr="00074090" w:rsidRDefault="006B31B5" w:rsidP="006B31B5">
            <w:pPr>
              <w:rPr>
                <w:rFonts w:ascii="Arial" w:hAnsi="Arial"/>
                <w:sz w:val="22"/>
                <w:szCs w:val="22"/>
              </w:rPr>
            </w:pPr>
            <w:r>
              <w:rPr>
                <w:rFonts w:ascii="Arial" w:hAnsi="Arial"/>
                <w:sz w:val="22"/>
                <w:szCs w:val="22"/>
              </w:rPr>
              <w:t>31 March 2025</w:t>
            </w:r>
          </w:p>
        </w:tc>
        <w:tc>
          <w:tcPr>
            <w:tcW w:w="1562" w:type="dxa"/>
          </w:tcPr>
          <w:p w14:paraId="04B1E69E" w14:textId="77777777" w:rsidR="006B31B5" w:rsidRPr="0082737E" w:rsidRDefault="006B31B5" w:rsidP="006B31B5">
            <w:pPr>
              <w:jc w:val="right"/>
              <w:rPr>
                <w:rFonts w:ascii="Arial" w:hAnsi="Arial"/>
                <w:sz w:val="22"/>
                <w:szCs w:val="22"/>
              </w:rPr>
            </w:pPr>
            <w:r w:rsidRPr="0082737E">
              <w:rPr>
                <w:rFonts w:ascii="Arial" w:hAnsi="Arial"/>
                <w:sz w:val="22"/>
                <w:szCs w:val="22"/>
              </w:rPr>
              <w:t>11,180</w:t>
            </w:r>
          </w:p>
        </w:tc>
        <w:tc>
          <w:tcPr>
            <w:tcW w:w="1562" w:type="dxa"/>
          </w:tcPr>
          <w:p w14:paraId="37E8DE04" w14:textId="0E7B758E" w:rsidR="006B31B5" w:rsidRPr="0082737E" w:rsidRDefault="006B31B5" w:rsidP="006B31B5">
            <w:pPr>
              <w:jc w:val="right"/>
              <w:rPr>
                <w:rFonts w:ascii="Arial" w:hAnsi="Arial"/>
                <w:sz w:val="22"/>
                <w:szCs w:val="22"/>
              </w:rPr>
            </w:pPr>
            <w:r w:rsidRPr="0082737E">
              <w:rPr>
                <w:rFonts w:ascii="Arial" w:hAnsi="Arial"/>
                <w:sz w:val="22"/>
                <w:szCs w:val="22"/>
              </w:rPr>
              <w:t>15,9</w:t>
            </w:r>
            <w:r w:rsidR="00E8608A">
              <w:rPr>
                <w:rFonts w:ascii="Arial" w:hAnsi="Arial"/>
                <w:sz w:val="22"/>
                <w:szCs w:val="22"/>
              </w:rPr>
              <w:t>74</w:t>
            </w:r>
          </w:p>
        </w:tc>
        <w:tc>
          <w:tcPr>
            <w:tcW w:w="1562" w:type="dxa"/>
          </w:tcPr>
          <w:p w14:paraId="7B9A1624" w14:textId="31597073" w:rsidR="006B31B5" w:rsidRPr="0082737E" w:rsidRDefault="006B31B5" w:rsidP="006B31B5">
            <w:pPr>
              <w:jc w:val="right"/>
              <w:rPr>
                <w:rFonts w:ascii="Arial" w:hAnsi="Arial"/>
                <w:sz w:val="22"/>
                <w:szCs w:val="22"/>
              </w:rPr>
            </w:pPr>
            <w:r w:rsidRPr="0082737E">
              <w:rPr>
                <w:rFonts w:ascii="Arial" w:hAnsi="Arial"/>
                <w:sz w:val="22"/>
                <w:szCs w:val="22"/>
              </w:rPr>
              <w:t>27,1</w:t>
            </w:r>
            <w:r w:rsidR="00E8608A">
              <w:rPr>
                <w:rFonts w:ascii="Arial" w:hAnsi="Arial"/>
                <w:sz w:val="22"/>
                <w:szCs w:val="22"/>
              </w:rPr>
              <w:t>54</w:t>
            </w:r>
          </w:p>
        </w:tc>
      </w:tr>
      <w:tr w:rsidR="00A70CCF" w:rsidRPr="002235E8" w14:paraId="28FEC9F4" w14:textId="77777777" w:rsidTr="006B31B5">
        <w:tc>
          <w:tcPr>
            <w:tcW w:w="1696" w:type="dxa"/>
          </w:tcPr>
          <w:p w14:paraId="64E6685A" w14:textId="6A92F6EF" w:rsidR="00A70CCF" w:rsidRPr="00074090" w:rsidRDefault="00A70CCF" w:rsidP="006B31B5">
            <w:pPr>
              <w:rPr>
                <w:rFonts w:ascii="Arial" w:hAnsi="Arial"/>
                <w:sz w:val="22"/>
                <w:szCs w:val="22"/>
              </w:rPr>
            </w:pPr>
            <w:r w:rsidRPr="00074090">
              <w:rPr>
                <w:rFonts w:ascii="Arial" w:hAnsi="Arial"/>
                <w:sz w:val="22"/>
                <w:szCs w:val="22"/>
              </w:rPr>
              <w:t>31 March 2024</w:t>
            </w:r>
          </w:p>
        </w:tc>
        <w:tc>
          <w:tcPr>
            <w:tcW w:w="1562" w:type="dxa"/>
          </w:tcPr>
          <w:p w14:paraId="763E298C" w14:textId="6CAC6C72" w:rsidR="00A70CCF" w:rsidRPr="0082737E" w:rsidRDefault="00A70CCF" w:rsidP="006B31B5">
            <w:pPr>
              <w:jc w:val="right"/>
              <w:rPr>
                <w:rFonts w:ascii="Arial" w:hAnsi="Arial"/>
                <w:sz w:val="22"/>
                <w:szCs w:val="22"/>
              </w:rPr>
            </w:pPr>
            <w:r w:rsidRPr="0082737E">
              <w:rPr>
                <w:rFonts w:ascii="Arial" w:hAnsi="Arial"/>
                <w:sz w:val="22"/>
                <w:szCs w:val="22"/>
              </w:rPr>
              <w:t>9,722</w:t>
            </w:r>
          </w:p>
        </w:tc>
        <w:tc>
          <w:tcPr>
            <w:tcW w:w="1562" w:type="dxa"/>
          </w:tcPr>
          <w:p w14:paraId="49CCCC6E" w14:textId="1AA121F3" w:rsidR="00A70CCF" w:rsidRPr="0082737E" w:rsidRDefault="00A70CCF" w:rsidP="006B31B5">
            <w:pPr>
              <w:jc w:val="right"/>
              <w:rPr>
                <w:rFonts w:ascii="Arial" w:hAnsi="Arial"/>
                <w:sz w:val="22"/>
                <w:szCs w:val="22"/>
              </w:rPr>
            </w:pPr>
            <w:r w:rsidRPr="0082737E">
              <w:rPr>
                <w:rFonts w:ascii="Arial" w:hAnsi="Arial"/>
                <w:sz w:val="22"/>
                <w:szCs w:val="22"/>
              </w:rPr>
              <w:t>19,722</w:t>
            </w:r>
          </w:p>
        </w:tc>
        <w:tc>
          <w:tcPr>
            <w:tcW w:w="1562" w:type="dxa"/>
          </w:tcPr>
          <w:p w14:paraId="50CB7971" w14:textId="425D593A" w:rsidR="00A70CCF" w:rsidRPr="0082737E" w:rsidRDefault="00A70CCF" w:rsidP="006B31B5">
            <w:pPr>
              <w:jc w:val="right"/>
              <w:rPr>
                <w:rFonts w:ascii="Arial" w:hAnsi="Arial"/>
                <w:sz w:val="22"/>
                <w:szCs w:val="22"/>
              </w:rPr>
            </w:pPr>
            <w:r w:rsidRPr="0082737E">
              <w:rPr>
                <w:rFonts w:ascii="Arial" w:hAnsi="Arial"/>
                <w:sz w:val="22"/>
                <w:szCs w:val="22"/>
              </w:rPr>
              <w:t>29,444</w:t>
            </w:r>
          </w:p>
        </w:tc>
      </w:tr>
      <w:tr w:rsidR="00A70CCF" w:rsidRPr="002235E8" w14:paraId="61ED4505" w14:textId="77777777" w:rsidTr="006B31B5">
        <w:tc>
          <w:tcPr>
            <w:tcW w:w="1696" w:type="dxa"/>
          </w:tcPr>
          <w:p w14:paraId="519670AE" w14:textId="1084AA92" w:rsidR="00A70CCF" w:rsidRPr="00074090" w:rsidRDefault="00A70CCF" w:rsidP="006B31B5">
            <w:pPr>
              <w:rPr>
                <w:rFonts w:ascii="Arial" w:hAnsi="Arial"/>
                <w:sz w:val="22"/>
                <w:szCs w:val="22"/>
              </w:rPr>
            </w:pPr>
            <w:r w:rsidRPr="00074090">
              <w:rPr>
                <w:rFonts w:ascii="Arial" w:hAnsi="Arial"/>
                <w:sz w:val="22"/>
                <w:szCs w:val="22"/>
              </w:rPr>
              <w:t>31 March 2023</w:t>
            </w:r>
          </w:p>
        </w:tc>
        <w:tc>
          <w:tcPr>
            <w:tcW w:w="1562" w:type="dxa"/>
          </w:tcPr>
          <w:p w14:paraId="136D914A" w14:textId="5A3F6182" w:rsidR="00A70CCF" w:rsidRPr="0082737E" w:rsidRDefault="00A70CCF" w:rsidP="006B31B5">
            <w:pPr>
              <w:jc w:val="right"/>
              <w:rPr>
                <w:rFonts w:ascii="Arial" w:hAnsi="Arial"/>
                <w:sz w:val="22"/>
                <w:szCs w:val="22"/>
              </w:rPr>
            </w:pPr>
            <w:r w:rsidRPr="0082737E">
              <w:rPr>
                <w:rFonts w:ascii="Arial" w:hAnsi="Arial"/>
                <w:sz w:val="22"/>
                <w:szCs w:val="22"/>
              </w:rPr>
              <w:t>11,560</w:t>
            </w:r>
          </w:p>
        </w:tc>
        <w:tc>
          <w:tcPr>
            <w:tcW w:w="1562" w:type="dxa"/>
          </w:tcPr>
          <w:p w14:paraId="6D6B81B2" w14:textId="4B5B9EDA" w:rsidR="00A70CCF" w:rsidRPr="0082737E" w:rsidRDefault="00A70CCF" w:rsidP="006B31B5">
            <w:pPr>
              <w:jc w:val="right"/>
              <w:rPr>
                <w:rFonts w:ascii="Arial" w:hAnsi="Arial"/>
                <w:sz w:val="22"/>
                <w:szCs w:val="22"/>
              </w:rPr>
            </w:pPr>
            <w:r w:rsidRPr="0082737E">
              <w:rPr>
                <w:rFonts w:ascii="Arial" w:hAnsi="Arial"/>
                <w:sz w:val="22"/>
                <w:szCs w:val="22"/>
              </w:rPr>
              <w:t>18,656</w:t>
            </w:r>
          </w:p>
        </w:tc>
        <w:tc>
          <w:tcPr>
            <w:tcW w:w="1562" w:type="dxa"/>
          </w:tcPr>
          <w:p w14:paraId="505B843F" w14:textId="6C8BAE35" w:rsidR="00A70CCF" w:rsidRPr="0082737E" w:rsidRDefault="00A70CCF" w:rsidP="006B31B5">
            <w:pPr>
              <w:jc w:val="right"/>
              <w:rPr>
                <w:rFonts w:ascii="Arial" w:hAnsi="Arial"/>
                <w:sz w:val="22"/>
                <w:szCs w:val="22"/>
              </w:rPr>
            </w:pPr>
            <w:r w:rsidRPr="0082737E">
              <w:rPr>
                <w:rFonts w:ascii="Arial" w:hAnsi="Arial"/>
                <w:sz w:val="22"/>
                <w:szCs w:val="22"/>
              </w:rPr>
              <w:t>30,216</w:t>
            </w:r>
          </w:p>
        </w:tc>
      </w:tr>
    </w:tbl>
    <w:p w14:paraId="4C7887E3" w14:textId="77777777" w:rsidR="006B31B5" w:rsidRDefault="006B31B5" w:rsidP="00F73E3F">
      <w:pPr>
        <w:rPr>
          <w:rFonts w:ascii="Arial" w:hAnsi="Arial"/>
          <w:sz w:val="12"/>
          <w:szCs w:val="12"/>
        </w:rPr>
      </w:pPr>
    </w:p>
    <w:p w14:paraId="14E57EE1" w14:textId="77777777" w:rsidR="006B31B5" w:rsidRDefault="006B31B5" w:rsidP="00F73E3F">
      <w:pPr>
        <w:rPr>
          <w:rFonts w:ascii="Arial" w:hAnsi="Arial"/>
          <w:sz w:val="12"/>
          <w:szCs w:val="12"/>
        </w:rPr>
      </w:pPr>
    </w:p>
    <w:p w14:paraId="3D7D1BBB" w14:textId="77777777" w:rsidR="006B31B5" w:rsidRDefault="006B31B5" w:rsidP="00F73E3F">
      <w:pPr>
        <w:rPr>
          <w:rFonts w:ascii="Arial" w:hAnsi="Arial"/>
          <w:sz w:val="12"/>
          <w:szCs w:val="12"/>
        </w:rPr>
      </w:pPr>
    </w:p>
    <w:p w14:paraId="60E67634" w14:textId="77777777" w:rsidR="006B31B5" w:rsidRDefault="006B31B5" w:rsidP="00F73E3F">
      <w:pPr>
        <w:rPr>
          <w:rFonts w:ascii="Arial" w:hAnsi="Arial"/>
          <w:sz w:val="12"/>
          <w:szCs w:val="12"/>
        </w:rPr>
      </w:pPr>
    </w:p>
    <w:p w14:paraId="47D17D6E" w14:textId="77777777" w:rsidR="006B31B5" w:rsidRDefault="006B31B5" w:rsidP="00F73E3F">
      <w:pPr>
        <w:rPr>
          <w:rFonts w:ascii="Arial" w:hAnsi="Arial"/>
          <w:sz w:val="12"/>
          <w:szCs w:val="12"/>
        </w:rPr>
      </w:pPr>
    </w:p>
    <w:p w14:paraId="2088C0E3" w14:textId="77777777" w:rsidR="006B31B5" w:rsidRDefault="006B31B5" w:rsidP="00F73E3F">
      <w:pPr>
        <w:rPr>
          <w:rFonts w:ascii="Arial" w:hAnsi="Arial"/>
          <w:sz w:val="12"/>
          <w:szCs w:val="12"/>
        </w:rPr>
      </w:pPr>
    </w:p>
    <w:p w14:paraId="50C2220D" w14:textId="77777777" w:rsidR="007F558F" w:rsidRDefault="007F558F" w:rsidP="00F73E3F">
      <w:pPr>
        <w:rPr>
          <w:rFonts w:ascii="Arial" w:hAnsi="Arial"/>
          <w:sz w:val="12"/>
          <w:szCs w:val="12"/>
        </w:rPr>
      </w:pPr>
    </w:p>
    <w:p w14:paraId="23D7E8B6" w14:textId="77777777" w:rsidR="007F558F" w:rsidRDefault="007F558F" w:rsidP="00F73E3F">
      <w:pPr>
        <w:rPr>
          <w:rFonts w:ascii="Arial" w:hAnsi="Arial"/>
          <w:sz w:val="12"/>
          <w:szCs w:val="12"/>
        </w:rPr>
      </w:pPr>
    </w:p>
    <w:p w14:paraId="0CDED9B3" w14:textId="77777777" w:rsidR="007F558F" w:rsidRDefault="007F558F" w:rsidP="00F73E3F">
      <w:pPr>
        <w:rPr>
          <w:rFonts w:ascii="Arial" w:hAnsi="Arial"/>
          <w:sz w:val="12"/>
          <w:szCs w:val="12"/>
        </w:rPr>
      </w:pPr>
    </w:p>
    <w:p w14:paraId="2D3E1588" w14:textId="77777777" w:rsidR="006B31B5" w:rsidRDefault="006B31B5" w:rsidP="00F73E3F">
      <w:pPr>
        <w:rPr>
          <w:rFonts w:ascii="Arial" w:hAnsi="Arial"/>
          <w:sz w:val="12"/>
          <w:szCs w:val="12"/>
        </w:rPr>
      </w:pPr>
    </w:p>
    <w:p w14:paraId="6A04FBBF" w14:textId="77777777" w:rsidR="006B31B5" w:rsidRDefault="006B31B5" w:rsidP="00F73E3F">
      <w:pPr>
        <w:rPr>
          <w:rFonts w:ascii="Arial" w:hAnsi="Arial"/>
          <w:sz w:val="12"/>
          <w:szCs w:val="12"/>
        </w:rPr>
      </w:pPr>
    </w:p>
    <w:p w14:paraId="583FB6DE" w14:textId="77777777" w:rsidR="007F558F" w:rsidRDefault="007F558F" w:rsidP="00F73E3F">
      <w:pPr>
        <w:rPr>
          <w:rFonts w:ascii="Arial" w:hAnsi="Arial"/>
          <w:sz w:val="12"/>
          <w:szCs w:val="12"/>
        </w:rPr>
        <w:sectPr w:rsidR="007F558F" w:rsidSect="00784E9A">
          <w:headerReference w:type="even" r:id="rId37"/>
          <w:headerReference w:type="default" r:id="rId38"/>
          <w:headerReference w:type="first" r:id="rId39"/>
          <w:pgSz w:w="16838" w:h="11906" w:orient="landscape" w:code="9"/>
          <w:pgMar w:top="1134" w:right="964" w:bottom="1134" w:left="851" w:header="397" w:footer="567" w:gutter="0"/>
          <w:cols w:space="720"/>
          <w:docGrid w:linePitch="272"/>
        </w:sectPr>
      </w:pPr>
    </w:p>
    <w:bookmarkEnd w:id="9"/>
    <w:p w14:paraId="58CDB353" w14:textId="68FB7C11" w:rsidR="003B74DA" w:rsidRDefault="003B74DA" w:rsidP="0001126F">
      <w:pPr>
        <w:jc w:val="center"/>
        <w:rPr>
          <w:rFonts w:ascii="Arial" w:hAnsi="Arial"/>
          <w:b/>
          <w:sz w:val="28"/>
          <w:szCs w:val="28"/>
        </w:rPr>
      </w:pPr>
      <w:r>
        <w:rPr>
          <w:rFonts w:ascii="Arial" w:hAnsi="Arial"/>
          <w:b/>
          <w:sz w:val="28"/>
          <w:szCs w:val="28"/>
        </w:rPr>
        <w:lastRenderedPageBreak/>
        <w:t>PCC SINGLE ENTITY M</w:t>
      </w:r>
      <w:r w:rsidRPr="00687B1F">
        <w:rPr>
          <w:rFonts w:ascii="Arial" w:hAnsi="Arial"/>
          <w:b/>
          <w:sz w:val="28"/>
          <w:szCs w:val="28"/>
        </w:rPr>
        <w:t>OVEMENT IN RESERVES STATEMENT</w:t>
      </w:r>
    </w:p>
    <w:p w14:paraId="66655363" w14:textId="77777777" w:rsidR="003B74DA" w:rsidRDefault="003B74DA" w:rsidP="003B74DA">
      <w:pPr>
        <w:ind w:left="720" w:hanging="720"/>
        <w:jc w:val="center"/>
        <w:rPr>
          <w:rFonts w:ascii="Arial" w:hAnsi="Arial"/>
          <w:b/>
          <w:sz w:val="28"/>
          <w:szCs w:val="28"/>
        </w:rPr>
      </w:pPr>
    </w:p>
    <w:p w14:paraId="583CEDCE" w14:textId="77777777" w:rsidR="003B74DA" w:rsidRPr="00C75839" w:rsidRDefault="003B74DA" w:rsidP="003B74DA">
      <w:pPr>
        <w:ind w:right="-720"/>
        <w:jc w:val="both"/>
        <w:rPr>
          <w:rFonts w:ascii="Arial" w:hAnsi="Arial"/>
          <w:sz w:val="18"/>
          <w:szCs w:val="18"/>
        </w:rPr>
      </w:pPr>
      <w:r w:rsidRPr="00C35EDD">
        <w:rPr>
          <w:rFonts w:ascii="Arial" w:hAnsi="Arial"/>
          <w:sz w:val="22"/>
          <w:szCs w:val="22"/>
        </w:rPr>
        <w:t xml:space="preserve">This statement shows the movement in the year on the different reserves held by the PCC analysed into usable reserves (those that can be applied to fund expenditure or reduce local taxation) and other reserves. The surplus or (deficit) on the provision of services line shows the true economic cost of providing the PCC services, more details of which are shown in the comprehensive income &amp; expenditure statement. These are different from the statutory amounts required to be charged to the General Fund balance for council tax setting purposes. The Net increase/(decrease) before transfers to earmarked reserves line shows the </w:t>
      </w:r>
      <w:r w:rsidRPr="00C75839">
        <w:rPr>
          <w:rFonts w:ascii="Arial" w:hAnsi="Arial"/>
          <w:sz w:val="18"/>
          <w:szCs w:val="18"/>
        </w:rPr>
        <w:t>statutory General Fund balance before any discretionary transfers undertaken by the PCC.</w:t>
      </w:r>
    </w:p>
    <w:p w14:paraId="42290DEE" w14:textId="69418D7E" w:rsidR="00CB7755" w:rsidRPr="00C75839" w:rsidRDefault="00CB7755" w:rsidP="003B74DA">
      <w:pPr>
        <w:ind w:right="-720"/>
        <w:rPr>
          <w:sz w:val="18"/>
          <w:szCs w:val="18"/>
        </w:rPr>
      </w:pPr>
    </w:p>
    <w:tbl>
      <w:tblPr>
        <w:tblW w:w="14789" w:type="dxa"/>
        <w:tblCellMar>
          <w:top w:w="15" w:type="dxa"/>
          <w:bottom w:w="15" w:type="dxa"/>
        </w:tblCellMar>
        <w:tblLook w:val="04A0" w:firstRow="1" w:lastRow="0" w:firstColumn="1" w:lastColumn="0" w:noHBand="0" w:noVBand="1"/>
      </w:tblPr>
      <w:tblGrid>
        <w:gridCol w:w="4424"/>
        <w:gridCol w:w="1200"/>
        <w:gridCol w:w="1551"/>
        <w:gridCol w:w="1420"/>
        <w:gridCol w:w="1604"/>
        <w:gridCol w:w="1527"/>
        <w:gridCol w:w="1512"/>
        <w:gridCol w:w="1551"/>
      </w:tblGrid>
      <w:tr w:rsidR="003D290C" w:rsidRPr="00C75839" w14:paraId="7C9F7918" w14:textId="77777777" w:rsidTr="003D290C">
        <w:trPr>
          <w:trHeight w:val="703"/>
        </w:trPr>
        <w:tc>
          <w:tcPr>
            <w:tcW w:w="4424" w:type="dxa"/>
            <w:tcBorders>
              <w:top w:val="single" w:sz="8" w:space="0" w:color="auto"/>
              <w:left w:val="single" w:sz="8" w:space="0" w:color="auto"/>
              <w:bottom w:val="nil"/>
              <w:right w:val="single" w:sz="8" w:space="0" w:color="auto"/>
            </w:tcBorders>
            <w:vAlign w:val="center"/>
            <w:hideMark/>
          </w:tcPr>
          <w:p w14:paraId="73B18987" w14:textId="77777777" w:rsidR="003D290C" w:rsidRPr="002C0D29" w:rsidRDefault="003D290C" w:rsidP="003D290C">
            <w:pPr>
              <w:rPr>
                <w:sz w:val="22"/>
                <w:szCs w:val="22"/>
              </w:rPr>
            </w:pPr>
          </w:p>
        </w:tc>
        <w:tc>
          <w:tcPr>
            <w:tcW w:w="1200" w:type="dxa"/>
            <w:tcBorders>
              <w:top w:val="single" w:sz="8" w:space="0" w:color="auto"/>
              <w:left w:val="nil"/>
              <w:bottom w:val="nil"/>
              <w:right w:val="single" w:sz="8" w:space="0" w:color="auto"/>
            </w:tcBorders>
            <w:vAlign w:val="center"/>
            <w:hideMark/>
          </w:tcPr>
          <w:p w14:paraId="7CF5FBE5"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 xml:space="preserve">    Notes</w:t>
            </w:r>
          </w:p>
        </w:tc>
        <w:tc>
          <w:tcPr>
            <w:tcW w:w="1551" w:type="dxa"/>
            <w:tcBorders>
              <w:top w:val="single" w:sz="8" w:space="0" w:color="auto"/>
              <w:left w:val="nil"/>
              <w:bottom w:val="nil"/>
              <w:right w:val="single" w:sz="8" w:space="0" w:color="auto"/>
            </w:tcBorders>
            <w:vAlign w:val="center"/>
            <w:hideMark/>
          </w:tcPr>
          <w:p w14:paraId="03CD8A23"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General Fund Balance</w:t>
            </w:r>
          </w:p>
        </w:tc>
        <w:tc>
          <w:tcPr>
            <w:tcW w:w="1420" w:type="dxa"/>
            <w:tcBorders>
              <w:top w:val="single" w:sz="8" w:space="0" w:color="auto"/>
              <w:left w:val="nil"/>
              <w:bottom w:val="nil"/>
              <w:right w:val="single" w:sz="8" w:space="0" w:color="auto"/>
            </w:tcBorders>
            <w:vAlign w:val="center"/>
            <w:hideMark/>
          </w:tcPr>
          <w:p w14:paraId="7F39239F"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Capital Receipts Reserve</w:t>
            </w:r>
          </w:p>
        </w:tc>
        <w:tc>
          <w:tcPr>
            <w:tcW w:w="1604" w:type="dxa"/>
            <w:tcBorders>
              <w:top w:val="single" w:sz="8" w:space="0" w:color="auto"/>
              <w:left w:val="nil"/>
              <w:bottom w:val="nil"/>
              <w:right w:val="single" w:sz="8" w:space="0" w:color="auto"/>
            </w:tcBorders>
            <w:vAlign w:val="center"/>
            <w:hideMark/>
          </w:tcPr>
          <w:p w14:paraId="4E1892D5"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Capital Grants Unapplied</w:t>
            </w:r>
          </w:p>
        </w:tc>
        <w:tc>
          <w:tcPr>
            <w:tcW w:w="1527" w:type="dxa"/>
            <w:tcBorders>
              <w:top w:val="single" w:sz="8" w:space="0" w:color="auto"/>
              <w:left w:val="nil"/>
              <w:bottom w:val="nil"/>
              <w:right w:val="single" w:sz="8" w:space="0" w:color="auto"/>
            </w:tcBorders>
            <w:shd w:val="clear" w:color="000000" w:fill="D9D9D9"/>
            <w:vAlign w:val="center"/>
            <w:hideMark/>
          </w:tcPr>
          <w:p w14:paraId="1FC5C9D3"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Total Usable Reserves</w:t>
            </w:r>
          </w:p>
        </w:tc>
        <w:tc>
          <w:tcPr>
            <w:tcW w:w="1512" w:type="dxa"/>
            <w:tcBorders>
              <w:top w:val="single" w:sz="8" w:space="0" w:color="auto"/>
              <w:left w:val="nil"/>
              <w:bottom w:val="nil"/>
              <w:right w:val="single" w:sz="8" w:space="0" w:color="auto"/>
            </w:tcBorders>
            <w:shd w:val="clear" w:color="000000" w:fill="D9D9D9"/>
            <w:vAlign w:val="center"/>
            <w:hideMark/>
          </w:tcPr>
          <w:p w14:paraId="01DC7255"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Unusable Reserves</w:t>
            </w:r>
          </w:p>
        </w:tc>
        <w:tc>
          <w:tcPr>
            <w:tcW w:w="1551" w:type="dxa"/>
            <w:tcBorders>
              <w:top w:val="single" w:sz="8" w:space="0" w:color="auto"/>
              <w:left w:val="nil"/>
              <w:bottom w:val="nil"/>
              <w:right w:val="single" w:sz="8" w:space="0" w:color="auto"/>
            </w:tcBorders>
            <w:shd w:val="clear" w:color="000000" w:fill="D9D9D9"/>
            <w:vAlign w:val="center"/>
            <w:hideMark/>
          </w:tcPr>
          <w:p w14:paraId="011ACFB8"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Total PCC Reserves</w:t>
            </w:r>
          </w:p>
        </w:tc>
      </w:tr>
      <w:tr w:rsidR="003D290C" w:rsidRPr="00C75839" w14:paraId="60F80520" w14:textId="77777777" w:rsidTr="003D290C">
        <w:trPr>
          <w:trHeight w:val="245"/>
        </w:trPr>
        <w:tc>
          <w:tcPr>
            <w:tcW w:w="4424" w:type="dxa"/>
            <w:tcBorders>
              <w:top w:val="nil"/>
              <w:left w:val="single" w:sz="8" w:space="0" w:color="auto"/>
              <w:bottom w:val="single" w:sz="8" w:space="0" w:color="auto"/>
              <w:right w:val="single" w:sz="8" w:space="0" w:color="auto"/>
            </w:tcBorders>
            <w:vAlign w:val="center"/>
            <w:hideMark/>
          </w:tcPr>
          <w:p w14:paraId="0CF587D9" w14:textId="77777777" w:rsidR="003D290C" w:rsidRPr="002C0D29" w:rsidRDefault="003D290C" w:rsidP="003D290C">
            <w:pPr>
              <w:jc w:val="right"/>
              <w:rPr>
                <w:rFonts w:ascii="Arial" w:hAnsi="Arial" w:cs="Arial"/>
                <w:b/>
                <w:bCs/>
                <w:color w:val="000000"/>
                <w:sz w:val="22"/>
                <w:szCs w:val="22"/>
              </w:rPr>
            </w:pPr>
          </w:p>
        </w:tc>
        <w:tc>
          <w:tcPr>
            <w:tcW w:w="1200" w:type="dxa"/>
            <w:tcBorders>
              <w:top w:val="nil"/>
              <w:left w:val="single" w:sz="8" w:space="0" w:color="auto"/>
              <w:bottom w:val="single" w:sz="8" w:space="0" w:color="auto"/>
              <w:right w:val="single" w:sz="8" w:space="0" w:color="auto"/>
            </w:tcBorders>
            <w:vAlign w:val="center"/>
            <w:hideMark/>
          </w:tcPr>
          <w:p w14:paraId="4269597D" w14:textId="77777777" w:rsidR="003D290C" w:rsidRPr="002C0D29" w:rsidRDefault="003D290C" w:rsidP="003D290C">
            <w:pPr>
              <w:rPr>
                <w:sz w:val="22"/>
                <w:szCs w:val="22"/>
              </w:rPr>
            </w:pPr>
          </w:p>
        </w:tc>
        <w:tc>
          <w:tcPr>
            <w:tcW w:w="1551" w:type="dxa"/>
            <w:tcBorders>
              <w:top w:val="nil"/>
              <w:left w:val="nil"/>
              <w:bottom w:val="nil"/>
              <w:right w:val="single" w:sz="8" w:space="0" w:color="auto"/>
            </w:tcBorders>
            <w:vAlign w:val="center"/>
            <w:hideMark/>
          </w:tcPr>
          <w:p w14:paraId="5E9AD917"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£000</w:t>
            </w:r>
          </w:p>
        </w:tc>
        <w:tc>
          <w:tcPr>
            <w:tcW w:w="1420" w:type="dxa"/>
            <w:tcBorders>
              <w:top w:val="nil"/>
              <w:left w:val="nil"/>
              <w:bottom w:val="nil"/>
              <w:right w:val="single" w:sz="8" w:space="0" w:color="auto"/>
            </w:tcBorders>
            <w:vAlign w:val="center"/>
            <w:hideMark/>
          </w:tcPr>
          <w:p w14:paraId="75872889"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£000</w:t>
            </w:r>
          </w:p>
        </w:tc>
        <w:tc>
          <w:tcPr>
            <w:tcW w:w="1604" w:type="dxa"/>
            <w:tcBorders>
              <w:top w:val="nil"/>
              <w:left w:val="nil"/>
              <w:bottom w:val="nil"/>
              <w:right w:val="single" w:sz="8" w:space="0" w:color="auto"/>
            </w:tcBorders>
            <w:vAlign w:val="center"/>
            <w:hideMark/>
          </w:tcPr>
          <w:p w14:paraId="5D2B0029"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£000</w:t>
            </w:r>
          </w:p>
        </w:tc>
        <w:tc>
          <w:tcPr>
            <w:tcW w:w="1527" w:type="dxa"/>
            <w:tcBorders>
              <w:top w:val="nil"/>
              <w:left w:val="nil"/>
              <w:bottom w:val="nil"/>
              <w:right w:val="single" w:sz="8" w:space="0" w:color="auto"/>
            </w:tcBorders>
            <w:shd w:val="clear" w:color="000000" w:fill="D9D9D9"/>
            <w:vAlign w:val="center"/>
            <w:hideMark/>
          </w:tcPr>
          <w:p w14:paraId="55B2106A"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£000</w:t>
            </w:r>
          </w:p>
        </w:tc>
        <w:tc>
          <w:tcPr>
            <w:tcW w:w="1512" w:type="dxa"/>
            <w:tcBorders>
              <w:top w:val="nil"/>
              <w:left w:val="nil"/>
              <w:bottom w:val="nil"/>
              <w:right w:val="single" w:sz="8" w:space="0" w:color="auto"/>
            </w:tcBorders>
            <w:shd w:val="clear" w:color="000000" w:fill="D9D9D9"/>
            <w:vAlign w:val="center"/>
            <w:hideMark/>
          </w:tcPr>
          <w:p w14:paraId="2B2CA573"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£000</w:t>
            </w:r>
          </w:p>
        </w:tc>
        <w:tc>
          <w:tcPr>
            <w:tcW w:w="1551" w:type="dxa"/>
            <w:tcBorders>
              <w:top w:val="nil"/>
              <w:left w:val="nil"/>
              <w:bottom w:val="nil"/>
              <w:right w:val="single" w:sz="8" w:space="0" w:color="auto"/>
            </w:tcBorders>
            <w:shd w:val="clear" w:color="000000" w:fill="D9D9D9"/>
            <w:vAlign w:val="center"/>
            <w:hideMark/>
          </w:tcPr>
          <w:p w14:paraId="6AD3F8AD" w14:textId="77777777" w:rsidR="003D290C" w:rsidRPr="002C0D29" w:rsidRDefault="003D290C" w:rsidP="003D290C">
            <w:pPr>
              <w:jc w:val="right"/>
              <w:rPr>
                <w:rFonts w:ascii="Arial" w:hAnsi="Arial" w:cs="Arial"/>
                <w:b/>
                <w:bCs/>
                <w:color w:val="000000"/>
                <w:sz w:val="22"/>
                <w:szCs w:val="22"/>
              </w:rPr>
            </w:pPr>
            <w:r w:rsidRPr="002C0D29">
              <w:rPr>
                <w:rFonts w:ascii="Arial" w:hAnsi="Arial" w:cs="Arial"/>
                <w:b/>
                <w:bCs/>
                <w:color w:val="000000"/>
                <w:sz w:val="22"/>
                <w:szCs w:val="22"/>
              </w:rPr>
              <w:t>£000</w:t>
            </w:r>
          </w:p>
        </w:tc>
      </w:tr>
      <w:tr w:rsidR="003D62CB" w:rsidRPr="00C75839" w14:paraId="57AFA0B3" w14:textId="77777777" w:rsidTr="00D4571A">
        <w:trPr>
          <w:trHeight w:val="233"/>
        </w:trPr>
        <w:tc>
          <w:tcPr>
            <w:tcW w:w="4424" w:type="dxa"/>
            <w:tcBorders>
              <w:top w:val="nil"/>
              <w:left w:val="single" w:sz="8" w:space="0" w:color="auto"/>
              <w:bottom w:val="nil"/>
              <w:right w:val="single" w:sz="8" w:space="0" w:color="auto"/>
            </w:tcBorders>
            <w:vAlign w:val="center"/>
            <w:hideMark/>
          </w:tcPr>
          <w:p w14:paraId="25E97544" w14:textId="23E6EA61" w:rsidR="003D62CB" w:rsidRPr="002C0D29" w:rsidRDefault="003D62CB" w:rsidP="003D62CB">
            <w:pPr>
              <w:rPr>
                <w:rFonts w:ascii="Arial" w:hAnsi="Arial" w:cs="Arial"/>
                <w:b/>
                <w:bCs/>
                <w:color w:val="000000"/>
                <w:sz w:val="22"/>
                <w:szCs w:val="22"/>
              </w:rPr>
            </w:pPr>
            <w:r w:rsidRPr="002C0D29">
              <w:rPr>
                <w:rFonts w:ascii="Arial" w:hAnsi="Arial" w:cs="Arial"/>
                <w:b/>
                <w:bCs/>
                <w:color w:val="000000"/>
                <w:sz w:val="22"/>
                <w:szCs w:val="22"/>
              </w:rPr>
              <w:t>Balance at 31 March 2023</w:t>
            </w:r>
          </w:p>
        </w:tc>
        <w:tc>
          <w:tcPr>
            <w:tcW w:w="1200" w:type="dxa"/>
            <w:tcBorders>
              <w:top w:val="nil"/>
              <w:left w:val="nil"/>
              <w:bottom w:val="nil"/>
              <w:right w:val="single" w:sz="8" w:space="0" w:color="auto"/>
            </w:tcBorders>
            <w:vAlign w:val="center"/>
            <w:hideMark/>
          </w:tcPr>
          <w:p w14:paraId="084486FA" w14:textId="77777777" w:rsidR="003D62CB" w:rsidRPr="002C0D29" w:rsidRDefault="003D62CB" w:rsidP="003D62CB">
            <w:pPr>
              <w:rPr>
                <w:rFonts w:ascii="Arial" w:hAnsi="Arial" w:cs="Arial"/>
                <w:b/>
                <w:bCs/>
                <w:color w:val="000000"/>
                <w:sz w:val="22"/>
                <w:szCs w:val="22"/>
              </w:rPr>
            </w:pPr>
          </w:p>
        </w:tc>
        <w:tc>
          <w:tcPr>
            <w:tcW w:w="1551" w:type="dxa"/>
            <w:tcBorders>
              <w:top w:val="single" w:sz="8" w:space="0" w:color="auto"/>
              <w:left w:val="nil"/>
              <w:bottom w:val="nil"/>
              <w:right w:val="single" w:sz="8" w:space="0" w:color="auto"/>
            </w:tcBorders>
            <w:vAlign w:val="center"/>
            <w:hideMark/>
          </w:tcPr>
          <w:p w14:paraId="47FACD0F" w14:textId="4C20E3B7"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(30,216)</w:t>
            </w:r>
          </w:p>
        </w:tc>
        <w:tc>
          <w:tcPr>
            <w:tcW w:w="1420" w:type="dxa"/>
            <w:tcBorders>
              <w:top w:val="single" w:sz="8" w:space="0" w:color="auto"/>
              <w:left w:val="nil"/>
              <w:bottom w:val="nil"/>
              <w:right w:val="single" w:sz="8" w:space="0" w:color="auto"/>
            </w:tcBorders>
            <w:vAlign w:val="center"/>
            <w:hideMark/>
          </w:tcPr>
          <w:p w14:paraId="7B9980AD" w14:textId="5F3F90AC"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(1,505)</w:t>
            </w:r>
          </w:p>
        </w:tc>
        <w:tc>
          <w:tcPr>
            <w:tcW w:w="1604" w:type="dxa"/>
            <w:tcBorders>
              <w:top w:val="single" w:sz="8" w:space="0" w:color="auto"/>
              <w:left w:val="nil"/>
              <w:bottom w:val="nil"/>
              <w:right w:val="single" w:sz="8" w:space="0" w:color="auto"/>
            </w:tcBorders>
            <w:vAlign w:val="center"/>
            <w:hideMark/>
          </w:tcPr>
          <w:p w14:paraId="4AEA70F2" w14:textId="4908030F"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(24</w:t>
            </w:r>
            <w:r w:rsidR="00FD400D" w:rsidRPr="002C0D29">
              <w:rPr>
                <w:rFonts w:ascii="Arial" w:hAnsi="Arial" w:cs="Arial"/>
                <w:b/>
                <w:bCs/>
                <w:color w:val="000000"/>
                <w:sz w:val="22"/>
                <w:szCs w:val="22"/>
              </w:rPr>
              <w:t>3</w:t>
            </w:r>
            <w:r w:rsidRPr="002C0D29">
              <w:rPr>
                <w:rFonts w:ascii="Arial" w:hAnsi="Arial" w:cs="Arial"/>
                <w:b/>
                <w:bCs/>
                <w:color w:val="000000"/>
                <w:sz w:val="22"/>
                <w:szCs w:val="22"/>
              </w:rPr>
              <w:t>)</w:t>
            </w:r>
          </w:p>
        </w:tc>
        <w:tc>
          <w:tcPr>
            <w:tcW w:w="1527" w:type="dxa"/>
            <w:tcBorders>
              <w:top w:val="single" w:sz="8" w:space="0" w:color="auto"/>
              <w:left w:val="nil"/>
              <w:bottom w:val="nil"/>
              <w:right w:val="single" w:sz="8" w:space="0" w:color="auto"/>
            </w:tcBorders>
            <w:shd w:val="clear" w:color="000000" w:fill="D9D9D9"/>
            <w:vAlign w:val="center"/>
            <w:hideMark/>
          </w:tcPr>
          <w:p w14:paraId="1EFBD6BF" w14:textId="536A330F"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(31,96</w:t>
            </w:r>
            <w:r w:rsidR="00FD400D" w:rsidRPr="002C0D29">
              <w:rPr>
                <w:rFonts w:ascii="Arial" w:hAnsi="Arial" w:cs="Arial"/>
                <w:b/>
                <w:bCs/>
                <w:color w:val="000000"/>
                <w:sz w:val="22"/>
                <w:szCs w:val="22"/>
              </w:rPr>
              <w:t>4</w:t>
            </w:r>
            <w:r w:rsidRPr="002C0D29">
              <w:rPr>
                <w:rFonts w:ascii="Arial" w:hAnsi="Arial" w:cs="Arial"/>
                <w:b/>
                <w:bCs/>
                <w:color w:val="000000"/>
                <w:sz w:val="22"/>
                <w:szCs w:val="22"/>
              </w:rPr>
              <w:t>)</w:t>
            </w:r>
          </w:p>
        </w:tc>
        <w:tc>
          <w:tcPr>
            <w:tcW w:w="1512" w:type="dxa"/>
            <w:tcBorders>
              <w:top w:val="single" w:sz="8" w:space="0" w:color="auto"/>
              <w:left w:val="nil"/>
              <w:bottom w:val="nil"/>
              <w:right w:val="single" w:sz="8" w:space="0" w:color="auto"/>
            </w:tcBorders>
            <w:shd w:val="clear" w:color="000000" w:fill="D9D9D9"/>
            <w:vAlign w:val="center"/>
            <w:hideMark/>
          </w:tcPr>
          <w:p w14:paraId="3E6A2744" w14:textId="34865C5E"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(168,593)</w:t>
            </w:r>
          </w:p>
        </w:tc>
        <w:tc>
          <w:tcPr>
            <w:tcW w:w="1551" w:type="dxa"/>
            <w:tcBorders>
              <w:top w:val="single" w:sz="8" w:space="0" w:color="auto"/>
              <w:left w:val="nil"/>
              <w:bottom w:val="nil"/>
              <w:right w:val="single" w:sz="8" w:space="0" w:color="auto"/>
            </w:tcBorders>
            <w:shd w:val="clear" w:color="000000" w:fill="D9D9D9"/>
            <w:vAlign w:val="center"/>
            <w:hideMark/>
          </w:tcPr>
          <w:p w14:paraId="0971394B" w14:textId="2C35B3C5"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(200,55</w:t>
            </w:r>
            <w:r w:rsidR="00FD400D" w:rsidRPr="002C0D29">
              <w:rPr>
                <w:rFonts w:ascii="Arial" w:hAnsi="Arial" w:cs="Arial"/>
                <w:b/>
                <w:bCs/>
                <w:color w:val="000000"/>
                <w:sz w:val="22"/>
                <w:szCs w:val="22"/>
              </w:rPr>
              <w:t>7</w:t>
            </w:r>
            <w:r w:rsidRPr="002C0D29">
              <w:rPr>
                <w:rFonts w:ascii="Arial" w:hAnsi="Arial" w:cs="Arial"/>
                <w:b/>
                <w:bCs/>
                <w:color w:val="000000"/>
                <w:sz w:val="22"/>
                <w:szCs w:val="22"/>
              </w:rPr>
              <w:t>)</w:t>
            </w:r>
          </w:p>
        </w:tc>
      </w:tr>
      <w:tr w:rsidR="003D62CB" w:rsidRPr="00C75839" w14:paraId="01749429" w14:textId="77777777" w:rsidTr="00D4571A">
        <w:trPr>
          <w:trHeight w:val="231"/>
        </w:trPr>
        <w:tc>
          <w:tcPr>
            <w:tcW w:w="4424" w:type="dxa"/>
            <w:tcBorders>
              <w:top w:val="nil"/>
              <w:left w:val="single" w:sz="8" w:space="0" w:color="auto"/>
              <w:bottom w:val="nil"/>
              <w:right w:val="single" w:sz="8" w:space="0" w:color="auto"/>
            </w:tcBorders>
            <w:vAlign w:val="center"/>
            <w:hideMark/>
          </w:tcPr>
          <w:p w14:paraId="07B4E48C" w14:textId="1CEB0D71" w:rsidR="003D62CB" w:rsidRPr="002C0D29" w:rsidRDefault="003D62CB" w:rsidP="003D62CB">
            <w:pPr>
              <w:rPr>
                <w:rFonts w:ascii="Arial" w:hAnsi="Arial" w:cs="Arial"/>
                <w:b/>
                <w:bCs/>
                <w:color w:val="000000"/>
                <w:sz w:val="22"/>
                <w:szCs w:val="22"/>
              </w:rPr>
            </w:pPr>
            <w:r w:rsidRPr="002C0D29">
              <w:rPr>
                <w:rFonts w:ascii="Arial" w:hAnsi="Arial" w:cs="Arial"/>
                <w:b/>
                <w:bCs/>
                <w:color w:val="000000"/>
                <w:sz w:val="22"/>
                <w:szCs w:val="22"/>
              </w:rPr>
              <w:t>Movement in reserves during 2023/24:</w:t>
            </w:r>
          </w:p>
        </w:tc>
        <w:tc>
          <w:tcPr>
            <w:tcW w:w="1200" w:type="dxa"/>
            <w:tcBorders>
              <w:top w:val="nil"/>
              <w:left w:val="nil"/>
              <w:bottom w:val="nil"/>
              <w:right w:val="single" w:sz="8" w:space="0" w:color="auto"/>
            </w:tcBorders>
            <w:vAlign w:val="center"/>
            <w:hideMark/>
          </w:tcPr>
          <w:p w14:paraId="41B08974" w14:textId="77777777" w:rsidR="003D62CB" w:rsidRPr="002C0D29" w:rsidRDefault="003D62CB" w:rsidP="003D62CB">
            <w:pPr>
              <w:rPr>
                <w:rFonts w:ascii="Arial" w:hAnsi="Arial" w:cs="Arial"/>
                <w:b/>
                <w:bCs/>
                <w:color w:val="000000"/>
                <w:sz w:val="22"/>
                <w:szCs w:val="22"/>
              </w:rPr>
            </w:pPr>
          </w:p>
        </w:tc>
        <w:tc>
          <w:tcPr>
            <w:tcW w:w="1551" w:type="dxa"/>
            <w:tcBorders>
              <w:top w:val="nil"/>
              <w:left w:val="nil"/>
              <w:bottom w:val="nil"/>
              <w:right w:val="single" w:sz="8" w:space="0" w:color="auto"/>
            </w:tcBorders>
            <w:vAlign w:val="center"/>
            <w:hideMark/>
          </w:tcPr>
          <w:p w14:paraId="2C9602A1" w14:textId="40B1F969" w:rsidR="003D62CB" w:rsidRPr="002C0D29" w:rsidRDefault="003D62CB" w:rsidP="00D4571A">
            <w:pPr>
              <w:jc w:val="right"/>
              <w:rPr>
                <w:sz w:val="22"/>
                <w:szCs w:val="22"/>
              </w:rPr>
            </w:pPr>
            <w:r w:rsidRPr="002C0D29">
              <w:rPr>
                <w:rFonts w:ascii="Arial" w:hAnsi="Arial" w:cs="Arial"/>
                <w:b/>
                <w:bCs/>
                <w:color w:val="000000"/>
                <w:sz w:val="22"/>
                <w:szCs w:val="22"/>
              </w:rPr>
              <w:t>0</w:t>
            </w:r>
          </w:p>
        </w:tc>
        <w:tc>
          <w:tcPr>
            <w:tcW w:w="1420" w:type="dxa"/>
            <w:tcBorders>
              <w:top w:val="nil"/>
              <w:left w:val="nil"/>
              <w:bottom w:val="nil"/>
              <w:right w:val="single" w:sz="8" w:space="0" w:color="auto"/>
            </w:tcBorders>
            <w:vAlign w:val="center"/>
            <w:hideMark/>
          </w:tcPr>
          <w:p w14:paraId="11EFAC03" w14:textId="06B9FFC0" w:rsidR="003D62CB" w:rsidRPr="002C0D29" w:rsidRDefault="003D62CB" w:rsidP="00D4571A">
            <w:pPr>
              <w:jc w:val="right"/>
              <w:rPr>
                <w:sz w:val="22"/>
                <w:szCs w:val="22"/>
              </w:rPr>
            </w:pPr>
            <w:r w:rsidRPr="002C0D29">
              <w:rPr>
                <w:rFonts w:ascii="Arial" w:hAnsi="Arial" w:cs="Arial"/>
                <w:b/>
                <w:bCs/>
                <w:color w:val="000000"/>
                <w:sz w:val="22"/>
                <w:szCs w:val="22"/>
              </w:rPr>
              <w:t>0</w:t>
            </w:r>
          </w:p>
        </w:tc>
        <w:tc>
          <w:tcPr>
            <w:tcW w:w="1604" w:type="dxa"/>
            <w:tcBorders>
              <w:top w:val="nil"/>
              <w:left w:val="nil"/>
              <w:bottom w:val="nil"/>
              <w:right w:val="single" w:sz="8" w:space="0" w:color="auto"/>
            </w:tcBorders>
            <w:vAlign w:val="center"/>
            <w:hideMark/>
          </w:tcPr>
          <w:p w14:paraId="32A6BA8B" w14:textId="28950A9F" w:rsidR="003D62CB" w:rsidRPr="002C0D29" w:rsidRDefault="003D62CB" w:rsidP="00D4571A">
            <w:pPr>
              <w:jc w:val="right"/>
              <w:rPr>
                <w:sz w:val="22"/>
                <w:szCs w:val="22"/>
              </w:rPr>
            </w:pPr>
            <w:r w:rsidRPr="002C0D29">
              <w:rPr>
                <w:rFonts w:ascii="Arial" w:hAnsi="Arial" w:cs="Arial"/>
                <w:b/>
                <w:bCs/>
                <w:color w:val="000000"/>
                <w:sz w:val="22"/>
                <w:szCs w:val="22"/>
              </w:rPr>
              <w:t>0</w:t>
            </w:r>
          </w:p>
        </w:tc>
        <w:tc>
          <w:tcPr>
            <w:tcW w:w="1527" w:type="dxa"/>
            <w:tcBorders>
              <w:top w:val="nil"/>
              <w:left w:val="nil"/>
              <w:bottom w:val="nil"/>
              <w:right w:val="single" w:sz="8" w:space="0" w:color="auto"/>
            </w:tcBorders>
            <w:shd w:val="clear" w:color="000000" w:fill="D9D9D9"/>
            <w:vAlign w:val="center"/>
            <w:hideMark/>
          </w:tcPr>
          <w:p w14:paraId="414F3CF7" w14:textId="78C52D21" w:rsidR="003D62CB" w:rsidRPr="002C0D29" w:rsidRDefault="003D62CB" w:rsidP="00D4571A">
            <w:pPr>
              <w:jc w:val="right"/>
              <w:rPr>
                <w:sz w:val="22"/>
                <w:szCs w:val="22"/>
              </w:rPr>
            </w:pPr>
            <w:r w:rsidRPr="002C0D29">
              <w:rPr>
                <w:rFonts w:ascii="Arial" w:hAnsi="Arial" w:cs="Arial"/>
                <w:b/>
                <w:bCs/>
                <w:color w:val="000000"/>
                <w:sz w:val="22"/>
                <w:szCs w:val="22"/>
              </w:rPr>
              <w:t>0</w:t>
            </w:r>
          </w:p>
        </w:tc>
        <w:tc>
          <w:tcPr>
            <w:tcW w:w="1512" w:type="dxa"/>
            <w:tcBorders>
              <w:top w:val="nil"/>
              <w:left w:val="nil"/>
              <w:bottom w:val="nil"/>
              <w:right w:val="single" w:sz="8" w:space="0" w:color="auto"/>
            </w:tcBorders>
            <w:shd w:val="clear" w:color="000000" w:fill="D9D9D9"/>
            <w:vAlign w:val="center"/>
            <w:hideMark/>
          </w:tcPr>
          <w:p w14:paraId="17E29ABD" w14:textId="3F61541C" w:rsidR="003D62CB" w:rsidRPr="002C0D29" w:rsidRDefault="003D62CB" w:rsidP="00D4571A">
            <w:pPr>
              <w:jc w:val="right"/>
              <w:rPr>
                <w:sz w:val="22"/>
                <w:szCs w:val="22"/>
              </w:rPr>
            </w:pPr>
            <w:r w:rsidRPr="002C0D29">
              <w:rPr>
                <w:rFonts w:ascii="Arial" w:hAnsi="Arial" w:cs="Arial"/>
                <w:b/>
                <w:bCs/>
                <w:color w:val="000000"/>
                <w:sz w:val="22"/>
                <w:szCs w:val="22"/>
              </w:rPr>
              <w:t>0</w:t>
            </w:r>
          </w:p>
        </w:tc>
        <w:tc>
          <w:tcPr>
            <w:tcW w:w="1551" w:type="dxa"/>
            <w:tcBorders>
              <w:top w:val="nil"/>
              <w:left w:val="nil"/>
              <w:bottom w:val="nil"/>
              <w:right w:val="single" w:sz="8" w:space="0" w:color="auto"/>
            </w:tcBorders>
            <w:shd w:val="clear" w:color="000000" w:fill="D9D9D9"/>
            <w:vAlign w:val="center"/>
            <w:hideMark/>
          </w:tcPr>
          <w:p w14:paraId="6B56F151" w14:textId="13E4793C" w:rsidR="003D62CB" w:rsidRPr="002C0D29" w:rsidRDefault="003D62CB" w:rsidP="00D4571A">
            <w:pPr>
              <w:jc w:val="right"/>
              <w:rPr>
                <w:sz w:val="22"/>
                <w:szCs w:val="22"/>
              </w:rPr>
            </w:pPr>
            <w:r w:rsidRPr="002C0D29">
              <w:rPr>
                <w:rFonts w:ascii="Arial" w:hAnsi="Arial" w:cs="Arial"/>
                <w:b/>
                <w:bCs/>
                <w:color w:val="000000"/>
                <w:sz w:val="22"/>
                <w:szCs w:val="22"/>
              </w:rPr>
              <w:t>0</w:t>
            </w:r>
          </w:p>
        </w:tc>
      </w:tr>
      <w:tr w:rsidR="003D62CB" w:rsidRPr="00C75839" w14:paraId="0184746D" w14:textId="77777777" w:rsidTr="00D4571A">
        <w:trPr>
          <w:trHeight w:val="468"/>
        </w:trPr>
        <w:tc>
          <w:tcPr>
            <w:tcW w:w="4424" w:type="dxa"/>
            <w:tcBorders>
              <w:top w:val="nil"/>
              <w:left w:val="single" w:sz="8" w:space="0" w:color="auto"/>
              <w:bottom w:val="nil"/>
              <w:right w:val="single" w:sz="8" w:space="0" w:color="auto"/>
            </w:tcBorders>
            <w:vAlign w:val="center"/>
            <w:hideMark/>
          </w:tcPr>
          <w:p w14:paraId="70649360" w14:textId="7FDED463" w:rsidR="003D62CB" w:rsidRPr="002C0D29" w:rsidRDefault="003D62CB" w:rsidP="003D62CB">
            <w:pPr>
              <w:rPr>
                <w:rFonts w:ascii="Arial" w:hAnsi="Arial" w:cs="Arial"/>
                <w:color w:val="000000"/>
                <w:sz w:val="22"/>
                <w:szCs w:val="22"/>
              </w:rPr>
            </w:pPr>
            <w:r w:rsidRPr="002C0D29">
              <w:rPr>
                <w:rFonts w:ascii="Arial" w:hAnsi="Arial" w:cs="Arial"/>
                <w:color w:val="000000"/>
                <w:sz w:val="22"/>
                <w:szCs w:val="22"/>
              </w:rPr>
              <w:t>Total Comprehensive (Income) &amp; Expenditure (restated)</w:t>
            </w:r>
          </w:p>
        </w:tc>
        <w:tc>
          <w:tcPr>
            <w:tcW w:w="1200" w:type="dxa"/>
            <w:tcBorders>
              <w:top w:val="nil"/>
              <w:left w:val="nil"/>
              <w:bottom w:val="nil"/>
              <w:right w:val="single" w:sz="8" w:space="0" w:color="auto"/>
            </w:tcBorders>
            <w:vAlign w:val="center"/>
            <w:hideMark/>
          </w:tcPr>
          <w:p w14:paraId="5D76C9B4" w14:textId="77777777" w:rsidR="003D62CB" w:rsidRPr="002C0D29" w:rsidRDefault="003D62CB" w:rsidP="003D62CB">
            <w:pPr>
              <w:rPr>
                <w:rFonts w:ascii="Arial" w:hAnsi="Arial" w:cs="Arial"/>
                <w:color w:val="000000"/>
                <w:sz w:val="22"/>
                <w:szCs w:val="22"/>
              </w:rPr>
            </w:pPr>
          </w:p>
        </w:tc>
        <w:tc>
          <w:tcPr>
            <w:tcW w:w="1551" w:type="dxa"/>
            <w:tcBorders>
              <w:top w:val="nil"/>
              <w:left w:val="nil"/>
              <w:bottom w:val="nil"/>
              <w:right w:val="single" w:sz="8" w:space="0" w:color="auto"/>
            </w:tcBorders>
            <w:vAlign w:val="center"/>
            <w:hideMark/>
          </w:tcPr>
          <w:p w14:paraId="3124DF20" w14:textId="403B1778"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7,379</w:t>
            </w:r>
          </w:p>
        </w:tc>
        <w:tc>
          <w:tcPr>
            <w:tcW w:w="1420" w:type="dxa"/>
            <w:tcBorders>
              <w:top w:val="nil"/>
              <w:left w:val="nil"/>
              <w:bottom w:val="nil"/>
              <w:right w:val="single" w:sz="8" w:space="0" w:color="auto"/>
            </w:tcBorders>
            <w:vAlign w:val="center"/>
            <w:hideMark/>
          </w:tcPr>
          <w:p w14:paraId="6E909534" w14:textId="3EBF55F9"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0</w:t>
            </w:r>
          </w:p>
        </w:tc>
        <w:tc>
          <w:tcPr>
            <w:tcW w:w="1604" w:type="dxa"/>
            <w:tcBorders>
              <w:top w:val="nil"/>
              <w:left w:val="nil"/>
              <w:bottom w:val="nil"/>
              <w:right w:val="single" w:sz="8" w:space="0" w:color="auto"/>
            </w:tcBorders>
            <w:vAlign w:val="center"/>
            <w:hideMark/>
          </w:tcPr>
          <w:p w14:paraId="3BB8F024" w14:textId="5F125995"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0</w:t>
            </w:r>
          </w:p>
        </w:tc>
        <w:tc>
          <w:tcPr>
            <w:tcW w:w="1527" w:type="dxa"/>
            <w:tcBorders>
              <w:top w:val="nil"/>
              <w:left w:val="nil"/>
              <w:bottom w:val="nil"/>
              <w:right w:val="single" w:sz="8" w:space="0" w:color="auto"/>
            </w:tcBorders>
            <w:shd w:val="clear" w:color="000000" w:fill="D9D9D9"/>
            <w:vAlign w:val="center"/>
            <w:hideMark/>
          </w:tcPr>
          <w:p w14:paraId="40E15F7B" w14:textId="4A05FBC5"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7,379</w:t>
            </w:r>
          </w:p>
        </w:tc>
        <w:tc>
          <w:tcPr>
            <w:tcW w:w="1512" w:type="dxa"/>
            <w:tcBorders>
              <w:top w:val="nil"/>
              <w:left w:val="nil"/>
              <w:bottom w:val="nil"/>
              <w:right w:val="single" w:sz="8" w:space="0" w:color="auto"/>
            </w:tcBorders>
            <w:shd w:val="clear" w:color="000000" w:fill="D9D9D9"/>
            <w:vAlign w:val="center"/>
            <w:hideMark/>
          </w:tcPr>
          <w:p w14:paraId="2118D9B0" w14:textId="13E38334"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(14,504)</w:t>
            </w:r>
          </w:p>
        </w:tc>
        <w:tc>
          <w:tcPr>
            <w:tcW w:w="1551" w:type="dxa"/>
            <w:tcBorders>
              <w:top w:val="nil"/>
              <w:left w:val="nil"/>
              <w:bottom w:val="nil"/>
              <w:right w:val="single" w:sz="8" w:space="0" w:color="auto"/>
            </w:tcBorders>
            <w:shd w:val="clear" w:color="000000" w:fill="D9D9D9"/>
            <w:vAlign w:val="center"/>
            <w:hideMark/>
          </w:tcPr>
          <w:p w14:paraId="5163ECE8" w14:textId="4FA4DCCB"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(7,125)</w:t>
            </w:r>
          </w:p>
        </w:tc>
      </w:tr>
      <w:tr w:rsidR="003D62CB" w:rsidRPr="00C75839" w14:paraId="1F3290B9" w14:textId="77777777" w:rsidTr="00D4571A">
        <w:trPr>
          <w:trHeight w:val="468"/>
        </w:trPr>
        <w:tc>
          <w:tcPr>
            <w:tcW w:w="4424" w:type="dxa"/>
            <w:tcBorders>
              <w:top w:val="nil"/>
              <w:left w:val="single" w:sz="8" w:space="0" w:color="auto"/>
              <w:bottom w:val="nil"/>
              <w:right w:val="single" w:sz="8" w:space="0" w:color="auto"/>
            </w:tcBorders>
            <w:vAlign w:val="center"/>
            <w:hideMark/>
          </w:tcPr>
          <w:p w14:paraId="51731B8A" w14:textId="6562C43C" w:rsidR="003D62CB" w:rsidRPr="002C0D29" w:rsidRDefault="003D62CB" w:rsidP="003D62CB">
            <w:pPr>
              <w:rPr>
                <w:rFonts w:ascii="Arial" w:hAnsi="Arial" w:cs="Arial"/>
                <w:color w:val="000000"/>
                <w:sz w:val="22"/>
                <w:szCs w:val="22"/>
              </w:rPr>
            </w:pPr>
            <w:proofErr w:type="spellStart"/>
            <w:r w:rsidRPr="002C0D29">
              <w:rPr>
                <w:rFonts w:ascii="Arial" w:hAnsi="Arial" w:cs="Arial"/>
                <w:color w:val="000000"/>
                <w:sz w:val="22"/>
                <w:szCs w:val="22"/>
              </w:rPr>
              <w:t>Adjs</w:t>
            </w:r>
            <w:proofErr w:type="spellEnd"/>
            <w:r w:rsidRPr="002C0D29">
              <w:rPr>
                <w:rFonts w:ascii="Arial" w:hAnsi="Arial" w:cs="Arial"/>
                <w:color w:val="000000"/>
                <w:sz w:val="22"/>
                <w:szCs w:val="22"/>
              </w:rPr>
              <w:t xml:space="preserve"> between accounting basis &amp; funding basis under regulations (restated)</w:t>
            </w:r>
          </w:p>
        </w:tc>
        <w:tc>
          <w:tcPr>
            <w:tcW w:w="1200" w:type="dxa"/>
            <w:tcBorders>
              <w:top w:val="nil"/>
              <w:left w:val="nil"/>
              <w:bottom w:val="nil"/>
              <w:right w:val="single" w:sz="8" w:space="0" w:color="auto"/>
            </w:tcBorders>
            <w:vAlign w:val="center"/>
            <w:hideMark/>
          </w:tcPr>
          <w:p w14:paraId="47F461D6" w14:textId="77777777" w:rsidR="003D62CB" w:rsidRPr="002C0D29" w:rsidRDefault="003D62CB" w:rsidP="003D62CB">
            <w:pPr>
              <w:jc w:val="right"/>
              <w:rPr>
                <w:rFonts w:ascii="Arial" w:hAnsi="Arial" w:cs="Arial"/>
                <w:color w:val="000000"/>
                <w:sz w:val="22"/>
                <w:szCs w:val="22"/>
              </w:rPr>
            </w:pPr>
            <w:r w:rsidRPr="002C0D29">
              <w:rPr>
                <w:rFonts w:ascii="Arial" w:hAnsi="Arial" w:cs="Arial"/>
                <w:color w:val="000000"/>
                <w:sz w:val="22"/>
                <w:szCs w:val="22"/>
              </w:rPr>
              <w:t>8</w:t>
            </w:r>
          </w:p>
        </w:tc>
        <w:tc>
          <w:tcPr>
            <w:tcW w:w="1551" w:type="dxa"/>
            <w:tcBorders>
              <w:top w:val="nil"/>
              <w:left w:val="nil"/>
              <w:bottom w:val="nil"/>
              <w:right w:val="single" w:sz="8" w:space="0" w:color="auto"/>
            </w:tcBorders>
            <w:vAlign w:val="center"/>
            <w:hideMark/>
          </w:tcPr>
          <w:p w14:paraId="055A38D8" w14:textId="48F3394B"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(6,607)</w:t>
            </w:r>
          </w:p>
        </w:tc>
        <w:tc>
          <w:tcPr>
            <w:tcW w:w="1420" w:type="dxa"/>
            <w:tcBorders>
              <w:top w:val="nil"/>
              <w:left w:val="nil"/>
              <w:bottom w:val="nil"/>
              <w:right w:val="single" w:sz="8" w:space="0" w:color="auto"/>
            </w:tcBorders>
            <w:vAlign w:val="center"/>
            <w:hideMark/>
          </w:tcPr>
          <w:p w14:paraId="714371BC" w14:textId="65D42A54"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0</w:t>
            </w:r>
          </w:p>
        </w:tc>
        <w:tc>
          <w:tcPr>
            <w:tcW w:w="1604" w:type="dxa"/>
            <w:tcBorders>
              <w:top w:val="nil"/>
              <w:left w:val="nil"/>
              <w:bottom w:val="nil"/>
              <w:right w:val="single" w:sz="8" w:space="0" w:color="auto"/>
            </w:tcBorders>
            <w:vAlign w:val="center"/>
            <w:hideMark/>
          </w:tcPr>
          <w:p w14:paraId="436F2D23" w14:textId="295DBE67"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(93)</w:t>
            </w:r>
          </w:p>
        </w:tc>
        <w:tc>
          <w:tcPr>
            <w:tcW w:w="1527" w:type="dxa"/>
            <w:tcBorders>
              <w:top w:val="nil"/>
              <w:left w:val="nil"/>
              <w:bottom w:val="nil"/>
              <w:right w:val="single" w:sz="8" w:space="0" w:color="auto"/>
            </w:tcBorders>
            <w:shd w:val="clear" w:color="000000" w:fill="D9D9D9"/>
            <w:vAlign w:val="center"/>
            <w:hideMark/>
          </w:tcPr>
          <w:p w14:paraId="1B236AAA" w14:textId="14172212"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(6,700)</w:t>
            </w:r>
          </w:p>
        </w:tc>
        <w:tc>
          <w:tcPr>
            <w:tcW w:w="1512" w:type="dxa"/>
            <w:tcBorders>
              <w:top w:val="nil"/>
              <w:left w:val="nil"/>
              <w:bottom w:val="nil"/>
              <w:right w:val="single" w:sz="8" w:space="0" w:color="auto"/>
            </w:tcBorders>
            <w:shd w:val="clear" w:color="000000" w:fill="D9D9D9"/>
            <w:vAlign w:val="center"/>
            <w:hideMark/>
          </w:tcPr>
          <w:p w14:paraId="38BFB228" w14:textId="74FB3DDC"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6,700</w:t>
            </w:r>
          </w:p>
        </w:tc>
        <w:tc>
          <w:tcPr>
            <w:tcW w:w="1551" w:type="dxa"/>
            <w:tcBorders>
              <w:top w:val="nil"/>
              <w:left w:val="nil"/>
              <w:bottom w:val="nil"/>
              <w:right w:val="single" w:sz="8" w:space="0" w:color="auto"/>
            </w:tcBorders>
            <w:shd w:val="clear" w:color="000000" w:fill="D9D9D9"/>
            <w:vAlign w:val="center"/>
            <w:hideMark/>
          </w:tcPr>
          <w:p w14:paraId="2D227D6D" w14:textId="225FC2B9"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0</w:t>
            </w:r>
          </w:p>
        </w:tc>
      </w:tr>
      <w:tr w:rsidR="003D62CB" w:rsidRPr="00C75839" w14:paraId="4DDF7EB4" w14:textId="77777777" w:rsidTr="00D4571A">
        <w:trPr>
          <w:trHeight w:val="468"/>
        </w:trPr>
        <w:tc>
          <w:tcPr>
            <w:tcW w:w="4424" w:type="dxa"/>
            <w:tcBorders>
              <w:top w:val="single" w:sz="8" w:space="0" w:color="auto"/>
              <w:left w:val="single" w:sz="8" w:space="0" w:color="auto"/>
              <w:bottom w:val="single" w:sz="8" w:space="0" w:color="auto"/>
              <w:right w:val="single" w:sz="8" w:space="0" w:color="auto"/>
            </w:tcBorders>
            <w:vAlign w:val="center"/>
            <w:hideMark/>
          </w:tcPr>
          <w:p w14:paraId="71E6BFAD" w14:textId="4DDFFBA4" w:rsidR="003D62CB" w:rsidRPr="002C0D29" w:rsidRDefault="003D62CB" w:rsidP="003D62CB">
            <w:pPr>
              <w:rPr>
                <w:rFonts w:ascii="Arial" w:hAnsi="Arial" w:cs="Arial"/>
                <w:b/>
                <w:bCs/>
                <w:color w:val="000000"/>
                <w:sz w:val="22"/>
                <w:szCs w:val="22"/>
              </w:rPr>
            </w:pPr>
            <w:r w:rsidRPr="002C0D29">
              <w:rPr>
                <w:rFonts w:ascii="Arial" w:hAnsi="Arial" w:cs="Arial"/>
                <w:b/>
                <w:bCs/>
                <w:color w:val="000000"/>
                <w:sz w:val="22"/>
                <w:szCs w:val="22"/>
              </w:rPr>
              <w:t>Net Increase/(Decrease) in 2023/24</w:t>
            </w:r>
          </w:p>
        </w:tc>
        <w:tc>
          <w:tcPr>
            <w:tcW w:w="1200" w:type="dxa"/>
            <w:tcBorders>
              <w:top w:val="single" w:sz="8" w:space="0" w:color="auto"/>
              <w:left w:val="single" w:sz="8" w:space="0" w:color="auto"/>
              <w:bottom w:val="single" w:sz="8" w:space="0" w:color="auto"/>
              <w:right w:val="single" w:sz="8" w:space="0" w:color="auto"/>
            </w:tcBorders>
            <w:vAlign w:val="center"/>
            <w:hideMark/>
          </w:tcPr>
          <w:p w14:paraId="3C545213" w14:textId="77777777" w:rsidR="003D62CB" w:rsidRPr="002C0D29" w:rsidRDefault="003D62CB" w:rsidP="003D62CB">
            <w:pPr>
              <w:rPr>
                <w:rFonts w:ascii="Arial" w:hAnsi="Arial" w:cs="Arial"/>
                <w:b/>
                <w:bCs/>
                <w:color w:val="000000"/>
                <w:sz w:val="22"/>
                <w:szCs w:val="22"/>
              </w:rPr>
            </w:pPr>
          </w:p>
        </w:tc>
        <w:tc>
          <w:tcPr>
            <w:tcW w:w="1551" w:type="dxa"/>
            <w:tcBorders>
              <w:top w:val="single" w:sz="8" w:space="0" w:color="auto"/>
              <w:left w:val="single" w:sz="8" w:space="0" w:color="auto"/>
              <w:bottom w:val="single" w:sz="8" w:space="0" w:color="auto"/>
              <w:right w:val="single" w:sz="8" w:space="0" w:color="auto"/>
            </w:tcBorders>
            <w:vAlign w:val="center"/>
            <w:hideMark/>
          </w:tcPr>
          <w:p w14:paraId="09DD710E" w14:textId="6A388BDA"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772</w:t>
            </w:r>
          </w:p>
        </w:tc>
        <w:tc>
          <w:tcPr>
            <w:tcW w:w="1420" w:type="dxa"/>
            <w:tcBorders>
              <w:top w:val="single" w:sz="8" w:space="0" w:color="auto"/>
              <w:left w:val="nil"/>
              <w:bottom w:val="single" w:sz="8" w:space="0" w:color="auto"/>
              <w:right w:val="single" w:sz="8" w:space="0" w:color="auto"/>
            </w:tcBorders>
            <w:vAlign w:val="center"/>
            <w:hideMark/>
          </w:tcPr>
          <w:p w14:paraId="0F46EAE0" w14:textId="17FA6C31"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0</w:t>
            </w:r>
          </w:p>
        </w:tc>
        <w:tc>
          <w:tcPr>
            <w:tcW w:w="1604" w:type="dxa"/>
            <w:tcBorders>
              <w:top w:val="single" w:sz="8" w:space="0" w:color="auto"/>
              <w:left w:val="nil"/>
              <w:bottom w:val="single" w:sz="8" w:space="0" w:color="auto"/>
              <w:right w:val="single" w:sz="8" w:space="0" w:color="auto"/>
            </w:tcBorders>
            <w:vAlign w:val="center"/>
            <w:hideMark/>
          </w:tcPr>
          <w:p w14:paraId="2EAD3D1D" w14:textId="36BAC52E"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(93)</w:t>
            </w:r>
          </w:p>
        </w:tc>
        <w:tc>
          <w:tcPr>
            <w:tcW w:w="1527" w:type="dxa"/>
            <w:tcBorders>
              <w:top w:val="single" w:sz="8" w:space="0" w:color="auto"/>
              <w:left w:val="nil"/>
              <w:bottom w:val="single" w:sz="8" w:space="0" w:color="auto"/>
              <w:right w:val="single" w:sz="8" w:space="0" w:color="auto"/>
            </w:tcBorders>
            <w:shd w:val="clear" w:color="000000" w:fill="D9D9D9"/>
            <w:vAlign w:val="center"/>
            <w:hideMark/>
          </w:tcPr>
          <w:p w14:paraId="470E3BAE" w14:textId="32B512A4"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679</w:t>
            </w:r>
          </w:p>
        </w:tc>
        <w:tc>
          <w:tcPr>
            <w:tcW w:w="1512" w:type="dxa"/>
            <w:tcBorders>
              <w:top w:val="single" w:sz="8" w:space="0" w:color="auto"/>
              <w:left w:val="nil"/>
              <w:bottom w:val="single" w:sz="8" w:space="0" w:color="auto"/>
              <w:right w:val="single" w:sz="8" w:space="0" w:color="auto"/>
            </w:tcBorders>
            <w:shd w:val="clear" w:color="000000" w:fill="D9D9D9"/>
            <w:vAlign w:val="center"/>
            <w:hideMark/>
          </w:tcPr>
          <w:p w14:paraId="08145A41" w14:textId="733E8B32"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(7,804)</w:t>
            </w:r>
          </w:p>
        </w:tc>
        <w:tc>
          <w:tcPr>
            <w:tcW w:w="1551" w:type="dxa"/>
            <w:tcBorders>
              <w:top w:val="single" w:sz="8" w:space="0" w:color="auto"/>
              <w:left w:val="nil"/>
              <w:bottom w:val="single" w:sz="8" w:space="0" w:color="auto"/>
              <w:right w:val="single" w:sz="8" w:space="0" w:color="auto"/>
            </w:tcBorders>
            <w:shd w:val="clear" w:color="000000" w:fill="D9D9D9"/>
            <w:vAlign w:val="center"/>
            <w:hideMark/>
          </w:tcPr>
          <w:p w14:paraId="0FD73380" w14:textId="567FB8FC"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(7,125)</w:t>
            </w:r>
          </w:p>
        </w:tc>
      </w:tr>
      <w:tr w:rsidR="003D62CB" w:rsidRPr="00C75839" w14:paraId="61CA685B" w14:textId="77777777" w:rsidTr="00D4571A">
        <w:trPr>
          <w:trHeight w:val="468"/>
        </w:trPr>
        <w:tc>
          <w:tcPr>
            <w:tcW w:w="4424" w:type="dxa"/>
            <w:tcBorders>
              <w:top w:val="single" w:sz="8" w:space="0" w:color="auto"/>
              <w:left w:val="single" w:sz="8" w:space="0" w:color="auto"/>
              <w:bottom w:val="single" w:sz="8" w:space="0" w:color="auto"/>
              <w:right w:val="single" w:sz="8" w:space="0" w:color="auto"/>
            </w:tcBorders>
            <w:vAlign w:val="center"/>
            <w:hideMark/>
          </w:tcPr>
          <w:p w14:paraId="120CAAFE" w14:textId="454EA73D" w:rsidR="003D62CB" w:rsidRPr="002C0D29" w:rsidRDefault="003D62CB" w:rsidP="003D62CB">
            <w:pPr>
              <w:rPr>
                <w:rFonts w:ascii="Arial" w:hAnsi="Arial" w:cs="Arial"/>
                <w:b/>
                <w:bCs/>
                <w:color w:val="000000"/>
                <w:sz w:val="22"/>
                <w:szCs w:val="22"/>
              </w:rPr>
            </w:pPr>
            <w:r w:rsidRPr="002C0D29">
              <w:rPr>
                <w:rFonts w:ascii="Arial" w:hAnsi="Arial" w:cs="Arial"/>
                <w:b/>
                <w:bCs/>
                <w:color w:val="000000"/>
                <w:sz w:val="22"/>
                <w:szCs w:val="22"/>
              </w:rPr>
              <w:t>Balance at 31 March 2024</w:t>
            </w:r>
          </w:p>
        </w:tc>
        <w:tc>
          <w:tcPr>
            <w:tcW w:w="1200" w:type="dxa"/>
            <w:tcBorders>
              <w:top w:val="nil"/>
              <w:left w:val="nil"/>
              <w:bottom w:val="single" w:sz="8" w:space="0" w:color="auto"/>
              <w:right w:val="single" w:sz="8" w:space="0" w:color="auto"/>
            </w:tcBorders>
            <w:vAlign w:val="center"/>
            <w:hideMark/>
          </w:tcPr>
          <w:p w14:paraId="0B087F75" w14:textId="77777777" w:rsidR="003D62CB" w:rsidRPr="002C0D29" w:rsidRDefault="003D62CB" w:rsidP="003D62CB">
            <w:pPr>
              <w:rPr>
                <w:rFonts w:ascii="Arial" w:hAnsi="Arial" w:cs="Arial"/>
                <w:b/>
                <w:bCs/>
                <w:color w:val="000000"/>
                <w:sz w:val="22"/>
                <w:szCs w:val="22"/>
              </w:rPr>
            </w:pPr>
          </w:p>
        </w:tc>
        <w:tc>
          <w:tcPr>
            <w:tcW w:w="1551" w:type="dxa"/>
            <w:tcBorders>
              <w:top w:val="nil"/>
              <w:left w:val="nil"/>
              <w:bottom w:val="single" w:sz="8" w:space="0" w:color="auto"/>
              <w:right w:val="single" w:sz="8" w:space="0" w:color="auto"/>
            </w:tcBorders>
            <w:vAlign w:val="center"/>
            <w:hideMark/>
          </w:tcPr>
          <w:p w14:paraId="600E7349" w14:textId="7FA0E977"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(29,444)</w:t>
            </w:r>
          </w:p>
        </w:tc>
        <w:tc>
          <w:tcPr>
            <w:tcW w:w="1420" w:type="dxa"/>
            <w:tcBorders>
              <w:top w:val="nil"/>
              <w:left w:val="nil"/>
              <w:bottom w:val="single" w:sz="8" w:space="0" w:color="auto"/>
              <w:right w:val="single" w:sz="8" w:space="0" w:color="auto"/>
            </w:tcBorders>
            <w:vAlign w:val="center"/>
            <w:hideMark/>
          </w:tcPr>
          <w:p w14:paraId="256991CF" w14:textId="61E03F58"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(1,505)</w:t>
            </w:r>
          </w:p>
        </w:tc>
        <w:tc>
          <w:tcPr>
            <w:tcW w:w="1604" w:type="dxa"/>
            <w:tcBorders>
              <w:top w:val="nil"/>
              <w:left w:val="nil"/>
              <w:bottom w:val="single" w:sz="8" w:space="0" w:color="auto"/>
              <w:right w:val="single" w:sz="8" w:space="0" w:color="auto"/>
            </w:tcBorders>
            <w:vAlign w:val="center"/>
            <w:hideMark/>
          </w:tcPr>
          <w:p w14:paraId="5E0B8751" w14:textId="233E66EF"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(33</w:t>
            </w:r>
            <w:r w:rsidR="00FD400D" w:rsidRPr="002C0D29">
              <w:rPr>
                <w:rFonts w:ascii="Arial" w:hAnsi="Arial" w:cs="Arial"/>
                <w:b/>
                <w:bCs/>
                <w:color w:val="000000"/>
                <w:sz w:val="22"/>
                <w:szCs w:val="22"/>
              </w:rPr>
              <w:t>6</w:t>
            </w:r>
            <w:r w:rsidRPr="002C0D29">
              <w:rPr>
                <w:rFonts w:ascii="Arial" w:hAnsi="Arial" w:cs="Arial"/>
                <w:b/>
                <w:bCs/>
                <w:color w:val="000000"/>
                <w:sz w:val="22"/>
                <w:szCs w:val="22"/>
              </w:rPr>
              <w:t>)</w:t>
            </w:r>
          </w:p>
        </w:tc>
        <w:tc>
          <w:tcPr>
            <w:tcW w:w="1527" w:type="dxa"/>
            <w:tcBorders>
              <w:top w:val="nil"/>
              <w:left w:val="nil"/>
              <w:bottom w:val="single" w:sz="8" w:space="0" w:color="auto"/>
              <w:right w:val="single" w:sz="8" w:space="0" w:color="auto"/>
            </w:tcBorders>
            <w:shd w:val="clear" w:color="000000" w:fill="D9D9D9"/>
            <w:vAlign w:val="center"/>
            <w:hideMark/>
          </w:tcPr>
          <w:p w14:paraId="7B531573" w14:textId="2BFF948D"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(31,28</w:t>
            </w:r>
            <w:r w:rsidR="00FD400D" w:rsidRPr="002C0D29">
              <w:rPr>
                <w:rFonts w:ascii="Arial" w:hAnsi="Arial" w:cs="Arial"/>
                <w:b/>
                <w:bCs/>
                <w:color w:val="000000"/>
                <w:sz w:val="22"/>
                <w:szCs w:val="22"/>
              </w:rPr>
              <w:t>5</w:t>
            </w:r>
            <w:r w:rsidRPr="002C0D29">
              <w:rPr>
                <w:rFonts w:ascii="Arial" w:hAnsi="Arial" w:cs="Arial"/>
                <w:b/>
                <w:bCs/>
                <w:color w:val="000000"/>
                <w:sz w:val="22"/>
                <w:szCs w:val="22"/>
              </w:rPr>
              <w:t>)</w:t>
            </w:r>
          </w:p>
        </w:tc>
        <w:tc>
          <w:tcPr>
            <w:tcW w:w="1512" w:type="dxa"/>
            <w:tcBorders>
              <w:top w:val="nil"/>
              <w:left w:val="nil"/>
              <w:bottom w:val="single" w:sz="8" w:space="0" w:color="auto"/>
              <w:right w:val="single" w:sz="8" w:space="0" w:color="auto"/>
            </w:tcBorders>
            <w:shd w:val="clear" w:color="000000" w:fill="D9D9D9"/>
            <w:vAlign w:val="center"/>
            <w:hideMark/>
          </w:tcPr>
          <w:p w14:paraId="3D6AD39D" w14:textId="5D2FA9DE"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(176,397)</w:t>
            </w:r>
          </w:p>
        </w:tc>
        <w:tc>
          <w:tcPr>
            <w:tcW w:w="1551" w:type="dxa"/>
            <w:tcBorders>
              <w:top w:val="nil"/>
              <w:left w:val="nil"/>
              <w:bottom w:val="single" w:sz="8" w:space="0" w:color="auto"/>
              <w:right w:val="single" w:sz="8" w:space="0" w:color="auto"/>
            </w:tcBorders>
            <w:shd w:val="clear" w:color="000000" w:fill="D9D9D9"/>
            <w:vAlign w:val="center"/>
            <w:hideMark/>
          </w:tcPr>
          <w:p w14:paraId="46450B2C" w14:textId="06F2A1C5" w:rsidR="003D62CB" w:rsidRPr="002C0D29" w:rsidRDefault="003D62CB" w:rsidP="00D4571A">
            <w:pPr>
              <w:jc w:val="right"/>
              <w:rPr>
                <w:rFonts w:ascii="Arial" w:hAnsi="Arial" w:cs="Arial"/>
                <w:b/>
                <w:bCs/>
                <w:color w:val="000000"/>
                <w:sz w:val="22"/>
                <w:szCs w:val="22"/>
              </w:rPr>
            </w:pPr>
            <w:r w:rsidRPr="002C0D29">
              <w:rPr>
                <w:rFonts w:ascii="Arial" w:hAnsi="Arial" w:cs="Arial"/>
                <w:b/>
                <w:bCs/>
                <w:color w:val="000000"/>
                <w:sz w:val="22"/>
                <w:szCs w:val="22"/>
              </w:rPr>
              <w:t>(207,68</w:t>
            </w:r>
            <w:r w:rsidR="00FD400D" w:rsidRPr="002C0D29">
              <w:rPr>
                <w:rFonts w:ascii="Arial" w:hAnsi="Arial" w:cs="Arial"/>
                <w:b/>
                <w:bCs/>
                <w:color w:val="000000"/>
                <w:sz w:val="22"/>
                <w:szCs w:val="22"/>
              </w:rPr>
              <w:t>2</w:t>
            </w:r>
            <w:r w:rsidRPr="002C0D29">
              <w:rPr>
                <w:rFonts w:ascii="Arial" w:hAnsi="Arial" w:cs="Arial"/>
                <w:b/>
                <w:bCs/>
                <w:color w:val="000000"/>
                <w:sz w:val="22"/>
                <w:szCs w:val="22"/>
              </w:rPr>
              <w:t>)</w:t>
            </w:r>
          </w:p>
        </w:tc>
      </w:tr>
      <w:tr w:rsidR="00A5491C" w:rsidRPr="00C75839" w14:paraId="1557F4FB" w14:textId="77777777" w:rsidTr="00D4571A">
        <w:trPr>
          <w:trHeight w:val="468"/>
        </w:trPr>
        <w:tc>
          <w:tcPr>
            <w:tcW w:w="4424" w:type="dxa"/>
            <w:tcBorders>
              <w:top w:val="single" w:sz="8" w:space="0" w:color="auto"/>
              <w:left w:val="single" w:sz="8" w:space="0" w:color="auto"/>
              <w:bottom w:val="nil"/>
              <w:right w:val="single" w:sz="8" w:space="0" w:color="auto"/>
            </w:tcBorders>
            <w:vAlign w:val="center"/>
          </w:tcPr>
          <w:p w14:paraId="1EDBD4B4" w14:textId="5280029B" w:rsidR="00A5491C" w:rsidRPr="002C0D29" w:rsidRDefault="00D4571A" w:rsidP="00A5491C">
            <w:pPr>
              <w:rPr>
                <w:rFonts w:ascii="Arial" w:hAnsi="Arial" w:cs="Arial"/>
                <w:b/>
                <w:bCs/>
                <w:color w:val="000000"/>
                <w:sz w:val="22"/>
                <w:szCs w:val="22"/>
              </w:rPr>
            </w:pPr>
            <w:r w:rsidRPr="002C0D29">
              <w:rPr>
                <w:rFonts w:ascii="Arial" w:hAnsi="Arial" w:cs="Arial"/>
                <w:b/>
                <w:bCs/>
                <w:color w:val="000000"/>
                <w:sz w:val="22"/>
                <w:szCs w:val="22"/>
              </w:rPr>
              <w:t>Ad</w:t>
            </w:r>
            <w:r>
              <w:rPr>
                <w:rFonts w:ascii="Arial" w:hAnsi="Arial" w:cs="Arial"/>
                <w:b/>
                <w:bCs/>
                <w:color w:val="000000"/>
                <w:sz w:val="22"/>
                <w:szCs w:val="22"/>
              </w:rPr>
              <w:t>justment</w:t>
            </w:r>
            <w:r w:rsidR="00A5491C" w:rsidRPr="002C0D29">
              <w:rPr>
                <w:rFonts w:ascii="Arial" w:hAnsi="Arial" w:cs="Arial"/>
                <w:b/>
                <w:bCs/>
                <w:color w:val="000000"/>
                <w:sz w:val="22"/>
                <w:szCs w:val="22"/>
              </w:rPr>
              <w:t xml:space="preserve"> for IFRIC14 Amendment </w:t>
            </w:r>
          </w:p>
        </w:tc>
        <w:tc>
          <w:tcPr>
            <w:tcW w:w="1200" w:type="dxa"/>
            <w:tcBorders>
              <w:top w:val="single" w:sz="8" w:space="0" w:color="auto"/>
              <w:left w:val="nil"/>
              <w:bottom w:val="single" w:sz="4" w:space="0" w:color="auto"/>
              <w:right w:val="single" w:sz="8" w:space="0" w:color="auto"/>
            </w:tcBorders>
            <w:vAlign w:val="center"/>
          </w:tcPr>
          <w:p w14:paraId="727BC6BE" w14:textId="60F25766" w:rsidR="00A5491C" w:rsidRPr="002C0D29" w:rsidRDefault="00A5491C" w:rsidP="00A5491C">
            <w:pPr>
              <w:jc w:val="right"/>
              <w:rPr>
                <w:rFonts w:ascii="Arial" w:hAnsi="Arial" w:cs="Arial"/>
                <w:color w:val="000000"/>
                <w:sz w:val="22"/>
                <w:szCs w:val="22"/>
              </w:rPr>
            </w:pPr>
            <w:r w:rsidRPr="002C0D29">
              <w:rPr>
                <w:rFonts w:ascii="Arial" w:hAnsi="Arial" w:cs="Arial"/>
                <w:color w:val="000000"/>
                <w:sz w:val="22"/>
                <w:szCs w:val="22"/>
              </w:rPr>
              <w:t>10</w:t>
            </w:r>
          </w:p>
        </w:tc>
        <w:tc>
          <w:tcPr>
            <w:tcW w:w="1551" w:type="dxa"/>
            <w:tcBorders>
              <w:top w:val="nil"/>
              <w:left w:val="nil"/>
              <w:bottom w:val="nil"/>
              <w:right w:val="single" w:sz="8" w:space="0" w:color="auto"/>
            </w:tcBorders>
            <w:vAlign w:val="center"/>
          </w:tcPr>
          <w:p w14:paraId="1184608F" w14:textId="5A6F4BF2" w:rsidR="00A5491C" w:rsidRPr="002C0D29" w:rsidRDefault="00A5491C" w:rsidP="00D4571A">
            <w:pPr>
              <w:jc w:val="right"/>
              <w:rPr>
                <w:sz w:val="22"/>
                <w:szCs w:val="22"/>
              </w:rPr>
            </w:pPr>
            <w:r w:rsidRPr="002C0D29">
              <w:rPr>
                <w:rFonts w:ascii="Arial" w:hAnsi="Arial" w:cs="Arial"/>
                <w:b/>
                <w:bCs/>
                <w:color w:val="000000"/>
                <w:sz w:val="22"/>
                <w:szCs w:val="22"/>
              </w:rPr>
              <w:t>0</w:t>
            </w:r>
          </w:p>
        </w:tc>
        <w:tc>
          <w:tcPr>
            <w:tcW w:w="1420" w:type="dxa"/>
            <w:tcBorders>
              <w:top w:val="nil"/>
              <w:left w:val="nil"/>
              <w:bottom w:val="nil"/>
              <w:right w:val="single" w:sz="8" w:space="0" w:color="auto"/>
            </w:tcBorders>
            <w:vAlign w:val="center"/>
          </w:tcPr>
          <w:p w14:paraId="1E791968" w14:textId="535B5CD2" w:rsidR="00A5491C" w:rsidRPr="002C0D29" w:rsidRDefault="00A5491C" w:rsidP="00D4571A">
            <w:pPr>
              <w:jc w:val="right"/>
              <w:rPr>
                <w:sz w:val="22"/>
                <w:szCs w:val="22"/>
              </w:rPr>
            </w:pPr>
            <w:r w:rsidRPr="002C0D29">
              <w:rPr>
                <w:rFonts w:ascii="Arial" w:hAnsi="Arial" w:cs="Arial"/>
                <w:b/>
                <w:bCs/>
                <w:color w:val="000000"/>
                <w:sz w:val="22"/>
                <w:szCs w:val="22"/>
              </w:rPr>
              <w:t>0</w:t>
            </w:r>
          </w:p>
        </w:tc>
        <w:tc>
          <w:tcPr>
            <w:tcW w:w="1604" w:type="dxa"/>
            <w:tcBorders>
              <w:top w:val="nil"/>
              <w:left w:val="nil"/>
              <w:bottom w:val="nil"/>
              <w:right w:val="single" w:sz="8" w:space="0" w:color="auto"/>
            </w:tcBorders>
            <w:vAlign w:val="center"/>
          </w:tcPr>
          <w:p w14:paraId="26D05AE3" w14:textId="7304C35F" w:rsidR="00A5491C" w:rsidRPr="002C0D29" w:rsidRDefault="00A5491C" w:rsidP="00D4571A">
            <w:pPr>
              <w:jc w:val="right"/>
              <w:rPr>
                <w:sz w:val="22"/>
                <w:szCs w:val="22"/>
              </w:rPr>
            </w:pPr>
            <w:r w:rsidRPr="002C0D29">
              <w:rPr>
                <w:rFonts w:ascii="Arial" w:hAnsi="Arial" w:cs="Arial"/>
                <w:b/>
                <w:bCs/>
                <w:color w:val="000000"/>
                <w:sz w:val="22"/>
                <w:szCs w:val="22"/>
              </w:rPr>
              <w:t>0</w:t>
            </w:r>
          </w:p>
        </w:tc>
        <w:tc>
          <w:tcPr>
            <w:tcW w:w="1527" w:type="dxa"/>
            <w:tcBorders>
              <w:top w:val="nil"/>
              <w:left w:val="nil"/>
              <w:bottom w:val="nil"/>
              <w:right w:val="single" w:sz="8" w:space="0" w:color="auto"/>
            </w:tcBorders>
            <w:shd w:val="clear" w:color="000000" w:fill="D9D9D9"/>
            <w:vAlign w:val="center"/>
          </w:tcPr>
          <w:p w14:paraId="223B8178" w14:textId="68B996A5" w:rsidR="00A5491C" w:rsidRPr="002C0D29" w:rsidRDefault="00A5491C" w:rsidP="00D4571A">
            <w:pPr>
              <w:jc w:val="right"/>
              <w:rPr>
                <w:sz w:val="22"/>
                <w:szCs w:val="22"/>
              </w:rPr>
            </w:pPr>
            <w:r w:rsidRPr="002C0D29">
              <w:rPr>
                <w:rFonts w:ascii="Arial" w:hAnsi="Arial" w:cs="Arial"/>
                <w:b/>
                <w:bCs/>
                <w:color w:val="000000"/>
                <w:sz w:val="22"/>
                <w:szCs w:val="22"/>
              </w:rPr>
              <w:t>0</w:t>
            </w:r>
          </w:p>
        </w:tc>
        <w:tc>
          <w:tcPr>
            <w:tcW w:w="1512" w:type="dxa"/>
            <w:tcBorders>
              <w:top w:val="nil"/>
              <w:left w:val="nil"/>
              <w:bottom w:val="nil"/>
              <w:right w:val="single" w:sz="8" w:space="0" w:color="auto"/>
            </w:tcBorders>
            <w:shd w:val="clear" w:color="000000" w:fill="D9D9D9"/>
            <w:vAlign w:val="center"/>
          </w:tcPr>
          <w:p w14:paraId="5FE2AB9D" w14:textId="2660EB01" w:rsidR="00A5491C" w:rsidRPr="002C0D29" w:rsidRDefault="00A5491C" w:rsidP="00D4571A">
            <w:pPr>
              <w:jc w:val="right"/>
              <w:rPr>
                <w:sz w:val="22"/>
                <w:szCs w:val="22"/>
              </w:rPr>
            </w:pPr>
            <w:r w:rsidRPr="002C0D29">
              <w:rPr>
                <w:rFonts w:ascii="Arial" w:hAnsi="Arial" w:cs="Arial"/>
                <w:b/>
                <w:bCs/>
                <w:color w:val="000000"/>
                <w:sz w:val="22"/>
                <w:szCs w:val="22"/>
              </w:rPr>
              <w:t>(2,</w:t>
            </w:r>
            <w:r w:rsidR="00630BD3">
              <w:rPr>
                <w:rFonts w:ascii="Arial" w:hAnsi="Arial" w:cs="Arial"/>
                <w:b/>
                <w:bCs/>
                <w:color w:val="000000"/>
                <w:sz w:val="22"/>
                <w:szCs w:val="22"/>
              </w:rPr>
              <w:t>219</w:t>
            </w:r>
            <w:r w:rsidRPr="002C0D29">
              <w:rPr>
                <w:rFonts w:ascii="Arial" w:hAnsi="Arial" w:cs="Arial"/>
                <w:b/>
                <w:bCs/>
                <w:color w:val="000000"/>
                <w:sz w:val="22"/>
                <w:szCs w:val="22"/>
              </w:rPr>
              <w:t>)</w:t>
            </w:r>
          </w:p>
        </w:tc>
        <w:tc>
          <w:tcPr>
            <w:tcW w:w="1551" w:type="dxa"/>
            <w:tcBorders>
              <w:top w:val="nil"/>
              <w:left w:val="nil"/>
              <w:bottom w:val="nil"/>
              <w:right w:val="single" w:sz="8" w:space="0" w:color="auto"/>
            </w:tcBorders>
            <w:shd w:val="clear" w:color="000000" w:fill="D9D9D9"/>
            <w:vAlign w:val="center"/>
          </w:tcPr>
          <w:p w14:paraId="15DE89C5" w14:textId="6F2450D0" w:rsidR="00A5491C" w:rsidRPr="002C0D29" w:rsidRDefault="00A5491C" w:rsidP="00D4571A">
            <w:pPr>
              <w:jc w:val="right"/>
              <w:rPr>
                <w:sz w:val="22"/>
                <w:szCs w:val="22"/>
              </w:rPr>
            </w:pPr>
            <w:r w:rsidRPr="002C0D29">
              <w:rPr>
                <w:rFonts w:ascii="Arial" w:hAnsi="Arial" w:cs="Arial"/>
                <w:b/>
                <w:bCs/>
                <w:color w:val="000000"/>
                <w:sz w:val="22"/>
                <w:szCs w:val="22"/>
              </w:rPr>
              <w:t>(2,</w:t>
            </w:r>
            <w:r w:rsidR="00630BD3">
              <w:rPr>
                <w:rFonts w:ascii="Arial" w:hAnsi="Arial" w:cs="Arial"/>
                <w:b/>
                <w:bCs/>
                <w:color w:val="000000"/>
                <w:sz w:val="22"/>
                <w:szCs w:val="22"/>
              </w:rPr>
              <w:t>219</w:t>
            </w:r>
            <w:r w:rsidRPr="002C0D29">
              <w:rPr>
                <w:rFonts w:ascii="Arial" w:hAnsi="Arial" w:cs="Arial"/>
                <w:b/>
                <w:bCs/>
                <w:color w:val="000000"/>
                <w:sz w:val="22"/>
                <w:szCs w:val="22"/>
              </w:rPr>
              <w:t>)</w:t>
            </w:r>
          </w:p>
        </w:tc>
      </w:tr>
      <w:tr w:rsidR="00D63D8E" w:rsidRPr="00C75839" w14:paraId="033AD64F" w14:textId="77777777" w:rsidTr="00D4571A">
        <w:trPr>
          <w:trHeight w:val="468"/>
        </w:trPr>
        <w:tc>
          <w:tcPr>
            <w:tcW w:w="4424" w:type="dxa"/>
            <w:tcBorders>
              <w:top w:val="single" w:sz="8" w:space="0" w:color="auto"/>
              <w:left w:val="single" w:sz="8" w:space="0" w:color="auto"/>
              <w:bottom w:val="single" w:sz="8" w:space="0" w:color="auto"/>
              <w:right w:val="single" w:sz="8" w:space="0" w:color="auto"/>
            </w:tcBorders>
            <w:vAlign w:val="center"/>
          </w:tcPr>
          <w:p w14:paraId="07EE8F29" w14:textId="5EE40431" w:rsidR="00D63D8E" w:rsidRPr="002C0D29" w:rsidRDefault="00D63D8E" w:rsidP="00D63D8E">
            <w:pPr>
              <w:rPr>
                <w:rFonts w:ascii="Arial" w:hAnsi="Arial" w:cs="Arial"/>
                <w:b/>
                <w:bCs/>
                <w:color w:val="000000"/>
                <w:sz w:val="22"/>
                <w:szCs w:val="22"/>
              </w:rPr>
            </w:pPr>
            <w:r w:rsidRPr="002C0D29">
              <w:rPr>
                <w:rFonts w:ascii="Arial" w:hAnsi="Arial" w:cs="Arial"/>
                <w:b/>
                <w:bCs/>
                <w:color w:val="000000"/>
                <w:sz w:val="22"/>
                <w:szCs w:val="22"/>
              </w:rPr>
              <w:t>Balance at 1 April 2024</w:t>
            </w:r>
          </w:p>
        </w:tc>
        <w:tc>
          <w:tcPr>
            <w:tcW w:w="1200" w:type="dxa"/>
            <w:tcBorders>
              <w:top w:val="single" w:sz="4" w:space="0" w:color="auto"/>
              <w:left w:val="nil"/>
              <w:bottom w:val="single" w:sz="4" w:space="0" w:color="auto"/>
              <w:right w:val="single" w:sz="8" w:space="0" w:color="auto"/>
            </w:tcBorders>
            <w:vAlign w:val="center"/>
          </w:tcPr>
          <w:p w14:paraId="65F6D4E2" w14:textId="77777777" w:rsidR="00D63D8E" w:rsidRPr="002C0D29" w:rsidRDefault="00D63D8E" w:rsidP="00D63D8E">
            <w:pPr>
              <w:rPr>
                <w:rFonts w:ascii="Arial" w:hAnsi="Arial" w:cs="Arial"/>
                <w:b/>
                <w:bCs/>
                <w:color w:val="000000"/>
                <w:sz w:val="22"/>
                <w:szCs w:val="22"/>
              </w:rPr>
            </w:pPr>
          </w:p>
        </w:tc>
        <w:tc>
          <w:tcPr>
            <w:tcW w:w="1551" w:type="dxa"/>
            <w:tcBorders>
              <w:top w:val="single" w:sz="8" w:space="0" w:color="auto"/>
              <w:left w:val="nil"/>
              <w:bottom w:val="single" w:sz="8" w:space="0" w:color="auto"/>
              <w:right w:val="single" w:sz="8" w:space="0" w:color="auto"/>
            </w:tcBorders>
            <w:vAlign w:val="center"/>
          </w:tcPr>
          <w:p w14:paraId="4951DCC2" w14:textId="14364813"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(29,444)</w:t>
            </w:r>
          </w:p>
        </w:tc>
        <w:tc>
          <w:tcPr>
            <w:tcW w:w="1420" w:type="dxa"/>
            <w:tcBorders>
              <w:top w:val="single" w:sz="8" w:space="0" w:color="auto"/>
              <w:left w:val="nil"/>
              <w:bottom w:val="single" w:sz="8" w:space="0" w:color="auto"/>
              <w:right w:val="single" w:sz="8" w:space="0" w:color="auto"/>
            </w:tcBorders>
            <w:vAlign w:val="center"/>
          </w:tcPr>
          <w:p w14:paraId="648EE593" w14:textId="6C7A2EEE"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(1,505)</w:t>
            </w:r>
          </w:p>
        </w:tc>
        <w:tc>
          <w:tcPr>
            <w:tcW w:w="1604" w:type="dxa"/>
            <w:tcBorders>
              <w:top w:val="single" w:sz="8" w:space="0" w:color="auto"/>
              <w:left w:val="nil"/>
              <w:bottom w:val="single" w:sz="8" w:space="0" w:color="auto"/>
              <w:right w:val="single" w:sz="8" w:space="0" w:color="auto"/>
            </w:tcBorders>
            <w:vAlign w:val="center"/>
          </w:tcPr>
          <w:p w14:paraId="590A3635" w14:textId="61FAD042"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(336)</w:t>
            </w:r>
          </w:p>
        </w:tc>
        <w:tc>
          <w:tcPr>
            <w:tcW w:w="1527" w:type="dxa"/>
            <w:tcBorders>
              <w:top w:val="single" w:sz="8" w:space="0" w:color="auto"/>
              <w:left w:val="nil"/>
              <w:bottom w:val="single" w:sz="8" w:space="0" w:color="auto"/>
              <w:right w:val="single" w:sz="8" w:space="0" w:color="auto"/>
            </w:tcBorders>
            <w:shd w:val="clear" w:color="000000" w:fill="D9D9D9"/>
            <w:vAlign w:val="center"/>
          </w:tcPr>
          <w:p w14:paraId="77CE681E" w14:textId="1F21D842"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(31,285)</w:t>
            </w:r>
          </w:p>
        </w:tc>
        <w:tc>
          <w:tcPr>
            <w:tcW w:w="1512" w:type="dxa"/>
            <w:tcBorders>
              <w:top w:val="single" w:sz="8" w:space="0" w:color="auto"/>
              <w:left w:val="nil"/>
              <w:bottom w:val="single" w:sz="8" w:space="0" w:color="auto"/>
              <w:right w:val="single" w:sz="8" w:space="0" w:color="auto"/>
            </w:tcBorders>
            <w:shd w:val="clear" w:color="000000" w:fill="D9D9D9"/>
            <w:vAlign w:val="center"/>
          </w:tcPr>
          <w:p w14:paraId="447D3112" w14:textId="6767F187"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(178,616)</w:t>
            </w:r>
          </w:p>
        </w:tc>
        <w:tc>
          <w:tcPr>
            <w:tcW w:w="1551" w:type="dxa"/>
            <w:tcBorders>
              <w:top w:val="single" w:sz="8" w:space="0" w:color="auto"/>
              <w:left w:val="nil"/>
              <w:bottom w:val="single" w:sz="8" w:space="0" w:color="auto"/>
              <w:right w:val="single" w:sz="8" w:space="0" w:color="auto"/>
            </w:tcBorders>
            <w:shd w:val="clear" w:color="000000" w:fill="D9D9D9"/>
            <w:vAlign w:val="center"/>
          </w:tcPr>
          <w:p w14:paraId="11D06838" w14:textId="1FECFC26"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(209,901)</w:t>
            </w:r>
          </w:p>
        </w:tc>
      </w:tr>
      <w:tr w:rsidR="00D63D8E" w:rsidRPr="00C75839" w14:paraId="3F407222" w14:textId="77777777" w:rsidTr="00D4571A">
        <w:trPr>
          <w:trHeight w:val="260"/>
        </w:trPr>
        <w:tc>
          <w:tcPr>
            <w:tcW w:w="4424" w:type="dxa"/>
            <w:tcBorders>
              <w:top w:val="nil"/>
              <w:left w:val="single" w:sz="8" w:space="0" w:color="auto"/>
              <w:bottom w:val="nil"/>
              <w:right w:val="single" w:sz="8" w:space="0" w:color="auto"/>
            </w:tcBorders>
            <w:vAlign w:val="center"/>
            <w:hideMark/>
          </w:tcPr>
          <w:p w14:paraId="2D124EF1" w14:textId="550A5F47" w:rsidR="00D63D8E" w:rsidRPr="002C0D29" w:rsidRDefault="00D63D8E" w:rsidP="00D63D8E">
            <w:pPr>
              <w:rPr>
                <w:rFonts w:ascii="Arial" w:hAnsi="Arial" w:cs="Arial"/>
                <w:b/>
                <w:bCs/>
                <w:color w:val="000000"/>
                <w:sz w:val="22"/>
                <w:szCs w:val="22"/>
              </w:rPr>
            </w:pPr>
            <w:r w:rsidRPr="002C0D29">
              <w:rPr>
                <w:rFonts w:ascii="Arial" w:hAnsi="Arial" w:cs="Arial"/>
                <w:b/>
                <w:bCs/>
                <w:color w:val="000000"/>
                <w:sz w:val="22"/>
                <w:szCs w:val="22"/>
              </w:rPr>
              <w:t>Movement in reserves during 2024/25:</w:t>
            </w:r>
          </w:p>
        </w:tc>
        <w:tc>
          <w:tcPr>
            <w:tcW w:w="1200" w:type="dxa"/>
            <w:tcBorders>
              <w:top w:val="single" w:sz="4" w:space="0" w:color="auto"/>
              <w:left w:val="nil"/>
              <w:bottom w:val="nil"/>
              <w:right w:val="single" w:sz="8" w:space="0" w:color="auto"/>
            </w:tcBorders>
            <w:vAlign w:val="center"/>
            <w:hideMark/>
          </w:tcPr>
          <w:p w14:paraId="326B2BE6" w14:textId="77777777" w:rsidR="00D63D8E" w:rsidRPr="002C0D29" w:rsidRDefault="00D63D8E" w:rsidP="00D63D8E">
            <w:pPr>
              <w:rPr>
                <w:rFonts w:ascii="Arial" w:hAnsi="Arial" w:cs="Arial"/>
                <w:b/>
                <w:bCs/>
                <w:color w:val="000000"/>
                <w:sz w:val="22"/>
                <w:szCs w:val="22"/>
              </w:rPr>
            </w:pPr>
          </w:p>
        </w:tc>
        <w:tc>
          <w:tcPr>
            <w:tcW w:w="1551" w:type="dxa"/>
            <w:tcBorders>
              <w:top w:val="nil"/>
              <w:left w:val="nil"/>
              <w:bottom w:val="nil"/>
              <w:right w:val="single" w:sz="8" w:space="0" w:color="auto"/>
            </w:tcBorders>
            <w:vAlign w:val="center"/>
            <w:hideMark/>
          </w:tcPr>
          <w:p w14:paraId="547FE0CF" w14:textId="61920835" w:rsidR="00D63D8E" w:rsidRPr="00D63D8E" w:rsidRDefault="00D63D8E" w:rsidP="00D4571A">
            <w:pPr>
              <w:jc w:val="right"/>
              <w:rPr>
                <w:rFonts w:ascii="Arial" w:hAnsi="Arial" w:cs="Arial"/>
                <w:b/>
                <w:bCs/>
                <w:sz w:val="22"/>
                <w:szCs w:val="22"/>
              </w:rPr>
            </w:pPr>
          </w:p>
        </w:tc>
        <w:tc>
          <w:tcPr>
            <w:tcW w:w="1420" w:type="dxa"/>
            <w:tcBorders>
              <w:top w:val="nil"/>
              <w:left w:val="nil"/>
              <w:bottom w:val="nil"/>
              <w:right w:val="single" w:sz="8" w:space="0" w:color="auto"/>
            </w:tcBorders>
            <w:vAlign w:val="center"/>
            <w:hideMark/>
          </w:tcPr>
          <w:p w14:paraId="48E03F43" w14:textId="3A51C141" w:rsidR="00D63D8E" w:rsidRPr="00D63D8E" w:rsidRDefault="00D63D8E" w:rsidP="00D4571A">
            <w:pPr>
              <w:jc w:val="right"/>
              <w:rPr>
                <w:rFonts w:ascii="Arial" w:hAnsi="Arial" w:cs="Arial"/>
                <w:b/>
                <w:bCs/>
                <w:sz w:val="22"/>
                <w:szCs w:val="22"/>
              </w:rPr>
            </w:pPr>
          </w:p>
        </w:tc>
        <w:tc>
          <w:tcPr>
            <w:tcW w:w="1604" w:type="dxa"/>
            <w:tcBorders>
              <w:top w:val="nil"/>
              <w:left w:val="nil"/>
              <w:bottom w:val="nil"/>
              <w:right w:val="single" w:sz="8" w:space="0" w:color="auto"/>
            </w:tcBorders>
            <w:vAlign w:val="center"/>
            <w:hideMark/>
          </w:tcPr>
          <w:p w14:paraId="5DE7D3EA" w14:textId="6D6FB8F2" w:rsidR="00D63D8E" w:rsidRPr="00D63D8E" w:rsidRDefault="00D63D8E" w:rsidP="00D4571A">
            <w:pPr>
              <w:jc w:val="right"/>
              <w:rPr>
                <w:rFonts w:ascii="Arial" w:hAnsi="Arial" w:cs="Arial"/>
                <w:b/>
                <w:bCs/>
                <w:sz w:val="22"/>
                <w:szCs w:val="22"/>
              </w:rPr>
            </w:pPr>
          </w:p>
        </w:tc>
        <w:tc>
          <w:tcPr>
            <w:tcW w:w="1527" w:type="dxa"/>
            <w:tcBorders>
              <w:top w:val="nil"/>
              <w:left w:val="nil"/>
              <w:bottom w:val="nil"/>
              <w:right w:val="single" w:sz="8" w:space="0" w:color="auto"/>
            </w:tcBorders>
            <w:shd w:val="clear" w:color="000000" w:fill="D9D9D9"/>
            <w:vAlign w:val="center"/>
            <w:hideMark/>
          </w:tcPr>
          <w:p w14:paraId="21B9AB66" w14:textId="7217100D" w:rsidR="00D63D8E" w:rsidRPr="00D63D8E" w:rsidRDefault="00D63D8E" w:rsidP="00D4571A">
            <w:pPr>
              <w:jc w:val="right"/>
              <w:rPr>
                <w:rFonts w:ascii="Arial" w:hAnsi="Arial" w:cs="Arial"/>
                <w:b/>
                <w:bCs/>
                <w:sz w:val="22"/>
                <w:szCs w:val="22"/>
              </w:rPr>
            </w:pPr>
          </w:p>
        </w:tc>
        <w:tc>
          <w:tcPr>
            <w:tcW w:w="1512" w:type="dxa"/>
            <w:tcBorders>
              <w:top w:val="nil"/>
              <w:left w:val="nil"/>
              <w:bottom w:val="nil"/>
              <w:right w:val="single" w:sz="8" w:space="0" w:color="auto"/>
            </w:tcBorders>
            <w:shd w:val="clear" w:color="000000" w:fill="D9D9D9"/>
            <w:vAlign w:val="center"/>
            <w:hideMark/>
          </w:tcPr>
          <w:p w14:paraId="6AF13767" w14:textId="79CFB18A" w:rsidR="00D63D8E" w:rsidRPr="00D63D8E" w:rsidRDefault="00D63D8E" w:rsidP="00D4571A">
            <w:pPr>
              <w:jc w:val="right"/>
              <w:rPr>
                <w:rFonts w:ascii="Arial" w:hAnsi="Arial" w:cs="Arial"/>
                <w:b/>
                <w:bCs/>
                <w:sz w:val="22"/>
                <w:szCs w:val="22"/>
              </w:rPr>
            </w:pPr>
          </w:p>
        </w:tc>
        <w:tc>
          <w:tcPr>
            <w:tcW w:w="1551" w:type="dxa"/>
            <w:tcBorders>
              <w:top w:val="nil"/>
              <w:left w:val="nil"/>
              <w:bottom w:val="nil"/>
              <w:right w:val="single" w:sz="8" w:space="0" w:color="auto"/>
            </w:tcBorders>
            <w:shd w:val="clear" w:color="000000" w:fill="D9D9D9"/>
            <w:vAlign w:val="center"/>
            <w:hideMark/>
          </w:tcPr>
          <w:p w14:paraId="42E751F8" w14:textId="2FDAEDD9" w:rsidR="00D63D8E" w:rsidRPr="00D63D8E" w:rsidRDefault="00D63D8E" w:rsidP="00D4571A">
            <w:pPr>
              <w:jc w:val="right"/>
              <w:rPr>
                <w:rFonts w:ascii="Arial" w:hAnsi="Arial" w:cs="Arial"/>
                <w:b/>
                <w:bCs/>
                <w:sz w:val="22"/>
                <w:szCs w:val="22"/>
              </w:rPr>
            </w:pPr>
          </w:p>
        </w:tc>
      </w:tr>
      <w:tr w:rsidR="00D63D8E" w:rsidRPr="00C75839" w14:paraId="55E528FB" w14:textId="77777777" w:rsidTr="00D4571A">
        <w:trPr>
          <w:trHeight w:val="468"/>
        </w:trPr>
        <w:tc>
          <w:tcPr>
            <w:tcW w:w="4424" w:type="dxa"/>
            <w:tcBorders>
              <w:top w:val="nil"/>
              <w:left w:val="single" w:sz="8" w:space="0" w:color="auto"/>
              <w:bottom w:val="nil"/>
              <w:right w:val="single" w:sz="8" w:space="0" w:color="auto"/>
            </w:tcBorders>
            <w:vAlign w:val="center"/>
            <w:hideMark/>
          </w:tcPr>
          <w:p w14:paraId="2667506E" w14:textId="06A3F91E" w:rsidR="00D63D8E" w:rsidRPr="002C0D29" w:rsidRDefault="00D63D8E" w:rsidP="00D63D8E">
            <w:pPr>
              <w:rPr>
                <w:rFonts w:ascii="Arial" w:hAnsi="Arial" w:cs="Arial"/>
                <w:color w:val="000000"/>
                <w:sz w:val="22"/>
                <w:szCs w:val="22"/>
              </w:rPr>
            </w:pPr>
            <w:r w:rsidRPr="002C0D29">
              <w:rPr>
                <w:rFonts w:ascii="Arial" w:hAnsi="Arial" w:cs="Arial"/>
                <w:color w:val="000000"/>
                <w:sz w:val="22"/>
                <w:szCs w:val="22"/>
              </w:rPr>
              <w:t xml:space="preserve">Total Comprehensive (Income) &amp; Expenditure </w:t>
            </w:r>
          </w:p>
        </w:tc>
        <w:tc>
          <w:tcPr>
            <w:tcW w:w="1200" w:type="dxa"/>
            <w:tcBorders>
              <w:top w:val="nil"/>
              <w:left w:val="nil"/>
              <w:bottom w:val="nil"/>
              <w:right w:val="single" w:sz="8" w:space="0" w:color="auto"/>
            </w:tcBorders>
            <w:vAlign w:val="center"/>
            <w:hideMark/>
          </w:tcPr>
          <w:p w14:paraId="648549C6" w14:textId="77777777" w:rsidR="00D63D8E" w:rsidRPr="002C0D29" w:rsidRDefault="00D63D8E" w:rsidP="00D63D8E">
            <w:pPr>
              <w:rPr>
                <w:rFonts w:ascii="Arial" w:hAnsi="Arial" w:cs="Arial"/>
                <w:color w:val="000000"/>
                <w:sz w:val="22"/>
                <w:szCs w:val="22"/>
              </w:rPr>
            </w:pPr>
          </w:p>
        </w:tc>
        <w:tc>
          <w:tcPr>
            <w:tcW w:w="1551" w:type="dxa"/>
            <w:tcBorders>
              <w:top w:val="nil"/>
              <w:left w:val="nil"/>
              <w:bottom w:val="nil"/>
              <w:right w:val="single" w:sz="8" w:space="0" w:color="auto"/>
            </w:tcBorders>
            <w:vAlign w:val="center"/>
            <w:hideMark/>
          </w:tcPr>
          <w:p w14:paraId="686C2B83" w14:textId="5F3D3864"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7,1</w:t>
            </w:r>
            <w:r w:rsidR="00770DDA">
              <w:rPr>
                <w:rFonts w:ascii="Arial" w:hAnsi="Arial" w:cs="Arial"/>
                <w:b/>
                <w:bCs/>
                <w:sz w:val="22"/>
                <w:szCs w:val="22"/>
              </w:rPr>
              <w:t>38</w:t>
            </w:r>
          </w:p>
        </w:tc>
        <w:tc>
          <w:tcPr>
            <w:tcW w:w="1420" w:type="dxa"/>
            <w:tcBorders>
              <w:top w:val="nil"/>
              <w:left w:val="nil"/>
              <w:bottom w:val="nil"/>
              <w:right w:val="single" w:sz="8" w:space="0" w:color="auto"/>
            </w:tcBorders>
            <w:vAlign w:val="center"/>
            <w:hideMark/>
          </w:tcPr>
          <w:p w14:paraId="18CE20BA" w14:textId="4D35BB6F"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0</w:t>
            </w:r>
          </w:p>
        </w:tc>
        <w:tc>
          <w:tcPr>
            <w:tcW w:w="1604" w:type="dxa"/>
            <w:tcBorders>
              <w:top w:val="nil"/>
              <w:left w:val="nil"/>
              <w:bottom w:val="nil"/>
              <w:right w:val="single" w:sz="8" w:space="0" w:color="auto"/>
            </w:tcBorders>
            <w:vAlign w:val="center"/>
            <w:hideMark/>
          </w:tcPr>
          <w:p w14:paraId="36CA34C5" w14:textId="24813B28"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0</w:t>
            </w:r>
          </w:p>
        </w:tc>
        <w:tc>
          <w:tcPr>
            <w:tcW w:w="1527" w:type="dxa"/>
            <w:tcBorders>
              <w:top w:val="nil"/>
              <w:left w:val="nil"/>
              <w:bottom w:val="nil"/>
              <w:right w:val="single" w:sz="8" w:space="0" w:color="auto"/>
            </w:tcBorders>
            <w:shd w:val="clear" w:color="000000" w:fill="D9D9D9"/>
            <w:vAlign w:val="center"/>
            <w:hideMark/>
          </w:tcPr>
          <w:p w14:paraId="06574210" w14:textId="4AA945D8" w:rsidR="00D63D8E" w:rsidRPr="00D63D8E" w:rsidRDefault="00D63D8E" w:rsidP="00D4571A">
            <w:pPr>
              <w:jc w:val="right"/>
              <w:rPr>
                <w:rFonts w:ascii="Arial" w:hAnsi="Arial" w:cs="Arial"/>
                <w:b/>
                <w:bCs/>
                <w:sz w:val="22"/>
                <w:szCs w:val="22"/>
                <w:highlight w:val="cyan"/>
              </w:rPr>
            </w:pPr>
            <w:r w:rsidRPr="00D63D8E">
              <w:rPr>
                <w:rFonts w:ascii="Arial" w:hAnsi="Arial" w:cs="Arial"/>
                <w:b/>
                <w:bCs/>
                <w:sz w:val="22"/>
                <w:szCs w:val="22"/>
              </w:rPr>
              <w:t>7,1</w:t>
            </w:r>
            <w:r w:rsidR="00770DDA">
              <w:rPr>
                <w:rFonts w:ascii="Arial" w:hAnsi="Arial" w:cs="Arial"/>
                <w:b/>
                <w:bCs/>
                <w:sz w:val="22"/>
                <w:szCs w:val="22"/>
              </w:rPr>
              <w:t>38</w:t>
            </w:r>
          </w:p>
        </w:tc>
        <w:tc>
          <w:tcPr>
            <w:tcW w:w="1512" w:type="dxa"/>
            <w:tcBorders>
              <w:top w:val="nil"/>
              <w:left w:val="nil"/>
              <w:bottom w:val="nil"/>
              <w:right w:val="single" w:sz="8" w:space="0" w:color="auto"/>
            </w:tcBorders>
            <w:shd w:val="clear" w:color="000000" w:fill="D9D9D9"/>
            <w:vAlign w:val="center"/>
            <w:hideMark/>
          </w:tcPr>
          <w:p w14:paraId="5C8E00C8" w14:textId="38F79454"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3</w:t>
            </w:r>
          </w:p>
        </w:tc>
        <w:tc>
          <w:tcPr>
            <w:tcW w:w="1551" w:type="dxa"/>
            <w:tcBorders>
              <w:top w:val="nil"/>
              <w:left w:val="nil"/>
              <w:bottom w:val="nil"/>
              <w:right w:val="single" w:sz="8" w:space="0" w:color="auto"/>
            </w:tcBorders>
            <w:shd w:val="clear" w:color="000000" w:fill="D9D9D9"/>
            <w:vAlign w:val="center"/>
            <w:hideMark/>
          </w:tcPr>
          <w:p w14:paraId="4EC0CF7F" w14:textId="5AE9506D"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7,1</w:t>
            </w:r>
            <w:r w:rsidR="00770DDA">
              <w:rPr>
                <w:rFonts w:ascii="Arial" w:hAnsi="Arial" w:cs="Arial"/>
                <w:b/>
                <w:bCs/>
                <w:sz w:val="22"/>
                <w:szCs w:val="22"/>
              </w:rPr>
              <w:t>41</w:t>
            </w:r>
          </w:p>
        </w:tc>
      </w:tr>
      <w:tr w:rsidR="00D63D8E" w:rsidRPr="00C75839" w14:paraId="24F15FF5" w14:textId="77777777" w:rsidTr="00D4571A">
        <w:trPr>
          <w:trHeight w:val="468"/>
        </w:trPr>
        <w:tc>
          <w:tcPr>
            <w:tcW w:w="4424" w:type="dxa"/>
            <w:tcBorders>
              <w:top w:val="nil"/>
              <w:left w:val="single" w:sz="8" w:space="0" w:color="auto"/>
              <w:bottom w:val="single" w:sz="8" w:space="0" w:color="auto"/>
              <w:right w:val="single" w:sz="8" w:space="0" w:color="auto"/>
            </w:tcBorders>
            <w:vAlign w:val="center"/>
            <w:hideMark/>
          </w:tcPr>
          <w:p w14:paraId="536209F6" w14:textId="77777777" w:rsidR="00D63D8E" w:rsidRPr="002C0D29" w:rsidRDefault="00D63D8E" w:rsidP="00D63D8E">
            <w:pPr>
              <w:rPr>
                <w:rFonts w:ascii="Arial" w:hAnsi="Arial" w:cs="Arial"/>
                <w:color w:val="000000"/>
                <w:sz w:val="22"/>
                <w:szCs w:val="22"/>
              </w:rPr>
            </w:pPr>
            <w:proofErr w:type="spellStart"/>
            <w:r w:rsidRPr="002C0D29">
              <w:rPr>
                <w:rFonts w:ascii="Arial" w:hAnsi="Arial" w:cs="Arial"/>
                <w:color w:val="000000"/>
                <w:sz w:val="22"/>
                <w:szCs w:val="22"/>
              </w:rPr>
              <w:t>Adjs</w:t>
            </w:r>
            <w:proofErr w:type="spellEnd"/>
            <w:r w:rsidRPr="002C0D29">
              <w:rPr>
                <w:rFonts w:ascii="Arial" w:hAnsi="Arial" w:cs="Arial"/>
                <w:color w:val="000000"/>
                <w:sz w:val="22"/>
                <w:szCs w:val="22"/>
              </w:rPr>
              <w:t xml:space="preserve"> between accounting basis &amp; funding basis under regulations</w:t>
            </w:r>
          </w:p>
        </w:tc>
        <w:tc>
          <w:tcPr>
            <w:tcW w:w="1200" w:type="dxa"/>
            <w:tcBorders>
              <w:top w:val="nil"/>
              <w:left w:val="single" w:sz="8" w:space="0" w:color="auto"/>
              <w:bottom w:val="single" w:sz="8" w:space="0" w:color="auto"/>
              <w:right w:val="single" w:sz="8" w:space="0" w:color="auto"/>
            </w:tcBorders>
            <w:vAlign w:val="center"/>
            <w:hideMark/>
          </w:tcPr>
          <w:p w14:paraId="732507F8" w14:textId="77777777" w:rsidR="00D63D8E" w:rsidRPr="002C0D29" w:rsidRDefault="00D63D8E" w:rsidP="00D63D8E">
            <w:pPr>
              <w:jc w:val="right"/>
              <w:rPr>
                <w:rFonts w:ascii="Arial" w:hAnsi="Arial" w:cs="Arial"/>
                <w:color w:val="000000"/>
                <w:sz w:val="22"/>
                <w:szCs w:val="22"/>
              </w:rPr>
            </w:pPr>
            <w:r w:rsidRPr="002C0D29">
              <w:rPr>
                <w:rFonts w:ascii="Arial" w:hAnsi="Arial" w:cs="Arial"/>
                <w:color w:val="000000"/>
                <w:sz w:val="22"/>
                <w:szCs w:val="22"/>
              </w:rPr>
              <w:t>8</w:t>
            </w:r>
          </w:p>
        </w:tc>
        <w:tc>
          <w:tcPr>
            <w:tcW w:w="1551" w:type="dxa"/>
            <w:tcBorders>
              <w:top w:val="nil"/>
              <w:left w:val="nil"/>
              <w:bottom w:val="single" w:sz="8" w:space="0" w:color="auto"/>
              <w:right w:val="single" w:sz="8" w:space="0" w:color="auto"/>
            </w:tcBorders>
            <w:vAlign w:val="center"/>
            <w:hideMark/>
          </w:tcPr>
          <w:p w14:paraId="6EAF9A9E" w14:textId="473C6309"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(4,849)</w:t>
            </w:r>
          </w:p>
        </w:tc>
        <w:tc>
          <w:tcPr>
            <w:tcW w:w="1420" w:type="dxa"/>
            <w:tcBorders>
              <w:top w:val="nil"/>
              <w:left w:val="nil"/>
              <w:bottom w:val="single" w:sz="8" w:space="0" w:color="auto"/>
              <w:right w:val="single" w:sz="8" w:space="0" w:color="auto"/>
            </w:tcBorders>
            <w:vAlign w:val="center"/>
            <w:hideMark/>
          </w:tcPr>
          <w:p w14:paraId="61CBA465" w14:textId="6CA53652"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(91)</w:t>
            </w:r>
          </w:p>
        </w:tc>
        <w:tc>
          <w:tcPr>
            <w:tcW w:w="1604" w:type="dxa"/>
            <w:tcBorders>
              <w:top w:val="nil"/>
              <w:left w:val="nil"/>
              <w:bottom w:val="single" w:sz="8" w:space="0" w:color="auto"/>
              <w:right w:val="single" w:sz="8" w:space="0" w:color="auto"/>
            </w:tcBorders>
            <w:vAlign w:val="center"/>
            <w:hideMark/>
          </w:tcPr>
          <w:p w14:paraId="5C6EA06A" w14:textId="4563464C"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80</w:t>
            </w:r>
          </w:p>
        </w:tc>
        <w:tc>
          <w:tcPr>
            <w:tcW w:w="1527" w:type="dxa"/>
            <w:tcBorders>
              <w:top w:val="nil"/>
              <w:left w:val="nil"/>
              <w:bottom w:val="nil"/>
              <w:right w:val="single" w:sz="8" w:space="0" w:color="auto"/>
            </w:tcBorders>
            <w:shd w:val="clear" w:color="000000" w:fill="D9D9D9"/>
            <w:vAlign w:val="center"/>
            <w:hideMark/>
          </w:tcPr>
          <w:p w14:paraId="1B0CE7AA" w14:textId="0935E800"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(4,859)</w:t>
            </w:r>
          </w:p>
        </w:tc>
        <w:tc>
          <w:tcPr>
            <w:tcW w:w="1512" w:type="dxa"/>
            <w:tcBorders>
              <w:top w:val="nil"/>
              <w:left w:val="nil"/>
              <w:bottom w:val="single" w:sz="8" w:space="0" w:color="auto"/>
              <w:right w:val="single" w:sz="8" w:space="0" w:color="auto"/>
            </w:tcBorders>
            <w:shd w:val="clear" w:color="000000" w:fill="D9D9D9"/>
            <w:vAlign w:val="center"/>
            <w:hideMark/>
          </w:tcPr>
          <w:p w14:paraId="59202079" w14:textId="7028B1A8"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4,859</w:t>
            </w:r>
          </w:p>
        </w:tc>
        <w:tc>
          <w:tcPr>
            <w:tcW w:w="1551" w:type="dxa"/>
            <w:tcBorders>
              <w:top w:val="nil"/>
              <w:left w:val="nil"/>
              <w:bottom w:val="single" w:sz="8" w:space="0" w:color="auto"/>
              <w:right w:val="single" w:sz="8" w:space="0" w:color="auto"/>
            </w:tcBorders>
            <w:shd w:val="clear" w:color="000000" w:fill="D9D9D9"/>
            <w:vAlign w:val="center"/>
            <w:hideMark/>
          </w:tcPr>
          <w:p w14:paraId="408AB93E" w14:textId="47965758" w:rsidR="00D63D8E" w:rsidRPr="00D63D8E" w:rsidRDefault="00D63D8E" w:rsidP="00D4571A">
            <w:pPr>
              <w:jc w:val="right"/>
              <w:rPr>
                <w:rFonts w:ascii="Arial" w:hAnsi="Arial" w:cs="Arial"/>
                <w:b/>
                <w:bCs/>
                <w:sz w:val="22"/>
                <w:szCs w:val="22"/>
              </w:rPr>
            </w:pPr>
            <w:r w:rsidRPr="00D63D8E">
              <w:rPr>
                <w:rFonts w:ascii="Arial" w:hAnsi="Arial" w:cs="Arial"/>
                <w:b/>
                <w:bCs/>
                <w:sz w:val="22"/>
                <w:szCs w:val="22"/>
              </w:rPr>
              <w:t>0</w:t>
            </w:r>
          </w:p>
        </w:tc>
      </w:tr>
      <w:tr w:rsidR="00D63D8E" w:rsidRPr="00C75839" w14:paraId="6A5378EB" w14:textId="77777777" w:rsidTr="00D4571A">
        <w:trPr>
          <w:trHeight w:val="468"/>
        </w:trPr>
        <w:tc>
          <w:tcPr>
            <w:tcW w:w="4424" w:type="dxa"/>
            <w:tcBorders>
              <w:top w:val="nil"/>
              <w:left w:val="single" w:sz="8" w:space="0" w:color="auto"/>
              <w:bottom w:val="single" w:sz="8" w:space="0" w:color="auto"/>
              <w:right w:val="single" w:sz="8" w:space="0" w:color="auto"/>
            </w:tcBorders>
            <w:vAlign w:val="center"/>
            <w:hideMark/>
          </w:tcPr>
          <w:p w14:paraId="5AFB0B13" w14:textId="3EF5E7D7" w:rsidR="00D63D8E" w:rsidRPr="002C0D29" w:rsidRDefault="00D63D8E" w:rsidP="00D63D8E">
            <w:pPr>
              <w:rPr>
                <w:rFonts w:ascii="Arial" w:hAnsi="Arial" w:cs="Arial"/>
                <w:b/>
                <w:bCs/>
                <w:color w:val="000000"/>
                <w:sz w:val="22"/>
                <w:szCs w:val="22"/>
              </w:rPr>
            </w:pPr>
            <w:r w:rsidRPr="002C0D29">
              <w:rPr>
                <w:rFonts w:ascii="Arial" w:hAnsi="Arial" w:cs="Arial"/>
                <w:b/>
                <w:bCs/>
                <w:color w:val="000000"/>
                <w:sz w:val="22"/>
                <w:szCs w:val="22"/>
              </w:rPr>
              <w:t>Net Increase/(Decrease) in 2024/25</w:t>
            </w:r>
          </w:p>
        </w:tc>
        <w:tc>
          <w:tcPr>
            <w:tcW w:w="1200" w:type="dxa"/>
            <w:tcBorders>
              <w:top w:val="nil"/>
              <w:left w:val="single" w:sz="8" w:space="0" w:color="auto"/>
              <w:bottom w:val="single" w:sz="8" w:space="0" w:color="auto"/>
              <w:right w:val="single" w:sz="8" w:space="0" w:color="auto"/>
            </w:tcBorders>
            <w:vAlign w:val="center"/>
            <w:hideMark/>
          </w:tcPr>
          <w:p w14:paraId="6BE4C645" w14:textId="77777777" w:rsidR="00D63D8E" w:rsidRPr="002C0D29" w:rsidRDefault="00D63D8E" w:rsidP="00D63D8E">
            <w:pPr>
              <w:rPr>
                <w:rFonts w:ascii="Arial" w:hAnsi="Arial" w:cs="Arial"/>
                <w:b/>
                <w:bCs/>
                <w:color w:val="000000"/>
                <w:sz w:val="22"/>
                <w:szCs w:val="22"/>
              </w:rPr>
            </w:pPr>
          </w:p>
        </w:tc>
        <w:tc>
          <w:tcPr>
            <w:tcW w:w="1551" w:type="dxa"/>
            <w:tcBorders>
              <w:top w:val="nil"/>
              <w:left w:val="nil"/>
              <w:bottom w:val="single" w:sz="8" w:space="0" w:color="auto"/>
              <w:right w:val="single" w:sz="8" w:space="0" w:color="auto"/>
            </w:tcBorders>
            <w:vAlign w:val="center"/>
            <w:hideMark/>
          </w:tcPr>
          <w:p w14:paraId="42973443" w14:textId="43BF4116"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2,2</w:t>
            </w:r>
            <w:r w:rsidR="00770DDA">
              <w:rPr>
                <w:rFonts w:ascii="Arial" w:hAnsi="Arial" w:cs="Arial"/>
                <w:b/>
                <w:bCs/>
                <w:sz w:val="22"/>
                <w:szCs w:val="22"/>
              </w:rPr>
              <w:t>89</w:t>
            </w:r>
          </w:p>
        </w:tc>
        <w:tc>
          <w:tcPr>
            <w:tcW w:w="1420" w:type="dxa"/>
            <w:tcBorders>
              <w:top w:val="nil"/>
              <w:left w:val="nil"/>
              <w:bottom w:val="single" w:sz="8" w:space="0" w:color="auto"/>
              <w:right w:val="single" w:sz="8" w:space="0" w:color="auto"/>
            </w:tcBorders>
            <w:vAlign w:val="center"/>
            <w:hideMark/>
          </w:tcPr>
          <w:p w14:paraId="3DBCB718" w14:textId="5CF42CC9"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(91)</w:t>
            </w:r>
          </w:p>
        </w:tc>
        <w:tc>
          <w:tcPr>
            <w:tcW w:w="1604" w:type="dxa"/>
            <w:tcBorders>
              <w:top w:val="nil"/>
              <w:left w:val="nil"/>
              <w:bottom w:val="single" w:sz="8" w:space="0" w:color="auto"/>
              <w:right w:val="single" w:sz="8" w:space="0" w:color="auto"/>
            </w:tcBorders>
            <w:vAlign w:val="center"/>
            <w:hideMark/>
          </w:tcPr>
          <w:p w14:paraId="0BC8FBDF" w14:textId="71253290"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80</w:t>
            </w:r>
          </w:p>
        </w:tc>
        <w:tc>
          <w:tcPr>
            <w:tcW w:w="1527" w:type="dxa"/>
            <w:tcBorders>
              <w:top w:val="single" w:sz="8" w:space="0" w:color="auto"/>
              <w:left w:val="nil"/>
              <w:bottom w:val="single" w:sz="8" w:space="0" w:color="auto"/>
              <w:right w:val="single" w:sz="8" w:space="0" w:color="auto"/>
            </w:tcBorders>
            <w:shd w:val="clear" w:color="000000" w:fill="D9D9D9"/>
            <w:vAlign w:val="center"/>
            <w:hideMark/>
          </w:tcPr>
          <w:p w14:paraId="38735FEC" w14:textId="301D5E6D"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2,261</w:t>
            </w:r>
          </w:p>
        </w:tc>
        <w:tc>
          <w:tcPr>
            <w:tcW w:w="1512" w:type="dxa"/>
            <w:tcBorders>
              <w:top w:val="nil"/>
              <w:left w:val="nil"/>
              <w:bottom w:val="single" w:sz="8" w:space="0" w:color="auto"/>
              <w:right w:val="single" w:sz="8" w:space="0" w:color="auto"/>
            </w:tcBorders>
            <w:shd w:val="clear" w:color="000000" w:fill="D9D9D9"/>
            <w:vAlign w:val="center"/>
            <w:hideMark/>
          </w:tcPr>
          <w:p w14:paraId="3D33A645" w14:textId="600FA7E7"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4,862</w:t>
            </w:r>
          </w:p>
        </w:tc>
        <w:tc>
          <w:tcPr>
            <w:tcW w:w="1551" w:type="dxa"/>
            <w:tcBorders>
              <w:top w:val="nil"/>
              <w:left w:val="nil"/>
              <w:bottom w:val="single" w:sz="8" w:space="0" w:color="auto"/>
              <w:right w:val="single" w:sz="8" w:space="0" w:color="auto"/>
            </w:tcBorders>
            <w:shd w:val="clear" w:color="000000" w:fill="D9D9D9"/>
            <w:vAlign w:val="center"/>
            <w:hideMark/>
          </w:tcPr>
          <w:p w14:paraId="017E6E20" w14:textId="1B30BA84"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7,1</w:t>
            </w:r>
            <w:r w:rsidR="00770DDA">
              <w:rPr>
                <w:rFonts w:ascii="Arial" w:hAnsi="Arial" w:cs="Arial"/>
                <w:b/>
                <w:bCs/>
                <w:sz w:val="22"/>
                <w:szCs w:val="22"/>
              </w:rPr>
              <w:t>41</w:t>
            </w:r>
          </w:p>
        </w:tc>
      </w:tr>
      <w:tr w:rsidR="00D63D8E" w:rsidRPr="00C75839" w14:paraId="4D2C07DA" w14:textId="77777777" w:rsidTr="00D4571A">
        <w:trPr>
          <w:trHeight w:val="245"/>
        </w:trPr>
        <w:tc>
          <w:tcPr>
            <w:tcW w:w="4424" w:type="dxa"/>
            <w:tcBorders>
              <w:top w:val="nil"/>
              <w:left w:val="single" w:sz="8" w:space="0" w:color="auto"/>
              <w:bottom w:val="single" w:sz="8" w:space="0" w:color="auto"/>
              <w:right w:val="single" w:sz="8" w:space="0" w:color="auto"/>
            </w:tcBorders>
            <w:vAlign w:val="center"/>
            <w:hideMark/>
          </w:tcPr>
          <w:p w14:paraId="1F52D186" w14:textId="4D0EDC8C" w:rsidR="00D63D8E" w:rsidRPr="002C0D29" w:rsidRDefault="00D63D8E" w:rsidP="00D63D8E">
            <w:pPr>
              <w:rPr>
                <w:rFonts w:ascii="Arial" w:hAnsi="Arial" w:cs="Arial"/>
                <w:b/>
                <w:bCs/>
                <w:color w:val="000000"/>
                <w:sz w:val="22"/>
                <w:szCs w:val="22"/>
              </w:rPr>
            </w:pPr>
            <w:r w:rsidRPr="002C0D29">
              <w:rPr>
                <w:rFonts w:ascii="Arial" w:hAnsi="Arial" w:cs="Arial"/>
                <w:b/>
                <w:bCs/>
                <w:color w:val="000000"/>
                <w:sz w:val="22"/>
                <w:szCs w:val="22"/>
              </w:rPr>
              <w:t>Balance at 31 March 2025</w:t>
            </w:r>
          </w:p>
        </w:tc>
        <w:tc>
          <w:tcPr>
            <w:tcW w:w="1200" w:type="dxa"/>
            <w:tcBorders>
              <w:top w:val="nil"/>
              <w:left w:val="nil"/>
              <w:bottom w:val="single" w:sz="8" w:space="0" w:color="auto"/>
              <w:right w:val="single" w:sz="8" w:space="0" w:color="auto"/>
            </w:tcBorders>
            <w:vAlign w:val="center"/>
            <w:hideMark/>
          </w:tcPr>
          <w:p w14:paraId="473CD42D" w14:textId="77777777" w:rsidR="00D63D8E" w:rsidRPr="002C0D29" w:rsidRDefault="00D63D8E" w:rsidP="00D63D8E">
            <w:pPr>
              <w:rPr>
                <w:rFonts w:ascii="Arial" w:hAnsi="Arial" w:cs="Arial"/>
                <w:b/>
                <w:bCs/>
                <w:color w:val="000000"/>
                <w:sz w:val="22"/>
                <w:szCs w:val="22"/>
              </w:rPr>
            </w:pPr>
          </w:p>
        </w:tc>
        <w:tc>
          <w:tcPr>
            <w:tcW w:w="1551" w:type="dxa"/>
            <w:tcBorders>
              <w:top w:val="nil"/>
              <w:left w:val="nil"/>
              <w:bottom w:val="single" w:sz="8" w:space="0" w:color="auto"/>
              <w:right w:val="single" w:sz="8" w:space="0" w:color="auto"/>
            </w:tcBorders>
            <w:vAlign w:val="center"/>
            <w:hideMark/>
          </w:tcPr>
          <w:p w14:paraId="03A49BAB" w14:textId="37702568"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(27,1</w:t>
            </w:r>
            <w:r w:rsidR="00770DDA">
              <w:rPr>
                <w:rFonts w:ascii="Arial" w:hAnsi="Arial" w:cs="Arial"/>
                <w:b/>
                <w:bCs/>
                <w:sz w:val="22"/>
                <w:szCs w:val="22"/>
              </w:rPr>
              <w:t>54</w:t>
            </w:r>
            <w:r w:rsidRPr="00D63D8E">
              <w:rPr>
                <w:rFonts w:ascii="Arial" w:hAnsi="Arial" w:cs="Arial"/>
                <w:b/>
                <w:bCs/>
                <w:sz w:val="22"/>
                <w:szCs w:val="22"/>
              </w:rPr>
              <w:t>)</w:t>
            </w:r>
          </w:p>
        </w:tc>
        <w:tc>
          <w:tcPr>
            <w:tcW w:w="1420" w:type="dxa"/>
            <w:tcBorders>
              <w:top w:val="nil"/>
              <w:left w:val="nil"/>
              <w:bottom w:val="single" w:sz="8" w:space="0" w:color="auto"/>
              <w:right w:val="single" w:sz="8" w:space="0" w:color="auto"/>
            </w:tcBorders>
            <w:vAlign w:val="center"/>
            <w:hideMark/>
          </w:tcPr>
          <w:p w14:paraId="5CF49003" w14:textId="4C367CF5"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(1,596)</w:t>
            </w:r>
          </w:p>
        </w:tc>
        <w:tc>
          <w:tcPr>
            <w:tcW w:w="1604" w:type="dxa"/>
            <w:tcBorders>
              <w:top w:val="nil"/>
              <w:left w:val="nil"/>
              <w:bottom w:val="single" w:sz="8" w:space="0" w:color="auto"/>
              <w:right w:val="single" w:sz="8" w:space="0" w:color="auto"/>
            </w:tcBorders>
            <w:vAlign w:val="center"/>
            <w:hideMark/>
          </w:tcPr>
          <w:p w14:paraId="2D45B954" w14:textId="6E65BF2B"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(256)</w:t>
            </w:r>
          </w:p>
        </w:tc>
        <w:tc>
          <w:tcPr>
            <w:tcW w:w="1527" w:type="dxa"/>
            <w:tcBorders>
              <w:top w:val="nil"/>
              <w:left w:val="nil"/>
              <w:bottom w:val="single" w:sz="8" w:space="0" w:color="auto"/>
              <w:right w:val="single" w:sz="8" w:space="0" w:color="auto"/>
            </w:tcBorders>
            <w:shd w:val="clear" w:color="000000" w:fill="D9D9D9"/>
            <w:vAlign w:val="center"/>
            <w:hideMark/>
          </w:tcPr>
          <w:p w14:paraId="66E3971E" w14:textId="6457DD3F"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(29,0</w:t>
            </w:r>
            <w:r w:rsidR="00770DDA">
              <w:rPr>
                <w:rFonts w:ascii="Arial" w:hAnsi="Arial" w:cs="Arial"/>
                <w:b/>
                <w:bCs/>
                <w:sz w:val="22"/>
                <w:szCs w:val="22"/>
              </w:rPr>
              <w:t>06</w:t>
            </w:r>
            <w:r w:rsidRPr="00D63D8E">
              <w:rPr>
                <w:rFonts w:ascii="Arial" w:hAnsi="Arial" w:cs="Arial"/>
                <w:b/>
                <w:bCs/>
                <w:sz w:val="22"/>
                <w:szCs w:val="22"/>
              </w:rPr>
              <w:t>)</w:t>
            </w:r>
          </w:p>
        </w:tc>
        <w:tc>
          <w:tcPr>
            <w:tcW w:w="1512" w:type="dxa"/>
            <w:tcBorders>
              <w:top w:val="nil"/>
              <w:left w:val="nil"/>
              <w:bottom w:val="single" w:sz="8" w:space="0" w:color="auto"/>
              <w:right w:val="single" w:sz="8" w:space="0" w:color="auto"/>
            </w:tcBorders>
            <w:shd w:val="clear" w:color="000000" w:fill="D9D9D9"/>
            <w:vAlign w:val="center"/>
            <w:hideMark/>
          </w:tcPr>
          <w:p w14:paraId="44293E4D" w14:textId="2540BDE9"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(173,754)</w:t>
            </w:r>
          </w:p>
        </w:tc>
        <w:tc>
          <w:tcPr>
            <w:tcW w:w="1551" w:type="dxa"/>
            <w:tcBorders>
              <w:top w:val="nil"/>
              <w:left w:val="nil"/>
              <w:bottom w:val="single" w:sz="8" w:space="0" w:color="auto"/>
              <w:right w:val="single" w:sz="8" w:space="0" w:color="auto"/>
            </w:tcBorders>
            <w:shd w:val="clear" w:color="000000" w:fill="D9D9D9"/>
            <w:vAlign w:val="center"/>
            <w:hideMark/>
          </w:tcPr>
          <w:p w14:paraId="7D47F918" w14:textId="19CFAB42" w:rsidR="00D63D8E" w:rsidRPr="00D63D8E" w:rsidRDefault="00D63D8E" w:rsidP="00D4571A">
            <w:pPr>
              <w:jc w:val="right"/>
              <w:rPr>
                <w:rFonts w:ascii="Arial" w:hAnsi="Arial" w:cs="Arial"/>
                <w:b/>
                <w:bCs/>
                <w:color w:val="000000"/>
                <w:sz w:val="22"/>
                <w:szCs w:val="22"/>
              </w:rPr>
            </w:pPr>
            <w:r w:rsidRPr="00D63D8E">
              <w:rPr>
                <w:rFonts w:ascii="Arial" w:hAnsi="Arial" w:cs="Arial"/>
                <w:b/>
                <w:bCs/>
                <w:sz w:val="22"/>
                <w:szCs w:val="22"/>
              </w:rPr>
              <w:t>(202,7</w:t>
            </w:r>
            <w:r w:rsidR="00770DDA">
              <w:rPr>
                <w:rFonts w:ascii="Arial" w:hAnsi="Arial" w:cs="Arial"/>
                <w:b/>
                <w:bCs/>
                <w:sz w:val="22"/>
                <w:szCs w:val="22"/>
              </w:rPr>
              <w:t>60</w:t>
            </w:r>
            <w:r w:rsidRPr="00D63D8E">
              <w:rPr>
                <w:rFonts w:ascii="Arial" w:hAnsi="Arial" w:cs="Arial"/>
                <w:b/>
                <w:bCs/>
                <w:sz w:val="22"/>
                <w:szCs w:val="22"/>
              </w:rPr>
              <w:t>)</w:t>
            </w:r>
          </w:p>
        </w:tc>
      </w:tr>
    </w:tbl>
    <w:p w14:paraId="5094BE63" w14:textId="6A58BC6D" w:rsidR="003D290C" w:rsidRDefault="003D290C" w:rsidP="003B74DA">
      <w:pPr>
        <w:ind w:right="-720"/>
        <w:rPr>
          <w:rFonts w:ascii="Arial" w:hAnsi="Arial"/>
          <w:b/>
          <w:sz w:val="28"/>
          <w:szCs w:val="28"/>
        </w:rPr>
        <w:sectPr w:rsidR="003D290C" w:rsidSect="00784E9A">
          <w:headerReference w:type="default" r:id="rId40"/>
          <w:pgSz w:w="16838" w:h="11906" w:orient="landscape" w:code="9"/>
          <w:pgMar w:top="1134" w:right="964" w:bottom="1134" w:left="851" w:header="397" w:footer="567" w:gutter="0"/>
          <w:cols w:space="720"/>
          <w:docGrid w:linePitch="272"/>
        </w:sectPr>
      </w:pPr>
    </w:p>
    <w:p w14:paraId="673AD1E5" w14:textId="77777777" w:rsidR="003B74DA" w:rsidRDefault="003B74DA" w:rsidP="003B74DA">
      <w:pPr>
        <w:jc w:val="center"/>
        <w:rPr>
          <w:rFonts w:ascii="Arial" w:hAnsi="Arial"/>
          <w:b/>
          <w:sz w:val="28"/>
        </w:rPr>
      </w:pPr>
      <w:r>
        <w:rPr>
          <w:rFonts w:ascii="Arial" w:hAnsi="Arial"/>
          <w:b/>
          <w:sz w:val="28"/>
        </w:rPr>
        <w:lastRenderedPageBreak/>
        <w:t>PCC GROUP BALANCE SHEET</w:t>
      </w:r>
    </w:p>
    <w:p w14:paraId="56932405" w14:textId="77777777" w:rsidR="003B74DA" w:rsidRPr="00575776" w:rsidRDefault="003B74DA" w:rsidP="003B74DA">
      <w:pPr>
        <w:jc w:val="center"/>
        <w:rPr>
          <w:rFonts w:ascii="Arial" w:hAnsi="Arial"/>
          <w:b/>
          <w:szCs w:val="14"/>
        </w:rPr>
      </w:pPr>
    </w:p>
    <w:p w14:paraId="65D9A7E2" w14:textId="77777777" w:rsidR="003B74DA" w:rsidRDefault="003B74DA" w:rsidP="003B74DA">
      <w:pPr>
        <w:jc w:val="both"/>
        <w:rPr>
          <w:rFonts w:ascii="Arial" w:hAnsi="Arial" w:cs="Arial"/>
          <w:sz w:val="22"/>
        </w:rPr>
      </w:pPr>
      <w:r w:rsidRPr="006E7B68">
        <w:rPr>
          <w:rFonts w:ascii="Arial" w:hAnsi="Arial" w:cs="Arial"/>
          <w:sz w:val="22"/>
        </w:rPr>
        <w:t xml:space="preserve">The </w:t>
      </w:r>
      <w:r>
        <w:rPr>
          <w:rFonts w:ascii="Arial" w:hAnsi="Arial" w:cs="Arial"/>
          <w:sz w:val="22"/>
        </w:rPr>
        <w:t>b</w:t>
      </w:r>
      <w:r w:rsidRPr="006E7B68">
        <w:rPr>
          <w:rFonts w:ascii="Arial" w:hAnsi="Arial" w:cs="Arial"/>
          <w:sz w:val="22"/>
        </w:rPr>
        <w:t xml:space="preserve">alance </w:t>
      </w:r>
      <w:r>
        <w:rPr>
          <w:rFonts w:ascii="Arial" w:hAnsi="Arial" w:cs="Arial"/>
          <w:sz w:val="22"/>
        </w:rPr>
        <w:t>s</w:t>
      </w:r>
      <w:r w:rsidRPr="006E7B68">
        <w:rPr>
          <w:rFonts w:ascii="Arial" w:hAnsi="Arial" w:cs="Arial"/>
          <w:sz w:val="22"/>
        </w:rPr>
        <w:t xml:space="preserve">heet shows the value as at the </w:t>
      </w:r>
      <w:r>
        <w:rPr>
          <w:rFonts w:ascii="Arial" w:hAnsi="Arial" w:cs="Arial"/>
          <w:sz w:val="22"/>
        </w:rPr>
        <w:t>balance s</w:t>
      </w:r>
      <w:r w:rsidRPr="006E7B68">
        <w:rPr>
          <w:rFonts w:ascii="Arial" w:hAnsi="Arial" w:cs="Arial"/>
          <w:sz w:val="22"/>
        </w:rPr>
        <w:t xml:space="preserve">heet date of assets and liabilities recognised by the </w:t>
      </w:r>
      <w:r>
        <w:rPr>
          <w:rFonts w:ascii="Arial" w:hAnsi="Arial" w:cs="Arial"/>
          <w:sz w:val="22"/>
        </w:rPr>
        <w:t>PCC Group</w:t>
      </w:r>
      <w:r w:rsidRPr="006E7B68">
        <w:rPr>
          <w:rFonts w:ascii="Arial" w:hAnsi="Arial" w:cs="Arial"/>
          <w:sz w:val="22"/>
        </w:rPr>
        <w:t xml:space="preserve">. The net assets (assets less liabilities) are matched by the reserves held by the </w:t>
      </w:r>
      <w:r>
        <w:rPr>
          <w:rFonts w:ascii="Arial" w:hAnsi="Arial" w:cs="Arial"/>
          <w:sz w:val="22"/>
        </w:rPr>
        <w:t>Group.</w:t>
      </w:r>
    </w:p>
    <w:p w14:paraId="62FC7137" w14:textId="4168BE49" w:rsidR="00A36376" w:rsidRPr="00A36376" w:rsidRDefault="00A36376" w:rsidP="003B74DA">
      <w:pPr>
        <w:tabs>
          <w:tab w:val="left" w:pos="1134"/>
        </w:tabs>
        <w:jc w:val="center"/>
        <w:rPr>
          <w:b/>
          <w:bCs/>
          <w:lang w:val="en-US"/>
        </w:rPr>
      </w:pPr>
    </w:p>
    <w:tbl>
      <w:tblPr>
        <w:tblW w:w="9356" w:type="dxa"/>
        <w:tblCellMar>
          <w:top w:w="15" w:type="dxa"/>
          <w:bottom w:w="15" w:type="dxa"/>
        </w:tblCellMar>
        <w:tblLook w:val="04A0" w:firstRow="1" w:lastRow="0" w:firstColumn="1" w:lastColumn="0" w:noHBand="0" w:noVBand="1"/>
      </w:tblPr>
      <w:tblGrid>
        <w:gridCol w:w="1550"/>
        <w:gridCol w:w="4665"/>
        <w:gridCol w:w="1460"/>
        <w:gridCol w:w="1681"/>
      </w:tblGrid>
      <w:tr w:rsidR="005151BE" w:rsidRPr="005151BE" w14:paraId="0AC38C4A" w14:textId="77777777" w:rsidTr="005E2F77">
        <w:trPr>
          <w:trHeight w:val="300"/>
        </w:trPr>
        <w:tc>
          <w:tcPr>
            <w:tcW w:w="1550" w:type="dxa"/>
            <w:tcBorders>
              <w:top w:val="single" w:sz="8" w:space="0" w:color="auto"/>
              <w:left w:val="single" w:sz="8" w:space="0" w:color="auto"/>
              <w:bottom w:val="nil"/>
              <w:right w:val="nil"/>
            </w:tcBorders>
            <w:vAlign w:val="center"/>
            <w:hideMark/>
          </w:tcPr>
          <w:p w14:paraId="4A032C5F" w14:textId="58A46772" w:rsidR="005151BE" w:rsidRDefault="005151BE" w:rsidP="005151BE">
            <w:pPr>
              <w:jc w:val="right"/>
              <w:rPr>
                <w:rFonts w:ascii="Arial" w:hAnsi="Arial" w:cs="Arial"/>
                <w:b/>
                <w:bCs/>
                <w:color w:val="000000"/>
              </w:rPr>
            </w:pPr>
            <w:r w:rsidRPr="005151BE">
              <w:rPr>
                <w:rFonts w:ascii="Arial" w:hAnsi="Arial" w:cs="Arial"/>
                <w:b/>
                <w:bCs/>
                <w:color w:val="000000"/>
              </w:rPr>
              <w:t>31-Mar-2</w:t>
            </w:r>
            <w:r w:rsidR="001A2BBA">
              <w:rPr>
                <w:rFonts w:ascii="Arial" w:hAnsi="Arial" w:cs="Arial"/>
                <w:b/>
                <w:bCs/>
                <w:color w:val="000000"/>
              </w:rPr>
              <w:t>4</w:t>
            </w:r>
            <w:r w:rsidR="00A755ED">
              <w:rPr>
                <w:rFonts w:ascii="Arial" w:hAnsi="Arial" w:cs="Arial"/>
                <w:b/>
                <w:bCs/>
                <w:color w:val="000000"/>
              </w:rPr>
              <w:t xml:space="preserve"> (Restated)</w:t>
            </w:r>
          </w:p>
          <w:p w14:paraId="45F7A948" w14:textId="4B2AFCFD" w:rsidR="005151BE" w:rsidRPr="005151BE" w:rsidRDefault="005151BE" w:rsidP="005151BE">
            <w:pPr>
              <w:jc w:val="right"/>
              <w:rPr>
                <w:rFonts w:ascii="Arial" w:hAnsi="Arial" w:cs="Arial"/>
                <w:b/>
                <w:bCs/>
                <w:color w:val="000000"/>
              </w:rPr>
            </w:pPr>
          </w:p>
        </w:tc>
        <w:tc>
          <w:tcPr>
            <w:tcW w:w="4665" w:type="dxa"/>
            <w:tcBorders>
              <w:top w:val="single" w:sz="8" w:space="0" w:color="auto"/>
              <w:left w:val="single" w:sz="8" w:space="0" w:color="auto"/>
              <w:bottom w:val="nil"/>
              <w:right w:val="nil"/>
            </w:tcBorders>
            <w:shd w:val="clear" w:color="000000" w:fill="D9D9D9"/>
            <w:vAlign w:val="center"/>
            <w:hideMark/>
          </w:tcPr>
          <w:p w14:paraId="4925FB95" w14:textId="77777777" w:rsidR="005151BE" w:rsidRPr="005151BE" w:rsidRDefault="005151BE" w:rsidP="005151BE">
            <w:pPr>
              <w:jc w:val="right"/>
              <w:rPr>
                <w:rFonts w:ascii="Arial" w:hAnsi="Arial" w:cs="Arial"/>
                <w:b/>
                <w:bCs/>
                <w:color w:val="000000"/>
              </w:rPr>
            </w:pPr>
          </w:p>
        </w:tc>
        <w:tc>
          <w:tcPr>
            <w:tcW w:w="1460" w:type="dxa"/>
            <w:tcBorders>
              <w:top w:val="single" w:sz="8" w:space="0" w:color="auto"/>
              <w:left w:val="nil"/>
              <w:bottom w:val="nil"/>
              <w:right w:val="single" w:sz="8" w:space="0" w:color="auto"/>
            </w:tcBorders>
            <w:shd w:val="clear" w:color="000000" w:fill="D9D9D9"/>
            <w:vAlign w:val="center"/>
            <w:hideMark/>
          </w:tcPr>
          <w:p w14:paraId="51316775" w14:textId="77777777" w:rsidR="005151BE" w:rsidRPr="005151BE" w:rsidRDefault="005151BE" w:rsidP="005151BE">
            <w:pPr>
              <w:jc w:val="center"/>
              <w:rPr>
                <w:rFonts w:ascii="Arial" w:hAnsi="Arial" w:cs="Arial"/>
                <w:b/>
                <w:bCs/>
                <w:color w:val="000000"/>
              </w:rPr>
            </w:pPr>
            <w:r w:rsidRPr="005151BE">
              <w:rPr>
                <w:rFonts w:ascii="Arial" w:hAnsi="Arial" w:cs="Arial"/>
                <w:b/>
                <w:bCs/>
                <w:color w:val="000000"/>
              </w:rPr>
              <w:t>Notes</w:t>
            </w:r>
          </w:p>
        </w:tc>
        <w:tc>
          <w:tcPr>
            <w:tcW w:w="1681" w:type="dxa"/>
            <w:tcBorders>
              <w:top w:val="single" w:sz="8" w:space="0" w:color="auto"/>
              <w:left w:val="nil"/>
              <w:bottom w:val="nil"/>
              <w:right w:val="single" w:sz="8" w:space="0" w:color="auto"/>
            </w:tcBorders>
            <w:shd w:val="clear" w:color="000000" w:fill="D9D9D9"/>
            <w:vAlign w:val="center"/>
            <w:hideMark/>
          </w:tcPr>
          <w:p w14:paraId="6F5AD5A8" w14:textId="3CC3F0AC" w:rsidR="005151BE" w:rsidRPr="005151BE" w:rsidRDefault="005151BE" w:rsidP="005151BE">
            <w:pPr>
              <w:jc w:val="right"/>
              <w:rPr>
                <w:rFonts w:ascii="Arial" w:hAnsi="Arial" w:cs="Arial"/>
                <w:b/>
                <w:bCs/>
                <w:color w:val="000000"/>
              </w:rPr>
            </w:pPr>
            <w:r w:rsidRPr="005151BE">
              <w:rPr>
                <w:rFonts w:ascii="Arial" w:hAnsi="Arial" w:cs="Arial"/>
                <w:b/>
                <w:bCs/>
                <w:color w:val="000000"/>
              </w:rPr>
              <w:t>31-Mar-2</w:t>
            </w:r>
            <w:r w:rsidR="001A2BBA">
              <w:rPr>
                <w:rFonts w:ascii="Arial" w:hAnsi="Arial" w:cs="Arial"/>
                <w:b/>
                <w:bCs/>
                <w:color w:val="000000"/>
              </w:rPr>
              <w:t>5</w:t>
            </w:r>
          </w:p>
        </w:tc>
      </w:tr>
      <w:tr w:rsidR="005151BE" w:rsidRPr="005151BE" w14:paraId="05E0BE82" w14:textId="77777777" w:rsidTr="005E2F77">
        <w:trPr>
          <w:trHeight w:val="300"/>
        </w:trPr>
        <w:tc>
          <w:tcPr>
            <w:tcW w:w="1550" w:type="dxa"/>
            <w:tcBorders>
              <w:top w:val="nil"/>
              <w:left w:val="single" w:sz="8" w:space="0" w:color="auto"/>
              <w:bottom w:val="nil"/>
              <w:right w:val="nil"/>
            </w:tcBorders>
            <w:vAlign w:val="center"/>
            <w:hideMark/>
          </w:tcPr>
          <w:p w14:paraId="0AE9A8E9" w14:textId="77777777" w:rsidR="005151BE" w:rsidRPr="005151BE" w:rsidRDefault="005151BE" w:rsidP="005151BE">
            <w:pPr>
              <w:jc w:val="right"/>
              <w:rPr>
                <w:rFonts w:ascii="Arial" w:hAnsi="Arial" w:cs="Arial"/>
                <w:b/>
                <w:bCs/>
                <w:color w:val="000000"/>
              </w:rPr>
            </w:pPr>
            <w:r w:rsidRPr="005151BE">
              <w:rPr>
                <w:rFonts w:ascii="Arial" w:hAnsi="Arial" w:cs="Arial"/>
                <w:b/>
                <w:bCs/>
                <w:color w:val="000000"/>
              </w:rPr>
              <w:t>£000</w:t>
            </w:r>
          </w:p>
        </w:tc>
        <w:tc>
          <w:tcPr>
            <w:tcW w:w="4665" w:type="dxa"/>
            <w:tcBorders>
              <w:top w:val="nil"/>
              <w:left w:val="single" w:sz="8" w:space="0" w:color="auto"/>
              <w:bottom w:val="nil"/>
              <w:right w:val="nil"/>
            </w:tcBorders>
            <w:shd w:val="clear" w:color="000000" w:fill="D9D9D9"/>
            <w:vAlign w:val="center"/>
            <w:hideMark/>
          </w:tcPr>
          <w:p w14:paraId="4101A4B2" w14:textId="77777777" w:rsidR="005151BE" w:rsidRPr="005151BE" w:rsidRDefault="005151BE" w:rsidP="005151BE">
            <w:pPr>
              <w:jc w:val="right"/>
              <w:rPr>
                <w:rFonts w:ascii="Arial" w:hAnsi="Arial" w:cs="Arial"/>
                <w:b/>
                <w:bCs/>
                <w:color w:val="000000"/>
              </w:rPr>
            </w:pPr>
          </w:p>
        </w:tc>
        <w:tc>
          <w:tcPr>
            <w:tcW w:w="1460" w:type="dxa"/>
            <w:tcBorders>
              <w:top w:val="nil"/>
              <w:left w:val="nil"/>
              <w:bottom w:val="nil"/>
              <w:right w:val="single" w:sz="8" w:space="0" w:color="auto"/>
            </w:tcBorders>
            <w:shd w:val="clear" w:color="000000" w:fill="D9D9D9"/>
            <w:vAlign w:val="center"/>
            <w:hideMark/>
          </w:tcPr>
          <w:p w14:paraId="77182763" w14:textId="77777777" w:rsidR="005151BE" w:rsidRPr="005151BE" w:rsidRDefault="005151BE" w:rsidP="005151BE">
            <w:pPr>
              <w:jc w:val="center"/>
            </w:pPr>
          </w:p>
        </w:tc>
        <w:tc>
          <w:tcPr>
            <w:tcW w:w="1681" w:type="dxa"/>
            <w:tcBorders>
              <w:top w:val="nil"/>
              <w:left w:val="nil"/>
              <w:bottom w:val="nil"/>
              <w:right w:val="single" w:sz="8" w:space="0" w:color="auto"/>
            </w:tcBorders>
            <w:shd w:val="clear" w:color="000000" w:fill="D9D9D9"/>
            <w:vAlign w:val="center"/>
            <w:hideMark/>
          </w:tcPr>
          <w:p w14:paraId="74AC024A" w14:textId="77777777" w:rsidR="005151BE" w:rsidRPr="005151BE" w:rsidRDefault="005151BE" w:rsidP="005151BE">
            <w:pPr>
              <w:jc w:val="right"/>
              <w:rPr>
                <w:rFonts w:ascii="Arial" w:hAnsi="Arial" w:cs="Arial"/>
                <w:b/>
                <w:bCs/>
                <w:color w:val="000000"/>
              </w:rPr>
            </w:pPr>
            <w:r w:rsidRPr="005151BE">
              <w:rPr>
                <w:rFonts w:ascii="Arial" w:hAnsi="Arial" w:cs="Arial"/>
                <w:b/>
                <w:bCs/>
                <w:color w:val="000000"/>
              </w:rPr>
              <w:t>£000</w:t>
            </w:r>
          </w:p>
        </w:tc>
      </w:tr>
      <w:tr w:rsidR="008F6016" w:rsidRPr="005151BE" w14:paraId="7E8DB4F1" w14:textId="77777777" w:rsidTr="00B27992">
        <w:trPr>
          <w:trHeight w:val="300"/>
        </w:trPr>
        <w:tc>
          <w:tcPr>
            <w:tcW w:w="1550" w:type="dxa"/>
            <w:tcBorders>
              <w:top w:val="nil"/>
              <w:left w:val="single" w:sz="8" w:space="0" w:color="auto"/>
              <w:bottom w:val="nil"/>
              <w:right w:val="nil"/>
            </w:tcBorders>
            <w:vAlign w:val="center"/>
            <w:hideMark/>
          </w:tcPr>
          <w:p w14:paraId="19F92AD0" w14:textId="4B3849E8" w:rsidR="008F6016" w:rsidRPr="00E06C8F" w:rsidRDefault="008F6016" w:rsidP="008F6016">
            <w:pPr>
              <w:jc w:val="right"/>
              <w:rPr>
                <w:rFonts w:ascii="Arial" w:hAnsi="Arial" w:cs="Arial"/>
                <w:color w:val="000000"/>
              </w:rPr>
            </w:pPr>
            <w:r w:rsidRPr="00C00CC6">
              <w:rPr>
                <w:rFonts w:ascii="Arial" w:hAnsi="Arial" w:cs="Arial"/>
                <w:color w:val="000000"/>
              </w:rPr>
              <w:t>25</w:t>
            </w:r>
            <w:r w:rsidR="00C00CC6" w:rsidRPr="004D5349">
              <w:rPr>
                <w:rFonts w:ascii="Arial" w:hAnsi="Arial" w:cs="Arial"/>
                <w:color w:val="000000"/>
              </w:rPr>
              <w:t>1,445</w:t>
            </w:r>
          </w:p>
        </w:tc>
        <w:tc>
          <w:tcPr>
            <w:tcW w:w="4665" w:type="dxa"/>
            <w:tcBorders>
              <w:top w:val="nil"/>
              <w:left w:val="single" w:sz="8" w:space="0" w:color="auto"/>
              <w:bottom w:val="nil"/>
              <w:right w:val="nil"/>
            </w:tcBorders>
            <w:shd w:val="clear" w:color="000000" w:fill="D9D9D9"/>
            <w:vAlign w:val="center"/>
            <w:hideMark/>
          </w:tcPr>
          <w:p w14:paraId="06EC4023" w14:textId="77777777" w:rsidR="008F6016" w:rsidRPr="005151BE" w:rsidRDefault="008F6016" w:rsidP="008F6016">
            <w:pPr>
              <w:rPr>
                <w:rFonts w:ascii="Arial" w:hAnsi="Arial" w:cs="Arial"/>
                <w:color w:val="000000"/>
              </w:rPr>
            </w:pPr>
            <w:r w:rsidRPr="005151BE">
              <w:rPr>
                <w:rFonts w:ascii="Arial" w:hAnsi="Arial" w:cs="Arial"/>
                <w:color w:val="000000"/>
              </w:rPr>
              <w:t>Property, Plant &amp; Equipment</w:t>
            </w:r>
          </w:p>
        </w:tc>
        <w:tc>
          <w:tcPr>
            <w:tcW w:w="1460" w:type="dxa"/>
            <w:tcBorders>
              <w:top w:val="nil"/>
              <w:left w:val="nil"/>
              <w:bottom w:val="nil"/>
              <w:right w:val="single" w:sz="8" w:space="0" w:color="auto"/>
            </w:tcBorders>
            <w:shd w:val="clear" w:color="000000" w:fill="D9D9D9"/>
            <w:vAlign w:val="center"/>
            <w:hideMark/>
          </w:tcPr>
          <w:p w14:paraId="306538A3" w14:textId="6F1E3E77" w:rsidR="008F6016" w:rsidRPr="005151BE" w:rsidRDefault="008F6016" w:rsidP="008F6016">
            <w:pPr>
              <w:jc w:val="center"/>
              <w:rPr>
                <w:rFonts w:ascii="Arial" w:hAnsi="Arial" w:cs="Arial"/>
                <w:color w:val="000000"/>
              </w:rPr>
            </w:pPr>
            <w:r w:rsidRPr="005151BE">
              <w:rPr>
                <w:rFonts w:ascii="Arial" w:hAnsi="Arial" w:cs="Arial"/>
                <w:color w:val="000000"/>
              </w:rPr>
              <w:t>1</w:t>
            </w:r>
            <w:r w:rsidR="00D3507C">
              <w:rPr>
                <w:rFonts w:ascii="Arial" w:hAnsi="Arial" w:cs="Arial"/>
                <w:color w:val="000000"/>
              </w:rPr>
              <w:t>9</w:t>
            </w:r>
          </w:p>
        </w:tc>
        <w:tc>
          <w:tcPr>
            <w:tcW w:w="1681" w:type="dxa"/>
            <w:tcBorders>
              <w:top w:val="nil"/>
              <w:left w:val="nil"/>
              <w:bottom w:val="nil"/>
              <w:right w:val="single" w:sz="8" w:space="0" w:color="auto"/>
            </w:tcBorders>
            <w:shd w:val="clear" w:color="000000" w:fill="D9D9D9"/>
            <w:vAlign w:val="center"/>
            <w:hideMark/>
          </w:tcPr>
          <w:p w14:paraId="363A885A" w14:textId="4BB27227" w:rsidR="008F6016" w:rsidRPr="005151BE" w:rsidRDefault="008F6016" w:rsidP="008F6016">
            <w:pPr>
              <w:jc w:val="right"/>
              <w:rPr>
                <w:rFonts w:ascii="Arial" w:hAnsi="Arial" w:cs="Arial"/>
                <w:color w:val="000000"/>
              </w:rPr>
            </w:pPr>
            <w:r>
              <w:rPr>
                <w:rFonts w:ascii="Arial" w:hAnsi="Arial" w:cs="Arial"/>
                <w:color w:val="000000"/>
              </w:rPr>
              <w:t>262,458</w:t>
            </w:r>
          </w:p>
        </w:tc>
      </w:tr>
      <w:tr w:rsidR="008F6016" w:rsidRPr="005151BE" w14:paraId="3C172238" w14:textId="77777777" w:rsidTr="00B27992">
        <w:trPr>
          <w:trHeight w:val="300"/>
        </w:trPr>
        <w:tc>
          <w:tcPr>
            <w:tcW w:w="1550" w:type="dxa"/>
            <w:tcBorders>
              <w:top w:val="nil"/>
              <w:left w:val="single" w:sz="8" w:space="0" w:color="auto"/>
              <w:bottom w:val="nil"/>
              <w:right w:val="nil"/>
            </w:tcBorders>
            <w:vAlign w:val="center"/>
            <w:hideMark/>
          </w:tcPr>
          <w:p w14:paraId="1D636FFF" w14:textId="1CFC1022" w:rsidR="008F6016" w:rsidRPr="00E06C8F" w:rsidRDefault="008F6016" w:rsidP="008F6016">
            <w:pPr>
              <w:jc w:val="right"/>
              <w:rPr>
                <w:rFonts w:ascii="Arial" w:hAnsi="Arial" w:cs="Arial"/>
                <w:color w:val="000000"/>
              </w:rPr>
            </w:pPr>
            <w:r>
              <w:rPr>
                <w:rFonts w:ascii="Arial" w:hAnsi="Arial" w:cs="Arial"/>
                <w:color w:val="000000"/>
              </w:rPr>
              <w:t>1,834</w:t>
            </w:r>
          </w:p>
        </w:tc>
        <w:tc>
          <w:tcPr>
            <w:tcW w:w="4665" w:type="dxa"/>
            <w:tcBorders>
              <w:top w:val="nil"/>
              <w:left w:val="single" w:sz="8" w:space="0" w:color="auto"/>
              <w:bottom w:val="nil"/>
              <w:right w:val="nil"/>
            </w:tcBorders>
            <w:shd w:val="clear" w:color="000000" w:fill="D9D9D9"/>
            <w:vAlign w:val="center"/>
            <w:hideMark/>
          </w:tcPr>
          <w:p w14:paraId="0ACC5997" w14:textId="77777777" w:rsidR="008F6016" w:rsidRPr="005151BE" w:rsidRDefault="008F6016" w:rsidP="008F6016">
            <w:pPr>
              <w:rPr>
                <w:rFonts w:ascii="Arial" w:hAnsi="Arial" w:cs="Arial"/>
                <w:color w:val="000000"/>
              </w:rPr>
            </w:pPr>
            <w:r w:rsidRPr="005151BE">
              <w:rPr>
                <w:rFonts w:ascii="Arial" w:hAnsi="Arial" w:cs="Arial"/>
                <w:color w:val="000000"/>
              </w:rPr>
              <w:t>Investment Property</w:t>
            </w:r>
          </w:p>
        </w:tc>
        <w:tc>
          <w:tcPr>
            <w:tcW w:w="1460" w:type="dxa"/>
            <w:tcBorders>
              <w:top w:val="nil"/>
              <w:left w:val="nil"/>
              <w:bottom w:val="nil"/>
              <w:right w:val="single" w:sz="8" w:space="0" w:color="auto"/>
            </w:tcBorders>
            <w:shd w:val="clear" w:color="000000" w:fill="D9D9D9"/>
            <w:vAlign w:val="center"/>
            <w:hideMark/>
          </w:tcPr>
          <w:p w14:paraId="5C95A210" w14:textId="77777777" w:rsidR="008F6016" w:rsidRPr="005151BE" w:rsidRDefault="008F6016" w:rsidP="008F6016">
            <w:pP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hideMark/>
          </w:tcPr>
          <w:p w14:paraId="73772018" w14:textId="7474D448" w:rsidR="008F6016" w:rsidRPr="005151BE" w:rsidRDefault="008F6016" w:rsidP="008F6016">
            <w:pPr>
              <w:jc w:val="right"/>
              <w:rPr>
                <w:rFonts w:ascii="Arial" w:hAnsi="Arial" w:cs="Arial"/>
                <w:color w:val="000000"/>
              </w:rPr>
            </w:pPr>
            <w:r>
              <w:rPr>
                <w:rFonts w:ascii="Arial" w:hAnsi="Arial" w:cs="Arial"/>
                <w:color w:val="000000"/>
              </w:rPr>
              <w:t>1,834</w:t>
            </w:r>
          </w:p>
        </w:tc>
      </w:tr>
      <w:tr w:rsidR="008F6016" w:rsidRPr="005151BE" w14:paraId="7807C6D6" w14:textId="77777777" w:rsidTr="00B27992">
        <w:trPr>
          <w:trHeight w:val="300"/>
        </w:trPr>
        <w:tc>
          <w:tcPr>
            <w:tcW w:w="1550" w:type="dxa"/>
            <w:tcBorders>
              <w:top w:val="nil"/>
              <w:left w:val="single" w:sz="8" w:space="0" w:color="auto"/>
              <w:bottom w:val="nil"/>
              <w:right w:val="nil"/>
            </w:tcBorders>
            <w:vAlign w:val="center"/>
            <w:hideMark/>
          </w:tcPr>
          <w:p w14:paraId="5E888E97" w14:textId="61CDDF89" w:rsidR="008F6016" w:rsidRPr="00E06C8F" w:rsidRDefault="008F6016" w:rsidP="008F6016">
            <w:pPr>
              <w:jc w:val="right"/>
              <w:rPr>
                <w:rFonts w:ascii="Arial" w:hAnsi="Arial" w:cs="Arial"/>
                <w:color w:val="000000"/>
              </w:rPr>
            </w:pPr>
            <w:r>
              <w:rPr>
                <w:rFonts w:ascii="Arial" w:hAnsi="Arial" w:cs="Arial"/>
                <w:color w:val="000000"/>
              </w:rPr>
              <w:t>1,910</w:t>
            </w:r>
          </w:p>
        </w:tc>
        <w:tc>
          <w:tcPr>
            <w:tcW w:w="4665" w:type="dxa"/>
            <w:tcBorders>
              <w:top w:val="nil"/>
              <w:left w:val="single" w:sz="8" w:space="0" w:color="auto"/>
              <w:bottom w:val="nil"/>
              <w:right w:val="nil"/>
            </w:tcBorders>
            <w:shd w:val="clear" w:color="000000" w:fill="D9D9D9"/>
            <w:vAlign w:val="center"/>
            <w:hideMark/>
          </w:tcPr>
          <w:p w14:paraId="37D3254D" w14:textId="77777777" w:rsidR="008F6016" w:rsidRPr="005151BE" w:rsidRDefault="008F6016" w:rsidP="008F6016">
            <w:pPr>
              <w:rPr>
                <w:rFonts w:ascii="Arial" w:hAnsi="Arial" w:cs="Arial"/>
                <w:color w:val="000000"/>
              </w:rPr>
            </w:pPr>
            <w:r w:rsidRPr="005151BE">
              <w:rPr>
                <w:rFonts w:ascii="Arial" w:hAnsi="Arial" w:cs="Arial"/>
                <w:color w:val="000000"/>
              </w:rPr>
              <w:t>Intangible Assets</w:t>
            </w:r>
          </w:p>
        </w:tc>
        <w:tc>
          <w:tcPr>
            <w:tcW w:w="1460" w:type="dxa"/>
            <w:tcBorders>
              <w:top w:val="nil"/>
              <w:left w:val="nil"/>
              <w:bottom w:val="nil"/>
              <w:right w:val="single" w:sz="8" w:space="0" w:color="auto"/>
            </w:tcBorders>
            <w:shd w:val="clear" w:color="000000" w:fill="D9D9D9"/>
            <w:vAlign w:val="center"/>
            <w:hideMark/>
          </w:tcPr>
          <w:p w14:paraId="3A4ACAC6" w14:textId="77777777" w:rsidR="008F6016" w:rsidRPr="005151BE" w:rsidRDefault="008F6016" w:rsidP="008F6016">
            <w:pP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hideMark/>
          </w:tcPr>
          <w:p w14:paraId="6251D290" w14:textId="54C8EA50" w:rsidR="008F6016" w:rsidRPr="005151BE" w:rsidRDefault="008F6016" w:rsidP="008F6016">
            <w:pPr>
              <w:jc w:val="right"/>
              <w:rPr>
                <w:rFonts w:ascii="Arial" w:hAnsi="Arial" w:cs="Arial"/>
                <w:color w:val="000000"/>
              </w:rPr>
            </w:pPr>
            <w:r>
              <w:rPr>
                <w:rFonts w:ascii="Arial" w:hAnsi="Arial" w:cs="Arial"/>
                <w:color w:val="000000"/>
              </w:rPr>
              <w:t>4,027</w:t>
            </w:r>
          </w:p>
        </w:tc>
      </w:tr>
      <w:tr w:rsidR="008F6016" w:rsidRPr="005151BE" w14:paraId="2E23EF2E" w14:textId="77777777" w:rsidTr="00B27992">
        <w:trPr>
          <w:trHeight w:val="300"/>
        </w:trPr>
        <w:tc>
          <w:tcPr>
            <w:tcW w:w="1550" w:type="dxa"/>
            <w:tcBorders>
              <w:top w:val="single" w:sz="8" w:space="0" w:color="auto"/>
              <w:left w:val="single" w:sz="8" w:space="0" w:color="auto"/>
              <w:bottom w:val="nil"/>
              <w:right w:val="nil"/>
            </w:tcBorders>
            <w:vAlign w:val="center"/>
            <w:hideMark/>
          </w:tcPr>
          <w:p w14:paraId="5D63E87E" w14:textId="49781482" w:rsidR="008F6016" w:rsidRPr="00E06C8F" w:rsidRDefault="008F6016" w:rsidP="008F6016">
            <w:pPr>
              <w:jc w:val="right"/>
              <w:rPr>
                <w:rFonts w:ascii="Arial" w:hAnsi="Arial" w:cs="Arial"/>
                <w:b/>
                <w:bCs/>
                <w:color w:val="000000"/>
              </w:rPr>
            </w:pPr>
            <w:r>
              <w:rPr>
                <w:rFonts w:ascii="Arial" w:hAnsi="Arial" w:cs="Arial"/>
                <w:b/>
                <w:bCs/>
                <w:color w:val="000000"/>
              </w:rPr>
              <w:t>25</w:t>
            </w:r>
            <w:r w:rsidR="00C00CC6">
              <w:rPr>
                <w:rFonts w:ascii="Arial" w:hAnsi="Arial" w:cs="Arial"/>
                <w:b/>
                <w:bCs/>
                <w:color w:val="000000"/>
              </w:rPr>
              <w:t>5,190</w:t>
            </w:r>
          </w:p>
        </w:tc>
        <w:tc>
          <w:tcPr>
            <w:tcW w:w="4665" w:type="dxa"/>
            <w:tcBorders>
              <w:top w:val="nil"/>
              <w:left w:val="single" w:sz="8" w:space="0" w:color="auto"/>
              <w:bottom w:val="nil"/>
              <w:right w:val="nil"/>
            </w:tcBorders>
            <w:shd w:val="clear" w:color="000000" w:fill="D9D9D9"/>
            <w:vAlign w:val="center"/>
            <w:hideMark/>
          </w:tcPr>
          <w:p w14:paraId="5CDB0137" w14:textId="77777777" w:rsidR="008F6016" w:rsidRPr="005151BE" w:rsidRDefault="008F6016" w:rsidP="008F6016">
            <w:pPr>
              <w:rPr>
                <w:rFonts w:ascii="Arial" w:hAnsi="Arial" w:cs="Arial"/>
                <w:b/>
                <w:bCs/>
                <w:color w:val="000000"/>
              </w:rPr>
            </w:pPr>
            <w:r w:rsidRPr="005151BE">
              <w:rPr>
                <w:rFonts w:ascii="Arial" w:hAnsi="Arial" w:cs="Arial"/>
                <w:b/>
                <w:bCs/>
                <w:color w:val="000000"/>
              </w:rPr>
              <w:t>Long Term Assets</w:t>
            </w:r>
          </w:p>
        </w:tc>
        <w:tc>
          <w:tcPr>
            <w:tcW w:w="1460" w:type="dxa"/>
            <w:tcBorders>
              <w:top w:val="nil"/>
              <w:left w:val="nil"/>
              <w:bottom w:val="nil"/>
              <w:right w:val="single" w:sz="8" w:space="0" w:color="auto"/>
            </w:tcBorders>
            <w:shd w:val="clear" w:color="000000" w:fill="D9D9D9"/>
            <w:vAlign w:val="center"/>
            <w:hideMark/>
          </w:tcPr>
          <w:p w14:paraId="58CA73D8" w14:textId="77777777" w:rsidR="008F6016" w:rsidRPr="005151BE" w:rsidRDefault="008F6016" w:rsidP="008F6016">
            <w:pPr>
              <w:rPr>
                <w:rFonts w:ascii="Arial" w:hAnsi="Arial" w:cs="Arial"/>
                <w:b/>
                <w:bCs/>
                <w:color w:val="000000"/>
              </w:rPr>
            </w:pPr>
          </w:p>
        </w:tc>
        <w:tc>
          <w:tcPr>
            <w:tcW w:w="1681" w:type="dxa"/>
            <w:tcBorders>
              <w:top w:val="single" w:sz="8" w:space="0" w:color="auto"/>
              <w:left w:val="nil"/>
              <w:bottom w:val="nil"/>
              <w:right w:val="single" w:sz="8" w:space="0" w:color="auto"/>
            </w:tcBorders>
            <w:shd w:val="clear" w:color="000000" w:fill="D9D9D9"/>
            <w:vAlign w:val="center"/>
            <w:hideMark/>
          </w:tcPr>
          <w:p w14:paraId="69CB0FA4" w14:textId="1F1C0BDC" w:rsidR="008F6016" w:rsidRPr="005151BE" w:rsidRDefault="008F6016" w:rsidP="008F6016">
            <w:pPr>
              <w:jc w:val="right"/>
              <w:rPr>
                <w:rFonts w:ascii="Arial" w:hAnsi="Arial" w:cs="Arial"/>
                <w:b/>
                <w:bCs/>
                <w:color w:val="000000"/>
              </w:rPr>
            </w:pPr>
            <w:r>
              <w:rPr>
                <w:rFonts w:ascii="Arial" w:hAnsi="Arial" w:cs="Arial"/>
                <w:b/>
                <w:bCs/>
                <w:color w:val="000000"/>
              </w:rPr>
              <w:t>268,319</w:t>
            </w:r>
          </w:p>
        </w:tc>
      </w:tr>
      <w:tr w:rsidR="008F6016" w:rsidRPr="005151BE" w14:paraId="57CFA880" w14:textId="77777777" w:rsidTr="00B27992">
        <w:trPr>
          <w:trHeight w:val="300"/>
        </w:trPr>
        <w:tc>
          <w:tcPr>
            <w:tcW w:w="1550" w:type="dxa"/>
            <w:tcBorders>
              <w:top w:val="nil"/>
              <w:left w:val="single" w:sz="8" w:space="0" w:color="auto"/>
              <w:bottom w:val="nil"/>
              <w:right w:val="nil"/>
            </w:tcBorders>
            <w:vAlign w:val="center"/>
            <w:hideMark/>
          </w:tcPr>
          <w:p w14:paraId="339B8111" w14:textId="1BD100A2" w:rsidR="008F6016" w:rsidRPr="005151BE" w:rsidRDefault="008F6016" w:rsidP="008F6016">
            <w:pPr>
              <w:jc w:val="right"/>
              <w:rPr>
                <w:rFonts w:ascii="Arial" w:hAnsi="Arial" w:cs="Arial"/>
                <w:b/>
                <w:bCs/>
                <w:color w:val="000000"/>
              </w:rPr>
            </w:pPr>
            <w:r>
              <w:rPr>
                <w:rFonts w:ascii="Arial" w:hAnsi="Arial" w:cs="Arial"/>
                <w:color w:val="000000"/>
              </w:rPr>
              <w:t> </w:t>
            </w:r>
          </w:p>
        </w:tc>
        <w:tc>
          <w:tcPr>
            <w:tcW w:w="4665" w:type="dxa"/>
            <w:tcBorders>
              <w:top w:val="nil"/>
              <w:left w:val="single" w:sz="8" w:space="0" w:color="auto"/>
              <w:bottom w:val="nil"/>
              <w:right w:val="nil"/>
            </w:tcBorders>
            <w:shd w:val="clear" w:color="000000" w:fill="D9D9D9"/>
            <w:vAlign w:val="center"/>
            <w:hideMark/>
          </w:tcPr>
          <w:p w14:paraId="6FB33C58" w14:textId="77777777" w:rsidR="008F6016" w:rsidRPr="005151BE" w:rsidRDefault="008F6016" w:rsidP="008F6016">
            <w:pPr>
              <w:jc w:val="right"/>
            </w:pPr>
          </w:p>
        </w:tc>
        <w:tc>
          <w:tcPr>
            <w:tcW w:w="1460" w:type="dxa"/>
            <w:tcBorders>
              <w:top w:val="nil"/>
              <w:left w:val="nil"/>
              <w:bottom w:val="nil"/>
              <w:right w:val="single" w:sz="8" w:space="0" w:color="auto"/>
            </w:tcBorders>
            <w:shd w:val="clear" w:color="000000" w:fill="D9D9D9"/>
            <w:vAlign w:val="center"/>
            <w:hideMark/>
          </w:tcPr>
          <w:p w14:paraId="4A1EEDA2" w14:textId="77777777" w:rsidR="008F6016" w:rsidRPr="005151BE" w:rsidRDefault="008F6016" w:rsidP="008F6016"/>
        </w:tc>
        <w:tc>
          <w:tcPr>
            <w:tcW w:w="1681" w:type="dxa"/>
            <w:tcBorders>
              <w:top w:val="nil"/>
              <w:left w:val="nil"/>
              <w:bottom w:val="nil"/>
              <w:right w:val="single" w:sz="8" w:space="0" w:color="auto"/>
            </w:tcBorders>
            <w:shd w:val="clear" w:color="000000" w:fill="D9D9D9"/>
            <w:vAlign w:val="center"/>
            <w:hideMark/>
          </w:tcPr>
          <w:p w14:paraId="1F8F4ED3" w14:textId="1B49996C" w:rsidR="008F6016" w:rsidRPr="005151BE" w:rsidRDefault="008F6016" w:rsidP="008F6016">
            <w:pPr>
              <w:jc w:val="center"/>
            </w:pPr>
            <w:r>
              <w:rPr>
                <w:rFonts w:ascii="Arial" w:hAnsi="Arial" w:cs="Arial"/>
                <w:color w:val="000000"/>
              </w:rPr>
              <w:t> </w:t>
            </w:r>
          </w:p>
        </w:tc>
      </w:tr>
      <w:tr w:rsidR="008F6016" w:rsidRPr="005151BE" w14:paraId="5F07C7CB" w14:textId="77777777" w:rsidTr="00B27992">
        <w:trPr>
          <w:trHeight w:val="300"/>
        </w:trPr>
        <w:tc>
          <w:tcPr>
            <w:tcW w:w="1550" w:type="dxa"/>
            <w:tcBorders>
              <w:top w:val="nil"/>
              <w:left w:val="single" w:sz="8" w:space="0" w:color="auto"/>
              <w:bottom w:val="nil"/>
              <w:right w:val="nil"/>
            </w:tcBorders>
            <w:vAlign w:val="center"/>
            <w:hideMark/>
          </w:tcPr>
          <w:p w14:paraId="7CBC59B4" w14:textId="5E14019A" w:rsidR="008F6016" w:rsidRPr="005151BE" w:rsidRDefault="008F6016" w:rsidP="008F6016">
            <w:pPr>
              <w:jc w:val="right"/>
              <w:rPr>
                <w:rFonts w:ascii="Arial" w:hAnsi="Arial" w:cs="Arial"/>
                <w:color w:val="000000"/>
              </w:rPr>
            </w:pPr>
            <w:r>
              <w:rPr>
                <w:rFonts w:ascii="Arial" w:hAnsi="Arial" w:cs="Arial"/>
                <w:color w:val="000000"/>
              </w:rPr>
              <w:t>1,569</w:t>
            </w:r>
          </w:p>
        </w:tc>
        <w:tc>
          <w:tcPr>
            <w:tcW w:w="4665" w:type="dxa"/>
            <w:tcBorders>
              <w:top w:val="nil"/>
              <w:left w:val="single" w:sz="8" w:space="0" w:color="auto"/>
              <w:bottom w:val="nil"/>
              <w:right w:val="nil"/>
            </w:tcBorders>
            <w:shd w:val="clear" w:color="000000" w:fill="D9D9D9"/>
            <w:vAlign w:val="center"/>
            <w:hideMark/>
          </w:tcPr>
          <w:p w14:paraId="60CA49DF" w14:textId="77777777" w:rsidR="008F6016" w:rsidRPr="005151BE" w:rsidRDefault="008F6016" w:rsidP="008F6016">
            <w:pPr>
              <w:rPr>
                <w:rFonts w:ascii="Arial" w:hAnsi="Arial" w:cs="Arial"/>
                <w:color w:val="000000"/>
              </w:rPr>
            </w:pPr>
            <w:r w:rsidRPr="005151BE">
              <w:rPr>
                <w:rFonts w:ascii="Arial" w:hAnsi="Arial" w:cs="Arial"/>
                <w:color w:val="000000"/>
              </w:rPr>
              <w:t>Inventories</w:t>
            </w:r>
          </w:p>
        </w:tc>
        <w:tc>
          <w:tcPr>
            <w:tcW w:w="1460" w:type="dxa"/>
            <w:tcBorders>
              <w:top w:val="nil"/>
              <w:left w:val="nil"/>
              <w:bottom w:val="nil"/>
              <w:right w:val="single" w:sz="8" w:space="0" w:color="auto"/>
            </w:tcBorders>
            <w:shd w:val="clear" w:color="000000" w:fill="D9D9D9"/>
            <w:vAlign w:val="center"/>
            <w:hideMark/>
          </w:tcPr>
          <w:p w14:paraId="4B80D70A" w14:textId="77777777" w:rsidR="008F6016" w:rsidRPr="005151BE" w:rsidRDefault="008F6016" w:rsidP="008F6016">
            <w:pP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hideMark/>
          </w:tcPr>
          <w:p w14:paraId="28C66B1C" w14:textId="518259FB" w:rsidR="008F6016" w:rsidRPr="005151BE" w:rsidRDefault="008F6016" w:rsidP="008F6016">
            <w:pPr>
              <w:jc w:val="right"/>
              <w:rPr>
                <w:rFonts w:ascii="Arial" w:hAnsi="Arial" w:cs="Arial"/>
                <w:color w:val="000000"/>
              </w:rPr>
            </w:pPr>
            <w:r>
              <w:rPr>
                <w:rFonts w:ascii="Arial" w:hAnsi="Arial" w:cs="Arial"/>
                <w:color w:val="000000"/>
              </w:rPr>
              <w:t>1,443</w:t>
            </w:r>
          </w:p>
        </w:tc>
      </w:tr>
      <w:tr w:rsidR="008F6016" w:rsidRPr="005151BE" w14:paraId="3B91E4C1" w14:textId="77777777" w:rsidTr="00B27992">
        <w:trPr>
          <w:trHeight w:val="300"/>
        </w:trPr>
        <w:tc>
          <w:tcPr>
            <w:tcW w:w="1550" w:type="dxa"/>
            <w:tcBorders>
              <w:top w:val="nil"/>
              <w:left w:val="single" w:sz="8" w:space="0" w:color="auto"/>
              <w:bottom w:val="nil"/>
              <w:right w:val="nil"/>
            </w:tcBorders>
            <w:vAlign w:val="center"/>
            <w:hideMark/>
          </w:tcPr>
          <w:p w14:paraId="4888A08B" w14:textId="2DA9D4C3" w:rsidR="008F6016" w:rsidRPr="005151BE" w:rsidRDefault="008F6016" w:rsidP="008F6016">
            <w:pPr>
              <w:jc w:val="right"/>
              <w:rPr>
                <w:rFonts w:ascii="Arial" w:hAnsi="Arial" w:cs="Arial"/>
                <w:color w:val="000000"/>
              </w:rPr>
            </w:pPr>
            <w:r>
              <w:rPr>
                <w:rFonts w:ascii="Arial" w:hAnsi="Arial" w:cs="Arial"/>
                <w:color w:val="000000"/>
              </w:rPr>
              <w:t>44,982</w:t>
            </w:r>
          </w:p>
        </w:tc>
        <w:tc>
          <w:tcPr>
            <w:tcW w:w="4665" w:type="dxa"/>
            <w:tcBorders>
              <w:top w:val="nil"/>
              <w:left w:val="single" w:sz="8" w:space="0" w:color="auto"/>
              <w:bottom w:val="nil"/>
              <w:right w:val="nil"/>
            </w:tcBorders>
            <w:shd w:val="clear" w:color="000000" w:fill="D9D9D9"/>
            <w:vAlign w:val="center"/>
            <w:hideMark/>
          </w:tcPr>
          <w:p w14:paraId="3C83E09E" w14:textId="77777777" w:rsidR="008F6016" w:rsidRPr="005151BE" w:rsidRDefault="008F6016" w:rsidP="008F6016">
            <w:pPr>
              <w:rPr>
                <w:rFonts w:ascii="Arial" w:hAnsi="Arial" w:cs="Arial"/>
                <w:color w:val="000000"/>
              </w:rPr>
            </w:pPr>
            <w:r w:rsidRPr="005151BE">
              <w:rPr>
                <w:rFonts w:ascii="Arial" w:hAnsi="Arial" w:cs="Arial"/>
                <w:color w:val="000000"/>
              </w:rPr>
              <w:t>Short Term Debtors</w:t>
            </w:r>
          </w:p>
        </w:tc>
        <w:tc>
          <w:tcPr>
            <w:tcW w:w="1460" w:type="dxa"/>
            <w:tcBorders>
              <w:top w:val="nil"/>
              <w:left w:val="nil"/>
              <w:bottom w:val="nil"/>
              <w:right w:val="single" w:sz="8" w:space="0" w:color="auto"/>
            </w:tcBorders>
            <w:shd w:val="clear" w:color="000000" w:fill="D9D9D9"/>
            <w:vAlign w:val="center"/>
            <w:hideMark/>
          </w:tcPr>
          <w:p w14:paraId="2A4CEB5C" w14:textId="63646AF4" w:rsidR="008F6016" w:rsidRPr="005151BE" w:rsidRDefault="008F6016" w:rsidP="008F6016">
            <w:pPr>
              <w:jc w:val="center"/>
              <w:rPr>
                <w:rFonts w:ascii="Arial" w:hAnsi="Arial" w:cs="Arial"/>
                <w:color w:val="000000"/>
              </w:rPr>
            </w:pPr>
            <w:r w:rsidRPr="005151BE">
              <w:rPr>
                <w:rFonts w:ascii="Arial" w:hAnsi="Arial" w:cs="Arial"/>
                <w:color w:val="000000"/>
              </w:rPr>
              <w:t>2</w:t>
            </w:r>
            <w:r w:rsidR="00D3507C">
              <w:rPr>
                <w:rFonts w:ascii="Arial" w:hAnsi="Arial" w:cs="Arial"/>
                <w:color w:val="000000"/>
              </w:rPr>
              <w:t>1</w:t>
            </w:r>
          </w:p>
        </w:tc>
        <w:tc>
          <w:tcPr>
            <w:tcW w:w="1681" w:type="dxa"/>
            <w:tcBorders>
              <w:top w:val="nil"/>
              <w:left w:val="nil"/>
              <w:bottom w:val="nil"/>
              <w:right w:val="single" w:sz="8" w:space="0" w:color="auto"/>
            </w:tcBorders>
            <w:shd w:val="clear" w:color="000000" w:fill="D9D9D9"/>
            <w:vAlign w:val="center"/>
            <w:hideMark/>
          </w:tcPr>
          <w:p w14:paraId="63EDF9B8" w14:textId="21A1EF61" w:rsidR="008F6016" w:rsidRPr="005151BE" w:rsidRDefault="008F6016" w:rsidP="008F6016">
            <w:pPr>
              <w:jc w:val="right"/>
              <w:rPr>
                <w:rFonts w:ascii="Arial" w:hAnsi="Arial" w:cs="Arial"/>
                <w:color w:val="000000"/>
              </w:rPr>
            </w:pPr>
            <w:r>
              <w:rPr>
                <w:rFonts w:ascii="Arial" w:hAnsi="Arial" w:cs="Arial"/>
                <w:color w:val="000000"/>
              </w:rPr>
              <w:t>5</w:t>
            </w:r>
            <w:r w:rsidR="004F711D">
              <w:rPr>
                <w:rFonts w:ascii="Arial" w:hAnsi="Arial" w:cs="Arial"/>
                <w:color w:val="000000"/>
              </w:rPr>
              <w:t>4,390</w:t>
            </w:r>
          </w:p>
        </w:tc>
      </w:tr>
      <w:tr w:rsidR="008F6016" w:rsidRPr="005151BE" w14:paraId="11791F2F" w14:textId="77777777" w:rsidTr="00B27992">
        <w:trPr>
          <w:trHeight w:val="300"/>
        </w:trPr>
        <w:tc>
          <w:tcPr>
            <w:tcW w:w="1550" w:type="dxa"/>
            <w:tcBorders>
              <w:top w:val="nil"/>
              <w:left w:val="single" w:sz="8" w:space="0" w:color="auto"/>
              <w:bottom w:val="nil"/>
              <w:right w:val="nil"/>
            </w:tcBorders>
            <w:vAlign w:val="center"/>
            <w:hideMark/>
          </w:tcPr>
          <w:p w14:paraId="6701A2F1" w14:textId="0ADC72BD" w:rsidR="008F6016" w:rsidRPr="005151BE" w:rsidRDefault="00613FE8" w:rsidP="008F6016">
            <w:pPr>
              <w:jc w:val="right"/>
              <w:rPr>
                <w:rFonts w:ascii="Arial" w:hAnsi="Arial" w:cs="Arial"/>
                <w:color w:val="000000"/>
              </w:rPr>
            </w:pPr>
            <w:r>
              <w:rPr>
                <w:rFonts w:ascii="Arial" w:hAnsi="Arial" w:cs="Arial"/>
                <w:color w:val="000000"/>
              </w:rPr>
              <w:t>4,619</w:t>
            </w:r>
          </w:p>
        </w:tc>
        <w:tc>
          <w:tcPr>
            <w:tcW w:w="4665" w:type="dxa"/>
            <w:tcBorders>
              <w:top w:val="nil"/>
              <w:left w:val="single" w:sz="8" w:space="0" w:color="auto"/>
              <w:bottom w:val="nil"/>
              <w:right w:val="nil"/>
            </w:tcBorders>
            <w:shd w:val="clear" w:color="000000" w:fill="D9D9D9"/>
            <w:vAlign w:val="center"/>
            <w:hideMark/>
          </w:tcPr>
          <w:p w14:paraId="44D4E7CB" w14:textId="77777777" w:rsidR="008F6016" w:rsidRPr="005151BE" w:rsidRDefault="008F6016" w:rsidP="008F6016">
            <w:pPr>
              <w:rPr>
                <w:rFonts w:ascii="Arial" w:hAnsi="Arial" w:cs="Arial"/>
                <w:color w:val="000000"/>
              </w:rPr>
            </w:pPr>
            <w:r w:rsidRPr="005151BE">
              <w:rPr>
                <w:rFonts w:ascii="Arial" w:hAnsi="Arial" w:cs="Arial"/>
                <w:color w:val="000000"/>
              </w:rPr>
              <w:t>Cash and Cash Equivalents</w:t>
            </w:r>
          </w:p>
        </w:tc>
        <w:tc>
          <w:tcPr>
            <w:tcW w:w="1460" w:type="dxa"/>
            <w:tcBorders>
              <w:top w:val="nil"/>
              <w:left w:val="nil"/>
              <w:bottom w:val="nil"/>
              <w:right w:val="single" w:sz="8" w:space="0" w:color="auto"/>
            </w:tcBorders>
            <w:shd w:val="clear" w:color="000000" w:fill="D9D9D9"/>
            <w:vAlign w:val="center"/>
            <w:hideMark/>
          </w:tcPr>
          <w:p w14:paraId="36CD3455" w14:textId="1404BB11" w:rsidR="008F6016" w:rsidRPr="005151BE" w:rsidRDefault="008F6016" w:rsidP="008F6016">
            <w:pPr>
              <w:jc w:val="center"/>
              <w:rPr>
                <w:rFonts w:ascii="Arial" w:hAnsi="Arial" w:cs="Arial"/>
                <w:color w:val="000000"/>
              </w:rPr>
            </w:pPr>
            <w:r w:rsidRPr="005151BE">
              <w:rPr>
                <w:rFonts w:ascii="Arial" w:hAnsi="Arial" w:cs="Arial"/>
                <w:color w:val="000000"/>
              </w:rPr>
              <w:t>2</w:t>
            </w:r>
            <w:r w:rsidR="00D3507C">
              <w:rPr>
                <w:rFonts w:ascii="Arial" w:hAnsi="Arial" w:cs="Arial"/>
                <w:color w:val="000000"/>
              </w:rPr>
              <w:t>4</w:t>
            </w:r>
          </w:p>
        </w:tc>
        <w:tc>
          <w:tcPr>
            <w:tcW w:w="1681" w:type="dxa"/>
            <w:tcBorders>
              <w:top w:val="nil"/>
              <w:left w:val="nil"/>
              <w:bottom w:val="nil"/>
              <w:right w:val="single" w:sz="8" w:space="0" w:color="auto"/>
            </w:tcBorders>
            <w:shd w:val="clear" w:color="000000" w:fill="D9D9D9"/>
            <w:vAlign w:val="center"/>
            <w:hideMark/>
          </w:tcPr>
          <w:p w14:paraId="795D75B2" w14:textId="0AB14AA2" w:rsidR="008F6016" w:rsidRPr="005151BE" w:rsidRDefault="008F6016" w:rsidP="008F6016">
            <w:pPr>
              <w:jc w:val="right"/>
              <w:rPr>
                <w:rFonts w:ascii="Arial" w:hAnsi="Arial" w:cs="Arial"/>
                <w:color w:val="000000"/>
              </w:rPr>
            </w:pPr>
            <w:r>
              <w:rPr>
                <w:rFonts w:ascii="Arial" w:hAnsi="Arial" w:cs="Arial"/>
                <w:color w:val="000000"/>
              </w:rPr>
              <w:t>11,898</w:t>
            </w:r>
          </w:p>
        </w:tc>
      </w:tr>
      <w:tr w:rsidR="008F6016" w:rsidRPr="005151BE" w14:paraId="0800E52B" w14:textId="77777777" w:rsidTr="00B27992">
        <w:trPr>
          <w:trHeight w:val="300"/>
        </w:trPr>
        <w:tc>
          <w:tcPr>
            <w:tcW w:w="1550" w:type="dxa"/>
            <w:tcBorders>
              <w:top w:val="nil"/>
              <w:left w:val="single" w:sz="8" w:space="0" w:color="auto"/>
              <w:bottom w:val="nil"/>
              <w:right w:val="nil"/>
            </w:tcBorders>
            <w:vAlign w:val="center"/>
            <w:hideMark/>
          </w:tcPr>
          <w:p w14:paraId="6EAE08BE" w14:textId="701E0186" w:rsidR="008F6016" w:rsidRPr="005151BE" w:rsidRDefault="008F6016" w:rsidP="008F6016">
            <w:pPr>
              <w:jc w:val="right"/>
              <w:rPr>
                <w:rFonts w:ascii="Arial" w:hAnsi="Arial" w:cs="Arial"/>
                <w:color w:val="000000"/>
              </w:rPr>
            </w:pPr>
            <w:r w:rsidRPr="00C00CC6">
              <w:rPr>
                <w:rFonts w:ascii="Arial" w:hAnsi="Arial" w:cs="Arial"/>
                <w:color w:val="000000"/>
              </w:rPr>
              <w:t>12,2</w:t>
            </w:r>
            <w:r w:rsidR="00C00CC6">
              <w:rPr>
                <w:rFonts w:ascii="Arial" w:hAnsi="Arial" w:cs="Arial"/>
                <w:color w:val="000000"/>
              </w:rPr>
              <w:t>98</w:t>
            </w:r>
          </w:p>
        </w:tc>
        <w:tc>
          <w:tcPr>
            <w:tcW w:w="4665" w:type="dxa"/>
            <w:tcBorders>
              <w:top w:val="nil"/>
              <w:left w:val="single" w:sz="8" w:space="0" w:color="auto"/>
              <w:bottom w:val="nil"/>
              <w:right w:val="nil"/>
            </w:tcBorders>
            <w:shd w:val="clear" w:color="000000" w:fill="D9D9D9"/>
            <w:vAlign w:val="center"/>
            <w:hideMark/>
          </w:tcPr>
          <w:p w14:paraId="2592437B" w14:textId="77777777" w:rsidR="008F6016" w:rsidRPr="005151BE" w:rsidRDefault="008F6016" w:rsidP="008F6016">
            <w:pPr>
              <w:rPr>
                <w:rFonts w:ascii="Arial" w:hAnsi="Arial" w:cs="Arial"/>
                <w:color w:val="000000"/>
              </w:rPr>
            </w:pPr>
            <w:r w:rsidRPr="005151BE">
              <w:rPr>
                <w:rFonts w:ascii="Arial" w:hAnsi="Arial" w:cs="Arial"/>
                <w:color w:val="000000"/>
              </w:rPr>
              <w:t>Payments in Advance</w:t>
            </w:r>
          </w:p>
        </w:tc>
        <w:tc>
          <w:tcPr>
            <w:tcW w:w="1460" w:type="dxa"/>
            <w:tcBorders>
              <w:top w:val="nil"/>
              <w:left w:val="nil"/>
              <w:bottom w:val="nil"/>
              <w:right w:val="single" w:sz="8" w:space="0" w:color="auto"/>
            </w:tcBorders>
            <w:shd w:val="clear" w:color="000000" w:fill="D9D9D9"/>
            <w:vAlign w:val="center"/>
            <w:hideMark/>
          </w:tcPr>
          <w:p w14:paraId="7733933B" w14:textId="6FE360B9" w:rsidR="008F6016" w:rsidRPr="005151BE" w:rsidRDefault="008F6016" w:rsidP="008F6016">
            <w:pPr>
              <w:jc w:val="center"/>
              <w:rPr>
                <w:rFonts w:ascii="Arial" w:hAnsi="Arial" w:cs="Arial"/>
                <w:color w:val="000000"/>
              </w:rPr>
            </w:pPr>
            <w:r>
              <w:rPr>
                <w:rFonts w:ascii="Arial" w:hAnsi="Arial" w:cs="Arial"/>
                <w:color w:val="000000"/>
              </w:rPr>
              <w:t>2</w:t>
            </w:r>
            <w:r w:rsidR="006C65E3">
              <w:rPr>
                <w:rFonts w:ascii="Arial" w:hAnsi="Arial" w:cs="Arial"/>
                <w:color w:val="000000"/>
              </w:rPr>
              <w:t>2</w:t>
            </w:r>
          </w:p>
        </w:tc>
        <w:tc>
          <w:tcPr>
            <w:tcW w:w="1681" w:type="dxa"/>
            <w:tcBorders>
              <w:top w:val="nil"/>
              <w:left w:val="nil"/>
              <w:bottom w:val="nil"/>
              <w:right w:val="single" w:sz="8" w:space="0" w:color="auto"/>
            </w:tcBorders>
            <w:shd w:val="clear" w:color="000000" w:fill="D9D9D9"/>
            <w:vAlign w:val="center"/>
            <w:hideMark/>
          </w:tcPr>
          <w:p w14:paraId="10A43E90" w14:textId="756D7DAF" w:rsidR="008F6016" w:rsidRPr="005151BE" w:rsidRDefault="008F6016" w:rsidP="008F6016">
            <w:pPr>
              <w:jc w:val="right"/>
              <w:rPr>
                <w:rFonts w:ascii="Arial" w:hAnsi="Arial" w:cs="Arial"/>
                <w:color w:val="000000"/>
              </w:rPr>
            </w:pPr>
            <w:r>
              <w:rPr>
                <w:rFonts w:ascii="Arial" w:hAnsi="Arial" w:cs="Arial"/>
                <w:color w:val="000000"/>
              </w:rPr>
              <w:t>5,410</w:t>
            </w:r>
          </w:p>
        </w:tc>
      </w:tr>
      <w:tr w:rsidR="008F6016" w:rsidRPr="005151BE" w14:paraId="43285BD2" w14:textId="77777777" w:rsidTr="00B27992">
        <w:trPr>
          <w:trHeight w:val="315"/>
        </w:trPr>
        <w:tc>
          <w:tcPr>
            <w:tcW w:w="1550" w:type="dxa"/>
            <w:tcBorders>
              <w:top w:val="single" w:sz="8" w:space="0" w:color="auto"/>
              <w:left w:val="single" w:sz="8" w:space="0" w:color="auto"/>
              <w:bottom w:val="nil"/>
              <w:right w:val="nil"/>
            </w:tcBorders>
            <w:vAlign w:val="center"/>
            <w:hideMark/>
          </w:tcPr>
          <w:p w14:paraId="256467B5" w14:textId="7641B373" w:rsidR="008F6016" w:rsidRPr="005151BE" w:rsidRDefault="008F6016" w:rsidP="008F6016">
            <w:pPr>
              <w:jc w:val="right"/>
              <w:rPr>
                <w:rFonts w:ascii="Arial" w:hAnsi="Arial" w:cs="Arial"/>
                <w:b/>
                <w:bCs/>
                <w:color w:val="000000"/>
              </w:rPr>
            </w:pPr>
            <w:r>
              <w:rPr>
                <w:rFonts w:ascii="Arial" w:hAnsi="Arial" w:cs="Arial"/>
                <w:b/>
                <w:bCs/>
                <w:color w:val="000000"/>
              </w:rPr>
              <w:t>6</w:t>
            </w:r>
            <w:r w:rsidR="00D06EDA">
              <w:rPr>
                <w:rFonts w:ascii="Arial" w:hAnsi="Arial" w:cs="Arial"/>
                <w:b/>
                <w:bCs/>
                <w:color w:val="000000"/>
              </w:rPr>
              <w:t>3</w:t>
            </w:r>
            <w:r>
              <w:rPr>
                <w:rFonts w:ascii="Arial" w:hAnsi="Arial" w:cs="Arial"/>
                <w:b/>
                <w:bCs/>
                <w:color w:val="000000"/>
              </w:rPr>
              <w:t>,</w:t>
            </w:r>
            <w:r w:rsidR="00C00CC6">
              <w:rPr>
                <w:rFonts w:ascii="Arial" w:hAnsi="Arial" w:cs="Arial"/>
                <w:b/>
                <w:bCs/>
                <w:color w:val="000000"/>
              </w:rPr>
              <w:t>4</w:t>
            </w:r>
            <w:r w:rsidR="00D06EDA">
              <w:rPr>
                <w:rFonts w:ascii="Arial" w:hAnsi="Arial" w:cs="Arial"/>
                <w:b/>
                <w:bCs/>
                <w:color w:val="000000"/>
              </w:rPr>
              <w:t>6</w:t>
            </w:r>
            <w:r w:rsidR="00C00CC6">
              <w:rPr>
                <w:rFonts w:ascii="Arial" w:hAnsi="Arial" w:cs="Arial"/>
                <w:b/>
                <w:bCs/>
                <w:color w:val="000000"/>
              </w:rPr>
              <w:t>8</w:t>
            </w:r>
          </w:p>
        </w:tc>
        <w:tc>
          <w:tcPr>
            <w:tcW w:w="4665" w:type="dxa"/>
            <w:tcBorders>
              <w:top w:val="nil"/>
              <w:left w:val="single" w:sz="8" w:space="0" w:color="auto"/>
              <w:bottom w:val="nil"/>
              <w:right w:val="nil"/>
            </w:tcBorders>
            <w:shd w:val="clear" w:color="000000" w:fill="D9D9D9"/>
            <w:vAlign w:val="center"/>
            <w:hideMark/>
          </w:tcPr>
          <w:p w14:paraId="17EB505D" w14:textId="77777777" w:rsidR="008F6016" w:rsidRPr="005151BE" w:rsidRDefault="008F6016" w:rsidP="008F6016">
            <w:pPr>
              <w:rPr>
                <w:rFonts w:ascii="Arial" w:hAnsi="Arial" w:cs="Arial"/>
                <w:b/>
                <w:bCs/>
                <w:color w:val="000000"/>
              </w:rPr>
            </w:pPr>
            <w:r w:rsidRPr="005151BE">
              <w:rPr>
                <w:rFonts w:ascii="Arial" w:hAnsi="Arial" w:cs="Arial"/>
                <w:b/>
                <w:bCs/>
                <w:color w:val="000000"/>
              </w:rPr>
              <w:t>Current Assets</w:t>
            </w:r>
          </w:p>
        </w:tc>
        <w:tc>
          <w:tcPr>
            <w:tcW w:w="1460" w:type="dxa"/>
            <w:tcBorders>
              <w:top w:val="nil"/>
              <w:left w:val="nil"/>
              <w:bottom w:val="nil"/>
              <w:right w:val="single" w:sz="8" w:space="0" w:color="auto"/>
            </w:tcBorders>
            <w:shd w:val="clear" w:color="000000" w:fill="D9D9D9"/>
            <w:vAlign w:val="center"/>
            <w:hideMark/>
          </w:tcPr>
          <w:p w14:paraId="3976CFCF" w14:textId="77777777" w:rsidR="008F6016" w:rsidRPr="005151BE" w:rsidRDefault="008F6016" w:rsidP="008F6016">
            <w:pPr>
              <w:rPr>
                <w:rFonts w:ascii="Arial" w:hAnsi="Arial" w:cs="Arial"/>
                <w:b/>
                <w:bCs/>
                <w:color w:val="000000"/>
              </w:rPr>
            </w:pPr>
          </w:p>
        </w:tc>
        <w:tc>
          <w:tcPr>
            <w:tcW w:w="1681" w:type="dxa"/>
            <w:tcBorders>
              <w:top w:val="single" w:sz="8" w:space="0" w:color="auto"/>
              <w:left w:val="nil"/>
              <w:bottom w:val="nil"/>
              <w:right w:val="single" w:sz="8" w:space="0" w:color="auto"/>
            </w:tcBorders>
            <w:shd w:val="clear" w:color="000000" w:fill="D9D9D9"/>
            <w:vAlign w:val="center"/>
            <w:hideMark/>
          </w:tcPr>
          <w:p w14:paraId="1E0F11BE" w14:textId="1165EF33" w:rsidR="008F6016" w:rsidRPr="005151BE" w:rsidRDefault="008F6016" w:rsidP="008F6016">
            <w:pPr>
              <w:jc w:val="right"/>
              <w:rPr>
                <w:rFonts w:ascii="Arial" w:hAnsi="Arial" w:cs="Arial"/>
                <w:b/>
                <w:bCs/>
                <w:color w:val="000000"/>
              </w:rPr>
            </w:pPr>
            <w:r>
              <w:rPr>
                <w:rFonts w:ascii="Arial" w:hAnsi="Arial" w:cs="Arial"/>
                <w:b/>
                <w:bCs/>
                <w:color w:val="000000"/>
              </w:rPr>
              <w:t>7</w:t>
            </w:r>
            <w:r w:rsidR="004F711D">
              <w:rPr>
                <w:rFonts w:ascii="Arial" w:hAnsi="Arial" w:cs="Arial"/>
                <w:b/>
                <w:bCs/>
                <w:color w:val="000000"/>
              </w:rPr>
              <w:t>3</w:t>
            </w:r>
            <w:r>
              <w:rPr>
                <w:rFonts w:ascii="Arial" w:hAnsi="Arial" w:cs="Arial"/>
                <w:b/>
                <w:bCs/>
                <w:color w:val="000000"/>
              </w:rPr>
              <w:t>,</w:t>
            </w:r>
            <w:r w:rsidR="004F711D">
              <w:rPr>
                <w:rFonts w:ascii="Arial" w:hAnsi="Arial" w:cs="Arial"/>
                <w:b/>
                <w:bCs/>
                <w:color w:val="000000"/>
              </w:rPr>
              <w:t>142</w:t>
            </w:r>
          </w:p>
        </w:tc>
      </w:tr>
      <w:tr w:rsidR="008F6016" w:rsidRPr="005151BE" w14:paraId="44D5CA7A" w14:textId="77777777" w:rsidTr="00B27992">
        <w:trPr>
          <w:trHeight w:val="300"/>
        </w:trPr>
        <w:tc>
          <w:tcPr>
            <w:tcW w:w="1550" w:type="dxa"/>
            <w:tcBorders>
              <w:top w:val="nil"/>
              <w:left w:val="single" w:sz="8" w:space="0" w:color="auto"/>
              <w:bottom w:val="nil"/>
              <w:right w:val="nil"/>
            </w:tcBorders>
            <w:vAlign w:val="center"/>
            <w:hideMark/>
          </w:tcPr>
          <w:p w14:paraId="7E577129" w14:textId="67B6E803" w:rsidR="008F6016" w:rsidRPr="005151BE" w:rsidRDefault="008F6016" w:rsidP="008F6016">
            <w:pPr>
              <w:jc w:val="right"/>
              <w:rPr>
                <w:rFonts w:ascii="Arial" w:hAnsi="Arial" w:cs="Arial"/>
                <w:b/>
                <w:bCs/>
                <w:color w:val="000000"/>
              </w:rPr>
            </w:pPr>
            <w:r>
              <w:rPr>
                <w:rFonts w:ascii="Arial" w:hAnsi="Arial" w:cs="Arial"/>
                <w:color w:val="000000"/>
              </w:rPr>
              <w:t> </w:t>
            </w:r>
          </w:p>
        </w:tc>
        <w:tc>
          <w:tcPr>
            <w:tcW w:w="4665" w:type="dxa"/>
            <w:tcBorders>
              <w:top w:val="nil"/>
              <w:left w:val="single" w:sz="8" w:space="0" w:color="auto"/>
              <w:bottom w:val="nil"/>
              <w:right w:val="nil"/>
            </w:tcBorders>
            <w:shd w:val="clear" w:color="000000" w:fill="D9D9D9"/>
            <w:vAlign w:val="center"/>
            <w:hideMark/>
          </w:tcPr>
          <w:p w14:paraId="7B9D24FB" w14:textId="77777777" w:rsidR="008F6016" w:rsidRPr="005151BE" w:rsidRDefault="008F6016" w:rsidP="008F6016">
            <w:pPr>
              <w:jc w:val="right"/>
            </w:pPr>
          </w:p>
        </w:tc>
        <w:tc>
          <w:tcPr>
            <w:tcW w:w="1460" w:type="dxa"/>
            <w:tcBorders>
              <w:top w:val="nil"/>
              <w:left w:val="nil"/>
              <w:bottom w:val="nil"/>
              <w:right w:val="single" w:sz="8" w:space="0" w:color="auto"/>
            </w:tcBorders>
            <w:shd w:val="clear" w:color="000000" w:fill="D9D9D9"/>
            <w:vAlign w:val="center"/>
            <w:hideMark/>
          </w:tcPr>
          <w:p w14:paraId="56A0B163" w14:textId="77777777" w:rsidR="008F6016" w:rsidRPr="005151BE" w:rsidRDefault="008F6016" w:rsidP="008F6016"/>
        </w:tc>
        <w:tc>
          <w:tcPr>
            <w:tcW w:w="1681" w:type="dxa"/>
            <w:tcBorders>
              <w:top w:val="nil"/>
              <w:left w:val="nil"/>
              <w:bottom w:val="nil"/>
              <w:right w:val="single" w:sz="8" w:space="0" w:color="auto"/>
            </w:tcBorders>
            <w:shd w:val="clear" w:color="000000" w:fill="D9D9D9"/>
            <w:vAlign w:val="center"/>
            <w:hideMark/>
          </w:tcPr>
          <w:p w14:paraId="6DC1F4B6" w14:textId="4CBD8262" w:rsidR="008F6016" w:rsidRPr="005151BE" w:rsidRDefault="008F6016" w:rsidP="008F6016">
            <w:pPr>
              <w:jc w:val="center"/>
            </w:pPr>
            <w:r>
              <w:rPr>
                <w:rFonts w:ascii="Arial" w:hAnsi="Arial" w:cs="Arial"/>
                <w:color w:val="000000"/>
              </w:rPr>
              <w:t> </w:t>
            </w:r>
          </w:p>
        </w:tc>
      </w:tr>
      <w:tr w:rsidR="008F6016" w:rsidRPr="005151BE" w14:paraId="20B2B66C" w14:textId="77777777" w:rsidTr="00B27992">
        <w:trPr>
          <w:trHeight w:val="300"/>
        </w:trPr>
        <w:tc>
          <w:tcPr>
            <w:tcW w:w="1550" w:type="dxa"/>
            <w:tcBorders>
              <w:top w:val="nil"/>
              <w:left w:val="single" w:sz="8" w:space="0" w:color="auto"/>
              <w:bottom w:val="nil"/>
              <w:right w:val="nil"/>
            </w:tcBorders>
            <w:vAlign w:val="center"/>
            <w:hideMark/>
          </w:tcPr>
          <w:p w14:paraId="58C57493" w14:textId="7CB4CC24" w:rsidR="008F6016" w:rsidRPr="005151BE" w:rsidRDefault="008F6016" w:rsidP="008F6016">
            <w:pPr>
              <w:jc w:val="right"/>
              <w:rPr>
                <w:rFonts w:ascii="Arial" w:hAnsi="Arial" w:cs="Arial"/>
                <w:color w:val="000000"/>
              </w:rPr>
            </w:pPr>
            <w:r>
              <w:rPr>
                <w:rFonts w:ascii="Arial" w:hAnsi="Arial" w:cs="Arial"/>
                <w:color w:val="000000"/>
              </w:rPr>
              <w:t>(46,497)</w:t>
            </w:r>
          </w:p>
        </w:tc>
        <w:tc>
          <w:tcPr>
            <w:tcW w:w="4665" w:type="dxa"/>
            <w:tcBorders>
              <w:top w:val="nil"/>
              <w:left w:val="single" w:sz="8" w:space="0" w:color="auto"/>
              <w:bottom w:val="nil"/>
              <w:right w:val="nil"/>
            </w:tcBorders>
            <w:shd w:val="clear" w:color="000000" w:fill="D9D9D9"/>
            <w:vAlign w:val="center"/>
            <w:hideMark/>
          </w:tcPr>
          <w:p w14:paraId="2A160578" w14:textId="77777777" w:rsidR="008F6016" w:rsidRPr="005151BE" w:rsidRDefault="008F6016" w:rsidP="008F6016">
            <w:pPr>
              <w:rPr>
                <w:rFonts w:ascii="Arial" w:hAnsi="Arial" w:cs="Arial"/>
                <w:color w:val="000000"/>
              </w:rPr>
            </w:pPr>
            <w:r w:rsidRPr="005151BE">
              <w:rPr>
                <w:rFonts w:ascii="Arial" w:hAnsi="Arial" w:cs="Arial"/>
                <w:color w:val="000000"/>
              </w:rPr>
              <w:t>Short Term Borrowing</w:t>
            </w:r>
          </w:p>
        </w:tc>
        <w:tc>
          <w:tcPr>
            <w:tcW w:w="1460" w:type="dxa"/>
            <w:tcBorders>
              <w:top w:val="nil"/>
              <w:left w:val="nil"/>
              <w:bottom w:val="nil"/>
              <w:right w:val="single" w:sz="8" w:space="0" w:color="auto"/>
            </w:tcBorders>
            <w:shd w:val="clear" w:color="000000" w:fill="D9D9D9"/>
            <w:vAlign w:val="center"/>
            <w:hideMark/>
          </w:tcPr>
          <w:p w14:paraId="29DC8CCF" w14:textId="1FD4D404" w:rsidR="008F6016" w:rsidRPr="005151BE" w:rsidRDefault="008F6016" w:rsidP="008F6016">
            <w:pPr>
              <w:jc w:val="center"/>
              <w:rPr>
                <w:rFonts w:ascii="Arial" w:hAnsi="Arial" w:cs="Arial"/>
                <w:color w:val="000000"/>
              </w:rPr>
            </w:pPr>
            <w:r w:rsidRPr="005151BE">
              <w:rPr>
                <w:rFonts w:ascii="Arial" w:hAnsi="Arial" w:cs="Arial"/>
                <w:color w:val="000000"/>
              </w:rPr>
              <w:t>2</w:t>
            </w:r>
            <w:r w:rsidR="00D3507C">
              <w:rPr>
                <w:rFonts w:ascii="Arial" w:hAnsi="Arial" w:cs="Arial"/>
                <w:color w:val="000000"/>
              </w:rPr>
              <w:t>9</w:t>
            </w:r>
          </w:p>
        </w:tc>
        <w:tc>
          <w:tcPr>
            <w:tcW w:w="1681" w:type="dxa"/>
            <w:tcBorders>
              <w:top w:val="nil"/>
              <w:left w:val="nil"/>
              <w:bottom w:val="nil"/>
              <w:right w:val="single" w:sz="8" w:space="0" w:color="auto"/>
            </w:tcBorders>
            <w:shd w:val="clear" w:color="000000" w:fill="D9D9D9"/>
            <w:vAlign w:val="center"/>
            <w:hideMark/>
          </w:tcPr>
          <w:p w14:paraId="0D12AE3B" w14:textId="30708C49" w:rsidR="008F6016" w:rsidRPr="005151BE" w:rsidRDefault="008F6016" w:rsidP="008F6016">
            <w:pPr>
              <w:jc w:val="right"/>
              <w:rPr>
                <w:rFonts w:ascii="Arial" w:hAnsi="Arial" w:cs="Arial"/>
                <w:color w:val="000000"/>
              </w:rPr>
            </w:pPr>
            <w:r>
              <w:rPr>
                <w:rFonts w:ascii="Arial" w:hAnsi="Arial" w:cs="Arial"/>
                <w:color w:val="000000"/>
              </w:rPr>
              <w:t>(61,475)</w:t>
            </w:r>
          </w:p>
        </w:tc>
      </w:tr>
      <w:tr w:rsidR="008F6016" w:rsidRPr="005151BE" w14:paraId="1712AE16" w14:textId="77777777" w:rsidTr="00B27992">
        <w:trPr>
          <w:trHeight w:val="300"/>
        </w:trPr>
        <w:tc>
          <w:tcPr>
            <w:tcW w:w="1550" w:type="dxa"/>
            <w:tcBorders>
              <w:top w:val="nil"/>
              <w:left w:val="single" w:sz="8" w:space="0" w:color="auto"/>
              <w:bottom w:val="nil"/>
              <w:right w:val="nil"/>
            </w:tcBorders>
            <w:vAlign w:val="center"/>
          </w:tcPr>
          <w:p w14:paraId="7199E9E4" w14:textId="4D14D5CF" w:rsidR="008F6016" w:rsidRPr="005151BE" w:rsidRDefault="008F6016" w:rsidP="008F6016">
            <w:pPr>
              <w:jc w:val="right"/>
              <w:rPr>
                <w:rFonts w:ascii="Arial" w:hAnsi="Arial" w:cs="Arial"/>
                <w:color w:val="000000"/>
              </w:rPr>
            </w:pPr>
          </w:p>
        </w:tc>
        <w:tc>
          <w:tcPr>
            <w:tcW w:w="4665" w:type="dxa"/>
            <w:tcBorders>
              <w:top w:val="nil"/>
              <w:left w:val="single" w:sz="8" w:space="0" w:color="auto"/>
              <w:bottom w:val="nil"/>
              <w:right w:val="nil"/>
            </w:tcBorders>
            <w:shd w:val="clear" w:color="000000" w:fill="D9D9D9"/>
            <w:vAlign w:val="center"/>
          </w:tcPr>
          <w:p w14:paraId="38AEC3AB" w14:textId="39A41FA2" w:rsidR="008F6016" w:rsidRPr="00167585" w:rsidRDefault="008F6016" w:rsidP="008F6016">
            <w:pPr>
              <w:rPr>
                <w:rFonts w:ascii="Arial" w:hAnsi="Arial" w:cs="Arial"/>
                <w:color w:val="000000"/>
              </w:rPr>
            </w:pPr>
            <w:r w:rsidRPr="00167585">
              <w:rPr>
                <w:rFonts w:ascii="Arial" w:hAnsi="Arial" w:cs="Arial"/>
                <w:color w:val="000000"/>
              </w:rPr>
              <w:t>Short-term Lease Liabilities</w:t>
            </w:r>
          </w:p>
        </w:tc>
        <w:tc>
          <w:tcPr>
            <w:tcW w:w="1460" w:type="dxa"/>
            <w:tcBorders>
              <w:top w:val="nil"/>
              <w:left w:val="nil"/>
              <w:bottom w:val="nil"/>
              <w:right w:val="single" w:sz="8" w:space="0" w:color="auto"/>
            </w:tcBorders>
            <w:shd w:val="clear" w:color="000000" w:fill="D9D9D9"/>
            <w:vAlign w:val="center"/>
          </w:tcPr>
          <w:p w14:paraId="23954A12" w14:textId="77777777" w:rsidR="008F6016" w:rsidRPr="005151BE" w:rsidRDefault="008F6016" w:rsidP="008F6016">
            <w:pPr>
              <w:jc w:val="cente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tcPr>
          <w:p w14:paraId="31474AF0" w14:textId="0ED98492" w:rsidR="008F6016" w:rsidRPr="005151BE" w:rsidRDefault="008F6016" w:rsidP="008F6016">
            <w:pPr>
              <w:jc w:val="right"/>
              <w:rPr>
                <w:rFonts w:ascii="Arial" w:hAnsi="Arial" w:cs="Arial"/>
                <w:color w:val="000000"/>
              </w:rPr>
            </w:pPr>
            <w:r>
              <w:rPr>
                <w:rFonts w:ascii="Arial" w:hAnsi="Arial" w:cs="Arial"/>
                <w:color w:val="000000"/>
              </w:rPr>
              <w:t>(313)</w:t>
            </w:r>
          </w:p>
        </w:tc>
      </w:tr>
      <w:tr w:rsidR="008F6016" w:rsidRPr="005151BE" w14:paraId="1B678A1C" w14:textId="77777777" w:rsidTr="00B27992">
        <w:trPr>
          <w:trHeight w:val="300"/>
        </w:trPr>
        <w:tc>
          <w:tcPr>
            <w:tcW w:w="1550" w:type="dxa"/>
            <w:tcBorders>
              <w:top w:val="nil"/>
              <w:left w:val="single" w:sz="8" w:space="0" w:color="auto"/>
              <w:bottom w:val="nil"/>
              <w:right w:val="nil"/>
            </w:tcBorders>
            <w:vAlign w:val="center"/>
            <w:hideMark/>
          </w:tcPr>
          <w:p w14:paraId="030D0E6D" w14:textId="06879DD8" w:rsidR="008F6016" w:rsidRPr="005151BE" w:rsidRDefault="008F6016" w:rsidP="008F6016">
            <w:pPr>
              <w:jc w:val="right"/>
              <w:rPr>
                <w:rFonts w:ascii="Arial" w:hAnsi="Arial" w:cs="Arial"/>
                <w:color w:val="000000"/>
              </w:rPr>
            </w:pPr>
            <w:r>
              <w:rPr>
                <w:rFonts w:ascii="Arial" w:hAnsi="Arial" w:cs="Arial"/>
                <w:color w:val="000000"/>
              </w:rPr>
              <w:t>(4</w:t>
            </w:r>
            <w:r w:rsidR="00D06EDA">
              <w:rPr>
                <w:rFonts w:ascii="Arial" w:hAnsi="Arial" w:cs="Arial"/>
                <w:color w:val="000000"/>
              </w:rPr>
              <w:t>4,910</w:t>
            </w:r>
            <w:r>
              <w:rPr>
                <w:rFonts w:ascii="Arial" w:hAnsi="Arial" w:cs="Arial"/>
                <w:color w:val="000000"/>
              </w:rPr>
              <w:t>)</w:t>
            </w:r>
          </w:p>
        </w:tc>
        <w:tc>
          <w:tcPr>
            <w:tcW w:w="4665" w:type="dxa"/>
            <w:tcBorders>
              <w:top w:val="nil"/>
              <w:left w:val="single" w:sz="8" w:space="0" w:color="auto"/>
              <w:bottom w:val="nil"/>
              <w:right w:val="nil"/>
            </w:tcBorders>
            <w:shd w:val="clear" w:color="000000" w:fill="D9D9D9"/>
            <w:vAlign w:val="center"/>
            <w:hideMark/>
          </w:tcPr>
          <w:p w14:paraId="26EF2020" w14:textId="77777777" w:rsidR="008F6016" w:rsidRPr="005151BE" w:rsidRDefault="008F6016" w:rsidP="008F6016">
            <w:pPr>
              <w:rPr>
                <w:rFonts w:ascii="Arial" w:hAnsi="Arial" w:cs="Arial"/>
                <w:color w:val="000000"/>
              </w:rPr>
            </w:pPr>
            <w:r w:rsidRPr="005151BE">
              <w:rPr>
                <w:rFonts w:ascii="Arial" w:hAnsi="Arial" w:cs="Arial"/>
                <w:color w:val="000000"/>
              </w:rPr>
              <w:t>Short Term Creditors</w:t>
            </w:r>
          </w:p>
        </w:tc>
        <w:tc>
          <w:tcPr>
            <w:tcW w:w="1460" w:type="dxa"/>
            <w:tcBorders>
              <w:top w:val="nil"/>
              <w:left w:val="nil"/>
              <w:bottom w:val="nil"/>
              <w:right w:val="single" w:sz="8" w:space="0" w:color="auto"/>
            </w:tcBorders>
            <w:shd w:val="clear" w:color="000000" w:fill="D9D9D9"/>
            <w:vAlign w:val="center"/>
            <w:hideMark/>
          </w:tcPr>
          <w:p w14:paraId="3EB02BC4" w14:textId="581DECFF" w:rsidR="008F6016" w:rsidRPr="005151BE" w:rsidRDefault="008F6016" w:rsidP="008F6016">
            <w:pPr>
              <w:jc w:val="center"/>
              <w:rPr>
                <w:rFonts w:ascii="Arial" w:hAnsi="Arial" w:cs="Arial"/>
                <w:color w:val="000000"/>
              </w:rPr>
            </w:pPr>
            <w:r w:rsidRPr="005151BE">
              <w:rPr>
                <w:rFonts w:ascii="Arial" w:hAnsi="Arial" w:cs="Arial"/>
                <w:color w:val="000000"/>
              </w:rPr>
              <w:t>2</w:t>
            </w:r>
            <w:r w:rsidR="006C65E3">
              <w:rPr>
                <w:rFonts w:ascii="Arial" w:hAnsi="Arial" w:cs="Arial"/>
                <w:color w:val="000000"/>
              </w:rPr>
              <w:t>3</w:t>
            </w:r>
          </w:p>
        </w:tc>
        <w:tc>
          <w:tcPr>
            <w:tcW w:w="1681" w:type="dxa"/>
            <w:tcBorders>
              <w:top w:val="nil"/>
              <w:left w:val="nil"/>
              <w:bottom w:val="nil"/>
              <w:right w:val="single" w:sz="8" w:space="0" w:color="auto"/>
            </w:tcBorders>
            <w:shd w:val="clear" w:color="000000" w:fill="D9D9D9"/>
            <w:vAlign w:val="center"/>
            <w:hideMark/>
          </w:tcPr>
          <w:p w14:paraId="078BDB45" w14:textId="4EE9AFA2" w:rsidR="008F6016" w:rsidRPr="005151BE" w:rsidRDefault="008F6016" w:rsidP="008F6016">
            <w:pPr>
              <w:jc w:val="right"/>
              <w:rPr>
                <w:rFonts w:ascii="Arial" w:hAnsi="Arial" w:cs="Arial"/>
                <w:color w:val="000000"/>
              </w:rPr>
            </w:pPr>
            <w:r>
              <w:rPr>
                <w:rFonts w:ascii="Arial" w:hAnsi="Arial" w:cs="Arial"/>
                <w:color w:val="000000"/>
              </w:rPr>
              <w:t>(49,</w:t>
            </w:r>
            <w:r w:rsidR="00986E47">
              <w:rPr>
                <w:rFonts w:ascii="Arial" w:hAnsi="Arial" w:cs="Arial"/>
                <w:color w:val="000000"/>
              </w:rPr>
              <w:t>7</w:t>
            </w:r>
            <w:r w:rsidR="00230C3B">
              <w:rPr>
                <w:rFonts w:ascii="Arial" w:hAnsi="Arial" w:cs="Arial"/>
                <w:color w:val="000000"/>
              </w:rPr>
              <w:t>77</w:t>
            </w:r>
            <w:r>
              <w:rPr>
                <w:rFonts w:ascii="Arial" w:hAnsi="Arial" w:cs="Arial"/>
                <w:color w:val="000000"/>
              </w:rPr>
              <w:t>)</w:t>
            </w:r>
          </w:p>
        </w:tc>
      </w:tr>
      <w:tr w:rsidR="008F6016" w:rsidRPr="005151BE" w14:paraId="247DC1DB" w14:textId="77777777" w:rsidTr="00B27992">
        <w:trPr>
          <w:trHeight w:val="300"/>
        </w:trPr>
        <w:tc>
          <w:tcPr>
            <w:tcW w:w="1550" w:type="dxa"/>
            <w:tcBorders>
              <w:top w:val="nil"/>
              <w:left w:val="single" w:sz="8" w:space="0" w:color="auto"/>
              <w:bottom w:val="nil"/>
              <w:right w:val="nil"/>
            </w:tcBorders>
            <w:vAlign w:val="center"/>
            <w:hideMark/>
          </w:tcPr>
          <w:p w14:paraId="6E2A15CE" w14:textId="7BC201C7" w:rsidR="008F6016" w:rsidRPr="005151BE" w:rsidRDefault="008F6016" w:rsidP="008F6016">
            <w:pPr>
              <w:jc w:val="right"/>
              <w:rPr>
                <w:rFonts w:ascii="Arial" w:hAnsi="Arial" w:cs="Arial"/>
                <w:color w:val="000000"/>
              </w:rPr>
            </w:pPr>
            <w:r>
              <w:rPr>
                <w:rFonts w:ascii="Arial" w:hAnsi="Arial" w:cs="Arial"/>
                <w:color w:val="000000"/>
              </w:rPr>
              <w:t>(342)</w:t>
            </w:r>
          </w:p>
        </w:tc>
        <w:tc>
          <w:tcPr>
            <w:tcW w:w="4665" w:type="dxa"/>
            <w:tcBorders>
              <w:top w:val="nil"/>
              <w:left w:val="single" w:sz="8" w:space="0" w:color="auto"/>
              <w:bottom w:val="nil"/>
              <w:right w:val="nil"/>
            </w:tcBorders>
            <w:shd w:val="clear" w:color="000000" w:fill="D9D9D9"/>
            <w:vAlign w:val="center"/>
            <w:hideMark/>
          </w:tcPr>
          <w:p w14:paraId="5F938488" w14:textId="77777777" w:rsidR="008F6016" w:rsidRPr="005151BE" w:rsidRDefault="008F6016" w:rsidP="008F6016">
            <w:pPr>
              <w:rPr>
                <w:rFonts w:ascii="Arial" w:hAnsi="Arial" w:cs="Arial"/>
                <w:color w:val="000000"/>
              </w:rPr>
            </w:pPr>
            <w:r w:rsidRPr="005151BE">
              <w:rPr>
                <w:rFonts w:ascii="Arial" w:hAnsi="Arial" w:cs="Arial"/>
                <w:color w:val="000000"/>
              </w:rPr>
              <w:t>Short-Term Provisions</w:t>
            </w:r>
          </w:p>
        </w:tc>
        <w:tc>
          <w:tcPr>
            <w:tcW w:w="1460" w:type="dxa"/>
            <w:tcBorders>
              <w:top w:val="nil"/>
              <w:left w:val="nil"/>
              <w:bottom w:val="nil"/>
              <w:right w:val="single" w:sz="8" w:space="0" w:color="auto"/>
            </w:tcBorders>
            <w:shd w:val="clear" w:color="000000" w:fill="D9D9D9"/>
            <w:vAlign w:val="center"/>
            <w:hideMark/>
          </w:tcPr>
          <w:p w14:paraId="3950499F" w14:textId="77777777" w:rsidR="008F6016" w:rsidRPr="005151BE" w:rsidRDefault="008F6016" w:rsidP="008F6016">
            <w:pP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hideMark/>
          </w:tcPr>
          <w:p w14:paraId="58252809" w14:textId="288E599B" w:rsidR="008F6016" w:rsidRPr="005151BE" w:rsidRDefault="008F6016" w:rsidP="008F6016">
            <w:pPr>
              <w:jc w:val="right"/>
              <w:rPr>
                <w:rFonts w:ascii="Arial" w:hAnsi="Arial" w:cs="Arial"/>
                <w:color w:val="000000"/>
              </w:rPr>
            </w:pPr>
            <w:r>
              <w:rPr>
                <w:rFonts w:ascii="Arial" w:hAnsi="Arial" w:cs="Arial"/>
                <w:color w:val="000000"/>
              </w:rPr>
              <w:t>(</w:t>
            </w:r>
            <w:r w:rsidR="00986E47">
              <w:rPr>
                <w:rFonts w:ascii="Arial" w:hAnsi="Arial" w:cs="Arial"/>
                <w:color w:val="000000"/>
              </w:rPr>
              <w:t>304</w:t>
            </w:r>
            <w:r>
              <w:rPr>
                <w:rFonts w:ascii="Arial" w:hAnsi="Arial" w:cs="Arial"/>
                <w:color w:val="000000"/>
              </w:rPr>
              <w:t>)</w:t>
            </w:r>
          </w:p>
        </w:tc>
      </w:tr>
      <w:tr w:rsidR="008F6016" w:rsidRPr="005151BE" w14:paraId="38264395" w14:textId="77777777" w:rsidTr="00B27992">
        <w:trPr>
          <w:trHeight w:val="300"/>
        </w:trPr>
        <w:tc>
          <w:tcPr>
            <w:tcW w:w="1550" w:type="dxa"/>
            <w:tcBorders>
              <w:top w:val="nil"/>
              <w:left w:val="single" w:sz="8" w:space="0" w:color="auto"/>
              <w:bottom w:val="nil"/>
              <w:right w:val="nil"/>
            </w:tcBorders>
            <w:vAlign w:val="center"/>
            <w:hideMark/>
          </w:tcPr>
          <w:p w14:paraId="0782A735" w14:textId="7B655BCF" w:rsidR="008F6016" w:rsidRPr="005151BE" w:rsidRDefault="008F6016" w:rsidP="008F6016">
            <w:pPr>
              <w:jc w:val="right"/>
              <w:rPr>
                <w:rFonts w:ascii="Arial" w:hAnsi="Arial" w:cs="Arial"/>
                <w:color w:val="000000"/>
              </w:rPr>
            </w:pPr>
            <w:r>
              <w:rPr>
                <w:rFonts w:ascii="Arial" w:hAnsi="Arial" w:cs="Arial"/>
                <w:color w:val="000000"/>
              </w:rPr>
              <w:t>(916)</w:t>
            </w:r>
          </w:p>
        </w:tc>
        <w:tc>
          <w:tcPr>
            <w:tcW w:w="4665" w:type="dxa"/>
            <w:tcBorders>
              <w:top w:val="nil"/>
              <w:left w:val="single" w:sz="8" w:space="0" w:color="auto"/>
              <w:bottom w:val="nil"/>
              <w:right w:val="nil"/>
            </w:tcBorders>
            <w:shd w:val="clear" w:color="000000" w:fill="D9D9D9"/>
            <w:vAlign w:val="center"/>
            <w:hideMark/>
          </w:tcPr>
          <w:p w14:paraId="3A555C05" w14:textId="77777777" w:rsidR="008F6016" w:rsidRPr="005151BE" w:rsidRDefault="008F6016" w:rsidP="008F6016">
            <w:pPr>
              <w:rPr>
                <w:rFonts w:ascii="Arial" w:hAnsi="Arial" w:cs="Arial"/>
                <w:color w:val="000000"/>
              </w:rPr>
            </w:pPr>
            <w:r w:rsidRPr="005151BE">
              <w:rPr>
                <w:rFonts w:ascii="Arial" w:hAnsi="Arial" w:cs="Arial"/>
                <w:color w:val="000000"/>
              </w:rPr>
              <w:t>Receipts in Advance</w:t>
            </w:r>
          </w:p>
        </w:tc>
        <w:tc>
          <w:tcPr>
            <w:tcW w:w="1460" w:type="dxa"/>
            <w:tcBorders>
              <w:top w:val="nil"/>
              <w:left w:val="nil"/>
              <w:bottom w:val="nil"/>
              <w:right w:val="single" w:sz="8" w:space="0" w:color="auto"/>
            </w:tcBorders>
            <w:shd w:val="clear" w:color="000000" w:fill="D9D9D9"/>
            <w:vAlign w:val="center"/>
            <w:hideMark/>
          </w:tcPr>
          <w:p w14:paraId="77B7F565" w14:textId="77777777" w:rsidR="008F6016" w:rsidRPr="005151BE" w:rsidRDefault="008F6016" w:rsidP="008F6016">
            <w:pP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hideMark/>
          </w:tcPr>
          <w:p w14:paraId="674E0BC4" w14:textId="3065BB22" w:rsidR="008F6016" w:rsidRPr="005151BE" w:rsidRDefault="008F6016" w:rsidP="008F6016">
            <w:pPr>
              <w:jc w:val="right"/>
              <w:rPr>
                <w:rFonts w:ascii="Arial" w:hAnsi="Arial" w:cs="Arial"/>
                <w:color w:val="000000"/>
              </w:rPr>
            </w:pPr>
            <w:r>
              <w:rPr>
                <w:rFonts w:ascii="Arial" w:hAnsi="Arial" w:cs="Arial"/>
                <w:color w:val="000000"/>
              </w:rPr>
              <w:t>(680)</w:t>
            </w:r>
          </w:p>
        </w:tc>
      </w:tr>
      <w:tr w:rsidR="008F6016" w:rsidRPr="005151BE" w14:paraId="59E43665" w14:textId="77777777" w:rsidTr="00B27992">
        <w:trPr>
          <w:trHeight w:val="300"/>
        </w:trPr>
        <w:tc>
          <w:tcPr>
            <w:tcW w:w="1550" w:type="dxa"/>
            <w:tcBorders>
              <w:top w:val="single" w:sz="8" w:space="0" w:color="auto"/>
              <w:left w:val="single" w:sz="8" w:space="0" w:color="auto"/>
              <w:bottom w:val="nil"/>
              <w:right w:val="nil"/>
            </w:tcBorders>
            <w:vAlign w:val="center"/>
            <w:hideMark/>
          </w:tcPr>
          <w:p w14:paraId="2EFB7BC1" w14:textId="23E0A1AA" w:rsidR="008F6016" w:rsidRPr="005151BE" w:rsidRDefault="008F6016" w:rsidP="008F6016">
            <w:pPr>
              <w:jc w:val="right"/>
              <w:rPr>
                <w:rFonts w:ascii="Arial" w:hAnsi="Arial" w:cs="Arial"/>
                <w:b/>
                <w:bCs/>
                <w:color w:val="000000"/>
              </w:rPr>
            </w:pPr>
            <w:r>
              <w:rPr>
                <w:rFonts w:ascii="Arial" w:hAnsi="Arial" w:cs="Arial"/>
                <w:b/>
                <w:bCs/>
                <w:color w:val="000000"/>
              </w:rPr>
              <w:t>(9</w:t>
            </w:r>
            <w:r w:rsidR="00D06EDA">
              <w:rPr>
                <w:rFonts w:ascii="Arial" w:hAnsi="Arial" w:cs="Arial"/>
                <w:b/>
                <w:bCs/>
                <w:color w:val="000000"/>
              </w:rPr>
              <w:t>2</w:t>
            </w:r>
            <w:r>
              <w:rPr>
                <w:rFonts w:ascii="Arial" w:hAnsi="Arial" w:cs="Arial"/>
                <w:b/>
                <w:bCs/>
                <w:color w:val="000000"/>
              </w:rPr>
              <w:t>,</w:t>
            </w:r>
            <w:r w:rsidR="00C00CC6">
              <w:rPr>
                <w:rFonts w:ascii="Arial" w:hAnsi="Arial" w:cs="Arial"/>
                <w:b/>
                <w:bCs/>
                <w:color w:val="000000"/>
              </w:rPr>
              <w:t>6</w:t>
            </w:r>
            <w:r w:rsidR="00D06EDA">
              <w:rPr>
                <w:rFonts w:ascii="Arial" w:hAnsi="Arial" w:cs="Arial"/>
                <w:b/>
                <w:bCs/>
                <w:color w:val="000000"/>
              </w:rPr>
              <w:t>6</w:t>
            </w:r>
            <w:r w:rsidR="00C00CC6">
              <w:rPr>
                <w:rFonts w:ascii="Arial" w:hAnsi="Arial" w:cs="Arial"/>
                <w:b/>
                <w:bCs/>
                <w:color w:val="000000"/>
              </w:rPr>
              <w:t>4</w:t>
            </w:r>
            <w:r>
              <w:rPr>
                <w:rFonts w:ascii="Arial" w:hAnsi="Arial" w:cs="Arial"/>
                <w:b/>
                <w:bCs/>
                <w:color w:val="000000"/>
              </w:rPr>
              <w:t>)</w:t>
            </w:r>
          </w:p>
        </w:tc>
        <w:tc>
          <w:tcPr>
            <w:tcW w:w="4665" w:type="dxa"/>
            <w:tcBorders>
              <w:top w:val="nil"/>
              <w:left w:val="single" w:sz="8" w:space="0" w:color="auto"/>
              <w:bottom w:val="nil"/>
              <w:right w:val="nil"/>
            </w:tcBorders>
            <w:shd w:val="clear" w:color="000000" w:fill="D9D9D9"/>
            <w:vAlign w:val="center"/>
            <w:hideMark/>
          </w:tcPr>
          <w:p w14:paraId="00C75FAD" w14:textId="77777777" w:rsidR="008F6016" w:rsidRPr="005151BE" w:rsidRDefault="008F6016" w:rsidP="008F6016">
            <w:pPr>
              <w:rPr>
                <w:rFonts w:ascii="Arial" w:hAnsi="Arial" w:cs="Arial"/>
                <w:b/>
                <w:bCs/>
                <w:color w:val="000000"/>
              </w:rPr>
            </w:pPr>
            <w:r w:rsidRPr="005151BE">
              <w:rPr>
                <w:rFonts w:ascii="Arial" w:hAnsi="Arial" w:cs="Arial"/>
                <w:b/>
                <w:bCs/>
                <w:color w:val="000000"/>
              </w:rPr>
              <w:t>Current Liabilities</w:t>
            </w:r>
          </w:p>
        </w:tc>
        <w:tc>
          <w:tcPr>
            <w:tcW w:w="1460" w:type="dxa"/>
            <w:tcBorders>
              <w:top w:val="nil"/>
              <w:left w:val="nil"/>
              <w:bottom w:val="nil"/>
              <w:right w:val="single" w:sz="8" w:space="0" w:color="auto"/>
            </w:tcBorders>
            <w:shd w:val="clear" w:color="000000" w:fill="D9D9D9"/>
            <w:vAlign w:val="center"/>
            <w:hideMark/>
          </w:tcPr>
          <w:p w14:paraId="7BAE2B0A" w14:textId="77777777" w:rsidR="008F6016" w:rsidRPr="005151BE" w:rsidRDefault="008F6016" w:rsidP="008F6016">
            <w:pPr>
              <w:rPr>
                <w:rFonts w:ascii="Arial" w:hAnsi="Arial" w:cs="Arial"/>
                <w:b/>
                <w:bCs/>
                <w:color w:val="000000"/>
              </w:rPr>
            </w:pPr>
          </w:p>
        </w:tc>
        <w:tc>
          <w:tcPr>
            <w:tcW w:w="1681" w:type="dxa"/>
            <w:tcBorders>
              <w:top w:val="single" w:sz="8" w:space="0" w:color="auto"/>
              <w:left w:val="nil"/>
              <w:bottom w:val="nil"/>
              <w:right w:val="single" w:sz="8" w:space="0" w:color="auto"/>
            </w:tcBorders>
            <w:shd w:val="clear" w:color="000000" w:fill="D9D9D9"/>
            <w:vAlign w:val="center"/>
            <w:hideMark/>
          </w:tcPr>
          <w:p w14:paraId="63B60B81" w14:textId="7603BD94" w:rsidR="008F6016" w:rsidRPr="005151BE" w:rsidRDefault="008F6016" w:rsidP="008F6016">
            <w:pPr>
              <w:jc w:val="right"/>
              <w:rPr>
                <w:rFonts w:ascii="Arial" w:hAnsi="Arial" w:cs="Arial"/>
                <w:b/>
                <w:bCs/>
                <w:color w:val="000000"/>
              </w:rPr>
            </w:pPr>
            <w:r>
              <w:rPr>
                <w:rFonts w:ascii="Arial" w:hAnsi="Arial" w:cs="Arial"/>
                <w:b/>
                <w:bCs/>
                <w:color w:val="000000"/>
              </w:rPr>
              <w:t>(112,</w:t>
            </w:r>
            <w:r w:rsidR="00986E47">
              <w:rPr>
                <w:rFonts w:ascii="Arial" w:hAnsi="Arial" w:cs="Arial"/>
                <w:b/>
                <w:bCs/>
                <w:color w:val="000000"/>
              </w:rPr>
              <w:t>5</w:t>
            </w:r>
            <w:r w:rsidR="00D33751">
              <w:rPr>
                <w:rFonts w:ascii="Arial" w:hAnsi="Arial" w:cs="Arial"/>
                <w:b/>
                <w:bCs/>
                <w:color w:val="000000"/>
              </w:rPr>
              <w:t>48</w:t>
            </w:r>
            <w:r>
              <w:rPr>
                <w:rFonts w:ascii="Arial" w:hAnsi="Arial" w:cs="Arial"/>
                <w:b/>
                <w:bCs/>
                <w:color w:val="000000"/>
              </w:rPr>
              <w:t>)</w:t>
            </w:r>
          </w:p>
        </w:tc>
      </w:tr>
      <w:tr w:rsidR="008F6016" w:rsidRPr="005151BE" w14:paraId="39D8C5DE" w14:textId="77777777" w:rsidTr="00B27992">
        <w:trPr>
          <w:trHeight w:val="300"/>
        </w:trPr>
        <w:tc>
          <w:tcPr>
            <w:tcW w:w="1550" w:type="dxa"/>
            <w:tcBorders>
              <w:top w:val="nil"/>
              <w:left w:val="single" w:sz="8" w:space="0" w:color="auto"/>
              <w:bottom w:val="nil"/>
              <w:right w:val="nil"/>
            </w:tcBorders>
            <w:vAlign w:val="center"/>
            <w:hideMark/>
          </w:tcPr>
          <w:p w14:paraId="23079510" w14:textId="27F34B1C" w:rsidR="008F6016" w:rsidRPr="005151BE" w:rsidRDefault="008F6016" w:rsidP="008F6016">
            <w:pPr>
              <w:jc w:val="right"/>
              <w:rPr>
                <w:rFonts w:ascii="Arial" w:hAnsi="Arial" w:cs="Arial"/>
                <w:b/>
                <w:bCs/>
                <w:color w:val="000000"/>
              </w:rPr>
            </w:pPr>
            <w:r>
              <w:rPr>
                <w:rFonts w:ascii="Arial" w:hAnsi="Arial" w:cs="Arial"/>
                <w:color w:val="000000"/>
              </w:rPr>
              <w:t> </w:t>
            </w:r>
          </w:p>
        </w:tc>
        <w:tc>
          <w:tcPr>
            <w:tcW w:w="4665" w:type="dxa"/>
            <w:tcBorders>
              <w:top w:val="nil"/>
              <w:left w:val="single" w:sz="8" w:space="0" w:color="auto"/>
              <w:bottom w:val="nil"/>
              <w:right w:val="nil"/>
            </w:tcBorders>
            <w:shd w:val="clear" w:color="000000" w:fill="D9D9D9"/>
            <w:vAlign w:val="center"/>
            <w:hideMark/>
          </w:tcPr>
          <w:p w14:paraId="74EE4E84" w14:textId="77777777" w:rsidR="008F6016" w:rsidRPr="005151BE" w:rsidRDefault="008F6016" w:rsidP="008F6016">
            <w:pPr>
              <w:jc w:val="right"/>
            </w:pPr>
          </w:p>
        </w:tc>
        <w:tc>
          <w:tcPr>
            <w:tcW w:w="1460" w:type="dxa"/>
            <w:tcBorders>
              <w:top w:val="nil"/>
              <w:left w:val="nil"/>
              <w:bottom w:val="nil"/>
              <w:right w:val="single" w:sz="8" w:space="0" w:color="auto"/>
            </w:tcBorders>
            <w:shd w:val="clear" w:color="000000" w:fill="D9D9D9"/>
            <w:vAlign w:val="center"/>
            <w:hideMark/>
          </w:tcPr>
          <w:p w14:paraId="754717A2" w14:textId="77777777" w:rsidR="008F6016" w:rsidRPr="005151BE" w:rsidRDefault="008F6016" w:rsidP="008F6016"/>
        </w:tc>
        <w:tc>
          <w:tcPr>
            <w:tcW w:w="1681" w:type="dxa"/>
            <w:tcBorders>
              <w:top w:val="nil"/>
              <w:left w:val="nil"/>
              <w:bottom w:val="nil"/>
              <w:right w:val="single" w:sz="8" w:space="0" w:color="auto"/>
            </w:tcBorders>
            <w:shd w:val="clear" w:color="000000" w:fill="D9D9D9"/>
            <w:vAlign w:val="center"/>
            <w:hideMark/>
          </w:tcPr>
          <w:p w14:paraId="4362A174" w14:textId="3A3913A9" w:rsidR="008F6016" w:rsidRPr="005151BE" w:rsidRDefault="008F6016" w:rsidP="008F6016">
            <w:pPr>
              <w:jc w:val="center"/>
            </w:pPr>
            <w:r>
              <w:rPr>
                <w:rFonts w:ascii="Arial" w:hAnsi="Arial" w:cs="Arial"/>
                <w:color w:val="000000"/>
              </w:rPr>
              <w:t> </w:t>
            </w:r>
          </w:p>
        </w:tc>
      </w:tr>
      <w:tr w:rsidR="008F6016" w:rsidRPr="005151BE" w14:paraId="2D267D49" w14:textId="77777777" w:rsidTr="00B27992">
        <w:trPr>
          <w:trHeight w:val="300"/>
        </w:trPr>
        <w:tc>
          <w:tcPr>
            <w:tcW w:w="1550" w:type="dxa"/>
            <w:tcBorders>
              <w:top w:val="nil"/>
              <w:left w:val="single" w:sz="8" w:space="0" w:color="auto"/>
              <w:bottom w:val="nil"/>
              <w:right w:val="nil"/>
            </w:tcBorders>
            <w:vAlign w:val="center"/>
            <w:hideMark/>
          </w:tcPr>
          <w:p w14:paraId="4C2BB09C" w14:textId="67353D3D" w:rsidR="008F6016" w:rsidRPr="005151BE" w:rsidRDefault="008F6016" w:rsidP="008F6016">
            <w:pPr>
              <w:jc w:val="right"/>
              <w:rPr>
                <w:rFonts w:ascii="Arial" w:hAnsi="Arial" w:cs="Arial"/>
                <w:color w:val="000000"/>
              </w:rPr>
            </w:pPr>
            <w:r>
              <w:rPr>
                <w:rFonts w:ascii="Arial" w:hAnsi="Arial" w:cs="Arial"/>
                <w:color w:val="000000"/>
              </w:rPr>
              <w:t>(2,096)</w:t>
            </w:r>
          </w:p>
        </w:tc>
        <w:tc>
          <w:tcPr>
            <w:tcW w:w="4665" w:type="dxa"/>
            <w:tcBorders>
              <w:top w:val="nil"/>
              <w:left w:val="single" w:sz="8" w:space="0" w:color="auto"/>
              <w:bottom w:val="nil"/>
              <w:right w:val="nil"/>
            </w:tcBorders>
            <w:shd w:val="clear" w:color="000000" w:fill="D9D9D9"/>
            <w:vAlign w:val="center"/>
            <w:hideMark/>
          </w:tcPr>
          <w:p w14:paraId="43233E24" w14:textId="77777777" w:rsidR="008F6016" w:rsidRPr="005151BE" w:rsidRDefault="008F6016" w:rsidP="008F6016">
            <w:pPr>
              <w:rPr>
                <w:rFonts w:ascii="Arial" w:hAnsi="Arial" w:cs="Arial"/>
                <w:color w:val="000000"/>
              </w:rPr>
            </w:pPr>
            <w:r w:rsidRPr="005151BE">
              <w:rPr>
                <w:rFonts w:ascii="Arial" w:hAnsi="Arial" w:cs="Arial"/>
                <w:color w:val="000000"/>
              </w:rPr>
              <w:t>Long-Term Provisions</w:t>
            </w:r>
          </w:p>
        </w:tc>
        <w:tc>
          <w:tcPr>
            <w:tcW w:w="1460" w:type="dxa"/>
            <w:tcBorders>
              <w:top w:val="nil"/>
              <w:left w:val="nil"/>
              <w:bottom w:val="nil"/>
              <w:right w:val="single" w:sz="8" w:space="0" w:color="auto"/>
            </w:tcBorders>
            <w:shd w:val="clear" w:color="000000" w:fill="D9D9D9"/>
            <w:vAlign w:val="center"/>
            <w:hideMark/>
          </w:tcPr>
          <w:p w14:paraId="3A13D361" w14:textId="77777777" w:rsidR="008F6016" w:rsidRPr="005151BE" w:rsidRDefault="008F6016" w:rsidP="008F6016">
            <w:pP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hideMark/>
          </w:tcPr>
          <w:p w14:paraId="25A10416" w14:textId="26DE3179" w:rsidR="008F6016" w:rsidRPr="005151BE" w:rsidRDefault="008F6016" w:rsidP="008F6016">
            <w:pPr>
              <w:jc w:val="right"/>
              <w:rPr>
                <w:rFonts w:ascii="Arial" w:hAnsi="Arial" w:cs="Arial"/>
                <w:color w:val="000000"/>
              </w:rPr>
            </w:pPr>
            <w:r>
              <w:rPr>
                <w:rFonts w:ascii="Arial" w:hAnsi="Arial" w:cs="Arial"/>
                <w:color w:val="000000"/>
              </w:rPr>
              <w:t>(2,148)</w:t>
            </w:r>
          </w:p>
        </w:tc>
      </w:tr>
      <w:tr w:rsidR="008F6016" w:rsidRPr="005151BE" w14:paraId="5A11E6F5" w14:textId="77777777" w:rsidTr="00B27992">
        <w:trPr>
          <w:trHeight w:val="300"/>
        </w:trPr>
        <w:tc>
          <w:tcPr>
            <w:tcW w:w="1550" w:type="dxa"/>
            <w:tcBorders>
              <w:top w:val="nil"/>
              <w:left w:val="single" w:sz="8" w:space="0" w:color="auto"/>
              <w:bottom w:val="nil"/>
              <w:right w:val="nil"/>
            </w:tcBorders>
            <w:vAlign w:val="center"/>
          </w:tcPr>
          <w:p w14:paraId="408996BC" w14:textId="514113F2" w:rsidR="008F6016" w:rsidRPr="005151BE" w:rsidRDefault="008F6016" w:rsidP="008F6016">
            <w:pPr>
              <w:jc w:val="right"/>
              <w:rPr>
                <w:rFonts w:ascii="Arial" w:hAnsi="Arial" w:cs="Arial"/>
                <w:color w:val="000000"/>
              </w:rPr>
            </w:pPr>
          </w:p>
        </w:tc>
        <w:tc>
          <w:tcPr>
            <w:tcW w:w="4665" w:type="dxa"/>
            <w:tcBorders>
              <w:top w:val="nil"/>
              <w:left w:val="single" w:sz="8" w:space="0" w:color="auto"/>
              <w:bottom w:val="nil"/>
              <w:right w:val="nil"/>
            </w:tcBorders>
            <w:shd w:val="clear" w:color="000000" w:fill="D9D9D9"/>
            <w:vAlign w:val="center"/>
          </w:tcPr>
          <w:p w14:paraId="7968899A" w14:textId="2E6A8289" w:rsidR="008F6016" w:rsidRPr="005151BE" w:rsidRDefault="008F6016" w:rsidP="008F6016">
            <w:pPr>
              <w:rPr>
                <w:rFonts w:ascii="Arial" w:hAnsi="Arial" w:cs="Arial"/>
                <w:color w:val="000000"/>
              </w:rPr>
            </w:pPr>
            <w:r w:rsidRPr="004E2955">
              <w:rPr>
                <w:rFonts w:ascii="Arial" w:hAnsi="Arial" w:cs="Arial"/>
                <w:color w:val="000000"/>
              </w:rPr>
              <w:t>Long-term Lease Liabilities</w:t>
            </w:r>
          </w:p>
        </w:tc>
        <w:tc>
          <w:tcPr>
            <w:tcW w:w="1460" w:type="dxa"/>
            <w:tcBorders>
              <w:top w:val="nil"/>
              <w:left w:val="nil"/>
              <w:bottom w:val="nil"/>
              <w:right w:val="single" w:sz="8" w:space="0" w:color="auto"/>
            </w:tcBorders>
            <w:shd w:val="clear" w:color="000000" w:fill="D9D9D9"/>
            <w:vAlign w:val="center"/>
          </w:tcPr>
          <w:p w14:paraId="3A73DAF2" w14:textId="77777777" w:rsidR="008F6016" w:rsidRPr="005151BE" w:rsidRDefault="008F6016" w:rsidP="008F6016">
            <w:pPr>
              <w:jc w:val="cente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tcPr>
          <w:p w14:paraId="09A35574" w14:textId="2BCBD1BB" w:rsidR="008F6016" w:rsidRPr="005151BE" w:rsidRDefault="008F6016" w:rsidP="008F6016">
            <w:pPr>
              <w:jc w:val="right"/>
              <w:rPr>
                <w:rFonts w:ascii="Arial" w:hAnsi="Arial" w:cs="Arial"/>
                <w:color w:val="000000"/>
              </w:rPr>
            </w:pPr>
            <w:r>
              <w:rPr>
                <w:rFonts w:ascii="Arial" w:hAnsi="Arial" w:cs="Arial"/>
                <w:color w:val="000000"/>
              </w:rPr>
              <w:t>(1,943)</w:t>
            </w:r>
          </w:p>
        </w:tc>
      </w:tr>
      <w:tr w:rsidR="008F6016" w:rsidRPr="005151BE" w14:paraId="66A537D7" w14:textId="77777777" w:rsidTr="00B27992">
        <w:trPr>
          <w:trHeight w:val="300"/>
        </w:trPr>
        <w:tc>
          <w:tcPr>
            <w:tcW w:w="1550" w:type="dxa"/>
            <w:tcBorders>
              <w:top w:val="nil"/>
              <w:left w:val="single" w:sz="8" w:space="0" w:color="auto"/>
              <w:bottom w:val="nil"/>
              <w:right w:val="nil"/>
            </w:tcBorders>
            <w:vAlign w:val="center"/>
            <w:hideMark/>
          </w:tcPr>
          <w:p w14:paraId="38A12353" w14:textId="667F0574" w:rsidR="008F6016" w:rsidRPr="005151BE" w:rsidRDefault="008F6016" w:rsidP="008F6016">
            <w:pPr>
              <w:jc w:val="right"/>
              <w:rPr>
                <w:rFonts w:ascii="Arial" w:hAnsi="Arial" w:cs="Arial"/>
                <w:color w:val="000000"/>
              </w:rPr>
            </w:pPr>
            <w:r>
              <w:rPr>
                <w:rFonts w:ascii="Arial" w:hAnsi="Arial" w:cs="Arial"/>
                <w:color w:val="000000"/>
              </w:rPr>
              <w:t>(45,888)</w:t>
            </w:r>
          </w:p>
        </w:tc>
        <w:tc>
          <w:tcPr>
            <w:tcW w:w="4665" w:type="dxa"/>
            <w:tcBorders>
              <w:top w:val="nil"/>
              <w:left w:val="single" w:sz="8" w:space="0" w:color="auto"/>
              <w:bottom w:val="nil"/>
              <w:right w:val="nil"/>
            </w:tcBorders>
            <w:shd w:val="clear" w:color="000000" w:fill="D9D9D9"/>
            <w:vAlign w:val="center"/>
            <w:hideMark/>
          </w:tcPr>
          <w:p w14:paraId="18D4FDC6" w14:textId="77777777" w:rsidR="008F6016" w:rsidRPr="005151BE" w:rsidRDefault="008F6016" w:rsidP="008F6016">
            <w:pPr>
              <w:rPr>
                <w:rFonts w:ascii="Arial" w:hAnsi="Arial" w:cs="Arial"/>
                <w:color w:val="000000"/>
              </w:rPr>
            </w:pPr>
            <w:r w:rsidRPr="005151BE">
              <w:rPr>
                <w:rFonts w:ascii="Arial" w:hAnsi="Arial" w:cs="Arial"/>
                <w:color w:val="000000"/>
              </w:rPr>
              <w:t>Long Term Borrowing</w:t>
            </w:r>
          </w:p>
        </w:tc>
        <w:tc>
          <w:tcPr>
            <w:tcW w:w="1460" w:type="dxa"/>
            <w:tcBorders>
              <w:top w:val="nil"/>
              <w:left w:val="nil"/>
              <w:bottom w:val="nil"/>
              <w:right w:val="single" w:sz="8" w:space="0" w:color="auto"/>
            </w:tcBorders>
            <w:shd w:val="clear" w:color="000000" w:fill="D9D9D9"/>
            <w:vAlign w:val="center"/>
            <w:hideMark/>
          </w:tcPr>
          <w:p w14:paraId="3E184782" w14:textId="4F535623" w:rsidR="008F6016" w:rsidRPr="005151BE" w:rsidRDefault="008F6016" w:rsidP="008F6016">
            <w:pPr>
              <w:jc w:val="center"/>
              <w:rPr>
                <w:rFonts w:ascii="Arial" w:hAnsi="Arial" w:cs="Arial"/>
                <w:color w:val="000000"/>
              </w:rPr>
            </w:pPr>
            <w:r w:rsidRPr="005151BE">
              <w:rPr>
                <w:rFonts w:ascii="Arial" w:hAnsi="Arial" w:cs="Arial"/>
                <w:color w:val="000000"/>
              </w:rPr>
              <w:t>2</w:t>
            </w:r>
            <w:r w:rsidR="00D3507C">
              <w:rPr>
                <w:rFonts w:ascii="Arial" w:hAnsi="Arial" w:cs="Arial"/>
                <w:color w:val="000000"/>
              </w:rPr>
              <w:t>9</w:t>
            </w:r>
          </w:p>
        </w:tc>
        <w:tc>
          <w:tcPr>
            <w:tcW w:w="1681" w:type="dxa"/>
            <w:tcBorders>
              <w:top w:val="nil"/>
              <w:left w:val="nil"/>
              <w:bottom w:val="nil"/>
              <w:right w:val="single" w:sz="8" w:space="0" w:color="auto"/>
            </w:tcBorders>
            <w:shd w:val="clear" w:color="000000" w:fill="D9D9D9"/>
            <w:vAlign w:val="center"/>
            <w:hideMark/>
          </w:tcPr>
          <w:p w14:paraId="447C1101" w14:textId="550A1E42" w:rsidR="008F6016" w:rsidRPr="005151BE" w:rsidRDefault="008F6016" w:rsidP="008F6016">
            <w:pPr>
              <w:jc w:val="right"/>
              <w:rPr>
                <w:rFonts w:ascii="Arial" w:hAnsi="Arial" w:cs="Arial"/>
                <w:color w:val="000000"/>
              </w:rPr>
            </w:pPr>
            <w:r>
              <w:rPr>
                <w:rFonts w:ascii="Arial" w:hAnsi="Arial" w:cs="Arial"/>
                <w:color w:val="000000"/>
              </w:rPr>
              <w:t>(39,413)</w:t>
            </w:r>
          </w:p>
        </w:tc>
      </w:tr>
      <w:tr w:rsidR="008F6016" w:rsidRPr="005151BE" w14:paraId="35D084C0" w14:textId="77777777" w:rsidTr="00B27992">
        <w:trPr>
          <w:trHeight w:val="300"/>
        </w:trPr>
        <w:tc>
          <w:tcPr>
            <w:tcW w:w="1550" w:type="dxa"/>
            <w:tcBorders>
              <w:top w:val="nil"/>
              <w:left w:val="single" w:sz="8" w:space="0" w:color="auto"/>
              <w:bottom w:val="single" w:sz="8" w:space="0" w:color="auto"/>
              <w:right w:val="nil"/>
            </w:tcBorders>
            <w:vAlign w:val="center"/>
            <w:hideMark/>
          </w:tcPr>
          <w:p w14:paraId="6B5C2332" w14:textId="48A71BE8" w:rsidR="008F6016" w:rsidRPr="005151BE" w:rsidRDefault="008F6016" w:rsidP="008F6016">
            <w:pPr>
              <w:jc w:val="right"/>
              <w:rPr>
                <w:rFonts w:ascii="Arial" w:hAnsi="Arial" w:cs="Arial"/>
                <w:color w:val="000000"/>
              </w:rPr>
            </w:pPr>
            <w:r>
              <w:rPr>
                <w:rFonts w:ascii="Arial" w:hAnsi="Arial" w:cs="Arial"/>
                <w:color w:val="000000"/>
              </w:rPr>
              <w:t>(2,8</w:t>
            </w:r>
            <w:r w:rsidR="00C00CC6">
              <w:rPr>
                <w:rFonts w:ascii="Arial" w:hAnsi="Arial" w:cs="Arial"/>
                <w:color w:val="000000"/>
              </w:rPr>
              <w:t>51,978</w:t>
            </w:r>
            <w:r>
              <w:rPr>
                <w:rFonts w:ascii="Arial" w:hAnsi="Arial" w:cs="Arial"/>
                <w:color w:val="000000"/>
              </w:rPr>
              <w:t>)</w:t>
            </w:r>
          </w:p>
        </w:tc>
        <w:tc>
          <w:tcPr>
            <w:tcW w:w="4665" w:type="dxa"/>
            <w:tcBorders>
              <w:top w:val="nil"/>
              <w:left w:val="single" w:sz="8" w:space="0" w:color="auto"/>
              <w:bottom w:val="nil"/>
              <w:right w:val="nil"/>
            </w:tcBorders>
            <w:shd w:val="clear" w:color="000000" w:fill="D9D9D9"/>
            <w:vAlign w:val="center"/>
            <w:hideMark/>
          </w:tcPr>
          <w:p w14:paraId="48BF2B2D" w14:textId="77777777" w:rsidR="008F6016" w:rsidRPr="005151BE" w:rsidRDefault="008F6016" w:rsidP="008F6016">
            <w:pPr>
              <w:rPr>
                <w:rFonts w:ascii="Arial" w:hAnsi="Arial" w:cs="Arial"/>
                <w:color w:val="000000"/>
              </w:rPr>
            </w:pPr>
            <w:r w:rsidRPr="005151BE">
              <w:rPr>
                <w:rFonts w:ascii="Arial" w:hAnsi="Arial" w:cs="Arial"/>
                <w:color w:val="000000"/>
              </w:rPr>
              <w:t>Pensions' Liability</w:t>
            </w:r>
          </w:p>
        </w:tc>
        <w:tc>
          <w:tcPr>
            <w:tcW w:w="1460" w:type="dxa"/>
            <w:tcBorders>
              <w:top w:val="nil"/>
              <w:left w:val="nil"/>
              <w:bottom w:val="nil"/>
              <w:right w:val="single" w:sz="8" w:space="0" w:color="auto"/>
            </w:tcBorders>
            <w:shd w:val="clear" w:color="000000" w:fill="D9D9D9"/>
            <w:vAlign w:val="center"/>
            <w:hideMark/>
          </w:tcPr>
          <w:p w14:paraId="68E83A7B" w14:textId="7C2974B4" w:rsidR="008F6016" w:rsidRPr="005151BE" w:rsidRDefault="00D3507C" w:rsidP="008F6016">
            <w:pPr>
              <w:jc w:val="center"/>
              <w:rPr>
                <w:rFonts w:ascii="Arial" w:hAnsi="Arial" w:cs="Arial"/>
                <w:color w:val="000000"/>
              </w:rPr>
            </w:pPr>
            <w:r>
              <w:rPr>
                <w:rFonts w:ascii="Arial" w:hAnsi="Arial" w:cs="Arial"/>
                <w:color w:val="000000"/>
              </w:rPr>
              <w:t>30</w:t>
            </w:r>
          </w:p>
        </w:tc>
        <w:tc>
          <w:tcPr>
            <w:tcW w:w="1681" w:type="dxa"/>
            <w:tcBorders>
              <w:top w:val="nil"/>
              <w:left w:val="nil"/>
              <w:bottom w:val="single" w:sz="8" w:space="0" w:color="auto"/>
              <w:right w:val="single" w:sz="8" w:space="0" w:color="auto"/>
            </w:tcBorders>
            <w:shd w:val="clear" w:color="000000" w:fill="D9D9D9"/>
            <w:vAlign w:val="center"/>
            <w:hideMark/>
          </w:tcPr>
          <w:p w14:paraId="3018786C" w14:textId="70BFA42A" w:rsidR="008F6016" w:rsidRPr="00B917A3" w:rsidRDefault="008F6016" w:rsidP="008F6016">
            <w:pPr>
              <w:jc w:val="right"/>
              <w:rPr>
                <w:rFonts w:ascii="Arial" w:hAnsi="Arial" w:cs="Arial"/>
                <w:color w:val="000000"/>
              </w:rPr>
            </w:pPr>
            <w:r>
              <w:rPr>
                <w:rFonts w:ascii="Arial" w:hAnsi="Arial" w:cs="Arial"/>
                <w:color w:val="000000"/>
              </w:rPr>
              <w:t>(2,489,554)</w:t>
            </w:r>
          </w:p>
        </w:tc>
      </w:tr>
      <w:tr w:rsidR="008F6016" w:rsidRPr="005151BE" w14:paraId="4CB63CF6" w14:textId="77777777" w:rsidTr="00B27992">
        <w:trPr>
          <w:trHeight w:val="300"/>
        </w:trPr>
        <w:tc>
          <w:tcPr>
            <w:tcW w:w="1550" w:type="dxa"/>
            <w:tcBorders>
              <w:top w:val="nil"/>
              <w:left w:val="single" w:sz="8" w:space="0" w:color="auto"/>
              <w:bottom w:val="nil"/>
              <w:right w:val="nil"/>
            </w:tcBorders>
            <w:vAlign w:val="center"/>
            <w:hideMark/>
          </w:tcPr>
          <w:p w14:paraId="1B819876" w14:textId="4DE669D3" w:rsidR="008F6016" w:rsidRPr="005151BE" w:rsidRDefault="008F6016" w:rsidP="008F6016">
            <w:pPr>
              <w:jc w:val="right"/>
              <w:rPr>
                <w:rFonts w:ascii="Arial" w:hAnsi="Arial" w:cs="Arial"/>
                <w:b/>
                <w:bCs/>
                <w:color w:val="000000"/>
              </w:rPr>
            </w:pPr>
            <w:r>
              <w:rPr>
                <w:rFonts w:ascii="Arial" w:hAnsi="Arial" w:cs="Arial"/>
                <w:b/>
                <w:bCs/>
                <w:color w:val="000000"/>
              </w:rPr>
              <w:t>(2,899,9</w:t>
            </w:r>
            <w:r w:rsidR="00C00CC6">
              <w:rPr>
                <w:rFonts w:ascii="Arial" w:hAnsi="Arial" w:cs="Arial"/>
                <w:b/>
                <w:bCs/>
                <w:color w:val="000000"/>
              </w:rPr>
              <w:t>61</w:t>
            </w:r>
            <w:r>
              <w:rPr>
                <w:rFonts w:ascii="Arial" w:hAnsi="Arial" w:cs="Arial"/>
                <w:b/>
                <w:bCs/>
                <w:color w:val="000000"/>
              </w:rPr>
              <w:t>)</w:t>
            </w:r>
          </w:p>
        </w:tc>
        <w:tc>
          <w:tcPr>
            <w:tcW w:w="4665" w:type="dxa"/>
            <w:tcBorders>
              <w:top w:val="nil"/>
              <w:left w:val="single" w:sz="8" w:space="0" w:color="auto"/>
              <w:bottom w:val="nil"/>
              <w:right w:val="nil"/>
            </w:tcBorders>
            <w:shd w:val="clear" w:color="000000" w:fill="D9D9D9"/>
            <w:vAlign w:val="center"/>
            <w:hideMark/>
          </w:tcPr>
          <w:p w14:paraId="55C2B11F" w14:textId="77777777" w:rsidR="008F6016" w:rsidRPr="005151BE" w:rsidRDefault="008F6016" w:rsidP="008F6016">
            <w:pPr>
              <w:rPr>
                <w:rFonts w:ascii="Arial" w:hAnsi="Arial" w:cs="Arial"/>
                <w:b/>
                <w:bCs/>
                <w:color w:val="000000"/>
              </w:rPr>
            </w:pPr>
            <w:r w:rsidRPr="005151BE">
              <w:rPr>
                <w:rFonts w:ascii="Arial" w:hAnsi="Arial" w:cs="Arial"/>
                <w:b/>
                <w:bCs/>
                <w:color w:val="000000"/>
              </w:rPr>
              <w:t>Long Term Liabilities</w:t>
            </w:r>
          </w:p>
        </w:tc>
        <w:tc>
          <w:tcPr>
            <w:tcW w:w="1460" w:type="dxa"/>
            <w:tcBorders>
              <w:top w:val="nil"/>
              <w:left w:val="nil"/>
              <w:bottom w:val="nil"/>
              <w:right w:val="single" w:sz="8" w:space="0" w:color="auto"/>
            </w:tcBorders>
            <w:shd w:val="clear" w:color="000000" w:fill="D9D9D9"/>
            <w:vAlign w:val="center"/>
            <w:hideMark/>
          </w:tcPr>
          <w:p w14:paraId="2911CC54" w14:textId="77777777" w:rsidR="008F6016" w:rsidRPr="005151BE" w:rsidRDefault="008F6016" w:rsidP="008F6016">
            <w:pPr>
              <w:rPr>
                <w:rFonts w:ascii="Arial" w:hAnsi="Arial" w:cs="Arial"/>
                <w:b/>
                <w:bCs/>
                <w:color w:val="000000"/>
              </w:rPr>
            </w:pPr>
          </w:p>
        </w:tc>
        <w:tc>
          <w:tcPr>
            <w:tcW w:w="1681" w:type="dxa"/>
            <w:tcBorders>
              <w:top w:val="nil"/>
              <w:left w:val="nil"/>
              <w:bottom w:val="nil"/>
              <w:right w:val="single" w:sz="8" w:space="0" w:color="auto"/>
            </w:tcBorders>
            <w:shd w:val="clear" w:color="000000" w:fill="D9D9D9"/>
            <w:vAlign w:val="center"/>
            <w:hideMark/>
          </w:tcPr>
          <w:p w14:paraId="2AD872BB" w14:textId="2C729624" w:rsidR="008F6016" w:rsidRPr="00B917A3" w:rsidRDefault="008F6016" w:rsidP="008F6016">
            <w:pPr>
              <w:jc w:val="right"/>
              <w:rPr>
                <w:rFonts w:ascii="Arial" w:hAnsi="Arial" w:cs="Arial"/>
                <w:b/>
                <w:bCs/>
                <w:color w:val="000000"/>
              </w:rPr>
            </w:pPr>
            <w:r>
              <w:rPr>
                <w:rFonts w:ascii="Arial" w:hAnsi="Arial" w:cs="Arial"/>
                <w:b/>
                <w:bCs/>
                <w:color w:val="000000"/>
              </w:rPr>
              <w:t>(2,533,058)</w:t>
            </w:r>
          </w:p>
        </w:tc>
      </w:tr>
      <w:tr w:rsidR="008F6016" w:rsidRPr="005151BE" w14:paraId="4E90F84F" w14:textId="77777777" w:rsidTr="00B27992">
        <w:trPr>
          <w:trHeight w:val="315"/>
        </w:trPr>
        <w:tc>
          <w:tcPr>
            <w:tcW w:w="1550" w:type="dxa"/>
            <w:tcBorders>
              <w:top w:val="nil"/>
              <w:left w:val="single" w:sz="8" w:space="0" w:color="auto"/>
              <w:bottom w:val="single" w:sz="8" w:space="0" w:color="auto"/>
              <w:right w:val="nil"/>
            </w:tcBorders>
            <w:vAlign w:val="center"/>
            <w:hideMark/>
          </w:tcPr>
          <w:p w14:paraId="064D78B8" w14:textId="33E48E99" w:rsidR="008F6016" w:rsidRPr="005151BE" w:rsidRDefault="008F6016" w:rsidP="008F6016">
            <w:pPr>
              <w:jc w:val="right"/>
              <w:rPr>
                <w:rFonts w:ascii="Arial" w:hAnsi="Arial" w:cs="Arial"/>
                <w:b/>
                <w:bCs/>
                <w:color w:val="000000"/>
              </w:rPr>
            </w:pPr>
            <w:r>
              <w:rPr>
                <w:rFonts w:ascii="Arial" w:hAnsi="Arial" w:cs="Arial"/>
                <w:color w:val="000000"/>
              </w:rPr>
              <w:t> </w:t>
            </w:r>
          </w:p>
        </w:tc>
        <w:tc>
          <w:tcPr>
            <w:tcW w:w="4665" w:type="dxa"/>
            <w:tcBorders>
              <w:top w:val="nil"/>
              <w:left w:val="single" w:sz="8" w:space="0" w:color="auto"/>
              <w:bottom w:val="nil"/>
              <w:right w:val="nil"/>
            </w:tcBorders>
            <w:shd w:val="clear" w:color="000000" w:fill="D9D9D9"/>
            <w:vAlign w:val="center"/>
            <w:hideMark/>
          </w:tcPr>
          <w:p w14:paraId="651CEC08" w14:textId="77777777" w:rsidR="008F6016" w:rsidRPr="005151BE" w:rsidRDefault="008F6016" w:rsidP="008F6016">
            <w:pPr>
              <w:jc w:val="right"/>
            </w:pPr>
          </w:p>
        </w:tc>
        <w:tc>
          <w:tcPr>
            <w:tcW w:w="1460" w:type="dxa"/>
            <w:tcBorders>
              <w:top w:val="nil"/>
              <w:left w:val="nil"/>
              <w:bottom w:val="nil"/>
              <w:right w:val="single" w:sz="8" w:space="0" w:color="auto"/>
            </w:tcBorders>
            <w:shd w:val="clear" w:color="000000" w:fill="D9D9D9"/>
            <w:vAlign w:val="center"/>
            <w:hideMark/>
          </w:tcPr>
          <w:p w14:paraId="2197C9CC" w14:textId="77777777" w:rsidR="008F6016" w:rsidRPr="005151BE" w:rsidRDefault="008F6016" w:rsidP="008F6016"/>
        </w:tc>
        <w:tc>
          <w:tcPr>
            <w:tcW w:w="1681" w:type="dxa"/>
            <w:tcBorders>
              <w:top w:val="nil"/>
              <w:left w:val="nil"/>
              <w:bottom w:val="single" w:sz="8" w:space="0" w:color="auto"/>
              <w:right w:val="single" w:sz="8" w:space="0" w:color="auto"/>
            </w:tcBorders>
            <w:shd w:val="clear" w:color="000000" w:fill="D9D9D9"/>
            <w:vAlign w:val="center"/>
            <w:hideMark/>
          </w:tcPr>
          <w:p w14:paraId="5725573F" w14:textId="0BC0AE52" w:rsidR="008F6016" w:rsidRPr="00B917A3" w:rsidRDefault="008F6016" w:rsidP="008F6016">
            <w:pPr>
              <w:jc w:val="center"/>
            </w:pPr>
            <w:r>
              <w:rPr>
                <w:rFonts w:ascii="Arial" w:hAnsi="Arial" w:cs="Arial"/>
                <w:color w:val="000000"/>
              </w:rPr>
              <w:t> </w:t>
            </w:r>
          </w:p>
        </w:tc>
      </w:tr>
      <w:tr w:rsidR="008F6016" w:rsidRPr="00ED243A" w14:paraId="03B20B00" w14:textId="77777777" w:rsidTr="00B27992">
        <w:trPr>
          <w:trHeight w:val="300"/>
        </w:trPr>
        <w:tc>
          <w:tcPr>
            <w:tcW w:w="1550" w:type="dxa"/>
            <w:tcBorders>
              <w:top w:val="nil"/>
              <w:left w:val="single" w:sz="8" w:space="0" w:color="auto"/>
              <w:bottom w:val="double" w:sz="6" w:space="0" w:color="auto"/>
              <w:right w:val="nil"/>
            </w:tcBorders>
            <w:vAlign w:val="center"/>
            <w:hideMark/>
          </w:tcPr>
          <w:p w14:paraId="2A92C22C" w14:textId="1B7695A0" w:rsidR="008F6016" w:rsidRPr="00E06C8F" w:rsidRDefault="008F6016" w:rsidP="008F6016">
            <w:pPr>
              <w:jc w:val="right"/>
              <w:rPr>
                <w:rFonts w:ascii="Arial" w:hAnsi="Arial" w:cs="Arial"/>
                <w:b/>
                <w:bCs/>
                <w:color w:val="000000"/>
              </w:rPr>
            </w:pPr>
            <w:r>
              <w:rPr>
                <w:rFonts w:ascii="Arial" w:hAnsi="Arial" w:cs="Arial"/>
                <w:b/>
                <w:bCs/>
                <w:color w:val="000000"/>
              </w:rPr>
              <w:t>(2,67</w:t>
            </w:r>
            <w:r w:rsidR="00C00CC6">
              <w:rPr>
                <w:rFonts w:ascii="Arial" w:hAnsi="Arial" w:cs="Arial"/>
                <w:b/>
                <w:bCs/>
                <w:color w:val="000000"/>
              </w:rPr>
              <w:t>3,968</w:t>
            </w:r>
            <w:r>
              <w:rPr>
                <w:rFonts w:ascii="Arial" w:hAnsi="Arial" w:cs="Arial"/>
                <w:b/>
                <w:bCs/>
                <w:color w:val="000000"/>
              </w:rPr>
              <w:t>)</w:t>
            </w:r>
          </w:p>
        </w:tc>
        <w:tc>
          <w:tcPr>
            <w:tcW w:w="4665" w:type="dxa"/>
            <w:tcBorders>
              <w:top w:val="nil"/>
              <w:left w:val="single" w:sz="8" w:space="0" w:color="auto"/>
              <w:bottom w:val="nil"/>
              <w:right w:val="nil"/>
            </w:tcBorders>
            <w:shd w:val="clear" w:color="000000" w:fill="D9D9D9"/>
            <w:vAlign w:val="center"/>
            <w:hideMark/>
          </w:tcPr>
          <w:p w14:paraId="5B2FD2CC" w14:textId="110E95B7" w:rsidR="008F6016" w:rsidRPr="005151BE" w:rsidRDefault="008F6016" w:rsidP="008F6016">
            <w:pPr>
              <w:rPr>
                <w:rFonts w:ascii="Arial" w:hAnsi="Arial" w:cs="Arial"/>
                <w:b/>
                <w:bCs/>
                <w:color w:val="000000"/>
              </w:rPr>
            </w:pPr>
            <w:r w:rsidRPr="005151BE">
              <w:rPr>
                <w:rFonts w:ascii="Arial" w:hAnsi="Arial" w:cs="Arial"/>
                <w:b/>
                <w:bCs/>
                <w:color w:val="000000"/>
              </w:rPr>
              <w:t>Net Assets</w:t>
            </w:r>
            <w:r w:rsidR="00EF38E6">
              <w:rPr>
                <w:rFonts w:ascii="Arial" w:hAnsi="Arial" w:cs="Arial"/>
                <w:b/>
                <w:bCs/>
                <w:color w:val="000000"/>
              </w:rPr>
              <w:t>/(Liabilities)</w:t>
            </w:r>
          </w:p>
        </w:tc>
        <w:tc>
          <w:tcPr>
            <w:tcW w:w="1460" w:type="dxa"/>
            <w:tcBorders>
              <w:top w:val="nil"/>
              <w:left w:val="nil"/>
              <w:bottom w:val="nil"/>
              <w:right w:val="single" w:sz="8" w:space="0" w:color="auto"/>
            </w:tcBorders>
            <w:shd w:val="clear" w:color="000000" w:fill="D9D9D9"/>
            <w:vAlign w:val="center"/>
            <w:hideMark/>
          </w:tcPr>
          <w:p w14:paraId="54B6BA85" w14:textId="77777777" w:rsidR="008F6016" w:rsidRPr="005151BE" w:rsidRDefault="008F6016" w:rsidP="008F6016">
            <w:pPr>
              <w:rPr>
                <w:rFonts w:ascii="Arial" w:hAnsi="Arial" w:cs="Arial"/>
                <w:b/>
                <w:bCs/>
                <w:color w:val="000000"/>
              </w:rPr>
            </w:pPr>
          </w:p>
        </w:tc>
        <w:tc>
          <w:tcPr>
            <w:tcW w:w="1681" w:type="dxa"/>
            <w:tcBorders>
              <w:top w:val="nil"/>
              <w:left w:val="nil"/>
              <w:bottom w:val="double" w:sz="6" w:space="0" w:color="auto"/>
              <w:right w:val="single" w:sz="8" w:space="0" w:color="auto"/>
            </w:tcBorders>
            <w:shd w:val="clear" w:color="000000" w:fill="D9D9D9"/>
            <w:vAlign w:val="center"/>
            <w:hideMark/>
          </w:tcPr>
          <w:p w14:paraId="011E5511" w14:textId="088CCDE8" w:rsidR="008F6016" w:rsidRPr="00B917A3" w:rsidRDefault="008F6016" w:rsidP="008F6016">
            <w:pPr>
              <w:jc w:val="right"/>
              <w:rPr>
                <w:rFonts w:ascii="Arial" w:hAnsi="Arial" w:cs="Arial"/>
                <w:b/>
                <w:bCs/>
                <w:color w:val="000000"/>
              </w:rPr>
            </w:pPr>
            <w:r>
              <w:rPr>
                <w:rFonts w:ascii="Arial" w:hAnsi="Arial" w:cs="Arial"/>
                <w:b/>
                <w:bCs/>
                <w:color w:val="000000"/>
              </w:rPr>
              <w:t>(2,304,1</w:t>
            </w:r>
            <w:r w:rsidR="00D33751">
              <w:rPr>
                <w:rFonts w:ascii="Arial" w:hAnsi="Arial" w:cs="Arial"/>
                <w:b/>
                <w:bCs/>
                <w:color w:val="000000"/>
              </w:rPr>
              <w:t>45</w:t>
            </w:r>
            <w:r>
              <w:rPr>
                <w:rFonts w:ascii="Arial" w:hAnsi="Arial" w:cs="Arial"/>
                <w:b/>
                <w:bCs/>
                <w:color w:val="000000"/>
              </w:rPr>
              <w:t>)</w:t>
            </w:r>
          </w:p>
        </w:tc>
      </w:tr>
      <w:tr w:rsidR="008F6016" w:rsidRPr="005151BE" w14:paraId="6AD29ED9" w14:textId="77777777" w:rsidTr="00B27992">
        <w:trPr>
          <w:trHeight w:val="315"/>
        </w:trPr>
        <w:tc>
          <w:tcPr>
            <w:tcW w:w="1550" w:type="dxa"/>
            <w:tcBorders>
              <w:top w:val="nil"/>
              <w:left w:val="single" w:sz="8" w:space="0" w:color="auto"/>
              <w:bottom w:val="nil"/>
              <w:right w:val="nil"/>
            </w:tcBorders>
            <w:vAlign w:val="center"/>
            <w:hideMark/>
          </w:tcPr>
          <w:p w14:paraId="605CBDB7" w14:textId="6F67B28F" w:rsidR="008F6016" w:rsidRPr="005151BE" w:rsidRDefault="008F6016" w:rsidP="008F6016">
            <w:pPr>
              <w:jc w:val="right"/>
              <w:rPr>
                <w:rFonts w:ascii="Arial" w:hAnsi="Arial" w:cs="Arial"/>
                <w:b/>
                <w:bCs/>
                <w:color w:val="000000"/>
              </w:rPr>
            </w:pPr>
            <w:r>
              <w:rPr>
                <w:rFonts w:ascii="Arial" w:hAnsi="Arial" w:cs="Arial"/>
                <w:color w:val="000000"/>
              </w:rPr>
              <w:t> </w:t>
            </w:r>
          </w:p>
        </w:tc>
        <w:tc>
          <w:tcPr>
            <w:tcW w:w="4665" w:type="dxa"/>
            <w:tcBorders>
              <w:top w:val="nil"/>
              <w:left w:val="single" w:sz="8" w:space="0" w:color="auto"/>
              <w:bottom w:val="nil"/>
              <w:right w:val="nil"/>
            </w:tcBorders>
            <w:shd w:val="clear" w:color="000000" w:fill="D9D9D9"/>
            <w:vAlign w:val="center"/>
            <w:hideMark/>
          </w:tcPr>
          <w:p w14:paraId="60E6FC17" w14:textId="77777777" w:rsidR="008F6016" w:rsidRPr="005151BE" w:rsidRDefault="008F6016" w:rsidP="008F6016">
            <w:pPr>
              <w:jc w:val="right"/>
            </w:pPr>
          </w:p>
        </w:tc>
        <w:tc>
          <w:tcPr>
            <w:tcW w:w="1460" w:type="dxa"/>
            <w:tcBorders>
              <w:top w:val="nil"/>
              <w:left w:val="nil"/>
              <w:bottom w:val="nil"/>
              <w:right w:val="single" w:sz="8" w:space="0" w:color="auto"/>
            </w:tcBorders>
            <w:shd w:val="clear" w:color="000000" w:fill="D9D9D9"/>
            <w:vAlign w:val="center"/>
            <w:hideMark/>
          </w:tcPr>
          <w:p w14:paraId="1861DA72" w14:textId="77777777" w:rsidR="008F6016" w:rsidRPr="005151BE" w:rsidRDefault="008F6016" w:rsidP="008F6016"/>
        </w:tc>
        <w:tc>
          <w:tcPr>
            <w:tcW w:w="1681" w:type="dxa"/>
            <w:tcBorders>
              <w:top w:val="nil"/>
              <w:left w:val="nil"/>
              <w:bottom w:val="nil"/>
              <w:right w:val="single" w:sz="8" w:space="0" w:color="auto"/>
            </w:tcBorders>
            <w:shd w:val="clear" w:color="000000" w:fill="D9D9D9"/>
            <w:vAlign w:val="center"/>
            <w:hideMark/>
          </w:tcPr>
          <w:p w14:paraId="7D0603F4" w14:textId="224C3275" w:rsidR="008F6016" w:rsidRPr="00B917A3" w:rsidRDefault="008F6016" w:rsidP="008F6016">
            <w:pPr>
              <w:jc w:val="center"/>
            </w:pPr>
            <w:r>
              <w:rPr>
                <w:rFonts w:ascii="Arial" w:hAnsi="Arial" w:cs="Arial"/>
                <w:color w:val="000000"/>
              </w:rPr>
              <w:t> </w:t>
            </w:r>
          </w:p>
        </w:tc>
      </w:tr>
      <w:tr w:rsidR="008F6016" w:rsidRPr="005151BE" w14:paraId="7C778283" w14:textId="77777777" w:rsidTr="00B27992">
        <w:trPr>
          <w:trHeight w:val="300"/>
        </w:trPr>
        <w:tc>
          <w:tcPr>
            <w:tcW w:w="1550" w:type="dxa"/>
            <w:tcBorders>
              <w:top w:val="nil"/>
              <w:left w:val="single" w:sz="8" w:space="0" w:color="auto"/>
              <w:bottom w:val="nil"/>
              <w:right w:val="nil"/>
            </w:tcBorders>
            <w:vAlign w:val="center"/>
            <w:hideMark/>
          </w:tcPr>
          <w:p w14:paraId="2D24EABC" w14:textId="2F56EA07" w:rsidR="008F6016" w:rsidRPr="004D5349" w:rsidRDefault="008F6016" w:rsidP="008F6016">
            <w:pPr>
              <w:jc w:val="right"/>
              <w:rPr>
                <w:rFonts w:ascii="Arial" w:hAnsi="Arial" w:cs="Arial"/>
                <w:color w:val="000000"/>
                <w:highlight w:val="yellow"/>
              </w:rPr>
            </w:pPr>
            <w:r w:rsidRPr="00C00CC6">
              <w:rPr>
                <w:rFonts w:ascii="Arial" w:hAnsi="Arial" w:cs="Arial"/>
                <w:color w:val="000000"/>
              </w:rPr>
              <w:t>(31,2</w:t>
            </w:r>
            <w:r w:rsidR="00C00CC6">
              <w:rPr>
                <w:rFonts w:ascii="Arial" w:hAnsi="Arial" w:cs="Arial"/>
                <w:color w:val="000000"/>
              </w:rPr>
              <w:t>85</w:t>
            </w:r>
            <w:r w:rsidRPr="00C00CC6">
              <w:rPr>
                <w:rFonts w:ascii="Arial" w:hAnsi="Arial" w:cs="Arial"/>
                <w:color w:val="000000"/>
              </w:rPr>
              <w:t>)</w:t>
            </w:r>
          </w:p>
        </w:tc>
        <w:tc>
          <w:tcPr>
            <w:tcW w:w="4665" w:type="dxa"/>
            <w:tcBorders>
              <w:top w:val="nil"/>
              <w:left w:val="single" w:sz="8" w:space="0" w:color="auto"/>
              <w:bottom w:val="nil"/>
              <w:right w:val="nil"/>
            </w:tcBorders>
            <w:shd w:val="clear" w:color="000000" w:fill="D9D9D9"/>
            <w:vAlign w:val="center"/>
            <w:hideMark/>
          </w:tcPr>
          <w:p w14:paraId="7C4E0A88" w14:textId="77777777" w:rsidR="008F6016" w:rsidRPr="005151BE" w:rsidRDefault="008F6016" w:rsidP="008F6016">
            <w:pPr>
              <w:rPr>
                <w:rFonts w:ascii="Arial" w:hAnsi="Arial" w:cs="Arial"/>
                <w:color w:val="000000"/>
              </w:rPr>
            </w:pPr>
            <w:r w:rsidRPr="005151BE">
              <w:rPr>
                <w:rFonts w:ascii="Arial" w:hAnsi="Arial" w:cs="Arial"/>
                <w:color w:val="000000"/>
              </w:rPr>
              <w:t>Usable Reserves</w:t>
            </w:r>
          </w:p>
        </w:tc>
        <w:tc>
          <w:tcPr>
            <w:tcW w:w="1460" w:type="dxa"/>
            <w:tcBorders>
              <w:top w:val="nil"/>
              <w:left w:val="nil"/>
              <w:bottom w:val="nil"/>
              <w:right w:val="single" w:sz="8" w:space="0" w:color="auto"/>
            </w:tcBorders>
            <w:shd w:val="clear" w:color="000000" w:fill="D9D9D9"/>
            <w:vAlign w:val="center"/>
            <w:hideMark/>
          </w:tcPr>
          <w:p w14:paraId="58F6F43F" w14:textId="77777777" w:rsidR="008F6016" w:rsidRPr="005151BE" w:rsidRDefault="008F6016" w:rsidP="008F6016">
            <w:pPr>
              <w:rPr>
                <w:rFonts w:ascii="Arial" w:hAnsi="Arial" w:cs="Arial"/>
                <w:color w:val="000000"/>
              </w:rPr>
            </w:pPr>
          </w:p>
        </w:tc>
        <w:tc>
          <w:tcPr>
            <w:tcW w:w="1681" w:type="dxa"/>
            <w:tcBorders>
              <w:top w:val="nil"/>
              <w:left w:val="nil"/>
              <w:bottom w:val="nil"/>
              <w:right w:val="single" w:sz="8" w:space="0" w:color="auto"/>
            </w:tcBorders>
            <w:shd w:val="clear" w:color="000000" w:fill="D9D9D9"/>
            <w:vAlign w:val="center"/>
            <w:hideMark/>
          </w:tcPr>
          <w:p w14:paraId="15050402" w14:textId="1CC3E991" w:rsidR="008F6016" w:rsidRPr="00B917A3" w:rsidRDefault="008F6016" w:rsidP="008F6016">
            <w:pPr>
              <w:jc w:val="right"/>
              <w:rPr>
                <w:rFonts w:ascii="Arial" w:hAnsi="Arial" w:cs="Arial"/>
                <w:color w:val="000000"/>
              </w:rPr>
            </w:pPr>
            <w:r>
              <w:rPr>
                <w:rFonts w:ascii="Arial" w:hAnsi="Arial" w:cs="Arial"/>
                <w:color w:val="000000"/>
              </w:rPr>
              <w:t>(29,</w:t>
            </w:r>
            <w:r w:rsidR="00A34F59">
              <w:rPr>
                <w:rFonts w:ascii="Arial" w:hAnsi="Arial" w:cs="Arial"/>
                <w:color w:val="000000"/>
              </w:rPr>
              <w:t>0</w:t>
            </w:r>
            <w:r w:rsidR="00D33751">
              <w:rPr>
                <w:rFonts w:ascii="Arial" w:hAnsi="Arial" w:cs="Arial"/>
                <w:color w:val="000000"/>
              </w:rPr>
              <w:t>06</w:t>
            </w:r>
            <w:r>
              <w:rPr>
                <w:rFonts w:ascii="Arial" w:hAnsi="Arial" w:cs="Arial"/>
                <w:color w:val="000000"/>
              </w:rPr>
              <w:t>)</w:t>
            </w:r>
          </w:p>
        </w:tc>
      </w:tr>
      <w:tr w:rsidR="008F6016" w:rsidRPr="005151BE" w14:paraId="0838F47B" w14:textId="77777777" w:rsidTr="00B27992">
        <w:trPr>
          <w:trHeight w:val="300"/>
        </w:trPr>
        <w:tc>
          <w:tcPr>
            <w:tcW w:w="1550" w:type="dxa"/>
            <w:tcBorders>
              <w:top w:val="nil"/>
              <w:left w:val="single" w:sz="8" w:space="0" w:color="auto"/>
              <w:bottom w:val="nil"/>
              <w:right w:val="nil"/>
            </w:tcBorders>
            <w:vAlign w:val="center"/>
            <w:hideMark/>
          </w:tcPr>
          <w:p w14:paraId="0FD6C7DD" w14:textId="345CCC49" w:rsidR="008F6016" w:rsidRPr="00C00CC6" w:rsidRDefault="008F6016" w:rsidP="008F6016">
            <w:pPr>
              <w:jc w:val="right"/>
              <w:rPr>
                <w:rFonts w:ascii="Arial" w:hAnsi="Arial" w:cs="Arial"/>
                <w:color w:val="000000"/>
              </w:rPr>
            </w:pPr>
            <w:r w:rsidRPr="00C00CC6">
              <w:rPr>
                <w:rFonts w:ascii="Arial" w:hAnsi="Arial" w:cs="Arial"/>
                <w:color w:val="000000"/>
              </w:rPr>
              <w:t>2,70</w:t>
            </w:r>
            <w:r w:rsidR="00C00CC6">
              <w:rPr>
                <w:rFonts w:ascii="Arial" w:hAnsi="Arial" w:cs="Arial"/>
                <w:color w:val="000000"/>
              </w:rPr>
              <w:t>5,253</w:t>
            </w:r>
          </w:p>
        </w:tc>
        <w:tc>
          <w:tcPr>
            <w:tcW w:w="4665" w:type="dxa"/>
            <w:tcBorders>
              <w:top w:val="nil"/>
              <w:left w:val="single" w:sz="8" w:space="0" w:color="auto"/>
              <w:bottom w:val="nil"/>
              <w:right w:val="nil"/>
            </w:tcBorders>
            <w:shd w:val="clear" w:color="000000" w:fill="D9D9D9"/>
            <w:vAlign w:val="center"/>
            <w:hideMark/>
          </w:tcPr>
          <w:p w14:paraId="3DBE2EE5" w14:textId="77777777" w:rsidR="008F6016" w:rsidRPr="005151BE" w:rsidRDefault="008F6016" w:rsidP="008F6016">
            <w:pPr>
              <w:rPr>
                <w:rFonts w:ascii="Arial" w:hAnsi="Arial" w:cs="Arial"/>
                <w:color w:val="000000"/>
              </w:rPr>
            </w:pPr>
            <w:r w:rsidRPr="005151BE">
              <w:rPr>
                <w:rFonts w:ascii="Arial" w:hAnsi="Arial" w:cs="Arial"/>
                <w:color w:val="000000"/>
              </w:rPr>
              <w:t>Unusable Reserves</w:t>
            </w:r>
          </w:p>
        </w:tc>
        <w:tc>
          <w:tcPr>
            <w:tcW w:w="1460" w:type="dxa"/>
            <w:tcBorders>
              <w:top w:val="nil"/>
              <w:left w:val="nil"/>
              <w:bottom w:val="nil"/>
              <w:right w:val="single" w:sz="8" w:space="0" w:color="auto"/>
            </w:tcBorders>
            <w:shd w:val="clear" w:color="000000" w:fill="D9D9D9"/>
            <w:vAlign w:val="center"/>
            <w:hideMark/>
          </w:tcPr>
          <w:p w14:paraId="4419D737" w14:textId="77777777" w:rsidR="008F6016" w:rsidRPr="005151BE" w:rsidRDefault="008F6016" w:rsidP="008F6016">
            <w:pPr>
              <w:jc w:val="center"/>
              <w:rPr>
                <w:rFonts w:ascii="Arial" w:hAnsi="Arial" w:cs="Arial"/>
                <w:color w:val="000000"/>
              </w:rPr>
            </w:pPr>
            <w:r w:rsidRPr="005151BE">
              <w:rPr>
                <w:rFonts w:ascii="Arial" w:hAnsi="Arial" w:cs="Arial"/>
                <w:color w:val="000000"/>
              </w:rPr>
              <w:t>10</w:t>
            </w:r>
          </w:p>
        </w:tc>
        <w:tc>
          <w:tcPr>
            <w:tcW w:w="1681" w:type="dxa"/>
            <w:tcBorders>
              <w:top w:val="nil"/>
              <w:left w:val="nil"/>
              <w:bottom w:val="nil"/>
              <w:right w:val="single" w:sz="8" w:space="0" w:color="auto"/>
            </w:tcBorders>
            <w:shd w:val="clear" w:color="000000" w:fill="D9D9D9"/>
            <w:vAlign w:val="center"/>
            <w:hideMark/>
          </w:tcPr>
          <w:p w14:paraId="2E623285" w14:textId="326B628E" w:rsidR="008F6016" w:rsidRPr="00B917A3" w:rsidRDefault="008F6016" w:rsidP="008F6016">
            <w:pPr>
              <w:jc w:val="right"/>
              <w:rPr>
                <w:rFonts w:ascii="Arial" w:hAnsi="Arial" w:cs="Arial"/>
                <w:color w:val="000000"/>
              </w:rPr>
            </w:pPr>
            <w:r>
              <w:rPr>
                <w:rFonts w:ascii="Arial" w:hAnsi="Arial" w:cs="Arial"/>
                <w:color w:val="000000"/>
              </w:rPr>
              <w:t>2,333,151</w:t>
            </w:r>
          </w:p>
        </w:tc>
      </w:tr>
      <w:tr w:rsidR="008F6016" w:rsidRPr="005151BE" w14:paraId="4F7B9E23" w14:textId="77777777" w:rsidTr="00B27992">
        <w:trPr>
          <w:trHeight w:val="300"/>
        </w:trPr>
        <w:tc>
          <w:tcPr>
            <w:tcW w:w="1550" w:type="dxa"/>
            <w:tcBorders>
              <w:top w:val="nil"/>
              <w:left w:val="single" w:sz="8" w:space="0" w:color="auto"/>
              <w:bottom w:val="single" w:sz="8" w:space="0" w:color="auto"/>
              <w:right w:val="nil"/>
            </w:tcBorders>
            <w:vAlign w:val="center"/>
            <w:hideMark/>
          </w:tcPr>
          <w:p w14:paraId="0C07D633" w14:textId="29675576" w:rsidR="008F6016" w:rsidRPr="00E06C8F" w:rsidRDefault="008F6016" w:rsidP="008F6016">
            <w:pPr>
              <w:jc w:val="right"/>
              <w:rPr>
                <w:rFonts w:ascii="Arial" w:hAnsi="Arial" w:cs="Arial"/>
                <w:color w:val="000000"/>
              </w:rPr>
            </w:pPr>
            <w:r>
              <w:rPr>
                <w:rFonts w:ascii="Arial" w:hAnsi="Arial" w:cs="Arial"/>
                <w:color w:val="000000"/>
              </w:rPr>
              <w:t> </w:t>
            </w:r>
          </w:p>
        </w:tc>
        <w:tc>
          <w:tcPr>
            <w:tcW w:w="4665" w:type="dxa"/>
            <w:tcBorders>
              <w:top w:val="nil"/>
              <w:left w:val="single" w:sz="8" w:space="0" w:color="auto"/>
              <w:bottom w:val="nil"/>
              <w:right w:val="nil"/>
            </w:tcBorders>
            <w:shd w:val="clear" w:color="000000" w:fill="D9D9D9"/>
            <w:vAlign w:val="center"/>
            <w:hideMark/>
          </w:tcPr>
          <w:p w14:paraId="23B108E5" w14:textId="77777777" w:rsidR="008F6016" w:rsidRPr="005151BE" w:rsidRDefault="008F6016" w:rsidP="008F6016">
            <w:pPr>
              <w:jc w:val="right"/>
            </w:pPr>
          </w:p>
        </w:tc>
        <w:tc>
          <w:tcPr>
            <w:tcW w:w="1460" w:type="dxa"/>
            <w:tcBorders>
              <w:top w:val="nil"/>
              <w:left w:val="nil"/>
              <w:bottom w:val="nil"/>
              <w:right w:val="single" w:sz="8" w:space="0" w:color="auto"/>
            </w:tcBorders>
            <w:shd w:val="clear" w:color="000000" w:fill="D9D9D9"/>
            <w:vAlign w:val="center"/>
            <w:hideMark/>
          </w:tcPr>
          <w:p w14:paraId="59AEECAA" w14:textId="77777777" w:rsidR="008F6016" w:rsidRPr="005151BE" w:rsidRDefault="008F6016" w:rsidP="008F6016"/>
        </w:tc>
        <w:tc>
          <w:tcPr>
            <w:tcW w:w="1681" w:type="dxa"/>
            <w:tcBorders>
              <w:top w:val="nil"/>
              <w:left w:val="nil"/>
              <w:bottom w:val="single" w:sz="8" w:space="0" w:color="auto"/>
              <w:right w:val="single" w:sz="8" w:space="0" w:color="auto"/>
            </w:tcBorders>
            <w:shd w:val="clear" w:color="000000" w:fill="D9D9D9"/>
            <w:vAlign w:val="center"/>
            <w:hideMark/>
          </w:tcPr>
          <w:p w14:paraId="26BA2DCB" w14:textId="012D4C21" w:rsidR="008F6016" w:rsidRPr="00B917A3" w:rsidRDefault="008F6016" w:rsidP="008F6016">
            <w:pPr>
              <w:jc w:val="center"/>
            </w:pPr>
            <w:r>
              <w:rPr>
                <w:rFonts w:ascii="Arial" w:hAnsi="Arial" w:cs="Arial"/>
                <w:color w:val="000000"/>
              </w:rPr>
              <w:t> </w:t>
            </w:r>
          </w:p>
        </w:tc>
      </w:tr>
      <w:tr w:rsidR="008F6016" w:rsidRPr="005151BE" w14:paraId="68D25C6E" w14:textId="77777777" w:rsidTr="00B27992">
        <w:trPr>
          <w:trHeight w:val="300"/>
        </w:trPr>
        <w:tc>
          <w:tcPr>
            <w:tcW w:w="1550" w:type="dxa"/>
            <w:tcBorders>
              <w:top w:val="nil"/>
              <w:left w:val="single" w:sz="8" w:space="0" w:color="auto"/>
              <w:bottom w:val="single" w:sz="8" w:space="0" w:color="auto"/>
              <w:right w:val="nil"/>
            </w:tcBorders>
            <w:vAlign w:val="center"/>
            <w:hideMark/>
          </w:tcPr>
          <w:p w14:paraId="546E72F0" w14:textId="754FA97E" w:rsidR="008F6016" w:rsidRPr="00E06C8F" w:rsidRDefault="008F6016" w:rsidP="008F6016">
            <w:pPr>
              <w:jc w:val="right"/>
              <w:rPr>
                <w:rFonts w:ascii="Arial" w:hAnsi="Arial" w:cs="Arial"/>
                <w:b/>
                <w:bCs/>
                <w:color w:val="000000"/>
              </w:rPr>
            </w:pPr>
            <w:r>
              <w:rPr>
                <w:rFonts w:ascii="Arial" w:hAnsi="Arial" w:cs="Arial"/>
                <w:b/>
                <w:bCs/>
                <w:color w:val="000000"/>
              </w:rPr>
              <w:t>2,67</w:t>
            </w:r>
            <w:r w:rsidR="008818DA">
              <w:rPr>
                <w:rFonts w:ascii="Arial" w:hAnsi="Arial" w:cs="Arial"/>
                <w:b/>
                <w:bCs/>
                <w:color w:val="000000"/>
              </w:rPr>
              <w:t>3,968</w:t>
            </w:r>
          </w:p>
        </w:tc>
        <w:tc>
          <w:tcPr>
            <w:tcW w:w="4665" w:type="dxa"/>
            <w:tcBorders>
              <w:top w:val="single" w:sz="8" w:space="0" w:color="auto"/>
              <w:left w:val="single" w:sz="8" w:space="0" w:color="auto"/>
              <w:bottom w:val="single" w:sz="8" w:space="0" w:color="auto"/>
              <w:right w:val="nil"/>
            </w:tcBorders>
            <w:shd w:val="clear" w:color="000000" w:fill="D9D9D9"/>
            <w:vAlign w:val="center"/>
            <w:hideMark/>
          </w:tcPr>
          <w:p w14:paraId="2C3C534E" w14:textId="77777777" w:rsidR="008F6016" w:rsidRPr="005151BE" w:rsidRDefault="008F6016" w:rsidP="008F6016">
            <w:pPr>
              <w:rPr>
                <w:rFonts w:ascii="Arial" w:hAnsi="Arial" w:cs="Arial"/>
                <w:b/>
                <w:bCs/>
                <w:color w:val="000000"/>
              </w:rPr>
            </w:pPr>
            <w:r w:rsidRPr="005151BE">
              <w:rPr>
                <w:rFonts w:ascii="Arial" w:hAnsi="Arial" w:cs="Arial"/>
                <w:b/>
                <w:bCs/>
                <w:color w:val="000000"/>
              </w:rPr>
              <w:t>Total Reserves</w:t>
            </w:r>
          </w:p>
        </w:tc>
        <w:tc>
          <w:tcPr>
            <w:tcW w:w="1460" w:type="dxa"/>
            <w:tcBorders>
              <w:top w:val="single" w:sz="8" w:space="0" w:color="auto"/>
              <w:left w:val="nil"/>
              <w:bottom w:val="single" w:sz="8" w:space="0" w:color="auto"/>
              <w:right w:val="single" w:sz="8" w:space="0" w:color="auto"/>
            </w:tcBorders>
            <w:shd w:val="clear" w:color="000000" w:fill="D9D9D9"/>
            <w:vAlign w:val="center"/>
            <w:hideMark/>
          </w:tcPr>
          <w:p w14:paraId="2154A351" w14:textId="77777777" w:rsidR="008F6016" w:rsidRPr="005151BE" w:rsidRDefault="008F6016" w:rsidP="008F6016">
            <w:pPr>
              <w:rPr>
                <w:rFonts w:ascii="Arial" w:hAnsi="Arial" w:cs="Arial"/>
                <w:b/>
                <w:bCs/>
                <w:color w:val="000000"/>
              </w:rPr>
            </w:pPr>
          </w:p>
        </w:tc>
        <w:tc>
          <w:tcPr>
            <w:tcW w:w="1681" w:type="dxa"/>
            <w:tcBorders>
              <w:top w:val="nil"/>
              <w:left w:val="nil"/>
              <w:bottom w:val="single" w:sz="8" w:space="0" w:color="auto"/>
              <w:right w:val="single" w:sz="8" w:space="0" w:color="auto"/>
            </w:tcBorders>
            <w:shd w:val="clear" w:color="000000" w:fill="D9D9D9"/>
            <w:vAlign w:val="center"/>
            <w:hideMark/>
          </w:tcPr>
          <w:p w14:paraId="470A14F2" w14:textId="22E42091" w:rsidR="008F6016" w:rsidRPr="00B917A3" w:rsidRDefault="008F6016" w:rsidP="008F6016">
            <w:pPr>
              <w:jc w:val="right"/>
              <w:rPr>
                <w:rFonts w:ascii="Arial" w:hAnsi="Arial" w:cs="Arial"/>
                <w:b/>
                <w:bCs/>
                <w:color w:val="000000"/>
              </w:rPr>
            </w:pPr>
            <w:r>
              <w:rPr>
                <w:rFonts w:ascii="Arial" w:hAnsi="Arial" w:cs="Arial"/>
                <w:b/>
                <w:bCs/>
                <w:color w:val="000000"/>
              </w:rPr>
              <w:t>2,304,1</w:t>
            </w:r>
            <w:r w:rsidR="00D33751">
              <w:rPr>
                <w:rFonts w:ascii="Arial" w:hAnsi="Arial" w:cs="Arial"/>
                <w:b/>
                <w:bCs/>
                <w:color w:val="000000"/>
              </w:rPr>
              <w:t>45</w:t>
            </w:r>
          </w:p>
        </w:tc>
      </w:tr>
    </w:tbl>
    <w:p w14:paraId="220BEFAD" w14:textId="1FE49975" w:rsidR="00940A4B" w:rsidRPr="000C1185" w:rsidRDefault="00940A4B" w:rsidP="00940A4B">
      <w:pPr>
        <w:rPr>
          <w:rFonts w:ascii="Arial" w:hAnsi="Arial"/>
          <w:bCs/>
          <w:sz w:val="22"/>
          <w:szCs w:val="22"/>
        </w:rPr>
      </w:pPr>
      <w:r w:rsidRPr="0082716D">
        <w:rPr>
          <w:rFonts w:ascii="Arial" w:hAnsi="Arial"/>
          <w:bCs/>
          <w:sz w:val="22"/>
          <w:szCs w:val="22"/>
        </w:rPr>
        <w:t xml:space="preserve">The unaudited accounts were issued on </w:t>
      </w:r>
      <w:r w:rsidR="0082716D">
        <w:rPr>
          <w:rFonts w:ascii="Arial" w:hAnsi="Arial"/>
          <w:bCs/>
          <w:sz w:val="22"/>
          <w:szCs w:val="22"/>
        </w:rPr>
        <w:t>1st</w:t>
      </w:r>
      <w:r w:rsidRPr="0082716D">
        <w:rPr>
          <w:rFonts w:ascii="Arial" w:hAnsi="Arial"/>
          <w:bCs/>
          <w:sz w:val="22"/>
          <w:szCs w:val="22"/>
        </w:rPr>
        <w:t xml:space="preserve"> August 202</w:t>
      </w:r>
      <w:r w:rsidR="0082716D">
        <w:rPr>
          <w:rFonts w:ascii="Arial" w:hAnsi="Arial"/>
          <w:bCs/>
          <w:sz w:val="22"/>
          <w:szCs w:val="22"/>
        </w:rPr>
        <w:t>5</w:t>
      </w:r>
      <w:r w:rsidR="00BA649D">
        <w:rPr>
          <w:rFonts w:ascii="Arial" w:hAnsi="Arial"/>
          <w:bCs/>
          <w:sz w:val="22"/>
          <w:szCs w:val="22"/>
        </w:rPr>
        <w:t>.</w:t>
      </w:r>
      <w:r w:rsidRPr="0082716D">
        <w:rPr>
          <w:rFonts w:ascii="Arial" w:hAnsi="Arial"/>
          <w:bCs/>
          <w:sz w:val="22"/>
          <w:szCs w:val="22"/>
        </w:rPr>
        <w:t xml:space="preserve"> </w:t>
      </w:r>
      <w:r w:rsidRPr="000C1185">
        <w:rPr>
          <w:rFonts w:ascii="Arial" w:hAnsi="Arial"/>
          <w:bCs/>
          <w:sz w:val="22"/>
          <w:szCs w:val="22"/>
        </w:rPr>
        <w:t xml:space="preserve">and the audited accounts were authorised for issue on </w:t>
      </w:r>
      <w:r w:rsidR="000C1185">
        <w:rPr>
          <w:rFonts w:ascii="Arial" w:hAnsi="Arial"/>
          <w:bCs/>
          <w:sz w:val="22"/>
          <w:szCs w:val="22"/>
        </w:rPr>
        <w:t>1</w:t>
      </w:r>
      <w:r w:rsidR="00992093">
        <w:rPr>
          <w:rFonts w:ascii="Arial" w:hAnsi="Arial"/>
          <w:bCs/>
          <w:sz w:val="22"/>
          <w:szCs w:val="22"/>
        </w:rPr>
        <w:t>8</w:t>
      </w:r>
      <w:r w:rsidRPr="000C1185">
        <w:rPr>
          <w:rFonts w:ascii="Arial" w:hAnsi="Arial"/>
          <w:bCs/>
          <w:sz w:val="22"/>
          <w:szCs w:val="22"/>
        </w:rPr>
        <w:t xml:space="preserve"> </w:t>
      </w:r>
      <w:r w:rsidR="000C1185">
        <w:rPr>
          <w:rFonts w:ascii="Arial" w:hAnsi="Arial"/>
          <w:bCs/>
          <w:sz w:val="22"/>
          <w:szCs w:val="22"/>
        </w:rPr>
        <w:t>December</w:t>
      </w:r>
      <w:r w:rsidR="00E24AB0" w:rsidRPr="000C1185">
        <w:rPr>
          <w:rFonts w:ascii="Arial" w:hAnsi="Arial"/>
          <w:bCs/>
          <w:sz w:val="22"/>
          <w:szCs w:val="22"/>
        </w:rPr>
        <w:t xml:space="preserve"> </w:t>
      </w:r>
      <w:r w:rsidRPr="000C1185">
        <w:rPr>
          <w:rFonts w:ascii="Arial" w:hAnsi="Arial"/>
          <w:bCs/>
          <w:sz w:val="22"/>
          <w:szCs w:val="22"/>
        </w:rPr>
        <w:t>202</w:t>
      </w:r>
      <w:r w:rsidR="00E24AB0" w:rsidRPr="000C1185">
        <w:rPr>
          <w:rFonts w:ascii="Arial" w:hAnsi="Arial"/>
          <w:bCs/>
          <w:sz w:val="22"/>
          <w:szCs w:val="22"/>
        </w:rPr>
        <w:t>5</w:t>
      </w:r>
      <w:r w:rsidRPr="000C1185">
        <w:rPr>
          <w:rFonts w:ascii="Arial" w:hAnsi="Arial"/>
          <w:bCs/>
          <w:sz w:val="22"/>
          <w:szCs w:val="22"/>
        </w:rPr>
        <w:t>.</w:t>
      </w:r>
    </w:p>
    <w:p w14:paraId="49C8E032" w14:textId="2E6FBE12" w:rsidR="003A386D" w:rsidRPr="0082716D" w:rsidRDefault="00BA649D" w:rsidP="003A386D">
      <w:pPr>
        <w:rPr>
          <w:rFonts w:ascii="Arial" w:hAnsi="Arial"/>
          <w:bCs/>
          <w:sz w:val="22"/>
          <w:szCs w:val="22"/>
        </w:rPr>
      </w:pPr>
      <w:r>
        <w:rPr>
          <w:noProof/>
        </w:rPr>
        <w:drawing>
          <wp:anchor distT="0" distB="0" distL="114300" distR="114300" simplePos="0" relativeHeight="251658246" behindDoc="0" locked="0" layoutInCell="1" allowOverlap="1" wp14:anchorId="03344ED7" wp14:editId="61EF80F6">
            <wp:simplePos x="0" y="0"/>
            <wp:positionH relativeFrom="margin">
              <wp:posOffset>778510</wp:posOffset>
            </wp:positionH>
            <wp:positionV relativeFrom="paragraph">
              <wp:posOffset>154940</wp:posOffset>
            </wp:positionV>
            <wp:extent cx="2222500" cy="463550"/>
            <wp:effectExtent l="0" t="0" r="6350" b="0"/>
            <wp:wrapNone/>
            <wp:docPr id="128101929" name="Picture 8" descr="A black line with a pointy m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40417" name="Picture 8" descr="A black line with a pointy mark&#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222500" cy="463550"/>
                    </a:xfrm>
                    <a:prstGeom prst="rect">
                      <a:avLst/>
                    </a:prstGeom>
                    <a:noFill/>
                  </pic:spPr>
                </pic:pic>
              </a:graphicData>
            </a:graphic>
            <wp14:sizeRelH relativeFrom="page">
              <wp14:pctWidth>0</wp14:pctWidth>
            </wp14:sizeRelH>
            <wp14:sizeRelV relativeFrom="page">
              <wp14:pctHeight>0</wp14:pctHeight>
            </wp14:sizeRelV>
          </wp:anchor>
        </w:drawing>
      </w:r>
    </w:p>
    <w:p w14:paraId="74D6AA1F" w14:textId="239CCFE8" w:rsidR="003A386D" w:rsidRPr="0082716D" w:rsidRDefault="003A386D" w:rsidP="003A386D">
      <w:pPr>
        <w:jc w:val="both"/>
        <w:rPr>
          <w:rFonts w:ascii="Bradley Hand ITC" w:hAnsi="Bradley Hand ITC"/>
          <w:sz w:val="28"/>
          <w:szCs w:val="28"/>
        </w:rPr>
      </w:pPr>
      <w:r w:rsidRPr="0082716D">
        <w:rPr>
          <w:rFonts w:ascii="Arial" w:hAnsi="Arial"/>
          <w:bCs/>
          <w:sz w:val="22"/>
          <w:szCs w:val="22"/>
        </w:rPr>
        <w:t xml:space="preserve">Signed: </w:t>
      </w:r>
      <w:r w:rsidR="00DC6990" w:rsidRPr="0082716D">
        <w:rPr>
          <w:rFonts w:ascii="Arial" w:hAnsi="Arial"/>
          <w:bCs/>
          <w:sz w:val="22"/>
          <w:szCs w:val="22"/>
        </w:rPr>
        <w:t xml:space="preserve">                              </w:t>
      </w:r>
    </w:p>
    <w:p w14:paraId="44D103CB" w14:textId="77777777" w:rsidR="00BA649D" w:rsidRDefault="00BA649D" w:rsidP="00C12C96">
      <w:pPr>
        <w:jc w:val="both"/>
        <w:rPr>
          <w:rFonts w:ascii="Arial" w:hAnsi="Arial" w:cs="Arial"/>
          <w:sz w:val="22"/>
          <w:szCs w:val="22"/>
        </w:rPr>
      </w:pPr>
    </w:p>
    <w:p w14:paraId="782CD207" w14:textId="77777777" w:rsidR="00BA649D" w:rsidRDefault="00BA649D" w:rsidP="00C12C96">
      <w:pPr>
        <w:jc w:val="both"/>
        <w:rPr>
          <w:rFonts w:ascii="Arial" w:hAnsi="Arial" w:cs="Arial"/>
          <w:sz w:val="22"/>
          <w:szCs w:val="22"/>
        </w:rPr>
      </w:pPr>
    </w:p>
    <w:p w14:paraId="32769563" w14:textId="218B4D9A" w:rsidR="003A386D" w:rsidRPr="00EA6756" w:rsidRDefault="00C12C96" w:rsidP="00C12C96">
      <w:pPr>
        <w:jc w:val="both"/>
        <w:rPr>
          <w:rFonts w:ascii="Arial" w:hAnsi="Arial"/>
          <w:bCs/>
          <w:color w:val="FFFFFF" w:themeColor="background1"/>
          <w:sz w:val="22"/>
          <w:szCs w:val="22"/>
        </w:rPr>
        <w:sectPr w:rsidR="003A386D" w:rsidRPr="00EA6756" w:rsidSect="00784E9A">
          <w:headerReference w:type="even" r:id="rId41"/>
          <w:headerReference w:type="default" r:id="rId42"/>
          <w:headerReference w:type="first" r:id="rId43"/>
          <w:pgSz w:w="11906" w:h="16838" w:code="9"/>
          <w:pgMar w:top="964" w:right="1134" w:bottom="851" w:left="1134" w:header="397" w:footer="567" w:gutter="0"/>
          <w:cols w:space="720"/>
          <w:docGrid w:linePitch="272"/>
        </w:sectPr>
      </w:pPr>
      <w:r w:rsidRPr="0082716D">
        <w:rPr>
          <w:rFonts w:ascii="Arial" w:hAnsi="Arial" w:cs="Arial"/>
          <w:sz w:val="22"/>
          <w:szCs w:val="22"/>
        </w:rPr>
        <w:t>Steve Freeman, Chief Financial Officer to the PCC</w:t>
      </w:r>
      <w:r w:rsidR="003A386D" w:rsidRPr="0082716D">
        <w:rPr>
          <w:rFonts w:ascii="Arial" w:hAnsi="Arial"/>
          <w:bCs/>
          <w:sz w:val="22"/>
          <w:szCs w:val="22"/>
        </w:rPr>
        <w:tab/>
      </w:r>
    </w:p>
    <w:p w14:paraId="6454E755" w14:textId="77777777" w:rsidR="003B74DA" w:rsidRDefault="003B74DA" w:rsidP="003B74DA">
      <w:pPr>
        <w:jc w:val="center"/>
        <w:rPr>
          <w:rFonts w:ascii="Arial" w:hAnsi="Arial"/>
          <w:b/>
          <w:sz w:val="28"/>
        </w:rPr>
      </w:pPr>
      <w:r>
        <w:rPr>
          <w:rFonts w:ascii="Arial" w:hAnsi="Arial"/>
          <w:b/>
          <w:sz w:val="28"/>
        </w:rPr>
        <w:lastRenderedPageBreak/>
        <w:t>PCC SINGLE ENTITY BALANCE SHEET</w:t>
      </w:r>
    </w:p>
    <w:p w14:paraId="283B92EA" w14:textId="77777777" w:rsidR="003B74DA" w:rsidRPr="00575776" w:rsidRDefault="003B74DA" w:rsidP="003B74DA">
      <w:pPr>
        <w:jc w:val="center"/>
        <w:rPr>
          <w:rFonts w:ascii="Arial" w:hAnsi="Arial"/>
          <w:b/>
          <w:szCs w:val="14"/>
        </w:rPr>
      </w:pPr>
    </w:p>
    <w:p w14:paraId="107FF3E0" w14:textId="77777777" w:rsidR="003B74DA" w:rsidRDefault="003B74DA" w:rsidP="003B74DA">
      <w:pPr>
        <w:jc w:val="both"/>
        <w:rPr>
          <w:rFonts w:ascii="Arial" w:hAnsi="Arial" w:cs="Arial"/>
          <w:sz w:val="22"/>
        </w:rPr>
      </w:pPr>
      <w:r w:rsidRPr="006E7B68">
        <w:rPr>
          <w:rFonts w:ascii="Arial" w:hAnsi="Arial" w:cs="Arial"/>
          <w:sz w:val="22"/>
        </w:rPr>
        <w:t xml:space="preserve">The </w:t>
      </w:r>
      <w:r>
        <w:rPr>
          <w:rFonts w:ascii="Arial" w:hAnsi="Arial" w:cs="Arial"/>
          <w:sz w:val="22"/>
        </w:rPr>
        <w:t>b</w:t>
      </w:r>
      <w:r w:rsidRPr="006E7B68">
        <w:rPr>
          <w:rFonts w:ascii="Arial" w:hAnsi="Arial" w:cs="Arial"/>
          <w:sz w:val="22"/>
        </w:rPr>
        <w:t xml:space="preserve">alance </w:t>
      </w:r>
      <w:r>
        <w:rPr>
          <w:rFonts w:ascii="Arial" w:hAnsi="Arial" w:cs="Arial"/>
          <w:sz w:val="22"/>
        </w:rPr>
        <w:t>s</w:t>
      </w:r>
      <w:r w:rsidRPr="006E7B68">
        <w:rPr>
          <w:rFonts w:ascii="Arial" w:hAnsi="Arial" w:cs="Arial"/>
          <w:sz w:val="22"/>
        </w:rPr>
        <w:t xml:space="preserve">heet shows the value as at the </w:t>
      </w:r>
      <w:r>
        <w:rPr>
          <w:rFonts w:ascii="Arial" w:hAnsi="Arial" w:cs="Arial"/>
          <w:sz w:val="22"/>
        </w:rPr>
        <w:t>b</w:t>
      </w:r>
      <w:r w:rsidRPr="006E7B68">
        <w:rPr>
          <w:rFonts w:ascii="Arial" w:hAnsi="Arial" w:cs="Arial"/>
          <w:sz w:val="22"/>
        </w:rPr>
        <w:t xml:space="preserve">alance </w:t>
      </w:r>
      <w:r>
        <w:rPr>
          <w:rFonts w:ascii="Arial" w:hAnsi="Arial" w:cs="Arial"/>
          <w:sz w:val="22"/>
        </w:rPr>
        <w:t>s</w:t>
      </w:r>
      <w:r w:rsidRPr="006E7B68">
        <w:rPr>
          <w:rFonts w:ascii="Arial" w:hAnsi="Arial" w:cs="Arial"/>
          <w:sz w:val="22"/>
        </w:rPr>
        <w:t xml:space="preserve">heet date of assets and liabilities recognised by the </w:t>
      </w:r>
      <w:r>
        <w:rPr>
          <w:rFonts w:ascii="Arial" w:hAnsi="Arial" w:cs="Arial"/>
          <w:sz w:val="22"/>
        </w:rPr>
        <w:t>PCC as a single entity</w:t>
      </w:r>
      <w:r w:rsidRPr="006E7B68">
        <w:rPr>
          <w:rFonts w:ascii="Arial" w:hAnsi="Arial" w:cs="Arial"/>
          <w:sz w:val="22"/>
        </w:rPr>
        <w:t xml:space="preserve">. The net assets (assets less liabilities) are matched by the reserves held by the </w:t>
      </w:r>
      <w:r>
        <w:rPr>
          <w:rFonts w:ascii="Arial" w:hAnsi="Arial" w:cs="Arial"/>
          <w:sz w:val="22"/>
        </w:rPr>
        <w:t>PCC.</w:t>
      </w:r>
    </w:p>
    <w:p w14:paraId="17BB9C30" w14:textId="77777777" w:rsidR="003B74DA" w:rsidRDefault="003B74DA" w:rsidP="003B74DA">
      <w:pPr>
        <w:jc w:val="center"/>
        <w:rPr>
          <w:rFonts w:ascii="Arial" w:hAnsi="Arial"/>
          <w:b/>
          <w:sz w:val="28"/>
        </w:rPr>
      </w:pPr>
    </w:p>
    <w:tbl>
      <w:tblPr>
        <w:tblW w:w="9356" w:type="dxa"/>
        <w:tblCellMar>
          <w:top w:w="15" w:type="dxa"/>
          <w:bottom w:w="15" w:type="dxa"/>
        </w:tblCellMar>
        <w:tblLook w:val="04A0" w:firstRow="1" w:lastRow="0" w:firstColumn="1" w:lastColumn="0" w:noHBand="0" w:noVBand="1"/>
      </w:tblPr>
      <w:tblGrid>
        <w:gridCol w:w="1841"/>
        <w:gridCol w:w="4172"/>
        <w:gridCol w:w="1448"/>
        <w:gridCol w:w="1895"/>
      </w:tblGrid>
      <w:tr w:rsidR="005151BE" w:rsidRPr="005151BE" w14:paraId="15AA4C58" w14:textId="77777777" w:rsidTr="00863473">
        <w:trPr>
          <w:trHeight w:val="300"/>
        </w:trPr>
        <w:tc>
          <w:tcPr>
            <w:tcW w:w="1841" w:type="dxa"/>
            <w:tcBorders>
              <w:top w:val="single" w:sz="8" w:space="0" w:color="auto"/>
              <w:left w:val="single" w:sz="8" w:space="0" w:color="auto"/>
              <w:bottom w:val="nil"/>
              <w:right w:val="nil"/>
            </w:tcBorders>
            <w:vAlign w:val="center"/>
            <w:hideMark/>
          </w:tcPr>
          <w:p w14:paraId="65F7F430" w14:textId="20F19CF3" w:rsidR="005151BE" w:rsidRDefault="005151BE" w:rsidP="005151BE">
            <w:pPr>
              <w:jc w:val="right"/>
              <w:rPr>
                <w:rFonts w:ascii="Arial" w:hAnsi="Arial" w:cs="Arial"/>
                <w:b/>
                <w:bCs/>
                <w:color w:val="000000"/>
              </w:rPr>
            </w:pPr>
            <w:r w:rsidRPr="005151BE">
              <w:rPr>
                <w:rFonts w:ascii="Arial" w:hAnsi="Arial" w:cs="Arial"/>
                <w:b/>
                <w:bCs/>
                <w:color w:val="000000"/>
              </w:rPr>
              <w:t>31-Mar-2</w:t>
            </w:r>
            <w:r w:rsidR="001A2BBA">
              <w:rPr>
                <w:rFonts w:ascii="Arial" w:hAnsi="Arial" w:cs="Arial"/>
                <w:b/>
                <w:bCs/>
                <w:color w:val="000000"/>
              </w:rPr>
              <w:t>4</w:t>
            </w:r>
          </w:p>
          <w:p w14:paraId="3CE8AF3D" w14:textId="40804F87" w:rsidR="00A755ED" w:rsidRDefault="00A755ED" w:rsidP="005151BE">
            <w:pPr>
              <w:jc w:val="right"/>
              <w:rPr>
                <w:rFonts w:ascii="Arial" w:hAnsi="Arial" w:cs="Arial"/>
                <w:b/>
                <w:bCs/>
                <w:color w:val="000000"/>
              </w:rPr>
            </w:pPr>
            <w:r>
              <w:rPr>
                <w:rFonts w:ascii="Arial" w:hAnsi="Arial" w:cs="Arial"/>
                <w:b/>
                <w:bCs/>
                <w:color w:val="000000"/>
              </w:rPr>
              <w:t>(Restated)</w:t>
            </w:r>
          </w:p>
          <w:p w14:paraId="5B3C8C37" w14:textId="4C503ED2" w:rsidR="005151BE" w:rsidRPr="005151BE" w:rsidRDefault="005151BE" w:rsidP="005151BE">
            <w:pPr>
              <w:jc w:val="right"/>
              <w:rPr>
                <w:rFonts w:ascii="Arial" w:hAnsi="Arial" w:cs="Arial"/>
                <w:b/>
                <w:bCs/>
                <w:color w:val="000000"/>
              </w:rPr>
            </w:pPr>
          </w:p>
        </w:tc>
        <w:tc>
          <w:tcPr>
            <w:tcW w:w="4172" w:type="dxa"/>
            <w:tcBorders>
              <w:top w:val="single" w:sz="8" w:space="0" w:color="auto"/>
              <w:left w:val="single" w:sz="8" w:space="0" w:color="auto"/>
              <w:bottom w:val="nil"/>
              <w:right w:val="nil"/>
            </w:tcBorders>
            <w:shd w:val="clear" w:color="000000" w:fill="D9D9D9"/>
            <w:vAlign w:val="center"/>
            <w:hideMark/>
          </w:tcPr>
          <w:p w14:paraId="3CDC0A99" w14:textId="77777777" w:rsidR="005151BE" w:rsidRPr="005151BE" w:rsidRDefault="005151BE" w:rsidP="005151BE">
            <w:pPr>
              <w:jc w:val="right"/>
              <w:rPr>
                <w:rFonts w:ascii="Arial" w:hAnsi="Arial" w:cs="Arial"/>
                <w:b/>
                <w:bCs/>
                <w:color w:val="000000"/>
              </w:rPr>
            </w:pPr>
          </w:p>
        </w:tc>
        <w:tc>
          <w:tcPr>
            <w:tcW w:w="1448" w:type="dxa"/>
            <w:tcBorders>
              <w:top w:val="single" w:sz="8" w:space="0" w:color="auto"/>
              <w:left w:val="nil"/>
              <w:bottom w:val="nil"/>
              <w:right w:val="single" w:sz="8" w:space="0" w:color="auto"/>
            </w:tcBorders>
            <w:shd w:val="clear" w:color="000000" w:fill="D9D9D9"/>
            <w:vAlign w:val="center"/>
            <w:hideMark/>
          </w:tcPr>
          <w:p w14:paraId="608F69A5" w14:textId="77777777" w:rsidR="005151BE" w:rsidRPr="005151BE" w:rsidRDefault="005151BE" w:rsidP="005151BE">
            <w:pPr>
              <w:jc w:val="center"/>
              <w:rPr>
                <w:rFonts w:ascii="Arial" w:hAnsi="Arial" w:cs="Arial"/>
                <w:b/>
                <w:bCs/>
                <w:color w:val="000000"/>
              </w:rPr>
            </w:pPr>
            <w:r w:rsidRPr="005151BE">
              <w:rPr>
                <w:rFonts w:ascii="Arial" w:hAnsi="Arial" w:cs="Arial"/>
                <w:b/>
                <w:bCs/>
                <w:color w:val="000000"/>
              </w:rPr>
              <w:t>Notes</w:t>
            </w:r>
          </w:p>
        </w:tc>
        <w:tc>
          <w:tcPr>
            <w:tcW w:w="1895" w:type="dxa"/>
            <w:tcBorders>
              <w:top w:val="single" w:sz="8" w:space="0" w:color="auto"/>
              <w:left w:val="nil"/>
              <w:bottom w:val="nil"/>
              <w:right w:val="single" w:sz="8" w:space="0" w:color="auto"/>
            </w:tcBorders>
            <w:shd w:val="clear" w:color="000000" w:fill="D9D9D9"/>
            <w:vAlign w:val="center"/>
            <w:hideMark/>
          </w:tcPr>
          <w:p w14:paraId="78D4C584" w14:textId="697C33C8" w:rsidR="005151BE" w:rsidRPr="005151BE" w:rsidRDefault="005151BE" w:rsidP="005151BE">
            <w:pPr>
              <w:jc w:val="right"/>
              <w:rPr>
                <w:rFonts w:ascii="Arial" w:hAnsi="Arial" w:cs="Arial"/>
                <w:b/>
                <w:bCs/>
                <w:color w:val="000000"/>
              </w:rPr>
            </w:pPr>
            <w:r w:rsidRPr="005151BE">
              <w:rPr>
                <w:rFonts w:ascii="Arial" w:hAnsi="Arial" w:cs="Arial"/>
                <w:b/>
                <w:bCs/>
                <w:color w:val="000000"/>
              </w:rPr>
              <w:t>31-Mar-2</w:t>
            </w:r>
            <w:r w:rsidR="001A2BBA">
              <w:rPr>
                <w:rFonts w:ascii="Arial" w:hAnsi="Arial" w:cs="Arial"/>
                <w:b/>
                <w:bCs/>
                <w:color w:val="000000"/>
              </w:rPr>
              <w:t>5</w:t>
            </w:r>
          </w:p>
        </w:tc>
      </w:tr>
      <w:tr w:rsidR="005151BE" w:rsidRPr="005151BE" w14:paraId="6A6B2E09" w14:textId="77777777" w:rsidTr="00863473">
        <w:trPr>
          <w:trHeight w:val="300"/>
        </w:trPr>
        <w:tc>
          <w:tcPr>
            <w:tcW w:w="1841" w:type="dxa"/>
            <w:tcBorders>
              <w:top w:val="nil"/>
              <w:left w:val="single" w:sz="8" w:space="0" w:color="auto"/>
              <w:bottom w:val="nil"/>
              <w:right w:val="nil"/>
            </w:tcBorders>
            <w:vAlign w:val="center"/>
            <w:hideMark/>
          </w:tcPr>
          <w:p w14:paraId="413F9B51" w14:textId="77777777" w:rsidR="005151BE" w:rsidRPr="005151BE" w:rsidRDefault="005151BE" w:rsidP="005151BE">
            <w:pPr>
              <w:jc w:val="right"/>
              <w:rPr>
                <w:rFonts w:ascii="Arial" w:hAnsi="Arial" w:cs="Arial"/>
                <w:b/>
                <w:bCs/>
                <w:color w:val="000000"/>
              </w:rPr>
            </w:pPr>
            <w:r w:rsidRPr="005151BE">
              <w:rPr>
                <w:rFonts w:ascii="Arial" w:hAnsi="Arial" w:cs="Arial"/>
                <w:b/>
                <w:bCs/>
                <w:color w:val="000000"/>
              </w:rPr>
              <w:t>£000</w:t>
            </w:r>
          </w:p>
        </w:tc>
        <w:tc>
          <w:tcPr>
            <w:tcW w:w="4172" w:type="dxa"/>
            <w:tcBorders>
              <w:top w:val="nil"/>
              <w:left w:val="single" w:sz="8" w:space="0" w:color="auto"/>
              <w:bottom w:val="nil"/>
              <w:right w:val="nil"/>
            </w:tcBorders>
            <w:shd w:val="clear" w:color="000000" w:fill="D9D9D9"/>
            <w:vAlign w:val="center"/>
            <w:hideMark/>
          </w:tcPr>
          <w:p w14:paraId="403659FA" w14:textId="77777777" w:rsidR="005151BE" w:rsidRPr="005151BE" w:rsidRDefault="005151BE" w:rsidP="005151BE">
            <w:pPr>
              <w:jc w:val="right"/>
              <w:rPr>
                <w:rFonts w:ascii="Arial" w:hAnsi="Arial" w:cs="Arial"/>
                <w:b/>
                <w:bCs/>
                <w:color w:val="000000"/>
              </w:rPr>
            </w:pPr>
          </w:p>
        </w:tc>
        <w:tc>
          <w:tcPr>
            <w:tcW w:w="1448" w:type="dxa"/>
            <w:tcBorders>
              <w:top w:val="nil"/>
              <w:left w:val="nil"/>
              <w:bottom w:val="nil"/>
              <w:right w:val="single" w:sz="8" w:space="0" w:color="auto"/>
            </w:tcBorders>
            <w:shd w:val="clear" w:color="000000" w:fill="D9D9D9"/>
            <w:vAlign w:val="center"/>
            <w:hideMark/>
          </w:tcPr>
          <w:p w14:paraId="0026A6B6" w14:textId="77777777" w:rsidR="005151BE" w:rsidRPr="005151BE" w:rsidRDefault="005151BE" w:rsidP="005151BE">
            <w:pPr>
              <w:jc w:val="center"/>
            </w:pPr>
          </w:p>
        </w:tc>
        <w:tc>
          <w:tcPr>
            <w:tcW w:w="1895" w:type="dxa"/>
            <w:tcBorders>
              <w:top w:val="nil"/>
              <w:left w:val="nil"/>
              <w:bottom w:val="nil"/>
              <w:right w:val="single" w:sz="8" w:space="0" w:color="auto"/>
            </w:tcBorders>
            <w:shd w:val="clear" w:color="000000" w:fill="D9D9D9"/>
            <w:vAlign w:val="center"/>
            <w:hideMark/>
          </w:tcPr>
          <w:p w14:paraId="65D65441" w14:textId="77777777" w:rsidR="005151BE" w:rsidRPr="005151BE" w:rsidRDefault="005151BE" w:rsidP="005151BE">
            <w:pPr>
              <w:jc w:val="right"/>
              <w:rPr>
                <w:rFonts w:ascii="Arial" w:hAnsi="Arial" w:cs="Arial"/>
                <w:b/>
                <w:bCs/>
                <w:color w:val="000000"/>
              </w:rPr>
            </w:pPr>
            <w:r w:rsidRPr="005151BE">
              <w:rPr>
                <w:rFonts w:ascii="Arial" w:hAnsi="Arial" w:cs="Arial"/>
                <w:b/>
                <w:bCs/>
                <w:color w:val="000000"/>
              </w:rPr>
              <w:t>£000</w:t>
            </w:r>
          </w:p>
        </w:tc>
      </w:tr>
      <w:tr w:rsidR="00575776" w:rsidRPr="005151BE" w14:paraId="4337E70A" w14:textId="77777777" w:rsidTr="00863473">
        <w:trPr>
          <w:trHeight w:val="300"/>
        </w:trPr>
        <w:tc>
          <w:tcPr>
            <w:tcW w:w="1841" w:type="dxa"/>
            <w:tcBorders>
              <w:top w:val="nil"/>
              <w:left w:val="single" w:sz="8" w:space="0" w:color="auto"/>
              <w:bottom w:val="nil"/>
              <w:right w:val="nil"/>
            </w:tcBorders>
            <w:vAlign w:val="center"/>
            <w:hideMark/>
          </w:tcPr>
          <w:p w14:paraId="2CD1F121" w14:textId="3D86D97A" w:rsidR="00575776" w:rsidRPr="00E06C8F" w:rsidRDefault="00575776" w:rsidP="00575776">
            <w:pPr>
              <w:jc w:val="right"/>
              <w:rPr>
                <w:rFonts w:ascii="Arial" w:hAnsi="Arial" w:cs="Arial"/>
                <w:color w:val="000000"/>
              </w:rPr>
            </w:pPr>
            <w:r>
              <w:rPr>
                <w:rFonts w:ascii="Arial" w:hAnsi="Arial" w:cs="Arial"/>
                <w:color w:val="000000"/>
              </w:rPr>
              <w:t>25</w:t>
            </w:r>
            <w:r w:rsidR="00C00CC6">
              <w:rPr>
                <w:rFonts w:ascii="Arial" w:hAnsi="Arial" w:cs="Arial"/>
                <w:color w:val="000000"/>
              </w:rPr>
              <w:t>1,445</w:t>
            </w:r>
          </w:p>
        </w:tc>
        <w:tc>
          <w:tcPr>
            <w:tcW w:w="4172" w:type="dxa"/>
            <w:tcBorders>
              <w:top w:val="nil"/>
              <w:left w:val="single" w:sz="8" w:space="0" w:color="auto"/>
              <w:bottom w:val="nil"/>
              <w:right w:val="nil"/>
            </w:tcBorders>
            <w:shd w:val="clear" w:color="000000" w:fill="D9D9D9"/>
            <w:vAlign w:val="center"/>
            <w:hideMark/>
          </w:tcPr>
          <w:p w14:paraId="0D1C3B02" w14:textId="77777777" w:rsidR="00575776" w:rsidRPr="005151BE" w:rsidRDefault="00575776" w:rsidP="00575776">
            <w:pPr>
              <w:rPr>
                <w:rFonts w:ascii="Arial" w:hAnsi="Arial" w:cs="Arial"/>
                <w:color w:val="000000"/>
              </w:rPr>
            </w:pPr>
            <w:r w:rsidRPr="005151BE">
              <w:rPr>
                <w:rFonts w:ascii="Arial" w:hAnsi="Arial" w:cs="Arial"/>
                <w:color w:val="000000"/>
              </w:rPr>
              <w:t>Property, Plant &amp; Equipment</w:t>
            </w:r>
          </w:p>
        </w:tc>
        <w:tc>
          <w:tcPr>
            <w:tcW w:w="1448" w:type="dxa"/>
            <w:tcBorders>
              <w:top w:val="nil"/>
              <w:left w:val="nil"/>
              <w:bottom w:val="nil"/>
              <w:right w:val="single" w:sz="8" w:space="0" w:color="auto"/>
            </w:tcBorders>
            <w:shd w:val="clear" w:color="000000" w:fill="D9D9D9"/>
            <w:vAlign w:val="center"/>
            <w:hideMark/>
          </w:tcPr>
          <w:p w14:paraId="0F10822A" w14:textId="089BBB51" w:rsidR="00575776" w:rsidRPr="005151BE" w:rsidRDefault="00575776" w:rsidP="00575776">
            <w:pPr>
              <w:jc w:val="center"/>
              <w:rPr>
                <w:rFonts w:ascii="Arial" w:hAnsi="Arial" w:cs="Arial"/>
                <w:color w:val="000000"/>
              </w:rPr>
            </w:pPr>
            <w:r w:rsidRPr="005151BE">
              <w:rPr>
                <w:rFonts w:ascii="Arial" w:hAnsi="Arial" w:cs="Arial"/>
                <w:color w:val="000000"/>
              </w:rPr>
              <w:t>1</w:t>
            </w:r>
            <w:r w:rsidR="00D3507C">
              <w:rPr>
                <w:rFonts w:ascii="Arial" w:hAnsi="Arial" w:cs="Arial"/>
                <w:color w:val="000000"/>
              </w:rPr>
              <w:t>9</w:t>
            </w:r>
          </w:p>
        </w:tc>
        <w:tc>
          <w:tcPr>
            <w:tcW w:w="1895" w:type="dxa"/>
            <w:tcBorders>
              <w:top w:val="nil"/>
              <w:left w:val="nil"/>
              <w:bottom w:val="nil"/>
              <w:right w:val="single" w:sz="8" w:space="0" w:color="auto"/>
            </w:tcBorders>
            <w:shd w:val="clear" w:color="000000" w:fill="D9D9D9"/>
            <w:vAlign w:val="center"/>
            <w:hideMark/>
          </w:tcPr>
          <w:p w14:paraId="075E2ED9" w14:textId="080FB8C5" w:rsidR="00575776" w:rsidRPr="005151BE" w:rsidRDefault="00575776" w:rsidP="00575776">
            <w:pPr>
              <w:jc w:val="right"/>
              <w:rPr>
                <w:rFonts w:ascii="Arial" w:hAnsi="Arial" w:cs="Arial"/>
                <w:color w:val="000000"/>
              </w:rPr>
            </w:pPr>
            <w:r>
              <w:rPr>
                <w:rFonts w:ascii="Arial" w:hAnsi="Arial" w:cs="Arial"/>
                <w:color w:val="000000"/>
              </w:rPr>
              <w:t>262,458</w:t>
            </w:r>
          </w:p>
        </w:tc>
      </w:tr>
      <w:tr w:rsidR="00575776" w:rsidRPr="005151BE" w14:paraId="451B1E16" w14:textId="77777777" w:rsidTr="00863473">
        <w:trPr>
          <w:trHeight w:val="300"/>
        </w:trPr>
        <w:tc>
          <w:tcPr>
            <w:tcW w:w="1841" w:type="dxa"/>
            <w:tcBorders>
              <w:top w:val="nil"/>
              <w:left w:val="single" w:sz="8" w:space="0" w:color="auto"/>
              <w:bottom w:val="nil"/>
              <w:right w:val="nil"/>
            </w:tcBorders>
            <w:vAlign w:val="center"/>
            <w:hideMark/>
          </w:tcPr>
          <w:p w14:paraId="52A74AEA" w14:textId="13C7497E" w:rsidR="00575776" w:rsidRPr="00E06C8F" w:rsidRDefault="00575776" w:rsidP="00575776">
            <w:pPr>
              <w:jc w:val="right"/>
              <w:rPr>
                <w:rFonts w:ascii="Arial" w:hAnsi="Arial" w:cs="Arial"/>
                <w:color w:val="000000"/>
              </w:rPr>
            </w:pPr>
            <w:r>
              <w:rPr>
                <w:rFonts w:ascii="Arial" w:hAnsi="Arial" w:cs="Arial"/>
                <w:color w:val="000000"/>
              </w:rPr>
              <w:t>1,834</w:t>
            </w:r>
          </w:p>
        </w:tc>
        <w:tc>
          <w:tcPr>
            <w:tcW w:w="4172" w:type="dxa"/>
            <w:tcBorders>
              <w:top w:val="nil"/>
              <w:left w:val="single" w:sz="8" w:space="0" w:color="auto"/>
              <w:bottom w:val="nil"/>
              <w:right w:val="nil"/>
            </w:tcBorders>
            <w:shd w:val="clear" w:color="000000" w:fill="D9D9D9"/>
            <w:vAlign w:val="center"/>
            <w:hideMark/>
          </w:tcPr>
          <w:p w14:paraId="76F1DC81" w14:textId="77777777" w:rsidR="00575776" w:rsidRPr="005151BE" w:rsidRDefault="00575776" w:rsidP="00575776">
            <w:pPr>
              <w:rPr>
                <w:rFonts w:ascii="Arial" w:hAnsi="Arial" w:cs="Arial"/>
                <w:color w:val="000000"/>
              </w:rPr>
            </w:pPr>
            <w:r w:rsidRPr="005151BE">
              <w:rPr>
                <w:rFonts w:ascii="Arial" w:hAnsi="Arial" w:cs="Arial"/>
                <w:color w:val="000000"/>
              </w:rPr>
              <w:t>Investment Property</w:t>
            </w:r>
          </w:p>
        </w:tc>
        <w:tc>
          <w:tcPr>
            <w:tcW w:w="1448" w:type="dxa"/>
            <w:tcBorders>
              <w:top w:val="nil"/>
              <w:left w:val="nil"/>
              <w:bottom w:val="nil"/>
              <w:right w:val="single" w:sz="8" w:space="0" w:color="auto"/>
            </w:tcBorders>
            <w:shd w:val="clear" w:color="000000" w:fill="D9D9D9"/>
            <w:vAlign w:val="center"/>
            <w:hideMark/>
          </w:tcPr>
          <w:p w14:paraId="37A5377A" w14:textId="77777777" w:rsidR="00575776" w:rsidRPr="005151BE" w:rsidRDefault="00575776" w:rsidP="00575776">
            <w:pP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584E0B7A" w14:textId="76E37F64" w:rsidR="00575776" w:rsidRPr="005151BE" w:rsidRDefault="00575776" w:rsidP="00575776">
            <w:pPr>
              <w:jc w:val="right"/>
              <w:rPr>
                <w:rFonts w:ascii="Arial" w:hAnsi="Arial" w:cs="Arial"/>
                <w:color w:val="000000"/>
              </w:rPr>
            </w:pPr>
            <w:r>
              <w:rPr>
                <w:rFonts w:ascii="Arial" w:hAnsi="Arial" w:cs="Arial"/>
                <w:color w:val="000000"/>
              </w:rPr>
              <w:t>1,834</w:t>
            </w:r>
          </w:p>
        </w:tc>
      </w:tr>
      <w:tr w:rsidR="00575776" w:rsidRPr="005151BE" w14:paraId="1E51184D" w14:textId="77777777" w:rsidTr="00863473">
        <w:trPr>
          <w:trHeight w:val="300"/>
        </w:trPr>
        <w:tc>
          <w:tcPr>
            <w:tcW w:w="1841" w:type="dxa"/>
            <w:tcBorders>
              <w:top w:val="nil"/>
              <w:left w:val="single" w:sz="8" w:space="0" w:color="auto"/>
              <w:bottom w:val="nil"/>
              <w:right w:val="nil"/>
            </w:tcBorders>
            <w:vAlign w:val="center"/>
            <w:hideMark/>
          </w:tcPr>
          <w:p w14:paraId="3C5E18DF" w14:textId="4635CD79" w:rsidR="00575776" w:rsidRPr="00E06C8F" w:rsidRDefault="00575776" w:rsidP="00575776">
            <w:pPr>
              <w:jc w:val="right"/>
              <w:rPr>
                <w:rFonts w:ascii="Arial" w:hAnsi="Arial" w:cs="Arial"/>
                <w:color w:val="000000"/>
              </w:rPr>
            </w:pPr>
            <w:r>
              <w:rPr>
                <w:rFonts w:ascii="Arial" w:hAnsi="Arial" w:cs="Arial"/>
                <w:color w:val="000000"/>
              </w:rPr>
              <w:t>1,910</w:t>
            </w:r>
          </w:p>
        </w:tc>
        <w:tc>
          <w:tcPr>
            <w:tcW w:w="4172" w:type="dxa"/>
            <w:tcBorders>
              <w:top w:val="nil"/>
              <w:left w:val="single" w:sz="8" w:space="0" w:color="auto"/>
              <w:bottom w:val="nil"/>
              <w:right w:val="nil"/>
            </w:tcBorders>
            <w:shd w:val="clear" w:color="000000" w:fill="D9D9D9"/>
            <w:vAlign w:val="center"/>
            <w:hideMark/>
          </w:tcPr>
          <w:p w14:paraId="00ECE58D" w14:textId="77777777" w:rsidR="00575776" w:rsidRPr="005151BE" w:rsidRDefault="00575776" w:rsidP="00575776">
            <w:pPr>
              <w:rPr>
                <w:rFonts w:ascii="Arial" w:hAnsi="Arial" w:cs="Arial"/>
                <w:color w:val="000000"/>
              </w:rPr>
            </w:pPr>
            <w:r w:rsidRPr="005151BE">
              <w:rPr>
                <w:rFonts w:ascii="Arial" w:hAnsi="Arial" w:cs="Arial"/>
                <w:color w:val="000000"/>
              </w:rPr>
              <w:t>Intangible Assets</w:t>
            </w:r>
          </w:p>
        </w:tc>
        <w:tc>
          <w:tcPr>
            <w:tcW w:w="1448" w:type="dxa"/>
            <w:tcBorders>
              <w:top w:val="nil"/>
              <w:left w:val="nil"/>
              <w:bottom w:val="nil"/>
              <w:right w:val="single" w:sz="8" w:space="0" w:color="auto"/>
            </w:tcBorders>
            <w:shd w:val="clear" w:color="000000" w:fill="D9D9D9"/>
            <w:vAlign w:val="center"/>
            <w:hideMark/>
          </w:tcPr>
          <w:p w14:paraId="1B2F1117" w14:textId="77777777" w:rsidR="00575776" w:rsidRPr="005151BE" w:rsidRDefault="00575776" w:rsidP="00575776">
            <w:pP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77AF620A" w14:textId="290A2242" w:rsidR="00575776" w:rsidRPr="005151BE" w:rsidRDefault="00575776" w:rsidP="00575776">
            <w:pPr>
              <w:jc w:val="right"/>
              <w:rPr>
                <w:rFonts w:ascii="Arial" w:hAnsi="Arial" w:cs="Arial"/>
                <w:color w:val="000000"/>
              </w:rPr>
            </w:pPr>
            <w:r>
              <w:rPr>
                <w:rFonts w:ascii="Arial" w:hAnsi="Arial" w:cs="Arial"/>
                <w:color w:val="000000"/>
              </w:rPr>
              <w:t>4,027</w:t>
            </w:r>
          </w:p>
        </w:tc>
      </w:tr>
      <w:tr w:rsidR="00575776" w:rsidRPr="005151BE" w14:paraId="209EEF98" w14:textId="77777777" w:rsidTr="00863473">
        <w:trPr>
          <w:trHeight w:val="300"/>
        </w:trPr>
        <w:tc>
          <w:tcPr>
            <w:tcW w:w="1841" w:type="dxa"/>
            <w:tcBorders>
              <w:top w:val="single" w:sz="8" w:space="0" w:color="auto"/>
              <w:left w:val="single" w:sz="8" w:space="0" w:color="auto"/>
              <w:bottom w:val="nil"/>
              <w:right w:val="nil"/>
            </w:tcBorders>
            <w:vAlign w:val="center"/>
            <w:hideMark/>
          </w:tcPr>
          <w:p w14:paraId="281E0B2E" w14:textId="0BE71F2C" w:rsidR="00575776" w:rsidRPr="00E06C8F" w:rsidRDefault="00575776" w:rsidP="00575776">
            <w:pPr>
              <w:jc w:val="right"/>
              <w:rPr>
                <w:rFonts w:ascii="Arial" w:hAnsi="Arial" w:cs="Arial"/>
                <w:b/>
                <w:bCs/>
                <w:color w:val="000000"/>
              </w:rPr>
            </w:pPr>
            <w:r>
              <w:rPr>
                <w:rFonts w:ascii="Arial" w:hAnsi="Arial" w:cs="Arial"/>
                <w:b/>
                <w:bCs/>
                <w:color w:val="000000"/>
              </w:rPr>
              <w:t>25</w:t>
            </w:r>
            <w:r w:rsidR="001770CD">
              <w:rPr>
                <w:rFonts w:ascii="Arial" w:hAnsi="Arial" w:cs="Arial"/>
                <w:b/>
                <w:bCs/>
                <w:color w:val="000000"/>
              </w:rPr>
              <w:t>5,190</w:t>
            </w:r>
          </w:p>
        </w:tc>
        <w:tc>
          <w:tcPr>
            <w:tcW w:w="4172" w:type="dxa"/>
            <w:tcBorders>
              <w:top w:val="nil"/>
              <w:left w:val="single" w:sz="8" w:space="0" w:color="auto"/>
              <w:bottom w:val="nil"/>
              <w:right w:val="nil"/>
            </w:tcBorders>
            <w:shd w:val="clear" w:color="000000" w:fill="D9D9D9"/>
            <w:vAlign w:val="center"/>
            <w:hideMark/>
          </w:tcPr>
          <w:p w14:paraId="239FA8F2" w14:textId="77777777" w:rsidR="00575776" w:rsidRPr="005151BE" w:rsidRDefault="00575776" w:rsidP="00575776">
            <w:pPr>
              <w:rPr>
                <w:rFonts w:ascii="Arial" w:hAnsi="Arial" w:cs="Arial"/>
                <w:b/>
                <w:bCs/>
                <w:color w:val="000000"/>
              </w:rPr>
            </w:pPr>
            <w:r w:rsidRPr="005151BE">
              <w:rPr>
                <w:rFonts w:ascii="Arial" w:hAnsi="Arial" w:cs="Arial"/>
                <w:b/>
                <w:bCs/>
                <w:color w:val="000000"/>
              </w:rPr>
              <w:t>Long Term Assets</w:t>
            </w:r>
          </w:p>
        </w:tc>
        <w:tc>
          <w:tcPr>
            <w:tcW w:w="1448" w:type="dxa"/>
            <w:tcBorders>
              <w:top w:val="nil"/>
              <w:left w:val="nil"/>
              <w:bottom w:val="nil"/>
              <w:right w:val="single" w:sz="8" w:space="0" w:color="auto"/>
            </w:tcBorders>
            <w:shd w:val="clear" w:color="000000" w:fill="D9D9D9"/>
            <w:vAlign w:val="center"/>
            <w:hideMark/>
          </w:tcPr>
          <w:p w14:paraId="3F211F76" w14:textId="77777777" w:rsidR="00575776" w:rsidRPr="005151BE" w:rsidRDefault="00575776" w:rsidP="00575776">
            <w:pPr>
              <w:rPr>
                <w:rFonts w:ascii="Arial" w:hAnsi="Arial" w:cs="Arial"/>
                <w:b/>
                <w:bCs/>
                <w:color w:val="000000"/>
              </w:rPr>
            </w:pPr>
          </w:p>
        </w:tc>
        <w:tc>
          <w:tcPr>
            <w:tcW w:w="1895" w:type="dxa"/>
            <w:tcBorders>
              <w:top w:val="single" w:sz="8" w:space="0" w:color="auto"/>
              <w:left w:val="nil"/>
              <w:bottom w:val="nil"/>
              <w:right w:val="single" w:sz="8" w:space="0" w:color="auto"/>
            </w:tcBorders>
            <w:shd w:val="clear" w:color="000000" w:fill="D9D9D9"/>
            <w:vAlign w:val="center"/>
            <w:hideMark/>
          </w:tcPr>
          <w:p w14:paraId="74C0B9A5" w14:textId="60C2CA2E" w:rsidR="00575776" w:rsidRPr="005151BE" w:rsidRDefault="00575776" w:rsidP="00575776">
            <w:pPr>
              <w:jc w:val="right"/>
              <w:rPr>
                <w:rFonts w:ascii="Arial" w:hAnsi="Arial" w:cs="Arial"/>
                <w:b/>
                <w:bCs/>
                <w:color w:val="000000"/>
              </w:rPr>
            </w:pPr>
            <w:r>
              <w:rPr>
                <w:rFonts w:ascii="Arial" w:hAnsi="Arial" w:cs="Arial"/>
                <w:b/>
                <w:bCs/>
                <w:color w:val="000000"/>
              </w:rPr>
              <w:t>268,319</w:t>
            </w:r>
          </w:p>
        </w:tc>
      </w:tr>
      <w:tr w:rsidR="00575776" w:rsidRPr="005151BE" w14:paraId="714AEF37" w14:textId="77777777" w:rsidTr="00BA649D">
        <w:trPr>
          <w:trHeight w:val="170"/>
        </w:trPr>
        <w:tc>
          <w:tcPr>
            <w:tcW w:w="1841" w:type="dxa"/>
            <w:tcBorders>
              <w:top w:val="nil"/>
              <w:left w:val="single" w:sz="8" w:space="0" w:color="auto"/>
              <w:bottom w:val="nil"/>
              <w:right w:val="nil"/>
            </w:tcBorders>
            <w:vAlign w:val="center"/>
            <w:hideMark/>
          </w:tcPr>
          <w:p w14:paraId="0C5A6F6A" w14:textId="3A9BFB53" w:rsidR="00575776" w:rsidRPr="005151BE" w:rsidRDefault="00575776" w:rsidP="00575776">
            <w:pPr>
              <w:jc w:val="right"/>
              <w:rPr>
                <w:rFonts w:ascii="Arial" w:hAnsi="Arial" w:cs="Arial"/>
                <w:b/>
                <w:bCs/>
                <w:color w:val="000000"/>
              </w:rPr>
            </w:pPr>
            <w:r>
              <w:rPr>
                <w:rFonts w:ascii="Arial" w:hAnsi="Arial" w:cs="Arial"/>
                <w:color w:val="000000"/>
              </w:rPr>
              <w:t> </w:t>
            </w:r>
          </w:p>
        </w:tc>
        <w:tc>
          <w:tcPr>
            <w:tcW w:w="4172" w:type="dxa"/>
            <w:tcBorders>
              <w:top w:val="nil"/>
              <w:left w:val="single" w:sz="8" w:space="0" w:color="auto"/>
              <w:bottom w:val="nil"/>
              <w:right w:val="nil"/>
            </w:tcBorders>
            <w:shd w:val="clear" w:color="000000" w:fill="D9D9D9"/>
            <w:vAlign w:val="center"/>
            <w:hideMark/>
          </w:tcPr>
          <w:p w14:paraId="0470FD25" w14:textId="77777777" w:rsidR="00575776" w:rsidRPr="005151BE" w:rsidRDefault="00575776" w:rsidP="00575776">
            <w:pPr>
              <w:jc w:val="right"/>
            </w:pPr>
          </w:p>
        </w:tc>
        <w:tc>
          <w:tcPr>
            <w:tcW w:w="1448" w:type="dxa"/>
            <w:tcBorders>
              <w:top w:val="nil"/>
              <w:left w:val="nil"/>
              <w:bottom w:val="nil"/>
              <w:right w:val="single" w:sz="8" w:space="0" w:color="auto"/>
            </w:tcBorders>
            <w:shd w:val="clear" w:color="000000" w:fill="D9D9D9"/>
            <w:vAlign w:val="center"/>
            <w:hideMark/>
          </w:tcPr>
          <w:p w14:paraId="7DAC1A6D" w14:textId="77777777" w:rsidR="00575776" w:rsidRPr="005151BE" w:rsidRDefault="00575776" w:rsidP="00575776"/>
        </w:tc>
        <w:tc>
          <w:tcPr>
            <w:tcW w:w="1895" w:type="dxa"/>
            <w:tcBorders>
              <w:top w:val="nil"/>
              <w:left w:val="nil"/>
              <w:bottom w:val="nil"/>
              <w:right w:val="single" w:sz="8" w:space="0" w:color="auto"/>
            </w:tcBorders>
            <w:shd w:val="clear" w:color="000000" w:fill="D9D9D9"/>
            <w:vAlign w:val="center"/>
            <w:hideMark/>
          </w:tcPr>
          <w:p w14:paraId="4E7ECB52" w14:textId="2BD327D2" w:rsidR="00575776" w:rsidRPr="005151BE" w:rsidRDefault="00575776" w:rsidP="00575776">
            <w:pPr>
              <w:jc w:val="center"/>
            </w:pPr>
            <w:r>
              <w:rPr>
                <w:rFonts w:ascii="Arial" w:hAnsi="Arial" w:cs="Arial"/>
                <w:color w:val="000000"/>
              </w:rPr>
              <w:t> </w:t>
            </w:r>
          </w:p>
        </w:tc>
      </w:tr>
      <w:tr w:rsidR="00575776" w:rsidRPr="005151BE" w14:paraId="324088BF" w14:textId="77777777" w:rsidTr="00863473">
        <w:trPr>
          <w:trHeight w:val="300"/>
        </w:trPr>
        <w:tc>
          <w:tcPr>
            <w:tcW w:w="1841" w:type="dxa"/>
            <w:tcBorders>
              <w:top w:val="nil"/>
              <w:left w:val="single" w:sz="8" w:space="0" w:color="auto"/>
              <w:bottom w:val="nil"/>
              <w:right w:val="nil"/>
            </w:tcBorders>
            <w:vAlign w:val="center"/>
            <w:hideMark/>
          </w:tcPr>
          <w:p w14:paraId="62C7F66E" w14:textId="24BAA890" w:rsidR="00575776" w:rsidRPr="005151BE" w:rsidRDefault="00575776" w:rsidP="00575776">
            <w:pPr>
              <w:jc w:val="right"/>
              <w:rPr>
                <w:rFonts w:ascii="Arial" w:hAnsi="Arial" w:cs="Arial"/>
                <w:color w:val="000000"/>
              </w:rPr>
            </w:pPr>
            <w:r>
              <w:rPr>
                <w:rFonts w:ascii="Arial" w:hAnsi="Arial" w:cs="Arial"/>
                <w:color w:val="000000"/>
              </w:rPr>
              <w:t>0</w:t>
            </w:r>
          </w:p>
        </w:tc>
        <w:tc>
          <w:tcPr>
            <w:tcW w:w="4172" w:type="dxa"/>
            <w:tcBorders>
              <w:top w:val="nil"/>
              <w:left w:val="single" w:sz="8" w:space="0" w:color="auto"/>
              <w:bottom w:val="nil"/>
              <w:right w:val="nil"/>
            </w:tcBorders>
            <w:shd w:val="clear" w:color="000000" w:fill="D9D9D9"/>
            <w:vAlign w:val="center"/>
            <w:hideMark/>
          </w:tcPr>
          <w:p w14:paraId="2C45D811" w14:textId="77777777" w:rsidR="00575776" w:rsidRPr="005151BE" w:rsidRDefault="00575776" w:rsidP="00575776">
            <w:pPr>
              <w:rPr>
                <w:rFonts w:ascii="Arial" w:hAnsi="Arial" w:cs="Arial"/>
                <w:color w:val="000000"/>
              </w:rPr>
            </w:pPr>
            <w:r w:rsidRPr="005151BE">
              <w:rPr>
                <w:rFonts w:ascii="Arial" w:hAnsi="Arial" w:cs="Arial"/>
                <w:color w:val="000000"/>
              </w:rPr>
              <w:t>Short Term Deposits</w:t>
            </w:r>
          </w:p>
        </w:tc>
        <w:tc>
          <w:tcPr>
            <w:tcW w:w="1448" w:type="dxa"/>
            <w:tcBorders>
              <w:top w:val="nil"/>
              <w:left w:val="nil"/>
              <w:bottom w:val="nil"/>
              <w:right w:val="single" w:sz="8" w:space="0" w:color="auto"/>
            </w:tcBorders>
            <w:shd w:val="clear" w:color="000000" w:fill="D9D9D9"/>
            <w:vAlign w:val="center"/>
            <w:hideMark/>
          </w:tcPr>
          <w:p w14:paraId="0E7ED28E" w14:textId="77777777" w:rsidR="00575776" w:rsidRPr="005151BE" w:rsidRDefault="00575776" w:rsidP="00575776">
            <w:pP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326044EA" w14:textId="708253F9" w:rsidR="00575776" w:rsidRPr="005151BE" w:rsidRDefault="00575776" w:rsidP="00575776">
            <w:pPr>
              <w:jc w:val="right"/>
              <w:rPr>
                <w:rFonts w:ascii="Arial" w:hAnsi="Arial" w:cs="Arial"/>
                <w:color w:val="000000"/>
              </w:rPr>
            </w:pPr>
            <w:r>
              <w:rPr>
                <w:rFonts w:ascii="Arial" w:hAnsi="Arial" w:cs="Arial"/>
                <w:color w:val="000000"/>
              </w:rPr>
              <w:t>0</w:t>
            </w:r>
          </w:p>
        </w:tc>
      </w:tr>
      <w:tr w:rsidR="00575776" w:rsidRPr="005151BE" w14:paraId="570A1A48" w14:textId="77777777" w:rsidTr="00863473">
        <w:trPr>
          <w:trHeight w:val="300"/>
        </w:trPr>
        <w:tc>
          <w:tcPr>
            <w:tcW w:w="1841" w:type="dxa"/>
            <w:tcBorders>
              <w:top w:val="nil"/>
              <w:left w:val="single" w:sz="8" w:space="0" w:color="auto"/>
              <w:bottom w:val="nil"/>
              <w:right w:val="nil"/>
            </w:tcBorders>
            <w:vAlign w:val="center"/>
            <w:hideMark/>
          </w:tcPr>
          <w:p w14:paraId="70CAC2A7" w14:textId="0A79A1A7" w:rsidR="00575776" w:rsidRPr="005151BE" w:rsidRDefault="00575776" w:rsidP="00575776">
            <w:pPr>
              <w:jc w:val="right"/>
              <w:rPr>
                <w:rFonts w:ascii="Arial" w:hAnsi="Arial" w:cs="Arial"/>
                <w:color w:val="000000"/>
              </w:rPr>
            </w:pPr>
            <w:r>
              <w:rPr>
                <w:rFonts w:ascii="Arial" w:hAnsi="Arial" w:cs="Arial"/>
                <w:color w:val="000000"/>
              </w:rPr>
              <w:t>0</w:t>
            </w:r>
          </w:p>
        </w:tc>
        <w:tc>
          <w:tcPr>
            <w:tcW w:w="4172" w:type="dxa"/>
            <w:tcBorders>
              <w:top w:val="nil"/>
              <w:left w:val="single" w:sz="8" w:space="0" w:color="auto"/>
              <w:bottom w:val="nil"/>
              <w:right w:val="nil"/>
            </w:tcBorders>
            <w:shd w:val="clear" w:color="000000" w:fill="D9D9D9"/>
            <w:vAlign w:val="center"/>
            <w:hideMark/>
          </w:tcPr>
          <w:p w14:paraId="2D9A7482" w14:textId="77777777" w:rsidR="00575776" w:rsidRPr="005151BE" w:rsidRDefault="00575776" w:rsidP="00575776">
            <w:pPr>
              <w:rPr>
                <w:rFonts w:ascii="Arial" w:hAnsi="Arial" w:cs="Arial"/>
                <w:color w:val="000000"/>
              </w:rPr>
            </w:pPr>
            <w:r w:rsidRPr="005151BE">
              <w:rPr>
                <w:rFonts w:ascii="Arial" w:hAnsi="Arial" w:cs="Arial"/>
                <w:color w:val="000000"/>
              </w:rPr>
              <w:t>Assets Held for Sale</w:t>
            </w:r>
          </w:p>
        </w:tc>
        <w:tc>
          <w:tcPr>
            <w:tcW w:w="1448" w:type="dxa"/>
            <w:tcBorders>
              <w:top w:val="nil"/>
              <w:left w:val="nil"/>
              <w:bottom w:val="nil"/>
              <w:right w:val="single" w:sz="8" w:space="0" w:color="auto"/>
            </w:tcBorders>
            <w:shd w:val="clear" w:color="000000" w:fill="D9D9D9"/>
            <w:vAlign w:val="center"/>
            <w:hideMark/>
          </w:tcPr>
          <w:p w14:paraId="1974722D" w14:textId="77777777" w:rsidR="00575776" w:rsidRPr="005151BE" w:rsidRDefault="00575776" w:rsidP="00575776">
            <w:pP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234CDEBF" w14:textId="6CDC37AD" w:rsidR="00575776" w:rsidRPr="005151BE" w:rsidRDefault="00575776" w:rsidP="00575776">
            <w:pPr>
              <w:jc w:val="right"/>
              <w:rPr>
                <w:rFonts w:ascii="Arial" w:hAnsi="Arial" w:cs="Arial"/>
                <w:color w:val="000000"/>
              </w:rPr>
            </w:pPr>
            <w:r>
              <w:rPr>
                <w:rFonts w:ascii="Arial" w:hAnsi="Arial" w:cs="Arial"/>
                <w:color w:val="000000"/>
              </w:rPr>
              <w:t>0</w:t>
            </w:r>
          </w:p>
        </w:tc>
      </w:tr>
      <w:tr w:rsidR="00575776" w:rsidRPr="005151BE" w14:paraId="29B835E0" w14:textId="77777777" w:rsidTr="00863473">
        <w:trPr>
          <w:trHeight w:val="300"/>
        </w:trPr>
        <w:tc>
          <w:tcPr>
            <w:tcW w:w="1841" w:type="dxa"/>
            <w:tcBorders>
              <w:top w:val="nil"/>
              <w:left w:val="single" w:sz="8" w:space="0" w:color="auto"/>
              <w:bottom w:val="nil"/>
              <w:right w:val="nil"/>
            </w:tcBorders>
            <w:vAlign w:val="center"/>
            <w:hideMark/>
          </w:tcPr>
          <w:p w14:paraId="399F0E47" w14:textId="35C7F7BA" w:rsidR="00575776" w:rsidRPr="005151BE" w:rsidRDefault="00575776" w:rsidP="00575776">
            <w:pPr>
              <w:jc w:val="right"/>
              <w:rPr>
                <w:rFonts w:ascii="Arial" w:hAnsi="Arial" w:cs="Arial"/>
                <w:color w:val="000000"/>
              </w:rPr>
            </w:pPr>
            <w:r>
              <w:rPr>
                <w:rFonts w:ascii="Arial" w:hAnsi="Arial" w:cs="Arial"/>
                <w:color w:val="000000"/>
              </w:rPr>
              <w:t>1,569</w:t>
            </w:r>
          </w:p>
        </w:tc>
        <w:tc>
          <w:tcPr>
            <w:tcW w:w="4172" w:type="dxa"/>
            <w:tcBorders>
              <w:top w:val="nil"/>
              <w:left w:val="single" w:sz="8" w:space="0" w:color="auto"/>
              <w:bottom w:val="nil"/>
              <w:right w:val="nil"/>
            </w:tcBorders>
            <w:shd w:val="clear" w:color="000000" w:fill="D9D9D9"/>
            <w:vAlign w:val="center"/>
            <w:hideMark/>
          </w:tcPr>
          <w:p w14:paraId="25F396A2" w14:textId="77777777" w:rsidR="00575776" w:rsidRPr="005151BE" w:rsidRDefault="00575776" w:rsidP="00575776">
            <w:pPr>
              <w:rPr>
                <w:rFonts w:ascii="Arial" w:hAnsi="Arial" w:cs="Arial"/>
                <w:color w:val="000000"/>
              </w:rPr>
            </w:pPr>
            <w:r w:rsidRPr="005151BE">
              <w:rPr>
                <w:rFonts w:ascii="Arial" w:hAnsi="Arial" w:cs="Arial"/>
                <w:color w:val="000000"/>
              </w:rPr>
              <w:t>Inventories</w:t>
            </w:r>
          </w:p>
        </w:tc>
        <w:tc>
          <w:tcPr>
            <w:tcW w:w="1448" w:type="dxa"/>
            <w:tcBorders>
              <w:top w:val="nil"/>
              <w:left w:val="nil"/>
              <w:bottom w:val="nil"/>
              <w:right w:val="single" w:sz="8" w:space="0" w:color="auto"/>
            </w:tcBorders>
            <w:shd w:val="clear" w:color="000000" w:fill="D9D9D9"/>
            <w:vAlign w:val="center"/>
            <w:hideMark/>
          </w:tcPr>
          <w:p w14:paraId="0CE67A5B" w14:textId="77777777" w:rsidR="00575776" w:rsidRPr="005151BE" w:rsidRDefault="00575776" w:rsidP="00575776">
            <w:pP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00F09CB3" w14:textId="5447FEE3" w:rsidR="00575776" w:rsidRPr="005151BE" w:rsidRDefault="00575776" w:rsidP="00575776">
            <w:pPr>
              <w:jc w:val="right"/>
              <w:rPr>
                <w:rFonts w:ascii="Arial" w:hAnsi="Arial" w:cs="Arial"/>
                <w:color w:val="000000"/>
              </w:rPr>
            </w:pPr>
            <w:r>
              <w:rPr>
                <w:rFonts w:ascii="Arial" w:hAnsi="Arial" w:cs="Arial"/>
                <w:color w:val="000000"/>
              </w:rPr>
              <w:t>1,443</w:t>
            </w:r>
          </w:p>
        </w:tc>
      </w:tr>
      <w:tr w:rsidR="00575776" w:rsidRPr="005151BE" w14:paraId="4AE34C4F" w14:textId="77777777" w:rsidTr="00863473">
        <w:trPr>
          <w:trHeight w:val="300"/>
        </w:trPr>
        <w:tc>
          <w:tcPr>
            <w:tcW w:w="1841" w:type="dxa"/>
            <w:tcBorders>
              <w:top w:val="nil"/>
              <w:left w:val="single" w:sz="8" w:space="0" w:color="auto"/>
              <w:bottom w:val="nil"/>
              <w:right w:val="nil"/>
            </w:tcBorders>
            <w:vAlign w:val="center"/>
            <w:hideMark/>
          </w:tcPr>
          <w:p w14:paraId="1AF7AAB8" w14:textId="26D107CE" w:rsidR="00575776" w:rsidRPr="005151BE" w:rsidRDefault="00575776" w:rsidP="00575776">
            <w:pPr>
              <w:jc w:val="right"/>
              <w:rPr>
                <w:rFonts w:ascii="Arial" w:hAnsi="Arial" w:cs="Arial"/>
                <w:color w:val="000000"/>
              </w:rPr>
            </w:pPr>
            <w:r>
              <w:rPr>
                <w:rFonts w:ascii="Arial" w:hAnsi="Arial" w:cs="Arial"/>
                <w:color w:val="000000"/>
              </w:rPr>
              <w:t>57,766</w:t>
            </w:r>
          </w:p>
        </w:tc>
        <w:tc>
          <w:tcPr>
            <w:tcW w:w="4172" w:type="dxa"/>
            <w:tcBorders>
              <w:top w:val="nil"/>
              <w:left w:val="single" w:sz="8" w:space="0" w:color="auto"/>
              <w:bottom w:val="nil"/>
              <w:right w:val="nil"/>
            </w:tcBorders>
            <w:shd w:val="clear" w:color="000000" w:fill="D9D9D9"/>
            <w:vAlign w:val="center"/>
            <w:hideMark/>
          </w:tcPr>
          <w:p w14:paraId="2A5D19BE" w14:textId="77777777" w:rsidR="00575776" w:rsidRPr="005151BE" w:rsidRDefault="00575776" w:rsidP="00575776">
            <w:pPr>
              <w:rPr>
                <w:rFonts w:ascii="Arial" w:hAnsi="Arial" w:cs="Arial"/>
                <w:color w:val="000000"/>
              </w:rPr>
            </w:pPr>
            <w:r w:rsidRPr="005151BE">
              <w:rPr>
                <w:rFonts w:ascii="Arial" w:hAnsi="Arial" w:cs="Arial"/>
                <w:color w:val="000000"/>
              </w:rPr>
              <w:t>Short Term Debtors</w:t>
            </w:r>
          </w:p>
        </w:tc>
        <w:tc>
          <w:tcPr>
            <w:tcW w:w="1448" w:type="dxa"/>
            <w:tcBorders>
              <w:top w:val="nil"/>
              <w:left w:val="nil"/>
              <w:bottom w:val="nil"/>
              <w:right w:val="single" w:sz="8" w:space="0" w:color="auto"/>
            </w:tcBorders>
            <w:shd w:val="clear" w:color="000000" w:fill="D9D9D9"/>
            <w:vAlign w:val="center"/>
            <w:hideMark/>
          </w:tcPr>
          <w:p w14:paraId="50B15564" w14:textId="649891B7" w:rsidR="00575776" w:rsidRPr="005151BE" w:rsidRDefault="00575776" w:rsidP="00575776">
            <w:pPr>
              <w:jc w:val="center"/>
              <w:rPr>
                <w:rFonts w:ascii="Arial" w:hAnsi="Arial" w:cs="Arial"/>
                <w:color w:val="000000"/>
              </w:rPr>
            </w:pPr>
            <w:r w:rsidRPr="005151BE">
              <w:rPr>
                <w:rFonts w:ascii="Arial" w:hAnsi="Arial" w:cs="Arial"/>
                <w:color w:val="000000"/>
              </w:rPr>
              <w:t>2</w:t>
            </w:r>
            <w:r w:rsidR="00D3507C">
              <w:rPr>
                <w:rFonts w:ascii="Arial" w:hAnsi="Arial" w:cs="Arial"/>
                <w:color w:val="000000"/>
              </w:rPr>
              <w:t>1</w:t>
            </w:r>
          </w:p>
        </w:tc>
        <w:tc>
          <w:tcPr>
            <w:tcW w:w="1895" w:type="dxa"/>
            <w:tcBorders>
              <w:top w:val="nil"/>
              <w:left w:val="nil"/>
              <w:bottom w:val="nil"/>
              <w:right w:val="single" w:sz="8" w:space="0" w:color="auto"/>
            </w:tcBorders>
            <w:shd w:val="clear" w:color="000000" w:fill="D9D9D9"/>
            <w:vAlign w:val="center"/>
            <w:hideMark/>
          </w:tcPr>
          <w:p w14:paraId="3E25CAD6" w14:textId="594AE4E4" w:rsidR="00575776" w:rsidRPr="005151BE" w:rsidRDefault="00575776" w:rsidP="00575776">
            <w:pPr>
              <w:jc w:val="right"/>
              <w:rPr>
                <w:rFonts w:ascii="Arial" w:hAnsi="Arial" w:cs="Arial"/>
                <w:color w:val="000000"/>
              </w:rPr>
            </w:pPr>
            <w:r>
              <w:rPr>
                <w:rFonts w:ascii="Arial" w:hAnsi="Arial" w:cs="Arial"/>
                <w:color w:val="000000"/>
              </w:rPr>
              <w:t>56,</w:t>
            </w:r>
            <w:r w:rsidR="00A34F59" w:rsidRPr="00A34F59">
              <w:rPr>
                <w:rFonts w:ascii="Arial" w:hAnsi="Arial" w:cs="Arial"/>
                <w:color w:val="000000"/>
              </w:rPr>
              <w:t>570</w:t>
            </w:r>
          </w:p>
        </w:tc>
      </w:tr>
      <w:tr w:rsidR="00575776" w:rsidRPr="005151BE" w14:paraId="6042A268" w14:textId="77777777" w:rsidTr="00863473">
        <w:trPr>
          <w:trHeight w:val="300"/>
        </w:trPr>
        <w:tc>
          <w:tcPr>
            <w:tcW w:w="1841" w:type="dxa"/>
            <w:tcBorders>
              <w:top w:val="nil"/>
              <w:left w:val="single" w:sz="8" w:space="0" w:color="auto"/>
              <w:bottom w:val="nil"/>
              <w:right w:val="nil"/>
            </w:tcBorders>
            <w:vAlign w:val="center"/>
            <w:hideMark/>
          </w:tcPr>
          <w:p w14:paraId="0CF34101" w14:textId="207F7DD9" w:rsidR="00575776" w:rsidRPr="005151BE" w:rsidRDefault="00D06EDA" w:rsidP="00575776">
            <w:pPr>
              <w:jc w:val="right"/>
              <w:rPr>
                <w:rFonts w:ascii="Arial" w:hAnsi="Arial" w:cs="Arial"/>
                <w:color w:val="000000"/>
              </w:rPr>
            </w:pPr>
            <w:r>
              <w:rPr>
                <w:rFonts w:ascii="Arial" w:hAnsi="Arial" w:cs="Arial"/>
                <w:color w:val="000000"/>
              </w:rPr>
              <w:t>4,61</w:t>
            </w:r>
            <w:r w:rsidR="00575776">
              <w:rPr>
                <w:rFonts w:ascii="Arial" w:hAnsi="Arial" w:cs="Arial"/>
                <w:color w:val="000000"/>
              </w:rPr>
              <w:t>9</w:t>
            </w:r>
          </w:p>
        </w:tc>
        <w:tc>
          <w:tcPr>
            <w:tcW w:w="4172" w:type="dxa"/>
            <w:tcBorders>
              <w:top w:val="nil"/>
              <w:left w:val="single" w:sz="8" w:space="0" w:color="auto"/>
              <w:bottom w:val="nil"/>
              <w:right w:val="nil"/>
            </w:tcBorders>
            <w:shd w:val="clear" w:color="000000" w:fill="D9D9D9"/>
            <w:vAlign w:val="center"/>
            <w:hideMark/>
          </w:tcPr>
          <w:p w14:paraId="6B116FB8" w14:textId="77777777" w:rsidR="00575776" w:rsidRPr="005151BE" w:rsidRDefault="00575776" w:rsidP="00575776">
            <w:pPr>
              <w:rPr>
                <w:rFonts w:ascii="Arial" w:hAnsi="Arial" w:cs="Arial"/>
                <w:color w:val="000000"/>
              </w:rPr>
            </w:pPr>
            <w:r w:rsidRPr="005151BE">
              <w:rPr>
                <w:rFonts w:ascii="Arial" w:hAnsi="Arial" w:cs="Arial"/>
                <w:color w:val="000000"/>
              </w:rPr>
              <w:t>Cash and Cash Equivalents</w:t>
            </w:r>
          </w:p>
        </w:tc>
        <w:tc>
          <w:tcPr>
            <w:tcW w:w="1448" w:type="dxa"/>
            <w:tcBorders>
              <w:top w:val="nil"/>
              <w:left w:val="nil"/>
              <w:bottom w:val="nil"/>
              <w:right w:val="single" w:sz="8" w:space="0" w:color="auto"/>
            </w:tcBorders>
            <w:shd w:val="clear" w:color="000000" w:fill="D9D9D9"/>
            <w:vAlign w:val="center"/>
            <w:hideMark/>
          </w:tcPr>
          <w:p w14:paraId="16F7D411" w14:textId="449B986E" w:rsidR="00575776" w:rsidRPr="005151BE" w:rsidRDefault="00575776" w:rsidP="00575776">
            <w:pPr>
              <w:jc w:val="center"/>
              <w:rPr>
                <w:rFonts w:ascii="Arial" w:hAnsi="Arial" w:cs="Arial"/>
                <w:color w:val="000000"/>
              </w:rPr>
            </w:pPr>
            <w:r w:rsidRPr="005151BE">
              <w:rPr>
                <w:rFonts w:ascii="Arial" w:hAnsi="Arial" w:cs="Arial"/>
                <w:color w:val="000000"/>
              </w:rPr>
              <w:t>2</w:t>
            </w:r>
            <w:r w:rsidR="00D3507C">
              <w:rPr>
                <w:rFonts w:ascii="Arial" w:hAnsi="Arial" w:cs="Arial"/>
                <w:color w:val="000000"/>
              </w:rPr>
              <w:t>4</w:t>
            </w:r>
          </w:p>
        </w:tc>
        <w:tc>
          <w:tcPr>
            <w:tcW w:w="1895" w:type="dxa"/>
            <w:tcBorders>
              <w:top w:val="nil"/>
              <w:left w:val="nil"/>
              <w:bottom w:val="nil"/>
              <w:right w:val="single" w:sz="8" w:space="0" w:color="auto"/>
            </w:tcBorders>
            <w:shd w:val="clear" w:color="000000" w:fill="D9D9D9"/>
            <w:vAlign w:val="center"/>
            <w:hideMark/>
          </w:tcPr>
          <w:p w14:paraId="3C8F4B25" w14:textId="3262F56B" w:rsidR="00575776" w:rsidRPr="005151BE" w:rsidRDefault="00575776" w:rsidP="00575776">
            <w:pPr>
              <w:jc w:val="right"/>
              <w:rPr>
                <w:rFonts w:ascii="Arial" w:hAnsi="Arial" w:cs="Arial"/>
                <w:color w:val="000000"/>
              </w:rPr>
            </w:pPr>
            <w:r>
              <w:rPr>
                <w:rFonts w:ascii="Arial" w:hAnsi="Arial" w:cs="Arial"/>
                <w:color w:val="000000"/>
              </w:rPr>
              <w:t>11,898</w:t>
            </w:r>
          </w:p>
        </w:tc>
      </w:tr>
      <w:tr w:rsidR="00575776" w:rsidRPr="005151BE" w14:paraId="4AA66300" w14:textId="77777777" w:rsidTr="00863473">
        <w:trPr>
          <w:trHeight w:val="300"/>
        </w:trPr>
        <w:tc>
          <w:tcPr>
            <w:tcW w:w="1841" w:type="dxa"/>
            <w:tcBorders>
              <w:top w:val="nil"/>
              <w:left w:val="single" w:sz="8" w:space="0" w:color="auto"/>
              <w:bottom w:val="nil"/>
              <w:right w:val="nil"/>
            </w:tcBorders>
            <w:vAlign w:val="center"/>
            <w:hideMark/>
          </w:tcPr>
          <w:p w14:paraId="775D530F" w14:textId="7951F954" w:rsidR="00575776" w:rsidRPr="005151BE" w:rsidRDefault="00575776" w:rsidP="00575776">
            <w:pPr>
              <w:jc w:val="right"/>
              <w:rPr>
                <w:rFonts w:ascii="Arial" w:hAnsi="Arial" w:cs="Arial"/>
                <w:color w:val="000000"/>
              </w:rPr>
            </w:pPr>
            <w:r>
              <w:rPr>
                <w:rFonts w:ascii="Arial" w:hAnsi="Arial" w:cs="Arial"/>
                <w:color w:val="000000"/>
              </w:rPr>
              <w:t>12,2</w:t>
            </w:r>
            <w:r w:rsidR="00C00CC6">
              <w:rPr>
                <w:rFonts w:ascii="Arial" w:hAnsi="Arial" w:cs="Arial"/>
                <w:color w:val="000000"/>
              </w:rPr>
              <w:t>98</w:t>
            </w:r>
          </w:p>
        </w:tc>
        <w:tc>
          <w:tcPr>
            <w:tcW w:w="4172" w:type="dxa"/>
            <w:tcBorders>
              <w:top w:val="nil"/>
              <w:left w:val="single" w:sz="8" w:space="0" w:color="auto"/>
              <w:bottom w:val="nil"/>
              <w:right w:val="nil"/>
            </w:tcBorders>
            <w:shd w:val="clear" w:color="000000" w:fill="D9D9D9"/>
            <w:vAlign w:val="center"/>
            <w:hideMark/>
          </w:tcPr>
          <w:p w14:paraId="52485A23" w14:textId="77777777" w:rsidR="00575776" w:rsidRPr="005151BE" w:rsidRDefault="00575776" w:rsidP="00575776">
            <w:pPr>
              <w:rPr>
                <w:rFonts w:ascii="Arial" w:hAnsi="Arial" w:cs="Arial"/>
                <w:color w:val="000000"/>
              </w:rPr>
            </w:pPr>
            <w:r w:rsidRPr="005151BE">
              <w:rPr>
                <w:rFonts w:ascii="Arial" w:hAnsi="Arial" w:cs="Arial"/>
                <w:color w:val="000000"/>
              </w:rPr>
              <w:t>Payments in Advance</w:t>
            </w:r>
          </w:p>
        </w:tc>
        <w:tc>
          <w:tcPr>
            <w:tcW w:w="1448" w:type="dxa"/>
            <w:tcBorders>
              <w:top w:val="nil"/>
              <w:left w:val="nil"/>
              <w:bottom w:val="nil"/>
              <w:right w:val="single" w:sz="8" w:space="0" w:color="auto"/>
            </w:tcBorders>
            <w:shd w:val="clear" w:color="000000" w:fill="D9D9D9"/>
            <w:vAlign w:val="center"/>
            <w:hideMark/>
          </w:tcPr>
          <w:p w14:paraId="3CB6DBF0" w14:textId="44572986" w:rsidR="00575776" w:rsidRPr="005151BE" w:rsidRDefault="00575776" w:rsidP="00575776">
            <w:pPr>
              <w:jc w:val="center"/>
              <w:rPr>
                <w:rFonts w:ascii="Arial" w:hAnsi="Arial" w:cs="Arial"/>
                <w:color w:val="000000"/>
              </w:rPr>
            </w:pPr>
            <w:r>
              <w:rPr>
                <w:rFonts w:ascii="Arial" w:hAnsi="Arial" w:cs="Arial"/>
                <w:color w:val="000000"/>
              </w:rPr>
              <w:t>2</w:t>
            </w:r>
            <w:r w:rsidR="006C65E3">
              <w:rPr>
                <w:rFonts w:ascii="Arial" w:hAnsi="Arial" w:cs="Arial"/>
                <w:color w:val="000000"/>
              </w:rPr>
              <w:t>2</w:t>
            </w:r>
          </w:p>
        </w:tc>
        <w:tc>
          <w:tcPr>
            <w:tcW w:w="1895" w:type="dxa"/>
            <w:tcBorders>
              <w:top w:val="nil"/>
              <w:left w:val="nil"/>
              <w:bottom w:val="nil"/>
              <w:right w:val="single" w:sz="8" w:space="0" w:color="auto"/>
            </w:tcBorders>
            <w:shd w:val="clear" w:color="000000" w:fill="D9D9D9"/>
            <w:vAlign w:val="center"/>
            <w:hideMark/>
          </w:tcPr>
          <w:p w14:paraId="4E205D41" w14:textId="28EDB879" w:rsidR="00575776" w:rsidRPr="005151BE" w:rsidRDefault="00575776" w:rsidP="00575776">
            <w:pPr>
              <w:jc w:val="right"/>
              <w:rPr>
                <w:rFonts w:ascii="Arial" w:hAnsi="Arial" w:cs="Arial"/>
                <w:color w:val="000000"/>
              </w:rPr>
            </w:pPr>
            <w:r>
              <w:rPr>
                <w:rFonts w:ascii="Arial" w:hAnsi="Arial" w:cs="Arial"/>
                <w:color w:val="000000"/>
              </w:rPr>
              <w:t>5,410</w:t>
            </w:r>
          </w:p>
        </w:tc>
      </w:tr>
      <w:tr w:rsidR="00575776" w:rsidRPr="005151BE" w14:paraId="36EBBD1B" w14:textId="77777777" w:rsidTr="00863473">
        <w:trPr>
          <w:trHeight w:val="315"/>
        </w:trPr>
        <w:tc>
          <w:tcPr>
            <w:tcW w:w="1841" w:type="dxa"/>
            <w:tcBorders>
              <w:top w:val="single" w:sz="8" w:space="0" w:color="auto"/>
              <w:left w:val="single" w:sz="8" w:space="0" w:color="auto"/>
              <w:bottom w:val="nil"/>
              <w:right w:val="nil"/>
            </w:tcBorders>
            <w:vAlign w:val="center"/>
            <w:hideMark/>
          </w:tcPr>
          <w:p w14:paraId="6C30CF6A" w14:textId="398AED99" w:rsidR="00575776" w:rsidRPr="005151BE" w:rsidRDefault="00D06EDA" w:rsidP="00575776">
            <w:pPr>
              <w:jc w:val="right"/>
              <w:rPr>
                <w:rFonts w:ascii="Arial" w:hAnsi="Arial" w:cs="Arial"/>
                <w:b/>
                <w:bCs/>
                <w:color w:val="000000"/>
              </w:rPr>
            </w:pPr>
            <w:r>
              <w:rPr>
                <w:rFonts w:ascii="Arial" w:hAnsi="Arial" w:cs="Arial"/>
                <w:b/>
                <w:bCs/>
                <w:color w:val="000000"/>
              </w:rPr>
              <w:t>76,252</w:t>
            </w:r>
          </w:p>
        </w:tc>
        <w:tc>
          <w:tcPr>
            <w:tcW w:w="4172" w:type="dxa"/>
            <w:tcBorders>
              <w:top w:val="nil"/>
              <w:left w:val="single" w:sz="8" w:space="0" w:color="auto"/>
              <w:bottom w:val="nil"/>
              <w:right w:val="nil"/>
            </w:tcBorders>
            <w:shd w:val="clear" w:color="000000" w:fill="D9D9D9"/>
            <w:vAlign w:val="center"/>
            <w:hideMark/>
          </w:tcPr>
          <w:p w14:paraId="2791FC3C" w14:textId="77777777" w:rsidR="00575776" w:rsidRPr="005151BE" w:rsidRDefault="00575776" w:rsidP="00575776">
            <w:pPr>
              <w:rPr>
                <w:rFonts w:ascii="Arial" w:hAnsi="Arial" w:cs="Arial"/>
                <w:b/>
                <w:bCs/>
                <w:color w:val="000000"/>
              </w:rPr>
            </w:pPr>
            <w:r w:rsidRPr="005151BE">
              <w:rPr>
                <w:rFonts w:ascii="Arial" w:hAnsi="Arial" w:cs="Arial"/>
                <w:b/>
                <w:bCs/>
                <w:color w:val="000000"/>
              </w:rPr>
              <w:t>Current Assets</w:t>
            </w:r>
          </w:p>
        </w:tc>
        <w:tc>
          <w:tcPr>
            <w:tcW w:w="1448" w:type="dxa"/>
            <w:tcBorders>
              <w:top w:val="nil"/>
              <w:left w:val="nil"/>
              <w:bottom w:val="nil"/>
              <w:right w:val="single" w:sz="8" w:space="0" w:color="auto"/>
            </w:tcBorders>
            <w:shd w:val="clear" w:color="000000" w:fill="D9D9D9"/>
            <w:vAlign w:val="center"/>
            <w:hideMark/>
          </w:tcPr>
          <w:p w14:paraId="268664D6" w14:textId="77777777" w:rsidR="00575776" w:rsidRPr="005151BE" w:rsidRDefault="00575776" w:rsidP="00575776">
            <w:pPr>
              <w:rPr>
                <w:rFonts w:ascii="Arial" w:hAnsi="Arial" w:cs="Arial"/>
                <w:b/>
                <w:bCs/>
                <w:color w:val="000000"/>
              </w:rPr>
            </w:pPr>
          </w:p>
        </w:tc>
        <w:tc>
          <w:tcPr>
            <w:tcW w:w="1895" w:type="dxa"/>
            <w:tcBorders>
              <w:top w:val="single" w:sz="8" w:space="0" w:color="auto"/>
              <w:left w:val="nil"/>
              <w:bottom w:val="nil"/>
              <w:right w:val="single" w:sz="8" w:space="0" w:color="auto"/>
            </w:tcBorders>
            <w:shd w:val="clear" w:color="000000" w:fill="D9D9D9"/>
            <w:vAlign w:val="center"/>
            <w:hideMark/>
          </w:tcPr>
          <w:p w14:paraId="0CD733D2" w14:textId="4461956E" w:rsidR="00575776" w:rsidRPr="005151BE" w:rsidRDefault="00575776" w:rsidP="00575776">
            <w:pPr>
              <w:jc w:val="right"/>
              <w:rPr>
                <w:rFonts w:ascii="Arial" w:hAnsi="Arial" w:cs="Arial"/>
                <w:b/>
                <w:bCs/>
                <w:color w:val="000000"/>
              </w:rPr>
            </w:pPr>
            <w:r>
              <w:rPr>
                <w:rFonts w:ascii="Arial" w:hAnsi="Arial" w:cs="Arial"/>
                <w:b/>
                <w:bCs/>
                <w:color w:val="000000"/>
              </w:rPr>
              <w:t>7</w:t>
            </w:r>
            <w:r w:rsidR="00A34F59">
              <w:rPr>
                <w:rFonts w:ascii="Arial" w:hAnsi="Arial" w:cs="Arial"/>
                <w:b/>
                <w:bCs/>
                <w:color w:val="000000"/>
              </w:rPr>
              <w:t>5</w:t>
            </w:r>
            <w:r>
              <w:rPr>
                <w:rFonts w:ascii="Arial" w:hAnsi="Arial" w:cs="Arial"/>
                <w:b/>
                <w:bCs/>
                <w:color w:val="000000"/>
              </w:rPr>
              <w:t>,</w:t>
            </w:r>
            <w:r w:rsidR="00A34F59">
              <w:rPr>
                <w:rFonts w:ascii="Arial" w:hAnsi="Arial" w:cs="Arial"/>
                <w:b/>
                <w:bCs/>
                <w:color w:val="000000"/>
              </w:rPr>
              <w:t>321</w:t>
            </w:r>
          </w:p>
        </w:tc>
      </w:tr>
      <w:tr w:rsidR="00575776" w:rsidRPr="005151BE" w14:paraId="1930758D" w14:textId="77777777" w:rsidTr="00BA649D">
        <w:trPr>
          <w:trHeight w:val="170"/>
        </w:trPr>
        <w:tc>
          <w:tcPr>
            <w:tcW w:w="1841" w:type="dxa"/>
            <w:tcBorders>
              <w:top w:val="nil"/>
              <w:left w:val="single" w:sz="8" w:space="0" w:color="auto"/>
              <w:bottom w:val="nil"/>
              <w:right w:val="nil"/>
            </w:tcBorders>
            <w:vAlign w:val="center"/>
            <w:hideMark/>
          </w:tcPr>
          <w:p w14:paraId="0CC28908" w14:textId="3B804908" w:rsidR="00575776" w:rsidRPr="005151BE" w:rsidRDefault="00575776" w:rsidP="00575776">
            <w:pPr>
              <w:jc w:val="right"/>
              <w:rPr>
                <w:rFonts w:ascii="Arial" w:hAnsi="Arial" w:cs="Arial"/>
                <w:b/>
                <w:bCs/>
                <w:color w:val="000000"/>
              </w:rPr>
            </w:pPr>
            <w:r>
              <w:rPr>
                <w:rFonts w:ascii="Arial" w:hAnsi="Arial" w:cs="Arial"/>
                <w:color w:val="000000"/>
              </w:rPr>
              <w:t> </w:t>
            </w:r>
          </w:p>
        </w:tc>
        <w:tc>
          <w:tcPr>
            <w:tcW w:w="4172" w:type="dxa"/>
            <w:tcBorders>
              <w:top w:val="nil"/>
              <w:left w:val="single" w:sz="8" w:space="0" w:color="auto"/>
              <w:bottom w:val="nil"/>
              <w:right w:val="nil"/>
            </w:tcBorders>
            <w:shd w:val="clear" w:color="000000" w:fill="D9D9D9"/>
            <w:vAlign w:val="center"/>
            <w:hideMark/>
          </w:tcPr>
          <w:p w14:paraId="1E0FB1AE" w14:textId="77777777" w:rsidR="00575776" w:rsidRPr="005151BE" w:rsidRDefault="00575776" w:rsidP="00575776">
            <w:pPr>
              <w:jc w:val="right"/>
            </w:pPr>
          </w:p>
        </w:tc>
        <w:tc>
          <w:tcPr>
            <w:tcW w:w="1448" w:type="dxa"/>
            <w:tcBorders>
              <w:top w:val="nil"/>
              <w:left w:val="nil"/>
              <w:bottom w:val="nil"/>
              <w:right w:val="single" w:sz="8" w:space="0" w:color="auto"/>
            </w:tcBorders>
            <w:shd w:val="clear" w:color="000000" w:fill="D9D9D9"/>
            <w:vAlign w:val="center"/>
            <w:hideMark/>
          </w:tcPr>
          <w:p w14:paraId="5B201569" w14:textId="77777777" w:rsidR="00575776" w:rsidRPr="005151BE" w:rsidRDefault="00575776" w:rsidP="00575776"/>
        </w:tc>
        <w:tc>
          <w:tcPr>
            <w:tcW w:w="1895" w:type="dxa"/>
            <w:tcBorders>
              <w:top w:val="nil"/>
              <w:left w:val="nil"/>
              <w:bottom w:val="nil"/>
              <w:right w:val="single" w:sz="8" w:space="0" w:color="auto"/>
            </w:tcBorders>
            <w:shd w:val="clear" w:color="000000" w:fill="D9D9D9"/>
            <w:vAlign w:val="center"/>
            <w:hideMark/>
          </w:tcPr>
          <w:p w14:paraId="78E235A2" w14:textId="1AA4458B" w:rsidR="00575776" w:rsidRPr="005151BE" w:rsidRDefault="00575776" w:rsidP="00575776">
            <w:pPr>
              <w:jc w:val="center"/>
            </w:pPr>
            <w:r>
              <w:rPr>
                <w:rFonts w:ascii="Arial" w:hAnsi="Arial" w:cs="Arial"/>
                <w:color w:val="000000"/>
              </w:rPr>
              <w:t> </w:t>
            </w:r>
          </w:p>
        </w:tc>
      </w:tr>
      <w:tr w:rsidR="00575776" w:rsidRPr="005151BE" w14:paraId="5C9A77DB" w14:textId="77777777" w:rsidTr="00863473">
        <w:trPr>
          <w:trHeight w:val="300"/>
        </w:trPr>
        <w:tc>
          <w:tcPr>
            <w:tcW w:w="1841" w:type="dxa"/>
            <w:tcBorders>
              <w:top w:val="nil"/>
              <w:left w:val="single" w:sz="8" w:space="0" w:color="auto"/>
              <w:bottom w:val="nil"/>
              <w:right w:val="nil"/>
            </w:tcBorders>
            <w:vAlign w:val="center"/>
            <w:hideMark/>
          </w:tcPr>
          <w:p w14:paraId="731A52B3" w14:textId="69C6DCC3" w:rsidR="00575776" w:rsidRPr="005151BE" w:rsidRDefault="00575776" w:rsidP="00575776">
            <w:pPr>
              <w:jc w:val="right"/>
              <w:rPr>
                <w:rFonts w:ascii="Arial" w:hAnsi="Arial" w:cs="Arial"/>
                <w:color w:val="000000"/>
              </w:rPr>
            </w:pPr>
            <w:r>
              <w:rPr>
                <w:rFonts w:ascii="Arial" w:hAnsi="Arial" w:cs="Arial"/>
                <w:color w:val="000000"/>
              </w:rPr>
              <w:t>(46,497)</w:t>
            </w:r>
          </w:p>
        </w:tc>
        <w:tc>
          <w:tcPr>
            <w:tcW w:w="4172" w:type="dxa"/>
            <w:tcBorders>
              <w:top w:val="nil"/>
              <w:left w:val="single" w:sz="8" w:space="0" w:color="auto"/>
              <w:bottom w:val="nil"/>
              <w:right w:val="nil"/>
            </w:tcBorders>
            <w:shd w:val="clear" w:color="000000" w:fill="D9D9D9"/>
            <w:vAlign w:val="center"/>
            <w:hideMark/>
          </w:tcPr>
          <w:p w14:paraId="53E38ADF" w14:textId="77777777" w:rsidR="00575776" w:rsidRPr="005151BE" w:rsidRDefault="00575776" w:rsidP="00575776">
            <w:pPr>
              <w:rPr>
                <w:rFonts w:ascii="Arial" w:hAnsi="Arial" w:cs="Arial"/>
                <w:color w:val="000000"/>
              </w:rPr>
            </w:pPr>
            <w:r w:rsidRPr="005151BE">
              <w:rPr>
                <w:rFonts w:ascii="Arial" w:hAnsi="Arial" w:cs="Arial"/>
                <w:color w:val="000000"/>
              </w:rPr>
              <w:t>Short Term Borrowing</w:t>
            </w:r>
          </w:p>
        </w:tc>
        <w:tc>
          <w:tcPr>
            <w:tcW w:w="1448" w:type="dxa"/>
            <w:tcBorders>
              <w:top w:val="nil"/>
              <w:left w:val="nil"/>
              <w:bottom w:val="nil"/>
              <w:right w:val="single" w:sz="8" w:space="0" w:color="auto"/>
            </w:tcBorders>
            <w:shd w:val="clear" w:color="000000" w:fill="D9D9D9"/>
            <w:vAlign w:val="center"/>
            <w:hideMark/>
          </w:tcPr>
          <w:p w14:paraId="5B5371F0" w14:textId="3A8E6083" w:rsidR="00575776" w:rsidRPr="005151BE" w:rsidRDefault="00575776" w:rsidP="00575776">
            <w:pPr>
              <w:jc w:val="center"/>
              <w:rPr>
                <w:rFonts w:ascii="Arial" w:hAnsi="Arial" w:cs="Arial"/>
                <w:color w:val="000000"/>
              </w:rPr>
            </w:pPr>
            <w:r w:rsidRPr="005151BE">
              <w:rPr>
                <w:rFonts w:ascii="Arial" w:hAnsi="Arial" w:cs="Arial"/>
                <w:color w:val="000000"/>
              </w:rPr>
              <w:t>2</w:t>
            </w:r>
            <w:r w:rsidR="00D3507C">
              <w:rPr>
                <w:rFonts w:ascii="Arial" w:hAnsi="Arial" w:cs="Arial"/>
                <w:color w:val="000000"/>
              </w:rPr>
              <w:t>9</w:t>
            </w:r>
          </w:p>
        </w:tc>
        <w:tc>
          <w:tcPr>
            <w:tcW w:w="1895" w:type="dxa"/>
            <w:tcBorders>
              <w:top w:val="nil"/>
              <w:left w:val="nil"/>
              <w:bottom w:val="nil"/>
              <w:right w:val="single" w:sz="8" w:space="0" w:color="auto"/>
            </w:tcBorders>
            <w:shd w:val="clear" w:color="000000" w:fill="D9D9D9"/>
            <w:vAlign w:val="center"/>
            <w:hideMark/>
          </w:tcPr>
          <w:p w14:paraId="2B46F7BA" w14:textId="1E1E9114" w:rsidR="00575776" w:rsidRPr="005151BE" w:rsidRDefault="00575776" w:rsidP="00575776">
            <w:pPr>
              <w:jc w:val="right"/>
              <w:rPr>
                <w:rFonts w:ascii="Arial" w:hAnsi="Arial" w:cs="Arial"/>
                <w:color w:val="000000"/>
              </w:rPr>
            </w:pPr>
            <w:r>
              <w:rPr>
                <w:rFonts w:ascii="Arial" w:hAnsi="Arial" w:cs="Arial"/>
                <w:color w:val="000000"/>
              </w:rPr>
              <w:t>(61,475)</w:t>
            </w:r>
          </w:p>
        </w:tc>
      </w:tr>
      <w:tr w:rsidR="00575776" w:rsidRPr="005151BE" w14:paraId="34DF8C17" w14:textId="77777777" w:rsidTr="00863473">
        <w:trPr>
          <w:trHeight w:val="300"/>
        </w:trPr>
        <w:tc>
          <w:tcPr>
            <w:tcW w:w="1841" w:type="dxa"/>
            <w:tcBorders>
              <w:top w:val="nil"/>
              <w:left w:val="single" w:sz="8" w:space="0" w:color="auto"/>
              <w:bottom w:val="nil"/>
              <w:right w:val="nil"/>
            </w:tcBorders>
            <w:vAlign w:val="center"/>
          </w:tcPr>
          <w:p w14:paraId="78CF8E52" w14:textId="48021D09" w:rsidR="00575776" w:rsidRPr="005151BE" w:rsidRDefault="00575776" w:rsidP="00575776">
            <w:pPr>
              <w:jc w:val="right"/>
              <w:rPr>
                <w:rFonts w:ascii="Arial" w:hAnsi="Arial" w:cs="Arial"/>
                <w:color w:val="000000"/>
              </w:rPr>
            </w:pPr>
          </w:p>
        </w:tc>
        <w:tc>
          <w:tcPr>
            <w:tcW w:w="4172" w:type="dxa"/>
            <w:tcBorders>
              <w:top w:val="nil"/>
              <w:left w:val="single" w:sz="8" w:space="0" w:color="auto"/>
              <w:bottom w:val="nil"/>
              <w:right w:val="nil"/>
            </w:tcBorders>
            <w:shd w:val="clear" w:color="000000" w:fill="D9D9D9"/>
            <w:vAlign w:val="center"/>
          </w:tcPr>
          <w:p w14:paraId="4D93D0B5" w14:textId="5F83742D" w:rsidR="00575776" w:rsidRPr="005151BE" w:rsidRDefault="00575776" w:rsidP="00575776">
            <w:pPr>
              <w:rPr>
                <w:rFonts w:ascii="Arial" w:hAnsi="Arial" w:cs="Arial"/>
                <w:color w:val="000000"/>
              </w:rPr>
            </w:pPr>
            <w:r w:rsidRPr="00167585">
              <w:rPr>
                <w:rFonts w:ascii="Arial" w:hAnsi="Arial" w:cs="Arial"/>
                <w:color w:val="000000"/>
              </w:rPr>
              <w:t>Short-term Lease Liabilities</w:t>
            </w:r>
          </w:p>
        </w:tc>
        <w:tc>
          <w:tcPr>
            <w:tcW w:w="1448" w:type="dxa"/>
            <w:tcBorders>
              <w:top w:val="nil"/>
              <w:left w:val="nil"/>
              <w:bottom w:val="nil"/>
              <w:right w:val="single" w:sz="8" w:space="0" w:color="auto"/>
            </w:tcBorders>
            <w:shd w:val="clear" w:color="000000" w:fill="D9D9D9"/>
            <w:vAlign w:val="center"/>
          </w:tcPr>
          <w:p w14:paraId="3ABA7F67" w14:textId="77777777" w:rsidR="00575776" w:rsidRPr="005151BE" w:rsidRDefault="00575776" w:rsidP="00575776">
            <w:pPr>
              <w:jc w:val="cente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tcPr>
          <w:p w14:paraId="1FB66F7B" w14:textId="15B071BA" w:rsidR="00575776" w:rsidRPr="005151BE" w:rsidRDefault="00575776" w:rsidP="00575776">
            <w:pPr>
              <w:jc w:val="right"/>
              <w:rPr>
                <w:rFonts w:ascii="Arial" w:hAnsi="Arial" w:cs="Arial"/>
                <w:color w:val="000000"/>
              </w:rPr>
            </w:pPr>
            <w:r>
              <w:rPr>
                <w:rFonts w:ascii="Arial" w:hAnsi="Arial" w:cs="Arial"/>
                <w:color w:val="000000"/>
              </w:rPr>
              <w:t>(313)</w:t>
            </w:r>
          </w:p>
        </w:tc>
      </w:tr>
      <w:tr w:rsidR="00575776" w:rsidRPr="005151BE" w14:paraId="5094DBE8" w14:textId="77777777" w:rsidTr="00863473">
        <w:trPr>
          <w:trHeight w:val="300"/>
        </w:trPr>
        <w:tc>
          <w:tcPr>
            <w:tcW w:w="1841" w:type="dxa"/>
            <w:tcBorders>
              <w:top w:val="nil"/>
              <w:left w:val="single" w:sz="8" w:space="0" w:color="auto"/>
              <w:bottom w:val="nil"/>
              <w:right w:val="nil"/>
            </w:tcBorders>
            <w:vAlign w:val="center"/>
            <w:hideMark/>
          </w:tcPr>
          <w:p w14:paraId="2CF4EBDE" w14:textId="05576BD8" w:rsidR="00575776" w:rsidRPr="005151BE" w:rsidRDefault="00575776" w:rsidP="00575776">
            <w:pPr>
              <w:jc w:val="right"/>
              <w:rPr>
                <w:rFonts w:ascii="Arial" w:hAnsi="Arial" w:cs="Arial"/>
                <w:color w:val="000000"/>
              </w:rPr>
            </w:pPr>
            <w:r>
              <w:rPr>
                <w:rFonts w:ascii="Arial" w:hAnsi="Arial" w:cs="Arial"/>
                <w:color w:val="000000"/>
              </w:rPr>
              <w:t>(</w:t>
            </w:r>
            <w:r w:rsidR="00D06EDA">
              <w:rPr>
                <w:rFonts w:ascii="Arial" w:hAnsi="Arial" w:cs="Arial"/>
                <w:color w:val="000000"/>
              </w:rPr>
              <w:t>28,023</w:t>
            </w:r>
            <w:r>
              <w:rPr>
                <w:rFonts w:ascii="Arial" w:hAnsi="Arial" w:cs="Arial"/>
                <w:color w:val="000000"/>
              </w:rPr>
              <w:t>)</w:t>
            </w:r>
          </w:p>
        </w:tc>
        <w:tc>
          <w:tcPr>
            <w:tcW w:w="4172" w:type="dxa"/>
            <w:tcBorders>
              <w:top w:val="nil"/>
              <w:left w:val="single" w:sz="8" w:space="0" w:color="auto"/>
              <w:bottom w:val="nil"/>
              <w:right w:val="nil"/>
            </w:tcBorders>
            <w:shd w:val="clear" w:color="000000" w:fill="D9D9D9"/>
            <w:vAlign w:val="center"/>
            <w:hideMark/>
          </w:tcPr>
          <w:p w14:paraId="4B097F49" w14:textId="77777777" w:rsidR="00575776" w:rsidRPr="005151BE" w:rsidRDefault="00575776" w:rsidP="00575776">
            <w:pPr>
              <w:rPr>
                <w:rFonts w:ascii="Arial" w:hAnsi="Arial" w:cs="Arial"/>
                <w:color w:val="000000"/>
              </w:rPr>
            </w:pPr>
            <w:r w:rsidRPr="005151BE">
              <w:rPr>
                <w:rFonts w:ascii="Arial" w:hAnsi="Arial" w:cs="Arial"/>
                <w:color w:val="000000"/>
              </w:rPr>
              <w:t>Short Term Creditors</w:t>
            </w:r>
          </w:p>
        </w:tc>
        <w:tc>
          <w:tcPr>
            <w:tcW w:w="1448" w:type="dxa"/>
            <w:tcBorders>
              <w:top w:val="nil"/>
              <w:left w:val="nil"/>
              <w:bottom w:val="nil"/>
              <w:right w:val="single" w:sz="8" w:space="0" w:color="auto"/>
            </w:tcBorders>
            <w:shd w:val="clear" w:color="000000" w:fill="D9D9D9"/>
            <w:vAlign w:val="center"/>
            <w:hideMark/>
          </w:tcPr>
          <w:p w14:paraId="4664F2FA" w14:textId="6D4A4FFF" w:rsidR="00575776" w:rsidRPr="005151BE" w:rsidRDefault="00575776" w:rsidP="00575776">
            <w:pPr>
              <w:jc w:val="center"/>
              <w:rPr>
                <w:rFonts w:ascii="Arial" w:hAnsi="Arial" w:cs="Arial"/>
                <w:color w:val="000000"/>
              </w:rPr>
            </w:pPr>
            <w:r w:rsidRPr="005151BE">
              <w:rPr>
                <w:rFonts w:ascii="Arial" w:hAnsi="Arial" w:cs="Arial"/>
                <w:color w:val="000000"/>
              </w:rPr>
              <w:t>2</w:t>
            </w:r>
            <w:r w:rsidR="006C65E3">
              <w:rPr>
                <w:rFonts w:ascii="Arial" w:hAnsi="Arial" w:cs="Arial"/>
                <w:color w:val="000000"/>
              </w:rPr>
              <w:t>3</w:t>
            </w:r>
          </w:p>
        </w:tc>
        <w:tc>
          <w:tcPr>
            <w:tcW w:w="1895" w:type="dxa"/>
            <w:tcBorders>
              <w:top w:val="nil"/>
              <w:left w:val="nil"/>
              <w:bottom w:val="nil"/>
              <w:right w:val="single" w:sz="8" w:space="0" w:color="auto"/>
            </w:tcBorders>
            <w:shd w:val="clear" w:color="000000" w:fill="D9D9D9"/>
            <w:vAlign w:val="center"/>
            <w:hideMark/>
          </w:tcPr>
          <w:p w14:paraId="29CA4A65" w14:textId="24C219B1" w:rsidR="00575776" w:rsidRPr="005151BE" w:rsidRDefault="00575776" w:rsidP="00575776">
            <w:pPr>
              <w:jc w:val="right"/>
              <w:rPr>
                <w:rFonts w:ascii="Arial" w:hAnsi="Arial" w:cs="Arial"/>
                <w:color w:val="000000"/>
              </w:rPr>
            </w:pPr>
            <w:r>
              <w:rPr>
                <w:rFonts w:ascii="Arial" w:hAnsi="Arial" w:cs="Arial"/>
                <w:color w:val="000000"/>
              </w:rPr>
              <w:t>(34,</w:t>
            </w:r>
            <w:r w:rsidR="00807039">
              <w:rPr>
                <w:rFonts w:ascii="Arial" w:hAnsi="Arial" w:cs="Arial"/>
                <w:color w:val="000000"/>
              </w:rPr>
              <w:t>606</w:t>
            </w:r>
            <w:r>
              <w:rPr>
                <w:rFonts w:ascii="Arial" w:hAnsi="Arial" w:cs="Arial"/>
                <w:color w:val="000000"/>
              </w:rPr>
              <w:t>)</w:t>
            </w:r>
          </w:p>
        </w:tc>
      </w:tr>
      <w:tr w:rsidR="00575776" w:rsidRPr="005151BE" w14:paraId="099B86F8" w14:textId="77777777" w:rsidTr="00863473">
        <w:trPr>
          <w:trHeight w:val="300"/>
        </w:trPr>
        <w:tc>
          <w:tcPr>
            <w:tcW w:w="1841" w:type="dxa"/>
            <w:tcBorders>
              <w:top w:val="nil"/>
              <w:left w:val="single" w:sz="8" w:space="0" w:color="auto"/>
              <w:bottom w:val="nil"/>
              <w:right w:val="nil"/>
            </w:tcBorders>
            <w:vAlign w:val="center"/>
            <w:hideMark/>
          </w:tcPr>
          <w:p w14:paraId="79C53D9A" w14:textId="54A4F571" w:rsidR="00575776" w:rsidRPr="005151BE" w:rsidRDefault="00575776" w:rsidP="00575776">
            <w:pPr>
              <w:jc w:val="right"/>
              <w:rPr>
                <w:rFonts w:ascii="Arial" w:hAnsi="Arial" w:cs="Arial"/>
                <w:color w:val="000000"/>
              </w:rPr>
            </w:pPr>
            <w:r>
              <w:rPr>
                <w:rFonts w:ascii="Arial" w:hAnsi="Arial" w:cs="Arial"/>
                <w:color w:val="000000"/>
              </w:rPr>
              <w:t>(342)</w:t>
            </w:r>
          </w:p>
        </w:tc>
        <w:tc>
          <w:tcPr>
            <w:tcW w:w="4172" w:type="dxa"/>
            <w:tcBorders>
              <w:top w:val="nil"/>
              <w:left w:val="single" w:sz="8" w:space="0" w:color="auto"/>
              <w:bottom w:val="nil"/>
              <w:right w:val="nil"/>
            </w:tcBorders>
            <w:shd w:val="clear" w:color="000000" w:fill="D9D9D9"/>
            <w:vAlign w:val="center"/>
            <w:hideMark/>
          </w:tcPr>
          <w:p w14:paraId="1ED9337C" w14:textId="77777777" w:rsidR="00575776" w:rsidRPr="005151BE" w:rsidRDefault="00575776" w:rsidP="00575776">
            <w:pPr>
              <w:rPr>
                <w:rFonts w:ascii="Arial" w:hAnsi="Arial" w:cs="Arial"/>
                <w:color w:val="000000"/>
              </w:rPr>
            </w:pPr>
            <w:r w:rsidRPr="005151BE">
              <w:rPr>
                <w:rFonts w:ascii="Arial" w:hAnsi="Arial" w:cs="Arial"/>
                <w:color w:val="000000"/>
              </w:rPr>
              <w:t>Short-Term Provisions</w:t>
            </w:r>
          </w:p>
        </w:tc>
        <w:tc>
          <w:tcPr>
            <w:tcW w:w="1448" w:type="dxa"/>
            <w:tcBorders>
              <w:top w:val="nil"/>
              <w:left w:val="nil"/>
              <w:bottom w:val="nil"/>
              <w:right w:val="single" w:sz="8" w:space="0" w:color="auto"/>
            </w:tcBorders>
            <w:shd w:val="clear" w:color="000000" w:fill="D9D9D9"/>
            <w:vAlign w:val="center"/>
            <w:hideMark/>
          </w:tcPr>
          <w:p w14:paraId="0D98DD50" w14:textId="77777777" w:rsidR="00575776" w:rsidRPr="005151BE" w:rsidRDefault="00575776" w:rsidP="00575776">
            <w:pPr>
              <w:jc w:val="cente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3C6F018E" w14:textId="353CB683" w:rsidR="00575776" w:rsidRPr="005151BE" w:rsidRDefault="00575776" w:rsidP="00575776">
            <w:pPr>
              <w:jc w:val="right"/>
              <w:rPr>
                <w:rFonts w:ascii="Arial" w:hAnsi="Arial" w:cs="Arial"/>
                <w:color w:val="000000"/>
              </w:rPr>
            </w:pPr>
            <w:r>
              <w:rPr>
                <w:rFonts w:ascii="Arial" w:hAnsi="Arial" w:cs="Arial"/>
                <w:color w:val="000000"/>
              </w:rPr>
              <w:t>(</w:t>
            </w:r>
            <w:r w:rsidR="009E1928">
              <w:rPr>
                <w:rFonts w:ascii="Arial" w:hAnsi="Arial" w:cs="Arial"/>
                <w:color w:val="000000"/>
              </w:rPr>
              <w:t>30</w:t>
            </w:r>
            <w:r>
              <w:rPr>
                <w:rFonts w:ascii="Arial" w:hAnsi="Arial" w:cs="Arial"/>
                <w:color w:val="000000"/>
              </w:rPr>
              <w:t>4)</w:t>
            </w:r>
          </w:p>
        </w:tc>
      </w:tr>
      <w:tr w:rsidR="00575776" w:rsidRPr="005151BE" w14:paraId="4BC7D740" w14:textId="77777777" w:rsidTr="00863473">
        <w:trPr>
          <w:trHeight w:val="300"/>
        </w:trPr>
        <w:tc>
          <w:tcPr>
            <w:tcW w:w="1841" w:type="dxa"/>
            <w:tcBorders>
              <w:top w:val="nil"/>
              <w:left w:val="single" w:sz="8" w:space="0" w:color="auto"/>
              <w:bottom w:val="nil"/>
              <w:right w:val="nil"/>
            </w:tcBorders>
            <w:vAlign w:val="center"/>
            <w:hideMark/>
          </w:tcPr>
          <w:p w14:paraId="2E959E87" w14:textId="6BA58F85" w:rsidR="00575776" w:rsidRPr="005151BE" w:rsidRDefault="00575776" w:rsidP="00575776">
            <w:pPr>
              <w:jc w:val="right"/>
              <w:rPr>
                <w:rFonts w:ascii="Arial" w:hAnsi="Arial" w:cs="Arial"/>
                <w:color w:val="000000"/>
              </w:rPr>
            </w:pPr>
            <w:r>
              <w:rPr>
                <w:rFonts w:ascii="Arial" w:hAnsi="Arial" w:cs="Arial"/>
                <w:color w:val="000000"/>
              </w:rPr>
              <w:t>(916)</w:t>
            </w:r>
          </w:p>
        </w:tc>
        <w:tc>
          <w:tcPr>
            <w:tcW w:w="4172" w:type="dxa"/>
            <w:tcBorders>
              <w:top w:val="nil"/>
              <w:left w:val="single" w:sz="8" w:space="0" w:color="auto"/>
              <w:bottom w:val="nil"/>
              <w:right w:val="nil"/>
            </w:tcBorders>
            <w:shd w:val="clear" w:color="000000" w:fill="D9D9D9"/>
            <w:vAlign w:val="center"/>
            <w:hideMark/>
          </w:tcPr>
          <w:p w14:paraId="3CEF70FE" w14:textId="77777777" w:rsidR="00575776" w:rsidRPr="005151BE" w:rsidRDefault="00575776" w:rsidP="00575776">
            <w:pPr>
              <w:rPr>
                <w:rFonts w:ascii="Arial" w:hAnsi="Arial" w:cs="Arial"/>
                <w:color w:val="000000"/>
              </w:rPr>
            </w:pPr>
            <w:r w:rsidRPr="005151BE">
              <w:rPr>
                <w:rFonts w:ascii="Arial" w:hAnsi="Arial" w:cs="Arial"/>
                <w:color w:val="000000"/>
              </w:rPr>
              <w:t>Receipts in Advance</w:t>
            </w:r>
          </w:p>
        </w:tc>
        <w:tc>
          <w:tcPr>
            <w:tcW w:w="1448" w:type="dxa"/>
            <w:tcBorders>
              <w:top w:val="nil"/>
              <w:left w:val="nil"/>
              <w:bottom w:val="nil"/>
              <w:right w:val="single" w:sz="8" w:space="0" w:color="auto"/>
            </w:tcBorders>
            <w:shd w:val="clear" w:color="000000" w:fill="D9D9D9"/>
            <w:vAlign w:val="center"/>
            <w:hideMark/>
          </w:tcPr>
          <w:p w14:paraId="48CE92D8" w14:textId="3AE5FF2E" w:rsidR="00575776" w:rsidRPr="005151BE" w:rsidRDefault="00575776" w:rsidP="00575776">
            <w:pPr>
              <w:jc w:val="cente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37E448C1" w14:textId="2103C6BE" w:rsidR="00575776" w:rsidRPr="005151BE" w:rsidRDefault="00575776" w:rsidP="00575776">
            <w:pPr>
              <w:jc w:val="right"/>
              <w:rPr>
                <w:rFonts w:ascii="Arial" w:hAnsi="Arial" w:cs="Arial"/>
                <w:color w:val="000000"/>
              </w:rPr>
            </w:pPr>
            <w:r>
              <w:rPr>
                <w:rFonts w:ascii="Arial" w:hAnsi="Arial" w:cs="Arial"/>
                <w:color w:val="000000"/>
              </w:rPr>
              <w:t>(680)</w:t>
            </w:r>
          </w:p>
        </w:tc>
      </w:tr>
      <w:tr w:rsidR="00575776" w:rsidRPr="005151BE" w14:paraId="57013F3E" w14:textId="77777777" w:rsidTr="00863473">
        <w:trPr>
          <w:trHeight w:val="300"/>
        </w:trPr>
        <w:tc>
          <w:tcPr>
            <w:tcW w:w="1841" w:type="dxa"/>
            <w:tcBorders>
              <w:top w:val="single" w:sz="8" w:space="0" w:color="auto"/>
              <w:left w:val="single" w:sz="8" w:space="0" w:color="auto"/>
              <w:bottom w:val="nil"/>
              <w:right w:val="nil"/>
            </w:tcBorders>
            <w:vAlign w:val="center"/>
            <w:hideMark/>
          </w:tcPr>
          <w:p w14:paraId="4C99827F" w14:textId="53981145" w:rsidR="00575776" w:rsidRPr="005151BE" w:rsidRDefault="00575776" w:rsidP="00575776">
            <w:pPr>
              <w:jc w:val="right"/>
              <w:rPr>
                <w:rFonts w:ascii="Arial" w:hAnsi="Arial" w:cs="Arial"/>
                <w:b/>
                <w:bCs/>
                <w:color w:val="000000"/>
              </w:rPr>
            </w:pPr>
            <w:r>
              <w:rPr>
                <w:rFonts w:ascii="Arial" w:hAnsi="Arial" w:cs="Arial"/>
                <w:b/>
                <w:bCs/>
                <w:color w:val="000000"/>
              </w:rPr>
              <w:t>(</w:t>
            </w:r>
            <w:r w:rsidR="00D06EDA">
              <w:rPr>
                <w:rFonts w:ascii="Arial" w:hAnsi="Arial" w:cs="Arial"/>
                <w:b/>
                <w:bCs/>
                <w:color w:val="000000"/>
              </w:rPr>
              <w:t>75</w:t>
            </w:r>
            <w:r w:rsidR="00C00CC6">
              <w:rPr>
                <w:rFonts w:ascii="Arial" w:hAnsi="Arial" w:cs="Arial"/>
                <w:b/>
                <w:bCs/>
                <w:color w:val="000000"/>
              </w:rPr>
              <w:t>,7</w:t>
            </w:r>
            <w:r w:rsidR="00D06EDA">
              <w:rPr>
                <w:rFonts w:ascii="Arial" w:hAnsi="Arial" w:cs="Arial"/>
                <w:b/>
                <w:bCs/>
                <w:color w:val="000000"/>
              </w:rPr>
              <w:t>7</w:t>
            </w:r>
            <w:r w:rsidR="00C00CC6">
              <w:rPr>
                <w:rFonts w:ascii="Arial" w:hAnsi="Arial" w:cs="Arial"/>
                <w:b/>
                <w:bCs/>
                <w:color w:val="000000"/>
              </w:rPr>
              <w:t>7</w:t>
            </w:r>
            <w:r>
              <w:rPr>
                <w:rFonts w:ascii="Arial" w:hAnsi="Arial" w:cs="Arial"/>
                <w:b/>
                <w:bCs/>
                <w:color w:val="000000"/>
              </w:rPr>
              <w:t>)</w:t>
            </w:r>
          </w:p>
        </w:tc>
        <w:tc>
          <w:tcPr>
            <w:tcW w:w="4172" w:type="dxa"/>
            <w:tcBorders>
              <w:top w:val="nil"/>
              <w:left w:val="single" w:sz="8" w:space="0" w:color="auto"/>
              <w:bottom w:val="nil"/>
              <w:right w:val="nil"/>
            </w:tcBorders>
            <w:shd w:val="clear" w:color="000000" w:fill="D9D9D9"/>
            <w:vAlign w:val="center"/>
            <w:hideMark/>
          </w:tcPr>
          <w:p w14:paraId="38303095" w14:textId="77777777" w:rsidR="00575776" w:rsidRPr="005151BE" w:rsidRDefault="00575776" w:rsidP="00575776">
            <w:pPr>
              <w:rPr>
                <w:rFonts w:ascii="Arial" w:hAnsi="Arial" w:cs="Arial"/>
                <w:b/>
                <w:bCs/>
                <w:color w:val="000000"/>
              </w:rPr>
            </w:pPr>
            <w:r w:rsidRPr="005151BE">
              <w:rPr>
                <w:rFonts w:ascii="Arial" w:hAnsi="Arial" w:cs="Arial"/>
                <w:b/>
                <w:bCs/>
                <w:color w:val="000000"/>
              </w:rPr>
              <w:t>Current Liabilities</w:t>
            </w:r>
          </w:p>
        </w:tc>
        <w:tc>
          <w:tcPr>
            <w:tcW w:w="1448" w:type="dxa"/>
            <w:tcBorders>
              <w:top w:val="nil"/>
              <w:left w:val="nil"/>
              <w:bottom w:val="nil"/>
              <w:right w:val="single" w:sz="8" w:space="0" w:color="auto"/>
            </w:tcBorders>
            <w:shd w:val="clear" w:color="000000" w:fill="D9D9D9"/>
            <w:vAlign w:val="center"/>
            <w:hideMark/>
          </w:tcPr>
          <w:p w14:paraId="2BC493EE" w14:textId="77777777" w:rsidR="00575776" w:rsidRPr="005151BE" w:rsidRDefault="00575776" w:rsidP="00575776">
            <w:pPr>
              <w:rPr>
                <w:rFonts w:ascii="Arial" w:hAnsi="Arial" w:cs="Arial"/>
                <w:b/>
                <w:bCs/>
                <w:color w:val="000000"/>
              </w:rPr>
            </w:pPr>
          </w:p>
        </w:tc>
        <w:tc>
          <w:tcPr>
            <w:tcW w:w="1895" w:type="dxa"/>
            <w:tcBorders>
              <w:top w:val="single" w:sz="8" w:space="0" w:color="auto"/>
              <w:left w:val="nil"/>
              <w:bottom w:val="nil"/>
              <w:right w:val="single" w:sz="8" w:space="0" w:color="auto"/>
            </w:tcBorders>
            <w:shd w:val="clear" w:color="000000" w:fill="D9D9D9"/>
            <w:vAlign w:val="center"/>
            <w:hideMark/>
          </w:tcPr>
          <w:p w14:paraId="2F6BD619" w14:textId="45606BEC" w:rsidR="00575776" w:rsidRPr="005151BE" w:rsidRDefault="00575776" w:rsidP="00575776">
            <w:pPr>
              <w:jc w:val="right"/>
              <w:rPr>
                <w:rFonts w:ascii="Arial" w:hAnsi="Arial" w:cs="Arial"/>
                <w:b/>
                <w:bCs/>
                <w:color w:val="000000"/>
              </w:rPr>
            </w:pPr>
            <w:r>
              <w:rPr>
                <w:rFonts w:ascii="Arial" w:hAnsi="Arial" w:cs="Arial"/>
                <w:b/>
                <w:bCs/>
                <w:color w:val="000000"/>
              </w:rPr>
              <w:t>(9</w:t>
            </w:r>
            <w:r w:rsidR="009E1928">
              <w:rPr>
                <w:rFonts w:ascii="Arial" w:hAnsi="Arial" w:cs="Arial"/>
                <w:b/>
                <w:bCs/>
                <w:color w:val="000000"/>
              </w:rPr>
              <w:t>7</w:t>
            </w:r>
            <w:r>
              <w:rPr>
                <w:rFonts w:ascii="Arial" w:hAnsi="Arial" w:cs="Arial"/>
                <w:b/>
                <w:bCs/>
                <w:color w:val="000000"/>
              </w:rPr>
              <w:t>,</w:t>
            </w:r>
            <w:r w:rsidR="009E1928">
              <w:rPr>
                <w:rFonts w:ascii="Arial" w:hAnsi="Arial" w:cs="Arial"/>
                <w:b/>
                <w:bCs/>
                <w:color w:val="000000"/>
              </w:rPr>
              <w:t>3</w:t>
            </w:r>
            <w:r w:rsidR="0003381D">
              <w:rPr>
                <w:rFonts w:ascii="Arial" w:hAnsi="Arial" w:cs="Arial"/>
                <w:b/>
                <w:bCs/>
                <w:color w:val="000000"/>
              </w:rPr>
              <w:t>77</w:t>
            </w:r>
            <w:r>
              <w:rPr>
                <w:rFonts w:ascii="Arial" w:hAnsi="Arial" w:cs="Arial"/>
                <w:b/>
                <w:bCs/>
                <w:color w:val="000000"/>
              </w:rPr>
              <w:t>)</w:t>
            </w:r>
          </w:p>
        </w:tc>
      </w:tr>
      <w:tr w:rsidR="00575776" w:rsidRPr="005151BE" w14:paraId="079C270F" w14:textId="77777777" w:rsidTr="00BA649D">
        <w:trPr>
          <w:trHeight w:val="170"/>
        </w:trPr>
        <w:tc>
          <w:tcPr>
            <w:tcW w:w="1841" w:type="dxa"/>
            <w:tcBorders>
              <w:top w:val="nil"/>
              <w:left w:val="single" w:sz="8" w:space="0" w:color="auto"/>
              <w:bottom w:val="nil"/>
              <w:right w:val="nil"/>
            </w:tcBorders>
            <w:vAlign w:val="center"/>
            <w:hideMark/>
          </w:tcPr>
          <w:p w14:paraId="65E41645" w14:textId="4DF0CE21" w:rsidR="00575776" w:rsidRPr="005151BE" w:rsidRDefault="00575776" w:rsidP="00575776">
            <w:pPr>
              <w:jc w:val="right"/>
              <w:rPr>
                <w:rFonts w:ascii="Arial" w:hAnsi="Arial" w:cs="Arial"/>
                <w:b/>
                <w:bCs/>
                <w:color w:val="000000"/>
              </w:rPr>
            </w:pPr>
            <w:r>
              <w:rPr>
                <w:rFonts w:ascii="Arial" w:hAnsi="Arial" w:cs="Arial"/>
                <w:color w:val="000000"/>
              </w:rPr>
              <w:t> </w:t>
            </w:r>
          </w:p>
        </w:tc>
        <w:tc>
          <w:tcPr>
            <w:tcW w:w="4172" w:type="dxa"/>
            <w:tcBorders>
              <w:top w:val="nil"/>
              <w:left w:val="single" w:sz="8" w:space="0" w:color="auto"/>
              <w:bottom w:val="nil"/>
              <w:right w:val="nil"/>
            </w:tcBorders>
            <w:shd w:val="clear" w:color="000000" w:fill="D9D9D9"/>
            <w:vAlign w:val="center"/>
            <w:hideMark/>
          </w:tcPr>
          <w:p w14:paraId="7A3752B8" w14:textId="77777777" w:rsidR="00575776" w:rsidRPr="005151BE" w:rsidRDefault="00575776" w:rsidP="00575776">
            <w:pPr>
              <w:jc w:val="right"/>
            </w:pPr>
          </w:p>
        </w:tc>
        <w:tc>
          <w:tcPr>
            <w:tcW w:w="1448" w:type="dxa"/>
            <w:tcBorders>
              <w:top w:val="nil"/>
              <w:left w:val="nil"/>
              <w:bottom w:val="nil"/>
              <w:right w:val="single" w:sz="8" w:space="0" w:color="auto"/>
            </w:tcBorders>
            <w:shd w:val="clear" w:color="000000" w:fill="D9D9D9"/>
            <w:vAlign w:val="center"/>
            <w:hideMark/>
          </w:tcPr>
          <w:p w14:paraId="376D4E23" w14:textId="77777777" w:rsidR="00575776" w:rsidRPr="005151BE" w:rsidRDefault="00575776" w:rsidP="00575776"/>
        </w:tc>
        <w:tc>
          <w:tcPr>
            <w:tcW w:w="1895" w:type="dxa"/>
            <w:tcBorders>
              <w:top w:val="nil"/>
              <w:left w:val="nil"/>
              <w:bottom w:val="nil"/>
              <w:right w:val="single" w:sz="8" w:space="0" w:color="auto"/>
            </w:tcBorders>
            <w:shd w:val="clear" w:color="000000" w:fill="D9D9D9"/>
            <w:vAlign w:val="center"/>
            <w:hideMark/>
          </w:tcPr>
          <w:p w14:paraId="775B60C4" w14:textId="5C706DEA" w:rsidR="00575776" w:rsidRPr="005151BE" w:rsidRDefault="00575776" w:rsidP="00575776">
            <w:pPr>
              <w:jc w:val="center"/>
            </w:pPr>
            <w:r>
              <w:rPr>
                <w:rFonts w:ascii="Arial" w:hAnsi="Arial" w:cs="Arial"/>
                <w:color w:val="000000"/>
              </w:rPr>
              <w:t> </w:t>
            </w:r>
          </w:p>
        </w:tc>
      </w:tr>
      <w:tr w:rsidR="00575776" w:rsidRPr="005151BE" w14:paraId="4BB1D1E5" w14:textId="77777777" w:rsidTr="00863473">
        <w:trPr>
          <w:trHeight w:val="300"/>
        </w:trPr>
        <w:tc>
          <w:tcPr>
            <w:tcW w:w="1841" w:type="dxa"/>
            <w:tcBorders>
              <w:top w:val="nil"/>
              <w:left w:val="single" w:sz="8" w:space="0" w:color="auto"/>
              <w:bottom w:val="nil"/>
              <w:right w:val="nil"/>
            </w:tcBorders>
            <w:vAlign w:val="center"/>
            <w:hideMark/>
          </w:tcPr>
          <w:p w14:paraId="0C9314A3" w14:textId="40D054FB" w:rsidR="00575776" w:rsidRPr="005151BE" w:rsidRDefault="00575776" w:rsidP="00575776">
            <w:pPr>
              <w:jc w:val="right"/>
              <w:rPr>
                <w:rFonts w:ascii="Arial" w:hAnsi="Arial" w:cs="Arial"/>
                <w:color w:val="000000"/>
              </w:rPr>
            </w:pPr>
            <w:r>
              <w:rPr>
                <w:rFonts w:ascii="Arial" w:hAnsi="Arial" w:cs="Arial"/>
                <w:color w:val="000000"/>
              </w:rPr>
              <w:t>(2,096)</w:t>
            </w:r>
          </w:p>
        </w:tc>
        <w:tc>
          <w:tcPr>
            <w:tcW w:w="4172" w:type="dxa"/>
            <w:tcBorders>
              <w:top w:val="nil"/>
              <w:left w:val="single" w:sz="8" w:space="0" w:color="auto"/>
              <w:bottom w:val="nil"/>
              <w:right w:val="nil"/>
            </w:tcBorders>
            <w:shd w:val="clear" w:color="000000" w:fill="D9D9D9"/>
            <w:vAlign w:val="center"/>
            <w:hideMark/>
          </w:tcPr>
          <w:p w14:paraId="018B6ECF" w14:textId="77777777" w:rsidR="00575776" w:rsidRPr="005151BE" w:rsidRDefault="00575776" w:rsidP="00575776">
            <w:pPr>
              <w:rPr>
                <w:rFonts w:ascii="Arial" w:hAnsi="Arial" w:cs="Arial"/>
                <w:color w:val="000000"/>
              </w:rPr>
            </w:pPr>
            <w:r w:rsidRPr="005151BE">
              <w:rPr>
                <w:rFonts w:ascii="Arial" w:hAnsi="Arial" w:cs="Arial"/>
                <w:color w:val="000000"/>
              </w:rPr>
              <w:t>Long-Term Provisions</w:t>
            </w:r>
          </w:p>
        </w:tc>
        <w:tc>
          <w:tcPr>
            <w:tcW w:w="1448" w:type="dxa"/>
            <w:tcBorders>
              <w:top w:val="nil"/>
              <w:left w:val="nil"/>
              <w:bottom w:val="nil"/>
              <w:right w:val="single" w:sz="8" w:space="0" w:color="auto"/>
            </w:tcBorders>
            <w:shd w:val="clear" w:color="000000" w:fill="D9D9D9"/>
            <w:vAlign w:val="center"/>
            <w:hideMark/>
          </w:tcPr>
          <w:p w14:paraId="5D26BA83" w14:textId="77777777" w:rsidR="00575776" w:rsidRPr="005151BE" w:rsidRDefault="00575776" w:rsidP="00575776">
            <w:pP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31CE2017" w14:textId="0400E01D" w:rsidR="00575776" w:rsidRPr="005151BE" w:rsidRDefault="00575776" w:rsidP="00575776">
            <w:pPr>
              <w:jc w:val="right"/>
              <w:rPr>
                <w:rFonts w:ascii="Arial" w:hAnsi="Arial" w:cs="Arial"/>
                <w:color w:val="000000"/>
              </w:rPr>
            </w:pPr>
            <w:r>
              <w:rPr>
                <w:rFonts w:ascii="Arial" w:hAnsi="Arial" w:cs="Arial"/>
                <w:color w:val="000000"/>
              </w:rPr>
              <w:t>(2,148)</w:t>
            </w:r>
          </w:p>
        </w:tc>
      </w:tr>
      <w:tr w:rsidR="00575776" w:rsidRPr="005151BE" w14:paraId="0D1D0B54" w14:textId="77777777" w:rsidTr="00863473">
        <w:trPr>
          <w:trHeight w:val="300"/>
        </w:trPr>
        <w:tc>
          <w:tcPr>
            <w:tcW w:w="1841" w:type="dxa"/>
            <w:tcBorders>
              <w:top w:val="nil"/>
              <w:left w:val="single" w:sz="8" w:space="0" w:color="auto"/>
              <w:bottom w:val="nil"/>
              <w:right w:val="nil"/>
            </w:tcBorders>
            <w:vAlign w:val="center"/>
          </w:tcPr>
          <w:p w14:paraId="6DA5EB39" w14:textId="26CF65C4" w:rsidR="00575776" w:rsidRPr="005151BE" w:rsidRDefault="00575776" w:rsidP="00575776">
            <w:pPr>
              <w:jc w:val="right"/>
              <w:rPr>
                <w:rFonts w:ascii="Arial" w:hAnsi="Arial" w:cs="Arial"/>
                <w:color w:val="000000"/>
              </w:rPr>
            </w:pPr>
          </w:p>
        </w:tc>
        <w:tc>
          <w:tcPr>
            <w:tcW w:w="4172" w:type="dxa"/>
            <w:tcBorders>
              <w:top w:val="nil"/>
              <w:left w:val="single" w:sz="8" w:space="0" w:color="auto"/>
              <w:bottom w:val="nil"/>
              <w:right w:val="nil"/>
            </w:tcBorders>
            <w:shd w:val="clear" w:color="000000" w:fill="D9D9D9"/>
            <w:vAlign w:val="center"/>
          </w:tcPr>
          <w:p w14:paraId="113DC8B8" w14:textId="6D7FC6B8" w:rsidR="00575776" w:rsidRPr="005151BE" w:rsidRDefault="00575776" w:rsidP="00575776">
            <w:pPr>
              <w:rPr>
                <w:rFonts w:ascii="Arial" w:hAnsi="Arial" w:cs="Arial"/>
                <w:color w:val="000000"/>
              </w:rPr>
            </w:pPr>
            <w:r w:rsidRPr="00167585">
              <w:rPr>
                <w:rFonts w:ascii="Arial" w:hAnsi="Arial" w:cs="Arial"/>
                <w:color w:val="000000"/>
              </w:rPr>
              <w:t>Long-term Lease Liabilities</w:t>
            </w:r>
          </w:p>
        </w:tc>
        <w:tc>
          <w:tcPr>
            <w:tcW w:w="1448" w:type="dxa"/>
            <w:tcBorders>
              <w:top w:val="nil"/>
              <w:left w:val="nil"/>
              <w:bottom w:val="nil"/>
              <w:right w:val="single" w:sz="8" w:space="0" w:color="auto"/>
            </w:tcBorders>
            <w:shd w:val="clear" w:color="000000" w:fill="D9D9D9"/>
            <w:vAlign w:val="center"/>
          </w:tcPr>
          <w:p w14:paraId="0A49FA9D" w14:textId="77777777" w:rsidR="00575776" w:rsidRPr="005151BE" w:rsidRDefault="00575776" w:rsidP="00575776">
            <w:pPr>
              <w:jc w:val="cente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tcPr>
          <w:p w14:paraId="531FFC40" w14:textId="30A276E0" w:rsidR="00575776" w:rsidRPr="005151BE" w:rsidRDefault="00575776" w:rsidP="00575776">
            <w:pPr>
              <w:jc w:val="right"/>
              <w:rPr>
                <w:rFonts w:ascii="Arial" w:hAnsi="Arial" w:cs="Arial"/>
                <w:color w:val="000000"/>
              </w:rPr>
            </w:pPr>
            <w:r>
              <w:rPr>
                <w:rFonts w:ascii="Arial" w:hAnsi="Arial" w:cs="Arial"/>
                <w:color w:val="000000"/>
              </w:rPr>
              <w:t>(1,943)</w:t>
            </w:r>
          </w:p>
        </w:tc>
      </w:tr>
      <w:tr w:rsidR="00575776" w:rsidRPr="005151BE" w14:paraId="6EDB6EE9" w14:textId="77777777" w:rsidTr="00863473">
        <w:trPr>
          <w:trHeight w:val="300"/>
        </w:trPr>
        <w:tc>
          <w:tcPr>
            <w:tcW w:w="1841" w:type="dxa"/>
            <w:tcBorders>
              <w:top w:val="nil"/>
              <w:left w:val="single" w:sz="8" w:space="0" w:color="auto"/>
              <w:bottom w:val="nil"/>
              <w:right w:val="nil"/>
            </w:tcBorders>
            <w:vAlign w:val="center"/>
            <w:hideMark/>
          </w:tcPr>
          <w:p w14:paraId="7FCE193A" w14:textId="684C4F15" w:rsidR="00575776" w:rsidRPr="005151BE" w:rsidRDefault="00575776" w:rsidP="00575776">
            <w:pPr>
              <w:jc w:val="right"/>
              <w:rPr>
                <w:rFonts w:ascii="Arial" w:hAnsi="Arial" w:cs="Arial"/>
                <w:color w:val="000000"/>
              </w:rPr>
            </w:pPr>
            <w:r>
              <w:rPr>
                <w:rFonts w:ascii="Arial" w:hAnsi="Arial" w:cs="Arial"/>
                <w:color w:val="000000"/>
              </w:rPr>
              <w:t>(45,888)</w:t>
            </w:r>
          </w:p>
        </w:tc>
        <w:tc>
          <w:tcPr>
            <w:tcW w:w="4172" w:type="dxa"/>
            <w:tcBorders>
              <w:top w:val="nil"/>
              <w:left w:val="single" w:sz="8" w:space="0" w:color="auto"/>
              <w:bottom w:val="nil"/>
              <w:right w:val="nil"/>
            </w:tcBorders>
            <w:shd w:val="clear" w:color="000000" w:fill="D9D9D9"/>
            <w:vAlign w:val="center"/>
            <w:hideMark/>
          </w:tcPr>
          <w:p w14:paraId="20AABA83" w14:textId="77777777" w:rsidR="00575776" w:rsidRPr="005151BE" w:rsidRDefault="00575776" w:rsidP="00575776">
            <w:pPr>
              <w:rPr>
                <w:rFonts w:ascii="Arial" w:hAnsi="Arial" w:cs="Arial"/>
                <w:color w:val="000000"/>
              </w:rPr>
            </w:pPr>
            <w:r w:rsidRPr="005151BE">
              <w:rPr>
                <w:rFonts w:ascii="Arial" w:hAnsi="Arial" w:cs="Arial"/>
                <w:color w:val="000000"/>
              </w:rPr>
              <w:t>Long Term Borrowing</w:t>
            </w:r>
          </w:p>
        </w:tc>
        <w:tc>
          <w:tcPr>
            <w:tcW w:w="1448" w:type="dxa"/>
            <w:tcBorders>
              <w:top w:val="nil"/>
              <w:left w:val="nil"/>
              <w:bottom w:val="nil"/>
              <w:right w:val="single" w:sz="8" w:space="0" w:color="auto"/>
            </w:tcBorders>
            <w:shd w:val="clear" w:color="000000" w:fill="D9D9D9"/>
            <w:vAlign w:val="center"/>
            <w:hideMark/>
          </w:tcPr>
          <w:p w14:paraId="50C1F18E" w14:textId="11D0814E" w:rsidR="00575776" w:rsidRPr="005151BE" w:rsidRDefault="00575776" w:rsidP="00575776">
            <w:pPr>
              <w:jc w:val="center"/>
              <w:rPr>
                <w:rFonts w:ascii="Arial" w:hAnsi="Arial" w:cs="Arial"/>
                <w:color w:val="000000"/>
              </w:rPr>
            </w:pPr>
            <w:r w:rsidRPr="005151BE">
              <w:rPr>
                <w:rFonts w:ascii="Arial" w:hAnsi="Arial" w:cs="Arial"/>
                <w:color w:val="000000"/>
              </w:rPr>
              <w:t>2</w:t>
            </w:r>
            <w:r w:rsidR="00D3507C">
              <w:rPr>
                <w:rFonts w:ascii="Arial" w:hAnsi="Arial" w:cs="Arial"/>
                <w:color w:val="000000"/>
              </w:rPr>
              <w:t>9</w:t>
            </w:r>
          </w:p>
        </w:tc>
        <w:tc>
          <w:tcPr>
            <w:tcW w:w="1895" w:type="dxa"/>
            <w:tcBorders>
              <w:top w:val="nil"/>
              <w:left w:val="nil"/>
              <w:bottom w:val="nil"/>
              <w:right w:val="single" w:sz="8" w:space="0" w:color="auto"/>
            </w:tcBorders>
            <w:shd w:val="clear" w:color="000000" w:fill="D9D9D9"/>
            <w:vAlign w:val="center"/>
            <w:hideMark/>
          </w:tcPr>
          <w:p w14:paraId="3B5CB6BE" w14:textId="0A388C61" w:rsidR="00575776" w:rsidRPr="005151BE" w:rsidRDefault="00575776" w:rsidP="00575776">
            <w:pPr>
              <w:jc w:val="right"/>
              <w:rPr>
                <w:rFonts w:ascii="Arial" w:hAnsi="Arial" w:cs="Arial"/>
                <w:color w:val="000000"/>
              </w:rPr>
            </w:pPr>
            <w:r>
              <w:rPr>
                <w:rFonts w:ascii="Arial" w:hAnsi="Arial" w:cs="Arial"/>
                <w:color w:val="000000"/>
              </w:rPr>
              <w:t>(39,413)</w:t>
            </w:r>
          </w:p>
        </w:tc>
      </w:tr>
      <w:tr w:rsidR="00575776" w:rsidRPr="005151BE" w14:paraId="0C7F5C14" w14:textId="77777777" w:rsidTr="00863473">
        <w:trPr>
          <w:trHeight w:val="300"/>
        </w:trPr>
        <w:tc>
          <w:tcPr>
            <w:tcW w:w="1841" w:type="dxa"/>
            <w:tcBorders>
              <w:top w:val="nil"/>
              <w:left w:val="single" w:sz="8" w:space="0" w:color="auto"/>
              <w:bottom w:val="nil"/>
              <w:right w:val="nil"/>
            </w:tcBorders>
            <w:vAlign w:val="center"/>
            <w:hideMark/>
          </w:tcPr>
          <w:p w14:paraId="733AE351" w14:textId="7D7FC673" w:rsidR="00575776" w:rsidRPr="005151BE" w:rsidRDefault="00C00CC6" w:rsidP="00575776">
            <w:pPr>
              <w:jc w:val="right"/>
              <w:rPr>
                <w:rFonts w:ascii="Arial" w:hAnsi="Arial" w:cs="Arial"/>
                <w:color w:val="000000"/>
              </w:rPr>
            </w:pPr>
            <w:r>
              <w:rPr>
                <w:rFonts w:ascii="Arial" w:hAnsi="Arial" w:cs="Arial"/>
                <w:color w:val="000000"/>
              </w:rPr>
              <w:t>0</w:t>
            </w:r>
          </w:p>
        </w:tc>
        <w:tc>
          <w:tcPr>
            <w:tcW w:w="4172" w:type="dxa"/>
            <w:tcBorders>
              <w:top w:val="nil"/>
              <w:left w:val="single" w:sz="8" w:space="0" w:color="auto"/>
              <w:bottom w:val="nil"/>
              <w:right w:val="nil"/>
            </w:tcBorders>
            <w:shd w:val="clear" w:color="000000" w:fill="D9D9D9"/>
            <w:vAlign w:val="center"/>
            <w:hideMark/>
          </w:tcPr>
          <w:p w14:paraId="352F923D" w14:textId="77777777" w:rsidR="00575776" w:rsidRPr="005151BE" w:rsidRDefault="00575776" w:rsidP="00575776">
            <w:pPr>
              <w:rPr>
                <w:rFonts w:ascii="Arial" w:hAnsi="Arial" w:cs="Arial"/>
                <w:color w:val="000000"/>
              </w:rPr>
            </w:pPr>
            <w:r w:rsidRPr="005151BE">
              <w:rPr>
                <w:rFonts w:ascii="Arial" w:hAnsi="Arial" w:cs="Arial"/>
                <w:color w:val="000000"/>
              </w:rPr>
              <w:t>Pensions Liability</w:t>
            </w:r>
          </w:p>
        </w:tc>
        <w:tc>
          <w:tcPr>
            <w:tcW w:w="1448" w:type="dxa"/>
            <w:tcBorders>
              <w:top w:val="nil"/>
              <w:left w:val="nil"/>
              <w:bottom w:val="nil"/>
              <w:right w:val="single" w:sz="8" w:space="0" w:color="auto"/>
            </w:tcBorders>
            <w:shd w:val="clear" w:color="000000" w:fill="D9D9D9"/>
            <w:vAlign w:val="center"/>
            <w:hideMark/>
          </w:tcPr>
          <w:p w14:paraId="7D09F2B7" w14:textId="2AB24A35" w:rsidR="00575776" w:rsidRPr="005151BE" w:rsidRDefault="00D3507C" w:rsidP="00575776">
            <w:pPr>
              <w:jc w:val="center"/>
              <w:rPr>
                <w:rFonts w:ascii="Arial" w:hAnsi="Arial" w:cs="Arial"/>
                <w:color w:val="000000"/>
              </w:rPr>
            </w:pPr>
            <w:r>
              <w:rPr>
                <w:rFonts w:ascii="Arial" w:hAnsi="Arial" w:cs="Arial"/>
                <w:color w:val="000000"/>
              </w:rPr>
              <w:t>30</w:t>
            </w:r>
          </w:p>
        </w:tc>
        <w:tc>
          <w:tcPr>
            <w:tcW w:w="1895" w:type="dxa"/>
            <w:tcBorders>
              <w:top w:val="nil"/>
              <w:left w:val="nil"/>
              <w:bottom w:val="nil"/>
              <w:right w:val="single" w:sz="8" w:space="0" w:color="auto"/>
            </w:tcBorders>
            <w:shd w:val="clear" w:color="000000" w:fill="D9D9D9"/>
            <w:vAlign w:val="center"/>
            <w:hideMark/>
          </w:tcPr>
          <w:p w14:paraId="01B15E68" w14:textId="395DAEA7" w:rsidR="00575776" w:rsidRPr="005F3998" w:rsidRDefault="00575776" w:rsidP="00575776">
            <w:pPr>
              <w:jc w:val="right"/>
              <w:rPr>
                <w:rFonts w:ascii="Arial" w:hAnsi="Arial" w:cs="Arial"/>
                <w:color w:val="000000"/>
              </w:rPr>
            </w:pPr>
            <w:r>
              <w:rPr>
                <w:rFonts w:ascii="Arial" w:hAnsi="Arial" w:cs="Arial"/>
                <w:color w:val="000000"/>
              </w:rPr>
              <w:t>0</w:t>
            </w:r>
          </w:p>
        </w:tc>
      </w:tr>
      <w:tr w:rsidR="00575776" w:rsidRPr="005151BE" w14:paraId="23BE8544" w14:textId="77777777" w:rsidTr="00863473">
        <w:trPr>
          <w:trHeight w:val="300"/>
        </w:trPr>
        <w:tc>
          <w:tcPr>
            <w:tcW w:w="1841" w:type="dxa"/>
            <w:tcBorders>
              <w:top w:val="single" w:sz="8" w:space="0" w:color="auto"/>
              <w:left w:val="single" w:sz="8" w:space="0" w:color="auto"/>
              <w:bottom w:val="nil"/>
              <w:right w:val="nil"/>
            </w:tcBorders>
            <w:vAlign w:val="center"/>
            <w:hideMark/>
          </w:tcPr>
          <w:p w14:paraId="0CFC29C3" w14:textId="128D96E1" w:rsidR="00575776" w:rsidRPr="005151BE" w:rsidRDefault="00575776" w:rsidP="00575776">
            <w:pPr>
              <w:jc w:val="right"/>
              <w:rPr>
                <w:rFonts w:ascii="Arial" w:hAnsi="Arial" w:cs="Arial"/>
                <w:b/>
                <w:bCs/>
                <w:color w:val="000000"/>
              </w:rPr>
            </w:pPr>
            <w:r>
              <w:rPr>
                <w:rFonts w:ascii="Arial" w:hAnsi="Arial" w:cs="Arial"/>
                <w:b/>
                <w:bCs/>
                <w:color w:val="000000"/>
              </w:rPr>
              <w:t>(4</w:t>
            </w:r>
            <w:r w:rsidR="000662F2">
              <w:rPr>
                <w:rFonts w:ascii="Arial" w:hAnsi="Arial" w:cs="Arial"/>
                <w:b/>
                <w:bCs/>
                <w:color w:val="000000"/>
              </w:rPr>
              <w:t>7</w:t>
            </w:r>
            <w:r>
              <w:rPr>
                <w:rFonts w:ascii="Arial" w:hAnsi="Arial" w:cs="Arial"/>
                <w:b/>
                <w:bCs/>
                <w:color w:val="000000"/>
              </w:rPr>
              <w:t>,</w:t>
            </w:r>
            <w:r w:rsidR="000662F2">
              <w:rPr>
                <w:rFonts w:ascii="Arial" w:hAnsi="Arial" w:cs="Arial"/>
                <w:b/>
                <w:bCs/>
                <w:color w:val="000000"/>
              </w:rPr>
              <w:t>9</w:t>
            </w:r>
            <w:r w:rsidR="00AA0CAC">
              <w:rPr>
                <w:rFonts w:ascii="Arial" w:hAnsi="Arial" w:cs="Arial"/>
                <w:b/>
                <w:bCs/>
                <w:color w:val="000000"/>
              </w:rPr>
              <w:t>8</w:t>
            </w:r>
            <w:r w:rsidR="000662F2">
              <w:rPr>
                <w:rFonts w:ascii="Arial" w:hAnsi="Arial" w:cs="Arial"/>
                <w:b/>
                <w:bCs/>
                <w:color w:val="000000"/>
              </w:rPr>
              <w:t>3</w:t>
            </w:r>
            <w:r>
              <w:rPr>
                <w:rFonts w:ascii="Arial" w:hAnsi="Arial" w:cs="Arial"/>
                <w:b/>
                <w:bCs/>
                <w:color w:val="000000"/>
              </w:rPr>
              <w:t>)</w:t>
            </w:r>
          </w:p>
        </w:tc>
        <w:tc>
          <w:tcPr>
            <w:tcW w:w="4172" w:type="dxa"/>
            <w:tcBorders>
              <w:top w:val="nil"/>
              <w:left w:val="single" w:sz="8" w:space="0" w:color="auto"/>
              <w:bottom w:val="nil"/>
              <w:right w:val="nil"/>
            </w:tcBorders>
            <w:shd w:val="clear" w:color="000000" w:fill="D9D9D9"/>
            <w:vAlign w:val="center"/>
            <w:hideMark/>
          </w:tcPr>
          <w:p w14:paraId="40DAD4AE" w14:textId="77777777" w:rsidR="00575776" w:rsidRPr="005151BE" w:rsidRDefault="00575776" w:rsidP="00575776">
            <w:pPr>
              <w:rPr>
                <w:rFonts w:ascii="Arial" w:hAnsi="Arial" w:cs="Arial"/>
                <w:b/>
                <w:bCs/>
                <w:color w:val="000000"/>
              </w:rPr>
            </w:pPr>
            <w:r w:rsidRPr="005151BE">
              <w:rPr>
                <w:rFonts w:ascii="Arial" w:hAnsi="Arial" w:cs="Arial"/>
                <w:b/>
                <w:bCs/>
                <w:color w:val="000000"/>
              </w:rPr>
              <w:t>Long Term Liabilities</w:t>
            </w:r>
          </w:p>
        </w:tc>
        <w:tc>
          <w:tcPr>
            <w:tcW w:w="1448" w:type="dxa"/>
            <w:tcBorders>
              <w:top w:val="nil"/>
              <w:left w:val="nil"/>
              <w:bottom w:val="nil"/>
              <w:right w:val="single" w:sz="8" w:space="0" w:color="auto"/>
            </w:tcBorders>
            <w:shd w:val="clear" w:color="000000" w:fill="D9D9D9"/>
            <w:vAlign w:val="center"/>
            <w:hideMark/>
          </w:tcPr>
          <w:p w14:paraId="261DE04C" w14:textId="77777777" w:rsidR="00575776" w:rsidRPr="005151BE" w:rsidRDefault="00575776" w:rsidP="00575776">
            <w:pPr>
              <w:rPr>
                <w:rFonts w:ascii="Arial" w:hAnsi="Arial" w:cs="Arial"/>
                <w:b/>
                <w:bCs/>
                <w:color w:val="000000"/>
              </w:rPr>
            </w:pPr>
          </w:p>
        </w:tc>
        <w:tc>
          <w:tcPr>
            <w:tcW w:w="1895" w:type="dxa"/>
            <w:tcBorders>
              <w:top w:val="single" w:sz="8" w:space="0" w:color="auto"/>
              <w:left w:val="nil"/>
              <w:bottom w:val="nil"/>
              <w:right w:val="single" w:sz="8" w:space="0" w:color="auto"/>
            </w:tcBorders>
            <w:shd w:val="clear" w:color="000000" w:fill="D9D9D9"/>
            <w:vAlign w:val="center"/>
            <w:hideMark/>
          </w:tcPr>
          <w:p w14:paraId="63328253" w14:textId="1BC1DAF0" w:rsidR="00575776" w:rsidRPr="005F3998" w:rsidRDefault="00575776" w:rsidP="00575776">
            <w:pPr>
              <w:jc w:val="right"/>
              <w:rPr>
                <w:rFonts w:ascii="Arial" w:hAnsi="Arial" w:cs="Arial"/>
                <w:b/>
                <w:bCs/>
                <w:color w:val="000000"/>
              </w:rPr>
            </w:pPr>
            <w:r>
              <w:rPr>
                <w:rFonts w:ascii="Arial" w:hAnsi="Arial" w:cs="Arial"/>
                <w:b/>
                <w:bCs/>
                <w:color w:val="000000"/>
              </w:rPr>
              <w:t>(43,503)</w:t>
            </w:r>
          </w:p>
        </w:tc>
      </w:tr>
      <w:tr w:rsidR="00575776" w:rsidRPr="005151BE" w14:paraId="61192090" w14:textId="77777777" w:rsidTr="00BA649D">
        <w:trPr>
          <w:trHeight w:val="170"/>
        </w:trPr>
        <w:tc>
          <w:tcPr>
            <w:tcW w:w="1841" w:type="dxa"/>
            <w:tcBorders>
              <w:top w:val="nil"/>
              <w:left w:val="single" w:sz="8" w:space="0" w:color="auto"/>
              <w:bottom w:val="single" w:sz="8" w:space="0" w:color="auto"/>
              <w:right w:val="nil"/>
            </w:tcBorders>
            <w:vAlign w:val="center"/>
            <w:hideMark/>
          </w:tcPr>
          <w:p w14:paraId="5F0B56BF" w14:textId="40A947E7" w:rsidR="00575776" w:rsidRPr="005151BE" w:rsidRDefault="00575776" w:rsidP="00575776">
            <w:pPr>
              <w:jc w:val="right"/>
              <w:rPr>
                <w:rFonts w:ascii="Arial" w:hAnsi="Arial" w:cs="Arial"/>
                <w:b/>
                <w:bCs/>
                <w:color w:val="000000"/>
              </w:rPr>
            </w:pPr>
            <w:r>
              <w:rPr>
                <w:rFonts w:ascii="Arial" w:hAnsi="Arial" w:cs="Arial"/>
                <w:color w:val="000000"/>
              </w:rPr>
              <w:t> </w:t>
            </w:r>
          </w:p>
        </w:tc>
        <w:tc>
          <w:tcPr>
            <w:tcW w:w="4172" w:type="dxa"/>
            <w:tcBorders>
              <w:top w:val="nil"/>
              <w:left w:val="single" w:sz="8" w:space="0" w:color="auto"/>
              <w:bottom w:val="nil"/>
              <w:right w:val="nil"/>
            </w:tcBorders>
            <w:shd w:val="clear" w:color="000000" w:fill="D9D9D9"/>
            <w:vAlign w:val="center"/>
            <w:hideMark/>
          </w:tcPr>
          <w:p w14:paraId="510BBD72" w14:textId="77777777" w:rsidR="00575776" w:rsidRPr="005151BE" w:rsidRDefault="00575776" w:rsidP="00575776">
            <w:pPr>
              <w:jc w:val="right"/>
            </w:pPr>
          </w:p>
        </w:tc>
        <w:tc>
          <w:tcPr>
            <w:tcW w:w="1448" w:type="dxa"/>
            <w:tcBorders>
              <w:top w:val="nil"/>
              <w:left w:val="nil"/>
              <w:bottom w:val="nil"/>
              <w:right w:val="single" w:sz="8" w:space="0" w:color="auto"/>
            </w:tcBorders>
            <w:shd w:val="clear" w:color="000000" w:fill="D9D9D9"/>
            <w:vAlign w:val="center"/>
            <w:hideMark/>
          </w:tcPr>
          <w:p w14:paraId="4A6F9302" w14:textId="77777777" w:rsidR="00575776" w:rsidRPr="005151BE" w:rsidRDefault="00575776" w:rsidP="00575776"/>
        </w:tc>
        <w:tc>
          <w:tcPr>
            <w:tcW w:w="1895" w:type="dxa"/>
            <w:tcBorders>
              <w:top w:val="nil"/>
              <w:left w:val="nil"/>
              <w:bottom w:val="single" w:sz="8" w:space="0" w:color="auto"/>
              <w:right w:val="single" w:sz="8" w:space="0" w:color="auto"/>
            </w:tcBorders>
            <w:shd w:val="clear" w:color="000000" w:fill="D9D9D9"/>
            <w:vAlign w:val="center"/>
            <w:hideMark/>
          </w:tcPr>
          <w:p w14:paraId="35679057" w14:textId="76F8E880" w:rsidR="00575776" w:rsidRPr="005F3998" w:rsidRDefault="00575776" w:rsidP="00575776">
            <w:pPr>
              <w:jc w:val="center"/>
            </w:pPr>
            <w:r>
              <w:rPr>
                <w:rFonts w:ascii="Arial" w:hAnsi="Arial" w:cs="Arial"/>
                <w:color w:val="000000"/>
              </w:rPr>
              <w:t> </w:t>
            </w:r>
          </w:p>
        </w:tc>
      </w:tr>
      <w:tr w:rsidR="00575776" w:rsidRPr="005151BE" w14:paraId="684A7132" w14:textId="77777777" w:rsidTr="00B27992">
        <w:trPr>
          <w:trHeight w:val="300"/>
        </w:trPr>
        <w:tc>
          <w:tcPr>
            <w:tcW w:w="1841" w:type="dxa"/>
            <w:tcBorders>
              <w:top w:val="nil"/>
              <w:left w:val="single" w:sz="8" w:space="0" w:color="auto"/>
              <w:bottom w:val="double" w:sz="6" w:space="0" w:color="auto"/>
              <w:right w:val="nil"/>
            </w:tcBorders>
            <w:vAlign w:val="center"/>
            <w:hideMark/>
          </w:tcPr>
          <w:p w14:paraId="1C030EAE" w14:textId="1E416E59" w:rsidR="00575776" w:rsidRPr="00E06C8F" w:rsidRDefault="00575776" w:rsidP="00575776">
            <w:pPr>
              <w:jc w:val="right"/>
              <w:rPr>
                <w:rFonts w:ascii="Arial" w:hAnsi="Arial" w:cs="Arial"/>
                <w:b/>
                <w:bCs/>
                <w:color w:val="000000"/>
              </w:rPr>
            </w:pPr>
            <w:r>
              <w:rPr>
                <w:rFonts w:ascii="Arial" w:hAnsi="Arial" w:cs="Arial"/>
                <w:b/>
                <w:bCs/>
                <w:color w:val="000000"/>
              </w:rPr>
              <w:t>2</w:t>
            </w:r>
            <w:r w:rsidR="008E074E">
              <w:rPr>
                <w:rFonts w:ascii="Arial" w:hAnsi="Arial" w:cs="Arial"/>
                <w:b/>
                <w:bCs/>
                <w:color w:val="000000"/>
              </w:rPr>
              <w:t>07,682</w:t>
            </w:r>
          </w:p>
        </w:tc>
        <w:tc>
          <w:tcPr>
            <w:tcW w:w="4172" w:type="dxa"/>
            <w:tcBorders>
              <w:top w:val="nil"/>
              <w:left w:val="single" w:sz="8" w:space="0" w:color="auto"/>
              <w:bottom w:val="nil"/>
              <w:right w:val="nil"/>
            </w:tcBorders>
            <w:shd w:val="clear" w:color="000000" w:fill="D9D9D9"/>
            <w:vAlign w:val="center"/>
            <w:hideMark/>
          </w:tcPr>
          <w:p w14:paraId="3C56DEEF" w14:textId="7912A002" w:rsidR="00575776" w:rsidRPr="005151BE" w:rsidRDefault="00575776" w:rsidP="00575776">
            <w:pPr>
              <w:rPr>
                <w:rFonts w:ascii="Arial" w:hAnsi="Arial" w:cs="Arial"/>
                <w:b/>
                <w:bCs/>
                <w:color w:val="000000"/>
              </w:rPr>
            </w:pPr>
            <w:r w:rsidRPr="005151BE">
              <w:rPr>
                <w:rFonts w:ascii="Arial" w:hAnsi="Arial" w:cs="Arial"/>
                <w:b/>
                <w:bCs/>
                <w:color w:val="000000"/>
              </w:rPr>
              <w:t>Net Assets</w:t>
            </w:r>
            <w:r w:rsidR="00EF38E6">
              <w:rPr>
                <w:rFonts w:ascii="Arial" w:hAnsi="Arial" w:cs="Arial"/>
                <w:b/>
                <w:bCs/>
                <w:color w:val="000000"/>
              </w:rPr>
              <w:t>/(Liabilities)</w:t>
            </w:r>
          </w:p>
        </w:tc>
        <w:tc>
          <w:tcPr>
            <w:tcW w:w="1448" w:type="dxa"/>
            <w:tcBorders>
              <w:top w:val="nil"/>
              <w:left w:val="nil"/>
              <w:bottom w:val="nil"/>
              <w:right w:val="single" w:sz="8" w:space="0" w:color="auto"/>
            </w:tcBorders>
            <w:shd w:val="clear" w:color="000000" w:fill="D9D9D9"/>
            <w:vAlign w:val="center"/>
            <w:hideMark/>
          </w:tcPr>
          <w:p w14:paraId="6BB359BA" w14:textId="77777777" w:rsidR="00575776" w:rsidRPr="005151BE" w:rsidRDefault="00575776" w:rsidP="00575776">
            <w:pPr>
              <w:rPr>
                <w:rFonts w:ascii="Arial" w:hAnsi="Arial" w:cs="Arial"/>
                <w:b/>
                <w:bCs/>
                <w:color w:val="000000"/>
              </w:rPr>
            </w:pPr>
          </w:p>
        </w:tc>
        <w:tc>
          <w:tcPr>
            <w:tcW w:w="1895" w:type="dxa"/>
            <w:tcBorders>
              <w:top w:val="nil"/>
              <w:left w:val="nil"/>
              <w:bottom w:val="double" w:sz="6" w:space="0" w:color="auto"/>
              <w:right w:val="single" w:sz="8" w:space="0" w:color="auto"/>
            </w:tcBorders>
            <w:shd w:val="clear" w:color="000000" w:fill="D9D9D9"/>
            <w:vAlign w:val="center"/>
            <w:hideMark/>
          </w:tcPr>
          <w:p w14:paraId="5A862BC8" w14:textId="1F1927A9" w:rsidR="00575776" w:rsidRPr="005F3998" w:rsidRDefault="00575776" w:rsidP="00575776">
            <w:pPr>
              <w:jc w:val="right"/>
              <w:rPr>
                <w:rFonts w:ascii="Arial" w:hAnsi="Arial" w:cs="Arial"/>
                <w:b/>
                <w:bCs/>
                <w:color w:val="000000"/>
              </w:rPr>
            </w:pPr>
            <w:r>
              <w:rPr>
                <w:rFonts w:ascii="Arial" w:hAnsi="Arial" w:cs="Arial"/>
                <w:b/>
                <w:bCs/>
                <w:color w:val="000000"/>
              </w:rPr>
              <w:t>202,7</w:t>
            </w:r>
            <w:r w:rsidR="0003381D">
              <w:rPr>
                <w:rFonts w:ascii="Arial" w:hAnsi="Arial" w:cs="Arial"/>
                <w:b/>
                <w:bCs/>
                <w:color w:val="000000"/>
              </w:rPr>
              <w:t>60</w:t>
            </w:r>
          </w:p>
        </w:tc>
      </w:tr>
      <w:tr w:rsidR="00575776" w:rsidRPr="005151BE" w14:paraId="57594007" w14:textId="77777777" w:rsidTr="00BA649D">
        <w:trPr>
          <w:trHeight w:val="170"/>
        </w:trPr>
        <w:tc>
          <w:tcPr>
            <w:tcW w:w="1841" w:type="dxa"/>
            <w:tcBorders>
              <w:top w:val="nil"/>
              <w:left w:val="single" w:sz="8" w:space="0" w:color="auto"/>
              <w:bottom w:val="nil"/>
              <w:right w:val="nil"/>
            </w:tcBorders>
            <w:vAlign w:val="center"/>
            <w:hideMark/>
          </w:tcPr>
          <w:p w14:paraId="0AE56754" w14:textId="65466B68" w:rsidR="00575776" w:rsidRPr="00E06C8F" w:rsidRDefault="00575776" w:rsidP="00575776">
            <w:pPr>
              <w:jc w:val="right"/>
              <w:rPr>
                <w:rFonts w:ascii="Arial" w:hAnsi="Arial" w:cs="Arial"/>
                <w:b/>
                <w:bCs/>
                <w:color w:val="000000"/>
              </w:rPr>
            </w:pPr>
            <w:r>
              <w:rPr>
                <w:rFonts w:ascii="Arial" w:hAnsi="Arial" w:cs="Arial"/>
                <w:color w:val="000000"/>
              </w:rPr>
              <w:t> </w:t>
            </w:r>
          </w:p>
        </w:tc>
        <w:tc>
          <w:tcPr>
            <w:tcW w:w="4172" w:type="dxa"/>
            <w:tcBorders>
              <w:top w:val="nil"/>
              <w:left w:val="single" w:sz="8" w:space="0" w:color="auto"/>
              <w:bottom w:val="nil"/>
              <w:right w:val="nil"/>
            </w:tcBorders>
            <w:shd w:val="clear" w:color="000000" w:fill="D9D9D9"/>
            <w:vAlign w:val="center"/>
            <w:hideMark/>
          </w:tcPr>
          <w:p w14:paraId="1DB9C507" w14:textId="77777777" w:rsidR="00575776" w:rsidRPr="005151BE" w:rsidRDefault="00575776" w:rsidP="00575776">
            <w:pPr>
              <w:jc w:val="right"/>
            </w:pPr>
          </w:p>
        </w:tc>
        <w:tc>
          <w:tcPr>
            <w:tcW w:w="1448" w:type="dxa"/>
            <w:tcBorders>
              <w:top w:val="nil"/>
              <w:left w:val="nil"/>
              <w:bottom w:val="nil"/>
              <w:right w:val="single" w:sz="8" w:space="0" w:color="auto"/>
            </w:tcBorders>
            <w:shd w:val="clear" w:color="000000" w:fill="D9D9D9"/>
            <w:vAlign w:val="center"/>
            <w:hideMark/>
          </w:tcPr>
          <w:p w14:paraId="7AC86A44" w14:textId="77777777" w:rsidR="00575776" w:rsidRPr="005151BE" w:rsidRDefault="00575776" w:rsidP="00575776"/>
        </w:tc>
        <w:tc>
          <w:tcPr>
            <w:tcW w:w="1895" w:type="dxa"/>
            <w:tcBorders>
              <w:top w:val="nil"/>
              <w:left w:val="nil"/>
              <w:bottom w:val="nil"/>
              <w:right w:val="single" w:sz="8" w:space="0" w:color="auto"/>
            </w:tcBorders>
            <w:shd w:val="clear" w:color="000000" w:fill="D9D9D9"/>
            <w:vAlign w:val="center"/>
            <w:hideMark/>
          </w:tcPr>
          <w:p w14:paraId="75A1B2E7" w14:textId="76A5DAF4" w:rsidR="00575776" w:rsidRPr="005F3998" w:rsidRDefault="00575776" w:rsidP="00575776">
            <w:pPr>
              <w:jc w:val="center"/>
            </w:pPr>
            <w:r>
              <w:rPr>
                <w:rFonts w:ascii="Arial" w:hAnsi="Arial" w:cs="Arial"/>
                <w:color w:val="000000"/>
              </w:rPr>
              <w:t> </w:t>
            </w:r>
          </w:p>
        </w:tc>
      </w:tr>
      <w:tr w:rsidR="00575776" w:rsidRPr="005151BE" w14:paraId="2B891B2E" w14:textId="77777777" w:rsidTr="00863473">
        <w:trPr>
          <w:trHeight w:val="300"/>
        </w:trPr>
        <w:tc>
          <w:tcPr>
            <w:tcW w:w="1841" w:type="dxa"/>
            <w:tcBorders>
              <w:top w:val="nil"/>
              <w:left w:val="single" w:sz="8" w:space="0" w:color="auto"/>
              <w:bottom w:val="nil"/>
              <w:right w:val="nil"/>
            </w:tcBorders>
            <w:vAlign w:val="center"/>
            <w:hideMark/>
          </w:tcPr>
          <w:p w14:paraId="15FA2CFB" w14:textId="18F7EF8C" w:rsidR="00575776" w:rsidRPr="00E06C8F" w:rsidRDefault="00575776" w:rsidP="00575776">
            <w:pPr>
              <w:jc w:val="right"/>
              <w:rPr>
                <w:rFonts w:ascii="Arial" w:hAnsi="Arial" w:cs="Arial"/>
                <w:color w:val="000000"/>
              </w:rPr>
            </w:pPr>
            <w:r>
              <w:rPr>
                <w:rFonts w:ascii="Arial" w:hAnsi="Arial" w:cs="Arial"/>
                <w:color w:val="000000"/>
              </w:rPr>
              <w:t>(31,2</w:t>
            </w:r>
            <w:r w:rsidR="008E074E">
              <w:rPr>
                <w:rFonts w:ascii="Arial" w:hAnsi="Arial" w:cs="Arial"/>
                <w:color w:val="000000"/>
              </w:rPr>
              <w:t>85</w:t>
            </w:r>
            <w:r>
              <w:rPr>
                <w:rFonts w:ascii="Arial" w:hAnsi="Arial" w:cs="Arial"/>
                <w:color w:val="000000"/>
              </w:rPr>
              <w:t>)</w:t>
            </w:r>
          </w:p>
        </w:tc>
        <w:tc>
          <w:tcPr>
            <w:tcW w:w="4172" w:type="dxa"/>
            <w:tcBorders>
              <w:top w:val="nil"/>
              <w:left w:val="single" w:sz="8" w:space="0" w:color="auto"/>
              <w:bottom w:val="nil"/>
              <w:right w:val="nil"/>
            </w:tcBorders>
            <w:shd w:val="clear" w:color="000000" w:fill="D9D9D9"/>
            <w:vAlign w:val="center"/>
            <w:hideMark/>
          </w:tcPr>
          <w:p w14:paraId="399C43E5" w14:textId="77777777" w:rsidR="00575776" w:rsidRPr="005151BE" w:rsidRDefault="00575776" w:rsidP="00575776">
            <w:pPr>
              <w:rPr>
                <w:rFonts w:ascii="Arial" w:hAnsi="Arial" w:cs="Arial"/>
                <w:color w:val="000000"/>
              </w:rPr>
            </w:pPr>
            <w:r w:rsidRPr="005151BE">
              <w:rPr>
                <w:rFonts w:ascii="Arial" w:hAnsi="Arial" w:cs="Arial"/>
                <w:color w:val="000000"/>
              </w:rPr>
              <w:t>Usable Reserves</w:t>
            </w:r>
          </w:p>
        </w:tc>
        <w:tc>
          <w:tcPr>
            <w:tcW w:w="1448" w:type="dxa"/>
            <w:tcBorders>
              <w:top w:val="nil"/>
              <w:left w:val="nil"/>
              <w:bottom w:val="nil"/>
              <w:right w:val="single" w:sz="8" w:space="0" w:color="auto"/>
            </w:tcBorders>
            <w:shd w:val="clear" w:color="000000" w:fill="D9D9D9"/>
            <w:vAlign w:val="center"/>
            <w:hideMark/>
          </w:tcPr>
          <w:p w14:paraId="3AE57033" w14:textId="77777777" w:rsidR="00575776" w:rsidRPr="005151BE" w:rsidRDefault="00575776" w:rsidP="00575776">
            <w:pPr>
              <w:rPr>
                <w:rFonts w:ascii="Arial" w:hAnsi="Arial" w:cs="Arial"/>
                <w:color w:val="000000"/>
              </w:rPr>
            </w:pPr>
          </w:p>
        </w:tc>
        <w:tc>
          <w:tcPr>
            <w:tcW w:w="1895" w:type="dxa"/>
            <w:tcBorders>
              <w:top w:val="nil"/>
              <w:left w:val="nil"/>
              <w:bottom w:val="nil"/>
              <w:right w:val="single" w:sz="8" w:space="0" w:color="auto"/>
            </w:tcBorders>
            <w:shd w:val="clear" w:color="000000" w:fill="D9D9D9"/>
            <w:vAlign w:val="center"/>
            <w:hideMark/>
          </w:tcPr>
          <w:p w14:paraId="0F0E1D5C" w14:textId="23133997" w:rsidR="00575776" w:rsidRPr="005F3998" w:rsidRDefault="00575776" w:rsidP="00575776">
            <w:pPr>
              <w:jc w:val="right"/>
              <w:rPr>
                <w:rFonts w:ascii="Arial" w:hAnsi="Arial" w:cs="Arial"/>
                <w:color w:val="000000"/>
              </w:rPr>
            </w:pPr>
            <w:r>
              <w:rPr>
                <w:rFonts w:ascii="Arial" w:hAnsi="Arial" w:cs="Arial"/>
                <w:color w:val="000000"/>
              </w:rPr>
              <w:t>(29,0</w:t>
            </w:r>
            <w:r w:rsidR="0003381D">
              <w:rPr>
                <w:rFonts w:ascii="Arial" w:hAnsi="Arial" w:cs="Arial"/>
                <w:color w:val="000000"/>
              </w:rPr>
              <w:t>06</w:t>
            </w:r>
            <w:r>
              <w:rPr>
                <w:rFonts w:ascii="Arial" w:hAnsi="Arial" w:cs="Arial"/>
                <w:color w:val="000000"/>
              </w:rPr>
              <w:t>)</w:t>
            </w:r>
          </w:p>
        </w:tc>
      </w:tr>
      <w:tr w:rsidR="00575776" w:rsidRPr="005151BE" w14:paraId="05518C5E" w14:textId="77777777" w:rsidTr="00863473">
        <w:trPr>
          <w:trHeight w:val="300"/>
        </w:trPr>
        <w:tc>
          <w:tcPr>
            <w:tcW w:w="1841" w:type="dxa"/>
            <w:tcBorders>
              <w:top w:val="nil"/>
              <w:left w:val="single" w:sz="8" w:space="0" w:color="auto"/>
              <w:bottom w:val="nil"/>
              <w:right w:val="nil"/>
            </w:tcBorders>
            <w:vAlign w:val="center"/>
            <w:hideMark/>
          </w:tcPr>
          <w:p w14:paraId="45E4757F" w14:textId="00178835" w:rsidR="00575776" w:rsidRPr="00E06C8F" w:rsidRDefault="00575776" w:rsidP="00575776">
            <w:pPr>
              <w:jc w:val="right"/>
              <w:rPr>
                <w:rFonts w:ascii="Arial" w:hAnsi="Arial" w:cs="Arial"/>
                <w:color w:val="000000"/>
              </w:rPr>
            </w:pPr>
            <w:r>
              <w:rPr>
                <w:rFonts w:ascii="Arial" w:hAnsi="Arial" w:cs="Arial"/>
                <w:color w:val="000000"/>
              </w:rPr>
              <w:t>(17</w:t>
            </w:r>
            <w:r w:rsidR="008E074E">
              <w:rPr>
                <w:rFonts w:ascii="Arial" w:hAnsi="Arial" w:cs="Arial"/>
                <w:color w:val="000000"/>
              </w:rPr>
              <w:t>6</w:t>
            </w:r>
            <w:r>
              <w:rPr>
                <w:rFonts w:ascii="Arial" w:hAnsi="Arial" w:cs="Arial"/>
                <w:color w:val="000000"/>
              </w:rPr>
              <w:t>,</w:t>
            </w:r>
            <w:r w:rsidR="008E074E">
              <w:rPr>
                <w:rFonts w:ascii="Arial" w:hAnsi="Arial" w:cs="Arial"/>
                <w:color w:val="000000"/>
              </w:rPr>
              <w:t>397</w:t>
            </w:r>
            <w:r>
              <w:rPr>
                <w:rFonts w:ascii="Arial" w:hAnsi="Arial" w:cs="Arial"/>
                <w:color w:val="000000"/>
              </w:rPr>
              <w:t>)</w:t>
            </w:r>
          </w:p>
        </w:tc>
        <w:tc>
          <w:tcPr>
            <w:tcW w:w="4172" w:type="dxa"/>
            <w:tcBorders>
              <w:top w:val="nil"/>
              <w:left w:val="single" w:sz="8" w:space="0" w:color="auto"/>
              <w:bottom w:val="nil"/>
              <w:right w:val="nil"/>
            </w:tcBorders>
            <w:shd w:val="clear" w:color="000000" w:fill="D9D9D9"/>
            <w:vAlign w:val="center"/>
            <w:hideMark/>
          </w:tcPr>
          <w:p w14:paraId="687C7568" w14:textId="77777777" w:rsidR="00575776" w:rsidRPr="005151BE" w:rsidRDefault="00575776" w:rsidP="00575776">
            <w:pPr>
              <w:rPr>
                <w:rFonts w:ascii="Arial" w:hAnsi="Arial" w:cs="Arial"/>
                <w:color w:val="000000"/>
              </w:rPr>
            </w:pPr>
            <w:r w:rsidRPr="005151BE">
              <w:rPr>
                <w:rFonts w:ascii="Arial" w:hAnsi="Arial" w:cs="Arial"/>
                <w:color w:val="000000"/>
              </w:rPr>
              <w:t>Unusable Reserves</w:t>
            </w:r>
          </w:p>
        </w:tc>
        <w:tc>
          <w:tcPr>
            <w:tcW w:w="1448" w:type="dxa"/>
            <w:tcBorders>
              <w:top w:val="nil"/>
              <w:left w:val="nil"/>
              <w:bottom w:val="nil"/>
              <w:right w:val="single" w:sz="8" w:space="0" w:color="auto"/>
            </w:tcBorders>
            <w:shd w:val="clear" w:color="000000" w:fill="D9D9D9"/>
            <w:vAlign w:val="center"/>
            <w:hideMark/>
          </w:tcPr>
          <w:p w14:paraId="09B102AE" w14:textId="77777777" w:rsidR="00575776" w:rsidRPr="005151BE" w:rsidRDefault="00575776" w:rsidP="00575776">
            <w:pPr>
              <w:jc w:val="center"/>
              <w:rPr>
                <w:rFonts w:ascii="Arial" w:hAnsi="Arial" w:cs="Arial"/>
                <w:color w:val="000000"/>
              </w:rPr>
            </w:pPr>
            <w:r w:rsidRPr="005151BE">
              <w:rPr>
                <w:rFonts w:ascii="Arial" w:hAnsi="Arial" w:cs="Arial"/>
                <w:color w:val="000000"/>
              </w:rPr>
              <w:t>10</w:t>
            </w:r>
          </w:p>
        </w:tc>
        <w:tc>
          <w:tcPr>
            <w:tcW w:w="1895" w:type="dxa"/>
            <w:tcBorders>
              <w:top w:val="nil"/>
              <w:left w:val="nil"/>
              <w:bottom w:val="nil"/>
              <w:right w:val="single" w:sz="8" w:space="0" w:color="auto"/>
            </w:tcBorders>
            <w:shd w:val="clear" w:color="000000" w:fill="D9D9D9"/>
            <w:vAlign w:val="center"/>
            <w:hideMark/>
          </w:tcPr>
          <w:p w14:paraId="66C09644" w14:textId="3FFE817F" w:rsidR="00575776" w:rsidRPr="005F3998" w:rsidRDefault="00575776" w:rsidP="00575776">
            <w:pPr>
              <w:jc w:val="right"/>
              <w:rPr>
                <w:rFonts w:ascii="Arial" w:hAnsi="Arial" w:cs="Arial"/>
                <w:color w:val="000000"/>
              </w:rPr>
            </w:pPr>
            <w:r>
              <w:rPr>
                <w:rFonts w:ascii="Arial" w:hAnsi="Arial" w:cs="Arial"/>
                <w:color w:val="000000"/>
              </w:rPr>
              <w:t>(173,754)</w:t>
            </w:r>
          </w:p>
        </w:tc>
      </w:tr>
      <w:tr w:rsidR="00575776" w:rsidRPr="005151BE" w14:paraId="2FF6C5EB" w14:textId="77777777" w:rsidTr="00BA649D">
        <w:trPr>
          <w:trHeight w:val="170"/>
        </w:trPr>
        <w:tc>
          <w:tcPr>
            <w:tcW w:w="1841" w:type="dxa"/>
            <w:tcBorders>
              <w:top w:val="nil"/>
              <w:left w:val="single" w:sz="8" w:space="0" w:color="auto"/>
              <w:bottom w:val="single" w:sz="8" w:space="0" w:color="auto"/>
              <w:right w:val="nil"/>
            </w:tcBorders>
            <w:vAlign w:val="center"/>
            <w:hideMark/>
          </w:tcPr>
          <w:p w14:paraId="2482A793" w14:textId="3D31B551" w:rsidR="00575776" w:rsidRPr="005151BE" w:rsidRDefault="00575776" w:rsidP="00575776">
            <w:pPr>
              <w:jc w:val="right"/>
              <w:rPr>
                <w:rFonts w:ascii="Arial" w:hAnsi="Arial" w:cs="Arial"/>
                <w:color w:val="000000"/>
              </w:rPr>
            </w:pPr>
            <w:r>
              <w:rPr>
                <w:rFonts w:ascii="Arial" w:hAnsi="Arial" w:cs="Arial"/>
                <w:color w:val="000000"/>
              </w:rPr>
              <w:t> </w:t>
            </w:r>
          </w:p>
        </w:tc>
        <w:tc>
          <w:tcPr>
            <w:tcW w:w="4172" w:type="dxa"/>
            <w:tcBorders>
              <w:top w:val="nil"/>
              <w:left w:val="single" w:sz="8" w:space="0" w:color="auto"/>
              <w:bottom w:val="nil"/>
              <w:right w:val="nil"/>
            </w:tcBorders>
            <w:shd w:val="clear" w:color="000000" w:fill="D9D9D9"/>
            <w:vAlign w:val="center"/>
            <w:hideMark/>
          </w:tcPr>
          <w:p w14:paraId="4363796F" w14:textId="77777777" w:rsidR="00575776" w:rsidRPr="005151BE" w:rsidRDefault="00575776" w:rsidP="00575776">
            <w:pPr>
              <w:jc w:val="right"/>
            </w:pPr>
          </w:p>
        </w:tc>
        <w:tc>
          <w:tcPr>
            <w:tcW w:w="1448" w:type="dxa"/>
            <w:tcBorders>
              <w:top w:val="nil"/>
              <w:left w:val="nil"/>
              <w:bottom w:val="nil"/>
              <w:right w:val="single" w:sz="8" w:space="0" w:color="auto"/>
            </w:tcBorders>
            <w:shd w:val="clear" w:color="000000" w:fill="D9D9D9"/>
            <w:vAlign w:val="center"/>
            <w:hideMark/>
          </w:tcPr>
          <w:p w14:paraId="5A3678A8" w14:textId="77777777" w:rsidR="00575776" w:rsidRPr="005151BE" w:rsidRDefault="00575776" w:rsidP="00575776"/>
        </w:tc>
        <w:tc>
          <w:tcPr>
            <w:tcW w:w="1895" w:type="dxa"/>
            <w:tcBorders>
              <w:top w:val="nil"/>
              <w:left w:val="nil"/>
              <w:bottom w:val="single" w:sz="8" w:space="0" w:color="auto"/>
              <w:right w:val="single" w:sz="8" w:space="0" w:color="auto"/>
            </w:tcBorders>
            <w:shd w:val="clear" w:color="000000" w:fill="D9D9D9"/>
            <w:vAlign w:val="center"/>
            <w:hideMark/>
          </w:tcPr>
          <w:p w14:paraId="76BF9CFE" w14:textId="21BACE6A" w:rsidR="00575776" w:rsidRPr="005F3998" w:rsidRDefault="00575776" w:rsidP="00575776">
            <w:pPr>
              <w:jc w:val="center"/>
            </w:pPr>
            <w:r>
              <w:rPr>
                <w:rFonts w:ascii="Arial" w:hAnsi="Arial" w:cs="Arial"/>
                <w:color w:val="000000"/>
              </w:rPr>
              <w:t> </w:t>
            </w:r>
          </w:p>
        </w:tc>
      </w:tr>
      <w:tr w:rsidR="00575776" w:rsidRPr="005151BE" w14:paraId="3516AF67" w14:textId="77777777" w:rsidTr="00863473">
        <w:trPr>
          <w:trHeight w:val="300"/>
        </w:trPr>
        <w:tc>
          <w:tcPr>
            <w:tcW w:w="1841" w:type="dxa"/>
            <w:tcBorders>
              <w:top w:val="nil"/>
              <w:left w:val="single" w:sz="8" w:space="0" w:color="auto"/>
              <w:bottom w:val="single" w:sz="8" w:space="0" w:color="auto"/>
              <w:right w:val="nil"/>
            </w:tcBorders>
            <w:vAlign w:val="center"/>
            <w:hideMark/>
          </w:tcPr>
          <w:p w14:paraId="291395C6" w14:textId="7FBA904D" w:rsidR="00575776" w:rsidRPr="005151BE" w:rsidRDefault="00575776" w:rsidP="00575776">
            <w:pPr>
              <w:jc w:val="right"/>
              <w:rPr>
                <w:rFonts w:ascii="Arial" w:hAnsi="Arial" w:cs="Arial"/>
                <w:b/>
                <w:bCs/>
                <w:color w:val="000000"/>
              </w:rPr>
            </w:pPr>
            <w:r>
              <w:rPr>
                <w:rFonts w:ascii="Arial" w:hAnsi="Arial" w:cs="Arial"/>
                <w:b/>
                <w:bCs/>
                <w:color w:val="000000"/>
              </w:rPr>
              <w:t>(2</w:t>
            </w:r>
            <w:r w:rsidR="008E074E">
              <w:rPr>
                <w:rFonts w:ascii="Arial" w:hAnsi="Arial" w:cs="Arial"/>
                <w:b/>
                <w:bCs/>
                <w:color w:val="000000"/>
              </w:rPr>
              <w:t>07,682</w:t>
            </w:r>
            <w:r>
              <w:rPr>
                <w:rFonts w:ascii="Arial" w:hAnsi="Arial" w:cs="Arial"/>
                <w:b/>
                <w:bCs/>
                <w:color w:val="000000"/>
              </w:rPr>
              <w:t>)</w:t>
            </w:r>
          </w:p>
        </w:tc>
        <w:tc>
          <w:tcPr>
            <w:tcW w:w="4172" w:type="dxa"/>
            <w:tcBorders>
              <w:top w:val="single" w:sz="8" w:space="0" w:color="auto"/>
              <w:left w:val="single" w:sz="8" w:space="0" w:color="auto"/>
              <w:bottom w:val="single" w:sz="8" w:space="0" w:color="auto"/>
              <w:right w:val="nil"/>
            </w:tcBorders>
            <w:shd w:val="clear" w:color="000000" w:fill="D9D9D9"/>
            <w:vAlign w:val="center"/>
            <w:hideMark/>
          </w:tcPr>
          <w:p w14:paraId="6F6598C1" w14:textId="77777777" w:rsidR="00575776" w:rsidRPr="005151BE" w:rsidRDefault="00575776" w:rsidP="00575776">
            <w:pPr>
              <w:rPr>
                <w:rFonts w:ascii="Arial" w:hAnsi="Arial" w:cs="Arial"/>
                <w:b/>
                <w:bCs/>
                <w:color w:val="000000"/>
              </w:rPr>
            </w:pPr>
            <w:r w:rsidRPr="005151BE">
              <w:rPr>
                <w:rFonts w:ascii="Arial" w:hAnsi="Arial" w:cs="Arial"/>
                <w:b/>
                <w:bCs/>
                <w:color w:val="000000"/>
              </w:rPr>
              <w:t>Total Reserves</w:t>
            </w:r>
          </w:p>
        </w:tc>
        <w:tc>
          <w:tcPr>
            <w:tcW w:w="1448" w:type="dxa"/>
            <w:tcBorders>
              <w:top w:val="single" w:sz="8" w:space="0" w:color="auto"/>
              <w:left w:val="nil"/>
              <w:bottom w:val="single" w:sz="8" w:space="0" w:color="auto"/>
              <w:right w:val="single" w:sz="8" w:space="0" w:color="auto"/>
            </w:tcBorders>
            <w:shd w:val="clear" w:color="000000" w:fill="D9D9D9"/>
            <w:vAlign w:val="center"/>
            <w:hideMark/>
          </w:tcPr>
          <w:p w14:paraId="27A21D6D" w14:textId="77777777" w:rsidR="00575776" w:rsidRPr="005151BE" w:rsidRDefault="00575776" w:rsidP="00575776">
            <w:pPr>
              <w:rPr>
                <w:rFonts w:ascii="Arial" w:hAnsi="Arial" w:cs="Arial"/>
                <w:b/>
                <w:bCs/>
                <w:color w:val="000000"/>
              </w:rPr>
            </w:pPr>
          </w:p>
        </w:tc>
        <w:tc>
          <w:tcPr>
            <w:tcW w:w="1895" w:type="dxa"/>
            <w:tcBorders>
              <w:top w:val="nil"/>
              <w:left w:val="nil"/>
              <w:bottom w:val="single" w:sz="8" w:space="0" w:color="auto"/>
              <w:right w:val="single" w:sz="8" w:space="0" w:color="auto"/>
            </w:tcBorders>
            <w:shd w:val="clear" w:color="000000" w:fill="D9D9D9"/>
            <w:vAlign w:val="center"/>
            <w:hideMark/>
          </w:tcPr>
          <w:p w14:paraId="114F9513" w14:textId="33951C5D" w:rsidR="00575776" w:rsidRPr="005F3998" w:rsidRDefault="00575776" w:rsidP="00575776">
            <w:pPr>
              <w:jc w:val="right"/>
              <w:rPr>
                <w:rFonts w:ascii="Arial" w:hAnsi="Arial" w:cs="Arial"/>
                <w:b/>
                <w:bCs/>
                <w:color w:val="000000"/>
              </w:rPr>
            </w:pPr>
            <w:r>
              <w:rPr>
                <w:rFonts w:ascii="Arial" w:hAnsi="Arial" w:cs="Arial"/>
                <w:b/>
                <w:bCs/>
                <w:color w:val="000000"/>
              </w:rPr>
              <w:t>(202,7</w:t>
            </w:r>
            <w:r w:rsidR="0003381D">
              <w:rPr>
                <w:rFonts w:ascii="Arial" w:hAnsi="Arial" w:cs="Arial"/>
                <w:b/>
                <w:bCs/>
                <w:color w:val="000000"/>
              </w:rPr>
              <w:t>60</w:t>
            </w:r>
            <w:r>
              <w:rPr>
                <w:rFonts w:ascii="Arial" w:hAnsi="Arial" w:cs="Arial"/>
                <w:b/>
                <w:bCs/>
                <w:color w:val="000000"/>
              </w:rPr>
              <w:t>)</w:t>
            </w:r>
          </w:p>
        </w:tc>
      </w:tr>
    </w:tbl>
    <w:p w14:paraId="295E1044" w14:textId="0717D05E" w:rsidR="00D72BC2" w:rsidRPr="0082716D" w:rsidRDefault="00D72BC2" w:rsidP="003B74DA">
      <w:pPr>
        <w:jc w:val="center"/>
      </w:pPr>
    </w:p>
    <w:p w14:paraId="36108AAE" w14:textId="6C6330AF" w:rsidR="000C1185" w:rsidRPr="000C1185" w:rsidRDefault="000C1185" w:rsidP="000C1185">
      <w:pPr>
        <w:rPr>
          <w:rFonts w:ascii="Arial" w:hAnsi="Arial"/>
          <w:bCs/>
          <w:sz w:val="22"/>
          <w:szCs w:val="22"/>
        </w:rPr>
      </w:pPr>
      <w:bookmarkStart w:id="10" w:name="_Hlk190265723"/>
      <w:r w:rsidRPr="0082716D">
        <w:rPr>
          <w:rFonts w:ascii="Arial" w:hAnsi="Arial"/>
          <w:bCs/>
          <w:sz w:val="22"/>
          <w:szCs w:val="22"/>
        </w:rPr>
        <w:t xml:space="preserve">The unaudited accounts were issued on </w:t>
      </w:r>
      <w:r>
        <w:rPr>
          <w:rFonts w:ascii="Arial" w:hAnsi="Arial"/>
          <w:bCs/>
          <w:sz w:val="22"/>
          <w:szCs w:val="22"/>
        </w:rPr>
        <w:t>1st</w:t>
      </w:r>
      <w:r w:rsidRPr="0082716D">
        <w:rPr>
          <w:rFonts w:ascii="Arial" w:hAnsi="Arial"/>
          <w:bCs/>
          <w:sz w:val="22"/>
          <w:szCs w:val="22"/>
        </w:rPr>
        <w:t xml:space="preserve"> August 202</w:t>
      </w:r>
      <w:r>
        <w:rPr>
          <w:rFonts w:ascii="Arial" w:hAnsi="Arial"/>
          <w:bCs/>
          <w:sz w:val="22"/>
          <w:szCs w:val="22"/>
        </w:rPr>
        <w:t>5.</w:t>
      </w:r>
      <w:r w:rsidRPr="0082716D">
        <w:rPr>
          <w:rFonts w:ascii="Arial" w:hAnsi="Arial"/>
          <w:bCs/>
          <w:sz w:val="22"/>
          <w:szCs w:val="22"/>
        </w:rPr>
        <w:t xml:space="preserve"> </w:t>
      </w:r>
      <w:r w:rsidRPr="000C1185">
        <w:rPr>
          <w:rFonts w:ascii="Arial" w:hAnsi="Arial"/>
          <w:bCs/>
          <w:sz w:val="22"/>
          <w:szCs w:val="22"/>
        </w:rPr>
        <w:t xml:space="preserve">and the audited accounts were authorised for issue on </w:t>
      </w:r>
      <w:r>
        <w:rPr>
          <w:rFonts w:ascii="Arial" w:hAnsi="Arial"/>
          <w:bCs/>
          <w:sz w:val="22"/>
          <w:szCs w:val="22"/>
        </w:rPr>
        <w:t>1</w:t>
      </w:r>
      <w:r w:rsidR="00992093">
        <w:rPr>
          <w:rFonts w:ascii="Arial" w:hAnsi="Arial"/>
          <w:bCs/>
          <w:sz w:val="22"/>
          <w:szCs w:val="22"/>
        </w:rPr>
        <w:t>8</w:t>
      </w:r>
      <w:r w:rsidRPr="000C1185">
        <w:rPr>
          <w:rFonts w:ascii="Arial" w:hAnsi="Arial"/>
          <w:bCs/>
          <w:sz w:val="22"/>
          <w:szCs w:val="22"/>
        </w:rPr>
        <w:t xml:space="preserve"> </w:t>
      </w:r>
      <w:r>
        <w:rPr>
          <w:rFonts w:ascii="Arial" w:hAnsi="Arial"/>
          <w:bCs/>
          <w:sz w:val="22"/>
          <w:szCs w:val="22"/>
        </w:rPr>
        <w:t>December</w:t>
      </w:r>
      <w:r w:rsidRPr="000C1185">
        <w:rPr>
          <w:rFonts w:ascii="Arial" w:hAnsi="Arial"/>
          <w:bCs/>
          <w:sz w:val="22"/>
          <w:szCs w:val="22"/>
        </w:rPr>
        <w:t xml:space="preserve"> 2025.</w:t>
      </w:r>
    </w:p>
    <w:bookmarkEnd w:id="10"/>
    <w:p w14:paraId="6AFA42A9" w14:textId="6FCED4C7" w:rsidR="003B74DA" w:rsidRDefault="00BA649D" w:rsidP="00A755ED">
      <w:pPr>
        <w:rPr>
          <w:rFonts w:ascii="Arial" w:hAnsi="Arial"/>
          <w:bCs/>
          <w:sz w:val="22"/>
          <w:szCs w:val="22"/>
        </w:rPr>
      </w:pPr>
      <w:r w:rsidRPr="000C1185">
        <w:rPr>
          <w:noProof/>
        </w:rPr>
        <w:drawing>
          <wp:anchor distT="0" distB="0" distL="114300" distR="114300" simplePos="0" relativeHeight="251658247" behindDoc="0" locked="0" layoutInCell="1" allowOverlap="1" wp14:anchorId="6EC58992" wp14:editId="49DA9E17">
            <wp:simplePos x="0" y="0"/>
            <wp:positionH relativeFrom="margin">
              <wp:posOffset>1007110</wp:posOffset>
            </wp:positionH>
            <wp:positionV relativeFrom="paragraph">
              <wp:posOffset>156845</wp:posOffset>
            </wp:positionV>
            <wp:extent cx="1797050" cy="298450"/>
            <wp:effectExtent l="0" t="0" r="0" b="6350"/>
            <wp:wrapNone/>
            <wp:docPr id="533774730" name="Picture 8" descr="A black line with a pointy mark&#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140417" name="Picture 8" descr="A black line with a pointy mark&#10;&#10;Description automatically generated with medium confidence"/>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97050" cy="298450"/>
                    </a:xfrm>
                    <a:prstGeom prst="rect">
                      <a:avLst/>
                    </a:prstGeom>
                    <a:noFill/>
                  </pic:spPr>
                </pic:pic>
              </a:graphicData>
            </a:graphic>
            <wp14:sizeRelH relativeFrom="page">
              <wp14:pctWidth>0</wp14:pctWidth>
            </wp14:sizeRelH>
            <wp14:sizeRelV relativeFrom="page">
              <wp14:pctHeight>0</wp14:pctHeight>
            </wp14:sizeRelV>
          </wp:anchor>
        </w:drawing>
      </w:r>
      <w:r w:rsidR="003A386D" w:rsidRPr="0082716D">
        <w:rPr>
          <w:rFonts w:ascii="Arial" w:hAnsi="Arial"/>
          <w:bCs/>
          <w:sz w:val="22"/>
          <w:szCs w:val="22"/>
        </w:rPr>
        <w:t xml:space="preserve">Signed: </w:t>
      </w:r>
    </w:p>
    <w:p w14:paraId="01A82FA0" w14:textId="77777777" w:rsidR="00BA649D" w:rsidRPr="0082716D" w:rsidRDefault="00BA649D" w:rsidP="00C12C96">
      <w:pPr>
        <w:jc w:val="both"/>
        <w:rPr>
          <w:rFonts w:ascii="Bradley Hand ITC" w:hAnsi="Bradley Hand ITC"/>
          <w:sz w:val="28"/>
          <w:szCs w:val="28"/>
        </w:rPr>
      </w:pPr>
    </w:p>
    <w:p w14:paraId="117C7CBA" w14:textId="77777777" w:rsidR="00BA649D" w:rsidRDefault="00BA649D" w:rsidP="00C12C96">
      <w:pPr>
        <w:jc w:val="both"/>
        <w:rPr>
          <w:rFonts w:ascii="Arial" w:hAnsi="Arial" w:cs="Arial"/>
          <w:sz w:val="22"/>
          <w:szCs w:val="22"/>
        </w:rPr>
      </w:pPr>
    </w:p>
    <w:p w14:paraId="3EAC63EE" w14:textId="541A56B0" w:rsidR="00C12C96" w:rsidRPr="0082716D" w:rsidRDefault="00C12C96" w:rsidP="00C12C96">
      <w:pPr>
        <w:jc w:val="both"/>
        <w:rPr>
          <w:rFonts w:ascii="Arial" w:hAnsi="Arial" w:cs="Arial"/>
          <w:sz w:val="22"/>
          <w:szCs w:val="22"/>
        </w:rPr>
        <w:sectPr w:rsidR="00C12C96" w:rsidRPr="0082716D" w:rsidSect="00CD2558">
          <w:headerReference w:type="even" r:id="rId44"/>
          <w:headerReference w:type="default" r:id="rId45"/>
          <w:headerReference w:type="first" r:id="rId46"/>
          <w:pgSz w:w="11906" w:h="16838" w:code="9"/>
          <w:pgMar w:top="964" w:right="1134" w:bottom="851" w:left="1134" w:header="397" w:footer="567" w:gutter="0"/>
          <w:cols w:space="720"/>
          <w:docGrid w:linePitch="272"/>
        </w:sectPr>
      </w:pPr>
      <w:r w:rsidRPr="0082716D">
        <w:rPr>
          <w:rFonts w:ascii="Arial" w:hAnsi="Arial" w:cs="Arial"/>
          <w:sz w:val="22"/>
          <w:szCs w:val="22"/>
        </w:rPr>
        <w:t>Steve Freeman, Chief Financial Officer to the PCC</w:t>
      </w:r>
    </w:p>
    <w:p w14:paraId="7682680A" w14:textId="77777777" w:rsidR="003B74DA" w:rsidRDefault="003B74DA" w:rsidP="003B74DA">
      <w:pPr>
        <w:jc w:val="center"/>
        <w:rPr>
          <w:rFonts w:ascii="Arial" w:hAnsi="Arial"/>
          <w:b/>
          <w:sz w:val="28"/>
        </w:rPr>
      </w:pPr>
    </w:p>
    <w:p w14:paraId="03DE4BE3" w14:textId="77777777" w:rsidR="003B74DA" w:rsidRDefault="003B74DA" w:rsidP="003B74DA">
      <w:pPr>
        <w:jc w:val="center"/>
        <w:rPr>
          <w:rFonts w:ascii="Arial" w:hAnsi="Arial"/>
          <w:b/>
          <w:sz w:val="28"/>
        </w:rPr>
      </w:pPr>
      <w:r>
        <w:rPr>
          <w:rFonts w:ascii="Arial" w:hAnsi="Arial"/>
          <w:b/>
          <w:sz w:val="28"/>
        </w:rPr>
        <w:t>PCC GROUP CASH FLOW STATEMENT</w:t>
      </w:r>
    </w:p>
    <w:p w14:paraId="0211E782" w14:textId="77777777" w:rsidR="003B74DA" w:rsidRDefault="003B74DA" w:rsidP="003B74DA">
      <w:pPr>
        <w:jc w:val="center"/>
        <w:rPr>
          <w:rFonts w:ascii="Arial" w:hAnsi="Arial"/>
          <w:b/>
          <w:sz w:val="28"/>
        </w:rPr>
      </w:pPr>
    </w:p>
    <w:p w14:paraId="03EB27DE" w14:textId="4C51CCE7" w:rsidR="003B74DA" w:rsidRPr="006E7B68" w:rsidRDefault="003B74DA" w:rsidP="003B74DA">
      <w:pPr>
        <w:jc w:val="both"/>
        <w:rPr>
          <w:rFonts w:ascii="Arial" w:hAnsi="Arial"/>
          <w:sz w:val="22"/>
          <w:szCs w:val="22"/>
        </w:rPr>
      </w:pPr>
      <w:r>
        <w:rPr>
          <w:rFonts w:ascii="Arial" w:hAnsi="Arial"/>
          <w:sz w:val="22"/>
          <w:szCs w:val="22"/>
        </w:rPr>
        <w:t>The cash flow statement shows the changes in cash and cash equivalents of the PCC Group in the reporting period. The statement shows how the Group generates and uses cash and cash equivalents by classifying cash flows as operating, investing and financing activities. The amount of net cash flows arising from operating activities is a key indicator of the extent to which the operations of the Group are funded by way of taxation and grant income or from the recipients of services provided by the Group. Investing activities represent the extent to which cash flows have been made for resources which are intended to contribute to the Group's future service delivery. Cash flows arising from financing activities are useful in predicting claims on future cash flows by providers of capital (</w:t>
      </w:r>
      <w:r w:rsidR="00D44C80">
        <w:rPr>
          <w:rFonts w:ascii="Arial" w:hAnsi="Arial"/>
          <w:sz w:val="22"/>
          <w:szCs w:val="22"/>
        </w:rPr>
        <w:t>i.e.</w:t>
      </w:r>
      <w:r>
        <w:rPr>
          <w:rFonts w:ascii="Arial" w:hAnsi="Arial"/>
          <w:sz w:val="22"/>
          <w:szCs w:val="22"/>
        </w:rPr>
        <w:t xml:space="preserve"> borrowing) to the Group.</w:t>
      </w:r>
    </w:p>
    <w:p w14:paraId="6F65279F" w14:textId="09145D7B" w:rsidR="003B74DA" w:rsidRDefault="003B74DA" w:rsidP="003B74DA">
      <w:pPr>
        <w:jc w:val="center"/>
        <w:rPr>
          <w:rFonts w:ascii="Arial" w:hAnsi="Arial"/>
          <w:b/>
          <w:sz w:val="28"/>
        </w:rPr>
      </w:pPr>
    </w:p>
    <w:p w14:paraId="6A89C435" w14:textId="7D995C08" w:rsidR="00733607" w:rsidRDefault="00733607" w:rsidP="003B74DA">
      <w:pPr>
        <w:jc w:val="center"/>
      </w:pPr>
    </w:p>
    <w:p w14:paraId="1E9CD63A" w14:textId="43570CF8" w:rsidR="006F765E" w:rsidRDefault="006F765E" w:rsidP="003B74DA">
      <w:pPr>
        <w:jc w:val="center"/>
      </w:pPr>
    </w:p>
    <w:tbl>
      <w:tblPr>
        <w:tblW w:w="9356" w:type="dxa"/>
        <w:jc w:val="center"/>
        <w:tblCellMar>
          <w:top w:w="15" w:type="dxa"/>
          <w:bottom w:w="15" w:type="dxa"/>
        </w:tblCellMar>
        <w:tblLook w:val="04A0" w:firstRow="1" w:lastRow="0" w:firstColumn="1" w:lastColumn="0" w:noHBand="0" w:noVBand="1"/>
      </w:tblPr>
      <w:tblGrid>
        <w:gridCol w:w="1308"/>
        <w:gridCol w:w="6739"/>
        <w:gridCol w:w="1309"/>
      </w:tblGrid>
      <w:tr w:rsidR="00D8288C" w:rsidRPr="00D8288C" w14:paraId="58A43B48" w14:textId="77777777" w:rsidTr="00C60101">
        <w:trPr>
          <w:trHeight w:val="360"/>
          <w:jc w:val="center"/>
        </w:trPr>
        <w:tc>
          <w:tcPr>
            <w:tcW w:w="1308" w:type="dxa"/>
            <w:tcBorders>
              <w:top w:val="single" w:sz="8" w:space="0" w:color="auto"/>
              <w:left w:val="single" w:sz="8" w:space="0" w:color="auto"/>
              <w:bottom w:val="nil"/>
              <w:right w:val="single" w:sz="8" w:space="0" w:color="auto"/>
            </w:tcBorders>
            <w:vAlign w:val="center"/>
            <w:hideMark/>
          </w:tcPr>
          <w:p w14:paraId="063A65E6" w14:textId="1B10BDA4" w:rsidR="00D8288C" w:rsidRDefault="00C37E7F" w:rsidP="00D8288C">
            <w:pPr>
              <w:jc w:val="right"/>
              <w:rPr>
                <w:rFonts w:ascii="Arial" w:hAnsi="Arial" w:cs="Arial"/>
                <w:b/>
                <w:bCs/>
                <w:color w:val="000000"/>
              </w:rPr>
            </w:pPr>
            <w:r>
              <w:rPr>
                <w:rFonts w:ascii="Arial" w:hAnsi="Arial" w:cs="Arial"/>
                <w:b/>
                <w:bCs/>
                <w:color w:val="000000"/>
              </w:rPr>
              <w:t>2023/24</w:t>
            </w:r>
            <w:r w:rsidR="00A755ED">
              <w:rPr>
                <w:rFonts w:ascii="Arial" w:hAnsi="Arial" w:cs="Arial"/>
                <w:b/>
                <w:bCs/>
                <w:color w:val="000000"/>
              </w:rPr>
              <w:t xml:space="preserve"> (Restated)</w:t>
            </w:r>
          </w:p>
          <w:p w14:paraId="07CA6ADD" w14:textId="35BBB5C9" w:rsidR="00D8288C" w:rsidRPr="00D8288C" w:rsidRDefault="00D8288C" w:rsidP="00082C74">
            <w:pPr>
              <w:rPr>
                <w:rFonts w:ascii="Arial" w:hAnsi="Arial" w:cs="Arial"/>
                <w:b/>
                <w:bCs/>
                <w:color w:val="000000"/>
              </w:rPr>
            </w:pPr>
          </w:p>
        </w:tc>
        <w:tc>
          <w:tcPr>
            <w:tcW w:w="6739" w:type="dxa"/>
            <w:tcBorders>
              <w:top w:val="single" w:sz="8" w:space="0" w:color="auto"/>
              <w:left w:val="nil"/>
              <w:bottom w:val="nil"/>
              <w:right w:val="nil"/>
            </w:tcBorders>
            <w:shd w:val="clear" w:color="000000" w:fill="D9D9D9"/>
            <w:vAlign w:val="center"/>
            <w:hideMark/>
          </w:tcPr>
          <w:p w14:paraId="7B724AB1" w14:textId="77777777" w:rsidR="00D8288C" w:rsidRPr="00D8288C" w:rsidRDefault="00D8288C" w:rsidP="00D8288C">
            <w:pPr>
              <w:jc w:val="right"/>
              <w:rPr>
                <w:rFonts w:ascii="Arial" w:hAnsi="Arial" w:cs="Arial"/>
                <w:b/>
                <w:bCs/>
                <w:color w:val="000000"/>
              </w:rPr>
            </w:pPr>
          </w:p>
        </w:tc>
        <w:tc>
          <w:tcPr>
            <w:tcW w:w="1309" w:type="dxa"/>
            <w:tcBorders>
              <w:top w:val="single" w:sz="8" w:space="0" w:color="auto"/>
              <w:left w:val="nil"/>
              <w:bottom w:val="nil"/>
              <w:right w:val="single" w:sz="8" w:space="0" w:color="auto"/>
            </w:tcBorders>
            <w:shd w:val="clear" w:color="000000" w:fill="D9D9D9"/>
            <w:vAlign w:val="center"/>
            <w:hideMark/>
          </w:tcPr>
          <w:p w14:paraId="6AA86128" w14:textId="7F7438EB" w:rsidR="00D8288C" w:rsidRPr="00D8288C" w:rsidRDefault="00C37E7F" w:rsidP="00D8288C">
            <w:pPr>
              <w:jc w:val="right"/>
              <w:rPr>
                <w:rFonts w:ascii="Arial" w:hAnsi="Arial" w:cs="Arial"/>
                <w:b/>
                <w:bCs/>
                <w:color w:val="000000"/>
              </w:rPr>
            </w:pPr>
            <w:r>
              <w:rPr>
                <w:rFonts w:ascii="Arial" w:hAnsi="Arial" w:cs="Arial"/>
                <w:b/>
                <w:bCs/>
                <w:color w:val="000000"/>
              </w:rPr>
              <w:t>2024/25</w:t>
            </w:r>
          </w:p>
        </w:tc>
      </w:tr>
      <w:tr w:rsidR="00D8288C" w:rsidRPr="00D8288C" w14:paraId="602CAAF7" w14:textId="77777777" w:rsidTr="00082C74">
        <w:trPr>
          <w:trHeight w:val="360"/>
          <w:jc w:val="center"/>
        </w:trPr>
        <w:tc>
          <w:tcPr>
            <w:tcW w:w="1308" w:type="dxa"/>
            <w:tcBorders>
              <w:top w:val="nil"/>
              <w:left w:val="single" w:sz="8" w:space="0" w:color="auto"/>
              <w:right w:val="single" w:sz="8" w:space="0" w:color="auto"/>
            </w:tcBorders>
            <w:vAlign w:val="center"/>
            <w:hideMark/>
          </w:tcPr>
          <w:p w14:paraId="2F832DBF" w14:textId="77777777" w:rsidR="00D8288C" w:rsidRPr="00D8288C" w:rsidRDefault="00D8288C" w:rsidP="00D8288C">
            <w:pPr>
              <w:jc w:val="center"/>
              <w:rPr>
                <w:rFonts w:ascii="Arial" w:hAnsi="Arial" w:cs="Arial"/>
                <w:b/>
                <w:bCs/>
                <w:color w:val="000000"/>
              </w:rPr>
            </w:pPr>
            <w:r w:rsidRPr="00D8288C">
              <w:rPr>
                <w:rFonts w:ascii="Arial" w:hAnsi="Arial" w:cs="Arial"/>
                <w:b/>
                <w:bCs/>
                <w:color w:val="000000"/>
              </w:rPr>
              <w:t>£000</w:t>
            </w:r>
          </w:p>
        </w:tc>
        <w:tc>
          <w:tcPr>
            <w:tcW w:w="6739" w:type="dxa"/>
            <w:tcBorders>
              <w:top w:val="nil"/>
              <w:left w:val="nil"/>
              <w:bottom w:val="nil"/>
              <w:right w:val="nil"/>
            </w:tcBorders>
            <w:shd w:val="clear" w:color="000000" w:fill="D9D9D9"/>
            <w:vAlign w:val="center"/>
            <w:hideMark/>
          </w:tcPr>
          <w:p w14:paraId="567EC423" w14:textId="77777777" w:rsidR="00D8288C" w:rsidRPr="00D8288C" w:rsidRDefault="00D8288C" w:rsidP="00D8288C">
            <w:pPr>
              <w:jc w:val="center"/>
              <w:rPr>
                <w:rFonts w:ascii="Arial" w:hAnsi="Arial" w:cs="Arial"/>
                <w:b/>
                <w:bCs/>
                <w:color w:val="000000"/>
              </w:rPr>
            </w:pPr>
          </w:p>
        </w:tc>
        <w:tc>
          <w:tcPr>
            <w:tcW w:w="1309" w:type="dxa"/>
            <w:tcBorders>
              <w:top w:val="nil"/>
              <w:left w:val="nil"/>
              <w:bottom w:val="nil"/>
              <w:right w:val="single" w:sz="8" w:space="0" w:color="auto"/>
            </w:tcBorders>
            <w:shd w:val="clear" w:color="000000" w:fill="D9D9D9"/>
            <w:vAlign w:val="center"/>
            <w:hideMark/>
          </w:tcPr>
          <w:p w14:paraId="5837650E" w14:textId="77777777" w:rsidR="00D8288C" w:rsidRPr="00D8288C" w:rsidRDefault="00D8288C" w:rsidP="00D8288C">
            <w:pPr>
              <w:jc w:val="center"/>
              <w:rPr>
                <w:rFonts w:ascii="Arial" w:hAnsi="Arial" w:cs="Arial"/>
                <w:b/>
                <w:bCs/>
                <w:color w:val="000000"/>
              </w:rPr>
            </w:pPr>
            <w:r w:rsidRPr="00D8288C">
              <w:rPr>
                <w:rFonts w:ascii="Arial" w:hAnsi="Arial" w:cs="Arial"/>
                <w:b/>
                <w:bCs/>
                <w:color w:val="000000"/>
              </w:rPr>
              <w:t>£000</w:t>
            </w:r>
          </w:p>
        </w:tc>
      </w:tr>
      <w:tr w:rsidR="00082C74" w:rsidRPr="00D8288C" w14:paraId="35E992DF" w14:textId="77777777" w:rsidTr="00082C74">
        <w:trPr>
          <w:trHeight w:val="300"/>
          <w:jc w:val="center"/>
        </w:trPr>
        <w:tc>
          <w:tcPr>
            <w:tcW w:w="1308" w:type="dxa"/>
            <w:tcBorders>
              <w:top w:val="nil"/>
              <w:left w:val="single" w:sz="8" w:space="0" w:color="auto"/>
              <w:bottom w:val="nil"/>
              <w:right w:val="single" w:sz="8" w:space="0" w:color="auto"/>
            </w:tcBorders>
            <w:vAlign w:val="center"/>
            <w:hideMark/>
          </w:tcPr>
          <w:p w14:paraId="2CA7C09D" w14:textId="487DBA38" w:rsidR="00082C74" w:rsidRPr="00082C74" w:rsidRDefault="00082C74" w:rsidP="00082C74">
            <w:pPr>
              <w:jc w:val="right"/>
              <w:rPr>
                <w:rFonts w:ascii="Arial" w:hAnsi="Arial" w:cs="Arial"/>
                <w:color w:val="000000"/>
              </w:rPr>
            </w:pPr>
            <w:r w:rsidRPr="00082C74">
              <w:rPr>
                <w:rFonts w:ascii="Arial" w:hAnsi="Arial" w:cs="Arial"/>
                <w:color w:val="000000"/>
              </w:rPr>
              <w:t>77,521</w:t>
            </w:r>
          </w:p>
        </w:tc>
        <w:tc>
          <w:tcPr>
            <w:tcW w:w="6739" w:type="dxa"/>
            <w:tcBorders>
              <w:top w:val="nil"/>
              <w:left w:val="nil"/>
              <w:bottom w:val="nil"/>
              <w:right w:val="nil"/>
            </w:tcBorders>
            <w:shd w:val="clear" w:color="000000" w:fill="D9D9D9"/>
            <w:vAlign w:val="center"/>
            <w:hideMark/>
          </w:tcPr>
          <w:p w14:paraId="3A951CAE" w14:textId="77777777" w:rsidR="00082C74" w:rsidRPr="00D8288C" w:rsidRDefault="00082C74" w:rsidP="00082C74">
            <w:pPr>
              <w:rPr>
                <w:rFonts w:ascii="Arial" w:hAnsi="Arial" w:cs="Arial"/>
                <w:color w:val="000000"/>
              </w:rPr>
            </w:pPr>
            <w:r w:rsidRPr="00D8288C">
              <w:rPr>
                <w:rFonts w:ascii="Arial" w:hAnsi="Arial" w:cs="Arial"/>
                <w:color w:val="000000"/>
              </w:rPr>
              <w:t>Net deficit on the provision of services</w:t>
            </w:r>
          </w:p>
        </w:tc>
        <w:tc>
          <w:tcPr>
            <w:tcW w:w="1309" w:type="dxa"/>
            <w:tcBorders>
              <w:top w:val="nil"/>
              <w:left w:val="nil"/>
              <w:bottom w:val="nil"/>
              <w:right w:val="single" w:sz="8" w:space="0" w:color="auto"/>
            </w:tcBorders>
            <w:shd w:val="clear" w:color="000000" w:fill="D9D9D9"/>
            <w:vAlign w:val="center"/>
            <w:hideMark/>
          </w:tcPr>
          <w:p w14:paraId="057A0A4B" w14:textId="609C84FB" w:rsidR="00082C74" w:rsidRPr="00D8288C" w:rsidRDefault="00EF0BF8" w:rsidP="00082C74">
            <w:pPr>
              <w:jc w:val="right"/>
              <w:rPr>
                <w:rFonts w:ascii="Arial" w:hAnsi="Arial" w:cs="Arial"/>
                <w:color w:val="000000"/>
              </w:rPr>
            </w:pPr>
            <w:r>
              <w:rPr>
                <w:rFonts w:ascii="Arial" w:hAnsi="Arial" w:cs="Arial"/>
                <w:color w:val="000000"/>
              </w:rPr>
              <w:t>72,9</w:t>
            </w:r>
            <w:r w:rsidR="00E160F5">
              <w:rPr>
                <w:rFonts w:ascii="Arial" w:hAnsi="Arial" w:cs="Arial"/>
                <w:color w:val="000000"/>
              </w:rPr>
              <w:t>71</w:t>
            </w:r>
          </w:p>
        </w:tc>
      </w:tr>
      <w:tr w:rsidR="00082C74" w:rsidRPr="00D8288C" w14:paraId="36EF3579" w14:textId="77777777" w:rsidTr="00082C74">
        <w:trPr>
          <w:trHeight w:val="270"/>
          <w:jc w:val="center"/>
        </w:trPr>
        <w:tc>
          <w:tcPr>
            <w:tcW w:w="1308" w:type="dxa"/>
            <w:tcBorders>
              <w:top w:val="nil"/>
              <w:left w:val="single" w:sz="8" w:space="0" w:color="auto"/>
              <w:bottom w:val="nil"/>
              <w:right w:val="single" w:sz="8" w:space="0" w:color="auto"/>
            </w:tcBorders>
            <w:vAlign w:val="center"/>
            <w:hideMark/>
          </w:tcPr>
          <w:p w14:paraId="5CB4549E" w14:textId="1A5DD821" w:rsidR="00082C74" w:rsidRPr="00082C74" w:rsidRDefault="00082C74" w:rsidP="00082C74">
            <w:pPr>
              <w:jc w:val="right"/>
              <w:rPr>
                <w:rFonts w:ascii="Arial" w:hAnsi="Arial" w:cs="Arial"/>
                <w:color w:val="000000"/>
              </w:rPr>
            </w:pPr>
          </w:p>
        </w:tc>
        <w:tc>
          <w:tcPr>
            <w:tcW w:w="6739" w:type="dxa"/>
            <w:tcBorders>
              <w:top w:val="nil"/>
              <w:left w:val="nil"/>
              <w:bottom w:val="nil"/>
              <w:right w:val="nil"/>
            </w:tcBorders>
            <w:shd w:val="clear" w:color="000000" w:fill="D9D9D9"/>
            <w:vAlign w:val="center"/>
            <w:hideMark/>
          </w:tcPr>
          <w:p w14:paraId="0D1F28EA" w14:textId="77777777" w:rsidR="00082C74" w:rsidRPr="00D8288C" w:rsidRDefault="00082C74" w:rsidP="00082C74">
            <w:pPr>
              <w:jc w:val="right"/>
            </w:pPr>
          </w:p>
        </w:tc>
        <w:tc>
          <w:tcPr>
            <w:tcW w:w="1309" w:type="dxa"/>
            <w:tcBorders>
              <w:top w:val="nil"/>
              <w:left w:val="nil"/>
              <w:bottom w:val="nil"/>
              <w:right w:val="single" w:sz="8" w:space="0" w:color="auto"/>
            </w:tcBorders>
            <w:shd w:val="clear" w:color="000000" w:fill="D9D9D9"/>
            <w:vAlign w:val="center"/>
            <w:hideMark/>
          </w:tcPr>
          <w:p w14:paraId="7F71419E" w14:textId="42487D8F" w:rsidR="00082C74" w:rsidRPr="00D8288C" w:rsidRDefault="00082C74" w:rsidP="00082C74">
            <w:r>
              <w:rPr>
                <w:rFonts w:ascii="Arial" w:hAnsi="Arial" w:cs="Arial"/>
                <w:color w:val="000000"/>
              </w:rPr>
              <w:t> </w:t>
            </w:r>
          </w:p>
        </w:tc>
      </w:tr>
      <w:tr w:rsidR="00082C74" w:rsidRPr="00D8288C" w14:paraId="07133E93" w14:textId="77777777" w:rsidTr="00082C74">
        <w:trPr>
          <w:trHeight w:val="600"/>
          <w:jc w:val="center"/>
        </w:trPr>
        <w:tc>
          <w:tcPr>
            <w:tcW w:w="1308" w:type="dxa"/>
            <w:tcBorders>
              <w:top w:val="nil"/>
              <w:left w:val="single" w:sz="8" w:space="0" w:color="auto"/>
              <w:bottom w:val="nil"/>
              <w:right w:val="single" w:sz="8" w:space="0" w:color="auto"/>
            </w:tcBorders>
            <w:vAlign w:val="center"/>
            <w:hideMark/>
          </w:tcPr>
          <w:p w14:paraId="11E32C2A" w14:textId="049F3639" w:rsidR="00082C74" w:rsidRPr="00082C74" w:rsidRDefault="00082C74" w:rsidP="00082C74">
            <w:pPr>
              <w:jc w:val="right"/>
              <w:rPr>
                <w:rFonts w:ascii="Arial" w:hAnsi="Arial" w:cs="Arial"/>
                <w:color w:val="000000"/>
              </w:rPr>
            </w:pPr>
            <w:r w:rsidRPr="00082C74">
              <w:rPr>
                <w:rFonts w:ascii="Arial" w:hAnsi="Arial" w:cs="Arial"/>
                <w:color w:val="000000"/>
              </w:rPr>
              <w:t>(</w:t>
            </w:r>
            <w:r w:rsidR="00A22E27">
              <w:rPr>
                <w:rFonts w:ascii="Arial" w:hAnsi="Arial" w:cs="Arial"/>
                <w:color w:val="000000"/>
              </w:rPr>
              <w:t>5</w:t>
            </w:r>
            <w:r w:rsidR="00D06EDA">
              <w:rPr>
                <w:rFonts w:ascii="Arial" w:hAnsi="Arial" w:cs="Arial"/>
                <w:color w:val="000000"/>
              </w:rPr>
              <w:t>9,3</w:t>
            </w:r>
            <w:r w:rsidR="00A22E27">
              <w:rPr>
                <w:rFonts w:ascii="Arial" w:hAnsi="Arial" w:cs="Arial"/>
                <w:color w:val="000000"/>
              </w:rPr>
              <w:t>5</w:t>
            </w:r>
            <w:r w:rsidR="00D06EDA">
              <w:rPr>
                <w:rFonts w:ascii="Arial" w:hAnsi="Arial" w:cs="Arial"/>
                <w:color w:val="000000"/>
              </w:rPr>
              <w:t>3</w:t>
            </w:r>
            <w:r w:rsidRPr="00082C74">
              <w:rPr>
                <w:rFonts w:ascii="Arial" w:hAnsi="Arial" w:cs="Arial"/>
                <w:color w:val="000000"/>
              </w:rPr>
              <w:t>)</w:t>
            </w:r>
          </w:p>
        </w:tc>
        <w:tc>
          <w:tcPr>
            <w:tcW w:w="6739" w:type="dxa"/>
            <w:tcBorders>
              <w:top w:val="nil"/>
              <w:left w:val="nil"/>
              <w:bottom w:val="nil"/>
              <w:right w:val="nil"/>
            </w:tcBorders>
            <w:shd w:val="clear" w:color="000000" w:fill="D9D9D9"/>
            <w:vAlign w:val="center"/>
            <w:hideMark/>
          </w:tcPr>
          <w:p w14:paraId="53220C7E" w14:textId="35CEC25E" w:rsidR="00082C74" w:rsidRPr="00D8288C" w:rsidRDefault="00082C74" w:rsidP="00082C74">
            <w:pPr>
              <w:rPr>
                <w:rFonts w:ascii="Arial" w:hAnsi="Arial" w:cs="Arial"/>
                <w:color w:val="000000"/>
              </w:rPr>
            </w:pPr>
            <w:r w:rsidRPr="00D8288C">
              <w:rPr>
                <w:rFonts w:ascii="Arial" w:hAnsi="Arial" w:cs="Arial"/>
                <w:color w:val="000000"/>
              </w:rPr>
              <w:t>Adjustments to net deficit on the provision of services for non-cash movements (Note 2</w:t>
            </w:r>
            <w:r w:rsidR="00E678AA">
              <w:rPr>
                <w:rFonts w:ascii="Arial" w:hAnsi="Arial" w:cs="Arial"/>
                <w:color w:val="000000"/>
              </w:rPr>
              <w:t>5</w:t>
            </w:r>
            <w:r w:rsidRPr="00D8288C">
              <w:rPr>
                <w:rFonts w:ascii="Arial" w:hAnsi="Arial" w:cs="Arial"/>
                <w:color w:val="000000"/>
              </w:rPr>
              <w:t>)</w:t>
            </w:r>
          </w:p>
        </w:tc>
        <w:tc>
          <w:tcPr>
            <w:tcW w:w="1309" w:type="dxa"/>
            <w:tcBorders>
              <w:top w:val="nil"/>
              <w:left w:val="nil"/>
              <w:bottom w:val="nil"/>
              <w:right w:val="single" w:sz="8" w:space="0" w:color="auto"/>
            </w:tcBorders>
            <w:shd w:val="clear" w:color="000000" w:fill="D9D9D9"/>
            <w:vAlign w:val="center"/>
            <w:hideMark/>
          </w:tcPr>
          <w:p w14:paraId="5C461151" w14:textId="6704B1D7" w:rsidR="00082C74" w:rsidRPr="00D8288C" w:rsidRDefault="00535528" w:rsidP="00082C74">
            <w:pPr>
              <w:jc w:val="right"/>
              <w:rPr>
                <w:rFonts w:ascii="Arial" w:hAnsi="Arial" w:cs="Arial"/>
                <w:color w:val="000000"/>
              </w:rPr>
            </w:pPr>
            <w:r w:rsidRPr="00535528">
              <w:rPr>
                <w:rFonts w:ascii="Arial" w:hAnsi="Arial" w:cs="Arial"/>
                <w:color w:val="000000"/>
              </w:rPr>
              <w:t>(</w:t>
            </w:r>
            <w:r w:rsidR="002A1BF7">
              <w:rPr>
                <w:rFonts w:ascii="Arial" w:hAnsi="Arial" w:cs="Arial"/>
                <w:color w:val="000000"/>
              </w:rPr>
              <w:t>102</w:t>
            </w:r>
            <w:r w:rsidRPr="00535528">
              <w:rPr>
                <w:rFonts w:ascii="Arial" w:hAnsi="Arial" w:cs="Arial"/>
                <w:color w:val="000000"/>
              </w:rPr>
              <w:t>,</w:t>
            </w:r>
            <w:r w:rsidR="002A1BF7">
              <w:rPr>
                <w:rFonts w:ascii="Arial" w:hAnsi="Arial" w:cs="Arial"/>
                <w:color w:val="000000"/>
              </w:rPr>
              <w:t>856</w:t>
            </w:r>
            <w:r w:rsidRPr="00535528">
              <w:rPr>
                <w:rFonts w:ascii="Arial" w:hAnsi="Arial" w:cs="Arial"/>
                <w:color w:val="000000"/>
              </w:rPr>
              <w:t>)</w:t>
            </w:r>
          </w:p>
        </w:tc>
      </w:tr>
      <w:tr w:rsidR="00082C74" w:rsidRPr="00D8288C" w14:paraId="6BBF2935" w14:textId="77777777" w:rsidTr="00082C74">
        <w:trPr>
          <w:trHeight w:val="285"/>
          <w:jc w:val="center"/>
        </w:trPr>
        <w:tc>
          <w:tcPr>
            <w:tcW w:w="1308" w:type="dxa"/>
            <w:tcBorders>
              <w:top w:val="nil"/>
              <w:left w:val="single" w:sz="8" w:space="0" w:color="auto"/>
              <w:bottom w:val="nil"/>
              <w:right w:val="single" w:sz="8" w:space="0" w:color="auto"/>
            </w:tcBorders>
            <w:vAlign w:val="center"/>
            <w:hideMark/>
          </w:tcPr>
          <w:p w14:paraId="08544155" w14:textId="4CFD3A03" w:rsidR="00082C74" w:rsidRPr="00082C74" w:rsidRDefault="00082C74" w:rsidP="00082C74">
            <w:pPr>
              <w:jc w:val="right"/>
              <w:rPr>
                <w:rFonts w:ascii="Arial" w:hAnsi="Arial" w:cs="Arial"/>
                <w:color w:val="000000"/>
              </w:rPr>
            </w:pPr>
          </w:p>
        </w:tc>
        <w:tc>
          <w:tcPr>
            <w:tcW w:w="6739" w:type="dxa"/>
            <w:tcBorders>
              <w:top w:val="nil"/>
              <w:left w:val="nil"/>
              <w:bottom w:val="nil"/>
              <w:right w:val="nil"/>
            </w:tcBorders>
            <w:shd w:val="clear" w:color="000000" w:fill="D9D9D9"/>
            <w:vAlign w:val="center"/>
            <w:hideMark/>
          </w:tcPr>
          <w:p w14:paraId="235B08A3" w14:textId="77777777" w:rsidR="00082C74" w:rsidRPr="00D8288C" w:rsidRDefault="00082C74" w:rsidP="00082C74">
            <w:pPr>
              <w:jc w:val="right"/>
            </w:pPr>
          </w:p>
        </w:tc>
        <w:tc>
          <w:tcPr>
            <w:tcW w:w="1309" w:type="dxa"/>
            <w:tcBorders>
              <w:top w:val="nil"/>
              <w:left w:val="nil"/>
              <w:bottom w:val="nil"/>
              <w:right w:val="single" w:sz="8" w:space="0" w:color="auto"/>
            </w:tcBorders>
            <w:shd w:val="clear" w:color="000000" w:fill="D9D9D9"/>
            <w:vAlign w:val="center"/>
            <w:hideMark/>
          </w:tcPr>
          <w:p w14:paraId="766715E0" w14:textId="591222C0" w:rsidR="00082C74" w:rsidRPr="00D8288C" w:rsidRDefault="00082C74" w:rsidP="00082C74">
            <w:r>
              <w:rPr>
                <w:rFonts w:ascii="Arial" w:hAnsi="Arial" w:cs="Arial"/>
                <w:color w:val="000000"/>
              </w:rPr>
              <w:t> </w:t>
            </w:r>
          </w:p>
        </w:tc>
      </w:tr>
      <w:tr w:rsidR="00082C74" w:rsidRPr="00D8288C" w14:paraId="399C06B3" w14:textId="77777777" w:rsidTr="00082C74">
        <w:trPr>
          <w:trHeight w:val="525"/>
          <w:jc w:val="center"/>
        </w:trPr>
        <w:tc>
          <w:tcPr>
            <w:tcW w:w="1308" w:type="dxa"/>
            <w:tcBorders>
              <w:top w:val="nil"/>
              <w:left w:val="single" w:sz="8" w:space="0" w:color="auto"/>
              <w:bottom w:val="single" w:sz="8" w:space="0" w:color="auto"/>
              <w:right w:val="single" w:sz="8" w:space="0" w:color="auto"/>
            </w:tcBorders>
            <w:vAlign w:val="center"/>
            <w:hideMark/>
          </w:tcPr>
          <w:p w14:paraId="1F9CD9C1" w14:textId="1461E89A" w:rsidR="00082C74" w:rsidRPr="00082C74" w:rsidRDefault="00082C74" w:rsidP="00082C74">
            <w:pPr>
              <w:jc w:val="right"/>
              <w:rPr>
                <w:rFonts w:ascii="Arial" w:hAnsi="Arial" w:cs="Arial"/>
                <w:color w:val="000000"/>
              </w:rPr>
            </w:pPr>
            <w:r w:rsidRPr="00082C74">
              <w:rPr>
                <w:rFonts w:ascii="Arial" w:hAnsi="Arial" w:cs="Arial"/>
                <w:color w:val="000000"/>
              </w:rPr>
              <w:t>205</w:t>
            </w:r>
          </w:p>
        </w:tc>
        <w:tc>
          <w:tcPr>
            <w:tcW w:w="6739" w:type="dxa"/>
            <w:tcBorders>
              <w:top w:val="nil"/>
              <w:left w:val="nil"/>
              <w:bottom w:val="nil"/>
              <w:right w:val="nil"/>
            </w:tcBorders>
            <w:shd w:val="clear" w:color="000000" w:fill="D9D9D9"/>
            <w:vAlign w:val="center"/>
            <w:hideMark/>
          </w:tcPr>
          <w:p w14:paraId="5F5A928F" w14:textId="15C0E3B0" w:rsidR="00082C74" w:rsidRPr="00D8288C" w:rsidRDefault="00082C74" w:rsidP="00082C74">
            <w:pPr>
              <w:rPr>
                <w:rFonts w:ascii="Arial" w:hAnsi="Arial" w:cs="Arial"/>
                <w:color w:val="000000"/>
              </w:rPr>
            </w:pPr>
            <w:r w:rsidRPr="00D8288C">
              <w:rPr>
                <w:rFonts w:ascii="Arial" w:hAnsi="Arial" w:cs="Arial"/>
                <w:color w:val="000000"/>
              </w:rPr>
              <w:t>Adjustments for items included in the net (surplus)/deficit on the provision of services that are investing &amp; financing activities (Note 2</w:t>
            </w:r>
            <w:r w:rsidR="00E678AA">
              <w:rPr>
                <w:rFonts w:ascii="Arial" w:hAnsi="Arial" w:cs="Arial"/>
                <w:color w:val="000000"/>
              </w:rPr>
              <w:t>6</w:t>
            </w:r>
            <w:r w:rsidRPr="00D8288C">
              <w:rPr>
                <w:rFonts w:ascii="Arial" w:hAnsi="Arial" w:cs="Arial"/>
                <w:color w:val="000000"/>
              </w:rPr>
              <w:t>)</w:t>
            </w:r>
          </w:p>
        </w:tc>
        <w:tc>
          <w:tcPr>
            <w:tcW w:w="1309" w:type="dxa"/>
            <w:tcBorders>
              <w:top w:val="nil"/>
              <w:left w:val="nil"/>
              <w:bottom w:val="single" w:sz="8" w:space="0" w:color="auto"/>
              <w:right w:val="single" w:sz="8" w:space="0" w:color="auto"/>
            </w:tcBorders>
            <w:shd w:val="clear" w:color="000000" w:fill="D9D9D9"/>
            <w:vAlign w:val="center"/>
            <w:hideMark/>
          </w:tcPr>
          <w:p w14:paraId="30B562CC" w14:textId="5815FD4F" w:rsidR="00082C74" w:rsidRPr="00D8288C" w:rsidRDefault="00082C74" w:rsidP="00082C74">
            <w:pPr>
              <w:jc w:val="right"/>
              <w:rPr>
                <w:rFonts w:ascii="Arial" w:hAnsi="Arial" w:cs="Arial"/>
                <w:color w:val="000000"/>
              </w:rPr>
            </w:pPr>
            <w:r>
              <w:rPr>
                <w:rFonts w:ascii="Arial" w:hAnsi="Arial" w:cs="Arial"/>
                <w:color w:val="000000"/>
              </w:rPr>
              <w:t>294</w:t>
            </w:r>
          </w:p>
        </w:tc>
      </w:tr>
      <w:tr w:rsidR="00082C74" w:rsidRPr="00D8288C" w14:paraId="314258C7" w14:textId="77777777" w:rsidTr="00082C74">
        <w:trPr>
          <w:trHeight w:val="300"/>
          <w:jc w:val="center"/>
        </w:trPr>
        <w:tc>
          <w:tcPr>
            <w:tcW w:w="1308" w:type="dxa"/>
            <w:tcBorders>
              <w:top w:val="nil"/>
              <w:left w:val="single" w:sz="8" w:space="0" w:color="auto"/>
              <w:bottom w:val="nil"/>
              <w:right w:val="single" w:sz="8" w:space="0" w:color="auto"/>
            </w:tcBorders>
            <w:vAlign w:val="center"/>
            <w:hideMark/>
          </w:tcPr>
          <w:p w14:paraId="31B9CBA8" w14:textId="184BBC92" w:rsidR="00082C74" w:rsidRPr="00082C74" w:rsidRDefault="00D06EDA" w:rsidP="00082C74">
            <w:pPr>
              <w:jc w:val="right"/>
              <w:rPr>
                <w:rFonts w:ascii="Arial" w:hAnsi="Arial" w:cs="Arial"/>
                <w:b/>
                <w:bCs/>
                <w:color w:val="000000"/>
              </w:rPr>
            </w:pPr>
            <w:r>
              <w:rPr>
                <w:rFonts w:ascii="Arial" w:hAnsi="Arial" w:cs="Arial"/>
                <w:b/>
                <w:bCs/>
                <w:color w:val="000000"/>
              </w:rPr>
              <w:t>18,374</w:t>
            </w:r>
          </w:p>
        </w:tc>
        <w:tc>
          <w:tcPr>
            <w:tcW w:w="6739" w:type="dxa"/>
            <w:tcBorders>
              <w:top w:val="nil"/>
              <w:left w:val="nil"/>
              <w:bottom w:val="nil"/>
              <w:right w:val="nil"/>
            </w:tcBorders>
            <w:shd w:val="clear" w:color="000000" w:fill="D9D9D9"/>
            <w:vAlign w:val="center"/>
            <w:hideMark/>
          </w:tcPr>
          <w:p w14:paraId="3FC6C293" w14:textId="77777777" w:rsidR="00082C74" w:rsidRPr="00D8288C" w:rsidRDefault="00082C74" w:rsidP="00082C74">
            <w:pPr>
              <w:rPr>
                <w:rFonts w:ascii="Arial" w:hAnsi="Arial" w:cs="Arial"/>
                <w:b/>
                <w:bCs/>
                <w:color w:val="000000"/>
              </w:rPr>
            </w:pPr>
            <w:r w:rsidRPr="00D8288C">
              <w:rPr>
                <w:rFonts w:ascii="Arial" w:hAnsi="Arial" w:cs="Arial"/>
                <w:b/>
                <w:bCs/>
                <w:color w:val="000000"/>
              </w:rPr>
              <w:t xml:space="preserve">Net cash flows from Operating Activities </w:t>
            </w:r>
          </w:p>
        </w:tc>
        <w:tc>
          <w:tcPr>
            <w:tcW w:w="1309" w:type="dxa"/>
            <w:tcBorders>
              <w:top w:val="nil"/>
              <w:left w:val="nil"/>
              <w:bottom w:val="nil"/>
              <w:right w:val="single" w:sz="8" w:space="0" w:color="auto"/>
            </w:tcBorders>
            <w:shd w:val="clear" w:color="000000" w:fill="D9D9D9"/>
            <w:vAlign w:val="center"/>
            <w:hideMark/>
          </w:tcPr>
          <w:p w14:paraId="47235360" w14:textId="41B2D0D3" w:rsidR="00082C74" w:rsidRPr="00D8288C" w:rsidRDefault="00082C74" w:rsidP="00082C74">
            <w:pPr>
              <w:jc w:val="right"/>
              <w:rPr>
                <w:rFonts w:ascii="Arial" w:hAnsi="Arial" w:cs="Arial"/>
                <w:b/>
                <w:bCs/>
                <w:color w:val="000000"/>
              </w:rPr>
            </w:pPr>
            <w:r>
              <w:rPr>
                <w:rFonts w:ascii="Arial" w:hAnsi="Arial" w:cs="Arial"/>
                <w:b/>
                <w:bCs/>
                <w:color w:val="000000"/>
              </w:rPr>
              <w:t>(2</w:t>
            </w:r>
            <w:r w:rsidR="002A1BF7">
              <w:rPr>
                <w:rFonts w:ascii="Arial" w:hAnsi="Arial" w:cs="Arial"/>
                <w:b/>
                <w:bCs/>
                <w:color w:val="000000"/>
              </w:rPr>
              <w:t>9</w:t>
            </w:r>
            <w:r>
              <w:rPr>
                <w:rFonts w:ascii="Arial" w:hAnsi="Arial" w:cs="Arial"/>
                <w:b/>
                <w:bCs/>
                <w:color w:val="000000"/>
              </w:rPr>
              <w:t>,</w:t>
            </w:r>
            <w:r w:rsidR="002A1BF7">
              <w:rPr>
                <w:rFonts w:ascii="Arial" w:hAnsi="Arial" w:cs="Arial"/>
                <w:b/>
                <w:bCs/>
                <w:color w:val="000000"/>
              </w:rPr>
              <w:t>591</w:t>
            </w:r>
            <w:r>
              <w:rPr>
                <w:rFonts w:ascii="Arial" w:hAnsi="Arial" w:cs="Arial"/>
                <w:b/>
                <w:bCs/>
                <w:color w:val="000000"/>
              </w:rPr>
              <w:t>)</w:t>
            </w:r>
          </w:p>
        </w:tc>
      </w:tr>
      <w:tr w:rsidR="00082C74" w:rsidRPr="00D8288C" w14:paraId="404B843A" w14:textId="77777777" w:rsidTr="00082C74">
        <w:trPr>
          <w:trHeight w:val="195"/>
          <w:jc w:val="center"/>
        </w:trPr>
        <w:tc>
          <w:tcPr>
            <w:tcW w:w="1308" w:type="dxa"/>
            <w:tcBorders>
              <w:top w:val="nil"/>
              <w:left w:val="single" w:sz="8" w:space="0" w:color="auto"/>
              <w:bottom w:val="nil"/>
              <w:right w:val="single" w:sz="8" w:space="0" w:color="auto"/>
            </w:tcBorders>
            <w:vAlign w:val="center"/>
            <w:hideMark/>
          </w:tcPr>
          <w:p w14:paraId="59548808" w14:textId="5280808D" w:rsidR="00082C74" w:rsidRPr="00082C74" w:rsidRDefault="00082C74" w:rsidP="00082C74">
            <w:pPr>
              <w:jc w:val="right"/>
              <w:rPr>
                <w:rFonts w:ascii="Arial" w:hAnsi="Arial" w:cs="Arial"/>
                <w:b/>
                <w:bCs/>
                <w:color w:val="000000"/>
              </w:rPr>
            </w:pPr>
          </w:p>
        </w:tc>
        <w:tc>
          <w:tcPr>
            <w:tcW w:w="6739" w:type="dxa"/>
            <w:tcBorders>
              <w:top w:val="nil"/>
              <w:left w:val="nil"/>
              <w:bottom w:val="nil"/>
              <w:right w:val="nil"/>
            </w:tcBorders>
            <w:shd w:val="clear" w:color="000000" w:fill="D9D9D9"/>
            <w:vAlign w:val="center"/>
            <w:hideMark/>
          </w:tcPr>
          <w:p w14:paraId="1AF38E86" w14:textId="77777777" w:rsidR="00082C74" w:rsidRPr="00D8288C" w:rsidRDefault="00082C74" w:rsidP="00082C74">
            <w:pPr>
              <w:jc w:val="right"/>
            </w:pPr>
          </w:p>
        </w:tc>
        <w:tc>
          <w:tcPr>
            <w:tcW w:w="1309" w:type="dxa"/>
            <w:tcBorders>
              <w:top w:val="nil"/>
              <w:left w:val="nil"/>
              <w:bottom w:val="nil"/>
              <w:right w:val="single" w:sz="8" w:space="0" w:color="auto"/>
            </w:tcBorders>
            <w:shd w:val="clear" w:color="000000" w:fill="D9D9D9"/>
            <w:vAlign w:val="center"/>
            <w:hideMark/>
          </w:tcPr>
          <w:p w14:paraId="0CAF6893" w14:textId="61494A20" w:rsidR="00082C74" w:rsidRPr="00D8288C" w:rsidRDefault="00082C74" w:rsidP="00082C74">
            <w:r>
              <w:rPr>
                <w:rFonts w:ascii="Arial" w:hAnsi="Arial" w:cs="Arial"/>
                <w:color w:val="000000"/>
              </w:rPr>
              <w:t> </w:t>
            </w:r>
          </w:p>
        </w:tc>
      </w:tr>
      <w:tr w:rsidR="00082C74" w:rsidRPr="00D8288C" w14:paraId="5B91D408" w14:textId="77777777" w:rsidTr="00082C74">
        <w:trPr>
          <w:trHeight w:val="300"/>
          <w:jc w:val="center"/>
        </w:trPr>
        <w:tc>
          <w:tcPr>
            <w:tcW w:w="1308" w:type="dxa"/>
            <w:tcBorders>
              <w:top w:val="nil"/>
              <w:left w:val="single" w:sz="8" w:space="0" w:color="auto"/>
              <w:bottom w:val="nil"/>
              <w:right w:val="single" w:sz="8" w:space="0" w:color="auto"/>
            </w:tcBorders>
            <w:vAlign w:val="center"/>
            <w:hideMark/>
          </w:tcPr>
          <w:p w14:paraId="2C1C8115" w14:textId="29E525C4" w:rsidR="00082C74" w:rsidRPr="00082C74" w:rsidRDefault="00082C74" w:rsidP="00082C74">
            <w:pPr>
              <w:jc w:val="right"/>
              <w:rPr>
                <w:rFonts w:ascii="Arial" w:hAnsi="Arial" w:cs="Arial"/>
                <w:color w:val="000000"/>
              </w:rPr>
            </w:pPr>
            <w:r w:rsidRPr="00082C74">
              <w:rPr>
                <w:rFonts w:ascii="Arial" w:hAnsi="Arial" w:cs="Arial"/>
                <w:color w:val="000000"/>
              </w:rPr>
              <w:t>19,664</w:t>
            </w:r>
          </w:p>
        </w:tc>
        <w:tc>
          <w:tcPr>
            <w:tcW w:w="6739" w:type="dxa"/>
            <w:tcBorders>
              <w:top w:val="nil"/>
              <w:left w:val="nil"/>
              <w:bottom w:val="nil"/>
              <w:right w:val="nil"/>
            </w:tcBorders>
            <w:shd w:val="clear" w:color="000000" w:fill="D9D9D9"/>
            <w:vAlign w:val="center"/>
            <w:hideMark/>
          </w:tcPr>
          <w:p w14:paraId="5C90DE91" w14:textId="216B70AD" w:rsidR="00082C74" w:rsidRPr="00D8288C" w:rsidRDefault="00082C74" w:rsidP="00082C74">
            <w:pPr>
              <w:rPr>
                <w:rFonts w:ascii="Arial" w:hAnsi="Arial" w:cs="Arial"/>
                <w:color w:val="000000"/>
              </w:rPr>
            </w:pPr>
            <w:r w:rsidRPr="00D8288C">
              <w:rPr>
                <w:rFonts w:ascii="Arial" w:hAnsi="Arial" w:cs="Arial"/>
                <w:color w:val="000000"/>
              </w:rPr>
              <w:t>Investing activities (Note 2</w:t>
            </w:r>
            <w:r w:rsidR="00E678AA">
              <w:rPr>
                <w:rFonts w:ascii="Arial" w:hAnsi="Arial" w:cs="Arial"/>
                <w:color w:val="000000"/>
              </w:rPr>
              <w:t>7</w:t>
            </w:r>
            <w:r w:rsidRPr="00D8288C">
              <w:rPr>
                <w:rFonts w:ascii="Arial" w:hAnsi="Arial" w:cs="Arial"/>
                <w:color w:val="000000"/>
              </w:rPr>
              <w:t>)</w:t>
            </w:r>
          </w:p>
        </w:tc>
        <w:tc>
          <w:tcPr>
            <w:tcW w:w="1309" w:type="dxa"/>
            <w:tcBorders>
              <w:top w:val="nil"/>
              <w:left w:val="nil"/>
              <w:bottom w:val="nil"/>
              <w:right w:val="single" w:sz="8" w:space="0" w:color="auto"/>
            </w:tcBorders>
            <w:shd w:val="clear" w:color="000000" w:fill="D9D9D9"/>
            <w:vAlign w:val="center"/>
            <w:hideMark/>
          </w:tcPr>
          <w:p w14:paraId="3CB735A5" w14:textId="44636432" w:rsidR="00082C74" w:rsidRPr="00D8288C" w:rsidRDefault="00082C74" w:rsidP="00082C74">
            <w:pPr>
              <w:jc w:val="right"/>
              <w:rPr>
                <w:rFonts w:ascii="Arial" w:hAnsi="Arial" w:cs="Arial"/>
                <w:color w:val="000000"/>
              </w:rPr>
            </w:pPr>
            <w:r>
              <w:rPr>
                <w:rFonts w:ascii="Arial" w:hAnsi="Arial" w:cs="Arial"/>
                <w:color w:val="000000"/>
              </w:rPr>
              <w:t>30,563</w:t>
            </w:r>
          </w:p>
        </w:tc>
      </w:tr>
      <w:tr w:rsidR="00082C74" w:rsidRPr="00D8288C" w14:paraId="09B7144B" w14:textId="77777777" w:rsidTr="00082C74">
        <w:trPr>
          <w:trHeight w:val="300"/>
          <w:jc w:val="center"/>
        </w:trPr>
        <w:tc>
          <w:tcPr>
            <w:tcW w:w="1308" w:type="dxa"/>
            <w:tcBorders>
              <w:top w:val="nil"/>
              <w:left w:val="single" w:sz="8" w:space="0" w:color="auto"/>
              <w:bottom w:val="single" w:sz="8" w:space="0" w:color="auto"/>
              <w:right w:val="single" w:sz="8" w:space="0" w:color="auto"/>
            </w:tcBorders>
            <w:vAlign w:val="center"/>
            <w:hideMark/>
          </w:tcPr>
          <w:p w14:paraId="04800FA0" w14:textId="68FF6636" w:rsidR="00082C74" w:rsidRPr="00082C74" w:rsidRDefault="00082C74" w:rsidP="00082C74">
            <w:pPr>
              <w:jc w:val="right"/>
              <w:rPr>
                <w:rFonts w:ascii="Arial" w:hAnsi="Arial" w:cs="Arial"/>
                <w:color w:val="000000"/>
              </w:rPr>
            </w:pPr>
            <w:r w:rsidRPr="00082C74">
              <w:rPr>
                <w:rFonts w:ascii="Arial" w:hAnsi="Arial" w:cs="Arial"/>
                <w:color w:val="000000"/>
              </w:rPr>
              <w:t>1,218</w:t>
            </w:r>
          </w:p>
        </w:tc>
        <w:tc>
          <w:tcPr>
            <w:tcW w:w="6739" w:type="dxa"/>
            <w:tcBorders>
              <w:top w:val="nil"/>
              <w:left w:val="nil"/>
              <w:bottom w:val="nil"/>
              <w:right w:val="nil"/>
            </w:tcBorders>
            <w:shd w:val="clear" w:color="000000" w:fill="D9D9D9"/>
            <w:vAlign w:val="center"/>
            <w:hideMark/>
          </w:tcPr>
          <w:p w14:paraId="3FE42300" w14:textId="57BA9A79" w:rsidR="00082C74" w:rsidRPr="00D8288C" w:rsidRDefault="00082C74" w:rsidP="00082C74">
            <w:pPr>
              <w:rPr>
                <w:rFonts w:ascii="Arial" w:hAnsi="Arial" w:cs="Arial"/>
                <w:color w:val="000000"/>
              </w:rPr>
            </w:pPr>
            <w:r w:rsidRPr="00D8288C">
              <w:rPr>
                <w:rFonts w:ascii="Arial" w:hAnsi="Arial" w:cs="Arial"/>
                <w:color w:val="000000"/>
              </w:rPr>
              <w:t>Financing activities (Note 2</w:t>
            </w:r>
            <w:r w:rsidR="00E678AA">
              <w:rPr>
                <w:rFonts w:ascii="Arial" w:hAnsi="Arial" w:cs="Arial"/>
                <w:color w:val="000000"/>
              </w:rPr>
              <w:t>8</w:t>
            </w:r>
            <w:r w:rsidRPr="00D8288C">
              <w:rPr>
                <w:rFonts w:ascii="Arial" w:hAnsi="Arial" w:cs="Arial"/>
                <w:color w:val="000000"/>
              </w:rPr>
              <w:t>)</w:t>
            </w:r>
          </w:p>
        </w:tc>
        <w:tc>
          <w:tcPr>
            <w:tcW w:w="1309" w:type="dxa"/>
            <w:tcBorders>
              <w:top w:val="nil"/>
              <w:left w:val="nil"/>
              <w:bottom w:val="single" w:sz="8" w:space="0" w:color="auto"/>
              <w:right w:val="single" w:sz="8" w:space="0" w:color="auto"/>
            </w:tcBorders>
            <w:shd w:val="clear" w:color="000000" w:fill="D9D9D9"/>
            <w:vAlign w:val="center"/>
            <w:hideMark/>
          </w:tcPr>
          <w:p w14:paraId="2E1F817B" w14:textId="2ADC219A" w:rsidR="00082C74" w:rsidRPr="00D8288C" w:rsidRDefault="00082C74" w:rsidP="00082C74">
            <w:pPr>
              <w:jc w:val="right"/>
              <w:rPr>
                <w:rFonts w:ascii="Arial" w:hAnsi="Arial" w:cs="Arial"/>
                <w:color w:val="000000"/>
              </w:rPr>
            </w:pPr>
            <w:r>
              <w:rPr>
                <w:rFonts w:ascii="Arial" w:hAnsi="Arial" w:cs="Arial"/>
                <w:color w:val="000000"/>
              </w:rPr>
              <w:t>(8,</w:t>
            </w:r>
            <w:r w:rsidR="00535528">
              <w:rPr>
                <w:rFonts w:ascii="Arial" w:hAnsi="Arial" w:cs="Arial"/>
                <w:color w:val="000000"/>
              </w:rPr>
              <w:t>251</w:t>
            </w:r>
            <w:r>
              <w:rPr>
                <w:rFonts w:ascii="Arial" w:hAnsi="Arial" w:cs="Arial"/>
                <w:color w:val="000000"/>
              </w:rPr>
              <w:t>)</w:t>
            </w:r>
          </w:p>
        </w:tc>
      </w:tr>
      <w:tr w:rsidR="00082C74" w:rsidRPr="00D8288C" w14:paraId="4E315C3A" w14:textId="77777777" w:rsidTr="00082C74">
        <w:trPr>
          <w:trHeight w:val="300"/>
          <w:jc w:val="center"/>
        </w:trPr>
        <w:tc>
          <w:tcPr>
            <w:tcW w:w="1308" w:type="dxa"/>
            <w:tcBorders>
              <w:top w:val="nil"/>
              <w:left w:val="single" w:sz="8" w:space="0" w:color="auto"/>
              <w:bottom w:val="single" w:sz="12" w:space="0" w:color="auto"/>
              <w:right w:val="single" w:sz="8" w:space="0" w:color="auto"/>
            </w:tcBorders>
            <w:vAlign w:val="center"/>
            <w:hideMark/>
          </w:tcPr>
          <w:p w14:paraId="4F923519" w14:textId="499CB1D8" w:rsidR="00082C74" w:rsidRPr="00082C74" w:rsidRDefault="00D06EDA" w:rsidP="00082C74">
            <w:pPr>
              <w:jc w:val="right"/>
              <w:rPr>
                <w:rFonts w:ascii="Arial" w:hAnsi="Arial" w:cs="Arial"/>
                <w:b/>
                <w:bCs/>
                <w:color w:val="000000"/>
              </w:rPr>
            </w:pPr>
            <w:r>
              <w:rPr>
                <w:rFonts w:ascii="Arial" w:hAnsi="Arial" w:cs="Arial"/>
                <w:b/>
                <w:bCs/>
                <w:color w:val="000000"/>
              </w:rPr>
              <w:t>39,256</w:t>
            </w:r>
          </w:p>
        </w:tc>
        <w:tc>
          <w:tcPr>
            <w:tcW w:w="6739" w:type="dxa"/>
            <w:tcBorders>
              <w:top w:val="nil"/>
              <w:left w:val="nil"/>
              <w:bottom w:val="nil"/>
              <w:right w:val="nil"/>
            </w:tcBorders>
            <w:shd w:val="clear" w:color="000000" w:fill="D9D9D9"/>
            <w:vAlign w:val="center"/>
            <w:hideMark/>
          </w:tcPr>
          <w:p w14:paraId="370BCE3C" w14:textId="77777777" w:rsidR="00082C74" w:rsidRPr="00D8288C" w:rsidRDefault="00082C74" w:rsidP="00082C74">
            <w:pPr>
              <w:rPr>
                <w:rFonts w:ascii="Arial" w:hAnsi="Arial" w:cs="Arial"/>
                <w:b/>
                <w:bCs/>
                <w:color w:val="000000"/>
              </w:rPr>
            </w:pPr>
            <w:r w:rsidRPr="00D8288C">
              <w:rPr>
                <w:rFonts w:ascii="Arial" w:hAnsi="Arial" w:cs="Arial"/>
                <w:b/>
                <w:bCs/>
                <w:color w:val="000000"/>
              </w:rPr>
              <w:t>Net (Increase)/Decrease in cash &amp; cash equivalents</w:t>
            </w:r>
          </w:p>
        </w:tc>
        <w:tc>
          <w:tcPr>
            <w:tcW w:w="1309" w:type="dxa"/>
            <w:tcBorders>
              <w:top w:val="nil"/>
              <w:left w:val="nil"/>
              <w:bottom w:val="single" w:sz="12" w:space="0" w:color="auto"/>
              <w:right w:val="single" w:sz="8" w:space="0" w:color="auto"/>
            </w:tcBorders>
            <w:shd w:val="clear" w:color="000000" w:fill="D9D9D9"/>
            <w:vAlign w:val="center"/>
            <w:hideMark/>
          </w:tcPr>
          <w:p w14:paraId="5AF39894" w14:textId="5AB99637" w:rsidR="00082C74" w:rsidRPr="00D8288C" w:rsidRDefault="00082C74" w:rsidP="00082C74">
            <w:pPr>
              <w:jc w:val="right"/>
              <w:rPr>
                <w:rFonts w:ascii="Arial" w:hAnsi="Arial" w:cs="Arial"/>
                <w:b/>
                <w:bCs/>
                <w:color w:val="000000"/>
              </w:rPr>
            </w:pPr>
            <w:r>
              <w:rPr>
                <w:rFonts w:ascii="Arial" w:hAnsi="Arial" w:cs="Arial"/>
                <w:b/>
                <w:bCs/>
                <w:color w:val="000000"/>
              </w:rPr>
              <w:t>(</w:t>
            </w:r>
            <w:r w:rsidR="002A1BF7">
              <w:rPr>
                <w:rFonts w:ascii="Arial" w:hAnsi="Arial" w:cs="Arial"/>
                <w:b/>
                <w:bCs/>
                <w:color w:val="000000"/>
              </w:rPr>
              <w:t>7</w:t>
            </w:r>
            <w:r>
              <w:rPr>
                <w:rFonts w:ascii="Arial" w:hAnsi="Arial" w:cs="Arial"/>
                <w:b/>
                <w:bCs/>
                <w:color w:val="000000"/>
              </w:rPr>
              <w:t>,2</w:t>
            </w:r>
            <w:r w:rsidR="002A1BF7">
              <w:rPr>
                <w:rFonts w:ascii="Arial" w:hAnsi="Arial" w:cs="Arial"/>
                <w:b/>
                <w:bCs/>
                <w:color w:val="000000"/>
              </w:rPr>
              <w:t>79</w:t>
            </w:r>
            <w:r>
              <w:rPr>
                <w:rFonts w:ascii="Arial" w:hAnsi="Arial" w:cs="Arial"/>
                <w:b/>
                <w:bCs/>
                <w:color w:val="000000"/>
              </w:rPr>
              <w:t>)</w:t>
            </w:r>
          </w:p>
        </w:tc>
      </w:tr>
      <w:tr w:rsidR="00082C74" w:rsidRPr="00D8288C" w14:paraId="7401F832" w14:textId="77777777" w:rsidTr="00082C74">
        <w:trPr>
          <w:trHeight w:val="195"/>
          <w:jc w:val="center"/>
        </w:trPr>
        <w:tc>
          <w:tcPr>
            <w:tcW w:w="1308" w:type="dxa"/>
            <w:tcBorders>
              <w:top w:val="nil"/>
              <w:left w:val="single" w:sz="8" w:space="0" w:color="auto"/>
              <w:bottom w:val="nil"/>
              <w:right w:val="single" w:sz="8" w:space="0" w:color="auto"/>
            </w:tcBorders>
            <w:vAlign w:val="center"/>
            <w:hideMark/>
          </w:tcPr>
          <w:p w14:paraId="56ABFD94" w14:textId="2CFDF3E3" w:rsidR="00082C74" w:rsidRPr="00082C74" w:rsidRDefault="00082C74" w:rsidP="00082C74">
            <w:pPr>
              <w:jc w:val="right"/>
              <w:rPr>
                <w:rFonts w:ascii="Arial" w:hAnsi="Arial" w:cs="Arial"/>
                <w:b/>
                <w:bCs/>
                <w:color w:val="000000"/>
              </w:rPr>
            </w:pPr>
          </w:p>
        </w:tc>
        <w:tc>
          <w:tcPr>
            <w:tcW w:w="6739" w:type="dxa"/>
            <w:tcBorders>
              <w:top w:val="nil"/>
              <w:left w:val="nil"/>
              <w:bottom w:val="nil"/>
              <w:right w:val="nil"/>
            </w:tcBorders>
            <w:shd w:val="clear" w:color="000000" w:fill="D9D9D9"/>
            <w:vAlign w:val="center"/>
            <w:hideMark/>
          </w:tcPr>
          <w:p w14:paraId="1F2BEECF" w14:textId="77777777" w:rsidR="00082C74" w:rsidRPr="00D8288C" w:rsidRDefault="00082C74" w:rsidP="00082C74">
            <w:pPr>
              <w:jc w:val="right"/>
            </w:pPr>
          </w:p>
        </w:tc>
        <w:tc>
          <w:tcPr>
            <w:tcW w:w="1309" w:type="dxa"/>
            <w:tcBorders>
              <w:top w:val="nil"/>
              <w:left w:val="nil"/>
              <w:bottom w:val="nil"/>
              <w:right w:val="single" w:sz="8" w:space="0" w:color="auto"/>
            </w:tcBorders>
            <w:shd w:val="clear" w:color="000000" w:fill="D9D9D9"/>
            <w:vAlign w:val="center"/>
            <w:hideMark/>
          </w:tcPr>
          <w:p w14:paraId="73753F15" w14:textId="0140833E" w:rsidR="00082C74" w:rsidRPr="00D8288C" w:rsidRDefault="00082C74" w:rsidP="00082C74">
            <w:r>
              <w:rPr>
                <w:rFonts w:ascii="Arial" w:hAnsi="Arial" w:cs="Arial"/>
                <w:color w:val="000000"/>
              </w:rPr>
              <w:t> </w:t>
            </w:r>
          </w:p>
        </w:tc>
      </w:tr>
      <w:tr w:rsidR="00082C74" w:rsidRPr="00D8288C" w14:paraId="56C32DC5" w14:textId="77777777" w:rsidTr="00082C74">
        <w:trPr>
          <w:trHeight w:val="300"/>
          <w:jc w:val="center"/>
        </w:trPr>
        <w:tc>
          <w:tcPr>
            <w:tcW w:w="1308" w:type="dxa"/>
            <w:tcBorders>
              <w:top w:val="nil"/>
              <w:left w:val="single" w:sz="8" w:space="0" w:color="auto"/>
              <w:bottom w:val="nil"/>
              <w:right w:val="single" w:sz="8" w:space="0" w:color="auto"/>
            </w:tcBorders>
            <w:vAlign w:val="center"/>
            <w:hideMark/>
          </w:tcPr>
          <w:p w14:paraId="0A9B81D7" w14:textId="0B5CC457" w:rsidR="00082C74" w:rsidRPr="00082C74" w:rsidRDefault="00082C74" w:rsidP="00082C74">
            <w:pPr>
              <w:jc w:val="right"/>
              <w:rPr>
                <w:rFonts w:ascii="Arial" w:hAnsi="Arial" w:cs="Arial"/>
                <w:b/>
                <w:bCs/>
                <w:color w:val="000000"/>
              </w:rPr>
            </w:pPr>
            <w:r w:rsidRPr="00082C74">
              <w:rPr>
                <w:rFonts w:ascii="Arial" w:hAnsi="Arial" w:cs="Arial"/>
                <w:b/>
                <w:bCs/>
                <w:color w:val="000000"/>
              </w:rPr>
              <w:t>43,876</w:t>
            </w:r>
          </w:p>
        </w:tc>
        <w:tc>
          <w:tcPr>
            <w:tcW w:w="6739" w:type="dxa"/>
            <w:tcBorders>
              <w:top w:val="nil"/>
              <w:left w:val="nil"/>
              <w:bottom w:val="nil"/>
              <w:right w:val="nil"/>
            </w:tcBorders>
            <w:shd w:val="clear" w:color="000000" w:fill="D9D9D9"/>
            <w:vAlign w:val="center"/>
            <w:hideMark/>
          </w:tcPr>
          <w:p w14:paraId="0AD0C956" w14:textId="77777777" w:rsidR="00082C74" w:rsidRPr="00D8288C" w:rsidRDefault="00082C74" w:rsidP="00082C74">
            <w:pPr>
              <w:rPr>
                <w:rFonts w:ascii="Arial" w:hAnsi="Arial" w:cs="Arial"/>
                <w:b/>
                <w:bCs/>
                <w:color w:val="000000"/>
              </w:rPr>
            </w:pPr>
            <w:r w:rsidRPr="00D8288C">
              <w:rPr>
                <w:rFonts w:ascii="Arial" w:hAnsi="Arial" w:cs="Arial"/>
                <w:b/>
                <w:bCs/>
                <w:color w:val="000000"/>
              </w:rPr>
              <w:t>Cash &amp; cash equivalents at beginning of the reporting period</w:t>
            </w:r>
          </w:p>
        </w:tc>
        <w:tc>
          <w:tcPr>
            <w:tcW w:w="1309" w:type="dxa"/>
            <w:tcBorders>
              <w:top w:val="nil"/>
              <w:left w:val="nil"/>
              <w:bottom w:val="nil"/>
              <w:right w:val="single" w:sz="8" w:space="0" w:color="auto"/>
            </w:tcBorders>
            <w:shd w:val="clear" w:color="000000" w:fill="D9D9D9"/>
            <w:vAlign w:val="center"/>
            <w:hideMark/>
          </w:tcPr>
          <w:p w14:paraId="06C88C83" w14:textId="3DFEFC17" w:rsidR="00082C74" w:rsidRPr="00D8288C" w:rsidRDefault="002A1BF7" w:rsidP="00082C74">
            <w:pPr>
              <w:jc w:val="right"/>
              <w:rPr>
                <w:rFonts w:ascii="Arial" w:hAnsi="Arial" w:cs="Arial"/>
                <w:b/>
                <w:bCs/>
                <w:color w:val="000000"/>
              </w:rPr>
            </w:pPr>
            <w:r>
              <w:rPr>
                <w:rFonts w:ascii="Arial" w:hAnsi="Arial" w:cs="Arial"/>
                <w:b/>
                <w:bCs/>
                <w:color w:val="000000"/>
              </w:rPr>
              <w:t>4</w:t>
            </w:r>
            <w:r w:rsidR="005F7DB3">
              <w:rPr>
                <w:rFonts w:ascii="Arial" w:hAnsi="Arial" w:cs="Arial"/>
                <w:b/>
                <w:bCs/>
                <w:color w:val="000000"/>
              </w:rPr>
              <w:t>,</w:t>
            </w:r>
            <w:r>
              <w:rPr>
                <w:rFonts w:ascii="Arial" w:hAnsi="Arial" w:cs="Arial"/>
                <w:b/>
                <w:bCs/>
                <w:color w:val="000000"/>
              </w:rPr>
              <w:t>619</w:t>
            </w:r>
          </w:p>
        </w:tc>
      </w:tr>
      <w:tr w:rsidR="00082C74" w:rsidRPr="00D8288C" w14:paraId="1D683058" w14:textId="77777777" w:rsidTr="00082C74">
        <w:trPr>
          <w:trHeight w:val="855"/>
          <w:jc w:val="center"/>
        </w:trPr>
        <w:tc>
          <w:tcPr>
            <w:tcW w:w="1308" w:type="dxa"/>
            <w:tcBorders>
              <w:top w:val="nil"/>
              <w:left w:val="single" w:sz="8" w:space="0" w:color="auto"/>
              <w:bottom w:val="single" w:sz="8" w:space="0" w:color="auto"/>
              <w:right w:val="single" w:sz="8" w:space="0" w:color="auto"/>
            </w:tcBorders>
            <w:vAlign w:val="center"/>
            <w:hideMark/>
          </w:tcPr>
          <w:p w14:paraId="18BFB08A" w14:textId="6FE6107F" w:rsidR="00082C74" w:rsidRPr="00082C74" w:rsidRDefault="00D06EDA" w:rsidP="00082C74">
            <w:pPr>
              <w:jc w:val="right"/>
              <w:rPr>
                <w:rFonts w:ascii="Arial" w:hAnsi="Arial" w:cs="Arial"/>
                <w:b/>
                <w:bCs/>
                <w:color w:val="000000"/>
              </w:rPr>
            </w:pPr>
            <w:r>
              <w:rPr>
                <w:rFonts w:ascii="Arial" w:hAnsi="Arial" w:cs="Arial"/>
                <w:b/>
                <w:bCs/>
                <w:color w:val="000000"/>
              </w:rPr>
              <w:t>4,619</w:t>
            </w:r>
          </w:p>
        </w:tc>
        <w:tc>
          <w:tcPr>
            <w:tcW w:w="6739" w:type="dxa"/>
            <w:tcBorders>
              <w:top w:val="nil"/>
              <w:left w:val="nil"/>
              <w:bottom w:val="single" w:sz="8" w:space="0" w:color="auto"/>
              <w:right w:val="nil"/>
            </w:tcBorders>
            <w:shd w:val="clear" w:color="000000" w:fill="D9D9D9"/>
            <w:vAlign w:val="center"/>
            <w:hideMark/>
          </w:tcPr>
          <w:p w14:paraId="0CE46D09" w14:textId="48631F45" w:rsidR="00082C74" w:rsidRPr="00D8288C" w:rsidRDefault="00082C74" w:rsidP="00082C74">
            <w:pPr>
              <w:rPr>
                <w:rFonts w:ascii="Arial" w:hAnsi="Arial" w:cs="Arial"/>
                <w:b/>
                <w:bCs/>
                <w:color w:val="000000"/>
              </w:rPr>
            </w:pPr>
            <w:r w:rsidRPr="00D8288C">
              <w:rPr>
                <w:rFonts w:ascii="Arial" w:hAnsi="Arial" w:cs="Arial"/>
                <w:b/>
                <w:bCs/>
                <w:color w:val="000000"/>
              </w:rPr>
              <w:t>Cash &amp; cash equivalents at the end of the reporting period (Note 2</w:t>
            </w:r>
            <w:r w:rsidR="001B5D0B">
              <w:rPr>
                <w:rFonts w:ascii="Arial" w:hAnsi="Arial" w:cs="Arial"/>
                <w:b/>
                <w:bCs/>
                <w:color w:val="000000"/>
              </w:rPr>
              <w:t>4</w:t>
            </w:r>
            <w:r w:rsidRPr="00D8288C">
              <w:rPr>
                <w:rFonts w:ascii="Arial" w:hAnsi="Arial" w:cs="Arial"/>
                <w:b/>
                <w:bCs/>
                <w:color w:val="000000"/>
              </w:rPr>
              <w:t>)</w:t>
            </w:r>
          </w:p>
        </w:tc>
        <w:tc>
          <w:tcPr>
            <w:tcW w:w="1309" w:type="dxa"/>
            <w:tcBorders>
              <w:top w:val="nil"/>
              <w:left w:val="nil"/>
              <w:bottom w:val="single" w:sz="8" w:space="0" w:color="auto"/>
              <w:right w:val="single" w:sz="8" w:space="0" w:color="auto"/>
            </w:tcBorders>
            <w:shd w:val="clear" w:color="000000" w:fill="D9D9D9"/>
            <w:vAlign w:val="center"/>
            <w:hideMark/>
          </w:tcPr>
          <w:p w14:paraId="3237B003" w14:textId="2309E672" w:rsidR="00082C74" w:rsidRPr="00D8288C" w:rsidRDefault="00082C74" w:rsidP="00082C74">
            <w:pPr>
              <w:jc w:val="right"/>
              <w:rPr>
                <w:rFonts w:ascii="Arial" w:hAnsi="Arial" w:cs="Arial"/>
                <w:b/>
                <w:bCs/>
                <w:color w:val="000000"/>
              </w:rPr>
            </w:pPr>
            <w:r>
              <w:rPr>
                <w:rFonts w:ascii="Arial" w:hAnsi="Arial" w:cs="Arial"/>
                <w:b/>
                <w:bCs/>
                <w:color w:val="000000"/>
              </w:rPr>
              <w:t>11,898</w:t>
            </w:r>
          </w:p>
        </w:tc>
      </w:tr>
    </w:tbl>
    <w:p w14:paraId="27FEAECD" w14:textId="72DF0873" w:rsidR="003B74DA" w:rsidRDefault="003B74DA" w:rsidP="003B74DA">
      <w:pPr>
        <w:jc w:val="center"/>
        <w:rPr>
          <w:rFonts w:ascii="Arial" w:hAnsi="Arial"/>
          <w:b/>
          <w:sz w:val="28"/>
        </w:rPr>
      </w:pPr>
    </w:p>
    <w:p w14:paraId="766C9886" w14:textId="77777777" w:rsidR="003B74DA" w:rsidRDefault="003B74DA" w:rsidP="003B74DA">
      <w:pPr>
        <w:jc w:val="center"/>
        <w:rPr>
          <w:rFonts w:ascii="Arial" w:hAnsi="Arial"/>
          <w:b/>
          <w:sz w:val="28"/>
        </w:rPr>
      </w:pPr>
    </w:p>
    <w:p w14:paraId="3F244B75" w14:textId="77777777" w:rsidR="003B74DA" w:rsidRDefault="003B74DA" w:rsidP="003B74DA">
      <w:pPr>
        <w:jc w:val="center"/>
        <w:rPr>
          <w:rFonts w:ascii="Arial" w:hAnsi="Arial"/>
          <w:b/>
          <w:sz w:val="28"/>
        </w:rPr>
      </w:pPr>
    </w:p>
    <w:p w14:paraId="6E6FAE3A" w14:textId="77777777" w:rsidR="003B74DA" w:rsidRDefault="003B74DA" w:rsidP="003B74DA">
      <w:pPr>
        <w:jc w:val="center"/>
        <w:rPr>
          <w:rFonts w:ascii="Arial" w:hAnsi="Arial"/>
          <w:b/>
          <w:sz w:val="28"/>
        </w:rPr>
      </w:pPr>
    </w:p>
    <w:p w14:paraId="4D7BE865" w14:textId="77777777" w:rsidR="003B74DA" w:rsidRDefault="003B74DA" w:rsidP="003B74DA">
      <w:pPr>
        <w:jc w:val="center"/>
        <w:rPr>
          <w:rFonts w:ascii="Arial" w:hAnsi="Arial"/>
          <w:b/>
          <w:sz w:val="28"/>
        </w:rPr>
      </w:pPr>
    </w:p>
    <w:p w14:paraId="258F5850" w14:textId="77777777" w:rsidR="003B74DA" w:rsidRDefault="003B74DA" w:rsidP="006A2DA2">
      <w:pPr>
        <w:rPr>
          <w:rFonts w:ascii="Arial" w:hAnsi="Arial"/>
          <w:b/>
          <w:sz w:val="28"/>
        </w:rPr>
      </w:pPr>
    </w:p>
    <w:p w14:paraId="073BC4F1" w14:textId="77777777" w:rsidR="003B74DA" w:rsidRDefault="003B74DA" w:rsidP="003B74DA">
      <w:pPr>
        <w:jc w:val="center"/>
        <w:rPr>
          <w:rFonts w:ascii="Arial" w:hAnsi="Arial"/>
          <w:b/>
          <w:sz w:val="28"/>
        </w:rPr>
        <w:sectPr w:rsidR="003B74DA" w:rsidSect="00CD2558">
          <w:headerReference w:type="even" r:id="rId47"/>
          <w:headerReference w:type="default" r:id="rId48"/>
          <w:headerReference w:type="first" r:id="rId49"/>
          <w:pgSz w:w="11906" w:h="16838" w:code="9"/>
          <w:pgMar w:top="720" w:right="720" w:bottom="720" w:left="720" w:header="397" w:footer="709" w:gutter="0"/>
          <w:cols w:space="708"/>
          <w:docGrid w:linePitch="360"/>
        </w:sectPr>
      </w:pPr>
    </w:p>
    <w:p w14:paraId="1AFEF6CB" w14:textId="77777777" w:rsidR="003B74DA" w:rsidRDefault="003B74DA" w:rsidP="003B74DA">
      <w:pPr>
        <w:jc w:val="center"/>
        <w:rPr>
          <w:rFonts w:ascii="Arial" w:hAnsi="Arial"/>
          <w:b/>
          <w:sz w:val="28"/>
        </w:rPr>
      </w:pPr>
    </w:p>
    <w:p w14:paraId="424E87C9" w14:textId="77777777" w:rsidR="003B74DA" w:rsidRDefault="003B74DA" w:rsidP="003B74DA">
      <w:pPr>
        <w:jc w:val="center"/>
        <w:rPr>
          <w:rFonts w:ascii="Arial" w:hAnsi="Arial"/>
          <w:b/>
          <w:sz w:val="28"/>
        </w:rPr>
      </w:pPr>
      <w:r>
        <w:rPr>
          <w:rFonts w:ascii="Arial" w:hAnsi="Arial"/>
          <w:b/>
          <w:sz w:val="28"/>
        </w:rPr>
        <w:t>PCC SINGLE ENTITY CASH FLOW STATEMENT</w:t>
      </w:r>
    </w:p>
    <w:p w14:paraId="59BC1325" w14:textId="77777777" w:rsidR="003B74DA" w:rsidRDefault="003B74DA" w:rsidP="003B74DA">
      <w:pPr>
        <w:jc w:val="center"/>
        <w:rPr>
          <w:rFonts w:ascii="Arial" w:hAnsi="Arial"/>
          <w:b/>
          <w:sz w:val="28"/>
        </w:rPr>
      </w:pPr>
    </w:p>
    <w:p w14:paraId="1F374637" w14:textId="74EBCE22" w:rsidR="003B74DA" w:rsidRPr="006E7B68" w:rsidRDefault="003B74DA" w:rsidP="003B74DA">
      <w:pPr>
        <w:jc w:val="both"/>
        <w:rPr>
          <w:rFonts w:ascii="Arial" w:hAnsi="Arial"/>
          <w:sz w:val="22"/>
          <w:szCs w:val="22"/>
        </w:rPr>
      </w:pPr>
      <w:r>
        <w:rPr>
          <w:rFonts w:ascii="Arial" w:hAnsi="Arial"/>
          <w:sz w:val="22"/>
          <w:szCs w:val="22"/>
        </w:rPr>
        <w:t>The cash flow statement shows the changes in cash and cash equivalents of the PCC in the reporting period. The statement shows how the PCC generates and uses cash and cash equivalents by classifying cash flows as operating, investing and financing activities. The amount of net cash flows arising from operating activities is a key indicator of the extent to which the operations of the PCC are funded by way of taxation and grant income or from the recipients of services provided by the PCC. Investing activities represent the extent to which cash flows have been made for resources which are intended to contribute to the PCC's future service delivery. Cash flows arising from financing activities are useful in predicting claims on future cash flows by providers of capital (i.e. borrowing) to the PCC.</w:t>
      </w:r>
    </w:p>
    <w:p w14:paraId="268D624E" w14:textId="77777777" w:rsidR="003B74DA" w:rsidRDefault="003B74DA" w:rsidP="003B74DA">
      <w:pPr>
        <w:jc w:val="center"/>
        <w:rPr>
          <w:rFonts w:ascii="Arial" w:hAnsi="Arial"/>
          <w:b/>
          <w:sz w:val="28"/>
        </w:rPr>
      </w:pPr>
    </w:p>
    <w:p w14:paraId="2959A84B" w14:textId="4839F7AA" w:rsidR="006F765E" w:rsidRDefault="006F765E" w:rsidP="00733607"/>
    <w:p w14:paraId="62E5A9EF" w14:textId="03CC1B24" w:rsidR="005F397F" w:rsidRDefault="005F397F" w:rsidP="00733607"/>
    <w:tbl>
      <w:tblPr>
        <w:tblW w:w="9356" w:type="dxa"/>
        <w:jc w:val="center"/>
        <w:tblCellMar>
          <w:top w:w="15" w:type="dxa"/>
          <w:bottom w:w="15" w:type="dxa"/>
        </w:tblCellMar>
        <w:tblLook w:val="04A0" w:firstRow="1" w:lastRow="0" w:firstColumn="1" w:lastColumn="0" w:noHBand="0" w:noVBand="1"/>
      </w:tblPr>
      <w:tblGrid>
        <w:gridCol w:w="1350"/>
        <w:gridCol w:w="6950"/>
        <w:gridCol w:w="1056"/>
      </w:tblGrid>
      <w:tr w:rsidR="00D8288C" w:rsidRPr="00D8288C" w14:paraId="67519360" w14:textId="77777777" w:rsidTr="00270A90">
        <w:trPr>
          <w:trHeight w:val="360"/>
          <w:jc w:val="center"/>
        </w:trPr>
        <w:tc>
          <w:tcPr>
            <w:tcW w:w="1350" w:type="dxa"/>
            <w:tcBorders>
              <w:top w:val="single" w:sz="8" w:space="0" w:color="auto"/>
              <w:left w:val="single" w:sz="8" w:space="0" w:color="auto"/>
              <w:bottom w:val="nil"/>
              <w:right w:val="single" w:sz="8" w:space="0" w:color="auto"/>
            </w:tcBorders>
            <w:vAlign w:val="center"/>
            <w:hideMark/>
          </w:tcPr>
          <w:p w14:paraId="1CBD80E3" w14:textId="71312089" w:rsidR="00D8288C" w:rsidRPr="00D8288C" w:rsidRDefault="00C37E7F" w:rsidP="00FD59F6">
            <w:pPr>
              <w:jc w:val="right"/>
              <w:rPr>
                <w:rFonts w:ascii="Arial" w:hAnsi="Arial" w:cs="Arial"/>
                <w:b/>
                <w:bCs/>
                <w:color w:val="000000"/>
              </w:rPr>
            </w:pPr>
            <w:r>
              <w:rPr>
                <w:rFonts w:ascii="Arial" w:hAnsi="Arial" w:cs="Arial"/>
                <w:b/>
                <w:bCs/>
                <w:color w:val="000000"/>
              </w:rPr>
              <w:t>2023/24</w:t>
            </w:r>
            <w:r w:rsidR="00A755ED">
              <w:rPr>
                <w:rFonts w:ascii="Arial" w:hAnsi="Arial" w:cs="Arial"/>
                <w:b/>
                <w:bCs/>
                <w:color w:val="000000"/>
              </w:rPr>
              <w:t xml:space="preserve"> (Restated)</w:t>
            </w:r>
          </w:p>
        </w:tc>
        <w:tc>
          <w:tcPr>
            <w:tcW w:w="6950" w:type="dxa"/>
            <w:tcBorders>
              <w:top w:val="single" w:sz="8" w:space="0" w:color="auto"/>
              <w:left w:val="nil"/>
              <w:bottom w:val="nil"/>
              <w:right w:val="nil"/>
            </w:tcBorders>
            <w:shd w:val="clear" w:color="000000" w:fill="D9D9D9"/>
            <w:vAlign w:val="center"/>
            <w:hideMark/>
          </w:tcPr>
          <w:p w14:paraId="2D065696" w14:textId="77777777" w:rsidR="00D8288C" w:rsidRPr="00D8288C" w:rsidRDefault="00D8288C" w:rsidP="00D8288C">
            <w:pPr>
              <w:jc w:val="right"/>
              <w:rPr>
                <w:rFonts w:ascii="Arial" w:hAnsi="Arial" w:cs="Arial"/>
                <w:b/>
                <w:bCs/>
                <w:color w:val="000000"/>
              </w:rPr>
            </w:pPr>
          </w:p>
        </w:tc>
        <w:tc>
          <w:tcPr>
            <w:tcW w:w="1056" w:type="dxa"/>
            <w:tcBorders>
              <w:top w:val="single" w:sz="8" w:space="0" w:color="auto"/>
              <w:left w:val="nil"/>
              <w:bottom w:val="nil"/>
              <w:right w:val="single" w:sz="8" w:space="0" w:color="auto"/>
            </w:tcBorders>
            <w:shd w:val="clear" w:color="000000" w:fill="D9D9D9"/>
            <w:vAlign w:val="center"/>
            <w:hideMark/>
          </w:tcPr>
          <w:p w14:paraId="67349554" w14:textId="4A3819DB" w:rsidR="00D8288C" w:rsidRPr="00D8288C" w:rsidRDefault="00C37E7F" w:rsidP="00D8288C">
            <w:pPr>
              <w:jc w:val="right"/>
              <w:rPr>
                <w:rFonts w:ascii="Arial" w:hAnsi="Arial" w:cs="Arial"/>
                <w:b/>
                <w:bCs/>
                <w:color w:val="000000"/>
              </w:rPr>
            </w:pPr>
            <w:r>
              <w:rPr>
                <w:rFonts w:ascii="Arial" w:hAnsi="Arial" w:cs="Arial"/>
                <w:b/>
                <w:bCs/>
                <w:color w:val="000000"/>
              </w:rPr>
              <w:t>2024/25</w:t>
            </w:r>
          </w:p>
        </w:tc>
      </w:tr>
      <w:tr w:rsidR="00D8288C" w:rsidRPr="00D8288C" w14:paraId="5F3E4DF4" w14:textId="77777777" w:rsidTr="00082C74">
        <w:trPr>
          <w:trHeight w:val="360"/>
          <w:jc w:val="center"/>
        </w:trPr>
        <w:tc>
          <w:tcPr>
            <w:tcW w:w="1350" w:type="dxa"/>
            <w:tcBorders>
              <w:top w:val="nil"/>
              <w:left w:val="single" w:sz="8" w:space="0" w:color="auto"/>
              <w:right w:val="single" w:sz="8" w:space="0" w:color="auto"/>
            </w:tcBorders>
            <w:vAlign w:val="center"/>
            <w:hideMark/>
          </w:tcPr>
          <w:p w14:paraId="3F8FBE3D" w14:textId="77777777" w:rsidR="00D8288C" w:rsidRPr="00D8288C" w:rsidRDefault="00D8288C" w:rsidP="00D8288C">
            <w:pPr>
              <w:jc w:val="center"/>
              <w:rPr>
                <w:rFonts w:ascii="Arial" w:hAnsi="Arial" w:cs="Arial"/>
                <w:b/>
                <w:bCs/>
                <w:color w:val="000000"/>
              </w:rPr>
            </w:pPr>
            <w:r w:rsidRPr="00D8288C">
              <w:rPr>
                <w:rFonts w:ascii="Arial" w:hAnsi="Arial" w:cs="Arial"/>
                <w:b/>
                <w:bCs/>
                <w:color w:val="000000"/>
              </w:rPr>
              <w:t>£000</w:t>
            </w:r>
          </w:p>
        </w:tc>
        <w:tc>
          <w:tcPr>
            <w:tcW w:w="6950" w:type="dxa"/>
            <w:tcBorders>
              <w:top w:val="nil"/>
              <w:left w:val="nil"/>
              <w:bottom w:val="nil"/>
              <w:right w:val="nil"/>
            </w:tcBorders>
            <w:shd w:val="clear" w:color="000000" w:fill="D9D9D9"/>
            <w:vAlign w:val="center"/>
            <w:hideMark/>
          </w:tcPr>
          <w:p w14:paraId="08820760" w14:textId="77777777" w:rsidR="00D8288C" w:rsidRPr="00D8288C" w:rsidRDefault="00D8288C" w:rsidP="00D8288C">
            <w:pPr>
              <w:jc w:val="center"/>
              <w:rPr>
                <w:rFonts w:ascii="Arial" w:hAnsi="Arial" w:cs="Arial"/>
                <w:b/>
                <w:bCs/>
                <w:color w:val="000000"/>
              </w:rPr>
            </w:pPr>
          </w:p>
        </w:tc>
        <w:tc>
          <w:tcPr>
            <w:tcW w:w="1056" w:type="dxa"/>
            <w:tcBorders>
              <w:top w:val="nil"/>
              <w:left w:val="nil"/>
              <w:bottom w:val="nil"/>
              <w:right w:val="single" w:sz="8" w:space="0" w:color="auto"/>
            </w:tcBorders>
            <w:shd w:val="clear" w:color="000000" w:fill="D9D9D9"/>
            <w:vAlign w:val="center"/>
            <w:hideMark/>
          </w:tcPr>
          <w:p w14:paraId="7F619FD9" w14:textId="77777777" w:rsidR="00D8288C" w:rsidRPr="00D8288C" w:rsidRDefault="00D8288C" w:rsidP="00D8288C">
            <w:pPr>
              <w:jc w:val="center"/>
              <w:rPr>
                <w:rFonts w:ascii="Arial" w:hAnsi="Arial" w:cs="Arial"/>
                <w:b/>
                <w:bCs/>
                <w:color w:val="000000"/>
              </w:rPr>
            </w:pPr>
            <w:r w:rsidRPr="00D8288C">
              <w:rPr>
                <w:rFonts w:ascii="Arial" w:hAnsi="Arial" w:cs="Arial"/>
                <w:b/>
                <w:bCs/>
                <w:color w:val="000000"/>
              </w:rPr>
              <w:t>£000</w:t>
            </w:r>
          </w:p>
        </w:tc>
      </w:tr>
      <w:tr w:rsidR="00082C74" w:rsidRPr="00D8288C" w14:paraId="61099357" w14:textId="77777777" w:rsidTr="003F3761">
        <w:trPr>
          <w:trHeight w:val="300"/>
          <w:jc w:val="center"/>
        </w:trPr>
        <w:tc>
          <w:tcPr>
            <w:tcW w:w="1350" w:type="dxa"/>
            <w:tcBorders>
              <w:top w:val="nil"/>
              <w:left w:val="single" w:sz="8" w:space="0" w:color="auto"/>
              <w:bottom w:val="nil"/>
              <w:right w:val="single" w:sz="8" w:space="0" w:color="auto"/>
            </w:tcBorders>
            <w:vAlign w:val="center"/>
            <w:hideMark/>
          </w:tcPr>
          <w:p w14:paraId="744168DF" w14:textId="05CF0F2F" w:rsidR="00082C74" w:rsidRPr="00D8288C" w:rsidRDefault="00082C74" w:rsidP="00082C74">
            <w:pPr>
              <w:jc w:val="right"/>
              <w:rPr>
                <w:rFonts w:ascii="Arial" w:hAnsi="Arial" w:cs="Arial"/>
                <w:color w:val="000000"/>
              </w:rPr>
            </w:pPr>
            <w:r>
              <w:rPr>
                <w:rFonts w:ascii="Arial" w:hAnsi="Arial" w:cs="Arial"/>
                <w:color w:val="000000"/>
              </w:rPr>
              <w:t>7</w:t>
            </w:r>
            <w:r w:rsidRPr="00D8288C">
              <w:rPr>
                <w:rFonts w:ascii="Arial" w:hAnsi="Arial" w:cs="Arial"/>
                <w:color w:val="000000"/>
              </w:rPr>
              <w:t>,</w:t>
            </w:r>
            <w:r>
              <w:rPr>
                <w:rFonts w:ascii="Arial" w:hAnsi="Arial" w:cs="Arial"/>
                <w:color w:val="000000"/>
              </w:rPr>
              <w:t>379</w:t>
            </w:r>
          </w:p>
        </w:tc>
        <w:tc>
          <w:tcPr>
            <w:tcW w:w="6950" w:type="dxa"/>
            <w:tcBorders>
              <w:top w:val="nil"/>
              <w:left w:val="nil"/>
              <w:bottom w:val="nil"/>
              <w:right w:val="nil"/>
            </w:tcBorders>
            <w:shd w:val="clear" w:color="000000" w:fill="D9D9D9"/>
            <w:vAlign w:val="center"/>
            <w:hideMark/>
          </w:tcPr>
          <w:p w14:paraId="0C612E0C" w14:textId="77777777" w:rsidR="00082C74" w:rsidRPr="00D8288C" w:rsidRDefault="00082C74" w:rsidP="00082C74">
            <w:pPr>
              <w:rPr>
                <w:rFonts w:ascii="Arial" w:hAnsi="Arial" w:cs="Arial"/>
                <w:color w:val="000000"/>
              </w:rPr>
            </w:pPr>
            <w:r w:rsidRPr="00D8288C">
              <w:rPr>
                <w:rFonts w:ascii="Arial" w:hAnsi="Arial" w:cs="Arial"/>
                <w:color w:val="000000"/>
              </w:rPr>
              <w:t>Net deficit on the provision of services</w:t>
            </w:r>
          </w:p>
        </w:tc>
        <w:tc>
          <w:tcPr>
            <w:tcW w:w="1056" w:type="dxa"/>
            <w:tcBorders>
              <w:top w:val="nil"/>
              <w:left w:val="nil"/>
              <w:bottom w:val="nil"/>
              <w:right w:val="single" w:sz="8" w:space="0" w:color="auto"/>
            </w:tcBorders>
            <w:shd w:val="clear" w:color="000000" w:fill="D9D9D9"/>
            <w:vAlign w:val="center"/>
            <w:hideMark/>
          </w:tcPr>
          <w:p w14:paraId="07303FBB" w14:textId="51B0F4F8" w:rsidR="00082C74" w:rsidRPr="00D8288C" w:rsidRDefault="00082C74" w:rsidP="00082C74">
            <w:pPr>
              <w:jc w:val="right"/>
              <w:rPr>
                <w:rFonts w:ascii="Arial" w:hAnsi="Arial" w:cs="Arial"/>
                <w:color w:val="000000"/>
              </w:rPr>
            </w:pPr>
            <w:r>
              <w:rPr>
                <w:rFonts w:ascii="Arial" w:hAnsi="Arial" w:cs="Arial"/>
                <w:color w:val="000000"/>
              </w:rPr>
              <w:t>7,</w:t>
            </w:r>
            <w:r w:rsidR="000D4FA5">
              <w:rPr>
                <w:rFonts w:ascii="Arial" w:hAnsi="Arial" w:cs="Arial"/>
                <w:color w:val="000000"/>
              </w:rPr>
              <w:t>1</w:t>
            </w:r>
            <w:r w:rsidR="00E160F5">
              <w:rPr>
                <w:rFonts w:ascii="Arial" w:hAnsi="Arial" w:cs="Arial"/>
                <w:color w:val="000000"/>
              </w:rPr>
              <w:t>38</w:t>
            </w:r>
          </w:p>
        </w:tc>
      </w:tr>
      <w:tr w:rsidR="00082C74" w:rsidRPr="00D8288C" w14:paraId="2EB573C6" w14:textId="77777777" w:rsidTr="003F3761">
        <w:trPr>
          <w:trHeight w:val="270"/>
          <w:jc w:val="center"/>
        </w:trPr>
        <w:tc>
          <w:tcPr>
            <w:tcW w:w="1350" w:type="dxa"/>
            <w:tcBorders>
              <w:top w:val="nil"/>
              <w:left w:val="single" w:sz="8" w:space="0" w:color="auto"/>
              <w:bottom w:val="nil"/>
              <w:right w:val="single" w:sz="8" w:space="0" w:color="auto"/>
            </w:tcBorders>
            <w:vAlign w:val="center"/>
            <w:hideMark/>
          </w:tcPr>
          <w:p w14:paraId="47666977" w14:textId="73861FF0" w:rsidR="00082C74" w:rsidRPr="00D8288C" w:rsidRDefault="00082C74" w:rsidP="00082C74">
            <w:pPr>
              <w:jc w:val="right"/>
              <w:rPr>
                <w:rFonts w:ascii="Arial" w:hAnsi="Arial" w:cs="Arial"/>
                <w:color w:val="000000"/>
              </w:rPr>
            </w:pPr>
          </w:p>
        </w:tc>
        <w:tc>
          <w:tcPr>
            <w:tcW w:w="6950" w:type="dxa"/>
            <w:tcBorders>
              <w:top w:val="nil"/>
              <w:left w:val="nil"/>
              <w:bottom w:val="nil"/>
              <w:right w:val="nil"/>
            </w:tcBorders>
            <w:shd w:val="clear" w:color="000000" w:fill="D9D9D9"/>
            <w:vAlign w:val="center"/>
            <w:hideMark/>
          </w:tcPr>
          <w:p w14:paraId="3EE8D38C" w14:textId="77777777" w:rsidR="00082C74" w:rsidRPr="00D8288C" w:rsidRDefault="00082C74" w:rsidP="00082C74">
            <w:pPr>
              <w:jc w:val="right"/>
            </w:pPr>
          </w:p>
        </w:tc>
        <w:tc>
          <w:tcPr>
            <w:tcW w:w="1056" w:type="dxa"/>
            <w:tcBorders>
              <w:top w:val="nil"/>
              <w:left w:val="nil"/>
              <w:bottom w:val="nil"/>
              <w:right w:val="single" w:sz="8" w:space="0" w:color="auto"/>
            </w:tcBorders>
            <w:shd w:val="clear" w:color="000000" w:fill="D9D9D9"/>
            <w:vAlign w:val="center"/>
            <w:hideMark/>
          </w:tcPr>
          <w:p w14:paraId="0508691F" w14:textId="5A5E5C23" w:rsidR="00082C74" w:rsidRPr="00D8288C" w:rsidRDefault="00082C74" w:rsidP="00082C74">
            <w:pPr>
              <w:jc w:val="right"/>
            </w:pPr>
            <w:r>
              <w:rPr>
                <w:rFonts w:ascii="Arial" w:hAnsi="Arial" w:cs="Arial"/>
                <w:color w:val="000000"/>
              </w:rPr>
              <w:t> </w:t>
            </w:r>
          </w:p>
        </w:tc>
      </w:tr>
      <w:tr w:rsidR="00082C74" w:rsidRPr="00D8288C" w14:paraId="24A733ED" w14:textId="77777777" w:rsidTr="003F3761">
        <w:trPr>
          <w:trHeight w:val="600"/>
          <w:jc w:val="center"/>
        </w:trPr>
        <w:tc>
          <w:tcPr>
            <w:tcW w:w="1350" w:type="dxa"/>
            <w:tcBorders>
              <w:top w:val="nil"/>
              <w:left w:val="single" w:sz="8" w:space="0" w:color="auto"/>
              <w:bottom w:val="nil"/>
              <w:right w:val="single" w:sz="8" w:space="0" w:color="auto"/>
            </w:tcBorders>
            <w:vAlign w:val="center"/>
            <w:hideMark/>
          </w:tcPr>
          <w:p w14:paraId="02273E89" w14:textId="3C245B6F" w:rsidR="00082C74" w:rsidRPr="00D8288C" w:rsidRDefault="009A435F" w:rsidP="00082C74">
            <w:pPr>
              <w:jc w:val="right"/>
              <w:rPr>
                <w:rFonts w:ascii="Arial" w:hAnsi="Arial" w:cs="Arial"/>
                <w:color w:val="000000"/>
              </w:rPr>
            </w:pPr>
            <w:r>
              <w:rPr>
                <w:rFonts w:ascii="Arial" w:hAnsi="Arial" w:cs="Arial"/>
                <w:color w:val="000000"/>
              </w:rPr>
              <w:t>10,790</w:t>
            </w:r>
          </w:p>
        </w:tc>
        <w:tc>
          <w:tcPr>
            <w:tcW w:w="6950" w:type="dxa"/>
            <w:tcBorders>
              <w:top w:val="nil"/>
              <w:left w:val="nil"/>
              <w:bottom w:val="nil"/>
              <w:right w:val="nil"/>
            </w:tcBorders>
            <w:shd w:val="clear" w:color="000000" w:fill="D9D9D9"/>
            <w:vAlign w:val="center"/>
            <w:hideMark/>
          </w:tcPr>
          <w:p w14:paraId="3696CBD0" w14:textId="067593D9" w:rsidR="00082C74" w:rsidRPr="00D8288C" w:rsidRDefault="00082C74" w:rsidP="00082C74">
            <w:pPr>
              <w:rPr>
                <w:rFonts w:ascii="Arial" w:hAnsi="Arial" w:cs="Arial"/>
                <w:color w:val="000000"/>
              </w:rPr>
            </w:pPr>
            <w:r w:rsidRPr="00D8288C">
              <w:rPr>
                <w:rFonts w:ascii="Arial" w:hAnsi="Arial" w:cs="Arial"/>
                <w:color w:val="000000"/>
              </w:rPr>
              <w:t>Adjustments to net deficit on the provision of services for non-cash movements (Note 2</w:t>
            </w:r>
            <w:r w:rsidR="001B5D0B">
              <w:rPr>
                <w:rFonts w:ascii="Arial" w:hAnsi="Arial" w:cs="Arial"/>
                <w:color w:val="000000"/>
              </w:rPr>
              <w:t>5</w:t>
            </w:r>
            <w:r w:rsidRPr="00D8288C">
              <w:rPr>
                <w:rFonts w:ascii="Arial" w:hAnsi="Arial" w:cs="Arial"/>
                <w:color w:val="000000"/>
              </w:rPr>
              <w:t>)</w:t>
            </w:r>
          </w:p>
        </w:tc>
        <w:tc>
          <w:tcPr>
            <w:tcW w:w="1056" w:type="dxa"/>
            <w:tcBorders>
              <w:top w:val="nil"/>
              <w:left w:val="nil"/>
              <w:bottom w:val="nil"/>
              <w:right w:val="single" w:sz="8" w:space="0" w:color="auto"/>
            </w:tcBorders>
            <w:shd w:val="clear" w:color="000000" w:fill="D9D9D9"/>
            <w:vAlign w:val="center"/>
            <w:hideMark/>
          </w:tcPr>
          <w:p w14:paraId="5215AD53" w14:textId="029ADCA8" w:rsidR="00082C74" w:rsidRPr="00D8288C" w:rsidRDefault="00082C74" w:rsidP="00082C74">
            <w:pPr>
              <w:jc w:val="right"/>
              <w:rPr>
                <w:rFonts w:ascii="Arial" w:hAnsi="Arial" w:cs="Arial"/>
                <w:color w:val="000000"/>
              </w:rPr>
            </w:pPr>
            <w:r>
              <w:rPr>
                <w:rFonts w:ascii="Arial" w:hAnsi="Arial" w:cs="Arial"/>
                <w:color w:val="000000"/>
              </w:rPr>
              <w:t>(3</w:t>
            </w:r>
            <w:r w:rsidR="00C54C17">
              <w:rPr>
                <w:rFonts w:ascii="Arial" w:hAnsi="Arial" w:cs="Arial"/>
                <w:color w:val="000000"/>
              </w:rPr>
              <w:t>7</w:t>
            </w:r>
            <w:r>
              <w:rPr>
                <w:rFonts w:ascii="Arial" w:hAnsi="Arial" w:cs="Arial"/>
                <w:color w:val="000000"/>
              </w:rPr>
              <w:t>,</w:t>
            </w:r>
            <w:r w:rsidR="00C54C17">
              <w:rPr>
                <w:rFonts w:ascii="Arial" w:hAnsi="Arial" w:cs="Arial"/>
                <w:color w:val="000000"/>
              </w:rPr>
              <w:t>023</w:t>
            </w:r>
            <w:r>
              <w:rPr>
                <w:rFonts w:ascii="Arial" w:hAnsi="Arial" w:cs="Arial"/>
                <w:color w:val="000000"/>
              </w:rPr>
              <w:t>)</w:t>
            </w:r>
          </w:p>
        </w:tc>
      </w:tr>
      <w:tr w:rsidR="00082C74" w:rsidRPr="00D8288C" w14:paraId="549A339B" w14:textId="77777777" w:rsidTr="003F3761">
        <w:trPr>
          <w:trHeight w:val="285"/>
          <w:jc w:val="center"/>
        </w:trPr>
        <w:tc>
          <w:tcPr>
            <w:tcW w:w="1350" w:type="dxa"/>
            <w:tcBorders>
              <w:top w:val="nil"/>
              <w:left w:val="single" w:sz="8" w:space="0" w:color="auto"/>
              <w:bottom w:val="nil"/>
              <w:right w:val="single" w:sz="8" w:space="0" w:color="auto"/>
            </w:tcBorders>
            <w:vAlign w:val="center"/>
            <w:hideMark/>
          </w:tcPr>
          <w:p w14:paraId="3D7FDEB8" w14:textId="5AAE9BA6" w:rsidR="00082C74" w:rsidRPr="00D8288C" w:rsidRDefault="00082C74" w:rsidP="00082C74">
            <w:pPr>
              <w:jc w:val="right"/>
              <w:rPr>
                <w:rFonts w:ascii="Arial" w:hAnsi="Arial" w:cs="Arial"/>
                <w:color w:val="000000"/>
              </w:rPr>
            </w:pPr>
          </w:p>
        </w:tc>
        <w:tc>
          <w:tcPr>
            <w:tcW w:w="6950" w:type="dxa"/>
            <w:tcBorders>
              <w:top w:val="nil"/>
              <w:left w:val="nil"/>
              <w:bottom w:val="nil"/>
              <w:right w:val="nil"/>
            </w:tcBorders>
            <w:shd w:val="clear" w:color="000000" w:fill="D9D9D9"/>
            <w:vAlign w:val="center"/>
            <w:hideMark/>
          </w:tcPr>
          <w:p w14:paraId="6D900797" w14:textId="77777777" w:rsidR="00082C74" w:rsidRPr="00D8288C" w:rsidRDefault="00082C74" w:rsidP="00082C74">
            <w:pPr>
              <w:jc w:val="right"/>
            </w:pPr>
          </w:p>
        </w:tc>
        <w:tc>
          <w:tcPr>
            <w:tcW w:w="1056" w:type="dxa"/>
            <w:tcBorders>
              <w:top w:val="nil"/>
              <w:left w:val="nil"/>
              <w:bottom w:val="nil"/>
              <w:right w:val="single" w:sz="8" w:space="0" w:color="auto"/>
            </w:tcBorders>
            <w:shd w:val="clear" w:color="000000" w:fill="D9D9D9"/>
            <w:vAlign w:val="center"/>
            <w:hideMark/>
          </w:tcPr>
          <w:p w14:paraId="49802863" w14:textId="0D408909" w:rsidR="00082C74" w:rsidRPr="00D8288C" w:rsidRDefault="00082C74" w:rsidP="00082C74">
            <w:pPr>
              <w:jc w:val="right"/>
            </w:pPr>
            <w:r>
              <w:rPr>
                <w:rFonts w:ascii="Arial" w:hAnsi="Arial" w:cs="Arial"/>
                <w:color w:val="000000"/>
              </w:rPr>
              <w:t> </w:t>
            </w:r>
          </w:p>
        </w:tc>
      </w:tr>
      <w:tr w:rsidR="00082C74" w:rsidRPr="00D8288C" w14:paraId="7C40A336" w14:textId="77777777" w:rsidTr="003F3761">
        <w:trPr>
          <w:trHeight w:val="525"/>
          <w:jc w:val="center"/>
        </w:trPr>
        <w:tc>
          <w:tcPr>
            <w:tcW w:w="1350" w:type="dxa"/>
            <w:tcBorders>
              <w:top w:val="nil"/>
              <w:left w:val="single" w:sz="8" w:space="0" w:color="auto"/>
              <w:bottom w:val="single" w:sz="8" w:space="0" w:color="auto"/>
              <w:right w:val="single" w:sz="8" w:space="0" w:color="auto"/>
            </w:tcBorders>
            <w:vAlign w:val="center"/>
            <w:hideMark/>
          </w:tcPr>
          <w:p w14:paraId="3ABAB2C0" w14:textId="5384AF9E" w:rsidR="00082C74" w:rsidRPr="00D8288C" w:rsidRDefault="00082C74" w:rsidP="00082C74">
            <w:pPr>
              <w:jc w:val="right"/>
              <w:rPr>
                <w:rFonts w:ascii="Arial" w:hAnsi="Arial" w:cs="Arial"/>
                <w:color w:val="000000"/>
              </w:rPr>
            </w:pPr>
            <w:r w:rsidRPr="00D8288C">
              <w:rPr>
                <w:rFonts w:ascii="Arial" w:hAnsi="Arial" w:cs="Arial"/>
                <w:color w:val="000000"/>
              </w:rPr>
              <w:t>205</w:t>
            </w:r>
          </w:p>
        </w:tc>
        <w:tc>
          <w:tcPr>
            <w:tcW w:w="6950" w:type="dxa"/>
            <w:tcBorders>
              <w:top w:val="nil"/>
              <w:left w:val="nil"/>
              <w:bottom w:val="nil"/>
              <w:right w:val="nil"/>
            </w:tcBorders>
            <w:shd w:val="clear" w:color="000000" w:fill="D9D9D9"/>
            <w:vAlign w:val="center"/>
            <w:hideMark/>
          </w:tcPr>
          <w:p w14:paraId="276849BE" w14:textId="3DB04B3E" w:rsidR="00082C74" w:rsidRPr="00D8288C" w:rsidRDefault="00082C74" w:rsidP="00082C74">
            <w:pPr>
              <w:rPr>
                <w:rFonts w:ascii="Arial" w:hAnsi="Arial" w:cs="Arial"/>
                <w:color w:val="000000"/>
              </w:rPr>
            </w:pPr>
            <w:r w:rsidRPr="00D8288C">
              <w:rPr>
                <w:rFonts w:ascii="Arial" w:hAnsi="Arial" w:cs="Arial"/>
                <w:color w:val="000000"/>
              </w:rPr>
              <w:t>Adjustments for items included in the net (surplus)/deficit on the provision of services that are investing &amp; financing activities (Note 2</w:t>
            </w:r>
            <w:r w:rsidR="001B5D0B">
              <w:rPr>
                <w:rFonts w:ascii="Arial" w:hAnsi="Arial" w:cs="Arial"/>
                <w:color w:val="000000"/>
              </w:rPr>
              <w:t>6</w:t>
            </w:r>
            <w:r w:rsidRPr="00D8288C">
              <w:rPr>
                <w:rFonts w:ascii="Arial" w:hAnsi="Arial" w:cs="Arial"/>
                <w:color w:val="000000"/>
              </w:rPr>
              <w:t>)</w:t>
            </w:r>
          </w:p>
        </w:tc>
        <w:tc>
          <w:tcPr>
            <w:tcW w:w="1056" w:type="dxa"/>
            <w:tcBorders>
              <w:top w:val="nil"/>
              <w:left w:val="nil"/>
              <w:bottom w:val="single" w:sz="8" w:space="0" w:color="auto"/>
              <w:right w:val="single" w:sz="8" w:space="0" w:color="auto"/>
            </w:tcBorders>
            <w:shd w:val="clear" w:color="000000" w:fill="D9D9D9"/>
            <w:vAlign w:val="center"/>
            <w:hideMark/>
          </w:tcPr>
          <w:p w14:paraId="66E1B744" w14:textId="499175E9" w:rsidR="00082C74" w:rsidRPr="00D8288C" w:rsidRDefault="00082C74" w:rsidP="00082C74">
            <w:pPr>
              <w:jc w:val="right"/>
              <w:rPr>
                <w:rFonts w:ascii="Arial" w:hAnsi="Arial" w:cs="Arial"/>
                <w:color w:val="000000"/>
              </w:rPr>
            </w:pPr>
            <w:r>
              <w:rPr>
                <w:rFonts w:ascii="Arial" w:hAnsi="Arial" w:cs="Arial"/>
                <w:color w:val="000000"/>
              </w:rPr>
              <w:t>294</w:t>
            </w:r>
          </w:p>
        </w:tc>
      </w:tr>
      <w:tr w:rsidR="00082C74" w:rsidRPr="00D8288C" w14:paraId="22F63C3C" w14:textId="77777777" w:rsidTr="003F3761">
        <w:trPr>
          <w:trHeight w:val="300"/>
          <w:jc w:val="center"/>
        </w:trPr>
        <w:tc>
          <w:tcPr>
            <w:tcW w:w="1350" w:type="dxa"/>
            <w:tcBorders>
              <w:top w:val="nil"/>
              <w:left w:val="single" w:sz="8" w:space="0" w:color="auto"/>
              <w:bottom w:val="nil"/>
              <w:right w:val="single" w:sz="8" w:space="0" w:color="auto"/>
            </w:tcBorders>
            <w:vAlign w:val="center"/>
            <w:hideMark/>
          </w:tcPr>
          <w:p w14:paraId="56C243F4" w14:textId="1C66FA2B" w:rsidR="00082C74" w:rsidRPr="00D8288C" w:rsidRDefault="00082C74" w:rsidP="00082C74">
            <w:pPr>
              <w:jc w:val="right"/>
              <w:rPr>
                <w:rFonts w:ascii="Arial" w:hAnsi="Arial" w:cs="Arial"/>
                <w:b/>
                <w:bCs/>
                <w:color w:val="000000"/>
              </w:rPr>
            </w:pPr>
            <w:r w:rsidRPr="00D8288C">
              <w:rPr>
                <w:rFonts w:ascii="Arial" w:hAnsi="Arial" w:cs="Arial"/>
                <w:b/>
                <w:bCs/>
                <w:color w:val="000000"/>
              </w:rPr>
              <w:t>1</w:t>
            </w:r>
            <w:r w:rsidR="00A22E27">
              <w:rPr>
                <w:rFonts w:ascii="Arial" w:hAnsi="Arial" w:cs="Arial"/>
                <w:b/>
                <w:bCs/>
                <w:color w:val="000000"/>
              </w:rPr>
              <w:t>8</w:t>
            </w:r>
            <w:r w:rsidRPr="00D8288C">
              <w:rPr>
                <w:rFonts w:ascii="Arial" w:hAnsi="Arial" w:cs="Arial"/>
                <w:b/>
                <w:bCs/>
                <w:color w:val="000000"/>
              </w:rPr>
              <w:t>,</w:t>
            </w:r>
            <w:r>
              <w:rPr>
                <w:rFonts w:ascii="Arial" w:hAnsi="Arial" w:cs="Arial"/>
                <w:b/>
                <w:bCs/>
                <w:color w:val="000000"/>
              </w:rPr>
              <w:t>3</w:t>
            </w:r>
            <w:r w:rsidR="00A22E27">
              <w:rPr>
                <w:rFonts w:ascii="Arial" w:hAnsi="Arial" w:cs="Arial"/>
                <w:b/>
                <w:bCs/>
                <w:color w:val="000000"/>
              </w:rPr>
              <w:t>7</w:t>
            </w:r>
            <w:r>
              <w:rPr>
                <w:rFonts w:ascii="Arial" w:hAnsi="Arial" w:cs="Arial"/>
                <w:b/>
                <w:bCs/>
                <w:color w:val="000000"/>
              </w:rPr>
              <w:t>4</w:t>
            </w:r>
          </w:p>
        </w:tc>
        <w:tc>
          <w:tcPr>
            <w:tcW w:w="6950" w:type="dxa"/>
            <w:tcBorders>
              <w:top w:val="nil"/>
              <w:left w:val="nil"/>
              <w:bottom w:val="nil"/>
              <w:right w:val="nil"/>
            </w:tcBorders>
            <w:shd w:val="clear" w:color="000000" w:fill="D9D9D9"/>
            <w:vAlign w:val="center"/>
            <w:hideMark/>
          </w:tcPr>
          <w:p w14:paraId="75B5D2DC" w14:textId="77777777" w:rsidR="00082C74" w:rsidRPr="00D8288C" w:rsidRDefault="00082C74" w:rsidP="00082C74">
            <w:pPr>
              <w:rPr>
                <w:rFonts w:ascii="Arial" w:hAnsi="Arial" w:cs="Arial"/>
                <w:b/>
                <w:bCs/>
                <w:color w:val="000000"/>
              </w:rPr>
            </w:pPr>
            <w:r w:rsidRPr="00D8288C">
              <w:rPr>
                <w:rFonts w:ascii="Arial" w:hAnsi="Arial" w:cs="Arial"/>
                <w:b/>
                <w:bCs/>
                <w:color w:val="000000"/>
              </w:rPr>
              <w:t xml:space="preserve">Net cash flows from Operating Activities </w:t>
            </w:r>
          </w:p>
        </w:tc>
        <w:tc>
          <w:tcPr>
            <w:tcW w:w="1056" w:type="dxa"/>
            <w:tcBorders>
              <w:top w:val="nil"/>
              <w:left w:val="nil"/>
              <w:bottom w:val="nil"/>
              <w:right w:val="single" w:sz="8" w:space="0" w:color="auto"/>
            </w:tcBorders>
            <w:shd w:val="clear" w:color="000000" w:fill="D9D9D9"/>
            <w:vAlign w:val="center"/>
            <w:hideMark/>
          </w:tcPr>
          <w:p w14:paraId="5B673F5A" w14:textId="26A35AFD" w:rsidR="00082C74" w:rsidRPr="00D8288C" w:rsidRDefault="00082C74" w:rsidP="00082C74">
            <w:pPr>
              <w:jc w:val="right"/>
              <w:rPr>
                <w:rFonts w:ascii="Arial" w:hAnsi="Arial" w:cs="Arial"/>
                <w:b/>
                <w:bCs/>
                <w:color w:val="000000"/>
              </w:rPr>
            </w:pPr>
            <w:r>
              <w:rPr>
                <w:rFonts w:ascii="Arial" w:hAnsi="Arial" w:cs="Arial"/>
                <w:b/>
                <w:bCs/>
                <w:color w:val="000000"/>
              </w:rPr>
              <w:t>(2</w:t>
            </w:r>
            <w:r w:rsidR="00C54C17">
              <w:rPr>
                <w:rFonts w:ascii="Arial" w:hAnsi="Arial" w:cs="Arial"/>
                <w:b/>
                <w:bCs/>
                <w:color w:val="000000"/>
              </w:rPr>
              <w:t>9</w:t>
            </w:r>
            <w:r>
              <w:rPr>
                <w:rFonts w:ascii="Arial" w:hAnsi="Arial" w:cs="Arial"/>
                <w:b/>
                <w:bCs/>
                <w:color w:val="000000"/>
              </w:rPr>
              <w:t>,</w:t>
            </w:r>
            <w:r w:rsidR="00C54C17">
              <w:rPr>
                <w:rFonts w:ascii="Arial" w:hAnsi="Arial" w:cs="Arial"/>
                <w:b/>
                <w:bCs/>
                <w:color w:val="000000"/>
              </w:rPr>
              <w:t>591</w:t>
            </w:r>
            <w:r>
              <w:rPr>
                <w:rFonts w:ascii="Arial" w:hAnsi="Arial" w:cs="Arial"/>
                <w:b/>
                <w:bCs/>
                <w:color w:val="000000"/>
              </w:rPr>
              <w:t>)</w:t>
            </w:r>
          </w:p>
        </w:tc>
      </w:tr>
      <w:tr w:rsidR="00082C74" w:rsidRPr="00D8288C" w14:paraId="78BDAFD4" w14:textId="77777777" w:rsidTr="003F3761">
        <w:trPr>
          <w:trHeight w:val="195"/>
          <w:jc w:val="center"/>
        </w:trPr>
        <w:tc>
          <w:tcPr>
            <w:tcW w:w="1350" w:type="dxa"/>
            <w:tcBorders>
              <w:top w:val="nil"/>
              <w:left w:val="single" w:sz="8" w:space="0" w:color="auto"/>
              <w:bottom w:val="nil"/>
              <w:right w:val="single" w:sz="8" w:space="0" w:color="auto"/>
            </w:tcBorders>
            <w:vAlign w:val="center"/>
            <w:hideMark/>
          </w:tcPr>
          <w:p w14:paraId="5B7189C9" w14:textId="70BE608F" w:rsidR="00082C74" w:rsidRPr="00D8288C" w:rsidRDefault="00082C74" w:rsidP="00082C74">
            <w:pPr>
              <w:jc w:val="right"/>
              <w:rPr>
                <w:rFonts w:ascii="Arial" w:hAnsi="Arial" w:cs="Arial"/>
                <w:b/>
                <w:bCs/>
                <w:color w:val="000000"/>
              </w:rPr>
            </w:pPr>
          </w:p>
        </w:tc>
        <w:tc>
          <w:tcPr>
            <w:tcW w:w="6950" w:type="dxa"/>
            <w:tcBorders>
              <w:top w:val="nil"/>
              <w:left w:val="nil"/>
              <w:bottom w:val="nil"/>
              <w:right w:val="nil"/>
            </w:tcBorders>
            <w:shd w:val="clear" w:color="000000" w:fill="D9D9D9"/>
            <w:vAlign w:val="center"/>
            <w:hideMark/>
          </w:tcPr>
          <w:p w14:paraId="2DBFC281" w14:textId="77777777" w:rsidR="00082C74" w:rsidRPr="00D8288C" w:rsidRDefault="00082C74" w:rsidP="00082C74">
            <w:pPr>
              <w:jc w:val="right"/>
            </w:pPr>
          </w:p>
        </w:tc>
        <w:tc>
          <w:tcPr>
            <w:tcW w:w="1056" w:type="dxa"/>
            <w:tcBorders>
              <w:top w:val="nil"/>
              <w:left w:val="nil"/>
              <w:bottom w:val="nil"/>
              <w:right w:val="single" w:sz="8" w:space="0" w:color="auto"/>
            </w:tcBorders>
            <w:shd w:val="clear" w:color="000000" w:fill="D9D9D9"/>
            <w:vAlign w:val="center"/>
            <w:hideMark/>
          </w:tcPr>
          <w:p w14:paraId="3095AA94" w14:textId="1483CEC6" w:rsidR="00082C74" w:rsidRPr="00D8288C" w:rsidRDefault="00082C74" w:rsidP="00082C74">
            <w:pPr>
              <w:jc w:val="right"/>
            </w:pPr>
            <w:r>
              <w:rPr>
                <w:rFonts w:ascii="Arial" w:hAnsi="Arial" w:cs="Arial"/>
                <w:color w:val="000000"/>
              </w:rPr>
              <w:t> </w:t>
            </w:r>
          </w:p>
        </w:tc>
      </w:tr>
      <w:tr w:rsidR="00082C74" w:rsidRPr="00D8288C" w14:paraId="0CAEB017" w14:textId="77777777" w:rsidTr="003F3761">
        <w:trPr>
          <w:trHeight w:val="300"/>
          <w:jc w:val="center"/>
        </w:trPr>
        <w:tc>
          <w:tcPr>
            <w:tcW w:w="1350" w:type="dxa"/>
            <w:tcBorders>
              <w:top w:val="nil"/>
              <w:left w:val="single" w:sz="8" w:space="0" w:color="auto"/>
              <w:bottom w:val="nil"/>
              <w:right w:val="single" w:sz="8" w:space="0" w:color="auto"/>
            </w:tcBorders>
            <w:vAlign w:val="center"/>
            <w:hideMark/>
          </w:tcPr>
          <w:p w14:paraId="200F3D79" w14:textId="445938B4" w:rsidR="00082C74" w:rsidRPr="00D8288C" w:rsidRDefault="00082C74" w:rsidP="00082C74">
            <w:pPr>
              <w:jc w:val="right"/>
              <w:rPr>
                <w:rFonts w:ascii="Arial" w:hAnsi="Arial" w:cs="Arial"/>
                <w:color w:val="000000"/>
              </w:rPr>
            </w:pPr>
            <w:r w:rsidRPr="00D8288C">
              <w:rPr>
                <w:rFonts w:ascii="Arial" w:hAnsi="Arial" w:cs="Arial"/>
                <w:color w:val="000000"/>
              </w:rPr>
              <w:t>1</w:t>
            </w:r>
            <w:r>
              <w:rPr>
                <w:rFonts w:ascii="Arial" w:hAnsi="Arial" w:cs="Arial"/>
                <w:color w:val="000000"/>
              </w:rPr>
              <w:t>9</w:t>
            </w:r>
            <w:r w:rsidRPr="00D8288C">
              <w:rPr>
                <w:rFonts w:ascii="Arial" w:hAnsi="Arial" w:cs="Arial"/>
                <w:color w:val="000000"/>
              </w:rPr>
              <w:t>,</w:t>
            </w:r>
            <w:r>
              <w:rPr>
                <w:rFonts w:ascii="Arial" w:hAnsi="Arial" w:cs="Arial"/>
                <w:color w:val="000000"/>
              </w:rPr>
              <w:t>664</w:t>
            </w:r>
          </w:p>
        </w:tc>
        <w:tc>
          <w:tcPr>
            <w:tcW w:w="6950" w:type="dxa"/>
            <w:tcBorders>
              <w:top w:val="nil"/>
              <w:left w:val="nil"/>
              <w:bottom w:val="nil"/>
              <w:right w:val="nil"/>
            </w:tcBorders>
            <w:shd w:val="clear" w:color="000000" w:fill="D9D9D9"/>
            <w:vAlign w:val="center"/>
            <w:hideMark/>
          </w:tcPr>
          <w:p w14:paraId="03B5FC57" w14:textId="46986059" w:rsidR="00082C74" w:rsidRPr="00D8288C" w:rsidRDefault="00082C74" w:rsidP="00082C74">
            <w:pPr>
              <w:rPr>
                <w:rFonts w:ascii="Arial" w:hAnsi="Arial" w:cs="Arial"/>
                <w:color w:val="000000"/>
              </w:rPr>
            </w:pPr>
            <w:r w:rsidRPr="00D8288C">
              <w:rPr>
                <w:rFonts w:ascii="Arial" w:hAnsi="Arial" w:cs="Arial"/>
                <w:color w:val="000000"/>
              </w:rPr>
              <w:t>Investing activities (Note 2</w:t>
            </w:r>
            <w:r w:rsidR="001B5D0B">
              <w:rPr>
                <w:rFonts w:ascii="Arial" w:hAnsi="Arial" w:cs="Arial"/>
                <w:color w:val="000000"/>
              </w:rPr>
              <w:t>7</w:t>
            </w:r>
            <w:r w:rsidRPr="00D8288C">
              <w:rPr>
                <w:rFonts w:ascii="Arial" w:hAnsi="Arial" w:cs="Arial"/>
                <w:color w:val="000000"/>
              </w:rPr>
              <w:t>)</w:t>
            </w:r>
          </w:p>
        </w:tc>
        <w:tc>
          <w:tcPr>
            <w:tcW w:w="1056" w:type="dxa"/>
            <w:tcBorders>
              <w:top w:val="nil"/>
              <w:left w:val="nil"/>
              <w:bottom w:val="nil"/>
              <w:right w:val="single" w:sz="8" w:space="0" w:color="auto"/>
            </w:tcBorders>
            <w:shd w:val="clear" w:color="000000" w:fill="D9D9D9"/>
            <w:vAlign w:val="center"/>
            <w:hideMark/>
          </w:tcPr>
          <w:p w14:paraId="779E3D9D" w14:textId="5F16D4FF" w:rsidR="00082C74" w:rsidRPr="00D8288C" w:rsidRDefault="00082C74" w:rsidP="00082C74">
            <w:pPr>
              <w:jc w:val="right"/>
              <w:rPr>
                <w:rFonts w:ascii="Arial" w:hAnsi="Arial" w:cs="Arial"/>
                <w:color w:val="000000"/>
              </w:rPr>
            </w:pPr>
            <w:r>
              <w:rPr>
                <w:rFonts w:ascii="Arial" w:hAnsi="Arial" w:cs="Arial"/>
                <w:color w:val="000000"/>
              </w:rPr>
              <w:t>30,563</w:t>
            </w:r>
          </w:p>
        </w:tc>
      </w:tr>
      <w:tr w:rsidR="00082C74" w:rsidRPr="00D8288C" w14:paraId="18055CF7" w14:textId="77777777" w:rsidTr="003F3761">
        <w:trPr>
          <w:trHeight w:val="300"/>
          <w:jc w:val="center"/>
        </w:trPr>
        <w:tc>
          <w:tcPr>
            <w:tcW w:w="1350" w:type="dxa"/>
            <w:tcBorders>
              <w:top w:val="nil"/>
              <w:left w:val="single" w:sz="8" w:space="0" w:color="auto"/>
              <w:bottom w:val="single" w:sz="8" w:space="0" w:color="auto"/>
              <w:right w:val="single" w:sz="8" w:space="0" w:color="auto"/>
            </w:tcBorders>
            <w:vAlign w:val="center"/>
            <w:hideMark/>
          </w:tcPr>
          <w:p w14:paraId="24A6262B" w14:textId="2FC344F2" w:rsidR="00082C74" w:rsidRPr="00D8288C" w:rsidRDefault="00082C74" w:rsidP="00082C74">
            <w:pPr>
              <w:jc w:val="right"/>
              <w:rPr>
                <w:rFonts w:ascii="Arial" w:hAnsi="Arial" w:cs="Arial"/>
                <w:color w:val="000000"/>
              </w:rPr>
            </w:pPr>
            <w:r w:rsidRPr="00D8288C">
              <w:rPr>
                <w:rFonts w:ascii="Arial" w:hAnsi="Arial" w:cs="Arial"/>
                <w:color w:val="000000"/>
              </w:rPr>
              <w:t>1,218</w:t>
            </w:r>
          </w:p>
        </w:tc>
        <w:tc>
          <w:tcPr>
            <w:tcW w:w="6950" w:type="dxa"/>
            <w:tcBorders>
              <w:top w:val="nil"/>
              <w:left w:val="nil"/>
              <w:bottom w:val="nil"/>
              <w:right w:val="nil"/>
            </w:tcBorders>
            <w:shd w:val="clear" w:color="000000" w:fill="D9D9D9"/>
            <w:vAlign w:val="center"/>
            <w:hideMark/>
          </w:tcPr>
          <w:p w14:paraId="151301DC" w14:textId="6096B80C" w:rsidR="00082C74" w:rsidRPr="00D8288C" w:rsidRDefault="00082C74" w:rsidP="00082C74">
            <w:pPr>
              <w:rPr>
                <w:rFonts w:ascii="Arial" w:hAnsi="Arial" w:cs="Arial"/>
                <w:color w:val="000000"/>
              </w:rPr>
            </w:pPr>
            <w:r w:rsidRPr="00D8288C">
              <w:rPr>
                <w:rFonts w:ascii="Arial" w:hAnsi="Arial" w:cs="Arial"/>
                <w:color w:val="000000"/>
              </w:rPr>
              <w:t>Financing activities (Note 2</w:t>
            </w:r>
            <w:r w:rsidR="001B5D0B">
              <w:rPr>
                <w:rFonts w:ascii="Arial" w:hAnsi="Arial" w:cs="Arial"/>
                <w:color w:val="000000"/>
              </w:rPr>
              <w:t>8</w:t>
            </w:r>
            <w:r w:rsidRPr="00D8288C">
              <w:rPr>
                <w:rFonts w:ascii="Arial" w:hAnsi="Arial" w:cs="Arial"/>
                <w:color w:val="000000"/>
              </w:rPr>
              <w:t>)</w:t>
            </w:r>
          </w:p>
        </w:tc>
        <w:tc>
          <w:tcPr>
            <w:tcW w:w="1056" w:type="dxa"/>
            <w:tcBorders>
              <w:top w:val="nil"/>
              <w:left w:val="nil"/>
              <w:bottom w:val="single" w:sz="8" w:space="0" w:color="auto"/>
              <w:right w:val="single" w:sz="8" w:space="0" w:color="auto"/>
            </w:tcBorders>
            <w:shd w:val="clear" w:color="000000" w:fill="D9D9D9"/>
            <w:vAlign w:val="center"/>
            <w:hideMark/>
          </w:tcPr>
          <w:p w14:paraId="153B1E48" w14:textId="54DCC88B" w:rsidR="00082C74" w:rsidRPr="00D8288C" w:rsidRDefault="00082C74" w:rsidP="00082C74">
            <w:pPr>
              <w:jc w:val="right"/>
              <w:rPr>
                <w:rFonts w:ascii="Arial" w:hAnsi="Arial" w:cs="Arial"/>
                <w:color w:val="000000"/>
              </w:rPr>
            </w:pPr>
            <w:r>
              <w:rPr>
                <w:rFonts w:ascii="Arial" w:hAnsi="Arial" w:cs="Arial"/>
                <w:color w:val="000000"/>
              </w:rPr>
              <w:t>(8,</w:t>
            </w:r>
            <w:r w:rsidR="00967825">
              <w:rPr>
                <w:rFonts w:ascii="Arial" w:hAnsi="Arial" w:cs="Arial"/>
                <w:color w:val="000000"/>
              </w:rPr>
              <w:t>251</w:t>
            </w:r>
            <w:r>
              <w:rPr>
                <w:rFonts w:ascii="Arial" w:hAnsi="Arial" w:cs="Arial"/>
                <w:color w:val="000000"/>
              </w:rPr>
              <w:t>)</w:t>
            </w:r>
          </w:p>
        </w:tc>
      </w:tr>
      <w:tr w:rsidR="00082C74" w:rsidRPr="00D8288C" w14:paraId="0F25F41E" w14:textId="77777777" w:rsidTr="003F3761">
        <w:trPr>
          <w:trHeight w:val="300"/>
          <w:jc w:val="center"/>
        </w:trPr>
        <w:tc>
          <w:tcPr>
            <w:tcW w:w="1350" w:type="dxa"/>
            <w:tcBorders>
              <w:top w:val="nil"/>
              <w:left w:val="single" w:sz="8" w:space="0" w:color="auto"/>
              <w:bottom w:val="single" w:sz="12" w:space="0" w:color="auto"/>
              <w:right w:val="single" w:sz="8" w:space="0" w:color="auto"/>
            </w:tcBorders>
            <w:vAlign w:val="center"/>
            <w:hideMark/>
          </w:tcPr>
          <w:p w14:paraId="20CC3B09" w14:textId="49461053" w:rsidR="00082C74" w:rsidRPr="00D8288C" w:rsidRDefault="00082C74" w:rsidP="00082C74">
            <w:pPr>
              <w:jc w:val="right"/>
              <w:rPr>
                <w:rFonts w:ascii="Arial" w:hAnsi="Arial" w:cs="Arial"/>
                <w:b/>
                <w:bCs/>
                <w:color w:val="000000"/>
              </w:rPr>
            </w:pPr>
            <w:r w:rsidRPr="00D8288C">
              <w:rPr>
                <w:rFonts w:ascii="Arial" w:hAnsi="Arial" w:cs="Arial"/>
                <w:b/>
                <w:bCs/>
                <w:color w:val="000000"/>
              </w:rPr>
              <w:t>3</w:t>
            </w:r>
            <w:r w:rsidR="00A22E27">
              <w:rPr>
                <w:rFonts w:ascii="Arial" w:hAnsi="Arial" w:cs="Arial"/>
                <w:b/>
                <w:bCs/>
                <w:color w:val="000000"/>
              </w:rPr>
              <w:t>9,256</w:t>
            </w:r>
          </w:p>
        </w:tc>
        <w:tc>
          <w:tcPr>
            <w:tcW w:w="6950" w:type="dxa"/>
            <w:tcBorders>
              <w:top w:val="nil"/>
              <w:left w:val="nil"/>
              <w:bottom w:val="nil"/>
              <w:right w:val="nil"/>
            </w:tcBorders>
            <w:shd w:val="clear" w:color="000000" w:fill="D9D9D9"/>
            <w:vAlign w:val="center"/>
            <w:hideMark/>
          </w:tcPr>
          <w:p w14:paraId="560190CD" w14:textId="77777777" w:rsidR="00082C74" w:rsidRPr="00D8288C" w:rsidRDefault="00082C74" w:rsidP="00082C74">
            <w:pPr>
              <w:rPr>
                <w:rFonts w:ascii="Arial" w:hAnsi="Arial" w:cs="Arial"/>
                <w:b/>
                <w:bCs/>
                <w:color w:val="000000"/>
              </w:rPr>
            </w:pPr>
            <w:r w:rsidRPr="00D8288C">
              <w:rPr>
                <w:rFonts w:ascii="Arial" w:hAnsi="Arial" w:cs="Arial"/>
                <w:b/>
                <w:bCs/>
                <w:color w:val="000000"/>
              </w:rPr>
              <w:t>Net (Increase)/Decrease in cash &amp; cash equivalents</w:t>
            </w:r>
          </w:p>
        </w:tc>
        <w:tc>
          <w:tcPr>
            <w:tcW w:w="1056" w:type="dxa"/>
            <w:tcBorders>
              <w:top w:val="nil"/>
              <w:left w:val="nil"/>
              <w:bottom w:val="single" w:sz="12" w:space="0" w:color="auto"/>
              <w:right w:val="single" w:sz="8" w:space="0" w:color="auto"/>
            </w:tcBorders>
            <w:shd w:val="clear" w:color="000000" w:fill="D9D9D9"/>
            <w:vAlign w:val="center"/>
            <w:hideMark/>
          </w:tcPr>
          <w:p w14:paraId="151CDBB9" w14:textId="1761D4FA" w:rsidR="00082C74" w:rsidRPr="00D8288C" w:rsidRDefault="00082C74" w:rsidP="00082C74">
            <w:pPr>
              <w:jc w:val="right"/>
              <w:rPr>
                <w:rFonts w:ascii="Arial" w:hAnsi="Arial" w:cs="Arial"/>
                <w:b/>
                <w:bCs/>
                <w:color w:val="000000"/>
              </w:rPr>
            </w:pPr>
            <w:r>
              <w:rPr>
                <w:rFonts w:ascii="Arial" w:hAnsi="Arial" w:cs="Arial"/>
                <w:b/>
                <w:bCs/>
                <w:color w:val="000000"/>
              </w:rPr>
              <w:t>(</w:t>
            </w:r>
            <w:r w:rsidR="00C54C17">
              <w:rPr>
                <w:rFonts w:ascii="Arial" w:hAnsi="Arial" w:cs="Arial"/>
                <w:b/>
                <w:bCs/>
                <w:color w:val="000000"/>
              </w:rPr>
              <w:t>7</w:t>
            </w:r>
            <w:r>
              <w:rPr>
                <w:rFonts w:ascii="Arial" w:hAnsi="Arial" w:cs="Arial"/>
                <w:b/>
                <w:bCs/>
                <w:color w:val="000000"/>
              </w:rPr>
              <w:t>,2</w:t>
            </w:r>
            <w:r w:rsidR="00C54C17">
              <w:rPr>
                <w:rFonts w:ascii="Arial" w:hAnsi="Arial" w:cs="Arial"/>
                <w:b/>
                <w:bCs/>
                <w:color w:val="000000"/>
              </w:rPr>
              <w:t>7</w:t>
            </w:r>
            <w:r>
              <w:rPr>
                <w:rFonts w:ascii="Arial" w:hAnsi="Arial" w:cs="Arial"/>
                <w:b/>
                <w:bCs/>
                <w:color w:val="000000"/>
              </w:rPr>
              <w:t>9)</w:t>
            </w:r>
          </w:p>
        </w:tc>
      </w:tr>
      <w:tr w:rsidR="00082C74" w:rsidRPr="00D8288C" w14:paraId="5E853960" w14:textId="77777777" w:rsidTr="003F3761">
        <w:trPr>
          <w:trHeight w:val="195"/>
          <w:jc w:val="center"/>
        </w:trPr>
        <w:tc>
          <w:tcPr>
            <w:tcW w:w="1350" w:type="dxa"/>
            <w:tcBorders>
              <w:top w:val="nil"/>
              <w:left w:val="single" w:sz="8" w:space="0" w:color="auto"/>
              <w:bottom w:val="nil"/>
              <w:right w:val="single" w:sz="8" w:space="0" w:color="auto"/>
            </w:tcBorders>
            <w:vAlign w:val="center"/>
            <w:hideMark/>
          </w:tcPr>
          <w:p w14:paraId="3E12E74F" w14:textId="7451BBA7" w:rsidR="00082C74" w:rsidRPr="00D8288C" w:rsidRDefault="00082C74" w:rsidP="00082C74">
            <w:pPr>
              <w:jc w:val="right"/>
              <w:rPr>
                <w:rFonts w:ascii="Arial" w:hAnsi="Arial" w:cs="Arial"/>
                <w:b/>
                <w:bCs/>
                <w:color w:val="000000"/>
              </w:rPr>
            </w:pPr>
          </w:p>
        </w:tc>
        <w:tc>
          <w:tcPr>
            <w:tcW w:w="6950" w:type="dxa"/>
            <w:tcBorders>
              <w:top w:val="nil"/>
              <w:left w:val="nil"/>
              <w:bottom w:val="nil"/>
              <w:right w:val="nil"/>
            </w:tcBorders>
            <w:shd w:val="clear" w:color="000000" w:fill="D9D9D9"/>
            <w:vAlign w:val="center"/>
            <w:hideMark/>
          </w:tcPr>
          <w:p w14:paraId="76409551" w14:textId="77777777" w:rsidR="00082C74" w:rsidRPr="00D8288C" w:rsidRDefault="00082C74" w:rsidP="00082C74">
            <w:pPr>
              <w:jc w:val="right"/>
            </w:pPr>
          </w:p>
        </w:tc>
        <w:tc>
          <w:tcPr>
            <w:tcW w:w="1056" w:type="dxa"/>
            <w:tcBorders>
              <w:top w:val="nil"/>
              <w:left w:val="nil"/>
              <w:bottom w:val="nil"/>
              <w:right w:val="single" w:sz="8" w:space="0" w:color="auto"/>
            </w:tcBorders>
            <w:shd w:val="clear" w:color="000000" w:fill="D9D9D9"/>
            <w:vAlign w:val="center"/>
            <w:hideMark/>
          </w:tcPr>
          <w:p w14:paraId="26AD398A" w14:textId="6A07F06B" w:rsidR="00082C74" w:rsidRPr="00D8288C" w:rsidRDefault="00082C74" w:rsidP="00082C74">
            <w:pPr>
              <w:jc w:val="right"/>
            </w:pPr>
            <w:r>
              <w:rPr>
                <w:rFonts w:ascii="Arial" w:hAnsi="Arial" w:cs="Arial"/>
                <w:color w:val="000000"/>
              </w:rPr>
              <w:t> </w:t>
            </w:r>
          </w:p>
        </w:tc>
      </w:tr>
      <w:tr w:rsidR="00082C74" w:rsidRPr="00D8288C" w14:paraId="1C1AE346" w14:textId="77777777" w:rsidTr="003F3761">
        <w:trPr>
          <w:trHeight w:val="300"/>
          <w:jc w:val="center"/>
        </w:trPr>
        <w:tc>
          <w:tcPr>
            <w:tcW w:w="1350" w:type="dxa"/>
            <w:tcBorders>
              <w:top w:val="nil"/>
              <w:left w:val="single" w:sz="8" w:space="0" w:color="auto"/>
              <w:bottom w:val="nil"/>
              <w:right w:val="single" w:sz="8" w:space="0" w:color="auto"/>
            </w:tcBorders>
            <w:vAlign w:val="center"/>
            <w:hideMark/>
          </w:tcPr>
          <w:p w14:paraId="37F6F456" w14:textId="4ACA3874" w:rsidR="00082C74" w:rsidRPr="00D8288C" w:rsidRDefault="00082C74" w:rsidP="00082C74">
            <w:pPr>
              <w:jc w:val="right"/>
              <w:rPr>
                <w:rFonts w:ascii="Arial" w:hAnsi="Arial" w:cs="Arial"/>
                <w:b/>
                <w:bCs/>
                <w:color w:val="000000"/>
              </w:rPr>
            </w:pPr>
            <w:r w:rsidRPr="00D8288C">
              <w:rPr>
                <w:rFonts w:ascii="Arial" w:hAnsi="Arial" w:cs="Arial"/>
                <w:b/>
                <w:bCs/>
                <w:color w:val="000000"/>
              </w:rPr>
              <w:t>43,876</w:t>
            </w:r>
          </w:p>
        </w:tc>
        <w:tc>
          <w:tcPr>
            <w:tcW w:w="6950" w:type="dxa"/>
            <w:tcBorders>
              <w:top w:val="nil"/>
              <w:left w:val="nil"/>
              <w:bottom w:val="nil"/>
              <w:right w:val="nil"/>
            </w:tcBorders>
            <w:shd w:val="clear" w:color="000000" w:fill="D9D9D9"/>
            <w:vAlign w:val="center"/>
            <w:hideMark/>
          </w:tcPr>
          <w:p w14:paraId="180866A1" w14:textId="77777777" w:rsidR="00082C74" w:rsidRPr="00D8288C" w:rsidRDefault="00082C74" w:rsidP="00082C74">
            <w:pPr>
              <w:rPr>
                <w:rFonts w:ascii="Arial" w:hAnsi="Arial" w:cs="Arial"/>
                <w:b/>
                <w:bCs/>
                <w:color w:val="000000"/>
              </w:rPr>
            </w:pPr>
            <w:r w:rsidRPr="00D8288C">
              <w:rPr>
                <w:rFonts w:ascii="Arial" w:hAnsi="Arial" w:cs="Arial"/>
                <w:b/>
                <w:bCs/>
                <w:color w:val="000000"/>
              </w:rPr>
              <w:t>Cash &amp; cash equivalents at beginning of the reporting period</w:t>
            </w:r>
          </w:p>
        </w:tc>
        <w:tc>
          <w:tcPr>
            <w:tcW w:w="1056" w:type="dxa"/>
            <w:tcBorders>
              <w:top w:val="nil"/>
              <w:left w:val="nil"/>
              <w:bottom w:val="nil"/>
              <w:right w:val="single" w:sz="8" w:space="0" w:color="auto"/>
            </w:tcBorders>
            <w:shd w:val="clear" w:color="000000" w:fill="D9D9D9"/>
            <w:vAlign w:val="center"/>
            <w:hideMark/>
          </w:tcPr>
          <w:p w14:paraId="1555EABC" w14:textId="32B82A90" w:rsidR="00082C74" w:rsidRPr="00D8288C" w:rsidRDefault="00C54C17" w:rsidP="00082C74">
            <w:pPr>
              <w:jc w:val="right"/>
              <w:rPr>
                <w:rFonts w:ascii="Arial" w:hAnsi="Arial" w:cs="Arial"/>
                <w:b/>
                <w:bCs/>
                <w:color w:val="000000"/>
              </w:rPr>
            </w:pPr>
            <w:r>
              <w:rPr>
                <w:rFonts w:ascii="Arial" w:hAnsi="Arial" w:cs="Arial"/>
                <w:b/>
                <w:bCs/>
                <w:color w:val="000000"/>
              </w:rPr>
              <w:t>4</w:t>
            </w:r>
            <w:r w:rsidR="005F7DB3">
              <w:rPr>
                <w:rFonts w:ascii="Arial" w:hAnsi="Arial" w:cs="Arial"/>
                <w:b/>
                <w:bCs/>
                <w:color w:val="000000"/>
              </w:rPr>
              <w:t>,</w:t>
            </w:r>
            <w:r>
              <w:rPr>
                <w:rFonts w:ascii="Arial" w:hAnsi="Arial" w:cs="Arial"/>
                <w:b/>
                <w:bCs/>
                <w:color w:val="000000"/>
              </w:rPr>
              <w:t>619</w:t>
            </w:r>
          </w:p>
        </w:tc>
      </w:tr>
      <w:tr w:rsidR="00082C74" w:rsidRPr="00D8288C" w14:paraId="136E1EBB" w14:textId="77777777" w:rsidTr="003F3761">
        <w:trPr>
          <w:trHeight w:val="855"/>
          <w:jc w:val="center"/>
        </w:trPr>
        <w:tc>
          <w:tcPr>
            <w:tcW w:w="1350" w:type="dxa"/>
            <w:tcBorders>
              <w:top w:val="nil"/>
              <w:left w:val="single" w:sz="8" w:space="0" w:color="auto"/>
              <w:bottom w:val="single" w:sz="8" w:space="0" w:color="auto"/>
              <w:right w:val="single" w:sz="8" w:space="0" w:color="auto"/>
            </w:tcBorders>
            <w:vAlign w:val="center"/>
            <w:hideMark/>
          </w:tcPr>
          <w:p w14:paraId="4E8DB804" w14:textId="68F9DC8E" w:rsidR="00082C74" w:rsidRPr="00D8288C" w:rsidRDefault="00A22E27" w:rsidP="00082C74">
            <w:pPr>
              <w:jc w:val="right"/>
              <w:rPr>
                <w:rFonts w:ascii="Arial" w:hAnsi="Arial" w:cs="Arial"/>
                <w:b/>
                <w:bCs/>
                <w:color w:val="000000"/>
              </w:rPr>
            </w:pPr>
            <w:r>
              <w:rPr>
                <w:rFonts w:ascii="Arial" w:hAnsi="Arial" w:cs="Arial"/>
                <w:b/>
                <w:bCs/>
                <w:color w:val="000000"/>
              </w:rPr>
              <w:t>4,619</w:t>
            </w:r>
          </w:p>
        </w:tc>
        <w:tc>
          <w:tcPr>
            <w:tcW w:w="6950" w:type="dxa"/>
            <w:tcBorders>
              <w:top w:val="nil"/>
              <w:left w:val="nil"/>
              <w:bottom w:val="single" w:sz="8" w:space="0" w:color="auto"/>
              <w:right w:val="nil"/>
            </w:tcBorders>
            <w:shd w:val="clear" w:color="000000" w:fill="D9D9D9"/>
            <w:vAlign w:val="center"/>
            <w:hideMark/>
          </w:tcPr>
          <w:p w14:paraId="2DD94526" w14:textId="018F4CD0" w:rsidR="00082C74" w:rsidRPr="00D8288C" w:rsidRDefault="00082C74" w:rsidP="00082C74">
            <w:pPr>
              <w:rPr>
                <w:rFonts w:ascii="Arial" w:hAnsi="Arial" w:cs="Arial"/>
                <w:b/>
                <w:bCs/>
                <w:color w:val="000000"/>
              </w:rPr>
            </w:pPr>
            <w:r w:rsidRPr="00D8288C">
              <w:rPr>
                <w:rFonts w:ascii="Arial" w:hAnsi="Arial" w:cs="Arial"/>
                <w:b/>
                <w:bCs/>
                <w:color w:val="000000"/>
              </w:rPr>
              <w:t>Cash &amp; cash equivalents at the end of the reporting period (Note 2</w:t>
            </w:r>
            <w:r w:rsidR="001B5D0B">
              <w:rPr>
                <w:rFonts w:ascii="Arial" w:hAnsi="Arial" w:cs="Arial"/>
                <w:b/>
                <w:bCs/>
                <w:color w:val="000000"/>
              </w:rPr>
              <w:t>4</w:t>
            </w:r>
            <w:r w:rsidRPr="00D8288C">
              <w:rPr>
                <w:rFonts w:ascii="Arial" w:hAnsi="Arial" w:cs="Arial"/>
                <w:b/>
                <w:bCs/>
                <w:color w:val="000000"/>
              </w:rPr>
              <w:t>)</w:t>
            </w:r>
          </w:p>
        </w:tc>
        <w:tc>
          <w:tcPr>
            <w:tcW w:w="1056" w:type="dxa"/>
            <w:tcBorders>
              <w:top w:val="nil"/>
              <w:left w:val="nil"/>
              <w:bottom w:val="single" w:sz="8" w:space="0" w:color="auto"/>
              <w:right w:val="single" w:sz="8" w:space="0" w:color="auto"/>
            </w:tcBorders>
            <w:shd w:val="clear" w:color="000000" w:fill="D9D9D9"/>
            <w:vAlign w:val="center"/>
            <w:hideMark/>
          </w:tcPr>
          <w:p w14:paraId="033E9887" w14:textId="1B5630F9" w:rsidR="00082C74" w:rsidRPr="00D8288C" w:rsidRDefault="00082C74" w:rsidP="00082C74">
            <w:pPr>
              <w:jc w:val="right"/>
              <w:rPr>
                <w:rFonts w:ascii="Arial" w:hAnsi="Arial" w:cs="Arial"/>
                <w:b/>
                <w:bCs/>
                <w:color w:val="000000"/>
              </w:rPr>
            </w:pPr>
            <w:r>
              <w:rPr>
                <w:rFonts w:ascii="Arial" w:hAnsi="Arial" w:cs="Arial"/>
                <w:b/>
                <w:bCs/>
                <w:color w:val="000000"/>
              </w:rPr>
              <w:t>11,898</w:t>
            </w:r>
          </w:p>
        </w:tc>
      </w:tr>
    </w:tbl>
    <w:p w14:paraId="5A0C9895" w14:textId="38D8768E" w:rsidR="003B74DA" w:rsidRDefault="003B74DA" w:rsidP="00733607">
      <w:pPr>
        <w:rPr>
          <w:rFonts w:ascii="Arial" w:hAnsi="Arial"/>
          <w:b/>
          <w:sz w:val="28"/>
        </w:rPr>
      </w:pPr>
    </w:p>
    <w:p w14:paraId="0CA4A741" w14:textId="77777777" w:rsidR="003B74DA" w:rsidRDefault="003B74DA" w:rsidP="003B74DA">
      <w:pPr>
        <w:rPr>
          <w:rFonts w:ascii="Arial" w:hAnsi="Arial"/>
          <w:b/>
          <w:sz w:val="28"/>
        </w:rPr>
      </w:pPr>
    </w:p>
    <w:p w14:paraId="23B12887" w14:textId="77777777" w:rsidR="003B74DA" w:rsidRDefault="003B74DA" w:rsidP="003B74DA">
      <w:pPr>
        <w:jc w:val="center"/>
        <w:rPr>
          <w:rFonts w:ascii="Arial" w:hAnsi="Arial"/>
          <w:b/>
          <w:sz w:val="28"/>
        </w:rPr>
      </w:pPr>
    </w:p>
    <w:p w14:paraId="5E6C9A8F" w14:textId="77777777" w:rsidR="003B74DA" w:rsidRDefault="003B74DA" w:rsidP="003B74DA">
      <w:pPr>
        <w:jc w:val="center"/>
        <w:rPr>
          <w:rFonts w:ascii="Arial" w:hAnsi="Arial"/>
          <w:b/>
          <w:sz w:val="28"/>
        </w:rPr>
      </w:pPr>
    </w:p>
    <w:p w14:paraId="07723FC9" w14:textId="77777777" w:rsidR="003B74DA" w:rsidRDefault="003B74DA" w:rsidP="003B74DA">
      <w:pPr>
        <w:jc w:val="center"/>
        <w:rPr>
          <w:rFonts w:ascii="Arial" w:hAnsi="Arial"/>
          <w:b/>
          <w:sz w:val="28"/>
        </w:rPr>
      </w:pPr>
    </w:p>
    <w:p w14:paraId="4505C1B5" w14:textId="77777777" w:rsidR="003B74DA" w:rsidRDefault="003B74DA" w:rsidP="003B74DA">
      <w:pPr>
        <w:jc w:val="center"/>
        <w:rPr>
          <w:rFonts w:ascii="Arial" w:hAnsi="Arial"/>
          <w:b/>
          <w:sz w:val="28"/>
        </w:rPr>
      </w:pPr>
    </w:p>
    <w:p w14:paraId="08E525BB" w14:textId="77777777" w:rsidR="003B74DA" w:rsidRDefault="003B74DA" w:rsidP="003B74DA">
      <w:pPr>
        <w:jc w:val="center"/>
        <w:rPr>
          <w:rFonts w:ascii="Arial" w:hAnsi="Arial"/>
          <w:b/>
          <w:sz w:val="28"/>
        </w:rPr>
      </w:pPr>
    </w:p>
    <w:p w14:paraId="59E53CC4" w14:textId="4746C207" w:rsidR="003B74DA" w:rsidRDefault="00E2026A" w:rsidP="006A2DA2">
      <w:pPr>
        <w:rPr>
          <w:rFonts w:ascii="Arial" w:hAnsi="Arial"/>
          <w:b/>
          <w:sz w:val="28"/>
        </w:rPr>
      </w:pPr>
      <w:r>
        <w:rPr>
          <w:rFonts w:ascii="Arial" w:hAnsi="Arial"/>
          <w:b/>
          <w:sz w:val="28"/>
        </w:rPr>
        <w:t xml:space="preserve"> </w:t>
      </w:r>
    </w:p>
    <w:p w14:paraId="4A591022" w14:textId="77777777" w:rsidR="003B74DA" w:rsidRDefault="003B74DA" w:rsidP="003B74DA">
      <w:pPr>
        <w:jc w:val="center"/>
        <w:rPr>
          <w:rFonts w:ascii="Arial" w:hAnsi="Arial"/>
          <w:b/>
          <w:sz w:val="28"/>
        </w:rPr>
        <w:sectPr w:rsidR="003B74DA" w:rsidSect="00784E9A">
          <w:headerReference w:type="even" r:id="rId50"/>
          <w:headerReference w:type="default" r:id="rId51"/>
          <w:headerReference w:type="first" r:id="rId52"/>
          <w:pgSz w:w="11906" w:h="16838" w:code="9"/>
          <w:pgMar w:top="720" w:right="720" w:bottom="720" w:left="720" w:header="397" w:footer="709" w:gutter="0"/>
          <w:cols w:space="708"/>
          <w:docGrid w:linePitch="360"/>
        </w:sectPr>
      </w:pPr>
    </w:p>
    <w:p w14:paraId="55CCB587" w14:textId="77777777" w:rsidR="003B74DA" w:rsidRPr="008E0A2E" w:rsidRDefault="003B74DA" w:rsidP="003B74DA">
      <w:pPr>
        <w:pStyle w:val="BodyText2"/>
        <w:rPr>
          <w:color w:val="auto"/>
          <w:sz w:val="10"/>
        </w:rPr>
      </w:pPr>
    </w:p>
    <w:p w14:paraId="365254C9" w14:textId="77777777" w:rsidR="00981DED" w:rsidRDefault="00981DED" w:rsidP="003B74DA">
      <w:pPr>
        <w:jc w:val="center"/>
        <w:rPr>
          <w:rFonts w:ascii="Arial" w:hAnsi="Arial"/>
          <w:b/>
          <w:sz w:val="28"/>
        </w:rPr>
      </w:pPr>
    </w:p>
    <w:p w14:paraId="295CD955" w14:textId="53170CC9" w:rsidR="003B74DA" w:rsidRPr="00D33DE0" w:rsidRDefault="003B74DA" w:rsidP="003B74DA">
      <w:pPr>
        <w:jc w:val="center"/>
        <w:rPr>
          <w:rFonts w:ascii="Arial" w:hAnsi="Arial"/>
          <w:b/>
          <w:sz w:val="28"/>
        </w:rPr>
      </w:pPr>
      <w:r w:rsidRPr="00D33DE0">
        <w:rPr>
          <w:rFonts w:ascii="Arial" w:hAnsi="Arial"/>
          <w:b/>
          <w:sz w:val="28"/>
        </w:rPr>
        <w:t>NOTES TO THE ACCOUNTS - Index</w:t>
      </w:r>
    </w:p>
    <w:p w14:paraId="6A0A4AD2" w14:textId="77777777" w:rsidR="003B74DA" w:rsidRDefault="003B74DA" w:rsidP="003B74DA">
      <w:pPr>
        <w:jc w:val="center"/>
        <w:rPr>
          <w:rFonts w:ascii="Arial" w:hAnsi="Arial"/>
          <w:b/>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8364"/>
        <w:gridCol w:w="708"/>
      </w:tblGrid>
      <w:tr w:rsidR="00CD0613" w:rsidRPr="00023A3A" w14:paraId="72B786E1" w14:textId="77777777" w:rsidTr="00243FAB">
        <w:tc>
          <w:tcPr>
            <w:tcW w:w="993" w:type="dxa"/>
          </w:tcPr>
          <w:p w14:paraId="4402C43C" w14:textId="77777777" w:rsidR="00CD0613" w:rsidRPr="00023A3A" w:rsidRDefault="00CD0613" w:rsidP="00243FAB">
            <w:pPr>
              <w:jc w:val="center"/>
              <w:rPr>
                <w:rFonts w:ascii="Arial Narrow" w:hAnsi="Arial Narrow"/>
                <w:b/>
                <w:sz w:val="24"/>
                <w:szCs w:val="24"/>
              </w:rPr>
            </w:pPr>
            <w:r w:rsidRPr="00023A3A">
              <w:rPr>
                <w:rFonts w:ascii="Arial Narrow" w:hAnsi="Arial Narrow"/>
                <w:b/>
                <w:sz w:val="24"/>
                <w:szCs w:val="24"/>
              </w:rPr>
              <w:t>Number</w:t>
            </w:r>
          </w:p>
        </w:tc>
        <w:tc>
          <w:tcPr>
            <w:tcW w:w="8364" w:type="dxa"/>
          </w:tcPr>
          <w:p w14:paraId="392F0365" w14:textId="77777777" w:rsidR="00CD0613" w:rsidRPr="00023A3A" w:rsidRDefault="00CD0613" w:rsidP="00243FAB">
            <w:pPr>
              <w:jc w:val="center"/>
              <w:rPr>
                <w:rFonts w:ascii="Arial Narrow" w:hAnsi="Arial Narrow"/>
                <w:b/>
                <w:sz w:val="24"/>
                <w:szCs w:val="24"/>
              </w:rPr>
            </w:pPr>
            <w:r w:rsidRPr="00023A3A">
              <w:rPr>
                <w:rFonts w:ascii="Arial Narrow" w:hAnsi="Arial Narrow"/>
                <w:b/>
                <w:sz w:val="24"/>
                <w:szCs w:val="24"/>
              </w:rPr>
              <w:t>Title</w:t>
            </w:r>
          </w:p>
        </w:tc>
        <w:tc>
          <w:tcPr>
            <w:tcW w:w="708" w:type="dxa"/>
          </w:tcPr>
          <w:p w14:paraId="5BA20C1C" w14:textId="77777777" w:rsidR="00CD0613" w:rsidRPr="00023A3A" w:rsidRDefault="00CD0613" w:rsidP="00243FAB">
            <w:pPr>
              <w:jc w:val="center"/>
              <w:rPr>
                <w:rFonts w:ascii="Arial Narrow" w:hAnsi="Arial Narrow"/>
                <w:b/>
                <w:sz w:val="24"/>
                <w:szCs w:val="24"/>
              </w:rPr>
            </w:pPr>
            <w:r w:rsidRPr="00023A3A">
              <w:rPr>
                <w:rFonts w:ascii="Arial Narrow" w:hAnsi="Arial Narrow"/>
                <w:b/>
                <w:sz w:val="24"/>
                <w:szCs w:val="24"/>
              </w:rPr>
              <w:t>Page No.</w:t>
            </w:r>
          </w:p>
        </w:tc>
      </w:tr>
      <w:tr w:rsidR="00C76CEE" w:rsidRPr="00023A3A" w14:paraId="6430DE1A" w14:textId="77777777" w:rsidTr="00243FAB">
        <w:tc>
          <w:tcPr>
            <w:tcW w:w="993" w:type="dxa"/>
          </w:tcPr>
          <w:p w14:paraId="05BE577C" w14:textId="31796521" w:rsidR="00C76CEE" w:rsidRPr="004302AC" w:rsidRDefault="00C76CEE" w:rsidP="00C76CEE">
            <w:pPr>
              <w:jc w:val="center"/>
              <w:rPr>
                <w:rFonts w:ascii="Arial" w:hAnsi="Arial"/>
                <w:sz w:val="22"/>
                <w:szCs w:val="22"/>
              </w:rPr>
            </w:pPr>
            <w:r w:rsidRPr="004302AC">
              <w:rPr>
                <w:rFonts w:ascii="Arial" w:hAnsi="Arial"/>
                <w:sz w:val="22"/>
                <w:szCs w:val="22"/>
              </w:rPr>
              <w:t>1</w:t>
            </w:r>
          </w:p>
        </w:tc>
        <w:tc>
          <w:tcPr>
            <w:tcW w:w="8364" w:type="dxa"/>
          </w:tcPr>
          <w:p w14:paraId="722ED954" w14:textId="192976B0" w:rsidR="00C76CEE" w:rsidRPr="004302AC" w:rsidRDefault="00C76CEE" w:rsidP="00C76CEE">
            <w:pPr>
              <w:rPr>
                <w:rFonts w:ascii="Arial" w:hAnsi="Arial"/>
                <w:sz w:val="22"/>
                <w:szCs w:val="22"/>
              </w:rPr>
            </w:pPr>
            <w:r w:rsidRPr="004302AC">
              <w:rPr>
                <w:rFonts w:ascii="Arial" w:hAnsi="Arial"/>
                <w:sz w:val="22"/>
                <w:szCs w:val="22"/>
              </w:rPr>
              <w:t>Expenditure and funding analysis</w:t>
            </w:r>
          </w:p>
        </w:tc>
        <w:tc>
          <w:tcPr>
            <w:tcW w:w="708" w:type="dxa"/>
          </w:tcPr>
          <w:p w14:paraId="0A546EF2" w14:textId="42DB142D" w:rsidR="00C76CEE" w:rsidRPr="00167BD9" w:rsidRDefault="00C76CEE" w:rsidP="00C76CEE">
            <w:pPr>
              <w:jc w:val="center"/>
              <w:rPr>
                <w:rFonts w:ascii="Arial" w:hAnsi="Arial"/>
                <w:sz w:val="22"/>
                <w:szCs w:val="22"/>
              </w:rPr>
            </w:pPr>
            <w:r w:rsidRPr="00167BD9">
              <w:rPr>
                <w:rFonts w:ascii="Arial" w:hAnsi="Arial"/>
                <w:sz w:val="22"/>
                <w:szCs w:val="22"/>
              </w:rPr>
              <w:t>2</w:t>
            </w:r>
            <w:r w:rsidR="00AA6698">
              <w:rPr>
                <w:rFonts w:ascii="Arial" w:hAnsi="Arial"/>
                <w:sz w:val="22"/>
                <w:szCs w:val="22"/>
              </w:rPr>
              <w:t>0</w:t>
            </w:r>
          </w:p>
        </w:tc>
      </w:tr>
      <w:tr w:rsidR="00C76CEE" w:rsidRPr="00023A3A" w14:paraId="121DBA11" w14:textId="77777777" w:rsidTr="00243FAB">
        <w:tc>
          <w:tcPr>
            <w:tcW w:w="993" w:type="dxa"/>
          </w:tcPr>
          <w:p w14:paraId="41C58162" w14:textId="2C2E284B" w:rsidR="00C76CEE" w:rsidRPr="004302AC" w:rsidRDefault="00C76CEE" w:rsidP="00C76CEE">
            <w:pPr>
              <w:jc w:val="center"/>
              <w:rPr>
                <w:rFonts w:ascii="Arial" w:hAnsi="Arial"/>
                <w:sz w:val="22"/>
                <w:szCs w:val="22"/>
              </w:rPr>
            </w:pPr>
            <w:r w:rsidRPr="004302AC">
              <w:rPr>
                <w:rFonts w:ascii="Arial" w:hAnsi="Arial"/>
                <w:sz w:val="22"/>
                <w:szCs w:val="22"/>
              </w:rPr>
              <w:t>2</w:t>
            </w:r>
          </w:p>
        </w:tc>
        <w:tc>
          <w:tcPr>
            <w:tcW w:w="8364" w:type="dxa"/>
          </w:tcPr>
          <w:p w14:paraId="510162B2" w14:textId="01CC9B1E" w:rsidR="00C76CEE" w:rsidRPr="004302AC" w:rsidRDefault="00C76CEE" w:rsidP="00C76CEE">
            <w:pPr>
              <w:rPr>
                <w:rFonts w:ascii="Arial" w:hAnsi="Arial"/>
                <w:sz w:val="22"/>
                <w:szCs w:val="22"/>
              </w:rPr>
            </w:pPr>
            <w:r w:rsidRPr="004302AC">
              <w:rPr>
                <w:rFonts w:ascii="Arial" w:hAnsi="Arial"/>
                <w:sz w:val="22"/>
                <w:szCs w:val="22"/>
              </w:rPr>
              <w:t>Expenditure and income analysed by nature</w:t>
            </w:r>
          </w:p>
        </w:tc>
        <w:tc>
          <w:tcPr>
            <w:tcW w:w="708" w:type="dxa"/>
          </w:tcPr>
          <w:p w14:paraId="3D341530" w14:textId="7F35E9E0" w:rsidR="00C76CEE" w:rsidRPr="00167BD9" w:rsidRDefault="00091AFD" w:rsidP="00C76CEE">
            <w:pPr>
              <w:jc w:val="center"/>
              <w:rPr>
                <w:rFonts w:ascii="Arial" w:hAnsi="Arial"/>
                <w:sz w:val="22"/>
                <w:szCs w:val="22"/>
              </w:rPr>
            </w:pPr>
            <w:r>
              <w:rPr>
                <w:rFonts w:ascii="Arial" w:hAnsi="Arial"/>
                <w:sz w:val="22"/>
                <w:szCs w:val="22"/>
              </w:rPr>
              <w:t>3</w:t>
            </w:r>
            <w:r w:rsidR="00AA6698">
              <w:rPr>
                <w:rFonts w:ascii="Arial" w:hAnsi="Arial"/>
                <w:sz w:val="22"/>
                <w:szCs w:val="22"/>
              </w:rPr>
              <w:t>0</w:t>
            </w:r>
          </w:p>
        </w:tc>
      </w:tr>
      <w:tr w:rsidR="00C76CEE" w:rsidRPr="00023A3A" w14:paraId="72D9518E" w14:textId="77777777" w:rsidTr="00243FAB">
        <w:tc>
          <w:tcPr>
            <w:tcW w:w="993" w:type="dxa"/>
          </w:tcPr>
          <w:p w14:paraId="1977D9AC" w14:textId="1BC6C6F2" w:rsidR="00C76CEE" w:rsidRPr="004302AC" w:rsidRDefault="00C76CEE" w:rsidP="00C76CEE">
            <w:pPr>
              <w:jc w:val="center"/>
              <w:rPr>
                <w:rFonts w:ascii="Arial" w:hAnsi="Arial"/>
                <w:sz w:val="22"/>
                <w:szCs w:val="22"/>
              </w:rPr>
            </w:pPr>
            <w:r w:rsidRPr="004302AC">
              <w:rPr>
                <w:rFonts w:ascii="Arial" w:hAnsi="Arial"/>
                <w:sz w:val="22"/>
                <w:szCs w:val="22"/>
              </w:rPr>
              <w:t>3</w:t>
            </w:r>
          </w:p>
        </w:tc>
        <w:tc>
          <w:tcPr>
            <w:tcW w:w="8364" w:type="dxa"/>
          </w:tcPr>
          <w:p w14:paraId="25E65781" w14:textId="33CB034A" w:rsidR="00C76CEE" w:rsidRPr="004302AC" w:rsidRDefault="00C76CEE" w:rsidP="00C76CEE">
            <w:pPr>
              <w:rPr>
                <w:rFonts w:ascii="Arial" w:hAnsi="Arial"/>
                <w:sz w:val="22"/>
                <w:szCs w:val="22"/>
              </w:rPr>
            </w:pPr>
            <w:r w:rsidRPr="004302AC">
              <w:rPr>
                <w:rFonts w:ascii="Arial" w:hAnsi="Arial"/>
                <w:sz w:val="22"/>
                <w:szCs w:val="22"/>
              </w:rPr>
              <w:t>Critical judgements in applying accounting policies</w:t>
            </w:r>
          </w:p>
        </w:tc>
        <w:tc>
          <w:tcPr>
            <w:tcW w:w="708" w:type="dxa"/>
          </w:tcPr>
          <w:p w14:paraId="10B7B64D" w14:textId="6B372EB6" w:rsidR="00C76CEE" w:rsidRPr="00167BD9" w:rsidRDefault="00C76CEE" w:rsidP="00C76CEE">
            <w:pPr>
              <w:jc w:val="center"/>
              <w:rPr>
                <w:rFonts w:ascii="Arial" w:hAnsi="Arial"/>
                <w:sz w:val="22"/>
                <w:szCs w:val="22"/>
              </w:rPr>
            </w:pPr>
            <w:r w:rsidRPr="00167BD9">
              <w:rPr>
                <w:rFonts w:ascii="Arial" w:hAnsi="Arial"/>
                <w:sz w:val="22"/>
                <w:szCs w:val="22"/>
              </w:rPr>
              <w:t>3</w:t>
            </w:r>
            <w:r w:rsidR="00AA6698">
              <w:rPr>
                <w:rFonts w:ascii="Arial" w:hAnsi="Arial"/>
                <w:sz w:val="22"/>
                <w:szCs w:val="22"/>
              </w:rPr>
              <w:t>1</w:t>
            </w:r>
          </w:p>
        </w:tc>
      </w:tr>
      <w:tr w:rsidR="00C76CEE" w:rsidRPr="00023A3A" w14:paraId="391103A9" w14:textId="77777777" w:rsidTr="00243FAB">
        <w:tc>
          <w:tcPr>
            <w:tcW w:w="993" w:type="dxa"/>
          </w:tcPr>
          <w:p w14:paraId="161AAD86" w14:textId="44D886C4" w:rsidR="00C76CEE" w:rsidRPr="004302AC" w:rsidRDefault="00C76CEE" w:rsidP="00C76CEE">
            <w:pPr>
              <w:jc w:val="center"/>
              <w:rPr>
                <w:rFonts w:ascii="Arial" w:hAnsi="Arial"/>
                <w:sz w:val="22"/>
                <w:szCs w:val="22"/>
              </w:rPr>
            </w:pPr>
            <w:r w:rsidRPr="004302AC">
              <w:rPr>
                <w:rFonts w:ascii="Arial" w:hAnsi="Arial"/>
                <w:sz w:val="22"/>
                <w:szCs w:val="22"/>
              </w:rPr>
              <w:t>4</w:t>
            </w:r>
          </w:p>
        </w:tc>
        <w:tc>
          <w:tcPr>
            <w:tcW w:w="8364" w:type="dxa"/>
          </w:tcPr>
          <w:p w14:paraId="187FA7C0" w14:textId="41B6D775" w:rsidR="00C76CEE" w:rsidRPr="004302AC" w:rsidRDefault="00C76CEE" w:rsidP="00C76CEE">
            <w:pPr>
              <w:rPr>
                <w:rFonts w:ascii="Arial" w:hAnsi="Arial"/>
                <w:sz w:val="22"/>
                <w:szCs w:val="22"/>
              </w:rPr>
            </w:pPr>
            <w:r w:rsidRPr="004302AC">
              <w:rPr>
                <w:rFonts w:ascii="Arial" w:hAnsi="Arial"/>
                <w:sz w:val="22"/>
                <w:szCs w:val="22"/>
              </w:rPr>
              <w:t>Prior period adjustments</w:t>
            </w:r>
          </w:p>
        </w:tc>
        <w:tc>
          <w:tcPr>
            <w:tcW w:w="708" w:type="dxa"/>
          </w:tcPr>
          <w:p w14:paraId="745341D2" w14:textId="3064C7BE" w:rsidR="00C76CEE" w:rsidRPr="00167BD9" w:rsidRDefault="00C76CEE" w:rsidP="00C76CEE">
            <w:pPr>
              <w:jc w:val="center"/>
              <w:rPr>
                <w:rFonts w:ascii="Arial" w:hAnsi="Arial"/>
                <w:sz w:val="22"/>
                <w:szCs w:val="22"/>
              </w:rPr>
            </w:pPr>
            <w:r w:rsidRPr="00167BD9">
              <w:rPr>
                <w:rFonts w:ascii="Arial" w:hAnsi="Arial"/>
                <w:sz w:val="22"/>
                <w:szCs w:val="22"/>
              </w:rPr>
              <w:t>3</w:t>
            </w:r>
            <w:r w:rsidR="00AA6698">
              <w:rPr>
                <w:rFonts w:ascii="Arial" w:hAnsi="Arial"/>
                <w:sz w:val="22"/>
                <w:szCs w:val="22"/>
              </w:rPr>
              <w:t>3</w:t>
            </w:r>
          </w:p>
        </w:tc>
      </w:tr>
      <w:tr w:rsidR="00C76CEE" w:rsidRPr="00023A3A" w14:paraId="2F70A2F3" w14:textId="77777777" w:rsidTr="00243FAB">
        <w:tc>
          <w:tcPr>
            <w:tcW w:w="993" w:type="dxa"/>
          </w:tcPr>
          <w:p w14:paraId="5CC6334C" w14:textId="76020A40" w:rsidR="00C76CEE" w:rsidRPr="004302AC" w:rsidRDefault="00C76CEE" w:rsidP="00C76CEE">
            <w:pPr>
              <w:jc w:val="center"/>
              <w:rPr>
                <w:rFonts w:ascii="Arial" w:hAnsi="Arial"/>
                <w:sz w:val="22"/>
                <w:szCs w:val="22"/>
              </w:rPr>
            </w:pPr>
            <w:r w:rsidRPr="004302AC">
              <w:rPr>
                <w:rFonts w:ascii="Arial" w:hAnsi="Arial"/>
                <w:sz w:val="22"/>
                <w:szCs w:val="22"/>
              </w:rPr>
              <w:t>5</w:t>
            </w:r>
          </w:p>
        </w:tc>
        <w:tc>
          <w:tcPr>
            <w:tcW w:w="8364" w:type="dxa"/>
          </w:tcPr>
          <w:p w14:paraId="3AAAE0B2" w14:textId="47502CA4" w:rsidR="00C76CEE" w:rsidRPr="004302AC" w:rsidRDefault="00C76CEE" w:rsidP="00C76CEE">
            <w:pPr>
              <w:rPr>
                <w:rFonts w:ascii="Arial" w:hAnsi="Arial"/>
                <w:sz w:val="22"/>
                <w:szCs w:val="22"/>
              </w:rPr>
            </w:pPr>
            <w:r w:rsidRPr="004302AC">
              <w:rPr>
                <w:rFonts w:ascii="Arial" w:hAnsi="Arial"/>
                <w:sz w:val="22"/>
                <w:szCs w:val="22"/>
              </w:rPr>
              <w:t>Accounting standards that have been issued but have not yet adopted</w:t>
            </w:r>
          </w:p>
        </w:tc>
        <w:tc>
          <w:tcPr>
            <w:tcW w:w="708" w:type="dxa"/>
          </w:tcPr>
          <w:p w14:paraId="487AF0B1" w14:textId="774BBCC7" w:rsidR="00C76CEE" w:rsidRPr="00167BD9" w:rsidRDefault="00C76CEE" w:rsidP="00C76CEE">
            <w:pPr>
              <w:jc w:val="center"/>
              <w:rPr>
                <w:rFonts w:ascii="Arial" w:hAnsi="Arial"/>
                <w:sz w:val="22"/>
                <w:szCs w:val="22"/>
              </w:rPr>
            </w:pPr>
            <w:r w:rsidRPr="00167BD9">
              <w:rPr>
                <w:rFonts w:ascii="Arial" w:hAnsi="Arial"/>
                <w:sz w:val="22"/>
                <w:szCs w:val="22"/>
              </w:rPr>
              <w:t>3</w:t>
            </w:r>
            <w:r w:rsidR="00AA6698">
              <w:rPr>
                <w:rFonts w:ascii="Arial" w:hAnsi="Arial"/>
                <w:sz w:val="22"/>
                <w:szCs w:val="22"/>
              </w:rPr>
              <w:t>3</w:t>
            </w:r>
          </w:p>
        </w:tc>
      </w:tr>
      <w:tr w:rsidR="00C76CEE" w:rsidRPr="00023A3A" w14:paraId="1B6BA1B5" w14:textId="77777777" w:rsidTr="00243FAB">
        <w:tc>
          <w:tcPr>
            <w:tcW w:w="993" w:type="dxa"/>
          </w:tcPr>
          <w:p w14:paraId="0F28064B" w14:textId="06BF91A7" w:rsidR="00C76CEE" w:rsidRPr="004302AC" w:rsidRDefault="00C76CEE" w:rsidP="00C76CEE">
            <w:pPr>
              <w:jc w:val="center"/>
              <w:rPr>
                <w:rFonts w:ascii="Arial" w:hAnsi="Arial"/>
                <w:sz w:val="22"/>
                <w:szCs w:val="22"/>
              </w:rPr>
            </w:pPr>
            <w:r w:rsidRPr="004302AC">
              <w:rPr>
                <w:rFonts w:ascii="Arial" w:hAnsi="Arial"/>
                <w:sz w:val="22"/>
                <w:szCs w:val="22"/>
              </w:rPr>
              <w:t>6</w:t>
            </w:r>
          </w:p>
        </w:tc>
        <w:tc>
          <w:tcPr>
            <w:tcW w:w="8364" w:type="dxa"/>
          </w:tcPr>
          <w:p w14:paraId="0D861FB3" w14:textId="7E436830" w:rsidR="00C76CEE" w:rsidRPr="004302AC" w:rsidRDefault="00C76CEE" w:rsidP="00C76CEE">
            <w:pPr>
              <w:rPr>
                <w:rFonts w:ascii="Arial" w:hAnsi="Arial"/>
                <w:sz w:val="22"/>
                <w:szCs w:val="22"/>
              </w:rPr>
            </w:pPr>
            <w:r w:rsidRPr="004302AC">
              <w:rPr>
                <w:rFonts w:ascii="Arial" w:hAnsi="Arial"/>
                <w:sz w:val="22"/>
                <w:szCs w:val="22"/>
              </w:rPr>
              <w:t>Assumptions made about the future and other major sources of estimation uncertainty</w:t>
            </w:r>
          </w:p>
        </w:tc>
        <w:tc>
          <w:tcPr>
            <w:tcW w:w="708" w:type="dxa"/>
          </w:tcPr>
          <w:p w14:paraId="6D7ACF32" w14:textId="2BA430C0" w:rsidR="00C76CEE" w:rsidRPr="00167BD9" w:rsidRDefault="00C76CEE" w:rsidP="00C76CEE">
            <w:pPr>
              <w:jc w:val="center"/>
              <w:rPr>
                <w:rFonts w:ascii="Arial" w:hAnsi="Arial"/>
                <w:sz w:val="22"/>
                <w:szCs w:val="22"/>
              </w:rPr>
            </w:pPr>
            <w:r w:rsidRPr="00167BD9">
              <w:rPr>
                <w:rFonts w:ascii="Arial" w:hAnsi="Arial"/>
                <w:sz w:val="22"/>
                <w:szCs w:val="22"/>
              </w:rPr>
              <w:t>3</w:t>
            </w:r>
            <w:r w:rsidR="00AA6698">
              <w:rPr>
                <w:rFonts w:ascii="Arial" w:hAnsi="Arial"/>
                <w:sz w:val="22"/>
                <w:szCs w:val="22"/>
              </w:rPr>
              <w:t>4</w:t>
            </w:r>
          </w:p>
        </w:tc>
      </w:tr>
      <w:tr w:rsidR="00C76CEE" w:rsidRPr="00023A3A" w14:paraId="1FA5BABB" w14:textId="77777777" w:rsidTr="00243FAB">
        <w:tc>
          <w:tcPr>
            <w:tcW w:w="993" w:type="dxa"/>
          </w:tcPr>
          <w:p w14:paraId="0B277001" w14:textId="715BA464" w:rsidR="00C76CEE" w:rsidRPr="004302AC" w:rsidRDefault="00C76CEE" w:rsidP="00C76CEE">
            <w:pPr>
              <w:jc w:val="center"/>
              <w:rPr>
                <w:rFonts w:ascii="Arial" w:hAnsi="Arial"/>
                <w:sz w:val="22"/>
                <w:szCs w:val="22"/>
              </w:rPr>
            </w:pPr>
            <w:r w:rsidRPr="004302AC">
              <w:rPr>
                <w:rFonts w:ascii="Arial" w:hAnsi="Arial"/>
                <w:sz w:val="22"/>
                <w:szCs w:val="22"/>
              </w:rPr>
              <w:t>7</w:t>
            </w:r>
          </w:p>
        </w:tc>
        <w:tc>
          <w:tcPr>
            <w:tcW w:w="8364" w:type="dxa"/>
          </w:tcPr>
          <w:p w14:paraId="03008246" w14:textId="63BE8A3C" w:rsidR="00C76CEE" w:rsidRPr="004302AC" w:rsidRDefault="00C76CEE" w:rsidP="00C76CEE">
            <w:pPr>
              <w:rPr>
                <w:rFonts w:ascii="Arial" w:hAnsi="Arial"/>
                <w:sz w:val="22"/>
                <w:szCs w:val="22"/>
              </w:rPr>
            </w:pPr>
            <w:r w:rsidRPr="004302AC">
              <w:rPr>
                <w:rFonts w:ascii="Arial" w:hAnsi="Arial"/>
                <w:sz w:val="22"/>
                <w:szCs w:val="22"/>
              </w:rPr>
              <w:t>Events after the Balance Sheet date</w:t>
            </w:r>
          </w:p>
        </w:tc>
        <w:tc>
          <w:tcPr>
            <w:tcW w:w="708" w:type="dxa"/>
          </w:tcPr>
          <w:p w14:paraId="45927BD7" w14:textId="0B718C1E" w:rsidR="00C76CEE" w:rsidRPr="00167BD9" w:rsidRDefault="00C76CEE" w:rsidP="00C76CEE">
            <w:pPr>
              <w:jc w:val="center"/>
              <w:rPr>
                <w:rFonts w:ascii="Arial" w:hAnsi="Arial"/>
                <w:sz w:val="22"/>
                <w:szCs w:val="22"/>
              </w:rPr>
            </w:pPr>
            <w:r w:rsidRPr="00167BD9">
              <w:rPr>
                <w:rFonts w:ascii="Arial" w:hAnsi="Arial"/>
                <w:sz w:val="22"/>
                <w:szCs w:val="22"/>
              </w:rPr>
              <w:t>3</w:t>
            </w:r>
            <w:r w:rsidR="00AA6698">
              <w:rPr>
                <w:rFonts w:ascii="Arial" w:hAnsi="Arial"/>
                <w:sz w:val="22"/>
                <w:szCs w:val="22"/>
              </w:rPr>
              <w:t>6</w:t>
            </w:r>
          </w:p>
        </w:tc>
      </w:tr>
      <w:tr w:rsidR="00C76CEE" w:rsidRPr="00023A3A" w14:paraId="3CE68CE4" w14:textId="77777777" w:rsidTr="00243FAB">
        <w:tc>
          <w:tcPr>
            <w:tcW w:w="993" w:type="dxa"/>
          </w:tcPr>
          <w:p w14:paraId="33F95753" w14:textId="258890B6" w:rsidR="00C76CEE" w:rsidRPr="004302AC" w:rsidRDefault="00C76CEE" w:rsidP="00C76CEE">
            <w:pPr>
              <w:jc w:val="center"/>
              <w:rPr>
                <w:rFonts w:ascii="Arial" w:hAnsi="Arial"/>
                <w:sz w:val="22"/>
                <w:szCs w:val="22"/>
              </w:rPr>
            </w:pPr>
            <w:r w:rsidRPr="004302AC">
              <w:rPr>
                <w:rFonts w:ascii="Arial" w:hAnsi="Arial"/>
                <w:sz w:val="22"/>
                <w:szCs w:val="22"/>
              </w:rPr>
              <w:t>8</w:t>
            </w:r>
          </w:p>
        </w:tc>
        <w:tc>
          <w:tcPr>
            <w:tcW w:w="8364" w:type="dxa"/>
          </w:tcPr>
          <w:p w14:paraId="7F97D840" w14:textId="0324671E" w:rsidR="00C76CEE" w:rsidRPr="004302AC" w:rsidRDefault="00C76CEE" w:rsidP="00C76CEE">
            <w:pPr>
              <w:rPr>
                <w:rFonts w:ascii="Arial" w:hAnsi="Arial"/>
                <w:sz w:val="22"/>
                <w:szCs w:val="22"/>
              </w:rPr>
            </w:pPr>
            <w:r w:rsidRPr="004302AC">
              <w:rPr>
                <w:rFonts w:ascii="Arial" w:hAnsi="Arial"/>
                <w:sz w:val="22"/>
                <w:szCs w:val="22"/>
              </w:rPr>
              <w:t>Adjustments between accounting basis and funding basis under regulation</w:t>
            </w:r>
          </w:p>
        </w:tc>
        <w:tc>
          <w:tcPr>
            <w:tcW w:w="708" w:type="dxa"/>
          </w:tcPr>
          <w:p w14:paraId="7F500BED" w14:textId="44C48DF7" w:rsidR="00C76CEE" w:rsidRPr="00167BD9" w:rsidRDefault="00C76CEE" w:rsidP="00C76CEE">
            <w:pPr>
              <w:jc w:val="center"/>
              <w:rPr>
                <w:rFonts w:ascii="Arial" w:hAnsi="Arial"/>
                <w:sz w:val="22"/>
                <w:szCs w:val="22"/>
              </w:rPr>
            </w:pPr>
            <w:r w:rsidRPr="00167BD9">
              <w:rPr>
                <w:rFonts w:ascii="Arial" w:hAnsi="Arial"/>
                <w:sz w:val="22"/>
                <w:szCs w:val="22"/>
              </w:rPr>
              <w:t>3</w:t>
            </w:r>
            <w:r w:rsidR="00AA6698">
              <w:rPr>
                <w:rFonts w:ascii="Arial" w:hAnsi="Arial"/>
                <w:sz w:val="22"/>
                <w:szCs w:val="22"/>
              </w:rPr>
              <w:t>6</w:t>
            </w:r>
          </w:p>
        </w:tc>
      </w:tr>
      <w:tr w:rsidR="00C76CEE" w:rsidRPr="00023A3A" w14:paraId="33373AD0" w14:textId="77777777" w:rsidTr="00243FAB">
        <w:tc>
          <w:tcPr>
            <w:tcW w:w="993" w:type="dxa"/>
          </w:tcPr>
          <w:p w14:paraId="73B7E22A" w14:textId="306E8624" w:rsidR="00C76CEE" w:rsidRPr="004302AC" w:rsidRDefault="00C76CEE" w:rsidP="00C76CEE">
            <w:pPr>
              <w:jc w:val="center"/>
              <w:rPr>
                <w:rFonts w:ascii="Arial" w:hAnsi="Arial"/>
                <w:sz w:val="22"/>
                <w:szCs w:val="22"/>
              </w:rPr>
            </w:pPr>
            <w:r w:rsidRPr="004302AC">
              <w:rPr>
                <w:rFonts w:ascii="Arial" w:hAnsi="Arial"/>
                <w:sz w:val="22"/>
                <w:szCs w:val="22"/>
              </w:rPr>
              <w:t>9</w:t>
            </w:r>
          </w:p>
        </w:tc>
        <w:tc>
          <w:tcPr>
            <w:tcW w:w="8364" w:type="dxa"/>
          </w:tcPr>
          <w:p w14:paraId="706C4F34" w14:textId="1B1CF277" w:rsidR="00C76CEE" w:rsidRPr="004302AC" w:rsidRDefault="00C76CEE" w:rsidP="00C76CEE">
            <w:pPr>
              <w:rPr>
                <w:rFonts w:ascii="Arial" w:hAnsi="Arial"/>
                <w:sz w:val="22"/>
                <w:szCs w:val="22"/>
              </w:rPr>
            </w:pPr>
            <w:r w:rsidRPr="004302AC">
              <w:rPr>
                <w:rFonts w:ascii="Arial" w:hAnsi="Arial"/>
                <w:sz w:val="22"/>
                <w:szCs w:val="22"/>
              </w:rPr>
              <w:t>Earmarked reserves</w:t>
            </w:r>
          </w:p>
        </w:tc>
        <w:tc>
          <w:tcPr>
            <w:tcW w:w="708" w:type="dxa"/>
          </w:tcPr>
          <w:p w14:paraId="0627781A" w14:textId="31E6C04A" w:rsidR="00C76CEE" w:rsidRPr="00167BD9" w:rsidRDefault="00235D45" w:rsidP="00C76CEE">
            <w:pPr>
              <w:jc w:val="center"/>
              <w:rPr>
                <w:rFonts w:ascii="Arial" w:hAnsi="Arial"/>
                <w:sz w:val="22"/>
                <w:szCs w:val="22"/>
              </w:rPr>
            </w:pPr>
            <w:r>
              <w:rPr>
                <w:rFonts w:ascii="Arial" w:hAnsi="Arial"/>
                <w:sz w:val="22"/>
                <w:szCs w:val="22"/>
              </w:rPr>
              <w:t>4</w:t>
            </w:r>
            <w:r w:rsidR="00AA6698">
              <w:rPr>
                <w:rFonts w:ascii="Arial" w:hAnsi="Arial"/>
                <w:sz w:val="22"/>
                <w:szCs w:val="22"/>
              </w:rPr>
              <w:t>1</w:t>
            </w:r>
          </w:p>
        </w:tc>
      </w:tr>
      <w:tr w:rsidR="00C76CEE" w:rsidRPr="00023A3A" w14:paraId="43814014" w14:textId="77777777" w:rsidTr="00243FAB">
        <w:tc>
          <w:tcPr>
            <w:tcW w:w="993" w:type="dxa"/>
          </w:tcPr>
          <w:p w14:paraId="68D80E55" w14:textId="3523AC4C" w:rsidR="00C76CEE" w:rsidRPr="004302AC" w:rsidRDefault="00C76CEE" w:rsidP="00C76CEE">
            <w:pPr>
              <w:jc w:val="center"/>
              <w:rPr>
                <w:rFonts w:ascii="Arial" w:hAnsi="Arial"/>
                <w:sz w:val="22"/>
                <w:szCs w:val="22"/>
              </w:rPr>
            </w:pPr>
            <w:r w:rsidRPr="004302AC">
              <w:rPr>
                <w:rFonts w:ascii="Arial" w:hAnsi="Arial"/>
                <w:sz w:val="22"/>
                <w:szCs w:val="22"/>
              </w:rPr>
              <w:t>10</w:t>
            </w:r>
          </w:p>
        </w:tc>
        <w:tc>
          <w:tcPr>
            <w:tcW w:w="8364" w:type="dxa"/>
          </w:tcPr>
          <w:p w14:paraId="43AACBBD" w14:textId="3495A332" w:rsidR="00C76CEE" w:rsidRPr="004302AC" w:rsidRDefault="00C76CEE" w:rsidP="00C76CEE">
            <w:pPr>
              <w:rPr>
                <w:rFonts w:ascii="Arial" w:hAnsi="Arial"/>
                <w:sz w:val="22"/>
                <w:szCs w:val="22"/>
              </w:rPr>
            </w:pPr>
            <w:r w:rsidRPr="004302AC">
              <w:rPr>
                <w:rFonts w:ascii="Arial" w:hAnsi="Arial"/>
                <w:sz w:val="22"/>
                <w:szCs w:val="22"/>
              </w:rPr>
              <w:t>Unusable reserves</w:t>
            </w:r>
          </w:p>
        </w:tc>
        <w:tc>
          <w:tcPr>
            <w:tcW w:w="708" w:type="dxa"/>
          </w:tcPr>
          <w:p w14:paraId="0A56EAFA" w14:textId="46A48634" w:rsidR="00C76CEE" w:rsidRPr="00167BD9" w:rsidRDefault="00C76CEE" w:rsidP="00C76CEE">
            <w:pPr>
              <w:jc w:val="center"/>
              <w:rPr>
                <w:rFonts w:ascii="Arial" w:hAnsi="Arial"/>
                <w:sz w:val="22"/>
                <w:szCs w:val="22"/>
              </w:rPr>
            </w:pPr>
            <w:r w:rsidRPr="00167BD9">
              <w:rPr>
                <w:rFonts w:ascii="Arial" w:hAnsi="Arial"/>
                <w:sz w:val="22"/>
                <w:szCs w:val="22"/>
              </w:rPr>
              <w:t>4</w:t>
            </w:r>
            <w:r w:rsidR="00AA6698">
              <w:rPr>
                <w:rFonts w:ascii="Arial" w:hAnsi="Arial"/>
                <w:sz w:val="22"/>
                <w:szCs w:val="22"/>
              </w:rPr>
              <w:t>2</w:t>
            </w:r>
          </w:p>
        </w:tc>
      </w:tr>
      <w:tr w:rsidR="00C76CEE" w:rsidRPr="00023A3A" w14:paraId="5AFA2629" w14:textId="77777777" w:rsidTr="00243FAB">
        <w:tc>
          <w:tcPr>
            <w:tcW w:w="993" w:type="dxa"/>
          </w:tcPr>
          <w:p w14:paraId="50840F23" w14:textId="556935A4" w:rsidR="00C76CEE" w:rsidRPr="004302AC" w:rsidRDefault="00C76CEE" w:rsidP="00C76CEE">
            <w:pPr>
              <w:jc w:val="center"/>
              <w:rPr>
                <w:rFonts w:ascii="Arial" w:hAnsi="Arial"/>
                <w:sz w:val="22"/>
                <w:szCs w:val="22"/>
              </w:rPr>
            </w:pPr>
            <w:r w:rsidRPr="004302AC">
              <w:rPr>
                <w:rFonts w:ascii="Arial" w:hAnsi="Arial"/>
                <w:sz w:val="22"/>
                <w:szCs w:val="22"/>
              </w:rPr>
              <w:t>11</w:t>
            </w:r>
          </w:p>
        </w:tc>
        <w:tc>
          <w:tcPr>
            <w:tcW w:w="8364" w:type="dxa"/>
          </w:tcPr>
          <w:p w14:paraId="7545A3AE" w14:textId="403BA6A0" w:rsidR="00C76CEE" w:rsidRPr="004302AC" w:rsidRDefault="00C76CEE" w:rsidP="00C76CEE">
            <w:pPr>
              <w:rPr>
                <w:rFonts w:ascii="Arial" w:hAnsi="Arial"/>
                <w:sz w:val="22"/>
                <w:szCs w:val="22"/>
              </w:rPr>
            </w:pPr>
            <w:r w:rsidRPr="004302AC">
              <w:rPr>
                <w:rFonts w:ascii="Arial" w:hAnsi="Arial"/>
                <w:sz w:val="22"/>
                <w:szCs w:val="22"/>
              </w:rPr>
              <w:t>Other Operating Income and Expenditure</w:t>
            </w:r>
          </w:p>
        </w:tc>
        <w:tc>
          <w:tcPr>
            <w:tcW w:w="708" w:type="dxa"/>
          </w:tcPr>
          <w:p w14:paraId="0BA52E9E" w14:textId="515B4E33" w:rsidR="00C76CEE" w:rsidRPr="00167BD9" w:rsidRDefault="00C76CEE" w:rsidP="00C76CEE">
            <w:pPr>
              <w:jc w:val="center"/>
              <w:rPr>
                <w:rFonts w:ascii="Arial" w:hAnsi="Arial"/>
                <w:sz w:val="22"/>
                <w:szCs w:val="22"/>
              </w:rPr>
            </w:pPr>
            <w:r w:rsidRPr="00167BD9">
              <w:rPr>
                <w:rFonts w:ascii="Arial" w:hAnsi="Arial"/>
                <w:sz w:val="22"/>
                <w:szCs w:val="22"/>
              </w:rPr>
              <w:t>4</w:t>
            </w:r>
            <w:r w:rsidR="00801B48">
              <w:rPr>
                <w:rFonts w:ascii="Arial" w:hAnsi="Arial"/>
                <w:sz w:val="22"/>
                <w:szCs w:val="22"/>
              </w:rPr>
              <w:t>5</w:t>
            </w:r>
          </w:p>
        </w:tc>
      </w:tr>
      <w:tr w:rsidR="00C76CEE" w:rsidRPr="00023A3A" w14:paraId="19E0BADA" w14:textId="77777777" w:rsidTr="00243FAB">
        <w:tc>
          <w:tcPr>
            <w:tcW w:w="993" w:type="dxa"/>
          </w:tcPr>
          <w:p w14:paraId="4996C6AA" w14:textId="40AF7942" w:rsidR="00C76CEE" w:rsidRPr="004302AC" w:rsidRDefault="00C76CEE" w:rsidP="00C76CEE">
            <w:pPr>
              <w:jc w:val="center"/>
              <w:rPr>
                <w:rFonts w:ascii="Arial" w:hAnsi="Arial"/>
                <w:sz w:val="22"/>
                <w:szCs w:val="22"/>
              </w:rPr>
            </w:pPr>
            <w:r w:rsidRPr="004302AC">
              <w:rPr>
                <w:rFonts w:ascii="Arial" w:hAnsi="Arial"/>
                <w:sz w:val="22"/>
                <w:szCs w:val="22"/>
              </w:rPr>
              <w:t>12</w:t>
            </w:r>
          </w:p>
        </w:tc>
        <w:tc>
          <w:tcPr>
            <w:tcW w:w="8364" w:type="dxa"/>
          </w:tcPr>
          <w:p w14:paraId="38504472" w14:textId="26CBA69B" w:rsidR="00C76CEE" w:rsidRPr="004302AC" w:rsidRDefault="00C76CEE" w:rsidP="00C76CEE">
            <w:pPr>
              <w:rPr>
                <w:rFonts w:ascii="Arial" w:hAnsi="Arial"/>
                <w:sz w:val="22"/>
                <w:szCs w:val="22"/>
              </w:rPr>
            </w:pPr>
            <w:r w:rsidRPr="004302AC">
              <w:rPr>
                <w:rFonts w:ascii="Arial" w:hAnsi="Arial"/>
                <w:sz w:val="22"/>
                <w:szCs w:val="22"/>
              </w:rPr>
              <w:t>Financing and investment income and expenditure</w:t>
            </w:r>
          </w:p>
        </w:tc>
        <w:tc>
          <w:tcPr>
            <w:tcW w:w="708" w:type="dxa"/>
          </w:tcPr>
          <w:p w14:paraId="7A5E9756" w14:textId="7191EC9B" w:rsidR="00C76CEE" w:rsidRPr="00167BD9" w:rsidRDefault="00C76CEE" w:rsidP="00C76CEE">
            <w:pPr>
              <w:jc w:val="center"/>
              <w:rPr>
                <w:rFonts w:ascii="Arial" w:hAnsi="Arial"/>
                <w:sz w:val="22"/>
                <w:szCs w:val="22"/>
              </w:rPr>
            </w:pPr>
            <w:r w:rsidRPr="00167BD9">
              <w:rPr>
                <w:rFonts w:ascii="Arial" w:hAnsi="Arial"/>
                <w:sz w:val="22"/>
                <w:szCs w:val="22"/>
              </w:rPr>
              <w:t>4</w:t>
            </w:r>
            <w:r w:rsidR="00F05605">
              <w:rPr>
                <w:rFonts w:ascii="Arial" w:hAnsi="Arial"/>
                <w:sz w:val="22"/>
                <w:szCs w:val="22"/>
              </w:rPr>
              <w:t>5</w:t>
            </w:r>
          </w:p>
        </w:tc>
      </w:tr>
      <w:tr w:rsidR="00C76CEE" w:rsidRPr="00023A3A" w14:paraId="29D39643" w14:textId="77777777" w:rsidTr="00243FAB">
        <w:tc>
          <w:tcPr>
            <w:tcW w:w="993" w:type="dxa"/>
          </w:tcPr>
          <w:p w14:paraId="5D6CF35E" w14:textId="76E1D3CA" w:rsidR="00C76CEE" w:rsidRPr="004302AC" w:rsidRDefault="00C76CEE" w:rsidP="00C76CEE">
            <w:pPr>
              <w:jc w:val="center"/>
              <w:rPr>
                <w:rFonts w:ascii="Arial" w:hAnsi="Arial"/>
                <w:sz w:val="22"/>
                <w:szCs w:val="22"/>
              </w:rPr>
            </w:pPr>
            <w:r w:rsidRPr="004302AC">
              <w:rPr>
                <w:rFonts w:ascii="Arial" w:hAnsi="Arial"/>
                <w:sz w:val="22"/>
                <w:szCs w:val="22"/>
              </w:rPr>
              <w:t>13</w:t>
            </w:r>
          </w:p>
        </w:tc>
        <w:tc>
          <w:tcPr>
            <w:tcW w:w="8364" w:type="dxa"/>
          </w:tcPr>
          <w:p w14:paraId="37C14380" w14:textId="5086F0C8" w:rsidR="00C76CEE" w:rsidRPr="004302AC" w:rsidRDefault="00C76CEE" w:rsidP="00C76CEE">
            <w:pPr>
              <w:rPr>
                <w:rFonts w:ascii="Arial" w:hAnsi="Arial"/>
                <w:sz w:val="22"/>
                <w:szCs w:val="22"/>
              </w:rPr>
            </w:pPr>
            <w:r w:rsidRPr="004302AC">
              <w:rPr>
                <w:rFonts w:ascii="Arial" w:hAnsi="Arial"/>
                <w:sz w:val="22"/>
                <w:szCs w:val="22"/>
              </w:rPr>
              <w:t>Taxation and non-specific grant income</w:t>
            </w:r>
          </w:p>
        </w:tc>
        <w:tc>
          <w:tcPr>
            <w:tcW w:w="708" w:type="dxa"/>
          </w:tcPr>
          <w:p w14:paraId="0C4763FD" w14:textId="4F94B54A" w:rsidR="00C76CEE" w:rsidRPr="00167BD9" w:rsidRDefault="00C76CEE" w:rsidP="00C76CEE">
            <w:pPr>
              <w:jc w:val="center"/>
              <w:rPr>
                <w:rFonts w:ascii="Arial" w:hAnsi="Arial"/>
                <w:sz w:val="22"/>
                <w:szCs w:val="22"/>
              </w:rPr>
            </w:pPr>
            <w:r w:rsidRPr="00167BD9">
              <w:rPr>
                <w:rFonts w:ascii="Arial" w:hAnsi="Arial"/>
                <w:sz w:val="22"/>
                <w:szCs w:val="22"/>
              </w:rPr>
              <w:t>4</w:t>
            </w:r>
            <w:r w:rsidR="00F05605">
              <w:rPr>
                <w:rFonts w:ascii="Arial" w:hAnsi="Arial"/>
                <w:sz w:val="22"/>
                <w:szCs w:val="22"/>
              </w:rPr>
              <w:t>6</w:t>
            </w:r>
          </w:p>
        </w:tc>
      </w:tr>
      <w:tr w:rsidR="00C76CEE" w:rsidRPr="00023A3A" w14:paraId="125950C0" w14:textId="77777777" w:rsidTr="00243FAB">
        <w:trPr>
          <w:trHeight w:hRule="exact" w:val="284"/>
        </w:trPr>
        <w:tc>
          <w:tcPr>
            <w:tcW w:w="993" w:type="dxa"/>
          </w:tcPr>
          <w:p w14:paraId="35384868" w14:textId="3DC31665" w:rsidR="00C76CEE" w:rsidRPr="004302AC" w:rsidRDefault="00C76CEE" w:rsidP="00C76CEE">
            <w:pPr>
              <w:jc w:val="center"/>
              <w:rPr>
                <w:rFonts w:ascii="Arial" w:hAnsi="Arial"/>
                <w:sz w:val="22"/>
                <w:szCs w:val="22"/>
              </w:rPr>
            </w:pPr>
            <w:r w:rsidRPr="004302AC">
              <w:rPr>
                <w:rFonts w:ascii="Arial" w:hAnsi="Arial"/>
                <w:sz w:val="22"/>
                <w:szCs w:val="22"/>
              </w:rPr>
              <w:t>14</w:t>
            </w:r>
          </w:p>
        </w:tc>
        <w:tc>
          <w:tcPr>
            <w:tcW w:w="8364" w:type="dxa"/>
          </w:tcPr>
          <w:p w14:paraId="4B3E7CDF" w14:textId="003EFFC8" w:rsidR="00C76CEE" w:rsidRPr="004302AC" w:rsidRDefault="00C76CEE" w:rsidP="00C76CEE">
            <w:pPr>
              <w:rPr>
                <w:rFonts w:ascii="Arial" w:hAnsi="Arial"/>
                <w:sz w:val="22"/>
                <w:szCs w:val="22"/>
              </w:rPr>
            </w:pPr>
            <w:r w:rsidRPr="004302AC">
              <w:rPr>
                <w:rFonts w:ascii="Arial" w:hAnsi="Arial"/>
                <w:sz w:val="22"/>
                <w:szCs w:val="22"/>
              </w:rPr>
              <w:t>Government grants and contributions</w:t>
            </w:r>
          </w:p>
        </w:tc>
        <w:tc>
          <w:tcPr>
            <w:tcW w:w="708" w:type="dxa"/>
          </w:tcPr>
          <w:p w14:paraId="37494E9B" w14:textId="510EB5AE" w:rsidR="00C76CEE" w:rsidRPr="00167BD9" w:rsidRDefault="00C76CEE" w:rsidP="00C76CEE">
            <w:pPr>
              <w:jc w:val="center"/>
              <w:rPr>
                <w:rFonts w:ascii="Arial" w:hAnsi="Arial"/>
                <w:sz w:val="22"/>
                <w:szCs w:val="22"/>
              </w:rPr>
            </w:pPr>
            <w:r w:rsidRPr="00167BD9">
              <w:rPr>
                <w:rFonts w:ascii="Arial" w:hAnsi="Arial"/>
                <w:sz w:val="22"/>
                <w:szCs w:val="22"/>
              </w:rPr>
              <w:t>4</w:t>
            </w:r>
            <w:r w:rsidR="00F05605">
              <w:rPr>
                <w:rFonts w:ascii="Arial" w:hAnsi="Arial"/>
                <w:sz w:val="22"/>
                <w:szCs w:val="22"/>
              </w:rPr>
              <w:t>6</w:t>
            </w:r>
          </w:p>
        </w:tc>
      </w:tr>
      <w:tr w:rsidR="00C76CEE" w:rsidRPr="00023A3A" w14:paraId="35CC0FA2" w14:textId="77777777" w:rsidTr="00243FAB">
        <w:tc>
          <w:tcPr>
            <w:tcW w:w="993" w:type="dxa"/>
          </w:tcPr>
          <w:p w14:paraId="077B9152" w14:textId="40F69E01" w:rsidR="00C76CEE" w:rsidRPr="004302AC" w:rsidRDefault="00C76CEE" w:rsidP="00C76CEE">
            <w:pPr>
              <w:jc w:val="center"/>
              <w:rPr>
                <w:rFonts w:ascii="Arial" w:hAnsi="Arial"/>
                <w:sz w:val="22"/>
                <w:szCs w:val="22"/>
              </w:rPr>
            </w:pPr>
            <w:r w:rsidRPr="004302AC">
              <w:rPr>
                <w:rFonts w:ascii="Arial" w:hAnsi="Arial"/>
                <w:sz w:val="22"/>
                <w:szCs w:val="22"/>
              </w:rPr>
              <w:t>15</w:t>
            </w:r>
          </w:p>
        </w:tc>
        <w:tc>
          <w:tcPr>
            <w:tcW w:w="8364" w:type="dxa"/>
          </w:tcPr>
          <w:p w14:paraId="2A82B9C7" w14:textId="50185CD4" w:rsidR="00C76CEE" w:rsidRPr="004302AC" w:rsidRDefault="00C76CEE" w:rsidP="00C76CEE">
            <w:pPr>
              <w:rPr>
                <w:rFonts w:ascii="Arial" w:hAnsi="Arial"/>
                <w:sz w:val="22"/>
                <w:szCs w:val="22"/>
              </w:rPr>
            </w:pPr>
            <w:r w:rsidRPr="004302AC">
              <w:rPr>
                <w:rFonts w:ascii="Arial" w:hAnsi="Arial"/>
                <w:sz w:val="22"/>
                <w:szCs w:val="22"/>
              </w:rPr>
              <w:t>Capital Charges and Fair Value Charge to Chief Constable</w:t>
            </w:r>
          </w:p>
        </w:tc>
        <w:tc>
          <w:tcPr>
            <w:tcW w:w="708" w:type="dxa"/>
          </w:tcPr>
          <w:p w14:paraId="741DC99A" w14:textId="4B7C8FA9" w:rsidR="00C76CEE" w:rsidRPr="00167BD9" w:rsidRDefault="00AA6698" w:rsidP="00C76CEE">
            <w:pPr>
              <w:jc w:val="center"/>
              <w:rPr>
                <w:rFonts w:ascii="Arial" w:hAnsi="Arial"/>
                <w:sz w:val="22"/>
                <w:szCs w:val="22"/>
              </w:rPr>
            </w:pPr>
            <w:r>
              <w:rPr>
                <w:rFonts w:ascii="Arial" w:hAnsi="Arial"/>
                <w:sz w:val="22"/>
                <w:szCs w:val="22"/>
              </w:rPr>
              <w:t>4</w:t>
            </w:r>
            <w:r w:rsidR="00F05605">
              <w:rPr>
                <w:rFonts w:ascii="Arial" w:hAnsi="Arial"/>
                <w:sz w:val="22"/>
                <w:szCs w:val="22"/>
              </w:rPr>
              <w:t>8</w:t>
            </w:r>
          </w:p>
        </w:tc>
      </w:tr>
      <w:tr w:rsidR="00C76CEE" w:rsidRPr="00023A3A" w14:paraId="280E089A" w14:textId="77777777" w:rsidTr="00243FAB">
        <w:trPr>
          <w:trHeight w:hRule="exact" w:val="284"/>
        </w:trPr>
        <w:tc>
          <w:tcPr>
            <w:tcW w:w="993" w:type="dxa"/>
          </w:tcPr>
          <w:p w14:paraId="708088E6" w14:textId="1B119A2F" w:rsidR="00C76CEE" w:rsidRPr="004302AC" w:rsidRDefault="00C76CEE" w:rsidP="00C76CEE">
            <w:pPr>
              <w:jc w:val="center"/>
              <w:rPr>
                <w:rFonts w:ascii="Arial" w:hAnsi="Arial"/>
                <w:sz w:val="22"/>
                <w:szCs w:val="22"/>
              </w:rPr>
            </w:pPr>
            <w:r w:rsidRPr="004302AC">
              <w:rPr>
                <w:rFonts w:ascii="Arial" w:hAnsi="Arial"/>
                <w:sz w:val="22"/>
                <w:szCs w:val="22"/>
              </w:rPr>
              <w:t>16</w:t>
            </w:r>
          </w:p>
        </w:tc>
        <w:tc>
          <w:tcPr>
            <w:tcW w:w="8364" w:type="dxa"/>
          </w:tcPr>
          <w:p w14:paraId="0E10D199" w14:textId="0D54BF8A" w:rsidR="00C76CEE" w:rsidRPr="004302AC" w:rsidRDefault="00C76CEE" w:rsidP="00C76CEE">
            <w:pPr>
              <w:rPr>
                <w:rFonts w:ascii="Arial" w:hAnsi="Arial"/>
                <w:sz w:val="22"/>
                <w:szCs w:val="22"/>
              </w:rPr>
            </w:pPr>
            <w:r w:rsidRPr="004302AC">
              <w:rPr>
                <w:rFonts w:ascii="Arial" w:hAnsi="Arial"/>
                <w:sz w:val="22"/>
                <w:szCs w:val="22"/>
              </w:rPr>
              <w:t>PCC Funding of Chief Constable</w:t>
            </w:r>
          </w:p>
        </w:tc>
        <w:tc>
          <w:tcPr>
            <w:tcW w:w="708" w:type="dxa"/>
          </w:tcPr>
          <w:p w14:paraId="36459FBE" w14:textId="61F85446" w:rsidR="00C76CEE" w:rsidRPr="00167BD9" w:rsidRDefault="00F05605" w:rsidP="00C76CEE">
            <w:pPr>
              <w:jc w:val="center"/>
              <w:rPr>
                <w:rFonts w:ascii="Arial" w:hAnsi="Arial"/>
                <w:sz w:val="22"/>
                <w:szCs w:val="22"/>
              </w:rPr>
            </w:pPr>
            <w:r>
              <w:rPr>
                <w:rFonts w:ascii="Arial" w:hAnsi="Arial"/>
                <w:sz w:val="22"/>
                <w:szCs w:val="22"/>
              </w:rPr>
              <w:t>49</w:t>
            </w:r>
          </w:p>
        </w:tc>
      </w:tr>
      <w:tr w:rsidR="00C76CEE" w:rsidRPr="00023A3A" w14:paraId="4B8B2AD0" w14:textId="77777777" w:rsidTr="00243FAB">
        <w:tc>
          <w:tcPr>
            <w:tcW w:w="993" w:type="dxa"/>
          </w:tcPr>
          <w:p w14:paraId="3D6CC7D9" w14:textId="74E0FEB6" w:rsidR="00C76CEE" w:rsidRPr="004302AC" w:rsidRDefault="00C76CEE" w:rsidP="00C76CEE">
            <w:pPr>
              <w:jc w:val="center"/>
              <w:rPr>
                <w:rFonts w:ascii="Arial" w:hAnsi="Arial"/>
                <w:sz w:val="22"/>
                <w:szCs w:val="22"/>
              </w:rPr>
            </w:pPr>
            <w:r w:rsidRPr="004302AC">
              <w:rPr>
                <w:rFonts w:ascii="Arial" w:hAnsi="Arial"/>
                <w:sz w:val="22"/>
                <w:szCs w:val="22"/>
              </w:rPr>
              <w:t>17</w:t>
            </w:r>
          </w:p>
        </w:tc>
        <w:tc>
          <w:tcPr>
            <w:tcW w:w="8364" w:type="dxa"/>
          </w:tcPr>
          <w:p w14:paraId="113BA9C0" w14:textId="76987EE8" w:rsidR="00C76CEE" w:rsidRPr="004302AC" w:rsidRDefault="00C76CEE" w:rsidP="00C76CEE">
            <w:pPr>
              <w:rPr>
                <w:rFonts w:ascii="Arial" w:hAnsi="Arial"/>
                <w:sz w:val="22"/>
                <w:szCs w:val="22"/>
              </w:rPr>
            </w:pPr>
            <w:r w:rsidRPr="004302AC">
              <w:rPr>
                <w:rFonts w:ascii="Arial" w:hAnsi="Arial"/>
                <w:sz w:val="22"/>
                <w:szCs w:val="22"/>
              </w:rPr>
              <w:t xml:space="preserve">Officers' remuneration </w:t>
            </w:r>
          </w:p>
        </w:tc>
        <w:tc>
          <w:tcPr>
            <w:tcW w:w="708" w:type="dxa"/>
          </w:tcPr>
          <w:p w14:paraId="38EBDD07" w14:textId="58D58817" w:rsidR="00C76CEE" w:rsidRPr="00167BD9" w:rsidRDefault="00952F73" w:rsidP="00C76CEE">
            <w:pPr>
              <w:jc w:val="center"/>
              <w:rPr>
                <w:rFonts w:ascii="Arial" w:hAnsi="Arial"/>
                <w:sz w:val="22"/>
                <w:szCs w:val="22"/>
              </w:rPr>
            </w:pPr>
            <w:r>
              <w:rPr>
                <w:rFonts w:ascii="Arial" w:hAnsi="Arial"/>
                <w:sz w:val="22"/>
                <w:szCs w:val="22"/>
              </w:rPr>
              <w:t>5</w:t>
            </w:r>
            <w:r w:rsidR="00F05605">
              <w:rPr>
                <w:rFonts w:ascii="Arial" w:hAnsi="Arial"/>
                <w:sz w:val="22"/>
                <w:szCs w:val="22"/>
              </w:rPr>
              <w:t>0</w:t>
            </w:r>
          </w:p>
        </w:tc>
      </w:tr>
      <w:tr w:rsidR="00C76CEE" w:rsidRPr="00023A3A" w14:paraId="05F31A33" w14:textId="77777777" w:rsidTr="00243FAB">
        <w:tc>
          <w:tcPr>
            <w:tcW w:w="993" w:type="dxa"/>
          </w:tcPr>
          <w:p w14:paraId="34F63C2A" w14:textId="432538E7" w:rsidR="00C76CEE" w:rsidRPr="004302AC" w:rsidRDefault="00C76CEE" w:rsidP="00C76CEE">
            <w:pPr>
              <w:jc w:val="center"/>
              <w:rPr>
                <w:rFonts w:ascii="Arial" w:hAnsi="Arial"/>
                <w:sz w:val="22"/>
                <w:szCs w:val="22"/>
              </w:rPr>
            </w:pPr>
            <w:r w:rsidRPr="004302AC">
              <w:rPr>
                <w:rFonts w:ascii="Arial" w:hAnsi="Arial"/>
                <w:sz w:val="22"/>
                <w:szCs w:val="22"/>
              </w:rPr>
              <w:t>18</w:t>
            </w:r>
          </w:p>
        </w:tc>
        <w:tc>
          <w:tcPr>
            <w:tcW w:w="8364" w:type="dxa"/>
          </w:tcPr>
          <w:p w14:paraId="656EDF7D" w14:textId="51B8DF90" w:rsidR="00C76CEE" w:rsidRPr="004302AC" w:rsidRDefault="009D04CA" w:rsidP="00C76CEE">
            <w:pPr>
              <w:rPr>
                <w:rFonts w:ascii="Arial" w:hAnsi="Arial"/>
                <w:sz w:val="22"/>
                <w:szCs w:val="22"/>
              </w:rPr>
            </w:pPr>
            <w:r>
              <w:rPr>
                <w:rFonts w:ascii="Arial" w:hAnsi="Arial"/>
                <w:sz w:val="22"/>
                <w:szCs w:val="22"/>
              </w:rPr>
              <w:t>Leases</w:t>
            </w:r>
          </w:p>
        </w:tc>
        <w:tc>
          <w:tcPr>
            <w:tcW w:w="708" w:type="dxa"/>
          </w:tcPr>
          <w:p w14:paraId="69809C25" w14:textId="038731EF" w:rsidR="00C76CEE" w:rsidRPr="00167BD9" w:rsidRDefault="00AA6698" w:rsidP="00C76CEE">
            <w:pPr>
              <w:jc w:val="center"/>
              <w:rPr>
                <w:rFonts w:ascii="Arial" w:hAnsi="Arial"/>
                <w:sz w:val="22"/>
                <w:szCs w:val="22"/>
              </w:rPr>
            </w:pPr>
            <w:r>
              <w:rPr>
                <w:rFonts w:ascii="Arial" w:hAnsi="Arial"/>
                <w:sz w:val="22"/>
                <w:szCs w:val="22"/>
              </w:rPr>
              <w:t>58</w:t>
            </w:r>
          </w:p>
        </w:tc>
      </w:tr>
      <w:tr w:rsidR="00AD2D75" w:rsidRPr="00023A3A" w14:paraId="40652044" w14:textId="77777777" w:rsidTr="00243FAB">
        <w:tc>
          <w:tcPr>
            <w:tcW w:w="993" w:type="dxa"/>
          </w:tcPr>
          <w:p w14:paraId="635BFE2D" w14:textId="7572AEA2" w:rsidR="00AD2D75" w:rsidRPr="004302AC" w:rsidRDefault="00AD2D75" w:rsidP="00C76CEE">
            <w:pPr>
              <w:jc w:val="center"/>
              <w:rPr>
                <w:rFonts w:ascii="Arial" w:hAnsi="Arial"/>
                <w:sz w:val="22"/>
                <w:szCs w:val="22"/>
              </w:rPr>
            </w:pPr>
            <w:r>
              <w:rPr>
                <w:rFonts w:ascii="Arial" w:hAnsi="Arial"/>
                <w:sz w:val="22"/>
                <w:szCs w:val="22"/>
              </w:rPr>
              <w:t>19</w:t>
            </w:r>
          </w:p>
        </w:tc>
        <w:tc>
          <w:tcPr>
            <w:tcW w:w="8364" w:type="dxa"/>
          </w:tcPr>
          <w:p w14:paraId="5B32DFC2" w14:textId="2B6E0734" w:rsidR="00AD2D75" w:rsidRPr="004302AC" w:rsidRDefault="009D04CA" w:rsidP="00C76CEE">
            <w:pPr>
              <w:rPr>
                <w:rFonts w:ascii="Arial" w:hAnsi="Arial"/>
                <w:sz w:val="22"/>
                <w:szCs w:val="22"/>
              </w:rPr>
            </w:pPr>
            <w:r>
              <w:rPr>
                <w:rFonts w:ascii="Arial" w:hAnsi="Arial"/>
                <w:sz w:val="22"/>
                <w:szCs w:val="22"/>
              </w:rPr>
              <w:t>Property, Plant and Expenditure</w:t>
            </w:r>
          </w:p>
        </w:tc>
        <w:tc>
          <w:tcPr>
            <w:tcW w:w="708" w:type="dxa"/>
          </w:tcPr>
          <w:p w14:paraId="49BF0665" w14:textId="58674FA0" w:rsidR="00AD2D75" w:rsidRPr="00167BD9" w:rsidRDefault="00666761" w:rsidP="00C76CEE">
            <w:pPr>
              <w:jc w:val="center"/>
              <w:rPr>
                <w:rFonts w:ascii="Arial" w:hAnsi="Arial"/>
                <w:sz w:val="22"/>
                <w:szCs w:val="22"/>
              </w:rPr>
            </w:pPr>
            <w:r>
              <w:rPr>
                <w:rFonts w:ascii="Arial" w:hAnsi="Arial"/>
                <w:sz w:val="22"/>
                <w:szCs w:val="22"/>
              </w:rPr>
              <w:t>59</w:t>
            </w:r>
          </w:p>
        </w:tc>
      </w:tr>
      <w:tr w:rsidR="00C76CEE" w:rsidRPr="00023A3A" w14:paraId="697D7F63" w14:textId="77777777" w:rsidTr="00243FAB">
        <w:tc>
          <w:tcPr>
            <w:tcW w:w="993" w:type="dxa"/>
          </w:tcPr>
          <w:p w14:paraId="5A40D970" w14:textId="3740D154" w:rsidR="00C76CEE" w:rsidRPr="004302AC" w:rsidRDefault="00AD2D75" w:rsidP="00C76CEE">
            <w:pPr>
              <w:jc w:val="center"/>
              <w:rPr>
                <w:rFonts w:ascii="Arial" w:hAnsi="Arial"/>
                <w:sz w:val="22"/>
                <w:szCs w:val="22"/>
              </w:rPr>
            </w:pPr>
            <w:r>
              <w:rPr>
                <w:rFonts w:ascii="Arial" w:hAnsi="Arial"/>
                <w:sz w:val="22"/>
                <w:szCs w:val="22"/>
              </w:rPr>
              <w:t>20</w:t>
            </w:r>
          </w:p>
        </w:tc>
        <w:tc>
          <w:tcPr>
            <w:tcW w:w="8364" w:type="dxa"/>
          </w:tcPr>
          <w:p w14:paraId="04E27F66" w14:textId="6873D7FA" w:rsidR="00C76CEE" w:rsidRPr="004302AC" w:rsidRDefault="00C76CEE" w:rsidP="00C76CEE">
            <w:pPr>
              <w:rPr>
                <w:rFonts w:ascii="Arial" w:hAnsi="Arial"/>
                <w:sz w:val="22"/>
                <w:szCs w:val="22"/>
              </w:rPr>
            </w:pPr>
            <w:r w:rsidRPr="004302AC">
              <w:rPr>
                <w:rFonts w:ascii="Arial" w:hAnsi="Arial"/>
                <w:sz w:val="22"/>
                <w:szCs w:val="22"/>
              </w:rPr>
              <w:t xml:space="preserve">Capital expenditure and financing </w:t>
            </w:r>
          </w:p>
        </w:tc>
        <w:tc>
          <w:tcPr>
            <w:tcW w:w="708" w:type="dxa"/>
          </w:tcPr>
          <w:p w14:paraId="003E1A24" w14:textId="0D408FD2" w:rsidR="00C76CEE" w:rsidRPr="00167BD9" w:rsidRDefault="00C76CEE" w:rsidP="00C76CEE">
            <w:pPr>
              <w:jc w:val="center"/>
              <w:rPr>
                <w:rFonts w:ascii="Arial" w:hAnsi="Arial"/>
                <w:sz w:val="22"/>
                <w:szCs w:val="22"/>
              </w:rPr>
            </w:pPr>
            <w:r w:rsidRPr="00167BD9">
              <w:rPr>
                <w:rFonts w:ascii="Arial" w:hAnsi="Arial"/>
                <w:sz w:val="22"/>
                <w:szCs w:val="22"/>
              </w:rPr>
              <w:t>6</w:t>
            </w:r>
            <w:r w:rsidR="00666761">
              <w:rPr>
                <w:rFonts w:ascii="Arial" w:hAnsi="Arial"/>
                <w:sz w:val="22"/>
                <w:szCs w:val="22"/>
              </w:rPr>
              <w:t>5</w:t>
            </w:r>
          </w:p>
        </w:tc>
      </w:tr>
      <w:tr w:rsidR="00C76CEE" w:rsidRPr="00023A3A" w14:paraId="04839FA9" w14:textId="77777777" w:rsidTr="00243FAB">
        <w:tc>
          <w:tcPr>
            <w:tcW w:w="993" w:type="dxa"/>
          </w:tcPr>
          <w:p w14:paraId="0E8CEE88" w14:textId="6191671D" w:rsidR="00C76CEE" w:rsidRPr="004302AC" w:rsidRDefault="00C76CEE" w:rsidP="00C76CEE">
            <w:pPr>
              <w:jc w:val="center"/>
              <w:rPr>
                <w:rFonts w:ascii="Arial" w:hAnsi="Arial"/>
                <w:sz w:val="22"/>
                <w:szCs w:val="22"/>
              </w:rPr>
            </w:pPr>
            <w:r w:rsidRPr="004302AC">
              <w:rPr>
                <w:rFonts w:ascii="Arial" w:hAnsi="Arial"/>
                <w:sz w:val="22"/>
                <w:szCs w:val="22"/>
              </w:rPr>
              <w:t>2</w:t>
            </w:r>
            <w:r w:rsidR="00AD2D75">
              <w:rPr>
                <w:rFonts w:ascii="Arial" w:hAnsi="Arial"/>
                <w:sz w:val="22"/>
                <w:szCs w:val="22"/>
              </w:rPr>
              <w:t>1</w:t>
            </w:r>
          </w:p>
        </w:tc>
        <w:tc>
          <w:tcPr>
            <w:tcW w:w="8364" w:type="dxa"/>
          </w:tcPr>
          <w:p w14:paraId="4FA7990B" w14:textId="27C238FA" w:rsidR="00C76CEE" w:rsidRPr="004302AC" w:rsidRDefault="00C76CEE" w:rsidP="00C76CEE">
            <w:pPr>
              <w:rPr>
                <w:rFonts w:ascii="Arial" w:hAnsi="Arial"/>
                <w:sz w:val="22"/>
                <w:szCs w:val="22"/>
              </w:rPr>
            </w:pPr>
            <w:r w:rsidRPr="004302AC">
              <w:rPr>
                <w:rFonts w:ascii="Arial" w:hAnsi="Arial"/>
                <w:sz w:val="22"/>
                <w:szCs w:val="22"/>
              </w:rPr>
              <w:t>Debtors</w:t>
            </w:r>
          </w:p>
        </w:tc>
        <w:tc>
          <w:tcPr>
            <w:tcW w:w="708" w:type="dxa"/>
          </w:tcPr>
          <w:p w14:paraId="6BA71954" w14:textId="4C95C2F5" w:rsidR="00C76CEE" w:rsidRPr="00167BD9" w:rsidRDefault="006C65E3" w:rsidP="00C76CEE">
            <w:pPr>
              <w:jc w:val="center"/>
              <w:rPr>
                <w:rFonts w:ascii="Arial" w:hAnsi="Arial"/>
                <w:sz w:val="22"/>
                <w:szCs w:val="22"/>
              </w:rPr>
            </w:pPr>
            <w:r>
              <w:rPr>
                <w:rFonts w:ascii="Arial" w:hAnsi="Arial"/>
                <w:sz w:val="22"/>
                <w:szCs w:val="22"/>
              </w:rPr>
              <w:t>6</w:t>
            </w:r>
            <w:r w:rsidR="00666761">
              <w:rPr>
                <w:rFonts w:ascii="Arial" w:hAnsi="Arial"/>
                <w:sz w:val="22"/>
                <w:szCs w:val="22"/>
              </w:rPr>
              <w:t>6</w:t>
            </w:r>
          </w:p>
        </w:tc>
      </w:tr>
      <w:tr w:rsidR="00C76CEE" w:rsidRPr="00023A3A" w14:paraId="385BB5FD" w14:textId="77777777" w:rsidTr="00243FAB">
        <w:tc>
          <w:tcPr>
            <w:tcW w:w="993" w:type="dxa"/>
          </w:tcPr>
          <w:p w14:paraId="4890B87D" w14:textId="4D11E57E" w:rsidR="00C76CEE" w:rsidRPr="004302AC" w:rsidRDefault="00C76CEE" w:rsidP="00C76CEE">
            <w:pPr>
              <w:jc w:val="center"/>
              <w:rPr>
                <w:rFonts w:ascii="Arial" w:hAnsi="Arial"/>
                <w:sz w:val="22"/>
                <w:szCs w:val="22"/>
              </w:rPr>
            </w:pPr>
            <w:r w:rsidRPr="004302AC">
              <w:rPr>
                <w:rFonts w:ascii="Arial" w:hAnsi="Arial"/>
                <w:sz w:val="22"/>
                <w:szCs w:val="22"/>
              </w:rPr>
              <w:t>2</w:t>
            </w:r>
            <w:r w:rsidR="00AD2D75">
              <w:rPr>
                <w:rFonts w:ascii="Arial" w:hAnsi="Arial"/>
                <w:sz w:val="22"/>
                <w:szCs w:val="22"/>
              </w:rPr>
              <w:t>2</w:t>
            </w:r>
          </w:p>
        </w:tc>
        <w:tc>
          <w:tcPr>
            <w:tcW w:w="8364" w:type="dxa"/>
          </w:tcPr>
          <w:p w14:paraId="73025FAF" w14:textId="29ED1719" w:rsidR="00C76CEE" w:rsidRPr="004302AC" w:rsidRDefault="00296C9E" w:rsidP="00C76CEE">
            <w:pPr>
              <w:rPr>
                <w:rFonts w:ascii="Arial" w:hAnsi="Arial"/>
                <w:sz w:val="22"/>
                <w:szCs w:val="22"/>
              </w:rPr>
            </w:pPr>
            <w:r>
              <w:rPr>
                <w:rFonts w:ascii="Arial" w:hAnsi="Arial"/>
                <w:sz w:val="22"/>
                <w:szCs w:val="22"/>
              </w:rPr>
              <w:t>Payments in Advance</w:t>
            </w:r>
          </w:p>
        </w:tc>
        <w:tc>
          <w:tcPr>
            <w:tcW w:w="708" w:type="dxa"/>
          </w:tcPr>
          <w:p w14:paraId="3D1DB955" w14:textId="78B3E951" w:rsidR="00C76CEE" w:rsidRPr="00167BD9" w:rsidRDefault="00AA6698" w:rsidP="00C76CEE">
            <w:pPr>
              <w:jc w:val="center"/>
              <w:rPr>
                <w:rFonts w:ascii="Arial" w:hAnsi="Arial"/>
                <w:sz w:val="22"/>
                <w:szCs w:val="22"/>
              </w:rPr>
            </w:pPr>
            <w:r>
              <w:rPr>
                <w:rFonts w:ascii="Arial" w:hAnsi="Arial"/>
                <w:sz w:val="22"/>
                <w:szCs w:val="22"/>
              </w:rPr>
              <w:t>6</w:t>
            </w:r>
            <w:r w:rsidR="00666761">
              <w:rPr>
                <w:rFonts w:ascii="Arial" w:hAnsi="Arial"/>
                <w:sz w:val="22"/>
                <w:szCs w:val="22"/>
              </w:rPr>
              <w:t>6</w:t>
            </w:r>
          </w:p>
        </w:tc>
      </w:tr>
      <w:tr w:rsidR="001E20E3" w:rsidRPr="00023A3A" w14:paraId="4FB08613" w14:textId="77777777" w:rsidTr="00243FAB">
        <w:tc>
          <w:tcPr>
            <w:tcW w:w="993" w:type="dxa"/>
          </w:tcPr>
          <w:p w14:paraId="14086398" w14:textId="3F969431" w:rsidR="001E20E3" w:rsidRPr="004302AC" w:rsidRDefault="001E20E3" w:rsidP="00C76CEE">
            <w:pPr>
              <w:jc w:val="center"/>
              <w:rPr>
                <w:rFonts w:ascii="Arial" w:hAnsi="Arial"/>
                <w:sz w:val="22"/>
                <w:szCs w:val="22"/>
              </w:rPr>
            </w:pPr>
            <w:r>
              <w:rPr>
                <w:rFonts w:ascii="Arial" w:hAnsi="Arial"/>
                <w:sz w:val="22"/>
                <w:szCs w:val="22"/>
              </w:rPr>
              <w:t>2</w:t>
            </w:r>
            <w:r w:rsidR="00AD2D75">
              <w:rPr>
                <w:rFonts w:ascii="Arial" w:hAnsi="Arial"/>
                <w:sz w:val="22"/>
                <w:szCs w:val="22"/>
              </w:rPr>
              <w:t>3</w:t>
            </w:r>
          </w:p>
        </w:tc>
        <w:tc>
          <w:tcPr>
            <w:tcW w:w="8364" w:type="dxa"/>
          </w:tcPr>
          <w:p w14:paraId="20E17AFD" w14:textId="079BF486" w:rsidR="001E20E3" w:rsidRPr="004302AC" w:rsidRDefault="00296C9E" w:rsidP="00C76CEE">
            <w:pPr>
              <w:rPr>
                <w:rFonts w:ascii="Arial" w:hAnsi="Arial"/>
                <w:sz w:val="22"/>
                <w:szCs w:val="22"/>
              </w:rPr>
            </w:pPr>
            <w:r>
              <w:rPr>
                <w:rFonts w:ascii="Arial" w:hAnsi="Arial"/>
                <w:sz w:val="22"/>
                <w:szCs w:val="22"/>
              </w:rPr>
              <w:t>Creditors</w:t>
            </w:r>
          </w:p>
        </w:tc>
        <w:tc>
          <w:tcPr>
            <w:tcW w:w="708" w:type="dxa"/>
          </w:tcPr>
          <w:p w14:paraId="0537FB4E" w14:textId="1EE1ED1A" w:rsidR="001E20E3" w:rsidRPr="00167BD9" w:rsidRDefault="00AA6698" w:rsidP="00C76CEE">
            <w:pPr>
              <w:jc w:val="center"/>
              <w:rPr>
                <w:rFonts w:ascii="Arial" w:hAnsi="Arial"/>
                <w:sz w:val="22"/>
                <w:szCs w:val="22"/>
              </w:rPr>
            </w:pPr>
            <w:r>
              <w:rPr>
                <w:rFonts w:ascii="Arial" w:hAnsi="Arial"/>
                <w:sz w:val="22"/>
                <w:szCs w:val="22"/>
              </w:rPr>
              <w:t>6</w:t>
            </w:r>
            <w:r w:rsidR="00666761">
              <w:rPr>
                <w:rFonts w:ascii="Arial" w:hAnsi="Arial"/>
                <w:sz w:val="22"/>
                <w:szCs w:val="22"/>
              </w:rPr>
              <w:t>6</w:t>
            </w:r>
          </w:p>
        </w:tc>
      </w:tr>
      <w:tr w:rsidR="00C76CEE" w:rsidRPr="00023A3A" w14:paraId="2308AEE9" w14:textId="77777777" w:rsidTr="00243FAB">
        <w:tc>
          <w:tcPr>
            <w:tcW w:w="993" w:type="dxa"/>
          </w:tcPr>
          <w:p w14:paraId="31618905" w14:textId="72B5C37A" w:rsidR="00C76CEE" w:rsidRPr="004302AC" w:rsidRDefault="00C76CEE" w:rsidP="00C76CEE">
            <w:pPr>
              <w:jc w:val="center"/>
              <w:rPr>
                <w:rFonts w:ascii="Arial" w:hAnsi="Arial"/>
                <w:sz w:val="22"/>
                <w:szCs w:val="22"/>
              </w:rPr>
            </w:pPr>
            <w:r w:rsidRPr="004302AC">
              <w:rPr>
                <w:rFonts w:ascii="Arial" w:hAnsi="Arial"/>
                <w:sz w:val="22"/>
                <w:szCs w:val="22"/>
              </w:rPr>
              <w:t>2</w:t>
            </w:r>
            <w:r w:rsidR="00AD2D75">
              <w:rPr>
                <w:rFonts w:ascii="Arial" w:hAnsi="Arial"/>
                <w:sz w:val="22"/>
                <w:szCs w:val="22"/>
              </w:rPr>
              <w:t>4</w:t>
            </w:r>
          </w:p>
        </w:tc>
        <w:tc>
          <w:tcPr>
            <w:tcW w:w="8364" w:type="dxa"/>
          </w:tcPr>
          <w:p w14:paraId="05D2640E" w14:textId="42F4C538" w:rsidR="00C76CEE" w:rsidRPr="004302AC" w:rsidRDefault="00C76CEE" w:rsidP="00C76CEE">
            <w:pPr>
              <w:rPr>
                <w:rFonts w:ascii="Arial" w:hAnsi="Arial"/>
                <w:sz w:val="22"/>
                <w:szCs w:val="22"/>
              </w:rPr>
            </w:pPr>
            <w:r w:rsidRPr="004302AC">
              <w:rPr>
                <w:rFonts w:ascii="Arial" w:hAnsi="Arial"/>
                <w:sz w:val="22"/>
                <w:szCs w:val="22"/>
              </w:rPr>
              <w:t>Cash and cash equivalents</w:t>
            </w:r>
          </w:p>
        </w:tc>
        <w:tc>
          <w:tcPr>
            <w:tcW w:w="708" w:type="dxa"/>
          </w:tcPr>
          <w:p w14:paraId="73551B64" w14:textId="7774710E" w:rsidR="00C76CEE" w:rsidRPr="00167BD9" w:rsidRDefault="00AA6698" w:rsidP="00C76CEE">
            <w:pPr>
              <w:jc w:val="center"/>
              <w:rPr>
                <w:rFonts w:ascii="Arial" w:hAnsi="Arial"/>
                <w:sz w:val="22"/>
                <w:szCs w:val="22"/>
              </w:rPr>
            </w:pPr>
            <w:r>
              <w:rPr>
                <w:rFonts w:ascii="Arial" w:hAnsi="Arial"/>
                <w:sz w:val="22"/>
                <w:szCs w:val="22"/>
              </w:rPr>
              <w:t>6</w:t>
            </w:r>
            <w:r w:rsidR="007644A5">
              <w:rPr>
                <w:rFonts w:ascii="Arial" w:hAnsi="Arial"/>
                <w:sz w:val="22"/>
                <w:szCs w:val="22"/>
              </w:rPr>
              <w:t>7</w:t>
            </w:r>
          </w:p>
        </w:tc>
      </w:tr>
      <w:tr w:rsidR="00C76CEE" w:rsidRPr="00023A3A" w14:paraId="58B121F9" w14:textId="77777777" w:rsidTr="00243FAB">
        <w:tc>
          <w:tcPr>
            <w:tcW w:w="993" w:type="dxa"/>
          </w:tcPr>
          <w:p w14:paraId="1F2AE38F" w14:textId="54A25A0D" w:rsidR="00C76CEE" w:rsidRPr="004302AC" w:rsidRDefault="00C76CEE" w:rsidP="00C76CEE">
            <w:pPr>
              <w:jc w:val="center"/>
              <w:rPr>
                <w:rFonts w:ascii="Arial" w:hAnsi="Arial"/>
                <w:sz w:val="22"/>
                <w:szCs w:val="22"/>
              </w:rPr>
            </w:pPr>
            <w:r w:rsidRPr="004302AC">
              <w:rPr>
                <w:rFonts w:ascii="Arial" w:hAnsi="Arial"/>
                <w:sz w:val="22"/>
                <w:szCs w:val="22"/>
              </w:rPr>
              <w:t>2</w:t>
            </w:r>
            <w:r w:rsidR="00AD2D75">
              <w:rPr>
                <w:rFonts w:ascii="Arial" w:hAnsi="Arial"/>
                <w:sz w:val="22"/>
                <w:szCs w:val="22"/>
              </w:rPr>
              <w:t>5</w:t>
            </w:r>
          </w:p>
        </w:tc>
        <w:tc>
          <w:tcPr>
            <w:tcW w:w="8364" w:type="dxa"/>
          </w:tcPr>
          <w:p w14:paraId="4B68A04B" w14:textId="12049EFF" w:rsidR="00C76CEE" w:rsidRPr="004302AC" w:rsidRDefault="00C76CEE" w:rsidP="00C76CEE">
            <w:pPr>
              <w:rPr>
                <w:rFonts w:ascii="Arial" w:hAnsi="Arial"/>
                <w:sz w:val="22"/>
                <w:szCs w:val="22"/>
              </w:rPr>
            </w:pPr>
            <w:r w:rsidRPr="004302AC">
              <w:rPr>
                <w:rFonts w:ascii="Arial" w:hAnsi="Arial"/>
                <w:sz w:val="22"/>
                <w:szCs w:val="22"/>
              </w:rPr>
              <w:t>Cash Flow Statement-adjustments to net (surplus)/deficit on the provision of services for non-cash movement</w:t>
            </w:r>
          </w:p>
        </w:tc>
        <w:tc>
          <w:tcPr>
            <w:tcW w:w="708" w:type="dxa"/>
          </w:tcPr>
          <w:p w14:paraId="07DA31B2" w14:textId="3DAAFC10" w:rsidR="00C76CEE" w:rsidRPr="00167BD9" w:rsidRDefault="00AA6698" w:rsidP="00C76CEE">
            <w:pPr>
              <w:jc w:val="center"/>
              <w:rPr>
                <w:rFonts w:ascii="Arial" w:hAnsi="Arial"/>
                <w:sz w:val="22"/>
                <w:szCs w:val="22"/>
              </w:rPr>
            </w:pPr>
            <w:r>
              <w:rPr>
                <w:rFonts w:ascii="Arial" w:hAnsi="Arial"/>
                <w:sz w:val="22"/>
                <w:szCs w:val="22"/>
              </w:rPr>
              <w:t>6</w:t>
            </w:r>
            <w:r w:rsidR="007644A5">
              <w:rPr>
                <w:rFonts w:ascii="Arial" w:hAnsi="Arial"/>
                <w:sz w:val="22"/>
                <w:szCs w:val="22"/>
              </w:rPr>
              <w:t>8</w:t>
            </w:r>
          </w:p>
        </w:tc>
      </w:tr>
      <w:tr w:rsidR="00C76CEE" w:rsidRPr="00023A3A" w14:paraId="0D064B30" w14:textId="77777777" w:rsidTr="00243FAB">
        <w:tc>
          <w:tcPr>
            <w:tcW w:w="993" w:type="dxa"/>
          </w:tcPr>
          <w:p w14:paraId="1E714306" w14:textId="1AEE26DF" w:rsidR="00C76CEE" w:rsidRPr="004302AC" w:rsidRDefault="00C76CEE" w:rsidP="00C76CEE">
            <w:pPr>
              <w:jc w:val="center"/>
              <w:rPr>
                <w:rFonts w:ascii="Arial" w:hAnsi="Arial"/>
                <w:sz w:val="22"/>
                <w:szCs w:val="22"/>
              </w:rPr>
            </w:pPr>
            <w:r w:rsidRPr="004302AC">
              <w:rPr>
                <w:rFonts w:ascii="Arial" w:hAnsi="Arial"/>
                <w:sz w:val="22"/>
                <w:szCs w:val="22"/>
              </w:rPr>
              <w:t>2</w:t>
            </w:r>
            <w:r w:rsidR="00AD2D75">
              <w:rPr>
                <w:rFonts w:ascii="Arial" w:hAnsi="Arial"/>
                <w:sz w:val="22"/>
                <w:szCs w:val="22"/>
              </w:rPr>
              <w:t>6</w:t>
            </w:r>
          </w:p>
        </w:tc>
        <w:tc>
          <w:tcPr>
            <w:tcW w:w="8364" w:type="dxa"/>
          </w:tcPr>
          <w:p w14:paraId="7A24F06D" w14:textId="553D07B1" w:rsidR="00C76CEE" w:rsidRPr="004302AC" w:rsidRDefault="00C76CEE" w:rsidP="00C76CEE">
            <w:pPr>
              <w:rPr>
                <w:rFonts w:ascii="Arial" w:hAnsi="Arial"/>
                <w:sz w:val="22"/>
                <w:szCs w:val="22"/>
              </w:rPr>
            </w:pPr>
            <w:r w:rsidRPr="004302AC">
              <w:rPr>
                <w:rFonts w:ascii="Arial" w:hAnsi="Arial"/>
                <w:sz w:val="22"/>
                <w:szCs w:val="22"/>
              </w:rPr>
              <w:t>Cash Flow Statement –Adjustments for items included in the net (surplus)/deficit on provision of services that are investing and financing activities</w:t>
            </w:r>
          </w:p>
        </w:tc>
        <w:tc>
          <w:tcPr>
            <w:tcW w:w="708" w:type="dxa"/>
          </w:tcPr>
          <w:p w14:paraId="76288F17" w14:textId="5C810C6B" w:rsidR="00C76CEE" w:rsidRPr="00167BD9" w:rsidRDefault="00AA6698" w:rsidP="00C76CEE">
            <w:pPr>
              <w:jc w:val="center"/>
              <w:rPr>
                <w:rFonts w:ascii="Arial" w:hAnsi="Arial"/>
                <w:sz w:val="22"/>
                <w:szCs w:val="22"/>
              </w:rPr>
            </w:pPr>
            <w:r>
              <w:rPr>
                <w:rFonts w:ascii="Arial" w:hAnsi="Arial"/>
                <w:sz w:val="22"/>
                <w:szCs w:val="22"/>
              </w:rPr>
              <w:t>6</w:t>
            </w:r>
            <w:r w:rsidR="007644A5">
              <w:rPr>
                <w:rFonts w:ascii="Arial" w:hAnsi="Arial"/>
                <w:sz w:val="22"/>
                <w:szCs w:val="22"/>
              </w:rPr>
              <w:t>8</w:t>
            </w:r>
          </w:p>
        </w:tc>
      </w:tr>
      <w:tr w:rsidR="00C76CEE" w:rsidRPr="00023A3A" w14:paraId="1CEDEFC3" w14:textId="77777777" w:rsidTr="00243FAB">
        <w:tc>
          <w:tcPr>
            <w:tcW w:w="993" w:type="dxa"/>
          </w:tcPr>
          <w:p w14:paraId="457F1E38" w14:textId="2549FE7B" w:rsidR="00C76CEE" w:rsidRPr="004302AC" w:rsidRDefault="00C76CEE" w:rsidP="00C76CEE">
            <w:pPr>
              <w:jc w:val="center"/>
              <w:rPr>
                <w:rFonts w:ascii="Arial" w:hAnsi="Arial"/>
                <w:sz w:val="22"/>
                <w:szCs w:val="22"/>
              </w:rPr>
            </w:pPr>
            <w:r w:rsidRPr="004302AC">
              <w:rPr>
                <w:rFonts w:ascii="Arial" w:hAnsi="Arial"/>
                <w:sz w:val="22"/>
                <w:szCs w:val="22"/>
              </w:rPr>
              <w:t>2</w:t>
            </w:r>
            <w:r w:rsidR="00AD2D75">
              <w:rPr>
                <w:rFonts w:ascii="Arial" w:hAnsi="Arial"/>
                <w:sz w:val="22"/>
                <w:szCs w:val="22"/>
              </w:rPr>
              <w:t>7</w:t>
            </w:r>
          </w:p>
        </w:tc>
        <w:tc>
          <w:tcPr>
            <w:tcW w:w="8364" w:type="dxa"/>
          </w:tcPr>
          <w:p w14:paraId="38B72382" w14:textId="27BE7A54" w:rsidR="00C76CEE" w:rsidRPr="004302AC" w:rsidRDefault="00C76CEE" w:rsidP="00C76CEE">
            <w:pPr>
              <w:rPr>
                <w:rFonts w:ascii="Arial" w:hAnsi="Arial"/>
                <w:sz w:val="22"/>
                <w:szCs w:val="22"/>
              </w:rPr>
            </w:pPr>
            <w:r w:rsidRPr="004302AC">
              <w:rPr>
                <w:rFonts w:ascii="Arial" w:hAnsi="Arial"/>
                <w:sz w:val="22"/>
                <w:szCs w:val="22"/>
              </w:rPr>
              <w:t>Cash Flow Statement – Investing activities</w:t>
            </w:r>
          </w:p>
        </w:tc>
        <w:tc>
          <w:tcPr>
            <w:tcW w:w="708" w:type="dxa"/>
          </w:tcPr>
          <w:p w14:paraId="64DA11E8" w14:textId="1C3D9CD0" w:rsidR="00C76CEE" w:rsidRPr="00167BD9" w:rsidRDefault="00AA6698" w:rsidP="00C76CEE">
            <w:pPr>
              <w:jc w:val="center"/>
              <w:rPr>
                <w:rFonts w:ascii="Arial" w:hAnsi="Arial"/>
                <w:sz w:val="22"/>
                <w:szCs w:val="22"/>
              </w:rPr>
            </w:pPr>
            <w:r>
              <w:rPr>
                <w:rFonts w:ascii="Arial" w:hAnsi="Arial"/>
                <w:sz w:val="22"/>
                <w:szCs w:val="22"/>
              </w:rPr>
              <w:t>6</w:t>
            </w:r>
            <w:r w:rsidR="007644A5">
              <w:rPr>
                <w:rFonts w:ascii="Arial" w:hAnsi="Arial"/>
                <w:sz w:val="22"/>
                <w:szCs w:val="22"/>
              </w:rPr>
              <w:t>8</w:t>
            </w:r>
          </w:p>
        </w:tc>
      </w:tr>
      <w:tr w:rsidR="00C76CEE" w:rsidRPr="00023A3A" w14:paraId="6FD1BF2F" w14:textId="77777777" w:rsidTr="00243FAB">
        <w:tc>
          <w:tcPr>
            <w:tcW w:w="993" w:type="dxa"/>
          </w:tcPr>
          <w:p w14:paraId="6F13D6B1" w14:textId="7F1532AA" w:rsidR="00C76CEE" w:rsidRPr="004302AC" w:rsidRDefault="00C76CEE" w:rsidP="00C76CEE">
            <w:pPr>
              <w:jc w:val="center"/>
              <w:rPr>
                <w:rFonts w:ascii="Arial" w:hAnsi="Arial"/>
                <w:sz w:val="22"/>
                <w:szCs w:val="22"/>
              </w:rPr>
            </w:pPr>
            <w:r w:rsidRPr="004302AC">
              <w:rPr>
                <w:rFonts w:ascii="Arial" w:hAnsi="Arial"/>
                <w:sz w:val="22"/>
                <w:szCs w:val="22"/>
              </w:rPr>
              <w:t>2</w:t>
            </w:r>
            <w:r w:rsidR="00AD2D75">
              <w:rPr>
                <w:rFonts w:ascii="Arial" w:hAnsi="Arial"/>
                <w:sz w:val="22"/>
                <w:szCs w:val="22"/>
              </w:rPr>
              <w:t>8</w:t>
            </w:r>
          </w:p>
        </w:tc>
        <w:tc>
          <w:tcPr>
            <w:tcW w:w="8364" w:type="dxa"/>
          </w:tcPr>
          <w:p w14:paraId="67202FBF" w14:textId="4B8ADB34" w:rsidR="00C76CEE" w:rsidRPr="004302AC" w:rsidRDefault="00C76CEE" w:rsidP="00C76CEE">
            <w:pPr>
              <w:rPr>
                <w:rFonts w:ascii="Arial" w:hAnsi="Arial"/>
                <w:sz w:val="22"/>
                <w:szCs w:val="22"/>
              </w:rPr>
            </w:pPr>
            <w:r w:rsidRPr="004302AC">
              <w:rPr>
                <w:rFonts w:ascii="Arial" w:hAnsi="Arial"/>
                <w:sz w:val="22"/>
                <w:szCs w:val="22"/>
              </w:rPr>
              <w:t>Cash Flow Statement –Cash flows from financing activities</w:t>
            </w:r>
          </w:p>
        </w:tc>
        <w:tc>
          <w:tcPr>
            <w:tcW w:w="708" w:type="dxa"/>
          </w:tcPr>
          <w:p w14:paraId="58D49E82" w14:textId="378267A2" w:rsidR="00C76CEE" w:rsidRPr="00167BD9" w:rsidRDefault="007644A5" w:rsidP="00C76CEE">
            <w:pPr>
              <w:jc w:val="center"/>
              <w:rPr>
                <w:rFonts w:ascii="Arial" w:hAnsi="Arial"/>
                <w:sz w:val="22"/>
                <w:szCs w:val="22"/>
              </w:rPr>
            </w:pPr>
            <w:r>
              <w:rPr>
                <w:rFonts w:ascii="Arial" w:hAnsi="Arial"/>
                <w:sz w:val="22"/>
                <w:szCs w:val="22"/>
              </w:rPr>
              <w:t>69</w:t>
            </w:r>
          </w:p>
        </w:tc>
      </w:tr>
      <w:tr w:rsidR="00C76CEE" w:rsidRPr="00023A3A" w14:paraId="2A468DC4" w14:textId="77777777" w:rsidTr="00243FAB">
        <w:tc>
          <w:tcPr>
            <w:tcW w:w="993" w:type="dxa"/>
          </w:tcPr>
          <w:p w14:paraId="5CA065BC" w14:textId="756E20E1" w:rsidR="00C76CEE" w:rsidRPr="004302AC" w:rsidRDefault="00C76CEE" w:rsidP="00C76CEE">
            <w:pPr>
              <w:jc w:val="center"/>
              <w:rPr>
                <w:rFonts w:ascii="Arial" w:hAnsi="Arial"/>
                <w:sz w:val="22"/>
                <w:szCs w:val="22"/>
              </w:rPr>
            </w:pPr>
            <w:r w:rsidRPr="004302AC">
              <w:rPr>
                <w:rFonts w:ascii="Arial" w:hAnsi="Arial"/>
                <w:sz w:val="22"/>
                <w:szCs w:val="22"/>
              </w:rPr>
              <w:t>2</w:t>
            </w:r>
            <w:r w:rsidR="00AD2D75">
              <w:rPr>
                <w:rFonts w:ascii="Arial" w:hAnsi="Arial"/>
                <w:sz w:val="22"/>
                <w:szCs w:val="22"/>
              </w:rPr>
              <w:t>9</w:t>
            </w:r>
          </w:p>
        </w:tc>
        <w:tc>
          <w:tcPr>
            <w:tcW w:w="8364" w:type="dxa"/>
          </w:tcPr>
          <w:p w14:paraId="106BBA49" w14:textId="0423121D" w:rsidR="00C76CEE" w:rsidRPr="004302AC" w:rsidRDefault="00C76CEE" w:rsidP="00C76CEE">
            <w:pPr>
              <w:rPr>
                <w:rFonts w:ascii="Arial" w:hAnsi="Arial"/>
                <w:sz w:val="22"/>
                <w:szCs w:val="22"/>
              </w:rPr>
            </w:pPr>
            <w:r w:rsidRPr="004302AC">
              <w:rPr>
                <w:rFonts w:ascii="Arial" w:hAnsi="Arial"/>
                <w:sz w:val="22"/>
                <w:szCs w:val="22"/>
              </w:rPr>
              <w:t>Financial Instruments</w:t>
            </w:r>
          </w:p>
        </w:tc>
        <w:tc>
          <w:tcPr>
            <w:tcW w:w="708" w:type="dxa"/>
          </w:tcPr>
          <w:p w14:paraId="0FD645F5" w14:textId="2ED1D6F9" w:rsidR="00C76CEE" w:rsidRPr="00167BD9" w:rsidRDefault="00116E27" w:rsidP="00C76CEE">
            <w:pPr>
              <w:jc w:val="center"/>
              <w:rPr>
                <w:rFonts w:ascii="Arial" w:hAnsi="Arial"/>
                <w:sz w:val="22"/>
                <w:szCs w:val="22"/>
              </w:rPr>
            </w:pPr>
            <w:r>
              <w:rPr>
                <w:rFonts w:ascii="Arial" w:hAnsi="Arial"/>
                <w:sz w:val="22"/>
                <w:szCs w:val="22"/>
              </w:rPr>
              <w:t>7</w:t>
            </w:r>
            <w:r w:rsidR="007644A5">
              <w:rPr>
                <w:rFonts w:ascii="Arial" w:hAnsi="Arial"/>
                <w:sz w:val="22"/>
                <w:szCs w:val="22"/>
              </w:rPr>
              <w:t>0</w:t>
            </w:r>
          </w:p>
        </w:tc>
      </w:tr>
      <w:tr w:rsidR="00C76CEE" w:rsidRPr="00023A3A" w14:paraId="05BDC106" w14:textId="77777777" w:rsidTr="00243FAB">
        <w:tc>
          <w:tcPr>
            <w:tcW w:w="993" w:type="dxa"/>
          </w:tcPr>
          <w:p w14:paraId="6FB94FCC" w14:textId="4E0ACA8E" w:rsidR="00C76CEE" w:rsidRPr="004302AC" w:rsidRDefault="00AD2D75" w:rsidP="00C76CEE">
            <w:pPr>
              <w:jc w:val="center"/>
              <w:rPr>
                <w:rFonts w:ascii="Arial" w:hAnsi="Arial"/>
                <w:sz w:val="22"/>
                <w:szCs w:val="22"/>
              </w:rPr>
            </w:pPr>
            <w:r>
              <w:rPr>
                <w:rFonts w:ascii="Arial" w:hAnsi="Arial"/>
                <w:sz w:val="22"/>
                <w:szCs w:val="22"/>
              </w:rPr>
              <w:t>30</w:t>
            </w:r>
          </w:p>
        </w:tc>
        <w:tc>
          <w:tcPr>
            <w:tcW w:w="8364" w:type="dxa"/>
          </w:tcPr>
          <w:p w14:paraId="33373CC5" w14:textId="7E62E134" w:rsidR="00C76CEE" w:rsidRPr="004302AC" w:rsidRDefault="00C76CEE" w:rsidP="00C76CEE">
            <w:pPr>
              <w:rPr>
                <w:rFonts w:ascii="Arial" w:hAnsi="Arial"/>
                <w:sz w:val="22"/>
                <w:szCs w:val="22"/>
              </w:rPr>
            </w:pPr>
            <w:r w:rsidRPr="004302AC">
              <w:rPr>
                <w:rFonts w:ascii="Arial" w:hAnsi="Arial"/>
                <w:sz w:val="22"/>
                <w:szCs w:val="22"/>
              </w:rPr>
              <w:t>Defined benefit post-employment benefits</w:t>
            </w:r>
          </w:p>
        </w:tc>
        <w:tc>
          <w:tcPr>
            <w:tcW w:w="708" w:type="dxa"/>
          </w:tcPr>
          <w:p w14:paraId="69232E8D" w14:textId="463B3E0F" w:rsidR="00C76CEE" w:rsidRPr="00167BD9" w:rsidRDefault="00C76CEE" w:rsidP="00C76CEE">
            <w:pPr>
              <w:jc w:val="center"/>
              <w:rPr>
                <w:rFonts w:ascii="Arial" w:hAnsi="Arial"/>
                <w:sz w:val="22"/>
                <w:szCs w:val="22"/>
              </w:rPr>
            </w:pPr>
            <w:r w:rsidRPr="00167BD9">
              <w:rPr>
                <w:rFonts w:ascii="Arial" w:hAnsi="Arial"/>
                <w:sz w:val="22"/>
                <w:szCs w:val="22"/>
              </w:rPr>
              <w:t>7</w:t>
            </w:r>
            <w:r w:rsidR="007644A5">
              <w:rPr>
                <w:rFonts w:ascii="Arial" w:hAnsi="Arial"/>
                <w:sz w:val="22"/>
                <w:szCs w:val="22"/>
              </w:rPr>
              <w:t>6</w:t>
            </w:r>
          </w:p>
        </w:tc>
      </w:tr>
      <w:tr w:rsidR="00C76CEE" w:rsidRPr="00023A3A" w14:paraId="50427E5B" w14:textId="77777777" w:rsidTr="00243FAB">
        <w:tc>
          <w:tcPr>
            <w:tcW w:w="993" w:type="dxa"/>
          </w:tcPr>
          <w:p w14:paraId="5BA2C8F0" w14:textId="7B00DE65" w:rsidR="00C76CEE" w:rsidRPr="004302AC" w:rsidRDefault="006D0B25" w:rsidP="00C76CEE">
            <w:pPr>
              <w:jc w:val="center"/>
              <w:rPr>
                <w:rFonts w:ascii="Arial" w:hAnsi="Arial"/>
                <w:sz w:val="22"/>
                <w:szCs w:val="22"/>
              </w:rPr>
            </w:pPr>
            <w:r>
              <w:rPr>
                <w:rFonts w:ascii="Arial" w:hAnsi="Arial"/>
                <w:sz w:val="22"/>
                <w:szCs w:val="22"/>
              </w:rPr>
              <w:t>3</w:t>
            </w:r>
            <w:r w:rsidR="00AD2D75">
              <w:rPr>
                <w:rFonts w:ascii="Arial" w:hAnsi="Arial"/>
                <w:sz w:val="22"/>
                <w:szCs w:val="22"/>
              </w:rPr>
              <w:t>1</w:t>
            </w:r>
          </w:p>
        </w:tc>
        <w:tc>
          <w:tcPr>
            <w:tcW w:w="8364" w:type="dxa"/>
          </w:tcPr>
          <w:p w14:paraId="0F037D27" w14:textId="5F561B78" w:rsidR="00C76CEE" w:rsidRPr="004302AC" w:rsidRDefault="00C76CEE" w:rsidP="00C76CEE">
            <w:pPr>
              <w:rPr>
                <w:rFonts w:ascii="Arial" w:hAnsi="Arial"/>
                <w:sz w:val="22"/>
                <w:szCs w:val="22"/>
              </w:rPr>
            </w:pPr>
            <w:r w:rsidRPr="004302AC">
              <w:rPr>
                <w:rFonts w:ascii="Arial" w:hAnsi="Arial"/>
                <w:sz w:val="22"/>
                <w:szCs w:val="22"/>
              </w:rPr>
              <w:t>Related parties</w:t>
            </w:r>
          </w:p>
        </w:tc>
        <w:tc>
          <w:tcPr>
            <w:tcW w:w="708" w:type="dxa"/>
          </w:tcPr>
          <w:p w14:paraId="13E4EC1B" w14:textId="4E7743DE" w:rsidR="00C76CEE" w:rsidRPr="00167BD9" w:rsidRDefault="00C76CEE" w:rsidP="00C76CEE">
            <w:pPr>
              <w:jc w:val="center"/>
              <w:rPr>
                <w:rFonts w:ascii="Arial" w:hAnsi="Arial"/>
                <w:sz w:val="22"/>
                <w:szCs w:val="22"/>
              </w:rPr>
            </w:pPr>
            <w:r w:rsidRPr="00167BD9">
              <w:rPr>
                <w:rFonts w:ascii="Arial" w:hAnsi="Arial"/>
                <w:sz w:val="22"/>
                <w:szCs w:val="22"/>
              </w:rPr>
              <w:t>9</w:t>
            </w:r>
            <w:r w:rsidR="007644A5">
              <w:rPr>
                <w:rFonts w:ascii="Arial" w:hAnsi="Arial"/>
                <w:sz w:val="22"/>
                <w:szCs w:val="22"/>
              </w:rPr>
              <w:t>5</w:t>
            </w:r>
          </w:p>
        </w:tc>
      </w:tr>
      <w:tr w:rsidR="00C76CEE" w:rsidRPr="00023A3A" w14:paraId="12BDA239" w14:textId="77777777" w:rsidTr="00243FAB">
        <w:tc>
          <w:tcPr>
            <w:tcW w:w="993" w:type="dxa"/>
          </w:tcPr>
          <w:p w14:paraId="6A707636" w14:textId="7B94A486" w:rsidR="00C76CEE" w:rsidRPr="004302AC" w:rsidRDefault="00C76CEE" w:rsidP="00C76CEE">
            <w:pPr>
              <w:jc w:val="center"/>
              <w:rPr>
                <w:rFonts w:ascii="Arial" w:hAnsi="Arial"/>
                <w:sz w:val="22"/>
                <w:szCs w:val="22"/>
              </w:rPr>
            </w:pPr>
            <w:r w:rsidRPr="004302AC">
              <w:rPr>
                <w:rFonts w:ascii="Arial" w:hAnsi="Arial"/>
                <w:sz w:val="22"/>
                <w:szCs w:val="22"/>
              </w:rPr>
              <w:t>3</w:t>
            </w:r>
            <w:r w:rsidR="00AD2D75">
              <w:rPr>
                <w:rFonts w:ascii="Arial" w:hAnsi="Arial"/>
                <w:sz w:val="22"/>
                <w:szCs w:val="22"/>
              </w:rPr>
              <w:t>2</w:t>
            </w:r>
          </w:p>
        </w:tc>
        <w:tc>
          <w:tcPr>
            <w:tcW w:w="8364" w:type="dxa"/>
          </w:tcPr>
          <w:p w14:paraId="7773F4EB" w14:textId="298D330F" w:rsidR="00C76CEE" w:rsidRPr="004302AC" w:rsidRDefault="00C76CEE" w:rsidP="00C76CEE">
            <w:pPr>
              <w:rPr>
                <w:rFonts w:ascii="Arial" w:hAnsi="Arial"/>
                <w:sz w:val="22"/>
                <w:szCs w:val="22"/>
              </w:rPr>
            </w:pPr>
            <w:r w:rsidRPr="004302AC">
              <w:rPr>
                <w:rFonts w:ascii="Arial" w:hAnsi="Arial"/>
                <w:sz w:val="22"/>
                <w:szCs w:val="22"/>
              </w:rPr>
              <w:t>External audit costs</w:t>
            </w:r>
          </w:p>
        </w:tc>
        <w:tc>
          <w:tcPr>
            <w:tcW w:w="708" w:type="dxa"/>
          </w:tcPr>
          <w:p w14:paraId="3687CC84" w14:textId="797D41EC" w:rsidR="00C76CEE" w:rsidRPr="00167BD9" w:rsidRDefault="00C76CEE" w:rsidP="00C76CEE">
            <w:pPr>
              <w:jc w:val="center"/>
              <w:rPr>
                <w:rFonts w:ascii="Arial" w:hAnsi="Arial"/>
                <w:sz w:val="22"/>
                <w:szCs w:val="22"/>
              </w:rPr>
            </w:pPr>
            <w:r w:rsidRPr="00167BD9">
              <w:rPr>
                <w:rFonts w:ascii="Arial" w:hAnsi="Arial"/>
                <w:sz w:val="22"/>
                <w:szCs w:val="22"/>
              </w:rPr>
              <w:t>9</w:t>
            </w:r>
            <w:r w:rsidR="007644A5">
              <w:rPr>
                <w:rFonts w:ascii="Arial" w:hAnsi="Arial"/>
                <w:sz w:val="22"/>
                <w:szCs w:val="22"/>
              </w:rPr>
              <w:t>5</w:t>
            </w:r>
          </w:p>
        </w:tc>
      </w:tr>
      <w:tr w:rsidR="00C76CEE" w:rsidRPr="00023A3A" w14:paraId="644356A3" w14:textId="77777777" w:rsidTr="00243FAB">
        <w:tc>
          <w:tcPr>
            <w:tcW w:w="993" w:type="dxa"/>
            <w:vAlign w:val="center"/>
          </w:tcPr>
          <w:p w14:paraId="10051603" w14:textId="7E6149F3" w:rsidR="00C76CEE" w:rsidRPr="004302AC" w:rsidRDefault="00C76CEE" w:rsidP="00C76CEE">
            <w:pPr>
              <w:jc w:val="center"/>
              <w:rPr>
                <w:rFonts w:ascii="Arial" w:hAnsi="Arial"/>
                <w:sz w:val="22"/>
                <w:szCs w:val="22"/>
              </w:rPr>
            </w:pPr>
            <w:r w:rsidRPr="004302AC">
              <w:rPr>
                <w:rFonts w:ascii="Arial" w:hAnsi="Arial"/>
                <w:sz w:val="22"/>
                <w:szCs w:val="22"/>
              </w:rPr>
              <w:t>3</w:t>
            </w:r>
            <w:r w:rsidR="00AD2D75">
              <w:rPr>
                <w:rFonts w:ascii="Arial" w:hAnsi="Arial"/>
                <w:sz w:val="22"/>
                <w:szCs w:val="22"/>
              </w:rPr>
              <w:t>3</w:t>
            </w:r>
          </w:p>
        </w:tc>
        <w:tc>
          <w:tcPr>
            <w:tcW w:w="8364" w:type="dxa"/>
          </w:tcPr>
          <w:p w14:paraId="2E2A387F" w14:textId="11DCFB0A" w:rsidR="00C76CEE" w:rsidRPr="004302AC" w:rsidRDefault="00C76CEE" w:rsidP="00C76CEE">
            <w:pPr>
              <w:rPr>
                <w:rFonts w:ascii="Arial" w:hAnsi="Arial"/>
                <w:sz w:val="22"/>
                <w:szCs w:val="22"/>
              </w:rPr>
            </w:pPr>
            <w:r w:rsidRPr="004302AC">
              <w:rPr>
                <w:rFonts w:ascii="Arial" w:hAnsi="Arial"/>
                <w:sz w:val="22"/>
                <w:szCs w:val="22"/>
              </w:rPr>
              <w:t>Contingent Liabilities</w:t>
            </w:r>
            <w:r w:rsidRPr="004302AC" w:rsidDel="008E3541">
              <w:rPr>
                <w:rFonts w:ascii="Arial" w:hAnsi="Arial"/>
                <w:sz w:val="22"/>
                <w:szCs w:val="22"/>
              </w:rPr>
              <w:t xml:space="preserve"> </w:t>
            </w:r>
          </w:p>
        </w:tc>
        <w:tc>
          <w:tcPr>
            <w:tcW w:w="708" w:type="dxa"/>
          </w:tcPr>
          <w:p w14:paraId="24C63DF3" w14:textId="0444A22E" w:rsidR="00C76CEE" w:rsidRPr="00167BD9" w:rsidRDefault="00C76CEE" w:rsidP="00C76CEE">
            <w:pPr>
              <w:jc w:val="center"/>
              <w:rPr>
                <w:rFonts w:ascii="Arial" w:hAnsi="Arial"/>
                <w:sz w:val="22"/>
                <w:szCs w:val="22"/>
              </w:rPr>
            </w:pPr>
            <w:r w:rsidRPr="00167BD9">
              <w:rPr>
                <w:rFonts w:ascii="Arial" w:hAnsi="Arial"/>
                <w:sz w:val="22"/>
                <w:szCs w:val="22"/>
              </w:rPr>
              <w:t>9</w:t>
            </w:r>
            <w:r w:rsidR="007644A5">
              <w:rPr>
                <w:rFonts w:ascii="Arial" w:hAnsi="Arial"/>
                <w:sz w:val="22"/>
                <w:szCs w:val="22"/>
              </w:rPr>
              <w:t>6</w:t>
            </w:r>
          </w:p>
        </w:tc>
      </w:tr>
    </w:tbl>
    <w:p w14:paraId="2D2E504A" w14:textId="77777777" w:rsidR="00967E4B" w:rsidRPr="00D33DE0" w:rsidRDefault="00967E4B" w:rsidP="003B74DA">
      <w:pPr>
        <w:jc w:val="center"/>
        <w:rPr>
          <w:rFonts w:ascii="Arial" w:hAnsi="Arial"/>
          <w:b/>
        </w:rPr>
      </w:pPr>
    </w:p>
    <w:p w14:paraId="6F791BAD" w14:textId="77777777" w:rsidR="003B74DA" w:rsidRDefault="003B74DA" w:rsidP="003B74DA">
      <w:pPr>
        <w:jc w:val="center"/>
        <w:rPr>
          <w:rFonts w:ascii="Arial" w:hAnsi="Arial"/>
          <w:b/>
          <w:sz w:val="28"/>
        </w:rPr>
        <w:sectPr w:rsidR="003B74DA" w:rsidSect="00A00487">
          <w:headerReference w:type="even" r:id="rId53"/>
          <w:headerReference w:type="default" r:id="rId54"/>
          <w:headerReference w:type="first" r:id="rId55"/>
          <w:pgSz w:w="11906" w:h="16838" w:code="9"/>
          <w:pgMar w:top="720" w:right="720" w:bottom="720" w:left="720" w:header="397" w:footer="709" w:gutter="0"/>
          <w:cols w:space="708"/>
          <w:docGrid w:linePitch="360"/>
        </w:sectPr>
      </w:pPr>
    </w:p>
    <w:p w14:paraId="14279D7B" w14:textId="77777777" w:rsidR="003B74DA" w:rsidRDefault="003B74DA" w:rsidP="003B74DA">
      <w:pPr>
        <w:numPr>
          <w:ilvl w:val="0"/>
          <w:numId w:val="1"/>
        </w:numPr>
        <w:tabs>
          <w:tab w:val="clear" w:pos="720"/>
          <w:tab w:val="num" w:pos="426"/>
          <w:tab w:val="right" w:pos="5760"/>
        </w:tabs>
        <w:rPr>
          <w:rFonts w:ascii="Arial" w:hAnsi="Arial"/>
          <w:b/>
          <w:sz w:val="24"/>
        </w:rPr>
      </w:pPr>
      <w:r>
        <w:rPr>
          <w:rFonts w:ascii="Arial" w:hAnsi="Arial"/>
          <w:b/>
          <w:sz w:val="24"/>
        </w:rPr>
        <w:lastRenderedPageBreak/>
        <w:t>EXPENDITURE AND FUNDING ANALYSIS</w:t>
      </w:r>
    </w:p>
    <w:p w14:paraId="4ED1453C" w14:textId="77777777" w:rsidR="003B74DA" w:rsidRDefault="003B74DA" w:rsidP="003B74DA">
      <w:pPr>
        <w:tabs>
          <w:tab w:val="right" w:pos="5760"/>
        </w:tabs>
        <w:ind w:left="720"/>
        <w:rPr>
          <w:rFonts w:ascii="Arial" w:hAnsi="Arial"/>
          <w:b/>
          <w:sz w:val="24"/>
        </w:rPr>
      </w:pPr>
    </w:p>
    <w:p w14:paraId="4D59E88F" w14:textId="789622AA" w:rsidR="003B74DA" w:rsidRDefault="003B74DA" w:rsidP="003B74DA">
      <w:pPr>
        <w:tabs>
          <w:tab w:val="right" w:pos="5760"/>
        </w:tabs>
        <w:ind w:left="720"/>
        <w:jc w:val="both"/>
        <w:rPr>
          <w:rFonts w:ascii="Arial" w:hAnsi="Arial"/>
          <w:sz w:val="22"/>
          <w:szCs w:val="22"/>
        </w:rPr>
      </w:pPr>
      <w:r>
        <w:rPr>
          <w:rFonts w:ascii="Arial" w:hAnsi="Arial"/>
          <w:sz w:val="22"/>
          <w:szCs w:val="22"/>
        </w:rPr>
        <w:t>The Expenditure and Funding Analysis shows how annual expenditure is used and funded from resources e.g. government grants and council tax by local authorities in comparison with those resources consumed or earned by authorities in accordance with generally accepted practices. It also shows how this expenditure is allocated for decision-making purposes between budget areas. Income and expenditure accounted for under generally accepted practices is presented more fully in the Comprehensive Income and Expenditure Statement.</w:t>
      </w:r>
    </w:p>
    <w:p w14:paraId="0D3BA705" w14:textId="77777777" w:rsidR="003B74DA" w:rsidRDefault="003B74DA" w:rsidP="003B74DA">
      <w:pPr>
        <w:tabs>
          <w:tab w:val="right" w:pos="5760"/>
        </w:tabs>
        <w:ind w:left="720"/>
        <w:jc w:val="both"/>
        <w:rPr>
          <w:rFonts w:ascii="Arial" w:hAnsi="Arial"/>
          <w:sz w:val="22"/>
          <w:szCs w:val="22"/>
        </w:rPr>
      </w:pPr>
    </w:p>
    <w:p w14:paraId="42656862" w14:textId="1CC915DF" w:rsidR="005F397F" w:rsidRPr="00172E65" w:rsidRDefault="003B74DA" w:rsidP="00AA2CED">
      <w:pPr>
        <w:ind w:firstLine="720"/>
        <w:rPr>
          <w:rFonts w:ascii="Arial" w:hAnsi="Arial"/>
          <w:b/>
          <w:sz w:val="22"/>
          <w:szCs w:val="22"/>
        </w:rPr>
      </w:pPr>
      <w:r w:rsidRPr="00172E65">
        <w:rPr>
          <w:rFonts w:ascii="Arial" w:hAnsi="Arial"/>
          <w:b/>
          <w:sz w:val="22"/>
          <w:szCs w:val="22"/>
        </w:rPr>
        <w:t xml:space="preserve">PCC GROUP </w:t>
      </w:r>
      <w:r w:rsidR="00C37E7F">
        <w:rPr>
          <w:rFonts w:ascii="Arial" w:hAnsi="Arial"/>
          <w:b/>
          <w:sz w:val="22"/>
          <w:szCs w:val="22"/>
        </w:rPr>
        <w:t>2024/25</w:t>
      </w:r>
    </w:p>
    <w:tbl>
      <w:tblPr>
        <w:tblW w:w="15605" w:type="dxa"/>
        <w:tblLook w:val="04A0" w:firstRow="1" w:lastRow="0" w:firstColumn="1" w:lastColumn="0" w:noHBand="0" w:noVBand="1"/>
      </w:tblPr>
      <w:tblGrid>
        <w:gridCol w:w="2989"/>
        <w:gridCol w:w="2363"/>
        <w:gridCol w:w="2711"/>
        <w:gridCol w:w="2384"/>
        <w:gridCol w:w="2450"/>
        <w:gridCol w:w="2708"/>
      </w:tblGrid>
      <w:tr w:rsidR="00634844" w:rsidRPr="00634844" w14:paraId="46CB4319" w14:textId="77777777" w:rsidTr="00634844">
        <w:trPr>
          <w:trHeight w:val="761"/>
        </w:trPr>
        <w:tc>
          <w:tcPr>
            <w:tcW w:w="2989" w:type="dxa"/>
            <w:tcBorders>
              <w:top w:val="single" w:sz="8" w:space="0" w:color="auto"/>
              <w:left w:val="single" w:sz="8" w:space="0" w:color="auto"/>
              <w:bottom w:val="nil"/>
              <w:right w:val="nil"/>
            </w:tcBorders>
            <w:vAlign w:val="center"/>
            <w:hideMark/>
          </w:tcPr>
          <w:p w14:paraId="10E0D24C" w14:textId="77777777" w:rsidR="00634844" w:rsidRPr="00634844" w:rsidRDefault="00634844" w:rsidP="00634844">
            <w:pPr>
              <w:rPr>
                <w:rFonts w:ascii="Arial" w:hAnsi="Arial" w:cs="Arial"/>
                <w:b/>
                <w:bCs/>
                <w:color w:val="000000"/>
                <w:sz w:val="22"/>
                <w:szCs w:val="22"/>
              </w:rPr>
            </w:pPr>
            <w:bookmarkStart w:id="11" w:name="_Hlk196996717"/>
            <w:r w:rsidRPr="00634844">
              <w:rPr>
                <w:rFonts w:ascii="Arial" w:hAnsi="Arial" w:cs="Arial"/>
                <w:b/>
                <w:bCs/>
                <w:color w:val="000000"/>
                <w:sz w:val="22"/>
                <w:szCs w:val="22"/>
              </w:rPr>
              <w:t> </w:t>
            </w:r>
          </w:p>
        </w:tc>
        <w:tc>
          <w:tcPr>
            <w:tcW w:w="2363" w:type="dxa"/>
            <w:tcBorders>
              <w:top w:val="single" w:sz="8" w:space="0" w:color="auto"/>
              <w:left w:val="nil"/>
              <w:bottom w:val="nil"/>
              <w:right w:val="nil"/>
            </w:tcBorders>
            <w:shd w:val="clear" w:color="000000" w:fill="CCCCCC"/>
            <w:vAlign w:val="center"/>
            <w:hideMark/>
          </w:tcPr>
          <w:p w14:paraId="1BF06F8C"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Outturn position as reported to management</w:t>
            </w:r>
          </w:p>
        </w:tc>
        <w:tc>
          <w:tcPr>
            <w:tcW w:w="2711" w:type="dxa"/>
            <w:tcBorders>
              <w:top w:val="single" w:sz="8" w:space="0" w:color="auto"/>
              <w:left w:val="nil"/>
              <w:bottom w:val="nil"/>
              <w:right w:val="nil"/>
            </w:tcBorders>
            <w:shd w:val="clear" w:color="000000" w:fill="CCCCCC"/>
            <w:vAlign w:val="center"/>
            <w:hideMark/>
          </w:tcPr>
          <w:p w14:paraId="71F421B4"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 xml:space="preserve">Adjustments to arrive at net amount chargeable to Police General Fund* </w:t>
            </w:r>
          </w:p>
        </w:tc>
        <w:tc>
          <w:tcPr>
            <w:tcW w:w="2384" w:type="dxa"/>
            <w:tcBorders>
              <w:top w:val="single" w:sz="8" w:space="0" w:color="auto"/>
              <w:left w:val="nil"/>
              <w:bottom w:val="nil"/>
              <w:right w:val="nil"/>
            </w:tcBorders>
            <w:shd w:val="clear" w:color="000000" w:fill="CCCCCC"/>
            <w:vAlign w:val="center"/>
            <w:hideMark/>
          </w:tcPr>
          <w:p w14:paraId="3DBDDA0C"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Net expenditure chargeable to Police General Fund</w:t>
            </w:r>
          </w:p>
        </w:tc>
        <w:tc>
          <w:tcPr>
            <w:tcW w:w="2450" w:type="dxa"/>
            <w:tcBorders>
              <w:top w:val="single" w:sz="8" w:space="0" w:color="auto"/>
              <w:left w:val="nil"/>
              <w:bottom w:val="nil"/>
              <w:right w:val="nil"/>
            </w:tcBorders>
            <w:shd w:val="clear" w:color="000000" w:fill="CCCCCC"/>
            <w:vAlign w:val="center"/>
            <w:hideMark/>
          </w:tcPr>
          <w:p w14:paraId="3762C850"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Adjustments between the funding and accounting basis*</w:t>
            </w:r>
          </w:p>
        </w:tc>
        <w:tc>
          <w:tcPr>
            <w:tcW w:w="2708" w:type="dxa"/>
            <w:tcBorders>
              <w:top w:val="single" w:sz="8" w:space="0" w:color="auto"/>
              <w:left w:val="nil"/>
              <w:bottom w:val="nil"/>
              <w:right w:val="single" w:sz="8" w:space="0" w:color="auto"/>
            </w:tcBorders>
            <w:shd w:val="clear" w:color="000000" w:fill="CCCCCC"/>
            <w:vAlign w:val="center"/>
            <w:hideMark/>
          </w:tcPr>
          <w:p w14:paraId="63AB899D"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Net expenditure Comprehensive Income &amp; Expenditure Statement</w:t>
            </w:r>
          </w:p>
        </w:tc>
      </w:tr>
      <w:tr w:rsidR="00634844" w:rsidRPr="00634844" w14:paraId="09CF901C" w14:textId="77777777" w:rsidTr="00634844">
        <w:trPr>
          <w:trHeight w:val="253"/>
        </w:trPr>
        <w:tc>
          <w:tcPr>
            <w:tcW w:w="2989" w:type="dxa"/>
            <w:tcBorders>
              <w:top w:val="nil"/>
              <w:left w:val="single" w:sz="8" w:space="0" w:color="auto"/>
              <w:bottom w:val="nil"/>
              <w:right w:val="nil"/>
            </w:tcBorders>
            <w:vAlign w:val="center"/>
            <w:hideMark/>
          </w:tcPr>
          <w:p w14:paraId="7ED9E19B" w14:textId="77777777" w:rsidR="00634844" w:rsidRPr="00634844" w:rsidRDefault="00634844" w:rsidP="00634844">
            <w:pPr>
              <w:rPr>
                <w:rFonts w:ascii="Arial" w:hAnsi="Arial" w:cs="Arial"/>
                <w:b/>
                <w:bCs/>
                <w:color w:val="000000"/>
                <w:sz w:val="22"/>
                <w:szCs w:val="22"/>
              </w:rPr>
            </w:pPr>
            <w:r w:rsidRPr="00634844">
              <w:rPr>
                <w:rFonts w:ascii="Arial" w:hAnsi="Arial" w:cs="Arial"/>
                <w:b/>
                <w:bCs/>
                <w:color w:val="000000"/>
                <w:sz w:val="22"/>
                <w:szCs w:val="22"/>
              </w:rPr>
              <w:t> </w:t>
            </w:r>
          </w:p>
        </w:tc>
        <w:tc>
          <w:tcPr>
            <w:tcW w:w="2363" w:type="dxa"/>
            <w:tcBorders>
              <w:top w:val="nil"/>
              <w:left w:val="nil"/>
              <w:bottom w:val="nil"/>
              <w:right w:val="nil"/>
            </w:tcBorders>
            <w:shd w:val="clear" w:color="000000" w:fill="CCCCCC"/>
            <w:vAlign w:val="center"/>
            <w:hideMark/>
          </w:tcPr>
          <w:p w14:paraId="07B0FB1C"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711" w:type="dxa"/>
            <w:tcBorders>
              <w:top w:val="nil"/>
              <w:left w:val="nil"/>
              <w:bottom w:val="nil"/>
              <w:right w:val="nil"/>
            </w:tcBorders>
            <w:shd w:val="clear" w:color="000000" w:fill="CCCCCC"/>
            <w:vAlign w:val="center"/>
            <w:hideMark/>
          </w:tcPr>
          <w:p w14:paraId="2B9E2821"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384" w:type="dxa"/>
            <w:tcBorders>
              <w:top w:val="nil"/>
              <w:left w:val="nil"/>
              <w:bottom w:val="nil"/>
              <w:right w:val="nil"/>
            </w:tcBorders>
            <w:shd w:val="clear" w:color="000000" w:fill="CCCCCC"/>
            <w:vAlign w:val="center"/>
            <w:hideMark/>
          </w:tcPr>
          <w:p w14:paraId="6D765459"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450" w:type="dxa"/>
            <w:tcBorders>
              <w:top w:val="nil"/>
              <w:left w:val="nil"/>
              <w:bottom w:val="nil"/>
              <w:right w:val="nil"/>
            </w:tcBorders>
            <w:shd w:val="clear" w:color="000000" w:fill="CCCCCC"/>
            <w:vAlign w:val="center"/>
            <w:hideMark/>
          </w:tcPr>
          <w:p w14:paraId="6F8EDCC8"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708" w:type="dxa"/>
            <w:tcBorders>
              <w:top w:val="nil"/>
              <w:left w:val="nil"/>
              <w:bottom w:val="nil"/>
              <w:right w:val="single" w:sz="8" w:space="0" w:color="auto"/>
            </w:tcBorders>
            <w:shd w:val="clear" w:color="000000" w:fill="CCCCCC"/>
            <w:vAlign w:val="center"/>
            <w:hideMark/>
          </w:tcPr>
          <w:p w14:paraId="56B8C7A3"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r>
      <w:tr w:rsidR="00634844" w:rsidRPr="00634844" w14:paraId="6212C1EC" w14:textId="77777777" w:rsidTr="00634844">
        <w:trPr>
          <w:trHeight w:val="253"/>
        </w:trPr>
        <w:tc>
          <w:tcPr>
            <w:tcW w:w="2989" w:type="dxa"/>
            <w:tcBorders>
              <w:top w:val="nil"/>
              <w:left w:val="single" w:sz="8" w:space="0" w:color="auto"/>
              <w:bottom w:val="nil"/>
              <w:right w:val="nil"/>
            </w:tcBorders>
            <w:vAlign w:val="center"/>
            <w:hideMark/>
          </w:tcPr>
          <w:p w14:paraId="7AD8381E" w14:textId="77777777" w:rsidR="00634844" w:rsidRPr="00634844" w:rsidRDefault="00634844" w:rsidP="00634844">
            <w:pPr>
              <w:rPr>
                <w:rFonts w:ascii="Arial" w:hAnsi="Arial" w:cs="Arial"/>
                <w:b/>
                <w:bCs/>
                <w:color w:val="000000"/>
              </w:rPr>
            </w:pPr>
            <w:r w:rsidRPr="00634844">
              <w:rPr>
                <w:rFonts w:ascii="Arial" w:hAnsi="Arial" w:cs="Arial"/>
                <w:b/>
                <w:bCs/>
                <w:color w:val="000000"/>
              </w:rPr>
              <w:t>Chief Constable:</w:t>
            </w:r>
          </w:p>
        </w:tc>
        <w:tc>
          <w:tcPr>
            <w:tcW w:w="2363" w:type="dxa"/>
            <w:tcBorders>
              <w:top w:val="nil"/>
              <w:left w:val="nil"/>
              <w:bottom w:val="nil"/>
              <w:right w:val="nil"/>
            </w:tcBorders>
            <w:shd w:val="clear" w:color="000000" w:fill="CCCCCC"/>
            <w:vAlign w:val="center"/>
            <w:hideMark/>
          </w:tcPr>
          <w:p w14:paraId="53EDCEB5" w14:textId="77777777" w:rsidR="00634844" w:rsidRPr="00634844" w:rsidRDefault="00634844" w:rsidP="00634844">
            <w:pPr>
              <w:rPr>
                <w:rFonts w:ascii="Arial" w:hAnsi="Arial" w:cs="Arial"/>
                <w:b/>
                <w:bCs/>
                <w:color w:val="000000"/>
              </w:rPr>
            </w:pPr>
            <w:r w:rsidRPr="00634844">
              <w:rPr>
                <w:rFonts w:ascii="Arial" w:hAnsi="Arial" w:cs="Arial"/>
                <w:b/>
                <w:bCs/>
                <w:color w:val="000000"/>
              </w:rPr>
              <w:t> </w:t>
            </w:r>
          </w:p>
        </w:tc>
        <w:tc>
          <w:tcPr>
            <w:tcW w:w="2711" w:type="dxa"/>
            <w:tcBorders>
              <w:top w:val="nil"/>
              <w:left w:val="nil"/>
              <w:bottom w:val="nil"/>
              <w:right w:val="nil"/>
            </w:tcBorders>
            <w:shd w:val="clear" w:color="000000" w:fill="CCCCCC"/>
            <w:vAlign w:val="center"/>
            <w:hideMark/>
          </w:tcPr>
          <w:p w14:paraId="651FE0AD" w14:textId="77777777" w:rsidR="00634844" w:rsidRPr="00634844" w:rsidRDefault="00634844" w:rsidP="00634844">
            <w:pPr>
              <w:rPr>
                <w:rFonts w:ascii="Arial" w:hAnsi="Arial" w:cs="Arial"/>
                <w:b/>
                <w:bCs/>
                <w:color w:val="000000"/>
              </w:rPr>
            </w:pPr>
            <w:r w:rsidRPr="00634844">
              <w:rPr>
                <w:rFonts w:ascii="Arial" w:hAnsi="Arial" w:cs="Arial"/>
                <w:b/>
                <w:bCs/>
                <w:color w:val="000000"/>
              </w:rPr>
              <w:t> </w:t>
            </w:r>
          </w:p>
        </w:tc>
        <w:tc>
          <w:tcPr>
            <w:tcW w:w="2384" w:type="dxa"/>
            <w:tcBorders>
              <w:top w:val="nil"/>
              <w:left w:val="nil"/>
              <w:bottom w:val="nil"/>
              <w:right w:val="nil"/>
            </w:tcBorders>
            <w:shd w:val="clear" w:color="000000" w:fill="CCCCCC"/>
            <w:vAlign w:val="center"/>
            <w:hideMark/>
          </w:tcPr>
          <w:p w14:paraId="12FB2E68" w14:textId="77777777" w:rsidR="00634844" w:rsidRPr="00634844" w:rsidRDefault="00634844" w:rsidP="00634844">
            <w:pPr>
              <w:rPr>
                <w:rFonts w:ascii="Arial" w:hAnsi="Arial" w:cs="Arial"/>
                <w:b/>
                <w:bCs/>
                <w:color w:val="000000"/>
              </w:rPr>
            </w:pPr>
            <w:r w:rsidRPr="00634844">
              <w:rPr>
                <w:rFonts w:ascii="Arial" w:hAnsi="Arial" w:cs="Arial"/>
                <w:b/>
                <w:bCs/>
                <w:color w:val="000000"/>
              </w:rPr>
              <w:t> </w:t>
            </w:r>
          </w:p>
        </w:tc>
        <w:tc>
          <w:tcPr>
            <w:tcW w:w="2450" w:type="dxa"/>
            <w:tcBorders>
              <w:top w:val="nil"/>
              <w:left w:val="nil"/>
              <w:bottom w:val="nil"/>
              <w:right w:val="nil"/>
            </w:tcBorders>
            <w:shd w:val="clear" w:color="000000" w:fill="CCCCCC"/>
            <w:vAlign w:val="center"/>
            <w:hideMark/>
          </w:tcPr>
          <w:p w14:paraId="4930124A" w14:textId="77777777" w:rsidR="00634844" w:rsidRPr="00634844" w:rsidRDefault="00634844" w:rsidP="00634844">
            <w:pPr>
              <w:rPr>
                <w:rFonts w:ascii="Arial" w:hAnsi="Arial" w:cs="Arial"/>
                <w:b/>
                <w:bCs/>
                <w:color w:val="000000"/>
              </w:rPr>
            </w:pPr>
            <w:r w:rsidRPr="00634844">
              <w:rPr>
                <w:rFonts w:ascii="Arial" w:hAnsi="Arial" w:cs="Arial"/>
                <w:b/>
                <w:bCs/>
                <w:color w:val="000000"/>
              </w:rPr>
              <w:t> </w:t>
            </w:r>
          </w:p>
        </w:tc>
        <w:tc>
          <w:tcPr>
            <w:tcW w:w="2708" w:type="dxa"/>
            <w:tcBorders>
              <w:top w:val="nil"/>
              <w:left w:val="nil"/>
              <w:bottom w:val="nil"/>
              <w:right w:val="single" w:sz="8" w:space="0" w:color="auto"/>
            </w:tcBorders>
            <w:shd w:val="clear" w:color="000000" w:fill="CCCCCC"/>
            <w:vAlign w:val="center"/>
            <w:hideMark/>
          </w:tcPr>
          <w:p w14:paraId="543A77CC" w14:textId="77777777" w:rsidR="00634844" w:rsidRPr="00634844" w:rsidRDefault="00634844" w:rsidP="00634844">
            <w:pPr>
              <w:rPr>
                <w:rFonts w:ascii="Arial" w:hAnsi="Arial" w:cs="Arial"/>
                <w:b/>
                <w:bCs/>
                <w:color w:val="000000"/>
              </w:rPr>
            </w:pPr>
            <w:r w:rsidRPr="00634844">
              <w:rPr>
                <w:rFonts w:ascii="Arial" w:hAnsi="Arial" w:cs="Arial"/>
                <w:b/>
                <w:bCs/>
                <w:color w:val="000000"/>
              </w:rPr>
              <w:t> </w:t>
            </w:r>
          </w:p>
        </w:tc>
      </w:tr>
      <w:tr w:rsidR="00045594" w:rsidRPr="00634844" w14:paraId="07CE728D" w14:textId="77777777" w:rsidTr="00634844">
        <w:trPr>
          <w:trHeight w:val="253"/>
        </w:trPr>
        <w:tc>
          <w:tcPr>
            <w:tcW w:w="2989" w:type="dxa"/>
            <w:tcBorders>
              <w:top w:val="nil"/>
              <w:left w:val="single" w:sz="8" w:space="0" w:color="auto"/>
              <w:bottom w:val="nil"/>
              <w:right w:val="nil"/>
            </w:tcBorders>
            <w:vAlign w:val="center"/>
            <w:hideMark/>
          </w:tcPr>
          <w:p w14:paraId="04A65B65" w14:textId="77777777" w:rsidR="00045594" w:rsidRPr="00634844" w:rsidRDefault="00045594" w:rsidP="00045594">
            <w:pPr>
              <w:rPr>
                <w:rFonts w:ascii="Arial" w:hAnsi="Arial" w:cs="Arial"/>
                <w:color w:val="000000"/>
              </w:rPr>
            </w:pPr>
            <w:r w:rsidRPr="00634844">
              <w:rPr>
                <w:rFonts w:ascii="Arial" w:hAnsi="Arial" w:cs="Arial"/>
                <w:color w:val="000000"/>
              </w:rPr>
              <w:t>Centralised Pay Budgets</w:t>
            </w:r>
          </w:p>
        </w:tc>
        <w:tc>
          <w:tcPr>
            <w:tcW w:w="2363" w:type="dxa"/>
            <w:tcBorders>
              <w:top w:val="nil"/>
              <w:left w:val="nil"/>
              <w:bottom w:val="nil"/>
              <w:right w:val="nil"/>
            </w:tcBorders>
            <w:shd w:val="clear" w:color="000000" w:fill="CCCCCC"/>
            <w:vAlign w:val="center"/>
            <w:hideMark/>
          </w:tcPr>
          <w:p w14:paraId="7D0CF14D" w14:textId="6BADD66E" w:rsidR="00045594" w:rsidRPr="00634844" w:rsidRDefault="00045594" w:rsidP="00045594">
            <w:pPr>
              <w:jc w:val="right"/>
              <w:rPr>
                <w:rFonts w:ascii="Arial" w:hAnsi="Arial" w:cs="Arial"/>
                <w:b/>
                <w:bCs/>
                <w:color w:val="000000"/>
              </w:rPr>
            </w:pPr>
            <w:r>
              <w:rPr>
                <w:rFonts w:ascii="Arial" w:hAnsi="Arial" w:cs="Arial"/>
                <w:b/>
                <w:bCs/>
                <w:color w:val="000000"/>
              </w:rPr>
              <w:t>305,428</w:t>
            </w:r>
          </w:p>
        </w:tc>
        <w:tc>
          <w:tcPr>
            <w:tcW w:w="2711" w:type="dxa"/>
            <w:tcBorders>
              <w:top w:val="nil"/>
              <w:left w:val="nil"/>
              <w:bottom w:val="nil"/>
              <w:right w:val="nil"/>
            </w:tcBorders>
            <w:shd w:val="clear" w:color="000000" w:fill="CCCCCC"/>
            <w:vAlign w:val="center"/>
            <w:hideMark/>
          </w:tcPr>
          <w:p w14:paraId="74921F57" w14:textId="263E7A1F" w:rsidR="00045594" w:rsidRPr="00634844" w:rsidRDefault="00045594" w:rsidP="00045594">
            <w:pPr>
              <w:jc w:val="right"/>
              <w:rPr>
                <w:rFonts w:ascii="Arial" w:hAnsi="Arial" w:cs="Arial"/>
                <w:b/>
                <w:bCs/>
                <w:color w:val="000000"/>
              </w:rPr>
            </w:pPr>
            <w:r>
              <w:rPr>
                <w:rFonts w:ascii="Arial" w:hAnsi="Arial" w:cs="Arial"/>
                <w:b/>
                <w:bCs/>
                <w:color w:val="000000"/>
              </w:rPr>
              <w:t>0</w:t>
            </w:r>
          </w:p>
        </w:tc>
        <w:tc>
          <w:tcPr>
            <w:tcW w:w="2384" w:type="dxa"/>
            <w:tcBorders>
              <w:top w:val="nil"/>
              <w:left w:val="nil"/>
              <w:bottom w:val="nil"/>
              <w:right w:val="nil"/>
            </w:tcBorders>
            <w:shd w:val="clear" w:color="000000" w:fill="CCCCCC"/>
            <w:vAlign w:val="center"/>
            <w:hideMark/>
          </w:tcPr>
          <w:p w14:paraId="24C93CED" w14:textId="16E33633" w:rsidR="00045594" w:rsidRPr="00634844" w:rsidRDefault="00045594" w:rsidP="00045594">
            <w:pPr>
              <w:jc w:val="right"/>
              <w:rPr>
                <w:rFonts w:ascii="Arial" w:hAnsi="Arial" w:cs="Arial"/>
                <w:b/>
                <w:bCs/>
                <w:color w:val="000000"/>
              </w:rPr>
            </w:pPr>
            <w:r>
              <w:rPr>
                <w:rFonts w:ascii="Arial" w:hAnsi="Arial" w:cs="Arial"/>
                <w:b/>
                <w:bCs/>
                <w:color w:val="000000"/>
              </w:rPr>
              <w:t>305,428</w:t>
            </w:r>
          </w:p>
        </w:tc>
        <w:tc>
          <w:tcPr>
            <w:tcW w:w="2450" w:type="dxa"/>
            <w:tcBorders>
              <w:top w:val="nil"/>
              <w:left w:val="nil"/>
              <w:bottom w:val="nil"/>
              <w:right w:val="nil"/>
            </w:tcBorders>
            <w:shd w:val="clear" w:color="000000" w:fill="CCCCCC"/>
            <w:vAlign w:val="center"/>
            <w:hideMark/>
          </w:tcPr>
          <w:p w14:paraId="57330E5D" w14:textId="0A5FB78A" w:rsidR="00045594" w:rsidRPr="00634844" w:rsidRDefault="00045594" w:rsidP="00045594">
            <w:pPr>
              <w:jc w:val="right"/>
              <w:rPr>
                <w:rFonts w:ascii="Arial" w:hAnsi="Arial" w:cs="Arial"/>
                <w:b/>
                <w:bCs/>
                <w:color w:val="000000"/>
              </w:rPr>
            </w:pPr>
            <w:r>
              <w:rPr>
                <w:rFonts w:ascii="Arial" w:hAnsi="Arial" w:cs="Arial"/>
                <w:b/>
                <w:bCs/>
                <w:color w:val="000000"/>
              </w:rPr>
              <w:t>(16,087)</w:t>
            </w:r>
          </w:p>
        </w:tc>
        <w:tc>
          <w:tcPr>
            <w:tcW w:w="2708" w:type="dxa"/>
            <w:tcBorders>
              <w:top w:val="nil"/>
              <w:left w:val="nil"/>
              <w:bottom w:val="nil"/>
              <w:right w:val="single" w:sz="8" w:space="0" w:color="auto"/>
            </w:tcBorders>
            <w:shd w:val="clear" w:color="000000" w:fill="CCCCCC"/>
            <w:vAlign w:val="center"/>
            <w:hideMark/>
          </w:tcPr>
          <w:p w14:paraId="5CBADD73" w14:textId="4464AD67" w:rsidR="00045594" w:rsidRPr="00634844" w:rsidRDefault="00045594" w:rsidP="00045594">
            <w:pPr>
              <w:jc w:val="right"/>
              <w:rPr>
                <w:rFonts w:ascii="Arial" w:hAnsi="Arial" w:cs="Arial"/>
                <w:b/>
                <w:bCs/>
                <w:color w:val="000000"/>
              </w:rPr>
            </w:pPr>
            <w:r>
              <w:rPr>
                <w:rFonts w:ascii="Arial" w:hAnsi="Arial" w:cs="Arial"/>
                <w:b/>
                <w:bCs/>
                <w:color w:val="000000"/>
              </w:rPr>
              <w:t>289,341</w:t>
            </w:r>
          </w:p>
        </w:tc>
      </w:tr>
      <w:tr w:rsidR="00045594" w:rsidRPr="00634844" w14:paraId="485A5FE9" w14:textId="77777777" w:rsidTr="00634844">
        <w:trPr>
          <w:trHeight w:val="253"/>
        </w:trPr>
        <w:tc>
          <w:tcPr>
            <w:tcW w:w="2989" w:type="dxa"/>
            <w:tcBorders>
              <w:top w:val="nil"/>
              <w:left w:val="single" w:sz="8" w:space="0" w:color="auto"/>
              <w:bottom w:val="nil"/>
              <w:right w:val="nil"/>
            </w:tcBorders>
            <w:vAlign w:val="center"/>
            <w:hideMark/>
          </w:tcPr>
          <w:p w14:paraId="160D42AC" w14:textId="77777777" w:rsidR="00045594" w:rsidRPr="00634844" w:rsidRDefault="00045594" w:rsidP="00045594">
            <w:pPr>
              <w:rPr>
                <w:rFonts w:ascii="Arial" w:hAnsi="Arial" w:cs="Arial"/>
                <w:color w:val="000000"/>
              </w:rPr>
            </w:pPr>
            <w:r w:rsidRPr="00634844">
              <w:rPr>
                <w:rFonts w:ascii="Arial" w:hAnsi="Arial" w:cs="Arial"/>
                <w:color w:val="000000"/>
              </w:rPr>
              <w:t>Chief Operating Officer</w:t>
            </w:r>
          </w:p>
        </w:tc>
        <w:tc>
          <w:tcPr>
            <w:tcW w:w="2363" w:type="dxa"/>
            <w:tcBorders>
              <w:top w:val="nil"/>
              <w:left w:val="nil"/>
              <w:bottom w:val="nil"/>
              <w:right w:val="nil"/>
            </w:tcBorders>
            <w:shd w:val="clear" w:color="000000" w:fill="CCCCCC"/>
            <w:vAlign w:val="center"/>
            <w:hideMark/>
          </w:tcPr>
          <w:p w14:paraId="15C383D9" w14:textId="294D294F" w:rsidR="00045594" w:rsidRPr="00634844" w:rsidRDefault="00045594" w:rsidP="00045594">
            <w:pPr>
              <w:jc w:val="right"/>
              <w:rPr>
                <w:rFonts w:ascii="Arial" w:hAnsi="Arial" w:cs="Arial"/>
                <w:b/>
                <w:bCs/>
                <w:color w:val="000000"/>
              </w:rPr>
            </w:pPr>
            <w:r>
              <w:rPr>
                <w:rFonts w:ascii="Arial" w:hAnsi="Arial" w:cs="Arial"/>
                <w:b/>
                <w:bCs/>
                <w:color w:val="000000"/>
              </w:rPr>
              <w:t>34,485</w:t>
            </w:r>
          </w:p>
        </w:tc>
        <w:tc>
          <w:tcPr>
            <w:tcW w:w="2711" w:type="dxa"/>
            <w:tcBorders>
              <w:top w:val="nil"/>
              <w:left w:val="nil"/>
              <w:bottom w:val="nil"/>
              <w:right w:val="nil"/>
            </w:tcBorders>
            <w:shd w:val="clear" w:color="000000" w:fill="CCCCCC"/>
            <w:vAlign w:val="center"/>
            <w:hideMark/>
          </w:tcPr>
          <w:p w14:paraId="08A5DAA0" w14:textId="5E45A8E2" w:rsidR="00045594" w:rsidRPr="00634844" w:rsidRDefault="00045594" w:rsidP="00045594">
            <w:pPr>
              <w:jc w:val="right"/>
              <w:rPr>
                <w:rFonts w:ascii="Arial" w:hAnsi="Arial" w:cs="Arial"/>
                <w:b/>
                <w:bCs/>
                <w:color w:val="000000"/>
              </w:rPr>
            </w:pPr>
            <w:r>
              <w:rPr>
                <w:rFonts w:ascii="Arial" w:hAnsi="Arial" w:cs="Arial"/>
                <w:b/>
                <w:bCs/>
                <w:color w:val="000000"/>
              </w:rPr>
              <w:t>4</w:t>
            </w:r>
            <w:r w:rsidR="0091357D">
              <w:rPr>
                <w:rFonts w:ascii="Arial" w:hAnsi="Arial" w:cs="Arial"/>
                <w:b/>
                <w:bCs/>
                <w:color w:val="000000"/>
              </w:rPr>
              <w:t>83</w:t>
            </w:r>
          </w:p>
        </w:tc>
        <w:tc>
          <w:tcPr>
            <w:tcW w:w="2384" w:type="dxa"/>
            <w:tcBorders>
              <w:top w:val="nil"/>
              <w:left w:val="nil"/>
              <w:bottom w:val="nil"/>
              <w:right w:val="nil"/>
            </w:tcBorders>
            <w:shd w:val="clear" w:color="000000" w:fill="CCCCCC"/>
            <w:vAlign w:val="center"/>
            <w:hideMark/>
          </w:tcPr>
          <w:p w14:paraId="5DC0E7D7" w14:textId="316CC663" w:rsidR="00045594" w:rsidRPr="00634844" w:rsidRDefault="00045594" w:rsidP="00045594">
            <w:pPr>
              <w:jc w:val="right"/>
              <w:rPr>
                <w:rFonts w:ascii="Arial" w:hAnsi="Arial" w:cs="Arial"/>
                <w:b/>
                <w:bCs/>
                <w:color w:val="000000"/>
              </w:rPr>
            </w:pPr>
            <w:r>
              <w:rPr>
                <w:rFonts w:ascii="Arial" w:hAnsi="Arial" w:cs="Arial"/>
                <w:b/>
                <w:bCs/>
                <w:color w:val="000000"/>
              </w:rPr>
              <w:t>34,96</w:t>
            </w:r>
            <w:r w:rsidR="0091357D">
              <w:rPr>
                <w:rFonts w:ascii="Arial" w:hAnsi="Arial" w:cs="Arial"/>
                <w:b/>
                <w:bCs/>
                <w:color w:val="000000"/>
              </w:rPr>
              <w:t>7</w:t>
            </w:r>
          </w:p>
        </w:tc>
        <w:tc>
          <w:tcPr>
            <w:tcW w:w="2450" w:type="dxa"/>
            <w:tcBorders>
              <w:top w:val="nil"/>
              <w:left w:val="nil"/>
              <w:bottom w:val="nil"/>
              <w:right w:val="nil"/>
            </w:tcBorders>
            <w:shd w:val="clear" w:color="000000" w:fill="CCCCCC"/>
            <w:vAlign w:val="center"/>
            <w:hideMark/>
          </w:tcPr>
          <w:p w14:paraId="4C8B1A64" w14:textId="407C7536" w:rsidR="00045594" w:rsidRPr="00634844" w:rsidRDefault="00045594" w:rsidP="00045594">
            <w:pPr>
              <w:jc w:val="right"/>
              <w:rPr>
                <w:rFonts w:ascii="Arial" w:hAnsi="Arial" w:cs="Arial"/>
                <w:b/>
                <w:bCs/>
                <w:color w:val="000000"/>
              </w:rPr>
            </w:pPr>
            <w:r>
              <w:rPr>
                <w:rFonts w:ascii="Arial" w:hAnsi="Arial" w:cs="Arial"/>
                <w:b/>
                <w:bCs/>
                <w:color w:val="000000"/>
              </w:rPr>
              <w:t>0</w:t>
            </w:r>
          </w:p>
        </w:tc>
        <w:tc>
          <w:tcPr>
            <w:tcW w:w="2708" w:type="dxa"/>
            <w:tcBorders>
              <w:top w:val="nil"/>
              <w:left w:val="nil"/>
              <w:bottom w:val="nil"/>
              <w:right w:val="single" w:sz="8" w:space="0" w:color="auto"/>
            </w:tcBorders>
            <w:shd w:val="clear" w:color="000000" w:fill="CCCCCC"/>
            <w:vAlign w:val="center"/>
            <w:hideMark/>
          </w:tcPr>
          <w:p w14:paraId="0F804EC4" w14:textId="3503871A" w:rsidR="00045594" w:rsidRPr="00634844" w:rsidRDefault="00045594" w:rsidP="00045594">
            <w:pPr>
              <w:jc w:val="right"/>
              <w:rPr>
                <w:rFonts w:ascii="Arial" w:hAnsi="Arial" w:cs="Arial"/>
                <w:b/>
                <w:bCs/>
                <w:color w:val="000000"/>
              </w:rPr>
            </w:pPr>
            <w:r>
              <w:rPr>
                <w:rFonts w:ascii="Arial" w:hAnsi="Arial" w:cs="Arial"/>
                <w:b/>
                <w:bCs/>
                <w:color w:val="000000"/>
              </w:rPr>
              <w:t>34,96</w:t>
            </w:r>
            <w:r w:rsidR="00FD36FF">
              <w:rPr>
                <w:rFonts w:ascii="Arial" w:hAnsi="Arial" w:cs="Arial"/>
                <w:b/>
                <w:bCs/>
                <w:color w:val="000000"/>
              </w:rPr>
              <w:t>7</w:t>
            </w:r>
          </w:p>
        </w:tc>
      </w:tr>
      <w:tr w:rsidR="00045594" w:rsidRPr="00634844" w14:paraId="19CABDF5" w14:textId="77777777" w:rsidTr="00634844">
        <w:trPr>
          <w:trHeight w:val="253"/>
        </w:trPr>
        <w:tc>
          <w:tcPr>
            <w:tcW w:w="2989" w:type="dxa"/>
            <w:tcBorders>
              <w:top w:val="nil"/>
              <w:left w:val="single" w:sz="8" w:space="0" w:color="auto"/>
              <w:bottom w:val="nil"/>
              <w:right w:val="nil"/>
            </w:tcBorders>
            <w:vAlign w:val="center"/>
            <w:hideMark/>
          </w:tcPr>
          <w:p w14:paraId="4E1E5C03" w14:textId="5DB61634" w:rsidR="00045594" w:rsidRPr="00634844" w:rsidRDefault="00045594" w:rsidP="00045594">
            <w:pPr>
              <w:rPr>
                <w:rFonts w:ascii="Arial" w:hAnsi="Arial" w:cs="Arial"/>
                <w:color w:val="000000"/>
              </w:rPr>
            </w:pPr>
            <w:r w:rsidRPr="00634844">
              <w:rPr>
                <w:rFonts w:ascii="Arial" w:hAnsi="Arial" w:cs="Arial"/>
                <w:color w:val="000000"/>
              </w:rPr>
              <w:t>ACC</w:t>
            </w:r>
            <w:r>
              <w:rPr>
                <w:rFonts w:ascii="Arial" w:hAnsi="Arial" w:cs="Arial"/>
                <w:color w:val="000000"/>
              </w:rPr>
              <w:t xml:space="preserve"> </w:t>
            </w:r>
            <w:r w:rsidRPr="00634844">
              <w:rPr>
                <w:rFonts w:ascii="Arial" w:hAnsi="Arial" w:cs="Arial"/>
                <w:color w:val="000000"/>
              </w:rPr>
              <w:t>Territorial Ops</w:t>
            </w:r>
          </w:p>
        </w:tc>
        <w:tc>
          <w:tcPr>
            <w:tcW w:w="2363" w:type="dxa"/>
            <w:tcBorders>
              <w:top w:val="nil"/>
              <w:left w:val="nil"/>
              <w:bottom w:val="nil"/>
              <w:right w:val="nil"/>
            </w:tcBorders>
            <w:shd w:val="clear" w:color="000000" w:fill="CCCCCC"/>
            <w:vAlign w:val="center"/>
            <w:hideMark/>
          </w:tcPr>
          <w:p w14:paraId="7DBCCE48" w14:textId="482531AF" w:rsidR="00045594" w:rsidRPr="00634844" w:rsidRDefault="00045594" w:rsidP="00045594">
            <w:pPr>
              <w:jc w:val="right"/>
              <w:rPr>
                <w:rFonts w:ascii="Arial" w:hAnsi="Arial" w:cs="Arial"/>
                <w:b/>
                <w:bCs/>
                <w:color w:val="000000"/>
              </w:rPr>
            </w:pPr>
            <w:r>
              <w:rPr>
                <w:rFonts w:ascii="Arial" w:hAnsi="Arial" w:cs="Arial"/>
                <w:b/>
                <w:bCs/>
                <w:color w:val="000000"/>
              </w:rPr>
              <w:t>7,357</w:t>
            </w:r>
          </w:p>
        </w:tc>
        <w:tc>
          <w:tcPr>
            <w:tcW w:w="2711" w:type="dxa"/>
            <w:tcBorders>
              <w:top w:val="nil"/>
              <w:left w:val="nil"/>
              <w:bottom w:val="nil"/>
              <w:right w:val="nil"/>
            </w:tcBorders>
            <w:shd w:val="clear" w:color="000000" w:fill="CCCCCC"/>
            <w:vAlign w:val="center"/>
            <w:hideMark/>
          </w:tcPr>
          <w:p w14:paraId="4F428F46" w14:textId="4494BC93" w:rsidR="00045594" w:rsidRPr="00634844" w:rsidRDefault="00045594" w:rsidP="00045594">
            <w:pPr>
              <w:jc w:val="right"/>
              <w:rPr>
                <w:rFonts w:ascii="Arial" w:hAnsi="Arial" w:cs="Arial"/>
                <w:b/>
                <w:bCs/>
                <w:color w:val="000000"/>
              </w:rPr>
            </w:pPr>
            <w:r>
              <w:rPr>
                <w:rFonts w:ascii="Arial" w:hAnsi="Arial" w:cs="Arial"/>
                <w:b/>
                <w:bCs/>
                <w:color w:val="000000"/>
              </w:rPr>
              <w:t>24</w:t>
            </w:r>
          </w:p>
        </w:tc>
        <w:tc>
          <w:tcPr>
            <w:tcW w:w="2384" w:type="dxa"/>
            <w:tcBorders>
              <w:top w:val="nil"/>
              <w:left w:val="nil"/>
              <w:bottom w:val="nil"/>
              <w:right w:val="nil"/>
            </w:tcBorders>
            <w:shd w:val="clear" w:color="000000" w:fill="CCCCCC"/>
            <w:vAlign w:val="center"/>
            <w:hideMark/>
          </w:tcPr>
          <w:p w14:paraId="477F58A8" w14:textId="68D0ED3B" w:rsidR="00045594" w:rsidRPr="00634844" w:rsidRDefault="00045594" w:rsidP="00045594">
            <w:pPr>
              <w:jc w:val="right"/>
              <w:rPr>
                <w:rFonts w:ascii="Arial" w:hAnsi="Arial" w:cs="Arial"/>
                <w:b/>
                <w:bCs/>
                <w:color w:val="000000"/>
              </w:rPr>
            </w:pPr>
            <w:r>
              <w:rPr>
                <w:rFonts w:ascii="Arial" w:hAnsi="Arial" w:cs="Arial"/>
                <w:b/>
                <w:bCs/>
                <w:color w:val="000000"/>
              </w:rPr>
              <w:t>7,381</w:t>
            </w:r>
          </w:p>
        </w:tc>
        <w:tc>
          <w:tcPr>
            <w:tcW w:w="2450" w:type="dxa"/>
            <w:tcBorders>
              <w:top w:val="nil"/>
              <w:left w:val="nil"/>
              <w:bottom w:val="nil"/>
              <w:right w:val="nil"/>
            </w:tcBorders>
            <w:shd w:val="clear" w:color="000000" w:fill="CCCCCC"/>
            <w:vAlign w:val="center"/>
            <w:hideMark/>
          </w:tcPr>
          <w:p w14:paraId="7B78F1E8" w14:textId="7B6BF297" w:rsidR="00045594" w:rsidRPr="00634844" w:rsidRDefault="00045594" w:rsidP="00045594">
            <w:pPr>
              <w:jc w:val="right"/>
              <w:rPr>
                <w:rFonts w:ascii="Arial" w:hAnsi="Arial" w:cs="Arial"/>
                <w:b/>
                <w:bCs/>
                <w:color w:val="000000"/>
              </w:rPr>
            </w:pPr>
            <w:r>
              <w:rPr>
                <w:rFonts w:ascii="Arial" w:hAnsi="Arial" w:cs="Arial"/>
                <w:b/>
                <w:bCs/>
                <w:color w:val="000000"/>
              </w:rPr>
              <w:t>0</w:t>
            </w:r>
          </w:p>
        </w:tc>
        <w:tc>
          <w:tcPr>
            <w:tcW w:w="2708" w:type="dxa"/>
            <w:tcBorders>
              <w:top w:val="nil"/>
              <w:left w:val="nil"/>
              <w:bottom w:val="nil"/>
              <w:right w:val="single" w:sz="8" w:space="0" w:color="auto"/>
            </w:tcBorders>
            <w:shd w:val="clear" w:color="000000" w:fill="CCCCCC"/>
            <w:vAlign w:val="center"/>
            <w:hideMark/>
          </w:tcPr>
          <w:p w14:paraId="69E5390E" w14:textId="67999879" w:rsidR="00045594" w:rsidRPr="00634844" w:rsidRDefault="00045594" w:rsidP="00045594">
            <w:pPr>
              <w:jc w:val="right"/>
              <w:rPr>
                <w:rFonts w:ascii="Arial" w:hAnsi="Arial" w:cs="Arial"/>
                <w:b/>
                <w:bCs/>
                <w:color w:val="000000"/>
              </w:rPr>
            </w:pPr>
            <w:r>
              <w:rPr>
                <w:rFonts w:ascii="Arial" w:hAnsi="Arial" w:cs="Arial"/>
                <w:b/>
                <w:bCs/>
                <w:color w:val="000000"/>
              </w:rPr>
              <w:t>7,381</w:t>
            </w:r>
          </w:p>
        </w:tc>
      </w:tr>
      <w:tr w:rsidR="00045594" w:rsidRPr="00634844" w14:paraId="0F2923A3" w14:textId="77777777" w:rsidTr="00634844">
        <w:trPr>
          <w:trHeight w:val="253"/>
        </w:trPr>
        <w:tc>
          <w:tcPr>
            <w:tcW w:w="2989" w:type="dxa"/>
            <w:tcBorders>
              <w:top w:val="nil"/>
              <w:left w:val="single" w:sz="8" w:space="0" w:color="auto"/>
              <w:bottom w:val="nil"/>
              <w:right w:val="nil"/>
            </w:tcBorders>
            <w:vAlign w:val="center"/>
            <w:hideMark/>
          </w:tcPr>
          <w:p w14:paraId="11E61AC0" w14:textId="3174FB2B" w:rsidR="00045594" w:rsidRPr="00634844" w:rsidRDefault="00045594" w:rsidP="00045594">
            <w:pPr>
              <w:rPr>
                <w:rFonts w:ascii="Arial" w:hAnsi="Arial" w:cs="Arial"/>
                <w:color w:val="000000"/>
              </w:rPr>
            </w:pPr>
            <w:r w:rsidRPr="00634844">
              <w:rPr>
                <w:rFonts w:ascii="Arial" w:hAnsi="Arial" w:cs="Arial"/>
                <w:color w:val="000000"/>
              </w:rPr>
              <w:t xml:space="preserve">ACC </w:t>
            </w:r>
            <w:r>
              <w:rPr>
                <w:rFonts w:ascii="Arial" w:hAnsi="Arial" w:cs="Arial"/>
                <w:color w:val="000000"/>
              </w:rPr>
              <w:t>Crime</w:t>
            </w:r>
          </w:p>
        </w:tc>
        <w:tc>
          <w:tcPr>
            <w:tcW w:w="2363" w:type="dxa"/>
            <w:tcBorders>
              <w:top w:val="nil"/>
              <w:left w:val="nil"/>
              <w:bottom w:val="nil"/>
              <w:right w:val="nil"/>
            </w:tcBorders>
            <w:shd w:val="clear" w:color="000000" w:fill="CCCCCC"/>
            <w:vAlign w:val="center"/>
            <w:hideMark/>
          </w:tcPr>
          <w:p w14:paraId="439CFAD0" w14:textId="50C6AF06" w:rsidR="00045594" w:rsidRPr="00634844" w:rsidRDefault="00045594" w:rsidP="00045594">
            <w:pPr>
              <w:jc w:val="right"/>
              <w:rPr>
                <w:rFonts w:ascii="Arial" w:hAnsi="Arial" w:cs="Arial"/>
                <w:b/>
                <w:bCs/>
                <w:color w:val="000000"/>
              </w:rPr>
            </w:pPr>
            <w:r>
              <w:rPr>
                <w:rFonts w:ascii="Arial" w:hAnsi="Arial" w:cs="Arial"/>
                <w:b/>
                <w:bCs/>
                <w:color w:val="000000"/>
              </w:rPr>
              <w:t>4,606</w:t>
            </w:r>
          </w:p>
        </w:tc>
        <w:tc>
          <w:tcPr>
            <w:tcW w:w="2711" w:type="dxa"/>
            <w:tcBorders>
              <w:top w:val="nil"/>
              <w:left w:val="nil"/>
              <w:bottom w:val="nil"/>
              <w:right w:val="nil"/>
            </w:tcBorders>
            <w:shd w:val="clear" w:color="000000" w:fill="CCCCCC"/>
            <w:vAlign w:val="center"/>
            <w:hideMark/>
          </w:tcPr>
          <w:p w14:paraId="784EC6D7" w14:textId="0DC74BB4" w:rsidR="00045594" w:rsidRPr="00634844" w:rsidRDefault="00045594" w:rsidP="00045594">
            <w:pPr>
              <w:jc w:val="right"/>
              <w:rPr>
                <w:rFonts w:ascii="Arial" w:hAnsi="Arial" w:cs="Arial"/>
                <w:b/>
                <w:bCs/>
                <w:color w:val="000000"/>
              </w:rPr>
            </w:pPr>
            <w:r>
              <w:rPr>
                <w:rFonts w:ascii="Arial" w:hAnsi="Arial" w:cs="Arial"/>
                <w:b/>
                <w:bCs/>
                <w:color w:val="000000"/>
              </w:rPr>
              <w:t>(94)</w:t>
            </w:r>
          </w:p>
        </w:tc>
        <w:tc>
          <w:tcPr>
            <w:tcW w:w="2384" w:type="dxa"/>
            <w:tcBorders>
              <w:top w:val="nil"/>
              <w:left w:val="nil"/>
              <w:bottom w:val="nil"/>
              <w:right w:val="nil"/>
            </w:tcBorders>
            <w:shd w:val="clear" w:color="000000" w:fill="CCCCCC"/>
            <w:vAlign w:val="center"/>
            <w:hideMark/>
          </w:tcPr>
          <w:p w14:paraId="012F18AD" w14:textId="0D0D19E2" w:rsidR="00045594" w:rsidRPr="00634844" w:rsidRDefault="00045594" w:rsidP="00045594">
            <w:pPr>
              <w:jc w:val="right"/>
              <w:rPr>
                <w:rFonts w:ascii="Arial" w:hAnsi="Arial" w:cs="Arial"/>
                <w:b/>
                <w:bCs/>
                <w:color w:val="000000"/>
              </w:rPr>
            </w:pPr>
            <w:r>
              <w:rPr>
                <w:rFonts w:ascii="Arial" w:hAnsi="Arial" w:cs="Arial"/>
                <w:b/>
                <w:bCs/>
                <w:color w:val="000000"/>
              </w:rPr>
              <w:t>4,512</w:t>
            </w:r>
          </w:p>
        </w:tc>
        <w:tc>
          <w:tcPr>
            <w:tcW w:w="2450" w:type="dxa"/>
            <w:tcBorders>
              <w:top w:val="nil"/>
              <w:left w:val="nil"/>
              <w:bottom w:val="nil"/>
              <w:right w:val="nil"/>
            </w:tcBorders>
            <w:shd w:val="clear" w:color="000000" w:fill="CCCCCC"/>
            <w:vAlign w:val="center"/>
            <w:hideMark/>
          </w:tcPr>
          <w:p w14:paraId="06D24DFD" w14:textId="33C3E7AE" w:rsidR="00045594" w:rsidRPr="00634844" w:rsidRDefault="00045594" w:rsidP="00045594">
            <w:pPr>
              <w:jc w:val="right"/>
              <w:rPr>
                <w:rFonts w:ascii="Arial" w:hAnsi="Arial" w:cs="Arial"/>
                <w:b/>
                <w:bCs/>
                <w:color w:val="000000"/>
              </w:rPr>
            </w:pPr>
            <w:r>
              <w:rPr>
                <w:rFonts w:ascii="Arial" w:hAnsi="Arial" w:cs="Arial"/>
                <w:b/>
                <w:bCs/>
                <w:color w:val="000000"/>
              </w:rPr>
              <w:t>0</w:t>
            </w:r>
          </w:p>
        </w:tc>
        <w:tc>
          <w:tcPr>
            <w:tcW w:w="2708" w:type="dxa"/>
            <w:tcBorders>
              <w:top w:val="nil"/>
              <w:left w:val="nil"/>
              <w:bottom w:val="nil"/>
              <w:right w:val="single" w:sz="8" w:space="0" w:color="auto"/>
            </w:tcBorders>
            <w:shd w:val="clear" w:color="000000" w:fill="CCCCCC"/>
            <w:vAlign w:val="center"/>
            <w:hideMark/>
          </w:tcPr>
          <w:p w14:paraId="4D068BAC" w14:textId="5B582373" w:rsidR="00045594" w:rsidRPr="00634844" w:rsidRDefault="00045594" w:rsidP="00045594">
            <w:pPr>
              <w:jc w:val="right"/>
              <w:rPr>
                <w:rFonts w:ascii="Arial" w:hAnsi="Arial" w:cs="Arial"/>
                <w:b/>
                <w:bCs/>
                <w:color w:val="000000"/>
              </w:rPr>
            </w:pPr>
            <w:r>
              <w:rPr>
                <w:rFonts w:ascii="Arial" w:hAnsi="Arial" w:cs="Arial"/>
                <w:b/>
                <w:bCs/>
                <w:color w:val="000000"/>
              </w:rPr>
              <w:t>4,512</w:t>
            </w:r>
          </w:p>
        </w:tc>
      </w:tr>
      <w:tr w:rsidR="00045594" w:rsidRPr="00634844" w14:paraId="170A135F" w14:textId="77777777" w:rsidTr="00634844">
        <w:trPr>
          <w:trHeight w:val="253"/>
        </w:trPr>
        <w:tc>
          <w:tcPr>
            <w:tcW w:w="2989" w:type="dxa"/>
            <w:tcBorders>
              <w:top w:val="nil"/>
              <w:left w:val="single" w:sz="8" w:space="0" w:color="auto"/>
              <w:bottom w:val="nil"/>
              <w:right w:val="nil"/>
            </w:tcBorders>
            <w:vAlign w:val="center"/>
            <w:hideMark/>
          </w:tcPr>
          <w:p w14:paraId="3848CD6D" w14:textId="55A0ACC1" w:rsidR="00045594" w:rsidRPr="00634844" w:rsidRDefault="00045594" w:rsidP="00045594">
            <w:pPr>
              <w:rPr>
                <w:rFonts w:ascii="Arial" w:hAnsi="Arial" w:cs="Arial"/>
                <w:color w:val="000000"/>
              </w:rPr>
            </w:pPr>
            <w:r w:rsidRPr="00634844">
              <w:rPr>
                <w:rFonts w:ascii="Arial" w:hAnsi="Arial" w:cs="Arial"/>
                <w:color w:val="000000"/>
              </w:rPr>
              <w:t xml:space="preserve">ACC </w:t>
            </w:r>
            <w:r>
              <w:rPr>
                <w:rFonts w:ascii="Arial" w:hAnsi="Arial" w:cs="Arial"/>
                <w:color w:val="000000"/>
              </w:rPr>
              <w:t>Spec Uniform Ops</w:t>
            </w:r>
          </w:p>
        </w:tc>
        <w:tc>
          <w:tcPr>
            <w:tcW w:w="2363" w:type="dxa"/>
            <w:tcBorders>
              <w:top w:val="nil"/>
              <w:left w:val="nil"/>
              <w:bottom w:val="nil"/>
              <w:right w:val="nil"/>
            </w:tcBorders>
            <w:shd w:val="clear" w:color="000000" w:fill="CCCCCC"/>
            <w:vAlign w:val="center"/>
            <w:hideMark/>
          </w:tcPr>
          <w:p w14:paraId="5BFDA4B0" w14:textId="5E83BF78" w:rsidR="00045594" w:rsidRPr="00634844" w:rsidRDefault="00045594" w:rsidP="00045594">
            <w:pPr>
              <w:jc w:val="right"/>
              <w:rPr>
                <w:rFonts w:ascii="Arial" w:hAnsi="Arial" w:cs="Arial"/>
                <w:b/>
                <w:bCs/>
                <w:color w:val="000000"/>
              </w:rPr>
            </w:pPr>
            <w:r>
              <w:rPr>
                <w:rFonts w:ascii="Arial" w:hAnsi="Arial" w:cs="Arial"/>
                <w:b/>
                <w:bCs/>
                <w:color w:val="000000"/>
              </w:rPr>
              <w:t>6,201</w:t>
            </w:r>
          </w:p>
        </w:tc>
        <w:tc>
          <w:tcPr>
            <w:tcW w:w="2711" w:type="dxa"/>
            <w:tcBorders>
              <w:top w:val="nil"/>
              <w:left w:val="nil"/>
              <w:bottom w:val="nil"/>
              <w:right w:val="nil"/>
            </w:tcBorders>
            <w:shd w:val="clear" w:color="000000" w:fill="CCCCCC"/>
            <w:vAlign w:val="center"/>
            <w:hideMark/>
          </w:tcPr>
          <w:p w14:paraId="2CA3E8D4" w14:textId="43210A88" w:rsidR="00045594" w:rsidRPr="00634844" w:rsidRDefault="00045594" w:rsidP="00045594">
            <w:pPr>
              <w:jc w:val="right"/>
              <w:rPr>
                <w:rFonts w:ascii="Arial" w:hAnsi="Arial" w:cs="Arial"/>
                <w:b/>
                <w:bCs/>
                <w:color w:val="000000"/>
              </w:rPr>
            </w:pPr>
            <w:r>
              <w:rPr>
                <w:rFonts w:ascii="Arial" w:hAnsi="Arial" w:cs="Arial"/>
                <w:b/>
                <w:bCs/>
                <w:color w:val="000000"/>
              </w:rPr>
              <w:t>(389)</w:t>
            </w:r>
          </w:p>
        </w:tc>
        <w:tc>
          <w:tcPr>
            <w:tcW w:w="2384" w:type="dxa"/>
            <w:tcBorders>
              <w:top w:val="nil"/>
              <w:left w:val="nil"/>
              <w:bottom w:val="nil"/>
              <w:right w:val="nil"/>
            </w:tcBorders>
            <w:shd w:val="clear" w:color="000000" w:fill="CCCCCC"/>
            <w:vAlign w:val="center"/>
            <w:hideMark/>
          </w:tcPr>
          <w:p w14:paraId="2727CE48" w14:textId="7700A58C" w:rsidR="00045594" w:rsidRPr="00634844" w:rsidRDefault="00045594" w:rsidP="00045594">
            <w:pPr>
              <w:jc w:val="right"/>
              <w:rPr>
                <w:rFonts w:ascii="Arial" w:hAnsi="Arial" w:cs="Arial"/>
                <w:b/>
                <w:bCs/>
                <w:color w:val="000000"/>
              </w:rPr>
            </w:pPr>
            <w:r>
              <w:rPr>
                <w:rFonts w:ascii="Arial" w:hAnsi="Arial" w:cs="Arial"/>
                <w:b/>
                <w:bCs/>
                <w:color w:val="000000"/>
              </w:rPr>
              <w:t>5,812</w:t>
            </w:r>
          </w:p>
        </w:tc>
        <w:tc>
          <w:tcPr>
            <w:tcW w:w="2450" w:type="dxa"/>
            <w:tcBorders>
              <w:top w:val="nil"/>
              <w:left w:val="nil"/>
              <w:bottom w:val="nil"/>
              <w:right w:val="nil"/>
            </w:tcBorders>
            <w:shd w:val="clear" w:color="000000" w:fill="CCCCCC"/>
            <w:vAlign w:val="center"/>
            <w:hideMark/>
          </w:tcPr>
          <w:p w14:paraId="3D215BA6" w14:textId="55B2FE9E" w:rsidR="00045594" w:rsidRPr="00634844" w:rsidRDefault="00045594" w:rsidP="00045594">
            <w:pPr>
              <w:jc w:val="right"/>
              <w:rPr>
                <w:rFonts w:ascii="Arial" w:hAnsi="Arial" w:cs="Arial"/>
                <w:b/>
                <w:bCs/>
                <w:color w:val="000000"/>
              </w:rPr>
            </w:pPr>
            <w:r>
              <w:rPr>
                <w:rFonts w:ascii="Arial" w:hAnsi="Arial" w:cs="Arial"/>
                <w:b/>
                <w:bCs/>
                <w:color w:val="000000"/>
              </w:rPr>
              <w:t>0</w:t>
            </w:r>
          </w:p>
        </w:tc>
        <w:tc>
          <w:tcPr>
            <w:tcW w:w="2708" w:type="dxa"/>
            <w:tcBorders>
              <w:top w:val="nil"/>
              <w:left w:val="nil"/>
              <w:bottom w:val="nil"/>
              <w:right w:val="single" w:sz="8" w:space="0" w:color="auto"/>
            </w:tcBorders>
            <w:shd w:val="clear" w:color="000000" w:fill="CCCCCC"/>
            <w:vAlign w:val="center"/>
            <w:hideMark/>
          </w:tcPr>
          <w:p w14:paraId="43C5D1B0" w14:textId="567F974B" w:rsidR="00045594" w:rsidRPr="00634844" w:rsidRDefault="00045594" w:rsidP="00045594">
            <w:pPr>
              <w:jc w:val="right"/>
              <w:rPr>
                <w:rFonts w:ascii="Arial" w:hAnsi="Arial" w:cs="Arial"/>
                <w:b/>
                <w:bCs/>
                <w:color w:val="000000"/>
              </w:rPr>
            </w:pPr>
            <w:r>
              <w:rPr>
                <w:rFonts w:ascii="Arial" w:hAnsi="Arial" w:cs="Arial"/>
                <w:b/>
                <w:bCs/>
                <w:color w:val="000000"/>
              </w:rPr>
              <w:t>5,812</w:t>
            </w:r>
          </w:p>
        </w:tc>
      </w:tr>
      <w:tr w:rsidR="00045594" w:rsidRPr="00634844" w14:paraId="3EA28062" w14:textId="77777777" w:rsidTr="00634844">
        <w:trPr>
          <w:trHeight w:val="253"/>
        </w:trPr>
        <w:tc>
          <w:tcPr>
            <w:tcW w:w="2989" w:type="dxa"/>
            <w:tcBorders>
              <w:top w:val="nil"/>
              <w:left w:val="single" w:sz="8" w:space="0" w:color="auto"/>
              <w:bottom w:val="nil"/>
              <w:right w:val="nil"/>
            </w:tcBorders>
            <w:vAlign w:val="center"/>
            <w:hideMark/>
          </w:tcPr>
          <w:p w14:paraId="7895F375" w14:textId="77777777" w:rsidR="00045594" w:rsidRPr="00634844" w:rsidRDefault="00045594" w:rsidP="00045594">
            <w:pPr>
              <w:rPr>
                <w:rFonts w:ascii="Arial" w:hAnsi="Arial" w:cs="Arial"/>
                <w:color w:val="000000"/>
              </w:rPr>
            </w:pPr>
            <w:r w:rsidRPr="00634844">
              <w:rPr>
                <w:rFonts w:ascii="Arial" w:hAnsi="Arial" w:cs="Arial"/>
                <w:color w:val="000000"/>
              </w:rPr>
              <w:t>Deputy Chief Constable</w:t>
            </w:r>
          </w:p>
        </w:tc>
        <w:tc>
          <w:tcPr>
            <w:tcW w:w="2363" w:type="dxa"/>
            <w:tcBorders>
              <w:top w:val="nil"/>
              <w:left w:val="nil"/>
              <w:bottom w:val="nil"/>
              <w:right w:val="nil"/>
            </w:tcBorders>
            <w:shd w:val="clear" w:color="000000" w:fill="CCCCCC"/>
            <w:vAlign w:val="center"/>
            <w:hideMark/>
          </w:tcPr>
          <w:p w14:paraId="2BA9C871" w14:textId="0325B77E" w:rsidR="00045594" w:rsidRPr="00634844" w:rsidRDefault="00045594" w:rsidP="00045594">
            <w:pPr>
              <w:jc w:val="right"/>
              <w:rPr>
                <w:rFonts w:ascii="Arial" w:hAnsi="Arial" w:cs="Arial"/>
                <w:b/>
                <w:bCs/>
                <w:color w:val="000000"/>
              </w:rPr>
            </w:pPr>
            <w:r>
              <w:rPr>
                <w:rFonts w:ascii="Arial" w:hAnsi="Arial" w:cs="Arial"/>
                <w:b/>
                <w:bCs/>
                <w:color w:val="000000"/>
              </w:rPr>
              <w:t>1,497</w:t>
            </w:r>
          </w:p>
        </w:tc>
        <w:tc>
          <w:tcPr>
            <w:tcW w:w="2711" w:type="dxa"/>
            <w:tcBorders>
              <w:top w:val="nil"/>
              <w:left w:val="nil"/>
              <w:bottom w:val="nil"/>
              <w:right w:val="nil"/>
            </w:tcBorders>
            <w:shd w:val="clear" w:color="000000" w:fill="CCCCCC"/>
            <w:vAlign w:val="center"/>
            <w:hideMark/>
          </w:tcPr>
          <w:p w14:paraId="2B7B511F" w14:textId="71F8E5AE" w:rsidR="00045594" w:rsidRPr="00634844" w:rsidRDefault="00045594" w:rsidP="00045594">
            <w:pPr>
              <w:jc w:val="right"/>
              <w:rPr>
                <w:rFonts w:ascii="Arial" w:hAnsi="Arial" w:cs="Arial"/>
                <w:b/>
                <w:bCs/>
                <w:color w:val="000000"/>
              </w:rPr>
            </w:pPr>
            <w:r>
              <w:rPr>
                <w:rFonts w:ascii="Arial" w:hAnsi="Arial" w:cs="Arial"/>
                <w:b/>
                <w:bCs/>
                <w:color w:val="000000"/>
              </w:rPr>
              <w:t>685</w:t>
            </w:r>
          </w:p>
        </w:tc>
        <w:tc>
          <w:tcPr>
            <w:tcW w:w="2384" w:type="dxa"/>
            <w:tcBorders>
              <w:top w:val="nil"/>
              <w:left w:val="nil"/>
              <w:bottom w:val="nil"/>
              <w:right w:val="nil"/>
            </w:tcBorders>
            <w:shd w:val="clear" w:color="000000" w:fill="CCCCCC"/>
            <w:vAlign w:val="center"/>
            <w:hideMark/>
          </w:tcPr>
          <w:p w14:paraId="34E3E356" w14:textId="02BD3903" w:rsidR="00045594" w:rsidRPr="00634844" w:rsidRDefault="00045594" w:rsidP="00045594">
            <w:pPr>
              <w:jc w:val="right"/>
              <w:rPr>
                <w:rFonts w:ascii="Arial" w:hAnsi="Arial" w:cs="Arial"/>
                <w:b/>
                <w:bCs/>
                <w:color w:val="000000"/>
              </w:rPr>
            </w:pPr>
            <w:r>
              <w:rPr>
                <w:rFonts w:ascii="Arial" w:hAnsi="Arial" w:cs="Arial"/>
                <w:b/>
                <w:bCs/>
                <w:color w:val="000000"/>
              </w:rPr>
              <w:t>2,182</w:t>
            </w:r>
          </w:p>
        </w:tc>
        <w:tc>
          <w:tcPr>
            <w:tcW w:w="2450" w:type="dxa"/>
            <w:tcBorders>
              <w:top w:val="nil"/>
              <w:left w:val="nil"/>
              <w:bottom w:val="nil"/>
              <w:right w:val="nil"/>
            </w:tcBorders>
            <w:shd w:val="clear" w:color="000000" w:fill="CCCCCC"/>
            <w:vAlign w:val="center"/>
            <w:hideMark/>
          </w:tcPr>
          <w:p w14:paraId="25952240" w14:textId="4E66EAB2" w:rsidR="00045594" w:rsidRPr="00634844" w:rsidRDefault="00045594" w:rsidP="00045594">
            <w:pPr>
              <w:jc w:val="right"/>
              <w:rPr>
                <w:rFonts w:ascii="Arial" w:hAnsi="Arial" w:cs="Arial"/>
                <w:b/>
                <w:bCs/>
                <w:color w:val="000000"/>
              </w:rPr>
            </w:pPr>
            <w:r>
              <w:rPr>
                <w:rFonts w:ascii="Arial" w:hAnsi="Arial" w:cs="Arial"/>
                <w:b/>
                <w:bCs/>
                <w:color w:val="000000"/>
              </w:rPr>
              <w:t>0</w:t>
            </w:r>
          </w:p>
        </w:tc>
        <w:tc>
          <w:tcPr>
            <w:tcW w:w="2708" w:type="dxa"/>
            <w:tcBorders>
              <w:top w:val="nil"/>
              <w:left w:val="nil"/>
              <w:bottom w:val="nil"/>
              <w:right w:val="single" w:sz="8" w:space="0" w:color="auto"/>
            </w:tcBorders>
            <w:shd w:val="clear" w:color="000000" w:fill="CCCCCC"/>
            <w:vAlign w:val="center"/>
            <w:hideMark/>
          </w:tcPr>
          <w:p w14:paraId="654FBA14" w14:textId="75881330" w:rsidR="00045594" w:rsidRPr="00634844" w:rsidRDefault="00045594" w:rsidP="00045594">
            <w:pPr>
              <w:jc w:val="right"/>
              <w:rPr>
                <w:rFonts w:ascii="Arial" w:hAnsi="Arial" w:cs="Arial"/>
                <w:b/>
                <w:bCs/>
                <w:color w:val="000000"/>
              </w:rPr>
            </w:pPr>
            <w:r>
              <w:rPr>
                <w:rFonts w:ascii="Arial" w:hAnsi="Arial" w:cs="Arial"/>
                <w:b/>
                <w:bCs/>
                <w:color w:val="000000"/>
              </w:rPr>
              <w:t>2,182</w:t>
            </w:r>
          </w:p>
        </w:tc>
      </w:tr>
      <w:tr w:rsidR="00045594" w:rsidRPr="00634844" w14:paraId="48D7D906" w14:textId="77777777" w:rsidTr="00634844">
        <w:trPr>
          <w:trHeight w:val="253"/>
        </w:trPr>
        <w:tc>
          <w:tcPr>
            <w:tcW w:w="2989" w:type="dxa"/>
            <w:tcBorders>
              <w:top w:val="nil"/>
              <w:left w:val="single" w:sz="8" w:space="0" w:color="auto"/>
              <w:bottom w:val="nil"/>
              <w:right w:val="nil"/>
            </w:tcBorders>
            <w:vAlign w:val="center"/>
            <w:hideMark/>
          </w:tcPr>
          <w:p w14:paraId="7B2417C0" w14:textId="77777777" w:rsidR="00045594" w:rsidRPr="00634844" w:rsidRDefault="00045594" w:rsidP="00045594">
            <w:pPr>
              <w:rPr>
                <w:rFonts w:ascii="Arial" w:hAnsi="Arial" w:cs="Arial"/>
                <w:color w:val="000000"/>
              </w:rPr>
            </w:pPr>
            <w:r w:rsidRPr="00634844">
              <w:rPr>
                <w:rFonts w:ascii="Arial" w:hAnsi="Arial" w:cs="Arial"/>
                <w:color w:val="000000"/>
              </w:rPr>
              <w:t>Constabulary Non-Devolved Budgets</w:t>
            </w:r>
          </w:p>
        </w:tc>
        <w:tc>
          <w:tcPr>
            <w:tcW w:w="2363" w:type="dxa"/>
            <w:tcBorders>
              <w:top w:val="nil"/>
              <w:left w:val="nil"/>
              <w:bottom w:val="nil"/>
              <w:right w:val="nil"/>
            </w:tcBorders>
            <w:shd w:val="clear" w:color="000000" w:fill="CCCCCC"/>
            <w:vAlign w:val="center"/>
            <w:hideMark/>
          </w:tcPr>
          <w:p w14:paraId="32B00D06" w14:textId="2508480B" w:rsidR="00045594" w:rsidRPr="00634844" w:rsidRDefault="00045594" w:rsidP="00045594">
            <w:pPr>
              <w:jc w:val="right"/>
              <w:rPr>
                <w:rFonts w:ascii="Arial" w:hAnsi="Arial" w:cs="Arial"/>
                <w:b/>
                <w:bCs/>
                <w:color w:val="000000"/>
              </w:rPr>
            </w:pPr>
            <w:r>
              <w:rPr>
                <w:rFonts w:ascii="Arial" w:hAnsi="Arial" w:cs="Arial"/>
                <w:b/>
                <w:bCs/>
                <w:color w:val="000000"/>
              </w:rPr>
              <w:t>5,811</w:t>
            </w:r>
          </w:p>
        </w:tc>
        <w:tc>
          <w:tcPr>
            <w:tcW w:w="2711" w:type="dxa"/>
            <w:tcBorders>
              <w:top w:val="nil"/>
              <w:left w:val="nil"/>
              <w:bottom w:val="nil"/>
              <w:right w:val="nil"/>
            </w:tcBorders>
            <w:shd w:val="clear" w:color="000000" w:fill="CCCCCC"/>
            <w:vAlign w:val="center"/>
            <w:hideMark/>
          </w:tcPr>
          <w:p w14:paraId="26F064CA" w14:textId="5BD17CF2" w:rsidR="00045594" w:rsidRPr="00634844" w:rsidRDefault="00045594" w:rsidP="00045594">
            <w:pPr>
              <w:jc w:val="right"/>
              <w:rPr>
                <w:rFonts w:ascii="Arial" w:hAnsi="Arial" w:cs="Arial"/>
                <w:b/>
                <w:bCs/>
                <w:color w:val="000000"/>
              </w:rPr>
            </w:pPr>
            <w:r>
              <w:rPr>
                <w:rFonts w:ascii="Arial" w:hAnsi="Arial" w:cs="Arial"/>
                <w:b/>
                <w:bCs/>
                <w:color w:val="000000"/>
              </w:rPr>
              <w:t>52,862</w:t>
            </w:r>
          </w:p>
        </w:tc>
        <w:tc>
          <w:tcPr>
            <w:tcW w:w="2384" w:type="dxa"/>
            <w:tcBorders>
              <w:top w:val="nil"/>
              <w:left w:val="nil"/>
              <w:bottom w:val="nil"/>
              <w:right w:val="nil"/>
            </w:tcBorders>
            <w:shd w:val="clear" w:color="000000" w:fill="CCCCCC"/>
            <w:vAlign w:val="center"/>
            <w:hideMark/>
          </w:tcPr>
          <w:p w14:paraId="6F576967" w14:textId="457E80F8" w:rsidR="00045594" w:rsidRPr="00634844" w:rsidRDefault="00045594" w:rsidP="00045594">
            <w:pPr>
              <w:jc w:val="right"/>
              <w:rPr>
                <w:rFonts w:ascii="Arial" w:hAnsi="Arial" w:cs="Arial"/>
                <w:b/>
                <w:bCs/>
                <w:color w:val="000000"/>
              </w:rPr>
            </w:pPr>
            <w:r>
              <w:rPr>
                <w:rFonts w:ascii="Arial" w:hAnsi="Arial" w:cs="Arial"/>
                <w:b/>
                <w:bCs/>
                <w:color w:val="000000"/>
              </w:rPr>
              <w:t>58,674</w:t>
            </w:r>
          </w:p>
        </w:tc>
        <w:tc>
          <w:tcPr>
            <w:tcW w:w="2450" w:type="dxa"/>
            <w:tcBorders>
              <w:top w:val="nil"/>
              <w:left w:val="nil"/>
              <w:bottom w:val="nil"/>
              <w:right w:val="nil"/>
            </w:tcBorders>
            <w:shd w:val="clear" w:color="000000" w:fill="CCCCCC"/>
            <w:vAlign w:val="center"/>
            <w:hideMark/>
          </w:tcPr>
          <w:p w14:paraId="07739453" w14:textId="5ACA66E5" w:rsidR="00045594" w:rsidRPr="00634844" w:rsidRDefault="00045594" w:rsidP="00045594">
            <w:pPr>
              <w:jc w:val="right"/>
              <w:rPr>
                <w:rFonts w:ascii="Arial" w:hAnsi="Arial" w:cs="Arial"/>
                <w:b/>
                <w:bCs/>
                <w:color w:val="000000"/>
              </w:rPr>
            </w:pPr>
            <w:r>
              <w:rPr>
                <w:rFonts w:ascii="Arial" w:hAnsi="Arial" w:cs="Arial"/>
                <w:b/>
                <w:bCs/>
                <w:color w:val="000000"/>
              </w:rPr>
              <w:t>(55,090)</w:t>
            </w:r>
          </w:p>
        </w:tc>
        <w:tc>
          <w:tcPr>
            <w:tcW w:w="2708" w:type="dxa"/>
            <w:tcBorders>
              <w:top w:val="nil"/>
              <w:left w:val="nil"/>
              <w:bottom w:val="nil"/>
              <w:right w:val="single" w:sz="8" w:space="0" w:color="auto"/>
            </w:tcBorders>
            <w:shd w:val="clear" w:color="000000" w:fill="CCCCCC"/>
            <w:vAlign w:val="center"/>
            <w:hideMark/>
          </w:tcPr>
          <w:p w14:paraId="780DEA06" w14:textId="4C7A2013" w:rsidR="00045594" w:rsidRPr="00634844" w:rsidRDefault="00045594" w:rsidP="00045594">
            <w:pPr>
              <w:jc w:val="right"/>
              <w:rPr>
                <w:rFonts w:ascii="Arial" w:hAnsi="Arial" w:cs="Arial"/>
                <w:b/>
                <w:bCs/>
                <w:color w:val="000000"/>
              </w:rPr>
            </w:pPr>
            <w:r>
              <w:rPr>
                <w:rFonts w:ascii="Arial" w:hAnsi="Arial" w:cs="Arial"/>
                <w:b/>
                <w:bCs/>
                <w:color w:val="000000"/>
              </w:rPr>
              <w:t>3,584</w:t>
            </w:r>
          </w:p>
        </w:tc>
      </w:tr>
      <w:tr w:rsidR="00045594" w:rsidRPr="00634844" w14:paraId="31F88285" w14:textId="77777777" w:rsidTr="00634844">
        <w:trPr>
          <w:trHeight w:val="253"/>
        </w:trPr>
        <w:tc>
          <w:tcPr>
            <w:tcW w:w="2989" w:type="dxa"/>
            <w:tcBorders>
              <w:top w:val="nil"/>
              <w:left w:val="single" w:sz="8" w:space="0" w:color="auto"/>
              <w:bottom w:val="nil"/>
              <w:right w:val="nil"/>
            </w:tcBorders>
            <w:vAlign w:val="center"/>
            <w:hideMark/>
          </w:tcPr>
          <w:p w14:paraId="1BAD83F0" w14:textId="77777777" w:rsidR="00045594" w:rsidRPr="00634844" w:rsidRDefault="00045594" w:rsidP="00045594">
            <w:pPr>
              <w:rPr>
                <w:rFonts w:ascii="Arial" w:hAnsi="Arial" w:cs="Arial"/>
                <w:b/>
                <w:bCs/>
                <w:color w:val="000000"/>
              </w:rPr>
            </w:pPr>
            <w:r w:rsidRPr="00634844">
              <w:rPr>
                <w:rFonts w:ascii="Arial" w:hAnsi="Arial" w:cs="Arial"/>
                <w:b/>
                <w:bCs/>
                <w:color w:val="000000"/>
              </w:rPr>
              <w:t>PCC:</w:t>
            </w:r>
          </w:p>
        </w:tc>
        <w:tc>
          <w:tcPr>
            <w:tcW w:w="2363" w:type="dxa"/>
            <w:tcBorders>
              <w:top w:val="nil"/>
              <w:left w:val="nil"/>
              <w:bottom w:val="nil"/>
              <w:right w:val="nil"/>
            </w:tcBorders>
            <w:shd w:val="clear" w:color="000000" w:fill="CCCCCC"/>
            <w:vAlign w:val="center"/>
            <w:hideMark/>
          </w:tcPr>
          <w:p w14:paraId="6AAB4FF9" w14:textId="407B0C62" w:rsidR="00045594" w:rsidRPr="00634844" w:rsidRDefault="00045594" w:rsidP="00045594">
            <w:pPr>
              <w:jc w:val="right"/>
              <w:rPr>
                <w:rFonts w:ascii="Arial" w:hAnsi="Arial" w:cs="Arial"/>
                <w:b/>
                <w:bCs/>
                <w:color w:val="000000"/>
              </w:rPr>
            </w:pPr>
            <w:r>
              <w:rPr>
                <w:rFonts w:ascii="Arial" w:hAnsi="Arial" w:cs="Arial"/>
                <w:b/>
                <w:bCs/>
                <w:color w:val="000000"/>
              </w:rPr>
              <w:t> </w:t>
            </w:r>
          </w:p>
        </w:tc>
        <w:tc>
          <w:tcPr>
            <w:tcW w:w="2711" w:type="dxa"/>
            <w:tcBorders>
              <w:top w:val="nil"/>
              <w:left w:val="nil"/>
              <w:bottom w:val="nil"/>
              <w:right w:val="nil"/>
            </w:tcBorders>
            <w:shd w:val="clear" w:color="000000" w:fill="CCCCCC"/>
            <w:vAlign w:val="center"/>
            <w:hideMark/>
          </w:tcPr>
          <w:p w14:paraId="4927EFBA" w14:textId="0C668AFE" w:rsidR="00045594" w:rsidRPr="00634844" w:rsidRDefault="00045594" w:rsidP="00045594">
            <w:pPr>
              <w:jc w:val="right"/>
              <w:rPr>
                <w:rFonts w:ascii="Arial" w:hAnsi="Arial" w:cs="Arial"/>
                <w:b/>
                <w:bCs/>
                <w:color w:val="000000"/>
              </w:rPr>
            </w:pPr>
            <w:r>
              <w:rPr>
                <w:rFonts w:ascii="Arial" w:hAnsi="Arial" w:cs="Arial"/>
                <w:b/>
                <w:bCs/>
                <w:color w:val="000000"/>
              </w:rPr>
              <w:t> </w:t>
            </w:r>
          </w:p>
        </w:tc>
        <w:tc>
          <w:tcPr>
            <w:tcW w:w="2384" w:type="dxa"/>
            <w:tcBorders>
              <w:top w:val="nil"/>
              <w:left w:val="nil"/>
              <w:bottom w:val="nil"/>
              <w:right w:val="nil"/>
            </w:tcBorders>
            <w:shd w:val="clear" w:color="000000" w:fill="CCCCCC"/>
            <w:vAlign w:val="center"/>
            <w:hideMark/>
          </w:tcPr>
          <w:p w14:paraId="1C249E78" w14:textId="5BC02F18" w:rsidR="00045594" w:rsidRPr="00634844" w:rsidRDefault="00045594" w:rsidP="00045594">
            <w:pPr>
              <w:jc w:val="right"/>
              <w:rPr>
                <w:rFonts w:ascii="Arial" w:hAnsi="Arial" w:cs="Arial"/>
                <w:b/>
                <w:bCs/>
                <w:color w:val="000000"/>
              </w:rPr>
            </w:pPr>
            <w:r>
              <w:rPr>
                <w:rFonts w:ascii="Arial" w:hAnsi="Arial" w:cs="Arial"/>
                <w:b/>
                <w:bCs/>
                <w:color w:val="000000"/>
              </w:rPr>
              <w:t> </w:t>
            </w:r>
          </w:p>
        </w:tc>
        <w:tc>
          <w:tcPr>
            <w:tcW w:w="2450" w:type="dxa"/>
            <w:tcBorders>
              <w:top w:val="nil"/>
              <w:left w:val="nil"/>
              <w:bottom w:val="nil"/>
              <w:right w:val="nil"/>
            </w:tcBorders>
            <w:shd w:val="clear" w:color="000000" w:fill="CCCCCC"/>
            <w:vAlign w:val="center"/>
            <w:hideMark/>
          </w:tcPr>
          <w:p w14:paraId="43E02AA6" w14:textId="5B952022" w:rsidR="00045594" w:rsidRPr="00634844" w:rsidRDefault="00045594" w:rsidP="00045594">
            <w:pPr>
              <w:jc w:val="right"/>
              <w:rPr>
                <w:rFonts w:ascii="Arial" w:hAnsi="Arial" w:cs="Arial"/>
                <w:b/>
                <w:bCs/>
                <w:color w:val="000000"/>
              </w:rPr>
            </w:pPr>
            <w:r>
              <w:rPr>
                <w:rFonts w:ascii="Arial" w:hAnsi="Arial" w:cs="Arial"/>
                <w:b/>
                <w:bCs/>
                <w:color w:val="000000"/>
              </w:rPr>
              <w:t> </w:t>
            </w:r>
          </w:p>
        </w:tc>
        <w:tc>
          <w:tcPr>
            <w:tcW w:w="2708" w:type="dxa"/>
            <w:tcBorders>
              <w:top w:val="nil"/>
              <w:left w:val="nil"/>
              <w:bottom w:val="nil"/>
              <w:right w:val="single" w:sz="8" w:space="0" w:color="auto"/>
            </w:tcBorders>
            <w:shd w:val="clear" w:color="000000" w:fill="CCCCCC"/>
            <w:vAlign w:val="center"/>
            <w:hideMark/>
          </w:tcPr>
          <w:p w14:paraId="09D0FFF8" w14:textId="7AB4198C" w:rsidR="00045594" w:rsidRPr="00634844" w:rsidRDefault="00045594" w:rsidP="00045594">
            <w:pPr>
              <w:jc w:val="right"/>
              <w:rPr>
                <w:rFonts w:ascii="Arial" w:hAnsi="Arial" w:cs="Arial"/>
                <w:b/>
                <w:bCs/>
                <w:color w:val="000000"/>
              </w:rPr>
            </w:pPr>
            <w:r>
              <w:rPr>
                <w:rFonts w:ascii="Arial" w:hAnsi="Arial" w:cs="Arial"/>
                <w:b/>
                <w:bCs/>
                <w:color w:val="000000"/>
              </w:rPr>
              <w:t> </w:t>
            </w:r>
          </w:p>
        </w:tc>
      </w:tr>
      <w:tr w:rsidR="00045594" w:rsidRPr="00634844" w14:paraId="2C0853F8" w14:textId="77777777" w:rsidTr="00634844">
        <w:trPr>
          <w:trHeight w:val="253"/>
        </w:trPr>
        <w:tc>
          <w:tcPr>
            <w:tcW w:w="2989" w:type="dxa"/>
            <w:tcBorders>
              <w:top w:val="nil"/>
              <w:left w:val="single" w:sz="8" w:space="0" w:color="auto"/>
              <w:bottom w:val="nil"/>
              <w:right w:val="nil"/>
            </w:tcBorders>
            <w:vAlign w:val="center"/>
            <w:hideMark/>
          </w:tcPr>
          <w:p w14:paraId="25B3EF5A" w14:textId="77777777" w:rsidR="00045594" w:rsidRPr="00634844" w:rsidRDefault="00045594" w:rsidP="00045594">
            <w:pPr>
              <w:rPr>
                <w:rFonts w:ascii="Arial" w:hAnsi="Arial" w:cs="Arial"/>
                <w:color w:val="000000"/>
              </w:rPr>
            </w:pPr>
            <w:r w:rsidRPr="00634844">
              <w:rPr>
                <w:rFonts w:ascii="Arial" w:hAnsi="Arial" w:cs="Arial"/>
                <w:color w:val="000000"/>
              </w:rPr>
              <w:t>Office of the PCC</w:t>
            </w:r>
          </w:p>
        </w:tc>
        <w:tc>
          <w:tcPr>
            <w:tcW w:w="2363" w:type="dxa"/>
            <w:tcBorders>
              <w:top w:val="nil"/>
              <w:left w:val="nil"/>
              <w:bottom w:val="nil"/>
              <w:right w:val="nil"/>
            </w:tcBorders>
            <w:shd w:val="clear" w:color="000000" w:fill="CCCCCC"/>
            <w:vAlign w:val="center"/>
            <w:hideMark/>
          </w:tcPr>
          <w:p w14:paraId="02F20AAB" w14:textId="0A34AD74" w:rsidR="00045594" w:rsidRPr="00634844" w:rsidRDefault="00045594" w:rsidP="00045594">
            <w:pPr>
              <w:jc w:val="right"/>
              <w:rPr>
                <w:rFonts w:ascii="Arial" w:hAnsi="Arial" w:cs="Arial"/>
                <w:b/>
                <w:bCs/>
                <w:color w:val="000000"/>
              </w:rPr>
            </w:pPr>
            <w:r>
              <w:rPr>
                <w:rFonts w:ascii="Arial" w:hAnsi="Arial" w:cs="Arial"/>
                <w:b/>
                <w:bCs/>
                <w:color w:val="000000"/>
              </w:rPr>
              <w:t>1,982</w:t>
            </w:r>
          </w:p>
        </w:tc>
        <w:tc>
          <w:tcPr>
            <w:tcW w:w="2711" w:type="dxa"/>
            <w:tcBorders>
              <w:top w:val="nil"/>
              <w:left w:val="nil"/>
              <w:bottom w:val="nil"/>
              <w:right w:val="nil"/>
            </w:tcBorders>
            <w:shd w:val="clear" w:color="000000" w:fill="CCCCCC"/>
            <w:vAlign w:val="center"/>
            <w:hideMark/>
          </w:tcPr>
          <w:p w14:paraId="1A8FF3BA" w14:textId="6362C0B1" w:rsidR="00045594" w:rsidRPr="00634844" w:rsidRDefault="00045594" w:rsidP="00045594">
            <w:pPr>
              <w:jc w:val="right"/>
              <w:rPr>
                <w:rFonts w:ascii="Arial" w:hAnsi="Arial" w:cs="Arial"/>
                <w:b/>
                <w:bCs/>
                <w:color w:val="000000"/>
              </w:rPr>
            </w:pPr>
            <w:r>
              <w:rPr>
                <w:rFonts w:ascii="Arial" w:hAnsi="Arial" w:cs="Arial"/>
                <w:b/>
                <w:bCs/>
                <w:color w:val="000000"/>
              </w:rPr>
              <w:t>6</w:t>
            </w:r>
            <w:r w:rsidR="0091357D">
              <w:rPr>
                <w:rFonts w:ascii="Arial" w:hAnsi="Arial" w:cs="Arial"/>
                <w:b/>
                <w:bCs/>
                <w:color w:val="000000"/>
              </w:rPr>
              <w:t>34</w:t>
            </w:r>
          </w:p>
        </w:tc>
        <w:tc>
          <w:tcPr>
            <w:tcW w:w="2384" w:type="dxa"/>
            <w:tcBorders>
              <w:top w:val="nil"/>
              <w:left w:val="nil"/>
              <w:bottom w:val="nil"/>
              <w:right w:val="nil"/>
            </w:tcBorders>
            <w:shd w:val="clear" w:color="000000" w:fill="CCCCCC"/>
            <w:vAlign w:val="center"/>
            <w:hideMark/>
          </w:tcPr>
          <w:p w14:paraId="1F85E37E" w14:textId="5E8734BE" w:rsidR="00045594" w:rsidRPr="00634844" w:rsidRDefault="00045594" w:rsidP="00045594">
            <w:pPr>
              <w:jc w:val="right"/>
              <w:rPr>
                <w:rFonts w:ascii="Arial" w:hAnsi="Arial" w:cs="Arial"/>
                <w:b/>
                <w:bCs/>
                <w:color w:val="000000"/>
              </w:rPr>
            </w:pPr>
            <w:r>
              <w:rPr>
                <w:rFonts w:ascii="Arial" w:hAnsi="Arial" w:cs="Arial"/>
                <w:b/>
                <w:bCs/>
                <w:color w:val="000000"/>
              </w:rPr>
              <w:t>2,6</w:t>
            </w:r>
            <w:r w:rsidR="0091357D">
              <w:rPr>
                <w:rFonts w:ascii="Arial" w:hAnsi="Arial" w:cs="Arial"/>
                <w:b/>
                <w:bCs/>
                <w:color w:val="000000"/>
              </w:rPr>
              <w:t>17</w:t>
            </w:r>
          </w:p>
        </w:tc>
        <w:tc>
          <w:tcPr>
            <w:tcW w:w="2450" w:type="dxa"/>
            <w:tcBorders>
              <w:top w:val="nil"/>
              <w:left w:val="nil"/>
              <w:bottom w:val="nil"/>
              <w:right w:val="nil"/>
            </w:tcBorders>
            <w:shd w:val="clear" w:color="000000" w:fill="CCCCCC"/>
            <w:vAlign w:val="center"/>
            <w:hideMark/>
          </w:tcPr>
          <w:p w14:paraId="6E7516BD" w14:textId="76BCBC1A" w:rsidR="00045594" w:rsidRPr="00634844" w:rsidRDefault="00045594" w:rsidP="00045594">
            <w:pPr>
              <w:jc w:val="right"/>
              <w:rPr>
                <w:rFonts w:ascii="Arial" w:hAnsi="Arial" w:cs="Arial"/>
                <w:b/>
                <w:bCs/>
                <w:color w:val="000000"/>
              </w:rPr>
            </w:pPr>
            <w:r>
              <w:rPr>
                <w:rFonts w:ascii="Arial" w:hAnsi="Arial" w:cs="Arial"/>
                <w:b/>
                <w:bCs/>
                <w:color w:val="000000"/>
              </w:rPr>
              <w:t>(284)</w:t>
            </w:r>
          </w:p>
        </w:tc>
        <w:tc>
          <w:tcPr>
            <w:tcW w:w="2708" w:type="dxa"/>
            <w:tcBorders>
              <w:top w:val="nil"/>
              <w:left w:val="nil"/>
              <w:bottom w:val="nil"/>
              <w:right w:val="single" w:sz="8" w:space="0" w:color="auto"/>
            </w:tcBorders>
            <w:shd w:val="clear" w:color="000000" w:fill="CCCCCC"/>
            <w:vAlign w:val="center"/>
            <w:hideMark/>
          </w:tcPr>
          <w:p w14:paraId="1CF632D2" w14:textId="03FF5330" w:rsidR="00045594" w:rsidRPr="00634844" w:rsidRDefault="00045594" w:rsidP="00045594">
            <w:pPr>
              <w:jc w:val="right"/>
              <w:rPr>
                <w:rFonts w:ascii="Arial" w:hAnsi="Arial" w:cs="Arial"/>
                <w:b/>
                <w:bCs/>
                <w:color w:val="000000"/>
              </w:rPr>
            </w:pPr>
            <w:r>
              <w:rPr>
                <w:rFonts w:ascii="Arial" w:hAnsi="Arial" w:cs="Arial"/>
                <w:b/>
                <w:bCs/>
                <w:color w:val="000000"/>
              </w:rPr>
              <w:t>2,3</w:t>
            </w:r>
            <w:r w:rsidR="0091357D">
              <w:rPr>
                <w:rFonts w:ascii="Arial" w:hAnsi="Arial" w:cs="Arial"/>
                <w:b/>
                <w:bCs/>
                <w:color w:val="000000"/>
              </w:rPr>
              <w:t>33</w:t>
            </w:r>
          </w:p>
        </w:tc>
      </w:tr>
      <w:tr w:rsidR="00045594" w:rsidRPr="00634844" w14:paraId="459E7C54" w14:textId="77777777" w:rsidTr="00634844">
        <w:trPr>
          <w:trHeight w:val="253"/>
        </w:trPr>
        <w:tc>
          <w:tcPr>
            <w:tcW w:w="2989" w:type="dxa"/>
            <w:tcBorders>
              <w:top w:val="nil"/>
              <w:left w:val="single" w:sz="8" w:space="0" w:color="auto"/>
              <w:bottom w:val="nil"/>
              <w:right w:val="nil"/>
            </w:tcBorders>
            <w:vAlign w:val="center"/>
            <w:hideMark/>
          </w:tcPr>
          <w:p w14:paraId="568A14FA" w14:textId="2220FA48" w:rsidR="00045594" w:rsidRPr="00634844" w:rsidRDefault="0081765F" w:rsidP="00045594">
            <w:pPr>
              <w:rPr>
                <w:rFonts w:ascii="Arial" w:hAnsi="Arial" w:cs="Arial"/>
                <w:color w:val="000000"/>
              </w:rPr>
            </w:pPr>
            <w:r>
              <w:rPr>
                <w:rFonts w:ascii="Arial" w:hAnsi="Arial" w:cs="Arial"/>
                <w:color w:val="000000"/>
              </w:rPr>
              <w:t>Prevention</w:t>
            </w:r>
          </w:p>
        </w:tc>
        <w:tc>
          <w:tcPr>
            <w:tcW w:w="2363" w:type="dxa"/>
            <w:tcBorders>
              <w:top w:val="nil"/>
              <w:left w:val="nil"/>
              <w:bottom w:val="nil"/>
              <w:right w:val="nil"/>
            </w:tcBorders>
            <w:shd w:val="clear" w:color="000000" w:fill="CCCCCC"/>
            <w:vAlign w:val="center"/>
            <w:hideMark/>
          </w:tcPr>
          <w:p w14:paraId="0A53AA64" w14:textId="5B2D1C44" w:rsidR="00045594" w:rsidRPr="00634844" w:rsidRDefault="00045594" w:rsidP="00045594">
            <w:pPr>
              <w:jc w:val="right"/>
              <w:rPr>
                <w:rFonts w:ascii="Arial" w:hAnsi="Arial" w:cs="Arial"/>
                <w:b/>
                <w:bCs/>
                <w:color w:val="000000"/>
              </w:rPr>
            </w:pPr>
            <w:r>
              <w:rPr>
                <w:rFonts w:ascii="Arial" w:hAnsi="Arial" w:cs="Arial"/>
                <w:b/>
                <w:bCs/>
                <w:color w:val="000000"/>
              </w:rPr>
              <w:t>754</w:t>
            </w:r>
          </w:p>
        </w:tc>
        <w:tc>
          <w:tcPr>
            <w:tcW w:w="2711" w:type="dxa"/>
            <w:tcBorders>
              <w:top w:val="nil"/>
              <w:left w:val="nil"/>
              <w:bottom w:val="nil"/>
              <w:right w:val="nil"/>
            </w:tcBorders>
            <w:shd w:val="clear" w:color="000000" w:fill="CCCCCC"/>
            <w:vAlign w:val="center"/>
            <w:hideMark/>
          </w:tcPr>
          <w:p w14:paraId="46BC8390" w14:textId="77916F8A" w:rsidR="00045594" w:rsidRPr="00634844" w:rsidRDefault="00045594" w:rsidP="00045594">
            <w:pPr>
              <w:jc w:val="right"/>
              <w:rPr>
                <w:rFonts w:ascii="Arial" w:hAnsi="Arial" w:cs="Arial"/>
                <w:b/>
                <w:bCs/>
                <w:color w:val="000000"/>
              </w:rPr>
            </w:pPr>
            <w:r>
              <w:rPr>
                <w:rFonts w:ascii="Arial" w:hAnsi="Arial" w:cs="Arial"/>
                <w:b/>
                <w:bCs/>
                <w:color w:val="000000"/>
              </w:rPr>
              <w:t>(1,590)</w:t>
            </w:r>
          </w:p>
        </w:tc>
        <w:tc>
          <w:tcPr>
            <w:tcW w:w="2384" w:type="dxa"/>
            <w:tcBorders>
              <w:top w:val="nil"/>
              <w:left w:val="nil"/>
              <w:bottom w:val="nil"/>
              <w:right w:val="nil"/>
            </w:tcBorders>
            <w:shd w:val="clear" w:color="000000" w:fill="CCCCCC"/>
            <w:vAlign w:val="center"/>
            <w:hideMark/>
          </w:tcPr>
          <w:p w14:paraId="490FFEDB" w14:textId="77A6D7C2" w:rsidR="00045594" w:rsidRPr="00634844" w:rsidRDefault="00045594" w:rsidP="00045594">
            <w:pPr>
              <w:jc w:val="right"/>
              <w:rPr>
                <w:rFonts w:ascii="Arial" w:hAnsi="Arial" w:cs="Arial"/>
                <w:b/>
                <w:bCs/>
                <w:color w:val="000000"/>
              </w:rPr>
            </w:pPr>
            <w:r>
              <w:rPr>
                <w:rFonts w:ascii="Arial" w:hAnsi="Arial" w:cs="Arial"/>
                <w:b/>
                <w:bCs/>
                <w:color w:val="000000"/>
              </w:rPr>
              <w:t>(836)</w:t>
            </w:r>
          </w:p>
        </w:tc>
        <w:tc>
          <w:tcPr>
            <w:tcW w:w="2450" w:type="dxa"/>
            <w:tcBorders>
              <w:top w:val="nil"/>
              <w:left w:val="nil"/>
              <w:bottom w:val="nil"/>
              <w:right w:val="nil"/>
            </w:tcBorders>
            <w:shd w:val="clear" w:color="000000" w:fill="CCCCCC"/>
            <w:vAlign w:val="center"/>
            <w:hideMark/>
          </w:tcPr>
          <w:p w14:paraId="05B105B5" w14:textId="4B11A8B1" w:rsidR="00045594" w:rsidRPr="00634844" w:rsidRDefault="00045594" w:rsidP="00045594">
            <w:pPr>
              <w:jc w:val="right"/>
              <w:rPr>
                <w:rFonts w:ascii="Arial" w:hAnsi="Arial" w:cs="Arial"/>
                <w:b/>
                <w:bCs/>
                <w:color w:val="000000"/>
              </w:rPr>
            </w:pPr>
            <w:r>
              <w:rPr>
                <w:rFonts w:ascii="Arial" w:hAnsi="Arial" w:cs="Arial"/>
                <w:b/>
                <w:bCs/>
                <w:color w:val="000000"/>
              </w:rPr>
              <w:t>(29)</w:t>
            </w:r>
          </w:p>
        </w:tc>
        <w:tc>
          <w:tcPr>
            <w:tcW w:w="2708" w:type="dxa"/>
            <w:tcBorders>
              <w:top w:val="nil"/>
              <w:left w:val="nil"/>
              <w:bottom w:val="nil"/>
              <w:right w:val="single" w:sz="8" w:space="0" w:color="auto"/>
            </w:tcBorders>
            <w:shd w:val="clear" w:color="000000" w:fill="CCCCCC"/>
            <w:vAlign w:val="center"/>
            <w:hideMark/>
          </w:tcPr>
          <w:p w14:paraId="7334A4AD" w14:textId="20B073D5" w:rsidR="00045594" w:rsidRPr="00634844" w:rsidRDefault="00045594" w:rsidP="00045594">
            <w:pPr>
              <w:jc w:val="right"/>
              <w:rPr>
                <w:rFonts w:ascii="Arial" w:hAnsi="Arial" w:cs="Arial"/>
                <w:b/>
                <w:bCs/>
                <w:color w:val="000000"/>
              </w:rPr>
            </w:pPr>
            <w:r>
              <w:rPr>
                <w:rFonts w:ascii="Arial" w:hAnsi="Arial" w:cs="Arial"/>
                <w:b/>
                <w:bCs/>
                <w:color w:val="000000"/>
              </w:rPr>
              <w:t>(865)</w:t>
            </w:r>
          </w:p>
        </w:tc>
      </w:tr>
      <w:tr w:rsidR="00045594" w:rsidRPr="00634844" w14:paraId="2CFBF700" w14:textId="77777777" w:rsidTr="00634844">
        <w:trPr>
          <w:trHeight w:val="253"/>
        </w:trPr>
        <w:tc>
          <w:tcPr>
            <w:tcW w:w="2989" w:type="dxa"/>
            <w:tcBorders>
              <w:top w:val="nil"/>
              <w:left w:val="single" w:sz="8" w:space="0" w:color="auto"/>
              <w:bottom w:val="nil"/>
              <w:right w:val="nil"/>
            </w:tcBorders>
            <w:vAlign w:val="center"/>
            <w:hideMark/>
          </w:tcPr>
          <w:p w14:paraId="6C14898A" w14:textId="77777777" w:rsidR="00045594" w:rsidRPr="00634844" w:rsidRDefault="00045594" w:rsidP="00045594">
            <w:pPr>
              <w:rPr>
                <w:rFonts w:ascii="Arial" w:hAnsi="Arial" w:cs="Arial"/>
                <w:color w:val="000000"/>
              </w:rPr>
            </w:pPr>
            <w:r w:rsidRPr="00634844">
              <w:rPr>
                <w:rFonts w:ascii="Arial" w:hAnsi="Arial" w:cs="Arial"/>
                <w:color w:val="000000"/>
              </w:rPr>
              <w:t>Victim and Domestic Abuse services</w:t>
            </w:r>
          </w:p>
        </w:tc>
        <w:tc>
          <w:tcPr>
            <w:tcW w:w="2363" w:type="dxa"/>
            <w:tcBorders>
              <w:top w:val="nil"/>
              <w:left w:val="nil"/>
              <w:bottom w:val="nil"/>
              <w:right w:val="nil"/>
            </w:tcBorders>
            <w:shd w:val="clear" w:color="000000" w:fill="CCCCCC"/>
            <w:vAlign w:val="center"/>
            <w:hideMark/>
          </w:tcPr>
          <w:p w14:paraId="6AED69F8" w14:textId="45C6462A" w:rsidR="00045594" w:rsidRPr="00634844" w:rsidRDefault="00045594" w:rsidP="00045594">
            <w:pPr>
              <w:jc w:val="right"/>
              <w:rPr>
                <w:rFonts w:ascii="Arial" w:hAnsi="Arial" w:cs="Arial"/>
                <w:b/>
                <w:bCs/>
                <w:color w:val="000000"/>
              </w:rPr>
            </w:pPr>
            <w:r>
              <w:rPr>
                <w:rFonts w:ascii="Arial" w:hAnsi="Arial" w:cs="Arial"/>
                <w:b/>
                <w:bCs/>
                <w:color w:val="000000"/>
              </w:rPr>
              <w:t>720</w:t>
            </w:r>
          </w:p>
        </w:tc>
        <w:tc>
          <w:tcPr>
            <w:tcW w:w="2711" w:type="dxa"/>
            <w:tcBorders>
              <w:top w:val="nil"/>
              <w:left w:val="nil"/>
              <w:bottom w:val="nil"/>
              <w:right w:val="nil"/>
            </w:tcBorders>
            <w:shd w:val="clear" w:color="000000" w:fill="CCCCCC"/>
            <w:vAlign w:val="center"/>
            <w:hideMark/>
          </w:tcPr>
          <w:p w14:paraId="31072C3B" w14:textId="038FDD22" w:rsidR="00045594" w:rsidRPr="00634844" w:rsidRDefault="00045594" w:rsidP="00045594">
            <w:pPr>
              <w:jc w:val="right"/>
              <w:rPr>
                <w:rFonts w:ascii="Arial" w:hAnsi="Arial" w:cs="Arial"/>
                <w:b/>
                <w:bCs/>
                <w:color w:val="000000"/>
              </w:rPr>
            </w:pPr>
            <w:r>
              <w:rPr>
                <w:rFonts w:ascii="Arial" w:hAnsi="Arial" w:cs="Arial"/>
                <w:b/>
                <w:bCs/>
                <w:color w:val="000000"/>
              </w:rPr>
              <w:t>20</w:t>
            </w:r>
          </w:p>
        </w:tc>
        <w:tc>
          <w:tcPr>
            <w:tcW w:w="2384" w:type="dxa"/>
            <w:tcBorders>
              <w:top w:val="nil"/>
              <w:left w:val="nil"/>
              <w:bottom w:val="nil"/>
              <w:right w:val="nil"/>
            </w:tcBorders>
            <w:shd w:val="clear" w:color="000000" w:fill="CCCCCC"/>
            <w:vAlign w:val="center"/>
            <w:hideMark/>
          </w:tcPr>
          <w:p w14:paraId="7B38A4E1" w14:textId="3F624322" w:rsidR="00045594" w:rsidRPr="00634844" w:rsidRDefault="00045594" w:rsidP="00045594">
            <w:pPr>
              <w:jc w:val="right"/>
              <w:rPr>
                <w:rFonts w:ascii="Arial" w:hAnsi="Arial" w:cs="Arial"/>
                <w:b/>
                <w:bCs/>
                <w:color w:val="000000"/>
              </w:rPr>
            </w:pPr>
            <w:r>
              <w:rPr>
                <w:rFonts w:ascii="Arial" w:hAnsi="Arial" w:cs="Arial"/>
                <w:b/>
                <w:bCs/>
                <w:color w:val="000000"/>
              </w:rPr>
              <w:t>741</w:t>
            </w:r>
          </w:p>
        </w:tc>
        <w:tc>
          <w:tcPr>
            <w:tcW w:w="2450" w:type="dxa"/>
            <w:tcBorders>
              <w:top w:val="nil"/>
              <w:left w:val="nil"/>
              <w:bottom w:val="nil"/>
              <w:right w:val="nil"/>
            </w:tcBorders>
            <w:shd w:val="clear" w:color="000000" w:fill="CCCCCC"/>
            <w:vAlign w:val="center"/>
            <w:hideMark/>
          </w:tcPr>
          <w:p w14:paraId="471A3696" w14:textId="5928331F" w:rsidR="00045594" w:rsidRPr="00634844" w:rsidRDefault="00045594" w:rsidP="00045594">
            <w:pPr>
              <w:jc w:val="right"/>
              <w:rPr>
                <w:rFonts w:ascii="Arial" w:hAnsi="Arial" w:cs="Arial"/>
                <w:b/>
                <w:bCs/>
                <w:color w:val="000000"/>
              </w:rPr>
            </w:pPr>
            <w:r>
              <w:rPr>
                <w:rFonts w:ascii="Arial" w:hAnsi="Arial" w:cs="Arial"/>
                <w:b/>
                <w:bCs/>
                <w:color w:val="000000"/>
              </w:rPr>
              <w:t>(44)</w:t>
            </w:r>
          </w:p>
        </w:tc>
        <w:tc>
          <w:tcPr>
            <w:tcW w:w="2708" w:type="dxa"/>
            <w:tcBorders>
              <w:top w:val="nil"/>
              <w:left w:val="nil"/>
              <w:bottom w:val="nil"/>
              <w:right w:val="single" w:sz="8" w:space="0" w:color="auto"/>
            </w:tcBorders>
            <w:shd w:val="clear" w:color="000000" w:fill="CCCCCC"/>
            <w:vAlign w:val="center"/>
            <w:hideMark/>
          </w:tcPr>
          <w:p w14:paraId="53ACF33B" w14:textId="474B84C9" w:rsidR="00045594" w:rsidRPr="00634844" w:rsidRDefault="00045594" w:rsidP="00045594">
            <w:pPr>
              <w:jc w:val="right"/>
              <w:rPr>
                <w:rFonts w:ascii="Arial" w:hAnsi="Arial" w:cs="Arial"/>
                <w:b/>
                <w:bCs/>
                <w:color w:val="000000"/>
              </w:rPr>
            </w:pPr>
            <w:r>
              <w:rPr>
                <w:rFonts w:ascii="Arial" w:hAnsi="Arial" w:cs="Arial"/>
                <w:b/>
                <w:bCs/>
                <w:color w:val="000000"/>
              </w:rPr>
              <w:t>696</w:t>
            </w:r>
          </w:p>
        </w:tc>
      </w:tr>
      <w:tr w:rsidR="00045594" w:rsidRPr="00634844" w14:paraId="2C7AF9A9" w14:textId="77777777" w:rsidTr="00634844">
        <w:trPr>
          <w:trHeight w:val="253"/>
        </w:trPr>
        <w:tc>
          <w:tcPr>
            <w:tcW w:w="2989" w:type="dxa"/>
            <w:tcBorders>
              <w:top w:val="nil"/>
              <w:left w:val="single" w:sz="8" w:space="0" w:color="auto"/>
              <w:bottom w:val="nil"/>
              <w:right w:val="nil"/>
            </w:tcBorders>
            <w:vAlign w:val="center"/>
            <w:hideMark/>
          </w:tcPr>
          <w:p w14:paraId="593F894D" w14:textId="77777777" w:rsidR="00045594" w:rsidRPr="00634844" w:rsidRDefault="00045594" w:rsidP="00045594">
            <w:pPr>
              <w:rPr>
                <w:rFonts w:ascii="Arial" w:hAnsi="Arial" w:cs="Arial"/>
                <w:color w:val="000000"/>
              </w:rPr>
            </w:pPr>
            <w:r w:rsidRPr="00634844">
              <w:rPr>
                <w:rFonts w:ascii="Arial" w:hAnsi="Arial" w:cs="Arial"/>
                <w:color w:val="000000"/>
              </w:rPr>
              <w:t>PCC Non-Devolved Budgets</w:t>
            </w:r>
          </w:p>
        </w:tc>
        <w:tc>
          <w:tcPr>
            <w:tcW w:w="2363" w:type="dxa"/>
            <w:tcBorders>
              <w:top w:val="nil"/>
              <w:left w:val="nil"/>
              <w:bottom w:val="nil"/>
              <w:right w:val="nil"/>
            </w:tcBorders>
            <w:shd w:val="clear" w:color="000000" w:fill="CCCCCC"/>
            <w:vAlign w:val="center"/>
            <w:hideMark/>
          </w:tcPr>
          <w:p w14:paraId="758321B1" w14:textId="6D743F4B" w:rsidR="00045594" w:rsidRPr="00634844" w:rsidRDefault="00045594" w:rsidP="00045594">
            <w:pPr>
              <w:jc w:val="right"/>
              <w:rPr>
                <w:rFonts w:ascii="Arial" w:hAnsi="Arial" w:cs="Arial"/>
                <w:b/>
                <w:bCs/>
                <w:color w:val="000000"/>
              </w:rPr>
            </w:pPr>
            <w:r>
              <w:rPr>
                <w:rFonts w:ascii="Arial" w:hAnsi="Arial" w:cs="Arial"/>
                <w:b/>
                <w:bCs/>
                <w:color w:val="000000"/>
              </w:rPr>
              <w:t>1,978</w:t>
            </w:r>
          </w:p>
        </w:tc>
        <w:tc>
          <w:tcPr>
            <w:tcW w:w="2711" w:type="dxa"/>
            <w:tcBorders>
              <w:top w:val="nil"/>
              <w:left w:val="nil"/>
              <w:bottom w:val="nil"/>
              <w:right w:val="nil"/>
            </w:tcBorders>
            <w:shd w:val="clear" w:color="000000" w:fill="CCCCCC"/>
            <w:vAlign w:val="center"/>
            <w:hideMark/>
          </w:tcPr>
          <w:p w14:paraId="42B07185" w14:textId="7A97F289" w:rsidR="00045594" w:rsidRPr="00634844" w:rsidRDefault="00045594" w:rsidP="00045594">
            <w:pPr>
              <w:jc w:val="right"/>
              <w:rPr>
                <w:rFonts w:ascii="Arial" w:hAnsi="Arial" w:cs="Arial"/>
                <w:b/>
                <w:bCs/>
                <w:color w:val="000000"/>
              </w:rPr>
            </w:pPr>
            <w:r>
              <w:rPr>
                <w:rFonts w:ascii="Arial" w:hAnsi="Arial" w:cs="Arial"/>
                <w:b/>
                <w:bCs/>
                <w:color w:val="000000"/>
              </w:rPr>
              <w:t>(1,980)</w:t>
            </w:r>
          </w:p>
        </w:tc>
        <w:tc>
          <w:tcPr>
            <w:tcW w:w="2384" w:type="dxa"/>
            <w:tcBorders>
              <w:top w:val="nil"/>
              <w:left w:val="nil"/>
              <w:bottom w:val="nil"/>
              <w:right w:val="nil"/>
            </w:tcBorders>
            <w:shd w:val="clear" w:color="000000" w:fill="CCCCCC"/>
            <w:vAlign w:val="center"/>
            <w:hideMark/>
          </w:tcPr>
          <w:p w14:paraId="05FFDCA7" w14:textId="6411F1C7" w:rsidR="00045594" w:rsidRPr="00634844" w:rsidRDefault="00045594" w:rsidP="00045594">
            <w:pPr>
              <w:jc w:val="right"/>
              <w:rPr>
                <w:rFonts w:ascii="Arial" w:hAnsi="Arial" w:cs="Arial"/>
                <w:b/>
                <w:bCs/>
                <w:color w:val="000000"/>
              </w:rPr>
            </w:pPr>
            <w:r>
              <w:rPr>
                <w:rFonts w:ascii="Arial" w:hAnsi="Arial" w:cs="Arial"/>
                <w:b/>
                <w:bCs/>
                <w:color w:val="000000"/>
              </w:rPr>
              <w:t>(2)</w:t>
            </w:r>
          </w:p>
        </w:tc>
        <w:tc>
          <w:tcPr>
            <w:tcW w:w="2450" w:type="dxa"/>
            <w:tcBorders>
              <w:top w:val="nil"/>
              <w:left w:val="nil"/>
              <w:bottom w:val="nil"/>
              <w:right w:val="nil"/>
            </w:tcBorders>
            <w:shd w:val="clear" w:color="000000" w:fill="CCCCCC"/>
            <w:vAlign w:val="center"/>
            <w:hideMark/>
          </w:tcPr>
          <w:p w14:paraId="43C0A445" w14:textId="121BFCCD" w:rsidR="00045594" w:rsidRPr="00634844" w:rsidRDefault="00045594" w:rsidP="00045594">
            <w:pPr>
              <w:jc w:val="right"/>
              <w:rPr>
                <w:rFonts w:ascii="Arial" w:hAnsi="Arial" w:cs="Arial"/>
                <w:b/>
                <w:bCs/>
                <w:color w:val="000000"/>
              </w:rPr>
            </w:pPr>
            <w:r>
              <w:rPr>
                <w:rFonts w:ascii="Arial" w:hAnsi="Arial" w:cs="Arial"/>
                <w:b/>
                <w:bCs/>
                <w:color w:val="000000"/>
              </w:rPr>
              <w:t>22,562</w:t>
            </w:r>
          </w:p>
        </w:tc>
        <w:tc>
          <w:tcPr>
            <w:tcW w:w="2708" w:type="dxa"/>
            <w:tcBorders>
              <w:top w:val="nil"/>
              <w:left w:val="nil"/>
              <w:bottom w:val="nil"/>
              <w:right w:val="single" w:sz="8" w:space="0" w:color="auto"/>
            </w:tcBorders>
            <w:shd w:val="clear" w:color="000000" w:fill="CCCCCC"/>
            <w:vAlign w:val="center"/>
            <w:hideMark/>
          </w:tcPr>
          <w:p w14:paraId="506ACE59" w14:textId="54CC09AF" w:rsidR="00045594" w:rsidRPr="00634844" w:rsidRDefault="00045594" w:rsidP="00045594">
            <w:pPr>
              <w:jc w:val="right"/>
              <w:rPr>
                <w:rFonts w:ascii="Arial" w:hAnsi="Arial" w:cs="Arial"/>
                <w:b/>
                <w:bCs/>
                <w:color w:val="000000"/>
              </w:rPr>
            </w:pPr>
            <w:r>
              <w:rPr>
                <w:rFonts w:ascii="Arial" w:hAnsi="Arial" w:cs="Arial"/>
                <w:b/>
                <w:bCs/>
                <w:color w:val="000000"/>
              </w:rPr>
              <w:t>22,560</w:t>
            </w:r>
          </w:p>
        </w:tc>
      </w:tr>
      <w:tr w:rsidR="00045594" w:rsidRPr="00634844" w14:paraId="21B574DC" w14:textId="77777777" w:rsidTr="00634844">
        <w:trPr>
          <w:trHeight w:val="253"/>
        </w:trPr>
        <w:tc>
          <w:tcPr>
            <w:tcW w:w="2989" w:type="dxa"/>
            <w:tcBorders>
              <w:top w:val="nil"/>
              <w:left w:val="single" w:sz="8" w:space="0" w:color="auto"/>
              <w:bottom w:val="nil"/>
              <w:right w:val="nil"/>
            </w:tcBorders>
            <w:vAlign w:val="center"/>
            <w:hideMark/>
          </w:tcPr>
          <w:p w14:paraId="04C88D42" w14:textId="77777777" w:rsidR="00045594" w:rsidRPr="00634844" w:rsidRDefault="00045594" w:rsidP="00045594">
            <w:pPr>
              <w:rPr>
                <w:rFonts w:ascii="Arial" w:hAnsi="Arial" w:cs="Arial"/>
                <w:b/>
                <w:bCs/>
                <w:color w:val="000000"/>
              </w:rPr>
            </w:pPr>
            <w:r w:rsidRPr="00634844">
              <w:rPr>
                <w:rFonts w:ascii="Arial" w:hAnsi="Arial" w:cs="Arial"/>
                <w:b/>
                <w:bCs/>
                <w:color w:val="000000"/>
              </w:rPr>
              <w:t>Net Cost of Services</w:t>
            </w:r>
          </w:p>
        </w:tc>
        <w:tc>
          <w:tcPr>
            <w:tcW w:w="2363" w:type="dxa"/>
            <w:tcBorders>
              <w:top w:val="single" w:sz="8" w:space="0" w:color="auto"/>
              <w:left w:val="nil"/>
              <w:bottom w:val="nil"/>
              <w:right w:val="nil"/>
            </w:tcBorders>
            <w:shd w:val="clear" w:color="000000" w:fill="CCCCCC"/>
            <w:vAlign w:val="center"/>
            <w:hideMark/>
          </w:tcPr>
          <w:p w14:paraId="1CDFCDAF" w14:textId="6D24B8FF" w:rsidR="00045594" w:rsidRPr="00634844" w:rsidRDefault="00045594" w:rsidP="00045594">
            <w:pPr>
              <w:jc w:val="right"/>
              <w:rPr>
                <w:rFonts w:ascii="Arial" w:hAnsi="Arial" w:cs="Arial"/>
                <w:b/>
                <w:bCs/>
                <w:color w:val="000000"/>
              </w:rPr>
            </w:pPr>
            <w:r>
              <w:rPr>
                <w:rFonts w:ascii="Arial" w:hAnsi="Arial" w:cs="Arial"/>
                <w:b/>
                <w:bCs/>
                <w:color w:val="000000"/>
              </w:rPr>
              <w:t>370,820</w:t>
            </w:r>
          </w:p>
        </w:tc>
        <w:tc>
          <w:tcPr>
            <w:tcW w:w="2711" w:type="dxa"/>
            <w:tcBorders>
              <w:top w:val="single" w:sz="8" w:space="0" w:color="auto"/>
              <w:left w:val="nil"/>
              <w:bottom w:val="nil"/>
              <w:right w:val="nil"/>
            </w:tcBorders>
            <w:shd w:val="clear" w:color="000000" w:fill="CCCCCC"/>
            <w:vAlign w:val="center"/>
            <w:hideMark/>
          </w:tcPr>
          <w:p w14:paraId="50E26899" w14:textId="75271D12" w:rsidR="00045594" w:rsidRPr="00634844" w:rsidRDefault="00045594" w:rsidP="00045594">
            <w:pPr>
              <w:jc w:val="right"/>
              <w:rPr>
                <w:rFonts w:ascii="Arial" w:hAnsi="Arial" w:cs="Arial"/>
                <w:b/>
                <w:bCs/>
                <w:color w:val="000000"/>
              </w:rPr>
            </w:pPr>
            <w:r>
              <w:rPr>
                <w:rFonts w:ascii="Arial" w:hAnsi="Arial" w:cs="Arial"/>
                <w:b/>
                <w:bCs/>
                <w:color w:val="000000"/>
              </w:rPr>
              <w:t>50,6</w:t>
            </w:r>
            <w:r w:rsidR="002B0EBD">
              <w:rPr>
                <w:rFonts w:ascii="Arial" w:hAnsi="Arial" w:cs="Arial"/>
                <w:b/>
                <w:bCs/>
                <w:color w:val="000000"/>
              </w:rPr>
              <w:t>55</w:t>
            </w:r>
          </w:p>
        </w:tc>
        <w:tc>
          <w:tcPr>
            <w:tcW w:w="2384" w:type="dxa"/>
            <w:tcBorders>
              <w:top w:val="single" w:sz="8" w:space="0" w:color="auto"/>
              <w:left w:val="nil"/>
              <w:bottom w:val="nil"/>
              <w:right w:val="nil"/>
            </w:tcBorders>
            <w:shd w:val="clear" w:color="000000" w:fill="CCCCCC"/>
            <w:vAlign w:val="center"/>
            <w:hideMark/>
          </w:tcPr>
          <w:p w14:paraId="18D38E00" w14:textId="78932410" w:rsidR="00045594" w:rsidRPr="00634844" w:rsidRDefault="00045594" w:rsidP="00045594">
            <w:pPr>
              <w:jc w:val="right"/>
              <w:rPr>
                <w:rFonts w:ascii="Arial" w:hAnsi="Arial" w:cs="Arial"/>
                <w:b/>
                <w:bCs/>
                <w:color w:val="000000"/>
              </w:rPr>
            </w:pPr>
            <w:r>
              <w:rPr>
                <w:rFonts w:ascii="Arial" w:hAnsi="Arial" w:cs="Arial"/>
                <w:b/>
                <w:bCs/>
                <w:color w:val="000000"/>
              </w:rPr>
              <w:t>421,4</w:t>
            </w:r>
            <w:r w:rsidR="002B0EBD">
              <w:rPr>
                <w:rFonts w:ascii="Arial" w:hAnsi="Arial" w:cs="Arial"/>
                <w:b/>
                <w:bCs/>
                <w:color w:val="000000"/>
              </w:rPr>
              <w:t>75</w:t>
            </w:r>
          </w:p>
        </w:tc>
        <w:tc>
          <w:tcPr>
            <w:tcW w:w="2450" w:type="dxa"/>
            <w:tcBorders>
              <w:top w:val="single" w:sz="8" w:space="0" w:color="auto"/>
              <w:left w:val="nil"/>
              <w:bottom w:val="nil"/>
              <w:right w:val="nil"/>
            </w:tcBorders>
            <w:shd w:val="clear" w:color="000000" w:fill="CCCCCC"/>
            <w:vAlign w:val="center"/>
            <w:hideMark/>
          </w:tcPr>
          <w:p w14:paraId="06FB565E" w14:textId="35379251" w:rsidR="00045594" w:rsidRPr="00634844" w:rsidRDefault="00045594" w:rsidP="00045594">
            <w:pPr>
              <w:jc w:val="right"/>
              <w:rPr>
                <w:rFonts w:ascii="Arial" w:hAnsi="Arial" w:cs="Arial"/>
                <w:b/>
                <w:bCs/>
                <w:color w:val="000000"/>
              </w:rPr>
            </w:pPr>
            <w:r>
              <w:rPr>
                <w:rFonts w:ascii="Arial" w:hAnsi="Arial" w:cs="Arial"/>
                <w:b/>
                <w:bCs/>
                <w:color w:val="000000"/>
              </w:rPr>
              <w:t>(48,972)</w:t>
            </w:r>
          </w:p>
        </w:tc>
        <w:tc>
          <w:tcPr>
            <w:tcW w:w="2708" w:type="dxa"/>
            <w:tcBorders>
              <w:top w:val="single" w:sz="8" w:space="0" w:color="auto"/>
              <w:left w:val="nil"/>
              <w:bottom w:val="nil"/>
              <w:right w:val="single" w:sz="8" w:space="0" w:color="auto"/>
            </w:tcBorders>
            <w:shd w:val="clear" w:color="000000" w:fill="CCCCCC"/>
            <w:vAlign w:val="center"/>
            <w:hideMark/>
          </w:tcPr>
          <w:p w14:paraId="732D08BF" w14:textId="3FDB62A3" w:rsidR="00045594" w:rsidRPr="00634844" w:rsidRDefault="00045594" w:rsidP="00045594">
            <w:pPr>
              <w:jc w:val="right"/>
              <w:rPr>
                <w:rFonts w:ascii="Arial" w:hAnsi="Arial" w:cs="Arial"/>
                <w:b/>
                <w:bCs/>
                <w:color w:val="000000"/>
              </w:rPr>
            </w:pPr>
            <w:r>
              <w:rPr>
                <w:rFonts w:ascii="Arial" w:hAnsi="Arial" w:cs="Arial"/>
                <w:b/>
                <w:bCs/>
                <w:color w:val="000000"/>
              </w:rPr>
              <w:t>372,</w:t>
            </w:r>
            <w:r w:rsidR="00A1187E">
              <w:rPr>
                <w:rFonts w:ascii="Arial" w:hAnsi="Arial" w:cs="Arial"/>
                <w:b/>
                <w:bCs/>
                <w:color w:val="000000"/>
              </w:rPr>
              <w:t>503</w:t>
            </w:r>
          </w:p>
        </w:tc>
      </w:tr>
      <w:tr w:rsidR="00045594" w:rsidRPr="00634844" w14:paraId="4AF1C72C" w14:textId="77777777" w:rsidTr="00634844">
        <w:trPr>
          <w:trHeight w:val="266"/>
        </w:trPr>
        <w:tc>
          <w:tcPr>
            <w:tcW w:w="2989" w:type="dxa"/>
            <w:tcBorders>
              <w:top w:val="nil"/>
              <w:left w:val="single" w:sz="8" w:space="0" w:color="auto"/>
              <w:bottom w:val="nil"/>
              <w:right w:val="nil"/>
            </w:tcBorders>
            <w:vAlign w:val="center"/>
            <w:hideMark/>
          </w:tcPr>
          <w:p w14:paraId="4950DDEF" w14:textId="77777777" w:rsidR="00045594" w:rsidRPr="00634844" w:rsidRDefault="00045594" w:rsidP="00045594">
            <w:pPr>
              <w:rPr>
                <w:rFonts w:ascii="Arial" w:hAnsi="Arial" w:cs="Arial"/>
                <w:color w:val="000000"/>
              </w:rPr>
            </w:pPr>
            <w:r w:rsidRPr="00634844">
              <w:rPr>
                <w:rFonts w:ascii="Arial" w:hAnsi="Arial" w:cs="Arial"/>
                <w:color w:val="000000"/>
              </w:rPr>
              <w:t>Other Income and Expenditure</w:t>
            </w:r>
          </w:p>
        </w:tc>
        <w:tc>
          <w:tcPr>
            <w:tcW w:w="2363" w:type="dxa"/>
            <w:tcBorders>
              <w:top w:val="nil"/>
              <w:left w:val="nil"/>
              <w:bottom w:val="single" w:sz="8" w:space="0" w:color="auto"/>
              <w:right w:val="nil"/>
            </w:tcBorders>
            <w:shd w:val="clear" w:color="000000" w:fill="CCCCCC"/>
            <w:vAlign w:val="center"/>
            <w:hideMark/>
          </w:tcPr>
          <w:p w14:paraId="3E5EF4A3" w14:textId="5FAB277F" w:rsidR="00045594" w:rsidRPr="00634844" w:rsidRDefault="00045594" w:rsidP="00045594">
            <w:pPr>
              <w:jc w:val="right"/>
              <w:rPr>
                <w:rFonts w:ascii="Arial" w:hAnsi="Arial" w:cs="Arial"/>
                <w:b/>
                <w:bCs/>
                <w:color w:val="000000"/>
              </w:rPr>
            </w:pPr>
            <w:r>
              <w:rPr>
                <w:rFonts w:ascii="Arial" w:hAnsi="Arial" w:cs="Arial"/>
                <w:b/>
                <w:bCs/>
                <w:color w:val="000000"/>
              </w:rPr>
              <w:t>0</w:t>
            </w:r>
          </w:p>
        </w:tc>
        <w:tc>
          <w:tcPr>
            <w:tcW w:w="2711" w:type="dxa"/>
            <w:tcBorders>
              <w:top w:val="nil"/>
              <w:left w:val="nil"/>
              <w:bottom w:val="single" w:sz="8" w:space="0" w:color="auto"/>
              <w:right w:val="nil"/>
            </w:tcBorders>
            <w:shd w:val="clear" w:color="000000" w:fill="CCCCCC"/>
            <w:vAlign w:val="center"/>
            <w:hideMark/>
          </w:tcPr>
          <w:p w14:paraId="5BDBF0BF" w14:textId="3B646487" w:rsidR="00045594" w:rsidRPr="00634844" w:rsidRDefault="00045594" w:rsidP="00045594">
            <w:pPr>
              <w:jc w:val="right"/>
              <w:rPr>
                <w:rFonts w:ascii="Arial" w:hAnsi="Arial" w:cs="Arial"/>
                <w:b/>
                <w:bCs/>
                <w:color w:val="000000"/>
              </w:rPr>
            </w:pPr>
            <w:r>
              <w:rPr>
                <w:rFonts w:ascii="Arial" w:hAnsi="Arial" w:cs="Arial"/>
                <w:b/>
                <w:bCs/>
                <w:color w:val="000000"/>
              </w:rPr>
              <w:t>(419,186)</w:t>
            </w:r>
          </w:p>
        </w:tc>
        <w:tc>
          <w:tcPr>
            <w:tcW w:w="2384" w:type="dxa"/>
            <w:tcBorders>
              <w:top w:val="nil"/>
              <w:left w:val="nil"/>
              <w:bottom w:val="single" w:sz="8" w:space="0" w:color="auto"/>
              <w:right w:val="nil"/>
            </w:tcBorders>
            <w:shd w:val="clear" w:color="000000" w:fill="CCCCCC"/>
            <w:vAlign w:val="center"/>
            <w:hideMark/>
          </w:tcPr>
          <w:p w14:paraId="1FAFBFEE" w14:textId="4A1E5A0F" w:rsidR="00045594" w:rsidRPr="00634844" w:rsidRDefault="00045594" w:rsidP="00045594">
            <w:pPr>
              <w:jc w:val="right"/>
              <w:rPr>
                <w:rFonts w:ascii="Arial" w:hAnsi="Arial" w:cs="Arial"/>
                <w:b/>
                <w:bCs/>
                <w:color w:val="000000"/>
              </w:rPr>
            </w:pPr>
            <w:r>
              <w:rPr>
                <w:rFonts w:ascii="Arial" w:hAnsi="Arial" w:cs="Arial"/>
                <w:b/>
                <w:bCs/>
                <w:color w:val="000000"/>
              </w:rPr>
              <w:t>(419,186)</w:t>
            </w:r>
          </w:p>
        </w:tc>
        <w:tc>
          <w:tcPr>
            <w:tcW w:w="2450" w:type="dxa"/>
            <w:tcBorders>
              <w:top w:val="nil"/>
              <w:left w:val="nil"/>
              <w:bottom w:val="single" w:sz="8" w:space="0" w:color="auto"/>
              <w:right w:val="nil"/>
            </w:tcBorders>
            <w:shd w:val="clear" w:color="000000" w:fill="CCCCCC"/>
            <w:vAlign w:val="center"/>
            <w:hideMark/>
          </w:tcPr>
          <w:p w14:paraId="3462E08F" w14:textId="1AF7EC6E" w:rsidR="00045594" w:rsidRPr="00634844" w:rsidRDefault="00045594" w:rsidP="00045594">
            <w:pPr>
              <w:jc w:val="right"/>
              <w:rPr>
                <w:rFonts w:ascii="Arial" w:hAnsi="Arial" w:cs="Arial"/>
                <w:b/>
                <w:bCs/>
                <w:color w:val="000000"/>
              </w:rPr>
            </w:pPr>
            <w:r>
              <w:rPr>
                <w:rFonts w:ascii="Arial" w:hAnsi="Arial" w:cs="Arial"/>
                <w:b/>
                <w:bCs/>
                <w:color w:val="000000"/>
              </w:rPr>
              <w:t>119,654</w:t>
            </w:r>
          </w:p>
        </w:tc>
        <w:tc>
          <w:tcPr>
            <w:tcW w:w="2708" w:type="dxa"/>
            <w:tcBorders>
              <w:top w:val="nil"/>
              <w:left w:val="nil"/>
              <w:bottom w:val="single" w:sz="8" w:space="0" w:color="auto"/>
              <w:right w:val="single" w:sz="8" w:space="0" w:color="auto"/>
            </w:tcBorders>
            <w:shd w:val="clear" w:color="000000" w:fill="CCCCCC"/>
            <w:vAlign w:val="center"/>
            <w:hideMark/>
          </w:tcPr>
          <w:p w14:paraId="504D9248" w14:textId="134B3CBA" w:rsidR="00045594" w:rsidRPr="00634844" w:rsidRDefault="00045594" w:rsidP="00045594">
            <w:pPr>
              <w:jc w:val="right"/>
              <w:rPr>
                <w:rFonts w:ascii="Arial" w:hAnsi="Arial" w:cs="Arial"/>
                <w:b/>
                <w:bCs/>
                <w:color w:val="000000"/>
              </w:rPr>
            </w:pPr>
            <w:r>
              <w:rPr>
                <w:rFonts w:ascii="Arial" w:hAnsi="Arial" w:cs="Arial"/>
                <w:b/>
                <w:bCs/>
                <w:color w:val="000000"/>
              </w:rPr>
              <w:t>(299,532)</w:t>
            </w:r>
          </w:p>
        </w:tc>
      </w:tr>
      <w:tr w:rsidR="00045594" w:rsidRPr="00634844" w14:paraId="6F881A7C" w14:textId="77777777" w:rsidTr="00634844">
        <w:trPr>
          <w:trHeight w:val="431"/>
        </w:trPr>
        <w:tc>
          <w:tcPr>
            <w:tcW w:w="2989" w:type="dxa"/>
            <w:tcBorders>
              <w:top w:val="nil"/>
              <w:left w:val="single" w:sz="8" w:space="0" w:color="auto"/>
              <w:bottom w:val="nil"/>
              <w:right w:val="nil"/>
            </w:tcBorders>
            <w:vAlign w:val="center"/>
            <w:hideMark/>
          </w:tcPr>
          <w:p w14:paraId="3872B5DB" w14:textId="77777777" w:rsidR="00045594" w:rsidRPr="00634844" w:rsidRDefault="00045594" w:rsidP="00045594">
            <w:pPr>
              <w:rPr>
                <w:rFonts w:ascii="Arial" w:hAnsi="Arial" w:cs="Arial"/>
                <w:b/>
                <w:bCs/>
                <w:color w:val="000000"/>
              </w:rPr>
            </w:pPr>
            <w:r w:rsidRPr="00634844">
              <w:rPr>
                <w:rFonts w:ascii="Arial" w:hAnsi="Arial" w:cs="Arial"/>
                <w:b/>
                <w:bCs/>
                <w:color w:val="000000"/>
              </w:rPr>
              <w:t>(Surplus)/Deficit on provision of services</w:t>
            </w:r>
          </w:p>
        </w:tc>
        <w:tc>
          <w:tcPr>
            <w:tcW w:w="2363" w:type="dxa"/>
            <w:tcBorders>
              <w:top w:val="nil"/>
              <w:left w:val="nil"/>
              <w:bottom w:val="nil"/>
              <w:right w:val="nil"/>
            </w:tcBorders>
            <w:shd w:val="clear" w:color="000000" w:fill="CCCCCC"/>
            <w:vAlign w:val="center"/>
            <w:hideMark/>
          </w:tcPr>
          <w:p w14:paraId="23B7685B" w14:textId="7612D47D" w:rsidR="00045594" w:rsidRPr="00634844" w:rsidRDefault="00045594" w:rsidP="00045594">
            <w:pPr>
              <w:jc w:val="right"/>
              <w:rPr>
                <w:rFonts w:ascii="Arial" w:hAnsi="Arial" w:cs="Arial"/>
                <w:b/>
                <w:bCs/>
                <w:color w:val="000000"/>
              </w:rPr>
            </w:pPr>
            <w:r>
              <w:rPr>
                <w:rFonts w:ascii="Arial" w:hAnsi="Arial" w:cs="Arial"/>
                <w:b/>
                <w:bCs/>
                <w:color w:val="000000"/>
              </w:rPr>
              <w:t>370,820</w:t>
            </w:r>
          </w:p>
        </w:tc>
        <w:tc>
          <w:tcPr>
            <w:tcW w:w="2711" w:type="dxa"/>
            <w:tcBorders>
              <w:top w:val="nil"/>
              <w:left w:val="nil"/>
              <w:bottom w:val="nil"/>
              <w:right w:val="nil"/>
            </w:tcBorders>
            <w:shd w:val="clear" w:color="000000" w:fill="CCCCCC"/>
            <w:vAlign w:val="center"/>
            <w:hideMark/>
          </w:tcPr>
          <w:p w14:paraId="4E2B1DB6" w14:textId="5E63E58C" w:rsidR="00045594" w:rsidRPr="00634844" w:rsidRDefault="00045594" w:rsidP="00045594">
            <w:pPr>
              <w:jc w:val="right"/>
              <w:rPr>
                <w:rFonts w:ascii="Arial" w:hAnsi="Arial" w:cs="Arial"/>
                <w:b/>
                <w:bCs/>
                <w:color w:val="000000"/>
              </w:rPr>
            </w:pPr>
            <w:r>
              <w:rPr>
                <w:rFonts w:ascii="Arial" w:hAnsi="Arial" w:cs="Arial"/>
                <w:b/>
                <w:bCs/>
                <w:color w:val="000000"/>
              </w:rPr>
              <w:t>(368,5</w:t>
            </w:r>
            <w:r w:rsidR="002B0EBD">
              <w:rPr>
                <w:rFonts w:ascii="Arial" w:hAnsi="Arial" w:cs="Arial"/>
                <w:b/>
                <w:bCs/>
                <w:color w:val="000000"/>
              </w:rPr>
              <w:t>31</w:t>
            </w:r>
            <w:r>
              <w:rPr>
                <w:rFonts w:ascii="Arial" w:hAnsi="Arial" w:cs="Arial"/>
                <w:b/>
                <w:bCs/>
                <w:color w:val="000000"/>
              </w:rPr>
              <w:t>)</w:t>
            </w:r>
          </w:p>
        </w:tc>
        <w:tc>
          <w:tcPr>
            <w:tcW w:w="2384" w:type="dxa"/>
            <w:tcBorders>
              <w:top w:val="nil"/>
              <w:left w:val="nil"/>
              <w:bottom w:val="nil"/>
              <w:right w:val="nil"/>
            </w:tcBorders>
            <w:shd w:val="clear" w:color="000000" w:fill="CCCCCC"/>
            <w:vAlign w:val="center"/>
            <w:hideMark/>
          </w:tcPr>
          <w:p w14:paraId="671FA0DD" w14:textId="396A2000" w:rsidR="00045594" w:rsidRPr="00634844" w:rsidRDefault="00045594" w:rsidP="00045594">
            <w:pPr>
              <w:jc w:val="right"/>
              <w:rPr>
                <w:rFonts w:ascii="Arial" w:hAnsi="Arial" w:cs="Arial"/>
                <w:b/>
                <w:bCs/>
                <w:color w:val="000000"/>
              </w:rPr>
            </w:pPr>
            <w:r>
              <w:rPr>
                <w:rFonts w:ascii="Arial" w:hAnsi="Arial" w:cs="Arial"/>
                <w:b/>
                <w:bCs/>
                <w:color w:val="000000"/>
              </w:rPr>
              <w:t>2,2</w:t>
            </w:r>
            <w:r w:rsidR="002B0EBD">
              <w:rPr>
                <w:rFonts w:ascii="Arial" w:hAnsi="Arial" w:cs="Arial"/>
                <w:b/>
                <w:bCs/>
                <w:color w:val="000000"/>
              </w:rPr>
              <w:t>89</w:t>
            </w:r>
          </w:p>
        </w:tc>
        <w:tc>
          <w:tcPr>
            <w:tcW w:w="2450" w:type="dxa"/>
            <w:tcBorders>
              <w:top w:val="nil"/>
              <w:left w:val="nil"/>
              <w:bottom w:val="nil"/>
              <w:right w:val="nil"/>
            </w:tcBorders>
            <w:shd w:val="clear" w:color="000000" w:fill="CCCCCC"/>
            <w:vAlign w:val="center"/>
            <w:hideMark/>
          </w:tcPr>
          <w:p w14:paraId="436B1EA5" w14:textId="72BA2F83" w:rsidR="00045594" w:rsidRPr="00634844" w:rsidRDefault="00045594" w:rsidP="00045594">
            <w:pPr>
              <w:jc w:val="right"/>
              <w:rPr>
                <w:rFonts w:ascii="Arial" w:hAnsi="Arial" w:cs="Arial"/>
                <w:b/>
                <w:bCs/>
                <w:color w:val="000000"/>
              </w:rPr>
            </w:pPr>
            <w:r>
              <w:rPr>
                <w:rFonts w:ascii="Arial" w:hAnsi="Arial" w:cs="Arial"/>
                <w:b/>
                <w:bCs/>
                <w:color w:val="000000"/>
              </w:rPr>
              <w:t>70,682</w:t>
            </w:r>
          </w:p>
        </w:tc>
        <w:tc>
          <w:tcPr>
            <w:tcW w:w="2708" w:type="dxa"/>
            <w:tcBorders>
              <w:top w:val="nil"/>
              <w:left w:val="nil"/>
              <w:bottom w:val="nil"/>
              <w:right w:val="single" w:sz="8" w:space="0" w:color="auto"/>
            </w:tcBorders>
            <w:shd w:val="clear" w:color="000000" w:fill="CCCCCC"/>
            <w:vAlign w:val="center"/>
            <w:hideMark/>
          </w:tcPr>
          <w:p w14:paraId="7F836A0B" w14:textId="375A684F" w:rsidR="00045594" w:rsidRPr="00634844" w:rsidRDefault="00045594" w:rsidP="00045594">
            <w:pPr>
              <w:jc w:val="right"/>
              <w:rPr>
                <w:rFonts w:ascii="Arial" w:hAnsi="Arial" w:cs="Arial"/>
                <w:b/>
                <w:bCs/>
                <w:color w:val="000000"/>
              </w:rPr>
            </w:pPr>
            <w:r>
              <w:rPr>
                <w:rFonts w:ascii="Arial" w:hAnsi="Arial" w:cs="Arial"/>
                <w:b/>
                <w:bCs/>
                <w:color w:val="000000"/>
              </w:rPr>
              <w:t>72,9</w:t>
            </w:r>
            <w:r w:rsidR="002B0EBD">
              <w:rPr>
                <w:rFonts w:ascii="Arial" w:hAnsi="Arial" w:cs="Arial"/>
                <w:b/>
                <w:bCs/>
                <w:color w:val="000000"/>
              </w:rPr>
              <w:t>71</w:t>
            </w:r>
          </w:p>
        </w:tc>
      </w:tr>
      <w:tr w:rsidR="00045594" w:rsidRPr="00634844" w14:paraId="6934DC91" w14:textId="77777777" w:rsidTr="00634844">
        <w:trPr>
          <w:trHeight w:val="253"/>
        </w:trPr>
        <w:tc>
          <w:tcPr>
            <w:tcW w:w="2989" w:type="dxa"/>
            <w:tcBorders>
              <w:top w:val="nil"/>
              <w:left w:val="single" w:sz="8" w:space="0" w:color="auto"/>
              <w:bottom w:val="nil"/>
              <w:right w:val="nil"/>
            </w:tcBorders>
            <w:vAlign w:val="center"/>
            <w:hideMark/>
          </w:tcPr>
          <w:p w14:paraId="536CF5DD" w14:textId="77777777" w:rsidR="00045594" w:rsidRPr="00634844" w:rsidRDefault="00045594" w:rsidP="00045594">
            <w:pPr>
              <w:rPr>
                <w:rFonts w:ascii="Arial" w:hAnsi="Arial" w:cs="Arial"/>
                <w:b/>
                <w:bCs/>
                <w:color w:val="000000"/>
              </w:rPr>
            </w:pPr>
            <w:r w:rsidRPr="00634844">
              <w:rPr>
                <w:rFonts w:ascii="Arial" w:hAnsi="Arial" w:cs="Arial"/>
                <w:b/>
                <w:bCs/>
                <w:color w:val="000000"/>
              </w:rPr>
              <w:t>Opening General Fund Balance</w:t>
            </w:r>
          </w:p>
        </w:tc>
        <w:tc>
          <w:tcPr>
            <w:tcW w:w="2363" w:type="dxa"/>
            <w:tcBorders>
              <w:top w:val="nil"/>
              <w:left w:val="nil"/>
              <w:bottom w:val="nil"/>
              <w:right w:val="nil"/>
            </w:tcBorders>
            <w:shd w:val="clear" w:color="000000" w:fill="CCCCCC"/>
            <w:vAlign w:val="center"/>
            <w:hideMark/>
          </w:tcPr>
          <w:p w14:paraId="16211201"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711" w:type="dxa"/>
            <w:tcBorders>
              <w:top w:val="nil"/>
              <w:left w:val="nil"/>
              <w:bottom w:val="nil"/>
              <w:right w:val="nil"/>
            </w:tcBorders>
            <w:shd w:val="clear" w:color="000000" w:fill="CCCCCC"/>
            <w:vAlign w:val="center"/>
            <w:hideMark/>
          </w:tcPr>
          <w:p w14:paraId="0DBC675D"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384" w:type="dxa"/>
            <w:tcBorders>
              <w:top w:val="nil"/>
              <w:left w:val="nil"/>
              <w:bottom w:val="nil"/>
              <w:right w:val="nil"/>
            </w:tcBorders>
            <w:shd w:val="clear" w:color="000000" w:fill="CCCCCC"/>
            <w:vAlign w:val="center"/>
            <w:hideMark/>
          </w:tcPr>
          <w:p w14:paraId="0FD61AB4" w14:textId="604CCA8D" w:rsidR="00045594" w:rsidRPr="00634844" w:rsidRDefault="00045594" w:rsidP="00045594">
            <w:pPr>
              <w:jc w:val="right"/>
              <w:rPr>
                <w:rFonts w:ascii="Arial" w:hAnsi="Arial" w:cs="Arial"/>
                <w:b/>
                <w:bCs/>
                <w:color w:val="000000"/>
              </w:rPr>
            </w:pPr>
            <w:r>
              <w:rPr>
                <w:rFonts w:ascii="Arial" w:hAnsi="Arial" w:cs="Arial"/>
                <w:b/>
                <w:bCs/>
                <w:color w:val="000000"/>
              </w:rPr>
              <w:t>(29,444)</w:t>
            </w:r>
          </w:p>
        </w:tc>
        <w:tc>
          <w:tcPr>
            <w:tcW w:w="2450" w:type="dxa"/>
            <w:tcBorders>
              <w:top w:val="nil"/>
              <w:left w:val="nil"/>
              <w:bottom w:val="nil"/>
              <w:right w:val="nil"/>
            </w:tcBorders>
            <w:shd w:val="clear" w:color="000000" w:fill="CCCCCC"/>
            <w:vAlign w:val="center"/>
            <w:hideMark/>
          </w:tcPr>
          <w:p w14:paraId="23CB1C8C"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708" w:type="dxa"/>
            <w:tcBorders>
              <w:top w:val="nil"/>
              <w:left w:val="nil"/>
              <w:bottom w:val="nil"/>
              <w:right w:val="single" w:sz="8" w:space="0" w:color="auto"/>
            </w:tcBorders>
            <w:shd w:val="clear" w:color="000000" w:fill="CCCCCC"/>
            <w:vAlign w:val="center"/>
            <w:hideMark/>
          </w:tcPr>
          <w:p w14:paraId="4212E054"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r>
      <w:tr w:rsidR="00045594" w:rsidRPr="00634844" w14:paraId="530C7456" w14:textId="77777777" w:rsidTr="00634844">
        <w:trPr>
          <w:trHeight w:val="253"/>
        </w:trPr>
        <w:tc>
          <w:tcPr>
            <w:tcW w:w="2989" w:type="dxa"/>
            <w:tcBorders>
              <w:top w:val="nil"/>
              <w:left w:val="single" w:sz="8" w:space="0" w:color="auto"/>
              <w:bottom w:val="nil"/>
              <w:right w:val="nil"/>
            </w:tcBorders>
            <w:vAlign w:val="center"/>
            <w:hideMark/>
          </w:tcPr>
          <w:p w14:paraId="2BFE8FA7" w14:textId="77777777" w:rsidR="00045594" w:rsidRPr="00634844" w:rsidRDefault="00045594" w:rsidP="00045594">
            <w:pPr>
              <w:rPr>
                <w:rFonts w:ascii="Arial" w:hAnsi="Arial" w:cs="Arial"/>
                <w:color w:val="000000"/>
              </w:rPr>
            </w:pPr>
            <w:r w:rsidRPr="00634844">
              <w:rPr>
                <w:rFonts w:ascii="Arial" w:hAnsi="Arial" w:cs="Arial"/>
                <w:color w:val="000000"/>
              </w:rPr>
              <w:t>In-year deficit</w:t>
            </w:r>
          </w:p>
        </w:tc>
        <w:tc>
          <w:tcPr>
            <w:tcW w:w="2363" w:type="dxa"/>
            <w:tcBorders>
              <w:top w:val="nil"/>
              <w:left w:val="nil"/>
              <w:bottom w:val="nil"/>
              <w:right w:val="nil"/>
            </w:tcBorders>
            <w:shd w:val="clear" w:color="000000" w:fill="CCCCCC"/>
            <w:vAlign w:val="center"/>
            <w:hideMark/>
          </w:tcPr>
          <w:p w14:paraId="5FD9BF80"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711" w:type="dxa"/>
            <w:tcBorders>
              <w:top w:val="nil"/>
              <w:left w:val="nil"/>
              <w:bottom w:val="nil"/>
              <w:right w:val="nil"/>
            </w:tcBorders>
            <w:shd w:val="clear" w:color="000000" w:fill="CCCCCC"/>
            <w:vAlign w:val="center"/>
            <w:hideMark/>
          </w:tcPr>
          <w:p w14:paraId="3F94766E"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384" w:type="dxa"/>
            <w:tcBorders>
              <w:top w:val="nil"/>
              <w:left w:val="nil"/>
              <w:bottom w:val="nil"/>
              <w:right w:val="nil"/>
            </w:tcBorders>
            <w:shd w:val="clear" w:color="000000" w:fill="CCCCCC"/>
            <w:vAlign w:val="center"/>
            <w:hideMark/>
          </w:tcPr>
          <w:p w14:paraId="3D902723" w14:textId="22605D0B" w:rsidR="00045594" w:rsidRPr="00634844" w:rsidRDefault="00045594" w:rsidP="00045594">
            <w:pPr>
              <w:jc w:val="right"/>
              <w:rPr>
                <w:rFonts w:ascii="Arial" w:hAnsi="Arial" w:cs="Arial"/>
                <w:b/>
                <w:bCs/>
                <w:color w:val="000000"/>
              </w:rPr>
            </w:pPr>
            <w:r>
              <w:rPr>
                <w:rFonts w:ascii="Arial" w:hAnsi="Arial" w:cs="Arial"/>
                <w:b/>
                <w:bCs/>
                <w:color w:val="000000"/>
              </w:rPr>
              <w:t>2,2</w:t>
            </w:r>
            <w:r w:rsidR="00A1187E">
              <w:rPr>
                <w:rFonts w:ascii="Arial" w:hAnsi="Arial" w:cs="Arial"/>
                <w:b/>
                <w:bCs/>
                <w:color w:val="000000"/>
              </w:rPr>
              <w:t>89</w:t>
            </w:r>
          </w:p>
        </w:tc>
        <w:tc>
          <w:tcPr>
            <w:tcW w:w="2450" w:type="dxa"/>
            <w:tcBorders>
              <w:top w:val="nil"/>
              <w:left w:val="nil"/>
              <w:bottom w:val="nil"/>
              <w:right w:val="nil"/>
            </w:tcBorders>
            <w:shd w:val="clear" w:color="000000" w:fill="CCCCCC"/>
            <w:vAlign w:val="center"/>
            <w:hideMark/>
          </w:tcPr>
          <w:p w14:paraId="5E3A4700"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708" w:type="dxa"/>
            <w:tcBorders>
              <w:top w:val="nil"/>
              <w:left w:val="nil"/>
              <w:bottom w:val="nil"/>
              <w:right w:val="single" w:sz="8" w:space="0" w:color="auto"/>
            </w:tcBorders>
            <w:shd w:val="clear" w:color="000000" w:fill="CCCCCC"/>
            <w:vAlign w:val="center"/>
            <w:hideMark/>
          </w:tcPr>
          <w:p w14:paraId="7CC2AA4E"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r>
      <w:tr w:rsidR="00045594" w:rsidRPr="00634844" w14:paraId="64DB1F08" w14:textId="77777777" w:rsidTr="00634844">
        <w:trPr>
          <w:trHeight w:val="266"/>
        </w:trPr>
        <w:tc>
          <w:tcPr>
            <w:tcW w:w="2989" w:type="dxa"/>
            <w:tcBorders>
              <w:top w:val="nil"/>
              <w:left w:val="single" w:sz="8" w:space="0" w:color="auto"/>
              <w:bottom w:val="single" w:sz="8" w:space="0" w:color="auto"/>
              <w:right w:val="nil"/>
            </w:tcBorders>
            <w:vAlign w:val="center"/>
            <w:hideMark/>
          </w:tcPr>
          <w:p w14:paraId="1FD7E6C7" w14:textId="77777777" w:rsidR="00045594" w:rsidRPr="00634844" w:rsidRDefault="00045594" w:rsidP="00045594">
            <w:pPr>
              <w:rPr>
                <w:rFonts w:ascii="Arial" w:hAnsi="Arial" w:cs="Arial"/>
                <w:b/>
                <w:bCs/>
                <w:color w:val="000000"/>
              </w:rPr>
            </w:pPr>
            <w:r w:rsidRPr="00634844">
              <w:rPr>
                <w:rFonts w:ascii="Arial" w:hAnsi="Arial" w:cs="Arial"/>
                <w:b/>
                <w:bCs/>
                <w:color w:val="000000"/>
              </w:rPr>
              <w:t>Closing General Fund Balance</w:t>
            </w:r>
          </w:p>
        </w:tc>
        <w:tc>
          <w:tcPr>
            <w:tcW w:w="2363" w:type="dxa"/>
            <w:tcBorders>
              <w:top w:val="nil"/>
              <w:left w:val="nil"/>
              <w:bottom w:val="single" w:sz="8" w:space="0" w:color="auto"/>
              <w:right w:val="nil"/>
            </w:tcBorders>
            <w:shd w:val="clear" w:color="000000" w:fill="CCCCCC"/>
            <w:vAlign w:val="center"/>
            <w:hideMark/>
          </w:tcPr>
          <w:p w14:paraId="38BD2A79"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711" w:type="dxa"/>
            <w:tcBorders>
              <w:top w:val="nil"/>
              <w:left w:val="nil"/>
              <w:bottom w:val="single" w:sz="8" w:space="0" w:color="auto"/>
              <w:right w:val="nil"/>
            </w:tcBorders>
            <w:shd w:val="clear" w:color="000000" w:fill="CCCCCC"/>
            <w:vAlign w:val="center"/>
            <w:hideMark/>
          </w:tcPr>
          <w:p w14:paraId="4C13370D"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384" w:type="dxa"/>
            <w:tcBorders>
              <w:top w:val="nil"/>
              <w:left w:val="nil"/>
              <w:bottom w:val="single" w:sz="8" w:space="0" w:color="auto"/>
              <w:right w:val="nil"/>
            </w:tcBorders>
            <w:shd w:val="clear" w:color="000000" w:fill="CCCCCC"/>
            <w:vAlign w:val="center"/>
            <w:hideMark/>
          </w:tcPr>
          <w:p w14:paraId="1833D86C" w14:textId="65DE2744" w:rsidR="00045594" w:rsidRPr="00634844" w:rsidRDefault="00045594" w:rsidP="00045594">
            <w:pPr>
              <w:jc w:val="right"/>
              <w:rPr>
                <w:rFonts w:ascii="Arial" w:hAnsi="Arial" w:cs="Arial"/>
                <w:b/>
                <w:bCs/>
                <w:color w:val="000000"/>
              </w:rPr>
            </w:pPr>
            <w:r>
              <w:rPr>
                <w:rFonts w:ascii="Arial" w:hAnsi="Arial" w:cs="Arial"/>
                <w:b/>
                <w:bCs/>
                <w:color w:val="000000"/>
              </w:rPr>
              <w:t>(27,1</w:t>
            </w:r>
            <w:r w:rsidR="00A1187E">
              <w:rPr>
                <w:rFonts w:ascii="Arial" w:hAnsi="Arial" w:cs="Arial"/>
                <w:b/>
                <w:bCs/>
                <w:color w:val="000000"/>
              </w:rPr>
              <w:t>54</w:t>
            </w:r>
            <w:r>
              <w:rPr>
                <w:rFonts w:ascii="Arial" w:hAnsi="Arial" w:cs="Arial"/>
                <w:b/>
                <w:bCs/>
                <w:color w:val="000000"/>
              </w:rPr>
              <w:t>)</w:t>
            </w:r>
          </w:p>
        </w:tc>
        <w:tc>
          <w:tcPr>
            <w:tcW w:w="2450" w:type="dxa"/>
            <w:tcBorders>
              <w:top w:val="nil"/>
              <w:left w:val="nil"/>
              <w:bottom w:val="single" w:sz="8" w:space="0" w:color="auto"/>
              <w:right w:val="nil"/>
            </w:tcBorders>
            <w:shd w:val="clear" w:color="000000" w:fill="CCCCCC"/>
            <w:vAlign w:val="center"/>
            <w:hideMark/>
          </w:tcPr>
          <w:p w14:paraId="180273E4"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c>
          <w:tcPr>
            <w:tcW w:w="2708" w:type="dxa"/>
            <w:tcBorders>
              <w:top w:val="nil"/>
              <w:left w:val="nil"/>
              <w:bottom w:val="single" w:sz="8" w:space="0" w:color="auto"/>
              <w:right w:val="single" w:sz="8" w:space="0" w:color="auto"/>
            </w:tcBorders>
            <w:shd w:val="clear" w:color="000000" w:fill="CCCCCC"/>
            <w:vAlign w:val="center"/>
            <w:hideMark/>
          </w:tcPr>
          <w:p w14:paraId="31249E56" w14:textId="77777777" w:rsidR="00045594" w:rsidRPr="00634844" w:rsidRDefault="00045594" w:rsidP="00045594">
            <w:pPr>
              <w:jc w:val="right"/>
              <w:rPr>
                <w:rFonts w:ascii="Arial" w:hAnsi="Arial" w:cs="Arial"/>
                <w:b/>
                <w:bCs/>
                <w:color w:val="000000"/>
              </w:rPr>
            </w:pPr>
            <w:r w:rsidRPr="00634844">
              <w:rPr>
                <w:rFonts w:ascii="Arial" w:hAnsi="Arial" w:cs="Arial"/>
                <w:b/>
                <w:bCs/>
                <w:color w:val="000000"/>
              </w:rPr>
              <w:t> </w:t>
            </w:r>
          </w:p>
        </w:tc>
      </w:tr>
    </w:tbl>
    <w:bookmarkEnd w:id="11"/>
    <w:p w14:paraId="65F90A81" w14:textId="77777777" w:rsidR="00834E2F" w:rsidRDefault="00834E2F" w:rsidP="00834E2F">
      <w:pPr>
        <w:ind w:firstLine="720"/>
        <w:rPr>
          <w:rFonts w:ascii="Arial" w:hAnsi="Arial"/>
          <w:i/>
          <w:sz w:val="22"/>
          <w:szCs w:val="22"/>
        </w:rPr>
      </w:pPr>
      <w:r w:rsidRPr="00172E65">
        <w:rPr>
          <w:rFonts w:ascii="Arial" w:hAnsi="Arial"/>
          <w:i/>
          <w:sz w:val="22"/>
          <w:szCs w:val="22"/>
        </w:rPr>
        <w:t>*Further details are shown in tables that follow</w:t>
      </w:r>
    </w:p>
    <w:p w14:paraId="36A42FBB" w14:textId="502194DE" w:rsidR="0042586A" w:rsidRPr="00172E65" w:rsidRDefault="000547B6" w:rsidP="003B74DA">
      <w:pPr>
        <w:ind w:firstLine="720"/>
        <w:rPr>
          <w:rFonts w:ascii="Arial" w:hAnsi="Arial"/>
          <w:b/>
          <w:sz w:val="22"/>
          <w:szCs w:val="22"/>
        </w:rPr>
      </w:pPr>
      <w:r w:rsidRPr="00172E65">
        <w:rPr>
          <w:rFonts w:ascii="Arial" w:hAnsi="Arial"/>
          <w:b/>
          <w:sz w:val="22"/>
          <w:szCs w:val="22"/>
        </w:rPr>
        <w:lastRenderedPageBreak/>
        <w:t xml:space="preserve">PCC GROUP </w:t>
      </w:r>
      <w:r w:rsidR="00C37E7F">
        <w:rPr>
          <w:rFonts w:ascii="Arial" w:hAnsi="Arial"/>
          <w:b/>
          <w:sz w:val="22"/>
          <w:szCs w:val="22"/>
        </w:rPr>
        <w:t>2023/24</w:t>
      </w:r>
      <w:r w:rsidR="00171D86">
        <w:rPr>
          <w:rFonts w:ascii="Arial" w:hAnsi="Arial"/>
          <w:b/>
          <w:sz w:val="22"/>
          <w:szCs w:val="22"/>
        </w:rPr>
        <w:t xml:space="preserve"> (restated)</w:t>
      </w:r>
    </w:p>
    <w:p w14:paraId="49EF1A54" w14:textId="4CEA3320" w:rsidR="00AA2CED" w:rsidRPr="00172E65" w:rsidRDefault="00AA2CED" w:rsidP="003B74DA">
      <w:pPr>
        <w:ind w:firstLine="720"/>
      </w:pPr>
    </w:p>
    <w:tbl>
      <w:tblPr>
        <w:tblW w:w="15593" w:type="dxa"/>
        <w:tblLook w:val="04A0" w:firstRow="1" w:lastRow="0" w:firstColumn="1" w:lastColumn="0" w:noHBand="0" w:noVBand="1"/>
      </w:tblPr>
      <w:tblGrid>
        <w:gridCol w:w="2987"/>
        <w:gridCol w:w="2361"/>
        <w:gridCol w:w="2709"/>
        <w:gridCol w:w="2382"/>
        <w:gridCol w:w="2448"/>
        <w:gridCol w:w="2706"/>
      </w:tblGrid>
      <w:tr w:rsidR="00965262" w:rsidRPr="00634844" w14:paraId="76452893" w14:textId="77777777" w:rsidTr="00494EE0">
        <w:trPr>
          <w:trHeight w:val="900"/>
        </w:trPr>
        <w:tc>
          <w:tcPr>
            <w:tcW w:w="2987" w:type="dxa"/>
            <w:tcBorders>
              <w:top w:val="single" w:sz="8" w:space="0" w:color="auto"/>
              <w:left w:val="single" w:sz="8" w:space="0" w:color="auto"/>
              <w:bottom w:val="nil"/>
              <w:right w:val="nil"/>
            </w:tcBorders>
            <w:vAlign w:val="center"/>
            <w:hideMark/>
          </w:tcPr>
          <w:p w14:paraId="1D110A89" w14:textId="6CB344D9" w:rsidR="00965262" w:rsidRPr="00634844" w:rsidRDefault="00965262" w:rsidP="00965262">
            <w:pPr>
              <w:rPr>
                <w:rFonts w:ascii="Arial" w:hAnsi="Arial" w:cs="Arial"/>
                <w:b/>
                <w:bCs/>
                <w:color w:val="000000"/>
                <w:sz w:val="22"/>
                <w:szCs w:val="22"/>
              </w:rPr>
            </w:pPr>
            <w:r w:rsidRPr="00634844">
              <w:rPr>
                <w:rFonts w:ascii="Arial" w:hAnsi="Arial" w:cs="Arial"/>
                <w:b/>
                <w:bCs/>
                <w:color w:val="000000"/>
                <w:sz w:val="22"/>
                <w:szCs w:val="22"/>
              </w:rPr>
              <w:t> </w:t>
            </w:r>
          </w:p>
        </w:tc>
        <w:tc>
          <w:tcPr>
            <w:tcW w:w="2361" w:type="dxa"/>
            <w:tcBorders>
              <w:top w:val="single" w:sz="8" w:space="0" w:color="auto"/>
              <w:left w:val="nil"/>
              <w:bottom w:val="nil"/>
              <w:right w:val="nil"/>
            </w:tcBorders>
            <w:shd w:val="clear" w:color="000000" w:fill="CCCCCC"/>
            <w:vAlign w:val="center"/>
            <w:hideMark/>
          </w:tcPr>
          <w:p w14:paraId="31CDF513" w14:textId="26BAA917"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Outturn position as reported to management</w:t>
            </w:r>
          </w:p>
        </w:tc>
        <w:tc>
          <w:tcPr>
            <w:tcW w:w="2709" w:type="dxa"/>
            <w:tcBorders>
              <w:top w:val="single" w:sz="8" w:space="0" w:color="auto"/>
              <w:left w:val="nil"/>
              <w:bottom w:val="nil"/>
              <w:right w:val="nil"/>
            </w:tcBorders>
            <w:shd w:val="clear" w:color="000000" w:fill="CCCCCC"/>
            <w:vAlign w:val="center"/>
            <w:hideMark/>
          </w:tcPr>
          <w:p w14:paraId="453FA26F" w14:textId="262EE448"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 xml:space="preserve">Adjustments to arrive at net amount chargeable to Police General Fund* </w:t>
            </w:r>
          </w:p>
        </w:tc>
        <w:tc>
          <w:tcPr>
            <w:tcW w:w="2382" w:type="dxa"/>
            <w:tcBorders>
              <w:top w:val="single" w:sz="8" w:space="0" w:color="auto"/>
              <w:left w:val="nil"/>
              <w:bottom w:val="nil"/>
              <w:right w:val="nil"/>
            </w:tcBorders>
            <w:shd w:val="clear" w:color="000000" w:fill="CCCCCC"/>
            <w:vAlign w:val="center"/>
            <w:hideMark/>
          </w:tcPr>
          <w:p w14:paraId="35474F92" w14:textId="28B333BC"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Net expenditure chargeable to Police General Fund</w:t>
            </w:r>
          </w:p>
        </w:tc>
        <w:tc>
          <w:tcPr>
            <w:tcW w:w="2448" w:type="dxa"/>
            <w:tcBorders>
              <w:top w:val="single" w:sz="8" w:space="0" w:color="auto"/>
              <w:left w:val="nil"/>
              <w:bottom w:val="nil"/>
              <w:right w:val="nil"/>
            </w:tcBorders>
            <w:shd w:val="clear" w:color="000000" w:fill="CCCCCC"/>
            <w:vAlign w:val="center"/>
            <w:hideMark/>
          </w:tcPr>
          <w:p w14:paraId="0BC46650" w14:textId="5C1AE1B3"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Adjustments between the funding and accounting basis*</w:t>
            </w:r>
          </w:p>
        </w:tc>
        <w:tc>
          <w:tcPr>
            <w:tcW w:w="2706" w:type="dxa"/>
            <w:tcBorders>
              <w:top w:val="single" w:sz="8" w:space="0" w:color="auto"/>
              <w:left w:val="nil"/>
              <w:bottom w:val="nil"/>
              <w:right w:val="single" w:sz="8" w:space="0" w:color="auto"/>
            </w:tcBorders>
            <w:shd w:val="clear" w:color="000000" w:fill="CCCCCC"/>
            <w:vAlign w:val="center"/>
            <w:hideMark/>
          </w:tcPr>
          <w:p w14:paraId="0895CF7A" w14:textId="656B2EE7"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Net expenditure Comprehensive Income &amp; Expenditure Statement</w:t>
            </w:r>
          </w:p>
        </w:tc>
      </w:tr>
      <w:tr w:rsidR="00965262" w:rsidRPr="00634844" w14:paraId="71F7CAD5" w14:textId="77777777" w:rsidTr="00494EE0">
        <w:trPr>
          <w:trHeight w:val="300"/>
        </w:trPr>
        <w:tc>
          <w:tcPr>
            <w:tcW w:w="2987" w:type="dxa"/>
            <w:tcBorders>
              <w:top w:val="nil"/>
              <w:left w:val="single" w:sz="8" w:space="0" w:color="auto"/>
              <w:bottom w:val="nil"/>
              <w:right w:val="nil"/>
            </w:tcBorders>
            <w:vAlign w:val="center"/>
            <w:hideMark/>
          </w:tcPr>
          <w:p w14:paraId="56328484" w14:textId="1F11D067" w:rsidR="00965262" w:rsidRPr="00634844" w:rsidRDefault="00965262" w:rsidP="00965262">
            <w:pPr>
              <w:rPr>
                <w:rFonts w:ascii="Arial" w:hAnsi="Arial" w:cs="Arial"/>
                <w:b/>
                <w:bCs/>
                <w:color w:val="000000"/>
                <w:sz w:val="22"/>
                <w:szCs w:val="22"/>
              </w:rPr>
            </w:pPr>
            <w:r w:rsidRPr="00634844">
              <w:rPr>
                <w:rFonts w:ascii="Arial" w:hAnsi="Arial" w:cs="Arial"/>
                <w:b/>
                <w:bCs/>
                <w:color w:val="000000"/>
                <w:sz w:val="22"/>
                <w:szCs w:val="22"/>
              </w:rPr>
              <w:t> </w:t>
            </w:r>
          </w:p>
        </w:tc>
        <w:tc>
          <w:tcPr>
            <w:tcW w:w="2361" w:type="dxa"/>
            <w:tcBorders>
              <w:top w:val="nil"/>
              <w:left w:val="nil"/>
              <w:bottom w:val="nil"/>
              <w:right w:val="nil"/>
            </w:tcBorders>
            <w:shd w:val="clear" w:color="000000" w:fill="CCCCCC"/>
            <w:vAlign w:val="center"/>
            <w:hideMark/>
          </w:tcPr>
          <w:p w14:paraId="6B129231" w14:textId="61B7168B"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709" w:type="dxa"/>
            <w:tcBorders>
              <w:top w:val="nil"/>
              <w:left w:val="nil"/>
              <w:bottom w:val="nil"/>
              <w:right w:val="nil"/>
            </w:tcBorders>
            <w:shd w:val="clear" w:color="000000" w:fill="CCCCCC"/>
            <w:vAlign w:val="center"/>
            <w:hideMark/>
          </w:tcPr>
          <w:p w14:paraId="427F64A0" w14:textId="492A373C"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382" w:type="dxa"/>
            <w:tcBorders>
              <w:top w:val="nil"/>
              <w:left w:val="nil"/>
              <w:bottom w:val="nil"/>
              <w:right w:val="nil"/>
            </w:tcBorders>
            <w:shd w:val="clear" w:color="000000" w:fill="CCCCCC"/>
            <w:vAlign w:val="center"/>
            <w:hideMark/>
          </w:tcPr>
          <w:p w14:paraId="2C442DA9" w14:textId="563183B6"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448" w:type="dxa"/>
            <w:tcBorders>
              <w:top w:val="nil"/>
              <w:left w:val="nil"/>
              <w:bottom w:val="nil"/>
              <w:right w:val="nil"/>
            </w:tcBorders>
            <w:shd w:val="clear" w:color="000000" w:fill="CCCCCC"/>
            <w:vAlign w:val="center"/>
            <w:hideMark/>
          </w:tcPr>
          <w:p w14:paraId="4E987693" w14:textId="68F4F8A2"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706" w:type="dxa"/>
            <w:tcBorders>
              <w:top w:val="nil"/>
              <w:left w:val="nil"/>
              <w:bottom w:val="nil"/>
              <w:right w:val="single" w:sz="8" w:space="0" w:color="auto"/>
            </w:tcBorders>
            <w:shd w:val="clear" w:color="000000" w:fill="CCCCCC"/>
            <w:vAlign w:val="center"/>
            <w:hideMark/>
          </w:tcPr>
          <w:p w14:paraId="4A09B87F" w14:textId="4A1CBE92" w:rsidR="00965262" w:rsidRPr="00634844"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r>
      <w:tr w:rsidR="00965262" w:rsidRPr="00634844" w14:paraId="6F8B9FBB" w14:textId="77777777" w:rsidTr="00494EE0">
        <w:trPr>
          <w:trHeight w:val="300"/>
        </w:trPr>
        <w:tc>
          <w:tcPr>
            <w:tcW w:w="2987" w:type="dxa"/>
            <w:tcBorders>
              <w:top w:val="nil"/>
              <w:left w:val="single" w:sz="8" w:space="0" w:color="auto"/>
              <w:bottom w:val="nil"/>
              <w:right w:val="nil"/>
            </w:tcBorders>
            <w:vAlign w:val="center"/>
            <w:hideMark/>
          </w:tcPr>
          <w:p w14:paraId="4A2D4065" w14:textId="48FA4C84" w:rsidR="00965262" w:rsidRPr="00634844" w:rsidRDefault="00965262" w:rsidP="00965262">
            <w:pPr>
              <w:rPr>
                <w:rFonts w:ascii="Arial" w:hAnsi="Arial" w:cs="Arial"/>
                <w:b/>
                <w:bCs/>
                <w:color w:val="000000"/>
              </w:rPr>
            </w:pPr>
            <w:r w:rsidRPr="00634844">
              <w:rPr>
                <w:rFonts w:ascii="Arial" w:hAnsi="Arial" w:cs="Arial"/>
                <w:b/>
                <w:bCs/>
                <w:color w:val="000000"/>
              </w:rPr>
              <w:t>Chief Constable:</w:t>
            </w:r>
          </w:p>
        </w:tc>
        <w:tc>
          <w:tcPr>
            <w:tcW w:w="2361" w:type="dxa"/>
            <w:tcBorders>
              <w:top w:val="nil"/>
              <w:left w:val="nil"/>
              <w:bottom w:val="nil"/>
              <w:right w:val="nil"/>
            </w:tcBorders>
            <w:shd w:val="clear" w:color="000000" w:fill="CCCCCC"/>
            <w:vAlign w:val="center"/>
            <w:hideMark/>
          </w:tcPr>
          <w:p w14:paraId="450C35A3" w14:textId="160F4322" w:rsidR="00965262" w:rsidRPr="00634844" w:rsidRDefault="00965262" w:rsidP="00965262">
            <w:pPr>
              <w:rPr>
                <w:rFonts w:ascii="Arial" w:hAnsi="Arial" w:cs="Arial"/>
                <w:b/>
                <w:bCs/>
                <w:color w:val="000000"/>
              </w:rPr>
            </w:pPr>
            <w:r w:rsidRPr="00634844">
              <w:rPr>
                <w:rFonts w:ascii="Arial" w:hAnsi="Arial" w:cs="Arial"/>
                <w:b/>
                <w:bCs/>
                <w:color w:val="000000"/>
              </w:rPr>
              <w:t> </w:t>
            </w:r>
          </w:p>
        </w:tc>
        <w:tc>
          <w:tcPr>
            <w:tcW w:w="2709" w:type="dxa"/>
            <w:tcBorders>
              <w:top w:val="nil"/>
              <w:left w:val="nil"/>
              <w:bottom w:val="nil"/>
              <w:right w:val="nil"/>
            </w:tcBorders>
            <w:shd w:val="clear" w:color="000000" w:fill="CCCCCC"/>
            <w:vAlign w:val="center"/>
            <w:hideMark/>
          </w:tcPr>
          <w:p w14:paraId="00728AFB" w14:textId="27467B8D" w:rsidR="00965262" w:rsidRPr="00634844" w:rsidRDefault="00965262" w:rsidP="00965262">
            <w:pPr>
              <w:rPr>
                <w:rFonts w:ascii="Arial" w:hAnsi="Arial" w:cs="Arial"/>
                <w:b/>
                <w:bCs/>
                <w:color w:val="000000"/>
              </w:rPr>
            </w:pPr>
            <w:r w:rsidRPr="00634844">
              <w:rPr>
                <w:rFonts w:ascii="Arial" w:hAnsi="Arial" w:cs="Arial"/>
                <w:b/>
                <w:bCs/>
                <w:color w:val="000000"/>
              </w:rPr>
              <w:t> </w:t>
            </w:r>
          </w:p>
        </w:tc>
        <w:tc>
          <w:tcPr>
            <w:tcW w:w="2382" w:type="dxa"/>
            <w:tcBorders>
              <w:top w:val="nil"/>
              <w:left w:val="nil"/>
              <w:bottom w:val="nil"/>
              <w:right w:val="nil"/>
            </w:tcBorders>
            <w:shd w:val="clear" w:color="000000" w:fill="CCCCCC"/>
            <w:vAlign w:val="center"/>
            <w:hideMark/>
          </w:tcPr>
          <w:p w14:paraId="454A6DB7" w14:textId="25E038B6" w:rsidR="00965262" w:rsidRPr="00634844" w:rsidRDefault="00965262" w:rsidP="00965262">
            <w:pPr>
              <w:rPr>
                <w:rFonts w:ascii="Arial" w:hAnsi="Arial" w:cs="Arial"/>
                <w:b/>
                <w:bCs/>
                <w:color w:val="000000"/>
              </w:rPr>
            </w:pPr>
            <w:r w:rsidRPr="00634844">
              <w:rPr>
                <w:rFonts w:ascii="Arial" w:hAnsi="Arial" w:cs="Arial"/>
                <w:b/>
                <w:bCs/>
                <w:color w:val="000000"/>
              </w:rPr>
              <w:t> </w:t>
            </w:r>
          </w:p>
        </w:tc>
        <w:tc>
          <w:tcPr>
            <w:tcW w:w="2448" w:type="dxa"/>
            <w:tcBorders>
              <w:top w:val="nil"/>
              <w:left w:val="nil"/>
              <w:bottom w:val="nil"/>
              <w:right w:val="nil"/>
            </w:tcBorders>
            <w:shd w:val="clear" w:color="000000" w:fill="CCCCCC"/>
            <w:vAlign w:val="center"/>
            <w:hideMark/>
          </w:tcPr>
          <w:p w14:paraId="535FD79A" w14:textId="77FCEF20" w:rsidR="00965262" w:rsidRPr="00634844" w:rsidRDefault="00965262" w:rsidP="00965262">
            <w:pPr>
              <w:rPr>
                <w:rFonts w:ascii="Arial" w:hAnsi="Arial" w:cs="Arial"/>
                <w:b/>
                <w:bCs/>
                <w:color w:val="000000"/>
              </w:rPr>
            </w:pPr>
            <w:r w:rsidRPr="00634844">
              <w:rPr>
                <w:rFonts w:ascii="Arial" w:hAnsi="Arial" w:cs="Arial"/>
                <w:b/>
                <w:bCs/>
                <w:color w:val="000000"/>
              </w:rPr>
              <w:t> </w:t>
            </w:r>
          </w:p>
        </w:tc>
        <w:tc>
          <w:tcPr>
            <w:tcW w:w="2706" w:type="dxa"/>
            <w:tcBorders>
              <w:top w:val="nil"/>
              <w:left w:val="nil"/>
              <w:bottom w:val="nil"/>
              <w:right w:val="single" w:sz="8" w:space="0" w:color="auto"/>
            </w:tcBorders>
            <w:shd w:val="clear" w:color="000000" w:fill="CCCCCC"/>
            <w:vAlign w:val="center"/>
            <w:hideMark/>
          </w:tcPr>
          <w:p w14:paraId="1EDF173F" w14:textId="5848B754" w:rsidR="00965262" w:rsidRPr="00634844" w:rsidRDefault="00965262" w:rsidP="00965262">
            <w:pPr>
              <w:rPr>
                <w:rFonts w:ascii="Arial" w:hAnsi="Arial" w:cs="Arial"/>
                <w:b/>
                <w:bCs/>
                <w:color w:val="000000"/>
              </w:rPr>
            </w:pPr>
            <w:r w:rsidRPr="00634844">
              <w:rPr>
                <w:rFonts w:ascii="Arial" w:hAnsi="Arial" w:cs="Arial"/>
                <w:b/>
                <w:bCs/>
                <w:color w:val="000000"/>
              </w:rPr>
              <w:t> </w:t>
            </w:r>
          </w:p>
        </w:tc>
      </w:tr>
      <w:tr w:rsidR="001D4790" w:rsidRPr="00634844" w14:paraId="5B6FA7B4" w14:textId="77777777" w:rsidTr="00494EE0">
        <w:trPr>
          <w:trHeight w:val="300"/>
        </w:trPr>
        <w:tc>
          <w:tcPr>
            <w:tcW w:w="2987" w:type="dxa"/>
            <w:tcBorders>
              <w:top w:val="nil"/>
              <w:left w:val="single" w:sz="8" w:space="0" w:color="auto"/>
              <w:bottom w:val="nil"/>
              <w:right w:val="nil"/>
            </w:tcBorders>
            <w:vAlign w:val="center"/>
            <w:hideMark/>
          </w:tcPr>
          <w:p w14:paraId="5A7BAC96" w14:textId="46F38826" w:rsidR="001D4790" w:rsidRPr="00634844" w:rsidRDefault="001D4790" w:rsidP="001D4790">
            <w:pPr>
              <w:rPr>
                <w:rFonts w:ascii="Arial" w:hAnsi="Arial" w:cs="Arial"/>
                <w:color w:val="000000"/>
              </w:rPr>
            </w:pPr>
            <w:r w:rsidRPr="00634844">
              <w:rPr>
                <w:rFonts w:ascii="Arial" w:hAnsi="Arial" w:cs="Arial"/>
                <w:color w:val="000000"/>
              </w:rPr>
              <w:t>Centralised Pay Budgets</w:t>
            </w:r>
          </w:p>
        </w:tc>
        <w:tc>
          <w:tcPr>
            <w:tcW w:w="2361" w:type="dxa"/>
            <w:tcBorders>
              <w:top w:val="nil"/>
              <w:left w:val="nil"/>
              <w:bottom w:val="nil"/>
              <w:right w:val="nil"/>
            </w:tcBorders>
            <w:shd w:val="clear" w:color="000000" w:fill="CCCCCC"/>
            <w:vAlign w:val="center"/>
            <w:hideMark/>
          </w:tcPr>
          <w:p w14:paraId="5598E6CF" w14:textId="3380A093" w:rsidR="001D4790" w:rsidRPr="00634844" w:rsidRDefault="001D4790" w:rsidP="001D4790">
            <w:pPr>
              <w:jc w:val="right"/>
              <w:rPr>
                <w:rFonts w:ascii="Arial" w:hAnsi="Arial" w:cs="Arial"/>
                <w:b/>
                <w:bCs/>
                <w:color w:val="000000"/>
              </w:rPr>
            </w:pPr>
            <w:r>
              <w:rPr>
                <w:rFonts w:ascii="Arial" w:hAnsi="Arial" w:cs="Arial"/>
                <w:b/>
                <w:bCs/>
                <w:color w:val="000000"/>
              </w:rPr>
              <w:t>283,956</w:t>
            </w:r>
          </w:p>
        </w:tc>
        <w:tc>
          <w:tcPr>
            <w:tcW w:w="2709" w:type="dxa"/>
            <w:tcBorders>
              <w:top w:val="nil"/>
              <w:left w:val="nil"/>
              <w:bottom w:val="nil"/>
              <w:right w:val="nil"/>
            </w:tcBorders>
            <w:shd w:val="clear" w:color="000000" w:fill="CCCCCC"/>
            <w:vAlign w:val="center"/>
            <w:hideMark/>
          </w:tcPr>
          <w:p w14:paraId="65DB77C0" w14:textId="6B1D0F7E"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382" w:type="dxa"/>
            <w:tcBorders>
              <w:top w:val="nil"/>
              <w:left w:val="nil"/>
              <w:bottom w:val="nil"/>
              <w:right w:val="nil"/>
            </w:tcBorders>
            <w:shd w:val="clear" w:color="000000" w:fill="CCCCCC"/>
            <w:vAlign w:val="center"/>
            <w:hideMark/>
          </w:tcPr>
          <w:p w14:paraId="2F8DF7D0" w14:textId="6FAC3104" w:rsidR="001D4790" w:rsidRPr="00634844" w:rsidRDefault="001D4790" w:rsidP="001D4790">
            <w:pPr>
              <w:jc w:val="right"/>
              <w:rPr>
                <w:rFonts w:ascii="Arial" w:hAnsi="Arial" w:cs="Arial"/>
                <w:b/>
                <w:bCs/>
                <w:color w:val="000000"/>
              </w:rPr>
            </w:pPr>
            <w:r>
              <w:rPr>
                <w:rFonts w:ascii="Arial" w:hAnsi="Arial" w:cs="Arial"/>
                <w:b/>
                <w:bCs/>
                <w:color w:val="000000"/>
              </w:rPr>
              <w:t>283,956</w:t>
            </w:r>
          </w:p>
        </w:tc>
        <w:tc>
          <w:tcPr>
            <w:tcW w:w="2448" w:type="dxa"/>
            <w:tcBorders>
              <w:top w:val="nil"/>
              <w:left w:val="nil"/>
              <w:bottom w:val="nil"/>
              <w:right w:val="nil"/>
            </w:tcBorders>
            <w:shd w:val="clear" w:color="000000" w:fill="CCCCCC"/>
            <w:vAlign w:val="center"/>
            <w:hideMark/>
          </w:tcPr>
          <w:p w14:paraId="7468B216" w14:textId="4FB93D89" w:rsidR="001D4790" w:rsidRPr="00634844" w:rsidRDefault="001D4790" w:rsidP="001D4790">
            <w:pPr>
              <w:jc w:val="right"/>
              <w:rPr>
                <w:rFonts w:ascii="Arial" w:hAnsi="Arial" w:cs="Arial"/>
                <w:b/>
                <w:bCs/>
                <w:color w:val="000000"/>
              </w:rPr>
            </w:pPr>
            <w:r>
              <w:rPr>
                <w:rFonts w:ascii="Arial" w:hAnsi="Arial" w:cs="Arial"/>
                <w:b/>
                <w:bCs/>
                <w:color w:val="000000"/>
              </w:rPr>
              <w:t>(7,772)</w:t>
            </w:r>
          </w:p>
        </w:tc>
        <w:tc>
          <w:tcPr>
            <w:tcW w:w="2706" w:type="dxa"/>
            <w:tcBorders>
              <w:top w:val="nil"/>
              <w:left w:val="nil"/>
              <w:bottom w:val="nil"/>
              <w:right w:val="single" w:sz="8" w:space="0" w:color="auto"/>
            </w:tcBorders>
            <w:shd w:val="clear" w:color="000000" w:fill="CCCCCC"/>
            <w:vAlign w:val="center"/>
            <w:hideMark/>
          </w:tcPr>
          <w:p w14:paraId="6F84F9CA" w14:textId="4957E681" w:rsidR="001D4790" w:rsidRPr="00634844" w:rsidRDefault="001D4790" w:rsidP="001D4790">
            <w:pPr>
              <w:jc w:val="right"/>
              <w:rPr>
                <w:rFonts w:ascii="Arial" w:hAnsi="Arial" w:cs="Arial"/>
                <w:b/>
                <w:bCs/>
                <w:color w:val="000000"/>
              </w:rPr>
            </w:pPr>
            <w:r>
              <w:rPr>
                <w:rFonts w:ascii="Arial" w:hAnsi="Arial" w:cs="Arial"/>
                <w:b/>
                <w:bCs/>
                <w:color w:val="000000"/>
              </w:rPr>
              <w:t>276,184</w:t>
            </w:r>
          </w:p>
        </w:tc>
      </w:tr>
      <w:tr w:rsidR="001D4790" w:rsidRPr="00634844" w14:paraId="3D554D3E" w14:textId="77777777" w:rsidTr="00494EE0">
        <w:trPr>
          <w:trHeight w:val="300"/>
        </w:trPr>
        <w:tc>
          <w:tcPr>
            <w:tcW w:w="2987" w:type="dxa"/>
            <w:tcBorders>
              <w:top w:val="nil"/>
              <w:left w:val="single" w:sz="8" w:space="0" w:color="auto"/>
              <w:bottom w:val="nil"/>
              <w:right w:val="nil"/>
            </w:tcBorders>
            <w:vAlign w:val="center"/>
            <w:hideMark/>
          </w:tcPr>
          <w:p w14:paraId="65817ED4" w14:textId="47A16AAD" w:rsidR="001D4790" w:rsidRPr="00634844" w:rsidRDefault="001D4790" w:rsidP="001D4790">
            <w:pPr>
              <w:rPr>
                <w:rFonts w:ascii="Arial" w:hAnsi="Arial" w:cs="Arial"/>
                <w:color w:val="000000"/>
              </w:rPr>
            </w:pPr>
            <w:r w:rsidRPr="00634844">
              <w:rPr>
                <w:rFonts w:ascii="Arial" w:hAnsi="Arial" w:cs="Arial"/>
                <w:color w:val="000000"/>
              </w:rPr>
              <w:t>Chief Operating Officer</w:t>
            </w:r>
          </w:p>
        </w:tc>
        <w:tc>
          <w:tcPr>
            <w:tcW w:w="2361" w:type="dxa"/>
            <w:tcBorders>
              <w:top w:val="nil"/>
              <w:left w:val="nil"/>
              <w:bottom w:val="nil"/>
              <w:right w:val="nil"/>
            </w:tcBorders>
            <w:shd w:val="clear" w:color="000000" w:fill="CCCCCC"/>
            <w:vAlign w:val="center"/>
            <w:hideMark/>
          </w:tcPr>
          <w:p w14:paraId="33EB6E12" w14:textId="54555658" w:rsidR="001D4790" w:rsidRPr="00634844" w:rsidRDefault="001D4790" w:rsidP="001D4790">
            <w:pPr>
              <w:jc w:val="right"/>
              <w:rPr>
                <w:rFonts w:ascii="Arial" w:hAnsi="Arial" w:cs="Arial"/>
                <w:b/>
                <w:bCs/>
                <w:color w:val="000000"/>
              </w:rPr>
            </w:pPr>
            <w:r>
              <w:rPr>
                <w:rFonts w:ascii="Arial" w:hAnsi="Arial" w:cs="Arial"/>
                <w:b/>
                <w:bCs/>
                <w:color w:val="000000"/>
              </w:rPr>
              <w:t>31,704</w:t>
            </w:r>
          </w:p>
        </w:tc>
        <w:tc>
          <w:tcPr>
            <w:tcW w:w="2709" w:type="dxa"/>
            <w:tcBorders>
              <w:top w:val="nil"/>
              <w:left w:val="nil"/>
              <w:bottom w:val="nil"/>
              <w:right w:val="nil"/>
            </w:tcBorders>
            <w:shd w:val="clear" w:color="000000" w:fill="CCCCCC"/>
            <w:vAlign w:val="center"/>
            <w:hideMark/>
          </w:tcPr>
          <w:p w14:paraId="69EA8752" w14:textId="315ECE6B" w:rsidR="001D4790" w:rsidRPr="00634844" w:rsidRDefault="001D4790" w:rsidP="001D4790">
            <w:pPr>
              <w:jc w:val="right"/>
              <w:rPr>
                <w:rFonts w:ascii="Arial" w:hAnsi="Arial" w:cs="Arial"/>
                <w:b/>
                <w:bCs/>
                <w:color w:val="000000"/>
              </w:rPr>
            </w:pPr>
            <w:r>
              <w:rPr>
                <w:rFonts w:ascii="Arial" w:hAnsi="Arial" w:cs="Arial"/>
                <w:b/>
                <w:bCs/>
                <w:color w:val="000000"/>
              </w:rPr>
              <w:t>1,459</w:t>
            </w:r>
          </w:p>
        </w:tc>
        <w:tc>
          <w:tcPr>
            <w:tcW w:w="2382" w:type="dxa"/>
            <w:tcBorders>
              <w:top w:val="nil"/>
              <w:left w:val="nil"/>
              <w:bottom w:val="nil"/>
              <w:right w:val="nil"/>
            </w:tcBorders>
            <w:shd w:val="clear" w:color="000000" w:fill="CCCCCC"/>
            <w:vAlign w:val="center"/>
            <w:hideMark/>
          </w:tcPr>
          <w:p w14:paraId="65564C5F" w14:textId="2E50F6FA" w:rsidR="001D4790" w:rsidRPr="00634844" w:rsidRDefault="001D4790" w:rsidP="001D4790">
            <w:pPr>
              <w:jc w:val="right"/>
              <w:rPr>
                <w:rFonts w:ascii="Arial" w:hAnsi="Arial" w:cs="Arial"/>
                <w:b/>
                <w:bCs/>
                <w:color w:val="000000"/>
              </w:rPr>
            </w:pPr>
            <w:r>
              <w:rPr>
                <w:rFonts w:ascii="Arial" w:hAnsi="Arial" w:cs="Arial"/>
                <w:b/>
                <w:bCs/>
                <w:color w:val="000000"/>
              </w:rPr>
              <w:t>33,163</w:t>
            </w:r>
          </w:p>
        </w:tc>
        <w:tc>
          <w:tcPr>
            <w:tcW w:w="2448" w:type="dxa"/>
            <w:tcBorders>
              <w:top w:val="nil"/>
              <w:left w:val="nil"/>
              <w:bottom w:val="nil"/>
              <w:right w:val="nil"/>
            </w:tcBorders>
            <w:shd w:val="clear" w:color="000000" w:fill="CCCCCC"/>
            <w:vAlign w:val="center"/>
            <w:hideMark/>
          </w:tcPr>
          <w:p w14:paraId="3ABCD4D2" w14:textId="1ED319B8"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6" w:type="dxa"/>
            <w:tcBorders>
              <w:top w:val="nil"/>
              <w:left w:val="nil"/>
              <w:bottom w:val="nil"/>
              <w:right w:val="single" w:sz="8" w:space="0" w:color="auto"/>
            </w:tcBorders>
            <w:shd w:val="clear" w:color="000000" w:fill="CCCCCC"/>
            <w:vAlign w:val="center"/>
            <w:hideMark/>
          </w:tcPr>
          <w:p w14:paraId="793D3CE0" w14:textId="29E74CB8" w:rsidR="001D4790" w:rsidRPr="00634844" w:rsidRDefault="001D4790" w:rsidP="001D4790">
            <w:pPr>
              <w:jc w:val="right"/>
              <w:rPr>
                <w:rFonts w:ascii="Arial" w:hAnsi="Arial" w:cs="Arial"/>
                <w:b/>
                <w:bCs/>
                <w:color w:val="000000"/>
              </w:rPr>
            </w:pPr>
            <w:r>
              <w:rPr>
                <w:rFonts w:ascii="Arial" w:hAnsi="Arial" w:cs="Arial"/>
                <w:b/>
                <w:bCs/>
                <w:color w:val="000000"/>
              </w:rPr>
              <w:t>33,163</w:t>
            </w:r>
          </w:p>
        </w:tc>
      </w:tr>
      <w:tr w:rsidR="001D4790" w:rsidRPr="00634844" w14:paraId="478D0577" w14:textId="77777777" w:rsidTr="00494EE0">
        <w:trPr>
          <w:trHeight w:val="300"/>
        </w:trPr>
        <w:tc>
          <w:tcPr>
            <w:tcW w:w="2987" w:type="dxa"/>
            <w:tcBorders>
              <w:top w:val="nil"/>
              <w:left w:val="single" w:sz="8" w:space="0" w:color="auto"/>
              <w:bottom w:val="nil"/>
              <w:right w:val="nil"/>
            </w:tcBorders>
            <w:vAlign w:val="center"/>
            <w:hideMark/>
          </w:tcPr>
          <w:p w14:paraId="0C8124B5" w14:textId="760E0416" w:rsidR="001D4790" w:rsidRPr="00634844" w:rsidRDefault="001D4790" w:rsidP="001D4790">
            <w:pPr>
              <w:rPr>
                <w:rFonts w:ascii="Arial" w:hAnsi="Arial" w:cs="Arial"/>
                <w:color w:val="000000"/>
              </w:rPr>
            </w:pPr>
            <w:r w:rsidRPr="00634844">
              <w:rPr>
                <w:rFonts w:ascii="Arial" w:hAnsi="Arial" w:cs="Arial"/>
                <w:color w:val="000000"/>
              </w:rPr>
              <w:t>ACC</w:t>
            </w:r>
            <w:r>
              <w:rPr>
                <w:rFonts w:ascii="Arial" w:hAnsi="Arial" w:cs="Arial"/>
                <w:color w:val="000000"/>
              </w:rPr>
              <w:t xml:space="preserve"> </w:t>
            </w:r>
            <w:r w:rsidRPr="00634844">
              <w:rPr>
                <w:rFonts w:ascii="Arial" w:hAnsi="Arial" w:cs="Arial"/>
                <w:color w:val="000000"/>
              </w:rPr>
              <w:t>Territorial Ops</w:t>
            </w:r>
            <w:r w:rsidR="00625925">
              <w:rPr>
                <w:rFonts w:ascii="Arial" w:hAnsi="Arial" w:cs="Arial"/>
                <w:color w:val="000000"/>
              </w:rPr>
              <w:t>*</w:t>
            </w:r>
          </w:p>
        </w:tc>
        <w:tc>
          <w:tcPr>
            <w:tcW w:w="2361" w:type="dxa"/>
            <w:tcBorders>
              <w:top w:val="nil"/>
              <w:left w:val="nil"/>
              <w:bottom w:val="nil"/>
              <w:right w:val="nil"/>
            </w:tcBorders>
            <w:shd w:val="clear" w:color="000000" w:fill="CCCCCC"/>
            <w:vAlign w:val="center"/>
            <w:hideMark/>
          </w:tcPr>
          <w:p w14:paraId="5169FDC8" w14:textId="527322D6" w:rsidR="001D4790" w:rsidRPr="00634844" w:rsidRDefault="001D4790" w:rsidP="001D4790">
            <w:pPr>
              <w:jc w:val="right"/>
              <w:rPr>
                <w:rFonts w:ascii="Arial" w:hAnsi="Arial" w:cs="Arial"/>
                <w:b/>
                <w:bCs/>
                <w:color w:val="000000"/>
              </w:rPr>
            </w:pPr>
            <w:r>
              <w:rPr>
                <w:rFonts w:ascii="Arial" w:hAnsi="Arial" w:cs="Arial"/>
                <w:b/>
                <w:bCs/>
                <w:color w:val="000000"/>
              </w:rPr>
              <w:t>7,358</w:t>
            </w:r>
          </w:p>
        </w:tc>
        <w:tc>
          <w:tcPr>
            <w:tcW w:w="2709" w:type="dxa"/>
            <w:tcBorders>
              <w:top w:val="nil"/>
              <w:left w:val="nil"/>
              <w:bottom w:val="nil"/>
              <w:right w:val="nil"/>
            </w:tcBorders>
            <w:shd w:val="clear" w:color="000000" w:fill="CCCCCC"/>
            <w:vAlign w:val="center"/>
            <w:hideMark/>
          </w:tcPr>
          <w:p w14:paraId="6A39CD2D" w14:textId="42D2D466" w:rsidR="001D4790" w:rsidRPr="00634844" w:rsidRDefault="001D4790" w:rsidP="001D4790">
            <w:pPr>
              <w:jc w:val="right"/>
              <w:rPr>
                <w:rFonts w:ascii="Arial" w:hAnsi="Arial" w:cs="Arial"/>
                <w:b/>
                <w:bCs/>
                <w:color w:val="000000"/>
              </w:rPr>
            </w:pPr>
            <w:r>
              <w:rPr>
                <w:rFonts w:ascii="Arial" w:hAnsi="Arial" w:cs="Arial"/>
                <w:b/>
                <w:bCs/>
                <w:color w:val="000000"/>
              </w:rPr>
              <w:t>72</w:t>
            </w:r>
          </w:p>
        </w:tc>
        <w:tc>
          <w:tcPr>
            <w:tcW w:w="2382" w:type="dxa"/>
            <w:tcBorders>
              <w:top w:val="nil"/>
              <w:left w:val="nil"/>
              <w:bottom w:val="nil"/>
              <w:right w:val="nil"/>
            </w:tcBorders>
            <w:shd w:val="clear" w:color="000000" w:fill="CCCCCC"/>
            <w:vAlign w:val="center"/>
            <w:hideMark/>
          </w:tcPr>
          <w:p w14:paraId="46812A4A" w14:textId="6DE15572" w:rsidR="001D4790" w:rsidRPr="00634844" w:rsidRDefault="001D4790" w:rsidP="001D4790">
            <w:pPr>
              <w:jc w:val="right"/>
              <w:rPr>
                <w:rFonts w:ascii="Arial" w:hAnsi="Arial" w:cs="Arial"/>
                <w:b/>
                <w:bCs/>
                <w:color w:val="000000"/>
              </w:rPr>
            </w:pPr>
            <w:r>
              <w:rPr>
                <w:rFonts w:ascii="Arial" w:hAnsi="Arial" w:cs="Arial"/>
                <w:b/>
                <w:bCs/>
                <w:color w:val="000000"/>
              </w:rPr>
              <w:t>7,430</w:t>
            </w:r>
          </w:p>
        </w:tc>
        <w:tc>
          <w:tcPr>
            <w:tcW w:w="2448" w:type="dxa"/>
            <w:tcBorders>
              <w:top w:val="nil"/>
              <w:left w:val="nil"/>
              <w:bottom w:val="nil"/>
              <w:right w:val="nil"/>
            </w:tcBorders>
            <w:shd w:val="clear" w:color="000000" w:fill="CCCCCC"/>
            <w:vAlign w:val="center"/>
            <w:hideMark/>
          </w:tcPr>
          <w:p w14:paraId="644024C9" w14:textId="74595122"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6" w:type="dxa"/>
            <w:tcBorders>
              <w:top w:val="nil"/>
              <w:left w:val="nil"/>
              <w:bottom w:val="nil"/>
              <w:right w:val="single" w:sz="8" w:space="0" w:color="auto"/>
            </w:tcBorders>
            <w:shd w:val="clear" w:color="000000" w:fill="CCCCCC"/>
            <w:vAlign w:val="center"/>
            <w:hideMark/>
          </w:tcPr>
          <w:p w14:paraId="0BD00CF0" w14:textId="567DD502" w:rsidR="001D4790" w:rsidRPr="00634844" w:rsidRDefault="001D4790" w:rsidP="001D4790">
            <w:pPr>
              <w:jc w:val="right"/>
              <w:rPr>
                <w:rFonts w:ascii="Arial" w:hAnsi="Arial" w:cs="Arial"/>
                <w:b/>
                <w:bCs/>
                <w:color w:val="000000"/>
              </w:rPr>
            </w:pPr>
            <w:r>
              <w:rPr>
                <w:rFonts w:ascii="Arial" w:hAnsi="Arial" w:cs="Arial"/>
                <w:b/>
                <w:bCs/>
                <w:color w:val="000000"/>
              </w:rPr>
              <w:t>7,430</w:t>
            </w:r>
          </w:p>
        </w:tc>
      </w:tr>
      <w:tr w:rsidR="001D4790" w:rsidRPr="00634844" w14:paraId="1B9B2053" w14:textId="77777777" w:rsidTr="00494EE0">
        <w:trPr>
          <w:trHeight w:val="300"/>
        </w:trPr>
        <w:tc>
          <w:tcPr>
            <w:tcW w:w="2987" w:type="dxa"/>
            <w:tcBorders>
              <w:top w:val="nil"/>
              <w:left w:val="single" w:sz="8" w:space="0" w:color="auto"/>
              <w:bottom w:val="nil"/>
              <w:right w:val="nil"/>
            </w:tcBorders>
            <w:vAlign w:val="center"/>
            <w:hideMark/>
          </w:tcPr>
          <w:p w14:paraId="08177B81" w14:textId="3808B991" w:rsidR="001D4790" w:rsidRPr="00634844" w:rsidRDefault="001D4790" w:rsidP="001D4790">
            <w:pPr>
              <w:rPr>
                <w:rFonts w:ascii="Arial" w:hAnsi="Arial" w:cs="Arial"/>
                <w:color w:val="000000"/>
              </w:rPr>
            </w:pPr>
            <w:r w:rsidRPr="00634844">
              <w:rPr>
                <w:rFonts w:ascii="Arial" w:hAnsi="Arial" w:cs="Arial"/>
                <w:color w:val="000000"/>
              </w:rPr>
              <w:t xml:space="preserve">ACC </w:t>
            </w:r>
            <w:r>
              <w:rPr>
                <w:rFonts w:ascii="Arial" w:hAnsi="Arial" w:cs="Arial"/>
                <w:color w:val="000000"/>
              </w:rPr>
              <w:t>Crime</w:t>
            </w:r>
          </w:p>
        </w:tc>
        <w:tc>
          <w:tcPr>
            <w:tcW w:w="2361" w:type="dxa"/>
            <w:tcBorders>
              <w:top w:val="nil"/>
              <w:left w:val="nil"/>
              <w:bottom w:val="nil"/>
              <w:right w:val="nil"/>
            </w:tcBorders>
            <w:shd w:val="clear" w:color="000000" w:fill="CCCCCC"/>
            <w:vAlign w:val="center"/>
            <w:hideMark/>
          </w:tcPr>
          <w:p w14:paraId="07E9AC1B" w14:textId="2029CE5B" w:rsidR="001D4790" w:rsidRPr="00634844" w:rsidRDefault="001D4790" w:rsidP="001D4790">
            <w:pPr>
              <w:jc w:val="right"/>
              <w:rPr>
                <w:rFonts w:ascii="Arial" w:hAnsi="Arial" w:cs="Arial"/>
                <w:b/>
                <w:bCs/>
                <w:color w:val="000000"/>
              </w:rPr>
            </w:pPr>
            <w:r>
              <w:rPr>
                <w:rFonts w:ascii="Arial" w:hAnsi="Arial" w:cs="Arial"/>
                <w:b/>
                <w:bCs/>
                <w:color w:val="000000"/>
              </w:rPr>
              <w:t>4,196</w:t>
            </w:r>
          </w:p>
        </w:tc>
        <w:tc>
          <w:tcPr>
            <w:tcW w:w="2709" w:type="dxa"/>
            <w:tcBorders>
              <w:top w:val="nil"/>
              <w:left w:val="nil"/>
              <w:bottom w:val="nil"/>
              <w:right w:val="nil"/>
            </w:tcBorders>
            <w:shd w:val="clear" w:color="000000" w:fill="CCCCCC"/>
            <w:vAlign w:val="center"/>
            <w:hideMark/>
          </w:tcPr>
          <w:p w14:paraId="2A7C29AE" w14:textId="2C0079B6" w:rsidR="001D4790" w:rsidRPr="00634844" w:rsidRDefault="001D4790" w:rsidP="001D4790">
            <w:pPr>
              <w:jc w:val="right"/>
              <w:rPr>
                <w:rFonts w:ascii="Arial" w:hAnsi="Arial" w:cs="Arial"/>
                <w:b/>
                <w:bCs/>
                <w:color w:val="000000"/>
              </w:rPr>
            </w:pPr>
            <w:r>
              <w:rPr>
                <w:rFonts w:ascii="Arial" w:hAnsi="Arial" w:cs="Arial"/>
                <w:b/>
                <w:bCs/>
                <w:color w:val="000000"/>
              </w:rPr>
              <w:t>12</w:t>
            </w:r>
          </w:p>
        </w:tc>
        <w:tc>
          <w:tcPr>
            <w:tcW w:w="2382" w:type="dxa"/>
            <w:tcBorders>
              <w:top w:val="nil"/>
              <w:left w:val="nil"/>
              <w:bottom w:val="nil"/>
              <w:right w:val="nil"/>
            </w:tcBorders>
            <w:shd w:val="clear" w:color="000000" w:fill="CCCCCC"/>
            <w:vAlign w:val="center"/>
            <w:hideMark/>
          </w:tcPr>
          <w:p w14:paraId="7857AF94" w14:textId="1766AB75" w:rsidR="001D4790" w:rsidRPr="00634844" w:rsidRDefault="001D4790" w:rsidP="001D4790">
            <w:pPr>
              <w:jc w:val="right"/>
              <w:rPr>
                <w:rFonts w:ascii="Arial" w:hAnsi="Arial" w:cs="Arial"/>
                <w:b/>
                <w:bCs/>
                <w:color w:val="000000"/>
              </w:rPr>
            </w:pPr>
            <w:r>
              <w:rPr>
                <w:rFonts w:ascii="Arial" w:hAnsi="Arial" w:cs="Arial"/>
                <w:b/>
                <w:bCs/>
                <w:color w:val="000000"/>
              </w:rPr>
              <w:t>4,208</w:t>
            </w:r>
          </w:p>
        </w:tc>
        <w:tc>
          <w:tcPr>
            <w:tcW w:w="2448" w:type="dxa"/>
            <w:tcBorders>
              <w:top w:val="nil"/>
              <w:left w:val="nil"/>
              <w:bottom w:val="nil"/>
              <w:right w:val="nil"/>
            </w:tcBorders>
            <w:shd w:val="clear" w:color="000000" w:fill="CCCCCC"/>
            <w:vAlign w:val="center"/>
            <w:hideMark/>
          </w:tcPr>
          <w:p w14:paraId="56F7C9E2" w14:textId="35FB7C21"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6" w:type="dxa"/>
            <w:tcBorders>
              <w:top w:val="nil"/>
              <w:left w:val="nil"/>
              <w:bottom w:val="nil"/>
              <w:right w:val="single" w:sz="8" w:space="0" w:color="auto"/>
            </w:tcBorders>
            <w:shd w:val="clear" w:color="000000" w:fill="CCCCCC"/>
            <w:vAlign w:val="center"/>
            <w:hideMark/>
          </w:tcPr>
          <w:p w14:paraId="7B08CC86" w14:textId="22C91417" w:rsidR="001D4790" w:rsidRPr="00634844" w:rsidRDefault="001D4790" w:rsidP="001D4790">
            <w:pPr>
              <w:jc w:val="right"/>
              <w:rPr>
                <w:rFonts w:ascii="Arial" w:hAnsi="Arial" w:cs="Arial"/>
                <w:b/>
                <w:bCs/>
                <w:color w:val="000000"/>
              </w:rPr>
            </w:pPr>
            <w:r>
              <w:rPr>
                <w:rFonts w:ascii="Arial" w:hAnsi="Arial" w:cs="Arial"/>
                <w:b/>
                <w:bCs/>
                <w:color w:val="000000"/>
              </w:rPr>
              <w:t>4,208</w:t>
            </w:r>
          </w:p>
        </w:tc>
      </w:tr>
      <w:tr w:rsidR="001D4790" w:rsidRPr="00634844" w14:paraId="4E62263F" w14:textId="77777777" w:rsidTr="00494EE0">
        <w:trPr>
          <w:trHeight w:val="300"/>
        </w:trPr>
        <w:tc>
          <w:tcPr>
            <w:tcW w:w="2987" w:type="dxa"/>
            <w:tcBorders>
              <w:top w:val="nil"/>
              <w:left w:val="single" w:sz="8" w:space="0" w:color="auto"/>
              <w:bottom w:val="nil"/>
              <w:right w:val="nil"/>
            </w:tcBorders>
            <w:vAlign w:val="center"/>
            <w:hideMark/>
          </w:tcPr>
          <w:p w14:paraId="2933DC82" w14:textId="3B639313" w:rsidR="001D4790" w:rsidRPr="00634844" w:rsidRDefault="001D4790" w:rsidP="001D4790">
            <w:pPr>
              <w:rPr>
                <w:rFonts w:ascii="Arial" w:hAnsi="Arial" w:cs="Arial"/>
                <w:color w:val="000000"/>
              </w:rPr>
            </w:pPr>
            <w:r w:rsidRPr="00634844">
              <w:rPr>
                <w:rFonts w:ascii="Arial" w:hAnsi="Arial" w:cs="Arial"/>
                <w:color w:val="000000"/>
              </w:rPr>
              <w:t xml:space="preserve">ACC </w:t>
            </w:r>
            <w:r>
              <w:rPr>
                <w:rFonts w:ascii="Arial" w:hAnsi="Arial" w:cs="Arial"/>
                <w:color w:val="000000"/>
              </w:rPr>
              <w:t>Spec</w:t>
            </w:r>
            <w:r w:rsidR="00104D59">
              <w:rPr>
                <w:rFonts w:ascii="Arial" w:hAnsi="Arial" w:cs="Arial"/>
                <w:color w:val="000000"/>
              </w:rPr>
              <w:t>.</w:t>
            </w:r>
            <w:r>
              <w:rPr>
                <w:rFonts w:ascii="Arial" w:hAnsi="Arial" w:cs="Arial"/>
                <w:color w:val="000000"/>
              </w:rPr>
              <w:t xml:space="preserve"> Uniform Ops</w:t>
            </w:r>
            <w:r w:rsidR="00625925">
              <w:rPr>
                <w:rFonts w:ascii="Arial" w:hAnsi="Arial" w:cs="Arial"/>
                <w:color w:val="000000"/>
              </w:rPr>
              <w:t>*</w:t>
            </w:r>
          </w:p>
        </w:tc>
        <w:tc>
          <w:tcPr>
            <w:tcW w:w="2361" w:type="dxa"/>
            <w:tcBorders>
              <w:top w:val="nil"/>
              <w:left w:val="nil"/>
              <w:bottom w:val="nil"/>
              <w:right w:val="nil"/>
            </w:tcBorders>
            <w:shd w:val="clear" w:color="000000" w:fill="CCCCCC"/>
            <w:vAlign w:val="center"/>
            <w:hideMark/>
          </w:tcPr>
          <w:p w14:paraId="459F1E39" w14:textId="0868BCCF" w:rsidR="001D4790" w:rsidRPr="00634844" w:rsidRDefault="001D4790" w:rsidP="001D4790">
            <w:pPr>
              <w:jc w:val="right"/>
              <w:rPr>
                <w:rFonts w:ascii="Arial" w:hAnsi="Arial" w:cs="Arial"/>
                <w:b/>
                <w:bCs/>
                <w:color w:val="000000"/>
              </w:rPr>
            </w:pPr>
            <w:r>
              <w:rPr>
                <w:rFonts w:ascii="Arial" w:hAnsi="Arial" w:cs="Arial"/>
                <w:b/>
                <w:bCs/>
                <w:color w:val="000000"/>
              </w:rPr>
              <w:t>6,000</w:t>
            </w:r>
          </w:p>
        </w:tc>
        <w:tc>
          <w:tcPr>
            <w:tcW w:w="2709" w:type="dxa"/>
            <w:tcBorders>
              <w:top w:val="nil"/>
              <w:left w:val="nil"/>
              <w:bottom w:val="nil"/>
              <w:right w:val="nil"/>
            </w:tcBorders>
            <w:shd w:val="clear" w:color="000000" w:fill="CCCCCC"/>
            <w:vAlign w:val="center"/>
            <w:hideMark/>
          </w:tcPr>
          <w:p w14:paraId="045756FD" w14:textId="28AAEF29" w:rsidR="001D4790" w:rsidRPr="00634844" w:rsidRDefault="001D4790" w:rsidP="001D4790">
            <w:pPr>
              <w:jc w:val="right"/>
              <w:rPr>
                <w:rFonts w:ascii="Arial" w:hAnsi="Arial" w:cs="Arial"/>
                <w:b/>
                <w:bCs/>
                <w:color w:val="000000"/>
              </w:rPr>
            </w:pPr>
            <w:r>
              <w:rPr>
                <w:rFonts w:ascii="Arial" w:hAnsi="Arial" w:cs="Arial"/>
                <w:b/>
                <w:bCs/>
                <w:color w:val="000000"/>
              </w:rPr>
              <w:t>(1,194)</w:t>
            </w:r>
          </w:p>
        </w:tc>
        <w:tc>
          <w:tcPr>
            <w:tcW w:w="2382" w:type="dxa"/>
            <w:tcBorders>
              <w:top w:val="nil"/>
              <w:left w:val="nil"/>
              <w:bottom w:val="nil"/>
              <w:right w:val="nil"/>
            </w:tcBorders>
            <w:shd w:val="clear" w:color="000000" w:fill="CCCCCC"/>
            <w:vAlign w:val="center"/>
            <w:hideMark/>
          </w:tcPr>
          <w:p w14:paraId="25B0D911" w14:textId="2FCBA041" w:rsidR="001D4790" w:rsidRPr="00634844" w:rsidRDefault="001D4790" w:rsidP="001D4790">
            <w:pPr>
              <w:jc w:val="right"/>
              <w:rPr>
                <w:rFonts w:ascii="Arial" w:hAnsi="Arial" w:cs="Arial"/>
                <w:b/>
                <w:bCs/>
                <w:color w:val="000000"/>
              </w:rPr>
            </w:pPr>
            <w:r>
              <w:rPr>
                <w:rFonts w:ascii="Arial" w:hAnsi="Arial" w:cs="Arial"/>
                <w:b/>
                <w:bCs/>
                <w:color w:val="000000"/>
              </w:rPr>
              <w:t>4,807</w:t>
            </w:r>
          </w:p>
        </w:tc>
        <w:tc>
          <w:tcPr>
            <w:tcW w:w="2448" w:type="dxa"/>
            <w:tcBorders>
              <w:top w:val="nil"/>
              <w:left w:val="nil"/>
              <w:bottom w:val="nil"/>
              <w:right w:val="nil"/>
            </w:tcBorders>
            <w:shd w:val="clear" w:color="000000" w:fill="CCCCCC"/>
            <w:vAlign w:val="center"/>
            <w:hideMark/>
          </w:tcPr>
          <w:p w14:paraId="0C841AA6" w14:textId="046820BC"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6" w:type="dxa"/>
            <w:tcBorders>
              <w:top w:val="nil"/>
              <w:left w:val="nil"/>
              <w:bottom w:val="nil"/>
              <w:right w:val="single" w:sz="8" w:space="0" w:color="auto"/>
            </w:tcBorders>
            <w:shd w:val="clear" w:color="000000" w:fill="CCCCCC"/>
            <w:vAlign w:val="center"/>
            <w:hideMark/>
          </w:tcPr>
          <w:p w14:paraId="42FF11FE" w14:textId="42198299" w:rsidR="001D4790" w:rsidRPr="00634844" w:rsidRDefault="001D4790" w:rsidP="001D4790">
            <w:pPr>
              <w:jc w:val="right"/>
              <w:rPr>
                <w:rFonts w:ascii="Arial" w:hAnsi="Arial" w:cs="Arial"/>
                <w:b/>
                <w:bCs/>
                <w:color w:val="000000"/>
              </w:rPr>
            </w:pPr>
            <w:r>
              <w:rPr>
                <w:rFonts w:ascii="Arial" w:hAnsi="Arial" w:cs="Arial"/>
                <w:b/>
                <w:bCs/>
                <w:color w:val="000000"/>
              </w:rPr>
              <w:t>4,807</w:t>
            </w:r>
          </w:p>
        </w:tc>
      </w:tr>
      <w:tr w:rsidR="001D4790" w:rsidRPr="00634844" w14:paraId="7E71D06A" w14:textId="77777777" w:rsidTr="00494EE0">
        <w:trPr>
          <w:trHeight w:val="300"/>
        </w:trPr>
        <w:tc>
          <w:tcPr>
            <w:tcW w:w="2987" w:type="dxa"/>
            <w:tcBorders>
              <w:top w:val="nil"/>
              <w:left w:val="single" w:sz="8" w:space="0" w:color="auto"/>
              <w:bottom w:val="nil"/>
              <w:right w:val="nil"/>
            </w:tcBorders>
            <w:vAlign w:val="center"/>
            <w:hideMark/>
          </w:tcPr>
          <w:p w14:paraId="26622B16" w14:textId="32DFF324" w:rsidR="001D4790" w:rsidRPr="00634844" w:rsidRDefault="001D4790" w:rsidP="001D4790">
            <w:pPr>
              <w:rPr>
                <w:rFonts w:ascii="Arial" w:hAnsi="Arial" w:cs="Arial"/>
                <w:color w:val="000000"/>
              </w:rPr>
            </w:pPr>
            <w:r w:rsidRPr="00634844">
              <w:rPr>
                <w:rFonts w:ascii="Arial" w:hAnsi="Arial" w:cs="Arial"/>
                <w:color w:val="000000"/>
              </w:rPr>
              <w:t>Deputy Chief Constable</w:t>
            </w:r>
          </w:p>
        </w:tc>
        <w:tc>
          <w:tcPr>
            <w:tcW w:w="2361" w:type="dxa"/>
            <w:tcBorders>
              <w:top w:val="nil"/>
              <w:left w:val="nil"/>
              <w:bottom w:val="nil"/>
              <w:right w:val="nil"/>
            </w:tcBorders>
            <w:shd w:val="clear" w:color="000000" w:fill="CCCCCC"/>
            <w:vAlign w:val="center"/>
            <w:hideMark/>
          </w:tcPr>
          <w:p w14:paraId="1F1BA98F" w14:textId="00091983" w:rsidR="001D4790" w:rsidRPr="00634844" w:rsidRDefault="001D4790" w:rsidP="001D4790">
            <w:pPr>
              <w:jc w:val="right"/>
              <w:rPr>
                <w:rFonts w:ascii="Arial" w:hAnsi="Arial" w:cs="Arial"/>
                <w:b/>
                <w:bCs/>
                <w:color w:val="000000"/>
              </w:rPr>
            </w:pPr>
            <w:r>
              <w:rPr>
                <w:rFonts w:ascii="Arial" w:hAnsi="Arial" w:cs="Arial"/>
                <w:b/>
                <w:bCs/>
                <w:color w:val="000000"/>
              </w:rPr>
              <w:t>1,544</w:t>
            </w:r>
          </w:p>
        </w:tc>
        <w:tc>
          <w:tcPr>
            <w:tcW w:w="2709" w:type="dxa"/>
            <w:tcBorders>
              <w:top w:val="nil"/>
              <w:left w:val="nil"/>
              <w:bottom w:val="nil"/>
              <w:right w:val="nil"/>
            </w:tcBorders>
            <w:shd w:val="clear" w:color="000000" w:fill="CCCCCC"/>
            <w:vAlign w:val="center"/>
            <w:hideMark/>
          </w:tcPr>
          <w:p w14:paraId="0344A021" w14:textId="29F4499B" w:rsidR="001D4790" w:rsidRPr="00634844" w:rsidRDefault="001D4790" w:rsidP="001D4790">
            <w:pPr>
              <w:jc w:val="right"/>
              <w:rPr>
                <w:rFonts w:ascii="Arial" w:hAnsi="Arial" w:cs="Arial"/>
                <w:b/>
                <w:bCs/>
                <w:color w:val="000000"/>
              </w:rPr>
            </w:pPr>
            <w:r>
              <w:rPr>
                <w:rFonts w:ascii="Arial" w:hAnsi="Arial" w:cs="Arial"/>
                <w:b/>
                <w:bCs/>
                <w:color w:val="000000"/>
              </w:rPr>
              <w:t>(23)</w:t>
            </w:r>
          </w:p>
        </w:tc>
        <w:tc>
          <w:tcPr>
            <w:tcW w:w="2382" w:type="dxa"/>
            <w:tcBorders>
              <w:top w:val="nil"/>
              <w:left w:val="nil"/>
              <w:bottom w:val="nil"/>
              <w:right w:val="nil"/>
            </w:tcBorders>
            <w:shd w:val="clear" w:color="000000" w:fill="CCCCCC"/>
            <w:vAlign w:val="center"/>
            <w:hideMark/>
          </w:tcPr>
          <w:p w14:paraId="7ABFC8E8" w14:textId="131A6104" w:rsidR="001D4790" w:rsidRPr="00634844" w:rsidRDefault="001D4790" w:rsidP="001D4790">
            <w:pPr>
              <w:jc w:val="right"/>
              <w:rPr>
                <w:rFonts w:ascii="Arial" w:hAnsi="Arial" w:cs="Arial"/>
                <w:b/>
                <w:bCs/>
                <w:color w:val="000000"/>
              </w:rPr>
            </w:pPr>
            <w:r>
              <w:rPr>
                <w:rFonts w:ascii="Arial" w:hAnsi="Arial" w:cs="Arial"/>
                <w:b/>
                <w:bCs/>
                <w:color w:val="000000"/>
              </w:rPr>
              <w:t>1,521</w:t>
            </w:r>
          </w:p>
        </w:tc>
        <w:tc>
          <w:tcPr>
            <w:tcW w:w="2448" w:type="dxa"/>
            <w:tcBorders>
              <w:top w:val="nil"/>
              <w:left w:val="nil"/>
              <w:bottom w:val="nil"/>
              <w:right w:val="nil"/>
            </w:tcBorders>
            <w:shd w:val="clear" w:color="000000" w:fill="CCCCCC"/>
            <w:vAlign w:val="center"/>
            <w:hideMark/>
          </w:tcPr>
          <w:p w14:paraId="2A8B71F5" w14:textId="41133BF6"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6" w:type="dxa"/>
            <w:tcBorders>
              <w:top w:val="nil"/>
              <w:left w:val="nil"/>
              <w:bottom w:val="nil"/>
              <w:right w:val="single" w:sz="8" w:space="0" w:color="auto"/>
            </w:tcBorders>
            <w:shd w:val="clear" w:color="000000" w:fill="CCCCCC"/>
            <w:vAlign w:val="center"/>
            <w:hideMark/>
          </w:tcPr>
          <w:p w14:paraId="429F905B" w14:textId="2B36251A" w:rsidR="001D4790" w:rsidRPr="00634844" w:rsidRDefault="001D4790" w:rsidP="001D4790">
            <w:pPr>
              <w:jc w:val="right"/>
              <w:rPr>
                <w:rFonts w:ascii="Arial" w:hAnsi="Arial" w:cs="Arial"/>
                <w:b/>
                <w:bCs/>
                <w:color w:val="000000"/>
              </w:rPr>
            </w:pPr>
            <w:r>
              <w:rPr>
                <w:rFonts w:ascii="Arial" w:hAnsi="Arial" w:cs="Arial"/>
                <w:b/>
                <w:bCs/>
                <w:color w:val="000000"/>
              </w:rPr>
              <w:t>1,521</w:t>
            </w:r>
          </w:p>
        </w:tc>
      </w:tr>
      <w:tr w:rsidR="001D4790" w:rsidRPr="00634844" w14:paraId="3768CFEF" w14:textId="77777777" w:rsidTr="00494EE0">
        <w:trPr>
          <w:trHeight w:val="300"/>
        </w:trPr>
        <w:tc>
          <w:tcPr>
            <w:tcW w:w="2987" w:type="dxa"/>
            <w:tcBorders>
              <w:top w:val="nil"/>
              <w:left w:val="single" w:sz="8" w:space="0" w:color="auto"/>
              <w:bottom w:val="nil"/>
              <w:right w:val="nil"/>
            </w:tcBorders>
            <w:vAlign w:val="center"/>
            <w:hideMark/>
          </w:tcPr>
          <w:p w14:paraId="6F557F25" w14:textId="71306358" w:rsidR="001D4790" w:rsidRPr="00634844" w:rsidRDefault="001D4790" w:rsidP="001D4790">
            <w:pPr>
              <w:rPr>
                <w:rFonts w:ascii="Arial" w:hAnsi="Arial" w:cs="Arial"/>
                <w:color w:val="000000"/>
              </w:rPr>
            </w:pPr>
            <w:r w:rsidRPr="00634844">
              <w:rPr>
                <w:rFonts w:ascii="Arial" w:hAnsi="Arial" w:cs="Arial"/>
                <w:color w:val="000000"/>
              </w:rPr>
              <w:t>Constabulary Non-Devolved Budgets</w:t>
            </w:r>
          </w:p>
        </w:tc>
        <w:tc>
          <w:tcPr>
            <w:tcW w:w="2361" w:type="dxa"/>
            <w:tcBorders>
              <w:top w:val="nil"/>
              <w:left w:val="nil"/>
              <w:bottom w:val="nil"/>
              <w:right w:val="nil"/>
            </w:tcBorders>
            <w:shd w:val="clear" w:color="000000" w:fill="CCCCCC"/>
            <w:vAlign w:val="center"/>
            <w:hideMark/>
          </w:tcPr>
          <w:p w14:paraId="3DFBAC65" w14:textId="6CE58300" w:rsidR="001D4790" w:rsidRPr="00634844" w:rsidRDefault="001D4790" w:rsidP="001D4790">
            <w:pPr>
              <w:jc w:val="right"/>
              <w:rPr>
                <w:rFonts w:ascii="Arial" w:hAnsi="Arial" w:cs="Arial"/>
                <w:b/>
                <w:bCs/>
                <w:color w:val="000000"/>
              </w:rPr>
            </w:pPr>
            <w:r>
              <w:rPr>
                <w:rFonts w:ascii="Arial" w:hAnsi="Arial" w:cs="Arial"/>
                <w:b/>
                <w:bCs/>
                <w:color w:val="000000"/>
              </w:rPr>
              <w:t>7,550</w:t>
            </w:r>
          </w:p>
        </w:tc>
        <w:tc>
          <w:tcPr>
            <w:tcW w:w="2709" w:type="dxa"/>
            <w:tcBorders>
              <w:top w:val="nil"/>
              <w:left w:val="nil"/>
              <w:bottom w:val="nil"/>
              <w:right w:val="nil"/>
            </w:tcBorders>
            <w:shd w:val="clear" w:color="000000" w:fill="CCCCCC"/>
            <w:vAlign w:val="center"/>
            <w:hideMark/>
          </w:tcPr>
          <w:p w14:paraId="7B118591" w14:textId="0B737ABF" w:rsidR="001D4790" w:rsidRPr="00634844" w:rsidRDefault="001D4790" w:rsidP="001D4790">
            <w:pPr>
              <w:jc w:val="right"/>
              <w:rPr>
                <w:rFonts w:ascii="Arial" w:hAnsi="Arial" w:cs="Arial"/>
                <w:b/>
                <w:bCs/>
                <w:color w:val="000000"/>
              </w:rPr>
            </w:pPr>
            <w:r>
              <w:rPr>
                <w:rFonts w:ascii="Arial" w:hAnsi="Arial" w:cs="Arial"/>
                <w:b/>
                <w:bCs/>
                <w:color w:val="000000"/>
              </w:rPr>
              <w:t>54,692</w:t>
            </w:r>
          </w:p>
        </w:tc>
        <w:tc>
          <w:tcPr>
            <w:tcW w:w="2382" w:type="dxa"/>
            <w:tcBorders>
              <w:top w:val="nil"/>
              <w:left w:val="nil"/>
              <w:bottom w:val="nil"/>
              <w:right w:val="nil"/>
            </w:tcBorders>
            <w:shd w:val="clear" w:color="000000" w:fill="CCCCCC"/>
            <w:vAlign w:val="center"/>
            <w:hideMark/>
          </w:tcPr>
          <w:p w14:paraId="6A3DF493" w14:textId="5EA6B4A3" w:rsidR="001D4790" w:rsidRPr="00634844" w:rsidRDefault="001D4790" w:rsidP="001D4790">
            <w:pPr>
              <w:jc w:val="right"/>
              <w:rPr>
                <w:rFonts w:ascii="Arial" w:hAnsi="Arial" w:cs="Arial"/>
                <w:b/>
                <w:bCs/>
                <w:color w:val="000000"/>
              </w:rPr>
            </w:pPr>
            <w:r>
              <w:rPr>
                <w:rFonts w:ascii="Arial" w:hAnsi="Arial" w:cs="Arial"/>
                <w:b/>
                <w:bCs/>
                <w:color w:val="000000"/>
              </w:rPr>
              <w:t>62,242</w:t>
            </w:r>
          </w:p>
        </w:tc>
        <w:tc>
          <w:tcPr>
            <w:tcW w:w="2448" w:type="dxa"/>
            <w:tcBorders>
              <w:top w:val="nil"/>
              <w:left w:val="nil"/>
              <w:bottom w:val="nil"/>
              <w:right w:val="nil"/>
            </w:tcBorders>
            <w:shd w:val="clear" w:color="000000" w:fill="CCCCCC"/>
            <w:vAlign w:val="center"/>
            <w:hideMark/>
          </w:tcPr>
          <w:p w14:paraId="65DC90A1" w14:textId="34C7B1C3" w:rsidR="001D4790" w:rsidRPr="00634844" w:rsidRDefault="001D4790" w:rsidP="001D4790">
            <w:pPr>
              <w:jc w:val="right"/>
              <w:rPr>
                <w:rFonts w:ascii="Arial" w:hAnsi="Arial" w:cs="Arial"/>
                <w:b/>
                <w:bCs/>
                <w:color w:val="000000"/>
              </w:rPr>
            </w:pPr>
            <w:r>
              <w:rPr>
                <w:rFonts w:ascii="Arial" w:hAnsi="Arial" w:cs="Arial"/>
                <w:b/>
                <w:bCs/>
                <w:color w:val="000000"/>
              </w:rPr>
              <w:t>(55,828)</w:t>
            </w:r>
          </w:p>
        </w:tc>
        <w:tc>
          <w:tcPr>
            <w:tcW w:w="2706" w:type="dxa"/>
            <w:tcBorders>
              <w:top w:val="nil"/>
              <w:left w:val="nil"/>
              <w:bottom w:val="nil"/>
              <w:right w:val="single" w:sz="8" w:space="0" w:color="auto"/>
            </w:tcBorders>
            <w:shd w:val="clear" w:color="000000" w:fill="CCCCCC"/>
            <w:vAlign w:val="center"/>
            <w:hideMark/>
          </w:tcPr>
          <w:p w14:paraId="59A55989" w14:textId="228D2AAC" w:rsidR="001D4790" w:rsidRPr="00634844" w:rsidRDefault="001D4790" w:rsidP="001D4790">
            <w:pPr>
              <w:jc w:val="right"/>
              <w:rPr>
                <w:rFonts w:ascii="Arial" w:hAnsi="Arial" w:cs="Arial"/>
                <w:b/>
                <w:bCs/>
                <w:color w:val="000000"/>
              </w:rPr>
            </w:pPr>
            <w:r>
              <w:rPr>
                <w:rFonts w:ascii="Arial" w:hAnsi="Arial" w:cs="Arial"/>
                <w:b/>
                <w:bCs/>
                <w:color w:val="000000"/>
              </w:rPr>
              <w:t>6,414</w:t>
            </w:r>
          </w:p>
        </w:tc>
      </w:tr>
      <w:tr w:rsidR="001D4790" w:rsidRPr="00634844" w14:paraId="1A93AA9A" w14:textId="77777777" w:rsidTr="00494EE0">
        <w:trPr>
          <w:trHeight w:val="300"/>
        </w:trPr>
        <w:tc>
          <w:tcPr>
            <w:tcW w:w="2987" w:type="dxa"/>
            <w:tcBorders>
              <w:top w:val="nil"/>
              <w:left w:val="single" w:sz="8" w:space="0" w:color="auto"/>
              <w:bottom w:val="nil"/>
              <w:right w:val="nil"/>
            </w:tcBorders>
            <w:vAlign w:val="center"/>
            <w:hideMark/>
          </w:tcPr>
          <w:p w14:paraId="4AFDE4A2" w14:textId="2F3B1E22" w:rsidR="001D4790" w:rsidRPr="00634844" w:rsidRDefault="001D4790" w:rsidP="001D4790">
            <w:pPr>
              <w:rPr>
                <w:rFonts w:ascii="Arial" w:hAnsi="Arial" w:cs="Arial"/>
                <w:b/>
                <w:bCs/>
                <w:color w:val="000000"/>
              </w:rPr>
            </w:pPr>
            <w:r w:rsidRPr="00634844">
              <w:rPr>
                <w:rFonts w:ascii="Arial" w:hAnsi="Arial" w:cs="Arial"/>
                <w:b/>
                <w:bCs/>
                <w:color w:val="000000"/>
              </w:rPr>
              <w:t>PCC:</w:t>
            </w:r>
          </w:p>
        </w:tc>
        <w:tc>
          <w:tcPr>
            <w:tcW w:w="2361" w:type="dxa"/>
            <w:tcBorders>
              <w:top w:val="nil"/>
              <w:left w:val="nil"/>
              <w:bottom w:val="nil"/>
              <w:right w:val="nil"/>
            </w:tcBorders>
            <w:shd w:val="clear" w:color="000000" w:fill="CCCCCC"/>
            <w:vAlign w:val="center"/>
            <w:hideMark/>
          </w:tcPr>
          <w:p w14:paraId="0938E868" w14:textId="6212A353"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9" w:type="dxa"/>
            <w:tcBorders>
              <w:top w:val="nil"/>
              <w:left w:val="nil"/>
              <w:bottom w:val="nil"/>
              <w:right w:val="nil"/>
            </w:tcBorders>
            <w:shd w:val="clear" w:color="000000" w:fill="CCCCCC"/>
            <w:vAlign w:val="center"/>
            <w:hideMark/>
          </w:tcPr>
          <w:p w14:paraId="6738912E" w14:textId="15735377"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382" w:type="dxa"/>
            <w:tcBorders>
              <w:top w:val="nil"/>
              <w:left w:val="nil"/>
              <w:bottom w:val="nil"/>
              <w:right w:val="nil"/>
            </w:tcBorders>
            <w:shd w:val="clear" w:color="000000" w:fill="CCCCCC"/>
            <w:vAlign w:val="center"/>
            <w:hideMark/>
          </w:tcPr>
          <w:p w14:paraId="002682C8" w14:textId="660354ED"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448" w:type="dxa"/>
            <w:tcBorders>
              <w:top w:val="nil"/>
              <w:left w:val="nil"/>
              <w:bottom w:val="nil"/>
              <w:right w:val="nil"/>
            </w:tcBorders>
            <w:shd w:val="clear" w:color="000000" w:fill="CCCCCC"/>
            <w:vAlign w:val="center"/>
            <w:hideMark/>
          </w:tcPr>
          <w:p w14:paraId="6073E9CD" w14:textId="6460103A"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6" w:type="dxa"/>
            <w:tcBorders>
              <w:top w:val="nil"/>
              <w:left w:val="nil"/>
              <w:bottom w:val="nil"/>
              <w:right w:val="single" w:sz="8" w:space="0" w:color="auto"/>
            </w:tcBorders>
            <w:shd w:val="clear" w:color="000000" w:fill="CCCCCC"/>
            <w:vAlign w:val="center"/>
            <w:hideMark/>
          </w:tcPr>
          <w:p w14:paraId="59DD51B0" w14:textId="53648428" w:rsidR="001D4790" w:rsidRPr="00634844" w:rsidRDefault="001D4790" w:rsidP="001D4790">
            <w:pPr>
              <w:jc w:val="right"/>
              <w:rPr>
                <w:rFonts w:ascii="Arial" w:hAnsi="Arial" w:cs="Arial"/>
                <w:b/>
                <w:bCs/>
                <w:color w:val="000000"/>
              </w:rPr>
            </w:pPr>
            <w:r>
              <w:rPr>
                <w:rFonts w:ascii="Arial" w:hAnsi="Arial" w:cs="Arial"/>
                <w:b/>
                <w:bCs/>
                <w:color w:val="000000"/>
              </w:rPr>
              <w:t>0</w:t>
            </w:r>
          </w:p>
        </w:tc>
      </w:tr>
      <w:tr w:rsidR="001D4790" w:rsidRPr="00634844" w14:paraId="5275C7C0" w14:textId="77777777" w:rsidTr="00494EE0">
        <w:trPr>
          <w:trHeight w:val="300"/>
        </w:trPr>
        <w:tc>
          <w:tcPr>
            <w:tcW w:w="2987" w:type="dxa"/>
            <w:tcBorders>
              <w:top w:val="nil"/>
              <w:left w:val="single" w:sz="8" w:space="0" w:color="auto"/>
              <w:bottom w:val="nil"/>
              <w:right w:val="nil"/>
            </w:tcBorders>
            <w:vAlign w:val="center"/>
            <w:hideMark/>
          </w:tcPr>
          <w:p w14:paraId="2E048B5F" w14:textId="39D9B603" w:rsidR="001D4790" w:rsidRPr="00634844" w:rsidRDefault="001D4790" w:rsidP="001D4790">
            <w:pPr>
              <w:rPr>
                <w:rFonts w:ascii="Arial" w:hAnsi="Arial" w:cs="Arial"/>
                <w:color w:val="000000"/>
              </w:rPr>
            </w:pPr>
            <w:r w:rsidRPr="00634844">
              <w:rPr>
                <w:rFonts w:ascii="Arial" w:hAnsi="Arial" w:cs="Arial"/>
                <w:color w:val="000000"/>
              </w:rPr>
              <w:t>Office of the PCC</w:t>
            </w:r>
          </w:p>
        </w:tc>
        <w:tc>
          <w:tcPr>
            <w:tcW w:w="2361" w:type="dxa"/>
            <w:tcBorders>
              <w:top w:val="nil"/>
              <w:left w:val="nil"/>
              <w:bottom w:val="nil"/>
              <w:right w:val="nil"/>
            </w:tcBorders>
            <w:shd w:val="clear" w:color="000000" w:fill="CCCCCC"/>
            <w:vAlign w:val="center"/>
            <w:hideMark/>
          </w:tcPr>
          <w:p w14:paraId="7F63828A" w14:textId="68352C40" w:rsidR="001D4790" w:rsidRPr="00634844" w:rsidRDefault="001D4790" w:rsidP="001D4790">
            <w:pPr>
              <w:jc w:val="right"/>
              <w:rPr>
                <w:rFonts w:ascii="Arial" w:hAnsi="Arial" w:cs="Arial"/>
                <w:b/>
                <w:bCs/>
                <w:color w:val="000000"/>
              </w:rPr>
            </w:pPr>
            <w:r>
              <w:rPr>
                <w:rFonts w:ascii="Arial" w:hAnsi="Arial" w:cs="Arial"/>
                <w:b/>
                <w:bCs/>
                <w:color w:val="000000"/>
              </w:rPr>
              <w:t>1,721</w:t>
            </w:r>
          </w:p>
        </w:tc>
        <w:tc>
          <w:tcPr>
            <w:tcW w:w="2709" w:type="dxa"/>
            <w:tcBorders>
              <w:top w:val="nil"/>
              <w:left w:val="nil"/>
              <w:bottom w:val="nil"/>
              <w:right w:val="nil"/>
            </w:tcBorders>
            <w:shd w:val="clear" w:color="000000" w:fill="CCCCCC"/>
            <w:vAlign w:val="center"/>
            <w:hideMark/>
          </w:tcPr>
          <w:p w14:paraId="2793EFD4" w14:textId="32496E36" w:rsidR="001D4790" w:rsidRPr="00634844" w:rsidRDefault="001D4790" w:rsidP="001D4790">
            <w:pPr>
              <w:jc w:val="right"/>
              <w:rPr>
                <w:rFonts w:ascii="Arial" w:hAnsi="Arial" w:cs="Arial"/>
                <w:b/>
                <w:bCs/>
                <w:color w:val="000000"/>
              </w:rPr>
            </w:pPr>
            <w:r>
              <w:rPr>
                <w:rFonts w:ascii="Arial" w:hAnsi="Arial" w:cs="Arial"/>
                <w:b/>
                <w:bCs/>
                <w:color w:val="000000"/>
              </w:rPr>
              <w:t>(9)</w:t>
            </w:r>
          </w:p>
        </w:tc>
        <w:tc>
          <w:tcPr>
            <w:tcW w:w="2382" w:type="dxa"/>
            <w:tcBorders>
              <w:top w:val="nil"/>
              <w:left w:val="nil"/>
              <w:bottom w:val="nil"/>
              <w:right w:val="nil"/>
            </w:tcBorders>
            <w:shd w:val="clear" w:color="000000" w:fill="CCCCCC"/>
            <w:vAlign w:val="center"/>
            <w:hideMark/>
          </w:tcPr>
          <w:p w14:paraId="7164700E" w14:textId="51F2BE73" w:rsidR="001D4790" w:rsidRPr="00634844" w:rsidRDefault="001D4790" w:rsidP="001D4790">
            <w:pPr>
              <w:jc w:val="right"/>
              <w:rPr>
                <w:rFonts w:ascii="Arial" w:hAnsi="Arial" w:cs="Arial"/>
                <w:b/>
                <w:bCs/>
                <w:color w:val="000000"/>
              </w:rPr>
            </w:pPr>
            <w:r>
              <w:rPr>
                <w:rFonts w:ascii="Arial" w:hAnsi="Arial" w:cs="Arial"/>
                <w:b/>
                <w:bCs/>
                <w:color w:val="000000"/>
              </w:rPr>
              <w:t>1,712</w:t>
            </w:r>
          </w:p>
        </w:tc>
        <w:tc>
          <w:tcPr>
            <w:tcW w:w="2448" w:type="dxa"/>
            <w:tcBorders>
              <w:top w:val="nil"/>
              <w:left w:val="nil"/>
              <w:bottom w:val="nil"/>
              <w:right w:val="nil"/>
            </w:tcBorders>
            <w:shd w:val="clear" w:color="000000" w:fill="CCCCCC"/>
            <w:vAlign w:val="center"/>
            <w:hideMark/>
          </w:tcPr>
          <w:p w14:paraId="352BB356" w14:textId="3E5D736E" w:rsidR="001D4790" w:rsidRPr="00634844" w:rsidRDefault="001D4790" w:rsidP="001D4790">
            <w:pPr>
              <w:jc w:val="right"/>
              <w:rPr>
                <w:rFonts w:ascii="Arial" w:hAnsi="Arial" w:cs="Arial"/>
                <w:b/>
                <w:bCs/>
                <w:color w:val="000000"/>
              </w:rPr>
            </w:pPr>
            <w:r>
              <w:rPr>
                <w:rFonts w:ascii="Arial" w:hAnsi="Arial" w:cs="Arial"/>
                <w:b/>
                <w:bCs/>
                <w:color w:val="000000"/>
              </w:rPr>
              <w:t>39</w:t>
            </w:r>
          </w:p>
        </w:tc>
        <w:tc>
          <w:tcPr>
            <w:tcW w:w="2706" w:type="dxa"/>
            <w:tcBorders>
              <w:top w:val="nil"/>
              <w:left w:val="nil"/>
              <w:bottom w:val="nil"/>
              <w:right w:val="single" w:sz="8" w:space="0" w:color="auto"/>
            </w:tcBorders>
            <w:shd w:val="clear" w:color="000000" w:fill="CCCCCC"/>
            <w:vAlign w:val="center"/>
            <w:hideMark/>
          </w:tcPr>
          <w:p w14:paraId="688BB398" w14:textId="10E8BF76" w:rsidR="001D4790" w:rsidRPr="00634844" w:rsidRDefault="001D4790" w:rsidP="001D4790">
            <w:pPr>
              <w:jc w:val="right"/>
              <w:rPr>
                <w:rFonts w:ascii="Arial" w:hAnsi="Arial" w:cs="Arial"/>
                <w:b/>
                <w:bCs/>
                <w:color w:val="000000"/>
              </w:rPr>
            </w:pPr>
            <w:r>
              <w:rPr>
                <w:rFonts w:ascii="Arial" w:hAnsi="Arial" w:cs="Arial"/>
                <w:b/>
                <w:bCs/>
                <w:color w:val="000000"/>
              </w:rPr>
              <w:t>1,751</w:t>
            </w:r>
          </w:p>
        </w:tc>
      </w:tr>
      <w:tr w:rsidR="001D4790" w:rsidRPr="00634844" w14:paraId="61DA521B" w14:textId="77777777" w:rsidTr="00494EE0">
        <w:trPr>
          <w:trHeight w:val="300"/>
        </w:trPr>
        <w:tc>
          <w:tcPr>
            <w:tcW w:w="2987" w:type="dxa"/>
            <w:tcBorders>
              <w:top w:val="nil"/>
              <w:left w:val="single" w:sz="8" w:space="0" w:color="auto"/>
              <w:bottom w:val="nil"/>
              <w:right w:val="nil"/>
            </w:tcBorders>
            <w:vAlign w:val="center"/>
            <w:hideMark/>
          </w:tcPr>
          <w:p w14:paraId="0B7D026B" w14:textId="1BF39188" w:rsidR="001D4790" w:rsidRPr="00634844" w:rsidRDefault="0081765F" w:rsidP="001D4790">
            <w:pPr>
              <w:rPr>
                <w:rFonts w:ascii="Arial" w:hAnsi="Arial" w:cs="Arial"/>
                <w:color w:val="000000"/>
              </w:rPr>
            </w:pPr>
            <w:r>
              <w:rPr>
                <w:rFonts w:ascii="Arial" w:hAnsi="Arial" w:cs="Arial"/>
                <w:color w:val="000000"/>
              </w:rPr>
              <w:t>Prevention</w:t>
            </w:r>
          </w:p>
        </w:tc>
        <w:tc>
          <w:tcPr>
            <w:tcW w:w="2361" w:type="dxa"/>
            <w:tcBorders>
              <w:top w:val="nil"/>
              <w:left w:val="nil"/>
              <w:bottom w:val="nil"/>
              <w:right w:val="nil"/>
            </w:tcBorders>
            <w:shd w:val="clear" w:color="000000" w:fill="CCCCCC"/>
            <w:vAlign w:val="center"/>
            <w:hideMark/>
          </w:tcPr>
          <w:p w14:paraId="55D28B67" w14:textId="12D86502" w:rsidR="001D4790" w:rsidRPr="00634844" w:rsidRDefault="001D4790" w:rsidP="001D4790">
            <w:pPr>
              <w:jc w:val="right"/>
              <w:rPr>
                <w:rFonts w:ascii="Arial" w:hAnsi="Arial" w:cs="Arial"/>
                <w:b/>
                <w:bCs/>
                <w:color w:val="000000"/>
              </w:rPr>
            </w:pPr>
            <w:r>
              <w:rPr>
                <w:rFonts w:ascii="Arial" w:hAnsi="Arial" w:cs="Arial"/>
                <w:b/>
                <w:bCs/>
                <w:color w:val="000000"/>
              </w:rPr>
              <w:t>779</w:t>
            </w:r>
          </w:p>
        </w:tc>
        <w:tc>
          <w:tcPr>
            <w:tcW w:w="2709" w:type="dxa"/>
            <w:tcBorders>
              <w:top w:val="nil"/>
              <w:left w:val="nil"/>
              <w:bottom w:val="nil"/>
              <w:right w:val="nil"/>
            </w:tcBorders>
            <w:shd w:val="clear" w:color="000000" w:fill="CCCCCC"/>
            <w:vAlign w:val="center"/>
            <w:hideMark/>
          </w:tcPr>
          <w:p w14:paraId="093AC1AB" w14:textId="47AA5987" w:rsidR="001D4790" w:rsidRPr="00634844" w:rsidRDefault="001D4790" w:rsidP="001D4790">
            <w:pPr>
              <w:jc w:val="right"/>
              <w:rPr>
                <w:rFonts w:ascii="Arial" w:hAnsi="Arial" w:cs="Arial"/>
                <w:b/>
                <w:bCs/>
                <w:color w:val="000000"/>
              </w:rPr>
            </w:pPr>
            <w:r>
              <w:rPr>
                <w:rFonts w:ascii="Arial" w:hAnsi="Arial" w:cs="Arial"/>
                <w:b/>
                <w:bCs/>
                <w:color w:val="000000"/>
              </w:rPr>
              <w:t>(180)</w:t>
            </w:r>
          </w:p>
        </w:tc>
        <w:tc>
          <w:tcPr>
            <w:tcW w:w="2382" w:type="dxa"/>
            <w:tcBorders>
              <w:top w:val="nil"/>
              <w:left w:val="nil"/>
              <w:bottom w:val="nil"/>
              <w:right w:val="nil"/>
            </w:tcBorders>
            <w:shd w:val="clear" w:color="000000" w:fill="CCCCCC"/>
            <w:vAlign w:val="center"/>
            <w:hideMark/>
          </w:tcPr>
          <w:p w14:paraId="2E246908" w14:textId="4CB72AC2" w:rsidR="001D4790" w:rsidRPr="00634844" w:rsidRDefault="001D4790" w:rsidP="001D4790">
            <w:pPr>
              <w:jc w:val="right"/>
              <w:rPr>
                <w:rFonts w:ascii="Arial" w:hAnsi="Arial" w:cs="Arial"/>
                <w:b/>
                <w:bCs/>
                <w:color w:val="000000"/>
              </w:rPr>
            </w:pPr>
            <w:r>
              <w:rPr>
                <w:rFonts w:ascii="Arial" w:hAnsi="Arial" w:cs="Arial"/>
                <w:b/>
                <w:bCs/>
                <w:color w:val="000000"/>
              </w:rPr>
              <w:t>599</w:t>
            </w:r>
          </w:p>
        </w:tc>
        <w:tc>
          <w:tcPr>
            <w:tcW w:w="2448" w:type="dxa"/>
            <w:tcBorders>
              <w:top w:val="nil"/>
              <w:left w:val="nil"/>
              <w:bottom w:val="nil"/>
              <w:right w:val="nil"/>
            </w:tcBorders>
            <w:shd w:val="clear" w:color="000000" w:fill="CCCCCC"/>
            <w:vAlign w:val="center"/>
            <w:hideMark/>
          </w:tcPr>
          <w:p w14:paraId="45DE1C51" w14:textId="7F9D9A8A"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6" w:type="dxa"/>
            <w:tcBorders>
              <w:top w:val="nil"/>
              <w:left w:val="nil"/>
              <w:bottom w:val="nil"/>
              <w:right w:val="single" w:sz="8" w:space="0" w:color="auto"/>
            </w:tcBorders>
            <w:shd w:val="clear" w:color="000000" w:fill="CCCCCC"/>
            <w:vAlign w:val="center"/>
            <w:hideMark/>
          </w:tcPr>
          <w:p w14:paraId="74F1230B" w14:textId="6AF88535" w:rsidR="001D4790" w:rsidRPr="00634844" w:rsidRDefault="001D4790" w:rsidP="001D4790">
            <w:pPr>
              <w:jc w:val="right"/>
              <w:rPr>
                <w:rFonts w:ascii="Arial" w:hAnsi="Arial" w:cs="Arial"/>
                <w:b/>
                <w:bCs/>
                <w:color w:val="000000"/>
              </w:rPr>
            </w:pPr>
            <w:r>
              <w:rPr>
                <w:rFonts w:ascii="Arial" w:hAnsi="Arial" w:cs="Arial"/>
                <w:b/>
                <w:bCs/>
                <w:color w:val="000000"/>
              </w:rPr>
              <w:t>599</w:t>
            </w:r>
          </w:p>
        </w:tc>
      </w:tr>
      <w:tr w:rsidR="001D4790" w:rsidRPr="00634844" w14:paraId="1E215721" w14:textId="77777777" w:rsidTr="00494EE0">
        <w:trPr>
          <w:trHeight w:val="300"/>
        </w:trPr>
        <w:tc>
          <w:tcPr>
            <w:tcW w:w="2987" w:type="dxa"/>
            <w:tcBorders>
              <w:top w:val="nil"/>
              <w:left w:val="single" w:sz="8" w:space="0" w:color="auto"/>
              <w:bottom w:val="nil"/>
              <w:right w:val="nil"/>
            </w:tcBorders>
            <w:vAlign w:val="center"/>
            <w:hideMark/>
          </w:tcPr>
          <w:p w14:paraId="0F8CD26B" w14:textId="1E64462C" w:rsidR="001D4790" w:rsidRPr="00634844" w:rsidRDefault="001D4790" w:rsidP="001D4790">
            <w:pPr>
              <w:rPr>
                <w:rFonts w:ascii="Arial" w:hAnsi="Arial" w:cs="Arial"/>
                <w:color w:val="000000"/>
              </w:rPr>
            </w:pPr>
            <w:r w:rsidRPr="00634844">
              <w:rPr>
                <w:rFonts w:ascii="Arial" w:hAnsi="Arial" w:cs="Arial"/>
                <w:color w:val="000000"/>
              </w:rPr>
              <w:t>Victim and Domestic Abuse services</w:t>
            </w:r>
          </w:p>
        </w:tc>
        <w:tc>
          <w:tcPr>
            <w:tcW w:w="2361" w:type="dxa"/>
            <w:tcBorders>
              <w:top w:val="nil"/>
              <w:left w:val="nil"/>
              <w:bottom w:val="nil"/>
              <w:right w:val="nil"/>
            </w:tcBorders>
            <w:shd w:val="clear" w:color="000000" w:fill="CCCCCC"/>
            <w:vAlign w:val="center"/>
            <w:hideMark/>
          </w:tcPr>
          <w:p w14:paraId="287108F9" w14:textId="40302FE9" w:rsidR="001D4790" w:rsidRPr="00634844" w:rsidRDefault="001D4790" w:rsidP="001D4790">
            <w:pPr>
              <w:jc w:val="right"/>
              <w:rPr>
                <w:rFonts w:ascii="Arial" w:hAnsi="Arial" w:cs="Arial"/>
                <w:b/>
                <w:bCs/>
                <w:color w:val="000000"/>
              </w:rPr>
            </w:pPr>
            <w:r>
              <w:rPr>
                <w:rFonts w:ascii="Arial" w:hAnsi="Arial" w:cs="Arial"/>
                <w:b/>
                <w:bCs/>
                <w:color w:val="000000"/>
              </w:rPr>
              <w:t>560</w:t>
            </w:r>
          </w:p>
        </w:tc>
        <w:tc>
          <w:tcPr>
            <w:tcW w:w="2709" w:type="dxa"/>
            <w:tcBorders>
              <w:top w:val="nil"/>
              <w:left w:val="nil"/>
              <w:bottom w:val="nil"/>
              <w:right w:val="nil"/>
            </w:tcBorders>
            <w:shd w:val="clear" w:color="000000" w:fill="CCCCCC"/>
            <w:vAlign w:val="center"/>
            <w:hideMark/>
          </w:tcPr>
          <w:p w14:paraId="1371F17B" w14:textId="18E64694" w:rsidR="001D4790" w:rsidRPr="00634844" w:rsidRDefault="001D4790" w:rsidP="001D4790">
            <w:pPr>
              <w:jc w:val="right"/>
              <w:rPr>
                <w:rFonts w:ascii="Arial" w:hAnsi="Arial" w:cs="Arial"/>
                <w:b/>
                <w:bCs/>
                <w:color w:val="000000"/>
              </w:rPr>
            </w:pPr>
            <w:r>
              <w:rPr>
                <w:rFonts w:ascii="Arial" w:hAnsi="Arial" w:cs="Arial"/>
                <w:b/>
                <w:bCs/>
                <w:color w:val="000000"/>
              </w:rPr>
              <w:t>(160)</w:t>
            </w:r>
          </w:p>
        </w:tc>
        <w:tc>
          <w:tcPr>
            <w:tcW w:w="2382" w:type="dxa"/>
            <w:tcBorders>
              <w:top w:val="nil"/>
              <w:left w:val="nil"/>
              <w:bottom w:val="nil"/>
              <w:right w:val="nil"/>
            </w:tcBorders>
            <w:shd w:val="clear" w:color="000000" w:fill="CCCCCC"/>
            <w:vAlign w:val="center"/>
            <w:hideMark/>
          </w:tcPr>
          <w:p w14:paraId="1549B7EE" w14:textId="701B073B" w:rsidR="001D4790" w:rsidRPr="00634844" w:rsidRDefault="001D4790" w:rsidP="001D4790">
            <w:pPr>
              <w:jc w:val="right"/>
              <w:rPr>
                <w:rFonts w:ascii="Arial" w:hAnsi="Arial" w:cs="Arial"/>
                <w:b/>
                <w:bCs/>
                <w:color w:val="000000"/>
              </w:rPr>
            </w:pPr>
            <w:r>
              <w:rPr>
                <w:rFonts w:ascii="Arial" w:hAnsi="Arial" w:cs="Arial"/>
                <w:b/>
                <w:bCs/>
                <w:color w:val="000000"/>
              </w:rPr>
              <w:t>400</w:t>
            </w:r>
          </w:p>
        </w:tc>
        <w:tc>
          <w:tcPr>
            <w:tcW w:w="2448" w:type="dxa"/>
            <w:tcBorders>
              <w:top w:val="nil"/>
              <w:left w:val="nil"/>
              <w:bottom w:val="nil"/>
              <w:right w:val="nil"/>
            </w:tcBorders>
            <w:shd w:val="clear" w:color="000000" w:fill="CCCCCC"/>
            <w:vAlign w:val="center"/>
            <w:hideMark/>
          </w:tcPr>
          <w:p w14:paraId="4821DA6F" w14:textId="6134069D" w:rsidR="001D4790" w:rsidRPr="00634844" w:rsidRDefault="001D4790" w:rsidP="001D4790">
            <w:pPr>
              <w:jc w:val="right"/>
              <w:rPr>
                <w:rFonts w:ascii="Arial" w:hAnsi="Arial" w:cs="Arial"/>
                <w:b/>
                <w:bCs/>
                <w:color w:val="000000"/>
              </w:rPr>
            </w:pPr>
            <w:r>
              <w:rPr>
                <w:rFonts w:ascii="Arial" w:hAnsi="Arial" w:cs="Arial"/>
                <w:b/>
                <w:bCs/>
                <w:color w:val="000000"/>
              </w:rPr>
              <w:t>5</w:t>
            </w:r>
          </w:p>
        </w:tc>
        <w:tc>
          <w:tcPr>
            <w:tcW w:w="2706" w:type="dxa"/>
            <w:tcBorders>
              <w:top w:val="nil"/>
              <w:left w:val="nil"/>
              <w:bottom w:val="nil"/>
              <w:right w:val="single" w:sz="8" w:space="0" w:color="auto"/>
            </w:tcBorders>
            <w:shd w:val="clear" w:color="000000" w:fill="CCCCCC"/>
            <w:vAlign w:val="center"/>
            <w:hideMark/>
          </w:tcPr>
          <w:p w14:paraId="55C5BE46" w14:textId="158C6F47" w:rsidR="001D4790" w:rsidRPr="00634844" w:rsidRDefault="001D4790" w:rsidP="001D4790">
            <w:pPr>
              <w:jc w:val="right"/>
              <w:rPr>
                <w:rFonts w:ascii="Arial" w:hAnsi="Arial" w:cs="Arial"/>
                <w:b/>
                <w:bCs/>
                <w:color w:val="000000"/>
              </w:rPr>
            </w:pPr>
            <w:r>
              <w:rPr>
                <w:rFonts w:ascii="Arial" w:hAnsi="Arial" w:cs="Arial"/>
                <w:b/>
                <w:bCs/>
                <w:color w:val="000000"/>
              </w:rPr>
              <w:t>404</w:t>
            </w:r>
          </w:p>
        </w:tc>
      </w:tr>
      <w:tr w:rsidR="001D4790" w:rsidRPr="00634844" w14:paraId="1B30C05A" w14:textId="77777777" w:rsidTr="00494EE0">
        <w:trPr>
          <w:trHeight w:val="300"/>
        </w:trPr>
        <w:tc>
          <w:tcPr>
            <w:tcW w:w="2987" w:type="dxa"/>
            <w:tcBorders>
              <w:top w:val="nil"/>
              <w:left w:val="single" w:sz="8" w:space="0" w:color="auto"/>
              <w:bottom w:val="nil"/>
              <w:right w:val="nil"/>
            </w:tcBorders>
            <w:vAlign w:val="center"/>
            <w:hideMark/>
          </w:tcPr>
          <w:p w14:paraId="00183C59" w14:textId="05405028" w:rsidR="001D4790" w:rsidRPr="00634844" w:rsidRDefault="001D4790" w:rsidP="001D4790">
            <w:pPr>
              <w:rPr>
                <w:rFonts w:ascii="Arial" w:hAnsi="Arial" w:cs="Arial"/>
                <w:color w:val="000000"/>
              </w:rPr>
            </w:pPr>
            <w:r w:rsidRPr="00634844">
              <w:rPr>
                <w:rFonts w:ascii="Arial" w:hAnsi="Arial" w:cs="Arial"/>
                <w:color w:val="000000"/>
              </w:rPr>
              <w:t>PCC Non-Devolved Budgets</w:t>
            </w:r>
          </w:p>
        </w:tc>
        <w:tc>
          <w:tcPr>
            <w:tcW w:w="2361" w:type="dxa"/>
            <w:tcBorders>
              <w:top w:val="nil"/>
              <w:left w:val="nil"/>
              <w:bottom w:val="nil"/>
              <w:right w:val="nil"/>
            </w:tcBorders>
            <w:shd w:val="clear" w:color="000000" w:fill="CCCCCC"/>
            <w:vAlign w:val="center"/>
            <w:hideMark/>
          </w:tcPr>
          <w:p w14:paraId="3CCFCE04" w14:textId="555E3778" w:rsidR="001D4790" w:rsidRPr="00634844" w:rsidRDefault="001D4790" w:rsidP="001D4790">
            <w:pPr>
              <w:jc w:val="right"/>
              <w:rPr>
                <w:rFonts w:ascii="Arial" w:hAnsi="Arial" w:cs="Arial"/>
                <w:b/>
                <w:bCs/>
                <w:color w:val="000000"/>
              </w:rPr>
            </w:pPr>
            <w:r>
              <w:rPr>
                <w:rFonts w:ascii="Arial" w:hAnsi="Arial" w:cs="Arial"/>
                <w:b/>
                <w:bCs/>
                <w:color w:val="000000"/>
              </w:rPr>
              <w:t>9,603</w:t>
            </w:r>
          </w:p>
        </w:tc>
        <w:tc>
          <w:tcPr>
            <w:tcW w:w="2709" w:type="dxa"/>
            <w:tcBorders>
              <w:top w:val="nil"/>
              <w:left w:val="nil"/>
              <w:bottom w:val="nil"/>
              <w:right w:val="nil"/>
            </w:tcBorders>
            <w:shd w:val="clear" w:color="000000" w:fill="CCCCCC"/>
            <w:vAlign w:val="center"/>
            <w:hideMark/>
          </w:tcPr>
          <w:p w14:paraId="0B1F4553" w14:textId="27692529" w:rsidR="001D4790" w:rsidRPr="00634844" w:rsidRDefault="001D4790" w:rsidP="001D4790">
            <w:pPr>
              <w:jc w:val="right"/>
              <w:rPr>
                <w:rFonts w:ascii="Arial" w:hAnsi="Arial" w:cs="Arial"/>
                <w:b/>
                <w:bCs/>
                <w:color w:val="000000"/>
              </w:rPr>
            </w:pPr>
            <w:r>
              <w:rPr>
                <w:rFonts w:ascii="Arial" w:hAnsi="Arial" w:cs="Arial"/>
                <w:b/>
                <w:bCs/>
                <w:color w:val="000000"/>
              </w:rPr>
              <w:t>(9,603)</w:t>
            </w:r>
          </w:p>
        </w:tc>
        <w:tc>
          <w:tcPr>
            <w:tcW w:w="2382" w:type="dxa"/>
            <w:tcBorders>
              <w:top w:val="nil"/>
              <w:left w:val="nil"/>
              <w:bottom w:val="nil"/>
              <w:right w:val="nil"/>
            </w:tcBorders>
            <w:shd w:val="clear" w:color="000000" w:fill="CCCCCC"/>
            <w:vAlign w:val="center"/>
            <w:hideMark/>
          </w:tcPr>
          <w:p w14:paraId="49B34869" w14:textId="6F6033F1"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448" w:type="dxa"/>
            <w:tcBorders>
              <w:top w:val="nil"/>
              <w:left w:val="nil"/>
              <w:bottom w:val="nil"/>
              <w:right w:val="nil"/>
            </w:tcBorders>
            <w:shd w:val="clear" w:color="000000" w:fill="CCCCCC"/>
            <w:vAlign w:val="center"/>
            <w:hideMark/>
          </w:tcPr>
          <w:p w14:paraId="7DEDB404" w14:textId="486215C2" w:rsidR="001D4790" w:rsidRPr="00634844" w:rsidRDefault="001D4790" w:rsidP="001D4790">
            <w:pPr>
              <w:jc w:val="right"/>
              <w:rPr>
                <w:rFonts w:ascii="Arial" w:hAnsi="Arial" w:cs="Arial"/>
                <w:b/>
                <w:bCs/>
                <w:color w:val="000000"/>
              </w:rPr>
            </w:pPr>
            <w:r>
              <w:rPr>
                <w:rFonts w:ascii="Arial" w:hAnsi="Arial" w:cs="Arial"/>
                <w:b/>
                <w:bCs/>
                <w:color w:val="000000"/>
              </w:rPr>
              <w:t>21,580</w:t>
            </w:r>
          </w:p>
        </w:tc>
        <w:tc>
          <w:tcPr>
            <w:tcW w:w="2706" w:type="dxa"/>
            <w:tcBorders>
              <w:top w:val="nil"/>
              <w:left w:val="nil"/>
              <w:bottom w:val="nil"/>
              <w:right w:val="single" w:sz="8" w:space="0" w:color="auto"/>
            </w:tcBorders>
            <w:shd w:val="clear" w:color="000000" w:fill="CCCCCC"/>
            <w:vAlign w:val="center"/>
            <w:hideMark/>
          </w:tcPr>
          <w:p w14:paraId="231FEF6C" w14:textId="1C7D46FD" w:rsidR="001D4790" w:rsidRPr="00634844" w:rsidRDefault="001D4790" w:rsidP="001D4790">
            <w:pPr>
              <w:jc w:val="right"/>
              <w:rPr>
                <w:rFonts w:ascii="Arial" w:hAnsi="Arial" w:cs="Arial"/>
                <w:b/>
                <w:bCs/>
                <w:color w:val="000000"/>
              </w:rPr>
            </w:pPr>
            <w:r>
              <w:rPr>
                <w:rFonts w:ascii="Arial" w:hAnsi="Arial" w:cs="Arial"/>
                <w:b/>
                <w:bCs/>
                <w:color w:val="000000"/>
              </w:rPr>
              <w:t>21,580</w:t>
            </w:r>
          </w:p>
        </w:tc>
      </w:tr>
      <w:tr w:rsidR="001D4790" w:rsidRPr="00634844" w14:paraId="474CCAD2" w14:textId="77777777" w:rsidTr="00494EE0">
        <w:trPr>
          <w:trHeight w:val="300"/>
        </w:trPr>
        <w:tc>
          <w:tcPr>
            <w:tcW w:w="2987" w:type="dxa"/>
            <w:tcBorders>
              <w:top w:val="nil"/>
              <w:left w:val="single" w:sz="8" w:space="0" w:color="auto"/>
              <w:bottom w:val="nil"/>
              <w:right w:val="nil"/>
            </w:tcBorders>
            <w:vAlign w:val="center"/>
            <w:hideMark/>
          </w:tcPr>
          <w:p w14:paraId="3850066D" w14:textId="5AD387EF" w:rsidR="001D4790" w:rsidRPr="00634844" w:rsidRDefault="001D4790" w:rsidP="001D4790">
            <w:pPr>
              <w:rPr>
                <w:rFonts w:ascii="Arial" w:hAnsi="Arial" w:cs="Arial"/>
                <w:b/>
                <w:bCs/>
                <w:color w:val="000000"/>
              </w:rPr>
            </w:pPr>
            <w:r w:rsidRPr="00634844">
              <w:rPr>
                <w:rFonts w:ascii="Arial" w:hAnsi="Arial" w:cs="Arial"/>
                <w:b/>
                <w:bCs/>
                <w:color w:val="000000"/>
              </w:rPr>
              <w:t>Net Cost of Services</w:t>
            </w:r>
          </w:p>
        </w:tc>
        <w:tc>
          <w:tcPr>
            <w:tcW w:w="2361" w:type="dxa"/>
            <w:tcBorders>
              <w:top w:val="single" w:sz="8" w:space="0" w:color="auto"/>
              <w:left w:val="nil"/>
              <w:bottom w:val="nil"/>
              <w:right w:val="nil"/>
            </w:tcBorders>
            <w:shd w:val="clear" w:color="000000" w:fill="CCCCCC"/>
            <w:vAlign w:val="center"/>
            <w:hideMark/>
          </w:tcPr>
          <w:p w14:paraId="7113533E" w14:textId="154F6135" w:rsidR="001D4790" w:rsidRPr="00634844" w:rsidRDefault="001D4790" w:rsidP="001D4790">
            <w:pPr>
              <w:jc w:val="right"/>
              <w:rPr>
                <w:rFonts w:ascii="Arial" w:hAnsi="Arial" w:cs="Arial"/>
                <w:b/>
                <w:bCs/>
                <w:color w:val="000000"/>
              </w:rPr>
            </w:pPr>
            <w:r>
              <w:rPr>
                <w:rFonts w:ascii="Arial" w:hAnsi="Arial" w:cs="Arial"/>
                <w:b/>
                <w:bCs/>
                <w:color w:val="000000"/>
              </w:rPr>
              <w:t>354,972</w:t>
            </w:r>
          </w:p>
        </w:tc>
        <w:tc>
          <w:tcPr>
            <w:tcW w:w="2709" w:type="dxa"/>
            <w:tcBorders>
              <w:top w:val="single" w:sz="8" w:space="0" w:color="auto"/>
              <w:left w:val="nil"/>
              <w:bottom w:val="nil"/>
              <w:right w:val="nil"/>
            </w:tcBorders>
            <w:shd w:val="clear" w:color="000000" w:fill="CCCCCC"/>
            <w:vAlign w:val="center"/>
            <w:hideMark/>
          </w:tcPr>
          <w:p w14:paraId="0D6D74F3" w14:textId="39ADF50D" w:rsidR="001D4790" w:rsidRPr="00634844" w:rsidRDefault="001D4790" w:rsidP="001D4790">
            <w:pPr>
              <w:jc w:val="right"/>
              <w:rPr>
                <w:rFonts w:ascii="Arial" w:hAnsi="Arial" w:cs="Arial"/>
                <w:b/>
                <w:bCs/>
                <w:color w:val="000000"/>
              </w:rPr>
            </w:pPr>
            <w:r>
              <w:rPr>
                <w:rFonts w:ascii="Arial" w:hAnsi="Arial" w:cs="Arial"/>
                <w:b/>
                <w:bCs/>
                <w:color w:val="000000"/>
              </w:rPr>
              <w:t>45,065</w:t>
            </w:r>
          </w:p>
        </w:tc>
        <w:tc>
          <w:tcPr>
            <w:tcW w:w="2382" w:type="dxa"/>
            <w:tcBorders>
              <w:top w:val="single" w:sz="8" w:space="0" w:color="auto"/>
              <w:left w:val="nil"/>
              <w:bottom w:val="nil"/>
              <w:right w:val="nil"/>
            </w:tcBorders>
            <w:shd w:val="clear" w:color="000000" w:fill="CCCCCC"/>
            <w:vAlign w:val="center"/>
            <w:hideMark/>
          </w:tcPr>
          <w:p w14:paraId="3B2C58D5" w14:textId="22F92DBB" w:rsidR="001D4790" w:rsidRPr="00634844" w:rsidRDefault="001D4790" w:rsidP="001D4790">
            <w:pPr>
              <w:jc w:val="right"/>
              <w:rPr>
                <w:rFonts w:ascii="Arial" w:hAnsi="Arial" w:cs="Arial"/>
                <w:b/>
                <w:bCs/>
                <w:color w:val="000000"/>
              </w:rPr>
            </w:pPr>
            <w:r>
              <w:rPr>
                <w:rFonts w:ascii="Arial" w:hAnsi="Arial" w:cs="Arial"/>
                <w:b/>
                <w:bCs/>
                <w:color w:val="000000"/>
              </w:rPr>
              <w:t>400,037</w:t>
            </w:r>
          </w:p>
        </w:tc>
        <w:tc>
          <w:tcPr>
            <w:tcW w:w="2448" w:type="dxa"/>
            <w:tcBorders>
              <w:top w:val="single" w:sz="8" w:space="0" w:color="auto"/>
              <w:left w:val="nil"/>
              <w:bottom w:val="nil"/>
              <w:right w:val="nil"/>
            </w:tcBorders>
            <w:shd w:val="clear" w:color="000000" w:fill="CCCCCC"/>
            <w:vAlign w:val="center"/>
            <w:hideMark/>
          </w:tcPr>
          <w:p w14:paraId="2F58B2F4" w14:textId="0494084D" w:rsidR="001D4790" w:rsidRPr="00634844" w:rsidRDefault="001D4790" w:rsidP="001D4790">
            <w:pPr>
              <w:jc w:val="right"/>
              <w:rPr>
                <w:rFonts w:ascii="Arial" w:hAnsi="Arial" w:cs="Arial"/>
                <w:b/>
                <w:bCs/>
                <w:color w:val="000000"/>
              </w:rPr>
            </w:pPr>
            <w:r>
              <w:rPr>
                <w:rFonts w:ascii="Arial" w:hAnsi="Arial" w:cs="Arial"/>
                <w:b/>
                <w:bCs/>
                <w:color w:val="000000"/>
              </w:rPr>
              <w:t>(41,976)</w:t>
            </w:r>
          </w:p>
        </w:tc>
        <w:tc>
          <w:tcPr>
            <w:tcW w:w="2706" w:type="dxa"/>
            <w:tcBorders>
              <w:top w:val="single" w:sz="8" w:space="0" w:color="auto"/>
              <w:left w:val="nil"/>
              <w:bottom w:val="nil"/>
              <w:right w:val="single" w:sz="8" w:space="0" w:color="auto"/>
            </w:tcBorders>
            <w:shd w:val="clear" w:color="000000" w:fill="CCCCCC"/>
            <w:vAlign w:val="center"/>
            <w:hideMark/>
          </w:tcPr>
          <w:p w14:paraId="78D610BB" w14:textId="66AC37FB" w:rsidR="001D4790" w:rsidRPr="00634844" w:rsidRDefault="001D4790" w:rsidP="001D4790">
            <w:pPr>
              <w:jc w:val="right"/>
              <w:rPr>
                <w:rFonts w:ascii="Arial" w:hAnsi="Arial" w:cs="Arial"/>
                <w:b/>
                <w:bCs/>
                <w:color w:val="000000"/>
              </w:rPr>
            </w:pPr>
            <w:r>
              <w:rPr>
                <w:rFonts w:ascii="Arial" w:hAnsi="Arial" w:cs="Arial"/>
                <w:b/>
                <w:bCs/>
                <w:color w:val="000000"/>
              </w:rPr>
              <w:t>358,061</w:t>
            </w:r>
          </w:p>
        </w:tc>
      </w:tr>
      <w:tr w:rsidR="001D4790" w:rsidRPr="00634844" w14:paraId="412925DA" w14:textId="77777777" w:rsidTr="00494EE0">
        <w:trPr>
          <w:trHeight w:val="315"/>
        </w:trPr>
        <w:tc>
          <w:tcPr>
            <w:tcW w:w="2987" w:type="dxa"/>
            <w:tcBorders>
              <w:top w:val="nil"/>
              <w:left w:val="single" w:sz="8" w:space="0" w:color="auto"/>
              <w:bottom w:val="nil"/>
              <w:right w:val="nil"/>
            </w:tcBorders>
            <w:vAlign w:val="center"/>
            <w:hideMark/>
          </w:tcPr>
          <w:p w14:paraId="680DC1EA" w14:textId="1B36082B" w:rsidR="001D4790" w:rsidRPr="00634844" w:rsidRDefault="001D4790" w:rsidP="001D4790">
            <w:pPr>
              <w:rPr>
                <w:rFonts w:ascii="Arial" w:hAnsi="Arial" w:cs="Arial"/>
                <w:color w:val="000000"/>
              </w:rPr>
            </w:pPr>
            <w:r w:rsidRPr="00634844">
              <w:rPr>
                <w:rFonts w:ascii="Arial" w:hAnsi="Arial" w:cs="Arial"/>
                <w:color w:val="000000"/>
              </w:rPr>
              <w:t>Other Income and Expenditure</w:t>
            </w:r>
          </w:p>
        </w:tc>
        <w:tc>
          <w:tcPr>
            <w:tcW w:w="2361" w:type="dxa"/>
            <w:tcBorders>
              <w:top w:val="nil"/>
              <w:left w:val="nil"/>
              <w:bottom w:val="single" w:sz="8" w:space="0" w:color="auto"/>
              <w:right w:val="nil"/>
            </w:tcBorders>
            <w:shd w:val="clear" w:color="000000" w:fill="CCCCCC"/>
            <w:vAlign w:val="center"/>
            <w:hideMark/>
          </w:tcPr>
          <w:p w14:paraId="72D50FDD" w14:textId="486B78FC" w:rsidR="001D4790" w:rsidRPr="00634844" w:rsidRDefault="001D4790" w:rsidP="001D4790">
            <w:pPr>
              <w:jc w:val="right"/>
              <w:rPr>
                <w:rFonts w:ascii="Arial" w:hAnsi="Arial" w:cs="Arial"/>
                <w:b/>
                <w:bCs/>
                <w:color w:val="000000"/>
              </w:rPr>
            </w:pPr>
            <w:r>
              <w:rPr>
                <w:rFonts w:ascii="Arial" w:hAnsi="Arial" w:cs="Arial"/>
                <w:b/>
                <w:bCs/>
                <w:color w:val="000000"/>
              </w:rPr>
              <w:t>0</w:t>
            </w:r>
          </w:p>
        </w:tc>
        <w:tc>
          <w:tcPr>
            <w:tcW w:w="2709" w:type="dxa"/>
            <w:tcBorders>
              <w:top w:val="nil"/>
              <w:left w:val="nil"/>
              <w:bottom w:val="single" w:sz="8" w:space="0" w:color="auto"/>
              <w:right w:val="nil"/>
            </w:tcBorders>
            <w:shd w:val="clear" w:color="000000" w:fill="CCCCCC"/>
            <w:vAlign w:val="center"/>
            <w:hideMark/>
          </w:tcPr>
          <w:p w14:paraId="72CE73AA" w14:textId="3C0AE589" w:rsidR="001D4790" w:rsidRPr="00634844" w:rsidRDefault="001D4790" w:rsidP="001D4790">
            <w:pPr>
              <w:jc w:val="right"/>
              <w:rPr>
                <w:rFonts w:ascii="Arial" w:hAnsi="Arial" w:cs="Arial"/>
                <w:b/>
                <w:bCs/>
                <w:color w:val="000000"/>
              </w:rPr>
            </w:pPr>
            <w:r>
              <w:rPr>
                <w:rFonts w:ascii="Arial" w:hAnsi="Arial" w:cs="Arial"/>
                <w:b/>
                <w:bCs/>
                <w:color w:val="000000"/>
              </w:rPr>
              <w:t>(399,265)</w:t>
            </w:r>
          </w:p>
        </w:tc>
        <w:tc>
          <w:tcPr>
            <w:tcW w:w="2382" w:type="dxa"/>
            <w:tcBorders>
              <w:top w:val="nil"/>
              <w:left w:val="nil"/>
              <w:bottom w:val="single" w:sz="8" w:space="0" w:color="auto"/>
              <w:right w:val="nil"/>
            </w:tcBorders>
            <w:shd w:val="clear" w:color="000000" w:fill="CCCCCC"/>
            <w:vAlign w:val="center"/>
            <w:hideMark/>
          </w:tcPr>
          <w:p w14:paraId="75382DA0" w14:textId="71E52366" w:rsidR="001D4790" w:rsidRPr="00634844" w:rsidRDefault="001D4790" w:rsidP="001D4790">
            <w:pPr>
              <w:jc w:val="right"/>
              <w:rPr>
                <w:rFonts w:ascii="Arial" w:hAnsi="Arial" w:cs="Arial"/>
                <w:b/>
                <w:bCs/>
                <w:color w:val="000000"/>
              </w:rPr>
            </w:pPr>
            <w:r>
              <w:rPr>
                <w:rFonts w:ascii="Arial" w:hAnsi="Arial" w:cs="Arial"/>
                <w:b/>
                <w:bCs/>
                <w:color w:val="000000"/>
              </w:rPr>
              <w:t>(399,265)</w:t>
            </w:r>
          </w:p>
        </w:tc>
        <w:tc>
          <w:tcPr>
            <w:tcW w:w="2448" w:type="dxa"/>
            <w:tcBorders>
              <w:top w:val="nil"/>
              <w:left w:val="nil"/>
              <w:bottom w:val="single" w:sz="8" w:space="0" w:color="auto"/>
              <w:right w:val="nil"/>
            </w:tcBorders>
            <w:shd w:val="clear" w:color="000000" w:fill="CCCCCC"/>
            <w:vAlign w:val="center"/>
            <w:hideMark/>
          </w:tcPr>
          <w:p w14:paraId="073B507C" w14:textId="58AB5B7C" w:rsidR="001D4790" w:rsidRPr="00634844" w:rsidRDefault="001D4790" w:rsidP="001D4790">
            <w:pPr>
              <w:jc w:val="right"/>
              <w:rPr>
                <w:rFonts w:ascii="Arial" w:hAnsi="Arial" w:cs="Arial"/>
                <w:b/>
                <w:bCs/>
                <w:color w:val="000000"/>
              </w:rPr>
            </w:pPr>
            <w:r>
              <w:rPr>
                <w:rFonts w:ascii="Arial" w:hAnsi="Arial" w:cs="Arial"/>
                <w:b/>
                <w:bCs/>
                <w:color w:val="000000"/>
              </w:rPr>
              <w:t>118,725</w:t>
            </w:r>
          </w:p>
        </w:tc>
        <w:tc>
          <w:tcPr>
            <w:tcW w:w="2706" w:type="dxa"/>
            <w:tcBorders>
              <w:top w:val="nil"/>
              <w:left w:val="nil"/>
              <w:bottom w:val="single" w:sz="8" w:space="0" w:color="auto"/>
              <w:right w:val="single" w:sz="8" w:space="0" w:color="auto"/>
            </w:tcBorders>
            <w:shd w:val="clear" w:color="000000" w:fill="CCCCCC"/>
            <w:vAlign w:val="center"/>
            <w:hideMark/>
          </w:tcPr>
          <w:p w14:paraId="098B542E" w14:textId="28C09B72" w:rsidR="001D4790" w:rsidRPr="00634844" w:rsidRDefault="001D4790" w:rsidP="001D4790">
            <w:pPr>
              <w:jc w:val="right"/>
              <w:rPr>
                <w:rFonts w:ascii="Arial" w:hAnsi="Arial" w:cs="Arial"/>
                <w:b/>
                <w:bCs/>
                <w:color w:val="000000"/>
              </w:rPr>
            </w:pPr>
            <w:r>
              <w:rPr>
                <w:rFonts w:ascii="Arial" w:hAnsi="Arial" w:cs="Arial"/>
                <w:b/>
                <w:bCs/>
                <w:color w:val="000000"/>
              </w:rPr>
              <w:t>(280,540)</w:t>
            </w:r>
          </w:p>
        </w:tc>
      </w:tr>
      <w:tr w:rsidR="001D4790" w:rsidRPr="00634844" w14:paraId="7CE8706C" w14:textId="77777777" w:rsidTr="00494EE0">
        <w:trPr>
          <w:trHeight w:val="510"/>
        </w:trPr>
        <w:tc>
          <w:tcPr>
            <w:tcW w:w="2987" w:type="dxa"/>
            <w:tcBorders>
              <w:top w:val="nil"/>
              <w:left w:val="single" w:sz="8" w:space="0" w:color="auto"/>
              <w:bottom w:val="nil"/>
              <w:right w:val="nil"/>
            </w:tcBorders>
            <w:vAlign w:val="center"/>
            <w:hideMark/>
          </w:tcPr>
          <w:p w14:paraId="629DFE6D" w14:textId="710040D4" w:rsidR="001D4790" w:rsidRPr="00634844" w:rsidRDefault="001D4790" w:rsidP="001D4790">
            <w:pPr>
              <w:rPr>
                <w:rFonts w:ascii="Arial" w:hAnsi="Arial" w:cs="Arial"/>
                <w:b/>
                <w:bCs/>
                <w:color w:val="000000"/>
              </w:rPr>
            </w:pPr>
            <w:r w:rsidRPr="00634844">
              <w:rPr>
                <w:rFonts w:ascii="Arial" w:hAnsi="Arial" w:cs="Arial"/>
                <w:b/>
                <w:bCs/>
                <w:color w:val="000000"/>
              </w:rPr>
              <w:t>(Surplus)/Deficit on provision of services</w:t>
            </w:r>
          </w:p>
        </w:tc>
        <w:tc>
          <w:tcPr>
            <w:tcW w:w="2361" w:type="dxa"/>
            <w:tcBorders>
              <w:top w:val="nil"/>
              <w:left w:val="nil"/>
              <w:bottom w:val="nil"/>
              <w:right w:val="nil"/>
            </w:tcBorders>
            <w:shd w:val="clear" w:color="000000" w:fill="CCCCCC"/>
            <w:vAlign w:val="center"/>
            <w:hideMark/>
          </w:tcPr>
          <w:p w14:paraId="62367A75" w14:textId="394D80FF" w:rsidR="001D4790" w:rsidRPr="00634844" w:rsidRDefault="001D4790" w:rsidP="001D4790">
            <w:pPr>
              <w:jc w:val="right"/>
              <w:rPr>
                <w:rFonts w:ascii="Arial" w:hAnsi="Arial" w:cs="Arial"/>
                <w:b/>
                <w:bCs/>
                <w:color w:val="000000"/>
              </w:rPr>
            </w:pPr>
            <w:r>
              <w:rPr>
                <w:rFonts w:ascii="Arial" w:hAnsi="Arial" w:cs="Arial"/>
                <w:b/>
                <w:bCs/>
                <w:color w:val="000000"/>
              </w:rPr>
              <w:t>354,972</w:t>
            </w:r>
          </w:p>
        </w:tc>
        <w:tc>
          <w:tcPr>
            <w:tcW w:w="2709" w:type="dxa"/>
            <w:tcBorders>
              <w:top w:val="nil"/>
              <w:left w:val="nil"/>
              <w:bottom w:val="nil"/>
              <w:right w:val="nil"/>
            </w:tcBorders>
            <w:shd w:val="clear" w:color="000000" w:fill="CCCCCC"/>
            <w:vAlign w:val="center"/>
            <w:hideMark/>
          </w:tcPr>
          <w:p w14:paraId="5F04B2B1" w14:textId="481A63F9" w:rsidR="001D4790" w:rsidRPr="00634844" w:rsidRDefault="001D4790" w:rsidP="001D4790">
            <w:pPr>
              <w:jc w:val="right"/>
              <w:rPr>
                <w:rFonts w:ascii="Arial" w:hAnsi="Arial" w:cs="Arial"/>
                <w:b/>
                <w:bCs/>
                <w:color w:val="000000"/>
              </w:rPr>
            </w:pPr>
            <w:r>
              <w:rPr>
                <w:rFonts w:ascii="Arial" w:hAnsi="Arial" w:cs="Arial"/>
                <w:b/>
                <w:bCs/>
                <w:color w:val="000000"/>
              </w:rPr>
              <w:t>(354,200)</w:t>
            </w:r>
          </w:p>
        </w:tc>
        <w:tc>
          <w:tcPr>
            <w:tcW w:w="2382" w:type="dxa"/>
            <w:tcBorders>
              <w:top w:val="nil"/>
              <w:left w:val="nil"/>
              <w:bottom w:val="nil"/>
              <w:right w:val="nil"/>
            </w:tcBorders>
            <w:shd w:val="clear" w:color="000000" w:fill="CCCCCC"/>
            <w:vAlign w:val="center"/>
            <w:hideMark/>
          </w:tcPr>
          <w:p w14:paraId="5248287C" w14:textId="61BE44E7" w:rsidR="001D4790" w:rsidRPr="00634844" w:rsidRDefault="001D4790" w:rsidP="001D4790">
            <w:pPr>
              <w:jc w:val="right"/>
              <w:rPr>
                <w:rFonts w:ascii="Arial" w:hAnsi="Arial" w:cs="Arial"/>
                <w:b/>
                <w:bCs/>
                <w:color w:val="000000"/>
              </w:rPr>
            </w:pPr>
            <w:r>
              <w:rPr>
                <w:rFonts w:ascii="Arial" w:hAnsi="Arial" w:cs="Arial"/>
                <w:b/>
                <w:bCs/>
                <w:color w:val="000000"/>
              </w:rPr>
              <w:t>772</w:t>
            </w:r>
          </w:p>
        </w:tc>
        <w:tc>
          <w:tcPr>
            <w:tcW w:w="2448" w:type="dxa"/>
            <w:tcBorders>
              <w:top w:val="nil"/>
              <w:left w:val="nil"/>
              <w:bottom w:val="nil"/>
              <w:right w:val="nil"/>
            </w:tcBorders>
            <w:shd w:val="clear" w:color="000000" w:fill="CCCCCC"/>
            <w:vAlign w:val="center"/>
            <w:hideMark/>
          </w:tcPr>
          <w:p w14:paraId="35460460" w14:textId="7C4A24E2" w:rsidR="001D4790" w:rsidRPr="00634844" w:rsidRDefault="001D4790" w:rsidP="001D4790">
            <w:pPr>
              <w:jc w:val="right"/>
              <w:rPr>
                <w:rFonts w:ascii="Arial" w:hAnsi="Arial" w:cs="Arial"/>
                <w:b/>
                <w:bCs/>
                <w:color w:val="000000"/>
              </w:rPr>
            </w:pPr>
            <w:r>
              <w:rPr>
                <w:rFonts w:ascii="Arial" w:hAnsi="Arial" w:cs="Arial"/>
                <w:b/>
                <w:bCs/>
                <w:color w:val="000000"/>
              </w:rPr>
              <w:t>76,749</w:t>
            </w:r>
          </w:p>
        </w:tc>
        <w:tc>
          <w:tcPr>
            <w:tcW w:w="2706" w:type="dxa"/>
            <w:tcBorders>
              <w:top w:val="nil"/>
              <w:left w:val="nil"/>
              <w:bottom w:val="nil"/>
              <w:right w:val="single" w:sz="8" w:space="0" w:color="auto"/>
            </w:tcBorders>
            <w:shd w:val="clear" w:color="000000" w:fill="CCCCCC"/>
            <w:vAlign w:val="center"/>
            <w:hideMark/>
          </w:tcPr>
          <w:p w14:paraId="5A229CDB" w14:textId="1E02F5EA" w:rsidR="001D4790" w:rsidRPr="00634844" w:rsidRDefault="001D4790" w:rsidP="001D4790">
            <w:pPr>
              <w:jc w:val="right"/>
              <w:rPr>
                <w:rFonts w:ascii="Arial" w:hAnsi="Arial" w:cs="Arial"/>
                <w:b/>
                <w:bCs/>
                <w:color w:val="000000"/>
              </w:rPr>
            </w:pPr>
            <w:r>
              <w:rPr>
                <w:rFonts w:ascii="Arial" w:hAnsi="Arial" w:cs="Arial"/>
                <w:b/>
                <w:bCs/>
                <w:color w:val="000000"/>
              </w:rPr>
              <w:t>77,521</w:t>
            </w:r>
          </w:p>
        </w:tc>
      </w:tr>
      <w:tr w:rsidR="009531B8" w:rsidRPr="00634844" w14:paraId="4A0F2654" w14:textId="77777777" w:rsidTr="00494EE0">
        <w:trPr>
          <w:trHeight w:val="300"/>
        </w:trPr>
        <w:tc>
          <w:tcPr>
            <w:tcW w:w="2987" w:type="dxa"/>
            <w:tcBorders>
              <w:top w:val="nil"/>
              <w:left w:val="single" w:sz="8" w:space="0" w:color="auto"/>
              <w:bottom w:val="nil"/>
              <w:right w:val="nil"/>
            </w:tcBorders>
            <w:vAlign w:val="center"/>
            <w:hideMark/>
          </w:tcPr>
          <w:p w14:paraId="7C2DCA87" w14:textId="0D7B435B" w:rsidR="009531B8" w:rsidRPr="00634844" w:rsidRDefault="009531B8" w:rsidP="009531B8">
            <w:pPr>
              <w:rPr>
                <w:rFonts w:ascii="Arial" w:hAnsi="Arial" w:cs="Arial"/>
                <w:b/>
                <w:bCs/>
                <w:color w:val="000000"/>
              </w:rPr>
            </w:pPr>
            <w:r w:rsidRPr="00634844">
              <w:rPr>
                <w:rFonts w:ascii="Arial" w:hAnsi="Arial" w:cs="Arial"/>
                <w:b/>
                <w:bCs/>
                <w:color w:val="000000"/>
              </w:rPr>
              <w:t>Opening General Fund Balance</w:t>
            </w:r>
          </w:p>
        </w:tc>
        <w:tc>
          <w:tcPr>
            <w:tcW w:w="2361" w:type="dxa"/>
            <w:tcBorders>
              <w:top w:val="nil"/>
              <w:left w:val="nil"/>
              <w:bottom w:val="nil"/>
              <w:right w:val="nil"/>
            </w:tcBorders>
            <w:shd w:val="clear" w:color="000000" w:fill="CCCCCC"/>
            <w:vAlign w:val="center"/>
            <w:hideMark/>
          </w:tcPr>
          <w:p w14:paraId="03BFA172" w14:textId="70CC05E5"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709" w:type="dxa"/>
            <w:tcBorders>
              <w:top w:val="nil"/>
              <w:left w:val="nil"/>
              <w:bottom w:val="nil"/>
              <w:right w:val="nil"/>
            </w:tcBorders>
            <w:shd w:val="clear" w:color="000000" w:fill="CCCCCC"/>
            <w:vAlign w:val="center"/>
            <w:hideMark/>
          </w:tcPr>
          <w:p w14:paraId="69A14464" w14:textId="69B80B18"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382" w:type="dxa"/>
            <w:tcBorders>
              <w:top w:val="nil"/>
              <w:left w:val="nil"/>
              <w:bottom w:val="nil"/>
              <w:right w:val="nil"/>
            </w:tcBorders>
            <w:shd w:val="clear" w:color="000000" w:fill="CCCCCC"/>
            <w:vAlign w:val="center"/>
            <w:hideMark/>
          </w:tcPr>
          <w:p w14:paraId="6AC99016" w14:textId="337D135E" w:rsidR="009531B8" w:rsidRPr="00634844" w:rsidRDefault="009531B8" w:rsidP="009531B8">
            <w:pPr>
              <w:jc w:val="right"/>
              <w:rPr>
                <w:rFonts w:ascii="Arial" w:hAnsi="Arial" w:cs="Arial"/>
                <w:b/>
                <w:bCs/>
                <w:color w:val="000000"/>
              </w:rPr>
            </w:pPr>
            <w:r>
              <w:rPr>
                <w:rFonts w:ascii="Arial" w:hAnsi="Arial" w:cs="Arial"/>
                <w:b/>
                <w:bCs/>
                <w:color w:val="000000"/>
              </w:rPr>
              <w:t>(30,216)</w:t>
            </w:r>
          </w:p>
        </w:tc>
        <w:tc>
          <w:tcPr>
            <w:tcW w:w="2448" w:type="dxa"/>
            <w:tcBorders>
              <w:top w:val="nil"/>
              <w:left w:val="nil"/>
              <w:bottom w:val="nil"/>
              <w:right w:val="nil"/>
            </w:tcBorders>
            <w:shd w:val="clear" w:color="000000" w:fill="CCCCCC"/>
            <w:vAlign w:val="center"/>
            <w:hideMark/>
          </w:tcPr>
          <w:p w14:paraId="51A97B13" w14:textId="2D8CE4ED"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706" w:type="dxa"/>
            <w:tcBorders>
              <w:top w:val="nil"/>
              <w:left w:val="nil"/>
              <w:bottom w:val="nil"/>
              <w:right w:val="single" w:sz="8" w:space="0" w:color="auto"/>
            </w:tcBorders>
            <w:shd w:val="clear" w:color="000000" w:fill="CCCCCC"/>
            <w:vAlign w:val="center"/>
            <w:hideMark/>
          </w:tcPr>
          <w:p w14:paraId="6DE37512" w14:textId="099862FF"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r>
      <w:tr w:rsidR="009531B8" w:rsidRPr="00634844" w14:paraId="6F3124C1" w14:textId="77777777" w:rsidTr="00494EE0">
        <w:trPr>
          <w:trHeight w:val="300"/>
        </w:trPr>
        <w:tc>
          <w:tcPr>
            <w:tcW w:w="2987" w:type="dxa"/>
            <w:tcBorders>
              <w:top w:val="nil"/>
              <w:left w:val="single" w:sz="8" w:space="0" w:color="auto"/>
              <w:bottom w:val="nil"/>
              <w:right w:val="nil"/>
            </w:tcBorders>
            <w:vAlign w:val="center"/>
            <w:hideMark/>
          </w:tcPr>
          <w:p w14:paraId="423E48D8" w14:textId="350B5E86" w:rsidR="009531B8" w:rsidRPr="00634844" w:rsidRDefault="009531B8" w:rsidP="009531B8">
            <w:pPr>
              <w:rPr>
                <w:rFonts w:ascii="Arial" w:hAnsi="Arial" w:cs="Arial"/>
                <w:color w:val="000000"/>
              </w:rPr>
            </w:pPr>
            <w:r w:rsidRPr="00634844">
              <w:rPr>
                <w:rFonts w:ascii="Arial" w:hAnsi="Arial" w:cs="Arial"/>
                <w:color w:val="000000"/>
              </w:rPr>
              <w:t>In-year deficit</w:t>
            </w:r>
          </w:p>
        </w:tc>
        <w:tc>
          <w:tcPr>
            <w:tcW w:w="2361" w:type="dxa"/>
            <w:tcBorders>
              <w:top w:val="nil"/>
              <w:left w:val="nil"/>
              <w:bottom w:val="nil"/>
              <w:right w:val="nil"/>
            </w:tcBorders>
            <w:shd w:val="clear" w:color="000000" w:fill="CCCCCC"/>
            <w:vAlign w:val="center"/>
            <w:hideMark/>
          </w:tcPr>
          <w:p w14:paraId="6A7D689F" w14:textId="03D839D9"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709" w:type="dxa"/>
            <w:tcBorders>
              <w:top w:val="nil"/>
              <w:left w:val="nil"/>
              <w:bottom w:val="nil"/>
              <w:right w:val="nil"/>
            </w:tcBorders>
            <w:shd w:val="clear" w:color="000000" w:fill="CCCCCC"/>
            <w:vAlign w:val="center"/>
            <w:hideMark/>
          </w:tcPr>
          <w:p w14:paraId="68239A04" w14:textId="5F8197EE"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382" w:type="dxa"/>
            <w:tcBorders>
              <w:top w:val="nil"/>
              <w:left w:val="nil"/>
              <w:bottom w:val="nil"/>
              <w:right w:val="nil"/>
            </w:tcBorders>
            <w:shd w:val="clear" w:color="000000" w:fill="CCCCCC"/>
            <w:vAlign w:val="center"/>
            <w:hideMark/>
          </w:tcPr>
          <w:p w14:paraId="38D867C4" w14:textId="61B99BB9" w:rsidR="009531B8" w:rsidRPr="00634844" w:rsidRDefault="009531B8" w:rsidP="009531B8">
            <w:pPr>
              <w:jc w:val="right"/>
              <w:rPr>
                <w:rFonts w:ascii="Arial" w:hAnsi="Arial" w:cs="Arial"/>
                <w:b/>
                <w:bCs/>
                <w:color w:val="000000"/>
              </w:rPr>
            </w:pPr>
            <w:r>
              <w:rPr>
                <w:rFonts w:ascii="Arial" w:hAnsi="Arial" w:cs="Arial"/>
                <w:b/>
                <w:bCs/>
                <w:color w:val="000000"/>
              </w:rPr>
              <w:t>772</w:t>
            </w:r>
          </w:p>
        </w:tc>
        <w:tc>
          <w:tcPr>
            <w:tcW w:w="2448" w:type="dxa"/>
            <w:tcBorders>
              <w:top w:val="nil"/>
              <w:left w:val="nil"/>
              <w:bottom w:val="nil"/>
              <w:right w:val="nil"/>
            </w:tcBorders>
            <w:shd w:val="clear" w:color="000000" w:fill="CCCCCC"/>
            <w:vAlign w:val="center"/>
            <w:hideMark/>
          </w:tcPr>
          <w:p w14:paraId="61119BA6" w14:textId="60DBBF50"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706" w:type="dxa"/>
            <w:tcBorders>
              <w:top w:val="nil"/>
              <w:left w:val="nil"/>
              <w:bottom w:val="nil"/>
              <w:right w:val="single" w:sz="8" w:space="0" w:color="auto"/>
            </w:tcBorders>
            <w:shd w:val="clear" w:color="000000" w:fill="CCCCCC"/>
            <w:vAlign w:val="center"/>
            <w:hideMark/>
          </w:tcPr>
          <w:p w14:paraId="7B8D1A26" w14:textId="6E84CD91"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r>
      <w:tr w:rsidR="009531B8" w:rsidRPr="00634844" w14:paraId="282C83DD" w14:textId="77777777" w:rsidTr="00494EE0">
        <w:trPr>
          <w:trHeight w:val="315"/>
        </w:trPr>
        <w:tc>
          <w:tcPr>
            <w:tcW w:w="2987" w:type="dxa"/>
            <w:tcBorders>
              <w:top w:val="nil"/>
              <w:left w:val="single" w:sz="8" w:space="0" w:color="auto"/>
              <w:bottom w:val="single" w:sz="8" w:space="0" w:color="auto"/>
              <w:right w:val="nil"/>
            </w:tcBorders>
            <w:vAlign w:val="center"/>
            <w:hideMark/>
          </w:tcPr>
          <w:p w14:paraId="4B5BF12E" w14:textId="62429947" w:rsidR="009531B8" w:rsidRPr="00634844" w:rsidRDefault="009531B8" w:rsidP="009531B8">
            <w:pPr>
              <w:rPr>
                <w:rFonts w:ascii="Arial" w:hAnsi="Arial" w:cs="Arial"/>
                <w:b/>
                <w:bCs/>
                <w:color w:val="000000"/>
              </w:rPr>
            </w:pPr>
            <w:r w:rsidRPr="00634844">
              <w:rPr>
                <w:rFonts w:ascii="Arial" w:hAnsi="Arial" w:cs="Arial"/>
                <w:b/>
                <w:bCs/>
                <w:color w:val="000000"/>
              </w:rPr>
              <w:t>Closing General Fund Balance</w:t>
            </w:r>
          </w:p>
        </w:tc>
        <w:tc>
          <w:tcPr>
            <w:tcW w:w="2361" w:type="dxa"/>
            <w:tcBorders>
              <w:top w:val="nil"/>
              <w:left w:val="nil"/>
              <w:bottom w:val="single" w:sz="8" w:space="0" w:color="auto"/>
              <w:right w:val="nil"/>
            </w:tcBorders>
            <w:shd w:val="clear" w:color="000000" w:fill="CCCCCC"/>
            <w:vAlign w:val="center"/>
            <w:hideMark/>
          </w:tcPr>
          <w:p w14:paraId="21404F4C" w14:textId="6A3802F7"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709" w:type="dxa"/>
            <w:tcBorders>
              <w:top w:val="nil"/>
              <w:left w:val="nil"/>
              <w:bottom w:val="single" w:sz="8" w:space="0" w:color="auto"/>
              <w:right w:val="nil"/>
            </w:tcBorders>
            <w:shd w:val="clear" w:color="000000" w:fill="CCCCCC"/>
            <w:vAlign w:val="center"/>
            <w:hideMark/>
          </w:tcPr>
          <w:p w14:paraId="3B2EEB6E" w14:textId="24F99A3E"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382" w:type="dxa"/>
            <w:tcBorders>
              <w:top w:val="nil"/>
              <w:left w:val="nil"/>
              <w:bottom w:val="single" w:sz="8" w:space="0" w:color="auto"/>
              <w:right w:val="nil"/>
            </w:tcBorders>
            <w:shd w:val="clear" w:color="000000" w:fill="CCCCCC"/>
            <w:vAlign w:val="center"/>
            <w:hideMark/>
          </w:tcPr>
          <w:p w14:paraId="120AA61E" w14:textId="67C76102" w:rsidR="009531B8" w:rsidRPr="00634844" w:rsidRDefault="009531B8" w:rsidP="009531B8">
            <w:pPr>
              <w:jc w:val="right"/>
              <w:rPr>
                <w:rFonts w:ascii="Arial" w:hAnsi="Arial" w:cs="Arial"/>
                <w:b/>
                <w:bCs/>
                <w:color w:val="000000"/>
              </w:rPr>
            </w:pPr>
            <w:r>
              <w:rPr>
                <w:rFonts w:ascii="Arial" w:hAnsi="Arial" w:cs="Arial"/>
                <w:b/>
                <w:bCs/>
                <w:color w:val="000000"/>
              </w:rPr>
              <w:t>(29,444)</w:t>
            </w:r>
          </w:p>
        </w:tc>
        <w:tc>
          <w:tcPr>
            <w:tcW w:w="2448" w:type="dxa"/>
            <w:tcBorders>
              <w:top w:val="nil"/>
              <w:left w:val="nil"/>
              <w:bottom w:val="single" w:sz="8" w:space="0" w:color="auto"/>
              <w:right w:val="nil"/>
            </w:tcBorders>
            <w:shd w:val="clear" w:color="000000" w:fill="CCCCCC"/>
            <w:vAlign w:val="center"/>
            <w:hideMark/>
          </w:tcPr>
          <w:p w14:paraId="3D93877E" w14:textId="0CFE805E"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c>
          <w:tcPr>
            <w:tcW w:w="2706" w:type="dxa"/>
            <w:tcBorders>
              <w:top w:val="nil"/>
              <w:left w:val="nil"/>
              <w:bottom w:val="single" w:sz="8" w:space="0" w:color="auto"/>
              <w:right w:val="single" w:sz="8" w:space="0" w:color="auto"/>
            </w:tcBorders>
            <w:shd w:val="clear" w:color="000000" w:fill="CCCCCC"/>
            <w:vAlign w:val="center"/>
            <w:hideMark/>
          </w:tcPr>
          <w:p w14:paraId="5FC1C842" w14:textId="0991C810" w:rsidR="009531B8" w:rsidRPr="00634844" w:rsidRDefault="009531B8" w:rsidP="009531B8">
            <w:pPr>
              <w:jc w:val="right"/>
              <w:rPr>
                <w:rFonts w:ascii="Arial" w:hAnsi="Arial" w:cs="Arial"/>
                <w:b/>
                <w:bCs/>
                <w:color w:val="000000"/>
              </w:rPr>
            </w:pPr>
            <w:r w:rsidRPr="00634844">
              <w:rPr>
                <w:rFonts w:ascii="Arial" w:hAnsi="Arial" w:cs="Arial"/>
                <w:b/>
                <w:bCs/>
                <w:color w:val="000000"/>
              </w:rPr>
              <w:t> </w:t>
            </w:r>
          </w:p>
        </w:tc>
      </w:tr>
    </w:tbl>
    <w:p w14:paraId="45B460D9" w14:textId="77777777" w:rsidR="00634844" w:rsidRDefault="00634844" w:rsidP="00AA2CED">
      <w:pPr>
        <w:ind w:firstLine="720"/>
        <w:rPr>
          <w:rFonts w:ascii="Arial" w:hAnsi="Arial"/>
          <w:i/>
          <w:sz w:val="22"/>
          <w:szCs w:val="22"/>
        </w:rPr>
      </w:pPr>
    </w:p>
    <w:p w14:paraId="383EB48B" w14:textId="666B8403" w:rsidR="003B74DA" w:rsidRDefault="003B74DA" w:rsidP="00AA2CED">
      <w:pPr>
        <w:ind w:firstLine="720"/>
        <w:rPr>
          <w:rFonts w:ascii="Arial" w:hAnsi="Arial"/>
          <w:i/>
          <w:sz w:val="22"/>
          <w:szCs w:val="22"/>
        </w:rPr>
      </w:pPr>
      <w:r w:rsidRPr="00172E65">
        <w:rPr>
          <w:rFonts w:ascii="Arial" w:hAnsi="Arial"/>
          <w:i/>
          <w:sz w:val="22"/>
          <w:szCs w:val="22"/>
        </w:rPr>
        <w:t>*Further details are shown in tables that follow</w:t>
      </w:r>
    </w:p>
    <w:p w14:paraId="396BF840" w14:textId="7F7D094A" w:rsidR="004F304E" w:rsidRDefault="004F304E">
      <w:pPr>
        <w:rPr>
          <w:rFonts w:ascii="Arial" w:hAnsi="Arial"/>
          <w:iCs/>
          <w:sz w:val="22"/>
          <w:szCs w:val="22"/>
        </w:rPr>
      </w:pPr>
      <w:r>
        <w:rPr>
          <w:rFonts w:ascii="Arial" w:hAnsi="Arial"/>
          <w:iCs/>
          <w:sz w:val="22"/>
          <w:szCs w:val="22"/>
        </w:rPr>
        <w:br w:type="page"/>
      </w:r>
    </w:p>
    <w:p w14:paraId="7ADA5962" w14:textId="77777777" w:rsidR="004F304E" w:rsidRDefault="004F304E" w:rsidP="00AA2CED">
      <w:pPr>
        <w:ind w:firstLine="720"/>
        <w:rPr>
          <w:rFonts w:ascii="Arial" w:hAnsi="Arial"/>
          <w:iCs/>
          <w:sz w:val="22"/>
          <w:szCs w:val="22"/>
        </w:rPr>
      </w:pPr>
    </w:p>
    <w:p w14:paraId="66445A89" w14:textId="613BCBAA" w:rsidR="008E074E" w:rsidRDefault="00BA698C" w:rsidP="008E074E">
      <w:pPr>
        <w:rPr>
          <w:rFonts w:ascii="Arial" w:hAnsi="Arial"/>
          <w:iCs/>
          <w:sz w:val="18"/>
          <w:szCs w:val="18"/>
        </w:rPr>
      </w:pPr>
      <w:r w:rsidRPr="00BA698C">
        <w:rPr>
          <w:rFonts w:ascii="Arial" w:hAnsi="Arial"/>
          <w:iCs/>
          <w:sz w:val="22"/>
          <w:szCs w:val="22"/>
        </w:rPr>
        <w:t>The areas of responsibility covered by the budget holders under the Chief Constable changed from 1 April 202</w:t>
      </w:r>
      <w:r>
        <w:rPr>
          <w:rFonts w:ascii="Arial" w:hAnsi="Arial"/>
          <w:iCs/>
          <w:sz w:val="22"/>
          <w:szCs w:val="22"/>
        </w:rPr>
        <w:t>3</w:t>
      </w:r>
      <w:r w:rsidRPr="00BA698C">
        <w:rPr>
          <w:rFonts w:ascii="Arial" w:hAnsi="Arial"/>
          <w:iCs/>
          <w:sz w:val="22"/>
          <w:szCs w:val="22"/>
        </w:rPr>
        <w:t xml:space="preserve">. As a result of this change the figures for </w:t>
      </w:r>
      <w:r w:rsidR="00C37E7F">
        <w:rPr>
          <w:rFonts w:ascii="Arial" w:hAnsi="Arial"/>
          <w:iCs/>
          <w:sz w:val="22"/>
          <w:szCs w:val="22"/>
        </w:rPr>
        <w:t>2023/24</w:t>
      </w:r>
      <w:r w:rsidRPr="00BA698C">
        <w:rPr>
          <w:rFonts w:ascii="Arial" w:hAnsi="Arial"/>
          <w:iCs/>
          <w:sz w:val="22"/>
          <w:szCs w:val="22"/>
        </w:rPr>
        <w:t xml:space="preserve"> have been restated for comparability purposes. The table below show the changes to the figures reported in the </w:t>
      </w:r>
      <w:r w:rsidR="00C37E7F">
        <w:rPr>
          <w:rFonts w:ascii="Arial" w:hAnsi="Arial"/>
          <w:iCs/>
          <w:sz w:val="22"/>
          <w:szCs w:val="22"/>
        </w:rPr>
        <w:t>2023/24</w:t>
      </w:r>
      <w:r w:rsidRPr="00BA698C">
        <w:rPr>
          <w:rFonts w:ascii="Arial" w:hAnsi="Arial"/>
          <w:iCs/>
          <w:sz w:val="22"/>
          <w:szCs w:val="22"/>
        </w:rPr>
        <w:t xml:space="preserve"> accounts </w:t>
      </w:r>
      <w:proofErr w:type="gramStart"/>
      <w:r w:rsidRPr="00BA698C">
        <w:rPr>
          <w:rFonts w:ascii="Arial" w:hAnsi="Arial"/>
          <w:iCs/>
          <w:sz w:val="22"/>
          <w:szCs w:val="22"/>
        </w:rPr>
        <w:t>as a result of</w:t>
      </w:r>
      <w:proofErr w:type="gramEnd"/>
      <w:r w:rsidRPr="00BA698C">
        <w:rPr>
          <w:rFonts w:ascii="Arial" w:hAnsi="Arial"/>
          <w:iCs/>
          <w:sz w:val="22"/>
          <w:szCs w:val="22"/>
        </w:rPr>
        <w:t xml:space="preserve"> the change and shows that there is a net nil impact on Net Services.</w:t>
      </w:r>
      <w:r w:rsidR="008E074E" w:rsidRPr="008E074E">
        <w:rPr>
          <w:rFonts w:ascii="Arial" w:hAnsi="Arial"/>
          <w:iCs/>
          <w:sz w:val="18"/>
          <w:szCs w:val="18"/>
        </w:rPr>
        <w:t xml:space="preserve"> </w:t>
      </w:r>
    </w:p>
    <w:p w14:paraId="675217A7" w14:textId="77777777" w:rsidR="008E074E" w:rsidRDefault="008E074E" w:rsidP="008E074E">
      <w:pPr>
        <w:rPr>
          <w:rFonts w:ascii="Arial" w:hAnsi="Arial"/>
          <w:iCs/>
          <w:sz w:val="18"/>
          <w:szCs w:val="18"/>
        </w:rPr>
      </w:pPr>
    </w:p>
    <w:tbl>
      <w:tblPr>
        <w:tblW w:w="12191" w:type="dxa"/>
        <w:tblLook w:val="04A0" w:firstRow="1" w:lastRow="0" w:firstColumn="1" w:lastColumn="0" w:noHBand="0" w:noVBand="1"/>
      </w:tblPr>
      <w:tblGrid>
        <w:gridCol w:w="2694"/>
        <w:gridCol w:w="1198"/>
        <w:gridCol w:w="1070"/>
        <w:gridCol w:w="992"/>
        <w:gridCol w:w="1134"/>
        <w:gridCol w:w="962"/>
        <w:gridCol w:w="993"/>
        <w:gridCol w:w="1163"/>
        <w:gridCol w:w="993"/>
        <w:gridCol w:w="992"/>
      </w:tblGrid>
      <w:tr w:rsidR="008E074E" w:rsidRPr="008E074E" w14:paraId="005E891F" w14:textId="77777777">
        <w:trPr>
          <w:trHeight w:val="300"/>
        </w:trPr>
        <w:tc>
          <w:tcPr>
            <w:tcW w:w="2694" w:type="dxa"/>
            <w:tcBorders>
              <w:top w:val="nil"/>
              <w:left w:val="nil"/>
              <w:bottom w:val="nil"/>
              <w:right w:val="single" w:sz="4" w:space="0" w:color="auto"/>
            </w:tcBorders>
            <w:noWrap/>
            <w:vAlign w:val="bottom"/>
          </w:tcPr>
          <w:p w14:paraId="5362525C" w14:textId="77777777" w:rsidR="008E074E" w:rsidRPr="008E074E" w:rsidRDefault="008E074E">
            <w:pPr>
              <w:rPr>
                <w:rFonts w:ascii="Calibri" w:hAnsi="Calibri" w:cs="Calibri"/>
                <w:b/>
                <w:bCs/>
                <w:color w:val="000000"/>
                <w:sz w:val="22"/>
                <w:szCs w:val="22"/>
              </w:rPr>
            </w:pPr>
          </w:p>
        </w:tc>
        <w:tc>
          <w:tcPr>
            <w:tcW w:w="3260" w:type="dxa"/>
            <w:gridSpan w:val="3"/>
            <w:tcBorders>
              <w:top w:val="single" w:sz="4" w:space="0" w:color="auto"/>
              <w:left w:val="single" w:sz="4" w:space="0" w:color="auto"/>
              <w:bottom w:val="single" w:sz="4" w:space="0" w:color="auto"/>
              <w:right w:val="single" w:sz="4" w:space="0" w:color="auto"/>
            </w:tcBorders>
            <w:noWrap/>
            <w:vAlign w:val="bottom"/>
          </w:tcPr>
          <w:p w14:paraId="7DFE7473" w14:textId="77777777" w:rsidR="008E074E" w:rsidRPr="008E074E" w:rsidRDefault="008E074E">
            <w:pPr>
              <w:jc w:val="center"/>
              <w:rPr>
                <w:rFonts w:ascii="Calibri" w:hAnsi="Calibri" w:cs="Calibri"/>
                <w:b/>
                <w:bCs/>
                <w:color w:val="000000"/>
                <w:sz w:val="22"/>
                <w:szCs w:val="22"/>
              </w:rPr>
            </w:pPr>
            <w:r w:rsidRPr="008E074E">
              <w:rPr>
                <w:rFonts w:ascii="Calibri" w:hAnsi="Calibri" w:cs="Calibri"/>
                <w:b/>
                <w:bCs/>
                <w:color w:val="000000"/>
                <w:sz w:val="22"/>
                <w:szCs w:val="22"/>
              </w:rPr>
              <w:t>Original 23/24 Position</w:t>
            </w:r>
          </w:p>
        </w:tc>
        <w:tc>
          <w:tcPr>
            <w:tcW w:w="3089" w:type="dxa"/>
            <w:gridSpan w:val="3"/>
            <w:tcBorders>
              <w:top w:val="single" w:sz="4" w:space="0" w:color="auto"/>
              <w:left w:val="single" w:sz="4" w:space="0" w:color="auto"/>
              <w:bottom w:val="single" w:sz="4" w:space="0" w:color="auto"/>
              <w:right w:val="single" w:sz="4" w:space="0" w:color="auto"/>
            </w:tcBorders>
            <w:noWrap/>
            <w:vAlign w:val="bottom"/>
          </w:tcPr>
          <w:p w14:paraId="25C66899" w14:textId="77777777" w:rsidR="008E074E" w:rsidRPr="008E074E" w:rsidRDefault="008E074E">
            <w:pPr>
              <w:jc w:val="center"/>
              <w:rPr>
                <w:rFonts w:ascii="Calibri" w:hAnsi="Calibri" w:cs="Calibri"/>
                <w:b/>
                <w:bCs/>
                <w:color w:val="000000"/>
                <w:sz w:val="22"/>
                <w:szCs w:val="22"/>
              </w:rPr>
            </w:pPr>
            <w:r w:rsidRPr="008E074E">
              <w:rPr>
                <w:rFonts w:ascii="Calibri" w:hAnsi="Calibri" w:cs="Calibri"/>
                <w:b/>
                <w:bCs/>
                <w:color w:val="000000"/>
                <w:sz w:val="22"/>
                <w:szCs w:val="22"/>
              </w:rPr>
              <w:t>Restated 23/24 Position</w:t>
            </w:r>
          </w:p>
        </w:tc>
        <w:tc>
          <w:tcPr>
            <w:tcW w:w="3148" w:type="dxa"/>
            <w:gridSpan w:val="3"/>
            <w:tcBorders>
              <w:top w:val="single" w:sz="4" w:space="0" w:color="auto"/>
              <w:left w:val="single" w:sz="4" w:space="0" w:color="auto"/>
              <w:bottom w:val="single" w:sz="4" w:space="0" w:color="auto"/>
              <w:right w:val="single" w:sz="4" w:space="0" w:color="auto"/>
            </w:tcBorders>
            <w:noWrap/>
            <w:vAlign w:val="bottom"/>
          </w:tcPr>
          <w:p w14:paraId="47A78322" w14:textId="77777777" w:rsidR="008E074E" w:rsidRPr="008E074E" w:rsidRDefault="008E074E">
            <w:pPr>
              <w:jc w:val="center"/>
              <w:rPr>
                <w:rFonts w:ascii="Calibri" w:hAnsi="Calibri" w:cs="Calibri"/>
                <w:b/>
                <w:bCs/>
                <w:color w:val="000000"/>
                <w:sz w:val="22"/>
                <w:szCs w:val="22"/>
              </w:rPr>
            </w:pPr>
            <w:r w:rsidRPr="008E074E">
              <w:rPr>
                <w:rFonts w:ascii="Calibri" w:hAnsi="Calibri" w:cs="Calibri"/>
                <w:b/>
                <w:bCs/>
                <w:color w:val="000000"/>
                <w:sz w:val="22"/>
                <w:szCs w:val="22"/>
              </w:rPr>
              <w:t>Net Changes</w:t>
            </w:r>
          </w:p>
        </w:tc>
      </w:tr>
      <w:tr w:rsidR="008E074E" w:rsidRPr="008E074E" w14:paraId="7BA1024C" w14:textId="77777777">
        <w:trPr>
          <w:trHeight w:val="300"/>
        </w:trPr>
        <w:tc>
          <w:tcPr>
            <w:tcW w:w="2694" w:type="dxa"/>
            <w:tcBorders>
              <w:top w:val="nil"/>
              <w:left w:val="nil"/>
              <w:bottom w:val="single" w:sz="4" w:space="0" w:color="auto"/>
              <w:right w:val="single" w:sz="4" w:space="0" w:color="auto"/>
            </w:tcBorders>
            <w:noWrap/>
            <w:vAlign w:val="bottom"/>
            <w:hideMark/>
          </w:tcPr>
          <w:p w14:paraId="45BF0E9A" w14:textId="77777777" w:rsidR="008E074E" w:rsidRPr="008E074E" w:rsidRDefault="008E074E">
            <w:pPr>
              <w:rPr>
                <w:rFonts w:ascii="Calibri" w:hAnsi="Calibri" w:cs="Calibri"/>
                <w:b/>
                <w:bCs/>
                <w:color w:val="000000"/>
                <w:sz w:val="22"/>
                <w:szCs w:val="22"/>
              </w:rPr>
            </w:pPr>
          </w:p>
        </w:tc>
        <w:tc>
          <w:tcPr>
            <w:tcW w:w="1198" w:type="dxa"/>
            <w:tcBorders>
              <w:top w:val="single" w:sz="4" w:space="0" w:color="auto"/>
              <w:left w:val="single" w:sz="4" w:space="0" w:color="auto"/>
              <w:bottom w:val="single" w:sz="4" w:space="0" w:color="auto"/>
              <w:right w:val="single" w:sz="4" w:space="0" w:color="auto"/>
            </w:tcBorders>
            <w:noWrap/>
            <w:vAlign w:val="bottom"/>
            <w:hideMark/>
          </w:tcPr>
          <w:p w14:paraId="4DA00775"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Gross Exp</w:t>
            </w:r>
          </w:p>
        </w:tc>
        <w:tc>
          <w:tcPr>
            <w:tcW w:w="1070" w:type="dxa"/>
            <w:tcBorders>
              <w:top w:val="single" w:sz="4" w:space="0" w:color="auto"/>
              <w:left w:val="single" w:sz="4" w:space="0" w:color="auto"/>
              <w:bottom w:val="single" w:sz="4" w:space="0" w:color="auto"/>
              <w:right w:val="single" w:sz="4" w:space="0" w:color="auto"/>
            </w:tcBorders>
            <w:noWrap/>
            <w:vAlign w:val="bottom"/>
            <w:hideMark/>
          </w:tcPr>
          <w:p w14:paraId="0F4AEFBE"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Income</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48DC1680"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Net Exp</w:t>
            </w:r>
          </w:p>
        </w:tc>
        <w:tc>
          <w:tcPr>
            <w:tcW w:w="1134" w:type="dxa"/>
            <w:tcBorders>
              <w:top w:val="single" w:sz="4" w:space="0" w:color="auto"/>
              <w:left w:val="single" w:sz="4" w:space="0" w:color="auto"/>
              <w:bottom w:val="single" w:sz="4" w:space="0" w:color="auto"/>
              <w:right w:val="single" w:sz="4" w:space="0" w:color="auto"/>
            </w:tcBorders>
            <w:noWrap/>
            <w:vAlign w:val="bottom"/>
            <w:hideMark/>
          </w:tcPr>
          <w:p w14:paraId="3E581B78"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Gross Exp</w:t>
            </w:r>
          </w:p>
        </w:tc>
        <w:tc>
          <w:tcPr>
            <w:tcW w:w="962" w:type="dxa"/>
            <w:tcBorders>
              <w:top w:val="single" w:sz="4" w:space="0" w:color="auto"/>
              <w:left w:val="single" w:sz="4" w:space="0" w:color="auto"/>
              <w:bottom w:val="single" w:sz="4" w:space="0" w:color="auto"/>
              <w:right w:val="single" w:sz="4" w:space="0" w:color="auto"/>
            </w:tcBorders>
            <w:noWrap/>
            <w:vAlign w:val="bottom"/>
            <w:hideMark/>
          </w:tcPr>
          <w:p w14:paraId="5522A4CE"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Income</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2D19675A"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Net Exp</w:t>
            </w:r>
          </w:p>
        </w:tc>
        <w:tc>
          <w:tcPr>
            <w:tcW w:w="1163" w:type="dxa"/>
            <w:tcBorders>
              <w:top w:val="single" w:sz="4" w:space="0" w:color="auto"/>
              <w:left w:val="single" w:sz="4" w:space="0" w:color="auto"/>
              <w:bottom w:val="single" w:sz="4" w:space="0" w:color="auto"/>
              <w:right w:val="single" w:sz="4" w:space="0" w:color="auto"/>
            </w:tcBorders>
            <w:noWrap/>
            <w:vAlign w:val="bottom"/>
            <w:hideMark/>
          </w:tcPr>
          <w:p w14:paraId="429EAC7B"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Gross Exp</w:t>
            </w:r>
          </w:p>
        </w:tc>
        <w:tc>
          <w:tcPr>
            <w:tcW w:w="993" w:type="dxa"/>
            <w:tcBorders>
              <w:top w:val="single" w:sz="4" w:space="0" w:color="auto"/>
              <w:left w:val="single" w:sz="4" w:space="0" w:color="auto"/>
              <w:bottom w:val="single" w:sz="4" w:space="0" w:color="auto"/>
              <w:right w:val="single" w:sz="4" w:space="0" w:color="auto"/>
            </w:tcBorders>
            <w:noWrap/>
            <w:vAlign w:val="bottom"/>
            <w:hideMark/>
          </w:tcPr>
          <w:p w14:paraId="5C4BBAC8"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Income</w:t>
            </w:r>
          </w:p>
        </w:tc>
        <w:tc>
          <w:tcPr>
            <w:tcW w:w="992" w:type="dxa"/>
            <w:tcBorders>
              <w:top w:val="single" w:sz="4" w:space="0" w:color="auto"/>
              <w:left w:val="single" w:sz="4" w:space="0" w:color="auto"/>
              <w:bottom w:val="single" w:sz="4" w:space="0" w:color="auto"/>
              <w:right w:val="single" w:sz="4" w:space="0" w:color="auto"/>
            </w:tcBorders>
            <w:noWrap/>
            <w:vAlign w:val="bottom"/>
            <w:hideMark/>
          </w:tcPr>
          <w:p w14:paraId="60496B2A" w14:textId="77777777" w:rsidR="008E074E" w:rsidRPr="008E074E" w:rsidRDefault="008E074E">
            <w:pPr>
              <w:rPr>
                <w:rFonts w:ascii="Calibri" w:hAnsi="Calibri" w:cs="Calibri"/>
                <w:b/>
                <w:bCs/>
                <w:color w:val="000000"/>
                <w:sz w:val="22"/>
                <w:szCs w:val="22"/>
              </w:rPr>
            </w:pPr>
            <w:r w:rsidRPr="008E074E">
              <w:rPr>
                <w:rFonts w:ascii="Calibri" w:hAnsi="Calibri" w:cs="Calibri"/>
                <w:b/>
                <w:bCs/>
                <w:color w:val="000000"/>
                <w:sz w:val="22"/>
                <w:szCs w:val="22"/>
              </w:rPr>
              <w:t>Net Exp</w:t>
            </w:r>
          </w:p>
        </w:tc>
      </w:tr>
      <w:tr w:rsidR="008E074E" w:rsidRPr="008E074E" w14:paraId="1759C7E9" w14:textId="77777777">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AE207DB" w14:textId="77777777" w:rsidR="008E074E" w:rsidRPr="008E074E" w:rsidRDefault="008E074E">
            <w:pPr>
              <w:rPr>
                <w:rFonts w:ascii="Arial" w:hAnsi="Arial" w:cs="Arial"/>
              </w:rPr>
            </w:pPr>
            <w:r w:rsidRPr="008E074E">
              <w:rPr>
                <w:rFonts w:ascii="Arial" w:hAnsi="Arial" w:cs="Arial"/>
              </w:rPr>
              <w:t>Centralised Pay Budgets</w:t>
            </w:r>
          </w:p>
        </w:tc>
        <w:tc>
          <w:tcPr>
            <w:tcW w:w="1198" w:type="dxa"/>
            <w:tcBorders>
              <w:top w:val="single" w:sz="8" w:space="0" w:color="auto"/>
              <w:left w:val="single" w:sz="8" w:space="0" w:color="auto"/>
              <w:bottom w:val="single" w:sz="8" w:space="0" w:color="auto"/>
              <w:right w:val="single" w:sz="8" w:space="0" w:color="auto"/>
            </w:tcBorders>
            <w:noWrap/>
            <w:vAlign w:val="center"/>
            <w:hideMark/>
          </w:tcPr>
          <w:p w14:paraId="7C544C46"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276,185</w:t>
            </w:r>
          </w:p>
        </w:tc>
        <w:tc>
          <w:tcPr>
            <w:tcW w:w="1070" w:type="dxa"/>
            <w:tcBorders>
              <w:top w:val="single" w:sz="8" w:space="0" w:color="auto"/>
              <w:left w:val="nil"/>
              <w:bottom w:val="single" w:sz="8" w:space="0" w:color="auto"/>
              <w:right w:val="single" w:sz="8" w:space="0" w:color="auto"/>
            </w:tcBorders>
            <w:noWrap/>
            <w:vAlign w:val="center"/>
            <w:hideMark/>
          </w:tcPr>
          <w:p w14:paraId="48FF130A"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2" w:type="dxa"/>
            <w:tcBorders>
              <w:top w:val="single" w:sz="8" w:space="0" w:color="auto"/>
              <w:left w:val="nil"/>
              <w:bottom w:val="single" w:sz="8" w:space="0" w:color="auto"/>
              <w:right w:val="single" w:sz="8" w:space="0" w:color="auto"/>
            </w:tcBorders>
            <w:noWrap/>
            <w:vAlign w:val="center"/>
            <w:hideMark/>
          </w:tcPr>
          <w:p w14:paraId="7C8A38FA"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276,185</w:t>
            </w:r>
          </w:p>
        </w:tc>
        <w:tc>
          <w:tcPr>
            <w:tcW w:w="1134" w:type="dxa"/>
            <w:tcBorders>
              <w:top w:val="single" w:sz="8" w:space="0" w:color="auto"/>
              <w:left w:val="nil"/>
              <w:bottom w:val="single" w:sz="8" w:space="0" w:color="auto"/>
              <w:right w:val="single" w:sz="8" w:space="0" w:color="auto"/>
            </w:tcBorders>
            <w:noWrap/>
            <w:vAlign w:val="center"/>
            <w:hideMark/>
          </w:tcPr>
          <w:p w14:paraId="5DB8C08F"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276,185</w:t>
            </w:r>
          </w:p>
        </w:tc>
        <w:tc>
          <w:tcPr>
            <w:tcW w:w="962" w:type="dxa"/>
            <w:tcBorders>
              <w:top w:val="single" w:sz="8" w:space="0" w:color="auto"/>
              <w:left w:val="nil"/>
              <w:bottom w:val="single" w:sz="8" w:space="0" w:color="auto"/>
              <w:right w:val="single" w:sz="8" w:space="0" w:color="auto"/>
            </w:tcBorders>
            <w:noWrap/>
            <w:vAlign w:val="center"/>
            <w:hideMark/>
          </w:tcPr>
          <w:p w14:paraId="13C023F7"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3" w:type="dxa"/>
            <w:tcBorders>
              <w:top w:val="single" w:sz="8" w:space="0" w:color="auto"/>
              <w:left w:val="nil"/>
              <w:bottom w:val="single" w:sz="8" w:space="0" w:color="auto"/>
              <w:right w:val="single" w:sz="8" w:space="0" w:color="auto"/>
            </w:tcBorders>
            <w:noWrap/>
            <w:vAlign w:val="center"/>
            <w:hideMark/>
          </w:tcPr>
          <w:p w14:paraId="4D30716D"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276,185</w:t>
            </w:r>
          </w:p>
        </w:tc>
        <w:tc>
          <w:tcPr>
            <w:tcW w:w="1163" w:type="dxa"/>
            <w:tcBorders>
              <w:top w:val="single" w:sz="8" w:space="0" w:color="auto"/>
              <w:left w:val="nil"/>
              <w:bottom w:val="single" w:sz="8" w:space="0" w:color="auto"/>
              <w:right w:val="single" w:sz="8" w:space="0" w:color="auto"/>
            </w:tcBorders>
            <w:noWrap/>
            <w:vAlign w:val="center"/>
            <w:hideMark/>
          </w:tcPr>
          <w:p w14:paraId="567C535D"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3" w:type="dxa"/>
            <w:tcBorders>
              <w:top w:val="single" w:sz="8" w:space="0" w:color="auto"/>
              <w:left w:val="nil"/>
              <w:bottom w:val="single" w:sz="8" w:space="0" w:color="auto"/>
              <w:right w:val="single" w:sz="8" w:space="0" w:color="auto"/>
            </w:tcBorders>
            <w:noWrap/>
            <w:vAlign w:val="center"/>
            <w:hideMark/>
          </w:tcPr>
          <w:p w14:paraId="7A96FEC8"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2" w:type="dxa"/>
            <w:tcBorders>
              <w:top w:val="single" w:sz="8" w:space="0" w:color="auto"/>
              <w:left w:val="nil"/>
              <w:bottom w:val="single" w:sz="8" w:space="0" w:color="auto"/>
              <w:right w:val="single" w:sz="8" w:space="0" w:color="auto"/>
            </w:tcBorders>
            <w:noWrap/>
            <w:vAlign w:val="center"/>
            <w:hideMark/>
          </w:tcPr>
          <w:p w14:paraId="0DB9435C"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r>
      <w:tr w:rsidR="008E074E" w:rsidRPr="008E074E" w14:paraId="5C6352D4" w14:textId="77777777">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A5704EB" w14:textId="77777777" w:rsidR="008E074E" w:rsidRPr="008E074E" w:rsidRDefault="008E074E">
            <w:pPr>
              <w:rPr>
                <w:rFonts w:ascii="Arial" w:hAnsi="Arial" w:cs="Arial"/>
              </w:rPr>
            </w:pPr>
            <w:r w:rsidRPr="008E074E">
              <w:rPr>
                <w:rFonts w:ascii="Arial" w:hAnsi="Arial" w:cs="Arial"/>
              </w:rPr>
              <w:t>Chief Operating Officer</w:t>
            </w:r>
          </w:p>
        </w:tc>
        <w:tc>
          <w:tcPr>
            <w:tcW w:w="1198" w:type="dxa"/>
            <w:tcBorders>
              <w:top w:val="nil"/>
              <w:left w:val="single" w:sz="8" w:space="0" w:color="auto"/>
              <w:bottom w:val="single" w:sz="8" w:space="0" w:color="auto"/>
              <w:right w:val="single" w:sz="8" w:space="0" w:color="auto"/>
            </w:tcBorders>
            <w:noWrap/>
            <w:vAlign w:val="center"/>
            <w:hideMark/>
          </w:tcPr>
          <w:p w14:paraId="27648BF5"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38,815</w:t>
            </w:r>
          </w:p>
        </w:tc>
        <w:tc>
          <w:tcPr>
            <w:tcW w:w="1070" w:type="dxa"/>
            <w:tcBorders>
              <w:top w:val="nil"/>
              <w:left w:val="nil"/>
              <w:bottom w:val="single" w:sz="8" w:space="0" w:color="auto"/>
              <w:right w:val="single" w:sz="8" w:space="0" w:color="auto"/>
            </w:tcBorders>
            <w:noWrap/>
            <w:vAlign w:val="center"/>
            <w:hideMark/>
          </w:tcPr>
          <w:p w14:paraId="5759EEA6"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-5,652</w:t>
            </w:r>
          </w:p>
        </w:tc>
        <w:tc>
          <w:tcPr>
            <w:tcW w:w="992" w:type="dxa"/>
            <w:tcBorders>
              <w:top w:val="nil"/>
              <w:left w:val="nil"/>
              <w:bottom w:val="single" w:sz="8" w:space="0" w:color="auto"/>
              <w:right w:val="single" w:sz="8" w:space="0" w:color="auto"/>
            </w:tcBorders>
            <w:noWrap/>
            <w:vAlign w:val="center"/>
            <w:hideMark/>
          </w:tcPr>
          <w:p w14:paraId="30253C6F"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33,163</w:t>
            </w:r>
          </w:p>
        </w:tc>
        <w:tc>
          <w:tcPr>
            <w:tcW w:w="1134" w:type="dxa"/>
            <w:tcBorders>
              <w:top w:val="nil"/>
              <w:left w:val="nil"/>
              <w:bottom w:val="single" w:sz="8" w:space="0" w:color="auto"/>
              <w:right w:val="single" w:sz="8" w:space="0" w:color="auto"/>
            </w:tcBorders>
            <w:noWrap/>
            <w:vAlign w:val="center"/>
            <w:hideMark/>
          </w:tcPr>
          <w:p w14:paraId="1F8C37E8"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38,815</w:t>
            </w:r>
          </w:p>
        </w:tc>
        <w:tc>
          <w:tcPr>
            <w:tcW w:w="962" w:type="dxa"/>
            <w:tcBorders>
              <w:top w:val="nil"/>
              <w:left w:val="nil"/>
              <w:bottom w:val="single" w:sz="8" w:space="0" w:color="auto"/>
              <w:right w:val="single" w:sz="8" w:space="0" w:color="auto"/>
            </w:tcBorders>
            <w:noWrap/>
            <w:vAlign w:val="center"/>
            <w:hideMark/>
          </w:tcPr>
          <w:p w14:paraId="614980FE"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-5,652</w:t>
            </w:r>
          </w:p>
        </w:tc>
        <w:tc>
          <w:tcPr>
            <w:tcW w:w="993" w:type="dxa"/>
            <w:tcBorders>
              <w:top w:val="nil"/>
              <w:left w:val="nil"/>
              <w:bottom w:val="single" w:sz="8" w:space="0" w:color="auto"/>
              <w:right w:val="single" w:sz="8" w:space="0" w:color="auto"/>
            </w:tcBorders>
            <w:noWrap/>
            <w:vAlign w:val="center"/>
            <w:hideMark/>
          </w:tcPr>
          <w:p w14:paraId="5BE67593"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33,163</w:t>
            </w:r>
          </w:p>
        </w:tc>
        <w:tc>
          <w:tcPr>
            <w:tcW w:w="1163" w:type="dxa"/>
            <w:tcBorders>
              <w:top w:val="nil"/>
              <w:left w:val="nil"/>
              <w:bottom w:val="single" w:sz="8" w:space="0" w:color="auto"/>
              <w:right w:val="single" w:sz="8" w:space="0" w:color="auto"/>
            </w:tcBorders>
            <w:noWrap/>
            <w:vAlign w:val="center"/>
            <w:hideMark/>
          </w:tcPr>
          <w:p w14:paraId="3339786C"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3" w:type="dxa"/>
            <w:tcBorders>
              <w:top w:val="nil"/>
              <w:left w:val="nil"/>
              <w:bottom w:val="single" w:sz="8" w:space="0" w:color="auto"/>
              <w:right w:val="single" w:sz="8" w:space="0" w:color="auto"/>
            </w:tcBorders>
            <w:noWrap/>
            <w:vAlign w:val="center"/>
            <w:hideMark/>
          </w:tcPr>
          <w:p w14:paraId="3ECD8FEA"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2" w:type="dxa"/>
            <w:tcBorders>
              <w:top w:val="nil"/>
              <w:left w:val="nil"/>
              <w:bottom w:val="single" w:sz="8" w:space="0" w:color="auto"/>
              <w:right w:val="single" w:sz="8" w:space="0" w:color="auto"/>
            </w:tcBorders>
            <w:noWrap/>
            <w:vAlign w:val="center"/>
            <w:hideMark/>
          </w:tcPr>
          <w:p w14:paraId="6F16E530"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r>
      <w:tr w:rsidR="008E074E" w:rsidRPr="008E074E" w14:paraId="6AB58B63" w14:textId="77777777">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96D7A89" w14:textId="77777777" w:rsidR="008E074E" w:rsidRPr="008E074E" w:rsidRDefault="008E074E">
            <w:pPr>
              <w:rPr>
                <w:rFonts w:ascii="Arial" w:hAnsi="Arial" w:cs="Arial"/>
              </w:rPr>
            </w:pPr>
            <w:r w:rsidRPr="008E074E">
              <w:rPr>
                <w:rFonts w:ascii="Arial" w:hAnsi="Arial" w:cs="Arial"/>
              </w:rPr>
              <w:t>ACC Territorial Ops</w:t>
            </w:r>
          </w:p>
        </w:tc>
        <w:tc>
          <w:tcPr>
            <w:tcW w:w="1198" w:type="dxa"/>
            <w:tcBorders>
              <w:top w:val="nil"/>
              <w:left w:val="single" w:sz="8" w:space="0" w:color="auto"/>
              <w:bottom w:val="single" w:sz="8" w:space="0" w:color="auto"/>
              <w:right w:val="single" w:sz="8" w:space="0" w:color="auto"/>
            </w:tcBorders>
            <w:noWrap/>
            <w:vAlign w:val="center"/>
            <w:hideMark/>
          </w:tcPr>
          <w:p w14:paraId="2802CCB6"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8,978</w:t>
            </w:r>
          </w:p>
        </w:tc>
        <w:tc>
          <w:tcPr>
            <w:tcW w:w="1070" w:type="dxa"/>
            <w:tcBorders>
              <w:top w:val="nil"/>
              <w:left w:val="nil"/>
              <w:bottom w:val="single" w:sz="8" w:space="0" w:color="auto"/>
              <w:right w:val="single" w:sz="8" w:space="0" w:color="auto"/>
            </w:tcBorders>
            <w:noWrap/>
            <w:vAlign w:val="center"/>
            <w:hideMark/>
          </w:tcPr>
          <w:p w14:paraId="0E742E06"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-656</w:t>
            </w:r>
          </w:p>
        </w:tc>
        <w:tc>
          <w:tcPr>
            <w:tcW w:w="992" w:type="dxa"/>
            <w:tcBorders>
              <w:top w:val="nil"/>
              <w:left w:val="nil"/>
              <w:bottom w:val="single" w:sz="8" w:space="0" w:color="auto"/>
              <w:right w:val="single" w:sz="8" w:space="0" w:color="auto"/>
            </w:tcBorders>
            <w:noWrap/>
            <w:vAlign w:val="center"/>
            <w:hideMark/>
          </w:tcPr>
          <w:p w14:paraId="1A164FBC"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8,323</w:t>
            </w:r>
          </w:p>
        </w:tc>
        <w:tc>
          <w:tcPr>
            <w:tcW w:w="1134" w:type="dxa"/>
            <w:tcBorders>
              <w:top w:val="nil"/>
              <w:left w:val="nil"/>
              <w:bottom w:val="single" w:sz="8" w:space="0" w:color="auto"/>
              <w:right w:val="single" w:sz="8" w:space="0" w:color="auto"/>
            </w:tcBorders>
            <w:noWrap/>
            <w:vAlign w:val="center"/>
            <w:hideMark/>
          </w:tcPr>
          <w:p w14:paraId="64FD9192"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7,968</w:t>
            </w:r>
          </w:p>
        </w:tc>
        <w:tc>
          <w:tcPr>
            <w:tcW w:w="962" w:type="dxa"/>
            <w:tcBorders>
              <w:top w:val="nil"/>
              <w:left w:val="nil"/>
              <w:bottom w:val="single" w:sz="8" w:space="0" w:color="auto"/>
              <w:right w:val="single" w:sz="8" w:space="0" w:color="auto"/>
            </w:tcBorders>
            <w:noWrap/>
            <w:vAlign w:val="center"/>
            <w:hideMark/>
          </w:tcPr>
          <w:p w14:paraId="6EC689AB"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-539</w:t>
            </w:r>
          </w:p>
        </w:tc>
        <w:tc>
          <w:tcPr>
            <w:tcW w:w="993" w:type="dxa"/>
            <w:tcBorders>
              <w:top w:val="nil"/>
              <w:left w:val="nil"/>
              <w:bottom w:val="single" w:sz="8" w:space="0" w:color="auto"/>
              <w:right w:val="single" w:sz="8" w:space="0" w:color="auto"/>
            </w:tcBorders>
            <w:noWrap/>
            <w:vAlign w:val="center"/>
            <w:hideMark/>
          </w:tcPr>
          <w:p w14:paraId="519C5A15"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7,430</w:t>
            </w:r>
          </w:p>
        </w:tc>
        <w:tc>
          <w:tcPr>
            <w:tcW w:w="1163" w:type="dxa"/>
            <w:tcBorders>
              <w:top w:val="nil"/>
              <w:left w:val="nil"/>
              <w:bottom w:val="single" w:sz="8" w:space="0" w:color="auto"/>
              <w:right w:val="single" w:sz="8" w:space="0" w:color="auto"/>
            </w:tcBorders>
            <w:noWrap/>
            <w:vAlign w:val="center"/>
            <w:hideMark/>
          </w:tcPr>
          <w:p w14:paraId="7638C64C"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-1,010</w:t>
            </w:r>
          </w:p>
        </w:tc>
        <w:tc>
          <w:tcPr>
            <w:tcW w:w="993" w:type="dxa"/>
            <w:tcBorders>
              <w:top w:val="nil"/>
              <w:left w:val="nil"/>
              <w:bottom w:val="single" w:sz="8" w:space="0" w:color="auto"/>
              <w:right w:val="single" w:sz="8" w:space="0" w:color="auto"/>
            </w:tcBorders>
            <w:noWrap/>
            <w:vAlign w:val="center"/>
            <w:hideMark/>
          </w:tcPr>
          <w:p w14:paraId="7B1C364F"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117</w:t>
            </w:r>
          </w:p>
        </w:tc>
        <w:tc>
          <w:tcPr>
            <w:tcW w:w="992" w:type="dxa"/>
            <w:tcBorders>
              <w:top w:val="nil"/>
              <w:left w:val="nil"/>
              <w:bottom w:val="single" w:sz="8" w:space="0" w:color="auto"/>
              <w:right w:val="single" w:sz="8" w:space="0" w:color="auto"/>
            </w:tcBorders>
            <w:noWrap/>
            <w:vAlign w:val="center"/>
            <w:hideMark/>
          </w:tcPr>
          <w:p w14:paraId="045C79B3"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-893</w:t>
            </w:r>
          </w:p>
        </w:tc>
      </w:tr>
      <w:tr w:rsidR="008E074E" w:rsidRPr="008E074E" w14:paraId="39568742" w14:textId="77777777">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51B13A1E" w14:textId="77777777" w:rsidR="008E074E" w:rsidRPr="008E074E" w:rsidRDefault="008E074E">
            <w:pPr>
              <w:rPr>
                <w:rFonts w:ascii="Arial" w:hAnsi="Arial" w:cs="Arial"/>
              </w:rPr>
            </w:pPr>
            <w:r w:rsidRPr="008E074E">
              <w:rPr>
                <w:rFonts w:ascii="Arial" w:hAnsi="Arial" w:cs="Arial"/>
              </w:rPr>
              <w:t>ACC Crime</w:t>
            </w:r>
          </w:p>
        </w:tc>
        <w:tc>
          <w:tcPr>
            <w:tcW w:w="1198" w:type="dxa"/>
            <w:tcBorders>
              <w:top w:val="nil"/>
              <w:left w:val="single" w:sz="8" w:space="0" w:color="auto"/>
              <w:bottom w:val="single" w:sz="8" w:space="0" w:color="auto"/>
              <w:right w:val="single" w:sz="8" w:space="0" w:color="auto"/>
            </w:tcBorders>
            <w:noWrap/>
            <w:vAlign w:val="center"/>
            <w:hideMark/>
          </w:tcPr>
          <w:p w14:paraId="170F72FB"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5,050</w:t>
            </w:r>
          </w:p>
        </w:tc>
        <w:tc>
          <w:tcPr>
            <w:tcW w:w="1070" w:type="dxa"/>
            <w:tcBorders>
              <w:top w:val="nil"/>
              <w:left w:val="nil"/>
              <w:bottom w:val="single" w:sz="8" w:space="0" w:color="auto"/>
              <w:right w:val="single" w:sz="8" w:space="0" w:color="auto"/>
            </w:tcBorders>
            <w:noWrap/>
            <w:vAlign w:val="center"/>
            <w:hideMark/>
          </w:tcPr>
          <w:p w14:paraId="46BAD81B"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-841</w:t>
            </w:r>
          </w:p>
        </w:tc>
        <w:tc>
          <w:tcPr>
            <w:tcW w:w="992" w:type="dxa"/>
            <w:tcBorders>
              <w:top w:val="nil"/>
              <w:left w:val="nil"/>
              <w:bottom w:val="single" w:sz="8" w:space="0" w:color="auto"/>
              <w:right w:val="single" w:sz="8" w:space="0" w:color="auto"/>
            </w:tcBorders>
            <w:noWrap/>
            <w:vAlign w:val="center"/>
            <w:hideMark/>
          </w:tcPr>
          <w:p w14:paraId="0901643F"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4,208</w:t>
            </w:r>
          </w:p>
        </w:tc>
        <w:tc>
          <w:tcPr>
            <w:tcW w:w="1134" w:type="dxa"/>
            <w:tcBorders>
              <w:top w:val="nil"/>
              <w:left w:val="nil"/>
              <w:bottom w:val="single" w:sz="8" w:space="0" w:color="auto"/>
              <w:right w:val="single" w:sz="8" w:space="0" w:color="auto"/>
            </w:tcBorders>
            <w:noWrap/>
            <w:vAlign w:val="center"/>
            <w:hideMark/>
          </w:tcPr>
          <w:p w14:paraId="156F6F99"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5,021</w:t>
            </w:r>
          </w:p>
        </w:tc>
        <w:tc>
          <w:tcPr>
            <w:tcW w:w="962" w:type="dxa"/>
            <w:tcBorders>
              <w:top w:val="nil"/>
              <w:left w:val="nil"/>
              <w:bottom w:val="single" w:sz="8" w:space="0" w:color="auto"/>
              <w:right w:val="single" w:sz="8" w:space="0" w:color="auto"/>
            </w:tcBorders>
            <w:noWrap/>
            <w:vAlign w:val="center"/>
            <w:hideMark/>
          </w:tcPr>
          <w:p w14:paraId="6F190896"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-812</w:t>
            </w:r>
          </w:p>
        </w:tc>
        <w:tc>
          <w:tcPr>
            <w:tcW w:w="993" w:type="dxa"/>
            <w:tcBorders>
              <w:top w:val="nil"/>
              <w:left w:val="nil"/>
              <w:bottom w:val="single" w:sz="8" w:space="0" w:color="auto"/>
              <w:right w:val="single" w:sz="8" w:space="0" w:color="auto"/>
            </w:tcBorders>
            <w:noWrap/>
            <w:vAlign w:val="center"/>
            <w:hideMark/>
          </w:tcPr>
          <w:p w14:paraId="2E6B51B0"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4,208</w:t>
            </w:r>
          </w:p>
        </w:tc>
        <w:tc>
          <w:tcPr>
            <w:tcW w:w="1163" w:type="dxa"/>
            <w:tcBorders>
              <w:top w:val="nil"/>
              <w:left w:val="nil"/>
              <w:bottom w:val="single" w:sz="8" w:space="0" w:color="auto"/>
              <w:right w:val="single" w:sz="8" w:space="0" w:color="auto"/>
            </w:tcBorders>
            <w:noWrap/>
            <w:vAlign w:val="center"/>
            <w:hideMark/>
          </w:tcPr>
          <w:p w14:paraId="662995B1"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-29</w:t>
            </w:r>
          </w:p>
        </w:tc>
        <w:tc>
          <w:tcPr>
            <w:tcW w:w="993" w:type="dxa"/>
            <w:tcBorders>
              <w:top w:val="nil"/>
              <w:left w:val="nil"/>
              <w:bottom w:val="single" w:sz="8" w:space="0" w:color="auto"/>
              <w:right w:val="single" w:sz="8" w:space="0" w:color="auto"/>
            </w:tcBorders>
            <w:noWrap/>
            <w:vAlign w:val="center"/>
            <w:hideMark/>
          </w:tcPr>
          <w:p w14:paraId="64608F73"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29</w:t>
            </w:r>
          </w:p>
        </w:tc>
        <w:tc>
          <w:tcPr>
            <w:tcW w:w="992" w:type="dxa"/>
            <w:tcBorders>
              <w:top w:val="nil"/>
              <w:left w:val="nil"/>
              <w:bottom w:val="single" w:sz="8" w:space="0" w:color="auto"/>
              <w:right w:val="single" w:sz="8" w:space="0" w:color="auto"/>
            </w:tcBorders>
            <w:noWrap/>
            <w:vAlign w:val="center"/>
            <w:hideMark/>
          </w:tcPr>
          <w:p w14:paraId="676C1B0C"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r>
      <w:tr w:rsidR="008E074E" w:rsidRPr="008E074E" w14:paraId="5374D71B" w14:textId="77777777">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78FB808" w14:textId="77777777" w:rsidR="008E074E" w:rsidRPr="008E074E" w:rsidRDefault="008E074E">
            <w:pPr>
              <w:rPr>
                <w:rFonts w:ascii="Arial" w:hAnsi="Arial" w:cs="Arial"/>
              </w:rPr>
            </w:pPr>
            <w:r w:rsidRPr="008E074E">
              <w:rPr>
                <w:rFonts w:ascii="Arial" w:hAnsi="Arial" w:cs="Arial"/>
              </w:rPr>
              <w:t>ACC Specialist Uniform Operations*</w:t>
            </w:r>
          </w:p>
        </w:tc>
        <w:tc>
          <w:tcPr>
            <w:tcW w:w="1198" w:type="dxa"/>
            <w:tcBorders>
              <w:top w:val="nil"/>
              <w:left w:val="single" w:sz="8" w:space="0" w:color="auto"/>
              <w:bottom w:val="single" w:sz="8" w:space="0" w:color="auto"/>
              <w:right w:val="single" w:sz="8" w:space="0" w:color="auto"/>
            </w:tcBorders>
            <w:noWrap/>
            <w:vAlign w:val="center"/>
            <w:hideMark/>
          </w:tcPr>
          <w:p w14:paraId="6F93E890"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6,933</w:t>
            </w:r>
          </w:p>
        </w:tc>
        <w:tc>
          <w:tcPr>
            <w:tcW w:w="1070" w:type="dxa"/>
            <w:tcBorders>
              <w:top w:val="nil"/>
              <w:left w:val="nil"/>
              <w:bottom w:val="single" w:sz="8" w:space="0" w:color="auto"/>
              <w:right w:val="single" w:sz="8" w:space="0" w:color="auto"/>
            </w:tcBorders>
            <w:noWrap/>
            <w:vAlign w:val="center"/>
            <w:hideMark/>
          </w:tcPr>
          <w:p w14:paraId="184DDE77"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-3,019</w:t>
            </w:r>
          </w:p>
        </w:tc>
        <w:tc>
          <w:tcPr>
            <w:tcW w:w="992" w:type="dxa"/>
            <w:tcBorders>
              <w:top w:val="nil"/>
              <w:left w:val="nil"/>
              <w:bottom w:val="single" w:sz="8" w:space="0" w:color="auto"/>
              <w:right w:val="single" w:sz="8" w:space="0" w:color="auto"/>
            </w:tcBorders>
            <w:noWrap/>
            <w:vAlign w:val="center"/>
            <w:hideMark/>
          </w:tcPr>
          <w:p w14:paraId="7E5C4255"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3,914</w:t>
            </w:r>
          </w:p>
        </w:tc>
        <w:tc>
          <w:tcPr>
            <w:tcW w:w="1134" w:type="dxa"/>
            <w:tcBorders>
              <w:top w:val="nil"/>
              <w:left w:val="nil"/>
              <w:bottom w:val="single" w:sz="8" w:space="0" w:color="auto"/>
              <w:right w:val="single" w:sz="8" w:space="0" w:color="auto"/>
            </w:tcBorders>
            <w:noWrap/>
            <w:vAlign w:val="center"/>
            <w:hideMark/>
          </w:tcPr>
          <w:p w14:paraId="3469C58B"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8,012</w:t>
            </w:r>
          </w:p>
        </w:tc>
        <w:tc>
          <w:tcPr>
            <w:tcW w:w="962" w:type="dxa"/>
            <w:tcBorders>
              <w:top w:val="nil"/>
              <w:left w:val="nil"/>
              <w:bottom w:val="single" w:sz="8" w:space="0" w:color="auto"/>
              <w:right w:val="single" w:sz="8" w:space="0" w:color="auto"/>
            </w:tcBorders>
            <w:noWrap/>
            <w:vAlign w:val="center"/>
            <w:hideMark/>
          </w:tcPr>
          <w:p w14:paraId="58CC3957"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-3,205</w:t>
            </w:r>
          </w:p>
        </w:tc>
        <w:tc>
          <w:tcPr>
            <w:tcW w:w="993" w:type="dxa"/>
            <w:tcBorders>
              <w:top w:val="nil"/>
              <w:left w:val="nil"/>
              <w:bottom w:val="single" w:sz="8" w:space="0" w:color="auto"/>
              <w:right w:val="single" w:sz="8" w:space="0" w:color="auto"/>
            </w:tcBorders>
            <w:noWrap/>
            <w:vAlign w:val="center"/>
            <w:hideMark/>
          </w:tcPr>
          <w:p w14:paraId="2DC0A243"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4,807</w:t>
            </w:r>
          </w:p>
        </w:tc>
        <w:tc>
          <w:tcPr>
            <w:tcW w:w="1163" w:type="dxa"/>
            <w:tcBorders>
              <w:top w:val="nil"/>
              <w:left w:val="nil"/>
              <w:bottom w:val="single" w:sz="8" w:space="0" w:color="auto"/>
              <w:right w:val="single" w:sz="8" w:space="0" w:color="auto"/>
            </w:tcBorders>
            <w:noWrap/>
            <w:vAlign w:val="center"/>
            <w:hideMark/>
          </w:tcPr>
          <w:p w14:paraId="521DAE25"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1,079</w:t>
            </w:r>
          </w:p>
        </w:tc>
        <w:tc>
          <w:tcPr>
            <w:tcW w:w="993" w:type="dxa"/>
            <w:tcBorders>
              <w:top w:val="nil"/>
              <w:left w:val="nil"/>
              <w:bottom w:val="single" w:sz="8" w:space="0" w:color="auto"/>
              <w:right w:val="single" w:sz="8" w:space="0" w:color="auto"/>
            </w:tcBorders>
            <w:noWrap/>
            <w:vAlign w:val="center"/>
            <w:hideMark/>
          </w:tcPr>
          <w:p w14:paraId="57AE980F"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-186</w:t>
            </w:r>
          </w:p>
        </w:tc>
        <w:tc>
          <w:tcPr>
            <w:tcW w:w="992" w:type="dxa"/>
            <w:tcBorders>
              <w:top w:val="nil"/>
              <w:left w:val="nil"/>
              <w:bottom w:val="single" w:sz="8" w:space="0" w:color="auto"/>
              <w:right w:val="single" w:sz="8" w:space="0" w:color="auto"/>
            </w:tcBorders>
            <w:noWrap/>
            <w:vAlign w:val="center"/>
            <w:hideMark/>
          </w:tcPr>
          <w:p w14:paraId="600C5063"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893</w:t>
            </w:r>
          </w:p>
        </w:tc>
      </w:tr>
      <w:tr w:rsidR="008E074E" w:rsidRPr="008E074E" w14:paraId="33A316D0" w14:textId="77777777">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446D0B4A" w14:textId="77777777" w:rsidR="008E074E" w:rsidRPr="008E074E" w:rsidRDefault="008E074E">
            <w:pPr>
              <w:rPr>
                <w:rFonts w:ascii="Arial" w:hAnsi="Arial" w:cs="Arial"/>
              </w:rPr>
            </w:pPr>
            <w:r w:rsidRPr="008E074E">
              <w:rPr>
                <w:rFonts w:ascii="Arial" w:hAnsi="Arial" w:cs="Arial"/>
              </w:rPr>
              <w:t>DCC</w:t>
            </w:r>
          </w:p>
        </w:tc>
        <w:tc>
          <w:tcPr>
            <w:tcW w:w="1198" w:type="dxa"/>
            <w:tcBorders>
              <w:top w:val="nil"/>
              <w:left w:val="single" w:sz="8" w:space="0" w:color="auto"/>
              <w:bottom w:val="single" w:sz="8" w:space="0" w:color="auto"/>
              <w:right w:val="single" w:sz="8" w:space="0" w:color="auto"/>
            </w:tcBorders>
            <w:noWrap/>
            <w:vAlign w:val="center"/>
            <w:hideMark/>
          </w:tcPr>
          <w:p w14:paraId="2656DF9D"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1,989</w:t>
            </w:r>
          </w:p>
        </w:tc>
        <w:tc>
          <w:tcPr>
            <w:tcW w:w="1070" w:type="dxa"/>
            <w:tcBorders>
              <w:top w:val="nil"/>
              <w:left w:val="nil"/>
              <w:bottom w:val="single" w:sz="8" w:space="0" w:color="auto"/>
              <w:right w:val="single" w:sz="8" w:space="0" w:color="auto"/>
            </w:tcBorders>
            <w:noWrap/>
            <w:vAlign w:val="center"/>
            <w:hideMark/>
          </w:tcPr>
          <w:p w14:paraId="6DCD59AE"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-468</w:t>
            </w:r>
          </w:p>
        </w:tc>
        <w:tc>
          <w:tcPr>
            <w:tcW w:w="992" w:type="dxa"/>
            <w:tcBorders>
              <w:top w:val="nil"/>
              <w:left w:val="nil"/>
              <w:bottom w:val="single" w:sz="8" w:space="0" w:color="auto"/>
              <w:right w:val="single" w:sz="8" w:space="0" w:color="auto"/>
            </w:tcBorders>
            <w:noWrap/>
            <w:vAlign w:val="center"/>
            <w:hideMark/>
          </w:tcPr>
          <w:p w14:paraId="79F66BA2"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1,521</w:t>
            </w:r>
          </w:p>
        </w:tc>
        <w:tc>
          <w:tcPr>
            <w:tcW w:w="1134" w:type="dxa"/>
            <w:tcBorders>
              <w:top w:val="nil"/>
              <w:left w:val="nil"/>
              <w:bottom w:val="single" w:sz="8" w:space="0" w:color="auto"/>
              <w:right w:val="single" w:sz="8" w:space="0" w:color="auto"/>
            </w:tcBorders>
            <w:noWrap/>
            <w:vAlign w:val="center"/>
            <w:hideMark/>
          </w:tcPr>
          <w:p w14:paraId="7D8C16C4"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1,989</w:t>
            </w:r>
          </w:p>
        </w:tc>
        <w:tc>
          <w:tcPr>
            <w:tcW w:w="962" w:type="dxa"/>
            <w:tcBorders>
              <w:top w:val="nil"/>
              <w:left w:val="nil"/>
              <w:bottom w:val="single" w:sz="8" w:space="0" w:color="auto"/>
              <w:right w:val="single" w:sz="8" w:space="0" w:color="auto"/>
            </w:tcBorders>
            <w:noWrap/>
            <w:vAlign w:val="center"/>
            <w:hideMark/>
          </w:tcPr>
          <w:p w14:paraId="02525338"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-468</w:t>
            </w:r>
          </w:p>
        </w:tc>
        <w:tc>
          <w:tcPr>
            <w:tcW w:w="993" w:type="dxa"/>
            <w:tcBorders>
              <w:top w:val="nil"/>
              <w:left w:val="nil"/>
              <w:bottom w:val="single" w:sz="8" w:space="0" w:color="auto"/>
              <w:right w:val="single" w:sz="8" w:space="0" w:color="auto"/>
            </w:tcBorders>
            <w:noWrap/>
            <w:vAlign w:val="center"/>
            <w:hideMark/>
          </w:tcPr>
          <w:p w14:paraId="2B4F421E"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1,521</w:t>
            </w:r>
          </w:p>
        </w:tc>
        <w:tc>
          <w:tcPr>
            <w:tcW w:w="1163" w:type="dxa"/>
            <w:tcBorders>
              <w:top w:val="nil"/>
              <w:left w:val="nil"/>
              <w:bottom w:val="single" w:sz="8" w:space="0" w:color="auto"/>
              <w:right w:val="single" w:sz="8" w:space="0" w:color="auto"/>
            </w:tcBorders>
            <w:noWrap/>
            <w:vAlign w:val="center"/>
            <w:hideMark/>
          </w:tcPr>
          <w:p w14:paraId="1AA84A47"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3" w:type="dxa"/>
            <w:tcBorders>
              <w:top w:val="nil"/>
              <w:left w:val="nil"/>
              <w:bottom w:val="single" w:sz="8" w:space="0" w:color="auto"/>
              <w:right w:val="single" w:sz="8" w:space="0" w:color="auto"/>
            </w:tcBorders>
            <w:noWrap/>
            <w:vAlign w:val="center"/>
            <w:hideMark/>
          </w:tcPr>
          <w:p w14:paraId="453633F3"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2" w:type="dxa"/>
            <w:tcBorders>
              <w:top w:val="nil"/>
              <w:left w:val="nil"/>
              <w:bottom w:val="single" w:sz="8" w:space="0" w:color="auto"/>
              <w:right w:val="single" w:sz="8" w:space="0" w:color="auto"/>
            </w:tcBorders>
            <w:noWrap/>
            <w:vAlign w:val="center"/>
            <w:hideMark/>
          </w:tcPr>
          <w:p w14:paraId="4B73C6EC"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r>
      <w:tr w:rsidR="008E074E" w:rsidRPr="008E074E" w14:paraId="1D5D0E44" w14:textId="77777777">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2AF038E" w14:textId="77777777" w:rsidR="008E074E" w:rsidRPr="008E074E" w:rsidRDefault="008E074E">
            <w:pPr>
              <w:rPr>
                <w:rFonts w:ascii="Arial" w:hAnsi="Arial" w:cs="Arial"/>
              </w:rPr>
            </w:pPr>
            <w:proofErr w:type="spellStart"/>
            <w:r w:rsidRPr="008E074E">
              <w:rPr>
                <w:rFonts w:ascii="Arial" w:hAnsi="Arial" w:cs="Arial"/>
              </w:rPr>
              <w:t>Constab</w:t>
            </w:r>
            <w:proofErr w:type="spellEnd"/>
            <w:r w:rsidRPr="008E074E">
              <w:rPr>
                <w:rFonts w:ascii="Arial" w:hAnsi="Arial" w:cs="Arial"/>
              </w:rPr>
              <w:t xml:space="preserve"> Non-DFM</w:t>
            </w:r>
          </w:p>
        </w:tc>
        <w:tc>
          <w:tcPr>
            <w:tcW w:w="1198" w:type="dxa"/>
            <w:tcBorders>
              <w:top w:val="nil"/>
              <w:left w:val="single" w:sz="8" w:space="0" w:color="auto"/>
              <w:bottom w:val="single" w:sz="8" w:space="0" w:color="auto"/>
              <w:right w:val="single" w:sz="8" w:space="0" w:color="auto"/>
            </w:tcBorders>
            <w:noWrap/>
            <w:vAlign w:val="center"/>
            <w:hideMark/>
          </w:tcPr>
          <w:p w14:paraId="5F2817D4"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38,679</w:t>
            </w:r>
          </w:p>
        </w:tc>
        <w:tc>
          <w:tcPr>
            <w:tcW w:w="1070" w:type="dxa"/>
            <w:tcBorders>
              <w:top w:val="nil"/>
              <w:left w:val="nil"/>
              <w:bottom w:val="single" w:sz="8" w:space="0" w:color="auto"/>
              <w:right w:val="single" w:sz="8" w:space="0" w:color="auto"/>
            </w:tcBorders>
            <w:noWrap/>
            <w:vAlign w:val="center"/>
            <w:hideMark/>
          </w:tcPr>
          <w:p w14:paraId="20271787"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-32,265</w:t>
            </w:r>
          </w:p>
        </w:tc>
        <w:tc>
          <w:tcPr>
            <w:tcW w:w="992" w:type="dxa"/>
            <w:tcBorders>
              <w:top w:val="nil"/>
              <w:left w:val="nil"/>
              <w:bottom w:val="single" w:sz="8" w:space="0" w:color="auto"/>
              <w:right w:val="single" w:sz="8" w:space="0" w:color="auto"/>
            </w:tcBorders>
            <w:noWrap/>
            <w:vAlign w:val="center"/>
            <w:hideMark/>
          </w:tcPr>
          <w:p w14:paraId="16BE6505"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6,414</w:t>
            </w:r>
          </w:p>
        </w:tc>
        <w:tc>
          <w:tcPr>
            <w:tcW w:w="1134" w:type="dxa"/>
            <w:tcBorders>
              <w:top w:val="nil"/>
              <w:left w:val="nil"/>
              <w:bottom w:val="single" w:sz="8" w:space="0" w:color="auto"/>
              <w:right w:val="single" w:sz="8" w:space="0" w:color="auto"/>
            </w:tcBorders>
            <w:noWrap/>
            <w:vAlign w:val="center"/>
            <w:hideMark/>
          </w:tcPr>
          <w:p w14:paraId="21363587"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38,639</w:t>
            </w:r>
          </w:p>
        </w:tc>
        <w:tc>
          <w:tcPr>
            <w:tcW w:w="962" w:type="dxa"/>
            <w:tcBorders>
              <w:top w:val="nil"/>
              <w:left w:val="nil"/>
              <w:bottom w:val="single" w:sz="8" w:space="0" w:color="auto"/>
              <w:right w:val="single" w:sz="8" w:space="0" w:color="auto"/>
            </w:tcBorders>
            <w:noWrap/>
            <w:vAlign w:val="center"/>
            <w:hideMark/>
          </w:tcPr>
          <w:p w14:paraId="37B0452C"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-32,225</w:t>
            </w:r>
          </w:p>
        </w:tc>
        <w:tc>
          <w:tcPr>
            <w:tcW w:w="993" w:type="dxa"/>
            <w:tcBorders>
              <w:top w:val="nil"/>
              <w:left w:val="nil"/>
              <w:bottom w:val="single" w:sz="8" w:space="0" w:color="auto"/>
              <w:right w:val="single" w:sz="8" w:space="0" w:color="auto"/>
            </w:tcBorders>
            <w:noWrap/>
            <w:vAlign w:val="center"/>
            <w:hideMark/>
          </w:tcPr>
          <w:p w14:paraId="005A8D9E"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6,414</w:t>
            </w:r>
          </w:p>
        </w:tc>
        <w:tc>
          <w:tcPr>
            <w:tcW w:w="1163" w:type="dxa"/>
            <w:tcBorders>
              <w:top w:val="nil"/>
              <w:left w:val="nil"/>
              <w:bottom w:val="single" w:sz="8" w:space="0" w:color="auto"/>
              <w:right w:val="single" w:sz="8" w:space="0" w:color="auto"/>
            </w:tcBorders>
            <w:noWrap/>
            <w:vAlign w:val="center"/>
            <w:hideMark/>
          </w:tcPr>
          <w:p w14:paraId="2CF797B4"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-40</w:t>
            </w:r>
          </w:p>
        </w:tc>
        <w:tc>
          <w:tcPr>
            <w:tcW w:w="993" w:type="dxa"/>
            <w:tcBorders>
              <w:top w:val="nil"/>
              <w:left w:val="nil"/>
              <w:bottom w:val="single" w:sz="8" w:space="0" w:color="auto"/>
              <w:right w:val="single" w:sz="8" w:space="0" w:color="auto"/>
            </w:tcBorders>
            <w:noWrap/>
            <w:vAlign w:val="center"/>
            <w:hideMark/>
          </w:tcPr>
          <w:p w14:paraId="31839BCD"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40</w:t>
            </w:r>
          </w:p>
        </w:tc>
        <w:tc>
          <w:tcPr>
            <w:tcW w:w="992" w:type="dxa"/>
            <w:tcBorders>
              <w:top w:val="nil"/>
              <w:left w:val="nil"/>
              <w:bottom w:val="single" w:sz="8" w:space="0" w:color="auto"/>
              <w:right w:val="single" w:sz="8" w:space="0" w:color="auto"/>
            </w:tcBorders>
            <w:noWrap/>
            <w:vAlign w:val="center"/>
            <w:hideMark/>
          </w:tcPr>
          <w:p w14:paraId="20FCCD4F"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r>
      <w:tr w:rsidR="008E074E" w:rsidRPr="008E074E" w14:paraId="2857D2D0" w14:textId="77777777">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15F913E2" w14:textId="77777777" w:rsidR="008E074E" w:rsidRPr="008E074E" w:rsidRDefault="008E074E">
            <w:pPr>
              <w:rPr>
                <w:rFonts w:ascii="Arial" w:hAnsi="Arial" w:cs="Arial"/>
              </w:rPr>
            </w:pPr>
            <w:r w:rsidRPr="008E074E">
              <w:rPr>
                <w:rFonts w:ascii="Arial" w:hAnsi="Arial" w:cs="Arial"/>
              </w:rPr>
              <w:t>Cost of CC budgets</w:t>
            </w:r>
          </w:p>
        </w:tc>
        <w:tc>
          <w:tcPr>
            <w:tcW w:w="1198" w:type="dxa"/>
            <w:tcBorders>
              <w:top w:val="nil"/>
              <w:left w:val="nil"/>
              <w:bottom w:val="single" w:sz="8" w:space="0" w:color="auto"/>
              <w:right w:val="single" w:sz="8" w:space="0" w:color="auto"/>
            </w:tcBorders>
            <w:noWrap/>
            <w:vAlign w:val="center"/>
            <w:hideMark/>
          </w:tcPr>
          <w:p w14:paraId="0F7C7C07"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376,629</w:t>
            </w:r>
          </w:p>
        </w:tc>
        <w:tc>
          <w:tcPr>
            <w:tcW w:w="1070" w:type="dxa"/>
            <w:tcBorders>
              <w:top w:val="nil"/>
              <w:left w:val="nil"/>
              <w:bottom w:val="single" w:sz="8" w:space="0" w:color="auto"/>
              <w:right w:val="single" w:sz="8" w:space="0" w:color="auto"/>
            </w:tcBorders>
            <w:noWrap/>
            <w:vAlign w:val="center"/>
            <w:hideMark/>
          </w:tcPr>
          <w:p w14:paraId="35AED17D"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-42,901</w:t>
            </w:r>
          </w:p>
        </w:tc>
        <w:tc>
          <w:tcPr>
            <w:tcW w:w="992" w:type="dxa"/>
            <w:tcBorders>
              <w:top w:val="nil"/>
              <w:left w:val="nil"/>
              <w:bottom w:val="single" w:sz="8" w:space="0" w:color="auto"/>
              <w:right w:val="single" w:sz="8" w:space="0" w:color="auto"/>
            </w:tcBorders>
            <w:noWrap/>
            <w:vAlign w:val="center"/>
            <w:hideMark/>
          </w:tcPr>
          <w:p w14:paraId="0EA7840D"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333,728</w:t>
            </w:r>
          </w:p>
        </w:tc>
        <w:tc>
          <w:tcPr>
            <w:tcW w:w="1134" w:type="dxa"/>
            <w:tcBorders>
              <w:top w:val="nil"/>
              <w:left w:val="nil"/>
              <w:bottom w:val="single" w:sz="8" w:space="0" w:color="auto"/>
              <w:right w:val="single" w:sz="8" w:space="0" w:color="auto"/>
            </w:tcBorders>
            <w:noWrap/>
            <w:vAlign w:val="center"/>
            <w:hideMark/>
          </w:tcPr>
          <w:p w14:paraId="4B819FD1"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376,629</w:t>
            </w:r>
          </w:p>
        </w:tc>
        <w:tc>
          <w:tcPr>
            <w:tcW w:w="962" w:type="dxa"/>
            <w:tcBorders>
              <w:top w:val="nil"/>
              <w:left w:val="nil"/>
              <w:bottom w:val="single" w:sz="8" w:space="0" w:color="auto"/>
              <w:right w:val="single" w:sz="8" w:space="0" w:color="auto"/>
            </w:tcBorders>
            <w:noWrap/>
            <w:vAlign w:val="center"/>
            <w:hideMark/>
          </w:tcPr>
          <w:p w14:paraId="46DCFE80"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-42,901</w:t>
            </w:r>
          </w:p>
        </w:tc>
        <w:tc>
          <w:tcPr>
            <w:tcW w:w="993" w:type="dxa"/>
            <w:tcBorders>
              <w:top w:val="nil"/>
              <w:left w:val="nil"/>
              <w:bottom w:val="single" w:sz="8" w:space="0" w:color="auto"/>
              <w:right w:val="single" w:sz="8" w:space="0" w:color="auto"/>
            </w:tcBorders>
            <w:noWrap/>
            <w:vAlign w:val="center"/>
            <w:hideMark/>
          </w:tcPr>
          <w:p w14:paraId="271C4BB8"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333,728</w:t>
            </w:r>
          </w:p>
        </w:tc>
        <w:tc>
          <w:tcPr>
            <w:tcW w:w="1163" w:type="dxa"/>
            <w:tcBorders>
              <w:top w:val="nil"/>
              <w:left w:val="nil"/>
              <w:bottom w:val="single" w:sz="8" w:space="0" w:color="auto"/>
              <w:right w:val="single" w:sz="8" w:space="0" w:color="auto"/>
            </w:tcBorders>
            <w:noWrap/>
            <w:vAlign w:val="center"/>
            <w:hideMark/>
          </w:tcPr>
          <w:p w14:paraId="039195CF"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3" w:type="dxa"/>
            <w:tcBorders>
              <w:top w:val="nil"/>
              <w:left w:val="nil"/>
              <w:bottom w:val="single" w:sz="8" w:space="0" w:color="auto"/>
              <w:right w:val="single" w:sz="8" w:space="0" w:color="auto"/>
            </w:tcBorders>
            <w:noWrap/>
            <w:vAlign w:val="center"/>
            <w:hideMark/>
          </w:tcPr>
          <w:p w14:paraId="032CD003"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c>
          <w:tcPr>
            <w:tcW w:w="992" w:type="dxa"/>
            <w:tcBorders>
              <w:top w:val="nil"/>
              <w:left w:val="nil"/>
              <w:bottom w:val="single" w:sz="8" w:space="0" w:color="auto"/>
              <w:right w:val="single" w:sz="8" w:space="0" w:color="auto"/>
            </w:tcBorders>
            <w:noWrap/>
            <w:vAlign w:val="center"/>
            <w:hideMark/>
          </w:tcPr>
          <w:p w14:paraId="6934C433" w14:textId="77777777" w:rsidR="008E074E" w:rsidRPr="008E074E" w:rsidRDefault="008E074E">
            <w:pPr>
              <w:jc w:val="right"/>
              <w:rPr>
                <w:rFonts w:asciiTheme="minorHAnsi" w:hAnsiTheme="minorHAnsi" w:cstheme="minorHAnsi"/>
                <w:color w:val="000000"/>
                <w:sz w:val="22"/>
                <w:szCs w:val="22"/>
              </w:rPr>
            </w:pPr>
            <w:r w:rsidRPr="008E074E">
              <w:rPr>
                <w:rFonts w:asciiTheme="minorHAnsi" w:hAnsiTheme="minorHAnsi" w:cstheme="minorHAnsi"/>
                <w:color w:val="000000"/>
                <w:sz w:val="22"/>
                <w:szCs w:val="22"/>
              </w:rPr>
              <w:t>0</w:t>
            </w:r>
          </w:p>
        </w:tc>
      </w:tr>
    </w:tbl>
    <w:p w14:paraId="140AC3CA" w14:textId="4C3F50D3" w:rsidR="0056708F" w:rsidRPr="008E074E" w:rsidRDefault="0056708F" w:rsidP="00BA698C">
      <w:pPr>
        <w:rPr>
          <w:rFonts w:ascii="Arial" w:hAnsi="Arial"/>
          <w:b/>
          <w:bCs/>
          <w:iCs/>
          <w:sz w:val="22"/>
          <w:szCs w:val="22"/>
        </w:rPr>
      </w:pPr>
    </w:p>
    <w:p w14:paraId="054C04E0" w14:textId="77777777" w:rsidR="0056708F" w:rsidRPr="004F304E" w:rsidRDefault="0056708F" w:rsidP="00AA2CED">
      <w:pPr>
        <w:ind w:firstLine="720"/>
        <w:rPr>
          <w:rFonts w:ascii="Arial" w:hAnsi="Arial"/>
          <w:iCs/>
          <w:sz w:val="22"/>
          <w:szCs w:val="22"/>
        </w:rPr>
      </w:pPr>
    </w:p>
    <w:tbl>
      <w:tblPr>
        <w:tblW w:w="1483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695"/>
        <w:gridCol w:w="2387"/>
        <w:gridCol w:w="2349"/>
        <w:gridCol w:w="2219"/>
        <w:gridCol w:w="2349"/>
        <w:gridCol w:w="2831"/>
      </w:tblGrid>
      <w:tr w:rsidR="0056708F" w:rsidRPr="0056708F" w14:paraId="2DBEDED9" w14:textId="77777777" w:rsidTr="00BA698C">
        <w:trPr>
          <w:trHeight w:val="1450"/>
        </w:trPr>
        <w:tc>
          <w:tcPr>
            <w:tcW w:w="2695" w:type="dxa"/>
            <w:vAlign w:val="center"/>
            <w:hideMark/>
          </w:tcPr>
          <w:p w14:paraId="63A24671" w14:textId="77777777" w:rsidR="0056708F" w:rsidRPr="0056708F" w:rsidRDefault="0056708F" w:rsidP="0056708F">
            <w:pPr>
              <w:rPr>
                <w:rFonts w:ascii="Arial" w:hAnsi="Arial" w:cs="Arial"/>
                <w:b/>
                <w:bCs/>
                <w:color w:val="000000"/>
                <w:sz w:val="22"/>
                <w:szCs w:val="22"/>
              </w:rPr>
            </w:pPr>
            <w:r w:rsidRPr="0056708F">
              <w:rPr>
                <w:rFonts w:ascii="Arial" w:hAnsi="Arial" w:cs="Arial"/>
                <w:b/>
                <w:bCs/>
                <w:color w:val="000000"/>
                <w:sz w:val="22"/>
                <w:szCs w:val="22"/>
              </w:rPr>
              <w:t> </w:t>
            </w:r>
          </w:p>
        </w:tc>
        <w:tc>
          <w:tcPr>
            <w:tcW w:w="2387" w:type="dxa"/>
            <w:vAlign w:val="center"/>
            <w:hideMark/>
          </w:tcPr>
          <w:p w14:paraId="637537F0"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Outturn position as reported to management</w:t>
            </w:r>
          </w:p>
        </w:tc>
        <w:tc>
          <w:tcPr>
            <w:tcW w:w="2349" w:type="dxa"/>
            <w:vAlign w:val="center"/>
            <w:hideMark/>
          </w:tcPr>
          <w:p w14:paraId="22EFD8B1"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 xml:space="preserve">Adjustments to arrive at net amount chargeable to Police General Fund* </w:t>
            </w:r>
          </w:p>
        </w:tc>
        <w:tc>
          <w:tcPr>
            <w:tcW w:w="2219" w:type="dxa"/>
            <w:vAlign w:val="center"/>
            <w:hideMark/>
          </w:tcPr>
          <w:p w14:paraId="6658C45B"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Net expenditure chargeable to Police General Fund</w:t>
            </w:r>
          </w:p>
        </w:tc>
        <w:tc>
          <w:tcPr>
            <w:tcW w:w="2349" w:type="dxa"/>
            <w:vAlign w:val="center"/>
            <w:hideMark/>
          </w:tcPr>
          <w:p w14:paraId="7671D0E4"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Adjustments between the funding and accounting basis*</w:t>
            </w:r>
          </w:p>
        </w:tc>
        <w:tc>
          <w:tcPr>
            <w:tcW w:w="2831" w:type="dxa"/>
            <w:vAlign w:val="center"/>
            <w:hideMark/>
          </w:tcPr>
          <w:p w14:paraId="0767A202"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Net expenditure Comprehensive Income &amp; Expenditure Statement</w:t>
            </w:r>
          </w:p>
        </w:tc>
      </w:tr>
      <w:tr w:rsidR="0056708F" w:rsidRPr="0056708F" w14:paraId="1BBA00FB" w14:textId="77777777" w:rsidTr="00BA698C">
        <w:trPr>
          <w:trHeight w:val="120"/>
        </w:trPr>
        <w:tc>
          <w:tcPr>
            <w:tcW w:w="2695" w:type="dxa"/>
            <w:vAlign w:val="center"/>
            <w:hideMark/>
          </w:tcPr>
          <w:p w14:paraId="0E78068C" w14:textId="77777777" w:rsidR="0056708F" w:rsidRPr="0056708F" w:rsidRDefault="0056708F" w:rsidP="0056708F">
            <w:pPr>
              <w:rPr>
                <w:rFonts w:ascii="Arial" w:hAnsi="Arial" w:cs="Arial"/>
                <w:b/>
                <w:bCs/>
                <w:color w:val="000000"/>
                <w:sz w:val="22"/>
                <w:szCs w:val="22"/>
              </w:rPr>
            </w:pPr>
            <w:r w:rsidRPr="0056708F">
              <w:rPr>
                <w:rFonts w:ascii="Arial" w:hAnsi="Arial" w:cs="Arial"/>
                <w:b/>
                <w:bCs/>
                <w:color w:val="000000"/>
                <w:sz w:val="22"/>
                <w:szCs w:val="22"/>
              </w:rPr>
              <w:t> </w:t>
            </w:r>
          </w:p>
        </w:tc>
        <w:tc>
          <w:tcPr>
            <w:tcW w:w="2387" w:type="dxa"/>
            <w:vAlign w:val="center"/>
            <w:hideMark/>
          </w:tcPr>
          <w:p w14:paraId="2D9FE8ED"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£000</w:t>
            </w:r>
          </w:p>
        </w:tc>
        <w:tc>
          <w:tcPr>
            <w:tcW w:w="2349" w:type="dxa"/>
            <w:vAlign w:val="center"/>
            <w:hideMark/>
          </w:tcPr>
          <w:p w14:paraId="6AB78B2F"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£000</w:t>
            </w:r>
          </w:p>
        </w:tc>
        <w:tc>
          <w:tcPr>
            <w:tcW w:w="2219" w:type="dxa"/>
            <w:vAlign w:val="center"/>
            <w:hideMark/>
          </w:tcPr>
          <w:p w14:paraId="1E638808"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£000</w:t>
            </w:r>
          </w:p>
        </w:tc>
        <w:tc>
          <w:tcPr>
            <w:tcW w:w="2349" w:type="dxa"/>
            <w:vAlign w:val="center"/>
            <w:hideMark/>
          </w:tcPr>
          <w:p w14:paraId="6B665B58"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£000</w:t>
            </w:r>
          </w:p>
        </w:tc>
        <w:tc>
          <w:tcPr>
            <w:tcW w:w="2831" w:type="dxa"/>
            <w:vAlign w:val="center"/>
            <w:hideMark/>
          </w:tcPr>
          <w:p w14:paraId="50CB20E6" w14:textId="77777777" w:rsidR="0056708F" w:rsidRPr="0056708F" w:rsidRDefault="0056708F" w:rsidP="0056708F">
            <w:pPr>
              <w:jc w:val="right"/>
              <w:rPr>
                <w:rFonts w:ascii="Arial" w:hAnsi="Arial" w:cs="Arial"/>
                <w:b/>
                <w:bCs/>
                <w:color w:val="000000"/>
                <w:sz w:val="22"/>
                <w:szCs w:val="22"/>
              </w:rPr>
            </w:pPr>
            <w:r w:rsidRPr="0056708F">
              <w:rPr>
                <w:rFonts w:ascii="Arial" w:hAnsi="Arial" w:cs="Arial"/>
                <w:b/>
                <w:bCs/>
                <w:color w:val="000000"/>
                <w:sz w:val="22"/>
                <w:szCs w:val="22"/>
              </w:rPr>
              <w:t>£000</w:t>
            </w:r>
          </w:p>
        </w:tc>
      </w:tr>
      <w:tr w:rsidR="0056708F" w:rsidRPr="0056708F" w14:paraId="5DEBA5B2" w14:textId="77777777" w:rsidTr="00BA698C">
        <w:trPr>
          <w:trHeight w:val="120"/>
        </w:trPr>
        <w:tc>
          <w:tcPr>
            <w:tcW w:w="2695" w:type="dxa"/>
            <w:vAlign w:val="center"/>
            <w:hideMark/>
          </w:tcPr>
          <w:p w14:paraId="49C46677" w14:textId="77777777" w:rsidR="0056708F" w:rsidRPr="0056708F" w:rsidRDefault="0056708F" w:rsidP="0056708F">
            <w:pPr>
              <w:rPr>
                <w:rFonts w:ascii="Arial" w:hAnsi="Arial" w:cs="Arial"/>
                <w:b/>
                <w:bCs/>
                <w:color w:val="000000"/>
              </w:rPr>
            </w:pPr>
            <w:r w:rsidRPr="0056708F">
              <w:rPr>
                <w:rFonts w:ascii="Arial" w:hAnsi="Arial" w:cs="Arial"/>
                <w:b/>
                <w:bCs/>
                <w:color w:val="000000"/>
              </w:rPr>
              <w:t>Chief Constable:</w:t>
            </w:r>
          </w:p>
        </w:tc>
        <w:tc>
          <w:tcPr>
            <w:tcW w:w="2387" w:type="dxa"/>
            <w:vAlign w:val="center"/>
            <w:hideMark/>
          </w:tcPr>
          <w:p w14:paraId="0E9BAF70" w14:textId="77777777" w:rsidR="0056708F" w:rsidRPr="0056708F" w:rsidRDefault="0056708F" w:rsidP="0056708F">
            <w:pPr>
              <w:rPr>
                <w:rFonts w:ascii="Arial" w:hAnsi="Arial" w:cs="Arial"/>
                <w:b/>
                <w:bCs/>
                <w:color w:val="000000"/>
              </w:rPr>
            </w:pPr>
            <w:r w:rsidRPr="0056708F">
              <w:rPr>
                <w:rFonts w:ascii="Arial" w:hAnsi="Arial" w:cs="Arial"/>
                <w:b/>
                <w:bCs/>
                <w:color w:val="000000"/>
              </w:rPr>
              <w:t> </w:t>
            </w:r>
          </w:p>
        </w:tc>
        <w:tc>
          <w:tcPr>
            <w:tcW w:w="2349" w:type="dxa"/>
            <w:vAlign w:val="center"/>
            <w:hideMark/>
          </w:tcPr>
          <w:p w14:paraId="05A604C1" w14:textId="77777777" w:rsidR="0056708F" w:rsidRPr="0056708F" w:rsidRDefault="0056708F" w:rsidP="0056708F">
            <w:pPr>
              <w:rPr>
                <w:rFonts w:ascii="Arial" w:hAnsi="Arial" w:cs="Arial"/>
                <w:b/>
                <w:bCs/>
                <w:color w:val="000000"/>
              </w:rPr>
            </w:pPr>
            <w:r w:rsidRPr="0056708F">
              <w:rPr>
                <w:rFonts w:ascii="Arial" w:hAnsi="Arial" w:cs="Arial"/>
                <w:b/>
                <w:bCs/>
                <w:color w:val="000000"/>
              </w:rPr>
              <w:t> </w:t>
            </w:r>
          </w:p>
        </w:tc>
        <w:tc>
          <w:tcPr>
            <w:tcW w:w="2219" w:type="dxa"/>
            <w:vAlign w:val="center"/>
            <w:hideMark/>
          </w:tcPr>
          <w:p w14:paraId="4D1101E8" w14:textId="77777777" w:rsidR="0056708F" w:rsidRPr="0056708F" w:rsidRDefault="0056708F" w:rsidP="0056708F">
            <w:pPr>
              <w:rPr>
                <w:rFonts w:ascii="Arial" w:hAnsi="Arial" w:cs="Arial"/>
                <w:b/>
                <w:bCs/>
                <w:color w:val="000000"/>
              </w:rPr>
            </w:pPr>
            <w:r w:rsidRPr="0056708F">
              <w:rPr>
                <w:rFonts w:ascii="Arial" w:hAnsi="Arial" w:cs="Arial"/>
                <w:b/>
                <w:bCs/>
                <w:color w:val="000000"/>
              </w:rPr>
              <w:t> </w:t>
            </w:r>
          </w:p>
        </w:tc>
        <w:tc>
          <w:tcPr>
            <w:tcW w:w="2349" w:type="dxa"/>
            <w:vAlign w:val="center"/>
            <w:hideMark/>
          </w:tcPr>
          <w:p w14:paraId="2082F80D" w14:textId="77777777" w:rsidR="0056708F" w:rsidRPr="0056708F" w:rsidRDefault="0056708F" w:rsidP="0056708F">
            <w:pPr>
              <w:rPr>
                <w:rFonts w:ascii="Arial" w:hAnsi="Arial" w:cs="Arial"/>
                <w:b/>
                <w:bCs/>
                <w:color w:val="000000"/>
              </w:rPr>
            </w:pPr>
            <w:r w:rsidRPr="0056708F">
              <w:rPr>
                <w:rFonts w:ascii="Arial" w:hAnsi="Arial" w:cs="Arial"/>
                <w:b/>
                <w:bCs/>
                <w:color w:val="000000"/>
              </w:rPr>
              <w:t> </w:t>
            </w:r>
          </w:p>
        </w:tc>
        <w:tc>
          <w:tcPr>
            <w:tcW w:w="2831" w:type="dxa"/>
            <w:vAlign w:val="center"/>
            <w:hideMark/>
          </w:tcPr>
          <w:p w14:paraId="5B72CB3C" w14:textId="77777777" w:rsidR="0056708F" w:rsidRPr="0056708F" w:rsidRDefault="0056708F" w:rsidP="0056708F">
            <w:pPr>
              <w:rPr>
                <w:rFonts w:ascii="Arial" w:hAnsi="Arial" w:cs="Arial"/>
                <w:b/>
                <w:bCs/>
                <w:color w:val="000000"/>
              </w:rPr>
            </w:pPr>
            <w:r w:rsidRPr="0056708F">
              <w:rPr>
                <w:rFonts w:ascii="Arial" w:hAnsi="Arial" w:cs="Arial"/>
                <w:b/>
                <w:bCs/>
                <w:color w:val="000000"/>
              </w:rPr>
              <w:t> </w:t>
            </w:r>
          </w:p>
        </w:tc>
      </w:tr>
      <w:tr w:rsidR="00104D59" w:rsidRPr="0056708F" w14:paraId="1D8E9B79" w14:textId="77777777" w:rsidTr="000066E6">
        <w:trPr>
          <w:trHeight w:val="120"/>
        </w:trPr>
        <w:tc>
          <w:tcPr>
            <w:tcW w:w="2695" w:type="dxa"/>
            <w:vAlign w:val="center"/>
            <w:hideMark/>
          </w:tcPr>
          <w:p w14:paraId="344082E5" w14:textId="7BB0A5BE" w:rsidR="00104D59" w:rsidRPr="00FD59F6" w:rsidRDefault="00104D59" w:rsidP="00104D59">
            <w:pPr>
              <w:rPr>
                <w:rFonts w:ascii="Arial" w:hAnsi="Arial" w:cs="Arial"/>
                <w:color w:val="000000"/>
              </w:rPr>
            </w:pPr>
            <w:r w:rsidRPr="00FD59F6">
              <w:rPr>
                <w:rFonts w:ascii="Arial" w:hAnsi="Arial" w:cs="Arial"/>
                <w:color w:val="000000"/>
              </w:rPr>
              <w:t>ACC</w:t>
            </w:r>
            <w:r w:rsidR="00264FC5">
              <w:rPr>
                <w:rFonts w:ascii="Arial" w:hAnsi="Arial" w:cs="Arial"/>
                <w:color w:val="000000"/>
              </w:rPr>
              <w:t xml:space="preserve"> </w:t>
            </w:r>
            <w:r w:rsidRPr="00FD59F6">
              <w:rPr>
                <w:rFonts w:ascii="Arial" w:hAnsi="Arial" w:cs="Arial"/>
                <w:color w:val="000000"/>
              </w:rPr>
              <w:t>Territorial Ops</w:t>
            </w:r>
          </w:p>
        </w:tc>
        <w:tc>
          <w:tcPr>
            <w:tcW w:w="2387" w:type="dxa"/>
            <w:vAlign w:val="bottom"/>
            <w:hideMark/>
          </w:tcPr>
          <w:p w14:paraId="29EA4DE1" w14:textId="18D11591" w:rsidR="00104D59" w:rsidRPr="00B5337E" w:rsidRDefault="00104D59" w:rsidP="00104D59">
            <w:pPr>
              <w:jc w:val="right"/>
              <w:rPr>
                <w:rFonts w:ascii="Arial" w:hAnsi="Arial" w:cs="Arial"/>
                <w:color w:val="000000"/>
                <w:highlight w:val="yellow"/>
              </w:rPr>
            </w:pPr>
            <w:r>
              <w:rPr>
                <w:rFonts w:ascii="Calibri" w:hAnsi="Calibri" w:cs="Calibri"/>
                <w:color w:val="000000"/>
                <w:sz w:val="22"/>
                <w:szCs w:val="22"/>
              </w:rPr>
              <w:t>(893)</w:t>
            </w:r>
          </w:p>
        </w:tc>
        <w:tc>
          <w:tcPr>
            <w:tcW w:w="2349" w:type="dxa"/>
            <w:vAlign w:val="bottom"/>
            <w:hideMark/>
          </w:tcPr>
          <w:p w14:paraId="1CBA7D8B" w14:textId="178771DA" w:rsidR="00104D59" w:rsidRPr="00B5337E" w:rsidRDefault="00104D59" w:rsidP="00104D59">
            <w:pPr>
              <w:jc w:val="right"/>
              <w:rPr>
                <w:rFonts w:ascii="Arial" w:hAnsi="Arial" w:cs="Arial"/>
                <w:color w:val="000000"/>
                <w:highlight w:val="yellow"/>
              </w:rPr>
            </w:pPr>
            <w:r>
              <w:rPr>
                <w:rFonts w:ascii="Calibri" w:hAnsi="Calibri" w:cs="Calibri"/>
                <w:color w:val="000000"/>
                <w:sz w:val="22"/>
                <w:szCs w:val="22"/>
              </w:rPr>
              <w:t>0</w:t>
            </w:r>
          </w:p>
        </w:tc>
        <w:tc>
          <w:tcPr>
            <w:tcW w:w="2219" w:type="dxa"/>
            <w:vAlign w:val="bottom"/>
            <w:hideMark/>
          </w:tcPr>
          <w:p w14:paraId="396EF7F1" w14:textId="7C88A098" w:rsidR="00104D59" w:rsidRPr="00B5337E" w:rsidRDefault="00104D59" w:rsidP="00104D59">
            <w:pPr>
              <w:jc w:val="right"/>
              <w:rPr>
                <w:rFonts w:ascii="Arial" w:hAnsi="Arial" w:cs="Arial"/>
                <w:color w:val="000000"/>
                <w:highlight w:val="yellow"/>
              </w:rPr>
            </w:pPr>
            <w:r>
              <w:rPr>
                <w:rFonts w:ascii="Calibri" w:hAnsi="Calibri" w:cs="Calibri"/>
                <w:color w:val="000000"/>
                <w:sz w:val="22"/>
                <w:szCs w:val="22"/>
              </w:rPr>
              <w:t>(893)</w:t>
            </w:r>
          </w:p>
        </w:tc>
        <w:tc>
          <w:tcPr>
            <w:tcW w:w="2349" w:type="dxa"/>
            <w:vAlign w:val="bottom"/>
            <w:hideMark/>
          </w:tcPr>
          <w:p w14:paraId="712AA619" w14:textId="4B11D728" w:rsidR="00104D59" w:rsidRPr="00B5337E" w:rsidRDefault="00104D59" w:rsidP="00104D59">
            <w:pPr>
              <w:jc w:val="right"/>
              <w:rPr>
                <w:rFonts w:ascii="Arial" w:hAnsi="Arial" w:cs="Arial"/>
                <w:color w:val="000000"/>
                <w:highlight w:val="yellow"/>
              </w:rPr>
            </w:pPr>
            <w:r>
              <w:rPr>
                <w:rFonts w:ascii="Calibri" w:hAnsi="Calibri" w:cs="Calibri"/>
                <w:color w:val="000000"/>
                <w:sz w:val="22"/>
                <w:szCs w:val="22"/>
              </w:rPr>
              <w:t>0</w:t>
            </w:r>
          </w:p>
        </w:tc>
        <w:tc>
          <w:tcPr>
            <w:tcW w:w="2831" w:type="dxa"/>
            <w:vAlign w:val="bottom"/>
            <w:hideMark/>
          </w:tcPr>
          <w:p w14:paraId="0C330D37" w14:textId="44ABDF12" w:rsidR="00104D59" w:rsidRPr="00B5337E" w:rsidRDefault="00104D59" w:rsidP="00104D59">
            <w:pPr>
              <w:jc w:val="right"/>
              <w:rPr>
                <w:rFonts w:ascii="Arial" w:hAnsi="Arial" w:cs="Arial"/>
                <w:color w:val="000000"/>
                <w:highlight w:val="yellow"/>
              </w:rPr>
            </w:pPr>
            <w:r>
              <w:rPr>
                <w:rFonts w:ascii="Calibri" w:hAnsi="Calibri" w:cs="Calibri"/>
                <w:color w:val="000000"/>
                <w:sz w:val="22"/>
                <w:szCs w:val="22"/>
              </w:rPr>
              <w:t>(893)</w:t>
            </w:r>
          </w:p>
        </w:tc>
      </w:tr>
      <w:tr w:rsidR="000066E6" w:rsidRPr="0056708F" w14:paraId="15063981" w14:textId="77777777" w:rsidTr="000066E6">
        <w:trPr>
          <w:trHeight w:val="120"/>
        </w:trPr>
        <w:tc>
          <w:tcPr>
            <w:tcW w:w="2695" w:type="dxa"/>
            <w:vAlign w:val="center"/>
            <w:hideMark/>
          </w:tcPr>
          <w:p w14:paraId="02EF360C" w14:textId="6CE2D6A6" w:rsidR="000066E6" w:rsidRPr="00FD59F6" w:rsidRDefault="000066E6" w:rsidP="000066E6">
            <w:pPr>
              <w:rPr>
                <w:rFonts w:ascii="Arial" w:hAnsi="Arial" w:cs="Arial"/>
                <w:color w:val="000000"/>
              </w:rPr>
            </w:pPr>
            <w:r w:rsidRPr="00FD59F6">
              <w:rPr>
                <w:rFonts w:ascii="Arial" w:hAnsi="Arial" w:cs="Arial"/>
                <w:color w:val="000000"/>
              </w:rPr>
              <w:t>ACC Spec Uniform Ops</w:t>
            </w:r>
          </w:p>
        </w:tc>
        <w:tc>
          <w:tcPr>
            <w:tcW w:w="2387" w:type="dxa"/>
            <w:vAlign w:val="bottom"/>
            <w:hideMark/>
          </w:tcPr>
          <w:p w14:paraId="2DF9099B" w14:textId="60565209" w:rsidR="000066E6" w:rsidRPr="00B5337E" w:rsidRDefault="000066E6" w:rsidP="000066E6">
            <w:pPr>
              <w:jc w:val="right"/>
              <w:rPr>
                <w:rFonts w:ascii="Arial" w:hAnsi="Arial" w:cs="Arial"/>
                <w:color w:val="000000"/>
                <w:highlight w:val="yellow"/>
              </w:rPr>
            </w:pPr>
            <w:r>
              <w:rPr>
                <w:rFonts w:ascii="Calibri" w:hAnsi="Calibri" w:cs="Calibri"/>
                <w:color w:val="000000"/>
                <w:sz w:val="22"/>
                <w:szCs w:val="22"/>
              </w:rPr>
              <w:t>893</w:t>
            </w:r>
          </w:p>
        </w:tc>
        <w:tc>
          <w:tcPr>
            <w:tcW w:w="2349" w:type="dxa"/>
            <w:vAlign w:val="bottom"/>
            <w:hideMark/>
          </w:tcPr>
          <w:p w14:paraId="45F24F56" w14:textId="1B351DA4" w:rsidR="000066E6" w:rsidRPr="00B5337E" w:rsidRDefault="000066E6" w:rsidP="000066E6">
            <w:pPr>
              <w:jc w:val="right"/>
              <w:rPr>
                <w:rFonts w:ascii="Arial" w:hAnsi="Arial" w:cs="Arial"/>
                <w:color w:val="000000"/>
                <w:highlight w:val="yellow"/>
              </w:rPr>
            </w:pPr>
            <w:r>
              <w:rPr>
                <w:rFonts w:ascii="Calibri" w:hAnsi="Calibri" w:cs="Calibri"/>
                <w:color w:val="000000"/>
                <w:sz w:val="22"/>
                <w:szCs w:val="22"/>
              </w:rPr>
              <w:t>0</w:t>
            </w:r>
          </w:p>
        </w:tc>
        <w:tc>
          <w:tcPr>
            <w:tcW w:w="2219" w:type="dxa"/>
            <w:vAlign w:val="bottom"/>
            <w:hideMark/>
          </w:tcPr>
          <w:p w14:paraId="7BDA606B" w14:textId="3ABB6728" w:rsidR="000066E6" w:rsidRPr="00B5337E" w:rsidRDefault="000066E6" w:rsidP="000066E6">
            <w:pPr>
              <w:jc w:val="right"/>
              <w:rPr>
                <w:rFonts w:ascii="Arial" w:hAnsi="Arial" w:cs="Arial"/>
                <w:color w:val="000000"/>
                <w:highlight w:val="yellow"/>
              </w:rPr>
            </w:pPr>
            <w:r>
              <w:rPr>
                <w:rFonts w:ascii="Calibri" w:hAnsi="Calibri" w:cs="Calibri"/>
                <w:color w:val="000000"/>
                <w:sz w:val="22"/>
                <w:szCs w:val="22"/>
              </w:rPr>
              <w:t>893</w:t>
            </w:r>
          </w:p>
        </w:tc>
        <w:tc>
          <w:tcPr>
            <w:tcW w:w="2349" w:type="dxa"/>
            <w:vAlign w:val="bottom"/>
            <w:hideMark/>
          </w:tcPr>
          <w:p w14:paraId="03B1E255" w14:textId="0EED3CC8" w:rsidR="000066E6" w:rsidRPr="00B5337E" w:rsidRDefault="000066E6" w:rsidP="000066E6">
            <w:pPr>
              <w:jc w:val="right"/>
              <w:rPr>
                <w:rFonts w:ascii="Arial" w:hAnsi="Arial" w:cs="Arial"/>
                <w:color w:val="000000"/>
                <w:highlight w:val="yellow"/>
              </w:rPr>
            </w:pPr>
            <w:r>
              <w:rPr>
                <w:rFonts w:ascii="Calibri" w:hAnsi="Calibri" w:cs="Calibri"/>
                <w:color w:val="000000"/>
                <w:sz w:val="22"/>
                <w:szCs w:val="22"/>
              </w:rPr>
              <w:t>0</w:t>
            </w:r>
          </w:p>
        </w:tc>
        <w:tc>
          <w:tcPr>
            <w:tcW w:w="2831" w:type="dxa"/>
            <w:vAlign w:val="bottom"/>
            <w:hideMark/>
          </w:tcPr>
          <w:p w14:paraId="5A449B4A" w14:textId="70B321A2" w:rsidR="000066E6" w:rsidRPr="00B5337E" w:rsidRDefault="000066E6" w:rsidP="000066E6">
            <w:pPr>
              <w:jc w:val="right"/>
              <w:rPr>
                <w:rFonts w:ascii="Arial" w:hAnsi="Arial" w:cs="Arial"/>
                <w:color w:val="000000"/>
                <w:highlight w:val="yellow"/>
              </w:rPr>
            </w:pPr>
            <w:r>
              <w:rPr>
                <w:rFonts w:ascii="Calibri" w:hAnsi="Calibri" w:cs="Calibri"/>
                <w:color w:val="000000"/>
                <w:sz w:val="22"/>
                <w:szCs w:val="22"/>
              </w:rPr>
              <w:t>893</w:t>
            </w:r>
          </w:p>
        </w:tc>
      </w:tr>
    </w:tbl>
    <w:p w14:paraId="3C41F34B" w14:textId="77777777" w:rsidR="0078270C" w:rsidRDefault="0078270C" w:rsidP="003B74DA">
      <w:pPr>
        <w:ind w:firstLine="720"/>
        <w:rPr>
          <w:rFonts w:ascii="Arial" w:hAnsi="Arial"/>
          <w:b/>
          <w:sz w:val="22"/>
          <w:szCs w:val="22"/>
        </w:rPr>
      </w:pPr>
    </w:p>
    <w:p w14:paraId="1D153D70" w14:textId="77777777" w:rsidR="00634844" w:rsidRDefault="00634844" w:rsidP="003B74DA">
      <w:pPr>
        <w:ind w:firstLine="720"/>
        <w:rPr>
          <w:rFonts w:ascii="Arial" w:hAnsi="Arial"/>
          <w:b/>
          <w:sz w:val="22"/>
          <w:szCs w:val="22"/>
        </w:rPr>
      </w:pPr>
    </w:p>
    <w:p w14:paraId="5C8246F2" w14:textId="7A6A4DC5" w:rsidR="004F304E" w:rsidRDefault="004F304E">
      <w:pPr>
        <w:rPr>
          <w:rFonts w:ascii="Arial" w:hAnsi="Arial"/>
          <w:b/>
          <w:sz w:val="22"/>
          <w:szCs w:val="22"/>
        </w:rPr>
      </w:pPr>
      <w:r>
        <w:rPr>
          <w:rFonts w:ascii="Arial" w:hAnsi="Arial"/>
          <w:b/>
          <w:sz w:val="22"/>
          <w:szCs w:val="22"/>
        </w:rPr>
        <w:br w:type="page"/>
      </w:r>
    </w:p>
    <w:p w14:paraId="5B366C56" w14:textId="77777777" w:rsidR="00634844" w:rsidRDefault="00634844" w:rsidP="003B74DA">
      <w:pPr>
        <w:ind w:firstLine="720"/>
        <w:rPr>
          <w:rFonts w:ascii="Arial" w:hAnsi="Arial"/>
          <w:b/>
          <w:sz w:val="22"/>
          <w:szCs w:val="22"/>
        </w:rPr>
      </w:pPr>
    </w:p>
    <w:p w14:paraId="25BA2DAB" w14:textId="0EDBF762" w:rsidR="003B74DA" w:rsidRPr="00172E65" w:rsidRDefault="003B74DA" w:rsidP="003B74DA">
      <w:pPr>
        <w:ind w:firstLine="720"/>
        <w:rPr>
          <w:rFonts w:ascii="Arial" w:hAnsi="Arial"/>
          <w:b/>
          <w:sz w:val="22"/>
          <w:szCs w:val="22"/>
        </w:rPr>
      </w:pPr>
      <w:r w:rsidRPr="00172E65">
        <w:rPr>
          <w:rFonts w:ascii="Arial" w:hAnsi="Arial"/>
          <w:b/>
          <w:sz w:val="22"/>
          <w:szCs w:val="22"/>
        </w:rPr>
        <w:t>PCC SINGLE ENTITY</w:t>
      </w:r>
      <w:r w:rsidR="00311A95" w:rsidRPr="00172E65">
        <w:rPr>
          <w:rFonts w:ascii="Arial" w:hAnsi="Arial"/>
          <w:b/>
          <w:sz w:val="22"/>
          <w:szCs w:val="22"/>
        </w:rPr>
        <w:t xml:space="preserve"> </w:t>
      </w:r>
      <w:r w:rsidR="00C37E7F">
        <w:rPr>
          <w:rFonts w:ascii="Arial" w:hAnsi="Arial"/>
          <w:b/>
          <w:sz w:val="22"/>
          <w:szCs w:val="22"/>
        </w:rPr>
        <w:t>2024/25</w:t>
      </w:r>
    </w:p>
    <w:p w14:paraId="2FCCC834" w14:textId="129AB4AC" w:rsidR="00AA2CED" w:rsidRPr="00172E65" w:rsidRDefault="00AA2CED" w:rsidP="003B74DA">
      <w:pPr>
        <w:ind w:firstLine="720"/>
      </w:pPr>
    </w:p>
    <w:tbl>
      <w:tblPr>
        <w:tblW w:w="15593" w:type="dxa"/>
        <w:tblLook w:val="04A0" w:firstRow="1" w:lastRow="0" w:firstColumn="1" w:lastColumn="0" w:noHBand="0" w:noVBand="1"/>
      </w:tblPr>
      <w:tblGrid>
        <w:gridCol w:w="2906"/>
        <w:gridCol w:w="2375"/>
        <w:gridCol w:w="2729"/>
        <w:gridCol w:w="2398"/>
        <w:gridCol w:w="2464"/>
        <w:gridCol w:w="2721"/>
      </w:tblGrid>
      <w:tr w:rsidR="00634844" w:rsidRPr="00634844" w14:paraId="106C24DF" w14:textId="77777777" w:rsidTr="00A6239A">
        <w:trPr>
          <w:trHeight w:val="900"/>
        </w:trPr>
        <w:tc>
          <w:tcPr>
            <w:tcW w:w="2906" w:type="dxa"/>
            <w:tcBorders>
              <w:top w:val="single" w:sz="8" w:space="0" w:color="auto"/>
              <w:left w:val="single" w:sz="8" w:space="0" w:color="auto"/>
              <w:bottom w:val="nil"/>
              <w:right w:val="nil"/>
            </w:tcBorders>
            <w:vAlign w:val="center"/>
            <w:hideMark/>
          </w:tcPr>
          <w:p w14:paraId="42CCB224" w14:textId="77777777" w:rsidR="00634844" w:rsidRPr="00634844" w:rsidRDefault="00634844" w:rsidP="00634844">
            <w:pPr>
              <w:rPr>
                <w:rFonts w:ascii="Arial" w:hAnsi="Arial" w:cs="Arial"/>
                <w:b/>
                <w:bCs/>
                <w:color w:val="000000"/>
                <w:sz w:val="22"/>
                <w:szCs w:val="22"/>
              </w:rPr>
            </w:pPr>
            <w:r w:rsidRPr="00634844">
              <w:rPr>
                <w:rFonts w:ascii="Arial" w:hAnsi="Arial" w:cs="Arial"/>
                <w:b/>
                <w:bCs/>
                <w:color w:val="000000"/>
                <w:sz w:val="22"/>
                <w:szCs w:val="22"/>
              </w:rPr>
              <w:t> </w:t>
            </w:r>
          </w:p>
        </w:tc>
        <w:tc>
          <w:tcPr>
            <w:tcW w:w="2375" w:type="dxa"/>
            <w:tcBorders>
              <w:top w:val="single" w:sz="8" w:space="0" w:color="auto"/>
              <w:left w:val="nil"/>
              <w:bottom w:val="nil"/>
              <w:right w:val="nil"/>
            </w:tcBorders>
            <w:shd w:val="clear" w:color="000000" w:fill="CCCCCC"/>
            <w:vAlign w:val="center"/>
            <w:hideMark/>
          </w:tcPr>
          <w:p w14:paraId="41DAE578"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Outturn position as reported to management</w:t>
            </w:r>
          </w:p>
        </w:tc>
        <w:tc>
          <w:tcPr>
            <w:tcW w:w="2729" w:type="dxa"/>
            <w:tcBorders>
              <w:top w:val="single" w:sz="8" w:space="0" w:color="auto"/>
              <w:left w:val="nil"/>
              <w:bottom w:val="nil"/>
              <w:right w:val="nil"/>
            </w:tcBorders>
            <w:shd w:val="clear" w:color="000000" w:fill="CCCCCC"/>
            <w:vAlign w:val="center"/>
            <w:hideMark/>
          </w:tcPr>
          <w:p w14:paraId="05A216FF"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 xml:space="preserve">Adjustments to arrive at net amount chargeable to Police General Fund* </w:t>
            </w:r>
          </w:p>
        </w:tc>
        <w:tc>
          <w:tcPr>
            <w:tcW w:w="2398" w:type="dxa"/>
            <w:tcBorders>
              <w:top w:val="single" w:sz="8" w:space="0" w:color="auto"/>
              <w:left w:val="nil"/>
              <w:bottom w:val="nil"/>
              <w:right w:val="nil"/>
            </w:tcBorders>
            <w:shd w:val="clear" w:color="000000" w:fill="CCCCCC"/>
            <w:vAlign w:val="center"/>
            <w:hideMark/>
          </w:tcPr>
          <w:p w14:paraId="3658E56A"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Net expenditure chargeable to Police General Fund</w:t>
            </w:r>
          </w:p>
        </w:tc>
        <w:tc>
          <w:tcPr>
            <w:tcW w:w="2464" w:type="dxa"/>
            <w:tcBorders>
              <w:top w:val="single" w:sz="8" w:space="0" w:color="auto"/>
              <w:left w:val="nil"/>
              <w:bottom w:val="nil"/>
              <w:right w:val="nil"/>
            </w:tcBorders>
            <w:shd w:val="clear" w:color="000000" w:fill="CCCCCC"/>
            <w:vAlign w:val="center"/>
            <w:hideMark/>
          </w:tcPr>
          <w:p w14:paraId="0B65F6DE"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Adjustments between the funding and accounting basis*</w:t>
            </w:r>
          </w:p>
        </w:tc>
        <w:tc>
          <w:tcPr>
            <w:tcW w:w="2721" w:type="dxa"/>
            <w:tcBorders>
              <w:top w:val="single" w:sz="8" w:space="0" w:color="auto"/>
              <w:left w:val="nil"/>
              <w:bottom w:val="nil"/>
              <w:right w:val="single" w:sz="8" w:space="0" w:color="auto"/>
            </w:tcBorders>
            <w:shd w:val="clear" w:color="000000" w:fill="CCCCCC"/>
            <w:vAlign w:val="center"/>
            <w:hideMark/>
          </w:tcPr>
          <w:p w14:paraId="61BC5094"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Net expenditure Comprehensive Income &amp; Expenditure Statement</w:t>
            </w:r>
          </w:p>
        </w:tc>
      </w:tr>
      <w:tr w:rsidR="00634844" w:rsidRPr="00634844" w14:paraId="146D8183" w14:textId="77777777" w:rsidTr="00A6239A">
        <w:trPr>
          <w:trHeight w:val="300"/>
        </w:trPr>
        <w:tc>
          <w:tcPr>
            <w:tcW w:w="2906" w:type="dxa"/>
            <w:tcBorders>
              <w:top w:val="nil"/>
              <w:left w:val="single" w:sz="8" w:space="0" w:color="auto"/>
              <w:bottom w:val="nil"/>
              <w:right w:val="nil"/>
            </w:tcBorders>
            <w:vAlign w:val="center"/>
            <w:hideMark/>
          </w:tcPr>
          <w:p w14:paraId="1FCF3018" w14:textId="77777777" w:rsidR="00634844" w:rsidRPr="00634844" w:rsidRDefault="00634844" w:rsidP="00634844">
            <w:pPr>
              <w:rPr>
                <w:rFonts w:ascii="Arial" w:hAnsi="Arial" w:cs="Arial"/>
                <w:b/>
                <w:bCs/>
                <w:color w:val="000000"/>
                <w:sz w:val="22"/>
                <w:szCs w:val="22"/>
              </w:rPr>
            </w:pPr>
            <w:r w:rsidRPr="00634844">
              <w:rPr>
                <w:rFonts w:ascii="Arial" w:hAnsi="Arial" w:cs="Arial"/>
                <w:b/>
                <w:bCs/>
                <w:color w:val="000000"/>
                <w:sz w:val="22"/>
                <w:szCs w:val="22"/>
              </w:rPr>
              <w:t> </w:t>
            </w:r>
          </w:p>
        </w:tc>
        <w:tc>
          <w:tcPr>
            <w:tcW w:w="2375" w:type="dxa"/>
            <w:tcBorders>
              <w:top w:val="nil"/>
              <w:left w:val="nil"/>
              <w:bottom w:val="nil"/>
              <w:right w:val="nil"/>
            </w:tcBorders>
            <w:shd w:val="clear" w:color="000000" w:fill="CCCCCC"/>
            <w:vAlign w:val="center"/>
            <w:hideMark/>
          </w:tcPr>
          <w:p w14:paraId="6A74BB38"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729" w:type="dxa"/>
            <w:tcBorders>
              <w:top w:val="nil"/>
              <w:left w:val="nil"/>
              <w:bottom w:val="nil"/>
              <w:right w:val="nil"/>
            </w:tcBorders>
            <w:shd w:val="clear" w:color="000000" w:fill="CCCCCC"/>
            <w:vAlign w:val="center"/>
            <w:hideMark/>
          </w:tcPr>
          <w:p w14:paraId="1B3F3D85"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398" w:type="dxa"/>
            <w:tcBorders>
              <w:top w:val="nil"/>
              <w:left w:val="nil"/>
              <w:bottom w:val="nil"/>
              <w:right w:val="nil"/>
            </w:tcBorders>
            <w:shd w:val="clear" w:color="000000" w:fill="CCCCCC"/>
            <w:vAlign w:val="center"/>
            <w:hideMark/>
          </w:tcPr>
          <w:p w14:paraId="6427D98D"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464" w:type="dxa"/>
            <w:tcBorders>
              <w:top w:val="nil"/>
              <w:left w:val="nil"/>
              <w:bottom w:val="nil"/>
              <w:right w:val="nil"/>
            </w:tcBorders>
            <w:shd w:val="clear" w:color="000000" w:fill="CCCCCC"/>
            <w:vAlign w:val="center"/>
            <w:hideMark/>
          </w:tcPr>
          <w:p w14:paraId="67D1E5F0"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721" w:type="dxa"/>
            <w:tcBorders>
              <w:top w:val="nil"/>
              <w:left w:val="nil"/>
              <w:bottom w:val="nil"/>
              <w:right w:val="single" w:sz="8" w:space="0" w:color="auto"/>
            </w:tcBorders>
            <w:shd w:val="clear" w:color="000000" w:fill="CCCCCC"/>
            <w:vAlign w:val="center"/>
            <w:hideMark/>
          </w:tcPr>
          <w:p w14:paraId="7A6F21B8" w14:textId="77777777" w:rsidR="00634844" w:rsidRPr="00634844" w:rsidRDefault="00634844" w:rsidP="00634844">
            <w:pPr>
              <w:jc w:val="right"/>
              <w:rPr>
                <w:rFonts w:ascii="Arial" w:hAnsi="Arial" w:cs="Arial"/>
                <w:b/>
                <w:bCs/>
                <w:color w:val="000000"/>
                <w:sz w:val="22"/>
                <w:szCs w:val="22"/>
              </w:rPr>
            </w:pPr>
            <w:r w:rsidRPr="00634844">
              <w:rPr>
                <w:rFonts w:ascii="Arial" w:hAnsi="Arial" w:cs="Arial"/>
                <w:b/>
                <w:bCs/>
                <w:color w:val="000000"/>
                <w:sz w:val="22"/>
                <w:szCs w:val="22"/>
              </w:rPr>
              <w:t>£000</w:t>
            </w:r>
          </w:p>
        </w:tc>
      </w:tr>
      <w:tr w:rsidR="006C76E5" w:rsidRPr="00634844" w14:paraId="61946776" w14:textId="77777777" w:rsidTr="00A6239A">
        <w:trPr>
          <w:trHeight w:val="300"/>
        </w:trPr>
        <w:tc>
          <w:tcPr>
            <w:tcW w:w="2906" w:type="dxa"/>
            <w:tcBorders>
              <w:top w:val="nil"/>
              <w:left w:val="single" w:sz="8" w:space="0" w:color="auto"/>
              <w:bottom w:val="nil"/>
              <w:right w:val="nil"/>
            </w:tcBorders>
            <w:vAlign w:val="center"/>
            <w:hideMark/>
          </w:tcPr>
          <w:p w14:paraId="480E4732" w14:textId="77777777" w:rsidR="006C76E5" w:rsidRPr="00634844" w:rsidRDefault="006C76E5" w:rsidP="006C76E5">
            <w:pPr>
              <w:rPr>
                <w:rFonts w:ascii="Arial" w:hAnsi="Arial" w:cs="Arial"/>
                <w:color w:val="000000"/>
              </w:rPr>
            </w:pPr>
            <w:r w:rsidRPr="00634844">
              <w:rPr>
                <w:rFonts w:ascii="Arial" w:hAnsi="Arial" w:cs="Arial"/>
                <w:color w:val="000000"/>
              </w:rPr>
              <w:t>Office of the PCC</w:t>
            </w:r>
          </w:p>
        </w:tc>
        <w:tc>
          <w:tcPr>
            <w:tcW w:w="2375" w:type="dxa"/>
            <w:tcBorders>
              <w:top w:val="nil"/>
              <w:left w:val="nil"/>
              <w:bottom w:val="nil"/>
              <w:right w:val="nil"/>
            </w:tcBorders>
            <w:shd w:val="clear" w:color="000000" w:fill="CCCCCC"/>
            <w:vAlign w:val="center"/>
            <w:hideMark/>
          </w:tcPr>
          <w:p w14:paraId="66CE2360" w14:textId="01921C50" w:rsidR="006C76E5" w:rsidRPr="00634844" w:rsidRDefault="006C76E5" w:rsidP="006C76E5">
            <w:pPr>
              <w:jc w:val="right"/>
              <w:rPr>
                <w:rFonts w:ascii="Arial" w:hAnsi="Arial" w:cs="Arial"/>
                <w:b/>
                <w:bCs/>
                <w:color w:val="000000"/>
              </w:rPr>
            </w:pPr>
            <w:r>
              <w:rPr>
                <w:rFonts w:ascii="Arial" w:hAnsi="Arial" w:cs="Arial"/>
                <w:b/>
                <w:bCs/>
                <w:color w:val="000000"/>
              </w:rPr>
              <w:t>1,947</w:t>
            </w:r>
          </w:p>
        </w:tc>
        <w:tc>
          <w:tcPr>
            <w:tcW w:w="2729" w:type="dxa"/>
            <w:tcBorders>
              <w:top w:val="nil"/>
              <w:left w:val="nil"/>
              <w:bottom w:val="nil"/>
              <w:right w:val="nil"/>
            </w:tcBorders>
            <w:shd w:val="clear" w:color="000000" w:fill="CCCCCC"/>
            <w:vAlign w:val="center"/>
            <w:hideMark/>
          </w:tcPr>
          <w:p w14:paraId="0D300E64" w14:textId="0DF32030" w:rsidR="006C76E5" w:rsidRPr="00634844" w:rsidRDefault="006C76E5" w:rsidP="006C76E5">
            <w:pPr>
              <w:jc w:val="right"/>
              <w:rPr>
                <w:rFonts w:ascii="Arial" w:hAnsi="Arial" w:cs="Arial"/>
                <w:b/>
                <w:bCs/>
                <w:color w:val="000000"/>
              </w:rPr>
            </w:pPr>
            <w:r>
              <w:rPr>
                <w:rFonts w:ascii="Arial" w:hAnsi="Arial" w:cs="Arial"/>
                <w:b/>
                <w:bCs/>
                <w:color w:val="000000"/>
              </w:rPr>
              <w:t>6</w:t>
            </w:r>
            <w:r w:rsidR="003F1D05">
              <w:rPr>
                <w:rFonts w:ascii="Arial" w:hAnsi="Arial" w:cs="Arial"/>
                <w:b/>
                <w:bCs/>
                <w:color w:val="000000"/>
              </w:rPr>
              <w:t>58</w:t>
            </w:r>
          </w:p>
        </w:tc>
        <w:tc>
          <w:tcPr>
            <w:tcW w:w="2398" w:type="dxa"/>
            <w:tcBorders>
              <w:top w:val="nil"/>
              <w:left w:val="nil"/>
              <w:bottom w:val="nil"/>
              <w:right w:val="nil"/>
            </w:tcBorders>
            <w:shd w:val="clear" w:color="000000" w:fill="CCCCCC"/>
            <w:vAlign w:val="center"/>
            <w:hideMark/>
          </w:tcPr>
          <w:p w14:paraId="07A4D71E" w14:textId="432689DC" w:rsidR="006C76E5" w:rsidRPr="00634844" w:rsidRDefault="006C76E5" w:rsidP="006C76E5">
            <w:pPr>
              <w:jc w:val="right"/>
              <w:rPr>
                <w:rFonts w:ascii="Arial" w:hAnsi="Arial" w:cs="Arial"/>
                <w:b/>
                <w:bCs/>
                <w:color w:val="000000"/>
              </w:rPr>
            </w:pPr>
            <w:r>
              <w:rPr>
                <w:rFonts w:ascii="Arial" w:hAnsi="Arial" w:cs="Arial"/>
                <w:b/>
                <w:bCs/>
                <w:color w:val="000000"/>
              </w:rPr>
              <w:t>2,</w:t>
            </w:r>
            <w:r w:rsidR="003F1D05">
              <w:rPr>
                <w:rFonts w:ascii="Arial" w:hAnsi="Arial" w:cs="Arial"/>
                <w:b/>
                <w:bCs/>
                <w:color w:val="000000"/>
              </w:rPr>
              <w:t>605</w:t>
            </w:r>
          </w:p>
        </w:tc>
        <w:tc>
          <w:tcPr>
            <w:tcW w:w="2464" w:type="dxa"/>
            <w:tcBorders>
              <w:top w:val="nil"/>
              <w:left w:val="nil"/>
              <w:bottom w:val="nil"/>
              <w:right w:val="nil"/>
            </w:tcBorders>
            <w:shd w:val="clear" w:color="000000" w:fill="CCCCCC"/>
            <w:vAlign w:val="center"/>
            <w:hideMark/>
          </w:tcPr>
          <w:p w14:paraId="59DD43A2" w14:textId="0FEBCD3D" w:rsidR="006C76E5" w:rsidRPr="00634844" w:rsidRDefault="006C76E5" w:rsidP="006C76E5">
            <w:pPr>
              <w:jc w:val="right"/>
              <w:rPr>
                <w:rFonts w:ascii="Arial" w:hAnsi="Arial" w:cs="Arial"/>
                <w:b/>
                <w:bCs/>
                <w:color w:val="000000"/>
              </w:rPr>
            </w:pPr>
            <w:r>
              <w:rPr>
                <w:rFonts w:ascii="Arial" w:hAnsi="Arial" w:cs="Arial"/>
                <w:b/>
                <w:bCs/>
                <w:color w:val="000000"/>
              </w:rPr>
              <w:t>(284)</w:t>
            </w:r>
          </w:p>
        </w:tc>
        <w:tc>
          <w:tcPr>
            <w:tcW w:w="2721" w:type="dxa"/>
            <w:tcBorders>
              <w:top w:val="nil"/>
              <w:left w:val="nil"/>
              <w:bottom w:val="nil"/>
              <w:right w:val="single" w:sz="8" w:space="0" w:color="auto"/>
            </w:tcBorders>
            <w:shd w:val="clear" w:color="000000" w:fill="CCCCCC"/>
            <w:vAlign w:val="center"/>
            <w:hideMark/>
          </w:tcPr>
          <w:p w14:paraId="18787E5D" w14:textId="38838E25" w:rsidR="006C76E5" w:rsidRPr="00634844" w:rsidRDefault="006C76E5" w:rsidP="006C76E5">
            <w:pPr>
              <w:jc w:val="right"/>
              <w:rPr>
                <w:rFonts w:ascii="Arial" w:hAnsi="Arial" w:cs="Arial"/>
                <w:b/>
                <w:bCs/>
                <w:color w:val="000000"/>
              </w:rPr>
            </w:pPr>
            <w:r>
              <w:rPr>
                <w:rFonts w:ascii="Arial" w:hAnsi="Arial" w:cs="Arial"/>
                <w:b/>
                <w:bCs/>
                <w:color w:val="000000"/>
              </w:rPr>
              <w:t>2,3</w:t>
            </w:r>
            <w:r w:rsidR="00F2658C">
              <w:rPr>
                <w:rFonts w:ascii="Arial" w:hAnsi="Arial" w:cs="Arial"/>
                <w:b/>
                <w:bCs/>
                <w:color w:val="000000"/>
              </w:rPr>
              <w:t>21</w:t>
            </w:r>
          </w:p>
        </w:tc>
      </w:tr>
      <w:tr w:rsidR="006C76E5" w:rsidRPr="00634844" w14:paraId="7AA6068F" w14:textId="77777777" w:rsidTr="00A6239A">
        <w:trPr>
          <w:trHeight w:val="300"/>
        </w:trPr>
        <w:tc>
          <w:tcPr>
            <w:tcW w:w="2906" w:type="dxa"/>
            <w:tcBorders>
              <w:top w:val="nil"/>
              <w:left w:val="single" w:sz="8" w:space="0" w:color="auto"/>
              <w:bottom w:val="nil"/>
              <w:right w:val="nil"/>
            </w:tcBorders>
            <w:vAlign w:val="center"/>
            <w:hideMark/>
          </w:tcPr>
          <w:p w14:paraId="1552041E" w14:textId="54BC5285" w:rsidR="006C76E5" w:rsidRPr="00634844" w:rsidRDefault="0081765F" w:rsidP="006C76E5">
            <w:pPr>
              <w:rPr>
                <w:rFonts w:ascii="Arial" w:hAnsi="Arial" w:cs="Arial"/>
                <w:color w:val="000000"/>
              </w:rPr>
            </w:pPr>
            <w:r>
              <w:rPr>
                <w:rFonts w:ascii="Arial" w:hAnsi="Arial" w:cs="Arial"/>
                <w:color w:val="000000"/>
              </w:rPr>
              <w:t>Prevention</w:t>
            </w:r>
          </w:p>
        </w:tc>
        <w:tc>
          <w:tcPr>
            <w:tcW w:w="2375" w:type="dxa"/>
            <w:tcBorders>
              <w:top w:val="nil"/>
              <w:left w:val="nil"/>
              <w:bottom w:val="nil"/>
              <w:right w:val="nil"/>
            </w:tcBorders>
            <w:shd w:val="clear" w:color="000000" w:fill="CCCCCC"/>
            <w:vAlign w:val="center"/>
            <w:hideMark/>
          </w:tcPr>
          <w:p w14:paraId="0674BC1B" w14:textId="50D35840" w:rsidR="006C76E5" w:rsidRPr="00634844" w:rsidRDefault="006C76E5" w:rsidP="006C76E5">
            <w:pPr>
              <w:jc w:val="right"/>
              <w:rPr>
                <w:rFonts w:ascii="Arial" w:hAnsi="Arial" w:cs="Arial"/>
                <w:b/>
                <w:bCs/>
                <w:color w:val="000000"/>
              </w:rPr>
            </w:pPr>
            <w:r>
              <w:rPr>
                <w:rFonts w:ascii="Arial" w:hAnsi="Arial" w:cs="Arial"/>
                <w:b/>
                <w:bCs/>
                <w:color w:val="000000"/>
              </w:rPr>
              <w:t>754</w:t>
            </w:r>
          </w:p>
        </w:tc>
        <w:tc>
          <w:tcPr>
            <w:tcW w:w="2729" w:type="dxa"/>
            <w:tcBorders>
              <w:top w:val="nil"/>
              <w:left w:val="nil"/>
              <w:bottom w:val="nil"/>
              <w:right w:val="nil"/>
            </w:tcBorders>
            <w:shd w:val="clear" w:color="000000" w:fill="CCCCCC"/>
            <w:vAlign w:val="center"/>
            <w:hideMark/>
          </w:tcPr>
          <w:p w14:paraId="47611D0B" w14:textId="795419CE" w:rsidR="006C76E5" w:rsidRPr="00634844" w:rsidRDefault="006C76E5" w:rsidP="006C76E5">
            <w:pPr>
              <w:jc w:val="right"/>
              <w:rPr>
                <w:rFonts w:ascii="Arial" w:hAnsi="Arial" w:cs="Arial"/>
                <w:b/>
                <w:bCs/>
                <w:color w:val="000000"/>
              </w:rPr>
            </w:pPr>
            <w:r>
              <w:rPr>
                <w:rFonts w:ascii="Arial" w:hAnsi="Arial" w:cs="Arial"/>
                <w:b/>
                <w:bCs/>
                <w:color w:val="000000"/>
              </w:rPr>
              <w:t>(3,357)</w:t>
            </w:r>
          </w:p>
        </w:tc>
        <w:tc>
          <w:tcPr>
            <w:tcW w:w="2398" w:type="dxa"/>
            <w:tcBorders>
              <w:top w:val="nil"/>
              <w:left w:val="nil"/>
              <w:bottom w:val="nil"/>
              <w:right w:val="nil"/>
            </w:tcBorders>
            <w:shd w:val="clear" w:color="000000" w:fill="CCCCCC"/>
            <w:vAlign w:val="center"/>
            <w:hideMark/>
          </w:tcPr>
          <w:p w14:paraId="73A4028A" w14:textId="7AC095F7" w:rsidR="006C76E5" w:rsidRPr="00634844" w:rsidRDefault="006C76E5" w:rsidP="006C76E5">
            <w:pPr>
              <w:jc w:val="right"/>
              <w:rPr>
                <w:rFonts w:ascii="Arial" w:hAnsi="Arial" w:cs="Arial"/>
                <w:b/>
                <w:bCs/>
                <w:color w:val="000000"/>
              </w:rPr>
            </w:pPr>
            <w:r>
              <w:rPr>
                <w:rFonts w:ascii="Arial" w:hAnsi="Arial" w:cs="Arial"/>
                <w:b/>
                <w:bCs/>
                <w:color w:val="000000"/>
              </w:rPr>
              <w:t>(2,603)</w:t>
            </w:r>
          </w:p>
        </w:tc>
        <w:tc>
          <w:tcPr>
            <w:tcW w:w="2464" w:type="dxa"/>
            <w:tcBorders>
              <w:top w:val="nil"/>
              <w:left w:val="nil"/>
              <w:bottom w:val="nil"/>
              <w:right w:val="nil"/>
            </w:tcBorders>
            <w:shd w:val="clear" w:color="000000" w:fill="CCCCCC"/>
            <w:vAlign w:val="center"/>
            <w:hideMark/>
          </w:tcPr>
          <w:p w14:paraId="76025646" w14:textId="246546BE" w:rsidR="006C76E5" w:rsidRPr="00634844" w:rsidRDefault="006C76E5" w:rsidP="006C76E5">
            <w:pPr>
              <w:jc w:val="right"/>
              <w:rPr>
                <w:rFonts w:ascii="Arial" w:hAnsi="Arial" w:cs="Arial"/>
                <w:b/>
                <w:bCs/>
                <w:color w:val="000000"/>
              </w:rPr>
            </w:pPr>
            <w:r>
              <w:rPr>
                <w:rFonts w:ascii="Arial" w:hAnsi="Arial" w:cs="Arial"/>
                <w:b/>
                <w:bCs/>
                <w:color w:val="000000"/>
              </w:rPr>
              <w:t>(29)</w:t>
            </w:r>
          </w:p>
        </w:tc>
        <w:tc>
          <w:tcPr>
            <w:tcW w:w="2721" w:type="dxa"/>
            <w:tcBorders>
              <w:top w:val="nil"/>
              <w:left w:val="nil"/>
              <w:bottom w:val="nil"/>
              <w:right w:val="single" w:sz="8" w:space="0" w:color="auto"/>
            </w:tcBorders>
            <w:shd w:val="clear" w:color="000000" w:fill="CCCCCC"/>
            <w:vAlign w:val="center"/>
            <w:hideMark/>
          </w:tcPr>
          <w:p w14:paraId="52B4BC3B" w14:textId="289B08FE" w:rsidR="006C76E5" w:rsidRPr="00634844" w:rsidRDefault="006C76E5" w:rsidP="006C76E5">
            <w:pPr>
              <w:jc w:val="right"/>
              <w:rPr>
                <w:rFonts w:ascii="Arial" w:hAnsi="Arial" w:cs="Arial"/>
                <w:b/>
                <w:bCs/>
                <w:color w:val="000000"/>
              </w:rPr>
            </w:pPr>
            <w:r>
              <w:rPr>
                <w:rFonts w:ascii="Arial" w:hAnsi="Arial" w:cs="Arial"/>
                <w:b/>
                <w:bCs/>
                <w:color w:val="000000"/>
              </w:rPr>
              <w:t>(2,632)</w:t>
            </w:r>
          </w:p>
        </w:tc>
      </w:tr>
      <w:tr w:rsidR="006C76E5" w:rsidRPr="00634844" w14:paraId="6EB93692" w14:textId="77777777" w:rsidTr="00A6239A">
        <w:trPr>
          <w:trHeight w:val="510"/>
        </w:trPr>
        <w:tc>
          <w:tcPr>
            <w:tcW w:w="2906" w:type="dxa"/>
            <w:tcBorders>
              <w:top w:val="nil"/>
              <w:left w:val="single" w:sz="8" w:space="0" w:color="auto"/>
              <w:bottom w:val="nil"/>
              <w:right w:val="nil"/>
            </w:tcBorders>
            <w:vAlign w:val="center"/>
            <w:hideMark/>
          </w:tcPr>
          <w:p w14:paraId="4E56A811" w14:textId="77777777" w:rsidR="006C76E5" w:rsidRPr="00634844" w:rsidRDefault="006C76E5" w:rsidP="006C76E5">
            <w:pPr>
              <w:rPr>
                <w:rFonts w:ascii="Arial" w:hAnsi="Arial" w:cs="Arial"/>
                <w:color w:val="000000"/>
              </w:rPr>
            </w:pPr>
            <w:r w:rsidRPr="00634844">
              <w:rPr>
                <w:rFonts w:ascii="Arial" w:hAnsi="Arial" w:cs="Arial"/>
                <w:color w:val="000000"/>
              </w:rPr>
              <w:t>Victim and Domestic Abuse services</w:t>
            </w:r>
          </w:p>
        </w:tc>
        <w:tc>
          <w:tcPr>
            <w:tcW w:w="2375" w:type="dxa"/>
            <w:tcBorders>
              <w:top w:val="nil"/>
              <w:left w:val="nil"/>
              <w:bottom w:val="nil"/>
              <w:right w:val="nil"/>
            </w:tcBorders>
            <w:shd w:val="clear" w:color="000000" w:fill="CCCCCC"/>
            <w:vAlign w:val="center"/>
            <w:hideMark/>
          </w:tcPr>
          <w:p w14:paraId="6D7A616D" w14:textId="14434F32" w:rsidR="006C76E5" w:rsidRPr="00634844" w:rsidRDefault="006C76E5" w:rsidP="006C76E5">
            <w:pPr>
              <w:jc w:val="right"/>
              <w:rPr>
                <w:rFonts w:ascii="Arial" w:hAnsi="Arial" w:cs="Arial"/>
                <w:b/>
                <w:bCs/>
                <w:color w:val="000000"/>
              </w:rPr>
            </w:pPr>
            <w:r>
              <w:rPr>
                <w:rFonts w:ascii="Arial" w:hAnsi="Arial" w:cs="Arial"/>
                <w:b/>
                <w:bCs/>
                <w:color w:val="000000"/>
              </w:rPr>
              <w:t>720</w:t>
            </w:r>
          </w:p>
        </w:tc>
        <w:tc>
          <w:tcPr>
            <w:tcW w:w="2729" w:type="dxa"/>
            <w:tcBorders>
              <w:top w:val="nil"/>
              <w:left w:val="nil"/>
              <w:bottom w:val="nil"/>
              <w:right w:val="nil"/>
            </w:tcBorders>
            <w:shd w:val="clear" w:color="000000" w:fill="CCCCCC"/>
            <w:vAlign w:val="center"/>
            <w:hideMark/>
          </w:tcPr>
          <w:p w14:paraId="0AF876DB" w14:textId="56417E7F" w:rsidR="006C76E5" w:rsidRPr="00634844" w:rsidRDefault="006C76E5" w:rsidP="006C76E5">
            <w:pPr>
              <w:jc w:val="right"/>
              <w:rPr>
                <w:rFonts w:ascii="Arial" w:hAnsi="Arial" w:cs="Arial"/>
                <w:b/>
                <w:bCs/>
                <w:color w:val="000000"/>
              </w:rPr>
            </w:pPr>
            <w:r>
              <w:rPr>
                <w:rFonts w:ascii="Arial" w:hAnsi="Arial" w:cs="Arial"/>
                <w:b/>
                <w:bCs/>
                <w:color w:val="000000"/>
              </w:rPr>
              <w:t>0</w:t>
            </w:r>
          </w:p>
        </w:tc>
        <w:tc>
          <w:tcPr>
            <w:tcW w:w="2398" w:type="dxa"/>
            <w:tcBorders>
              <w:top w:val="nil"/>
              <w:left w:val="nil"/>
              <w:bottom w:val="nil"/>
              <w:right w:val="nil"/>
            </w:tcBorders>
            <w:shd w:val="clear" w:color="000000" w:fill="CCCCCC"/>
            <w:vAlign w:val="center"/>
            <w:hideMark/>
          </w:tcPr>
          <w:p w14:paraId="78F46488" w14:textId="47488BDD" w:rsidR="006C76E5" w:rsidRPr="00634844" w:rsidRDefault="006C76E5" w:rsidP="006C76E5">
            <w:pPr>
              <w:jc w:val="right"/>
              <w:rPr>
                <w:rFonts w:ascii="Arial" w:hAnsi="Arial" w:cs="Arial"/>
                <w:b/>
                <w:bCs/>
                <w:color w:val="000000"/>
              </w:rPr>
            </w:pPr>
            <w:r>
              <w:rPr>
                <w:rFonts w:ascii="Arial" w:hAnsi="Arial" w:cs="Arial"/>
                <w:b/>
                <w:bCs/>
                <w:color w:val="000000"/>
              </w:rPr>
              <w:t>720</w:t>
            </w:r>
          </w:p>
        </w:tc>
        <w:tc>
          <w:tcPr>
            <w:tcW w:w="2464" w:type="dxa"/>
            <w:tcBorders>
              <w:top w:val="nil"/>
              <w:left w:val="nil"/>
              <w:bottom w:val="nil"/>
              <w:right w:val="nil"/>
            </w:tcBorders>
            <w:shd w:val="clear" w:color="000000" w:fill="CCCCCC"/>
            <w:vAlign w:val="center"/>
            <w:hideMark/>
          </w:tcPr>
          <w:p w14:paraId="52C19F5B" w14:textId="07264F73" w:rsidR="006C76E5" w:rsidRPr="00634844" w:rsidRDefault="006C76E5" w:rsidP="006C76E5">
            <w:pPr>
              <w:jc w:val="right"/>
              <w:rPr>
                <w:rFonts w:ascii="Arial" w:hAnsi="Arial" w:cs="Arial"/>
                <w:b/>
                <w:bCs/>
                <w:color w:val="000000"/>
              </w:rPr>
            </w:pPr>
            <w:r>
              <w:rPr>
                <w:rFonts w:ascii="Arial" w:hAnsi="Arial" w:cs="Arial"/>
                <w:b/>
                <w:bCs/>
                <w:color w:val="000000"/>
              </w:rPr>
              <w:t>(44)</w:t>
            </w:r>
          </w:p>
        </w:tc>
        <w:tc>
          <w:tcPr>
            <w:tcW w:w="2721" w:type="dxa"/>
            <w:tcBorders>
              <w:top w:val="nil"/>
              <w:left w:val="nil"/>
              <w:bottom w:val="nil"/>
              <w:right w:val="single" w:sz="8" w:space="0" w:color="auto"/>
            </w:tcBorders>
            <w:shd w:val="clear" w:color="000000" w:fill="CCCCCC"/>
            <w:vAlign w:val="center"/>
            <w:hideMark/>
          </w:tcPr>
          <w:p w14:paraId="690B39E7" w14:textId="3E167AEE" w:rsidR="006C76E5" w:rsidRPr="00634844" w:rsidRDefault="006C76E5" w:rsidP="006C76E5">
            <w:pPr>
              <w:jc w:val="right"/>
              <w:rPr>
                <w:rFonts w:ascii="Arial" w:hAnsi="Arial" w:cs="Arial"/>
                <w:b/>
                <w:bCs/>
                <w:color w:val="000000"/>
              </w:rPr>
            </w:pPr>
            <w:r>
              <w:rPr>
                <w:rFonts w:ascii="Arial" w:hAnsi="Arial" w:cs="Arial"/>
                <w:b/>
                <w:bCs/>
                <w:color w:val="000000"/>
              </w:rPr>
              <w:t>676</w:t>
            </w:r>
          </w:p>
        </w:tc>
      </w:tr>
      <w:tr w:rsidR="006C76E5" w:rsidRPr="00634844" w14:paraId="385C8E28" w14:textId="77777777" w:rsidTr="00A6239A">
        <w:trPr>
          <w:trHeight w:val="300"/>
        </w:trPr>
        <w:tc>
          <w:tcPr>
            <w:tcW w:w="2906" w:type="dxa"/>
            <w:tcBorders>
              <w:top w:val="nil"/>
              <w:left w:val="single" w:sz="8" w:space="0" w:color="auto"/>
              <w:bottom w:val="nil"/>
              <w:right w:val="nil"/>
            </w:tcBorders>
            <w:vAlign w:val="center"/>
            <w:hideMark/>
          </w:tcPr>
          <w:p w14:paraId="526F6F35" w14:textId="77777777" w:rsidR="006C76E5" w:rsidRPr="00634844" w:rsidRDefault="006C76E5" w:rsidP="006C76E5">
            <w:pPr>
              <w:rPr>
                <w:rFonts w:ascii="Arial" w:hAnsi="Arial" w:cs="Arial"/>
                <w:color w:val="000000"/>
              </w:rPr>
            </w:pPr>
            <w:r w:rsidRPr="00634844">
              <w:rPr>
                <w:rFonts w:ascii="Arial" w:hAnsi="Arial" w:cs="Arial"/>
                <w:color w:val="000000"/>
              </w:rPr>
              <w:t>PCC Non-Devolved Budgets</w:t>
            </w:r>
          </w:p>
        </w:tc>
        <w:tc>
          <w:tcPr>
            <w:tcW w:w="2375" w:type="dxa"/>
            <w:tcBorders>
              <w:top w:val="nil"/>
              <w:left w:val="nil"/>
              <w:bottom w:val="nil"/>
              <w:right w:val="nil"/>
            </w:tcBorders>
            <w:shd w:val="clear" w:color="000000" w:fill="CCCCCC"/>
            <w:vAlign w:val="center"/>
            <w:hideMark/>
          </w:tcPr>
          <w:p w14:paraId="180A1AF3" w14:textId="280E63C7" w:rsidR="006C76E5" w:rsidRPr="00634844" w:rsidRDefault="006C76E5" w:rsidP="006C76E5">
            <w:pPr>
              <w:jc w:val="right"/>
              <w:rPr>
                <w:rFonts w:ascii="Arial" w:hAnsi="Arial" w:cs="Arial"/>
                <w:b/>
                <w:bCs/>
                <w:color w:val="000000"/>
              </w:rPr>
            </w:pPr>
            <w:r>
              <w:rPr>
                <w:rFonts w:ascii="Arial" w:hAnsi="Arial" w:cs="Arial"/>
                <w:b/>
                <w:bCs/>
                <w:color w:val="000000"/>
              </w:rPr>
              <w:t>1,978</w:t>
            </w:r>
          </w:p>
        </w:tc>
        <w:tc>
          <w:tcPr>
            <w:tcW w:w="2729" w:type="dxa"/>
            <w:tcBorders>
              <w:top w:val="nil"/>
              <w:left w:val="nil"/>
              <w:bottom w:val="nil"/>
              <w:right w:val="nil"/>
            </w:tcBorders>
            <w:shd w:val="clear" w:color="000000" w:fill="CCCCCC"/>
            <w:vAlign w:val="center"/>
            <w:hideMark/>
          </w:tcPr>
          <w:p w14:paraId="56B895D2" w14:textId="0D66F561" w:rsidR="006C76E5" w:rsidRPr="00634844" w:rsidRDefault="006C76E5" w:rsidP="006C76E5">
            <w:pPr>
              <w:jc w:val="right"/>
              <w:rPr>
                <w:rFonts w:ascii="Arial" w:hAnsi="Arial" w:cs="Arial"/>
                <w:b/>
                <w:bCs/>
                <w:color w:val="000000"/>
              </w:rPr>
            </w:pPr>
            <w:r>
              <w:rPr>
                <w:rFonts w:ascii="Arial" w:hAnsi="Arial" w:cs="Arial"/>
                <w:b/>
                <w:bCs/>
                <w:color w:val="000000"/>
              </w:rPr>
              <w:t>(24,224)</w:t>
            </w:r>
          </w:p>
        </w:tc>
        <w:tc>
          <w:tcPr>
            <w:tcW w:w="2398" w:type="dxa"/>
            <w:tcBorders>
              <w:top w:val="nil"/>
              <w:left w:val="nil"/>
              <w:bottom w:val="nil"/>
              <w:right w:val="nil"/>
            </w:tcBorders>
            <w:shd w:val="clear" w:color="000000" w:fill="CCCCCC"/>
            <w:vAlign w:val="center"/>
            <w:hideMark/>
          </w:tcPr>
          <w:p w14:paraId="02588650" w14:textId="553BC9AA" w:rsidR="006C76E5" w:rsidRPr="00634844" w:rsidRDefault="006C76E5" w:rsidP="006C76E5">
            <w:pPr>
              <w:jc w:val="right"/>
              <w:rPr>
                <w:rFonts w:ascii="Arial" w:hAnsi="Arial" w:cs="Arial"/>
                <w:b/>
                <w:bCs/>
                <w:color w:val="000000"/>
              </w:rPr>
            </w:pPr>
            <w:r>
              <w:rPr>
                <w:rFonts w:ascii="Arial" w:hAnsi="Arial" w:cs="Arial"/>
                <w:b/>
                <w:bCs/>
                <w:color w:val="000000"/>
              </w:rPr>
              <w:t>(22,246)</w:t>
            </w:r>
          </w:p>
        </w:tc>
        <w:tc>
          <w:tcPr>
            <w:tcW w:w="2464" w:type="dxa"/>
            <w:tcBorders>
              <w:top w:val="nil"/>
              <w:left w:val="nil"/>
              <w:bottom w:val="nil"/>
              <w:right w:val="nil"/>
            </w:tcBorders>
            <w:shd w:val="clear" w:color="000000" w:fill="CCCCCC"/>
            <w:vAlign w:val="center"/>
            <w:hideMark/>
          </w:tcPr>
          <w:p w14:paraId="1925698E" w14:textId="3191D668" w:rsidR="006C76E5" w:rsidRPr="00634844" w:rsidRDefault="006C76E5" w:rsidP="006C76E5">
            <w:pPr>
              <w:jc w:val="right"/>
              <w:rPr>
                <w:rFonts w:ascii="Arial" w:hAnsi="Arial" w:cs="Arial"/>
                <w:b/>
                <w:bCs/>
                <w:color w:val="000000"/>
              </w:rPr>
            </w:pPr>
            <w:r>
              <w:rPr>
                <w:rFonts w:ascii="Arial" w:hAnsi="Arial" w:cs="Arial"/>
                <w:b/>
                <w:bCs/>
                <w:color w:val="000000"/>
              </w:rPr>
              <w:t>22,562</w:t>
            </w:r>
          </w:p>
        </w:tc>
        <w:tc>
          <w:tcPr>
            <w:tcW w:w="2721" w:type="dxa"/>
            <w:tcBorders>
              <w:top w:val="nil"/>
              <w:left w:val="nil"/>
              <w:bottom w:val="nil"/>
              <w:right w:val="single" w:sz="8" w:space="0" w:color="auto"/>
            </w:tcBorders>
            <w:shd w:val="clear" w:color="000000" w:fill="CCCCCC"/>
            <w:vAlign w:val="center"/>
            <w:hideMark/>
          </w:tcPr>
          <w:p w14:paraId="4B4F32CC" w14:textId="6BBD1217" w:rsidR="006C76E5" w:rsidRPr="00634844" w:rsidRDefault="006C76E5" w:rsidP="006C76E5">
            <w:pPr>
              <w:jc w:val="right"/>
              <w:rPr>
                <w:rFonts w:ascii="Arial" w:hAnsi="Arial" w:cs="Arial"/>
                <w:b/>
                <w:bCs/>
                <w:color w:val="000000"/>
              </w:rPr>
            </w:pPr>
            <w:r>
              <w:rPr>
                <w:rFonts w:ascii="Arial" w:hAnsi="Arial" w:cs="Arial"/>
                <w:b/>
                <w:bCs/>
                <w:color w:val="000000"/>
              </w:rPr>
              <w:t>316</w:t>
            </w:r>
          </w:p>
        </w:tc>
      </w:tr>
      <w:tr w:rsidR="006C76E5" w:rsidRPr="00634844" w14:paraId="71F03755" w14:textId="77777777" w:rsidTr="00A6239A">
        <w:trPr>
          <w:trHeight w:val="300"/>
        </w:trPr>
        <w:tc>
          <w:tcPr>
            <w:tcW w:w="2906" w:type="dxa"/>
            <w:tcBorders>
              <w:top w:val="nil"/>
              <w:left w:val="single" w:sz="8" w:space="0" w:color="auto"/>
              <w:bottom w:val="nil"/>
              <w:right w:val="nil"/>
            </w:tcBorders>
            <w:vAlign w:val="center"/>
            <w:hideMark/>
          </w:tcPr>
          <w:p w14:paraId="51C66A66" w14:textId="77777777" w:rsidR="006C76E5" w:rsidRPr="00634844" w:rsidRDefault="006C76E5" w:rsidP="006C76E5">
            <w:pPr>
              <w:rPr>
                <w:rFonts w:ascii="Arial" w:hAnsi="Arial" w:cs="Arial"/>
                <w:color w:val="000000"/>
              </w:rPr>
            </w:pPr>
            <w:r w:rsidRPr="00634844">
              <w:rPr>
                <w:rFonts w:ascii="Arial" w:hAnsi="Arial" w:cs="Arial"/>
                <w:color w:val="000000"/>
              </w:rPr>
              <w:t>Funding provided to the CC</w:t>
            </w:r>
          </w:p>
        </w:tc>
        <w:tc>
          <w:tcPr>
            <w:tcW w:w="2375" w:type="dxa"/>
            <w:tcBorders>
              <w:top w:val="nil"/>
              <w:left w:val="nil"/>
              <w:bottom w:val="nil"/>
              <w:right w:val="nil"/>
            </w:tcBorders>
            <w:shd w:val="clear" w:color="000000" w:fill="CCCCCC"/>
            <w:vAlign w:val="center"/>
            <w:hideMark/>
          </w:tcPr>
          <w:p w14:paraId="43ECAB0A" w14:textId="3E8F5B59" w:rsidR="006C76E5" w:rsidRPr="00634844" w:rsidRDefault="006C76E5" w:rsidP="006C76E5">
            <w:pPr>
              <w:jc w:val="right"/>
              <w:rPr>
                <w:rFonts w:ascii="Arial" w:hAnsi="Arial" w:cs="Arial"/>
                <w:b/>
                <w:bCs/>
                <w:color w:val="000000"/>
              </w:rPr>
            </w:pPr>
            <w:r>
              <w:rPr>
                <w:rFonts w:ascii="Arial" w:hAnsi="Arial" w:cs="Arial"/>
                <w:b/>
                <w:bCs/>
                <w:color w:val="000000"/>
              </w:rPr>
              <w:t>0</w:t>
            </w:r>
          </w:p>
        </w:tc>
        <w:tc>
          <w:tcPr>
            <w:tcW w:w="2729" w:type="dxa"/>
            <w:tcBorders>
              <w:top w:val="nil"/>
              <w:left w:val="nil"/>
              <w:bottom w:val="nil"/>
              <w:right w:val="nil"/>
            </w:tcBorders>
            <w:shd w:val="clear" w:color="000000" w:fill="CCCCCC"/>
            <w:vAlign w:val="center"/>
            <w:hideMark/>
          </w:tcPr>
          <w:p w14:paraId="696A6C42" w14:textId="29F0F763" w:rsidR="006C76E5" w:rsidRPr="00634844" w:rsidRDefault="006C76E5" w:rsidP="006C76E5">
            <w:pPr>
              <w:jc w:val="right"/>
              <w:rPr>
                <w:rFonts w:ascii="Arial" w:hAnsi="Arial" w:cs="Arial"/>
                <w:b/>
                <w:bCs/>
                <w:color w:val="000000"/>
              </w:rPr>
            </w:pPr>
            <w:r>
              <w:rPr>
                <w:rFonts w:ascii="Arial" w:hAnsi="Arial" w:cs="Arial"/>
                <w:b/>
                <w:bCs/>
                <w:color w:val="000000"/>
              </w:rPr>
              <w:t>492,99</w:t>
            </w:r>
            <w:r w:rsidR="003F1D05">
              <w:rPr>
                <w:rFonts w:ascii="Arial" w:hAnsi="Arial" w:cs="Arial"/>
                <w:b/>
                <w:bCs/>
                <w:color w:val="000000"/>
              </w:rPr>
              <w:t>5</w:t>
            </w:r>
          </w:p>
        </w:tc>
        <w:tc>
          <w:tcPr>
            <w:tcW w:w="2398" w:type="dxa"/>
            <w:tcBorders>
              <w:top w:val="nil"/>
              <w:left w:val="nil"/>
              <w:bottom w:val="nil"/>
              <w:right w:val="nil"/>
            </w:tcBorders>
            <w:shd w:val="clear" w:color="000000" w:fill="CCCCCC"/>
            <w:vAlign w:val="center"/>
            <w:hideMark/>
          </w:tcPr>
          <w:p w14:paraId="32C800B6" w14:textId="1C4F518E" w:rsidR="006C76E5" w:rsidRPr="00634844" w:rsidRDefault="006C76E5" w:rsidP="006C76E5">
            <w:pPr>
              <w:jc w:val="right"/>
              <w:rPr>
                <w:rFonts w:ascii="Arial" w:hAnsi="Arial" w:cs="Arial"/>
                <w:b/>
                <w:bCs/>
                <w:color w:val="000000"/>
              </w:rPr>
            </w:pPr>
            <w:r>
              <w:rPr>
                <w:rFonts w:ascii="Arial" w:hAnsi="Arial" w:cs="Arial"/>
                <w:b/>
                <w:bCs/>
                <w:color w:val="000000"/>
              </w:rPr>
              <w:t>492,99</w:t>
            </w:r>
            <w:r w:rsidR="003F1D05">
              <w:rPr>
                <w:rFonts w:ascii="Arial" w:hAnsi="Arial" w:cs="Arial"/>
                <w:b/>
                <w:bCs/>
                <w:color w:val="000000"/>
              </w:rPr>
              <w:t>5</w:t>
            </w:r>
          </w:p>
        </w:tc>
        <w:tc>
          <w:tcPr>
            <w:tcW w:w="2464" w:type="dxa"/>
            <w:tcBorders>
              <w:top w:val="nil"/>
              <w:left w:val="nil"/>
              <w:bottom w:val="nil"/>
              <w:right w:val="nil"/>
            </w:tcBorders>
            <w:shd w:val="clear" w:color="000000" w:fill="CCCCCC"/>
            <w:vAlign w:val="center"/>
            <w:hideMark/>
          </w:tcPr>
          <w:p w14:paraId="3DD00CB3" w14:textId="34D12782" w:rsidR="006C76E5" w:rsidRPr="00634844" w:rsidRDefault="006C76E5" w:rsidP="006C76E5">
            <w:pPr>
              <w:jc w:val="right"/>
              <w:rPr>
                <w:rFonts w:ascii="Arial" w:hAnsi="Arial" w:cs="Arial"/>
                <w:b/>
                <w:bCs/>
                <w:color w:val="000000"/>
              </w:rPr>
            </w:pPr>
            <w:r>
              <w:rPr>
                <w:rFonts w:ascii="Arial" w:hAnsi="Arial" w:cs="Arial"/>
                <w:b/>
                <w:bCs/>
                <w:color w:val="000000"/>
              </w:rPr>
              <w:t>0</w:t>
            </w:r>
          </w:p>
        </w:tc>
        <w:tc>
          <w:tcPr>
            <w:tcW w:w="2721" w:type="dxa"/>
            <w:tcBorders>
              <w:top w:val="nil"/>
              <w:left w:val="nil"/>
              <w:bottom w:val="nil"/>
              <w:right w:val="single" w:sz="8" w:space="0" w:color="auto"/>
            </w:tcBorders>
            <w:shd w:val="clear" w:color="000000" w:fill="CCCCCC"/>
            <w:vAlign w:val="center"/>
            <w:hideMark/>
          </w:tcPr>
          <w:p w14:paraId="71840CE9" w14:textId="29F87E18" w:rsidR="006C76E5" w:rsidRPr="00634844" w:rsidRDefault="006C76E5" w:rsidP="006C76E5">
            <w:pPr>
              <w:jc w:val="right"/>
              <w:rPr>
                <w:rFonts w:ascii="Arial" w:hAnsi="Arial" w:cs="Arial"/>
                <w:b/>
                <w:bCs/>
                <w:color w:val="000000"/>
              </w:rPr>
            </w:pPr>
            <w:r>
              <w:rPr>
                <w:rFonts w:ascii="Arial" w:hAnsi="Arial" w:cs="Arial"/>
                <w:b/>
                <w:bCs/>
                <w:color w:val="000000"/>
              </w:rPr>
              <w:t>492,99</w:t>
            </w:r>
            <w:r w:rsidR="003F1D05">
              <w:rPr>
                <w:rFonts w:ascii="Arial" w:hAnsi="Arial" w:cs="Arial"/>
                <w:b/>
                <w:bCs/>
                <w:color w:val="000000"/>
              </w:rPr>
              <w:t>5</w:t>
            </w:r>
          </w:p>
        </w:tc>
      </w:tr>
      <w:tr w:rsidR="006C76E5" w:rsidRPr="00634844" w14:paraId="1CBC6408" w14:textId="77777777" w:rsidTr="00A6239A">
        <w:trPr>
          <w:trHeight w:val="315"/>
        </w:trPr>
        <w:tc>
          <w:tcPr>
            <w:tcW w:w="2906" w:type="dxa"/>
            <w:tcBorders>
              <w:top w:val="nil"/>
              <w:left w:val="single" w:sz="8" w:space="0" w:color="auto"/>
              <w:bottom w:val="nil"/>
              <w:right w:val="nil"/>
            </w:tcBorders>
            <w:vAlign w:val="center"/>
            <w:hideMark/>
          </w:tcPr>
          <w:p w14:paraId="2787BF47" w14:textId="77777777" w:rsidR="006C76E5" w:rsidRPr="00634844" w:rsidRDefault="006C76E5" w:rsidP="006C76E5">
            <w:pPr>
              <w:rPr>
                <w:rFonts w:ascii="Arial" w:hAnsi="Arial" w:cs="Arial"/>
                <w:color w:val="000000"/>
              </w:rPr>
            </w:pPr>
            <w:r w:rsidRPr="00634844">
              <w:rPr>
                <w:rFonts w:ascii="Arial" w:hAnsi="Arial" w:cs="Arial"/>
                <w:color w:val="000000"/>
              </w:rPr>
              <w:t>Income collected by the CC</w:t>
            </w:r>
          </w:p>
        </w:tc>
        <w:tc>
          <w:tcPr>
            <w:tcW w:w="2375" w:type="dxa"/>
            <w:tcBorders>
              <w:top w:val="nil"/>
              <w:left w:val="nil"/>
              <w:bottom w:val="nil"/>
              <w:right w:val="nil"/>
            </w:tcBorders>
            <w:shd w:val="clear" w:color="000000" w:fill="CCCCCC"/>
            <w:vAlign w:val="center"/>
            <w:hideMark/>
          </w:tcPr>
          <w:p w14:paraId="1DC1C2F6" w14:textId="1C19D104" w:rsidR="006C76E5" w:rsidRPr="00634844" w:rsidRDefault="006C76E5" w:rsidP="006C76E5">
            <w:pPr>
              <w:jc w:val="right"/>
              <w:rPr>
                <w:rFonts w:ascii="Arial" w:hAnsi="Arial" w:cs="Arial"/>
                <w:b/>
                <w:bCs/>
                <w:color w:val="000000"/>
              </w:rPr>
            </w:pPr>
            <w:r>
              <w:rPr>
                <w:rFonts w:ascii="Arial" w:hAnsi="Arial" w:cs="Arial"/>
                <w:b/>
                <w:bCs/>
                <w:color w:val="000000"/>
              </w:rPr>
              <w:t>0</w:t>
            </w:r>
          </w:p>
        </w:tc>
        <w:tc>
          <w:tcPr>
            <w:tcW w:w="2729" w:type="dxa"/>
            <w:tcBorders>
              <w:top w:val="nil"/>
              <w:left w:val="nil"/>
              <w:bottom w:val="nil"/>
              <w:right w:val="nil"/>
            </w:tcBorders>
            <w:shd w:val="clear" w:color="000000" w:fill="CCCCCC"/>
            <w:vAlign w:val="center"/>
            <w:hideMark/>
          </w:tcPr>
          <w:p w14:paraId="2D612BBD" w14:textId="420DE5E8" w:rsidR="006C76E5" w:rsidRPr="00634844" w:rsidRDefault="006C76E5" w:rsidP="006C76E5">
            <w:pPr>
              <w:jc w:val="right"/>
              <w:rPr>
                <w:rFonts w:ascii="Arial" w:hAnsi="Arial" w:cs="Arial"/>
                <w:b/>
                <w:bCs/>
                <w:color w:val="000000"/>
              </w:rPr>
            </w:pPr>
            <w:r>
              <w:rPr>
                <w:rFonts w:ascii="Arial" w:hAnsi="Arial" w:cs="Arial"/>
                <w:b/>
                <w:bCs/>
                <w:color w:val="000000"/>
              </w:rPr>
              <w:t>(49,995)</w:t>
            </w:r>
          </w:p>
        </w:tc>
        <w:tc>
          <w:tcPr>
            <w:tcW w:w="2398" w:type="dxa"/>
            <w:tcBorders>
              <w:top w:val="nil"/>
              <w:left w:val="nil"/>
              <w:bottom w:val="nil"/>
              <w:right w:val="nil"/>
            </w:tcBorders>
            <w:shd w:val="clear" w:color="000000" w:fill="CCCCCC"/>
            <w:vAlign w:val="center"/>
            <w:hideMark/>
          </w:tcPr>
          <w:p w14:paraId="03D7B95F" w14:textId="03C0ACFC" w:rsidR="006C76E5" w:rsidRPr="00634844" w:rsidRDefault="006C76E5" w:rsidP="006C76E5">
            <w:pPr>
              <w:jc w:val="right"/>
              <w:rPr>
                <w:rFonts w:ascii="Arial" w:hAnsi="Arial" w:cs="Arial"/>
                <w:b/>
                <w:bCs/>
                <w:color w:val="000000"/>
              </w:rPr>
            </w:pPr>
            <w:r>
              <w:rPr>
                <w:rFonts w:ascii="Arial" w:hAnsi="Arial" w:cs="Arial"/>
                <w:b/>
                <w:bCs/>
                <w:color w:val="000000"/>
              </w:rPr>
              <w:t>(49,995)</w:t>
            </w:r>
          </w:p>
        </w:tc>
        <w:tc>
          <w:tcPr>
            <w:tcW w:w="2464" w:type="dxa"/>
            <w:tcBorders>
              <w:top w:val="nil"/>
              <w:left w:val="nil"/>
              <w:bottom w:val="nil"/>
              <w:right w:val="nil"/>
            </w:tcBorders>
            <w:shd w:val="clear" w:color="000000" w:fill="CCCCCC"/>
            <w:vAlign w:val="center"/>
            <w:hideMark/>
          </w:tcPr>
          <w:p w14:paraId="05EF1E79" w14:textId="7FE29841" w:rsidR="006C76E5" w:rsidRPr="00634844" w:rsidRDefault="006C76E5" w:rsidP="006C76E5">
            <w:pPr>
              <w:jc w:val="right"/>
              <w:rPr>
                <w:rFonts w:ascii="Arial" w:hAnsi="Arial" w:cs="Arial"/>
                <w:b/>
                <w:bCs/>
                <w:color w:val="000000"/>
              </w:rPr>
            </w:pPr>
            <w:r>
              <w:rPr>
                <w:rFonts w:ascii="Arial" w:hAnsi="Arial" w:cs="Arial"/>
                <w:b/>
                <w:bCs/>
                <w:color w:val="000000"/>
              </w:rPr>
              <w:t>0</w:t>
            </w:r>
          </w:p>
        </w:tc>
        <w:tc>
          <w:tcPr>
            <w:tcW w:w="2721" w:type="dxa"/>
            <w:tcBorders>
              <w:top w:val="nil"/>
              <w:left w:val="nil"/>
              <w:bottom w:val="nil"/>
              <w:right w:val="single" w:sz="8" w:space="0" w:color="auto"/>
            </w:tcBorders>
            <w:shd w:val="clear" w:color="000000" w:fill="CCCCCC"/>
            <w:vAlign w:val="center"/>
            <w:hideMark/>
          </w:tcPr>
          <w:p w14:paraId="4170BAD5" w14:textId="6ACCA50E" w:rsidR="006C76E5" w:rsidRPr="00634844" w:rsidRDefault="006C76E5" w:rsidP="006C76E5">
            <w:pPr>
              <w:jc w:val="right"/>
              <w:rPr>
                <w:rFonts w:ascii="Arial" w:hAnsi="Arial" w:cs="Arial"/>
                <w:b/>
                <w:bCs/>
                <w:color w:val="000000"/>
              </w:rPr>
            </w:pPr>
            <w:r>
              <w:rPr>
                <w:rFonts w:ascii="Arial" w:hAnsi="Arial" w:cs="Arial"/>
                <w:b/>
                <w:bCs/>
                <w:color w:val="000000"/>
              </w:rPr>
              <w:t>(49,995)</w:t>
            </w:r>
          </w:p>
        </w:tc>
      </w:tr>
      <w:tr w:rsidR="006C76E5" w:rsidRPr="00634844" w14:paraId="004A4D1B" w14:textId="77777777" w:rsidTr="00A6239A">
        <w:trPr>
          <w:trHeight w:val="300"/>
        </w:trPr>
        <w:tc>
          <w:tcPr>
            <w:tcW w:w="2906" w:type="dxa"/>
            <w:tcBorders>
              <w:top w:val="nil"/>
              <w:left w:val="single" w:sz="8" w:space="0" w:color="auto"/>
              <w:bottom w:val="nil"/>
              <w:right w:val="nil"/>
            </w:tcBorders>
            <w:vAlign w:val="center"/>
            <w:hideMark/>
          </w:tcPr>
          <w:p w14:paraId="02565AE8" w14:textId="77777777" w:rsidR="006C76E5" w:rsidRPr="00634844" w:rsidRDefault="006C76E5" w:rsidP="006C76E5">
            <w:pPr>
              <w:rPr>
                <w:rFonts w:ascii="Arial" w:hAnsi="Arial" w:cs="Arial"/>
                <w:b/>
                <w:bCs/>
                <w:color w:val="000000"/>
              </w:rPr>
            </w:pPr>
            <w:r w:rsidRPr="00634844">
              <w:rPr>
                <w:rFonts w:ascii="Arial" w:hAnsi="Arial" w:cs="Arial"/>
                <w:b/>
                <w:bCs/>
                <w:color w:val="000000"/>
              </w:rPr>
              <w:t>Net Cost of Services</w:t>
            </w:r>
          </w:p>
        </w:tc>
        <w:tc>
          <w:tcPr>
            <w:tcW w:w="2375" w:type="dxa"/>
            <w:tcBorders>
              <w:top w:val="single" w:sz="8" w:space="0" w:color="auto"/>
              <w:left w:val="nil"/>
              <w:bottom w:val="nil"/>
              <w:right w:val="nil"/>
            </w:tcBorders>
            <w:shd w:val="clear" w:color="000000" w:fill="CCCCCC"/>
            <w:vAlign w:val="center"/>
            <w:hideMark/>
          </w:tcPr>
          <w:p w14:paraId="45EA1B25" w14:textId="607A459F" w:rsidR="006C76E5" w:rsidRPr="00634844" w:rsidRDefault="006C76E5" w:rsidP="006C76E5">
            <w:pPr>
              <w:jc w:val="right"/>
              <w:rPr>
                <w:rFonts w:ascii="Arial" w:hAnsi="Arial" w:cs="Arial"/>
                <w:b/>
                <w:bCs/>
                <w:color w:val="000000"/>
              </w:rPr>
            </w:pPr>
            <w:r>
              <w:rPr>
                <w:rFonts w:ascii="Arial" w:hAnsi="Arial" w:cs="Arial"/>
                <w:b/>
                <w:bCs/>
                <w:color w:val="000000"/>
              </w:rPr>
              <w:t>5,399</w:t>
            </w:r>
          </w:p>
        </w:tc>
        <w:tc>
          <w:tcPr>
            <w:tcW w:w="2729" w:type="dxa"/>
            <w:tcBorders>
              <w:top w:val="single" w:sz="8" w:space="0" w:color="auto"/>
              <w:left w:val="nil"/>
              <w:bottom w:val="nil"/>
              <w:right w:val="nil"/>
            </w:tcBorders>
            <w:shd w:val="clear" w:color="000000" w:fill="CCCCCC"/>
            <w:vAlign w:val="center"/>
            <w:hideMark/>
          </w:tcPr>
          <w:p w14:paraId="4120425F" w14:textId="3D0A1977" w:rsidR="006C76E5" w:rsidRPr="00634844" w:rsidRDefault="006C76E5" w:rsidP="006C76E5">
            <w:pPr>
              <w:jc w:val="right"/>
              <w:rPr>
                <w:rFonts w:ascii="Arial" w:hAnsi="Arial" w:cs="Arial"/>
                <w:b/>
                <w:bCs/>
                <w:color w:val="000000"/>
              </w:rPr>
            </w:pPr>
            <w:r>
              <w:rPr>
                <w:rFonts w:ascii="Arial" w:hAnsi="Arial" w:cs="Arial"/>
                <w:b/>
                <w:bCs/>
                <w:color w:val="000000"/>
              </w:rPr>
              <w:t>416,0</w:t>
            </w:r>
            <w:r w:rsidR="00086F9C">
              <w:rPr>
                <w:rFonts w:ascii="Arial" w:hAnsi="Arial" w:cs="Arial"/>
                <w:b/>
                <w:bCs/>
                <w:color w:val="000000"/>
              </w:rPr>
              <w:t>76</w:t>
            </w:r>
          </w:p>
        </w:tc>
        <w:tc>
          <w:tcPr>
            <w:tcW w:w="2398" w:type="dxa"/>
            <w:tcBorders>
              <w:top w:val="single" w:sz="8" w:space="0" w:color="auto"/>
              <w:left w:val="nil"/>
              <w:bottom w:val="nil"/>
              <w:right w:val="nil"/>
            </w:tcBorders>
            <w:shd w:val="clear" w:color="000000" w:fill="CCCCCC"/>
            <w:vAlign w:val="center"/>
            <w:hideMark/>
          </w:tcPr>
          <w:p w14:paraId="0D9EFE85" w14:textId="477FAD4B" w:rsidR="006C76E5" w:rsidRPr="00634844" w:rsidRDefault="006C76E5" w:rsidP="006C76E5">
            <w:pPr>
              <w:jc w:val="right"/>
              <w:rPr>
                <w:rFonts w:ascii="Arial" w:hAnsi="Arial" w:cs="Arial"/>
                <w:b/>
                <w:bCs/>
                <w:color w:val="000000"/>
              </w:rPr>
            </w:pPr>
            <w:r>
              <w:rPr>
                <w:rFonts w:ascii="Arial" w:hAnsi="Arial" w:cs="Arial"/>
                <w:b/>
                <w:bCs/>
                <w:color w:val="000000"/>
              </w:rPr>
              <w:t>421,4</w:t>
            </w:r>
            <w:r w:rsidR="00086F9C">
              <w:rPr>
                <w:rFonts w:ascii="Arial" w:hAnsi="Arial" w:cs="Arial"/>
                <w:b/>
                <w:bCs/>
                <w:color w:val="000000"/>
              </w:rPr>
              <w:t>75</w:t>
            </w:r>
          </w:p>
        </w:tc>
        <w:tc>
          <w:tcPr>
            <w:tcW w:w="2464" w:type="dxa"/>
            <w:tcBorders>
              <w:top w:val="single" w:sz="8" w:space="0" w:color="auto"/>
              <w:left w:val="nil"/>
              <w:bottom w:val="nil"/>
              <w:right w:val="nil"/>
            </w:tcBorders>
            <w:shd w:val="clear" w:color="000000" w:fill="CCCCCC"/>
            <w:vAlign w:val="center"/>
            <w:hideMark/>
          </w:tcPr>
          <w:p w14:paraId="2796FD26" w14:textId="6385F996" w:rsidR="006C76E5" w:rsidRPr="00634844" w:rsidRDefault="006C76E5" w:rsidP="006C76E5">
            <w:pPr>
              <w:jc w:val="right"/>
              <w:rPr>
                <w:rFonts w:ascii="Arial" w:hAnsi="Arial" w:cs="Arial"/>
                <w:b/>
                <w:bCs/>
                <w:color w:val="000000"/>
              </w:rPr>
            </w:pPr>
            <w:r>
              <w:rPr>
                <w:rFonts w:ascii="Arial" w:hAnsi="Arial" w:cs="Arial"/>
                <w:b/>
                <w:bCs/>
                <w:color w:val="000000"/>
              </w:rPr>
              <w:t>22,205</w:t>
            </w:r>
          </w:p>
        </w:tc>
        <w:tc>
          <w:tcPr>
            <w:tcW w:w="2721" w:type="dxa"/>
            <w:tcBorders>
              <w:top w:val="single" w:sz="8" w:space="0" w:color="auto"/>
              <w:left w:val="nil"/>
              <w:bottom w:val="nil"/>
              <w:right w:val="single" w:sz="8" w:space="0" w:color="auto"/>
            </w:tcBorders>
            <w:shd w:val="clear" w:color="000000" w:fill="CCCCCC"/>
            <w:vAlign w:val="center"/>
            <w:hideMark/>
          </w:tcPr>
          <w:p w14:paraId="667A638F" w14:textId="0827DF88" w:rsidR="006C76E5" w:rsidRPr="00634844" w:rsidRDefault="006C76E5" w:rsidP="006C76E5">
            <w:pPr>
              <w:jc w:val="right"/>
              <w:rPr>
                <w:rFonts w:ascii="Arial" w:hAnsi="Arial" w:cs="Arial"/>
                <w:b/>
                <w:bCs/>
                <w:color w:val="000000"/>
              </w:rPr>
            </w:pPr>
            <w:r>
              <w:rPr>
                <w:rFonts w:ascii="Arial" w:hAnsi="Arial" w:cs="Arial"/>
                <w:b/>
                <w:bCs/>
                <w:color w:val="000000"/>
              </w:rPr>
              <w:t>443,6</w:t>
            </w:r>
            <w:r w:rsidR="00086F9C">
              <w:rPr>
                <w:rFonts w:ascii="Arial" w:hAnsi="Arial" w:cs="Arial"/>
                <w:b/>
                <w:bCs/>
                <w:color w:val="000000"/>
              </w:rPr>
              <w:t>80</w:t>
            </w:r>
          </w:p>
        </w:tc>
      </w:tr>
      <w:tr w:rsidR="006C76E5" w:rsidRPr="00634844" w14:paraId="05078558" w14:textId="77777777" w:rsidTr="00A6239A">
        <w:trPr>
          <w:trHeight w:val="315"/>
        </w:trPr>
        <w:tc>
          <w:tcPr>
            <w:tcW w:w="2906" w:type="dxa"/>
            <w:tcBorders>
              <w:top w:val="nil"/>
              <w:left w:val="single" w:sz="8" w:space="0" w:color="auto"/>
              <w:bottom w:val="nil"/>
              <w:right w:val="nil"/>
            </w:tcBorders>
            <w:vAlign w:val="center"/>
            <w:hideMark/>
          </w:tcPr>
          <w:p w14:paraId="3D7CA45B" w14:textId="77777777" w:rsidR="006C76E5" w:rsidRPr="00634844" w:rsidRDefault="006C76E5" w:rsidP="006C76E5">
            <w:pPr>
              <w:rPr>
                <w:rFonts w:ascii="Arial" w:hAnsi="Arial" w:cs="Arial"/>
                <w:color w:val="000000"/>
              </w:rPr>
            </w:pPr>
            <w:r w:rsidRPr="00634844">
              <w:rPr>
                <w:rFonts w:ascii="Arial" w:hAnsi="Arial" w:cs="Arial"/>
                <w:color w:val="000000"/>
              </w:rPr>
              <w:t>Other Income and Expenditure</w:t>
            </w:r>
          </w:p>
        </w:tc>
        <w:tc>
          <w:tcPr>
            <w:tcW w:w="2375" w:type="dxa"/>
            <w:tcBorders>
              <w:top w:val="nil"/>
              <w:left w:val="nil"/>
              <w:bottom w:val="single" w:sz="8" w:space="0" w:color="auto"/>
              <w:right w:val="nil"/>
            </w:tcBorders>
            <w:shd w:val="clear" w:color="000000" w:fill="CCCCCC"/>
            <w:vAlign w:val="center"/>
            <w:hideMark/>
          </w:tcPr>
          <w:p w14:paraId="71B9FC97" w14:textId="3AC4A3CF" w:rsidR="006C76E5" w:rsidRPr="00634844" w:rsidRDefault="006C76E5" w:rsidP="006C76E5">
            <w:pPr>
              <w:jc w:val="right"/>
              <w:rPr>
                <w:rFonts w:ascii="Arial" w:hAnsi="Arial" w:cs="Arial"/>
                <w:b/>
                <w:bCs/>
                <w:color w:val="000000"/>
              </w:rPr>
            </w:pPr>
            <w:r>
              <w:rPr>
                <w:rFonts w:ascii="Arial" w:hAnsi="Arial" w:cs="Arial"/>
                <w:b/>
                <w:bCs/>
                <w:color w:val="000000"/>
              </w:rPr>
              <w:t>0</w:t>
            </w:r>
          </w:p>
        </w:tc>
        <w:tc>
          <w:tcPr>
            <w:tcW w:w="2729" w:type="dxa"/>
            <w:tcBorders>
              <w:top w:val="nil"/>
              <w:left w:val="nil"/>
              <w:bottom w:val="single" w:sz="8" w:space="0" w:color="auto"/>
              <w:right w:val="nil"/>
            </w:tcBorders>
            <w:shd w:val="clear" w:color="000000" w:fill="CCCCCC"/>
            <w:vAlign w:val="center"/>
            <w:hideMark/>
          </w:tcPr>
          <w:p w14:paraId="071C2AAA" w14:textId="1A011E86" w:rsidR="006C76E5" w:rsidRPr="00634844" w:rsidRDefault="006C76E5" w:rsidP="006C76E5">
            <w:pPr>
              <w:jc w:val="right"/>
              <w:rPr>
                <w:rFonts w:ascii="Arial" w:hAnsi="Arial" w:cs="Arial"/>
                <w:b/>
                <w:bCs/>
                <w:color w:val="000000"/>
              </w:rPr>
            </w:pPr>
            <w:r>
              <w:rPr>
                <w:rFonts w:ascii="Arial" w:hAnsi="Arial" w:cs="Arial"/>
                <w:b/>
                <w:bCs/>
                <w:color w:val="000000"/>
              </w:rPr>
              <w:t>(419,186)</w:t>
            </w:r>
          </w:p>
        </w:tc>
        <w:tc>
          <w:tcPr>
            <w:tcW w:w="2398" w:type="dxa"/>
            <w:tcBorders>
              <w:top w:val="nil"/>
              <w:left w:val="nil"/>
              <w:bottom w:val="single" w:sz="8" w:space="0" w:color="auto"/>
              <w:right w:val="nil"/>
            </w:tcBorders>
            <w:shd w:val="clear" w:color="000000" w:fill="CCCCCC"/>
            <w:vAlign w:val="center"/>
            <w:hideMark/>
          </w:tcPr>
          <w:p w14:paraId="5E9D6E55" w14:textId="72EBAF20" w:rsidR="006C76E5" w:rsidRPr="00634844" w:rsidRDefault="006C76E5" w:rsidP="006C76E5">
            <w:pPr>
              <w:jc w:val="right"/>
              <w:rPr>
                <w:rFonts w:ascii="Arial" w:hAnsi="Arial" w:cs="Arial"/>
                <w:b/>
                <w:bCs/>
                <w:color w:val="000000"/>
              </w:rPr>
            </w:pPr>
            <w:r>
              <w:rPr>
                <w:rFonts w:ascii="Arial" w:hAnsi="Arial" w:cs="Arial"/>
                <w:b/>
                <w:bCs/>
                <w:color w:val="000000"/>
              </w:rPr>
              <w:t>(419,186)</w:t>
            </w:r>
          </w:p>
        </w:tc>
        <w:tc>
          <w:tcPr>
            <w:tcW w:w="2464" w:type="dxa"/>
            <w:tcBorders>
              <w:top w:val="nil"/>
              <w:left w:val="nil"/>
              <w:bottom w:val="single" w:sz="8" w:space="0" w:color="auto"/>
              <w:right w:val="nil"/>
            </w:tcBorders>
            <w:shd w:val="clear" w:color="000000" w:fill="CCCCCC"/>
            <w:vAlign w:val="center"/>
            <w:hideMark/>
          </w:tcPr>
          <w:p w14:paraId="589EA405" w14:textId="5D924464" w:rsidR="006C76E5" w:rsidRPr="00634844" w:rsidRDefault="006C76E5" w:rsidP="006C76E5">
            <w:pPr>
              <w:jc w:val="right"/>
              <w:rPr>
                <w:rFonts w:ascii="Arial" w:hAnsi="Arial" w:cs="Arial"/>
                <w:b/>
                <w:bCs/>
                <w:color w:val="000000"/>
              </w:rPr>
            </w:pPr>
            <w:r>
              <w:rPr>
                <w:rFonts w:ascii="Arial" w:hAnsi="Arial" w:cs="Arial"/>
                <w:b/>
                <w:bCs/>
                <w:color w:val="000000"/>
              </w:rPr>
              <w:t>(17,356)</w:t>
            </w:r>
          </w:p>
        </w:tc>
        <w:tc>
          <w:tcPr>
            <w:tcW w:w="2721" w:type="dxa"/>
            <w:tcBorders>
              <w:top w:val="nil"/>
              <w:left w:val="nil"/>
              <w:bottom w:val="single" w:sz="8" w:space="0" w:color="auto"/>
              <w:right w:val="single" w:sz="8" w:space="0" w:color="auto"/>
            </w:tcBorders>
            <w:shd w:val="clear" w:color="000000" w:fill="CCCCCC"/>
            <w:vAlign w:val="center"/>
            <w:hideMark/>
          </w:tcPr>
          <w:p w14:paraId="5907384B" w14:textId="45CE877E" w:rsidR="006C76E5" w:rsidRPr="00634844" w:rsidRDefault="006C76E5" w:rsidP="006C76E5">
            <w:pPr>
              <w:jc w:val="right"/>
              <w:rPr>
                <w:rFonts w:ascii="Arial" w:hAnsi="Arial" w:cs="Arial"/>
                <w:b/>
                <w:bCs/>
                <w:color w:val="000000"/>
              </w:rPr>
            </w:pPr>
            <w:r>
              <w:rPr>
                <w:rFonts w:ascii="Arial" w:hAnsi="Arial" w:cs="Arial"/>
                <w:b/>
                <w:bCs/>
                <w:color w:val="000000"/>
              </w:rPr>
              <w:t>(436,542)</w:t>
            </w:r>
          </w:p>
        </w:tc>
      </w:tr>
      <w:tr w:rsidR="006C76E5" w:rsidRPr="00634844" w14:paraId="3503B260" w14:textId="77777777" w:rsidTr="00A6239A">
        <w:trPr>
          <w:trHeight w:val="300"/>
        </w:trPr>
        <w:tc>
          <w:tcPr>
            <w:tcW w:w="2906" w:type="dxa"/>
            <w:tcBorders>
              <w:top w:val="nil"/>
              <w:left w:val="single" w:sz="8" w:space="0" w:color="auto"/>
              <w:bottom w:val="nil"/>
              <w:right w:val="nil"/>
            </w:tcBorders>
            <w:vAlign w:val="center"/>
            <w:hideMark/>
          </w:tcPr>
          <w:p w14:paraId="0C932A42" w14:textId="77777777" w:rsidR="006C76E5" w:rsidRPr="00634844" w:rsidRDefault="006C76E5" w:rsidP="006C76E5">
            <w:pPr>
              <w:rPr>
                <w:rFonts w:ascii="Arial" w:hAnsi="Arial" w:cs="Arial"/>
                <w:b/>
                <w:bCs/>
                <w:color w:val="000000"/>
              </w:rPr>
            </w:pPr>
            <w:r w:rsidRPr="00634844">
              <w:rPr>
                <w:rFonts w:ascii="Arial" w:hAnsi="Arial" w:cs="Arial"/>
                <w:b/>
                <w:bCs/>
                <w:color w:val="000000"/>
              </w:rPr>
              <w:t>Deficit on provision of services</w:t>
            </w:r>
          </w:p>
        </w:tc>
        <w:tc>
          <w:tcPr>
            <w:tcW w:w="2375" w:type="dxa"/>
            <w:tcBorders>
              <w:top w:val="nil"/>
              <w:left w:val="nil"/>
              <w:bottom w:val="single" w:sz="4" w:space="0" w:color="auto"/>
              <w:right w:val="nil"/>
            </w:tcBorders>
            <w:shd w:val="clear" w:color="000000" w:fill="CCCCCC"/>
            <w:vAlign w:val="center"/>
            <w:hideMark/>
          </w:tcPr>
          <w:p w14:paraId="04C8DCAE" w14:textId="2631789A" w:rsidR="006C76E5" w:rsidRPr="00634844" w:rsidRDefault="006C76E5" w:rsidP="006C76E5">
            <w:pPr>
              <w:jc w:val="right"/>
              <w:rPr>
                <w:rFonts w:ascii="Arial" w:hAnsi="Arial" w:cs="Arial"/>
                <w:b/>
                <w:bCs/>
                <w:color w:val="000000"/>
              </w:rPr>
            </w:pPr>
            <w:r>
              <w:rPr>
                <w:rFonts w:ascii="Arial" w:hAnsi="Arial" w:cs="Arial"/>
                <w:b/>
                <w:bCs/>
                <w:color w:val="000000"/>
              </w:rPr>
              <w:t>5,399</w:t>
            </w:r>
          </w:p>
        </w:tc>
        <w:tc>
          <w:tcPr>
            <w:tcW w:w="2729" w:type="dxa"/>
            <w:tcBorders>
              <w:top w:val="nil"/>
              <w:left w:val="nil"/>
              <w:bottom w:val="single" w:sz="4" w:space="0" w:color="auto"/>
              <w:right w:val="nil"/>
            </w:tcBorders>
            <w:shd w:val="clear" w:color="000000" w:fill="CCCCCC"/>
            <w:vAlign w:val="center"/>
            <w:hideMark/>
          </w:tcPr>
          <w:p w14:paraId="28C6A341" w14:textId="2C2F32FF" w:rsidR="006C76E5" w:rsidRPr="00634844" w:rsidRDefault="006C76E5" w:rsidP="006C76E5">
            <w:pPr>
              <w:jc w:val="right"/>
              <w:rPr>
                <w:rFonts w:ascii="Arial" w:hAnsi="Arial" w:cs="Arial"/>
                <w:b/>
                <w:bCs/>
                <w:color w:val="000000"/>
              </w:rPr>
            </w:pPr>
            <w:r>
              <w:rPr>
                <w:rFonts w:ascii="Arial" w:hAnsi="Arial" w:cs="Arial"/>
                <w:b/>
                <w:bCs/>
                <w:color w:val="000000"/>
              </w:rPr>
              <w:t>(3,127)</w:t>
            </w:r>
          </w:p>
        </w:tc>
        <w:tc>
          <w:tcPr>
            <w:tcW w:w="2398" w:type="dxa"/>
            <w:tcBorders>
              <w:top w:val="nil"/>
              <w:left w:val="nil"/>
              <w:bottom w:val="single" w:sz="4" w:space="0" w:color="auto"/>
              <w:right w:val="nil"/>
            </w:tcBorders>
            <w:shd w:val="clear" w:color="000000" w:fill="CCCCCC"/>
            <w:vAlign w:val="center"/>
            <w:hideMark/>
          </w:tcPr>
          <w:p w14:paraId="6771B640" w14:textId="7CB70A3E" w:rsidR="006C76E5" w:rsidRPr="00634844" w:rsidRDefault="006C76E5" w:rsidP="006C76E5">
            <w:pPr>
              <w:jc w:val="right"/>
              <w:rPr>
                <w:rFonts w:ascii="Arial" w:hAnsi="Arial" w:cs="Arial"/>
                <w:b/>
                <w:bCs/>
                <w:color w:val="000000"/>
              </w:rPr>
            </w:pPr>
            <w:r>
              <w:rPr>
                <w:rFonts w:ascii="Arial" w:hAnsi="Arial" w:cs="Arial"/>
                <w:b/>
                <w:bCs/>
                <w:color w:val="000000"/>
              </w:rPr>
              <w:t>2,2</w:t>
            </w:r>
            <w:r w:rsidR="00803C7E">
              <w:rPr>
                <w:rFonts w:ascii="Arial" w:hAnsi="Arial" w:cs="Arial"/>
                <w:b/>
                <w:bCs/>
                <w:color w:val="000000"/>
              </w:rPr>
              <w:t>89</w:t>
            </w:r>
          </w:p>
        </w:tc>
        <w:tc>
          <w:tcPr>
            <w:tcW w:w="2464" w:type="dxa"/>
            <w:tcBorders>
              <w:top w:val="nil"/>
              <w:left w:val="nil"/>
              <w:bottom w:val="single" w:sz="4" w:space="0" w:color="auto"/>
              <w:right w:val="nil"/>
            </w:tcBorders>
            <w:shd w:val="clear" w:color="000000" w:fill="CCCCCC"/>
            <w:vAlign w:val="center"/>
            <w:hideMark/>
          </w:tcPr>
          <w:p w14:paraId="10699397" w14:textId="0D224C3E" w:rsidR="006C76E5" w:rsidRPr="00634844" w:rsidRDefault="006C76E5" w:rsidP="006C76E5">
            <w:pPr>
              <w:jc w:val="right"/>
              <w:rPr>
                <w:rFonts w:ascii="Arial" w:hAnsi="Arial" w:cs="Arial"/>
                <w:b/>
                <w:bCs/>
                <w:color w:val="000000"/>
              </w:rPr>
            </w:pPr>
            <w:r>
              <w:rPr>
                <w:rFonts w:ascii="Arial" w:hAnsi="Arial" w:cs="Arial"/>
                <w:b/>
                <w:bCs/>
                <w:color w:val="000000"/>
              </w:rPr>
              <w:t>4,849</w:t>
            </w:r>
          </w:p>
        </w:tc>
        <w:tc>
          <w:tcPr>
            <w:tcW w:w="2721" w:type="dxa"/>
            <w:tcBorders>
              <w:top w:val="nil"/>
              <w:left w:val="nil"/>
              <w:bottom w:val="single" w:sz="4" w:space="0" w:color="auto"/>
              <w:right w:val="single" w:sz="8" w:space="0" w:color="auto"/>
            </w:tcBorders>
            <w:shd w:val="clear" w:color="000000" w:fill="CCCCCC"/>
            <w:vAlign w:val="center"/>
            <w:hideMark/>
          </w:tcPr>
          <w:p w14:paraId="3D4FAF45" w14:textId="1510E250" w:rsidR="006C76E5" w:rsidRPr="00634844" w:rsidRDefault="006C76E5" w:rsidP="006C76E5">
            <w:pPr>
              <w:jc w:val="right"/>
              <w:rPr>
                <w:rFonts w:ascii="Arial" w:hAnsi="Arial" w:cs="Arial"/>
                <w:b/>
                <w:bCs/>
                <w:color w:val="000000"/>
              </w:rPr>
            </w:pPr>
            <w:r>
              <w:rPr>
                <w:rFonts w:ascii="Arial" w:hAnsi="Arial" w:cs="Arial"/>
                <w:b/>
                <w:bCs/>
                <w:color w:val="000000"/>
              </w:rPr>
              <w:t>7,1</w:t>
            </w:r>
            <w:r w:rsidR="00086F9C">
              <w:rPr>
                <w:rFonts w:ascii="Arial" w:hAnsi="Arial" w:cs="Arial"/>
                <w:b/>
                <w:bCs/>
                <w:color w:val="000000"/>
              </w:rPr>
              <w:t>38</w:t>
            </w:r>
          </w:p>
        </w:tc>
      </w:tr>
      <w:tr w:rsidR="006C76E5" w:rsidRPr="00634844" w14:paraId="5C5FC76E" w14:textId="77777777" w:rsidTr="00A6239A">
        <w:trPr>
          <w:trHeight w:val="300"/>
        </w:trPr>
        <w:tc>
          <w:tcPr>
            <w:tcW w:w="2906" w:type="dxa"/>
            <w:tcBorders>
              <w:top w:val="nil"/>
              <w:left w:val="single" w:sz="8" w:space="0" w:color="auto"/>
              <w:bottom w:val="nil"/>
              <w:right w:val="nil"/>
            </w:tcBorders>
            <w:vAlign w:val="center"/>
            <w:hideMark/>
          </w:tcPr>
          <w:p w14:paraId="69DECB37" w14:textId="77777777" w:rsidR="006C76E5" w:rsidRPr="00634844" w:rsidRDefault="006C76E5" w:rsidP="006C76E5">
            <w:pPr>
              <w:rPr>
                <w:rFonts w:ascii="Arial" w:hAnsi="Arial" w:cs="Arial"/>
                <w:b/>
                <w:bCs/>
                <w:color w:val="000000"/>
              </w:rPr>
            </w:pPr>
            <w:r w:rsidRPr="00634844">
              <w:rPr>
                <w:rFonts w:ascii="Arial" w:hAnsi="Arial" w:cs="Arial"/>
                <w:b/>
                <w:bCs/>
                <w:color w:val="000000"/>
              </w:rPr>
              <w:t>Opening General Fund Balance</w:t>
            </w:r>
          </w:p>
        </w:tc>
        <w:tc>
          <w:tcPr>
            <w:tcW w:w="2375" w:type="dxa"/>
            <w:tcBorders>
              <w:top w:val="nil"/>
              <w:left w:val="nil"/>
              <w:bottom w:val="nil"/>
              <w:right w:val="nil"/>
            </w:tcBorders>
            <w:shd w:val="clear" w:color="000000" w:fill="CCCCCC"/>
            <w:vAlign w:val="center"/>
            <w:hideMark/>
          </w:tcPr>
          <w:p w14:paraId="2326DB9E"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729" w:type="dxa"/>
            <w:tcBorders>
              <w:top w:val="nil"/>
              <w:left w:val="nil"/>
              <w:bottom w:val="nil"/>
              <w:right w:val="nil"/>
            </w:tcBorders>
            <w:shd w:val="clear" w:color="000000" w:fill="CCCCCC"/>
            <w:vAlign w:val="center"/>
            <w:hideMark/>
          </w:tcPr>
          <w:p w14:paraId="24C3FFB0"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398" w:type="dxa"/>
            <w:tcBorders>
              <w:top w:val="nil"/>
              <w:left w:val="nil"/>
              <w:bottom w:val="nil"/>
              <w:right w:val="nil"/>
            </w:tcBorders>
            <w:shd w:val="clear" w:color="000000" w:fill="CCCCCC"/>
            <w:vAlign w:val="center"/>
            <w:hideMark/>
          </w:tcPr>
          <w:p w14:paraId="0E34BAC3" w14:textId="05E85A35" w:rsidR="006C76E5" w:rsidRPr="00634844" w:rsidRDefault="006C76E5" w:rsidP="006C76E5">
            <w:pPr>
              <w:jc w:val="right"/>
              <w:rPr>
                <w:rFonts w:ascii="Arial" w:hAnsi="Arial" w:cs="Arial"/>
                <w:b/>
                <w:bCs/>
                <w:color w:val="000000"/>
              </w:rPr>
            </w:pPr>
            <w:r>
              <w:rPr>
                <w:rFonts w:ascii="Arial" w:hAnsi="Arial" w:cs="Arial"/>
                <w:b/>
                <w:bCs/>
                <w:color w:val="000000"/>
              </w:rPr>
              <w:t>(29,444)</w:t>
            </w:r>
          </w:p>
        </w:tc>
        <w:tc>
          <w:tcPr>
            <w:tcW w:w="2464" w:type="dxa"/>
            <w:tcBorders>
              <w:top w:val="nil"/>
              <w:left w:val="nil"/>
              <w:bottom w:val="nil"/>
              <w:right w:val="nil"/>
            </w:tcBorders>
            <w:shd w:val="clear" w:color="000000" w:fill="CCCCCC"/>
            <w:vAlign w:val="center"/>
            <w:hideMark/>
          </w:tcPr>
          <w:p w14:paraId="17ED8AAE"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721" w:type="dxa"/>
            <w:tcBorders>
              <w:top w:val="nil"/>
              <w:left w:val="nil"/>
              <w:bottom w:val="nil"/>
              <w:right w:val="single" w:sz="8" w:space="0" w:color="auto"/>
            </w:tcBorders>
            <w:shd w:val="clear" w:color="000000" w:fill="CCCCCC"/>
            <w:vAlign w:val="center"/>
            <w:hideMark/>
          </w:tcPr>
          <w:p w14:paraId="0EEE05C3"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r>
      <w:tr w:rsidR="006C76E5" w:rsidRPr="00634844" w14:paraId="336D5CF8" w14:textId="77777777" w:rsidTr="00A6239A">
        <w:trPr>
          <w:trHeight w:val="300"/>
        </w:trPr>
        <w:tc>
          <w:tcPr>
            <w:tcW w:w="2906" w:type="dxa"/>
            <w:tcBorders>
              <w:top w:val="nil"/>
              <w:left w:val="single" w:sz="8" w:space="0" w:color="auto"/>
              <w:bottom w:val="nil"/>
              <w:right w:val="nil"/>
            </w:tcBorders>
            <w:vAlign w:val="center"/>
            <w:hideMark/>
          </w:tcPr>
          <w:p w14:paraId="6172ACA3" w14:textId="77777777" w:rsidR="006C76E5" w:rsidRPr="00634844" w:rsidRDefault="006C76E5" w:rsidP="006C76E5">
            <w:pPr>
              <w:rPr>
                <w:rFonts w:ascii="Arial" w:hAnsi="Arial" w:cs="Arial"/>
                <w:color w:val="000000"/>
              </w:rPr>
            </w:pPr>
            <w:r w:rsidRPr="00634844">
              <w:rPr>
                <w:rFonts w:ascii="Arial" w:hAnsi="Arial" w:cs="Arial"/>
                <w:color w:val="000000"/>
              </w:rPr>
              <w:t>In-year deficit</w:t>
            </w:r>
          </w:p>
        </w:tc>
        <w:tc>
          <w:tcPr>
            <w:tcW w:w="2375" w:type="dxa"/>
            <w:tcBorders>
              <w:top w:val="nil"/>
              <w:left w:val="nil"/>
              <w:bottom w:val="nil"/>
              <w:right w:val="nil"/>
            </w:tcBorders>
            <w:shd w:val="clear" w:color="000000" w:fill="CCCCCC"/>
            <w:vAlign w:val="center"/>
            <w:hideMark/>
          </w:tcPr>
          <w:p w14:paraId="0755D5B7"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729" w:type="dxa"/>
            <w:tcBorders>
              <w:top w:val="nil"/>
              <w:left w:val="nil"/>
              <w:bottom w:val="nil"/>
              <w:right w:val="nil"/>
            </w:tcBorders>
            <w:shd w:val="clear" w:color="000000" w:fill="CCCCCC"/>
            <w:vAlign w:val="center"/>
            <w:hideMark/>
          </w:tcPr>
          <w:p w14:paraId="02F4818F"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398" w:type="dxa"/>
            <w:tcBorders>
              <w:top w:val="nil"/>
              <w:left w:val="nil"/>
              <w:bottom w:val="nil"/>
              <w:right w:val="nil"/>
            </w:tcBorders>
            <w:shd w:val="clear" w:color="000000" w:fill="CCCCCC"/>
            <w:vAlign w:val="center"/>
            <w:hideMark/>
          </w:tcPr>
          <w:p w14:paraId="791B07A3" w14:textId="43C6DF38" w:rsidR="006C76E5" w:rsidRPr="00634844" w:rsidRDefault="006C76E5" w:rsidP="006C76E5">
            <w:pPr>
              <w:jc w:val="right"/>
              <w:rPr>
                <w:rFonts w:ascii="Arial" w:hAnsi="Arial" w:cs="Arial"/>
                <w:b/>
                <w:bCs/>
                <w:color w:val="000000"/>
              </w:rPr>
            </w:pPr>
            <w:r>
              <w:rPr>
                <w:rFonts w:ascii="Arial" w:hAnsi="Arial" w:cs="Arial"/>
                <w:b/>
                <w:bCs/>
                <w:color w:val="000000"/>
              </w:rPr>
              <w:t>2,2</w:t>
            </w:r>
            <w:r w:rsidR="00803C7E">
              <w:rPr>
                <w:rFonts w:ascii="Arial" w:hAnsi="Arial" w:cs="Arial"/>
                <w:b/>
                <w:bCs/>
                <w:color w:val="000000"/>
              </w:rPr>
              <w:t>89</w:t>
            </w:r>
          </w:p>
        </w:tc>
        <w:tc>
          <w:tcPr>
            <w:tcW w:w="2464" w:type="dxa"/>
            <w:tcBorders>
              <w:top w:val="nil"/>
              <w:left w:val="nil"/>
              <w:bottom w:val="nil"/>
              <w:right w:val="nil"/>
            </w:tcBorders>
            <w:shd w:val="clear" w:color="000000" w:fill="CCCCCC"/>
            <w:vAlign w:val="center"/>
            <w:hideMark/>
          </w:tcPr>
          <w:p w14:paraId="1D00FD5E"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721" w:type="dxa"/>
            <w:tcBorders>
              <w:top w:val="nil"/>
              <w:left w:val="nil"/>
              <w:bottom w:val="nil"/>
              <w:right w:val="single" w:sz="8" w:space="0" w:color="auto"/>
            </w:tcBorders>
            <w:shd w:val="clear" w:color="000000" w:fill="CCCCCC"/>
            <w:vAlign w:val="center"/>
            <w:hideMark/>
          </w:tcPr>
          <w:p w14:paraId="4A04C103"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r>
      <w:tr w:rsidR="006C76E5" w:rsidRPr="00634844" w14:paraId="3102743C" w14:textId="77777777" w:rsidTr="00A6239A">
        <w:trPr>
          <w:trHeight w:val="315"/>
        </w:trPr>
        <w:tc>
          <w:tcPr>
            <w:tcW w:w="2906" w:type="dxa"/>
            <w:tcBorders>
              <w:top w:val="nil"/>
              <w:left w:val="single" w:sz="8" w:space="0" w:color="auto"/>
              <w:bottom w:val="single" w:sz="8" w:space="0" w:color="auto"/>
              <w:right w:val="nil"/>
            </w:tcBorders>
            <w:vAlign w:val="center"/>
            <w:hideMark/>
          </w:tcPr>
          <w:p w14:paraId="05945783" w14:textId="77777777" w:rsidR="006C76E5" w:rsidRPr="00634844" w:rsidRDefault="006C76E5" w:rsidP="006C76E5">
            <w:pPr>
              <w:rPr>
                <w:rFonts w:ascii="Arial" w:hAnsi="Arial" w:cs="Arial"/>
                <w:b/>
                <w:bCs/>
                <w:color w:val="000000"/>
              </w:rPr>
            </w:pPr>
            <w:r w:rsidRPr="00634844">
              <w:rPr>
                <w:rFonts w:ascii="Arial" w:hAnsi="Arial" w:cs="Arial"/>
                <w:b/>
                <w:bCs/>
                <w:color w:val="000000"/>
              </w:rPr>
              <w:t>Closing General Fund Balance</w:t>
            </w:r>
          </w:p>
        </w:tc>
        <w:tc>
          <w:tcPr>
            <w:tcW w:w="2375" w:type="dxa"/>
            <w:tcBorders>
              <w:top w:val="nil"/>
              <w:left w:val="nil"/>
              <w:bottom w:val="single" w:sz="8" w:space="0" w:color="auto"/>
              <w:right w:val="nil"/>
            </w:tcBorders>
            <w:shd w:val="clear" w:color="000000" w:fill="CCCCCC"/>
            <w:vAlign w:val="center"/>
            <w:hideMark/>
          </w:tcPr>
          <w:p w14:paraId="26EDDFA8"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729" w:type="dxa"/>
            <w:tcBorders>
              <w:top w:val="nil"/>
              <w:left w:val="nil"/>
              <w:bottom w:val="single" w:sz="8" w:space="0" w:color="auto"/>
              <w:right w:val="nil"/>
            </w:tcBorders>
            <w:shd w:val="clear" w:color="000000" w:fill="CCCCCC"/>
            <w:vAlign w:val="center"/>
            <w:hideMark/>
          </w:tcPr>
          <w:p w14:paraId="0EAA0A2C"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398" w:type="dxa"/>
            <w:tcBorders>
              <w:top w:val="nil"/>
              <w:left w:val="nil"/>
              <w:bottom w:val="single" w:sz="8" w:space="0" w:color="auto"/>
              <w:right w:val="nil"/>
            </w:tcBorders>
            <w:shd w:val="clear" w:color="000000" w:fill="CCCCCC"/>
            <w:vAlign w:val="center"/>
            <w:hideMark/>
          </w:tcPr>
          <w:p w14:paraId="2C55012B" w14:textId="3F6E3E1C" w:rsidR="006C76E5" w:rsidRPr="00634844" w:rsidRDefault="006C76E5" w:rsidP="006C76E5">
            <w:pPr>
              <w:jc w:val="right"/>
              <w:rPr>
                <w:rFonts w:ascii="Arial" w:hAnsi="Arial" w:cs="Arial"/>
                <w:b/>
                <w:bCs/>
                <w:color w:val="000000"/>
              </w:rPr>
            </w:pPr>
            <w:r>
              <w:rPr>
                <w:rFonts w:ascii="Arial" w:hAnsi="Arial" w:cs="Arial"/>
                <w:b/>
                <w:bCs/>
                <w:color w:val="000000"/>
              </w:rPr>
              <w:t>(27,1</w:t>
            </w:r>
            <w:r w:rsidR="00803C7E">
              <w:rPr>
                <w:rFonts w:ascii="Arial" w:hAnsi="Arial" w:cs="Arial"/>
                <w:b/>
                <w:bCs/>
                <w:color w:val="000000"/>
              </w:rPr>
              <w:t>54</w:t>
            </w:r>
            <w:r>
              <w:rPr>
                <w:rFonts w:ascii="Arial" w:hAnsi="Arial" w:cs="Arial"/>
                <w:b/>
                <w:bCs/>
                <w:color w:val="000000"/>
              </w:rPr>
              <w:t>)</w:t>
            </w:r>
          </w:p>
        </w:tc>
        <w:tc>
          <w:tcPr>
            <w:tcW w:w="2464" w:type="dxa"/>
            <w:tcBorders>
              <w:top w:val="nil"/>
              <w:left w:val="nil"/>
              <w:bottom w:val="single" w:sz="8" w:space="0" w:color="auto"/>
              <w:right w:val="nil"/>
            </w:tcBorders>
            <w:shd w:val="clear" w:color="000000" w:fill="CCCCCC"/>
            <w:vAlign w:val="center"/>
            <w:hideMark/>
          </w:tcPr>
          <w:p w14:paraId="541A9787"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c>
          <w:tcPr>
            <w:tcW w:w="2721" w:type="dxa"/>
            <w:tcBorders>
              <w:top w:val="nil"/>
              <w:left w:val="nil"/>
              <w:bottom w:val="single" w:sz="8" w:space="0" w:color="auto"/>
              <w:right w:val="single" w:sz="8" w:space="0" w:color="auto"/>
            </w:tcBorders>
            <w:shd w:val="clear" w:color="000000" w:fill="CCCCCC"/>
            <w:vAlign w:val="center"/>
            <w:hideMark/>
          </w:tcPr>
          <w:p w14:paraId="1B33E5C5" w14:textId="77777777" w:rsidR="006C76E5" w:rsidRPr="00634844" w:rsidRDefault="006C76E5" w:rsidP="006C76E5">
            <w:pPr>
              <w:jc w:val="right"/>
              <w:rPr>
                <w:rFonts w:ascii="Arial" w:hAnsi="Arial" w:cs="Arial"/>
                <w:b/>
                <w:bCs/>
                <w:color w:val="000000"/>
              </w:rPr>
            </w:pPr>
            <w:r w:rsidRPr="00634844">
              <w:rPr>
                <w:rFonts w:ascii="Arial" w:hAnsi="Arial" w:cs="Arial"/>
                <w:b/>
                <w:bCs/>
                <w:color w:val="000000"/>
              </w:rPr>
              <w:t> </w:t>
            </w:r>
          </w:p>
        </w:tc>
      </w:tr>
    </w:tbl>
    <w:p w14:paraId="0E8B3AFA" w14:textId="0E6240CC" w:rsidR="00A87BAE" w:rsidRPr="00FD59F6" w:rsidRDefault="00A87BAE" w:rsidP="00FD59F6">
      <w:pPr>
        <w:rPr>
          <w:rFonts w:ascii="Arial" w:hAnsi="Arial"/>
          <w:iCs/>
          <w:sz w:val="22"/>
          <w:szCs w:val="22"/>
          <w:highlight w:val="yellow"/>
        </w:rPr>
      </w:pPr>
    </w:p>
    <w:p w14:paraId="6A5C7985" w14:textId="77777777" w:rsidR="00A87BAE" w:rsidRPr="00077C2F" w:rsidRDefault="00A87BAE" w:rsidP="003B74DA">
      <w:pPr>
        <w:ind w:firstLine="720"/>
        <w:rPr>
          <w:rFonts w:ascii="Arial" w:hAnsi="Arial"/>
          <w:i/>
          <w:sz w:val="22"/>
          <w:szCs w:val="22"/>
          <w:highlight w:val="yellow"/>
        </w:rPr>
      </w:pPr>
    </w:p>
    <w:p w14:paraId="3EABFAF0" w14:textId="77777777" w:rsidR="003B74DA" w:rsidRPr="00077C2F" w:rsidRDefault="003B74DA">
      <w:pPr>
        <w:ind w:firstLine="720"/>
        <w:rPr>
          <w:rFonts w:ascii="Arial" w:hAnsi="Arial"/>
          <w:b/>
          <w:sz w:val="22"/>
          <w:szCs w:val="22"/>
          <w:highlight w:val="yellow"/>
        </w:rPr>
      </w:pPr>
    </w:p>
    <w:p w14:paraId="66C691DE" w14:textId="77777777" w:rsidR="003B74DA" w:rsidRPr="00077C2F" w:rsidRDefault="003B74DA" w:rsidP="003B74DA">
      <w:pPr>
        <w:ind w:firstLine="720"/>
        <w:rPr>
          <w:rFonts w:ascii="Arial" w:hAnsi="Arial"/>
          <w:b/>
          <w:sz w:val="22"/>
          <w:szCs w:val="22"/>
          <w:highlight w:val="yellow"/>
        </w:rPr>
      </w:pPr>
    </w:p>
    <w:p w14:paraId="2323F019" w14:textId="77777777" w:rsidR="00311A95" w:rsidRPr="00077C2F" w:rsidRDefault="00311A95">
      <w:pPr>
        <w:rPr>
          <w:rFonts w:ascii="Arial" w:hAnsi="Arial"/>
          <w:b/>
          <w:sz w:val="22"/>
          <w:szCs w:val="22"/>
          <w:highlight w:val="yellow"/>
        </w:rPr>
      </w:pPr>
      <w:r w:rsidRPr="00077C2F">
        <w:rPr>
          <w:rFonts w:ascii="Arial" w:hAnsi="Arial"/>
          <w:b/>
          <w:sz w:val="22"/>
          <w:szCs w:val="22"/>
          <w:highlight w:val="yellow"/>
        </w:rPr>
        <w:br w:type="page"/>
      </w:r>
    </w:p>
    <w:p w14:paraId="5D0F41D6" w14:textId="77777777" w:rsidR="00172E65" w:rsidRDefault="00172E65" w:rsidP="003B74DA">
      <w:pPr>
        <w:ind w:firstLine="720"/>
        <w:rPr>
          <w:rFonts w:ascii="Arial" w:hAnsi="Arial"/>
          <w:b/>
          <w:sz w:val="22"/>
          <w:szCs w:val="22"/>
          <w:highlight w:val="yellow"/>
        </w:rPr>
      </w:pPr>
    </w:p>
    <w:p w14:paraId="4C378437" w14:textId="5AB8985B" w:rsidR="0042586A" w:rsidRPr="00172E65" w:rsidRDefault="000547B6" w:rsidP="003B74DA">
      <w:pPr>
        <w:ind w:firstLine="720"/>
        <w:rPr>
          <w:rFonts w:ascii="Arial" w:hAnsi="Arial"/>
          <w:b/>
          <w:sz w:val="22"/>
          <w:szCs w:val="22"/>
        </w:rPr>
      </w:pPr>
      <w:r w:rsidRPr="00172E65">
        <w:rPr>
          <w:rFonts w:ascii="Arial" w:hAnsi="Arial"/>
          <w:b/>
          <w:sz w:val="22"/>
          <w:szCs w:val="22"/>
        </w:rPr>
        <w:t xml:space="preserve">PCC SINGLE ENTITY </w:t>
      </w:r>
      <w:r w:rsidR="00C37E7F">
        <w:rPr>
          <w:rFonts w:ascii="Arial" w:hAnsi="Arial"/>
          <w:b/>
          <w:sz w:val="22"/>
          <w:szCs w:val="22"/>
        </w:rPr>
        <w:t>2023/24</w:t>
      </w:r>
    </w:p>
    <w:p w14:paraId="04939038" w14:textId="21039917" w:rsidR="006A1C1B" w:rsidRPr="00172E65" w:rsidRDefault="006A1C1B" w:rsidP="003B74DA">
      <w:pPr>
        <w:ind w:firstLine="720"/>
      </w:pPr>
    </w:p>
    <w:tbl>
      <w:tblPr>
        <w:tblW w:w="15593" w:type="dxa"/>
        <w:tblLook w:val="04A0" w:firstRow="1" w:lastRow="0" w:firstColumn="1" w:lastColumn="0" w:noHBand="0" w:noVBand="1"/>
      </w:tblPr>
      <w:tblGrid>
        <w:gridCol w:w="2906"/>
        <w:gridCol w:w="2375"/>
        <w:gridCol w:w="2729"/>
        <w:gridCol w:w="2398"/>
        <w:gridCol w:w="2464"/>
        <w:gridCol w:w="2721"/>
      </w:tblGrid>
      <w:tr w:rsidR="00965262" w:rsidRPr="008F183F" w14:paraId="06EDA4DC" w14:textId="77777777" w:rsidTr="00965262">
        <w:trPr>
          <w:trHeight w:val="900"/>
        </w:trPr>
        <w:tc>
          <w:tcPr>
            <w:tcW w:w="2906" w:type="dxa"/>
            <w:tcBorders>
              <w:top w:val="single" w:sz="8" w:space="0" w:color="auto"/>
              <w:left w:val="single" w:sz="8" w:space="0" w:color="auto"/>
              <w:bottom w:val="nil"/>
              <w:right w:val="nil"/>
            </w:tcBorders>
            <w:vAlign w:val="center"/>
            <w:hideMark/>
          </w:tcPr>
          <w:p w14:paraId="42CF4268" w14:textId="232166D2" w:rsidR="00965262" w:rsidRPr="008F183F" w:rsidRDefault="00965262" w:rsidP="00965262">
            <w:pPr>
              <w:rPr>
                <w:rFonts w:ascii="Arial" w:hAnsi="Arial" w:cs="Arial"/>
                <w:b/>
                <w:bCs/>
                <w:color w:val="000000"/>
                <w:sz w:val="22"/>
                <w:szCs w:val="22"/>
              </w:rPr>
            </w:pPr>
            <w:r w:rsidRPr="00634844">
              <w:rPr>
                <w:rFonts w:ascii="Arial" w:hAnsi="Arial" w:cs="Arial"/>
                <w:b/>
                <w:bCs/>
                <w:color w:val="000000"/>
                <w:sz w:val="22"/>
                <w:szCs w:val="22"/>
              </w:rPr>
              <w:t> </w:t>
            </w:r>
          </w:p>
        </w:tc>
        <w:tc>
          <w:tcPr>
            <w:tcW w:w="2375" w:type="dxa"/>
            <w:tcBorders>
              <w:top w:val="single" w:sz="8" w:space="0" w:color="auto"/>
              <w:left w:val="nil"/>
              <w:bottom w:val="nil"/>
              <w:right w:val="nil"/>
            </w:tcBorders>
            <w:shd w:val="clear" w:color="000000" w:fill="CCCCCC"/>
            <w:vAlign w:val="center"/>
            <w:hideMark/>
          </w:tcPr>
          <w:p w14:paraId="243356BE" w14:textId="61161AC0"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Outturn position as reported to management</w:t>
            </w:r>
          </w:p>
        </w:tc>
        <w:tc>
          <w:tcPr>
            <w:tcW w:w="2729" w:type="dxa"/>
            <w:tcBorders>
              <w:top w:val="single" w:sz="8" w:space="0" w:color="auto"/>
              <w:left w:val="nil"/>
              <w:bottom w:val="nil"/>
              <w:right w:val="nil"/>
            </w:tcBorders>
            <w:shd w:val="clear" w:color="000000" w:fill="CCCCCC"/>
            <w:vAlign w:val="center"/>
            <w:hideMark/>
          </w:tcPr>
          <w:p w14:paraId="60936B06" w14:textId="1CB86DDE"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 xml:space="preserve">Adjustments to arrive at net amount chargeable to Police General Fund* </w:t>
            </w:r>
          </w:p>
        </w:tc>
        <w:tc>
          <w:tcPr>
            <w:tcW w:w="2398" w:type="dxa"/>
            <w:tcBorders>
              <w:top w:val="single" w:sz="8" w:space="0" w:color="auto"/>
              <w:left w:val="nil"/>
              <w:bottom w:val="nil"/>
              <w:right w:val="nil"/>
            </w:tcBorders>
            <w:shd w:val="clear" w:color="000000" w:fill="CCCCCC"/>
            <w:vAlign w:val="center"/>
            <w:hideMark/>
          </w:tcPr>
          <w:p w14:paraId="127DA145" w14:textId="5A19D969"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Net expenditure chargeable to Police General Fund</w:t>
            </w:r>
          </w:p>
        </w:tc>
        <w:tc>
          <w:tcPr>
            <w:tcW w:w="2464" w:type="dxa"/>
            <w:tcBorders>
              <w:top w:val="single" w:sz="8" w:space="0" w:color="auto"/>
              <w:left w:val="nil"/>
              <w:bottom w:val="nil"/>
              <w:right w:val="nil"/>
            </w:tcBorders>
            <w:shd w:val="clear" w:color="000000" w:fill="CCCCCC"/>
            <w:vAlign w:val="center"/>
            <w:hideMark/>
          </w:tcPr>
          <w:p w14:paraId="78A0909B" w14:textId="6F667DDE"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Adjustments between the funding and accounting basis*</w:t>
            </w:r>
          </w:p>
        </w:tc>
        <w:tc>
          <w:tcPr>
            <w:tcW w:w="2721" w:type="dxa"/>
            <w:tcBorders>
              <w:top w:val="single" w:sz="8" w:space="0" w:color="auto"/>
              <w:left w:val="nil"/>
              <w:bottom w:val="nil"/>
              <w:right w:val="single" w:sz="8" w:space="0" w:color="auto"/>
            </w:tcBorders>
            <w:shd w:val="clear" w:color="000000" w:fill="CCCCCC"/>
            <w:vAlign w:val="center"/>
            <w:hideMark/>
          </w:tcPr>
          <w:p w14:paraId="42D88185" w14:textId="3D739A57"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Net expenditure Comprehensive Income &amp; Expenditure Statement</w:t>
            </w:r>
          </w:p>
        </w:tc>
      </w:tr>
      <w:tr w:rsidR="00965262" w:rsidRPr="008F183F" w14:paraId="305E6C47" w14:textId="77777777" w:rsidTr="00965262">
        <w:trPr>
          <w:trHeight w:val="300"/>
        </w:trPr>
        <w:tc>
          <w:tcPr>
            <w:tcW w:w="2906" w:type="dxa"/>
            <w:tcBorders>
              <w:top w:val="nil"/>
              <w:left w:val="single" w:sz="8" w:space="0" w:color="auto"/>
              <w:bottom w:val="nil"/>
              <w:right w:val="nil"/>
            </w:tcBorders>
            <w:vAlign w:val="center"/>
            <w:hideMark/>
          </w:tcPr>
          <w:p w14:paraId="65DA41B8" w14:textId="48A7B3DB" w:rsidR="00965262" w:rsidRPr="008F183F" w:rsidRDefault="00965262" w:rsidP="00965262">
            <w:pPr>
              <w:rPr>
                <w:rFonts w:ascii="Arial" w:hAnsi="Arial" w:cs="Arial"/>
                <w:b/>
                <w:bCs/>
                <w:color w:val="000000"/>
                <w:sz w:val="22"/>
                <w:szCs w:val="22"/>
              </w:rPr>
            </w:pPr>
            <w:r w:rsidRPr="00634844">
              <w:rPr>
                <w:rFonts w:ascii="Arial" w:hAnsi="Arial" w:cs="Arial"/>
                <w:b/>
                <w:bCs/>
                <w:color w:val="000000"/>
                <w:sz w:val="22"/>
                <w:szCs w:val="22"/>
              </w:rPr>
              <w:t> </w:t>
            </w:r>
          </w:p>
        </w:tc>
        <w:tc>
          <w:tcPr>
            <w:tcW w:w="2375" w:type="dxa"/>
            <w:tcBorders>
              <w:top w:val="nil"/>
              <w:left w:val="nil"/>
              <w:bottom w:val="nil"/>
              <w:right w:val="nil"/>
            </w:tcBorders>
            <w:shd w:val="clear" w:color="000000" w:fill="CCCCCC"/>
            <w:vAlign w:val="center"/>
            <w:hideMark/>
          </w:tcPr>
          <w:p w14:paraId="011819B9" w14:textId="288BF460"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729" w:type="dxa"/>
            <w:tcBorders>
              <w:top w:val="nil"/>
              <w:left w:val="nil"/>
              <w:bottom w:val="nil"/>
              <w:right w:val="nil"/>
            </w:tcBorders>
            <w:shd w:val="clear" w:color="000000" w:fill="CCCCCC"/>
            <w:vAlign w:val="center"/>
            <w:hideMark/>
          </w:tcPr>
          <w:p w14:paraId="149F7493" w14:textId="33E77F0F"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398" w:type="dxa"/>
            <w:tcBorders>
              <w:top w:val="nil"/>
              <w:left w:val="nil"/>
              <w:bottom w:val="nil"/>
              <w:right w:val="nil"/>
            </w:tcBorders>
            <w:shd w:val="clear" w:color="000000" w:fill="CCCCCC"/>
            <w:vAlign w:val="center"/>
            <w:hideMark/>
          </w:tcPr>
          <w:p w14:paraId="4447DEE1" w14:textId="165165C2"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464" w:type="dxa"/>
            <w:tcBorders>
              <w:top w:val="nil"/>
              <w:left w:val="nil"/>
              <w:bottom w:val="nil"/>
              <w:right w:val="nil"/>
            </w:tcBorders>
            <w:shd w:val="clear" w:color="000000" w:fill="CCCCCC"/>
            <w:vAlign w:val="center"/>
            <w:hideMark/>
          </w:tcPr>
          <w:p w14:paraId="143E3AEA" w14:textId="26AA8E14"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c>
          <w:tcPr>
            <w:tcW w:w="2721" w:type="dxa"/>
            <w:tcBorders>
              <w:top w:val="nil"/>
              <w:left w:val="nil"/>
              <w:bottom w:val="nil"/>
              <w:right w:val="single" w:sz="8" w:space="0" w:color="auto"/>
            </w:tcBorders>
            <w:shd w:val="clear" w:color="000000" w:fill="CCCCCC"/>
            <w:vAlign w:val="center"/>
            <w:hideMark/>
          </w:tcPr>
          <w:p w14:paraId="3266E4A5" w14:textId="01DF5AF6" w:rsidR="00965262" w:rsidRPr="008F183F" w:rsidRDefault="00965262" w:rsidP="00965262">
            <w:pPr>
              <w:jc w:val="right"/>
              <w:rPr>
                <w:rFonts w:ascii="Arial" w:hAnsi="Arial" w:cs="Arial"/>
                <w:b/>
                <w:bCs/>
                <w:color w:val="000000"/>
                <w:sz w:val="22"/>
                <w:szCs w:val="22"/>
              </w:rPr>
            </w:pPr>
            <w:r w:rsidRPr="00634844">
              <w:rPr>
                <w:rFonts w:ascii="Arial" w:hAnsi="Arial" w:cs="Arial"/>
                <w:b/>
                <w:bCs/>
                <w:color w:val="000000"/>
                <w:sz w:val="22"/>
                <w:szCs w:val="22"/>
              </w:rPr>
              <w:t>£000</w:t>
            </w:r>
          </w:p>
        </w:tc>
      </w:tr>
      <w:tr w:rsidR="00F22299" w:rsidRPr="008F183F" w14:paraId="7761F032" w14:textId="77777777" w:rsidTr="00965262">
        <w:trPr>
          <w:trHeight w:val="300"/>
        </w:trPr>
        <w:tc>
          <w:tcPr>
            <w:tcW w:w="2906" w:type="dxa"/>
            <w:tcBorders>
              <w:top w:val="nil"/>
              <w:left w:val="single" w:sz="8" w:space="0" w:color="auto"/>
              <w:bottom w:val="nil"/>
              <w:right w:val="nil"/>
            </w:tcBorders>
            <w:vAlign w:val="center"/>
            <w:hideMark/>
          </w:tcPr>
          <w:p w14:paraId="316CAD92" w14:textId="5997FE93" w:rsidR="00F22299" w:rsidRPr="008F183F" w:rsidRDefault="00F22299" w:rsidP="00F22299">
            <w:pPr>
              <w:rPr>
                <w:rFonts w:ascii="Arial" w:hAnsi="Arial" w:cs="Arial"/>
                <w:color w:val="000000"/>
              </w:rPr>
            </w:pPr>
            <w:r w:rsidRPr="00634844">
              <w:rPr>
                <w:rFonts w:ascii="Arial" w:hAnsi="Arial" w:cs="Arial"/>
                <w:color w:val="000000"/>
              </w:rPr>
              <w:t>Office of the PCC</w:t>
            </w:r>
          </w:p>
        </w:tc>
        <w:tc>
          <w:tcPr>
            <w:tcW w:w="2375" w:type="dxa"/>
            <w:tcBorders>
              <w:top w:val="nil"/>
              <w:left w:val="nil"/>
              <w:bottom w:val="nil"/>
              <w:right w:val="nil"/>
            </w:tcBorders>
            <w:shd w:val="clear" w:color="000000" w:fill="CCCCCC"/>
            <w:vAlign w:val="center"/>
            <w:hideMark/>
          </w:tcPr>
          <w:p w14:paraId="314B8259" w14:textId="384EF3BA" w:rsidR="00F22299" w:rsidRPr="008F183F" w:rsidRDefault="00F22299" w:rsidP="00F22299">
            <w:pPr>
              <w:jc w:val="right"/>
              <w:rPr>
                <w:rFonts w:ascii="Arial" w:hAnsi="Arial" w:cs="Arial"/>
                <w:b/>
                <w:bCs/>
                <w:color w:val="000000"/>
              </w:rPr>
            </w:pPr>
            <w:r>
              <w:rPr>
                <w:rFonts w:ascii="Arial" w:hAnsi="Arial" w:cs="Arial"/>
                <w:b/>
                <w:bCs/>
                <w:color w:val="000000"/>
              </w:rPr>
              <w:t>1,721</w:t>
            </w:r>
          </w:p>
        </w:tc>
        <w:tc>
          <w:tcPr>
            <w:tcW w:w="2729" w:type="dxa"/>
            <w:tcBorders>
              <w:top w:val="nil"/>
              <w:left w:val="nil"/>
              <w:bottom w:val="nil"/>
              <w:right w:val="nil"/>
            </w:tcBorders>
            <w:shd w:val="clear" w:color="000000" w:fill="CCCCCC"/>
            <w:vAlign w:val="center"/>
            <w:hideMark/>
          </w:tcPr>
          <w:p w14:paraId="38D44EAC" w14:textId="5003D65A" w:rsidR="00F22299" w:rsidRPr="008F183F" w:rsidRDefault="00F22299" w:rsidP="00F22299">
            <w:pPr>
              <w:jc w:val="right"/>
              <w:rPr>
                <w:rFonts w:ascii="Arial" w:hAnsi="Arial" w:cs="Arial"/>
                <w:b/>
                <w:bCs/>
                <w:color w:val="000000"/>
              </w:rPr>
            </w:pPr>
            <w:r>
              <w:rPr>
                <w:rFonts w:ascii="Arial" w:hAnsi="Arial" w:cs="Arial"/>
                <w:b/>
                <w:bCs/>
                <w:color w:val="000000"/>
              </w:rPr>
              <w:t>(10)</w:t>
            </w:r>
          </w:p>
        </w:tc>
        <w:tc>
          <w:tcPr>
            <w:tcW w:w="2398" w:type="dxa"/>
            <w:tcBorders>
              <w:top w:val="nil"/>
              <w:left w:val="nil"/>
              <w:bottom w:val="nil"/>
              <w:right w:val="nil"/>
            </w:tcBorders>
            <w:shd w:val="clear" w:color="000000" w:fill="CCCCCC"/>
            <w:vAlign w:val="center"/>
            <w:hideMark/>
          </w:tcPr>
          <w:p w14:paraId="43DAFB1E" w14:textId="2EEA9845" w:rsidR="00F22299" w:rsidRPr="008F183F" w:rsidRDefault="00F22299" w:rsidP="00F22299">
            <w:pPr>
              <w:jc w:val="right"/>
              <w:rPr>
                <w:rFonts w:ascii="Arial" w:hAnsi="Arial" w:cs="Arial"/>
                <w:b/>
                <w:bCs/>
                <w:color w:val="000000"/>
              </w:rPr>
            </w:pPr>
            <w:r>
              <w:rPr>
                <w:rFonts w:ascii="Arial" w:hAnsi="Arial" w:cs="Arial"/>
                <w:b/>
                <w:bCs/>
                <w:color w:val="000000"/>
              </w:rPr>
              <w:t>1,712</w:t>
            </w:r>
          </w:p>
        </w:tc>
        <w:tc>
          <w:tcPr>
            <w:tcW w:w="2464" w:type="dxa"/>
            <w:tcBorders>
              <w:top w:val="nil"/>
              <w:left w:val="nil"/>
              <w:bottom w:val="nil"/>
              <w:right w:val="nil"/>
            </w:tcBorders>
            <w:shd w:val="clear" w:color="000000" w:fill="CCCCCC"/>
            <w:vAlign w:val="center"/>
            <w:hideMark/>
          </w:tcPr>
          <w:p w14:paraId="42E0978C" w14:textId="525F3263" w:rsidR="00F22299" w:rsidRPr="008F183F" w:rsidRDefault="00F22299" w:rsidP="00F22299">
            <w:pPr>
              <w:jc w:val="right"/>
              <w:rPr>
                <w:rFonts w:ascii="Arial" w:hAnsi="Arial" w:cs="Arial"/>
                <w:b/>
                <w:bCs/>
                <w:color w:val="000000"/>
              </w:rPr>
            </w:pPr>
            <w:r>
              <w:rPr>
                <w:rFonts w:ascii="Arial" w:hAnsi="Arial" w:cs="Arial"/>
                <w:b/>
                <w:bCs/>
                <w:color w:val="000000"/>
              </w:rPr>
              <w:t>39</w:t>
            </w:r>
          </w:p>
        </w:tc>
        <w:tc>
          <w:tcPr>
            <w:tcW w:w="2721" w:type="dxa"/>
            <w:tcBorders>
              <w:top w:val="nil"/>
              <w:left w:val="nil"/>
              <w:bottom w:val="nil"/>
              <w:right w:val="single" w:sz="8" w:space="0" w:color="auto"/>
            </w:tcBorders>
            <w:shd w:val="clear" w:color="000000" w:fill="CCCCCC"/>
            <w:vAlign w:val="center"/>
            <w:hideMark/>
          </w:tcPr>
          <w:p w14:paraId="3D22B40B" w14:textId="52A30818" w:rsidR="00F22299" w:rsidRPr="008F183F" w:rsidRDefault="00F22299" w:rsidP="00F22299">
            <w:pPr>
              <w:jc w:val="right"/>
              <w:rPr>
                <w:rFonts w:ascii="Arial" w:hAnsi="Arial" w:cs="Arial"/>
                <w:b/>
                <w:bCs/>
                <w:color w:val="000000"/>
              </w:rPr>
            </w:pPr>
            <w:r>
              <w:rPr>
                <w:rFonts w:ascii="Arial" w:hAnsi="Arial" w:cs="Arial"/>
                <w:b/>
                <w:bCs/>
                <w:color w:val="000000"/>
              </w:rPr>
              <w:t>1,751</w:t>
            </w:r>
          </w:p>
        </w:tc>
      </w:tr>
      <w:tr w:rsidR="00F22299" w:rsidRPr="008F183F" w14:paraId="294BCD6E" w14:textId="77777777" w:rsidTr="00965262">
        <w:trPr>
          <w:trHeight w:val="300"/>
        </w:trPr>
        <w:tc>
          <w:tcPr>
            <w:tcW w:w="2906" w:type="dxa"/>
            <w:tcBorders>
              <w:top w:val="nil"/>
              <w:left w:val="single" w:sz="8" w:space="0" w:color="auto"/>
              <w:bottom w:val="nil"/>
              <w:right w:val="nil"/>
            </w:tcBorders>
            <w:vAlign w:val="center"/>
            <w:hideMark/>
          </w:tcPr>
          <w:p w14:paraId="0348A514" w14:textId="131D2E2E" w:rsidR="00F22299" w:rsidRPr="008F183F" w:rsidRDefault="0081765F" w:rsidP="00F22299">
            <w:pPr>
              <w:rPr>
                <w:rFonts w:ascii="Arial" w:hAnsi="Arial" w:cs="Arial"/>
                <w:color w:val="000000"/>
              </w:rPr>
            </w:pPr>
            <w:r>
              <w:rPr>
                <w:rFonts w:ascii="Arial" w:hAnsi="Arial" w:cs="Arial"/>
                <w:color w:val="000000"/>
              </w:rPr>
              <w:t>Prevention</w:t>
            </w:r>
          </w:p>
        </w:tc>
        <w:tc>
          <w:tcPr>
            <w:tcW w:w="2375" w:type="dxa"/>
            <w:tcBorders>
              <w:top w:val="nil"/>
              <w:left w:val="nil"/>
              <w:bottom w:val="nil"/>
              <w:right w:val="nil"/>
            </w:tcBorders>
            <w:shd w:val="clear" w:color="000000" w:fill="CCCCCC"/>
            <w:vAlign w:val="center"/>
            <w:hideMark/>
          </w:tcPr>
          <w:p w14:paraId="14F1ADEF" w14:textId="18BA2892" w:rsidR="00F22299" w:rsidRPr="008F183F" w:rsidRDefault="00F22299" w:rsidP="00F22299">
            <w:pPr>
              <w:jc w:val="right"/>
              <w:rPr>
                <w:rFonts w:ascii="Arial" w:hAnsi="Arial" w:cs="Arial"/>
                <w:b/>
                <w:bCs/>
                <w:color w:val="000000"/>
              </w:rPr>
            </w:pPr>
            <w:r>
              <w:rPr>
                <w:rFonts w:ascii="Arial" w:hAnsi="Arial" w:cs="Arial"/>
                <w:b/>
                <w:bCs/>
                <w:color w:val="000000"/>
              </w:rPr>
              <w:t>779</w:t>
            </w:r>
          </w:p>
        </w:tc>
        <w:tc>
          <w:tcPr>
            <w:tcW w:w="2729" w:type="dxa"/>
            <w:tcBorders>
              <w:top w:val="nil"/>
              <w:left w:val="nil"/>
              <w:bottom w:val="nil"/>
              <w:right w:val="nil"/>
            </w:tcBorders>
            <w:shd w:val="clear" w:color="000000" w:fill="CCCCCC"/>
            <w:vAlign w:val="center"/>
            <w:hideMark/>
          </w:tcPr>
          <w:p w14:paraId="16AA701D" w14:textId="4D0BA696" w:rsidR="00F22299" w:rsidRPr="008F183F" w:rsidRDefault="00F22299" w:rsidP="00F22299">
            <w:pPr>
              <w:jc w:val="right"/>
              <w:rPr>
                <w:rFonts w:ascii="Arial" w:hAnsi="Arial" w:cs="Arial"/>
                <w:b/>
                <w:bCs/>
                <w:color w:val="000000"/>
              </w:rPr>
            </w:pPr>
            <w:r>
              <w:rPr>
                <w:rFonts w:ascii="Arial" w:hAnsi="Arial" w:cs="Arial"/>
                <w:b/>
                <w:bCs/>
                <w:color w:val="000000"/>
              </w:rPr>
              <w:t>(1,547)</w:t>
            </w:r>
          </w:p>
        </w:tc>
        <w:tc>
          <w:tcPr>
            <w:tcW w:w="2398" w:type="dxa"/>
            <w:tcBorders>
              <w:top w:val="nil"/>
              <w:left w:val="nil"/>
              <w:bottom w:val="nil"/>
              <w:right w:val="nil"/>
            </w:tcBorders>
            <w:shd w:val="clear" w:color="000000" w:fill="CCCCCC"/>
            <w:vAlign w:val="center"/>
            <w:hideMark/>
          </w:tcPr>
          <w:p w14:paraId="239BBB30" w14:textId="284B1AD8" w:rsidR="00F22299" w:rsidRPr="008F183F" w:rsidRDefault="00F22299" w:rsidP="00F22299">
            <w:pPr>
              <w:jc w:val="right"/>
              <w:rPr>
                <w:rFonts w:ascii="Arial" w:hAnsi="Arial" w:cs="Arial"/>
                <w:b/>
                <w:bCs/>
                <w:color w:val="000000"/>
              </w:rPr>
            </w:pPr>
            <w:r>
              <w:rPr>
                <w:rFonts w:ascii="Arial" w:hAnsi="Arial" w:cs="Arial"/>
                <w:b/>
                <w:bCs/>
                <w:color w:val="000000"/>
              </w:rPr>
              <w:t>(769)</w:t>
            </w:r>
          </w:p>
        </w:tc>
        <w:tc>
          <w:tcPr>
            <w:tcW w:w="2464" w:type="dxa"/>
            <w:tcBorders>
              <w:top w:val="nil"/>
              <w:left w:val="nil"/>
              <w:bottom w:val="nil"/>
              <w:right w:val="nil"/>
            </w:tcBorders>
            <w:shd w:val="clear" w:color="000000" w:fill="CCCCCC"/>
            <w:vAlign w:val="center"/>
            <w:hideMark/>
          </w:tcPr>
          <w:p w14:paraId="2868F230" w14:textId="29B504C1" w:rsidR="00F22299" w:rsidRPr="008F183F" w:rsidRDefault="00F22299" w:rsidP="00F22299">
            <w:pPr>
              <w:jc w:val="right"/>
              <w:rPr>
                <w:rFonts w:ascii="Arial" w:hAnsi="Arial" w:cs="Arial"/>
                <w:b/>
                <w:bCs/>
                <w:color w:val="000000"/>
              </w:rPr>
            </w:pPr>
            <w:r>
              <w:rPr>
                <w:rFonts w:ascii="Arial" w:hAnsi="Arial" w:cs="Arial"/>
                <w:b/>
                <w:bCs/>
                <w:color w:val="000000"/>
              </w:rPr>
              <w:t>0</w:t>
            </w:r>
          </w:p>
        </w:tc>
        <w:tc>
          <w:tcPr>
            <w:tcW w:w="2721" w:type="dxa"/>
            <w:tcBorders>
              <w:top w:val="nil"/>
              <w:left w:val="nil"/>
              <w:bottom w:val="nil"/>
              <w:right w:val="single" w:sz="8" w:space="0" w:color="auto"/>
            </w:tcBorders>
            <w:shd w:val="clear" w:color="000000" w:fill="CCCCCC"/>
            <w:vAlign w:val="center"/>
            <w:hideMark/>
          </w:tcPr>
          <w:p w14:paraId="5D1FD56E" w14:textId="0B205DC8" w:rsidR="00F22299" w:rsidRPr="008F183F" w:rsidRDefault="00F22299" w:rsidP="00F22299">
            <w:pPr>
              <w:jc w:val="right"/>
              <w:rPr>
                <w:rFonts w:ascii="Arial" w:hAnsi="Arial" w:cs="Arial"/>
                <w:b/>
                <w:bCs/>
                <w:color w:val="000000"/>
              </w:rPr>
            </w:pPr>
            <w:r>
              <w:rPr>
                <w:rFonts w:ascii="Arial" w:hAnsi="Arial" w:cs="Arial"/>
                <w:b/>
                <w:bCs/>
                <w:color w:val="000000"/>
              </w:rPr>
              <w:t>(769)</w:t>
            </w:r>
          </w:p>
        </w:tc>
      </w:tr>
      <w:tr w:rsidR="00F22299" w:rsidRPr="008F183F" w14:paraId="50D3D7E4" w14:textId="77777777" w:rsidTr="00965262">
        <w:trPr>
          <w:trHeight w:val="510"/>
        </w:trPr>
        <w:tc>
          <w:tcPr>
            <w:tcW w:w="2906" w:type="dxa"/>
            <w:tcBorders>
              <w:top w:val="nil"/>
              <w:left w:val="single" w:sz="8" w:space="0" w:color="auto"/>
              <w:bottom w:val="nil"/>
              <w:right w:val="nil"/>
            </w:tcBorders>
            <w:vAlign w:val="center"/>
            <w:hideMark/>
          </w:tcPr>
          <w:p w14:paraId="5C14C116" w14:textId="52FCB257" w:rsidR="00F22299" w:rsidRPr="008F183F" w:rsidRDefault="00F22299" w:rsidP="00F22299">
            <w:pPr>
              <w:rPr>
                <w:rFonts w:ascii="Arial" w:hAnsi="Arial" w:cs="Arial"/>
                <w:color w:val="000000"/>
              </w:rPr>
            </w:pPr>
            <w:r w:rsidRPr="00634844">
              <w:rPr>
                <w:rFonts w:ascii="Arial" w:hAnsi="Arial" w:cs="Arial"/>
                <w:color w:val="000000"/>
              </w:rPr>
              <w:t>Victim and Domestic Abuse services</w:t>
            </w:r>
          </w:p>
        </w:tc>
        <w:tc>
          <w:tcPr>
            <w:tcW w:w="2375" w:type="dxa"/>
            <w:tcBorders>
              <w:top w:val="nil"/>
              <w:left w:val="nil"/>
              <w:bottom w:val="nil"/>
              <w:right w:val="nil"/>
            </w:tcBorders>
            <w:shd w:val="clear" w:color="000000" w:fill="CCCCCC"/>
            <w:vAlign w:val="center"/>
            <w:hideMark/>
          </w:tcPr>
          <w:p w14:paraId="234057D0" w14:textId="553D533A" w:rsidR="00F22299" w:rsidRPr="008F183F" w:rsidRDefault="00F22299" w:rsidP="00F22299">
            <w:pPr>
              <w:jc w:val="right"/>
              <w:rPr>
                <w:rFonts w:ascii="Arial" w:hAnsi="Arial" w:cs="Arial"/>
                <w:b/>
                <w:bCs/>
                <w:color w:val="000000"/>
              </w:rPr>
            </w:pPr>
            <w:r>
              <w:rPr>
                <w:rFonts w:ascii="Arial" w:hAnsi="Arial" w:cs="Arial"/>
                <w:b/>
                <w:bCs/>
                <w:color w:val="000000"/>
              </w:rPr>
              <w:t>560</w:t>
            </w:r>
          </w:p>
        </w:tc>
        <w:tc>
          <w:tcPr>
            <w:tcW w:w="2729" w:type="dxa"/>
            <w:tcBorders>
              <w:top w:val="nil"/>
              <w:left w:val="nil"/>
              <w:bottom w:val="nil"/>
              <w:right w:val="nil"/>
            </w:tcBorders>
            <w:shd w:val="clear" w:color="000000" w:fill="CCCCCC"/>
            <w:vAlign w:val="center"/>
            <w:hideMark/>
          </w:tcPr>
          <w:p w14:paraId="767592D6" w14:textId="46397A51" w:rsidR="00F22299" w:rsidRPr="008F183F" w:rsidRDefault="00F22299" w:rsidP="00F22299">
            <w:pPr>
              <w:jc w:val="right"/>
              <w:rPr>
                <w:rFonts w:ascii="Arial" w:hAnsi="Arial" w:cs="Arial"/>
                <w:b/>
                <w:bCs/>
                <w:color w:val="000000"/>
              </w:rPr>
            </w:pPr>
            <w:r>
              <w:rPr>
                <w:rFonts w:ascii="Arial" w:hAnsi="Arial" w:cs="Arial"/>
                <w:b/>
                <w:bCs/>
                <w:color w:val="000000"/>
              </w:rPr>
              <w:t>(167)</w:t>
            </w:r>
          </w:p>
        </w:tc>
        <w:tc>
          <w:tcPr>
            <w:tcW w:w="2398" w:type="dxa"/>
            <w:tcBorders>
              <w:top w:val="nil"/>
              <w:left w:val="nil"/>
              <w:bottom w:val="nil"/>
              <w:right w:val="nil"/>
            </w:tcBorders>
            <w:shd w:val="clear" w:color="000000" w:fill="CCCCCC"/>
            <w:vAlign w:val="center"/>
            <w:hideMark/>
          </w:tcPr>
          <w:p w14:paraId="178F1880" w14:textId="3E3414AC" w:rsidR="00F22299" w:rsidRPr="008F183F" w:rsidRDefault="00F22299" w:rsidP="00F22299">
            <w:pPr>
              <w:jc w:val="right"/>
              <w:rPr>
                <w:rFonts w:ascii="Arial" w:hAnsi="Arial" w:cs="Arial"/>
                <w:b/>
                <w:bCs/>
                <w:color w:val="000000"/>
              </w:rPr>
            </w:pPr>
            <w:r>
              <w:rPr>
                <w:rFonts w:ascii="Arial" w:hAnsi="Arial" w:cs="Arial"/>
                <w:b/>
                <w:bCs/>
                <w:color w:val="000000"/>
              </w:rPr>
              <w:t>393</w:t>
            </w:r>
          </w:p>
        </w:tc>
        <w:tc>
          <w:tcPr>
            <w:tcW w:w="2464" w:type="dxa"/>
            <w:tcBorders>
              <w:top w:val="nil"/>
              <w:left w:val="nil"/>
              <w:bottom w:val="nil"/>
              <w:right w:val="nil"/>
            </w:tcBorders>
            <w:shd w:val="clear" w:color="000000" w:fill="CCCCCC"/>
            <w:vAlign w:val="center"/>
            <w:hideMark/>
          </w:tcPr>
          <w:p w14:paraId="67ABAA9C" w14:textId="697216DB" w:rsidR="00F22299" w:rsidRPr="008F183F" w:rsidRDefault="00F22299" w:rsidP="00F22299">
            <w:pPr>
              <w:jc w:val="right"/>
              <w:rPr>
                <w:rFonts w:ascii="Arial" w:hAnsi="Arial" w:cs="Arial"/>
                <w:b/>
                <w:bCs/>
                <w:color w:val="000000"/>
              </w:rPr>
            </w:pPr>
            <w:r>
              <w:rPr>
                <w:rFonts w:ascii="Arial" w:hAnsi="Arial" w:cs="Arial"/>
                <w:b/>
                <w:bCs/>
                <w:color w:val="000000"/>
              </w:rPr>
              <w:t>5</w:t>
            </w:r>
          </w:p>
        </w:tc>
        <w:tc>
          <w:tcPr>
            <w:tcW w:w="2721" w:type="dxa"/>
            <w:tcBorders>
              <w:top w:val="nil"/>
              <w:left w:val="nil"/>
              <w:bottom w:val="nil"/>
              <w:right w:val="single" w:sz="8" w:space="0" w:color="auto"/>
            </w:tcBorders>
            <w:shd w:val="clear" w:color="000000" w:fill="CCCCCC"/>
            <w:vAlign w:val="center"/>
            <w:hideMark/>
          </w:tcPr>
          <w:p w14:paraId="3FBD00C8" w14:textId="35CBC757" w:rsidR="00F22299" w:rsidRPr="008F183F" w:rsidRDefault="00F22299" w:rsidP="00F22299">
            <w:pPr>
              <w:jc w:val="right"/>
              <w:rPr>
                <w:rFonts w:ascii="Arial" w:hAnsi="Arial" w:cs="Arial"/>
                <w:b/>
                <w:bCs/>
                <w:color w:val="000000"/>
              </w:rPr>
            </w:pPr>
            <w:r>
              <w:rPr>
                <w:rFonts w:ascii="Arial" w:hAnsi="Arial" w:cs="Arial"/>
                <w:b/>
                <w:bCs/>
                <w:color w:val="000000"/>
              </w:rPr>
              <w:t>397</w:t>
            </w:r>
          </w:p>
        </w:tc>
      </w:tr>
      <w:tr w:rsidR="00F22299" w:rsidRPr="008F183F" w14:paraId="0C2E455E" w14:textId="77777777" w:rsidTr="00965262">
        <w:trPr>
          <w:trHeight w:val="300"/>
        </w:trPr>
        <w:tc>
          <w:tcPr>
            <w:tcW w:w="2906" w:type="dxa"/>
            <w:tcBorders>
              <w:top w:val="nil"/>
              <w:left w:val="single" w:sz="8" w:space="0" w:color="auto"/>
              <w:bottom w:val="nil"/>
              <w:right w:val="nil"/>
            </w:tcBorders>
            <w:vAlign w:val="center"/>
            <w:hideMark/>
          </w:tcPr>
          <w:p w14:paraId="6A0E1A7F" w14:textId="39E69183" w:rsidR="00F22299" w:rsidRPr="008F183F" w:rsidRDefault="00F22299" w:rsidP="00F22299">
            <w:pPr>
              <w:rPr>
                <w:rFonts w:ascii="Arial" w:hAnsi="Arial" w:cs="Arial"/>
                <w:color w:val="000000"/>
              </w:rPr>
            </w:pPr>
            <w:r w:rsidRPr="00634844">
              <w:rPr>
                <w:rFonts w:ascii="Arial" w:hAnsi="Arial" w:cs="Arial"/>
                <w:color w:val="000000"/>
              </w:rPr>
              <w:t>PCC Non-Devolved Budgets</w:t>
            </w:r>
          </w:p>
        </w:tc>
        <w:tc>
          <w:tcPr>
            <w:tcW w:w="2375" w:type="dxa"/>
            <w:tcBorders>
              <w:top w:val="nil"/>
              <w:left w:val="nil"/>
              <w:bottom w:val="nil"/>
              <w:right w:val="nil"/>
            </w:tcBorders>
            <w:shd w:val="clear" w:color="000000" w:fill="CCCCCC"/>
            <w:vAlign w:val="center"/>
            <w:hideMark/>
          </w:tcPr>
          <w:p w14:paraId="3A1B5DB8" w14:textId="7401D2FF" w:rsidR="00F22299" w:rsidRPr="008F183F" w:rsidRDefault="00F22299" w:rsidP="00F22299">
            <w:pPr>
              <w:jc w:val="right"/>
              <w:rPr>
                <w:rFonts w:ascii="Arial" w:hAnsi="Arial" w:cs="Arial"/>
                <w:b/>
                <w:bCs/>
                <w:color w:val="000000"/>
              </w:rPr>
            </w:pPr>
            <w:r>
              <w:rPr>
                <w:rFonts w:ascii="Arial" w:hAnsi="Arial" w:cs="Arial"/>
                <w:b/>
                <w:bCs/>
                <w:color w:val="000000"/>
              </w:rPr>
              <w:t>9,603</w:t>
            </w:r>
          </w:p>
        </w:tc>
        <w:tc>
          <w:tcPr>
            <w:tcW w:w="2729" w:type="dxa"/>
            <w:tcBorders>
              <w:top w:val="nil"/>
              <w:left w:val="nil"/>
              <w:bottom w:val="nil"/>
              <w:right w:val="nil"/>
            </w:tcBorders>
            <w:shd w:val="clear" w:color="000000" w:fill="CCCCCC"/>
            <w:vAlign w:val="center"/>
            <w:hideMark/>
          </w:tcPr>
          <w:p w14:paraId="46E71EAE" w14:textId="3004A3B8" w:rsidR="00F22299" w:rsidRPr="008F183F" w:rsidRDefault="00F22299" w:rsidP="00F22299">
            <w:pPr>
              <w:jc w:val="right"/>
              <w:rPr>
                <w:rFonts w:ascii="Arial" w:hAnsi="Arial" w:cs="Arial"/>
                <w:b/>
                <w:bCs/>
                <w:color w:val="000000"/>
              </w:rPr>
            </w:pPr>
            <w:r>
              <w:rPr>
                <w:rFonts w:ascii="Arial" w:hAnsi="Arial" w:cs="Arial"/>
                <w:b/>
                <w:bCs/>
                <w:color w:val="000000"/>
              </w:rPr>
              <w:t>(31,178)</w:t>
            </w:r>
          </w:p>
        </w:tc>
        <w:tc>
          <w:tcPr>
            <w:tcW w:w="2398" w:type="dxa"/>
            <w:tcBorders>
              <w:top w:val="nil"/>
              <w:left w:val="nil"/>
              <w:bottom w:val="nil"/>
              <w:right w:val="nil"/>
            </w:tcBorders>
            <w:shd w:val="clear" w:color="000000" w:fill="CCCCCC"/>
            <w:vAlign w:val="center"/>
            <w:hideMark/>
          </w:tcPr>
          <w:p w14:paraId="2B90D3F3" w14:textId="33DC7923" w:rsidR="00F22299" w:rsidRPr="008F183F" w:rsidRDefault="00F22299" w:rsidP="00F22299">
            <w:pPr>
              <w:jc w:val="right"/>
              <w:rPr>
                <w:rFonts w:ascii="Arial" w:hAnsi="Arial" w:cs="Arial"/>
                <w:b/>
                <w:bCs/>
                <w:color w:val="000000"/>
              </w:rPr>
            </w:pPr>
            <w:r>
              <w:rPr>
                <w:rFonts w:ascii="Arial" w:hAnsi="Arial" w:cs="Arial"/>
                <w:b/>
                <w:bCs/>
                <w:color w:val="000000"/>
              </w:rPr>
              <w:t>(21,575)</w:t>
            </w:r>
          </w:p>
        </w:tc>
        <w:tc>
          <w:tcPr>
            <w:tcW w:w="2464" w:type="dxa"/>
            <w:tcBorders>
              <w:top w:val="nil"/>
              <w:left w:val="nil"/>
              <w:bottom w:val="nil"/>
              <w:right w:val="nil"/>
            </w:tcBorders>
            <w:shd w:val="clear" w:color="000000" w:fill="CCCCCC"/>
            <w:vAlign w:val="center"/>
            <w:hideMark/>
          </w:tcPr>
          <w:p w14:paraId="6E1FE9D7" w14:textId="64B7B220" w:rsidR="00F22299" w:rsidRPr="008F183F" w:rsidRDefault="00F22299" w:rsidP="00F22299">
            <w:pPr>
              <w:jc w:val="right"/>
              <w:rPr>
                <w:rFonts w:ascii="Arial" w:hAnsi="Arial" w:cs="Arial"/>
                <w:b/>
                <w:bCs/>
                <w:color w:val="000000"/>
              </w:rPr>
            </w:pPr>
            <w:r>
              <w:rPr>
                <w:rFonts w:ascii="Arial" w:hAnsi="Arial" w:cs="Arial"/>
                <w:b/>
                <w:bCs/>
                <w:color w:val="000000"/>
              </w:rPr>
              <w:t>21,580</w:t>
            </w:r>
          </w:p>
        </w:tc>
        <w:tc>
          <w:tcPr>
            <w:tcW w:w="2721" w:type="dxa"/>
            <w:tcBorders>
              <w:top w:val="nil"/>
              <w:left w:val="nil"/>
              <w:bottom w:val="nil"/>
              <w:right w:val="single" w:sz="8" w:space="0" w:color="auto"/>
            </w:tcBorders>
            <w:shd w:val="clear" w:color="000000" w:fill="CCCCCC"/>
            <w:vAlign w:val="center"/>
            <w:hideMark/>
          </w:tcPr>
          <w:p w14:paraId="595AD1C5" w14:textId="14BABF94" w:rsidR="00F22299" w:rsidRPr="008F183F" w:rsidRDefault="00F22299" w:rsidP="00F22299">
            <w:pPr>
              <w:jc w:val="right"/>
              <w:rPr>
                <w:rFonts w:ascii="Arial" w:hAnsi="Arial" w:cs="Arial"/>
                <w:b/>
                <w:bCs/>
                <w:color w:val="000000"/>
              </w:rPr>
            </w:pPr>
            <w:r>
              <w:rPr>
                <w:rFonts w:ascii="Arial" w:hAnsi="Arial" w:cs="Arial"/>
                <w:b/>
                <w:bCs/>
                <w:color w:val="000000"/>
              </w:rPr>
              <w:t>5</w:t>
            </w:r>
          </w:p>
        </w:tc>
      </w:tr>
      <w:tr w:rsidR="00F22299" w:rsidRPr="008F183F" w14:paraId="6F8F0B2A" w14:textId="77777777" w:rsidTr="00965262">
        <w:trPr>
          <w:trHeight w:val="300"/>
        </w:trPr>
        <w:tc>
          <w:tcPr>
            <w:tcW w:w="2906" w:type="dxa"/>
            <w:tcBorders>
              <w:top w:val="nil"/>
              <w:left w:val="single" w:sz="8" w:space="0" w:color="auto"/>
              <w:bottom w:val="nil"/>
              <w:right w:val="nil"/>
            </w:tcBorders>
            <w:vAlign w:val="center"/>
            <w:hideMark/>
          </w:tcPr>
          <w:p w14:paraId="6627CF9C" w14:textId="6F174882" w:rsidR="00F22299" w:rsidRPr="008F183F" w:rsidRDefault="00F22299" w:rsidP="00F22299">
            <w:pPr>
              <w:rPr>
                <w:rFonts w:ascii="Arial" w:hAnsi="Arial" w:cs="Arial"/>
                <w:color w:val="000000"/>
              </w:rPr>
            </w:pPr>
            <w:r w:rsidRPr="00634844">
              <w:rPr>
                <w:rFonts w:ascii="Arial" w:hAnsi="Arial" w:cs="Arial"/>
                <w:color w:val="000000"/>
              </w:rPr>
              <w:t>Funding provided to the CC</w:t>
            </w:r>
          </w:p>
        </w:tc>
        <w:tc>
          <w:tcPr>
            <w:tcW w:w="2375" w:type="dxa"/>
            <w:tcBorders>
              <w:top w:val="nil"/>
              <w:left w:val="nil"/>
              <w:bottom w:val="nil"/>
              <w:right w:val="nil"/>
            </w:tcBorders>
            <w:shd w:val="clear" w:color="000000" w:fill="CCCCCC"/>
            <w:vAlign w:val="center"/>
            <w:hideMark/>
          </w:tcPr>
          <w:p w14:paraId="205470CF" w14:textId="4DE9EC3E" w:rsidR="00F22299" w:rsidRPr="008F183F" w:rsidRDefault="00F22299" w:rsidP="00F22299">
            <w:pPr>
              <w:jc w:val="right"/>
              <w:rPr>
                <w:rFonts w:ascii="Arial" w:hAnsi="Arial" w:cs="Arial"/>
                <w:b/>
                <w:bCs/>
                <w:color w:val="000000"/>
              </w:rPr>
            </w:pPr>
            <w:r>
              <w:rPr>
                <w:rFonts w:ascii="Arial" w:hAnsi="Arial" w:cs="Arial"/>
                <w:b/>
                <w:bCs/>
                <w:color w:val="000000"/>
              </w:rPr>
              <w:t>0</w:t>
            </w:r>
          </w:p>
        </w:tc>
        <w:tc>
          <w:tcPr>
            <w:tcW w:w="2729" w:type="dxa"/>
            <w:tcBorders>
              <w:top w:val="nil"/>
              <w:left w:val="nil"/>
              <w:bottom w:val="nil"/>
              <w:right w:val="nil"/>
            </w:tcBorders>
            <w:shd w:val="clear" w:color="000000" w:fill="CCCCCC"/>
            <w:vAlign w:val="center"/>
            <w:hideMark/>
          </w:tcPr>
          <w:p w14:paraId="62788692" w14:textId="301C192E" w:rsidR="00F22299" w:rsidRPr="008F183F" w:rsidRDefault="00F22299" w:rsidP="00F22299">
            <w:pPr>
              <w:jc w:val="right"/>
              <w:rPr>
                <w:rFonts w:ascii="Arial" w:hAnsi="Arial" w:cs="Arial"/>
                <w:b/>
                <w:bCs/>
                <w:color w:val="000000"/>
              </w:rPr>
            </w:pPr>
            <w:r>
              <w:rPr>
                <w:rFonts w:ascii="Arial" w:hAnsi="Arial" w:cs="Arial"/>
                <w:b/>
                <w:bCs/>
                <w:color w:val="000000"/>
              </w:rPr>
              <w:t>463,176</w:t>
            </w:r>
          </w:p>
        </w:tc>
        <w:tc>
          <w:tcPr>
            <w:tcW w:w="2398" w:type="dxa"/>
            <w:tcBorders>
              <w:top w:val="nil"/>
              <w:left w:val="nil"/>
              <w:bottom w:val="nil"/>
              <w:right w:val="nil"/>
            </w:tcBorders>
            <w:shd w:val="clear" w:color="000000" w:fill="CCCCCC"/>
            <w:vAlign w:val="center"/>
            <w:hideMark/>
          </w:tcPr>
          <w:p w14:paraId="44CF72EB" w14:textId="0BAD5266" w:rsidR="00F22299" w:rsidRPr="008F183F" w:rsidRDefault="00F22299" w:rsidP="00F22299">
            <w:pPr>
              <w:jc w:val="right"/>
              <w:rPr>
                <w:rFonts w:ascii="Arial" w:hAnsi="Arial" w:cs="Arial"/>
                <w:b/>
                <w:bCs/>
                <w:color w:val="000000"/>
              </w:rPr>
            </w:pPr>
            <w:r>
              <w:rPr>
                <w:rFonts w:ascii="Arial" w:hAnsi="Arial" w:cs="Arial"/>
                <w:b/>
                <w:bCs/>
                <w:color w:val="000000"/>
              </w:rPr>
              <w:t>463,176</w:t>
            </w:r>
          </w:p>
        </w:tc>
        <w:tc>
          <w:tcPr>
            <w:tcW w:w="2464" w:type="dxa"/>
            <w:tcBorders>
              <w:top w:val="nil"/>
              <w:left w:val="nil"/>
              <w:bottom w:val="nil"/>
              <w:right w:val="nil"/>
            </w:tcBorders>
            <w:shd w:val="clear" w:color="000000" w:fill="CCCCCC"/>
            <w:vAlign w:val="center"/>
            <w:hideMark/>
          </w:tcPr>
          <w:p w14:paraId="65788014" w14:textId="68EEB11D" w:rsidR="00F22299" w:rsidRPr="008F183F" w:rsidRDefault="00F22299" w:rsidP="00F22299">
            <w:pPr>
              <w:jc w:val="right"/>
              <w:rPr>
                <w:rFonts w:ascii="Arial" w:hAnsi="Arial" w:cs="Arial"/>
                <w:b/>
                <w:bCs/>
                <w:color w:val="000000"/>
              </w:rPr>
            </w:pPr>
            <w:r>
              <w:rPr>
                <w:rFonts w:ascii="Arial" w:hAnsi="Arial" w:cs="Arial"/>
                <w:b/>
                <w:bCs/>
                <w:color w:val="000000"/>
              </w:rPr>
              <w:t>0</w:t>
            </w:r>
          </w:p>
        </w:tc>
        <w:tc>
          <w:tcPr>
            <w:tcW w:w="2721" w:type="dxa"/>
            <w:tcBorders>
              <w:top w:val="nil"/>
              <w:left w:val="nil"/>
              <w:bottom w:val="nil"/>
              <w:right w:val="single" w:sz="8" w:space="0" w:color="auto"/>
            </w:tcBorders>
            <w:shd w:val="clear" w:color="000000" w:fill="CCCCCC"/>
            <w:vAlign w:val="center"/>
            <w:hideMark/>
          </w:tcPr>
          <w:p w14:paraId="5AD66FE2" w14:textId="2AA2831D" w:rsidR="00F22299" w:rsidRPr="008F183F" w:rsidRDefault="00F22299" w:rsidP="00F22299">
            <w:pPr>
              <w:jc w:val="right"/>
              <w:rPr>
                <w:rFonts w:ascii="Arial" w:hAnsi="Arial" w:cs="Arial"/>
                <w:b/>
                <w:bCs/>
                <w:color w:val="000000"/>
              </w:rPr>
            </w:pPr>
            <w:r>
              <w:rPr>
                <w:rFonts w:ascii="Arial" w:hAnsi="Arial" w:cs="Arial"/>
                <w:b/>
                <w:bCs/>
                <w:color w:val="000000"/>
              </w:rPr>
              <w:t>463,176</w:t>
            </w:r>
          </w:p>
        </w:tc>
      </w:tr>
      <w:tr w:rsidR="00F22299" w:rsidRPr="008F183F" w14:paraId="6021BBD9" w14:textId="77777777" w:rsidTr="00965262">
        <w:trPr>
          <w:trHeight w:val="315"/>
        </w:trPr>
        <w:tc>
          <w:tcPr>
            <w:tcW w:w="2906" w:type="dxa"/>
            <w:tcBorders>
              <w:top w:val="nil"/>
              <w:left w:val="single" w:sz="8" w:space="0" w:color="auto"/>
              <w:bottom w:val="nil"/>
              <w:right w:val="nil"/>
            </w:tcBorders>
            <w:vAlign w:val="center"/>
            <w:hideMark/>
          </w:tcPr>
          <w:p w14:paraId="5DAC30D5" w14:textId="477E9B0F" w:rsidR="00F22299" w:rsidRPr="008F183F" w:rsidRDefault="00F22299" w:rsidP="00F22299">
            <w:pPr>
              <w:rPr>
                <w:rFonts w:ascii="Arial" w:hAnsi="Arial" w:cs="Arial"/>
                <w:color w:val="000000"/>
              </w:rPr>
            </w:pPr>
            <w:r w:rsidRPr="00634844">
              <w:rPr>
                <w:rFonts w:ascii="Arial" w:hAnsi="Arial" w:cs="Arial"/>
                <w:color w:val="000000"/>
              </w:rPr>
              <w:t>Income collected by the CC</w:t>
            </w:r>
          </w:p>
        </w:tc>
        <w:tc>
          <w:tcPr>
            <w:tcW w:w="2375" w:type="dxa"/>
            <w:tcBorders>
              <w:top w:val="nil"/>
              <w:left w:val="nil"/>
              <w:bottom w:val="nil"/>
              <w:right w:val="nil"/>
            </w:tcBorders>
            <w:shd w:val="clear" w:color="000000" w:fill="CCCCCC"/>
            <w:vAlign w:val="center"/>
            <w:hideMark/>
          </w:tcPr>
          <w:p w14:paraId="31DA4ED8" w14:textId="2F2D3883" w:rsidR="00F22299" w:rsidRPr="008F183F" w:rsidRDefault="00F22299" w:rsidP="00F22299">
            <w:pPr>
              <w:jc w:val="right"/>
              <w:rPr>
                <w:rFonts w:ascii="Arial" w:hAnsi="Arial" w:cs="Arial"/>
                <w:b/>
                <w:bCs/>
                <w:color w:val="000000"/>
              </w:rPr>
            </w:pPr>
            <w:r>
              <w:rPr>
                <w:rFonts w:ascii="Arial" w:hAnsi="Arial" w:cs="Arial"/>
                <w:b/>
                <w:bCs/>
                <w:color w:val="000000"/>
              </w:rPr>
              <w:t>0</w:t>
            </w:r>
          </w:p>
        </w:tc>
        <w:tc>
          <w:tcPr>
            <w:tcW w:w="2729" w:type="dxa"/>
            <w:tcBorders>
              <w:top w:val="nil"/>
              <w:left w:val="nil"/>
              <w:bottom w:val="nil"/>
              <w:right w:val="nil"/>
            </w:tcBorders>
            <w:shd w:val="clear" w:color="000000" w:fill="CCCCCC"/>
            <w:vAlign w:val="center"/>
            <w:hideMark/>
          </w:tcPr>
          <w:p w14:paraId="1F0F8ACA" w14:textId="7DC2AC18" w:rsidR="00F22299" w:rsidRPr="008F183F" w:rsidRDefault="00F22299" w:rsidP="00F22299">
            <w:pPr>
              <w:jc w:val="right"/>
              <w:rPr>
                <w:rFonts w:ascii="Arial" w:hAnsi="Arial" w:cs="Arial"/>
                <w:b/>
                <w:bCs/>
                <w:color w:val="000000"/>
              </w:rPr>
            </w:pPr>
            <w:r>
              <w:rPr>
                <w:rFonts w:ascii="Arial" w:hAnsi="Arial" w:cs="Arial"/>
                <w:b/>
                <w:bCs/>
                <w:color w:val="000000"/>
              </w:rPr>
              <w:t>(42,900)</w:t>
            </w:r>
          </w:p>
        </w:tc>
        <w:tc>
          <w:tcPr>
            <w:tcW w:w="2398" w:type="dxa"/>
            <w:tcBorders>
              <w:top w:val="nil"/>
              <w:left w:val="nil"/>
              <w:bottom w:val="nil"/>
              <w:right w:val="nil"/>
            </w:tcBorders>
            <w:shd w:val="clear" w:color="000000" w:fill="CCCCCC"/>
            <w:vAlign w:val="center"/>
            <w:hideMark/>
          </w:tcPr>
          <w:p w14:paraId="324C2473" w14:textId="3106FA35" w:rsidR="00F22299" w:rsidRPr="008F183F" w:rsidRDefault="00F22299" w:rsidP="00F22299">
            <w:pPr>
              <w:jc w:val="right"/>
              <w:rPr>
                <w:rFonts w:ascii="Arial" w:hAnsi="Arial" w:cs="Arial"/>
                <w:b/>
                <w:bCs/>
                <w:color w:val="000000"/>
              </w:rPr>
            </w:pPr>
            <w:r>
              <w:rPr>
                <w:rFonts w:ascii="Arial" w:hAnsi="Arial" w:cs="Arial"/>
                <w:b/>
                <w:bCs/>
                <w:color w:val="000000"/>
              </w:rPr>
              <w:t>(42,900)</w:t>
            </w:r>
          </w:p>
        </w:tc>
        <w:tc>
          <w:tcPr>
            <w:tcW w:w="2464" w:type="dxa"/>
            <w:tcBorders>
              <w:top w:val="nil"/>
              <w:left w:val="nil"/>
              <w:bottom w:val="nil"/>
              <w:right w:val="nil"/>
            </w:tcBorders>
            <w:shd w:val="clear" w:color="000000" w:fill="CCCCCC"/>
            <w:vAlign w:val="center"/>
            <w:hideMark/>
          </w:tcPr>
          <w:p w14:paraId="2E1F2B0B" w14:textId="3165238F" w:rsidR="00F22299" w:rsidRPr="008F183F" w:rsidRDefault="00F22299" w:rsidP="00F22299">
            <w:pPr>
              <w:jc w:val="right"/>
              <w:rPr>
                <w:rFonts w:ascii="Arial" w:hAnsi="Arial" w:cs="Arial"/>
                <w:b/>
                <w:bCs/>
                <w:color w:val="000000"/>
              </w:rPr>
            </w:pPr>
            <w:r>
              <w:rPr>
                <w:rFonts w:ascii="Arial" w:hAnsi="Arial" w:cs="Arial"/>
                <w:b/>
                <w:bCs/>
                <w:color w:val="000000"/>
              </w:rPr>
              <w:t>0</w:t>
            </w:r>
          </w:p>
        </w:tc>
        <w:tc>
          <w:tcPr>
            <w:tcW w:w="2721" w:type="dxa"/>
            <w:tcBorders>
              <w:top w:val="nil"/>
              <w:left w:val="nil"/>
              <w:bottom w:val="nil"/>
              <w:right w:val="single" w:sz="8" w:space="0" w:color="auto"/>
            </w:tcBorders>
            <w:shd w:val="clear" w:color="000000" w:fill="CCCCCC"/>
            <w:vAlign w:val="center"/>
            <w:hideMark/>
          </w:tcPr>
          <w:p w14:paraId="7CC3019C" w14:textId="1A0FC399" w:rsidR="00F22299" w:rsidRPr="008F183F" w:rsidRDefault="00F22299" w:rsidP="00F22299">
            <w:pPr>
              <w:jc w:val="right"/>
              <w:rPr>
                <w:rFonts w:ascii="Arial" w:hAnsi="Arial" w:cs="Arial"/>
                <w:b/>
                <w:bCs/>
                <w:color w:val="000000"/>
              </w:rPr>
            </w:pPr>
            <w:r>
              <w:rPr>
                <w:rFonts w:ascii="Arial" w:hAnsi="Arial" w:cs="Arial"/>
                <w:b/>
                <w:bCs/>
                <w:color w:val="000000"/>
              </w:rPr>
              <w:t>(42,900)</w:t>
            </w:r>
          </w:p>
        </w:tc>
      </w:tr>
      <w:tr w:rsidR="00F22299" w:rsidRPr="008F183F" w14:paraId="0BA5A403" w14:textId="77777777" w:rsidTr="00965262">
        <w:trPr>
          <w:trHeight w:val="300"/>
        </w:trPr>
        <w:tc>
          <w:tcPr>
            <w:tcW w:w="2906" w:type="dxa"/>
            <w:tcBorders>
              <w:top w:val="nil"/>
              <w:left w:val="single" w:sz="8" w:space="0" w:color="auto"/>
              <w:bottom w:val="nil"/>
              <w:right w:val="nil"/>
            </w:tcBorders>
            <w:vAlign w:val="center"/>
            <w:hideMark/>
          </w:tcPr>
          <w:p w14:paraId="09306F8B" w14:textId="26B2A739" w:rsidR="00F22299" w:rsidRPr="008F183F" w:rsidRDefault="00F22299" w:rsidP="00F22299">
            <w:pPr>
              <w:rPr>
                <w:rFonts w:ascii="Arial" w:hAnsi="Arial" w:cs="Arial"/>
                <w:b/>
                <w:bCs/>
                <w:color w:val="000000"/>
              </w:rPr>
            </w:pPr>
            <w:r w:rsidRPr="00634844">
              <w:rPr>
                <w:rFonts w:ascii="Arial" w:hAnsi="Arial" w:cs="Arial"/>
                <w:b/>
                <w:bCs/>
                <w:color w:val="000000"/>
              </w:rPr>
              <w:t>Net Cost of Services</w:t>
            </w:r>
          </w:p>
        </w:tc>
        <w:tc>
          <w:tcPr>
            <w:tcW w:w="2375" w:type="dxa"/>
            <w:tcBorders>
              <w:top w:val="single" w:sz="8" w:space="0" w:color="auto"/>
              <w:left w:val="nil"/>
              <w:bottom w:val="nil"/>
              <w:right w:val="nil"/>
            </w:tcBorders>
            <w:shd w:val="clear" w:color="000000" w:fill="CCCCCC"/>
            <w:vAlign w:val="center"/>
            <w:hideMark/>
          </w:tcPr>
          <w:p w14:paraId="2233D6B4" w14:textId="573DA91F" w:rsidR="00F22299" w:rsidRPr="008F183F" w:rsidRDefault="00F22299" w:rsidP="00F22299">
            <w:pPr>
              <w:jc w:val="right"/>
              <w:rPr>
                <w:rFonts w:ascii="Arial" w:hAnsi="Arial" w:cs="Arial"/>
                <w:b/>
                <w:bCs/>
                <w:color w:val="000000"/>
              </w:rPr>
            </w:pPr>
            <w:r>
              <w:rPr>
                <w:rFonts w:ascii="Arial" w:hAnsi="Arial" w:cs="Arial"/>
                <w:b/>
                <w:bCs/>
                <w:color w:val="000000"/>
              </w:rPr>
              <w:t>12,663</w:t>
            </w:r>
          </w:p>
        </w:tc>
        <w:tc>
          <w:tcPr>
            <w:tcW w:w="2729" w:type="dxa"/>
            <w:tcBorders>
              <w:top w:val="single" w:sz="8" w:space="0" w:color="auto"/>
              <w:left w:val="nil"/>
              <w:bottom w:val="nil"/>
              <w:right w:val="nil"/>
            </w:tcBorders>
            <w:shd w:val="clear" w:color="000000" w:fill="CCCCCC"/>
            <w:vAlign w:val="center"/>
            <w:hideMark/>
          </w:tcPr>
          <w:p w14:paraId="39C07B80" w14:textId="25634BE5" w:rsidR="00F22299" w:rsidRPr="008F183F" w:rsidRDefault="00F22299" w:rsidP="00F22299">
            <w:pPr>
              <w:jc w:val="right"/>
              <w:rPr>
                <w:rFonts w:ascii="Arial" w:hAnsi="Arial" w:cs="Arial"/>
                <w:b/>
                <w:bCs/>
                <w:color w:val="000000"/>
              </w:rPr>
            </w:pPr>
            <w:r>
              <w:rPr>
                <w:rFonts w:ascii="Arial" w:hAnsi="Arial" w:cs="Arial"/>
                <w:b/>
                <w:bCs/>
                <w:color w:val="000000"/>
              </w:rPr>
              <w:t>387,374</w:t>
            </w:r>
          </w:p>
        </w:tc>
        <w:tc>
          <w:tcPr>
            <w:tcW w:w="2398" w:type="dxa"/>
            <w:tcBorders>
              <w:top w:val="single" w:sz="8" w:space="0" w:color="auto"/>
              <w:left w:val="nil"/>
              <w:bottom w:val="nil"/>
              <w:right w:val="nil"/>
            </w:tcBorders>
            <w:shd w:val="clear" w:color="000000" w:fill="CCCCCC"/>
            <w:vAlign w:val="center"/>
            <w:hideMark/>
          </w:tcPr>
          <w:p w14:paraId="284EBB9D" w14:textId="17CB1EE5" w:rsidR="00F22299" w:rsidRPr="008F183F" w:rsidRDefault="00F22299" w:rsidP="00F22299">
            <w:pPr>
              <w:jc w:val="right"/>
              <w:rPr>
                <w:rFonts w:ascii="Arial" w:hAnsi="Arial" w:cs="Arial"/>
                <w:b/>
                <w:bCs/>
                <w:color w:val="000000"/>
              </w:rPr>
            </w:pPr>
            <w:r>
              <w:rPr>
                <w:rFonts w:ascii="Arial" w:hAnsi="Arial" w:cs="Arial"/>
                <w:b/>
                <w:bCs/>
                <w:color w:val="000000"/>
              </w:rPr>
              <w:t>400,037</w:t>
            </w:r>
          </w:p>
        </w:tc>
        <w:tc>
          <w:tcPr>
            <w:tcW w:w="2464" w:type="dxa"/>
            <w:tcBorders>
              <w:top w:val="single" w:sz="8" w:space="0" w:color="auto"/>
              <w:left w:val="nil"/>
              <w:bottom w:val="nil"/>
              <w:right w:val="nil"/>
            </w:tcBorders>
            <w:shd w:val="clear" w:color="000000" w:fill="CCCCCC"/>
            <w:vAlign w:val="center"/>
            <w:hideMark/>
          </w:tcPr>
          <w:p w14:paraId="6F802EE7" w14:textId="7C876760" w:rsidR="00F22299" w:rsidRPr="008F183F" w:rsidRDefault="00F22299" w:rsidP="00F22299">
            <w:pPr>
              <w:jc w:val="right"/>
              <w:rPr>
                <w:rFonts w:ascii="Arial" w:hAnsi="Arial" w:cs="Arial"/>
                <w:b/>
                <w:bCs/>
                <w:color w:val="000000"/>
              </w:rPr>
            </w:pPr>
            <w:r>
              <w:rPr>
                <w:rFonts w:ascii="Arial" w:hAnsi="Arial" w:cs="Arial"/>
                <w:b/>
                <w:bCs/>
                <w:color w:val="000000"/>
              </w:rPr>
              <w:t>21,624</w:t>
            </w:r>
          </w:p>
        </w:tc>
        <w:tc>
          <w:tcPr>
            <w:tcW w:w="2721" w:type="dxa"/>
            <w:tcBorders>
              <w:top w:val="single" w:sz="8" w:space="0" w:color="auto"/>
              <w:left w:val="nil"/>
              <w:bottom w:val="nil"/>
              <w:right w:val="single" w:sz="8" w:space="0" w:color="auto"/>
            </w:tcBorders>
            <w:shd w:val="clear" w:color="000000" w:fill="CCCCCC"/>
            <w:vAlign w:val="center"/>
            <w:hideMark/>
          </w:tcPr>
          <w:p w14:paraId="23944EF4" w14:textId="19327C7C" w:rsidR="00F22299" w:rsidRPr="008F183F" w:rsidRDefault="00F22299" w:rsidP="00F22299">
            <w:pPr>
              <w:jc w:val="right"/>
              <w:rPr>
                <w:rFonts w:ascii="Arial" w:hAnsi="Arial" w:cs="Arial"/>
                <w:b/>
                <w:bCs/>
                <w:color w:val="000000"/>
              </w:rPr>
            </w:pPr>
            <w:r>
              <w:rPr>
                <w:rFonts w:ascii="Arial" w:hAnsi="Arial" w:cs="Arial"/>
                <w:b/>
                <w:bCs/>
                <w:color w:val="000000"/>
              </w:rPr>
              <w:t>421,661</w:t>
            </w:r>
          </w:p>
        </w:tc>
      </w:tr>
      <w:tr w:rsidR="00F22299" w:rsidRPr="008F183F" w14:paraId="00CB1517" w14:textId="77777777" w:rsidTr="00965262">
        <w:trPr>
          <w:trHeight w:val="315"/>
        </w:trPr>
        <w:tc>
          <w:tcPr>
            <w:tcW w:w="2906" w:type="dxa"/>
            <w:tcBorders>
              <w:top w:val="nil"/>
              <w:left w:val="single" w:sz="8" w:space="0" w:color="auto"/>
              <w:bottom w:val="nil"/>
              <w:right w:val="nil"/>
            </w:tcBorders>
            <w:vAlign w:val="center"/>
            <w:hideMark/>
          </w:tcPr>
          <w:p w14:paraId="6C91B17F" w14:textId="33B69384" w:rsidR="00F22299" w:rsidRPr="008F183F" w:rsidRDefault="00F22299" w:rsidP="00F22299">
            <w:pPr>
              <w:rPr>
                <w:rFonts w:ascii="Arial" w:hAnsi="Arial" w:cs="Arial"/>
                <w:color w:val="000000"/>
              </w:rPr>
            </w:pPr>
            <w:r w:rsidRPr="00634844">
              <w:rPr>
                <w:rFonts w:ascii="Arial" w:hAnsi="Arial" w:cs="Arial"/>
                <w:color w:val="000000"/>
              </w:rPr>
              <w:t>Other Income and Expenditure</w:t>
            </w:r>
          </w:p>
        </w:tc>
        <w:tc>
          <w:tcPr>
            <w:tcW w:w="2375" w:type="dxa"/>
            <w:tcBorders>
              <w:top w:val="nil"/>
              <w:left w:val="nil"/>
              <w:bottom w:val="single" w:sz="8" w:space="0" w:color="auto"/>
              <w:right w:val="nil"/>
            </w:tcBorders>
            <w:shd w:val="clear" w:color="000000" w:fill="CCCCCC"/>
            <w:vAlign w:val="center"/>
            <w:hideMark/>
          </w:tcPr>
          <w:p w14:paraId="2C534DFF" w14:textId="2C632A18" w:rsidR="00F22299" w:rsidRPr="008F183F" w:rsidRDefault="00F22299" w:rsidP="00F22299">
            <w:pPr>
              <w:jc w:val="right"/>
              <w:rPr>
                <w:rFonts w:ascii="Arial" w:hAnsi="Arial" w:cs="Arial"/>
                <w:b/>
                <w:bCs/>
                <w:color w:val="000000"/>
              </w:rPr>
            </w:pPr>
            <w:r>
              <w:rPr>
                <w:rFonts w:ascii="Arial" w:hAnsi="Arial" w:cs="Arial"/>
                <w:b/>
                <w:bCs/>
                <w:color w:val="000000"/>
              </w:rPr>
              <w:t>0</w:t>
            </w:r>
          </w:p>
        </w:tc>
        <w:tc>
          <w:tcPr>
            <w:tcW w:w="2729" w:type="dxa"/>
            <w:tcBorders>
              <w:top w:val="nil"/>
              <w:left w:val="nil"/>
              <w:bottom w:val="single" w:sz="8" w:space="0" w:color="auto"/>
              <w:right w:val="nil"/>
            </w:tcBorders>
            <w:shd w:val="clear" w:color="000000" w:fill="CCCCCC"/>
            <w:vAlign w:val="center"/>
            <w:hideMark/>
          </w:tcPr>
          <w:p w14:paraId="12E40907" w14:textId="4598329F" w:rsidR="00F22299" w:rsidRPr="008F183F" w:rsidRDefault="00F22299" w:rsidP="00F22299">
            <w:pPr>
              <w:jc w:val="right"/>
              <w:rPr>
                <w:rFonts w:ascii="Arial" w:hAnsi="Arial" w:cs="Arial"/>
                <w:b/>
                <w:bCs/>
                <w:color w:val="000000"/>
              </w:rPr>
            </w:pPr>
            <w:r>
              <w:rPr>
                <w:rFonts w:ascii="Arial" w:hAnsi="Arial" w:cs="Arial"/>
                <w:b/>
                <w:bCs/>
                <w:color w:val="000000"/>
              </w:rPr>
              <w:t>(399,265)</w:t>
            </w:r>
          </w:p>
        </w:tc>
        <w:tc>
          <w:tcPr>
            <w:tcW w:w="2398" w:type="dxa"/>
            <w:tcBorders>
              <w:top w:val="nil"/>
              <w:left w:val="nil"/>
              <w:bottom w:val="single" w:sz="8" w:space="0" w:color="auto"/>
              <w:right w:val="nil"/>
            </w:tcBorders>
            <w:shd w:val="clear" w:color="000000" w:fill="CCCCCC"/>
            <w:vAlign w:val="center"/>
            <w:hideMark/>
          </w:tcPr>
          <w:p w14:paraId="513B1FC4" w14:textId="3B28E29D" w:rsidR="00F22299" w:rsidRPr="008F183F" w:rsidRDefault="00F22299" w:rsidP="00F22299">
            <w:pPr>
              <w:jc w:val="right"/>
              <w:rPr>
                <w:rFonts w:ascii="Arial" w:hAnsi="Arial" w:cs="Arial"/>
                <w:b/>
                <w:bCs/>
                <w:color w:val="000000"/>
              </w:rPr>
            </w:pPr>
            <w:r>
              <w:rPr>
                <w:rFonts w:ascii="Arial" w:hAnsi="Arial" w:cs="Arial"/>
                <w:b/>
                <w:bCs/>
                <w:color w:val="000000"/>
              </w:rPr>
              <w:t>(399,265)</w:t>
            </w:r>
          </w:p>
        </w:tc>
        <w:tc>
          <w:tcPr>
            <w:tcW w:w="2464" w:type="dxa"/>
            <w:tcBorders>
              <w:top w:val="nil"/>
              <w:left w:val="nil"/>
              <w:bottom w:val="single" w:sz="8" w:space="0" w:color="auto"/>
              <w:right w:val="nil"/>
            </w:tcBorders>
            <w:shd w:val="clear" w:color="000000" w:fill="CCCCCC"/>
            <w:vAlign w:val="center"/>
            <w:hideMark/>
          </w:tcPr>
          <w:p w14:paraId="643E9451" w14:textId="1E003065" w:rsidR="00F22299" w:rsidRPr="008F183F" w:rsidRDefault="00F22299" w:rsidP="00F22299">
            <w:pPr>
              <w:jc w:val="right"/>
              <w:rPr>
                <w:rFonts w:ascii="Arial" w:hAnsi="Arial" w:cs="Arial"/>
                <w:b/>
                <w:bCs/>
                <w:color w:val="000000"/>
              </w:rPr>
            </w:pPr>
            <w:r>
              <w:rPr>
                <w:rFonts w:ascii="Arial" w:hAnsi="Arial" w:cs="Arial"/>
                <w:b/>
                <w:bCs/>
                <w:color w:val="000000"/>
              </w:rPr>
              <w:t>(15,017)</w:t>
            </w:r>
          </w:p>
        </w:tc>
        <w:tc>
          <w:tcPr>
            <w:tcW w:w="2721" w:type="dxa"/>
            <w:tcBorders>
              <w:top w:val="nil"/>
              <w:left w:val="nil"/>
              <w:bottom w:val="single" w:sz="8" w:space="0" w:color="auto"/>
              <w:right w:val="single" w:sz="8" w:space="0" w:color="auto"/>
            </w:tcBorders>
            <w:shd w:val="clear" w:color="000000" w:fill="CCCCCC"/>
            <w:vAlign w:val="center"/>
            <w:hideMark/>
          </w:tcPr>
          <w:p w14:paraId="4FCCD9C4" w14:textId="183BE947" w:rsidR="00F22299" w:rsidRPr="008F183F" w:rsidRDefault="00F22299" w:rsidP="00F22299">
            <w:pPr>
              <w:jc w:val="right"/>
              <w:rPr>
                <w:rFonts w:ascii="Arial" w:hAnsi="Arial" w:cs="Arial"/>
                <w:b/>
                <w:bCs/>
                <w:color w:val="000000"/>
              </w:rPr>
            </w:pPr>
            <w:r>
              <w:rPr>
                <w:rFonts w:ascii="Arial" w:hAnsi="Arial" w:cs="Arial"/>
                <w:b/>
                <w:bCs/>
                <w:color w:val="000000"/>
              </w:rPr>
              <w:t>(414,282)</w:t>
            </w:r>
          </w:p>
        </w:tc>
      </w:tr>
      <w:tr w:rsidR="00F22299" w:rsidRPr="008F183F" w14:paraId="1CC3902B" w14:textId="77777777" w:rsidTr="00965262">
        <w:trPr>
          <w:trHeight w:val="300"/>
        </w:trPr>
        <w:tc>
          <w:tcPr>
            <w:tcW w:w="2906" w:type="dxa"/>
            <w:tcBorders>
              <w:top w:val="nil"/>
              <w:left w:val="single" w:sz="8" w:space="0" w:color="auto"/>
              <w:bottom w:val="nil"/>
              <w:right w:val="nil"/>
            </w:tcBorders>
            <w:vAlign w:val="center"/>
            <w:hideMark/>
          </w:tcPr>
          <w:p w14:paraId="09F4C184" w14:textId="670B6771" w:rsidR="00F22299" w:rsidRPr="008F183F" w:rsidRDefault="00F22299" w:rsidP="00F22299">
            <w:pPr>
              <w:rPr>
                <w:rFonts w:ascii="Arial" w:hAnsi="Arial" w:cs="Arial"/>
                <w:b/>
                <w:bCs/>
                <w:color w:val="000000"/>
              </w:rPr>
            </w:pPr>
            <w:r w:rsidRPr="00634844">
              <w:rPr>
                <w:rFonts w:ascii="Arial" w:hAnsi="Arial" w:cs="Arial"/>
                <w:b/>
                <w:bCs/>
                <w:color w:val="000000"/>
              </w:rPr>
              <w:t>Deficit on provision of services</w:t>
            </w:r>
          </w:p>
        </w:tc>
        <w:tc>
          <w:tcPr>
            <w:tcW w:w="2375" w:type="dxa"/>
            <w:tcBorders>
              <w:top w:val="nil"/>
              <w:left w:val="nil"/>
              <w:bottom w:val="single" w:sz="4" w:space="0" w:color="auto"/>
              <w:right w:val="nil"/>
            </w:tcBorders>
            <w:shd w:val="clear" w:color="000000" w:fill="CCCCCC"/>
            <w:vAlign w:val="center"/>
            <w:hideMark/>
          </w:tcPr>
          <w:p w14:paraId="0DB0943D" w14:textId="046D9F04" w:rsidR="00F22299" w:rsidRPr="008F183F" w:rsidRDefault="00F22299" w:rsidP="00F22299">
            <w:pPr>
              <w:jc w:val="right"/>
              <w:rPr>
                <w:rFonts w:ascii="Arial" w:hAnsi="Arial" w:cs="Arial"/>
                <w:b/>
                <w:bCs/>
                <w:color w:val="000000"/>
              </w:rPr>
            </w:pPr>
            <w:r>
              <w:rPr>
                <w:rFonts w:ascii="Arial" w:hAnsi="Arial" w:cs="Arial"/>
                <w:b/>
                <w:bCs/>
                <w:color w:val="000000"/>
              </w:rPr>
              <w:t>12,663</w:t>
            </w:r>
          </w:p>
        </w:tc>
        <w:tc>
          <w:tcPr>
            <w:tcW w:w="2729" w:type="dxa"/>
            <w:tcBorders>
              <w:top w:val="nil"/>
              <w:left w:val="nil"/>
              <w:bottom w:val="single" w:sz="4" w:space="0" w:color="auto"/>
              <w:right w:val="nil"/>
            </w:tcBorders>
            <w:shd w:val="clear" w:color="000000" w:fill="CCCCCC"/>
            <w:vAlign w:val="center"/>
            <w:hideMark/>
          </w:tcPr>
          <w:p w14:paraId="4A339860" w14:textId="716BB303" w:rsidR="00F22299" w:rsidRPr="008F183F" w:rsidRDefault="00F22299" w:rsidP="00F22299">
            <w:pPr>
              <w:jc w:val="right"/>
              <w:rPr>
                <w:rFonts w:ascii="Arial" w:hAnsi="Arial" w:cs="Arial"/>
                <w:b/>
                <w:bCs/>
                <w:color w:val="000000"/>
              </w:rPr>
            </w:pPr>
            <w:r>
              <w:rPr>
                <w:rFonts w:ascii="Arial" w:hAnsi="Arial" w:cs="Arial"/>
                <w:b/>
                <w:bCs/>
                <w:color w:val="000000"/>
              </w:rPr>
              <w:t>(11,891)</w:t>
            </w:r>
          </w:p>
        </w:tc>
        <w:tc>
          <w:tcPr>
            <w:tcW w:w="2398" w:type="dxa"/>
            <w:tcBorders>
              <w:top w:val="nil"/>
              <w:left w:val="nil"/>
              <w:bottom w:val="single" w:sz="4" w:space="0" w:color="auto"/>
              <w:right w:val="nil"/>
            </w:tcBorders>
            <w:shd w:val="clear" w:color="000000" w:fill="CCCCCC"/>
            <w:vAlign w:val="center"/>
            <w:hideMark/>
          </w:tcPr>
          <w:p w14:paraId="38698383" w14:textId="073A153F" w:rsidR="00F22299" w:rsidRPr="008F183F" w:rsidRDefault="00F22299" w:rsidP="00F22299">
            <w:pPr>
              <w:jc w:val="right"/>
              <w:rPr>
                <w:rFonts w:ascii="Arial" w:hAnsi="Arial" w:cs="Arial"/>
                <w:b/>
                <w:bCs/>
                <w:color w:val="000000"/>
              </w:rPr>
            </w:pPr>
            <w:r>
              <w:rPr>
                <w:rFonts w:ascii="Arial" w:hAnsi="Arial" w:cs="Arial"/>
                <w:b/>
                <w:bCs/>
                <w:color w:val="000000"/>
              </w:rPr>
              <w:t>772</w:t>
            </w:r>
          </w:p>
        </w:tc>
        <w:tc>
          <w:tcPr>
            <w:tcW w:w="2464" w:type="dxa"/>
            <w:tcBorders>
              <w:top w:val="nil"/>
              <w:left w:val="nil"/>
              <w:bottom w:val="single" w:sz="4" w:space="0" w:color="auto"/>
              <w:right w:val="nil"/>
            </w:tcBorders>
            <w:shd w:val="clear" w:color="000000" w:fill="CCCCCC"/>
            <w:vAlign w:val="center"/>
            <w:hideMark/>
          </w:tcPr>
          <w:p w14:paraId="42E718A6" w14:textId="721E0F09" w:rsidR="00F22299" w:rsidRPr="008F183F" w:rsidRDefault="00F22299" w:rsidP="00F22299">
            <w:pPr>
              <w:jc w:val="right"/>
              <w:rPr>
                <w:rFonts w:ascii="Arial" w:hAnsi="Arial" w:cs="Arial"/>
                <w:b/>
                <w:bCs/>
                <w:color w:val="000000"/>
              </w:rPr>
            </w:pPr>
            <w:r>
              <w:rPr>
                <w:rFonts w:ascii="Arial" w:hAnsi="Arial" w:cs="Arial"/>
                <w:b/>
                <w:bCs/>
                <w:color w:val="000000"/>
              </w:rPr>
              <w:t>6,607</w:t>
            </w:r>
          </w:p>
        </w:tc>
        <w:tc>
          <w:tcPr>
            <w:tcW w:w="2721" w:type="dxa"/>
            <w:tcBorders>
              <w:top w:val="nil"/>
              <w:left w:val="nil"/>
              <w:bottom w:val="single" w:sz="4" w:space="0" w:color="auto"/>
              <w:right w:val="single" w:sz="8" w:space="0" w:color="auto"/>
            </w:tcBorders>
            <w:shd w:val="clear" w:color="000000" w:fill="CCCCCC"/>
            <w:vAlign w:val="center"/>
            <w:hideMark/>
          </w:tcPr>
          <w:p w14:paraId="36A96CE6" w14:textId="0AA8819C" w:rsidR="00F22299" w:rsidRPr="008F183F" w:rsidRDefault="00F22299" w:rsidP="00F22299">
            <w:pPr>
              <w:jc w:val="right"/>
              <w:rPr>
                <w:rFonts w:ascii="Arial" w:hAnsi="Arial" w:cs="Arial"/>
                <w:b/>
                <w:bCs/>
                <w:color w:val="000000"/>
              </w:rPr>
            </w:pPr>
            <w:r>
              <w:rPr>
                <w:rFonts w:ascii="Arial" w:hAnsi="Arial" w:cs="Arial"/>
                <w:b/>
                <w:bCs/>
                <w:color w:val="000000"/>
              </w:rPr>
              <w:t>7,379</w:t>
            </w:r>
          </w:p>
        </w:tc>
      </w:tr>
      <w:tr w:rsidR="00F22299" w:rsidRPr="008F183F" w14:paraId="4760EFD8" w14:textId="77777777" w:rsidTr="00965262">
        <w:trPr>
          <w:trHeight w:val="300"/>
        </w:trPr>
        <w:tc>
          <w:tcPr>
            <w:tcW w:w="2906" w:type="dxa"/>
            <w:tcBorders>
              <w:top w:val="nil"/>
              <w:left w:val="single" w:sz="8" w:space="0" w:color="auto"/>
              <w:bottom w:val="nil"/>
              <w:right w:val="nil"/>
            </w:tcBorders>
            <w:vAlign w:val="center"/>
            <w:hideMark/>
          </w:tcPr>
          <w:p w14:paraId="157E8895" w14:textId="39AF46A9" w:rsidR="00F22299" w:rsidRPr="008F183F" w:rsidRDefault="00F22299" w:rsidP="00F22299">
            <w:pPr>
              <w:rPr>
                <w:rFonts w:ascii="Arial" w:hAnsi="Arial" w:cs="Arial"/>
                <w:b/>
                <w:bCs/>
                <w:color w:val="000000"/>
              </w:rPr>
            </w:pPr>
            <w:r w:rsidRPr="00634844">
              <w:rPr>
                <w:rFonts w:ascii="Arial" w:hAnsi="Arial" w:cs="Arial"/>
                <w:b/>
                <w:bCs/>
                <w:color w:val="000000"/>
              </w:rPr>
              <w:t>Opening General Fund Balance</w:t>
            </w:r>
          </w:p>
        </w:tc>
        <w:tc>
          <w:tcPr>
            <w:tcW w:w="2375" w:type="dxa"/>
            <w:tcBorders>
              <w:top w:val="nil"/>
              <w:left w:val="nil"/>
              <w:bottom w:val="nil"/>
              <w:right w:val="nil"/>
            </w:tcBorders>
            <w:shd w:val="clear" w:color="000000" w:fill="CCCCCC"/>
            <w:vAlign w:val="center"/>
            <w:hideMark/>
          </w:tcPr>
          <w:p w14:paraId="324A7021" w14:textId="0F0AB1AB"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729" w:type="dxa"/>
            <w:tcBorders>
              <w:top w:val="nil"/>
              <w:left w:val="nil"/>
              <w:bottom w:val="nil"/>
              <w:right w:val="nil"/>
            </w:tcBorders>
            <w:shd w:val="clear" w:color="000000" w:fill="CCCCCC"/>
            <w:vAlign w:val="center"/>
            <w:hideMark/>
          </w:tcPr>
          <w:p w14:paraId="6CBC7E13" w14:textId="6D7C27D8"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398" w:type="dxa"/>
            <w:tcBorders>
              <w:top w:val="nil"/>
              <w:left w:val="nil"/>
              <w:bottom w:val="nil"/>
              <w:right w:val="nil"/>
            </w:tcBorders>
            <w:shd w:val="clear" w:color="000000" w:fill="CCCCCC"/>
            <w:vAlign w:val="center"/>
            <w:hideMark/>
          </w:tcPr>
          <w:p w14:paraId="163D81D0" w14:textId="6AA48586" w:rsidR="00F22299" w:rsidRPr="008F183F" w:rsidRDefault="00F22299" w:rsidP="00F22299">
            <w:pPr>
              <w:jc w:val="right"/>
              <w:rPr>
                <w:rFonts w:ascii="Arial" w:hAnsi="Arial" w:cs="Arial"/>
                <w:b/>
                <w:bCs/>
                <w:color w:val="000000"/>
              </w:rPr>
            </w:pPr>
            <w:r>
              <w:rPr>
                <w:rFonts w:ascii="Arial" w:hAnsi="Arial" w:cs="Arial"/>
                <w:b/>
                <w:bCs/>
                <w:color w:val="000000"/>
              </w:rPr>
              <w:t>(30,216)</w:t>
            </w:r>
          </w:p>
        </w:tc>
        <w:tc>
          <w:tcPr>
            <w:tcW w:w="2464" w:type="dxa"/>
            <w:tcBorders>
              <w:top w:val="nil"/>
              <w:left w:val="nil"/>
              <w:bottom w:val="nil"/>
              <w:right w:val="nil"/>
            </w:tcBorders>
            <w:shd w:val="clear" w:color="000000" w:fill="CCCCCC"/>
            <w:vAlign w:val="center"/>
            <w:hideMark/>
          </w:tcPr>
          <w:p w14:paraId="50A9B30C" w14:textId="79EF20A5"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721" w:type="dxa"/>
            <w:tcBorders>
              <w:top w:val="nil"/>
              <w:left w:val="nil"/>
              <w:bottom w:val="nil"/>
              <w:right w:val="single" w:sz="8" w:space="0" w:color="auto"/>
            </w:tcBorders>
            <w:shd w:val="clear" w:color="000000" w:fill="CCCCCC"/>
            <w:vAlign w:val="center"/>
            <w:hideMark/>
          </w:tcPr>
          <w:p w14:paraId="1946ACD4" w14:textId="355656B5"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r>
      <w:tr w:rsidR="00F22299" w:rsidRPr="008F183F" w14:paraId="662EF3BF" w14:textId="77777777" w:rsidTr="00965262">
        <w:trPr>
          <w:trHeight w:val="300"/>
        </w:trPr>
        <w:tc>
          <w:tcPr>
            <w:tcW w:w="2906" w:type="dxa"/>
            <w:tcBorders>
              <w:top w:val="nil"/>
              <w:left w:val="single" w:sz="8" w:space="0" w:color="auto"/>
              <w:bottom w:val="nil"/>
              <w:right w:val="nil"/>
            </w:tcBorders>
            <w:vAlign w:val="center"/>
            <w:hideMark/>
          </w:tcPr>
          <w:p w14:paraId="6CDE1F76" w14:textId="30902C43" w:rsidR="00F22299" w:rsidRPr="008F183F" w:rsidRDefault="00F22299" w:rsidP="00F22299">
            <w:pPr>
              <w:rPr>
                <w:rFonts w:ascii="Arial" w:hAnsi="Arial" w:cs="Arial"/>
                <w:color w:val="000000"/>
              </w:rPr>
            </w:pPr>
            <w:r w:rsidRPr="00634844">
              <w:rPr>
                <w:rFonts w:ascii="Arial" w:hAnsi="Arial" w:cs="Arial"/>
                <w:color w:val="000000"/>
              </w:rPr>
              <w:t>In-year deficit</w:t>
            </w:r>
          </w:p>
        </w:tc>
        <w:tc>
          <w:tcPr>
            <w:tcW w:w="2375" w:type="dxa"/>
            <w:tcBorders>
              <w:top w:val="nil"/>
              <w:left w:val="nil"/>
              <w:bottom w:val="nil"/>
              <w:right w:val="nil"/>
            </w:tcBorders>
            <w:shd w:val="clear" w:color="000000" w:fill="CCCCCC"/>
            <w:vAlign w:val="center"/>
            <w:hideMark/>
          </w:tcPr>
          <w:p w14:paraId="2069E496" w14:textId="3BE88D88"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729" w:type="dxa"/>
            <w:tcBorders>
              <w:top w:val="nil"/>
              <w:left w:val="nil"/>
              <w:bottom w:val="nil"/>
              <w:right w:val="nil"/>
            </w:tcBorders>
            <w:shd w:val="clear" w:color="000000" w:fill="CCCCCC"/>
            <w:vAlign w:val="center"/>
            <w:hideMark/>
          </w:tcPr>
          <w:p w14:paraId="19730591" w14:textId="52D97834"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398" w:type="dxa"/>
            <w:tcBorders>
              <w:top w:val="nil"/>
              <w:left w:val="nil"/>
              <w:bottom w:val="nil"/>
              <w:right w:val="nil"/>
            </w:tcBorders>
            <w:shd w:val="clear" w:color="000000" w:fill="CCCCCC"/>
            <w:vAlign w:val="center"/>
            <w:hideMark/>
          </w:tcPr>
          <w:p w14:paraId="6CA9528E" w14:textId="4738926F" w:rsidR="00F22299" w:rsidRPr="008F183F" w:rsidRDefault="00F22299" w:rsidP="00F22299">
            <w:pPr>
              <w:jc w:val="right"/>
              <w:rPr>
                <w:rFonts w:ascii="Arial" w:hAnsi="Arial" w:cs="Arial"/>
                <w:b/>
                <w:bCs/>
                <w:color w:val="000000"/>
              </w:rPr>
            </w:pPr>
            <w:r>
              <w:rPr>
                <w:rFonts w:ascii="Arial" w:hAnsi="Arial" w:cs="Arial"/>
                <w:b/>
                <w:bCs/>
                <w:color w:val="000000"/>
              </w:rPr>
              <w:t>772</w:t>
            </w:r>
          </w:p>
        </w:tc>
        <w:tc>
          <w:tcPr>
            <w:tcW w:w="2464" w:type="dxa"/>
            <w:tcBorders>
              <w:top w:val="nil"/>
              <w:left w:val="nil"/>
              <w:bottom w:val="nil"/>
              <w:right w:val="nil"/>
            </w:tcBorders>
            <w:shd w:val="clear" w:color="000000" w:fill="CCCCCC"/>
            <w:vAlign w:val="center"/>
            <w:hideMark/>
          </w:tcPr>
          <w:p w14:paraId="36D10B58" w14:textId="1813B9D1"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721" w:type="dxa"/>
            <w:tcBorders>
              <w:top w:val="nil"/>
              <w:left w:val="nil"/>
              <w:bottom w:val="nil"/>
              <w:right w:val="single" w:sz="8" w:space="0" w:color="auto"/>
            </w:tcBorders>
            <w:shd w:val="clear" w:color="000000" w:fill="CCCCCC"/>
            <w:vAlign w:val="center"/>
            <w:hideMark/>
          </w:tcPr>
          <w:p w14:paraId="0CAD0F41" w14:textId="03C3723F"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r>
      <w:tr w:rsidR="00F22299" w:rsidRPr="008F183F" w14:paraId="36782939" w14:textId="77777777" w:rsidTr="00965262">
        <w:trPr>
          <w:trHeight w:val="315"/>
        </w:trPr>
        <w:tc>
          <w:tcPr>
            <w:tcW w:w="2906" w:type="dxa"/>
            <w:tcBorders>
              <w:top w:val="nil"/>
              <w:left w:val="single" w:sz="8" w:space="0" w:color="auto"/>
              <w:bottom w:val="single" w:sz="8" w:space="0" w:color="auto"/>
              <w:right w:val="nil"/>
            </w:tcBorders>
            <w:vAlign w:val="center"/>
            <w:hideMark/>
          </w:tcPr>
          <w:p w14:paraId="3249DD00" w14:textId="07676B1E" w:rsidR="00F22299" w:rsidRPr="008F183F" w:rsidRDefault="00F22299" w:rsidP="00F22299">
            <w:pPr>
              <w:rPr>
                <w:rFonts w:ascii="Arial" w:hAnsi="Arial" w:cs="Arial"/>
                <w:b/>
                <w:bCs/>
                <w:color w:val="000000"/>
              </w:rPr>
            </w:pPr>
            <w:r w:rsidRPr="00634844">
              <w:rPr>
                <w:rFonts w:ascii="Arial" w:hAnsi="Arial" w:cs="Arial"/>
                <w:b/>
                <w:bCs/>
                <w:color w:val="000000"/>
              </w:rPr>
              <w:t>Closing General Fund Balance</w:t>
            </w:r>
          </w:p>
        </w:tc>
        <w:tc>
          <w:tcPr>
            <w:tcW w:w="2375" w:type="dxa"/>
            <w:tcBorders>
              <w:top w:val="nil"/>
              <w:left w:val="nil"/>
              <w:bottom w:val="single" w:sz="8" w:space="0" w:color="auto"/>
              <w:right w:val="nil"/>
            </w:tcBorders>
            <w:shd w:val="clear" w:color="000000" w:fill="CCCCCC"/>
            <w:vAlign w:val="center"/>
            <w:hideMark/>
          </w:tcPr>
          <w:p w14:paraId="56B01114" w14:textId="7ECFCC55"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729" w:type="dxa"/>
            <w:tcBorders>
              <w:top w:val="nil"/>
              <w:left w:val="nil"/>
              <w:bottom w:val="single" w:sz="8" w:space="0" w:color="auto"/>
              <w:right w:val="nil"/>
            </w:tcBorders>
            <w:shd w:val="clear" w:color="000000" w:fill="CCCCCC"/>
            <w:vAlign w:val="center"/>
            <w:hideMark/>
          </w:tcPr>
          <w:p w14:paraId="3B8C226E" w14:textId="765CF3CD"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398" w:type="dxa"/>
            <w:tcBorders>
              <w:top w:val="nil"/>
              <w:left w:val="nil"/>
              <w:bottom w:val="single" w:sz="8" w:space="0" w:color="auto"/>
              <w:right w:val="nil"/>
            </w:tcBorders>
            <w:shd w:val="clear" w:color="000000" w:fill="CCCCCC"/>
            <w:vAlign w:val="center"/>
            <w:hideMark/>
          </w:tcPr>
          <w:p w14:paraId="0A119A99" w14:textId="73C47B26" w:rsidR="00F22299" w:rsidRPr="008F183F" w:rsidRDefault="00F22299" w:rsidP="00F22299">
            <w:pPr>
              <w:jc w:val="right"/>
              <w:rPr>
                <w:rFonts w:ascii="Arial" w:hAnsi="Arial" w:cs="Arial"/>
                <w:b/>
                <w:bCs/>
                <w:color w:val="000000"/>
              </w:rPr>
            </w:pPr>
            <w:r>
              <w:rPr>
                <w:rFonts w:ascii="Arial" w:hAnsi="Arial" w:cs="Arial"/>
                <w:b/>
                <w:bCs/>
                <w:color w:val="000000"/>
              </w:rPr>
              <w:t>(29,444)</w:t>
            </w:r>
          </w:p>
        </w:tc>
        <w:tc>
          <w:tcPr>
            <w:tcW w:w="2464" w:type="dxa"/>
            <w:tcBorders>
              <w:top w:val="nil"/>
              <w:left w:val="nil"/>
              <w:bottom w:val="single" w:sz="8" w:space="0" w:color="auto"/>
              <w:right w:val="nil"/>
            </w:tcBorders>
            <w:shd w:val="clear" w:color="000000" w:fill="CCCCCC"/>
            <w:vAlign w:val="center"/>
            <w:hideMark/>
          </w:tcPr>
          <w:p w14:paraId="6064A1BE" w14:textId="2AE2D90A"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c>
          <w:tcPr>
            <w:tcW w:w="2721" w:type="dxa"/>
            <w:tcBorders>
              <w:top w:val="nil"/>
              <w:left w:val="nil"/>
              <w:bottom w:val="single" w:sz="8" w:space="0" w:color="auto"/>
              <w:right w:val="single" w:sz="8" w:space="0" w:color="auto"/>
            </w:tcBorders>
            <w:shd w:val="clear" w:color="000000" w:fill="CCCCCC"/>
            <w:vAlign w:val="center"/>
            <w:hideMark/>
          </w:tcPr>
          <w:p w14:paraId="0F9DDEC7" w14:textId="1D6C8EAD" w:rsidR="00F22299" w:rsidRPr="008F183F" w:rsidRDefault="00F22299" w:rsidP="00F22299">
            <w:pPr>
              <w:jc w:val="right"/>
              <w:rPr>
                <w:rFonts w:ascii="Arial" w:hAnsi="Arial" w:cs="Arial"/>
                <w:b/>
                <w:bCs/>
                <w:color w:val="000000"/>
              </w:rPr>
            </w:pPr>
            <w:r w:rsidRPr="00634844">
              <w:rPr>
                <w:rFonts w:ascii="Arial" w:hAnsi="Arial" w:cs="Arial"/>
                <w:b/>
                <w:bCs/>
                <w:color w:val="000000"/>
              </w:rPr>
              <w:t> </w:t>
            </w:r>
          </w:p>
        </w:tc>
      </w:tr>
    </w:tbl>
    <w:p w14:paraId="448F95E3" w14:textId="77777777" w:rsidR="00FD59F6" w:rsidRDefault="00FD59F6" w:rsidP="003B74DA">
      <w:pPr>
        <w:ind w:firstLine="720"/>
        <w:rPr>
          <w:rFonts w:ascii="Arial" w:hAnsi="Arial"/>
          <w:b/>
          <w:sz w:val="22"/>
          <w:szCs w:val="22"/>
        </w:rPr>
      </w:pPr>
    </w:p>
    <w:p w14:paraId="70DE845C" w14:textId="77777777" w:rsidR="00FD59F6" w:rsidRDefault="00FD59F6">
      <w:pPr>
        <w:rPr>
          <w:rFonts w:ascii="Arial" w:hAnsi="Arial"/>
          <w:b/>
          <w:sz w:val="22"/>
          <w:szCs w:val="22"/>
        </w:rPr>
      </w:pPr>
      <w:r>
        <w:rPr>
          <w:rFonts w:ascii="Arial" w:hAnsi="Arial"/>
          <w:b/>
          <w:sz w:val="22"/>
          <w:szCs w:val="22"/>
        </w:rPr>
        <w:br w:type="page"/>
      </w:r>
    </w:p>
    <w:p w14:paraId="4CB7B949" w14:textId="77777777" w:rsidR="00FD59F6" w:rsidRDefault="00FD59F6" w:rsidP="003B74DA">
      <w:pPr>
        <w:ind w:firstLine="720"/>
        <w:rPr>
          <w:rFonts w:ascii="Arial" w:hAnsi="Arial"/>
          <w:b/>
          <w:sz w:val="22"/>
          <w:szCs w:val="22"/>
        </w:rPr>
      </w:pPr>
    </w:p>
    <w:p w14:paraId="203C5E04" w14:textId="2388A892" w:rsidR="003B74DA" w:rsidRPr="00172E65" w:rsidRDefault="003B74DA" w:rsidP="003B74DA">
      <w:pPr>
        <w:ind w:firstLine="720"/>
        <w:rPr>
          <w:rFonts w:ascii="Arial" w:hAnsi="Arial"/>
          <w:b/>
          <w:sz w:val="22"/>
          <w:szCs w:val="22"/>
        </w:rPr>
      </w:pPr>
      <w:r w:rsidRPr="00172E65">
        <w:rPr>
          <w:rFonts w:ascii="Arial" w:hAnsi="Arial"/>
          <w:b/>
          <w:sz w:val="22"/>
          <w:szCs w:val="22"/>
        </w:rPr>
        <w:t>Adjustments to arrive at net amount chargeable to Police General Fund</w:t>
      </w:r>
    </w:p>
    <w:p w14:paraId="46EF776D" w14:textId="77777777" w:rsidR="003B74DA" w:rsidRPr="00172E65" w:rsidRDefault="003B74DA" w:rsidP="003B74DA">
      <w:pPr>
        <w:ind w:firstLine="720"/>
        <w:rPr>
          <w:rFonts w:ascii="Arial" w:hAnsi="Arial"/>
          <w:b/>
          <w:sz w:val="22"/>
          <w:szCs w:val="22"/>
        </w:rPr>
      </w:pPr>
    </w:p>
    <w:p w14:paraId="6BC55E5F" w14:textId="77777777" w:rsidR="003B74DA" w:rsidRPr="00172E65" w:rsidRDefault="003B74DA" w:rsidP="003B74DA">
      <w:pPr>
        <w:ind w:left="720"/>
        <w:rPr>
          <w:rFonts w:ascii="Arial" w:hAnsi="Arial"/>
          <w:b/>
          <w:sz w:val="22"/>
          <w:szCs w:val="22"/>
        </w:rPr>
      </w:pPr>
      <w:r w:rsidRPr="00172E65">
        <w:rPr>
          <w:rFonts w:ascii="Arial" w:hAnsi="Arial"/>
          <w:sz w:val="22"/>
          <w:szCs w:val="22"/>
        </w:rPr>
        <w:t>These adjustments relate to items that are included within departmental budgets but excluded from the cost of services in the comprehensive income and expenditure statement.</w:t>
      </w:r>
    </w:p>
    <w:p w14:paraId="0DC2512F" w14:textId="77777777" w:rsidR="003B74DA" w:rsidRPr="00172E65" w:rsidRDefault="003B74DA" w:rsidP="003B74DA">
      <w:pPr>
        <w:ind w:firstLine="720"/>
        <w:rPr>
          <w:rFonts w:ascii="Arial" w:hAnsi="Arial"/>
          <w:b/>
          <w:sz w:val="22"/>
          <w:szCs w:val="22"/>
        </w:rPr>
      </w:pPr>
    </w:p>
    <w:p w14:paraId="72B1367D" w14:textId="77777777" w:rsidR="003B74DA" w:rsidRPr="00172E65" w:rsidRDefault="003B74DA" w:rsidP="003B74DA">
      <w:pPr>
        <w:ind w:firstLine="720"/>
        <w:rPr>
          <w:rFonts w:ascii="Arial" w:hAnsi="Arial"/>
          <w:b/>
          <w:sz w:val="22"/>
          <w:szCs w:val="22"/>
        </w:rPr>
      </w:pPr>
      <w:r w:rsidRPr="00172E65">
        <w:rPr>
          <w:rFonts w:ascii="Arial" w:hAnsi="Arial"/>
          <w:b/>
          <w:sz w:val="22"/>
          <w:szCs w:val="22"/>
        </w:rPr>
        <w:t>PCC GROUP</w:t>
      </w:r>
    </w:p>
    <w:p w14:paraId="14BD855F" w14:textId="2A2DCB82" w:rsidR="006A1C1B" w:rsidRPr="00077C2F" w:rsidRDefault="006A1C1B" w:rsidP="003B74DA">
      <w:pPr>
        <w:rPr>
          <w:highlight w:val="yellow"/>
        </w:rPr>
      </w:pPr>
    </w:p>
    <w:tbl>
      <w:tblPr>
        <w:tblW w:w="15459" w:type="dxa"/>
        <w:tblLook w:val="04A0" w:firstRow="1" w:lastRow="0" w:firstColumn="1" w:lastColumn="0" w:noHBand="0" w:noVBand="1"/>
      </w:tblPr>
      <w:tblGrid>
        <w:gridCol w:w="2711"/>
        <w:gridCol w:w="2189"/>
        <w:gridCol w:w="1549"/>
        <w:gridCol w:w="2472"/>
        <w:gridCol w:w="2703"/>
        <w:gridCol w:w="2286"/>
        <w:gridCol w:w="1549"/>
      </w:tblGrid>
      <w:tr w:rsidR="00784E9A" w:rsidRPr="00784E9A" w14:paraId="388FB27F" w14:textId="77777777" w:rsidTr="008A7361">
        <w:trPr>
          <w:trHeight w:val="256"/>
        </w:trPr>
        <w:tc>
          <w:tcPr>
            <w:tcW w:w="6449" w:type="dxa"/>
            <w:gridSpan w:val="3"/>
            <w:tcBorders>
              <w:top w:val="single" w:sz="8" w:space="0" w:color="auto"/>
              <w:left w:val="single" w:sz="8" w:space="0" w:color="auto"/>
              <w:bottom w:val="nil"/>
              <w:right w:val="nil"/>
            </w:tcBorders>
            <w:vAlign w:val="center"/>
            <w:hideMark/>
          </w:tcPr>
          <w:p w14:paraId="78CA35D1" w14:textId="47EEEE2F" w:rsidR="00784E9A" w:rsidRPr="00784E9A" w:rsidRDefault="00C37E7F" w:rsidP="00784E9A">
            <w:pPr>
              <w:jc w:val="center"/>
              <w:rPr>
                <w:rFonts w:ascii="Arial" w:hAnsi="Arial" w:cs="Arial"/>
                <w:b/>
                <w:bCs/>
                <w:color w:val="000000"/>
                <w:sz w:val="22"/>
                <w:szCs w:val="22"/>
              </w:rPr>
            </w:pPr>
            <w:r>
              <w:rPr>
                <w:rFonts w:ascii="Arial" w:hAnsi="Arial" w:cs="Arial"/>
                <w:b/>
                <w:bCs/>
                <w:color w:val="000000"/>
                <w:sz w:val="22"/>
                <w:szCs w:val="22"/>
              </w:rPr>
              <w:t>2023/24</w:t>
            </w:r>
          </w:p>
        </w:tc>
        <w:tc>
          <w:tcPr>
            <w:tcW w:w="9010" w:type="dxa"/>
            <w:gridSpan w:val="4"/>
            <w:tcBorders>
              <w:top w:val="single" w:sz="8" w:space="0" w:color="auto"/>
              <w:left w:val="nil"/>
              <w:bottom w:val="nil"/>
              <w:right w:val="single" w:sz="8" w:space="0" w:color="000000"/>
            </w:tcBorders>
            <w:shd w:val="clear" w:color="000000" w:fill="CCCCCC"/>
            <w:vAlign w:val="center"/>
            <w:hideMark/>
          </w:tcPr>
          <w:p w14:paraId="007F8EA3" w14:textId="607977C5" w:rsidR="00784E9A" w:rsidRPr="00784E9A" w:rsidRDefault="00C37E7F" w:rsidP="00784E9A">
            <w:pPr>
              <w:jc w:val="center"/>
              <w:rPr>
                <w:rFonts w:ascii="Arial" w:hAnsi="Arial" w:cs="Arial"/>
                <w:b/>
                <w:bCs/>
                <w:color w:val="000000"/>
                <w:sz w:val="22"/>
                <w:szCs w:val="22"/>
              </w:rPr>
            </w:pPr>
            <w:r>
              <w:rPr>
                <w:rFonts w:ascii="Arial" w:hAnsi="Arial" w:cs="Arial"/>
                <w:b/>
                <w:bCs/>
                <w:color w:val="000000"/>
                <w:sz w:val="22"/>
                <w:szCs w:val="22"/>
              </w:rPr>
              <w:t>2024/25</w:t>
            </w:r>
          </w:p>
        </w:tc>
      </w:tr>
      <w:tr w:rsidR="00784E9A" w:rsidRPr="00784E9A" w14:paraId="079CF1E1" w14:textId="77777777" w:rsidTr="00494EE0">
        <w:trPr>
          <w:trHeight w:val="769"/>
        </w:trPr>
        <w:tc>
          <w:tcPr>
            <w:tcW w:w="2711" w:type="dxa"/>
            <w:tcBorders>
              <w:top w:val="nil"/>
              <w:left w:val="single" w:sz="8" w:space="0" w:color="auto"/>
              <w:bottom w:val="nil"/>
              <w:right w:val="nil"/>
            </w:tcBorders>
            <w:vAlign w:val="center"/>
            <w:hideMark/>
          </w:tcPr>
          <w:p w14:paraId="7BBF7D36"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Adjustments relating to other income &amp; expenditure</w:t>
            </w:r>
          </w:p>
        </w:tc>
        <w:tc>
          <w:tcPr>
            <w:tcW w:w="2189" w:type="dxa"/>
            <w:tcBorders>
              <w:top w:val="nil"/>
              <w:left w:val="nil"/>
              <w:bottom w:val="nil"/>
              <w:right w:val="nil"/>
            </w:tcBorders>
            <w:vAlign w:val="center"/>
            <w:hideMark/>
          </w:tcPr>
          <w:p w14:paraId="7C338C6E"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Adjustments relating to transfers to &amp; from reserves</w:t>
            </w:r>
          </w:p>
        </w:tc>
        <w:tc>
          <w:tcPr>
            <w:tcW w:w="1549" w:type="dxa"/>
            <w:tcBorders>
              <w:top w:val="nil"/>
              <w:left w:val="nil"/>
              <w:bottom w:val="nil"/>
              <w:right w:val="nil"/>
            </w:tcBorders>
            <w:vAlign w:val="center"/>
            <w:hideMark/>
          </w:tcPr>
          <w:p w14:paraId="609F5610"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Total Adjustments</w:t>
            </w:r>
          </w:p>
        </w:tc>
        <w:tc>
          <w:tcPr>
            <w:tcW w:w="2472" w:type="dxa"/>
            <w:tcBorders>
              <w:top w:val="nil"/>
              <w:left w:val="nil"/>
              <w:bottom w:val="nil"/>
              <w:right w:val="nil"/>
            </w:tcBorders>
            <w:shd w:val="clear" w:color="000000" w:fill="CCCCCC"/>
            <w:vAlign w:val="center"/>
            <w:hideMark/>
          </w:tcPr>
          <w:p w14:paraId="5BB598A0"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 xml:space="preserve">  </w:t>
            </w:r>
          </w:p>
        </w:tc>
        <w:tc>
          <w:tcPr>
            <w:tcW w:w="2703" w:type="dxa"/>
            <w:tcBorders>
              <w:top w:val="nil"/>
              <w:left w:val="nil"/>
              <w:bottom w:val="nil"/>
              <w:right w:val="nil"/>
            </w:tcBorders>
            <w:shd w:val="clear" w:color="000000" w:fill="CCCCCC"/>
            <w:vAlign w:val="center"/>
            <w:hideMark/>
          </w:tcPr>
          <w:p w14:paraId="60AD12C8"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Adjustments relating to other income &amp; expenditure</w:t>
            </w:r>
          </w:p>
        </w:tc>
        <w:tc>
          <w:tcPr>
            <w:tcW w:w="2286" w:type="dxa"/>
            <w:tcBorders>
              <w:top w:val="nil"/>
              <w:left w:val="nil"/>
              <w:bottom w:val="nil"/>
              <w:right w:val="nil"/>
            </w:tcBorders>
            <w:shd w:val="clear" w:color="000000" w:fill="CCCCCC"/>
            <w:vAlign w:val="center"/>
            <w:hideMark/>
          </w:tcPr>
          <w:p w14:paraId="6AB668A2"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Adjustments relating to transfers to &amp; from reserves</w:t>
            </w:r>
          </w:p>
        </w:tc>
        <w:tc>
          <w:tcPr>
            <w:tcW w:w="1549" w:type="dxa"/>
            <w:tcBorders>
              <w:top w:val="nil"/>
              <w:left w:val="nil"/>
              <w:bottom w:val="nil"/>
              <w:right w:val="single" w:sz="8" w:space="0" w:color="auto"/>
            </w:tcBorders>
            <w:shd w:val="clear" w:color="000000" w:fill="CCCCCC"/>
            <w:vAlign w:val="center"/>
            <w:hideMark/>
          </w:tcPr>
          <w:p w14:paraId="72D8F0DB"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Total Adjustments</w:t>
            </w:r>
          </w:p>
        </w:tc>
      </w:tr>
      <w:tr w:rsidR="00784E9A" w:rsidRPr="00784E9A" w14:paraId="777B119A" w14:textId="77777777" w:rsidTr="00494EE0">
        <w:trPr>
          <w:trHeight w:val="256"/>
        </w:trPr>
        <w:tc>
          <w:tcPr>
            <w:tcW w:w="2711" w:type="dxa"/>
            <w:tcBorders>
              <w:top w:val="nil"/>
              <w:left w:val="single" w:sz="8" w:space="0" w:color="auto"/>
              <w:bottom w:val="nil"/>
              <w:right w:val="nil"/>
            </w:tcBorders>
            <w:vAlign w:val="center"/>
            <w:hideMark/>
          </w:tcPr>
          <w:p w14:paraId="2AF80301"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2189" w:type="dxa"/>
            <w:tcBorders>
              <w:top w:val="nil"/>
              <w:left w:val="nil"/>
              <w:bottom w:val="nil"/>
              <w:right w:val="nil"/>
            </w:tcBorders>
            <w:vAlign w:val="center"/>
            <w:hideMark/>
          </w:tcPr>
          <w:p w14:paraId="07981508"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1549" w:type="dxa"/>
            <w:tcBorders>
              <w:top w:val="nil"/>
              <w:left w:val="nil"/>
              <w:bottom w:val="nil"/>
              <w:right w:val="nil"/>
            </w:tcBorders>
            <w:vAlign w:val="center"/>
            <w:hideMark/>
          </w:tcPr>
          <w:p w14:paraId="706B9B4F"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2472" w:type="dxa"/>
            <w:tcBorders>
              <w:top w:val="nil"/>
              <w:left w:val="nil"/>
              <w:bottom w:val="nil"/>
              <w:right w:val="nil"/>
            </w:tcBorders>
            <w:shd w:val="clear" w:color="000000" w:fill="CCCCCC"/>
            <w:vAlign w:val="center"/>
            <w:hideMark/>
          </w:tcPr>
          <w:p w14:paraId="6B3229DF" w14:textId="77777777" w:rsidR="00784E9A" w:rsidRPr="00784E9A" w:rsidRDefault="00784E9A" w:rsidP="00784E9A">
            <w:pPr>
              <w:rPr>
                <w:rFonts w:ascii="Arial" w:hAnsi="Arial" w:cs="Arial"/>
                <w:b/>
                <w:bCs/>
                <w:color w:val="000000"/>
              </w:rPr>
            </w:pPr>
            <w:r w:rsidRPr="00784E9A">
              <w:rPr>
                <w:rFonts w:ascii="Arial" w:hAnsi="Arial" w:cs="Arial"/>
                <w:b/>
                <w:bCs/>
                <w:color w:val="000000"/>
              </w:rPr>
              <w:t> </w:t>
            </w:r>
          </w:p>
        </w:tc>
        <w:tc>
          <w:tcPr>
            <w:tcW w:w="2703" w:type="dxa"/>
            <w:tcBorders>
              <w:top w:val="nil"/>
              <w:left w:val="nil"/>
              <w:bottom w:val="nil"/>
              <w:right w:val="nil"/>
            </w:tcBorders>
            <w:shd w:val="clear" w:color="000000" w:fill="CCCCCC"/>
            <w:vAlign w:val="center"/>
            <w:hideMark/>
          </w:tcPr>
          <w:p w14:paraId="7E7D39BB"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2286" w:type="dxa"/>
            <w:tcBorders>
              <w:top w:val="nil"/>
              <w:left w:val="nil"/>
              <w:bottom w:val="nil"/>
              <w:right w:val="nil"/>
            </w:tcBorders>
            <w:shd w:val="clear" w:color="000000" w:fill="CCCCCC"/>
            <w:vAlign w:val="center"/>
            <w:hideMark/>
          </w:tcPr>
          <w:p w14:paraId="251CC687"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1549" w:type="dxa"/>
            <w:tcBorders>
              <w:top w:val="nil"/>
              <w:left w:val="nil"/>
              <w:bottom w:val="nil"/>
              <w:right w:val="single" w:sz="8" w:space="0" w:color="auto"/>
            </w:tcBorders>
            <w:shd w:val="clear" w:color="000000" w:fill="CCCCCC"/>
            <w:vAlign w:val="center"/>
            <w:hideMark/>
          </w:tcPr>
          <w:p w14:paraId="5BF8EBCD"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r>
      <w:tr w:rsidR="00784E9A" w:rsidRPr="00784E9A" w14:paraId="62468AA0" w14:textId="77777777" w:rsidTr="00494EE0">
        <w:trPr>
          <w:trHeight w:val="256"/>
        </w:trPr>
        <w:tc>
          <w:tcPr>
            <w:tcW w:w="2711" w:type="dxa"/>
            <w:tcBorders>
              <w:top w:val="nil"/>
              <w:left w:val="single" w:sz="8" w:space="0" w:color="auto"/>
              <w:bottom w:val="nil"/>
              <w:right w:val="nil"/>
            </w:tcBorders>
            <w:vAlign w:val="center"/>
            <w:hideMark/>
          </w:tcPr>
          <w:p w14:paraId="475F43FF"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c>
          <w:tcPr>
            <w:tcW w:w="2189" w:type="dxa"/>
            <w:tcBorders>
              <w:top w:val="nil"/>
              <w:left w:val="nil"/>
              <w:bottom w:val="nil"/>
              <w:right w:val="nil"/>
            </w:tcBorders>
            <w:vAlign w:val="center"/>
            <w:hideMark/>
          </w:tcPr>
          <w:p w14:paraId="2CC05BA3" w14:textId="77777777" w:rsidR="00784E9A" w:rsidRPr="00784E9A" w:rsidRDefault="00784E9A" w:rsidP="00784E9A">
            <w:pPr>
              <w:jc w:val="right"/>
              <w:rPr>
                <w:rFonts w:ascii="Arial" w:hAnsi="Arial" w:cs="Arial"/>
                <w:color w:val="000000"/>
              </w:rPr>
            </w:pPr>
          </w:p>
        </w:tc>
        <w:tc>
          <w:tcPr>
            <w:tcW w:w="1549" w:type="dxa"/>
            <w:tcBorders>
              <w:top w:val="nil"/>
              <w:left w:val="nil"/>
              <w:bottom w:val="nil"/>
              <w:right w:val="nil"/>
            </w:tcBorders>
            <w:vAlign w:val="center"/>
            <w:hideMark/>
          </w:tcPr>
          <w:p w14:paraId="6A88596C" w14:textId="77777777" w:rsidR="00784E9A" w:rsidRPr="00784E9A" w:rsidRDefault="00784E9A" w:rsidP="00784E9A">
            <w:pPr>
              <w:jc w:val="right"/>
            </w:pPr>
          </w:p>
        </w:tc>
        <w:tc>
          <w:tcPr>
            <w:tcW w:w="2472" w:type="dxa"/>
            <w:tcBorders>
              <w:top w:val="nil"/>
              <w:left w:val="nil"/>
              <w:bottom w:val="nil"/>
              <w:right w:val="nil"/>
            </w:tcBorders>
            <w:shd w:val="clear" w:color="000000" w:fill="CCCCCC"/>
            <w:vAlign w:val="center"/>
            <w:hideMark/>
          </w:tcPr>
          <w:p w14:paraId="0BDB82F1" w14:textId="77777777" w:rsidR="00784E9A" w:rsidRPr="00784E9A" w:rsidRDefault="00784E9A" w:rsidP="00784E9A">
            <w:pPr>
              <w:rPr>
                <w:rFonts w:ascii="Arial" w:hAnsi="Arial" w:cs="Arial"/>
                <w:b/>
                <w:bCs/>
                <w:color w:val="000000"/>
              </w:rPr>
            </w:pPr>
            <w:r w:rsidRPr="00784E9A">
              <w:rPr>
                <w:rFonts w:ascii="Arial" w:hAnsi="Arial" w:cs="Arial"/>
                <w:b/>
                <w:bCs/>
                <w:color w:val="000000"/>
              </w:rPr>
              <w:t>Chief Constable</w:t>
            </w:r>
          </w:p>
        </w:tc>
        <w:tc>
          <w:tcPr>
            <w:tcW w:w="2703" w:type="dxa"/>
            <w:tcBorders>
              <w:top w:val="nil"/>
              <w:left w:val="nil"/>
              <w:bottom w:val="nil"/>
              <w:right w:val="nil"/>
            </w:tcBorders>
            <w:shd w:val="clear" w:color="000000" w:fill="CCCCCC"/>
            <w:vAlign w:val="center"/>
            <w:hideMark/>
          </w:tcPr>
          <w:p w14:paraId="7F3B10F1"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c>
          <w:tcPr>
            <w:tcW w:w="2286" w:type="dxa"/>
            <w:tcBorders>
              <w:top w:val="nil"/>
              <w:left w:val="nil"/>
              <w:bottom w:val="nil"/>
              <w:right w:val="nil"/>
            </w:tcBorders>
            <w:shd w:val="clear" w:color="000000" w:fill="CCCCCC"/>
            <w:vAlign w:val="center"/>
            <w:hideMark/>
          </w:tcPr>
          <w:p w14:paraId="1805F300"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c>
          <w:tcPr>
            <w:tcW w:w="1549" w:type="dxa"/>
            <w:tcBorders>
              <w:top w:val="nil"/>
              <w:left w:val="nil"/>
              <w:bottom w:val="nil"/>
              <w:right w:val="single" w:sz="8" w:space="0" w:color="auto"/>
            </w:tcBorders>
            <w:shd w:val="clear" w:color="000000" w:fill="CCCCCC"/>
            <w:vAlign w:val="center"/>
            <w:hideMark/>
          </w:tcPr>
          <w:p w14:paraId="37480DCF"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r>
      <w:tr w:rsidR="00977112" w:rsidRPr="00784E9A" w14:paraId="5543E4A4" w14:textId="77777777" w:rsidTr="00494EE0">
        <w:trPr>
          <w:trHeight w:val="256"/>
        </w:trPr>
        <w:tc>
          <w:tcPr>
            <w:tcW w:w="2711" w:type="dxa"/>
            <w:tcBorders>
              <w:top w:val="nil"/>
              <w:left w:val="single" w:sz="8" w:space="0" w:color="auto"/>
              <w:bottom w:val="nil"/>
              <w:right w:val="nil"/>
            </w:tcBorders>
            <w:vAlign w:val="center"/>
            <w:hideMark/>
          </w:tcPr>
          <w:p w14:paraId="47410074" w14:textId="13B43133" w:rsidR="00977112" w:rsidRPr="00784E9A" w:rsidRDefault="00977112" w:rsidP="00977112">
            <w:pPr>
              <w:jc w:val="right"/>
              <w:rPr>
                <w:rFonts w:ascii="Arial" w:hAnsi="Arial" w:cs="Arial"/>
                <w:color w:val="000000"/>
              </w:rPr>
            </w:pPr>
            <w:r>
              <w:rPr>
                <w:rFonts w:ascii="Arial" w:hAnsi="Arial" w:cs="Arial"/>
                <w:color w:val="000000"/>
              </w:rPr>
              <w:t>0</w:t>
            </w:r>
          </w:p>
        </w:tc>
        <w:tc>
          <w:tcPr>
            <w:tcW w:w="2189" w:type="dxa"/>
            <w:tcBorders>
              <w:top w:val="nil"/>
              <w:left w:val="nil"/>
              <w:bottom w:val="nil"/>
              <w:right w:val="nil"/>
            </w:tcBorders>
            <w:vAlign w:val="center"/>
            <w:hideMark/>
          </w:tcPr>
          <w:p w14:paraId="23BB444C" w14:textId="0872CEA8" w:rsidR="00977112" w:rsidRPr="00784E9A" w:rsidRDefault="00977112" w:rsidP="00977112">
            <w:pPr>
              <w:jc w:val="right"/>
              <w:rPr>
                <w:rFonts w:ascii="Arial" w:hAnsi="Arial" w:cs="Arial"/>
                <w:color w:val="000000"/>
              </w:rPr>
            </w:pPr>
            <w:r>
              <w:rPr>
                <w:rFonts w:ascii="Arial" w:hAnsi="Arial" w:cs="Arial"/>
                <w:color w:val="000000"/>
              </w:rPr>
              <w:t>0</w:t>
            </w:r>
          </w:p>
        </w:tc>
        <w:tc>
          <w:tcPr>
            <w:tcW w:w="1549" w:type="dxa"/>
            <w:tcBorders>
              <w:top w:val="nil"/>
              <w:left w:val="nil"/>
              <w:bottom w:val="nil"/>
              <w:right w:val="nil"/>
            </w:tcBorders>
            <w:vAlign w:val="center"/>
            <w:hideMark/>
          </w:tcPr>
          <w:p w14:paraId="6237EF80" w14:textId="2DC9BCFB" w:rsidR="00977112" w:rsidRPr="00784E9A" w:rsidRDefault="00977112" w:rsidP="00977112">
            <w:pPr>
              <w:jc w:val="right"/>
              <w:rPr>
                <w:rFonts w:ascii="Arial" w:hAnsi="Arial" w:cs="Arial"/>
                <w:color w:val="000000"/>
              </w:rPr>
            </w:pPr>
            <w:r>
              <w:rPr>
                <w:rFonts w:ascii="Arial" w:hAnsi="Arial" w:cs="Arial"/>
                <w:color w:val="000000"/>
              </w:rPr>
              <w:t>0</w:t>
            </w:r>
          </w:p>
        </w:tc>
        <w:tc>
          <w:tcPr>
            <w:tcW w:w="2472" w:type="dxa"/>
            <w:tcBorders>
              <w:top w:val="nil"/>
              <w:left w:val="nil"/>
              <w:bottom w:val="nil"/>
              <w:right w:val="nil"/>
            </w:tcBorders>
            <w:shd w:val="clear" w:color="000000" w:fill="CCCCCC"/>
            <w:vAlign w:val="center"/>
            <w:hideMark/>
          </w:tcPr>
          <w:p w14:paraId="16EBDDD1" w14:textId="77777777" w:rsidR="00977112" w:rsidRPr="00784E9A" w:rsidRDefault="00977112" w:rsidP="00977112">
            <w:pPr>
              <w:rPr>
                <w:rFonts w:ascii="Arial" w:hAnsi="Arial" w:cs="Arial"/>
                <w:color w:val="000000"/>
              </w:rPr>
            </w:pPr>
            <w:r w:rsidRPr="00784E9A">
              <w:rPr>
                <w:rFonts w:ascii="Arial" w:hAnsi="Arial" w:cs="Arial"/>
                <w:color w:val="000000"/>
              </w:rPr>
              <w:t>Centralised Pay Budget</w:t>
            </w:r>
          </w:p>
        </w:tc>
        <w:tc>
          <w:tcPr>
            <w:tcW w:w="2703" w:type="dxa"/>
            <w:tcBorders>
              <w:top w:val="nil"/>
              <w:left w:val="nil"/>
              <w:bottom w:val="nil"/>
              <w:right w:val="nil"/>
            </w:tcBorders>
            <w:shd w:val="clear" w:color="000000" w:fill="CCCCCC"/>
            <w:vAlign w:val="center"/>
            <w:hideMark/>
          </w:tcPr>
          <w:p w14:paraId="71A94602" w14:textId="5AADAE68" w:rsidR="00977112" w:rsidRPr="00784E9A" w:rsidRDefault="00977112" w:rsidP="00977112">
            <w:pPr>
              <w:jc w:val="right"/>
              <w:rPr>
                <w:rFonts w:ascii="Arial" w:hAnsi="Arial" w:cs="Arial"/>
                <w:color w:val="000000"/>
              </w:rPr>
            </w:pPr>
            <w:r>
              <w:rPr>
                <w:rFonts w:ascii="Arial" w:hAnsi="Arial" w:cs="Arial"/>
                <w:color w:val="000000"/>
              </w:rPr>
              <w:t>0</w:t>
            </w:r>
          </w:p>
        </w:tc>
        <w:tc>
          <w:tcPr>
            <w:tcW w:w="2286" w:type="dxa"/>
            <w:tcBorders>
              <w:top w:val="nil"/>
              <w:left w:val="nil"/>
              <w:bottom w:val="nil"/>
              <w:right w:val="nil"/>
            </w:tcBorders>
            <w:shd w:val="clear" w:color="000000" w:fill="CCCCCC"/>
            <w:vAlign w:val="center"/>
            <w:hideMark/>
          </w:tcPr>
          <w:p w14:paraId="05EFA594" w14:textId="6D3EF9FB" w:rsidR="00977112" w:rsidRPr="00784E9A" w:rsidRDefault="00977112" w:rsidP="00977112">
            <w:pPr>
              <w:jc w:val="right"/>
              <w:rPr>
                <w:rFonts w:ascii="Arial" w:hAnsi="Arial" w:cs="Arial"/>
                <w:color w:val="000000"/>
              </w:rPr>
            </w:pPr>
            <w:r>
              <w:rPr>
                <w:rFonts w:ascii="Arial" w:hAnsi="Arial" w:cs="Arial"/>
                <w:color w:val="000000"/>
              </w:rPr>
              <w:t>0</w:t>
            </w:r>
          </w:p>
        </w:tc>
        <w:tc>
          <w:tcPr>
            <w:tcW w:w="1549" w:type="dxa"/>
            <w:tcBorders>
              <w:top w:val="nil"/>
              <w:left w:val="nil"/>
              <w:bottom w:val="nil"/>
              <w:right w:val="single" w:sz="8" w:space="0" w:color="auto"/>
            </w:tcBorders>
            <w:shd w:val="clear" w:color="000000" w:fill="CCCCCC"/>
            <w:vAlign w:val="center"/>
            <w:hideMark/>
          </w:tcPr>
          <w:p w14:paraId="55AFD324" w14:textId="075E9C65" w:rsidR="00977112" w:rsidRPr="00784E9A" w:rsidRDefault="00977112" w:rsidP="00977112">
            <w:pPr>
              <w:jc w:val="right"/>
              <w:rPr>
                <w:rFonts w:ascii="Arial" w:hAnsi="Arial" w:cs="Arial"/>
                <w:color w:val="000000"/>
              </w:rPr>
            </w:pPr>
            <w:r>
              <w:rPr>
                <w:rFonts w:ascii="Arial" w:hAnsi="Arial" w:cs="Arial"/>
                <w:color w:val="000000"/>
              </w:rPr>
              <w:t>0</w:t>
            </w:r>
          </w:p>
        </w:tc>
      </w:tr>
      <w:tr w:rsidR="00977112" w:rsidRPr="00784E9A" w14:paraId="1D4462A8" w14:textId="77777777" w:rsidTr="00494EE0">
        <w:trPr>
          <w:trHeight w:val="256"/>
        </w:trPr>
        <w:tc>
          <w:tcPr>
            <w:tcW w:w="2711" w:type="dxa"/>
            <w:tcBorders>
              <w:top w:val="nil"/>
              <w:left w:val="single" w:sz="8" w:space="0" w:color="auto"/>
              <w:bottom w:val="nil"/>
              <w:right w:val="nil"/>
            </w:tcBorders>
            <w:vAlign w:val="center"/>
            <w:hideMark/>
          </w:tcPr>
          <w:p w14:paraId="28A75C3E" w14:textId="1D0D5F18" w:rsidR="00977112" w:rsidRPr="00784E9A" w:rsidRDefault="00977112" w:rsidP="00977112">
            <w:pPr>
              <w:jc w:val="right"/>
              <w:rPr>
                <w:rFonts w:ascii="Arial" w:hAnsi="Arial" w:cs="Arial"/>
                <w:color w:val="000000"/>
              </w:rPr>
            </w:pPr>
            <w:r>
              <w:rPr>
                <w:rFonts w:ascii="Arial" w:hAnsi="Arial" w:cs="Arial"/>
                <w:color w:val="000000"/>
              </w:rPr>
              <w:t>382</w:t>
            </w:r>
          </w:p>
        </w:tc>
        <w:tc>
          <w:tcPr>
            <w:tcW w:w="2189" w:type="dxa"/>
            <w:tcBorders>
              <w:top w:val="nil"/>
              <w:left w:val="nil"/>
              <w:bottom w:val="nil"/>
              <w:right w:val="nil"/>
            </w:tcBorders>
            <w:vAlign w:val="center"/>
            <w:hideMark/>
          </w:tcPr>
          <w:p w14:paraId="378A893F" w14:textId="6B3DDF15" w:rsidR="00977112" w:rsidRPr="00784E9A" w:rsidRDefault="00977112" w:rsidP="00977112">
            <w:pPr>
              <w:jc w:val="right"/>
              <w:rPr>
                <w:rFonts w:ascii="Arial" w:hAnsi="Arial" w:cs="Arial"/>
                <w:color w:val="000000"/>
              </w:rPr>
            </w:pPr>
            <w:r>
              <w:rPr>
                <w:rFonts w:ascii="Arial" w:hAnsi="Arial" w:cs="Arial"/>
                <w:color w:val="000000"/>
              </w:rPr>
              <w:t>1,077</w:t>
            </w:r>
          </w:p>
        </w:tc>
        <w:tc>
          <w:tcPr>
            <w:tcW w:w="1549" w:type="dxa"/>
            <w:tcBorders>
              <w:top w:val="nil"/>
              <w:left w:val="nil"/>
              <w:bottom w:val="nil"/>
              <w:right w:val="nil"/>
            </w:tcBorders>
            <w:vAlign w:val="center"/>
            <w:hideMark/>
          </w:tcPr>
          <w:p w14:paraId="58BFFDBE" w14:textId="17046D9C" w:rsidR="00977112" w:rsidRPr="00784E9A" w:rsidRDefault="00977112" w:rsidP="00977112">
            <w:pPr>
              <w:jc w:val="right"/>
              <w:rPr>
                <w:rFonts w:ascii="Arial" w:hAnsi="Arial" w:cs="Arial"/>
                <w:color w:val="000000"/>
              </w:rPr>
            </w:pPr>
            <w:r>
              <w:rPr>
                <w:rFonts w:ascii="Arial" w:hAnsi="Arial" w:cs="Arial"/>
                <w:color w:val="000000"/>
              </w:rPr>
              <w:t>1,459</w:t>
            </w:r>
          </w:p>
        </w:tc>
        <w:tc>
          <w:tcPr>
            <w:tcW w:w="2472" w:type="dxa"/>
            <w:tcBorders>
              <w:top w:val="nil"/>
              <w:left w:val="nil"/>
              <w:bottom w:val="nil"/>
              <w:right w:val="nil"/>
            </w:tcBorders>
            <w:shd w:val="clear" w:color="auto" w:fill="CCCCCC"/>
            <w:vAlign w:val="center"/>
            <w:hideMark/>
          </w:tcPr>
          <w:p w14:paraId="58764347" w14:textId="77777777" w:rsidR="00977112" w:rsidRPr="00784E9A" w:rsidRDefault="00977112" w:rsidP="00977112">
            <w:pPr>
              <w:rPr>
                <w:rFonts w:ascii="Arial" w:hAnsi="Arial" w:cs="Arial"/>
                <w:color w:val="000000"/>
              </w:rPr>
            </w:pPr>
            <w:r w:rsidRPr="00784E9A">
              <w:rPr>
                <w:rFonts w:ascii="Arial" w:hAnsi="Arial" w:cs="Arial"/>
                <w:color w:val="000000"/>
              </w:rPr>
              <w:t>Chief Operating Officer</w:t>
            </w:r>
          </w:p>
        </w:tc>
        <w:tc>
          <w:tcPr>
            <w:tcW w:w="2703" w:type="dxa"/>
            <w:tcBorders>
              <w:top w:val="nil"/>
              <w:left w:val="nil"/>
              <w:bottom w:val="nil"/>
              <w:right w:val="nil"/>
            </w:tcBorders>
            <w:shd w:val="clear" w:color="000000" w:fill="CCCCCC"/>
            <w:vAlign w:val="center"/>
            <w:hideMark/>
          </w:tcPr>
          <w:p w14:paraId="4BFFF227" w14:textId="1A37F684" w:rsidR="00977112" w:rsidRPr="00784E9A" w:rsidRDefault="00977112" w:rsidP="00977112">
            <w:pPr>
              <w:jc w:val="right"/>
              <w:rPr>
                <w:rFonts w:ascii="Arial" w:hAnsi="Arial" w:cs="Arial"/>
                <w:color w:val="000000"/>
              </w:rPr>
            </w:pPr>
            <w:r>
              <w:rPr>
                <w:rFonts w:ascii="Arial" w:hAnsi="Arial" w:cs="Arial"/>
                <w:color w:val="000000"/>
              </w:rPr>
              <w:t>(30)</w:t>
            </w:r>
          </w:p>
        </w:tc>
        <w:tc>
          <w:tcPr>
            <w:tcW w:w="2286" w:type="dxa"/>
            <w:tcBorders>
              <w:top w:val="nil"/>
              <w:left w:val="nil"/>
              <w:bottom w:val="nil"/>
              <w:right w:val="nil"/>
            </w:tcBorders>
            <w:shd w:val="clear" w:color="000000" w:fill="CCCCCC"/>
            <w:vAlign w:val="center"/>
            <w:hideMark/>
          </w:tcPr>
          <w:p w14:paraId="34F9A992" w14:textId="03519F0D" w:rsidR="00977112" w:rsidRPr="00784E9A" w:rsidRDefault="00977112" w:rsidP="00977112">
            <w:pPr>
              <w:jc w:val="right"/>
              <w:rPr>
                <w:rFonts w:ascii="Arial" w:hAnsi="Arial" w:cs="Arial"/>
                <w:color w:val="000000"/>
              </w:rPr>
            </w:pPr>
            <w:r>
              <w:rPr>
                <w:rFonts w:ascii="Arial" w:hAnsi="Arial" w:cs="Arial"/>
                <w:color w:val="000000"/>
              </w:rPr>
              <w:t>5</w:t>
            </w:r>
            <w:r w:rsidR="000702D0">
              <w:rPr>
                <w:rFonts w:ascii="Arial" w:hAnsi="Arial" w:cs="Arial"/>
                <w:color w:val="000000"/>
              </w:rPr>
              <w:t>13</w:t>
            </w:r>
          </w:p>
        </w:tc>
        <w:tc>
          <w:tcPr>
            <w:tcW w:w="1549" w:type="dxa"/>
            <w:tcBorders>
              <w:top w:val="nil"/>
              <w:left w:val="nil"/>
              <w:bottom w:val="nil"/>
              <w:right w:val="single" w:sz="8" w:space="0" w:color="auto"/>
            </w:tcBorders>
            <w:shd w:val="clear" w:color="000000" w:fill="CCCCCC"/>
            <w:vAlign w:val="center"/>
            <w:hideMark/>
          </w:tcPr>
          <w:p w14:paraId="68EB12FD" w14:textId="6D4F7842" w:rsidR="00977112" w:rsidRPr="00784E9A" w:rsidRDefault="00977112" w:rsidP="00977112">
            <w:pPr>
              <w:jc w:val="right"/>
              <w:rPr>
                <w:rFonts w:ascii="Arial" w:hAnsi="Arial" w:cs="Arial"/>
                <w:color w:val="000000"/>
              </w:rPr>
            </w:pPr>
            <w:r>
              <w:rPr>
                <w:rFonts w:ascii="Arial" w:hAnsi="Arial" w:cs="Arial"/>
                <w:color w:val="000000"/>
              </w:rPr>
              <w:t>4</w:t>
            </w:r>
            <w:r w:rsidR="009B691C">
              <w:rPr>
                <w:rFonts w:ascii="Arial" w:hAnsi="Arial" w:cs="Arial"/>
                <w:color w:val="000000"/>
              </w:rPr>
              <w:t>83</w:t>
            </w:r>
          </w:p>
        </w:tc>
      </w:tr>
      <w:tr w:rsidR="00977112" w:rsidRPr="00784E9A" w14:paraId="5330BC2C" w14:textId="77777777" w:rsidTr="00494EE0">
        <w:trPr>
          <w:trHeight w:val="256"/>
        </w:trPr>
        <w:tc>
          <w:tcPr>
            <w:tcW w:w="2711" w:type="dxa"/>
            <w:tcBorders>
              <w:top w:val="nil"/>
              <w:left w:val="single" w:sz="8" w:space="0" w:color="auto"/>
              <w:bottom w:val="nil"/>
              <w:right w:val="nil"/>
            </w:tcBorders>
            <w:vAlign w:val="center"/>
            <w:hideMark/>
          </w:tcPr>
          <w:p w14:paraId="63898C57" w14:textId="7E03E65C" w:rsidR="00977112" w:rsidRPr="00784E9A" w:rsidRDefault="00977112" w:rsidP="00977112">
            <w:pPr>
              <w:jc w:val="right"/>
              <w:rPr>
                <w:rFonts w:ascii="Arial" w:hAnsi="Arial" w:cs="Arial"/>
                <w:color w:val="000000"/>
              </w:rPr>
            </w:pPr>
            <w:r>
              <w:rPr>
                <w:rFonts w:ascii="Arial" w:hAnsi="Arial" w:cs="Arial"/>
                <w:color w:val="000000"/>
              </w:rPr>
              <w:t>0</w:t>
            </w:r>
          </w:p>
        </w:tc>
        <w:tc>
          <w:tcPr>
            <w:tcW w:w="2189" w:type="dxa"/>
            <w:tcBorders>
              <w:top w:val="nil"/>
              <w:left w:val="nil"/>
              <w:bottom w:val="nil"/>
              <w:right w:val="nil"/>
            </w:tcBorders>
            <w:vAlign w:val="center"/>
            <w:hideMark/>
          </w:tcPr>
          <w:p w14:paraId="2ED9C01F" w14:textId="5762E004" w:rsidR="00977112" w:rsidRPr="00784E9A" w:rsidRDefault="00977112" w:rsidP="00977112">
            <w:pPr>
              <w:jc w:val="right"/>
              <w:rPr>
                <w:rFonts w:ascii="Arial" w:hAnsi="Arial" w:cs="Arial"/>
                <w:color w:val="000000"/>
              </w:rPr>
            </w:pPr>
            <w:r>
              <w:rPr>
                <w:rFonts w:ascii="Arial" w:hAnsi="Arial" w:cs="Arial"/>
                <w:color w:val="000000"/>
              </w:rPr>
              <w:t>72</w:t>
            </w:r>
          </w:p>
        </w:tc>
        <w:tc>
          <w:tcPr>
            <w:tcW w:w="1549" w:type="dxa"/>
            <w:tcBorders>
              <w:top w:val="nil"/>
              <w:left w:val="nil"/>
              <w:bottom w:val="nil"/>
              <w:right w:val="nil"/>
            </w:tcBorders>
            <w:vAlign w:val="center"/>
            <w:hideMark/>
          </w:tcPr>
          <w:p w14:paraId="72AC28EB" w14:textId="29B2BA0F" w:rsidR="00977112" w:rsidRPr="00784E9A" w:rsidRDefault="00977112" w:rsidP="00977112">
            <w:pPr>
              <w:jc w:val="right"/>
              <w:rPr>
                <w:rFonts w:ascii="Arial" w:hAnsi="Arial" w:cs="Arial"/>
                <w:color w:val="000000"/>
              </w:rPr>
            </w:pPr>
            <w:r>
              <w:rPr>
                <w:rFonts w:ascii="Arial" w:hAnsi="Arial" w:cs="Arial"/>
                <w:color w:val="000000"/>
              </w:rPr>
              <w:t>72</w:t>
            </w:r>
          </w:p>
        </w:tc>
        <w:tc>
          <w:tcPr>
            <w:tcW w:w="2472" w:type="dxa"/>
            <w:tcBorders>
              <w:top w:val="nil"/>
              <w:left w:val="single" w:sz="8" w:space="0" w:color="auto"/>
              <w:bottom w:val="nil"/>
              <w:right w:val="nil"/>
            </w:tcBorders>
            <w:shd w:val="clear" w:color="auto" w:fill="CCCCCC"/>
            <w:vAlign w:val="center"/>
            <w:hideMark/>
          </w:tcPr>
          <w:p w14:paraId="51AAC066" w14:textId="6C60A5F6" w:rsidR="00977112" w:rsidRPr="00784E9A" w:rsidRDefault="00977112" w:rsidP="00977112">
            <w:pPr>
              <w:rPr>
                <w:rFonts w:ascii="Arial" w:hAnsi="Arial" w:cs="Arial"/>
                <w:color w:val="000000"/>
              </w:rPr>
            </w:pPr>
            <w:r w:rsidRPr="00634844">
              <w:rPr>
                <w:rFonts w:ascii="Arial" w:hAnsi="Arial" w:cs="Arial"/>
                <w:color w:val="000000"/>
              </w:rPr>
              <w:t>ACC</w:t>
            </w:r>
            <w:r>
              <w:rPr>
                <w:rFonts w:ascii="Arial" w:hAnsi="Arial" w:cs="Arial"/>
                <w:color w:val="000000"/>
              </w:rPr>
              <w:t xml:space="preserve"> </w:t>
            </w:r>
            <w:r w:rsidRPr="00634844">
              <w:rPr>
                <w:rFonts w:ascii="Arial" w:hAnsi="Arial" w:cs="Arial"/>
                <w:color w:val="000000"/>
              </w:rPr>
              <w:t>Territorial Ops</w:t>
            </w:r>
          </w:p>
        </w:tc>
        <w:tc>
          <w:tcPr>
            <w:tcW w:w="2703" w:type="dxa"/>
            <w:tcBorders>
              <w:top w:val="nil"/>
              <w:left w:val="nil"/>
              <w:bottom w:val="nil"/>
              <w:right w:val="nil"/>
            </w:tcBorders>
            <w:shd w:val="clear" w:color="000000" w:fill="CCCCCC"/>
            <w:vAlign w:val="center"/>
            <w:hideMark/>
          </w:tcPr>
          <w:p w14:paraId="1EA3DACE" w14:textId="2B4BB822" w:rsidR="00977112" w:rsidRPr="00784E9A" w:rsidRDefault="00977112" w:rsidP="00977112">
            <w:pPr>
              <w:jc w:val="right"/>
              <w:rPr>
                <w:rFonts w:ascii="Arial" w:hAnsi="Arial" w:cs="Arial"/>
                <w:color w:val="000000"/>
              </w:rPr>
            </w:pPr>
            <w:r>
              <w:rPr>
                <w:rFonts w:ascii="Arial" w:hAnsi="Arial" w:cs="Arial"/>
                <w:color w:val="000000"/>
              </w:rPr>
              <w:t>0</w:t>
            </w:r>
          </w:p>
        </w:tc>
        <w:tc>
          <w:tcPr>
            <w:tcW w:w="2286" w:type="dxa"/>
            <w:tcBorders>
              <w:top w:val="nil"/>
              <w:left w:val="nil"/>
              <w:bottom w:val="nil"/>
              <w:right w:val="nil"/>
            </w:tcBorders>
            <w:shd w:val="clear" w:color="000000" w:fill="CCCCCC"/>
            <w:vAlign w:val="center"/>
            <w:hideMark/>
          </w:tcPr>
          <w:p w14:paraId="0F0DCAD5" w14:textId="44D9AD9D" w:rsidR="00977112" w:rsidRPr="00784E9A" w:rsidRDefault="00977112" w:rsidP="00977112">
            <w:pPr>
              <w:jc w:val="right"/>
              <w:rPr>
                <w:rFonts w:ascii="Arial" w:hAnsi="Arial" w:cs="Arial"/>
                <w:color w:val="000000"/>
              </w:rPr>
            </w:pPr>
            <w:r>
              <w:rPr>
                <w:rFonts w:ascii="Arial" w:hAnsi="Arial" w:cs="Arial"/>
                <w:color w:val="000000"/>
              </w:rPr>
              <w:t>24</w:t>
            </w:r>
          </w:p>
        </w:tc>
        <w:tc>
          <w:tcPr>
            <w:tcW w:w="1549" w:type="dxa"/>
            <w:tcBorders>
              <w:top w:val="nil"/>
              <w:left w:val="nil"/>
              <w:bottom w:val="nil"/>
              <w:right w:val="single" w:sz="8" w:space="0" w:color="auto"/>
            </w:tcBorders>
            <w:shd w:val="clear" w:color="000000" w:fill="CCCCCC"/>
            <w:vAlign w:val="center"/>
            <w:hideMark/>
          </w:tcPr>
          <w:p w14:paraId="1F2B177C" w14:textId="3646C107" w:rsidR="00977112" w:rsidRPr="00784E9A" w:rsidRDefault="00977112" w:rsidP="00977112">
            <w:pPr>
              <w:jc w:val="right"/>
              <w:rPr>
                <w:rFonts w:ascii="Arial" w:hAnsi="Arial" w:cs="Arial"/>
                <w:color w:val="000000"/>
              </w:rPr>
            </w:pPr>
            <w:r>
              <w:rPr>
                <w:rFonts w:ascii="Arial" w:hAnsi="Arial" w:cs="Arial"/>
                <w:color w:val="000000"/>
              </w:rPr>
              <w:t>24</w:t>
            </w:r>
          </w:p>
        </w:tc>
      </w:tr>
      <w:tr w:rsidR="00977112" w:rsidRPr="00784E9A" w14:paraId="2C93FF2F" w14:textId="77777777" w:rsidTr="00494EE0">
        <w:trPr>
          <w:trHeight w:val="256"/>
        </w:trPr>
        <w:tc>
          <w:tcPr>
            <w:tcW w:w="2711" w:type="dxa"/>
            <w:tcBorders>
              <w:top w:val="nil"/>
              <w:left w:val="single" w:sz="8" w:space="0" w:color="auto"/>
              <w:bottom w:val="nil"/>
              <w:right w:val="nil"/>
            </w:tcBorders>
            <w:vAlign w:val="center"/>
            <w:hideMark/>
          </w:tcPr>
          <w:p w14:paraId="0FAFD2CE" w14:textId="20A2ED94" w:rsidR="00977112" w:rsidRPr="00784E9A" w:rsidRDefault="00977112" w:rsidP="00977112">
            <w:pPr>
              <w:jc w:val="right"/>
              <w:rPr>
                <w:rFonts w:ascii="Arial" w:hAnsi="Arial" w:cs="Arial"/>
                <w:color w:val="000000"/>
              </w:rPr>
            </w:pPr>
            <w:r>
              <w:rPr>
                <w:rFonts w:ascii="Arial" w:hAnsi="Arial" w:cs="Arial"/>
                <w:color w:val="000000"/>
              </w:rPr>
              <w:t>0</w:t>
            </w:r>
          </w:p>
        </w:tc>
        <w:tc>
          <w:tcPr>
            <w:tcW w:w="2189" w:type="dxa"/>
            <w:tcBorders>
              <w:top w:val="nil"/>
              <w:left w:val="nil"/>
              <w:bottom w:val="nil"/>
              <w:right w:val="nil"/>
            </w:tcBorders>
            <w:vAlign w:val="center"/>
            <w:hideMark/>
          </w:tcPr>
          <w:p w14:paraId="6736F51C" w14:textId="6354486E" w:rsidR="00977112" w:rsidRPr="00784E9A" w:rsidRDefault="00977112" w:rsidP="00977112">
            <w:pPr>
              <w:jc w:val="right"/>
              <w:rPr>
                <w:rFonts w:ascii="Arial" w:hAnsi="Arial" w:cs="Arial"/>
                <w:color w:val="000000"/>
              </w:rPr>
            </w:pPr>
            <w:r>
              <w:rPr>
                <w:rFonts w:ascii="Arial" w:hAnsi="Arial" w:cs="Arial"/>
                <w:color w:val="000000"/>
              </w:rPr>
              <w:t>12</w:t>
            </w:r>
          </w:p>
        </w:tc>
        <w:tc>
          <w:tcPr>
            <w:tcW w:w="1549" w:type="dxa"/>
            <w:tcBorders>
              <w:top w:val="nil"/>
              <w:left w:val="nil"/>
              <w:bottom w:val="nil"/>
              <w:right w:val="nil"/>
            </w:tcBorders>
            <w:vAlign w:val="center"/>
            <w:hideMark/>
          </w:tcPr>
          <w:p w14:paraId="42662FED" w14:textId="41580A05" w:rsidR="00977112" w:rsidRPr="00784E9A" w:rsidRDefault="00977112" w:rsidP="00977112">
            <w:pPr>
              <w:jc w:val="right"/>
              <w:rPr>
                <w:rFonts w:ascii="Arial" w:hAnsi="Arial" w:cs="Arial"/>
                <w:color w:val="000000"/>
              </w:rPr>
            </w:pPr>
            <w:r>
              <w:rPr>
                <w:rFonts w:ascii="Arial" w:hAnsi="Arial" w:cs="Arial"/>
                <w:color w:val="000000"/>
              </w:rPr>
              <w:t>12</w:t>
            </w:r>
          </w:p>
        </w:tc>
        <w:tc>
          <w:tcPr>
            <w:tcW w:w="2472" w:type="dxa"/>
            <w:tcBorders>
              <w:top w:val="nil"/>
              <w:left w:val="single" w:sz="8" w:space="0" w:color="auto"/>
              <w:bottom w:val="nil"/>
              <w:right w:val="nil"/>
            </w:tcBorders>
            <w:shd w:val="clear" w:color="auto" w:fill="CCCCCC"/>
            <w:vAlign w:val="center"/>
            <w:hideMark/>
          </w:tcPr>
          <w:p w14:paraId="6549817E" w14:textId="47D86D1F" w:rsidR="00977112" w:rsidRPr="00784E9A" w:rsidRDefault="00977112" w:rsidP="00977112">
            <w:pPr>
              <w:rPr>
                <w:rFonts w:ascii="Arial" w:hAnsi="Arial" w:cs="Arial"/>
                <w:color w:val="000000"/>
              </w:rPr>
            </w:pPr>
            <w:r w:rsidRPr="00634844">
              <w:rPr>
                <w:rFonts w:ascii="Arial" w:hAnsi="Arial" w:cs="Arial"/>
                <w:color w:val="000000"/>
              </w:rPr>
              <w:t xml:space="preserve">ACC </w:t>
            </w:r>
            <w:r>
              <w:rPr>
                <w:rFonts w:ascii="Arial" w:hAnsi="Arial" w:cs="Arial"/>
                <w:color w:val="000000"/>
              </w:rPr>
              <w:t>Crime</w:t>
            </w:r>
          </w:p>
        </w:tc>
        <w:tc>
          <w:tcPr>
            <w:tcW w:w="2703" w:type="dxa"/>
            <w:tcBorders>
              <w:top w:val="nil"/>
              <w:left w:val="nil"/>
              <w:bottom w:val="nil"/>
              <w:right w:val="nil"/>
            </w:tcBorders>
            <w:shd w:val="clear" w:color="000000" w:fill="CCCCCC"/>
            <w:vAlign w:val="center"/>
            <w:hideMark/>
          </w:tcPr>
          <w:p w14:paraId="4FF9BC47" w14:textId="57932111" w:rsidR="00977112" w:rsidRPr="00784E9A" w:rsidRDefault="00977112" w:rsidP="00977112">
            <w:pPr>
              <w:jc w:val="right"/>
              <w:rPr>
                <w:rFonts w:ascii="Arial" w:hAnsi="Arial" w:cs="Arial"/>
                <w:color w:val="000000"/>
              </w:rPr>
            </w:pPr>
            <w:r>
              <w:rPr>
                <w:rFonts w:ascii="Arial" w:hAnsi="Arial" w:cs="Arial"/>
                <w:color w:val="000000"/>
              </w:rPr>
              <w:t>0</w:t>
            </w:r>
          </w:p>
        </w:tc>
        <w:tc>
          <w:tcPr>
            <w:tcW w:w="2286" w:type="dxa"/>
            <w:tcBorders>
              <w:top w:val="nil"/>
              <w:left w:val="nil"/>
              <w:bottom w:val="nil"/>
              <w:right w:val="nil"/>
            </w:tcBorders>
            <w:shd w:val="clear" w:color="000000" w:fill="CCCCCC"/>
            <w:vAlign w:val="center"/>
            <w:hideMark/>
          </w:tcPr>
          <w:p w14:paraId="3AB8D326" w14:textId="3B5A8EBA" w:rsidR="00977112" w:rsidRPr="00784E9A" w:rsidRDefault="00977112" w:rsidP="00977112">
            <w:pPr>
              <w:jc w:val="right"/>
              <w:rPr>
                <w:rFonts w:ascii="Arial" w:hAnsi="Arial" w:cs="Arial"/>
                <w:color w:val="000000"/>
              </w:rPr>
            </w:pPr>
            <w:r>
              <w:rPr>
                <w:rFonts w:ascii="Arial" w:hAnsi="Arial" w:cs="Arial"/>
                <w:color w:val="000000"/>
              </w:rPr>
              <w:t>(94)</w:t>
            </w:r>
          </w:p>
        </w:tc>
        <w:tc>
          <w:tcPr>
            <w:tcW w:w="1549" w:type="dxa"/>
            <w:tcBorders>
              <w:top w:val="nil"/>
              <w:left w:val="nil"/>
              <w:bottom w:val="nil"/>
              <w:right w:val="single" w:sz="8" w:space="0" w:color="auto"/>
            </w:tcBorders>
            <w:shd w:val="clear" w:color="000000" w:fill="CCCCCC"/>
            <w:vAlign w:val="center"/>
            <w:hideMark/>
          </w:tcPr>
          <w:p w14:paraId="5F892D19" w14:textId="6A954917" w:rsidR="00977112" w:rsidRPr="00784E9A" w:rsidRDefault="00977112" w:rsidP="00977112">
            <w:pPr>
              <w:jc w:val="right"/>
              <w:rPr>
                <w:rFonts w:ascii="Arial" w:hAnsi="Arial" w:cs="Arial"/>
                <w:color w:val="000000"/>
              </w:rPr>
            </w:pPr>
            <w:r>
              <w:rPr>
                <w:rFonts w:ascii="Arial" w:hAnsi="Arial" w:cs="Arial"/>
                <w:color w:val="000000"/>
              </w:rPr>
              <w:t>(94)</w:t>
            </w:r>
          </w:p>
        </w:tc>
      </w:tr>
      <w:tr w:rsidR="00977112" w:rsidRPr="00784E9A" w14:paraId="40C255F4" w14:textId="77777777" w:rsidTr="00494EE0">
        <w:trPr>
          <w:trHeight w:val="256"/>
        </w:trPr>
        <w:tc>
          <w:tcPr>
            <w:tcW w:w="2711" w:type="dxa"/>
            <w:tcBorders>
              <w:top w:val="nil"/>
              <w:left w:val="single" w:sz="8" w:space="0" w:color="auto"/>
              <w:bottom w:val="nil"/>
              <w:right w:val="nil"/>
            </w:tcBorders>
            <w:vAlign w:val="center"/>
            <w:hideMark/>
          </w:tcPr>
          <w:p w14:paraId="44B18584" w14:textId="36517916" w:rsidR="00977112" w:rsidRPr="00784E9A" w:rsidRDefault="00977112" w:rsidP="00977112">
            <w:pPr>
              <w:jc w:val="right"/>
              <w:rPr>
                <w:rFonts w:ascii="Arial" w:hAnsi="Arial" w:cs="Arial"/>
                <w:color w:val="000000"/>
              </w:rPr>
            </w:pPr>
            <w:r>
              <w:rPr>
                <w:rFonts w:ascii="Arial" w:hAnsi="Arial" w:cs="Arial"/>
                <w:color w:val="000000"/>
              </w:rPr>
              <w:t>0</w:t>
            </w:r>
          </w:p>
        </w:tc>
        <w:tc>
          <w:tcPr>
            <w:tcW w:w="2189" w:type="dxa"/>
            <w:tcBorders>
              <w:top w:val="nil"/>
              <w:left w:val="nil"/>
              <w:bottom w:val="nil"/>
              <w:right w:val="nil"/>
            </w:tcBorders>
            <w:vAlign w:val="center"/>
            <w:hideMark/>
          </w:tcPr>
          <w:p w14:paraId="695BF1D1" w14:textId="659F1409" w:rsidR="00977112" w:rsidRPr="00784E9A" w:rsidRDefault="00977112" w:rsidP="00977112">
            <w:pPr>
              <w:jc w:val="right"/>
              <w:rPr>
                <w:rFonts w:ascii="Arial" w:hAnsi="Arial" w:cs="Arial"/>
                <w:color w:val="000000"/>
              </w:rPr>
            </w:pPr>
            <w:r>
              <w:rPr>
                <w:rFonts w:ascii="Arial" w:hAnsi="Arial" w:cs="Arial"/>
                <w:color w:val="000000"/>
              </w:rPr>
              <w:t>(1,194)</w:t>
            </w:r>
          </w:p>
        </w:tc>
        <w:tc>
          <w:tcPr>
            <w:tcW w:w="1549" w:type="dxa"/>
            <w:tcBorders>
              <w:top w:val="nil"/>
              <w:left w:val="nil"/>
              <w:bottom w:val="nil"/>
              <w:right w:val="nil"/>
            </w:tcBorders>
            <w:vAlign w:val="center"/>
            <w:hideMark/>
          </w:tcPr>
          <w:p w14:paraId="0758C91A" w14:textId="368C8FC5" w:rsidR="00977112" w:rsidRPr="00784E9A" w:rsidRDefault="00977112" w:rsidP="00977112">
            <w:pPr>
              <w:jc w:val="right"/>
              <w:rPr>
                <w:rFonts w:ascii="Arial" w:hAnsi="Arial" w:cs="Arial"/>
                <w:color w:val="000000"/>
              </w:rPr>
            </w:pPr>
            <w:r>
              <w:rPr>
                <w:rFonts w:ascii="Arial" w:hAnsi="Arial" w:cs="Arial"/>
                <w:color w:val="000000"/>
              </w:rPr>
              <w:t>(1,194)</w:t>
            </w:r>
          </w:p>
        </w:tc>
        <w:tc>
          <w:tcPr>
            <w:tcW w:w="2472" w:type="dxa"/>
            <w:tcBorders>
              <w:top w:val="nil"/>
              <w:left w:val="single" w:sz="8" w:space="0" w:color="auto"/>
              <w:bottom w:val="nil"/>
              <w:right w:val="nil"/>
            </w:tcBorders>
            <w:shd w:val="clear" w:color="auto" w:fill="CCCCCC"/>
            <w:vAlign w:val="center"/>
            <w:hideMark/>
          </w:tcPr>
          <w:p w14:paraId="7427ACAE" w14:textId="0B67C93F" w:rsidR="00977112" w:rsidRPr="00784E9A" w:rsidRDefault="00977112" w:rsidP="00977112">
            <w:pPr>
              <w:rPr>
                <w:rFonts w:ascii="Arial" w:hAnsi="Arial" w:cs="Arial"/>
                <w:color w:val="000000"/>
              </w:rPr>
            </w:pPr>
            <w:r w:rsidRPr="00634844">
              <w:rPr>
                <w:rFonts w:ascii="Arial" w:hAnsi="Arial" w:cs="Arial"/>
                <w:color w:val="000000"/>
              </w:rPr>
              <w:t xml:space="preserve">ACC </w:t>
            </w:r>
            <w:r>
              <w:rPr>
                <w:rFonts w:ascii="Arial" w:hAnsi="Arial" w:cs="Arial"/>
                <w:color w:val="000000"/>
              </w:rPr>
              <w:t>Spec Uniform Ops</w:t>
            </w:r>
          </w:p>
        </w:tc>
        <w:tc>
          <w:tcPr>
            <w:tcW w:w="2703" w:type="dxa"/>
            <w:tcBorders>
              <w:top w:val="nil"/>
              <w:left w:val="nil"/>
              <w:bottom w:val="nil"/>
              <w:right w:val="nil"/>
            </w:tcBorders>
            <w:shd w:val="clear" w:color="000000" w:fill="CCCCCC"/>
            <w:vAlign w:val="center"/>
            <w:hideMark/>
          </w:tcPr>
          <w:p w14:paraId="31187EEE" w14:textId="3D59C3AD" w:rsidR="00977112" w:rsidRPr="00784E9A" w:rsidRDefault="00977112" w:rsidP="00977112">
            <w:pPr>
              <w:jc w:val="right"/>
              <w:rPr>
                <w:rFonts w:ascii="Arial" w:hAnsi="Arial" w:cs="Arial"/>
                <w:color w:val="000000"/>
              </w:rPr>
            </w:pPr>
            <w:r>
              <w:rPr>
                <w:rFonts w:ascii="Arial" w:hAnsi="Arial" w:cs="Arial"/>
                <w:color w:val="000000"/>
              </w:rPr>
              <w:t>0</w:t>
            </w:r>
          </w:p>
        </w:tc>
        <w:tc>
          <w:tcPr>
            <w:tcW w:w="2286" w:type="dxa"/>
            <w:tcBorders>
              <w:top w:val="nil"/>
              <w:left w:val="nil"/>
              <w:bottom w:val="nil"/>
              <w:right w:val="nil"/>
            </w:tcBorders>
            <w:shd w:val="clear" w:color="000000" w:fill="CCCCCC"/>
            <w:vAlign w:val="center"/>
            <w:hideMark/>
          </w:tcPr>
          <w:p w14:paraId="13CA43B6" w14:textId="243DDB34" w:rsidR="00977112" w:rsidRPr="00784E9A" w:rsidRDefault="00977112" w:rsidP="00977112">
            <w:pPr>
              <w:jc w:val="right"/>
              <w:rPr>
                <w:rFonts w:ascii="Arial" w:hAnsi="Arial" w:cs="Arial"/>
                <w:color w:val="000000"/>
              </w:rPr>
            </w:pPr>
            <w:r>
              <w:rPr>
                <w:rFonts w:ascii="Arial" w:hAnsi="Arial" w:cs="Arial"/>
                <w:color w:val="000000"/>
              </w:rPr>
              <w:t>(389)</w:t>
            </w:r>
          </w:p>
        </w:tc>
        <w:tc>
          <w:tcPr>
            <w:tcW w:w="1549" w:type="dxa"/>
            <w:tcBorders>
              <w:top w:val="nil"/>
              <w:left w:val="nil"/>
              <w:bottom w:val="nil"/>
              <w:right w:val="single" w:sz="8" w:space="0" w:color="auto"/>
            </w:tcBorders>
            <w:shd w:val="clear" w:color="000000" w:fill="CCCCCC"/>
            <w:vAlign w:val="center"/>
            <w:hideMark/>
          </w:tcPr>
          <w:p w14:paraId="51944906" w14:textId="00D6DCF2" w:rsidR="00977112" w:rsidRPr="00784E9A" w:rsidRDefault="00977112" w:rsidP="00977112">
            <w:pPr>
              <w:jc w:val="right"/>
              <w:rPr>
                <w:rFonts w:ascii="Arial" w:hAnsi="Arial" w:cs="Arial"/>
                <w:color w:val="000000"/>
              </w:rPr>
            </w:pPr>
            <w:r>
              <w:rPr>
                <w:rFonts w:ascii="Arial" w:hAnsi="Arial" w:cs="Arial"/>
                <w:color w:val="000000"/>
              </w:rPr>
              <w:t>(389)</w:t>
            </w:r>
          </w:p>
        </w:tc>
      </w:tr>
      <w:tr w:rsidR="00977112" w:rsidRPr="00784E9A" w14:paraId="769A9CC9" w14:textId="77777777" w:rsidTr="00494EE0">
        <w:trPr>
          <w:trHeight w:val="243"/>
        </w:trPr>
        <w:tc>
          <w:tcPr>
            <w:tcW w:w="2711" w:type="dxa"/>
            <w:tcBorders>
              <w:top w:val="nil"/>
              <w:left w:val="single" w:sz="8" w:space="0" w:color="auto"/>
              <w:bottom w:val="nil"/>
              <w:right w:val="nil"/>
            </w:tcBorders>
            <w:vAlign w:val="center"/>
            <w:hideMark/>
          </w:tcPr>
          <w:p w14:paraId="7A684542" w14:textId="0DE378F5" w:rsidR="00977112" w:rsidRPr="00784E9A" w:rsidRDefault="00977112" w:rsidP="00977112">
            <w:pPr>
              <w:jc w:val="right"/>
              <w:rPr>
                <w:rFonts w:ascii="Arial" w:hAnsi="Arial" w:cs="Arial"/>
                <w:color w:val="000000"/>
              </w:rPr>
            </w:pPr>
            <w:r>
              <w:rPr>
                <w:rFonts w:ascii="Arial" w:hAnsi="Arial" w:cs="Arial"/>
                <w:color w:val="000000"/>
              </w:rPr>
              <w:t>0</w:t>
            </w:r>
          </w:p>
        </w:tc>
        <w:tc>
          <w:tcPr>
            <w:tcW w:w="2189" w:type="dxa"/>
            <w:tcBorders>
              <w:top w:val="nil"/>
              <w:left w:val="nil"/>
              <w:bottom w:val="nil"/>
              <w:right w:val="nil"/>
            </w:tcBorders>
            <w:vAlign w:val="center"/>
            <w:hideMark/>
          </w:tcPr>
          <w:p w14:paraId="0D35EA18" w14:textId="3241EBDF" w:rsidR="00977112" w:rsidRPr="00784E9A" w:rsidRDefault="00977112" w:rsidP="00977112">
            <w:pPr>
              <w:jc w:val="right"/>
              <w:rPr>
                <w:rFonts w:ascii="Arial" w:hAnsi="Arial" w:cs="Arial"/>
                <w:color w:val="000000"/>
              </w:rPr>
            </w:pPr>
            <w:r>
              <w:rPr>
                <w:rFonts w:ascii="Arial" w:hAnsi="Arial" w:cs="Arial"/>
                <w:color w:val="000000"/>
              </w:rPr>
              <w:t>(23)</w:t>
            </w:r>
          </w:p>
        </w:tc>
        <w:tc>
          <w:tcPr>
            <w:tcW w:w="1549" w:type="dxa"/>
            <w:tcBorders>
              <w:top w:val="nil"/>
              <w:left w:val="nil"/>
              <w:bottom w:val="nil"/>
              <w:right w:val="nil"/>
            </w:tcBorders>
            <w:vAlign w:val="center"/>
            <w:hideMark/>
          </w:tcPr>
          <w:p w14:paraId="68624A99" w14:textId="4E1576B6" w:rsidR="00977112" w:rsidRPr="00784E9A" w:rsidRDefault="00977112" w:rsidP="00977112">
            <w:pPr>
              <w:jc w:val="right"/>
              <w:rPr>
                <w:rFonts w:ascii="Arial" w:hAnsi="Arial" w:cs="Arial"/>
                <w:color w:val="000000"/>
              </w:rPr>
            </w:pPr>
            <w:r>
              <w:rPr>
                <w:rFonts w:ascii="Arial" w:hAnsi="Arial" w:cs="Arial"/>
                <w:color w:val="000000"/>
              </w:rPr>
              <w:t>(23)</w:t>
            </w:r>
          </w:p>
        </w:tc>
        <w:tc>
          <w:tcPr>
            <w:tcW w:w="2472" w:type="dxa"/>
            <w:tcBorders>
              <w:top w:val="nil"/>
              <w:left w:val="nil"/>
              <w:bottom w:val="nil"/>
              <w:right w:val="nil"/>
            </w:tcBorders>
            <w:shd w:val="clear" w:color="000000" w:fill="CCCCCC"/>
            <w:vAlign w:val="center"/>
            <w:hideMark/>
          </w:tcPr>
          <w:p w14:paraId="1DD4AC0C" w14:textId="77777777" w:rsidR="00977112" w:rsidRPr="00784E9A" w:rsidRDefault="00977112" w:rsidP="00977112">
            <w:pPr>
              <w:rPr>
                <w:rFonts w:ascii="Arial" w:hAnsi="Arial" w:cs="Arial"/>
                <w:color w:val="000000"/>
              </w:rPr>
            </w:pPr>
            <w:r w:rsidRPr="00784E9A">
              <w:rPr>
                <w:rFonts w:ascii="Arial" w:hAnsi="Arial" w:cs="Arial"/>
                <w:color w:val="000000"/>
              </w:rPr>
              <w:t>Deputy Chief Constable</w:t>
            </w:r>
          </w:p>
        </w:tc>
        <w:tc>
          <w:tcPr>
            <w:tcW w:w="2703" w:type="dxa"/>
            <w:tcBorders>
              <w:top w:val="nil"/>
              <w:left w:val="nil"/>
              <w:bottom w:val="nil"/>
              <w:right w:val="nil"/>
            </w:tcBorders>
            <w:shd w:val="clear" w:color="000000" w:fill="CCCCCC"/>
            <w:vAlign w:val="center"/>
            <w:hideMark/>
          </w:tcPr>
          <w:p w14:paraId="02D90162" w14:textId="2C555486" w:rsidR="00977112" w:rsidRPr="00784E9A" w:rsidRDefault="00977112" w:rsidP="00977112">
            <w:pPr>
              <w:jc w:val="right"/>
              <w:rPr>
                <w:rFonts w:ascii="Arial" w:hAnsi="Arial" w:cs="Arial"/>
                <w:color w:val="000000"/>
              </w:rPr>
            </w:pPr>
            <w:r>
              <w:rPr>
                <w:rFonts w:ascii="Arial" w:hAnsi="Arial" w:cs="Arial"/>
                <w:color w:val="000000"/>
              </w:rPr>
              <w:t>0</w:t>
            </w:r>
          </w:p>
        </w:tc>
        <w:tc>
          <w:tcPr>
            <w:tcW w:w="2286" w:type="dxa"/>
            <w:tcBorders>
              <w:top w:val="nil"/>
              <w:left w:val="nil"/>
              <w:bottom w:val="nil"/>
              <w:right w:val="nil"/>
            </w:tcBorders>
            <w:shd w:val="clear" w:color="000000" w:fill="CCCCCC"/>
            <w:vAlign w:val="center"/>
            <w:hideMark/>
          </w:tcPr>
          <w:p w14:paraId="5A16C8D8" w14:textId="4EB4006F" w:rsidR="00977112" w:rsidRPr="00784E9A" w:rsidRDefault="00977112" w:rsidP="00977112">
            <w:pPr>
              <w:jc w:val="right"/>
              <w:rPr>
                <w:rFonts w:ascii="Arial" w:hAnsi="Arial" w:cs="Arial"/>
                <w:color w:val="000000"/>
              </w:rPr>
            </w:pPr>
            <w:r>
              <w:rPr>
                <w:rFonts w:ascii="Arial" w:hAnsi="Arial" w:cs="Arial"/>
                <w:color w:val="000000"/>
              </w:rPr>
              <w:t>685</w:t>
            </w:r>
          </w:p>
        </w:tc>
        <w:tc>
          <w:tcPr>
            <w:tcW w:w="1549" w:type="dxa"/>
            <w:tcBorders>
              <w:top w:val="nil"/>
              <w:left w:val="nil"/>
              <w:bottom w:val="nil"/>
              <w:right w:val="single" w:sz="8" w:space="0" w:color="auto"/>
            </w:tcBorders>
            <w:shd w:val="clear" w:color="000000" w:fill="CCCCCC"/>
            <w:vAlign w:val="center"/>
            <w:hideMark/>
          </w:tcPr>
          <w:p w14:paraId="3723E1CF" w14:textId="05BE7AD6" w:rsidR="00977112" w:rsidRPr="00784E9A" w:rsidRDefault="00977112" w:rsidP="00977112">
            <w:pPr>
              <w:jc w:val="right"/>
              <w:rPr>
                <w:rFonts w:ascii="Arial" w:hAnsi="Arial" w:cs="Arial"/>
                <w:color w:val="000000"/>
              </w:rPr>
            </w:pPr>
            <w:r>
              <w:rPr>
                <w:rFonts w:ascii="Arial" w:hAnsi="Arial" w:cs="Arial"/>
                <w:color w:val="000000"/>
              </w:rPr>
              <w:t>685</w:t>
            </w:r>
          </w:p>
        </w:tc>
      </w:tr>
      <w:tr w:rsidR="00977112" w:rsidRPr="00784E9A" w14:paraId="620A50B1" w14:textId="77777777" w:rsidTr="00494EE0">
        <w:trPr>
          <w:trHeight w:val="513"/>
        </w:trPr>
        <w:tc>
          <w:tcPr>
            <w:tcW w:w="2711" w:type="dxa"/>
            <w:tcBorders>
              <w:top w:val="nil"/>
              <w:left w:val="single" w:sz="8" w:space="0" w:color="auto"/>
              <w:bottom w:val="nil"/>
              <w:right w:val="nil"/>
            </w:tcBorders>
            <w:vAlign w:val="center"/>
            <w:hideMark/>
          </w:tcPr>
          <w:p w14:paraId="247DBC03" w14:textId="205BDA66" w:rsidR="00977112" w:rsidRPr="00784E9A" w:rsidRDefault="00977112" w:rsidP="00977112">
            <w:pPr>
              <w:jc w:val="right"/>
              <w:rPr>
                <w:rFonts w:ascii="Arial" w:hAnsi="Arial" w:cs="Arial"/>
                <w:color w:val="000000"/>
              </w:rPr>
            </w:pPr>
            <w:r>
              <w:rPr>
                <w:rFonts w:ascii="Arial" w:hAnsi="Arial" w:cs="Arial"/>
                <w:color w:val="000000"/>
              </w:rPr>
              <w:t>56,000</w:t>
            </w:r>
          </w:p>
        </w:tc>
        <w:tc>
          <w:tcPr>
            <w:tcW w:w="2189" w:type="dxa"/>
            <w:tcBorders>
              <w:top w:val="nil"/>
              <w:left w:val="nil"/>
              <w:bottom w:val="nil"/>
              <w:right w:val="nil"/>
            </w:tcBorders>
            <w:vAlign w:val="center"/>
            <w:hideMark/>
          </w:tcPr>
          <w:p w14:paraId="06A295A3" w14:textId="7D83FDE1" w:rsidR="00977112" w:rsidRPr="00784E9A" w:rsidRDefault="00977112" w:rsidP="00977112">
            <w:pPr>
              <w:jc w:val="right"/>
              <w:rPr>
                <w:rFonts w:ascii="Arial" w:hAnsi="Arial" w:cs="Arial"/>
                <w:color w:val="000000"/>
              </w:rPr>
            </w:pPr>
            <w:r>
              <w:rPr>
                <w:rFonts w:ascii="Arial" w:hAnsi="Arial" w:cs="Arial"/>
                <w:color w:val="000000"/>
              </w:rPr>
              <w:t>(1,308)</w:t>
            </w:r>
          </w:p>
        </w:tc>
        <w:tc>
          <w:tcPr>
            <w:tcW w:w="1549" w:type="dxa"/>
            <w:tcBorders>
              <w:top w:val="nil"/>
              <w:left w:val="nil"/>
              <w:bottom w:val="nil"/>
              <w:right w:val="nil"/>
            </w:tcBorders>
            <w:vAlign w:val="center"/>
            <w:hideMark/>
          </w:tcPr>
          <w:p w14:paraId="265339D3" w14:textId="2C5F080F" w:rsidR="00977112" w:rsidRPr="00784E9A" w:rsidRDefault="00977112" w:rsidP="00977112">
            <w:pPr>
              <w:jc w:val="right"/>
              <w:rPr>
                <w:rFonts w:ascii="Arial" w:hAnsi="Arial" w:cs="Arial"/>
                <w:color w:val="000000"/>
              </w:rPr>
            </w:pPr>
            <w:r>
              <w:rPr>
                <w:rFonts w:ascii="Arial" w:hAnsi="Arial" w:cs="Arial"/>
                <w:color w:val="000000"/>
              </w:rPr>
              <w:t>54,692</w:t>
            </w:r>
          </w:p>
        </w:tc>
        <w:tc>
          <w:tcPr>
            <w:tcW w:w="2472" w:type="dxa"/>
            <w:tcBorders>
              <w:top w:val="nil"/>
              <w:left w:val="nil"/>
              <w:bottom w:val="nil"/>
              <w:right w:val="nil"/>
            </w:tcBorders>
            <w:shd w:val="clear" w:color="000000" w:fill="CCCCCC"/>
            <w:vAlign w:val="center"/>
            <w:hideMark/>
          </w:tcPr>
          <w:p w14:paraId="61DE228D" w14:textId="77777777" w:rsidR="00977112" w:rsidRPr="00784E9A" w:rsidRDefault="00977112" w:rsidP="00977112">
            <w:pPr>
              <w:rPr>
                <w:rFonts w:ascii="Arial" w:hAnsi="Arial" w:cs="Arial"/>
                <w:color w:val="000000"/>
              </w:rPr>
            </w:pPr>
            <w:r w:rsidRPr="00784E9A">
              <w:rPr>
                <w:rFonts w:ascii="Arial" w:hAnsi="Arial" w:cs="Arial"/>
                <w:color w:val="000000"/>
              </w:rPr>
              <w:t>Constabulary Non-Devolved Budgets</w:t>
            </w:r>
          </w:p>
        </w:tc>
        <w:tc>
          <w:tcPr>
            <w:tcW w:w="2703" w:type="dxa"/>
            <w:tcBorders>
              <w:top w:val="nil"/>
              <w:left w:val="nil"/>
              <w:bottom w:val="nil"/>
              <w:right w:val="nil"/>
            </w:tcBorders>
            <w:shd w:val="clear" w:color="000000" w:fill="CCCCCC"/>
            <w:vAlign w:val="center"/>
            <w:hideMark/>
          </w:tcPr>
          <w:p w14:paraId="21E05F54" w14:textId="49D19E86" w:rsidR="00977112" w:rsidRPr="00784E9A" w:rsidRDefault="00977112" w:rsidP="00977112">
            <w:pPr>
              <w:jc w:val="right"/>
              <w:rPr>
                <w:rFonts w:ascii="Arial" w:hAnsi="Arial" w:cs="Arial"/>
                <w:color w:val="000000"/>
              </w:rPr>
            </w:pPr>
            <w:r>
              <w:rPr>
                <w:rFonts w:ascii="Arial" w:hAnsi="Arial" w:cs="Arial"/>
                <w:color w:val="000000"/>
              </w:rPr>
              <w:t>54,785</w:t>
            </w:r>
          </w:p>
        </w:tc>
        <w:tc>
          <w:tcPr>
            <w:tcW w:w="2286" w:type="dxa"/>
            <w:tcBorders>
              <w:top w:val="nil"/>
              <w:left w:val="nil"/>
              <w:bottom w:val="nil"/>
              <w:right w:val="nil"/>
            </w:tcBorders>
            <w:shd w:val="clear" w:color="000000" w:fill="CCCCCC"/>
            <w:vAlign w:val="center"/>
            <w:hideMark/>
          </w:tcPr>
          <w:p w14:paraId="37B5E6C4" w14:textId="70841C8F" w:rsidR="00977112" w:rsidRPr="00784E9A" w:rsidRDefault="00977112" w:rsidP="00977112">
            <w:pPr>
              <w:jc w:val="right"/>
              <w:rPr>
                <w:rFonts w:ascii="Arial" w:hAnsi="Arial" w:cs="Arial"/>
                <w:color w:val="000000"/>
              </w:rPr>
            </w:pPr>
            <w:r>
              <w:rPr>
                <w:rFonts w:ascii="Arial" w:hAnsi="Arial" w:cs="Arial"/>
                <w:color w:val="000000"/>
              </w:rPr>
              <w:t>(1,923)</w:t>
            </w:r>
          </w:p>
        </w:tc>
        <w:tc>
          <w:tcPr>
            <w:tcW w:w="1549" w:type="dxa"/>
            <w:tcBorders>
              <w:top w:val="nil"/>
              <w:left w:val="nil"/>
              <w:bottom w:val="nil"/>
              <w:right w:val="single" w:sz="8" w:space="0" w:color="auto"/>
            </w:tcBorders>
            <w:shd w:val="clear" w:color="000000" w:fill="CCCCCC"/>
            <w:vAlign w:val="center"/>
            <w:hideMark/>
          </w:tcPr>
          <w:p w14:paraId="5862D175" w14:textId="53D943BF" w:rsidR="00977112" w:rsidRPr="00784E9A" w:rsidRDefault="00977112" w:rsidP="00977112">
            <w:pPr>
              <w:jc w:val="right"/>
              <w:rPr>
                <w:rFonts w:ascii="Arial" w:hAnsi="Arial" w:cs="Arial"/>
                <w:color w:val="000000"/>
              </w:rPr>
            </w:pPr>
            <w:r>
              <w:rPr>
                <w:rFonts w:ascii="Arial" w:hAnsi="Arial" w:cs="Arial"/>
                <w:color w:val="000000"/>
              </w:rPr>
              <w:t>52,862</w:t>
            </w:r>
          </w:p>
        </w:tc>
      </w:tr>
      <w:tr w:rsidR="00977112" w:rsidRPr="00784E9A" w14:paraId="3D991321" w14:textId="77777777" w:rsidTr="00494EE0">
        <w:trPr>
          <w:trHeight w:val="256"/>
        </w:trPr>
        <w:tc>
          <w:tcPr>
            <w:tcW w:w="2711" w:type="dxa"/>
            <w:tcBorders>
              <w:top w:val="nil"/>
              <w:left w:val="single" w:sz="8" w:space="0" w:color="auto"/>
              <w:bottom w:val="nil"/>
              <w:right w:val="nil"/>
            </w:tcBorders>
            <w:vAlign w:val="center"/>
            <w:hideMark/>
          </w:tcPr>
          <w:p w14:paraId="40C67250" w14:textId="1FF29D8E" w:rsidR="00977112" w:rsidRPr="00784E9A" w:rsidRDefault="00977112" w:rsidP="00977112">
            <w:pPr>
              <w:jc w:val="right"/>
              <w:rPr>
                <w:rFonts w:ascii="Arial" w:hAnsi="Arial" w:cs="Arial"/>
                <w:color w:val="000000"/>
              </w:rPr>
            </w:pPr>
            <w:r>
              <w:rPr>
                <w:rFonts w:ascii="Arial" w:hAnsi="Arial" w:cs="Arial"/>
                <w:color w:val="000000"/>
              </w:rPr>
              <w:t> </w:t>
            </w:r>
          </w:p>
        </w:tc>
        <w:tc>
          <w:tcPr>
            <w:tcW w:w="2189" w:type="dxa"/>
            <w:tcBorders>
              <w:top w:val="nil"/>
              <w:left w:val="nil"/>
              <w:bottom w:val="nil"/>
              <w:right w:val="nil"/>
            </w:tcBorders>
            <w:vAlign w:val="center"/>
            <w:hideMark/>
          </w:tcPr>
          <w:p w14:paraId="181C4301" w14:textId="77777777" w:rsidR="00977112" w:rsidRPr="00784E9A" w:rsidRDefault="00977112" w:rsidP="00977112">
            <w:pPr>
              <w:jc w:val="right"/>
              <w:rPr>
                <w:rFonts w:ascii="Arial" w:hAnsi="Arial" w:cs="Arial"/>
                <w:color w:val="000000"/>
              </w:rPr>
            </w:pPr>
          </w:p>
        </w:tc>
        <w:tc>
          <w:tcPr>
            <w:tcW w:w="1549" w:type="dxa"/>
            <w:tcBorders>
              <w:top w:val="nil"/>
              <w:left w:val="nil"/>
              <w:bottom w:val="nil"/>
              <w:right w:val="nil"/>
            </w:tcBorders>
            <w:vAlign w:val="center"/>
            <w:hideMark/>
          </w:tcPr>
          <w:p w14:paraId="0F432BF9" w14:textId="77777777" w:rsidR="00977112" w:rsidRPr="00784E9A" w:rsidRDefault="00977112" w:rsidP="00977112">
            <w:pPr>
              <w:jc w:val="right"/>
            </w:pPr>
          </w:p>
        </w:tc>
        <w:tc>
          <w:tcPr>
            <w:tcW w:w="2472" w:type="dxa"/>
            <w:tcBorders>
              <w:top w:val="nil"/>
              <w:left w:val="nil"/>
              <w:bottom w:val="nil"/>
              <w:right w:val="nil"/>
            </w:tcBorders>
            <w:shd w:val="clear" w:color="000000" w:fill="CCCCCC"/>
            <w:vAlign w:val="center"/>
            <w:hideMark/>
          </w:tcPr>
          <w:p w14:paraId="1EFAA230" w14:textId="77777777" w:rsidR="00977112" w:rsidRPr="00784E9A" w:rsidRDefault="00977112" w:rsidP="00977112">
            <w:pPr>
              <w:rPr>
                <w:rFonts w:ascii="Arial" w:hAnsi="Arial" w:cs="Arial"/>
                <w:b/>
                <w:bCs/>
                <w:color w:val="000000"/>
              </w:rPr>
            </w:pPr>
            <w:r w:rsidRPr="00784E9A">
              <w:rPr>
                <w:rFonts w:ascii="Arial" w:hAnsi="Arial" w:cs="Arial"/>
                <w:b/>
                <w:bCs/>
                <w:color w:val="000000"/>
              </w:rPr>
              <w:t>PCC</w:t>
            </w:r>
          </w:p>
        </w:tc>
        <w:tc>
          <w:tcPr>
            <w:tcW w:w="2703" w:type="dxa"/>
            <w:tcBorders>
              <w:top w:val="nil"/>
              <w:left w:val="nil"/>
              <w:bottom w:val="nil"/>
              <w:right w:val="nil"/>
            </w:tcBorders>
            <w:shd w:val="clear" w:color="000000" w:fill="CCCCCC"/>
            <w:vAlign w:val="center"/>
            <w:hideMark/>
          </w:tcPr>
          <w:p w14:paraId="102CBDCB" w14:textId="5BA1A1CD" w:rsidR="00977112" w:rsidRPr="00784E9A" w:rsidRDefault="00977112" w:rsidP="00977112">
            <w:pPr>
              <w:jc w:val="right"/>
              <w:rPr>
                <w:rFonts w:ascii="Arial" w:hAnsi="Arial" w:cs="Arial"/>
                <w:color w:val="000000"/>
              </w:rPr>
            </w:pPr>
            <w:r>
              <w:rPr>
                <w:rFonts w:ascii="Arial" w:hAnsi="Arial" w:cs="Arial"/>
                <w:color w:val="000000"/>
              </w:rPr>
              <w:t> </w:t>
            </w:r>
          </w:p>
        </w:tc>
        <w:tc>
          <w:tcPr>
            <w:tcW w:w="2286" w:type="dxa"/>
            <w:tcBorders>
              <w:top w:val="nil"/>
              <w:left w:val="nil"/>
              <w:bottom w:val="nil"/>
              <w:right w:val="nil"/>
            </w:tcBorders>
            <w:shd w:val="clear" w:color="000000" w:fill="CCCCCC"/>
            <w:vAlign w:val="center"/>
            <w:hideMark/>
          </w:tcPr>
          <w:p w14:paraId="1F79CA9F" w14:textId="55E1A74B" w:rsidR="00977112" w:rsidRPr="00784E9A" w:rsidRDefault="00977112" w:rsidP="00977112">
            <w:pPr>
              <w:jc w:val="right"/>
              <w:rPr>
                <w:rFonts w:ascii="Arial" w:hAnsi="Arial" w:cs="Arial"/>
                <w:color w:val="000000"/>
              </w:rPr>
            </w:pPr>
            <w:r>
              <w:rPr>
                <w:rFonts w:ascii="Arial" w:hAnsi="Arial" w:cs="Arial"/>
                <w:color w:val="000000"/>
              </w:rPr>
              <w:t> </w:t>
            </w:r>
          </w:p>
        </w:tc>
        <w:tc>
          <w:tcPr>
            <w:tcW w:w="1549" w:type="dxa"/>
            <w:tcBorders>
              <w:top w:val="nil"/>
              <w:left w:val="nil"/>
              <w:bottom w:val="nil"/>
              <w:right w:val="single" w:sz="8" w:space="0" w:color="auto"/>
            </w:tcBorders>
            <w:shd w:val="clear" w:color="000000" w:fill="CCCCCC"/>
            <w:vAlign w:val="center"/>
            <w:hideMark/>
          </w:tcPr>
          <w:p w14:paraId="1E5F003E" w14:textId="292F8F72" w:rsidR="00977112" w:rsidRPr="00784E9A" w:rsidRDefault="00977112" w:rsidP="00977112">
            <w:pPr>
              <w:jc w:val="right"/>
              <w:rPr>
                <w:rFonts w:ascii="Arial" w:hAnsi="Arial" w:cs="Arial"/>
                <w:color w:val="000000"/>
              </w:rPr>
            </w:pPr>
            <w:r>
              <w:rPr>
                <w:rFonts w:ascii="Arial" w:hAnsi="Arial" w:cs="Arial"/>
                <w:color w:val="000000"/>
              </w:rPr>
              <w:t> </w:t>
            </w:r>
          </w:p>
        </w:tc>
      </w:tr>
      <w:tr w:rsidR="00977112" w:rsidRPr="00784E9A" w14:paraId="65E7A569" w14:textId="77777777" w:rsidTr="00494EE0">
        <w:trPr>
          <w:trHeight w:val="256"/>
        </w:trPr>
        <w:tc>
          <w:tcPr>
            <w:tcW w:w="2711" w:type="dxa"/>
            <w:tcBorders>
              <w:top w:val="nil"/>
              <w:left w:val="single" w:sz="8" w:space="0" w:color="auto"/>
              <w:bottom w:val="nil"/>
              <w:right w:val="nil"/>
            </w:tcBorders>
            <w:vAlign w:val="center"/>
            <w:hideMark/>
          </w:tcPr>
          <w:p w14:paraId="347FB334" w14:textId="5AF26A3F" w:rsidR="00977112" w:rsidRPr="00784E9A" w:rsidRDefault="00977112" w:rsidP="00977112">
            <w:pPr>
              <w:jc w:val="right"/>
              <w:rPr>
                <w:rFonts w:ascii="Arial" w:hAnsi="Arial" w:cs="Arial"/>
                <w:color w:val="000000"/>
              </w:rPr>
            </w:pPr>
            <w:r>
              <w:rPr>
                <w:rFonts w:ascii="Arial" w:hAnsi="Arial" w:cs="Arial"/>
                <w:color w:val="000000"/>
              </w:rPr>
              <w:t>0</w:t>
            </w:r>
          </w:p>
        </w:tc>
        <w:tc>
          <w:tcPr>
            <w:tcW w:w="2189" w:type="dxa"/>
            <w:tcBorders>
              <w:top w:val="nil"/>
              <w:left w:val="nil"/>
              <w:bottom w:val="nil"/>
              <w:right w:val="nil"/>
            </w:tcBorders>
            <w:vAlign w:val="center"/>
            <w:hideMark/>
          </w:tcPr>
          <w:p w14:paraId="220AA00B" w14:textId="3A055406" w:rsidR="00977112" w:rsidRPr="00784E9A" w:rsidRDefault="00977112" w:rsidP="00977112">
            <w:pPr>
              <w:jc w:val="right"/>
              <w:rPr>
                <w:rFonts w:ascii="Arial" w:hAnsi="Arial" w:cs="Arial"/>
                <w:color w:val="000000"/>
              </w:rPr>
            </w:pPr>
            <w:r>
              <w:rPr>
                <w:rFonts w:ascii="Arial" w:hAnsi="Arial" w:cs="Arial"/>
                <w:color w:val="000000"/>
              </w:rPr>
              <w:t>(9)</w:t>
            </w:r>
          </w:p>
        </w:tc>
        <w:tc>
          <w:tcPr>
            <w:tcW w:w="1549" w:type="dxa"/>
            <w:tcBorders>
              <w:top w:val="nil"/>
              <w:left w:val="nil"/>
              <w:bottom w:val="nil"/>
              <w:right w:val="nil"/>
            </w:tcBorders>
            <w:vAlign w:val="center"/>
            <w:hideMark/>
          </w:tcPr>
          <w:p w14:paraId="0CAA8AC9" w14:textId="22FBA2C6" w:rsidR="00977112" w:rsidRPr="00784E9A" w:rsidRDefault="00977112" w:rsidP="00977112">
            <w:pPr>
              <w:jc w:val="right"/>
              <w:rPr>
                <w:rFonts w:ascii="Arial" w:hAnsi="Arial" w:cs="Arial"/>
                <w:color w:val="000000"/>
              </w:rPr>
            </w:pPr>
            <w:r>
              <w:rPr>
                <w:rFonts w:ascii="Arial" w:hAnsi="Arial" w:cs="Arial"/>
                <w:color w:val="000000"/>
              </w:rPr>
              <w:t>(9)</w:t>
            </w:r>
          </w:p>
        </w:tc>
        <w:tc>
          <w:tcPr>
            <w:tcW w:w="2472" w:type="dxa"/>
            <w:tcBorders>
              <w:top w:val="nil"/>
              <w:left w:val="nil"/>
              <w:bottom w:val="nil"/>
              <w:right w:val="nil"/>
            </w:tcBorders>
            <w:shd w:val="clear" w:color="000000" w:fill="CCCCCC"/>
            <w:vAlign w:val="center"/>
            <w:hideMark/>
          </w:tcPr>
          <w:p w14:paraId="059AEAC2" w14:textId="77777777" w:rsidR="00977112" w:rsidRPr="00784E9A" w:rsidRDefault="00977112" w:rsidP="00977112">
            <w:pPr>
              <w:rPr>
                <w:rFonts w:ascii="Arial" w:hAnsi="Arial" w:cs="Arial"/>
                <w:color w:val="000000"/>
              </w:rPr>
            </w:pPr>
            <w:r w:rsidRPr="00784E9A">
              <w:rPr>
                <w:rFonts w:ascii="Arial" w:hAnsi="Arial" w:cs="Arial"/>
                <w:color w:val="000000"/>
              </w:rPr>
              <w:t>Office of the PCC</w:t>
            </w:r>
          </w:p>
        </w:tc>
        <w:tc>
          <w:tcPr>
            <w:tcW w:w="2703" w:type="dxa"/>
            <w:tcBorders>
              <w:top w:val="nil"/>
              <w:left w:val="nil"/>
              <w:bottom w:val="nil"/>
              <w:right w:val="nil"/>
            </w:tcBorders>
            <w:shd w:val="clear" w:color="000000" w:fill="CCCCCC"/>
            <w:vAlign w:val="center"/>
            <w:hideMark/>
          </w:tcPr>
          <w:p w14:paraId="232CCE9F" w14:textId="07F0A518" w:rsidR="00977112" w:rsidRPr="00784E9A" w:rsidRDefault="00977112" w:rsidP="00977112">
            <w:pPr>
              <w:jc w:val="right"/>
              <w:rPr>
                <w:rFonts w:ascii="Arial" w:hAnsi="Arial" w:cs="Arial"/>
                <w:color w:val="000000"/>
              </w:rPr>
            </w:pPr>
            <w:r>
              <w:rPr>
                <w:rFonts w:ascii="Arial" w:hAnsi="Arial" w:cs="Arial"/>
                <w:color w:val="000000"/>
              </w:rPr>
              <w:t>(35)</w:t>
            </w:r>
          </w:p>
        </w:tc>
        <w:tc>
          <w:tcPr>
            <w:tcW w:w="2286" w:type="dxa"/>
            <w:tcBorders>
              <w:top w:val="nil"/>
              <w:left w:val="nil"/>
              <w:bottom w:val="nil"/>
              <w:right w:val="nil"/>
            </w:tcBorders>
            <w:shd w:val="clear" w:color="000000" w:fill="CCCCCC"/>
            <w:vAlign w:val="center"/>
            <w:hideMark/>
          </w:tcPr>
          <w:p w14:paraId="08FF81CE" w14:textId="1CC56136" w:rsidR="00977112" w:rsidRPr="00784E9A" w:rsidRDefault="00977112" w:rsidP="00977112">
            <w:pPr>
              <w:jc w:val="right"/>
              <w:rPr>
                <w:rFonts w:ascii="Arial" w:hAnsi="Arial" w:cs="Arial"/>
                <w:color w:val="000000"/>
              </w:rPr>
            </w:pPr>
            <w:r>
              <w:rPr>
                <w:rFonts w:ascii="Arial" w:hAnsi="Arial" w:cs="Arial"/>
                <w:color w:val="000000"/>
              </w:rPr>
              <w:t>6</w:t>
            </w:r>
            <w:r w:rsidR="000702D0">
              <w:rPr>
                <w:rFonts w:ascii="Arial" w:hAnsi="Arial" w:cs="Arial"/>
                <w:color w:val="000000"/>
              </w:rPr>
              <w:t>69</w:t>
            </w:r>
          </w:p>
        </w:tc>
        <w:tc>
          <w:tcPr>
            <w:tcW w:w="1549" w:type="dxa"/>
            <w:tcBorders>
              <w:top w:val="nil"/>
              <w:left w:val="nil"/>
              <w:bottom w:val="nil"/>
              <w:right w:val="single" w:sz="8" w:space="0" w:color="auto"/>
            </w:tcBorders>
            <w:shd w:val="clear" w:color="000000" w:fill="CCCCCC"/>
            <w:vAlign w:val="center"/>
            <w:hideMark/>
          </w:tcPr>
          <w:p w14:paraId="4D237FB8" w14:textId="5B2F07F1" w:rsidR="00977112" w:rsidRPr="00784E9A" w:rsidRDefault="00977112" w:rsidP="00977112">
            <w:pPr>
              <w:jc w:val="right"/>
              <w:rPr>
                <w:rFonts w:ascii="Arial" w:hAnsi="Arial" w:cs="Arial"/>
                <w:color w:val="000000"/>
              </w:rPr>
            </w:pPr>
            <w:r>
              <w:rPr>
                <w:rFonts w:ascii="Arial" w:hAnsi="Arial" w:cs="Arial"/>
                <w:color w:val="000000"/>
              </w:rPr>
              <w:t>6</w:t>
            </w:r>
            <w:r w:rsidR="00F54BA9">
              <w:rPr>
                <w:rFonts w:ascii="Arial" w:hAnsi="Arial" w:cs="Arial"/>
                <w:color w:val="000000"/>
              </w:rPr>
              <w:t>34</w:t>
            </w:r>
          </w:p>
        </w:tc>
      </w:tr>
      <w:tr w:rsidR="00977112" w:rsidRPr="00784E9A" w14:paraId="16DD6123" w14:textId="77777777" w:rsidTr="00494EE0">
        <w:trPr>
          <w:trHeight w:val="256"/>
        </w:trPr>
        <w:tc>
          <w:tcPr>
            <w:tcW w:w="2711" w:type="dxa"/>
            <w:tcBorders>
              <w:top w:val="nil"/>
              <w:left w:val="single" w:sz="8" w:space="0" w:color="auto"/>
              <w:bottom w:val="nil"/>
              <w:right w:val="nil"/>
            </w:tcBorders>
            <w:vAlign w:val="center"/>
            <w:hideMark/>
          </w:tcPr>
          <w:p w14:paraId="02C198BF" w14:textId="63FFEBD3" w:rsidR="00977112" w:rsidRPr="00784E9A" w:rsidRDefault="00977112" w:rsidP="00977112">
            <w:pPr>
              <w:jc w:val="right"/>
              <w:rPr>
                <w:rFonts w:ascii="Arial" w:hAnsi="Arial" w:cs="Arial"/>
                <w:color w:val="000000"/>
              </w:rPr>
            </w:pPr>
            <w:r>
              <w:rPr>
                <w:rFonts w:ascii="Arial" w:hAnsi="Arial" w:cs="Arial"/>
                <w:color w:val="000000"/>
              </w:rPr>
              <w:t>0</w:t>
            </w:r>
          </w:p>
        </w:tc>
        <w:tc>
          <w:tcPr>
            <w:tcW w:w="2189" w:type="dxa"/>
            <w:tcBorders>
              <w:top w:val="nil"/>
              <w:left w:val="nil"/>
              <w:bottom w:val="nil"/>
              <w:right w:val="nil"/>
            </w:tcBorders>
            <w:vAlign w:val="center"/>
            <w:hideMark/>
          </w:tcPr>
          <w:p w14:paraId="580D8491" w14:textId="60F566DF" w:rsidR="00977112" w:rsidRPr="00784E9A" w:rsidRDefault="00977112" w:rsidP="00977112">
            <w:pPr>
              <w:jc w:val="right"/>
              <w:rPr>
                <w:rFonts w:ascii="Arial" w:hAnsi="Arial" w:cs="Arial"/>
                <w:color w:val="000000"/>
              </w:rPr>
            </w:pPr>
            <w:r>
              <w:rPr>
                <w:rFonts w:ascii="Arial" w:hAnsi="Arial" w:cs="Arial"/>
                <w:color w:val="000000"/>
              </w:rPr>
              <w:t>(180)</w:t>
            </w:r>
          </w:p>
        </w:tc>
        <w:tc>
          <w:tcPr>
            <w:tcW w:w="1549" w:type="dxa"/>
            <w:tcBorders>
              <w:top w:val="nil"/>
              <w:left w:val="nil"/>
              <w:bottom w:val="nil"/>
              <w:right w:val="nil"/>
            </w:tcBorders>
            <w:vAlign w:val="center"/>
            <w:hideMark/>
          </w:tcPr>
          <w:p w14:paraId="19A39CD3" w14:textId="40BBBF1C" w:rsidR="00977112" w:rsidRPr="00784E9A" w:rsidRDefault="00977112" w:rsidP="00977112">
            <w:pPr>
              <w:jc w:val="right"/>
              <w:rPr>
                <w:rFonts w:ascii="Arial" w:hAnsi="Arial" w:cs="Arial"/>
                <w:color w:val="000000"/>
              </w:rPr>
            </w:pPr>
            <w:r>
              <w:rPr>
                <w:rFonts w:ascii="Arial" w:hAnsi="Arial" w:cs="Arial"/>
                <w:color w:val="000000"/>
              </w:rPr>
              <w:t>(180)</w:t>
            </w:r>
          </w:p>
        </w:tc>
        <w:tc>
          <w:tcPr>
            <w:tcW w:w="2472" w:type="dxa"/>
            <w:tcBorders>
              <w:top w:val="nil"/>
              <w:left w:val="nil"/>
              <w:bottom w:val="nil"/>
              <w:right w:val="nil"/>
            </w:tcBorders>
            <w:shd w:val="clear" w:color="000000" w:fill="CCCCCC"/>
            <w:vAlign w:val="center"/>
            <w:hideMark/>
          </w:tcPr>
          <w:p w14:paraId="34C41595" w14:textId="389E793D" w:rsidR="00977112" w:rsidRPr="00784E9A" w:rsidRDefault="0081765F" w:rsidP="00977112">
            <w:pPr>
              <w:rPr>
                <w:rFonts w:ascii="Arial" w:hAnsi="Arial" w:cs="Arial"/>
                <w:color w:val="000000"/>
              </w:rPr>
            </w:pPr>
            <w:r>
              <w:rPr>
                <w:rFonts w:ascii="Arial" w:hAnsi="Arial" w:cs="Arial"/>
                <w:color w:val="000000"/>
              </w:rPr>
              <w:t>Prevention</w:t>
            </w:r>
          </w:p>
        </w:tc>
        <w:tc>
          <w:tcPr>
            <w:tcW w:w="2703" w:type="dxa"/>
            <w:tcBorders>
              <w:top w:val="nil"/>
              <w:left w:val="nil"/>
              <w:bottom w:val="nil"/>
              <w:right w:val="nil"/>
            </w:tcBorders>
            <w:shd w:val="clear" w:color="000000" w:fill="CCCCCC"/>
            <w:vAlign w:val="center"/>
            <w:hideMark/>
          </w:tcPr>
          <w:p w14:paraId="617CC12E" w14:textId="0E209146" w:rsidR="00977112" w:rsidRPr="00784E9A" w:rsidRDefault="00977112" w:rsidP="00977112">
            <w:pPr>
              <w:jc w:val="right"/>
              <w:rPr>
                <w:rFonts w:ascii="Arial" w:hAnsi="Arial" w:cs="Arial"/>
                <w:color w:val="000000"/>
              </w:rPr>
            </w:pPr>
            <w:r>
              <w:rPr>
                <w:rFonts w:ascii="Arial" w:hAnsi="Arial" w:cs="Arial"/>
                <w:color w:val="000000"/>
              </w:rPr>
              <w:t>0</w:t>
            </w:r>
          </w:p>
        </w:tc>
        <w:tc>
          <w:tcPr>
            <w:tcW w:w="2286" w:type="dxa"/>
            <w:tcBorders>
              <w:top w:val="nil"/>
              <w:left w:val="nil"/>
              <w:bottom w:val="nil"/>
              <w:right w:val="nil"/>
            </w:tcBorders>
            <w:shd w:val="clear" w:color="000000" w:fill="CCCCCC"/>
            <w:vAlign w:val="center"/>
            <w:hideMark/>
          </w:tcPr>
          <w:p w14:paraId="0A0BE991" w14:textId="36FE8C13" w:rsidR="00977112" w:rsidRPr="00784E9A" w:rsidRDefault="00977112" w:rsidP="00977112">
            <w:pPr>
              <w:jc w:val="right"/>
              <w:rPr>
                <w:rFonts w:ascii="Arial" w:hAnsi="Arial" w:cs="Arial"/>
                <w:color w:val="000000"/>
              </w:rPr>
            </w:pPr>
            <w:r>
              <w:rPr>
                <w:rFonts w:ascii="Arial" w:hAnsi="Arial" w:cs="Arial"/>
                <w:color w:val="000000"/>
              </w:rPr>
              <w:t>(1,590)</w:t>
            </w:r>
          </w:p>
        </w:tc>
        <w:tc>
          <w:tcPr>
            <w:tcW w:w="1549" w:type="dxa"/>
            <w:tcBorders>
              <w:top w:val="nil"/>
              <w:left w:val="nil"/>
              <w:bottom w:val="nil"/>
              <w:right w:val="single" w:sz="8" w:space="0" w:color="auto"/>
            </w:tcBorders>
            <w:shd w:val="clear" w:color="000000" w:fill="CCCCCC"/>
            <w:vAlign w:val="center"/>
            <w:hideMark/>
          </w:tcPr>
          <w:p w14:paraId="060C09B7" w14:textId="4F818EBC" w:rsidR="00977112" w:rsidRPr="00784E9A" w:rsidRDefault="00977112" w:rsidP="00977112">
            <w:pPr>
              <w:jc w:val="right"/>
              <w:rPr>
                <w:rFonts w:ascii="Arial" w:hAnsi="Arial" w:cs="Arial"/>
                <w:color w:val="000000"/>
              </w:rPr>
            </w:pPr>
            <w:r>
              <w:rPr>
                <w:rFonts w:ascii="Arial" w:hAnsi="Arial" w:cs="Arial"/>
                <w:color w:val="000000"/>
              </w:rPr>
              <w:t>(1,590)</w:t>
            </w:r>
          </w:p>
        </w:tc>
      </w:tr>
      <w:tr w:rsidR="00977112" w:rsidRPr="00784E9A" w14:paraId="062132E5" w14:textId="77777777" w:rsidTr="00494EE0">
        <w:trPr>
          <w:trHeight w:val="436"/>
        </w:trPr>
        <w:tc>
          <w:tcPr>
            <w:tcW w:w="2711" w:type="dxa"/>
            <w:tcBorders>
              <w:top w:val="nil"/>
              <w:left w:val="single" w:sz="8" w:space="0" w:color="auto"/>
              <w:bottom w:val="nil"/>
              <w:right w:val="nil"/>
            </w:tcBorders>
            <w:vAlign w:val="center"/>
            <w:hideMark/>
          </w:tcPr>
          <w:p w14:paraId="45E44345" w14:textId="65D1F606" w:rsidR="00977112" w:rsidRPr="00784E9A" w:rsidRDefault="00977112" w:rsidP="00977112">
            <w:pPr>
              <w:jc w:val="right"/>
              <w:rPr>
                <w:rFonts w:ascii="Arial" w:hAnsi="Arial" w:cs="Arial"/>
                <w:color w:val="000000"/>
              </w:rPr>
            </w:pPr>
            <w:r>
              <w:rPr>
                <w:rFonts w:ascii="Arial" w:hAnsi="Arial" w:cs="Arial"/>
                <w:color w:val="000000"/>
              </w:rPr>
              <w:t>0</w:t>
            </w:r>
          </w:p>
        </w:tc>
        <w:tc>
          <w:tcPr>
            <w:tcW w:w="2189" w:type="dxa"/>
            <w:tcBorders>
              <w:top w:val="nil"/>
              <w:left w:val="nil"/>
              <w:bottom w:val="nil"/>
              <w:right w:val="nil"/>
            </w:tcBorders>
            <w:vAlign w:val="center"/>
            <w:hideMark/>
          </w:tcPr>
          <w:p w14:paraId="60F599D0" w14:textId="78BC6F35" w:rsidR="00977112" w:rsidRPr="00784E9A" w:rsidRDefault="00977112" w:rsidP="00977112">
            <w:pPr>
              <w:jc w:val="right"/>
              <w:rPr>
                <w:rFonts w:ascii="Arial" w:hAnsi="Arial" w:cs="Arial"/>
                <w:color w:val="000000"/>
              </w:rPr>
            </w:pPr>
            <w:r>
              <w:rPr>
                <w:rFonts w:ascii="Arial" w:hAnsi="Arial" w:cs="Arial"/>
                <w:color w:val="000000"/>
              </w:rPr>
              <w:t>(160)</w:t>
            </w:r>
          </w:p>
        </w:tc>
        <w:tc>
          <w:tcPr>
            <w:tcW w:w="1549" w:type="dxa"/>
            <w:tcBorders>
              <w:top w:val="nil"/>
              <w:left w:val="nil"/>
              <w:bottom w:val="nil"/>
              <w:right w:val="nil"/>
            </w:tcBorders>
            <w:vAlign w:val="center"/>
            <w:hideMark/>
          </w:tcPr>
          <w:p w14:paraId="491AA20B" w14:textId="490CC6C0" w:rsidR="00977112" w:rsidRPr="00784E9A" w:rsidRDefault="00977112" w:rsidP="00977112">
            <w:pPr>
              <w:jc w:val="right"/>
              <w:rPr>
                <w:rFonts w:ascii="Arial" w:hAnsi="Arial" w:cs="Arial"/>
                <w:color w:val="000000"/>
              </w:rPr>
            </w:pPr>
            <w:r>
              <w:rPr>
                <w:rFonts w:ascii="Arial" w:hAnsi="Arial" w:cs="Arial"/>
                <w:color w:val="000000"/>
              </w:rPr>
              <w:t>(160)</w:t>
            </w:r>
          </w:p>
        </w:tc>
        <w:tc>
          <w:tcPr>
            <w:tcW w:w="2472" w:type="dxa"/>
            <w:tcBorders>
              <w:top w:val="nil"/>
              <w:left w:val="nil"/>
              <w:bottom w:val="nil"/>
              <w:right w:val="nil"/>
            </w:tcBorders>
            <w:shd w:val="clear" w:color="000000" w:fill="CCCCCC"/>
            <w:vAlign w:val="center"/>
            <w:hideMark/>
          </w:tcPr>
          <w:p w14:paraId="1DC765E7" w14:textId="77777777" w:rsidR="00977112" w:rsidRPr="00784E9A" w:rsidRDefault="00977112" w:rsidP="00977112">
            <w:pPr>
              <w:rPr>
                <w:rFonts w:ascii="Arial" w:hAnsi="Arial" w:cs="Arial"/>
                <w:color w:val="000000"/>
              </w:rPr>
            </w:pPr>
            <w:r w:rsidRPr="00784E9A">
              <w:rPr>
                <w:rFonts w:ascii="Arial" w:hAnsi="Arial" w:cs="Arial"/>
                <w:color w:val="000000"/>
              </w:rPr>
              <w:t>Victim and Domestic Abuse services</w:t>
            </w:r>
          </w:p>
        </w:tc>
        <w:tc>
          <w:tcPr>
            <w:tcW w:w="2703" w:type="dxa"/>
            <w:tcBorders>
              <w:top w:val="nil"/>
              <w:left w:val="nil"/>
              <w:bottom w:val="nil"/>
              <w:right w:val="nil"/>
            </w:tcBorders>
            <w:shd w:val="clear" w:color="000000" w:fill="CCCCCC"/>
            <w:vAlign w:val="center"/>
            <w:hideMark/>
          </w:tcPr>
          <w:p w14:paraId="059D0399" w14:textId="15BEED21" w:rsidR="00977112" w:rsidRPr="00784E9A" w:rsidRDefault="00977112" w:rsidP="00977112">
            <w:pPr>
              <w:jc w:val="right"/>
              <w:rPr>
                <w:rFonts w:ascii="Arial" w:hAnsi="Arial" w:cs="Arial"/>
                <w:color w:val="000000"/>
              </w:rPr>
            </w:pPr>
            <w:r>
              <w:rPr>
                <w:rFonts w:ascii="Arial" w:hAnsi="Arial" w:cs="Arial"/>
                <w:color w:val="000000"/>
              </w:rPr>
              <w:t>0</w:t>
            </w:r>
          </w:p>
        </w:tc>
        <w:tc>
          <w:tcPr>
            <w:tcW w:w="2286" w:type="dxa"/>
            <w:tcBorders>
              <w:top w:val="nil"/>
              <w:left w:val="nil"/>
              <w:bottom w:val="nil"/>
              <w:right w:val="nil"/>
            </w:tcBorders>
            <w:shd w:val="clear" w:color="000000" w:fill="CCCCCC"/>
            <w:vAlign w:val="center"/>
            <w:hideMark/>
          </w:tcPr>
          <w:p w14:paraId="739FAC4B" w14:textId="6BB29835" w:rsidR="00977112" w:rsidRPr="00784E9A" w:rsidRDefault="00977112" w:rsidP="00977112">
            <w:pPr>
              <w:jc w:val="right"/>
              <w:rPr>
                <w:rFonts w:ascii="Arial" w:hAnsi="Arial" w:cs="Arial"/>
                <w:color w:val="000000"/>
              </w:rPr>
            </w:pPr>
            <w:r>
              <w:rPr>
                <w:rFonts w:ascii="Arial" w:hAnsi="Arial" w:cs="Arial"/>
                <w:color w:val="000000"/>
              </w:rPr>
              <w:t>20</w:t>
            </w:r>
          </w:p>
        </w:tc>
        <w:tc>
          <w:tcPr>
            <w:tcW w:w="1549" w:type="dxa"/>
            <w:tcBorders>
              <w:top w:val="nil"/>
              <w:left w:val="nil"/>
              <w:bottom w:val="nil"/>
              <w:right w:val="single" w:sz="8" w:space="0" w:color="auto"/>
            </w:tcBorders>
            <w:shd w:val="clear" w:color="000000" w:fill="CCCCCC"/>
            <w:vAlign w:val="center"/>
            <w:hideMark/>
          </w:tcPr>
          <w:p w14:paraId="4FA19D6D" w14:textId="5DCC0C71" w:rsidR="00977112" w:rsidRPr="00784E9A" w:rsidRDefault="00977112" w:rsidP="00977112">
            <w:pPr>
              <w:jc w:val="right"/>
              <w:rPr>
                <w:rFonts w:ascii="Arial" w:hAnsi="Arial" w:cs="Arial"/>
                <w:color w:val="000000"/>
              </w:rPr>
            </w:pPr>
            <w:r>
              <w:rPr>
                <w:rFonts w:ascii="Arial" w:hAnsi="Arial" w:cs="Arial"/>
                <w:color w:val="000000"/>
              </w:rPr>
              <w:t>20</w:t>
            </w:r>
          </w:p>
        </w:tc>
      </w:tr>
      <w:tr w:rsidR="00977112" w:rsidRPr="00784E9A" w14:paraId="74A355D2" w14:textId="77777777" w:rsidTr="00494EE0">
        <w:trPr>
          <w:trHeight w:val="513"/>
        </w:trPr>
        <w:tc>
          <w:tcPr>
            <w:tcW w:w="2711" w:type="dxa"/>
            <w:tcBorders>
              <w:top w:val="nil"/>
              <w:left w:val="single" w:sz="8" w:space="0" w:color="auto"/>
              <w:bottom w:val="nil"/>
              <w:right w:val="nil"/>
            </w:tcBorders>
            <w:vAlign w:val="center"/>
            <w:hideMark/>
          </w:tcPr>
          <w:p w14:paraId="42AA3BEE" w14:textId="29BB6F69" w:rsidR="00977112" w:rsidRPr="00784E9A" w:rsidRDefault="00977112" w:rsidP="00977112">
            <w:pPr>
              <w:jc w:val="right"/>
              <w:rPr>
                <w:rFonts w:ascii="Arial" w:hAnsi="Arial" w:cs="Arial"/>
                <w:color w:val="000000"/>
              </w:rPr>
            </w:pPr>
            <w:r>
              <w:rPr>
                <w:rFonts w:ascii="Arial" w:hAnsi="Arial" w:cs="Arial"/>
                <w:color w:val="000000"/>
              </w:rPr>
              <w:t>(13,045)</w:t>
            </w:r>
          </w:p>
        </w:tc>
        <w:tc>
          <w:tcPr>
            <w:tcW w:w="2189" w:type="dxa"/>
            <w:tcBorders>
              <w:top w:val="nil"/>
              <w:left w:val="nil"/>
              <w:bottom w:val="nil"/>
              <w:right w:val="nil"/>
            </w:tcBorders>
            <w:vAlign w:val="center"/>
            <w:hideMark/>
          </w:tcPr>
          <w:p w14:paraId="17C9F0E8" w14:textId="24469178" w:rsidR="00977112" w:rsidRPr="00784E9A" w:rsidRDefault="00977112" w:rsidP="00977112">
            <w:pPr>
              <w:jc w:val="right"/>
              <w:rPr>
                <w:rFonts w:ascii="Arial" w:hAnsi="Arial" w:cs="Arial"/>
                <w:color w:val="000000"/>
              </w:rPr>
            </w:pPr>
            <w:r>
              <w:rPr>
                <w:rFonts w:ascii="Arial" w:hAnsi="Arial" w:cs="Arial"/>
                <w:color w:val="000000"/>
              </w:rPr>
              <w:t>3,441</w:t>
            </w:r>
          </w:p>
        </w:tc>
        <w:tc>
          <w:tcPr>
            <w:tcW w:w="1549" w:type="dxa"/>
            <w:tcBorders>
              <w:top w:val="nil"/>
              <w:left w:val="nil"/>
              <w:bottom w:val="nil"/>
              <w:right w:val="nil"/>
            </w:tcBorders>
            <w:vAlign w:val="center"/>
            <w:hideMark/>
          </w:tcPr>
          <w:p w14:paraId="392BA6C9" w14:textId="48DD169B" w:rsidR="00977112" w:rsidRPr="00784E9A" w:rsidRDefault="00977112" w:rsidP="00977112">
            <w:pPr>
              <w:jc w:val="right"/>
              <w:rPr>
                <w:rFonts w:ascii="Arial" w:hAnsi="Arial" w:cs="Arial"/>
                <w:color w:val="000000"/>
              </w:rPr>
            </w:pPr>
            <w:r>
              <w:rPr>
                <w:rFonts w:ascii="Arial" w:hAnsi="Arial" w:cs="Arial"/>
                <w:color w:val="000000"/>
              </w:rPr>
              <w:t>(9,603)</w:t>
            </w:r>
          </w:p>
        </w:tc>
        <w:tc>
          <w:tcPr>
            <w:tcW w:w="2472" w:type="dxa"/>
            <w:tcBorders>
              <w:top w:val="nil"/>
              <w:left w:val="nil"/>
              <w:bottom w:val="nil"/>
              <w:right w:val="nil"/>
            </w:tcBorders>
            <w:shd w:val="clear" w:color="000000" w:fill="CCCCCC"/>
            <w:vAlign w:val="center"/>
            <w:hideMark/>
          </w:tcPr>
          <w:p w14:paraId="5AAA30D4" w14:textId="77777777" w:rsidR="00977112" w:rsidRPr="00784E9A" w:rsidRDefault="00977112" w:rsidP="00977112">
            <w:pPr>
              <w:rPr>
                <w:rFonts w:ascii="Arial" w:hAnsi="Arial" w:cs="Arial"/>
                <w:color w:val="000000"/>
              </w:rPr>
            </w:pPr>
            <w:r w:rsidRPr="00784E9A">
              <w:rPr>
                <w:rFonts w:ascii="Arial" w:hAnsi="Arial" w:cs="Arial"/>
                <w:color w:val="000000"/>
              </w:rPr>
              <w:t>PCC Non-Devolved Budgets</w:t>
            </w:r>
          </w:p>
        </w:tc>
        <w:tc>
          <w:tcPr>
            <w:tcW w:w="2703" w:type="dxa"/>
            <w:tcBorders>
              <w:top w:val="nil"/>
              <w:left w:val="nil"/>
              <w:bottom w:val="single" w:sz="8" w:space="0" w:color="auto"/>
              <w:right w:val="nil"/>
            </w:tcBorders>
            <w:shd w:val="clear" w:color="000000" w:fill="CCCCCC"/>
            <w:vAlign w:val="center"/>
            <w:hideMark/>
          </w:tcPr>
          <w:p w14:paraId="4E201D9D" w14:textId="1F7CE819" w:rsidR="00977112" w:rsidRPr="00784E9A" w:rsidRDefault="00977112" w:rsidP="00977112">
            <w:pPr>
              <w:jc w:val="right"/>
              <w:rPr>
                <w:rFonts w:ascii="Arial" w:hAnsi="Arial" w:cs="Arial"/>
                <w:color w:val="000000"/>
              </w:rPr>
            </w:pPr>
            <w:r>
              <w:rPr>
                <w:rFonts w:ascii="Arial" w:hAnsi="Arial" w:cs="Arial"/>
                <w:color w:val="000000"/>
              </w:rPr>
              <w:t>(6,784)</w:t>
            </w:r>
          </w:p>
        </w:tc>
        <w:tc>
          <w:tcPr>
            <w:tcW w:w="2286" w:type="dxa"/>
            <w:tcBorders>
              <w:top w:val="nil"/>
              <w:left w:val="nil"/>
              <w:bottom w:val="single" w:sz="8" w:space="0" w:color="auto"/>
              <w:right w:val="nil"/>
            </w:tcBorders>
            <w:shd w:val="clear" w:color="000000" w:fill="CCCCCC"/>
            <w:vAlign w:val="center"/>
            <w:hideMark/>
          </w:tcPr>
          <w:p w14:paraId="411CFFC1" w14:textId="696D511A" w:rsidR="00977112" w:rsidRPr="00784E9A" w:rsidRDefault="00977112" w:rsidP="00977112">
            <w:pPr>
              <w:jc w:val="right"/>
              <w:rPr>
                <w:rFonts w:ascii="Arial" w:hAnsi="Arial" w:cs="Arial"/>
                <w:color w:val="000000"/>
              </w:rPr>
            </w:pPr>
            <w:r>
              <w:rPr>
                <w:rFonts w:ascii="Arial" w:hAnsi="Arial" w:cs="Arial"/>
                <w:color w:val="000000"/>
              </w:rPr>
              <w:t>4,804</w:t>
            </w:r>
          </w:p>
        </w:tc>
        <w:tc>
          <w:tcPr>
            <w:tcW w:w="1549" w:type="dxa"/>
            <w:tcBorders>
              <w:top w:val="nil"/>
              <w:left w:val="nil"/>
              <w:bottom w:val="nil"/>
              <w:right w:val="single" w:sz="8" w:space="0" w:color="auto"/>
            </w:tcBorders>
            <w:shd w:val="clear" w:color="000000" w:fill="CCCCCC"/>
            <w:vAlign w:val="center"/>
            <w:hideMark/>
          </w:tcPr>
          <w:p w14:paraId="108C6249" w14:textId="5A5ED934" w:rsidR="00977112" w:rsidRPr="00784E9A" w:rsidRDefault="00977112" w:rsidP="00977112">
            <w:pPr>
              <w:jc w:val="right"/>
              <w:rPr>
                <w:rFonts w:ascii="Arial" w:hAnsi="Arial" w:cs="Arial"/>
                <w:color w:val="000000"/>
              </w:rPr>
            </w:pPr>
            <w:r>
              <w:rPr>
                <w:rFonts w:ascii="Arial" w:hAnsi="Arial" w:cs="Arial"/>
                <w:color w:val="000000"/>
              </w:rPr>
              <w:t>(1,980)</w:t>
            </w:r>
          </w:p>
        </w:tc>
      </w:tr>
      <w:tr w:rsidR="00977112" w:rsidRPr="00784E9A" w14:paraId="37105DA8" w14:textId="77777777" w:rsidTr="00494EE0">
        <w:trPr>
          <w:trHeight w:val="256"/>
        </w:trPr>
        <w:tc>
          <w:tcPr>
            <w:tcW w:w="2711" w:type="dxa"/>
            <w:tcBorders>
              <w:top w:val="single" w:sz="8" w:space="0" w:color="auto"/>
              <w:left w:val="single" w:sz="8" w:space="0" w:color="auto"/>
              <w:bottom w:val="nil"/>
              <w:right w:val="nil"/>
            </w:tcBorders>
            <w:vAlign w:val="center"/>
            <w:hideMark/>
          </w:tcPr>
          <w:p w14:paraId="3920482F" w14:textId="295C201A" w:rsidR="00977112" w:rsidRPr="00784E9A" w:rsidRDefault="00977112" w:rsidP="00977112">
            <w:pPr>
              <w:jc w:val="right"/>
              <w:rPr>
                <w:rFonts w:ascii="Arial" w:hAnsi="Arial" w:cs="Arial"/>
                <w:b/>
                <w:bCs/>
                <w:color w:val="000000"/>
              </w:rPr>
            </w:pPr>
            <w:r>
              <w:rPr>
                <w:rFonts w:ascii="Arial" w:hAnsi="Arial" w:cs="Arial"/>
                <w:b/>
                <w:bCs/>
                <w:color w:val="000000"/>
              </w:rPr>
              <w:t>43,337</w:t>
            </w:r>
          </w:p>
        </w:tc>
        <w:tc>
          <w:tcPr>
            <w:tcW w:w="2189" w:type="dxa"/>
            <w:tcBorders>
              <w:top w:val="single" w:sz="8" w:space="0" w:color="auto"/>
              <w:left w:val="nil"/>
              <w:bottom w:val="nil"/>
              <w:right w:val="nil"/>
            </w:tcBorders>
            <w:vAlign w:val="center"/>
            <w:hideMark/>
          </w:tcPr>
          <w:p w14:paraId="267E0652" w14:textId="465D2925" w:rsidR="00977112" w:rsidRPr="00784E9A" w:rsidRDefault="00977112" w:rsidP="00977112">
            <w:pPr>
              <w:jc w:val="right"/>
              <w:rPr>
                <w:rFonts w:ascii="Arial" w:hAnsi="Arial" w:cs="Arial"/>
                <w:b/>
                <w:bCs/>
                <w:color w:val="000000"/>
              </w:rPr>
            </w:pPr>
            <w:r>
              <w:rPr>
                <w:rFonts w:ascii="Arial" w:hAnsi="Arial" w:cs="Arial"/>
                <w:b/>
                <w:bCs/>
                <w:color w:val="000000"/>
              </w:rPr>
              <w:t>1,728</w:t>
            </w:r>
          </w:p>
        </w:tc>
        <w:tc>
          <w:tcPr>
            <w:tcW w:w="1549" w:type="dxa"/>
            <w:tcBorders>
              <w:top w:val="single" w:sz="8" w:space="0" w:color="auto"/>
              <w:left w:val="nil"/>
              <w:bottom w:val="nil"/>
              <w:right w:val="nil"/>
            </w:tcBorders>
            <w:vAlign w:val="center"/>
            <w:hideMark/>
          </w:tcPr>
          <w:p w14:paraId="4BC54A0F" w14:textId="485407A8" w:rsidR="00977112" w:rsidRPr="00784E9A" w:rsidRDefault="00977112" w:rsidP="00977112">
            <w:pPr>
              <w:jc w:val="right"/>
              <w:rPr>
                <w:rFonts w:ascii="Arial" w:hAnsi="Arial" w:cs="Arial"/>
                <w:b/>
                <w:bCs/>
                <w:color w:val="000000"/>
              </w:rPr>
            </w:pPr>
            <w:r>
              <w:rPr>
                <w:rFonts w:ascii="Arial" w:hAnsi="Arial" w:cs="Arial"/>
                <w:b/>
                <w:bCs/>
                <w:color w:val="000000"/>
              </w:rPr>
              <w:t>45,065</w:t>
            </w:r>
          </w:p>
        </w:tc>
        <w:tc>
          <w:tcPr>
            <w:tcW w:w="2472" w:type="dxa"/>
            <w:tcBorders>
              <w:top w:val="nil"/>
              <w:left w:val="nil"/>
              <w:bottom w:val="nil"/>
              <w:right w:val="nil"/>
            </w:tcBorders>
            <w:shd w:val="clear" w:color="000000" w:fill="CCCCCC"/>
            <w:vAlign w:val="center"/>
            <w:hideMark/>
          </w:tcPr>
          <w:p w14:paraId="6AB70C38" w14:textId="77777777" w:rsidR="00977112" w:rsidRPr="00784E9A" w:rsidRDefault="00977112" w:rsidP="00977112">
            <w:pPr>
              <w:rPr>
                <w:rFonts w:ascii="Arial" w:hAnsi="Arial" w:cs="Arial"/>
                <w:b/>
                <w:bCs/>
                <w:color w:val="000000"/>
              </w:rPr>
            </w:pPr>
            <w:r w:rsidRPr="00784E9A">
              <w:rPr>
                <w:rFonts w:ascii="Arial" w:hAnsi="Arial" w:cs="Arial"/>
                <w:b/>
                <w:bCs/>
                <w:color w:val="000000"/>
              </w:rPr>
              <w:t>Net Cost of Services</w:t>
            </w:r>
          </w:p>
        </w:tc>
        <w:tc>
          <w:tcPr>
            <w:tcW w:w="2703" w:type="dxa"/>
            <w:tcBorders>
              <w:top w:val="nil"/>
              <w:left w:val="nil"/>
              <w:bottom w:val="nil"/>
              <w:right w:val="nil"/>
            </w:tcBorders>
            <w:shd w:val="clear" w:color="000000" w:fill="CCCCCC"/>
            <w:vAlign w:val="center"/>
            <w:hideMark/>
          </w:tcPr>
          <w:p w14:paraId="0B5CBA55" w14:textId="6534BB04" w:rsidR="00977112" w:rsidRPr="00784E9A" w:rsidRDefault="00977112" w:rsidP="00977112">
            <w:pPr>
              <w:jc w:val="right"/>
              <w:rPr>
                <w:rFonts w:ascii="Arial" w:hAnsi="Arial" w:cs="Arial"/>
                <w:b/>
                <w:bCs/>
                <w:color w:val="000000"/>
              </w:rPr>
            </w:pPr>
            <w:r>
              <w:rPr>
                <w:rFonts w:ascii="Arial" w:hAnsi="Arial" w:cs="Arial"/>
                <w:b/>
                <w:bCs/>
                <w:color w:val="000000"/>
              </w:rPr>
              <w:t>47,936</w:t>
            </w:r>
          </w:p>
        </w:tc>
        <w:tc>
          <w:tcPr>
            <w:tcW w:w="2286" w:type="dxa"/>
            <w:tcBorders>
              <w:top w:val="nil"/>
              <w:left w:val="nil"/>
              <w:bottom w:val="nil"/>
              <w:right w:val="nil"/>
            </w:tcBorders>
            <w:shd w:val="clear" w:color="000000" w:fill="CCCCCC"/>
            <w:vAlign w:val="center"/>
            <w:hideMark/>
          </w:tcPr>
          <w:p w14:paraId="7F64F743" w14:textId="365092A6" w:rsidR="00977112" w:rsidRPr="00784E9A" w:rsidRDefault="00977112" w:rsidP="00977112">
            <w:pPr>
              <w:jc w:val="right"/>
              <w:rPr>
                <w:rFonts w:ascii="Arial" w:hAnsi="Arial" w:cs="Arial"/>
                <w:b/>
                <w:bCs/>
                <w:color w:val="000000"/>
              </w:rPr>
            </w:pPr>
            <w:r>
              <w:rPr>
                <w:rFonts w:ascii="Arial" w:hAnsi="Arial" w:cs="Arial"/>
                <w:b/>
                <w:bCs/>
                <w:color w:val="000000"/>
              </w:rPr>
              <w:t>2,7</w:t>
            </w:r>
            <w:r w:rsidR="009B691C">
              <w:rPr>
                <w:rFonts w:ascii="Arial" w:hAnsi="Arial" w:cs="Arial"/>
                <w:b/>
                <w:bCs/>
                <w:color w:val="000000"/>
              </w:rPr>
              <w:t>19</w:t>
            </w:r>
          </w:p>
        </w:tc>
        <w:tc>
          <w:tcPr>
            <w:tcW w:w="1549" w:type="dxa"/>
            <w:tcBorders>
              <w:top w:val="single" w:sz="8" w:space="0" w:color="auto"/>
              <w:left w:val="nil"/>
              <w:bottom w:val="nil"/>
              <w:right w:val="single" w:sz="8" w:space="0" w:color="auto"/>
            </w:tcBorders>
            <w:shd w:val="clear" w:color="000000" w:fill="CCCCCC"/>
            <w:vAlign w:val="center"/>
            <w:hideMark/>
          </w:tcPr>
          <w:p w14:paraId="5F6EC1DE" w14:textId="4C16CBF0" w:rsidR="00977112" w:rsidRPr="00784E9A" w:rsidRDefault="00977112" w:rsidP="00977112">
            <w:pPr>
              <w:jc w:val="right"/>
              <w:rPr>
                <w:rFonts w:ascii="Arial" w:hAnsi="Arial" w:cs="Arial"/>
                <w:b/>
                <w:bCs/>
                <w:color w:val="000000"/>
              </w:rPr>
            </w:pPr>
            <w:r>
              <w:rPr>
                <w:rFonts w:ascii="Arial" w:hAnsi="Arial" w:cs="Arial"/>
                <w:b/>
                <w:bCs/>
                <w:color w:val="000000"/>
              </w:rPr>
              <w:t>50,6</w:t>
            </w:r>
            <w:r w:rsidR="00842068">
              <w:rPr>
                <w:rFonts w:ascii="Arial" w:hAnsi="Arial" w:cs="Arial"/>
                <w:b/>
                <w:bCs/>
                <w:color w:val="000000"/>
              </w:rPr>
              <w:t>55</w:t>
            </w:r>
          </w:p>
        </w:tc>
      </w:tr>
      <w:tr w:rsidR="00977112" w:rsidRPr="00784E9A" w14:paraId="785FF9D8" w14:textId="77777777" w:rsidTr="00494EE0">
        <w:trPr>
          <w:trHeight w:val="513"/>
        </w:trPr>
        <w:tc>
          <w:tcPr>
            <w:tcW w:w="2711" w:type="dxa"/>
            <w:tcBorders>
              <w:top w:val="nil"/>
              <w:left w:val="single" w:sz="8" w:space="0" w:color="auto"/>
              <w:bottom w:val="single" w:sz="8" w:space="0" w:color="auto"/>
              <w:right w:val="nil"/>
            </w:tcBorders>
            <w:vAlign w:val="center"/>
            <w:hideMark/>
          </w:tcPr>
          <w:p w14:paraId="09E5C11D" w14:textId="29ECDF57" w:rsidR="00977112" w:rsidRPr="00784E9A" w:rsidRDefault="00977112" w:rsidP="00977112">
            <w:pPr>
              <w:jc w:val="right"/>
              <w:rPr>
                <w:rFonts w:ascii="Arial" w:hAnsi="Arial" w:cs="Arial"/>
                <w:color w:val="000000"/>
              </w:rPr>
            </w:pPr>
            <w:r>
              <w:rPr>
                <w:rFonts w:ascii="Arial" w:hAnsi="Arial" w:cs="Arial"/>
                <w:color w:val="000000"/>
              </w:rPr>
              <w:t>(399,265)</w:t>
            </w:r>
          </w:p>
        </w:tc>
        <w:tc>
          <w:tcPr>
            <w:tcW w:w="2189" w:type="dxa"/>
            <w:tcBorders>
              <w:top w:val="nil"/>
              <w:left w:val="nil"/>
              <w:bottom w:val="single" w:sz="8" w:space="0" w:color="auto"/>
              <w:right w:val="nil"/>
            </w:tcBorders>
            <w:vAlign w:val="center"/>
            <w:hideMark/>
          </w:tcPr>
          <w:p w14:paraId="4E2E2929" w14:textId="745A5D2D" w:rsidR="00977112" w:rsidRPr="00784E9A" w:rsidRDefault="00977112" w:rsidP="00977112">
            <w:pPr>
              <w:jc w:val="right"/>
              <w:rPr>
                <w:rFonts w:ascii="Arial" w:hAnsi="Arial" w:cs="Arial"/>
                <w:color w:val="000000"/>
              </w:rPr>
            </w:pPr>
            <w:r>
              <w:rPr>
                <w:rFonts w:ascii="Arial" w:hAnsi="Arial" w:cs="Arial"/>
                <w:color w:val="000000"/>
              </w:rPr>
              <w:t>0</w:t>
            </w:r>
          </w:p>
        </w:tc>
        <w:tc>
          <w:tcPr>
            <w:tcW w:w="1549" w:type="dxa"/>
            <w:tcBorders>
              <w:top w:val="nil"/>
              <w:left w:val="nil"/>
              <w:bottom w:val="nil"/>
              <w:right w:val="nil"/>
            </w:tcBorders>
            <w:vAlign w:val="center"/>
            <w:hideMark/>
          </w:tcPr>
          <w:p w14:paraId="5BEDE980" w14:textId="5007AD0B" w:rsidR="00977112" w:rsidRPr="00784E9A" w:rsidRDefault="00977112" w:rsidP="00977112">
            <w:pPr>
              <w:jc w:val="right"/>
              <w:rPr>
                <w:rFonts w:ascii="Arial" w:hAnsi="Arial" w:cs="Arial"/>
                <w:color w:val="000000"/>
              </w:rPr>
            </w:pPr>
            <w:r>
              <w:rPr>
                <w:rFonts w:ascii="Arial" w:hAnsi="Arial" w:cs="Arial"/>
                <w:color w:val="000000"/>
              </w:rPr>
              <w:t>(399,265)</w:t>
            </w:r>
          </w:p>
        </w:tc>
        <w:tc>
          <w:tcPr>
            <w:tcW w:w="2472" w:type="dxa"/>
            <w:tcBorders>
              <w:top w:val="nil"/>
              <w:left w:val="nil"/>
              <w:bottom w:val="nil"/>
              <w:right w:val="nil"/>
            </w:tcBorders>
            <w:shd w:val="clear" w:color="000000" w:fill="CCCCCC"/>
            <w:vAlign w:val="center"/>
            <w:hideMark/>
          </w:tcPr>
          <w:p w14:paraId="5123CB03" w14:textId="77777777" w:rsidR="00977112" w:rsidRPr="00784E9A" w:rsidRDefault="00977112" w:rsidP="00977112">
            <w:pPr>
              <w:rPr>
                <w:rFonts w:ascii="Arial" w:hAnsi="Arial" w:cs="Arial"/>
                <w:color w:val="000000"/>
              </w:rPr>
            </w:pPr>
            <w:r w:rsidRPr="00784E9A">
              <w:rPr>
                <w:rFonts w:ascii="Arial" w:hAnsi="Arial" w:cs="Arial"/>
                <w:color w:val="000000"/>
              </w:rPr>
              <w:t>Other Income &amp; Expenditure</w:t>
            </w:r>
          </w:p>
        </w:tc>
        <w:tc>
          <w:tcPr>
            <w:tcW w:w="2703" w:type="dxa"/>
            <w:tcBorders>
              <w:top w:val="nil"/>
              <w:left w:val="nil"/>
              <w:bottom w:val="single" w:sz="8" w:space="0" w:color="auto"/>
              <w:right w:val="nil"/>
            </w:tcBorders>
            <w:shd w:val="clear" w:color="000000" w:fill="CCCCCC"/>
            <w:vAlign w:val="center"/>
            <w:hideMark/>
          </w:tcPr>
          <w:p w14:paraId="65300110" w14:textId="7009BC49" w:rsidR="00977112" w:rsidRPr="00784E9A" w:rsidRDefault="00977112" w:rsidP="00977112">
            <w:pPr>
              <w:jc w:val="right"/>
              <w:rPr>
                <w:rFonts w:ascii="Arial" w:hAnsi="Arial" w:cs="Arial"/>
                <w:color w:val="000000"/>
              </w:rPr>
            </w:pPr>
            <w:r>
              <w:rPr>
                <w:rFonts w:ascii="Arial" w:hAnsi="Arial" w:cs="Arial"/>
                <w:color w:val="000000"/>
              </w:rPr>
              <w:t>(419,186)</w:t>
            </w:r>
          </w:p>
        </w:tc>
        <w:tc>
          <w:tcPr>
            <w:tcW w:w="2286" w:type="dxa"/>
            <w:tcBorders>
              <w:top w:val="nil"/>
              <w:left w:val="nil"/>
              <w:bottom w:val="single" w:sz="8" w:space="0" w:color="auto"/>
              <w:right w:val="nil"/>
            </w:tcBorders>
            <w:shd w:val="clear" w:color="000000" w:fill="CCCCCC"/>
            <w:vAlign w:val="center"/>
            <w:hideMark/>
          </w:tcPr>
          <w:p w14:paraId="7DA5ADE2" w14:textId="69F16DB7" w:rsidR="00977112" w:rsidRPr="00784E9A" w:rsidRDefault="00977112" w:rsidP="00977112">
            <w:pPr>
              <w:jc w:val="right"/>
              <w:rPr>
                <w:rFonts w:ascii="Arial" w:hAnsi="Arial" w:cs="Arial"/>
                <w:color w:val="000000"/>
              </w:rPr>
            </w:pPr>
            <w:r>
              <w:rPr>
                <w:rFonts w:ascii="Arial" w:hAnsi="Arial" w:cs="Arial"/>
                <w:color w:val="000000"/>
              </w:rPr>
              <w:t>0</w:t>
            </w:r>
          </w:p>
        </w:tc>
        <w:tc>
          <w:tcPr>
            <w:tcW w:w="1549" w:type="dxa"/>
            <w:tcBorders>
              <w:top w:val="nil"/>
              <w:left w:val="nil"/>
              <w:bottom w:val="nil"/>
              <w:right w:val="single" w:sz="8" w:space="0" w:color="auto"/>
            </w:tcBorders>
            <w:shd w:val="clear" w:color="000000" w:fill="CCCCCC"/>
            <w:vAlign w:val="center"/>
            <w:hideMark/>
          </w:tcPr>
          <w:p w14:paraId="580CA698" w14:textId="3296396B" w:rsidR="00977112" w:rsidRPr="00784E9A" w:rsidRDefault="00977112" w:rsidP="00977112">
            <w:pPr>
              <w:jc w:val="right"/>
              <w:rPr>
                <w:rFonts w:ascii="Arial" w:hAnsi="Arial" w:cs="Arial"/>
                <w:color w:val="000000"/>
              </w:rPr>
            </w:pPr>
            <w:r>
              <w:rPr>
                <w:rFonts w:ascii="Arial" w:hAnsi="Arial" w:cs="Arial"/>
                <w:color w:val="000000"/>
              </w:rPr>
              <w:t>(419,186)</w:t>
            </w:r>
          </w:p>
        </w:tc>
      </w:tr>
      <w:tr w:rsidR="00977112" w:rsidRPr="00784E9A" w14:paraId="2BB6880E" w14:textId="77777777" w:rsidTr="00494EE0">
        <w:trPr>
          <w:trHeight w:val="284"/>
        </w:trPr>
        <w:tc>
          <w:tcPr>
            <w:tcW w:w="2711" w:type="dxa"/>
            <w:tcBorders>
              <w:top w:val="nil"/>
              <w:left w:val="single" w:sz="8" w:space="0" w:color="auto"/>
              <w:bottom w:val="single" w:sz="8" w:space="0" w:color="auto"/>
              <w:right w:val="nil"/>
            </w:tcBorders>
            <w:vAlign w:val="center"/>
            <w:hideMark/>
          </w:tcPr>
          <w:p w14:paraId="1500D180" w14:textId="2B9A6970" w:rsidR="00977112" w:rsidRPr="00784E9A" w:rsidRDefault="00977112" w:rsidP="00977112">
            <w:pPr>
              <w:jc w:val="right"/>
              <w:rPr>
                <w:rFonts w:ascii="Arial" w:hAnsi="Arial" w:cs="Arial"/>
                <w:b/>
                <w:bCs/>
                <w:color w:val="000000"/>
              </w:rPr>
            </w:pPr>
            <w:r>
              <w:rPr>
                <w:rFonts w:ascii="Arial" w:hAnsi="Arial" w:cs="Arial"/>
                <w:b/>
                <w:bCs/>
                <w:color w:val="000000"/>
              </w:rPr>
              <w:t>(355,928)</w:t>
            </w:r>
          </w:p>
        </w:tc>
        <w:tc>
          <w:tcPr>
            <w:tcW w:w="2189" w:type="dxa"/>
            <w:tcBorders>
              <w:top w:val="nil"/>
              <w:left w:val="nil"/>
              <w:bottom w:val="single" w:sz="8" w:space="0" w:color="auto"/>
              <w:right w:val="nil"/>
            </w:tcBorders>
            <w:vAlign w:val="center"/>
            <w:hideMark/>
          </w:tcPr>
          <w:p w14:paraId="5B71E30E" w14:textId="6E05B3F6" w:rsidR="00977112" w:rsidRPr="00784E9A" w:rsidRDefault="00977112" w:rsidP="00977112">
            <w:pPr>
              <w:jc w:val="right"/>
              <w:rPr>
                <w:rFonts w:ascii="Arial" w:hAnsi="Arial" w:cs="Arial"/>
                <w:b/>
                <w:bCs/>
                <w:color w:val="000000"/>
              </w:rPr>
            </w:pPr>
            <w:r>
              <w:rPr>
                <w:rFonts w:ascii="Arial" w:hAnsi="Arial" w:cs="Arial"/>
                <w:b/>
                <w:bCs/>
                <w:color w:val="000000"/>
              </w:rPr>
              <w:t>1,728</w:t>
            </w:r>
          </w:p>
        </w:tc>
        <w:tc>
          <w:tcPr>
            <w:tcW w:w="1549" w:type="dxa"/>
            <w:tcBorders>
              <w:top w:val="single" w:sz="8" w:space="0" w:color="auto"/>
              <w:left w:val="nil"/>
              <w:bottom w:val="single" w:sz="8" w:space="0" w:color="auto"/>
              <w:right w:val="nil"/>
            </w:tcBorders>
            <w:vAlign w:val="center"/>
            <w:hideMark/>
          </w:tcPr>
          <w:p w14:paraId="3B207BD5" w14:textId="06F3AF45" w:rsidR="00977112" w:rsidRPr="00784E9A" w:rsidRDefault="00977112" w:rsidP="00977112">
            <w:pPr>
              <w:jc w:val="right"/>
              <w:rPr>
                <w:rFonts w:ascii="Arial" w:hAnsi="Arial" w:cs="Arial"/>
                <w:b/>
                <w:bCs/>
                <w:color w:val="000000"/>
              </w:rPr>
            </w:pPr>
            <w:r>
              <w:rPr>
                <w:rFonts w:ascii="Arial" w:hAnsi="Arial" w:cs="Arial"/>
                <w:b/>
                <w:bCs/>
                <w:color w:val="000000"/>
              </w:rPr>
              <w:t>(354,200)</w:t>
            </w:r>
          </w:p>
        </w:tc>
        <w:tc>
          <w:tcPr>
            <w:tcW w:w="2472" w:type="dxa"/>
            <w:tcBorders>
              <w:top w:val="nil"/>
              <w:left w:val="nil"/>
              <w:bottom w:val="single" w:sz="8" w:space="0" w:color="auto"/>
              <w:right w:val="nil"/>
            </w:tcBorders>
            <w:shd w:val="clear" w:color="000000" w:fill="CCCCCC"/>
            <w:vAlign w:val="center"/>
            <w:hideMark/>
          </w:tcPr>
          <w:p w14:paraId="683B7BDC" w14:textId="77777777" w:rsidR="00977112" w:rsidRPr="00784E9A" w:rsidRDefault="00977112" w:rsidP="00977112">
            <w:pPr>
              <w:rPr>
                <w:rFonts w:ascii="Arial" w:hAnsi="Arial" w:cs="Arial"/>
                <w:b/>
                <w:bCs/>
                <w:color w:val="000000"/>
              </w:rPr>
            </w:pPr>
            <w:r w:rsidRPr="00784E9A">
              <w:rPr>
                <w:rFonts w:ascii="Arial" w:hAnsi="Arial" w:cs="Arial"/>
                <w:b/>
                <w:bCs/>
                <w:color w:val="000000"/>
              </w:rPr>
              <w:t>(Surplus)/Deficit on Provision of Services</w:t>
            </w:r>
          </w:p>
        </w:tc>
        <w:tc>
          <w:tcPr>
            <w:tcW w:w="2703" w:type="dxa"/>
            <w:tcBorders>
              <w:top w:val="nil"/>
              <w:left w:val="nil"/>
              <w:bottom w:val="single" w:sz="8" w:space="0" w:color="auto"/>
              <w:right w:val="nil"/>
            </w:tcBorders>
            <w:shd w:val="clear" w:color="000000" w:fill="CCCCCC"/>
            <w:vAlign w:val="center"/>
            <w:hideMark/>
          </w:tcPr>
          <w:p w14:paraId="4D0B8CD3" w14:textId="6414BFFA" w:rsidR="00977112" w:rsidRPr="00784E9A" w:rsidRDefault="00977112" w:rsidP="00977112">
            <w:pPr>
              <w:jc w:val="right"/>
              <w:rPr>
                <w:rFonts w:ascii="Arial" w:hAnsi="Arial" w:cs="Arial"/>
                <w:b/>
                <w:bCs/>
                <w:color w:val="000000"/>
              </w:rPr>
            </w:pPr>
            <w:r>
              <w:rPr>
                <w:rFonts w:ascii="Arial" w:hAnsi="Arial" w:cs="Arial"/>
                <w:b/>
                <w:bCs/>
                <w:color w:val="000000"/>
              </w:rPr>
              <w:t>(371,250)</w:t>
            </w:r>
          </w:p>
        </w:tc>
        <w:tc>
          <w:tcPr>
            <w:tcW w:w="2286" w:type="dxa"/>
            <w:tcBorders>
              <w:top w:val="nil"/>
              <w:left w:val="nil"/>
              <w:bottom w:val="single" w:sz="8" w:space="0" w:color="auto"/>
              <w:right w:val="nil"/>
            </w:tcBorders>
            <w:shd w:val="clear" w:color="000000" w:fill="CCCCCC"/>
            <w:vAlign w:val="center"/>
            <w:hideMark/>
          </w:tcPr>
          <w:p w14:paraId="4F2655B1" w14:textId="219A83AA" w:rsidR="00977112" w:rsidRPr="00784E9A" w:rsidRDefault="00977112" w:rsidP="00977112">
            <w:pPr>
              <w:jc w:val="right"/>
              <w:rPr>
                <w:rFonts w:ascii="Arial" w:hAnsi="Arial" w:cs="Arial"/>
                <w:b/>
                <w:bCs/>
                <w:color w:val="000000"/>
              </w:rPr>
            </w:pPr>
            <w:r>
              <w:rPr>
                <w:rFonts w:ascii="Arial" w:hAnsi="Arial" w:cs="Arial"/>
                <w:b/>
                <w:bCs/>
                <w:color w:val="000000"/>
              </w:rPr>
              <w:t>2,7</w:t>
            </w:r>
            <w:r w:rsidR="009B691C">
              <w:rPr>
                <w:rFonts w:ascii="Arial" w:hAnsi="Arial" w:cs="Arial"/>
                <w:b/>
                <w:bCs/>
                <w:color w:val="000000"/>
              </w:rPr>
              <w:t>19</w:t>
            </w:r>
          </w:p>
        </w:tc>
        <w:tc>
          <w:tcPr>
            <w:tcW w:w="1549" w:type="dxa"/>
            <w:tcBorders>
              <w:top w:val="single" w:sz="8" w:space="0" w:color="auto"/>
              <w:left w:val="nil"/>
              <w:bottom w:val="single" w:sz="8" w:space="0" w:color="auto"/>
              <w:right w:val="single" w:sz="8" w:space="0" w:color="auto"/>
            </w:tcBorders>
            <w:shd w:val="clear" w:color="000000" w:fill="CCCCCC"/>
            <w:vAlign w:val="center"/>
            <w:hideMark/>
          </w:tcPr>
          <w:p w14:paraId="0CB23561" w14:textId="3FB9E38E" w:rsidR="00977112" w:rsidRPr="00784E9A" w:rsidRDefault="00977112" w:rsidP="00977112">
            <w:pPr>
              <w:jc w:val="right"/>
              <w:rPr>
                <w:rFonts w:ascii="Arial" w:hAnsi="Arial" w:cs="Arial"/>
                <w:b/>
                <w:bCs/>
                <w:color w:val="000000"/>
              </w:rPr>
            </w:pPr>
            <w:r>
              <w:rPr>
                <w:rFonts w:ascii="Arial" w:hAnsi="Arial" w:cs="Arial"/>
                <w:b/>
                <w:bCs/>
                <w:color w:val="000000"/>
              </w:rPr>
              <w:t>(368,5</w:t>
            </w:r>
            <w:r w:rsidR="00842068">
              <w:rPr>
                <w:rFonts w:ascii="Arial" w:hAnsi="Arial" w:cs="Arial"/>
                <w:b/>
                <w:bCs/>
                <w:color w:val="000000"/>
              </w:rPr>
              <w:t>31</w:t>
            </w:r>
            <w:r>
              <w:rPr>
                <w:rFonts w:ascii="Arial" w:hAnsi="Arial" w:cs="Arial"/>
                <w:b/>
                <w:bCs/>
                <w:color w:val="000000"/>
              </w:rPr>
              <w:t>)</w:t>
            </w:r>
          </w:p>
        </w:tc>
      </w:tr>
    </w:tbl>
    <w:p w14:paraId="571C2BA9" w14:textId="5123E19E" w:rsidR="00255047" w:rsidRDefault="00503D65" w:rsidP="00B01DF0">
      <w:pPr>
        <w:ind w:left="720"/>
        <w:rPr>
          <w:rFonts w:ascii="Arial" w:hAnsi="Arial"/>
          <w:b/>
          <w:sz w:val="22"/>
          <w:szCs w:val="22"/>
          <w:highlight w:val="yellow"/>
        </w:rPr>
      </w:pPr>
      <w:r>
        <w:rPr>
          <w:rFonts w:ascii="Arial" w:hAnsi="Arial"/>
          <w:bCs/>
          <w:sz w:val="22"/>
          <w:szCs w:val="22"/>
        </w:rPr>
        <w:t xml:space="preserve">No Change to the above table for 23/24’s </w:t>
      </w:r>
      <w:r w:rsidR="00B01DF0">
        <w:rPr>
          <w:rFonts w:ascii="Arial" w:hAnsi="Arial"/>
          <w:bCs/>
          <w:sz w:val="22"/>
          <w:szCs w:val="22"/>
        </w:rPr>
        <w:t xml:space="preserve">figures due to the </w:t>
      </w:r>
      <w:r w:rsidR="00723EA0" w:rsidRPr="00723EA0">
        <w:rPr>
          <w:rFonts w:ascii="Arial" w:hAnsi="Arial"/>
          <w:bCs/>
          <w:sz w:val="22"/>
          <w:szCs w:val="22"/>
        </w:rPr>
        <w:t>he areas of responsibility covered by the budget holders under the Chief Constable changed from 1 April 202</w:t>
      </w:r>
      <w:r w:rsidR="00193276">
        <w:rPr>
          <w:rFonts w:ascii="Arial" w:hAnsi="Arial"/>
          <w:bCs/>
          <w:sz w:val="22"/>
          <w:szCs w:val="22"/>
        </w:rPr>
        <w:t>4</w:t>
      </w:r>
      <w:r w:rsidR="00723EA0" w:rsidRPr="00723EA0">
        <w:rPr>
          <w:rFonts w:ascii="Arial" w:hAnsi="Arial"/>
          <w:bCs/>
          <w:sz w:val="22"/>
          <w:szCs w:val="22"/>
        </w:rPr>
        <w:t>.</w:t>
      </w:r>
    </w:p>
    <w:p w14:paraId="6B254CF2" w14:textId="77777777" w:rsidR="00255047" w:rsidRPr="00077C2F" w:rsidRDefault="00255047">
      <w:pPr>
        <w:rPr>
          <w:rFonts w:ascii="Arial" w:hAnsi="Arial"/>
          <w:b/>
          <w:sz w:val="22"/>
          <w:szCs w:val="22"/>
          <w:highlight w:val="yellow"/>
        </w:rPr>
      </w:pPr>
    </w:p>
    <w:p w14:paraId="33FEDC92" w14:textId="77777777" w:rsidR="00183314" w:rsidRDefault="00183314" w:rsidP="008A5600">
      <w:pPr>
        <w:ind w:left="720"/>
        <w:rPr>
          <w:rFonts w:ascii="Arial" w:hAnsi="Arial"/>
          <w:b/>
          <w:sz w:val="22"/>
          <w:szCs w:val="22"/>
        </w:rPr>
      </w:pPr>
    </w:p>
    <w:p w14:paraId="13D15FCF" w14:textId="3FFBA53D" w:rsidR="003B74DA" w:rsidRPr="001A039E" w:rsidRDefault="003B74DA" w:rsidP="008A5600">
      <w:pPr>
        <w:ind w:left="720"/>
        <w:rPr>
          <w:rFonts w:ascii="Arial" w:hAnsi="Arial"/>
          <w:b/>
          <w:sz w:val="22"/>
          <w:szCs w:val="22"/>
        </w:rPr>
      </w:pPr>
      <w:r w:rsidRPr="001A039E">
        <w:rPr>
          <w:rFonts w:ascii="Arial" w:hAnsi="Arial"/>
          <w:b/>
          <w:sz w:val="22"/>
          <w:szCs w:val="22"/>
        </w:rPr>
        <w:t>PCC SINGLE ENTITY</w:t>
      </w:r>
    </w:p>
    <w:p w14:paraId="2355FFC7" w14:textId="0344CF5B" w:rsidR="006A1C1B" w:rsidRPr="001A039E" w:rsidRDefault="006A1C1B" w:rsidP="003B74DA">
      <w:pPr>
        <w:ind w:firstLine="720"/>
      </w:pPr>
    </w:p>
    <w:tbl>
      <w:tblPr>
        <w:tblW w:w="15456" w:type="dxa"/>
        <w:tblLook w:val="04A0" w:firstRow="1" w:lastRow="0" w:firstColumn="1" w:lastColumn="0" w:noHBand="0" w:noVBand="1"/>
      </w:tblPr>
      <w:tblGrid>
        <w:gridCol w:w="2179"/>
        <w:gridCol w:w="1853"/>
        <w:gridCol w:w="1361"/>
        <w:gridCol w:w="1234"/>
        <w:gridCol w:w="2945"/>
        <w:gridCol w:w="2133"/>
        <w:gridCol w:w="1329"/>
        <w:gridCol w:w="1349"/>
        <w:gridCol w:w="1073"/>
      </w:tblGrid>
      <w:tr w:rsidR="00784E9A" w:rsidRPr="00784E9A" w14:paraId="1BA6A311" w14:textId="77777777" w:rsidTr="003A28C7">
        <w:trPr>
          <w:trHeight w:val="300"/>
        </w:trPr>
        <w:tc>
          <w:tcPr>
            <w:tcW w:w="6627" w:type="dxa"/>
            <w:gridSpan w:val="4"/>
            <w:tcBorders>
              <w:top w:val="single" w:sz="8" w:space="0" w:color="auto"/>
              <w:left w:val="single" w:sz="8" w:space="0" w:color="auto"/>
              <w:bottom w:val="nil"/>
              <w:right w:val="nil"/>
            </w:tcBorders>
            <w:vAlign w:val="center"/>
            <w:hideMark/>
          </w:tcPr>
          <w:p w14:paraId="7FA4FA3D" w14:textId="14C6AB4F" w:rsidR="00784E9A" w:rsidRPr="00784E9A" w:rsidRDefault="00C37E7F" w:rsidP="00784E9A">
            <w:pPr>
              <w:jc w:val="center"/>
              <w:rPr>
                <w:rFonts w:ascii="Arial" w:hAnsi="Arial" w:cs="Arial"/>
                <w:b/>
                <w:bCs/>
                <w:color w:val="000000"/>
                <w:sz w:val="22"/>
                <w:szCs w:val="22"/>
              </w:rPr>
            </w:pPr>
            <w:r>
              <w:rPr>
                <w:rFonts w:ascii="Arial" w:hAnsi="Arial" w:cs="Arial"/>
                <w:b/>
                <w:bCs/>
                <w:color w:val="000000"/>
                <w:sz w:val="22"/>
                <w:szCs w:val="22"/>
              </w:rPr>
              <w:t>2023/24</w:t>
            </w:r>
          </w:p>
        </w:tc>
        <w:tc>
          <w:tcPr>
            <w:tcW w:w="2945" w:type="dxa"/>
            <w:tcBorders>
              <w:top w:val="single" w:sz="8" w:space="0" w:color="auto"/>
              <w:left w:val="nil"/>
              <w:bottom w:val="nil"/>
              <w:right w:val="nil"/>
            </w:tcBorders>
            <w:shd w:val="clear" w:color="000000" w:fill="CCCCCC"/>
            <w:vAlign w:val="center"/>
            <w:hideMark/>
          </w:tcPr>
          <w:p w14:paraId="7720FFCD" w14:textId="77777777" w:rsidR="00784E9A" w:rsidRPr="00784E9A" w:rsidRDefault="00784E9A" w:rsidP="00784E9A">
            <w:pPr>
              <w:rPr>
                <w:rFonts w:ascii="Arial" w:hAnsi="Arial" w:cs="Arial"/>
                <w:b/>
                <w:bCs/>
                <w:i/>
                <w:iCs/>
                <w:color w:val="000000"/>
                <w:sz w:val="22"/>
                <w:szCs w:val="22"/>
              </w:rPr>
            </w:pPr>
            <w:r w:rsidRPr="00784E9A">
              <w:rPr>
                <w:rFonts w:ascii="Arial" w:hAnsi="Arial" w:cs="Arial"/>
                <w:b/>
                <w:bCs/>
                <w:i/>
                <w:iCs/>
                <w:color w:val="000000"/>
                <w:sz w:val="22"/>
                <w:szCs w:val="22"/>
              </w:rPr>
              <w:t> </w:t>
            </w:r>
          </w:p>
        </w:tc>
        <w:tc>
          <w:tcPr>
            <w:tcW w:w="5884" w:type="dxa"/>
            <w:gridSpan w:val="4"/>
            <w:tcBorders>
              <w:top w:val="single" w:sz="8" w:space="0" w:color="auto"/>
              <w:left w:val="nil"/>
              <w:bottom w:val="nil"/>
              <w:right w:val="single" w:sz="8" w:space="0" w:color="000000"/>
            </w:tcBorders>
            <w:shd w:val="clear" w:color="000000" w:fill="CCCCCC"/>
            <w:vAlign w:val="center"/>
            <w:hideMark/>
          </w:tcPr>
          <w:p w14:paraId="48024F3D" w14:textId="7966F2DB" w:rsidR="00784E9A" w:rsidRPr="00784E9A" w:rsidRDefault="00C37E7F" w:rsidP="00784E9A">
            <w:pPr>
              <w:jc w:val="center"/>
              <w:rPr>
                <w:rFonts w:ascii="Arial" w:hAnsi="Arial" w:cs="Arial"/>
                <w:b/>
                <w:bCs/>
                <w:color w:val="000000"/>
                <w:sz w:val="22"/>
                <w:szCs w:val="22"/>
              </w:rPr>
            </w:pPr>
            <w:r>
              <w:rPr>
                <w:rFonts w:ascii="Arial" w:hAnsi="Arial" w:cs="Arial"/>
                <w:b/>
                <w:bCs/>
                <w:color w:val="000000"/>
                <w:sz w:val="22"/>
                <w:szCs w:val="22"/>
              </w:rPr>
              <w:t>2024/25</w:t>
            </w:r>
          </w:p>
        </w:tc>
      </w:tr>
      <w:tr w:rsidR="00784E9A" w:rsidRPr="00784E9A" w14:paraId="0AB638B3" w14:textId="77777777" w:rsidTr="003A28C7">
        <w:trPr>
          <w:trHeight w:val="1500"/>
        </w:trPr>
        <w:tc>
          <w:tcPr>
            <w:tcW w:w="2179" w:type="dxa"/>
            <w:tcBorders>
              <w:top w:val="nil"/>
              <w:left w:val="single" w:sz="8" w:space="0" w:color="auto"/>
              <w:bottom w:val="nil"/>
              <w:right w:val="nil"/>
            </w:tcBorders>
            <w:vAlign w:val="center"/>
            <w:hideMark/>
          </w:tcPr>
          <w:p w14:paraId="62CA76BA" w14:textId="77777777" w:rsidR="00784E9A" w:rsidRPr="00784E9A" w:rsidRDefault="00784E9A" w:rsidP="00784E9A">
            <w:pPr>
              <w:jc w:val="right"/>
              <w:rPr>
                <w:rFonts w:ascii="Arial" w:hAnsi="Arial" w:cs="Arial"/>
                <w:b/>
                <w:bCs/>
                <w:color w:val="000000"/>
                <w:sz w:val="22"/>
                <w:szCs w:val="22"/>
              </w:rPr>
            </w:pPr>
            <w:proofErr w:type="spellStart"/>
            <w:r w:rsidRPr="00784E9A">
              <w:rPr>
                <w:rFonts w:ascii="Arial" w:hAnsi="Arial" w:cs="Arial"/>
                <w:b/>
                <w:bCs/>
                <w:color w:val="000000"/>
                <w:sz w:val="22"/>
                <w:szCs w:val="22"/>
              </w:rPr>
              <w:t>Adjs</w:t>
            </w:r>
            <w:proofErr w:type="spellEnd"/>
            <w:r w:rsidRPr="00784E9A">
              <w:rPr>
                <w:rFonts w:ascii="Arial" w:hAnsi="Arial" w:cs="Arial"/>
                <w:b/>
                <w:bCs/>
                <w:color w:val="000000"/>
                <w:sz w:val="22"/>
                <w:szCs w:val="22"/>
              </w:rPr>
              <w:t xml:space="preserve"> relating to other </w:t>
            </w:r>
            <w:proofErr w:type="spellStart"/>
            <w:r w:rsidRPr="00784E9A">
              <w:rPr>
                <w:rFonts w:ascii="Arial" w:hAnsi="Arial" w:cs="Arial"/>
                <w:b/>
                <w:bCs/>
                <w:color w:val="000000"/>
                <w:sz w:val="22"/>
                <w:szCs w:val="22"/>
              </w:rPr>
              <w:t>inc</w:t>
            </w:r>
            <w:proofErr w:type="spellEnd"/>
            <w:r w:rsidRPr="00784E9A">
              <w:rPr>
                <w:rFonts w:ascii="Arial" w:hAnsi="Arial" w:cs="Arial"/>
                <w:b/>
                <w:bCs/>
                <w:color w:val="000000"/>
                <w:sz w:val="22"/>
                <w:szCs w:val="22"/>
              </w:rPr>
              <w:t xml:space="preserve"> &amp; exp</w:t>
            </w:r>
          </w:p>
        </w:tc>
        <w:tc>
          <w:tcPr>
            <w:tcW w:w="1853" w:type="dxa"/>
            <w:tcBorders>
              <w:top w:val="nil"/>
              <w:left w:val="nil"/>
              <w:bottom w:val="nil"/>
              <w:right w:val="nil"/>
            </w:tcBorders>
            <w:vAlign w:val="center"/>
            <w:hideMark/>
          </w:tcPr>
          <w:p w14:paraId="0C399637" w14:textId="77777777" w:rsidR="00784E9A" w:rsidRPr="00784E9A" w:rsidRDefault="00784E9A" w:rsidP="00784E9A">
            <w:pPr>
              <w:jc w:val="right"/>
              <w:rPr>
                <w:rFonts w:ascii="Arial" w:hAnsi="Arial" w:cs="Arial"/>
                <w:b/>
                <w:bCs/>
                <w:color w:val="000000"/>
                <w:sz w:val="22"/>
                <w:szCs w:val="22"/>
              </w:rPr>
            </w:pPr>
            <w:proofErr w:type="spellStart"/>
            <w:r w:rsidRPr="00784E9A">
              <w:rPr>
                <w:rFonts w:ascii="Arial" w:hAnsi="Arial" w:cs="Arial"/>
                <w:b/>
                <w:bCs/>
                <w:color w:val="000000"/>
                <w:sz w:val="22"/>
                <w:szCs w:val="22"/>
              </w:rPr>
              <w:t>Adjs</w:t>
            </w:r>
            <w:proofErr w:type="spellEnd"/>
            <w:r w:rsidRPr="00784E9A">
              <w:rPr>
                <w:rFonts w:ascii="Arial" w:hAnsi="Arial" w:cs="Arial"/>
                <w:b/>
                <w:bCs/>
                <w:color w:val="000000"/>
                <w:sz w:val="22"/>
                <w:szCs w:val="22"/>
              </w:rPr>
              <w:t xml:space="preserve"> relating to transfers to &amp; from reserves</w:t>
            </w:r>
          </w:p>
        </w:tc>
        <w:tc>
          <w:tcPr>
            <w:tcW w:w="1361" w:type="dxa"/>
            <w:tcBorders>
              <w:top w:val="nil"/>
              <w:left w:val="nil"/>
              <w:bottom w:val="nil"/>
              <w:right w:val="nil"/>
            </w:tcBorders>
            <w:vAlign w:val="center"/>
            <w:hideMark/>
          </w:tcPr>
          <w:p w14:paraId="18446AE3" w14:textId="77777777" w:rsidR="00784E9A" w:rsidRPr="00784E9A" w:rsidRDefault="00784E9A" w:rsidP="00784E9A">
            <w:pPr>
              <w:jc w:val="right"/>
              <w:rPr>
                <w:rFonts w:ascii="Arial" w:hAnsi="Arial" w:cs="Arial"/>
                <w:b/>
                <w:bCs/>
                <w:color w:val="000000"/>
                <w:sz w:val="22"/>
                <w:szCs w:val="22"/>
              </w:rPr>
            </w:pPr>
            <w:proofErr w:type="spellStart"/>
            <w:r w:rsidRPr="00784E9A">
              <w:rPr>
                <w:rFonts w:ascii="Arial" w:hAnsi="Arial" w:cs="Arial"/>
                <w:b/>
                <w:bCs/>
                <w:color w:val="000000"/>
                <w:sz w:val="22"/>
                <w:szCs w:val="22"/>
              </w:rPr>
              <w:t>Adjs</w:t>
            </w:r>
            <w:proofErr w:type="spellEnd"/>
            <w:r w:rsidRPr="00784E9A">
              <w:rPr>
                <w:rFonts w:ascii="Arial" w:hAnsi="Arial" w:cs="Arial"/>
                <w:b/>
                <w:bCs/>
                <w:color w:val="000000"/>
                <w:sz w:val="22"/>
                <w:szCs w:val="22"/>
              </w:rPr>
              <w:t xml:space="preserve"> relating to the funding of the CC</w:t>
            </w:r>
          </w:p>
        </w:tc>
        <w:tc>
          <w:tcPr>
            <w:tcW w:w="1234" w:type="dxa"/>
            <w:tcBorders>
              <w:top w:val="nil"/>
              <w:left w:val="nil"/>
              <w:bottom w:val="nil"/>
              <w:right w:val="nil"/>
            </w:tcBorders>
            <w:vAlign w:val="center"/>
            <w:hideMark/>
          </w:tcPr>
          <w:p w14:paraId="13C55511"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 xml:space="preserve">Total </w:t>
            </w:r>
            <w:proofErr w:type="spellStart"/>
            <w:r w:rsidRPr="00784E9A">
              <w:rPr>
                <w:rFonts w:ascii="Arial" w:hAnsi="Arial" w:cs="Arial"/>
                <w:b/>
                <w:bCs/>
                <w:color w:val="000000"/>
                <w:sz w:val="22"/>
                <w:szCs w:val="22"/>
              </w:rPr>
              <w:t>Adjs</w:t>
            </w:r>
            <w:proofErr w:type="spellEnd"/>
          </w:p>
        </w:tc>
        <w:tc>
          <w:tcPr>
            <w:tcW w:w="2945" w:type="dxa"/>
            <w:tcBorders>
              <w:top w:val="nil"/>
              <w:left w:val="nil"/>
              <w:bottom w:val="nil"/>
              <w:right w:val="nil"/>
            </w:tcBorders>
            <w:shd w:val="clear" w:color="000000" w:fill="CCCCCC"/>
            <w:vAlign w:val="center"/>
            <w:hideMark/>
          </w:tcPr>
          <w:p w14:paraId="145D3569"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 xml:space="preserve">  </w:t>
            </w:r>
          </w:p>
        </w:tc>
        <w:tc>
          <w:tcPr>
            <w:tcW w:w="2133" w:type="dxa"/>
            <w:tcBorders>
              <w:top w:val="nil"/>
              <w:left w:val="nil"/>
              <w:bottom w:val="nil"/>
              <w:right w:val="nil"/>
            </w:tcBorders>
            <w:shd w:val="clear" w:color="000000" w:fill="CCCCCC"/>
            <w:vAlign w:val="center"/>
            <w:hideMark/>
          </w:tcPr>
          <w:p w14:paraId="56D6B484" w14:textId="77777777" w:rsidR="00784E9A" w:rsidRPr="00784E9A" w:rsidRDefault="00784E9A" w:rsidP="00784E9A">
            <w:pPr>
              <w:jc w:val="right"/>
              <w:rPr>
                <w:rFonts w:ascii="Arial" w:hAnsi="Arial" w:cs="Arial"/>
                <w:b/>
                <w:bCs/>
                <w:color w:val="000000"/>
                <w:sz w:val="22"/>
                <w:szCs w:val="22"/>
              </w:rPr>
            </w:pPr>
            <w:proofErr w:type="spellStart"/>
            <w:r w:rsidRPr="00784E9A">
              <w:rPr>
                <w:rFonts w:ascii="Arial" w:hAnsi="Arial" w:cs="Arial"/>
                <w:b/>
                <w:bCs/>
                <w:color w:val="000000"/>
                <w:sz w:val="22"/>
                <w:szCs w:val="22"/>
              </w:rPr>
              <w:t>Adjs</w:t>
            </w:r>
            <w:proofErr w:type="spellEnd"/>
            <w:r w:rsidRPr="00784E9A">
              <w:rPr>
                <w:rFonts w:ascii="Arial" w:hAnsi="Arial" w:cs="Arial"/>
                <w:b/>
                <w:bCs/>
                <w:color w:val="000000"/>
                <w:sz w:val="22"/>
                <w:szCs w:val="22"/>
              </w:rPr>
              <w:t xml:space="preserve"> relating to other </w:t>
            </w:r>
            <w:proofErr w:type="spellStart"/>
            <w:r w:rsidRPr="00784E9A">
              <w:rPr>
                <w:rFonts w:ascii="Arial" w:hAnsi="Arial" w:cs="Arial"/>
                <w:b/>
                <w:bCs/>
                <w:color w:val="000000"/>
                <w:sz w:val="22"/>
                <w:szCs w:val="22"/>
              </w:rPr>
              <w:t>inc</w:t>
            </w:r>
            <w:proofErr w:type="spellEnd"/>
            <w:r w:rsidRPr="00784E9A">
              <w:rPr>
                <w:rFonts w:ascii="Arial" w:hAnsi="Arial" w:cs="Arial"/>
                <w:b/>
                <w:bCs/>
                <w:color w:val="000000"/>
                <w:sz w:val="22"/>
                <w:szCs w:val="22"/>
              </w:rPr>
              <w:t xml:space="preserve"> &amp; exp</w:t>
            </w:r>
          </w:p>
        </w:tc>
        <w:tc>
          <w:tcPr>
            <w:tcW w:w="1329" w:type="dxa"/>
            <w:tcBorders>
              <w:top w:val="nil"/>
              <w:left w:val="nil"/>
              <w:bottom w:val="nil"/>
              <w:right w:val="nil"/>
            </w:tcBorders>
            <w:shd w:val="clear" w:color="000000" w:fill="CCCCCC"/>
            <w:vAlign w:val="center"/>
            <w:hideMark/>
          </w:tcPr>
          <w:p w14:paraId="05D80EB6" w14:textId="77777777" w:rsidR="00784E9A" w:rsidRPr="00784E9A" w:rsidRDefault="00784E9A" w:rsidP="00784E9A">
            <w:pPr>
              <w:jc w:val="right"/>
              <w:rPr>
                <w:rFonts w:ascii="Arial" w:hAnsi="Arial" w:cs="Arial"/>
                <w:b/>
                <w:bCs/>
                <w:color w:val="000000"/>
                <w:sz w:val="22"/>
                <w:szCs w:val="22"/>
              </w:rPr>
            </w:pPr>
            <w:proofErr w:type="spellStart"/>
            <w:r w:rsidRPr="00784E9A">
              <w:rPr>
                <w:rFonts w:ascii="Arial" w:hAnsi="Arial" w:cs="Arial"/>
                <w:b/>
                <w:bCs/>
                <w:color w:val="000000"/>
                <w:sz w:val="22"/>
                <w:szCs w:val="22"/>
              </w:rPr>
              <w:t>Adjs</w:t>
            </w:r>
            <w:proofErr w:type="spellEnd"/>
            <w:r w:rsidRPr="00784E9A">
              <w:rPr>
                <w:rFonts w:ascii="Arial" w:hAnsi="Arial" w:cs="Arial"/>
                <w:b/>
                <w:bCs/>
                <w:color w:val="000000"/>
                <w:sz w:val="22"/>
                <w:szCs w:val="22"/>
              </w:rPr>
              <w:t xml:space="preserve"> relating to transfers to &amp; from reserves</w:t>
            </w:r>
          </w:p>
        </w:tc>
        <w:tc>
          <w:tcPr>
            <w:tcW w:w="1349" w:type="dxa"/>
            <w:tcBorders>
              <w:top w:val="nil"/>
              <w:left w:val="nil"/>
              <w:bottom w:val="nil"/>
              <w:right w:val="nil"/>
            </w:tcBorders>
            <w:shd w:val="clear" w:color="000000" w:fill="CCCCCC"/>
            <w:vAlign w:val="center"/>
            <w:hideMark/>
          </w:tcPr>
          <w:p w14:paraId="4CB91F07" w14:textId="77777777" w:rsidR="00784E9A" w:rsidRPr="00784E9A" w:rsidRDefault="00784E9A" w:rsidP="00784E9A">
            <w:pPr>
              <w:jc w:val="right"/>
              <w:rPr>
                <w:rFonts w:ascii="Arial" w:hAnsi="Arial" w:cs="Arial"/>
                <w:b/>
                <w:bCs/>
                <w:color w:val="000000"/>
                <w:sz w:val="22"/>
                <w:szCs w:val="22"/>
              </w:rPr>
            </w:pPr>
            <w:proofErr w:type="spellStart"/>
            <w:r w:rsidRPr="00784E9A">
              <w:rPr>
                <w:rFonts w:ascii="Arial" w:hAnsi="Arial" w:cs="Arial"/>
                <w:b/>
                <w:bCs/>
                <w:color w:val="000000"/>
                <w:sz w:val="22"/>
                <w:szCs w:val="22"/>
              </w:rPr>
              <w:t>Adjs</w:t>
            </w:r>
            <w:proofErr w:type="spellEnd"/>
            <w:r w:rsidRPr="00784E9A">
              <w:rPr>
                <w:rFonts w:ascii="Arial" w:hAnsi="Arial" w:cs="Arial"/>
                <w:b/>
                <w:bCs/>
                <w:color w:val="000000"/>
                <w:sz w:val="22"/>
                <w:szCs w:val="22"/>
              </w:rPr>
              <w:t xml:space="preserve"> relating to the funding of the CC</w:t>
            </w:r>
          </w:p>
        </w:tc>
        <w:tc>
          <w:tcPr>
            <w:tcW w:w="1073" w:type="dxa"/>
            <w:tcBorders>
              <w:top w:val="nil"/>
              <w:left w:val="nil"/>
              <w:bottom w:val="nil"/>
              <w:right w:val="single" w:sz="8" w:space="0" w:color="auto"/>
            </w:tcBorders>
            <w:shd w:val="clear" w:color="000000" w:fill="CCCCCC"/>
            <w:vAlign w:val="center"/>
            <w:hideMark/>
          </w:tcPr>
          <w:p w14:paraId="74E8313F" w14:textId="77777777" w:rsidR="00784E9A" w:rsidRPr="00784E9A" w:rsidRDefault="00784E9A" w:rsidP="00784E9A">
            <w:pPr>
              <w:jc w:val="right"/>
              <w:rPr>
                <w:rFonts w:ascii="Arial" w:hAnsi="Arial" w:cs="Arial"/>
                <w:b/>
                <w:bCs/>
                <w:color w:val="000000"/>
                <w:sz w:val="22"/>
                <w:szCs w:val="22"/>
              </w:rPr>
            </w:pPr>
            <w:r w:rsidRPr="00784E9A">
              <w:rPr>
                <w:rFonts w:ascii="Arial" w:hAnsi="Arial" w:cs="Arial"/>
                <w:b/>
                <w:bCs/>
                <w:color w:val="000000"/>
                <w:sz w:val="22"/>
                <w:szCs w:val="22"/>
              </w:rPr>
              <w:t xml:space="preserve">Total </w:t>
            </w:r>
            <w:proofErr w:type="spellStart"/>
            <w:r w:rsidRPr="00784E9A">
              <w:rPr>
                <w:rFonts w:ascii="Arial" w:hAnsi="Arial" w:cs="Arial"/>
                <w:b/>
                <w:bCs/>
                <w:color w:val="000000"/>
                <w:sz w:val="22"/>
                <w:szCs w:val="22"/>
              </w:rPr>
              <w:t>Adjs</w:t>
            </w:r>
            <w:proofErr w:type="spellEnd"/>
          </w:p>
        </w:tc>
      </w:tr>
      <w:tr w:rsidR="00784E9A" w:rsidRPr="00784E9A" w14:paraId="2A655B4E" w14:textId="77777777" w:rsidTr="003A28C7">
        <w:trPr>
          <w:trHeight w:val="300"/>
        </w:trPr>
        <w:tc>
          <w:tcPr>
            <w:tcW w:w="2179" w:type="dxa"/>
            <w:tcBorders>
              <w:top w:val="nil"/>
              <w:left w:val="single" w:sz="8" w:space="0" w:color="auto"/>
              <w:bottom w:val="nil"/>
              <w:right w:val="nil"/>
            </w:tcBorders>
            <w:vAlign w:val="center"/>
            <w:hideMark/>
          </w:tcPr>
          <w:p w14:paraId="0BA9D36B"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1853" w:type="dxa"/>
            <w:tcBorders>
              <w:top w:val="nil"/>
              <w:left w:val="nil"/>
              <w:bottom w:val="nil"/>
              <w:right w:val="nil"/>
            </w:tcBorders>
            <w:vAlign w:val="center"/>
            <w:hideMark/>
          </w:tcPr>
          <w:p w14:paraId="0D205FAE"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1361" w:type="dxa"/>
            <w:tcBorders>
              <w:top w:val="nil"/>
              <w:left w:val="nil"/>
              <w:bottom w:val="nil"/>
              <w:right w:val="nil"/>
            </w:tcBorders>
            <w:vAlign w:val="center"/>
            <w:hideMark/>
          </w:tcPr>
          <w:p w14:paraId="2E034558"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1234" w:type="dxa"/>
            <w:tcBorders>
              <w:top w:val="nil"/>
              <w:left w:val="nil"/>
              <w:bottom w:val="nil"/>
              <w:right w:val="nil"/>
            </w:tcBorders>
            <w:vAlign w:val="center"/>
            <w:hideMark/>
          </w:tcPr>
          <w:p w14:paraId="4E87FE1C"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2945" w:type="dxa"/>
            <w:tcBorders>
              <w:top w:val="nil"/>
              <w:left w:val="nil"/>
              <w:bottom w:val="nil"/>
              <w:right w:val="nil"/>
            </w:tcBorders>
            <w:shd w:val="clear" w:color="000000" w:fill="CCCCCC"/>
            <w:vAlign w:val="center"/>
            <w:hideMark/>
          </w:tcPr>
          <w:p w14:paraId="522C5A67" w14:textId="77777777" w:rsidR="00784E9A" w:rsidRPr="00784E9A" w:rsidRDefault="00784E9A" w:rsidP="00784E9A">
            <w:pPr>
              <w:rPr>
                <w:rFonts w:ascii="Arial" w:hAnsi="Arial" w:cs="Arial"/>
                <w:b/>
                <w:bCs/>
                <w:color w:val="000000"/>
              </w:rPr>
            </w:pPr>
            <w:r w:rsidRPr="00784E9A">
              <w:rPr>
                <w:rFonts w:ascii="Arial" w:hAnsi="Arial" w:cs="Arial"/>
                <w:b/>
                <w:bCs/>
                <w:color w:val="000000"/>
              </w:rPr>
              <w:t> </w:t>
            </w:r>
          </w:p>
        </w:tc>
        <w:tc>
          <w:tcPr>
            <w:tcW w:w="2133" w:type="dxa"/>
            <w:tcBorders>
              <w:top w:val="nil"/>
              <w:left w:val="nil"/>
              <w:bottom w:val="nil"/>
              <w:right w:val="nil"/>
            </w:tcBorders>
            <w:shd w:val="clear" w:color="000000" w:fill="CCCCCC"/>
            <w:vAlign w:val="center"/>
            <w:hideMark/>
          </w:tcPr>
          <w:p w14:paraId="0A950048"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1329" w:type="dxa"/>
            <w:tcBorders>
              <w:top w:val="nil"/>
              <w:left w:val="nil"/>
              <w:bottom w:val="nil"/>
              <w:right w:val="nil"/>
            </w:tcBorders>
            <w:shd w:val="clear" w:color="000000" w:fill="CCCCCC"/>
            <w:vAlign w:val="center"/>
            <w:hideMark/>
          </w:tcPr>
          <w:p w14:paraId="11387BFD"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1349" w:type="dxa"/>
            <w:tcBorders>
              <w:top w:val="nil"/>
              <w:left w:val="nil"/>
              <w:bottom w:val="nil"/>
              <w:right w:val="nil"/>
            </w:tcBorders>
            <w:shd w:val="clear" w:color="000000" w:fill="CCCCCC"/>
            <w:vAlign w:val="center"/>
            <w:hideMark/>
          </w:tcPr>
          <w:p w14:paraId="3EF9445E"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c>
          <w:tcPr>
            <w:tcW w:w="1073" w:type="dxa"/>
            <w:tcBorders>
              <w:top w:val="nil"/>
              <w:left w:val="nil"/>
              <w:bottom w:val="nil"/>
              <w:right w:val="single" w:sz="8" w:space="0" w:color="auto"/>
            </w:tcBorders>
            <w:shd w:val="clear" w:color="000000" w:fill="CCCCCC"/>
            <w:vAlign w:val="center"/>
            <w:hideMark/>
          </w:tcPr>
          <w:p w14:paraId="7BC0B179" w14:textId="77777777" w:rsidR="00784E9A" w:rsidRPr="00784E9A" w:rsidRDefault="00784E9A" w:rsidP="00784E9A">
            <w:pPr>
              <w:jc w:val="right"/>
              <w:rPr>
                <w:rFonts w:ascii="Arial" w:hAnsi="Arial" w:cs="Arial"/>
                <w:b/>
                <w:bCs/>
                <w:color w:val="000000"/>
              </w:rPr>
            </w:pPr>
            <w:r w:rsidRPr="00784E9A">
              <w:rPr>
                <w:rFonts w:ascii="Arial" w:hAnsi="Arial" w:cs="Arial"/>
                <w:b/>
                <w:bCs/>
                <w:color w:val="000000"/>
              </w:rPr>
              <w:t>£000</w:t>
            </w:r>
          </w:p>
        </w:tc>
      </w:tr>
      <w:tr w:rsidR="00784E9A" w:rsidRPr="00784E9A" w14:paraId="0BAA43FB" w14:textId="77777777" w:rsidTr="003A28C7">
        <w:trPr>
          <w:trHeight w:val="300"/>
        </w:trPr>
        <w:tc>
          <w:tcPr>
            <w:tcW w:w="2179" w:type="dxa"/>
            <w:tcBorders>
              <w:top w:val="nil"/>
              <w:left w:val="single" w:sz="8" w:space="0" w:color="auto"/>
              <w:bottom w:val="nil"/>
              <w:right w:val="nil"/>
            </w:tcBorders>
            <w:vAlign w:val="center"/>
            <w:hideMark/>
          </w:tcPr>
          <w:p w14:paraId="0D6C8BFE"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c>
          <w:tcPr>
            <w:tcW w:w="1853" w:type="dxa"/>
            <w:tcBorders>
              <w:top w:val="nil"/>
              <w:left w:val="nil"/>
              <w:bottom w:val="nil"/>
              <w:right w:val="nil"/>
            </w:tcBorders>
            <w:vAlign w:val="center"/>
            <w:hideMark/>
          </w:tcPr>
          <w:p w14:paraId="18433BC9" w14:textId="77777777" w:rsidR="00784E9A" w:rsidRPr="00784E9A" w:rsidRDefault="00784E9A" w:rsidP="00784E9A">
            <w:pPr>
              <w:jc w:val="right"/>
              <w:rPr>
                <w:rFonts w:ascii="Arial" w:hAnsi="Arial" w:cs="Arial"/>
                <w:color w:val="000000"/>
              </w:rPr>
            </w:pPr>
          </w:p>
        </w:tc>
        <w:tc>
          <w:tcPr>
            <w:tcW w:w="1361" w:type="dxa"/>
            <w:tcBorders>
              <w:top w:val="nil"/>
              <w:left w:val="nil"/>
              <w:bottom w:val="nil"/>
              <w:right w:val="nil"/>
            </w:tcBorders>
            <w:vAlign w:val="center"/>
            <w:hideMark/>
          </w:tcPr>
          <w:p w14:paraId="66593D72" w14:textId="77777777" w:rsidR="00784E9A" w:rsidRPr="00784E9A" w:rsidRDefault="00784E9A" w:rsidP="00784E9A">
            <w:pPr>
              <w:jc w:val="right"/>
            </w:pPr>
          </w:p>
        </w:tc>
        <w:tc>
          <w:tcPr>
            <w:tcW w:w="1234" w:type="dxa"/>
            <w:tcBorders>
              <w:top w:val="nil"/>
              <w:left w:val="nil"/>
              <w:bottom w:val="nil"/>
              <w:right w:val="nil"/>
            </w:tcBorders>
            <w:vAlign w:val="center"/>
            <w:hideMark/>
          </w:tcPr>
          <w:p w14:paraId="08973DCC" w14:textId="77777777" w:rsidR="00784E9A" w:rsidRPr="00784E9A" w:rsidRDefault="00784E9A" w:rsidP="00784E9A">
            <w:pPr>
              <w:jc w:val="right"/>
            </w:pPr>
          </w:p>
        </w:tc>
        <w:tc>
          <w:tcPr>
            <w:tcW w:w="2945" w:type="dxa"/>
            <w:tcBorders>
              <w:top w:val="nil"/>
              <w:left w:val="nil"/>
              <w:bottom w:val="nil"/>
              <w:right w:val="nil"/>
            </w:tcBorders>
            <w:shd w:val="clear" w:color="000000" w:fill="CCCCCC"/>
            <w:vAlign w:val="center"/>
            <w:hideMark/>
          </w:tcPr>
          <w:p w14:paraId="2D2A667F" w14:textId="77777777" w:rsidR="00784E9A" w:rsidRPr="00784E9A" w:rsidRDefault="00784E9A" w:rsidP="00784E9A">
            <w:pPr>
              <w:rPr>
                <w:rFonts w:ascii="Arial" w:hAnsi="Arial" w:cs="Arial"/>
                <w:b/>
                <w:bCs/>
                <w:color w:val="000000"/>
              </w:rPr>
            </w:pPr>
            <w:r w:rsidRPr="00784E9A">
              <w:rPr>
                <w:rFonts w:ascii="Arial" w:hAnsi="Arial" w:cs="Arial"/>
                <w:b/>
                <w:bCs/>
                <w:color w:val="000000"/>
              </w:rPr>
              <w:t> </w:t>
            </w:r>
          </w:p>
        </w:tc>
        <w:tc>
          <w:tcPr>
            <w:tcW w:w="2133" w:type="dxa"/>
            <w:tcBorders>
              <w:top w:val="nil"/>
              <w:left w:val="nil"/>
              <w:bottom w:val="nil"/>
              <w:right w:val="nil"/>
            </w:tcBorders>
            <w:shd w:val="clear" w:color="000000" w:fill="CCCCCC"/>
            <w:vAlign w:val="center"/>
            <w:hideMark/>
          </w:tcPr>
          <w:p w14:paraId="4EAAD021"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c>
          <w:tcPr>
            <w:tcW w:w="1329" w:type="dxa"/>
            <w:tcBorders>
              <w:top w:val="nil"/>
              <w:left w:val="nil"/>
              <w:bottom w:val="nil"/>
              <w:right w:val="nil"/>
            </w:tcBorders>
            <w:shd w:val="clear" w:color="000000" w:fill="CCCCCC"/>
            <w:vAlign w:val="center"/>
            <w:hideMark/>
          </w:tcPr>
          <w:p w14:paraId="09FF7276"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c>
          <w:tcPr>
            <w:tcW w:w="1349" w:type="dxa"/>
            <w:tcBorders>
              <w:top w:val="nil"/>
              <w:left w:val="nil"/>
              <w:bottom w:val="nil"/>
              <w:right w:val="nil"/>
            </w:tcBorders>
            <w:shd w:val="clear" w:color="000000" w:fill="CCCCCC"/>
            <w:vAlign w:val="center"/>
            <w:hideMark/>
          </w:tcPr>
          <w:p w14:paraId="27D6BEA2"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c>
          <w:tcPr>
            <w:tcW w:w="1073" w:type="dxa"/>
            <w:tcBorders>
              <w:top w:val="nil"/>
              <w:left w:val="nil"/>
              <w:bottom w:val="nil"/>
              <w:right w:val="single" w:sz="8" w:space="0" w:color="auto"/>
            </w:tcBorders>
            <w:shd w:val="clear" w:color="000000" w:fill="CCCCCC"/>
            <w:vAlign w:val="center"/>
            <w:hideMark/>
          </w:tcPr>
          <w:p w14:paraId="745C154E" w14:textId="77777777" w:rsidR="00784E9A" w:rsidRPr="00784E9A" w:rsidRDefault="00784E9A" w:rsidP="00784E9A">
            <w:pPr>
              <w:jc w:val="right"/>
              <w:rPr>
                <w:rFonts w:ascii="Arial" w:hAnsi="Arial" w:cs="Arial"/>
                <w:color w:val="000000"/>
              </w:rPr>
            </w:pPr>
            <w:r w:rsidRPr="00784E9A">
              <w:rPr>
                <w:rFonts w:ascii="Arial" w:hAnsi="Arial" w:cs="Arial"/>
                <w:color w:val="000000"/>
              </w:rPr>
              <w:t> </w:t>
            </w:r>
          </w:p>
        </w:tc>
      </w:tr>
      <w:tr w:rsidR="009C2711" w:rsidRPr="00784E9A" w14:paraId="713E6546" w14:textId="77777777" w:rsidTr="003A28C7">
        <w:trPr>
          <w:trHeight w:val="300"/>
        </w:trPr>
        <w:tc>
          <w:tcPr>
            <w:tcW w:w="2179" w:type="dxa"/>
            <w:tcBorders>
              <w:top w:val="nil"/>
              <w:left w:val="single" w:sz="8" w:space="0" w:color="auto"/>
              <w:bottom w:val="nil"/>
              <w:right w:val="nil"/>
            </w:tcBorders>
            <w:vAlign w:val="center"/>
            <w:hideMark/>
          </w:tcPr>
          <w:p w14:paraId="1DFEA45D" w14:textId="774D57F6" w:rsidR="009C2711" w:rsidRPr="00784E9A" w:rsidRDefault="009C2711" w:rsidP="009C2711">
            <w:pPr>
              <w:jc w:val="right"/>
              <w:rPr>
                <w:rFonts w:ascii="Arial" w:hAnsi="Arial" w:cs="Arial"/>
                <w:color w:val="000000"/>
              </w:rPr>
            </w:pPr>
            <w:r>
              <w:rPr>
                <w:rFonts w:ascii="Arial" w:hAnsi="Arial" w:cs="Arial"/>
                <w:color w:val="000000"/>
              </w:rPr>
              <w:t>0</w:t>
            </w:r>
          </w:p>
        </w:tc>
        <w:tc>
          <w:tcPr>
            <w:tcW w:w="1853" w:type="dxa"/>
            <w:tcBorders>
              <w:top w:val="nil"/>
              <w:left w:val="nil"/>
              <w:bottom w:val="nil"/>
              <w:right w:val="nil"/>
            </w:tcBorders>
            <w:vAlign w:val="center"/>
            <w:hideMark/>
          </w:tcPr>
          <w:p w14:paraId="4CF455C2" w14:textId="12893933" w:rsidR="009C2711" w:rsidRPr="00784E9A" w:rsidRDefault="009C2711" w:rsidP="009C2711">
            <w:pPr>
              <w:jc w:val="right"/>
              <w:rPr>
                <w:rFonts w:ascii="Arial" w:hAnsi="Arial" w:cs="Arial"/>
                <w:color w:val="000000"/>
              </w:rPr>
            </w:pPr>
            <w:r>
              <w:rPr>
                <w:rFonts w:ascii="Arial" w:hAnsi="Arial" w:cs="Arial"/>
                <w:color w:val="000000"/>
              </w:rPr>
              <w:t>(9)</w:t>
            </w:r>
          </w:p>
        </w:tc>
        <w:tc>
          <w:tcPr>
            <w:tcW w:w="1361" w:type="dxa"/>
            <w:tcBorders>
              <w:top w:val="nil"/>
              <w:left w:val="nil"/>
              <w:bottom w:val="nil"/>
              <w:right w:val="nil"/>
            </w:tcBorders>
            <w:vAlign w:val="center"/>
            <w:hideMark/>
          </w:tcPr>
          <w:p w14:paraId="548AC260" w14:textId="5D8F8BCA" w:rsidR="009C2711" w:rsidRPr="00784E9A" w:rsidRDefault="009C2711" w:rsidP="009C2711">
            <w:pPr>
              <w:jc w:val="right"/>
              <w:rPr>
                <w:rFonts w:ascii="Arial" w:hAnsi="Arial" w:cs="Arial"/>
                <w:color w:val="000000"/>
              </w:rPr>
            </w:pPr>
            <w:r>
              <w:rPr>
                <w:rFonts w:ascii="Arial" w:hAnsi="Arial" w:cs="Arial"/>
                <w:color w:val="000000"/>
              </w:rPr>
              <w:t>(0)</w:t>
            </w:r>
          </w:p>
        </w:tc>
        <w:tc>
          <w:tcPr>
            <w:tcW w:w="1234" w:type="dxa"/>
            <w:tcBorders>
              <w:top w:val="nil"/>
              <w:left w:val="nil"/>
              <w:bottom w:val="nil"/>
              <w:right w:val="nil"/>
            </w:tcBorders>
            <w:vAlign w:val="center"/>
            <w:hideMark/>
          </w:tcPr>
          <w:p w14:paraId="6A4FC0FA" w14:textId="04F77F05" w:rsidR="009C2711" w:rsidRPr="00784E9A" w:rsidRDefault="009C2711" w:rsidP="009C2711">
            <w:pPr>
              <w:jc w:val="right"/>
              <w:rPr>
                <w:rFonts w:ascii="Arial" w:hAnsi="Arial" w:cs="Arial"/>
                <w:color w:val="000000"/>
              </w:rPr>
            </w:pPr>
            <w:r>
              <w:rPr>
                <w:rFonts w:ascii="Arial" w:hAnsi="Arial" w:cs="Arial"/>
                <w:color w:val="000000"/>
              </w:rPr>
              <w:t>(10)</w:t>
            </w:r>
          </w:p>
        </w:tc>
        <w:tc>
          <w:tcPr>
            <w:tcW w:w="2945" w:type="dxa"/>
            <w:tcBorders>
              <w:top w:val="nil"/>
              <w:left w:val="nil"/>
              <w:bottom w:val="nil"/>
              <w:right w:val="nil"/>
            </w:tcBorders>
            <w:shd w:val="clear" w:color="000000" w:fill="CCCCCC"/>
            <w:vAlign w:val="center"/>
            <w:hideMark/>
          </w:tcPr>
          <w:p w14:paraId="10AB2A70" w14:textId="77777777" w:rsidR="009C2711" w:rsidRPr="00784E9A" w:rsidRDefault="009C2711" w:rsidP="009C2711">
            <w:pPr>
              <w:rPr>
                <w:rFonts w:ascii="Arial" w:hAnsi="Arial" w:cs="Arial"/>
                <w:color w:val="000000"/>
              </w:rPr>
            </w:pPr>
            <w:r w:rsidRPr="00784E9A">
              <w:rPr>
                <w:rFonts w:ascii="Arial" w:hAnsi="Arial" w:cs="Arial"/>
                <w:color w:val="000000"/>
              </w:rPr>
              <w:t>Office of the PCC</w:t>
            </w:r>
          </w:p>
        </w:tc>
        <w:tc>
          <w:tcPr>
            <w:tcW w:w="2133" w:type="dxa"/>
            <w:tcBorders>
              <w:top w:val="nil"/>
              <w:left w:val="nil"/>
              <w:bottom w:val="nil"/>
              <w:right w:val="nil"/>
            </w:tcBorders>
            <w:shd w:val="clear" w:color="000000" w:fill="CCCCCC"/>
            <w:vAlign w:val="center"/>
            <w:hideMark/>
          </w:tcPr>
          <w:p w14:paraId="1187C895" w14:textId="0F2B3864" w:rsidR="009C2711" w:rsidRPr="00784E9A" w:rsidRDefault="009C2711" w:rsidP="009C2711">
            <w:pPr>
              <w:jc w:val="right"/>
              <w:rPr>
                <w:rFonts w:ascii="Arial" w:hAnsi="Arial" w:cs="Arial"/>
                <w:color w:val="000000"/>
              </w:rPr>
            </w:pPr>
            <w:r>
              <w:rPr>
                <w:rFonts w:ascii="Arial" w:hAnsi="Arial" w:cs="Arial"/>
                <w:color w:val="000000"/>
              </w:rPr>
              <w:t>0</w:t>
            </w:r>
          </w:p>
        </w:tc>
        <w:tc>
          <w:tcPr>
            <w:tcW w:w="1329" w:type="dxa"/>
            <w:tcBorders>
              <w:top w:val="nil"/>
              <w:left w:val="nil"/>
              <w:bottom w:val="nil"/>
              <w:right w:val="nil"/>
            </w:tcBorders>
            <w:shd w:val="clear" w:color="000000" w:fill="CCCCCC"/>
            <w:vAlign w:val="center"/>
            <w:hideMark/>
          </w:tcPr>
          <w:p w14:paraId="2126B0F5" w14:textId="595B8D69" w:rsidR="009C2711" w:rsidRPr="00784E9A" w:rsidRDefault="009C2711" w:rsidP="009C2711">
            <w:pPr>
              <w:jc w:val="right"/>
              <w:rPr>
                <w:rFonts w:ascii="Arial" w:hAnsi="Arial" w:cs="Arial"/>
                <w:color w:val="000000"/>
              </w:rPr>
            </w:pPr>
            <w:r>
              <w:rPr>
                <w:rFonts w:ascii="Arial" w:hAnsi="Arial" w:cs="Arial"/>
                <w:color w:val="000000"/>
              </w:rPr>
              <w:t>6</w:t>
            </w:r>
            <w:r w:rsidR="00842068">
              <w:rPr>
                <w:rFonts w:ascii="Arial" w:hAnsi="Arial" w:cs="Arial"/>
                <w:color w:val="000000"/>
              </w:rPr>
              <w:t>69</w:t>
            </w:r>
          </w:p>
        </w:tc>
        <w:tc>
          <w:tcPr>
            <w:tcW w:w="1349" w:type="dxa"/>
            <w:tcBorders>
              <w:top w:val="nil"/>
              <w:left w:val="nil"/>
              <w:bottom w:val="nil"/>
              <w:right w:val="nil"/>
            </w:tcBorders>
            <w:shd w:val="clear" w:color="000000" w:fill="CCCCCC"/>
            <w:vAlign w:val="center"/>
            <w:hideMark/>
          </w:tcPr>
          <w:p w14:paraId="645F5CA7" w14:textId="20C6F71B" w:rsidR="009C2711" w:rsidRPr="00784E9A" w:rsidRDefault="009C2711" w:rsidP="009C2711">
            <w:pPr>
              <w:jc w:val="right"/>
              <w:rPr>
                <w:rFonts w:ascii="Arial" w:hAnsi="Arial" w:cs="Arial"/>
                <w:color w:val="000000"/>
              </w:rPr>
            </w:pPr>
            <w:r>
              <w:rPr>
                <w:rFonts w:ascii="Arial" w:hAnsi="Arial" w:cs="Arial"/>
                <w:color w:val="000000"/>
              </w:rPr>
              <w:t>(12)</w:t>
            </w:r>
          </w:p>
        </w:tc>
        <w:tc>
          <w:tcPr>
            <w:tcW w:w="1073" w:type="dxa"/>
            <w:tcBorders>
              <w:top w:val="nil"/>
              <w:left w:val="nil"/>
              <w:bottom w:val="nil"/>
              <w:right w:val="single" w:sz="8" w:space="0" w:color="auto"/>
            </w:tcBorders>
            <w:shd w:val="clear" w:color="000000" w:fill="CCCCCC"/>
            <w:vAlign w:val="center"/>
            <w:hideMark/>
          </w:tcPr>
          <w:p w14:paraId="39724E9B" w14:textId="284CD248" w:rsidR="009C2711" w:rsidRPr="00784E9A" w:rsidRDefault="009C2711" w:rsidP="009C2711">
            <w:pPr>
              <w:jc w:val="right"/>
              <w:rPr>
                <w:rFonts w:ascii="Arial" w:hAnsi="Arial" w:cs="Arial"/>
                <w:color w:val="000000"/>
              </w:rPr>
            </w:pPr>
            <w:r>
              <w:rPr>
                <w:rFonts w:ascii="Arial" w:hAnsi="Arial" w:cs="Arial"/>
                <w:color w:val="000000"/>
              </w:rPr>
              <w:t>6</w:t>
            </w:r>
            <w:r w:rsidR="00842068">
              <w:rPr>
                <w:rFonts w:ascii="Arial" w:hAnsi="Arial" w:cs="Arial"/>
                <w:color w:val="000000"/>
              </w:rPr>
              <w:t>58</w:t>
            </w:r>
          </w:p>
        </w:tc>
      </w:tr>
      <w:tr w:rsidR="009C2711" w:rsidRPr="00784E9A" w14:paraId="7CC4A23C" w14:textId="77777777" w:rsidTr="003A28C7">
        <w:trPr>
          <w:trHeight w:val="300"/>
        </w:trPr>
        <w:tc>
          <w:tcPr>
            <w:tcW w:w="2179" w:type="dxa"/>
            <w:tcBorders>
              <w:top w:val="nil"/>
              <w:left w:val="single" w:sz="8" w:space="0" w:color="auto"/>
              <w:bottom w:val="nil"/>
              <w:right w:val="nil"/>
            </w:tcBorders>
            <w:vAlign w:val="center"/>
            <w:hideMark/>
          </w:tcPr>
          <w:p w14:paraId="01C02DE3" w14:textId="4F41FFFC" w:rsidR="009C2711" w:rsidRPr="00784E9A" w:rsidRDefault="009C2711" w:rsidP="009C2711">
            <w:pPr>
              <w:jc w:val="right"/>
              <w:rPr>
                <w:rFonts w:ascii="Arial" w:hAnsi="Arial" w:cs="Arial"/>
                <w:color w:val="000000"/>
              </w:rPr>
            </w:pPr>
            <w:r>
              <w:rPr>
                <w:rFonts w:ascii="Arial" w:hAnsi="Arial" w:cs="Arial"/>
                <w:color w:val="000000"/>
              </w:rPr>
              <w:t>0</w:t>
            </w:r>
          </w:p>
        </w:tc>
        <w:tc>
          <w:tcPr>
            <w:tcW w:w="1853" w:type="dxa"/>
            <w:tcBorders>
              <w:top w:val="nil"/>
              <w:left w:val="nil"/>
              <w:bottom w:val="nil"/>
              <w:right w:val="nil"/>
            </w:tcBorders>
            <w:vAlign w:val="center"/>
            <w:hideMark/>
          </w:tcPr>
          <w:p w14:paraId="44AD0FE4" w14:textId="364B1758" w:rsidR="009C2711" w:rsidRPr="00784E9A" w:rsidRDefault="009C2711" w:rsidP="009C2711">
            <w:pPr>
              <w:jc w:val="right"/>
              <w:rPr>
                <w:rFonts w:ascii="Arial" w:hAnsi="Arial" w:cs="Arial"/>
                <w:color w:val="000000"/>
              </w:rPr>
            </w:pPr>
            <w:r>
              <w:rPr>
                <w:rFonts w:ascii="Arial" w:hAnsi="Arial" w:cs="Arial"/>
                <w:color w:val="000000"/>
              </w:rPr>
              <w:t>(180)</w:t>
            </w:r>
          </w:p>
        </w:tc>
        <w:tc>
          <w:tcPr>
            <w:tcW w:w="1361" w:type="dxa"/>
            <w:tcBorders>
              <w:top w:val="nil"/>
              <w:left w:val="nil"/>
              <w:bottom w:val="nil"/>
              <w:right w:val="nil"/>
            </w:tcBorders>
            <w:vAlign w:val="center"/>
            <w:hideMark/>
          </w:tcPr>
          <w:p w14:paraId="3E478109" w14:textId="07C24F16" w:rsidR="009C2711" w:rsidRPr="00784E9A" w:rsidRDefault="009C2711" w:rsidP="009C2711">
            <w:pPr>
              <w:jc w:val="right"/>
              <w:rPr>
                <w:rFonts w:ascii="Arial" w:hAnsi="Arial" w:cs="Arial"/>
                <w:color w:val="000000"/>
              </w:rPr>
            </w:pPr>
            <w:r>
              <w:rPr>
                <w:rFonts w:ascii="Arial" w:hAnsi="Arial" w:cs="Arial"/>
                <w:color w:val="000000"/>
              </w:rPr>
              <w:t>(1,367)</w:t>
            </w:r>
          </w:p>
        </w:tc>
        <w:tc>
          <w:tcPr>
            <w:tcW w:w="1234" w:type="dxa"/>
            <w:tcBorders>
              <w:top w:val="nil"/>
              <w:left w:val="nil"/>
              <w:bottom w:val="nil"/>
              <w:right w:val="nil"/>
            </w:tcBorders>
            <w:vAlign w:val="center"/>
            <w:hideMark/>
          </w:tcPr>
          <w:p w14:paraId="582E13A1" w14:textId="4D12F29C" w:rsidR="009C2711" w:rsidRPr="00784E9A" w:rsidRDefault="009C2711" w:rsidP="009C2711">
            <w:pPr>
              <w:jc w:val="right"/>
              <w:rPr>
                <w:rFonts w:ascii="Arial" w:hAnsi="Arial" w:cs="Arial"/>
                <w:color w:val="000000"/>
              </w:rPr>
            </w:pPr>
            <w:r>
              <w:rPr>
                <w:rFonts w:ascii="Arial" w:hAnsi="Arial" w:cs="Arial"/>
                <w:color w:val="000000"/>
              </w:rPr>
              <w:t>(1,547)</w:t>
            </w:r>
          </w:p>
        </w:tc>
        <w:tc>
          <w:tcPr>
            <w:tcW w:w="2945" w:type="dxa"/>
            <w:tcBorders>
              <w:top w:val="nil"/>
              <w:left w:val="nil"/>
              <w:bottom w:val="nil"/>
              <w:right w:val="nil"/>
            </w:tcBorders>
            <w:shd w:val="clear" w:color="000000" w:fill="CCCCCC"/>
            <w:vAlign w:val="center"/>
            <w:hideMark/>
          </w:tcPr>
          <w:p w14:paraId="7AB3EDC3" w14:textId="710CF255" w:rsidR="009C2711" w:rsidRPr="00784E9A" w:rsidRDefault="0081765F" w:rsidP="009C2711">
            <w:pPr>
              <w:rPr>
                <w:rFonts w:ascii="Arial" w:hAnsi="Arial" w:cs="Arial"/>
                <w:color w:val="000000"/>
              </w:rPr>
            </w:pPr>
            <w:r>
              <w:rPr>
                <w:rFonts w:ascii="Arial" w:hAnsi="Arial" w:cs="Arial"/>
                <w:color w:val="000000"/>
              </w:rPr>
              <w:t>Prevention</w:t>
            </w:r>
          </w:p>
        </w:tc>
        <w:tc>
          <w:tcPr>
            <w:tcW w:w="2133" w:type="dxa"/>
            <w:tcBorders>
              <w:top w:val="nil"/>
              <w:left w:val="nil"/>
              <w:bottom w:val="nil"/>
              <w:right w:val="nil"/>
            </w:tcBorders>
            <w:shd w:val="clear" w:color="000000" w:fill="CCCCCC"/>
            <w:vAlign w:val="center"/>
            <w:hideMark/>
          </w:tcPr>
          <w:p w14:paraId="63B54FB8" w14:textId="1D5FECBE" w:rsidR="009C2711" w:rsidRPr="00784E9A" w:rsidRDefault="009C2711" w:rsidP="009C2711">
            <w:pPr>
              <w:jc w:val="right"/>
              <w:rPr>
                <w:rFonts w:ascii="Arial" w:hAnsi="Arial" w:cs="Arial"/>
                <w:color w:val="000000"/>
              </w:rPr>
            </w:pPr>
            <w:r>
              <w:rPr>
                <w:rFonts w:ascii="Arial" w:hAnsi="Arial" w:cs="Arial"/>
                <w:color w:val="000000"/>
              </w:rPr>
              <w:t>0</w:t>
            </w:r>
          </w:p>
        </w:tc>
        <w:tc>
          <w:tcPr>
            <w:tcW w:w="1329" w:type="dxa"/>
            <w:tcBorders>
              <w:top w:val="nil"/>
              <w:left w:val="nil"/>
              <w:bottom w:val="nil"/>
              <w:right w:val="nil"/>
            </w:tcBorders>
            <w:shd w:val="clear" w:color="000000" w:fill="CCCCCC"/>
            <w:vAlign w:val="center"/>
            <w:hideMark/>
          </w:tcPr>
          <w:p w14:paraId="3DC025AD" w14:textId="0E5F6330" w:rsidR="009C2711" w:rsidRPr="00784E9A" w:rsidRDefault="009C2711" w:rsidP="009C2711">
            <w:pPr>
              <w:jc w:val="right"/>
              <w:rPr>
                <w:rFonts w:ascii="Arial" w:hAnsi="Arial" w:cs="Arial"/>
                <w:color w:val="000000"/>
              </w:rPr>
            </w:pPr>
            <w:r>
              <w:rPr>
                <w:rFonts w:ascii="Arial" w:hAnsi="Arial" w:cs="Arial"/>
                <w:color w:val="000000"/>
              </w:rPr>
              <w:t>(1,590)</w:t>
            </w:r>
          </w:p>
        </w:tc>
        <w:tc>
          <w:tcPr>
            <w:tcW w:w="1349" w:type="dxa"/>
            <w:tcBorders>
              <w:top w:val="nil"/>
              <w:left w:val="nil"/>
              <w:bottom w:val="nil"/>
              <w:right w:val="nil"/>
            </w:tcBorders>
            <w:shd w:val="clear" w:color="000000" w:fill="CCCCCC"/>
            <w:vAlign w:val="center"/>
            <w:hideMark/>
          </w:tcPr>
          <w:p w14:paraId="0F7243E7" w14:textId="78C46017" w:rsidR="009C2711" w:rsidRPr="00784E9A" w:rsidRDefault="009C2711" w:rsidP="009C2711">
            <w:pPr>
              <w:jc w:val="right"/>
              <w:rPr>
                <w:rFonts w:ascii="Arial" w:hAnsi="Arial" w:cs="Arial"/>
                <w:color w:val="000000"/>
              </w:rPr>
            </w:pPr>
            <w:r>
              <w:rPr>
                <w:rFonts w:ascii="Arial" w:hAnsi="Arial" w:cs="Arial"/>
                <w:color w:val="000000"/>
              </w:rPr>
              <w:t>(1,767)</w:t>
            </w:r>
          </w:p>
        </w:tc>
        <w:tc>
          <w:tcPr>
            <w:tcW w:w="1073" w:type="dxa"/>
            <w:tcBorders>
              <w:top w:val="nil"/>
              <w:left w:val="nil"/>
              <w:bottom w:val="nil"/>
              <w:right w:val="single" w:sz="8" w:space="0" w:color="auto"/>
            </w:tcBorders>
            <w:shd w:val="clear" w:color="000000" w:fill="CCCCCC"/>
            <w:vAlign w:val="center"/>
            <w:hideMark/>
          </w:tcPr>
          <w:p w14:paraId="2DA3B788" w14:textId="4A8AB290" w:rsidR="009C2711" w:rsidRPr="00784E9A" w:rsidRDefault="009C2711" w:rsidP="009C2711">
            <w:pPr>
              <w:jc w:val="right"/>
              <w:rPr>
                <w:rFonts w:ascii="Arial" w:hAnsi="Arial" w:cs="Arial"/>
                <w:color w:val="000000"/>
              </w:rPr>
            </w:pPr>
            <w:r>
              <w:rPr>
                <w:rFonts w:ascii="Arial" w:hAnsi="Arial" w:cs="Arial"/>
                <w:color w:val="000000"/>
              </w:rPr>
              <w:t>(3,357)</w:t>
            </w:r>
          </w:p>
        </w:tc>
      </w:tr>
      <w:tr w:rsidR="009C2711" w:rsidRPr="00784E9A" w14:paraId="3689C8C8" w14:textId="77777777" w:rsidTr="003A28C7">
        <w:trPr>
          <w:trHeight w:val="510"/>
        </w:trPr>
        <w:tc>
          <w:tcPr>
            <w:tcW w:w="2179" w:type="dxa"/>
            <w:tcBorders>
              <w:top w:val="nil"/>
              <w:left w:val="single" w:sz="8" w:space="0" w:color="auto"/>
              <w:bottom w:val="nil"/>
              <w:right w:val="nil"/>
            </w:tcBorders>
            <w:vAlign w:val="center"/>
            <w:hideMark/>
          </w:tcPr>
          <w:p w14:paraId="1E90E317" w14:textId="6721BF3E" w:rsidR="009C2711" w:rsidRPr="00784E9A" w:rsidRDefault="009C2711" w:rsidP="009C2711">
            <w:pPr>
              <w:jc w:val="right"/>
              <w:rPr>
                <w:rFonts w:ascii="Arial" w:hAnsi="Arial" w:cs="Arial"/>
                <w:color w:val="000000"/>
              </w:rPr>
            </w:pPr>
            <w:r>
              <w:rPr>
                <w:rFonts w:ascii="Arial" w:hAnsi="Arial" w:cs="Arial"/>
                <w:color w:val="000000"/>
              </w:rPr>
              <w:t>0</w:t>
            </w:r>
          </w:p>
        </w:tc>
        <w:tc>
          <w:tcPr>
            <w:tcW w:w="1853" w:type="dxa"/>
            <w:tcBorders>
              <w:top w:val="nil"/>
              <w:left w:val="nil"/>
              <w:bottom w:val="nil"/>
              <w:right w:val="nil"/>
            </w:tcBorders>
            <w:vAlign w:val="center"/>
            <w:hideMark/>
          </w:tcPr>
          <w:p w14:paraId="3764B69B" w14:textId="21E2B6BB" w:rsidR="009C2711" w:rsidRPr="00784E9A" w:rsidRDefault="009C2711" w:rsidP="009C2711">
            <w:pPr>
              <w:jc w:val="right"/>
              <w:rPr>
                <w:rFonts w:ascii="Arial" w:hAnsi="Arial" w:cs="Arial"/>
                <w:color w:val="000000"/>
              </w:rPr>
            </w:pPr>
            <w:r>
              <w:rPr>
                <w:rFonts w:ascii="Arial" w:hAnsi="Arial" w:cs="Arial"/>
                <w:color w:val="000000"/>
              </w:rPr>
              <w:t>(160)</w:t>
            </w:r>
          </w:p>
        </w:tc>
        <w:tc>
          <w:tcPr>
            <w:tcW w:w="1361" w:type="dxa"/>
            <w:tcBorders>
              <w:top w:val="nil"/>
              <w:left w:val="nil"/>
              <w:bottom w:val="nil"/>
              <w:right w:val="nil"/>
            </w:tcBorders>
            <w:vAlign w:val="center"/>
            <w:hideMark/>
          </w:tcPr>
          <w:p w14:paraId="2DBE3C90" w14:textId="4F262A7B" w:rsidR="009C2711" w:rsidRPr="00784E9A" w:rsidRDefault="009C2711" w:rsidP="009C2711">
            <w:pPr>
              <w:jc w:val="right"/>
              <w:rPr>
                <w:rFonts w:ascii="Arial" w:hAnsi="Arial" w:cs="Arial"/>
                <w:color w:val="000000"/>
              </w:rPr>
            </w:pPr>
            <w:r>
              <w:rPr>
                <w:rFonts w:ascii="Arial" w:hAnsi="Arial" w:cs="Arial"/>
                <w:color w:val="000000"/>
              </w:rPr>
              <w:t>(7)</w:t>
            </w:r>
          </w:p>
        </w:tc>
        <w:tc>
          <w:tcPr>
            <w:tcW w:w="1234" w:type="dxa"/>
            <w:tcBorders>
              <w:top w:val="nil"/>
              <w:left w:val="nil"/>
              <w:bottom w:val="nil"/>
              <w:right w:val="nil"/>
            </w:tcBorders>
            <w:vAlign w:val="center"/>
            <w:hideMark/>
          </w:tcPr>
          <w:p w14:paraId="76263B7F" w14:textId="435D7A62" w:rsidR="009C2711" w:rsidRPr="00784E9A" w:rsidRDefault="009C2711" w:rsidP="009C2711">
            <w:pPr>
              <w:jc w:val="right"/>
              <w:rPr>
                <w:rFonts w:ascii="Arial" w:hAnsi="Arial" w:cs="Arial"/>
                <w:color w:val="000000"/>
              </w:rPr>
            </w:pPr>
            <w:r>
              <w:rPr>
                <w:rFonts w:ascii="Arial" w:hAnsi="Arial" w:cs="Arial"/>
                <w:color w:val="000000"/>
              </w:rPr>
              <w:t>(167)</w:t>
            </w:r>
          </w:p>
        </w:tc>
        <w:tc>
          <w:tcPr>
            <w:tcW w:w="2945" w:type="dxa"/>
            <w:tcBorders>
              <w:top w:val="nil"/>
              <w:left w:val="nil"/>
              <w:bottom w:val="nil"/>
              <w:right w:val="nil"/>
            </w:tcBorders>
            <w:shd w:val="clear" w:color="000000" w:fill="CCCCCC"/>
            <w:vAlign w:val="center"/>
            <w:hideMark/>
          </w:tcPr>
          <w:p w14:paraId="33C57983" w14:textId="77777777" w:rsidR="009C2711" w:rsidRPr="00784E9A" w:rsidRDefault="009C2711" w:rsidP="009C2711">
            <w:pPr>
              <w:rPr>
                <w:rFonts w:ascii="Arial" w:hAnsi="Arial" w:cs="Arial"/>
                <w:color w:val="000000"/>
              </w:rPr>
            </w:pPr>
            <w:r w:rsidRPr="00784E9A">
              <w:rPr>
                <w:rFonts w:ascii="Arial" w:hAnsi="Arial" w:cs="Arial"/>
                <w:color w:val="000000"/>
              </w:rPr>
              <w:t>Victim and Domestic Abuse services</w:t>
            </w:r>
          </w:p>
        </w:tc>
        <w:tc>
          <w:tcPr>
            <w:tcW w:w="2133" w:type="dxa"/>
            <w:tcBorders>
              <w:top w:val="nil"/>
              <w:left w:val="nil"/>
              <w:bottom w:val="nil"/>
              <w:right w:val="nil"/>
            </w:tcBorders>
            <w:shd w:val="clear" w:color="000000" w:fill="CCCCCC"/>
            <w:vAlign w:val="center"/>
            <w:hideMark/>
          </w:tcPr>
          <w:p w14:paraId="39D37287" w14:textId="4DE1FA36" w:rsidR="009C2711" w:rsidRPr="00784E9A" w:rsidRDefault="009C2711" w:rsidP="009C2711">
            <w:pPr>
              <w:jc w:val="right"/>
              <w:rPr>
                <w:rFonts w:ascii="Arial" w:hAnsi="Arial" w:cs="Arial"/>
                <w:color w:val="000000"/>
              </w:rPr>
            </w:pPr>
            <w:r>
              <w:rPr>
                <w:rFonts w:ascii="Arial" w:hAnsi="Arial" w:cs="Arial"/>
                <w:color w:val="000000"/>
              </w:rPr>
              <w:t>0</w:t>
            </w:r>
          </w:p>
        </w:tc>
        <w:tc>
          <w:tcPr>
            <w:tcW w:w="1329" w:type="dxa"/>
            <w:tcBorders>
              <w:top w:val="nil"/>
              <w:left w:val="nil"/>
              <w:bottom w:val="nil"/>
              <w:right w:val="nil"/>
            </w:tcBorders>
            <w:shd w:val="clear" w:color="000000" w:fill="CCCCCC"/>
            <w:vAlign w:val="center"/>
            <w:hideMark/>
          </w:tcPr>
          <w:p w14:paraId="7FDD7A02" w14:textId="0D7CA854" w:rsidR="009C2711" w:rsidRPr="00784E9A" w:rsidRDefault="009C2711" w:rsidP="009C2711">
            <w:pPr>
              <w:jc w:val="right"/>
              <w:rPr>
                <w:rFonts w:ascii="Arial" w:hAnsi="Arial" w:cs="Arial"/>
                <w:color w:val="000000"/>
              </w:rPr>
            </w:pPr>
            <w:r>
              <w:rPr>
                <w:rFonts w:ascii="Arial" w:hAnsi="Arial" w:cs="Arial"/>
                <w:color w:val="000000"/>
              </w:rPr>
              <w:t>20</w:t>
            </w:r>
          </w:p>
        </w:tc>
        <w:tc>
          <w:tcPr>
            <w:tcW w:w="1349" w:type="dxa"/>
            <w:tcBorders>
              <w:top w:val="nil"/>
              <w:left w:val="nil"/>
              <w:bottom w:val="nil"/>
              <w:right w:val="nil"/>
            </w:tcBorders>
            <w:shd w:val="clear" w:color="000000" w:fill="CCCCCC"/>
            <w:vAlign w:val="center"/>
            <w:hideMark/>
          </w:tcPr>
          <w:p w14:paraId="6E9E9E2D" w14:textId="2C624076" w:rsidR="009C2711" w:rsidRPr="00784E9A" w:rsidRDefault="009C2711" w:rsidP="009C2711">
            <w:pPr>
              <w:jc w:val="right"/>
              <w:rPr>
                <w:rFonts w:ascii="Arial" w:hAnsi="Arial" w:cs="Arial"/>
                <w:color w:val="000000"/>
              </w:rPr>
            </w:pPr>
            <w:r>
              <w:rPr>
                <w:rFonts w:ascii="Arial" w:hAnsi="Arial" w:cs="Arial"/>
                <w:color w:val="000000"/>
              </w:rPr>
              <w:t>(20)</w:t>
            </w:r>
          </w:p>
        </w:tc>
        <w:tc>
          <w:tcPr>
            <w:tcW w:w="1073" w:type="dxa"/>
            <w:tcBorders>
              <w:top w:val="nil"/>
              <w:left w:val="nil"/>
              <w:bottom w:val="nil"/>
              <w:right w:val="single" w:sz="8" w:space="0" w:color="auto"/>
            </w:tcBorders>
            <w:shd w:val="clear" w:color="000000" w:fill="CCCCCC"/>
            <w:vAlign w:val="center"/>
            <w:hideMark/>
          </w:tcPr>
          <w:p w14:paraId="56272380" w14:textId="1F947347" w:rsidR="009C2711" w:rsidRPr="00784E9A" w:rsidRDefault="009C2711" w:rsidP="009C2711">
            <w:pPr>
              <w:jc w:val="right"/>
              <w:rPr>
                <w:rFonts w:ascii="Arial" w:hAnsi="Arial" w:cs="Arial"/>
                <w:color w:val="000000"/>
              </w:rPr>
            </w:pPr>
            <w:r>
              <w:rPr>
                <w:rFonts w:ascii="Arial" w:hAnsi="Arial" w:cs="Arial"/>
                <w:color w:val="000000"/>
              </w:rPr>
              <w:t>0</w:t>
            </w:r>
          </w:p>
        </w:tc>
      </w:tr>
      <w:tr w:rsidR="009C2711" w:rsidRPr="00784E9A" w14:paraId="5C166C33" w14:textId="77777777" w:rsidTr="003A28C7">
        <w:trPr>
          <w:trHeight w:val="300"/>
        </w:trPr>
        <w:tc>
          <w:tcPr>
            <w:tcW w:w="2179" w:type="dxa"/>
            <w:tcBorders>
              <w:top w:val="nil"/>
              <w:left w:val="single" w:sz="8" w:space="0" w:color="auto"/>
              <w:bottom w:val="nil"/>
              <w:right w:val="nil"/>
            </w:tcBorders>
            <w:vAlign w:val="center"/>
            <w:hideMark/>
          </w:tcPr>
          <w:p w14:paraId="5EE86DFB" w14:textId="7A24761D" w:rsidR="009C2711" w:rsidRPr="00784E9A" w:rsidRDefault="009C2711" w:rsidP="009C2711">
            <w:pPr>
              <w:jc w:val="right"/>
              <w:rPr>
                <w:rFonts w:ascii="Arial" w:hAnsi="Arial" w:cs="Arial"/>
                <w:color w:val="000000"/>
              </w:rPr>
            </w:pPr>
            <w:r>
              <w:rPr>
                <w:rFonts w:ascii="Arial" w:hAnsi="Arial" w:cs="Arial"/>
                <w:color w:val="000000"/>
              </w:rPr>
              <w:t>(34,619)</w:t>
            </w:r>
          </w:p>
        </w:tc>
        <w:tc>
          <w:tcPr>
            <w:tcW w:w="1853" w:type="dxa"/>
            <w:tcBorders>
              <w:top w:val="nil"/>
              <w:left w:val="nil"/>
              <w:bottom w:val="nil"/>
              <w:right w:val="nil"/>
            </w:tcBorders>
            <w:vAlign w:val="center"/>
            <w:hideMark/>
          </w:tcPr>
          <w:p w14:paraId="15D02169" w14:textId="5DA6D507" w:rsidR="009C2711" w:rsidRPr="00784E9A" w:rsidRDefault="009C2711" w:rsidP="009C2711">
            <w:pPr>
              <w:jc w:val="right"/>
              <w:rPr>
                <w:rFonts w:ascii="Arial" w:hAnsi="Arial" w:cs="Arial"/>
                <w:color w:val="000000"/>
              </w:rPr>
            </w:pPr>
            <w:r>
              <w:rPr>
                <w:rFonts w:ascii="Arial" w:hAnsi="Arial" w:cs="Arial"/>
                <w:color w:val="000000"/>
              </w:rPr>
              <w:t>3,441</w:t>
            </w:r>
          </w:p>
        </w:tc>
        <w:tc>
          <w:tcPr>
            <w:tcW w:w="1361" w:type="dxa"/>
            <w:tcBorders>
              <w:top w:val="nil"/>
              <w:left w:val="nil"/>
              <w:bottom w:val="nil"/>
              <w:right w:val="nil"/>
            </w:tcBorders>
            <w:vAlign w:val="center"/>
            <w:hideMark/>
          </w:tcPr>
          <w:p w14:paraId="6C9E69D8" w14:textId="213641FC" w:rsidR="009C2711" w:rsidRPr="00784E9A" w:rsidRDefault="009C2711" w:rsidP="009C2711">
            <w:pPr>
              <w:jc w:val="right"/>
              <w:rPr>
                <w:rFonts w:ascii="Arial" w:hAnsi="Arial" w:cs="Arial"/>
                <w:color w:val="000000"/>
              </w:rPr>
            </w:pPr>
            <w:r>
              <w:rPr>
                <w:rFonts w:ascii="Arial" w:hAnsi="Arial" w:cs="Arial"/>
                <w:color w:val="000000"/>
              </w:rPr>
              <w:t>0</w:t>
            </w:r>
          </w:p>
        </w:tc>
        <w:tc>
          <w:tcPr>
            <w:tcW w:w="1234" w:type="dxa"/>
            <w:tcBorders>
              <w:top w:val="nil"/>
              <w:left w:val="nil"/>
              <w:bottom w:val="nil"/>
              <w:right w:val="nil"/>
            </w:tcBorders>
            <w:vAlign w:val="center"/>
            <w:hideMark/>
          </w:tcPr>
          <w:p w14:paraId="144F8639" w14:textId="1F96A2D2" w:rsidR="009C2711" w:rsidRPr="00784E9A" w:rsidRDefault="009C2711" w:rsidP="009C2711">
            <w:pPr>
              <w:jc w:val="right"/>
              <w:rPr>
                <w:rFonts w:ascii="Arial" w:hAnsi="Arial" w:cs="Arial"/>
                <w:color w:val="000000"/>
              </w:rPr>
            </w:pPr>
            <w:r>
              <w:rPr>
                <w:rFonts w:ascii="Arial" w:hAnsi="Arial" w:cs="Arial"/>
                <w:color w:val="000000"/>
              </w:rPr>
              <w:t>(31,178)</w:t>
            </w:r>
          </w:p>
        </w:tc>
        <w:tc>
          <w:tcPr>
            <w:tcW w:w="2945" w:type="dxa"/>
            <w:tcBorders>
              <w:top w:val="nil"/>
              <w:left w:val="nil"/>
              <w:bottom w:val="nil"/>
              <w:right w:val="nil"/>
            </w:tcBorders>
            <w:shd w:val="clear" w:color="000000" w:fill="CCCCCC"/>
            <w:vAlign w:val="center"/>
            <w:hideMark/>
          </w:tcPr>
          <w:p w14:paraId="49DCEAD5" w14:textId="77777777" w:rsidR="009C2711" w:rsidRPr="00784E9A" w:rsidRDefault="009C2711" w:rsidP="009C2711">
            <w:pPr>
              <w:rPr>
                <w:rFonts w:ascii="Arial" w:hAnsi="Arial" w:cs="Arial"/>
                <w:color w:val="000000"/>
              </w:rPr>
            </w:pPr>
            <w:r w:rsidRPr="00784E9A">
              <w:rPr>
                <w:rFonts w:ascii="Arial" w:hAnsi="Arial" w:cs="Arial"/>
                <w:color w:val="000000"/>
              </w:rPr>
              <w:t>PCC Non-Devolved Budgets</w:t>
            </w:r>
          </w:p>
        </w:tc>
        <w:tc>
          <w:tcPr>
            <w:tcW w:w="2133" w:type="dxa"/>
            <w:tcBorders>
              <w:top w:val="nil"/>
              <w:left w:val="nil"/>
              <w:bottom w:val="nil"/>
              <w:right w:val="nil"/>
            </w:tcBorders>
            <w:shd w:val="clear" w:color="000000" w:fill="CCCCCC"/>
            <w:vAlign w:val="center"/>
            <w:hideMark/>
          </w:tcPr>
          <w:p w14:paraId="3B29DB13" w14:textId="1B9AA71C" w:rsidR="009C2711" w:rsidRPr="00784E9A" w:rsidRDefault="009C2711" w:rsidP="009C2711">
            <w:pPr>
              <w:jc w:val="right"/>
              <w:rPr>
                <w:rFonts w:ascii="Arial" w:hAnsi="Arial" w:cs="Arial"/>
                <w:color w:val="000000"/>
              </w:rPr>
            </w:pPr>
            <w:r>
              <w:rPr>
                <w:rFonts w:ascii="Arial" w:hAnsi="Arial" w:cs="Arial"/>
                <w:color w:val="000000"/>
              </w:rPr>
              <w:t>(29,027)</w:t>
            </w:r>
          </w:p>
        </w:tc>
        <w:tc>
          <w:tcPr>
            <w:tcW w:w="1329" w:type="dxa"/>
            <w:tcBorders>
              <w:top w:val="nil"/>
              <w:left w:val="nil"/>
              <w:bottom w:val="nil"/>
              <w:right w:val="nil"/>
            </w:tcBorders>
            <w:shd w:val="clear" w:color="000000" w:fill="CCCCCC"/>
            <w:vAlign w:val="center"/>
            <w:hideMark/>
          </w:tcPr>
          <w:p w14:paraId="4FC63EBE" w14:textId="68BC36E9" w:rsidR="009C2711" w:rsidRPr="00784E9A" w:rsidRDefault="009C2711" w:rsidP="009C2711">
            <w:pPr>
              <w:jc w:val="right"/>
              <w:rPr>
                <w:rFonts w:ascii="Arial" w:hAnsi="Arial" w:cs="Arial"/>
                <w:color w:val="000000"/>
              </w:rPr>
            </w:pPr>
            <w:r>
              <w:rPr>
                <w:rFonts w:ascii="Arial" w:hAnsi="Arial" w:cs="Arial"/>
                <w:color w:val="000000"/>
              </w:rPr>
              <w:t>4,804</w:t>
            </w:r>
          </w:p>
        </w:tc>
        <w:tc>
          <w:tcPr>
            <w:tcW w:w="1349" w:type="dxa"/>
            <w:tcBorders>
              <w:top w:val="nil"/>
              <w:left w:val="nil"/>
              <w:bottom w:val="nil"/>
              <w:right w:val="nil"/>
            </w:tcBorders>
            <w:shd w:val="clear" w:color="000000" w:fill="CCCCCC"/>
            <w:vAlign w:val="center"/>
            <w:hideMark/>
          </w:tcPr>
          <w:p w14:paraId="0361ECDF" w14:textId="0D75125E" w:rsidR="009C2711" w:rsidRPr="00784E9A" w:rsidRDefault="009C2711" w:rsidP="009C2711">
            <w:pPr>
              <w:jc w:val="right"/>
              <w:rPr>
                <w:rFonts w:ascii="Arial" w:hAnsi="Arial" w:cs="Arial"/>
                <w:color w:val="000000"/>
              </w:rPr>
            </w:pPr>
            <w:r>
              <w:rPr>
                <w:rFonts w:ascii="Arial" w:hAnsi="Arial" w:cs="Arial"/>
                <w:color w:val="000000"/>
              </w:rPr>
              <w:t>0</w:t>
            </w:r>
          </w:p>
        </w:tc>
        <w:tc>
          <w:tcPr>
            <w:tcW w:w="1073" w:type="dxa"/>
            <w:tcBorders>
              <w:top w:val="nil"/>
              <w:left w:val="nil"/>
              <w:bottom w:val="nil"/>
              <w:right w:val="single" w:sz="8" w:space="0" w:color="auto"/>
            </w:tcBorders>
            <w:shd w:val="clear" w:color="000000" w:fill="CCCCCC"/>
            <w:vAlign w:val="center"/>
            <w:hideMark/>
          </w:tcPr>
          <w:p w14:paraId="5EC8E56D" w14:textId="5B49CE87" w:rsidR="009C2711" w:rsidRPr="00784E9A" w:rsidRDefault="009C2711" w:rsidP="009C2711">
            <w:pPr>
              <w:jc w:val="right"/>
              <w:rPr>
                <w:rFonts w:ascii="Arial" w:hAnsi="Arial" w:cs="Arial"/>
                <w:color w:val="000000"/>
              </w:rPr>
            </w:pPr>
            <w:r>
              <w:rPr>
                <w:rFonts w:ascii="Arial" w:hAnsi="Arial" w:cs="Arial"/>
                <w:color w:val="000000"/>
              </w:rPr>
              <w:t>(24,224)</w:t>
            </w:r>
          </w:p>
        </w:tc>
      </w:tr>
      <w:tr w:rsidR="009C2711" w:rsidRPr="00784E9A" w14:paraId="3AB9CF19" w14:textId="77777777" w:rsidTr="003A28C7">
        <w:trPr>
          <w:trHeight w:val="300"/>
        </w:trPr>
        <w:tc>
          <w:tcPr>
            <w:tcW w:w="2179" w:type="dxa"/>
            <w:tcBorders>
              <w:top w:val="nil"/>
              <w:left w:val="single" w:sz="8" w:space="0" w:color="auto"/>
              <w:bottom w:val="nil"/>
              <w:right w:val="nil"/>
            </w:tcBorders>
            <w:vAlign w:val="center"/>
            <w:hideMark/>
          </w:tcPr>
          <w:p w14:paraId="6341C60E" w14:textId="6D007923" w:rsidR="009C2711" w:rsidRPr="00784E9A" w:rsidRDefault="009C2711" w:rsidP="009C2711">
            <w:pPr>
              <w:jc w:val="right"/>
              <w:rPr>
                <w:rFonts w:ascii="Arial" w:hAnsi="Arial" w:cs="Arial"/>
                <w:color w:val="000000"/>
              </w:rPr>
            </w:pPr>
            <w:r>
              <w:rPr>
                <w:rFonts w:ascii="Arial" w:hAnsi="Arial" w:cs="Arial"/>
                <w:color w:val="000000"/>
              </w:rPr>
              <w:t>0</w:t>
            </w:r>
          </w:p>
        </w:tc>
        <w:tc>
          <w:tcPr>
            <w:tcW w:w="1853" w:type="dxa"/>
            <w:tcBorders>
              <w:top w:val="nil"/>
              <w:left w:val="nil"/>
              <w:bottom w:val="nil"/>
              <w:right w:val="nil"/>
            </w:tcBorders>
            <w:vAlign w:val="center"/>
            <w:hideMark/>
          </w:tcPr>
          <w:p w14:paraId="6D57E5A5" w14:textId="56D9083F" w:rsidR="009C2711" w:rsidRPr="00784E9A" w:rsidRDefault="009C2711" w:rsidP="009C2711">
            <w:pPr>
              <w:jc w:val="right"/>
              <w:rPr>
                <w:rFonts w:ascii="Arial" w:hAnsi="Arial" w:cs="Arial"/>
                <w:color w:val="000000"/>
              </w:rPr>
            </w:pPr>
            <w:r>
              <w:rPr>
                <w:rFonts w:ascii="Arial" w:hAnsi="Arial" w:cs="Arial"/>
                <w:color w:val="000000"/>
              </w:rPr>
              <w:t>0</w:t>
            </w:r>
          </w:p>
        </w:tc>
        <w:tc>
          <w:tcPr>
            <w:tcW w:w="1361" w:type="dxa"/>
            <w:tcBorders>
              <w:top w:val="nil"/>
              <w:left w:val="nil"/>
              <w:bottom w:val="nil"/>
              <w:right w:val="nil"/>
            </w:tcBorders>
            <w:vAlign w:val="center"/>
            <w:hideMark/>
          </w:tcPr>
          <w:p w14:paraId="6011CD9F" w14:textId="23594915" w:rsidR="009C2711" w:rsidRPr="00784E9A" w:rsidRDefault="009C2711" w:rsidP="009C2711">
            <w:pPr>
              <w:jc w:val="right"/>
              <w:rPr>
                <w:rFonts w:ascii="Arial" w:hAnsi="Arial" w:cs="Arial"/>
                <w:color w:val="000000"/>
              </w:rPr>
            </w:pPr>
            <w:r>
              <w:rPr>
                <w:rFonts w:ascii="Arial" w:hAnsi="Arial" w:cs="Arial"/>
                <w:color w:val="000000"/>
              </w:rPr>
              <w:t>463,176</w:t>
            </w:r>
          </w:p>
        </w:tc>
        <w:tc>
          <w:tcPr>
            <w:tcW w:w="1234" w:type="dxa"/>
            <w:tcBorders>
              <w:top w:val="nil"/>
              <w:left w:val="nil"/>
              <w:bottom w:val="nil"/>
              <w:right w:val="nil"/>
            </w:tcBorders>
            <w:vAlign w:val="center"/>
            <w:hideMark/>
          </w:tcPr>
          <w:p w14:paraId="260A2F25" w14:textId="6FCE0389" w:rsidR="009C2711" w:rsidRPr="00784E9A" w:rsidRDefault="009C2711" w:rsidP="009C2711">
            <w:pPr>
              <w:jc w:val="right"/>
              <w:rPr>
                <w:rFonts w:ascii="Arial" w:hAnsi="Arial" w:cs="Arial"/>
                <w:color w:val="000000"/>
              </w:rPr>
            </w:pPr>
            <w:r>
              <w:rPr>
                <w:rFonts w:ascii="Arial" w:hAnsi="Arial" w:cs="Arial"/>
                <w:color w:val="000000"/>
              </w:rPr>
              <w:t>463,176</w:t>
            </w:r>
          </w:p>
        </w:tc>
        <w:tc>
          <w:tcPr>
            <w:tcW w:w="2945" w:type="dxa"/>
            <w:tcBorders>
              <w:top w:val="nil"/>
              <w:left w:val="nil"/>
              <w:bottom w:val="nil"/>
              <w:right w:val="nil"/>
            </w:tcBorders>
            <w:shd w:val="clear" w:color="000000" w:fill="CCCCCC"/>
            <w:vAlign w:val="center"/>
            <w:hideMark/>
          </w:tcPr>
          <w:p w14:paraId="6FBF64DF" w14:textId="77777777" w:rsidR="009C2711" w:rsidRPr="00784E9A" w:rsidRDefault="009C2711" w:rsidP="009C2711">
            <w:pPr>
              <w:rPr>
                <w:rFonts w:ascii="Arial" w:hAnsi="Arial" w:cs="Arial"/>
                <w:color w:val="000000"/>
              </w:rPr>
            </w:pPr>
            <w:r w:rsidRPr="00784E9A">
              <w:rPr>
                <w:rFonts w:ascii="Arial" w:hAnsi="Arial" w:cs="Arial"/>
                <w:color w:val="000000"/>
              </w:rPr>
              <w:t>Funding provided to the CC</w:t>
            </w:r>
          </w:p>
        </w:tc>
        <w:tc>
          <w:tcPr>
            <w:tcW w:w="2133" w:type="dxa"/>
            <w:tcBorders>
              <w:top w:val="nil"/>
              <w:left w:val="nil"/>
              <w:bottom w:val="nil"/>
              <w:right w:val="nil"/>
            </w:tcBorders>
            <w:shd w:val="clear" w:color="000000" w:fill="CCCCCC"/>
            <w:vAlign w:val="center"/>
            <w:hideMark/>
          </w:tcPr>
          <w:p w14:paraId="1C8DB553" w14:textId="3DC0346B" w:rsidR="009C2711" w:rsidRPr="00784E9A" w:rsidRDefault="009C2711" w:rsidP="009C2711">
            <w:pPr>
              <w:jc w:val="right"/>
              <w:rPr>
                <w:rFonts w:ascii="Arial" w:hAnsi="Arial" w:cs="Arial"/>
                <w:color w:val="000000"/>
              </w:rPr>
            </w:pPr>
            <w:r>
              <w:rPr>
                <w:rFonts w:ascii="Arial" w:hAnsi="Arial" w:cs="Arial"/>
                <w:color w:val="000000"/>
              </w:rPr>
              <w:t>0</w:t>
            </w:r>
          </w:p>
        </w:tc>
        <w:tc>
          <w:tcPr>
            <w:tcW w:w="1329" w:type="dxa"/>
            <w:tcBorders>
              <w:top w:val="nil"/>
              <w:left w:val="nil"/>
              <w:bottom w:val="nil"/>
              <w:right w:val="nil"/>
            </w:tcBorders>
            <w:shd w:val="clear" w:color="000000" w:fill="CCCCCC"/>
            <w:vAlign w:val="center"/>
            <w:hideMark/>
          </w:tcPr>
          <w:p w14:paraId="037203CD" w14:textId="6A37800A" w:rsidR="009C2711" w:rsidRPr="00784E9A" w:rsidRDefault="009C2711" w:rsidP="009C2711">
            <w:pPr>
              <w:jc w:val="right"/>
              <w:rPr>
                <w:rFonts w:ascii="Arial" w:hAnsi="Arial" w:cs="Arial"/>
                <w:color w:val="000000"/>
              </w:rPr>
            </w:pPr>
            <w:r>
              <w:rPr>
                <w:rFonts w:ascii="Arial" w:hAnsi="Arial" w:cs="Arial"/>
                <w:color w:val="000000"/>
              </w:rPr>
              <w:t>0</w:t>
            </w:r>
          </w:p>
        </w:tc>
        <w:tc>
          <w:tcPr>
            <w:tcW w:w="1349" w:type="dxa"/>
            <w:tcBorders>
              <w:top w:val="nil"/>
              <w:left w:val="nil"/>
              <w:bottom w:val="nil"/>
              <w:right w:val="nil"/>
            </w:tcBorders>
            <w:shd w:val="clear" w:color="000000" w:fill="CCCCCC"/>
            <w:vAlign w:val="center"/>
            <w:hideMark/>
          </w:tcPr>
          <w:p w14:paraId="4808905C" w14:textId="262BE588" w:rsidR="009C2711" w:rsidRPr="00784E9A" w:rsidRDefault="009C2711" w:rsidP="009C2711">
            <w:pPr>
              <w:jc w:val="right"/>
              <w:rPr>
                <w:rFonts w:ascii="Arial" w:hAnsi="Arial" w:cs="Arial"/>
                <w:color w:val="000000"/>
              </w:rPr>
            </w:pPr>
            <w:r>
              <w:rPr>
                <w:rFonts w:ascii="Arial" w:hAnsi="Arial" w:cs="Arial"/>
                <w:color w:val="000000"/>
              </w:rPr>
              <w:t>492,99</w:t>
            </w:r>
            <w:r w:rsidR="00BB028B">
              <w:rPr>
                <w:rFonts w:ascii="Arial" w:hAnsi="Arial" w:cs="Arial"/>
                <w:color w:val="000000"/>
              </w:rPr>
              <w:t>5</w:t>
            </w:r>
          </w:p>
        </w:tc>
        <w:tc>
          <w:tcPr>
            <w:tcW w:w="1073" w:type="dxa"/>
            <w:tcBorders>
              <w:top w:val="nil"/>
              <w:left w:val="nil"/>
              <w:bottom w:val="nil"/>
              <w:right w:val="single" w:sz="8" w:space="0" w:color="auto"/>
            </w:tcBorders>
            <w:shd w:val="clear" w:color="000000" w:fill="CCCCCC"/>
            <w:vAlign w:val="center"/>
            <w:hideMark/>
          </w:tcPr>
          <w:p w14:paraId="0B96FECE" w14:textId="7D114FEB" w:rsidR="009C2711" w:rsidRPr="00784E9A" w:rsidRDefault="009C2711" w:rsidP="009C2711">
            <w:pPr>
              <w:jc w:val="right"/>
              <w:rPr>
                <w:rFonts w:ascii="Arial" w:hAnsi="Arial" w:cs="Arial"/>
                <w:color w:val="000000"/>
              </w:rPr>
            </w:pPr>
            <w:r>
              <w:rPr>
                <w:rFonts w:ascii="Arial" w:hAnsi="Arial" w:cs="Arial"/>
                <w:color w:val="000000"/>
              </w:rPr>
              <w:t>492,99</w:t>
            </w:r>
            <w:r w:rsidR="00BB028B">
              <w:rPr>
                <w:rFonts w:ascii="Arial" w:hAnsi="Arial" w:cs="Arial"/>
                <w:color w:val="000000"/>
              </w:rPr>
              <w:t>5</w:t>
            </w:r>
          </w:p>
        </w:tc>
      </w:tr>
      <w:tr w:rsidR="009C2711" w:rsidRPr="00784E9A" w14:paraId="25052FE5" w14:textId="77777777" w:rsidTr="003A28C7">
        <w:trPr>
          <w:trHeight w:val="315"/>
        </w:trPr>
        <w:tc>
          <w:tcPr>
            <w:tcW w:w="2179" w:type="dxa"/>
            <w:tcBorders>
              <w:top w:val="nil"/>
              <w:left w:val="single" w:sz="8" w:space="0" w:color="auto"/>
              <w:bottom w:val="nil"/>
              <w:right w:val="nil"/>
            </w:tcBorders>
            <w:vAlign w:val="center"/>
            <w:hideMark/>
          </w:tcPr>
          <w:p w14:paraId="054AB6A5" w14:textId="0B3F8C37" w:rsidR="009C2711" w:rsidRPr="00784E9A" w:rsidRDefault="009C2711" w:rsidP="009C2711">
            <w:pPr>
              <w:jc w:val="right"/>
              <w:rPr>
                <w:rFonts w:ascii="Arial" w:hAnsi="Arial" w:cs="Arial"/>
                <w:color w:val="000000"/>
              </w:rPr>
            </w:pPr>
            <w:r>
              <w:rPr>
                <w:rFonts w:ascii="Arial" w:hAnsi="Arial" w:cs="Arial"/>
                <w:color w:val="000000"/>
              </w:rPr>
              <w:t>0</w:t>
            </w:r>
          </w:p>
        </w:tc>
        <w:tc>
          <w:tcPr>
            <w:tcW w:w="1853" w:type="dxa"/>
            <w:tcBorders>
              <w:top w:val="nil"/>
              <w:left w:val="nil"/>
              <w:bottom w:val="nil"/>
              <w:right w:val="nil"/>
            </w:tcBorders>
            <w:vAlign w:val="center"/>
            <w:hideMark/>
          </w:tcPr>
          <w:p w14:paraId="1E4D9323" w14:textId="408475E4" w:rsidR="009C2711" w:rsidRPr="00784E9A" w:rsidRDefault="009C2711" w:rsidP="009C2711">
            <w:pPr>
              <w:jc w:val="right"/>
              <w:rPr>
                <w:rFonts w:ascii="Arial" w:hAnsi="Arial" w:cs="Arial"/>
                <w:color w:val="000000"/>
              </w:rPr>
            </w:pPr>
            <w:r>
              <w:rPr>
                <w:rFonts w:ascii="Arial" w:hAnsi="Arial" w:cs="Arial"/>
                <w:color w:val="000000"/>
              </w:rPr>
              <w:t>0</w:t>
            </w:r>
          </w:p>
        </w:tc>
        <w:tc>
          <w:tcPr>
            <w:tcW w:w="1361" w:type="dxa"/>
            <w:tcBorders>
              <w:top w:val="nil"/>
              <w:left w:val="nil"/>
              <w:bottom w:val="nil"/>
              <w:right w:val="nil"/>
            </w:tcBorders>
            <w:vAlign w:val="center"/>
            <w:hideMark/>
          </w:tcPr>
          <w:p w14:paraId="21126C39" w14:textId="349B12A1" w:rsidR="009C2711" w:rsidRPr="00784E9A" w:rsidRDefault="009C2711" w:rsidP="009C2711">
            <w:pPr>
              <w:jc w:val="right"/>
              <w:rPr>
                <w:rFonts w:ascii="Arial" w:hAnsi="Arial" w:cs="Arial"/>
                <w:color w:val="000000"/>
              </w:rPr>
            </w:pPr>
            <w:r>
              <w:rPr>
                <w:rFonts w:ascii="Arial" w:hAnsi="Arial" w:cs="Arial"/>
                <w:color w:val="000000"/>
              </w:rPr>
              <w:t>(42,900)</w:t>
            </w:r>
          </w:p>
        </w:tc>
        <w:tc>
          <w:tcPr>
            <w:tcW w:w="1234" w:type="dxa"/>
            <w:tcBorders>
              <w:top w:val="nil"/>
              <w:left w:val="nil"/>
              <w:bottom w:val="nil"/>
              <w:right w:val="nil"/>
            </w:tcBorders>
            <w:vAlign w:val="center"/>
            <w:hideMark/>
          </w:tcPr>
          <w:p w14:paraId="5ACE9D9F" w14:textId="2A28994A" w:rsidR="009C2711" w:rsidRPr="00784E9A" w:rsidRDefault="009C2711" w:rsidP="009C2711">
            <w:pPr>
              <w:jc w:val="right"/>
              <w:rPr>
                <w:rFonts w:ascii="Arial" w:hAnsi="Arial" w:cs="Arial"/>
                <w:color w:val="000000"/>
              </w:rPr>
            </w:pPr>
            <w:r>
              <w:rPr>
                <w:rFonts w:ascii="Arial" w:hAnsi="Arial" w:cs="Arial"/>
                <w:color w:val="000000"/>
              </w:rPr>
              <w:t>(42,900)</w:t>
            </w:r>
          </w:p>
        </w:tc>
        <w:tc>
          <w:tcPr>
            <w:tcW w:w="2945" w:type="dxa"/>
            <w:tcBorders>
              <w:top w:val="nil"/>
              <w:left w:val="nil"/>
              <w:bottom w:val="nil"/>
              <w:right w:val="nil"/>
            </w:tcBorders>
            <w:shd w:val="clear" w:color="000000" w:fill="CCCCCC"/>
            <w:vAlign w:val="center"/>
            <w:hideMark/>
          </w:tcPr>
          <w:p w14:paraId="4381D193" w14:textId="77777777" w:rsidR="009C2711" w:rsidRPr="00784E9A" w:rsidRDefault="009C2711" w:rsidP="009C2711">
            <w:pPr>
              <w:rPr>
                <w:rFonts w:ascii="Arial" w:hAnsi="Arial" w:cs="Arial"/>
                <w:color w:val="000000"/>
              </w:rPr>
            </w:pPr>
            <w:r w:rsidRPr="00784E9A">
              <w:rPr>
                <w:rFonts w:ascii="Arial" w:hAnsi="Arial" w:cs="Arial"/>
                <w:color w:val="000000"/>
              </w:rPr>
              <w:t>Income collected by the CC</w:t>
            </w:r>
          </w:p>
        </w:tc>
        <w:tc>
          <w:tcPr>
            <w:tcW w:w="2133" w:type="dxa"/>
            <w:tcBorders>
              <w:top w:val="nil"/>
              <w:left w:val="nil"/>
              <w:bottom w:val="single" w:sz="8" w:space="0" w:color="auto"/>
              <w:right w:val="nil"/>
            </w:tcBorders>
            <w:shd w:val="clear" w:color="000000" w:fill="CCCCCC"/>
            <w:vAlign w:val="center"/>
            <w:hideMark/>
          </w:tcPr>
          <w:p w14:paraId="6651D50F" w14:textId="002A3F0B" w:rsidR="009C2711" w:rsidRPr="00784E9A" w:rsidRDefault="009C2711" w:rsidP="009C2711">
            <w:pPr>
              <w:jc w:val="right"/>
              <w:rPr>
                <w:rFonts w:ascii="Arial" w:hAnsi="Arial" w:cs="Arial"/>
                <w:color w:val="000000"/>
              </w:rPr>
            </w:pPr>
            <w:r>
              <w:rPr>
                <w:rFonts w:ascii="Arial" w:hAnsi="Arial" w:cs="Arial"/>
                <w:color w:val="000000"/>
              </w:rPr>
              <w:t>0</w:t>
            </w:r>
          </w:p>
        </w:tc>
        <w:tc>
          <w:tcPr>
            <w:tcW w:w="1329" w:type="dxa"/>
            <w:tcBorders>
              <w:top w:val="nil"/>
              <w:left w:val="nil"/>
              <w:bottom w:val="single" w:sz="8" w:space="0" w:color="auto"/>
              <w:right w:val="nil"/>
            </w:tcBorders>
            <w:shd w:val="clear" w:color="000000" w:fill="CCCCCC"/>
            <w:vAlign w:val="center"/>
            <w:hideMark/>
          </w:tcPr>
          <w:p w14:paraId="6C67866D" w14:textId="6314614F" w:rsidR="009C2711" w:rsidRPr="00784E9A" w:rsidRDefault="009C2711" w:rsidP="009C2711">
            <w:pPr>
              <w:jc w:val="right"/>
              <w:rPr>
                <w:rFonts w:ascii="Arial" w:hAnsi="Arial" w:cs="Arial"/>
                <w:color w:val="000000"/>
              </w:rPr>
            </w:pPr>
            <w:r>
              <w:rPr>
                <w:rFonts w:ascii="Arial" w:hAnsi="Arial" w:cs="Arial"/>
                <w:color w:val="000000"/>
              </w:rPr>
              <w:t>0</w:t>
            </w:r>
          </w:p>
        </w:tc>
        <w:tc>
          <w:tcPr>
            <w:tcW w:w="1349" w:type="dxa"/>
            <w:tcBorders>
              <w:top w:val="nil"/>
              <w:left w:val="nil"/>
              <w:bottom w:val="single" w:sz="8" w:space="0" w:color="auto"/>
              <w:right w:val="nil"/>
            </w:tcBorders>
            <w:shd w:val="clear" w:color="000000" w:fill="CCCCCC"/>
            <w:vAlign w:val="center"/>
            <w:hideMark/>
          </w:tcPr>
          <w:p w14:paraId="5A9CE59A" w14:textId="5737A65E" w:rsidR="009C2711" w:rsidRPr="00784E9A" w:rsidRDefault="009C2711" w:rsidP="009C2711">
            <w:pPr>
              <w:jc w:val="right"/>
              <w:rPr>
                <w:rFonts w:ascii="Arial" w:hAnsi="Arial" w:cs="Arial"/>
                <w:color w:val="000000"/>
              </w:rPr>
            </w:pPr>
            <w:r>
              <w:rPr>
                <w:rFonts w:ascii="Arial" w:hAnsi="Arial" w:cs="Arial"/>
                <w:color w:val="000000"/>
              </w:rPr>
              <w:t>(49,995)</w:t>
            </w:r>
          </w:p>
        </w:tc>
        <w:tc>
          <w:tcPr>
            <w:tcW w:w="1073" w:type="dxa"/>
            <w:tcBorders>
              <w:top w:val="nil"/>
              <w:left w:val="nil"/>
              <w:bottom w:val="nil"/>
              <w:right w:val="single" w:sz="8" w:space="0" w:color="auto"/>
            </w:tcBorders>
            <w:shd w:val="clear" w:color="000000" w:fill="CCCCCC"/>
            <w:vAlign w:val="center"/>
            <w:hideMark/>
          </w:tcPr>
          <w:p w14:paraId="50213543" w14:textId="5E3EDE5F" w:rsidR="009C2711" w:rsidRPr="00784E9A" w:rsidRDefault="009C2711" w:rsidP="009C2711">
            <w:pPr>
              <w:jc w:val="right"/>
              <w:rPr>
                <w:rFonts w:ascii="Arial" w:hAnsi="Arial" w:cs="Arial"/>
                <w:color w:val="000000"/>
              </w:rPr>
            </w:pPr>
            <w:r>
              <w:rPr>
                <w:rFonts w:ascii="Arial" w:hAnsi="Arial" w:cs="Arial"/>
                <w:color w:val="000000"/>
              </w:rPr>
              <w:t>(49,995)</w:t>
            </w:r>
          </w:p>
        </w:tc>
      </w:tr>
      <w:tr w:rsidR="009C2711" w:rsidRPr="00784E9A" w14:paraId="441DACBD" w14:textId="77777777" w:rsidTr="003A28C7">
        <w:trPr>
          <w:trHeight w:val="300"/>
        </w:trPr>
        <w:tc>
          <w:tcPr>
            <w:tcW w:w="2179" w:type="dxa"/>
            <w:tcBorders>
              <w:top w:val="single" w:sz="8" w:space="0" w:color="auto"/>
              <w:left w:val="single" w:sz="8" w:space="0" w:color="auto"/>
              <w:bottom w:val="nil"/>
              <w:right w:val="nil"/>
            </w:tcBorders>
            <w:vAlign w:val="center"/>
            <w:hideMark/>
          </w:tcPr>
          <w:p w14:paraId="530B34E3" w14:textId="3578F39F" w:rsidR="009C2711" w:rsidRPr="00784E9A" w:rsidRDefault="009C2711" w:rsidP="009C2711">
            <w:pPr>
              <w:jc w:val="right"/>
              <w:rPr>
                <w:rFonts w:ascii="Arial" w:hAnsi="Arial" w:cs="Arial"/>
                <w:b/>
                <w:bCs/>
                <w:color w:val="000000"/>
              </w:rPr>
            </w:pPr>
            <w:r>
              <w:rPr>
                <w:rFonts w:ascii="Arial" w:hAnsi="Arial" w:cs="Arial"/>
                <w:b/>
                <w:bCs/>
                <w:color w:val="000000"/>
              </w:rPr>
              <w:t>(34,619)</w:t>
            </w:r>
          </w:p>
        </w:tc>
        <w:tc>
          <w:tcPr>
            <w:tcW w:w="1853" w:type="dxa"/>
            <w:tcBorders>
              <w:top w:val="single" w:sz="8" w:space="0" w:color="auto"/>
              <w:left w:val="nil"/>
              <w:bottom w:val="nil"/>
              <w:right w:val="nil"/>
            </w:tcBorders>
            <w:vAlign w:val="center"/>
            <w:hideMark/>
          </w:tcPr>
          <w:p w14:paraId="6FF8DA5A" w14:textId="796C38B0" w:rsidR="009C2711" w:rsidRPr="00784E9A" w:rsidRDefault="009C2711" w:rsidP="009C2711">
            <w:pPr>
              <w:jc w:val="right"/>
              <w:rPr>
                <w:rFonts w:ascii="Arial" w:hAnsi="Arial" w:cs="Arial"/>
                <w:b/>
                <w:bCs/>
                <w:color w:val="000000"/>
              </w:rPr>
            </w:pPr>
            <w:r>
              <w:rPr>
                <w:rFonts w:ascii="Arial" w:hAnsi="Arial" w:cs="Arial"/>
                <w:b/>
                <w:bCs/>
                <w:color w:val="000000"/>
              </w:rPr>
              <w:t>3,092</w:t>
            </w:r>
          </w:p>
        </w:tc>
        <w:tc>
          <w:tcPr>
            <w:tcW w:w="1361" w:type="dxa"/>
            <w:tcBorders>
              <w:top w:val="single" w:sz="8" w:space="0" w:color="auto"/>
              <w:left w:val="nil"/>
              <w:bottom w:val="nil"/>
              <w:right w:val="nil"/>
            </w:tcBorders>
            <w:vAlign w:val="center"/>
            <w:hideMark/>
          </w:tcPr>
          <w:p w14:paraId="38DDB27F" w14:textId="547A089E" w:rsidR="009C2711" w:rsidRPr="00784E9A" w:rsidRDefault="009C2711" w:rsidP="009C2711">
            <w:pPr>
              <w:jc w:val="right"/>
              <w:rPr>
                <w:rFonts w:ascii="Arial" w:hAnsi="Arial" w:cs="Arial"/>
                <w:b/>
                <w:bCs/>
                <w:color w:val="000000"/>
              </w:rPr>
            </w:pPr>
            <w:r>
              <w:rPr>
                <w:rFonts w:ascii="Arial" w:hAnsi="Arial" w:cs="Arial"/>
                <w:b/>
                <w:bCs/>
                <w:color w:val="000000"/>
              </w:rPr>
              <w:t>418,901</w:t>
            </w:r>
          </w:p>
        </w:tc>
        <w:tc>
          <w:tcPr>
            <w:tcW w:w="1234" w:type="dxa"/>
            <w:tcBorders>
              <w:top w:val="single" w:sz="8" w:space="0" w:color="auto"/>
              <w:left w:val="nil"/>
              <w:bottom w:val="nil"/>
              <w:right w:val="nil"/>
            </w:tcBorders>
            <w:vAlign w:val="center"/>
            <w:hideMark/>
          </w:tcPr>
          <w:p w14:paraId="2C157918" w14:textId="473167ED" w:rsidR="009C2711" w:rsidRPr="00784E9A" w:rsidRDefault="009C2711" w:rsidP="009C2711">
            <w:pPr>
              <w:jc w:val="right"/>
              <w:rPr>
                <w:rFonts w:ascii="Arial" w:hAnsi="Arial" w:cs="Arial"/>
                <w:b/>
                <w:bCs/>
                <w:color w:val="000000"/>
              </w:rPr>
            </w:pPr>
            <w:r>
              <w:rPr>
                <w:rFonts w:ascii="Arial" w:hAnsi="Arial" w:cs="Arial"/>
                <w:b/>
                <w:bCs/>
                <w:color w:val="000000"/>
              </w:rPr>
              <w:t>387,374</w:t>
            </w:r>
          </w:p>
        </w:tc>
        <w:tc>
          <w:tcPr>
            <w:tcW w:w="2945" w:type="dxa"/>
            <w:tcBorders>
              <w:top w:val="nil"/>
              <w:left w:val="nil"/>
              <w:bottom w:val="nil"/>
              <w:right w:val="nil"/>
            </w:tcBorders>
            <w:shd w:val="clear" w:color="000000" w:fill="CCCCCC"/>
            <w:vAlign w:val="center"/>
            <w:hideMark/>
          </w:tcPr>
          <w:p w14:paraId="4ED36815" w14:textId="77777777" w:rsidR="009C2711" w:rsidRPr="00784E9A" w:rsidRDefault="009C2711" w:rsidP="009C2711">
            <w:pPr>
              <w:rPr>
                <w:rFonts w:ascii="Arial" w:hAnsi="Arial" w:cs="Arial"/>
                <w:b/>
                <w:bCs/>
                <w:color w:val="000000"/>
              </w:rPr>
            </w:pPr>
            <w:r w:rsidRPr="00784E9A">
              <w:rPr>
                <w:rFonts w:ascii="Arial" w:hAnsi="Arial" w:cs="Arial"/>
                <w:b/>
                <w:bCs/>
                <w:color w:val="000000"/>
              </w:rPr>
              <w:t>Net Cost of Services</w:t>
            </w:r>
          </w:p>
        </w:tc>
        <w:tc>
          <w:tcPr>
            <w:tcW w:w="2133" w:type="dxa"/>
            <w:tcBorders>
              <w:top w:val="nil"/>
              <w:left w:val="nil"/>
              <w:bottom w:val="nil"/>
              <w:right w:val="nil"/>
            </w:tcBorders>
            <w:shd w:val="clear" w:color="000000" w:fill="CCCCCC"/>
            <w:vAlign w:val="center"/>
            <w:hideMark/>
          </w:tcPr>
          <w:p w14:paraId="1F4CC9B8" w14:textId="09402347" w:rsidR="009C2711" w:rsidRPr="00784E9A" w:rsidRDefault="009C2711" w:rsidP="009C2711">
            <w:pPr>
              <w:jc w:val="right"/>
              <w:rPr>
                <w:rFonts w:ascii="Arial" w:hAnsi="Arial" w:cs="Arial"/>
                <w:b/>
                <w:bCs/>
                <w:color w:val="000000"/>
              </w:rPr>
            </w:pPr>
            <w:r>
              <w:rPr>
                <w:rFonts w:ascii="Arial" w:hAnsi="Arial" w:cs="Arial"/>
                <w:b/>
                <w:bCs/>
                <w:color w:val="000000"/>
              </w:rPr>
              <w:t>(29,027)</w:t>
            </w:r>
          </w:p>
        </w:tc>
        <w:tc>
          <w:tcPr>
            <w:tcW w:w="1329" w:type="dxa"/>
            <w:tcBorders>
              <w:top w:val="nil"/>
              <w:left w:val="nil"/>
              <w:bottom w:val="nil"/>
              <w:right w:val="nil"/>
            </w:tcBorders>
            <w:shd w:val="clear" w:color="000000" w:fill="CCCCCC"/>
            <w:vAlign w:val="center"/>
            <w:hideMark/>
          </w:tcPr>
          <w:p w14:paraId="5FE35462" w14:textId="1C33EF72" w:rsidR="009C2711" w:rsidRPr="00784E9A" w:rsidRDefault="009C2711" w:rsidP="009C2711">
            <w:pPr>
              <w:jc w:val="right"/>
              <w:rPr>
                <w:rFonts w:ascii="Arial" w:hAnsi="Arial" w:cs="Arial"/>
                <w:b/>
                <w:bCs/>
                <w:color w:val="000000"/>
              </w:rPr>
            </w:pPr>
            <w:r>
              <w:rPr>
                <w:rFonts w:ascii="Arial" w:hAnsi="Arial" w:cs="Arial"/>
                <w:b/>
                <w:bCs/>
                <w:color w:val="000000"/>
              </w:rPr>
              <w:t>3,</w:t>
            </w:r>
            <w:r w:rsidR="001C7D0B">
              <w:rPr>
                <w:rFonts w:ascii="Arial" w:hAnsi="Arial" w:cs="Arial"/>
                <w:b/>
                <w:bCs/>
                <w:color w:val="000000"/>
              </w:rPr>
              <w:t>904</w:t>
            </w:r>
          </w:p>
        </w:tc>
        <w:tc>
          <w:tcPr>
            <w:tcW w:w="1349" w:type="dxa"/>
            <w:tcBorders>
              <w:top w:val="nil"/>
              <w:left w:val="nil"/>
              <w:bottom w:val="nil"/>
              <w:right w:val="nil"/>
            </w:tcBorders>
            <w:shd w:val="clear" w:color="000000" w:fill="CCCCCC"/>
            <w:vAlign w:val="center"/>
            <w:hideMark/>
          </w:tcPr>
          <w:p w14:paraId="2F292AD0" w14:textId="0F75B2AC" w:rsidR="009C2711" w:rsidRPr="00784E9A" w:rsidRDefault="009C2711" w:rsidP="009C2711">
            <w:pPr>
              <w:jc w:val="right"/>
              <w:rPr>
                <w:rFonts w:ascii="Arial" w:hAnsi="Arial" w:cs="Arial"/>
                <w:b/>
                <w:bCs/>
                <w:color w:val="000000"/>
              </w:rPr>
            </w:pPr>
            <w:r>
              <w:rPr>
                <w:rFonts w:ascii="Arial" w:hAnsi="Arial" w:cs="Arial"/>
                <w:b/>
                <w:bCs/>
                <w:color w:val="000000"/>
              </w:rPr>
              <w:t>441,</w:t>
            </w:r>
            <w:r w:rsidR="00BB028B">
              <w:rPr>
                <w:rFonts w:ascii="Arial" w:hAnsi="Arial" w:cs="Arial"/>
                <w:b/>
                <w:bCs/>
                <w:color w:val="000000"/>
              </w:rPr>
              <w:t>200</w:t>
            </w:r>
          </w:p>
        </w:tc>
        <w:tc>
          <w:tcPr>
            <w:tcW w:w="1073" w:type="dxa"/>
            <w:tcBorders>
              <w:top w:val="single" w:sz="8" w:space="0" w:color="auto"/>
              <w:left w:val="nil"/>
              <w:bottom w:val="nil"/>
              <w:right w:val="single" w:sz="8" w:space="0" w:color="auto"/>
            </w:tcBorders>
            <w:shd w:val="clear" w:color="000000" w:fill="CCCCCC"/>
            <w:vAlign w:val="center"/>
            <w:hideMark/>
          </w:tcPr>
          <w:p w14:paraId="595C4707" w14:textId="31542430" w:rsidR="009C2711" w:rsidRPr="00784E9A" w:rsidRDefault="009C2711" w:rsidP="009C2711">
            <w:pPr>
              <w:jc w:val="right"/>
              <w:rPr>
                <w:rFonts w:ascii="Arial" w:hAnsi="Arial" w:cs="Arial"/>
                <w:b/>
                <w:bCs/>
                <w:color w:val="000000"/>
              </w:rPr>
            </w:pPr>
            <w:r>
              <w:rPr>
                <w:rFonts w:ascii="Arial" w:hAnsi="Arial" w:cs="Arial"/>
                <w:b/>
                <w:bCs/>
                <w:color w:val="000000"/>
              </w:rPr>
              <w:t>416,0</w:t>
            </w:r>
            <w:r w:rsidR="00BB028B">
              <w:rPr>
                <w:rFonts w:ascii="Arial" w:hAnsi="Arial" w:cs="Arial"/>
                <w:b/>
                <w:bCs/>
                <w:color w:val="000000"/>
              </w:rPr>
              <w:t>76</w:t>
            </w:r>
          </w:p>
        </w:tc>
      </w:tr>
      <w:tr w:rsidR="009C2711" w:rsidRPr="00784E9A" w14:paraId="5DF183A6" w14:textId="77777777" w:rsidTr="003A28C7">
        <w:trPr>
          <w:trHeight w:val="315"/>
        </w:trPr>
        <w:tc>
          <w:tcPr>
            <w:tcW w:w="2179" w:type="dxa"/>
            <w:tcBorders>
              <w:top w:val="nil"/>
              <w:left w:val="single" w:sz="8" w:space="0" w:color="auto"/>
              <w:bottom w:val="single" w:sz="8" w:space="0" w:color="auto"/>
              <w:right w:val="nil"/>
            </w:tcBorders>
            <w:vAlign w:val="center"/>
            <w:hideMark/>
          </w:tcPr>
          <w:p w14:paraId="4178964B" w14:textId="62C14136" w:rsidR="009C2711" w:rsidRPr="00784E9A" w:rsidRDefault="009C2711" w:rsidP="009C2711">
            <w:pPr>
              <w:jc w:val="right"/>
              <w:rPr>
                <w:rFonts w:ascii="Arial" w:hAnsi="Arial" w:cs="Arial"/>
                <w:color w:val="000000"/>
              </w:rPr>
            </w:pPr>
            <w:r>
              <w:rPr>
                <w:rFonts w:ascii="Arial" w:hAnsi="Arial" w:cs="Arial"/>
                <w:color w:val="000000"/>
              </w:rPr>
              <w:t>(399,265)</w:t>
            </w:r>
          </w:p>
        </w:tc>
        <w:tc>
          <w:tcPr>
            <w:tcW w:w="1853" w:type="dxa"/>
            <w:tcBorders>
              <w:top w:val="nil"/>
              <w:left w:val="nil"/>
              <w:bottom w:val="single" w:sz="8" w:space="0" w:color="auto"/>
              <w:right w:val="nil"/>
            </w:tcBorders>
            <w:vAlign w:val="center"/>
            <w:hideMark/>
          </w:tcPr>
          <w:p w14:paraId="4A2A8799" w14:textId="432A90D3" w:rsidR="009C2711" w:rsidRPr="00784E9A" w:rsidRDefault="009C2711" w:rsidP="009C2711">
            <w:pPr>
              <w:jc w:val="right"/>
              <w:rPr>
                <w:rFonts w:ascii="Arial" w:hAnsi="Arial" w:cs="Arial"/>
                <w:color w:val="000000"/>
              </w:rPr>
            </w:pPr>
            <w:r>
              <w:rPr>
                <w:rFonts w:ascii="Arial" w:hAnsi="Arial" w:cs="Arial"/>
                <w:color w:val="000000"/>
              </w:rPr>
              <w:t>0</w:t>
            </w:r>
          </w:p>
        </w:tc>
        <w:tc>
          <w:tcPr>
            <w:tcW w:w="1361" w:type="dxa"/>
            <w:tcBorders>
              <w:top w:val="nil"/>
              <w:left w:val="nil"/>
              <w:bottom w:val="single" w:sz="8" w:space="0" w:color="auto"/>
              <w:right w:val="nil"/>
            </w:tcBorders>
            <w:vAlign w:val="center"/>
            <w:hideMark/>
          </w:tcPr>
          <w:p w14:paraId="5CA0D5F1" w14:textId="2A17DAE0" w:rsidR="009C2711" w:rsidRPr="00784E9A" w:rsidRDefault="009C2711" w:rsidP="009C2711">
            <w:pPr>
              <w:jc w:val="right"/>
              <w:rPr>
                <w:rFonts w:ascii="Arial" w:hAnsi="Arial" w:cs="Arial"/>
                <w:color w:val="000000"/>
              </w:rPr>
            </w:pPr>
            <w:r>
              <w:rPr>
                <w:rFonts w:ascii="Arial" w:hAnsi="Arial" w:cs="Arial"/>
                <w:color w:val="000000"/>
              </w:rPr>
              <w:t>0</w:t>
            </w:r>
          </w:p>
        </w:tc>
        <w:tc>
          <w:tcPr>
            <w:tcW w:w="1234" w:type="dxa"/>
            <w:tcBorders>
              <w:top w:val="nil"/>
              <w:left w:val="nil"/>
              <w:bottom w:val="single" w:sz="8" w:space="0" w:color="auto"/>
              <w:right w:val="nil"/>
            </w:tcBorders>
            <w:vAlign w:val="center"/>
            <w:hideMark/>
          </w:tcPr>
          <w:p w14:paraId="213C64D5" w14:textId="284774CA" w:rsidR="009C2711" w:rsidRPr="00784E9A" w:rsidRDefault="009C2711" w:rsidP="009C2711">
            <w:pPr>
              <w:jc w:val="right"/>
              <w:rPr>
                <w:rFonts w:ascii="Arial" w:hAnsi="Arial" w:cs="Arial"/>
                <w:color w:val="000000"/>
              </w:rPr>
            </w:pPr>
            <w:r>
              <w:rPr>
                <w:rFonts w:ascii="Arial" w:hAnsi="Arial" w:cs="Arial"/>
                <w:color w:val="000000"/>
              </w:rPr>
              <w:t>(399,265)</w:t>
            </w:r>
          </w:p>
        </w:tc>
        <w:tc>
          <w:tcPr>
            <w:tcW w:w="2945" w:type="dxa"/>
            <w:tcBorders>
              <w:top w:val="nil"/>
              <w:left w:val="nil"/>
              <w:bottom w:val="nil"/>
              <w:right w:val="nil"/>
            </w:tcBorders>
            <w:shd w:val="clear" w:color="000000" w:fill="CCCCCC"/>
            <w:vAlign w:val="center"/>
            <w:hideMark/>
          </w:tcPr>
          <w:p w14:paraId="24F4F089" w14:textId="77777777" w:rsidR="009C2711" w:rsidRPr="00784E9A" w:rsidRDefault="009C2711" w:rsidP="009C2711">
            <w:pPr>
              <w:rPr>
                <w:rFonts w:ascii="Arial" w:hAnsi="Arial" w:cs="Arial"/>
                <w:color w:val="000000"/>
              </w:rPr>
            </w:pPr>
            <w:r w:rsidRPr="00784E9A">
              <w:rPr>
                <w:rFonts w:ascii="Arial" w:hAnsi="Arial" w:cs="Arial"/>
                <w:color w:val="000000"/>
              </w:rPr>
              <w:t>Other Income &amp; Expenditure</w:t>
            </w:r>
          </w:p>
        </w:tc>
        <w:tc>
          <w:tcPr>
            <w:tcW w:w="2133" w:type="dxa"/>
            <w:tcBorders>
              <w:top w:val="nil"/>
              <w:left w:val="nil"/>
              <w:bottom w:val="single" w:sz="8" w:space="0" w:color="auto"/>
              <w:right w:val="nil"/>
            </w:tcBorders>
            <w:shd w:val="clear" w:color="000000" w:fill="CCCCCC"/>
            <w:vAlign w:val="center"/>
            <w:hideMark/>
          </w:tcPr>
          <w:p w14:paraId="63BC713D" w14:textId="1256CECC" w:rsidR="009C2711" w:rsidRPr="00784E9A" w:rsidRDefault="009C2711" w:rsidP="009C2711">
            <w:pPr>
              <w:jc w:val="right"/>
              <w:rPr>
                <w:rFonts w:ascii="Arial" w:hAnsi="Arial" w:cs="Arial"/>
                <w:color w:val="000000"/>
              </w:rPr>
            </w:pPr>
            <w:r>
              <w:rPr>
                <w:rFonts w:ascii="Arial" w:hAnsi="Arial" w:cs="Arial"/>
                <w:color w:val="000000"/>
              </w:rPr>
              <w:t>(419,186)</w:t>
            </w:r>
          </w:p>
        </w:tc>
        <w:tc>
          <w:tcPr>
            <w:tcW w:w="1329" w:type="dxa"/>
            <w:tcBorders>
              <w:top w:val="nil"/>
              <w:left w:val="nil"/>
              <w:bottom w:val="single" w:sz="8" w:space="0" w:color="auto"/>
              <w:right w:val="nil"/>
            </w:tcBorders>
            <w:shd w:val="clear" w:color="000000" w:fill="CCCCCC"/>
            <w:vAlign w:val="center"/>
            <w:hideMark/>
          </w:tcPr>
          <w:p w14:paraId="4F511736" w14:textId="1781B6B2" w:rsidR="009C2711" w:rsidRPr="00784E9A" w:rsidRDefault="009C2711" w:rsidP="009C2711">
            <w:pPr>
              <w:jc w:val="right"/>
              <w:rPr>
                <w:rFonts w:ascii="Arial" w:hAnsi="Arial" w:cs="Arial"/>
                <w:color w:val="000000"/>
              </w:rPr>
            </w:pPr>
            <w:r>
              <w:rPr>
                <w:rFonts w:ascii="Arial" w:hAnsi="Arial" w:cs="Arial"/>
                <w:color w:val="000000"/>
              </w:rPr>
              <w:t>0</w:t>
            </w:r>
          </w:p>
        </w:tc>
        <w:tc>
          <w:tcPr>
            <w:tcW w:w="1349" w:type="dxa"/>
            <w:tcBorders>
              <w:top w:val="nil"/>
              <w:left w:val="nil"/>
              <w:bottom w:val="single" w:sz="8" w:space="0" w:color="auto"/>
              <w:right w:val="nil"/>
            </w:tcBorders>
            <w:shd w:val="clear" w:color="000000" w:fill="CCCCCC"/>
            <w:vAlign w:val="center"/>
            <w:hideMark/>
          </w:tcPr>
          <w:p w14:paraId="74F45B97" w14:textId="56D54EB5" w:rsidR="009C2711" w:rsidRPr="00784E9A" w:rsidRDefault="009C2711" w:rsidP="009C2711">
            <w:pPr>
              <w:jc w:val="right"/>
              <w:rPr>
                <w:rFonts w:ascii="Arial" w:hAnsi="Arial" w:cs="Arial"/>
                <w:color w:val="000000"/>
              </w:rPr>
            </w:pPr>
            <w:r>
              <w:rPr>
                <w:rFonts w:ascii="Arial" w:hAnsi="Arial" w:cs="Arial"/>
                <w:color w:val="000000"/>
              </w:rPr>
              <w:t>0</w:t>
            </w:r>
          </w:p>
        </w:tc>
        <w:tc>
          <w:tcPr>
            <w:tcW w:w="1073" w:type="dxa"/>
            <w:tcBorders>
              <w:top w:val="nil"/>
              <w:left w:val="nil"/>
              <w:bottom w:val="single" w:sz="8" w:space="0" w:color="auto"/>
              <w:right w:val="single" w:sz="8" w:space="0" w:color="auto"/>
            </w:tcBorders>
            <w:shd w:val="clear" w:color="000000" w:fill="CCCCCC"/>
            <w:vAlign w:val="center"/>
            <w:hideMark/>
          </w:tcPr>
          <w:p w14:paraId="5D6A9C0D" w14:textId="45F95A7D" w:rsidR="009C2711" w:rsidRPr="00784E9A" w:rsidRDefault="009C2711" w:rsidP="009C2711">
            <w:pPr>
              <w:jc w:val="right"/>
              <w:rPr>
                <w:rFonts w:ascii="Arial" w:hAnsi="Arial" w:cs="Arial"/>
                <w:color w:val="000000"/>
              </w:rPr>
            </w:pPr>
            <w:r>
              <w:rPr>
                <w:rFonts w:ascii="Arial" w:hAnsi="Arial" w:cs="Arial"/>
                <w:color w:val="000000"/>
              </w:rPr>
              <w:t>(419,186)</w:t>
            </w:r>
          </w:p>
        </w:tc>
      </w:tr>
      <w:tr w:rsidR="009C2711" w:rsidRPr="00784E9A" w14:paraId="494DE2CF" w14:textId="77777777" w:rsidTr="003A28C7">
        <w:trPr>
          <w:trHeight w:val="525"/>
        </w:trPr>
        <w:tc>
          <w:tcPr>
            <w:tcW w:w="2179" w:type="dxa"/>
            <w:tcBorders>
              <w:top w:val="nil"/>
              <w:left w:val="single" w:sz="8" w:space="0" w:color="auto"/>
              <w:bottom w:val="single" w:sz="8" w:space="0" w:color="auto"/>
              <w:right w:val="nil"/>
            </w:tcBorders>
            <w:vAlign w:val="center"/>
            <w:hideMark/>
          </w:tcPr>
          <w:p w14:paraId="15546AD9" w14:textId="4CC17742" w:rsidR="009C2711" w:rsidRPr="00784E9A" w:rsidRDefault="009C2711" w:rsidP="009C2711">
            <w:pPr>
              <w:jc w:val="right"/>
              <w:rPr>
                <w:rFonts w:ascii="Arial" w:hAnsi="Arial" w:cs="Arial"/>
                <w:b/>
                <w:bCs/>
                <w:color w:val="000000"/>
              </w:rPr>
            </w:pPr>
            <w:r>
              <w:rPr>
                <w:rFonts w:ascii="Arial" w:hAnsi="Arial" w:cs="Arial"/>
                <w:b/>
                <w:bCs/>
                <w:color w:val="000000"/>
              </w:rPr>
              <w:t>(433,884)</w:t>
            </w:r>
          </w:p>
        </w:tc>
        <w:tc>
          <w:tcPr>
            <w:tcW w:w="1853" w:type="dxa"/>
            <w:tcBorders>
              <w:top w:val="nil"/>
              <w:left w:val="nil"/>
              <w:bottom w:val="single" w:sz="8" w:space="0" w:color="auto"/>
              <w:right w:val="nil"/>
            </w:tcBorders>
            <w:vAlign w:val="center"/>
            <w:hideMark/>
          </w:tcPr>
          <w:p w14:paraId="6293BDC1" w14:textId="3574ADA2" w:rsidR="009C2711" w:rsidRPr="00784E9A" w:rsidRDefault="009C2711" w:rsidP="009C2711">
            <w:pPr>
              <w:jc w:val="right"/>
              <w:rPr>
                <w:rFonts w:ascii="Arial" w:hAnsi="Arial" w:cs="Arial"/>
                <w:b/>
                <w:bCs/>
                <w:color w:val="000000"/>
              </w:rPr>
            </w:pPr>
            <w:r>
              <w:rPr>
                <w:rFonts w:ascii="Arial" w:hAnsi="Arial" w:cs="Arial"/>
                <w:b/>
                <w:bCs/>
                <w:color w:val="000000"/>
              </w:rPr>
              <w:t>3,092</w:t>
            </w:r>
          </w:p>
        </w:tc>
        <w:tc>
          <w:tcPr>
            <w:tcW w:w="1361" w:type="dxa"/>
            <w:tcBorders>
              <w:top w:val="nil"/>
              <w:left w:val="nil"/>
              <w:bottom w:val="single" w:sz="8" w:space="0" w:color="auto"/>
              <w:right w:val="nil"/>
            </w:tcBorders>
            <w:vAlign w:val="center"/>
            <w:hideMark/>
          </w:tcPr>
          <w:p w14:paraId="58E3746C" w14:textId="26323595" w:rsidR="009C2711" w:rsidRPr="00784E9A" w:rsidRDefault="009C2711" w:rsidP="009C2711">
            <w:pPr>
              <w:jc w:val="right"/>
              <w:rPr>
                <w:rFonts w:ascii="Arial" w:hAnsi="Arial" w:cs="Arial"/>
                <w:b/>
                <w:bCs/>
                <w:color w:val="000000"/>
              </w:rPr>
            </w:pPr>
            <w:r>
              <w:rPr>
                <w:rFonts w:ascii="Arial" w:hAnsi="Arial" w:cs="Arial"/>
                <w:b/>
                <w:bCs/>
                <w:color w:val="000000"/>
              </w:rPr>
              <w:t>418,901</w:t>
            </w:r>
          </w:p>
        </w:tc>
        <w:tc>
          <w:tcPr>
            <w:tcW w:w="1234" w:type="dxa"/>
            <w:tcBorders>
              <w:top w:val="nil"/>
              <w:left w:val="nil"/>
              <w:bottom w:val="single" w:sz="8" w:space="0" w:color="auto"/>
              <w:right w:val="nil"/>
            </w:tcBorders>
            <w:vAlign w:val="center"/>
            <w:hideMark/>
          </w:tcPr>
          <w:p w14:paraId="28F62EE0" w14:textId="47960463" w:rsidR="009C2711" w:rsidRPr="00784E9A" w:rsidRDefault="009C2711" w:rsidP="009C2711">
            <w:pPr>
              <w:jc w:val="right"/>
              <w:rPr>
                <w:rFonts w:ascii="Arial" w:hAnsi="Arial" w:cs="Arial"/>
                <w:b/>
                <w:bCs/>
                <w:color w:val="000000"/>
              </w:rPr>
            </w:pPr>
            <w:r>
              <w:rPr>
                <w:rFonts w:ascii="Arial" w:hAnsi="Arial" w:cs="Arial"/>
                <w:b/>
                <w:bCs/>
                <w:color w:val="000000"/>
              </w:rPr>
              <w:t>(11,891)</w:t>
            </w:r>
          </w:p>
        </w:tc>
        <w:tc>
          <w:tcPr>
            <w:tcW w:w="2945" w:type="dxa"/>
            <w:tcBorders>
              <w:top w:val="nil"/>
              <w:left w:val="nil"/>
              <w:bottom w:val="single" w:sz="8" w:space="0" w:color="auto"/>
              <w:right w:val="nil"/>
            </w:tcBorders>
            <w:shd w:val="clear" w:color="000000" w:fill="CCCCCC"/>
            <w:vAlign w:val="center"/>
            <w:hideMark/>
          </w:tcPr>
          <w:p w14:paraId="07710079" w14:textId="77777777" w:rsidR="009C2711" w:rsidRPr="00784E9A" w:rsidRDefault="009C2711" w:rsidP="009C2711">
            <w:pPr>
              <w:rPr>
                <w:rFonts w:ascii="Arial" w:hAnsi="Arial" w:cs="Arial"/>
                <w:b/>
                <w:bCs/>
                <w:color w:val="000000"/>
              </w:rPr>
            </w:pPr>
            <w:r w:rsidRPr="00784E9A">
              <w:rPr>
                <w:rFonts w:ascii="Arial" w:hAnsi="Arial" w:cs="Arial"/>
                <w:b/>
                <w:bCs/>
                <w:color w:val="000000"/>
              </w:rPr>
              <w:t>(Surplus)/Deficit on Provision of Services</w:t>
            </w:r>
          </w:p>
        </w:tc>
        <w:tc>
          <w:tcPr>
            <w:tcW w:w="2133" w:type="dxa"/>
            <w:tcBorders>
              <w:top w:val="nil"/>
              <w:left w:val="nil"/>
              <w:bottom w:val="single" w:sz="8" w:space="0" w:color="auto"/>
              <w:right w:val="nil"/>
            </w:tcBorders>
            <w:shd w:val="clear" w:color="000000" w:fill="CCCCCC"/>
            <w:vAlign w:val="center"/>
            <w:hideMark/>
          </w:tcPr>
          <w:p w14:paraId="152BE52C" w14:textId="34D72C73" w:rsidR="009C2711" w:rsidRPr="00784E9A" w:rsidRDefault="009C2711" w:rsidP="009C2711">
            <w:pPr>
              <w:jc w:val="right"/>
              <w:rPr>
                <w:rFonts w:ascii="Arial" w:hAnsi="Arial" w:cs="Arial"/>
                <w:b/>
                <w:bCs/>
                <w:color w:val="000000"/>
              </w:rPr>
            </w:pPr>
            <w:r>
              <w:rPr>
                <w:rFonts w:ascii="Arial" w:hAnsi="Arial" w:cs="Arial"/>
                <w:b/>
                <w:bCs/>
                <w:color w:val="000000"/>
              </w:rPr>
              <w:t>(448,214)</w:t>
            </w:r>
          </w:p>
        </w:tc>
        <w:tc>
          <w:tcPr>
            <w:tcW w:w="1329" w:type="dxa"/>
            <w:tcBorders>
              <w:top w:val="nil"/>
              <w:left w:val="nil"/>
              <w:bottom w:val="single" w:sz="8" w:space="0" w:color="auto"/>
              <w:right w:val="nil"/>
            </w:tcBorders>
            <w:shd w:val="clear" w:color="000000" w:fill="CCCCCC"/>
            <w:vAlign w:val="center"/>
            <w:hideMark/>
          </w:tcPr>
          <w:p w14:paraId="500379D6" w14:textId="03FD05A8" w:rsidR="009C2711" w:rsidRPr="00784E9A" w:rsidRDefault="009C2711" w:rsidP="009C2711">
            <w:pPr>
              <w:jc w:val="right"/>
              <w:rPr>
                <w:rFonts w:ascii="Arial" w:hAnsi="Arial" w:cs="Arial"/>
                <w:b/>
                <w:bCs/>
                <w:color w:val="000000"/>
              </w:rPr>
            </w:pPr>
            <w:r>
              <w:rPr>
                <w:rFonts w:ascii="Arial" w:hAnsi="Arial" w:cs="Arial"/>
                <w:b/>
                <w:bCs/>
                <w:color w:val="000000"/>
              </w:rPr>
              <w:t>3,</w:t>
            </w:r>
            <w:r w:rsidR="001C7D0B">
              <w:rPr>
                <w:rFonts w:ascii="Arial" w:hAnsi="Arial" w:cs="Arial"/>
                <w:b/>
                <w:bCs/>
                <w:color w:val="000000"/>
              </w:rPr>
              <w:t>904</w:t>
            </w:r>
          </w:p>
        </w:tc>
        <w:tc>
          <w:tcPr>
            <w:tcW w:w="1349" w:type="dxa"/>
            <w:tcBorders>
              <w:top w:val="nil"/>
              <w:left w:val="nil"/>
              <w:bottom w:val="single" w:sz="8" w:space="0" w:color="auto"/>
              <w:right w:val="nil"/>
            </w:tcBorders>
            <w:shd w:val="clear" w:color="000000" w:fill="CCCCCC"/>
            <w:vAlign w:val="center"/>
            <w:hideMark/>
          </w:tcPr>
          <w:p w14:paraId="3065F111" w14:textId="1CCEA4B2" w:rsidR="009C2711" w:rsidRPr="00784E9A" w:rsidRDefault="009C2711" w:rsidP="009C2711">
            <w:pPr>
              <w:jc w:val="right"/>
              <w:rPr>
                <w:rFonts w:ascii="Arial" w:hAnsi="Arial" w:cs="Arial"/>
                <w:b/>
                <w:bCs/>
                <w:color w:val="000000"/>
              </w:rPr>
            </w:pPr>
            <w:r>
              <w:rPr>
                <w:rFonts w:ascii="Arial" w:hAnsi="Arial" w:cs="Arial"/>
                <w:b/>
                <w:bCs/>
                <w:color w:val="000000"/>
              </w:rPr>
              <w:t>441,</w:t>
            </w:r>
            <w:r w:rsidR="001C7D0B">
              <w:rPr>
                <w:rFonts w:ascii="Arial" w:hAnsi="Arial" w:cs="Arial"/>
                <w:b/>
                <w:bCs/>
                <w:color w:val="000000"/>
              </w:rPr>
              <w:t>200</w:t>
            </w:r>
          </w:p>
        </w:tc>
        <w:tc>
          <w:tcPr>
            <w:tcW w:w="1073" w:type="dxa"/>
            <w:tcBorders>
              <w:top w:val="nil"/>
              <w:left w:val="nil"/>
              <w:bottom w:val="single" w:sz="8" w:space="0" w:color="auto"/>
              <w:right w:val="single" w:sz="8" w:space="0" w:color="auto"/>
            </w:tcBorders>
            <w:shd w:val="clear" w:color="000000" w:fill="CCCCCC"/>
            <w:vAlign w:val="center"/>
            <w:hideMark/>
          </w:tcPr>
          <w:p w14:paraId="51DDE959" w14:textId="3E911003" w:rsidR="009C2711" w:rsidRPr="00784E9A" w:rsidRDefault="009C2711" w:rsidP="009C2711">
            <w:pPr>
              <w:jc w:val="right"/>
              <w:rPr>
                <w:rFonts w:ascii="Arial" w:hAnsi="Arial" w:cs="Arial"/>
                <w:b/>
                <w:bCs/>
                <w:color w:val="000000"/>
              </w:rPr>
            </w:pPr>
            <w:r>
              <w:rPr>
                <w:rFonts w:ascii="Arial" w:hAnsi="Arial" w:cs="Arial"/>
                <w:b/>
                <w:bCs/>
                <w:color w:val="000000"/>
              </w:rPr>
              <w:t>(3,1</w:t>
            </w:r>
            <w:r w:rsidR="001C7D0B">
              <w:rPr>
                <w:rFonts w:ascii="Arial" w:hAnsi="Arial" w:cs="Arial"/>
                <w:b/>
                <w:bCs/>
                <w:color w:val="000000"/>
              </w:rPr>
              <w:t>10</w:t>
            </w:r>
            <w:r>
              <w:rPr>
                <w:rFonts w:ascii="Arial" w:hAnsi="Arial" w:cs="Arial"/>
                <w:b/>
                <w:bCs/>
                <w:color w:val="000000"/>
              </w:rPr>
              <w:t>)</w:t>
            </w:r>
          </w:p>
        </w:tc>
      </w:tr>
    </w:tbl>
    <w:p w14:paraId="2743918E" w14:textId="66F294D6" w:rsidR="003B74DA" w:rsidRPr="00077C2F" w:rsidRDefault="003B74DA" w:rsidP="003B74DA">
      <w:pPr>
        <w:ind w:firstLine="720"/>
        <w:rPr>
          <w:rFonts w:ascii="Arial" w:hAnsi="Arial"/>
          <w:b/>
          <w:sz w:val="22"/>
          <w:szCs w:val="22"/>
          <w:highlight w:val="yellow"/>
        </w:rPr>
      </w:pPr>
    </w:p>
    <w:p w14:paraId="381B99B4" w14:textId="77777777" w:rsidR="00D25B9A" w:rsidRPr="00077C2F" w:rsidRDefault="00D25B9A" w:rsidP="003B74DA">
      <w:pPr>
        <w:ind w:firstLine="720"/>
        <w:rPr>
          <w:rFonts w:ascii="Arial" w:hAnsi="Arial"/>
          <w:b/>
          <w:sz w:val="22"/>
          <w:szCs w:val="22"/>
          <w:highlight w:val="yellow"/>
        </w:rPr>
      </w:pPr>
    </w:p>
    <w:p w14:paraId="4BD557D0" w14:textId="77777777" w:rsidR="00CC6E0E" w:rsidRDefault="00CC6E0E">
      <w:pPr>
        <w:rPr>
          <w:rFonts w:ascii="Arial" w:hAnsi="Arial"/>
          <w:b/>
          <w:sz w:val="22"/>
          <w:szCs w:val="22"/>
          <w:highlight w:val="yellow"/>
        </w:rPr>
      </w:pPr>
      <w:r>
        <w:rPr>
          <w:rFonts w:ascii="Arial" w:hAnsi="Arial"/>
          <w:b/>
          <w:sz w:val="22"/>
          <w:szCs w:val="22"/>
          <w:highlight w:val="yellow"/>
        </w:rPr>
        <w:br w:type="page"/>
      </w:r>
    </w:p>
    <w:p w14:paraId="7BAA7E1F" w14:textId="46A6D72D" w:rsidR="003B74DA" w:rsidRPr="001A039E" w:rsidRDefault="003B74DA" w:rsidP="003B74DA">
      <w:pPr>
        <w:ind w:firstLine="720"/>
        <w:rPr>
          <w:rFonts w:ascii="Arial" w:hAnsi="Arial"/>
          <w:b/>
          <w:sz w:val="22"/>
          <w:szCs w:val="22"/>
        </w:rPr>
      </w:pPr>
      <w:r w:rsidRPr="001A039E">
        <w:rPr>
          <w:rFonts w:ascii="Arial" w:hAnsi="Arial"/>
          <w:b/>
          <w:sz w:val="22"/>
          <w:szCs w:val="22"/>
        </w:rPr>
        <w:lastRenderedPageBreak/>
        <w:t>Adjustments between the funding and accounting basis</w:t>
      </w:r>
    </w:p>
    <w:p w14:paraId="56B56578" w14:textId="77777777" w:rsidR="003B74DA" w:rsidRPr="001A039E" w:rsidRDefault="003B74DA" w:rsidP="003B74DA">
      <w:pPr>
        <w:ind w:firstLine="720"/>
        <w:rPr>
          <w:rFonts w:ascii="Arial" w:hAnsi="Arial"/>
          <w:b/>
          <w:sz w:val="22"/>
          <w:szCs w:val="22"/>
        </w:rPr>
      </w:pPr>
    </w:p>
    <w:p w14:paraId="08029054" w14:textId="77777777" w:rsidR="003B74DA" w:rsidRPr="001A039E" w:rsidRDefault="003B74DA" w:rsidP="003B74DA">
      <w:pPr>
        <w:tabs>
          <w:tab w:val="right" w:pos="5760"/>
        </w:tabs>
        <w:ind w:left="720"/>
        <w:jc w:val="both"/>
        <w:rPr>
          <w:rFonts w:ascii="Arial" w:hAnsi="Arial"/>
          <w:sz w:val="22"/>
          <w:szCs w:val="22"/>
        </w:rPr>
      </w:pPr>
      <w:r w:rsidRPr="001A039E">
        <w:rPr>
          <w:rFonts w:ascii="Arial" w:hAnsi="Arial"/>
          <w:sz w:val="22"/>
          <w:szCs w:val="22"/>
        </w:rPr>
        <w:t>The tables below provide a more detailed breakdown of the main technical adjustments to Net Expenditure Chargeable to Police General Fund to arrive at the amounts in the Comprehensive Income and Expenditure Statement. An explanation of what these adjustments represent follows these notes.</w:t>
      </w:r>
    </w:p>
    <w:p w14:paraId="656790EC" w14:textId="77777777" w:rsidR="003B74DA" w:rsidRPr="001A039E" w:rsidRDefault="003B74DA" w:rsidP="003B74DA">
      <w:pPr>
        <w:ind w:firstLine="720"/>
        <w:rPr>
          <w:rFonts w:ascii="Arial" w:hAnsi="Arial"/>
          <w:b/>
          <w:sz w:val="22"/>
          <w:szCs w:val="22"/>
        </w:rPr>
      </w:pPr>
    </w:p>
    <w:p w14:paraId="512FA698" w14:textId="77777777" w:rsidR="003B74DA" w:rsidRPr="001A039E" w:rsidRDefault="003B74DA" w:rsidP="003B74DA">
      <w:pPr>
        <w:ind w:firstLine="720"/>
        <w:rPr>
          <w:rFonts w:ascii="Arial" w:hAnsi="Arial"/>
          <w:b/>
          <w:sz w:val="22"/>
          <w:szCs w:val="22"/>
        </w:rPr>
      </w:pPr>
      <w:r w:rsidRPr="001A039E">
        <w:rPr>
          <w:rFonts w:ascii="Arial" w:hAnsi="Arial"/>
          <w:b/>
          <w:sz w:val="22"/>
          <w:szCs w:val="22"/>
        </w:rPr>
        <w:t>PCC GROUP</w:t>
      </w:r>
    </w:p>
    <w:tbl>
      <w:tblPr>
        <w:tblW w:w="15843" w:type="dxa"/>
        <w:tblLayout w:type="fixed"/>
        <w:tblLook w:val="04A0" w:firstRow="1" w:lastRow="0" w:firstColumn="1" w:lastColumn="0" w:noHBand="0" w:noVBand="1"/>
      </w:tblPr>
      <w:tblGrid>
        <w:gridCol w:w="1472"/>
        <w:gridCol w:w="1607"/>
        <w:gridCol w:w="1666"/>
        <w:gridCol w:w="1624"/>
        <w:gridCol w:w="3743"/>
        <w:gridCol w:w="1218"/>
        <w:gridCol w:w="1701"/>
        <w:gridCol w:w="1560"/>
        <w:gridCol w:w="1252"/>
      </w:tblGrid>
      <w:tr w:rsidR="00593F10" w:rsidRPr="00593F10" w14:paraId="7B245476" w14:textId="77777777" w:rsidTr="0069454D">
        <w:trPr>
          <w:trHeight w:val="298"/>
        </w:trPr>
        <w:tc>
          <w:tcPr>
            <w:tcW w:w="6369" w:type="dxa"/>
            <w:gridSpan w:val="4"/>
            <w:tcBorders>
              <w:top w:val="single" w:sz="8" w:space="0" w:color="auto"/>
              <w:left w:val="single" w:sz="8" w:space="0" w:color="auto"/>
              <w:bottom w:val="nil"/>
              <w:right w:val="nil"/>
            </w:tcBorders>
            <w:vAlign w:val="center"/>
            <w:hideMark/>
          </w:tcPr>
          <w:p w14:paraId="4D2294D9" w14:textId="62901F42" w:rsidR="00593F10" w:rsidRPr="00593F10" w:rsidRDefault="00C37E7F" w:rsidP="00593F10">
            <w:pPr>
              <w:jc w:val="center"/>
              <w:rPr>
                <w:rFonts w:ascii="Arial" w:hAnsi="Arial" w:cs="Arial"/>
                <w:b/>
                <w:bCs/>
                <w:color w:val="000000"/>
                <w:sz w:val="22"/>
                <w:szCs w:val="22"/>
              </w:rPr>
            </w:pPr>
            <w:r>
              <w:rPr>
                <w:rFonts w:ascii="Arial" w:hAnsi="Arial" w:cs="Arial"/>
                <w:b/>
                <w:bCs/>
                <w:color w:val="000000"/>
                <w:sz w:val="22"/>
                <w:szCs w:val="22"/>
              </w:rPr>
              <w:t>2023/24</w:t>
            </w:r>
          </w:p>
        </w:tc>
        <w:tc>
          <w:tcPr>
            <w:tcW w:w="3743" w:type="dxa"/>
            <w:tcBorders>
              <w:top w:val="single" w:sz="8" w:space="0" w:color="auto"/>
              <w:left w:val="nil"/>
              <w:bottom w:val="nil"/>
              <w:right w:val="nil"/>
            </w:tcBorders>
            <w:shd w:val="clear" w:color="000000" w:fill="CCCCCC"/>
            <w:vAlign w:val="center"/>
            <w:hideMark/>
          </w:tcPr>
          <w:p w14:paraId="42B53999" w14:textId="77777777" w:rsidR="00593F10" w:rsidRPr="00593F10" w:rsidRDefault="00593F10" w:rsidP="00593F10">
            <w:pPr>
              <w:jc w:val="center"/>
              <w:rPr>
                <w:rFonts w:ascii="Arial" w:hAnsi="Arial" w:cs="Arial"/>
                <w:b/>
                <w:bCs/>
                <w:color w:val="000000"/>
                <w:sz w:val="22"/>
                <w:szCs w:val="22"/>
              </w:rPr>
            </w:pPr>
            <w:r w:rsidRPr="00593F10">
              <w:rPr>
                <w:rFonts w:ascii="Arial" w:hAnsi="Arial" w:cs="Arial"/>
                <w:b/>
                <w:bCs/>
                <w:color w:val="000000"/>
                <w:sz w:val="22"/>
                <w:szCs w:val="22"/>
              </w:rPr>
              <w:t> </w:t>
            </w:r>
          </w:p>
        </w:tc>
        <w:tc>
          <w:tcPr>
            <w:tcW w:w="5731" w:type="dxa"/>
            <w:gridSpan w:val="4"/>
            <w:tcBorders>
              <w:top w:val="single" w:sz="8" w:space="0" w:color="auto"/>
              <w:left w:val="nil"/>
              <w:bottom w:val="nil"/>
              <w:right w:val="single" w:sz="8" w:space="0" w:color="000000"/>
            </w:tcBorders>
            <w:shd w:val="clear" w:color="000000" w:fill="CCCCCC"/>
            <w:vAlign w:val="center"/>
            <w:hideMark/>
          </w:tcPr>
          <w:p w14:paraId="3D6F8A95" w14:textId="258179F9" w:rsidR="00593F10" w:rsidRPr="00593F10" w:rsidRDefault="00C37E7F" w:rsidP="00593F10">
            <w:pPr>
              <w:jc w:val="center"/>
              <w:rPr>
                <w:rFonts w:ascii="Arial" w:hAnsi="Arial" w:cs="Arial"/>
                <w:b/>
                <w:bCs/>
                <w:color w:val="000000"/>
                <w:sz w:val="22"/>
                <w:szCs w:val="22"/>
              </w:rPr>
            </w:pPr>
            <w:r>
              <w:rPr>
                <w:rFonts w:ascii="Arial" w:hAnsi="Arial" w:cs="Arial"/>
                <w:b/>
                <w:bCs/>
                <w:color w:val="000000"/>
                <w:sz w:val="22"/>
                <w:szCs w:val="22"/>
              </w:rPr>
              <w:t>2024/25</w:t>
            </w:r>
          </w:p>
        </w:tc>
      </w:tr>
      <w:tr w:rsidR="00593F10" w:rsidRPr="00593F10" w14:paraId="42DF2A2B" w14:textId="77777777" w:rsidTr="004322CC">
        <w:trPr>
          <w:trHeight w:val="1193"/>
        </w:trPr>
        <w:tc>
          <w:tcPr>
            <w:tcW w:w="1472" w:type="dxa"/>
            <w:tcBorders>
              <w:top w:val="nil"/>
              <w:left w:val="single" w:sz="8" w:space="0" w:color="auto"/>
              <w:bottom w:val="nil"/>
              <w:right w:val="nil"/>
            </w:tcBorders>
            <w:vAlign w:val="center"/>
            <w:hideMark/>
          </w:tcPr>
          <w:p w14:paraId="3BC92702" w14:textId="77777777" w:rsidR="00593F10" w:rsidRPr="00593F10" w:rsidRDefault="00593F10" w:rsidP="00593F10">
            <w:pPr>
              <w:jc w:val="right"/>
              <w:rPr>
                <w:rFonts w:ascii="Arial" w:hAnsi="Arial" w:cs="Arial"/>
                <w:b/>
                <w:bCs/>
                <w:color w:val="000000"/>
                <w:sz w:val="22"/>
                <w:szCs w:val="22"/>
              </w:rPr>
            </w:pP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for capital purposes (Note A)</w:t>
            </w:r>
          </w:p>
        </w:tc>
        <w:tc>
          <w:tcPr>
            <w:tcW w:w="1607" w:type="dxa"/>
            <w:tcBorders>
              <w:top w:val="nil"/>
              <w:left w:val="nil"/>
              <w:bottom w:val="nil"/>
              <w:right w:val="nil"/>
            </w:tcBorders>
            <w:vAlign w:val="center"/>
            <w:hideMark/>
          </w:tcPr>
          <w:p w14:paraId="2EEA402F"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 xml:space="preserve">Net change for pensions </w:t>
            </w: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(Note B)</w:t>
            </w:r>
          </w:p>
        </w:tc>
        <w:tc>
          <w:tcPr>
            <w:tcW w:w="1666" w:type="dxa"/>
            <w:tcBorders>
              <w:top w:val="nil"/>
              <w:left w:val="nil"/>
              <w:bottom w:val="nil"/>
              <w:right w:val="nil"/>
            </w:tcBorders>
            <w:vAlign w:val="center"/>
            <w:hideMark/>
          </w:tcPr>
          <w:p w14:paraId="6BAD1759" w14:textId="77777777" w:rsidR="00593F10" w:rsidRPr="00593F10" w:rsidRDefault="00593F10" w:rsidP="0069454D">
            <w:pPr>
              <w:jc w:val="center"/>
              <w:rPr>
                <w:rFonts w:ascii="Arial" w:hAnsi="Arial" w:cs="Arial"/>
                <w:b/>
                <w:bCs/>
                <w:color w:val="000000"/>
                <w:sz w:val="22"/>
                <w:szCs w:val="22"/>
              </w:rPr>
            </w:pPr>
            <w:r w:rsidRPr="00593F10">
              <w:rPr>
                <w:rFonts w:ascii="Arial" w:hAnsi="Arial" w:cs="Arial"/>
                <w:b/>
                <w:bCs/>
                <w:color w:val="000000"/>
                <w:sz w:val="22"/>
                <w:szCs w:val="22"/>
              </w:rPr>
              <w:t xml:space="preserve">Other statutory </w:t>
            </w: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(Note C)</w:t>
            </w:r>
          </w:p>
        </w:tc>
        <w:tc>
          <w:tcPr>
            <w:tcW w:w="1624" w:type="dxa"/>
            <w:tcBorders>
              <w:top w:val="nil"/>
              <w:left w:val="nil"/>
              <w:bottom w:val="nil"/>
              <w:right w:val="nil"/>
            </w:tcBorders>
            <w:vAlign w:val="center"/>
            <w:hideMark/>
          </w:tcPr>
          <w:p w14:paraId="6A65AE16"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 xml:space="preserve">Total Statutory </w:t>
            </w:r>
            <w:proofErr w:type="spellStart"/>
            <w:r w:rsidRPr="00593F10">
              <w:rPr>
                <w:rFonts w:ascii="Arial" w:hAnsi="Arial" w:cs="Arial"/>
                <w:b/>
                <w:bCs/>
                <w:color w:val="000000"/>
                <w:sz w:val="22"/>
                <w:szCs w:val="22"/>
              </w:rPr>
              <w:t>Adjs</w:t>
            </w:r>
            <w:proofErr w:type="spellEnd"/>
          </w:p>
        </w:tc>
        <w:tc>
          <w:tcPr>
            <w:tcW w:w="3743" w:type="dxa"/>
            <w:tcBorders>
              <w:top w:val="nil"/>
              <w:left w:val="nil"/>
              <w:bottom w:val="nil"/>
              <w:right w:val="nil"/>
            </w:tcBorders>
            <w:shd w:val="clear" w:color="000000" w:fill="CCCCCC"/>
            <w:vAlign w:val="center"/>
            <w:hideMark/>
          </w:tcPr>
          <w:p w14:paraId="59D46C77" w14:textId="77777777" w:rsidR="00593F10" w:rsidRPr="00593F10" w:rsidRDefault="00593F10" w:rsidP="00593F10">
            <w:pPr>
              <w:rPr>
                <w:rFonts w:ascii="Arial" w:hAnsi="Arial" w:cs="Arial"/>
                <w:b/>
                <w:bCs/>
                <w:color w:val="000000"/>
                <w:sz w:val="22"/>
                <w:szCs w:val="22"/>
              </w:rPr>
            </w:pPr>
            <w:r w:rsidRPr="00593F10">
              <w:rPr>
                <w:rFonts w:ascii="Arial" w:hAnsi="Arial" w:cs="Arial"/>
                <w:b/>
                <w:bCs/>
                <w:color w:val="000000"/>
                <w:sz w:val="22"/>
                <w:szCs w:val="22"/>
              </w:rPr>
              <w:t> </w:t>
            </w:r>
          </w:p>
        </w:tc>
        <w:tc>
          <w:tcPr>
            <w:tcW w:w="1218" w:type="dxa"/>
            <w:tcBorders>
              <w:top w:val="nil"/>
              <w:left w:val="nil"/>
              <w:bottom w:val="nil"/>
              <w:right w:val="nil"/>
            </w:tcBorders>
            <w:shd w:val="clear" w:color="000000" w:fill="CCCCCC"/>
            <w:vAlign w:val="center"/>
            <w:hideMark/>
          </w:tcPr>
          <w:p w14:paraId="4551EF57" w14:textId="77777777" w:rsidR="00593F10" w:rsidRPr="00593F10" w:rsidRDefault="00593F10" w:rsidP="00593F10">
            <w:pPr>
              <w:jc w:val="right"/>
              <w:rPr>
                <w:rFonts w:ascii="Arial" w:hAnsi="Arial" w:cs="Arial"/>
                <w:b/>
                <w:bCs/>
                <w:color w:val="000000"/>
                <w:sz w:val="22"/>
                <w:szCs w:val="22"/>
              </w:rPr>
            </w:pP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for capital purposes (Note A)</w:t>
            </w:r>
          </w:p>
        </w:tc>
        <w:tc>
          <w:tcPr>
            <w:tcW w:w="1701" w:type="dxa"/>
            <w:tcBorders>
              <w:top w:val="nil"/>
              <w:left w:val="nil"/>
              <w:bottom w:val="nil"/>
              <w:right w:val="nil"/>
            </w:tcBorders>
            <w:shd w:val="clear" w:color="000000" w:fill="CCCCCC"/>
            <w:vAlign w:val="center"/>
            <w:hideMark/>
          </w:tcPr>
          <w:p w14:paraId="7357BBD6"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 xml:space="preserve">Net change for pensions </w:t>
            </w: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(Note B)</w:t>
            </w:r>
          </w:p>
        </w:tc>
        <w:tc>
          <w:tcPr>
            <w:tcW w:w="1560" w:type="dxa"/>
            <w:tcBorders>
              <w:top w:val="nil"/>
              <w:left w:val="nil"/>
              <w:bottom w:val="nil"/>
              <w:right w:val="nil"/>
            </w:tcBorders>
            <w:shd w:val="clear" w:color="000000" w:fill="CCCCCC"/>
            <w:vAlign w:val="center"/>
            <w:hideMark/>
          </w:tcPr>
          <w:p w14:paraId="07CDFBC7" w14:textId="77777777" w:rsidR="00593F10" w:rsidRPr="00593F10" w:rsidRDefault="00593F10" w:rsidP="0069454D">
            <w:pPr>
              <w:jc w:val="center"/>
              <w:rPr>
                <w:rFonts w:ascii="Arial" w:hAnsi="Arial" w:cs="Arial"/>
                <w:b/>
                <w:bCs/>
                <w:color w:val="000000"/>
                <w:sz w:val="22"/>
                <w:szCs w:val="22"/>
              </w:rPr>
            </w:pPr>
            <w:r w:rsidRPr="00593F10">
              <w:rPr>
                <w:rFonts w:ascii="Arial" w:hAnsi="Arial" w:cs="Arial"/>
                <w:b/>
                <w:bCs/>
                <w:color w:val="000000"/>
                <w:sz w:val="22"/>
                <w:szCs w:val="22"/>
              </w:rPr>
              <w:t xml:space="preserve">Other statutory </w:t>
            </w: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(Note C)</w:t>
            </w:r>
          </w:p>
        </w:tc>
        <w:tc>
          <w:tcPr>
            <w:tcW w:w="1252" w:type="dxa"/>
            <w:tcBorders>
              <w:top w:val="nil"/>
              <w:left w:val="nil"/>
              <w:bottom w:val="nil"/>
              <w:right w:val="single" w:sz="8" w:space="0" w:color="auto"/>
            </w:tcBorders>
            <w:shd w:val="clear" w:color="000000" w:fill="CCCCCC"/>
            <w:vAlign w:val="center"/>
            <w:hideMark/>
          </w:tcPr>
          <w:p w14:paraId="0440BEAA"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 xml:space="preserve">Total Statutory </w:t>
            </w:r>
            <w:proofErr w:type="spellStart"/>
            <w:r w:rsidRPr="00593F10">
              <w:rPr>
                <w:rFonts w:ascii="Arial" w:hAnsi="Arial" w:cs="Arial"/>
                <w:b/>
                <w:bCs/>
                <w:color w:val="000000"/>
                <w:sz w:val="22"/>
                <w:szCs w:val="22"/>
              </w:rPr>
              <w:t>Adjs</w:t>
            </w:r>
            <w:proofErr w:type="spellEnd"/>
          </w:p>
        </w:tc>
      </w:tr>
      <w:tr w:rsidR="00593F10" w:rsidRPr="00593F10" w14:paraId="00F8B685" w14:textId="77777777" w:rsidTr="004322CC">
        <w:trPr>
          <w:trHeight w:val="298"/>
        </w:trPr>
        <w:tc>
          <w:tcPr>
            <w:tcW w:w="1472" w:type="dxa"/>
            <w:tcBorders>
              <w:top w:val="nil"/>
              <w:left w:val="single" w:sz="8" w:space="0" w:color="auto"/>
              <w:bottom w:val="nil"/>
              <w:right w:val="nil"/>
            </w:tcBorders>
            <w:vAlign w:val="center"/>
            <w:hideMark/>
          </w:tcPr>
          <w:p w14:paraId="0661861F"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607" w:type="dxa"/>
            <w:tcBorders>
              <w:top w:val="nil"/>
              <w:left w:val="nil"/>
              <w:bottom w:val="nil"/>
              <w:right w:val="nil"/>
            </w:tcBorders>
            <w:vAlign w:val="center"/>
            <w:hideMark/>
          </w:tcPr>
          <w:p w14:paraId="66630636"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666" w:type="dxa"/>
            <w:tcBorders>
              <w:top w:val="nil"/>
              <w:left w:val="nil"/>
              <w:bottom w:val="nil"/>
              <w:right w:val="nil"/>
            </w:tcBorders>
            <w:vAlign w:val="center"/>
            <w:hideMark/>
          </w:tcPr>
          <w:p w14:paraId="7FF2333C"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624" w:type="dxa"/>
            <w:tcBorders>
              <w:top w:val="nil"/>
              <w:left w:val="nil"/>
              <w:bottom w:val="nil"/>
              <w:right w:val="nil"/>
            </w:tcBorders>
            <w:vAlign w:val="center"/>
            <w:hideMark/>
          </w:tcPr>
          <w:p w14:paraId="09A47B0A"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3743" w:type="dxa"/>
            <w:tcBorders>
              <w:top w:val="nil"/>
              <w:left w:val="nil"/>
              <w:bottom w:val="nil"/>
              <w:right w:val="nil"/>
            </w:tcBorders>
            <w:shd w:val="clear" w:color="000000" w:fill="CCCCCC"/>
            <w:vAlign w:val="center"/>
            <w:hideMark/>
          </w:tcPr>
          <w:p w14:paraId="0610D407" w14:textId="77777777" w:rsidR="00593F10" w:rsidRPr="00593F10" w:rsidRDefault="00593F10" w:rsidP="00593F10">
            <w:pPr>
              <w:rPr>
                <w:rFonts w:ascii="Arial" w:hAnsi="Arial" w:cs="Arial"/>
                <w:b/>
                <w:bCs/>
                <w:color w:val="000000"/>
                <w:sz w:val="22"/>
                <w:szCs w:val="22"/>
              </w:rPr>
            </w:pPr>
            <w:r w:rsidRPr="00593F10">
              <w:rPr>
                <w:rFonts w:ascii="Arial" w:hAnsi="Arial" w:cs="Arial"/>
                <w:b/>
                <w:bCs/>
                <w:color w:val="000000"/>
                <w:sz w:val="22"/>
                <w:szCs w:val="22"/>
              </w:rPr>
              <w:t> </w:t>
            </w:r>
          </w:p>
        </w:tc>
        <w:tc>
          <w:tcPr>
            <w:tcW w:w="1218" w:type="dxa"/>
            <w:tcBorders>
              <w:top w:val="nil"/>
              <w:left w:val="nil"/>
              <w:bottom w:val="nil"/>
              <w:right w:val="nil"/>
            </w:tcBorders>
            <w:shd w:val="clear" w:color="000000" w:fill="CCCCCC"/>
            <w:vAlign w:val="center"/>
            <w:hideMark/>
          </w:tcPr>
          <w:p w14:paraId="4EA2B628"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701" w:type="dxa"/>
            <w:tcBorders>
              <w:top w:val="nil"/>
              <w:left w:val="nil"/>
              <w:bottom w:val="nil"/>
              <w:right w:val="nil"/>
            </w:tcBorders>
            <w:shd w:val="clear" w:color="000000" w:fill="CCCCCC"/>
            <w:vAlign w:val="center"/>
            <w:hideMark/>
          </w:tcPr>
          <w:p w14:paraId="5332FD6A"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560" w:type="dxa"/>
            <w:tcBorders>
              <w:top w:val="nil"/>
              <w:left w:val="nil"/>
              <w:bottom w:val="nil"/>
              <w:right w:val="nil"/>
            </w:tcBorders>
            <w:shd w:val="clear" w:color="000000" w:fill="CCCCCC"/>
            <w:vAlign w:val="center"/>
            <w:hideMark/>
          </w:tcPr>
          <w:p w14:paraId="6630A006"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252" w:type="dxa"/>
            <w:tcBorders>
              <w:top w:val="nil"/>
              <w:left w:val="nil"/>
              <w:bottom w:val="nil"/>
              <w:right w:val="single" w:sz="8" w:space="0" w:color="auto"/>
            </w:tcBorders>
            <w:shd w:val="clear" w:color="000000" w:fill="CCCCCC"/>
            <w:vAlign w:val="center"/>
            <w:hideMark/>
          </w:tcPr>
          <w:p w14:paraId="7278022F"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r>
      <w:tr w:rsidR="00404B89" w:rsidRPr="00593F10" w14:paraId="0138D127" w14:textId="77777777" w:rsidTr="004322CC">
        <w:trPr>
          <w:trHeight w:val="298"/>
        </w:trPr>
        <w:tc>
          <w:tcPr>
            <w:tcW w:w="1472" w:type="dxa"/>
            <w:tcBorders>
              <w:top w:val="nil"/>
              <w:left w:val="single" w:sz="8" w:space="0" w:color="auto"/>
              <w:bottom w:val="nil"/>
              <w:right w:val="nil"/>
            </w:tcBorders>
            <w:vAlign w:val="center"/>
            <w:hideMark/>
          </w:tcPr>
          <w:p w14:paraId="607EC017" w14:textId="77777777"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0</w:t>
            </w:r>
          </w:p>
        </w:tc>
        <w:tc>
          <w:tcPr>
            <w:tcW w:w="1607" w:type="dxa"/>
            <w:tcBorders>
              <w:top w:val="nil"/>
              <w:left w:val="nil"/>
              <w:bottom w:val="nil"/>
              <w:right w:val="nil"/>
            </w:tcBorders>
            <w:vAlign w:val="center"/>
            <w:hideMark/>
          </w:tcPr>
          <w:p w14:paraId="799C1FE6" w14:textId="3D331EB3"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w:t>
            </w:r>
            <w:r w:rsidRPr="00593F10">
              <w:rPr>
                <w:rFonts w:ascii="Arial" w:hAnsi="Arial" w:cs="Arial"/>
                <w:color w:val="000000"/>
                <w:sz w:val="22"/>
                <w:szCs w:val="22"/>
              </w:rPr>
              <w:t>6,</w:t>
            </w:r>
            <w:r>
              <w:rPr>
                <w:rFonts w:ascii="Arial" w:hAnsi="Arial" w:cs="Arial"/>
                <w:color w:val="000000"/>
                <w:sz w:val="22"/>
                <w:szCs w:val="22"/>
              </w:rPr>
              <w:t>798)</w:t>
            </w:r>
          </w:p>
        </w:tc>
        <w:tc>
          <w:tcPr>
            <w:tcW w:w="1666" w:type="dxa"/>
            <w:tcBorders>
              <w:top w:val="nil"/>
              <w:left w:val="nil"/>
              <w:bottom w:val="nil"/>
              <w:right w:val="nil"/>
            </w:tcBorders>
            <w:vAlign w:val="center"/>
            <w:hideMark/>
          </w:tcPr>
          <w:p w14:paraId="7580B549" w14:textId="20393ACA"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w:t>
            </w:r>
            <w:r>
              <w:rPr>
                <w:rFonts w:ascii="Arial" w:hAnsi="Arial" w:cs="Arial"/>
                <w:color w:val="000000"/>
                <w:sz w:val="22"/>
                <w:szCs w:val="22"/>
              </w:rPr>
              <w:t>974</w:t>
            </w:r>
            <w:r w:rsidRPr="00593F10">
              <w:rPr>
                <w:rFonts w:ascii="Arial" w:hAnsi="Arial" w:cs="Arial"/>
                <w:color w:val="000000"/>
                <w:sz w:val="22"/>
                <w:szCs w:val="22"/>
              </w:rPr>
              <w:t>)</w:t>
            </w:r>
          </w:p>
        </w:tc>
        <w:tc>
          <w:tcPr>
            <w:tcW w:w="1624" w:type="dxa"/>
            <w:tcBorders>
              <w:top w:val="nil"/>
              <w:left w:val="nil"/>
              <w:bottom w:val="nil"/>
              <w:right w:val="nil"/>
            </w:tcBorders>
            <w:vAlign w:val="center"/>
            <w:hideMark/>
          </w:tcPr>
          <w:p w14:paraId="65B79FBD" w14:textId="42E1C54E"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(7,772)</w:t>
            </w:r>
          </w:p>
        </w:tc>
        <w:tc>
          <w:tcPr>
            <w:tcW w:w="3743" w:type="dxa"/>
            <w:tcBorders>
              <w:top w:val="nil"/>
              <w:left w:val="nil"/>
              <w:bottom w:val="nil"/>
              <w:right w:val="nil"/>
            </w:tcBorders>
            <w:shd w:val="clear" w:color="000000" w:fill="CCCCCC"/>
            <w:vAlign w:val="center"/>
            <w:hideMark/>
          </w:tcPr>
          <w:p w14:paraId="5077F6FE" w14:textId="77777777" w:rsidR="00404B89" w:rsidRPr="00593F10" w:rsidRDefault="00404B89" w:rsidP="00404B89">
            <w:pPr>
              <w:rPr>
                <w:rFonts w:ascii="Arial" w:hAnsi="Arial" w:cs="Arial"/>
                <w:color w:val="000000"/>
                <w:sz w:val="22"/>
                <w:szCs w:val="22"/>
              </w:rPr>
            </w:pPr>
            <w:r w:rsidRPr="00593F10">
              <w:rPr>
                <w:rFonts w:ascii="Arial" w:hAnsi="Arial" w:cs="Arial"/>
                <w:color w:val="000000"/>
                <w:sz w:val="22"/>
                <w:szCs w:val="22"/>
              </w:rPr>
              <w:t>Centralised Pay Budgets</w:t>
            </w:r>
          </w:p>
        </w:tc>
        <w:tc>
          <w:tcPr>
            <w:tcW w:w="1218" w:type="dxa"/>
            <w:tcBorders>
              <w:top w:val="nil"/>
              <w:left w:val="nil"/>
              <w:bottom w:val="nil"/>
              <w:right w:val="nil"/>
            </w:tcBorders>
            <w:shd w:val="clear" w:color="000000" w:fill="CCCCCC"/>
            <w:vAlign w:val="center"/>
            <w:hideMark/>
          </w:tcPr>
          <w:p w14:paraId="254B463E" w14:textId="0762B921"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0</w:t>
            </w:r>
          </w:p>
        </w:tc>
        <w:tc>
          <w:tcPr>
            <w:tcW w:w="1701" w:type="dxa"/>
            <w:tcBorders>
              <w:top w:val="nil"/>
              <w:left w:val="nil"/>
              <w:bottom w:val="nil"/>
              <w:right w:val="nil"/>
            </w:tcBorders>
            <w:shd w:val="clear" w:color="000000" w:fill="CCCCCC"/>
            <w:vAlign w:val="center"/>
            <w:hideMark/>
          </w:tcPr>
          <w:p w14:paraId="53D27570" w14:textId="477F3D7C"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(14,699)</w:t>
            </w:r>
          </w:p>
        </w:tc>
        <w:tc>
          <w:tcPr>
            <w:tcW w:w="1560" w:type="dxa"/>
            <w:tcBorders>
              <w:top w:val="nil"/>
              <w:left w:val="nil"/>
              <w:bottom w:val="nil"/>
              <w:right w:val="nil"/>
            </w:tcBorders>
            <w:shd w:val="clear" w:color="000000" w:fill="CCCCCC"/>
            <w:vAlign w:val="center"/>
            <w:hideMark/>
          </w:tcPr>
          <w:p w14:paraId="4BF03D60" w14:textId="371FA2A7"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(1,387)</w:t>
            </w:r>
          </w:p>
        </w:tc>
        <w:tc>
          <w:tcPr>
            <w:tcW w:w="1252" w:type="dxa"/>
            <w:tcBorders>
              <w:top w:val="nil"/>
              <w:left w:val="nil"/>
              <w:bottom w:val="nil"/>
              <w:right w:val="single" w:sz="8" w:space="0" w:color="auto"/>
            </w:tcBorders>
            <w:shd w:val="clear" w:color="000000" w:fill="CCCCCC"/>
            <w:vAlign w:val="center"/>
            <w:hideMark/>
          </w:tcPr>
          <w:p w14:paraId="5A6F7719" w14:textId="1759617D"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(16,087)</w:t>
            </w:r>
          </w:p>
        </w:tc>
      </w:tr>
      <w:tr w:rsidR="00404B89" w:rsidRPr="00593F10" w14:paraId="533D63A3" w14:textId="77777777" w:rsidTr="004322CC">
        <w:trPr>
          <w:trHeight w:val="298"/>
        </w:trPr>
        <w:tc>
          <w:tcPr>
            <w:tcW w:w="1472" w:type="dxa"/>
            <w:tcBorders>
              <w:top w:val="nil"/>
              <w:left w:val="single" w:sz="8" w:space="0" w:color="auto"/>
              <w:bottom w:val="nil"/>
              <w:right w:val="nil"/>
            </w:tcBorders>
            <w:vAlign w:val="center"/>
            <w:hideMark/>
          </w:tcPr>
          <w:p w14:paraId="7BBC7B30" w14:textId="77777777"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0</w:t>
            </w:r>
          </w:p>
        </w:tc>
        <w:tc>
          <w:tcPr>
            <w:tcW w:w="1607" w:type="dxa"/>
            <w:tcBorders>
              <w:top w:val="nil"/>
              <w:left w:val="nil"/>
              <w:bottom w:val="nil"/>
              <w:right w:val="nil"/>
            </w:tcBorders>
            <w:vAlign w:val="center"/>
            <w:hideMark/>
          </w:tcPr>
          <w:p w14:paraId="08CEDF39" w14:textId="4F81BCD7"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w:t>
            </w:r>
            <w:r>
              <w:rPr>
                <w:rFonts w:ascii="Arial" w:hAnsi="Arial" w:cs="Arial"/>
                <w:color w:val="000000"/>
                <w:sz w:val="22"/>
                <w:szCs w:val="22"/>
              </w:rPr>
              <w:t>56</w:t>
            </w:r>
            <w:r w:rsidRPr="00593F10">
              <w:rPr>
                <w:rFonts w:ascii="Arial" w:hAnsi="Arial" w:cs="Arial"/>
                <w:color w:val="000000"/>
                <w:sz w:val="22"/>
                <w:szCs w:val="22"/>
              </w:rPr>
              <w:t>,</w:t>
            </w:r>
            <w:r>
              <w:rPr>
                <w:rFonts w:ascii="Arial" w:hAnsi="Arial" w:cs="Arial"/>
                <w:color w:val="000000"/>
                <w:sz w:val="22"/>
                <w:szCs w:val="22"/>
              </w:rPr>
              <w:t>775</w:t>
            </w:r>
            <w:r w:rsidRPr="00593F10">
              <w:rPr>
                <w:rFonts w:ascii="Arial" w:hAnsi="Arial" w:cs="Arial"/>
                <w:color w:val="000000"/>
                <w:sz w:val="22"/>
                <w:szCs w:val="22"/>
              </w:rPr>
              <w:t>)</w:t>
            </w:r>
          </w:p>
        </w:tc>
        <w:tc>
          <w:tcPr>
            <w:tcW w:w="1666" w:type="dxa"/>
            <w:tcBorders>
              <w:top w:val="nil"/>
              <w:left w:val="nil"/>
              <w:bottom w:val="nil"/>
              <w:right w:val="nil"/>
            </w:tcBorders>
            <w:vAlign w:val="center"/>
            <w:hideMark/>
          </w:tcPr>
          <w:p w14:paraId="03563340" w14:textId="48F10D78"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w:t>
            </w:r>
            <w:r>
              <w:rPr>
                <w:rFonts w:ascii="Arial" w:hAnsi="Arial" w:cs="Arial"/>
                <w:color w:val="000000"/>
                <w:sz w:val="22"/>
                <w:szCs w:val="22"/>
              </w:rPr>
              <w:t>52</w:t>
            </w:r>
            <w:r w:rsidRPr="00593F10">
              <w:rPr>
                <w:rFonts w:ascii="Arial" w:hAnsi="Arial" w:cs="Arial"/>
                <w:color w:val="000000"/>
                <w:sz w:val="22"/>
                <w:szCs w:val="22"/>
              </w:rPr>
              <w:t>)</w:t>
            </w:r>
          </w:p>
        </w:tc>
        <w:tc>
          <w:tcPr>
            <w:tcW w:w="1624" w:type="dxa"/>
            <w:tcBorders>
              <w:top w:val="nil"/>
              <w:left w:val="nil"/>
              <w:bottom w:val="nil"/>
              <w:right w:val="nil"/>
            </w:tcBorders>
            <w:vAlign w:val="center"/>
            <w:hideMark/>
          </w:tcPr>
          <w:p w14:paraId="1CF8D1CE" w14:textId="4F908303"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w:t>
            </w:r>
            <w:r>
              <w:rPr>
                <w:rFonts w:ascii="Arial" w:hAnsi="Arial" w:cs="Arial"/>
                <w:color w:val="000000"/>
                <w:sz w:val="22"/>
                <w:szCs w:val="22"/>
              </w:rPr>
              <w:t>56</w:t>
            </w:r>
            <w:r w:rsidRPr="00593F10">
              <w:rPr>
                <w:rFonts w:ascii="Arial" w:hAnsi="Arial" w:cs="Arial"/>
                <w:color w:val="000000"/>
                <w:sz w:val="22"/>
                <w:szCs w:val="22"/>
              </w:rPr>
              <w:t>,</w:t>
            </w:r>
            <w:r>
              <w:rPr>
                <w:rFonts w:ascii="Arial" w:hAnsi="Arial" w:cs="Arial"/>
                <w:color w:val="000000"/>
                <w:sz w:val="22"/>
                <w:szCs w:val="22"/>
              </w:rPr>
              <w:t>828</w:t>
            </w:r>
            <w:r w:rsidRPr="00593F10">
              <w:rPr>
                <w:rFonts w:ascii="Arial" w:hAnsi="Arial" w:cs="Arial"/>
                <w:color w:val="000000"/>
                <w:sz w:val="22"/>
                <w:szCs w:val="22"/>
              </w:rPr>
              <w:t>)</w:t>
            </w:r>
          </w:p>
        </w:tc>
        <w:tc>
          <w:tcPr>
            <w:tcW w:w="3743" w:type="dxa"/>
            <w:tcBorders>
              <w:top w:val="nil"/>
              <w:left w:val="nil"/>
              <w:bottom w:val="nil"/>
              <w:right w:val="nil"/>
            </w:tcBorders>
            <w:shd w:val="clear" w:color="000000" w:fill="CCCCCC"/>
            <w:vAlign w:val="center"/>
            <w:hideMark/>
          </w:tcPr>
          <w:p w14:paraId="10957E1E" w14:textId="77777777" w:rsidR="00404B89" w:rsidRPr="00593F10" w:rsidRDefault="00404B89" w:rsidP="00404B89">
            <w:pPr>
              <w:rPr>
                <w:rFonts w:ascii="Arial" w:hAnsi="Arial" w:cs="Arial"/>
                <w:color w:val="000000"/>
                <w:sz w:val="22"/>
                <w:szCs w:val="22"/>
              </w:rPr>
            </w:pPr>
            <w:r w:rsidRPr="00593F10">
              <w:rPr>
                <w:rFonts w:ascii="Arial" w:hAnsi="Arial" w:cs="Arial"/>
                <w:color w:val="000000"/>
                <w:sz w:val="22"/>
                <w:szCs w:val="22"/>
              </w:rPr>
              <w:t>Constabulary Non-Devolved budgets</w:t>
            </w:r>
          </w:p>
        </w:tc>
        <w:tc>
          <w:tcPr>
            <w:tcW w:w="1218" w:type="dxa"/>
            <w:tcBorders>
              <w:top w:val="nil"/>
              <w:left w:val="nil"/>
              <w:bottom w:val="nil"/>
              <w:right w:val="nil"/>
            </w:tcBorders>
            <w:shd w:val="clear" w:color="000000" w:fill="CCCCCC"/>
            <w:vAlign w:val="center"/>
            <w:hideMark/>
          </w:tcPr>
          <w:p w14:paraId="5213F3CE" w14:textId="51812C15"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0</w:t>
            </w:r>
          </w:p>
        </w:tc>
        <w:tc>
          <w:tcPr>
            <w:tcW w:w="1701" w:type="dxa"/>
            <w:tcBorders>
              <w:top w:val="nil"/>
              <w:left w:val="nil"/>
              <w:bottom w:val="nil"/>
              <w:right w:val="nil"/>
            </w:tcBorders>
            <w:shd w:val="clear" w:color="000000" w:fill="CCCCCC"/>
            <w:vAlign w:val="center"/>
            <w:hideMark/>
          </w:tcPr>
          <w:p w14:paraId="627CF46F" w14:textId="0261DD3B"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(55,007)</w:t>
            </w:r>
          </w:p>
        </w:tc>
        <w:tc>
          <w:tcPr>
            <w:tcW w:w="1560" w:type="dxa"/>
            <w:tcBorders>
              <w:top w:val="nil"/>
              <w:left w:val="nil"/>
              <w:bottom w:val="nil"/>
              <w:right w:val="nil"/>
            </w:tcBorders>
            <w:shd w:val="clear" w:color="000000" w:fill="CCCCCC"/>
            <w:vAlign w:val="center"/>
            <w:hideMark/>
          </w:tcPr>
          <w:p w14:paraId="6EBA34EA" w14:textId="27AF159D"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(83)</w:t>
            </w:r>
          </w:p>
        </w:tc>
        <w:tc>
          <w:tcPr>
            <w:tcW w:w="1252" w:type="dxa"/>
            <w:tcBorders>
              <w:top w:val="nil"/>
              <w:left w:val="nil"/>
              <w:bottom w:val="nil"/>
              <w:right w:val="single" w:sz="8" w:space="0" w:color="auto"/>
            </w:tcBorders>
            <w:shd w:val="clear" w:color="000000" w:fill="CCCCCC"/>
            <w:vAlign w:val="center"/>
            <w:hideMark/>
          </w:tcPr>
          <w:p w14:paraId="788CF91A" w14:textId="6F08F4CF"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(55,090)</w:t>
            </w:r>
          </w:p>
        </w:tc>
      </w:tr>
      <w:tr w:rsidR="00404B89" w:rsidRPr="00593F10" w14:paraId="5475EA0E" w14:textId="77777777" w:rsidTr="004322CC">
        <w:trPr>
          <w:trHeight w:val="298"/>
        </w:trPr>
        <w:tc>
          <w:tcPr>
            <w:tcW w:w="1472" w:type="dxa"/>
            <w:tcBorders>
              <w:top w:val="nil"/>
              <w:left w:val="single" w:sz="8" w:space="0" w:color="auto"/>
              <w:bottom w:val="nil"/>
              <w:right w:val="nil"/>
            </w:tcBorders>
            <w:vAlign w:val="center"/>
            <w:hideMark/>
          </w:tcPr>
          <w:p w14:paraId="75245488" w14:textId="77777777"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0</w:t>
            </w:r>
          </w:p>
        </w:tc>
        <w:tc>
          <w:tcPr>
            <w:tcW w:w="1607" w:type="dxa"/>
            <w:tcBorders>
              <w:top w:val="nil"/>
              <w:left w:val="nil"/>
              <w:bottom w:val="nil"/>
              <w:right w:val="nil"/>
            </w:tcBorders>
            <w:vAlign w:val="center"/>
            <w:hideMark/>
          </w:tcPr>
          <w:p w14:paraId="0DCBC9F7" w14:textId="67D7ED4D"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40</w:t>
            </w:r>
          </w:p>
        </w:tc>
        <w:tc>
          <w:tcPr>
            <w:tcW w:w="1666" w:type="dxa"/>
            <w:tcBorders>
              <w:top w:val="nil"/>
              <w:left w:val="nil"/>
              <w:bottom w:val="nil"/>
              <w:right w:val="nil"/>
            </w:tcBorders>
            <w:vAlign w:val="center"/>
            <w:hideMark/>
          </w:tcPr>
          <w:p w14:paraId="5E0FB337" w14:textId="18B72B89"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(0)</w:t>
            </w:r>
          </w:p>
        </w:tc>
        <w:tc>
          <w:tcPr>
            <w:tcW w:w="1624" w:type="dxa"/>
            <w:tcBorders>
              <w:top w:val="nil"/>
              <w:left w:val="nil"/>
              <w:bottom w:val="nil"/>
              <w:right w:val="nil"/>
            </w:tcBorders>
            <w:vAlign w:val="center"/>
            <w:hideMark/>
          </w:tcPr>
          <w:p w14:paraId="1B5B1E73" w14:textId="3A6B8CE4"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40</w:t>
            </w:r>
          </w:p>
        </w:tc>
        <w:tc>
          <w:tcPr>
            <w:tcW w:w="3743" w:type="dxa"/>
            <w:tcBorders>
              <w:top w:val="nil"/>
              <w:left w:val="nil"/>
              <w:bottom w:val="nil"/>
              <w:right w:val="nil"/>
            </w:tcBorders>
            <w:shd w:val="clear" w:color="000000" w:fill="CCCCCC"/>
            <w:vAlign w:val="center"/>
            <w:hideMark/>
          </w:tcPr>
          <w:p w14:paraId="11ABD09C" w14:textId="77777777" w:rsidR="00404B89" w:rsidRPr="00593F10" w:rsidRDefault="00404B89" w:rsidP="00404B89">
            <w:pPr>
              <w:rPr>
                <w:rFonts w:ascii="Arial" w:hAnsi="Arial" w:cs="Arial"/>
                <w:color w:val="000000"/>
                <w:sz w:val="22"/>
                <w:szCs w:val="22"/>
              </w:rPr>
            </w:pPr>
            <w:r w:rsidRPr="00593F10">
              <w:rPr>
                <w:rFonts w:ascii="Arial" w:hAnsi="Arial" w:cs="Arial"/>
                <w:color w:val="000000"/>
                <w:sz w:val="22"/>
                <w:szCs w:val="22"/>
              </w:rPr>
              <w:t>Office of the PCC</w:t>
            </w:r>
          </w:p>
        </w:tc>
        <w:tc>
          <w:tcPr>
            <w:tcW w:w="1218" w:type="dxa"/>
            <w:tcBorders>
              <w:top w:val="nil"/>
              <w:left w:val="nil"/>
              <w:bottom w:val="nil"/>
              <w:right w:val="nil"/>
            </w:tcBorders>
            <w:shd w:val="clear" w:color="000000" w:fill="CCCCCC"/>
            <w:vAlign w:val="center"/>
            <w:hideMark/>
          </w:tcPr>
          <w:p w14:paraId="076EB84F" w14:textId="57F58940"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0</w:t>
            </w:r>
          </w:p>
        </w:tc>
        <w:tc>
          <w:tcPr>
            <w:tcW w:w="1701" w:type="dxa"/>
            <w:tcBorders>
              <w:top w:val="nil"/>
              <w:left w:val="nil"/>
              <w:bottom w:val="nil"/>
              <w:right w:val="nil"/>
            </w:tcBorders>
            <w:shd w:val="clear" w:color="000000" w:fill="CCCCCC"/>
            <w:vAlign w:val="center"/>
            <w:hideMark/>
          </w:tcPr>
          <w:p w14:paraId="3DA154B0" w14:textId="530D8BFC"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(292)</w:t>
            </w:r>
          </w:p>
        </w:tc>
        <w:tc>
          <w:tcPr>
            <w:tcW w:w="1560" w:type="dxa"/>
            <w:tcBorders>
              <w:top w:val="nil"/>
              <w:left w:val="nil"/>
              <w:bottom w:val="nil"/>
              <w:right w:val="nil"/>
            </w:tcBorders>
            <w:shd w:val="clear" w:color="000000" w:fill="CCCCCC"/>
            <w:vAlign w:val="center"/>
            <w:hideMark/>
          </w:tcPr>
          <w:p w14:paraId="713AC14C" w14:textId="6B8C2DE6"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8</w:t>
            </w:r>
          </w:p>
        </w:tc>
        <w:tc>
          <w:tcPr>
            <w:tcW w:w="1252" w:type="dxa"/>
            <w:tcBorders>
              <w:top w:val="nil"/>
              <w:left w:val="nil"/>
              <w:bottom w:val="nil"/>
              <w:right w:val="single" w:sz="8" w:space="0" w:color="auto"/>
            </w:tcBorders>
            <w:shd w:val="clear" w:color="000000" w:fill="CCCCCC"/>
            <w:vAlign w:val="center"/>
            <w:hideMark/>
          </w:tcPr>
          <w:p w14:paraId="761666E2" w14:textId="056F15DA"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(284)</w:t>
            </w:r>
          </w:p>
        </w:tc>
      </w:tr>
      <w:tr w:rsidR="00404B89" w:rsidRPr="00593F10" w14:paraId="0C7C5EDD" w14:textId="77777777" w:rsidTr="004322CC">
        <w:trPr>
          <w:trHeight w:val="298"/>
        </w:trPr>
        <w:tc>
          <w:tcPr>
            <w:tcW w:w="1472" w:type="dxa"/>
            <w:tcBorders>
              <w:top w:val="nil"/>
              <w:left w:val="single" w:sz="8" w:space="0" w:color="auto"/>
              <w:bottom w:val="nil"/>
              <w:right w:val="nil"/>
            </w:tcBorders>
            <w:vAlign w:val="center"/>
            <w:hideMark/>
          </w:tcPr>
          <w:p w14:paraId="4AA101F6" w14:textId="77777777"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0</w:t>
            </w:r>
          </w:p>
        </w:tc>
        <w:tc>
          <w:tcPr>
            <w:tcW w:w="1607" w:type="dxa"/>
            <w:tcBorders>
              <w:top w:val="nil"/>
              <w:left w:val="nil"/>
              <w:bottom w:val="nil"/>
              <w:right w:val="nil"/>
            </w:tcBorders>
            <w:vAlign w:val="center"/>
            <w:hideMark/>
          </w:tcPr>
          <w:p w14:paraId="1DD52345" w14:textId="592D52DC"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w:t>
            </w:r>
            <w:r w:rsidRPr="00593F10">
              <w:rPr>
                <w:rFonts w:ascii="Arial" w:hAnsi="Arial" w:cs="Arial"/>
                <w:color w:val="000000"/>
                <w:sz w:val="22"/>
                <w:szCs w:val="22"/>
              </w:rPr>
              <w:t>0</w:t>
            </w:r>
            <w:r>
              <w:rPr>
                <w:rFonts w:ascii="Arial" w:hAnsi="Arial" w:cs="Arial"/>
                <w:color w:val="000000"/>
                <w:sz w:val="22"/>
                <w:szCs w:val="22"/>
              </w:rPr>
              <w:t>)</w:t>
            </w:r>
          </w:p>
        </w:tc>
        <w:tc>
          <w:tcPr>
            <w:tcW w:w="1666" w:type="dxa"/>
            <w:tcBorders>
              <w:top w:val="nil"/>
              <w:left w:val="nil"/>
              <w:bottom w:val="nil"/>
              <w:right w:val="nil"/>
            </w:tcBorders>
            <w:vAlign w:val="center"/>
            <w:hideMark/>
          </w:tcPr>
          <w:p w14:paraId="14B6CCEF" w14:textId="1F93D0DE"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w:t>
            </w:r>
            <w:r w:rsidRPr="00593F10">
              <w:rPr>
                <w:rFonts w:ascii="Arial" w:hAnsi="Arial" w:cs="Arial"/>
                <w:color w:val="000000"/>
                <w:sz w:val="22"/>
                <w:szCs w:val="22"/>
              </w:rPr>
              <w:t>0</w:t>
            </w:r>
            <w:r>
              <w:rPr>
                <w:rFonts w:ascii="Arial" w:hAnsi="Arial" w:cs="Arial"/>
                <w:color w:val="000000"/>
                <w:sz w:val="22"/>
                <w:szCs w:val="22"/>
              </w:rPr>
              <w:t>)</w:t>
            </w:r>
          </w:p>
        </w:tc>
        <w:tc>
          <w:tcPr>
            <w:tcW w:w="1624" w:type="dxa"/>
            <w:tcBorders>
              <w:top w:val="nil"/>
              <w:left w:val="nil"/>
              <w:bottom w:val="nil"/>
              <w:right w:val="nil"/>
            </w:tcBorders>
            <w:vAlign w:val="center"/>
            <w:hideMark/>
          </w:tcPr>
          <w:p w14:paraId="43E0AF83" w14:textId="2F26EBB7"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w:t>
            </w:r>
            <w:r w:rsidRPr="00593F10">
              <w:rPr>
                <w:rFonts w:ascii="Arial" w:hAnsi="Arial" w:cs="Arial"/>
                <w:color w:val="000000"/>
                <w:sz w:val="22"/>
                <w:szCs w:val="22"/>
              </w:rPr>
              <w:t>0</w:t>
            </w:r>
            <w:r>
              <w:rPr>
                <w:rFonts w:ascii="Arial" w:hAnsi="Arial" w:cs="Arial"/>
                <w:color w:val="000000"/>
                <w:sz w:val="22"/>
                <w:szCs w:val="22"/>
              </w:rPr>
              <w:t>)</w:t>
            </w:r>
          </w:p>
        </w:tc>
        <w:tc>
          <w:tcPr>
            <w:tcW w:w="3743" w:type="dxa"/>
            <w:tcBorders>
              <w:top w:val="nil"/>
              <w:left w:val="nil"/>
              <w:bottom w:val="nil"/>
              <w:right w:val="nil"/>
            </w:tcBorders>
            <w:shd w:val="clear" w:color="000000" w:fill="CCCCCC"/>
            <w:vAlign w:val="center"/>
            <w:hideMark/>
          </w:tcPr>
          <w:p w14:paraId="1DBA0165" w14:textId="23B654B0" w:rsidR="00404B89" w:rsidRPr="00593F10" w:rsidRDefault="0081765F" w:rsidP="00404B89">
            <w:pPr>
              <w:rPr>
                <w:rFonts w:ascii="Arial" w:hAnsi="Arial" w:cs="Arial"/>
                <w:color w:val="000000"/>
                <w:sz w:val="22"/>
                <w:szCs w:val="22"/>
              </w:rPr>
            </w:pPr>
            <w:r>
              <w:rPr>
                <w:rFonts w:ascii="Arial" w:hAnsi="Arial" w:cs="Arial"/>
                <w:color w:val="000000"/>
                <w:sz w:val="22"/>
                <w:szCs w:val="22"/>
              </w:rPr>
              <w:t>Prevention</w:t>
            </w:r>
          </w:p>
        </w:tc>
        <w:tc>
          <w:tcPr>
            <w:tcW w:w="1218" w:type="dxa"/>
            <w:tcBorders>
              <w:top w:val="nil"/>
              <w:left w:val="nil"/>
              <w:bottom w:val="nil"/>
              <w:right w:val="nil"/>
            </w:tcBorders>
            <w:shd w:val="clear" w:color="000000" w:fill="CCCCCC"/>
            <w:vAlign w:val="center"/>
            <w:hideMark/>
          </w:tcPr>
          <w:p w14:paraId="03D43A24" w14:textId="28E3B46F"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0</w:t>
            </w:r>
          </w:p>
        </w:tc>
        <w:tc>
          <w:tcPr>
            <w:tcW w:w="1701" w:type="dxa"/>
            <w:tcBorders>
              <w:top w:val="nil"/>
              <w:left w:val="nil"/>
              <w:bottom w:val="nil"/>
              <w:right w:val="nil"/>
            </w:tcBorders>
            <w:shd w:val="clear" w:color="000000" w:fill="CCCCCC"/>
            <w:vAlign w:val="center"/>
            <w:hideMark/>
          </w:tcPr>
          <w:p w14:paraId="7FC71E43" w14:textId="546DE481"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(30)</w:t>
            </w:r>
          </w:p>
        </w:tc>
        <w:tc>
          <w:tcPr>
            <w:tcW w:w="1560" w:type="dxa"/>
            <w:tcBorders>
              <w:top w:val="nil"/>
              <w:left w:val="nil"/>
              <w:bottom w:val="nil"/>
              <w:right w:val="nil"/>
            </w:tcBorders>
            <w:shd w:val="clear" w:color="000000" w:fill="CCCCCC"/>
            <w:vAlign w:val="center"/>
            <w:hideMark/>
          </w:tcPr>
          <w:p w14:paraId="14E0F078" w14:textId="43798E60"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1</w:t>
            </w:r>
          </w:p>
        </w:tc>
        <w:tc>
          <w:tcPr>
            <w:tcW w:w="1252" w:type="dxa"/>
            <w:tcBorders>
              <w:top w:val="nil"/>
              <w:left w:val="nil"/>
              <w:bottom w:val="nil"/>
              <w:right w:val="single" w:sz="8" w:space="0" w:color="auto"/>
            </w:tcBorders>
            <w:shd w:val="clear" w:color="000000" w:fill="CCCCCC"/>
            <w:vAlign w:val="center"/>
            <w:hideMark/>
          </w:tcPr>
          <w:p w14:paraId="1475F673" w14:textId="27A35A85"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(29)</w:t>
            </w:r>
          </w:p>
        </w:tc>
      </w:tr>
      <w:tr w:rsidR="00404B89" w:rsidRPr="00593F10" w14:paraId="5B7AE7C0" w14:textId="77777777" w:rsidTr="004322CC">
        <w:trPr>
          <w:trHeight w:val="298"/>
        </w:trPr>
        <w:tc>
          <w:tcPr>
            <w:tcW w:w="1472" w:type="dxa"/>
            <w:tcBorders>
              <w:top w:val="nil"/>
              <w:left w:val="single" w:sz="8" w:space="0" w:color="auto"/>
              <w:bottom w:val="nil"/>
              <w:right w:val="nil"/>
            </w:tcBorders>
            <w:vAlign w:val="center"/>
            <w:hideMark/>
          </w:tcPr>
          <w:p w14:paraId="1A5009E5" w14:textId="77777777"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0</w:t>
            </w:r>
          </w:p>
        </w:tc>
        <w:tc>
          <w:tcPr>
            <w:tcW w:w="1607" w:type="dxa"/>
            <w:tcBorders>
              <w:top w:val="nil"/>
              <w:left w:val="nil"/>
              <w:bottom w:val="nil"/>
              <w:right w:val="nil"/>
            </w:tcBorders>
            <w:vAlign w:val="center"/>
            <w:hideMark/>
          </w:tcPr>
          <w:p w14:paraId="0B986638" w14:textId="370A6F59"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5</w:t>
            </w:r>
          </w:p>
        </w:tc>
        <w:tc>
          <w:tcPr>
            <w:tcW w:w="1666" w:type="dxa"/>
            <w:tcBorders>
              <w:top w:val="nil"/>
              <w:left w:val="nil"/>
              <w:bottom w:val="nil"/>
              <w:right w:val="nil"/>
            </w:tcBorders>
            <w:vAlign w:val="center"/>
            <w:hideMark/>
          </w:tcPr>
          <w:p w14:paraId="70962584" w14:textId="6B272ECB"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w:t>
            </w:r>
            <w:r w:rsidRPr="00593F10">
              <w:rPr>
                <w:rFonts w:ascii="Arial" w:hAnsi="Arial" w:cs="Arial"/>
                <w:color w:val="000000"/>
                <w:sz w:val="22"/>
                <w:szCs w:val="22"/>
              </w:rPr>
              <w:t>0</w:t>
            </w:r>
            <w:r>
              <w:rPr>
                <w:rFonts w:ascii="Arial" w:hAnsi="Arial" w:cs="Arial"/>
                <w:color w:val="000000"/>
                <w:sz w:val="22"/>
                <w:szCs w:val="22"/>
              </w:rPr>
              <w:t>)</w:t>
            </w:r>
          </w:p>
        </w:tc>
        <w:tc>
          <w:tcPr>
            <w:tcW w:w="1624" w:type="dxa"/>
            <w:tcBorders>
              <w:top w:val="nil"/>
              <w:left w:val="nil"/>
              <w:bottom w:val="nil"/>
              <w:right w:val="nil"/>
            </w:tcBorders>
            <w:vAlign w:val="center"/>
            <w:hideMark/>
          </w:tcPr>
          <w:p w14:paraId="4B2A3B7A" w14:textId="1F6011A7"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5</w:t>
            </w:r>
          </w:p>
        </w:tc>
        <w:tc>
          <w:tcPr>
            <w:tcW w:w="3743" w:type="dxa"/>
            <w:tcBorders>
              <w:top w:val="nil"/>
              <w:left w:val="nil"/>
              <w:bottom w:val="nil"/>
              <w:right w:val="nil"/>
            </w:tcBorders>
            <w:shd w:val="clear" w:color="000000" w:fill="CCCCCC"/>
            <w:vAlign w:val="center"/>
            <w:hideMark/>
          </w:tcPr>
          <w:p w14:paraId="2E38A158" w14:textId="77777777" w:rsidR="00404B89" w:rsidRPr="00593F10" w:rsidRDefault="00404B89" w:rsidP="00404B89">
            <w:pPr>
              <w:rPr>
                <w:rFonts w:ascii="Arial" w:hAnsi="Arial" w:cs="Arial"/>
                <w:color w:val="000000"/>
                <w:sz w:val="22"/>
                <w:szCs w:val="22"/>
              </w:rPr>
            </w:pPr>
            <w:r w:rsidRPr="00593F10">
              <w:rPr>
                <w:rFonts w:ascii="Arial" w:hAnsi="Arial" w:cs="Arial"/>
                <w:color w:val="000000"/>
                <w:sz w:val="22"/>
                <w:szCs w:val="22"/>
              </w:rPr>
              <w:t>Victim and Domestic Abuse services</w:t>
            </w:r>
          </w:p>
        </w:tc>
        <w:tc>
          <w:tcPr>
            <w:tcW w:w="1218" w:type="dxa"/>
            <w:tcBorders>
              <w:top w:val="nil"/>
              <w:left w:val="nil"/>
              <w:bottom w:val="nil"/>
              <w:right w:val="nil"/>
            </w:tcBorders>
            <w:shd w:val="clear" w:color="000000" w:fill="CCCCCC"/>
            <w:vAlign w:val="center"/>
            <w:hideMark/>
          </w:tcPr>
          <w:p w14:paraId="4D9287A2" w14:textId="2E03D462"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0</w:t>
            </w:r>
          </w:p>
        </w:tc>
        <w:tc>
          <w:tcPr>
            <w:tcW w:w="1701" w:type="dxa"/>
            <w:tcBorders>
              <w:top w:val="nil"/>
              <w:left w:val="nil"/>
              <w:bottom w:val="nil"/>
              <w:right w:val="nil"/>
            </w:tcBorders>
            <w:shd w:val="clear" w:color="000000" w:fill="CCCCCC"/>
            <w:vAlign w:val="center"/>
            <w:hideMark/>
          </w:tcPr>
          <w:p w14:paraId="096A2374" w14:textId="29114FB6"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(45)</w:t>
            </w:r>
          </w:p>
        </w:tc>
        <w:tc>
          <w:tcPr>
            <w:tcW w:w="1560" w:type="dxa"/>
            <w:tcBorders>
              <w:top w:val="nil"/>
              <w:left w:val="nil"/>
              <w:bottom w:val="nil"/>
              <w:right w:val="nil"/>
            </w:tcBorders>
            <w:shd w:val="clear" w:color="000000" w:fill="CCCCCC"/>
            <w:vAlign w:val="center"/>
            <w:hideMark/>
          </w:tcPr>
          <w:p w14:paraId="47DEC533" w14:textId="5FF90456"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1</w:t>
            </w:r>
          </w:p>
        </w:tc>
        <w:tc>
          <w:tcPr>
            <w:tcW w:w="1252" w:type="dxa"/>
            <w:tcBorders>
              <w:top w:val="nil"/>
              <w:left w:val="nil"/>
              <w:bottom w:val="nil"/>
              <w:right w:val="single" w:sz="8" w:space="0" w:color="auto"/>
            </w:tcBorders>
            <w:shd w:val="clear" w:color="000000" w:fill="CCCCCC"/>
            <w:vAlign w:val="center"/>
            <w:hideMark/>
          </w:tcPr>
          <w:p w14:paraId="484007E0" w14:textId="754E7485"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(44)</w:t>
            </w:r>
          </w:p>
        </w:tc>
      </w:tr>
      <w:tr w:rsidR="00404B89" w:rsidRPr="00593F10" w14:paraId="7C00CC19" w14:textId="77777777" w:rsidTr="004322CC">
        <w:trPr>
          <w:trHeight w:val="298"/>
        </w:trPr>
        <w:tc>
          <w:tcPr>
            <w:tcW w:w="1472" w:type="dxa"/>
            <w:tcBorders>
              <w:top w:val="nil"/>
              <w:left w:val="single" w:sz="8" w:space="0" w:color="auto"/>
              <w:bottom w:val="single" w:sz="8" w:space="0" w:color="auto"/>
              <w:right w:val="nil"/>
            </w:tcBorders>
            <w:vAlign w:val="center"/>
            <w:hideMark/>
          </w:tcPr>
          <w:p w14:paraId="1519A69D" w14:textId="236C9706"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21</w:t>
            </w:r>
            <w:r w:rsidRPr="00593F10">
              <w:rPr>
                <w:rFonts w:ascii="Arial" w:hAnsi="Arial" w:cs="Arial"/>
                <w:color w:val="000000"/>
                <w:sz w:val="22"/>
                <w:szCs w:val="22"/>
              </w:rPr>
              <w:t>,</w:t>
            </w:r>
            <w:r>
              <w:rPr>
                <w:rFonts w:ascii="Arial" w:hAnsi="Arial" w:cs="Arial"/>
                <w:color w:val="000000"/>
                <w:sz w:val="22"/>
                <w:szCs w:val="22"/>
              </w:rPr>
              <w:t>575</w:t>
            </w:r>
          </w:p>
        </w:tc>
        <w:tc>
          <w:tcPr>
            <w:tcW w:w="1607" w:type="dxa"/>
            <w:tcBorders>
              <w:top w:val="nil"/>
              <w:left w:val="nil"/>
              <w:bottom w:val="single" w:sz="8" w:space="0" w:color="auto"/>
              <w:right w:val="nil"/>
            </w:tcBorders>
            <w:vAlign w:val="center"/>
            <w:hideMark/>
          </w:tcPr>
          <w:p w14:paraId="1419A42A" w14:textId="113D1348"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5</w:t>
            </w:r>
          </w:p>
        </w:tc>
        <w:tc>
          <w:tcPr>
            <w:tcW w:w="1666" w:type="dxa"/>
            <w:tcBorders>
              <w:top w:val="nil"/>
              <w:left w:val="nil"/>
              <w:bottom w:val="single" w:sz="8" w:space="0" w:color="auto"/>
              <w:right w:val="nil"/>
            </w:tcBorders>
            <w:vAlign w:val="center"/>
            <w:hideMark/>
          </w:tcPr>
          <w:p w14:paraId="36BB8B8B" w14:textId="77777777"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0</w:t>
            </w:r>
          </w:p>
        </w:tc>
        <w:tc>
          <w:tcPr>
            <w:tcW w:w="1624" w:type="dxa"/>
            <w:tcBorders>
              <w:top w:val="nil"/>
              <w:left w:val="nil"/>
              <w:bottom w:val="single" w:sz="8" w:space="0" w:color="auto"/>
              <w:right w:val="nil"/>
            </w:tcBorders>
            <w:vAlign w:val="center"/>
            <w:hideMark/>
          </w:tcPr>
          <w:p w14:paraId="53E51462" w14:textId="3EA758D3"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21</w:t>
            </w:r>
            <w:r w:rsidRPr="00593F10">
              <w:rPr>
                <w:rFonts w:ascii="Arial" w:hAnsi="Arial" w:cs="Arial"/>
                <w:color w:val="000000"/>
                <w:sz w:val="22"/>
                <w:szCs w:val="22"/>
              </w:rPr>
              <w:t>,</w:t>
            </w:r>
            <w:r>
              <w:rPr>
                <w:rFonts w:ascii="Arial" w:hAnsi="Arial" w:cs="Arial"/>
                <w:color w:val="000000"/>
                <w:sz w:val="22"/>
                <w:szCs w:val="22"/>
              </w:rPr>
              <w:t>580</w:t>
            </w:r>
          </w:p>
        </w:tc>
        <w:tc>
          <w:tcPr>
            <w:tcW w:w="3743" w:type="dxa"/>
            <w:tcBorders>
              <w:top w:val="nil"/>
              <w:left w:val="nil"/>
              <w:bottom w:val="nil"/>
              <w:right w:val="nil"/>
            </w:tcBorders>
            <w:shd w:val="clear" w:color="000000" w:fill="CCCCCC"/>
            <w:vAlign w:val="center"/>
            <w:hideMark/>
          </w:tcPr>
          <w:p w14:paraId="164BD8FB" w14:textId="77777777" w:rsidR="00404B89" w:rsidRPr="00593F10" w:rsidRDefault="00404B89" w:rsidP="00404B89">
            <w:pPr>
              <w:rPr>
                <w:rFonts w:ascii="Arial" w:hAnsi="Arial" w:cs="Arial"/>
                <w:color w:val="000000"/>
                <w:sz w:val="22"/>
                <w:szCs w:val="22"/>
              </w:rPr>
            </w:pPr>
            <w:r w:rsidRPr="00593F10">
              <w:rPr>
                <w:rFonts w:ascii="Arial" w:hAnsi="Arial" w:cs="Arial"/>
                <w:color w:val="000000"/>
                <w:sz w:val="22"/>
                <w:szCs w:val="22"/>
              </w:rPr>
              <w:t>PCC Non-Devolved budgets</w:t>
            </w:r>
          </w:p>
        </w:tc>
        <w:tc>
          <w:tcPr>
            <w:tcW w:w="1218" w:type="dxa"/>
            <w:tcBorders>
              <w:top w:val="nil"/>
              <w:left w:val="nil"/>
              <w:bottom w:val="single" w:sz="8" w:space="0" w:color="auto"/>
              <w:right w:val="nil"/>
            </w:tcBorders>
            <w:shd w:val="clear" w:color="000000" w:fill="CCCCCC"/>
            <w:vAlign w:val="center"/>
            <w:hideMark/>
          </w:tcPr>
          <w:p w14:paraId="76CFE5CE" w14:textId="6AFBD1D2"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22,185</w:t>
            </w:r>
          </w:p>
        </w:tc>
        <w:tc>
          <w:tcPr>
            <w:tcW w:w="1701" w:type="dxa"/>
            <w:tcBorders>
              <w:top w:val="nil"/>
              <w:left w:val="nil"/>
              <w:bottom w:val="single" w:sz="8" w:space="0" w:color="auto"/>
              <w:right w:val="nil"/>
            </w:tcBorders>
            <w:shd w:val="clear" w:color="000000" w:fill="CCCCCC"/>
            <w:vAlign w:val="center"/>
            <w:hideMark/>
          </w:tcPr>
          <w:p w14:paraId="20AFFAC3" w14:textId="69E51E12"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377</w:t>
            </w:r>
          </w:p>
        </w:tc>
        <w:tc>
          <w:tcPr>
            <w:tcW w:w="1560" w:type="dxa"/>
            <w:tcBorders>
              <w:top w:val="nil"/>
              <w:left w:val="nil"/>
              <w:bottom w:val="single" w:sz="8" w:space="0" w:color="auto"/>
              <w:right w:val="nil"/>
            </w:tcBorders>
            <w:shd w:val="clear" w:color="000000" w:fill="CCCCCC"/>
            <w:vAlign w:val="center"/>
            <w:hideMark/>
          </w:tcPr>
          <w:p w14:paraId="1A33C61C" w14:textId="6F87C2E5"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0</w:t>
            </w:r>
          </w:p>
        </w:tc>
        <w:tc>
          <w:tcPr>
            <w:tcW w:w="1252" w:type="dxa"/>
            <w:tcBorders>
              <w:top w:val="nil"/>
              <w:left w:val="nil"/>
              <w:bottom w:val="nil"/>
              <w:right w:val="single" w:sz="8" w:space="0" w:color="auto"/>
            </w:tcBorders>
            <w:shd w:val="clear" w:color="000000" w:fill="CCCCCC"/>
            <w:vAlign w:val="center"/>
            <w:hideMark/>
          </w:tcPr>
          <w:p w14:paraId="4F43EDA6" w14:textId="099FA4D3"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22,562</w:t>
            </w:r>
          </w:p>
        </w:tc>
      </w:tr>
      <w:tr w:rsidR="00404B89" w:rsidRPr="00593F10" w14:paraId="2430023C" w14:textId="77777777" w:rsidTr="004322CC">
        <w:trPr>
          <w:trHeight w:val="298"/>
        </w:trPr>
        <w:tc>
          <w:tcPr>
            <w:tcW w:w="1472" w:type="dxa"/>
            <w:tcBorders>
              <w:top w:val="nil"/>
              <w:left w:val="single" w:sz="8" w:space="0" w:color="auto"/>
              <w:bottom w:val="nil"/>
              <w:right w:val="nil"/>
            </w:tcBorders>
            <w:vAlign w:val="center"/>
            <w:hideMark/>
          </w:tcPr>
          <w:p w14:paraId="45A2D045" w14:textId="3530C86B"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21</w:t>
            </w:r>
            <w:r w:rsidRPr="00593F10">
              <w:rPr>
                <w:rFonts w:ascii="Arial" w:hAnsi="Arial" w:cs="Arial"/>
                <w:b/>
                <w:bCs/>
                <w:color w:val="000000"/>
                <w:sz w:val="22"/>
                <w:szCs w:val="22"/>
              </w:rPr>
              <w:t>,</w:t>
            </w:r>
            <w:r>
              <w:rPr>
                <w:rFonts w:ascii="Arial" w:hAnsi="Arial" w:cs="Arial"/>
                <w:b/>
                <w:bCs/>
                <w:color w:val="000000"/>
                <w:sz w:val="22"/>
                <w:szCs w:val="22"/>
              </w:rPr>
              <w:t>575</w:t>
            </w:r>
          </w:p>
        </w:tc>
        <w:tc>
          <w:tcPr>
            <w:tcW w:w="1607" w:type="dxa"/>
            <w:tcBorders>
              <w:top w:val="nil"/>
              <w:left w:val="nil"/>
              <w:bottom w:val="nil"/>
              <w:right w:val="nil"/>
            </w:tcBorders>
            <w:vAlign w:val="center"/>
            <w:hideMark/>
          </w:tcPr>
          <w:p w14:paraId="121CC435" w14:textId="417F1901"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(62</w:t>
            </w:r>
            <w:r w:rsidRPr="00593F10">
              <w:rPr>
                <w:rFonts w:ascii="Arial" w:hAnsi="Arial" w:cs="Arial"/>
                <w:b/>
                <w:bCs/>
                <w:color w:val="000000"/>
                <w:sz w:val="22"/>
                <w:szCs w:val="22"/>
              </w:rPr>
              <w:t>,</w:t>
            </w:r>
            <w:r>
              <w:rPr>
                <w:rFonts w:ascii="Arial" w:hAnsi="Arial" w:cs="Arial"/>
                <w:b/>
                <w:bCs/>
                <w:color w:val="000000"/>
                <w:sz w:val="22"/>
                <w:szCs w:val="22"/>
              </w:rPr>
              <w:t>524)</w:t>
            </w:r>
          </w:p>
        </w:tc>
        <w:tc>
          <w:tcPr>
            <w:tcW w:w="1666" w:type="dxa"/>
            <w:tcBorders>
              <w:top w:val="nil"/>
              <w:left w:val="nil"/>
              <w:bottom w:val="nil"/>
              <w:right w:val="nil"/>
            </w:tcBorders>
            <w:vAlign w:val="center"/>
            <w:hideMark/>
          </w:tcPr>
          <w:p w14:paraId="749FD043" w14:textId="63059805" w:rsidR="00404B89" w:rsidRPr="00593F10" w:rsidRDefault="00404B89" w:rsidP="00404B89">
            <w:pPr>
              <w:jc w:val="right"/>
              <w:rPr>
                <w:rFonts w:ascii="Arial" w:hAnsi="Arial" w:cs="Arial"/>
                <w:b/>
                <w:bCs/>
                <w:color w:val="000000"/>
                <w:sz w:val="22"/>
                <w:szCs w:val="22"/>
              </w:rPr>
            </w:pPr>
            <w:r w:rsidRPr="00593F10">
              <w:rPr>
                <w:rFonts w:ascii="Arial" w:hAnsi="Arial" w:cs="Arial"/>
                <w:b/>
                <w:bCs/>
                <w:color w:val="000000"/>
                <w:sz w:val="22"/>
                <w:szCs w:val="22"/>
              </w:rPr>
              <w:t>(1</w:t>
            </w:r>
            <w:r>
              <w:rPr>
                <w:rFonts w:ascii="Arial" w:hAnsi="Arial" w:cs="Arial"/>
                <w:b/>
                <w:bCs/>
                <w:color w:val="000000"/>
                <w:sz w:val="22"/>
                <w:szCs w:val="22"/>
              </w:rPr>
              <w:t>,027</w:t>
            </w:r>
            <w:r w:rsidRPr="00593F10">
              <w:rPr>
                <w:rFonts w:ascii="Arial" w:hAnsi="Arial" w:cs="Arial"/>
                <w:b/>
                <w:bCs/>
                <w:color w:val="000000"/>
                <w:sz w:val="22"/>
                <w:szCs w:val="22"/>
              </w:rPr>
              <w:t>)</w:t>
            </w:r>
          </w:p>
        </w:tc>
        <w:tc>
          <w:tcPr>
            <w:tcW w:w="1624" w:type="dxa"/>
            <w:tcBorders>
              <w:top w:val="nil"/>
              <w:left w:val="nil"/>
              <w:bottom w:val="nil"/>
              <w:right w:val="nil"/>
            </w:tcBorders>
            <w:vAlign w:val="center"/>
            <w:hideMark/>
          </w:tcPr>
          <w:p w14:paraId="32057E38" w14:textId="0908D7D1"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(41,976)</w:t>
            </w:r>
          </w:p>
        </w:tc>
        <w:tc>
          <w:tcPr>
            <w:tcW w:w="3743" w:type="dxa"/>
            <w:tcBorders>
              <w:top w:val="nil"/>
              <w:left w:val="nil"/>
              <w:bottom w:val="nil"/>
              <w:right w:val="nil"/>
            </w:tcBorders>
            <w:shd w:val="clear" w:color="000000" w:fill="CCCCCC"/>
            <w:vAlign w:val="center"/>
            <w:hideMark/>
          </w:tcPr>
          <w:p w14:paraId="17C80921" w14:textId="77777777" w:rsidR="00404B89" w:rsidRPr="00593F10" w:rsidRDefault="00404B89" w:rsidP="00404B89">
            <w:pPr>
              <w:rPr>
                <w:rFonts w:ascii="Arial" w:hAnsi="Arial" w:cs="Arial"/>
                <w:b/>
                <w:bCs/>
                <w:color w:val="000000"/>
                <w:sz w:val="22"/>
                <w:szCs w:val="22"/>
              </w:rPr>
            </w:pPr>
            <w:r w:rsidRPr="00593F10">
              <w:rPr>
                <w:rFonts w:ascii="Arial" w:hAnsi="Arial" w:cs="Arial"/>
                <w:b/>
                <w:bCs/>
                <w:color w:val="000000"/>
                <w:sz w:val="22"/>
                <w:szCs w:val="22"/>
              </w:rPr>
              <w:t>Net Cost of Service</w:t>
            </w:r>
          </w:p>
        </w:tc>
        <w:tc>
          <w:tcPr>
            <w:tcW w:w="1218" w:type="dxa"/>
            <w:tcBorders>
              <w:top w:val="nil"/>
              <w:left w:val="nil"/>
              <w:bottom w:val="nil"/>
              <w:right w:val="nil"/>
            </w:tcBorders>
            <w:shd w:val="clear" w:color="000000" w:fill="CCCCCC"/>
            <w:vAlign w:val="center"/>
            <w:hideMark/>
          </w:tcPr>
          <w:p w14:paraId="70130835" w14:textId="5794D133"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22,185</w:t>
            </w:r>
          </w:p>
        </w:tc>
        <w:tc>
          <w:tcPr>
            <w:tcW w:w="1701" w:type="dxa"/>
            <w:tcBorders>
              <w:top w:val="nil"/>
              <w:left w:val="nil"/>
              <w:bottom w:val="nil"/>
              <w:right w:val="nil"/>
            </w:tcBorders>
            <w:shd w:val="clear" w:color="000000" w:fill="CCCCCC"/>
            <w:vAlign w:val="center"/>
            <w:hideMark/>
          </w:tcPr>
          <w:p w14:paraId="252ED590" w14:textId="0D8B2524"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(69,696)</w:t>
            </w:r>
          </w:p>
        </w:tc>
        <w:tc>
          <w:tcPr>
            <w:tcW w:w="1560" w:type="dxa"/>
            <w:tcBorders>
              <w:top w:val="nil"/>
              <w:left w:val="nil"/>
              <w:bottom w:val="nil"/>
              <w:right w:val="nil"/>
            </w:tcBorders>
            <w:shd w:val="clear" w:color="000000" w:fill="CCCCCC"/>
            <w:vAlign w:val="center"/>
            <w:hideMark/>
          </w:tcPr>
          <w:p w14:paraId="10C3B5FB" w14:textId="1B3CEE14"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(1,460)</w:t>
            </w:r>
          </w:p>
        </w:tc>
        <w:tc>
          <w:tcPr>
            <w:tcW w:w="1252" w:type="dxa"/>
            <w:tcBorders>
              <w:top w:val="single" w:sz="8" w:space="0" w:color="auto"/>
              <w:left w:val="nil"/>
              <w:bottom w:val="nil"/>
              <w:right w:val="single" w:sz="8" w:space="0" w:color="auto"/>
            </w:tcBorders>
            <w:shd w:val="clear" w:color="000000" w:fill="CCCCCC"/>
            <w:vAlign w:val="center"/>
            <w:hideMark/>
          </w:tcPr>
          <w:p w14:paraId="3F29084B" w14:textId="3600C53F"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(48,972)</w:t>
            </w:r>
          </w:p>
        </w:tc>
      </w:tr>
      <w:tr w:rsidR="00404B89" w:rsidRPr="00593F10" w14:paraId="52843834" w14:textId="77777777" w:rsidTr="004322CC">
        <w:trPr>
          <w:trHeight w:val="596"/>
        </w:trPr>
        <w:tc>
          <w:tcPr>
            <w:tcW w:w="1472" w:type="dxa"/>
            <w:tcBorders>
              <w:top w:val="nil"/>
              <w:left w:val="single" w:sz="8" w:space="0" w:color="auto"/>
              <w:bottom w:val="single" w:sz="8" w:space="0" w:color="auto"/>
              <w:right w:val="nil"/>
            </w:tcBorders>
            <w:vAlign w:val="center"/>
            <w:hideMark/>
          </w:tcPr>
          <w:p w14:paraId="60D27B3B" w14:textId="74907FC3"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(1</w:t>
            </w:r>
            <w:r>
              <w:rPr>
                <w:rFonts w:ascii="Arial" w:hAnsi="Arial" w:cs="Arial"/>
                <w:color w:val="000000"/>
                <w:sz w:val="22"/>
                <w:szCs w:val="22"/>
              </w:rPr>
              <w:t>5</w:t>
            </w:r>
            <w:r w:rsidRPr="00593F10">
              <w:rPr>
                <w:rFonts w:ascii="Arial" w:hAnsi="Arial" w:cs="Arial"/>
                <w:color w:val="000000"/>
                <w:sz w:val="22"/>
                <w:szCs w:val="22"/>
              </w:rPr>
              <w:t>,</w:t>
            </w:r>
            <w:r>
              <w:rPr>
                <w:rFonts w:ascii="Arial" w:hAnsi="Arial" w:cs="Arial"/>
                <w:color w:val="000000"/>
                <w:sz w:val="22"/>
                <w:szCs w:val="22"/>
              </w:rPr>
              <w:t>336</w:t>
            </w:r>
            <w:r w:rsidRPr="00593F10">
              <w:rPr>
                <w:rFonts w:ascii="Arial" w:hAnsi="Arial" w:cs="Arial"/>
                <w:color w:val="000000"/>
                <w:sz w:val="22"/>
                <w:szCs w:val="22"/>
              </w:rPr>
              <w:t>)</w:t>
            </w:r>
          </w:p>
        </w:tc>
        <w:tc>
          <w:tcPr>
            <w:tcW w:w="1607" w:type="dxa"/>
            <w:tcBorders>
              <w:top w:val="nil"/>
              <w:left w:val="nil"/>
              <w:bottom w:val="single" w:sz="8" w:space="0" w:color="auto"/>
              <w:right w:val="nil"/>
            </w:tcBorders>
            <w:vAlign w:val="center"/>
            <w:hideMark/>
          </w:tcPr>
          <w:p w14:paraId="05CE728F" w14:textId="7751EC70"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1</w:t>
            </w:r>
            <w:r>
              <w:rPr>
                <w:rFonts w:ascii="Arial" w:hAnsi="Arial" w:cs="Arial"/>
                <w:color w:val="000000"/>
                <w:sz w:val="22"/>
                <w:szCs w:val="22"/>
              </w:rPr>
              <w:t>33</w:t>
            </w:r>
            <w:r w:rsidRPr="00593F10">
              <w:rPr>
                <w:rFonts w:ascii="Arial" w:hAnsi="Arial" w:cs="Arial"/>
                <w:color w:val="000000"/>
                <w:sz w:val="22"/>
                <w:szCs w:val="22"/>
              </w:rPr>
              <w:t>,7</w:t>
            </w:r>
            <w:r>
              <w:rPr>
                <w:rFonts w:ascii="Arial" w:hAnsi="Arial" w:cs="Arial"/>
                <w:color w:val="000000"/>
                <w:sz w:val="22"/>
                <w:szCs w:val="22"/>
              </w:rPr>
              <w:t>30</w:t>
            </w:r>
          </w:p>
        </w:tc>
        <w:tc>
          <w:tcPr>
            <w:tcW w:w="1666" w:type="dxa"/>
            <w:tcBorders>
              <w:top w:val="nil"/>
              <w:left w:val="nil"/>
              <w:bottom w:val="single" w:sz="8" w:space="0" w:color="auto"/>
              <w:right w:val="nil"/>
            </w:tcBorders>
            <w:vAlign w:val="center"/>
            <w:hideMark/>
          </w:tcPr>
          <w:p w14:paraId="5C0D8F8B" w14:textId="5B67D62B"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332</w:t>
            </w:r>
          </w:p>
        </w:tc>
        <w:tc>
          <w:tcPr>
            <w:tcW w:w="1624" w:type="dxa"/>
            <w:tcBorders>
              <w:top w:val="nil"/>
              <w:left w:val="nil"/>
              <w:bottom w:val="single" w:sz="8" w:space="0" w:color="auto"/>
              <w:right w:val="nil"/>
            </w:tcBorders>
            <w:vAlign w:val="center"/>
            <w:hideMark/>
          </w:tcPr>
          <w:p w14:paraId="0F48BF29" w14:textId="412739F0" w:rsidR="00404B89" w:rsidRPr="00593F10" w:rsidRDefault="00404B89" w:rsidP="00404B89">
            <w:pPr>
              <w:jc w:val="right"/>
              <w:rPr>
                <w:rFonts w:ascii="Arial" w:hAnsi="Arial" w:cs="Arial"/>
                <w:color w:val="000000"/>
                <w:sz w:val="22"/>
                <w:szCs w:val="22"/>
              </w:rPr>
            </w:pPr>
            <w:r w:rsidRPr="00593F10">
              <w:rPr>
                <w:rFonts w:ascii="Arial" w:hAnsi="Arial" w:cs="Arial"/>
                <w:color w:val="000000"/>
                <w:sz w:val="22"/>
                <w:szCs w:val="22"/>
              </w:rPr>
              <w:t>11</w:t>
            </w:r>
            <w:r>
              <w:rPr>
                <w:rFonts w:ascii="Arial" w:hAnsi="Arial" w:cs="Arial"/>
                <w:color w:val="000000"/>
                <w:sz w:val="22"/>
                <w:szCs w:val="22"/>
              </w:rPr>
              <w:t>8</w:t>
            </w:r>
            <w:r w:rsidRPr="00593F10">
              <w:rPr>
                <w:rFonts w:ascii="Arial" w:hAnsi="Arial" w:cs="Arial"/>
                <w:color w:val="000000"/>
                <w:sz w:val="22"/>
                <w:szCs w:val="22"/>
              </w:rPr>
              <w:t>,</w:t>
            </w:r>
            <w:r>
              <w:rPr>
                <w:rFonts w:ascii="Arial" w:hAnsi="Arial" w:cs="Arial"/>
                <w:color w:val="000000"/>
                <w:sz w:val="22"/>
                <w:szCs w:val="22"/>
              </w:rPr>
              <w:t>725</w:t>
            </w:r>
          </w:p>
        </w:tc>
        <w:tc>
          <w:tcPr>
            <w:tcW w:w="3743" w:type="dxa"/>
            <w:tcBorders>
              <w:top w:val="nil"/>
              <w:left w:val="nil"/>
              <w:bottom w:val="nil"/>
              <w:right w:val="nil"/>
            </w:tcBorders>
            <w:shd w:val="clear" w:color="000000" w:fill="CCCCCC"/>
            <w:vAlign w:val="center"/>
            <w:hideMark/>
          </w:tcPr>
          <w:p w14:paraId="74DA3E70" w14:textId="77777777" w:rsidR="00404B89" w:rsidRPr="00593F10" w:rsidRDefault="00404B89" w:rsidP="00404B89">
            <w:pPr>
              <w:rPr>
                <w:rFonts w:ascii="Arial" w:hAnsi="Arial" w:cs="Arial"/>
                <w:color w:val="000000"/>
                <w:sz w:val="22"/>
                <w:szCs w:val="22"/>
              </w:rPr>
            </w:pPr>
            <w:r w:rsidRPr="00593F10">
              <w:rPr>
                <w:rFonts w:ascii="Arial" w:hAnsi="Arial" w:cs="Arial"/>
                <w:color w:val="000000"/>
                <w:sz w:val="22"/>
                <w:szCs w:val="22"/>
              </w:rPr>
              <w:t>Other income and expenditure from Expenditure and Funding Analysis</w:t>
            </w:r>
          </w:p>
        </w:tc>
        <w:tc>
          <w:tcPr>
            <w:tcW w:w="1218" w:type="dxa"/>
            <w:tcBorders>
              <w:top w:val="nil"/>
              <w:left w:val="nil"/>
              <w:bottom w:val="single" w:sz="8" w:space="0" w:color="auto"/>
              <w:right w:val="nil"/>
            </w:tcBorders>
            <w:shd w:val="clear" w:color="000000" w:fill="CCCCCC"/>
            <w:vAlign w:val="center"/>
            <w:hideMark/>
          </w:tcPr>
          <w:p w14:paraId="739A57E1" w14:textId="333B0C66" w:rsidR="00404B89" w:rsidRPr="00593F10" w:rsidRDefault="00404B89" w:rsidP="00404B89">
            <w:pPr>
              <w:jc w:val="right"/>
              <w:rPr>
                <w:rFonts w:ascii="Arial" w:hAnsi="Arial" w:cs="Arial"/>
                <w:color w:val="000000"/>
                <w:sz w:val="22"/>
                <w:szCs w:val="22"/>
              </w:rPr>
            </w:pPr>
            <w:r>
              <w:rPr>
                <w:rFonts w:ascii="Arial" w:hAnsi="Arial" w:cs="Arial"/>
                <w:color w:val="000000"/>
                <w:sz w:val="22"/>
                <w:szCs w:val="22"/>
              </w:rPr>
              <w:t>(15,691)</w:t>
            </w:r>
          </w:p>
        </w:tc>
        <w:tc>
          <w:tcPr>
            <w:tcW w:w="1701" w:type="dxa"/>
            <w:tcBorders>
              <w:top w:val="nil"/>
              <w:left w:val="nil"/>
              <w:bottom w:val="single" w:sz="8" w:space="0" w:color="auto"/>
              <w:right w:val="nil"/>
            </w:tcBorders>
            <w:shd w:val="clear" w:color="000000" w:fill="CCCCCC"/>
            <w:vAlign w:val="center"/>
            <w:hideMark/>
          </w:tcPr>
          <w:p w14:paraId="032A430F" w14:textId="672A632C" w:rsidR="00404B89" w:rsidRPr="00273FE3" w:rsidRDefault="00404B89" w:rsidP="00404B89">
            <w:pPr>
              <w:jc w:val="right"/>
              <w:rPr>
                <w:rFonts w:ascii="Arial" w:hAnsi="Arial" w:cs="Arial"/>
                <w:color w:val="000000"/>
                <w:sz w:val="22"/>
                <w:szCs w:val="22"/>
              </w:rPr>
            </w:pPr>
            <w:r>
              <w:rPr>
                <w:rFonts w:ascii="Arial" w:hAnsi="Arial" w:cs="Arial"/>
                <w:color w:val="000000"/>
                <w:sz w:val="22"/>
                <w:szCs w:val="22"/>
              </w:rPr>
              <w:t>136,891</w:t>
            </w:r>
          </w:p>
        </w:tc>
        <w:tc>
          <w:tcPr>
            <w:tcW w:w="1560" w:type="dxa"/>
            <w:tcBorders>
              <w:top w:val="nil"/>
              <w:left w:val="nil"/>
              <w:bottom w:val="single" w:sz="8" w:space="0" w:color="auto"/>
              <w:right w:val="nil"/>
            </w:tcBorders>
            <w:shd w:val="clear" w:color="000000" w:fill="CCCCCC"/>
            <w:vAlign w:val="center"/>
            <w:hideMark/>
          </w:tcPr>
          <w:p w14:paraId="075B54B8" w14:textId="7DE826BB" w:rsidR="00404B89" w:rsidRPr="00273FE3" w:rsidRDefault="00404B89" w:rsidP="00404B89">
            <w:pPr>
              <w:jc w:val="right"/>
              <w:rPr>
                <w:rFonts w:ascii="Arial" w:hAnsi="Arial" w:cs="Arial"/>
                <w:color w:val="000000"/>
                <w:sz w:val="22"/>
                <w:szCs w:val="22"/>
              </w:rPr>
            </w:pPr>
            <w:r>
              <w:rPr>
                <w:rFonts w:ascii="Arial" w:hAnsi="Arial" w:cs="Arial"/>
                <w:color w:val="000000"/>
                <w:sz w:val="22"/>
                <w:szCs w:val="22"/>
              </w:rPr>
              <w:t>(1,546)</w:t>
            </w:r>
          </w:p>
        </w:tc>
        <w:tc>
          <w:tcPr>
            <w:tcW w:w="1252" w:type="dxa"/>
            <w:tcBorders>
              <w:top w:val="nil"/>
              <w:left w:val="nil"/>
              <w:bottom w:val="nil"/>
              <w:right w:val="single" w:sz="8" w:space="0" w:color="auto"/>
            </w:tcBorders>
            <w:shd w:val="clear" w:color="000000" w:fill="CCCCCC"/>
            <w:vAlign w:val="center"/>
            <w:hideMark/>
          </w:tcPr>
          <w:p w14:paraId="55CDC826" w14:textId="2B5EBB60" w:rsidR="00404B89" w:rsidRPr="00273FE3" w:rsidRDefault="00404B89" w:rsidP="00404B89">
            <w:pPr>
              <w:jc w:val="right"/>
              <w:rPr>
                <w:rFonts w:ascii="Arial" w:hAnsi="Arial" w:cs="Arial"/>
                <w:color w:val="000000"/>
                <w:sz w:val="22"/>
                <w:szCs w:val="22"/>
              </w:rPr>
            </w:pPr>
            <w:r>
              <w:rPr>
                <w:rFonts w:ascii="Arial" w:hAnsi="Arial" w:cs="Arial"/>
                <w:color w:val="000000"/>
                <w:sz w:val="22"/>
                <w:szCs w:val="22"/>
              </w:rPr>
              <w:t>119,654</w:t>
            </w:r>
          </w:p>
        </w:tc>
      </w:tr>
      <w:tr w:rsidR="00404B89" w:rsidRPr="00593F10" w14:paraId="1203DFFA" w14:textId="77777777" w:rsidTr="004322CC">
        <w:trPr>
          <w:trHeight w:val="596"/>
        </w:trPr>
        <w:tc>
          <w:tcPr>
            <w:tcW w:w="1472" w:type="dxa"/>
            <w:tcBorders>
              <w:top w:val="nil"/>
              <w:left w:val="single" w:sz="8" w:space="0" w:color="auto"/>
              <w:bottom w:val="single" w:sz="8" w:space="0" w:color="auto"/>
              <w:right w:val="nil"/>
            </w:tcBorders>
            <w:vAlign w:val="center"/>
            <w:hideMark/>
          </w:tcPr>
          <w:p w14:paraId="356D0EB7" w14:textId="2A6D3244"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6</w:t>
            </w:r>
            <w:r w:rsidRPr="00593F10">
              <w:rPr>
                <w:rFonts w:ascii="Arial" w:hAnsi="Arial" w:cs="Arial"/>
                <w:b/>
                <w:bCs/>
                <w:color w:val="000000"/>
                <w:sz w:val="22"/>
                <w:szCs w:val="22"/>
              </w:rPr>
              <w:t>,</w:t>
            </w:r>
            <w:r>
              <w:rPr>
                <w:rFonts w:ascii="Arial" w:hAnsi="Arial" w:cs="Arial"/>
                <w:b/>
                <w:bCs/>
                <w:color w:val="000000"/>
                <w:sz w:val="22"/>
                <w:szCs w:val="22"/>
              </w:rPr>
              <w:t>238</w:t>
            </w:r>
          </w:p>
        </w:tc>
        <w:tc>
          <w:tcPr>
            <w:tcW w:w="1607" w:type="dxa"/>
            <w:tcBorders>
              <w:top w:val="nil"/>
              <w:left w:val="nil"/>
              <w:bottom w:val="single" w:sz="8" w:space="0" w:color="auto"/>
              <w:right w:val="nil"/>
            </w:tcBorders>
            <w:vAlign w:val="center"/>
            <w:hideMark/>
          </w:tcPr>
          <w:p w14:paraId="33DA4491" w14:textId="2D82DDBE"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71</w:t>
            </w:r>
            <w:r w:rsidRPr="00593F10">
              <w:rPr>
                <w:rFonts w:ascii="Arial" w:hAnsi="Arial" w:cs="Arial"/>
                <w:b/>
                <w:bCs/>
                <w:color w:val="000000"/>
                <w:sz w:val="22"/>
                <w:szCs w:val="22"/>
              </w:rPr>
              <w:t>,</w:t>
            </w:r>
            <w:r>
              <w:rPr>
                <w:rFonts w:ascii="Arial" w:hAnsi="Arial" w:cs="Arial"/>
                <w:b/>
                <w:bCs/>
                <w:color w:val="000000"/>
                <w:sz w:val="22"/>
                <w:szCs w:val="22"/>
              </w:rPr>
              <w:t>206</w:t>
            </w:r>
          </w:p>
        </w:tc>
        <w:tc>
          <w:tcPr>
            <w:tcW w:w="1666" w:type="dxa"/>
            <w:tcBorders>
              <w:top w:val="nil"/>
              <w:left w:val="nil"/>
              <w:bottom w:val="single" w:sz="8" w:space="0" w:color="auto"/>
              <w:right w:val="nil"/>
            </w:tcBorders>
            <w:vAlign w:val="center"/>
            <w:hideMark/>
          </w:tcPr>
          <w:p w14:paraId="57855075" w14:textId="5F3BDE21"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(695)</w:t>
            </w:r>
          </w:p>
        </w:tc>
        <w:tc>
          <w:tcPr>
            <w:tcW w:w="1624" w:type="dxa"/>
            <w:tcBorders>
              <w:top w:val="nil"/>
              <w:left w:val="nil"/>
              <w:bottom w:val="single" w:sz="8" w:space="0" w:color="auto"/>
              <w:right w:val="nil"/>
            </w:tcBorders>
            <w:vAlign w:val="center"/>
            <w:hideMark/>
          </w:tcPr>
          <w:p w14:paraId="306C73EB" w14:textId="6BC9D47D"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76</w:t>
            </w:r>
            <w:r w:rsidRPr="00593F10">
              <w:rPr>
                <w:rFonts w:ascii="Arial" w:hAnsi="Arial" w:cs="Arial"/>
                <w:b/>
                <w:bCs/>
                <w:color w:val="000000"/>
                <w:sz w:val="22"/>
                <w:szCs w:val="22"/>
              </w:rPr>
              <w:t>,</w:t>
            </w:r>
            <w:r>
              <w:rPr>
                <w:rFonts w:ascii="Arial" w:hAnsi="Arial" w:cs="Arial"/>
                <w:b/>
                <w:bCs/>
                <w:color w:val="000000"/>
                <w:sz w:val="22"/>
                <w:szCs w:val="22"/>
              </w:rPr>
              <w:t>749</w:t>
            </w:r>
          </w:p>
        </w:tc>
        <w:tc>
          <w:tcPr>
            <w:tcW w:w="3743" w:type="dxa"/>
            <w:tcBorders>
              <w:top w:val="nil"/>
              <w:left w:val="nil"/>
              <w:bottom w:val="single" w:sz="8" w:space="0" w:color="auto"/>
              <w:right w:val="nil"/>
            </w:tcBorders>
            <w:shd w:val="clear" w:color="000000" w:fill="CCCCCC"/>
            <w:vAlign w:val="center"/>
            <w:hideMark/>
          </w:tcPr>
          <w:p w14:paraId="4BA7C8ED" w14:textId="77777777" w:rsidR="00404B89" w:rsidRPr="00593F10" w:rsidRDefault="00404B89" w:rsidP="00404B89">
            <w:pPr>
              <w:rPr>
                <w:rFonts w:ascii="Arial" w:hAnsi="Arial" w:cs="Arial"/>
                <w:b/>
                <w:bCs/>
                <w:color w:val="000000"/>
                <w:sz w:val="22"/>
                <w:szCs w:val="22"/>
              </w:rPr>
            </w:pPr>
            <w:r w:rsidRPr="00593F10">
              <w:rPr>
                <w:rFonts w:ascii="Arial" w:hAnsi="Arial" w:cs="Arial"/>
                <w:b/>
                <w:bCs/>
                <w:color w:val="000000"/>
                <w:sz w:val="22"/>
                <w:szCs w:val="22"/>
              </w:rPr>
              <w:t>Difference between General Fund deficit and CIES Deficit on Provision of Services</w:t>
            </w:r>
          </w:p>
        </w:tc>
        <w:tc>
          <w:tcPr>
            <w:tcW w:w="1218" w:type="dxa"/>
            <w:tcBorders>
              <w:top w:val="nil"/>
              <w:left w:val="nil"/>
              <w:bottom w:val="single" w:sz="8" w:space="0" w:color="auto"/>
              <w:right w:val="nil"/>
            </w:tcBorders>
            <w:shd w:val="clear" w:color="000000" w:fill="CCCCCC"/>
            <w:vAlign w:val="center"/>
            <w:hideMark/>
          </w:tcPr>
          <w:p w14:paraId="7ED3FBAB" w14:textId="7D8AE982" w:rsidR="00404B89" w:rsidRPr="00593F10" w:rsidRDefault="00404B89" w:rsidP="00404B89">
            <w:pPr>
              <w:jc w:val="right"/>
              <w:rPr>
                <w:rFonts w:ascii="Arial" w:hAnsi="Arial" w:cs="Arial"/>
                <w:b/>
                <w:bCs/>
                <w:color w:val="000000"/>
                <w:sz w:val="22"/>
                <w:szCs w:val="22"/>
              </w:rPr>
            </w:pPr>
            <w:r>
              <w:rPr>
                <w:rFonts w:ascii="Arial" w:hAnsi="Arial" w:cs="Arial"/>
                <w:b/>
                <w:bCs/>
                <w:color w:val="000000"/>
                <w:sz w:val="22"/>
                <w:szCs w:val="22"/>
              </w:rPr>
              <w:t>6,494</w:t>
            </w:r>
          </w:p>
        </w:tc>
        <w:tc>
          <w:tcPr>
            <w:tcW w:w="1701" w:type="dxa"/>
            <w:tcBorders>
              <w:top w:val="nil"/>
              <w:left w:val="nil"/>
              <w:bottom w:val="single" w:sz="8" w:space="0" w:color="auto"/>
              <w:right w:val="nil"/>
            </w:tcBorders>
            <w:shd w:val="clear" w:color="000000" w:fill="CCCCCC"/>
            <w:vAlign w:val="center"/>
            <w:hideMark/>
          </w:tcPr>
          <w:p w14:paraId="256ACB94" w14:textId="3E507892" w:rsidR="00404B89" w:rsidRPr="00273FE3" w:rsidRDefault="00404B89" w:rsidP="00404B89">
            <w:pPr>
              <w:jc w:val="right"/>
              <w:rPr>
                <w:rFonts w:ascii="Arial" w:hAnsi="Arial" w:cs="Arial"/>
                <w:b/>
                <w:bCs/>
                <w:color w:val="000000"/>
                <w:sz w:val="22"/>
                <w:szCs w:val="22"/>
              </w:rPr>
            </w:pPr>
            <w:r>
              <w:rPr>
                <w:rFonts w:ascii="Arial" w:hAnsi="Arial" w:cs="Arial"/>
                <w:b/>
                <w:bCs/>
                <w:color w:val="000000"/>
                <w:sz w:val="22"/>
                <w:szCs w:val="22"/>
              </w:rPr>
              <w:t>67,195</w:t>
            </w:r>
          </w:p>
        </w:tc>
        <w:tc>
          <w:tcPr>
            <w:tcW w:w="1560" w:type="dxa"/>
            <w:tcBorders>
              <w:top w:val="nil"/>
              <w:left w:val="nil"/>
              <w:bottom w:val="single" w:sz="4" w:space="0" w:color="auto"/>
              <w:right w:val="nil"/>
            </w:tcBorders>
            <w:shd w:val="clear" w:color="000000" w:fill="CCCCCC"/>
            <w:vAlign w:val="center"/>
            <w:hideMark/>
          </w:tcPr>
          <w:p w14:paraId="0D10BB5E" w14:textId="7D4AE69A" w:rsidR="00404B89" w:rsidRPr="00273FE3" w:rsidRDefault="00404B89" w:rsidP="00404B89">
            <w:pPr>
              <w:jc w:val="right"/>
              <w:rPr>
                <w:rFonts w:ascii="Arial" w:hAnsi="Arial" w:cs="Arial"/>
                <w:b/>
                <w:bCs/>
                <w:color w:val="000000"/>
                <w:sz w:val="22"/>
                <w:szCs w:val="22"/>
              </w:rPr>
            </w:pPr>
            <w:r>
              <w:rPr>
                <w:rFonts w:ascii="Arial" w:hAnsi="Arial" w:cs="Arial"/>
                <w:b/>
                <w:bCs/>
                <w:color w:val="000000"/>
                <w:sz w:val="22"/>
                <w:szCs w:val="22"/>
              </w:rPr>
              <w:t>(3,007)</w:t>
            </w:r>
          </w:p>
        </w:tc>
        <w:tc>
          <w:tcPr>
            <w:tcW w:w="1252" w:type="dxa"/>
            <w:tcBorders>
              <w:top w:val="single" w:sz="8" w:space="0" w:color="auto"/>
              <w:left w:val="nil"/>
              <w:bottom w:val="single" w:sz="8" w:space="0" w:color="auto"/>
              <w:right w:val="single" w:sz="8" w:space="0" w:color="auto"/>
            </w:tcBorders>
            <w:shd w:val="clear" w:color="000000" w:fill="CCCCCC"/>
            <w:vAlign w:val="center"/>
            <w:hideMark/>
          </w:tcPr>
          <w:p w14:paraId="55F0CD61" w14:textId="19CAA612" w:rsidR="00404B89" w:rsidRPr="00273FE3" w:rsidRDefault="00404B89" w:rsidP="00404B89">
            <w:pPr>
              <w:jc w:val="right"/>
              <w:rPr>
                <w:rFonts w:ascii="Arial" w:hAnsi="Arial" w:cs="Arial"/>
                <w:b/>
                <w:bCs/>
                <w:color w:val="000000"/>
                <w:sz w:val="22"/>
                <w:szCs w:val="22"/>
              </w:rPr>
            </w:pPr>
            <w:r>
              <w:rPr>
                <w:rFonts w:ascii="Arial" w:hAnsi="Arial" w:cs="Arial"/>
                <w:b/>
                <w:bCs/>
                <w:color w:val="000000"/>
                <w:sz w:val="22"/>
                <w:szCs w:val="22"/>
              </w:rPr>
              <w:t>70,682</w:t>
            </w:r>
          </w:p>
        </w:tc>
      </w:tr>
    </w:tbl>
    <w:p w14:paraId="15D579AE" w14:textId="77777777" w:rsidR="00B01DF0" w:rsidRDefault="00B01DF0" w:rsidP="00B01DF0">
      <w:pPr>
        <w:ind w:left="720"/>
        <w:rPr>
          <w:rFonts w:ascii="Arial" w:hAnsi="Arial"/>
          <w:b/>
          <w:sz w:val="22"/>
          <w:szCs w:val="22"/>
          <w:highlight w:val="yellow"/>
        </w:rPr>
      </w:pPr>
      <w:r>
        <w:rPr>
          <w:rFonts w:ascii="Arial" w:hAnsi="Arial"/>
          <w:bCs/>
          <w:sz w:val="22"/>
          <w:szCs w:val="22"/>
        </w:rPr>
        <w:t xml:space="preserve">No Change to the above table for 23/24’s figures due to the </w:t>
      </w:r>
      <w:r w:rsidRPr="00723EA0">
        <w:rPr>
          <w:rFonts w:ascii="Arial" w:hAnsi="Arial"/>
          <w:bCs/>
          <w:sz w:val="22"/>
          <w:szCs w:val="22"/>
        </w:rPr>
        <w:t>he areas of responsibility covered by the budget holders under the Chief Constable changed from 1 April 202</w:t>
      </w:r>
      <w:r>
        <w:rPr>
          <w:rFonts w:ascii="Arial" w:hAnsi="Arial"/>
          <w:bCs/>
          <w:sz w:val="22"/>
          <w:szCs w:val="22"/>
        </w:rPr>
        <w:t>4</w:t>
      </w:r>
      <w:r w:rsidRPr="00723EA0">
        <w:rPr>
          <w:rFonts w:ascii="Arial" w:hAnsi="Arial"/>
          <w:bCs/>
          <w:sz w:val="22"/>
          <w:szCs w:val="22"/>
        </w:rPr>
        <w:t>.</w:t>
      </w:r>
    </w:p>
    <w:p w14:paraId="4BB6B4FD" w14:textId="77777777" w:rsidR="007E106D" w:rsidRDefault="007E106D" w:rsidP="00B01DF0">
      <w:pPr>
        <w:ind w:left="720"/>
        <w:rPr>
          <w:rFonts w:ascii="Arial" w:hAnsi="Arial"/>
          <w:b/>
          <w:sz w:val="22"/>
          <w:szCs w:val="22"/>
          <w:highlight w:val="yellow"/>
        </w:rPr>
      </w:pPr>
    </w:p>
    <w:p w14:paraId="26DB22D0" w14:textId="77777777" w:rsidR="007E106D" w:rsidRDefault="007E106D">
      <w:pPr>
        <w:rPr>
          <w:rFonts w:ascii="Arial" w:hAnsi="Arial"/>
          <w:b/>
          <w:sz w:val="22"/>
          <w:szCs w:val="22"/>
          <w:highlight w:val="yellow"/>
        </w:rPr>
      </w:pPr>
    </w:p>
    <w:p w14:paraId="270911BE" w14:textId="77777777" w:rsidR="007E106D" w:rsidRDefault="007E106D">
      <w:pPr>
        <w:rPr>
          <w:rFonts w:ascii="Arial" w:hAnsi="Arial"/>
          <w:b/>
          <w:sz w:val="22"/>
          <w:szCs w:val="22"/>
          <w:highlight w:val="yellow"/>
        </w:rPr>
      </w:pPr>
    </w:p>
    <w:p w14:paraId="2180F90A" w14:textId="77777777" w:rsidR="007E106D" w:rsidRDefault="007E106D">
      <w:pPr>
        <w:rPr>
          <w:rFonts w:ascii="Arial" w:hAnsi="Arial"/>
          <w:b/>
          <w:sz w:val="22"/>
          <w:szCs w:val="22"/>
          <w:highlight w:val="yellow"/>
        </w:rPr>
      </w:pPr>
    </w:p>
    <w:p w14:paraId="1624B8D0" w14:textId="77777777" w:rsidR="007E106D" w:rsidRDefault="007E106D">
      <w:pPr>
        <w:rPr>
          <w:rFonts w:ascii="Arial" w:hAnsi="Arial"/>
          <w:b/>
          <w:sz w:val="22"/>
          <w:szCs w:val="22"/>
          <w:highlight w:val="yellow"/>
        </w:rPr>
      </w:pPr>
    </w:p>
    <w:p w14:paraId="4590B79D" w14:textId="77777777" w:rsidR="007E106D" w:rsidRDefault="007E106D">
      <w:pPr>
        <w:rPr>
          <w:rFonts w:ascii="Arial" w:hAnsi="Arial"/>
          <w:b/>
          <w:sz w:val="22"/>
          <w:szCs w:val="22"/>
          <w:highlight w:val="yellow"/>
        </w:rPr>
      </w:pPr>
    </w:p>
    <w:p w14:paraId="5B3ABF3D" w14:textId="77777777" w:rsidR="007E106D" w:rsidRDefault="007E106D">
      <w:pPr>
        <w:rPr>
          <w:rFonts w:ascii="Arial" w:hAnsi="Arial"/>
          <w:b/>
          <w:sz w:val="22"/>
          <w:szCs w:val="22"/>
          <w:highlight w:val="yellow"/>
        </w:rPr>
      </w:pPr>
    </w:p>
    <w:p w14:paraId="26F77980" w14:textId="77777777" w:rsidR="0067751D" w:rsidRDefault="0067751D" w:rsidP="003B74DA">
      <w:pPr>
        <w:tabs>
          <w:tab w:val="right" w:pos="5760"/>
        </w:tabs>
        <w:ind w:left="720"/>
        <w:rPr>
          <w:rFonts w:ascii="Arial" w:hAnsi="Arial"/>
          <w:b/>
          <w:sz w:val="22"/>
          <w:szCs w:val="22"/>
        </w:rPr>
      </w:pPr>
    </w:p>
    <w:p w14:paraId="3E7B3997" w14:textId="285383E4" w:rsidR="003B74DA" w:rsidRPr="0067751D" w:rsidRDefault="003B74DA" w:rsidP="003B74DA">
      <w:pPr>
        <w:tabs>
          <w:tab w:val="right" w:pos="5760"/>
        </w:tabs>
        <w:ind w:left="720"/>
        <w:rPr>
          <w:rFonts w:ascii="Arial" w:hAnsi="Arial"/>
          <w:b/>
          <w:sz w:val="22"/>
          <w:szCs w:val="22"/>
        </w:rPr>
      </w:pPr>
      <w:r w:rsidRPr="0067751D">
        <w:rPr>
          <w:rFonts w:ascii="Arial" w:hAnsi="Arial"/>
          <w:b/>
          <w:sz w:val="22"/>
          <w:szCs w:val="22"/>
        </w:rPr>
        <w:t>PCC SINGLE ENTITY</w:t>
      </w:r>
    </w:p>
    <w:p w14:paraId="27F7C15E" w14:textId="5000C084" w:rsidR="008D2EBA" w:rsidRPr="0067751D" w:rsidRDefault="008D2EBA" w:rsidP="003B74DA">
      <w:pPr>
        <w:tabs>
          <w:tab w:val="right" w:pos="5760"/>
        </w:tabs>
        <w:ind w:left="720"/>
      </w:pPr>
    </w:p>
    <w:tbl>
      <w:tblPr>
        <w:tblW w:w="15630" w:type="dxa"/>
        <w:tblLayout w:type="fixed"/>
        <w:tblLook w:val="04A0" w:firstRow="1" w:lastRow="0" w:firstColumn="1" w:lastColumn="0" w:noHBand="0" w:noVBand="1"/>
      </w:tblPr>
      <w:tblGrid>
        <w:gridCol w:w="1472"/>
        <w:gridCol w:w="1401"/>
        <w:gridCol w:w="1446"/>
        <w:gridCol w:w="1873"/>
        <w:gridCol w:w="4006"/>
        <w:gridCol w:w="1420"/>
        <w:gridCol w:w="1366"/>
        <w:gridCol w:w="1406"/>
        <w:gridCol w:w="1240"/>
      </w:tblGrid>
      <w:tr w:rsidR="00593F10" w:rsidRPr="00593F10" w14:paraId="04CB4973" w14:textId="77777777" w:rsidTr="00150716">
        <w:trPr>
          <w:trHeight w:val="305"/>
        </w:trPr>
        <w:tc>
          <w:tcPr>
            <w:tcW w:w="6192" w:type="dxa"/>
            <w:gridSpan w:val="4"/>
            <w:tcBorders>
              <w:top w:val="single" w:sz="8" w:space="0" w:color="auto"/>
              <w:left w:val="single" w:sz="8" w:space="0" w:color="auto"/>
              <w:bottom w:val="nil"/>
              <w:right w:val="nil"/>
            </w:tcBorders>
            <w:vAlign w:val="center"/>
            <w:hideMark/>
          </w:tcPr>
          <w:p w14:paraId="4392D5C6" w14:textId="41549F33" w:rsidR="00593F10" w:rsidRPr="00593F10" w:rsidRDefault="00C37E7F" w:rsidP="00593F10">
            <w:pPr>
              <w:jc w:val="center"/>
              <w:rPr>
                <w:rFonts w:ascii="Arial" w:hAnsi="Arial" w:cs="Arial"/>
                <w:b/>
                <w:bCs/>
                <w:color w:val="000000"/>
                <w:sz w:val="22"/>
                <w:szCs w:val="22"/>
              </w:rPr>
            </w:pPr>
            <w:r>
              <w:rPr>
                <w:rFonts w:ascii="Arial" w:hAnsi="Arial" w:cs="Arial"/>
                <w:b/>
                <w:bCs/>
                <w:color w:val="000000"/>
                <w:sz w:val="22"/>
                <w:szCs w:val="22"/>
              </w:rPr>
              <w:t>2023/24</w:t>
            </w:r>
          </w:p>
        </w:tc>
        <w:tc>
          <w:tcPr>
            <w:tcW w:w="4006" w:type="dxa"/>
            <w:tcBorders>
              <w:top w:val="single" w:sz="8" w:space="0" w:color="auto"/>
              <w:left w:val="nil"/>
              <w:bottom w:val="nil"/>
              <w:right w:val="nil"/>
            </w:tcBorders>
            <w:shd w:val="clear" w:color="000000" w:fill="CCCCCC"/>
            <w:vAlign w:val="center"/>
            <w:hideMark/>
          </w:tcPr>
          <w:p w14:paraId="731FD5C2" w14:textId="77777777" w:rsidR="00593F10" w:rsidRPr="00593F10" w:rsidRDefault="00593F10" w:rsidP="00593F10">
            <w:pPr>
              <w:jc w:val="center"/>
              <w:rPr>
                <w:rFonts w:ascii="Arial" w:hAnsi="Arial" w:cs="Arial"/>
                <w:b/>
                <w:bCs/>
                <w:color w:val="000000"/>
                <w:sz w:val="22"/>
                <w:szCs w:val="22"/>
              </w:rPr>
            </w:pPr>
            <w:r w:rsidRPr="00593F10">
              <w:rPr>
                <w:rFonts w:ascii="Arial" w:hAnsi="Arial" w:cs="Arial"/>
                <w:b/>
                <w:bCs/>
                <w:color w:val="000000"/>
                <w:sz w:val="22"/>
                <w:szCs w:val="22"/>
              </w:rPr>
              <w:t> </w:t>
            </w:r>
          </w:p>
        </w:tc>
        <w:tc>
          <w:tcPr>
            <w:tcW w:w="5432" w:type="dxa"/>
            <w:gridSpan w:val="4"/>
            <w:tcBorders>
              <w:top w:val="single" w:sz="8" w:space="0" w:color="auto"/>
              <w:left w:val="nil"/>
              <w:bottom w:val="nil"/>
              <w:right w:val="single" w:sz="8" w:space="0" w:color="000000"/>
            </w:tcBorders>
            <w:shd w:val="clear" w:color="000000" w:fill="CCCCCC"/>
            <w:vAlign w:val="center"/>
            <w:hideMark/>
          </w:tcPr>
          <w:p w14:paraId="27586299" w14:textId="3E457B63" w:rsidR="00593F10" w:rsidRPr="00593F10" w:rsidRDefault="00C37E7F" w:rsidP="00593F10">
            <w:pPr>
              <w:jc w:val="center"/>
              <w:rPr>
                <w:rFonts w:ascii="Arial" w:hAnsi="Arial" w:cs="Arial"/>
                <w:b/>
                <w:bCs/>
                <w:color w:val="000000"/>
                <w:sz w:val="22"/>
                <w:szCs w:val="22"/>
              </w:rPr>
            </w:pPr>
            <w:r>
              <w:rPr>
                <w:rFonts w:ascii="Arial" w:hAnsi="Arial" w:cs="Arial"/>
                <w:b/>
                <w:bCs/>
                <w:color w:val="000000"/>
                <w:sz w:val="22"/>
                <w:szCs w:val="22"/>
              </w:rPr>
              <w:t>2024/25</w:t>
            </w:r>
          </w:p>
        </w:tc>
      </w:tr>
      <w:tr w:rsidR="00593F10" w:rsidRPr="00593F10" w14:paraId="6D78822A" w14:textId="77777777" w:rsidTr="00677128">
        <w:trPr>
          <w:trHeight w:val="917"/>
        </w:trPr>
        <w:tc>
          <w:tcPr>
            <w:tcW w:w="1472" w:type="dxa"/>
            <w:vMerge w:val="restart"/>
            <w:tcBorders>
              <w:top w:val="nil"/>
              <w:left w:val="single" w:sz="4" w:space="0" w:color="auto"/>
              <w:bottom w:val="nil"/>
              <w:right w:val="nil"/>
            </w:tcBorders>
            <w:vAlign w:val="center"/>
            <w:hideMark/>
          </w:tcPr>
          <w:p w14:paraId="05CD674B" w14:textId="77777777" w:rsidR="00593F10" w:rsidRPr="00593F10" w:rsidRDefault="00593F10" w:rsidP="00593F10">
            <w:pPr>
              <w:jc w:val="right"/>
              <w:rPr>
                <w:rFonts w:ascii="Arial" w:hAnsi="Arial" w:cs="Arial"/>
                <w:b/>
                <w:bCs/>
                <w:color w:val="000000"/>
                <w:sz w:val="22"/>
                <w:szCs w:val="22"/>
              </w:rPr>
            </w:pP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for capital purposes (Note A)</w:t>
            </w:r>
          </w:p>
        </w:tc>
        <w:tc>
          <w:tcPr>
            <w:tcW w:w="1401" w:type="dxa"/>
            <w:vMerge w:val="restart"/>
            <w:tcBorders>
              <w:top w:val="nil"/>
              <w:left w:val="nil"/>
              <w:bottom w:val="nil"/>
              <w:right w:val="nil"/>
            </w:tcBorders>
            <w:vAlign w:val="center"/>
            <w:hideMark/>
          </w:tcPr>
          <w:p w14:paraId="340069A9"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 xml:space="preserve">Net change for pensions </w:t>
            </w: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(Note B)</w:t>
            </w:r>
          </w:p>
        </w:tc>
        <w:tc>
          <w:tcPr>
            <w:tcW w:w="1446" w:type="dxa"/>
            <w:vMerge w:val="restart"/>
            <w:tcBorders>
              <w:top w:val="nil"/>
              <w:left w:val="nil"/>
              <w:bottom w:val="nil"/>
              <w:right w:val="nil"/>
            </w:tcBorders>
            <w:vAlign w:val="center"/>
            <w:hideMark/>
          </w:tcPr>
          <w:p w14:paraId="0EE241D4" w14:textId="77777777" w:rsidR="00593F10" w:rsidRPr="00593F10" w:rsidRDefault="00593F10" w:rsidP="00593F10">
            <w:pPr>
              <w:jc w:val="center"/>
              <w:rPr>
                <w:rFonts w:ascii="Arial" w:hAnsi="Arial" w:cs="Arial"/>
                <w:b/>
                <w:bCs/>
                <w:color w:val="000000"/>
                <w:sz w:val="22"/>
                <w:szCs w:val="22"/>
              </w:rPr>
            </w:pPr>
            <w:r w:rsidRPr="00593F10">
              <w:rPr>
                <w:rFonts w:ascii="Arial" w:hAnsi="Arial" w:cs="Arial"/>
                <w:b/>
                <w:bCs/>
                <w:color w:val="000000"/>
                <w:sz w:val="22"/>
                <w:szCs w:val="22"/>
              </w:rPr>
              <w:t>Other differences (Note C)</w:t>
            </w:r>
          </w:p>
        </w:tc>
        <w:tc>
          <w:tcPr>
            <w:tcW w:w="1873" w:type="dxa"/>
            <w:vMerge w:val="restart"/>
            <w:tcBorders>
              <w:top w:val="nil"/>
              <w:left w:val="nil"/>
              <w:bottom w:val="nil"/>
              <w:right w:val="nil"/>
            </w:tcBorders>
            <w:vAlign w:val="center"/>
            <w:hideMark/>
          </w:tcPr>
          <w:p w14:paraId="190415CB"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 xml:space="preserve">Total </w:t>
            </w:r>
            <w:proofErr w:type="spellStart"/>
            <w:r w:rsidRPr="00593F10">
              <w:rPr>
                <w:rFonts w:ascii="Arial" w:hAnsi="Arial" w:cs="Arial"/>
                <w:b/>
                <w:bCs/>
                <w:color w:val="000000"/>
                <w:sz w:val="22"/>
                <w:szCs w:val="22"/>
              </w:rPr>
              <w:t>Adjs</w:t>
            </w:r>
            <w:proofErr w:type="spellEnd"/>
          </w:p>
        </w:tc>
        <w:tc>
          <w:tcPr>
            <w:tcW w:w="4006" w:type="dxa"/>
            <w:vMerge w:val="restart"/>
            <w:tcBorders>
              <w:top w:val="nil"/>
              <w:left w:val="nil"/>
              <w:bottom w:val="nil"/>
              <w:right w:val="nil"/>
            </w:tcBorders>
            <w:shd w:val="clear" w:color="000000" w:fill="CCCCCC"/>
            <w:vAlign w:val="center"/>
            <w:hideMark/>
          </w:tcPr>
          <w:p w14:paraId="4CC4D3ED" w14:textId="77777777" w:rsidR="00593F10" w:rsidRPr="00593F10" w:rsidRDefault="00593F10" w:rsidP="00593F10">
            <w:pPr>
              <w:rPr>
                <w:rFonts w:ascii="Arial" w:hAnsi="Arial" w:cs="Arial"/>
                <w:b/>
                <w:bCs/>
                <w:color w:val="000000"/>
                <w:sz w:val="22"/>
                <w:szCs w:val="22"/>
              </w:rPr>
            </w:pPr>
            <w:r w:rsidRPr="00593F10">
              <w:rPr>
                <w:rFonts w:ascii="Arial" w:hAnsi="Arial" w:cs="Arial"/>
                <w:b/>
                <w:bCs/>
                <w:color w:val="000000"/>
                <w:sz w:val="22"/>
                <w:szCs w:val="22"/>
              </w:rPr>
              <w:t> </w:t>
            </w:r>
          </w:p>
        </w:tc>
        <w:tc>
          <w:tcPr>
            <w:tcW w:w="1420" w:type="dxa"/>
            <w:vMerge w:val="restart"/>
            <w:tcBorders>
              <w:top w:val="nil"/>
              <w:left w:val="nil"/>
              <w:bottom w:val="nil"/>
              <w:right w:val="nil"/>
            </w:tcBorders>
            <w:shd w:val="clear" w:color="000000" w:fill="CCCCCC"/>
            <w:vAlign w:val="center"/>
            <w:hideMark/>
          </w:tcPr>
          <w:p w14:paraId="36031A5E" w14:textId="77777777" w:rsidR="00593F10" w:rsidRPr="00593F10" w:rsidRDefault="00593F10" w:rsidP="00593F10">
            <w:pPr>
              <w:jc w:val="right"/>
              <w:rPr>
                <w:rFonts w:ascii="Arial" w:hAnsi="Arial" w:cs="Arial"/>
                <w:b/>
                <w:bCs/>
                <w:color w:val="000000"/>
                <w:sz w:val="22"/>
                <w:szCs w:val="22"/>
              </w:rPr>
            </w:pP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for capital purposes (Note A)</w:t>
            </w:r>
          </w:p>
        </w:tc>
        <w:tc>
          <w:tcPr>
            <w:tcW w:w="1366" w:type="dxa"/>
            <w:vMerge w:val="restart"/>
            <w:tcBorders>
              <w:top w:val="nil"/>
              <w:left w:val="nil"/>
              <w:bottom w:val="nil"/>
              <w:right w:val="nil"/>
            </w:tcBorders>
            <w:shd w:val="clear" w:color="000000" w:fill="CCCCCC"/>
            <w:vAlign w:val="center"/>
            <w:hideMark/>
          </w:tcPr>
          <w:p w14:paraId="301757E0"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 xml:space="preserve">Net change for pensions </w:t>
            </w:r>
            <w:proofErr w:type="spellStart"/>
            <w:r w:rsidRPr="00593F10">
              <w:rPr>
                <w:rFonts w:ascii="Arial" w:hAnsi="Arial" w:cs="Arial"/>
                <w:b/>
                <w:bCs/>
                <w:color w:val="000000"/>
                <w:sz w:val="22"/>
                <w:szCs w:val="22"/>
              </w:rPr>
              <w:t>adjs</w:t>
            </w:r>
            <w:proofErr w:type="spellEnd"/>
            <w:r w:rsidRPr="00593F10">
              <w:rPr>
                <w:rFonts w:ascii="Arial" w:hAnsi="Arial" w:cs="Arial"/>
                <w:b/>
                <w:bCs/>
                <w:color w:val="000000"/>
                <w:sz w:val="22"/>
                <w:szCs w:val="22"/>
              </w:rPr>
              <w:t xml:space="preserve">        (Note B)</w:t>
            </w:r>
          </w:p>
        </w:tc>
        <w:tc>
          <w:tcPr>
            <w:tcW w:w="1406" w:type="dxa"/>
            <w:vMerge w:val="restart"/>
            <w:tcBorders>
              <w:top w:val="nil"/>
              <w:left w:val="nil"/>
              <w:bottom w:val="nil"/>
              <w:right w:val="nil"/>
            </w:tcBorders>
            <w:shd w:val="clear" w:color="000000" w:fill="CCCCCC"/>
            <w:vAlign w:val="center"/>
            <w:hideMark/>
          </w:tcPr>
          <w:p w14:paraId="0A92EA0B" w14:textId="77777777" w:rsidR="00593F10" w:rsidRPr="00593F10" w:rsidRDefault="00593F10" w:rsidP="00593F10">
            <w:pPr>
              <w:jc w:val="center"/>
              <w:rPr>
                <w:rFonts w:ascii="Arial" w:hAnsi="Arial" w:cs="Arial"/>
                <w:b/>
                <w:bCs/>
                <w:color w:val="000000"/>
                <w:sz w:val="22"/>
                <w:szCs w:val="22"/>
              </w:rPr>
            </w:pPr>
            <w:r w:rsidRPr="00593F10">
              <w:rPr>
                <w:rFonts w:ascii="Arial" w:hAnsi="Arial" w:cs="Arial"/>
                <w:b/>
                <w:bCs/>
                <w:color w:val="000000"/>
                <w:sz w:val="22"/>
                <w:szCs w:val="22"/>
              </w:rPr>
              <w:t>Other differences (Note C)</w:t>
            </w:r>
          </w:p>
        </w:tc>
        <w:tc>
          <w:tcPr>
            <w:tcW w:w="1240" w:type="dxa"/>
            <w:vMerge w:val="restart"/>
            <w:tcBorders>
              <w:top w:val="nil"/>
              <w:left w:val="nil"/>
              <w:bottom w:val="nil"/>
              <w:right w:val="single" w:sz="8" w:space="0" w:color="auto"/>
            </w:tcBorders>
            <w:shd w:val="clear" w:color="000000" w:fill="CCCCCC"/>
            <w:vAlign w:val="center"/>
            <w:hideMark/>
          </w:tcPr>
          <w:p w14:paraId="41296E47"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 xml:space="preserve">Total </w:t>
            </w:r>
            <w:proofErr w:type="spellStart"/>
            <w:r w:rsidRPr="00593F10">
              <w:rPr>
                <w:rFonts w:ascii="Arial" w:hAnsi="Arial" w:cs="Arial"/>
                <w:b/>
                <w:bCs/>
                <w:color w:val="000000"/>
                <w:sz w:val="22"/>
                <w:szCs w:val="22"/>
              </w:rPr>
              <w:t>Adjs</w:t>
            </w:r>
            <w:proofErr w:type="spellEnd"/>
          </w:p>
        </w:tc>
      </w:tr>
      <w:tr w:rsidR="00593F10" w:rsidRPr="00593F10" w14:paraId="51459260" w14:textId="77777777" w:rsidTr="00677128">
        <w:trPr>
          <w:trHeight w:val="305"/>
        </w:trPr>
        <w:tc>
          <w:tcPr>
            <w:tcW w:w="1472" w:type="dxa"/>
            <w:vMerge/>
            <w:tcBorders>
              <w:top w:val="nil"/>
              <w:left w:val="single" w:sz="4" w:space="0" w:color="auto"/>
              <w:bottom w:val="nil"/>
              <w:right w:val="nil"/>
            </w:tcBorders>
            <w:vAlign w:val="center"/>
            <w:hideMark/>
          </w:tcPr>
          <w:p w14:paraId="4326866F" w14:textId="77777777" w:rsidR="00593F10" w:rsidRPr="00593F10" w:rsidRDefault="00593F10" w:rsidP="00593F10">
            <w:pPr>
              <w:rPr>
                <w:rFonts w:ascii="Arial" w:hAnsi="Arial" w:cs="Arial"/>
                <w:b/>
                <w:bCs/>
                <w:color w:val="000000"/>
                <w:sz w:val="22"/>
                <w:szCs w:val="22"/>
              </w:rPr>
            </w:pPr>
          </w:p>
        </w:tc>
        <w:tc>
          <w:tcPr>
            <w:tcW w:w="1401" w:type="dxa"/>
            <w:vMerge/>
            <w:tcBorders>
              <w:top w:val="nil"/>
              <w:left w:val="nil"/>
              <w:bottom w:val="nil"/>
              <w:right w:val="nil"/>
            </w:tcBorders>
            <w:vAlign w:val="center"/>
            <w:hideMark/>
          </w:tcPr>
          <w:p w14:paraId="38002FDC" w14:textId="77777777" w:rsidR="00593F10" w:rsidRPr="00593F10" w:rsidRDefault="00593F10" w:rsidP="00593F10">
            <w:pPr>
              <w:rPr>
                <w:rFonts w:ascii="Arial" w:hAnsi="Arial" w:cs="Arial"/>
                <w:b/>
                <w:bCs/>
                <w:color w:val="000000"/>
                <w:sz w:val="22"/>
                <w:szCs w:val="22"/>
              </w:rPr>
            </w:pPr>
          </w:p>
        </w:tc>
        <w:tc>
          <w:tcPr>
            <w:tcW w:w="1446" w:type="dxa"/>
            <w:vMerge/>
            <w:tcBorders>
              <w:top w:val="nil"/>
              <w:left w:val="nil"/>
              <w:bottom w:val="nil"/>
              <w:right w:val="nil"/>
            </w:tcBorders>
            <w:vAlign w:val="center"/>
            <w:hideMark/>
          </w:tcPr>
          <w:p w14:paraId="7A38D519" w14:textId="77777777" w:rsidR="00593F10" w:rsidRPr="00593F10" w:rsidRDefault="00593F10" w:rsidP="00593F10">
            <w:pPr>
              <w:rPr>
                <w:rFonts w:ascii="Arial" w:hAnsi="Arial" w:cs="Arial"/>
                <w:b/>
                <w:bCs/>
                <w:color w:val="000000"/>
                <w:sz w:val="22"/>
                <w:szCs w:val="22"/>
              </w:rPr>
            </w:pPr>
          </w:p>
        </w:tc>
        <w:tc>
          <w:tcPr>
            <w:tcW w:w="1873" w:type="dxa"/>
            <w:vMerge/>
            <w:tcBorders>
              <w:top w:val="nil"/>
              <w:left w:val="nil"/>
              <w:bottom w:val="nil"/>
              <w:right w:val="nil"/>
            </w:tcBorders>
            <w:vAlign w:val="center"/>
            <w:hideMark/>
          </w:tcPr>
          <w:p w14:paraId="7154198A" w14:textId="77777777" w:rsidR="00593F10" w:rsidRPr="00593F10" w:rsidRDefault="00593F10" w:rsidP="00593F10">
            <w:pPr>
              <w:rPr>
                <w:rFonts w:ascii="Arial" w:hAnsi="Arial" w:cs="Arial"/>
                <w:b/>
                <w:bCs/>
                <w:color w:val="000000"/>
                <w:sz w:val="22"/>
                <w:szCs w:val="22"/>
              </w:rPr>
            </w:pPr>
          </w:p>
        </w:tc>
        <w:tc>
          <w:tcPr>
            <w:tcW w:w="4006" w:type="dxa"/>
            <w:vMerge/>
            <w:tcBorders>
              <w:top w:val="nil"/>
              <w:left w:val="nil"/>
              <w:bottom w:val="nil"/>
              <w:right w:val="nil"/>
            </w:tcBorders>
            <w:vAlign w:val="center"/>
            <w:hideMark/>
          </w:tcPr>
          <w:p w14:paraId="4264ADE8" w14:textId="77777777" w:rsidR="00593F10" w:rsidRPr="00593F10" w:rsidRDefault="00593F10" w:rsidP="00593F10">
            <w:pPr>
              <w:rPr>
                <w:rFonts w:ascii="Arial" w:hAnsi="Arial" w:cs="Arial"/>
                <w:b/>
                <w:bCs/>
                <w:color w:val="000000"/>
                <w:sz w:val="22"/>
                <w:szCs w:val="22"/>
              </w:rPr>
            </w:pPr>
          </w:p>
        </w:tc>
        <w:tc>
          <w:tcPr>
            <w:tcW w:w="1420" w:type="dxa"/>
            <w:vMerge/>
            <w:tcBorders>
              <w:top w:val="nil"/>
              <w:left w:val="nil"/>
              <w:bottom w:val="nil"/>
              <w:right w:val="nil"/>
            </w:tcBorders>
            <w:vAlign w:val="center"/>
            <w:hideMark/>
          </w:tcPr>
          <w:p w14:paraId="2B7070FA" w14:textId="77777777" w:rsidR="00593F10" w:rsidRPr="00593F10" w:rsidRDefault="00593F10" w:rsidP="00593F10">
            <w:pPr>
              <w:rPr>
                <w:rFonts w:ascii="Arial" w:hAnsi="Arial" w:cs="Arial"/>
                <w:b/>
                <w:bCs/>
                <w:color w:val="000000"/>
                <w:sz w:val="22"/>
                <w:szCs w:val="22"/>
              </w:rPr>
            </w:pPr>
          </w:p>
        </w:tc>
        <w:tc>
          <w:tcPr>
            <w:tcW w:w="1366" w:type="dxa"/>
            <w:vMerge/>
            <w:tcBorders>
              <w:top w:val="nil"/>
              <w:left w:val="nil"/>
              <w:bottom w:val="nil"/>
              <w:right w:val="nil"/>
            </w:tcBorders>
            <w:vAlign w:val="center"/>
            <w:hideMark/>
          </w:tcPr>
          <w:p w14:paraId="13AAFC8B" w14:textId="77777777" w:rsidR="00593F10" w:rsidRPr="00593F10" w:rsidRDefault="00593F10" w:rsidP="00593F10">
            <w:pPr>
              <w:rPr>
                <w:rFonts w:ascii="Arial" w:hAnsi="Arial" w:cs="Arial"/>
                <w:b/>
                <w:bCs/>
                <w:color w:val="000000"/>
                <w:sz w:val="22"/>
                <w:szCs w:val="22"/>
              </w:rPr>
            </w:pPr>
          </w:p>
        </w:tc>
        <w:tc>
          <w:tcPr>
            <w:tcW w:w="1406" w:type="dxa"/>
            <w:vMerge/>
            <w:tcBorders>
              <w:top w:val="nil"/>
              <w:left w:val="nil"/>
              <w:bottom w:val="nil"/>
              <w:right w:val="nil"/>
            </w:tcBorders>
            <w:vAlign w:val="center"/>
            <w:hideMark/>
          </w:tcPr>
          <w:p w14:paraId="21A70C2E" w14:textId="77777777" w:rsidR="00593F10" w:rsidRPr="00593F10" w:rsidRDefault="00593F10" w:rsidP="00593F10">
            <w:pPr>
              <w:rPr>
                <w:rFonts w:ascii="Arial" w:hAnsi="Arial" w:cs="Arial"/>
                <w:b/>
                <w:bCs/>
                <w:color w:val="000000"/>
                <w:sz w:val="22"/>
                <w:szCs w:val="22"/>
              </w:rPr>
            </w:pPr>
          </w:p>
        </w:tc>
        <w:tc>
          <w:tcPr>
            <w:tcW w:w="1240" w:type="dxa"/>
            <w:vMerge/>
            <w:tcBorders>
              <w:top w:val="nil"/>
              <w:left w:val="nil"/>
              <w:bottom w:val="nil"/>
              <w:right w:val="single" w:sz="8" w:space="0" w:color="auto"/>
            </w:tcBorders>
            <w:vAlign w:val="center"/>
            <w:hideMark/>
          </w:tcPr>
          <w:p w14:paraId="208B1695" w14:textId="77777777" w:rsidR="00593F10" w:rsidRPr="00593F10" w:rsidRDefault="00593F10" w:rsidP="00593F10">
            <w:pPr>
              <w:rPr>
                <w:rFonts w:ascii="Arial" w:hAnsi="Arial" w:cs="Arial"/>
                <w:b/>
                <w:bCs/>
                <w:color w:val="000000"/>
                <w:sz w:val="22"/>
                <w:szCs w:val="22"/>
              </w:rPr>
            </w:pPr>
          </w:p>
        </w:tc>
      </w:tr>
      <w:tr w:rsidR="00593F10" w:rsidRPr="00593F10" w14:paraId="4038B253" w14:textId="77777777" w:rsidTr="00677128">
        <w:trPr>
          <w:trHeight w:val="305"/>
        </w:trPr>
        <w:tc>
          <w:tcPr>
            <w:tcW w:w="1472" w:type="dxa"/>
            <w:vMerge/>
            <w:tcBorders>
              <w:top w:val="nil"/>
              <w:left w:val="single" w:sz="4" w:space="0" w:color="auto"/>
              <w:bottom w:val="nil"/>
              <w:right w:val="nil"/>
            </w:tcBorders>
            <w:vAlign w:val="center"/>
            <w:hideMark/>
          </w:tcPr>
          <w:p w14:paraId="750D4D9B" w14:textId="77777777" w:rsidR="00593F10" w:rsidRPr="00593F10" w:rsidRDefault="00593F10" w:rsidP="00593F10">
            <w:pPr>
              <w:rPr>
                <w:rFonts w:ascii="Arial" w:hAnsi="Arial" w:cs="Arial"/>
                <w:b/>
                <w:bCs/>
                <w:color w:val="000000"/>
                <w:sz w:val="22"/>
                <w:szCs w:val="22"/>
              </w:rPr>
            </w:pPr>
          </w:p>
        </w:tc>
        <w:tc>
          <w:tcPr>
            <w:tcW w:w="1401" w:type="dxa"/>
            <w:vMerge/>
            <w:tcBorders>
              <w:top w:val="nil"/>
              <w:left w:val="nil"/>
              <w:bottom w:val="nil"/>
              <w:right w:val="nil"/>
            </w:tcBorders>
            <w:vAlign w:val="center"/>
            <w:hideMark/>
          </w:tcPr>
          <w:p w14:paraId="1A672042" w14:textId="77777777" w:rsidR="00593F10" w:rsidRPr="00593F10" w:rsidRDefault="00593F10" w:rsidP="00593F10">
            <w:pPr>
              <w:rPr>
                <w:rFonts w:ascii="Arial" w:hAnsi="Arial" w:cs="Arial"/>
                <w:b/>
                <w:bCs/>
                <w:color w:val="000000"/>
                <w:sz w:val="22"/>
                <w:szCs w:val="22"/>
              </w:rPr>
            </w:pPr>
          </w:p>
        </w:tc>
        <w:tc>
          <w:tcPr>
            <w:tcW w:w="1446" w:type="dxa"/>
            <w:vMerge/>
            <w:tcBorders>
              <w:top w:val="nil"/>
              <w:left w:val="nil"/>
              <w:bottom w:val="nil"/>
              <w:right w:val="nil"/>
            </w:tcBorders>
            <w:vAlign w:val="center"/>
            <w:hideMark/>
          </w:tcPr>
          <w:p w14:paraId="014D3BA7" w14:textId="77777777" w:rsidR="00593F10" w:rsidRPr="00593F10" w:rsidRDefault="00593F10" w:rsidP="00593F10">
            <w:pPr>
              <w:rPr>
                <w:rFonts w:ascii="Arial" w:hAnsi="Arial" w:cs="Arial"/>
                <w:b/>
                <w:bCs/>
                <w:color w:val="000000"/>
                <w:sz w:val="22"/>
                <w:szCs w:val="22"/>
              </w:rPr>
            </w:pPr>
          </w:p>
        </w:tc>
        <w:tc>
          <w:tcPr>
            <w:tcW w:w="1873" w:type="dxa"/>
            <w:vMerge/>
            <w:tcBorders>
              <w:top w:val="nil"/>
              <w:left w:val="nil"/>
              <w:bottom w:val="nil"/>
              <w:right w:val="nil"/>
            </w:tcBorders>
            <w:vAlign w:val="center"/>
            <w:hideMark/>
          </w:tcPr>
          <w:p w14:paraId="0AF62793" w14:textId="77777777" w:rsidR="00593F10" w:rsidRPr="00593F10" w:rsidRDefault="00593F10" w:rsidP="00593F10">
            <w:pPr>
              <w:rPr>
                <w:rFonts w:ascii="Arial" w:hAnsi="Arial" w:cs="Arial"/>
                <w:b/>
                <w:bCs/>
                <w:color w:val="000000"/>
                <w:sz w:val="22"/>
                <w:szCs w:val="22"/>
              </w:rPr>
            </w:pPr>
          </w:p>
        </w:tc>
        <w:tc>
          <w:tcPr>
            <w:tcW w:w="4006" w:type="dxa"/>
            <w:vMerge/>
            <w:tcBorders>
              <w:top w:val="nil"/>
              <w:left w:val="nil"/>
              <w:bottom w:val="nil"/>
              <w:right w:val="nil"/>
            </w:tcBorders>
            <w:vAlign w:val="center"/>
            <w:hideMark/>
          </w:tcPr>
          <w:p w14:paraId="2058E4D5" w14:textId="77777777" w:rsidR="00593F10" w:rsidRPr="00593F10" w:rsidRDefault="00593F10" w:rsidP="00593F10">
            <w:pPr>
              <w:rPr>
                <w:rFonts w:ascii="Arial" w:hAnsi="Arial" w:cs="Arial"/>
                <w:b/>
                <w:bCs/>
                <w:color w:val="000000"/>
                <w:sz w:val="22"/>
                <w:szCs w:val="22"/>
              </w:rPr>
            </w:pPr>
          </w:p>
        </w:tc>
        <w:tc>
          <w:tcPr>
            <w:tcW w:w="1420" w:type="dxa"/>
            <w:vMerge/>
            <w:tcBorders>
              <w:top w:val="nil"/>
              <w:left w:val="nil"/>
              <w:bottom w:val="nil"/>
              <w:right w:val="nil"/>
            </w:tcBorders>
            <w:vAlign w:val="center"/>
            <w:hideMark/>
          </w:tcPr>
          <w:p w14:paraId="0D4F87BA" w14:textId="77777777" w:rsidR="00593F10" w:rsidRPr="00593F10" w:rsidRDefault="00593F10" w:rsidP="00593F10">
            <w:pPr>
              <w:rPr>
                <w:rFonts w:ascii="Arial" w:hAnsi="Arial" w:cs="Arial"/>
                <w:b/>
                <w:bCs/>
                <w:color w:val="000000"/>
                <w:sz w:val="22"/>
                <w:szCs w:val="22"/>
              </w:rPr>
            </w:pPr>
          </w:p>
        </w:tc>
        <w:tc>
          <w:tcPr>
            <w:tcW w:w="1366" w:type="dxa"/>
            <w:vMerge/>
            <w:tcBorders>
              <w:top w:val="nil"/>
              <w:left w:val="nil"/>
              <w:bottom w:val="nil"/>
              <w:right w:val="nil"/>
            </w:tcBorders>
            <w:vAlign w:val="center"/>
            <w:hideMark/>
          </w:tcPr>
          <w:p w14:paraId="3F169937" w14:textId="77777777" w:rsidR="00593F10" w:rsidRPr="00593F10" w:rsidRDefault="00593F10" w:rsidP="00593F10">
            <w:pPr>
              <w:rPr>
                <w:rFonts w:ascii="Arial" w:hAnsi="Arial" w:cs="Arial"/>
                <w:b/>
                <w:bCs/>
                <w:color w:val="000000"/>
                <w:sz w:val="22"/>
                <w:szCs w:val="22"/>
              </w:rPr>
            </w:pPr>
          </w:p>
        </w:tc>
        <w:tc>
          <w:tcPr>
            <w:tcW w:w="1406" w:type="dxa"/>
            <w:vMerge/>
            <w:tcBorders>
              <w:top w:val="nil"/>
              <w:left w:val="nil"/>
              <w:bottom w:val="nil"/>
              <w:right w:val="nil"/>
            </w:tcBorders>
            <w:vAlign w:val="center"/>
            <w:hideMark/>
          </w:tcPr>
          <w:p w14:paraId="61009C5F" w14:textId="77777777" w:rsidR="00593F10" w:rsidRPr="00593F10" w:rsidRDefault="00593F10" w:rsidP="00593F10">
            <w:pPr>
              <w:rPr>
                <w:rFonts w:ascii="Arial" w:hAnsi="Arial" w:cs="Arial"/>
                <w:b/>
                <w:bCs/>
                <w:color w:val="000000"/>
                <w:sz w:val="22"/>
                <w:szCs w:val="22"/>
              </w:rPr>
            </w:pPr>
          </w:p>
        </w:tc>
        <w:tc>
          <w:tcPr>
            <w:tcW w:w="1240" w:type="dxa"/>
            <w:vMerge/>
            <w:tcBorders>
              <w:top w:val="nil"/>
              <w:left w:val="nil"/>
              <w:bottom w:val="nil"/>
              <w:right w:val="single" w:sz="8" w:space="0" w:color="auto"/>
            </w:tcBorders>
            <w:vAlign w:val="center"/>
            <w:hideMark/>
          </w:tcPr>
          <w:p w14:paraId="6F7BD24F" w14:textId="77777777" w:rsidR="00593F10" w:rsidRPr="00593F10" w:rsidRDefault="00593F10" w:rsidP="00593F10">
            <w:pPr>
              <w:rPr>
                <w:rFonts w:ascii="Arial" w:hAnsi="Arial" w:cs="Arial"/>
                <w:b/>
                <w:bCs/>
                <w:color w:val="000000"/>
                <w:sz w:val="22"/>
                <w:szCs w:val="22"/>
              </w:rPr>
            </w:pPr>
          </w:p>
        </w:tc>
      </w:tr>
      <w:tr w:rsidR="00593F10" w:rsidRPr="00593F10" w14:paraId="259FD419" w14:textId="77777777" w:rsidTr="00677128">
        <w:trPr>
          <w:trHeight w:val="305"/>
        </w:trPr>
        <w:tc>
          <w:tcPr>
            <w:tcW w:w="1472" w:type="dxa"/>
            <w:tcBorders>
              <w:top w:val="nil"/>
              <w:left w:val="single" w:sz="4" w:space="0" w:color="auto"/>
              <w:bottom w:val="nil"/>
              <w:right w:val="nil"/>
            </w:tcBorders>
            <w:vAlign w:val="center"/>
            <w:hideMark/>
          </w:tcPr>
          <w:p w14:paraId="5A1DF27E"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401" w:type="dxa"/>
            <w:tcBorders>
              <w:top w:val="nil"/>
              <w:left w:val="nil"/>
              <w:bottom w:val="nil"/>
              <w:right w:val="nil"/>
            </w:tcBorders>
            <w:vAlign w:val="center"/>
            <w:hideMark/>
          </w:tcPr>
          <w:p w14:paraId="49ECAB88"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446" w:type="dxa"/>
            <w:tcBorders>
              <w:top w:val="nil"/>
              <w:left w:val="nil"/>
              <w:bottom w:val="nil"/>
              <w:right w:val="nil"/>
            </w:tcBorders>
            <w:vAlign w:val="center"/>
            <w:hideMark/>
          </w:tcPr>
          <w:p w14:paraId="177D5F7E"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873" w:type="dxa"/>
            <w:tcBorders>
              <w:top w:val="nil"/>
              <w:left w:val="nil"/>
              <w:bottom w:val="nil"/>
              <w:right w:val="nil"/>
            </w:tcBorders>
            <w:vAlign w:val="center"/>
            <w:hideMark/>
          </w:tcPr>
          <w:p w14:paraId="3FC52B82"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4006" w:type="dxa"/>
            <w:tcBorders>
              <w:top w:val="nil"/>
              <w:left w:val="nil"/>
              <w:bottom w:val="nil"/>
              <w:right w:val="nil"/>
            </w:tcBorders>
            <w:shd w:val="clear" w:color="000000" w:fill="CCCCCC"/>
            <w:vAlign w:val="center"/>
            <w:hideMark/>
          </w:tcPr>
          <w:p w14:paraId="0A22DFB0" w14:textId="77777777" w:rsidR="00593F10" w:rsidRPr="00593F10" w:rsidRDefault="00593F10" w:rsidP="00593F10">
            <w:pPr>
              <w:rPr>
                <w:rFonts w:ascii="Arial" w:hAnsi="Arial" w:cs="Arial"/>
                <w:b/>
                <w:bCs/>
                <w:color w:val="000000"/>
                <w:sz w:val="22"/>
                <w:szCs w:val="22"/>
              </w:rPr>
            </w:pPr>
            <w:r w:rsidRPr="00593F10">
              <w:rPr>
                <w:rFonts w:ascii="Arial" w:hAnsi="Arial" w:cs="Arial"/>
                <w:b/>
                <w:bCs/>
                <w:color w:val="000000"/>
                <w:sz w:val="22"/>
                <w:szCs w:val="22"/>
              </w:rPr>
              <w:t> </w:t>
            </w:r>
          </w:p>
        </w:tc>
        <w:tc>
          <w:tcPr>
            <w:tcW w:w="1420" w:type="dxa"/>
            <w:tcBorders>
              <w:top w:val="nil"/>
              <w:left w:val="nil"/>
              <w:bottom w:val="nil"/>
              <w:right w:val="nil"/>
            </w:tcBorders>
            <w:shd w:val="clear" w:color="000000" w:fill="CCCCCC"/>
            <w:vAlign w:val="center"/>
            <w:hideMark/>
          </w:tcPr>
          <w:p w14:paraId="76EC2505"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366" w:type="dxa"/>
            <w:tcBorders>
              <w:top w:val="nil"/>
              <w:left w:val="nil"/>
              <w:bottom w:val="nil"/>
              <w:right w:val="nil"/>
            </w:tcBorders>
            <w:shd w:val="clear" w:color="000000" w:fill="CCCCCC"/>
            <w:vAlign w:val="center"/>
            <w:hideMark/>
          </w:tcPr>
          <w:p w14:paraId="5C5538F6"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406" w:type="dxa"/>
            <w:tcBorders>
              <w:top w:val="nil"/>
              <w:left w:val="nil"/>
              <w:bottom w:val="nil"/>
              <w:right w:val="nil"/>
            </w:tcBorders>
            <w:shd w:val="clear" w:color="000000" w:fill="CCCCCC"/>
            <w:vAlign w:val="center"/>
            <w:hideMark/>
          </w:tcPr>
          <w:p w14:paraId="4C7710DB"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240" w:type="dxa"/>
            <w:tcBorders>
              <w:top w:val="nil"/>
              <w:left w:val="nil"/>
              <w:bottom w:val="nil"/>
              <w:right w:val="single" w:sz="8" w:space="0" w:color="auto"/>
            </w:tcBorders>
            <w:shd w:val="clear" w:color="000000" w:fill="CCCCCC"/>
            <w:vAlign w:val="center"/>
            <w:hideMark/>
          </w:tcPr>
          <w:p w14:paraId="0ECE7315"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r>
      <w:tr w:rsidR="00EB5371" w:rsidRPr="00593F10" w14:paraId="1D98D46B" w14:textId="77777777" w:rsidTr="00677128">
        <w:trPr>
          <w:trHeight w:val="305"/>
        </w:trPr>
        <w:tc>
          <w:tcPr>
            <w:tcW w:w="1472" w:type="dxa"/>
            <w:tcBorders>
              <w:top w:val="nil"/>
              <w:left w:val="single" w:sz="4" w:space="0" w:color="auto"/>
              <w:bottom w:val="nil"/>
              <w:right w:val="nil"/>
            </w:tcBorders>
            <w:vAlign w:val="center"/>
            <w:hideMark/>
          </w:tcPr>
          <w:p w14:paraId="7F988E15" w14:textId="77777777" w:rsidR="00EB5371" w:rsidRPr="00593F10" w:rsidRDefault="00EB5371" w:rsidP="00EB5371">
            <w:pPr>
              <w:jc w:val="right"/>
              <w:rPr>
                <w:rFonts w:ascii="Arial" w:hAnsi="Arial" w:cs="Arial"/>
                <w:color w:val="000000"/>
                <w:sz w:val="22"/>
                <w:szCs w:val="22"/>
              </w:rPr>
            </w:pPr>
            <w:r w:rsidRPr="00593F10">
              <w:rPr>
                <w:rFonts w:ascii="Arial" w:hAnsi="Arial" w:cs="Arial"/>
                <w:color w:val="000000"/>
                <w:sz w:val="22"/>
                <w:szCs w:val="22"/>
              </w:rPr>
              <w:t>0</w:t>
            </w:r>
          </w:p>
        </w:tc>
        <w:tc>
          <w:tcPr>
            <w:tcW w:w="1401" w:type="dxa"/>
            <w:tcBorders>
              <w:top w:val="nil"/>
              <w:left w:val="nil"/>
              <w:bottom w:val="nil"/>
              <w:right w:val="nil"/>
            </w:tcBorders>
            <w:vAlign w:val="center"/>
            <w:hideMark/>
          </w:tcPr>
          <w:p w14:paraId="1A8FB504" w14:textId="0A955B35"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40</w:t>
            </w:r>
          </w:p>
        </w:tc>
        <w:tc>
          <w:tcPr>
            <w:tcW w:w="1446" w:type="dxa"/>
            <w:tcBorders>
              <w:top w:val="nil"/>
              <w:left w:val="nil"/>
              <w:bottom w:val="nil"/>
              <w:right w:val="nil"/>
            </w:tcBorders>
            <w:vAlign w:val="center"/>
            <w:hideMark/>
          </w:tcPr>
          <w:p w14:paraId="162017D3" w14:textId="20A7860D"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(0)</w:t>
            </w:r>
          </w:p>
        </w:tc>
        <w:tc>
          <w:tcPr>
            <w:tcW w:w="1873" w:type="dxa"/>
            <w:tcBorders>
              <w:top w:val="nil"/>
              <w:left w:val="nil"/>
              <w:bottom w:val="nil"/>
              <w:right w:val="nil"/>
            </w:tcBorders>
            <w:vAlign w:val="center"/>
            <w:hideMark/>
          </w:tcPr>
          <w:p w14:paraId="683EA40F" w14:textId="349FAF3C"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40</w:t>
            </w:r>
          </w:p>
        </w:tc>
        <w:tc>
          <w:tcPr>
            <w:tcW w:w="4006" w:type="dxa"/>
            <w:tcBorders>
              <w:top w:val="nil"/>
              <w:left w:val="nil"/>
              <w:bottom w:val="nil"/>
              <w:right w:val="nil"/>
            </w:tcBorders>
            <w:shd w:val="clear" w:color="000000" w:fill="CCCCCC"/>
            <w:vAlign w:val="center"/>
            <w:hideMark/>
          </w:tcPr>
          <w:p w14:paraId="4628CC4F" w14:textId="77777777" w:rsidR="00EB5371" w:rsidRPr="00593F10" w:rsidRDefault="00EB5371" w:rsidP="00EB5371">
            <w:pPr>
              <w:rPr>
                <w:rFonts w:ascii="Arial" w:hAnsi="Arial" w:cs="Arial"/>
                <w:color w:val="000000"/>
                <w:sz w:val="22"/>
                <w:szCs w:val="22"/>
              </w:rPr>
            </w:pPr>
            <w:r w:rsidRPr="00593F10">
              <w:rPr>
                <w:rFonts w:ascii="Arial" w:hAnsi="Arial" w:cs="Arial"/>
                <w:color w:val="000000"/>
                <w:sz w:val="22"/>
                <w:szCs w:val="22"/>
              </w:rPr>
              <w:t>Office of the PCC</w:t>
            </w:r>
          </w:p>
        </w:tc>
        <w:tc>
          <w:tcPr>
            <w:tcW w:w="1420" w:type="dxa"/>
            <w:tcBorders>
              <w:top w:val="nil"/>
              <w:left w:val="nil"/>
              <w:bottom w:val="nil"/>
              <w:right w:val="nil"/>
            </w:tcBorders>
            <w:shd w:val="clear" w:color="000000" w:fill="CCCCCC"/>
            <w:vAlign w:val="center"/>
            <w:hideMark/>
          </w:tcPr>
          <w:p w14:paraId="2632CC04" w14:textId="60B8EF44"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0</w:t>
            </w:r>
          </w:p>
        </w:tc>
        <w:tc>
          <w:tcPr>
            <w:tcW w:w="1366" w:type="dxa"/>
            <w:tcBorders>
              <w:top w:val="nil"/>
              <w:left w:val="nil"/>
              <w:bottom w:val="nil"/>
              <w:right w:val="nil"/>
            </w:tcBorders>
            <w:shd w:val="clear" w:color="000000" w:fill="CCCCCC"/>
            <w:vAlign w:val="center"/>
            <w:hideMark/>
          </w:tcPr>
          <w:p w14:paraId="05C97CB7" w14:textId="2B1B52B8"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(292)</w:t>
            </w:r>
          </w:p>
        </w:tc>
        <w:tc>
          <w:tcPr>
            <w:tcW w:w="1406" w:type="dxa"/>
            <w:tcBorders>
              <w:top w:val="nil"/>
              <w:left w:val="nil"/>
              <w:bottom w:val="nil"/>
              <w:right w:val="nil"/>
            </w:tcBorders>
            <w:shd w:val="clear" w:color="000000" w:fill="CCCCCC"/>
            <w:vAlign w:val="center"/>
            <w:hideMark/>
          </w:tcPr>
          <w:p w14:paraId="1DC221FE" w14:textId="272713ED"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8</w:t>
            </w:r>
          </w:p>
        </w:tc>
        <w:tc>
          <w:tcPr>
            <w:tcW w:w="1240" w:type="dxa"/>
            <w:tcBorders>
              <w:top w:val="nil"/>
              <w:left w:val="nil"/>
              <w:bottom w:val="nil"/>
              <w:right w:val="single" w:sz="8" w:space="0" w:color="auto"/>
            </w:tcBorders>
            <w:shd w:val="clear" w:color="000000" w:fill="CCCCCC"/>
            <w:vAlign w:val="center"/>
            <w:hideMark/>
          </w:tcPr>
          <w:p w14:paraId="3B9ED8E0" w14:textId="6A09A21A"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(284)</w:t>
            </w:r>
          </w:p>
        </w:tc>
      </w:tr>
      <w:tr w:rsidR="00EB5371" w:rsidRPr="00593F10" w14:paraId="728D870C" w14:textId="77777777" w:rsidTr="00677128">
        <w:trPr>
          <w:trHeight w:val="305"/>
        </w:trPr>
        <w:tc>
          <w:tcPr>
            <w:tcW w:w="1472" w:type="dxa"/>
            <w:tcBorders>
              <w:top w:val="nil"/>
              <w:left w:val="single" w:sz="4" w:space="0" w:color="auto"/>
              <w:bottom w:val="nil"/>
              <w:right w:val="nil"/>
            </w:tcBorders>
            <w:vAlign w:val="center"/>
            <w:hideMark/>
          </w:tcPr>
          <w:p w14:paraId="0B19E0A5" w14:textId="77777777" w:rsidR="00EB5371" w:rsidRPr="00593F10" w:rsidRDefault="00EB5371" w:rsidP="00EB5371">
            <w:pPr>
              <w:jc w:val="right"/>
              <w:rPr>
                <w:rFonts w:ascii="Arial" w:hAnsi="Arial" w:cs="Arial"/>
                <w:color w:val="000000"/>
                <w:sz w:val="22"/>
                <w:szCs w:val="22"/>
              </w:rPr>
            </w:pPr>
            <w:r w:rsidRPr="00593F10">
              <w:rPr>
                <w:rFonts w:ascii="Arial" w:hAnsi="Arial" w:cs="Arial"/>
                <w:color w:val="000000"/>
                <w:sz w:val="22"/>
                <w:szCs w:val="22"/>
              </w:rPr>
              <w:t>0</w:t>
            </w:r>
          </w:p>
        </w:tc>
        <w:tc>
          <w:tcPr>
            <w:tcW w:w="1401" w:type="dxa"/>
            <w:tcBorders>
              <w:top w:val="nil"/>
              <w:left w:val="nil"/>
              <w:bottom w:val="nil"/>
              <w:right w:val="nil"/>
            </w:tcBorders>
            <w:vAlign w:val="center"/>
            <w:hideMark/>
          </w:tcPr>
          <w:p w14:paraId="7ACBD043" w14:textId="1C106D10"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0</w:t>
            </w:r>
          </w:p>
        </w:tc>
        <w:tc>
          <w:tcPr>
            <w:tcW w:w="1446" w:type="dxa"/>
            <w:tcBorders>
              <w:top w:val="nil"/>
              <w:left w:val="nil"/>
              <w:bottom w:val="nil"/>
              <w:right w:val="nil"/>
            </w:tcBorders>
            <w:vAlign w:val="center"/>
            <w:hideMark/>
          </w:tcPr>
          <w:p w14:paraId="78018EA0" w14:textId="77777777" w:rsidR="00EB5371" w:rsidRPr="00593F10" w:rsidRDefault="00EB5371" w:rsidP="00EB5371">
            <w:pPr>
              <w:jc w:val="right"/>
              <w:rPr>
                <w:rFonts w:ascii="Arial" w:hAnsi="Arial" w:cs="Arial"/>
                <w:color w:val="000000"/>
                <w:sz w:val="22"/>
                <w:szCs w:val="22"/>
              </w:rPr>
            </w:pPr>
            <w:r w:rsidRPr="00593F10">
              <w:rPr>
                <w:rFonts w:ascii="Arial" w:hAnsi="Arial" w:cs="Arial"/>
                <w:color w:val="000000"/>
                <w:sz w:val="22"/>
                <w:szCs w:val="22"/>
              </w:rPr>
              <w:t>0</w:t>
            </w:r>
          </w:p>
        </w:tc>
        <w:tc>
          <w:tcPr>
            <w:tcW w:w="1873" w:type="dxa"/>
            <w:tcBorders>
              <w:top w:val="nil"/>
              <w:left w:val="nil"/>
              <w:bottom w:val="nil"/>
              <w:right w:val="nil"/>
            </w:tcBorders>
            <w:vAlign w:val="center"/>
            <w:hideMark/>
          </w:tcPr>
          <w:p w14:paraId="6EC98CBA" w14:textId="1928A3ED"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0</w:t>
            </w:r>
          </w:p>
        </w:tc>
        <w:tc>
          <w:tcPr>
            <w:tcW w:w="4006" w:type="dxa"/>
            <w:tcBorders>
              <w:top w:val="nil"/>
              <w:left w:val="nil"/>
              <w:bottom w:val="nil"/>
              <w:right w:val="nil"/>
            </w:tcBorders>
            <w:shd w:val="clear" w:color="000000" w:fill="CCCCCC"/>
            <w:vAlign w:val="center"/>
            <w:hideMark/>
          </w:tcPr>
          <w:p w14:paraId="4528BE78" w14:textId="0C1B633E" w:rsidR="00EB5371" w:rsidRPr="00593F10" w:rsidRDefault="0081765F" w:rsidP="00EB5371">
            <w:pPr>
              <w:rPr>
                <w:rFonts w:ascii="Arial" w:hAnsi="Arial" w:cs="Arial"/>
                <w:color w:val="000000"/>
                <w:sz w:val="22"/>
                <w:szCs w:val="22"/>
              </w:rPr>
            </w:pPr>
            <w:r>
              <w:rPr>
                <w:rFonts w:ascii="Arial" w:hAnsi="Arial" w:cs="Arial"/>
                <w:color w:val="000000"/>
                <w:sz w:val="22"/>
                <w:szCs w:val="22"/>
              </w:rPr>
              <w:t>Prevention</w:t>
            </w:r>
          </w:p>
        </w:tc>
        <w:tc>
          <w:tcPr>
            <w:tcW w:w="1420" w:type="dxa"/>
            <w:tcBorders>
              <w:top w:val="nil"/>
              <w:left w:val="nil"/>
              <w:bottom w:val="nil"/>
              <w:right w:val="nil"/>
            </w:tcBorders>
            <w:shd w:val="clear" w:color="000000" w:fill="CCCCCC"/>
            <w:vAlign w:val="center"/>
            <w:hideMark/>
          </w:tcPr>
          <w:p w14:paraId="471FE805" w14:textId="2E03D9E4"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0</w:t>
            </w:r>
          </w:p>
        </w:tc>
        <w:tc>
          <w:tcPr>
            <w:tcW w:w="1366" w:type="dxa"/>
            <w:tcBorders>
              <w:top w:val="nil"/>
              <w:left w:val="nil"/>
              <w:bottom w:val="nil"/>
              <w:right w:val="nil"/>
            </w:tcBorders>
            <w:shd w:val="clear" w:color="000000" w:fill="CCCCCC"/>
            <w:vAlign w:val="center"/>
            <w:hideMark/>
          </w:tcPr>
          <w:p w14:paraId="2E14ED45" w14:textId="5574C223"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(30)</w:t>
            </w:r>
          </w:p>
        </w:tc>
        <w:tc>
          <w:tcPr>
            <w:tcW w:w="1406" w:type="dxa"/>
            <w:tcBorders>
              <w:top w:val="nil"/>
              <w:left w:val="nil"/>
              <w:bottom w:val="nil"/>
              <w:right w:val="nil"/>
            </w:tcBorders>
            <w:shd w:val="clear" w:color="000000" w:fill="CCCCCC"/>
            <w:vAlign w:val="center"/>
            <w:hideMark/>
          </w:tcPr>
          <w:p w14:paraId="73DF47A8" w14:textId="2ADD5B3E"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1</w:t>
            </w:r>
          </w:p>
        </w:tc>
        <w:tc>
          <w:tcPr>
            <w:tcW w:w="1240" w:type="dxa"/>
            <w:tcBorders>
              <w:top w:val="nil"/>
              <w:left w:val="nil"/>
              <w:bottom w:val="nil"/>
              <w:right w:val="single" w:sz="8" w:space="0" w:color="auto"/>
            </w:tcBorders>
            <w:shd w:val="clear" w:color="000000" w:fill="CCCCCC"/>
            <w:vAlign w:val="center"/>
            <w:hideMark/>
          </w:tcPr>
          <w:p w14:paraId="57CCDED5" w14:textId="309C74F2"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(29)</w:t>
            </w:r>
          </w:p>
        </w:tc>
      </w:tr>
      <w:tr w:rsidR="00EB5371" w:rsidRPr="00593F10" w14:paraId="466350B0" w14:textId="77777777" w:rsidTr="00677128">
        <w:trPr>
          <w:trHeight w:val="305"/>
        </w:trPr>
        <w:tc>
          <w:tcPr>
            <w:tcW w:w="1472" w:type="dxa"/>
            <w:tcBorders>
              <w:top w:val="nil"/>
              <w:left w:val="single" w:sz="4" w:space="0" w:color="auto"/>
              <w:bottom w:val="nil"/>
              <w:right w:val="nil"/>
            </w:tcBorders>
            <w:vAlign w:val="center"/>
            <w:hideMark/>
          </w:tcPr>
          <w:p w14:paraId="3A82C009" w14:textId="77777777" w:rsidR="00EB5371" w:rsidRPr="00593F10" w:rsidRDefault="00EB5371" w:rsidP="00EB5371">
            <w:pPr>
              <w:jc w:val="right"/>
              <w:rPr>
                <w:rFonts w:ascii="Arial" w:hAnsi="Arial" w:cs="Arial"/>
                <w:color w:val="000000"/>
                <w:sz w:val="22"/>
                <w:szCs w:val="22"/>
              </w:rPr>
            </w:pPr>
            <w:r w:rsidRPr="00593F10">
              <w:rPr>
                <w:rFonts w:ascii="Arial" w:hAnsi="Arial" w:cs="Arial"/>
                <w:color w:val="000000"/>
                <w:sz w:val="22"/>
                <w:szCs w:val="22"/>
              </w:rPr>
              <w:t>0</w:t>
            </w:r>
          </w:p>
        </w:tc>
        <w:tc>
          <w:tcPr>
            <w:tcW w:w="1401" w:type="dxa"/>
            <w:tcBorders>
              <w:top w:val="nil"/>
              <w:left w:val="nil"/>
              <w:bottom w:val="nil"/>
              <w:right w:val="nil"/>
            </w:tcBorders>
            <w:vAlign w:val="center"/>
            <w:hideMark/>
          </w:tcPr>
          <w:p w14:paraId="450DE9AB" w14:textId="04C48FE9"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5</w:t>
            </w:r>
          </w:p>
        </w:tc>
        <w:tc>
          <w:tcPr>
            <w:tcW w:w="1446" w:type="dxa"/>
            <w:tcBorders>
              <w:top w:val="nil"/>
              <w:left w:val="nil"/>
              <w:bottom w:val="nil"/>
              <w:right w:val="nil"/>
            </w:tcBorders>
            <w:vAlign w:val="center"/>
            <w:hideMark/>
          </w:tcPr>
          <w:p w14:paraId="41CA1B24" w14:textId="0B905FEC"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w:t>
            </w:r>
            <w:r w:rsidRPr="00593F10">
              <w:rPr>
                <w:rFonts w:ascii="Arial" w:hAnsi="Arial" w:cs="Arial"/>
                <w:color w:val="000000"/>
                <w:sz w:val="22"/>
                <w:szCs w:val="22"/>
              </w:rPr>
              <w:t>0</w:t>
            </w:r>
            <w:r>
              <w:rPr>
                <w:rFonts w:ascii="Arial" w:hAnsi="Arial" w:cs="Arial"/>
                <w:color w:val="000000"/>
                <w:sz w:val="22"/>
                <w:szCs w:val="22"/>
              </w:rPr>
              <w:t>)</w:t>
            </w:r>
          </w:p>
        </w:tc>
        <w:tc>
          <w:tcPr>
            <w:tcW w:w="1873" w:type="dxa"/>
            <w:tcBorders>
              <w:top w:val="nil"/>
              <w:left w:val="nil"/>
              <w:bottom w:val="nil"/>
              <w:right w:val="nil"/>
            </w:tcBorders>
            <w:vAlign w:val="center"/>
            <w:hideMark/>
          </w:tcPr>
          <w:p w14:paraId="017FFBA4" w14:textId="3F54EB17"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5</w:t>
            </w:r>
          </w:p>
        </w:tc>
        <w:tc>
          <w:tcPr>
            <w:tcW w:w="4006" w:type="dxa"/>
            <w:tcBorders>
              <w:top w:val="nil"/>
              <w:left w:val="nil"/>
              <w:bottom w:val="nil"/>
              <w:right w:val="nil"/>
            </w:tcBorders>
            <w:shd w:val="clear" w:color="000000" w:fill="CCCCCC"/>
            <w:vAlign w:val="center"/>
            <w:hideMark/>
          </w:tcPr>
          <w:p w14:paraId="25E5619A" w14:textId="77777777" w:rsidR="00EB5371" w:rsidRPr="00593F10" w:rsidRDefault="00EB5371" w:rsidP="00EB5371">
            <w:pPr>
              <w:rPr>
                <w:rFonts w:ascii="Arial" w:hAnsi="Arial" w:cs="Arial"/>
                <w:color w:val="000000"/>
                <w:sz w:val="22"/>
                <w:szCs w:val="22"/>
              </w:rPr>
            </w:pPr>
            <w:r w:rsidRPr="00593F10">
              <w:rPr>
                <w:rFonts w:ascii="Arial" w:hAnsi="Arial" w:cs="Arial"/>
                <w:color w:val="000000"/>
                <w:sz w:val="22"/>
                <w:szCs w:val="22"/>
              </w:rPr>
              <w:t>Victim and Domestic Abuse services</w:t>
            </w:r>
          </w:p>
        </w:tc>
        <w:tc>
          <w:tcPr>
            <w:tcW w:w="1420" w:type="dxa"/>
            <w:tcBorders>
              <w:top w:val="nil"/>
              <w:left w:val="nil"/>
              <w:bottom w:val="nil"/>
              <w:right w:val="nil"/>
            </w:tcBorders>
            <w:shd w:val="clear" w:color="000000" w:fill="CCCCCC"/>
            <w:vAlign w:val="center"/>
            <w:hideMark/>
          </w:tcPr>
          <w:p w14:paraId="6BDE0C10" w14:textId="7E741EA9"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0</w:t>
            </w:r>
          </w:p>
        </w:tc>
        <w:tc>
          <w:tcPr>
            <w:tcW w:w="1366" w:type="dxa"/>
            <w:tcBorders>
              <w:top w:val="nil"/>
              <w:left w:val="nil"/>
              <w:bottom w:val="nil"/>
              <w:right w:val="nil"/>
            </w:tcBorders>
            <w:shd w:val="clear" w:color="000000" w:fill="CCCCCC"/>
            <w:vAlign w:val="center"/>
            <w:hideMark/>
          </w:tcPr>
          <w:p w14:paraId="4081B337" w14:textId="0EE9E65D"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(45)</w:t>
            </w:r>
          </w:p>
        </w:tc>
        <w:tc>
          <w:tcPr>
            <w:tcW w:w="1406" w:type="dxa"/>
            <w:tcBorders>
              <w:top w:val="nil"/>
              <w:left w:val="nil"/>
              <w:bottom w:val="nil"/>
              <w:right w:val="nil"/>
            </w:tcBorders>
            <w:shd w:val="clear" w:color="000000" w:fill="CCCCCC"/>
            <w:vAlign w:val="center"/>
            <w:hideMark/>
          </w:tcPr>
          <w:p w14:paraId="4AC52EB4" w14:textId="69AE2360"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1</w:t>
            </w:r>
          </w:p>
        </w:tc>
        <w:tc>
          <w:tcPr>
            <w:tcW w:w="1240" w:type="dxa"/>
            <w:tcBorders>
              <w:top w:val="nil"/>
              <w:left w:val="nil"/>
              <w:bottom w:val="nil"/>
              <w:right w:val="single" w:sz="8" w:space="0" w:color="auto"/>
            </w:tcBorders>
            <w:shd w:val="clear" w:color="000000" w:fill="CCCCCC"/>
            <w:vAlign w:val="center"/>
            <w:hideMark/>
          </w:tcPr>
          <w:p w14:paraId="099D948C" w14:textId="29B5B4EA"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(44)</w:t>
            </w:r>
          </w:p>
        </w:tc>
      </w:tr>
      <w:tr w:rsidR="00EB5371" w:rsidRPr="00593F10" w14:paraId="6B64D697" w14:textId="77777777" w:rsidTr="00677128">
        <w:trPr>
          <w:trHeight w:val="320"/>
        </w:trPr>
        <w:tc>
          <w:tcPr>
            <w:tcW w:w="1472" w:type="dxa"/>
            <w:tcBorders>
              <w:top w:val="nil"/>
              <w:left w:val="single" w:sz="4" w:space="0" w:color="auto"/>
              <w:bottom w:val="nil"/>
              <w:right w:val="nil"/>
            </w:tcBorders>
            <w:vAlign w:val="center"/>
            <w:hideMark/>
          </w:tcPr>
          <w:p w14:paraId="6B1B505E" w14:textId="1C47A544"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21</w:t>
            </w:r>
            <w:r w:rsidRPr="00593F10">
              <w:rPr>
                <w:rFonts w:ascii="Arial" w:hAnsi="Arial" w:cs="Arial"/>
                <w:color w:val="000000"/>
                <w:sz w:val="22"/>
                <w:szCs w:val="22"/>
              </w:rPr>
              <w:t>,</w:t>
            </w:r>
            <w:r>
              <w:rPr>
                <w:rFonts w:ascii="Arial" w:hAnsi="Arial" w:cs="Arial"/>
                <w:color w:val="000000"/>
                <w:sz w:val="22"/>
                <w:szCs w:val="22"/>
              </w:rPr>
              <w:t>575</w:t>
            </w:r>
          </w:p>
        </w:tc>
        <w:tc>
          <w:tcPr>
            <w:tcW w:w="1401" w:type="dxa"/>
            <w:tcBorders>
              <w:top w:val="nil"/>
              <w:left w:val="nil"/>
              <w:bottom w:val="nil"/>
              <w:right w:val="nil"/>
            </w:tcBorders>
            <w:vAlign w:val="center"/>
            <w:hideMark/>
          </w:tcPr>
          <w:p w14:paraId="11E71D96" w14:textId="1A4BBD57"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5</w:t>
            </w:r>
          </w:p>
        </w:tc>
        <w:tc>
          <w:tcPr>
            <w:tcW w:w="1446" w:type="dxa"/>
            <w:tcBorders>
              <w:top w:val="nil"/>
              <w:left w:val="nil"/>
              <w:bottom w:val="nil"/>
              <w:right w:val="nil"/>
            </w:tcBorders>
            <w:vAlign w:val="center"/>
            <w:hideMark/>
          </w:tcPr>
          <w:p w14:paraId="6A66CBA5" w14:textId="77777777" w:rsidR="00EB5371" w:rsidRPr="00593F10" w:rsidRDefault="00EB5371" w:rsidP="00EB5371">
            <w:pPr>
              <w:jc w:val="right"/>
              <w:rPr>
                <w:rFonts w:ascii="Arial" w:hAnsi="Arial" w:cs="Arial"/>
                <w:color w:val="000000"/>
                <w:sz w:val="22"/>
                <w:szCs w:val="22"/>
              </w:rPr>
            </w:pPr>
            <w:r w:rsidRPr="00593F10">
              <w:rPr>
                <w:rFonts w:ascii="Arial" w:hAnsi="Arial" w:cs="Arial"/>
                <w:color w:val="000000"/>
                <w:sz w:val="22"/>
                <w:szCs w:val="22"/>
              </w:rPr>
              <w:t>0</w:t>
            </w:r>
          </w:p>
        </w:tc>
        <w:tc>
          <w:tcPr>
            <w:tcW w:w="1873" w:type="dxa"/>
            <w:tcBorders>
              <w:top w:val="nil"/>
              <w:left w:val="nil"/>
              <w:bottom w:val="nil"/>
              <w:right w:val="nil"/>
            </w:tcBorders>
            <w:vAlign w:val="center"/>
            <w:hideMark/>
          </w:tcPr>
          <w:p w14:paraId="049F7613" w14:textId="2CC5E7A8"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21</w:t>
            </w:r>
            <w:r w:rsidRPr="00593F10">
              <w:rPr>
                <w:rFonts w:ascii="Arial" w:hAnsi="Arial" w:cs="Arial"/>
                <w:color w:val="000000"/>
                <w:sz w:val="22"/>
                <w:szCs w:val="22"/>
              </w:rPr>
              <w:t>,</w:t>
            </w:r>
            <w:r>
              <w:rPr>
                <w:rFonts w:ascii="Arial" w:hAnsi="Arial" w:cs="Arial"/>
                <w:color w:val="000000"/>
                <w:sz w:val="22"/>
                <w:szCs w:val="22"/>
              </w:rPr>
              <w:t>580</w:t>
            </w:r>
          </w:p>
        </w:tc>
        <w:tc>
          <w:tcPr>
            <w:tcW w:w="4006" w:type="dxa"/>
            <w:tcBorders>
              <w:top w:val="nil"/>
              <w:left w:val="nil"/>
              <w:bottom w:val="nil"/>
              <w:right w:val="nil"/>
            </w:tcBorders>
            <w:shd w:val="clear" w:color="000000" w:fill="CCCCCC"/>
            <w:vAlign w:val="center"/>
            <w:hideMark/>
          </w:tcPr>
          <w:p w14:paraId="7481776A" w14:textId="77777777" w:rsidR="00EB5371" w:rsidRPr="00593F10" w:rsidRDefault="00EB5371" w:rsidP="00EB5371">
            <w:pPr>
              <w:rPr>
                <w:rFonts w:ascii="Arial" w:hAnsi="Arial" w:cs="Arial"/>
                <w:color w:val="000000"/>
                <w:sz w:val="22"/>
                <w:szCs w:val="22"/>
              </w:rPr>
            </w:pPr>
            <w:r w:rsidRPr="00593F10">
              <w:rPr>
                <w:rFonts w:ascii="Arial" w:hAnsi="Arial" w:cs="Arial"/>
                <w:color w:val="000000"/>
                <w:sz w:val="22"/>
                <w:szCs w:val="22"/>
              </w:rPr>
              <w:t>PCC Non-Devolved budgets</w:t>
            </w:r>
          </w:p>
        </w:tc>
        <w:tc>
          <w:tcPr>
            <w:tcW w:w="1420" w:type="dxa"/>
            <w:tcBorders>
              <w:top w:val="nil"/>
              <w:left w:val="nil"/>
              <w:bottom w:val="single" w:sz="8" w:space="0" w:color="auto"/>
              <w:right w:val="nil"/>
            </w:tcBorders>
            <w:shd w:val="clear" w:color="000000" w:fill="CCCCCC"/>
            <w:vAlign w:val="center"/>
            <w:hideMark/>
          </w:tcPr>
          <w:p w14:paraId="25CF0669" w14:textId="4969D1CE"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22,185</w:t>
            </w:r>
          </w:p>
        </w:tc>
        <w:tc>
          <w:tcPr>
            <w:tcW w:w="1366" w:type="dxa"/>
            <w:tcBorders>
              <w:top w:val="nil"/>
              <w:left w:val="nil"/>
              <w:bottom w:val="single" w:sz="8" w:space="0" w:color="auto"/>
              <w:right w:val="nil"/>
            </w:tcBorders>
            <w:shd w:val="clear" w:color="000000" w:fill="CCCCCC"/>
            <w:vAlign w:val="center"/>
            <w:hideMark/>
          </w:tcPr>
          <w:p w14:paraId="1235A903" w14:textId="2BFC7587"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377</w:t>
            </w:r>
          </w:p>
        </w:tc>
        <w:tc>
          <w:tcPr>
            <w:tcW w:w="1406" w:type="dxa"/>
            <w:tcBorders>
              <w:top w:val="nil"/>
              <w:left w:val="nil"/>
              <w:bottom w:val="single" w:sz="8" w:space="0" w:color="auto"/>
              <w:right w:val="nil"/>
            </w:tcBorders>
            <w:shd w:val="clear" w:color="000000" w:fill="CCCCCC"/>
            <w:vAlign w:val="center"/>
            <w:hideMark/>
          </w:tcPr>
          <w:p w14:paraId="2FA19AC7" w14:textId="124E789C"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0</w:t>
            </w:r>
          </w:p>
        </w:tc>
        <w:tc>
          <w:tcPr>
            <w:tcW w:w="1240" w:type="dxa"/>
            <w:tcBorders>
              <w:top w:val="nil"/>
              <w:left w:val="nil"/>
              <w:bottom w:val="single" w:sz="8" w:space="0" w:color="auto"/>
              <w:right w:val="single" w:sz="8" w:space="0" w:color="auto"/>
            </w:tcBorders>
            <w:shd w:val="clear" w:color="000000" w:fill="CCCCCC"/>
            <w:vAlign w:val="center"/>
            <w:hideMark/>
          </w:tcPr>
          <w:p w14:paraId="65BB9118" w14:textId="28C73A90"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22,562</w:t>
            </w:r>
          </w:p>
        </w:tc>
      </w:tr>
      <w:tr w:rsidR="00EB5371" w:rsidRPr="00593F10" w14:paraId="4AA2C4EF" w14:textId="77777777" w:rsidTr="00677128">
        <w:trPr>
          <w:trHeight w:val="305"/>
        </w:trPr>
        <w:tc>
          <w:tcPr>
            <w:tcW w:w="1472" w:type="dxa"/>
            <w:tcBorders>
              <w:top w:val="single" w:sz="8" w:space="0" w:color="auto"/>
              <w:left w:val="single" w:sz="4" w:space="0" w:color="auto"/>
              <w:bottom w:val="nil"/>
              <w:right w:val="nil"/>
            </w:tcBorders>
            <w:vAlign w:val="center"/>
            <w:hideMark/>
          </w:tcPr>
          <w:p w14:paraId="16895EFC" w14:textId="3FEB9832"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21</w:t>
            </w:r>
            <w:r w:rsidRPr="00593F10">
              <w:rPr>
                <w:rFonts w:ascii="Arial" w:hAnsi="Arial" w:cs="Arial"/>
                <w:b/>
                <w:bCs/>
                <w:color w:val="000000"/>
                <w:sz w:val="22"/>
                <w:szCs w:val="22"/>
              </w:rPr>
              <w:t>,</w:t>
            </w:r>
            <w:r>
              <w:rPr>
                <w:rFonts w:ascii="Arial" w:hAnsi="Arial" w:cs="Arial"/>
                <w:b/>
                <w:bCs/>
                <w:color w:val="000000"/>
                <w:sz w:val="22"/>
                <w:szCs w:val="22"/>
              </w:rPr>
              <w:t>575</w:t>
            </w:r>
          </w:p>
        </w:tc>
        <w:tc>
          <w:tcPr>
            <w:tcW w:w="1401" w:type="dxa"/>
            <w:tcBorders>
              <w:top w:val="single" w:sz="8" w:space="0" w:color="auto"/>
              <w:left w:val="nil"/>
              <w:bottom w:val="nil"/>
              <w:right w:val="nil"/>
            </w:tcBorders>
            <w:vAlign w:val="center"/>
            <w:hideMark/>
          </w:tcPr>
          <w:p w14:paraId="2F0DB467" w14:textId="15445608" w:rsidR="00EB5371" w:rsidRPr="00593F10" w:rsidRDefault="00EB5371" w:rsidP="00EB5371">
            <w:pPr>
              <w:jc w:val="right"/>
              <w:rPr>
                <w:rFonts w:ascii="Arial" w:hAnsi="Arial" w:cs="Arial"/>
                <w:b/>
                <w:bCs/>
                <w:color w:val="000000"/>
                <w:sz w:val="22"/>
                <w:szCs w:val="22"/>
              </w:rPr>
            </w:pPr>
            <w:r w:rsidRPr="00593F10">
              <w:rPr>
                <w:rFonts w:ascii="Arial" w:hAnsi="Arial" w:cs="Arial"/>
                <w:b/>
                <w:bCs/>
                <w:color w:val="000000"/>
                <w:sz w:val="22"/>
                <w:szCs w:val="22"/>
              </w:rPr>
              <w:t>5</w:t>
            </w:r>
            <w:r>
              <w:rPr>
                <w:rFonts w:ascii="Arial" w:hAnsi="Arial" w:cs="Arial"/>
                <w:b/>
                <w:bCs/>
                <w:color w:val="000000"/>
                <w:sz w:val="22"/>
                <w:szCs w:val="22"/>
              </w:rPr>
              <w:t>0</w:t>
            </w:r>
          </w:p>
        </w:tc>
        <w:tc>
          <w:tcPr>
            <w:tcW w:w="1446" w:type="dxa"/>
            <w:tcBorders>
              <w:top w:val="single" w:sz="8" w:space="0" w:color="auto"/>
              <w:left w:val="nil"/>
              <w:bottom w:val="nil"/>
              <w:right w:val="nil"/>
            </w:tcBorders>
            <w:vAlign w:val="center"/>
            <w:hideMark/>
          </w:tcPr>
          <w:p w14:paraId="3BCE9881" w14:textId="0E14D8C5"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(0)</w:t>
            </w:r>
          </w:p>
        </w:tc>
        <w:tc>
          <w:tcPr>
            <w:tcW w:w="1873" w:type="dxa"/>
            <w:tcBorders>
              <w:top w:val="single" w:sz="8" w:space="0" w:color="auto"/>
              <w:left w:val="nil"/>
              <w:bottom w:val="nil"/>
              <w:right w:val="nil"/>
            </w:tcBorders>
            <w:vAlign w:val="center"/>
            <w:hideMark/>
          </w:tcPr>
          <w:p w14:paraId="7FBD5278" w14:textId="2BB06CE4"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21</w:t>
            </w:r>
            <w:r w:rsidRPr="00593F10">
              <w:rPr>
                <w:rFonts w:ascii="Arial" w:hAnsi="Arial" w:cs="Arial"/>
                <w:b/>
                <w:bCs/>
                <w:color w:val="000000"/>
                <w:sz w:val="22"/>
                <w:szCs w:val="22"/>
              </w:rPr>
              <w:t>,</w:t>
            </w:r>
            <w:r>
              <w:rPr>
                <w:rFonts w:ascii="Arial" w:hAnsi="Arial" w:cs="Arial"/>
                <w:b/>
                <w:bCs/>
                <w:color w:val="000000"/>
                <w:sz w:val="22"/>
                <w:szCs w:val="22"/>
              </w:rPr>
              <w:t>624</w:t>
            </w:r>
          </w:p>
        </w:tc>
        <w:tc>
          <w:tcPr>
            <w:tcW w:w="4006" w:type="dxa"/>
            <w:tcBorders>
              <w:top w:val="nil"/>
              <w:left w:val="nil"/>
              <w:bottom w:val="nil"/>
              <w:right w:val="nil"/>
            </w:tcBorders>
            <w:shd w:val="clear" w:color="000000" w:fill="CCCCCC"/>
            <w:vAlign w:val="center"/>
            <w:hideMark/>
          </w:tcPr>
          <w:p w14:paraId="1D11BBFC" w14:textId="77777777" w:rsidR="00EB5371" w:rsidRPr="00593F10" w:rsidRDefault="00EB5371" w:rsidP="00EB5371">
            <w:pPr>
              <w:rPr>
                <w:rFonts w:ascii="Arial" w:hAnsi="Arial" w:cs="Arial"/>
                <w:b/>
                <w:bCs/>
                <w:color w:val="000000"/>
                <w:sz w:val="22"/>
                <w:szCs w:val="22"/>
              </w:rPr>
            </w:pPr>
            <w:r w:rsidRPr="00593F10">
              <w:rPr>
                <w:rFonts w:ascii="Arial" w:hAnsi="Arial" w:cs="Arial"/>
                <w:b/>
                <w:bCs/>
                <w:color w:val="000000"/>
                <w:sz w:val="22"/>
                <w:szCs w:val="22"/>
              </w:rPr>
              <w:t>Net Cost of Service</w:t>
            </w:r>
          </w:p>
        </w:tc>
        <w:tc>
          <w:tcPr>
            <w:tcW w:w="1420" w:type="dxa"/>
            <w:tcBorders>
              <w:top w:val="nil"/>
              <w:left w:val="nil"/>
              <w:bottom w:val="nil"/>
              <w:right w:val="nil"/>
            </w:tcBorders>
            <w:shd w:val="clear" w:color="000000" w:fill="CCCCCC"/>
            <w:vAlign w:val="center"/>
            <w:hideMark/>
          </w:tcPr>
          <w:p w14:paraId="4C6565B9" w14:textId="729D300B"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22,185</w:t>
            </w:r>
          </w:p>
        </w:tc>
        <w:tc>
          <w:tcPr>
            <w:tcW w:w="1366" w:type="dxa"/>
            <w:tcBorders>
              <w:top w:val="nil"/>
              <w:left w:val="nil"/>
              <w:bottom w:val="nil"/>
              <w:right w:val="nil"/>
            </w:tcBorders>
            <w:shd w:val="clear" w:color="000000" w:fill="CCCCCC"/>
            <w:vAlign w:val="center"/>
            <w:hideMark/>
          </w:tcPr>
          <w:p w14:paraId="68FC465E" w14:textId="76BFEA71"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10</w:t>
            </w:r>
          </w:p>
        </w:tc>
        <w:tc>
          <w:tcPr>
            <w:tcW w:w="1406" w:type="dxa"/>
            <w:tcBorders>
              <w:top w:val="nil"/>
              <w:left w:val="nil"/>
              <w:bottom w:val="nil"/>
              <w:right w:val="nil"/>
            </w:tcBorders>
            <w:shd w:val="clear" w:color="000000" w:fill="CCCCCC"/>
            <w:vAlign w:val="center"/>
            <w:hideMark/>
          </w:tcPr>
          <w:p w14:paraId="31246E06" w14:textId="68E9BC0B"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10</w:t>
            </w:r>
          </w:p>
        </w:tc>
        <w:tc>
          <w:tcPr>
            <w:tcW w:w="1240" w:type="dxa"/>
            <w:tcBorders>
              <w:top w:val="nil"/>
              <w:left w:val="nil"/>
              <w:bottom w:val="nil"/>
              <w:right w:val="single" w:sz="8" w:space="0" w:color="auto"/>
            </w:tcBorders>
            <w:shd w:val="clear" w:color="000000" w:fill="CCCCCC"/>
            <w:vAlign w:val="center"/>
            <w:hideMark/>
          </w:tcPr>
          <w:p w14:paraId="5D9DA8E8" w14:textId="4F867E42"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22,205</w:t>
            </w:r>
          </w:p>
        </w:tc>
      </w:tr>
      <w:tr w:rsidR="00EB5371" w:rsidRPr="00593F10" w14:paraId="7BB3BA74" w14:textId="77777777" w:rsidTr="00677128">
        <w:trPr>
          <w:trHeight w:val="596"/>
        </w:trPr>
        <w:tc>
          <w:tcPr>
            <w:tcW w:w="1472" w:type="dxa"/>
            <w:tcBorders>
              <w:top w:val="nil"/>
              <w:left w:val="single" w:sz="4" w:space="0" w:color="auto"/>
              <w:bottom w:val="single" w:sz="8" w:space="0" w:color="auto"/>
              <w:right w:val="nil"/>
            </w:tcBorders>
            <w:vAlign w:val="center"/>
            <w:hideMark/>
          </w:tcPr>
          <w:p w14:paraId="6169DE36" w14:textId="5A6214FC" w:rsidR="00EB5371" w:rsidRPr="00593F10" w:rsidRDefault="00EB5371" w:rsidP="00EB5371">
            <w:pPr>
              <w:jc w:val="right"/>
              <w:rPr>
                <w:rFonts w:ascii="Arial" w:hAnsi="Arial" w:cs="Arial"/>
                <w:color w:val="000000"/>
                <w:sz w:val="22"/>
                <w:szCs w:val="22"/>
              </w:rPr>
            </w:pPr>
            <w:r w:rsidRPr="00593F10">
              <w:rPr>
                <w:rFonts w:ascii="Arial" w:hAnsi="Arial" w:cs="Arial"/>
                <w:color w:val="000000"/>
                <w:sz w:val="22"/>
                <w:szCs w:val="22"/>
              </w:rPr>
              <w:t>(1</w:t>
            </w:r>
            <w:r>
              <w:rPr>
                <w:rFonts w:ascii="Arial" w:hAnsi="Arial" w:cs="Arial"/>
                <w:color w:val="000000"/>
                <w:sz w:val="22"/>
                <w:szCs w:val="22"/>
              </w:rPr>
              <w:t>5</w:t>
            </w:r>
            <w:r w:rsidRPr="00593F10">
              <w:rPr>
                <w:rFonts w:ascii="Arial" w:hAnsi="Arial" w:cs="Arial"/>
                <w:color w:val="000000"/>
                <w:sz w:val="22"/>
                <w:szCs w:val="22"/>
              </w:rPr>
              <w:t>,</w:t>
            </w:r>
            <w:r>
              <w:rPr>
                <w:rFonts w:ascii="Arial" w:hAnsi="Arial" w:cs="Arial"/>
                <w:color w:val="000000"/>
                <w:sz w:val="22"/>
                <w:szCs w:val="22"/>
              </w:rPr>
              <w:t>336</w:t>
            </w:r>
            <w:r w:rsidRPr="00593F10">
              <w:rPr>
                <w:rFonts w:ascii="Arial" w:hAnsi="Arial" w:cs="Arial"/>
                <w:color w:val="000000"/>
                <w:sz w:val="22"/>
                <w:szCs w:val="22"/>
              </w:rPr>
              <w:t>)</w:t>
            </w:r>
          </w:p>
        </w:tc>
        <w:tc>
          <w:tcPr>
            <w:tcW w:w="1401" w:type="dxa"/>
            <w:tcBorders>
              <w:top w:val="nil"/>
              <w:left w:val="nil"/>
              <w:bottom w:val="single" w:sz="8" w:space="0" w:color="auto"/>
              <w:right w:val="nil"/>
            </w:tcBorders>
            <w:vAlign w:val="center"/>
            <w:hideMark/>
          </w:tcPr>
          <w:p w14:paraId="357EB235" w14:textId="596F88F7"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(12)</w:t>
            </w:r>
          </w:p>
        </w:tc>
        <w:tc>
          <w:tcPr>
            <w:tcW w:w="1446" w:type="dxa"/>
            <w:tcBorders>
              <w:top w:val="nil"/>
              <w:left w:val="nil"/>
              <w:bottom w:val="single" w:sz="8" w:space="0" w:color="auto"/>
              <w:right w:val="nil"/>
            </w:tcBorders>
            <w:vAlign w:val="center"/>
            <w:hideMark/>
          </w:tcPr>
          <w:p w14:paraId="58876701" w14:textId="154FA108"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332</w:t>
            </w:r>
          </w:p>
        </w:tc>
        <w:tc>
          <w:tcPr>
            <w:tcW w:w="1873" w:type="dxa"/>
            <w:tcBorders>
              <w:top w:val="nil"/>
              <w:left w:val="nil"/>
              <w:bottom w:val="single" w:sz="8" w:space="0" w:color="auto"/>
              <w:right w:val="nil"/>
            </w:tcBorders>
            <w:vAlign w:val="center"/>
            <w:hideMark/>
          </w:tcPr>
          <w:p w14:paraId="5D8783B4" w14:textId="1740342B" w:rsidR="00EB5371" w:rsidRPr="00593F10" w:rsidRDefault="00EB5371" w:rsidP="00EB5371">
            <w:pPr>
              <w:jc w:val="right"/>
              <w:rPr>
                <w:rFonts w:ascii="Arial" w:hAnsi="Arial" w:cs="Arial"/>
                <w:color w:val="000000"/>
                <w:sz w:val="22"/>
                <w:szCs w:val="22"/>
              </w:rPr>
            </w:pPr>
            <w:r w:rsidRPr="00593F10">
              <w:rPr>
                <w:rFonts w:ascii="Arial" w:hAnsi="Arial" w:cs="Arial"/>
                <w:color w:val="000000"/>
                <w:sz w:val="22"/>
                <w:szCs w:val="22"/>
              </w:rPr>
              <w:t>(1</w:t>
            </w:r>
            <w:r>
              <w:rPr>
                <w:rFonts w:ascii="Arial" w:hAnsi="Arial" w:cs="Arial"/>
                <w:color w:val="000000"/>
                <w:sz w:val="22"/>
                <w:szCs w:val="22"/>
              </w:rPr>
              <w:t>5</w:t>
            </w:r>
            <w:r w:rsidRPr="00593F10">
              <w:rPr>
                <w:rFonts w:ascii="Arial" w:hAnsi="Arial" w:cs="Arial"/>
                <w:color w:val="000000"/>
                <w:sz w:val="22"/>
                <w:szCs w:val="22"/>
              </w:rPr>
              <w:t>,</w:t>
            </w:r>
            <w:r>
              <w:rPr>
                <w:rFonts w:ascii="Arial" w:hAnsi="Arial" w:cs="Arial"/>
                <w:color w:val="000000"/>
                <w:sz w:val="22"/>
                <w:szCs w:val="22"/>
              </w:rPr>
              <w:t>017</w:t>
            </w:r>
            <w:r w:rsidRPr="00593F10">
              <w:rPr>
                <w:rFonts w:ascii="Arial" w:hAnsi="Arial" w:cs="Arial"/>
                <w:color w:val="000000"/>
                <w:sz w:val="22"/>
                <w:szCs w:val="22"/>
              </w:rPr>
              <w:t>)</w:t>
            </w:r>
          </w:p>
        </w:tc>
        <w:tc>
          <w:tcPr>
            <w:tcW w:w="4006" w:type="dxa"/>
            <w:tcBorders>
              <w:top w:val="nil"/>
              <w:left w:val="nil"/>
              <w:bottom w:val="nil"/>
              <w:right w:val="nil"/>
            </w:tcBorders>
            <w:shd w:val="clear" w:color="000000" w:fill="CCCCCC"/>
            <w:vAlign w:val="center"/>
            <w:hideMark/>
          </w:tcPr>
          <w:p w14:paraId="32D47146" w14:textId="77777777" w:rsidR="00EB5371" w:rsidRPr="00593F10" w:rsidRDefault="00EB5371" w:rsidP="00EB5371">
            <w:pPr>
              <w:rPr>
                <w:rFonts w:ascii="Arial" w:hAnsi="Arial" w:cs="Arial"/>
                <w:color w:val="000000"/>
                <w:sz w:val="22"/>
                <w:szCs w:val="22"/>
              </w:rPr>
            </w:pPr>
            <w:r w:rsidRPr="00593F10">
              <w:rPr>
                <w:rFonts w:ascii="Arial" w:hAnsi="Arial" w:cs="Arial"/>
                <w:color w:val="000000"/>
                <w:sz w:val="22"/>
                <w:szCs w:val="22"/>
              </w:rPr>
              <w:t>Other income and expenditure from Expenditure and Funding Analysis</w:t>
            </w:r>
          </w:p>
        </w:tc>
        <w:tc>
          <w:tcPr>
            <w:tcW w:w="1420" w:type="dxa"/>
            <w:tcBorders>
              <w:top w:val="nil"/>
              <w:left w:val="nil"/>
              <w:bottom w:val="single" w:sz="8" w:space="0" w:color="auto"/>
              <w:right w:val="nil"/>
            </w:tcBorders>
            <w:shd w:val="clear" w:color="000000" w:fill="CCCCCC"/>
            <w:vAlign w:val="center"/>
            <w:hideMark/>
          </w:tcPr>
          <w:p w14:paraId="1B0A5EF4" w14:textId="124681A4"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(15,691)</w:t>
            </w:r>
          </w:p>
        </w:tc>
        <w:tc>
          <w:tcPr>
            <w:tcW w:w="1366" w:type="dxa"/>
            <w:tcBorders>
              <w:top w:val="nil"/>
              <w:left w:val="nil"/>
              <w:bottom w:val="single" w:sz="8" w:space="0" w:color="auto"/>
              <w:right w:val="nil"/>
            </w:tcBorders>
            <w:shd w:val="clear" w:color="000000" w:fill="CCCCCC"/>
            <w:vAlign w:val="center"/>
            <w:hideMark/>
          </w:tcPr>
          <w:p w14:paraId="77E965EB" w14:textId="27376DB0"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(119)</w:t>
            </w:r>
          </w:p>
        </w:tc>
        <w:tc>
          <w:tcPr>
            <w:tcW w:w="1406" w:type="dxa"/>
            <w:tcBorders>
              <w:top w:val="nil"/>
              <w:left w:val="nil"/>
              <w:bottom w:val="single" w:sz="8" w:space="0" w:color="auto"/>
              <w:right w:val="nil"/>
            </w:tcBorders>
            <w:shd w:val="clear" w:color="000000" w:fill="CCCCCC"/>
            <w:vAlign w:val="center"/>
            <w:hideMark/>
          </w:tcPr>
          <w:p w14:paraId="4FF7D9D0" w14:textId="52C43AA3"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(1,546)</w:t>
            </w:r>
          </w:p>
        </w:tc>
        <w:tc>
          <w:tcPr>
            <w:tcW w:w="1240" w:type="dxa"/>
            <w:tcBorders>
              <w:top w:val="nil"/>
              <w:left w:val="nil"/>
              <w:bottom w:val="single" w:sz="8" w:space="0" w:color="auto"/>
              <w:right w:val="single" w:sz="8" w:space="0" w:color="auto"/>
            </w:tcBorders>
            <w:shd w:val="clear" w:color="000000" w:fill="CCCCCC"/>
            <w:vAlign w:val="center"/>
            <w:hideMark/>
          </w:tcPr>
          <w:p w14:paraId="726BDAB3" w14:textId="23FE1D9E" w:rsidR="00EB5371" w:rsidRPr="00593F10" w:rsidRDefault="00EB5371" w:rsidP="00EB5371">
            <w:pPr>
              <w:jc w:val="right"/>
              <w:rPr>
                <w:rFonts w:ascii="Arial" w:hAnsi="Arial" w:cs="Arial"/>
                <w:color w:val="000000"/>
                <w:sz w:val="22"/>
                <w:szCs w:val="22"/>
              </w:rPr>
            </w:pPr>
            <w:r>
              <w:rPr>
                <w:rFonts w:ascii="Arial" w:hAnsi="Arial" w:cs="Arial"/>
                <w:color w:val="000000"/>
                <w:sz w:val="22"/>
                <w:szCs w:val="22"/>
              </w:rPr>
              <w:t>(17,356)</w:t>
            </w:r>
          </w:p>
        </w:tc>
      </w:tr>
      <w:tr w:rsidR="00EB5371" w:rsidRPr="00593F10" w14:paraId="69FB0A7E" w14:textId="77777777" w:rsidTr="00677128">
        <w:trPr>
          <w:trHeight w:val="932"/>
        </w:trPr>
        <w:tc>
          <w:tcPr>
            <w:tcW w:w="1472" w:type="dxa"/>
            <w:tcBorders>
              <w:top w:val="nil"/>
              <w:left w:val="single" w:sz="4" w:space="0" w:color="auto"/>
              <w:bottom w:val="single" w:sz="8" w:space="0" w:color="auto"/>
              <w:right w:val="nil"/>
            </w:tcBorders>
            <w:vAlign w:val="center"/>
            <w:hideMark/>
          </w:tcPr>
          <w:p w14:paraId="3904F82A" w14:textId="7BF4A890"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6</w:t>
            </w:r>
            <w:r w:rsidRPr="00593F10">
              <w:rPr>
                <w:rFonts w:ascii="Arial" w:hAnsi="Arial" w:cs="Arial"/>
                <w:b/>
                <w:bCs/>
                <w:color w:val="000000"/>
                <w:sz w:val="22"/>
                <w:szCs w:val="22"/>
              </w:rPr>
              <w:t>,</w:t>
            </w:r>
            <w:r>
              <w:rPr>
                <w:rFonts w:ascii="Arial" w:hAnsi="Arial" w:cs="Arial"/>
                <w:b/>
                <w:bCs/>
                <w:color w:val="000000"/>
                <w:sz w:val="22"/>
                <w:szCs w:val="22"/>
              </w:rPr>
              <w:t>238</w:t>
            </w:r>
          </w:p>
        </w:tc>
        <w:tc>
          <w:tcPr>
            <w:tcW w:w="1401" w:type="dxa"/>
            <w:tcBorders>
              <w:top w:val="nil"/>
              <w:left w:val="nil"/>
              <w:bottom w:val="single" w:sz="8" w:space="0" w:color="auto"/>
              <w:right w:val="nil"/>
            </w:tcBorders>
            <w:vAlign w:val="center"/>
            <w:hideMark/>
          </w:tcPr>
          <w:p w14:paraId="0EB13F33" w14:textId="32DE3EA2"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38</w:t>
            </w:r>
          </w:p>
        </w:tc>
        <w:tc>
          <w:tcPr>
            <w:tcW w:w="1446" w:type="dxa"/>
            <w:tcBorders>
              <w:top w:val="nil"/>
              <w:left w:val="nil"/>
              <w:bottom w:val="single" w:sz="8" w:space="0" w:color="auto"/>
              <w:right w:val="nil"/>
            </w:tcBorders>
            <w:vAlign w:val="center"/>
            <w:hideMark/>
          </w:tcPr>
          <w:p w14:paraId="40D23622" w14:textId="496C635D"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331</w:t>
            </w:r>
          </w:p>
        </w:tc>
        <w:tc>
          <w:tcPr>
            <w:tcW w:w="1873" w:type="dxa"/>
            <w:tcBorders>
              <w:top w:val="nil"/>
              <w:left w:val="nil"/>
              <w:bottom w:val="single" w:sz="8" w:space="0" w:color="auto"/>
              <w:right w:val="nil"/>
            </w:tcBorders>
            <w:vAlign w:val="center"/>
            <w:hideMark/>
          </w:tcPr>
          <w:p w14:paraId="5B738F71" w14:textId="54232597"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6</w:t>
            </w:r>
            <w:r w:rsidRPr="00593F10">
              <w:rPr>
                <w:rFonts w:ascii="Arial" w:hAnsi="Arial" w:cs="Arial"/>
                <w:b/>
                <w:bCs/>
                <w:color w:val="000000"/>
                <w:sz w:val="22"/>
                <w:szCs w:val="22"/>
              </w:rPr>
              <w:t>,</w:t>
            </w:r>
            <w:r>
              <w:rPr>
                <w:rFonts w:ascii="Arial" w:hAnsi="Arial" w:cs="Arial"/>
                <w:b/>
                <w:bCs/>
                <w:color w:val="000000"/>
                <w:sz w:val="22"/>
                <w:szCs w:val="22"/>
              </w:rPr>
              <w:t>607</w:t>
            </w:r>
          </w:p>
        </w:tc>
        <w:tc>
          <w:tcPr>
            <w:tcW w:w="4006" w:type="dxa"/>
            <w:tcBorders>
              <w:top w:val="nil"/>
              <w:left w:val="nil"/>
              <w:bottom w:val="single" w:sz="8" w:space="0" w:color="auto"/>
              <w:right w:val="nil"/>
            </w:tcBorders>
            <w:shd w:val="clear" w:color="000000" w:fill="CCCCCC"/>
            <w:vAlign w:val="center"/>
            <w:hideMark/>
          </w:tcPr>
          <w:p w14:paraId="7B52BAC3" w14:textId="77777777" w:rsidR="00EB5371" w:rsidRPr="00593F10" w:rsidRDefault="00EB5371" w:rsidP="00EB5371">
            <w:pPr>
              <w:rPr>
                <w:rFonts w:ascii="Arial" w:hAnsi="Arial" w:cs="Arial"/>
                <w:b/>
                <w:bCs/>
                <w:color w:val="000000"/>
                <w:sz w:val="22"/>
                <w:szCs w:val="22"/>
              </w:rPr>
            </w:pPr>
            <w:r w:rsidRPr="00593F10">
              <w:rPr>
                <w:rFonts w:ascii="Arial" w:hAnsi="Arial" w:cs="Arial"/>
                <w:b/>
                <w:bCs/>
                <w:color w:val="000000"/>
                <w:sz w:val="22"/>
                <w:szCs w:val="22"/>
              </w:rPr>
              <w:t>Difference between General Fund deficit and CIES Deficit on Provision of Services</w:t>
            </w:r>
          </w:p>
        </w:tc>
        <w:tc>
          <w:tcPr>
            <w:tcW w:w="1420" w:type="dxa"/>
            <w:tcBorders>
              <w:top w:val="nil"/>
              <w:left w:val="nil"/>
              <w:bottom w:val="single" w:sz="8" w:space="0" w:color="auto"/>
              <w:right w:val="nil"/>
            </w:tcBorders>
            <w:shd w:val="clear" w:color="000000" w:fill="CCCCCC"/>
            <w:vAlign w:val="center"/>
            <w:hideMark/>
          </w:tcPr>
          <w:p w14:paraId="2FD3CD71" w14:textId="62309E67"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6,494</w:t>
            </w:r>
          </w:p>
        </w:tc>
        <w:tc>
          <w:tcPr>
            <w:tcW w:w="1366" w:type="dxa"/>
            <w:tcBorders>
              <w:top w:val="nil"/>
              <w:left w:val="nil"/>
              <w:bottom w:val="single" w:sz="8" w:space="0" w:color="auto"/>
              <w:right w:val="nil"/>
            </w:tcBorders>
            <w:shd w:val="clear" w:color="000000" w:fill="CCCCCC"/>
            <w:vAlign w:val="center"/>
            <w:hideMark/>
          </w:tcPr>
          <w:p w14:paraId="6B7D329A" w14:textId="084FAE45"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(109)</w:t>
            </w:r>
          </w:p>
        </w:tc>
        <w:tc>
          <w:tcPr>
            <w:tcW w:w="1406" w:type="dxa"/>
            <w:tcBorders>
              <w:top w:val="nil"/>
              <w:left w:val="nil"/>
              <w:bottom w:val="single" w:sz="8" w:space="0" w:color="auto"/>
              <w:right w:val="nil"/>
            </w:tcBorders>
            <w:shd w:val="clear" w:color="000000" w:fill="CCCCCC"/>
            <w:vAlign w:val="center"/>
            <w:hideMark/>
          </w:tcPr>
          <w:p w14:paraId="3D0B33E2" w14:textId="0A74E100"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(1,536)</w:t>
            </w:r>
          </w:p>
        </w:tc>
        <w:tc>
          <w:tcPr>
            <w:tcW w:w="1240" w:type="dxa"/>
            <w:tcBorders>
              <w:top w:val="nil"/>
              <w:left w:val="nil"/>
              <w:bottom w:val="single" w:sz="8" w:space="0" w:color="auto"/>
              <w:right w:val="single" w:sz="8" w:space="0" w:color="auto"/>
            </w:tcBorders>
            <w:shd w:val="clear" w:color="000000" w:fill="CCCCCC"/>
            <w:vAlign w:val="center"/>
            <w:hideMark/>
          </w:tcPr>
          <w:p w14:paraId="71D23B57" w14:textId="2E6F5E2B" w:rsidR="00EB5371" w:rsidRPr="00593F10" w:rsidRDefault="00EB5371" w:rsidP="00EB5371">
            <w:pPr>
              <w:jc w:val="right"/>
              <w:rPr>
                <w:rFonts w:ascii="Arial" w:hAnsi="Arial" w:cs="Arial"/>
                <w:b/>
                <w:bCs/>
                <w:color w:val="000000"/>
                <w:sz w:val="22"/>
                <w:szCs w:val="22"/>
              </w:rPr>
            </w:pPr>
            <w:r>
              <w:rPr>
                <w:rFonts w:ascii="Arial" w:hAnsi="Arial" w:cs="Arial"/>
                <w:b/>
                <w:bCs/>
                <w:color w:val="000000"/>
                <w:sz w:val="22"/>
                <w:szCs w:val="22"/>
              </w:rPr>
              <w:t>4,849</w:t>
            </w:r>
          </w:p>
        </w:tc>
      </w:tr>
    </w:tbl>
    <w:p w14:paraId="625586B1" w14:textId="5298EE74" w:rsidR="003B74DA" w:rsidRPr="006243C5" w:rsidRDefault="003B74DA" w:rsidP="003B74DA">
      <w:pPr>
        <w:tabs>
          <w:tab w:val="right" w:pos="5760"/>
        </w:tabs>
        <w:ind w:left="720"/>
        <w:rPr>
          <w:rFonts w:ascii="Arial" w:hAnsi="Arial"/>
          <w:b/>
          <w:sz w:val="22"/>
          <w:szCs w:val="22"/>
        </w:rPr>
      </w:pPr>
    </w:p>
    <w:p w14:paraId="20142FE0" w14:textId="3A7C6E1C" w:rsidR="008D2EBA" w:rsidRDefault="008D2EBA" w:rsidP="003B74DA">
      <w:pPr>
        <w:tabs>
          <w:tab w:val="right" w:pos="5760"/>
        </w:tabs>
        <w:ind w:left="720"/>
      </w:pPr>
    </w:p>
    <w:p w14:paraId="061D1CAE" w14:textId="37866924" w:rsidR="003B74DA" w:rsidRDefault="003B74DA" w:rsidP="003B74DA">
      <w:pPr>
        <w:tabs>
          <w:tab w:val="right" w:pos="5760"/>
        </w:tabs>
        <w:ind w:left="720"/>
        <w:rPr>
          <w:rFonts w:ascii="Arial" w:hAnsi="Arial"/>
          <w:sz w:val="22"/>
          <w:szCs w:val="22"/>
          <w:u w:val="single"/>
        </w:rPr>
        <w:sectPr w:rsidR="003B74DA" w:rsidSect="006B0EA2">
          <w:headerReference w:type="even" r:id="rId56"/>
          <w:headerReference w:type="default" r:id="rId57"/>
          <w:headerReference w:type="first" r:id="rId58"/>
          <w:pgSz w:w="16838" w:h="11906" w:orient="landscape" w:code="9"/>
          <w:pgMar w:top="720" w:right="720" w:bottom="720" w:left="720" w:header="397" w:footer="709" w:gutter="0"/>
          <w:cols w:space="708"/>
          <w:docGrid w:linePitch="360"/>
        </w:sectPr>
      </w:pPr>
    </w:p>
    <w:p w14:paraId="25E1F3AA" w14:textId="77777777" w:rsidR="003B74DA" w:rsidRDefault="003B74DA" w:rsidP="003B74DA">
      <w:pPr>
        <w:tabs>
          <w:tab w:val="right" w:pos="5760"/>
        </w:tabs>
        <w:ind w:left="720"/>
        <w:jc w:val="both"/>
        <w:rPr>
          <w:rFonts w:ascii="Arial" w:hAnsi="Arial"/>
          <w:sz w:val="22"/>
          <w:szCs w:val="22"/>
          <w:u w:val="single"/>
        </w:rPr>
      </w:pPr>
    </w:p>
    <w:p w14:paraId="684D79ED" w14:textId="77777777" w:rsidR="003B74DA" w:rsidRPr="005B6F05" w:rsidRDefault="003B74DA" w:rsidP="003B74DA">
      <w:pPr>
        <w:tabs>
          <w:tab w:val="right" w:pos="5760"/>
        </w:tabs>
        <w:ind w:left="720"/>
        <w:jc w:val="both"/>
        <w:rPr>
          <w:rFonts w:ascii="Arial" w:hAnsi="Arial"/>
          <w:sz w:val="22"/>
          <w:szCs w:val="22"/>
          <w:u w:val="single"/>
        </w:rPr>
      </w:pPr>
      <w:r w:rsidRPr="005B6F05">
        <w:rPr>
          <w:rFonts w:ascii="Arial" w:hAnsi="Arial"/>
          <w:sz w:val="22"/>
          <w:szCs w:val="22"/>
          <w:u w:val="single"/>
        </w:rPr>
        <w:t>Note A – Adjustments for Capital Purposes</w:t>
      </w:r>
    </w:p>
    <w:p w14:paraId="7F4B69A3" w14:textId="77777777" w:rsidR="003B74DA" w:rsidRPr="005B6F05" w:rsidRDefault="003B74DA" w:rsidP="003B74DA">
      <w:pPr>
        <w:tabs>
          <w:tab w:val="right" w:pos="5760"/>
        </w:tabs>
        <w:ind w:left="720"/>
        <w:jc w:val="both"/>
        <w:rPr>
          <w:rFonts w:ascii="Arial" w:hAnsi="Arial"/>
          <w:sz w:val="22"/>
          <w:szCs w:val="22"/>
          <w:u w:val="single"/>
        </w:rPr>
      </w:pPr>
    </w:p>
    <w:p w14:paraId="0B208BAD" w14:textId="77777777" w:rsidR="003B74DA" w:rsidRPr="005B6F05" w:rsidRDefault="003B74DA" w:rsidP="003B74DA">
      <w:pPr>
        <w:tabs>
          <w:tab w:val="right" w:pos="5760"/>
        </w:tabs>
        <w:ind w:left="720"/>
        <w:jc w:val="both"/>
        <w:rPr>
          <w:rFonts w:ascii="Arial" w:hAnsi="Arial"/>
          <w:sz w:val="22"/>
          <w:szCs w:val="22"/>
        </w:rPr>
      </w:pPr>
      <w:r w:rsidRPr="005B6F05">
        <w:rPr>
          <w:rFonts w:ascii="Arial" w:hAnsi="Arial"/>
          <w:sz w:val="22"/>
          <w:szCs w:val="22"/>
        </w:rPr>
        <w:t>Adjustments for capital purposes –this column adds in depreciation, amortisation of intangible assets and revaluation gains and losses in the service lines and for:</w:t>
      </w:r>
    </w:p>
    <w:p w14:paraId="7A9B3041" w14:textId="1F6F3708" w:rsidR="003B74DA" w:rsidRPr="005B6F05" w:rsidRDefault="003B74DA" w:rsidP="004E2882">
      <w:pPr>
        <w:pStyle w:val="ListParagraph"/>
        <w:numPr>
          <w:ilvl w:val="0"/>
          <w:numId w:val="20"/>
        </w:numPr>
        <w:tabs>
          <w:tab w:val="right" w:pos="5760"/>
        </w:tabs>
        <w:jc w:val="both"/>
        <w:rPr>
          <w:rFonts w:ascii="Arial" w:hAnsi="Arial"/>
        </w:rPr>
      </w:pPr>
      <w:r w:rsidRPr="005B6F05">
        <w:rPr>
          <w:rFonts w:ascii="Arial" w:hAnsi="Arial"/>
        </w:rPr>
        <w:t xml:space="preserve">Other Operating Income and Expenditure – adjusts for capital disposals with a transfer of income on disposal of assets and the amounts written off for those assets. </w:t>
      </w:r>
      <w:r w:rsidR="00105039" w:rsidRPr="005B6F05">
        <w:rPr>
          <w:rFonts w:ascii="Arial" w:hAnsi="Arial"/>
        </w:rPr>
        <w:t>Also,</w:t>
      </w:r>
      <w:r w:rsidRPr="005B6F05">
        <w:rPr>
          <w:rFonts w:ascii="Arial" w:hAnsi="Arial"/>
        </w:rPr>
        <w:t xml:space="preserve"> any change in the fair value of assets held for sale is reflected in this note;</w:t>
      </w:r>
    </w:p>
    <w:p w14:paraId="2E972799" w14:textId="628F73EC" w:rsidR="003B74DA" w:rsidRPr="005B6F05" w:rsidRDefault="003B74DA" w:rsidP="004E2882">
      <w:pPr>
        <w:pStyle w:val="ListParagraph"/>
        <w:numPr>
          <w:ilvl w:val="0"/>
          <w:numId w:val="20"/>
        </w:numPr>
        <w:tabs>
          <w:tab w:val="right" w:pos="5760"/>
        </w:tabs>
        <w:jc w:val="both"/>
        <w:rPr>
          <w:rFonts w:ascii="Arial" w:hAnsi="Arial"/>
        </w:rPr>
      </w:pPr>
      <w:r w:rsidRPr="005B6F05">
        <w:rPr>
          <w:rFonts w:ascii="Arial" w:hAnsi="Arial"/>
        </w:rPr>
        <w:t xml:space="preserve">Financing and investment income and expenditure – the statutory charges for capital financing </w:t>
      </w:r>
      <w:r w:rsidR="001B442B" w:rsidRPr="005B6F05">
        <w:rPr>
          <w:rFonts w:ascii="Arial" w:hAnsi="Arial"/>
        </w:rPr>
        <w:t>i.e.</w:t>
      </w:r>
      <w:r w:rsidRPr="005B6F05">
        <w:rPr>
          <w:rFonts w:ascii="Arial" w:hAnsi="Arial"/>
        </w:rPr>
        <w:t xml:space="preserve"> Minimum Revenue Provision and other revenue contributions are deducted from other income and expenditure as these are not chargeable under generally accepted accounting practices;</w:t>
      </w:r>
    </w:p>
    <w:p w14:paraId="77D6E754" w14:textId="248FE9D2" w:rsidR="003B74DA" w:rsidRPr="005B6F05" w:rsidRDefault="003B74DA" w:rsidP="004E2882">
      <w:pPr>
        <w:pStyle w:val="ListParagraph"/>
        <w:numPr>
          <w:ilvl w:val="0"/>
          <w:numId w:val="20"/>
        </w:numPr>
        <w:tabs>
          <w:tab w:val="right" w:pos="5760"/>
        </w:tabs>
        <w:jc w:val="both"/>
        <w:rPr>
          <w:rFonts w:ascii="Arial" w:hAnsi="Arial"/>
        </w:rPr>
      </w:pPr>
      <w:r w:rsidRPr="005B6F05">
        <w:rPr>
          <w:rFonts w:ascii="Arial" w:hAnsi="Arial"/>
        </w:rPr>
        <w:t>Taxation and non-specific grant income and expenditure – capital grants are adjusted for income not chargeable under generally accepted accounting practices. Revenue grants are adjusted for those</w:t>
      </w:r>
      <w:r w:rsidR="00654564" w:rsidRPr="005B6F05">
        <w:rPr>
          <w:rFonts w:ascii="Arial" w:hAnsi="Arial"/>
        </w:rPr>
        <w:t xml:space="preserve"> </w:t>
      </w:r>
      <w:r w:rsidRPr="005B6F05">
        <w:rPr>
          <w:rFonts w:ascii="Arial" w:hAnsi="Arial"/>
        </w:rPr>
        <w:t>receivable in year to those</w:t>
      </w:r>
      <w:r w:rsidR="00654564" w:rsidRPr="005B6F05">
        <w:rPr>
          <w:rFonts w:ascii="Arial" w:hAnsi="Arial"/>
        </w:rPr>
        <w:t xml:space="preserve"> </w:t>
      </w:r>
      <w:r w:rsidRPr="005B6F05">
        <w:rPr>
          <w:rFonts w:ascii="Arial" w:hAnsi="Arial"/>
        </w:rPr>
        <w:t>receivable without conditions or for which conditions were satisfied throughout the year. The taxation and Non-Specific Grant Income and Expenditure line is credited with capital grants receivable in the year without conditions or for which conditions were satisfied in the year.</w:t>
      </w:r>
    </w:p>
    <w:p w14:paraId="0A757E0D" w14:textId="77777777" w:rsidR="003B74DA" w:rsidRPr="005B6F05" w:rsidRDefault="003B74DA" w:rsidP="003B74DA">
      <w:pPr>
        <w:tabs>
          <w:tab w:val="right" w:pos="5760"/>
        </w:tabs>
        <w:ind w:left="720"/>
        <w:jc w:val="both"/>
        <w:rPr>
          <w:rFonts w:ascii="Arial" w:hAnsi="Arial"/>
          <w:sz w:val="22"/>
          <w:szCs w:val="22"/>
        </w:rPr>
      </w:pPr>
      <w:r w:rsidRPr="005B6F05">
        <w:rPr>
          <w:rFonts w:ascii="Arial" w:hAnsi="Arial"/>
          <w:sz w:val="22"/>
          <w:szCs w:val="22"/>
          <w:u w:val="single"/>
        </w:rPr>
        <w:t>Note B - Net Change for the Pensions Adjustments</w:t>
      </w:r>
    </w:p>
    <w:p w14:paraId="58716800" w14:textId="77777777" w:rsidR="003B74DA" w:rsidRPr="005B6F05" w:rsidRDefault="003B74DA" w:rsidP="003B74DA">
      <w:pPr>
        <w:tabs>
          <w:tab w:val="right" w:pos="5760"/>
        </w:tabs>
        <w:ind w:left="720"/>
        <w:jc w:val="both"/>
        <w:rPr>
          <w:rFonts w:ascii="Arial" w:hAnsi="Arial"/>
          <w:sz w:val="22"/>
          <w:szCs w:val="22"/>
        </w:rPr>
      </w:pPr>
    </w:p>
    <w:p w14:paraId="11AFB972" w14:textId="77777777" w:rsidR="003B74DA" w:rsidRPr="005B6F05" w:rsidRDefault="003B74DA" w:rsidP="003B74DA">
      <w:pPr>
        <w:tabs>
          <w:tab w:val="right" w:pos="5760"/>
        </w:tabs>
        <w:ind w:left="720"/>
        <w:jc w:val="both"/>
        <w:rPr>
          <w:rFonts w:ascii="Arial" w:hAnsi="Arial"/>
          <w:sz w:val="22"/>
          <w:szCs w:val="22"/>
        </w:rPr>
      </w:pPr>
      <w:r w:rsidRPr="005B6F05">
        <w:rPr>
          <w:rFonts w:ascii="Arial" w:hAnsi="Arial"/>
          <w:sz w:val="22"/>
          <w:szCs w:val="22"/>
        </w:rPr>
        <w:t xml:space="preserve">Net change for the removal of pension contributions and the addition of IAS19 </w:t>
      </w:r>
      <w:r w:rsidRPr="005B6F05">
        <w:rPr>
          <w:rFonts w:ascii="Arial" w:hAnsi="Arial"/>
          <w:i/>
          <w:sz w:val="22"/>
          <w:szCs w:val="22"/>
        </w:rPr>
        <w:br/>
        <w:t>Employee Benefits</w:t>
      </w:r>
      <w:r w:rsidRPr="005B6F05">
        <w:rPr>
          <w:rFonts w:ascii="Arial" w:hAnsi="Arial"/>
          <w:sz w:val="22"/>
          <w:szCs w:val="22"/>
        </w:rPr>
        <w:t xml:space="preserve"> pension related expenditure and income.</w:t>
      </w:r>
    </w:p>
    <w:p w14:paraId="1D69FE0B" w14:textId="77777777" w:rsidR="003B74DA" w:rsidRPr="005B6F05" w:rsidRDefault="003B74DA" w:rsidP="003B74DA">
      <w:pPr>
        <w:tabs>
          <w:tab w:val="right" w:pos="5760"/>
        </w:tabs>
        <w:ind w:left="720"/>
        <w:jc w:val="both"/>
        <w:rPr>
          <w:rFonts w:ascii="Arial" w:hAnsi="Arial"/>
          <w:sz w:val="22"/>
          <w:szCs w:val="22"/>
        </w:rPr>
      </w:pPr>
    </w:p>
    <w:p w14:paraId="0643A53F" w14:textId="77777777" w:rsidR="003B74DA" w:rsidRPr="005B6F05" w:rsidRDefault="003B74DA" w:rsidP="004E2882">
      <w:pPr>
        <w:pStyle w:val="ListParagraph"/>
        <w:numPr>
          <w:ilvl w:val="0"/>
          <w:numId w:val="21"/>
        </w:numPr>
        <w:tabs>
          <w:tab w:val="right" w:pos="5760"/>
        </w:tabs>
        <w:jc w:val="both"/>
        <w:rPr>
          <w:rFonts w:ascii="Arial" w:hAnsi="Arial"/>
        </w:rPr>
      </w:pPr>
      <w:r w:rsidRPr="005B6F05">
        <w:rPr>
          <w:rFonts w:ascii="Arial" w:hAnsi="Arial"/>
        </w:rPr>
        <w:t>For services this represents the removal of the employer pension contributions made by the PCC and CC as allowed by statute and the replacement with current and past service costs;</w:t>
      </w:r>
    </w:p>
    <w:p w14:paraId="6C270CAB" w14:textId="77777777" w:rsidR="003B74DA" w:rsidRPr="005B6F05" w:rsidRDefault="003B74DA" w:rsidP="004E2882">
      <w:pPr>
        <w:pStyle w:val="ListParagraph"/>
        <w:numPr>
          <w:ilvl w:val="0"/>
          <w:numId w:val="21"/>
        </w:numPr>
        <w:tabs>
          <w:tab w:val="right" w:pos="5760"/>
        </w:tabs>
        <w:jc w:val="both"/>
        <w:rPr>
          <w:rFonts w:ascii="Arial" w:hAnsi="Arial"/>
        </w:rPr>
      </w:pPr>
      <w:r w:rsidRPr="005B6F05">
        <w:rPr>
          <w:rFonts w:ascii="Arial" w:hAnsi="Arial"/>
        </w:rPr>
        <w:t>For Financing and investment income and expenditure the net interest on the defined benefit liability is charged to the CIES.</w:t>
      </w:r>
    </w:p>
    <w:p w14:paraId="311DF176" w14:textId="77777777" w:rsidR="003B74DA" w:rsidRPr="005B6F05" w:rsidRDefault="003B74DA" w:rsidP="003B74DA">
      <w:pPr>
        <w:tabs>
          <w:tab w:val="right" w:pos="5760"/>
        </w:tabs>
        <w:ind w:left="720"/>
        <w:jc w:val="both"/>
        <w:rPr>
          <w:rFonts w:ascii="Arial" w:hAnsi="Arial"/>
          <w:sz w:val="22"/>
          <w:szCs w:val="22"/>
          <w:u w:val="single"/>
        </w:rPr>
      </w:pPr>
      <w:r w:rsidRPr="005B6F05">
        <w:rPr>
          <w:rFonts w:ascii="Arial" w:hAnsi="Arial"/>
          <w:sz w:val="22"/>
          <w:szCs w:val="22"/>
          <w:u w:val="single"/>
        </w:rPr>
        <w:t>Note C – Other Differences</w:t>
      </w:r>
    </w:p>
    <w:p w14:paraId="64C500B9" w14:textId="77777777" w:rsidR="003B74DA" w:rsidRPr="005B6F05" w:rsidRDefault="003B74DA" w:rsidP="003B74DA">
      <w:pPr>
        <w:tabs>
          <w:tab w:val="right" w:pos="5760"/>
        </w:tabs>
        <w:ind w:left="720"/>
        <w:jc w:val="both"/>
        <w:rPr>
          <w:rFonts w:ascii="Arial" w:hAnsi="Arial"/>
          <w:sz w:val="22"/>
          <w:szCs w:val="22"/>
          <w:u w:val="single"/>
        </w:rPr>
      </w:pPr>
    </w:p>
    <w:p w14:paraId="74B9B6A2" w14:textId="77777777" w:rsidR="003B74DA" w:rsidRPr="005B6F05" w:rsidRDefault="003B74DA" w:rsidP="003B74DA">
      <w:pPr>
        <w:tabs>
          <w:tab w:val="right" w:pos="5760"/>
        </w:tabs>
        <w:ind w:left="720"/>
        <w:jc w:val="both"/>
        <w:rPr>
          <w:rFonts w:ascii="Arial" w:hAnsi="Arial"/>
          <w:sz w:val="22"/>
          <w:szCs w:val="22"/>
        </w:rPr>
      </w:pPr>
      <w:r w:rsidRPr="005B6F05">
        <w:rPr>
          <w:rFonts w:ascii="Arial" w:hAnsi="Arial"/>
          <w:sz w:val="22"/>
          <w:szCs w:val="22"/>
        </w:rPr>
        <w:t>Other differences between amounts debited/credited to the Comprehensive Income and Expenditure Statement and amounts payable/receivable to be recognised under statute.</w:t>
      </w:r>
    </w:p>
    <w:p w14:paraId="13A0679B" w14:textId="77777777" w:rsidR="003B74DA" w:rsidRPr="005B6F05" w:rsidRDefault="003B74DA" w:rsidP="003B74DA">
      <w:pPr>
        <w:tabs>
          <w:tab w:val="right" w:pos="5760"/>
        </w:tabs>
        <w:ind w:left="720"/>
        <w:jc w:val="both"/>
        <w:rPr>
          <w:rFonts w:ascii="Arial" w:hAnsi="Arial"/>
          <w:sz w:val="22"/>
          <w:szCs w:val="22"/>
        </w:rPr>
      </w:pPr>
    </w:p>
    <w:p w14:paraId="0BB35770" w14:textId="77777777" w:rsidR="003B74DA" w:rsidRPr="005B6F05" w:rsidRDefault="003B74DA" w:rsidP="004E2882">
      <w:pPr>
        <w:pStyle w:val="ListParagraph"/>
        <w:numPr>
          <w:ilvl w:val="0"/>
          <w:numId w:val="22"/>
        </w:numPr>
        <w:tabs>
          <w:tab w:val="right" w:pos="5760"/>
        </w:tabs>
        <w:jc w:val="both"/>
        <w:rPr>
          <w:rFonts w:ascii="Arial" w:hAnsi="Arial"/>
        </w:rPr>
      </w:pPr>
      <w:r w:rsidRPr="005B6F05">
        <w:rPr>
          <w:rFonts w:ascii="Arial" w:hAnsi="Arial"/>
        </w:rPr>
        <w:t>For services this represents the change in accrued employee benefits such as annual leave and time off in lieu;</w:t>
      </w:r>
    </w:p>
    <w:p w14:paraId="7A2E2B04" w14:textId="77777777" w:rsidR="003B74DA" w:rsidRPr="00C4215A" w:rsidRDefault="003B74DA" w:rsidP="004E2882">
      <w:pPr>
        <w:pStyle w:val="ListParagraph"/>
        <w:numPr>
          <w:ilvl w:val="0"/>
          <w:numId w:val="22"/>
        </w:numPr>
        <w:tabs>
          <w:tab w:val="right" w:pos="5760"/>
        </w:tabs>
        <w:jc w:val="both"/>
        <w:rPr>
          <w:rFonts w:ascii="Arial" w:hAnsi="Arial"/>
        </w:rPr>
      </w:pPr>
      <w:r w:rsidRPr="005B6F05">
        <w:rPr>
          <w:rFonts w:ascii="Arial" w:hAnsi="Arial"/>
        </w:rPr>
        <w:t>The charge under Taxation and non-specific grant income and expenditure represents the difference between what is chargeable under statutory regulations for council tax that was projected to be received at the start of the year and the income recognised under generally accepted accounting practices in the Code. This is a timing difference as any difference will be brought forward in future Surpluses or Deficits on the Collection Fund</w:t>
      </w:r>
      <w:r w:rsidRPr="00C4215A">
        <w:rPr>
          <w:rFonts w:ascii="Arial" w:hAnsi="Arial"/>
        </w:rPr>
        <w:t>.</w:t>
      </w:r>
    </w:p>
    <w:p w14:paraId="737C1AD3" w14:textId="3DA0A2E6" w:rsidR="00212E46" w:rsidRDefault="00212E46">
      <w:pPr>
        <w:rPr>
          <w:rFonts w:ascii="Arial" w:hAnsi="Arial"/>
        </w:rPr>
      </w:pPr>
      <w:r>
        <w:rPr>
          <w:rFonts w:ascii="Arial" w:hAnsi="Arial"/>
        </w:rPr>
        <w:br w:type="page"/>
      </w:r>
    </w:p>
    <w:p w14:paraId="4A87FE2B" w14:textId="3CF5622C" w:rsidR="003B74DA" w:rsidRPr="006243C5" w:rsidRDefault="003B74DA" w:rsidP="003B74DA">
      <w:pPr>
        <w:numPr>
          <w:ilvl w:val="0"/>
          <w:numId w:val="1"/>
        </w:numPr>
        <w:tabs>
          <w:tab w:val="clear" w:pos="720"/>
          <w:tab w:val="num" w:pos="426"/>
          <w:tab w:val="right" w:pos="5760"/>
        </w:tabs>
        <w:rPr>
          <w:rFonts w:ascii="Arial" w:hAnsi="Arial"/>
          <w:b/>
          <w:sz w:val="24"/>
        </w:rPr>
      </w:pPr>
      <w:r w:rsidRPr="006243C5">
        <w:rPr>
          <w:rFonts w:ascii="Arial" w:hAnsi="Arial"/>
          <w:b/>
          <w:sz w:val="24"/>
        </w:rPr>
        <w:lastRenderedPageBreak/>
        <w:t>EXPENDITURE AND INCOME ANALYSED BY NATURE</w:t>
      </w:r>
    </w:p>
    <w:p w14:paraId="5E2E98F4" w14:textId="77777777" w:rsidR="003B74DA" w:rsidRPr="00D31634" w:rsidRDefault="003B74DA" w:rsidP="003B74DA">
      <w:pPr>
        <w:tabs>
          <w:tab w:val="right" w:pos="5760"/>
        </w:tabs>
        <w:ind w:left="720"/>
        <w:rPr>
          <w:rFonts w:ascii="Arial" w:hAnsi="Arial"/>
          <w:sz w:val="16"/>
          <w:szCs w:val="16"/>
        </w:rPr>
      </w:pPr>
    </w:p>
    <w:p w14:paraId="3CAEA09B" w14:textId="46276D9C" w:rsidR="003B74DA" w:rsidRDefault="003B74DA" w:rsidP="004D5349">
      <w:pPr>
        <w:tabs>
          <w:tab w:val="right" w:pos="5760"/>
        </w:tabs>
        <w:rPr>
          <w:rFonts w:ascii="Arial" w:hAnsi="Arial"/>
          <w:sz w:val="22"/>
          <w:szCs w:val="22"/>
        </w:rPr>
      </w:pPr>
      <w:r w:rsidRPr="006243C5">
        <w:rPr>
          <w:rFonts w:ascii="Arial" w:hAnsi="Arial"/>
          <w:sz w:val="22"/>
          <w:szCs w:val="22"/>
        </w:rPr>
        <w:t>The PCC Group's expenditure and income is analysed by nature as follows:</w:t>
      </w:r>
    </w:p>
    <w:p w14:paraId="52D6993E" w14:textId="41DC3267" w:rsidR="00A028DE" w:rsidRPr="00D31634" w:rsidRDefault="00A028DE" w:rsidP="003B74DA">
      <w:pPr>
        <w:tabs>
          <w:tab w:val="right" w:pos="5760"/>
        </w:tabs>
        <w:ind w:left="720"/>
        <w:rPr>
          <w:sz w:val="16"/>
          <w:szCs w:val="16"/>
        </w:rPr>
      </w:pPr>
    </w:p>
    <w:tbl>
      <w:tblPr>
        <w:tblW w:w="9724" w:type="dxa"/>
        <w:tblCellMar>
          <w:top w:w="15" w:type="dxa"/>
          <w:bottom w:w="15" w:type="dxa"/>
        </w:tblCellMar>
        <w:tblLook w:val="04A0" w:firstRow="1" w:lastRow="0" w:firstColumn="1" w:lastColumn="0" w:noHBand="0" w:noVBand="1"/>
      </w:tblPr>
      <w:tblGrid>
        <w:gridCol w:w="6936"/>
        <w:gridCol w:w="1326"/>
        <w:gridCol w:w="1462"/>
      </w:tblGrid>
      <w:tr w:rsidR="00D31634" w:rsidRPr="00D31634" w14:paraId="0EBEB75A" w14:textId="77777777" w:rsidTr="00E326DC">
        <w:trPr>
          <w:trHeight w:val="238"/>
        </w:trPr>
        <w:tc>
          <w:tcPr>
            <w:tcW w:w="6936" w:type="dxa"/>
            <w:tcBorders>
              <w:top w:val="single" w:sz="8" w:space="0" w:color="auto"/>
              <w:left w:val="single" w:sz="8" w:space="0" w:color="auto"/>
              <w:bottom w:val="nil"/>
              <w:right w:val="nil"/>
            </w:tcBorders>
            <w:shd w:val="clear" w:color="000000" w:fill="CCCCCC"/>
            <w:vAlign w:val="center"/>
            <w:hideMark/>
          </w:tcPr>
          <w:p w14:paraId="5C794202" w14:textId="77777777" w:rsidR="00D31634" w:rsidRPr="00D31634" w:rsidRDefault="00D31634" w:rsidP="00D31634">
            <w:pPr>
              <w:rPr>
                <w:sz w:val="24"/>
                <w:szCs w:val="24"/>
              </w:rPr>
            </w:pPr>
          </w:p>
        </w:tc>
        <w:tc>
          <w:tcPr>
            <w:tcW w:w="1326" w:type="dxa"/>
            <w:tcBorders>
              <w:top w:val="single" w:sz="8" w:space="0" w:color="auto"/>
              <w:left w:val="nil"/>
              <w:bottom w:val="nil"/>
              <w:right w:val="nil"/>
            </w:tcBorders>
            <w:vAlign w:val="center"/>
            <w:hideMark/>
          </w:tcPr>
          <w:p w14:paraId="32E62390" w14:textId="3ECF51B7" w:rsidR="00D31634" w:rsidRPr="00D31634" w:rsidRDefault="00C37E7F" w:rsidP="00BE3C46">
            <w:pPr>
              <w:jc w:val="right"/>
              <w:rPr>
                <w:rFonts w:ascii="Arial" w:hAnsi="Arial" w:cs="Arial"/>
                <w:b/>
                <w:bCs/>
                <w:color w:val="000000"/>
                <w:sz w:val="22"/>
                <w:szCs w:val="22"/>
              </w:rPr>
            </w:pPr>
            <w:r>
              <w:rPr>
                <w:rFonts w:ascii="Arial" w:hAnsi="Arial" w:cs="Arial"/>
                <w:b/>
                <w:bCs/>
                <w:color w:val="000000"/>
                <w:sz w:val="22"/>
                <w:szCs w:val="22"/>
              </w:rPr>
              <w:t>2023/24</w:t>
            </w:r>
          </w:p>
        </w:tc>
        <w:tc>
          <w:tcPr>
            <w:tcW w:w="1462" w:type="dxa"/>
            <w:tcBorders>
              <w:top w:val="single" w:sz="8" w:space="0" w:color="auto"/>
              <w:left w:val="nil"/>
              <w:bottom w:val="nil"/>
              <w:right w:val="single" w:sz="8" w:space="0" w:color="auto"/>
            </w:tcBorders>
            <w:shd w:val="clear" w:color="000000" w:fill="CCCCCC"/>
            <w:vAlign w:val="center"/>
            <w:hideMark/>
          </w:tcPr>
          <w:p w14:paraId="41EF272D" w14:textId="031872F7" w:rsidR="00D31634" w:rsidRPr="00D31634" w:rsidRDefault="00C37E7F" w:rsidP="00D31634">
            <w:pPr>
              <w:jc w:val="right"/>
              <w:rPr>
                <w:rFonts w:ascii="Arial" w:hAnsi="Arial" w:cs="Arial"/>
                <w:b/>
                <w:bCs/>
                <w:color w:val="000000"/>
                <w:sz w:val="22"/>
                <w:szCs w:val="22"/>
              </w:rPr>
            </w:pPr>
            <w:r>
              <w:rPr>
                <w:rFonts w:ascii="Arial" w:hAnsi="Arial" w:cs="Arial"/>
                <w:b/>
                <w:bCs/>
                <w:color w:val="000000"/>
                <w:sz w:val="22"/>
                <w:szCs w:val="22"/>
              </w:rPr>
              <w:t>2024/25</w:t>
            </w:r>
          </w:p>
        </w:tc>
      </w:tr>
      <w:tr w:rsidR="00D31634" w:rsidRPr="00D31634" w14:paraId="4B0E318E" w14:textId="77777777" w:rsidTr="00E326DC">
        <w:trPr>
          <w:trHeight w:val="238"/>
        </w:trPr>
        <w:tc>
          <w:tcPr>
            <w:tcW w:w="6936" w:type="dxa"/>
            <w:tcBorders>
              <w:top w:val="nil"/>
              <w:left w:val="single" w:sz="8" w:space="0" w:color="auto"/>
              <w:bottom w:val="nil"/>
              <w:right w:val="nil"/>
            </w:tcBorders>
            <w:shd w:val="clear" w:color="000000" w:fill="CCCCCC"/>
            <w:vAlign w:val="center"/>
            <w:hideMark/>
          </w:tcPr>
          <w:p w14:paraId="46D09D39" w14:textId="77777777" w:rsidR="00D31634" w:rsidRPr="00D31634" w:rsidRDefault="00D31634" w:rsidP="00D31634">
            <w:pPr>
              <w:jc w:val="right"/>
            </w:pPr>
          </w:p>
        </w:tc>
        <w:tc>
          <w:tcPr>
            <w:tcW w:w="1326" w:type="dxa"/>
            <w:tcBorders>
              <w:top w:val="nil"/>
              <w:left w:val="nil"/>
              <w:bottom w:val="nil"/>
              <w:right w:val="nil"/>
            </w:tcBorders>
            <w:vAlign w:val="center"/>
            <w:hideMark/>
          </w:tcPr>
          <w:p w14:paraId="4C2C7F87" w14:textId="77777777" w:rsidR="00D31634" w:rsidRPr="00D31634" w:rsidRDefault="00D31634" w:rsidP="00D31634">
            <w:pPr>
              <w:jc w:val="right"/>
              <w:rPr>
                <w:rFonts w:ascii="Arial" w:hAnsi="Arial" w:cs="Arial"/>
                <w:b/>
                <w:bCs/>
                <w:color w:val="000000"/>
                <w:sz w:val="22"/>
                <w:szCs w:val="22"/>
              </w:rPr>
            </w:pPr>
            <w:r w:rsidRPr="00D31634">
              <w:rPr>
                <w:rFonts w:ascii="Arial" w:hAnsi="Arial" w:cs="Arial"/>
                <w:b/>
                <w:bCs/>
                <w:color w:val="000000"/>
                <w:sz w:val="22"/>
                <w:szCs w:val="22"/>
              </w:rPr>
              <w:t>£000</w:t>
            </w:r>
          </w:p>
        </w:tc>
        <w:tc>
          <w:tcPr>
            <w:tcW w:w="1462" w:type="dxa"/>
            <w:tcBorders>
              <w:top w:val="nil"/>
              <w:left w:val="nil"/>
              <w:bottom w:val="nil"/>
              <w:right w:val="single" w:sz="8" w:space="0" w:color="auto"/>
            </w:tcBorders>
            <w:shd w:val="clear" w:color="000000" w:fill="CCCCCC"/>
            <w:vAlign w:val="center"/>
            <w:hideMark/>
          </w:tcPr>
          <w:p w14:paraId="6225467E" w14:textId="77777777" w:rsidR="00D31634" w:rsidRPr="00D31634" w:rsidRDefault="00D31634" w:rsidP="00D31634">
            <w:pPr>
              <w:jc w:val="right"/>
              <w:rPr>
                <w:rFonts w:ascii="Arial" w:hAnsi="Arial" w:cs="Arial"/>
                <w:b/>
                <w:bCs/>
                <w:color w:val="000000"/>
                <w:sz w:val="22"/>
                <w:szCs w:val="22"/>
              </w:rPr>
            </w:pPr>
            <w:r w:rsidRPr="00D31634">
              <w:rPr>
                <w:rFonts w:ascii="Arial" w:hAnsi="Arial" w:cs="Arial"/>
                <w:b/>
                <w:bCs/>
                <w:color w:val="000000"/>
                <w:sz w:val="22"/>
                <w:szCs w:val="22"/>
              </w:rPr>
              <w:t>£000</w:t>
            </w:r>
          </w:p>
        </w:tc>
      </w:tr>
      <w:tr w:rsidR="00D31634" w:rsidRPr="00D31634" w14:paraId="125E7FF0" w14:textId="77777777" w:rsidTr="00E326DC">
        <w:trPr>
          <w:trHeight w:val="90"/>
        </w:trPr>
        <w:tc>
          <w:tcPr>
            <w:tcW w:w="6936" w:type="dxa"/>
            <w:tcBorders>
              <w:top w:val="nil"/>
              <w:left w:val="single" w:sz="8" w:space="0" w:color="auto"/>
              <w:bottom w:val="nil"/>
              <w:right w:val="nil"/>
            </w:tcBorders>
            <w:shd w:val="clear" w:color="000000" w:fill="CCCCCC"/>
            <w:vAlign w:val="center"/>
            <w:hideMark/>
          </w:tcPr>
          <w:p w14:paraId="7A8FEFFF" w14:textId="77777777" w:rsidR="00D31634" w:rsidRPr="00D31634" w:rsidRDefault="00D31634" w:rsidP="00D31634">
            <w:pPr>
              <w:rPr>
                <w:rFonts w:ascii="Arial" w:hAnsi="Arial" w:cs="Arial"/>
                <w:b/>
                <w:bCs/>
                <w:color w:val="000000"/>
                <w:sz w:val="22"/>
                <w:szCs w:val="22"/>
              </w:rPr>
            </w:pPr>
            <w:r w:rsidRPr="00D31634">
              <w:rPr>
                <w:rFonts w:ascii="Arial" w:hAnsi="Arial" w:cs="Arial"/>
                <w:b/>
                <w:bCs/>
                <w:color w:val="000000"/>
                <w:sz w:val="22"/>
                <w:szCs w:val="22"/>
              </w:rPr>
              <w:t>Expenditure</w:t>
            </w:r>
          </w:p>
        </w:tc>
        <w:tc>
          <w:tcPr>
            <w:tcW w:w="1326" w:type="dxa"/>
            <w:tcBorders>
              <w:top w:val="nil"/>
              <w:left w:val="nil"/>
              <w:bottom w:val="nil"/>
              <w:right w:val="nil"/>
            </w:tcBorders>
            <w:vAlign w:val="center"/>
            <w:hideMark/>
          </w:tcPr>
          <w:p w14:paraId="7EF6FA8D" w14:textId="77777777" w:rsidR="00D31634" w:rsidRPr="00D31634" w:rsidRDefault="00D31634" w:rsidP="00D31634">
            <w:pPr>
              <w:rPr>
                <w:rFonts w:ascii="Arial" w:hAnsi="Arial" w:cs="Arial"/>
                <w:b/>
                <w:bCs/>
                <w:color w:val="000000"/>
                <w:sz w:val="22"/>
                <w:szCs w:val="22"/>
              </w:rPr>
            </w:pPr>
          </w:p>
        </w:tc>
        <w:tc>
          <w:tcPr>
            <w:tcW w:w="1462" w:type="dxa"/>
            <w:tcBorders>
              <w:top w:val="nil"/>
              <w:left w:val="nil"/>
              <w:bottom w:val="nil"/>
              <w:right w:val="single" w:sz="8" w:space="0" w:color="auto"/>
            </w:tcBorders>
            <w:shd w:val="clear" w:color="000000" w:fill="CCCCCC"/>
            <w:vAlign w:val="center"/>
            <w:hideMark/>
          </w:tcPr>
          <w:p w14:paraId="63F6E93C" w14:textId="77777777" w:rsidR="00D31634" w:rsidRPr="00D31634" w:rsidRDefault="00D31634" w:rsidP="00D31634"/>
        </w:tc>
      </w:tr>
      <w:tr w:rsidR="00373BA1" w:rsidRPr="00D31634" w14:paraId="7522A901" w14:textId="77777777" w:rsidTr="00E326DC">
        <w:trPr>
          <w:trHeight w:val="227"/>
        </w:trPr>
        <w:tc>
          <w:tcPr>
            <w:tcW w:w="6936" w:type="dxa"/>
            <w:tcBorders>
              <w:top w:val="nil"/>
              <w:left w:val="single" w:sz="8" w:space="0" w:color="auto"/>
              <w:bottom w:val="nil"/>
              <w:right w:val="nil"/>
            </w:tcBorders>
            <w:shd w:val="clear" w:color="000000" w:fill="CCCCCC"/>
            <w:vAlign w:val="center"/>
            <w:hideMark/>
          </w:tcPr>
          <w:p w14:paraId="4E5EC532" w14:textId="77777777" w:rsidR="00373BA1" w:rsidRPr="00D31634" w:rsidRDefault="00373BA1" w:rsidP="00373BA1">
            <w:pPr>
              <w:rPr>
                <w:rFonts w:ascii="Arial" w:hAnsi="Arial" w:cs="Arial"/>
                <w:color w:val="000000"/>
                <w:sz w:val="22"/>
                <w:szCs w:val="22"/>
              </w:rPr>
            </w:pPr>
            <w:r w:rsidRPr="00D31634">
              <w:rPr>
                <w:rFonts w:ascii="Arial" w:hAnsi="Arial" w:cs="Arial"/>
                <w:color w:val="000000"/>
                <w:sz w:val="22"/>
                <w:szCs w:val="22"/>
              </w:rPr>
              <w:t>Employee expenses</w:t>
            </w:r>
          </w:p>
        </w:tc>
        <w:tc>
          <w:tcPr>
            <w:tcW w:w="1326" w:type="dxa"/>
            <w:tcBorders>
              <w:top w:val="nil"/>
              <w:left w:val="nil"/>
              <w:bottom w:val="nil"/>
              <w:right w:val="nil"/>
            </w:tcBorders>
            <w:vAlign w:val="center"/>
            <w:hideMark/>
          </w:tcPr>
          <w:p w14:paraId="24BFF30C" w14:textId="0FD97221"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315,741</w:t>
            </w:r>
          </w:p>
        </w:tc>
        <w:tc>
          <w:tcPr>
            <w:tcW w:w="1462" w:type="dxa"/>
            <w:tcBorders>
              <w:top w:val="nil"/>
              <w:left w:val="nil"/>
              <w:bottom w:val="nil"/>
              <w:right w:val="single" w:sz="8" w:space="0" w:color="auto"/>
            </w:tcBorders>
            <w:shd w:val="clear" w:color="000000" w:fill="CCCCCC"/>
            <w:vAlign w:val="center"/>
            <w:hideMark/>
          </w:tcPr>
          <w:p w14:paraId="72DBCBB4" w14:textId="15F8D047"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333,451</w:t>
            </w:r>
          </w:p>
        </w:tc>
      </w:tr>
      <w:tr w:rsidR="00373BA1" w:rsidRPr="00D31634" w14:paraId="67D5E822" w14:textId="77777777" w:rsidTr="00E326DC">
        <w:trPr>
          <w:trHeight w:val="227"/>
        </w:trPr>
        <w:tc>
          <w:tcPr>
            <w:tcW w:w="6936" w:type="dxa"/>
            <w:tcBorders>
              <w:top w:val="nil"/>
              <w:left w:val="single" w:sz="8" w:space="0" w:color="auto"/>
              <w:bottom w:val="nil"/>
              <w:right w:val="nil"/>
            </w:tcBorders>
            <w:shd w:val="clear" w:color="000000" w:fill="CCCCCC"/>
            <w:vAlign w:val="center"/>
            <w:hideMark/>
          </w:tcPr>
          <w:p w14:paraId="4DBA8BDD" w14:textId="77777777" w:rsidR="00373BA1" w:rsidRPr="00D31634" w:rsidRDefault="00373BA1" w:rsidP="00373BA1">
            <w:pPr>
              <w:rPr>
                <w:rFonts w:ascii="Arial" w:hAnsi="Arial" w:cs="Arial"/>
                <w:color w:val="000000"/>
                <w:sz w:val="22"/>
                <w:szCs w:val="22"/>
              </w:rPr>
            </w:pPr>
            <w:r w:rsidRPr="00D31634">
              <w:rPr>
                <w:rFonts w:ascii="Arial" w:hAnsi="Arial" w:cs="Arial"/>
                <w:color w:val="000000"/>
                <w:sz w:val="22"/>
                <w:szCs w:val="22"/>
              </w:rPr>
              <w:t>Other service expenses</w:t>
            </w:r>
          </w:p>
        </w:tc>
        <w:tc>
          <w:tcPr>
            <w:tcW w:w="1326" w:type="dxa"/>
            <w:tcBorders>
              <w:top w:val="nil"/>
              <w:left w:val="nil"/>
              <w:bottom w:val="nil"/>
              <w:right w:val="nil"/>
            </w:tcBorders>
            <w:vAlign w:val="center"/>
            <w:hideMark/>
          </w:tcPr>
          <w:p w14:paraId="08948AE9" w14:textId="0EB14DD9"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71,333</w:t>
            </w:r>
          </w:p>
        </w:tc>
        <w:tc>
          <w:tcPr>
            <w:tcW w:w="1462" w:type="dxa"/>
            <w:tcBorders>
              <w:top w:val="nil"/>
              <w:left w:val="nil"/>
              <w:bottom w:val="nil"/>
              <w:right w:val="single" w:sz="8" w:space="0" w:color="auto"/>
            </w:tcBorders>
            <w:shd w:val="clear" w:color="000000" w:fill="CCCCCC"/>
            <w:vAlign w:val="center"/>
            <w:hideMark/>
          </w:tcPr>
          <w:p w14:paraId="45A1B628" w14:textId="1310B078"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76,</w:t>
            </w:r>
            <w:r w:rsidR="006C2E2A">
              <w:rPr>
                <w:rFonts w:ascii="Arial" w:hAnsi="Arial" w:cs="Arial"/>
                <w:color w:val="000000"/>
                <w:sz w:val="22"/>
                <w:szCs w:val="22"/>
              </w:rPr>
              <w:t>6</w:t>
            </w:r>
            <w:r w:rsidR="001077D5">
              <w:rPr>
                <w:rFonts w:ascii="Arial" w:hAnsi="Arial" w:cs="Arial"/>
                <w:color w:val="000000"/>
                <w:sz w:val="22"/>
                <w:szCs w:val="22"/>
              </w:rPr>
              <w:t>86</w:t>
            </w:r>
          </w:p>
        </w:tc>
      </w:tr>
      <w:tr w:rsidR="00373BA1" w:rsidRPr="00D31634" w14:paraId="7422D325" w14:textId="77777777" w:rsidTr="00E326DC">
        <w:trPr>
          <w:trHeight w:val="227"/>
        </w:trPr>
        <w:tc>
          <w:tcPr>
            <w:tcW w:w="6936" w:type="dxa"/>
            <w:tcBorders>
              <w:top w:val="nil"/>
              <w:left w:val="single" w:sz="8" w:space="0" w:color="auto"/>
              <w:bottom w:val="nil"/>
              <w:right w:val="nil"/>
            </w:tcBorders>
            <w:shd w:val="clear" w:color="000000" w:fill="CCCCCC"/>
            <w:vAlign w:val="center"/>
            <w:hideMark/>
          </w:tcPr>
          <w:p w14:paraId="143744C2" w14:textId="77777777" w:rsidR="00373BA1" w:rsidRPr="00D31634" w:rsidRDefault="00373BA1" w:rsidP="00373BA1">
            <w:pPr>
              <w:rPr>
                <w:rFonts w:ascii="Arial" w:hAnsi="Arial" w:cs="Arial"/>
                <w:color w:val="000000"/>
                <w:sz w:val="22"/>
                <w:szCs w:val="22"/>
              </w:rPr>
            </w:pPr>
            <w:r w:rsidRPr="00D31634">
              <w:rPr>
                <w:rFonts w:ascii="Arial" w:hAnsi="Arial" w:cs="Arial"/>
                <w:color w:val="000000"/>
                <w:sz w:val="22"/>
                <w:szCs w:val="22"/>
              </w:rPr>
              <w:t>Depreciation and amortisation</w:t>
            </w:r>
          </w:p>
        </w:tc>
        <w:tc>
          <w:tcPr>
            <w:tcW w:w="1326" w:type="dxa"/>
            <w:tcBorders>
              <w:top w:val="nil"/>
              <w:left w:val="nil"/>
              <w:bottom w:val="nil"/>
              <w:right w:val="nil"/>
            </w:tcBorders>
            <w:vAlign w:val="center"/>
            <w:hideMark/>
          </w:tcPr>
          <w:p w14:paraId="2755893D" w14:textId="274B4F79"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21,575</w:t>
            </w:r>
          </w:p>
        </w:tc>
        <w:tc>
          <w:tcPr>
            <w:tcW w:w="1462" w:type="dxa"/>
            <w:tcBorders>
              <w:top w:val="nil"/>
              <w:left w:val="nil"/>
              <w:bottom w:val="nil"/>
              <w:right w:val="single" w:sz="8" w:space="0" w:color="auto"/>
            </w:tcBorders>
            <w:shd w:val="clear" w:color="000000" w:fill="CCCCCC"/>
            <w:vAlign w:val="center"/>
            <w:hideMark/>
          </w:tcPr>
          <w:p w14:paraId="177EBCEF" w14:textId="70345B88"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22,244</w:t>
            </w:r>
          </w:p>
        </w:tc>
      </w:tr>
      <w:tr w:rsidR="00373BA1" w:rsidRPr="00D31634" w14:paraId="56923074" w14:textId="77777777" w:rsidTr="00E326DC">
        <w:trPr>
          <w:trHeight w:val="238"/>
        </w:trPr>
        <w:tc>
          <w:tcPr>
            <w:tcW w:w="6936" w:type="dxa"/>
            <w:tcBorders>
              <w:top w:val="nil"/>
              <w:left w:val="single" w:sz="8" w:space="0" w:color="auto"/>
              <w:bottom w:val="nil"/>
              <w:right w:val="nil"/>
            </w:tcBorders>
            <w:shd w:val="clear" w:color="000000" w:fill="CCCCCC"/>
            <w:vAlign w:val="center"/>
            <w:hideMark/>
          </w:tcPr>
          <w:p w14:paraId="770B26BA" w14:textId="05007560" w:rsidR="00373BA1" w:rsidRPr="00D31634" w:rsidRDefault="00C73F58" w:rsidP="00373BA1">
            <w:pPr>
              <w:rPr>
                <w:rFonts w:ascii="Arial" w:hAnsi="Arial" w:cs="Arial"/>
                <w:color w:val="000000"/>
                <w:sz w:val="22"/>
                <w:szCs w:val="22"/>
              </w:rPr>
            </w:pPr>
            <w:r w:rsidRPr="00C73F58">
              <w:rPr>
                <w:rFonts w:ascii="Arial" w:hAnsi="Arial" w:cs="Arial"/>
                <w:color w:val="000000"/>
                <w:sz w:val="22"/>
                <w:szCs w:val="22"/>
              </w:rPr>
              <w:t>Revaluation</w:t>
            </w:r>
            <w:r>
              <w:rPr>
                <w:rFonts w:ascii="Arial" w:hAnsi="Arial" w:cs="Arial"/>
                <w:color w:val="000000"/>
                <w:sz w:val="22"/>
                <w:szCs w:val="22"/>
              </w:rPr>
              <w:t xml:space="preserve"> and </w:t>
            </w:r>
            <w:r w:rsidRPr="00C73F58">
              <w:rPr>
                <w:rFonts w:ascii="Arial" w:hAnsi="Arial" w:cs="Arial"/>
                <w:color w:val="000000"/>
                <w:sz w:val="22"/>
                <w:szCs w:val="22"/>
              </w:rPr>
              <w:t>Impairment losses</w:t>
            </w:r>
          </w:p>
        </w:tc>
        <w:tc>
          <w:tcPr>
            <w:tcW w:w="1326" w:type="dxa"/>
            <w:tcBorders>
              <w:top w:val="nil"/>
              <w:left w:val="nil"/>
              <w:bottom w:val="nil"/>
              <w:right w:val="nil"/>
            </w:tcBorders>
            <w:vAlign w:val="center"/>
            <w:hideMark/>
          </w:tcPr>
          <w:p w14:paraId="01D9AA2E" w14:textId="101A40AA"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0</w:t>
            </w:r>
          </w:p>
        </w:tc>
        <w:tc>
          <w:tcPr>
            <w:tcW w:w="1462" w:type="dxa"/>
            <w:tcBorders>
              <w:top w:val="nil"/>
              <w:left w:val="nil"/>
              <w:bottom w:val="nil"/>
              <w:right w:val="single" w:sz="8" w:space="0" w:color="auto"/>
            </w:tcBorders>
            <w:shd w:val="clear" w:color="000000" w:fill="CCCCCC"/>
            <w:vAlign w:val="center"/>
            <w:hideMark/>
          </w:tcPr>
          <w:p w14:paraId="16625CE3" w14:textId="6BE56148"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65</w:t>
            </w:r>
          </w:p>
        </w:tc>
      </w:tr>
      <w:tr w:rsidR="00373BA1" w:rsidRPr="00D31634" w14:paraId="702A4A52" w14:textId="77777777" w:rsidTr="00E326DC">
        <w:trPr>
          <w:trHeight w:val="238"/>
        </w:trPr>
        <w:tc>
          <w:tcPr>
            <w:tcW w:w="6936" w:type="dxa"/>
            <w:tcBorders>
              <w:top w:val="nil"/>
              <w:left w:val="single" w:sz="8" w:space="0" w:color="auto"/>
              <w:bottom w:val="nil"/>
              <w:right w:val="nil"/>
            </w:tcBorders>
            <w:shd w:val="clear" w:color="000000" w:fill="CCCCCC"/>
            <w:vAlign w:val="center"/>
            <w:hideMark/>
          </w:tcPr>
          <w:p w14:paraId="4159C7A1" w14:textId="77777777" w:rsidR="00373BA1" w:rsidRPr="00D31634" w:rsidRDefault="00373BA1" w:rsidP="00373BA1">
            <w:pPr>
              <w:rPr>
                <w:rFonts w:ascii="Arial" w:hAnsi="Arial" w:cs="Arial"/>
                <w:color w:val="000000"/>
                <w:sz w:val="22"/>
                <w:szCs w:val="22"/>
              </w:rPr>
            </w:pPr>
            <w:r w:rsidRPr="00D31634">
              <w:rPr>
                <w:rFonts w:ascii="Arial" w:hAnsi="Arial" w:cs="Arial"/>
                <w:color w:val="000000"/>
                <w:sz w:val="22"/>
                <w:szCs w:val="22"/>
              </w:rPr>
              <w:t>Interest expenses</w:t>
            </w:r>
          </w:p>
        </w:tc>
        <w:tc>
          <w:tcPr>
            <w:tcW w:w="1326" w:type="dxa"/>
            <w:tcBorders>
              <w:top w:val="nil"/>
              <w:left w:val="nil"/>
              <w:bottom w:val="nil"/>
              <w:right w:val="nil"/>
            </w:tcBorders>
            <w:vAlign w:val="center"/>
            <w:hideMark/>
          </w:tcPr>
          <w:p w14:paraId="2C4C3E23" w14:textId="66382B35"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136,556</w:t>
            </w:r>
          </w:p>
        </w:tc>
        <w:tc>
          <w:tcPr>
            <w:tcW w:w="1462" w:type="dxa"/>
            <w:tcBorders>
              <w:top w:val="nil"/>
              <w:left w:val="nil"/>
              <w:bottom w:val="nil"/>
              <w:right w:val="single" w:sz="8" w:space="0" w:color="auto"/>
            </w:tcBorders>
            <w:shd w:val="clear" w:color="000000" w:fill="CCCCCC"/>
            <w:vAlign w:val="center"/>
            <w:hideMark/>
          </w:tcPr>
          <w:p w14:paraId="03F8859B" w14:textId="5B4D5634"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140,479</w:t>
            </w:r>
          </w:p>
        </w:tc>
      </w:tr>
      <w:tr w:rsidR="00373BA1" w:rsidRPr="00D31634" w14:paraId="705BF591" w14:textId="77777777" w:rsidTr="00E326DC">
        <w:trPr>
          <w:trHeight w:val="238"/>
        </w:trPr>
        <w:tc>
          <w:tcPr>
            <w:tcW w:w="6936" w:type="dxa"/>
            <w:tcBorders>
              <w:top w:val="nil"/>
              <w:left w:val="single" w:sz="8" w:space="0" w:color="auto"/>
              <w:bottom w:val="nil"/>
              <w:right w:val="nil"/>
            </w:tcBorders>
            <w:shd w:val="clear" w:color="000000" w:fill="CCCCCC"/>
            <w:vAlign w:val="center"/>
            <w:hideMark/>
          </w:tcPr>
          <w:p w14:paraId="7DB5F0AD" w14:textId="77777777" w:rsidR="00373BA1" w:rsidRPr="00D31634" w:rsidRDefault="00373BA1" w:rsidP="00373BA1">
            <w:pPr>
              <w:rPr>
                <w:rFonts w:ascii="Arial" w:hAnsi="Arial" w:cs="Arial"/>
                <w:color w:val="000000"/>
                <w:sz w:val="22"/>
                <w:szCs w:val="22"/>
              </w:rPr>
            </w:pPr>
            <w:r w:rsidRPr="00D31634">
              <w:rPr>
                <w:rFonts w:ascii="Arial" w:hAnsi="Arial" w:cs="Arial"/>
                <w:color w:val="000000"/>
                <w:sz w:val="22"/>
                <w:szCs w:val="22"/>
              </w:rPr>
              <w:t>Write out of NCA sold in year</w:t>
            </w:r>
          </w:p>
        </w:tc>
        <w:tc>
          <w:tcPr>
            <w:tcW w:w="1326" w:type="dxa"/>
            <w:tcBorders>
              <w:top w:val="nil"/>
              <w:left w:val="nil"/>
              <w:bottom w:val="nil"/>
              <w:right w:val="nil"/>
            </w:tcBorders>
            <w:vAlign w:val="center"/>
            <w:hideMark/>
          </w:tcPr>
          <w:p w14:paraId="47DF11A9" w14:textId="392123F0"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508</w:t>
            </w:r>
          </w:p>
        </w:tc>
        <w:tc>
          <w:tcPr>
            <w:tcW w:w="1462" w:type="dxa"/>
            <w:tcBorders>
              <w:top w:val="nil"/>
              <w:left w:val="nil"/>
              <w:bottom w:val="nil"/>
              <w:right w:val="single" w:sz="8" w:space="0" w:color="auto"/>
            </w:tcBorders>
            <w:shd w:val="clear" w:color="000000" w:fill="CCCCCC"/>
            <w:vAlign w:val="center"/>
            <w:hideMark/>
          </w:tcPr>
          <w:p w14:paraId="53B56120" w14:textId="27BFBC55"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395</w:t>
            </w:r>
          </w:p>
        </w:tc>
      </w:tr>
      <w:tr w:rsidR="00373BA1" w:rsidRPr="00D31634" w14:paraId="0E5303D7" w14:textId="77777777" w:rsidTr="00E326DC">
        <w:trPr>
          <w:trHeight w:val="238"/>
        </w:trPr>
        <w:tc>
          <w:tcPr>
            <w:tcW w:w="6936" w:type="dxa"/>
            <w:tcBorders>
              <w:top w:val="nil"/>
              <w:left w:val="single" w:sz="8" w:space="0" w:color="auto"/>
              <w:bottom w:val="nil"/>
              <w:right w:val="nil"/>
            </w:tcBorders>
            <w:shd w:val="clear" w:color="000000" w:fill="CCCCCC"/>
            <w:vAlign w:val="center"/>
            <w:hideMark/>
          </w:tcPr>
          <w:p w14:paraId="12E8BFED" w14:textId="77777777" w:rsidR="00373BA1" w:rsidRPr="00D31634" w:rsidRDefault="00373BA1" w:rsidP="00373BA1">
            <w:pPr>
              <w:rPr>
                <w:rFonts w:ascii="Arial" w:hAnsi="Arial" w:cs="Arial"/>
                <w:color w:val="000000"/>
                <w:sz w:val="22"/>
                <w:szCs w:val="22"/>
              </w:rPr>
            </w:pPr>
            <w:r w:rsidRPr="00D31634">
              <w:rPr>
                <w:rFonts w:ascii="Arial" w:hAnsi="Arial" w:cs="Arial"/>
                <w:color w:val="000000"/>
                <w:sz w:val="22"/>
                <w:szCs w:val="22"/>
              </w:rPr>
              <w:t>Impairment allowance</w:t>
            </w:r>
          </w:p>
        </w:tc>
        <w:tc>
          <w:tcPr>
            <w:tcW w:w="1326" w:type="dxa"/>
            <w:tcBorders>
              <w:top w:val="nil"/>
              <w:left w:val="nil"/>
              <w:bottom w:val="nil"/>
              <w:right w:val="nil"/>
            </w:tcBorders>
            <w:vAlign w:val="center"/>
            <w:hideMark/>
          </w:tcPr>
          <w:p w14:paraId="0617B181" w14:textId="435CC910"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(3)</w:t>
            </w:r>
          </w:p>
        </w:tc>
        <w:tc>
          <w:tcPr>
            <w:tcW w:w="1462" w:type="dxa"/>
            <w:tcBorders>
              <w:top w:val="nil"/>
              <w:left w:val="nil"/>
              <w:bottom w:val="single" w:sz="8" w:space="0" w:color="auto"/>
              <w:right w:val="single" w:sz="8" w:space="0" w:color="auto"/>
            </w:tcBorders>
            <w:shd w:val="clear" w:color="000000" w:fill="CCCCCC"/>
            <w:vAlign w:val="center"/>
            <w:hideMark/>
          </w:tcPr>
          <w:p w14:paraId="56016380" w14:textId="102E61F3" w:rsidR="00373BA1" w:rsidRPr="00D31634" w:rsidRDefault="00373BA1" w:rsidP="00373BA1">
            <w:pPr>
              <w:jc w:val="right"/>
              <w:rPr>
                <w:rFonts w:ascii="Arial" w:hAnsi="Arial" w:cs="Arial"/>
                <w:color w:val="000000"/>
                <w:sz w:val="22"/>
                <w:szCs w:val="22"/>
              </w:rPr>
            </w:pPr>
            <w:r>
              <w:rPr>
                <w:rFonts w:ascii="Arial" w:hAnsi="Arial" w:cs="Arial"/>
                <w:color w:val="000000"/>
                <w:sz w:val="22"/>
                <w:szCs w:val="22"/>
              </w:rPr>
              <w:t>14</w:t>
            </w:r>
          </w:p>
        </w:tc>
      </w:tr>
      <w:tr w:rsidR="00373BA1" w:rsidRPr="00D31634" w14:paraId="02E53FDE" w14:textId="77777777" w:rsidTr="00E326DC">
        <w:trPr>
          <w:trHeight w:val="238"/>
        </w:trPr>
        <w:tc>
          <w:tcPr>
            <w:tcW w:w="6936" w:type="dxa"/>
            <w:tcBorders>
              <w:top w:val="nil"/>
              <w:left w:val="single" w:sz="8" w:space="0" w:color="auto"/>
              <w:bottom w:val="nil"/>
              <w:right w:val="nil"/>
            </w:tcBorders>
            <w:shd w:val="clear" w:color="000000" w:fill="CCCCCC"/>
            <w:vAlign w:val="center"/>
            <w:hideMark/>
          </w:tcPr>
          <w:p w14:paraId="21C6F685" w14:textId="77777777" w:rsidR="00373BA1" w:rsidRPr="00D31634" w:rsidRDefault="00373BA1" w:rsidP="00373BA1">
            <w:pPr>
              <w:rPr>
                <w:rFonts w:ascii="Arial" w:hAnsi="Arial" w:cs="Arial"/>
                <w:b/>
                <w:bCs/>
                <w:color w:val="000000"/>
                <w:sz w:val="22"/>
                <w:szCs w:val="22"/>
              </w:rPr>
            </w:pPr>
            <w:r w:rsidRPr="00D31634">
              <w:rPr>
                <w:rFonts w:ascii="Arial" w:hAnsi="Arial" w:cs="Arial"/>
                <w:b/>
                <w:bCs/>
                <w:color w:val="000000"/>
                <w:sz w:val="22"/>
                <w:szCs w:val="22"/>
              </w:rPr>
              <w:t>Total expenditure</w:t>
            </w:r>
          </w:p>
        </w:tc>
        <w:tc>
          <w:tcPr>
            <w:tcW w:w="1326" w:type="dxa"/>
            <w:tcBorders>
              <w:top w:val="single" w:sz="8" w:space="0" w:color="auto"/>
              <w:left w:val="nil"/>
              <w:bottom w:val="nil"/>
              <w:right w:val="nil"/>
            </w:tcBorders>
            <w:vAlign w:val="center"/>
            <w:hideMark/>
          </w:tcPr>
          <w:p w14:paraId="68EC149F" w14:textId="1AEE4667" w:rsidR="00373BA1" w:rsidRPr="00D31634" w:rsidRDefault="00373BA1" w:rsidP="00373BA1">
            <w:pPr>
              <w:jc w:val="right"/>
              <w:rPr>
                <w:rFonts w:ascii="Arial" w:hAnsi="Arial" w:cs="Arial"/>
                <w:b/>
                <w:bCs/>
                <w:color w:val="000000"/>
                <w:sz w:val="22"/>
                <w:szCs w:val="22"/>
              </w:rPr>
            </w:pPr>
            <w:r>
              <w:rPr>
                <w:rFonts w:ascii="Arial" w:hAnsi="Arial" w:cs="Arial"/>
                <w:b/>
                <w:bCs/>
                <w:color w:val="000000"/>
                <w:sz w:val="22"/>
                <w:szCs w:val="22"/>
              </w:rPr>
              <w:t>545,709</w:t>
            </w:r>
          </w:p>
        </w:tc>
        <w:tc>
          <w:tcPr>
            <w:tcW w:w="1462" w:type="dxa"/>
            <w:tcBorders>
              <w:top w:val="nil"/>
              <w:left w:val="nil"/>
              <w:bottom w:val="nil"/>
              <w:right w:val="single" w:sz="8" w:space="0" w:color="auto"/>
            </w:tcBorders>
            <w:shd w:val="clear" w:color="000000" w:fill="CCCCCC"/>
            <w:vAlign w:val="center"/>
            <w:hideMark/>
          </w:tcPr>
          <w:p w14:paraId="43DFFC77" w14:textId="1F1F115B" w:rsidR="00373BA1" w:rsidRPr="00D31634" w:rsidRDefault="00373BA1" w:rsidP="00373BA1">
            <w:pPr>
              <w:jc w:val="right"/>
              <w:rPr>
                <w:rFonts w:ascii="Arial" w:hAnsi="Arial" w:cs="Arial"/>
                <w:b/>
                <w:bCs/>
                <w:color w:val="000000"/>
                <w:sz w:val="22"/>
                <w:szCs w:val="22"/>
              </w:rPr>
            </w:pPr>
            <w:r>
              <w:rPr>
                <w:rFonts w:ascii="Arial" w:hAnsi="Arial" w:cs="Arial"/>
                <w:b/>
                <w:bCs/>
                <w:color w:val="000000"/>
                <w:sz w:val="22"/>
                <w:szCs w:val="22"/>
              </w:rPr>
              <w:t>573,</w:t>
            </w:r>
            <w:r w:rsidR="00CB38A9">
              <w:rPr>
                <w:rFonts w:ascii="Arial" w:hAnsi="Arial" w:cs="Arial"/>
                <w:b/>
                <w:bCs/>
                <w:color w:val="000000"/>
                <w:sz w:val="22"/>
                <w:szCs w:val="22"/>
              </w:rPr>
              <w:t>3</w:t>
            </w:r>
            <w:r w:rsidR="0097386F">
              <w:rPr>
                <w:rFonts w:ascii="Arial" w:hAnsi="Arial" w:cs="Arial"/>
                <w:b/>
                <w:bCs/>
                <w:color w:val="000000"/>
                <w:sz w:val="22"/>
                <w:szCs w:val="22"/>
              </w:rPr>
              <w:t>35</w:t>
            </w:r>
          </w:p>
        </w:tc>
      </w:tr>
      <w:tr w:rsidR="00BE3C46" w:rsidRPr="00D31634" w14:paraId="10126284" w14:textId="77777777" w:rsidTr="00E326DC">
        <w:trPr>
          <w:trHeight w:val="250"/>
        </w:trPr>
        <w:tc>
          <w:tcPr>
            <w:tcW w:w="6936" w:type="dxa"/>
            <w:tcBorders>
              <w:top w:val="nil"/>
              <w:left w:val="single" w:sz="8" w:space="0" w:color="auto"/>
              <w:bottom w:val="nil"/>
              <w:right w:val="nil"/>
            </w:tcBorders>
            <w:shd w:val="clear" w:color="000000" w:fill="CCCCCC"/>
            <w:vAlign w:val="center"/>
          </w:tcPr>
          <w:p w14:paraId="3F542CD1" w14:textId="77777777" w:rsidR="00BE3C46" w:rsidRPr="00D31634" w:rsidRDefault="00BE3C46" w:rsidP="00373BA1">
            <w:pPr>
              <w:rPr>
                <w:rFonts w:ascii="Arial" w:hAnsi="Arial" w:cs="Arial"/>
                <w:b/>
                <w:bCs/>
                <w:color w:val="000000"/>
                <w:sz w:val="22"/>
                <w:szCs w:val="22"/>
              </w:rPr>
            </w:pPr>
          </w:p>
        </w:tc>
        <w:tc>
          <w:tcPr>
            <w:tcW w:w="1326" w:type="dxa"/>
            <w:tcBorders>
              <w:top w:val="nil"/>
              <w:left w:val="nil"/>
              <w:bottom w:val="nil"/>
              <w:right w:val="nil"/>
            </w:tcBorders>
            <w:vAlign w:val="center"/>
          </w:tcPr>
          <w:p w14:paraId="1B4821C6" w14:textId="77777777" w:rsidR="00BE3C46" w:rsidRPr="00D31634" w:rsidRDefault="00BE3C46" w:rsidP="00373BA1">
            <w:pPr>
              <w:rPr>
                <w:rFonts w:ascii="Arial" w:hAnsi="Arial" w:cs="Arial"/>
                <w:b/>
                <w:bCs/>
                <w:color w:val="000000"/>
                <w:sz w:val="22"/>
                <w:szCs w:val="22"/>
              </w:rPr>
            </w:pPr>
          </w:p>
        </w:tc>
        <w:tc>
          <w:tcPr>
            <w:tcW w:w="1462" w:type="dxa"/>
            <w:tcBorders>
              <w:top w:val="nil"/>
              <w:left w:val="nil"/>
              <w:bottom w:val="nil"/>
              <w:right w:val="single" w:sz="8" w:space="0" w:color="auto"/>
            </w:tcBorders>
            <w:shd w:val="clear" w:color="000000" w:fill="CCCCCC"/>
            <w:vAlign w:val="center"/>
          </w:tcPr>
          <w:p w14:paraId="39446639" w14:textId="77777777" w:rsidR="00BE3C46" w:rsidRPr="00D31634" w:rsidRDefault="00BE3C46" w:rsidP="00373BA1">
            <w:pPr>
              <w:jc w:val="right"/>
            </w:pPr>
          </w:p>
        </w:tc>
      </w:tr>
      <w:tr w:rsidR="00373BA1" w:rsidRPr="00D31634" w14:paraId="397313EC" w14:textId="77777777" w:rsidTr="00E326DC">
        <w:trPr>
          <w:trHeight w:val="250"/>
        </w:trPr>
        <w:tc>
          <w:tcPr>
            <w:tcW w:w="6936" w:type="dxa"/>
            <w:tcBorders>
              <w:top w:val="nil"/>
              <w:left w:val="single" w:sz="8" w:space="0" w:color="auto"/>
              <w:bottom w:val="nil"/>
              <w:right w:val="nil"/>
            </w:tcBorders>
            <w:shd w:val="clear" w:color="000000" w:fill="CCCCCC"/>
            <w:vAlign w:val="center"/>
            <w:hideMark/>
          </w:tcPr>
          <w:p w14:paraId="7332931D" w14:textId="77777777" w:rsidR="00373BA1" w:rsidRPr="00D31634" w:rsidRDefault="00373BA1" w:rsidP="00373BA1">
            <w:pPr>
              <w:rPr>
                <w:rFonts w:ascii="Arial" w:hAnsi="Arial" w:cs="Arial"/>
                <w:b/>
                <w:bCs/>
                <w:color w:val="000000"/>
                <w:sz w:val="22"/>
                <w:szCs w:val="22"/>
              </w:rPr>
            </w:pPr>
            <w:r w:rsidRPr="00D31634">
              <w:rPr>
                <w:rFonts w:ascii="Arial" w:hAnsi="Arial" w:cs="Arial"/>
                <w:b/>
                <w:bCs/>
                <w:color w:val="000000"/>
                <w:sz w:val="22"/>
                <w:szCs w:val="22"/>
              </w:rPr>
              <w:t>Income</w:t>
            </w:r>
          </w:p>
        </w:tc>
        <w:tc>
          <w:tcPr>
            <w:tcW w:w="1326" w:type="dxa"/>
            <w:tcBorders>
              <w:top w:val="nil"/>
              <w:left w:val="nil"/>
              <w:bottom w:val="nil"/>
              <w:right w:val="nil"/>
            </w:tcBorders>
            <w:vAlign w:val="center"/>
            <w:hideMark/>
          </w:tcPr>
          <w:p w14:paraId="7642A536" w14:textId="77777777" w:rsidR="00373BA1" w:rsidRPr="00D31634" w:rsidRDefault="00373BA1" w:rsidP="00373BA1">
            <w:pPr>
              <w:rPr>
                <w:rFonts w:ascii="Arial" w:hAnsi="Arial" w:cs="Arial"/>
                <w:b/>
                <w:bCs/>
                <w:color w:val="000000"/>
                <w:sz w:val="22"/>
                <w:szCs w:val="22"/>
              </w:rPr>
            </w:pPr>
          </w:p>
        </w:tc>
        <w:tc>
          <w:tcPr>
            <w:tcW w:w="1462" w:type="dxa"/>
            <w:tcBorders>
              <w:top w:val="nil"/>
              <w:left w:val="nil"/>
              <w:bottom w:val="nil"/>
              <w:right w:val="single" w:sz="8" w:space="0" w:color="auto"/>
            </w:tcBorders>
            <w:shd w:val="clear" w:color="000000" w:fill="CCCCCC"/>
            <w:vAlign w:val="center"/>
            <w:hideMark/>
          </w:tcPr>
          <w:p w14:paraId="75C8F52F" w14:textId="77777777" w:rsidR="00373BA1" w:rsidRPr="00D31634" w:rsidRDefault="00373BA1" w:rsidP="00373BA1">
            <w:pPr>
              <w:jc w:val="right"/>
            </w:pPr>
          </w:p>
        </w:tc>
      </w:tr>
      <w:tr w:rsidR="00BE3C46" w:rsidRPr="00D31634" w14:paraId="4CF40581" w14:textId="77777777" w:rsidTr="00E326DC">
        <w:trPr>
          <w:trHeight w:val="227"/>
        </w:trPr>
        <w:tc>
          <w:tcPr>
            <w:tcW w:w="6936" w:type="dxa"/>
            <w:tcBorders>
              <w:top w:val="nil"/>
              <w:left w:val="single" w:sz="8" w:space="0" w:color="auto"/>
              <w:bottom w:val="nil"/>
              <w:right w:val="nil"/>
            </w:tcBorders>
            <w:shd w:val="clear" w:color="000000" w:fill="CCCCCC"/>
            <w:vAlign w:val="center"/>
            <w:hideMark/>
          </w:tcPr>
          <w:p w14:paraId="0ED0045A"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Fees, charges and other service income</w:t>
            </w:r>
          </w:p>
        </w:tc>
        <w:tc>
          <w:tcPr>
            <w:tcW w:w="1326" w:type="dxa"/>
            <w:tcBorders>
              <w:top w:val="nil"/>
              <w:left w:val="nil"/>
              <w:bottom w:val="nil"/>
              <w:right w:val="nil"/>
            </w:tcBorders>
            <w:vAlign w:val="center"/>
            <w:hideMark/>
          </w:tcPr>
          <w:p w14:paraId="5D43AC56" w14:textId="58F8AA7F"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(23,137)</w:t>
            </w:r>
          </w:p>
        </w:tc>
        <w:tc>
          <w:tcPr>
            <w:tcW w:w="1462" w:type="dxa"/>
            <w:tcBorders>
              <w:top w:val="nil"/>
              <w:left w:val="nil"/>
              <w:bottom w:val="nil"/>
              <w:right w:val="single" w:sz="8" w:space="0" w:color="auto"/>
            </w:tcBorders>
            <w:shd w:val="clear" w:color="000000" w:fill="CCCCCC"/>
            <w:vAlign w:val="center"/>
            <w:hideMark/>
          </w:tcPr>
          <w:p w14:paraId="08374F90" w14:textId="6770E021"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(26,</w:t>
            </w:r>
            <w:r w:rsidR="004E6E05">
              <w:rPr>
                <w:rFonts w:ascii="Arial" w:hAnsi="Arial" w:cs="Arial"/>
                <w:color w:val="000000"/>
                <w:sz w:val="22"/>
                <w:szCs w:val="22"/>
              </w:rPr>
              <w:t>510</w:t>
            </w:r>
            <w:r>
              <w:rPr>
                <w:rFonts w:ascii="Arial" w:hAnsi="Arial" w:cs="Arial"/>
                <w:color w:val="000000"/>
                <w:sz w:val="22"/>
                <w:szCs w:val="22"/>
              </w:rPr>
              <w:t>)</w:t>
            </w:r>
          </w:p>
        </w:tc>
      </w:tr>
      <w:tr w:rsidR="00BE3C46" w:rsidRPr="00D31634" w14:paraId="7F83A160" w14:textId="77777777" w:rsidTr="00E326DC">
        <w:trPr>
          <w:trHeight w:val="227"/>
        </w:trPr>
        <w:tc>
          <w:tcPr>
            <w:tcW w:w="6936" w:type="dxa"/>
            <w:tcBorders>
              <w:top w:val="nil"/>
              <w:left w:val="single" w:sz="8" w:space="0" w:color="auto"/>
              <w:bottom w:val="nil"/>
              <w:right w:val="nil"/>
            </w:tcBorders>
            <w:shd w:val="clear" w:color="000000" w:fill="CCCCCC"/>
            <w:vAlign w:val="center"/>
            <w:hideMark/>
          </w:tcPr>
          <w:p w14:paraId="4883F690"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Interest and investment income</w:t>
            </w:r>
          </w:p>
        </w:tc>
        <w:tc>
          <w:tcPr>
            <w:tcW w:w="1326" w:type="dxa"/>
            <w:tcBorders>
              <w:top w:val="nil"/>
              <w:left w:val="nil"/>
              <w:bottom w:val="nil"/>
              <w:right w:val="nil"/>
            </w:tcBorders>
            <w:vAlign w:val="center"/>
            <w:hideMark/>
          </w:tcPr>
          <w:p w14:paraId="0996BDD8" w14:textId="73E61B13"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(2,316)</w:t>
            </w:r>
          </w:p>
        </w:tc>
        <w:tc>
          <w:tcPr>
            <w:tcW w:w="1462" w:type="dxa"/>
            <w:tcBorders>
              <w:top w:val="nil"/>
              <w:left w:val="nil"/>
              <w:bottom w:val="nil"/>
              <w:right w:val="single" w:sz="8" w:space="0" w:color="auto"/>
            </w:tcBorders>
            <w:shd w:val="clear" w:color="000000" w:fill="CCCCCC"/>
            <w:vAlign w:val="center"/>
            <w:hideMark/>
          </w:tcPr>
          <w:p w14:paraId="76FDBE8A" w14:textId="500A8C7C"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(1,658)</w:t>
            </w:r>
          </w:p>
        </w:tc>
      </w:tr>
      <w:tr w:rsidR="00BE3C46" w:rsidRPr="00D31634" w14:paraId="661634CB" w14:textId="77777777" w:rsidTr="00E326DC">
        <w:trPr>
          <w:trHeight w:val="227"/>
        </w:trPr>
        <w:tc>
          <w:tcPr>
            <w:tcW w:w="6936" w:type="dxa"/>
            <w:tcBorders>
              <w:top w:val="nil"/>
              <w:left w:val="single" w:sz="8" w:space="0" w:color="auto"/>
              <w:bottom w:val="nil"/>
              <w:right w:val="nil"/>
            </w:tcBorders>
            <w:shd w:val="clear" w:color="000000" w:fill="CCCCCC"/>
            <w:vAlign w:val="center"/>
            <w:hideMark/>
          </w:tcPr>
          <w:p w14:paraId="77D2D9C8"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Income from council tax</w:t>
            </w:r>
          </w:p>
        </w:tc>
        <w:tc>
          <w:tcPr>
            <w:tcW w:w="1326" w:type="dxa"/>
            <w:tcBorders>
              <w:top w:val="nil"/>
              <w:left w:val="nil"/>
              <w:bottom w:val="nil"/>
              <w:right w:val="nil"/>
            </w:tcBorders>
            <w:vAlign w:val="center"/>
            <w:hideMark/>
          </w:tcPr>
          <w:p w14:paraId="6EF9BBE0" w14:textId="35D3D52A"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(115,670)</w:t>
            </w:r>
          </w:p>
        </w:tc>
        <w:tc>
          <w:tcPr>
            <w:tcW w:w="1462" w:type="dxa"/>
            <w:tcBorders>
              <w:top w:val="nil"/>
              <w:left w:val="nil"/>
              <w:bottom w:val="nil"/>
              <w:right w:val="single" w:sz="8" w:space="0" w:color="auto"/>
            </w:tcBorders>
            <w:shd w:val="clear" w:color="000000" w:fill="CCCCCC"/>
            <w:vAlign w:val="center"/>
            <w:hideMark/>
          </w:tcPr>
          <w:p w14:paraId="7DA961B4" w14:textId="58503EB2"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(124,017)</w:t>
            </w:r>
          </w:p>
        </w:tc>
      </w:tr>
      <w:tr w:rsidR="00BE3C46" w:rsidRPr="00D31634" w14:paraId="5CB061D4" w14:textId="77777777" w:rsidTr="00E326DC">
        <w:trPr>
          <w:trHeight w:val="227"/>
        </w:trPr>
        <w:tc>
          <w:tcPr>
            <w:tcW w:w="6936" w:type="dxa"/>
            <w:tcBorders>
              <w:top w:val="nil"/>
              <w:left w:val="single" w:sz="8" w:space="0" w:color="auto"/>
              <w:bottom w:val="nil"/>
              <w:right w:val="nil"/>
            </w:tcBorders>
            <w:shd w:val="clear" w:color="000000" w:fill="CCCCCC"/>
            <w:vAlign w:val="center"/>
            <w:hideMark/>
          </w:tcPr>
          <w:p w14:paraId="7CEB8544"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Receipts from sale of non-current assets</w:t>
            </w:r>
          </w:p>
        </w:tc>
        <w:tc>
          <w:tcPr>
            <w:tcW w:w="1326" w:type="dxa"/>
            <w:tcBorders>
              <w:top w:val="nil"/>
              <w:left w:val="nil"/>
              <w:bottom w:val="nil"/>
              <w:right w:val="nil"/>
            </w:tcBorders>
            <w:vAlign w:val="center"/>
            <w:hideMark/>
          </w:tcPr>
          <w:p w14:paraId="72647C6F" w14:textId="3F460C73"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(426)</w:t>
            </w:r>
          </w:p>
        </w:tc>
        <w:tc>
          <w:tcPr>
            <w:tcW w:w="1462" w:type="dxa"/>
            <w:tcBorders>
              <w:top w:val="nil"/>
              <w:left w:val="nil"/>
              <w:bottom w:val="nil"/>
              <w:right w:val="single" w:sz="8" w:space="0" w:color="auto"/>
            </w:tcBorders>
            <w:shd w:val="clear" w:color="000000" w:fill="CCCCCC"/>
            <w:vAlign w:val="center"/>
            <w:hideMark/>
          </w:tcPr>
          <w:p w14:paraId="14069C8C" w14:textId="46505D75"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(439)</w:t>
            </w:r>
          </w:p>
        </w:tc>
      </w:tr>
      <w:tr w:rsidR="00BE3C46" w:rsidRPr="00D31634" w14:paraId="5D3DA9C1" w14:textId="77777777" w:rsidTr="00E326DC">
        <w:trPr>
          <w:trHeight w:val="238"/>
        </w:trPr>
        <w:tc>
          <w:tcPr>
            <w:tcW w:w="6936" w:type="dxa"/>
            <w:tcBorders>
              <w:top w:val="nil"/>
              <w:left w:val="single" w:sz="8" w:space="0" w:color="auto"/>
              <w:bottom w:val="nil"/>
              <w:right w:val="nil"/>
            </w:tcBorders>
            <w:shd w:val="clear" w:color="000000" w:fill="CCCCCC"/>
            <w:vAlign w:val="center"/>
            <w:hideMark/>
          </w:tcPr>
          <w:p w14:paraId="75A5D9FA"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Government grants and contributions</w:t>
            </w:r>
          </w:p>
        </w:tc>
        <w:tc>
          <w:tcPr>
            <w:tcW w:w="1326" w:type="dxa"/>
            <w:tcBorders>
              <w:top w:val="nil"/>
              <w:left w:val="nil"/>
              <w:bottom w:val="nil"/>
              <w:right w:val="nil"/>
            </w:tcBorders>
            <w:vAlign w:val="center"/>
            <w:hideMark/>
          </w:tcPr>
          <w:p w14:paraId="76A85576" w14:textId="63972A78"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(326,640)</w:t>
            </w:r>
          </w:p>
        </w:tc>
        <w:tc>
          <w:tcPr>
            <w:tcW w:w="1462" w:type="dxa"/>
            <w:tcBorders>
              <w:top w:val="nil"/>
              <w:left w:val="nil"/>
              <w:bottom w:val="single" w:sz="8" w:space="0" w:color="auto"/>
              <w:right w:val="single" w:sz="8" w:space="0" w:color="auto"/>
            </w:tcBorders>
            <w:shd w:val="clear" w:color="000000" w:fill="CCCCCC"/>
            <w:vAlign w:val="center"/>
            <w:hideMark/>
          </w:tcPr>
          <w:p w14:paraId="32E383A2" w14:textId="421924CF"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(347,</w:t>
            </w:r>
            <w:r w:rsidR="00A1190D">
              <w:rPr>
                <w:rFonts w:ascii="Arial" w:hAnsi="Arial" w:cs="Arial"/>
                <w:color w:val="000000"/>
                <w:sz w:val="22"/>
                <w:szCs w:val="22"/>
              </w:rPr>
              <w:t>739</w:t>
            </w:r>
            <w:r>
              <w:rPr>
                <w:rFonts w:ascii="Arial" w:hAnsi="Arial" w:cs="Arial"/>
                <w:color w:val="000000"/>
                <w:sz w:val="22"/>
                <w:szCs w:val="22"/>
              </w:rPr>
              <w:t>)</w:t>
            </w:r>
          </w:p>
        </w:tc>
      </w:tr>
      <w:tr w:rsidR="00BE3C46" w:rsidRPr="00D31634" w14:paraId="2A6302B8" w14:textId="77777777" w:rsidTr="00E326DC">
        <w:trPr>
          <w:trHeight w:val="238"/>
        </w:trPr>
        <w:tc>
          <w:tcPr>
            <w:tcW w:w="6936" w:type="dxa"/>
            <w:tcBorders>
              <w:top w:val="nil"/>
              <w:left w:val="single" w:sz="8" w:space="0" w:color="auto"/>
              <w:bottom w:val="nil"/>
              <w:right w:val="nil"/>
            </w:tcBorders>
            <w:shd w:val="clear" w:color="000000" w:fill="CCCCCC"/>
            <w:vAlign w:val="center"/>
            <w:hideMark/>
          </w:tcPr>
          <w:p w14:paraId="21A62B08" w14:textId="77777777" w:rsidR="00BE3C46" w:rsidRPr="00D31634" w:rsidRDefault="00BE3C46" w:rsidP="00BE3C46">
            <w:pPr>
              <w:rPr>
                <w:rFonts w:ascii="Arial" w:hAnsi="Arial" w:cs="Arial"/>
                <w:b/>
                <w:bCs/>
                <w:color w:val="000000"/>
                <w:sz w:val="22"/>
                <w:szCs w:val="22"/>
              </w:rPr>
            </w:pPr>
            <w:r w:rsidRPr="00D31634">
              <w:rPr>
                <w:rFonts w:ascii="Arial" w:hAnsi="Arial" w:cs="Arial"/>
                <w:b/>
                <w:bCs/>
                <w:color w:val="000000"/>
                <w:sz w:val="22"/>
                <w:szCs w:val="22"/>
              </w:rPr>
              <w:t>Total Income</w:t>
            </w:r>
          </w:p>
        </w:tc>
        <w:tc>
          <w:tcPr>
            <w:tcW w:w="1326" w:type="dxa"/>
            <w:tcBorders>
              <w:top w:val="single" w:sz="8" w:space="0" w:color="auto"/>
              <w:left w:val="nil"/>
              <w:bottom w:val="nil"/>
              <w:right w:val="nil"/>
            </w:tcBorders>
            <w:vAlign w:val="center"/>
            <w:hideMark/>
          </w:tcPr>
          <w:p w14:paraId="7ECD842E" w14:textId="7492D895" w:rsidR="00BE3C46" w:rsidRPr="00D31634" w:rsidRDefault="00BE3C46" w:rsidP="00BE3C46">
            <w:pPr>
              <w:jc w:val="right"/>
              <w:rPr>
                <w:rFonts w:ascii="Arial" w:hAnsi="Arial" w:cs="Arial"/>
                <w:b/>
                <w:bCs/>
                <w:color w:val="000000"/>
                <w:sz w:val="22"/>
                <w:szCs w:val="22"/>
              </w:rPr>
            </w:pPr>
            <w:r>
              <w:rPr>
                <w:rFonts w:ascii="Arial" w:hAnsi="Arial" w:cs="Arial"/>
                <w:b/>
                <w:bCs/>
                <w:color w:val="000000"/>
                <w:sz w:val="22"/>
                <w:szCs w:val="22"/>
              </w:rPr>
              <w:t>(468,188)</w:t>
            </w:r>
          </w:p>
        </w:tc>
        <w:tc>
          <w:tcPr>
            <w:tcW w:w="1462" w:type="dxa"/>
            <w:tcBorders>
              <w:top w:val="nil"/>
              <w:left w:val="nil"/>
              <w:bottom w:val="nil"/>
              <w:right w:val="single" w:sz="8" w:space="0" w:color="auto"/>
            </w:tcBorders>
            <w:shd w:val="clear" w:color="000000" w:fill="CCCCCC"/>
            <w:vAlign w:val="center"/>
            <w:hideMark/>
          </w:tcPr>
          <w:p w14:paraId="2D54D458" w14:textId="6C11DB88" w:rsidR="00BE3C46" w:rsidRPr="00D31634" w:rsidRDefault="00BE3C46" w:rsidP="00BE3C46">
            <w:pPr>
              <w:jc w:val="right"/>
              <w:rPr>
                <w:rFonts w:ascii="Arial" w:hAnsi="Arial" w:cs="Arial"/>
                <w:b/>
                <w:bCs/>
                <w:color w:val="000000"/>
                <w:sz w:val="22"/>
                <w:szCs w:val="22"/>
              </w:rPr>
            </w:pPr>
            <w:r>
              <w:rPr>
                <w:rFonts w:ascii="Arial" w:hAnsi="Arial" w:cs="Arial"/>
                <w:b/>
                <w:bCs/>
                <w:color w:val="000000"/>
                <w:sz w:val="22"/>
                <w:szCs w:val="22"/>
              </w:rPr>
              <w:t>(</w:t>
            </w:r>
            <w:r w:rsidR="00A1190D">
              <w:rPr>
                <w:rFonts w:ascii="Arial" w:hAnsi="Arial" w:cs="Arial"/>
                <w:b/>
                <w:bCs/>
                <w:color w:val="000000"/>
                <w:sz w:val="22"/>
                <w:szCs w:val="22"/>
              </w:rPr>
              <w:t>500</w:t>
            </w:r>
            <w:r>
              <w:rPr>
                <w:rFonts w:ascii="Arial" w:hAnsi="Arial" w:cs="Arial"/>
                <w:b/>
                <w:bCs/>
                <w:color w:val="000000"/>
                <w:sz w:val="22"/>
                <w:szCs w:val="22"/>
              </w:rPr>
              <w:t>,</w:t>
            </w:r>
            <w:r w:rsidR="004E6E05">
              <w:rPr>
                <w:rFonts w:ascii="Arial" w:hAnsi="Arial" w:cs="Arial"/>
                <w:b/>
                <w:bCs/>
                <w:color w:val="000000"/>
                <w:sz w:val="22"/>
                <w:szCs w:val="22"/>
              </w:rPr>
              <w:t>363</w:t>
            </w:r>
            <w:r>
              <w:rPr>
                <w:rFonts w:ascii="Arial" w:hAnsi="Arial" w:cs="Arial"/>
                <w:b/>
                <w:bCs/>
                <w:color w:val="000000"/>
                <w:sz w:val="22"/>
                <w:szCs w:val="22"/>
              </w:rPr>
              <w:t>)</w:t>
            </w:r>
          </w:p>
        </w:tc>
      </w:tr>
      <w:tr w:rsidR="00BE3C46" w:rsidRPr="00D31634" w14:paraId="4A245B15" w14:textId="77777777" w:rsidTr="00E326DC">
        <w:trPr>
          <w:trHeight w:val="123"/>
        </w:trPr>
        <w:tc>
          <w:tcPr>
            <w:tcW w:w="6936" w:type="dxa"/>
            <w:tcBorders>
              <w:top w:val="nil"/>
              <w:left w:val="single" w:sz="8" w:space="0" w:color="auto"/>
              <w:bottom w:val="nil"/>
              <w:right w:val="nil"/>
            </w:tcBorders>
            <w:shd w:val="clear" w:color="000000" w:fill="CCCCCC"/>
            <w:vAlign w:val="center"/>
            <w:hideMark/>
          </w:tcPr>
          <w:p w14:paraId="336C2303" w14:textId="77777777" w:rsidR="00BE3C46" w:rsidRPr="00D31634" w:rsidRDefault="00BE3C46" w:rsidP="00BE3C46">
            <w:pPr>
              <w:jc w:val="right"/>
              <w:rPr>
                <w:rFonts w:ascii="Arial" w:hAnsi="Arial" w:cs="Arial"/>
                <w:b/>
                <w:bCs/>
                <w:color w:val="000000"/>
                <w:sz w:val="22"/>
                <w:szCs w:val="22"/>
              </w:rPr>
            </w:pPr>
          </w:p>
        </w:tc>
        <w:tc>
          <w:tcPr>
            <w:tcW w:w="1326" w:type="dxa"/>
            <w:tcBorders>
              <w:top w:val="nil"/>
              <w:left w:val="nil"/>
              <w:bottom w:val="single" w:sz="8" w:space="0" w:color="auto"/>
              <w:right w:val="nil"/>
            </w:tcBorders>
            <w:vAlign w:val="center"/>
            <w:hideMark/>
          </w:tcPr>
          <w:p w14:paraId="5687FF95" w14:textId="77777777" w:rsidR="00BE3C46" w:rsidRPr="00D31634" w:rsidRDefault="00BE3C46" w:rsidP="00BE3C46"/>
        </w:tc>
        <w:tc>
          <w:tcPr>
            <w:tcW w:w="1462" w:type="dxa"/>
            <w:tcBorders>
              <w:top w:val="nil"/>
              <w:left w:val="nil"/>
              <w:bottom w:val="single" w:sz="8" w:space="0" w:color="auto"/>
              <w:right w:val="single" w:sz="8" w:space="0" w:color="auto"/>
            </w:tcBorders>
            <w:shd w:val="clear" w:color="000000" w:fill="CCCCCC"/>
            <w:vAlign w:val="center"/>
            <w:hideMark/>
          </w:tcPr>
          <w:p w14:paraId="3A64DAA2" w14:textId="77777777" w:rsidR="00BE3C46" w:rsidRPr="00D31634" w:rsidRDefault="00BE3C46" w:rsidP="00BE3C46"/>
        </w:tc>
      </w:tr>
      <w:tr w:rsidR="00BE3C46" w:rsidRPr="00D31634" w14:paraId="72422166" w14:textId="77777777" w:rsidTr="00E326DC">
        <w:trPr>
          <w:trHeight w:val="250"/>
        </w:trPr>
        <w:tc>
          <w:tcPr>
            <w:tcW w:w="6936" w:type="dxa"/>
            <w:tcBorders>
              <w:top w:val="nil"/>
              <w:left w:val="single" w:sz="8" w:space="0" w:color="auto"/>
              <w:bottom w:val="single" w:sz="8" w:space="0" w:color="auto"/>
              <w:right w:val="nil"/>
            </w:tcBorders>
            <w:shd w:val="clear" w:color="000000" w:fill="CCCCCC"/>
            <w:vAlign w:val="center"/>
            <w:hideMark/>
          </w:tcPr>
          <w:p w14:paraId="6FC7137C" w14:textId="77777777" w:rsidR="00BE3C46" w:rsidRPr="00D31634" w:rsidRDefault="00BE3C46" w:rsidP="00BE3C46">
            <w:pPr>
              <w:rPr>
                <w:rFonts w:ascii="Arial" w:hAnsi="Arial" w:cs="Arial"/>
                <w:b/>
                <w:bCs/>
                <w:color w:val="000000"/>
                <w:sz w:val="22"/>
                <w:szCs w:val="22"/>
              </w:rPr>
            </w:pPr>
            <w:r w:rsidRPr="00D31634">
              <w:rPr>
                <w:rFonts w:ascii="Arial" w:hAnsi="Arial" w:cs="Arial"/>
                <w:b/>
                <w:bCs/>
                <w:color w:val="000000"/>
                <w:sz w:val="22"/>
                <w:szCs w:val="22"/>
              </w:rPr>
              <w:t>DEFICIT ON PROVISION OF SERVICES</w:t>
            </w:r>
          </w:p>
        </w:tc>
        <w:tc>
          <w:tcPr>
            <w:tcW w:w="1326" w:type="dxa"/>
            <w:tcBorders>
              <w:top w:val="nil"/>
              <w:left w:val="nil"/>
              <w:bottom w:val="single" w:sz="8" w:space="0" w:color="auto"/>
              <w:right w:val="nil"/>
            </w:tcBorders>
            <w:vAlign w:val="center"/>
            <w:hideMark/>
          </w:tcPr>
          <w:p w14:paraId="43437A9A" w14:textId="01A12A12" w:rsidR="00BE3C46" w:rsidRPr="00D31634" w:rsidRDefault="00BE3C46" w:rsidP="00BE3C46">
            <w:pPr>
              <w:jc w:val="right"/>
              <w:rPr>
                <w:rFonts w:ascii="Arial" w:hAnsi="Arial" w:cs="Arial"/>
                <w:b/>
                <w:bCs/>
                <w:color w:val="000000"/>
                <w:sz w:val="22"/>
                <w:szCs w:val="22"/>
              </w:rPr>
            </w:pPr>
            <w:r>
              <w:rPr>
                <w:rFonts w:ascii="Arial" w:hAnsi="Arial" w:cs="Arial"/>
                <w:b/>
                <w:bCs/>
                <w:color w:val="000000"/>
                <w:sz w:val="22"/>
                <w:szCs w:val="22"/>
              </w:rPr>
              <w:t>77,521</w:t>
            </w:r>
          </w:p>
        </w:tc>
        <w:tc>
          <w:tcPr>
            <w:tcW w:w="1462" w:type="dxa"/>
            <w:tcBorders>
              <w:top w:val="nil"/>
              <w:left w:val="nil"/>
              <w:bottom w:val="single" w:sz="8" w:space="0" w:color="auto"/>
              <w:right w:val="single" w:sz="8" w:space="0" w:color="auto"/>
            </w:tcBorders>
            <w:shd w:val="clear" w:color="000000" w:fill="CCCCCC"/>
            <w:vAlign w:val="center"/>
            <w:hideMark/>
          </w:tcPr>
          <w:p w14:paraId="0EC337D8" w14:textId="05E9A389" w:rsidR="00BE3C46" w:rsidRPr="00D31634" w:rsidRDefault="00BE3C46" w:rsidP="00BE3C46">
            <w:pPr>
              <w:jc w:val="right"/>
              <w:rPr>
                <w:rFonts w:ascii="Arial" w:hAnsi="Arial" w:cs="Arial"/>
                <w:b/>
                <w:bCs/>
                <w:color w:val="000000"/>
                <w:sz w:val="22"/>
                <w:szCs w:val="22"/>
              </w:rPr>
            </w:pPr>
            <w:r>
              <w:rPr>
                <w:rFonts w:ascii="Arial" w:hAnsi="Arial" w:cs="Arial"/>
                <w:b/>
                <w:bCs/>
                <w:color w:val="000000"/>
                <w:sz w:val="22"/>
                <w:szCs w:val="22"/>
              </w:rPr>
              <w:t>7</w:t>
            </w:r>
            <w:r w:rsidR="004E6E05">
              <w:rPr>
                <w:rFonts w:ascii="Arial" w:hAnsi="Arial" w:cs="Arial"/>
                <w:b/>
                <w:bCs/>
                <w:color w:val="000000"/>
                <w:sz w:val="22"/>
                <w:szCs w:val="22"/>
              </w:rPr>
              <w:t>2</w:t>
            </w:r>
            <w:r>
              <w:rPr>
                <w:rFonts w:ascii="Arial" w:hAnsi="Arial" w:cs="Arial"/>
                <w:b/>
                <w:bCs/>
                <w:color w:val="000000"/>
                <w:sz w:val="22"/>
                <w:szCs w:val="22"/>
              </w:rPr>
              <w:t>,</w:t>
            </w:r>
            <w:r w:rsidR="004E6E05">
              <w:rPr>
                <w:rFonts w:ascii="Arial" w:hAnsi="Arial" w:cs="Arial"/>
                <w:b/>
                <w:bCs/>
                <w:color w:val="000000"/>
                <w:sz w:val="22"/>
                <w:szCs w:val="22"/>
              </w:rPr>
              <w:t>9</w:t>
            </w:r>
            <w:r w:rsidR="0097386F">
              <w:rPr>
                <w:rFonts w:ascii="Arial" w:hAnsi="Arial" w:cs="Arial"/>
                <w:b/>
                <w:bCs/>
                <w:color w:val="000000"/>
                <w:sz w:val="22"/>
                <w:szCs w:val="22"/>
              </w:rPr>
              <w:t>71</w:t>
            </w:r>
          </w:p>
        </w:tc>
      </w:tr>
    </w:tbl>
    <w:p w14:paraId="5D3220E7" w14:textId="1831998B" w:rsidR="003B74DA" w:rsidRPr="00D31634" w:rsidRDefault="003B74DA" w:rsidP="003B74DA">
      <w:pPr>
        <w:tabs>
          <w:tab w:val="right" w:pos="5760"/>
        </w:tabs>
        <w:ind w:left="720"/>
        <w:rPr>
          <w:rFonts w:ascii="Arial" w:hAnsi="Arial"/>
          <w:sz w:val="16"/>
          <w:szCs w:val="16"/>
        </w:rPr>
      </w:pPr>
    </w:p>
    <w:p w14:paraId="67252877" w14:textId="7339B2E1" w:rsidR="003B74DA" w:rsidRDefault="003B74DA" w:rsidP="004D5349">
      <w:pPr>
        <w:tabs>
          <w:tab w:val="right" w:pos="5760"/>
        </w:tabs>
        <w:rPr>
          <w:rFonts w:ascii="Arial" w:hAnsi="Arial"/>
          <w:sz w:val="22"/>
          <w:szCs w:val="22"/>
        </w:rPr>
      </w:pPr>
      <w:r w:rsidRPr="006243C5">
        <w:rPr>
          <w:rFonts w:ascii="Arial" w:hAnsi="Arial"/>
          <w:sz w:val="22"/>
          <w:szCs w:val="22"/>
        </w:rPr>
        <w:t>The PCC's Single Entity expenditure and income is analysed by nature as follows:</w:t>
      </w:r>
    </w:p>
    <w:p w14:paraId="0FA97D73" w14:textId="44B2BE0C" w:rsidR="00A028DE" w:rsidRPr="00D31634" w:rsidRDefault="00A028DE" w:rsidP="003B74DA">
      <w:pPr>
        <w:tabs>
          <w:tab w:val="right" w:pos="5760"/>
        </w:tabs>
        <w:ind w:left="720"/>
        <w:rPr>
          <w:sz w:val="16"/>
          <w:szCs w:val="16"/>
        </w:rPr>
      </w:pPr>
    </w:p>
    <w:tbl>
      <w:tblPr>
        <w:tblW w:w="9716" w:type="dxa"/>
        <w:tblCellMar>
          <w:top w:w="15" w:type="dxa"/>
          <w:bottom w:w="15" w:type="dxa"/>
        </w:tblCellMar>
        <w:tblLook w:val="04A0" w:firstRow="1" w:lastRow="0" w:firstColumn="1" w:lastColumn="0" w:noHBand="0" w:noVBand="1"/>
      </w:tblPr>
      <w:tblGrid>
        <w:gridCol w:w="6868"/>
        <w:gridCol w:w="1424"/>
        <w:gridCol w:w="1424"/>
      </w:tblGrid>
      <w:tr w:rsidR="00D31634" w:rsidRPr="00D31634" w14:paraId="5163F9F2" w14:textId="77777777" w:rsidTr="00D31634">
        <w:trPr>
          <w:trHeight w:val="237"/>
        </w:trPr>
        <w:tc>
          <w:tcPr>
            <w:tcW w:w="6868" w:type="dxa"/>
            <w:tcBorders>
              <w:top w:val="single" w:sz="8" w:space="0" w:color="auto"/>
              <w:left w:val="single" w:sz="8" w:space="0" w:color="auto"/>
              <w:bottom w:val="nil"/>
              <w:right w:val="nil"/>
            </w:tcBorders>
            <w:shd w:val="clear" w:color="000000" w:fill="CCCCCC"/>
            <w:vAlign w:val="center"/>
            <w:hideMark/>
          </w:tcPr>
          <w:p w14:paraId="5640C630" w14:textId="77777777" w:rsidR="00D31634" w:rsidRPr="00D31634" w:rsidRDefault="00D31634" w:rsidP="00D31634">
            <w:pPr>
              <w:rPr>
                <w:sz w:val="24"/>
                <w:szCs w:val="24"/>
              </w:rPr>
            </w:pPr>
          </w:p>
        </w:tc>
        <w:tc>
          <w:tcPr>
            <w:tcW w:w="1424" w:type="dxa"/>
            <w:tcBorders>
              <w:top w:val="single" w:sz="8" w:space="0" w:color="auto"/>
              <w:left w:val="nil"/>
              <w:bottom w:val="nil"/>
              <w:right w:val="nil"/>
            </w:tcBorders>
            <w:vAlign w:val="center"/>
            <w:hideMark/>
          </w:tcPr>
          <w:p w14:paraId="0DFFF442" w14:textId="758AD472" w:rsidR="00D31634" w:rsidRPr="00D31634" w:rsidRDefault="00C37E7F" w:rsidP="00BE3C46">
            <w:pPr>
              <w:jc w:val="right"/>
              <w:rPr>
                <w:rFonts w:ascii="Arial" w:hAnsi="Arial" w:cs="Arial"/>
                <w:b/>
                <w:bCs/>
                <w:color w:val="000000"/>
                <w:sz w:val="22"/>
                <w:szCs w:val="22"/>
              </w:rPr>
            </w:pPr>
            <w:r>
              <w:rPr>
                <w:rFonts w:ascii="Arial" w:hAnsi="Arial" w:cs="Arial"/>
                <w:b/>
                <w:bCs/>
                <w:color w:val="000000"/>
                <w:sz w:val="22"/>
                <w:szCs w:val="22"/>
              </w:rPr>
              <w:t>2023/24</w:t>
            </w:r>
          </w:p>
        </w:tc>
        <w:tc>
          <w:tcPr>
            <w:tcW w:w="1424" w:type="dxa"/>
            <w:tcBorders>
              <w:top w:val="single" w:sz="8" w:space="0" w:color="auto"/>
              <w:left w:val="nil"/>
              <w:bottom w:val="nil"/>
              <w:right w:val="single" w:sz="8" w:space="0" w:color="auto"/>
            </w:tcBorders>
            <w:shd w:val="clear" w:color="000000" w:fill="CCCCCC"/>
            <w:vAlign w:val="center"/>
            <w:hideMark/>
          </w:tcPr>
          <w:p w14:paraId="2F4A5322" w14:textId="637C1904" w:rsidR="00D31634" w:rsidRPr="00D31634" w:rsidRDefault="00C37E7F" w:rsidP="00D31634">
            <w:pPr>
              <w:jc w:val="right"/>
              <w:rPr>
                <w:rFonts w:ascii="Arial" w:hAnsi="Arial" w:cs="Arial"/>
                <w:b/>
                <w:bCs/>
                <w:color w:val="000000"/>
                <w:sz w:val="22"/>
                <w:szCs w:val="22"/>
              </w:rPr>
            </w:pPr>
            <w:r>
              <w:rPr>
                <w:rFonts w:ascii="Arial" w:hAnsi="Arial" w:cs="Arial"/>
                <w:b/>
                <w:bCs/>
                <w:color w:val="000000"/>
                <w:sz w:val="22"/>
                <w:szCs w:val="22"/>
              </w:rPr>
              <w:t>2024/25</w:t>
            </w:r>
          </w:p>
        </w:tc>
      </w:tr>
      <w:tr w:rsidR="00D31634" w:rsidRPr="00D31634" w14:paraId="14F6A28D" w14:textId="77777777" w:rsidTr="00D31634">
        <w:trPr>
          <w:trHeight w:val="237"/>
        </w:trPr>
        <w:tc>
          <w:tcPr>
            <w:tcW w:w="6868" w:type="dxa"/>
            <w:tcBorders>
              <w:top w:val="nil"/>
              <w:left w:val="single" w:sz="8" w:space="0" w:color="auto"/>
              <w:bottom w:val="nil"/>
              <w:right w:val="nil"/>
            </w:tcBorders>
            <w:shd w:val="clear" w:color="000000" w:fill="CCCCCC"/>
            <w:vAlign w:val="center"/>
            <w:hideMark/>
          </w:tcPr>
          <w:p w14:paraId="5B424761" w14:textId="77777777" w:rsidR="00D31634" w:rsidRPr="00D31634" w:rsidRDefault="00D31634" w:rsidP="00D31634">
            <w:pPr>
              <w:jc w:val="right"/>
            </w:pPr>
          </w:p>
        </w:tc>
        <w:tc>
          <w:tcPr>
            <w:tcW w:w="1424" w:type="dxa"/>
            <w:tcBorders>
              <w:top w:val="nil"/>
              <w:left w:val="nil"/>
              <w:bottom w:val="nil"/>
              <w:right w:val="nil"/>
            </w:tcBorders>
            <w:vAlign w:val="center"/>
            <w:hideMark/>
          </w:tcPr>
          <w:p w14:paraId="18B94DA0" w14:textId="77777777" w:rsidR="00D31634" w:rsidRPr="00D31634" w:rsidRDefault="00D31634" w:rsidP="00D31634">
            <w:pPr>
              <w:jc w:val="right"/>
              <w:rPr>
                <w:rFonts w:ascii="Arial" w:hAnsi="Arial" w:cs="Arial"/>
                <w:b/>
                <w:bCs/>
                <w:color w:val="000000"/>
                <w:sz w:val="22"/>
                <w:szCs w:val="22"/>
              </w:rPr>
            </w:pPr>
            <w:r w:rsidRPr="00D31634">
              <w:rPr>
                <w:rFonts w:ascii="Arial" w:hAnsi="Arial" w:cs="Arial"/>
                <w:b/>
                <w:bCs/>
                <w:color w:val="000000"/>
                <w:sz w:val="22"/>
                <w:szCs w:val="22"/>
              </w:rPr>
              <w:t>£000</w:t>
            </w:r>
          </w:p>
        </w:tc>
        <w:tc>
          <w:tcPr>
            <w:tcW w:w="1424" w:type="dxa"/>
            <w:tcBorders>
              <w:top w:val="nil"/>
              <w:left w:val="nil"/>
              <w:bottom w:val="nil"/>
              <w:right w:val="single" w:sz="8" w:space="0" w:color="auto"/>
            </w:tcBorders>
            <w:shd w:val="clear" w:color="000000" w:fill="CCCCCC"/>
            <w:vAlign w:val="center"/>
            <w:hideMark/>
          </w:tcPr>
          <w:p w14:paraId="17E3B07E" w14:textId="77777777" w:rsidR="00D31634" w:rsidRPr="00D31634" w:rsidRDefault="00D31634" w:rsidP="00D31634">
            <w:pPr>
              <w:jc w:val="right"/>
              <w:rPr>
                <w:rFonts w:ascii="Arial" w:hAnsi="Arial" w:cs="Arial"/>
                <w:b/>
                <w:bCs/>
                <w:color w:val="000000"/>
                <w:sz w:val="22"/>
                <w:szCs w:val="22"/>
              </w:rPr>
            </w:pPr>
            <w:r w:rsidRPr="00D31634">
              <w:rPr>
                <w:rFonts w:ascii="Arial" w:hAnsi="Arial" w:cs="Arial"/>
                <w:b/>
                <w:bCs/>
                <w:color w:val="000000"/>
                <w:sz w:val="22"/>
                <w:szCs w:val="22"/>
              </w:rPr>
              <w:t>£000</w:t>
            </w:r>
          </w:p>
        </w:tc>
      </w:tr>
      <w:tr w:rsidR="00D31634" w:rsidRPr="00D31634" w14:paraId="54DCC939" w14:textId="77777777" w:rsidTr="00D31634">
        <w:trPr>
          <w:trHeight w:val="170"/>
        </w:trPr>
        <w:tc>
          <w:tcPr>
            <w:tcW w:w="6868" w:type="dxa"/>
            <w:tcBorders>
              <w:top w:val="nil"/>
              <w:left w:val="single" w:sz="8" w:space="0" w:color="auto"/>
              <w:bottom w:val="nil"/>
              <w:right w:val="nil"/>
            </w:tcBorders>
            <w:shd w:val="clear" w:color="000000" w:fill="CCCCCC"/>
            <w:vAlign w:val="center"/>
            <w:hideMark/>
          </w:tcPr>
          <w:p w14:paraId="54C6A75B" w14:textId="77777777" w:rsidR="00D31634" w:rsidRPr="00D31634" w:rsidRDefault="00D31634" w:rsidP="00D31634">
            <w:pPr>
              <w:rPr>
                <w:rFonts w:ascii="Arial" w:hAnsi="Arial" w:cs="Arial"/>
                <w:b/>
                <w:bCs/>
                <w:color w:val="000000"/>
                <w:sz w:val="22"/>
                <w:szCs w:val="22"/>
              </w:rPr>
            </w:pPr>
            <w:r w:rsidRPr="00D31634">
              <w:rPr>
                <w:rFonts w:ascii="Arial" w:hAnsi="Arial" w:cs="Arial"/>
                <w:b/>
                <w:bCs/>
                <w:color w:val="000000"/>
                <w:sz w:val="22"/>
                <w:szCs w:val="22"/>
              </w:rPr>
              <w:t>Expenditure</w:t>
            </w:r>
          </w:p>
        </w:tc>
        <w:tc>
          <w:tcPr>
            <w:tcW w:w="1424" w:type="dxa"/>
            <w:tcBorders>
              <w:top w:val="nil"/>
              <w:left w:val="nil"/>
              <w:bottom w:val="nil"/>
              <w:right w:val="nil"/>
            </w:tcBorders>
            <w:vAlign w:val="center"/>
            <w:hideMark/>
          </w:tcPr>
          <w:p w14:paraId="640F275F" w14:textId="77777777" w:rsidR="00D31634" w:rsidRPr="00D31634" w:rsidRDefault="00D31634" w:rsidP="00D31634">
            <w:pPr>
              <w:rPr>
                <w:rFonts w:ascii="Arial" w:hAnsi="Arial" w:cs="Arial"/>
                <w:b/>
                <w:bCs/>
                <w:color w:val="000000"/>
                <w:sz w:val="22"/>
                <w:szCs w:val="22"/>
              </w:rPr>
            </w:pPr>
          </w:p>
        </w:tc>
        <w:tc>
          <w:tcPr>
            <w:tcW w:w="1424" w:type="dxa"/>
            <w:tcBorders>
              <w:top w:val="nil"/>
              <w:left w:val="nil"/>
              <w:bottom w:val="nil"/>
              <w:right w:val="single" w:sz="8" w:space="0" w:color="auto"/>
            </w:tcBorders>
            <w:shd w:val="clear" w:color="000000" w:fill="CCCCCC"/>
            <w:vAlign w:val="center"/>
            <w:hideMark/>
          </w:tcPr>
          <w:p w14:paraId="34665522" w14:textId="77777777" w:rsidR="00D31634" w:rsidRPr="00D31634" w:rsidRDefault="00D31634" w:rsidP="00D31634"/>
        </w:tc>
      </w:tr>
      <w:tr w:rsidR="00BE3C46" w:rsidRPr="00D31634" w14:paraId="66A58CA0" w14:textId="77777777" w:rsidTr="00B27992">
        <w:trPr>
          <w:trHeight w:val="225"/>
        </w:trPr>
        <w:tc>
          <w:tcPr>
            <w:tcW w:w="6868" w:type="dxa"/>
            <w:tcBorders>
              <w:top w:val="nil"/>
              <w:left w:val="single" w:sz="8" w:space="0" w:color="auto"/>
              <w:bottom w:val="nil"/>
              <w:right w:val="nil"/>
            </w:tcBorders>
            <w:shd w:val="clear" w:color="000000" w:fill="CCCCCC"/>
            <w:vAlign w:val="center"/>
            <w:hideMark/>
          </w:tcPr>
          <w:p w14:paraId="352081AD"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Employee expenses</w:t>
            </w:r>
          </w:p>
        </w:tc>
        <w:tc>
          <w:tcPr>
            <w:tcW w:w="1424" w:type="dxa"/>
            <w:tcBorders>
              <w:top w:val="nil"/>
              <w:left w:val="nil"/>
              <w:bottom w:val="nil"/>
              <w:right w:val="nil"/>
            </w:tcBorders>
            <w:vAlign w:val="center"/>
            <w:hideMark/>
          </w:tcPr>
          <w:p w14:paraId="3B1B87E4" w14:textId="5A1CA0B2"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1,156</w:t>
            </w:r>
          </w:p>
        </w:tc>
        <w:tc>
          <w:tcPr>
            <w:tcW w:w="1424" w:type="dxa"/>
            <w:tcBorders>
              <w:top w:val="nil"/>
              <w:left w:val="nil"/>
              <w:bottom w:val="nil"/>
              <w:right w:val="single" w:sz="8" w:space="0" w:color="auto"/>
            </w:tcBorders>
            <w:shd w:val="clear" w:color="000000" w:fill="CCCCCC"/>
            <w:vAlign w:val="center"/>
            <w:hideMark/>
          </w:tcPr>
          <w:p w14:paraId="2A38F897" w14:textId="1B43DA28"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1,810</w:t>
            </w:r>
          </w:p>
        </w:tc>
      </w:tr>
      <w:tr w:rsidR="00BE3C46" w:rsidRPr="00D31634" w14:paraId="51E28B21" w14:textId="77777777" w:rsidTr="00B27992">
        <w:trPr>
          <w:trHeight w:val="225"/>
        </w:trPr>
        <w:tc>
          <w:tcPr>
            <w:tcW w:w="6868" w:type="dxa"/>
            <w:tcBorders>
              <w:top w:val="nil"/>
              <w:left w:val="single" w:sz="8" w:space="0" w:color="auto"/>
              <w:bottom w:val="nil"/>
              <w:right w:val="nil"/>
            </w:tcBorders>
            <w:shd w:val="clear" w:color="000000" w:fill="CCCCCC"/>
            <w:vAlign w:val="center"/>
            <w:hideMark/>
          </w:tcPr>
          <w:p w14:paraId="7810B2CF"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Other service expenses</w:t>
            </w:r>
          </w:p>
        </w:tc>
        <w:tc>
          <w:tcPr>
            <w:tcW w:w="1424" w:type="dxa"/>
            <w:tcBorders>
              <w:top w:val="nil"/>
              <w:left w:val="nil"/>
              <w:bottom w:val="nil"/>
              <w:right w:val="nil"/>
            </w:tcBorders>
            <w:vAlign w:val="center"/>
            <w:hideMark/>
          </w:tcPr>
          <w:p w14:paraId="33A8A37D" w14:textId="5DE92D7C"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7,916</w:t>
            </w:r>
          </w:p>
        </w:tc>
        <w:tc>
          <w:tcPr>
            <w:tcW w:w="1424" w:type="dxa"/>
            <w:tcBorders>
              <w:top w:val="nil"/>
              <w:left w:val="nil"/>
              <w:bottom w:val="nil"/>
              <w:right w:val="single" w:sz="8" w:space="0" w:color="auto"/>
            </w:tcBorders>
            <w:shd w:val="clear" w:color="000000" w:fill="CCCCCC"/>
            <w:vAlign w:val="center"/>
            <w:hideMark/>
          </w:tcPr>
          <w:p w14:paraId="6794C8A7" w14:textId="2365100D"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8,</w:t>
            </w:r>
            <w:r w:rsidR="00CE4015">
              <w:rPr>
                <w:rFonts w:ascii="Arial" w:hAnsi="Arial" w:cs="Arial"/>
                <w:color w:val="000000"/>
                <w:sz w:val="22"/>
                <w:szCs w:val="22"/>
              </w:rPr>
              <w:t>7</w:t>
            </w:r>
            <w:r w:rsidR="0097386F">
              <w:rPr>
                <w:rFonts w:ascii="Arial" w:hAnsi="Arial" w:cs="Arial"/>
                <w:color w:val="000000"/>
                <w:sz w:val="22"/>
                <w:szCs w:val="22"/>
              </w:rPr>
              <w:t>53</w:t>
            </w:r>
          </w:p>
        </w:tc>
      </w:tr>
      <w:tr w:rsidR="00BE3C46" w:rsidRPr="00D31634" w14:paraId="086F80C0" w14:textId="77777777" w:rsidTr="00B27992">
        <w:trPr>
          <w:trHeight w:val="225"/>
        </w:trPr>
        <w:tc>
          <w:tcPr>
            <w:tcW w:w="6868" w:type="dxa"/>
            <w:tcBorders>
              <w:top w:val="nil"/>
              <w:left w:val="single" w:sz="8" w:space="0" w:color="auto"/>
              <w:bottom w:val="nil"/>
              <w:right w:val="nil"/>
            </w:tcBorders>
            <w:shd w:val="clear" w:color="000000" w:fill="CCCCCC"/>
            <w:vAlign w:val="center"/>
            <w:hideMark/>
          </w:tcPr>
          <w:p w14:paraId="7B00505E" w14:textId="3923075E" w:rsidR="00BE3C46" w:rsidRPr="00D31634" w:rsidRDefault="00C73F58" w:rsidP="00BE3C46">
            <w:pPr>
              <w:rPr>
                <w:rFonts w:ascii="Arial" w:hAnsi="Arial" w:cs="Arial"/>
                <w:color w:val="000000"/>
                <w:sz w:val="22"/>
                <w:szCs w:val="22"/>
              </w:rPr>
            </w:pPr>
            <w:r w:rsidRPr="00C73F58">
              <w:rPr>
                <w:rFonts w:ascii="Arial" w:hAnsi="Arial" w:cs="Arial"/>
                <w:color w:val="000000"/>
                <w:sz w:val="22"/>
                <w:szCs w:val="22"/>
              </w:rPr>
              <w:t>Revaluation and Impairment losses</w:t>
            </w:r>
          </w:p>
        </w:tc>
        <w:tc>
          <w:tcPr>
            <w:tcW w:w="1424" w:type="dxa"/>
            <w:tcBorders>
              <w:top w:val="nil"/>
              <w:left w:val="nil"/>
              <w:bottom w:val="nil"/>
              <w:right w:val="nil"/>
            </w:tcBorders>
            <w:vAlign w:val="center"/>
            <w:hideMark/>
          </w:tcPr>
          <w:p w14:paraId="56182F1E" w14:textId="73AE714C"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0</w:t>
            </w:r>
          </w:p>
        </w:tc>
        <w:tc>
          <w:tcPr>
            <w:tcW w:w="1424" w:type="dxa"/>
            <w:tcBorders>
              <w:top w:val="nil"/>
              <w:left w:val="nil"/>
              <w:bottom w:val="nil"/>
              <w:right w:val="single" w:sz="8" w:space="0" w:color="auto"/>
            </w:tcBorders>
            <w:shd w:val="clear" w:color="000000" w:fill="CCCCCC"/>
            <w:vAlign w:val="center"/>
            <w:hideMark/>
          </w:tcPr>
          <w:p w14:paraId="78D46D3C" w14:textId="7E572AB8"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65</w:t>
            </w:r>
          </w:p>
        </w:tc>
      </w:tr>
      <w:tr w:rsidR="00BE3C46" w:rsidRPr="00D31634" w14:paraId="1F2E5984" w14:textId="77777777" w:rsidTr="00B27992">
        <w:trPr>
          <w:trHeight w:val="237"/>
        </w:trPr>
        <w:tc>
          <w:tcPr>
            <w:tcW w:w="6868" w:type="dxa"/>
            <w:tcBorders>
              <w:top w:val="nil"/>
              <w:left w:val="single" w:sz="8" w:space="0" w:color="auto"/>
              <w:bottom w:val="nil"/>
              <w:right w:val="nil"/>
            </w:tcBorders>
            <w:shd w:val="clear" w:color="000000" w:fill="CCCCCC"/>
            <w:vAlign w:val="center"/>
            <w:hideMark/>
          </w:tcPr>
          <w:p w14:paraId="38AAF33B"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Interest expenses</w:t>
            </w:r>
          </w:p>
        </w:tc>
        <w:tc>
          <w:tcPr>
            <w:tcW w:w="1424" w:type="dxa"/>
            <w:tcBorders>
              <w:top w:val="nil"/>
              <w:left w:val="nil"/>
              <w:bottom w:val="nil"/>
              <w:right w:val="nil"/>
            </w:tcBorders>
            <w:vAlign w:val="center"/>
            <w:hideMark/>
          </w:tcPr>
          <w:p w14:paraId="11420217" w14:textId="612F9DC2"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2,814</w:t>
            </w:r>
          </w:p>
        </w:tc>
        <w:tc>
          <w:tcPr>
            <w:tcW w:w="1424" w:type="dxa"/>
            <w:tcBorders>
              <w:top w:val="nil"/>
              <w:left w:val="nil"/>
              <w:bottom w:val="nil"/>
              <w:right w:val="single" w:sz="8" w:space="0" w:color="auto"/>
            </w:tcBorders>
            <w:shd w:val="clear" w:color="000000" w:fill="CCCCCC"/>
            <w:vAlign w:val="center"/>
            <w:hideMark/>
          </w:tcPr>
          <w:p w14:paraId="2C56F629" w14:textId="4BA3EAB7"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3,469</w:t>
            </w:r>
          </w:p>
        </w:tc>
      </w:tr>
      <w:tr w:rsidR="00BE3C46" w:rsidRPr="00D31634" w14:paraId="12331D5B" w14:textId="77777777" w:rsidTr="00B27992">
        <w:trPr>
          <w:trHeight w:val="225"/>
        </w:trPr>
        <w:tc>
          <w:tcPr>
            <w:tcW w:w="6868" w:type="dxa"/>
            <w:tcBorders>
              <w:top w:val="nil"/>
              <w:left w:val="single" w:sz="8" w:space="0" w:color="auto"/>
              <w:bottom w:val="nil"/>
              <w:right w:val="nil"/>
            </w:tcBorders>
            <w:shd w:val="clear" w:color="000000" w:fill="CCCCCC"/>
            <w:vAlign w:val="center"/>
            <w:hideMark/>
          </w:tcPr>
          <w:p w14:paraId="61FCA213"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Write out of NCA sold in year</w:t>
            </w:r>
          </w:p>
        </w:tc>
        <w:tc>
          <w:tcPr>
            <w:tcW w:w="1424" w:type="dxa"/>
            <w:tcBorders>
              <w:top w:val="nil"/>
              <w:left w:val="nil"/>
              <w:bottom w:val="nil"/>
              <w:right w:val="nil"/>
            </w:tcBorders>
            <w:vAlign w:val="center"/>
            <w:hideMark/>
          </w:tcPr>
          <w:p w14:paraId="33E28FF7" w14:textId="52ADACFC"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508</w:t>
            </w:r>
          </w:p>
        </w:tc>
        <w:tc>
          <w:tcPr>
            <w:tcW w:w="1424" w:type="dxa"/>
            <w:tcBorders>
              <w:top w:val="nil"/>
              <w:left w:val="nil"/>
              <w:bottom w:val="nil"/>
              <w:right w:val="single" w:sz="8" w:space="0" w:color="auto"/>
            </w:tcBorders>
            <w:shd w:val="clear" w:color="000000" w:fill="CCCCCC"/>
            <w:vAlign w:val="center"/>
            <w:hideMark/>
          </w:tcPr>
          <w:p w14:paraId="15B9C123" w14:textId="79FEB046"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395</w:t>
            </w:r>
          </w:p>
        </w:tc>
      </w:tr>
      <w:tr w:rsidR="00BE3C46" w:rsidRPr="00D31634" w14:paraId="027F6D72" w14:textId="77777777" w:rsidTr="00B27992">
        <w:trPr>
          <w:trHeight w:val="237"/>
        </w:trPr>
        <w:tc>
          <w:tcPr>
            <w:tcW w:w="6868" w:type="dxa"/>
            <w:tcBorders>
              <w:top w:val="nil"/>
              <w:left w:val="single" w:sz="8" w:space="0" w:color="auto"/>
              <w:bottom w:val="nil"/>
              <w:right w:val="nil"/>
            </w:tcBorders>
            <w:shd w:val="clear" w:color="000000" w:fill="CCCCCC"/>
            <w:vAlign w:val="center"/>
            <w:hideMark/>
          </w:tcPr>
          <w:p w14:paraId="4DF9E408"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Impairment allowance</w:t>
            </w:r>
          </w:p>
        </w:tc>
        <w:tc>
          <w:tcPr>
            <w:tcW w:w="1424" w:type="dxa"/>
            <w:tcBorders>
              <w:top w:val="nil"/>
              <w:left w:val="nil"/>
              <w:bottom w:val="nil"/>
              <w:right w:val="nil"/>
            </w:tcBorders>
            <w:vAlign w:val="center"/>
            <w:hideMark/>
          </w:tcPr>
          <w:p w14:paraId="06ADD4B0" w14:textId="10F86808"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(3)</w:t>
            </w:r>
          </w:p>
        </w:tc>
        <w:tc>
          <w:tcPr>
            <w:tcW w:w="1424" w:type="dxa"/>
            <w:tcBorders>
              <w:top w:val="nil"/>
              <w:left w:val="nil"/>
              <w:bottom w:val="nil"/>
              <w:right w:val="single" w:sz="8" w:space="0" w:color="auto"/>
            </w:tcBorders>
            <w:shd w:val="clear" w:color="000000" w:fill="CCCCCC"/>
            <w:vAlign w:val="center"/>
            <w:hideMark/>
          </w:tcPr>
          <w:p w14:paraId="55C505E1" w14:textId="506288A9"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14</w:t>
            </w:r>
          </w:p>
        </w:tc>
      </w:tr>
      <w:tr w:rsidR="00BE3C46" w:rsidRPr="00D31634" w14:paraId="2C0CAA33" w14:textId="77777777" w:rsidTr="00B27992">
        <w:trPr>
          <w:trHeight w:val="237"/>
        </w:trPr>
        <w:tc>
          <w:tcPr>
            <w:tcW w:w="6868" w:type="dxa"/>
            <w:tcBorders>
              <w:top w:val="nil"/>
              <w:left w:val="single" w:sz="8" w:space="0" w:color="auto"/>
              <w:bottom w:val="nil"/>
              <w:right w:val="nil"/>
            </w:tcBorders>
            <w:shd w:val="clear" w:color="000000" w:fill="CCCCCC"/>
            <w:vAlign w:val="center"/>
            <w:hideMark/>
          </w:tcPr>
          <w:p w14:paraId="6D9666AF" w14:textId="77777777" w:rsidR="00BE3C46" w:rsidRPr="00D31634" w:rsidRDefault="00BE3C46" w:rsidP="00BE3C46">
            <w:pPr>
              <w:rPr>
                <w:rFonts w:ascii="Arial" w:hAnsi="Arial" w:cs="Arial"/>
                <w:color w:val="000000"/>
                <w:sz w:val="22"/>
                <w:szCs w:val="22"/>
              </w:rPr>
            </w:pPr>
            <w:r w:rsidRPr="00D31634">
              <w:rPr>
                <w:rFonts w:ascii="Arial" w:hAnsi="Arial" w:cs="Arial"/>
                <w:color w:val="000000"/>
                <w:sz w:val="22"/>
                <w:szCs w:val="22"/>
              </w:rPr>
              <w:t>PCC funding of CC</w:t>
            </w:r>
          </w:p>
        </w:tc>
        <w:tc>
          <w:tcPr>
            <w:tcW w:w="1424" w:type="dxa"/>
            <w:tcBorders>
              <w:top w:val="nil"/>
              <w:left w:val="nil"/>
              <w:bottom w:val="single" w:sz="8" w:space="0" w:color="auto"/>
              <w:right w:val="nil"/>
            </w:tcBorders>
            <w:vAlign w:val="center"/>
            <w:hideMark/>
          </w:tcPr>
          <w:p w14:paraId="3DEE313A" w14:textId="75899A6D"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463,176</w:t>
            </w:r>
          </w:p>
        </w:tc>
        <w:tc>
          <w:tcPr>
            <w:tcW w:w="1424" w:type="dxa"/>
            <w:tcBorders>
              <w:top w:val="nil"/>
              <w:left w:val="nil"/>
              <w:bottom w:val="single" w:sz="8" w:space="0" w:color="auto"/>
              <w:right w:val="single" w:sz="8" w:space="0" w:color="auto"/>
            </w:tcBorders>
            <w:shd w:val="clear" w:color="000000" w:fill="CCCCCC"/>
            <w:vAlign w:val="center"/>
            <w:hideMark/>
          </w:tcPr>
          <w:p w14:paraId="75E34CF8" w14:textId="7725985D" w:rsidR="00BE3C46" w:rsidRPr="00D31634" w:rsidRDefault="00BE3C46" w:rsidP="00BE3C46">
            <w:pPr>
              <w:jc w:val="right"/>
              <w:rPr>
                <w:rFonts w:ascii="Arial" w:hAnsi="Arial" w:cs="Arial"/>
                <w:color w:val="000000"/>
                <w:sz w:val="22"/>
                <w:szCs w:val="22"/>
              </w:rPr>
            </w:pPr>
            <w:r>
              <w:rPr>
                <w:rFonts w:ascii="Arial" w:hAnsi="Arial" w:cs="Arial"/>
                <w:color w:val="000000"/>
                <w:sz w:val="22"/>
                <w:szCs w:val="22"/>
              </w:rPr>
              <w:t>492,99</w:t>
            </w:r>
            <w:r w:rsidR="0097386F">
              <w:rPr>
                <w:rFonts w:ascii="Arial" w:hAnsi="Arial" w:cs="Arial"/>
                <w:color w:val="000000"/>
                <w:sz w:val="22"/>
                <w:szCs w:val="22"/>
              </w:rPr>
              <w:t>5</w:t>
            </w:r>
          </w:p>
        </w:tc>
      </w:tr>
      <w:tr w:rsidR="00BE3C46" w:rsidRPr="00D31634" w14:paraId="14750B1E" w14:textId="77777777" w:rsidTr="00B27992">
        <w:trPr>
          <w:trHeight w:val="237"/>
        </w:trPr>
        <w:tc>
          <w:tcPr>
            <w:tcW w:w="6868" w:type="dxa"/>
            <w:tcBorders>
              <w:top w:val="nil"/>
              <w:left w:val="single" w:sz="8" w:space="0" w:color="auto"/>
              <w:bottom w:val="nil"/>
              <w:right w:val="nil"/>
            </w:tcBorders>
            <w:shd w:val="clear" w:color="000000" w:fill="CCCCCC"/>
            <w:vAlign w:val="center"/>
            <w:hideMark/>
          </w:tcPr>
          <w:p w14:paraId="7CEA33C6" w14:textId="77777777" w:rsidR="00BE3C46" w:rsidRPr="00D31634" w:rsidRDefault="00BE3C46" w:rsidP="00BE3C46">
            <w:pPr>
              <w:rPr>
                <w:rFonts w:ascii="Arial" w:hAnsi="Arial" w:cs="Arial"/>
                <w:b/>
                <w:bCs/>
                <w:color w:val="000000"/>
                <w:sz w:val="22"/>
                <w:szCs w:val="22"/>
              </w:rPr>
            </w:pPr>
            <w:r w:rsidRPr="00D31634">
              <w:rPr>
                <w:rFonts w:ascii="Arial" w:hAnsi="Arial" w:cs="Arial"/>
                <w:b/>
                <w:bCs/>
                <w:color w:val="000000"/>
                <w:sz w:val="22"/>
                <w:szCs w:val="22"/>
              </w:rPr>
              <w:t>Total expenditure</w:t>
            </w:r>
          </w:p>
        </w:tc>
        <w:tc>
          <w:tcPr>
            <w:tcW w:w="1424" w:type="dxa"/>
            <w:tcBorders>
              <w:top w:val="nil"/>
              <w:left w:val="nil"/>
              <w:bottom w:val="nil"/>
              <w:right w:val="nil"/>
            </w:tcBorders>
            <w:vAlign w:val="center"/>
            <w:hideMark/>
          </w:tcPr>
          <w:p w14:paraId="3FD13D8C" w14:textId="3EA3C7D9" w:rsidR="00BE3C46" w:rsidRPr="00D31634" w:rsidRDefault="00BE3C46" w:rsidP="00BE3C46">
            <w:pPr>
              <w:jc w:val="right"/>
              <w:rPr>
                <w:rFonts w:ascii="Arial" w:hAnsi="Arial" w:cs="Arial"/>
                <w:b/>
                <w:bCs/>
                <w:color w:val="000000"/>
                <w:sz w:val="22"/>
                <w:szCs w:val="22"/>
              </w:rPr>
            </w:pPr>
            <w:r>
              <w:rPr>
                <w:rFonts w:ascii="Arial" w:hAnsi="Arial" w:cs="Arial"/>
                <w:b/>
                <w:bCs/>
                <w:color w:val="000000"/>
                <w:sz w:val="22"/>
                <w:szCs w:val="22"/>
              </w:rPr>
              <w:t>475,567</w:t>
            </w:r>
          </w:p>
        </w:tc>
        <w:tc>
          <w:tcPr>
            <w:tcW w:w="1424" w:type="dxa"/>
            <w:tcBorders>
              <w:top w:val="nil"/>
              <w:left w:val="nil"/>
              <w:bottom w:val="nil"/>
              <w:right w:val="single" w:sz="8" w:space="0" w:color="auto"/>
            </w:tcBorders>
            <w:shd w:val="clear" w:color="000000" w:fill="CCCCCC"/>
            <w:vAlign w:val="center"/>
            <w:hideMark/>
          </w:tcPr>
          <w:p w14:paraId="5932FF32" w14:textId="26FBA036" w:rsidR="00BE3C46" w:rsidRPr="00D31634" w:rsidRDefault="00BE3C46" w:rsidP="00BE3C46">
            <w:pPr>
              <w:jc w:val="right"/>
              <w:rPr>
                <w:rFonts w:ascii="Arial" w:hAnsi="Arial" w:cs="Arial"/>
                <w:b/>
                <w:bCs/>
                <w:color w:val="000000"/>
                <w:sz w:val="22"/>
                <w:szCs w:val="22"/>
              </w:rPr>
            </w:pPr>
            <w:r>
              <w:rPr>
                <w:rFonts w:ascii="Arial" w:hAnsi="Arial" w:cs="Arial"/>
                <w:b/>
                <w:bCs/>
                <w:color w:val="000000"/>
                <w:sz w:val="22"/>
                <w:szCs w:val="22"/>
              </w:rPr>
              <w:t>507,</w:t>
            </w:r>
            <w:r w:rsidR="00D20E57">
              <w:rPr>
                <w:rFonts w:ascii="Arial" w:hAnsi="Arial" w:cs="Arial"/>
                <w:b/>
                <w:bCs/>
                <w:color w:val="000000"/>
                <w:sz w:val="22"/>
                <w:szCs w:val="22"/>
              </w:rPr>
              <w:t>501</w:t>
            </w:r>
          </w:p>
        </w:tc>
      </w:tr>
      <w:tr w:rsidR="00BE3C46" w:rsidRPr="00D31634" w14:paraId="4FB23958" w14:textId="77777777" w:rsidTr="00D31634">
        <w:trPr>
          <w:trHeight w:val="249"/>
        </w:trPr>
        <w:tc>
          <w:tcPr>
            <w:tcW w:w="6868" w:type="dxa"/>
            <w:tcBorders>
              <w:top w:val="nil"/>
              <w:left w:val="single" w:sz="8" w:space="0" w:color="auto"/>
              <w:bottom w:val="nil"/>
              <w:right w:val="nil"/>
            </w:tcBorders>
            <w:shd w:val="clear" w:color="000000" w:fill="CCCCCC"/>
            <w:vAlign w:val="center"/>
          </w:tcPr>
          <w:p w14:paraId="58861E07" w14:textId="77777777" w:rsidR="00BE3C46" w:rsidRPr="00D31634" w:rsidRDefault="00BE3C46" w:rsidP="00BE3C46">
            <w:pPr>
              <w:rPr>
                <w:rFonts w:ascii="Arial" w:hAnsi="Arial" w:cs="Arial"/>
                <w:b/>
                <w:bCs/>
                <w:color w:val="000000"/>
                <w:sz w:val="22"/>
                <w:szCs w:val="22"/>
              </w:rPr>
            </w:pPr>
          </w:p>
        </w:tc>
        <w:tc>
          <w:tcPr>
            <w:tcW w:w="1424" w:type="dxa"/>
            <w:tcBorders>
              <w:top w:val="nil"/>
              <w:left w:val="nil"/>
              <w:bottom w:val="nil"/>
              <w:right w:val="nil"/>
            </w:tcBorders>
            <w:vAlign w:val="center"/>
          </w:tcPr>
          <w:p w14:paraId="2C3AE2A3" w14:textId="77777777" w:rsidR="00BE3C46" w:rsidRPr="00D31634" w:rsidRDefault="00BE3C46" w:rsidP="00BE3C46">
            <w:pPr>
              <w:rPr>
                <w:rFonts w:ascii="Arial" w:hAnsi="Arial" w:cs="Arial"/>
                <w:b/>
                <w:bCs/>
                <w:color w:val="000000"/>
                <w:sz w:val="22"/>
                <w:szCs w:val="22"/>
              </w:rPr>
            </w:pPr>
          </w:p>
        </w:tc>
        <w:tc>
          <w:tcPr>
            <w:tcW w:w="1424" w:type="dxa"/>
            <w:tcBorders>
              <w:top w:val="nil"/>
              <w:left w:val="nil"/>
              <w:bottom w:val="nil"/>
              <w:right w:val="single" w:sz="8" w:space="0" w:color="auto"/>
            </w:tcBorders>
            <w:shd w:val="clear" w:color="000000" w:fill="CCCCCC"/>
            <w:vAlign w:val="center"/>
          </w:tcPr>
          <w:p w14:paraId="6A1556DD" w14:textId="77777777" w:rsidR="00BE3C46" w:rsidRPr="00D31634" w:rsidRDefault="00BE3C46" w:rsidP="00BE3C46">
            <w:pPr>
              <w:jc w:val="right"/>
            </w:pPr>
          </w:p>
        </w:tc>
      </w:tr>
      <w:tr w:rsidR="00BE3C46" w:rsidRPr="00D31634" w14:paraId="4609E07A" w14:textId="77777777" w:rsidTr="00D31634">
        <w:trPr>
          <w:trHeight w:val="249"/>
        </w:trPr>
        <w:tc>
          <w:tcPr>
            <w:tcW w:w="6868" w:type="dxa"/>
            <w:tcBorders>
              <w:top w:val="nil"/>
              <w:left w:val="single" w:sz="8" w:space="0" w:color="auto"/>
              <w:bottom w:val="nil"/>
              <w:right w:val="nil"/>
            </w:tcBorders>
            <w:shd w:val="clear" w:color="000000" w:fill="CCCCCC"/>
            <w:vAlign w:val="center"/>
            <w:hideMark/>
          </w:tcPr>
          <w:p w14:paraId="5F8D41D0" w14:textId="77777777" w:rsidR="00BE3C46" w:rsidRPr="00D31634" w:rsidRDefault="00BE3C46" w:rsidP="00BE3C46">
            <w:pPr>
              <w:rPr>
                <w:rFonts w:ascii="Arial" w:hAnsi="Arial" w:cs="Arial"/>
                <w:b/>
                <w:bCs/>
                <w:color w:val="000000"/>
                <w:sz w:val="22"/>
                <w:szCs w:val="22"/>
              </w:rPr>
            </w:pPr>
            <w:r w:rsidRPr="00D31634">
              <w:rPr>
                <w:rFonts w:ascii="Arial" w:hAnsi="Arial" w:cs="Arial"/>
                <w:b/>
                <w:bCs/>
                <w:color w:val="000000"/>
                <w:sz w:val="22"/>
                <w:szCs w:val="22"/>
              </w:rPr>
              <w:t>Income</w:t>
            </w:r>
          </w:p>
        </w:tc>
        <w:tc>
          <w:tcPr>
            <w:tcW w:w="1424" w:type="dxa"/>
            <w:tcBorders>
              <w:top w:val="nil"/>
              <w:left w:val="nil"/>
              <w:bottom w:val="nil"/>
              <w:right w:val="nil"/>
            </w:tcBorders>
            <w:vAlign w:val="center"/>
            <w:hideMark/>
          </w:tcPr>
          <w:p w14:paraId="4922BCA0" w14:textId="77777777" w:rsidR="00BE3C46" w:rsidRPr="00D31634" w:rsidRDefault="00BE3C46" w:rsidP="00BE3C46">
            <w:pPr>
              <w:rPr>
                <w:rFonts w:ascii="Arial" w:hAnsi="Arial" w:cs="Arial"/>
                <w:b/>
                <w:bCs/>
                <w:color w:val="000000"/>
                <w:sz w:val="22"/>
                <w:szCs w:val="22"/>
              </w:rPr>
            </w:pPr>
          </w:p>
        </w:tc>
        <w:tc>
          <w:tcPr>
            <w:tcW w:w="1424" w:type="dxa"/>
            <w:tcBorders>
              <w:top w:val="nil"/>
              <w:left w:val="nil"/>
              <w:bottom w:val="nil"/>
              <w:right w:val="single" w:sz="8" w:space="0" w:color="auto"/>
            </w:tcBorders>
            <w:shd w:val="clear" w:color="000000" w:fill="CCCCCC"/>
            <w:vAlign w:val="center"/>
            <w:hideMark/>
          </w:tcPr>
          <w:p w14:paraId="54AB2DD3" w14:textId="77777777" w:rsidR="00BE3C46" w:rsidRPr="00D31634" w:rsidRDefault="00BE3C46" w:rsidP="00BE3C46">
            <w:pPr>
              <w:jc w:val="right"/>
            </w:pPr>
          </w:p>
        </w:tc>
      </w:tr>
      <w:tr w:rsidR="0081706E" w:rsidRPr="00D31634" w14:paraId="2E0A4A5E" w14:textId="77777777" w:rsidTr="00B27992">
        <w:trPr>
          <w:trHeight w:val="225"/>
        </w:trPr>
        <w:tc>
          <w:tcPr>
            <w:tcW w:w="6868" w:type="dxa"/>
            <w:tcBorders>
              <w:top w:val="nil"/>
              <w:left w:val="single" w:sz="8" w:space="0" w:color="auto"/>
              <w:bottom w:val="nil"/>
              <w:right w:val="nil"/>
            </w:tcBorders>
            <w:shd w:val="clear" w:color="000000" w:fill="CCCCCC"/>
            <w:vAlign w:val="center"/>
            <w:hideMark/>
          </w:tcPr>
          <w:p w14:paraId="03F58696" w14:textId="77777777" w:rsidR="0081706E" w:rsidRPr="00D31634" w:rsidRDefault="0081706E" w:rsidP="0081706E">
            <w:pPr>
              <w:rPr>
                <w:rFonts w:ascii="Arial" w:hAnsi="Arial" w:cs="Arial"/>
                <w:color w:val="000000"/>
                <w:sz w:val="22"/>
                <w:szCs w:val="22"/>
              </w:rPr>
            </w:pPr>
            <w:r w:rsidRPr="00D31634">
              <w:rPr>
                <w:rFonts w:ascii="Arial" w:hAnsi="Arial" w:cs="Arial"/>
                <w:color w:val="000000"/>
                <w:sz w:val="22"/>
                <w:szCs w:val="22"/>
              </w:rPr>
              <w:t>Fees, charges and other service income</w:t>
            </w:r>
          </w:p>
        </w:tc>
        <w:tc>
          <w:tcPr>
            <w:tcW w:w="1424" w:type="dxa"/>
            <w:tcBorders>
              <w:top w:val="nil"/>
              <w:left w:val="nil"/>
              <w:bottom w:val="nil"/>
              <w:right w:val="nil"/>
            </w:tcBorders>
            <w:vAlign w:val="center"/>
            <w:hideMark/>
          </w:tcPr>
          <w:p w14:paraId="7D38C8EF" w14:textId="212822F3"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(23,137)</w:t>
            </w:r>
          </w:p>
        </w:tc>
        <w:tc>
          <w:tcPr>
            <w:tcW w:w="1424" w:type="dxa"/>
            <w:tcBorders>
              <w:top w:val="nil"/>
              <w:left w:val="nil"/>
              <w:bottom w:val="nil"/>
              <w:right w:val="single" w:sz="8" w:space="0" w:color="auto"/>
            </w:tcBorders>
            <w:shd w:val="clear" w:color="000000" w:fill="CCCCCC"/>
            <w:vAlign w:val="center"/>
            <w:hideMark/>
          </w:tcPr>
          <w:p w14:paraId="06816B9E" w14:textId="3307825C"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(26,</w:t>
            </w:r>
            <w:r w:rsidR="00805AED">
              <w:rPr>
                <w:rFonts w:ascii="Arial" w:hAnsi="Arial" w:cs="Arial"/>
                <w:color w:val="000000"/>
                <w:sz w:val="22"/>
                <w:szCs w:val="22"/>
              </w:rPr>
              <w:t>510</w:t>
            </w:r>
            <w:r>
              <w:rPr>
                <w:rFonts w:ascii="Arial" w:hAnsi="Arial" w:cs="Arial"/>
                <w:color w:val="000000"/>
                <w:sz w:val="22"/>
                <w:szCs w:val="22"/>
              </w:rPr>
              <w:t>)</w:t>
            </w:r>
          </w:p>
        </w:tc>
      </w:tr>
      <w:tr w:rsidR="0081706E" w:rsidRPr="00D31634" w14:paraId="625B5C3B" w14:textId="77777777" w:rsidTr="00B27992">
        <w:trPr>
          <w:trHeight w:val="225"/>
        </w:trPr>
        <w:tc>
          <w:tcPr>
            <w:tcW w:w="6868" w:type="dxa"/>
            <w:tcBorders>
              <w:top w:val="nil"/>
              <w:left w:val="single" w:sz="8" w:space="0" w:color="auto"/>
              <w:bottom w:val="nil"/>
              <w:right w:val="nil"/>
            </w:tcBorders>
            <w:shd w:val="clear" w:color="000000" w:fill="CCCCCC"/>
            <w:vAlign w:val="center"/>
            <w:hideMark/>
          </w:tcPr>
          <w:p w14:paraId="5BD3B3F1" w14:textId="77777777" w:rsidR="0081706E" w:rsidRPr="00D31634" w:rsidRDefault="0081706E" w:rsidP="0081706E">
            <w:pPr>
              <w:rPr>
                <w:rFonts w:ascii="Arial" w:hAnsi="Arial" w:cs="Arial"/>
                <w:color w:val="000000"/>
                <w:sz w:val="22"/>
                <w:szCs w:val="22"/>
              </w:rPr>
            </w:pPr>
            <w:r w:rsidRPr="00D31634">
              <w:rPr>
                <w:rFonts w:ascii="Arial" w:hAnsi="Arial" w:cs="Arial"/>
                <w:color w:val="000000"/>
                <w:sz w:val="22"/>
                <w:szCs w:val="22"/>
              </w:rPr>
              <w:t>Interest and investment income</w:t>
            </w:r>
          </w:p>
        </w:tc>
        <w:tc>
          <w:tcPr>
            <w:tcW w:w="1424" w:type="dxa"/>
            <w:tcBorders>
              <w:top w:val="nil"/>
              <w:left w:val="nil"/>
              <w:bottom w:val="nil"/>
              <w:right w:val="nil"/>
            </w:tcBorders>
            <w:vAlign w:val="center"/>
            <w:hideMark/>
          </w:tcPr>
          <w:p w14:paraId="63AAFC71" w14:textId="03846DD7"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(2,316)</w:t>
            </w:r>
          </w:p>
        </w:tc>
        <w:tc>
          <w:tcPr>
            <w:tcW w:w="1424" w:type="dxa"/>
            <w:tcBorders>
              <w:top w:val="nil"/>
              <w:left w:val="nil"/>
              <w:bottom w:val="nil"/>
              <w:right w:val="single" w:sz="8" w:space="0" w:color="auto"/>
            </w:tcBorders>
            <w:shd w:val="clear" w:color="000000" w:fill="CCCCCC"/>
            <w:vAlign w:val="center"/>
            <w:hideMark/>
          </w:tcPr>
          <w:p w14:paraId="31A3575D" w14:textId="7EC0A5B2"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(1,658)</w:t>
            </w:r>
          </w:p>
        </w:tc>
      </w:tr>
      <w:tr w:rsidR="0081706E" w:rsidRPr="00D31634" w14:paraId="300F9BFF" w14:textId="77777777" w:rsidTr="00B27992">
        <w:trPr>
          <w:trHeight w:val="225"/>
        </w:trPr>
        <w:tc>
          <w:tcPr>
            <w:tcW w:w="6868" w:type="dxa"/>
            <w:tcBorders>
              <w:top w:val="nil"/>
              <w:left w:val="single" w:sz="8" w:space="0" w:color="auto"/>
              <w:bottom w:val="nil"/>
              <w:right w:val="nil"/>
            </w:tcBorders>
            <w:shd w:val="clear" w:color="000000" w:fill="CCCCCC"/>
            <w:vAlign w:val="center"/>
            <w:hideMark/>
          </w:tcPr>
          <w:p w14:paraId="65EE2E48" w14:textId="77777777" w:rsidR="0081706E" w:rsidRPr="00D31634" w:rsidRDefault="0081706E" w:rsidP="0081706E">
            <w:pPr>
              <w:rPr>
                <w:rFonts w:ascii="Arial" w:hAnsi="Arial" w:cs="Arial"/>
                <w:color w:val="000000"/>
                <w:sz w:val="22"/>
                <w:szCs w:val="22"/>
              </w:rPr>
            </w:pPr>
            <w:r w:rsidRPr="00D31634">
              <w:rPr>
                <w:rFonts w:ascii="Arial" w:hAnsi="Arial" w:cs="Arial"/>
                <w:color w:val="000000"/>
                <w:sz w:val="22"/>
                <w:szCs w:val="22"/>
              </w:rPr>
              <w:t>Income from council tax</w:t>
            </w:r>
          </w:p>
        </w:tc>
        <w:tc>
          <w:tcPr>
            <w:tcW w:w="1424" w:type="dxa"/>
            <w:tcBorders>
              <w:top w:val="nil"/>
              <w:left w:val="nil"/>
              <w:bottom w:val="nil"/>
              <w:right w:val="nil"/>
            </w:tcBorders>
            <w:vAlign w:val="center"/>
            <w:hideMark/>
          </w:tcPr>
          <w:p w14:paraId="7D725ABE" w14:textId="357467EF"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(115,670)</w:t>
            </w:r>
          </w:p>
        </w:tc>
        <w:tc>
          <w:tcPr>
            <w:tcW w:w="1424" w:type="dxa"/>
            <w:tcBorders>
              <w:top w:val="nil"/>
              <w:left w:val="nil"/>
              <w:bottom w:val="nil"/>
              <w:right w:val="single" w:sz="8" w:space="0" w:color="auto"/>
            </w:tcBorders>
            <w:shd w:val="clear" w:color="000000" w:fill="CCCCCC"/>
            <w:vAlign w:val="center"/>
            <w:hideMark/>
          </w:tcPr>
          <w:p w14:paraId="27101C04" w14:textId="723E7D71"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(124,017)</w:t>
            </w:r>
          </w:p>
        </w:tc>
      </w:tr>
      <w:tr w:rsidR="0081706E" w:rsidRPr="00D31634" w14:paraId="1C60BB7E" w14:textId="77777777" w:rsidTr="00B27992">
        <w:trPr>
          <w:trHeight w:val="225"/>
        </w:trPr>
        <w:tc>
          <w:tcPr>
            <w:tcW w:w="6868" w:type="dxa"/>
            <w:tcBorders>
              <w:top w:val="nil"/>
              <w:left w:val="single" w:sz="8" w:space="0" w:color="auto"/>
              <w:bottom w:val="nil"/>
              <w:right w:val="nil"/>
            </w:tcBorders>
            <w:shd w:val="clear" w:color="000000" w:fill="CCCCCC"/>
            <w:vAlign w:val="center"/>
            <w:hideMark/>
          </w:tcPr>
          <w:p w14:paraId="3334018E" w14:textId="77777777" w:rsidR="0081706E" w:rsidRPr="00D31634" w:rsidRDefault="0081706E" w:rsidP="0081706E">
            <w:pPr>
              <w:rPr>
                <w:rFonts w:ascii="Arial" w:hAnsi="Arial" w:cs="Arial"/>
                <w:color w:val="000000"/>
                <w:sz w:val="22"/>
                <w:szCs w:val="22"/>
              </w:rPr>
            </w:pPr>
            <w:r w:rsidRPr="00D31634">
              <w:rPr>
                <w:rFonts w:ascii="Arial" w:hAnsi="Arial" w:cs="Arial"/>
                <w:color w:val="000000"/>
                <w:sz w:val="22"/>
                <w:szCs w:val="22"/>
              </w:rPr>
              <w:t>Receipts from sale of non-current assets</w:t>
            </w:r>
          </w:p>
        </w:tc>
        <w:tc>
          <w:tcPr>
            <w:tcW w:w="1424" w:type="dxa"/>
            <w:tcBorders>
              <w:top w:val="nil"/>
              <w:left w:val="nil"/>
              <w:bottom w:val="nil"/>
              <w:right w:val="nil"/>
            </w:tcBorders>
            <w:vAlign w:val="center"/>
            <w:hideMark/>
          </w:tcPr>
          <w:p w14:paraId="6D2C7FC5" w14:textId="164EEB2B"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(426)</w:t>
            </w:r>
          </w:p>
        </w:tc>
        <w:tc>
          <w:tcPr>
            <w:tcW w:w="1424" w:type="dxa"/>
            <w:tcBorders>
              <w:top w:val="nil"/>
              <w:left w:val="nil"/>
              <w:bottom w:val="nil"/>
              <w:right w:val="single" w:sz="8" w:space="0" w:color="auto"/>
            </w:tcBorders>
            <w:shd w:val="clear" w:color="000000" w:fill="CCCCCC"/>
            <w:vAlign w:val="center"/>
            <w:hideMark/>
          </w:tcPr>
          <w:p w14:paraId="5F2EAAF1" w14:textId="65182354"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(439)</w:t>
            </w:r>
          </w:p>
        </w:tc>
      </w:tr>
      <w:tr w:rsidR="0081706E" w:rsidRPr="00D31634" w14:paraId="2DFA73AC" w14:textId="77777777" w:rsidTr="00B27992">
        <w:trPr>
          <w:trHeight w:val="237"/>
        </w:trPr>
        <w:tc>
          <w:tcPr>
            <w:tcW w:w="6868" w:type="dxa"/>
            <w:tcBorders>
              <w:top w:val="nil"/>
              <w:left w:val="single" w:sz="8" w:space="0" w:color="auto"/>
              <w:bottom w:val="nil"/>
              <w:right w:val="nil"/>
            </w:tcBorders>
            <w:shd w:val="clear" w:color="000000" w:fill="CCCCCC"/>
            <w:vAlign w:val="center"/>
            <w:hideMark/>
          </w:tcPr>
          <w:p w14:paraId="46057F61" w14:textId="77777777" w:rsidR="0081706E" w:rsidRPr="00D31634" w:rsidRDefault="0081706E" w:rsidP="0081706E">
            <w:pPr>
              <w:rPr>
                <w:rFonts w:ascii="Arial" w:hAnsi="Arial" w:cs="Arial"/>
                <w:color w:val="000000"/>
                <w:sz w:val="22"/>
                <w:szCs w:val="22"/>
              </w:rPr>
            </w:pPr>
            <w:r w:rsidRPr="00D31634">
              <w:rPr>
                <w:rFonts w:ascii="Arial" w:hAnsi="Arial" w:cs="Arial"/>
                <w:color w:val="000000"/>
                <w:sz w:val="22"/>
                <w:szCs w:val="22"/>
              </w:rPr>
              <w:t>Government grants and contributions</w:t>
            </w:r>
          </w:p>
        </w:tc>
        <w:tc>
          <w:tcPr>
            <w:tcW w:w="1424" w:type="dxa"/>
            <w:tcBorders>
              <w:top w:val="nil"/>
              <w:left w:val="nil"/>
              <w:bottom w:val="nil"/>
              <w:right w:val="nil"/>
            </w:tcBorders>
            <w:vAlign w:val="center"/>
            <w:hideMark/>
          </w:tcPr>
          <w:p w14:paraId="5BF48554" w14:textId="0D68AA31"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(326,640)</w:t>
            </w:r>
          </w:p>
        </w:tc>
        <w:tc>
          <w:tcPr>
            <w:tcW w:w="1424" w:type="dxa"/>
            <w:tcBorders>
              <w:top w:val="nil"/>
              <w:left w:val="nil"/>
              <w:bottom w:val="single" w:sz="8" w:space="0" w:color="auto"/>
              <w:right w:val="single" w:sz="8" w:space="0" w:color="auto"/>
            </w:tcBorders>
            <w:shd w:val="clear" w:color="000000" w:fill="CCCCCC"/>
            <w:vAlign w:val="center"/>
            <w:hideMark/>
          </w:tcPr>
          <w:p w14:paraId="4EABC03B" w14:textId="3615B984" w:rsidR="0081706E" w:rsidRPr="00D31634" w:rsidRDefault="0081706E" w:rsidP="0081706E">
            <w:pPr>
              <w:jc w:val="right"/>
              <w:rPr>
                <w:rFonts w:ascii="Arial" w:hAnsi="Arial" w:cs="Arial"/>
                <w:color w:val="000000"/>
                <w:sz w:val="22"/>
                <w:szCs w:val="22"/>
              </w:rPr>
            </w:pPr>
            <w:r>
              <w:rPr>
                <w:rFonts w:ascii="Arial" w:hAnsi="Arial" w:cs="Arial"/>
                <w:color w:val="000000"/>
                <w:sz w:val="22"/>
                <w:szCs w:val="22"/>
              </w:rPr>
              <w:t>(347,</w:t>
            </w:r>
            <w:r w:rsidR="009619E1">
              <w:rPr>
                <w:rFonts w:ascii="Arial" w:hAnsi="Arial" w:cs="Arial"/>
                <w:color w:val="000000"/>
                <w:sz w:val="22"/>
                <w:szCs w:val="22"/>
              </w:rPr>
              <w:t>739</w:t>
            </w:r>
            <w:r>
              <w:rPr>
                <w:rFonts w:ascii="Arial" w:hAnsi="Arial" w:cs="Arial"/>
                <w:color w:val="000000"/>
                <w:sz w:val="22"/>
                <w:szCs w:val="22"/>
              </w:rPr>
              <w:t>)</w:t>
            </w:r>
          </w:p>
        </w:tc>
      </w:tr>
      <w:tr w:rsidR="0081706E" w:rsidRPr="00D31634" w14:paraId="1D3BBE9A" w14:textId="77777777" w:rsidTr="00B27992">
        <w:trPr>
          <w:trHeight w:val="237"/>
        </w:trPr>
        <w:tc>
          <w:tcPr>
            <w:tcW w:w="6868" w:type="dxa"/>
            <w:tcBorders>
              <w:top w:val="nil"/>
              <w:left w:val="single" w:sz="8" w:space="0" w:color="auto"/>
              <w:bottom w:val="nil"/>
              <w:right w:val="nil"/>
            </w:tcBorders>
            <w:shd w:val="clear" w:color="000000" w:fill="CCCCCC"/>
            <w:vAlign w:val="center"/>
            <w:hideMark/>
          </w:tcPr>
          <w:p w14:paraId="7C3457F6" w14:textId="77777777" w:rsidR="0081706E" w:rsidRPr="00D31634" w:rsidRDefault="0081706E" w:rsidP="0081706E">
            <w:pPr>
              <w:rPr>
                <w:rFonts w:ascii="Arial" w:hAnsi="Arial" w:cs="Arial"/>
                <w:b/>
                <w:bCs/>
                <w:color w:val="000000"/>
                <w:sz w:val="22"/>
                <w:szCs w:val="22"/>
              </w:rPr>
            </w:pPr>
            <w:r w:rsidRPr="00D31634">
              <w:rPr>
                <w:rFonts w:ascii="Arial" w:hAnsi="Arial" w:cs="Arial"/>
                <w:b/>
                <w:bCs/>
                <w:color w:val="000000"/>
                <w:sz w:val="22"/>
                <w:szCs w:val="22"/>
              </w:rPr>
              <w:t>Total Income</w:t>
            </w:r>
          </w:p>
        </w:tc>
        <w:tc>
          <w:tcPr>
            <w:tcW w:w="1424" w:type="dxa"/>
            <w:tcBorders>
              <w:top w:val="single" w:sz="8" w:space="0" w:color="auto"/>
              <w:left w:val="nil"/>
              <w:bottom w:val="nil"/>
              <w:right w:val="nil"/>
            </w:tcBorders>
            <w:vAlign w:val="center"/>
            <w:hideMark/>
          </w:tcPr>
          <w:p w14:paraId="7F1F6755" w14:textId="5B716B84" w:rsidR="0081706E" w:rsidRPr="00D31634" w:rsidRDefault="0081706E" w:rsidP="0081706E">
            <w:pPr>
              <w:jc w:val="right"/>
              <w:rPr>
                <w:rFonts w:ascii="Arial" w:hAnsi="Arial" w:cs="Arial"/>
                <w:b/>
                <w:bCs/>
                <w:color w:val="000000"/>
                <w:sz w:val="22"/>
                <w:szCs w:val="22"/>
              </w:rPr>
            </w:pPr>
            <w:r>
              <w:rPr>
                <w:rFonts w:ascii="Arial" w:hAnsi="Arial" w:cs="Arial"/>
                <w:b/>
                <w:bCs/>
                <w:color w:val="000000"/>
                <w:sz w:val="22"/>
                <w:szCs w:val="22"/>
              </w:rPr>
              <w:t>(468,188)</w:t>
            </w:r>
          </w:p>
        </w:tc>
        <w:tc>
          <w:tcPr>
            <w:tcW w:w="1424" w:type="dxa"/>
            <w:tcBorders>
              <w:top w:val="nil"/>
              <w:left w:val="nil"/>
              <w:bottom w:val="nil"/>
              <w:right w:val="single" w:sz="8" w:space="0" w:color="auto"/>
            </w:tcBorders>
            <w:shd w:val="clear" w:color="000000" w:fill="CCCCCC"/>
            <w:vAlign w:val="center"/>
            <w:hideMark/>
          </w:tcPr>
          <w:p w14:paraId="72CC2887" w14:textId="18D24A2B" w:rsidR="0081706E" w:rsidRPr="00D31634" w:rsidRDefault="0081706E" w:rsidP="0081706E">
            <w:pPr>
              <w:jc w:val="right"/>
              <w:rPr>
                <w:rFonts w:ascii="Arial" w:hAnsi="Arial" w:cs="Arial"/>
                <w:b/>
                <w:bCs/>
                <w:color w:val="000000"/>
                <w:sz w:val="22"/>
                <w:szCs w:val="22"/>
              </w:rPr>
            </w:pPr>
            <w:r>
              <w:rPr>
                <w:rFonts w:ascii="Arial" w:hAnsi="Arial" w:cs="Arial"/>
                <w:b/>
                <w:bCs/>
                <w:color w:val="000000"/>
                <w:sz w:val="22"/>
                <w:szCs w:val="22"/>
              </w:rPr>
              <w:t>(</w:t>
            </w:r>
            <w:r w:rsidR="009619E1">
              <w:rPr>
                <w:rFonts w:ascii="Arial" w:hAnsi="Arial" w:cs="Arial"/>
                <w:b/>
                <w:bCs/>
                <w:color w:val="000000"/>
                <w:sz w:val="22"/>
                <w:szCs w:val="22"/>
              </w:rPr>
              <w:t>500</w:t>
            </w:r>
            <w:r>
              <w:rPr>
                <w:rFonts w:ascii="Arial" w:hAnsi="Arial" w:cs="Arial"/>
                <w:b/>
                <w:bCs/>
                <w:color w:val="000000"/>
                <w:sz w:val="22"/>
                <w:szCs w:val="22"/>
              </w:rPr>
              <w:t>,</w:t>
            </w:r>
            <w:r w:rsidR="00AD3ADD">
              <w:rPr>
                <w:rFonts w:ascii="Arial" w:hAnsi="Arial" w:cs="Arial"/>
                <w:b/>
                <w:bCs/>
                <w:color w:val="000000"/>
                <w:sz w:val="22"/>
                <w:szCs w:val="22"/>
              </w:rPr>
              <w:t>363</w:t>
            </w:r>
            <w:r>
              <w:rPr>
                <w:rFonts w:ascii="Arial" w:hAnsi="Arial" w:cs="Arial"/>
                <w:b/>
                <w:bCs/>
                <w:color w:val="000000"/>
                <w:sz w:val="22"/>
                <w:szCs w:val="22"/>
              </w:rPr>
              <w:t>)</w:t>
            </w:r>
          </w:p>
        </w:tc>
      </w:tr>
      <w:tr w:rsidR="0081706E" w:rsidRPr="00D31634" w14:paraId="23D4D382" w14:textId="77777777" w:rsidTr="00956AA8">
        <w:trPr>
          <w:trHeight w:val="249"/>
        </w:trPr>
        <w:tc>
          <w:tcPr>
            <w:tcW w:w="6868" w:type="dxa"/>
            <w:tcBorders>
              <w:top w:val="nil"/>
              <w:left w:val="single" w:sz="8" w:space="0" w:color="auto"/>
              <w:bottom w:val="single" w:sz="8" w:space="0" w:color="auto"/>
              <w:right w:val="nil"/>
            </w:tcBorders>
            <w:shd w:val="clear" w:color="000000" w:fill="CCCCCC"/>
            <w:vAlign w:val="center"/>
            <w:hideMark/>
          </w:tcPr>
          <w:p w14:paraId="02C09D81" w14:textId="77777777" w:rsidR="0081706E" w:rsidRPr="00D31634" w:rsidRDefault="0081706E" w:rsidP="0081706E">
            <w:pPr>
              <w:rPr>
                <w:rFonts w:ascii="Arial" w:hAnsi="Arial" w:cs="Arial"/>
                <w:b/>
                <w:bCs/>
                <w:color w:val="000000"/>
                <w:sz w:val="22"/>
                <w:szCs w:val="22"/>
              </w:rPr>
            </w:pPr>
            <w:r w:rsidRPr="00D31634">
              <w:rPr>
                <w:rFonts w:ascii="Arial" w:hAnsi="Arial" w:cs="Arial"/>
                <w:b/>
                <w:bCs/>
                <w:color w:val="000000"/>
                <w:sz w:val="22"/>
                <w:szCs w:val="22"/>
              </w:rPr>
              <w:t>(SURPLUS)/DEFICIT ON PROVISION OF SERVICES</w:t>
            </w:r>
          </w:p>
        </w:tc>
        <w:tc>
          <w:tcPr>
            <w:tcW w:w="1424" w:type="dxa"/>
            <w:tcBorders>
              <w:top w:val="single" w:sz="4" w:space="0" w:color="auto"/>
              <w:left w:val="nil"/>
              <w:bottom w:val="single" w:sz="8" w:space="0" w:color="auto"/>
              <w:right w:val="nil"/>
            </w:tcBorders>
            <w:vAlign w:val="center"/>
            <w:hideMark/>
          </w:tcPr>
          <w:p w14:paraId="326702BB" w14:textId="7EF4E3A1" w:rsidR="0081706E" w:rsidRPr="00D31634" w:rsidRDefault="0081706E" w:rsidP="0081706E">
            <w:pPr>
              <w:jc w:val="right"/>
              <w:rPr>
                <w:rFonts w:ascii="Arial" w:hAnsi="Arial" w:cs="Arial"/>
                <w:b/>
                <w:bCs/>
                <w:color w:val="000000"/>
                <w:sz w:val="22"/>
                <w:szCs w:val="22"/>
              </w:rPr>
            </w:pPr>
            <w:r>
              <w:rPr>
                <w:rFonts w:ascii="Arial" w:hAnsi="Arial" w:cs="Arial"/>
                <w:b/>
                <w:bCs/>
                <w:color w:val="000000"/>
                <w:sz w:val="22"/>
                <w:szCs w:val="22"/>
              </w:rPr>
              <w:t>7,379</w:t>
            </w:r>
          </w:p>
        </w:tc>
        <w:tc>
          <w:tcPr>
            <w:tcW w:w="1424" w:type="dxa"/>
            <w:tcBorders>
              <w:top w:val="single" w:sz="4" w:space="0" w:color="auto"/>
              <w:left w:val="nil"/>
              <w:bottom w:val="single" w:sz="8" w:space="0" w:color="auto"/>
              <w:right w:val="single" w:sz="8" w:space="0" w:color="auto"/>
            </w:tcBorders>
            <w:shd w:val="clear" w:color="000000" w:fill="CCCCCC"/>
            <w:vAlign w:val="center"/>
            <w:hideMark/>
          </w:tcPr>
          <w:p w14:paraId="34E08180" w14:textId="1E3DFEE0" w:rsidR="0081706E" w:rsidRPr="00D31634" w:rsidRDefault="0081706E" w:rsidP="0081706E">
            <w:pPr>
              <w:jc w:val="right"/>
              <w:rPr>
                <w:rFonts w:ascii="Arial" w:hAnsi="Arial" w:cs="Arial"/>
                <w:b/>
                <w:bCs/>
                <w:color w:val="000000"/>
                <w:sz w:val="22"/>
                <w:szCs w:val="22"/>
              </w:rPr>
            </w:pPr>
            <w:r w:rsidRPr="0081706E">
              <w:rPr>
                <w:rFonts w:ascii="Arial" w:hAnsi="Arial" w:cs="Arial"/>
                <w:b/>
                <w:bCs/>
                <w:color w:val="000000"/>
                <w:sz w:val="22"/>
                <w:szCs w:val="22"/>
              </w:rPr>
              <w:t>7,</w:t>
            </w:r>
            <w:r w:rsidR="00805AED">
              <w:rPr>
                <w:rFonts w:ascii="Arial" w:hAnsi="Arial" w:cs="Arial"/>
                <w:b/>
                <w:bCs/>
                <w:color w:val="000000"/>
                <w:sz w:val="22"/>
                <w:szCs w:val="22"/>
              </w:rPr>
              <w:t>1</w:t>
            </w:r>
            <w:r w:rsidR="00D20E57">
              <w:rPr>
                <w:rFonts w:ascii="Arial" w:hAnsi="Arial" w:cs="Arial"/>
                <w:b/>
                <w:bCs/>
                <w:color w:val="000000"/>
                <w:sz w:val="22"/>
                <w:szCs w:val="22"/>
              </w:rPr>
              <w:t>38</w:t>
            </w:r>
          </w:p>
        </w:tc>
      </w:tr>
    </w:tbl>
    <w:p w14:paraId="42B9C42E" w14:textId="2E3C03D7" w:rsidR="00267590" w:rsidRDefault="00267590" w:rsidP="00267590">
      <w:pPr>
        <w:tabs>
          <w:tab w:val="right" w:pos="5760"/>
        </w:tabs>
        <w:rPr>
          <w:rFonts w:ascii="Arial" w:hAnsi="Arial"/>
          <w:b/>
          <w:sz w:val="22"/>
          <w:szCs w:val="22"/>
        </w:rPr>
      </w:pPr>
    </w:p>
    <w:p w14:paraId="4F6C13E4" w14:textId="77777777" w:rsidR="00267590" w:rsidRDefault="00267590">
      <w:pPr>
        <w:rPr>
          <w:rFonts w:ascii="Arial" w:hAnsi="Arial"/>
          <w:b/>
          <w:sz w:val="22"/>
          <w:szCs w:val="22"/>
        </w:rPr>
      </w:pPr>
      <w:r>
        <w:rPr>
          <w:rFonts w:ascii="Arial" w:hAnsi="Arial"/>
          <w:b/>
          <w:sz w:val="22"/>
          <w:szCs w:val="22"/>
        </w:rPr>
        <w:br w:type="page"/>
      </w:r>
    </w:p>
    <w:p w14:paraId="10A94C40" w14:textId="25126F65" w:rsidR="003B74DA" w:rsidRPr="00722236" w:rsidRDefault="003B74DA" w:rsidP="003B74DA">
      <w:pPr>
        <w:numPr>
          <w:ilvl w:val="0"/>
          <w:numId w:val="1"/>
        </w:numPr>
        <w:tabs>
          <w:tab w:val="clear" w:pos="720"/>
          <w:tab w:val="num" w:pos="426"/>
          <w:tab w:val="right" w:pos="5760"/>
        </w:tabs>
        <w:ind w:left="426"/>
        <w:rPr>
          <w:rFonts w:ascii="Arial" w:hAnsi="Arial"/>
          <w:b/>
          <w:sz w:val="22"/>
          <w:szCs w:val="22"/>
        </w:rPr>
      </w:pPr>
      <w:bookmarkStart w:id="12" w:name="_Hlk107481233"/>
      <w:r w:rsidRPr="00722236">
        <w:rPr>
          <w:rFonts w:ascii="Arial" w:hAnsi="Arial"/>
          <w:b/>
          <w:sz w:val="22"/>
          <w:szCs w:val="22"/>
        </w:rPr>
        <w:lastRenderedPageBreak/>
        <w:t xml:space="preserve">CRITICAL JUDGEMENTS IN APPLYING ACCOUNTING POLICIES </w:t>
      </w:r>
    </w:p>
    <w:p w14:paraId="49DEE5C0" w14:textId="77777777" w:rsidR="003B74DA" w:rsidRPr="00722236" w:rsidRDefault="003B74DA" w:rsidP="003B74DA">
      <w:pPr>
        <w:ind w:left="426"/>
        <w:jc w:val="both"/>
        <w:rPr>
          <w:rFonts w:ascii="Arial" w:hAnsi="Arial" w:cs="Arial"/>
          <w:sz w:val="22"/>
          <w:szCs w:val="22"/>
        </w:rPr>
      </w:pPr>
    </w:p>
    <w:p w14:paraId="0720E0ED" w14:textId="069BCF49" w:rsidR="003B74DA" w:rsidRPr="00722236" w:rsidRDefault="003B74DA" w:rsidP="003B74DA">
      <w:pPr>
        <w:ind w:left="426"/>
        <w:jc w:val="both"/>
        <w:rPr>
          <w:rFonts w:ascii="Arial" w:hAnsi="Arial" w:cs="Arial"/>
          <w:sz w:val="22"/>
          <w:szCs w:val="22"/>
        </w:rPr>
      </w:pPr>
      <w:r w:rsidRPr="00722236">
        <w:rPr>
          <w:rFonts w:ascii="Arial" w:hAnsi="Arial" w:cs="Arial"/>
          <w:sz w:val="22"/>
          <w:szCs w:val="22"/>
        </w:rPr>
        <w:t xml:space="preserve">Accounting policies are set out in notes to the accounts.  </w:t>
      </w:r>
      <w:r w:rsidR="003C7FBA">
        <w:rPr>
          <w:rFonts w:ascii="Arial" w:hAnsi="Arial" w:cs="Arial"/>
          <w:sz w:val="22"/>
          <w:szCs w:val="22"/>
        </w:rPr>
        <w:t xml:space="preserve">These judgements can be seen </w:t>
      </w:r>
      <w:r w:rsidR="003C7FBA" w:rsidRPr="00355AF1">
        <w:rPr>
          <w:rFonts w:ascii="Arial" w:hAnsi="Arial" w:cs="Arial"/>
          <w:sz w:val="22"/>
          <w:szCs w:val="22"/>
        </w:rPr>
        <w:t xml:space="preserve">in </w:t>
      </w:r>
      <w:r w:rsidR="003C7FBA" w:rsidRPr="002B1E8E">
        <w:rPr>
          <w:rFonts w:ascii="Arial" w:hAnsi="Arial" w:cs="Arial"/>
          <w:sz w:val="22"/>
          <w:szCs w:val="22"/>
        </w:rPr>
        <w:t>Note 3</w:t>
      </w:r>
      <w:r w:rsidR="003C7FBA" w:rsidRPr="004A79EF">
        <w:rPr>
          <w:rFonts w:ascii="Arial" w:hAnsi="Arial" w:cs="Arial"/>
          <w:sz w:val="22"/>
          <w:szCs w:val="22"/>
        </w:rPr>
        <w:t xml:space="preserve"> to</w:t>
      </w:r>
      <w:r w:rsidR="003C7FBA" w:rsidRPr="00D1342A">
        <w:rPr>
          <w:rFonts w:ascii="Arial" w:hAnsi="Arial" w:cs="Arial"/>
          <w:sz w:val="22"/>
          <w:szCs w:val="22"/>
        </w:rPr>
        <w:t xml:space="preserve"> the</w:t>
      </w:r>
      <w:r w:rsidR="003C7FBA">
        <w:rPr>
          <w:rFonts w:ascii="Arial" w:hAnsi="Arial" w:cs="Arial"/>
          <w:sz w:val="22"/>
          <w:szCs w:val="22"/>
        </w:rPr>
        <w:t xml:space="preserve"> PCC/PCC Group Statement</w:t>
      </w:r>
      <w:r w:rsidR="003C7FBA" w:rsidRPr="001B2327" w:rsidDel="00AD493A">
        <w:rPr>
          <w:rFonts w:ascii="Arial" w:hAnsi="Arial" w:cs="Arial"/>
          <w:sz w:val="22"/>
          <w:szCs w:val="22"/>
        </w:rPr>
        <w:t xml:space="preserve"> </w:t>
      </w:r>
      <w:r w:rsidR="003C7FBA">
        <w:rPr>
          <w:rFonts w:ascii="Arial" w:hAnsi="Arial" w:cs="Arial"/>
          <w:sz w:val="22"/>
          <w:szCs w:val="22"/>
        </w:rPr>
        <w:t xml:space="preserve">of Accounts. </w:t>
      </w:r>
      <w:r w:rsidRPr="00722236">
        <w:rPr>
          <w:rFonts w:ascii="Arial" w:hAnsi="Arial" w:cs="Arial"/>
          <w:sz w:val="22"/>
          <w:szCs w:val="22"/>
        </w:rPr>
        <w:t xml:space="preserve">In applying the accounting policies, the PCC Group </w:t>
      </w:r>
      <w:r w:rsidR="00105039" w:rsidRPr="00722236">
        <w:rPr>
          <w:rFonts w:ascii="Arial" w:hAnsi="Arial" w:cs="Arial"/>
          <w:sz w:val="22"/>
          <w:szCs w:val="22"/>
        </w:rPr>
        <w:t>must</w:t>
      </w:r>
      <w:r w:rsidRPr="00722236">
        <w:rPr>
          <w:rFonts w:ascii="Arial" w:hAnsi="Arial" w:cs="Arial"/>
          <w:sz w:val="22"/>
          <w:szCs w:val="22"/>
        </w:rPr>
        <w:t xml:space="preserve"> make certain judgements about complex transactions or those involving uncertainty about future events. </w:t>
      </w:r>
    </w:p>
    <w:p w14:paraId="1361A656" w14:textId="77777777" w:rsidR="003B74DA" w:rsidRPr="00722236" w:rsidRDefault="003B74DA" w:rsidP="003B74DA">
      <w:pPr>
        <w:ind w:left="426"/>
        <w:jc w:val="both"/>
        <w:rPr>
          <w:rFonts w:ascii="Arial" w:hAnsi="Arial" w:cs="Arial"/>
          <w:sz w:val="22"/>
          <w:szCs w:val="22"/>
        </w:rPr>
      </w:pPr>
    </w:p>
    <w:p w14:paraId="24FD9DE5" w14:textId="192C1A50" w:rsidR="00A91234" w:rsidRDefault="003B74DA" w:rsidP="00A77074">
      <w:pPr>
        <w:ind w:left="426"/>
        <w:rPr>
          <w:rFonts w:ascii="Arial" w:hAnsi="Arial" w:cs="Arial"/>
          <w:sz w:val="22"/>
          <w:szCs w:val="22"/>
        </w:rPr>
      </w:pPr>
      <w:r w:rsidRPr="00722236" w:rsidDel="00A91234">
        <w:rPr>
          <w:rFonts w:ascii="Arial" w:hAnsi="Arial" w:cs="Arial"/>
          <w:sz w:val="22"/>
          <w:szCs w:val="22"/>
        </w:rPr>
        <w:t xml:space="preserve">There remains a significant degree of uncertainty about future levels of funding for local government and police and crime commissioners. However, the PCC has determined that this uncertainty is not sufficient to provide an indication that the assets of the PCC might be impaired </w:t>
      </w:r>
      <w:proofErr w:type="gramStart"/>
      <w:r w:rsidRPr="00722236" w:rsidDel="00A91234">
        <w:rPr>
          <w:rFonts w:ascii="Arial" w:hAnsi="Arial" w:cs="Arial"/>
          <w:sz w:val="22"/>
          <w:szCs w:val="22"/>
        </w:rPr>
        <w:t>as a result of</w:t>
      </w:r>
      <w:proofErr w:type="gramEnd"/>
      <w:r w:rsidRPr="00722236" w:rsidDel="00A91234">
        <w:rPr>
          <w:rFonts w:ascii="Arial" w:hAnsi="Arial" w:cs="Arial"/>
          <w:sz w:val="22"/>
          <w:szCs w:val="22"/>
        </w:rPr>
        <w:t xml:space="preserve"> a need to close facilities and reduce levels of service provision. </w:t>
      </w:r>
    </w:p>
    <w:p w14:paraId="309F2C5A" w14:textId="77777777" w:rsidR="00A91234" w:rsidRDefault="00A91234" w:rsidP="00A91234">
      <w:pPr>
        <w:ind w:left="720"/>
        <w:rPr>
          <w:rFonts w:ascii="Arial" w:hAnsi="Arial" w:cs="Arial"/>
          <w:sz w:val="22"/>
          <w:szCs w:val="22"/>
        </w:rPr>
      </w:pPr>
    </w:p>
    <w:p w14:paraId="657545D5" w14:textId="77777777" w:rsidR="00A91234" w:rsidRDefault="00A91234" w:rsidP="00A77074">
      <w:pPr>
        <w:ind w:left="426"/>
        <w:rPr>
          <w:rFonts w:ascii="Arial" w:hAnsi="Arial" w:cs="Arial"/>
          <w:sz w:val="22"/>
          <w:szCs w:val="22"/>
        </w:rPr>
      </w:pPr>
      <w:r>
        <w:rPr>
          <w:rFonts w:ascii="Arial" w:hAnsi="Arial" w:cs="Arial"/>
          <w:sz w:val="22"/>
          <w:szCs w:val="22"/>
        </w:rPr>
        <w:t>The critical judgements made in the Statement of Accounts are:</w:t>
      </w:r>
    </w:p>
    <w:p w14:paraId="5F04E95C" w14:textId="77777777" w:rsidR="00A91234" w:rsidRDefault="00A91234" w:rsidP="00A91234">
      <w:pPr>
        <w:ind w:left="720"/>
        <w:rPr>
          <w:rFonts w:ascii="Arial" w:hAnsi="Arial" w:cs="Arial"/>
          <w:sz w:val="22"/>
          <w:szCs w:val="22"/>
        </w:rPr>
      </w:pPr>
    </w:p>
    <w:tbl>
      <w:tblPr>
        <w:tblW w:w="10480" w:type="dxa"/>
        <w:tblLook w:val="04A0" w:firstRow="1" w:lastRow="0" w:firstColumn="1" w:lastColumn="0" w:noHBand="0" w:noVBand="1"/>
      </w:tblPr>
      <w:tblGrid>
        <w:gridCol w:w="1657"/>
        <w:gridCol w:w="1277"/>
        <w:gridCol w:w="1277"/>
        <w:gridCol w:w="6620"/>
      </w:tblGrid>
      <w:tr w:rsidR="00A91234" w:rsidRPr="003809C6" w14:paraId="799D58DE" w14:textId="77777777">
        <w:trPr>
          <w:trHeight w:val="1500"/>
        </w:trPr>
        <w:tc>
          <w:tcPr>
            <w:tcW w:w="1560" w:type="dxa"/>
            <w:tcBorders>
              <w:top w:val="single" w:sz="4" w:space="0" w:color="auto"/>
              <w:left w:val="single" w:sz="4" w:space="0" w:color="auto"/>
              <w:bottom w:val="single" w:sz="4" w:space="0" w:color="auto"/>
              <w:right w:val="single" w:sz="4" w:space="0" w:color="auto"/>
            </w:tcBorders>
            <w:vAlign w:val="bottom"/>
            <w:hideMark/>
          </w:tcPr>
          <w:p w14:paraId="5A796302" w14:textId="77777777" w:rsidR="00A91234" w:rsidRPr="003809C6" w:rsidRDefault="00A91234">
            <w:pPr>
              <w:rPr>
                <w:rFonts w:ascii="Aptos Narrow" w:hAnsi="Aptos Narrow"/>
                <w:b/>
                <w:bCs/>
                <w:color w:val="000000"/>
                <w:sz w:val="22"/>
                <w:szCs w:val="22"/>
              </w:rPr>
            </w:pPr>
            <w:r w:rsidRPr="003809C6">
              <w:rPr>
                <w:rFonts w:ascii="Aptos Narrow" w:hAnsi="Aptos Narrow"/>
                <w:b/>
                <w:bCs/>
                <w:color w:val="000000"/>
                <w:sz w:val="22"/>
                <w:szCs w:val="22"/>
              </w:rPr>
              <w:t>Comprehensive Income and Expenditure Statement (CIES)</w:t>
            </w:r>
          </w:p>
        </w:tc>
        <w:tc>
          <w:tcPr>
            <w:tcW w:w="1160" w:type="dxa"/>
            <w:tcBorders>
              <w:top w:val="single" w:sz="4" w:space="0" w:color="auto"/>
              <w:left w:val="nil"/>
              <w:bottom w:val="single" w:sz="4" w:space="0" w:color="auto"/>
              <w:right w:val="single" w:sz="4" w:space="0" w:color="auto"/>
            </w:tcBorders>
            <w:vAlign w:val="bottom"/>
            <w:hideMark/>
          </w:tcPr>
          <w:p w14:paraId="7DD835D7" w14:textId="77777777" w:rsidR="00A91234" w:rsidRPr="003809C6" w:rsidRDefault="00A91234">
            <w:pPr>
              <w:rPr>
                <w:rFonts w:ascii="Aptos Narrow" w:hAnsi="Aptos Narrow"/>
                <w:b/>
                <w:bCs/>
                <w:color w:val="000000"/>
                <w:sz w:val="22"/>
                <w:szCs w:val="22"/>
              </w:rPr>
            </w:pPr>
            <w:r w:rsidRPr="003809C6">
              <w:rPr>
                <w:rFonts w:ascii="Aptos Narrow" w:hAnsi="Aptos Narrow"/>
                <w:b/>
                <w:bCs/>
                <w:color w:val="000000"/>
                <w:sz w:val="22"/>
                <w:szCs w:val="22"/>
              </w:rPr>
              <w:t>Recognised in PCC CIES</w:t>
            </w:r>
          </w:p>
        </w:tc>
        <w:tc>
          <w:tcPr>
            <w:tcW w:w="1140" w:type="dxa"/>
            <w:tcBorders>
              <w:top w:val="single" w:sz="4" w:space="0" w:color="auto"/>
              <w:left w:val="nil"/>
              <w:bottom w:val="single" w:sz="4" w:space="0" w:color="auto"/>
              <w:right w:val="single" w:sz="4" w:space="0" w:color="auto"/>
            </w:tcBorders>
            <w:vAlign w:val="bottom"/>
            <w:hideMark/>
          </w:tcPr>
          <w:p w14:paraId="6A966B72" w14:textId="77777777" w:rsidR="00A91234" w:rsidRPr="003809C6" w:rsidRDefault="00A91234">
            <w:pPr>
              <w:rPr>
                <w:rFonts w:ascii="Aptos Narrow" w:hAnsi="Aptos Narrow"/>
                <w:b/>
                <w:bCs/>
                <w:color w:val="000000"/>
                <w:sz w:val="22"/>
                <w:szCs w:val="22"/>
              </w:rPr>
            </w:pPr>
            <w:r w:rsidRPr="003809C6">
              <w:rPr>
                <w:rFonts w:ascii="Aptos Narrow" w:hAnsi="Aptos Narrow"/>
                <w:b/>
                <w:bCs/>
                <w:color w:val="000000"/>
                <w:sz w:val="22"/>
                <w:szCs w:val="22"/>
              </w:rPr>
              <w:t>Recognised in CC CIES</w:t>
            </w:r>
          </w:p>
        </w:tc>
        <w:tc>
          <w:tcPr>
            <w:tcW w:w="6620" w:type="dxa"/>
            <w:tcBorders>
              <w:top w:val="single" w:sz="4" w:space="0" w:color="auto"/>
              <w:left w:val="nil"/>
              <w:bottom w:val="single" w:sz="4" w:space="0" w:color="auto"/>
              <w:right w:val="single" w:sz="4" w:space="0" w:color="auto"/>
            </w:tcBorders>
            <w:noWrap/>
            <w:vAlign w:val="bottom"/>
            <w:hideMark/>
          </w:tcPr>
          <w:p w14:paraId="27A4D573" w14:textId="77777777" w:rsidR="00A91234" w:rsidRPr="003809C6" w:rsidRDefault="00A91234">
            <w:pPr>
              <w:rPr>
                <w:rFonts w:ascii="Aptos Narrow" w:hAnsi="Aptos Narrow"/>
                <w:b/>
                <w:bCs/>
                <w:color w:val="000000"/>
                <w:sz w:val="22"/>
                <w:szCs w:val="22"/>
              </w:rPr>
            </w:pPr>
            <w:r w:rsidRPr="003809C6">
              <w:rPr>
                <w:rFonts w:ascii="Aptos Narrow" w:hAnsi="Aptos Narrow"/>
                <w:b/>
                <w:bCs/>
                <w:color w:val="000000"/>
                <w:sz w:val="22"/>
                <w:szCs w:val="22"/>
              </w:rPr>
              <w:t>Judgement</w:t>
            </w:r>
          </w:p>
        </w:tc>
      </w:tr>
      <w:tr w:rsidR="00A91234" w:rsidRPr="003809C6" w14:paraId="11595BA1" w14:textId="77777777">
        <w:trPr>
          <w:trHeight w:val="2700"/>
        </w:trPr>
        <w:tc>
          <w:tcPr>
            <w:tcW w:w="1560" w:type="dxa"/>
            <w:tcBorders>
              <w:top w:val="nil"/>
              <w:left w:val="single" w:sz="4" w:space="0" w:color="auto"/>
              <w:bottom w:val="single" w:sz="4" w:space="0" w:color="auto"/>
              <w:right w:val="single" w:sz="4" w:space="0" w:color="auto"/>
            </w:tcBorders>
            <w:vAlign w:val="bottom"/>
            <w:hideMark/>
          </w:tcPr>
          <w:p w14:paraId="2467306A"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Income</w:t>
            </w:r>
          </w:p>
        </w:tc>
        <w:tc>
          <w:tcPr>
            <w:tcW w:w="1160" w:type="dxa"/>
            <w:tcBorders>
              <w:top w:val="nil"/>
              <w:left w:val="nil"/>
              <w:bottom w:val="single" w:sz="4" w:space="0" w:color="auto"/>
              <w:right w:val="single" w:sz="4" w:space="0" w:color="auto"/>
            </w:tcBorders>
            <w:vAlign w:val="bottom"/>
            <w:hideMark/>
          </w:tcPr>
          <w:p w14:paraId="25B91E69"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1140" w:type="dxa"/>
            <w:tcBorders>
              <w:top w:val="nil"/>
              <w:left w:val="nil"/>
              <w:bottom w:val="single" w:sz="4" w:space="0" w:color="auto"/>
              <w:right w:val="single" w:sz="4" w:space="0" w:color="auto"/>
            </w:tcBorders>
            <w:vAlign w:val="bottom"/>
            <w:hideMark/>
          </w:tcPr>
          <w:p w14:paraId="49D07C0F"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6620" w:type="dxa"/>
            <w:tcBorders>
              <w:top w:val="nil"/>
              <w:left w:val="nil"/>
              <w:bottom w:val="single" w:sz="4" w:space="0" w:color="auto"/>
              <w:right w:val="single" w:sz="4" w:space="0" w:color="auto"/>
            </w:tcBorders>
            <w:vAlign w:val="bottom"/>
            <w:hideMark/>
          </w:tcPr>
          <w:p w14:paraId="5E342416"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The Financial Management Code of Practice (FMCP) for the Police Service, issued by the Secretary of State, makes it clear that the PCC is the recipient of funding relating to policing and crime reduction, including government grants and precepts and other sources of income. This is supported in the PCC’s Scheme of Corporate Governance which states that ‘all funding to the Chief Constable must come via the Commissioner’. Therefore, the PCC recognises all income receivable in its single entity financial statements and in turn provides funding to the CC to undertake day-to-day policing and crime reduction services during the year.</w:t>
            </w:r>
          </w:p>
        </w:tc>
      </w:tr>
      <w:tr w:rsidR="00A91234" w:rsidRPr="003809C6" w14:paraId="635CCA00" w14:textId="77777777">
        <w:trPr>
          <w:trHeight w:val="2700"/>
        </w:trPr>
        <w:tc>
          <w:tcPr>
            <w:tcW w:w="1560" w:type="dxa"/>
            <w:tcBorders>
              <w:top w:val="nil"/>
              <w:left w:val="single" w:sz="4" w:space="0" w:color="auto"/>
              <w:bottom w:val="single" w:sz="4" w:space="0" w:color="auto"/>
              <w:right w:val="single" w:sz="4" w:space="0" w:color="auto"/>
            </w:tcBorders>
            <w:vAlign w:val="bottom"/>
            <w:hideMark/>
          </w:tcPr>
          <w:p w14:paraId="2C1CD7BA"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Expenditure – employee costs of police officers</w:t>
            </w:r>
          </w:p>
        </w:tc>
        <w:tc>
          <w:tcPr>
            <w:tcW w:w="1160" w:type="dxa"/>
            <w:tcBorders>
              <w:top w:val="nil"/>
              <w:left w:val="nil"/>
              <w:bottom w:val="single" w:sz="4" w:space="0" w:color="auto"/>
              <w:right w:val="single" w:sz="4" w:space="0" w:color="auto"/>
            </w:tcBorders>
            <w:vAlign w:val="bottom"/>
            <w:hideMark/>
          </w:tcPr>
          <w:p w14:paraId="698CC2CD"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NO</w:t>
            </w:r>
          </w:p>
        </w:tc>
        <w:tc>
          <w:tcPr>
            <w:tcW w:w="1140" w:type="dxa"/>
            <w:tcBorders>
              <w:top w:val="nil"/>
              <w:left w:val="nil"/>
              <w:bottom w:val="single" w:sz="4" w:space="0" w:color="auto"/>
              <w:right w:val="single" w:sz="4" w:space="0" w:color="auto"/>
            </w:tcBorders>
            <w:vAlign w:val="bottom"/>
            <w:hideMark/>
          </w:tcPr>
          <w:p w14:paraId="581A1035"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6620" w:type="dxa"/>
            <w:tcBorders>
              <w:top w:val="nil"/>
              <w:left w:val="nil"/>
              <w:bottom w:val="single" w:sz="4" w:space="0" w:color="auto"/>
              <w:right w:val="single" w:sz="4" w:space="0" w:color="auto"/>
            </w:tcBorders>
            <w:vAlign w:val="bottom"/>
            <w:hideMark/>
          </w:tcPr>
          <w:p w14:paraId="7AECA402" w14:textId="034A5323"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 xml:space="preserve">In recognising employee costs the PCC has considered the requirements of IAS19. This does not use control of risks and rewards in determining recognition but rather considers which body is responsible for incurring employee expenditure. In making this judgement however, the underlying substance of who the employment is incurred for has been considered and not just the legal form. Police Officers are employees of the </w:t>
            </w:r>
            <w:r w:rsidR="00DC2030" w:rsidRPr="003809C6">
              <w:rPr>
                <w:rFonts w:ascii="Aptos Narrow" w:hAnsi="Aptos Narrow"/>
                <w:color w:val="000000"/>
                <w:sz w:val="22"/>
                <w:szCs w:val="22"/>
              </w:rPr>
              <w:t>Crown,</w:t>
            </w:r>
            <w:r w:rsidRPr="003809C6">
              <w:rPr>
                <w:rFonts w:ascii="Aptos Narrow" w:hAnsi="Aptos Narrow"/>
                <w:color w:val="000000"/>
                <w:sz w:val="22"/>
                <w:szCs w:val="22"/>
              </w:rPr>
              <w:t xml:space="preserve"> and they represent the most significant cost of operational policing which the CC is solely responsible for. The full IAS19 costs of police officers are therefore reflected in the CC’s financial statements.</w:t>
            </w:r>
          </w:p>
        </w:tc>
      </w:tr>
      <w:tr w:rsidR="00A91234" w:rsidRPr="003809C6" w14:paraId="5BAFD756" w14:textId="77777777">
        <w:trPr>
          <w:trHeight w:val="1800"/>
        </w:trPr>
        <w:tc>
          <w:tcPr>
            <w:tcW w:w="1560" w:type="dxa"/>
            <w:tcBorders>
              <w:top w:val="nil"/>
              <w:left w:val="single" w:sz="4" w:space="0" w:color="auto"/>
              <w:bottom w:val="single" w:sz="4" w:space="0" w:color="auto"/>
              <w:right w:val="single" w:sz="4" w:space="0" w:color="auto"/>
            </w:tcBorders>
            <w:vAlign w:val="bottom"/>
            <w:hideMark/>
          </w:tcPr>
          <w:p w14:paraId="79BE43C7"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Expenditure – employee costs of civilian staff</w:t>
            </w:r>
          </w:p>
        </w:tc>
        <w:tc>
          <w:tcPr>
            <w:tcW w:w="1160" w:type="dxa"/>
            <w:tcBorders>
              <w:top w:val="nil"/>
              <w:left w:val="nil"/>
              <w:bottom w:val="single" w:sz="4" w:space="0" w:color="auto"/>
              <w:right w:val="single" w:sz="4" w:space="0" w:color="auto"/>
            </w:tcBorders>
            <w:vAlign w:val="bottom"/>
            <w:hideMark/>
          </w:tcPr>
          <w:p w14:paraId="133B2B12"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 (for staff in Office of PCC)</w:t>
            </w:r>
          </w:p>
        </w:tc>
        <w:tc>
          <w:tcPr>
            <w:tcW w:w="1140" w:type="dxa"/>
            <w:tcBorders>
              <w:top w:val="nil"/>
              <w:left w:val="nil"/>
              <w:bottom w:val="single" w:sz="4" w:space="0" w:color="auto"/>
              <w:right w:val="single" w:sz="4" w:space="0" w:color="auto"/>
            </w:tcBorders>
            <w:vAlign w:val="bottom"/>
            <w:hideMark/>
          </w:tcPr>
          <w:p w14:paraId="5FF01C17"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 (for all other staff)</w:t>
            </w:r>
          </w:p>
        </w:tc>
        <w:tc>
          <w:tcPr>
            <w:tcW w:w="6620" w:type="dxa"/>
            <w:tcBorders>
              <w:top w:val="nil"/>
              <w:left w:val="nil"/>
              <w:bottom w:val="single" w:sz="4" w:space="0" w:color="auto"/>
              <w:right w:val="single" w:sz="4" w:space="0" w:color="auto"/>
            </w:tcBorders>
            <w:vAlign w:val="bottom"/>
            <w:hideMark/>
          </w:tcPr>
          <w:p w14:paraId="1972944C" w14:textId="71457327" w:rsidR="00A91234" w:rsidRPr="003809C6" w:rsidRDefault="00A91234">
            <w:pPr>
              <w:rPr>
                <w:rFonts w:ascii="Aptos Narrow" w:hAnsi="Aptos Narrow"/>
                <w:color w:val="000000"/>
                <w:sz w:val="22"/>
                <w:szCs w:val="22"/>
              </w:rPr>
            </w:pPr>
            <w:proofErr w:type="gramStart"/>
            <w:r w:rsidRPr="003809C6">
              <w:rPr>
                <w:rFonts w:ascii="Aptos Narrow" w:hAnsi="Aptos Narrow"/>
                <w:color w:val="000000"/>
                <w:sz w:val="22"/>
                <w:szCs w:val="22"/>
              </w:rPr>
              <w:t>The majority of</w:t>
            </w:r>
            <w:proofErr w:type="gramEnd"/>
            <w:r w:rsidRPr="003809C6">
              <w:rPr>
                <w:rFonts w:ascii="Aptos Narrow" w:hAnsi="Aptos Narrow"/>
                <w:color w:val="000000"/>
                <w:sz w:val="22"/>
                <w:szCs w:val="22"/>
              </w:rPr>
              <w:t xml:space="preserve"> police civilian staff are employed by the CC. These staff </w:t>
            </w:r>
            <w:proofErr w:type="gramStart"/>
            <w:r w:rsidRPr="003809C6">
              <w:rPr>
                <w:rFonts w:ascii="Aptos Narrow" w:hAnsi="Aptos Narrow"/>
                <w:color w:val="000000"/>
                <w:sz w:val="22"/>
                <w:szCs w:val="22"/>
              </w:rPr>
              <w:t>are considered to be</w:t>
            </w:r>
            <w:proofErr w:type="gramEnd"/>
            <w:r w:rsidRPr="003809C6">
              <w:rPr>
                <w:rFonts w:ascii="Aptos Narrow" w:hAnsi="Aptos Narrow"/>
                <w:color w:val="000000"/>
                <w:sz w:val="22"/>
                <w:szCs w:val="22"/>
              </w:rPr>
              <w:t xml:space="preserve"> employed to support the operational policing role of the </w:t>
            </w:r>
            <w:r w:rsidR="00DC2030" w:rsidRPr="003809C6">
              <w:rPr>
                <w:rFonts w:ascii="Aptos Narrow" w:hAnsi="Aptos Narrow"/>
                <w:color w:val="000000"/>
                <w:sz w:val="22"/>
                <w:szCs w:val="22"/>
              </w:rPr>
              <w:t>CC,</w:t>
            </w:r>
            <w:r w:rsidRPr="003809C6">
              <w:rPr>
                <w:rFonts w:ascii="Aptos Narrow" w:hAnsi="Aptos Narrow"/>
                <w:color w:val="000000"/>
                <w:sz w:val="22"/>
                <w:szCs w:val="22"/>
              </w:rPr>
              <w:t xml:space="preserve"> and this expenditure is recorded in the CC’s financial statements. The employee costs reported in the financial statements of the PCC relate to staff employed in the Office of the PCC who support the strategic role of the PCC.</w:t>
            </w:r>
          </w:p>
        </w:tc>
      </w:tr>
      <w:tr w:rsidR="00A91234" w:rsidRPr="003809C6" w14:paraId="3F08EAAA" w14:textId="77777777">
        <w:trPr>
          <w:trHeight w:val="1500"/>
        </w:trPr>
        <w:tc>
          <w:tcPr>
            <w:tcW w:w="1560" w:type="dxa"/>
            <w:tcBorders>
              <w:top w:val="nil"/>
              <w:left w:val="single" w:sz="4" w:space="0" w:color="auto"/>
              <w:bottom w:val="single" w:sz="4" w:space="0" w:color="auto"/>
              <w:right w:val="single" w:sz="4" w:space="0" w:color="auto"/>
            </w:tcBorders>
            <w:vAlign w:val="bottom"/>
            <w:hideMark/>
          </w:tcPr>
          <w:p w14:paraId="03E4F322"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Other Direct Expenditure</w:t>
            </w:r>
          </w:p>
        </w:tc>
        <w:tc>
          <w:tcPr>
            <w:tcW w:w="1160" w:type="dxa"/>
            <w:tcBorders>
              <w:top w:val="nil"/>
              <w:left w:val="nil"/>
              <w:bottom w:val="single" w:sz="4" w:space="0" w:color="auto"/>
              <w:right w:val="single" w:sz="4" w:space="0" w:color="auto"/>
            </w:tcBorders>
            <w:vAlign w:val="bottom"/>
            <w:hideMark/>
          </w:tcPr>
          <w:p w14:paraId="0150209E"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 (for costs relating to the Office of PCC)</w:t>
            </w:r>
          </w:p>
        </w:tc>
        <w:tc>
          <w:tcPr>
            <w:tcW w:w="1140" w:type="dxa"/>
            <w:tcBorders>
              <w:top w:val="nil"/>
              <w:left w:val="nil"/>
              <w:bottom w:val="single" w:sz="4" w:space="0" w:color="auto"/>
              <w:right w:val="single" w:sz="4" w:space="0" w:color="auto"/>
            </w:tcBorders>
            <w:vAlign w:val="bottom"/>
            <w:hideMark/>
          </w:tcPr>
          <w:p w14:paraId="7A0008E3"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 (for all other direct costs)</w:t>
            </w:r>
          </w:p>
        </w:tc>
        <w:tc>
          <w:tcPr>
            <w:tcW w:w="6620" w:type="dxa"/>
            <w:tcBorders>
              <w:top w:val="nil"/>
              <w:left w:val="nil"/>
              <w:bottom w:val="single" w:sz="4" w:space="0" w:color="auto"/>
              <w:right w:val="single" w:sz="4" w:space="0" w:color="auto"/>
            </w:tcBorders>
            <w:vAlign w:val="bottom"/>
            <w:hideMark/>
          </w:tcPr>
          <w:p w14:paraId="6E61F535" w14:textId="77777777" w:rsidR="00A91234" w:rsidRPr="003809C6" w:rsidRDefault="00A91234">
            <w:pPr>
              <w:rPr>
                <w:rFonts w:ascii="Aptos Narrow" w:hAnsi="Aptos Narrow"/>
                <w:color w:val="000000"/>
                <w:sz w:val="22"/>
                <w:szCs w:val="22"/>
              </w:rPr>
            </w:pPr>
            <w:proofErr w:type="gramStart"/>
            <w:r w:rsidRPr="003809C6">
              <w:rPr>
                <w:rFonts w:ascii="Aptos Narrow" w:hAnsi="Aptos Narrow"/>
                <w:color w:val="000000"/>
                <w:sz w:val="22"/>
                <w:szCs w:val="22"/>
              </w:rPr>
              <w:t>The majority of</w:t>
            </w:r>
            <w:proofErr w:type="gramEnd"/>
            <w:r w:rsidRPr="003809C6">
              <w:rPr>
                <w:rFonts w:ascii="Aptos Narrow" w:hAnsi="Aptos Narrow"/>
                <w:color w:val="000000"/>
                <w:sz w:val="22"/>
                <w:szCs w:val="22"/>
              </w:rPr>
              <w:t xml:space="preserve"> other direct expenditure is employee driven (e.g. rent, rates, building maintenance, power, light, heat, telephones, transport, etc.). The costs are recognised in the financial statements of the entity which recognises the employee’s costs.</w:t>
            </w:r>
          </w:p>
        </w:tc>
      </w:tr>
    </w:tbl>
    <w:p w14:paraId="541F51B3" w14:textId="77777777" w:rsidR="00A91234" w:rsidRDefault="00A91234" w:rsidP="00A91234">
      <w:pPr>
        <w:ind w:left="720"/>
        <w:rPr>
          <w:rFonts w:ascii="Arial" w:hAnsi="Arial" w:cs="Arial"/>
          <w:sz w:val="22"/>
          <w:szCs w:val="22"/>
        </w:rPr>
      </w:pPr>
    </w:p>
    <w:p w14:paraId="508E26FA" w14:textId="77777777" w:rsidR="00A91234" w:rsidRDefault="00A91234" w:rsidP="00A91234">
      <w:pPr>
        <w:rPr>
          <w:rFonts w:ascii="Arial" w:hAnsi="Arial" w:cs="Arial"/>
          <w:sz w:val="22"/>
          <w:szCs w:val="22"/>
        </w:rPr>
      </w:pPr>
      <w:r>
        <w:rPr>
          <w:rFonts w:ascii="Arial" w:hAnsi="Arial" w:cs="Arial"/>
          <w:sz w:val="22"/>
          <w:szCs w:val="22"/>
        </w:rPr>
        <w:br w:type="page"/>
      </w:r>
    </w:p>
    <w:p w14:paraId="787A34AF" w14:textId="77777777" w:rsidR="00A91234" w:rsidRDefault="00A91234" w:rsidP="00A91234">
      <w:pPr>
        <w:ind w:left="720"/>
        <w:rPr>
          <w:rFonts w:ascii="Arial" w:hAnsi="Arial" w:cs="Arial"/>
          <w:sz w:val="22"/>
          <w:szCs w:val="22"/>
        </w:rPr>
      </w:pPr>
    </w:p>
    <w:tbl>
      <w:tblPr>
        <w:tblW w:w="10920" w:type="dxa"/>
        <w:tblLook w:val="04A0" w:firstRow="1" w:lastRow="0" w:firstColumn="1" w:lastColumn="0" w:noHBand="0" w:noVBand="1"/>
      </w:tblPr>
      <w:tblGrid>
        <w:gridCol w:w="1975"/>
        <w:gridCol w:w="1277"/>
        <w:gridCol w:w="1277"/>
        <w:gridCol w:w="6391"/>
      </w:tblGrid>
      <w:tr w:rsidR="00A91234" w:rsidRPr="003809C6" w14:paraId="7DAFC240" w14:textId="77777777">
        <w:trPr>
          <w:trHeight w:val="870"/>
        </w:trPr>
        <w:tc>
          <w:tcPr>
            <w:tcW w:w="1975" w:type="dxa"/>
            <w:tcBorders>
              <w:top w:val="single" w:sz="4" w:space="0" w:color="auto"/>
              <w:left w:val="single" w:sz="4" w:space="0" w:color="auto"/>
              <w:bottom w:val="single" w:sz="4" w:space="0" w:color="auto"/>
              <w:right w:val="single" w:sz="4" w:space="0" w:color="auto"/>
            </w:tcBorders>
            <w:vAlign w:val="bottom"/>
            <w:hideMark/>
          </w:tcPr>
          <w:p w14:paraId="0344250C" w14:textId="77777777" w:rsidR="00A91234" w:rsidRPr="003809C6" w:rsidRDefault="00A91234">
            <w:pPr>
              <w:rPr>
                <w:rFonts w:ascii="Aptos Narrow" w:hAnsi="Aptos Narrow"/>
                <w:b/>
                <w:bCs/>
                <w:color w:val="000000"/>
                <w:sz w:val="22"/>
                <w:szCs w:val="22"/>
              </w:rPr>
            </w:pPr>
            <w:r w:rsidRPr="003809C6">
              <w:rPr>
                <w:rFonts w:ascii="Aptos Narrow" w:hAnsi="Aptos Narrow"/>
                <w:b/>
                <w:bCs/>
                <w:color w:val="000000"/>
                <w:sz w:val="22"/>
                <w:szCs w:val="22"/>
              </w:rPr>
              <w:t>Balance Sheet (BS)</w:t>
            </w:r>
          </w:p>
        </w:tc>
        <w:tc>
          <w:tcPr>
            <w:tcW w:w="1277" w:type="dxa"/>
            <w:tcBorders>
              <w:top w:val="single" w:sz="4" w:space="0" w:color="auto"/>
              <w:left w:val="nil"/>
              <w:bottom w:val="single" w:sz="4" w:space="0" w:color="auto"/>
              <w:right w:val="single" w:sz="4" w:space="0" w:color="auto"/>
            </w:tcBorders>
            <w:vAlign w:val="bottom"/>
            <w:hideMark/>
          </w:tcPr>
          <w:p w14:paraId="684E006B" w14:textId="77777777" w:rsidR="00A91234" w:rsidRPr="003809C6" w:rsidRDefault="00A91234">
            <w:pPr>
              <w:rPr>
                <w:rFonts w:ascii="Aptos Narrow" w:hAnsi="Aptos Narrow"/>
                <w:b/>
                <w:bCs/>
                <w:color w:val="000000"/>
                <w:sz w:val="22"/>
                <w:szCs w:val="22"/>
              </w:rPr>
            </w:pPr>
            <w:r w:rsidRPr="003809C6">
              <w:rPr>
                <w:rFonts w:ascii="Aptos Narrow" w:hAnsi="Aptos Narrow"/>
                <w:b/>
                <w:bCs/>
                <w:color w:val="000000"/>
                <w:sz w:val="22"/>
                <w:szCs w:val="22"/>
              </w:rPr>
              <w:t>Recognised in PCC CIES</w:t>
            </w:r>
          </w:p>
        </w:tc>
        <w:tc>
          <w:tcPr>
            <w:tcW w:w="1277" w:type="dxa"/>
            <w:tcBorders>
              <w:top w:val="single" w:sz="4" w:space="0" w:color="auto"/>
              <w:left w:val="nil"/>
              <w:bottom w:val="single" w:sz="4" w:space="0" w:color="auto"/>
              <w:right w:val="single" w:sz="4" w:space="0" w:color="auto"/>
            </w:tcBorders>
            <w:vAlign w:val="bottom"/>
            <w:hideMark/>
          </w:tcPr>
          <w:p w14:paraId="1372F885" w14:textId="77777777" w:rsidR="00A91234" w:rsidRPr="003809C6" w:rsidRDefault="00A91234">
            <w:pPr>
              <w:rPr>
                <w:rFonts w:ascii="Aptos Narrow" w:hAnsi="Aptos Narrow"/>
                <w:b/>
                <w:bCs/>
                <w:color w:val="000000"/>
                <w:sz w:val="22"/>
                <w:szCs w:val="22"/>
              </w:rPr>
            </w:pPr>
            <w:r w:rsidRPr="003809C6">
              <w:rPr>
                <w:rFonts w:ascii="Aptos Narrow" w:hAnsi="Aptos Narrow"/>
                <w:b/>
                <w:bCs/>
                <w:color w:val="000000"/>
                <w:sz w:val="22"/>
                <w:szCs w:val="22"/>
              </w:rPr>
              <w:t>Recognised in CC CIES</w:t>
            </w:r>
          </w:p>
        </w:tc>
        <w:tc>
          <w:tcPr>
            <w:tcW w:w="6391" w:type="dxa"/>
            <w:tcBorders>
              <w:top w:val="single" w:sz="4" w:space="0" w:color="auto"/>
              <w:left w:val="nil"/>
              <w:bottom w:val="single" w:sz="4" w:space="0" w:color="auto"/>
              <w:right w:val="single" w:sz="4" w:space="0" w:color="auto"/>
            </w:tcBorders>
            <w:vAlign w:val="bottom"/>
            <w:hideMark/>
          </w:tcPr>
          <w:p w14:paraId="3CB4C329" w14:textId="77777777" w:rsidR="00A91234" w:rsidRPr="003809C6" w:rsidRDefault="00A91234">
            <w:pPr>
              <w:rPr>
                <w:rFonts w:ascii="Aptos Narrow" w:hAnsi="Aptos Narrow"/>
                <w:b/>
                <w:bCs/>
                <w:color w:val="000000"/>
                <w:sz w:val="22"/>
                <w:szCs w:val="22"/>
              </w:rPr>
            </w:pPr>
            <w:r w:rsidRPr="003809C6">
              <w:rPr>
                <w:rFonts w:ascii="Aptos Narrow" w:hAnsi="Aptos Narrow"/>
                <w:b/>
                <w:bCs/>
                <w:color w:val="000000"/>
                <w:sz w:val="22"/>
                <w:szCs w:val="22"/>
              </w:rPr>
              <w:t>Judgement</w:t>
            </w:r>
          </w:p>
        </w:tc>
      </w:tr>
      <w:tr w:rsidR="00A91234" w:rsidRPr="003809C6" w14:paraId="5AA55086" w14:textId="77777777">
        <w:trPr>
          <w:trHeight w:val="900"/>
        </w:trPr>
        <w:tc>
          <w:tcPr>
            <w:tcW w:w="1975" w:type="dxa"/>
            <w:tcBorders>
              <w:top w:val="nil"/>
              <w:left w:val="single" w:sz="4" w:space="0" w:color="auto"/>
              <w:bottom w:val="single" w:sz="4" w:space="0" w:color="auto"/>
              <w:right w:val="single" w:sz="4" w:space="0" w:color="auto"/>
            </w:tcBorders>
            <w:vAlign w:val="bottom"/>
            <w:hideMark/>
          </w:tcPr>
          <w:p w14:paraId="5ABC0098"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Interest payable/receivable</w:t>
            </w:r>
          </w:p>
        </w:tc>
        <w:tc>
          <w:tcPr>
            <w:tcW w:w="1277" w:type="dxa"/>
            <w:tcBorders>
              <w:top w:val="nil"/>
              <w:left w:val="nil"/>
              <w:bottom w:val="single" w:sz="4" w:space="0" w:color="auto"/>
              <w:right w:val="single" w:sz="4" w:space="0" w:color="auto"/>
            </w:tcBorders>
            <w:vAlign w:val="bottom"/>
            <w:hideMark/>
          </w:tcPr>
          <w:p w14:paraId="796F9E0F"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1277" w:type="dxa"/>
            <w:tcBorders>
              <w:top w:val="nil"/>
              <w:left w:val="nil"/>
              <w:bottom w:val="single" w:sz="4" w:space="0" w:color="auto"/>
              <w:right w:val="single" w:sz="4" w:space="0" w:color="auto"/>
            </w:tcBorders>
            <w:vAlign w:val="bottom"/>
            <w:hideMark/>
          </w:tcPr>
          <w:p w14:paraId="4A0F934B"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NO</w:t>
            </w:r>
          </w:p>
        </w:tc>
        <w:tc>
          <w:tcPr>
            <w:tcW w:w="6391" w:type="dxa"/>
            <w:tcBorders>
              <w:top w:val="nil"/>
              <w:left w:val="nil"/>
              <w:bottom w:val="single" w:sz="4" w:space="0" w:color="auto"/>
              <w:right w:val="single" w:sz="4" w:space="0" w:color="auto"/>
            </w:tcBorders>
            <w:vAlign w:val="bottom"/>
            <w:hideMark/>
          </w:tcPr>
          <w:p w14:paraId="5292892C" w14:textId="4DA75D94"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 xml:space="preserve">The PCC holds all cash balances, loans and investments. The CC does not hold a bank </w:t>
            </w:r>
            <w:r w:rsidR="00DC2030" w:rsidRPr="003809C6">
              <w:rPr>
                <w:rFonts w:ascii="Aptos Narrow" w:hAnsi="Aptos Narrow"/>
                <w:color w:val="000000"/>
                <w:sz w:val="22"/>
                <w:szCs w:val="22"/>
              </w:rPr>
              <w:t>account,</w:t>
            </w:r>
            <w:r w:rsidRPr="003809C6">
              <w:rPr>
                <w:rFonts w:ascii="Aptos Narrow" w:hAnsi="Aptos Narrow"/>
                <w:color w:val="000000"/>
                <w:sz w:val="22"/>
                <w:szCs w:val="22"/>
              </w:rPr>
              <w:t xml:space="preserve"> and no cash transactions take place between the two bodies.</w:t>
            </w:r>
          </w:p>
        </w:tc>
      </w:tr>
      <w:tr w:rsidR="00A91234" w:rsidRPr="003809C6" w14:paraId="74004F40" w14:textId="77777777">
        <w:trPr>
          <w:trHeight w:val="1160"/>
        </w:trPr>
        <w:tc>
          <w:tcPr>
            <w:tcW w:w="1975" w:type="dxa"/>
            <w:tcBorders>
              <w:top w:val="nil"/>
              <w:left w:val="single" w:sz="4" w:space="0" w:color="auto"/>
              <w:bottom w:val="single" w:sz="4" w:space="0" w:color="auto"/>
              <w:right w:val="single" w:sz="4" w:space="0" w:color="auto"/>
            </w:tcBorders>
            <w:vAlign w:val="bottom"/>
            <w:hideMark/>
          </w:tcPr>
          <w:p w14:paraId="130F01F8"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Property Plant and Equipment (including assets held for sale)</w:t>
            </w:r>
          </w:p>
        </w:tc>
        <w:tc>
          <w:tcPr>
            <w:tcW w:w="1277" w:type="dxa"/>
            <w:tcBorders>
              <w:top w:val="nil"/>
              <w:left w:val="nil"/>
              <w:bottom w:val="single" w:sz="4" w:space="0" w:color="auto"/>
              <w:right w:val="single" w:sz="4" w:space="0" w:color="auto"/>
            </w:tcBorders>
            <w:vAlign w:val="bottom"/>
            <w:hideMark/>
          </w:tcPr>
          <w:p w14:paraId="41CB400A"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1277" w:type="dxa"/>
            <w:tcBorders>
              <w:top w:val="nil"/>
              <w:left w:val="nil"/>
              <w:bottom w:val="single" w:sz="4" w:space="0" w:color="auto"/>
              <w:right w:val="single" w:sz="4" w:space="0" w:color="auto"/>
            </w:tcBorders>
            <w:vAlign w:val="bottom"/>
            <w:hideMark/>
          </w:tcPr>
          <w:p w14:paraId="2D649B46"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NO</w:t>
            </w:r>
          </w:p>
        </w:tc>
        <w:tc>
          <w:tcPr>
            <w:tcW w:w="6391" w:type="dxa"/>
            <w:tcBorders>
              <w:top w:val="nil"/>
              <w:left w:val="nil"/>
              <w:bottom w:val="single" w:sz="4" w:space="0" w:color="auto"/>
              <w:right w:val="single" w:sz="4" w:space="0" w:color="auto"/>
            </w:tcBorders>
            <w:vAlign w:val="bottom"/>
            <w:hideMark/>
          </w:tcPr>
          <w:p w14:paraId="07A58587"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The PCC has legal title to long term assets, the power to determine whether the assets are sold and receives all the sales proceeds. The PCC controls the services provided through the long-term assets, who they are provided to, and controls the residual value at the end of the contractual arrangement. It is therefore considered that the PCC will receive the future benefits from the assets. The PCC charges the CC a fair value for the assets which reflects depreciation and impairment/revaluation losses chargeable to the CIES.</w:t>
            </w:r>
          </w:p>
        </w:tc>
      </w:tr>
      <w:tr w:rsidR="00A91234" w:rsidRPr="003809C6" w14:paraId="4585517C" w14:textId="77777777">
        <w:trPr>
          <w:trHeight w:val="1450"/>
        </w:trPr>
        <w:tc>
          <w:tcPr>
            <w:tcW w:w="1975" w:type="dxa"/>
            <w:tcBorders>
              <w:top w:val="nil"/>
              <w:left w:val="single" w:sz="4" w:space="0" w:color="auto"/>
              <w:bottom w:val="single" w:sz="4" w:space="0" w:color="auto"/>
              <w:right w:val="single" w:sz="4" w:space="0" w:color="auto"/>
            </w:tcBorders>
            <w:vAlign w:val="bottom"/>
            <w:hideMark/>
          </w:tcPr>
          <w:p w14:paraId="4AED47D4"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Current Assets</w:t>
            </w:r>
          </w:p>
        </w:tc>
        <w:tc>
          <w:tcPr>
            <w:tcW w:w="1277" w:type="dxa"/>
            <w:tcBorders>
              <w:top w:val="nil"/>
              <w:left w:val="nil"/>
              <w:bottom w:val="single" w:sz="4" w:space="0" w:color="auto"/>
              <w:right w:val="single" w:sz="4" w:space="0" w:color="auto"/>
            </w:tcBorders>
            <w:vAlign w:val="bottom"/>
            <w:hideMark/>
          </w:tcPr>
          <w:p w14:paraId="0BE97A58"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1277" w:type="dxa"/>
            <w:tcBorders>
              <w:top w:val="nil"/>
              <w:left w:val="nil"/>
              <w:bottom w:val="single" w:sz="4" w:space="0" w:color="auto"/>
              <w:right w:val="single" w:sz="4" w:space="0" w:color="auto"/>
            </w:tcBorders>
            <w:vAlign w:val="bottom"/>
            <w:hideMark/>
          </w:tcPr>
          <w:p w14:paraId="17072BC8"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 *</w:t>
            </w:r>
          </w:p>
        </w:tc>
        <w:tc>
          <w:tcPr>
            <w:tcW w:w="6391" w:type="dxa"/>
            <w:tcBorders>
              <w:top w:val="nil"/>
              <w:left w:val="nil"/>
              <w:bottom w:val="single" w:sz="4" w:space="0" w:color="auto"/>
              <w:right w:val="single" w:sz="4" w:space="0" w:color="auto"/>
            </w:tcBorders>
            <w:vAlign w:val="bottom"/>
            <w:hideMark/>
          </w:tcPr>
          <w:p w14:paraId="092758C6" w14:textId="0A61D5CE" w:rsidR="00A91234" w:rsidRPr="003809C6" w:rsidRDefault="00A91234">
            <w:pPr>
              <w:rPr>
                <w:rFonts w:ascii="Aptos Narrow" w:hAnsi="Aptos Narrow"/>
                <w:color w:val="000000"/>
                <w:sz w:val="22"/>
                <w:szCs w:val="22"/>
              </w:rPr>
            </w:pPr>
            <w:proofErr w:type="gramStart"/>
            <w:r w:rsidRPr="003809C6">
              <w:rPr>
                <w:rFonts w:ascii="Aptos Narrow" w:hAnsi="Aptos Narrow"/>
                <w:color w:val="000000"/>
                <w:sz w:val="22"/>
                <w:szCs w:val="22"/>
              </w:rPr>
              <w:t>The majority of</w:t>
            </w:r>
            <w:proofErr w:type="gramEnd"/>
            <w:r w:rsidRPr="003809C6">
              <w:rPr>
                <w:rFonts w:ascii="Aptos Narrow" w:hAnsi="Aptos Narrow"/>
                <w:color w:val="000000"/>
                <w:sz w:val="22"/>
                <w:szCs w:val="22"/>
              </w:rPr>
              <w:t xml:space="preserve"> current assets are recognised on the PCC’s balance sheet. Inventories are recognised on the PCC’s Balance Sheet as the PCC controls the services provided through the assets. </w:t>
            </w:r>
            <w:proofErr w:type="gramStart"/>
            <w:r w:rsidRPr="003809C6">
              <w:rPr>
                <w:rFonts w:ascii="Aptos Narrow" w:hAnsi="Aptos Narrow"/>
                <w:color w:val="000000"/>
                <w:sz w:val="22"/>
                <w:szCs w:val="22"/>
              </w:rPr>
              <w:t>The majority of</w:t>
            </w:r>
            <w:proofErr w:type="gramEnd"/>
            <w:r w:rsidRPr="003809C6">
              <w:rPr>
                <w:rFonts w:ascii="Aptos Narrow" w:hAnsi="Aptos Narrow"/>
                <w:color w:val="000000"/>
                <w:sz w:val="22"/>
                <w:szCs w:val="22"/>
              </w:rPr>
              <w:t xml:space="preserve"> debtors are recognised on the PCC’s as the PCC is the recipient of all funding and is therefore considered to receive the future benefits. Cash and cash equivalents and short-term investments are recognised on the PCC’s balance sheet as the PCC is in receipt of all income and funding and makes all payments. The CC does not hold a bank </w:t>
            </w:r>
            <w:r w:rsidR="00DC2030" w:rsidRPr="003809C6">
              <w:rPr>
                <w:rFonts w:ascii="Aptos Narrow" w:hAnsi="Aptos Narrow"/>
                <w:color w:val="000000"/>
                <w:sz w:val="22"/>
                <w:szCs w:val="22"/>
              </w:rPr>
              <w:t>account,</w:t>
            </w:r>
            <w:r w:rsidRPr="003809C6">
              <w:rPr>
                <w:rFonts w:ascii="Aptos Narrow" w:hAnsi="Aptos Narrow"/>
                <w:color w:val="000000"/>
                <w:sz w:val="22"/>
                <w:szCs w:val="22"/>
              </w:rPr>
              <w:t xml:space="preserve"> and no cash transactions take place between the two bodies.</w:t>
            </w:r>
          </w:p>
        </w:tc>
      </w:tr>
      <w:tr w:rsidR="00A91234" w:rsidRPr="003809C6" w14:paraId="1F1F9AAE" w14:textId="77777777">
        <w:trPr>
          <w:trHeight w:val="1450"/>
        </w:trPr>
        <w:tc>
          <w:tcPr>
            <w:tcW w:w="1975" w:type="dxa"/>
            <w:tcBorders>
              <w:top w:val="nil"/>
              <w:left w:val="single" w:sz="4" w:space="0" w:color="auto"/>
              <w:bottom w:val="single" w:sz="4" w:space="0" w:color="auto"/>
              <w:right w:val="single" w:sz="4" w:space="0" w:color="auto"/>
            </w:tcBorders>
            <w:vAlign w:val="bottom"/>
            <w:hideMark/>
          </w:tcPr>
          <w:p w14:paraId="2693ECAC"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Current Liabilities</w:t>
            </w:r>
          </w:p>
        </w:tc>
        <w:tc>
          <w:tcPr>
            <w:tcW w:w="1277" w:type="dxa"/>
            <w:tcBorders>
              <w:top w:val="nil"/>
              <w:left w:val="nil"/>
              <w:bottom w:val="single" w:sz="4" w:space="0" w:color="auto"/>
              <w:right w:val="single" w:sz="4" w:space="0" w:color="auto"/>
            </w:tcBorders>
            <w:vAlign w:val="bottom"/>
            <w:hideMark/>
          </w:tcPr>
          <w:p w14:paraId="13EB482C"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1277" w:type="dxa"/>
            <w:tcBorders>
              <w:top w:val="nil"/>
              <w:left w:val="nil"/>
              <w:bottom w:val="single" w:sz="4" w:space="0" w:color="auto"/>
              <w:right w:val="single" w:sz="4" w:space="0" w:color="auto"/>
            </w:tcBorders>
            <w:vAlign w:val="bottom"/>
            <w:hideMark/>
          </w:tcPr>
          <w:p w14:paraId="443C709D"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 *</w:t>
            </w:r>
          </w:p>
        </w:tc>
        <w:tc>
          <w:tcPr>
            <w:tcW w:w="6391" w:type="dxa"/>
            <w:tcBorders>
              <w:top w:val="nil"/>
              <w:left w:val="nil"/>
              <w:bottom w:val="single" w:sz="4" w:space="0" w:color="auto"/>
              <w:right w:val="single" w:sz="4" w:space="0" w:color="auto"/>
            </w:tcBorders>
            <w:vAlign w:val="bottom"/>
            <w:hideMark/>
          </w:tcPr>
          <w:p w14:paraId="5DB90C74" w14:textId="77777777" w:rsidR="00A91234" w:rsidRPr="003809C6" w:rsidRDefault="00A91234">
            <w:pPr>
              <w:rPr>
                <w:rFonts w:ascii="Aptos Narrow" w:hAnsi="Aptos Narrow"/>
                <w:color w:val="000000"/>
                <w:sz w:val="22"/>
                <w:szCs w:val="22"/>
              </w:rPr>
            </w:pPr>
            <w:proofErr w:type="gramStart"/>
            <w:r w:rsidRPr="003809C6">
              <w:rPr>
                <w:rFonts w:ascii="Aptos Narrow" w:hAnsi="Aptos Narrow"/>
                <w:color w:val="000000"/>
                <w:sz w:val="22"/>
                <w:szCs w:val="22"/>
              </w:rPr>
              <w:t>The majority of</w:t>
            </w:r>
            <w:proofErr w:type="gramEnd"/>
            <w:r w:rsidRPr="003809C6">
              <w:rPr>
                <w:rFonts w:ascii="Aptos Narrow" w:hAnsi="Aptos Narrow"/>
                <w:color w:val="000000"/>
                <w:sz w:val="22"/>
                <w:szCs w:val="22"/>
              </w:rPr>
              <w:t xml:space="preserve"> the current liabilities are recognised on the PCC’s balance sheet. The PCC has responsibility for managing financial relationships with third parties and has legal responsibility for discharging the contractual terms and conditions of suppliers.  Provisions relating to insurance risks are recognised in full on the PCC’s Balance Sheet. Whilst the PCC and the CC are jointly responsible for approving risk management and strategy, the PCC is ultimately responsible for financial liabilities affecting the Police Fund. Provisions relating to officers and staff under the direction and control of the CC are recognised on the CC’s Balance Sheet.</w:t>
            </w:r>
          </w:p>
        </w:tc>
      </w:tr>
      <w:tr w:rsidR="00A91234" w:rsidRPr="003809C6" w14:paraId="17336503" w14:textId="77777777">
        <w:trPr>
          <w:trHeight w:val="580"/>
        </w:trPr>
        <w:tc>
          <w:tcPr>
            <w:tcW w:w="1975" w:type="dxa"/>
            <w:tcBorders>
              <w:top w:val="nil"/>
              <w:left w:val="single" w:sz="4" w:space="0" w:color="auto"/>
              <w:bottom w:val="single" w:sz="4" w:space="0" w:color="auto"/>
              <w:right w:val="single" w:sz="4" w:space="0" w:color="auto"/>
            </w:tcBorders>
            <w:vAlign w:val="bottom"/>
            <w:hideMark/>
          </w:tcPr>
          <w:p w14:paraId="1A7DC534"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Long-term liabilities</w:t>
            </w:r>
          </w:p>
        </w:tc>
        <w:tc>
          <w:tcPr>
            <w:tcW w:w="1277" w:type="dxa"/>
            <w:tcBorders>
              <w:top w:val="nil"/>
              <w:left w:val="nil"/>
              <w:bottom w:val="single" w:sz="4" w:space="0" w:color="auto"/>
              <w:right w:val="single" w:sz="4" w:space="0" w:color="auto"/>
            </w:tcBorders>
            <w:vAlign w:val="bottom"/>
            <w:hideMark/>
          </w:tcPr>
          <w:p w14:paraId="66031403"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1277" w:type="dxa"/>
            <w:tcBorders>
              <w:top w:val="nil"/>
              <w:left w:val="nil"/>
              <w:bottom w:val="single" w:sz="4" w:space="0" w:color="auto"/>
              <w:right w:val="single" w:sz="4" w:space="0" w:color="auto"/>
            </w:tcBorders>
            <w:vAlign w:val="bottom"/>
            <w:hideMark/>
          </w:tcPr>
          <w:p w14:paraId="1F2392CE"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 *</w:t>
            </w:r>
          </w:p>
        </w:tc>
        <w:tc>
          <w:tcPr>
            <w:tcW w:w="6391" w:type="dxa"/>
            <w:tcBorders>
              <w:top w:val="nil"/>
              <w:left w:val="nil"/>
              <w:bottom w:val="single" w:sz="4" w:space="0" w:color="auto"/>
              <w:right w:val="single" w:sz="4" w:space="0" w:color="auto"/>
            </w:tcBorders>
            <w:vAlign w:val="bottom"/>
            <w:hideMark/>
          </w:tcPr>
          <w:p w14:paraId="32C3A8E7"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The PCC and CC each recognise pension liabilities relating to staff under their direction and control. The treatment of other long-term liabilities and provisions is consistent with the treatment of current liabilities outlined above.</w:t>
            </w:r>
          </w:p>
        </w:tc>
      </w:tr>
      <w:tr w:rsidR="00A91234" w:rsidRPr="003809C6" w14:paraId="4B1C6602" w14:textId="77777777">
        <w:trPr>
          <w:trHeight w:val="580"/>
        </w:trPr>
        <w:tc>
          <w:tcPr>
            <w:tcW w:w="1975" w:type="dxa"/>
            <w:tcBorders>
              <w:top w:val="nil"/>
              <w:left w:val="single" w:sz="4" w:space="0" w:color="auto"/>
              <w:bottom w:val="single" w:sz="4" w:space="0" w:color="auto"/>
              <w:right w:val="single" w:sz="4" w:space="0" w:color="auto"/>
            </w:tcBorders>
            <w:vAlign w:val="bottom"/>
            <w:hideMark/>
          </w:tcPr>
          <w:p w14:paraId="29B6D552"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Usable Reserves</w:t>
            </w:r>
          </w:p>
        </w:tc>
        <w:tc>
          <w:tcPr>
            <w:tcW w:w="1277" w:type="dxa"/>
            <w:tcBorders>
              <w:top w:val="nil"/>
              <w:left w:val="nil"/>
              <w:bottom w:val="single" w:sz="4" w:space="0" w:color="auto"/>
              <w:right w:val="single" w:sz="4" w:space="0" w:color="auto"/>
            </w:tcBorders>
            <w:vAlign w:val="bottom"/>
            <w:hideMark/>
          </w:tcPr>
          <w:p w14:paraId="66226B3A"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1277" w:type="dxa"/>
            <w:tcBorders>
              <w:top w:val="nil"/>
              <w:left w:val="nil"/>
              <w:bottom w:val="single" w:sz="4" w:space="0" w:color="auto"/>
              <w:right w:val="single" w:sz="4" w:space="0" w:color="auto"/>
            </w:tcBorders>
            <w:vAlign w:val="bottom"/>
            <w:hideMark/>
          </w:tcPr>
          <w:p w14:paraId="51787200"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NO</w:t>
            </w:r>
          </w:p>
        </w:tc>
        <w:tc>
          <w:tcPr>
            <w:tcW w:w="6391" w:type="dxa"/>
            <w:tcBorders>
              <w:top w:val="nil"/>
              <w:left w:val="nil"/>
              <w:bottom w:val="single" w:sz="4" w:space="0" w:color="auto"/>
              <w:right w:val="single" w:sz="4" w:space="0" w:color="auto"/>
            </w:tcBorders>
            <w:vAlign w:val="bottom"/>
            <w:hideMark/>
          </w:tcPr>
          <w:p w14:paraId="14BA535A"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The PCC has the responsibility of deciding upon the level of general balances and earmarked reserves. The CC must present a business case to the PCC for one-off expenditure items to be funded from earmarked reserves and/or general balances.</w:t>
            </w:r>
          </w:p>
        </w:tc>
      </w:tr>
      <w:tr w:rsidR="00A91234" w:rsidRPr="003809C6" w14:paraId="21A277F5" w14:textId="77777777">
        <w:trPr>
          <w:trHeight w:val="870"/>
        </w:trPr>
        <w:tc>
          <w:tcPr>
            <w:tcW w:w="1975" w:type="dxa"/>
            <w:tcBorders>
              <w:top w:val="nil"/>
              <w:left w:val="single" w:sz="4" w:space="0" w:color="auto"/>
              <w:bottom w:val="single" w:sz="4" w:space="0" w:color="auto"/>
              <w:right w:val="single" w:sz="4" w:space="0" w:color="auto"/>
            </w:tcBorders>
            <w:vAlign w:val="bottom"/>
            <w:hideMark/>
          </w:tcPr>
          <w:p w14:paraId="1B822B0D"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Unusable Reserves</w:t>
            </w:r>
          </w:p>
        </w:tc>
        <w:tc>
          <w:tcPr>
            <w:tcW w:w="1277" w:type="dxa"/>
            <w:tcBorders>
              <w:top w:val="nil"/>
              <w:left w:val="nil"/>
              <w:bottom w:val="single" w:sz="4" w:space="0" w:color="auto"/>
              <w:right w:val="single" w:sz="4" w:space="0" w:color="auto"/>
            </w:tcBorders>
            <w:vAlign w:val="bottom"/>
            <w:hideMark/>
          </w:tcPr>
          <w:p w14:paraId="6BBA60C5"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w:t>
            </w:r>
          </w:p>
        </w:tc>
        <w:tc>
          <w:tcPr>
            <w:tcW w:w="1277" w:type="dxa"/>
            <w:tcBorders>
              <w:top w:val="nil"/>
              <w:left w:val="nil"/>
              <w:bottom w:val="single" w:sz="4" w:space="0" w:color="auto"/>
              <w:right w:val="single" w:sz="4" w:space="0" w:color="auto"/>
            </w:tcBorders>
            <w:vAlign w:val="bottom"/>
            <w:hideMark/>
          </w:tcPr>
          <w:p w14:paraId="681F579B"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YES *</w:t>
            </w:r>
          </w:p>
        </w:tc>
        <w:tc>
          <w:tcPr>
            <w:tcW w:w="6391" w:type="dxa"/>
            <w:tcBorders>
              <w:top w:val="nil"/>
              <w:left w:val="nil"/>
              <w:bottom w:val="single" w:sz="4" w:space="0" w:color="auto"/>
              <w:right w:val="single" w:sz="4" w:space="0" w:color="auto"/>
            </w:tcBorders>
            <w:vAlign w:val="bottom"/>
            <w:hideMark/>
          </w:tcPr>
          <w:p w14:paraId="1570C0D5" w14:textId="77777777" w:rsidR="00A91234" w:rsidRPr="003809C6" w:rsidRDefault="00A91234">
            <w:pPr>
              <w:rPr>
                <w:rFonts w:ascii="Aptos Narrow" w:hAnsi="Aptos Narrow"/>
                <w:color w:val="000000"/>
                <w:sz w:val="22"/>
                <w:szCs w:val="22"/>
              </w:rPr>
            </w:pPr>
            <w:r w:rsidRPr="003809C6">
              <w:rPr>
                <w:rFonts w:ascii="Aptos Narrow" w:hAnsi="Aptos Narrow"/>
                <w:color w:val="000000"/>
                <w:sz w:val="22"/>
                <w:szCs w:val="22"/>
              </w:rPr>
              <w:t>The PCC and CC each recognise the pensions reserve and accumulated absences account balances relating to staff under their direction and control. The remaining unusable reserves are held in relation to property, plant and equipment and are therefore recorded on the balance sheet of the PCC.</w:t>
            </w:r>
          </w:p>
        </w:tc>
      </w:tr>
      <w:tr w:rsidR="007F3C10" w:rsidRPr="003809C6" w14:paraId="58EC5220" w14:textId="77777777" w:rsidTr="007F3C10">
        <w:trPr>
          <w:trHeight w:val="870"/>
        </w:trPr>
        <w:tc>
          <w:tcPr>
            <w:tcW w:w="1975" w:type="dxa"/>
            <w:tcBorders>
              <w:top w:val="nil"/>
              <w:left w:val="single" w:sz="4" w:space="0" w:color="auto"/>
              <w:bottom w:val="single" w:sz="4" w:space="0" w:color="auto"/>
              <w:right w:val="single" w:sz="4" w:space="0" w:color="auto"/>
            </w:tcBorders>
            <w:vAlign w:val="bottom"/>
            <w:hideMark/>
          </w:tcPr>
          <w:p w14:paraId="45D5AA1F" w14:textId="52F3111B" w:rsidR="007F3C10" w:rsidRPr="003809C6" w:rsidRDefault="007F3C10">
            <w:pPr>
              <w:rPr>
                <w:rFonts w:ascii="Aptos Narrow" w:hAnsi="Aptos Narrow"/>
                <w:color w:val="000000"/>
                <w:sz w:val="22"/>
                <w:szCs w:val="22"/>
              </w:rPr>
            </w:pPr>
            <w:bookmarkStart w:id="13" w:name="_Hlk209537273"/>
            <w:r>
              <w:rPr>
                <w:rFonts w:ascii="Aptos Narrow" w:hAnsi="Aptos Narrow"/>
                <w:color w:val="000000"/>
                <w:sz w:val="22"/>
                <w:szCs w:val="22"/>
              </w:rPr>
              <w:t>Leases Assets and Liabilities</w:t>
            </w:r>
          </w:p>
        </w:tc>
        <w:tc>
          <w:tcPr>
            <w:tcW w:w="1277" w:type="dxa"/>
            <w:tcBorders>
              <w:top w:val="nil"/>
              <w:left w:val="nil"/>
              <w:bottom w:val="single" w:sz="4" w:space="0" w:color="auto"/>
              <w:right w:val="single" w:sz="4" w:space="0" w:color="auto"/>
            </w:tcBorders>
            <w:vAlign w:val="bottom"/>
            <w:hideMark/>
          </w:tcPr>
          <w:p w14:paraId="30EC5329" w14:textId="77777777" w:rsidR="007F3C10" w:rsidRPr="003809C6" w:rsidRDefault="007F3C10">
            <w:pPr>
              <w:rPr>
                <w:rFonts w:ascii="Aptos Narrow" w:hAnsi="Aptos Narrow"/>
                <w:color w:val="000000"/>
                <w:sz w:val="22"/>
                <w:szCs w:val="22"/>
              </w:rPr>
            </w:pPr>
            <w:r w:rsidRPr="003809C6">
              <w:rPr>
                <w:rFonts w:ascii="Aptos Narrow" w:hAnsi="Aptos Narrow"/>
                <w:color w:val="000000"/>
                <w:sz w:val="22"/>
                <w:szCs w:val="22"/>
              </w:rPr>
              <w:t>YES</w:t>
            </w:r>
          </w:p>
        </w:tc>
        <w:tc>
          <w:tcPr>
            <w:tcW w:w="1277" w:type="dxa"/>
            <w:tcBorders>
              <w:top w:val="nil"/>
              <w:left w:val="nil"/>
              <w:bottom w:val="single" w:sz="4" w:space="0" w:color="auto"/>
              <w:right w:val="single" w:sz="4" w:space="0" w:color="auto"/>
            </w:tcBorders>
            <w:vAlign w:val="bottom"/>
            <w:hideMark/>
          </w:tcPr>
          <w:p w14:paraId="753F14F2" w14:textId="77777777" w:rsidR="007F3C10" w:rsidRPr="003809C6" w:rsidRDefault="007F3C10">
            <w:pPr>
              <w:rPr>
                <w:rFonts w:ascii="Aptos Narrow" w:hAnsi="Aptos Narrow"/>
                <w:color w:val="000000"/>
                <w:sz w:val="22"/>
                <w:szCs w:val="22"/>
              </w:rPr>
            </w:pPr>
            <w:r w:rsidRPr="003809C6">
              <w:rPr>
                <w:rFonts w:ascii="Aptos Narrow" w:hAnsi="Aptos Narrow"/>
                <w:color w:val="000000"/>
                <w:sz w:val="22"/>
                <w:szCs w:val="22"/>
              </w:rPr>
              <w:t>NO</w:t>
            </w:r>
          </w:p>
        </w:tc>
        <w:tc>
          <w:tcPr>
            <w:tcW w:w="6391" w:type="dxa"/>
            <w:tcBorders>
              <w:top w:val="nil"/>
              <w:left w:val="nil"/>
              <w:bottom w:val="single" w:sz="4" w:space="0" w:color="auto"/>
              <w:right w:val="single" w:sz="4" w:space="0" w:color="auto"/>
            </w:tcBorders>
            <w:vAlign w:val="bottom"/>
            <w:hideMark/>
          </w:tcPr>
          <w:p w14:paraId="10138BF1" w14:textId="0966F8B0" w:rsidR="007F3C10" w:rsidRPr="003809C6" w:rsidRDefault="00574610">
            <w:pPr>
              <w:rPr>
                <w:rFonts w:ascii="Aptos Narrow" w:hAnsi="Aptos Narrow"/>
                <w:color w:val="000000"/>
                <w:sz w:val="22"/>
                <w:szCs w:val="22"/>
              </w:rPr>
            </w:pPr>
            <w:r>
              <w:rPr>
                <w:rFonts w:ascii="Aptos Narrow" w:hAnsi="Aptos Narrow"/>
                <w:color w:val="000000"/>
                <w:sz w:val="22"/>
                <w:szCs w:val="22"/>
              </w:rPr>
              <w:t xml:space="preserve">As part of the transition to IFRS 16 </w:t>
            </w:r>
            <w:r w:rsidR="00E33741">
              <w:rPr>
                <w:rFonts w:ascii="Aptos Narrow" w:hAnsi="Aptos Narrow"/>
                <w:color w:val="000000"/>
                <w:sz w:val="22"/>
                <w:szCs w:val="22"/>
              </w:rPr>
              <w:t xml:space="preserve">the PCC has judged that the </w:t>
            </w:r>
            <w:r w:rsidR="00E33741" w:rsidRPr="00E33741">
              <w:rPr>
                <w:rFonts w:ascii="Aptos Narrow" w:hAnsi="Aptos Narrow"/>
                <w:color w:val="000000"/>
                <w:sz w:val="22"/>
                <w:szCs w:val="22"/>
              </w:rPr>
              <w:t xml:space="preserve">arrangements under which </w:t>
            </w:r>
            <w:r w:rsidR="00E33741">
              <w:rPr>
                <w:rFonts w:ascii="Aptos Narrow" w:hAnsi="Aptos Narrow"/>
                <w:color w:val="000000"/>
                <w:sz w:val="22"/>
                <w:szCs w:val="22"/>
              </w:rPr>
              <w:t>the Chi</w:t>
            </w:r>
            <w:r w:rsidR="00E33741" w:rsidRPr="00E33741">
              <w:rPr>
                <w:rFonts w:ascii="Aptos Narrow" w:hAnsi="Aptos Narrow"/>
                <w:color w:val="000000"/>
                <w:sz w:val="22"/>
                <w:szCs w:val="22"/>
              </w:rPr>
              <w:t xml:space="preserve">ef </w:t>
            </w:r>
            <w:r w:rsidR="00E33741">
              <w:rPr>
                <w:rFonts w:ascii="Aptos Narrow" w:hAnsi="Aptos Narrow"/>
                <w:color w:val="000000"/>
                <w:sz w:val="22"/>
                <w:szCs w:val="22"/>
              </w:rPr>
              <w:t>C</w:t>
            </w:r>
            <w:r w:rsidR="00E33741" w:rsidRPr="00E33741">
              <w:rPr>
                <w:rFonts w:ascii="Aptos Narrow" w:hAnsi="Aptos Narrow"/>
                <w:color w:val="000000"/>
                <w:sz w:val="22"/>
                <w:szCs w:val="22"/>
              </w:rPr>
              <w:t xml:space="preserve">onstable </w:t>
            </w:r>
            <w:r w:rsidR="00E33741">
              <w:rPr>
                <w:rFonts w:ascii="Aptos Narrow" w:hAnsi="Aptos Narrow"/>
                <w:color w:val="000000"/>
                <w:sz w:val="22"/>
                <w:szCs w:val="22"/>
              </w:rPr>
              <w:t xml:space="preserve">has used the assets </w:t>
            </w:r>
            <w:r w:rsidR="00E33741" w:rsidRPr="00E33741">
              <w:rPr>
                <w:rFonts w:ascii="Aptos Narrow" w:hAnsi="Aptos Narrow"/>
                <w:color w:val="000000"/>
                <w:sz w:val="22"/>
                <w:szCs w:val="22"/>
              </w:rPr>
              <w:t xml:space="preserve"> of </w:t>
            </w:r>
            <w:r w:rsidR="00E33741">
              <w:rPr>
                <w:rFonts w:ascii="Aptos Narrow" w:hAnsi="Aptos Narrow"/>
                <w:color w:val="000000"/>
                <w:sz w:val="22"/>
                <w:szCs w:val="22"/>
              </w:rPr>
              <w:t>the PCC do not meet the definition of a lease. It has been assessed that due to there being no contractual arrangement for the use of the assets that a lease does not exist and as such all assets and leases are shown within the PCC accounts only.</w:t>
            </w:r>
          </w:p>
        </w:tc>
      </w:tr>
      <w:bookmarkEnd w:id="13"/>
    </w:tbl>
    <w:p w14:paraId="70E0BDE7" w14:textId="77777777" w:rsidR="00A91234" w:rsidRDefault="00A91234" w:rsidP="00A91234">
      <w:pPr>
        <w:rPr>
          <w:rFonts w:ascii="Aptos Narrow" w:hAnsi="Aptos Narrow"/>
          <w:color w:val="000000"/>
          <w:sz w:val="22"/>
          <w:szCs w:val="22"/>
        </w:rPr>
      </w:pPr>
    </w:p>
    <w:p w14:paraId="78E24731" w14:textId="77777777" w:rsidR="00A91234" w:rsidRPr="003809C6" w:rsidRDefault="00A91234" w:rsidP="00A91234">
      <w:pPr>
        <w:rPr>
          <w:rFonts w:ascii="Aptos Narrow" w:hAnsi="Aptos Narrow"/>
          <w:color w:val="000000"/>
          <w:sz w:val="22"/>
          <w:szCs w:val="22"/>
        </w:rPr>
      </w:pPr>
      <w:r w:rsidRPr="003809C6">
        <w:rPr>
          <w:rFonts w:ascii="Aptos Narrow" w:hAnsi="Aptos Narrow"/>
          <w:color w:val="000000"/>
          <w:sz w:val="22"/>
          <w:szCs w:val="22"/>
        </w:rPr>
        <w:t>* Balances reported on the CC’s balance sheet relate to assets/liabilities/reserves arising from officers/staff under the direction and control of the CC.</w:t>
      </w:r>
    </w:p>
    <w:p w14:paraId="599DF023" w14:textId="240B1646" w:rsidR="00B83CCB" w:rsidRDefault="00B83CCB">
      <w:pPr>
        <w:rPr>
          <w:rFonts w:ascii="Arial" w:hAnsi="Arial"/>
          <w:b/>
          <w:caps/>
          <w:sz w:val="22"/>
          <w:szCs w:val="22"/>
        </w:rPr>
      </w:pPr>
    </w:p>
    <w:p w14:paraId="63E03C03" w14:textId="2692679E" w:rsidR="003B74DA" w:rsidRPr="00722236" w:rsidRDefault="003B74DA" w:rsidP="003B74DA">
      <w:pPr>
        <w:numPr>
          <w:ilvl w:val="0"/>
          <w:numId w:val="1"/>
        </w:numPr>
        <w:tabs>
          <w:tab w:val="clear" w:pos="720"/>
          <w:tab w:val="num" w:pos="426"/>
          <w:tab w:val="right" w:pos="5760"/>
        </w:tabs>
        <w:ind w:left="426"/>
        <w:rPr>
          <w:rFonts w:ascii="Arial" w:hAnsi="Arial"/>
          <w:b/>
          <w:caps/>
          <w:sz w:val="22"/>
          <w:szCs w:val="22"/>
        </w:rPr>
      </w:pPr>
      <w:r w:rsidRPr="00722236">
        <w:rPr>
          <w:rFonts w:ascii="Arial" w:hAnsi="Arial"/>
          <w:b/>
          <w:caps/>
          <w:sz w:val="22"/>
          <w:szCs w:val="22"/>
        </w:rPr>
        <w:t>PRIOR PERIOD ADJUSTMENTS</w:t>
      </w:r>
    </w:p>
    <w:p w14:paraId="2C6B3D7F" w14:textId="77777777" w:rsidR="003B74DA" w:rsidRPr="00722236" w:rsidRDefault="003B74DA" w:rsidP="003B74DA">
      <w:pPr>
        <w:tabs>
          <w:tab w:val="right" w:pos="5760"/>
        </w:tabs>
        <w:rPr>
          <w:rFonts w:ascii="Arial" w:hAnsi="Arial"/>
          <w:b/>
          <w:caps/>
          <w:sz w:val="22"/>
          <w:szCs w:val="22"/>
        </w:rPr>
      </w:pPr>
    </w:p>
    <w:p w14:paraId="2B4201FE" w14:textId="61193986" w:rsidR="00EA7D57" w:rsidRDefault="00EA7D57" w:rsidP="003B74DA">
      <w:pPr>
        <w:ind w:left="426"/>
        <w:jc w:val="both"/>
        <w:rPr>
          <w:rFonts w:ascii="Arial" w:hAnsi="Arial"/>
          <w:sz w:val="22"/>
          <w:szCs w:val="22"/>
        </w:rPr>
      </w:pPr>
      <w:r w:rsidRPr="00582128">
        <w:rPr>
          <w:rFonts w:ascii="Arial" w:hAnsi="Arial"/>
          <w:sz w:val="22"/>
          <w:szCs w:val="22"/>
        </w:rPr>
        <w:t>Due to a change in Accounting Policy the Monies Held on Account relating to Seized Funds ha</w:t>
      </w:r>
      <w:r>
        <w:rPr>
          <w:rFonts w:ascii="Arial" w:hAnsi="Arial"/>
          <w:sz w:val="22"/>
          <w:szCs w:val="22"/>
        </w:rPr>
        <w:t>s</w:t>
      </w:r>
      <w:r w:rsidRPr="00582128">
        <w:rPr>
          <w:rFonts w:ascii="Arial" w:hAnsi="Arial"/>
          <w:sz w:val="22"/>
          <w:szCs w:val="22"/>
        </w:rPr>
        <w:t xml:space="preserve"> been removed from the Accounts </w:t>
      </w:r>
    </w:p>
    <w:p w14:paraId="1AC9E86F" w14:textId="77777777" w:rsidR="00EA7D57" w:rsidRDefault="00EA7D57" w:rsidP="003B74DA">
      <w:pPr>
        <w:ind w:left="426"/>
        <w:jc w:val="both"/>
        <w:rPr>
          <w:rFonts w:ascii="Arial" w:hAnsi="Arial"/>
          <w:sz w:val="22"/>
          <w:szCs w:val="22"/>
        </w:rPr>
      </w:pPr>
    </w:p>
    <w:p w14:paraId="2D48BE16" w14:textId="2562FA71" w:rsidR="00A755ED" w:rsidRDefault="00EA7D57" w:rsidP="00A755ED">
      <w:pPr>
        <w:ind w:left="426"/>
        <w:jc w:val="both"/>
        <w:rPr>
          <w:rFonts w:ascii="Arial" w:hAnsi="Arial"/>
          <w:sz w:val="22"/>
          <w:szCs w:val="22"/>
        </w:rPr>
      </w:pPr>
      <w:r>
        <w:rPr>
          <w:rFonts w:ascii="Arial" w:hAnsi="Arial"/>
          <w:sz w:val="22"/>
          <w:szCs w:val="22"/>
        </w:rPr>
        <w:t>This has resulted in figures for creditors and cash and cash equivalents being restated and the affected statements have been annotated as containing restating figures due to the change in policy.</w:t>
      </w:r>
    </w:p>
    <w:p w14:paraId="51528D05" w14:textId="77777777" w:rsidR="00A755ED" w:rsidRDefault="00A755ED" w:rsidP="00A755ED">
      <w:pPr>
        <w:ind w:left="426"/>
        <w:jc w:val="both"/>
        <w:rPr>
          <w:rFonts w:ascii="Arial" w:hAnsi="Arial"/>
          <w:sz w:val="22"/>
          <w:szCs w:val="22"/>
        </w:rPr>
      </w:pPr>
    </w:p>
    <w:p w14:paraId="74AA7233" w14:textId="795DE38A" w:rsidR="00A755ED" w:rsidRDefault="00017180" w:rsidP="00A755ED">
      <w:pPr>
        <w:ind w:left="426"/>
        <w:jc w:val="both"/>
        <w:rPr>
          <w:rFonts w:ascii="Arial" w:hAnsi="Arial"/>
          <w:sz w:val="22"/>
          <w:szCs w:val="22"/>
        </w:rPr>
      </w:pPr>
      <w:r w:rsidRPr="00017180">
        <w:rPr>
          <w:rFonts w:ascii="Arial" w:hAnsi="Arial"/>
          <w:sz w:val="22"/>
          <w:szCs w:val="22"/>
        </w:rPr>
        <w:t>Upon completion of the Assessment of Financial Instruments it was determined that there was £9m of debtors that had been classed as Trade Debtors in 23-24 that should have been classed as Government Grants. This has resulted in the Trade Debtors and Government Grants Debtors figure being restated</w:t>
      </w:r>
      <w:r>
        <w:rPr>
          <w:rFonts w:ascii="Arial" w:hAnsi="Arial"/>
          <w:sz w:val="22"/>
          <w:szCs w:val="22"/>
        </w:rPr>
        <w:t xml:space="preserve"> within the Debtors Note.</w:t>
      </w:r>
      <w:r w:rsidRPr="00017180">
        <w:t xml:space="preserve"> </w:t>
      </w:r>
      <w:r w:rsidRPr="00017180">
        <w:rPr>
          <w:rFonts w:ascii="Arial" w:hAnsi="Arial"/>
          <w:sz w:val="22"/>
          <w:szCs w:val="22"/>
        </w:rPr>
        <w:t xml:space="preserve">This has also been reflected in </w:t>
      </w:r>
      <w:r>
        <w:rPr>
          <w:rFonts w:ascii="Arial" w:hAnsi="Arial"/>
          <w:sz w:val="22"/>
          <w:szCs w:val="22"/>
        </w:rPr>
        <w:t xml:space="preserve">the </w:t>
      </w:r>
      <w:r w:rsidRPr="00017180">
        <w:rPr>
          <w:rFonts w:ascii="Arial" w:hAnsi="Arial"/>
          <w:sz w:val="22"/>
          <w:szCs w:val="22"/>
        </w:rPr>
        <w:t>Financial Instruments</w:t>
      </w:r>
      <w:r>
        <w:rPr>
          <w:rFonts w:ascii="Arial" w:hAnsi="Arial"/>
          <w:sz w:val="22"/>
          <w:szCs w:val="22"/>
        </w:rPr>
        <w:t xml:space="preserve"> Note</w:t>
      </w:r>
      <w:r w:rsidRPr="00017180">
        <w:rPr>
          <w:rFonts w:ascii="Arial" w:hAnsi="Arial"/>
          <w:sz w:val="22"/>
          <w:szCs w:val="22"/>
        </w:rPr>
        <w:t>.</w:t>
      </w:r>
    </w:p>
    <w:p w14:paraId="05834AB6" w14:textId="77777777" w:rsidR="00017180" w:rsidRDefault="00017180" w:rsidP="00A755ED">
      <w:pPr>
        <w:ind w:left="426"/>
        <w:jc w:val="both"/>
        <w:rPr>
          <w:rFonts w:ascii="Arial" w:hAnsi="Arial"/>
          <w:sz w:val="22"/>
          <w:szCs w:val="22"/>
        </w:rPr>
      </w:pPr>
    </w:p>
    <w:p w14:paraId="5F9E04A8" w14:textId="29D563EF" w:rsidR="00017180" w:rsidRDefault="00017180" w:rsidP="00A755ED">
      <w:pPr>
        <w:ind w:left="426"/>
        <w:jc w:val="both"/>
        <w:rPr>
          <w:rFonts w:ascii="Arial" w:hAnsi="Arial"/>
          <w:sz w:val="22"/>
          <w:szCs w:val="22"/>
        </w:rPr>
      </w:pPr>
      <w:proofErr w:type="gramStart"/>
      <w:r>
        <w:rPr>
          <w:rFonts w:ascii="Arial" w:hAnsi="Arial"/>
          <w:sz w:val="22"/>
          <w:szCs w:val="22"/>
        </w:rPr>
        <w:t>Also</w:t>
      </w:r>
      <w:proofErr w:type="gramEnd"/>
      <w:r>
        <w:rPr>
          <w:rFonts w:ascii="Arial" w:hAnsi="Arial"/>
          <w:sz w:val="22"/>
          <w:szCs w:val="22"/>
        </w:rPr>
        <w:t xml:space="preserve"> within the Financial Instruments Note the assets have been restated in 23-24 as classified at amortised cost rather than carried at fair value through profit and loss.</w:t>
      </w:r>
    </w:p>
    <w:p w14:paraId="42CDEFF1" w14:textId="77777777" w:rsidR="00EA7D57" w:rsidRDefault="00EA7D57" w:rsidP="003B74DA">
      <w:pPr>
        <w:ind w:left="426"/>
        <w:jc w:val="both"/>
        <w:rPr>
          <w:rFonts w:ascii="Arial" w:hAnsi="Arial"/>
          <w:sz w:val="22"/>
          <w:szCs w:val="22"/>
        </w:rPr>
      </w:pPr>
    </w:p>
    <w:p w14:paraId="572367DF" w14:textId="1FC0A65E" w:rsidR="000B4CF7" w:rsidRDefault="00EA7D57" w:rsidP="003B74DA">
      <w:pPr>
        <w:ind w:left="426"/>
        <w:jc w:val="both"/>
        <w:rPr>
          <w:rFonts w:ascii="Arial" w:hAnsi="Arial" w:cs="Arial"/>
          <w:sz w:val="22"/>
          <w:szCs w:val="22"/>
        </w:rPr>
      </w:pPr>
      <w:r>
        <w:rPr>
          <w:rFonts w:ascii="Arial" w:hAnsi="Arial" w:cs="Arial"/>
          <w:sz w:val="22"/>
          <w:szCs w:val="22"/>
        </w:rPr>
        <w:t xml:space="preserve">Alongside of this </w:t>
      </w:r>
      <w:r w:rsidR="0038264A">
        <w:rPr>
          <w:rFonts w:ascii="Arial" w:hAnsi="Arial" w:cs="Arial"/>
          <w:sz w:val="22"/>
          <w:szCs w:val="22"/>
        </w:rPr>
        <w:t xml:space="preserve">there are </w:t>
      </w:r>
      <w:r w:rsidR="00BA7DF5">
        <w:rPr>
          <w:rFonts w:ascii="Arial" w:hAnsi="Arial" w:cs="Arial"/>
          <w:sz w:val="22"/>
          <w:szCs w:val="22"/>
        </w:rPr>
        <w:t>adjustments</w:t>
      </w:r>
      <w:r w:rsidR="0038264A">
        <w:rPr>
          <w:rFonts w:ascii="Arial" w:hAnsi="Arial" w:cs="Arial"/>
          <w:sz w:val="22"/>
          <w:szCs w:val="22"/>
        </w:rPr>
        <w:t xml:space="preserve"> to the opening balances due to the transition to IFRS 16 and a change to the asset ceiling calculation for the PCC LGPS and these will be reflected in the relevant notes.</w:t>
      </w:r>
    </w:p>
    <w:p w14:paraId="658A777A" w14:textId="77777777" w:rsidR="0038264A" w:rsidRPr="00722236" w:rsidRDefault="0038264A" w:rsidP="003B74DA">
      <w:pPr>
        <w:ind w:left="426"/>
        <w:jc w:val="both"/>
        <w:rPr>
          <w:rFonts w:ascii="Arial" w:hAnsi="Arial" w:cs="Arial"/>
          <w:sz w:val="22"/>
          <w:szCs w:val="22"/>
        </w:rPr>
      </w:pPr>
    </w:p>
    <w:p w14:paraId="6B892EA3" w14:textId="77777777" w:rsidR="003B74DA" w:rsidRPr="00722236" w:rsidRDefault="003B74DA" w:rsidP="003B74DA">
      <w:pPr>
        <w:numPr>
          <w:ilvl w:val="0"/>
          <w:numId w:val="1"/>
        </w:numPr>
        <w:tabs>
          <w:tab w:val="clear" w:pos="720"/>
          <w:tab w:val="num" w:pos="426"/>
          <w:tab w:val="right" w:pos="5760"/>
        </w:tabs>
        <w:ind w:left="426"/>
        <w:rPr>
          <w:rFonts w:ascii="Arial" w:hAnsi="Arial"/>
          <w:b/>
          <w:caps/>
          <w:sz w:val="22"/>
          <w:szCs w:val="22"/>
        </w:rPr>
      </w:pPr>
      <w:r w:rsidRPr="00722236">
        <w:rPr>
          <w:rFonts w:ascii="Arial" w:hAnsi="Arial"/>
          <w:b/>
          <w:caps/>
          <w:sz w:val="22"/>
          <w:szCs w:val="22"/>
        </w:rPr>
        <w:t>Accounting Standards that have been issued but have not yet been adopted</w:t>
      </w:r>
    </w:p>
    <w:p w14:paraId="08CF1E8D" w14:textId="77777777" w:rsidR="003B74DA" w:rsidRPr="003A0105" w:rsidRDefault="003B74DA" w:rsidP="003B74DA">
      <w:pPr>
        <w:ind w:left="720"/>
        <w:rPr>
          <w:b/>
          <w:sz w:val="22"/>
          <w:szCs w:val="22"/>
          <w:highlight w:val="yellow"/>
        </w:rPr>
      </w:pPr>
    </w:p>
    <w:p w14:paraId="3B92F783" w14:textId="438F3D9F" w:rsidR="00722236" w:rsidRPr="00F55725" w:rsidRDefault="00722236" w:rsidP="00722236">
      <w:pPr>
        <w:ind w:left="426"/>
        <w:jc w:val="both"/>
        <w:rPr>
          <w:rFonts w:ascii="Arial" w:hAnsi="Arial" w:cs="Arial"/>
          <w:sz w:val="22"/>
          <w:szCs w:val="22"/>
        </w:rPr>
      </w:pPr>
      <w:bookmarkStart w:id="14" w:name="_Hlk204178544"/>
      <w:r w:rsidRPr="00F55725">
        <w:rPr>
          <w:rFonts w:ascii="Arial" w:hAnsi="Arial" w:cs="Arial"/>
          <w:sz w:val="22"/>
          <w:szCs w:val="22"/>
        </w:rPr>
        <w:t>The following amendments have been made to accounting standards or new accounting standards that have been issued on or before 1 January 202</w:t>
      </w:r>
      <w:r w:rsidR="00B144F3">
        <w:rPr>
          <w:rFonts w:ascii="Arial" w:hAnsi="Arial" w:cs="Arial"/>
          <w:sz w:val="22"/>
          <w:szCs w:val="22"/>
        </w:rPr>
        <w:t>5</w:t>
      </w:r>
      <w:r w:rsidRPr="00F55725">
        <w:rPr>
          <w:rFonts w:ascii="Arial" w:hAnsi="Arial" w:cs="Arial"/>
          <w:sz w:val="22"/>
          <w:szCs w:val="22"/>
        </w:rPr>
        <w:t xml:space="preserve"> but not yet adopted by the Code:</w:t>
      </w:r>
    </w:p>
    <w:p w14:paraId="102E23C6" w14:textId="77777777" w:rsidR="00722236" w:rsidRPr="00744BB1" w:rsidRDefault="00722236" w:rsidP="00722236">
      <w:pPr>
        <w:ind w:left="426"/>
        <w:jc w:val="both"/>
        <w:rPr>
          <w:rFonts w:ascii="Arial" w:hAnsi="Arial" w:cs="Arial"/>
          <w:sz w:val="22"/>
          <w:szCs w:val="22"/>
          <w:highlight w:val="yellow"/>
        </w:rPr>
      </w:pPr>
    </w:p>
    <w:p w14:paraId="191D134B" w14:textId="77777777" w:rsidR="004912C3" w:rsidRDefault="004912C3" w:rsidP="004E2882">
      <w:pPr>
        <w:pStyle w:val="ListParagraph"/>
        <w:numPr>
          <w:ilvl w:val="0"/>
          <w:numId w:val="24"/>
        </w:numPr>
        <w:autoSpaceDE w:val="0"/>
        <w:autoSpaceDN w:val="0"/>
        <w:adjustRightInd w:val="0"/>
        <w:spacing w:after="99"/>
        <w:rPr>
          <w:rFonts w:ascii="Arial" w:hAnsi="Arial" w:cs="Arial"/>
          <w:color w:val="000000"/>
        </w:rPr>
      </w:pPr>
      <w:r w:rsidRPr="004912C3">
        <w:rPr>
          <w:rFonts w:ascii="Arial" w:hAnsi="Arial" w:cs="Arial"/>
          <w:color w:val="000000"/>
        </w:rPr>
        <w:t>IAS 21 The Effects of Changes in Foreign Exchange Rate (Lack of Exchangeability)</w:t>
      </w:r>
    </w:p>
    <w:p w14:paraId="27E18078" w14:textId="6D3EA797" w:rsidR="00722236" w:rsidRDefault="004912C3" w:rsidP="004E2882">
      <w:pPr>
        <w:pStyle w:val="ListParagraph"/>
        <w:numPr>
          <w:ilvl w:val="0"/>
          <w:numId w:val="24"/>
        </w:numPr>
        <w:autoSpaceDE w:val="0"/>
        <w:autoSpaceDN w:val="0"/>
        <w:adjustRightInd w:val="0"/>
        <w:spacing w:after="99"/>
        <w:rPr>
          <w:rFonts w:ascii="Arial" w:hAnsi="Arial" w:cs="Arial"/>
          <w:color w:val="000000"/>
        </w:rPr>
      </w:pPr>
      <w:r w:rsidRPr="004912C3">
        <w:rPr>
          <w:rFonts w:ascii="Arial" w:hAnsi="Arial" w:cs="Arial"/>
          <w:color w:val="000000"/>
        </w:rPr>
        <w:t>IFRS 17 Insurance Contracts</w:t>
      </w:r>
      <w:r w:rsidR="00722236" w:rsidRPr="00B13D99">
        <w:rPr>
          <w:rFonts w:ascii="Arial" w:hAnsi="Arial" w:cs="Arial"/>
          <w:b/>
          <w:bCs/>
          <w:color w:val="000000"/>
        </w:rPr>
        <w:t xml:space="preserve"> </w:t>
      </w:r>
    </w:p>
    <w:p w14:paraId="0486D288" w14:textId="77777777" w:rsidR="00722236" w:rsidRPr="00744BB1" w:rsidRDefault="00722236" w:rsidP="00722236">
      <w:pPr>
        <w:autoSpaceDE w:val="0"/>
        <w:autoSpaceDN w:val="0"/>
        <w:adjustRightInd w:val="0"/>
        <w:rPr>
          <w:rFonts w:ascii="Arial" w:eastAsia="Wingdings-Regular" w:hAnsi="Arial" w:cs="Arial"/>
          <w:highlight w:val="yellow"/>
        </w:rPr>
      </w:pPr>
    </w:p>
    <w:p w14:paraId="6E702EFA" w14:textId="77777777" w:rsidR="00722236" w:rsidRDefault="00722236" w:rsidP="00722236">
      <w:pPr>
        <w:autoSpaceDE w:val="0"/>
        <w:autoSpaceDN w:val="0"/>
        <w:adjustRightInd w:val="0"/>
        <w:ind w:left="426"/>
        <w:rPr>
          <w:rFonts w:ascii="Arial" w:eastAsia="Wingdings-Regular" w:hAnsi="Arial" w:cs="Arial"/>
          <w:sz w:val="22"/>
          <w:szCs w:val="22"/>
        </w:rPr>
      </w:pPr>
      <w:r w:rsidRPr="00B13D99">
        <w:rPr>
          <w:rFonts w:ascii="Arial" w:eastAsia="Wingdings-Regular" w:hAnsi="Arial" w:cs="Arial"/>
          <w:sz w:val="22"/>
          <w:szCs w:val="22"/>
        </w:rPr>
        <w:t>None of the above amendments are expected to have any material impact on the accounts of the PCC Group</w:t>
      </w:r>
      <w:bookmarkStart w:id="15" w:name="_Hlk51313634"/>
      <w:r>
        <w:rPr>
          <w:rFonts w:ascii="Arial" w:eastAsia="Wingdings-Regular" w:hAnsi="Arial" w:cs="Arial"/>
          <w:sz w:val="22"/>
          <w:szCs w:val="22"/>
        </w:rPr>
        <w:t>.</w:t>
      </w:r>
    </w:p>
    <w:p w14:paraId="0566C94D" w14:textId="77777777" w:rsidR="004912C3" w:rsidRDefault="004912C3" w:rsidP="00722236">
      <w:pPr>
        <w:autoSpaceDE w:val="0"/>
        <w:autoSpaceDN w:val="0"/>
        <w:adjustRightInd w:val="0"/>
        <w:ind w:left="426"/>
        <w:rPr>
          <w:rFonts w:ascii="Arial" w:eastAsia="Wingdings-Regular" w:hAnsi="Arial" w:cs="Arial"/>
          <w:sz w:val="22"/>
          <w:szCs w:val="22"/>
        </w:rPr>
      </w:pPr>
    </w:p>
    <w:p w14:paraId="78C315CF" w14:textId="2ED0000C" w:rsidR="004912C3" w:rsidRDefault="004912C3" w:rsidP="00722236">
      <w:pPr>
        <w:autoSpaceDE w:val="0"/>
        <w:autoSpaceDN w:val="0"/>
        <w:adjustRightInd w:val="0"/>
        <w:ind w:left="426"/>
        <w:rPr>
          <w:rFonts w:ascii="Arial" w:eastAsia="Wingdings-Regular" w:hAnsi="Arial" w:cs="Arial"/>
          <w:sz w:val="22"/>
          <w:szCs w:val="22"/>
        </w:rPr>
      </w:pPr>
      <w:r>
        <w:rPr>
          <w:rFonts w:ascii="Arial" w:eastAsia="Wingdings-Regular" w:hAnsi="Arial" w:cs="Arial"/>
          <w:sz w:val="22"/>
          <w:szCs w:val="22"/>
        </w:rPr>
        <w:t>Alongside of this the 2025/26 code outlines</w:t>
      </w:r>
      <w:r w:rsidRPr="004912C3">
        <w:rPr>
          <w:rFonts w:ascii="Arial" w:eastAsia="Wingdings-Regular" w:hAnsi="Arial" w:cs="Arial"/>
          <w:sz w:val="22"/>
          <w:szCs w:val="22"/>
        </w:rPr>
        <w:t xml:space="preserve"> changes to the measurement of non-investment assets includ</w:t>
      </w:r>
      <w:r>
        <w:rPr>
          <w:rFonts w:ascii="Arial" w:eastAsia="Wingdings-Regular" w:hAnsi="Arial" w:cs="Arial"/>
          <w:sz w:val="22"/>
          <w:szCs w:val="22"/>
        </w:rPr>
        <w:t>i</w:t>
      </w:r>
      <w:r w:rsidR="00F37AF3">
        <w:rPr>
          <w:rFonts w:ascii="Arial" w:eastAsia="Wingdings-Regular" w:hAnsi="Arial" w:cs="Arial"/>
          <w:sz w:val="22"/>
          <w:szCs w:val="22"/>
        </w:rPr>
        <w:t>n</w:t>
      </w:r>
      <w:r>
        <w:rPr>
          <w:rFonts w:ascii="Arial" w:eastAsia="Wingdings-Regular" w:hAnsi="Arial" w:cs="Arial"/>
          <w:sz w:val="22"/>
          <w:szCs w:val="22"/>
        </w:rPr>
        <w:t>g</w:t>
      </w:r>
      <w:r w:rsidRPr="004912C3">
        <w:rPr>
          <w:rFonts w:ascii="Arial" w:eastAsia="Wingdings-Regular" w:hAnsi="Arial" w:cs="Arial"/>
          <w:sz w:val="22"/>
          <w:szCs w:val="22"/>
        </w:rPr>
        <w:t xml:space="preserve"> adaptations and interpretations of IAS 16 Property, Plant and Equipment and IAS 38 Intangible Assets.</w:t>
      </w:r>
    </w:p>
    <w:p w14:paraId="691C3515" w14:textId="77777777" w:rsidR="00F37AF3" w:rsidRDefault="00F37AF3" w:rsidP="00722236">
      <w:pPr>
        <w:autoSpaceDE w:val="0"/>
        <w:autoSpaceDN w:val="0"/>
        <w:adjustRightInd w:val="0"/>
        <w:ind w:left="426"/>
        <w:rPr>
          <w:rFonts w:ascii="Arial" w:eastAsia="Wingdings-Regular" w:hAnsi="Arial" w:cs="Arial"/>
          <w:sz w:val="22"/>
          <w:szCs w:val="22"/>
        </w:rPr>
      </w:pPr>
    </w:p>
    <w:p w14:paraId="29707956" w14:textId="74184ABC" w:rsidR="000F5F63" w:rsidRDefault="00F37AF3" w:rsidP="000F5F63">
      <w:pPr>
        <w:autoSpaceDE w:val="0"/>
        <w:autoSpaceDN w:val="0"/>
        <w:adjustRightInd w:val="0"/>
        <w:ind w:left="426"/>
        <w:rPr>
          <w:rFonts w:ascii="Arial" w:hAnsi="Arial"/>
          <w:b/>
          <w:caps/>
          <w:sz w:val="22"/>
          <w:szCs w:val="22"/>
        </w:rPr>
      </w:pPr>
      <w:r>
        <w:rPr>
          <w:rFonts w:ascii="Arial" w:eastAsia="Wingdings-Regular" w:hAnsi="Arial" w:cs="Arial"/>
          <w:sz w:val="22"/>
          <w:szCs w:val="22"/>
        </w:rPr>
        <w:t xml:space="preserve">These will be considered and will be reflected in the 2025/26 </w:t>
      </w:r>
      <w:r w:rsidR="00DC2030">
        <w:rPr>
          <w:rFonts w:ascii="Arial" w:eastAsia="Wingdings-Regular" w:hAnsi="Arial" w:cs="Arial"/>
          <w:sz w:val="22"/>
          <w:szCs w:val="22"/>
        </w:rPr>
        <w:t>accounts,</w:t>
      </w:r>
      <w:r>
        <w:rPr>
          <w:rFonts w:ascii="Arial" w:eastAsia="Wingdings-Regular" w:hAnsi="Arial" w:cs="Arial"/>
          <w:sz w:val="22"/>
          <w:szCs w:val="22"/>
        </w:rPr>
        <w:t xml:space="preserve"> and any changes will be applied prospectively as per the code.</w:t>
      </w:r>
      <w:bookmarkEnd w:id="15"/>
    </w:p>
    <w:bookmarkEnd w:id="14"/>
    <w:p w14:paraId="7A1CCFE3" w14:textId="154D56B4" w:rsidR="004912C3" w:rsidRPr="004912C3" w:rsidRDefault="004912C3" w:rsidP="000F5F63">
      <w:pPr>
        <w:autoSpaceDE w:val="0"/>
        <w:autoSpaceDN w:val="0"/>
        <w:adjustRightInd w:val="0"/>
        <w:ind w:left="426"/>
        <w:rPr>
          <w:rFonts w:ascii="Arial" w:hAnsi="Arial"/>
          <w:bCs/>
          <w:caps/>
          <w:sz w:val="22"/>
          <w:szCs w:val="22"/>
        </w:rPr>
      </w:pPr>
    </w:p>
    <w:p w14:paraId="1BF0A410" w14:textId="77777777" w:rsidR="00B83CCB" w:rsidRDefault="00B83CCB">
      <w:pPr>
        <w:rPr>
          <w:rFonts w:ascii="Arial" w:hAnsi="Arial"/>
          <w:b/>
          <w:caps/>
          <w:sz w:val="22"/>
          <w:szCs w:val="22"/>
        </w:rPr>
      </w:pPr>
      <w:r>
        <w:rPr>
          <w:rFonts w:ascii="Arial" w:hAnsi="Arial"/>
          <w:b/>
          <w:caps/>
          <w:sz w:val="22"/>
          <w:szCs w:val="22"/>
        </w:rPr>
        <w:br w:type="page"/>
      </w:r>
    </w:p>
    <w:p w14:paraId="10D41D81" w14:textId="3B3283A2" w:rsidR="003B74DA" w:rsidRPr="00722236" w:rsidRDefault="003B74DA" w:rsidP="003B74DA">
      <w:pPr>
        <w:numPr>
          <w:ilvl w:val="0"/>
          <w:numId w:val="1"/>
        </w:numPr>
        <w:tabs>
          <w:tab w:val="clear" w:pos="720"/>
          <w:tab w:val="num" w:pos="426"/>
          <w:tab w:val="right" w:pos="5760"/>
        </w:tabs>
        <w:ind w:left="426"/>
        <w:rPr>
          <w:rFonts w:ascii="Arial" w:hAnsi="Arial"/>
          <w:b/>
          <w:caps/>
          <w:sz w:val="22"/>
          <w:szCs w:val="22"/>
        </w:rPr>
      </w:pPr>
      <w:r w:rsidRPr="00722236">
        <w:rPr>
          <w:rFonts w:ascii="Arial" w:hAnsi="Arial"/>
          <w:b/>
          <w:caps/>
          <w:sz w:val="22"/>
          <w:szCs w:val="22"/>
        </w:rPr>
        <w:lastRenderedPageBreak/>
        <w:t xml:space="preserve">Assumptions made about the future and other major sources of estimation uncertainty </w:t>
      </w:r>
    </w:p>
    <w:p w14:paraId="347C905E" w14:textId="77777777" w:rsidR="003B74DA" w:rsidRPr="00722236" w:rsidRDefault="003B74DA" w:rsidP="003B74DA">
      <w:pPr>
        <w:ind w:left="426"/>
        <w:jc w:val="both"/>
        <w:rPr>
          <w:rFonts w:ascii="Arial" w:hAnsi="Arial" w:cs="Arial"/>
          <w:sz w:val="22"/>
          <w:szCs w:val="22"/>
        </w:rPr>
      </w:pPr>
    </w:p>
    <w:p w14:paraId="61FCF7A9" w14:textId="67C7BBF6" w:rsidR="000F5F63" w:rsidRDefault="003B74DA" w:rsidP="003B74DA">
      <w:pPr>
        <w:ind w:left="426"/>
        <w:jc w:val="both"/>
        <w:rPr>
          <w:rFonts w:ascii="Arial" w:hAnsi="Arial" w:cs="Arial"/>
          <w:sz w:val="22"/>
          <w:szCs w:val="22"/>
        </w:rPr>
      </w:pPr>
      <w:r w:rsidRPr="00722236">
        <w:rPr>
          <w:rFonts w:ascii="Arial" w:hAnsi="Arial" w:cs="Arial"/>
          <w:sz w:val="22"/>
          <w:szCs w:val="22"/>
        </w:rPr>
        <w:t xml:space="preserve">The statement of accounts contains estimated figures that are based on assumptions made by the PCC Group about the future or that are otherwise uncertain.  Estimates are made </w:t>
      </w:r>
      <w:r w:rsidR="004302AC" w:rsidRPr="00722236">
        <w:rPr>
          <w:rFonts w:ascii="Arial" w:hAnsi="Arial" w:cs="Arial"/>
          <w:sz w:val="22"/>
          <w:szCs w:val="22"/>
        </w:rPr>
        <w:t>considering</w:t>
      </w:r>
      <w:r w:rsidRPr="00722236">
        <w:rPr>
          <w:rFonts w:ascii="Arial" w:hAnsi="Arial" w:cs="Arial"/>
          <w:sz w:val="22"/>
          <w:szCs w:val="22"/>
        </w:rPr>
        <w:t xml:space="preserve"> historical experience, current trends and other relevant factors.  However, because balances cannot be determined with certainty, actual results could be materially different from the assumptions and estimates. The items in the PCC Group balance sheet at 31 March 20</w:t>
      </w:r>
      <w:r w:rsidR="003B35D1" w:rsidRPr="00722236">
        <w:rPr>
          <w:rFonts w:ascii="Arial" w:hAnsi="Arial" w:cs="Arial"/>
          <w:sz w:val="22"/>
          <w:szCs w:val="22"/>
        </w:rPr>
        <w:t>2</w:t>
      </w:r>
      <w:r w:rsidR="005F1E2D">
        <w:rPr>
          <w:rFonts w:ascii="Arial" w:hAnsi="Arial" w:cs="Arial"/>
          <w:sz w:val="22"/>
          <w:szCs w:val="22"/>
        </w:rPr>
        <w:t>5</w:t>
      </w:r>
      <w:r w:rsidRPr="00722236">
        <w:rPr>
          <w:rFonts w:ascii="Arial" w:hAnsi="Arial" w:cs="Arial"/>
          <w:sz w:val="22"/>
          <w:szCs w:val="22"/>
        </w:rPr>
        <w:t xml:space="preserve"> for which there is a significant risk of material adjustment in the forthcoming financial year are as follows:</w:t>
      </w:r>
    </w:p>
    <w:p w14:paraId="08532CD7" w14:textId="77777777" w:rsidR="0019525F" w:rsidRDefault="0019525F" w:rsidP="003B74DA">
      <w:pPr>
        <w:ind w:left="426"/>
        <w:jc w:val="both"/>
        <w:rPr>
          <w:rFonts w:ascii="Arial" w:hAnsi="Arial" w:cs="Arial"/>
          <w:sz w:val="22"/>
          <w:szCs w:val="22"/>
        </w:rPr>
      </w:pPr>
    </w:p>
    <w:tbl>
      <w:tblPr>
        <w:tblW w:w="10206" w:type="dxa"/>
        <w:tblInd w:w="653"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1278"/>
        <w:gridCol w:w="3560"/>
        <w:gridCol w:w="5368"/>
      </w:tblGrid>
      <w:tr w:rsidR="003B74DA" w:rsidRPr="00A25703" w14:paraId="63B62A8A" w14:textId="77777777" w:rsidTr="006251EE">
        <w:trPr>
          <w:trHeight w:hRule="exact" w:val="590"/>
        </w:trPr>
        <w:tc>
          <w:tcPr>
            <w:tcW w:w="1278" w:type="dxa"/>
            <w:tcBorders>
              <w:top w:val="single" w:sz="12" w:space="0" w:color="000000"/>
              <w:bottom w:val="single" w:sz="12" w:space="0" w:color="000000"/>
            </w:tcBorders>
          </w:tcPr>
          <w:p w14:paraId="40B607EE" w14:textId="14C6F0D1" w:rsidR="003B74DA" w:rsidRPr="006251EE" w:rsidRDefault="003B74DA" w:rsidP="00D56E42">
            <w:pPr>
              <w:pStyle w:val="ListParagraph"/>
              <w:ind w:left="0"/>
              <w:rPr>
                <w:rFonts w:ascii="Arial" w:hAnsi="Arial" w:cs="Arial"/>
                <w:sz w:val="20"/>
                <w:szCs w:val="20"/>
              </w:rPr>
            </w:pPr>
            <w:r w:rsidRPr="006251EE">
              <w:rPr>
                <w:rFonts w:ascii="Arial" w:hAnsi="Arial" w:cs="Arial"/>
                <w:sz w:val="20"/>
                <w:szCs w:val="20"/>
              </w:rPr>
              <w:t>Item</w:t>
            </w:r>
          </w:p>
        </w:tc>
        <w:tc>
          <w:tcPr>
            <w:tcW w:w="3560" w:type="dxa"/>
            <w:tcBorders>
              <w:top w:val="single" w:sz="12" w:space="0" w:color="000000"/>
              <w:bottom w:val="single" w:sz="12" w:space="0" w:color="000000"/>
            </w:tcBorders>
          </w:tcPr>
          <w:p w14:paraId="225B00C4" w14:textId="77777777" w:rsidR="003B74DA" w:rsidRPr="006251EE" w:rsidRDefault="003B74DA" w:rsidP="00D56E42">
            <w:pPr>
              <w:pStyle w:val="ListParagraph"/>
              <w:ind w:left="0"/>
              <w:rPr>
                <w:rFonts w:ascii="Arial" w:hAnsi="Arial" w:cs="Arial"/>
                <w:sz w:val="20"/>
                <w:szCs w:val="20"/>
              </w:rPr>
            </w:pPr>
            <w:r w:rsidRPr="006251EE">
              <w:rPr>
                <w:rFonts w:ascii="Arial" w:hAnsi="Arial" w:cs="Arial"/>
                <w:sz w:val="20"/>
                <w:szCs w:val="20"/>
              </w:rPr>
              <w:t>Uncertainties</w:t>
            </w:r>
          </w:p>
        </w:tc>
        <w:tc>
          <w:tcPr>
            <w:tcW w:w="5368" w:type="dxa"/>
            <w:tcBorders>
              <w:top w:val="single" w:sz="12" w:space="0" w:color="000000"/>
              <w:bottom w:val="single" w:sz="12" w:space="0" w:color="000000"/>
            </w:tcBorders>
          </w:tcPr>
          <w:p w14:paraId="183927BD" w14:textId="77777777" w:rsidR="003B74DA" w:rsidRPr="006251EE" w:rsidRDefault="003B74DA" w:rsidP="00D56E42">
            <w:pPr>
              <w:pStyle w:val="ListParagraph"/>
              <w:ind w:left="0"/>
              <w:rPr>
                <w:rFonts w:ascii="Arial" w:hAnsi="Arial" w:cs="Arial"/>
                <w:sz w:val="20"/>
                <w:szCs w:val="20"/>
              </w:rPr>
            </w:pPr>
            <w:r w:rsidRPr="006251EE">
              <w:rPr>
                <w:rFonts w:ascii="Arial" w:hAnsi="Arial" w:cs="Arial"/>
                <w:sz w:val="20"/>
                <w:szCs w:val="20"/>
              </w:rPr>
              <w:t>Effect if Actual Results Differ from Assumptions</w:t>
            </w:r>
          </w:p>
        </w:tc>
      </w:tr>
      <w:tr w:rsidR="003B74DA" w:rsidRPr="00A25703" w14:paraId="5EC026A3" w14:textId="77777777" w:rsidTr="00886AE4">
        <w:trPr>
          <w:trHeight w:hRule="exact" w:val="3826"/>
        </w:trPr>
        <w:tc>
          <w:tcPr>
            <w:tcW w:w="1278" w:type="dxa"/>
          </w:tcPr>
          <w:p w14:paraId="5E8AE8C4" w14:textId="77777777" w:rsidR="003B74DA" w:rsidRPr="006251EE" w:rsidRDefault="003B74DA" w:rsidP="00D56E42">
            <w:pPr>
              <w:pStyle w:val="ListParagraph"/>
              <w:ind w:left="0"/>
              <w:rPr>
                <w:rFonts w:ascii="Arial" w:hAnsi="Arial" w:cs="Arial"/>
                <w:sz w:val="20"/>
                <w:szCs w:val="20"/>
              </w:rPr>
            </w:pPr>
            <w:r w:rsidRPr="006251EE">
              <w:rPr>
                <w:rFonts w:ascii="Arial" w:hAnsi="Arial" w:cs="Arial"/>
                <w:sz w:val="20"/>
                <w:szCs w:val="20"/>
              </w:rPr>
              <w:t>Property, Plant and Equipment</w:t>
            </w:r>
          </w:p>
          <w:p w14:paraId="121091FB" w14:textId="77777777" w:rsidR="003B74DA" w:rsidRPr="006251EE" w:rsidRDefault="003B74DA" w:rsidP="00D56E42">
            <w:pPr>
              <w:pStyle w:val="ListParagraph"/>
              <w:ind w:left="0"/>
              <w:rPr>
                <w:rFonts w:ascii="Arial" w:hAnsi="Arial" w:cs="Arial"/>
                <w:sz w:val="20"/>
                <w:szCs w:val="20"/>
              </w:rPr>
            </w:pPr>
          </w:p>
        </w:tc>
        <w:tc>
          <w:tcPr>
            <w:tcW w:w="3560" w:type="dxa"/>
          </w:tcPr>
          <w:p w14:paraId="20BCF771" w14:textId="76D386EF" w:rsidR="00D5203B" w:rsidRPr="006251EE" w:rsidRDefault="003566B2" w:rsidP="00D5203B">
            <w:pPr>
              <w:pStyle w:val="ListParagraph"/>
              <w:ind w:left="0"/>
              <w:jc w:val="both"/>
              <w:rPr>
                <w:rFonts w:ascii="Arial" w:hAnsi="Arial" w:cs="Arial"/>
                <w:sz w:val="20"/>
                <w:szCs w:val="20"/>
              </w:rPr>
            </w:pPr>
            <w:r w:rsidRPr="006251EE">
              <w:rPr>
                <w:rFonts w:ascii="Arial" w:hAnsi="Arial" w:cs="Arial"/>
                <w:sz w:val="20"/>
                <w:szCs w:val="20"/>
              </w:rPr>
              <w:t xml:space="preserve">The valuers employed by the PCC provide valuations as at </w:t>
            </w:r>
            <w:r w:rsidR="005E10EF" w:rsidRPr="006251EE">
              <w:rPr>
                <w:rFonts w:ascii="Arial" w:hAnsi="Arial" w:cs="Arial"/>
                <w:sz w:val="20"/>
                <w:szCs w:val="20"/>
              </w:rPr>
              <w:t>3</w:t>
            </w:r>
            <w:r w:rsidRPr="006251EE">
              <w:rPr>
                <w:rFonts w:ascii="Arial" w:hAnsi="Arial" w:cs="Arial"/>
                <w:sz w:val="20"/>
                <w:szCs w:val="20"/>
              </w:rPr>
              <w:t xml:space="preserve">1 </w:t>
            </w:r>
            <w:r w:rsidR="005E10EF" w:rsidRPr="006251EE">
              <w:rPr>
                <w:rFonts w:ascii="Arial" w:hAnsi="Arial" w:cs="Arial"/>
                <w:sz w:val="20"/>
                <w:szCs w:val="20"/>
              </w:rPr>
              <w:t>March</w:t>
            </w:r>
            <w:r w:rsidRPr="006251EE">
              <w:rPr>
                <w:rFonts w:ascii="Arial" w:hAnsi="Arial" w:cs="Arial"/>
                <w:sz w:val="20"/>
                <w:szCs w:val="20"/>
              </w:rPr>
              <w:t xml:space="preserve"> based on a 3-year rolling programme of valuations. The valuations are undertaken by qualified valuers in accordance with the Royal Institute of Chartered Surveyors (RICS) professional standards using recognised measurement techniques. The value of the property, plant and equipment is dependent upon professional judgement based on information available at the time of valuation.</w:t>
            </w:r>
          </w:p>
        </w:tc>
        <w:tc>
          <w:tcPr>
            <w:tcW w:w="5368" w:type="dxa"/>
          </w:tcPr>
          <w:p w14:paraId="64EFFD1A" w14:textId="2ABF6230" w:rsidR="001E57BA" w:rsidRPr="00031FCE" w:rsidRDefault="001E57BA" w:rsidP="001E57BA">
            <w:pPr>
              <w:spacing w:line="276" w:lineRule="auto"/>
              <w:rPr>
                <w:rFonts w:ascii="Arial" w:eastAsia="Calibri" w:hAnsi="Arial" w:cs="Arial"/>
                <w:lang w:eastAsia="en-US"/>
              </w:rPr>
            </w:pPr>
            <w:r w:rsidRPr="00031FCE">
              <w:rPr>
                <w:rFonts w:ascii="Arial" w:eastAsia="Calibri" w:hAnsi="Arial" w:cs="Arial"/>
                <w:lang w:eastAsia="en-US"/>
              </w:rPr>
              <w:t xml:space="preserve"> Land &amp; building valuations are compiled by an expert using recognised measurement techniques and based on professional guidance. The underlying data </w:t>
            </w:r>
            <w:proofErr w:type="gramStart"/>
            <w:r w:rsidRPr="00031FCE">
              <w:rPr>
                <w:rFonts w:ascii="Arial" w:eastAsia="Calibri" w:hAnsi="Arial" w:cs="Arial"/>
                <w:lang w:eastAsia="en-US"/>
              </w:rPr>
              <w:t>is considered to be</w:t>
            </w:r>
            <w:proofErr w:type="gramEnd"/>
            <w:r w:rsidRPr="00031FCE">
              <w:rPr>
                <w:rFonts w:ascii="Arial" w:eastAsia="Calibri" w:hAnsi="Arial" w:cs="Arial"/>
                <w:lang w:eastAsia="en-US"/>
              </w:rPr>
              <w:t xml:space="preserve"> reliable and the scope to use judgement and change assumptions limited. The balance of assets not revalued in year are reviewed by applying local movement in prices and appropriate cost indices to ensure that the value of the PCC's assets </w:t>
            </w:r>
            <w:proofErr w:type="gramStart"/>
            <w:r w:rsidRPr="00031FCE">
              <w:rPr>
                <w:rFonts w:ascii="Arial" w:eastAsia="Calibri" w:hAnsi="Arial" w:cs="Arial"/>
                <w:lang w:eastAsia="en-US"/>
              </w:rPr>
              <w:t>are</w:t>
            </w:r>
            <w:proofErr w:type="gramEnd"/>
            <w:r w:rsidRPr="00031FCE">
              <w:rPr>
                <w:rFonts w:ascii="Arial" w:eastAsia="Calibri" w:hAnsi="Arial" w:cs="Arial"/>
                <w:lang w:eastAsia="en-US"/>
              </w:rPr>
              <w:t xml:space="preserve"> not materially misstated at the balance sheet date. </w:t>
            </w:r>
          </w:p>
          <w:p w14:paraId="65CDC488" w14:textId="77777777" w:rsidR="001E57BA" w:rsidRPr="00031FCE" w:rsidRDefault="001E57BA" w:rsidP="001E57BA">
            <w:pPr>
              <w:spacing w:line="276" w:lineRule="auto"/>
              <w:rPr>
                <w:rFonts w:ascii="Arial" w:eastAsia="Calibri" w:hAnsi="Arial" w:cs="Arial"/>
                <w:lang w:eastAsia="en-US"/>
              </w:rPr>
            </w:pPr>
          </w:p>
          <w:p w14:paraId="0C6D78CE" w14:textId="5DC0B862" w:rsidR="003B74DA" w:rsidRPr="00031FCE" w:rsidRDefault="003B74DA" w:rsidP="00D56E42">
            <w:pPr>
              <w:pStyle w:val="ListParagraph"/>
              <w:ind w:left="0"/>
              <w:rPr>
                <w:rFonts w:ascii="Arial" w:hAnsi="Arial" w:cs="Arial"/>
                <w:sz w:val="20"/>
                <w:szCs w:val="20"/>
              </w:rPr>
            </w:pPr>
          </w:p>
        </w:tc>
      </w:tr>
    </w:tbl>
    <w:p w14:paraId="6A4A5474" w14:textId="77777777" w:rsidR="00057978" w:rsidRDefault="00057978">
      <w:r>
        <w:br w:type="page"/>
      </w:r>
    </w:p>
    <w:tbl>
      <w:tblPr>
        <w:tblW w:w="10206" w:type="dxa"/>
        <w:tblInd w:w="653" w:type="dxa"/>
        <w:tblBorders>
          <w:top w:val="single" w:sz="12" w:space="0" w:color="000000"/>
          <w:left w:val="single" w:sz="12" w:space="0" w:color="000000"/>
          <w:bottom w:val="single" w:sz="12" w:space="0" w:color="000000"/>
          <w:right w:val="single" w:sz="12" w:space="0" w:color="000000"/>
          <w:insideH w:val="single" w:sz="6" w:space="0" w:color="000000"/>
        </w:tblBorders>
        <w:tblLook w:val="04A0" w:firstRow="1" w:lastRow="0" w:firstColumn="1" w:lastColumn="0" w:noHBand="0" w:noVBand="1"/>
      </w:tblPr>
      <w:tblGrid>
        <w:gridCol w:w="1278"/>
        <w:gridCol w:w="3560"/>
        <w:gridCol w:w="5368"/>
      </w:tblGrid>
      <w:tr w:rsidR="003B74DA" w:rsidRPr="00A25703" w14:paraId="7973D0ED" w14:textId="77777777" w:rsidTr="006743E0">
        <w:trPr>
          <w:trHeight w:val="304"/>
        </w:trPr>
        <w:tc>
          <w:tcPr>
            <w:tcW w:w="1278" w:type="dxa"/>
          </w:tcPr>
          <w:p w14:paraId="0C973713" w14:textId="271BA309" w:rsidR="003B74DA" w:rsidRPr="006251EE" w:rsidRDefault="004F36EF" w:rsidP="00D56E42">
            <w:pPr>
              <w:pStyle w:val="ListParagraph"/>
              <w:ind w:left="0"/>
              <w:rPr>
                <w:rFonts w:ascii="Arial" w:hAnsi="Arial" w:cs="Arial"/>
                <w:sz w:val="20"/>
                <w:szCs w:val="20"/>
              </w:rPr>
            </w:pPr>
            <w:r w:rsidRPr="006251EE">
              <w:lastRenderedPageBreak/>
              <w:br w:type="page"/>
            </w:r>
            <w:r w:rsidR="003B74DA" w:rsidRPr="006251EE">
              <w:rPr>
                <w:rFonts w:ascii="Arial" w:hAnsi="Arial" w:cs="Arial"/>
                <w:sz w:val="20"/>
                <w:szCs w:val="20"/>
              </w:rPr>
              <w:t>Pensions Liability</w:t>
            </w:r>
          </w:p>
        </w:tc>
        <w:tc>
          <w:tcPr>
            <w:tcW w:w="3560" w:type="dxa"/>
          </w:tcPr>
          <w:p w14:paraId="59EF8EE5" w14:textId="25F64814" w:rsidR="003B74DA" w:rsidRPr="006251EE" w:rsidRDefault="003566B2" w:rsidP="00D56E42">
            <w:pPr>
              <w:pStyle w:val="ListParagraph"/>
              <w:ind w:left="0"/>
              <w:jc w:val="both"/>
              <w:rPr>
                <w:rFonts w:ascii="Arial" w:hAnsi="Arial" w:cs="Arial"/>
                <w:sz w:val="20"/>
                <w:szCs w:val="20"/>
              </w:rPr>
            </w:pPr>
            <w:r w:rsidRPr="006251EE">
              <w:rPr>
                <w:rFonts w:ascii="Arial" w:hAnsi="Arial" w:cs="Arial"/>
                <w:sz w:val="20"/>
                <w:szCs w:val="20"/>
              </w:rPr>
              <w:t>The net liability to pay pensions is calculated every three years with annual updates in the intervening years. A firm of consulting actuaries (Mercer) is engaged to provide the PCC with expert advice about the assumptions to be applied. Changes to these underlying assumptions can result in significant variances in the calculated liability. The assumptions and complex judgements applied include the discount rate used, the rate at which salaries are projected to increase, changes in retirement ages, mortality rates and expected returns on pension fund assets. Despite a period of relative stability, recently this volatility has increased again with the situation in Ukraine. The impact on asset values is reflected in the accounting figures.</w:t>
            </w:r>
          </w:p>
          <w:p w14:paraId="2028910C" w14:textId="0AE07DAC" w:rsidR="00C263AF" w:rsidRPr="006251EE" w:rsidRDefault="00C263AF" w:rsidP="00D56E42">
            <w:pPr>
              <w:pStyle w:val="ListParagraph"/>
              <w:ind w:left="0"/>
              <w:jc w:val="both"/>
              <w:rPr>
                <w:rFonts w:ascii="Arial" w:hAnsi="Arial" w:cs="Arial"/>
                <w:sz w:val="20"/>
                <w:szCs w:val="20"/>
              </w:rPr>
            </w:pPr>
            <w:r w:rsidRPr="006251EE">
              <w:rPr>
                <w:rFonts w:ascii="Arial" w:hAnsi="Arial" w:cs="Arial"/>
                <w:sz w:val="20"/>
                <w:szCs w:val="20"/>
              </w:rPr>
              <w:t>In relation to LGPS, the actuary calculated that the valuation resulted in a net asset of £</w:t>
            </w:r>
            <w:r w:rsidR="005F1E2D">
              <w:rPr>
                <w:rFonts w:ascii="Arial" w:hAnsi="Arial" w:cs="Arial"/>
                <w:sz w:val="20"/>
                <w:szCs w:val="20"/>
              </w:rPr>
              <w:t>227</w:t>
            </w:r>
            <w:r w:rsidR="00113A60" w:rsidRPr="006251EE">
              <w:rPr>
                <w:rFonts w:ascii="Arial" w:hAnsi="Arial" w:cs="Arial"/>
                <w:sz w:val="20"/>
                <w:szCs w:val="20"/>
              </w:rPr>
              <w:t>.</w:t>
            </w:r>
            <w:r w:rsidR="005F1E2D">
              <w:rPr>
                <w:rFonts w:ascii="Arial" w:hAnsi="Arial" w:cs="Arial"/>
                <w:sz w:val="20"/>
                <w:szCs w:val="20"/>
              </w:rPr>
              <w:t>583</w:t>
            </w:r>
            <w:r w:rsidRPr="006251EE">
              <w:rPr>
                <w:rFonts w:ascii="Arial" w:hAnsi="Arial" w:cs="Arial"/>
                <w:sz w:val="20"/>
                <w:szCs w:val="20"/>
              </w:rPr>
              <w:t>m, however under IAS 19 Employee Benefits requires that, where a pension plan asset exists, it is measured at the lower of: • The surplus in the defined benefit plan; and • The asset ceiling. The calculation has been completed by the actuary, and an adjustment has been made to reflect the asset ceiling.</w:t>
            </w:r>
          </w:p>
        </w:tc>
        <w:tc>
          <w:tcPr>
            <w:tcW w:w="5368" w:type="dxa"/>
          </w:tcPr>
          <w:p w14:paraId="4F51353A" w14:textId="1D972FF7" w:rsidR="003B74DA" w:rsidRPr="00031FCE" w:rsidRDefault="003B74DA" w:rsidP="00D56E42">
            <w:pPr>
              <w:pStyle w:val="ListParagraph"/>
              <w:ind w:left="0"/>
              <w:jc w:val="both"/>
              <w:rPr>
                <w:rFonts w:ascii="Arial" w:hAnsi="Arial" w:cs="Arial"/>
                <w:color w:val="FF0000"/>
                <w:sz w:val="20"/>
                <w:szCs w:val="20"/>
              </w:rPr>
            </w:pPr>
            <w:r w:rsidRPr="00031FCE">
              <w:rPr>
                <w:rFonts w:ascii="Arial" w:hAnsi="Arial" w:cs="Arial"/>
                <w:sz w:val="20"/>
                <w:szCs w:val="20"/>
              </w:rPr>
              <w:t xml:space="preserve">The effects on the net pension liability of changes in individual assumptions can be measured. Included within the Defined Benefits Note </w:t>
            </w:r>
            <w:r w:rsidR="008B288E">
              <w:rPr>
                <w:rFonts w:ascii="Arial" w:hAnsi="Arial" w:cs="Arial"/>
                <w:sz w:val="20"/>
                <w:szCs w:val="20"/>
              </w:rPr>
              <w:t>30</w:t>
            </w:r>
            <w:r w:rsidRPr="00031FCE">
              <w:rPr>
                <w:rFonts w:ascii="Arial" w:hAnsi="Arial" w:cs="Arial"/>
                <w:sz w:val="20"/>
                <w:szCs w:val="20"/>
              </w:rPr>
              <w:t xml:space="preserve"> is a sensitivity analysis that looks at the impact on net pensions' deficit of each of the significant actuarial assumptions. </w:t>
            </w:r>
            <w:r w:rsidRPr="00031FCE">
              <w:rPr>
                <w:rFonts w:ascii="Arial" w:hAnsi="Arial" w:cs="Arial"/>
                <w:sz w:val="20"/>
              </w:rPr>
              <w:t>For instance, a 1% reduction in the discount rate assumption would result in an increase in the pension liability of the PCC Group of around £</w:t>
            </w:r>
            <w:r w:rsidR="00BB58ED" w:rsidRPr="00031FCE">
              <w:rPr>
                <w:rFonts w:ascii="Arial" w:hAnsi="Arial" w:cs="Arial"/>
                <w:sz w:val="20"/>
              </w:rPr>
              <w:t>0.</w:t>
            </w:r>
            <w:r w:rsidR="006251EE" w:rsidRPr="00031FCE">
              <w:rPr>
                <w:rFonts w:ascii="Arial" w:hAnsi="Arial" w:cs="Arial"/>
                <w:sz w:val="20"/>
              </w:rPr>
              <w:t>48</w:t>
            </w:r>
            <w:r w:rsidR="002C146F">
              <w:rPr>
                <w:rFonts w:ascii="Arial" w:hAnsi="Arial" w:cs="Arial"/>
                <w:sz w:val="20"/>
              </w:rPr>
              <w:t>6</w:t>
            </w:r>
            <w:r w:rsidRPr="00031FCE">
              <w:rPr>
                <w:rFonts w:ascii="Arial" w:hAnsi="Arial" w:cs="Arial"/>
                <w:sz w:val="20"/>
              </w:rPr>
              <w:t xml:space="preserve">m. During </w:t>
            </w:r>
            <w:r w:rsidR="00C37E7F">
              <w:rPr>
                <w:rFonts w:ascii="Arial" w:hAnsi="Arial" w:cs="Arial"/>
                <w:sz w:val="20"/>
              </w:rPr>
              <w:t>2024/25</w:t>
            </w:r>
            <w:r w:rsidRPr="00031FCE">
              <w:rPr>
                <w:rFonts w:ascii="Arial" w:hAnsi="Arial" w:cs="Arial"/>
                <w:sz w:val="20"/>
              </w:rPr>
              <w:t xml:space="preserve">, the PCC's actuaries advised that the net pensions' liability </w:t>
            </w:r>
            <w:r w:rsidR="00F014D7" w:rsidRPr="00031FCE">
              <w:rPr>
                <w:rFonts w:ascii="Arial" w:hAnsi="Arial" w:cs="Arial"/>
                <w:sz w:val="20"/>
              </w:rPr>
              <w:t xml:space="preserve">for the Group </w:t>
            </w:r>
            <w:r w:rsidRPr="00031FCE">
              <w:rPr>
                <w:rFonts w:ascii="Arial" w:hAnsi="Arial" w:cs="Arial"/>
                <w:sz w:val="20"/>
              </w:rPr>
              <w:t>had</w:t>
            </w:r>
            <w:r w:rsidR="00730556" w:rsidRPr="00031FCE">
              <w:rPr>
                <w:rFonts w:ascii="Arial" w:hAnsi="Arial" w:cs="Arial"/>
                <w:sz w:val="20"/>
                <w:shd w:val="clear" w:color="auto" w:fill="FFFF00"/>
              </w:rPr>
              <w:t xml:space="preserve"> </w:t>
            </w:r>
            <w:r w:rsidR="00730556" w:rsidRPr="00031FCE">
              <w:rPr>
                <w:rFonts w:ascii="Arial" w:hAnsi="Arial" w:cs="Arial"/>
                <w:sz w:val="20"/>
                <w:szCs w:val="20"/>
              </w:rPr>
              <w:t>reduced</w:t>
            </w:r>
            <w:r w:rsidRPr="00031FCE">
              <w:rPr>
                <w:rFonts w:ascii="Arial" w:hAnsi="Arial" w:cs="Arial"/>
                <w:sz w:val="20"/>
                <w:szCs w:val="20"/>
              </w:rPr>
              <w:t xml:space="preserve"> by </w:t>
            </w:r>
            <w:r w:rsidR="002C146F">
              <w:rPr>
                <w:rFonts w:ascii="Arial" w:hAnsi="Arial" w:cs="Arial"/>
                <w:sz w:val="20"/>
                <w:szCs w:val="20"/>
              </w:rPr>
              <w:t>£0</w:t>
            </w:r>
            <w:r w:rsidR="006251EE" w:rsidRPr="00031FCE">
              <w:rPr>
                <w:rFonts w:ascii="Arial" w:hAnsi="Arial" w:cs="Arial"/>
                <w:sz w:val="20"/>
                <w:szCs w:val="20"/>
              </w:rPr>
              <w:t>.</w:t>
            </w:r>
            <w:r w:rsidR="00E45E7D">
              <w:rPr>
                <w:rFonts w:ascii="Arial" w:hAnsi="Arial" w:cs="Arial"/>
                <w:sz w:val="20"/>
                <w:szCs w:val="20"/>
              </w:rPr>
              <w:t>3</w:t>
            </w:r>
            <w:r w:rsidR="002C146F">
              <w:rPr>
                <w:rFonts w:ascii="Arial" w:hAnsi="Arial" w:cs="Arial"/>
                <w:sz w:val="20"/>
                <w:szCs w:val="20"/>
              </w:rPr>
              <w:t>60</w:t>
            </w:r>
            <w:r w:rsidRPr="00031FCE">
              <w:rPr>
                <w:rFonts w:ascii="Arial" w:hAnsi="Arial" w:cs="Arial"/>
                <w:sz w:val="20"/>
                <w:szCs w:val="20"/>
              </w:rPr>
              <w:t xml:space="preserve">m </w:t>
            </w:r>
            <w:r w:rsidR="00F014D7" w:rsidRPr="00031FCE">
              <w:rPr>
                <w:rFonts w:ascii="Arial" w:hAnsi="Arial" w:cs="Arial"/>
                <w:sz w:val="20"/>
                <w:szCs w:val="20"/>
              </w:rPr>
              <w:t>(</w:t>
            </w:r>
            <w:r w:rsidR="0026637A" w:rsidRPr="00031FCE">
              <w:rPr>
                <w:rFonts w:ascii="Arial" w:hAnsi="Arial" w:cs="Arial"/>
                <w:sz w:val="20"/>
                <w:szCs w:val="20"/>
              </w:rPr>
              <w:t>PC</w:t>
            </w:r>
            <w:r w:rsidR="00F014D7" w:rsidRPr="00031FCE">
              <w:rPr>
                <w:rFonts w:ascii="Arial" w:hAnsi="Arial" w:cs="Arial"/>
                <w:sz w:val="20"/>
                <w:szCs w:val="20"/>
              </w:rPr>
              <w:t>C</w:t>
            </w:r>
            <w:r w:rsidR="00F014D7" w:rsidRPr="00031FCE">
              <w:rPr>
                <w:rFonts w:ascii="Arial" w:hAnsi="Arial" w:cs="Arial"/>
                <w:sz w:val="18"/>
                <w:szCs w:val="20"/>
              </w:rPr>
              <w:t xml:space="preserve"> </w:t>
            </w:r>
            <w:r w:rsidR="00F014D7" w:rsidRPr="00031FCE">
              <w:rPr>
                <w:rFonts w:ascii="Arial" w:hAnsi="Arial" w:cs="Arial"/>
                <w:sz w:val="20"/>
              </w:rPr>
              <w:t>Single Entity</w:t>
            </w:r>
            <w:r w:rsidR="0026637A" w:rsidRPr="00031FCE">
              <w:rPr>
                <w:rFonts w:ascii="Arial" w:hAnsi="Arial" w:cs="Arial"/>
                <w:sz w:val="20"/>
              </w:rPr>
              <w:t xml:space="preserve"> </w:t>
            </w:r>
            <w:r w:rsidR="00B144F3">
              <w:rPr>
                <w:rFonts w:ascii="Arial" w:hAnsi="Arial" w:cs="Arial"/>
                <w:sz w:val="20"/>
              </w:rPr>
              <w:t>increased</w:t>
            </w:r>
            <w:r w:rsidR="009E7912" w:rsidRPr="00031FCE">
              <w:rPr>
                <w:rFonts w:ascii="Arial" w:hAnsi="Arial" w:cs="Arial"/>
                <w:sz w:val="20"/>
              </w:rPr>
              <w:t xml:space="preserve"> </w:t>
            </w:r>
            <w:r w:rsidR="00F014D7" w:rsidRPr="00031FCE">
              <w:rPr>
                <w:rFonts w:ascii="Arial" w:hAnsi="Arial" w:cs="Arial"/>
                <w:sz w:val="20"/>
              </w:rPr>
              <w:t>by £</w:t>
            </w:r>
            <w:r w:rsidR="002C146F">
              <w:rPr>
                <w:rFonts w:ascii="Arial" w:hAnsi="Arial" w:cs="Arial"/>
                <w:sz w:val="20"/>
              </w:rPr>
              <w:t>2</w:t>
            </w:r>
            <w:r w:rsidR="00E45E7D">
              <w:rPr>
                <w:rFonts w:ascii="Arial" w:hAnsi="Arial" w:cs="Arial"/>
                <w:sz w:val="20"/>
              </w:rPr>
              <w:t>.</w:t>
            </w:r>
            <w:r w:rsidR="002C146F">
              <w:rPr>
                <w:rFonts w:ascii="Arial" w:hAnsi="Arial" w:cs="Arial"/>
                <w:sz w:val="20"/>
              </w:rPr>
              <w:t>2</w:t>
            </w:r>
            <w:r w:rsidR="00E45E7D">
              <w:rPr>
                <w:rFonts w:ascii="Arial" w:hAnsi="Arial" w:cs="Arial"/>
                <w:sz w:val="20"/>
              </w:rPr>
              <w:t>1</w:t>
            </w:r>
            <w:r w:rsidR="002C146F">
              <w:rPr>
                <w:rFonts w:ascii="Arial" w:hAnsi="Arial" w:cs="Arial"/>
                <w:sz w:val="20"/>
              </w:rPr>
              <w:t>9</w:t>
            </w:r>
            <w:r w:rsidR="00F014D7" w:rsidRPr="00031FCE">
              <w:rPr>
                <w:rFonts w:ascii="Arial" w:hAnsi="Arial" w:cs="Arial"/>
                <w:sz w:val="20"/>
              </w:rPr>
              <w:t xml:space="preserve">m) </w:t>
            </w:r>
            <w:r w:rsidR="00AC5415" w:rsidRPr="00031FCE">
              <w:rPr>
                <w:rFonts w:ascii="Arial" w:hAnsi="Arial" w:cs="Arial"/>
                <w:sz w:val="20"/>
              </w:rPr>
              <w:t>because of</w:t>
            </w:r>
            <w:r w:rsidRPr="00031FCE">
              <w:rPr>
                <w:rFonts w:ascii="Arial" w:hAnsi="Arial" w:cs="Arial"/>
                <w:sz w:val="20"/>
              </w:rPr>
              <w:t xml:space="preserve"> changes in financial assumptions</w:t>
            </w:r>
            <w:r w:rsidR="00BB58ED" w:rsidRPr="00031FCE">
              <w:rPr>
                <w:rFonts w:ascii="Arial" w:hAnsi="Arial" w:cs="Arial"/>
                <w:sz w:val="20"/>
              </w:rPr>
              <w:t xml:space="preserve"> and the effects of the asset ceiling</w:t>
            </w:r>
            <w:r w:rsidRPr="00031FCE">
              <w:rPr>
                <w:rFonts w:ascii="Arial" w:hAnsi="Arial" w:cs="Arial"/>
                <w:sz w:val="20"/>
              </w:rPr>
              <w:t>. This includ</w:t>
            </w:r>
            <w:r w:rsidR="005E45DB" w:rsidRPr="00031FCE">
              <w:rPr>
                <w:rFonts w:ascii="Arial" w:hAnsi="Arial" w:cs="Arial"/>
                <w:sz w:val="20"/>
              </w:rPr>
              <w:t xml:space="preserve">ed an increase </w:t>
            </w:r>
            <w:r w:rsidRPr="00031FCE">
              <w:rPr>
                <w:rFonts w:ascii="Arial" w:hAnsi="Arial" w:cs="Arial"/>
                <w:sz w:val="20"/>
              </w:rPr>
              <w:t xml:space="preserve">of </w:t>
            </w:r>
            <w:r w:rsidR="000F5F63" w:rsidRPr="00031FCE">
              <w:rPr>
                <w:rFonts w:ascii="Arial" w:hAnsi="Arial" w:cs="Arial"/>
                <w:sz w:val="20"/>
              </w:rPr>
              <w:t>0.</w:t>
            </w:r>
            <w:r w:rsidR="002C146F">
              <w:rPr>
                <w:rFonts w:ascii="Arial" w:hAnsi="Arial" w:cs="Arial"/>
                <w:sz w:val="20"/>
              </w:rPr>
              <w:t>9</w:t>
            </w:r>
            <w:r w:rsidRPr="00031FCE">
              <w:rPr>
                <w:rFonts w:ascii="Arial" w:hAnsi="Arial" w:cs="Arial"/>
                <w:sz w:val="20"/>
              </w:rPr>
              <w:t xml:space="preserve">% in the discount rate of </w:t>
            </w:r>
            <w:r w:rsidR="006550D9" w:rsidRPr="00031FCE">
              <w:rPr>
                <w:rFonts w:ascii="Arial" w:hAnsi="Arial" w:cs="Arial"/>
                <w:sz w:val="20"/>
              </w:rPr>
              <w:t>all schemes</w:t>
            </w:r>
            <w:r w:rsidR="00031FCE" w:rsidRPr="00031FCE">
              <w:rPr>
                <w:rFonts w:ascii="Arial" w:hAnsi="Arial" w:cs="Arial"/>
                <w:sz w:val="20"/>
              </w:rPr>
              <w:t>.</w:t>
            </w:r>
          </w:p>
        </w:tc>
      </w:tr>
      <w:tr w:rsidR="0081321B" w:rsidRPr="00412ECB" w14:paraId="1B9A4B7B" w14:textId="77777777" w:rsidTr="005B6F05">
        <w:trPr>
          <w:trHeight w:val="304"/>
        </w:trPr>
        <w:tc>
          <w:tcPr>
            <w:tcW w:w="1278" w:type="dxa"/>
          </w:tcPr>
          <w:p w14:paraId="2A0E7F9E" w14:textId="2FC5BE7D" w:rsidR="0081321B" w:rsidRPr="000F5F63" w:rsidRDefault="004420DD" w:rsidP="009B4908">
            <w:pPr>
              <w:autoSpaceDE w:val="0"/>
              <w:autoSpaceDN w:val="0"/>
              <w:adjustRightInd w:val="0"/>
              <w:rPr>
                <w:rFonts w:ascii="Arial" w:hAnsi="Arial" w:cs="Arial"/>
              </w:rPr>
            </w:pPr>
            <w:r w:rsidRPr="000F5F63">
              <w:rPr>
                <w:rFonts w:ascii="Arial" w:hAnsi="Arial" w:cs="Arial"/>
              </w:rPr>
              <w:t>Pensions Assets</w:t>
            </w:r>
          </w:p>
        </w:tc>
        <w:tc>
          <w:tcPr>
            <w:tcW w:w="3560" w:type="dxa"/>
          </w:tcPr>
          <w:p w14:paraId="09429483" w14:textId="427DCF5A" w:rsidR="00AA633B" w:rsidRPr="00AD1E24" w:rsidRDefault="00AA633B" w:rsidP="003F1891">
            <w:pPr>
              <w:jc w:val="both"/>
              <w:rPr>
                <w:rFonts w:ascii="Arial" w:hAnsi="Arial" w:cs="Arial"/>
              </w:rPr>
            </w:pPr>
            <w:r w:rsidRPr="00AD1E24">
              <w:rPr>
                <w:rFonts w:ascii="Arial" w:hAnsi="Arial" w:cs="Arial"/>
              </w:rPr>
              <w:t xml:space="preserve">The value of the assets of the LGPS </w:t>
            </w:r>
            <w:r w:rsidR="00105039" w:rsidRPr="00AD1E24">
              <w:rPr>
                <w:rFonts w:ascii="Arial" w:hAnsi="Arial" w:cs="Arial"/>
              </w:rPr>
              <w:t>is dependent</w:t>
            </w:r>
            <w:r w:rsidRPr="00AD1E24">
              <w:rPr>
                <w:rFonts w:ascii="Arial" w:hAnsi="Arial" w:cs="Arial"/>
              </w:rPr>
              <w:t xml:space="preserve"> on a professional judgement based on information available at the time of making the valuation. </w:t>
            </w:r>
          </w:p>
        </w:tc>
        <w:tc>
          <w:tcPr>
            <w:tcW w:w="5368" w:type="dxa"/>
          </w:tcPr>
          <w:p w14:paraId="642D5C82" w14:textId="465DEA15" w:rsidR="0081321B" w:rsidRPr="00AD1E24" w:rsidRDefault="00AA633B" w:rsidP="00520CD5">
            <w:pPr>
              <w:pStyle w:val="ListParagraph"/>
              <w:ind w:left="0"/>
              <w:jc w:val="both"/>
              <w:rPr>
                <w:rFonts w:ascii="Arial" w:hAnsi="Arial" w:cs="Arial"/>
                <w:sz w:val="20"/>
                <w:szCs w:val="20"/>
              </w:rPr>
            </w:pPr>
            <w:r w:rsidRPr="00AD1E24">
              <w:rPr>
                <w:rFonts w:ascii="Arial" w:hAnsi="Arial" w:cs="Arial"/>
                <w:sz w:val="20"/>
                <w:szCs w:val="20"/>
              </w:rPr>
              <w:t>T</w:t>
            </w:r>
            <w:r w:rsidR="00E635AB" w:rsidRPr="00AD1E24">
              <w:rPr>
                <w:rFonts w:ascii="Arial" w:hAnsi="Arial" w:cs="Arial"/>
                <w:sz w:val="20"/>
                <w:szCs w:val="20"/>
              </w:rPr>
              <w:t xml:space="preserve">he total of property assets for the PCC Group as outlined in Note </w:t>
            </w:r>
            <w:r w:rsidR="008B288E">
              <w:rPr>
                <w:rFonts w:ascii="Arial" w:hAnsi="Arial" w:cs="Arial"/>
                <w:sz w:val="20"/>
                <w:szCs w:val="20"/>
              </w:rPr>
              <w:t>30</w:t>
            </w:r>
            <w:r w:rsidR="00E635AB" w:rsidRPr="00AD1E24">
              <w:rPr>
                <w:rFonts w:ascii="Arial" w:hAnsi="Arial" w:cs="Arial"/>
                <w:sz w:val="20"/>
                <w:szCs w:val="20"/>
              </w:rPr>
              <w:t xml:space="preserve"> is </w:t>
            </w:r>
            <w:r w:rsidR="00EC1D50" w:rsidRPr="00AD1E24">
              <w:rPr>
                <w:rFonts w:ascii="Arial" w:hAnsi="Arial" w:cs="Arial"/>
                <w:sz w:val="20"/>
                <w:szCs w:val="20"/>
              </w:rPr>
              <w:t>£</w:t>
            </w:r>
            <w:r w:rsidR="003C7F0E">
              <w:rPr>
                <w:rFonts w:ascii="Arial" w:hAnsi="Arial" w:cs="Arial"/>
                <w:sz w:val="20"/>
                <w:szCs w:val="20"/>
              </w:rPr>
              <w:t>49</w:t>
            </w:r>
            <w:r w:rsidR="00490824" w:rsidRPr="00AD1E24">
              <w:rPr>
                <w:rFonts w:ascii="Arial" w:hAnsi="Arial" w:cs="Arial"/>
                <w:sz w:val="20"/>
                <w:szCs w:val="20"/>
              </w:rPr>
              <w:t>.</w:t>
            </w:r>
            <w:r w:rsidR="003C7F0E">
              <w:rPr>
                <w:rFonts w:ascii="Arial" w:hAnsi="Arial" w:cs="Arial"/>
                <w:sz w:val="20"/>
                <w:szCs w:val="20"/>
              </w:rPr>
              <w:t>2</w:t>
            </w:r>
            <w:r w:rsidR="00AD1E24" w:rsidRPr="00AD1E24">
              <w:rPr>
                <w:rFonts w:ascii="Arial" w:hAnsi="Arial" w:cs="Arial"/>
                <w:sz w:val="20"/>
                <w:szCs w:val="20"/>
              </w:rPr>
              <w:t>8</w:t>
            </w:r>
            <w:r w:rsidR="003C7F0E">
              <w:rPr>
                <w:rFonts w:ascii="Arial" w:hAnsi="Arial" w:cs="Arial"/>
                <w:sz w:val="20"/>
                <w:szCs w:val="20"/>
              </w:rPr>
              <w:t>6</w:t>
            </w:r>
            <w:r w:rsidR="0023506C" w:rsidRPr="00AD1E24">
              <w:rPr>
                <w:rFonts w:ascii="Arial" w:hAnsi="Arial" w:cs="Arial"/>
                <w:sz w:val="20"/>
                <w:szCs w:val="20"/>
              </w:rPr>
              <w:t>m (£0.</w:t>
            </w:r>
            <w:r w:rsidR="003C7F0E">
              <w:rPr>
                <w:rFonts w:ascii="Arial" w:hAnsi="Arial" w:cs="Arial"/>
                <w:sz w:val="20"/>
                <w:szCs w:val="20"/>
              </w:rPr>
              <w:t>76</w:t>
            </w:r>
            <w:r w:rsidR="00447B64">
              <w:rPr>
                <w:rFonts w:ascii="Arial" w:hAnsi="Arial" w:cs="Arial"/>
                <w:sz w:val="20"/>
                <w:szCs w:val="20"/>
              </w:rPr>
              <w:t>5</w:t>
            </w:r>
            <w:r w:rsidR="0023506C" w:rsidRPr="00AD1E24">
              <w:rPr>
                <w:rFonts w:ascii="Arial" w:hAnsi="Arial" w:cs="Arial"/>
                <w:sz w:val="20"/>
                <w:szCs w:val="20"/>
              </w:rPr>
              <w:t>m for the PCC)</w:t>
            </w:r>
            <w:r w:rsidR="00E635AB" w:rsidRPr="00AD1E24">
              <w:rPr>
                <w:rFonts w:ascii="Arial" w:hAnsi="Arial" w:cs="Arial"/>
                <w:sz w:val="20"/>
                <w:szCs w:val="20"/>
              </w:rPr>
              <w:t xml:space="preserve"> (including Property held within Investment Funds).</w:t>
            </w:r>
          </w:p>
          <w:p w14:paraId="10285EF9" w14:textId="43F60F69" w:rsidR="00E635AB" w:rsidRPr="00AD1E24" w:rsidRDefault="00447176" w:rsidP="00520CD5">
            <w:pPr>
              <w:pStyle w:val="ListParagraph"/>
              <w:ind w:left="0"/>
              <w:jc w:val="both"/>
              <w:rPr>
                <w:rFonts w:ascii="Arial" w:hAnsi="Arial" w:cs="Arial"/>
                <w:sz w:val="20"/>
                <w:szCs w:val="20"/>
              </w:rPr>
            </w:pPr>
            <w:r w:rsidRPr="00AD1E24">
              <w:rPr>
                <w:rFonts w:ascii="Arial" w:hAnsi="Arial" w:cs="Arial"/>
                <w:sz w:val="20"/>
                <w:szCs w:val="20"/>
              </w:rPr>
              <w:t xml:space="preserve">It should be noted that the proposed method of projecting from the previous valuation results is not as accurate as performing a full valuation at the disclosure date. </w:t>
            </w:r>
          </w:p>
          <w:p w14:paraId="668A9927" w14:textId="77777777" w:rsidR="0003721F" w:rsidRPr="00AD1E24" w:rsidRDefault="0003721F" w:rsidP="00520CD5">
            <w:pPr>
              <w:pStyle w:val="ListParagraph"/>
              <w:ind w:left="0"/>
              <w:jc w:val="both"/>
              <w:rPr>
                <w:rFonts w:ascii="Arial" w:hAnsi="Arial" w:cs="Arial"/>
                <w:sz w:val="20"/>
                <w:szCs w:val="20"/>
              </w:rPr>
            </w:pPr>
          </w:p>
          <w:p w14:paraId="5A481D56" w14:textId="2C7F9E6D" w:rsidR="00E635AB" w:rsidRPr="00AD1E24" w:rsidRDefault="00DC2030" w:rsidP="00AD1E24">
            <w:pPr>
              <w:pStyle w:val="ListParagraph"/>
              <w:ind w:left="0"/>
              <w:jc w:val="both"/>
              <w:rPr>
                <w:rFonts w:ascii="Arial" w:hAnsi="Arial" w:cs="Arial"/>
                <w:sz w:val="20"/>
                <w:szCs w:val="20"/>
              </w:rPr>
            </w:pPr>
            <w:r w:rsidRPr="00AD1E24">
              <w:rPr>
                <w:rFonts w:ascii="Arial" w:hAnsi="Arial" w:cs="Arial"/>
                <w:sz w:val="20"/>
                <w:szCs w:val="20"/>
              </w:rPr>
              <w:t>However,</w:t>
            </w:r>
            <w:r w:rsidR="0003721F" w:rsidRPr="00AD1E24">
              <w:rPr>
                <w:rFonts w:ascii="Arial" w:hAnsi="Arial" w:cs="Arial"/>
                <w:sz w:val="20"/>
                <w:szCs w:val="20"/>
              </w:rPr>
              <w:t xml:space="preserve"> we have been advised by the actuary that a 1% increase in investment returns would result in an increase of £</w:t>
            </w:r>
            <w:r w:rsidR="00CA3E49">
              <w:rPr>
                <w:rFonts w:ascii="Arial" w:hAnsi="Arial" w:cs="Arial"/>
                <w:sz w:val="20"/>
                <w:szCs w:val="20"/>
              </w:rPr>
              <w:t>6.084</w:t>
            </w:r>
            <w:r w:rsidR="0003721F" w:rsidRPr="00AD1E24">
              <w:rPr>
                <w:rFonts w:ascii="Arial" w:hAnsi="Arial" w:cs="Arial"/>
                <w:sz w:val="20"/>
                <w:szCs w:val="20"/>
              </w:rPr>
              <w:t>m</w:t>
            </w:r>
            <w:r w:rsidR="00BD1EA4" w:rsidRPr="00AD1E24">
              <w:rPr>
                <w:rFonts w:ascii="Arial" w:hAnsi="Arial" w:cs="Arial"/>
                <w:sz w:val="20"/>
                <w:szCs w:val="20"/>
              </w:rPr>
              <w:t xml:space="preserve"> (£0.0</w:t>
            </w:r>
            <w:r w:rsidR="00CA3E49">
              <w:rPr>
                <w:rFonts w:ascii="Arial" w:hAnsi="Arial" w:cs="Arial"/>
                <w:sz w:val="20"/>
                <w:szCs w:val="20"/>
              </w:rPr>
              <w:t>95</w:t>
            </w:r>
            <w:r w:rsidR="00BD1EA4" w:rsidRPr="00AD1E24">
              <w:rPr>
                <w:rFonts w:ascii="Arial" w:hAnsi="Arial" w:cs="Arial"/>
                <w:sz w:val="20"/>
                <w:szCs w:val="20"/>
              </w:rPr>
              <w:t>m for the PCC)</w:t>
            </w:r>
            <w:r w:rsidR="0003721F" w:rsidRPr="00AD1E24">
              <w:rPr>
                <w:rFonts w:ascii="Arial" w:hAnsi="Arial" w:cs="Arial"/>
                <w:sz w:val="20"/>
                <w:szCs w:val="20"/>
              </w:rPr>
              <w:t xml:space="preserve"> in the value of the Pensions Assets</w:t>
            </w:r>
            <w:r w:rsidR="00AD1E24">
              <w:rPr>
                <w:rFonts w:ascii="Arial" w:hAnsi="Arial" w:cs="Arial"/>
                <w:sz w:val="20"/>
                <w:szCs w:val="20"/>
              </w:rPr>
              <w:t>.</w:t>
            </w:r>
          </w:p>
        </w:tc>
      </w:tr>
    </w:tbl>
    <w:p w14:paraId="778DB4C1" w14:textId="1B081FF2" w:rsidR="00E67F63" w:rsidRDefault="00E67F63">
      <w:pPr>
        <w:rPr>
          <w:rFonts w:ascii="Arial" w:hAnsi="Arial"/>
          <w:b/>
          <w:caps/>
          <w:sz w:val="22"/>
          <w:szCs w:val="22"/>
        </w:rPr>
      </w:pPr>
    </w:p>
    <w:p w14:paraId="73FEFE74" w14:textId="77777777" w:rsidR="00057978" w:rsidRDefault="00057978">
      <w:pPr>
        <w:rPr>
          <w:rFonts w:ascii="Arial" w:hAnsi="Arial"/>
          <w:b/>
          <w:caps/>
          <w:sz w:val="22"/>
          <w:szCs w:val="22"/>
        </w:rPr>
      </w:pPr>
      <w:r>
        <w:rPr>
          <w:rFonts w:ascii="Arial" w:hAnsi="Arial"/>
          <w:b/>
          <w:caps/>
          <w:sz w:val="22"/>
          <w:szCs w:val="22"/>
        </w:rPr>
        <w:br w:type="page"/>
      </w:r>
    </w:p>
    <w:p w14:paraId="3B8F6291" w14:textId="4096CB38" w:rsidR="003B74DA" w:rsidRPr="00AD1E24" w:rsidRDefault="003B74DA" w:rsidP="003B74DA">
      <w:pPr>
        <w:numPr>
          <w:ilvl w:val="0"/>
          <w:numId w:val="1"/>
        </w:numPr>
        <w:tabs>
          <w:tab w:val="clear" w:pos="720"/>
          <w:tab w:val="num" w:pos="426"/>
          <w:tab w:val="right" w:pos="5760"/>
        </w:tabs>
        <w:ind w:left="426"/>
        <w:rPr>
          <w:rFonts w:ascii="Arial" w:hAnsi="Arial"/>
          <w:b/>
          <w:caps/>
          <w:sz w:val="22"/>
          <w:szCs w:val="22"/>
        </w:rPr>
      </w:pPr>
      <w:r w:rsidRPr="00AD1E24">
        <w:rPr>
          <w:rFonts w:ascii="Arial" w:hAnsi="Arial"/>
          <w:b/>
          <w:caps/>
          <w:sz w:val="22"/>
          <w:szCs w:val="22"/>
        </w:rPr>
        <w:lastRenderedPageBreak/>
        <w:t>Events after the Balance Sheet date</w:t>
      </w:r>
    </w:p>
    <w:p w14:paraId="06C51CB0" w14:textId="77777777" w:rsidR="003B74DA" w:rsidRPr="00AD1E24" w:rsidRDefault="003B74DA" w:rsidP="003B74DA">
      <w:pPr>
        <w:tabs>
          <w:tab w:val="right" w:pos="5760"/>
        </w:tabs>
        <w:rPr>
          <w:rFonts w:ascii="Arial" w:hAnsi="Arial"/>
          <w:b/>
          <w:sz w:val="22"/>
          <w:szCs w:val="22"/>
        </w:rPr>
      </w:pPr>
    </w:p>
    <w:p w14:paraId="52EA2E67" w14:textId="77777777" w:rsidR="003B74DA" w:rsidRPr="00AD1E24" w:rsidRDefault="003B74DA" w:rsidP="003B74DA">
      <w:pPr>
        <w:ind w:left="426"/>
        <w:jc w:val="both"/>
        <w:rPr>
          <w:rFonts w:ascii="Arial" w:hAnsi="Arial"/>
          <w:sz w:val="22"/>
          <w:szCs w:val="22"/>
          <w:u w:val="single"/>
        </w:rPr>
      </w:pPr>
      <w:r w:rsidRPr="00AD1E24">
        <w:rPr>
          <w:rFonts w:ascii="Arial" w:hAnsi="Arial"/>
          <w:sz w:val="22"/>
          <w:szCs w:val="22"/>
          <w:u w:val="single"/>
        </w:rPr>
        <w:t>Accounting Policy</w:t>
      </w:r>
    </w:p>
    <w:p w14:paraId="7D031489" w14:textId="77777777" w:rsidR="003B74DA" w:rsidRPr="00AD1E24" w:rsidRDefault="003B74DA" w:rsidP="003B74DA">
      <w:pPr>
        <w:ind w:left="426"/>
        <w:jc w:val="both"/>
        <w:rPr>
          <w:rFonts w:ascii="Arial" w:hAnsi="Arial"/>
          <w:sz w:val="22"/>
          <w:szCs w:val="22"/>
          <w:u w:val="single"/>
        </w:rPr>
      </w:pPr>
    </w:p>
    <w:p w14:paraId="7A37B3EB" w14:textId="77777777" w:rsidR="003B74DA" w:rsidRPr="00AD1E24" w:rsidRDefault="003B74DA" w:rsidP="003B74DA">
      <w:pPr>
        <w:pStyle w:val="BodyTextIndent"/>
        <w:ind w:left="426" w:firstLine="0"/>
        <w:jc w:val="both"/>
        <w:rPr>
          <w:rFonts w:cs="Arial"/>
          <w:i w:val="0"/>
          <w:sz w:val="22"/>
          <w:szCs w:val="22"/>
        </w:rPr>
      </w:pPr>
      <w:r w:rsidRPr="00AD1E24">
        <w:rPr>
          <w:rFonts w:cs="Arial"/>
          <w:i w:val="0"/>
          <w:sz w:val="22"/>
          <w:szCs w:val="22"/>
        </w:rPr>
        <w:t>Events after the balance sheet date are those events, both favourable and unfavourable, that occur between the end of the reporting period and the date when the statement of accounts is authorised for issue. Two types of events can be identified:</w:t>
      </w:r>
    </w:p>
    <w:p w14:paraId="45FE2ACB" w14:textId="77777777" w:rsidR="003B74DA" w:rsidRPr="00AD1E24" w:rsidRDefault="003B74DA" w:rsidP="003B74DA">
      <w:pPr>
        <w:pStyle w:val="BodyTextIndent"/>
        <w:ind w:left="426" w:firstLine="0"/>
        <w:jc w:val="both"/>
        <w:rPr>
          <w:rFonts w:cs="Arial"/>
          <w:i w:val="0"/>
          <w:sz w:val="22"/>
          <w:szCs w:val="22"/>
        </w:rPr>
      </w:pPr>
    </w:p>
    <w:p w14:paraId="42BC814B" w14:textId="77777777" w:rsidR="003B74DA" w:rsidRPr="00AD1E24" w:rsidRDefault="003B74DA" w:rsidP="004E2882">
      <w:pPr>
        <w:pStyle w:val="BodyTextIndent"/>
        <w:numPr>
          <w:ilvl w:val="0"/>
          <w:numId w:val="17"/>
        </w:numPr>
        <w:jc w:val="both"/>
        <w:rPr>
          <w:rFonts w:cs="Arial"/>
          <w:i w:val="0"/>
          <w:sz w:val="22"/>
          <w:szCs w:val="22"/>
        </w:rPr>
      </w:pPr>
      <w:r w:rsidRPr="00AD1E24">
        <w:rPr>
          <w:rFonts w:cs="Arial"/>
          <w:i w:val="0"/>
          <w:sz w:val="22"/>
          <w:szCs w:val="22"/>
        </w:rPr>
        <w:t xml:space="preserve">those that provide evidence of conditions that existed at the end of the reporting period – the </w:t>
      </w:r>
    </w:p>
    <w:p w14:paraId="54B8E207" w14:textId="556D8458" w:rsidR="003C7818" w:rsidRPr="00AD1E24" w:rsidRDefault="003B74DA" w:rsidP="003B74DA">
      <w:pPr>
        <w:pStyle w:val="BodyTextIndent"/>
        <w:ind w:firstLine="0"/>
        <w:jc w:val="both"/>
        <w:rPr>
          <w:rFonts w:cs="Arial"/>
          <w:i w:val="0"/>
          <w:sz w:val="22"/>
          <w:szCs w:val="22"/>
        </w:rPr>
      </w:pPr>
      <w:r w:rsidRPr="00AD1E24">
        <w:rPr>
          <w:rFonts w:cs="Arial"/>
          <w:i w:val="0"/>
          <w:sz w:val="22"/>
          <w:szCs w:val="22"/>
        </w:rPr>
        <w:t xml:space="preserve">           statement of accounts is adjusted to reflect such events;</w:t>
      </w:r>
    </w:p>
    <w:p w14:paraId="53C400D5" w14:textId="77777777" w:rsidR="003B74DA" w:rsidRPr="00AD1E24" w:rsidRDefault="003B74DA" w:rsidP="003B74DA">
      <w:pPr>
        <w:pStyle w:val="BodyTextIndent"/>
        <w:ind w:firstLine="0"/>
        <w:jc w:val="both"/>
        <w:rPr>
          <w:rFonts w:cs="Arial"/>
          <w:i w:val="0"/>
          <w:sz w:val="22"/>
          <w:szCs w:val="22"/>
        </w:rPr>
      </w:pPr>
    </w:p>
    <w:p w14:paraId="2160C080" w14:textId="77777777" w:rsidR="003B74DA" w:rsidRPr="00AD1E24" w:rsidRDefault="003B74DA" w:rsidP="004E2882">
      <w:pPr>
        <w:pStyle w:val="BodyTextIndent"/>
        <w:numPr>
          <w:ilvl w:val="0"/>
          <w:numId w:val="17"/>
        </w:numPr>
        <w:jc w:val="both"/>
        <w:rPr>
          <w:rFonts w:cs="Arial"/>
          <w:i w:val="0"/>
          <w:sz w:val="22"/>
          <w:szCs w:val="22"/>
        </w:rPr>
      </w:pPr>
      <w:r w:rsidRPr="00AD1E24">
        <w:rPr>
          <w:rFonts w:cs="Arial"/>
          <w:i w:val="0"/>
          <w:sz w:val="22"/>
          <w:szCs w:val="22"/>
        </w:rPr>
        <w:t>those that are indicative of conditions that arose after the reporting period – the statement of</w:t>
      </w:r>
    </w:p>
    <w:p w14:paraId="15DDAEBC" w14:textId="223CD927" w:rsidR="003B74DA" w:rsidRPr="00AD1E24" w:rsidRDefault="003B74DA" w:rsidP="004302AC">
      <w:pPr>
        <w:pStyle w:val="BodyTextIndent"/>
        <w:ind w:left="1401" w:firstLine="0"/>
        <w:jc w:val="both"/>
        <w:rPr>
          <w:rFonts w:cs="Arial"/>
          <w:i w:val="0"/>
          <w:sz w:val="22"/>
          <w:szCs w:val="22"/>
        </w:rPr>
      </w:pPr>
      <w:r w:rsidRPr="00AD1E24">
        <w:rPr>
          <w:rFonts w:cs="Arial"/>
          <w:i w:val="0"/>
          <w:sz w:val="22"/>
          <w:szCs w:val="22"/>
        </w:rPr>
        <w:t xml:space="preserve">accounts </w:t>
      </w:r>
      <w:r w:rsidR="004302AC" w:rsidRPr="00AD1E24">
        <w:rPr>
          <w:rFonts w:cs="Arial"/>
          <w:i w:val="0"/>
          <w:sz w:val="22"/>
          <w:szCs w:val="22"/>
        </w:rPr>
        <w:t>are</w:t>
      </w:r>
      <w:r w:rsidRPr="00AD1E24">
        <w:rPr>
          <w:rFonts w:cs="Arial"/>
          <w:i w:val="0"/>
          <w:sz w:val="22"/>
          <w:szCs w:val="22"/>
        </w:rPr>
        <w:t xml:space="preserve"> not adjusted to reflect such events, but where a category of events would have a</w:t>
      </w:r>
      <w:r w:rsidR="004302AC" w:rsidRPr="00AD1E24">
        <w:rPr>
          <w:rFonts w:cs="Arial"/>
          <w:i w:val="0"/>
          <w:sz w:val="22"/>
          <w:szCs w:val="22"/>
        </w:rPr>
        <w:t xml:space="preserve"> </w:t>
      </w:r>
      <w:r w:rsidRPr="00AD1E24">
        <w:rPr>
          <w:rFonts w:cs="Arial"/>
          <w:i w:val="0"/>
          <w:sz w:val="22"/>
          <w:szCs w:val="22"/>
        </w:rPr>
        <w:t>material effect, disclosure is made in the notes of the nature of the events and their estimated financial effect.</w:t>
      </w:r>
    </w:p>
    <w:p w14:paraId="748518EB" w14:textId="77777777" w:rsidR="003B74DA" w:rsidRPr="00AD1E24" w:rsidRDefault="003B74DA" w:rsidP="003B74DA">
      <w:pPr>
        <w:pStyle w:val="BodyTextIndent"/>
        <w:ind w:left="1440" w:firstLine="0"/>
        <w:jc w:val="both"/>
        <w:rPr>
          <w:rFonts w:cs="Arial"/>
          <w:i w:val="0"/>
          <w:sz w:val="22"/>
          <w:szCs w:val="22"/>
        </w:rPr>
      </w:pPr>
    </w:p>
    <w:p w14:paraId="2D3B218F" w14:textId="5092D98B" w:rsidR="003245CB" w:rsidRDefault="002C044A" w:rsidP="003245CB">
      <w:pPr>
        <w:pStyle w:val="BodyTextIndent"/>
        <w:ind w:left="426" w:firstLine="0"/>
        <w:jc w:val="both"/>
        <w:rPr>
          <w:rFonts w:cs="Arial"/>
          <w:i w:val="0"/>
          <w:iCs/>
          <w:sz w:val="22"/>
          <w:szCs w:val="22"/>
        </w:rPr>
      </w:pPr>
      <w:r w:rsidRPr="00AD1E24">
        <w:rPr>
          <w:rFonts w:cs="Arial"/>
          <w:i w:val="0"/>
          <w:iCs/>
          <w:sz w:val="22"/>
          <w:szCs w:val="22"/>
        </w:rPr>
        <w:t xml:space="preserve">The Statement of Accounts was authorised for issue by the </w:t>
      </w:r>
      <w:r w:rsidR="00AD5874" w:rsidRPr="00AD1E24">
        <w:rPr>
          <w:rFonts w:cs="Arial"/>
          <w:i w:val="0"/>
          <w:iCs/>
          <w:sz w:val="22"/>
          <w:szCs w:val="22"/>
        </w:rPr>
        <w:t>P</w:t>
      </w:r>
      <w:r w:rsidRPr="00AD1E24">
        <w:rPr>
          <w:rFonts w:cs="Arial"/>
          <w:i w:val="0"/>
          <w:iCs/>
          <w:sz w:val="22"/>
          <w:szCs w:val="22"/>
        </w:rPr>
        <w:t xml:space="preserve">CC's CFO on </w:t>
      </w:r>
      <w:r w:rsidR="00804D06">
        <w:rPr>
          <w:rFonts w:cs="Arial"/>
          <w:i w:val="0"/>
          <w:iCs/>
          <w:sz w:val="22"/>
          <w:szCs w:val="22"/>
        </w:rPr>
        <w:t>18</w:t>
      </w:r>
      <w:r w:rsidR="00804D06" w:rsidRPr="00804D06">
        <w:rPr>
          <w:rFonts w:cs="Arial"/>
          <w:i w:val="0"/>
          <w:iCs/>
          <w:sz w:val="22"/>
          <w:szCs w:val="22"/>
          <w:vertAlign w:val="superscript"/>
        </w:rPr>
        <w:t>th</w:t>
      </w:r>
      <w:r w:rsidR="00804D06">
        <w:rPr>
          <w:rFonts w:cs="Arial"/>
          <w:i w:val="0"/>
          <w:iCs/>
          <w:sz w:val="22"/>
          <w:szCs w:val="22"/>
        </w:rPr>
        <w:t xml:space="preserve"> December</w:t>
      </w:r>
      <w:r w:rsidR="00E43079" w:rsidRPr="004D5349">
        <w:rPr>
          <w:rFonts w:cs="Arial"/>
          <w:i w:val="0"/>
          <w:iCs/>
          <w:sz w:val="22"/>
          <w:szCs w:val="22"/>
        </w:rPr>
        <w:t xml:space="preserve"> 2025</w:t>
      </w:r>
      <w:r w:rsidR="003245CB">
        <w:rPr>
          <w:rFonts w:cs="Arial"/>
          <w:i w:val="0"/>
          <w:iCs/>
          <w:sz w:val="22"/>
          <w:szCs w:val="22"/>
        </w:rPr>
        <w:t>.</w:t>
      </w:r>
    </w:p>
    <w:p w14:paraId="16B0E79D" w14:textId="77777777" w:rsidR="003245CB" w:rsidRPr="003245CB" w:rsidRDefault="003245CB" w:rsidP="003245CB">
      <w:pPr>
        <w:pStyle w:val="BodyTextIndent"/>
        <w:ind w:left="426" w:firstLine="0"/>
        <w:jc w:val="both"/>
        <w:rPr>
          <w:rFonts w:cs="Arial"/>
          <w:i w:val="0"/>
          <w:iCs/>
          <w:sz w:val="22"/>
          <w:szCs w:val="22"/>
        </w:rPr>
      </w:pPr>
    </w:p>
    <w:p w14:paraId="1941F871" w14:textId="014A392D" w:rsidR="00016FAC" w:rsidRPr="00AD1E24" w:rsidRDefault="00016FAC" w:rsidP="003B74DA">
      <w:pPr>
        <w:pStyle w:val="BodyTextIndent"/>
        <w:ind w:left="426" w:firstLine="0"/>
        <w:jc w:val="both"/>
        <w:rPr>
          <w:rFonts w:cs="Arial"/>
          <w:i w:val="0"/>
          <w:sz w:val="22"/>
          <w:szCs w:val="22"/>
        </w:rPr>
      </w:pPr>
      <w:r w:rsidRPr="00AD1E24">
        <w:rPr>
          <w:rFonts w:cs="Arial"/>
          <w:i w:val="0"/>
          <w:sz w:val="22"/>
          <w:szCs w:val="22"/>
        </w:rPr>
        <w:t>Where events taking place before this date provided information about conditions existing at 31st March 202</w:t>
      </w:r>
      <w:r w:rsidR="009D5AD3">
        <w:rPr>
          <w:rFonts w:cs="Arial"/>
          <w:i w:val="0"/>
          <w:sz w:val="22"/>
          <w:szCs w:val="22"/>
        </w:rPr>
        <w:t>5</w:t>
      </w:r>
      <w:r w:rsidRPr="00AD1E24">
        <w:rPr>
          <w:rFonts w:cs="Arial"/>
          <w:i w:val="0"/>
          <w:sz w:val="22"/>
          <w:szCs w:val="22"/>
        </w:rPr>
        <w:t>, the figures in the financial statements and notes have been adjusted in all material respects to reflect the impact of this information</w:t>
      </w:r>
    </w:p>
    <w:bookmarkEnd w:id="12"/>
    <w:p w14:paraId="10E0CFBB" w14:textId="6F83B082" w:rsidR="00E917E7" w:rsidRPr="003A0105" w:rsidRDefault="00E917E7" w:rsidP="003B74DA">
      <w:pPr>
        <w:ind w:left="426"/>
        <w:jc w:val="both"/>
        <w:rPr>
          <w:rFonts w:ascii="Arial" w:hAnsi="Arial" w:cs="Arial"/>
          <w:sz w:val="22"/>
          <w:szCs w:val="22"/>
        </w:rPr>
      </w:pPr>
    </w:p>
    <w:p w14:paraId="5366B243" w14:textId="5D05800A" w:rsidR="003B74DA" w:rsidRPr="005B6F05" w:rsidRDefault="003B74DA" w:rsidP="003B74DA">
      <w:pPr>
        <w:rPr>
          <w:rFonts w:ascii="Arial" w:hAnsi="Arial" w:cs="Arial"/>
          <w:b/>
          <w:i/>
          <w:caps/>
          <w:sz w:val="22"/>
          <w:szCs w:val="22"/>
        </w:rPr>
      </w:pPr>
      <w:r w:rsidRPr="003A0105">
        <w:rPr>
          <w:rFonts w:ascii="Arial" w:hAnsi="Arial" w:cs="Arial"/>
          <w:b/>
          <w:i/>
          <w:caps/>
          <w:sz w:val="22"/>
          <w:szCs w:val="22"/>
        </w:rPr>
        <w:t>Notes to the Movement in Reserves Statement</w:t>
      </w:r>
    </w:p>
    <w:p w14:paraId="25D1A03D" w14:textId="77777777" w:rsidR="003B74DA" w:rsidRPr="005B6F05" w:rsidRDefault="003B74DA" w:rsidP="003B74DA">
      <w:pPr>
        <w:tabs>
          <w:tab w:val="right" w:pos="5760"/>
        </w:tabs>
        <w:ind w:left="426"/>
        <w:rPr>
          <w:rFonts w:ascii="Arial" w:hAnsi="Arial" w:cs="Arial"/>
          <w:b/>
          <w:sz w:val="22"/>
          <w:szCs w:val="22"/>
        </w:rPr>
      </w:pPr>
    </w:p>
    <w:p w14:paraId="75FD0D36" w14:textId="77777777" w:rsidR="003B74DA" w:rsidRPr="005B6F05" w:rsidRDefault="003B74DA" w:rsidP="003B74DA">
      <w:pPr>
        <w:numPr>
          <w:ilvl w:val="0"/>
          <w:numId w:val="1"/>
        </w:numPr>
        <w:tabs>
          <w:tab w:val="clear" w:pos="720"/>
          <w:tab w:val="num" w:pos="426"/>
          <w:tab w:val="right" w:pos="5760"/>
        </w:tabs>
        <w:ind w:left="426"/>
        <w:rPr>
          <w:rFonts w:ascii="Arial" w:hAnsi="Arial" w:cs="Arial"/>
          <w:b/>
          <w:caps/>
          <w:sz w:val="22"/>
          <w:szCs w:val="22"/>
        </w:rPr>
      </w:pPr>
      <w:r w:rsidRPr="005B6F05">
        <w:rPr>
          <w:rFonts w:ascii="Arial" w:hAnsi="Arial" w:cs="Arial"/>
          <w:b/>
          <w:caps/>
          <w:sz w:val="22"/>
          <w:szCs w:val="22"/>
        </w:rPr>
        <w:t>ADJUSTMENTS BETWEEN ACCOUNTING BASIS AND FUNDING BASIS UNDER REGULATION</w:t>
      </w:r>
    </w:p>
    <w:p w14:paraId="07F0D4A5" w14:textId="77777777" w:rsidR="003B74DA" w:rsidRPr="00262AAF" w:rsidRDefault="003B74DA" w:rsidP="003B74DA">
      <w:pPr>
        <w:tabs>
          <w:tab w:val="right" w:pos="5760"/>
        </w:tabs>
        <w:rPr>
          <w:rFonts w:ascii="Arial" w:hAnsi="Arial" w:cs="Arial"/>
          <w:b/>
          <w:caps/>
          <w:sz w:val="22"/>
          <w:szCs w:val="22"/>
          <w:highlight w:val="yellow"/>
        </w:rPr>
      </w:pPr>
    </w:p>
    <w:p w14:paraId="3D1A7384" w14:textId="77777777" w:rsidR="003B74DA" w:rsidRPr="005B6F05" w:rsidRDefault="003B74DA" w:rsidP="003B74DA">
      <w:pPr>
        <w:ind w:left="426" w:right="-331"/>
        <w:jc w:val="both"/>
        <w:rPr>
          <w:rFonts w:ascii="Arial" w:hAnsi="Arial" w:cs="Arial"/>
          <w:sz w:val="22"/>
          <w:szCs w:val="22"/>
        </w:rPr>
      </w:pPr>
      <w:r w:rsidRPr="005B6F05">
        <w:rPr>
          <w:rFonts w:ascii="Arial" w:hAnsi="Arial" w:cs="Arial"/>
          <w:sz w:val="22"/>
          <w:szCs w:val="22"/>
        </w:rPr>
        <w:t xml:space="preserve">This note details the adjustments that are made to the total comprehensive income and expenditure recognised by the PCC in the year in accordance with proper accounting practice to arrive at the resources that are specified by statutory provisions as being available to the PCC to meet future capital and revenue expenditure. The following sets out a description of the reserves that the adjustments are made against. </w:t>
      </w:r>
    </w:p>
    <w:p w14:paraId="74DEE88D" w14:textId="28D14AD5" w:rsidR="004302AC" w:rsidRDefault="004302AC">
      <w:pPr>
        <w:rPr>
          <w:rFonts w:ascii="Arial" w:hAnsi="Arial" w:cs="Arial"/>
          <w:sz w:val="22"/>
          <w:szCs w:val="22"/>
        </w:rPr>
      </w:pPr>
    </w:p>
    <w:p w14:paraId="1ADC2DD4" w14:textId="123420E7" w:rsidR="003B74DA" w:rsidRPr="005B6F05" w:rsidRDefault="003B74DA" w:rsidP="003B74DA">
      <w:pPr>
        <w:ind w:left="426" w:right="-331"/>
        <w:jc w:val="both"/>
        <w:rPr>
          <w:rFonts w:ascii="Arial" w:hAnsi="Arial" w:cs="Arial"/>
          <w:sz w:val="22"/>
          <w:szCs w:val="22"/>
        </w:rPr>
      </w:pPr>
      <w:r w:rsidRPr="005B6F05">
        <w:rPr>
          <w:rFonts w:ascii="Arial" w:hAnsi="Arial" w:cs="Arial"/>
          <w:sz w:val="22"/>
          <w:szCs w:val="22"/>
        </w:rPr>
        <w:t>GENERAL FUND BALANCE</w:t>
      </w:r>
    </w:p>
    <w:p w14:paraId="0BD6D05F" w14:textId="77777777" w:rsidR="003B74DA" w:rsidRPr="005B6F05" w:rsidRDefault="003B74DA" w:rsidP="003B74DA">
      <w:pPr>
        <w:ind w:left="426" w:right="-331"/>
        <w:jc w:val="both"/>
        <w:rPr>
          <w:rFonts w:ascii="Arial" w:hAnsi="Arial" w:cs="Arial"/>
          <w:sz w:val="22"/>
          <w:szCs w:val="22"/>
        </w:rPr>
      </w:pPr>
    </w:p>
    <w:p w14:paraId="4B048263" w14:textId="77777777" w:rsidR="003B74DA" w:rsidRPr="005B6F05" w:rsidRDefault="003B74DA" w:rsidP="003B74DA">
      <w:pPr>
        <w:ind w:left="426" w:right="-331"/>
        <w:jc w:val="both"/>
        <w:rPr>
          <w:rFonts w:ascii="Arial" w:hAnsi="Arial" w:cs="Arial"/>
          <w:sz w:val="22"/>
          <w:szCs w:val="22"/>
        </w:rPr>
      </w:pPr>
      <w:r w:rsidRPr="005B6F05">
        <w:rPr>
          <w:rFonts w:ascii="Arial" w:hAnsi="Arial" w:cs="Arial"/>
          <w:sz w:val="22"/>
          <w:szCs w:val="22"/>
        </w:rPr>
        <w:t>The Police General Fund Balance is the statutory fund into which all receipts are required to be paid and out of which all liabilities are to be met, except to the extent that statutory rules might provide otherwise. These rules can also specify the financial year in which liabilities and payments should impact on the General Fund Balance, which is not necessarily in accordance with proper accounting practice. The General Fund Balance therefore summarises the resources that the PCC is statutorily empowered to spend on his services or on capital investment at the end of the financial year.</w:t>
      </w:r>
    </w:p>
    <w:p w14:paraId="070ADA73" w14:textId="77777777" w:rsidR="003B74DA" w:rsidRPr="005B6F05" w:rsidRDefault="003B74DA" w:rsidP="003B74DA">
      <w:pPr>
        <w:ind w:left="426" w:right="-331"/>
        <w:jc w:val="both"/>
        <w:rPr>
          <w:rFonts w:ascii="Arial" w:hAnsi="Arial" w:cs="Arial"/>
          <w:sz w:val="22"/>
          <w:szCs w:val="22"/>
        </w:rPr>
      </w:pPr>
    </w:p>
    <w:p w14:paraId="466B1005" w14:textId="77777777" w:rsidR="003B74DA" w:rsidRPr="005B6F05" w:rsidRDefault="003B74DA" w:rsidP="003B74DA">
      <w:pPr>
        <w:ind w:left="426" w:right="-331"/>
        <w:jc w:val="both"/>
        <w:rPr>
          <w:rFonts w:ascii="Arial" w:hAnsi="Arial" w:cs="Arial"/>
          <w:sz w:val="22"/>
          <w:szCs w:val="22"/>
        </w:rPr>
      </w:pPr>
      <w:r w:rsidRPr="005B6F05">
        <w:rPr>
          <w:rFonts w:ascii="Arial" w:hAnsi="Arial" w:cs="Arial"/>
          <w:sz w:val="22"/>
          <w:szCs w:val="22"/>
        </w:rPr>
        <w:t>CAPITAL RECEIPTS RESERVE</w:t>
      </w:r>
    </w:p>
    <w:p w14:paraId="14526A08" w14:textId="77777777" w:rsidR="003B74DA" w:rsidRPr="005B6F05" w:rsidRDefault="003B74DA" w:rsidP="003B74DA">
      <w:pPr>
        <w:ind w:left="426" w:right="-331"/>
        <w:jc w:val="both"/>
        <w:rPr>
          <w:rFonts w:ascii="Arial" w:hAnsi="Arial" w:cs="Arial"/>
          <w:sz w:val="22"/>
          <w:szCs w:val="22"/>
        </w:rPr>
      </w:pPr>
    </w:p>
    <w:p w14:paraId="38BA830F" w14:textId="77777777" w:rsidR="003B74DA" w:rsidRPr="005B6F05" w:rsidRDefault="003B74DA" w:rsidP="003B74DA">
      <w:pPr>
        <w:ind w:left="426" w:right="-331"/>
        <w:jc w:val="both"/>
        <w:rPr>
          <w:rFonts w:ascii="Arial" w:hAnsi="Arial" w:cs="Arial"/>
          <w:sz w:val="22"/>
          <w:szCs w:val="22"/>
        </w:rPr>
      </w:pPr>
      <w:r w:rsidRPr="005B6F05">
        <w:rPr>
          <w:rFonts w:ascii="Arial" w:hAnsi="Arial" w:cs="Arial"/>
          <w:sz w:val="22"/>
          <w:szCs w:val="22"/>
        </w:rPr>
        <w:t>The Capital Receipts Reserve holds the proceeds from the disposal of land or other assets, which are restricted by statute from being used other than to fund new capital expenditure or to be set aside to finance historical capital expenditure. The balance on the reserve shows the resources that have yet to be applied for these purposes at year-end.</w:t>
      </w:r>
    </w:p>
    <w:p w14:paraId="66429B3B" w14:textId="77777777" w:rsidR="003B74DA" w:rsidRPr="005B6F05" w:rsidRDefault="003B74DA" w:rsidP="003B74DA">
      <w:pPr>
        <w:ind w:left="426" w:right="-331"/>
        <w:jc w:val="both"/>
        <w:rPr>
          <w:rFonts w:ascii="Arial" w:hAnsi="Arial" w:cs="Arial"/>
          <w:sz w:val="22"/>
          <w:szCs w:val="22"/>
        </w:rPr>
      </w:pPr>
    </w:p>
    <w:p w14:paraId="244A1CE6" w14:textId="77777777" w:rsidR="003B74DA" w:rsidRPr="005B6F05" w:rsidRDefault="003B74DA" w:rsidP="003B74DA">
      <w:pPr>
        <w:ind w:left="426" w:right="-331"/>
        <w:jc w:val="both"/>
        <w:rPr>
          <w:rFonts w:ascii="Arial" w:hAnsi="Arial" w:cs="Arial"/>
          <w:sz w:val="22"/>
          <w:szCs w:val="22"/>
        </w:rPr>
      </w:pPr>
      <w:r w:rsidRPr="005B6F05">
        <w:rPr>
          <w:rFonts w:ascii="Arial" w:hAnsi="Arial" w:cs="Arial"/>
          <w:sz w:val="22"/>
          <w:szCs w:val="22"/>
        </w:rPr>
        <w:t>CAPITAL GRANTS UNAPPLIED</w:t>
      </w:r>
    </w:p>
    <w:p w14:paraId="4A435DB3" w14:textId="77777777" w:rsidR="003B74DA" w:rsidRPr="005B6F05" w:rsidRDefault="003B74DA" w:rsidP="003B74DA">
      <w:pPr>
        <w:ind w:left="426" w:right="-331"/>
        <w:jc w:val="both"/>
        <w:rPr>
          <w:rFonts w:ascii="Arial" w:hAnsi="Arial" w:cs="Arial"/>
          <w:sz w:val="22"/>
          <w:szCs w:val="22"/>
        </w:rPr>
      </w:pPr>
    </w:p>
    <w:p w14:paraId="156E7412" w14:textId="0B59CF55" w:rsidR="003B74DA" w:rsidRDefault="003B74DA" w:rsidP="003B74DA">
      <w:pPr>
        <w:ind w:left="426" w:right="-331"/>
        <w:jc w:val="both"/>
        <w:rPr>
          <w:rFonts w:ascii="Arial" w:hAnsi="Arial" w:cs="Arial"/>
          <w:sz w:val="22"/>
          <w:szCs w:val="22"/>
        </w:rPr>
      </w:pPr>
      <w:r w:rsidRPr="005B6F05">
        <w:rPr>
          <w:rFonts w:ascii="Arial" w:hAnsi="Arial" w:cs="Arial"/>
          <w:sz w:val="22"/>
          <w:szCs w:val="22"/>
        </w:rPr>
        <w:t xml:space="preserve">The Capital Grants Unapplied Reserve holds the grants and contributions received towards capital projects for which the conditions have been met that would otherwise require the repayment of the </w:t>
      </w:r>
      <w:r w:rsidR="00105039" w:rsidRPr="005B6F05">
        <w:rPr>
          <w:rFonts w:ascii="Arial" w:hAnsi="Arial" w:cs="Arial"/>
          <w:sz w:val="22"/>
          <w:szCs w:val="22"/>
        </w:rPr>
        <w:t>monies,</w:t>
      </w:r>
      <w:r w:rsidRPr="005B6F05">
        <w:rPr>
          <w:rFonts w:ascii="Arial" w:hAnsi="Arial" w:cs="Arial"/>
          <w:sz w:val="22"/>
          <w:szCs w:val="22"/>
        </w:rPr>
        <w:t xml:space="preserve"> but which have yet to be applied to meet expenditure. The balance is restricted by grant terms as to the capital expenditure against which it can be applied and/or the financial year in which this can take place</w:t>
      </w:r>
    </w:p>
    <w:p w14:paraId="49679A6D" w14:textId="77777777" w:rsidR="003B74DA" w:rsidRDefault="003B74DA" w:rsidP="003B74DA">
      <w:pPr>
        <w:rPr>
          <w:rFonts w:ascii="Arial" w:hAnsi="Arial" w:cs="Arial"/>
          <w:sz w:val="22"/>
          <w:szCs w:val="22"/>
        </w:rPr>
      </w:pPr>
      <w:r>
        <w:rPr>
          <w:rFonts w:ascii="Arial" w:hAnsi="Arial" w:cs="Arial"/>
          <w:sz w:val="22"/>
          <w:szCs w:val="22"/>
        </w:rPr>
        <w:br w:type="page"/>
      </w:r>
    </w:p>
    <w:p w14:paraId="269C10CE" w14:textId="77777777" w:rsidR="003B74DA" w:rsidRDefault="003B74DA" w:rsidP="003B74DA">
      <w:pPr>
        <w:tabs>
          <w:tab w:val="right" w:pos="5760"/>
        </w:tabs>
        <w:rPr>
          <w:rFonts w:ascii="Arial" w:hAnsi="Arial" w:cs="Arial"/>
          <w:b/>
          <w:caps/>
          <w:sz w:val="22"/>
          <w:szCs w:val="22"/>
        </w:rPr>
      </w:pPr>
    </w:p>
    <w:p w14:paraId="4A62B124" w14:textId="12CA83AA" w:rsidR="00C00782" w:rsidRDefault="00C37E7F" w:rsidP="003B74DA">
      <w:pPr>
        <w:tabs>
          <w:tab w:val="right" w:pos="5760"/>
        </w:tabs>
        <w:rPr>
          <w:rFonts w:ascii="Arial" w:hAnsi="Arial" w:cs="Arial"/>
          <w:b/>
          <w:caps/>
          <w:sz w:val="22"/>
          <w:szCs w:val="22"/>
        </w:rPr>
      </w:pPr>
      <w:r>
        <w:rPr>
          <w:rFonts w:ascii="Arial" w:hAnsi="Arial" w:cs="Arial"/>
          <w:b/>
          <w:caps/>
          <w:sz w:val="22"/>
          <w:szCs w:val="22"/>
        </w:rPr>
        <w:t>2024/25</w:t>
      </w:r>
    </w:p>
    <w:p w14:paraId="174286DD" w14:textId="7A43DC61" w:rsidR="006B0EA2" w:rsidRDefault="006B0EA2" w:rsidP="003B74DA">
      <w:pPr>
        <w:tabs>
          <w:tab w:val="right" w:pos="5760"/>
        </w:tabs>
      </w:pPr>
    </w:p>
    <w:tbl>
      <w:tblPr>
        <w:tblW w:w="10500" w:type="dxa"/>
        <w:tblCellMar>
          <w:top w:w="15" w:type="dxa"/>
          <w:bottom w:w="15" w:type="dxa"/>
        </w:tblCellMar>
        <w:tblLook w:val="04A0" w:firstRow="1" w:lastRow="0" w:firstColumn="1" w:lastColumn="0" w:noHBand="0" w:noVBand="1"/>
      </w:tblPr>
      <w:tblGrid>
        <w:gridCol w:w="6360"/>
        <w:gridCol w:w="1600"/>
        <w:gridCol w:w="1300"/>
        <w:gridCol w:w="1240"/>
      </w:tblGrid>
      <w:tr w:rsidR="00307457" w:rsidRPr="00307457" w14:paraId="3744BDCF" w14:textId="77777777" w:rsidTr="00307457">
        <w:trPr>
          <w:trHeight w:val="300"/>
        </w:trPr>
        <w:tc>
          <w:tcPr>
            <w:tcW w:w="6360" w:type="dxa"/>
            <w:tcBorders>
              <w:top w:val="single" w:sz="4" w:space="0" w:color="auto"/>
              <w:left w:val="single" w:sz="4" w:space="0" w:color="auto"/>
              <w:bottom w:val="nil"/>
              <w:right w:val="nil"/>
            </w:tcBorders>
            <w:vAlign w:val="center"/>
            <w:hideMark/>
          </w:tcPr>
          <w:p w14:paraId="2F22C0B1" w14:textId="77777777" w:rsidR="00307457" w:rsidRPr="00307457" w:rsidRDefault="00307457" w:rsidP="00307457">
            <w:pPr>
              <w:rPr>
                <w:sz w:val="24"/>
                <w:szCs w:val="24"/>
              </w:rPr>
            </w:pPr>
          </w:p>
        </w:tc>
        <w:tc>
          <w:tcPr>
            <w:tcW w:w="4140" w:type="dxa"/>
            <w:gridSpan w:val="3"/>
            <w:tcBorders>
              <w:top w:val="single" w:sz="4" w:space="0" w:color="auto"/>
              <w:left w:val="nil"/>
              <w:bottom w:val="nil"/>
              <w:right w:val="single" w:sz="4" w:space="0" w:color="auto"/>
            </w:tcBorders>
            <w:vAlign w:val="center"/>
            <w:hideMark/>
          </w:tcPr>
          <w:p w14:paraId="63470982" w14:textId="77777777" w:rsidR="00307457" w:rsidRPr="00307457" w:rsidRDefault="00307457" w:rsidP="00307457">
            <w:pPr>
              <w:jc w:val="center"/>
              <w:rPr>
                <w:rFonts w:ascii="Arial" w:hAnsi="Arial" w:cs="Arial"/>
                <w:b/>
                <w:bCs/>
                <w:color w:val="000000"/>
              </w:rPr>
            </w:pPr>
            <w:r w:rsidRPr="00307457">
              <w:rPr>
                <w:rFonts w:ascii="Arial" w:hAnsi="Arial" w:cs="Arial"/>
                <w:b/>
                <w:bCs/>
                <w:color w:val="000000"/>
              </w:rPr>
              <w:t>Usable Reserves</w:t>
            </w:r>
          </w:p>
        </w:tc>
      </w:tr>
      <w:tr w:rsidR="00307457" w:rsidRPr="00307457" w14:paraId="581BBD1D" w14:textId="77777777" w:rsidTr="00307457">
        <w:trPr>
          <w:trHeight w:val="720"/>
        </w:trPr>
        <w:tc>
          <w:tcPr>
            <w:tcW w:w="6360" w:type="dxa"/>
            <w:tcBorders>
              <w:top w:val="nil"/>
              <w:left w:val="single" w:sz="4" w:space="0" w:color="auto"/>
              <w:bottom w:val="nil"/>
              <w:right w:val="nil"/>
            </w:tcBorders>
            <w:vAlign w:val="center"/>
            <w:hideMark/>
          </w:tcPr>
          <w:p w14:paraId="63327228" w14:textId="77777777" w:rsidR="00307457" w:rsidRPr="00307457" w:rsidRDefault="00307457" w:rsidP="00307457">
            <w:pPr>
              <w:rPr>
                <w:rFonts w:ascii="Arial" w:hAnsi="Arial" w:cs="Arial"/>
                <w:b/>
                <w:bCs/>
                <w:color w:val="000000"/>
              </w:rPr>
            </w:pPr>
            <w:r w:rsidRPr="00307457">
              <w:rPr>
                <w:rFonts w:ascii="Arial" w:hAnsi="Arial" w:cs="Arial"/>
                <w:b/>
                <w:bCs/>
                <w:color w:val="000000"/>
              </w:rPr>
              <w:t>PCC GROUP</w:t>
            </w:r>
          </w:p>
        </w:tc>
        <w:tc>
          <w:tcPr>
            <w:tcW w:w="1600" w:type="dxa"/>
            <w:tcBorders>
              <w:top w:val="nil"/>
              <w:left w:val="nil"/>
              <w:bottom w:val="nil"/>
              <w:right w:val="nil"/>
            </w:tcBorders>
            <w:vAlign w:val="center"/>
            <w:hideMark/>
          </w:tcPr>
          <w:p w14:paraId="21525F12"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General Fund Balance</w:t>
            </w:r>
          </w:p>
        </w:tc>
        <w:tc>
          <w:tcPr>
            <w:tcW w:w="1300" w:type="dxa"/>
            <w:tcBorders>
              <w:top w:val="nil"/>
              <w:left w:val="nil"/>
              <w:bottom w:val="nil"/>
              <w:right w:val="nil"/>
            </w:tcBorders>
            <w:vAlign w:val="center"/>
            <w:hideMark/>
          </w:tcPr>
          <w:p w14:paraId="7015F6A6"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 xml:space="preserve">Capital Receipts Reserve </w:t>
            </w:r>
          </w:p>
        </w:tc>
        <w:tc>
          <w:tcPr>
            <w:tcW w:w="1240" w:type="dxa"/>
            <w:tcBorders>
              <w:top w:val="nil"/>
              <w:left w:val="nil"/>
              <w:bottom w:val="nil"/>
              <w:right w:val="single" w:sz="4" w:space="0" w:color="auto"/>
            </w:tcBorders>
            <w:vAlign w:val="center"/>
            <w:hideMark/>
          </w:tcPr>
          <w:p w14:paraId="15A43897"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Capital Grants Unapplied</w:t>
            </w:r>
          </w:p>
        </w:tc>
      </w:tr>
      <w:tr w:rsidR="00307457" w:rsidRPr="00307457" w14:paraId="51C976BD" w14:textId="77777777" w:rsidTr="00307457">
        <w:trPr>
          <w:trHeight w:val="300"/>
        </w:trPr>
        <w:tc>
          <w:tcPr>
            <w:tcW w:w="6360" w:type="dxa"/>
            <w:tcBorders>
              <w:top w:val="nil"/>
              <w:left w:val="single" w:sz="4" w:space="0" w:color="auto"/>
              <w:bottom w:val="nil"/>
              <w:right w:val="nil"/>
            </w:tcBorders>
            <w:vAlign w:val="center"/>
            <w:hideMark/>
          </w:tcPr>
          <w:p w14:paraId="3B32ED95" w14:textId="77777777" w:rsidR="00307457" w:rsidRPr="00307457" w:rsidRDefault="00307457" w:rsidP="00307457">
            <w:pPr>
              <w:jc w:val="right"/>
              <w:rPr>
                <w:rFonts w:ascii="Arial" w:hAnsi="Arial" w:cs="Arial"/>
                <w:b/>
                <w:bCs/>
                <w:color w:val="000000"/>
              </w:rPr>
            </w:pPr>
          </w:p>
        </w:tc>
        <w:tc>
          <w:tcPr>
            <w:tcW w:w="1600" w:type="dxa"/>
            <w:tcBorders>
              <w:top w:val="nil"/>
              <w:left w:val="nil"/>
              <w:bottom w:val="nil"/>
              <w:right w:val="nil"/>
            </w:tcBorders>
            <w:vAlign w:val="center"/>
            <w:hideMark/>
          </w:tcPr>
          <w:p w14:paraId="2BD1441F"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£000</w:t>
            </w:r>
          </w:p>
        </w:tc>
        <w:tc>
          <w:tcPr>
            <w:tcW w:w="1300" w:type="dxa"/>
            <w:tcBorders>
              <w:top w:val="nil"/>
              <w:left w:val="nil"/>
              <w:bottom w:val="nil"/>
              <w:right w:val="nil"/>
            </w:tcBorders>
            <w:vAlign w:val="center"/>
            <w:hideMark/>
          </w:tcPr>
          <w:p w14:paraId="162F2EAF"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£000</w:t>
            </w:r>
          </w:p>
        </w:tc>
        <w:tc>
          <w:tcPr>
            <w:tcW w:w="1240" w:type="dxa"/>
            <w:tcBorders>
              <w:top w:val="nil"/>
              <w:left w:val="nil"/>
              <w:bottom w:val="nil"/>
              <w:right w:val="single" w:sz="4" w:space="0" w:color="auto"/>
            </w:tcBorders>
            <w:vAlign w:val="center"/>
            <w:hideMark/>
          </w:tcPr>
          <w:p w14:paraId="2B1EA5C0"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£000</w:t>
            </w:r>
          </w:p>
        </w:tc>
      </w:tr>
      <w:tr w:rsidR="00307457" w:rsidRPr="00307457" w14:paraId="26F78A14" w14:textId="77777777" w:rsidTr="00307457">
        <w:trPr>
          <w:trHeight w:val="300"/>
        </w:trPr>
        <w:tc>
          <w:tcPr>
            <w:tcW w:w="6360" w:type="dxa"/>
            <w:tcBorders>
              <w:top w:val="nil"/>
              <w:left w:val="single" w:sz="4" w:space="0" w:color="auto"/>
              <w:bottom w:val="nil"/>
              <w:right w:val="nil"/>
            </w:tcBorders>
            <w:vAlign w:val="center"/>
            <w:hideMark/>
          </w:tcPr>
          <w:p w14:paraId="38DD0F25" w14:textId="77777777" w:rsidR="00307457" w:rsidRPr="00307457" w:rsidRDefault="00307457" w:rsidP="00307457">
            <w:pPr>
              <w:rPr>
                <w:rFonts w:ascii="Arial" w:hAnsi="Arial" w:cs="Arial"/>
                <w:b/>
                <w:bCs/>
                <w:color w:val="000000"/>
              </w:rPr>
            </w:pPr>
            <w:r w:rsidRPr="00307457">
              <w:rPr>
                <w:rFonts w:ascii="Arial" w:hAnsi="Arial" w:cs="Arial"/>
                <w:b/>
                <w:bCs/>
                <w:color w:val="000000"/>
              </w:rPr>
              <w:t>Adjustments to Revenue Resources</w:t>
            </w:r>
          </w:p>
        </w:tc>
        <w:tc>
          <w:tcPr>
            <w:tcW w:w="1600" w:type="dxa"/>
            <w:tcBorders>
              <w:top w:val="nil"/>
              <w:left w:val="nil"/>
              <w:bottom w:val="nil"/>
              <w:right w:val="nil"/>
            </w:tcBorders>
            <w:vAlign w:val="center"/>
            <w:hideMark/>
          </w:tcPr>
          <w:p w14:paraId="139ADA28" w14:textId="77777777" w:rsidR="00307457" w:rsidRPr="00307457" w:rsidRDefault="00307457" w:rsidP="00307457">
            <w:pPr>
              <w:rPr>
                <w:rFonts w:ascii="Arial" w:hAnsi="Arial" w:cs="Arial"/>
                <w:b/>
                <w:bCs/>
                <w:color w:val="000000"/>
              </w:rPr>
            </w:pPr>
          </w:p>
        </w:tc>
        <w:tc>
          <w:tcPr>
            <w:tcW w:w="1300" w:type="dxa"/>
            <w:tcBorders>
              <w:top w:val="nil"/>
              <w:left w:val="nil"/>
              <w:bottom w:val="nil"/>
              <w:right w:val="nil"/>
            </w:tcBorders>
            <w:vAlign w:val="center"/>
            <w:hideMark/>
          </w:tcPr>
          <w:p w14:paraId="36AFF099" w14:textId="77777777" w:rsidR="00307457" w:rsidRPr="00307457" w:rsidRDefault="00307457" w:rsidP="00307457">
            <w:pPr>
              <w:jc w:val="right"/>
            </w:pPr>
          </w:p>
        </w:tc>
        <w:tc>
          <w:tcPr>
            <w:tcW w:w="1240" w:type="dxa"/>
            <w:tcBorders>
              <w:top w:val="nil"/>
              <w:left w:val="nil"/>
              <w:bottom w:val="nil"/>
              <w:right w:val="single" w:sz="4" w:space="0" w:color="auto"/>
            </w:tcBorders>
            <w:vAlign w:val="center"/>
            <w:hideMark/>
          </w:tcPr>
          <w:p w14:paraId="16ADDCAD" w14:textId="77777777" w:rsidR="00307457" w:rsidRPr="00307457" w:rsidRDefault="00307457" w:rsidP="00307457">
            <w:pPr>
              <w:jc w:val="right"/>
            </w:pPr>
          </w:p>
        </w:tc>
      </w:tr>
      <w:tr w:rsidR="00307457" w:rsidRPr="00307457" w14:paraId="34BD36CD" w14:textId="77777777" w:rsidTr="00307457">
        <w:trPr>
          <w:trHeight w:val="900"/>
        </w:trPr>
        <w:tc>
          <w:tcPr>
            <w:tcW w:w="6360" w:type="dxa"/>
            <w:tcBorders>
              <w:top w:val="nil"/>
              <w:left w:val="single" w:sz="4" w:space="0" w:color="auto"/>
              <w:bottom w:val="nil"/>
              <w:right w:val="nil"/>
            </w:tcBorders>
            <w:vAlign w:val="center"/>
            <w:hideMark/>
          </w:tcPr>
          <w:p w14:paraId="0178E1B5" w14:textId="77777777" w:rsidR="00307457" w:rsidRPr="00307457" w:rsidRDefault="00307457" w:rsidP="00307457">
            <w:pPr>
              <w:rPr>
                <w:rFonts w:ascii="Arial" w:hAnsi="Arial" w:cs="Arial"/>
                <w:color w:val="000000"/>
              </w:rPr>
            </w:pPr>
            <w:r w:rsidRPr="00307457">
              <w:rPr>
                <w:rFonts w:ascii="Arial" w:hAnsi="Arial" w:cs="Arial"/>
                <w:color w:val="000000"/>
              </w:rPr>
              <w:t>Amounts by which income and expenditure included in the CIES are different from revenue for the year calculated in accordance with statutory requirements:</w:t>
            </w:r>
          </w:p>
        </w:tc>
        <w:tc>
          <w:tcPr>
            <w:tcW w:w="1600" w:type="dxa"/>
            <w:tcBorders>
              <w:top w:val="nil"/>
              <w:left w:val="nil"/>
              <w:bottom w:val="nil"/>
              <w:right w:val="nil"/>
            </w:tcBorders>
            <w:vAlign w:val="center"/>
            <w:hideMark/>
          </w:tcPr>
          <w:p w14:paraId="15779853" w14:textId="77777777" w:rsidR="00307457" w:rsidRPr="00307457" w:rsidRDefault="00307457" w:rsidP="00307457">
            <w:pPr>
              <w:rPr>
                <w:rFonts w:ascii="Arial" w:hAnsi="Arial" w:cs="Arial"/>
                <w:color w:val="000000"/>
              </w:rPr>
            </w:pPr>
          </w:p>
        </w:tc>
        <w:tc>
          <w:tcPr>
            <w:tcW w:w="1300" w:type="dxa"/>
            <w:tcBorders>
              <w:top w:val="nil"/>
              <w:left w:val="nil"/>
              <w:bottom w:val="nil"/>
              <w:right w:val="nil"/>
            </w:tcBorders>
            <w:vAlign w:val="center"/>
            <w:hideMark/>
          </w:tcPr>
          <w:p w14:paraId="281B6B24" w14:textId="77777777" w:rsidR="00307457" w:rsidRPr="00307457" w:rsidRDefault="00307457" w:rsidP="00307457">
            <w:pPr>
              <w:jc w:val="right"/>
            </w:pPr>
          </w:p>
        </w:tc>
        <w:tc>
          <w:tcPr>
            <w:tcW w:w="1240" w:type="dxa"/>
            <w:tcBorders>
              <w:top w:val="nil"/>
              <w:left w:val="nil"/>
              <w:bottom w:val="nil"/>
              <w:right w:val="single" w:sz="4" w:space="0" w:color="auto"/>
            </w:tcBorders>
            <w:vAlign w:val="center"/>
            <w:hideMark/>
          </w:tcPr>
          <w:p w14:paraId="3EEA11E4" w14:textId="77777777" w:rsidR="00307457" w:rsidRPr="00307457" w:rsidRDefault="00307457" w:rsidP="00307457">
            <w:pPr>
              <w:jc w:val="right"/>
            </w:pPr>
          </w:p>
        </w:tc>
      </w:tr>
      <w:tr w:rsidR="005F0897" w:rsidRPr="00307457" w14:paraId="2A42FFB9" w14:textId="77777777" w:rsidTr="00B27992">
        <w:trPr>
          <w:trHeight w:val="600"/>
        </w:trPr>
        <w:tc>
          <w:tcPr>
            <w:tcW w:w="6360" w:type="dxa"/>
            <w:tcBorders>
              <w:top w:val="nil"/>
              <w:left w:val="single" w:sz="4" w:space="0" w:color="auto"/>
              <w:bottom w:val="nil"/>
              <w:right w:val="nil"/>
            </w:tcBorders>
            <w:vAlign w:val="center"/>
            <w:hideMark/>
          </w:tcPr>
          <w:p w14:paraId="59EC25E5" w14:textId="77777777" w:rsidR="005F0897" w:rsidRPr="00307457" w:rsidRDefault="005F0897" w:rsidP="005F0897">
            <w:pPr>
              <w:ind w:firstLineChars="200" w:firstLine="400"/>
              <w:rPr>
                <w:rFonts w:ascii="Symbol" w:hAnsi="Symbol" w:cs="Calibri"/>
                <w:color w:val="000000"/>
              </w:rPr>
            </w:pPr>
            <w:r w:rsidRPr="00307457">
              <w:rPr>
                <w:rFonts w:ascii="Symbol" w:hAnsi="Symbol" w:cs="Calibri"/>
                <w:color w:val="000000"/>
              </w:rPr>
              <w:t>·</w:t>
            </w:r>
            <w:r w:rsidRPr="00307457">
              <w:rPr>
                <w:color w:val="000000"/>
                <w:sz w:val="14"/>
                <w:szCs w:val="14"/>
              </w:rPr>
              <w:t xml:space="preserve">         </w:t>
            </w:r>
            <w:r w:rsidRPr="00307457">
              <w:rPr>
                <w:rFonts w:ascii="Arial" w:hAnsi="Arial" w:cs="Arial"/>
                <w:color w:val="000000"/>
              </w:rPr>
              <w:t>Pensions costs (transferred to (or from) the Pensions Reserve)</w:t>
            </w:r>
          </w:p>
        </w:tc>
        <w:tc>
          <w:tcPr>
            <w:tcW w:w="1600" w:type="dxa"/>
            <w:tcBorders>
              <w:top w:val="nil"/>
              <w:left w:val="nil"/>
              <w:bottom w:val="nil"/>
              <w:right w:val="nil"/>
            </w:tcBorders>
            <w:vAlign w:val="center"/>
            <w:hideMark/>
          </w:tcPr>
          <w:p w14:paraId="5376B0B6" w14:textId="5A882200" w:rsidR="005F0897" w:rsidRPr="00307457" w:rsidRDefault="005F0897" w:rsidP="005F0897">
            <w:pPr>
              <w:jc w:val="right"/>
              <w:rPr>
                <w:rFonts w:ascii="Arial" w:hAnsi="Arial" w:cs="Arial"/>
                <w:color w:val="000000"/>
              </w:rPr>
            </w:pPr>
            <w:r>
              <w:rPr>
                <w:rFonts w:ascii="Arial" w:hAnsi="Arial" w:cs="Arial"/>
                <w:color w:val="000000"/>
              </w:rPr>
              <w:t>(67,195)</w:t>
            </w:r>
          </w:p>
        </w:tc>
        <w:tc>
          <w:tcPr>
            <w:tcW w:w="1300" w:type="dxa"/>
            <w:tcBorders>
              <w:top w:val="nil"/>
              <w:left w:val="nil"/>
              <w:bottom w:val="nil"/>
              <w:right w:val="nil"/>
            </w:tcBorders>
            <w:vAlign w:val="center"/>
            <w:hideMark/>
          </w:tcPr>
          <w:p w14:paraId="0B660CE3" w14:textId="4D8E73CF" w:rsidR="005F0897" w:rsidRPr="00307457" w:rsidRDefault="005F0897" w:rsidP="005F0897">
            <w:pPr>
              <w:jc w:val="right"/>
              <w:rPr>
                <w:rFonts w:ascii="Arial" w:hAnsi="Arial" w:cs="Arial"/>
                <w:color w:val="000000"/>
              </w:rPr>
            </w:pPr>
            <w:r>
              <w:rPr>
                <w:rFonts w:ascii="Arial" w:hAnsi="Arial" w:cs="Arial"/>
                <w:color w:val="000000"/>
              </w:rPr>
              <w:t>0</w:t>
            </w:r>
          </w:p>
        </w:tc>
        <w:tc>
          <w:tcPr>
            <w:tcW w:w="1240" w:type="dxa"/>
            <w:tcBorders>
              <w:top w:val="nil"/>
              <w:left w:val="nil"/>
              <w:bottom w:val="nil"/>
              <w:right w:val="single" w:sz="8" w:space="0" w:color="auto"/>
            </w:tcBorders>
            <w:vAlign w:val="center"/>
            <w:hideMark/>
          </w:tcPr>
          <w:p w14:paraId="650920FA" w14:textId="596A6438" w:rsidR="005F0897" w:rsidRPr="00307457" w:rsidRDefault="005F0897" w:rsidP="005F0897">
            <w:pPr>
              <w:jc w:val="right"/>
              <w:rPr>
                <w:rFonts w:ascii="Arial" w:hAnsi="Arial" w:cs="Arial"/>
                <w:color w:val="000000"/>
              </w:rPr>
            </w:pPr>
            <w:r>
              <w:rPr>
                <w:rFonts w:ascii="Arial" w:hAnsi="Arial" w:cs="Arial"/>
                <w:color w:val="000000"/>
              </w:rPr>
              <w:t>0</w:t>
            </w:r>
          </w:p>
        </w:tc>
      </w:tr>
      <w:tr w:rsidR="005F0897" w:rsidRPr="00307457" w14:paraId="7A3965A7" w14:textId="77777777" w:rsidTr="00B27992">
        <w:trPr>
          <w:trHeight w:val="600"/>
        </w:trPr>
        <w:tc>
          <w:tcPr>
            <w:tcW w:w="6360" w:type="dxa"/>
            <w:tcBorders>
              <w:top w:val="nil"/>
              <w:left w:val="single" w:sz="4" w:space="0" w:color="auto"/>
              <w:bottom w:val="nil"/>
              <w:right w:val="nil"/>
            </w:tcBorders>
            <w:vAlign w:val="center"/>
            <w:hideMark/>
          </w:tcPr>
          <w:p w14:paraId="67591B12" w14:textId="77777777" w:rsidR="005F0897" w:rsidRPr="00307457" w:rsidRDefault="005F0897" w:rsidP="005F0897">
            <w:pPr>
              <w:ind w:firstLineChars="200" w:firstLine="400"/>
              <w:rPr>
                <w:rFonts w:ascii="Symbol" w:hAnsi="Symbol" w:cs="Calibri"/>
                <w:color w:val="000000"/>
              </w:rPr>
            </w:pPr>
            <w:r w:rsidRPr="00307457">
              <w:rPr>
                <w:rFonts w:ascii="Symbol" w:hAnsi="Symbol" w:cs="Calibri"/>
                <w:color w:val="000000"/>
              </w:rPr>
              <w:t>·</w:t>
            </w:r>
            <w:r w:rsidRPr="00307457">
              <w:rPr>
                <w:color w:val="000000"/>
                <w:sz w:val="14"/>
                <w:szCs w:val="14"/>
              </w:rPr>
              <w:t xml:space="preserve">         </w:t>
            </w:r>
            <w:r w:rsidRPr="00307457">
              <w:rPr>
                <w:rFonts w:ascii="Arial" w:hAnsi="Arial" w:cs="Arial"/>
                <w:color w:val="000000"/>
              </w:rPr>
              <w:t>Council Tax (transfers to or from the Collection Fund Adjustment Account</w:t>
            </w:r>
            <w:r w:rsidRPr="00307457">
              <w:rPr>
                <w:rFonts w:ascii="Symbol" w:hAnsi="Symbol" w:cs="Calibri"/>
                <w:color w:val="000000"/>
              </w:rPr>
              <w:t>)</w:t>
            </w:r>
          </w:p>
        </w:tc>
        <w:tc>
          <w:tcPr>
            <w:tcW w:w="1600" w:type="dxa"/>
            <w:tcBorders>
              <w:top w:val="nil"/>
              <w:left w:val="nil"/>
              <w:bottom w:val="nil"/>
              <w:right w:val="nil"/>
            </w:tcBorders>
            <w:vAlign w:val="center"/>
            <w:hideMark/>
          </w:tcPr>
          <w:p w14:paraId="60706A96" w14:textId="75C36216" w:rsidR="005F0897" w:rsidRPr="00307457" w:rsidRDefault="005F0897" w:rsidP="005F0897">
            <w:pPr>
              <w:jc w:val="right"/>
              <w:rPr>
                <w:rFonts w:ascii="Arial" w:hAnsi="Arial" w:cs="Arial"/>
                <w:color w:val="000000"/>
              </w:rPr>
            </w:pPr>
            <w:r>
              <w:rPr>
                <w:rFonts w:ascii="Arial" w:hAnsi="Arial" w:cs="Arial"/>
                <w:color w:val="000000"/>
              </w:rPr>
              <w:t>1,546</w:t>
            </w:r>
          </w:p>
        </w:tc>
        <w:tc>
          <w:tcPr>
            <w:tcW w:w="1300" w:type="dxa"/>
            <w:tcBorders>
              <w:top w:val="nil"/>
              <w:left w:val="nil"/>
              <w:bottom w:val="nil"/>
              <w:right w:val="nil"/>
            </w:tcBorders>
            <w:vAlign w:val="center"/>
            <w:hideMark/>
          </w:tcPr>
          <w:p w14:paraId="53B5EFA8" w14:textId="2FBC15E5" w:rsidR="005F0897" w:rsidRPr="00307457" w:rsidRDefault="005F0897" w:rsidP="005F0897">
            <w:pPr>
              <w:jc w:val="right"/>
              <w:rPr>
                <w:rFonts w:ascii="Arial" w:hAnsi="Arial" w:cs="Arial"/>
                <w:color w:val="000000"/>
              </w:rPr>
            </w:pPr>
            <w:r>
              <w:rPr>
                <w:rFonts w:ascii="Arial" w:hAnsi="Arial" w:cs="Arial"/>
                <w:color w:val="000000"/>
              </w:rPr>
              <w:t>0</w:t>
            </w:r>
          </w:p>
        </w:tc>
        <w:tc>
          <w:tcPr>
            <w:tcW w:w="1240" w:type="dxa"/>
            <w:tcBorders>
              <w:top w:val="nil"/>
              <w:left w:val="nil"/>
              <w:bottom w:val="nil"/>
              <w:right w:val="single" w:sz="8" w:space="0" w:color="auto"/>
            </w:tcBorders>
            <w:vAlign w:val="center"/>
            <w:hideMark/>
          </w:tcPr>
          <w:p w14:paraId="05B7E0D8" w14:textId="79EEA109" w:rsidR="005F0897" w:rsidRPr="00307457" w:rsidRDefault="005F0897" w:rsidP="005F0897">
            <w:pPr>
              <w:jc w:val="right"/>
              <w:rPr>
                <w:rFonts w:ascii="Arial" w:hAnsi="Arial" w:cs="Arial"/>
                <w:color w:val="000000"/>
              </w:rPr>
            </w:pPr>
            <w:r>
              <w:rPr>
                <w:rFonts w:ascii="Arial" w:hAnsi="Arial" w:cs="Arial"/>
                <w:color w:val="000000"/>
              </w:rPr>
              <w:t>0</w:t>
            </w:r>
          </w:p>
        </w:tc>
      </w:tr>
      <w:tr w:rsidR="005F0897" w:rsidRPr="00307457" w14:paraId="3DC9EDCB" w14:textId="77777777" w:rsidTr="00B27992">
        <w:trPr>
          <w:trHeight w:val="600"/>
        </w:trPr>
        <w:tc>
          <w:tcPr>
            <w:tcW w:w="6360" w:type="dxa"/>
            <w:tcBorders>
              <w:top w:val="nil"/>
              <w:left w:val="single" w:sz="4" w:space="0" w:color="auto"/>
              <w:bottom w:val="nil"/>
              <w:right w:val="nil"/>
            </w:tcBorders>
            <w:vAlign w:val="center"/>
            <w:hideMark/>
          </w:tcPr>
          <w:p w14:paraId="06FDB7CD" w14:textId="77777777" w:rsidR="005F0897" w:rsidRPr="00307457" w:rsidRDefault="005F0897" w:rsidP="005F0897">
            <w:pPr>
              <w:ind w:firstLineChars="200" w:firstLine="400"/>
              <w:rPr>
                <w:rFonts w:ascii="Symbol" w:hAnsi="Symbol" w:cs="Calibri"/>
                <w:color w:val="000000"/>
              </w:rPr>
            </w:pPr>
            <w:r w:rsidRPr="00307457">
              <w:rPr>
                <w:rFonts w:ascii="Symbol" w:hAnsi="Symbol" w:cs="Calibri"/>
                <w:color w:val="000000"/>
              </w:rPr>
              <w:t>·</w:t>
            </w:r>
            <w:r w:rsidRPr="00307457">
              <w:rPr>
                <w:color w:val="000000"/>
                <w:sz w:val="14"/>
                <w:szCs w:val="14"/>
              </w:rPr>
              <w:t xml:space="preserve">         </w:t>
            </w:r>
            <w:r w:rsidRPr="00307457">
              <w:rPr>
                <w:rFonts w:ascii="Arial" w:hAnsi="Arial" w:cs="Arial"/>
                <w:color w:val="000000"/>
              </w:rPr>
              <w:t>Untaken leave and Time Off in Lieu (transferred to the Accumulated Absences Account</w:t>
            </w:r>
            <w:r w:rsidRPr="00307457">
              <w:rPr>
                <w:rFonts w:ascii="Symbol" w:hAnsi="Symbol" w:cs="Calibri"/>
                <w:color w:val="000000"/>
              </w:rPr>
              <w:t>)</w:t>
            </w:r>
          </w:p>
        </w:tc>
        <w:tc>
          <w:tcPr>
            <w:tcW w:w="1600" w:type="dxa"/>
            <w:tcBorders>
              <w:top w:val="nil"/>
              <w:left w:val="nil"/>
              <w:bottom w:val="nil"/>
              <w:right w:val="nil"/>
            </w:tcBorders>
            <w:vAlign w:val="center"/>
            <w:hideMark/>
          </w:tcPr>
          <w:p w14:paraId="4E80D7F6" w14:textId="187CD504" w:rsidR="005F0897" w:rsidRPr="00307457" w:rsidRDefault="005F0897" w:rsidP="005F0897">
            <w:pPr>
              <w:jc w:val="right"/>
              <w:rPr>
                <w:rFonts w:ascii="Arial" w:hAnsi="Arial" w:cs="Arial"/>
                <w:color w:val="000000"/>
              </w:rPr>
            </w:pPr>
            <w:r>
              <w:rPr>
                <w:rFonts w:ascii="Arial" w:hAnsi="Arial" w:cs="Arial"/>
                <w:color w:val="000000"/>
              </w:rPr>
              <w:t>1,460</w:t>
            </w:r>
          </w:p>
        </w:tc>
        <w:tc>
          <w:tcPr>
            <w:tcW w:w="1300" w:type="dxa"/>
            <w:tcBorders>
              <w:top w:val="nil"/>
              <w:left w:val="nil"/>
              <w:bottom w:val="nil"/>
              <w:right w:val="nil"/>
            </w:tcBorders>
            <w:vAlign w:val="center"/>
            <w:hideMark/>
          </w:tcPr>
          <w:p w14:paraId="3FE9E3D1" w14:textId="36C7F2AD" w:rsidR="005F0897" w:rsidRPr="00307457" w:rsidRDefault="005F0897" w:rsidP="005F0897">
            <w:pPr>
              <w:jc w:val="right"/>
              <w:rPr>
                <w:rFonts w:ascii="Arial" w:hAnsi="Arial" w:cs="Arial"/>
                <w:color w:val="000000"/>
              </w:rPr>
            </w:pPr>
            <w:r>
              <w:rPr>
                <w:rFonts w:ascii="Arial" w:hAnsi="Arial" w:cs="Arial"/>
                <w:color w:val="000000"/>
              </w:rPr>
              <w:t>0</w:t>
            </w:r>
          </w:p>
        </w:tc>
        <w:tc>
          <w:tcPr>
            <w:tcW w:w="1240" w:type="dxa"/>
            <w:tcBorders>
              <w:top w:val="nil"/>
              <w:left w:val="nil"/>
              <w:bottom w:val="nil"/>
              <w:right w:val="single" w:sz="8" w:space="0" w:color="auto"/>
            </w:tcBorders>
            <w:vAlign w:val="center"/>
            <w:hideMark/>
          </w:tcPr>
          <w:p w14:paraId="0AD58E8A" w14:textId="67FA8519" w:rsidR="005F0897" w:rsidRPr="00307457" w:rsidRDefault="005F0897" w:rsidP="005F0897">
            <w:pPr>
              <w:jc w:val="right"/>
              <w:rPr>
                <w:rFonts w:ascii="Arial" w:hAnsi="Arial" w:cs="Arial"/>
                <w:color w:val="000000"/>
              </w:rPr>
            </w:pPr>
            <w:r>
              <w:rPr>
                <w:rFonts w:ascii="Arial" w:hAnsi="Arial" w:cs="Arial"/>
                <w:color w:val="000000"/>
              </w:rPr>
              <w:t>0</w:t>
            </w:r>
          </w:p>
        </w:tc>
      </w:tr>
      <w:tr w:rsidR="005F0897" w:rsidRPr="00307457" w14:paraId="3EE083AF" w14:textId="77777777" w:rsidTr="00B27992">
        <w:trPr>
          <w:trHeight w:val="900"/>
        </w:trPr>
        <w:tc>
          <w:tcPr>
            <w:tcW w:w="6360" w:type="dxa"/>
            <w:tcBorders>
              <w:top w:val="nil"/>
              <w:left w:val="single" w:sz="4" w:space="0" w:color="auto"/>
              <w:bottom w:val="nil"/>
              <w:right w:val="nil"/>
            </w:tcBorders>
            <w:vAlign w:val="center"/>
            <w:hideMark/>
          </w:tcPr>
          <w:p w14:paraId="06B45E4A" w14:textId="77777777" w:rsidR="005F0897" w:rsidRPr="00307457" w:rsidRDefault="005F0897" w:rsidP="005F0897">
            <w:pPr>
              <w:ind w:firstLineChars="200" w:firstLine="400"/>
              <w:rPr>
                <w:rFonts w:ascii="Symbol" w:hAnsi="Symbol" w:cs="Calibri"/>
                <w:color w:val="000000"/>
              </w:rPr>
            </w:pPr>
            <w:r w:rsidRPr="00307457">
              <w:rPr>
                <w:rFonts w:ascii="Symbol" w:hAnsi="Symbol" w:cs="Calibri"/>
                <w:color w:val="000000"/>
              </w:rPr>
              <w:t>·</w:t>
            </w:r>
            <w:r w:rsidRPr="00307457">
              <w:rPr>
                <w:color w:val="000000"/>
                <w:sz w:val="14"/>
                <w:szCs w:val="14"/>
              </w:rPr>
              <w:t xml:space="preserve">         </w:t>
            </w:r>
            <w:r w:rsidRPr="00307457">
              <w:rPr>
                <w:rFonts w:ascii="Arial" w:hAnsi="Arial" w:cs="Arial"/>
                <w:color w:val="000000"/>
              </w:rPr>
              <w:t>Reversal of entries included in the deficit on provision of services in relation to capital expenditure (these items are charged to the Capital Adjustment Account</w:t>
            </w:r>
            <w:r w:rsidRPr="00307457">
              <w:rPr>
                <w:rFonts w:ascii="Symbol" w:hAnsi="Symbol" w:cs="Calibri"/>
                <w:color w:val="000000"/>
              </w:rPr>
              <w:t>)</w:t>
            </w:r>
          </w:p>
        </w:tc>
        <w:tc>
          <w:tcPr>
            <w:tcW w:w="1600" w:type="dxa"/>
            <w:tcBorders>
              <w:top w:val="nil"/>
              <w:left w:val="nil"/>
              <w:bottom w:val="nil"/>
              <w:right w:val="nil"/>
            </w:tcBorders>
            <w:vAlign w:val="center"/>
            <w:hideMark/>
          </w:tcPr>
          <w:p w14:paraId="5091F2AE" w14:textId="120FAC5E" w:rsidR="005F0897" w:rsidRPr="00307457" w:rsidRDefault="005F0897" w:rsidP="005F0897">
            <w:pPr>
              <w:jc w:val="right"/>
              <w:rPr>
                <w:rFonts w:ascii="Arial" w:hAnsi="Arial" w:cs="Arial"/>
                <w:color w:val="000000"/>
              </w:rPr>
            </w:pPr>
            <w:r>
              <w:rPr>
                <w:rFonts w:ascii="Arial" w:hAnsi="Arial" w:cs="Arial"/>
                <w:color w:val="000000"/>
              </w:rPr>
              <w:t>(22,</w:t>
            </w:r>
            <w:r w:rsidR="006637C3">
              <w:rPr>
                <w:rFonts w:ascii="Arial" w:hAnsi="Arial" w:cs="Arial"/>
                <w:color w:val="000000"/>
              </w:rPr>
              <w:t>377</w:t>
            </w:r>
            <w:r>
              <w:rPr>
                <w:rFonts w:ascii="Arial" w:hAnsi="Arial" w:cs="Arial"/>
                <w:color w:val="000000"/>
              </w:rPr>
              <w:t>)</w:t>
            </w:r>
          </w:p>
        </w:tc>
        <w:tc>
          <w:tcPr>
            <w:tcW w:w="1300" w:type="dxa"/>
            <w:tcBorders>
              <w:top w:val="nil"/>
              <w:left w:val="nil"/>
              <w:bottom w:val="nil"/>
              <w:right w:val="nil"/>
            </w:tcBorders>
            <w:vAlign w:val="center"/>
            <w:hideMark/>
          </w:tcPr>
          <w:p w14:paraId="0A17E717" w14:textId="1B28B979" w:rsidR="005F0897" w:rsidRPr="00307457" w:rsidRDefault="005F0897" w:rsidP="005F0897">
            <w:pPr>
              <w:jc w:val="right"/>
              <w:rPr>
                <w:rFonts w:ascii="Arial" w:hAnsi="Arial" w:cs="Arial"/>
                <w:color w:val="000000"/>
              </w:rPr>
            </w:pPr>
            <w:r>
              <w:rPr>
                <w:rFonts w:ascii="Arial" w:hAnsi="Arial" w:cs="Arial"/>
                <w:color w:val="000000"/>
              </w:rPr>
              <w:t>0</w:t>
            </w:r>
          </w:p>
        </w:tc>
        <w:tc>
          <w:tcPr>
            <w:tcW w:w="1240" w:type="dxa"/>
            <w:tcBorders>
              <w:top w:val="nil"/>
              <w:left w:val="nil"/>
              <w:bottom w:val="nil"/>
              <w:right w:val="single" w:sz="8" w:space="0" w:color="auto"/>
            </w:tcBorders>
            <w:vAlign w:val="center"/>
            <w:hideMark/>
          </w:tcPr>
          <w:p w14:paraId="520903B8" w14:textId="72B6BEEB" w:rsidR="005F0897" w:rsidRPr="00307457" w:rsidRDefault="005F0897" w:rsidP="005F0897">
            <w:pPr>
              <w:jc w:val="right"/>
              <w:rPr>
                <w:rFonts w:ascii="Arial" w:hAnsi="Arial" w:cs="Arial"/>
                <w:color w:val="000000"/>
              </w:rPr>
            </w:pPr>
            <w:r>
              <w:rPr>
                <w:rFonts w:ascii="Arial" w:hAnsi="Arial" w:cs="Arial"/>
                <w:color w:val="000000"/>
              </w:rPr>
              <w:t>0</w:t>
            </w:r>
          </w:p>
        </w:tc>
      </w:tr>
      <w:tr w:rsidR="005F0897" w:rsidRPr="00307457" w14:paraId="63DC6204" w14:textId="77777777">
        <w:trPr>
          <w:trHeight w:val="300"/>
        </w:trPr>
        <w:tc>
          <w:tcPr>
            <w:tcW w:w="6360" w:type="dxa"/>
            <w:tcBorders>
              <w:top w:val="nil"/>
              <w:left w:val="single" w:sz="4" w:space="0" w:color="auto"/>
              <w:bottom w:val="nil"/>
              <w:right w:val="nil"/>
            </w:tcBorders>
            <w:shd w:val="clear" w:color="000000" w:fill="CCCCCC"/>
            <w:vAlign w:val="center"/>
            <w:hideMark/>
          </w:tcPr>
          <w:p w14:paraId="4628A23F" w14:textId="77777777" w:rsidR="005F0897" w:rsidRPr="00307457" w:rsidRDefault="005F0897" w:rsidP="005F0897">
            <w:pPr>
              <w:rPr>
                <w:rFonts w:ascii="Arial" w:hAnsi="Arial" w:cs="Arial"/>
                <w:b/>
                <w:bCs/>
                <w:color w:val="000000"/>
              </w:rPr>
            </w:pPr>
            <w:r w:rsidRPr="00307457">
              <w:rPr>
                <w:rFonts w:ascii="Arial" w:hAnsi="Arial" w:cs="Arial"/>
                <w:b/>
                <w:bCs/>
                <w:color w:val="000000"/>
              </w:rPr>
              <w:t>Total Adjustments to Revenue Resources</w:t>
            </w:r>
          </w:p>
        </w:tc>
        <w:tc>
          <w:tcPr>
            <w:tcW w:w="1600" w:type="dxa"/>
            <w:tcBorders>
              <w:top w:val="nil"/>
              <w:left w:val="nil"/>
              <w:bottom w:val="nil"/>
              <w:right w:val="nil"/>
            </w:tcBorders>
            <w:shd w:val="clear" w:color="000000" w:fill="CCCCCC"/>
            <w:vAlign w:val="center"/>
            <w:hideMark/>
          </w:tcPr>
          <w:p w14:paraId="1FE52447" w14:textId="2E10A890" w:rsidR="005F0897" w:rsidRPr="00307457" w:rsidRDefault="005F0897" w:rsidP="005F0897">
            <w:pPr>
              <w:jc w:val="right"/>
              <w:rPr>
                <w:rFonts w:ascii="Arial" w:hAnsi="Arial" w:cs="Arial"/>
                <w:b/>
                <w:bCs/>
                <w:color w:val="000000"/>
              </w:rPr>
            </w:pPr>
            <w:r>
              <w:rPr>
                <w:rFonts w:ascii="Arial" w:hAnsi="Arial" w:cs="Arial"/>
                <w:b/>
                <w:bCs/>
                <w:color w:val="000000"/>
              </w:rPr>
              <w:t>(86,</w:t>
            </w:r>
            <w:r w:rsidR="006637C3">
              <w:rPr>
                <w:rFonts w:ascii="Arial" w:hAnsi="Arial" w:cs="Arial"/>
                <w:b/>
                <w:bCs/>
                <w:color w:val="000000"/>
              </w:rPr>
              <w:t>565</w:t>
            </w:r>
            <w:r>
              <w:rPr>
                <w:rFonts w:ascii="Arial" w:hAnsi="Arial" w:cs="Arial"/>
                <w:b/>
                <w:bCs/>
                <w:color w:val="000000"/>
              </w:rPr>
              <w:t>)</w:t>
            </w:r>
          </w:p>
        </w:tc>
        <w:tc>
          <w:tcPr>
            <w:tcW w:w="1300" w:type="dxa"/>
            <w:tcBorders>
              <w:top w:val="nil"/>
              <w:left w:val="nil"/>
              <w:bottom w:val="nil"/>
              <w:right w:val="nil"/>
            </w:tcBorders>
            <w:shd w:val="clear" w:color="000000" w:fill="CCCCCC"/>
            <w:vAlign w:val="center"/>
            <w:hideMark/>
          </w:tcPr>
          <w:p w14:paraId="34AD8605" w14:textId="34D11939" w:rsidR="005F0897" w:rsidRPr="00307457" w:rsidRDefault="005F0897" w:rsidP="005F0897">
            <w:pPr>
              <w:jc w:val="right"/>
              <w:rPr>
                <w:rFonts w:ascii="Arial" w:hAnsi="Arial" w:cs="Arial"/>
                <w:b/>
                <w:bCs/>
                <w:color w:val="000000"/>
              </w:rPr>
            </w:pPr>
            <w:r>
              <w:rPr>
                <w:rFonts w:ascii="Arial" w:hAnsi="Arial" w:cs="Arial"/>
                <w:b/>
                <w:bCs/>
                <w:color w:val="000000"/>
              </w:rPr>
              <w:t>0</w:t>
            </w:r>
          </w:p>
        </w:tc>
        <w:tc>
          <w:tcPr>
            <w:tcW w:w="1240" w:type="dxa"/>
            <w:tcBorders>
              <w:top w:val="nil"/>
              <w:left w:val="nil"/>
              <w:bottom w:val="nil"/>
              <w:right w:val="single" w:sz="8" w:space="0" w:color="auto"/>
            </w:tcBorders>
            <w:shd w:val="clear" w:color="000000" w:fill="CCCCCC"/>
            <w:vAlign w:val="center"/>
            <w:hideMark/>
          </w:tcPr>
          <w:p w14:paraId="7FFB3991" w14:textId="1C528DB1" w:rsidR="005F0897" w:rsidRPr="00307457" w:rsidRDefault="005F0897" w:rsidP="005F0897">
            <w:pPr>
              <w:jc w:val="right"/>
              <w:rPr>
                <w:rFonts w:ascii="Arial" w:hAnsi="Arial" w:cs="Arial"/>
                <w:b/>
                <w:bCs/>
                <w:color w:val="000000"/>
              </w:rPr>
            </w:pPr>
            <w:r>
              <w:rPr>
                <w:rFonts w:ascii="Arial" w:hAnsi="Arial" w:cs="Arial"/>
                <w:b/>
                <w:bCs/>
                <w:color w:val="000000"/>
              </w:rPr>
              <w:t>0</w:t>
            </w:r>
          </w:p>
        </w:tc>
      </w:tr>
      <w:tr w:rsidR="005F0897" w:rsidRPr="00307457" w14:paraId="19E2195B" w14:textId="77777777">
        <w:trPr>
          <w:trHeight w:val="300"/>
        </w:trPr>
        <w:tc>
          <w:tcPr>
            <w:tcW w:w="6360" w:type="dxa"/>
            <w:tcBorders>
              <w:top w:val="nil"/>
              <w:left w:val="single" w:sz="4" w:space="0" w:color="auto"/>
              <w:bottom w:val="nil"/>
              <w:right w:val="nil"/>
            </w:tcBorders>
            <w:shd w:val="clear" w:color="000000" w:fill="auto"/>
            <w:vAlign w:val="center"/>
            <w:hideMark/>
          </w:tcPr>
          <w:p w14:paraId="18A9147D" w14:textId="77777777" w:rsidR="005F0897" w:rsidRPr="00307457" w:rsidRDefault="005F0897" w:rsidP="005F0897">
            <w:pPr>
              <w:rPr>
                <w:rFonts w:ascii="Arial" w:hAnsi="Arial" w:cs="Arial"/>
                <w:b/>
                <w:bCs/>
                <w:color w:val="000000"/>
              </w:rPr>
            </w:pPr>
            <w:r w:rsidRPr="00307457">
              <w:rPr>
                <w:rFonts w:ascii="Arial" w:hAnsi="Arial" w:cs="Arial"/>
                <w:b/>
                <w:bCs/>
                <w:color w:val="000000"/>
              </w:rPr>
              <w:t>Adjustments between Revenue and Capital Resources</w:t>
            </w:r>
          </w:p>
        </w:tc>
        <w:tc>
          <w:tcPr>
            <w:tcW w:w="1600" w:type="dxa"/>
            <w:tcBorders>
              <w:top w:val="nil"/>
              <w:left w:val="nil"/>
              <w:bottom w:val="nil"/>
              <w:right w:val="nil"/>
            </w:tcBorders>
            <w:shd w:val="clear" w:color="000000" w:fill="auto"/>
            <w:vAlign w:val="center"/>
            <w:hideMark/>
          </w:tcPr>
          <w:p w14:paraId="2983BB81" w14:textId="77777777" w:rsidR="005F0897" w:rsidRPr="00307457" w:rsidRDefault="005F0897" w:rsidP="005F0897">
            <w:pPr>
              <w:rPr>
                <w:rFonts w:ascii="Arial" w:hAnsi="Arial" w:cs="Arial"/>
                <w:b/>
                <w:bCs/>
                <w:color w:val="000000"/>
              </w:rPr>
            </w:pPr>
          </w:p>
        </w:tc>
        <w:tc>
          <w:tcPr>
            <w:tcW w:w="1300" w:type="dxa"/>
            <w:tcBorders>
              <w:top w:val="nil"/>
              <w:left w:val="nil"/>
              <w:bottom w:val="nil"/>
              <w:right w:val="nil"/>
            </w:tcBorders>
            <w:shd w:val="clear" w:color="000000" w:fill="auto"/>
            <w:vAlign w:val="center"/>
            <w:hideMark/>
          </w:tcPr>
          <w:p w14:paraId="3DBD1144" w14:textId="77777777" w:rsidR="005F0897" w:rsidRPr="00307457" w:rsidRDefault="005F0897" w:rsidP="005F0897">
            <w:pPr>
              <w:jc w:val="right"/>
            </w:pPr>
          </w:p>
        </w:tc>
        <w:tc>
          <w:tcPr>
            <w:tcW w:w="1240" w:type="dxa"/>
            <w:tcBorders>
              <w:top w:val="nil"/>
              <w:left w:val="nil"/>
              <w:bottom w:val="nil"/>
              <w:right w:val="single" w:sz="8" w:space="0" w:color="auto"/>
            </w:tcBorders>
            <w:shd w:val="clear" w:color="000000" w:fill="auto"/>
            <w:vAlign w:val="center"/>
            <w:hideMark/>
          </w:tcPr>
          <w:p w14:paraId="194C2989" w14:textId="26127613" w:rsidR="005F0897" w:rsidRPr="00307457" w:rsidRDefault="005F0897" w:rsidP="005F0897">
            <w:pPr>
              <w:jc w:val="right"/>
            </w:pPr>
            <w:r>
              <w:rPr>
                <w:rFonts w:ascii="Arial" w:hAnsi="Arial" w:cs="Arial"/>
                <w:color w:val="000000"/>
              </w:rPr>
              <w:t> </w:t>
            </w:r>
          </w:p>
        </w:tc>
      </w:tr>
      <w:tr w:rsidR="00521376" w:rsidRPr="00307457" w14:paraId="487407F0" w14:textId="77777777">
        <w:trPr>
          <w:trHeight w:val="600"/>
        </w:trPr>
        <w:tc>
          <w:tcPr>
            <w:tcW w:w="6360" w:type="dxa"/>
            <w:tcBorders>
              <w:top w:val="nil"/>
              <w:left w:val="single" w:sz="4" w:space="0" w:color="auto"/>
              <w:bottom w:val="nil"/>
              <w:right w:val="nil"/>
            </w:tcBorders>
            <w:shd w:val="clear" w:color="000000" w:fill="auto"/>
            <w:vAlign w:val="center"/>
            <w:hideMark/>
          </w:tcPr>
          <w:p w14:paraId="11F36E76" w14:textId="77777777" w:rsidR="00521376" w:rsidRPr="00307457" w:rsidRDefault="00521376" w:rsidP="00521376">
            <w:pPr>
              <w:rPr>
                <w:rFonts w:ascii="Arial" w:hAnsi="Arial" w:cs="Arial"/>
                <w:color w:val="000000"/>
              </w:rPr>
            </w:pPr>
            <w:r w:rsidRPr="00307457">
              <w:rPr>
                <w:rFonts w:ascii="Arial" w:hAnsi="Arial" w:cs="Arial"/>
                <w:color w:val="000000"/>
              </w:rPr>
              <w:t>Transfer of non-current asset sale proceeds from revenue to the Capital Receipts Reserve</w:t>
            </w:r>
          </w:p>
        </w:tc>
        <w:tc>
          <w:tcPr>
            <w:tcW w:w="1600" w:type="dxa"/>
            <w:tcBorders>
              <w:top w:val="nil"/>
              <w:left w:val="nil"/>
              <w:bottom w:val="nil"/>
              <w:right w:val="nil"/>
            </w:tcBorders>
            <w:shd w:val="clear" w:color="000000" w:fill="auto"/>
            <w:vAlign w:val="center"/>
            <w:hideMark/>
          </w:tcPr>
          <w:p w14:paraId="42E15366" w14:textId="609C5741" w:rsidR="00521376" w:rsidRPr="00307457" w:rsidRDefault="00521376" w:rsidP="00521376">
            <w:pPr>
              <w:jc w:val="right"/>
              <w:rPr>
                <w:rFonts w:ascii="Arial" w:hAnsi="Arial" w:cs="Arial"/>
                <w:color w:val="000000"/>
              </w:rPr>
            </w:pPr>
            <w:r>
              <w:rPr>
                <w:rFonts w:ascii="Arial" w:hAnsi="Arial" w:cs="Arial"/>
                <w:color w:val="000000"/>
              </w:rPr>
              <w:t>91</w:t>
            </w:r>
          </w:p>
        </w:tc>
        <w:tc>
          <w:tcPr>
            <w:tcW w:w="1300" w:type="dxa"/>
            <w:tcBorders>
              <w:top w:val="nil"/>
              <w:left w:val="nil"/>
              <w:bottom w:val="nil"/>
              <w:right w:val="nil"/>
            </w:tcBorders>
            <w:shd w:val="clear" w:color="000000" w:fill="auto"/>
            <w:vAlign w:val="center"/>
            <w:hideMark/>
          </w:tcPr>
          <w:p w14:paraId="5949422D" w14:textId="7F08832B" w:rsidR="00521376" w:rsidRPr="00307457" w:rsidRDefault="00521376" w:rsidP="00521376">
            <w:pPr>
              <w:jc w:val="right"/>
              <w:rPr>
                <w:rFonts w:ascii="Arial" w:hAnsi="Arial" w:cs="Arial"/>
                <w:color w:val="000000"/>
              </w:rPr>
            </w:pPr>
            <w:r>
              <w:rPr>
                <w:rFonts w:ascii="Arial" w:hAnsi="Arial" w:cs="Arial"/>
                <w:color w:val="000000"/>
              </w:rPr>
              <w:t>(91)</w:t>
            </w:r>
          </w:p>
        </w:tc>
        <w:tc>
          <w:tcPr>
            <w:tcW w:w="1240" w:type="dxa"/>
            <w:tcBorders>
              <w:top w:val="nil"/>
              <w:left w:val="nil"/>
              <w:bottom w:val="nil"/>
              <w:right w:val="single" w:sz="8" w:space="0" w:color="auto"/>
            </w:tcBorders>
            <w:shd w:val="clear" w:color="000000" w:fill="auto"/>
            <w:vAlign w:val="center"/>
            <w:hideMark/>
          </w:tcPr>
          <w:p w14:paraId="6A7C952E" w14:textId="169961B7" w:rsidR="00521376" w:rsidRPr="00307457" w:rsidRDefault="00521376" w:rsidP="00521376">
            <w:pPr>
              <w:jc w:val="right"/>
              <w:rPr>
                <w:rFonts w:ascii="Arial" w:hAnsi="Arial" w:cs="Arial"/>
                <w:color w:val="000000"/>
              </w:rPr>
            </w:pPr>
            <w:r>
              <w:rPr>
                <w:rFonts w:ascii="Arial" w:hAnsi="Arial" w:cs="Arial"/>
                <w:color w:val="000000"/>
              </w:rPr>
              <w:t>0</w:t>
            </w:r>
          </w:p>
        </w:tc>
      </w:tr>
      <w:tr w:rsidR="00521376" w:rsidRPr="00307457" w14:paraId="36F534FC" w14:textId="77777777">
        <w:trPr>
          <w:trHeight w:val="600"/>
        </w:trPr>
        <w:tc>
          <w:tcPr>
            <w:tcW w:w="6360" w:type="dxa"/>
            <w:tcBorders>
              <w:top w:val="nil"/>
              <w:left w:val="single" w:sz="4" w:space="0" w:color="auto"/>
              <w:bottom w:val="nil"/>
              <w:right w:val="nil"/>
            </w:tcBorders>
            <w:shd w:val="clear" w:color="000000" w:fill="auto"/>
            <w:vAlign w:val="center"/>
            <w:hideMark/>
          </w:tcPr>
          <w:p w14:paraId="26615031" w14:textId="703AE179" w:rsidR="00521376" w:rsidRPr="00307457" w:rsidRDefault="00521376" w:rsidP="00521376">
            <w:pPr>
              <w:rPr>
                <w:rFonts w:ascii="Arial" w:hAnsi="Arial" w:cs="Arial"/>
                <w:color w:val="000000"/>
              </w:rPr>
            </w:pPr>
            <w:r w:rsidRPr="00307457">
              <w:rPr>
                <w:rFonts w:ascii="Arial" w:hAnsi="Arial" w:cs="Arial"/>
                <w:color w:val="000000"/>
              </w:rPr>
              <w:t xml:space="preserve">Statutory provision for the repayment of debt (transfer </w:t>
            </w:r>
            <w:r>
              <w:rPr>
                <w:rFonts w:ascii="Arial" w:hAnsi="Arial" w:cs="Arial"/>
                <w:color w:val="000000"/>
              </w:rPr>
              <w:t>to</w:t>
            </w:r>
            <w:r w:rsidRPr="00307457">
              <w:rPr>
                <w:rFonts w:ascii="Arial" w:hAnsi="Arial" w:cs="Arial"/>
                <w:color w:val="000000"/>
              </w:rPr>
              <w:t xml:space="preserve"> the Capital Adjustment Account)</w:t>
            </w:r>
          </w:p>
        </w:tc>
        <w:tc>
          <w:tcPr>
            <w:tcW w:w="1600" w:type="dxa"/>
            <w:tcBorders>
              <w:top w:val="nil"/>
              <w:left w:val="nil"/>
              <w:bottom w:val="nil"/>
              <w:right w:val="nil"/>
            </w:tcBorders>
            <w:shd w:val="clear" w:color="000000" w:fill="auto"/>
            <w:vAlign w:val="center"/>
            <w:hideMark/>
          </w:tcPr>
          <w:p w14:paraId="7E4E1EA5" w14:textId="600A9D1B" w:rsidR="00521376" w:rsidRPr="00307457" w:rsidRDefault="00521376" w:rsidP="00521376">
            <w:pPr>
              <w:jc w:val="right"/>
              <w:rPr>
                <w:rFonts w:ascii="Arial" w:hAnsi="Arial" w:cs="Arial"/>
                <w:color w:val="000000"/>
              </w:rPr>
            </w:pPr>
            <w:r>
              <w:rPr>
                <w:rFonts w:ascii="Arial" w:hAnsi="Arial" w:cs="Arial"/>
                <w:color w:val="000000"/>
              </w:rPr>
              <w:t>2,</w:t>
            </w:r>
            <w:r w:rsidR="006637C3">
              <w:rPr>
                <w:rFonts w:ascii="Arial" w:hAnsi="Arial" w:cs="Arial"/>
                <w:color w:val="000000"/>
              </w:rPr>
              <w:t>408</w:t>
            </w:r>
          </w:p>
        </w:tc>
        <w:tc>
          <w:tcPr>
            <w:tcW w:w="1300" w:type="dxa"/>
            <w:tcBorders>
              <w:top w:val="nil"/>
              <w:left w:val="nil"/>
              <w:bottom w:val="nil"/>
              <w:right w:val="nil"/>
            </w:tcBorders>
            <w:shd w:val="clear" w:color="000000" w:fill="auto"/>
            <w:vAlign w:val="center"/>
            <w:hideMark/>
          </w:tcPr>
          <w:p w14:paraId="15FA9EA6" w14:textId="31801A73" w:rsidR="00521376" w:rsidRPr="00307457" w:rsidRDefault="00521376" w:rsidP="00521376">
            <w:pPr>
              <w:jc w:val="right"/>
              <w:rPr>
                <w:rFonts w:ascii="Arial" w:hAnsi="Arial" w:cs="Arial"/>
                <w:color w:val="000000"/>
              </w:rPr>
            </w:pPr>
            <w:r>
              <w:rPr>
                <w:rFonts w:ascii="Arial" w:hAnsi="Arial" w:cs="Arial"/>
                <w:color w:val="000000"/>
              </w:rPr>
              <w:t>0</w:t>
            </w:r>
          </w:p>
        </w:tc>
        <w:tc>
          <w:tcPr>
            <w:tcW w:w="1240" w:type="dxa"/>
            <w:tcBorders>
              <w:top w:val="nil"/>
              <w:left w:val="nil"/>
              <w:bottom w:val="nil"/>
              <w:right w:val="single" w:sz="8" w:space="0" w:color="auto"/>
            </w:tcBorders>
            <w:shd w:val="clear" w:color="000000" w:fill="auto"/>
            <w:vAlign w:val="center"/>
            <w:hideMark/>
          </w:tcPr>
          <w:p w14:paraId="4AA4FFC6" w14:textId="43B72168" w:rsidR="00521376" w:rsidRPr="00307457" w:rsidRDefault="00521376" w:rsidP="00521376">
            <w:pPr>
              <w:jc w:val="right"/>
              <w:rPr>
                <w:rFonts w:ascii="Arial" w:hAnsi="Arial" w:cs="Arial"/>
                <w:color w:val="000000"/>
              </w:rPr>
            </w:pPr>
            <w:r>
              <w:rPr>
                <w:rFonts w:ascii="Arial" w:hAnsi="Arial" w:cs="Arial"/>
                <w:color w:val="000000"/>
              </w:rPr>
              <w:t>0</w:t>
            </w:r>
          </w:p>
        </w:tc>
      </w:tr>
      <w:tr w:rsidR="00521376" w:rsidRPr="00307457" w14:paraId="1C48D902" w14:textId="77777777">
        <w:trPr>
          <w:trHeight w:val="600"/>
        </w:trPr>
        <w:tc>
          <w:tcPr>
            <w:tcW w:w="6360" w:type="dxa"/>
            <w:tcBorders>
              <w:top w:val="nil"/>
              <w:left w:val="single" w:sz="4" w:space="0" w:color="auto"/>
              <w:bottom w:val="nil"/>
              <w:right w:val="nil"/>
            </w:tcBorders>
            <w:shd w:val="clear" w:color="000000" w:fill="auto"/>
            <w:vAlign w:val="center"/>
            <w:hideMark/>
          </w:tcPr>
          <w:p w14:paraId="77FE6A28" w14:textId="77777777" w:rsidR="00521376" w:rsidRPr="00307457" w:rsidRDefault="00521376" w:rsidP="00521376">
            <w:pPr>
              <w:rPr>
                <w:rFonts w:ascii="Arial" w:hAnsi="Arial" w:cs="Arial"/>
                <w:color w:val="000000"/>
              </w:rPr>
            </w:pPr>
            <w:r w:rsidRPr="00307457">
              <w:rPr>
                <w:rFonts w:ascii="Arial" w:hAnsi="Arial" w:cs="Arial"/>
                <w:color w:val="000000"/>
              </w:rPr>
              <w:t>Capital expenditure financed from revenue balances (transfer to the Capital Adjustment Account)</w:t>
            </w:r>
          </w:p>
        </w:tc>
        <w:tc>
          <w:tcPr>
            <w:tcW w:w="1600" w:type="dxa"/>
            <w:tcBorders>
              <w:top w:val="nil"/>
              <w:left w:val="nil"/>
              <w:bottom w:val="nil"/>
              <w:right w:val="nil"/>
            </w:tcBorders>
            <w:shd w:val="clear" w:color="000000" w:fill="auto"/>
            <w:vAlign w:val="center"/>
            <w:hideMark/>
          </w:tcPr>
          <w:p w14:paraId="763B6CBA" w14:textId="28E54F46" w:rsidR="00521376" w:rsidRPr="00307457" w:rsidRDefault="00521376" w:rsidP="00521376">
            <w:pPr>
              <w:jc w:val="right"/>
              <w:rPr>
                <w:rFonts w:ascii="Arial" w:hAnsi="Arial" w:cs="Arial"/>
                <w:color w:val="000000"/>
              </w:rPr>
            </w:pPr>
            <w:r>
              <w:rPr>
                <w:rFonts w:ascii="Arial" w:hAnsi="Arial" w:cs="Arial"/>
                <w:color w:val="000000"/>
              </w:rPr>
              <w:t>13,385</w:t>
            </w:r>
          </w:p>
        </w:tc>
        <w:tc>
          <w:tcPr>
            <w:tcW w:w="1300" w:type="dxa"/>
            <w:tcBorders>
              <w:top w:val="nil"/>
              <w:left w:val="nil"/>
              <w:bottom w:val="nil"/>
              <w:right w:val="nil"/>
            </w:tcBorders>
            <w:shd w:val="clear" w:color="000000" w:fill="auto"/>
            <w:vAlign w:val="center"/>
            <w:hideMark/>
          </w:tcPr>
          <w:p w14:paraId="60C7007F" w14:textId="3EE00D03" w:rsidR="00521376" w:rsidRPr="00307457" w:rsidRDefault="00521376" w:rsidP="00521376">
            <w:pPr>
              <w:jc w:val="right"/>
              <w:rPr>
                <w:rFonts w:ascii="Arial" w:hAnsi="Arial" w:cs="Arial"/>
                <w:color w:val="000000"/>
              </w:rPr>
            </w:pPr>
            <w:r>
              <w:rPr>
                <w:rFonts w:ascii="Arial" w:hAnsi="Arial" w:cs="Arial"/>
                <w:color w:val="000000"/>
              </w:rPr>
              <w:t>0</w:t>
            </w:r>
          </w:p>
        </w:tc>
        <w:tc>
          <w:tcPr>
            <w:tcW w:w="1240" w:type="dxa"/>
            <w:tcBorders>
              <w:top w:val="nil"/>
              <w:left w:val="nil"/>
              <w:bottom w:val="nil"/>
              <w:right w:val="single" w:sz="8" w:space="0" w:color="auto"/>
            </w:tcBorders>
            <w:shd w:val="clear" w:color="000000" w:fill="auto"/>
            <w:vAlign w:val="center"/>
            <w:hideMark/>
          </w:tcPr>
          <w:p w14:paraId="4D6AFBC0" w14:textId="5FAE5F99" w:rsidR="00521376" w:rsidRPr="00307457" w:rsidRDefault="00521376" w:rsidP="00521376">
            <w:pPr>
              <w:jc w:val="right"/>
              <w:rPr>
                <w:rFonts w:ascii="Arial" w:hAnsi="Arial" w:cs="Arial"/>
                <w:color w:val="000000"/>
              </w:rPr>
            </w:pPr>
            <w:r>
              <w:rPr>
                <w:rFonts w:ascii="Arial" w:hAnsi="Arial" w:cs="Arial"/>
                <w:color w:val="000000"/>
              </w:rPr>
              <w:t>0</w:t>
            </w:r>
          </w:p>
        </w:tc>
      </w:tr>
      <w:tr w:rsidR="00521376" w:rsidRPr="00307457" w14:paraId="15A26ECC" w14:textId="77777777">
        <w:trPr>
          <w:trHeight w:val="300"/>
        </w:trPr>
        <w:tc>
          <w:tcPr>
            <w:tcW w:w="6360" w:type="dxa"/>
            <w:tcBorders>
              <w:top w:val="nil"/>
              <w:left w:val="single" w:sz="4" w:space="0" w:color="auto"/>
              <w:bottom w:val="nil"/>
              <w:right w:val="nil"/>
            </w:tcBorders>
            <w:shd w:val="clear" w:color="000000" w:fill="CCCCCC"/>
            <w:vAlign w:val="center"/>
            <w:hideMark/>
          </w:tcPr>
          <w:p w14:paraId="31B9D68D" w14:textId="77777777" w:rsidR="00521376" w:rsidRPr="00307457" w:rsidRDefault="00521376" w:rsidP="00521376">
            <w:pPr>
              <w:rPr>
                <w:rFonts w:ascii="Arial" w:hAnsi="Arial" w:cs="Arial"/>
                <w:b/>
                <w:bCs/>
                <w:color w:val="000000"/>
              </w:rPr>
            </w:pPr>
            <w:r w:rsidRPr="00307457">
              <w:rPr>
                <w:rFonts w:ascii="Arial" w:hAnsi="Arial" w:cs="Arial"/>
                <w:b/>
                <w:bCs/>
                <w:color w:val="000000"/>
              </w:rPr>
              <w:t>Total Adjustments between Revenue and Capital Resources</w:t>
            </w:r>
          </w:p>
        </w:tc>
        <w:tc>
          <w:tcPr>
            <w:tcW w:w="1600" w:type="dxa"/>
            <w:tcBorders>
              <w:top w:val="nil"/>
              <w:left w:val="nil"/>
              <w:bottom w:val="nil"/>
              <w:right w:val="nil"/>
            </w:tcBorders>
            <w:shd w:val="clear" w:color="000000" w:fill="CCCCCC"/>
            <w:vAlign w:val="center"/>
            <w:hideMark/>
          </w:tcPr>
          <w:p w14:paraId="4168BB3C" w14:textId="7EB9B487" w:rsidR="00521376" w:rsidRPr="00307457" w:rsidRDefault="00521376" w:rsidP="00521376">
            <w:pPr>
              <w:jc w:val="right"/>
              <w:rPr>
                <w:rFonts w:ascii="Arial" w:hAnsi="Arial" w:cs="Arial"/>
                <w:b/>
                <w:bCs/>
                <w:color w:val="000000"/>
              </w:rPr>
            </w:pPr>
            <w:r>
              <w:rPr>
                <w:rFonts w:ascii="Arial" w:hAnsi="Arial" w:cs="Arial"/>
                <w:b/>
                <w:bCs/>
                <w:color w:val="000000"/>
              </w:rPr>
              <w:t>15,</w:t>
            </w:r>
            <w:r w:rsidR="006637C3">
              <w:rPr>
                <w:rFonts w:ascii="Arial" w:hAnsi="Arial" w:cs="Arial"/>
                <w:b/>
                <w:bCs/>
                <w:color w:val="000000"/>
              </w:rPr>
              <w:t>883</w:t>
            </w:r>
          </w:p>
        </w:tc>
        <w:tc>
          <w:tcPr>
            <w:tcW w:w="1300" w:type="dxa"/>
            <w:tcBorders>
              <w:top w:val="nil"/>
              <w:left w:val="nil"/>
              <w:bottom w:val="nil"/>
              <w:right w:val="nil"/>
            </w:tcBorders>
            <w:shd w:val="clear" w:color="000000" w:fill="CCCCCC"/>
            <w:vAlign w:val="center"/>
            <w:hideMark/>
          </w:tcPr>
          <w:p w14:paraId="69E3C8BB" w14:textId="658ED64A" w:rsidR="00521376" w:rsidRPr="00307457" w:rsidRDefault="00521376" w:rsidP="00521376">
            <w:pPr>
              <w:jc w:val="right"/>
              <w:rPr>
                <w:rFonts w:ascii="Arial" w:hAnsi="Arial" w:cs="Arial"/>
                <w:b/>
                <w:bCs/>
                <w:color w:val="000000"/>
              </w:rPr>
            </w:pPr>
            <w:r>
              <w:rPr>
                <w:rFonts w:ascii="Arial" w:hAnsi="Arial" w:cs="Arial"/>
                <w:b/>
                <w:bCs/>
                <w:color w:val="000000"/>
              </w:rPr>
              <w:t>(91)</w:t>
            </w:r>
          </w:p>
        </w:tc>
        <w:tc>
          <w:tcPr>
            <w:tcW w:w="1240" w:type="dxa"/>
            <w:tcBorders>
              <w:top w:val="nil"/>
              <w:left w:val="nil"/>
              <w:bottom w:val="nil"/>
              <w:right w:val="single" w:sz="8" w:space="0" w:color="auto"/>
            </w:tcBorders>
            <w:shd w:val="clear" w:color="000000" w:fill="CCCCCC"/>
            <w:vAlign w:val="center"/>
            <w:hideMark/>
          </w:tcPr>
          <w:p w14:paraId="6298A944" w14:textId="5E1FC40A" w:rsidR="00521376" w:rsidRPr="00307457" w:rsidRDefault="00521376" w:rsidP="00521376">
            <w:pPr>
              <w:jc w:val="right"/>
              <w:rPr>
                <w:rFonts w:ascii="Arial" w:hAnsi="Arial" w:cs="Arial"/>
                <w:b/>
                <w:bCs/>
                <w:color w:val="000000"/>
              </w:rPr>
            </w:pPr>
            <w:r>
              <w:rPr>
                <w:rFonts w:ascii="Arial" w:hAnsi="Arial" w:cs="Arial"/>
                <w:b/>
                <w:bCs/>
                <w:color w:val="000000"/>
              </w:rPr>
              <w:t>0</w:t>
            </w:r>
          </w:p>
        </w:tc>
      </w:tr>
      <w:tr w:rsidR="00521376" w:rsidRPr="00307457" w14:paraId="7622AFB2" w14:textId="77777777">
        <w:trPr>
          <w:trHeight w:val="300"/>
        </w:trPr>
        <w:tc>
          <w:tcPr>
            <w:tcW w:w="6360" w:type="dxa"/>
            <w:tcBorders>
              <w:top w:val="nil"/>
              <w:left w:val="single" w:sz="4" w:space="0" w:color="auto"/>
              <w:bottom w:val="nil"/>
              <w:right w:val="nil"/>
            </w:tcBorders>
            <w:shd w:val="clear" w:color="000000" w:fill="auto"/>
            <w:vAlign w:val="center"/>
            <w:hideMark/>
          </w:tcPr>
          <w:p w14:paraId="13813A77" w14:textId="77777777" w:rsidR="00521376" w:rsidRPr="00307457" w:rsidRDefault="00521376" w:rsidP="00521376">
            <w:pPr>
              <w:rPr>
                <w:rFonts w:ascii="Arial" w:hAnsi="Arial" w:cs="Arial"/>
                <w:b/>
                <w:bCs/>
                <w:color w:val="000000"/>
              </w:rPr>
            </w:pPr>
            <w:r w:rsidRPr="00307457">
              <w:rPr>
                <w:rFonts w:ascii="Arial" w:hAnsi="Arial" w:cs="Arial"/>
                <w:b/>
                <w:bCs/>
                <w:color w:val="000000"/>
              </w:rPr>
              <w:t>Adjustments to Capital Resources</w:t>
            </w:r>
          </w:p>
        </w:tc>
        <w:tc>
          <w:tcPr>
            <w:tcW w:w="1600" w:type="dxa"/>
            <w:tcBorders>
              <w:top w:val="nil"/>
              <w:left w:val="nil"/>
              <w:bottom w:val="nil"/>
              <w:right w:val="nil"/>
            </w:tcBorders>
            <w:shd w:val="clear" w:color="000000" w:fill="auto"/>
            <w:vAlign w:val="center"/>
            <w:hideMark/>
          </w:tcPr>
          <w:p w14:paraId="5FAC9D1A" w14:textId="77777777" w:rsidR="00521376" w:rsidRPr="00307457" w:rsidRDefault="00521376" w:rsidP="00521376">
            <w:pPr>
              <w:rPr>
                <w:rFonts w:ascii="Arial" w:hAnsi="Arial" w:cs="Arial"/>
                <w:b/>
                <w:bCs/>
                <w:color w:val="000000"/>
              </w:rPr>
            </w:pPr>
          </w:p>
        </w:tc>
        <w:tc>
          <w:tcPr>
            <w:tcW w:w="1300" w:type="dxa"/>
            <w:tcBorders>
              <w:top w:val="nil"/>
              <w:left w:val="nil"/>
              <w:bottom w:val="nil"/>
              <w:right w:val="nil"/>
            </w:tcBorders>
            <w:shd w:val="clear" w:color="000000" w:fill="auto"/>
            <w:vAlign w:val="center"/>
            <w:hideMark/>
          </w:tcPr>
          <w:p w14:paraId="7C13DF49" w14:textId="77777777" w:rsidR="00521376" w:rsidRPr="00307457" w:rsidRDefault="00521376" w:rsidP="00521376">
            <w:pPr>
              <w:jc w:val="right"/>
            </w:pPr>
          </w:p>
        </w:tc>
        <w:tc>
          <w:tcPr>
            <w:tcW w:w="1240" w:type="dxa"/>
            <w:tcBorders>
              <w:top w:val="nil"/>
              <w:left w:val="nil"/>
              <w:bottom w:val="nil"/>
              <w:right w:val="single" w:sz="8" w:space="0" w:color="auto"/>
            </w:tcBorders>
            <w:shd w:val="clear" w:color="000000" w:fill="auto"/>
            <w:vAlign w:val="center"/>
            <w:hideMark/>
          </w:tcPr>
          <w:p w14:paraId="2169E27E" w14:textId="27610A6F" w:rsidR="00521376" w:rsidRPr="00307457" w:rsidRDefault="00521376" w:rsidP="00521376">
            <w:pPr>
              <w:jc w:val="right"/>
            </w:pPr>
            <w:r>
              <w:rPr>
                <w:rFonts w:ascii="Arial" w:hAnsi="Arial" w:cs="Arial"/>
                <w:color w:val="000000"/>
              </w:rPr>
              <w:t> </w:t>
            </w:r>
          </w:p>
        </w:tc>
      </w:tr>
      <w:tr w:rsidR="00521376" w:rsidRPr="00307457" w14:paraId="4410C4B1" w14:textId="77777777">
        <w:trPr>
          <w:trHeight w:val="300"/>
        </w:trPr>
        <w:tc>
          <w:tcPr>
            <w:tcW w:w="6360" w:type="dxa"/>
            <w:tcBorders>
              <w:top w:val="nil"/>
              <w:left w:val="single" w:sz="4" w:space="0" w:color="auto"/>
              <w:bottom w:val="nil"/>
              <w:right w:val="nil"/>
            </w:tcBorders>
            <w:shd w:val="clear" w:color="000000" w:fill="auto"/>
            <w:vAlign w:val="center"/>
            <w:hideMark/>
          </w:tcPr>
          <w:p w14:paraId="2BBB3B26" w14:textId="77777777" w:rsidR="00521376" w:rsidRPr="00307457" w:rsidRDefault="00521376" w:rsidP="00521376">
            <w:pPr>
              <w:rPr>
                <w:rFonts w:ascii="Arial" w:hAnsi="Arial" w:cs="Arial"/>
                <w:color w:val="000000"/>
              </w:rPr>
            </w:pPr>
            <w:r w:rsidRPr="00307457">
              <w:rPr>
                <w:rFonts w:ascii="Arial" w:hAnsi="Arial" w:cs="Arial"/>
                <w:color w:val="000000"/>
              </w:rPr>
              <w:t>Use of the Capital Receipts Reserve to finance capital expenditure</w:t>
            </w:r>
          </w:p>
        </w:tc>
        <w:tc>
          <w:tcPr>
            <w:tcW w:w="1600" w:type="dxa"/>
            <w:tcBorders>
              <w:top w:val="nil"/>
              <w:left w:val="nil"/>
              <w:bottom w:val="nil"/>
              <w:right w:val="nil"/>
            </w:tcBorders>
            <w:shd w:val="clear" w:color="000000" w:fill="auto"/>
            <w:vAlign w:val="center"/>
            <w:hideMark/>
          </w:tcPr>
          <w:p w14:paraId="48D8E178" w14:textId="55F2DA69" w:rsidR="00521376" w:rsidRPr="00307457" w:rsidRDefault="00521376" w:rsidP="00521376">
            <w:pPr>
              <w:jc w:val="right"/>
              <w:rPr>
                <w:rFonts w:ascii="Arial" w:hAnsi="Arial" w:cs="Arial"/>
                <w:color w:val="000000"/>
              </w:rPr>
            </w:pPr>
            <w:r>
              <w:rPr>
                <w:rFonts w:ascii="Arial" w:hAnsi="Arial" w:cs="Arial"/>
                <w:color w:val="000000"/>
              </w:rPr>
              <w:t>0</w:t>
            </w:r>
          </w:p>
        </w:tc>
        <w:tc>
          <w:tcPr>
            <w:tcW w:w="1300" w:type="dxa"/>
            <w:tcBorders>
              <w:top w:val="nil"/>
              <w:left w:val="nil"/>
              <w:bottom w:val="nil"/>
              <w:right w:val="nil"/>
            </w:tcBorders>
            <w:shd w:val="clear" w:color="000000" w:fill="auto"/>
            <w:vAlign w:val="center"/>
            <w:hideMark/>
          </w:tcPr>
          <w:p w14:paraId="434E8911" w14:textId="1FBC3B70" w:rsidR="00521376" w:rsidRPr="00307457" w:rsidRDefault="00521376" w:rsidP="00521376">
            <w:pPr>
              <w:jc w:val="right"/>
              <w:rPr>
                <w:rFonts w:ascii="Arial" w:hAnsi="Arial" w:cs="Arial"/>
                <w:color w:val="000000"/>
              </w:rPr>
            </w:pPr>
            <w:r>
              <w:rPr>
                <w:rFonts w:ascii="Arial" w:hAnsi="Arial" w:cs="Arial"/>
                <w:color w:val="000000"/>
              </w:rPr>
              <w:t>0</w:t>
            </w:r>
          </w:p>
        </w:tc>
        <w:tc>
          <w:tcPr>
            <w:tcW w:w="1240" w:type="dxa"/>
            <w:tcBorders>
              <w:top w:val="nil"/>
              <w:left w:val="nil"/>
              <w:bottom w:val="nil"/>
              <w:right w:val="single" w:sz="8" w:space="0" w:color="auto"/>
            </w:tcBorders>
            <w:shd w:val="clear" w:color="000000" w:fill="auto"/>
            <w:vAlign w:val="center"/>
            <w:hideMark/>
          </w:tcPr>
          <w:p w14:paraId="36ED2E2A" w14:textId="3C9E9B06" w:rsidR="00521376" w:rsidRPr="00307457" w:rsidRDefault="00521376" w:rsidP="00521376">
            <w:pPr>
              <w:jc w:val="right"/>
              <w:rPr>
                <w:rFonts w:ascii="Arial" w:hAnsi="Arial" w:cs="Arial"/>
                <w:color w:val="000000"/>
              </w:rPr>
            </w:pPr>
            <w:r>
              <w:rPr>
                <w:rFonts w:ascii="Arial" w:hAnsi="Arial" w:cs="Arial"/>
                <w:color w:val="000000"/>
              </w:rPr>
              <w:t>0</w:t>
            </w:r>
          </w:p>
        </w:tc>
      </w:tr>
      <w:tr w:rsidR="00521376" w:rsidRPr="00307457" w14:paraId="766B021F" w14:textId="77777777">
        <w:trPr>
          <w:trHeight w:val="300"/>
        </w:trPr>
        <w:tc>
          <w:tcPr>
            <w:tcW w:w="6360" w:type="dxa"/>
            <w:tcBorders>
              <w:top w:val="nil"/>
              <w:left w:val="single" w:sz="4" w:space="0" w:color="auto"/>
              <w:bottom w:val="nil"/>
              <w:right w:val="nil"/>
            </w:tcBorders>
            <w:shd w:val="clear" w:color="000000" w:fill="auto"/>
            <w:vAlign w:val="center"/>
            <w:hideMark/>
          </w:tcPr>
          <w:p w14:paraId="5256A66C" w14:textId="77777777" w:rsidR="00521376" w:rsidRPr="00307457" w:rsidRDefault="00521376" w:rsidP="00521376">
            <w:pPr>
              <w:rPr>
                <w:rFonts w:ascii="Arial" w:hAnsi="Arial" w:cs="Arial"/>
                <w:color w:val="000000"/>
              </w:rPr>
            </w:pPr>
            <w:r w:rsidRPr="00307457">
              <w:rPr>
                <w:rFonts w:ascii="Arial" w:hAnsi="Arial" w:cs="Arial"/>
                <w:color w:val="000000"/>
              </w:rPr>
              <w:t>Application of capital grants to finance capital expenditure</w:t>
            </w:r>
          </w:p>
        </w:tc>
        <w:tc>
          <w:tcPr>
            <w:tcW w:w="1600" w:type="dxa"/>
            <w:tcBorders>
              <w:top w:val="nil"/>
              <w:left w:val="nil"/>
              <w:bottom w:val="nil"/>
              <w:right w:val="nil"/>
            </w:tcBorders>
            <w:shd w:val="clear" w:color="000000" w:fill="auto"/>
            <w:vAlign w:val="center"/>
            <w:hideMark/>
          </w:tcPr>
          <w:p w14:paraId="613B5B31" w14:textId="50DED4D7" w:rsidR="00521376" w:rsidRPr="00307457" w:rsidRDefault="00521376" w:rsidP="00521376">
            <w:pPr>
              <w:jc w:val="right"/>
              <w:rPr>
                <w:rFonts w:ascii="Arial" w:hAnsi="Arial" w:cs="Arial"/>
                <w:color w:val="000000"/>
              </w:rPr>
            </w:pPr>
            <w:r>
              <w:rPr>
                <w:rFonts w:ascii="Arial" w:hAnsi="Arial" w:cs="Arial"/>
                <w:color w:val="000000"/>
              </w:rPr>
              <w:t>0</w:t>
            </w:r>
          </w:p>
        </w:tc>
        <w:tc>
          <w:tcPr>
            <w:tcW w:w="1300" w:type="dxa"/>
            <w:tcBorders>
              <w:top w:val="nil"/>
              <w:left w:val="nil"/>
              <w:bottom w:val="nil"/>
              <w:right w:val="nil"/>
            </w:tcBorders>
            <w:shd w:val="clear" w:color="000000" w:fill="auto"/>
            <w:vAlign w:val="center"/>
            <w:hideMark/>
          </w:tcPr>
          <w:p w14:paraId="3D265E76" w14:textId="5880573B" w:rsidR="00521376" w:rsidRPr="00307457" w:rsidRDefault="00521376" w:rsidP="00521376">
            <w:pPr>
              <w:jc w:val="right"/>
              <w:rPr>
                <w:rFonts w:ascii="Arial" w:hAnsi="Arial" w:cs="Arial"/>
                <w:color w:val="000000"/>
              </w:rPr>
            </w:pPr>
            <w:r>
              <w:rPr>
                <w:rFonts w:ascii="Arial" w:hAnsi="Arial" w:cs="Arial"/>
                <w:color w:val="000000"/>
              </w:rPr>
              <w:t>0</w:t>
            </w:r>
          </w:p>
        </w:tc>
        <w:tc>
          <w:tcPr>
            <w:tcW w:w="1240" w:type="dxa"/>
            <w:tcBorders>
              <w:top w:val="nil"/>
              <w:left w:val="nil"/>
              <w:bottom w:val="nil"/>
              <w:right w:val="single" w:sz="8" w:space="0" w:color="auto"/>
            </w:tcBorders>
            <w:shd w:val="clear" w:color="000000" w:fill="auto"/>
            <w:vAlign w:val="center"/>
            <w:hideMark/>
          </w:tcPr>
          <w:p w14:paraId="0402B1C8" w14:textId="53432850" w:rsidR="00521376" w:rsidRPr="00307457" w:rsidRDefault="00521376" w:rsidP="00521376">
            <w:pPr>
              <w:jc w:val="right"/>
              <w:rPr>
                <w:rFonts w:ascii="Arial" w:hAnsi="Arial" w:cs="Arial"/>
                <w:color w:val="000000"/>
              </w:rPr>
            </w:pPr>
            <w:r>
              <w:rPr>
                <w:rFonts w:ascii="Arial" w:hAnsi="Arial" w:cs="Arial"/>
                <w:color w:val="000000"/>
              </w:rPr>
              <w:t>80</w:t>
            </w:r>
          </w:p>
        </w:tc>
      </w:tr>
      <w:tr w:rsidR="00521376" w:rsidRPr="00307457" w14:paraId="7E6FAAFB" w14:textId="77777777">
        <w:trPr>
          <w:trHeight w:val="300"/>
        </w:trPr>
        <w:tc>
          <w:tcPr>
            <w:tcW w:w="6360" w:type="dxa"/>
            <w:tcBorders>
              <w:top w:val="nil"/>
              <w:left w:val="single" w:sz="4" w:space="0" w:color="auto"/>
              <w:bottom w:val="nil"/>
              <w:right w:val="nil"/>
            </w:tcBorders>
            <w:shd w:val="clear" w:color="000000" w:fill="CCCCCC"/>
            <w:vAlign w:val="center"/>
            <w:hideMark/>
          </w:tcPr>
          <w:p w14:paraId="023D4F82" w14:textId="77777777" w:rsidR="00521376" w:rsidRPr="00307457" w:rsidRDefault="00521376" w:rsidP="00521376">
            <w:pPr>
              <w:rPr>
                <w:rFonts w:ascii="Arial" w:hAnsi="Arial" w:cs="Arial"/>
                <w:b/>
                <w:bCs/>
                <w:color w:val="000000"/>
              </w:rPr>
            </w:pPr>
            <w:r w:rsidRPr="00307457">
              <w:rPr>
                <w:rFonts w:ascii="Arial" w:hAnsi="Arial" w:cs="Arial"/>
                <w:b/>
                <w:bCs/>
                <w:color w:val="000000"/>
              </w:rPr>
              <w:t>Total Adjustments to Capital Resources</w:t>
            </w:r>
          </w:p>
        </w:tc>
        <w:tc>
          <w:tcPr>
            <w:tcW w:w="1600" w:type="dxa"/>
            <w:tcBorders>
              <w:top w:val="nil"/>
              <w:left w:val="nil"/>
              <w:bottom w:val="single" w:sz="8" w:space="0" w:color="auto"/>
              <w:right w:val="nil"/>
            </w:tcBorders>
            <w:shd w:val="clear" w:color="000000" w:fill="CCCCCC"/>
            <w:vAlign w:val="center"/>
            <w:hideMark/>
          </w:tcPr>
          <w:p w14:paraId="051FE59A" w14:textId="6FC2AF82" w:rsidR="00521376" w:rsidRPr="00307457" w:rsidRDefault="00521376" w:rsidP="00521376">
            <w:pPr>
              <w:jc w:val="right"/>
              <w:rPr>
                <w:rFonts w:ascii="Arial" w:hAnsi="Arial" w:cs="Arial"/>
                <w:b/>
                <w:bCs/>
                <w:color w:val="000000"/>
              </w:rPr>
            </w:pPr>
            <w:r>
              <w:rPr>
                <w:rFonts w:ascii="Arial" w:hAnsi="Arial" w:cs="Arial"/>
                <w:b/>
                <w:bCs/>
                <w:color w:val="000000"/>
              </w:rPr>
              <w:t>0</w:t>
            </w:r>
          </w:p>
        </w:tc>
        <w:tc>
          <w:tcPr>
            <w:tcW w:w="1300" w:type="dxa"/>
            <w:tcBorders>
              <w:top w:val="nil"/>
              <w:left w:val="nil"/>
              <w:bottom w:val="single" w:sz="8" w:space="0" w:color="auto"/>
              <w:right w:val="nil"/>
            </w:tcBorders>
            <w:shd w:val="clear" w:color="000000" w:fill="CCCCCC"/>
            <w:vAlign w:val="center"/>
            <w:hideMark/>
          </w:tcPr>
          <w:p w14:paraId="33B80157" w14:textId="53E147A4" w:rsidR="00521376" w:rsidRPr="00307457" w:rsidRDefault="00521376" w:rsidP="00521376">
            <w:pPr>
              <w:jc w:val="right"/>
              <w:rPr>
                <w:rFonts w:ascii="Arial" w:hAnsi="Arial" w:cs="Arial"/>
                <w:b/>
                <w:bCs/>
                <w:color w:val="000000"/>
              </w:rPr>
            </w:pPr>
            <w:r>
              <w:rPr>
                <w:rFonts w:ascii="Arial" w:hAnsi="Arial" w:cs="Arial"/>
                <w:b/>
                <w:bCs/>
                <w:color w:val="000000"/>
              </w:rPr>
              <w:t>0</w:t>
            </w:r>
          </w:p>
        </w:tc>
        <w:tc>
          <w:tcPr>
            <w:tcW w:w="1240" w:type="dxa"/>
            <w:tcBorders>
              <w:top w:val="nil"/>
              <w:left w:val="nil"/>
              <w:bottom w:val="single" w:sz="8" w:space="0" w:color="auto"/>
              <w:right w:val="single" w:sz="8" w:space="0" w:color="auto"/>
            </w:tcBorders>
            <w:shd w:val="clear" w:color="000000" w:fill="CCCCCC"/>
            <w:vAlign w:val="center"/>
            <w:hideMark/>
          </w:tcPr>
          <w:p w14:paraId="35184083" w14:textId="2E03BD77" w:rsidR="00521376" w:rsidRPr="00307457" w:rsidRDefault="00521376" w:rsidP="00521376">
            <w:pPr>
              <w:jc w:val="right"/>
              <w:rPr>
                <w:rFonts w:ascii="Arial" w:hAnsi="Arial" w:cs="Arial"/>
                <w:b/>
                <w:bCs/>
                <w:color w:val="000000"/>
              </w:rPr>
            </w:pPr>
            <w:r>
              <w:rPr>
                <w:rFonts w:ascii="Arial" w:hAnsi="Arial" w:cs="Arial"/>
                <w:b/>
                <w:bCs/>
                <w:color w:val="000000"/>
              </w:rPr>
              <w:t>80</w:t>
            </w:r>
          </w:p>
        </w:tc>
      </w:tr>
      <w:tr w:rsidR="00521376" w:rsidRPr="00307457" w14:paraId="7C795C2D" w14:textId="77777777">
        <w:trPr>
          <w:trHeight w:val="315"/>
        </w:trPr>
        <w:tc>
          <w:tcPr>
            <w:tcW w:w="6360" w:type="dxa"/>
            <w:tcBorders>
              <w:top w:val="nil"/>
              <w:left w:val="single" w:sz="4" w:space="0" w:color="auto"/>
              <w:bottom w:val="single" w:sz="4" w:space="0" w:color="auto"/>
              <w:right w:val="nil"/>
            </w:tcBorders>
            <w:shd w:val="clear" w:color="000000" w:fill="CCCCCC"/>
            <w:vAlign w:val="center"/>
            <w:hideMark/>
          </w:tcPr>
          <w:p w14:paraId="1CFF4906" w14:textId="77777777" w:rsidR="00521376" w:rsidRPr="00307457" w:rsidRDefault="00521376" w:rsidP="00521376">
            <w:pPr>
              <w:rPr>
                <w:rFonts w:ascii="Arial" w:hAnsi="Arial" w:cs="Arial"/>
                <w:b/>
                <w:bCs/>
                <w:color w:val="000000"/>
              </w:rPr>
            </w:pPr>
            <w:r w:rsidRPr="00307457">
              <w:rPr>
                <w:rFonts w:ascii="Arial" w:hAnsi="Arial" w:cs="Arial"/>
                <w:b/>
                <w:bCs/>
                <w:color w:val="000000"/>
              </w:rPr>
              <w:t>Total Adjustments</w:t>
            </w:r>
          </w:p>
        </w:tc>
        <w:tc>
          <w:tcPr>
            <w:tcW w:w="1600" w:type="dxa"/>
            <w:tcBorders>
              <w:top w:val="nil"/>
              <w:left w:val="nil"/>
              <w:bottom w:val="single" w:sz="8" w:space="0" w:color="auto"/>
              <w:right w:val="nil"/>
            </w:tcBorders>
            <w:shd w:val="clear" w:color="000000" w:fill="CCCCCC"/>
            <w:vAlign w:val="center"/>
            <w:hideMark/>
          </w:tcPr>
          <w:p w14:paraId="08A1215B" w14:textId="33C224F7" w:rsidR="00521376" w:rsidRPr="00307457" w:rsidRDefault="00521376" w:rsidP="00521376">
            <w:pPr>
              <w:jc w:val="right"/>
              <w:rPr>
                <w:rFonts w:ascii="Arial" w:hAnsi="Arial" w:cs="Arial"/>
                <w:b/>
                <w:bCs/>
                <w:color w:val="000000"/>
              </w:rPr>
            </w:pPr>
            <w:r>
              <w:rPr>
                <w:rFonts w:ascii="Arial" w:hAnsi="Arial" w:cs="Arial"/>
                <w:b/>
                <w:bCs/>
                <w:color w:val="000000"/>
              </w:rPr>
              <w:t>(70,</w:t>
            </w:r>
            <w:r w:rsidR="006637C3">
              <w:rPr>
                <w:rFonts w:ascii="Arial" w:hAnsi="Arial" w:cs="Arial"/>
                <w:b/>
                <w:bCs/>
                <w:color w:val="000000"/>
              </w:rPr>
              <w:t>682</w:t>
            </w:r>
            <w:r>
              <w:rPr>
                <w:rFonts w:ascii="Arial" w:hAnsi="Arial" w:cs="Arial"/>
                <w:b/>
                <w:bCs/>
                <w:color w:val="000000"/>
              </w:rPr>
              <w:t>)</w:t>
            </w:r>
          </w:p>
        </w:tc>
        <w:tc>
          <w:tcPr>
            <w:tcW w:w="1300" w:type="dxa"/>
            <w:tcBorders>
              <w:top w:val="nil"/>
              <w:left w:val="nil"/>
              <w:bottom w:val="single" w:sz="8" w:space="0" w:color="auto"/>
              <w:right w:val="nil"/>
            </w:tcBorders>
            <w:shd w:val="clear" w:color="000000" w:fill="CCCCCC"/>
            <w:vAlign w:val="center"/>
            <w:hideMark/>
          </w:tcPr>
          <w:p w14:paraId="2889600D" w14:textId="3BE35DD0" w:rsidR="00521376" w:rsidRPr="00307457" w:rsidRDefault="00521376" w:rsidP="00521376">
            <w:pPr>
              <w:jc w:val="right"/>
              <w:rPr>
                <w:rFonts w:ascii="Arial" w:hAnsi="Arial" w:cs="Arial"/>
                <w:b/>
                <w:bCs/>
                <w:color w:val="000000"/>
              </w:rPr>
            </w:pPr>
            <w:r>
              <w:rPr>
                <w:rFonts w:ascii="Arial" w:hAnsi="Arial" w:cs="Arial"/>
                <w:b/>
                <w:bCs/>
                <w:color w:val="000000"/>
              </w:rPr>
              <w:t>(91)</w:t>
            </w:r>
          </w:p>
        </w:tc>
        <w:tc>
          <w:tcPr>
            <w:tcW w:w="1240" w:type="dxa"/>
            <w:tcBorders>
              <w:top w:val="nil"/>
              <w:left w:val="nil"/>
              <w:bottom w:val="single" w:sz="8" w:space="0" w:color="auto"/>
              <w:right w:val="single" w:sz="8" w:space="0" w:color="auto"/>
            </w:tcBorders>
            <w:shd w:val="clear" w:color="000000" w:fill="CCCCCC"/>
            <w:vAlign w:val="center"/>
            <w:hideMark/>
          </w:tcPr>
          <w:p w14:paraId="39368AD8" w14:textId="47D6EDA6" w:rsidR="00521376" w:rsidRPr="00307457" w:rsidRDefault="00521376" w:rsidP="00521376">
            <w:pPr>
              <w:jc w:val="right"/>
              <w:rPr>
                <w:rFonts w:ascii="Arial" w:hAnsi="Arial" w:cs="Arial"/>
                <w:b/>
                <w:bCs/>
                <w:color w:val="000000"/>
              </w:rPr>
            </w:pPr>
            <w:r>
              <w:rPr>
                <w:rFonts w:ascii="Arial" w:hAnsi="Arial" w:cs="Arial"/>
                <w:b/>
                <w:bCs/>
                <w:color w:val="000000"/>
              </w:rPr>
              <w:t>80</w:t>
            </w:r>
          </w:p>
        </w:tc>
      </w:tr>
    </w:tbl>
    <w:p w14:paraId="2C8520F0" w14:textId="77777777" w:rsidR="00F85CFA" w:rsidRPr="00423F14" w:rsidRDefault="00F85CFA">
      <w:pPr>
        <w:rPr>
          <w:rFonts w:ascii="Arial" w:hAnsi="Arial" w:cs="Arial"/>
          <w:b/>
          <w:caps/>
          <w:sz w:val="22"/>
          <w:szCs w:val="22"/>
          <w:highlight w:val="yellow"/>
        </w:rPr>
      </w:pPr>
      <w:r w:rsidRPr="00423F14">
        <w:rPr>
          <w:rFonts w:ascii="Arial" w:hAnsi="Arial" w:cs="Arial"/>
          <w:b/>
          <w:caps/>
          <w:sz w:val="22"/>
          <w:szCs w:val="22"/>
          <w:highlight w:val="yellow"/>
        </w:rPr>
        <w:br w:type="page"/>
      </w:r>
    </w:p>
    <w:p w14:paraId="3D45BC21" w14:textId="5E390EE2" w:rsidR="003B2143" w:rsidRPr="00423F14" w:rsidRDefault="003B2143">
      <w:pPr>
        <w:rPr>
          <w:highlight w:val="yellow"/>
        </w:rPr>
      </w:pPr>
      <w:bookmarkStart w:id="16" w:name="RANGE!A2"/>
    </w:p>
    <w:bookmarkEnd w:id="16"/>
    <w:p w14:paraId="2145FEC5" w14:textId="03FE14A3" w:rsidR="00E45B0D" w:rsidRDefault="006E5A83">
      <w:pPr>
        <w:rPr>
          <w:rFonts w:ascii="Arial" w:hAnsi="Arial" w:cs="Arial"/>
          <w:b/>
          <w:caps/>
          <w:sz w:val="22"/>
          <w:szCs w:val="22"/>
        </w:rPr>
      </w:pPr>
      <w:r>
        <w:rPr>
          <w:rFonts w:ascii="Arial" w:hAnsi="Arial" w:cs="Arial"/>
          <w:b/>
          <w:caps/>
          <w:sz w:val="22"/>
          <w:szCs w:val="22"/>
        </w:rPr>
        <w:t>2024/25</w:t>
      </w:r>
    </w:p>
    <w:p w14:paraId="2A7F9B9C" w14:textId="7C816DB6" w:rsidR="003B2143" w:rsidRDefault="003B2143">
      <w:pPr>
        <w:rPr>
          <w:rFonts w:ascii="Arial" w:hAnsi="Arial" w:cs="Arial"/>
          <w:b/>
          <w:caps/>
          <w:sz w:val="22"/>
          <w:szCs w:val="22"/>
        </w:rPr>
      </w:pPr>
    </w:p>
    <w:tbl>
      <w:tblPr>
        <w:tblW w:w="10490" w:type="dxa"/>
        <w:tblCellMar>
          <w:top w:w="15" w:type="dxa"/>
          <w:bottom w:w="15" w:type="dxa"/>
        </w:tblCellMar>
        <w:tblLook w:val="04A0" w:firstRow="1" w:lastRow="0" w:firstColumn="1" w:lastColumn="0" w:noHBand="0" w:noVBand="1"/>
      </w:tblPr>
      <w:tblGrid>
        <w:gridCol w:w="6550"/>
        <w:gridCol w:w="1392"/>
        <w:gridCol w:w="1198"/>
        <w:gridCol w:w="1350"/>
      </w:tblGrid>
      <w:tr w:rsidR="00307457" w:rsidRPr="00307457" w14:paraId="1633A96A" w14:textId="77777777" w:rsidTr="0032049C">
        <w:trPr>
          <w:trHeight w:val="300"/>
        </w:trPr>
        <w:tc>
          <w:tcPr>
            <w:tcW w:w="6550" w:type="dxa"/>
            <w:tcBorders>
              <w:top w:val="single" w:sz="4" w:space="0" w:color="auto"/>
              <w:left w:val="single" w:sz="4" w:space="0" w:color="auto"/>
              <w:bottom w:val="nil"/>
              <w:right w:val="nil"/>
            </w:tcBorders>
            <w:vAlign w:val="center"/>
            <w:hideMark/>
          </w:tcPr>
          <w:p w14:paraId="6A484BC6" w14:textId="77777777" w:rsidR="00307457" w:rsidRPr="00307457" w:rsidRDefault="00307457" w:rsidP="00307457">
            <w:pPr>
              <w:rPr>
                <w:sz w:val="24"/>
                <w:szCs w:val="24"/>
              </w:rPr>
            </w:pPr>
            <w:bookmarkStart w:id="17" w:name="SOA_Note_PCC!A2"/>
            <w:bookmarkEnd w:id="17"/>
          </w:p>
        </w:tc>
        <w:tc>
          <w:tcPr>
            <w:tcW w:w="3940" w:type="dxa"/>
            <w:gridSpan w:val="3"/>
            <w:tcBorders>
              <w:top w:val="single" w:sz="4" w:space="0" w:color="auto"/>
              <w:left w:val="nil"/>
              <w:bottom w:val="nil"/>
              <w:right w:val="single" w:sz="4" w:space="0" w:color="auto"/>
            </w:tcBorders>
            <w:vAlign w:val="center"/>
            <w:hideMark/>
          </w:tcPr>
          <w:p w14:paraId="728FEAE8" w14:textId="77777777" w:rsidR="00307457" w:rsidRPr="00307457" w:rsidRDefault="00307457" w:rsidP="00307457">
            <w:pPr>
              <w:jc w:val="center"/>
              <w:rPr>
                <w:rFonts w:ascii="Arial" w:hAnsi="Arial" w:cs="Arial"/>
                <w:b/>
                <w:bCs/>
                <w:color w:val="000000"/>
              </w:rPr>
            </w:pPr>
            <w:r w:rsidRPr="00307457">
              <w:rPr>
                <w:rFonts w:ascii="Arial" w:hAnsi="Arial" w:cs="Arial"/>
                <w:b/>
                <w:bCs/>
                <w:color w:val="000000"/>
              </w:rPr>
              <w:t>Usable Reserves</w:t>
            </w:r>
          </w:p>
        </w:tc>
      </w:tr>
      <w:tr w:rsidR="00307457" w:rsidRPr="00307457" w14:paraId="20F93579" w14:textId="77777777" w:rsidTr="0032049C">
        <w:trPr>
          <w:trHeight w:val="765"/>
        </w:trPr>
        <w:tc>
          <w:tcPr>
            <w:tcW w:w="6550" w:type="dxa"/>
            <w:tcBorders>
              <w:top w:val="nil"/>
              <w:left w:val="single" w:sz="4" w:space="0" w:color="auto"/>
              <w:bottom w:val="nil"/>
              <w:right w:val="nil"/>
            </w:tcBorders>
            <w:vAlign w:val="center"/>
            <w:hideMark/>
          </w:tcPr>
          <w:p w14:paraId="56F706F9" w14:textId="77777777" w:rsidR="00307457" w:rsidRPr="00307457" w:rsidRDefault="00307457" w:rsidP="00307457">
            <w:pPr>
              <w:rPr>
                <w:rFonts w:ascii="Arial" w:hAnsi="Arial" w:cs="Arial"/>
                <w:b/>
                <w:bCs/>
                <w:color w:val="000000"/>
              </w:rPr>
            </w:pPr>
            <w:r w:rsidRPr="00307457">
              <w:rPr>
                <w:rFonts w:ascii="Arial" w:hAnsi="Arial" w:cs="Arial"/>
                <w:b/>
                <w:bCs/>
                <w:color w:val="000000"/>
              </w:rPr>
              <w:t>PCC SINGLE ENTITY</w:t>
            </w:r>
          </w:p>
        </w:tc>
        <w:tc>
          <w:tcPr>
            <w:tcW w:w="1392" w:type="dxa"/>
            <w:tcBorders>
              <w:top w:val="nil"/>
              <w:left w:val="nil"/>
              <w:bottom w:val="nil"/>
              <w:right w:val="nil"/>
            </w:tcBorders>
            <w:vAlign w:val="center"/>
            <w:hideMark/>
          </w:tcPr>
          <w:p w14:paraId="5DD35286"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General Fund Balance</w:t>
            </w:r>
          </w:p>
        </w:tc>
        <w:tc>
          <w:tcPr>
            <w:tcW w:w="1198" w:type="dxa"/>
            <w:tcBorders>
              <w:top w:val="nil"/>
              <w:left w:val="nil"/>
              <w:bottom w:val="nil"/>
              <w:right w:val="nil"/>
            </w:tcBorders>
            <w:vAlign w:val="center"/>
            <w:hideMark/>
          </w:tcPr>
          <w:p w14:paraId="0F11D73E"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 xml:space="preserve">Capital Receipts Reserve </w:t>
            </w:r>
          </w:p>
        </w:tc>
        <w:tc>
          <w:tcPr>
            <w:tcW w:w="1350" w:type="dxa"/>
            <w:tcBorders>
              <w:top w:val="nil"/>
              <w:left w:val="nil"/>
              <w:bottom w:val="nil"/>
              <w:right w:val="single" w:sz="4" w:space="0" w:color="auto"/>
            </w:tcBorders>
            <w:vAlign w:val="center"/>
            <w:hideMark/>
          </w:tcPr>
          <w:p w14:paraId="3A7B22F7"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Capital Grants Unapplied</w:t>
            </w:r>
          </w:p>
        </w:tc>
      </w:tr>
      <w:tr w:rsidR="00307457" w:rsidRPr="00307457" w14:paraId="54F04DDD" w14:textId="77777777" w:rsidTr="0032049C">
        <w:trPr>
          <w:trHeight w:val="300"/>
        </w:trPr>
        <w:tc>
          <w:tcPr>
            <w:tcW w:w="6550" w:type="dxa"/>
            <w:tcBorders>
              <w:top w:val="nil"/>
              <w:left w:val="single" w:sz="4" w:space="0" w:color="auto"/>
              <w:bottom w:val="nil"/>
              <w:right w:val="nil"/>
            </w:tcBorders>
            <w:vAlign w:val="center"/>
            <w:hideMark/>
          </w:tcPr>
          <w:p w14:paraId="13853156" w14:textId="77777777" w:rsidR="00307457" w:rsidRPr="00307457" w:rsidRDefault="00307457" w:rsidP="00307457">
            <w:pPr>
              <w:jc w:val="right"/>
              <w:rPr>
                <w:rFonts w:ascii="Arial" w:hAnsi="Arial" w:cs="Arial"/>
                <w:b/>
                <w:bCs/>
                <w:color w:val="000000"/>
              </w:rPr>
            </w:pPr>
          </w:p>
        </w:tc>
        <w:tc>
          <w:tcPr>
            <w:tcW w:w="1392" w:type="dxa"/>
            <w:tcBorders>
              <w:top w:val="nil"/>
              <w:left w:val="nil"/>
              <w:bottom w:val="nil"/>
              <w:right w:val="nil"/>
            </w:tcBorders>
            <w:vAlign w:val="center"/>
            <w:hideMark/>
          </w:tcPr>
          <w:p w14:paraId="77C26391"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£000</w:t>
            </w:r>
          </w:p>
        </w:tc>
        <w:tc>
          <w:tcPr>
            <w:tcW w:w="1198" w:type="dxa"/>
            <w:tcBorders>
              <w:top w:val="nil"/>
              <w:left w:val="nil"/>
              <w:bottom w:val="nil"/>
              <w:right w:val="nil"/>
            </w:tcBorders>
            <w:vAlign w:val="center"/>
            <w:hideMark/>
          </w:tcPr>
          <w:p w14:paraId="77729BC5"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£000</w:t>
            </w:r>
          </w:p>
        </w:tc>
        <w:tc>
          <w:tcPr>
            <w:tcW w:w="1350" w:type="dxa"/>
            <w:tcBorders>
              <w:top w:val="nil"/>
              <w:left w:val="nil"/>
              <w:bottom w:val="nil"/>
              <w:right w:val="single" w:sz="4" w:space="0" w:color="auto"/>
            </w:tcBorders>
            <w:vAlign w:val="center"/>
            <w:hideMark/>
          </w:tcPr>
          <w:p w14:paraId="02CEDC91" w14:textId="77777777" w:rsidR="00307457" w:rsidRPr="00307457" w:rsidRDefault="00307457" w:rsidP="00307457">
            <w:pPr>
              <w:jc w:val="right"/>
              <w:rPr>
                <w:rFonts w:ascii="Arial" w:hAnsi="Arial" w:cs="Arial"/>
                <w:b/>
                <w:bCs/>
                <w:color w:val="000000"/>
              </w:rPr>
            </w:pPr>
            <w:r w:rsidRPr="00307457">
              <w:rPr>
                <w:rFonts w:ascii="Arial" w:hAnsi="Arial" w:cs="Arial"/>
                <w:b/>
                <w:bCs/>
                <w:color w:val="000000"/>
              </w:rPr>
              <w:t>£000</w:t>
            </w:r>
          </w:p>
        </w:tc>
      </w:tr>
      <w:tr w:rsidR="00307457" w:rsidRPr="00307457" w14:paraId="429760B4" w14:textId="77777777" w:rsidTr="0032049C">
        <w:trPr>
          <w:trHeight w:val="300"/>
        </w:trPr>
        <w:tc>
          <w:tcPr>
            <w:tcW w:w="6550" w:type="dxa"/>
            <w:tcBorders>
              <w:top w:val="nil"/>
              <w:left w:val="single" w:sz="4" w:space="0" w:color="auto"/>
              <w:bottom w:val="nil"/>
              <w:right w:val="nil"/>
            </w:tcBorders>
            <w:vAlign w:val="center"/>
            <w:hideMark/>
          </w:tcPr>
          <w:p w14:paraId="21E7F10E" w14:textId="77777777" w:rsidR="00307457" w:rsidRPr="00307457" w:rsidRDefault="00307457" w:rsidP="00307457">
            <w:pPr>
              <w:rPr>
                <w:rFonts w:ascii="Arial" w:hAnsi="Arial" w:cs="Arial"/>
                <w:b/>
                <w:bCs/>
                <w:color w:val="000000"/>
              </w:rPr>
            </w:pPr>
            <w:r w:rsidRPr="00307457">
              <w:rPr>
                <w:rFonts w:ascii="Arial" w:hAnsi="Arial" w:cs="Arial"/>
                <w:b/>
                <w:bCs/>
                <w:color w:val="000000"/>
              </w:rPr>
              <w:t>Adjustments to Revenue Resources</w:t>
            </w:r>
          </w:p>
        </w:tc>
        <w:tc>
          <w:tcPr>
            <w:tcW w:w="1392" w:type="dxa"/>
            <w:tcBorders>
              <w:top w:val="nil"/>
              <w:left w:val="nil"/>
              <w:bottom w:val="nil"/>
              <w:right w:val="nil"/>
            </w:tcBorders>
            <w:vAlign w:val="center"/>
            <w:hideMark/>
          </w:tcPr>
          <w:p w14:paraId="5A17616E" w14:textId="77777777" w:rsidR="00307457" w:rsidRPr="00307457" w:rsidRDefault="00307457" w:rsidP="00307457">
            <w:pPr>
              <w:rPr>
                <w:rFonts w:ascii="Arial" w:hAnsi="Arial" w:cs="Arial"/>
                <w:b/>
                <w:bCs/>
                <w:color w:val="000000"/>
              </w:rPr>
            </w:pPr>
          </w:p>
        </w:tc>
        <w:tc>
          <w:tcPr>
            <w:tcW w:w="1198" w:type="dxa"/>
            <w:tcBorders>
              <w:top w:val="nil"/>
              <w:left w:val="nil"/>
              <w:bottom w:val="nil"/>
              <w:right w:val="nil"/>
            </w:tcBorders>
            <w:vAlign w:val="center"/>
            <w:hideMark/>
          </w:tcPr>
          <w:p w14:paraId="4E018D68" w14:textId="77777777" w:rsidR="00307457" w:rsidRPr="00307457" w:rsidRDefault="00307457" w:rsidP="00307457">
            <w:pPr>
              <w:jc w:val="right"/>
            </w:pPr>
          </w:p>
        </w:tc>
        <w:tc>
          <w:tcPr>
            <w:tcW w:w="1350" w:type="dxa"/>
            <w:tcBorders>
              <w:top w:val="nil"/>
              <w:left w:val="nil"/>
              <w:bottom w:val="nil"/>
              <w:right w:val="single" w:sz="4" w:space="0" w:color="auto"/>
            </w:tcBorders>
            <w:vAlign w:val="center"/>
            <w:hideMark/>
          </w:tcPr>
          <w:p w14:paraId="2C9A9D75" w14:textId="77777777" w:rsidR="00307457" w:rsidRPr="00307457" w:rsidRDefault="00307457" w:rsidP="00307457">
            <w:pPr>
              <w:jc w:val="right"/>
            </w:pPr>
          </w:p>
        </w:tc>
      </w:tr>
      <w:tr w:rsidR="00307457" w:rsidRPr="00307457" w14:paraId="5B75D8C2" w14:textId="77777777" w:rsidTr="0032049C">
        <w:trPr>
          <w:trHeight w:val="900"/>
        </w:trPr>
        <w:tc>
          <w:tcPr>
            <w:tcW w:w="6550" w:type="dxa"/>
            <w:tcBorders>
              <w:top w:val="nil"/>
              <w:left w:val="single" w:sz="4" w:space="0" w:color="auto"/>
              <w:bottom w:val="nil"/>
              <w:right w:val="nil"/>
            </w:tcBorders>
            <w:vAlign w:val="center"/>
            <w:hideMark/>
          </w:tcPr>
          <w:p w14:paraId="4465B301" w14:textId="77777777" w:rsidR="00307457" w:rsidRPr="00307457" w:rsidRDefault="00307457" w:rsidP="00307457">
            <w:pPr>
              <w:rPr>
                <w:rFonts w:ascii="Arial" w:hAnsi="Arial" w:cs="Arial"/>
                <w:color w:val="000000"/>
              </w:rPr>
            </w:pPr>
            <w:r w:rsidRPr="00307457">
              <w:rPr>
                <w:rFonts w:ascii="Arial" w:hAnsi="Arial" w:cs="Arial"/>
                <w:color w:val="000000"/>
              </w:rPr>
              <w:t>Amounts by which income and expenditure included in the CIES are different from revenue for the year calculated in accordance with statutory requirements:</w:t>
            </w:r>
          </w:p>
        </w:tc>
        <w:tc>
          <w:tcPr>
            <w:tcW w:w="1392" w:type="dxa"/>
            <w:tcBorders>
              <w:top w:val="nil"/>
              <w:left w:val="nil"/>
              <w:bottom w:val="nil"/>
              <w:right w:val="nil"/>
            </w:tcBorders>
            <w:vAlign w:val="center"/>
            <w:hideMark/>
          </w:tcPr>
          <w:p w14:paraId="0C91107F" w14:textId="77777777" w:rsidR="00307457" w:rsidRPr="00307457" w:rsidRDefault="00307457" w:rsidP="00307457">
            <w:pPr>
              <w:rPr>
                <w:rFonts w:ascii="Arial" w:hAnsi="Arial" w:cs="Arial"/>
                <w:color w:val="000000"/>
              </w:rPr>
            </w:pPr>
          </w:p>
        </w:tc>
        <w:tc>
          <w:tcPr>
            <w:tcW w:w="1198" w:type="dxa"/>
            <w:tcBorders>
              <w:top w:val="nil"/>
              <w:left w:val="nil"/>
              <w:bottom w:val="nil"/>
              <w:right w:val="nil"/>
            </w:tcBorders>
            <w:vAlign w:val="center"/>
            <w:hideMark/>
          </w:tcPr>
          <w:p w14:paraId="34329787" w14:textId="77777777" w:rsidR="00307457" w:rsidRPr="00307457" w:rsidRDefault="00307457" w:rsidP="00307457">
            <w:pPr>
              <w:jc w:val="right"/>
            </w:pPr>
          </w:p>
        </w:tc>
        <w:tc>
          <w:tcPr>
            <w:tcW w:w="1350" w:type="dxa"/>
            <w:tcBorders>
              <w:top w:val="nil"/>
              <w:left w:val="nil"/>
              <w:bottom w:val="nil"/>
              <w:right w:val="single" w:sz="4" w:space="0" w:color="auto"/>
            </w:tcBorders>
            <w:vAlign w:val="center"/>
            <w:hideMark/>
          </w:tcPr>
          <w:p w14:paraId="13EBE326" w14:textId="77777777" w:rsidR="00307457" w:rsidRPr="00307457" w:rsidRDefault="00307457" w:rsidP="00307457">
            <w:pPr>
              <w:jc w:val="right"/>
            </w:pPr>
          </w:p>
        </w:tc>
      </w:tr>
      <w:tr w:rsidR="0032049C" w:rsidRPr="00307457" w14:paraId="4D677B0F" w14:textId="77777777" w:rsidTr="0032049C">
        <w:trPr>
          <w:trHeight w:val="600"/>
        </w:trPr>
        <w:tc>
          <w:tcPr>
            <w:tcW w:w="6550" w:type="dxa"/>
            <w:tcBorders>
              <w:top w:val="nil"/>
              <w:left w:val="single" w:sz="4" w:space="0" w:color="auto"/>
              <w:bottom w:val="nil"/>
              <w:right w:val="nil"/>
            </w:tcBorders>
            <w:vAlign w:val="center"/>
            <w:hideMark/>
          </w:tcPr>
          <w:p w14:paraId="53096DE8" w14:textId="77777777" w:rsidR="0032049C" w:rsidRPr="00307457" w:rsidRDefault="0032049C" w:rsidP="0032049C">
            <w:pPr>
              <w:ind w:firstLineChars="200" w:firstLine="400"/>
              <w:rPr>
                <w:rFonts w:ascii="Symbol" w:hAnsi="Symbol" w:cs="Calibri"/>
                <w:color w:val="000000"/>
              </w:rPr>
            </w:pPr>
            <w:r w:rsidRPr="00307457">
              <w:rPr>
                <w:rFonts w:ascii="Symbol" w:hAnsi="Symbol" w:cs="Calibri"/>
                <w:color w:val="000000"/>
              </w:rPr>
              <w:t>·</w:t>
            </w:r>
            <w:r w:rsidRPr="00307457">
              <w:rPr>
                <w:color w:val="000000"/>
                <w:sz w:val="14"/>
                <w:szCs w:val="14"/>
              </w:rPr>
              <w:t xml:space="preserve">         </w:t>
            </w:r>
            <w:r w:rsidRPr="00307457">
              <w:rPr>
                <w:rFonts w:ascii="Arial" w:hAnsi="Arial" w:cs="Arial"/>
                <w:color w:val="000000"/>
              </w:rPr>
              <w:t>Pensions costs (transferred to (or from) the Pensions Reserve)</w:t>
            </w:r>
          </w:p>
        </w:tc>
        <w:tc>
          <w:tcPr>
            <w:tcW w:w="1392" w:type="dxa"/>
            <w:tcBorders>
              <w:top w:val="nil"/>
              <w:left w:val="nil"/>
              <w:bottom w:val="nil"/>
              <w:right w:val="nil"/>
            </w:tcBorders>
            <w:vAlign w:val="center"/>
            <w:hideMark/>
          </w:tcPr>
          <w:p w14:paraId="2BCA388C" w14:textId="6C7BF242" w:rsidR="0032049C" w:rsidRPr="00307457" w:rsidRDefault="0032049C" w:rsidP="0032049C">
            <w:pPr>
              <w:jc w:val="right"/>
              <w:rPr>
                <w:rFonts w:ascii="Arial" w:hAnsi="Arial" w:cs="Arial"/>
                <w:color w:val="000000"/>
              </w:rPr>
            </w:pPr>
            <w:r>
              <w:rPr>
                <w:rFonts w:ascii="Arial" w:hAnsi="Arial" w:cs="Arial"/>
                <w:color w:val="000000"/>
              </w:rPr>
              <w:t>109</w:t>
            </w:r>
          </w:p>
        </w:tc>
        <w:tc>
          <w:tcPr>
            <w:tcW w:w="1198" w:type="dxa"/>
            <w:tcBorders>
              <w:top w:val="nil"/>
              <w:left w:val="nil"/>
              <w:bottom w:val="nil"/>
              <w:right w:val="nil"/>
            </w:tcBorders>
            <w:vAlign w:val="center"/>
            <w:hideMark/>
          </w:tcPr>
          <w:p w14:paraId="07E80F7B" w14:textId="1154F935" w:rsidR="0032049C" w:rsidRPr="00307457" w:rsidRDefault="0032049C" w:rsidP="0032049C">
            <w:pPr>
              <w:jc w:val="right"/>
              <w:rPr>
                <w:rFonts w:ascii="Arial" w:hAnsi="Arial" w:cs="Arial"/>
                <w:color w:val="000000"/>
              </w:rPr>
            </w:pPr>
            <w:r>
              <w:rPr>
                <w:rFonts w:ascii="Arial" w:hAnsi="Arial" w:cs="Arial"/>
                <w:color w:val="000000"/>
              </w:rPr>
              <w:t>0</w:t>
            </w:r>
          </w:p>
        </w:tc>
        <w:tc>
          <w:tcPr>
            <w:tcW w:w="1350" w:type="dxa"/>
            <w:tcBorders>
              <w:top w:val="nil"/>
              <w:left w:val="nil"/>
              <w:bottom w:val="nil"/>
              <w:right w:val="single" w:sz="8" w:space="0" w:color="auto"/>
            </w:tcBorders>
            <w:vAlign w:val="center"/>
            <w:hideMark/>
          </w:tcPr>
          <w:p w14:paraId="6CA69322" w14:textId="227E363C" w:rsidR="0032049C" w:rsidRPr="00307457" w:rsidRDefault="0032049C" w:rsidP="0032049C">
            <w:pPr>
              <w:jc w:val="right"/>
              <w:rPr>
                <w:rFonts w:ascii="Arial" w:hAnsi="Arial" w:cs="Arial"/>
                <w:color w:val="000000"/>
              </w:rPr>
            </w:pPr>
            <w:r>
              <w:rPr>
                <w:rFonts w:ascii="Arial" w:hAnsi="Arial" w:cs="Arial"/>
                <w:color w:val="000000"/>
              </w:rPr>
              <w:t>0</w:t>
            </w:r>
          </w:p>
        </w:tc>
      </w:tr>
      <w:tr w:rsidR="0032049C" w:rsidRPr="00307457" w14:paraId="57067C72" w14:textId="77777777" w:rsidTr="0032049C">
        <w:trPr>
          <w:trHeight w:val="600"/>
        </w:trPr>
        <w:tc>
          <w:tcPr>
            <w:tcW w:w="6550" w:type="dxa"/>
            <w:tcBorders>
              <w:top w:val="nil"/>
              <w:left w:val="single" w:sz="4" w:space="0" w:color="auto"/>
              <w:bottom w:val="nil"/>
              <w:right w:val="nil"/>
            </w:tcBorders>
            <w:vAlign w:val="center"/>
            <w:hideMark/>
          </w:tcPr>
          <w:p w14:paraId="15E8C418" w14:textId="77777777" w:rsidR="0032049C" w:rsidRPr="00307457" w:rsidRDefault="0032049C" w:rsidP="0032049C">
            <w:pPr>
              <w:ind w:firstLineChars="200" w:firstLine="400"/>
              <w:rPr>
                <w:rFonts w:ascii="Symbol" w:hAnsi="Symbol" w:cs="Calibri"/>
                <w:color w:val="000000"/>
              </w:rPr>
            </w:pPr>
            <w:r w:rsidRPr="00307457">
              <w:rPr>
                <w:rFonts w:ascii="Symbol" w:hAnsi="Symbol" w:cs="Calibri"/>
                <w:color w:val="000000"/>
              </w:rPr>
              <w:t>·</w:t>
            </w:r>
            <w:r w:rsidRPr="00307457">
              <w:rPr>
                <w:color w:val="000000"/>
                <w:sz w:val="14"/>
                <w:szCs w:val="14"/>
              </w:rPr>
              <w:t xml:space="preserve">         </w:t>
            </w:r>
            <w:r w:rsidRPr="00307457">
              <w:rPr>
                <w:rFonts w:ascii="Arial" w:hAnsi="Arial" w:cs="Arial"/>
                <w:color w:val="000000"/>
              </w:rPr>
              <w:t>Council Tax (transfers to or from the Collection Fund Adjustment Account</w:t>
            </w:r>
            <w:r w:rsidRPr="00307457">
              <w:rPr>
                <w:rFonts w:ascii="Symbol" w:hAnsi="Symbol" w:cs="Calibri"/>
                <w:color w:val="000000"/>
              </w:rPr>
              <w:t>)</w:t>
            </w:r>
          </w:p>
        </w:tc>
        <w:tc>
          <w:tcPr>
            <w:tcW w:w="1392" w:type="dxa"/>
            <w:tcBorders>
              <w:top w:val="nil"/>
              <w:left w:val="nil"/>
              <w:bottom w:val="nil"/>
              <w:right w:val="nil"/>
            </w:tcBorders>
            <w:vAlign w:val="center"/>
            <w:hideMark/>
          </w:tcPr>
          <w:p w14:paraId="1DB797CD" w14:textId="39880755" w:rsidR="0032049C" w:rsidRPr="00307457" w:rsidRDefault="0032049C" w:rsidP="0032049C">
            <w:pPr>
              <w:jc w:val="right"/>
              <w:rPr>
                <w:rFonts w:ascii="Arial" w:hAnsi="Arial" w:cs="Arial"/>
                <w:color w:val="000000"/>
              </w:rPr>
            </w:pPr>
            <w:r>
              <w:rPr>
                <w:rFonts w:ascii="Arial" w:hAnsi="Arial" w:cs="Arial"/>
                <w:color w:val="000000"/>
              </w:rPr>
              <w:t>1,546</w:t>
            </w:r>
          </w:p>
        </w:tc>
        <w:tc>
          <w:tcPr>
            <w:tcW w:w="1198" w:type="dxa"/>
            <w:tcBorders>
              <w:top w:val="nil"/>
              <w:left w:val="nil"/>
              <w:bottom w:val="nil"/>
              <w:right w:val="nil"/>
            </w:tcBorders>
            <w:vAlign w:val="center"/>
            <w:hideMark/>
          </w:tcPr>
          <w:p w14:paraId="2747471A" w14:textId="104351F1" w:rsidR="0032049C" w:rsidRPr="00307457" w:rsidRDefault="0032049C" w:rsidP="0032049C">
            <w:pPr>
              <w:jc w:val="right"/>
              <w:rPr>
                <w:rFonts w:ascii="Arial" w:hAnsi="Arial" w:cs="Arial"/>
                <w:color w:val="000000"/>
              </w:rPr>
            </w:pPr>
            <w:r>
              <w:rPr>
                <w:rFonts w:ascii="Arial" w:hAnsi="Arial" w:cs="Arial"/>
                <w:color w:val="000000"/>
              </w:rPr>
              <w:t>0</w:t>
            </w:r>
          </w:p>
        </w:tc>
        <w:tc>
          <w:tcPr>
            <w:tcW w:w="1350" w:type="dxa"/>
            <w:tcBorders>
              <w:top w:val="nil"/>
              <w:left w:val="nil"/>
              <w:bottom w:val="nil"/>
              <w:right w:val="single" w:sz="8" w:space="0" w:color="auto"/>
            </w:tcBorders>
            <w:vAlign w:val="center"/>
            <w:hideMark/>
          </w:tcPr>
          <w:p w14:paraId="747F69B0" w14:textId="2517DA72" w:rsidR="0032049C" w:rsidRPr="00307457" w:rsidRDefault="0032049C" w:rsidP="0032049C">
            <w:pPr>
              <w:jc w:val="right"/>
              <w:rPr>
                <w:rFonts w:ascii="Arial" w:hAnsi="Arial" w:cs="Arial"/>
                <w:color w:val="000000"/>
              </w:rPr>
            </w:pPr>
            <w:r>
              <w:rPr>
                <w:rFonts w:ascii="Arial" w:hAnsi="Arial" w:cs="Arial"/>
                <w:color w:val="000000"/>
              </w:rPr>
              <w:t>0</w:t>
            </w:r>
          </w:p>
        </w:tc>
      </w:tr>
      <w:tr w:rsidR="0032049C" w:rsidRPr="00307457" w14:paraId="12EE2D8F" w14:textId="77777777" w:rsidTr="0032049C">
        <w:trPr>
          <w:trHeight w:val="900"/>
        </w:trPr>
        <w:tc>
          <w:tcPr>
            <w:tcW w:w="6550" w:type="dxa"/>
            <w:tcBorders>
              <w:top w:val="nil"/>
              <w:left w:val="single" w:sz="4" w:space="0" w:color="auto"/>
              <w:bottom w:val="nil"/>
              <w:right w:val="nil"/>
            </w:tcBorders>
            <w:vAlign w:val="center"/>
            <w:hideMark/>
          </w:tcPr>
          <w:p w14:paraId="2EE116D4" w14:textId="77777777" w:rsidR="0032049C" w:rsidRPr="00307457" w:rsidRDefault="0032049C" w:rsidP="0032049C">
            <w:pPr>
              <w:ind w:firstLineChars="200" w:firstLine="400"/>
              <w:rPr>
                <w:rFonts w:ascii="Symbol" w:hAnsi="Symbol" w:cs="Calibri"/>
                <w:color w:val="000000"/>
              </w:rPr>
            </w:pPr>
            <w:r w:rsidRPr="00307457">
              <w:rPr>
                <w:rFonts w:ascii="Symbol" w:hAnsi="Symbol" w:cs="Calibri"/>
                <w:color w:val="000000"/>
              </w:rPr>
              <w:t>·</w:t>
            </w:r>
            <w:r w:rsidRPr="00307457">
              <w:rPr>
                <w:color w:val="000000"/>
                <w:sz w:val="14"/>
                <w:szCs w:val="14"/>
              </w:rPr>
              <w:t xml:space="preserve">         </w:t>
            </w:r>
            <w:r w:rsidRPr="00307457">
              <w:rPr>
                <w:rFonts w:ascii="Arial" w:hAnsi="Arial" w:cs="Arial"/>
                <w:color w:val="000000"/>
              </w:rPr>
              <w:t>Untaken leave and Time Off in Lieu (transferred to the Accumulated Absences Account</w:t>
            </w:r>
            <w:r w:rsidRPr="00307457">
              <w:rPr>
                <w:rFonts w:ascii="Symbol" w:hAnsi="Symbol" w:cs="Calibri"/>
                <w:color w:val="000000"/>
              </w:rPr>
              <w:t>)</w:t>
            </w:r>
          </w:p>
        </w:tc>
        <w:tc>
          <w:tcPr>
            <w:tcW w:w="1392" w:type="dxa"/>
            <w:tcBorders>
              <w:top w:val="nil"/>
              <w:left w:val="nil"/>
              <w:bottom w:val="nil"/>
              <w:right w:val="nil"/>
            </w:tcBorders>
            <w:vAlign w:val="center"/>
            <w:hideMark/>
          </w:tcPr>
          <w:p w14:paraId="0C358EB2" w14:textId="4409323C" w:rsidR="0032049C" w:rsidRPr="00307457" w:rsidRDefault="0032049C" w:rsidP="0032049C">
            <w:pPr>
              <w:jc w:val="right"/>
              <w:rPr>
                <w:rFonts w:ascii="Arial" w:hAnsi="Arial" w:cs="Arial"/>
                <w:color w:val="000000"/>
              </w:rPr>
            </w:pPr>
            <w:r>
              <w:rPr>
                <w:rFonts w:ascii="Arial" w:hAnsi="Arial" w:cs="Arial"/>
                <w:color w:val="000000"/>
              </w:rPr>
              <w:t>(10)</w:t>
            </w:r>
          </w:p>
        </w:tc>
        <w:tc>
          <w:tcPr>
            <w:tcW w:w="1198" w:type="dxa"/>
            <w:tcBorders>
              <w:top w:val="nil"/>
              <w:left w:val="nil"/>
              <w:bottom w:val="nil"/>
              <w:right w:val="nil"/>
            </w:tcBorders>
            <w:vAlign w:val="center"/>
            <w:hideMark/>
          </w:tcPr>
          <w:p w14:paraId="7DB007AB" w14:textId="31AAECB3" w:rsidR="0032049C" w:rsidRPr="00307457" w:rsidRDefault="0032049C" w:rsidP="0032049C">
            <w:pPr>
              <w:jc w:val="right"/>
              <w:rPr>
                <w:rFonts w:ascii="Arial" w:hAnsi="Arial" w:cs="Arial"/>
                <w:color w:val="000000"/>
              </w:rPr>
            </w:pPr>
            <w:r>
              <w:rPr>
                <w:rFonts w:ascii="Arial" w:hAnsi="Arial" w:cs="Arial"/>
                <w:color w:val="000000"/>
              </w:rPr>
              <w:t>0</w:t>
            </w:r>
          </w:p>
        </w:tc>
        <w:tc>
          <w:tcPr>
            <w:tcW w:w="1350" w:type="dxa"/>
            <w:tcBorders>
              <w:top w:val="nil"/>
              <w:left w:val="nil"/>
              <w:bottom w:val="nil"/>
              <w:right w:val="single" w:sz="8" w:space="0" w:color="auto"/>
            </w:tcBorders>
            <w:vAlign w:val="center"/>
            <w:hideMark/>
          </w:tcPr>
          <w:p w14:paraId="6523367C" w14:textId="1F49E16D" w:rsidR="0032049C" w:rsidRPr="00307457" w:rsidRDefault="0032049C" w:rsidP="0032049C">
            <w:pPr>
              <w:jc w:val="right"/>
              <w:rPr>
                <w:rFonts w:ascii="Arial" w:hAnsi="Arial" w:cs="Arial"/>
                <w:color w:val="000000"/>
              </w:rPr>
            </w:pPr>
            <w:r>
              <w:rPr>
                <w:rFonts w:ascii="Arial" w:hAnsi="Arial" w:cs="Arial"/>
                <w:color w:val="000000"/>
              </w:rPr>
              <w:t>0</w:t>
            </w:r>
          </w:p>
        </w:tc>
      </w:tr>
      <w:tr w:rsidR="0032049C" w:rsidRPr="00307457" w14:paraId="68A88A5D" w14:textId="77777777" w:rsidTr="0032049C">
        <w:trPr>
          <w:trHeight w:val="900"/>
        </w:trPr>
        <w:tc>
          <w:tcPr>
            <w:tcW w:w="6550" w:type="dxa"/>
            <w:tcBorders>
              <w:top w:val="nil"/>
              <w:left w:val="single" w:sz="4" w:space="0" w:color="auto"/>
              <w:bottom w:val="nil"/>
              <w:right w:val="nil"/>
            </w:tcBorders>
            <w:vAlign w:val="center"/>
            <w:hideMark/>
          </w:tcPr>
          <w:p w14:paraId="565679C0" w14:textId="77777777" w:rsidR="0032049C" w:rsidRPr="00307457" w:rsidRDefault="0032049C" w:rsidP="0032049C">
            <w:pPr>
              <w:ind w:firstLineChars="200" w:firstLine="400"/>
              <w:rPr>
                <w:rFonts w:ascii="Symbol" w:hAnsi="Symbol" w:cs="Calibri"/>
                <w:color w:val="000000"/>
              </w:rPr>
            </w:pPr>
            <w:r w:rsidRPr="00307457">
              <w:rPr>
                <w:rFonts w:ascii="Symbol" w:hAnsi="Symbol" w:cs="Calibri"/>
                <w:color w:val="000000"/>
              </w:rPr>
              <w:t>·</w:t>
            </w:r>
            <w:r w:rsidRPr="00307457">
              <w:rPr>
                <w:color w:val="000000"/>
                <w:sz w:val="14"/>
                <w:szCs w:val="14"/>
              </w:rPr>
              <w:t xml:space="preserve">         </w:t>
            </w:r>
            <w:r w:rsidRPr="00307457">
              <w:rPr>
                <w:rFonts w:ascii="Arial" w:hAnsi="Arial" w:cs="Arial"/>
                <w:color w:val="000000"/>
              </w:rPr>
              <w:t>Reversal of entries included in the deficit on provision of services in relation to capital expenditure (these items are charged to the Capital Adjustment Account</w:t>
            </w:r>
            <w:r w:rsidRPr="00307457">
              <w:rPr>
                <w:rFonts w:ascii="Symbol" w:hAnsi="Symbol" w:cs="Calibri"/>
                <w:color w:val="000000"/>
              </w:rPr>
              <w:t>)</w:t>
            </w:r>
          </w:p>
        </w:tc>
        <w:tc>
          <w:tcPr>
            <w:tcW w:w="1392" w:type="dxa"/>
            <w:tcBorders>
              <w:top w:val="nil"/>
              <w:left w:val="nil"/>
              <w:bottom w:val="nil"/>
              <w:right w:val="nil"/>
            </w:tcBorders>
            <w:vAlign w:val="center"/>
            <w:hideMark/>
          </w:tcPr>
          <w:p w14:paraId="4E899A6F" w14:textId="08F77460" w:rsidR="0032049C" w:rsidRPr="00307457" w:rsidRDefault="0032049C" w:rsidP="0032049C">
            <w:pPr>
              <w:jc w:val="right"/>
              <w:rPr>
                <w:rFonts w:ascii="Arial" w:hAnsi="Arial" w:cs="Arial"/>
                <w:color w:val="000000"/>
              </w:rPr>
            </w:pPr>
            <w:r>
              <w:rPr>
                <w:rFonts w:ascii="Arial" w:hAnsi="Arial" w:cs="Arial"/>
                <w:color w:val="000000"/>
              </w:rPr>
              <w:t>(22,</w:t>
            </w:r>
            <w:r w:rsidR="001D1F72">
              <w:rPr>
                <w:rFonts w:ascii="Arial" w:hAnsi="Arial" w:cs="Arial"/>
                <w:color w:val="000000"/>
              </w:rPr>
              <w:t>377</w:t>
            </w:r>
            <w:r>
              <w:rPr>
                <w:rFonts w:ascii="Arial" w:hAnsi="Arial" w:cs="Arial"/>
                <w:color w:val="000000"/>
              </w:rPr>
              <w:t>)</w:t>
            </w:r>
          </w:p>
        </w:tc>
        <w:tc>
          <w:tcPr>
            <w:tcW w:w="1198" w:type="dxa"/>
            <w:tcBorders>
              <w:top w:val="nil"/>
              <w:left w:val="nil"/>
              <w:bottom w:val="nil"/>
              <w:right w:val="nil"/>
            </w:tcBorders>
            <w:vAlign w:val="center"/>
            <w:hideMark/>
          </w:tcPr>
          <w:p w14:paraId="0FF66C71" w14:textId="0CC8CCC7" w:rsidR="0032049C" w:rsidRPr="00307457" w:rsidRDefault="0032049C" w:rsidP="0032049C">
            <w:pPr>
              <w:jc w:val="right"/>
              <w:rPr>
                <w:rFonts w:ascii="Arial" w:hAnsi="Arial" w:cs="Arial"/>
                <w:color w:val="000000"/>
              </w:rPr>
            </w:pPr>
            <w:r>
              <w:rPr>
                <w:rFonts w:ascii="Arial" w:hAnsi="Arial" w:cs="Arial"/>
                <w:color w:val="000000"/>
              </w:rPr>
              <w:t>0</w:t>
            </w:r>
          </w:p>
        </w:tc>
        <w:tc>
          <w:tcPr>
            <w:tcW w:w="1350" w:type="dxa"/>
            <w:tcBorders>
              <w:top w:val="nil"/>
              <w:left w:val="nil"/>
              <w:bottom w:val="nil"/>
              <w:right w:val="single" w:sz="8" w:space="0" w:color="auto"/>
            </w:tcBorders>
            <w:vAlign w:val="center"/>
            <w:hideMark/>
          </w:tcPr>
          <w:p w14:paraId="7BAAF5E7" w14:textId="45B01376" w:rsidR="0032049C" w:rsidRPr="00307457" w:rsidRDefault="0032049C" w:rsidP="0032049C">
            <w:pPr>
              <w:jc w:val="right"/>
              <w:rPr>
                <w:rFonts w:ascii="Arial" w:hAnsi="Arial" w:cs="Arial"/>
                <w:color w:val="000000"/>
              </w:rPr>
            </w:pPr>
            <w:r>
              <w:rPr>
                <w:rFonts w:ascii="Arial" w:hAnsi="Arial" w:cs="Arial"/>
                <w:color w:val="000000"/>
              </w:rPr>
              <w:t>0</w:t>
            </w:r>
          </w:p>
        </w:tc>
      </w:tr>
      <w:tr w:rsidR="0032049C" w:rsidRPr="00307457" w14:paraId="52FF5DDB" w14:textId="77777777" w:rsidTr="0032049C">
        <w:trPr>
          <w:trHeight w:val="300"/>
        </w:trPr>
        <w:tc>
          <w:tcPr>
            <w:tcW w:w="6550" w:type="dxa"/>
            <w:tcBorders>
              <w:top w:val="nil"/>
              <w:left w:val="single" w:sz="4" w:space="0" w:color="auto"/>
              <w:bottom w:val="nil"/>
              <w:right w:val="nil"/>
            </w:tcBorders>
            <w:shd w:val="clear" w:color="000000" w:fill="CCCCCC"/>
            <w:vAlign w:val="center"/>
            <w:hideMark/>
          </w:tcPr>
          <w:p w14:paraId="24D0FDE9" w14:textId="77777777" w:rsidR="0032049C" w:rsidRPr="00307457" w:rsidRDefault="0032049C" w:rsidP="0032049C">
            <w:pPr>
              <w:rPr>
                <w:rFonts w:ascii="Arial" w:hAnsi="Arial" w:cs="Arial"/>
                <w:b/>
                <w:bCs/>
                <w:color w:val="000000"/>
              </w:rPr>
            </w:pPr>
            <w:r w:rsidRPr="00307457">
              <w:rPr>
                <w:rFonts w:ascii="Arial" w:hAnsi="Arial" w:cs="Arial"/>
                <w:b/>
                <w:bCs/>
                <w:color w:val="000000"/>
              </w:rPr>
              <w:t>Total Adjustments to Revenue Resources</w:t>
            </w:r>
          </w:p>
        </w:tc>
        <w:tc>
          <w:tcPr>
            <w:tcW w:w="1392" w:type="dxa"/>
            <w:tcBorders>
              <w:top w:val="nil"/>
              <w:left w:val="nil"/>
              <w:bottom w:val="nil"/>
              <w:right w:val="nil"/>
            </w:tcBorders>
            <w:shd w:val="clear" w:color="000000" w:fill="CCCCCC"/>
            <w:vAlign w:val="center"/>
            <w:hideMark/>
          </w:tcPr>
          <w:p w14:paraId="00A98B3F" w14:textId="6BE454AA" w:rsidR="0032049C" w:rsidRPr="00307457" w:rsidRDefault="0032049C" w:rsidP="0032049C">
            <w:pPr>
              <w:jc w:val="right"/>
              <w:rPr>
                <w:rFonts w:ascii="Arial" w:hAnsi="Arial" w:cs="Arial"/>
                <w:b/>
                <w:bCs/>
                <w:color w:val="000000"/>
              </w:rPr>
            </w:pPr>
            <w:r>
              <w:rPr>
                <w:rFonts w:ascii="Arial" w:hAnsi="Arial" w:cs="Arial"/>
                <w:b/>
                <w:bCs/>
                <w:color w:val="000000"/>
              </w:rPr>
              <w:t>(20,</w:t>
            </w:r>
            <w:r w:rsidR="001D1F72">
              <w:rPr>
                <w:rFonts w:ascii="Arial" w:hAnsi="Arial" w:cs="Arial"/>
                <w:b/>
                <w:bCs/>
                <w:color w:val="000000"/>
              </w:rPr>
              <w:t>732</w:t>
            </w:r>
            <w:r>
              <w:rPr>
                <w:rFonts w:ascii="Arial" w:hAnsi="Arial" w:cs="Arial"/>
                <w:b/>
                <w:bCs/>
                <w:color w:val="000000"/>
              </w:rPr>
              <w:t>)</w:t>
            </w:r>
          </w:p>
        </w:tc>
        <w:tc>
          <w:tcPr>
            <w:tcW w:w="1198" w:type="dxa"/>
            <w:tcBorders>
              <w:top w:val="nil"/>
              <w:left w:val="nil"/>
              <w:bottom w:val="nil"/>
              <w:right w:val="nil"/>
            </w:tcBorders>
            <w:shd w:val="clear" w:color="000000" w:fill="CCCCCC"/>
            <w:vAlign w:val="center"/>
            <w:hideMark/>
          </w:tcPr>
          <w:p w14:paraId="034F9AD3" w14:textId="429DF5D3" w:rsidR="0032049C" w:rsidRPr="00307457" w:rsidRDefault="0032049C" w:rsidP="0032049C">
            <w:pPr>
              <w:jc w:val="right"/>
              <w:rPr>
                <w:rFonts w:ascii="Arial" w:hAnsi="Arial" w:cs="Arial"/>
                <w:b/>
                <w:bCs/>
                <w:color w:val="000000"/>
              </w:rPr>
            </w:pPr>
            <w:r>
              <w:rPr>
                <w:rFonts w:ascii="Arial" w:hAnsi="Arial" w:cs="Arial"/>
                <w:b/>
                <w:bCs/>
                <w:color w:val="000000"/>
              </w:rPr>
              <w:t>0</w:t>
            </w:r>
          </w:p>
        </w:tc>
        <w:tc>
          <w:tcPr>
            <w:tcW w:w="1350" w:type="dxa"/>
            <w:tcBorders>
              <w:top w:val="nil"/>
              <w:left w:val="nil"/>
              <w:bottom w:val="nil"/>
              <w:right w:val="single" w:sz="8" w:space="0" w:color="auto"/>
            </w:tcBorders>
            <w:shd w:val="clear" w:color="000000" w:fill="CCCCCC"/>
            <w:vAlign w:val="center"/>
            <w:hideMark/>
          </w:tcPr>
          <w:p w14:paraId="1FF34734" w14:textId="47FB4B1B" w:rsidR="0032049C" w:rsidRPr="00307457" w:rsidRDefault="0032049C" w:rsidP="0032049C">
            <w:pPr>
              <w:jc w:val="right"/>
              <w:rPr>
                <w:rFonts w:ascii="Arial" w:hAnsi="Arial" w:cs="Arial"/>
                <w:b/>
                <w:bCs/>
                <w:color w:val="000000"/>
              </w:rPr>
            </w:pPr>
            <w:r>
              <w:rPr>
                <w:rFonts w:ascii="Arial" w:hAnsi="Arial" w:cs="Arial"/>
                <w:b/>
                <w:bCs/>
                <w:color w:val="000000"/>
              </w:rPr>
              <w:t>0</w:t>
            </w:r>
          </w:p>
        </w:tc>
      </w:tr>
      <w:tr w:rsidR="0032049C" w:rsidRPr="00307457" w14:paraId="117C45C3" w14:textId="77777777" w:rsidTr="0032049C">
        <w:trPr>
          <w:trHeight w:val="300"/>
        </w:trPr>
        <w:tc>
          <w:tcPr>
            <w:tcW w:w="6550" w:type="dxa"/>
            <w:tcBorders>
              <w:top w:val="nil"/>
              <w:left w:val="single" w:sz="4" w:space="0" w:color="auto"/>
              <w:bottom w:val="nil"/>
              <w:right w:val="nil"/>
            </w:tcBorders>
            <w:shd w:val="clear" w:color="000000" w:fill="auto"/>
            <w:vAlign w:val="center"/>
            <w:hideMark/>
          </w:tcPr>
          <w:p w14:paraId="29C08273" w14:textId="77777777" w:rsidR="0032049C" w:rsidRPr="00307457" w:rsidRDefault="0032049C" w:rsidP="0032049C">
            <w:pPr>
              <w:rPr>
                <w:rFonts w:ascii="Arial" w:hAnsi="Arial" w:cs="Arial"/>
                <w:b/>
                <w:bCs/>
                <w:color w:val="000000"/>
              </w:rPr>
            </w:pPr>
            <w:r w:rsidRPr="00307457">
              <w:rPr>
                <w:rFonts w:ascii="Arial" w:hAnsi="Arial" w:cs="Arial"/>
                <w:b/>
                <w:bCs/>
                <w:color w:val="000000"/>
              </w:rPr>
              <w:t>Adjustments between Revenue and Capital Resources</w:t>
            </w:r>
          </w:p>
        </w:tc>
        <w:tc>
          <w:tcPr>
            <w:tcW w:w="1392" w:type="dxa"/>
            <w:tcBorders>
              <w:top w:val="nil"/>
              <w:left w:val="nil"/>
              <w:bottom w:val="nil"/>
              <w:right w:val="nil"/>
            </w:tcBorders>
            <w:shd w:val="clear" w:color="000000" w:fill="auto"/>
            <w:vAlign w:val="center"/>
            <w:hideMark/>
          </w:tcPr>
          <w:p w14:paraId="59593684" w14:textId="77777777" w:rsidR="0032049C" w:rsidRPr="00307457" w:rsidRDefault="0032049C" w:rsidP="0032049C">
            <w:pPr>
              <w:rPr>
                <w:rFonts w:ascii="Arial" w:hAnsi="Arial" w:cs="Arial"/>
                <w:b/>
                <w:bCs/>
                <w:color w:val="000000"/>
              </w:rPr>
            </w:pPr>
          </w:p>
        </w:tc>
        <w:tc>
          <w:tcPr>
            <w:tcW w:w="1198" w:type="dxa"/>
            <w:tcBorders>
              <w:top w:val="nil"/>
              <w:left w:val="nil"/>
              <w:bottom w:val="nil"/>
              <w:right w:val="nil"/>
            </w:tcBorders>
            <w:shd w:val="clear" w:color="000000" w:fill="auto"/>
            <w:vAlign w:val="center"/>
            <w:hideMark/>
          </w:tcPr>
          <w:p w14:paraId="4E8D3D65" w14:textId="77777777" w:rsidR="0032049C" w:rsidRPr="00307457" w:rsidRDefault="0032049C" w:rsidP="0032049C">
            <w:pPr>
              <w:jc w:val="right"/>
            </w:pPr>
          </w:p>
        </w:tc>
        <w:tc>
          <w:tcPr>
            <w:tcW w:w="1350" w:type="dxa"/>
            <w:tcBorders>
              <w:top w:val="nil"/>
              <w:left w:val="nil"/>
              <w:bottom w:val="nil"/>
              <w:right w:val="single" w:sz="8" w:space="0" w:color="auto"/>
            </w:tcBorders>
            <w:shd w:val="clear" w:color="000000" w:fill="auto"/>
            <w:vAlign w:val="center"/>
            <w:hideMark/>
          </w:tcPr>
          <w:p w14:paraId="1B79248F" w14:textId="0E7D1C1C" w:rsidR="0032049C" w:rsidRPr="00307457" w:rsidRDefault="0032049C" w:rsidP="0032049C">
            <w:pPr>
              <w:jc w:val="right"/>
            </w:pPr>
            <w:r>
              <w:rPr>
                <w:rFonts w:ascii="Arial" w:hAnsi="Arial" w:cs="Arial"/>
                <w:color w:val="000000"/>
              </w:rPr>
              <w:t> </w:t>
            </w:r>
          </w:p>
        </w:tc>
      </w:tr>
      <w:tr w:rsidR="00271DCF" w:rsidRPr="00307457" w14:paraId="68C07084" w14:textId="77777777" w:rsidTr="0032049C">
        <w:trPr>
          <w:trHeight w:val="600"/>
        </w:trPr>
        <w:tc>
          <w:tcPr>
            <w:tcW w:w="6550" w:type="dxa"/>
            <w:tcBorders>
              <w:top w:val="nil"/>
              <w:left w:val="single" w:sz="4" w:space="0" w:color="auto"/>
              <w:bottom w:val="nil"/>
              <w:right w:val="nil"/>
            </w:tcBorders>
            <w:shd w:val="clear" w:color="000000" w:fill="auto"/>
            <w:vAlign w:val="center"/>
            <w:hideMark/>
          </w:tcPr>
          <w:p w14:paraId="678D0C13" w14:textId="77777777" w:rsidR="00271DCF" w:rsidRPr="00307457" w:rsidRDefault="00271DCF" w:rsidP="00271DCF">
            <w:pPr>
              <w:rPr>
                <w:rFonts w:ascii="Arial" w:hAnsi="Arial" w:cs="Arial"/>
                <w:color w:val="000000"/>
              </w:rPr>
            </w:pPr>
            <w:r w:rsidRPr="00307457">
              <w:rPr>
                <w:rFonts w:ascii="Arial" w:hAnsi="Arial" w:cs="Arial"/>
                <w:color w:val="000000"/>
              </w:rPr>
              <w:t>Transfer of non-current asset sale proceeds from revenue to the Capital Receipts Reserve</w:t>
            </w:r>
          </w:p>
        </w:tc>
        <w:tc>
          <w:tcPr>
            <w:tcW w:w="1392" w:type="dxa"/>
            <w:tcBorders>
              <w:top w:val="nil"/>
              <w:left w:val="nil"/>
              <w:bottom w:val="nil"/>
              <w:right w:val="nil"/>
            </w:tcBorders>
            <w:shd w:val="clear" w:color="000000" w:fill="auto"/>
            <w:vAlign w:val="center"/>
            <w:hideMark/>
          </w:tcPr>
          <w:p w14:paraId="2915249F" w14:textId="573323B7" w:rsidR="00271DCF" w:rsidRPr="00307457" w:rsidRDefault="00271DCF" w:rsidP="00271DCF">
            <w:pPr>
              <w:jc w:val="right"/>
              <w:rPr>
                <w:rFonts w:ascii="Arial" w:hAnsi="Arial" w:cs="Arial"/>
                <w:color w:val="000000"/>
              </w:rPr>
            </w:pPr>
            <w:r>
              <w:rPr>
                <w:rFonts w:ascii="Arial" w:hAnsi="Arial" w:cs="Arial"/>
                <w:color w:val="000000"/>
              </w:rPr>
              <w:t>91</w:t>
            </w:r>
          </w:p>
        </w:tc>
        <w:tc>
          <w:tcPr>
            <w:tcW w:w="1198" w:type="dxa"/>
            <w:tcBorders>
              <w:top w:val="nil"/>
              <w:left w:val="nil"/>
              <w:bottom w:val="nil"/>
              <w:right w:val="nil"/>
            </w:tcBorders>
            <w:shd w:val="clear" w:color="000000" w:fill="auto"/>
            <w:vAlign w:val="center"/>
            <w:hideMark/>
          </w:tcPr>
          <w:p w14:paraId="2B2ABAEF" w14:textId="46DA12F2" w:rsidR="00271DCF" w:rsidRPr="00307457" w:rsidRDefault="00271DCF" w:rsidP="00271DCF">
            <w:pPr>
              <w:jc w:val="right"/>
              <w:rPr>
                <w:rFonts w:ascii="Arial" w:hAnsi="Arial" w:cs="Arial"/>
                <w:color w:val="000000"/>
              </w:rPr>
            </w:pPr>
            <w:r>
              <w:rPr>
                <w:rFonts w:ascii="Arial" w:hAnsi="Arial" w:cs="Arial"/>
                <w:color w:val="000000"/>
              </w:rPr>
              <w:t>(91)</w:t>
            </w:r>
          </w:p>
        </w:tc>
        <w:tc>
          <w:tcPr>
            <w:tcW w:w="1350" w:type="dxa"/>
            <w:tcBorders>
              <w:top w:val="nil"/>
              <w:left w:val="nil"/>
              <w:bottom w:val="nil"/>
              <w:right w:val="single" w:sz="8" w:space="0" w:color="auto"/>
            </w:tcBorders>
            <w:shd w:val="clear" w:color="000000" w:fill="auto"/>
            <w:vAlign w:val="center"/>
            <w:hideMark/>
          </w:tcPr>
          <w:p w14:paraId="21522E21" w14:textId="54EE277E" w:rsidR="00271DCF" w:rsidRPr="00307457" w:rsidRDefault="00271DCF" w:rsidP="00271DCF">
            <w:pPr>
              <w:jc w:val="right"/>
              <w:rPr>
                <w:rFonts w:ascii="Arial" w:hAnsi="Arial" w:cs="Arial"/>
                <w:color w:val="000000"/>
              </w:rPr>
            </w:pPr>
            <w:r>
              <w:rPr>
                <w:rFonts w:ascii="Arial" w:hAnsi="Arial" w:cs="Arial"/>
                <w:color w:val="000000"/>
              </w:rPr>
              <w:t>0</w:t>
            </w:r>
          </w:p>
        </w:tc>
      </w:tr>
      <w:tr w:rsidR="00271DCF" w:rsidRPr="00307457" w14:paraId="74BD76E1" w14:textId="77777777" w:rsidTr="0032049C">
        <w:trPr>
          <w:trHeight w:val="600"/>
        </w:trPr>
        <w:tc>
          <w:tcPr>
            <w:tcW w:w="6550" w:type="dxa"/>
            <w:tcBorders>
              <w:top w:val="nil"/>
              <w:left w:val="single" w:sz="4" w:space="0" w:color="auto"/>
              <w:bottom w:val="nil"/>
              <w:right w:val="nil"/>
            </w:tcBorders>
            <w:shd w:val="clear" w:color="000000" w:fill="auto"/>
            <w:vAlign w:val="center"/>
            <w:hideMark/>
          </w:tcPr>
          <w:p w14:paraId="39A97190" w14:textId="78E6EEA3" w:rsidR="00271DCF" w:rsidRPr="00307457" w:rsidRDefault="00271DCF" w:rsidP="00271DCF">
            <w:pPr>
              <w:rPr>
                <w:rFonts w:ascii="Arial" w:hAnsi="Arial" w:cs="Arial"/>
                <w:color w:val="000000"/>
              </w:rPr>
            </w:pPr>
            <w:r w:rsidRPr="00307457">
              <w:rPr>
                <w:rFonts w:ascii="Arial" w:hAnsi="Arial" w:cs="Arial"/>
                <w:color w:val="000000"/>
              </w:rPr>
              <w:t xml:space="preserve">Statutory provision for the repayment of debt (transfer </w:t>
            </w:r>
            <w:r>
              <w:rPr>
                <w:rFonts w:ascii="Arial" w:hAnsi="Arial" w:cs="Arial"/>
                <w:color w:val="000000"/>
              </w:rPr>
              <w:t>to</w:t>
            </w:r>
            <w:r w:rsidRPr="00307457">
              <w:rPr>
                <w:rFonts w:ascii="Arial" w:hAnsi="Arial" w:cs="Arial"/>
                <w:color w:val="000000"/>
              </w:rPr>
              <w:t xml:space="preserve"> the Capital Adjustment Account)</w:t>
            </w:r>
          </w:p>
        </w:tc>
        <w:tc>
          <w:tcPr>
            <w:tcW w:w="1392" w:type="dxa"/>
            <w:tcBorders>
              <w:top w:val="nil"/>
              <w:left w:val="nil"/>
              <w:bottom w:val="nil"/>
              <w:right w:val="nil"/>
            </w:tcBorders>
            <w:shd w:val="clear" w:color="000000" w:fill="auto"/>
            <w:vAlign w:val="center"/>
            <w:hideMark/>
          </w:tcPr>
          <w:p w14:paraId="34767396" w14:textId="29197088" w:rsidR="00271DCF" w:rsidRPr="00307457" w:rsidRDefault="00271DCF" w:rsidP="00271DCF">
            <w:pPr>
              <w:jc w:val="right"/>
              <w:rPr>
                <w:rFonts w:ascii="Arial" w:hAnsi="Arial" w:cs="Arial"/>
                <w:color w:val="000000"/>
              </w:rPr>
            </w:pPr>
            <w:r>
              <w:rPr>
                <w:rFonts w:ascii="Arial" w:hAnsi="Arial" w:cs="Arial"/>
                <w:color w:val="000000"/>
              </w:rPr>
              <w:t>2,</w:t>
            </w:r>
            <w:r w:rsidR="001D1F72">
              <w:rPr>
                <w:rFonts w:ascii="Arial" w:hAnsi="Arial" w:cs="Arial"/>
                <w:color w:val="000000"/>
              </w:rPr>
              <w:t>408</w:t>
            </w:r>
          </w:p>
        </w:tc>
        <w:tc>
          <w:tcPr>
            <w:tcW w:w="1198" w:type="dxa"/>
            <w:tcBorders>
              <w:top w:val="nil"/>
              <w:left w:val="nil"/>
              <w:bottom w:val="nil"/>
              <w:right w:val="nil"/>
            </w:tcBorders>
            <w:shd w:val="clear" w:color="000000" w:fill="auto"/>
            <w:vAlign w:val="center"/>
            <w:hideMark/>
          </w:tcPr>
          <w:p w14:paraId="3F3D05E7" w14:textId="1DC69BBF" w:rsidR="00271DCF" w:rsidRPr="00307457" w:rsidRDefault="00271DCF" w:rsidP="00271DCF">
            <w:pPr>
              <w:jc w:val="right"/>
              <w:rPr>
                <w:rFonts w:ascii="Arial" w:hAnsi="Arial" w:cs="Arial"/>
                <w:color w:val="000000"/>
              </w:rPr>
            </w:pPr>
            <w:r>
              <w:rPr>
                <w:rFonts w:ascii="Arial" w:hAnsi="Arial" w:cs="Arial"/>
                <w:color w:val="000000"/>
              </w:rPr>
              <w:t>0</w:t>
            </w:r>
          </w:p>
        </w:tc>
        <w:tc>
          <w:tcPr>
            <w:tcW w:w="1350" w:type="dxa"/>
            <w:tcBorders>
              <w:top w:val="nil"/>
              <w:left w:val="nil"/>
              <w:bottom w:val="nil"/>
              <w:right w:val="single" w:sz="8" w:space="0" w:color="auto"/>
            </w:tcBorders>
            <w:shd w:val="clear" w:color="000000" w:fill="auto"/>
            <w:vAlign w:val="center"/>
            <w:hideMark/>
          </w:tcPr>
          <w:p w14:paraId="2318428A" w14:textId="45985779" w:rsidR="00271DCF" w:rsidRPr="00307457" w:rsidRDefault="00271DCF" w:rsidP="00271DCF">
            <w:pPr>
              <w:jc w:val="right"/>
              <w:rPr>
                <w:rFonts w:ascii="Arial" w:hAnsi="Arial" w:cs="Arial"/>
                <w:color w:val="000000"/>
              </w:rPr>
            </w:pPr>
            <w:r>
              <w:rPr>
                <w:rFonts w:ascii="Arial" w:hAnsi="Arial" w:cs="Arial"/>
                <w:color w:val="000000"/>
              </w:rPr>
              <w:t>0</w:t>
            </w:r>
          </w:p>
        </w:tc>
      </w:tr>
      <w:tr w:rsidR="00271DCF" w:rsidRPr="00307457" w14:paraId="57FDD684" w14:textId="77777777" w:rsidTr="0032049C">
        <w:trPr>
          <w:trHeight w:val="600"/>
        </w:trPr>
        <w:tc>
          <w:tcPr>
            <w:tcW w:w="6550" w:type="dxa"/>
            <w:tcBorders>
              <w:top w:val="nil"/>
              <w:left w:val="single" w:sz="4" w:space="0" w:color="auto"/>
              <w:bottom w:val="nil"/>
              <w:right w:val="nil"/>
            </w:tcBorders>
            <w:shd w:val="clear" w:color="000000" w:fill="auto"/>
            <w:vAlign w:val="center"/>
            <w:hideMark/>
          </w:tcPr>
          <w:p w14:paraId="23869245" w14:textId="77777777" w:rsidR="00271DCF" w:rsidRPr="00307457" w:rsidRDefault="00271DCF" w:rsidP="00271DCF">
            <w:pPr>
              <w:rPr>
                <w:rFonts w:ascii="Arial" w:hAnsi="Arial" w:cs="Arial"/>
                <w:color w:val="000000"/>
              </w:rPr>
            </w:pPr>
            <w:r w:rsidRPr="00307457">
              <w:rPr>
                <w:rFonts w:ascii="Arial" w:hAnsi="Arial" w:cs="Arial"/>
                <w:color w:val="000000"/>
              </w:rPr>
              <w:t>Capital expenditure financed from revenue balances (transfer to the Capital Adjustment Account)</w:t>
            </w:r>
          </w:p>
        </w:tc>
        <w:tc>
          <w:tcPr>
            <w:tcW w:w="1392" w:type="dxa"/>
            <w:tcBorders>
              <w:top w:val="nil"/>
              <w:left w:val="nil"/>
              <w:bottom w:val="nil"/>
              <w:right w:val="nil"/>
            </w:tcBorders>
            <w:shd w:val="clear" w:color="000000" w:fill="auto"/>
            <w:vAlign w:val="center"/>
            <w:hideMark/>
          </w:tcPr>
          <w:p w14:paraId="7CA636B5" w14:textId="135DCF1B" w:rsidR="00271DCF" w:rsidRPr="00307457" w:rsidRDefault="00271DCF" w:rsidP="00271DCF">
            <w:pPr>
              <w:jc w:val="right"/>
              <w:rPr>
                <w:rFonts w:ascii="Arial" w:hAnsi="Arial" w:cs="Arial"/>
                <w:color w:val="000000"/>
              </w:rPr>
            </w:pPr>
            <w:r>
              <w:rPr>
                <w:rFonts w:ascii="Arial" w:hAnsi="Arial" w:cs="Arial"/>
                <w:color w:val="000000"/>
              </w:rPr>
              <w:t>13,385</w:t>
            </w:r>
          </w:p>
        </w:tc>
        <w:tc>
          <w:tcPr>
            <w:tcW w:w="1198" w:type="dxa"/>
            <w:tcBorders>
              <w:top w:val="nil"/>
              <w:left w:val="nil"/>
              <w:bottom w:val="nil"/>
              <w:right w:val="nil"/>
            </w:tcBorders>
            <w:shd w:val="clear" w:color="000000" w:fill="auto"/>
            <w:vAlign w:val="center"/>
            <w:hideMark/>
          </w:tcPr>
          <w:p w14:paraId="0F8DAF33" w14:textId="544F5711" w:rsidR="00271DCF" w:rsidRPr="00307457" w:rsidRDefault="00271DCF" w:rsidP="00271DCF">
            <w:pPr>
              <w:jc w:val="right"/>
              <w:rPr>
                <w:rFonts w:ascii="Arial" w:hAnsi="Arial" w:cs="Arial"/>
                <w:color w:val="000000"/>
              </w:rPr>
            </w:pPr>
            <w:r>
              <w:rPr>
                <w:rFonts w:ascii="Arial" w:hAnsi="Arial" w:cs="Arial"/>
                <w:color w:val="000000"/>
              </w:rPr>
              <w:t>0</w:t>
            </w:r>
          </w:p>
        </w:tc>
        <w:tc>
          <w:tcPr>
            <w:tcW w:w="1350" w:type="dxa"/>
            <w:tcBorders>
              <w:top w:val="nil"/>
              <w:left w:val="nil"/>
              <w:bottom w:val="nil"/>
              <w:right w:val="single" w:sz="8" w:space="0" w:color="auto"/>
            </w:tcBorders>
            <w:shd w:val="clear" w:color="000000" w:fill="auto"/>
            <w:vAlign w:val="center"/>
            <w:hideMark/>
          </w:tcPr>
          <w:p w14:paraId="4986EB4D" w14:textId="6846450D" w:rsidR="00271DCF" w:rsidRPr="00307457" w:rsidRDefault="00271DCF" w:rsidP="00271DCF">
            <w:pPr>
              <w:jc w:val="right"/>
              <w:rPr>
                <w:rFonts w:ascii="Arial" w:hAnsi="Arial" w:cs="Arial"/>
                <w:color w:val="000000"/>
              </w:rPr>
            </w:pPr>
            <w:r>
              <w:rPr>
                <w:rFonts w:ascii="Arial" w:hAnsi="Arial" w:cs="Arial"/>
                <w:color w:val="000000"/>
              </w:rPr>
              <w:t>0</w:t>
            </w:r>
          </w:p>
        </w:tc>
      </w:tr>
      <w:tr w:rsidR="00271DCF" w:rsidRPr="00307457" w14:paraId="48CBABD5" w14:textId="77777777" w:rsidTr="0032049C">
        <w:trPr>
          <w:trHeight w:val="300"/>
        </w:trPr>
        <w:tc>
          <w:tcPr>
            <w:tcW w:w="6550" w:type="dxa"/>
            <w:tcBorders>
              <w:top w:val="nil"/>
              <w:left w:val="single" w:sz="4" w:space="0" w:color="auto"/>
              <w:bottom w:val="nil"/>
              <w:right w:val="nil"/>
            </w:tcBorders>
            <w:shd w:val="clear" w:color="000000" w:fill="CCCCCC"/>
            <w:vAlign w:val="center"/>
            <w:hideMark/>
          </w:tcPr>
          <w:p w14:paraId="401B7539" w14:textId="77777777" w:rsidR="00271DCF" w:rsidRPr="00307457" w:rsidRDefault="00271DCF" w:rsidP="00271DCF">
            <w:pPr>
              <w:rPr>
                <w:rFonts w:ascii="Arial" w:hAnsi="Arial" w:cs="Arial"/>
                <w:b/>
                <w:bCs/>
                <w:color w:val="000000"/>
              </w:rPr>
            </w:pPr>
            <w:r w:rsidRPr="00307457">
              <w:rPr>
                <w:rFonts w:ascii="Arial" w:hAnsi="Arial" w:cs="Arial"/>
                <w:b/>
                <w:bCs/>
                <w:color w:val="000000"/>
              </w:rPr>
              <w:t>Total Adjustments between Revenue and Capital Resources</w:t>
            </w:r>
          </w:p>
        </w:tc>
        <w:tc>
          <w:tcPr>
            <w:tcW w:w="1392" w:type="dxa"/>
            <w:tcBorders>
              <w:top w:val="nil"/>
              <w:left w:val="nil"/>
              <w:bottom w:val="nil"/>
              <w:right w:val="nil"/>
            </w:tcBorders>
            <w:shd w:val="clear" w:color="000000" w:fill="CCCCCC"/>
            <w:vAlign w:val="center"/>
            <w:hideMark/>
          </w:tcPr>
          <w:p w14:paraId="786CDB6D" w14:textId="513382E4" w:rsidR="00271DCF" w:rsidRPr="00307457" w:rsidRDefault="00271DCF" w:rsidP="00271DCF">
            <w:pPr>
              <w:jc w:val="right"/>
              <w:rPr>
                <w:rFonts w:ascii="Arial" w:hAnsi="Arial" w:cs="Arial"/>
                <w:b/>
                <w:bCs/>
                <w:color w:val="000000"/>
              </w:rPr>
            </w:pPr>
            <w:r>
              <w:rPr>
                <w:rFonts w:ascii="Arial" w:hAnsi="Arial" w:cs="Arial"/>
                <w:b/>
                <w:bCs/>
                <w:color w:val="000000"/>
              </w:rPr>
              <w:t>15,</w:t>
            </w:r>
            <w:r w:rsidR="001D1F72">
              <w:rPr>
                <w:rFonts w:ascii="Arial" w:hAnsi="Arial" w:cs="Arial"/>
                <w:b/>
                <w:bCs/>
                <w:color w:val="000000"/>
              </w:rPr>
              <w:t>883</w:t>
            </w:r>
          </w:p>
        </w:tc>
        <w:tc>
          <w:tcPr>
            <w:tcW w:w="1198" w:type="dxa"/>
            <w:tcBorders>
              <w:top w:val="nil"/>
              <w:left w:val="nil"/>
              <w:bottom w:val="nil"/>
              <w:right w:val="nil"/>
            </w:tcBorders>
            <w:shd w:val="clear" w:color="000000" w:fill="CCCCCC"/>
            <w:vAlign w:val="center"/>
            <w:hideMark/>
          </w:tcPr>
          <w:p w14:paraId="032AEEFF" w14:textId="7A0FB0F3" w:rsidR="00271DCF" w:rsidRPr="00307457" w:rsidRDefault="00271DCF" w:rsidP="00271DCF">
            <w:pPr>
              <w:jc w:val="right"/>
              <w:rPr>
                <w:rFonts w:ascii="Arial" w:hAnsi="Arial" w:cs="Arial"/>
                <w:b/>
                <w:bCs/>
                <w:color w:val="000000"/>
              </w:rPr>
            </w:pPr>
            <w:r>
              <w:rPr>
                <w:rFonts w:ascii="Arial" w:hAnsi="Arial" w:cs="Arial"/>
                <w:b/>
                <w:bCs/>
                <w:color w:val="000000"/>
              </w:rPr>
              <w:t>(91)</w:t>
            </w:r>
          </w:p>
        </w:tc>
        <w:tc>
          <w:tcPr>
            <w:tcW w:w="1350" w:type="dxa"/>
            <w:tcBorders>
              <w:top w:val="nil"/>
              <w:left w:val="nil"/>
              <w:bottom w:val="nil"/>
              <w:right w:val="single" w:sz="8" w:space="0" w:color="auto"/>
            </w:tcBorders>
            <w:shd w:val="clear" w:color="000000" w:fill="CCCCCC"/>
            <w:vAlign w:val="center"/>
            <w:hideMark/>
          </w:tcPr>
          <w:p w14:paraId="211F4CA2" w14:textId="0BBCC1B2" w:rsidR="00271DCF" w:rsidRPr="00307457" w:rsidRDefault="00271DCF" w:rsidP="00271DCF">
            <w:pPr>
              <w:jc w:val="right"/>
              <w:rPr>
                <w:rFonts w:ascii="Arial" w:hAnsi="Arial" w:cs="Arial"/>
                <w:b/>
                <w:bCs/>
                <w:color w:val="000000"/>
              </w:rPr>
            </w:pPr>
            <w:r>
              <w:rPr>
                <w:rFonts w:ascii="Arial" w:hAnsi="Arial" w:cs="Arial"/>
                <w:b/>
                <w:bCs/>
                <w:color w:val="000000"/>
              </w:rPr>
              <w:t>0</w:t>
            </w:r>
          </w:p>
        </w:tc>
      </w:tr>
      <w:tr w:rsidR="00271DCF" w:rsidRPr="00307457" w14:paraId="62DB1933" w14:textId="77777777" w:rsidTr="0032049C">
        <w:trPr>
          <w:trHeight w:val="300"/>
        </w:trPr>
        <w:tc>
          <w:tcPr>
            <w:tcW w:w="6550" w:type="dxa"/>
            <w:tcBorders>
              <w:top w:val="nil"/>
              <w:left w:val="single" w:sz="4" w:space="0" w:color="auto"/>
              <w:bottom w:val="nil"/>
              <w:right w:val="nil"/>
            </w:tcBorders>
            <w:shd w:val="clear" w:color="000000" w:fill="auto"/>
            <w:vAlign w:val="center"/>
            <w:hideMark/>
          </w:tcPr>
          <w:p w14:paraId="488BF813" w14:textId="77777777" w:rsidR="00271DCF" w:rsidRPr="00307457" w:rsidRDefault="00271DCF" w:rsidP="00271DCF">
            <w:pPr>
              <w:rPr>
                <w:rFonts w:ascii="Arial" w:hAnsi="Arial" w:cs="Arial"/>
                <w:b/>
                <w:bCs/>
                <w:color w:val="000000"/>
              </w:rPr>
            </w:pPr>
            <w:r w:rsidRPr="00307457">
              <w:rPr>
                <w:rFonts w:ascii="Arial" w:hAnsi="Arial" w:cs="Arial"/>
                <w:b/>
                <w:bCs/>
                <w:color w:val="000000"/>
              </w:rPr>
              <w:t>Adjustments to Capital Resources</w:t>
            </w:r>
          </w:p>
        </w:tc>
        <w:tc>
          <w:tcPr>
            <w:tcW w:w="1392" w:type="dxa"/>
            <w:tcBorders>
              <w:top w:val="nil"/>
              <w:left w:val="nil"/>
              <w:bottom w:val="nil"/>
              <w:right w:val="nil"/>
            </w:tcBorders>
            <w:shd w:val="clear" w:color="000000" w:fill="auto"/>
            <w:vAlign w:val="center"/>
            <w:hideMark/>
          </w:tcPr>
          <w:p w14:paraId="3CB8C7BF" w14:textId="77777777" w:rsidR="00271DCF" w:rsidRPr="00307457" w:rsidRDefault="00271DCF" w:rsidP="00271DCF">
            <w:pPr>
              <w:rPr>
                <w:rFonts w:ascii="Arial" w:hAnsi="Arial" w:cs="Arial"/>
                <w:b/>
                <w:bCs/>
                <w:color w:val="000000"/>
              </w:rPr>
            </w:pPr>
          </w:p>
        </w:tc>
        <w:tc>
          <w:tcPr>
            <w:tcW w:w="1198" w:type="dxa"/>
            <w:tcBorders>
              <w:top w:val="nil"/>
              <w:left w:val="nil"/>
              <w:bottom w:val="nil"/>
              <w:right w:val="nil"/>
            </w:tcBorders>
            <w:shd w:val="clear" w:color="000000" w:fill="auto"/>
            <w:vAlign w:val="center"/>
            <w:hideMark/>
          </w:tcPr>
          <w:p w14:paraId="17D3B1DF" w14:textId="77777777" w:rsidR="00271DCF" w:rsidRPr="00307457" w:rsidRDefault="00271DCF" w:rsidP="00271DCF">
            <w:pPr>
              <w:jc w:val="right"/>
            </w:pPr>
          </w:p>
        </w:tc>
        <w:tc>
          <w:tcPr>
            <w:tcW w:w="1350" w:type="dxa"/>
            <w:tcBorders>
              <w:top w:val="nil"/>
              <w:left w:val="nil"/>
              <w:bottom w:val="nil"/>
              <w:right w:val="single" w:sz="8" w:space="0" w:color="auto"/>
            </w:tcBorders>
            <w:shd w:val="clear" w:color="000000" w:fill="auto"/>
            <w:vAlign w:val="center"/>
            <w:hideMark/>
          </w:tcPr>
          <w:p w14:paraId="2F5B766E" w14:textId="606D89F7" w:rsidR="00271DCF" w:rsidRPr="00307457" w:rsidRDefault="00271DCF" w:rsidP="00271DCF">
            <w:pPr>
              <w:jc w:val="right"/>
            </w:pPr>
            <w:r>
              <w:rPr>
                <w:rFonts w:ascii="Arial" w:hAnsi="Arial" w:cs="Arial"/>
                <w:color w:val="000000"/>
              </w:rPr>
              <w:t> </w:t>
            </w:r>
          </w:p>
        </w:tc>
      </w:tr>
      <w:tr w:rsidR="00271DCF" w:rsidRPr="00307457" w14:paraId="38DCAE01" w14:textId="77777777" w:rsidTr="0032049C">
        <w:trPr>
          <w:trHeight w:val="600"/>
        </w:trPr>
        <w:tc>
          <w:tcPr>
            <w:tcW w:w="6550" w:type="dxa"/>
            <w:tcBorders>
              <w:top w:val="nil"/>
              <w:left w:val="single" w:sz="4" w:space="0" w:color="auto"/>
              <w:bottom w:val="nil"/>
              <w:right w:val="nil"/>
            </w:tcBorders>
            <w:shd w:val="clear" w:color="000000" w:fill="auto"/>
            <w:vAlign w:val="center"/>
            <w:hideMark/>
          </w:tcPr>
          <w:p w14:paraId="0A629F0F" w14:textId="77777777" w:rsidR="00271DCF" w:rsidRPr="00307457" w:rsidRDefault="00271DCF" w:rsidP="00271DCF">
            <w:pPr>
              <w:rPr>
                <w:rFonts w:ascii="Arial" w:hAnsi="Arial" w:cs="Arial"/>
                <w:color w:val="000000"/>
              </w:rPr>
            </w:pPr>
            <w:r w:rsidRPr="00307457">
              <w:rPr>
                <w:rFonts w:ascii="Arial" w:hAnsi="Arial" w:cs="Arial"/>
                <w:color w:val="000000"/>
              </w:rPr>
              <w:t>Use of the Capital Receipts Reserve to finance capital expenditure</w:t>
            </w:r>
          </w:p>
        </w:tc>
        <w:tc>
          <w:tcPr>
            <w:tcW w:w="1392" w:type="dxa"/>
            <w:tcBorders>
              <w:top w:val="nil"/>
              <w:left w:val="nil"/>
              <w:bottom w:val="nil"/>
              <w:right w:val="nil"/>
            </w:tcBorders>
            <w:shd w:val="clear" w:color="000000" w:fill="auto"/>
            <w:vAlign w:val="center"/>
            <w:hideMark/>
          </w:tcPr>
          <w:p w14:paraId="047CBAA6" w14:textId="30EE0D49" w:rsidR="00271DCF" w:rsidRPr="00307457" w:rsidRDefault="00271DCF" w:rsidP="00271DCF">
            <w:pPr>
              <w:jc w:val="right"/>
              <w:rPr>
                <w:rFonts w:ascii="Arial" w:hAnsi="Arial" w:cs="Arial"/>
                <w:color w:val="000000"/>
              </w:rPr>
            </w:pPr>
            <w:r>
              <w:rPr>
                <w:rFonts w:ascii="Arial" w:hAnsi="Arial" w:cs="Arial"/>
                <w:color w:val="000000"/>
              </w:rPr>
              <w:t>0</w:t>
            </w:r>
          </w:p>
        </w:tc>
        <w:tc>
          <w:tcPr>
            <w:tcW w:w="1198" w:type="dxa"/>
            <w:tcBorders>
              <w:top w:val="nil"/>
              <w:left w:val="nil"/>
              <w:bottom w:val="nil"/>
              <w:right w:val="nil"/>
            </w:tcBorders>
            <w:shd w:val="clear" w:color="000000" w:fill="auto"/>
            <w:vAlign w:val="center"/>
            <w:hideMark/>
          </w:tcPr>
          <w:p w14:paraId="40112E9F" w14:textId="579299B9" w:rsidR="00271DCF" w:rsidRPr="00307457" w:rsidRDefault="00271DCF" w:rsidP="00271DCF">
            <w:pPr>
              <w:jc w:val="right"/>
              <w:rPr>
                <w:rFonts w:ascii="Arial" w:hAnsi="Arial" w:cs="Arial"/>
                <w:color w:val="000000"/>
              </w:rPr>
            </w:pPr>
            <w:r>
              <w:rPr>
                <w:rFonts w:ascii="Arial" w:hAnsi="Arial" w:cs="Arial"/>
                <w:color w:val="000000"/>
              </w:rPr>
              <w:t>0</w:t>
            </w:r>
          </w:p>
        </w:tc>
        <w:tc>
          <w:tcPr>
            <w:tcW w:w="1350" w:type="dxa"/>
            <w:tcBorders>
              <w:top w:val="nil"/>
              <w:left w:val="nil"/>
              <w:bottom w:val="nil"/>
              <w:right w:val="single" w:sz="8" w:space="0" w:color="auto"/>
            </w:tcBorders>
            <w:shd w:val="clear" w:color="000000" w:fill="auto"/>
            <w:vAlign w:val="center"/>
            <w:hideMark/>
          </w:tcPr>
          <w:p w14:paraId="6E366C11" w14:textId="248D3070" w:rsidR="00271DCF" w:rsidRPr="00307457" w:rsidRDefault="00271DCF" w:rsidP="00271DCF">
            <w:pPr>
              <w:jc w:val="right"/>
              <w:rPr>
                <w:rFonts w:ascii="Arial" w:hAnsi="Arial" w:cs="Arial"/>
                <w:color w:val="000000"/>
              </w:rPr>
            </w:pPr>
            <w:r>
              <w:rPr>
                <w:rFonts w:ascii="Arial" w:hAnsi="Arial" w:cs="Arial"/>
                <w:color w:val="000000"/>
              </w:rPr>
              <w:t>0</w:t>
            </w:r>
          </w:p>
        </w:tc>
      </w:tr>
      <w:tr w:rsidR="00271DCF" w:rsidRPr="00307457" w14:paraId="71DB8B1B" w14:textId="77777777" w:rsidTr="0032049C">
        <w:trPr>
          <w:trHeight w:val="300"/>
        </w:trPr>
        <w:tc>
          <w:tcPr>
            <w:tcW w:w="6550" w:type="dxa"/>
            <w:tcBorders>
              <w:top w:val="nil"/>
              <w:left w:val="single" w:sz="4" w:space="0" w:color="auto"/>
              <w:bottom w:val="nil"/>
              <w:right w:val="nil"/>
            </w:tcBorders>
            <w:shd w:val="clear" w:color="000000" w:fill="auto"/>
            <w:vAlign w:val="center"/>
            <w:hideMark/>
          </w:tcPr>
          <w:p w14:paraId="050C3083" w14:textId="77777777" w:rsidR="00271DCF" w:rsidRPr="00307457" w:rsidRDefault="00271DCF" w:rsidP="00271DCF">
            <w:pPr>
              <w:rPr>
                <w:rFonts w:ascii="Arial" w:hAnsi="Arial" w:cs="Arial"/>
                <w:color w:val="000000"/>
              </w:rPr>
            </w:pPr>
            <w:r w:rsidRPr="00307457">
              <w:rPr>
                <w:rFonts w:ascii="Arial" w:hAnsi="Arial" w:cs="Arial"/>
                <w:color w:val="000000"/>
              </w:rPr>
              <w:t>Application of capital grants to finance capital expenditure</w:t>
            </w:r>
          </w:p>
        </w:tc>
        <w:tc>
          <w:tcPr>
            <w:tcW w:w="1392" w:type="dxa"/>
            <w:tcBorders>
              <w:top w:val="nil"/>
              <w:left w:val="nil"/>
              <w:bottom w:val="nil"/>
              <w:right w:val="nil"/>
            </w:tcBorders>
            <w:shd w:val="clear" w:color="000000" w:fill="auto"/>
            <w:vAlign w:val="center"/>
            <w:hideMark/>
          </w:tcPr>
          <w:p w14:paraId="3FADC464" w14:textId="14C3B5B3" w:rsidR="00271DCF" w:rsidRPr="00307457" w:rsidRDefault="00271DCF" w:rsidP="00271DCF">
            <w:pPr>
              <w:jc w:val="right"/>
              <w:rPr>
                <w:rFonts w:ascii="Arial" w:hAnsi="Arial" w:cs="Arial"/>
                <w:color w:val="000000"/>
              </w:rPr>
            </w:pPr>
            <w:r>
              <w:rPr>
                <w:rFonts w:ascii="Arial" w:hAnsi="Arial" w:cs="Arial"/>
                <w:color w:val="000000"/>
              </w:rPr>
              <w:t>0</w:t>
            </w:r>
          </w:p>
        </w:tc>
        <w:tc>
          <w:tcPr>
            <w:tcW w:w="1198" w:type="dxa"/>
            <w:tcBorders>
              <w:top w:val="nil"/>
              <w:left w:val="nil"/>
              <w:bottom w:val="nil"/>
              <w:right w:val="nil"/>
            </w:tcBorders>
            <w:shd w:val="clear" w:color="000000" w:fill="auto"/>
            <w:vAlign w:val="center"/>
            <w:hideMark/>
          </w:tcPr>
          <w:p w14:paraId="08541004" w14:textId="2D677D7E" w:rsidR="00271DCF" w:rsidRPr="00307457" w:rsidRDefault="00271DCF" w:rsidP="00271DCF">
            <w:pPr>
              <w:jc w:val="right"/>
              <w:rPr>
                <w:rFonts w:ascii="Arial" w:hAnsi="Arial" w:cs="Arial"/>
                <w:color w:val="000000"/>
              </w:rPr>
            </w:pPr>
            <w:r>
              <w:rPr>
                <w:rFonts w:ascii="Arial" w:hAnsi="Arial" w:cs="Arial"/>
                <w:color w:val="000000"/>
              </w:rPr>
              <w:t>0</w:t>
            </w:r>
          </w:p>
        </w:tc>
        <w:tc>
          <w:tcPr>
            <w:tcW w:w="1350" w:type="dxa"/>
            <w:tcBorders>
              <w:top w:val="nil"/>
              <w:left w:val="nil"/>
              <w:bottom w:val="nil"/>
              <w:right w:val="single" w:sz="8" w:space="0" w:color="auto"/>
            </w:tcBorders>
            <w:shd w:val="clear" w:color="000000" w:fill="auto"/>
            <w:vAlign w:val="center"/>
            <w:hideMark/>
          </w:tcPr>
          <w:p w14:paraId="1BF71B35" w14:textId="7828F88C" w:rsidR="00271DCF" w:rsidRPr="00307457" w:rsidRDefault="00271DCF" w:rsidP="00271DCF">
            <w:pPr>
              <w:jc w:val="right"/>
              <w:rPr>
                <w:rFonts w:ascii="Arial" w:hAnsi="Arial" w:cs="Arial"/>
                <w:color w:val="000000"/>
              </w:rPr>
            </w:pPr>
            <w:r>
              <w:rPr>
                <w:rFonts w:ascii="Arial" w:hAnsi="Arial" w:cs="Arial"/>
                <w:color w:val="000000"/>
              </w:rPr>
              <w:t>80</w:t>
            </w:r>
          </w:p>
        </w:tc>
      </w:tr>
      <w:tr w:rsidR="00271DCF" w:rsidRPr="00307457" w14:paraId="55D79857" w14:textId="77777777" w:rsidTr="0032049C">
        <w:trPr>
          <w:trHeight w:val="300"/>
        </w:trPr>
        <w:tc>
          <w:tcPr>
            <w:tcW w:w="6550" w:type="dxa"/>
            <w:tcBorders>
              <w:top w:val="nil"/>
              <w:left w:val="single" w:sz="4" w:space="0" w:color="auto"/>
              <w:bottom w:val="single" w:sz="4" w:space="0" w:color="auto"/>
              <w:right w:val="nil"/>
            </w:tcBorders>
            <w:shd w:val="clear" w:color="000000" w:fill="CCCCCC"/>
            <w:vAlign w:val="center"/>
            <w:hideMark/>
          </w:tcPr>
          <w:p w14:paraId="0E747642" w14:textId="77777777" w:rsidR="00271DCF" w:rsidRPr="00307457" w:rsidRDefault="00271DCF" w:rsidP="00271DCF">
            <w:pPr>
              <w:rPr>
                <w:rFonts w:ascii="Arial" w:hAnsi="Arial" w:cs="Arial"/>
                <w:b/>
                <w:bCs/>
                <w:color w:val="000000"/>
              </w:rPr>
            </w:pPr>
            <w:r w:rsidRPr="00307457">
              <w:rPr>
                <w:rFonts w:ascii="Arial" w:hAnsi="Arial" w:cs="Arial"/>
                <w:b/>
                <w:bCs/>
                <w:color w:val="000000"/>
              </w:rPr>
              <w:t>Total Adjustments to Capital Resources</w:t>
            </w:r>
          </w:p>
        </w:tc>
        <w:tc>
          <w:tcPr>
            <w:tcW w:w="1392" w:type="dxa"/>
            <w:tcBorders>
              <w:top w:val="nil"/>
              <w:left w:val="nil"/>
              <w:bottom w:val="single" w:sz="8" w:space="0" w:color="auto"/>
              <w:right w:val="nil"/>
            </w:tcBorders>
            <w:shd w:val="clear" w:color="000000" w:fill="CCCCCC"/>
            <w:vAlign w:val="center"/>
            <w:hideMark/>
          </w:tcPr>
          <w:p w14:paraId="24E987BD" w14:textId="1D8245E0" w:rsidR="00271DCF" w:rsidRPr="00307457" w:rsidRDefault="00271DCF" w:rsidP="00271DCF">
            <w:pPr>
              <w:jc w:val="right"/>
              <w:rPr>
                <w:rFonts w:ascii="Arial" w:hAnsi="Arial" w:cs="Arial"/>
                <w:b/>
                <w:bCs/>
                <w:color w:val="000000"/>
              </w:rPr>
            </w:pPr>
            <w:r>
              <w:rPr>
                <w:rFonts w:ascii="Arial" w:hAnsi="Arial" w:cs="Arial"/>
                <w:b/>
                <w:bCs/>
                <w:color w:val="000000"/>
              </w:rPr>
              <w:t>0</w:t>
            </w:r>
          </w:p>
        </w:tc>
        <w:tc>
          <w:tcPr>
            <w:tcW w:w="1198" w:type="dxa"/>
            <w:tcBorders>
              <w:top w:val="nil"/>
              <w:left w:val="nil"/>
              <w:bottom w:val="single" w:sz="8" w:space="0" w:color="auto"/>
              <w:right w:val="nil"/>
            </w:tcBorders>
            <w:shd w:val="clear" w:color="000000" w:fill="CCCCCC"/>
            <w:vAlign w:val="center"/>
            <w:hideMark/>
          </w:tcPr>
          <w:p w14:paraId="2E091542" w14:textId="310D472A" w:rsidR="00271DCF" w:rsidRPr="00307457" w:rsidRDefault="00271DCF" w:rsidP="00271DCF">
            <w:pPr>
              <w:jc w:val="right"/>
              <w:rPr>
                <w:rFonts w:ascii="Arial" w:hAnsi="Arial" w:cs="Arial"/>
                <w:b/>
                <w:bCs/>
                <w:color w:val="000000"/>
              </w:rPr>
            </w:pPr>
            <w:r>
              <w:rPr>
                <w:rFonts w:ascii="Arial" w:hAnsi="Arial" w:cs="Arial"/>
                <w:b/>
                <w:bCs/>
                <w:color w:val="000000"/>
              </w:rPr>
              <w:t>0</w:t>
            </w:r>
          </w:p>
        </w:tc>
        <w:tc>
          <w:tcPr>
            <w:tcW w:w="1350" w:type="dxa"/>
            <w:tcBorders>
              <w:top w:val="nil"/>
              <w:left w:val="nil"/>
              <w:bottom w:val="single" w:sz="8" w:space="0" w:color="auto"/>
              <w:right w:val="single" w:sz="8" w:space="0" w:color="auto"/>
            </w:tcBorders>
            <w:shd w:val="clear" w:color="000000" w:fill="CCCCCC"/>
            <w:vAlign w:val="center"/>
            <w:hideMark/>
          </w:tcPr>
          <w:p w14:paraId="2D815646" w14:textId="0FC2BEA2" w:rsidR="00271DCF" w:rsidRPr="00307457" w:rsidRDefault="00271DCF" w:rsidP="00271DCF">
            <w:pPr>
              <w:jc w:val="right"/>
              <w:rPr>
                <w:rFonts w:ascii="Arial" w:hAnsi="Arial" w:cs="Arial"/>
                <w:b/>
                <w:bCs/>
                <w:color w:val="000000"/>
              </w:rPr>
            </w:pPr>
            <w:r>
              <w:rPr>
                <w:rFonts w:ascii="Arial" w:hAnsi="Arial" w:cs="Arial"/>
                <w:b/>
                <w:bCs/>
                <w:color w:val="000000"/>
              </w:rPr>
              <w:t>80</w:t>
            </w:r>
          </w:p>
        </w:tc>
      </w:tr>
      <w:tr w:rsidR="00271DCF" w:rsidRPr="00307457" w14:paraId="39D6890C" w14:textId="77777777" w:rsidTr="0032049C">
        <w:trPr>
          <w:trHeight w:val="300"/>
        </w:trPr>
        <w:tc>
          <w:tcPr>
            <w:tcW w:w="6550" w:type="dxa"/>
            <w:tcBorders>
              <w:top w:val="single" w:sz="4" w:space="0" w:color="auto"/>
              <w:left w:val="single" w:sz="8" w:space="0" w:color="auto"/>
              <w:bottom w:val="single" w:sz="8" w:space="0" w:color="auto"/>
              <w:right w:val="nil"/>
            </w:tcBorders>
            <w:shd w:val="clear" w:color="000000" w:fill="CCCCCC"/>
            <w:vAlign w:val="center"/>
            <w:hideMark/>
          </w:tcPr>
          <w:p w14:paraId="4AFC246F" w14:textId="77777777" w:rsidR="00271DCF" w:rsidRPr="00307457" w:rsidRDefault="00271DCF" w:rsidP="00271DCF">
            <w:pPr>
              <w:rPr>
                <w:rFonts w:ascii="Arial" w:hAnsi="Arial" w:cs="Arial"/>
                <w:b/>
                <w:bCs/>
                <w:color w:val="000000"/>
              </w:rPr>
            </w:pPr>
            <w:r w:rsidRPr="00307457">
              <w:rPr>
                <w:rFonts w:ascii="Arial" w:hAnsi="Arial" w:cs="Arial"/>
                <w:b/>
                <w:bCs/>
                <w:color w:val="000000"/>
              </w:rPr>
              <w:t>Total Adjustments</w:t>
            </w:r>
          </w:p>
        </w:tc>
        <w:tc>
          <w:tcPr>
            <w:tcW w:w="1392" w:type="dxa"/>
            <w:tcBorders>
              <w:top w:val="nil"/>
              <w:left w:val="nil"/>
              <w:bottom w:val="single" w:sz="8" w:space="0" w:color="auto"/>
              <w:right w:val="nil"/>
            </w:tcBorders>
            <w:shd w:val="clear" w:color="000000" w:fill="CCCCCC"/>
            <w:vAlign w:val="center"/>
            <w:hideMark/>
          </w:tcPr>
          <w:p w14:paraId="460EA691" w14:textId="652F86AB" w:rsidR="00271DCF" w:rsidRPr="00307457" w:rsidRDefault="00271DCF" w:rsidP="00271DCF">
            <w:pPr>
              <w:jc w:val="right"/>
              <w:rPr>
                <w:rFonts w:ascii="Arial" w:hAnsi="Arial" w:cs="Arial"/>
                <w:b/>
                <w:bCs/>
                <w:color w:val="000000"/>
              </w:rPr>
            </w:pPr>
            <w:r>
              <w:rPr>
                <w:rFonts w:ascii="Arial" w:hAnsi="Arial" w:cs="Arial"/>
                <w:b/>
                <w:bCs/>
                <w:color w:val="000000"/>
              </w:rPr>
              <w:t>(</w:t>
            </w:r>
            <w:r w:rsidR="001D1F72">
              <w:rPr>
                <w:rFonts w:ascii="Arial" w:hAnsi="Arial" w:cs="Arial"/>
                <w:b/>
                <w:bCs/>
                <w:color w:val="000000"/>
              </w:rPr>
              <w:t>4</w:t>
            </w:r>
            <w:r>
              <w:rPr>
                <w:rFonts w:ascii="Arial" w:hAnsi="Arial" w:cs="Arial"/>
                <w:b/>
                <w:bCs/>
                <w:color w:val="000000"/>
              </w:rPr>
              <w:t>,</w:t>
            </w:r>
            <w:r w:rsidR="001D1F72">
              <w:rPr>
                <w:rFonts w:ascii="Arial" w:hAnsi="Arial" w:cs="Arial"/>
                <w:b/>
                <w:bCs/>
                <w:color w:val="000000"/>
              </w:rPr>
              <w:t>849</w:t>
            </w:r>
            <w:r>
              <w:rPr>
                <w:rFonts w:ascii="Arial" w:hAnsi="Arial" w:cs="Arial"/>
                <w:b/>
                <w:bCs/>
                <w:color w:val="000000"/>
              </w:rPr>
              <w:t>)</w:t>
            </w:r>
          </w:p>
        </w:tc>
        <w:tc>
          <w:tcPr>
            <w:tcW w:w="1198" w:type="dxa"/>
            <w:tcBorders>
              <w:top w:val="nil"/>
              <w:left w:val="nil"/>
              <w:bottom w:val="single" w:sz="8" w:space="0" w:color="auto"/>
              <w:right w:val="nil"/>
            </w:tcBorders>
            <w:shd w:val="clear" w:color="000000" w:fill="CCCCCC"/>
            <w:vAlign w:val="center"/>
            <w:hideMark/>
          </w:tcPr>
          <w:p w14:paraId="3B18E643" w14:textId="300738C3" w:rsidR="00271DCF" w:rsidRPr="00307457" w:rsidRDefault="00271DCF" w:rsidP="00271DCF">
            <w:pPr>
              <w:jc w:val="right"/>
              <w:rPr>
                <w:rFonts w:ascii="Arial" w:hAnsi="Arial" w:cs="Arial"/>
                <w:b/>
                <w:bCs/>
                <w:color w:val="000000"/>
              </w:rPr>
            </w:pPr>
            <w:r>
              <w:rPr>
                <w:rFonts w:ascii="Arial" w:hAnsi="Arial" w:cs="Arial"/>
                <w:b/>
                <w:bCs/>
                <w:color w:val="000000"/>
              </w:rPr>
              <w:t>(91)</w:t>
            </w:r>
          </w:p>
        </w:tc>
        <w:tc>
          <w:tcPr>
            <w:tcW w:w="1350" w:type="dxa"/>
            <w:tcBorders>
              <w:top w:val="nil"/>
              <w:left w:val="nil"/>
              <w:bottom w:val="single" w:sz="8" w:space="0" w:color="auto"/>
              <w:right w:val="single" w:sz="8" w:space="0" w:color="auto"/>
            </w:tcBorders>
            <w:shd w:val="clear" w:color="000000" w:fill="CCCCCC"/>
            <w:vAlign w:val="center"/>
            <w:hideMark/>
          </w:tcPr>
          <w:p w14:paraId="45466D29" w14:textId="09918D39" w:rsidR="00271DCF" w:rsidRPr="00307457" w:rsidRDefault="00271DCF" w:rsidP="00271DCF">
            <w:pPr>
              <w:jc w:val="right"/>
              <w:rPr>
                <w:rFonts w:ascii="Arial" w:hAnsi="Arial" w:cs="Arial"/>
                <w:b/>
                <w:bCs/>
                <w:color w:val="000000"/>
              </w:rPr>
            </w:pPr>
            <w:r>
              <w:rPr>
                <w:rFonts w:ascii="Arial" w:hAnsi="Arial" w:cs="Arial"/>
                <w:b/>
                <w:bCs/>
                <w:color w:val="000000"/>
              </w:rPr>
              <w:t>80</w:t>
            </w:r>
          </w:p>
        </w:tc>
      </w:tr>
    </w:tbl>
    <w:p w14:paraId="0C5AC83F" w14:textId="11C0C65F" w:rsidR="003B2143" w:rsidRDefault="003B2143">
      <w:pPr>
        <w:rPr>
          <w:rFonts w:ascii="Arial" w:hAnsi="Arial" w:cs="Arial"/>
          <w:b/>
          <w:caps/>
          <w:sz w:val="22"/>
          <w:szCs w:val="22"/>
        </w:rPr>
      </w:pPr>
      <w:r>
        <w:rPr>
          <w:rFonts w:ascii="Arial" w:hAnsi="Arial" w:cs="Arial"/>
          <w:b/>
          <w:caps/>
          <w:sz w:val="22"/>
          <w:szCs w:val="22"/>
        </w:rPr>
        <w:br w:type="page"/>
      </w:r>
    </w:p>
    <w:p w14:paraId="2B86E7CE" w14:textId="77777777" w:rsidR="003B2143" w:rsidRPr="00F85CFA" w:rsidRDefault="003B2143">
      <w:pPr>
        <w:rPr>
          <w:rFonts w:ascii="Arial" w:hAnsi="Arial" w:cs="Arial"/>
          <w:b/>
          <w:caps/>
          <w:sz w:val="22"/>
          <w:szCs w:val="22"/>
        </w:rPr>
      </w:pPr>
    </w:p>
    <w:p w14:paraId="1C4F3500" w14:textId="10C4D940" w:rsidR="006241D3" w:rsidRDefault="00C37E7F" w:rsidP="006241D3">
      <w:pPr>
        <w:rPr>
          <w:rFonts w:ascii="Arial" w:hAnsi="Arial" w:cs="Arial"/>
          <w:b/>
          <w:bCs/>
          <w:sz w:val="22"/>
          <w:szCs w:val="22"/>
        </w:rPr>
      </w:pPr>
      <w:r>
        <w:rPr>
          <w:rFonts w:ascii="Arial" w:hAnsi="Arial" w:cs="Arial"/>
          <w:b/>
          <w:bCs/>
          <w:sz w:val="22"/>
          <w:szCs w:val="22"/>
        </w:rPr>
        <w:t>2023/24</w:t>
      </w:r>
    </w:p>
    <w:p w14:paraId="363335A5" w14:textId="77777777" w:rsidR="006E5A83" w:rsidRPr="006241D3" w:rsidRDefault="006E5A83" w:rsidP="006241D3">
      <w:pPr>
        <w:rPr>
          <w:rFonts w:ascii="Arial" w:hAnsi="Arial" w:cs="Arial"/>
          <w:b/>
          <w:bCs/>
          <w:sz w:val="22"/>
          <w:szCs w:val="22"/>
        </w:rPr>
      </w:pPr>
    </w:p>
    <w:tbl>
      <w:tblPr>
        <w:tblW w:w="10500" w:type="dxa"/>
        <w:tblLook w:val="04A0" w:firstRow="1" w:lastRow="0" w:firstColumn="1" w:lastColumn="0" w:noHBand="0" w:noVBand="1"/>
      </w:tblPr>
      <w:tblGrid>
        <w:gridCol w:w="6360"/>
        <w:gridCol w:w="1600"/>
        <w:gridCol w:w="1300"/>
        <w:gridCol w:w="1240"/>
      </w:tblGrid>
      <w:tr w:rsidR="00307457" w:rsidRPr="006B0EA2" w14:paraId="5CD61DBD" w14:textId="77777777" w:rsidTr="00243FAB">
        <w:trPr>
          <w:trHeight w:val="300"/>
        </w:trPr>
        <w:tc>
          <w:tcPr>
            <w:tcW w:w="6360" w:type="dxa"/>
            <w:tcBorders>
              <w:top w:val="single" w:sz="8" w:space="0" w:color="auto"/>
              <w:left w:val="single" w:sz="8" w:space="0" w:color="auto"/>
              <w:bottom w:val="nil"/>
              <w:right w:val="nil"/>
            </w:tcBorders>
            <w:vAlign w:val="center"/>
            <w:hideMark/>
          </w:tcPr>
          <w:p w14:paraId="06D74059" w14:textId="77777777" w:rsidR="00307457" w:rsidRPr="0033743F" w:rsidRDefault="00307457" w:rsidP="00243FAB">
            <w:pPr>
              <w:rPr>
                <w:rFonts w:ascii="Arial" w:hAnsi="Arial" w:cs="Arial"/>
                <w:color w:val="000000"/>
              </w:rPr>
            </w:pPr>
            <w:r w:rsidRPr="0033743F">
              <w:rPr>
                <w:rFonts w:ascii="Arial" w:hAnsi="Arial" w:cs="Arial"/>
                <w:color w:val="000000"/>
              </w:rPr>
              <w:t> </w:t>
            </w:r>
          </w:p>
        </w:tc>
        <w:tc>
          <w:tcPr>
            <w:tcW w:w="4140" w:type="dxa"/>
            <w:gridSpan w:val="3"/>
            <w:tcBorders>
              <w:top w:val="single" w:sz="8" w:space="0" w:color="auto"/>
              <w:left w:val="nil"/>
              <w:bottom w:val="nil"/>
              <w:right w:val="single" w:sz="8" w:space="0" w:color="000000"/>
            </w:tcBorders>
            <w:vAlign w:val="center"/>
            <w:hideMark/>
          </w:tcPr>
          <w:p w14:paraId="0ACC5B45" w14:textId="77777777" w:rsidR="00307457" w:rsidRPr="0033743F" w:rsidRDefault="00307457" w:rsidP="00243FAB">
            <w:pPr>
              <w:jc w:val="center"/>
              <w:rPr>
                <w:rFonts w:ascii="Arial" w:hAnsi="Arial" w:cs="Arial"/>
                <w:b/>
                <w:bCs/>
                <w:color w:val="000000"/>
              </w:rPr>
            </w:pPr>
            <w:r w:rsidRPr="0033743F">
              <w:rPr>
                <w:rFonts w:ascii="Arial" w:hAnsi="Arial" w:cs="Arial"/>
                <w:b/>
                <w:bCs/>
                <w:color w:val="000000"/>
              </w:rPr>
              <w:t>Usable Reserves</w:t>
            </w:r>
          </w:p>
        </w:tc>
      </w:tr>
      <w:tr w:rsidR="00307457" w:rsidRPr="00423F14" w14:paraId="082C5174" w14:textId="77777777" w:rsidTr="00243FAB">
        <w:trPr>
          <w:trHeight w:val="1020"/>
        </w:trPr>
        <w:tc>
          <w:tcPr>
            <w:tcW w:w="6360" w:type="dxa"/>
            <w:tcBorders>
              <w:top w:val="nil"/>
              <w:left w:val="single" w:sz="8" w:space="0" w:color="auto"/>
              <w:bottom w:val="nil"/>
              <w:right w:val="nil"/>
            </w:tcBorders>
            <w:vAlign w:val="center"/>
            <w:hideMark/>
          </w:tcPr>
          <w:p w14:paraId="1D3FB3EE" w14:textId="77777777" w:rsidR="00307457" w:rsidRPr="0033743F" w:rsidRDefault="00307457" w:rsidP="00243FAB">
            <w:pPr>
              <w:rPr>
                <w:rFonts w:ascii="Arial" w:hAnsi="Arial" w:cs="Arial"/>
                <w:b/>
                <w:bCs/>
                <w:color w:val="000000"/>
              </w:rPr>
            </w:pPr>
            <w:r w:rsidRPr="0033743F">
              <w:rPr>
                <w:rFonts w:ascii="Arial" w:hAnsi="Arial" w:cs="Arial"/>
                <w:b/>
                <w:bCs/>
                <w:color w:val="000000"/>
              </w:rPr>
              <w:t>PCC GROUP</w:t>
            </w:r>
          </w:p>
        </w:tc>
        <w:tc>
          <w:tcPr>
            <w:tcW w:w="1600" w:type="dxa"/>
            <w:tcBorders>
              <w:top w:val="nil"/>
              <w:left w:val="nil"/>
              <w:bottom w:val="nil"/>
              <w:right w:val="nil"/>
            </w:tcBorders>
            <w:vAlign w:val="center"/>
            <w:hideMark/>
          </w:tcPr>
          <w:p w14:paraId="2FE663E4" w14:textId="77777777" w:rsidR="00307457" w:rsidRPr="0033743F" w:rsidRDefault="00307457" w:rsidP="00243FAB">
            <w:pPr>
              <w:jc w:val="right"/>
              <w:rPr>
                <w:rFonts w:ascii="Arial" w:hAnsi="Arial" w:cs="Arial"/>
                <w:b/>
                <w:bCs/>
                <w:color w:val="000000"/>
              </w:rPr>
            </w:pPr>
            <w:r w:rsidRPr="0033743F">
              <w:rPr>
                <w:rFonts w:ascii="Arial" w:hAnsi="Arial" w:cs="Arial"/>
                <w:b/>
                <w:bCs/>
                <w:color w:val="000000"/>
              </w:rPr>
              <w:t>General Fund Balance</w:t>
            </w:r>
          </w:p>
        </w:tc>
        <w:tc>
          <w:tcPr>
            <w:tcW w:w="1300" w:type="dxa"/>
            <w:tcBorders>
              <w:top w:val="nil"/>
              <w:left w:val="nil"/>
              <w:bottom w:val="nil"/>
              <w:right w:val="nil"/>
            </w:tcBorders>
            <w:vAlign w:val="center"/>
            <w:hideMark/>
          </w:tcPr>
          <w:p w14:paraId="3492DEAC" w14:textId="77777777" w:rsidR="00307457" w:rsidRPr="0033743F" w:rsidRDefault="00307457" w:rsidP="00243FAB">
            <w:pPr>
              <w:jc w:val="right"/>
              <w:rPr>
                <w:rFonts w:ascii="Arial" w:hAnsi="Arial" w:cs="Arial"/>
                <w:b/>
                <w:bCs/>
                <w:color w:val="000000"/>
              </w:rPr>
            </w:pPr>
            <w:r w:rsidRPr="0033743F">
              <w:rPr>
                <w:rFonts w:ascii="Arial" w:hAnsi="Arial" w:cs="Arial"/>
                <w:b/>
                <w:bCs/>
                <w:color w:val="000000"/>
              </w:rPr>
              <w:t xml:space="preserve">Capital Receipts Reserve </w:t>
            </w:r>
          </w:p>
        </w:tc>
        <w:tc>
          <w:tcPr>
            <w:tcW w:w="1240" w:type="dxa"/>
            <w:tcBorders>
              <w:top w:val="nil"/>
              <w:left w:val="nil"/>
              <w:bottom w:val="nil"/>
              <w:right w:val="single" w:sz="8" w:space="0" w:color="auto"/>
            </w:tcBorders>
            <w:vAlign w:val="center"/>
            <w:hideMark/>
          </w:tcPr>
          <w:p w14:paraId="017532D9" w14:textId="77777777" w:rsidR="00307457" w:rsidRPr="0033743F" w:rsidRDefault="00307457" w:rsidP="00243FAB">
            <w:pPr>
              <w:jc w:val="right"/>
              <w:rPr>
                <w:rFonts w:ascii="Arial" w:hAnsi="Arial" w:cs="Arial"/>
                <w:b/>
                <w:bCs/>
                <w:color w:val="000000"/>
              </w:rPr>
            </w:pPr>
            <w:r w:rsidRPr="0033743F">
              <w:rPr>
                <w:rFonts w:ascii="Arial" w:hAnsi="Arial" w:cs="Arial"/>
                <w:b/>
                <w:bCs/>
                <w:color w:val="000000"/>
              </w:rPr>
              <w:t>Capital Grants Unapplied</w:t>
            </w:r>
          </w:p>
        </w:tc>
      </w:tr>
      <w:tr w:rsidR="00307457" w:rsidRPr="00423F14" w14:paraId="7FBC951F" w14:textId="77777777" w:rsidTr="00243FAB">
        <w:trPr>
          <w:trHeight w:val="300"/>
        </w:trPr>
        <w:tc>
          <w:tcPr>
            <w:tcW w:w="6360" w:type="dxa"/>
            <w:tcBorders>
              <w:top w:val="nil"/>
              <w:left w:val="single" w:sz="8" w:space="0" w:color="auto"/>
              <w:bottom w:val="nil"/>
              <w:right w:val="nil"/>
            </w:tcBorders>
            <w:vAlign w:val="center"/>
            <w:hideMark/>
          </w:tcPr>
          <w:p w14:paraId="273D7F79" w14:textId="77777777" w:rsidR="00307457" w:rsidRPr="0033743F" w:rsidRDefault="00307457" w:rsidP="00243FAB">
            <w:pPr>
              <w:rPr>
                <w:rFonts w:ascii="Arial" w:hAnsi="Arial" w:cs="Arial"/>
                <w:color w:val="000000"/>
              </w:rPr>
            </w:pPr>
            <w:r w:rsidRPr="0033743F">
              <w:rPr>
                <w:rFonts w:ascii="Arial" w:hAnsi="Arial" w:cs="Arial"/>
                <w:color w:val="000000"/>
              </w:rPr>
              <w:t> </w:t>
            </w:r>
          </w:p>
        </w:tc>
        <w:tc>
          <w:tcPr>
            <w:tcW w:w="1600" w:type="dxa"/>
            <w:tcBorders>
              <w:top w:val="nil"/>
              <w:left w:val="nil"/>
              <w:bottom w:val="nil"/>
              <w:right w:val="nil"/>
            </w:tcBorders>
            <w:vAlign w:val="center"/>
            <w:hideMark/>
          </w:tcPr>
          <w:p w14:paraId="7D500A00" w14:textId="77777777" w:rsidR="00307457" w:rsidRPr="0033743F" w:rsidRDefault="00307457" w:rsidP="00243FAB">
            <w:pPr>
              <w:jc w:val="right"/>
              <w:rPr>
                <w:rFonts w:ascii="Arial" w:hAnsi="Arial" w:cs="Arial"/>
                <w:b/>
                <w:bCs/>
                <w:color w:val="000000"/>
              </w:rPr>
            </w:pPr>
            <w:r w:rsidRPr="002A5BB2">
              <w:rPr>
                <w:rFonts w:ascii="Arial" w:hAnsi="Arial" w:cs="Arial"/>
                <w:b/>
                <w:bCs/>
                <w:color w:val="000000"/>
              </w:rPr>
              <w:t>£000</w:t>
            </w:r>
          </w:p>
        </w:tc>
        <w:tc>
          <w:tcPr>
            <w:tcW w:w="1300" w:type="dxa"/>
            <w:tcBorders>
              <w:top w:val="nil"/>
              <w:left w:val="nil"/>
              <w:bottom w:val="nil"/>
              <w:right w:val="nil"/>
            </w:tcBorders>
            <w:vAlign w:val="center"/>
            <w:hideMark/>
          </w:tcPr>
          <w:p w14:paraId="029C9DAC" w14:textId="77777777" w:rsidR="00307457" w:rsidRPr="0033743F" w:rsidRDefault="00307457" w:rsidP="00243FAB">
            <w:pPr>
              <w:jc w:val="right"/>
              <w:rPr>
                <w:rFonts w:ascii="Arial" w:hAnsi="Arial" w:cs="Arial"/>
                <w:b/>
                <w:bCs/>
                <w:color w:val="000000"/>
              </w:rPr>
            </w:pPr>
            <w:r w:rsidRPr="002A5BB2">
              <w:rPr>
                <w:rFonts w:ascii="Arial" w:hAnsi="Arial" w:cs="Arial"/>
                <w:b/>
                <w:bCs/>
                <w:color w:val="000000"/>
              </w:rPr>
              <w:t>£000</w:t>
            </w:r>
          </w:p>
        </w:tc>
        <w:tc>
          <w:tcPr>
            <w:tcW w:w="1240" w:type="dxa"/>
            <w:tcBorders>
              <w:top w:val="nil"/>
              <w:left w:val="nil"/>
              <w:bottom w:val="nil"/>
              <w:right w:val="single" w:sz="8" w:space="0" w:color="auto"/>
            </w:tcBorders>
            <w:vAlign w:val="center"/>
            <w:hideMark/>
          </w:tcPr>
          <w:p w14:paraId="4D598E80" w14:textId="77777777" w:rsidR="00307457" w:rsidRPr="0033743F" w:rsidRDefault="00307457" w:rsidP="00243FAB">
            <w:pPr>
              <w:jc w:val="right"/>
              <w:rPr>
                <w:rFonts w:ascii="Arial" w:hAnsi="Arial" w:cs="Arial"/>
                <w:b/>
                <w:bCs/>
                <w:color w:val="000000"/>
              </w:rPr>
            </w:pPr>
            <w:r w:rsidRPr="002A5BB2">
              <w:rPr>
                <w:rFonts w:ascii="Arial" w:hAnsi="Arial" w:cs="Arial"/>
                <w:b/>
                <w:bCs/>
                <w:color w:val="000000"/>
              </w:rPr>
              <w:t>£000</w:t>
            </w:r>
          </w:p>
        </w:tc>
      </w:tr>
      <w:tr w:rsidR="00307457" w:rsidRPr="00423F14" w14:paraId="0B74FD1C" w14:textId="77777777" w:rsidTr="00243FAB">
        <w:trPr>
          <w:trHeight w:val="300"/>
        </w:trPr>
        <w:tc>
          <w:tcPr>
            <w:tcW w:w="6360" w:type="dxa"/>
            <w:tcBorders>
              <w:top w:val="nil"/>
              <w:left w:val="single" w:sz="8" w:space="0" w:color="auto"/>
              <w:bottom w:val="nil"/>
              <w:right w:val="nil"/>
            </w:tcBorders>
            <w:vAlign w:val="center"/>
            <w:hideMark/>
          </w:tcPr>
          <w:p w14:paraId="00B1C831" w14:textId="77777777" w:rsidR="00307457" w:rsidRPr="0033743F" w:rsidRDefault="00307457" w:rsidP="00243FAB">
            <w:pPr>
              <w:rPr>
                <w:rFonts w:ascii="Arial" w:hAnsi="Arial" w:cs="Arial"/>
                <w:b/>
                <w:bCs/>
                <w:color w:val="000000"/>
              </w:rPr>
            </w:pPr>
            <w:r w:rsidRPr="0033743F">
              <w:rPr>
                <w:rFonts w:ascii="Arial" w:hAnsi="Arial" w:cs="Arial"/>
                <w:b/>
                <w:bCs/>
                <w:color w:val="000000"/>
              </w:rPr>
              <w:t>Adjustments to Revenue Resources</w:t>
            </w:r>
          </w:p>
        </w:tc>
        <w:tc>
          <w:tcPr>
            <w:tcW w:w="1600" w:type="dxa"/>
            <w:tcBorders>
              <w:top w:val="nil"/>
              <w:left w:val="nil"/>
              <w:bottom w:val="nil"/>
              <w:right w:val="nil"/>
            </w:tcBorders>
            <w:vAlign w:val="center"/>
            <w:hideMark/>
          </w:tcPr>
          <w:p w14:paraId="3F59B214" w14:textId="77777777" w:rsidR="00307457" w:rsidRPr="0033743F" w:rsidRDefault="00307457" w:rsidP="00243FAB">
            <w:pPr>
              <w:rPr>
                <w:rFonts w:ascii="Arial" w:hAnsi="Arial" w:cs="Arial"/>
                <w:b/>
                <w:bCs/>
                <w:color w:val="000000"/>
              </w:rPr>
            </w:pPr>
          </w:p>
        </w:tc>
        <w:tc>
          <w:tcPr>
            <w:tcW w:w="1300" w:type="dxa"/>
            <w:tcBorders>
              <w:top w:val="nil"/>
              <w:left w:val="nil"/>
              <w:bottom w:val="nil"/>
              <w:right w:val="nil"/>
            </w:tcBorders>
            <w:vAlign w:val="center"/>
            <w:hideMark/>
          </w:tcPr>
          <w:p w14:paraId="6F117E88" w14:textId="77777777" w:rsidR="00307457" w:rsidRPr="0033743F" w:rsidRDefault="00307457" w:rsidP="00243FAB">
            <w:pPr>
              <w:jc w:val="right"/>
            </w:pPr>
          </w:p>
        </w:tc>
        <w:tc>
          <w:tcPr>
            <w:tcW w:w="1240" w:type="dxa"/>
            <w:tcBorders>
              <w:top w:val="nil"/>
              <w:left w:val="nil"/>
              <w:bottom w:val="nil"/>
              <w:right w:val="single" w:sz="8" w:space="0" w:color="auto"/>
            </w:tcBorders>
            <w:vAlign w:val="center"/>
            <w:hideMark/>
          </w:tcPr>
          <w:p w14:paraId="0D3027D6" w14:textId="77777777" w:rsidR="00307457" w:rsidRPr="0033743F" w:rsidRDefault="00307457" w:rsidP="00243FAB">
            <w:pPr>
              <w:jc w:val="right"/>
              <w:rPr>
                <w:rFonts w:ascii="Arial" w:hAnsi="Arial" w:cs="Arial"/>
                <w:color w:val="000000"/>
              </w:rPr>
            </w:pPr>
            <w:r w:rsidRPr="0033743F">
              <w:rPr>
                <w:rFonts w:ascii="Arial" w:hAnsi="Arial" w:cs="Arial"/>
                <w:color w:val="000000"/>
              </w:rPr>
              <w:t> </w:t>
            </w:r>
          </w:p>
        </w:tc>
      </w:tr>
      <w:tr w:rsidR="00307457" w:rsidRPr="00423F14" w14:paraId="7BCC6CC1" w14:textId="77777777" w:rsidTr="00243FAB">
        <w:trPr>
          <w:trHeight w:val="900"/>
        </w:trPr>
        <w:tc>
          <w:tcPr>
            <w:tcW w:w="6360" w:type="dxa"/>
            <w:tcBorders>
              <w:top w:val="nil"/>
              <w:left w:val="single" w:sz="8" w:space="0" w:color="auto"/>
              <w:bottom w:val="nil"/>
              <w:right w:val="nil"/>
            </w:tcBorders>
            <w:vAlign w:val="center"/>
            <w:hideMark/>
          </w:tcPr>
          <w:p w14:paraId="221ECFC6" w14:textId="77777777" w:rsidR="00307457" w:rsidRPr="0033743F" w:rsidRDefault="00307457" w:rsidP="00243FAB">
            <w:pPr>
              <w:rPr>
                <w:rFonts w:ascii="Arial" w:hAnsi="Arial" w:cs="Arial"/>
                <w:color w:val="000000"/>
              </w:rPr>
            </w:pPr>
            <w:r w:rsidRPr="0033743F">
              <w:rPr>
                <w:rFonts w:ascii="Arial" w:hAnsi="Arial" w:cs="Arial"/>
                <w:color w:val="000000"/>
              </w:rPr>
              <w:t>Amounts by which income and expenditure included in the CIES are different from revenue for the year calculated in accordance with statutory requirements:</w:t>
            </w:r>
          </w:p>
        </w:tc>
        <w:tc>
          <w:tcPr>
            <w:tcW w:w="1600" w:type="dxa"/>
            <w:tcBorders>
              <w:top w:val="nil"/>
              <w:left w:val="nil"/>
              <w:bottom w:val="nil"/>
              <w:right w:val="nil"/>
            </w:tcBorders>
            <w:vAlign w:val="center"/>
            <w:hideMark/>
          </w:tcPr>
          <w:p w14:paraId="1315A60A" w14:textId="77777777" w:rsidR="00307457" w:rsidRPr="0033743F" w:rsidRDefault="00307457" w:rsidP="00243FAB">
            <w:pPr>
              <w:rPr>
                <w:rFonts w:ascii="Arial" w:hAnsi="Arial" w:cs="Arial"/>
                <w:color w:val="000000"/>
              </w:rPr>
            </w:pPr>
          </w:p>
        </w:tc>
        <w:tc>
          <w:tcPr>
            <w:tcW w:w="1300" w:type="dxa"/>
            <w:tcBorders>
              <w:top w:val="nil"/>
              <w:left w:val="nil"/>
              <w:bottom w:val="nil"/>
              <w:right w:val="nil"/>
            </w:tcBorders>
            <w:vAlign w:val="center"/>
            <w:hideMark/>
          </w:tcPr>
          <w:p w14:paraId="408F8F92" w14:textId="77777777" w:rsidR="00307457" w:rsidRPr="0033743F" w:rsidRDefault="00307457" w:rsidP="00243FAB">
            <w:pPr>
              <w:jc w:val="right"/>
            </w:pPr>
          </w:p>
        </w:tc>
        <w:tc>
          <w:tcPr>
            <w:tcW w:w="1240" w:type="dxa"/>
            <w:tcBorders>
              <w:top w:val="nil"/>
              <w:left w:val="nil"/>
              <w:bottom w:val="nil"/>
              <w:right w:val="single" w:sz="8" w:space="0" w:color="auto"/>
            </w:tcBorders>
            <w:vAlign w:val="center"/>
            <w:hideMark/>
          </w:tcPr>
          <w:p w14:paraId="5E83A7E2" w14:textId="77777777" w:rsidR="00307457" w:rsidRPr="0033743F" w:rsidRDefault="00307457" w:rsidP="00243FAB">
            <w:pPr>
              <w:jc w:val="right"/>
              <w:rPr>
                <w:rFonts w:ascii="Arial" w:hAnsi="Arial" w:cs="Arial"/>
                <w:color w:val="000000"/>
              </w:rPr>
            </w:pPr>
            <w:r w:rsidRPr="0033743F">
              <w:rPr>
                <w:rFonts w:ascii="Arial" w:hAnsi="Arial" w:cs="Arial"/>
                <w:color w:val="000000"/>
              </w:rPr>
              <w:t> </w:t>
            </w:r>
          </w:p>
        </w:tc>
      </w:tr>
      <w:tr w:rsidR="00442BF9" w:rsidRPr="00423F14" w14:paraId="00F180F6" w14:textId="77777777" w:rsidTr="00B27992">
        <w:trPr>
          <w:trHeight w:val="600"/>
        </w:trPr>
        <w:tc>
          <w:tcPr>
            <w:tcW w:w="6360" w:type="dxa"/>
            <w:tcBorders>
              <w:top w:val="nil"/>
              <w:left w:val="single" w:sz="8" w:space="0" w:color="auto"/>
              <w:bottom w:val="nil"/>
              <w:right w:val="nil"/>
            </w:tcBorders>
            <w:vAlign w:val="center"/>
            <w:hideMark/>
          </w:tcPr>
          <w:p w14:paraId="6C751847" w14:textId="77777777" w:rsidR="00442BF9" w:rsidRPr="0033743F" w:rsidRDefault="00442BF9" w:rsidP="00442BF9">
            <w:pPr>
              <w:ind w:firstLineChars="200" w:firstLine="400"/>
              <w:rPr>
                <w:rFonts w:ascii="Symbol" w:hAnsi="Symbol" w:cs="Calibri"/>
                <w:color w:val="000000"/>
              </w:rPr>
            </w:pPr>
            <w:r w:rsidRPr="0033743F">
              <w:rPr>
                <w:rFonts w:ascii="Symbol" w:hAnsi="Symbol" w:cs="Calibri"/>
                <w:color w:val="000000"/>
              </w:rPr>
              <w:t>·</w:t>
            </w:r>
            <w:r w:rsidRPr="0033743F">
              <w:rPr>
                <w:color w:val="000000"/>
                <w:sz w:val="14"/>
                <w:szCs w:val="14"/>
              </w:rPr>
              <w:t xml:space="preserve">         </w:t>
            </w:r>
            <w:r w:rsidRPr="0033743F">
              <w:rPr>
                <w:rFonts w:ascii="Arial" w:hAnsi="Arial" w:cs="Arial"/>
                <w:color w:val="000000"/>
              </w:rPr>
              <w:t>Pensions costs (transferred to (or from) the Pensions Reserve)</w:t>
            </w:r>
          </w:p>
        </w:tc>
        <w:tc>
          <w:tcPr>
            <w:tcW w:w="1600" w:type="dxa"/>
            <w:tcBorders>
              <w:top w:val="nil"/>
              <w:left w:val="nil"/>
              <w:bottom w:val="nil"/>
              <w:right w:val="nil"/>
            </w:tcBorders>
            <w:vAlign w:val="center"/>
            <w:hideMark/>
          </w:tcPr>
          <w:p w14:paraId="633158D9" w14:textId="4D2276C1" w:rsidR="00442BF9" w:rsidRPr="0033743F" w:rsidRDefault="00442BF9" w:rsidP="00442BF9">
            <w:pPr>
              <w:jc w:val="right"/>
              <w:rPr>
                <w:rFonts w:ascii="Arial" w:hAnsi="Arial" w:cs="Arial"/>
                <w:color w:val="000000"/>
              </w:rPr>
            </w:pPr>
            <w:r>
              <w:rPr>
                <w:rFonts w:ascii="Arial" w:hAnsi="Arial" w:cs="Arial"/>
                <w:color w:val="000000"/>
              </w:rPr>
              <w:t>(71,206)</w:t>
            </w:r>
          </w:p>
        </w:tc>
        <w:tc>
          <w:tcPr>
            <w:tcW w:w="1300" w:type="dxa"/>
            <w:tcBorders>
              <w:top w:val="nil"/>
              <w:left w:val="nil"/>
              <w:bottom w:val="nil"/>
              <w:right w:val="nil"/>
            </w:tcBorders>
            <w:vAlign w:val="center"/>
            <w:hideMark/>
          </w:tcPr>
          <w:p w14:paraId="772A5CD0" w14:textId="35EE4EA7"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40" w:type="dxa"/>
            <w:tcBorders>
              <w:top w:val="nil"/>
              <w:left w:val="nil"/>
              <w:bottom w:val="nil"/>
              <w:right w:val="single" w:sz="4" w:space="0" w:color="auto"/>
            </w:tcBorders>
            <w:vAlign w:val="center"/>
            <w:hideMark/>
          </w:tcPr>
          <w:p w14:paraId="2F378B8E" w14:textId="0F2D5DEA"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423F14" w14:paraId="06430A7C" w14:textId="77777777" w:rsidTr="00B27992">
        <w:trPr>
          <w:trHeight w:val="600"/>
        </w:trPr>
        <w:tc>
          <w:tcPr>
            <w:tcW w:w="6360" w:type="dxa"/>
            <w:tcBorders>
              <w:top w:val="nil"/>
              <w:left w:val="single" w:sz="8" w:space="0" w:color="auto"/>
              <w:bottom w:val="nil"/>
              <w:right w:val="nil"/>
            </w:tcBorders>
            <w:vAlign w:val="center"/>
            <w:hideMark/>
          </w:tcPr>
          <w:p w14:paraId="4BECFD96" w14:textId="77777777" w:rsidR="00442BF9" w:rsidRPr="0033743F" w:rsidRDefault="00442BF9" w:rsidP="00442BF9">
            <w:pPr>
              <w:ind w:firstLineChars="200" w:firstLine="400"/>
              <w:rPr>
                <w:rFonts w:ascii="Symbol" w:hAnsi="Symbol" w:cs="Calibri"/>
                <w:color w:val="000000"/>
              </w:rPr>
            </w:pPr>
            <w:r w:rsidRPr="0033743F">
              <w:rPr>
                <w:rFonts w:ascii="Symbol" w:hAnsi="Symbol" w:cs="Calibri"/>
                <w:color w:val="000000"/>
              </w:rPr>
              <w:t>·</w:t>
            </w:r>
            <w:r w:rsidRPr="0033743F">
              <w:rPr>
                <w:color w:val="000000"/>
                <w:sz w:val="14"/>
                <w:szCs w:val="14"/>
              </w:rPr>
              <w:t xml:space="preserve">         </w:t>
            </w:r>
            <w:r w:rsidRPr="0033743F">
              <w:rPr>
                <w:rFonts w:ascii="Arial" w:hAnsi="Arial" w:cs="Arial"/>
                <w:color w:val="000000"/>
              </w:rPr>
              <w:t>Council Tax (transfers to or from the Collection Fund Adjustment Account</w:t>
            </w:r>
            <w:r w:rsidRPr="0033743F">
              <w:rPr>
                <w:rFonts w:ascii="Symbol" w:hAnsi="Symbol" w:cs="Calibri"/>
                <w:color w:val="000000"/>
              </w:rPr>
              <w:t>)</w:t>
            </w:r>
          </w:p>
        </w:tc>
        <w:tc>
          <w:tcPr>
            <w:tcW w:w="1600" w:type="dxa"/>
            <w:tcBorders>
              <w:top w:val="nil"/>
              <w:left w:val="nil"/>
              <w:bottom w:val="nil"/>
              <w:right w:val="nil"/>
            </w:tcBorders>
            <w:vAlign w:val="center"/>
            <w:hideMark/>
          </w:tcPr>
          <w:p w14:paraId="5DC94161" w14:textId="5C93CE55" w:rsidR="00442BF9" w:rsidRPr="0033743F" w:rsidRDefault="00442BF9" w:rsidP="00442BF9">
            <w:pPr>
              <w:jc w:val="right"/>
              <w:rPr>
                <w:rFonts w:ascii="Arial" w:hAnsi="Arial" w:cs="Arial"/>
                <w:color w:val="000000"/>
              </w:rPr>
            </w:pPr>
            <w:r>
              <w:rPr>
                <w:rFonts w:ascii="Arial" w:hAnsi="Arial" w:cs="Arial"/>
                <w:color w:val="000000"/>
              </w:rPr>
              <w:t>(</w:t>
            </w:r>
            <w:r w:rsidRPr="00307457">
              <w:rPr>
                <w:rFonts w:ascii="Arial" w:hAnsi="Arial" w:cs="Arial"/>
                <w:color w:val="000000"/>
              </w:rPr>
              <w:t>332</w:t>
            </w:r>
            <w:r>
              <w:rPr>
                <w:rFonts w:ascii="Arial" w:hAnsi="Arial" w:cs="Arial"/>
                <w:color w:val="000000"/>
              </w:rPr>
              <w:t>)</w:t>
            </w:r>
          </w:p>
        </w:tc>
        <w:tc>
          <w:tcPr>
            <w:tcW w:w="1300" w:type="dxa"/>
            <w:tcBorders>
              <w:top w:val="nil"/>
              <w:left w:val="nil"/>
              <w:bottom w:val="nil"/>
              <w:right w:val="nil"/>
            </w:tcBorders>
            <w:vAlign w:val="center"/>
            <w:hideMark/>
          </w:tcPr>
          <w:p w14:paraId="0CDDFC09" w14:textId="4195781C"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40" w:type="dxa"/>
            <w:tcBorders>
              <w:top w:val="nil"/>
              <w:left w:val="nil"/>
              <w:bottom w:val="nil"/>
              <w:right w:val="single" w:sz="4" w:space="0" w:color="auto"/>
            </w:tcBorders>
            <w:vAlign w:val="center"/>
            <w:hideMark/>
          </w:tcPr>
          <w:p w14:paraId="3B1A97EC" w14:textId="5802785F"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423F14" w14:paraId="52DDE133" w14:textId="77777777" w:rsidTr="00B27992">
        <w:trPr>
          <w:trHeight w:val="600"/>
        </w:trPr>
        <w:tc>
          <w:tcPr>
            <w:tcW w:w="6360" w:type="dxa"/>
            <w:tcBorders>
              <w:top w:val="nil"/>
              <w:left w:val="single" w:sz="8" w:space="0" w:color="auto"/>
              <w:bottom w:val="nil"/>
              <w:right w:val="nil"/>
            </w:tcBorders>
            <w:vAlign w:val="center"/>
            <w:hideMark/>
          </w:tcPr>
          <w:p w14:paraId="54F5F10A" w14:textId="77777777" w:rsidR="00442BF9" w:rsidRPr="0033743F" w:rsidRDefault="00442BF9" w:rsidP="00442BF9">
            <w:pPr>
              <w:ind w:firstLineChars="200" w:firstLine="400"/>
              <w:rPr>
                <w:rFonts w:ascii="Symbol" w:hAnsi="Symbol" w:cs="Calibri"/>
                <w:color w:val="000000"/>
              </w:rPr>
            </w:pPr>
            <w:r w:rsidRPr="0033743F">
              <w:rPr>
                <w:rFonts w:ascii="Symbol" w:hAnsi="Symbol" w:cs="Calibri"/>
                <w:color w:val="000000"/>
              </w:rPr>
              <w:t>·</w:t>
            </w:r>
            <w:r w:rsidRPr="0033743F">
              <w:rPr>
                <w:color w:val="000000"/>
                <w:sz w:val="14"/>
                <w:szCs w:val="14"/>
              </w:rPr>
              <w:t xml:space="preserve">         </w:t>
            </w:r>
            <w:r w:rsidRPr="0033743F">
              <w:rPr>
                <w:rFonts w:ascii="Arial" w:hAnsi="Arial" w:cs="Arial"/>
                <w:color w:val="000000"/>
              </w:rPr>
              <w:t>Untaken leave and Time Off in Lieu (transferred to the Accumulated Absences Account</w:t>
            </w:r>
            <w:r w:rsidRPr="0033743F">
              <w:rPr>
                <w:rFonts w:ascii="Symbol" w:hAnsi="Symbol" w:cs="Calibri"/>
                <w:color w:val="000000"/>
              </w:rPr>
              <w:t>)</w:t>
            </w:r>
          </w:p>
        </w:tc>
        <w:tc>
          <w:tcPr>
            <w:tcW w:w="1600" w:type="dxa"/>
            <w:tcBorders>
              <w:top w:val="nil"/>
              <w:left w:val="nil"/>
              <w:bottom w:val="nil"/>
              <w:right w:val="nil"/>
            </w:tcBorders>
            <w:vAlign w:val="center"/>
            <w:hideMark/>
          </w:tcPr>
          <w:p w14:paraId="7A2CFD19" w14:textId="7191B844" w:rsidR="00442BF9" w:rsidRPr="0033743F" w:rsidRDefault="00442BF9" w:rsidP="00442BF9">
            <w:pPr>
              <w:jc w:val="right"/>
              <w:rPr>
                <w:rFonts w:ascii="Arial" w:hAnsi="Arial" w:cs="Arial"/>
                <w:color w:val="000000"/>
              </w:rPr>
            </w:pPr>
            <w:r w:rsidRPr="00307457">
              <w:rPr>
                <w:rFonts w:ascii="Arial" w:hAnsi="Arial" w:cs="Arial"/>
                <w:color w:val="000000"/>
              </w:rPr>
              <w:t>1,027</w:t>
            </w:r>
          </w:p>
        </w:tc>
        <w:tc>
          <w:tcPr>
            <w:tcW w:w="1300" w:type="dxa"/>
            <w:tcBorders>
              <w:top w:val="nil"/>
              <w:left w:val="nil"/>
              <w:bottom w:val="nil"/>
              <w:right w:val="nil"/>
            </w:tcBorders>
            <w:vAlign w:val="center"/>
            <w:hideMark/>
          </w:tcPr>
          <w:p w14:paraId="2AF69A93" w14:textId="684EA872"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40" w:type="dxa"/>
            <w:tcBorders>
              <w:top w:val="nil"/>
              <w:left w:val="nil"/>
              <w:bottom w:val="nil"/>
              <w:right w:val="single" w:sz="4" w:space="0" w:color="auto"/>
            </w:tcBorders>
            <w:vAlign w:val="center"/>
            <w:hideMark/>
          </w:tcPr>
          <w:p w14:paraId="5194C1DB" w14:textId="38902F63"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423F14" w14:paraId="2B65E59E" w14:textId="77777777" w:rsidTr="00B27992">
        <w:trPr>
          <w:trHeight w:val="900"/>
        </w:trPr>
        <w:tc>
          <w:tcPr>
            <w:tcW w:w="6360" w:type="dxa"/>
            <w:tcBorders>
              <w:top w:val="nil"/>
              <w:left w:val="single" w:sz="8" w:space="0" w:color="auto"/>
              <w:bottom w:val="nil"/>
              <w:right w:val="nil"/>
            </w:tcBorders>
            <w:vAlign w:val="center"/>
            <w:hideMark/>
          </w:tcPr>
          <w:p w14:paraId="251537EC" w14:textId="77777777" w:rsidR="00442BF9" w:rsidRPr="0033743F" w:rsidRDefault="00442BF9" w:rsidP="00442BF9">
            <w:pPr>
              <w:ind w:firstLineChars="200" w:firstLine="400"/>
              <w:rPr>
                <w:rFonts w:ascii="Symbol" w:hAnsi="Symbol" w:cs="Calibri"/>
                <w:color w:val="000000"/>
              </w:rPr>
            </w:pPr>
            <w:r w:rsidRPr="0033743F">
              <w:rPr>
                <w:rFonts w:ascii="Symbol" w:hAnsi="Symbol" w:cs="Calibri"/>
                <w:color w:val="000000"/>
              </w:rPr>
              <w:t>·</w:t>
            </w:r>
            <w:r w:rsidRPr="0033743F">
              <w:rPr>
                <w:color w:val="000000"/>
                <w:sz w:val="14"/>
                <w:szCs w:val="14"/>
              </w:rPr>
              <w:t xml:space="preserve">         </w:t>
            </w:r>
            <w:r w:rsidRPr="0033743F">
              <w:rPr>
                <w:rFonts w:ascii="Arial" w:hAnsi="Arial" w:cs="Arial"/>
                <w:color w:val="000000"/>
              </w:rPr>
              <w:t>Reversal of entries included in the deficit on provision of services in relation to capital expenditure (these items are charged to the Capital Adjustment Account</w:t>
            </w:r>
            <w:r w:rsidRPr="0033743F">
              <w:rPr>
                <w:rFonts w:ascii="Symbol" w:hAnsi="Symbol" w:cs="Calibri"/>
                <w:color w:val="000000"/>
              </w:rPr>
              <w:t>)</w:t>
            </w:r>
          </w:p>
        </w:tc>
        <w:tc>
          <w:tcPr>
            <w:tcW w:w="1600" w:type="dxa"/>
            <w:tcBorders>
              <w:top w:val="nil"/>
              <w:left w:val="nil"/>
              <w:bottom w:val="nil"/>
              <w:right w:val="nil"/>
            </w:tcBorders>
            <w:vAlign w:val="center"/>
            <w:hideMark/>
          </w:tcPr>
          <w:p w14:paraId="3A0F1CC5" w14:textId="7B11020B" w:rsidR="00442BF9" w:rsidRPr="0033743F" w:rsidRDefault="00442BF9" w:rsidP="00442BF9">
            <w:pPr>
              <w:jc w:val="right"/>
              <w:rPr>
                <w:rFonts w:ascii="Arial" w:hAnsi="Arial" w:cs="Arial"/>
                <w:color w:val="000000"/>
              </w:rPr>
            </w:pPr>
            <w:r>
              <w:rPr>
                <w:rFonts w:ascii="Arial" w:hAnsi="Arial" w:cs="Arial"/>
                <w:color w:val="000000"/>
              </w:rPr>
              <w:t>(21</w:t>
            </w:r>
            <w:r w:rsidRPr="00307457">
              <w:rPr>
                <w:rFonts w:ascii="Arial" w:hAnsi="Arial" w:cs="Arial"/>
                <w:color w:val="000000"/>
              </w:rPr>
              <w:t>,</w:t>
            </w:r>
            <w:r>
              <w:rPr>
                <w:rFonts w:ascii="Arial" w:hAnsi="Arial" w:cs="Arial"/>
                <w:color w:val="000000"/>
              </w:rPr>
              <w:t>87</w:t>
            </w:r>
            <w:r w:rsidRPr="00307457">
              <w:rPr>
                <w:rFonts w:ascii="Arial" w:hAnsi="Arial" w:cs="Arial"/>
                <w:color w:val="000000"/>
              </w:rPr>
              <w:t>7</w:t>
            </w:r>
            <w:r>
              <w:rPr>
                <w:rFonts w:ascii="Arial" w:hAnsi="Arial" w:cs="Arial"/>
                <w:color w:val="000000"/>
              </w:rPr>
              <w:t>)</w:t>
            </w:r>
          </w:p>
        </w:tc>
        <w:tc>
          <w:tcPr>
            <w:tcW w:w="1300" w:type="dxa"/>
            <w:tcBorders>
              <w:top w:val="nil"/>
              <w:left w:val="nil"/>
              <w:bottom w:val="nil"/>
              <w:right w:val="nil"/>
            </w:tcBorders>
            <w:vAlign w:val="center"/>
            <w:hideMark/>
          </w:tcPr>
          <w:p w14:paraId="70CF88B5" w14:textId="4638F4CC"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40" w:type="dxa"/>
            <w:tcBorders>
              <w:top w:val="nil"/>
              <w:left w:val="nil"/>
              <w:bottom w:val="nil"/>
              <w:right w:val="single" w:sz="4" w:space="0" w:color="auto"/>
            </w:tcBorders>
            <w:vAlign w:val="center"/>
            <w:hideMark/>
          </w:tcPr>
          <w:p w14:paraId="64BC6B1B" w14:textId="23F46EA3" w:rsidR="00442BF9" w:rsidRPr="0033743F" w:rsidRDefault="00442BF9" w:rsidP="00442BF9">
            <w:pPr>
              <w:jc w:val="right"/>
              <w:rPr>
                <w:rFonts w:ascii="Arial" w:hAnsi="Arial" w:cs="Arial"/>
                <w:color w:val="000000"/>
              </w:rPr>
            </w:pPr>
            <w:r>
              <w:rPr>
                <w:rFonts w:ascii="Arial" w:hAnsi="Arial" w:cs="Arial"/>
                <w:color w:val="000000"/>
              </w:rPr>
              <w:t>(</w:t>
            </w:r>
            <w:r w:rsidRPr="00307457">
              <w:rPr>
                <w:rFonts w:ascii="Arial" w:hAnsi="Arial" w:cs="Arial"/>
                <w:color w:val="000000"/>
              </w:rPr>
              <w:t>155</w:t>
            </w:r>
            <w:r>
              <w:rPr>
                <w:rFonts w:ascii="Arial" w:hAnsi="Arial" w:cs="Arial"/>
                <w:color w:val="000000"/>
              </w:rPr>
              <w:t>)</w:t>
            </w:r>
          </w:p>
        </w:tc>
      </w:tr>
      <w:tr w:rsidR="00442BF9" w:rsidRPr="00423F14" w14:paraId="73DA5368" w14:textId="77777777">
        <w:trPr>
          <w:trHeight w:val="300"/>
        </w:trPr>
        <w:tc>
          <w:tcPr>
            <w:tcW w:w="6360" w:type="dxa"/>
            <w:tcBorders>
              <w:top w:val="nil"/>
              <w:left w:val="single" w:sz="8" w:space="0" w:color="auto"/>
              <w:bottom w:val="nil"/>
              <w:right w:val="nil"/>
            </w:tcBorders>
            <w:shd w:val="clear" w:color="000000" w:fill="CCCCCC"/>
            <w:vAlign w:val="center"/>
            <w:hideMark/>
          </w:tcPr>
          <w:p w14:paraId="7F26AD12" w14:textId="77777777" w:rsidR="00442BF9" w:rsidRPr="0033743F" w:rsidRDefault="00442BF9" w:rsidP="00442BF9">
            <w:pPr>
              <w:rPr>
                <w:rFonts w:ascii="Arial" w:hAnsi="Arial" w:cs="Arial"/>
                <w:b/>
                <w:bCs/>
                <w:color w:val="000000"/>
              </w:rPr>
            </w:pPr>
            <w:r w:rsidRPr="0033743F">
              <w:rPr>
                <w:rFonts w:ascii="Arial" w:hAnsi="Arial" w:cs="Arial"/>
                <w:b/>
                <w:bCs/>
                <w:color w:val="000000"/>
              </w:rPr>
              <w:t>Total Adjustments to Revenue Resources</w:t>
            </w:r>
          </w:p>
        </w:tc>
        <w:tc>
          <w:tcPr>
            <w:tcW w:w="1600" w:type="dxa"/>
            <w:tcBorders>
              <w:top w:val="nil"/>
              <w:left w:val="nil"/>
              <w:bottom w:val="nil"/>
              <w:right w:val="nil"/>
            </w:tcBorders>
            <w:shd w:val="clear" w:color="000000" w:fill="CCCCCC"/>
            <w:vAlign w:val="center"/>
            <w:hideMark/>
          </w:tcPr>
          <w:p w14:paraId="09CA811B" w14:textId="3E47A1AB" w:rsidR="00442BF9" w:rsidRPr="0033743F" w:rsidRDefault="00442BF9" w:rsidP="00442BF9">
            <w:pPr>
              <w:jc w:val="right"/>
              <w:rPr>
                <w:rFonts w:ascii="Arial" w:hAnsi="Arial" w:cs="Arial"/>
                <w:b/>
                <w:bCs/>
                <w:color w:val="000000"/>
              </w:rPr>
            </w:pPr>
            <w:r>
              <w:rPr>
                <w:rFonts w:ascii="Arial" w:hAnsi="Arial" w:cs="Arial"/>
                <w:b/>
                <w:bCs/>
                <w:color w:val="000000"/>
              </w:rPr>
              <w:t>(92</w:t>
            </w:r>
            <w:r w:rsidRPr="00307457">
              <w:rPr>
                <w:rFonts w:ascii="Arial" w:hAnsi="Arial" w:cs="Arial"/>
                <w:b/>
                <w:bCs/>
                <w:color w:val="000000"/>
              </w:rPr>
              <w:t>,</w:t>
            </w:r>
            <w:r>
              <w:rPr>
                <w:rFonts w:ascii="Arial" w:hAnsi="Arial" w:cs="Arial"/>
                <w:b/>
                <w:bCs/>
                <w:color w:val="000000"/>
              </w:rPr>
              <w:t>388)</w:t>
            </w:r>
          </w:p>
        </w:tc>
        <w:tc>
          <w:tcPr>
            <w:tcW w:w="1300" w:type="dxa"/>
            <w:tcBorders>
              <w:top w:val="nil"/>
              <w:left w:val="nil"/>
              <w:bottom w:val="nil"/>
              <w:right w:val="nil"/>
            </w:tcBorders>
            <w:shd w:val="clear" w:color="000000" w:fill="CCCCCC"/>
            <w:vAlign w:val="center"/>
            <w:hideMark/>
          </w:tcPr>
          <w:p w14:paraId="38C79C23" w14:textId="15F404C4"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240" w:type="dxa"/>
            <w:tcBorders>
              <w:top w:val="nil"/>
              <w:left w:val="nil"/>
              <w:bottom w:val="nil"/>
              <w:right w:val="single" w:sz="4" w:space="0" w:color="auto"/>
            </w:tcBorders>
            <w:shd w:val="clear" w:color="000000" w:fill="CCCCCC"/>
            <w:vAlign w:val="center"/>
            <w:hideMark/>
          </w:tcPr>
          <w:p w14:paraId="5CBDAE73" w14:textId="184D4B62" w:rsidR="00442BF9" w:rsidRPr="0033743F" w:rsidRDefault="00442BF9" w:rsidP="00442BF9">
            <w:pPr>
              <w:jc w:val="right"/>
              <w:rPr>
                <w:rFonts w:ascii="Arial" w:hAnsi="Arial" w:cs="Arial"/>
                <w:b/>
                <w:bCs/>
                <w:color w:val="000000"/>
              </w:rPr>
            </w:pPr>
            <w:r>
              <w:rPr>
                <w:rFonts w:ascii="Arial" w:hAnsi="Arial" w:cs="Arial"/>
                <w:b/>
                <w:bCs/>
                <w:color w:val="000000"/>
              </w:rPr>
              <w:t>(</w:t>
            </w:r>
            <w:r w:rsidRPr="00307457">
              <w:rPr>
                <w:rFonts w:ascii="Arial" w:hAnsi="Arial" w:cs="Arial"/>
                <w:b/>
                <w:bCs/>
                <w:color w:val="000000"/>
              </w:rPr>
              <w:t>155</w:t>
            </w:r>
            <w:r>
              <w:rPr>
                <w:rFonts w:ascii="Arial" w:hAnsi="Arial" w:cs="Arial"/>
                <w:b/>
                <w:bCs/>
                <w:color w:val="000000"/>
              </w:rPr>
              <w:t>)</w:t>
            </w:r>
          </w:p>
        </w:tc>
      </w:tr>
      <w:tr w:rsidR="00442BF9" w:rsidRPr="00423F14" w14:paraId="6183CCF4" w14:textId="77777777" w:rsidTr="00B27992">
        <w:trPr>
          <w:trHeight w:val="300"/>
        </w:trPr>
        <w:tc>
          <w:tcPr>
            <w:tcW w:w="6360" w:type="dxa"/>
            <w:tcBorders>
              <w:top w:val="nil"/>
              <w:left w:val="single" w:sz="8" w:space="0" w:color="auto"/>
              <w:bottom w:val="nil"/>
              <w:right w:val="nil"/>
            </w:tcBorders>
            <w:vAlign w:val="center"/>
            <w:hideMark/>
          </w:tcPr>
          <w:p w14:paraId="19BEB0A0" w14:textId="77777777" w:rsidR="00442BF9" w:rsidRPr="0033743F" w:rsidRDefault="00442BF9" w:rsidP="00442BF9">
            <w:pPr>
              <w:rPr>
                <w:rFonts w:ascii="Arial" w:hAnsi="Arial" w:cs="Arial"/>
                <w:b/>
                <w:bCs/>
                <w:color w:val="000000"/>
              </w:rPr>
            </w:pPr>
            <w:r w:rsidRPr="0033743F">
              <w:rPr>
                <w:rFonts w:ascii="Arial" w:hAnsi="Arial" w:cs="Arial"/>
                <w:b/>
                <w:bCs/>
                <w:color w:val="000000"/>
              </w:rPr>
              <w:t>Adjustments between Revenue and Capital Resources</w:t>
            </w:r>
          </w:p>
        </w:tc>
        <w:tc>
          <w:tcPr>
            <w:tcW w:w="1600" w:type="dxa"/>
            <w:tcBorders>
              <w:top w:val="nil"/>
              <w:left w:val="nil"/>
              <w:bottom w:val="nil"/>
              <w:right w:val="nil"/>
            </w:tcBorders>
            <w:shd w:val="clear" w:color="000000" w:fill="auto"/>
            <w:vAlign w:val="center"/>
            <w:hideMark/>
          </w:tcPr>
          <w:p w14:paraId="438A96B5" w14:textId="77777777" w:rsidR="00442BF9" w:rsidRPr="0033743F" w:rsidRDefault="00442BF9" w:rsidP="00442BF9">
            <w:pPr>
              <w:rPr>
                <w:rFonts w:ascii="Arial" w:hAnsi="Arial" w:cs="Arial"/>
                <w:b/>
                <w:bCs/>
                <w:color w:val="000000"/>
              </w:rPr>
            </w:pPr>
          </w:p>
        </w:tc>
        <w:tc>
          <w:tcPr>
            <w:tcW w:w="1300" w:type="dxa"/>
            <w:tcBorders>
              <w:top w:val="nil"/>
              <w:left w:val="nil"/>
              <w:bottom w:val="nil"/>
              <w:right w:val="nil"/>
            </w:tcBorders>
            <w:shd w:val="clear" w:color="000000" w:fill="auto"/>
            <w:vAlign w:val="center"/>
            <w:hideMark/>
          </w:tcPr>
          <w:p w14:paraId="36C47A84" w14:textId="77777777" w:rsidR="00442BF9" w:rsidRPr="0033743F" w:rsidRDefault="00442BF9" w:rsidP="00442BF9">
            <w:pPr>
              <w:jc w:val="right"/>
            </w:pPr>
          </w:p>
        </w:tc>
        <w:tc>
          <w:tcPr>
            <w:tcW w:w="1240" w:type="dxa"/>
            <w:tcBorders>
              <w:top w:val="nil"/>
              <w:left w:val="nil"/>
              <w:bottom w:val="nil"/>
              <w:right w:val="single" w:sz="4" w:space="0" w:color="auto"/>
            </w:tcBorders>
            <w:shd w:val="clear" w:color="000000" w:fill="auto"/>
            <w:vAlign w:val="center"/>
            <w:hideMark/>
          </w:tcPr>
          <w:p w14:paraId="2A9CEED9" w14:textId="6851BF26" w:rsidR="00442BF9" w:rsidRPr="0033743F" w:rsidRDefault="00442BF9" w:rsidP="00442BF9">
            <w:pPr>
              <w:jc w:val="right"/>
              <w:rPr>
                <w:rFonts w:ascii="Arial" w:hAnsi="Arial" w:cs="Arial"/>
                <w:color w:val="000000"/>
              </w:rPr>
            </w:pPr>
          </w:p>
        </w:tc>
      </w:tr>
      <w:tr w:rsidR="00442BF9" w:rsidRPr="00423F14" w14:paraId="0C593CE1" w14:textId="77777777" w:rsidTr="00B27992">
        <w:trPr>
          <w:trHeight w:val="600"/>
        </w:trPr>
        <w:tc>
          <w:tcPr>
            <w:tcW w:w="6360" w:type="dxa"/>
            <w:tcBorders>
              <w:top w:val="nil"/>
              <w:left w:val="single" w:sz="8" w:space="0" w:color="auto"/>
              <w:bottom w:val="nil"/>
              <w:right w:val="nil"/>
            </w:tcBorders>
            <w:vAlign w:val="center"/>
            <w:hideMark/>
          </w:tcPr>
          <w:p w14:paraId="185A897B" w14:textId="77777777" w:rsidR="00442BF9" w:rsidRPr="0033743F" w:rsidRDefault="00442BF9" w:rsidP="00442BF9">
            <w:pPr>
              <w:rPr>
                <w:rFonts w:ascii="Arial" w:hAnsi="Arial" w:cs="Arial"/>
                <w:color w:val="000000"/>
              </w:rPr>
            </w:pPr>
            <w:r w:rsidRPr="0033743F">
              <w:rPr>
                <w:rFonts w:ascii="Arial" w:hAnsi="Arial" w:cs="Arial"/>
                <w:color w:val="000000"/>
              </w:rPr>
              <w:t>Transfer of non-current asset sale proceeds from revenue to the Capital Receipts Reserve</w:t>
            </w:r>
          </w:p>
        </w:tc>
        <w:tc>
          <w:tcPr>
            <w:tcW w:w="1600" w:type="dxa"/>
            <w:tcBorders>
              <w:top w:val="nil"/>
              <w:left w:val="nil"/>
              <w:bottom w:val="nil"/>
              <w:right w:val="nil"/>
            </w:tcBorders>
            <w:shd w:val="clear" w:color="000000" w:fill="auto"/>
            <w:vAlign w:val="center"/>
            <w:hideMark/>
          </w:tcPr>
          <w:p w14:paraId="6458E92E" w14:textId="763A1027"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00" w:type="dxa"/>
            <w:tcBorders>
              <w:top w:val="nil"/>
              <w:left w:val="nil"/>
              <w:bottom w:val="nil"/>
              <w:right w:val="nil"/>
            </w:tcBorders>
            <w:shd w:val="clear" w:color="000000" w:fill="auto"/>
            <w:vAlign w:val="center"/>
            <w:hideMark/>
          </w:tcPr>
          <w:p w14:paraId="41F67E13" w14:textId="5B761832"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40" w:type="dxa"/>
            <w:tcBorders>
              <w:top w:val="nil"/>
              <w:left w:val="nil"/>
              <w:bottom w:val="nil"/>
              <w:right w:val="single" w:sz="4" w:space="0" w:color="auto"/>
            </w:tcBorders>
            <w:shd w:val="clear" w:color="000000" w:fill="auto"/>
            <w:vAlign w:val="center"/>
            <w:hideMark/>
          </w:tcPr>
          <w:p w14:paraId="284F7C1D" w14:textId="5F535820"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423F14" w14:paraId="730BF9D3" w14:textId="77777777" w:rsidTr="00B27992">
        <w:trPr>
          <w:trHeight w:val="600"/>
        </w:trPr>
        <w:tc>
          <w:tcPr>
            <w:tcW w:w="6360" w:type="dxa"/>
            <w:tcBorders>
              <w:top w:val="nil"/>
              <w:left w:val="single" w:sz="8" w:space="0" w:color="auto"/>
              <w:bottom w:val="nil"/>
              <w:right w:val="nil"/>
            </w:tcBorders>
            <w:vAlign w:val="center"/>
            <w:hideMark/>
          </w:tcPr>
          <w:p w14:paraId="56813D22" w14:textId="3B2BA88F" w:rsidR="00442BF9" w:rsidRPr="0033743F" w:rsidRDefault="00442BF9" w:rsidP="00442BF9">
            <w:pPr>
              <w:rPr>
                <w:rFonts w:ascii="Arial" w:hAnsi="Arial" w:cs="Arial"/>
                <w:color w:val="000000"/>
              </w:rPr>
            </w:pPr>
            <w:r w:rsidRPr="0033743F">
              <w:rPr>
                <w:rFonts w:ascii="Arial" w:hAnsi="Arial" w:cs="Arial"/>
                <w:color w:val="000000"/>
              </w:rPr>
              <w:t xml:space="preserve">Statutory provision for the repayment of debt (transfer </w:t>
            </w:r>
            <w:r>
              <w:rPr>
                <w:rFonts w:ascii="Arial" w:hAnsi="Arial" w:cs="Arial"/>
                <w:color w:val="000000"/>
              </w:rPr>
              <w:t>to</w:t>
            </w:r>
            <w:r w:rsidRPr="0033743F">
              <w:rPr>
                <w:rFonts w:ascii="Arial" w:hAnsi="Arial" w:cs="Arial"/>
                <w:color w:val="000000"/>
              </w:rPr>
              <w:t xml:space="preserve"> the Capital Adjustment Account)</w:t>
            </w:r>
          </w:p>
        </w:tc>
        <w:tc>
          <w:tcPr>
            <w:tcW w:w="1600" w:type="dxa"/>
            <w:tcBorders>
              <w:top w:val="nil"/>
              <w:left w:val="nil"/>
              <w:bottom w:val="nil"/>
              <w:right w:val="nil"/>
            </w:tcBorders>
            <w:shd w:val="clear" w:color="000000" w:fill="auto"/>
            <w:vAlign w:val="center"/>
            <w:hideMark/>
          </w:tcPr>
          <w:p w14:paraId="37132070" w14:textId="1BE2DC90" w:rsidR="00442BF9" w:rsidRPr="0033743F" w:rsidRDefault="00442BF9" w:rsidP="00442BF9">
            <w:pPr>
              <w:jc w:val="right"/>
              <w:rPr>
                <w:rFonts w:ascii="Arial" w:hAnsi="Arial" w:cs="Arial"/>
                <w:color w:val="000000"/>
              </w:rPr>
            </w:pPr>
            <w:r w:rsidRPr="00307457">
              <w:rPr>
                <w:rFonts w:ascii="Arial" w:hAnsi="Arial" w:cs="Arial"/>
                <w:color w:val="000000"/>
              </w:rPr>
              <w:t>2,191</w:t>
            </w:r>
          </w:p>
        </w:tc>
        <w:tc>
          <w:tcPr>
            <w:tcW w:w="1300" w:type="dxa"/>
            <w:tcBorders>
              <w:top w:val="nil"/>
              <w:left w:val="nil"/>
              <w:bottom w:val="nil"/>
              <w:right w:val="nil"/>
            </w:tcBorders>
            <w:shd w:val="clear" w:color="000000" w:fill="auto"/>
            <w:vAlign w:val="center"/>
            <w:hideMark/>
          </w:tcPr>
          <w:p w14:paraId="73D02F6B" w14:textId="14AAA76D"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40" w:type="dxa"/>
            <w:tcBorders>
              <w:top w:val="nil"/>
              <w:left w:val="nil"/>
              <w:bottom w:val="nil"/>
              <w:right w:val="single" w:sz="4" w:space="0" w:color="auto"/>
            </w:tcBorders>
            <w:shd w:val="clear" w:color="000000" w:fill="auto"/>
            <w:vAlign w:val="center"/>
            <w:hideMark/>
          </w:tcPr>
          <w:p w14:paraId="14B807B2" w14:textId="1550E208"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423F14" w14:paraId="0B6EEF67" w14:textId="77777777" w:rsidTr="00B27992">
        <w:trPr>
          <w:trHeight w:val="600"/>
        </w:trPr>
        <w:tc>
          <w:tcPr>
            <w:tcW w:w="6360" w:type="dxa"/>
            <w:tcBorders>
              <w:top w:val="nil"/>
              <w:left w:val="single" w:sz="8" w:space="0" w:color="auto"/>
              <w:bottom w:val="nil"/>
              <w:right w:val="nil"/>
            </w:tcBorders>
            <w:vAlign w:val="center"/>
            <w:hideMark/>
          </w:tcPr>
          <w:p w14:paraId="2D7BFC67" w14:textId="77777777" w:rsidR="00442BF9" w:rsidRPr="0033743F" w:rsidRDefault="00442BF9" w:rsidP="00442BF9">
            <w:pPr>
              <w:rPr>
                <w:rFonts w:ascii="Arial" w:hAnsi="Arial" w:cs="Arial"/>
                <w:color w:val="000000"/>
              </w:rPr>
            </w:pPr>
            <w:r w:rsidRPr="0033743F">
              <w:rPr>
                <w:rFonts w:ascii="Arial" w:hAnsi="Arial" w:cs="Arial"/>
                <w:color w:val="000000"/>
              </w:rPr>
              <w:t>Capital expenditure financed from revenue balances (transfer to the Capital Adjustment Account)</w:t>
            </w:r>
          </w:p>
        </w:tc>
        <w:tc>
          <w:tcPr>
            <w:tcW w:w="1600" w:type="dxa"/>
            <w:tcBorders>
              <w:top w:val="nil"/>
              <w:left w:val="nil"/>
              <w:bottom w:val="nil"/>
              <w:right w:val="nil"/>
            </w:tcBorders>
            <w:shd w:val="clear" w:color="000000" w:fill="auto"/>
            <w:vAlign w:val="center"/>
            <w:hideMark/>
          </w:tcPr>
          <w:p w14:paraId="088ED2DD" w14:textId="13EEDB83" w:rsidR="00442BF9" w:rsidRPr="0033743F" w:rsidRDefault="00442BF9" w:rsidP="00442BF9">
            <w:pPr>
              <w:jc w:val="right"/>
              <w:rPr>
                <w:rFonts w:ascii="Arial" w:hAnsi="Arial" w:cs="Arial"/>
                <w:color w:val="000000"/>
              </w:rPr>
            </w:pPr>
            <w:r w:rsidRPr="00307457">
              <w:rPr>
                <w:rFonts w:ascii="Arial" w:hAnsi="Arial" w:cs="Arial"/>
                <w:color w:val="000000"/>
              </w:rPr>
              <w:t>13,448</w:t>
            </w:r>
          </w:p>
        </w:tc>
        <w:tc>
          <w:tcPr>
            <w:tcW w:w="1300" w:type="dxa"/>
            <w:tcBorders>
              <w:top w:val="nil"/>
              <w:left w:val="nil"/>
              <w:bottom w:val="nil"/>
              <w:right w:val="nil"/>
            </w:tcBorders>
            <w:shd w:val="clear" w:color="000000" w:fill="auto"/>
            <w:vAlign w:val="center"/>
            <w:hideMark/>
          </w:tcPr>
          <w:p w14:paraId="6A3C1AC9" w14:textId="293748B9"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40" w:type="dxa"/>
            <w:tcBorders>
              <w:top w:val="nil"/>
              <w:left w:val="nil"/>
              <w:bottom w:val="nil"/>
              <w:right w:val="single" w:sz="4" w:space="0" w:color="auto"/>
            </w:tcBorders>
            <w:shd w:val="clear" w:color="000000" w:fill="auto"/>
            <w:vAlign w:val="center"/>
            <w:hideMark/>
          </w:tcPr>
          <w:p w14:paraId="1EDC7B32" w14:textId="62309869"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423F14" w14:paraId="6A23D966" w14:textId="77777777">
        <w:trPr>
          <w:trHeight w:val="300"/>
        </w:trPr>
        <w:tc>
          <w:tcPr>
            <w:tcW w:w="6360" w:type="dxa"/>
            <w:tcBorders>
              <w:top w:val="nil"/>
              <w:left w:val="single" w:sz="8" w:space="0" w:color="auto"/>
              <w:bottom w:val="nil"/>
              <w:right w:val="nil"/>
            </w:tcBorders>
            <w:shd w:val="clear" w:color="000000" w:fill="CCCCCC"/>
            <w:vAlign w:val="center"/>
            <w:hideMark/>
          </w:tcPr>
          <w:p w14:paraId="39E30BC6" w14:textId="77777777" w:rsidR="00442BF9" w:rsidRPr="0033743F" w:rsidRDefault="00442BF9" w:rsidP="00442BF9">
            <w:pPr>
              <w:rPr>
                <w:rFonts w:ascii="Arial" w:hAnsi="Arial" w:cs="Arial"/>
                <w:b/>
                <w:bCs/>
                <w:color w:val="000000"/>
              </w:rPr>
            </w:pPr>
            <w:r w:rsidRPr="0033743F">
              <w:rPr>
                <w:rFonts w:ascii="Arial" w:hAnsi="Arial" w:cs="Arial"/>
                <w:b/>
                <w:bCs/>
                <w:color w:val="000000"/>
              </w:rPr>
              <w:t>Total Adjustments between Revenue and Capital Resources</w:t>
            </w:r>
          </w:p>
        </w:tc>
        <w:tc>
          <w:tcPr>
            <w:tcW w:w="1600" w:type="dxa"/>
            <w:tcBorders>
              <w:top w:val="nil"/>
              <w:left w:val="nil"/>
              <w:bottom w:val="nil"/>
              <w:right w:val="nil"/>
            </w:tcBorders>
            <w:shd w:val="clear" w:color="000000" w:fill="CCCCCC"/>
            <w:vAlign w:val="center"/>
            <w:hideMark/>
          </w:tcPr>
          <w:p w14:paraId="56477E19" w14:textId="159BB0FE" w:rsidR="00442BF9" w:rsidRPr="0033743F" w:rsidRDefault="00442BF9" w:rsidP="00442BF9">
            <w:pPr>
              <w:jc w:val="right"/>
              <w:rPr>
                <w:rFonts w:ascii="Arial" w:hAnsi="Arial" w:cs="Arial"/>
                <w:b/>
                <w:bCs/>
                <w:color w:val="000000"/>
              </w:rPr>
            </w:pPr>
            <w:r w:rsidRPr="00307457">
              <w:rPr>
                <w:rFonts w:ascii="Arial" w:hAnsi="Arial" w:cs="Arial"/>
                <w:b/>
                <w:bCs/>
                <w:color w:val="000000"/>
              </w:rPr>
              <w:t>15,639</w:t>
            </w:r>
          </w:p>
        </w:tc>
        <w:tc>
          <w:tcPr>
            <w:tcW w:w="1300" w:type="dxa"/>
            <w:tcBorders>
              <w:top w:val="nil"/>
              <w:left w:val="nil"/>
              <w:bottom w:val="nil"/>
              <w:right w:val="nil"/>
            </w:tcBorders>
            <w:shd w:val="clear" w:color="000000" w:fill="CCCCCC"/>
            <w:vAlign w:val="center"/>
            <w:hideMark/>
          </w:tcPr>
          <w:p w14:paraId="0FBD76C0" w14:textId="41CFEF59"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240" w:type="dxa"/>
            <w:tcBorders>
              <w:top w:val="nil"/>
              <w:left w:val="nil"/>
              <w:bottom w:val="nil"/>
              <w:right w:val="single" w:sz="4" w:space="0" w:color="auto"/>
            </w:tcBorders>
            <w:shd w:val="clear" w:color="000000" w:fill="CCCCCC"/>
            <w:vAlign w:val="center"/>
            <w:hideMark/>
          </w:tcPr>
          <w:p w14:paraId="72816C47" w14:textId="56C5C828"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r>
      <w:tr w:rsidR="00442BF9" w:rsidRPr="00423F14" w14:paraId="776A4376" w14:textId="77777777" w:rsidTr="00B27992">
        <w:trPr>
          <w:trHeight w:val="300"/>
        </w:trPr>
        <w:tc>
          <w:tcPr>
            <w:tcW w:w="6360" w:type="dxa"/>
            <w:tcBorders>
              <w:top w:val="nil"/>
              <w:left w:val="single" w:sz="8" w:space="0" w:color="auto"/>
              <w:bottom w:val="nil"/>
              <w:right w:val="nil"/>
            </w:tcBorders>
            <w:vAlign w:val="center"/>
            <w:hideMark/>
          </w:tcPr>
          <w:p w14:paraId="7C5816C3" w14:textId="77777777" w:rsidR="00442BF9" w:rsidRPr="0033743F" w:rsidRDefault="00442BF9" w:rsidP="00442BF9">
            <w:pPr>
              <w:rPr>
                <w:rFonts w:ascii="Arial" w:hAnsi="Arial" w:cs="Arial"/>
                <w:b/>
                <w:bCs/>
                <w:color w:val="000000"/>
              </w:rPr>
            </w:pPr>
            <w:r w:rsidRPr="0033743F">
              <w:rPr>
                <w:rFonts w:ascii="Arial" w:hAnsi="Arial" w:cs="Arial"/>
                <w:b/>
                <w:bCs/>
                <w:color w:val="000000"/>
              </w:rPr>
              <w:t>Adjustments to Capital Resources</w:t>
            </w:r>
          </w:p>
        </w:tc>
        <w:tc>
          <w:tcPr>
            <w:tcW w:w="1600" w:type="dxa"/>
            <w:tcBorders>
              <w:top w:val="nil"/>
              <w:left w:val="nil"/>
              <w:bottom w:val="nil"/>
              <w:right w:val="nil"/>
            </w:tcBorders>
            <w:shd w:val="clear" w:color="000000" w:fill="auto"/>
            <w:vAlign w:val="center"/>
            <w:hideMark/>
          </w:tcPr>
          <w:p w14:paraId="5A6E2894" w14:textId="77777777" w:rsidR="00442BF9" w:rsidRPr="0033743F" w:rsidRDefault="00442BF9" w:rsidP="00442BF9">
            <w:pPr>
              <w:rPr>
                <w:rFonts w:ascii="Arial" w:hAnsi="Arial" w:cs="Arial"/>
                <w:b/>
                <w:bCs/>
                <w:color w:val="000000"/>
              </w:rPr>
            </w:pPr>
          </w:p>
        </w:tc>
        <w:tc>
          <w:tcPr>
            <w:tcW w:w="1300" w:type="dxa"/>
            <w:tcBorders>
              <w:top w:val="nil"/>
              <w:left w:val="nil"/>
              <w:bottom w:val="nil"/>
              <w:right w:val="nil"/>
            </w:tcBorders>
            <w:shd w:val="clear" w:color="000000" w:fill="auto"/>
            <w:vAlign w:val="center"/>
            <w:hideMark/>
          </w:tcPr>
          <w:p w14:paraId="4F17ABC7" w14:textId="77777777" w:rsidR="00442BF9" w:rsidRPr="0033743F" w:rsidRDefault="00442BF9" w:rsidP="00442BF9">
            <w:pPr>
              <w:jc w:val="right"/>
            </w:pPr>
          </w:p>
        </w:tc>
        <w:tc>
          <w:tcPr>
            <w:tcW w:w="1240" w:type="dxa"/>
            <w:tcBorders>
              <w:top w:val="nil"/>
              <w:left w:val="nil"/>
              <w:bottom w:val="nil"/>
              <w:right w:val="single" w:sz="4" w:space="0" w:color="auto"/>
            </w:tcBorders>
            <w:shd w:val="clear" w:color="000000" w:fill="auto"/>
            <w:vAlign w:val="center"/>
            <w:hideMark/>
          </w:tcPr>
          <w:p w14:paraId="5A25CE5A" w14:textId="7C9C88C2" w:rsidR="00442BF9" w:rsidRPr="0033743F" w:rsidRDefault="00442BF9" w:rsidP="00442BF9">
            <w:pPr>
              <w:jc w:val="right"/>
              <w:rPr>
                <w:rFonts w:ascii="Arial" w:hAnsi="Arial" w:cs="Arial"/>
                <w:color w:val="000000"/>
              </w:rPr>
            </w:pPr>
          </w:p>
        </w:tc>
      </w:tr>
      <w:tr w:rsidR="00442BF9" w:rsidRPr="00423F14" w14:paraId="7BB5C534" w14:textId="77777777" w:rsidTr="00B27992">
        <w:trPr>
          <w:trHeight w:val="300"/>
        </w:trPr>
        <w:tc>
          <w:tcPr>
            <w:tcW w:w="6360" w:type="dxa"/>
            <w:tcBorders>
              <w:top w:val="nil"/>
              <w:left w:val="single" w:sz="8" w:space="0" w:color="auto"/>
              <w:bottom w:val="nil"/>
              <w:right w:val="nil"/>
            </w:tcBorders>
            <w:vAlign w:val="center"/>
            <w:hideMark/>
          </w:tcPr>
          <w:p w14:paraId="42AAEDDE" w14:textId="77777777" w:rsidR="00442BF9" w:rsidRPr="0033743F" w:rsidRDefault="00442BF9" w:rsidP="00442BF9">
            <w:pPr>
              <w:rPr>
                <w:rFonts w:ascii="Arial" w:hAnsi="Arial" w:cs="Arial"/>
                <w:color w:val="000000"/>
              </w:rPr>
            </w:pPr>
            <w:r w:rsidRPr="0033743F">
              <w:rPr>
                <w:rFonts w:ascii="Arial" w:hAnsi="Arial" w:cs="Arial"/>
                <w:color w:val="000000"/>
              </w:rPr>
              <w:t>Use of the Capital Receipts Reserve to finance capital expenditure</w:t>
            </w:r>
          </w:p>
        </w:tc>
        <w:tc>
          <w:tcPr>
            <w:tcW w:w="1600" w:type="dxa"/>
            <w:tcBorders>
              <w:top w:val="nil"/>
              <w:left w:val="nil"/>
              <w:bottom w:val="nil"/>
              <w:right w:val="nil"/>
            </w:tcBorders>
            <w:shd w:val="clear" w:color="000000" w:fill="auto"/>
            <w:vAlign w:val="center"/>
            <w:hideMark/>
          </w:tcPr>
          <w:p w14:paraId="32743BFC" w14:textId="182ACE5F"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00" w:type="dxa"/>
            <w:tcBorders>
              <w:top w:val="nil"/>
              <w:left w:val="nil"/>
              <w:bottom w:val="nil"/>
              <w:right w:val="nil"/>
            </w:tcBorders>
            <w:shd w:val="clear" w:color="000000" w:fill="auto"/>
            <w:vAlign w:val="center"/>
            <w:hideMark/>
          </w:tcPr>
          <w:p w14:paraId="302E0053" w14:textId="3A0A625E" w:rsidR="00442BF9" w:rsidRPr="0033743F" w:rsidRDefault="00442BF9" w:rsidP="00442BF9">
            <w:pPr>
              <w:jc w:val="right"/>
            </w:pPr>
            <w:r w:rsidRPr="00307457">
              <w:rPr>
                <w:rFonts w:ascii="Arial" w:hAnsi="Arial" w:cs="Arial"/>
                <w:color w:val="000000"/>
              </w:rPr>
              <w:t>0</w:t>
            </w:r>
          </w:p>
        </w:tc>
        <w:tc>
          <w:tcPr>
            <w:tcW w:w="1240" w:type="dxa"/>
            <w:tcBorders>
              <w:top w:val="nil"/>
              <w:left w:val="nil"/>
              <w:bottom w:val="nil"/>
              <w:right w:val="single" w:sz="4" w:space="0" w:color="auto"/>
            </w:tcBorders>
            <w:shd w:val="clear" w:color="000000" w:fill="auto"/>
            <w:vAlign w:val="center"/>
            <w:hideMark/>
          </w:tcPr>
          <w:p w14:paraId="6FCF3875" w14:textId="4B19818F"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423F14" w14:paraId="5E7A4E1C" w14:textId="77777777" w:rsidTr="00B27992">
        <w:trPr>
          <w:trHeight w:val="300"/>
        </w:trPr>
        <w:tc>
          <w:tcPr>
            <w:tcW w:w="6360" w:type="dxa"/>
            <w:tcBorders>
              <w:top w:val="nil"/>
              <w:left w:val="single" w:sz="8" w:space="0" w:color="auto"/>
              <w:bottom w:val="nil"/>
              <w:right w:val="nil"/>
            </w:tcBorders>
            <w:vAlign w:val="center"/>
            <w:hideMark/>
          </w:tcPr>
          <w:p w14:paraId="075B60E4" w14:textId="77777777" w:rsidR="00442BF9" w:rsidRPr="0033743F" w:rsidRDefault="00442BF9" w:rsidP="00442BF9">
            <w:pPr>
              <w:rPr>
                <w:rFonts w:ascii="Arial" w:hAnsi="Arial" w:cs="Arial"/>
                <w:color w:val="000000"/>
              </w:rPr>
            </w:pPr>
            <w:r w:rsidRPr="0033743F">
              <w:rPr>
                <w:rFonts w:ascii="Arial" w:hAnsi="Arial" w:cs="Arial"/>
                <w:color w:val="000000"/>
              </w:rPr>
              <w:t>Application of capital grants to finance capital expenditure</w:t>
            </w:r>
          </w:p>
        </w:tc>
        <w:tc>
          <w:tcPr>
            <w:tcW w:w="1600" w:type="dxa"/>
            <w:tcBorders>
              <w:top w:val="nil"/>
              <w:left w:val="nil"/>
              <w:bottom w:val="nil"/>
              <w:right w:val="nil"/>
            </w:tcBorders>
            <w:shd w:val="clear" w:color="000000" w:fill="auto"/>
            <w:vAlign w:val="center"/>
            <w:hideMark/>
          </w:tcPr>
          <w:p w14:paraId="57A0CE30" w14:textId="199CB1D7"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00" w:type="dxa"/>
            <w:tcBorders>
              <w:top w:val="nil"/>
              <w:left w:val="nil"/>
              <w:bottom w:val="nil"/>
              <w:right w:val="nil"/>
            </w:tcBorders>
            <w:shd w:val="clear" w:color="000000" w:fill="auto"/>
            <w:vAlign w:val="center"/>
            <w:hideMark/>
          </w:tcPr>
          <w:p w14:paraId="4F12EC97" w14:textId="7F46DB15" w:rsidR="00442BF9" w:rsidRPr="0033743F" w:rsidRDefault="00442BF9" w:rsidP="00442BF9">
            <w:pPr>
              <w:jc w:val="right"/>
            </w:pPr>
            <w:r w:rsidRPr="00307457">
              <w:rPr>
                <w:rFonts w:ascii="Arial" w:hAnsi="Arial" w:cs="Arial"/>
                <w:color w:val="000000"/>
              </w:rPr>
              <w:t>0</w:t>
            </w:r>
          </w:p>
        </w:tc>
        <w:tc>
          <w:tcPr>
            <w:tcW w:w="1240" w:type="dxa"/>
            <w:tcBorders>
              <w:top w:val="nil"/>
              <w:left w:val="nil"/>
              <w:bottom w:val="nil"/>
              <w:right w:val="single" w:sz="4" w:space="0" w:color="auto"/>
            </w:tcBorders>
            <w:shd w:val="clear" w:color="000000" w:fill="auto"/>
            <w:vAlign w:val="center"/>
            <w:hideMark/>
          </w:tcPr>
          <w:p w14:paraId="240B3EF0" w14:textId="774F52EA" w:rsidR="00442BF9" w:rsidRPr="0033743F" w:rsidRDefault="00442BF9" w:rsidP="00442BF9">
            <w:pPr>
              <w:jc w:val="right"/>
              <w:rPr>
                <w:rFonts w:ascii="Arial" w:hAnsi="Arial" w:cs="Arial"/>
                <w:color w:val="000000"/>
              </w:rPr>
            </w:pPr>
            <w:r w:rsidRPr="00307457">
              <w:rPr>
                <w:rFonts w:ascii="Arial" w:hAnsi="Arial" w:cs="Arial"/>
                <w:color w:val="000000"/>
              </w:rPr>
              <w:t>62</w:t>
            </w:r>
          </w:p>
        </w:tc>
      </w:tr>
      <w:tr w:rsidR="00442BF9" w:rsidRPr="00423F14" w14:paraId="72C0909E" w14:textId="77777777">
        <w:trPr>
          <w:trHeight w:val="300"/>
        </w:trPr>
        <w:tc>
          <w:tcPr>
            <w:tcW w:w="6360" w:type="dxa"/>
            <w:tcBorders>
              <w:top w:val="nil"/>
              <w:left w:val="single" w:sz="8" w:space="0" w:color="auto"/>
              <w:bottom w:val="nil"/>
              <w:right w:val="nil"/>
            </w:tcBorders>
            <w:shd w:val="clear" w:color="000000" w:fill="CCCCCC"/>
            <w:vAlign w:val="center"/>
            <w:hideMark/>
          </w:tcPr>
          <w:p w14:paraId="1513689C" w14:textId="77777777" w:rsidR="00442BF9" w:rsidRPr="0033743F" w:rsidRDefault="00442BF9" w:rsidP="00442BF9">
            <w:pPr>
              <w:rPr>
                <w:rFonts w:ascii="Arial" w:hAnsi="Arial" w:cs="Arial"/>
                <w:b/>
                <w:bCs/>
                <w:color w:val="000000"/>
              </w:rPr>
            </w:pPr>
            <w:r w:rsidRPr="0033743F">
              <w:rPr>
                <w:rFonts w:ascii="Arial" w:hAnsi="Arial" w:cs="Arial"/>
                <w:b/>
                <w:bCs/>
                <w:color w:val="000000"/>
              </w:rPr>
              <w:t>Total Adjustments to Capital Resources</w:t>
            </w:r>
          </w:p>
        </w:tc>
        <w:tc>
          <w:tcPr>
            <w:tcW w:w="1600" w:type="dxa"/>
            <w:tcBorders>
              <w:top w:val="nil"/>
              <w:left w:val="nil"/>
              <w:bottom w:val="single" w:sz="8" w:space="0" w:color="auto"/>
              <w:right w:val="nil"/>
            </w:tcBorders>
            <w:shd w:val="clear" w:color="000000" w:fill="CCCCCC"/>
            <w:vAlign w:val="center"/>
            <w:hideMark/>
          </w:tcPr>
          <w:p w14:paraId="24A0D362" w14:textId="094713EB"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300" w:type="dxa"/>
            <w:tcBorders>
              <w:top w:val="nil"/>
              <w:left w:val="nil"/>
              <w:bottom w:val="single" w:sz="8" w:space="0" w:color="auto"/>
              <w:right w:val="nil"/>
            </w:tcBorders>
            <w:shd w:val="clear" w:color="000000" w:fill="CCCCCC"/>
            <w:vAlign w:val="center"/>
            <w:hideMark/>
          </w:tcPr>
          <w:p w14:paraId="48DA1E9C" w14:textId="04CD7E89"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240" w:type="dxa"/>
            <w:tcBorders>
              <w:top w:val="nil"/>
              <w:left w:val="nil"/>
              <w:bottom w:val="single" w:sz="8" w:space="0" w:color="auto"/>
              <w:right w:val="single" w:sz="4" w:space="0" w:color="auto"/>
            </w:tcBorders>
            <w:shd w:val="clear" w:color="000000" w:fill="CCCCCC"/>
            <w:vAlign w:val="center"/>
            <w:hideMark/>
          </w:tcPr>
          <w:p w14:paraId="72D50F80" w14:textId="64CF6275" w:rsidR="00442BF9" w:rsidRPr="0033743F" w:rsidRDefault="00442BF9" w:rsidP="00442BF9">
            <w:pPr>
              <w:jc w:val="right"/>
              <w:rPr>
                <w:rFonts w:ascii="Arial" w:hAnsi="Arial" w:cs="Arial"/>
                <w:b/>
                <w:bCs/>
                <w:color w:val="000000"/>
              </w:rPr>
            </w:pPr>
            <w:r w:rsidRPr="00307457">
              <w:rPr>
                <w:rFonts w:ascii="Arial" w:hAnsi="Arial" w:cs="Arial"/>
                <w:b/>
                <w:bCs/>
                <w:color w:val="000000"/>
              </w:rPr>
              <w:t>62</w:t>
            </w:r>
          </w:p>
        </w:tc>
      </w:tr>
      <w:tr w:rsidR="00442BF9" w:rsidRPr="00423F14" w14:paraId="3BA3698D" w14:textId="77777777">
        <w:trPr>
          <w:trHeight w:val="315"/>
        </w:trPr>
        <w:tc>
          <w:tcPr>
            <w:tcW w:w="6360" w:type="dxa"/>
            <w:tcBorders>
              <w:top w:val="nil"/>
              <w:left w:val="single" w:sz="8" w:space="0" w:color="auto"/>
              <w:bottom w:val="single" w:sz="8" w:space="0" w:color="auto"/>
              <w:right w:val="nil"/>
            </w:tcBorders>
            <w:shd w:val="clear" w:color="000000" w:fill="CCCCCC"/>
            <w:vAlign w:val="center"/>
            <w:hideMark/>
          </w:tcPr>
          <w:p w14:paraId="6078E59F" w14:textId="77777777" w:rsidR="00442BF9" w:rsidRPr="0033743F" w:rsidRDefault="00442BF9" w:rsidP="00442BF9">
            <w:pPr>
              <w:rPr>
                <w:rFonts w:ascii="Arial" w:hAnsi="Arial" w:cs="Arial"/>
                <w:b/>
                <w:bCs/>
                <w:color w:val="000000"/>
              </w:rPr>
            </w:pPr>
            <w:r w:rsidRPr="0033743F">
              <w:rPr>
                <w:rFonts w:ascii="Arial" w:hAnsi="Arial" w:cs="Arial"/>
                <w:b/>
                <w:bCs/>
                <w:color w:val="000000"/>
              </w:rPr>
              <w:t>Total Adjustments</w:t>
            </w:r>
          </w:p>
        </w:tc>
        <w:tc>
          <w:tcPr>
            <w:tcW w:w="1600" w:type="dxa"/>
            <w:tcBorders>
              <w:top w:val="nil"/>
              <w:left w:val="nil"/>
              <w:bottom w:val="single" w:sz="4" w:space="0" w:color="auto"/>
              <w:right w:val="nil"/>
            </w:tcBorders>
            <w:shd w:val="clear" w:color="000000" w:fill="CCCCCC"/>
            <w:vAlign w:val="center"/>
            <w:hideMark/>
          </w:tcPr>
          <w:p w14:paraId="190DF814" w14:textId="5C91F774" w:rsidR="00442BF9" w:rsidRPr="0033743F" w:rsidRDefault="00442BF9" w:rsidP="00442BF9">
            <w:pPr>
              <w:jc w:val="right"/>
              <w:rPr>
                <w:rFonts w:ascii="Arial" w:hAnsi="Arial" w:cs="Arial"/>
                <w:b/>
                <w:bCs/>
                <w:color w:val="000000"/>
              </w:rPr>
            </w:pPr>
            <w:r>
              <w:rPr>
                <w:rFonts w:ascii="Arial" w:hAnsi="Arial" w:cs="Arial"/>
                <w:b/>
                <w:bCs/>
                <w:color w:val="000000"/>
              </w:rPr>
              <w:t>(76,749)</w:t>
            </w:r>
          </w:p>
        </w:tc>
        <w:tc>
          <w:tcPr>
            <w:tcW w:w="1300" w:type="dxa"/>
            <w:tcBorders>
              <w:top w:val="nil"/>
              <w:left w:val="nil"/>
              <w:bottom w:val="single" w:sz="4" w:space="0" w:color="auto"/>
              <w:right w:val="nil"/>
            </w:tcBorders>
            <w:shd w:val="clear" w:color="000000" w:fill="CCCCCC"/>
            <w:vAlign w:val="center"/>
            <w:hideMark/>
          </w:tcPr>
          <w:p w14:paraId="47F2DFA5" w14:textId="2CC64548"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240" w:type="dxa"/>
            <w:tcBorders>
              <w:top w:val="nil"/>
              <w:left w:val="nil"/>
              <w:bottom w:val="single" w:sz="4" w:space="0" w:color="auto"/>
              <w:right w:val="single" w:sz="4" w:space="0" w:color="auto"/>
            </w:tcBorders>
            <w:shd w:val="clear" w:color="000000" w:fill="CCCCCC"/>
            <w:vAlign w:val="center"/>
            <w:hideMark/>
          </w:tcPr>
          <w:p w14:paraId="4B7AA89D" w14:textId="7836B0B4" w:rsidR="00442BF9" w:rsidRPr="0033743F" w:rsidRDefault="00442BF9" w:rsidP="00442BF9">
            <w:pPr>
              <w:jc w:val="right"/>
              <w:rPr>
                <w:rFonts w:ascii="Arial" w:hAnsi="Arial" w:cs="Arial"/>
                <w:b/>
                <w:bCs/>
                <w:color w:val="000000"/>
              </w:rPr>
            </w:pPr>
            <w:r>
              <w:rPr>
                <w:rFonts w:ascii="Arial" w:hAnsi="Arial" w:cs="Arial"/>
                <w:b/>
                <w:bCs/>
                <w:color w:val="000000"/>
              </w:rPr>
              <w:t>(</w:t>
            </w:r>
            <w:r w:rsidRPr="00307457">
              <w:rPr>
                <w:rFonts w:ascii="Arial" w:hAnsi="Arial" w:cs="Arial"/>
                <w:b/>
                <w:bCs/>
                <w:color w:val="000000"/>
              </w:rPr>
              <w:t>93</w:t>
            </w:r>
            <w:r>
              <w:rPr>
                <w:rFonts w:ascii="Arial" w:hAnsi="Arial" w:cs="Arial"/>
                <w:b/>
                <w:bCs/>
                <w:color w:val="000000"/>
              </w:rPr>
              <w:t>)</w:t>
            </w:r>
          </w:p>
        </w:tc>
      </w:tr>
    </w:tbl>
    <w:p w14:paraId="6640392C" w14:textId="77777777" w:rsidR="00E45B0D" w:rsidRPr="000436E6" w:rsidRDefault="00E45B0D">
      <w:pPr>
        <w:rPr>
          <w:rFonts w:ascii="Arial" w:hAnsi="Arial" w:cs="Arial"/>
          <w:b/>
          <w:caps/>
          <w:sz w:val="22"/>
          <w:szCs w:val="22"/>
          <w:highlight w:val="yellow"/>
        </w:rPr>
      </w:pPr>
      <w:r w:rsidRPr="000436E6">
        <w:rPr>
          <w:rFonts w:ascii="Arial" w:hAnsi="Arial" w:cs="Arial"/>
          <w:b/>
          <w:caps/>
          <w:sz w:val="22"/>
          <w:szCs w:val="22"/>
          <w:highlight w:val="yellow"/>
        </w:rPr>
        <w:br w:type="page"/>
      </w:r>
    </w:p>
    <w:p w14:paraId="168DBE84" w14:textId="48DAC609" w:rsidR="00E45B0D" w:rsidRDefault="00E45B0D" w:rsidP="003B74DA">
      <w:pPr>
        <w:tabs>
          <w:tab w:val="right" w:pos="5760"/>
        </w:tabs>
        <w:rPr>
          <w:rFonts w:ascii="Arial" w:hAnsi="Arial" w:cs="Arial"/>
          <w:b/>
          <w:caps/>
          <w:sz w:val="22"/>
          <w:szCs w:val="22"/>
          <w:highlight w:val="yellow"/>
        </w:rPr>
      </w:pPr>
    </w:p>
    <w:p w14:paraId="72047951" w14:textId="1C860965" w:rsidR="006E5A83" w:rsidRPr="006E5A83" w:rsidRDefault="006E5A83" w:rsidP="003B74DA">
      <w:pPr>
        <w:tabs>
          <w:tab w:val="right" w:pos="5760"/>
        </w:tabs>
        <w:rPr>
          <w:rFonts w:ascii="Arial" w:hAnsi="Arial" w:cs="Arial"/>
          <w:b/>
          <w:caps/>
          <w:sz w:val="22"/>
          <w:szCs w:val="22"/>
        </w:rPr>
      </w:pPr>
      <w:r w:rsidRPr="006E5A83">
        <w:rPr>
          <w:rFonts w:ascii="Arial" w:hAnsi="Arial" w:cs="Arial"/>
          <w:b/>
          <w:caps/>
          <w:sz w:val="22"/>
          <w:szCs w:val="22"/>
        </w:rPr>
        <w:t>2023/24</w:t>
      </w:r>
    </w:p>
    <w:p w14:paraId="0BEC1C8B" w14:textId="77777777" w:rsidR="00E45B0D" w:rsidRDefault="00E45B0D" w:rsidP="003B74DA">
      <w:pPr>
        <w:tabs>
          <w:tab w:val="right" w:pos="5760"/>
        </w:tabs>
        <w:rPr>
          <w:rFonts w:ascii="Arial" w:hAnsi="Arial" w:cs="Arial"/>
          <w:b/>
          <w:caps/>
          <w:sz w:val="22"/>
          <w:szCs w:val="22"/>
        </w:rPr>
      </w:pPr>
    </w:p>
    <w:tbl>
      <w:tblPr>
        <w:tblW w:w="10490" w:type="dxa"/>
        <w:tblLook w:val="04A0" w:firstRow="1" w:lastRow="0" w:firstColumn="1" w:lastColumn="0" w:noHBand="0" w:noVBand="1"/>
      </w:tblPr>
      <w:tblGrid>
        <w:gridCol w:w="6515"/>
        <w:gridCol w:w="1400"/>
        <w:gridCol w:w="1210"/>
        <w:gridCol w:w="1365"/>
      </w:tblGrid>
      <w:tr w:rsidR="00307457" w:rsidRPr="00423F14" w14:paraId="5F8915C8" w14:textId="77777777" w:rsidTr="00243FAB">
        <w:trPr>
          <w:trHeight w:val="303"/>
        </w:trPr>
        <w:tc>
          <w:tcPr>
            <w:tcW w:w="6515" w:type="dxa"/>
            <w:tcBorders>
              <w:top w:val="single" w:sz="8" w:space="0" w:color="auto"/>
              <w:left w:val="single" w:sz="8" w:space="0" w:color="auto"/>
              <w:bottom w:val="nil"/>
              <w:right w:val="nil"/>
            </w:tcBorders>
            <w:vAlign w:val="center"/>
            <w:hideMark/>
          </w:tcPr>
          <w:p w14:paraId="2EE0837A" w14:textId="77777777" w:rsidR="00307457" w:rsidRPr="00077C2F" w:rsidRDefault="00307457" w:rsidP="00243FAB">
            <w:pPr>
              <w:rPr>
                <w:rFonts w:ascii="Arial" w:hAnsi="Arial" w:cs="Arial"/>
                <w:color w:val="000000"/>
              </w:rPr>
            </w:pPr>
            <w:r w:rsidRPr="00077C2F">
              <w:rPr>
                <w:rFonts w:ascii="Arial" w:hAnsi="Arial" w:cs="Arial"/>
                <w:color w:val="000000"/>
              </w:rPr>
              <w:t> </w:t>
            </w:r>
          </w:p>
        </w:tc>
        <w:tc>
          <w:tcPr>
            <w:tcW w:w="3975" w:type="dxa"/>
            <w:gridSpan w:val="3"/>
            <w:tcBorders>
              <w:top w:val="single" w:sz="8" w:space="0" w:color="auto"/>
              <w:left w:val="nil"/>
              <w:bottom w:val="nil"/>
              <w:right w:val="single" w:sz="8" w:space="0" w:color="000000"/>
            </w:tcBorders>
            <w:vAlign w:val="center"/>
            <w:hideMark/>
          </w:tcPr>
          <w:p w14:paraId="7620B33D" w14:textId="77777777" w:rsidR="00307457" w:rsidRPr="00077C2F" w:rsidRDefault="00307457" w:rsidP="00243FAB">
            <w:pPr>
              <w:jc w:val="center"/>
              <w:rPr>
                <w:rFonts w:ascii="Arial" w:hAnsi="Arial" w:cs="Arial"/>
                <w:b/>
                <w:bCs/>
                <w:color w:val="000000"/>
              </w:rPr>
            </w:pPr>
            <w:r w:rsidRPr="00077C2F">
              <w:rPr>
                <w:rFonts w:ascii="Arial" w:hAnsi="Arial" w:cs="Arial"/>
                <w:b/>
                <w:bCs/>
                <w:color w:val="000000"/>
              </w:rPr>
              <w:t>Usable Reserves</w:t>
            </w:r>
          </w:p>
        </w:tc>
      </w:tr>
      <w:tr w:rsidR="00307457" w:rsidRPr="0033743F" w14:paraId="34FCF86B" w14:textId="77777777" w:rsidTr="00243FAB">
        <w:trPr>
          <w:trHeight w:val="1031"/>
        </w:trPr>
        <w:tc>
          <w:tcPr>
            <w:tcW w:w="6515" w:type="dxa"/>
            <w:tcBorders>
              <w:top w:val="nil"/>
              <w:left w:val="single" w:sz="8" w:space="0" w:color="auto"/>
              <w:bottom w:val="nil"/>
              <w:right w:val="nil"/>
            </w:tcBorders>
            <w:vAlign w:val="center"/>
            <w:hideMark/>
          </w:tcPr>
          <w:p w14:paraId="291585C8" w14:textId="77777777" w:rsidR="00307457" w:rsidRPr="0033743F" w:rsidRDefault="00307457" w:rsidP="00243FAB">
            <w:pPr>
              <w:rPr>
                <w:rFonts w:ascii="Arial" w:hAnsi="Arial" w:cs="Arial"/>
                <w:b/>
                <w:bCs/>
                <w:color w:val="000000"/>
              </w:rPr>
            </w:pPr>
            <w:r w:rsidRPr="0033743F">
              <w:rPr>
                <w:rFonts w:ascii="Arial" w:hAnsi="Arial" w:cs="Arial"/>
                <w:b/>
                <w:bCs/>
                <w:color w:val="000000"/>
              </w:rPr>
              <w:t>PCC SINGLE ENTITY</w:t>
            </w:r>
          </w:p>
        </w:tc>
        <w:tc>
          <w:tcPr>
            <w:tcW w:w="1400" w:type="dxa"/>
            <w:tcBorders>
              <w:top w:val="nil"/>
              <w:left w:val="nil"/>
              <w:bottom w:val="nil"/>
              <w:right w:val="nil"/>
            </w:tcBorders>
            <w:vAlign w:val="center"/>
            <w:hideMark/>
          </w:tcPr>
          <w:p w14:paraId="39BA0141" w14:textId="77777777" w:rsidR="00307457" w:rsidRPr="0033743F" w:rsidRDefault="00307457" w:rsidP="00243FAB">
            <w:pPr>
              <w:jc w:val="right"/>
              <w:rPr>
                <w:rFonts w:ascii="Arial" w:hAnsi="Arial" w:cs="Arial"/>
                <w:b/>
                <w:bCs/>
                <w:color w:val="000000"/>
              </w:rPr>
            </w:pPr>
            <w:r w:rsidRPr="0033743F">
              <w:rPr>
                <w:rFonts w:ascii="Arial" w:hAnsi="Arial" w:cs="Arial"/>
                <w:b/>
                <w:bCs/>
                <w:color w:val="000000"/>
              </w:rPr>
              <w:t>General Fund Balance</w:t>
            </w:r>
          </w:p>
        </w:tc>
        <w:tc>
          <w:tcPr>
            <w:tcW w:w="1210" w:type="dxa"/>
            <w:tcBorders>
              <w:top w:val="nil"/>
              <w:left w:val="nil"/>
              <w:bottom w:val="nil"/>
              <w:right w:val="nil"/>
            </w:tcBorders>
            <w:vAlign w:val="center"/>
            <w:hideMark/>
          </w:tcPr>
          <w:p w14:paraId="2FCEEBE9" w14:textId="77777777" w:rsidR="00307457" w:rsidRPr="0033743F" w:rsidRDefault="00307457" w:rsidP="00243FAB">
            <w:pPr>
              <w:jc w:val="right"/>
              <w:rPr>
                <w:rFonts w:ascii="Arial" w:hAnsi="Arial" w:cs="Arial"/>
                <w:b/>
                <w:bCs/>
                <w:color w:val="000000"/>
              </w:rPr>
            </w:pPr>
            <w:r w:rsidRPr="0033743F">
              <w:rPr>
                <w:rFonts w:ascii="Arial" w:hAnsi="Arial" w:cs="Arial"/>
                <w:b/>
                <w:bCs/>
                <w:color w:val="000000"/>
              </w:rPr>
              <w:t xml:space="preserve">Capital Receipts Reserve </w:t>
            </w:r>
          </w:p>
        </w:tc>
        <w:tc>
          <w:tcPr>
            <w:tcW w:w="1365" w:type="dxa"/>
            <w:tcBorders>
              <w:top w:val="nil"/>
              <w:left w:val="nil"/>
              <w:bottom w:val="nil"/>
              <w:right w:val="single" w:sz="8" w:space="0" w:color="auto"/>
            </w:tcBorders>
            <w:vAlign w:val="center"/>
            <w:hideMark/>
          </w:tcPr>
          <w:p w14:paraId="303D268F" w14:textId="77777777" w:rsidR="00307457" w:rsidRPr="0033743F" w:rsidRDefault="00307457" w:rsidP="00243FAB">
            <w:pPr>
              <w:jc w:val="right"/>
              <w:rPr>
                <w:rFonts w:ascii="Arial" w:hAnsi="Arial" w:cs="Arial"/>
                <w:b/>
                <w:bCs/>
                <w:color w:val="000000"/>
              </w:rPr>
            </w:pPr>
            <w:r w:rsidRPr="0033743F">
              <w:rPr>
                <w:rFonts w:ascii="Arial" w:hAnsi="Arial" w:cs="Arial"/>
                <w:b/>
                <w:bCs/>
                <w:color w:val="000000"/>
              </w:rPr>
              <w:t>Capital Grants Unapplied</w:t>
            </w:r>
          </w:p>
        </w:tc>
      </w:tr>
      <w:tr w:rsidR="00307457" w:rsidRPr="0033743F" w14:paraId="045F05C4" w14:textId="77777777" w:rsidTr="00243FAB">
        <w:trPr>
          <w:trHeight w:val="303"/>
        </w:trPr>
        <w:tc>
          <w:tcPr>
            <w:tcW w:w="6515" w:type="dxa"/>
            <w:tcBorders>
              <w:top w:val="nil"/>
              <w:left w:val="single" w:sz="8" w:space="0" w:color="auto"/>
              <w:bottom w:val="nil"/>
              <w:right w:val="nil"/>
            </w:tcBorders>
            <w:vAlign w:val="center"/>
            <w:hideMark/>
          </w:tcPr>
          <w:p w14:paraId="67D2EAC0" w14:textId="77777777" w:rsidR="00307457" w:rsidRPr="0033743F" w:rsidRDefault="00307457" w:rsidP="00243FAB">
            <w:pPr>
              <w:rPr>
                <w:rFonts w:ascii="Arial" w:hAnsi="Arial" w:cs="Arial"/>
                <w:color w:val="000000"/>
              </w:rPr>
            </w:pPr>
            <w:r w:rsidRPr="0033743F">
              <w:rPr>
                <w:rFonts w:ascii="Arial" w:hAnsi="Arial" w:cs="Arial"/>
                <w:color w:val="000000"/>
              </w:rPr>
              <w:t> </w:t>
            </w:r>
          </w:p>
        </w:tc>
        <w:tc>
          <w:tcPr>
            <w:tcW w:w="1400" w:type="dxa"/>
            <w:tcBorders>
              <w:top w:val="nil"/>
              <w:left w:val="nil"/>
              <w:bottom w:val="nil"/>
              <w:right w:val="nil"/>
            </w:tcBorders>
            <w:vAlign w:val="center"/>
            <w:hideMark/>
          </w:tcPr>
          <w:p w14:paraId="2184A556" w14:textId="77777777" w:rsidR="00307457" w:rsidRPr="0033743F" w:rsidRDefault="00307457" w:rsidP="00243FAB">
            <w:pPr>
              <w:jc w:val="right"/>
              <w:rPr>
                <w:rFonts w:ascii="Arial" w:hAnsi="Arial" w:cs="Arial"/>
                <w:b/>
                <w:bCs/>
                <w:color w:val="000000"/>
              </w:rPr>
            </w:pPr>
            <w:r w:rsidRPr="002A5BB2">
              <w:rPr>
                <w:rFonts w:ascii="Arial" w:hAnsi="Arial" w:cs="Arial"/>
                <w:b/>
                <w:bCs/>
                <w:color w:val="000000"/>
              </w:rPr>
              <w:t>£000</w:t>
            </w:r>
          </w:p>
        </w:tc>
        <w:tc>
          <w:tcPr>
            <w:tcW w:w="1210" w:type="dxa"/>
            <w:tcBorders>
              <w:top w:val="nil"/>
              <w:left w:val="nil"/>
              <w:bottom w:val="nil"/>
              <w:right w:val="nil"/>
            </w:tcBorders>
            <w:vAlign w:val="center"/>
            <w:hideMark/>
          </w:tcPr>
          <w:p w14:paraId="78C7A90F" w14:textId="77777777" w:rsidR="00307457" w:rsidRPr="0033743F" w:rsidRDefault="00307457" w:rsidP="00243FAB">
            <w:pPr>
              <w:jc w:val="right"/>
              <w:rPr>
                <w:rFonts w:ascii="Arial" w:hAnsi="Arial" w:cs="Arial"/>
                <w:b/>
                <w:bCs/>
                <w:color w:val="000000"/>
              </w:rPr>
            </w:pPr>
            <w:r w:rsidRPr="002A5BB2">
              <w:rPr>
                <w:rFonts w:ascii="Arial" w:hAnsi="Arial" w:cs="Arial"/>
                <w:b/>
                <w:bCs/>
                <w:color w:val="000000"/>
              </w:rPr>
              <w:t>£000</w:t>
            </w:r>
          </w:p>
        </w:tc>
        <w:tc>
          <w:tcPr>
            <w:tcW w:w="1365" w:type="dxa"/>
            <w:tcBorders>
              <w:top w:val="nil"/>
              <w:left w:val="nil"/>
              <w:bottom w:val="nil"/>
              <w:right w:val="single" w:sz="8" w:space="0" w:color="auto"/>
            </w:tcBorders>
            <w:vAlign w:val="center"/>
            <w:hideMark/>
          </w:tcPr>
          <w:p w14:paraId="1EAD95F8" w14:textId="77777777" w:rsidR="00307457" w:rsidRPr="0033743F" w:rsidRDefault="00307457" w:rsidP="00243FAB">
            <w:pPr>
              <w:jc w:val="right"/>
              <w:rPr>
                <w:rFonts w:ascii="Arial" w:hAnsi="Arial" w:cs="Arial"/>
                <w:b/>
                <w:bCs/>
                <w:color w:val="000000"/>
              </w:rPr>
            </w:pPr>
            <w:r w:rsidRPr="002A5BB2">
              <w:rPr>
                <w:rFonts w:ascii="Arial" w:hAnsi="Arial" w:cs="Arial"/>
                <w:b/>
                <w:bCs/>
                <w:color w:val="000000"/>
              </w:rPr>
              <w:t>£000</w:t>
            </w:r>
          </w:p>
        </w:tc>
      </w:tr>
      <w:tr w:rsidR="00307457" w:rsidRPr="0033743F" w14:paraId="6BD5F12F" w14:textId="77777777" w:rsidTr="00243FAB">
        <w:trPr>
          <w:trHeight w:val="303"/>
        </w:trPr>
        <w:tc>
          <w:tcPr>
            <w:tcW w:w="6515" w:type="dxa"/>
            <w:tcBorders>
              <w:top w:val="nil"/>
              <w:left w:val="single" w:sz="8" w:space="0" w:color="auto"/>
              <w:bottom w:val="nil"/>
              <w:right w:val="nil"/>
            </w:tcBorders>
            <w:vAlign w:val="center"/>
            <w:hideMark/>
          </w:tcPr>
          <w:p w14:paraId="4C6CEC4C" w14:textId="77777777" w:rsidR="00307457" w:rsidRPr="0033743F" w:rsidRDefault="00307457" w:rsidP="00243FAB">
            <w:pPr>
              <w:rPr>
                <w:rFonts w:ascii="Arial" w:hAnsi="Arial" w:cs="Arial"/>
                <w:b/>
                <w:bCs/>
                <w:color w:val="000000"/>
              </w:rPr>
            </w:pPr>
            <w:r w:rsidRPr="0033743F">
              <w:rPr>
                <w:rFonts w:ascii="Arial" w:hAnsi="Arial" w:cs="Arial"/>
                <w:b/>
                <w:bCs/>
                <w:color w:val="000000"/>
              </w:rPr>
              <w:t>Adjustments to Revenue Resources</w:t>
            </w:r>
          </w:p>
        </w:tc>
        <w:tc>
          <w:tcPr>
            <w:tcW w:w="1400" w:type="dxa"/>
            <w:tcBorders>
              <w:top w:val="nil"/>
              <w:left w:val="nil"/>
              <w:bottom w:val="nil"/>
              <w:right w:val="nil"/>
            </w:tcBorders>
            <w:vAlign w:val="center"/>
            <w:hideMark/>
          </w:tcPr>
          <w:p w14:paraId="09B1ED04" w14:textId="77777777" w:rsidR="00307457" w:rsidRPr="0033743F" w:rsidRDefault="00307457" w:rsidP="00243FAB">
            <w:pPr>
              <w:rPr>
                <w:rFonts w:ascii="Arial" w:hAnsi="Arial" w:cs="Arial"/>
                <w:b/>
                <w:bCs/>
                <w:color w:val="000000"/>
              </w:rPr>
            </w:pPr>
          </w:p>
        </w:tc>
        <w:tc>
          <w:tcPr>
            <w:tcW w:w="1210" w:type="dxa"/>
            <w:tcBorders>
              <w:top w:val="nil"/>
              <w:left w:val="nil"/>
              <w:bottom w:val="nil"/>
              <w:right w:val="nil"/>
            </w:tcBorders>
            <w:vAlign w:val="center"/>
            <w:hideMark/>
          </w:tcPr>
          <w:p w14:paraId="09DE57EC" w14:textId="77777777" w:rsidR="00307457" w:rsidRPr="0033743F" w:rsidRDefault="00307457" w:rsidP="00243FAB">
            <w:pPr>
              <w:jc w:val="right"/>
            </w:pPr>
          </w:p>
        </w:tc>
        <w:tc>
          <w:tcPr>
            <w:tcW w:w="1365" w:type="dxa"/>
            <w:tcBorders>
              <w:top w:val="nil"/>
              <w:left w:val="nil"/>
              <w:bottom w:val="nil"/>
              <w:right w:val="single" w:sz="8" w:space="0" w:color="auto"/>
            </w:tcBorders>
            <w:vAlign w:val="center"/>
            <w:hideMark/>
          </w:tcPr>
          <w:p w14:paraId="31DFA551" w14:textId="77777777" w:rsidR="00307457" w:rsidRPr="0033743F" w:rsidRDefault="00307457" w:rsidP="00243FAB">
            <w:pPr>
              <w:jc w:val="right"/>
              <w:rPr>
                <w:rFonts w:ascii="Arial" w:hAnsi="Arial" w:cs="Arial"/>
                <w:color w:val="000000"/>
              </w:rPr>
            </w:pPr>
            <w:r w:rsidRPr="0033743F">
              <w:rPr>
                <w:rFonts w:ascii="Arial" w:hAnsi="Arial" w:cs="Arial"/>
                <w:color w:val="000000"/>
              </w:rPr>
              <w:t> </w:t>
            </w:r>
          </w:p>
        </w:tc>
      </w:tr>
      <w:tr w:rsidR="00307457" w:rsidRPr="0033743F" w14:paraId="0E7BFB84" w14:textId="77777777" w:rsidTr="00243FAB">
        <w:trPr>
          <w:trHeight w:val="910"/>
        </w:trPr>
        <w:tc>
          <w:tcPr>
            <w:tcW w:w="6515" w:type="dxa"/>
            <w:tcBorders>
              <w:top w:val="nil"/>
              <w:left w:val="single" w:sz="8" w:space="0" w:color="auto"/>
              <w:bottom w:val="nil"/>
              <w:right w:val="nil"/>
            </w:tcBorders>
            <w:vAlign w:val="center"/>
            <w:hideMark/>
          </w:tcPr>
          <w:p w14:paraId="09929356" w14:textId="77777777" w:rsidR="00307457" w:rsidRPr="0033743F" w:rsidRDefault="00307457" w:rsidP="00243FAB">
            <w:pPr>
              <w:rPr>
                <w:rFonts w:ascii="Arial" w:hAnsi="Arial" w:cs="Arial"/>
                <w:color w:val="000000"/>
              </w:rPr>
            </w:pPr>
            <w:r w:rsidRPr="0033743F">
              <w:rPr>
                <w:rFonts w:ascii="Arial" w:hAnsi="Arial" w:cs="Arial"/>
                <w:color w:val="000000"/>
              </w:rPr>
              <w:t>Amounts by which income and expenditure included in the CIES are different from revenue for the year calculated in accordance with statutory requirements:</w:t>
            </w:r>
          </w:p>
        </w:tc>
        <w:tc>
          <w:tcPr>
            <w:tcW w:w="1400" w:type="dxa"/>
            <w:tcBorders>
              <w:top w:val="nil"/>
              <w:left w:val="nil"/>
              <w:bottom w:val="nil"/>
              <w:right w:val="nil"/>
            </w:tcBorders>
            <w:vAlign w:val="center"/>
            <w:hideMark/>
          </w:tcPr>
          <w:p w14:paraId="572AF613" w14:textId="77777777" w:rsidR="00307457" w:rsidRPr="0033743F" w:rsidRDefault="00307457" w:rsidP="00243FAB">
            <w:pPr>
              <w:rPr>
                <w:rFonts w:ascii="Arial" w:hAnsi="Arial" w:cs="Arial"/>
                <w:color w:val="000000"/>
              </w:rPr>
            </w:pPr>
          </w:p>
        </w:tc>
        <w:tc>
          <w:tcPr>
            <w:tcW w:w="1210" w:type="dxa"/>
            <w:tcBorders>
              <w:top w:val="nil"/>
              <w:left w:val="nil"/>
              <w:bottom w:val="nil"/>
              <w:right w:val="nil"/>
            </w:tcBorders>
            <w:vAlign w:val="center"/>
            <w:hideMark/>
          </w:tcPr>
          <w:p w14:paraId="262F1AB5" w14:textId="77777777" w:rsidR="00307457" w:rsidRPr="0033743F" w:rsidRDefault="00307457" w:rsidP="00243FAB">
            <w:pPr>
              <w:jc w:val="right"/>
            </w:pPr>
          </w:p>
        </w:tc>
        <w:tc>
          <w:tcPr>
            <w:tcW w:w="1365" w:type="dxa"/>
            <w:tcBorders>
              <w:top w:val="nil"/>
              <w:left w:val="nil"/>
              <w:bottom w:val="nil"/>
              <w:right w:val="single" w:sz="8" w:space="0" w:color="auto"/>
            </w:tcBorders>
            <w:vAlign w:val="center"/>
            <w:hideMark/>
          </w:tcPr>
          <w:p w14:paraId="7820697E" w14:textId="77777777" w:rsidR="00307457" w:rsidRPr="0033743F" w:rsidRDefault="00307457" w:rsidP="00243FAB">
            <w:pPr>
              <w:jc w:val="right"/>
              <w:rPr>
                <w:rFonts w:ascii="Arial" w:hAnsi="Arial" w:cs="Arial"/>
                <w:color w:val="000000"/>
              </w:rPr>
            </w:pPr>
            <w:r w:rsidRPr="0033743F">
              <w:rPr>
                <w:rFonts w:ascii="Arial" w:hAnsi="Arial" w:cs="Arial"/>
                <w:color w:val="000000"/>
              </w:rPr>
              <w:t> </w:t>
            </w:r>
          </w:p>
        </w:tc>
      </w:tr>
      <w:tr w:rsidR="00442BF9" w:rsidRPr="0033743F" w14:paraId="5B60945F" w14:textId="77777777" w:rsidTr="00B27992">
        <w:trPr>
          <w:trHeight w:val="607"/>
        </w:trPr>
        <w:tc>
          <w:tcPr>
            <w:tcW w:w="6515" w:type="dxa"/>
            <w:tcBorders>
              <w:top w:val="nil"/>
              <w:left w:val="single" w:sz="8" w:space="0" w:color="auto"/>
              <w:bottom w:val="nil"/>
              <w:right w:val="nil"/>
            </w:tcBorders>
            <w:vAlign w:val="center"/>
            <w:hideMark/>
          </w:tcPr>
          <w:p w14:paraId="456CAA6E" w14:textId="77777777" w:rsidR="00442BF9" w:rsidRPr="0033743F" w:rsidRDefault="00442BF9" w:rsidP="00442BF9">
            <w:pPr>
              <w:ind w:firstLineChars="200" w:firstLine="400"/>
              <w:rPr>
                <w:rFonts w:ascii="Symbol" w:hAnsi="Symbol" w:cs="Calibri"/>
                <w:color w:val="000000"/>
              </w:rPr>
            </w:pPr>
            <w:r w:rsidRPr="0033743F">
              <w:rPr>
                <w:rFonts w:ascii="Symbol" w:hAnsi="Symbol" w:cs="Calibri"/>
                <w:color w:val="000000"/>
              </w:rPr>
              <w:t>·</w:t>
            </w:r>
            <w:r w:rsidRPr="0033743F">
              <w:rPr>
                <w:color w:val="000000"/>
                <w:sz w:val="14"/>
                <w:szCs w:val="14"/>
              </w:rPr>
              <w:t xml:space="preserve">         </w:t>
            </w:r>
            <w:r w:rsidRPr="0033743F">
              <w:rPr>
                <w:rFonts w:ascii="Arial" w:hAnsi="Arial" w:cs="Arial"/>
                <w:color w:val="000000"/>
              </w:rPr>
              <w:t>Pensions costs (transferred to (or from) the Pensions Reserve)</w:t>
            </w:r>
          </w:p>
        </w:tc>
        <w:tc>
          <w:tcPr>
            <w:tcW w:w="1400" w:type="dxa"/>
            <w:tcBorders>
              <w:top w:val="nil"/>
              <w:left w:val="nil"/>
              <w:bottom w:val="nil"/>
              <w:right w:val="nil"/>
            </w:tcBorders>
            <w:vAlign w:val="center"/>
            <w:hideMark/>
          </w:tcPr>
          <w:p w14:paraId="74D30FA1" w14:textId="46FE51A4" w:rsidR="00442BF9" w:rsidRPr="0033743F" w:rsidRDefault="00442BF9" w:rsidP="00442BF9">
            <w:pPr>
              <w:jc w:val="right"/>
              <w:rPr>
                <w:rFonts w:ascii="Arial" w:hAnsi="Arial" w:cs="Arial"/>
                <w:color w:val="000000"/>
              </w:rPr>
            </w:pPr>
            <w:r>
              <w:rPr>
                <w:rFonts w:ascii="Arial" w:hAnsi="Arial" w:cs="Arial"/>
                <w:color w:val="000000"/>
              </w:rPr>
              <w:t>(38)</w:t>
            </w:r>
          </w:p>
        </w:tc>
        <w:tc>
          <w:tcPr>
            <w:tcW w:w="1210" w:type="dxa"/>
            <w:tcBorders>
              <w:top w:val="nil"/>
              <w:left w:val="nil"/>
              <w:bottom w:val="nil"/>
              <w:right w:val="nil"/>
            </w:tcBorders>
            <w:vAlign w:val="center"/>
            <w:hideMark/>
          </w:tcPr>
          <w:p w14:paraId="600B933D" w14:textId="7380B680"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65" w:type="dxa"/>
            <w:tcBorders>
              <w:top w:val="nil"/>
              <w:left w:val="nil"/>
              <w:bottom w:val="nil"/>
              <w:right w:val="single" w:sz="4" w:space="0" w:color="auto"/>
            </w:tcBorders>
            <w:vAlign w:val="center"/>
            <w:hideMark/>
          </w:tcPr>
          <w:p w14:paraId="371C7FD3" w14:textId="38D7F814"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33743F" w14:paraId="37B07C7D" w14:textId="77777777" w:rsidTr="00B27992">
        <w:trPr>
          <w:trHeight w:val="607"/>
        </w:trPr>
        <w:tc>
          <w:tcPr>
            <w:tcW w:w="6515" w:type="dxa"/>
            <w:tcBorders>
              <w:top w:val="nil"/>
              <w:left w:val="single" w:sz="8" w:space="0" w:color="auto"/>
              <w:bottom w:val="nil"/>
              <w:right w:val="nil"/>
            </w:tcBorders>
            <w:vAlign w:val="center"/>
            <w:hideMark/>
          </w:tcPr>
          <w:p w14:paraId="2328EEBC" w14:textId="77777777" w:rsidR="00442BF9" w:rsidRPr="0033743F" w:rsidRDefault="00442BF9" w:rsidP="00442BF9">
            <w:pPr>
              <w:ind w:firstLineChars="200" w:firstLine="400"/>
              <w:rPr>
                <w:rFonts w:ascii="Symbol" w:hAnsi="Symbol" w:cs="Calibri"/>
                <w:color w:val="000000"/>
              </w:rPr>
            </w:pPr>
            <w:r w:rsidRPr="0033743F">
              <w:rPr>
                <w:rFonts w:ascii="Symbol" w:hAnsi="Symbol" w:cs="Calibri"/>
                <w:color w:val="000000"/>
              </w:rPr>
              <w:t>·</w:t>
            </w:r>
            <w:r w:rsidRPr="0033743F">
              <w:rPr>
                <w:color w:val="000000"/>
                <w:sz w:val="14"/>
                <w:szCs w:val="14"/>
              </w:rPr>
              <w:t xml:space="preserve">         </w:t>
            </w:r>
            <w:r w:rsidRPr="0033743F">
              <w:rPr>
                <w:rFonts w:ascii="Arial" w:hAnsi="Arial" w:cs="Arial"/>
                <w:color w:val="000000"/>
              </w:rPr>
              <w:t>Council Tax (transfers to or from the Collection Fund Adjustment Account</w:t>
            </w:r>
            <w:r w:rsidRPr="0033743F">
              <w:rPr>
                <w:rFonts w:ascii="Symbol" w:hAnsi="Symbol" w:cs="Calibri"/>
                <w:color w:val="000000"/>
              </w:rPr>
              <w:t>)</w:t>
            </w:r>
          </w:p>
        </w:tc>
        <w:tc>
          <w:tcPr>
            <w:tcW w:w="1400" w:type="dxa"/>
            <w:tcBorders>
              <w:top w:val="nil"/>
              <w:left w:val="nil"/>
              <w:bottom w:val="nil"/>
              <w:right w:val="nil"/>
            </w:tcBorders>
            <w:vAlign w:val="center"/>
            <w:hideMark/>
          </w:tcPr>
          <w:p w14:paraId="745B5D30" w14:textId="63FA9E44" w:rsidR="00442BF9" w:rsidRPr="0033743F" w:rsidRDefault="00442BF9" w:rsidP="00442BF9">
            <w:pPr>
              <w:jc w:val="right"/>
              <w:rPr>
                <w:rFonts w:ascii="Arial" w:hAnsi="Arial" w:cs="Arial"/>
                <w:color w:val="000000"/>
              </w:rPr>
            </w:pPr>
            <w:r>
              <w:rPr>
                <w:rFonts w:ascii="Arial" w:hAnsi="Arial" w:cs="Arial"/>
                <w:color w:val="000000"/>
              </w:rPr>
              <w:t>(</w:t>
            </w:r>
            <w:r w:rsidRPr="00307457">
              <w:rPr>
                <w:rFonts w:ascii="Arial" w:hAnsi="Arial" w:cs="Arial"/>
                <w:color w:val="000000"/>
              </w:rPr>
              <w:t>332</w:t>
            </w:r>
            <w:r>
              <w:rPr>
                <w:rFonts w:ascii="Arial" w:hAnsi="Arial" w:cs="Arial"/>
                <w:color w:val="000000"/>
              </w:rPr>
              <w:t>)</w:t>
            </w:r>
          </w:p>
        </w:tc>
        <w:tc>
          <w:tcPr>
            <w:tcW w:w="1210" w:type="dxa"/>
            <w:tcBorders>
              <w:top w:val="nil"/>
              <w:left w:val="nil"/>
              <w:bottom w:val="nil"/>
              <w:right w:val="nil"/>
            </w:tcBorders>
            <w:vAlign w:val="center"/>
            <w:hideMark/>
          </w:tcPr>
          <w:p w14:paraId="7012F1CC" w14:textId="48D81A1B"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65" w:type="dxa"/>
            <w:tcBorders>
              <w:top w:val="nil"/>
              <w:left w:val="nil"/>
              <w:bottom w:val="nil"/>
              <w:right w:val="single" w:sz="4" w:space="0" w:color="auto"/>
            </w:tcBorders>
            <w:vAlign w:val="center"/>
            <w:hideMark/>
          </w:tcPr>
          <w:p w14:paraId="21D30696" w14:textId="134B0251"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33743F" w14:paraId="2718A6FF" w14:textId="77777777" w:rsidTr="00B27992">
        <w:trPr>
          <w:trHeight w:val="910"/>
        </w:trPr>
        <w:tc>
          <w:tcPr>
            <w:tcW w:w="6515" w:type="dxa"/>
            <w:tcBorders>
              <w:top w:val="nil"/>
              <w:left w:val="single" w:sz="8" w:space="0" w:color="auto"/>
              <w:bottom w:val="nil"/>
              <w:right w:val="nil"/>
            </w:tcBorders>
            <w:vAlign w:val="center"/>
            <w:hideMark/>
          </w:tcPr>
          <w:p w14:paraId="08A492A4" w14:textId="77777777" w:rsidR="00442BF9" w:rsidRPr="0033743F" w:rsidRDefault="00442BF9" w:rsidP="00442BF9">
            <w:pPr>
              <w:ind w:firstLineChars="200" w:firstLine="400"/>
              <w:rPr>
                <w:rFonts w:ascii="Symbol" w:hAnsi="Symbol" w:cs="Calibri"/>
                <w:color w:val="000000"/>
              </w:rPr>
            </w:pPr>
            <w:r w:rsidRPr="0033743F">
              <w:rPr>
                <w:rFonts w:ascii="Symbol" w:hAnsi="Symbol" w:cs="Calibri"/>
                <w:color w:val="000000"/>
              </w:rPr>
              <w:t>·</w:t>
            </w:r>
            <w:r w:rsidRPr="0033743F">
              <w:rPr>
                <w:color w:val="000000"/>
                <w:sz w:val="14"/>
                <w:szCs w:val="14"/>
              </w:rPr>
              <w:t xml:space="preserve">         </w:t>
            </w:r>
            <w:r w:rsidRPr="0033743F">
              <w:rPr>
                <w:rFonts w:ascii="Arial" w:hAnsi="Arial" w:cs="Arial"/>
                <w:color w:val="000000"/>
              </w:rPr>
              <w:t>Untaken leave and Time Off in Lieu (transferred to the Accumulated Absences Account</w:t>
            </w:r>
            <w:r w:rsidRPr="0033743F">
              <w:rPr>
                <w:rFonts w:ascii="Symbol" w:hAnsi="Symbol" w:cs="Calibri"/>
                <w:color w:val="000000"/>
              </w:rPr>
              <w:t>)</w:t>
            </w:r>
          </w:p>
        </w:tc>
        <w:tc>
          <w:tcPr>
            <w:tcW w:w="1400" w:type="dxa"/>
            <w:tcBorders>
              <w:top w:val="nil"/>
              <w:left w:val="nil"/>
              <w:bottom w:val="nil"/>
              <w:right w:val="nil"/>
            </w:tcBorders>
            <w:vAlign w:val="center"/>
            <w:hideMark/>
          </w:tcPr>
          <w:p w14:paraId="2C9A5F24" w14:textId="2B70F063" w:rsidR="00442BF9" w:rsidRPr="0033743F" w:rsidRDefault="00442BF9" w:rsidP="00442BF9">
            <w:pPr>
              <w:jc w:val="right"/>
              <w:rPr>
                <w:rFonts w:ascii="Arial" w:hAnsi="Arial" w:cs="Arial"/>
                <w:color w:val="000000"/>
              </w:rPr>
            </w:pPr>
            <w:r>
              <w:rPr>
                <w:rFonts w:ascii="Arial" w:hAnsi="Arial" w:cs="Arial"/>
                <w:color w:val="000000"/>
              </w:rPr>
              <w:t>1</w:t>
            </w:r>
          </w:p>
        </w:tc>
        <w:tc>
          <w:tcPr>
            <w:tcW w:w="1210" w:type="dxa"/>
            <w:tcBorders>
              <w:top w:val="nil"/>
              <w:left w:val="nil"/>
              <w:bottom w:val="nil"/>
              <w:right w:val="nil"/>
            </w:tcBorders>
            <w:vAlign w:val="center"/>
            <w:hideMark/>
          </w:tcPr>
          <w:p w14:paraId="3940BF72" w14:textId="1BCBE220"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65" w:type="dxa"/>
            <w:tcBorders>
              <w:top w:val="nil"/>
              <w:left w:val="nil"/>
              <w:bottom w:val="nil"/>
              <w:right w:val="single" w:sz="4" w:space="0" w:color="auto"/>
            </w:tcBorders>
            <w:vAlign w:val="center"/>
            <w:hideMark/>
          </w:tcPr>
          <w:p w14:paraId="03FD4A51" w14:textId="00EF23B7"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33743F" w14:paraId="501F2400" w14:textId="77777777" w:rsidTr="00B27992">
        <w:trPr>
          <w:trHeight w:val="910"/>
        </w:trPr>
        <w:tc>
          <w:tcPr>
            <w:tcW w:w="6515" w:type="dxa"/>
            <w:tcBorders>
              <w:top w:val="nil"/>
              <w:left w:val="single" w:sz="8" w:space="0" w:color="auto"/>
              <w:bottom w:val="nil"/>
              <w:right w:val="nil"/>
            </w:tcBorders>
            <w:vAlign w:val="center"/>
            <w:hideMark/>
          </w:tcPr>
          <w:p w14:paraId="77CB467F" w14:textId="77777777" w:rsidR="00442BF9" w:rsidRPr="0033743F" w:rsidRDefault="00442BF9" w:rsidP="00442BF9">
            <w:pPr>
              <w:ind w:firstLineChars="200" w:firstLine="400"/>
              <w:rPr>
                <w:rFonts w:ascii="Symbol" w:hAnsi="Symbol" w:cs="Calibri"/>
                <w:color w:val="000000"/>
              </w:rPr>
            </w:pPr>
            <w:r w:rsidRPr="0033743F">
              <w:rPr>
                <w:rFonts w:ascii="Symbol" w:hAnsi="Symbol" w:cs="Calibri"/>
                <w:color w:val="000000"/>
              </w:rPr>
              <w:t>·</w:t>
            </w:r>
            <w:r w:rsidRPr="0033743F">
              <w:rPr>
                <w:color w:val="000000"/>
                <w:sz w:val="14"/>
                <w:szCs w:val="14"/>
              </w:rPr>
              <w:t xml:space="preserve">         </w:t>
            </w:r>
            <w:r w:rsidRPr="0033743F">
              <w:rPr>
                <w:rFonts w:ascii="Arial" w:hAnsi="Arial" w:cs="Arial"/>
                <w:color w:val="000000"/>
              </w:rPr>
              <w:t>Reversal of entries included in the deficit on provision of services in relation to capital expenditure (these items are charged to the Capital Adjustment Account</w:t>
            </w:r>
            <w:r w:rsidRPr="0033743F">
              <w:rPr>
                <w:rFonts w:ascii="Symbol" w:hAnsi="Symbol" w:cs="Calibri"/>
                <w:color w:val="000000"/>
              </w:rPr>
              <w:t>)</w:t>
            </w:r>
          </w:p>
        </w:tc>
        <w:tc>
          <w:tcPr>
            <w:tcW w:w="1400" w:type="dxa"/>
            <w:tcBorders>
              <w:top w:val="nil"/>
              <w:left w:val="nil"/>
              <w:bottom w:val="nil"/>
              <w:right w:val="nil"/>
            </w:tcBorders>
            <w:vAlign w:val="center"/>
            <w:hideMark/>
          </w:tcPr>
          <w:p w14:paraId="4C5C6960" w14:textId="5303C629" w:rsidR="00442BF9" w:rsidRPr="0033743F" w:rsidRDefault="00442BF9" w:rsidP="00442BF9">
            <w:pPr>
              <w:jc w:val="right"/>
              <w:rPr>
                <w:rFonts w:ascii="Arial" w:hAnsi="Arial" w:cs="Arial"/>
                <w:color w:val="000000"/>
              </w:rPr>
            </w:pPr>
            <w:r>
              <w:rPr>
                <w:rFonts w:ascii="Arial" w:hAnsi="Arial" w:cs="Arial"/>
                <w:color w:val="000000"/>
              </w:rPr>
              <w:t>(21</w:t>
            </w:r>
            <w:r w:rsidRPr="00307457">
              <w:rPr>
                <w:rFonts w:ascii="Arial" w:hAnsi="Arial" w:cs="Arial"/>
                <w:color w:val="000000"/>
              </w:rPr>
              <w:t>,</w:t>
            </w:r>
            <w:r>
              <w:rPr>
                <w:rFonts w:ascii="Arial" w:hAnsi="Arial" w:cs="Arial"/>
                <w:color w:val="000000"/>
              </w:rPr>
              <w:t>87</w:t>
            </w:r>
            <w:r w:rsidRPr="00307457">
              <w:rPr>
                <w:rFonts w:ascii="Arial" w:hAnsi="Arial" w:cs="Arial"/>
                <w:color w:val="000000"/>
              </w:rPr>
              <w:t>7</w:t>
            </w:r>
            <w:r>
              <w:rPr>
                <w:rFonts w:ascii="Arial" w:hAnsi="Arial" w:cs="Arial"/>
                <w:color w:val="000000"/>
              </w:rPr>
              <w:t>)</w:t>
            </w:r>
          </w:p>
        </w:tc>
        <w:tc>
          <w:tcPr>
            <w:tcW w:w="1210" w:type="dxa"/>
            <w:tcBorders>
              <w:top w:val="nil"/>
              <w:left w:val="nil"/>
              <w:bottom w:val="nil"/>
              <w:right w:val="nil"/>
            </w:tcBorders>
            <w:vAlign w:val="center"/>
            <w:hideMark/>
          </w:tcPr>
          <w:p w14:paraId="10436FCE" w14:textId="7318C347"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65" w:type="dxa"/>
            <w:tcBorders>
              <w:top w:val="nil"/>
              <w:left w:val="nil"/>
              <w:bottom w:val="nil"/>
              <w:right w:val="single" w:sz="4" w:space="0" w:color="auto"/>
            </w:tcBorders>
            <w:vAlign w:val="center"/>
            <w:hideMark/>
          </w:tcPr>
          <w:p w14:paraId="0624E2D8" w14:textId="16CB2CC0" w:rsidR="00442BF9" w:rsidRPr="0033743F" w:rsidRDefault="00442BF9" w:rsidP="00442BF9">
            <w:pPr>
              <w:jc w:val="right"/>
              <w:rPr>
                <w:rFonts w:ascii="Arial" w:hAnsi="Arial" w:cs="Arial"/>
                <w:color w:val="000000"/>
              </w:rPr>
            </w:pPr>
            <w:r>
              <w:rPr>
                <w:rFonts w:ascii="Arial" w:hAnsi="Arial" w:cs="Arial"/>
                <w:color w:val="000000"/>
              </w:rPr>
              <w:t>(</w:t>
            </w:r>
            <w:r w:rsidRPr="00307457">
              <w:rPr>
                <w:rFonts w:ascii="Arial" w:hAnsi="Arial" w:cs="Arial"/>
                <w:color w:val="000000"/>
              </w:rPr>
              <w:t>155</w:t>
            </w:r>
            <w:r>
              <w:rPr>
                <w:rFonts w:ascii="Arial" w:hAnsi="Arial" w:cs="Arial"/>
                <w:color w:val="000000"/>
              </w:rPr>
              <w:t>)</w:t>
            </w:r>
          </w:p>
        </w:tc>
      </w:tr>
      <w:tr w:rsidR="00442BF9" w:rsidRPr="0033743F" w14:paraId="44A1A809" w14:textId="77777777">
        <w:trPr>
          <w:trHeight w:val="303"/>
        </w:trPr>
        <w:tc>
          <w:tcPr>
            <w:tcW w:w="6515" w:type="dxa"/>
            <w:tcBorders>
              <w:top w:val="nil"/>
              <w:left w:val="single" w:sz="8" w:space="0" w:color="auto"/>
              <w:bottom w:val="nil"/>
              <w:right w:val="nil"/>
            </w:tcBorders>
            <w:shd w:val="clear" w:color="000000" w:fill="CCCCCC"/>
            <w:vAlign w:val="center"/>
            <w:hideMark/>
          </w:tcPr>
          <w:p w14:paraId="55B5024B" w14:textId="77777777" w:rsidR="00442BF9" w:rsidRPr="0033743F" w:rsidRDefault="00442BF9" w:rsidP="00442BF9">
            <w:pPr>
              <w:rPr>
                <w:rFonts w:ascii="Arial" w:hAnsi="Arial" w:cs="Arial"/>
                <w:b/>
                <w:bCs/>
                <w:color w:val="000000"/>
              </w:rPr>
            </w:pPr>
            <w:r w:rsidRPr="0033743F">
              <w:rPr>
                <w:rFonts w:ascii="Arial" w:hAnsi="Arial" w:cs="Arial"/>
                <w:b/>
                <w:bCs/>
                <w:color w:val="000000"/>
              </w:rPr>
              <w:t>Total Adjustments to Revenue Resources</w:t>
            </w:r>
          </w:p>
        </w:tc>
        <w:tc>
          <w:tcPr>
            <w:tcW w:w="1400" w:type="dxa"/>
            <w:tcBorders>
              <w:top w:val="nil"/>
              <w:left w:val="nil"/>
              <w:bottom w:val="nil"/>
              <w:right w:val="nil"/>
            </w:tcBorders>
            <w:shd w:val="clear" w:color="000000" w:fill="CCCCCC"/>
            <w:vAlign w:val="center"/>
            <w:hideMark/>
          </w:tcPr>
          <w:p w14:paraId="1C25DF79" w14:textId="5C8DC7AD" w:rsidR="00442BF9" w:rsidRPr="0033743F" w:rsidRDefault="00442BF9" w:rsidP="00442BF9">
            <w:pPr>
              <w:jc w:val="right"/>
              <w:rPr>
                <w:rFonts w:ascii="Arial" w:hAnsi="Arial" w:cs="Arial"/>
                <w:b/>
                <w:bCs/>
                <w:color w:val="000000"/>
              </w:rPr>
            </w:pPr>
            <w:r>
              <w:rPr>
                <w:rFonts w:ascii="Arial" w:hAnsi="Arial" w:cs="Arial"/>
                <w:b/>
                <w:bCs/>
                <w:color w:val="000000"/>
              </w:rPr>
              <w:t>(22</w:t>
            </w:r>
            <w:r w:rsidRPr="00307457">
              <w:rPr>
                <w:rFonts w:ascii="Arial" w:hAnsi="Arial" w:cs="Arial"/>
                <w:b/>
                <w:bCs/>
                <w:color w:val="000000"/>
              </w:rPr>
              <w:t>,</w:t>
            </w:r>
            <w:r>
              <w:rPr>
                <w:rFonts w:ascii="Arial" w:hAnsi="Arial" w:cs="Arial"/>
                <w:b/>
                <w:bCs/>
                <w:color w:val="000000"/>
              </w:rPr>
              <w:t>230)</w:t>
            </w:r>
          </w:p>
        </w:tc>
        <w:tc>
          <w:tcPr>
            <w:tcW w:w="1210" w:type="dxa"/>
            <w:tcBorders>
              <w:top w:val="nil"/>
              <w:left w:val="nil"/>
              <w:bottom w:val="nil"/>
              <w:right w:val="nil"/>
            </w:tcBorders>
            <w:shd w:val="clear" w:color="000000" w:fill="CCCCCC"/>
            <w:vAlign w:val="center"/>
            <w:hideMark/>
          </w:tcPr>
          <w:p w14:paraId="73FAF1D5" w14:textId="0DC2D1BD"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365" w:type="dxa"/>
            <w:tcBorders>
              <w:top w:val="nil"/>
              <w:left w:val="nil"/>
              <w:bottom w:val="nil"/>
              <w:right w:val="single" w:sz="4" w:space="0" w:color="auto"/>
            </w:tcBorders>
            <w:shd w:val="clear" w:color="000000" w:fill="CCCCCC"/>
            <w:vAlign w:val="center"/>
            <w:hideMark/>
          </w:tcPr>
          <w:p w14:paraId="7D1C6027" w14:textId="1F79CA66" w:rsidR="00442BF9" w:rsidRPr="0033743F" w:rsidRDefault="00442BF9" w:rsidP="00442BF9">
            <w:pPr>
              <w:jc w:val="right"/>
              <w:rPr>
                <w:rFonts w:ascii="Arial" w:hAnsi="Arial" w:cs="Arial"/>
                <w:b/>
                <w:bCs/>
                <w:color w:val="000000"/>
              </w:rPr>
            </w:pPr>
            <w:r>
              <w:rPr>
                <w:rFonts w:ascii="Arial" w:hAnsi="Arial" w:cs="Arial"/>
                <w:b/>
                <w:bCs/>
                <w:color w:val="000000"/>
              </w:rPr>
              <w:t>(</w:t>
            </w:r>
            <w:r w:rsidRPr="00307457">
              <w:rPr>
                <w:rFonts w:ascii="Arial" w:hAnsi="Arial" w:cs="Arial"/>
                <w:b/>
                <w:bCs/>
                <w:color w:val="000000"/>
              </w:rPr>
              <w:t>155</w:t>
            </w:r>
            <w:r>
              <w:rPr>
                <w:rFonts w:ascii="Arial" w:hAnsi="Arial" w:cs="Arial"/>
                <w:b/>
                <w:bCs/>
                <w:color w:val="000000"/>
              </w:rPr>
              <w:t>)</w:t>
            </w:r>
          </w:p>
        </w:tc>
      </w:tr>
      <w:tr w:rsidR="00442BF9" w:rsidRPr="0033743F" w14:paraId="799746B7" w14:textId="77777777" w:rsidTr="00B27992">
        <w:trPr>
          <w:trHeight w:val="303"/>
        </w:trPr>
        <w:tc>
          <w:tcPr>
            <w:tcW w:w="6515" w:type="dxa"/>
            <w:tcBorders>
              <w:top w:val="nil"/>
              <w:left w:val="single" w:sz="8" w:space="0" w:color="auto"/>
              <w:bottom w:val="nil"/>
              <w:right w:val="nil"/>
            </w:tcBorders>
            <w:vAlign w:val="center"/>
            <w:hideMark/>
          </w:tcPr>
          <w:p w14:paraId="08B84275" w14:textId="77777777" w:rsidR="00442BF9" w:rsidRPr="0033743F" w:rsidRDefault="00442BF9" w:rsidP="00442BF9">
            <w:pPr>
              <w:rPr>
                <w:rFonts w:ascii="Arial" w:hAnsi="Arial" w:cs="Arial"/>
                <w:b/>
                <w:bCs/>
                <w:color w:val="000000"/>
              </w:rPr>
            </w:pPr>
            <w:r w:rsidRPr="0033743F">
              <w:rPr>
                <w:rFonts w:ascii="Arial" w:hAnsi="Arial" w:cs="Arial"/>
                <w:b/>
                <w:bCs/>
                <w:color w:val="000000"/>
              </w:rPr>
              <w:t>Adjustments between Revenue and Capital Resources</w:t>
            </w:r>
          </w:p>
        </w:tc>
        <w:tc>
          <w:tcPr>
            <w:tcW w:w="1400" w:type="dxa"/>
            <w:tcBorders>
              <w:top w:val="nil"/>
              <w:left w:val="nil"/>
              <w:bottom w:val="nil"/>
              <w:right w:val="nil"/>
            </w:tcBorders>
            <w:shd w:val="clear" w:color="000000" w:fill="auto"/>
            <w:vAlign w:val="center"/>
            <w:hideMark/>
          </w:tcPr>
          <w:p w14:paraId="1FDA262C" w14:textId="77777777" w:rsidR="00442BF9" w:rsidRPr="0033743F" w:rsidRDefault="00442BF9" w:rsidP="00442BF9">
            <w:pPr>
              <w:rPr>
                <w:rFonts w:ascii="Arial" w:hAnsi="Arial" w:cs="Arial"/>
                <w:b/>
                <w:bCs/>
                <w:color w:val="000000"/>
              </w:rPr>
            </w:pPr>
          </w:p>
        </w:tc>
        <w:tc>
          <w:tcPr>
            <w:tcW w:w="1210" w:type="dxa"/>
            <w:tcBorders>
              <w:top w:val="nil"/>
              <w:left w:val="nil"/>
              <w:bottom w:val="nil"/>
              <w:right w:val="nil"/>
            </w:tcBorders>
            <w:shd w:val="clear" w:color="000000" w:fill="auto"/>
            <w:vAlign w:val="center"/>
            <w:hideMark/>
          </w:tcPr>
          <w:p w14:paraId="0EF72B26" w14:textId="77777777" w:rsidR="00442BF9" w:rsidRPr="0033743F" w:rsidRDefault="00442BF9" w:rsidP="00442BF9">
            <w:pPr>
              <w:jc w:val="right"/>
            </w:pPr>
          </w:p>
        </w:tc>
        <w:tc>
          <w:tcPr>
            <w:tcW w:w="1365" w:type="dxa"/>
            <w:tcBorders>
              <w:top w:val="nil"/>
              <w:left w:val="nil"/>
              <w:bottom w:val="nil"/>
              <w:right w:val="single" w:sz="4" w:space="0" w:color="auto"/>
            </w:tcBorders>
            <w:shd w:val="clear" w:color="000000" w:fill="auto"/>
            <w:vAlign w:val="center"/>
            <w:hideMark/>
          </w:tcPr>
          <w:p w14:paraId="3B3EF705" w14:textId="1E567C6E" w:rsidR="00442BF9" w:rsidRPr="0033743F" w:rsidRDefault="00442BF9" w:rsidP="00442BF9">
            <w:pPr>
              <w:jc w:val="right"/>
              <w:rPr>
                <w:rFonts w:ascii="Arial" w:hAnsi="Arial" w:cs="Arial"/>
                <w:color w:val="000000"/>
              </w:rPr>
            </w:pPr>
          </w:p>
        </w:tc>
      </w:tr>
      <w:tr w:rsidR="00442BF9" w:rsidRPr="0033743F" w14:paraId="288417F1" w14:textId="77777777" w:rsidTr="00B27992">
        <w:trPr>
          <w:trHeight w:val="607"/>
        </w:trPr>
        <w:tc>
          <w:tcPr>
            <w:tcW w:w="6515" w:type="dxa"/>
            <w:tcBorders>
              <w:top w:val="nil"/>
              <w:left w:val="single" w:sz="8" w:space="0" w:color="auto"/>
              <w:bottom w:val="nil"/>
              <w:right w:val="nil"/>
            </w:tcBorders>
            <w:vAlign w:val="center"/>
            <w:hideMark/>
          </w:tcPr>
          <w:p w14:paraId="3B80DAC2" w14:textId="77777777" w:rsidR="00442BF9" w:rsidRPr="0033743F" w:rsidRDefault="00442BF9" w:rsidP="00442BF9">
            <w:pPr>
              <w:rPr>
                <w:rFonts w:ascii="Arial" w:hAnsi="Arial" w:cs="Arial"/>
                <w:color w:val="000000"/>
              </w:rPr>
            </w:pPr>
            <w:r w:rsidRPr="0033743F">
              <w:rPr>
                <w:rFonts w:ascii="Arial" w:hAnsi="Arial" w:cs="Arial"/>
                <w:color w:val="000000"/>
              </w:rPr>
              <w:t>Transfer of non-current asset sale proceeds from revenue to the Capital Receipts Reserve</w:t>
            </w:r>
          </w:p>
        </w:tc>
        <w:tc>
          <w:tcPr>
            <w:tcW w:w="1400" w:type="dxa"/>
            <w:tcBorders>
              <w:top w:val="nil"/>
              <w:left w:val="nil"/>
              <w:bottom w:val="nil"/>
              <w:right w:val="nil"/>
            </w:tcBorders>
            <w:shd w:val="clear" w:color="000000" w:fill="auto"/>
            <w:vAlign w:val="center"/>
            <w:hideMark/>
          </w:tcPr>
          <w:p w14:paraId="59551D1E" w14:textId="7AA63807"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10" w:type="dxa"/>
            <w:tcBorders>
              <w:top w:val="nil"/>
              <w:left w:val="nil"/>
              <w:bottom w:val="nil"/>
              <w:right w:val="nil"/>
            </w:tcBorders>
            <w:shd w:val="clear" w:color="000000" w:fill="auto"/>
            <w:vAlign w:val="center"/>
            <w:hideMark/>
          </w:tcPr>
          <w:p w14:paraId="314ADD2B" w14:textId="4E8FE008"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65" w:type="dxa"/>
            <w:tcBorders>
              <w:top w:val="nil"/>
              <w:left w:val="nil"/>
              <w:bottom w:val="nil"/>
              <w:right w:val="single" w:sz="4" w:space="0" w:color="auto"/>
            </w:tcBorders>
            <w:shd w:val="clear" w:color="000000" w:fill="auto"/>
            <w:vAlign w:val="center"/>
            <w:hideMark/>
          </w:tcPr>
          <w:p w14:paraId="20138939" w14:textId="0F56AB0D"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33743F" w14:paraId="1E0EA462" w14:textId="77777777" w:rsidTr="00B27992">
        <w:trPr>
          <w:trHeight w:val="607"/>
        </w:trPr>
        <w:tc>
          <w:tcPr>
            <w:tcW w:w="6515" w:type="dxa"/>
            <w:tcBorders>
              <w:top w:val="nil"/>
              <w:left w:val="single" w:sz="8" w:space="0" w:color="auto"/>
              <w:bottom w:val="nil"/>
              <w:right w:val="nil"/>
            </w:tcBorders>
            <w:vAlign w:val="center"/>
            <w:hideMark/>
          </w:tcPr>
          <w:p w14:paraId="6E972FEC" w14:textId="638372BC" w:rsidR="00442BF9" w:rsidRPr="0033743F" w:rsidRDefault="00442BF9" w:rsidP="00442BF9">
            <w:pPr>
              <w:rPr>
                <w:rFonts w:ascii="Arial" w:hAnsi="Arial" w:cs="Arial"/>
                <w:color w:val="000000"/>
              </w:rPr>
            </w:pPr>
            <w:r w:rsidRPr="0033743F">
              <w:rPr>
                <w:rFonts w:ascii="Arial" w:hAnsi="Arial" w:cs="Arial"/>
                <w:color w:val="000000"/>
              </w:rPr>
              <w:t xml:space="preserve">Statutory provision for the repayment of debt (transfer </w:t>
            </w:r>
            <w:r>
              <w:rPr>
                <w:rFonts w:ascii="Arial" w:hAnsi="Arial" w:cs="Arial"/>
                <w:color w:val="000000"/>
              </w:rPr>
              <w:t>to</w:t>
            </w:r>
            <w:r w:rsidRPr="0033743F">
              <w:rPr>
                <w:rFonts w:ascii="Arial" w:hAnsi="Arial" w:cs="Arial"/>
                <w:color w:val="000000"/>
              </w:rPr>
              <w:t xml:space="preserve"> the Capital Adjustment Account)</w:t>
            </w:r>
          </w:p>
        </w:tc>
        <w:tc>
          <w:tcPr>
            <w:tcW w:w="1400" w:type="dxa"/>
            <w:tcBorders>
              <w:top w:val="nil"/>
              <w:left w:val="nil"/>
              <w:bottom w:val="nil"/>
              <w:right w:val="nil"/>
            </w:tcBorders>
            <w:shd w:val="clear" w:color="000000" w:fill="auto"/>
            <w:vAlign w:val="center"/>
            <w:hideMark/>
          </w:tcPr>
          <w:p w14:paraId="3916537E" w14:textId="36D20429" w:rsidR="00442BF9" w:rsidRPr="0033743F" w:rsidRDefault="00442BF9" w:rsidP="00442BF9">
            <w:pPr>
              <w:jc w:val="right"/>
              <w:rPr>
                <w:rFonts w:ascii="Arial" w:hAnsi="Arial" w:cs="Arial"/>
                <w:color w:val="000000"/>
              </w:rPr>
            </w:pPr>
            <w:r w:rsidRPr="00307457">
              <w:rPr>
                <w:rFonts w:ascii="Arial" w:hAnsi="Arial" w:cs="Arial"/>
                <w:color w:val="000000"/>
              </w:rPr>
              <w:t>2,191</w:t>
            </w:r>
          </w:p>
        </w:tc>
        <w:tc>
          <w:tcPr>
            <w:tcW w:w="1210" w:type="dxa"/>
            <w:tcBorders>
              <w:top w:val="nil"/>
              <w:left w:val="nil"/>
              <w:bottom w:val="nil"/>
              <w:right w:val="nil"/>
            </w:tcBorders>
            <w:shd w:val="clear" w:color="000000" w:fill="auto"/>
            <w:vAlign w:val="center"/>
            <w:hideMark/>
          </w:tcPr>
          <w:p w14:paraId="288DCBD6" w14:textId="55E02067"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65" w:type="dxa"/>
            <w:tcBorders>
              <w:top w:val="nil"/>
              <w:left w:val="nil"/>
              <w:bottom w:val="nil"/>
              <w:right w:val="single" w:sz="4" w:space="0" w:color="auto"/>
            </w:tcBorders>
            <w:shd w:val="clear" w:color="000000" w:fill="auto"/>
            <w:vAlign w:val="center"/>
            <w:hideMark/>
          </w:tcPr>
          <w:p w14:paraId="62D19A05" w14:textId="6B6A9F0B"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33743F" w14:paraId="4764DEA9" w14:textId="77777777" w:rsidTr="00B27992">
        <w:trPr>
          <w:trHeight w:val="607"/>
        </w:trPr>
        <w:tc>
          <w:tcPr>
            <w:tcW w:w="6515" w:type="dxa"/>
            <w:tcBorders>
              <w:top w:val="nil"/>
              <w:left w:val="single" w:sz="8" w:space="0" w:color="auto"/>
              <w:bottom w:val="nil"/>
              <w:right w:val="nil"/>
            </w:tcBorders>
            <w:vAlign w:val="center"/>
            <w:hideMark/>
          </w:tcPr>
          <w:p w14:paraId="32C51307" w14:textId="77777777" w:rsidR="00442BF9" w:rsidRPr="0033743F" w:rsidRDefault="00442BF9" w:rsidP="00442BF9">
            <w:pPr>
              <w:rPr>
                <w:rFonts w:ascii="Arial" w:hAnsi="Arial" w:cs="Arial"/>
                <w:color w:val="000000"/>
              </w:rPr>
            </w:pPr>
            <w:r w:rsidRPr="0033743F">
              <w:rPr>
                <w:rFonts w:ascii="Arial" w:hAnsi="Arial" w:cs="Arial"/>
                <w:color w:val="000000"/>
              </w:rPr>
              <w:t>Capital expenditure financed from revenue balances (transfer to the Capital Adjustment Account)</w:t>
            </w:r>
          </w:p>
        </w:tc>
        <w:tc>
          <w:tcPr>
            <w:tcW w:w="1400" w:type="dxa"/>
            <w:tcBorders>
              <w:top w:val="nil"/>
              <w:left w:val="nil"/>
              <w:bottom w:val="nil"/>
              <w:right w:val="nil"/>
            </w:tcBorders>
            <w:shd w:val="clear" w:color="000000" w:fill="auto"/>
            <w:vAlign w:val="center"/>
            <w:hideMark/>
          </w:tcPr>
          <w:p w14:paraId="4D77BBB3" w14:textId="4913B312" w:rsidR="00442BF9" w:rsidRPr="0033743F" w:rsidRDefault="00442BF9" w:rsidP="00442BF9">
            <w:pPr>
              <w:jc w:val="right"/>
              <w:rPr>
                <w:rFonts w:ascii="Arial" w:hAnsi="Arial" w:cs="Arial"/>
                <w:color w:val="000000"/>
              </w:rPr>
            </w:pPr>
            <w:r w:rsidRPr="00307457">
              <w:rPr>
                <w:rFonts w:ascii="Arial" w:hAnsi="Arial" w:cs="Arial"/>
                <w:color w:val="000000"/>
              </w:rPr>
              <w:t>13,448</w:t>
            </w:r>
          </w:p>
        </w:tc>
        <w:tc>
          <w:tcPr>
            <w:tcW w:w="1210" w:type="dxa"/>
            <w:tcBorders>
              <w:top w:val="nil"/>
              <w:left w:val="nil"/>
              <w:bottom w:val="nil"/>
              <w:right w:val="nil"/>
            </w:tcBorders>
            <w:shd w:val="clear" w:color="000000" w:fill="auto"/>
            <w:vAlign w:val="center"/>
            <w:hideMark/>
          </w:tcPr>
          <w:p w14:paraId="056898CC" w14:textId="36CBC60D"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365" w:type="dxa"/>
            <w:tcBorders>
              <w:top w:val="nil"/>
              <w:left w:val="nil"/>
              <w:bottom w:val="nil"/>
              <w:right w:val="single" w:sz="4" w:space="0" w:color="auto"/>
            </w:tcBorders>
            <w:shd w:val="clear" w:color="000000" w:fill="auto"/>
            <w:vAlign w:val="center"/>
            <w:hideMark/>
          </w:tcPr>
          <w:p w14:paraId="18BA8AA0" w14:textId="4FA9DE01"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33743F" w14:paraId="0B1BC6C6" w14:textId="77777777">
        <w:trPr>
          <w:trHeight w:val="303"/>
        </w:trPr>
        <w:tc>
          <w:tcPr>
            <w:tcW w:w="6515" w:type="dxa"/>
            <w:tcBorders>
              <w:top w:val="nil"/>
              <w:left w:val="single" w:sz="8" w:space="0" w:color="auto"/>
              <w:bottom w:val="nil"/>
              <w:right w:val="nil"/>
            </w:tcBorders>
            <w:shd w:val="clear" w:color="000000" w:fill="CCCCCC"/>
            <w:vAlign w:val="center"/>
            <w:hideMark/>
          </w:tcPr>
          <w:p w14:paraId="03BEDEA0" w14:textId="77777777" w:rsidR="00442BF9" w:rsidRPr="0033743F" w:rsidRDefault="00442BF9" w:rsidP="00442BF9">
            <w:pPr>
              <w:rPr>
                <w:rFonts w:ascii="Arial" w:hAnsi="Arial" w:cs="Arial"/>
                <w:b/>
                <w:bCs/>
                <w:color w:val="000000"/>
              </w:rPr>
            </w:pPr>
            <w:r w:rsidRPr="0033743F">
              <w:rPr>
                <w:rFonts w:ascii="Arial" w:hAnsi="Arial" w:cs="Arial"/>
                <w:b/>
                <w:bCs/>
                <w:color w:val="000000"/>
              </w:rPr>
              <w:t>Total Adjustments between Revenue and Capital Resources</w:t>
            </w:r>
          </w:p>
        </w:tc>
        <w:tc>
          <w:tcPr>
            <w:tcW w:w="1400" w:type="dxa"/>
            <w:tcBorders>
              <w:top w:val="nil"/>
              <w:left w:val="nil"/>
              <w:bottom w:val="nil"/>
              <w:right w:val="nil"/>
            </w:tcBorders>
            <w:shd w:val="clear" w:color="000000" w:fill="CCCCCC"/>
            <w:vAlign w:val="center"/>
            <w:hideMark/>
          </w:tcPr>
          <w:p w14:paraId="4C6F62D0" w14:textId="775A44CC" w:rsidR="00442BF9" w:rsidRPr="0033743F" w:rsidRDefault="00442BF9" w:rsidP="00442BF9">
            <w:pPr>
              <w:jc w:val="right"/>
              <w:rPr>
                <w:rFonts w:ascii="Arial" w:hAnsi="Arial" w:cs="Arial"/>
                <w:b/>
                <w:bCs/>
                <w:color w:val="000000"/>
              </w:rPr>
            </w:pPr>
            <w:r w:rsidRPr="00307457">
              <w:rPr>
                <w:rFonts w:ascii="Arial" w:hAnsi="Arial" w:cs="Arial"/>
                <w:b/>
                <w:bCs/>
                <w:color w:val="000000"/>
              </w:rPr>
              <w:t>15,639</w:t>
            </w:r>
          </w:p>
        </w:tc>
        <w:tc>
          <w:tcPr>
            <w:tcW w:w="1210" w:type="dxa"/>
            <w:tcBorders>
              <w:top w:val="nil"/>
              <w:left w:val="nil"/>
              <w:bottom w:val="nil"/>
              <w:right w:val="nil"/>
            </w:tcBorders>
            <w:shd w:val="clear" w:color="000000" w:fill="CCCCCC"/>
            <w:vAlign w:val="center"/>
            <w:hideMark/>
          </w:tcPr>
          <w:p w14:paraId="682E925D" w14:textId="057E95E7"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365" w:type="dxa"/>
            <w:tcBorders>
              <w:top w:val="nil"/>
              <w:left w:val="nil"/>
              <w:bottom w:val="nil"/>
              <w:right w:val="single" w:sz="4" w:space="0" w:color="auto"/>
            </w:tcBorders>
            <w:shd w:val="clear" w:color="000000" w:fill="CCCCCC"/>
            <w:vAlign w:val="center"/>
            <w:hideMark/>
          </w:tcPr>
          <w:p w14:paraId="5DB1DA97" w14:textId="70C4BDB7"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r>
      <w:tr w:rsidR="00442BF9" w:rsidRPr="0033743F" w14:paraId="76CC813B" w14:textId="77777777" w:rsidTr="00B27992">
        <w:trPr>
          <w:trHeight w:val="303"/>
        </w:trPr>
        <w:tc>
          <w:tcPr>
            <w:tcW w:w="6515" w:type="dxa"/>
            <w:tcBorders>
              <w:top w:val="nil"/>
              <w:left w:val="single" w:sz="8" w:space="0" w:color="auto"/>
              <w:bottom w:val="nil"/>
              <w:right w:val="nil"/>
            </w:tcBorders>
            <w:vAlign w:val="center"/>
            <w:hideMark/>
          </w:tcPr>
          <w:p w14:paraId="43A54D55" w14:textId="77777777" w:rsidR="00442BF9" w:rsidRPr="0033743F" w:rsidRDefault="00442BF9" w:rsidP="00442BF9">
            <w:pPr>
              <w:rPr>
                <w:rFonts w:ascii="Arial" w:hAnsi="Arial" w:cs="Arial"/>
                <w:b/>
                <w:bCs/>
                <w:color w:val="000000"/>
              </w:rPr>
            </w:pPr>
            <w:r w:rsidRPr="0033743F">
              <w:rPr>
                <w:rFonts w:ascii="Arial" w:hAnsi="Arial" w:cs="Arial"/>
                <w:b/>
                <w:bCs/>
                <w:color w:val="000000"/>
              </w:rPr>
              <w:t>Adjustments to Capital Resources</w:t>
            </w:r>
          </w:p>
        </w:tc>
        <w:tc>
          <w:tcPr>
            <w:tcW w:w="1400" w:type="dxa"/>
            <w:tcBorders>
              <w:top w:val="nil"/>
              <w:left w:val="nil"/>
              <w:bottom w:val="nil"/>
              <w:right w:val="nil"/>
            </w:tcBorders>
            <w:shd w:val="clear" w:color="000000" w:fill="auto"/>
            <w:vAlign w:val="center"/>
            <w:hideMark/>
          </w:tcPr>
          <w:p w14:paraId="37948095" w14:textId="77777777" w:rsidR="00442BF9" w:rsidRPr="0033743F" w:rsidRDefault="00442BF9" w:rsidP="00442BF9">
            <w:pPr>
              <w:rPr>
                <w:rFonts w:ascii="Arial" w:hAnsi="Arial" w:cs="Arial"/>
                <w:b/>
                <w:bCs/>
                <w:color w:val="000000"/>
              </w:rPr>
            </w:pPr>
          </w:p>
        </w:tc>
        <w:tc>
          <w:tcPr>
            <w:tcW w:w="1210" w:type="dxa"/>
            <w:tcBorders>
              <w:top w:val="nil"/>
              <w:left w:val="nil"/>
              <w:bottom w:val="nil"/>
              <w:right w:val="nil"/>
            </w:tcBorders>
            <w:shd w:val="clear" w:color="000000" w:fill="auto"/>
            <w:vAlign w:val="center"/>
            <w:hideMark/>
          </w:tcPr>
          <w:p w14:paraId="5715B1A3" w14:textId="77777777" w:rsidR="00442BF9" w:rsidRPr="0033743F" w:rsidRDefault="00442BF9" w:rsidP="00442BF9">
            <w:pPr>
              <w:jc w:val="right"/>
            </w:pPr>
          </w:p>
        </w:tc>
        <w:tc>
          <w:tcPr>
            <w:tcW w:w="1365" w:type="dxa"/>
            <w:tcBorders>
              <w:top w:val="nil"/>
              <w:left w:val="nil"/>
              <w:bottom w:val="nil"/>
              <w:right w:val="single" w:sz="4" w:space="0" w:color="auto"/>
            </w:tcBorders>
            <w:shd w:val="clear" w:color="000000" w:fill="auto"/>
            <w:vAlign w:val="center"/>
            <w:hideMark/>
          </w:tcPr>
          <w:p w14:paraId="764CAE6D" w14:textId="46AF00A1" w:rsidR="00442BF9" w:rsidRPr="0033743F" w:rsidRDefault="00442BF9" w:rsidP="00442BF9">
            <w:pPr>
              <w:jc w:val="right"/>
              <w:rPr>
                <w:rFonts w:ascii="Arial" w:hAnsi="Arial" w:cs="Arial"/>
                <w:color w:val="000000"/>
              </w:rPr>
            </w:pPr>
          </w:p>
        </w:tc>
      </w:tr>
      <w:tr w:rsidR="00442BF9" w:rsidRPr="0033743F" w14:paraId="51F512EC" w14:textId="77777777" w:rsidTr="00B27992">
        <w:trPr>
          <w:trHeight w:val="607"/>
        </w:trPr>
        <w:tc>
          <w:tcPr>
            <w:tcW w:w="6515" w:type="dxa"/>
            <w:tcBorders>
              <w:top w:val="nil"/>
              <w:left w:val="single" w:sz="8" w:space="0" w:color="auto"/>
              <w:bottom w:val="nil"/>
              <w:right w:val="nil"/>
            </w:tcBorders>
            <w:vAlign w:val="center"/>
            <w:hideMark/>
          </w:tcPr>
          <w:p w14:paraId="1E86BB88" w14:textId="77777777" w:rsidR="00442BF9" w:rsidRPr="0033743F" w:rsidRDefault="00442BF9" w:rsidP="00442BF9">
            <w:pPr>
              <w:rPr>
                <w:rFonts w:ascii="Arial" w:hAnsi="Arial" w:cs="Arial"/>
                <w:color w:val="000000"/>
              </w:rPr>
            </w:pPr>
            <w:r w:rsidRPr="0033743F">
              <w:rPr>
                <w:rFonts w:ascii="Arial" w:hAnsi="Arial" w:cs="Arial"/>
                <w:color w:val="000000"/>
              </w:rPr>
              <w:t>Use of the Capital Receipts Reserve to finance capital expenditure</w:t>
            </w:r>
          </w:p>
        </w:tc>
        <w:tc>
          <w:tcPr>
            <w:tcW w:w="1400" w:type="dxa"/>
            <w:tcBorders>
              <w:top w:val="nil"/>
              <w:left w:val="nil"/>
              <w:bottom w:val="nil"/>
              <w:right w:val="nil"/>
            </w:tcBorders>
            <w:shd w:val="clear" w:color="000000" w:fill="auto"/>
            <w:vAlign w:val="center"/>
            <w:hideMark/>
          </w:tcPr>
          <w:p w14:paraId="31D51711" w14:textId="259B4ABE"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10" w:type="dxa"/>
            <w:tcBorders>
              <w:top w:val="nil"/>
              <w:left w:val="nil"/>
              <w:bottom w:val="nil"/>
              <w:right w:val="nil"/>
            </w:tcBorders>
            <w:shd w:val="clear" w:color="000000" w:fill="auto"/>
            <w:vAlign w:val="center"/>
            <w:hideMark/>
          </w:tcPr>
          <w:p w14:paraId="56E2A5AA" w14:textId="7C6AA549" w:rsidR="00442BF9" w:rsidRPr="0033743F" w:rsidRDefault="00442BF9" w:rsidP="00442BF9">
            <w:pPr>
              <w:jc w:val="right"/>
            </w:pPr>
            <w:r w:rsidRPr="00307457">
              <w:rPr>
                <w:rFonts w:ascii="Arial" w:hAnsi="Arial" w:cs="Arial"/>
                <w:color w:val="000000"/>
              </w:rPr>
              <w:t>0</w:t>
            </w:r>
          </w:p>
        </w:tc>
        <w:tc>
          <w:tcPr>
            <w:tcW w:w="1365" w:type="dxa"/>
            <w:tcBorders>
              <w:top w:val="nil"/>
              <w:left w:val="nil"/>
              <w:bottom w:val="nil"/>
              <w:right w:val="single" w:sz="4" w:space="0" w:color="auto"/>
            </w:tcBorders>
            <w:shd w:val="clear" w:color="000000" w:fill="auto"/>
            <w:vAlign w:val="center"/>
            <w:hideMark/>
          </w:tcPr>
          <w:p w14:paraId="4FFA5754" w14:textId="037AF0D3" w:rsidR="00442BF9" w:rsidRPr="0033743F" w:rsidRDefault="00442BF9" w:rsidP="00442BF9">
            <w:pPr>
              <w:jc w:val="right"/>
              <w:rPr>
                <w:rFonts w:ascii="Arial" w:hAnsi="Arial" w:cs="Arial"/>
                <w:color w:val="000000"/>
              </w:rPr>
            </w:pPr>
            <w:r w:rsidRPr="00307457">
              <w:rPr>
                <w:rFonts w:ascii="Arial" w:hAnsi="Arial" w:cs="Arial"/>
                <w:color w:val="000000"/>
              </w:rPr>
              <w:t>0</w:t>
            </w:r>
          </w:p>
        </w:tc>
      </w:tr>
      <w:tr w:rsidR="00442BF9" w:rsidRPr="0033743F" w14:paraId="14C0B1CE" w14:textId="77777777" w:rsidTr="00B27992">
        <w:trPr>
          <w:trHeight w:val="303"/>
        </w:trPr>
        <w:tc>
          <w:tcPr>
            <w:tcW w:w="6515" w:type="dxa"/>
            <w:tcBorders>
              <w:top w:val="nil"/>
              <w:left w:val="single" w:sz="8" w:space="0" w:color="auto"/>
              <w:bottom w:val="nil"/>
              <w:right w:val="nil"/>
            </w:tcBorders>
            <w:vAlign w:val="center"/>
            <w:hideMark/>
          </w:tcPr>
          <w:p w14:paraId="41E3C6AB" w14:textId="77777777" w:rsidR="00442BF9" w:rsidRPr="0033743F" w:rsidRDefault="00442BF9" w:rsidP="00442BF9">
            <w:pPr>
              <w:rPr>
                <w:rFonts w:ascii="Arial" w:hAnsi="Arial" w:cs="Arial"/>
                <w:color w:val="000000"/>
              </w:rPr>
            </w:pPr>
            <w:r w:rsidRPr="0033743F">
              <w:rPr>
                <w:rFonts w:ascii="Arial" w:hAnsi="Arial" w:cs="Arial"/>
                <w:color w:val="000000"/>
              </w:rPr>
              <w:t>Application of capital grants to finance capital expenditure</w:t>
            </w:r>
          </w:p>
        </w:tc>
        <w:tc>
          <w:tcPr>
            <w:tcW w:w="1400" w:type="dxa"/>
            <w:tcBorders>
              <w:top w:val="nil"/>
              <w:left w:val="nil"/>
              <w:bottom w:val="nil"/>
              <w:right w:val="nil"/>
            </w:tcBorders>
            <w:shd w:val="clear" w:color="000000" w:fill="auto"/>
            <w:vAlign w:val="center"/>
            <w:hideMark/>
          </w:tcPr>
          <w:p w14:paraId="5A496D47" w14:textId="1DB79608" w:rsidR="00442BF9" w:rsidRPr="0033743F" w:rsidRDefault="00442BF9" w:rsidP="00442BF9">
            <w:pPr>
              <w:jc w:val="right"/>
              <w:rPr>
                <w:rFonts w:ascii="Arial" w:hAnsi="Arial" w:cs="Arial"/>
                <w:color w:val="000000"/>
              </w:rPr>
            </w:pPr>
            <w:r w:rsidRPr="00307457">
              <w:rPr>
                <w:rFonts w:ascii="Arial" w:hAnsi="Arial" w:cs="Arial"/>
                <w:color w:val="000000"/>
              </w:rPr>
              <w:t>0</w:t>
            </w:r>
          </w:p>
        </w:tc>
        <w:tc>
          <w:tcPr>
            <w:tcW w:w="1210" w:type="dxa"/>
            <w:tcBorders>
              <w:top w:val="nil"/>
              <w:left w:val="nil"/>
              <w:bottom w:val="nil"/>
              <w:right w:val="nil"/>
            </w:tcBorders>
            <w:shd w:val="clear" w:color="000000" w:fill="auto"/>
            <w:vAlign w:val="center"/>
            <w:hideMark/>
          </w:tcPr>
          <w:p w14:paraId="4DF230DB" w14:textId="4BEC0A35" w:rsidR="00442BF9" w:rsidRPr="0033743F" w:rsidRDefault="00442BF9" w:rsidP="00442BF9">
            <w:pPr>
              <w:jc w:val="right"/>
            </w:pPr>
            <w:r w:rsidRPr="00307457">
              <w:rPr>
                <w:rFonts w:ascii="Arial" w:hAnsi="Arial" w:cs="Arial"/>
                <w:color w:val="000000"/>
              </w:rPr>
              <w:t>0</w:t>
            </w:r>
          </w:p>
        </w:tc>
        <w:tc>
          <w:tcPr>
            <w:tcW w:w="1365" w:type="dxa"/>
            <w:tcBorders>
              <w:top w:val="nil"/>
              <w:left w:val="nil"/>
              <w:bottom w:val="nil"/>
              <w:right w:val="single" w:sz="4" w:space="0" w:color="auto"/>
            </w:tcBorders>
            <w:shd w:val="clear" w:color="000000" w:fill="auto"/>
            <w:vAlign w:val="center"/>
            <w:hideMark/>
          </w:tcPr>
          <w:p w14:paraId="5F492942" w14:textId="5EB51509" w:rsidR="00442BF9" w:rsidRPr="0033743F" w:rsidRDefault="00442BF9" w:rsidP="00442BF9">
            <w:pPr>
              <w:jc w:val="right"/>
              <w:rPr>
                <w:rFonts w:ascii="Arial" w:hAnsi="Arial" w:cs="Arial"/>
                <w:color w:val="000000"/>
              </w:rPr>
            </w:pPr>
            <w:r w:rsidRPr="00307457">
              <w:rPr>
                <w:rFonts w:ascii="Arial" w:hAnsi="Arial" w:cs="Arial"/>
                <w:color w:val="000000"/>
              </w:rPr>
              <w:t>62</w:t>
            </w:r>
          </w:p>
        </w:tc>
      </w:tr>
      <w:tr w:rsidR="00442BF9" w:rsidRPr="0033743F" w14:paraId="563671C8" w14:textId="77777777">
        <w:trPr>
          <w:trHeight w:val="303"/>
        </w:trPr>
        <w:tc>
          <w:tcPr>
            <w:tcW w:w="6515" w:type="dxa"/>
            <w:tcBorders>
              <w:top w:val="nil"/>
              <w:left w:val="single" w:sz="8" w:space="0" w:color="auto"/>
              <w:bottom w:val="nil"/>
              <w:right w:val="nil"/>
            </w:tcBorders>
            <w:shd w:val="clear" w:color="000000" w:fill="CCCCCC"/>
            <w:vAlign w:val="center"/>
            <w:hideMark/>
          </w:tcPr>
          <w:p w14:paraId="3F71E3BC" w14:textId="77777777" w:rsidR="00442BF9" w:rsidRPr="0033743F" w:rsidRDefault="00442BF9" w:rsidP="00442BF9">
            <w:pPr>
              <w:rPr>
                <w:rFonts w:ascii="Arial" w:hAnsi="Arial" w:cs="Arial"/>
                <w:b/>
                <w:bCs/>
                <w:color w:val="000000"/>
              </w:rPr>
            </w:pPr>
            <w:r w:rsidRPr="0033743F">
              <w:rPr>
                <w:rFonts w:ascii="Arial" w:hAnsi="Arial" w:cs="Arial"/>
                <w:b/>
                <w:bCs/>
                <w:color w:val="000000"/>
              </w:rPr>
              <w:t>Total Adjustments to Capital Resources</w:t>
            </w:r>
          </w:p>
        </w:tc>
        <w:tc>
          <w:tcPr>
            <w:tcW w:w="1400" w:type="dxa"/>
            <w:tcBorders>
              <w:top w:val="nil"/>
              <w:left w:val="nil"/>
              <w:bottom w:val="single" w:sz="4" w:space="0" w:color="auto"/>
              <w:right w:val="nil"/>
            </w:tcBorders>
            <w:shd w:val="clear" w:color="000000" w:fill="CCCCCC"/>
            <w:vAlign w:val="center"/>
            <w:hideMark/>
          </w:tcPr>
          <w:p w14:paraId="0F3A6A1B" w14:textId="42D8E393"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210" w:type="dxa"/>
            <w:tcBorders>
              <w:top w:val="nil"/>
              <w:left w:val="nil"/>
              <w:bottom w:val="single" w:sz="4" w:space="0" w:color="auto"/>
              <w:right w:val="nil"/>
            </w:tcBorders>
            <w:shd w:val="clear" w:color="000000" w:fill="CCCCCC"/>
            <w:vAlign w:val="center"/>
            <w:hideMark/>
          </w:tcPr>
          <w:p w14:paraId="4F055A3C" w14:textId="1F9596D7"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365" w:type="dxa"/>
            <w:tcBorders>
              <w:top w:val="nil"/>
              <w:left w:val="nil"/>
              <w:bottom w:val="single" w:sz="4" w:space="0" w:color="auto"/>
              <w:right w:val="single" w:sz="4" w:space="0" w:color="auto"/>
            </w:tcBorders>
            <w:shd w:val="clear" w:color="000000" w:fill="CCCCCC"/>
            <w:vAlign w:val="center"/>
            <w:hideMark/>
          </w:tcPr>
          <w:p w14:paraId="1B639421" w14:textId="4EFF82D7" w:rsidR="00442BF9" w:rsidRPr="0033743F" w:rsidRDefault="00442BF9" w:rsidP="00442BF9">
            <w:pPr>
              <w:jc w:val="right"/>
              <w:rPr>
                <w:rFonts w:ascii="Arial" w:hAnsi="Arial" w:cs="Arial"/>
                <w:b/>
                <w:bCs/>
                <w:color w:val="000000"/>
              </w:rPr>
            </w:pPr>
            <w:r w:rsidRPr="00307457">
              <w:rPr>
                <w:rFonts w:ascii="Arial" w:hAnsi="Arial" w:cs="Arial"/>
                <w:b/>
                <w:bCs/>
                <w:color w:val="000000"/>
              </w:rPr>
              <w:t>62</w:t>
            </w:r>
          </w:p>
        </w:tc>
      </w:tr>
      <w:tr w:rsidR="00442BF9" w:rsidRPr="003B2143" w14:paraId="70DA1B25" w14:textId="77777777">
        <w:trPr>
          <w:trHeight w:val="303"/>
        </w:trPr>
        <w:tc>
          <w:tcPr>
            <w:tcW w:w="6515" w:type="dxa"/>
            <w:tcBorders>
              <w:top w:val="nil"/>
              <w:left w:val="single" w:sz="8" w:space="0" w:color="auto"/>
              <w:bottom w:val="single" w:sz="8" w:space="0" w:color="auto"/>
              <w:right w:val="nil"/>
            </w:tcBorders>
            <w:shd w:val="clear" w:color="000000" w:fill="CCCCCC"/>
            <w:vAlign w:val="center"/>
            <w:hideMark/>
          </w:tcPr>
          <w:p w14:paraId="01B7DD8D" w14:textId="77777777" w:rsidR="00442BF9" w:rsidRPr="0033743F" w:rsidRDefault="00442BF9" w:rsidP="00442BF9">
            <w:pPr>
              <w:rPr>
                <w:rFonts w:ascii="Arial" w:hAnsi="Arial" w:cs="Arial"/>
                <w:b/>
                <w:bCs/>
                <w:color w:val="000000"/>
              </w:rPr>
            </w:pPr>
            <w:r w:rsidRPr="0033743F">
              <w:rPr>
                <w:rFonts w:ascii="Arial" w:hAnsi="Arial" w:cs="Arial"/>
                <w:b/>
                <w:bCs/>
                <w:color w:val="000000"/>
              </w:rPr>
              <w:t>Total Adjustments</w:t>
            </w:r>
          </w:p>
        </w:tc>
        <w:tc>
          <w:tcPr>
            <w:tcW w:w="1400" w:type="dxa"/>
            <w:tcBorders>
              <w:top w:val="single" w:sz="4" w:space="0" w:color="auto"/>
              <w:left w:val="nil"/>
              <w:bottom w:val="single" w:sz="8" w:space="0" w:color="auto"/>
              <w:right w:val="nil"/>
            </w:tcBorders>
            <w:shd w:val="clear" w:color="000000" w:fill="CCCCCC"/>
            <w:vAlign w:val="center"/>
            <w:hideMark/>
          </w:tcPr>
          <w:p w14:paraId="05BB202D" w14:textId="517F822A" w:rsidR="00442BF9" w:rsidRPr="0033743F" w:rsidRDefault="00442BF9" w:rsidP="00442BF9">
            <w:pPr>
              <w:jc w:val="right"/>
              <w:rPr>
                <w:rFonts w:ascii="Arial" w:hAnsi="Arial" w:cs="Arial"/>
                <w:b/>
                <w:bCs/>
                <w:color w:val="000000"/>
              </w:rPr>
            </w:pPr>
            <w:r>
              <w:rPr>
                <w:rFonts w:ascii="Arial" w:hAnsi="Arial" w:cs="Arial"/>
                <w:b/>
                <w:bCs/>
                <w:color w:val="000000"/>
              </w:rPr>
              <w:t>(6</w:t>
            </w:r>
            <w:r w:rsidRPr="00307457">
              <w:rPr>
                <w:rFonts w:ascii="Arial" w:hAnsi="Arial" w:cs="Arial"/>
                <w:b/>
                <w:bCs/>
                <w:color w:val="000000"/>
              </w:rPr>
              <w:t>,</w:t>
            </w:r>
            <w:r>
              <w:rPr>
                <w:rFonts w:ascii="Arial" w:hAnsi="Arial" w:cs="Arial"/>
                <w:b/>
                <w:bCs/>
                <w:color w:val="000000"/>
              </w:rPr>
              <w:t>607)</w:t>
            </w:r>
          </w:p>
        </w:tc>
        <w:tc>
          <w:tcPr>
            <w:tcW w:w="1210" w:type="dxa"/>
            <w:tcBorders>
              <w:top w:val="single" w:sz="4" w:space="0" w:color="auto"/>
              <w:left w:val="nil"/>
              <w:bottom w:val="single" w:sz="8" w:space="0" w:color="auto"/>
              <w:right w:val="nil"/>
            </w:tcBorders>
            <w:shd w:val="clear" w:color="000000" w:fill="CCCCCC"/>
            <w:vAlign w:val="center"/>
            <w:hideMark/>
          </w:tcPr>
          <w:p w14:paraId="76CE096E" w14:textId="6823E209" w:rsidR="00442BF9" w:rsidRPr="0033743F" w:rsidRDefault="00442BF9" w:rsidP="00442BF9">
            <w:pPr>
              <w:jc w:val="right"/>
              <w:rPr>
                <w:rFonts w:ascii="Arial" w:hAnsi="Arial" w:cs="Arial"/>
                <w:b/>
                <w:bCs/>
                <w:color w:val="000000"/>
              </w:rPr>
            </w:pPr>
            <w:r w:rsidRPr="00307457">
              <w:rPr>
                <w:rFonts w:ascii="Arial" w:hAnsi="Arial" w:cs="Arial"/>
                <w:b/>
                <w:bCs/>
                <w:color w:val="000000"/>
              </w:rPr>
              <w:t>0</w:t>
            </w:r>
          </w:p>
        </w:tc>
        <w:tc>
          <w:tcPr>
            <w:tcW w:w="1365" w:type="dxa"/>
            <w:tcBorders>
              <w:top w:val="single" w:sz="4" w:space="0" w:color="auto"/>
              <w:left w:val="nil"/>
              <w:bottom w:val="single" w:sz="8" w:space="0" w:color="auto"/>
              <w:right w:val="single" w:sz="8" w:space="0" w:color="auto"/>
            </w:tcBorders>
            <w:shd w:val="clear" w:color="000000" w:fill="CCCCCC"/>
            <w:vAlign w:val="center"/>
            <w:hideMark/>
          </w:tcPr>
          <w:p w14:paraId="594CC2CD" w14:textId="6C618ADD" w:rsidR="00442BF9" w:rsidRPr="003B2143" w:rsidRDefault="00442BF9" w:rsidP="00442BF9">
            <w:pPr>
              <w:jc w:val="right"/>
              <w:rPr>
                <w:rFonts w:ascii="Arial" w:hAnsi="Arial" w:cs="Arial"/>
                <w:b/>
                <w:bCs/>
                <w:color w:val="000000"/>
              </w:rPr>
            </w:pPr>
            <w:r>
              <w:rPr>
                <w:rFonts w:ascii="Arial" w:hAnsi="Arial" w:cs="Arial"/>
                <w:b/>
                <w:bCs/>
                <w:color w:val="000000"/>
              </w:rPr>
              <w:t>(</w:t>
            </w:r>
            <w:r w:rsidRPr="00307457">
              <w:rPr>
                <w:rFonts w:ascii="Arial" w:hAnsi="Arial" w:cs="Arial"/>
                <w:b/>
                <w:bCs/>
                <w:color w:val="000000"/>
              </w:rPr>
              <w:t>93</w:t>
            </w:r>
            <w:r>
              <w:rPr>
                <w:rFonts w:ascii="Arial" w:hAnsi="Arial" w:cs="Arial"/>
                <w:b/>
                <w:bCs/>
                <w:color w:val="000000"/>
              </w:rPr>
              <w:t>)</w:t>
            </w:r>
          </w:p>
        </w:tc>
      </w:tr>
    </w:tbl>
    <w:p w14:paraId="387458DE" w14:textId="77777777" w:rsidR="00CE1473" w:rsidRDefault="00CE1473">
      <w:pPr>
        <w:rPr>
          <w:rFonts w:ascii="Arial" w:hAnsi="Arial" w:cs="Arial"/>
          <w:b/>
          <w:caps/>
          <w:sz w:val="22"/>
          <w:szCs w:val="22"/>
        </w:rPr>
        <w:sectPr w:rsidR="00CE1473" w:rsidSect="00A00487">
          <w:headerReference w:type="even" r:id="rId59"/>
          <w:headerReference w:type="default" r:id="rId60"/>
          <w:headerReference w:type="first" r:id="rId61"/>
          <w:pgSz w:w="11906" w:h="16838" w:code="9"/>
          <w:pgMar w:top="720" w:right="720" w:bottom="720" w:left="720" w:header="397" w:footer="709" w:gutter="0"/>
          <w:cols w:space="708"/>
          <w:docGrid w:linePitch="360"/>
        </w:sectPr>
      </w:pPr>
    </w:p>
    <w:p w14:paraId="752AF0D2" w14:textId="77777777" w:rsidR="006439B7" w:rsidRPr="00A25703" w:rsidRDefault="006439B7" w:rsidP="006439B7">
      <w:pPr>
        <w:tabs>
          <w:tab w:val="right" w:pos="5760"/>
        </w:tabs>
        <w:ind w:left="426"/>
        <w:rPr>
          <w:rFonts w:ascii="Arial" w:hAnsi="Arial" w:cs="Arial"/>
          <w:b/>
          <w:caps/>
          <w:sz w:val="16"/>
          <w:szCs w:val="16"/>
        </w:rPr>
      </w:pPr>
    </w:p>
    <w:p w14:paraId="1BF707FB" w14:textId="2DFEE454" w:rsidR="003B74DA" w:rsidRPr="00972543" w:rsidRDefault="003B74DA" w:rsidP="003B74DA">
      <w:pPr>
        <w:numPr>
          <w:ilvl w:val="0"/>
          <w:numId w:val="1"/>
        </w:numPr>
        <w:tabs>
          <w:tab w:val="clear" w:pos="720"/>
          <w:tab w:val="num" w:pos="426"/>
          <w:tab w:val="right" w:pos="5760"/>
        </w:tabs>
        <w:ind w:left="426"/>
        <w:rPr>
          <w:rFonts w:ascii="Arial" w:hAnsi="Arial" w:cs="Arial"/>
          <w:b/>
          <w:caps/>
          <w:sz w:val="22"/>
          <w:szCs w:val="22"/>
        </w:rPr>
      </w:pPr>
      <w:r>
        <w:rPr>
          <w:rFonts w:ascii="Arial" w:hAnsi="Arial" w:cs="Arial"/>
          <w:b/>
          <w:caps/>
          <w:sz w:val="22"/>
          <w:szCs w:val="22"/>
        </w:rPr>
        <w:t>EARM</w:t>
      </w:r>
      <w:r w:rsidRPr="00972543">
        <w:rPr>
          <w:rFonts w:ascii="Arial" w:hAnsi="Arial" w:cs="Arial"/>
          <w:b/>
          <w:caps/>
          <w:sz w:val="22"/>
          <w:szCs w:val="22"/>
        </w:rPr>
        <w:t>arked Reserves</w:t>
      </w:r>
    </w:p>
    <w:p w14:paraId="6EF9EFBD" w14:textId="77777777" w:rsidR="003B74DA" w:rsidRDefault="003B74DA" w:rsidP="003B74DA">
      <w:pPr>
        <w:tabs>
          <w:tab w:val="right" w:pos="5760"/>
        </w:tabs>
        <w:rPr>
          <w:rFonts w:ascii="Arial" w:hAnsi="Arial" w:cs="Arial"/>
          <w:b/>
          <w:sz w:val="22"/>
          <w:szCs w:val="22"/>
        </w:rPr>
      </w:pPr>
    </w:p>
    <w:p w14:paraId="056F1169" w14:textId="77777777" w:rsidR="003B74DA" w:rsidRPr="00D87121" w:rsidRDefault="003B74DA" w:rsidP="003B74DA">
      <w:pPr>
        <w:ind w:left="426"/>
        <w:jc w:val="both"/>
        <w:rPr>
          <w:rFonts w:ascii="Arial" w:hAnsi="Arial" w:cs="Arial"/>
          <w:sz w:val="22"/>
          <w:szCs w:val="22"/>
          <w:u w:val="single"/>
        </w:rPr>
      </w:pPr>
      <w:r w:rsidRPr="00D87121">
        <w:rPr>
          <w:rFonts w:ascii="Arial" w:hAnsi="Arial" w:cs="Arial"/>
          <w:sz w:val="22"/>
          <w:szCs w:val="22"/>
          <w:u w:val="single"/>
        </w:rPr>
        <w:t>Accounting Policy</w:t>
      </w:r>
    </w:p>
    <w:p w14:paraId="10FBA46A" w14:textId="77777777" w:rsidR="003B74DA" w:rsidRPr="00A25703" w:rsidRDefault="003B74DA" w:rsidP="003B74DA">
      <w:pPr>
        <w:tabs>
          <w:tab w:val="right" w:pos="5760"/>
        </w:tabs>
        <w:ind w:left="426"/>
        <w:rPr>
          <w:rFonts w:ascii="Arial" w:hAnsi="Arial" w:cs="Arial"/>
          <w:b/>
          <w:sz w:val="16"/>
          <w:szCs w:val="16"/>
        </w:rPr>
      </w:pPr>
    </w:p>
    <w:p w14:paraId="20DF43FC" w14:textId="1A8C8838" w:rsidR="003B74DA" w:rsidRDefault="003B74DA" w:rsidP="003B74DA">
      <w:pPr>
        <w:ind w:left="426" w:right="-331"/>
        <w:jc w:val="both"/>
        <w:rPr>
          <w:rFonts w:ascii="Arial" w:hAnsi="Arial" w:cs="Arial"/>
          <w:sz w:val="22"/>
          <w:szCs w:val="22"/>
        </w:rPr>
      </w:pPr>
      <w:r w:rsidRPr="00D87121">
        <w:rPr>
          <w:rFonts w:ascii="Arial" w:hAnsi="Arial" w:cs="Arial"/>
          <w:sz w:val="22"/>
          <w:szCs w:val="22"/>
        </w:rPr>
        <w:t>All usable reserves belong to the PCC.  These include both revenue and capital usable reserves. The PCC sets aside specific amounts as reserves for future policy purposes or to cover contingencies. Reserves are created by appropriating amounts out of the Police General Fund balance in the movement in reserves statement. When expenditure to be financed from a reserve is incurred, it is charged against the relevant service line to score against the surplus/deficit on the provision of services in the CIES. The reserve is then appropriated back into the Police General Fund balance in the movement in reserves statement so that there is no net charge against council tax in the year that the expenditure is incurred.</w:t>
      </w:r>
    </w:p>
    <w:p w14:paraId="1C5292C7" w14:textId="77777777" w:rsidR="00606DB3" w:rsidRPr="00A25703" w:rsidRDefault="00606DB3" w:rsidP="003B74DA">
      <w:pPr>
        <w:ind w:left="426" w:right="-331"/>
        <w:jc w:val="both"/>
        <w:rPr>
          <w:rFonts w:ascii="Arial" w:hAnsi="Arial" w:cs="Arial"/>
          <w:sz w:val="16"/>
          <w:szCs w:val="16"/>
        </w:rPr>
      </w:pPr>
    </w:p>
    <w:p w14:paraId="367AA3E2" w14:textId="2030566E" w:rsidR="003B74DA" w:rsidRPr="007C65FF" w:rsidRDefault="003B74DA" w:rsidP="00A25703">
      <w:pPr>
        <w:tabs>
          <w:tab w:val="right" w:pos="5760"/>
        </w:tabs>
        <w:ind w:left="426"/>
        <w:jc w:val="both"/>
        <w:rPr>
          <w:rFonts w:ascii="Arial" w:hAnsi="Arial" w:cs="Arial"/>
          <w:b/>
          <w:sz w:val="22"/>
          <w:szCs w:val="22"/>
        </w:rPr>
      </w:pPr>
      <w:r w:rsidRPr="007C65FF">
        <w:rPr>
          <w:rFonts w:ascii="Arial" w:hAnsi="Arial" w:cs="Arial"/>
          <w:b/>
          <w:sz w:val="22"/>
          <w:szCs w:val="22"/>
        </w:rPr>
        <w:t xml:space="preserve">Transfers to/from Earmarked Reserves </w:t>
      </w:r>
    </w:p>
    <w:p w14:paraId="19EDE67A" w14:textId="43E76523" w:rsidR="003B74DA" w:rsidRPr="001B2327" w:rsidRDefault="003B74DA" w:rsidP="003B74DA">
      <w:pPr>
        <w:ind w:left="426"/>
        <w:jc w:val="both"/>
        <w:rPr>
          <w:rFonts w:ascii="Arial" w:hAnsi="Arial" w:cs="Arial"/>
          <w:sz w:val="22"/>
          <w:szCs w:val="22"/>
        </w:rPr>
      </w:pPr>
      <w:r w:rsidRPr="007C65FF">
        <w:rPr>
          <w:rFonts w:ascii="Arial" w:hAnsi="Arial" w:cs="Arial"/>
          <w:sz w:val="22"/>
          <w:szCs w:val="22"/>
        </w:rPr>
        <w:t xml:space="preserve">This note sets out the amounts set aside from the Police General Fund balances in earmarked reserves to provide financing for future expenditure plans, and the amounts posted back from earmarked reserves to meet General Fund expenditure in </w:t>
      </w:r>
      <w:r w:rsidR="00C37E7F">
        <w:rPr>
          <w:rFonts w:ascii="Arial" w:hAnsi="Arial" w:cs="Arial"/>
          <w:sz w:val="22"/>
          <w:szCs w:val="22"/>
        </w:rPr>
        <w:t>202</w:t>
      </w:r>
      <w:r w:rsidR="008B1815">
        <w:rPr>
          <w:rFonts w:ascii="Arial" w:hAnsi="Arial" w:cs="Arial"/>
          <w:sz w:val="22"/>
          <w:szCs w:val="22"/>
        </w:rPr>
        <w:t>4</w:t>
      </w:r>
      <w:r w:rsidR="00C37E7F">
        <w:rPr>
          <w:rFonts w:ascii="Arial" w:hAnsi="Arial" w:cs="Arial"/>
          <w:sz w:val="22"/>
          <w:szCs w:val="22"/>
        </w:rPr>
        <w:t>/2</w:t>
      </w:r>
      <w:r w:rsidR="008B1815">
        <w:rPr>
          <w:rFonts w:ascii="Arial" w:hAnsi="Arial" w:cs="Arial"/>
          <w:sz w:val="22"/>
          <w:szCs w:val="22"/>
        </w:rPr>
        <w:t>5</w:t>
      </w:r>
      <w:r w:rsidRPr="007C65FF">
        <w:rPr>
          <w:rFonts w:ascii="Arial" w:hAnsi="Arial" w:cs="Arial"/>
          <w:sz w:val="22"/>
          <w:szCs w:val="22"/>
        </w:rPr>
        <w:t>.</w:t>
      </w:r>
      <w:r w:rsidRPr="001B2327">
        <w:rPr>
          <w:rFonts w:ascii="Arial" w:hAnsi="Arial" w:cs="Arial"/>
          <w:sz w:val="22"/>
          <w:szCs w:val="22"/>
        </w:rPr>
        <w:t xml:space="preserve"> </w:t>
      </w:r>
    </w:p>
    <w:p w14:paraId="46D98874" w14:textId="71AA451A" w:rsidR="006C0594" w:rsidRPr="00A25703" w:rsidRDefault="006C0594" w:rsidP="003B74DA">
      <w:pPr>
        <w:tabs>
          <w:tab w:val="right" w:pos="851"/>
        </w:tabs>
        <w:ind w:left="720"/>
        <w:rPr>
          <w:sz w:val="16"/>
          <w:szCs w:val="16"/>
        </w:rPr>
      </w:pPr>
    </w:p>
    <w:tbl>
      <w:tblPr>
        <w:tblW w:w="15299" w:type="dxa"/>
        <w:tblCellMar>
          <w:top w:w="15" w:type="dxa"/>
          <w:bottom w:w="15" w:type="dxa"/>
        </w:tblCellMar>
        <w:tblLook w:val="04A0" w:firstRow="1" w:lastRow="0" w:firstColumn="1" w:lastColumn="0" w:noHBand="0" w:noVBand="1"/>
      </w:tblPr>
      <w:tblGrid>
        <w:gridCol w:w="4205"/>
        <w:gridCol w:w="1660"/>
        <w:gridCol w:w="1660"/>
        <w:gridCol w:w="1685"/>
        <w:gridCol w:w="1553"/>
        <w:gridCol w:w="1701"/>
        <w:gridCol w:w="1418"/>
        <w:gridCol w:w="1417"/>
      </w:tblGrid>
      <w:tr w:rsidR="00A25703" w:rsidRPr="00A25703" w14:paraId="0F7A357E" w14:textId="77777777" w:rsidTr="00842728">
        <w:trPr>
          <w:trHeight w:val="259"/>
        </w:trPr>
        <w:tc>
          <w:tcPr>
            <w:tcW w:w="4205" w:type="dxa"/>
            <w:tcBorders>
              <w:top w:val="single" w:sz="8" w:space="0" w:color="auto"/>
              <w:left w:val="single" w:sz="8" w:space="0" w:color="auto"/>
              <w:bottom w:val="nil"/>
              <w:right w:val="nil"/>
            </w:tcBorders>
            <w:noWrap/>
            <w:vAlign w:val="bottom"/>
            <w:hideMark/>
          </w:tcPr>
          <w:p w14:paraId="2F8ADE15" w14:textId="77777777" w:rsidR="00A25703" w:rsidRPr="00A25703" w:rsidRDefault="00A25703" w:rsidP="00A25703">
            <w:pPr>
              <w:rPr>
                <w:sz w:val="24"/>
                <w:szCs w:val="24"/>
              </w:rPr>
            </w:pPr>
          </w:p>
        </w:tc>
        <w:tc>
          <w:tcPr>
            <w:tcW w:w="5005" w:type="dxa"/>
            <w:gridSpan w:val="3"/>
            <w:tcBorders>
              <w:top w:val="single" w:sz="8" w:space="0" w:color="auto"/>
              <w:left w:val="nil"/>
              <w:bottom w:val="nil"/>
              <w:right w:val="nil"/>
            </w:tcBorders>
            <w:noWrap/>
            <w:vAlign w:val="center"/>
            <w:hideMark/>
          </w:tcPr>
          <w:p w14:paraId="7D76A1DE" w14:textId="6E38FE8B" w:rsidR="00A25703" w:rsidRPr="00A25703" w:rsidRDefault="00C37E7F" w:rsidP="00A25703">
            <w:pPr>
              <w:jc w:val="center"/>
              <w:rPr>
                <w:rFonts w:ascii="Arial" w:hAnsi="Arial" w:cs="Arial"/>
                <w:b/>
                <w:bCs/>
                <w:color w:val="000000"/>
                <w:sz w:val="22"/>
                <w:szCs w:val="22"/>
              </w:rPr>
            </w:pPr>
            <w:r>
              <w:rPr>
                <w:rFonts w:ascii="Arial" w:hAnsi="Arial" w:cs="Arial"/>
                <w:b/>
                <w:bCs/>
                <w:color w:val="000000"/>
                <w:sz w:val="22"/>
                <w:szCs w:val="22"/>
              </w:rPr>
              <w:t>2023/24</w:t>
            </w:r>
          </w:p>
        </w:tc>
        <w:tc>
          <w:tcPr>
            <w:tcW w:w="6089" w:type="dxa"/>
            <w:gridSpan w:val="4"/>
            <w:tcBorders>
              <w:top w:val="single" w:sz="8" w:space="0" w:color="auto"/>
              <w:left w:val="nil"/>
              <w:bottom w:val="nil"/>
              <w:right w:val="single" w:sz="8" w:space="0" w:color="auto"/>
            </w:tcBorders>
            <w:shd w:val="clear" w:color="000000" w:fill="D9D9D9"/>
            <w:noWrap/>
            <w:vAlign w:val="center"/>
            <w:hideMark/>
          </w:tcPr>
          <w:p w14:paraId="4B2CC479" w14:textId="24B2F3F4" w:rsidR="00A25703" w:rsidRPr="00A25703" w:rsidRDefault="00C37E7F" w:rsidP="00A25703">
            <w:pPr>
              <w:jc w:val="center"/>
              <w:rPr>
                <w:rFonts w:ascii="Arial" w:hAnsi="Arial" w:cs="Arial"/>
                <w:b/>
                <w:bCs/>
                <w:color w:val="000000"/>
                <w:sz w:val="22"/>
                <w:szCs w:val="22"/>
              </w:rPr>
            </w:pPr>
            <w:r>
              <w:rPr>
                <w:rFonts w:ascii="Arial" w:hAnsi="Arial" w:cs="Arial"/>
                <w:b/>
                <w:bCs/>
                <w:color w:val="000000"/>
                <w:sz w:val="22"/>
                <w:szCs w:val="22"/>
              </w:rPr>
              <w:t>2024/25</w:t>
            </w:r>
          </w:p>
        </w:tc>
      </w:tr>
      <w:tr w:rsidR="00842728" w:rsidRPr="00A25703" w14:paraId="412D7F6B" w14:textId="77777777">
        <w:trPr>
          <w:trHeight w:val="506"/>
        </w:trPr>
        <w:tc>
          <w:tcPr>
            <w:tcW w:w="4205" w:type="dxa"/>
            <w:tcBorders>
              <w:top w:val="nil"/>
              <w:left w:val="single" w:sz="8" w:space="0" w:color="auto"/>
              <w:right w:val="nil"/>
            </w:tcBorders>
            <w:noWrap/>
            <w:vAlign w:val="bottom"/>
            <w:hideMark/>
          </w:tcPr>
          <w:p w14:paraId="5E62ECF3" w14:textId="77777777" w:rsidR="00842728" w:rsidRPr="00A25703" w:rsidRDefault="00842728" w:rsidP="00A25703">
            <w:pPr>
              <w:jc w:val="center"/>
              <w:rPr>
                <w:rFonts w:ascii="Arial" w:hAnsi="Arial" w:cs="Arial"/>
                <w:b/>
                <w:bCs/>
                <w:color w:val="000000"/>
                <w:sz w:val="22"/>
                <w:szCs w:val="22"/>
              </w:rPr>
            </w:pPr>
          </w:p>
        </w:tc>
        <w:tc>
          <w:tcPr>
            <w:tcW w:w="1660" w:type="dxa"/>
            <w:tcBorders>
              <w:top w:val="nil"/>
              <w:left w:val="nil"/>
              <w:bottom w:val="nil"/>
              <w:right w:val="nil"/>
            </w:tcBorders>
            <w:vAlign w:val="center"/>
            <w:hideMark/>
          </w:tcPr>
          <w:p w14:paraId="14291FBD" w14:textId="01B30233" w:rsidR="00842728" w:rsidRPr="00A25703" w:rsidRDefault="00842728" w:rsidP="00A25703">
            <w:pPr>
              <w:jc w:val="right"/>
              <w:rPr>
                <w:rFonts w:ascii="Arial" w:hAnsi="Arial" w:cs="Arial"/>
                <w:b/>
                <w:bCs/>
                <w:color w:val="000000"/>
                <w:sz w:val="22"/>
                <w:szCs w:val="22"/>
              </w:rPr>
            </w:pPr>
            <w:r w:rsidRPr="00A25703">
              <w:rPr>
                <w:rFonts w:ascii="Arial" w:hAnsi="Arial" w:cs="Arial"/>
                <w:b/>
                <w:bCs/>
                <w:color w:val="000000"/>
                <w:sz w:val="22"/>
                <w:szCs w:val="22"/>
              </w:rPr>
              <w:t>Balance at 31/03/202</w:t>
            </w:r>
            <w:r>
              <w:rPr>
                <w:rFonts w:ascii="Arial" w:hAnsi="Arial" w:cs="Arial"/>
                <w:b/>
                <w:bCs/>
                <w:color w:val="000000"/>
                <w:sz w:val="22"/>
                <w:szCs w:val="22"/>
              </w:rPr>
              <w:t>3</w:t>
            </w:r>
          </w:p>
        </w:tc>
        <w:tc>
          <w:tcPr>
            <w:tcW w:w="1660" w:type="dxa"/>
            <w:tcBorders>
              <w:top w:val="nil"/>
              <w:left w:val="nil"/>
              <w:bottom w:val="nil"/>
              <w:right w:val="nil"/>
            </w:tcBorders>
            <w:vAlign w:val="center"/>
            <w:hideMark/>
          </w:tcPr>
          <w:p w14:paraId="08B35A00" w14:textId="1BE45A24" w:rsidR="00842728" w:rsidRPr="00A25703" w:rsidRDefault="00842728" w:rsidP="00A25703">
            <w:pPr>
              <w:jc w:val="right"/>
              <w:rPr>
                <w:rFonts w:ascii="Arial" w:hAnsi="Arial" w:cs="Arial"/>
                <w:color w:val="000000"/>
                <w:sz w:val="22"/>
                <w:szCs w:val="22"/>
              </w:rPr>
            </w:pPr>
            <w:r w:rsidRPr="00A25703">
              <w:rPr>
                <w:rFonts w:ascii="Arial" w:hAnsi="Arial" w:cs="Arial"/>
                <w:color w:val="000000"/>
                <w:sz w:val="22"/>
                <w:szCs w:val="22"/>
              </w:rPr>
              <w:t>Transfers Out</w:t>
            </w:r>
            <w:r w:rsidRPr="00A25703">
              <w:rPr>
                <w:rFonts w:ascii="Arial" w:hAnsi="Arial" w:cs="Arial"/>
                <w:color w:val="000000"/>
                <w:sz w:val="22"/>
                <w:szCs w:val="22"/>
              </w:rPr>
              <w:br/>
            </w:r>
            <w:r>
              <w:rPr>
                <w:rFonts w:ascii="Arial" w:hAnsi="Arial" w:cs="Arial"/>
                <w:color w:val="000000"/>
                <w:sz w:val="22"/>
                <w:szCs w:val="22"/>
              </w:rPr>
              <w:t>2023/24</w:t>
            </w:r>
          </w:p>
        </w:tc>
        <w:tc>
          <w:tcPr>
            <w:tcW w:w="1685" w:type="dxa"/>
            <w:tcBorders>
              <w:top w:val="nil"/>
              <w:left w:val="nil"/>
              <w:bottom w:val="nil"/>
              <w:right w:val="nil"/>
            </w:tcBorders>
            <w:vAlign w:val="center"/>
            <w:hideMark/>
          </w:tcPr>
          <w:p w14:paraId="63905849" w14:textId="42CADDB7" w:rsidR="00842728" w:rsidRPr="00A25703" w:rsidRDefault="00842728" w:rsidP="00A25703">
            <w:pPr>
              <w:jc w:val="right"/>
              <w:rPr>
                <w:rFonts w:ascii="Arial" w:hAnsi="Arial" w:cs="Arial"/>
                <w:color w:val="000000"/>
                <w:sz w:val="22"/>
                <w:szCs w:val="22"/>
              </w:rPr>
            </w:pPr>
            <w:r w:rsidRPr="00A25703">
              <w:rPr>
                <w:rFonts w:ascii="Arial" w:hAnsi="Arial" w:cs="Arial"/>
                <w:color w:val="000000"/>
                <w:sz w:val="22"/>
                <w:szCs w:val="22"/>
              </w:rPr>
              <w:t>Transfers In</w:t>
            </w:r>
            <w:r w:rsidRPr="00A25703">
              <w:rPr>
                <w:rFonts w:ascii="Arial" w:hAnsi="Arial" w:cs="Arial"/>
                <w:color w:val="000000"/>
                <w:sz w:val="22"/>
                <w:szCs w:val="22"/>
              </w:rPr>
              <w:br/>
            </w:r>
            <w:r>
              <w:rPr>
                <w:rFonts w:ascii="Arial" w:hAnsi="Arial" w:cs="Arial"/>
                <w:color w:val="000000"/>
                <w:sz w:val="22"/>
                <w:szCs w:val="22"/>
              </w:rPr>
              <w:t>2023/24</w:t>
            </w:r>
          </w:p>
        </w:tc>
        <w:tc>
          <w:tcPr>
            <w:tcW w:w="1553" w:type="dxa"/>
            <w:tcBorders>
              <w:top w:val="nil"/>
              <w:left w:val="nil"/>
              <w:bottom w:val="nil"/>
              <w:right w:val="nil"/>
            </w:tcBorders>
            <w:shd w:val="clear" w:color="000000" w:fill="D9D9D9"/>
            <w:vAlign w:val="center"/>
            <w:hideMark/>
          </w:tcPr>
          <w:p w14:paraId="3397E1C1" w14:textId="7339BA04" w:rsidR="00842728" w:rsidRPr="00A25703" w:rsidRDefault="00842728" w:rsidP="00A25703">
            <w:pPr>
              <w:jc w:val="right"/>
              <w:rPr>
                <w:rFonts w:ascii="Arial" w:hAnsi="Arial" w:cs="Arial"/>
                <w:b/>
                <w:bCs/>
                <w:color w:val="000000"/>
                <w:sz w:val="22"/>
                <w:szCs w:val="22"/>
              </w:rPr>
            </w:pPr>
            <w:r w:rsidRPr="00A25703">
              <w:rPr>
                <w:rFonts w:ascii="Arial" w:hAnsi="Arial" w:cs="Arial"/>
                <w:b/>
                <w:bCs/>
                <w:color w:val="000000"/>
                <w:sz w:val="22"/>
                <w:szCs w:val="22"/>
              </w:rPr>
              <w:t>Balance at 31/03/202</w:t>
            </w:r>
            <w:r>
              <w:rPr>
                <w:rFonts w:ascii="Arial" w:hAnsi="Arial" w:cs="Arial"/>
                <w:b/>
                <w:bCs/>
                <w:color w:val="000000"/>
                <w:sz w:val="22"/>
                <w:szCs w:val="22"/>
              </w:rPr>
              <w:t>4</w:t>
            </w:r>
          </w:p>
        </w:tc>
        <w:tc>
          <w:tcPr>
            <w:tcW w:w="1701" w:type="dxa"/>
            <w:tcBorders>
              <w:top w:val="nil"/>
              <w:left w:val="nil"/>
              <w:bottom w:val="nil"/>
              <w:right w:val="nil"/>
            </w:tcBorders>
            <w:shd w:val="clear" w:color="000000" w:fill="D9D9D9"/>
            <w:vAlign w:val="center"/>
            <w:hideMark/>
          </w:tcPr>
          <w:p w14:paraId="64BC7EE7" w14:textId="078C48D9" w:rsidR="00842728" w:rsidRPr="00A25703" w:rsidRDefault="00842728" w:rsidP="00A25703">
            <w:pPr>
              <w:jc w:val="right"/>
              <w:rPr>
                <w:rFonts w:ascii="Arial" w:hAnsi="Arial" w:cs="Arial"/>
                <w:color w:val="000000"/>
                <w:sz w:val="22"/>
                <w:szCs w:val="22"/>
              </w:rPr>
            </w:pPr>
            <w:r w:rsidRPr="00A25703">
              <w:rPr>
                <w:rFonts w:ascii="Arial" w:hAnsi="Arial" w:cs="Arial"/>
                <w:color w:val="000000"/>
                <w:sz w:val="22"/>
                <w:szCs w:val="22"/>
              </w:rPr>
              <w:t>Transfers Out</w:t>
            </w:r>
            <w:r w:rsidRPr="00A25703">
              <w:rPr>
                <w:rFonts w:ascii="Arial" w:hAnsi="Arial" w:cs="Arial"/>
                <w:color w:val="000000"/>
                <w:sz w:val="22"/>
                <w:szCs w:val="22"/>
              </w:rPr>
              <w:br/>
            </w:r>
            <w:r>
              <w:rPr>
                <w:rFonts w:ascii="Arial" w:hAnsi="Arial" w:cs="Arial"/>
                <w:color w:val="000000"/>
                <w:sz w:val="22"/>
                <w:szCs w:val="22"/>
              </w:rPr>
              <w:t>2024/25</w:t>
            </w:r>
          </w:p>
        </w:tc>
        <w:tc>
          <w:tcPr>
            <w:tcW w:w="1418" w:type="dxa"/>
            <w:tcBorders>
              <w:top w:val="nil"/>
              <w:left w:val="nil"/>
              <w:bottom w:val="nil"/>
              <w:right w:val="nil"/>
            </w:tcBorders>
            <w:shd w:val="clear" w:color="000000" w:fill="D9D9D9"/>
            <w:vAlign w:val="center"/>
            <w:hideMark/>
          </w:tcPr>
          <w:p w14:paraId="2E5D634C" w14:textId="6972BC1B" w:rsidR="00842728" w:rsidRPr="00A25703" w:rsidRDefault="00842728" w:rsidP="00A25703">
            <w:pPr>
              <w:jc w:val="right"/>
              <w:rPr>
                <w:rFonts w:ascii="Arial" w:hAnsi="Arial" w:cs="Arial"/>
                <w:color w:val="000000"/>
                <w:sz w:val="22"/>
                <w:szCs w:val="22"/>
              </w:rPr>
            </w:pPr>
            <w:r w:rsidRPr="00A25703">
              <w:rPr>
                <w:rFonts w:ascii="Arial" w:hAnsi="Arial" w:cs="Arial"/>
                <w:color w:val="000000"/>
                <w:sz w:val="22"/>
                <w:szCs w:val="22"/>
              </w:rPr>
              <w:t>Transfers In</w:t>
            </w:r>
            <w:r w:rsidRPr="00A25703">
              <w:rPr>
                <w:rFonts w:ascii="Arial" w:hAnsi="Arial" w:cs="Arial"/>
                <w:color w:val="000000"/>
                <w:sz w:val="22"/>
                <w:szCs w:val="22"/>
              </w:rPr>
              <w:br/>
            </w:r>
            <w:r>
              <w:rPr>
                <w:rFonts w:ascii="Arial" w:hAnsi="Arial" w:cs="Arial"/>
                <w:color w:val="000000"/>
                <w:sz w:val="22"/>
                <w:szCs w:val="22"/>
              </w:rPr>
              <w:t>2024/25</w:t>
            </w:r>
          </w:p>
        </w:tc>
        <w:tc>
          <w:tcPr>
            <w:tcW w:w="1417" w:type="dxa"/>
            <w:tcBorders>
              <w:top w:val="nil"/>
              <w:left w:val="nil"/>
              <w:bottom w:val="nil"/>
              <w:right w:val="single" w:sz="4" w:space="0" w:color="auto"/>
            </w:tcBorders>
            <w:shd w:val="clear" w:color="000000" w:fill="D9D9D9"/>
            <w:vAlign w:val="center"/>
            <w:hideMark/>
          </w:tcPr>
          <w:p w14:paraId="4FB72C5B" w14:textId="500742A3" w:rsidR="00842728" w:rsidRPr="00A25703" w:rsidRDefault="00842728" w:rsidP="00A25703">
            <w:pPr>
              <w:jc w:val="right"/>
              <w:rPr>
                <w:rFonts w:ascii="Arial" w:hAnsi="Arial" w:cs="Arial"/>
                <w:b/>
                <w:bCs/>
                <w:color w:val="000000"/>
                <w:sz w:val="22"/>
                <w:szCs w:val="22"/>
              </w:rPr>
            </w:pPr>
            <w:r w:rsidRPr="00A25703">
              <w:rPr>
                <w:rFonts w:ascii="Arial" w:hAnsi="Arial" w:cs="Arial"/>
                <w:b/>
                <w:bCs/>
                <w:color w:val="000000"/>
                <w:sz w:val="22"/>
                <w:szCs w:val="22"/>
              </w:rPr>
              <w:t>Balance at 31/03/202</w:t>
            </w:r>
            <w:r>
              <w:rPr>
                <w:rFonts w:ascii="Arial" w:hAnsi="Arial" w:cs="Arial"/>
                <w:b/>
                <w:bCs/>
                <w:color w:val="000000"/>
                <w:sz w:val="22"/>
                <w:szCs w:val="22"/>
              </w:rPr>
              <w:t>5</w:t>
            </w:r>
          </w:p>
        </w:tc>
      </w:tr>
      <w:tr w:rsidR="00A25703" w:rsidRPr="00A25703" w14:paraId="64E3E7BC" w14:textId="77777777" w:rsidTr="00842728">
        <w:trPr>
          <w:trHeight w:val="259"/>
        </w:trPr>
        <w:tc>
          <w:tcPr>
            <w:tcW w:w="4205" w:type="dxa"/>
            <w:tcBorders>
              <w:top w:val="nil"/>
              <w:left w:val="single" w:sz="8" w:space="0" w:color="auto"/>
              <w:bottom w:val="nil"/>
              <w:right w:val="nil"/>
            </w:tcBorders>
            <w:noWrap/>
            <w:vAlign w:val="center"/>
            <w:hideMark/>
          </w:tcPr>
          <w:p w14:paraId="3B93A0F5" w14:textId="77777777" w:rsidR="00A25703" w:rsidRPr="00A25703" w:rsidRDefault="00A25703" w:rsidP="00A25703">
            <w:pPr>
              <w:rPr>
                <w:rFonts w:ascii="Arial" w:hAnsi="Arial" w:cs="Arial"/>
                <w:b/>
                <w:bCs/>
                <w:color w:val="000000"/>
                <w:sz w:val="22"/>
                <w:szCs w:val="22"/>
                <w:u w:val="single"/>
              </w:rPr>
            </w:pPr>
            <w:r w:rsidRPr="00A25703">
              <w:rPr>
                <w:rFonts w:ascii="Arial" w:hAnsi="Arial" w:cs="Arial"/>
                <w:b/>
                <w:bCs/>
                <w:color w:val="000000"/>
                <w:sz w:val="22"/>
                <w:szCs w:val="22"/>
                <w:u w:val="single"/>
              </w:rPr>
              <w:t>Earmarked Reserves:</w:t>
            </w:r>
          </w:p>
        </w:tc>
        <w:tc>
          <w:tcPr>
            <w:tcW w:w="1660" w:type="dxa"/>
            <w:tcBorders>
              <w:top w:val="nil"/>
              <w:left w:val="nil"/>
              <w:bottom w:val="nil"/>
              <w:right w:val="nil"/>
            </w:tcBorders>
            <w:noWrap/>
            <w:vAlign w:val="center"/>
            <w:hideMark/>
          </w:tcPr>
          <w:p w14:paraId="2992A77B" w14:textId="77777777" w:rsidR="00A25703" w:rsidRPr="00A25703" w:rsidRDefault="00A25703" w:rsidP="00A25703">
            <w:pPr>
              <w:jc w:val="right"/>
              <w:rPr>
                <w:rFonts w:ascii="Arial" w:hAnsi="Arial" w:cs="Arial"/>
                <w:b/>
                <w:bCs/>
                <w:color w:val="000000"/>
                <w:sz w:val="22"/>
                <w:szCs w:val="22"/>
              </w:rPr>
            </w:pPr>
            <w:r w:rsidRPr="00A25703">
              <w:rPr>
                <w:rFonts w:ascii="Arial" w:hAnsi="Arial" w:cs="Arial"/>
                <w:b/>
                <w:bCs/>
                <w:color w:val="000000"/>
                <w:sz w:val="22"/>
                <w:szCs w:val="22"/>
              </w:rPr>
              <w:t> £000</w:t>
            </w:r>
          </w:p>
        </w:tc>
        <w:tc>
          <w:tcPr>
            <w:tcW w:w="1660" w:type="dxa"/>
            <w:tcBorders>
              <w:top w:val="nil"/>
              <w:left w:val="nil"/>
              <w:bottom w:val="nil"/>
              <w:right w:val="nil"/>
            </w:tcBorders>
            <w:noWrap/>
            <w:vAlign w:val="center"/>
            <w:hideMark/>
          </w:tcPr>
          <w:p w14:paraId="7A2FD04E" w14:textId="77777777" w:rsidR="00A25703" w:rsidRPr="00A25703" w:rsidRDefault="00A25703" w:rsidP="00A25703">
            <w:pPr>
              <w:jc w:val="right"/>
              <w:rPr>
                <w:rFonts w:ascii="Arial" w:hAnsi="Arial" w:cs="Arial"/>
                <w:color w:val="000000"/>
                <w:sz w:val="22"/>
                <w:szCs w:val="22"/>
              </w:rPr>
            </w:pPr>
            <w:r w:rsidRPr="00A25703">
              <w:rPr>
                <w:rFonts w:ascii="Arial" w:hAnsi="Arial" w:cs="Arial"/>
                <w:color w:val="000000"/>
                <w:sz w:val="22"/>
                <w:szCs w:val="22"/>
              </w:rPr>
              <w:t> £000</w:t>
            </w:r>
          </w:p>
        </w:tc>
        <w:tc>
          <w:tcPr>
            <w:tcW w:w="1685" w:type="dxa"/>
            <w:tcBorders>
              <w:top w:val="nil"/>
              <w:left w:val="nil"/>
              <w:bottom w:val="nil"/>
              <w:right w:val="nil"/>
            </w:tcBorders>
            <w:noWrap/>
            <w:vAlign w:val="center"/>
            <w:hideMark/>
          </w:tcPr>
          <w:p w14:paraId="17572A23" w14:textId="77777777" w:rsidR="00A25703" w:rsidRPr="00A25703" w:rsidRDefault="00A25703" w:rsidP="00A25703">
            <w:pPr>
              <w:jc w:val="right"/>
              <w:rPr>
                <w:rFonts w:ascii="Arial" w:hAnsi="Arial" w:cs="Arial"/>
                <w:color w:val="000000"/>
                <w:sz w:val="22"/>
                <w:szCs w:val="22"/>
              </w:rPr>
            </w:pPr>
            <w:r w:rsidRPr="00A25703">
              <w:rPr>
                <w:rFonts w:ascii="Arial" w:hAnsi="Arial" w:cs="Arial"/>
                <w:color w:val="000000"/>
                <w:sz w:val="22"/>
                <w:szCs w:val="22"/>
              </w:rPr>
              <w:t> £000</w:t>
            </w:r>
          </w:p>
        </w:tc>
        <w:tc>
          <w:tcPr>
            <w:tcW w:w="1553" w:type="dxa"/>
            <w:tcBorders>
              <w:top w:val="nil"/>
              <w:left w:val="nil"/>
              <w:right w:val="nil"/>
            </w:tcBorders>
            <w:shd w:val="clear" w:color="000000" w:fill="D9D9D9"/>
            <w:noWrap/>
            <w:vAlign w:val="center"/>
            <w:hideMark/>
          </w:tcPr>
          <w:p w14:paraId="05F8467A" w14:textId="77777777" w:rsidR="00A25703" w:rsidRPr="00A25703" w:rsidRDefault="00A25703" w:rsidP="00A25703">
            <w:pPr>
              <w:jc w:val="right"/>
              <w:rPr>
                <w:rFonts w:ascii="Arial" w:hAnsi="Arial" w:cs="Arial"/>
                <w:b/>
                <w:bCs/>
                <w:color w:val="000000"/>
                <w:sz w:val="22"/>
                <w:szCs w:val="22"/>
              </w:rPr>
            </w:pPr>
            <w:r w:rsidRPr="00A25703">
              <w:rPr>
                <w:rFonts w:ascii="Arial" w:hAnsi="Arial" w:cs="Arial"/>
                <w:b/>
                <w:bCs/>
                <w:color w:val="000000"/>
                <w:sz w:val="22"/>
                <w:szCs w:val="22"/>
              </w:rPr>
              <w:t> £000</w:t>
            </w:r>
          </w:p>
        </w:tc>
        <w:tc>
          <w:tcPr>
            <w:tcW w:w="1701" w:type="dxa"/>
            <w:tcBorders>
              <w:top w:val="nil"/>
              <w:left w:val="nil"/>
              <w:bottom w:val="nil"/>
              <w:right w:val="nil"/>
            </w:tcBorders>
            <w:shd w:val="clear" w:color="auto" w:fill="D9D9D9"/>
            <w:noWrap/>
            <w:vAlign w:val="center"/>
            <w:hideMark/>
          </w:tcPr>
          <w:p w14:paraId="20B46DEB" w14:textId="77777777" w:rsidR="00A25703" w:rsidRPr="00A25703" w:rsidRDefault="00A25703" w:rsidP="00A25703">
            <w:pPr>
              <w:jc w:val="right"/>
              <w:rPr>
                <w:rFonts w:ascii="Arial" w:hAnsi="Arial" w:cs="Arial"/>
                <w:color w:val="000000"/>
                <w:sz w:val="22"/>
                <w:szCs w:val="22"/>
              </w:rPr>
            </w:pPr>
            <w:r w:rsidRPr="00A25703">
              <w:rPr>
                <w:rFonts w:ascii="Arial" w:hAnsi="Arial" w:cs="Arial"/>
                <w:color w:val="000000"/>
                <w:sz w:val="22"/>
                <w:szCs w:val="22"/>
              </w:rPr>
              <w:t> £000</w:t>
            </w:r>
          </w:p>
        </w:tc>
        <w:tc>
          <w:tcPr>
            <w:tcW w:w="1418" w:type="dxa"/>
            <w:tcBorders>
              <w:top w:val="nil"/>
              <w:left w:val="nil"/>
              <w:bottom w:val="nil"/>
              <w:right w:val="nil"/>
            </w:tcBorders>
            <w:shd w:val="clear" w:color="000000" w:fill="D9D9D9"/>
            <w:noWrap/>
            <w:vAlign w:val="center"/>
            <w:hideMark/>
          </w:tcPr>
          <w:p w14:paraId="44E9A1AB" w14:textId="77777777" w:rsidR="00A25703" w:rsidRPr="00A25703" w:rsidRDefault="00A25703" w:rsidP="00A25703">
            <w:pPr>
              <w:jc w:val="right"/>
              <w:rPr>
                <w:rFonts w:ascii="Arial" w:hAnsi="Arial" w:cs="Arial"/>
                <w:color w:val="000000"/>
                <w:sz w:val="22"/>
                <w:szCs w:val="22"/>
              </w:rPr>
            </w:pPr>
            <w:r w:rsidRPr="00A25703">
              <w:rPr>
                <w:rFonts w:ascii="Arial" w:hAnsi="Arial" w:cs="Arial"/>
                <w:color w:val="000000"/>
                <w:sz w:val="22"/>
                <w:szCs w:val="22"/>
              </w:rPr>
              <w:t> £000</w:t>
            </w:r>
          </w:p>
        </w:tc>
        <w:tc>
          <w:tcPr>
            <w:tcW w:w="1417" w:type="dxa"/>
            <w:tcBorders>
              <w:top w:val="nil"/>
              <w:left w:val="nil"/>
              <w:bottom w:val="nil"/>
              <w:right w:val="single" w:sz="4" w:space="0" w:color="auto"/>
            </w:tcBorders>
            <w:shd w:val="clear" w:color="000000" w:fill="D9D9D9"/>
            <w:noWrap/>
            <w:vAlign w:val="center"/>
            <w:hideMark/>
          </w:tcPr>
          <w:p w14:paraId="51EBFA08" w14:textId="77777777" w:rsidR="00A25703" w:rsidRPr="00A25703" w:rsidRDefault="00A25703" w:rsidP="00A25703">
            <w:pPr>
              <w:jc w:val="right"/>
              <w:rPr>
                <w:rFonts w:ascii="Arial" w:hAnsi="Arial" w:cs="Arial"/>
                <w:b/>
                <w:bCs/>
                <w:color w:val="000000"/>
                <w:sz w:val="22"/>
                <w:szCs w:val="22"/>
              </w:rPr>
            </w:pPr>
            <w:r w:rsidRPr="00A25703">
              <w:rPr>
                <w:rFonts w:ascii="Arial" w:hAnsi="Arial" w:cs="Arial"/>
                <w:b/>
                <w:bCs/>
                <w:color w:val="000000"/>
                <w:sz w:val="22"/>
                <w:szCs w:val="22"/>
              </w:rPr>
              <w:t> £000</w:t>
            </w:r>
          </w:p>
        </w:tc>
      </w:tr>
      <w:tr w:rsidR="00AD3B3A" w:rsidRPr="00A25703" w14:paraId="184E0424" w14:textId="77777777" w:rsidTr="00842728">
        <w:trPr>
          <w:trHeight w:val="259"/>
        </w:trPr>
        <w:tc>
          <w:tcPr>
            <w:tcW w:w="4205" w:type="dxa"/>
            <w:tcBorders>
              <w:top w:val="nil"/>
              <w:left w:val="single" w:sz="8" w:space="0" w:color="auto"/>
              <w:bottom w:val="nil"/>
              <w:right w:val="nil"/>
            </w:tcBorders>
            <w:vAlign w:val="center"/>
            <w:hideMark/>
          </w:tcPr>
          <w:p w14:paraId="163E078B"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Capital Funding Reserve</w:t>
            </w:r>
          </w:p>
        </w:tc>
        <w:tc>
          <w:tcPr>
            <w:tcW w:w="1660" w:type="dxa"/>
            <w:tcBorders>
              <w:top w:val="nil"/>
              <w:left w:val="nil"/>
              <w:bottom w:val="nil"/>
              <w:right w:val="nil"/>
            </w:tcBorders>
            <w:noWrap/>
            <w:vAlign w:val="center"/>
            <w:hideMark/>
          </w:tcPr>
          <w:p w14:paraId="64B416B7" w14:textId="180A7AE6"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1</w:t>
            </w:r>
            <w:r>
              <w:rPr>
                <w:rFonts w:ascii="Arial" w:hAnsi="Arial" w:cs="Arial"/>
                <w:b/>
                <w:bCs/>
                <w:color w:val="000000"/>
                <w:sz w:val="22"/>
                <w:szCs w:val="22"/>
              </w:rPr>
              <w:t>0</w:t>
            </w:r>
            <w:r w:rsidRPr="00A25703">
              <w:rPr>
                <w:rFonts w:ascii="Arial" w:hAnsi="Arial" w:cs="Arial"/>
                <w:b/>
                <w:bCs/>
                <w:color w:val="000000"/>
                <w:sz w:val="22"/>
                <w:szCs w:val="22"/>
              </w:rPr>
              <w:t>1</w:t>
            </w:r>
          </w:p>
        </w:tc>
        <w:tc>
          <w:tcPr>
            <w:tcW w:w="1660" w:type="dxa"/>
            <w:tcBorders>
              <w:top w:val="nil"/>
              <w:left w:val="nil"/>
              <w:bottom w:val="nil"/>
              <w:right w:val="nil"/>
            </w:tcBorders>
            <w:noWrap/>
            <w:vAlign w:val="center"/>
            <w:hideMark/>
          </w:tcPr>
          <w:p w14:paraId="6BD865A9" w14:textId="3766A3B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(1</w:t>
            </w:r>
            <w:r>
              <w:rPr>
                <w:rFonts w:ascii="Arial" w:hAnsi="Arial" w:cs="Arial"/>
                <w:color w:val="000000"/>
                <w:sz w:val="22"/>
                <w:szCs w:val="22"/>
              </w:rPr>
              <w:t>0</w:t>
            </w:r>
            <w:r w:rsidRPr="00A25703">
              <w:rPr>
                <w:rFonts w:ascii="Arial" w:hAnsi="Arial" w:cs="Arial"/>
                <w:color w:val="000000"/>
                <w:sz w:val="22"/>
                <w:szCs w:val="22"/>
              </w:rPr>
              <w:t>,</w:t>
            </w:r>
            <w:r>
              <w:rPr>
                <w:rFonts w:ascii="Arial" w:hAnsi="Arial" w:cs="Arial"/>
                <w:color w:val="000000"/>
                <w:sz w:val="22"/>
                <w:szCs w:val="22"/>
              </w:rPr>
              <w:t>750</w:t>
            </w:r>
            <w:r w:rsidRPr="00A25703">
              <w:rPr>
                <w:rFonts w:ascii="Arial" w:hAnsi="Arial" w:cs="Arial"/>
                <w:color w:val="000000"/>
                <w:sz w:val="22"/>
                <w:szCs w:val="22"/>
              </w:rPr>
              <w:t>)</w:t>
            </w:r>
          </w:p>
        </w:tc>
        <w:tc>
          <w:tcPr>
            <w:tcW w:w="1685" w:type="dxa"/>
            <w:tcBorders>
              <w:top w:val="nil"/>
              <w:left w:val="nil"/>
              <w:bottom w:val="nil"/>
              <w:right w:val="nil"/>
            </w:tcBorders>
            <w:noWrap/>
            <w:vAlign w:val="center"/>
            <w:hideMark/>
          </w:tcPr>
          <w:p w14:paraId="67C0F5E9" w14:textId="09D099BE"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1</w:t>
            </w:r>
            <w:r>
              <w:rPr>
                <w:rFonts w:ascii="Arial" w:hAnsi="Arial" w:cs="Arial"/>
                <w:color w:val="000000"/>
                <w:sz w:val="22"/>
                <w:szCs w:val="22"/>
              </w:rPr>
              <w:t>0</w:t>
            </w:r>
            <w:r w:rsidRPr="00A25703">
              <w:rPr>
                <w:rFonts w:ascii="Arial" w:hAnsi="Arial" w:cs="Arial"/>
                <w:color w:val="000000"/>
                <w:sz w:val="22"/>
                <w:szCs w:val="22"/>
              </w:rPr>
              <w:t>,</w:t>
            </w:r>
            <w:r>
              <w:rPr>
                <w:rFonts w:ascii="Arial" w:hAnsi="Arial" w:cs="Arial"/>
                <w:color w:val="000000"/>
                <w:sz w:val="22"/>
                <w:szCs w:val="22"/>
              </w:rPr>
              <w:t>815</w:t>
            </w:r>
          </w:p>
        </w:tc>
        <w:tc>
          <w:tcPr>
            <w:tcW w:w="1553" w:type="dxa"/>
            <w:tcBorders>
              <w:top w:val="nil"/>
              <w:left w:val="nil"/>
              <w:bottom w:val="nil"/>
            </w:tcBorders>
            <w:shd w:val="clear" w:color="auto" w:fill="D9D9D9"/>
            <w:noWrap/>
            <w:vAlign w:val="center"/>
            <w:hideMark/>
          </w:tcPr>
          <w:p w14:paraId="70A6CCAD" w14:textId="459E282B"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165</w:t>
            </w:r>
          </w:p>
        </w:tc>
        <w:tc>
          <w:tcPr>
            <w:tcW w:w="1701" w:type="dxa"/>
            <w:tcBorders>
              <w:top w:val="nil"/>
              <w:left w:val="nil"/>
              <w:bottom w:val="nil"/>
              <w:right w:val="nil"/>
            </w:tcBorders>
            <w:shd w:val="clear" w:color="auto" w:fill="D9D9D9"/>
            <w:noWrap/>
            <w:vAlign w:val="center"/>
            <w:hideMark/>
          </w:tcPr>
          <w:p w14:paraId="4A06EB4E" w14:textId="74B4208B"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(13,396)</w:t>
            </w:r>
          </w:p>
        </w:tc>
        <w:tc>
          <w:tcPr>
            <w:tcW w:w="1418" w:type="dxa"/>
            <w:tcBorders>
              <w:top w:val="nil"/>
              <w:left w:val="nil"/>
              <w:bottom w:val="nil"/>
              <w:right w:val="nil"/>
            </w:tcBorders>
            <w:shd w:val="clear" w:color="auto" w:fill="D9D9D9"/>
            <w:noWrap/>
            <w:vAlign w:val="center"/>
            <w:hideMark/>
          </w:tcPr>
          <w:p w14:paraId="067DDCE4" w14:textId="7602CAB5"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13,474</w:t>
            </w:r>
          </w:p>
        </w:tc>
        <w:tc>
          <w:tcPr>
            <w:tcW w:w="1417" w:type="dxa"/>
            <w:tcBorders>
              <w:top w:val="nil"/>
              <w:left w:val="nil"/>
              <w:bottom w:val="nil"/>
              <w:right w:val="single" w:sz="4" w:space="0" w:color="auto"/>
            </w:tcBorders>
            <w:shd w:val="clear" w:color="auto" w:fill="D9D9D9"/>
            <w:noWrap/>
            <w:vAlign w:val="center"/>
            <w:hideMark/>
          </w:tcPr>
          <w:p w14:paraId="258FCA3B" w14:textId="5C12F5EB"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243</w:t>
            </w:r>
          </w:p>
        </w:tc>
      </w:tr>
      <w:tr w:rsidR="00AD3B3A" w:rsidRPr="00A25703" w14:paraId="69085FB6" w14:textId="77777777" w:rsidTr="00842728">
        <w:trPr>
          <w:trHeight w:val="259"/>
        </w:trPr>
        <w:tc>
          <w:tcPr>
            <w:tcW w:w="4205" w:type="dxa"/>
            <w:tcBorders>
              <w:top w:val="nil"/>
              <w:left w:val="single" w:sz="8" w:space="0" w:color="auto"/>
              <w:bottom w:val="nil"/>
              <w:right w:val="nil"/>
            </w:tcBorders>
            <w:vAlign w:val="center"/>
            <w:hideMark/>
          </w:tcPr>
          <w:p w14:paraId="0401903B"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Confiscation &amp; Forfeiture Reserve</w:t>
            </w:r>
          </w:p>
        </w:tc>
        <w:tc>
          <w:tcPr>
            <w:tcW w:w="1660" w:type="dxa"/>
            <w:tcBorders>
              <w:top w:val="nil"/>
              <w:left w:val="nil"/>
              <w:bottom w:val="nil"/>
              <w:right w:val="nil"/>
            </w:tcBorders>
            <w:noWrap/>
            <w:vAlign w:val="center"/>
            <w:hideMark/>
          </w:tcPr>
          <w:p w14:paraId="4B06CEEC" w14:textId="5E38CFA1" w:rsidR="00AD3B3A" w:rsidRPr="00A25703" w:rsidRDefault="00AD3B3A" w:rsidP="00AD3B3A">
            <w:pPr>
              <w:jc w:val="right"/>
              <w:rPr>
                <w:rFonts w:ascii="Arial" w:hAnsi="Arial" w:cs="Arial"/>
                <w:b/>
                <w:bCs/>
                <w:color w:val="000000"/>
                <w:sz w:val="22"/>
                <w:szCs w:val="22"/>
              </w:rPr>
            </w:pPr>
            <w:r>
              <w:rPr>
                <w:rFonts w:ascii="Arial" w:hAnsi="Arial" w:cs="Arial"/>
                <w:b/>
                <w:bCs/>
                <w:color w:val="000000"/>
                <w:sz w:val="22"/>
                <w:szCs w:val="22"/>
              </w:rPr>
              <w:t>3</w:t>
            </w:r>
            <w:r w:rsidRPr="00A25703">
              <w:rPr>
                <w:rFonts w:ascii="Arial" w:hAnsi="Arial" w:cs="Arial"/>
                <w:b/>
                <w:bCs/>
                <w:color w:val="000000"/>
                <w:sz w:val="22"/>
                <w:szCs w:val="22"/>
              </w:rPr>
              <w:t>8</w:t>
            </w:r>
            <w:r>
              <w:rPr>
                <w:rFonts w:ascii="Arial" w:hAnsi="Arial" w:cs="Arial"/>
                <w:b/>
                <w:bCs/>
                <w:color w:val="000000"/>
                <w:sz w:val="22"/>
                <w:szCs w:val="22"/>
              </w:rPr>
              <w:t>9</w:t>
            </w:r>
          </w:p>
        </w:tc>
        <w:tc>
          <w:tcPr>
            <w:tcW w:w="1660" w:type="dxa"/>
            <w:tcBorders>
              <w:top w:val="nil"/>
              <w:left w:val="nil"/>
              <w:bottom w:val="nil"/>
              <w:right w:val="nil"/>
            </w:tcBorders>
            <w:noWrap/>
            <w:vAlign w:val="center"/>
            <w:hideMark/>
          </w:tcPr>
          <w:p w14:paraId="5F3D0302" w14:textId="1AF4103B"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w:t>
            </w:r>
            <w:r>
              <w:rPr>
                <w:rFonts w:ascii="Arial" w:hAnsi="Arial" w:cs="Arial"/>
                <w:color w:val="000000"/>
                <w:sz w:val="22"/>
                <w:szCs w:val="22"/>
              </w:rPr>
              <w:t>20</w:t>
            </w:r>
            <w:r w:rsidRPr="00A25703">
              <w:rPr>
                <w:rFonts w:ascii="Arial" w:hAnsi="Arial" w:cs="Arial"/>
                <w:color w:val="000000"/>
                <w:sz w:val="22"/>
                <w:szCs w:val="22"/>
              </w:rPr>
              <w:t>)</w:t>
            </w:r>
          </w:p>
        </w:tc>
        <w:tc>
          <w:tcPr>
            <w:tcW w:w="1685" w:type="dxa"/>
            <w:tcBorders>
              <w:top w:val="nil"/>
              <w:left w:val="nil"/>
              <w:bottom w:val="nil"/>
              <w:right w:val="nil"/>
            </w:tcBorders>
            <w:noWrap/>
            <w:vAlign w:val="center"/>
            <w:hideMark/>
          </w:tcPr>
          <w:p w14:paraId="42A9444F" w14:textId="752B9CB5"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19</w:t>
            </w:r>
            <w:r>
              <w:rPr>
                <w:rFonts w:ascii="Arial" w:hAnsi="Arial" w:cs="Arial"/>
                <w:color w:val="000000"/>
                <w:sz w:val="22"/>
                <w:szCs w:val="22"/>
              </w:rPr>
              <w:t>6</w:t>
            </w:r>
          </w:p>
        </w:tc>
        <w:tc>
          <w:tcPr>
            <w:tcW w:w="1553" w:type="dxa"/>
            <w:tcBorders>
              <w:top w:val="nil"/>
              <w:left w:val="nil"/>
              <w:bottom w:val="nil"/>
            </w:tcBorders>
            <w:shd w:val="clear" w:color="auto" w:fill="D9D9D9"/>
            <w:noWrap/>
            <w:vAlign w:val="center"/>
            <w:hideMark/>
          </w:tcPr>
          <w:p w14:paraId="72AE69B5" w14:textId="1190D7B5"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565</w:t>
            </w:r>
          </w:p>
        </w:tc>
        <w:tc>
          <w:tcPr>
            <w:tcW w:w="1701" w:type="dxa"/>
            <w:tcBorders>
              <w:top w:val="nil"/>
              <w:left w:val="nil"/>
              <w:bottom w:val="nil"/>
              <w:right w:val="nil"/>
            </w:tcBorders>
            <w:shd w:val="clear" w:color="auto" w:fill="D9D9D9"/>
            <w:noWrap/>
            <w:vAlign w:val="center"/>
            <w:hideMark/>
          </w:tcPr>
          <w:p w14:paraId="281A2AE2" w14:textId="33A08A1C"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(271)</w:t>
            </w:r>
          </w:p>
        </w:tc>
        <w:tc>
          <w:tcPr>
            <w:tcW w:w="1418" w:type="dxa"/>
            <w:tcBorders>
              <w:top w:val="nil"/>
              <w:left w:val="nil"/>
              <w:bottom w:val="nil"/>
              <w:right w:val="nil"/>
            </w:tcBorders>
            <w:shd w:val="clear" w:color="auto" w:fill="D9D9D9"/>
            <w:noWrap/>
            <w:vAlign w:val="center"/>
            <w:hideMark/>
          </w:tcPr>
          <w:p w14:paraId="0EEBE9C2" w14:textId="7949050C"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517</w:t>
            </w:r>
          </w:p>
        </w:tc>
        <w:tc>
          <w:tcPr>
            <w:tcW w:w="1417" w:type="dxa"/>
            <w:tcBorders>
              <w:top w:val="nil"/>
              <w:left w:val="nil"/>
              <w:bottom w:val="nil"/>
              <w:right w:val="single" w:sz="4" w:space="0" w:color="auto"/>
            </w:tcBorders>
            <w:shd w:val="clear" w:color="auto" w:fill="D9D9D9"/>
            <w:noWrap/>
            <w:vAlign w:val="center"/>
            <w:hideMark/>
          </w:tcPr>
          <w:p w14:paraId="0B738029" w14:textId="007A0782"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811</w:t>
            </w:r>
          </w:p>
        </w:tc>
      </w:tr>
      <w:tr w:rsidR="00AD3B3A" w:rsidRPr="00A25703" w14:paraId="50A9B780" w14:textId="77777777" w:rsidTr="00842728">
        <w:trPr>
          <w:trHeight w:val="259"/>
        </w:trPr>
        <w:tc>
          <w:tcPr>
            <w:tcW w:w="4205" w:type="dxa"/>
            <w:tcBorders>
              <w:top w:val="nil"/>
              <w:left w:val="single" w:sz="8" w:space="0" w:color="auto"/>
              <w:bottom w:val="nil"/>
              <w:right w:val="nil"/>
            </w:tcBorders>
            <w:vAlign w:val="center"/>
          </w:tcPr>
          <w:p w14:paraId="031619DD" w14:textId="12604CE7" w:rsidR="00AD3B3A" w:rsidRPr="00A25703" w:rsidRDefault="00AD3B3A" w:rsidP="00AD3B3A">
            <w:pPr>
              <w:rPr>
                <w:rFonts w:ascii="Arial" w:hAnsi="Arial" w:cs="Arial"/>
                <w:color w:val="000000"/>
                <w:sz w:val="22"/>
                <w:szCs w:val="22"/>
              </w:rPr>
            </w:pPr>
            <w:r w:rsidRPr="004B0B8A">
              <w:rPr>
                <w:rFonts w:ascii="Arial" w:hAnsi="Arial" w:cs="Arial"/>
                <w:color w:val="000000"/>
                <w:sz w:val="22"/>
                <w:szCs w:val="22"/>
              </w:rPr>
              <w:t>Police Property Act Reserve</w:t>
            </w:r>
          </w:p>
        </w:tc>
        <w:tc>
          <w:tcPr>
            <w:tcW w:w="1660" w:type="dxa"/>
            <w:tcBorders>
              <w:top w:val="nil"/>
              <w:left w:val="nil"/>
              <w:bottom w:val="nil"/>
              <w:right w:val="nil"/>
            </w:tcBorders>
            <w:noWrap/>
            <w:vAlign w:val="center"/>
          </w:tcPr>
          <w:p w14:paraId="01EAEA49" w14:textId="77777777" w:rsidR="00AD3B3A" w:rsidRDefault="00AD3B3A" w:rsidP="00AD3B3A">
            <w:pPr>
              <w:jc w:val="right"/>
              <w:rPr>
                <w:rFonts w:ascii="Arial" w:hAnsi="Arial" w:cs="Arial"/>
                <w:b/>
                <w:bCs/>
                <w:color w:val="000000"/>
                <w:sz w:val="22"/>
                <w:szCs w:val="22"/>
              </w:rPr>
            </w:pPr>
          </w:p>
        </w:tc>
        <w:tc>
          <w:tcPr>
            <w:tcW w:w="1660" w:type="dxa"/>
            <w:tcBorders>
              <w:top w:val="nil"/>
              <w:left w:val="nil"/>
              <w:bottom w:val="nil"/>
              <w:right w:val="nil"/>
            </w:tcBorders>
            <w:noWrap/>
            <w:vAlign w:val="center"/>
          </w:tcPr>
          <w:p w14:paraId="2C2AB270" w14:textId="77777777" w:rsidR="00AD3B3A" w:rsidRPr="00A25703" w:rsidRDefault="00AD3B3A" w:rsidP="00AD3B3A">
            <w:pPr>
              <w:jc w:val="right"/>
              <w:rPr>
                <w:rFonts w:ascii="Arial" w:hAnsi="Arial" w:cs="Arial"/>
                <w:color w:val="000000"/>
                <w:sz w:val="22"/>
                <w:szCs w:val="22"/>
              </w:rPr>
            </w:pPr>
          </w:p>
        </w:tc>
        <w:tc>
          <w:tcPr>
            <w:tcW w:w="1685" w:type="dxa"/>
            <w:tcBorders>
              <w:top w:val="nil"/>
              <w:left w:val="nil"/>
              <w:bottom w:val="nil"/>
              <w:right w:val="nil"/>
            </w:tcBorders>
            <w:noWrap/>
            <w:vAlign w:val="center"/>
          </w:tcPr>
          <w:p w14:paraId="7D0C3AD6" w14:textId="77777777" w:rsidR="00AD3B3A" w:rsidRDefault="00AD3B3A" w:rsidP="00AD3B3A">
            <w:pPr>
              <w:jc w:val="right"/>
              <w:rPr>
                <w:rFonts w:ascii="Arial" w:hAnsi="Arial" w:cs="Arial"/>
                <w:color w:val="000000"/>
                <w:sz w:val="22"/>
                <w:szCs w:val="22"/>
              </w:rPr>
            </w:pPr>
          </w:p>
        </w:tc>
        <w:tc>
          <w:tcPr>
            <w:tcW w:w="1553" w:type="dxa"/>
            <w:tcBorders>
              <w:top w:val="nil"/>
              <w:left w:val="nil"/>
              <w:bottom w:val="nil"/>
            </w:tcBorders>
            <w:shd w:val="clear" w:color="auto" w:fill="D9D9D9"/>
            <w:noWrap/>
            <w:vAlign w:val="center"/>
          </w:tcPr>
          <w:p w14:paraId="593A193B" w14:textId="5B83AC53" w:rsidR="00AD3B3A" w:rsidRPr="008B1815" w:rsidRDefault="009A43E1" w:rsidP="00AD3B3A">
            <w:pPr>
              <w:jc w:val="right"/>
              <w:rPr>
                <w:rFonts w:ascii="Arial" w:hAnsi="Arial" w:cs="Arial"/>
                <w:b/>
                <w:bCs/>
                <w:color w:val="000000"/>
                <w:sz w:val="22"/>
                <w:szCs w:val="22"/>
              </w:rPr>
            </w:pPr>
            <w:r>
              <w:rPr>
                <w:rFonts w:ascii="Arial" w:hAnsi="Arial" w:cs="Arial"/>
                <w:b/>
                <w:bCs/>
                <w:color w:val="000000"/>
                <w:sz w:val="22"/>
                <w:szCs w:val="22"/>
              </w:rPr>
              <w:t>0</w:t>
            </w:r>
          </w:p>
        </w:tc>
        <w:tc>
          <w:tcPr>
            <w:tcW w:w="1701" w:type="dxa"/>
            <w:tcBorders>
              <w:top w:val="nil"/>
              <w:left w:val="nil"/>
              <w:bottom w:val="nil"/>
              <w:right w:val="nil"/>
            </w:tcBorders>
            <w:shd w:val="clear" w:color="auto" w:fill="D9D9D9"/>
            <w:noWrap/>
            <w:vAlign w:val="center"/>
          </w:tcPr>
          <w:p w14:paraId="24E6BF15" w14:textId="647EBA3A"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(1)</w:t>
            </w:r>
          </w:p>
        </w:tc>
        <w:tc>
          <w:tcPr>
            <w:tcW w:w="1418" w:type="dxa"/>
            <w:tcBorders>
              <w:top w:val="nil"/>
              <w:left w:val="nil"/>
              <w:bottom w:val="nil"/>
              <w:right w:val="nil"/>
            </w:tcBorders>
            <w:shd w:val="clear" w:color="auto" w:fill="D9D9D9"/>
            <w:noWrap/>
            <w:vAlign w:val="center"/>
          </w:tcPr>
          <w:p w14:paraId="433D4984" w14:textId="6CBB2AA7"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427</w:t>
            </w:r>
          </w:p>
        </w:tc>
        <w:tc>
          <w:tcPr>
            <w:tcW w:w="1417" w:type="dxa"/>
            <w:tcBorders>
              <w:top w:val="nil"/>
              <w:left w:val="nil"/>
              <w:bottom w:val="nil"/>
              <w:right w:val="single" w:sz="4" w:space="0" w:color="auto"/>
            </w:tcBorders>
            <w:shd w:val="clear" w:color="auto" w:fill="D9D9D9"/>
            <w:noWrap/>
            <w:vAlign w:val="center"/>
          </w:tcPr>
          <w:p w14:paraId="213A3255" w14:textId="6360499E"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426</w:t>
            </w:r>
          </w:p>
        </w:tc>
      </w:tr>
      <w:tr w:rsidR="00AD3B3A" w:rsidRPr="00A25703" w14:paraId="7448409C" w14:textId="77777777" w:rsidTr="00842728">
        <w:trPr>
          <w:trHeight w:val="259"/>
        </w:trPr>
        <w:tc>
          <w:tcPr>
            <w:tcW w:w="4205" w:type="dxa"/>
            <w:tcBorders>
              <w:top w:val="nil"/>
              <w:left w:val="single" w:sz="8" w:space="0" w:color="auto"/>
              <w:bottom w:val="nil"/>
              <w:right w:val="nil"/>
            </w:tcBorders>
            <w:vAlign w:val="center"/>
            <w:hideMark/>
          </w:tcPr>
          <w:p w14:paraId="014CB984"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Clothing Development Reserve</w:t>
            </w:r>
          </w:p>
        </w:tc>
        <w:tc>
          <w:tcPr>
            <w:tcW w:w="1660" w:type="dxa"/>
            <w:tcBorders>
              <w:top w:val="nil"/>
              <w:left w:val="nil"/>
              <w:bottom w:val="nil"/>
              <w:right w:val="nil"/>
            </w:tcBorders>
            <w:noWrap/>
            <w:vAlign w:val="center"/>
            <w:hideMark/>
          </w:tcPr>
          <w:p w14:paraId="77759BBF" w14:textId="47FFD898" w:rsidR="00AD3B3A" w:rsidRPr="00A25703" w:rsidRDefault="00AD3B3A" w:rsidP="00AD3B3A">
            <w:pPr>
              <w:jc w:val="right"/>
              <w:rPr>
                <w:rFonts w:ascii="Arial" w:hAnsi="Arial" w:cs="Arial"/>
                <w:b/>
                <w:bCs/>
                <w:color w:val="000000"/>
                <w:sz w:val="22"/>
                <w:szCs w:val="22"/>
              </w:rPr>
            </w:pPr>
            <w:r>
              <w:rPr>
                <w:rFonts w:ascii="Arial" w:hAnsi="Arial" w:cs="Arial"/>
                <w:b/>
                <w:bCs/>
                <w:color w:val="000000"/>
                <w:sz w:val="22"/>
                <w:szCs w:val="22"/>
              </w:rPr>
              <w:t>7</w:t>
            </w:r>
            <w:r w:rsidRPr="00A25703">
              <w:rPr>
                <w:rFonts w:ascii="Arial" w:hAnsi="Arial" w:cs="Arial"/>
                <w:b/>
                <w:bCs/>
                <w:color w:val="000000"/>
                <w:sz w:val="22"/>
                <w:szCs w:val="22"/>
              </w:rPr>
              <w:t>8</w:t>
            </w:r>
            <w:r>
              <w:rPr>
                <w:rFonts w:ascii="Arial" w:hAnsi="Arial" w:cs="Arial"/>
                <w:b/>
                <w:bCs/>
                <w:color w:val="000000"/>
                <w:sz w:val="22"/>
                <w:szCs w:val="22"/>
              </w:rPr>
              <w:t>6</w:t>
            </w:r>
          </w:p>
        </w:tc>
        <w:tc>
          <w:tcPr>
            <w:tcW w:w="1660" w:type="dxa"/>
            <w:tcBorders>
              <w:top w:val="nil"/>
              <w:left w:val="nil"/>
              <w:bottom w:val="nil"/>
              <w:right w:val="nil"/>
            </w:tcBorders>
            <w:noWrap/>
            <w:vAlign w:val="center"/>
            <w:hideMark/>
          </w:tcPr>
          <w:p w14:paraId="75E4E153" w14:textId="4DD8AF8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w:t>
            </w:r>
            <w:r>
              <w:rPr>
                <w:rFonts w:ascii="Arial" w:hAnsi="Arial" w:cs="Arial"/>
                <w:color w:val="000000"/>
                <w:sz w:val="22"/>
                <w:szCs w:val="22"/>
              </w:rPr>
              <w:t>147</w:t>
            </w:r>
            <w:r w:rsidRPr="00A25703">
              <w:rPr>
                <w:rFonts w:ascii="Arial" w:hAnsi="Arial" w:cs="Arial"/>
                <w:color w:val="000000"/>
                <w:sz w:val="22"/>
                <w:szCs w:val="22"/>
              </w:rPr>
              <w:t>)</w:t>
            </w:r>
          </w:p>
        </w:tc>
        <w:tc>
          <w:tcPr>
            <w:tcW w:w="1685" w:type="dxa"/>
            <w:tcBorders>
              <w:top w:val="nil"/>
              <w:left w:val="nil"/>
              <w:bottom w:val="nil"/>
              <w:right w:val="nil"/>
            </w:tcBorders>
            <w:noWrap/>
            <w:vAlign w:val="center"/>
            <w:hideMark/>
          </w:tcPr>
          <w:p w14:paraId="68A52AF4" w14:textId="691AB205" w:rsidR="00AD3B3A" w:rsidRPr="00A25703" w:rsidRDefault="00AD3B3A" w:rsidP="00AD3B3A">
            <w:pPr>
              <w:jc w:val="right"/>
              <w:rPr>
                <w:rFonts w:ascii="Arial" w:hAnsi="Arial" w:cs="Arial"/>
                <w:color w:val="000000"/>
                <w:sz w:val="22"/>
                <w:szCs w:val="22"/>
              </w:rPr>
            </w:pPr>
            <w:r>
              <w:rPr>
                <w:rFonts w:ascii="Arial" w:hAnsi="Arial" w:cs="Arial"/>
                <w:color w:val="000000"/>
                <w:sz w:val="22"/>
                <w:szCs w:val="22"/>
              </w:rPr>
              <w:t>0</w:t>
            </w:r>
          </w:p>
        </w:tc>
        <w:tc>
          <w:tcPr>
            <w:tcW w:w="1553" w:type="dxa"/>
            <w:tcBorders>
              <w:top w:val="nil"/>
              <w:left w:val="nil"/>
              <w:bottom w:val="nil"/>
            </w:tcBorders>
            <w:shd w:val="clear" w:color="auto" w:fill="D9D9D9"/>
            <w:noWrap/>
            <w:vAlign w:val="center"/>
            <w:hideMark/>
          </w:tcPr>
          <w:p w14:paraId="236DD1F2" w14:textId="06B76390"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638</w:t>
            </w:r>
          </w:p>
        </w:tc>
        <w:tc>
          <w:tcPr>
            <w:tcW w:w="1701" w:type="dxa"/>
            <w:tcBorders>
              <w:top w:val="nil"/>
              <w:left w:val="nil"/>
              <w:bottom w:val="nil"/>
              <w:right w:val="nil"/>
            </w:tcBorders>
            <w:shd w:val="clear" w:color="auto" w:fill="D9D9D9"/>
            <w:noWrap/>
            <w:vAlign w:val="center"/>
            <w:hideMark/>
          </w:tcPr>
          <w:p w14:paraId="471BFBB1" w14:textId="7A5E69BD"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(141)</w:t>
            </w:r>
          </w:p>
        </w:tc>
        <w:tc>
          <w:tcPr>
            <w:tcW w:w="1418" w:type="dxa"/>
            <w:tcBorders>
              <w:top w:val="nil"/>
              <w:left w:val="nil"/>
              <w:bottom w:val="nil"/>
              <w:right w:val="nil"/>
            </w:tcBorders>
            <w:shd w:val="clear" w:color="auto" w:fill="D9D9D9"/>
            <w:noWrap/>
            <w:vAlign w:val="center"/>
            <w:hideMark/>
          </w:tcPr>
          <w:p w14:paraId="179399C8" w14:textId="38363FBA"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84</w:t>
            </w:r>
          </w:p>
        </w:tc>
        <w:tc>
          <w:tcPr>
            <w:tcW w:w="1417" w:type="dxa"/>
            <w:tcBorders>
              <w:top w:val="nil"/>
              <w:left w:val="nil"/>
              <w:bottom w:val="nil"/>
              <w:right w:val="single" w:sz="4" w:space="0" w:color="auto"/>
            </w:tcBorders>
            <w:shd w:val="clear" w:color="auto" w:fill="D9D9D9"/>
            <w:noWrap/>
            <w:vAlign w:val="center"/>
            <w:hideMark/>
          </w:tcPr>
          <w:p w14:paraId="147F5764" w14:textId="30C6845E"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582</w:t>
            </w:r>
          </w:p>
        </w:tc>
      </w:tr>
      <w:tr w:rsidR="00AD3B3A" w:rsidRPr="00A25703" w14:paraId="1A8FA432" w14:textId="77777777" w:rsidTr="00842728">
        <w:trPr>
          <w:trHeight w:val="259"/>
        </w:trPr>
        <w:tc>
          <w:tcPr>
            <w:tcW w:w="4205" w:type="dxa"/>
            <w:tcBorders>
              <w:top w:val="nil"/>
              <w:left w:val="single" w:sz="8" w:space="0" w:color="auto"/>
              <w:bottom w:val="nil"/>
              <w:right w:val="nil"/>
            </w:tcBorders>
            <w:vAlign w:val="center"/>
            <w:hideMark/>
          </w:tcPr>
          <w:p w14:paraId="12E3A419"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Vehicle Maintenance Reserve</w:t>
            </w:r>
          </w:p>
        </w:tc>
        <w:tc>
          <w:tcPr>
            <w:tcW w:w="1660" w:type="dxa"/>
            <w:tcBorders>
              <w:top w:val="nil"/>
              <w:left w:val="nil"/>
              <w:bottom w:val="nil"/>
              <w:right w:val="nil"/>
            </w:tcBorders>
            <w:noWrap/>
            <w:vAlign w:val="center"/>
            <w:hideMark/>
          </w:tcPr>
          <w:p w14:paraId="421B1DA3" w14:textId="77777777"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8</w:t>
            </w:r>
          </w:p>
        </w:tc>
        <w:tc>
          <w:tcPr>
            <w:tcW w:w="1660" w:type="dxa"/>
            <w:tcBorders>
              <w:top w:val="nil"/>
              <w:left w:val="nil"/>
              <w:bottom w:val="nil"/>
              <w:right w:val="nil"/>
            </w:tcBorders>
            <w:noWrap/>
            <w:vAlign w:val="center"/>
            <w:hideMark/>
          </w:tcPr>
          <w:p w14:paraId="254CC5CA"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685" w:type="dxa"/>
            <w:tcBorders>
              <w:top w:val="nil"/>
              <w:left w:val="nil"/>
              <w:bottom w:val="nil"/>
              <w:right w:val="nil"/>
            </w:tcBorders>
            <w:noWrap/>
            <w:vAlign w:val="center"/>
            <w:hideMark/>
          </w:tcPr>
          <w:p w14:paraId="0D4CAC7B"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553" w:type="dxa"/>
            <w:tcBorders>
              <w:top w:val="nil"/>
              <w:left w:val="nil"/>
              <w:bottom w:val="nil"/>
            </w:tcBorders>
            <w:shd w:val="clear" w:color="auto" w:fill="D9D9D9"/>
            <w:noWrap/>
            <w:vAlign w:val="center"/>
            <w:hideMark/>
          </w:tcPr>
          <w:p w14:paraId="518192D8" w14:textId="14DD95D1"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8</w:t>
            </w:r>
          </w:p>
        </w:tc>
        <w:tc>
          <w:tcPr>
            <w:tcW w:w="1701" w:type="dxa"/>
            <w:tcBorders>
              <w:top w:val="nil"/>
              <w:left w:val="nil"/>
              <w:bottom w:val="nil"/>
              <w:right w:val="nil"/>
            </w:tcBorders>
            <w:shd w:val="clear" w:color="auto" w:fill="D9D9D9"/>
            <w:noWrap/>
            <w:vAlign w:val="center"/>
            <w:hideMark/>
          </w:tcPr>
          <w:p w14:paraId="72EB5017" w14:textId="46ED3EF1"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8" w:type="dxa"/>
            <w:tcBorders>
              <w:top w:val="nil"/>
              <w:left w:val="nil"/>
              <w:bottom w:val="nil"/>
              <w:right w:val="nil"/>
            </w:tcBorders>
            <w:shd w:val="clear" w:color="auto" w:fill="D9D9D9"/>
            <w:noWrap/>
            <w:vAlign w:val="center"/>
            <w:hideMark/>
          </w:tcPr>
          <w:p w14:paraId="486C8A93" w14:textId="58A6E1FE"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7" w:type="dxa"/>
            <w:tcBorders>
              <w:top w:val="nil"/>
              <w:left w:val="nil"/>
              <w:bottom w:val="nil"/>
              <w:right w:val="single" w:sz="4" w:space="0" w:color="auto"/>
            </w:tcBorders>
            <w:shd w:val="clear" w:color="auto" w:fill="D9D9D9"/>
            <w:noWrap/>
            <w:vAlign w:val="center"/>
            <w:hideMark/>
          </w:tcPr>
          <w:p w14:paraId="070D0BF0" w14:textId="3A1F2D52"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8</w:t>
            </w:r>
          </w:p>
        </w:tc>
      </w:tr>
      <w:tr w:rsidR="00AD3B3A" w:rsidRPr="00A25703" w14:paraId="2A6393B9" w14:textId="77777777" w:rsidTr="00842728">
        <w:trPr>
          <w:trHeight w:val="259"/>
        </w:trPr>
        <w:tc>
          <w:tcPr>
            <w:tcW w:w="4205" w:type="dxa"/>
            <w:tcBorders>
              <w:top w:val="nil"/>
              <w:left w:val="single" w:sz="8" w:space="0" w:color="auto"/>
              <w:bottom w:val="nil"/>
              <w:right w:val="nil"/>
            </w:tcBorders>
            <w:vAlign w:val="center"/>
            <w:hideMark/>
          </w:tcPr>
          <w:p w14:paraId="139AD9E0"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POCA Equalisation Reserve</w:t>
            </w:r>
          </w:p>
        </w:tc>
        <w:tc>
          <w:tcPr>
            <w:tcW w:w="1660" w:type="dxa"/>
            <w:tcBorders>
              <w:top w:val="nil"/>
              <w:left w:val="nil"/>
              <w:bottom w:val="nil"/>
              <w:right w:val="nil"/>
            </w:tcBorders>
            <w:noWrap/>
            <w:vAlign w:val="center"/>
            <w:hideMark/>
          </w:tcPr>
          <w:p w14:paraId="36A51355" w14:textId="5105F82C"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7</w:t>
            </w:r>
            <w:r>
              <w:rPr>
                <w:rFonts w:ascii="Arial" w:hAnsi="Arial" w:cs="Arial"/>
                <w:b/>
                <w:bCs/>
                <w:color w:val="000000"/>
                <w:sz w:val="22"/>
                <w:szCs w:val="22"/>
              </w:rPr>
              <w:t>02</w:t>
            </w:r>
          </w:p>
        </w:tc>
        <w:tc>
          <w:tcPr>
            <w:tcW w:w="1660" w:type="dxa"/>
            <w:tcBorders>
              <w:top w:val="nil"/>
              <w:left w:val="nil"/>
              <w:bottom w:val="nil"/>
              <w:right w:val="nil"/>
            </w:tcBorders>
            <w:noWrap/>
            <w:vAlign w:val="center"/>
            <w:hideMark/>
          </w:tcPr>
          <w:p w14:paraId="75E37D1E"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685" w:type="dxa"/>
            <w:tcBorders>
              <w:top w:val="nil"/>
              <w:left w:val="nil"/>
              <w:bottom w:val="nil"/>
              <w:right w:val="nil"/>
            </w:tcBorders>
            <w:noWrap/>
            <w:vAlign w:val="center"/>
            <w:hideMark/>
          </w:tcPr>
          <w:p w14:paraId="3343CE8D" w14:textId="29F479C2" w:rsidR="00AD3B3A" w:rsidRPr="00A25703" w:rsidRDefault="00AD3B3A" w:rsidP="00AD3B3A">
            <w:pPr>
              <w:jc w:val="right"/>
              <w:rPr>
                <w:rFonts w:ascii="Arial" w:hAnsi="Arial" w:cs="Arial"/>
                <w:color w:val="000000"/>
                <w:sz w:val="22"/>
                <w:szCs w:val="22"/>
              </w:rPr>
            </w:pPr>
            <w:r>
              <w:rPr>
                <w:rFonts w:ascii="Arial" w:hAnsi="Arial" w:cs="Arial"/>
                <w:color w:val="000000"/>
                <w:sz w:val="22"/>
                <w:szCs w:val="22"/>
              </w:rPr>
              <w:t>0</w:t>
            </w:r>
          </w:p>
        </w:tc>
        <w:tc>
          <w:tcPr>
            <w:tcW w:w="1553" w:type="dxa"/>
            <w:tcBorders>
              <w:top w:val="nil"/>
              <w:left w:val="nil"/>
              <w:bottom w:val="nil"/>
            </w:tcBorders>
            <w:shd w:val="clear" w:color="auto" w:fill="D9D9D9"/>
            <w:noWrap/>
            <w:vAlign w:val="center"/>
            <w:hideMark/>
          </w:tcPr>
          <w:p w14:paraId="4B57CB5E" w14:textId="26AAD0E7"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702</w:t>
            </w:r>
          </w:p>
        </w:tc>
        <w:tc>
          <w:tcPr>
            <w:tcW w:w="1701" w:type="dxa"/>
            <w:tcBorders>
              <w:top w:val="nil"/>
              <w:left w:val="nil"/>
              <w:bottom w:val="nil"/>
              <w:right w:val="nil"/>
            </w:tcBorders>
            <w:shd w:val="clear" w:color="auto" w:fill="D9D9D9"/>
            <w:noWrap/>
            <w:vAlign w:val="center"/>
            <w:hideMark/>
          </w:tcPr>
          <w:p w14:paraId="0221AE51" w14:textId="64ED4389"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8" w:type="dxa"/>
            <w:tcBorders>
              <w:top w:val="nil"/>
              <w:left w:val="nil"/>
              <w:bottom w:val="nil"/>
              <w:right w:val="nil"/>
            </w:tcBorders>
            <w:shd w:val="clear" w:color="auto" w:fill="D9D9D9"/>
            <w:noWrap/>
            <w:vAlign w:val="center"/>
            <w:hideMark/>
          </w:tcPr>
          <w:p w14:paraId="612912BF" w14:textId="509BE825"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1,825</w:t>
            </w:r>
          </w:p>
        </w:tc>
        <w:tc>
          <w:tcPr>
            <w:tcW w:w="1417" w:type="dxa"/>
            <w:tcBorders>
              <w:top w:val="nil"/>
              <w:left w:val="nil"/>
              <w:bottom w:val="nil"/>
              <w:right w:val="single" w:sz="4" w:space="0" w:color="auto"/>
            </w:tcBorders>
            <w:shd w:val="clear" w:color="auto" w:fill="D9D9D9"/>
            <w:noWrap/>
            <w:vAlign w:val="center"/>
            <w:hideMark/>
          </w:tcPr>
          <w:p w14:paraId="7FC10180" w14:textId="2966E9F7"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2,527</w:t>
            </w:r>
          </w:p>
        </w:tc>
      </w:tr>
      <w:tr w:rsidR="00AD3B3A" w:rsidRPr="00A25703" w14:paraId="4D66F0F0" w14:textId="77777777" w:rsidTr="00842728">
        <w:trPr>
          <w:trHeight w:val="259"/>
        </w:trPr>
        <w:tc>
          <w:tcPr>
            <w:tcW w:w="4205" w:type="dxa"/>
            <w:tcBorders>
              <w:top w:val="nil"/>
              <w:left w:val="single" w:sz="8" w:space="0" w:color="auto"/>
              <w:bottom w:val="nil"/>
              <w:right w:val="nil"/>
            </w:tcBorders>
            <w:vAlign w:val="center"/>
            <w:hideMark/>
          </w:tcPr>
          <w:p w14:paraId="4926DC60"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Transition Reserve</w:t>
            </w:r>
          </w:p>
        </w:tc>
        <w:tc>
          <w:tcPr>
            <w:tcW w:w="1660" w:type="dxa"/>
            <w:tcBorders>
              <w:top w:val="nil"/>
              <w:left w:val="nil"/>
              <w:bottom w:val="nil"/>
              <w:right w:val="nil"/>
            </w:tcBorders>
            <w:noWrap/>
            <w:vAlign w:val="center"/>
            <w:hideMark/>
          </w:tcPr>
          <w:p w14:paraId="72E1233E" w14:textId="2397B0D1" w:rsidR="00AD3B3A" w:rsidRPr="00A25703" w:rsidRDefault="00AD3B3A" w:rsidP="00AD3B3A">
            <w:pPr>
              <w:jc w:val="right"/>
              <w:rPr>
                <w:rFonts w:ascii="Arial" w:hAnsi="Arial" w:cs="Arial"/>
                <w:b/>
                <w:bCs/>
                <w:color w:val="000000"/>
                <w:sz w:val="22"/>
                <w:szCs w:val="22"/>
              </w:rPr>
            </w:pPr>
            <w:r>
              <w:rPr>
                <w:rFonts w:ascii="Arial" w:hAnsi="Arial" w:cs="Arial"/>
                <w:b/>
                <w:bCs/>
                <w:color w:val="000000"/>
                <w:sz w:val="22"/>
                <w:szCs w:val="22"/>
              </w:rPr>
              <w:t>1</w:t>
            </w:r>
            <w:r w:rsidRPr="00A25703">
              <w:rPr>
                <w:rFonts w:ascii="Arial" w:hAnsi="Arial" w:cs="Arial"/>
                <w:b/>
                <w:bCs/>
                <w:color w:val="000000"/>
                <w:sz w:val="22"/>
                <w:szCs w:val="22"/>
              </w:rPr>
              <w:t>,92</w:t>
            </w:r>
            <w:r>
              <w:rPr>
                <w:rFonts w:ascii="Arial" w:hAnsi="Arial" w:cs="Arial"/>
                <w:b/>
                <w:bCs/>
                <w:color w:val="000000"/>
                <w:sz w:val="22"/>
                <w:szCs w:val="22"/>
              </w:rPr>
              <w:t>7</w:t>
            </w:r>
          </w:p>
        </w:tc>
        <w:tc>
          <w:tcPr>
            <w:tcW w:w="1660" w:type="dxa"/>
            <w:tcBorders>
              <w:top w:val="nil"/>
              <w:left w:val="nil"/>
              <w:bottom w:val="nil"/>
              <w:right w:val="nil"/>
            </w:tcBorders>
            <w:noWrap/>
            <w:vAlign w:val="center"/>
            <w:hideMark/>
          </w:tcPr>
          <w:p w14:paraId="4211EF98" w14:textId="56551CBB"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w:t>
            </w:r>
            <w:r>
              <w:rPr>
                <w:rFonts w:ascii="Arial" w:hAnsi="Arial" w:cs="Arial"/>
                <w:color w:val="000000"/>
                <w:sz w:val="22"/>
                <w:szCs w:val="22"/>
              </w:rPr>
              <w:t>2,594</w:t>
            </w:r>
            <w:r w:rsidRPr="00A25703">
              <w:rPr>
                <w:rFonts w:ascii="Arial" w:hAnsi="Arial" w:cs="Arial"/>
                <w:color w:val="000000"/>
                <w:sz w:val="22"/>
                <w:szCs w:val="22"/>
              </w:rPr>
              <w:t>)</w:t>
            </w:r>
          </w:p>
        </w:tc>
        <w:tc>
          <w:tcPr>
            <w:tcW w:w="1685" w:type="dxa"/>
            <w:tcBorders>
              <w:top w:val="nil"/>
              <w:left w:val="nil"/>
              <w:bottom w:val="nil"/>
              <w:right w:val="nil"/>
            </w:tcBorders>
            <w:noWrap/>
            <w:vAlign w:val="center"/>
            <w:hideMark/>
          </w:tcPr>
          <w:p w14:paraId="45216D9D" w14:textId="374CA8E8" w:rsidR="00AD3B3A" w:rsidRPr="00A25703" w:rsidRDefault="00AD3B3A" w:rsidP="00AD3B3A">
            <w:pPr>
              <w:jc w:val="right"/>
              <w:rPr>
                <w:rFonts w:ascii="Arial" w:hAnsi="Arial" w:cs="Arial"/>
                <w:color w:val="000000"/>
                <w:sz w:val="22"/>
                <w:szCs w:val="22"/>
              </w:rPr>
            </w:pPr>
            <w:r>
              <w:rPr>
                <w:rFonts w:ascii="Arial" w:hAnsi="Arial" w:cs="Arial"/>
                <w:color w:val="000000"/>
                <w:sz w:val="22"/>
                <w:szCs w:val="22"/>
              </w:rPr>
              <w:t>3,311</w:t>
            </w:r>
          </w:p>
        </w:tc>
        <w:tc>
          <w:tcPr>
            <w:tcW w:w="1553" w:type="dxa"/>
            <w:tcBorders>
              <w:top w:val="nil"/>
              <w:left w:val="nil"/>
              <w:bottom w:val="nil"/>
            </w:tcBorders>
            <w:shd w:val="clear" w:color="auto" w:fill="D9D9D9"/>
            <w:noWrap/>
            <w:vAlign w:val="center"/>
            <w:hideMark/>
          </w:tcPr>
          <w:p w14:paraId="2E77003F" w14:textId="2BD410C6"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2,645</w:t>
            </w:r>
          </w:p>
        </w:tc>
        <w:tc>
          <w:tcPr>
            <w:tcW w:w="1701" w:type="dxa"/>
            <w:tcBorders>
              <w:top w:val="nil"/>
              <w:left w:val="nil"/>
              <w:bottom w:val="nil"/>
              <w:right w:val="nil"/>
            </w:tcBorders>
            <w:shd w:val="clear" w:color="auto" w:fill="D9D9D9"/>
            <w:noWrap/>
            <w:vAlign w:val="center"/>
            <w:hideMark/>
          </w:tcPr>
          <w:p w14:paraId="26512D0E" w14:textId="35AC2F0A"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8" w:type="dxa"/>
            <w:tcBorders>
              <w:top w:val="nil"/>
              <w:left w:val="nil"/>
              <w:bottom w:val="nil"/>
              <w:right w:val="nil"/>
            </w:tcBorders>
            <w:shd w:val="clear" w:color="auto" w:fill="D9D9D9"/>
            <w:noWrap/>
            <w:vAlign w:val="center"/>
            <w:hideMark/>
          </w:tcPr>
          <w:p w14:paraId="133A4675" w14:textId="63FC34CD"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7" w:type="dxa"/>
            <w:tcBorders>
              <w:top w:val="nil"/>
              <w:left w:val="nil"/>
              <w:bottom w:val="nil"/>
              <w:right w:val="single" w:sz="4" w:space="0" w:color="auto"/>
            </w:tcBorders>
            <w:shd w:val="clear" w:color="auto" w:fill="D9D9D9"/>
            <w:noWrap/>
            <w:vAlign w:val="center"/>
            <w:hideMark/>
          </w:tcPr>
          <w:p w14:paraId="3DADBE36" w14:textId="72A559DA"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2,645</w:t>
            </w:r>
          </w:p>
        </w:tc>
      </w:tr>
      <w:tr w:rsidR="00AD3B3A" w:rsidRPr="00A25703" w14:paraId="53DE5666" w14:textId="77777777" w:rsidTr="00842728">
        <w:trPr>
          <w:trHeight w:val="259"/>
        </w:trPr>
        <w:tc>
          <w:tcPr>
            <w:tcW w:w="4205" w:type="dxa"/>
            <w:tcBorders>
              <w:top w:val="nil"/>
              <w:left w:val="single" w:sz="8" w:space="0" w:color="auto"/>
              <w:bottom w:val="nil"/>
              <w:right w:val="nil"/>
            </w:tcBorders>
            <w:vAlign w:val="center"/>
            <w:hideMark/>
          </w:tcPr>
          <w:p w14:paraId="0136006E"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Operational Policing Reserve</w:t>
            </w:r>
          </w:p>
        </w:tc>
        <w:tc>
          <w:tcPr>
            <w:tcW w:w="1660" w:type="dxa"/>
            <w:tcBorders>
              <w:top w:val="nil"/>
              <w:left w:val="nil"/>
              <w:bottom w:val="nil"/>
              <w:right w:val="nil"/>
            </w:tcBorders>
            <w:noWrap/>
            <w:vAlign w:val="center"/>
            <w:hideMark/>
          </w:tcPr>
          <w:p w14:paraId="0FBB3C41" w14:textId="77777777"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1,691</w:t>
            </w:r>
          </w:p>
        </w:tc>
        <w:tc>
          <w:tcPr>
            <w:tcW w:w="1660" w:type="dxa"/>
            <w:tcBorders>
              <w:top w:val="nil"/>
              <w:left w:val="nil"/>
              <w:bottom w:val="nil"/>
              <w:right w:val="nil"/>
            </w:tcBorders>
            <w:noWrap/>
            <w:vAlign w:val="center"/>
            <w:hideMark/>
          </w:tcPr>
          <w:p w14:paraId="1D033740"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685" w:type="dxa"/>
            <w:tcBorders>
              <w:top w:val="nil"/>
              <w:left w:val="nil"/>
              <w:bottom w:val="nil"/>
              <w:right w:val="nil"/>
            </w:tcBorders>
            <w:noWrap/>
            <w:vAlign w:val="center"/>
            <w:hideMark/>
          </w:tcPr>
          <w:p w14:paraId="1F6B429E"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553" w:type="dxa"/>
            <w:tcBorders>
              <w:top w:val="nil"/>
              <w:left w:val="nil"/>
              <w:bottom w:val="nil"/>
            </w:tcBorders>
            <w:shd w:val="clear" w:color="auto" w:fill="D9D9D9"/>
            <w:noWrap/>
            <w:vAlign w:val="center"/>
            <w:hideMark/>
          </w:tcPr>
          <w:p w14:paraId="70E7779B" w14:textId="323294AD"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1,691</w:t>
            </w:r>
          </w:p>
        </w:tc>
        <w:tc>
          <w:tcPr>
            <w:tcW w:w="1701" w:type="dxa"/>
            <w:tcBorders>
              <w:top w:val="nil"/>
              <w:left w:val="nil"/>
              <w:bottom w:val="nil"/>
              <w:right w:val="nil"/>
            </w:tcBorders>
            <w:shd w:val="clear" w:color="auto" w:fill="D9D9D9"/>
            <w:noWrap/>
            <w:vAlign w:val="center"/>
            <w:hideMark/>
          </w:tcPr>
          <w:p w14:paraId="7AE47372" w14:textId="3B9DC8D8"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8" w:type="dxa"/>
            <w:tcBorders>
              <w:top w:val="nil"/>
              <w:left w:val="nil"/>
              <w:bottom w:val="nil"/>
              <w:right w:val="nil"/>
            </w:tcBorders>
            <w:shd w:val="clear" w:color="auto" w:fill="D9D9D9"/>
            <w:noWrap/>
            <w:vAlign w:val="center"/>
            <w:hideMark/>
          </w:tcPr>
          <w:p w14:paraId="292DE7DB" w14:textId="30FECF4D"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7" w:type="dxa"/>
            <w:tcBorders>
              <w:top w:val="nil"/>
              <w:left w:val="nil"/>
              <w:bottom w:val="nil"/>
              <w:right w:val="single" w:sz="4" w:space="0" w:color="auto"/>
            </w:tcBorders>
            <w:shd w:val="clear" w:color="auto" w:fill="D9D9D9"/>
            <w:noWrap/>
            <w:vAlign w:val="center"/>
            <w:hideMark/>
          </w:tcPr>
          <w:p w14:paraId="612497BF" w14:textId="15B8081D"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1,691</w:t>
            </w:r>
          </w:p>
        </w:tc>
      </w:tr>
      <w:tr w:rsidR="00AD3B3A" w:rsidRPr="00A25703" w14:paraId="4423C26F" w14:textId="77777777" w:rsidTr="00842728">
        <w:trPr>
          <w:trHeight w:val="259"/>
        </w:trPr>
        <w:tc>
          <w:tcPr>
            <w:tcW w:w="4205" w:type="dxa"/>
            <w:tcBorders>
              <w:top w:val="nil"/>
              <w:left w:val="single" w:sz="8" w:space="0" w:color="auto"/>
              <w:bottom w:val="nil"/>
              <w:right w:val="nil"/>
            </w:tcBorders>
            <w:vAlign w:val="center"/>
            <w:hideMark/>
          </w:tcPr>
          <w:p w14:paraId="13A562FF"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Employers/Public Liability Reserve</w:t>
            </w:r>
          </w:p>
        </w:tc>
        <w:tc>
          <w:tcPr>
            <w:tcW w:w="1660" w:type="dxa"/>
            <w:tcBorders>
              <w:top w:val="nil"/>
              <w:left w:val="nil"/>
              <w:bottom w:val="nil"/>
              <w:right w:val="nil"/>
            </w:tcBorders>
            <w:noWrap/>
            <w:vAlign w:val="center"/>
            <w:hideMark/>
          </w:tcPr>
          <w:p w14:paraId="4AD37F3E" w14:textId="77777777"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685</w:t>
            </w:r>
          </w:p>
        </w:tc>
        <w:tc>
          <w:tcPr>
            <w:tcW w:w="1660" w:type="dxa"/>
            <w:tcBorders>
              <w:top w:val="nil"/>
              <w:left w:val="nil"/>
              <w:bottom w:val="nil"/>
              <w:right w:val="nil"/>
            </w:tcBorders>
            <w:noWrap/>
            <w:vAlign w:val="center"/>
            <w:hideMark/>
          </w:tcPr>
          <w:p w14:paraId="2EC5469D"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685" w:type="dxa"/>
            <w:tcBorders>
              <w:top w:val="nil"/>
              <w:left w:val="nil"/>
              <w:bottom w:val="nil"/>
              <w:right w:val="nil"/>
            </w:tcBorders>
            <w:noWrap/>
            <w:vAlign w:val="center"/>
            <w:hideMark/>
          </w:tcPr>
          <w:p w14:paraId="6132CDC0"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553" w:type="dxa"/>
            <w:tcBorders>
              <w:top w:val="nil"/>
              <w:left w:val="nil"/>
              <w:bottom w:val="nil"/>
            </w:tcBorders>
            <w:shd w:val="clear" w:color="auto" w:fill="D9D9D9"/>
            <w:noWrap/>
            <w:vAlign w:val="center"/>
            <w:hideMark/>
          </w:tcPr>
          <w:p w14:paraId="750C1AFC" w14:textId="625FAFDD"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685</w:t>
            </w:r>
          </w:p>
        </w:tc>
        <w:tc>
          <w:tcPr>
            <w:tcW w:w="1701" w:type="dxa"/>
            <w:tcBorders>
              <w:top w:val="nil"/>
              <w:left w:val="nil"/>
              <w:bottom w:val="nil"/>
              <w:right w:val="nil"/>
            </w:tcBorders>
            <w:shd w:val="clear" w:color="auto" w:fill="D9D9D9"/>
            <w:noWrap/>
            <w:vAlign w:val="center"/>
            <w:hideMark/>
          </w:tcPr>
          <w:p w14:paraId="6C742663" w14:textId="5CF0F74D"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(685)</w:t>
            </w:r>
          </w:p>
        </w:tc>
        <w:tc>
          <w:tcPr>
            <w:tcW w:w="1418" w:type="dxa"/>
            <w:tcBorders>
              <w:top w:val="nil"/>
              <w:left w:val="nil"/>
              <w:bottom w:val="nil"/>
              <w:right w:val="nil"/>
            </w:tcBorders>
            <w:shd w:val="clear" w:color="auto" w:fill="D9D9D9"/>
            <w:noWrap/>
            <w:vAlign w:val="center"/>
            <w:hideMark/>
          </w:tcPr>
          <w:p w14:paraId="3EF19315" w14:textId="3D12A308"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7" w:type="dxa"/>
            <w:tcBorders>
              <w:top w:val="nil"/>
              <w:left w:val="nil"/>
              <w:bottom w:val="nil"/>
              <w:right w:val="single" w:sz="4" w:space="0" w:color="auto"/>
            </w:tcBorders>
            <w:shd w:val="clear" w:color="auto" w:fill="D9D9D9"/>
            <w:noWrap/>
            <w:vAlign w:val="center"/>
            <w:hideMark/>
          </w:tcPr>
          <w:p w14:paraId="54A474DA" w14:textId="59665826"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0</w:t>
            </w:r>
          </w:p>
        </w:tc>
      </w:tr>
      <w:tr w:rsidR="00AD3B3A" w:rsidRPr="00A25703" w14:paraId="6F7E3E23" w14:textId="77777777" w:rsidTr="00842728">
        <w:trPr>
          <w:trHeight w:val="259"/>
        </w:trPr>
        <w:tc>
          <w:tcPr>
            <w:tcW w:w="4205" w:type="dxa"/>
            <w:tcBorders>
              <w:top w:val="nil"/>
              <w:left w:val="single" w:sz="8" w:space="0" w:color="auto"/>
              <w:bottom w:val="nil"/>
              <w:right w:val="nil"/>
            </w:tcBorders>
            <w:vAlign w:val="center"/>
            <w:hideMark/>
          </w:tcPr>
          <w:p w14:paraId="2AE7041A"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Road Safety Reserves</w:t>
            </w:r>
          </w:p>
        </w:tc>
        <w:tc>
          <w:tcPr>
            <w:tcW w:w="1660" w:type="dxa"/>
            <w:tcBorders>
              <w:top w:val="nil"/>
              <w:left w:val="nil"/>
              <w:bottom w:val="nil"/>
              <w:right w:val="nil"/>
            </w:tcBorders>
            <w:noWrap/>
            <w:vAlign w:val="center"/>
            <w:hideMark/>
          </w:tcPr>
          <w:p w14:paraId="7B9522DF" w14:textId="3A6DCED3"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2,</w:t>
            </w:r>
            <w:r>
              <w:rPr>
                <w:rFonts w:ascii="Arial" w:hAnsi="Arial" w:cs="Arial"/>
                <w:b/>
                <w:bCs/>
                <w:color w:val="000000"/>
                <w:sz w:val="22"/>
                <w:szCs w:val="22"/>
              </w:rPr>
              <w:t>470</w:t>
            </w:r>
          </w:p>
        </w:tc>
        <w:tc>
          <w:tcPr>
            <w:tcW w:w="1660" w:type="dxa"/>
            <w:tcBorders>
              <w:top w:val="nil"/>
              <w:left w:val="nil"/>
              <w:bottom w:val="nil"/>
              <w:right w:val="nil"/>
            </w:tcBorders>
            <w:noWrap/>
            <w:vAlign w:val="center"/>
            <w:hideMark/>
          </w:tcPr>
          <w:p w14:paraId="2367C584" w14:textId="6EF669B1"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w:t>
            </w:r>
            <w:r>
              <w:rPr>
                <w:rFonts w:ascii="Arial" w:hAnsi="Arial" w:cs="Arial"/>
                <w:color w:val="000000"/>
                <w:sz w:val="22"/>
                <w:szCs w:val="22"/>
              </w:rPr>
              <w:t>1,1</w:t>
            </w:r>
            <w:r w:rsidRPr="00A25703">
              <w:rPr>
                <w:rFonts w:ascii="Arial" w:hAnsi="Arial" w:cs="Arial"/>
                <w:color w:val="000000"/>
                <w:sz w:val="22"/>
                <w:szCs w:val="22"/>
              </w:rPr>
              <w:t>50)</w:t>
            </w:r>
          </w:p>
        </w:tc>
        <w:tc>
          <w:tcPr>
            <w:tcW w:w="1685" w:type="dxa"/>
            <w:tcBorders>
              <w:top w:val="nil"/>
              <w:left w:val="nil"/>
              <w:bottom w:val="nil"/>
              <w:right w:val="nil"/>
            </w:tcBorders>
            <w:noWrap/>
            <w:vAlign w:val="center"/>
            <w:hideMark/>
          </w:tcPr>
          <w:p w14:paraId="5F112035" w14:textId="65FE9C78"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40</w:t>
            </w:r>
            <w:r>
              <w:rPr>
                <w:rFonts w:ascii="Arial" w:hAnsi="Arial" w:cs="Arial"/>
                <w:color w:val="000000"/>
                <w:sz w:val="22"/>
                <w:szCs w:val="22"/>
              </w:rPr>
              <w:t>0</w:t>
            </w:r>
          </w:p>
        </w:tc>
        <w:tc>
          <w:tcPr>
            <w:tcW w:w="1553" w:type="dxa"/>
            <w:tcBorders>
              <w:top w:val="nil"/>
              <w:left w:val="nil"/>
              <w:bottom w:val="nil"/>
            </w:tcBorders>
            <w:shd w:val="clear" w:color="auto" w:fill="D9D9D9"/>
            <w:noWrap/>
            <w:vAlign w:val="center"/>
            <w:hideMark/>
          </w:tcPr>
          <w:p w14:paraId="2F0D877E" w14:textId="44E742BF"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1,721</w:t>
            </w:r>
          </w:p>
        </w:tc>
        <w:tc>
          <w:tcPr>
            <w:tcW w:w="1701" w:type="dxa"/>
            <w:tcBorders>
              <w:top w:val="nil"/>
              <w:left w:val="nil"/>
              <w:bottom w:val="nil"/>
              <w:right w:val="nil"/>
            </w:tcBorders>
            <w:shd w:val="clear" w:color="auto" w:fill="D9D9D9"/>
            <w:noWrap/>
            <w:vAlign w:val="center"/>
            <w:hideMark/>
          </w:tcPr>
          <w:p w14:paraId="3513B861" w14:textId="1E4C4F46"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(548)</w:t>
            </w:r>
          </w:p>
        </w:tc>
        <w:tc>
          <w:tcPr>
            <w:tcW w:w="1418" w:type="dxa"/>
            <w:tcBorders>
              <w:top w:val="nil"/>
              <w:left w:val="nil"/>
              <w:bottom w:val="nil"/>
              <w:right w:val="nil"/>
            </w:tcBorders>
            <w:shd w:val="clear" w:color="auto" w:fill="D9D9D9"/>
            <w:noWrap/>
            <w:vAlign w:val="center"/>
            <w:hideMark/>
          </w:tcPr>
          <w:p w14:paraId="50951F47" w14:textId="76F01651"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451</w:t>
            </w:r>
          </w:p>
        </w:tc>
        <w:tc>
          <w:tcPr>
            <w:tcW w:w="1417" w:type="dxa"/>
            <w:tcBorders>
              <w:top w:val="nil"/>
              <w:left w:val="nil"/>
              <w:bottom w:val="nil"/>
              <w:right w:val="single" w:sz="4" w:space="0" w:color="auto"/>
            </w:tcBorders>
            <w:shd w:val="clear" w:color="auto" w:fill="D9D9D9"/>
            <w:noWrap/>
            <w:vAlign w:val="center"/>
            <w:hideMark/>
          </w:tcPr>
          <w:p w14:paraId="03DDCFEC" w14:textId="3C51A290"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1,624</w:t>
            </w:r>
          </w:p>
        </w:tc>
      </w:tr>
      <w:tr w:rsidR="00AD3B3A" w:rsidRPr="00A25703" w14:paraId="1B7AB7C2" w14:textId="77777777" w:rsidTr="00842728">
        <w:trPr>
          <w:trHeight w:val="259"/>
        </w:trPr>
        <w:tc>
          <w:tcPr>
            <w:tcW w:w="4205" w:type="dxa"/>
            <w:tcBorders>
              <w:top w:val="nil"/>
              <w:left w:val="single" w:sz="8" w:space="0" w:color="auto"/>
              <w:bottom w:val="nil"/>
              <w:right w:val="nil"/>
            </w:tcBorders>
            <w:vAlign w:val="center"/>
            <w:hideMark/>
          </w:tcPr>
          <w:p w14:paraId="5922C7C3"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Forensic Academy Reserves</w:t>
            </w:r>
          </w:p>
        </w:tc>
        <w:tc>
          <w:tcPr>
            <w:tcW w:w="1660" w:type="dxa"/>
            <w:tcBorders>
              <w:top w:val="nil"/>
              <w:left w:val="nil"/>
              <w:bottom w:val="nil"/>
              <w:right w:val="nil"/>
            </w:tcBorders>
            <w:noWrap/>
            <w:vAlign w:val="center"/>
            <w:hideMark/>
          </w:tcPr>
          <w:p w14:paraId="26567835" w14:textId="6BD490C0" w:rsidR="00AD3B3A" w:rsidRPr="00A25703" w:rsidRDefault="00AD3B3A" w:rsidP="00AD3B3A">
            <w:pPr>
              <w:jc w:val="right"/>
              <w:rPr>
                <w:rFonts w:ascii="Arial" w:hAnsi="Arial" w:cs="Arial"/>
                <w:b/>
                <w:bCs/>
                <w:color w:val="000000"/>
                <w:sz w:val="22"/>
                <w:szCs w:val="22"/>
              </w:rPr>
            </w:pPr>
            <w:r>
              <w:rPr>
                <w:rFonts w:ascii="Arial" w:hAnsi="Arial" w:cs="Arial"/>
                <w:b/>
                <w:bCs/>
                <w:color w:val="000000"/>
                <w:sz w:val="22"/>
                <w:szCs w:val="22"/>
              </w:rPr>
              <w:t>202</w:t>
            </w:r>
          </w:p>
        </w:tc>
        <w:tc>
          <w:tcPr>
            <w:tcW w:w="1660" w:type="dxa"/>
            <w:tcBorders>
              <w:top w:val="nil"/>
              <w:left w:val="nil"/>
              <w:bottom w:val="nil"/>
              <w:right w:val="nil"/>
            </w:tcBorders>
            <w:noWrap/>
            <w:vAlign w:val="center"/>
            <w:hideMark/>
          </w:tcPr>
          <w:p w14:paraId="5E4E401A"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685" w:type="dxa"/>
            <w:tcBorders>
              <w:top w:val="nil"/>
              <w:left w:val="nil"/>
              <w:bottom w:val="nil"/>
              <w:right w:val="nil"/>
            </w:tcBorders>
            <w:noWrap/>
            <w:vAlign w:val="center"/>
            <w:hideMark/>
          </w:tcPr>
          <w:p w14:paraId="7AFDFDC8" w14:textId="56F0B28C" w:rsidR="00AD3B3A" w:rsidRPr="00A25703" w:rsidRDefault="00AD3B3A" w:rsidP="00AD3B3A">
            <w:pPr>
              <w:jc w:val="right"/>
              <w:rPr>
                <w:rFonts w:ascii="Arial" w:hAnsi="Arial" w:cs="Arial"/>
                <w:color w:val="000000"/>
                <w:sz w:val="22"/>
                <w:szCs w:val="22"/>
              </w:rPr>
            </w:pPr>
            <w:r>
              <w:rPr>
                <w:rFonts w:ascii="Arial" w:hAnsi="Arial" w:cs="Arial"/>
                <w:color w:val="000000"/>
                <w:sz w:val="22"/>
                <w:szCs w:val="22"/>
              </w:rPr>
              <w:t>22</w:t>
            </w:r>
          </w:p>
        </w:tc>
        <w:tc>
          <w:tcPr>
            <w:tcW w:w="1553" w:type="dxa"/>
            <w:tcBorders>
              <w:top w:val="nil"/>
              <w:left w:val="nil"/>
              <w:bottom w:val="nil"/>
            </w:tcBorders>
            <w:shd w:val="clear" w:color="auto" w:fill="D9D9D9"/>
            <w:noWrap/>
            <w:vAlign w:val="center"/>
            <w:hideMark/>
          </w:tcPr>
          <w:p w14:paraId="7CFDE7C6" w14:textId="357A5D75"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224</w:t>
            </w:r>
          </w:p>
        </w:tc>
        <w:tc>
          <w:tcPr>
            <w:tcW w:w="1701" w:type="dxa"/>
            <w:tcBorders>
              <w:top w:val="nil"/>
              <w:left w:val="nil"/>
              <w:bottom w:val="nil"/>
              <w:right w:val="nil"/>
            </w:tcBorders>
            <w:shd w:val="clear" w:color="auto" w:fill="D9D9D9"/>
            <w:noWrap/>
            <w:vAlign w:val="center"/>
            <w:hideMark/>
          </w:tcPr>
          <w:p w14:paraId="33B19C87" w14:textId="0F8FA961"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8" w:type="dxa"/>
            <w:tcBorders>
              <w:top w:val="nil"/>
              <w:left w:val="nil"/>
              <w:bottom w:val="nil"/>
              <w:right w:val="nil"/>
            </w:tcBorders>
            <w:shd w:val="clear" w:color="auto" w:fill="D9D9D9"/>
            <w:noWrap/>
            <w:vAlign w:val="center"/>
            <w:hideMark/>
          </w:tcPr>
          <w:p w14:paraId="3FCEBBCA" w14:textId="609F1775"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7" w:type="dxa"/>
            <w:tcBorders>
              <w:top w:val="nil"/>
              <w:left w:val="nil"/>
              <w:bottom w:val="nil"/>
              <w:right w:val="single" w:sz="4" w:space="0" w:color="auto"/>
            </w:tcBorders>
            <w:shd w:val="clear" w:color="auto" w:fill="D9D9D9"/>
            <w:noWrap/>
            <w:vAlign w:val="center"/>
            <w:hideMark/>
          </w:tcPr>
          <w:p w14:paraId="7906F890" w14:textId="7387D423"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224</w:t>
            </w:r>
          </w:p>
        </w:tc>
      </w:tr>
      <w:tr w:rsidR="00AD3B3A" w:rsidRPr="00A25703" w14:paraId="672DA318" w14:textId="77777777" w:rsidTr="00842728">
        <w:trPr>
          <w:trHeight w:val="259"/>
        </w:trPr>
        <w:tc>
          <w:tcPr>
            <w:tcW w:w="4205" w:type="dxa"/>
            <w:tcBorders>
              <w:top w:val="nil"/>
              <w:left w:val="single" w:sz="8" w:space="0" w:color="auto"/>
              <w:bottom w:val="nil"/>
              <w:right w:val="nil"/>
            </w:tcBorders>
            <w:vAlign w:val="center"/>
            <w:hideMark/>
          </w:tcPr>
          <w:p w14:paraId="7F58006F"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NWROCU Reserve</w:t>
            </w:r>
          </w:p>
        </w:tc>
        <w:tc>
          <w:tcPr>
            <w:tcW w:w="1660" w:type="dxa"/>
            <w:tcBorders>
              <w:top w:val="nil"/>
              <w:left w:val="nil"/>
              <w:bottom w:val="nil"/>
              <w:right w:val="nil"/>
            </w:tcBorders>
            <w:noWrap/>
            <w:vAlign w:val="center"/>
            <w:hideMark/>
          </w:tcPr>
          <w:p w14:paraId="6E15939D" w14:textId="5F038A53"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4</w:t>
            </w:r>
            <w:r>
              <w:rPr>
                <w:rFonts w:ascii="Arial" w:hAnsi="Arial" w:cs="Arial"/>
                <w:b/>
                <w:bCs/>
                <w:color w:val="000000"/>
                <w:sz w:val="22"/>
                <w:szCs w:val="22"/>
              </w:rPr>
              <w:t>0</w:t>
            </w:r>
          </w:p>
        </w:tc>
        <w:tc>
          <w:tcPr>
            <w:tcW w:w="1660" w:type="dxa"/>
            <w:tcBorders>
              <w:top w:val="nil"/>
              <w:left w:val="nil"/>
              <w:bottom w:val="nil"/>
              <w:right w:val="nil"/>
            </w:tcBorders>
            <w:noWrap/>
            <w:vAlign w:val="center"/>
            <w:hideMark/>
          </w:tcPr>
          <w:p w14:paraId="4CCCE073" w14:textId="565CE694"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w:t>
            </w:r>
            <w:r>
              <w:rPr>
                <w:rFonts w:ascii="Arial" w:hAnsi="Arial" w:cs="Arial"/>
                <w:color w:val="000000"/>
                <w:sz w:val="22"/>
                <w:szCs w:val="22"/>
              </w:rPr>
              <w:t>1,185</w:t>
            </w:r>
            <w:r w:rsidRPr="00A25703">
              <w:rPr>
                <w:rFonts w:ascii="Arial" w:hAnsi="Arial" w:cs="Arial"/>
                <w:color w:val="000000"/>
                <w:sz w:val="22"/>
                <w:szCs w:val="22"/>
              </w:rPr>
              <w:t>)</w:t>
            </w:r>
          </w:p>
        </w:tc>
        <w:tc>
          <w:tcPr>
            <w:tcW w:w="1685" w:type="dxa"/>
            <w:tcBorders>
              <w:top w:val="nil"/>
              <w:left w:val="nil"/>
              <w:bottom w:val="nil"/>
              <w:right w:val="nil"/>
            </w:tcBorders>
            <w:noWrap/>
            <w:vAlign w:val="center"/>
            <w:hideMark/>
          </w:tcPr>
          <w:p w14:paraId="6ACB83B3" w14:textId="4B3003F2" w:rsidR="00AD3B3A" w:rsidRPr="00A25703" w:rsidRDefault="00AD3B3A" w:rsidP="00AD3B3A">
            <w:pPr>
              <w:jc w:val="right"/>
              <w:rPr>
                <w:rFonts w:ascii="Arial" w:hAnsi="Arial" w:cs="Arial"/>
                <w:color w:val="000000"/>
                <w:sz w:val="22"/>
                <w:szCs w:val="22"/>
              </w:rPr>
            </w:pPr>
            <w:r>
              <w:rPr>
                <w:rFonts w:ascii="Arial" w:hAnsi="Arial" w:cs="Arial"/>
                <w:color w:val="000000"/>
                <w:sz w:val="22"/>
                <w:szCs w:val="22"/>
              </w:rPr>
              <w:t>1,523</w:t>
            </w:r>
          </w:p>
        </w:tc>
        <w:tc>
          <w:tcPr>
            <w:tcW w:w="1553" w:type="dxa"/>
            <w:tcBorders>
              <w:top w:val="nil"/>
              <w:left w:val="nil"/>
              <w:bottom w:val="nil"/>
            </w:tcBorders>
            <w:shd w:val="clear" w:color="auto" w:fill="D9D9D9"/>
            <w:noWrap/>
            <w:vAlign w:val="center"/>
            <w:hideMark/>
          </w:tcPr>
          <w:p w14:paraId="1C8867C2" w14:textId="62A85E03"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378</w:t>
            </w:r>
          </w:p>
        </w:tc>
        <w:tc>
          <w:tcPr>
            <w:tcW w:w="1701" w:type="dxa"/>
            <w:tcBorders>
              <w:top w:val="nil"/>
              <w:left w:val="nil"/>
              <w:bottom w:val="nil"/>
              <w:right w:val="nil"/>
            </w:tcBorders>
            <w:shd w:val="clear" w:color="auto" w:fill="D9D9D9"/>
            <w:noWrap/>
            <w:vAlign w:val="center"/>
            <w:hideMark/>
          </w:tcPr>
          <w:p w14:paraId="38014F86" w14:textId="4B2331AD"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(388)</w:t>
            </w:r>
          </w:p>
        </w:tc>
        <w:tc>
          <w:tcPr>
            <w:tcW w:w="1418" w:type="dxa"/>
            <w:tcBorders>
              <w:top w:val="nil"/>
              <w:left w:val="nil"/>
              <w:bottom w:val="nil"/>
              <w:right w:val="nil"/>
            </w:tcBorders>
            <w:shd w:val="clear" w:color="auto" w:fill="D9D9D9"/>
            <w:noWrap/>
            <w:vAlign w:val="center"/>
            <w:hideMark/>
          </w:tcPr>
          <w:p w14:paraId="25549D8D" w14:textId="4186C316"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16</w:t>
            </w:r>
          </w:p>
        </w:tc>
        <w:tc>
          <w:tcPr>
            <w:tcW w:w="1417" w:type="dxa"/>
            <w:tcBorders>
              <w:top w:val="nil"/>
              <w:left w:val="nil"/>
              <w:bottom w:val="nil"/>
              <w:right w:val="single" w:sz="4" w:space="0" w:color="auto"/>
            </w:tcBorders>
            <w:shd w:val="clear" w:color="auto" w:fill="D9D9D9"/>
            <w:noWrap/>
            <w:vAlign w:val="center"/>
            <w:hideMark/>
          </w:tcPr>
          <w:p w14:paraId="3A2CE3D8" w14:textId="41853D9D"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6</w:t>
            </w:r>
          </w:p>
        </w:tc>
      </w:tr>
      <w:tr w:rsidR="00AD3B3A" w:rsidRPr="00A25703" w14:paraId="7881F508" w14:textId="77777777" w:rsidTr="00842728">
        <w:trPr>
          <w:trHeight w:val="259"/>
        </w:trPr>
        <w:tc>
          <w:tcPr>
            <w:tcW w:w="4205" w:type="dxa"/>
            <w:tcBorders>
              <w:top w:val="nil"/>
              <w:left w:val="single" w:sz="8" w:space="0" w:color="auto"/>
              <w:bottom w:val="nil"/>
              <w:right w:val="nil"/>
            </w:tcBorders>
            <w:noWrap/>
            <w:vAlign w:val="bottom"/>
            <w:hideMark/>
          </w:tcPr>
          <w:p w14:paraId="5CD6B073"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Council Tax Support Reserve</w:t>
            </w:r>
          </w:p>
        </w:tc>
        <w:tc>
          <w:tcPr>
            <w:tcW w:w="1660" w:type="dxa"/>
            <w:tcBorders>
              <w:top w:val="nil"/>
              <w:left w:val="nil"/>
              <w:bottom w:val="nil"/>
              <w:right w:val="nil"/>
            </w:tcBorders>
            <w:noWrap/>
            <w:vAlign w:val="center"/>
            <w:hideMark/>
          </w:tcPr>
          <w:p w14:paraId="333C18B9" w14:textId="77777777"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2,356</w:t>
            </w:r>
          </w:p>
        </w:tc>
        <w:tc>
          <w:tcPr>
            <w:tcW w:w="1660" w:type="dxa"/>
            <w:tcBorders>
              <w:top w:val="nil"/>
              <w:left w:val="nil"/>
              <w:bottom w:val="nil"/>
              <w:right w:val="nil"/>
            </w:tcBorders>
            <w:noWrap/>
            <w:vAlign w:val="center"/>
            <w:hideMark/>
          </w:tcPr>
          <w:p w14:paraId="238D4F18" w14:textId="7185803B" w:rsidR="00AD3B3A" w:rsidRPr="00A25703" w:rsidRDefault="00AD3B3A" w:rsidP="00AD3B3A">
            <w:pPr>
              <w:jc w:val="right"/>
              <w:rPr>
                <w:rFonts w:ascii="Arial" w:hAnsi="Arial" w:cs="Arial"/>
                <w:color w:val="000000"/>
                <w:sz w:val="22"/>
                <w:szCs w:val="22"/>
              </w:rPr>
            </w:pPr>
            <w:r>
              <w:rPr>
                <w:rFonts w:ascii="Arial" w:hAnsi="Arial" w:cs="Arial"/>
                <w:color w:val="000000"/>
                <w:sz w:val="22"/>
                <w:szCs w:val="22"/>
              </w:rPr>
              <w:t>(2,356)</w:t>
            </w:r>
          </w:p>
        </w:tc>
        <w:tc>
          <w:tcPr>
            <w:tcW w:w="1685" w:type="dxa"/>
            <w:tcBorders>
              <w:top w:val="nil"/>
              <w:left w:val="nil"/>
              <w:bottom w:val="nil"/>
              <w:right w:val="nil"/>
            </w:tcBorders>
            <w:noWrap/>
            <w:vAlign w:val="center"/>
            <w:hideMark/>
          </w:tcPr>
          <w:p w14:paraId="7F20160B"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553" w:type="dxa"/>
            <w:tcBorders>
              <w:top w:val="nil"/>
              <w:left w:val="nil"/>
              <w:bottom w:val="nil"/>
            </w:tcBorders>
            <w:shd w:val="clear" w:color="auto" w:fill="D9D9D9"/>
            <w:noWrap/>
            <w:vAlign w:val="center"/>
            <w:hideMark/>
          </w:tcPr>
          <w:p w14:paraId="0CFAAB65" w14:textId="5217F5C4"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0</w:t>
            </w:r>
          </w:p>
        </w:tc>
        <w:tc>
          <w:tcPr>
            <w:tcW w:w="1701" w:type="dxa"/>
            <w:tcBorders>
              <w:top w:val="nil"/>
              <w:left w:val="nil"/>
              <w:bottom w:val="nil"/>
              <w:right w:val="nil"/>
            </w:tcBorders>
            <w:shd w:val="clear" w:color="auto" w:fill="D9D9D9"/>
            <w:noWrap/>
            <w:vAlign w:val="center"/>
            <w:hideMark/>
          </w:tcPr>
          <w:p w14:paraId="078DFDDD" w14:textId="30AFC386"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8" w:type="dxa"/>
            <w:tcBorders>
              <w:top w:val="nil"/>
              <w:left w:val="nil"/>
              <w:bottom w:val="nil"/>
              <w:right w:val="nil"/>
            </w:tcBorders>
            <w:shd w:val="clear" w:color="auto" w:fill="D9D9D9"/>
            <w:noWrap/>
            <w:vAlign w:val="center"/>
            <w:hideMark/>
          </w:tcPr>
          <w:p w14:paraId="6D50B54A" w14:textId="4EF2E412"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7" w:type="dxa"/>
            <w:tcBorders>
              <w:top w:val="nil"/>
              <w:left w:val="nil"/>
              <w:bottom w:val="nil"/>
              <w:right w:val="single" w:sz="4" w:space="0" w:color="auto"/>
            </w:tcBorders>
            <w:shd w:val="clear" w:color="auto" w:fill="D9D9D9"/>
            <w:noWrap/>
            <w:vAlign w:val="center"/>
            <w:hideMark/>
          </w:tcPr>
          <w:p w14:paraId="4C47C5F4" w14:textId="2BFC3F1B"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0</w:t>
            </w:r>
          </w:p>
        </w:tc>
      </w:tr>
      <w:tr w:rsidR="00AD3B3A" w:rsidRPr="00A25703" w14:paraId="749976D9" w14:textId="77777777" w:rsidTr="00842728">
        <w:trPr>
          <w:trHeight w:val="259"/>
        </w:trPr>
        <w:tc>
          <w:tcPr>
            <w:tcW w:w="4205" w:type="dxa"/>
            <w:tcBorders>
              <w:top w:val="nil"/>
              <w:left w:val="single" w:sz="8" w:space="0" w:color="auto"/>
              <w:bottom w:val="nil"/>
              <w:right w:val="nil"/>
            </w:tcBorders>
            <w:noWrap/>
            <w:vAlign w:val="bottom"/>
            <w:hideMark/>
          </w:tcPr>
          <w:p w14:paraId="2CA23A7B"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RDF Forensic Income Reserve</w:t>
            </w:r>
          </w:p>
        </w:tc>
        <w:tc>
          <w:tcPr>
            <w:tcW w:w="1660" w:type="dxa"/>
            <w:tcBorders>
              <w:top w:val="nil"/>
              <w:left w:val="nil"/>
              <w:bottom w:val="nil"/>
              <w:right w:val="nil"/>
            </w:tcBorders>
            <w:noWrap/>
            <w:vAlign w:val="center"/>
            <w:hideMark/>
          </w:tcPr>
          <w:p w14:paraId="66AA3CD9" w14:textId="77777777"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84</w:t>
            </w:r>
          </w:p>
        </w:tc>
        <w:tc>
          <w:tcPr>
            <w:tcW w:w="1660" w:type="dxa"/>
            <w:tcBorders>
              <w:top w:val="nil"/>
              <w:left w:val="nil"/>
              <w:bottom w:val="nil"/>
              <w:right w:val="nil"/>
            </w:tcBorders>
            <w:noWrap/>
            <w:vAlign w:val="center"/>
            <w:hideMark/>
          </w:tcPr>
          <w:p w14:paraId="2BED4B91" w14:textId="77777777"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685" w:type="dxa"/>
            <w:tcBorders>
              <w:top w:val="nil"/>
              <w:left w:val="nil"/>
              <w:bottom w:val="nil"/>
              <w:right w:val="nil"/>
            </w:tcBorders>
            <w:noWrap/>
            <w:vAlign w:val="center"/>
            <w:hideMark/>
          </w:tcPr>
          <w:p w14:paraId="4978C162" w14:textId="0E85FB2F" w:rsidR="00AD3B3A" w:rsidRPr="00A25703" w:rsidRDefault="00AD3B3A" w:rsidP="00AD3B3A">
            <w:pPr>
              <w:jc w:val="right"/>
              <w:rPr>
                <w:rFonts w:ascii="Arial" w:hAnsi="Arial" w:cs="Arial"/>
                <w:color w:val="000000"/>
                <w:sz w:val="22"/>
                <w:szCs w:val="22"/>
              </w:rPr>
            </w:pPr>
            <w:r>
              <w:rPr>
                <w:rFonts w:ascii="Arial" w:hAnsi="Arial" w:cs="Arial"/>
                <w:color w:val="000000"/>
                <w:sz w:val="22"/>
                <w:szCs w:val="22"/>
              </w:rPr>
              <w:t>36</w:t>
            </w:r>
          </w:p>
        </w:tc>
        <w:tc>
          <w:tcPr>
            <w:tcW w:w="1553" w:type="dxa"/>
            <w:tcBorders>
              <w:top w:val="nil"/>
              <w:left w:val="nil"/>
              <w:bottom w:val="nil"/>
            </w:tcBorders>
            <w:shd w:val="clear" w:color="auto" w:fill="D9D9D9"/>
            <w:noWrap/>
            <w:vAlign w:val="center"/>
            <w:hideMark/>
          </w:tcPr>
          <w:p w14:paraId="389F9FEC" w14:textId="2C779616"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120</w:t>
            </w:r>
          </w:p>
        </w:tc>
        <w:tc>
          <w:tcPr>
            <w:tcW w:w="1701" w:type="dxa"/>
            <w:tcBorders>
              <w:top w:val="nil"/>
              <w:left w:val="nil"/>
              <w:bottom w:val="nil"/>
              <w:right w:val="nil"/>
            </w:tcBorders>
            <w:shd w:val="clear" w:color="auto" w:fill="D9D9D9"/>
            <w:noWrap/>
            <w:vAlign w:val="center"/>
            <w:hideMark/>
          </w:tcPr>
          <w:p w14:paraId="5EC6F9F9" w14:textId="36394117"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(32)</w:t>
            </w:r>
          </w:p>
        </w:tc>
        <w:tc>
          <w:tcPr>
            <w:tcW w:w="1418" w:type="dxa"/>
            <w:tcBorders>
              <w:top w:val="nil"/>
              <w:left w:val="nil"/>
              <w:bottom w:val="nil"/>
              <w:right w:val="nil"/>
            </w:tcBorders>
            <w:shd w:val="clear" w:color="auto" w:fill="D9D9D9"/>
            <w:noWrap/>
            <w:vAlign w:val="center"/>
            <w:hideMark/>
          </w:tcPr>
          <w:p w14:paraId="1270AC1D" w14:textId="31A09BB1"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62</w:t>
            </w:r>
          </w:p>
        </w:tc>
        <w:tc>
          <w:tcPr>
            <w:tcW w:w="1417" w:type="dxa"/>
            <w:tcBorders>
              <w:top w:val="nil"/>
              <w:left w:val="nil"/>
              <w:bottom w:val="nil"/>
              <w:right w:val="single" w:sz="4" w:space="0" w:color="auto"/>
            </w:tcBorders>
            <w:shd w:val="clear" w:color="auto" w:fill="D9D9D9"/>
            <w:noWrap/>
            <w:vAlign w:val="center"/>
            <w:hideMark/>
          </w:tcPr>
          <w:p w14:paraId="0787822C" w14:textId="7D543ED4"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150</w:t>
            </w:r>
          </w:p>
        </w:tc>
      </w:tr>
      <w:tr w:rsidR="00AD3B3A" w:rsidRPr="00A25703" w14:paraId="598D3B40" w14:textId="77777777" w:rsidTr="000A2486">
        <w:trPr>
          <w:trHeight w:val="259"/>
        </w:trPr>
        <w:tc>
          <w:tcPr>
            <w:tcW w:w="4205" w:type="dxa"/>
            <w:tcBorders>
              <w:top w:val="nil"/>
              <w:left w:val="single" w:sz="8" w:space="0" w:color="auto"/>
              <w:bottom w:val="nil"/>
              <w:right w:val="nil"/>
            </w:tcBorders>
            <w:noWrap/>
            <w:vAlign w:val="bottom"/>
            <w:hideMark/>
          </w:tcPr>
          <w:p w14:paraId="3E714AC2" w14:textId="77777777" w:rsidR="00AD3B3A" w:rsidRPr="00A25703" w:rsidRDefault="00AD3B3A" w:rsidP="00AD3B3A">
            <w:pPr>
              <w:rPr>
                <w:rFonts w:ascii="Arial" w:hAnsi="Arial" w:cs="Arial"/>
                <w:color w:val="000000"/>
                <w:sz w:val="22"/>
                <w:szCs w:val="22"/>
              </w:rPr>
            </w:pPr>
            <w:r w:rsidRPr="00A25703">
              <w:rPr>
                <w:rFonts w:ascii="Arial" w:hAnsi="Arial" w:cs="Arial"/>
                <w:color w:val="000000"/>
                <w:sz w:val="22"/>
                <w:szCs w:val="22"/>
              </w:rPr>
              <w:t>RDF Capital Funding Reserve</w:t>
            </w:r>
          </w:p>
        </w:tc>
        <w:tc>
          <w:tcPr>
            <w:tcW w:w="1660" w:type="dxa"/>
            <w:tcBorders>
              <w:top w:val="nil"/>
              <w:left w:val="nil"/>
              <w:bottom w:val="nil"/>
              <w:right w:val="nil"/>
            </w:tcBorders>
            <w:noWrap/>
            <w:vAlign w:val="center"/>
            <w:hideMark/>
          </w:tcPr>
          <w:p w14:paraId="1B4DCBEC" w14:textId="6365A3F9" w:rsidR="00AD3B3A" w:rsidRPr="00A25703" w:rsidRDefault="00AD3B3A" w:rsidP="00AD3B3A">
            <w:pPr>
              <w:jc w:val="right"/>
              <w:rPr>
                <w:rFonts w:ascii="Arial" w:hAnsi="Arial" w:cs="Arial"/>
                <w:b/>
                <w:bCs/>
                <w:color w:val="000000"/>
                <w:sz w:val="22"/>
                <w:szCs w:val="22"/>
              </w:rPr>
            </w:pPr>
            <w:r>
              <w:rPr>
                <w:rFonts w:ascii="Arial" w:hAnsi="Arial" w:cs="Arial"/>
                <w:b/>
                <w:bCs/>
                <w:color w:val="000000"/>
                <w:sz w:val="22"/>
                <w:szCs w:val="22"/>
              </w:rPr>
              <w:t>12</w:t>
            </w:r>
            <w:r w:rsidRPr="00A25703">
              <w:rPr>
                <w:rFonts w:ascii="Arial" w:hAnsi="Arial" w:cs="Arial"/>
                <w:b/>
                <w:bCs/>
                <w:color w:val="000000"/>
                <w:sz w:val="22"/>
                <w:szCs w:val="22"/>
              </w:rPr>
              <w:t>0</w:t>
            </w:r>
          </w:p>
        </w:tc>
        <w:tc>
          <w:tcPr>
            <w:tcW w:w="1660" w:type="dxa"/>
            <w:tcBorders>
              <w:top w:val="nil"/>
              <w:left w:val="nil"/>
              <w:bottom w:val="nil"/>
              <w:right w:val="nil"/>
            </w:tcBorders>
            <w:noWrap/>
            <w:vAlign w:val="center"/>
            <w:hideMark/>
          </w:tcPr>
          <w:p w14:paraId="1294CF3D" w14:textId="610FC093" w:rsidR="00AD3B3A" w:rsidRPr="00A25703" w:rsidRDefault="00AD3B3A" w:rsidP="00AD3B3A">
            <w:pPr>
              <w:jc w:val="right"/>
              <w:rPr>
                <w:rFonts w:ascii="Arial" w:hAnsi="Arial" w:cs="Arial"/>
                <w:color w:val="000000"/>
                <w:sz w:val="22"/>
                <w:szCs w:val="22"/>
              </w:rPr>
            </w:pPr>
            <w:r w:rsidRPr="00A25703">
              <w:rPr>
                <w:rFonts w:ascii="Arial" w:hAnsi="Arial" w:cs="Arial"/>
                <w:color w:val="000000"/>
                <w:sz w:val="22"/>
                <w:szCs w:val="22"/>
              </w:rPr>
              <w:t>0</w:t>
            </w:r>
          </w:p>
        </w:tc>
        <w:tc>
          <w:tcPr>
            <w:tcW w:w="1685" w:type="dxa"/>
            <w:tcBorders>
              <w:top w:val="nil"/>
              <w:left w:val="nil"/>
              <w:bottom w:val="nil"/>
              <w:right w:val="nil"/>
            </w:tcBorders>
            <w:noWrap/>
            <w:vAlign w:val="center"/>
            <w:hideMark/>
          </w:tcPr>
          <w:p w14:paraId="71DF1AF8" w14:textId="130A1098" w:rsidR="00AD3B3A" w:rsidRPr="00A25703" w:rsidRDefault="00AD3B3A" w:rsidP="00AD3B3A">
            <w:pPr>
              <w:jc w:val="right"/>
              <w:rPr>
                <w:rFonts w:ascii="Arial" w:hAnsi="Arial" w:cs="Arial"/>
                <w:color w:val="000000"/>
                <w:sz w:val="22"/>
                <w:szCs w:val="22"/>
              </w:rPr>
            </w:pPr>
            <w:r>
              <w:rPr>
                <w:rFonts w:ascii="Arial" w:hAnsi="Arial" w:cs="Arial"/>
                <w:color w:val="000000"/>
                <w:sz w:val="22"/>
                <w:szCs w:val="22"/>
              </w:rPr>
              <w:t>6</w:t>
            </w:r>
            <w:r w:rsidRPr="00A25703">
              <w:rPr>
                <w:rFonts w:ascii="Arial" w:hAnsi="Arial" w:cs="Arial"/>
                <w:color w:val="000000"/>
                <w:sz w:val="22"/>
                <w:szCs w:val="22"/>
              </w:rPr>
              <w:t>2</w:t>
            </w:r>
          </w:p>
        </w:tc>
        <w:tc>
          <w:tcPr>
            <w:tcW w:w="1553" w:type="dxa"/>
            <w:tcBorders>
              <w:top w:val="nil"/>
              <w:left w:val="nil"/>
              <w:bottom w:val="single" w:sz="4" w:space="0" w:color="auto"/>
            </w:tcBorders>
            <w:shd w:val="clear" w:color="auto" w:fill="D9D9D9"/>
            <w:noWrap/>
            <w:vAlign w:val="center"/>
            <w:hideMark/>
          </w:tcPr>
          <w:p w14:paraId="171A84B2" w14:textId="6F2BA217"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181</w:t>
            </w:r>
          </w:p>
        </w:tc>
        <w:tc>
          <w:tcPr>
            <w:tcW w:w="1701" w:type="dxa"/>
            <w:tcBorders>
              <w:top w:val="nil"/>
              <w:left w:val="nil"/>
              <w:bottom w:val="single" w:sz="4" w:space="0" w:color="auto"/>
              <w:right w:val="nil"/>
            </w:tcBorders>
            <w:shd w:val="clear" w:color="auto" w:fill="D9D9D9"/>
            <w:noWrap/>
            <w:vAlign w:val="center"/>
            <w:hideMark/>
          </w:tcPr>
          <w:p w14:paraId="6F616A04" w14:textId="77A19632"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0</w:t>
            </w:r>
          </w:p>
        </w:tc>
        <w:tc>
          <w:tcPr>
            <w:tcW w:w="1418" w:type="dxa"/>
            <w:tcBorders>
              <w:top w:val="nil"/>
              <w:left w:val="nil"/>
              <w:bottom w:val="nil"/>
              <w:right w:val="nil"/>
            </w:tcBorders>
            <w:shd w:val="clear" w:color="auto" w:fill="D9D9D9"/>
            <w:noWrap/>
            <w:vAlign w:val="center"/>
            <w:hideMark/>
          </w:tcPr>
          <w:p w14:paraId="072D14FE" w14:textId="1DF7A9D4" w:rsidR="00AD3B3A" w:rsidRPr="003A2CAF" w:rsidRDefault="00AD3B3A" w:rsidP="00AD3B3A">
            <w:pPr>
              <w:jc w:val="right"/>
              <w:rPr>
                <w:rFonts w:ascii="Arial" w:hAnsi="Arial" w:cs="Arial"/>
                <w:color w:val="000000"/>
                <w:sz w:val="22"/>
                <w:szCs w:val="22"/>
                <w:highlight w:val="yellow"/>
              </w:rPr>
            </w:pPr>
            <w:r>
              <w:rPr>
                <w:rFonts w:ascii="Arial" w:hAnsi="Arial" w:cs="Arial"/>
                <w:color w:val="000000"/>
                <w:sz w:val="22"/>
                <w:szCs w:val="22"/>
              </w:rPr>
              <w:t>63</w:t>
            </w:r>
          </w:p>
        </w:tc>
        <w:tc>
          <w:tcPr>
            <w:tcW w:w="1417" w:type="dxa"/>
            <w:tcBorders>
              <w:top w:val="nil"/>
              <w:left w:val="nil"/>
              <w:bottom w:val="nil"/>
              <w:right w:val="single" w:sz="4" w:space="0" w:color="auto"/>
            </w:tcBorders>
            <w:shd w:val="clear" w:color="auto" w:fill="D9D9D9"/>
            <w:noWrap/>
            <w:vAlign w:val="center"/>
            <w:hideMark/>
          </w:tcPr>
          <w:p w14:paraId="678AF95C" w14:textId="0D387AF4" w:rsidR="00AD3B3A" w:rsidRPr="003A2CAF" w:rsidRDefault="00AD3B3A" w:rsidP="00AD3B3A">
            <w:pPr>
              <w:jc w:val="right"/>
              <w:rPr>
                <w:rFonts w:ascii="Arial" w:hAnsi="Arial" w:cs="Arial"/>
                <w:b/>
                <w:bCs/>
                <w:color w:val="000000"/>
                <w:sz w:val="22"/>
                <w:szCs w:val="22"/>
                <w:highlight w:val="yellow"/>
              </w:rPr>
            </w:pPr>
            <w:r>
              <w:rPr>
                <w:rFonts w:ascii="Arial" w:hAnsi="Arial" w:cs="Arial"/>
                <w:color w:val="000000"/>
                <w:sz w:val="22"/>
                <w:szCs w:val="22"/>
              </w:rPr>
              <w:t>244</w:t>
            </w:r>
          </w:p>
        </w:tc>
      </w:tr>
      <w:tr w:rsidR="00AD3B3A" w:rsidRPr="00A25703" w14:paraId="2F619CAC" w14:textId="77777777" w:rsidTr="000A2486">
        <w:trPr>
          <w:trHeight w:val="45"/>
        </w:trPr>
        <w:tc>
          <w:tcPr>
            <w:tcW w:w="4205" w:type="dxa"/>
            <w:tcBorders>
              <w:top w:val="single" w:sz="8" w:space="0" w:color="auto"/>
              <w:left w:val="single" w:sz="8" w:space="0" w:color="auto"/>
              <w:bottom w:val="single" w:sz="8" w:space="0" w:color="auto"/>
              <w:right w:val="nil"/>
            </w:tcBorders>
            <w:vAlign w:val="center"/>
            <w:hideMark/>
          </w:tcPr>
          <w:p w14:paraId="6C625B67" w14:textId="77777777" w:rsidR="00AD3B3A" w:rsidRPr="00A25703" w:rsidRDefault="00AD3B3A" w:rsidP="00AD3B3A">
            <w:pPr>
              <w:rPr>
                <w:rFonts w:ascii="Arial" w:hAnsi="Arial" w:cs="Arial"/>
                <w:b/>
                <w:bCs/>
                <w:color w:val="000000"/>
                <w:sz w:val="22"/>
                <w:szCs w:val="22"/>
              </w:rPr>
            </w:pPr>
            <w:r w:rsidRPr="00A25703">
              <w:rPr>
                <w:rFonts w:ascii="Arial" w:hAnsi="Arial" w:cs="Arial"/>
                <w:b/>
                <w:bCs/>
                <w:color w:val="000000"/>
                <w:sz w:val="22"/>
                <w:szCs w:val="22"/>
              </w:rPr>
              <w:t>Total Earmarked Reserves</w:t>
            </w:r>
          </w:p>
        </w:tc>
        <w:tc>
          <w:tcPr>
            <w:tcW w:w="1660" w:type="dxa"/>
            <w:tcBorders>
              <w:top w:val="single" w:sz="8" w:space="0" w:color="auto"/>
              <w:left w:val="nil"/>
              <w:bottom w:val="single" w:sz="8" w:space="0" w:color="auto"/>
              <w:right w:val="nil"/>
            </w:tcBorders>
            <w:noWrap/>
            <w:vAlign w:val="center"/>
            <w:hideMark/>
          </w:tcPr>
          <w:p w14:paraId="14596440" w14:textId="2503F4FC"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11,56</w:t>
            </w:r>
            <w:r>
              <w:rPr>
                <w:rFonts w:ascii="Arial" w:hAnsi="Arial" w:cs="Arial"/>
                <w:b/>
                <w:bCs/>
                <w:color w:val="000000"/>
                <w:sz w:val="22"/>
                <w:szCs w:val="22"/>
              </w:rPr>
              <w:t>0</w:t>
            </w:r>
          </w:p>
        </w:tc>
        <w:tc>
          <w:tcPr>
            <w:tcW w:w="1660" w:type="dxa"/>
            <w:tcBorders>
              <w:top w:val="single" w:sz="8" w:space="0" w:color="auto"/>
              <w:left w:val="nil"/>
              <w:bottom w:val="single" w:sz="8" w:space="0" w:color="auto"/>
              <w:right w:val="nil"/>
            </w:tcBorders>
            <w:noWrap/>
            <w:vAlign w:val="center"/>
            <w:hideMark/>
          </w:tcPr>
          <w:p w14:paraId="44679908" w14:textId="6085B3F6"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(1</w:t>
            </w:r>
            <w:r>
              <w:rPr>
                <w:rFonts w:ascii="Arial" w:hAnsi="Arial" w:cs="Arial"/>
                <w:b/>
                <w:bCs/>
                <w:color w:val="000000"/>
                <w:sz w:val="22"/>
                <w:szCs w:val="22"/>
              </w:rPr>
              <w:t>8</w:t>
            </w:r>
            <w:r w:rsidRPr="00A25703">
              <w:rPr>
                <w:rFonts w:ascii="Arial" w:hAnsi="Arial" w:cs="Arial"/>
                <w:b/>
                <w:bCs/>
                <w:color w:val="000000"/>
                <w:sz w:val="22"/>
                <w:szCs w:val="22"/>
              </w:rPr>
              <w:t>,20</w:t>
            </w:r>
            <w:r>
              <w:rPr>
                <w:rFonts w:ascii="Arial" w:hAnsi="Arial" w:cs="Arial"/>
                <w:b/>
                <w:bCs/>
                <w:color w:val="000000"/>
                <w:sz w:val="22"/>
                <w:szCs w:val="22"/>
              </w:rPr>
              <w:t>3</w:t>
            </w:r>
            <w:r w:rsidRPr="00A25703">
              <w:rPr>
                <w:rFonts w:ascii="Arial" w:hAnsi="Arial" w:cs="Arial"/>
                <w:b/>
                <w:bCs/>
                <w:color w:val="000000"/>
                <w:sz w:val="22"/>
                <w:szCs w:val="22"/>
              </w:rPr>
              <w:t>)</w:t>
            </w:r>
          </w:p>
        </w:tc>
        <w:tc>
          <w:tcPr>
            <w:tcW w:w="1685" w:type="dxa"/>
            <w:tcBorders>
              <w:top w:val="single" w:sz="8" w:space="0" w:color="auto"/>
              <w:left w:val="nil"/>
              <w:bottom w:val="single" w:sz="8" w:space="0" w:color="auto"/>
              <w:right w:val="single" w:sz="4" w:space="0" w:color="auto"/>
            </w:tcBorders>
            <w:noWrap/>
            <w:vAlign w:val="center"/>
            <w:hideMark/>
          </w:tcPr>
          <w:p w14:paraId="5566A112" w14:textId="1F97F17B" w:rsidR="00AD3B3A" w:rsidRPr="00A25703" w:rsidRDefault="00AD3B3A" w:rsidP="00AD3B3A">
            <w:pPr>
              <w:jc w:val="right"/>
              <w:rPr>
                <w:rFonts w:ascii="Arial" w:hAnsi="Arial" w:cs="Arial"/>
                <w:b/>
                <w:bCs/>
                <w:color w:val="000000"/>
                <w:sz w:val="22"/>
                <w:szCs w:val="22"/>
              </w:rPr>
            </w:pPr>
            <w:r w:rsidRPr="00A25703">
              <w:rPr>
                <w:rFonts w:ascii="Arial" w:hAnsi="Arial" w:cs="Arial"/>
                <w:b/>
                <w:bCs/>
                <w:color w:val="000000"/>
                <w:sz w:val="22"/>
                <w:szCs w:val="22"/>
              </w:rPr>
              <w:t>1</w:t>
            </w:r>
            <w:r>
              <w:rPr>
                <w:rFonts w:ascii="Arial" w:hAnsi="Arial" w:cs="Arial"/>
                <w:b/>
                <w:bCs/>
                <w:color w:val="000000"/>
                <w:sz w:val="22"/>
                <w:szCs w:val="22"/>
              </w:rPr>
              <w:t>6</w:t>
            </w:r>
            <w:r w:rsidRPr="00A25703">
              <w:rPr>
                <w:rFonts w:ascii="Arial" w:hAnsi="Arial" w:cs="Arial"/>
                <w:b/>
                <w:bCs/>
                <w:color w:val="000000"/>
                <w:sz w:val="22"/>
                <w:szCs w:val="22"/>
              </w:rPr>
              <w:t>,3</w:t>
            </w:r>
            <w:r>
              <w:rPr>
                <w:rFonts w:ascii="Arial" w:hAnsi="Arial" w:cs="Arial"/>
                <w:b/>
                <w:bCs/>
                <w:color w:val="000000"/>
                <w:sz w:val="22"/>
                <w:szCs w:val="22"/>
              </w:rPr>
              <w:t>6</w:t>
            </w:r>
            <w:r w:rsidRPr="00A25703">
              <w:rPr>
                <w:rFonts w:ascii="Arial" w:hAnsi="Arial" w:cs="Arial"/>
                <w:b/>
                <w:bCs/>
                <w:color w:val="000000"/>
                <w:sz w:val="22"/>
                <w:szCs w:val="22"/>
              </w:rPr>
              <w:t>5</w:t>
            </w:r>
          </w:p>
        </w:tc>
        <w:tc>
          <w:tcPr>
            <w:tcW w:w="1553" w:type="dxa"/>
            <w:tcBorders>
              <w:top w:val="single" w:sz="4" w:space="0" w:color="auto"/>
              <w:left w:val="single" w:sz="4" w:space="0" w:color="auto"/>
              <w:bottom w:val="single" w:sz="4" w:space="0" w:color="auto"/>
            </w:tcBorders>
            <w:shd w:val="clear" w:color="auto" w:fill="D9D9D9"/>
            <w:noWrap/>
            <w:vAlign w:val="center"/>
            <w:hideMark/>
          </w:tcPr>
          <w:p w14:paraId="5D3E0F39" w14:textId="12A9DECF" w:rsidR="00AD3B3A" w:rsidRPr="008B1815" w:rsidRDefault="00AD3B3A" w:rsidP="00AD3B3A">
            <w:pPr>
              <w:jc w:val="right"/>
              <w:rPr>
                <w:rFonts w:ascii="Arial" w:hAnsi="Arial" w:cs="Arial"/>
                <w:b/>
                <w:bCs/>
                <w:color w:val="000000"/>
                <w:sz w:val="22"/>
                <w:szCs w:val="22"/>
              </w:rPr>
            </w:pPr>
            <w:r w:rsidRPr="008B1815">
              <w:rPr>
                <w:rFonts w:ascii="Arial" w:hAnsi="Arial" w:cs="Arial"/>
                <w:b/>
                <w:bCs/>
                <w:color w:val="000000"/>
                <w:sz w:val="22"/>
                <w:szCs w:val="22"/>
              </w:rPr>
              <w:t>9,722</w:t>
            </w:r>
          </w:p>
        </w:tc>
        <w:tc>
          <w:tcPr>
            <w:tcW w:w="1701" w:type="dxa"/>
            <w:tcBorders>
              <w:top w:val="single" w:sz="4" w:space="0" w:color="auto"/>
              <w:bottom w:val="single" w:sz="4" w:space="0" w:color="auto"/>
              <w:right w:val="nil"/>
            </w:tcBorders>
            <w:shd w:val="clear" w:color="auto" w:fill="D9D9D9"/>
            <w:noWrap/>
            <w:vAlign w:val="center"/>
            <w:hideMark/>
          </w:tcPr>
          <w:p w14:paraId="30DAD5D3" w14:textId="666D2393" w:rsidR="00AD3B3A" w:rsidRPr="003A2CAF" w:rsidRDefault="00AD3B3A" w:rsidP="00AD3B3A">
            <w:pPr>
              <w:jc w:val="right"/>
              <w:rPr>
                <w:rFonts w:ascii="Arial" w:hAnsi="Arial" w:cs="Arial"/>
                <w:b/>
                <w:bCs/>
                <w:color w:val="000000"/>
                <w:sz w:val="22"/>
                <w:szCs w:val="22"/>
                <w:highlight w:val="yellow"/>
              </w:rPr>
            </w:pPr>
            <w:r>
              <w:rPr>
                <w:rFonts w:ascii="Arial" w:hAnsi="Arial" w:cs="Arial"/>
                <w:b/>
                <w:bCs/>
                <w:color w:val="000000"/>
                <w:sz w:val="22"/>
                <w:szCs w:val="22"/>
              </w:rPr>
              <w:t>(15,460)</w:t>
            </w:r>
          </w:p>
        </w:tc>
        <w:tc>
          <w:tcPr>
            <w:tcW w:w="1418" w:type="dxa"/>
            <w:tcBorders>
              <w:top w:val="single" w:sz="8" w:space="0" w:color="auto"/>
              <w:left w:val="nil"/>
              <w:bottom w:val="single" w:sz="8" w:space="0" w:color="auto"/>
              <w:right w:val="nil"/>
            </w:tcBorders>
            <w:shd w:val="clear" w:color="auto" w:fill="D9D9D9"/>
            <w:noWrap/>
            <w:vAlign w:val="center"/>
            <w:hideMark/>
          </w:tcPr>
          <w:p w14:paraId="5649CA81" w14:textId="449D3B6C" w:rsidR="00AD3B3A" w:rsidRPr="003A2CAF" w:rsidRDefault="00AD3B3A" w:rsidP="00AD3B3A">
            <w:pPr>
              <w:jc w:val="right"/>
              <w:rPr>
                <w:rFonts w:ascii="Arial" w:hAnsi="Arial" w:cs="Arial"/>
                <w:b/>
                <w:bCs/>
                <w:color w:val="000000"/>
                <w:sz w:val="22"/>
                <w:szCs w:val="22"/>
                <w:highlight w:val="yellow"/>
              </w:rPr>
            </w:pPr>
            <w:r>
              <w:rPr>
                <w:rFonts w:ascii="Arial" w:hAnsi="Arial" w:cs="Arial"/>
                <w:b/>
                <w:bCs/>
                <w:color w:val="000000"/>
                <w:sz w:val="22"/>
                <w:szCs w:val="22"/>
              </w:rPr>
              <w:t>16,917</w:t>
            </w:r>
          </w:p>
        </w:tc>
        <w:tc>
          <w:tcPr>
            <w:tcW w:w="1417" w:type="dxa"/>
            <w:tcBorders>
              <w:top w:val="single" w:sz="8" w:space="0" w:color="auto"/>
              <w:left w:val="nil"/>
              <w:bottom w:val="single" w:sz="8" w:space="0" w:color="auto"/>
              <w:right w:val="single" w:sz="4" w:space="0" w:color="auto"/>
            </w:tcBorders>
            <w:shd w:val="clear" w:color="auto" w:fill="D9D9D9"/>
            <w:noWrap/>
            <w:vAlign w:val="center"/>
            <w:hideMark/>
          </w:tcPr>
          <w:p w14:paraId="67EAA24F" w14:textId="3BFA2DD3" w:rsidR="00AD3B3A" w:rsidRPr="003A2CAF" w:rsidRDefault="00AD3B3A" w:rsidP="00AD3B3A">
            <w:pPr>
              <w:jc w:val="right"/>
              <w:rPr>
                <w:rFonts w:ascii="Arial" w:hAnsi="Arial" w:cs="Arial"/>
                <w:b/>
                <w:bCs/>
                <w:color w:val="000000"/>
                <w:sz w:val="22"/>
                <w:szCs w:val="22"/>
                <w:highlight w:val="yellow"/>
              </w:rPr>
            </w:pPr>
            <w:r>
              <w:rPr>
                <w:rFonts w:ascii="Arial" w:hAnsi="Arial" w:cs="Arial"/>
                <w:b/>
                <w:bCs/>
                <w:color w:val="000000"/>
                <w:sz w:val="22"/>
                <w:szCs w:val="22"/>
              </w:rPr>
              <w:t>11,180</w:t>
            </w:r>
          </w:p>
        </w:tc>
      </w:tr>
    </w:tbl>
    <w:p w14:paraId="1ADB3ACE" w14:textId="77777777" w:rsidR="003B74DA" w:rsidRPr="00475993" w:rsidRDefault="003B74DA" w:rsidP="009D7304">
      <w:pPr>
        <w:spacing w:after="240"/>
        <w:jc w:val="both"/>
        <w:rPr>
          <w:rFonts w:ascii="Arial" w:hAnsi="Arial" w:cs="Arial"/>
          <w:sz w:val="24"/>
          <w:szCs w:val="24"/>
        </w:rPr>
        <w:sectPr w:rsidR="003B74DA" w:rsidRPr="00475993" w:rsidSect="00410322">
          <w:headerReference w:type="even" r:id="rId62"/>
          <w:headerReference w:type="default" r:id="rId63"/>
          <w:headerReference w:type="first" r:id="rId64"/>
          <w:pgSz w:w="16838" w:h="11906" w:orient="landscape" w:code="9"/>
          <w:pgMar w:top="720" w:right="720" w:bottom="720" w:left="720" w:header="397" w:footer="709" w:gutter="0"/>
          <w:cols w:space="708"/>
          <w:docGrid w:linePitch="360"/>
        </w:sectPr>
      </w:pPr>
    </w:p>
    <w:p w14:paraId="676BBD1C" w14:textId="77777777" w:rsidR="003B74DA" w:rsidRPr="00F1744D" w:rsidRDefault="003B74DA" w:rsidP="003B74DA">
      <w:pPr>
        <w:numPr>
          <w:ilvl w:val="0"/>
          <w:numId w:val="1"/>
        </w:numPr>
        <w:tabs>
          <w:tab w:val="clear" w:pos="720"/>
          <w:tab w:val="num" w:pos="426"/>
          <w:tab w:val="right" w:pos="5760"/>
        </w:tabs>
        <w:ind w:left="426"/>
        <w:rPr>
          <w:rFonts w:ascii="Arial" w:hAnsi="Arial"/>
          <w:b/>
          <w:sz w:val="22"/>
          <w:szCs w:val="22"/>
        </w:rPr>
      </w:pPr>
      <w:r w:rsidRPr="00F1744D">
        <w:rPr>
          <w:rFonts w:ascii="Arial" w:hAnsi="Arial"/>
          <w:b/>
          <w:sz w:val="22"/>
          <w:szCs w:val="22"/>
        </w:rPr>
        <w:lastRenderedPageBreak/>
        <w:t>Unusable Reserves</w:t>
      </w:r>
    </w:p>
    <w:p w14:paraId="2B42D7EE" w14:textId="77777777" w:rsidR="003B74DA" w:rsidRPr="00F1744D" w:rsidRDefault="003B74DA" w:rsidP="003B74DA">
      <w:pPr>
        <w:tabs>
          <w:tab w:val="right" w:pos="5760"/>
        </w:tabs>
        <w:ind w:left="426"/>
        <w:rPr>
          <w:rFonts w:ascii="Arial" w:hAnsi="Arial"/>
          <w:b/>
          <w:sz w:val="22"/>
          <w:szCs w:val="22"/>
        </w:rPr>
      </w:pPr>
    </w:p>
    <w:p w14:paraId="3E62897F" w14:textId="77777777" w:rsidR="003B74DA" w:rsidRPr="00F1744D" w:rsidRDefault="003B74DA" w:rsidP="003B74DA">
      <w:pPr>
        <w:spacing w:after="240"/>
        <w:ind w:left="426"/>
        <w:rPr>
          <w:rFonts w:ascii="Arial" w:hAnsi="Arial" w:cs="Arial"/>
          <w:sz w:val="22"/>
          <w:szCs w:val="22"/>
          <w:u w:val="single"/>
        </w:rPr>
      </w:pPr>
      <w:r w:rsidRPr="00F1744D">
        <w:rPr>
          <w:rFonts w:ascii="Arial" w:hAnsi="Arial" w:cs="Arial"/>
          <w:sz w:val="22"/>
          <w:szCs w:val="22"/>
          <w:u w:val="single"/>
        </w:rPr>
        <w:t>Accounting Policy</w:t>
      </w:r>
    </w:p>
    <w:p w14:paraId="221ACD40" w14:textId="77777777" w:rsidR="00315701" w:rsidRPr="00F1744D" w:rsidRDefault="003B74DA" w:rsidP="00315701">
      <w:pPr>
        <w:spacing w:after="240"/>
        <w:ind w:left="426"/>
        <w:jc w:val="both"/>
        <w:rPr>
          <w:rFonts w:ascii="Arial" w:hAnsi="Arial" w:cs="Arial"/>
          <w:sz w:val="22"/>
          <w:szCs w:val="22"/>
        </w:rPr>
      </w:pPr>
      <w:r w:rsidRPr="00F1744D">
        <w:rPr>
          <w:rFonts w:ascii="Arial" w:hAnsi="Arial" w:cs="Arial"/>
          <w:sz w:val="22"/>
          <w:szCs w:val="22"/>
        </w:rPr>
        <w:t xml:space="preserve">Certain reserves are kept </w:t>
      </w:r>
      <w:proofErr w:type="gramStart"/>
      <w:r w:rsidRPr="00F1744D">
        <w:rPr>
          <w:rFonts w:ascii="Arial" w:hAnsi="Arial" w:cs="Arial"/>
          <w:sz w:val="22"/>
          <w:szCs w:val="22"/>
        </w:rPr>
        <w:t>to manage</w:t>
      </w:r>
      <w:proofErr w:type="gramEnd"/>
      <w:r w:rsidRPr="00F1744D">
        <w:rPr>
          <w:rFonts w:ascii="Arial" w:hAnsi="Arial" w:cs="Arial"/>
          <w:sz w:val="22"/>
          <w:szCs w:val="22"/>
        </w:rPr>
        <w:t xml:space="preserve"> the accounting processes for non-current assets and retirement and employee benefits and they do not represent usable resources for the PCC; these reserves are explained in the relevant policies below.</w:t>
      </w:r>
    </w:p>
    <w:tbl>
      <w:tblPr>
        <w:tblW w:w="10380" w:type="dxa"/>
        <w:tblLayout w:type="fixed"/>
        <w:tblCellMar>
          <w:top w:w="15" w:type="dxa"/>
          <w:bottom w:w="15" w:type="dxa"/>
        </w:tblCellMar>
        <w:tblLook w:val="04A0" w:firstRow="1" w:lastRow="0" w:firstColumn="1" w:lastColumn="0" w:noHBand="0" w:noVBand="1"/>
      </w:tblPr>
      <w:tblGrid>
        <w:gridCol w:w="1343"/>
        <w:gridCol w:w="1346"/>
        <w:gridCol w:w="4737"/>
        <w:gridCol w:w="1612"/>
        <w:gridCol w:w="1342"/>
      </w:tblGrid>
      <w:tr w:rsidR="00833772" w:rsidRPr="00833772" w14:paraId="7E93C6FC" w14:textId="77777777" w:rsidTr="005E2F77">
        <w:trPr>
          <w:trHeight w:val="300"/>
        </w:trPr>
        <w:tc>
          <w:tcPr>
            <w:tcW w:w="2689" w:type="dxa"/>
            <w:gridSpan w:val="2"/>
            <w:tcBorders>
              <w:top w:val="single" w:sz="4" w:space="0" w:color="auto"/>
              <w:left w:val="single" w:sz="4" w:space="0" w:color="auto"/>
              <w:bottom w:val="nil"/>
              <w:right w:val="nil"/>
            </w:tcBorders>
            <w:shd w:val="clear" w:color="000000" w:fill="CCCCCC"/>
            <w:vAlign w:val="center"/>
            <w:hideMark/>
          </w:tcPr>
          <w:p w14:paraId="40B36465"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PCC</w:t>
            </w:r>
          </w:p>
        </w:tc>
        <w:tc>
          <w:tcPr>
            <w:tcW w:w="4737" w:type="dxa"/>
            <w:tcBorders>
              <w:top w:val="single" w:sz="4" w:space="0" w:color="auto"/>
              <w:left w:val="nil"/>
              <w:bottom w:val="nil"/>
              <w:right w:val="nil"/>
            </w:tcBorders>
            <w:shd w:val="clear" w:color="000000" w:fill="CCCCCC"/>
            <w:vAlign w:val="center"/>
            <w:hideMark/>
          </w:tcPr>
          <w:p w14:paraId="3D1F3DCD" w14:textId="77777777" w:rsidR="00833772" w:rsidRPr="00833772" w:rsidRDefault="00833772" w:rsidP="00833772">
            <w:pPr>
              <w:jc w:val="center"/>
              <w:rPr>
                <w:rFonts w:ascii="Arial" w:hAnsi="Arial" w:cs="Arial"/>
                <w:b/>
                <w:bCs/>
                <w:color w:val="000000"/>
                <w:sz w:val="22"/>
                <w:szCs w:val="22"/>
              </w:rPr>
            </w:pPr>
          </w:p>
        </w:tc>
        <w:tc>
          <w:tcPr>
            <w:tcW w:w="2954" w:type="dxa"/>
            <w:gridSpan w:val="2"/>
            <w:tcBorders>
              <w:top w:val="single" w:sz="4" w:space="0" w:color="auto"/>
              <w:left w:val="nil"/>
              <w:bottom w:val="nil"/>
              <w:right w:val="single" w:sz="4" w:space="0" w:color="auto"/>
            </w:tcBorders>
            <w:shd w:val="clear" w:color="000000" w:fill="CCCCCC"/>
            <w:vAlign w:val="center"/>
            <w:hideMark/>
          </w:tcPr>
          <w:p w14:paraId="7292A368"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PCC GROUP</w:t>
            </w:r>
          </w:p>
        </w:tc>
      </w:tr>
      <w:tr w:rsidR="00833772" w:rsidRPr="00833772" w14:paraId="4648BAA5" w14:textId="77777777" w:rsidTr="005E2F77">
        <w:trPr>
          <w:trHeight w:val="300"/>
        </w:trPr>
        <w:tc>
          <w:tcPr>
            <w:tcW w:w="1343" w:type="dxa"/>
            <w:tcBorders>
              <w:top w:val="nil"/>
              <w:left w:val="single" w:sz="4" w:space="0" w:color="auto"/>
              <w:bottom w:val="nil"/>
              <w:right w:val="nil"/>
            </w:tcBorders>
            <w:vAlign w:val="center"/>
            <w:hideMark/>
          </w:tcPr>
          <w:p w14:paraId="0645BBA5" w14:textId="5EC72824"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893995">
              <w:rPr>
                <w:rFonts w:ascii="Arial" w:hAnsi="Arial" w:cs="Arial"/>
                <w:b/>
                <w:bCs/>
                <w:color w:val="000000"/>
                <w:sz w:val="22"/>
                <w:szCs w:val="22"/>
              </w:rPr>
              <w:t>4</w:t>
            </w:r>
          </w:p>
        </w:tc>
        <w:tc>
          <w:tcPr>
            <w:tcW w:w="1346" w:type="dxa"/>
            <w:tcBorders>
              <w:top w:val="nil"/>
              <w:left w:val="nil"/>
              <w:bottom w:val="nil"/>
              <w:right w:val="nil"/>
            </w:tcBorders>
            <w:shd w:val="clear" w:color="000000" w:fill="CCCCCC"/>
            <w:vAlign w:val="center"/>
            <w:hideMark/>
          </w:tcPr>
          <w:p w14:paraId="3C3C536D" w14:textId="758E21A1"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893995">
              <w:rPr>
                <w:rFonts w:ascii="Arial" w:hAnsi="Arial" w:cs="Arial"/>
                <w:b/>
                <w:bCs/>
                <w:color w:val="000000"/>
                <w:sz w:val="22"/>
                <w:szCs w:val="22"/>
              </w:rPr>
              <w:t>5</w:t>
            </w:r>
          </w:p>
        </w:tc>
        <w:tc>
          <w:tcPr>
            <w:tcW w:w="4737" w:type="dxa"/>
            <w:tcBorders>
              <w:top w:val="nil"/>
              <w:left w:val="nil"/>
              <w:bottom w:val="nil"/>
              <w:right w:val="nil"/>
            </w:tcBorders>
            <w:shd w:val="clear" w:color="000000" w:fill="CCCCCC"/>
            <w:vAlign w:val="center"/>
            <w:hideMark/>
          </w:tcPr>
          <w:p w14:paraId="7159560F" w14:textId="77777777" w:rsidR="00833772" w:rsidRPr="00833772" w:rsidRDefault="00833772" w:rsidP="00833772">
            <w:pPr>
              <w:jc w:val="center"/>
              <w:rPr>
                <w:rFonts w:ascii="Arial" w:hAnsi="Arial" w:cs="Arial"/>
                <w:b/>
                <w:bCs/>
                <w:color w:val="000000"/>
                <w:sz w:val="22"/>
                <w:szCs w:val="22"/>
              </w:rPr>
            </w:pPr>
          </w:p>
        </w:tc>
        <w:tc>
          <w:tcPr>
            <w:tcW w:w="1612" w:type="dxa"/>
            <w:tcBorders>
              <w:top w:val="nil"/>
              <w:left w:val="nil"/>
              <w:bottom w:val="nil"/>
              <w:right w:val="nil"/>
            </w:tcBorders>
            <w:vAlign w:val="center"/>
            <w:hideMark/>
          </w:tcPr>
          <w:p w14:paraId="0B477902" w14:textId="522E1A15"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893995">
              <w:rPr>
                <w:rFonts w:ascii="Arial" w:hAnsi="Arial" w:cs="Arial"/>
                <w:b/>
                <w:bCs/>
                <w:color w:val="000000"/>
                <w:sz w:val="22"/>
                <w:szCs w:val="22"/>
              </w:rPr>
              <w:t>4</w:t>
            </w:r>
          </w:p>
        </w:tc>
        <w:tc>
          <w:tcPr>
            <w:tcW w:w="1342" w:type="dxa"/>
            <w:tcBorders>
              <w:top w:val="nil"/>
              <w:left w:val="nil"/>
              <w:bottom w:val="nil"/>
              <w:right w:val="single" w:sz="4" w:space="0" w:color="auto"/>
            </w:tcBorders>
            <w:shd w:val="clear" w:color="000000" w:fill="CCCCCC"/>
            <w:vAlign w:val="center"/>
            <w:hideMark/>
          </w:tcPr>
          <w:p w14:paraId="4FFA096F" w14:textId="45A874B4"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893995">
              <w:rPr>
                <w:rFonts w:ascii="Arial" w:hAnsi="Arial" w:cs="Arial"/>
                <w:b/>
                <w:bCs/>
                <w:color w:val="000000"/>
                <w:sz w:val="22"/>
                <w:szCs w:val="22"/>
              </w:rPr>
              <w:t>5</w:t>
            </w:r>
          </w:p>
        </w:tc>
      </w:tr>
      <w:tr w:rsidR="00833772" w:rsidRPr="00833772" w14:paraId="2B3D5851" w14:textId="77777777" w:rsidTr="005E2F77">
        <w:trPr>
          <w:trHeight w:val="300"/>
        </w:trPr>
        <w:tc>
          <w:tcPr>
            <w:tcW w:w="1343" w:type="dxa"/>
            <w:tcBorders>
              <w:top w:val="nil"/>
              <w:left w:val="single" w:sz="4" w:space="0" w:color="auto"/>
              <w:bottom w:val="nil"/>
              <w:right w:val="nil"/>
            </w:tcBorders>
            <w:vAlign w:val="center"/>
            <w:hideMark/>
          </w:tcPr>
          <w:p w14:paraId="6F2D252E" w14:textId="77777777"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£000</w:t>
            </w:r>
          </w:p>
        </w:tc>
        <w:tc>
          <w:tcPr>
            <w:tcW w:w="1346" w:type="dxa"/>
            <w:tcBorders>
              <w:top w:val="nil"/>
              <w:left w:val="nil"/>
              <w:bottom w:val="nil"/>
              <w:right w:val="nil"/>
            </w:tcBorders>
            <w:shd w:val="clear" w:color="000000" w:fill="CCCCCC"/>
            <w:vAlign w:val="center"/>
            <w:hideMark/>
          </w:tcPr>
          <w:p w14:paraId="31F83C5D" w14:textId="77777777"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£000</w:t>
            </w:r>
          </w:p>
        </w:tc>
        <w:tc>
          <w:tcPr>
            <w:tcW w:w="4737" w:type="dxa"/>
            <w:tcBorders>
              <w:top w:val="nil"/>
              <w:left w:val="nil"/>
              <w:bottom w:val="nil"/>
              <w:right w:val="nil"/>
            </w:tcBorders>
            <w:shd w:val="clear" w:color="000000" w:fill="CCCCCC"/>
            <w:vAlign w:val="center"/>
            <w:hideMark/>
          </w:tcPr>
          <w:p w14:paraId="1B308FEF" w14:textId="77777777" w:rsidR="00833772" w:rsidRPr="00833772" w:rsidRDefault="00833772" w:rsidP="00833772">
            <w:pPr>
              <w:jc w:val="right"/>
              <w:rPr>
                <w:rFonts w:ascii="Arial" w:hAnsi="Arial" w:cs="Arial"/>
                <w:b/>
                <w:bCs/>
                <w:color w:val="000000"/>
                <w:sz w:val="22"/>
                <w:szCs w:val="22"/>
              </w:rPr>
            </w:pPr>
          </w:p>
        </w:tc>
        <w:tc>
          <w:tcPr>
            <w:tcW w:w="1612" w:type="dxa"/>
            <w:tcBorders>
              <w:top w:val="nil"/>
              <w:left w:val="nil"/>
              <w:bottom w:val="nil"/>
              <w:right w:val="nil"/>
            </w:tcBorders>
            <w:vAlign w:val="center"/>
            <w:hideMark/>
          </w:tcPr>
          <w:p w14:paraId="310E76A0"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£000</w:t>
            </w:r>
          </w:p>
        </w:tc>
        <w:tc>
          <w:tcPr>
            <w:tcW w:w="1342" w:type="dxa"/>
            <w:tcBorders>
              <w:top w:val="nil"/>
              <w:left w:val="nil"/>
              <w:bottom w:val="nil"/>
              <w:right w:val="single" w:sz="4" w:space="0" w:color="auto"/>
            </w:tcBorders>
            <w:shd w:val="clear" w:color="000000" w:fill="CCCCCC"/>
            <w:vAlign w:val="center"/>
            <w:hideMark/>
          </w:tcPr>
          <w:p w14:paraId="12E9B7D0"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£000</w:t>
            </w:r>
          </w:p>
        </w:tc>
      </w:tr>
      <w:tr w:rsidR="0015786A" w:rsidRPr="00833772" w14:paraId="74EC0FD0" w14:textId="77777777">
        <w:trPr>
          <w:trHeight w:val="300"/>
        </w:trPr>
        <w:tc>
          <w:tcPr>
            <w:tcW w:w="1343" w:type="dxa"/>
            <w:tcBorders>
              <w:top w:val="nil"/>
              <w:left w:val="single" w:sz="4" w:space="0" w:color="auto"/>
              <w:bottom w:val="nil"/>
              <w:right w:val="nil"/>
            </w:tcBorders>
            <w:vAlign w:val="center"/>
            <w:hideMark/>
          </w:tcPr>
          <w:p w14:paraId="6B71E647" w14:textId="0DA93963" w:rsidR="0015786A" w:rsidRPr="00C05CC7" w:rsidRDefault="0015786A" w:rsidP="0015786A">
            <w:pPr>
              <w:jc w:val="right"/>
              <w:rPr>
                <w:rFonts w:ascii="Arial" w:hAnsi="Arial" w:cs="Arial"/>
                <w:color w:val="000000"/>
                <w:sz w:val="22"/>
                <w:szCs w:val="22"/>
              </w:rPr>
            </w:pPr>
            <w:r w:rsidRPr="00C05CC7">
              <w:rPr>
                <w:rFonts w:ascii="Arial" w:hAnsi="Arial" w:cs="Arial"/>
                <w:color w:val="000000"/>
                <w:sz w:val="22"/>
                <w:szCs w:val="22"/>
              </w:rPr>
              <w:t>(1</w:t>
            </w:r>
            <w:r>
              <w:rPr>
                <w:rFonts w:ascii="Arial" w:hAnsi="Arial" w:cs="Arial"/>
                <w:color w:val="000000"/>
                <w:sz w:val="22"/>
                <w:szCs w:val="22"/>
              </w:rPr>
              <w:t>14</w:t>
            </w:r>
            <w:r w:rsidRPr="00C05CC7">
              <w:rPr>
                <w:rFonts w:ascii="Arial" w:hAnsi="Arial" w:cs="Arial"/>
                <w:color w:val="000000"/>
                <w:sz w:val="22"/>
                <w:szCs w:val="22"/>
              </w:rPr>
              <w:t>,</w:t>
            </w:r>
            <w:r>
              <w:rPr>
                <w:rFonts w:ascii="Arial" w:hAnsi="Arial" w:cs="Arial"/>
                <w:color w:val="000000"/>
                <w:sz w:val="22"/>
                <w:szCs w:val="22"/>
              </w:rPr>
              <w:t>749</w:t>
            </w:r>
            <w:r w:rsidRPr="00C05CC7">
              <w:rPr>
                <w:rFonts w:ascii="Arial" w:hAnsi="Arial" w:cs="Arial"/>
                <w:color w:val="000000"/>
                <w:sz w:val="22"/>
                <w:szCs w:val="22"/>
              </w:rPr>
              <w:t>)</w:t>
            </w:r>
          </w:p>
        </w:tc>
        <w:tc>
          <w:tcPr>
            <w:tcW w:w="1346" w:type="dxa"/>
            <w:tcBorders>
              <w:top w:val="nil"/>
              <w:left w:val="nil"/>
              <w:bottom w:val="nil"/>
              <w:right w:val="nil"/>
            </w:tcBorders>
            <w:shd w:val="clear" w:color="000000" w:fill="CCCCCC"/>
            <w:vAlign w:val="center"/>
            <w:hideMark/>
          </w:tcPr>
          <w:p w14:paraId="0B9C1D3E" w14:textId="1F101F3D"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(114,786)</w:t>
            </w:r>
          </w:p>
        </w:tc>
        <w:tc>
          <w:tcPr>
            <w:tcW w:w="4737" w:type="dxa"/>
            <w:tcBorders>
              <w:top w:val="nil"/>
              <w:left w:val="nil"/>
              <w:bottom w:val="nil"/>
              <w:right w:val="nil"/>
            </w:tcBorders>
            <w:shd w:val="clear" w:color="000000" w:fill="CCCCCC"/>
            <w:vAlign w:val="center"/>
            <w:hideMark/>
          </w:tcPr>
          <w:p w14:paraId="7F1A9947" w14:textId="5C34EE30" w:rsidR="0015786A" w:rsidRPr="00833772" w:rsidRDefault="0015786A" w:rsidP="0015786A">
            <w:pPr>
              <w:rPr>
                <w:rFonts w:ascii="Arial" w:hAnsi="Arial" w:cs="Arial"/>
                <w:color w:val="000000"/>
                <w:sz w:val="22"/>
                <w:szCs w:val="22"/>
              </w:rPr>
            </w:pPr>
            <w:r w:rsidRPr="00833772">
              <w:rPr>
                <w:rFonts w:ascii="Arial" w:hAnsi="Arial" w:cs="Arial"/>
                <w:color w:val="000000"/>
                <w:sz w:val="22"/>
                <w:szCs w:val="22"/>
              </w:rPr>
              <w:t>Revaluation Reserve</w:t>
            </w:r>
          </w:p>
        </w:tc>
        <w:tc>
          <w:tcPr>
            <w:tcW w:w="1612" w:type="dxa"/>
            <w:tcBorders>
              <w:top w:val="nil"/>
              <w:left w:val="nil"/>
              <w:bottom w:val="nil"/>
              <w:right w:val="nil"/>
            </w:tcBorders>
            <w:vAlign w:val="center"/>
            <w:hideMark/>
          </w:tcPr>
          <w:p w14:paraId="3A773D1E" w14:textId="5D69588C" w:rsidR="0015786A" w:rsidRPr="00C05CC7" w:rsidRDefault="0015786A" w:rsidP="0015786A">
            <w:pPr>
              <w:jc w:val="right"/>
              <w:rPr>
                <w:rFonts w:ascii="Arial" w:hAnsi="Arial" w:cs="Arial"/>
                <w:color w:val="000000"/>
                <w:sz w:val="22"/>
                <w:szCs w:val="22"/>
              </w:rPr>
            </w:pPr>
            <w:r w:rsidRPr="00C05CC7">
              <w:rPr>
                <w:rFonts w:ascii="Arial" w:hAnsi="Arial" w:cs="Arial"/>
                <w:color w:val="000000"/>
                <w:sz w:val="22"/>
                <w:szCs w:val="22"/>
              </w:rPr>
              <w:t>(1</w:t>
            </w:r>
            <w:r>
              <w:rPr>
                <w:rFonts w:ascii="Arial" w:hAnsi="Arial" w:cs="Arial"/>
                <w:color w:val="000000"/>
                <w:sz w:val="22"/>
                <w:szCs w:val="22"/>
              </w:rPr>
              <w:t>14</w:t>
            </w:r>
            <w:r w:rsidRPr="00C05CC7">
              <w:rPr>
                <w:rFonts w:ascii="Arial" w:hAnsi="Arial" w:cs="Arial"/>
                <w:color w:val="000000"/>
                <w:sz w:val="22"/>
                <w:szCs w:val="22"/>
              </w:rPr>
              <w:t>,</w:t>
            </w:r>
            <w:r>
              <w:rPr>
                <w:rFonts w:ascii="Arial" w:hAnsi="Arial" w:cs="Arial"/>
                <w:color w:val="000000"/>
                <w:sz w:val="22"/>
                <w:szCs w:val="22"/>
              </w:rPr>
              <w:t>749</w:t>
            </w:r>
            <w:r w:rsidRPr="00C05CC7">
              <w:rPr>
                <w:rFonts w:ascii="Arial" w:hAnsi="Arial" w:cs="Arial"/>
                <w:color w:val="000000"/>
                <w:sz w:val="22"/>
                <w:szCs w:val="22"/>
              </w:rPr>
              <w:t>)</w:t>
            </w:r>
          </w:p>
        </w:tc>
        <w:tc>
          <w:tcPr>
            <w:tcW w:w="1342" w:type="dxa"/>
            <w:tcBorders>
              <w:top w:val="nil"/>
              <w:left w:val="nil"/>
              <w:bottom w:val="nil"/>
              <w:right w:val="single" w:sz="8" w:space="0" w:color="auto"/>
            </w:tcBorders>
            <w:shd w:val="clear" w:color="000000" w:fill="CCCCCC"/>
            <w:vAlign w:val="center"/>
            <w:hideMark/>
          </w:tcPr>
          <w:p w14:paraId="0B707959" w14:textId="0E649442" w:rsidR="0015786A" w:rsidRPr="00C05CC7" w:rsidRDefault="0015786A" w:rsidP="0015786A">
            <w:pPr>
              <w:jc w:val="right"/>
              <w:rPr>
                <w:rFonts w:ascii="Arial" w:hAnsi="Arial" w:cs="Arial"/>
                <w:color w:val="000000"/>
                <w:sz w:val="22"/>
                <w:szCs w:val="22"/>
              </w:rPr>
            </w:pPr>
            <w:r>
              <w:rPr>
                <w:rFonts w:ascii="Arial" w:hAnsi="Arial" w:cs="Arial"/>
                <w:color w:val="000000"/>
                <w:sz w:val="22"/>
                <w:szCs w:val="22"/>
              </w:rPr>
              <w:t>(114,786)</w:t>
            </w:r>
          </w:p>
        </w:tc>
      </w:tr>
      <w:tr w:rsidR="0015786A" w:rsidRPr="00833772" w14:paraId="557954E4" w14:textId="77777777">
        <w:trPr>
          <w:trHeight w:val="300"/>
        </w:trPr>
        <w:tc>
          <w:tcPr>
            <w:tcW w:w="1343" w:type="dxa"/>
            <w:tcBorders>
              <w:top w:val="nil"/>
              <w:left w:val="single" w:sz="4" w:space="0" w:color="auto"/>
              <w:bottom w:val="nil"/>
              <w:right w:val="nil"/>
            </w:tcBorders>
            <w:vAlign w:val="center"/>
            <w:hideMark/>
          </w:tcPr>
          <w:p w14:paraId="1F279F84" w14:textId="56240FFC" w:rsidR="0015786A" w:rsidRPr="00C05CC7" w:rsidRDefault="0015786A" w:rsidP="0015786A">
            <w:pPr>
              <w:jc w:val="right"/>
              <w:rPr>
                <w:rFonts w:ascii="Arial" w:hAnsi="Arial" w:cs="Arial"/>
                <w:color w:val="000000"/>
                <w:sz w:val="22"/>
                <w:szCs w:val="22"/>
              </w:rPr>
            </w:pPr>
            <w:r w:rsidRPr="00C05CC7">
              <w:rPr>
                <w:rFonts w:ascii="Arial" w:hAnsi="Arial" w:cs="Arial"/>
                <w:color w:val="000000"/>
                <w:sz w:val="22"/>
                <w:szCs w:val="22"/>
              </w:rPr>
              <w:t>(6</w:t>
            </w:r>
            <w:r>
              <w:rPr>
                <w:rFonts w:ascii="Arial" w:hAnsi="Arial" w:cs="Arial"/>
                <w:color w:val="000000"/>
                <w:sz w:val="22"/>
                <w:szCs w:val="22"/>
              </w:rPr>
              <w:t>2</w:t>
            </w:r>
            <w:r w:rsidRPr="00C05CC7">
              <w:rPr>
                <w:rFonts w:ascii="Arial" w:hAnsi="Arial" w:cs="Arial"/>
                <w:color w:val="000000"/>
                <w:sz w:val="22"/>
                <w:szCs w:val="22"/>
              </w:rPr>
              <w:t>,</w:t>
            </w:r>
            <w:r>
              <w:rPr>
                <w:rFonts w:ascii="Arial" w:hAnsi="Arial" w:cs="Arial"/>
                <w:color w:val="000000"/>
                <w:sz w:val="22"/>
                <w:szCs w:val="22"/>
              </w:rPr>
              <w:t>184</w:t>
            </w:r>
            <w:r w:rsidRPr="00C05CC7">
              <w:rPr>
                <w:rFonts w:ascii="Arial" w:hAnsi="Arial" w:cs="Arial"/>
                <w:color w:val="000000"/>
                <w:sz w:val="22"/>
                <w:szCs w:val="22"/>
              </w:rPr>
              <w:t>)</w:t>
            </w:r>
          </w:p>
        </w:tc>
        <w:tc>
          <w:tcPr>
            <w:tcW w:w="1346" w:type="dxa"/>
            <w:tcBorders>
              <w:top w:val="nil"/>
              <w:left w:val="nil"/>
              <w:bottom w:val="nil"/>
              <w:right w:val="nil"/>
            </w:tcBorders>
            <w:shd w:val="clear" w:color="000000" w:fill="CCCCCC"/>
            <w:vAlign w:val="center"/>
            <w:hideMark/>
          </w:tcPr>
          <w:p w14:paraId="4E1F55A8" w14:textId="1D753AC6"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(57,879)</w:t>
            </w:r>
          </w:p>
        </w:tc>
        <w:tc>
          <w:tcPr>
            <w:tcW w:w="4737" w:type="dxa"/>
            <w:tcBorders>
              <w:top w:val="nil"/>
              <w:left w:val="nil"/>
              <w:bottom w:val="nil"/>
              <w:right w:val="nil"/>
            </w:tcBorders>
            <w:shd w:val="clear" w:color="000000" w:fill="CCCCCC"/>
            <w:vAlign w:val="center"/>
            <w:hideMark/>
          </w:tcPr>
          <w:p w14:paraId="2325EB8B" w14:textId="32D5EC50" w:rsidR="0015786A" w:rsidRPr="00833772" w:rsidRDefault="0015786A" w:rsidP="0015786A">
            <w:pPr>
              <w:rPr>
                <w:rFonts w:ascii="Arial" w:hAnsi="Arial" w:cs="Arial"/>
                <w:color w:val="000000"/>
                <w:sz w:val="22"/>
                <w:szCs w:val="22"/>
              </w:rPr>
            </w:pPr>
            <w:r w:rsidRPr="00833772">
              <w:rPr>
                <w:rFonts w:ascii="Arial" w:hAnsi="Arial" w:cs="Arial"/>
                <w:color w:val="000000"/>
                <w:sz w:val="22"/>
                <w:szCs w:val="22"/>
              </w:rPr>
              <w:t>Capital Adjustment Account</w:t>
            </w:r>
          </w:p>
        </w:tc>
        <w:tc>
          <w:tcPr>
            <w:tcW w:w="1612" w:type="dxa"/>
            <w:tcBorders>
              <w:top w:val="nil"/>
              <w:left w:val="nil"/>
              <w:bottom w:val="nil"/>
              <w:right w:val="nil"/>
            </w:tcBorders>
            <w:vAlign w:val="center"/>
            <w:hideMark/>
          </w:tcPr>
          <w:p w14:paraId="00CA015A" w14:textId="22AE12A2" w:rsidR="0015786A" w:rsidRPr="00C05CC7" w:rsidRDefault="0015786A" w:rsidP="0015786A">
            <w:pPr>
              <w:jc w:val="right"/>
              <w:rPr>
                <w:rFonts w:ascii="Arial" w:hAnsi="Arial" w:cs="Arial"/>
                <w:color w:val="000000"/>
                <w:sz w:val="22"/>
                <w:szCs w:val="22"/>
              </w:rPr>
            </w:pPr>
            <w:r w:rsidRPr="00C05CC7">
              <w:rPr>
                <w:rFonts w:ascii="Arial" w:hAnsi="Arial" w:cs="Arial"/>
                <w:color w:val="000000"/>
                <w:sz w:val="22"/>
                <w:szCs w:val="22"/>
              </w:rPr>
              <w:t>(6</w:t>
            </w:r>
            <w:r>
              <w:rPr>
                <w:rFonts w:ascii="Arial" w:hAnsi="Arial" w:cs="Arial"/>
                <w:color w:val="000000"/>
                <w:sz w:val="22"/>
                <w:szCs w:val="22"/>
              </w:rPr>
              <w:t>2</w:t>
            </w:r>
            <w:r w:rsidRPr="00C05CC7">
              <w:rPr>
                <w:rFonts w:ascii="Arial" w:hAnsi="Arial" w:cs="Arial"/>
                <w:color w:val="000000"/>
                <w:sz w:val="22"/>
                <w:szCs w:val="22"/>
              </w:rPr>
              <w:t>,</w:t>
            </w:r>
            <w:r>
              <w:rPr>
                <w:rFonts w:ascii="Arial" w:hAnsi="Arial" w:cs="Arial"/>
                <w:color w:val="000000"/>
                <w:sz w:val="22"/>
                <w:szCs w:val="22"/>
              </w:rPr>
              <w:t>184</w:t>
            </w:r>
            <w:r w:rsidRPr="00C05CC7">
              <w:rPr>
                <w:rFonts w:ascii="Arial" w:hAnsi="Arial" w:cs="Arial"/>
                <w:color w:val="000000"/>
                <w:sz w:val="22"/>
                <w:szCs w:val="22"/>
              </w:rPr>
              <w:t>)</w:t>
            </w:r>
          </w:p>
        </w:tc>
        <w:tc>
          <w:tcPr>
            <w:tcW w:w="1342" w:type="dxa"/>
            <w:tcBorders>
              <w:top w:val="nil"/>
              <w:left w:val="nil"/>
              <w:bottom w:val="nil"/>
              <w:right w:val="single" w:sz="8" w:space="0" w:color="auto"/>
            </w:tcBorders>
            <w:shd w:val="clear" w:color="000000" w:fill="CCCCCC"/>
            <w:vAlign w:val="center"/>
            <w:hideMark/>
          </w:tcPr>
          <w:p w14:paraId="60A2829B" w14:textId="486EF200" w:rsidR="0015786A" w:rsidRPr="00C05CC7" w:rsidRDefault="0015786A" w:rsidP="0015786A">
            <w:pPr>
              <w:jc w:val="right"/>
              <w:rPr>
                <w:rFonts w:ascii="Arial" w:hAnsi="Arial" w:cs="Arial"/>
                <w:color w:val="000000"/>
                <w:sz w:val="22"/>
                <w:szCs w:val="22"/>
              </w:rPr>
            </w:pPr>
            <w:r>
              <w:rPr>
                <w:rFonts w:ascii="Arial" w:hAnsi="Arial" w:cs="Arial"/>
                <w:color w:val="000000"/>
                <w:sz w:val="22"/>
                <w:szCs w:val="22"/>
              </w:rPr>
              <w:t>(57,879)</w:t>
            </w:r>
          </w:p>
        </w:tc>
      </w:tr>
      <w:tr w:rsidR="0015786A" w:rsidRPr="00833772" w14:paraId="0052149F" w14:textId="77777777">
        <w:trPr>
          <w:trHeight w:val="300"/>
        </w:trPr>
        <w:tc>
          <w:tcPr>
            <w:tcW w:w="1343" w:type="dxa"/>
            <w:tcBorders>
              <w:top w:val="nil"/>
              <w:left w:val="single" w:sz="4" w:space="0" w:color="auto"/>
              <w:bottom w:val="nil"/>
              <w:right w:val="nil"/>
            </w:tcBorders>
            <w:vAlign w:val="center"/>
            <w:hideMark/>
          </w:tcPr>
          <w:p w14:paraId="2ABA994E" w14:textId="6FB613C8"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183</w:t>
            </w:r>
          </w:p>
        </w:tc>
        <w:tc>
          <w:tcPr>
            <w:tcW w:w="1346" w:type="dxa"/>
            <w:tcBorders>
              <w:top w:val="nil"/>
              <w:left w:val="nil"/>
              <w:bottom w:val="nil"/>
              <w:right w:val="nil"/>
            </w:tcBorders>
            <w:shd w:val="clear" w:color="000000" w:fill="CCCCCC"/>
            <w:vAlign w:val="center"/>
            <w:hideMark/>
          </w:tcPr>
          <w:p w14:paraId="5397FD15" w14:textId="3A06AB75" w:rsidR="0015786A" w:rsidRPr="005E2F77" w:rsidRDefault="0015786A" w:rsidP="0015786A">
            <w:pPr>
              <w:jc w:val="right"/>
              <w:rPr>
                <w:rFonts w:ascii="Arial" w:hAnsi="Arial" w:cs="Arial"/>
                <w:color w:val="000000"/>
                <w:sz w:val="22"/>
                <w:szCs w:val="22"/>
                <w:highlight w:val="cyan"/>
              </w:rPr>
            </w:pPr>
            <w:r>
              <w:rPr>
                <w:rFonts w:ascii="Arial" w:hAnsi="Arial" w:cs="Arial"/>
                <w:color w:val="000000"/>
                <w:sz w:val="22"/>
                <w:szCs w:val="22"/>
              </w:rPr>
              <w:t>93</w:t>
            </w:r>
          </w:p>
        </w:tc>
        <w:tc>
          <w:tcPr>
            <w:tcW w:w="4737" w:type="dxa"/>
            <w:tcBorders>
              <w:top w:val="nil"/>
              <w:left w:val="nil"/>
              <w:bottom w:val="nil"/>
              <w:right w:val="nil"/>
            </w:tcBorders>
            <w:shd w:val="clear" w:color="000000" w:fill="CCCCCC"/>
            <w:vAlign w:val="center"/>
            <w:hideMark/>
          </w:tcPr>
          <w:p w14:paraId="08D4EDDE" w14:textId="77777777" w:rsidR="0015786A" w:rsidRPr="00833772" w:rsidRDefault="0015786A" w:rsidP="0015786A">
            <w:pPr>
              <w:rPr>
                <w:rFonts w:ascii="Arial" w:hAnsi="Arial" w:cs="Arial"/>
                <w:color w:val="000000"/>
                <w:sz w:val="22"/>
                <w:szCs w:val="22"/>
              </w:rPr>
            </w:pPr>
            <w:r w:rsidRPr="00833772">
              <w:rPr>
                <w:rFonts w:ascii="Arial" w:hAnsi="Arial" w:cs="Arial"/>
                <w:color w:val="000000"/>
                <w:sz w:val="22"/>
                <w:szCs w:val="22"/>
              </w:rPr>
              <w:t>Pensions Reserve</w:t>
            </w:r>
          </w:p>
        </w:tc>
        <w:tc>
          <w:tcPr>
            <w:tcW w:w="1612" w:type="dxa"/>
            <w:tcBorders>
              <w:top w:val="nil"/>
              <w:left w:val="nil"/>
              <w:bottom w:val="nil"/>
              <w:right w:val="nil"/>
            </w:tcBorders>
            <w:vAlign w:val="center"/>
            <w:hideMark/>
          </w:tcPr>
          <w:p w14:paraId="6BB60BF4" w14:textId="2A5759E1" w:rsidR="0015786A" w:rsidRPr="00833772" w:rsidRDefault="0015786A" w:rsidP="0015786A">
            <w:pPr>
              <w:jc w:val="right"/>
              <w:rPr>
                <w:rFonts w:ascii="Arial" w:hAnsi="Arial" w:cs="Arial"/>
                <w:color w:val="000000"/>
                <w:sz w:val="22"/>
                <w:szCs w:val="22"/>
              </w:rPr>
            </w:pPr>
            <w:r w:rsidRPr="00833772">
              <w:rPr>
                <w:rFonts w:ascii="Arial" w:hAnsi="Arial" w:cs="Arial"/>
                <w:color w:val="000000"/>
                <w:sz w:val="22"/>
                <w:szCs w:val="22"/>
              </w:rPr>
              <w:t>2,8</w:t>
            </w:r>
            <w:r>
              <w:rPr>
                <w:rFonts w:ascii="Arial" w:hAnsi="Arial" w:cs="Arial"/>
                <w:color w:val="000000"/>
                <w:sz w:val="22"/>
                <w:szCs w:val="22"/>
              </w:rPr>
              <w:t>74</w:t>
            </w:r>
            <w:r w:rsidRPr="00833772">
              <w:rPr>
                <w:rFonts w:ascii="Arial" w:hAnsi="Arial" w:cs="Arial"/>
                <w:color w:val="000000"/>
                <w:sz w:val="22"/>
                <w:szCs w:val="22"/>
              </w:rPr>
              <w:t>,</w:t>
            </w:r>
            <w:r>
              <w:rPr>
                <w:rFonts w:ascii="Arial" w:hAnsi="Arial" w:cs="Arial"/>
                <w:color w:val="000000"/>
                <w:sz w:val="22"/>
                <w:szCs w:val="22"/>
              </w:rPr>
              <w:t>067</w:t>
            </w:r>
          </w:p>
        </w:tc>
        <w:tc>
          <w:tcPr>
            <w:tcW w:w="1342" w:type="dxa"/>
            <w:tcBorders>
              <w:top w:val="nil"/>
              <w:left w:val="nil"/>
              <w:bottom w:val="nil"/>
              <w:right w:val="single" w:sz="8" w:space="0" w:color="auto"/>
            </w:tcBorders>
            <w:shd w:val="clear" w:color="000000" w:fill="CCCCCC"/>
            <w:vAlign w:val="center"/>
            <w:hideMark/>
          </w:tcPr>
          <w:p w14:paraId="41F57338" w14:textId="2CF65F3A"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2,500,704</w:t>
            </w:r>
          </w:p>
        </w:tc>
      </w:tr>
      <w:tr w:rsidR="0015786A" w:rsidRPr="00833772" w14:paraId="01658097" w14:textId="77777777">
        <w:trPr>
          <w:trHeight w:val="600"/>
        </w:trPr>
        <w:tc>
          <w:tcPr>
            <w:tcW w:w="1343" w:type="dxa"/>
            <w:tcBorders>
              <w:top w:val="nil"/>
              <w:left w:val="single" w:sz="4" w:space="0" w:color="auto"/>
              <w:bottom w:val="nil"/>
              <w:right w:val="nil"/>
            </w:tcBorders>
            <w:vAlign w:val="center"/>
            <w:hideMark/>
          </w:tcPr>
          <w:p w14:paraId="67EDD31A" w14:textId="67924112" w:rsidR="0015786A" w:rsidRPr="00833772" w:rsidRDefault="0015786A" w:rsidP="0015786A">
            <w:pPr>
              <w:jc w:val="right"/>
              <w:rPr>
                <w:rFonts w:ascii="Arial" w:hAnsi="Arial" w:cs="Arial"/>
                <w:color w:val="000000"/>
                <w:sz w:val="22"/>
                <w:szCs w:val="22"/>
              </w:rPr>
            </w:pPr>
            <w:r w:rsidRPr="00833772">
              <w:rPr>
                <w:rFonts w:ascii="Arial" w:hAnsi="Arial" w:cs="Arial"/>
                <w:color w:val="000000"/>
                <w:sz w:val="22"/>
                <w:szCs w:val="22"/>
              </w:rPr>
              <w:t>3</w:t>
            </w:r>
            <w:r>
              <w:rPr>
                <w:rFonts w:ascii="Arial" w:hAnsi="Arial" w:cs="Arial"/>
                <w:color w:val="000000"/>
                <w:sz w:val="22"/>
                <w:szCs w:val="22"/>
              </w:rPr>
              <w:t>45</w:t>
            </w:r>
          </w:p>
        </w:tc>
        <w:tc>
          <w:tcPr>
            <w:tcW w:w="1346" w:type="dxa"/>
            <w:tcBorders>
              <w:top w:val="nil"/>
              <w:left w:val="nil"/>
              <w:bottom w:val="nil"/>
              <w:right w:val="nil"/>
            </w:tcBorders>
            <w:shd w:val="clear" w:color="000000" w:fill="CCCCCC"/>
            <w:vAlign w:val="center"/>
            <w:hideMark/>
          </w:tcPr>
          <w:p w14:paraId="29C88742" w14:textId="07CC02E9"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(1,202)</w:t>
            </w:r>
          </w:p>
        </w:tc>
        <w:tc>
          <w:tcPr>
            <w:tcW w:w="4737" w:type="dxa"/>
            <w:tcBorders>
              <w:top w:val="nil"/>
              <w:left w:val="nil"/>
              <w:bottom w:val="nil"/>
              <w:right w:val="nil"/>
            </w:tcBorders>
            <w:shd w:val="clear" w:color="000000" w:fill="CCCCCC"/>
            <w:vAlign w:val="center"/>
            <w:hideMark/>
          </w:tcPr>
          <w:p w14:paraId="0CF9A5AD" w14:textId="77777777" w:rsidR="0015786A" w:rsidRPr="00833772" w:rsidRDefault="0015786A" w:rsidP="0015786A">
            <w:pPr>
              <w:rPr>
                <w:rFonts w:ascii="Arial" w:hAnsi="Arial" w:cs="Arial"/>
                <w:color w:val="000000"/>
                <w:sz w:val="22"/>
                <w:szCs w:val="22"/>
              </w:rPr>
            </w:pPr>
            <w:r w:rsidRPr="00833772">
              <w:rPr>
                <w:rFonts w:ascii="Arial" w:hAnsi="Arial" w:cs="Arial"/>
                <w:color w:val="000000"/>
                <w:sz w:val="22"/>
                <w:szCs w:val="22"/>
              </w:rPr>
              <w:t>Collection Fund Adjustment Account</w:t>
            </w:r>
          </w:p>
        </w:tc>
        <w:tc>
          <w:tcPr>
            <w:tcW w:w="1612" w:type="dxa"/>
            <w:tcBorders>
              <w:top w:val="nil"/>
              <w:left w:val="nil"/>
              <w:bottom w:val="nil"/>
              <w:right w:val="nil"/>
            </w:tcBorders>
            <w:vAlign w:val="center"/>
            <w:hideMark/>
          </w:tcPr>
          <w:p w14:paraId="6055A840" w14:textId="64AFE027"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345</w:t>
            </w:r>
          </w:p>
        </w:tc>
        <w:tc>
          <w:tcPr>
            <w:tcW w:w="1342" w:type="dxa"/>
            <w:tcBorders>
              <w:top w:val="nil"/>
              <w:left w:val="nil"/>
              <w:bottom w:val="nil"/>
              <w:right w:val="single" w:sz="8" w:space="0" w:color="auto"/>
            </w:tcBorders>
            <w:shd w:val="clear" w:color="000000" w:fill="CCCCCC"/>
            <w:vAlign w:val="center"/>
            <w:hideMark/>
          </w:tcPr>
          <w:p w14:paraId="51248740" w14:textId="3557C93C"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(1,202)</w:t>
            </w:r>
          </w:p>
        </w:tc>
      </w:tr>
      <w:tr w:rsidR="0015786A" w:rsidRPr="00833772" w14:paraId="6B7DC1F0" w14:textId="77777777">
        <w:trPr>
          <w:trHeight w:val="300"/>
        </w:trPr>
        <w:tc>
          <w:tcPr>
            <w:tcW w:w="1343" w:type="dxa"/>
            <w:tcBorders>
              <w:top w:val="nil"/>
              <w:left w:val="single" w:sz="4" w:space="0" w:color="auto"/>
              <w:bottom w:val="nil"/>
              <w:right w:val="nil"/>
            </w:tcBorders>
            <w:vAlign w:val="center"/>
            <w:hideMark/>
          </w:tcPr>
          <w:p w14:paraId="2E02C845" w14:textId="60A801B4"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9</w:t>
            </w:r>
          </w:p>
        </w:tc>
        <w:tc>
          <w:tcPr>
            <w:tcW w:w="1346" w:type="dxa"/>
            <w:tcBorders>
              <w:top w:val="nil"/>
              <w:left w:val="nil"/>
              <w:bottom w:val="nil"/>
              <w:right w:val="nil"/>
            </w:tcBorders>
            <w:shd w:val="clear" w:color="000000" w:fill="CCCCCC"/>
            <w:vAlign w:val="center"/>
            <w:hideMark/>
          </w:tcPr>
          <w:p w14:paraId="3BC9C760" w14:textId="4A8A2BA1"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19</w:t>
            </w:r>
          </w:p>
        </w:tc>
        <w:tc>
          <w:tcPr>
            <w:tcW w:w="4737" w:type="dxa"/>
            <w:tcBorders>
              <w:top w:val="nil"/>
              <w:left w:val="nil"/>
              <w:bottom w:val="nil"/>
              <w:right w:val="nil"/>
            </w:tcBorders>
            <w:shd w:val="clear" w:color="000000" w:fill="CCCCCC"/>
            <w:vAlign w:val="center"/>
            <w:hideMark/>
          </w:tcPr>
          <w:p w14:paraId="46F277B7" w14:textId="77777777" w:rsidR="0015786A" w:rsidRPr="00833772" w:rsidRDefault="0015786A" w:rsidP="0015786A">
            <w:pPr>
              <w:rPr>
                <w:rFonts w:ascii="Arial" w:hAnsi="Arial" w:cs="Arial"/>
                <w:color w:val="000000"/>
                <w:sz w:val="22"/>
                <w:szCs w:val="22"/>
              </w:rPr>
            </w:pPr>
            <w:r w:rsidRPr="00833772">
              <w:rPr>
                <w:rFonts w:ascii="Arial" w:hAnsi="Arial" w:cs="Arial"/>
                <w:color w:val="000000"/>
                <w:sz w:val="22"/>
                <w:szCs w:val="22"/>
              </w:rPr>
              <w:t>Accumulated Absences Account</w:t>
            </w:r>
          </w:p>
        </w:tc>
        <w:tc>
          <w:tcPr>
            <w:tcW w:w="1612" w:type="dxa"/>
            <w:tcBorders>
              <w:top w:val="nil"/>
              <w:left w:val="nil"/>
              <w:bottom w:val="nil"/>
              <w:right w:val="nil"/>
            </w:tcBorders>
            <w:vAlign w:val="center"/>
            <w:hideMark/>
          </w:tcPr>
          <w:p w14:paraId="5EE794B9" w14:textId="5598372F"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7,775</w:t>
            </w:r>
          </w:p>
        </w:tc>
        <w:tc>
          <w:tcPr>
            <w:tcW w:w="1342" w:type="dxa"/>
            <w:tcBorders>
              <w:top w:val="nil"/>
              <w:left w:val="nil"/>
              <w:bottom w:val="nil"/>
              <w:right w:val="single" w:sz="8" w:space="0" w:color="auto"/>
            </w:tcBorders>
            <w:shd w:val="clear" w:color="000000" w:fill="CCCCCC"/>
            <w:vAlign w:val="center"/>
            <w:hideMark/>
          </w:tcPr>
          <w:p w14:paraId="754176F6" w14:textId="559E60ED" w:rsidR="0015786A" w:rsidRPr="00833772" w:rsidRDefault="0015786A" w:rsidP="0015786A">
            <w:pPr>
              <w:jc w:val="right"/>
              <w:rPr>
                <w:rFonts w:ascii="Arial" w:hAnsi="Arial" w:cs="Arial"/>
                <w:color w:val="000000"/>
                <w:sz w:val="22"/>
                <w:szCs w:val="22"/>
              </w:rPr>
            </w:pPr>
            <w:r>
              <w:rPr>
                <w:rFonts w:ascii="Arial" w:hAnsi="Arial" w:cs="Arial"/>
                <w:color w:val="000000"/>
                <w:sz w:val="22"/>
                <w:szCs w:val="22"/>
              </w:rPr>
              <w:t>6,314</w:t>
            </w:r>
          </w:p>
        </w:tc>
      </w:tr>
      <w:tr w:rsidR="0015786A" w:rsidRPr="00833772" w14:paraId="5F6C71C8" w14:textId="77777777">
        <w:trPr>
          <w:trHeight w:val="300"/>
        </w:trPr>
        <w:tc>
          <w:tcPr>
            <w:tcW w:w="1343" w:type="dxa"/>
            <w:tcBorders>
              <w:top w:val="single" w:sz="8" w:space="0" w:color="auto"/>
              <w:left w:val="single" w:sz="4" w:space="0" w:color="auto"/>
              <w:bottom w:val="single" w:sz="4" w:space="0" w:color="auto"/>
              <w:right w:val="nil"/>
            </w:tcBorders>
            <w:vAlign w:val="center"/>
            <w:hideMark/>
          </w:tcPr>
          <w:p w14:paraId="5285F6B8" w14:textId="0B2CD1E2" w:rsidR="0015786A" w:rsidRPr="00833772" w:rsidRDefault="0015786A" w:rsidP="0015786A">
            <w:pPr>
              <w:jc w:val="right"/>
              <w:rPr>
                <w:rFonts w:ascii="Arial" w:hAnsi="Arial" w:cs="Arial"/>
                <w:b/>
                <w:bCs/>
                <w:color w:val="000000"/>
                <w:sz w:val="22"/>
                <w:szCs w:val="22"/>
              </w:rPr>
            </w:pPr>
            <w:r>
              <w:rPr>
                <w:rFonts w:ascii="Arial" w:hAnsi="Arial" w:cs="Arial"/>
                <w:b/>
                <w:bCs/>
                <w:color w:val="000000"/>
                <w:sz w:val="22"/>
                <w:szCs w:val="22"/>
              </w:rPr>
              <w:t>(</w:t>
            </w:r>
            <w:r w:rsidRPr="00833772">
              <w:rPr>
                <w:rFonts w:ascii="Arial" w:hAnsi="Arial" w:cs="Arial"/>
                <w:b/>
                <w:bCs/>
                <w:color w:val="000000"/>
                <w:sz w:val="22"/>
                <w:szCs w:val="22"/>
              </w:rPr>
              <w:t>1</w:t>
            </w:r>
            <w:r>
              <w:rPr>
                <w:rFonts w:ascii="Arial" w:hAnsi="Arial" w:cs="Arial"/>
                <w:b/>
                <w:bCs/>
                <w:color w:val="000000"/>
                <w:sz w:val="22"/>
                <w:szCs w:val="22"/>
              </w:rPr>
              <w:t>7</w:t>
            </w:r>
            <w:r w:rsidRPr="00833772">
              <w:rPr>
                <w:rFonts w:ascii="Arial" w:hAnsi="Arial" w:cs="Arial"/>
                <w:b/>
                <w:bCs/>
                <w:color w:val="000000"/>
                <w:sz w:val="22"/>
                <w:szCs w:val="22"/>
              </w:rPr>
              <w:t>6,</w:t>
            </w:r>
            <w:r>
              <w:rPr>
                <w:rFonts w:ascii="Arial" w:hAnsi="Arial" w:cs="Arial"/>
                <w:b/>
                <w:bCs/>
                <w:color w:val="000000"/>
                <w:sz w:val="22"/>
                <w:szCs w:val="22"/>
              </w:rPr>
              <w:t>397)</w:t>
            </w:r>
          </w:p>
        </w:tc>
        <w:tc>
          <w:tcPr>
            <w:tcW w:w="1346" w:type="dxa"/>
            <w:tcBorders>
              <w:top w:val="single" w:sz="8" w:space="0" w:color="auto"/>
              <w:left w:val="nil"/>
              <w:bottom w:val="single" w:sz="8" w:space="0" w:color="auto"/>
              <w:right w:val="nil"/>
            </w:tcBorders>
            <w:shd w:val="clear" w:color="000000" w:fill="CCCCCC"/>
            <w:vAlign w:val="center"/>
            <w:hideMark/>
          </w:tcPr>
          <w:p w14:paraId="7856C549" w14:textId="0FEDB390" w:rsidR="0015786A" w:rsidRPr="00A519D5" w:rsidRDefault="0015786A" w:rsidP="0015786A">
            <w:pPr>
              <w:jc w:val="right"/>
              <w:rPr>
                <w:rFonts w:ascii="Arial" w:hAnsi="Arial" w:cs="Arial"/>
                <w:b/>
                <w:bCs/>
                <w:color w:val="000000"/>
                <w:sz w:val="22"/>
                <w:szCs w:val="22"/>
              </w:rPr>
            </w:pPr>
            <w:r>
              <w:rPr>
                <w:rFonts w:ascii="Arial" w:hAnsi="Arial" w:cs="Arial"/>
                <w:b/>
                <w:bCs/>
                <w:color w:val="000000"/>
                <w:sz w:val="22"/>
                <w:szCs w:val="22"/>
              </w:rPr>
              <w:t>(173,754)</w:t>
            </w:r>
          </w:p>
        </w:tc>
        <w:tc>
          <w:tcPr>
            <w:tcW w:w="4737" w:type="dxa"/>
            <w:tcBorders>
              <w:top w:val="single" w:sz="8" w:space="0" w:color="auto"/>
              <w:left w:val="nil"/>
              <w:bottom w:val="single" w:sz="4" w:space="0" w:color="auto"/>
              <w:right w:val="nil"/>
            </w:tcBorders>
            <w:shd w:val="clear" w:color="000000" w:fill="CCCCCC"/>
            <w:vAlign w:val="center"/>
            <w:hideMark/>
          </w:tcPr>
          <w:p w14:paraId="33DB768F" w14:textId="77777777" w:rsidR="0015786A" w:rsidRPr="00833772" w:rsidRDefault="0015786A" w:rsidP="0015786A">
            <w:pPr>
              <w:rPr>
                <w:rFonts w:ascii="Arial" w:hAnsi="Arial" w:cs="Arial"/>
                <w:b/>
                <w:bCs/>
                <w:color w:val="000000"/>
                <w:sz w:val="22"/>
                <w:szCs w:val="22"/>
              </w:rPr>
            </w:pPr>
            <w:r w:rsidRPr="00833772">
              <w:rPr>
                <w:rFonts w:ascii="Arial" w:hAnsi="Arial" w:cs="Arial"/>
                <w:b/>
                <w:bCs/>
                <w:color w:val="000000"/>
                <w:sz w:val="22"/>
                <w:szCs w:val="22"/>
              </w:rPr>
              <w:t>Total Unusable Reserves</w:t>
            </w:r>
          </w:p>
        </w:tc>
        <w:tc>
          <w:tcPr>
            <w:tcW w:w="1612" w:type="dxa"/>
            <w:tcBorders>
              <w:top w:val="single" w:sz="8" w:space="0" w:color="auto"/>
              <w:left w:val="single" w:sz="8" w:space="0" w:color="auto"/>
              <w:bottom w:val="single" w:sz="4" w:space="0" w:color="auto"/>
              <w:right w:val="nil"/>
            </w:tcBorders>
            <w:vAlign w:val="center"/>
            <w:hideMark/>
          </w:tcPr>
          <w:p w14:paraId="05601B4D" w14:textId="1BC90E1B" w:rsidR="0015786A" w:rsidRPr="00833772" w:rsidRDefault="0015786A" w:rsidP="0015786A">
            <w:pPr>
              <w:jc w:val="right"/>
              <w:rPr>
                <w:rFonts w:ascii="Arial" w:hAnsi="Arial" w:cs="Arial"/>
                <w:b/>
                <w:bCs/>
                <w:color w:val="000000"/>
                <w:sz w:val="22"/>
                <w:szCs w:val="22"/>
              </w:rPr>
            </w:pPr>
            <w:r w:rsidRPr="00833772">
              <w:rPr>
                <w:rFonts w:ascii="Arial" w:hAnsi="Arial" w:cs="Arial"/>
                <w:b/>
                <w:bCs/>
                <w:color w:val="000000"/>
                <w:sz w:val="22"/>
                <w:szCs w:val="22"/>
              </w:rPr>
              <w:t>2,7</w:t>
            </w:r>
            <w:r>
              <w:rPr>
                <w:rFonts w:ascii="Arial" w:hAnsi="Arial" w:cs="Arial"/>
                <w:b/>
                <w:bCs/>
                <w:color w:val="000000"/>
                <w:sz w:val="22"/>
                <w:szCs w:val="22"/>
              </w:rPr>
              <w:t>05</w:t>
            </w:r>
            <w:r w:rsidRPr="00833772">
              <w:rPr>
                <w:rFonts w:ascii="Arial" w:hAnsi="Arial" w:cs="Arial"/>
                <w:b/>
                <w:bCs/>
                <w:color w:val="000000"/>
                <w:sz w:val="22"/>
                <w:szCs w:val="22"/>
              </w:rPr>
              <w:t>,</w:t>
            </w:r>
            <w:r>
              <w:rPr>
                <w:rFonts w:ascii="Arial" w:hAnsi="Arial" w:cs="Arial"/>
                <w:b/>
                <w:bCs/>
                <w:color w:val="000000"/>
                <w:sz w:val="22"/>
                <w:szCs w:val="22"/>
              </w:rPr>
              <w:t>253</w:t>
            </w:r>
          </w:p>
        </w:tc>
        <w:tc>
          <w:tcPr>
            <w:tcW w:w="1342" w:type="dxa"/>
            <w:tcBorders>
              <w:top w:val="single" w:sz="8" w:space="0" w:color="auto"/>
              <w:left w:val="nil"/>
              <w:bottom w:val="single" w:sz="8" w:space="0" w:color="auto"/>
              <w:right w:val="single" w:sz="8" w:space="0" w:color="auto"/>
            </w:tcBorders>
            <w:shd w:val="clear" w:color="000000" w:fill="CCCCCC"/>
            <w:vAlign w:val="center"/>
            <w:hideMark/>
          </w:tcPr>
          <w:p w14:paraId="53041A29" w14:textId="72DAAE8D" w:rsidR="0015786A" w:rsidRPr="00833772" w:rsidRDefault="0015786A" w:rsidP="0015786A">
            <w:pPr>
              <w:jc w:val="right"/>
              <w:rPr>
                <w:rFonts w:ascii="Arial" w:hAnsi="Arial" w:cs="Arial"/>
                <w:b/>
                <w:bCs/>
                <w:color w:val="000000"/>
                <w:sz w:val="22"/>
                <w:szCs w:val="22"/>
              </w:rPr>
            </w:pPr>
            <w:r>
              <w:rPr>
                <w:rFonts w:ascii="Arial" w:hAnsi="Arial" w:cs="Arial"/>
                <w:b/>
                <w:bCs/>
                <w:color w:val="000000"/>
                <w:sz w:val="22"/>
                <w:szCs w:val="22"/>
              </w:rPr>
              <w:t>2,333,151</w:t>
            </w:r>
          </w:p>
        </w:tc>
      </w:tr>
    </w:tbl>
    <w:p w14:paraId="4C3FBBC6" w14:textId="6FF14ABE" w:rsidR="000D5F15" w:rsidRDefault="000D5F15">
      <w:pPr>
        <w:rPr>
          <w:rFonts w:ascii="Arial" w:hAnsi="Arial"/>
          <w:b/>
          <w:sz w:val="22"/>
          <w:szCs w:val="22"/>
        </w:rPr>
      </w:pPr>
    </w:p>
    <w:p w14:paraId="6A516086" w14:textId="65997C3A" w:rsidR="003B74DA" w:rsidRPr="00423F14" w:rsidRDefault="003B74DA" w:rsidP="00315701">
      <w:pPr>
        <w:spacing w:after="240"/>
        <w:ind w:left="426"/>
        <w:jc w:val="both"/>
        <w:rPr>
          <w:rFonts w:ascii="Arial" w:hAnsi="Arial"/>
          <w:b/>
          <w:sz w:val="22"/>
          <w:szCs w:val="22"/>
        </w:rPr>
      </w:pPr>
      <w:r w:rsidRPr="00423F14">
        <w:rPr>
          <w:rFonts w:ascii="Arial" w:hAnsi="Arial"/>
          <w:b/>
          <w:sz w:val="22"/>
          <w:szCs w:val="22"/>
        </w:rPr>
        <w:t>Revaluation Reserve</w:t>
      </w:r>
    </w:p>
    <w:p w14:paraId="490453F0" w14:textId="4D47F132" w:rsidR="003B74DA" w:rsidRPr="00423F14" w:rsidRDefault="003B74DA" w:rsidP="00833772">
      <w:pPr>
        <w:tabs>
          <w:tab w:val="right" w:pos="5760"/>
        </w:tabs>
        <w:ind w:left="426"/>
        <w:jc w:val="both"/>
        <w:rPr>
          <w:rFonts w:ascii="Arial" w:hAnsi="Arial"/>
          <w:sz w:val="22"/>
          <w:szCs w:val="22"/>
        </w:rPr>
      </w:pPr>
      <w:r w:rsidRPr="00423F14">
        <w:rPr>
          <w:rFonts w:ascii="Arial" w:hAnsi="Arial"/>
          <w:sz w:val="22"/>
          <w:szCs w:val="22"/>
        </w:rPr>
        <w:t>The revaluation reserve contains the gains made by the PCC arising from increases in value of its property, plant and equipment and intangible assets. The balance is reduced when assets with accumulated gains are:</w:t>
      </w:r>
    </w:p>
    <w:p w14:paraId="4614E837" w14:textId="77777777" w:rsidR="003B74DA" w:rsidRPr="00423F14" w:rsidRDefault="003B74DA" w:rsidP="00833772">
      <w:pPr>
        <w:numPr>
          <w:ilvl w:val="0"/>
          <w:numId w:val="9"/>
        </w:numPr>
        <w:jc w:val="both"/>
        <w:rPr>
          <w:rFonts w:ascii="Arial" w:hAnsi="Arial"/>
          <w:sz w:val="22"/>
          <w:szCs w:val="22"/>
        </w:rPr>
      </w:pPr>
      <w:r w:rsidRPr="00423F14">
        <w:rPr>
          <w:rFonts w:ascii="Arial" w:hAnsi="Arial"/>
          <w:sz w:val="22"/>
          <w:szCs w:val="22"/>
        </w:rPr>
        <w:t>Revalued downwards or impaired and the gains are lost;</w:t>
      </w:r>
    </w:p>
    <w:p w14:paraId="2B1D7181" w14:textId="77777777" w:rsidR="003B74DA" w:rsidRPr="00423F14" w:rsidRDefault="003B74DA" w:rsidP="00833772">
      <w:pPr>
        <w:numPr>
          <w:ilvl w:val="0"/>
          <w:numId w:val="9"/>
        </w:numPr>
        <w:jc w:val="both"/>
        <w:rPr>
          <w:rFonts w:ascii="Arial" w:hAnsi="Arial"/>
          <w:sz w:val="22"/>
          <w:szCs w:val="22"/>
        </w:rPr>
      </w:pPr>
      <w:r w:rsidRPr="00423F14">
        <w:rPr>
          <w:rFonts w:ascii="Arial" w:hAnsi="Arial"/>
          <w:sz w:val="22"/>
          <w:szCs w:val="22"/>
        </w:rPr>
        <w:t>Used in the provision of services and the gains are consumed through depreciation;</w:t>
      </w:r>
    </w:p>
    <w:p w14:paraId="11D63EF1" w14:textId="473ADF2E" w:rsidR="000D5F15" w:rsidRDefault="003B74DA" w:rsidP="000D5F15">
      <w:pPr>
        <w:numPr>
          <w:ilvl w:val="0"/>
          <w:numId w:val="9"/>
        </w:numPr>
        <w:jc w:val="both"/>
        <w:rPr>
          <w:rFonts w:ascii="Arial" w:hAnsi="Arial"/>
          <w:sz w:val="22"/>
          <w:szCs w:val="22"/>
        </w:rPr>
      </w:pPr>
      <w:r w:rsidRPr="00423F14">
        <w:rPr>
          <w:rFonts w:ascii="Arial" w:hAnsi="Arial"/>
          <w:sz w:val="22"/>
          <w:szCs w:val="22"/>
        </w:rPr>
        <w:t>Disposed of and the gains are realised.</w:t>
      </w:r>
    </w:p>
    <w:p w14:paraId="2663789E" w14:textId="77777777" w:rsidR="000D5F15" w:rsidRPr="000D5F15" w:rsidRDefault="000D5F15" w:rsidP="000D5F15">
      <w:pPr>
        <w:ind w:left="1146"/>
        <w:jc w:val="both"/>
        <w:rPr>
          <w:rFonts w:ascii="Arial" w:hAnsi="Arial"/>
          <w:sz w:val="22"/>
          <w:szCs w:val="22"/>
        </w:rPr>
      </w:pPr>
    </w:p>
    <w:p w14:paraId="7D0C1A8D" w14:textId="77777777" w:rsidR="003B74DA" w:rsidRPr="00423F14" w:rsidRDefault="003B74DA" w:rsidP="003B74DA">
      <w:pPr>
        <w:tabs>
          <w:tab w:val="right" w:pos="5760"/>
        </w:tabs>
        <w:ind w:left="426"/>
        <w:jc w:val="both"/>
        <w:rPr>
          <w:rFonts w:ascii="Arial" w:hAnsi="Arial"/>
          <w:sz w:val="22"/>
          <w:szCs w:val="22"/>
        </w:rPr>
      </w:pPr>
      <w:r w:rsidRPr="00423F14">
        <w:rPr>
          <w:rFonts w:ascii="Arial" w:hAnsi="Arial"/>
          <w:sz w:val="22"/>
          <w:szCs w:val="22"/>
        </w:rPr>
        <w:t>The reserve contains only revaluation gains accumulated since 1 April 2007, the date the reserve was created. Accumulated gains arising before that date are consolidated into the balance on the capital adjustment account.</w:t>
      </w:r>
    </w:p>
    <w:p w14:paraId="0E3FCDE2" w14:textId="2DE799FB" w:rsidR="003B74DA" w:rsidRPr="000436E6" w:rsidRDefault="003B74DA" w:rsidP="003B74DA">
      <w:pPr>
        <w:tabs>
          <w:tab w:val="right" w:pos="5760"/>
        </w:tabs>
        <w:ind w:left="426"/>
        <w:rPr>
          <w:rFonts w:ascii="Arial" w:hAnsi="Arial"/>
          <w:b/>
          <w:sz w:val="22"/>
          <w:szCs w:val="22"/>
          <w:highlight w:val="yellow"/>
        </w:rPr>
      </w:pPr>
    </w:p>
    <w:tbl>
      <w:tblPr>
        <w:tblW w:w="9982" w:type="dxa"/>
        <w:tblCellMar>
          <w:top w:w="15" w:type="dxa"/>
          <w:bottom w:w="15" w:type="dxa"/>
        </w:tblCellMar>
        <w:tblLook w:val="04A0" w:firstRow="1" w:lastRow="0" w:firstColumn="1" w:lastColumn="0" w:noHBand="0" w:noVBand="1"/>
      </w:tblPr>
      <w:tblGrid>
        <w:gridCol w:w="6653"/>
        <w:gridCol w:w="1559"/>
        <w:gridCol w:w="1770"/>
      </w:tblGrid>
      <w:tr w:rsidR="00833772" w:rsidRPr="00833772" w14:paraId="7E8BE35B" w14:textId="77777777" w:rsidTr="005E2F77">
        <w:trPr>
          <w:trHeight w:val="239"/>
        </w:trPr>
        <w:tc>
          <w:tcPr>
            <w:tcW w:w="6653" w:type="dxa"/>
            <w:tcBorders>
              <w:top w:val="single" w:sz="8" w:space="0" w:color="auto"/>
              <w:left w:val="single" w:sz="8" w:space="0" w:color="auto"/>
              <w:bottom w:val="nil"/>
              <w:right w:val="nil"/>
            </w:tcBorders>
            <w:shd w:val="clear" w:color="000000" w:fill="CCCCCC"/>
            <w:noWrap/>
            <w:vAlign w:val="center"/>
            <w:hideMark/>
          </w:tcPr>
          <w:p w14:paraId="5895E389" w14:textId="77777777" w:rsidR="00833772" w:rsidRPr="00833772" w:rsidRDefault="00833772" w:rsidP="00833772">
            <w:pPr>
              <w:rPr>
                <w:sz w:val="24"/>
                <w:szCs w:val="24"/>
              </w:rPr>
            </w:pPr>
          </w:p>
        </w:tc>
        <w:tc>
          <w:tcPr>
            <w:tcW w:w="3329" w:type="dxa"/>
            <w:gridSpan w:val="2"/>
            <w:tcBorders>
              <w:top w:val="single" w:sz="8" w:space="0" w:color="auto"/>
              <w:left w:val="nil"/>
              <w:bottom w:val="nil"/>
              <w:right w:val="single" w:sz="4" w:space="0" w:color="auto"/>
            </w:tcBorders>
            <w:shd w:val="clear" w:color="000000" w:fill="CCCCCC"/>
            <w:noWrap/>
            <w:vAlign w:val="center"/>
            <w:hideMark/>
          </w:tcPr>
          <w:p w14:paraId="0946DCA9"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PCC/PCC GROUP</w:t>
            </w:r>
          </w:p>
        </w:tc>
      </w:tr>
      <w:tr w:rsidR="00833772" w:rsidRPr="00833772" w14:paraId="04E59445" w14:textId="77777777" w:rsidTr="005E2F77">
        <w:trPr>
          <w:trHeight w:val="239"/>
        </w:trPr>
        <w:tc>
          <w:tcPr>
            <w:tcW w:w="6653" w:type="dxa"/>
            <w:tcBorders>
              <w:top w:val="nil"/>
              <w:left w:val="single" w:sz="8" w:space="0" w:color="auto"/>
              <w:bottom w:val="nil"/>
              <w:right w:val="nil"/>
            </w:tcBorders>
            <w:shd w:val="clear" w:color="000000" w:fill="CCCCCC"/>
            <w:noWrap/>
            <w:vAlign w:val="center"/>
            <w:hideMark/>
          </w:tcPr>
          <w:p w14:paraId="579E2174" w14:textId="77777777" w:rsidR="00833772" w:rsidRPr="00833772" w:rsidRDefault="00833772" w:rsidP="00833772">
            <w:pPr>
              <w:jc w:val="center"/>
              <w:rPr>
                <w:rFonts w:ascii="Arial" w:hAnsi="Arial" w:cs="Arial"/>
                <w:b/>
                <w:bCs/>
                <w:color w:val="000000"/>
                <w:sz w:val="22"/>
                <w:szCs w:val="22"/>
              </w:rPr>
            </w:pPr>
          </w:p>
        </w:tc>
        <w:tc>
          <w:tcPr>
            <w:tcW w:w="1559" w:type="dxa"/>
            <w:tcBorders>
              <w:top w:val="nil"/>
              <w:left w:val="nil"/>
              <w:bottom w:val="nil"/>
              <w:right w:val="nil"/>
            </w:tcBorders>
            <w:noWrap/>
            <w:vAlign w:val="center"/>
            <w:hideMark/>
          </w:tcPr>
          <w:p w14:paraId="687641AB" w14:textId="2062900E"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893995">
              <w:rPr>
                <w:rFonts w:ascii="Arial" w:hAnsi="Arial" w:cs="Arial"/>
                <w:b/>
                <w:bCs/>
                <w:color w:val="000000"/>
                <w:sz w:val="22"/>
                <w:szCs w:val="22"/>
              </w:rPr>
              <w:t>4</w:t>
            </w:r>
          </w:p>
        </w:tc>
        <w:tc>
          <w:tcPr>
            <w:tcW w:w="1770" w:type="dxa"/>
            <w:tcBorders>
              <w:top w:val="nil"/>
              <w:left w:val="nil"/>
              <w:bottom w:val="nil"/>
              <w:right w:val="single" w:sz="8" w:space="0" w:color="auto"/>
            </w:tcBorders>
            <w:shd w:val="clear" w:color="000000" w:fill="CCCCCC"/>
            <w:noWrap/>
            <w:vAlign w:val="center"/>
            <w:hideMark/>
          </w:tcPr>
          <w:p w14:paraId="1BC237DB" w14:textId="4401CC09"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893995">
              <w:rPr>
                <w:rFonts w:ascii="Arial" w:hAnsi="Arial" w:cs="Arial"/>
                <w:b/>
                <w:bCs/>
                <w:color w:val="000000"/>
                <w:sz w:val="22"/>
                <w:szCs w:val="22"/>
              </w:rPr>
              <w:t>5</w:t>
            </w:r>
          </w:p>
        </w:tc>
      </w:tr>
      <w:tr w:rsidR="00833772" w:rsidRPr="00833772" w14:paraId="517B7A8B" w14:textId="77777777" w:rsidTr="005E2F77">
        <w:trPr>
          <w:trHeight w:val="239"/>
        </w:trPr>
        <w:tc>
          <w:tcPr>
            <w:tcW w:w="6653" w:type="dxa"/>
            <w:tcBorders>
              <w:top w:val="nil"/>
              <w:left w:val="single" w:sz="8" w:space="0" w:color="auto"/>
              <w:bottom w:val="nil"/>
              <w:right w:val="nil"/>
            </w:tcBorders>
            <w:shd w:val="clear" w:color="000000" w:fill="CCCCCC"/>
            <w:noWrap/>
            <w:vAlign w:val="center"/>
            <w:hideMark/>
          </w:tcPr>
          <w:p w14:paraId="7675C805" w14:textId="77777777" w:rsidR="00833772" w:rsidRPr="00833772" w:rsidRDefault="00833772" w:rsidP="00833772">
            <w:pPr>
              <w:jc w:val="center"/>
              <w:rPr>
                <w:rFonts w:ascii="Arial" w:hAnsi="Arial" w:cs="Arial"/>
                <w:b/>
                <w:bCs/>
                <w:color w:val="000000"/>
                <w:sz w:val="22"/>
                <w:szCs w:val="22"/>
              </w:rPr>
            </w:pPr>
          </w:p>
        </w:tc>
        <w:tc>
          <w:tcPr>
            <w:tcW w:w="1559" w:type="dxa"/>
            <w:tcBorders>
              <w:top w:val="nil"/>
              <w:left w:val="nil"/>
              <w:bottom w:val="nil"/>
              <w:right w:val="nil"/>
            </w:tcBorders>
            <w:noWrap/>
            <w:vAlign w:val="center"/>
            <w:hideMark/>
          </w:tcPr>
          <w:p w14:paraId="1F87676C"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£000</w:t>
            </w:r>
          </w:p>
        </w:tc>
        <w:tc>
          <w:tcPr>
            <w:tcW w:w="1770" w:type="dxa"/>
            <w:tcBorders>
              <w:top w:val="nil"/>
              <w:left w:val="nil"/>
              <w:bottom w:val="nil"/>
              <w:right w:val="single" w:sz="8" w:space="0" w:color="auto"/>
            </w:tcBorders>
            <w:shd w:val="clear" w:color="000000" w:fill="CCCCCC"/>
            <w:noWrap/>
            <w:vAlign w:val="center"/>
            <w:hideMark/>
          </w:tcPr>
          <w:p w14:paraId="28975A99"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£000</w:t>
            </w:r>
          </w:p>
        </w:tc>
      </w:tr>
      <w:tr w:rsidR="00FB2CDF" w:rsidRPr="00833772" w14:paraId="25A79AE8" w14:textId="77777777" w:rsidTr="005E2F77">
        <w:trPr>
          <w:trHeight w:val="239"/>
        </w:trPr>
        <w:tc>
          <w:tcPr>
            <w:tcW w:w="6653" w:type="dxa"/>
            <w:tcBorders>
              <w:top w:val="nil"/>
              <w:left w:val="single" w:sz="8" w:space="0" w:color="auto"/>
              <w:bottom w:val="nil"/>
              <w:right w:val="nil"/>
            </w:tcBorders>
            <w:shd w:val="clear" w:color="000000" w:fill="CCCCCC"/>
            <w:noWrap/>
            <w:vAlign w:val="center"/>
            <w:hideMark/>
          </w:tcPr>
          <w:p w14:paraId="3605B98B" w14:textId="77777777" w:rsidR="00FB2CDF" w:rsidRPr="00833772" w:rsidRDefault="00FB2CDF" w:rsidP="00FB2CDF">
            <w:pPr>
              <w:rPr>
                <w:rFonts w:ascii="Arial" w:hAnsi="Arial" w:cs="Arial"/>
                <w:b/>
                <w:bCs/>
                <w:color w:val="000000"/>
                <w:sz w:val="22"/>
                <w:szCs w:val="22"/>
              </w:rPr>
            </w:pPr>
            <w:r w:rsidRPr="00833772">
              <w:rPr>
                <w:rFonts w:ascii="Arial" w:hAnsi="Arial" w:cs="Arial"/>
                <w:b/>
                <w:bCs/>
                <w:color w:val="000000"/>
                <w:sz w:val="22"/>
                <w:szCs w:val="22"/>
              </w:rPr>
              <w:t>Balance at 1 April</w:t>
            </w:r>
          </w:p>
        </w:tc>
        <w:tc>
          <w:tcPr>
            <w:tcW w:w="1559" w:type="dxa"/>
            <w:tcBorders>
              <w:top w:val="nil"/>
              <w:left w:val="nil"/>
              <w:bottom w:val="nil"/>
              <w:right w:val="nil"/>
            </w:tcBorders>
            <w:noWrap/>
            <w:vAlign w:val="center"/>
            <w:hideMark/>
          </w:tcPr>
          <w:p w14:paraId="14ABD33A" w14:textId="051083D8" w:rsidR="00FB2CDF" w:rsidRPr="00833772" w:rsidRDefault="00FB2CDF" w:rsidP="00FB2CDF">
            <w:pPr>
              <w:jc w:val="right"/>
              <w:rPr>
                <w:rFonts w:ascii="Arial" w:hAnsi="Arial" w:cs="Arial"/>
                <w:b/>
                <w:bCs/>
                <w:color w:val="000000"/>
                <w:sz w:val="22"/>
                <w:szCs w:val="22"/>
              </w:rPr>
            </w:pPr>
            <w:r>
              <w:rPr>
                <w:rFonts w:ascii="Arial" w:hAnsi="Arial" w:cs="Arial"/>
                <w:b/>
                <w:bCs/>
                <w:color w:val="000000"/>
                <w:sz w:val="22"/>
                <w:szCs w:val="22"/>
              </w:rPr>
              <w:t>(102</w:t>
            </w:r>
            <w:r w:rsidRPr="00833772">
              <w:rPr>
                <w:rFonts w:ascii="Arial" w:hAnsi="Arial" w:cs="Arial"/>
                <w:b/>
                <w:bCs/>
                <w:color w:val="000000"/>
                <w:sz w:val="22"/>
                <w:szCs w:val="22"/>
              </w:rPr>
              <w:t>,1</w:t>
            </w:r>
            <w:r>
              <w:rPr>
                <w:rFonts w:ascii="Arial" w:hAnsi="Arial" w:cs="Arial"/>
                <w:b/>
                <w:bCs/>
                <w:color w:val="000000"/>
                <w:sz w:val="22"/>
                <w:szCs w:val="22"/>
              </w:rPr>
              <w:t>28)</w:t>
            </w:r>
          </w:p>
        </w:tc>
        <w:tc>
          <w:tcPr>
            <w:tcW w:w="1770" w:type="dxa"/>
            <w:tcBorders>
              <w:top w:val="nil"/>
              <w:left w:val="nil"/>
              <w:bottom w:val="nil"/>
              <w:right w:val="single" w:sz="8" w:space="0" w:color="auto"/>
            </w:tcBorders>
            <w:shd w:val="clear" w:color="000000" w:fill="CCCCCC"/>
            <w:noWrap/>
            <w:vAlign w:val="center"/>
            <w:hideMark/>
          </w:tcPr>
          <w:p w14:paraId="1ED327B9" w14:textId="4F330435" w:rsidR="00FB2CDF" w:rsidRPr="00833772" w:rsidRDefault="00FB2CDF" w:rsidP="00FB2CDF">
            <w:pPr>
              <w:jc w:val="right"/>
              <w:rPr>
                <w:rFonts w:ascii="Arial" w:hAnsi="Arial" w:cs="Arial"/>
                <w:b/>
                <w:bCs/>
                <w:color w:val="000000"/>
                <w:sz w:val="22"/>
                <w:szCs w:val="22"/>
              </w:rPr>
            </w:pPr>
            <w:r>
              <w:rPr>
                <w:rFonts w:ascii="Arial" w:hAnsi="Arial" w:cs="Arial"/>
                <w:b/>
                <w:bCs/>
                <w:color w:val="000000"/>
                <w:sz w:val="22"/>
                <w:szCs w:val="22"/>
              </w:rPr>
              <w:t>(114,749)</w:t>
            </w:r>
          </w:p>
        </w:tc>
      </w:tr>
      <w:tr w:rsidR="00FB2CDF" w:rsidRPr="00833772" w14:paraId="1E92BA70" w14:textId="77777777" w:rsidTr="005E2F77">
        <w:trPr>
          <w:trHeight w:val="239"/>
        </w:trPr>
        <w:tc>
          <w:tcPr>
            <w:tcW w:w="6653" w:type="dxa"/>
            <w:tcBorders>
              <w:top w:val="nil"/>
              <w:left w:val="single" w:sz="8" w:space="0" w:color="auto"/>
              <w:bottom w:val="nil"/>
              <w:right w:val="nil"/>
            </w:tcBorders>
            <w:shd w:val="clear" w:color="000000" w:fill="CCCCCC"/>
            <w:vAlign w:val="center"/>
            <w:hideMark/>
          </w:tcPr>
          <w:p w14:paraId="29EE80B0" w14:textId="77777777" w:rsidR="00FB2CDF" w:rsidRPr="00833772" w:rsidRDefault="00FB2CDF" w:rsidP="00FB2CDF">
            <w:pPr>
              <w:rPr>
                <w:rFonts w:ascii="Arial" w:hAnsi="Arial" w:cs="Arial"/>
                <w:color w:val="000000"/>
                <w:sz w:val="22"/>
                <w:szCs w:val="22"/>
              </w:rPr>
            </w:pPr>
            <w:r w:rsidRPr="00833772">
              <w:rPr>
                <w:rFonts w:ascii="Arial" w:hAnsi="Arial" w:cs="Arial"/>
                <w:color w:val="000000"/>
                <w:sz w:val="22"/>
                <w:szCs w:val="22"/>
              </w:rPr>
              <w:t>Upward revaluation of assets</w:t>
            </w:r>
          </w:p>
        </w:tc>
        <w:tc>
          <w:tcPr>
            <w:tcW w:w="1559" w:type="dxa"/>
            <w:tcBorders>
              <w:top w:val="nil"/>
              <w:left w:val="nil"/>
              <w:bottom w:val="nil"/>
              <w:right w:val="nil"/>
            </w:tcBorders>
            <w:noWrap/>
            <w:vAlign w:val="center"/>
            <w:hideMark/>
          </w:tcPr>
          <w:p w14:paraId="3DCBA193" w14:textId="4C989ADB"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(16</w:t>
            </w:r>
            <w:r w:rsidRPr="00833772">
              <w:rPr>
                <w:rFonts w:ascii="Arial" w:hAnsi="Arial" w:cs="Arial"/>
                <w:color w:val="000000"/>
                <w:sz w:val="22"/>
                <w:szCs w:val="22"/>
              </w:rPr>
              <w:t>,</w:t>
            </w:r>
            <w:r>
              <w:rPr>
                <w:rFonts w:ascii="Arial" w:hAnsi="Arial" w:cs="Arial"/>
                <w:color w:val="000000"/>
                <w:sz w:val="22"/>
                <w:szCs w:val="22"/>
              </w:rPr>
              <w:t>246)</w:t>
            </w:r>
          </w:p>
        </w:tc>
        <w:tc>
          <w:tcPr>
            <w:tcW w:w="1770" w:type="dxa"/>
            <w:tcBorders>
              <w:top w:val="nil"/>
              <w:left w:val="nil"/>
              <w:bottom w:val="nil"/>
              <w:right w:val="single" w:sz="8" w:space="0" w:color="auto"/>
            </w:tcBorders>
            <w:shd w:val="clear" w:color="000000" w:fill="CCCCCC"/>
            <w:noWrap/>
            <w:vAlign w:val="center"/>
            <w:hideMark/>
          </w:tcPr>
          <w:p w14:paraId="480262BD" w14:textId="5CCDCCDF"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(10,037)</w:t>
            </w:r>
          </w:p>
        </w:tc>
      </w:tr>
      <w:tr w:rsidR="00FB2CDF" w:rsidRPr="00833772" w14:paraId="08DE6ADE" w14:textId="77777777" w:rsidTr="005E2F77">
        <w:trPr>
          <w:trHeight w:val="696"/>
        </w:trPr>
        <w:tc>
          <w:tcPr>
            <w:tcW w:w="6653" w:type="dxa"/>
            <w:tcBorders>
              <w:top w:val="nil"/>
              <w:left w:val="single" w:sz="8" w:space="0" w:color="auto"/>
              <w:bottom w:val="nil"/>
              <w:right w:val="nil"/>
            </w:tcBorders>
            <w:shd w:val="clear" w:color="000000" w:fill="CCCCCC"/>
            <w:vAlign w:val="center"/>
            <w:hideMark/>
          </w:tcPr>
          <w:p w14:paraId="7E0722FD" w14:textId="77777777" w:rsidR="00FB2CDF" w:rsidRPr="00833772" w:rsidRDefault="00FB2CDF" w:rsidP="00FB2CDF">
            <w:pPr>
              <w:rPr>
                <w:rFonts w:ascii="Arial" w:hAnsi="Arial" w:cs="Arial"/>
                <w:color w:val="000000"/>
                <w:sz w:val="22"/>
                <w:szCs w:val="22"/>
              </w:rPr>
            </w:pPr>
            <w:r w:rsidRPr="00833772">
              <w:rPr>
                <w:rFonts w:ascii="Arial" w:hAnsi="Arial" w:cs="Arial"/>
                <w:color w:val="000000"/>
                <w:sz w:val="22"/>
                <w:szCs w:val="22"/>
              </w:rPr>
              <w:t>Downward revaluation of assets and impairment losses not charged to the surplus/deficit on the provision of services</w:t>
            </w:r>
          </w:p>
        </w:tc>
        <w:tc>
          <w:tcPr>
            <w:tcW w:w="1559" w:type="dxa"/>
            <w:tcBorders>
              <w:top w:val="nil"/>
              <w:left w:val="nil"/>
              <w:bottom w:val="single" w:sz="8" w:space="0" w:color="000000"/>
              <w:right w:val="nil"/>
            </w:tcBorders>
            <w:noWrap/>
            <w:vAlign w:val="center"/>
            <w:hideMark/>
          </w:tcPr>
          <w:p w14:paraId="72D64EF9" w14:textId="17AC80BA"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1</w:t>
            </w:r>
            <w:r w:rsidRPr="00833772">
              <w:rPr>
                <w:rFonts w:ascii="Arial" w:hAnsi="Arial" w:cs="Arial"/>
                <w:color w:val="000000"/>
                <w:sz w:val="22"/>
                <w:szCs w:val="22"/>
              </w:rPr>
              <w:t>,</w:t>
            </w:r>
            <w:r>
              <w:rPr>
                <w:rFonts w:ascii="Arial" w:hAnsi="Arial" w:cs="Arial"/>
                <w:color w:val="000000"/>
                <w:sz w:val="22"/>
                <w:szCs w:val="22"/>
              </w:rPr>
              <w:t>597</w:t>
            </w:r>
          </w:p>
        </w:tc>
        <w:tc>
          <w:tcPr>
            <w:tcW w:w="1770" w:type="dxa"/>
            <w:tcBorders>
              <w:top w:val="nil"/>
              <w:left w:val="nil"/>
              <w:bottom w:val="single" w:sz="8" w:space="0" w:color="000000"/>
              <w:right w:val="single" w:sz="8" w:space="0" w:color="auto"/>
            </w:tcBorders>
            <w:shd w:val="clear" w:color="000000" w:fill="CCCCCC"/>
            <w:noWrap/>
            <w:vAlign w:val="center"/>
            <w:hideMark/>
          </w:tcPr>
          <w:p w14:paraId="22A0AB75" w14:textId="5D81379F"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7,801</w:t>
            </w:r>
          </w:p>
        </w:tc>
      </w:tr>
      <w:tr w:rsidR="00FB2CDF" w:rsidRPr="00833772" w14:paraId="3689ECD8" w14:textId="77777777" w:rsidTr="005E2F77">
        <w:trPr>
          <w:trHeight w:val="696"/>
        </w:trPr>
        <w:tc>
          <w:tcPr>
            <w:tcW w:w="6653" w:type="dxa"/>
            <w:tcBorders>
              <w:top w:val="nil"/>
              <w:left w:val="single" w:sz="8" w:space="0" w:color="auto"/>
              <w:bottom w:val="nil"/>
              <w:right w:val="nil"/>
            </w:tcBorders>
            <w:shd w:val="clear" w:color="000000" w:fill="CCCCCC"/>
            <w:vAlign w:val="center"/>
            <w:hideMark/>
          </w:tcPr>
          <w:p w14:paraId="57B68570" w14:textId="77777777" w:rsidR="00FB2CDF" w:rsidRPr="00833772" w:rsidRDefault="00FB2CDF" w:rsidP="00FB2CDF">
            <w:pPr>
              <w:rPr>
                <w:rFonts w:ascii="Arial" w:hAnsi="Arial" w:cs="Arial"/>
                <w:color w:val="000000"/>
                <w:sz w:val="22"/>
                <w:szCs w:val="22"/>
              </w:rPr>
            </w:pPr>
            <w:r w:rsidRPr="00833772">
              <w:rPr>
                <w:rFonts w:ascii="Arial" w:hAnsi="Arial" w:cs="Arial"/>
                <w:color w:val="000000"/>
                <w:sz w:val="22"/>
                <w:szCs w:val="22"/>
              </w:rPr>
              <w:t>Surplus or deficit on revaluation of non-current assets not posted to the surplus/deficit on the provision of services</w:t>
            </w:r>
          </w:p>
        </w:tc>
        <w:tc>
          <w:tcPr>
            <w:tcW w:w="1559" w:type="dxa"/>
            <w:tcBorders>
              <w:top w:val="nil"/>
              <w:left w:val="nil"/>
              <w:bottom w:val="single" w:sz="8" w:space="0" w:color="000000"/>
              <w:right w:val="nil"/>
            </w:tcBorders>
            <w:noWrap/>
            <w:vAlign w:val="center"/>
            <w:hideMark/>
          </w:tcPr>
          <w:p w14:paraId="1029FBC6" w14:textId="4ACF49D6"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(14</w:t>
            </w:r>
            <w:r w:rsidRPr="00833772">
              <w:rPr>
                <w:rFonts w:ascii="Arial" w:hAnsi="Arial" w:cs="Arial"/>
                <w:color w:val="000000"/>
                <w:sz w:val="22"/>
                <w:szCs w:val="22"/>
              </w:rPr>
              <w:t>,</w:t>
            </w:r>
            <w:r>
              <w:rPr>
                <w:rFonts w:ascii="Arial" w:hAnsi="Arial" w:cs="Arial"/>
                <w:color w:val="000000"/>
                <w:sz w:val="22"/>
                <w:szCs w:val="22"/>
              </w:rPr>
              <w:t>649)</w:t>
            </w:r>
          </w:p>
        </w:tc>
        <w:tc>
          <w:tcPr>
            <w:tcW w:w="1770" w:type="dxa"/>
            <w:tcBorders>
              <w:top w:val="nil"/>
              <w:left w:val="nil"/>
              <w:bottom w:val="single" w:sz="8" w:space="0" w:color="000000"/>
              <w:right w:val="single" w:sz="8" w:space="0" w:color="auto"/>
            </w:tcBorders>
            <w:shd w:val="clear" w:color="000000" w:fill="CCCCCC"/>
            <w:noWrap/>
            <w:vAlign w:val="center"/>
            <w:hideMark/>
          </w:tcPr>
          <w:p w14:paraId="35AC857D" w14:textId="427EAA41"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(2,236)</w:t>
            </w:r>
          </w:p>
        </w:tc>
      </w:tr>
      <w:tr w:rsidR="00FB2CDF" w:rsidRPr="00833772" w14:paraId="51D7116B" w14:textId="77777777" w:rsidTr="005E2F77">
        <w:trPr>
          <w:trHeight w:val="456"/>
        </w:trPr>
        <w:tc>
          <w:tcPr>
            <w:tcW w:w="6653" w:type="dxa"/>
            <w:tcBorders>
              <w:top w:val="nil"/>
              <w:left w:val="single" w:sz="8" w:space="0" w:color="auto"/>
              <w:bottom w:val="nil"/>
              <w:right w:val="nil"/>
            </w:tcBorders>
            <w:shd w:val="clear" w:color="000000" w:fill="CCCCCC"/>
            <w:vAlign w:val="center"/>
            <w:hideMark/>
          </w:tcPr>
          <w:p w14:paraId="644FEB8A" w14:textId="77777777" w:rsidR="00FB2CDF" w:rsidRPr="00833772" w:rsidRDefault="00FB2CDF" w:rsidP="00FB2CDF">
            <w:pPr>
              <w:rPr>
                <w:rFonts w:ascii="Arial" w:hAnsi="Arial" w:cs="Arial"/>
                <w:color w:val="000000"/>
                <w:sz w:val="22"/>
                <w:szCs w:val="22"/>
              </w:rPr>
            </w:pPr>
            <w:r w:rsidRPr="00833772">
              <w:rPr>
                <w:rFonts w:ascii="Arial" w:hAnsi="Arial" w:cs="Arial"/>
                <w:color w:val="000000"/>
                <w:sz w:val="22"/>
                <w:szCs w:val="22"/>
              </w:rPr>
              <w:t>Difference between fair value depreciation and historical cost depreciation</w:t>
            </w:r>
          </w:p>
        </w:tc>
        <w:tc>
          <w:tcPr>
            <w:tcW w:w="1559" w:type="dxa"/>
            <w:tcBorders>
              <w:top w:val="nil"/>
              <w:left w:val="nil"/>
              <w:bottom w:val="nil"/>
              <w:right w:val="nil"/>
            </w:tcBorders>
            <w:noWrap/>
            <w:vAlign w:val="center"/>
            <w:hideMark/>
          </w:tcPr>
          <w:p w14:paraId="690BFB80" w14:textId="2A8FF7F4"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2,014</w:t>
            </w:r>
          </w:p>
        </w:tc>
        <w:tc>
          <w:tcPr>
            <w:tcW w:w="1770" w:type="dxa"/>
            <w:tcBorders>
              <w:top w:val="nil"/>
              <w:left w:val="nil"/>
              <w:bottom w:val="nil"/>
              <w:right w:val="single" w:sz="8" w:space="0" w:color="auto"/>
            </w:tcBorders>
            <w:shd w:val="clear" w:color="000000" w:fill="CCCCCC"/>
            <w:noWrap/>
            <w:vAlign w:val="center"/>
            <w:hideMark/>
          </w:tcPr>
          <w:p w14:paraId="0BBC4CB2" w14:textId="5CD1FBE1"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2,153</w:t>
            </w:r>
          </w:p>
        </w:tc>
      </w:tr>
      <w:tr w:rsidR="00FB2CDF" w:rsidRPr="00833772" w14:paraId="413990E2" w14:textId="77777777" w:rsidTr="005E2F77">
        <w:trPr>
          <w:trHeight w:val="251"/>
        </w:trPr>
        <w:tc>
          <w:tcPr>
            <w:tcW w:w="6653" w:type="dxa"/>
            <w:tcBorders>
              <w:top w:val="nil"/>
              <w:left w:val="single" w:sz="8" w:space="0" w:color="auto"/>
              <w:bottom w:val="nil"/>
              <w:right w:val="nil"/>
            </w:tcBorders>
            <w:shd w:val="clear" w:color="000000" w:fill="CCCCCC"/>
            <w:vAlign w:val="center"/>
            <w:hideMark/>
          </w:tcPr>
          <w:p w14:paraId="42C41E06" w14:textId="77777777" w:rsidR="00FB2CDF" w:rsidRPr="00833772" w:rsidRDefault="00FB2CDF" w:rsidP="00FB2CDF">
            <w:pPr>
              <w:rPr>
                <w:rFonts w:ascii="Arial" w:hAnsi="Arial" w:cs="Arial"/>
                <w:color w:val="000000"/>
                <w:sz w:val="22"/>
                <w:szCs w:val="22"/>
              </w:rPr>
            </w:pPr>
            <w:r w:rsidRPr="00833772">
              <w:rPr>
                <w:rFonts w:ascii="Arial" w:hAnsi="Arial" w:cs="Arial"/>
                <w:color w:val="000000"/>
                <w:sz w:val="22"/>
                <w:szCs w:val="22"/>
              </w:rPr>
              <w:t>Accumulated gains on disposed assets</w:t>
            </w:r>
          </w:p>
        </w:tc>
        <w:tc>
          <w:tcPr>
            <w:tcW w:w="1559" w:type="dxa"/>
            <w:tcBorders>
              <w:top w:val="nil"/>
              <w:left w:val="nil"/>
              <w:bottom w:val="single" w:sz="8" w:space="0" w:color="auto"/>
              <w:right w:val="nil"/>
            </w:tcBorders>
            <w:noWrap/>
            <w:vAlign w:val="center"/>
            <w:hideMark/>
          </w:tcPr>
          <w:p w14:paraId="78C09216" w14:textId="670903A9"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14</w:t>
            </w:r>
          </w:p>
        </w:tc>
        <w:tc>
          <w:tcPr>
            <w:tcW w:w="1770" w:type="dxa"/>
            <w:tcBorders>
              <w:top w:val="nil"/>
              <w:left w:val="nil"/>
              <w:bottom w:val="single" w:sz="8" w:space="0" w:color="auto"/>
              <w:right w:val="single" w:sz="8" w:space="0" w:color="auto"/>
            </w:tcBorders>
            <w:shd w:val="clear" w:color="000000" w:fill="CCCCCC"/>
            <w:noWrap/>
            <w:vAlign w:val="center"/>
            <w:hideMark/>
          </w:tcPr>
          <w:p w14:paraId="0EB141E4" w14:textId="122AEF25"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47</w:t>
            </w:r>
          </w:p>
        </w:tc>
      </w:tr>
      <w:tr w:rsidR="00FB2CDF" w:rsidRPr="00833772" w14:paraId="5690A5A6" w14:textId="77777777" w:rsidTr="000567B6">
        <w:trPr>
          <w:trHeight w:val="468"/>
        </w:trPr>
        <w:tc>
          <w:tcPr>
            <w:tcW w:w="6653" w:type="dxa"/>
            <w:tcBorders>
              <w:top w:val="nil"/>
              <w:left w:val="single" w:sz="8" w:space="0" w:color="auto"/>
              <w:bottom w:val="nil"/>
              <w:right w:val="nil"/>
            </w:tcBorders>
            <w:shd w:val="clear" w:color="000000" w:fill="CCCCCC"/>
            <w:vAlign w:val="center"/>
            <w:hideMark/>
          </w:tcPr>
          <w:p w14:paraId="58780BC3" w14:textId="77777777" w:rsidR="00FB2CDF" w:rsidRPr="00833772" w:rsidRDefault="00FB2CDF" w:rsidP="00FB2CDF">
            <w:pPr>
              <w:rPr>
                <w:rFonts w:ascii="Arial" w:hAnsi="Arial" w:cs="Arial"/>
                <w:color w:val="000000"/>
                <w:sz w:val="22"/>
                <w:szCs w:val="22"/>
              </w:rPr>
            </w:pPr>
            <w:r w:rsidRPr="00833772">
              <w:rPr>
                <w:rFonts w:ascii="Arial" w:hAnsi="Arial" w:cs="Arial"/>
                <w:color w:val="000000"/>
                <w:sz w:val="22"/>
                <w:szCs w:val="22"/>
              </w:rPr>
              <w:t>Amount written off to the capital adjustment account</w:t>
            </w:r>
          </w:p>
        </w:tc>
        <w:tc>
          <w:tcPr>
            <w:tcW w:w="1559" w:type="dxa"/>
            <w:tcBorders>
              <w:top w:val="nil"/>
              <w:left w:val="nil"/>
              <w:bottom w:val="single" w:sz="8" w:space="0" w:color="auto"/>
              <w:right w:val="nil"/>
            </w:tcBorders>
            <w:noWrap/>
            <w:vAlign w:val="center"/>
            <w:hideMark/>
          </w:tcPr>
          <w:p w14:paraId="106813A1" w14:textId="64806D0F"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2,028</w:t>
            </w:r>
          </w:p>
        </w:tc>
        <w:tc>
          <w:tcPr>
            <w:tcW w:w="1770" w:type="dxa"/>
            <w:tcBorders>
              <w:top w:val="nil"/>
              <w:left w:val="nil"/>
              <w:bottom w:val="single" w:sz="8" w:space="0" w:color="auto"/>
              <w:right w:val="single" w:sz="8" w:space="0" w:color="auto"/>
            </w:tcBorders>
            <w:shd w:val="clear" w:color="auto" w:fill="CCCCCC"/>
            <w:noWrap/>
            <w:vAlign w:val="center"/>
            <w:hideMark/>
          </w:tcPr>
          <w:p w14:paraId="03C5CE86" w14:textId="6FC81809" w:rsidR="00FB2CDF" w:rsidRPr="00833772" w:rsidRDefault="00FB2CDF" w:rsidP="00FB2CDF">
            <w:pPr>
              <w:jc w:val="right"/>
              <w:rPr>
                <w:rFonts w:ascii="Arial" w:hAnsi="Arial" w:cs="Arial"/>
                <w:color w:val="000000"/>
                <w:sz w:val="22"/>
                <w:szCs w:val="22"/>
              </w:rPr>
            </w:pPr>
            <w:r>
              <w:rPr>
                <w:rFonts w:ascii="Arial" w:hAnsi="Arial" w:cs="Arial"/>
                <w:color w:val="000000"/>
                <w:sz w:val="22"/>
                <w:szCs w:val="22"/>
              </w:rPr>
              <w:t>2,200</w:t>
            </w:r>
          </w:p>
        </w:tc>
      </w:tr>
      <w:tr w:rsidR="00FB2CDF" w:rsidRPr="00833772" w14:paraId="2BDBA641" w14:textId="77777777" w:rsidTr="000567B6">
        <w:trPr>
          <w:trHeight w:val="251"/>
        </w:trPr>
        <w:tc>
          <w:tcPr>
            <w:tcW w:w="6653" w:type="dxa"/>
            <w:tcBorders>
              <w:top w:val="nil"/>
              <w:left w:val="single" w:sz="8" w:space="0" w:color="auto"/>
              <w:bottom w:val="single" w:sz="8" w:space="0" w:color="auto"/>
              <w:right w:val="nil"/>
            </w:tcBorders>
            <w:shd w:val="clear" w:color="000000" w:fill="CCCCCC"/>
            <w:noWrap/>
            <w:vAlign w:val="center"/>
            <w:hideMark/>
          </w:tcPr>
          <w:p w14:paraId="062FA946" w14:textId="77777777" w:rsidR="00FB2CDF" w:rsidRPr="00833772" w:rsidRDefault="00FB2CDF" w:rsidP="00FB2CDF">
            <w:pPr>
              <w:rPr>
                <w:rFonts w:ascii="Arial" w:hAnsi="Arial" w:cs="Arial"/>
                <w:b/>
                <w:bCs/>
                <w:color w:val="000000"/>
                <w:sz w:val="22"/>
                <w:szCs w:val="22"/>
              </w:rPr>
            </w:pPr>
            <w:r w:rsidRPr="00833772">
              <w:rPr>
                <w:rFonts w:ascii="Arial" w:hAnsi="Arial" w:cs="Arial"/>
                <w:b/>
                <w:bCs/>
                <w:color w:val="000000"/>
                <w:sz w:val="22"/>
                <w:szCs w:val="22"/>
              </w:rPr>
              <w:t xml:space="preserve">Balance at 31 March </w:t>
            </w:r>
          </w:p>
        </w:tc>
        <w:tc>
          <w:tcPr>
            <w:tcW w:w="1559" w:type="dxa"/>
            <w:tcBorders>
              <w:top w:val="nil"/>
              <w:left w:val="nil"/>
              <w:bottom w:val="single" w:sz="8" w:space="0" w:color="auto"/>
              <w:right w:val="nil"/>
            </w:tcBorders>
            <w:noWrap/>
            <w:vAlign w:val="center"/>
            <w:hideMark/>
          </w:tcPr>
          <w:p w14:paraId="6D7D9F58" w14:textId="5635EDF3" w:rsidR="00FB2CDF" w:rsidRPr="00833772" w:rsidRDefault="00FB2CDF" w:rsidP="00FB2CDF">
            <w:pPr>
              <w:jc w:val="right"/>
              <w:rPr>
                <w:rFonts w:ascii="Arial" w:hAnsi="Arial" w:cs="Arial"/>
                <w:b/>
                <w:bCs/>
                <w:color w:val="000000"/>
                <w:sz w:val="22"/>
                <w:szCs w:val="22"/>
              </w:rPr>
            </w:pPr>
            <w:r>
              <w:rPr>
                <w:rFonts w:ascii="Arial" w:hAnsi="Arial" w:cs="Arial"/>
                <w:b/>
                <w:bCs/>
                <w:color w:val="000000"/>
                <w:sz w:val="22"/>
                <w:szCs w:val="22"/>
              </w:rPr>
              <w:t>(114</w:t>
            </w:r>
            <w:r w:rsidRPr="00833772">
              <w:rPr>
                <w:rFonts w:ascii="Arial" w:hAnsi="Arial" w:cs="Arial"/>
                <w:b/>
                <w:bCs/>
                <w:color w:val="000000"/>
                <w:sz w:val="22"/>
                <w:szCs w:val="22"/>
              </w:rPr>
              <w:t>,</w:t>
            </w:r>
            <w:r>
              <w:rPr>
                <w:rFonts w:ascii="Arial" w:hAnsi="Arial" w:cs="Arial"/>
                <w:b/>
                <w:bCs/>
                <w:color w:val="000000"/>
                <w:sz w:val="22"/>
                <w:szCs w:val="22"/>
              </w:rPr>
              <w:t>749)</w:t>
            </w:r>
          </w:p>
        </w:tc>
        <w:tc>
          <w:tcPr>
            <w:tcW w:w="1770" w:type="dxa"/>
            <w:tcBorders>
              <w:top w:val="nil"/>
              <w:left w:val="nil"/>
              <w:bottom w:val="single" w:sz="8" w:space="0" w:color="auto"/>
              <w:right w:val="single" w:sz="8" w:space="0" w:color="auto"/>
            </w:tcBorders>
            <w:shd w:val="clear" w:color="auto" w:fill="CCCCCC"/>
            <w:noWrap/>
            <w:vAlign w:val="center"/>
            <w:hideMark/>
          </w:tcPr>
          <w:p w14:paraId="0756E6A9" w14:textId="76BFDC4E" w:rsidR="00FB2CDF" w:rsidRPr="00833772" w:rsidRDefault="00FB2CDF" w:rsidP="00FB2CDF">
            <w:pPr>
              <w:jc w:val="right"/>
              <w:rPr>
                <w:rFonts w:ascii="Arial" w:hAnsi="Arial" w:cs="Arial"/>
                <w:b/>
                <w:bCs/>
                <w:color w:val="000000"/>
                <w:sz w:val="22"/>
                <w:szCs w:val="22"/>
              </w:rPr>
            </w:pPr>
            <w:r>
              <w:rPr>
                <w:rFonts w:ascii="Arial" w:hAnsi="Arial" w:cs="Arial"/>
                <w:b/>
                <w:bCs/>
                <w:color w:val="000000"/>
                <w:sz w:val="22"/>
                <w:szCs w:val="22"/>
              </w:rPr>
              <w:t>(114,786)</w:t>
            </w:r>
          </w:p>
        </w:tc>
      </w:tr>
    </w:tbl>
    <w:p w14:paraId="7D168FD9" w14:textId="77777777" w:rsidR="000D5F15" w:rsidRDefault="000D5F15" w:rsidP="002773DF">
      <w:pPr>
        <w:rPr>
          <w:rFonts w:ascii="Arial" w:hAnsi="Arial"/>
          <w:b/>
          <w:sz w:val="22"/>
          <w:szCs w:val="22"/>
        </w:rPr>
      </w:pPr>
      <w:bookmarkStart w:id="18" w:name="_Hlk41925626"/>
    </w:p>
    <w:p w14:paraId="3A569106" w14:textId="2B6FC357" w:rsidR="000D5F15" w:rsidRDefault="000D5F15">
      <w:pPr>
        <w:rPr>
          <w:rFonts w:ascii="Arial" w:hAnsi="Arial"/>
          <w:b/>
          <w:sz w:val="22"/>
          <w:szCs w:val="22"/>
        </w:rPr>
      </w:pPr>
    </w:p>
    <w:p w14:paraId="5B3DBF57" w14:textId="77777777" w:rsidR="001E2768" w:rsidRDefault="001E2768">
      <w:pPr>
        <w:rPr>
          <w:rFonts w:ascii="Arial" w:hAnsi="Arial"/>
          <w:b/>
          <w:sz w:val="22"/>
          <w:szCs w:val="22"/>
        </w:rPr>
      </w:pPr>
      <w:r>
        <w:rPr>
          <w:rFonts w:ascii="Arial" w:hAnsi="Arial"/>
          <w:b/>
          <w:sz w:val="22"/>
          <w:szCs w:val="22"/>
        </w:rPr>
        <w:br w:type="page"/>
      </w:r>
    </w:p>
    <w:p w14:paraId="40CA0961" w14:textId="16CD40DB" w:rsidR="003B74DA" w:rsidRPr="00423F14" w:rsidRDefault="003B74DA" w:rsidP="002773DF">
      <w:pPr>
        <w:rPr>
          <w:rFonts w:ascii="Arial" w:hAnsi="Arial"/>
          <w:b/>
          <w:sz w:val="22"/>
          <w:szCs w:val="22"/>
        </w:rPr>
      </w:pPr>
      <w:r w:rsidRPr="00423F14">
        <w:rPr>
          <w:rFonts w:ascii="Arial" w:hAnsi="Arial"/>
          <w:b/>
          <w:sz w:val="22"/>
          <w:szCs w:val="22"/>
        </w:rPr>
        <w:lastRenderedPageBreak/>
        <w:t>Capital Adjustment Account</w:t>
      </w:r>
    </w:p>
    <w:p w14:paraId="4E38C2E8" w14:textId="77777777" w:rsidR="00353AE5" w:rsidRPr="00423F14" w:rsidRDefault="00353AE5" w:rsidP="003B74DA">
      <w:pPr>
        <w:tabs>
          <w:tab w:val="right" w:pos="5760"/>
        </w:tabs>
        <w:ind w:left="426"/>
        <w:rPr>
          <w:rFonts w:ascii="Arial" w:hAnsi="Arial"/>
          <w:b/>
          <w:sz w:val="22"/>
          <w:szCs w:val="22"/>
        </w:rPr>
      </w:pPr>
    </w:p>
    <w:p w14:paraId="21D6A382" w14:textId="28AAD5DF" w:rsidR="00B6074C" w:rsidRDefault="003B74DA" w:rsidP="003B74DA">
      <w:pPr>
        <w:tabs>
          <w:tab w:val="right" w:pos="5760"/>
        </w:tabs>
        <w:ind w:left="426"/>
        <w:jc w:val="both"/>
        <w:rPr>
          <w:rFonts w:ascii="Arial" w:hAnsi="Arial"/>
          <w:sz w:val="22"/>
          <w:szCs w:val="22"/>
        </w:rPr>
      </w:pPr>
      <w:r w:rsidRPr="00423F14">
        <w:rPr>
          <w:rFonts w:ascii="Arial" w:hAnsi="Arial"/>
          <w:sz w:val="22"/>
          <w:szCs w:val="22"/>
        </w:rPr>
        <w:t xml:space="preserve">The capital adjustment account absorbs the timing differences arising from the different arrangements for accounting for the consumption of non-current assets and for financing the acquisition, construction or enhancement of those assets under statutory provisions. The account is debited with the cost of acquisition, construction or enhancement as depreciation, impairment losses and amortisations are charged to the CIES (with reconciling postings from the revaluation reserve to convert fair value figures to a historical cost basis). The account is credited with the amounts set aside by the PCC as finance for the costs of acquisition, construction and enhancement. The account contains accumulated gains and losses on Investment Assets </w:t>
      </w:r>
      <w:proofErr w:type="gramStart"/>
      <w:r w:rsidRPr="00423F14">
        <w:rPr>
          <w:rFonts w:ascii="Arial" w:hAnsi="Arial"/>
          <w:sz w:val="22"/>
          <w:szCs w:val="22"/>
        </w:rPr>
        <w:t>and also</w:t>
      </w:r>
      <w:proofErr w:type="gramEnd"/>
      <w:r w:rsidRPr="00423F14">
        <w:rPr>
          <w:rFonts w:ascii="Arial" w:hAnsi="Arial"/>
          <w:sz w:val="22"/>
          <w:szCs w:val="22"/>
        </w:rPr>
        <w:t xml:space="preserve"> contains revaluation gains accumulated on property, plant and equipment before 1 April 2007, the date that the revaluation reserve was created to hold such gains.</w:t>
      </w:r>
    </w:p>
    <w:p w14:paraId="424B80D4" w14:textId="77777777" w:rsidR="003B74DA" w:rsidRPr="00423F14" w:rsidRDefault="003B74DA" w:rsidP="003B74DA">
      <w:pPr>
        <w:tabs>
          <w:tab w:val="right" w:pos="5760"/>
        </w:tabs>
        <w:ind w:left="426"/>
        <w:jc w:val="both"/>
        <w:rPr>
          <w:rFonts w:ascii="Arial" w:hAnsi="Arial"/>
          <w:sz w:val="22"/>
          <w:szCs w:val="22"/>
        </w:rPr>
      </w:pPr>
    </w:p>
    <w:bookmarkEnd w:id="18"/>
    <w:tbl>
      <w:tblPr>
        <w:tblW w:w="10578" w:type="dxa"/>
        <w:tblCellMar>
          <w:top w:w="15" w:type="dxa"/>
          <w:bottom w:w="15" w:type="dxa"/>
        </w:tblCellMar>
        <w:tblLook w:val="04A0" w:firstRow="1" w:lastRow="0" w:firstColumn="1" w:lastColumn="0" w:noHBand="0" w:noVBand="1"/>
      </w:tblPr>
      <w:tblGrid>
        <w:gridCol w:w="7083"/>
        <w:gridCol w:w="1878"/>
        <w:gridCol w:w="1617"/>
      </w:tblGrid>
      <w:tr w:rsidR="00833772" w:rsidRPr="00833772" w14:paraId="54CD9CB8" w14:textId="77777777" w:rsidTr="005E2F77">
        <w:trPr>
          <w:trHeight w:val="233"/>
        </w:trPr>
        <w:tc>
          <w:tcPr>
            <w:tcW w:w="7083" w:type="dxa"/>
            <w:tcBorders>
              <w:top w:val="single" w:sz="4" w:space="0" w:color="auto"/>
              <w:left w:val="single" w:sz="4" w:space="0" w:color="auto"/>
              <w:bottom w:val="nil"/>
              <w:right w:val="nil"/>
            </w:tcBorders>
            <w:shd w:val="clear" w:color="000000" w:fill="CCCCCC"/>
            <w:vAlign w:val="center"/>
            <w:hideMark/>
          </w:tcPr>
          <w:p w14:paraId="5CC24016" w14:textId="77777777" w:rsidR="00833772" w:rsidRPr="00833772" w:rsidRDefault="00833772" w:rsidP="00833772">
            <w:pPr>
              <w:rPr>
                <w:sz w:val="24"/>
                <w:szCs w:val="24"/>
              </w:rPr>
            </w:pPr>
          </w:p>
        </w:tc>
        <w:tc>
          <w:tcPr>
            <w:tcW w:w="3495" w:type="dxa"/>
            <w:gridSpan w:val="2"/>
            <w:tcBorders>
              <w:top w:val="single" w:sz="4" w:space="0" w:color="auto"/>
              <w:left w:val="nil"/>
              <w:bottom w:val="nil"/>
              <w:right w:val="single" w:sz="4" w:space="0" w:color="auto"/>
            </w:tcBorders>
            <w:shd w:val="clear" w:color="000000" w:fill="CCCCCC"/>
            <w:vAlign w:val="center"/>
            <w:hideMark/>
          </w:tcPr>
          <w:p w14:paraId="23216FE0"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PCC/PCC GROUP</w:t>
            </w:r>
          </w:p>
        </w:tc>
      </w:tr>
      <w:tr w:rsidR="00833772" w:rsidRPr="00833772" w14:paraId="1B626C67" w14:textId="77777777" w:rsidTr="005E2F77">
        <w:trPr>
          <w:trHeight w:val="233"/>
        </w:trPr>
        <w:tc>
          <w:tcPr>
            <w:tcW w:w="7083" w:type="dxa"/>
            <w:tcBorders>
              <w:top w:val="nil"/>
              <w:left w:val="single" w:sz="4" w:space="0" w:color="auto"/>
              <w:bottom w:val="nil"/>
              <w:right w:val="nil"/>
            </w:tcBorders>
            <w:shd w:val="clear" w:color="000000" w:fill="CCCCCC"/>
            <w:vAlign w:val="center"/>
            <w:hideMark/>
          </w:tcPr>
          <w:p w14:paraId="6F022F75" w14:textId="77777777" w:rsidR="00833772" w:rsidRPr="00833772" w:rsidRDefault="00833772" w:rsidP="00833772">
            <w:pPr>
              <w:jc w:val="center"/>
              <w:rPr>
                <w:rFonts w:ascii="Arial" w:hAnsi="Arial" w:cs="Arial"/>
                <w:b/>
                <w:bCs/>
                <w:color w:val="000000"/>
                <w:sz w:val="22"/>
                <w:szCs w:val="22"/>
              </w:rPr>
            </w:pPr>
          </w:p>
        </w:tc>
        <w:tc>
          <w:tcPr>
            <w:tcW w:w="1878" w:type="dxa"/>
            <w:tcBorders>
              <w:top w:val="nil"/>
              <w:left w:val="nil"/>
              <w:bottom w:val="nil"/>
              <w:right w:val="nil"/>
            </w:tcBorders>
            <w:noWrap/>
            <w:vAlign w:val="center"/>
            <w:hideMark/>
          </w:tcPr>
          <w:p w14:paraId="41E39BEE" w14:textId="1FD7D424"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714EDE">
              <w:rPr>
                <w:rFonts w:ascii="Arial" w:hAnsi="Arial" w:cs="Arial"/>
                <w:b/>
                <w:bCs/>
                <w:color w:val="000000"/>
                <w:sz w:val="22"/>
                <w:szCs w:val="22"/>
              </w:rPr>
              <w:t>4</w:t>
            </w:r>
          </w:p>
        </w:tc>
        <w:tc>
          <w:tcPr>
            <w:tcW w:w="1617" w:type="dxa"/>
            <w:tcBorders>
              <w:top w:val="nil"/>
              <w:left w:val="nil"/>
              <w:bottom w:val="nil"/>
              <w:right w:val="single" w:sz="4" w:space="0" w:color="auto"/>
            </w:tcBorders>
            <w:shd w:val="clear" w:color="000000" w:fill="CCCCCC"/>
            <w:noWrap/>
            <w:vAlign w:val="center"/>
            <w:hideMark/>
          </w:tcPr>
          <w:p w14:paraId="53E1E030" w14:textId="26FBA5B4"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714EDE">
              <w:rPr>
                <w:rFonts w:ascii="Arial" w:hAnsi="Arial" w:cs="Arial"/>
                <w:b/>
                <w:bCs/>
                <w:color w:val="000000"/>
                <w:sz w:val="22"/>
                <w:szCs w:val="22"/>
              </w:rPr>
              <w:t>5</w:t>
            </w:r>
          </w:p>
        </w:tc>
      </w:tr>
      <w:tr w:rsidR="00833772" w:rsidRPr="00833772" w14:paraId="2CA41333" w14:textId="77777777" w:rsidTr="005E2F77">
        <w:trPr>
          <w:trHeight w:val="233"/>
        </w:trPr>
        <w:tc>
          <w:tcPr>
            <w:tcW w:w="7083" w:type="dxa"/>
            <w:tcBorders>
              <w:top w:val="nil"/>
              <w:left w:val="single" w:sz="4" w:space="0" w:color="auto"/>
              <w:bottom w:val="nil"/>
              <w:right w:val="nil"/>
            </w:tcBorders>
            <w:shd w:val="clear" w:color="000000" w:fill="CCCCCC"/>
            <w:vAlign w:val="center"/>
            <w:hideMark/>
          </w:tcPr>
          <w:p w14:paraId="29E57287" w14:textId="77777777" w:rsidR="00833772" w:rsidRPr="00833772" w:rsidRDefault="00833772" w:rsidP="00833772">
            <w:pPr>
              <w:jc w:val="center"/>
              <w:rPr>
                <w:rFonts w:ascii="Arial" w:hAnsi="Arial" w:cs="Arial"/>
                <w:b/>
                <w:bCs/>
                <w:color w:val="000000"/>
                <w:sz w:val="22"/>
                <w:szCs w:val="22"/>
              </w:rPr>
            </w:pPr>
          </w:p>
        </w:tc>
        <w:tc>
          <w:tcPr>
            <w:tcW w:w="1878" w:type="dxa"/>
            <w:tcBorders>
              <w:top w:val="nil"/>
              <w:left w:val="nil"/>
              <w:bottom w:val="nil"/>
              <w:right w:val="nil"/>
            </w:tcBorders>
            <w:vAlign w:val="center"/>
            <w:hideMark/>
          </w:tcPr>
          <w:p w14:paraId="626766FA"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£000</w:t>
            </w:r>
          </w:p>
        </w:tc>
        <w:tc>
          <w:tcPr>
            <w:tcW w:w="1617" w:type="dxa"/>
            <w:tcBorders>
              <w:top w:val="nil"/>
              <w:left w:val="nil"/>
              <w:bottom w:val="nil"/>
              <w:right w:val="single" w:sz="4" w:space="0" w:color="auto"/>
            </w:tcBorders>
            <w:shd w:val="clear" w:color="000000" w:fill="CCCCCC"/>
            <w:vAlign w:val="center"/>
            <w:hideMark/>
          </w:tcPr>
          <w:p w14:paraId="33E67F08"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£000</w:t>
            </w:r>
          </w:p>
        </w:tc>
      </w:tr>
      <w:tr w:rsidR="00D03343" w:rsidRPr="00833772" w14:paraId="6F91129D" w14:textId="77777777">
        <w:trPr>
          <w:trHeight w:val="233"/>
        </w:trPr>
        <w:tc>
          <w:tcPr>
            <w:tcW w:w="7083" w:type="dxa"/>
            <w:tcBorders>
              <w:top w:val="nil"/>
              <w:left w:val="single" w:sz="4" w:space="0" w:color="auto"/>
              <w:bottom w:val="nil"/>
              <w:right w:val="nil"/>
            </w:tcBorders>
            <w:shd w:val="clear" w:color="000000" w:fill="CCCCCC"/>
            <w:vAlign w:val="center"/>
            <w:hideMark/>
          </w:tcPr>
          <w:p w14:paraId="7BF8BBF4" w14:textId="77777777" w:rsidR="00D03343" w:rsidRPr="00833772" w:rsidRDefault="00D03343" w:rsidP="00D03343">
            <w:pPr>
              <w:rPr>
                <w:rFonts w:ascii="Arial" w:hAnsi="Arial" w:cs="Arial"/>
                <w:b/>
                <w:bCs/>
                <w:color w:val="000000"/>
                <w:sz w:val="22"/>
                <w:szCs w:val="22"/>
              </w:rPr>
            </w:pPr>
            <w:r w:rsidRPr="00833772">
              <w:rPr>
                <w:rFonts w:ascii="Arial" w:hAnsi="Arial" w:cs="Arial"/>
                <w:b/>
                <w:bCs/>
                <w:color w:val="000000"/>
                <w:sz w:val="22"/>
                <w:szCs w:val="22"/>
              </w:rPr>
              <w:t>Balance at 1 April</w:t>
            </w:r>
          </w:p>
        </w:tc>
        <w:tc>
          <w:tcPr>
            <w:tcW w:w="1878" w:type="dxa"/>
            <w:tcBorders>
              <w:top w:val="nil"/>
              <w:left w:val="nil"/>
              <w:bottom w:val="nil"/>
              <w:right w:val="nil"/>
            </w:tcBorders>
            <w:vAlign w:val="center"/>
            <w:hideMark/>
          </w:tcPr>
          <w:p w14:paraId="104F7595" w14:textId="7FC5B0B0" w:rsidR="00D03343" w:rsidRPr="00833772" w:rsidRDefault="00D03343" w:rsidP="00D03343">
            <w:pPr>
              <w:jc w:val="right"/>
              <w:rPr>
                <w:rFonts w:ascii="Arial" w:hAnsi="Arial" w:cs="Arial"/>
                <w:b/>
                <w:bCs/>
                <w:color w:val="000000"/>
                <w:sz w:val="22"/>
                <w:szCs w:val="22"/>
              </w:rPr>
            </w:pPr>
            <w:r>
              <w:rPr>
                <w:rFonts w:ascii="Arial" w:hAnsi="Arial" w:cs="Arial"/>
                <w:b/>
                <w:bCs/>
                <w:color w:val="000000"/>
                <w:sz w:val="22"/>
                <w:szCs w:val="22"/>
              </w:rPr>
              <w:t>(66</w:t>
            </w:r>
            <w:r w:rsidRPr="00833772">
              <w:rPr>
                <w:rFonts w:ascii="Arial" w:hAnsi="Arial" w:cs="Arial"/>
                <w:b/>
                <w:bCs/>
                <w:color w:val="000000"/>
                <w:sz w:val="22"/>
                <w:szCs w:val="22"/>
              </w:rPr>
              <w:t>,</w:t>
            </w:r>
            <w:r>
              <w:rPr>
                <w:rFonts w:ascii="Arial" w:hAnsi="Arial" w:cs="Arial"/>
                <w:b/>
                <w:bCs/>
                <w:color w:val="000000"/>
                <w:sz w:val="22"/>
                <w:szCs w:val="22"/>
              </w:rPr>
              <w:t>487)</w:t>
            </w:r>
          </w:p>
        </w:tc>
        <w:tc>
          <w:tcPr>
            <w:tcW w:w="1617" w:type="dxa"/>
            <w:tcBorders>
              <w:top w:val="nil"/>
              <w:left w:val="nil"/>
              <w:bottom w:val="nil"/>
              <w:right w:val="single" w:sz="8" w:space="0" w:color="auto"/>
            </w:tcBorders>
            <w:shd w:val="clear" w:color="000000" w:fill="CCCCCC"/>
            <w:noWrap/>
            <w:vAlign w:val="center"/>
            <w:hideMark/>
          </w:tcPr>
          <w:p w14:paraId="535E9BEF" w14:textId="526302E2" w:rsidR="00D03343" w:rsidRPr="00833772" w:rsidRDefault="00D03343" w:rsidP="00D03343">
            <w:pPr>
              <w:jc w:val="right"/>
              <w:rPr>
                <w:rFonts w:ascii="Arial" w:hAnsi="Arial" w:cs="Arial"/>
                <w:b/>
                <w:bCs/>
                <w:color w:val="000000"/>
                <w:sz w:val="22"/>
                <w:szCs w:val="22"/>
              </w:rPr>
            </w:pPr>
            <w:r>
              <w:rPr>
                <w:rFonts w:ascii="Arial" w:hAnsi="Arial" w:cs="Arial"/>
                <w:b/>
                <w:bCs/>
                <w:color w:val="000000"/>
                <w:sz w:val="22"/>
                <w:szCs w:val="22"/>
              </w:rPr>
              <w:t xml:space="preserve">       (62,</w:t>
            </w:r>
            <w:r w:rsidR="000A603F">
              <w:rPr>
                <w:rFonts w:ascii="Arial" w:hAnsi="Arial" w:cs="Arial"/>
                <w:b/>
                <w:bCs/>
                <w:color w:val="000000"/>
                <w:sz w:val="22"/>
                <w:szCs w:val="22"/>
              </w:rPr>
              <w:t>184</w:t>
            </w:r>
            <w:r>
              <w:rPr>
                <w:rFonts w:ascii="Arial" w:hAnsi="Arial" w:cs="Arial"/>
                <w:b/>
                <w:bCs/>
                <w:color w:val="000000"/>
                <w:sz w:val="22"/>
                <w:szCs w:val="22"/>
              </w:rPr>
              <w:t>)</w:t>
            </w:r>
          </w:p>
        </w:tc>
      </w:tr>
      <w:tr w:rsidR="00D03343" w:rsidRPr="00833772" w14:paraId="11E21842" w14:textId="77777777">
        <w:trPr>
          <w:trHeight w:val="667"/>
        </w:trPr>
        <w:tc>
          <w:tcPr>
            <w:tcW w:w="7083" w:type="dxa"/>
            <w:tcBorders>
              <w:top w:val="nil"/>
              <w:left w:val="single" w:sz="4" w:space="0" w:color="auto"/>
              <w:bottom w:val="nil"/>
              <w:right w:val="nil"/>
            </w:tcBorders>
            <w:shd w:val="clear" w:color="000000" w:fill="CCCCCC"/>
            <w:vAlign w:val="center"/>
            <w:hideMark/>
          </w:tcPr>
          <w:p w14:paraId="2B83F55E" w14:textId="77777777" w:rsidR="00D03343" w:rsidRPr="00833772" w:rsidRDefault="00D03343" w:rsidP="00D03343">
            <w:pPr>
              <w:rPr>
                <w:rFonts w:ascii="Arial" w:hAnsi="Arial" w:cs="Arial"/>
                <w:color w:val="000000"/>
                <w:sz w:val="22"/>
                <w:szCs w:val="22"/>
              </w:rPr>
            </w:pPr>
            <w:r w:rsidRPr="00833772">
              <w:rPr>
                <w:rFonts w:ascii="Arial" w:hAnsi="Arial" w:cs="Arial"/>
                <w:color w:val="000000"/>
                <w:sz w:val="22"/>
                <w:szCs w:val="22"/>
              </w:rPr>
              <w:t>Reversal of items relating to capital expenditure debited or credited to the comprehensive income and expenditure statement:</w:t>
            </w:r>
          </w:p>
        </w:tc>
        <w:tc>
          <w:tcPr>
            <w:tcW w:w="1878" w:type="dxa"/>
            <w:tcBorders>
              <w:top w:val="nil"/>
              <w:left w:val="nil"/>
              <w:bottom w:val="nil"/>
              <w:right w:val="nil"/>
            </w:tcBorders>
            <w:noWrap/>
            <w:vAlign w:val="bottom"/>
            <w:hideMark/>
          </w:tcPr>
          <w:p w14:paraId="0068D305" w14:textId="77777777" w:rsidR="00D03343" w:rsidRPr="00833772" w:rsidRDefault="00D03343" w:rsidP="00D03343">
            <w:pPr>
              <w:rPr>
                <w:rFonts w:ascii="Arial" w:hAnsi="Arial" w:cs="Arial"/>
                <w:color w:val="000000"/>
                <w:sz w:val="22"/>
                <w:szCs w:val="22"/>
              </w:rPr>
            </w:pPr>
          </w:p>
        </w:tc>
        <w:tc>
          <w:tcPr>
            <w:tcW w:w="1617" w:type="dxa"/>
            <w:tcBorders>
              <w:top w:val="nil"/>
              <w:left w:val="nil"/>
              <w:bottom w:val="nil"/>
              <w:right w:val="single" w:sz="8" w:space="0" w:color="auto"/>
            </w:tcBorders>
            <w:shd w:val="clear" w:color="000000" w:fill="CCCCCC"/>
            <w:noWrap/>
            <w:vAlign w:val="bottom"/>
            <w:hideMark/>
          </w:tcPr>
          <w:p w14:paraId="50741F50" w14:textId="22866C21" w:rsidR="00D03343" w:rsidRPr="00833772" w:rsidRDefault="00D03343" w:rsidP="00D03343">
            <w:r>
              <w:rPr>
                <w:rFonts w:ascii="Arial" w:hAnsi="Arial" w:cs="Arial"/>
                <w:color w:val="000000"/>
                <w:sz w:val="22"/>
                <w:szCs w:val="22"/>
              </w:rPr>
              <w:t> </w:t>
            </w:r>
          </w:p>
        </w:tc>
      </w:tr>
      <w:tr w:rsidR="00D03343" w:rsidRPr="00833772" w14:paraId="72210A19" w14:textId="77777777">
        <w:trPr>
          <w:trHeight w:val="444"/>
        </w:trPr>
        <w:tc>
          <w:tcPr>
            <w:tcW w:w="7083" w:type="dxa"/>
            <w:tcBorders>
              <w:top w:val="nil"/>
              <w:left w:val="single" w:sz="4" w:space="0" w:color="auto"/>
              <w:bottom w:val="nil"/>
              <w:right w:val="nil"/>
            </w:tcBorders>
            <w:shd w:val="clear" w:color="000000" w:fill="CCCCCC"/>
            <w:vAlign w:val="center"/>
            <w:hideMark/>
          </w:tcPr>
          <w:p w14:paraId="29C955D3" w14:textId="77777777" w:rsidR="00D03343" w:rsidRPr="00833772" w:rsidRDefault="00D03343" w:rsidP="00D03343">
            <w:pPr>
              <w:ind w:firstLineChars="200" w:firstLine="440"/>
              <w:rPr>
                <w:rFonts w:ascii="Arial" w:hAnsi="Arial" w:cs="Arial"/>
                <w:color w:val="000000"/>
                <w:sz w:val="22"/>
                <w:szCs w:val="22"/>
              </w:rPr>
            </w:pPr>
            <w:r w:rsidRPr="00833772">
              <w:rPr>
                <w:rFonts w:ascii="Arial" w:hAnsi="Arial" w:cs="Arial"/>
                <w:color w:val="000000"/>
                <w:sz w:val="22"/>
                <w:szCs w:val="22"/>
              </w:rPr>
              <w:t>Charges for depreciation and impairment of non-current assets</w:t>
            </w:r>
          </w:p>
        </w:tc>
        <w:tc>
          <w:tcPr>
            <w:tcW w:w="1878" w:type="dxa"/>
            <w:tcBorders>
              <w:top w:val="nil"/>
              <w:left w:val="nil"/>
              <w:bottom w:val="nil"/>
              <w:right w:val="nil"/>
            </w:tcBorders>
            <w:vAlign w:val="center"/>
            <w:hideMark/>
          </w:tcPr>
          <w:p w14:paraId="2BEE3BD2" w14:textId="192B9A40"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20</w:t>
            </w:r>
            <w:r w:rsidRPr="00833772">
              <w:rPr>
                <w:rFonts w:ascii="Arial" w:hAnsi="Arial" w:cs="Arial"/>
                <w:color w:val="000000"/>
                <w:sz w:val="22"/>
                <w:szCs w:val="22"/>
              </w:rPr>
              <w:t>,</w:t>
            </w:r>
            <w:r>
              <w:rPr>
                <w:rFonts w:ascii="Arial" w:hAnsi="Arial" w:cs="Arial"/>
                <w:color w:val="000000"/>
                <w:sz w:val="22"/>
                <w:szCs w:val="22"/>
              </w:rPr>
              <w:t>870</w:t>
            </w:r>
          </w:p>
        </w:tc>
        <w:tc>
          <w:tcPr>
            <w:tcW w:w="1617" w:type="dxa"/>
            <w:tcBorders>
              <w:top w:val="nil"/>
              <w:left w:val="nil"/>
              <w:bottom w:val="nil"/>
              <w:right w:val="single" w:sz="8" w:space="0" w:color="auto"/>
            </w:tcBorders>
            <w:shd w:val="clear" w:color="000000" w:fill="CCCCCC"/>
            <w:noWrap/>
            <w:vAlign w:val="center"/>
            <w:hideMark/>
          </w:tcPr>
          <w:p w14:paraId="6D79BBA8" w14:textId="0003D91A"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21,417 </w:t>
            </w:r>
          </w:p>
        </w:tc>
      </w:tr>
      <w:tr w:rsidR="00D03343" w:rsidRPr="00833772" w14:paraId="12C2825A" w14:textId="77777777">
        <w:trPr>
          <w:trHeight w:val="444"/>
        </w:trPr>
        <w:tc>
          <w:tcPr>
            <w:tcW w:w="7083" w:type="dxa"/>
            <w:tcBorders>
              <w:top w:val="nil"/>
              <w:left w:val="single" w:sz="4" w:space="0" w:color="auto"/>
              <w:bottom w:val="nil"/>
              <w:right w:val="nil"/>
            </w:tcBorders>
            <w:shd w:val="clear" w:color="000000" w:fill="CCCCCC"/>
            <w:vAlign w:val="center"/>
            <w:hideMark/>
          </w:tcPr>
          <w:p w14:paraId="788D5AD6" w14:textId="77777777" w:rsidR="00D03343" w:rsidRPr="00833772" w:rsidRDefault="00D03343" w:rsidP="00D03343">
            <w:pPr>
              <w:ind w:firstLineChars="200" w:firstLine="440"/>
              <w:rPr>
                <w:rFonts w:ascii="Arial" w:hAnsi="Arial" w:cs="Arial"/>
                <w:color w:val="000000"/>
                <w:sz w:val="22"/>
                <w:szCs w:val="22"/>
              </w:rPr>
            </w:pPr>
            <w:r w:rsidRPr="00833772">
              <w:rPr>
                <w:rFonts w:ascii="Arial" w:hAnsi="Arial" w:cs="Arial"/>
                <w:color w:val="000000"/>
                <w:sz w:val="22"/>
                <w:szCs w:val="22"/>
              </w:rPr>
              <w:t>Revaluation (gains)/losses on property, plant and equipment</w:t>
            </w:r>
          </w:p>
        </w:tc>
        <w:tc>
          <w:tcPr>
            <w:tcW w:w="1878" w:type="dxa"/>
            <w:tcBorders>
              <w:top w:val="nil"/>
              <w:left w:val="nil"/>
              <w:bottom w:val="nil"/>
              <w:right w:val="nil"/>
            </w:tcBorders>
            <w:vAlign w:val="center"/>
            <w:hideMark/>
          </w:tcPr>
          <w:p w14:paraId="61E2CA63" w14:textId="40F81EFA"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0</w:t>
            </w:r>
          </w:p>
        </w:tc>
        <w:tc>
          <w:tcPr>
            <w:tcW w:w="1617" w:type="dxa"/>
            <w:tcBorders>
              <w:top w:val="nil"/>
              <w:left w:val="nil"/>
              <w:bottom w:val="nil"/>
              <w:right w:val="single" w:sz="8" w:space="0" w:color="auto"/>
            </w:tcBorders>
            <w:shd w:val="clear" w:color="000000" w:fill="CCCCCC"/>
            <w:noWrap/>
            <w:vAlign w:val="center"/>
            <w:hideMark/>
          </w:tcPr>
          <w:p w14:paraId="547B218A" w14:textId="24BD4E0B"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8 </w:t>
            </w:r>
          </w:p>
        </w:tc>
      </w:tr>
      <w:tr w:rsidR="001D6796" w:rsidRPr="00833772" w14:paraId="40459B12" w14:textId="77777777">
        <w:trPr>
          <w:trHeight w:val="233"/>
        </w:trPr>
        <w:tc>
          <w:tcPr>
            <w:tcW w:w="7083" w:type="dxa"/>
            <w:tcBorders>
              <w:top w:val="nil"/>
              <w:left w:val="single" w:sz="4" w:space="0" w:color="auto"/>
              <w:bottom w:val="nil"/>
              <w:right w:val="nil"/>
            </w:tcBorders>
            <w:shd w:val="clear" w:color="000000" w:fill="CCCCCC"/>
            <w:vAlign w:val="center"/>
            <w:hideMark/>
          </w:tcPr>
          <w:p w14:paraId="4B0F7AA8" w14:textId="77777777" w:rsidR="001D6796" w:rsidRPr="00833772" w:rsidRDefault="001D6796" w:rsidP="001D6796">
            <w:pPr>
              <w:ind w:firstLineChars="200" w:firstLine="440"/>
              <w:rPr>
                <w:rFonts w:ascii="Arial" w:hAnsi="Arial" w:cs="Arial"/>
                <w:color w:val="000000"/>
                <w:sz w:val="22"/>
                <w:szCs w:val="22"/>
              </w:rPr>
            </w:pPr>
            <w:r w:rsidRPr="00833772">
              <w:rPr>
                <w:rFonts w:ascii="Arial" w:hAnsi="Arial" w:cs="Arial"/>
                <w:color w:val="000000"/>
                <w:sz w:val="22"/>
                <w:szCs w:val="22"/>
              </w:rPr>
              <w:t>Amortisation of intangible assets</w:t>
            </w:r>
          </w:p>
        </w:tc>
        <w:tc>
          <w:tcPr>
            <w:tcW w:w="1878" w:type="dxa"/>
            <w:tcBorders>
              <w:top w:val="nil"/>
              <w:left w:val="nil"/>
              <w:bottom w:val="nil"/>
              <w:right w:val="nil"/>
            </w:tcBorders>
            <w:vAlign w:val="center"/>
            <w:hideMark/>
          </w:tcPr>
          <w:p w14:paraId="2BE14F35" w14:textId="4F864BD7"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584</w:t>
            </w:r>
          </w:p>
        </w:tc>
        <w:tc>
          <w:tcPr>
            <w:tcW w:w="1617" w:type="dxa"/>
            <w:tcBorders>
              <w:top w:val="nil"/>
              <w:left w:val="nil"/>
              <w:bottom w:val="nil"/>
              <w:right w:val="single" w:sz="8" w:space="0" w:color="auto"/>
            </w:tcBorders>
            <w:shd w:val="clear" w:color="000000" w:fill="CCCCCC"/>
            <w:noWrap/>
            <w:vAlign w:val="center"/>
            <w:hideMark/>
          </w:tcPr>
          <w:p w14:paraId="7DA8655D" w14:textId="67DA1003"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 xml:space="preserve">              764 </w:t>
            </w:r>
          </w:p>
        </w:tc>
      </w:tr>
      <w:tr w:rsidR="001D6796" w:rsidRPr="00833772" w14:paraId="67701219" w14:textId="77777777">
        <w:trPr>
          <w:trHeight w:val="444"/>
        </w:trPr>
        <w:tc>
          <w:tcPr>
            <w:tcW w:w="7083" w:type="dxa"/>
            <w:tcBorders>
              <w:top w:val="nil"/>
              <w:left w:val="single" w:sz="4" w:space="0" w:color="auto"/>
              <w:bottom w:val="nil"/>
              <w:right w:val="nil"/>
            </w:tcBorders>
            <w:shd w:val="clear" w:color="000000" w:fill="CCCCCC"/>
            <w:vAlign w:val="center"/>
            <w:hideMark/>
          </w:tcPr>
          <w:p w14:paraId="495AC5CC" w14:textId="77777777" w:rsidR="001D6796" w:rsidRPr="00833772" w:rsidRDefault="001D6796" w:rsidP="001D6796">
            <w:pPr>
              <w:ind w:firstLineChars="200" w:firstLine="440"/>
              <w:rPr>
                <w:rFonts w:ascii="Arial" w:hAnsi="Arial" w:cs="Arial"/>
                <w:color w:val="000000"/>
                <w:sz w:val="22"/>
                <w:szCs w:val="22"/>
              </w:rPr>
            </w:pPr>
            <w:r w:rsidRPr="00833772">
              <w:rPr>
                <w:rFonts w:ascii="Arial" w:hAnsi="Arial" w:cs="Arial"/>
                <w:color w:val="000000"/>
                <w:sz w:val="22"/>
                <w:szCs w:val="22"/>
              </w:rPr>
              <w:t>Revenue expenditure funded by capital under statute</w:t>
            </w:r>
          </w:p>
        </w:tc>
        <w:tc>
          <w:tcPr>
            <w:tcW w:w="1878" w:type="dxa"/>
            <w:tcBorders>
              <w:top w:val="nil"/>
              <w:left w:val="nil"/>
              <w:bottom w:val="nil"/>
              <w:right w:val="nil"/>
            </w:tcBorders>
            <w:vAlign w:val="center"/>
            <w:hideMark/>
          </w:tcPr>
          <w:p w14:paraId="3A630F28" w14:textId="403DD89C"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120</w:t>
            </w:r>
          </w:p>
        </w:tc>
        <w:tc>
          <w:tcPr>
            <w:tcW w:w="1617" w:type="dxa"/>
            <w:tcBorders>
              <w:top w:val="nil"/>
              <w:left w:val="nil"/>
              <w:bottom w:val="nil"/>
              <w:right w:val="single" w:sz="8" w:space="0" w:color="auto"/>
            </w:tcBorders>
            <w:shd w:val="clear" w:color="000000" w:fill="CCCCCC"/>
            <w:noWrap/>
            <w:vAlign w:val="center"/>
            <w:hideMark/>
          </w:tcPr>
          <w:p w14:paraId="05494887" w14:textId="659D8B38"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 xml:space="preserve">              119 </w:t>
            </w:r>
          </w:p>
        </w:tc>
      </w:tr>
      <w:tr w:rsidR="001D6796" w:rsidRPr="00833772" w14:paraId="02D2C343" w14:textId="77777777">
        <w:trPr>
          <w:trHeight w:val="444"/>
        </w:trPr>
        <w:tc>
          <w:tcPr>
            <w:tcW w:w="7083" w:type="dxa"/>
            <w:tcBorders>
              <w:top w:val="nil"/>
              <w:left w:val="single" w:sz="4" w:space="0" w:color="auto"/>
              <w:bottom w:val="nil"/>
              <w:right w:val="nil"/>
            </w:tcBorders>
            <w:shd w:val="clear" w:color="000000" w:fill="CCCCCC"/>
            <w:vAlign w:val="center"/>
          </w:tcPr>
          <w:p w14:paraId="6FF7CDDA" w14:textId="1E8E2F73" w:rsidR="001D6796" w:rsidRPr="00833772" w:rsidRDefault="001D6796" w:rsidP="001D6796">
            <w:pPr>
              <w:ind w:firstLineChars="200" w:firstLine="440"/>
              <w:rPr>
                <w:rFonts w:ascii="Arial" w:hAnsi="Arial" w:cs="Arial"/>
                <w:color w:val="000000"/>
                <w:sz w:val="22"/>
                <w:szCs w:val="22"/>
              </w:rPr>
            </w:pPr>
            <w:r w:rsidRPr="00765187">
              <w:rPr>
                <w:rFonts w:ascii="Arial" w:hAnsi="Arial" w:cs="Arial"/>
                <w:color w:val="000000"/>
                <w:sz w:val="22"/>
                <w:szCs w:val="22"/>
              </w:rPr>
              <w:t>Recognition of Donated Asset Income/Peppercorn Leases</w:t>
            </w:r>
          </w:p>
        </w:tc>
        <w:tc>
          <w:tcPr>
            <w:tcW w:w="1878" w:type="dxa"/>
            <w:tcBorders>
              <w:top w:val="nil"/>
              <w:left w:val="nil"/>
              <w:bottom w:val="nil"/>
              <w:right w:val="nil"/>
            </w:tcBorders>
            <w:vAlign w:val="center"/>
          </w:tcPr>
          <w:p w14:paraId="10A110EB" w14:textId="77777777" w:rsidR="001D6796" w:rsidRDefault="001D6796" w:rsidP="001D6796">
            <w:pPr>
              <w:jc w:val="right"/>
              <w:rPr>
                <w:rFonts w:ascii="Arial" w:hAnsi="Arial" w:cs="Arial"/>
                <w:color w:val="000000"/>
                <w:sz w:val="22"/>
                <w:szCs w:val="22"/>
              </w:rPr>
            </w:pPr>
          </w:p>
        </w:tc>
        <w:tc>
          <w:tcPr>
            <w:tcW w:w="1617" w:type="dxa"/>
            <w:tcBorders>
              <w:top w:val="nil"/>
              <w:left w:val="nil"/>
              <w:bottom w:val="nil"/>
              <w:right w:val="single" w:sz="8" w:space="0" w:color="auto"/>
            </w:tcBorders>
            <w:shd w:val="clear" w:color="000000" w:fill="CCCCCC"/>
            <w:noWrap/>
            <w:vAlign w:val="center"/>
          </w:tcPr>
          <w:p w14:paraId="0E12D06E" w14:textId="68924BC0" w:rsidR="001D6796" w:rsidRDefault="001D6796" w:rsidP="001D6796">
            <w:pPr>
              <w:jc w:val="right"/>
              <w:rPr>
                <w:rFonts w:ascii="Arial" w:hAnsi="Arial" w:cs="Arial"/>
                <w:color w:val="000000"/>
                <w:sz w:val="22"/>
                <w:szCs w:val="22"/>
              </w:rPr>
            </w:pPr>
            <w:r>
              <w:rPr>
                <w:rFonts w:ascii="Arial" w:hAnsi="Arial" w:cs="Arial"/>
                <w:color w:val="000000"/>
                <w:sz w:val="22"/>
                <w:szCs w:val="22"/>
              </w:rPr>
              <w:t xml:space="preserve">            (124)</w:t>
            </w:r>
          </w:p>
        </w:tc>
      </w:tr>
      <w:tr w:rsidR="001D6796" w:rsidRPr="00833772" w14:paraId="2FF49183" w14:textId="77777777">
        <w:trPr>
          <w:trHeight w:val="678"/>
        </w:trPr>
        <w:tc>
          <w:tcPr>
            <w:tcW w:w="7083" w:type="dxa"/>
            <w:tcBorders>
              <w:top w:val="nil"/>
              <w:left w:val="single" w:sz="4" w:space="0" w:color="auto"/>
              <w:bottom w:val="nil"/>
              <w:right w:val="nil"/>
            </w:tcBorders>
            <w:shd w:val="clear" w:color="000000" w:fill="CCCCCC"/>
            <w:vAlign w:val="center"/>
            <w:hideMark/>
          </w:tcPr>
          <w:p w14:paraId="32482EF5" w14:textId="77777777" w:rsidR="001D6796" w:rsidRDefault="001D6796" w:rsidP="001D6796">
            <w:pPr>
              <w:ind w:firstLineChars="200" w:firstLine="440"/>
              <w:rPr>
                <w:rFonts w:ascii="Arial" w:hAnsi="Arial" w:cs="Arial"/>
                <w:color w:val="000000"/>
                <w:sz w:val="22"/>
                <w:szCs w:val="22"/>
              </w:rPr>
            </w:pPr>
            <w:r w:rsidRPr="00833772">
              <w:rPr>
                <w:rFonts w:ascii="Arial" w:hAnsi="Arial" w:cs="Arial"/>
                <w:color w:val="000000"/>
                <w:sz w:val="22"/>
                <w:szCs w:val="22"/>
              </w:rPr>
              <w:t>Amounts of non-current assets written off on disposal or sale as</w:t>
            </w:r>
          </w:p>
          <w:p w14:paraId="5173259E" w14:textId="163E3DA1" w:rsidR="001D6796" w:rsidRPr="00833772" w:rsidRDefault="001D6796" w:rsidP="001D6796">
            <w:pPr>
              <w:ind w:firstLineChars="200" w:firstLine="440"/>
              <w:rPr>
                <w:rFonts w:ascii="Arial" w:hAnsi="Arial" w:cs="Arial"/>
                <w:color w:val="000000"/>
                <w:sz w:val="22"/>
                <w:szCs w:val="22"/>
              </w:rPr>
            </w:pPr>
            <w:r w:rsidRPr="00833772">
              <w:rPr>
                <w:rFonts w:ascii="Arial" w:hAnsi="Arial" w:cs="Arial"/>
                <w:color w:val="000000"/>
                <w:sz w:val="22"/>
                <w:szCs w:val="22"/>
              </w:rPr>
              <w:t>part of gain/loss on disposal to the CIES</w:t>
            </w:r>
          </w:p>
        </w:tc>
        <w:tc>
          <w:tcPr>
            <w:tcW w:w="1878" w:type="dxa"/>
            <w:tcBorders>
              <w:top w:val="nil"/>
              <w:left w:val="nil"/>
              <w:bottom w:val="single" w:sz="8" w:space="0" w:color="auto"/>
              <w:right w:val="nil"/>
            </w:tcBorders>
            <w:vAlign w:val="center"/>
            <w:hideMark/>
          </w:tcPr>
          <w:p w14:paraId="497704C0" w14:textId="6736A07B"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508</w:t>
            </w:r>
          </w:p>
        </w:tc>
        <w:tc>
          <w:tcPr>
            <w:tcW w:w="1617" w:type="dxa"/>
            <w:tcBorders>
              <w:top w:val="nil"/>
              <w:left w:val="nil"/>
              <w:bottom w:val="nil"/>
              <w:right w:val="single" w:sz="8" w:space="0" w:color="auto"/>
            </w:tcBorders>
            <w:shd w:val="clear" w:color="000000" w:fill="CCCCCC"/>
            <w:noWrap/>
            <w:vAlign w:val="center"/>
            <w:hideMark/>
          </w:tcPr>
          <w:p w14:paraId="75FE183B" w14:textId="3A5F9E46"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 xml:space="preserve">              395 </w:t>
            </w:r>
          </w:p>
        </w:tc>
      </w:tr>
      <w:tr w:rsidR="001D6796" w:rsidRPr="00833772" w14:paraId="605D2FFF" w14:textId="77777777">
        <w:trPr>
          <w:trHeight w:val="233"/>
        </w:trPr>
        <w:tc>
          <w:tcPr>
            <w:tcW w:w="7083" w:type="dxa"/>
            <w:tcBorders>
              <w:top w:val="nil"/>
              <w:left w:val="single" w:sz="4" w:space="0" w:color="auto"/>
              <w:bottom w:val="nil"/>
              <w:right w:val="nil"/>
            </w:tcBorders>
            <w:shd w:val="clear" w:color="000000" w:fill="CCCCCC"/>
            <w:vAlign w:val="center"/>
            <w:hideMark/>
          </w:tcPr>
          <w:p w14:paraId="547F0EA7" w14:textId="6F2CCB0D" w:rsidR="001D6796" w:rsidRPr="00833772" w:rsidRDefault="001D6796" w:rsidP="001D6796">
            <w:pPr>
              <w:rPr>
                <w:rFonts w:ascii="Arial" w:hAnsi="Arial" w:cs="Arial"/>
                <w:color w:val="000000"/>
                <w:sz w:val="22"/>
                <w:szCs w:val="22"/>
              </w:rPr>
            </w:pPr>
            <w:r>
              <w:rPr>
                <w:rFonts w:ascii="Arial" w:hAnsi="Arial" w:cs="Arial"/>
                <w:color w:val="000000"/>
                <w:sz w:val="22"/>
                <w:szCs w:val="22"/>
              </w:rPr>
              <w:t>Sub-Total</w:t>
            </w:r>
          </w:p>
        </w:tc>
        <w:tc>
          <w:tcPr>
            <w:tcW w:w="1878" w:type="dxa"/>
            <w:tcBorders>
              <w:top w:val="nil"/>
              <w:left w:val="nil"/>
              <w:bottom w:val="nil"/>
              <w:right w:val="nil"/>
            </w:tcBorders>
            <w:vAlign w:val="center"/>
            <w:hideMark/>
          </w:tcPr>
          <w:p w14:paraId="2962021F" w14:textId="7F0ECC1D"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22</w:t>
            </w:r>
            <w:r w:rsidRPr="00833772">
              <w:rPr>
                <w:rFonts w:ascii="Arial" w:hAnsi="Arial" w:cs="Arial"/>
                <w:color w:val="000000"/>
                <w:sz w:val="22"/>
                <w:szCs w:val="22"/>
              </w:rPr>
              <w:t>,</w:t>
            </w:r>
            <w:r>
              <w:rPr>
                <w:rFonts w:ascii="Arial" w:hAnsi="Arial" w:cs="Arial"/>
                <w:color w:val="000000"/>
                <w:sz w:val="22"/>
                <w:szCs w:val="22"/>
              </w:rPr>
              <w:t>082</w:t>
            </w:r>
          </w:p>
        </w:tc>
        <w:tc>
          <w:tcPr>
            <w:tcW w:w="1617" w:type="dxa"/>
            <w:tcBorders>
              <w:top w:val="single" w:sz="4" w:space="0" w:color="auto"/>
              <w:left w:val="nil"/>
              <w:bottom w:val="nil"/>
              <w:right w:val="single" w:sz="8" w:space="0" w:color="auto"/>
            </w:tcBorders>
            <w:shd w:val="clear" w:color="000000" w:fill="CCCCCC"/>
            <w:noWrap/>
            <w:vAlign w:val="center"/>
            <w:hideMark/>
          </w:tcPr>
          <w:p w14:paraId="2FF836DB" w14:textId="394025B6"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 xml:space="preserve">         22,580 </w:t>
            </w:r>
          </w:p>
        </w:tc>
      </w:tr>
      <w:tr w:rsidR="001D6796" w:rsidRPr="00833772" w14:paraId="7DCDD29F" w14:textId="77777777">
        <w:trPr>
          <w:trHeight w:val="456"/>
        </w:trPr>
        <w:tc>
          <w:tcPr>
            <w:tcW w:w="7083" w:type="dxa"/>
            <w:tcBorders>
              <w:top w:val="nil"/>
              <w:left w:val="single" w:sz="4" w:space="0" w:color="auto"/>
              <w:bottom w:val="nil"/>
              <w:right w:val="nil"/>
            </w:tcBorders>
            <w:shd w:val="clear" w:color="000000" w:fill="CCCCCC"/>
            <w:vAlign w:val="center"/>
            <w:hideMark/>
          </w:tcPr>
          <w:p w14:paraId="72072B91" w14:textId="77777777" w:rsidR="001D6796" w:rsidRPr="00833772" w:rsidRDefault="001D6796" w:rsidP="001D6796">
            <w:pPr>
              <w:rPr>
                <w:rFonts w:ascii="Arial" w:hAnsi="Arial" w:cs="Arial"/>
                <w:color w:val="000000"/>
                <w:sz w:val="22"/>
                <w:szCs w:val="22"/>
              </w:rPr>
            </w:pPr>
            <w:r w:rsidRPr="00833772">
              <w:rPr>
                <w:rFonts w:ascii="Arial" w:hAnsi="Arial" w:cs="Arial"/>
                <w:color w:val="000000"/>
                <w:sz w:val="22"/>
                <w:szCs w:val="22"/>
              </w:rPr>
              <w:t>Adjusting amounts written out of the revaluation reserve</w:t>
            </w:r>
          </w:p>
        </w:tc>
        <w:tc>
          <w:tcPr>
            <w:tcW w:w="1878" w:type="dxa"/>
            <w:tcBorders>
              <w:top w:val="nil"/>
              <w:left w:val="nil"/>
              <w:bottom w:val="single" w:sz="8" w:space="0" w:color="000000"/>
              <w:right w:val="nil"/>
            </w:tcBorders>
            <w:vAlign w:val="center"/>
            <w:hideMark/>
          </w:tcPr>
          <w:p w14:paraId="181F4307" w14:textId="31AB18C4"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(2</w:t>
            </w:r>
            <w:r w:rsidRPr="00833772">
              <w:rPr>
                <w:rFonts w:ascii="Arial" w:hAnsi="Arial" w:cs="Arial"/>
                <w:color w:val="000000"/>
                <w:sz w:val="22"/>
                <w:szCs w:val="22"/>
              </w:rPr>
              <w:t>,</w:t>
            </w:r>
            <w:r>
              <w:rPr>
                <w:rFonts w:ascii="Arial" w:hAnsi="Arial" w:cs="Arial"/>
                <w:color w:val="000000"/>
                <w:sz w:val="22"/>
                <w:szCs w:val="22"/>
              </w:rPr>
              <w:t>028)</w:t>
            </w:r>
            <w:r w:rsidRPr="00833772">
              <w:rPr>
                <w:rFonts w:ascii="Arial" w:hAnsi="Arial" w:cs="Arial"/>
                <w:color w:val="000000"/>
                <w:sz w:val="22"/>
                <w:szCs w:val="22"/>
              </w:rPr>
              <w:t xml:space="preserve"> </w:t>
            </w:r>
          </w:p>
        </w:tc>
        <w:tc>
          <w:tcPr>
            <w:tcW w:w="1617" w:type="dxa"/>
            <w:tcBorders>
              <w:top w:val="nil"/>
              <w:left w:val="nil"/>
              <w:bottom w:val="single" w:sz="8" w:space="0" w:color="auto"/>
              <w:right w:val="single" w:sz="8" w:space="0" w:color="auto"/>
            </w:tcBorders>
            <w:shd w:val="clear" w:color="000000" w:fill="CCCCCC"/>
            <w:noWrap/>
            <w:vAlign w:val="center"/>
            <w:hideMark/>
          </w:tcPr>
          <w:p w14:paraId="025B2602" w14:textId="570A0445" w:rsidR="001D6796" w:rsidRPr="00833772" w:rsidRDefault="001D6796" w:rsidP="001D6796">
            <w:pPr>
              <w:jc w:val="right"/>
              <w:rPr>
                <w:rFonts w:ascii="Arial" w:hAnsi="Arial" w:cs="Arial"/>
                <w:color w:val="000000"/>
                <w:sz w:val="22"/>
                <w:szCs w:val="22"/>
              </w:rPr>
            </w:pPr>
            <w:r>
              <w:rPr>
                <w:rFonts w:ascii="Arial" w:hAnsi="Arial" w:cs="Arial"/>
                <w:color w:val="000000"/>
                <w:sz w:val="22"/>
                <w:szCs w:val="22"/>
              </w:rPr>
              <w:t xml:space="preserve">         (2,200)</w:t>
            </w:r>
          </w:p>
        </w:tc>
      </w:tr>
      <w:tr w:rsidR="001D6796" w:rsidRPr="00833772" w14:paraId="2953325B" w14:textId="77777777">
        <w:trPr>
          <w:trHeight w:val="467"/>
        </w:trPr>
        <w:tc>
          <w:tcPr>
            <w:tcW w:w="7083" w:type="dxa"/>
            <w:tcBorders>
              <w:top w:val="nil"/>
              <w:left w:val="single" w:sz="4" w:space="0" w:color="auto"/>
              <w:bottom w:val="nil"/>
              <w:right w:val="nil"/>
            </w:tcBorders>
            <w:shd w:val="clear" w:color="000000" w:fill="CCCCCC"/>
            <w:vAlign w:val="center"/>
            <w:hideMark/>
          </w:tcPr>
          <w:p w14:paraId="5C160AEF" w14:textId="77777777" w:rsidR="001D6796" w:rsidRPr="00833772" w:rsidRDefault="001D6796" w:rsidP="001D6796">
            <w:pPr>
              <w:rPr>
                <w:rFonts w:ascii="Arial" w:hAnsi="Arial" w:cs="Arial"/>
                <w:b/>
                <w:bCs/>
                <w:color w:val="000000"/>
                <w:sz w:val="22"/>
                <w:szCs w:val="22"/>
              </w:rPr>
            </w:pPr>
            <w:r w:rsidRPr="00833772">
              <w:rPr>
                <w:rFonts w:ascii="Arial" w:hAnsi="Arial" w:cs="Arial"/>
                <w:b/>
                <w:bCs/>
                <w:color w:val="000000"/>
                <w:sz w:val="22"/>
                <w:szCs w:val="22"/>
              </w:rPr>
              <w:t>Net written out amount of the cost of non-current assets consumed in the year</w:t>
            </w:r>
          </w:p>
        </w:tc>
        <w:tc>
          <w:tcPr>
            <w:tcW w:w="1878" w:type="dxa"/>
            <w:tcBorders>
              <w:top w:val="nil"/>
              <w:left w:val="nil"/>
              <w:bottom w:val="nil"/>
              <w:right w:val="nil"/>
            </w:tcBorders>
            <w:vAlign w:val="center"/>
            <w:hideMark/>
          </w:tcPr>
          <w:p w14:paraId="54AE5641" w14:textId="1E6C8EE9" w:rsidR="001D6796" w:rsidRPr="00833772" w:rsidRDefault="001D6796" w:rsidP="001D6796">
            <w:pPr>
              <w:jc w:val="right"/>
              <w:rPr>
                <w:rFonts w:ascii="Arial" w:hAnsi="Arial" w:cs="Arial"/>
                <w:b/>
                <w:bCs/>
                <w:color w:val="000000"/>
                <w:sz w:val="22"/>
                <w:szCs w:val="22"/>
              </w:rPr>
            </w:pPr>
            <w:r>
              <w:rPr>
                <w:rFonts w:ascii="Arial" w:hAnsi="Arial" w:cs="Arial"/>
                <w:b/>
                <w:bCs/>
                <w:color w:val="000000"/>
                <w:sz w:val="22"/>
                <w:szCs w:val="22"/>
              </w:rPr>
              <w:t>20</w:t>
            </w:r>
            <w:r w:rsidRPr="00833772">
              <w:rPr>
                <w:rFonts w:ascii="Arial" w:hAnsi="Arial" w:cs="Arial"/>
                <w:b/>
                <w:bCs/>
                <w:color w:val="000000"/>
                <w:sz w:val="22"/>
                <w:szCs w:val="22"/>
              </w:rPr>
              <w:t>,</w:t>
            </w:r>
            <w:r>
              <w:rPr>
                <w:rFonts w:ascii="Arial" w:hAnsi="Arial" w:cs="Arial"/>
                <w:b/>
                <w:bCs/>
                <w:color w:val="000000"/>
                <w:sz w:val="22"/>
                <w:szCs w:val="22"/>
              </w:rPr>
              <w:t>055</w:t>
            </w:r>
          </w:p>
        </w:tc>
        <w:tc>
          <w:tcPr>
            <w:tcW w:w="1617" w:type="dxa"/>
            <w:tcBorders>
              <w:top w:val="nil"/>
              <w:left w:val="nil"/>
              <w:bottom w:val="nil"/>
              <w:right w:val="single" w:sz="8" w:space="0" w:color="auto"/>
            </w:tcBorders>
            <w:shd w:val="clear" w:color="000000" w:fill="CCCCCC"/>
            <w:noWrap/>
            <w:vAlign w:val="center"/>
            <w:hideMark/>
          </w:tcPr>
          <w:p w14:paraId="3F2FD6E0" w14:textId="1AEC3133" w:rsidR="001D6796" w:rsidRPr="00833772" w:rsidRDefault="001D6796" w:rsidP="001D6796">
            <w:pPr>
              <w:jc w:val="right"/>
              <w:rPr>
                <w:rFonts w:ascii="Arial" w:hAnsi="Arial" w:cs="Arial"/>
                <w:b/>
                <w:bCs/>
                <w:color w:val="000000"/>
                <w:sz w:val="22"/>
                <w:szCs w:val="22"/>
              </w:rPr>
            </w:pPr>
            <w:r>
              <w:rPr>
                <w:rFonts w:ascii="Arial" w:hAnsi="Arial" w:cs="Arial"/>
                <w:b/>
                <w:bCs/>
                <w:color w:val="000000"/>
                <w:sz w:val="22"/>
                <w:szCs w:val="22"/>
              </w:rPr>
              <w:t xml:space="preserve">         20,380 </w:t>
            </w:r>
          </w:p>
        </w:tc>
      </w:tr>
      <w:tr w:rsidR="00D03343" w:rsidRPr="00833772" w14:paraId="65D7987C" w14:textId="77777777">
        <w:trPr>
          <w:trHeight w:val="233"/>
        </w:trPr>
        <w:tc>
          <w:tcPr>
            <w:tcW w:w="7083" w:type="dxa"/>
            <w:tcBorders>
              <w:top w:val="nil"/>
              <w:left w:val="single" w:sz="4" w:space="0" w:color="auto"/>
              <w:bottom w:val="nil"/>
              <w:right w:val="nil"/>
            </w:tcBorders>
            <w:shd w:val="clear" w:color="000000" w:fill="CCCCCC"/>
            <w:vAlign w:val="center"/>
            <w:hideMark/>
          </w:tcPr>
          <w:p w14:paraId="77BFA4DF" w14:textId="77777777" w:rsidR="00D03343" w:rsidRPr="00833772" w:rsidRDefault="00D03343" w:rsidP="00D03343">
            <w:pPr>
              <w:rPr>
                <w:rFonts w:ascii="Arial" w:hAnsi="Arial" w:cs="Arial"/>
                <w:color w:val="000000"/>
                <w:sz w:val="22"/>
                <w:szCs w:val="22"/>
              </w:rPr>
            </w:pPr>
            <w:r w:rsidRPr="00833772">
              <w:rPr>
                <w:rFonts w:ascii="Arial" w:hAnsi="Arial" w:cs="Arial"/>
                <w:color w:val="000000"/>
                <w:sz w:val="22"/>
                <w:szCs w:val="22"/>
              </w:rPr>
              <w:t>Capital financing applied in year:</w:t>
            </w:r>
          </w:p>
        </w:tc>
        <w:tc>
          <w:tcPr>
            <w:tcW w:w="1878" w:type="dxa"/>
            <w:tcBorders>
              <w:top w:val="nil"/>
              <w:left w:val="nil"/>
              <w:bottom w:val="nil"/>
              <w:right w:val="nil"/>
            </w:tcBorders>
            <w:vAlign w:val="center"/>
            <w:hideMark/>
          </w:tcPr>
          <w:p w14:paraId="0E24FAB9" w14:textId="77777777" w:rsidR="00D03343" w:rsidRPr="00833772" w:rsidRDefault="00D03343" w:rsidP="00D03343">
            <w:pPr>
              <w:rPr>
                <w:rFonts w:ascii="Arial" w:hAnsi="Arial" w:cs="Arial"/>
                <w:color w:val="000000"/>
                <w:sz w:val="22"/>
                <w:szCs w:val="22"/>
              </w:rPr>
            </w:pPr>
          </w:p>
        </w:tc>
        <w:tc>
          <w:tcPr>
            <w:tcW w:w="1617" w:type="dxa"/>
            <w:tcBorders>
              <w:top w:val="nil"/>
              <w:left w:val="nil"/>
              <w:bottom w:val="nil"/>
              <w:right w:val="single" w:sz="8" w:space="0" w:color="auto"/>
            </w:tcBorders>
            <w:shd w:val="clear" w:color="000000" w:fill="CCCCCC"/>
            <w:noWrap/>
            <w:vAlign w:val="center"/>
            <w:hideMark/>
          </w:tcPr>
          <w:p w14:paraId="3BB33A7D" w14:textId="34252B6E" w:rsidR="00D03343" w:rsidRPr="00833772" w:rsidRDefault="00D03343" w:rsidP="00D03343">
            <w:pPr>
              <w:jc w:val="right"/>
            </w:pPr>
            <w:r>
              <w:rPr>
                <w:rFonts w:ascii="Arial" w:hAnsi="Arial" w:cs="Arial"/>
                <w:color w:val="000000"/>
                <w:sz w:val="22"/>
                <w:szCs w:val="22"/>
              </w:rPr>
              <w:t> </w:t>
            </w:r>
          </w:p>
        </w:tc>
      </w:tr>
      <w:tr w:rsidR="00D03343" w:rsidRPr="00833772" w14:paraId="77E8DE41" w14:textId="77777777">
        <w:trPr>
          <w:trHeight w:val="444"/>
        </w:trPr>
        <w:tc>
          <w:tcPr>
            <w:tcW w:w="7083" w:type="dxa"/>
            <w:tcBorders>
              <w:top w:val="nil"/>
              <w:left w:val="single" w:sz="4" w:space="0" w:color="auto"/>
              <w:bottom w:val="nil"/>
              <w:right w:val="nil"/>
            </w:tcBorders>
            <w:shd w:val="clear" w:color="000000" w:fill="CCCCCC"/>
            <w:vAlign w:val="center"/>
            <w:hideMark/>
          </w:tcPr>
          <w:p w14:paraId="1B01CD67" w14:textId="77777777" w:rsidR="00D03343" w:rsidRPr="00833772" w:rsidRDefault="00D03343" w:rsidP="00D03343">
            <w:pPr>
              <w:ind w:firstLineChars="200" w:firstLine="440"/>
              <w:rPr>
                <w:rFonts w:ascii="Arial" w:hAnsi="Arial" w:cs="Arial"/>
                <w:color w:val="000000"/>
                <w:sz w:val="22"/>
                <w:szCs w:val="22"/>
              </w:rPr>
            </w:pPr>
            <w:r w:rsidRPr="00833772">
              <w:rPr>
                <w:rFonts w:ascii="Arial" w:hAnsi="Arial" w:cs="Arial"/>
                <w:color w:val="000000"/>
                <w:sz w:val="22"/>
                <w:szCs w:val="22"/>
              </w:rPr>
              <w:t>Use of the capital receipts reserve to finance new capital expenditure</w:t>
            </w:r>
          </w:p>
        </w:tc>
        <w:tc>
          <w:tcPr>
            <w:tcW w:w="1878" w:type="dxa"/>
            <w:tcBorders>
              <w:top w:val="nil"/>
              <w:left w:val="nil"/>
              <w:bottom w:val="nil"/>
              <w:right w:val="nil"/>
            </w:tcBorders>
            <w:vAlign w:val="center"/>
            <w:hideMark/>
          </w:tcPr>
          <w:p w14:paraId="2F31A1AA" w14:textId="77777777" w:rsidR="00D03343" w:rsidRPr="00833772" w:rsidRDefault="00D03343" w:rsidP="00D03343">
            <w:pPr>
              <w:jc w:val="right"/>
              <w:rPr>
                <w:rFonts w:ascii="Arial" w:hAnsi="Arial" w:cs="Arial"/>
                <w:color w:val="000000"/>
                <w:sz w:val="22"/>
                <w:szCs w:val="22"/>
              </w:rPr>
            </w:pPr>
            <w:r w:rsidRPr="00833772">
              <w:rPr>
                <w:rFonts w:ascii="Arial" w:hAnsi="Arial" w:cs="Arial"/>
                <w:color w:val="000000"/>
                <w:sz w:val="22"/>
                <w:szCs w:val="22"/>
              </w:rPr>
              <w:t>0</w:t>
            </w:r>
          </w:p>
        </w:tc>
        <w:tc>
          <w:tcPr>
            <w:tcW w:w="1617" w:type="dxa"/>
            <w:tcBorders>
              <w:top w:val="nil"/>
              <w:left w:val="nil"/>
              <w:bottom w:val="nil"/>
              <w:right w:val="single" w:sz="8" w:space="0" w:color="auto"/>
            </w:tcBorders>
            <w:shd w:val="clear" w:color="000000" w:fill="CCCCCC"/>
            <w:noWrap/>
            <w:vAlign w:val="center"/>
            <w:hideMark/>
          </w:tcPr>
          <w:p w14:paraId="1E13C7E8" w14:textId="47116620"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0</w:t>
            </w:r>
          </w:p>
        </w:tc>
      </w:tr>
      <w:tr w:rsidR="00D03343" w:rsidRPr="00833772" w14:paraId="03D28766" w14:textId="77777777">
        <w:trPr>
          <w:trHeight w:val="444"/>
        </w:trPr>
        <w:tc>
          <w:tcPr>
            <w:tcW w:w="7083" w:type="dxa"/>
            <w:tcBorders>
              <w:top w:val="nil"/>
              <w:left w:val="single" w:sz="4" w:space="0" w:color="auto"/>
              <w:bottom w:val="nil"/>
              <w:right w:val="nil"/>
            </w:tcBorders>
            <w:shd w:val="clear" w:color="000000" w:fill="CCCCCC"/>
            <w:vAlign w:val="center"/>
            <w:hideMark/>
          </w:tcPr>
          <w:p w14:paraId="3BA34EB0" w14:textId="77777777" w:rsidR="00D03343" w:rsidRPr="00833772" w:rsidRDefault="00D03343" w:rsidP="00D03343">
            <w:pPr>
              <w:ind w:firstLineChars="200" w:firstLine="440"/>
              <w:rPr>
                <w:rFonts w:ascii="Arial" w:hAnsi="Arial" w:cs="Arial"/>
                <w:color w:val="000000"/>
                <w:sz w:val="22"/>
                <w:szCs w:val="22"/>
              </w:rPr>
            </w:pPr>
            <w:r w:rsidRPr="00833772">
              <w:rPr>
                <w:rFonts w:ascii="Arial" w:hAnsi="Arial" w:cs="Arial"/>
                <w:color w:val="000000"/>
                <w:sz w:val="22"/>
                <w:szCs w:val="22"/>
              </w:rPr>
              <w:t>Capital grants and contributions credited to the CIES that have been applied to capital financing</w:t>
            </w:r>
          </w:p>
        </w:tc>
        <w:tc>
          <w:tcPr>
            <w:tcW w:w="1878" w:type="dxa"/>
            <w:tcBorders>
              <w:top w:val="nil"/>
              <w:left w:val="nil"/>
              <w:bottom w:val="nil"/>
              <w:right w:val="nil"/>
            </w:tcBorders>
            <w:vAlign w:val="center"/>
            <w:hideMark/>
          </w:tcPr>
          <w:p w14:paraId="030E7F26" w14:textId="39B7312B"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(5</w:t>
            </w:r>
            <w:r w:rsidRPr="00833772">
              <w:rPr>
                <w:rFonts w:ascii="Arial" w:hAnsi="Arial" w:cs="Arial"/>
                <w:color w:val="000000"/>
                <w:sz w:val="22"/>
                <w:szCs w:val="22"/>
              </w:rPr>
              <w:t>0</w:t>
            </w:r>
            <w:r>
              <w:rPr>
                <w:rFonts w:ascii="Arial" w:hAnsi="Arial" w:cs="Arial"/>
                <w:color w:val="000000"/>
                <w:sz w:val="22"/>
                <w:szCs w:val="22"/>
              </w:rPr>
              <w:t>)</w:t>
            </w:r>
            <w:r w:rsidRPr="00833772">
              <w:rPr>
                <w:rFonts w:ascii="Arial" w:hAnsi="Arial" w:cs="Arial"/>
                <w:color w:val="000000"/>
                <w:sz w:val="22"/>
                <w:szCs w:val="22"/>
              </w:rPr>
              <w:t xml:space="preserve"> </w:t>
            </w:r>
          </w:p>
        </w:tc>
        <w:tc>
          <w:tcPr>
            <w:tcW w:w="1617" w:type="dxa"/>
            <w:tcBorders>
              <w:top w:val="nil"/>
              <w:left w:val="nil"/>
              <w:bottom w:val="nil"/>
              <w:right w:val="single" w:sz="8" w:space="0" w:color="auto"/>
            </w:tcBorders>
            <w:shd w:val="clear" w:color="000000" w:fill="CCCCCC"/>
            <w:noWrap/>
            <w:vAlign w:val="center"/>
            <w:hideMark/>
          </w:tcPr>
          <w:p w14:paraId="5E3073AC" w14:textId="4FDF982D"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(203)</w:t>
            </w:r>
          </w:p>
        </w:tc>
      </w:tr>
      <w:tr w:rsidR="00D03343" w:rsidRPr="00833772" w14:paraId="4BF94EA3" w14:textId="77777777">
        <w:trPr>
          <w:trHeight w:val="444"/>
        </w:trPr>
        <w:tc>
          <w:tcPr>
            <w:tcW w:w="7083" w:type="dxa"/>
            <w:tcBorders>
              <w:top w:val="nil"/>
              <w:left w:val="single" w:sz="4" w:space="0" w:color="auto"/>
              <w:bottom w:val="nil"/>
              <w:right w:val="nil"/>
            </w:tcBorders>
            <w:shd w:val="clear" w:color="000000" w:fill="CCCCCC"/>
            <w:vAlign w:val="center"/>
            <w:hideMark/>
          </w:tcPr>
          <w:p w14:paraId="3EA10C7A" w14:textId="77777777" w:rsidR="00D03343" w:rsidRPr="00833772" w:rsidRDefault="00D03343" w:rsidP="00D03343">
            <w:pPr>
              <w:ind w:firstLineChars="200" w:firstLine="440"/>
              <w:rPr>
                <w:rFonts w:ascii="Arial" w:hAnsi="Arial" w:cs="Arial"/>
                <w:color w:val="000000"/>
                <w:sz w:val="22"/>
                <w:szCs w:val="22"/>
              </w:rPr>
            </w:pPr>
            <w:r w:rsidRPr="00833772">
              <w:rPr>
                <w:rFonts w:ascii="Arial" w:hAnsi="Arial" w:cs="Arial"/>
                <w:color w:val="000000"/>
                <w:sz w:val="22"/>
                <w:szCs w:val="22"/>
              </w:rPr>
              <w:t>Application of grants to capital financing from the capital grant unapplied account</w:t>
            </w:r>
          </w:p>
        </w:tc>
        <w:tc>
          <w:tcPr>
            <w:tcW w:w="1878" w:type="dxa"/>
            <w:tcBorders>
              <w:top w:val="nil"/>
              <w:left w:val="nil"/>
              <w:bottom w:val="nil"/>
              <w:right w:val="nil"/>
            </w:tcBorders>
            <w:vAlign w:val="center"/>
            <w:hideMark/>
          </w:tcPr>
          <w:p w14:paraId="4368758B" w14:textId="7A91C806"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(62)</w:t>
            </w:r>
          </w:p>
        </w:tc>
        <w:tc>
          <w:tcPr>
            <w:tcW w:w="1617" w:type="dxa"/>
            <w:tcBorders>
              <w:top w:val="nil"/>
              <w:left w:val="nil"/>
              <w:bottom w:val="nil"/>
              <w:right w:val="single" w:sz="8" w:space="0" w:color="auto"/>
            </w:tcBorders>
            <w:shd w:val="clear" w:color="000000" w:fill="CCCCCC"/>
            <w:noWrap/>
            <w:vAlign w:val="center"/>
            <w:hideMark/>
          </w:tcPr>
          <w:p w14:paraId="19722B71" w14:textId="0B326275"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(80)</w:t>
            </w:r>
          </w:p>
        </w:tc>
      </w:tr>
      <w:tr w:rsidR="00D03343" w:rsidRPr="00833772" w14:paraId="14835891" w14:textId="77777777">
        <w:trPr>
          <w:trHeight w:val="667"/>
        </w:trPr>
        <w:tc>
          <w:tcPr>
            <w:tcW w:w="7083" w:type="dxa"/>
            <w:tcBorders>
              <w:top w:val="nil"/>
              <w:left w:val="single" w:sz="4" w:space="0" w:color="auto"/>
              <w:bottom w:val="nil"/>
              <w:right w:val="nil"/>
            </w:tcBorders>
            <w:shd w:val="clear" w:color="000000" w:fill="CCCCCC"/>
            <w:vAlign w:val="center"/>
            <w:hideMark/>
          </w:tcPr>
          <w:p w14:paraId="364AB315" w14:textId="77777777" w:rsidR="00D03343" w:rsidRPr="00833772" w:rsidRDefault="00D03343" w:rsidP="00D03343">
            <w:pPr>
              <w:ind w:firstLineChars="200" w:firstLine="440"/>
              <w:rPr>
                <w:rFonts w:ascii="Arial" w:hAnsi="Arial" w:cs="Arial"/>
                <w:color w:val="000000"/>
                <w:sz w:val="22"/>
                <w:szCs w:val="22"/>
              </w:rPr>
            </w:pPr>
            <w:r w:rsidRPr="00833772">
              <w:rPr>
                <w:rFonts w:ascii="Arial" w:hAnsi="Arial" w:cs="Arial"/>
                <w:color w:val="000000"/>
                <w:sz w:val="22"/>
                <w:szCs w:val="22"/>
              </w:rPr>
              <w:t>Statutory provision for the financing of capital investment charged against the General Fund balance</w:t>
            </w:r>
          </w:p>
        </w:tc>
        <w:tc>
          <w:tcPr>
            <w:tcW w:w="1878" w:type="dxa"/>
            <w:tcBorders>
              <w:top w:val="nil"/>
              <w:left w:val="nil"/>
              <w:bottom w:val="nil"/>
              <w:right w:val="nil"/>
            </w:tcBorders>
            <w:vAlign w:val="center"/>
            <w:hideMark/>
          </w:tcPr>
          <w:p w14:paraId="6AC50DBC" w14:textId="59CEC58D"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(2</w:t>
            </w:r>
            <w:r w:rsidRPr="00833772">
              <w:rPr>
                <w:rFonts w:ascii="Arial" w:hAnsi="Arial" w:cs="Arial"/>
                <w:color w:val="000000"/>
                <w:sz w:val="22"/>
                <w:szCs w:val="22"/>
              </w:rPr>
              <w:t>,</w:t>
            </w:r>
            <w:r>
              <w:rPr>
                <w:rFonts w:ascii="Arial" w:hAnsi="Arial" w:cs="Arial"/>
                <w:color w:val="000000"/>
                <w:sz w:val="22"/>
                <w:szCs w:val="22"/>
              </w:rPr>
              <w:t>191)</w:t>
            </w:r>
            <w:r w:rsidRPr="00833772">
              <w:rPr>
                <w:rFonts w:ascii="Arial" w:hAnsi="Arial" w:cs="Arial"/>
                <w:color w:val="000000"/>
                <w:sz w:val="22"/>
                <w:szCs w:val="22"/>
              </w:rPr>
              <w:t xml:space="preserve"> </w:t>
            </w:r>
          </w:p>
        </w:tc>
        <w:tc>
          <w:tcPr>
            <w:tcW w:w="1617" w:type="dxa"/>
            <w:tcBorders>
              <w:top w:val="nil"/>
              <w:left w:val="nil"/>
              <w:bottom w:val="nil"/>
              <w:right w:val="single" w:sz="8" w:space="0" w:color="auto"/>
            </w:tcBorders>
            <w:shd w:val="clear" w:color="000000" w:fill="CCCCCC"/>
            <w:noWrap/>
            <w:vAlign w:val="center"/>
            <w:hideMark/>
          </w:tcPr>
          <w:p w14:paraId="24ACCEB9" w14:textId="44E182A2"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(2,</w:t>
            </w:r>
            <w:r w:rsidR="001D6796">
              <w:rPr>
                <w:rFonts w:ascii="Arial" w:hAnsi="Arial" w:cs="Arial"/>
                <w:color w:val="000000"/>
                <w:sz w:val="22"/>
                <w:szCs w:val="22"/>
              </w:rPr>
              <w:t>408</w:t>
            </w:r>
            <w:r>
              <w:rPr>
                <w:rFonts w:ascii="Arial" w:hAnsi="Arial" w:cs="Arial"/>
                <w:color w:val="000000"/>
                <w:sz w:val="22"/>
                <w:szCs w:val="22"/>
              </w:rPr>
              <w:t>)</w:t>
            </w:r>
          </w:p>
        </w:tc>
      </w:tr>
      <w:tr w:rsidR="00D03343" w:rsidRPr="00833772" w14:paraId="5427D051" w14:textId="77777777">
        <w:trPr>
          <w:trHeight w:val="456"/>
        </w:trPr>
        <w:tc>
          <w:tcPr>
            <w:tcW w:w="7083" w:type="dxa"/>
            <w:tcBorders>
              <w:top w:val="nil"/>
              <w:left w:val="single" w:sz="4" w:space="0" w:color="auto"/>
              <w:bottom w:val="nil"/>
              <w:right w:val="nil"/>
            </w:tcBorders>
            <w:shd w:val="clear" w:color="000000" w:fill="CCCCCC"/>
            <w:vAlign w:val="center"/>
            <w:hideMark/>
          </w:tcPr>
          <w:p w14:paraId="0DE95F7C" w14:textId="77777777" w:rsidR="00D03343" w:rsidRPr="00833772" w:rsidRDefault="00D03343" w:rsidP="00D03343">
            <w:pPr>
              <w:ind w:firstLineChars="200" w:firstLine="440"/>
              <w:rPr>
                <w:rFonts w:ascii="Arial" w:hAnsi="Arial" w:cs="Arial"/>
                <w:color w:val="000000"/>
                <w:sz w:val="22"/>
                <w:szCs w:val="22"/>
              </w:rPr>
            </w:pPr>
            <w:r w:rsidRPr="00833772">
              <w:rPr>
                <w:rFonts w:ascii="Arial" w:hAnsi="Arial" w:cs="Arial"/>
                <w:color w:val="000000"/>
                <w:sz w:val="22"/>
                <w:szCs w:val="22"/>
              </w:rPr>
              <w:t>Capital expenditure charged against the General Fund balance</w:t>
            </w:r>
          </w:p>
        </w:tc>
        <w:tc>
          <w:tcPr>
            <w:tcW w:w="1878" w:type="dxa"/>
            <w:tcBorders>
              <w:top w:val="nil"/>
              <w:left w:val="nil"/>
              <w:bottom w:val="single" w:sz="8" w:space="0" w:color="auto"/>
              <w:right w:val="nil"/>
            </w:tcBorders>
            <w:vAlign w:val="center"/>
            <w:hideMark/>
          </w:tcPr>
          <w:p w14:paraId="4D00E359" w14:textId="653737BF"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w:t>
            </w:r>
            <w:r w:rsidRPr="00833772">
              <w:rPr>
                <w:rFonts w:ascii="Arial" w:hAnsi="Arial" w:cs="Arial"/>
                <w:color w:val="000000"/>
                <w:sz w:val="22"/>
                <w:szCs w:val="22"/>
              </w:rPr>
              <w:t>1</w:t>
            </w:r>
            <w:r>
              <w:rPr>
                <w:rFonts w:ascii="Arial" w:hAnsi="Arial" w:cs="Arial"/>
                <w:color w:val="000000"/>
                <w:sz w:val="22"/>
                <w:szCs w:val="22"/>
              </w:rPr>
              <w:t>3</w:t>
            </w:r>
            <w:r w:rsidRPr="00833772">
              <w:rPr>
                <w:rFonts w:ascii="Arial" w:hAnsi="Arial" w:cs="Arial"/>
                <w:color w:val="000000"/>
                <w:sz w:val="22"/>
                <w:szCs w:val="22"/>
              </w:rPr>
              <w:t>,4</w:t>
            </w:r>
            <w:r>
              <w:rPr>
                <w:rFonts w:ascii="Arial" w:hAnsi="Arial" w:cs="Arial"/>
                <w:color w:val="000000"/>
                <w:sz w:val="22"/>
                <w:szCs w:val="22"/>
              </w:rPr>
              <w:t>48)</w:t>
            </w:r>
            <w:r w:rsidRPr="00833772">
              <w:rPr>
                <w:rFonts w:ascii="Arial" w:hAnsi="Arial" w:cs="Arial"/>
                <w:color w:val="000000"/>
                <w:sz w:val="22"/>
                <w:szCs w:val="22"/>
              </w:rPr>
              <w:t xml:space="preserve"> </w:t>
            </w:r>
          </w:p>
        </w:tc>
        <w:tc>
          <w:tcPr>
            <w:tcW w:w="1617" w:type="dxa"/>
            <w:tcBorders>
              <w:top w:val="nil"/>
              <w:left w:val="nil"/>
              <w:bottom w:val="single" w:sz="8" w:space="0" w:color="auto"/>
              <w:right w:val="single" w:sz="8" w:space="0" w:color="auto"/>
            </w:tcBorders>
            <w:shd w:val="clear" w:color="000000" w:fill="CCCCCC"/>
            <w:noWrap/>
            <w:vAlign w:val="center"/>
            <w:hideMark/>
          </w:tcPr>
          <w:p w14:paraId="361EBC3A" w14:textId="5D5DD1B4"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(13,385)</w:t>
            </w:r>
          </w:p>
        </w:tc>
      </w:tr>
      <w:tr w:rsidR="00D03343" w:rsidRPr="00833772" w14:paraId="3EA87973" w14:textId="77777777">
        <w:trPr>
          <w:trHeight w:val="233"/>
        </w:trPr>
        <w:tc>
          <w:tcPr>
            <w:tcW w:w="7083" w:type="dxa"/>
            <w:tcBorders>
              <w:top w:val="nil"/>
              <w:left w:val="single" w:sz="4" w:space="0" w:color="auto"/>
              <w:bottom w:val="nil"/>
              <w:right w:val="nil"/>
            </w:tcBorders>
            <w:shd w:val="clear" w:color="000000" w:fill="CCCCCC"/>
            <w:vAlign w:val="center"/>
            <w:hideMark/>
          </w:tcPr>
          <w:p w14:paraId="166F85B3" w14:textId="77777777" w:rsidR="00D03343" w:rsidRPr="00833772" w:rsidRDefault="00D03343" w:rsidP="00D03343">
            <w:pPr>
              <w:jc w:val="right"/>
              <w:rPr>
                <w:rFonts w:ascii="Arial" w:hAnsi="Arial" w:cs="Arial"/>
                <w:color w:val="000000"/>
                <w:sz w:val="22"/>
                <w:szCs w:val="22"/>
              </w:rPr>
            </w:pPr>
          </w:p>
        </w:tc>
        <w:tc>
          <w:tcPr>
            <w:tcW w:w="1878" w:type="dxa"/>
            <w:tcBorders>
              <w:top w:val="nil"/>
              <w:left w:val="nil"/>
              <w:bottom w:val="nil"/>
              <w:right w:val="nil"/>
            </w:tcBorders>
            <w:vAlign w:val="center"/>
            <w:hideMark/>
          </w:tcPr>
          <w:p w14:paraId="4F68E870" w14:textId="6D0504A4" w:rsidR="00D03343" w:rsidRPr="00833772" w:rsidRDefault="00D03343" w:rsidP="00D03343">
            <w:pPr>
              <w:jc w:val="right"/>
              <w:rPr>
                <w:rFonts w:ascii="Arial" w:hAnsi="Arial" w:cs="Arial"/>
                <w:color w:val="000000"/>
                <w:sz w:val="22"/>
                <w:szCs w:val="22"/>
              </w:rPr>
            </w:pPr>
            <w:r w:rsidRPr="00833772">
              <w:rPr>
                <w:rFonts w:ascii="Arial" w:hAnsi="Arial" w:cs="Arial"/>
                <w:color w:val="000000"/>
                <w:sz w:val="22"/>
                <w:szCs w:val="22"/>
              </w:rPr>
              <w:t xml:space="preserve"> </w:t>
            </w:r>
            <w:r>
              <w:rPr>
                <w:rFonts w:ascii="Arial" w:hAnsi="Arial" w:cs="Arial"/>
                <w:color w:val="000000"/>
                <w:sz w:val="22"/>
                <w:szCs w:val="22"/>
              </w:rPr>
              <w:t>(</w:t>
            </w:r>
            <w:r w:rsidRPr="00833772">
              <w:rPr>
                <w:rFonts w:ascii="Arial" w:hAnsi="Arial" w:cs="Arial"/>
                <w:color w:val="000000"/>
                <w:sz w:val="22"/>
                <w:szCs w:val="22"/>
              </w:rPr>
              <w:t>1</w:t>
            </w:r>
            <w:r>
              <w:rPr>
                <w:rFonts w:ascii="Arial" w:hAnsi="Arial" w:cs="Arial"/>
                <w:color w:val="000000"/>
                <w:sz w:val="22"/>
                <w:szCs w:val="22"/>
              </w:rPr>
              <w:t>5</w:t>
            </w:r>
            <w:r w:rsidRPr="00833772">
              <w:rPr>
                <w:rFonts w:ascii="Arial" w:hAnsi="Arial" w:cs="Arial"/>
                <w:color w:val="000000"/>
                <w:sz w:val="22"/>
                <w:szCs w:val="22"/>
              </w:rPr>
              <w:t>,75</w:t>
            </w:r>
            <w:r>
              <w:rPr>
                <w:rFonts w:ascii="Arial" w:hAnsi="Arial" w:cs="Arial"/>
                <w:color w:val="000000"/>
                <w:sz w:val="22"/>
                <w:szCs w:val="22"/>
              </w:rPr>
              <w:t>1)</w:t>
            </w:r>
            <w:r w:rsidRPr="00833772">
              <w:rPr>
                <w:rFonts w:ascii="Arial" w:hAnsi="Arial" w:cs="Arial"/>
                <w:color w:val="000000"/>
                <w:sz w:val="22"/>
                <w:szCs w:val="22"/>
              </w:rPr>
              <w:t xml:space="preserve"> </w:t>
            </w:r>
          </w:p>
        </w:tc>
        <w:tc>
          <w:tcPr>
            <w:tcW w:w="1617" w:type="dxa"/>
            <w:tcBorders>
              <w:top w:val="nil"/>
              <w:left w:val="nil"/>
              <w:bottom w:val="nil"/>
              <w:right w:val="single" w:sz="8" w:space="0" w:color="auto"/>
            </w:tcBorders>
            <w:shd w:val="clear" w:color="000000" w:fill="CCCCCC"/>
            <w:noWrap/>
            <w:vAlign w:val="center"/>
            <w:hideMark/>
          </w:tcPr>
          <w:p w14:paraId="06A9E450" w14:textId="1F2CD53E"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(16,0</w:t>
            </w:r>
            <w:r w:rsidR="001D6796">
              <w:rPr>
                <w:rFonts w:ascii="Arial" w:hAnsi="Arial" w:cs="Arial"/>
                <w:color w:val="000000"/>
                <w:sz w:val="22"/>
                <w:szCs w:val="22"/>
              </w:rPr>
              <w:t>76</w:t>
            </w:r>
            <w:r>
              <w:rPr>
                <w:rFonts w:ascii="Arial" w:hAnsi="Arial" w:cs="Arial"/>
                <w:color w:val="000000"/>
                <w:sz w:val="22"/>
                <w:szCs w:val="22"/>
              </w:rPr>
              <w:t>)</w:t>
            </w:r>
          </w:p>
        </w:tc>
      </w:tr>
      <w:tr w:rsidR="00D03343" w:rsidRPr="00833772" w14:paraId="067F86C1" w14:textId="77777777">
        <w:trPr>
          <w:trHeight w:val="667"/>
        </w:trPr>
        <w:tc>
          <w:tcPr>
            <w:tcW w:w="7083" w:type="dxa"/>
            <w:tcBorders>
              <w:top w:val="nil"/>
              <w:left w:val="single" w:sz="4" w:space="0" w:color="auto"/>
              <w:bottom w:val="nil"/>
              <w:right w:val="nil"/>
            </w:tcBorders>
            <w:shd w:val="clear" w:color="000000" w:fill="CCCCCC"/>
            <w:vAlign w:val="center"/>
            <w:hideMark/>
          </w:tcPr>
          <w:p w14:paraId="604806F1" w14:textId="77777777" w:rsidR="00D03343" w:rsidRPr="00833772" w:rsidRDefault="00D03343" w:rsidP="00D03343">
            <w:pPr>
              <w:rPr>
                <w:rFonts w:ascii="Arial" w:hAnsi="Arial" w:cs="Arial"/>
                <w:color w:val="000000"/>
                <w:sz w:val="22"/>
                <w:szCs w:val="22"/>
              </w:rPr>
            </w:pPr>
            <w:r w:rsidRPr="00833772">
              <w:rPr>
                <w:rFonts w:ascii="Arial" w:hAnsi="Arial" w:cs="Arial"/>
                <w:color w:val="000000"/>
                <w:sz w:val="22"/>
                <w:szCs w:val="22"/>
              </w:rPr>
              <w:t>Movement in the market value of investment properties and assets held for sale debited or credited to the CIES</w:t>
            </w:r>
          </w:p>
        </w:tc>
        <w:tc>
          <w:tcPr>
            <w:tcW w:w="1878" w:type="dxa"/>
            <w:tcBorders>
              <w:top w:val="nil"/>
              <w:left w:val="nil"/>
              <w:bottom w:val="nil"/>
              <w:right w:val="nil"/>
            </w:tcBorders>
            <w:vAlign w:val="center"/>
            <w:hideMark/>
          </w:tcPr>
          <w:p w14:paraId="463F4768" w14:textId="16EB2647"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0</w:t>
            </w:r>
            <w:r w:rsidRPr="00833772">
              <w:rPr>
                <w:rFonts w:ascii="Arial" w:hAnsi="Arial" w:cs="Arial"/>
                <w:color w:val="000000"/>
                <w:sz w:val="22"/>
                <w:szCs w:val="22"/>
              </w:rPr>
              <w:t xml:space="preserve"> </w:t>
            </w:r>
          </w:p>
        </w:tc>
        <w:tc>
          <w:tcPr>
            <w:tcW w:w="1617" w:type="dxa"/>
            <w:tcBorders>
              <w:top w:val="nil"/>
              <w:left w:val="nil"/>
              <w:bottom w:val="nil"/>
              <w:right w:val="single" w:sz="8" w:space="0" w:color="auto"/>
            </w:tcBorders>
            <w:shd w:val="clear" w:color="000000" w:fill="CCCCCC"/>
            <w:noWrap/>
            <w:vAlign w:val="center"/>
            <w:hideMark/>
          </w:tcPr>
          <w:p w14:paraId="04A3444A" w14:textId="02DFBCCB"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0 </w:t>
            </w:r>
          </w:p>
        </w:tc>
      </w:tr>
      <w:tr w:rsidR="00D03343" w:rsidRPr="00833772" w14:paraId="3A1FB523" w14:textId="77777777">
        <w:trPr>
          <w:trHeight w:val="246"/>
        </w:trPr>
        <w:tc>
          <w:tcPr>
            <w:tcW w:w="7083" w:type="dxa"/>
            <w:tcBorders>
              <w:top w:val="nil"/>
              <w:left w:val="single" w:sz="4" w:space="0" w:color="auto"/>
              <w:bottom w:val="nil"/>
              <w:right w:val="nil"/>
            </w:tcBorders>
            <w:shd w:val="clear" w:color="000000" w:fill="CCCCCC"/>
            <w:vAlign w:val="center"/>
            <w:hideMark/>
          </w:tcPr>
          <w:p w14:paraId="6561529B" w14:textId="77777777" w:rsidR="00D03343" w:rsidRPr="00833772" w:rsidRDefault="00D03343" w:rsidP="00D03343">
            <w:pPr>
              <w:rPr>
                <w:rFonts w:ascii="Arial" w:hAnsi="Arial" w:cs="Arial"/>
                <w:color w:val="000000"/>
                <w:sz w:val="22"/>
                <w:szCs w:val="22"/>
              </w:rPr>
            </w:pPr>
            <w:r w:rsidRPr="00833772">
              <w:rPr>
                <w:rFonts w:ascii="Arial" w:hAnsi="Arial" w:cs="Arial"/>
                <w:color w:val="000000"/>
                <w:sz w:val="22"/>
                <w:szCs w:val="22"/>
              </w:rPr>
              <w:t>Other adjustments</w:t>
            </w:r>
          </w:p>
        </w:tc>
        <w:tc>
          <w:tcPr>
            <w:tcW w:w="1878" w:type="dxa"/>
            <w:tcBorders>
              <w:top w:val="nil"/>
              <w:left w:val="nil"/>
              <w:bottom w:val="single" w:sz="8" w:space="0" w:color="auto"/>
              <w:right w:val="nil"/>
            </w:tcBorders>
            <w:vAlign w:val="center"/>
            <w:hideMark/>
          </w:tcPr>
          <w:p w14:paraId="61AB02DC" w14:textId="724F3B94"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0</w:t>
            </w:r>
            <w:r w:rsidRPr="00833772">
              <w:rPr>
                <w:rFonts w:ascii="Arial" w:hAnsi="Arial" w:cs="Arial"/>
                <w:color w:val="000000"/>
                <w:sz w:val="22"/>
                <w:szCs w:val="22"/>
              </w:rPr>
              <w:t xml:space="preserve">   </w:t>
            </w:r>
          </w:p>
        </w:tc>
        <w:tc>
          <w:tcPr>
            <w:tcW w:w="1617" w:type="dxa"/>
            <w:tcBorders>
              <w:top w:val="nil"/>
              <w:left w:val="nil"/>
              <w:bottom w:val="nil"/>
              <w:right w:val="single" w:sz="8" w:space="0" w:color="auto"/>
            </w:tcBorders>
            <w:shd w:val="clear" w:color="000000" w:fill="CCCCCC"/>
            <w:noWrap/>
            <w:vAlign w:val="center"/>
            <w:hideMark/>
          </w:tcPr>
          <w:p w14:paraId="7899AA1B" w14:textId="14600BEA" w:rsidR="00D03343" w:rsidRPr="00833772" w:rsidRDefault="00D03343" w:rsidP="00D03343">
            <w:pPr>
              <w:jc w:val="right"/>
              <w:rPr>
                <w:rFonts w:ascii="Arial" w:hAnsi="Arial" w:cs="Arial"/>
                <w:color w:val="000000"/>
                <w:sz w:val="22"/>
                <w:szCs w:val="22"/>
              </w:rPr>
            </w:pPr>
            <w:r>
              <w:rPr>
                <w:rFonts w:ascii="Arial" w:hAnsi="Arial" w:cs="Arial"/>
                <w:color w:val="000000"/>
                <w:sz w:val="22"/>
                <w:szCs w:val="22"/>
              </w:rPr>
              <w:t xml:space="preserve">                  0 </w:t>
            </w:r>
          </w:p>
        </w:tc>
      </w:tr>
      <w:tr w:rsidR="00D03343" w:rsidRPr="00833772" w14:paraId="54C97595" w14:textId="77777777">
        <w:trPr>
          <w:trHeight w:val="246"/>
        </w:trPr>
        <w:tc>
          <w:tcPr>
            <w:tcW w:w="7083" w:type="dxa"/>
            <w:tcBorders>
              <w:top w:val="nil"/>
              <w:left w:val="single" w:sz="4" w:space="0" w:color="auto"/>
              <w:bottom w:val="single" w:sz="4" w:space="0" w:color="auto"/>
              <w:right w:val="nil"/>
            </w:tcBorders>
            <w:shd w:val="clear" w:color="000000" w:fill="CCCCCC"/>
            <w:vAlign w:val="center"/>
            <w:hideMark/>
          </w:tcPr>
          <w:p w14:paraId="6D74C5C5" w14:textId="77777777" w:rsidR="00D03343" w:rsidRPr="00833772" w:rsidRDefault="00D03343" w:rsidP="00D03343">
            <w:pPr>
              <w:rPr>
                <w:rFonts w:ascii="Arial" w:hAnsi="Arial" w:cs="Arial"/>
                <w:b/>
                <w:bCs/>
                <w:color w:val="000000"/>
                <w:sz w:val="22"/>
                <w:szCs w:val="22"/>
              </w:rPr>
            </w:pPr>
            <w:r w:rsidRPr="00833772">
              <w:rPr>
                <w:rFonts w:ascii="Arial" w:hAnsi="Arial" w:cs="Arial"/>
                <w:b/>
                <w:bCs/>
                <w:color w:val="000000"/>
                <w:sz w:val="22"/>
                <w:szCs w:val="22"/>
              </w:rPr>
              <w:t xml:space="preserve">Balance at 31 March </w:t>
            </w:r>
          </w:p>
        </w:tc>
        <w:tc>
          <w:tcPr>
            <w:tcW w:w="1878" w:type="dxa"/>
            <w:tcBorders>
              <w:top w:val="nil"/>
              <w:left w:val="nil"/>
              <w:bottom w:val="single" w:sz="4" w:space="0" w:color="auto"/>
              <w:right w:val="nil"/>
            </w:tcBorders>
            <w:vAlign w:val="center"/>
            <w:hideMark/>
          </w:tcPr>
          <w:p w14:paraId="33D41067" w14:textId="3DC2C449" w:rsidR="00D03343" w:rsidRPr="00833772" w:rsidRDefault="00D03343" w:rsidP="00D03343">
            <w:pPr>
              <w:jc w:val="right"/>
              <w:rPr>
                <w:rFonts w:ascii="Arial" w:hAnsi="Arial" w:cs="Arial"/>
                <w:b/>
                <w:bCs/>
                <w:color w:val="000000"/>
                <w:sz w:val="22"/>
                <w:szCs w:val="22"/>
              </w:rPr>
            </w:pPr>
            <w:r w:rsidRPr="00833772">
              <w:rPr>
                <w:rFonts w:ascii="Arial" w:hAnsi="Arial" w:cs="Arial"/>
                <w:b/>
                <w:bCs/>
                <w:color w:val="000000"/>
                <w:sz w:val="22"/>
                <w:szCs w:val="22"/>
              </w:rPr>
              <w:t xml:space="preserve"> </w:t>
            </w:r>
            <w:r>
              <w:rPr>
                <w:rFonts w:ascii="Arial" w:hAnsi="Arial" w:cs="Arial"/>
                <w:b/>
                <w:bCs/>
                <w:color w:val="000000"/>
                <w:sz w:val="22"/>
                <w:szCs w:val="22"/>
              </w:rPr>
              <w:t>(</w:t>
            </w:r>
            <w:r w:rsidRPr="00833772">
              <w:rPr>
                <w:rFonts w:ascii="Arial" w:hAnsi="Arial" w:cs="Arial"/>
                <w:b/>
                <w:bCs/>
                <w:color w:val="000000"/>
                <w:sz w:val="22"/>
                <w:szCs w:val="22"/>
              </w:rPr>
              <w:t>6</w:t>
            </w:r>
            <w:r>
              <w:rPr>
                <w:rFonts w:ascii="Arial" w:hAnsi="Arial" w:cs="Arial"/>
                <w:b/>
                <w:bCs/>
                <w:color w:val="000000"/>
                <w:sz w:val="22"/>
                <w:szCs w:val="22"/>
              </w:rPr>
              <w:t>2</w:t>
            </w:r>
            <w:r w:rsidRPr="00833772">
              <w:rPr>
                <w:rFonts w:ascii="Arial" w:hAnsi="Arial" w:cs="Arial"/>
                <w:b/>
                <w:bCs/>
                <w:color w:val="000000"/>
                <w:sz w:val="22"/>
                <w:szCs w:val="22"/>
              </w:rPr>
              <w:t>,</w:t>
            </w:r>
            <w:r>
              <w:rPr>
                <w:rFonts w:ascii="Arial" w:hAnsi="Arial" w:cs="Arial"/>
                <w:b/>
                <w:bCs/>
                <w:color w:val="000000"/>
                <w:sz w:val="22"/>
                <w:szCs w:val="22"/>
              </w:rPr>
              <w:t>184)</w:t>
            </w:r>
            <w:r w:rsidRPr="00833772">
              <w:rPr>
                <w:rFonts w:ascii="Arial" w:hAnsi="Arial" w:cs="Arial"/>
                <w:b/>
                <w:bCs/>
                <w:color w:val="000000"/>
                <w:sz w:val="22"/>
                <w:szCs w:val="22"/>
              </w:rPr>
              <w:t xml:space="preserve"> </w:t>
            </w:r>
          </w:p>
        </w:tc>
        <w:tc>
          <w:tcPr>
            <w:tcW w:w="1617" w:type="dxa"/>
            <w:tcBorders>
              <w:top w:val="single" w:sz="8" w:space="0" w:color="auto"/>
              <w:left w:val="nil"/>
              <w:bottom w:val="single" w:sz="8" w:space="0" w:color="auto"/>
              <w:right w:val="single" w:sz="8" w:space="0" w:color="auto"/>
            </w:tcBorders>
            <w:shd w:val="clear" w:color="000000" w:fill="CCCCCC"/>
            <w:vAlign w:val="center"/>
            <w:hideMark/>
          </w:tcPr>
          <w:p w14:paraId="69860061" w14:textId="302491B1" w:rsidR="00D03343" w:rsidRPr="00833772" w:rsidRDefault="00D03343" w:rsidP="00D03343">
            <w:pPr>
              <w:jc w:val="right"/>
              <w:rPr>
                <w:rFonts w:ascii="Arial" w:hAnsi="Arial" w:cs="Arial"/>
                <w:b/>
                <w:bCs/>
                <w:color w:val="000000"/>
                <w:sz w:val="22"/>
                <w:szCs w:val="22"/>
              </w:rPr>
            </w:pPr>
            <w:r>
              <w:rPr>
                <w:rFonts w:ascii="Arial" w:hAnsi="Arial" w:cs="Arial"/>
                <w:b/>
                <w:bCs/>
                <w:color w:val="000000"/>
                <w:sz w:val="22"/>
                <w:szCs w:val="22"/>
              </w:rPr>
              <w:t xml:space="preserve">       (57,879)</w:t>
            </w:r>
          </w:p>
        </w:tc>
      </w:tr>
    </w:tbl>
    <w:p w14:paraId="3D76BE3F" w14:textId="77777777" w:rsidR="003B74DA" w:rsidRDefault="003B74DA" w:rsidP="003B74DA">
      <w:pPr>
        <w:tabs>
          <w:tab w:val="right" w:pos="5760"/>
        </w:tabs>
        <w:ind w:left="426"/>
        <w:rPr>
          <w:rFonts w:ascii="Arial" w:hAnsi="Arial"/>
          <w:b/>
          <w:sz w:val="22"/>
          <w:szCs w:val="22"/>
        </w:rPr>
      </w:pPr>
    </w:p>
    <w:p w14:paraId="4C094AEA" w14:textId="77777777" w:rsidR="00B6074C" w:rsidRDefault="00B6074C">
      <w:pPr>
        <w:rPr>
          <w:rFonts w:ascii="Arial" w:hAnsi="Arial"/>
          <w:b/>
          <w:sz w:val="22"/>
          <w:szCs w:val="22"/>
        </w:rPr>
      </w:pPr>
      <w:r>
        <w:rPr>
          <w:rFonts w:ascii="Arial" w:hAnsi="Arial"/>
          <w:b/>
          <w:sz w:val="22"/>
          <w:szCs w:val="22"/>
        </w:rPr>
        <w:br w:type="page"/>
      </w:r>
    </w:p>
    <w:p w14:paraId="6E041528" w14:textId="4D297F66" w:rsidR="003B74DA" w:rsidRPr="006550D9" w:rsidRDefault="003B74DA" w:rsidP="00833772">
      <w:pPr>
        <w:rPr>
          <w:rFonts w:ascii="Arial" w:hAnsi="Arial"/>
          <w:b/>
          <w:sz w:val="22"/>
          <w:szCs w:val="22"/>
        </w:rPr>
      </w:pPr>
      <w:r w:rsidRPr="006550D9">
        <w:rPr>
          <w:rFonts w:ascii="Arial" w:hAnsi="Arial"/>
          <w:b/>
          <w:sz w:val="22"/>
          <w:szCs w:val="22"/>
        </w:rPr>
        <w:lastRenderedPageBreak/>
        <w:t>Pensions Reserve</w:t>
      </w:r>
    </w:p>
    <w:p w14:paraId="2DAC8DC1" w14:textId="77777777" w:rsidR="003B74DA" w:rsidRPr="006550D9" w:rsidRDefault="003B74DA" w:rsidP="003B74DA">
      <w:pPr>
        <w:tabs>
          <w:tab w:val="right" w:pos="5760"/>
        </w:tabs>
        <w:ind w:left="426"/>
        <w:rPr>
          <w:rFonts w:ascii="Arial" w:hAnsi="Arial"/>
          <w:b/>
          <w:sz w:val="22"/>
          <w:szCs w:val="22"/>
        </w:rPr>
      </w:pPr>
    </w:p>
    <w:p w14:paraId="4FC6E015" w14:textId="77777777" w:rsidR="003B74DA" w:rsidRPr="00F1121F" w:rsidRDefault="003B74DA" w:rsidP="003B74DA">
      <w:pPr>
        <w:tabs>
          <w:tab w:val="right" w:pos="5760"/>
        </w:tabs>
        <w:ind w:left="426"/>
        <w:jc w:val="both"/>
        <w:rPr>
          <w:rFonts w:ascii="Arial" w:hAnsi="Arial"/>
          <w:sz w:val="22"/>
          <w:szCs w:val="22"/>
        </w:rPr>
      </w:pPr>
      <w:r w:rsidRPr="0021070C">
        <w:rPr>
          <w:rFonts w:ascii="Arial" w:hAnsi="Arial"/>
          <w:sz w:val="22"/>
          <w:szCs w:val="22"/>
        </w:rPr>
        <w:t xml:space="preserve">The pensions reserve absorbs the timing differences arising from the different arrangements for accounting for </w:t>
      </w:r>
      <w:r w:rsidRPr="00F1121F">
        <w:rPr>
          <w:rFonts w:ascii="Arial" w:hAnsi="Arial"/>
          <w:sz w:val="22"/>
          <w:szCs w:val="22"/>
        </w:rPr>
        <w:t>post-employment benefits in accordance with statutory provisions. The PCC and PCC Group account for post-employment benefits in the CIES as the benefits are earned by employees accruing years of service, updating the liabilities recognised to reflect inflation, changing assumptions and investment returns on any resources set aside to meet the costs. However, statutory arrangements require benefits earned to be financed as the PCC makes the employer's contributions to the pension funds or eventually pays any pensions for which he is directly responsible. The negative balance on the pensions reserve therefore shows a substantial shortfall in the benefits earned by past and current employees and the resources set aside to meet them. The statutory arrangements will ensure that funding will have been set aside by the time the benefits come to be paid.</w:t>
      </w:r>
    </w:p>
    <w:p w14:paraId="1B8F5D99" w14:textId="77777777" w:rsidR="003B74DA" w:rsidRPr="00F1121F" w:rsidRDefault="003B74DA" w:rsidP="003B74DA">
      <w:pPr>
        <w:tabs>
          <w:tab w:val="right" w:pos="5760"/>
        </w:tabs>
        <w:ind w:left="426"/>
        <w:rPr>
          <w:rFonts w:ascii="Arial" w:hAnsi="Arial"/>
          <w:sz w:val="22"/>
          <w:szCs w:val="22"/>
        </w:rPr>
      </w:pPr>
    </w:p>
    <w:tbl>
      <w:tblPr>
        <w:tblW w:w="10380" w:type="dxa"/>
        <w:tblCellMar>
          <w:top w:w="15" w:type="dxa"/>
          <w:bottom w:w="15" w:type="dxa"/>
        </w:tblCellMar>
        <w:tblLook w:val="04A0" w:firstRow="1" w:lastRow="0" w:firstColumn="1" w:lastColumn="0" w:noHBand="0" w:noVBand="1"/>
      </w:tblPr>
      <w:tblGrid>
        <w:gridCol w:w="1408"/>
        <w:gridCol w:w="1276"/>
        <w:gridCol w:w="4705"/>
        <w:gridCol w:w="1649"/>
        <w:gridCol w:w="1342"/>
      </w:tblGrid>
      <w:tr w:rsidR="00833772" w:rsidRPr="00833772" w14:paraId="43A92C38" w14:textId="77777777" w:rsidTr="00833772">
        <w:trPr>
          <w:trHeight w:val="300"/>
        </w:trPr>
        <w:tc>
          <w:tcPr>
            <w:tcW w:w="2684" w:type="dxa"/>
            <w:gridSpan w:val="2"/>
            <w:tcBorders>
              <w:top w:val="single" w:sz="8" w:space="0" w:color="auto"/>
              <w:left w:val="single" w:sz="8" w:space="0" w:color="auto"/>
              <w:bottom w:val="nil"/>
              <w:right w:val="nil"/>
            </w:tcBorders>
            <w:shd w:val="clear" w:color="000000" w:fill="CCCCCC"/>
            <w:vAlign w:val="center"/>
            <w:hideMark/>
          </w:tcPr>
          <w:p w14:paraId="17422363"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PCC</w:t>
            </w:r>
          </w:p>
        </w:tc>
        <w:tc>
          <w:tcPr>
            <w:tcW w:w="4705" w:type="dxa"/>
            <w:tcBorders>
              <w:top w:val="single" w:sz="8" w:space="0" w:color="auto"/>
              <w:left w:val="nil"/>
              <w:bottom w:val="nil"/>
              <w:right w:val="nil"/>
            </w:tcBorders>
            <w:shd w:val="clear" w:color="000000" w:fill="CCCCCC"/>
            <w:vAlign w:val="center"/>
            <w:hideMark/>
          </w:tcPr>
          <w:p w14:paraId="5F5439D8" w14:textId="77777777" w:rsidR="00833772" w:rsidRPr="00833772" w:rsidRDefault="00833772" w:rsidP="00833772">
            <w:pPr>
              <w:jc w:val="center"/>
              <w:rPr>
                <w:rFonts w:ascii="Arial" w:hAnsi="Arial" w:cs="Arial"/>
                <w:b/>
                <w:bCs/>
                <w:color w:val="000000"/>
                <w:sz w:val="22"/>
                <w:szCs w:val="22"/>
              </w:rPr>
            </w:pPr>
          </w:p>
        </w:tc>
        <w:tc>
          <w:tcPr>
            <w:tcW w:w="2991" w:type="dxa"/>
            <w:gridSpan w:val="2"/>
            <w:tcBorders>
              <w:top w:val="single" w:sz="8" w:space="0" w:color="auto"/>
              <w:left w:val="nil"/>
              <w:bottom w:val="nil"/>
              <w:right w:val="nil"/>
            </w:tcBorders>
            <w:shd w:val="clear" w:color="000000" w:fill="CCCCCC"/>
            <w:vAlign w:val="center"/>
            <w:hideMark/>
          </w:tcPr>
          <w:p w14:paraId="3D3C0C1B"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PCC GROUP</w:t>
            </w:r>
          </w:p>
        </w:tc>
      </w:tr>
      <w:tr w:rsidR="00833772" w:rsidRPr="00833772" w14:paraId="0B4D7911" w14:textId="77777777" w:rsidTr="00833772">
        <w:trPr>
          <w:trHeight w:val="300"/>
        </w:trPr>
        <w:tc>
          <w:tcPr>
            <w:tcW w:w="1408" w:type="dxa"/>
            <w:tcBorders>
              <w:top w:val="nil"/>
              <w:left w:val="single" w:sz="8" w:space="0" w:color="auto"/>
              <w:bottom w:val="nil"/>
              <w:right w:val="nil"/>
            </w:tcBorders>
            <w:vAlign w:val="center"/>
            <w:hideMark/>
          </w:tcPr>
          <w:p w14:paraId="4C1233F7" w14:textId="7E218F30"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31-Mar-2</w:t>
            </w:r>
            <w:r w:rsidR="00714EDE">
              <w:rPr>
                <w:rFonts w:ascii="Arial" w:hAnsi="Arial" w:cs="Arial"/>
                <w:b/>
                <w:bCs/>
                <w:color w:val="000000"/>
                <w:sz w:val="22"/>
                <w:szCs w:val="22"/>
              </w:rPr>
              <w:t>4</w:t>
            </w:r>
          </w:p>
        </w:tc>
        <w:tc>
          <w:tcPr>
            <w:tcW w:w="1276" w:type="dxa"/>
            <w:tcBorders>
              <w:top w:val="nil"/>
              <w:left w:val="nil"/>
              <w:bottom w:val="nil"/>
              <w:right w:val="nil"/>
            </w:tcBorders>
            <w:shd w:val="clear" w:color="000000" w:fill="CCCCCC"/>
            <w:vAlign w:val="center"/>
            <w:hideMark/>
          </w:tcPr>
          <w:p w14:paraId="7160597A" w14:textId="6EF2CD3D"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31-Mar-2</w:t>
            </w:r>
            <w:r w:rsidR="00714EDE">
              <w:rPr>
                <w:rFonts w:ascii="Arial" w:hAnsi="Arial" w:cs="Arial"/>
                <w:b/>
                <w:bCs/>
                <w:color w:val="000000"/>
                <w:sz w:val="22"/>
                <w:szCs w:val="22"/>
              </w:rPr>
              <w:t>5</w:t>
            </w:r>
          </w:p>
        </w:tc>
        <w:tc>
          <w:tcPr>
            <w:tcW w:w="4705" w:type="dxa"/>
            <w:tcBorders>
              <w:top w:val="nil"/>
              <w:left w:val="nil"/>
              <w:bottom w:val="nil"/>
              <w:right w:val="nil"/>
            </w:tcBorders>
            <w:shd w:val="clear" w:color="000000" w:fill="CCCCCC"/>
            <w:vAlign w:val="center"/>
            <w:hideMark/>
          </w:tcPr>
          <w:p w14:paraId="185599DB" w14:textId="77777777" w:rsidR="00833772" w:rsidRPr="00833772" w:rsidRDefault="00833772" w:rsidP="00833772">
            <w:pPr>
              <w:jc w:val="right"/>
              <w:rPr>
                <w:rFonts w:ascii="Arial" w:hAnsi="Arial" w:cs="Arial"/>
                <w:b/>
                <w:bCs/>
                <w:color w:val="000000"/>
                <w:sz w:val="22"/>
                <w:szCs w:val="22"/>
              </w:rPr>
            </w:pPr>
          </w:p>
        </w:tc>
        <w:tc>
          <w:tcPr>
            <w:tcW w:w="1649" w:type="dxa"/>
            <w:tcBorders>
              <w:top w:val="nil"/>
              <w:left w:val="nil"/>
              <w:bottom w:val="nil"/>
              <w:right w:val="nil"/>
            </w:tcBorders>
            <w:vAlign w:val="center"/>
            <w:hideMark/>
          </w:tcPr>
          <w:p w14:paraId="26FC15D7" w14:textId="3BA6853B"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31-Mar-2</w:t>
            </w:r>
            <w:r w:rsidR="00714EDE">
              <w:rPr>
                <w:rFonts w:ascii="Arial" w:hAnsi="Arial" w:cs="Arial"/>
                <w:b/>
                <w:bCs/>
                <w:color w:val="000000"/>
                <w:sz w:val="22"/>
                <w:szCs w:val="22"/>
              </w:rPr>
              <w:t>4</w:t>
            </w:r>
          </w:p>
        </w:tc>
        <w:tc>
          <w:tcPr>
            <w:tcW w:w="1342" w:type="dxa"/>
            <w:tcBorders>
              <w:top w:val="nil"/>
              <w:left w:val="nil"/>
              <w:bottom w:val="nil"/>
              <w:right w:val="single" w:sz="8" w:space="0" w:color="auto"/>
            </w:tcBorders>
            <w:shd w:val="clear" w:color="000000" w:fill="CCCCCC"/>
            <w:vAlign w:val="center"/>
            <w:hideMark/>
          </w:tcPr>
          <w:p w14:paraId="2FDEA42F" w14:textId="28510A15"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31-Mar-2</w:t>
            </w:r>
            <w:r w:rsidR="00714EDE">
              <w:rPr>
                <w:rFonts w:ascii="Arial" w:hAnsi="Arial" w:cs="Arial"/>
                <w:b/>
                <w:bCs/>
                <w:color w:val="000000"/>
                <w:sz w:val="22"/>
                <w:szCs w:val="22"/>
              </w:rPr>
              <w:t>5</w:t>
            </w:r>
          </w:p>
        </w:tc>
      </w:tr>
      <w:tr w:rsidR="00833772" w:rsidRPr="00833772" w14:paraId="785D7767" w14:textId="77777777" w:rsidTr="00833772">
        <w:trPr>
          <w:trHeight w:val="300"/>
        </w:trPr>
        <w:tc>
          <w:tcPr>
            <w:tcW w:w="1408" w:type="dxa"/>
            <w:tcBorders>
              <w:top w:val="nil"/>
              <w:left w:val="single" w:sz="8" w:space="0" w:color="auto"/>
              <w:bottom w:val="nil"/>
              <w:right w:val="nil"/>
            </w:tcBorders>
            <w:vAlign w:val="center"/>
            <w:hideMark/>
          </w:tcPr>
          <w:p w14:paraId="362A3A6C" w14:textId="77777777"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£'000</w:t>
            </w:r>
          </w:p>
        </w:tc>
        <w:tc>
          <w:tcPr>
            <w:tcW w:w="1276" w:type="dxa"/>
            <w:tcBorders>
              <w:top w:val="nil"/>
              <w:left w:val="nil"/>
              <w:bottom w:val="nil"/>
              <w:right w:val="nil"/>
            </w:tcBorders>
            <w:shd w:val="clear" w:color="000000" w:fill="CCCCCC"/>
            <w:vAlign w:val="center"/>
            <w:hideMark/>
          </w:tcPr>
          <w:p w14:paraId="0D101263" w14:textId="77777777"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£'000</w:t>
            </w:r>
          </w:p>
        </w:tc>
        <w:tc>
          <w:tcPr>
            <w:tcW w:w="4705" w:type="dxa"/>
            <w:tcBorders>
              <w:top w:val="nil"/>
              <w:left w:val="nil"/>
              <w:bottom w:val="nil"/>
              <w:right w:val="nil"/>
            </w:tcBorders>
            <w:shd w:val="clear" w:color="000000" w:fill="CCCCCC"/>
            <w:vAlign w:val="center"/>
            <w:hideMark/>
          </w:tcPr>
          <w:p w14:paraId="3C9E0894" w14:textId="77777777" w:rsidR="00833772" w:rsidRPr="00833772" w:rsidRDefault="00833772" w:rsidP="00833772">
            <w:pPr>
              <w:jc w:val="right"/>
              <w:rPr>
                <w:rFonts w:ascii="Arial" w:hAnsi="Arial" w:cs="Arial"/>
                <w:b/>
                <w:bCs/>
                <w:color w:val="000000"/>
                <w:sz w:val="22"/>
                <w:szCs w:val="22"/>
              </w:rPr>
            </w:pPr>
          </w:p>
        </w:tc>
        <w:tc>
          <w:tcPr>
            <w:tcW w:w="1649" w:type="dxa"/>
            <w:tcBorders>
              <w:top w:val="nil"/>
              <w:left w:val="nil"/>
              <w:bottom w:val="nil"/>
              <w:right w:val="nil"/>
            </w:tcBorders>
            <w:vAlign w:val="center"/>
            <w:hideMark/>
          </w:tcPr>
          <w:p w14:paraId="15BBDA7A" w14:textId="77777777"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£'000</w:t>
            </w:r>
          </w:p>
        </w:tc>
        <w:tc>
          <w:tcPr>
            <w:tcW w:w="1342" w:type="dxa"/>
            <w:tcBorders>
              <w:top w:val="nil"/>
              <w:left w:val="nil"/>
              <w:bottom w:val="nil"/>
              <w:right w:val="single" w:sz="8" w:space="0" w:color="auto"/>
            </w:tcBorders>
            <w:shd w:val="clear" w:color="000000" w:fill="CCCCCC"/>
            <w:vAlign w:val="center"/>
            <w:hideMark/>
          </w:tcPr>
          <w:p w14:paraId="62B94373" w14:textId="77777777" w:rsidR="00833772" w:rsidRPr="00833772" w:rsidRDefault="00833772" w:rsidP="00833772">
            <w:pPr>
              <w:jc w:val="right"/>
              <w:rPr>
                <w:rFonts w:ascii="Arial" w:hAnsi="Arial" w:cs="Arial"/>
                <w:b/>
                <w:bCs/>
                <w:color w:val="000000"/>
                <w:sz w:val="22"/>
                <w:szCs w:val="22"/>
              </w:rPr>
            </w:pPr>
            <w:r w:rsidRPr="00833772">
              <w:rPr>
                <w:rFonts w:ascii="Arial" w:hAnsi="Arial" w:cs="Arial"/>
                <w:b/>
                <w:bCs/>
                <w:color w:val="000000"/>
                <w:sz w:val="22"/>
                <w:szCs w:val="22"/>
              </w:rPr>
              <w:t>£'000</w:t>
            </w:r>
          </w:p>
        </w:tc>
      </w:tr>
      <w:tr w:rsidR="004C317E" w:rsidRPr="00833772" w14:paraId="50C67C4E" w14:textId="77777777" w:rsidTr="00B27992">
        <w:trPr>
          <w:trHeight w:val="300"/>
        </w:trPr>
        <w:tc>
          <w:tcPr>
            <w:tcW w:w="1408" w:type="dxa"/>
            <w:tcBorders>
              <w:top w:val="nil"/>
              <w:left w:val="single" w:sz="8" w:space="0" w:color="auto"/>
              <w:bottom w:val="nil"/>
              <w:right w:val="nil"/>
            </w:tcBorders>
            <w:vAlign w:val="center"/>
            <w:hideMark/>
          </w:tcPr>
          <w:p w14:paraId="34BAA873" w14:textId="5D048A64" w:rsidR="004C317E" w:rsidRPr="00833772" w:rsidRDefault="004C317E" w:rsidP="004C317E">
            <w:pPr>
              <w:jc w:val="right"/>
              <w:rPr>
                <w:rFonts w:ascii="Arial" w:hAnsi="Arial" w:cs="Arial"/>
                <w:b/>
                <w:bCs/>
                <w:color w:val="000000"/>
                <w:sz w:val="22"/>
                <w:szCs w:val="22"/>
              </w:rPr>
            </w:pPr>
            <w:r>
              <w:rPr>
                <w:rFonts w:ascii="Arial" w:hAnsi="Arial" w:cs="Arial"/>
                <w:b/>
                <w:bCs/>
                <w:color w:val="000000"/>
                <w:sz w:val="22"/>
                <w:szCs w:val="22"/>
              </w:rPr>
              <w:t>0</w:t>
            </w:r>
          </w:p>
        </w:tc>
        <w:tc>
          <w:tcPr>
            <w:tcW w:w="1276" w:type="dxa"/>
            <w:tcBorders>
              <w:top w:val="nil"/>
              <w:left w:val="nil"/>
              <w:bottom w:val="nil"/>
              <w:right w:val="nil"/>
            </w:tcBorders>
            <w:shd w:val="clear" w:color="000000" w:fill="CCCCCC"/>
            <w:vAlign w:val="center"/>
            <w:hideMark/>
          </w:tcPr>
          <w:p w14:paraId="77DD0B55" w14:textId="717FB799" w:rsidR="004C317E" w:rsidRPr="00833772" w:rsidRDefault="004C317E" w:rsidP="004C317E">
            <w:pPr>
              <w:jc w:val="right"/>
              <w:rPr>
                <w:rFonts w:ascii="Arial" w:hAnsi="Arial" w:cs="Arial"/>
                <w:b/>
                <w:bCs/>
                <w:color w:val="000000"/>
                <w:sz w:val="22"/>
                <w:szCs w:val="22"/>
              </w:rPr>
            </w:pPr>
            <w:r>
              <w:rPr>
                <w:rFonts w:ascii="Arial" w:hAnsi="Arial" w:cs="Arial"/>
                <w:b/>
                <w:bCs/>
                <w:color w:val="000000"/>
                <w:sz w:val="22"/>
                <w:szCs w:val="22"/>
              </w:rPr>
              <w:t>183</w:t>
            </w:r>
          </w:p>
        </w:tc>
        <w:tc>
          <w:tcPr>
            <w:tcW w:w="4705" w:type="dxa"/>
            <w:tcBorders>
              <w:top w:val="nil"/>
              <w:left w:val="nil"/>
              <w:bottom w:val="nil"/>
              <w:right w:val="nil"/>
            </w:tcBorders>
            <w:shd w:val="clear" w:color="000000" w:fill="CCCCCC"/>
            <w:vAlign w:val="center"/>
            <w:hideMark/>
          </w:tcPr>
          <w:p w14:paraId="7608A79F" w14:textId="38FC247B" w:rsidR="004C317E" w:rsidRPr="00833772" w:rsidRDefault="004C317E" w:rsidP="004C317E">
            <w:pPr>
              <w:rPr>
                <w:rFonts w:ascii="Arial" w:hAnsi="Arial" w:cs="Arial"/>
                <w:b/>
                <w:bCs/>
                <w:color w:val="000000"/>
                <w:sz w:val="22"/>
                <w:szCs w:val="22"/>
              </w:rPr>
            </w:pPr>
            <w:r>
              <w:rPr>
                <w:rFonts w:ascii="Arial" w:hAnsi="Arial" w:cs="Arial"/>
                <w:b/>
                <w:bCs/>
                <w:color w:val="000000"/>
                <w:sz w:val="22"/>
                <w:szCs w:val="22"/>
              </w:rPr>
              <w:t>Balance at 31 March</w:t>
            </w:r>
          </w:p>
        </w:tc>
        <w:tc>
          <w:tcPr>
            <w:tcW w:w="1649" w:type="dxa"/>
            <w:tcBorders>
              <w:top w:val="nil"/>
              <w:left w:val="nil"/>
              <w:bottom w:val="nil"/>
              <w:right w:val="nil"/>
            </w:tcBorders>
            <w:vAlign w:val="center"/>
            <w:hideMark/>
          </w:tcPr>
          <w:p w14:paraId="451386C2" w14:textId="57BAD4E1" w:rsidR="004C317E" w:rsidRPr="00833772" w:rsidRDefault="004C317E" w:rsidP="004C317E">
            <w:pPr>
              <w:jc w:val="right"/>
              <w:rPr>
                <w:rFonts w:ascii="Arial" w:hAnsi="Arial" w:cs="Arial"/>
                <w:b/>
                <w:bCs/>
                <w:color w:val="000000"/>
                <w:sz w:val="22"/>
                <w:szCs w:val="22"/>
              </w:rPr>
            </w:pPr>
            <w:r>
              <w:rPr>
                <w:rFonts w:ascii="Arial" w:hAnsi="Arial" w:cs="Arial"/>
                <w:b/>
                <w:bCs/>
                <w:color w:val="000000"/>
                <w:sz w:val="22"/>
                <w:szCs w:val="22"/>
              </w:rPr>
              <w:t>2,869,025</w:t>
            </w:r>
          </w:p>
        </w:tc>
        <w:tc>
          <w:tcPr>
            <w:tcW w:w="1342" w:type="dxa"/>
            <w:tcBorders>
              <w:top w:val="nil"/>
              <w:left w:val="nil"/>
              <w:bottom w:val="nil"/>
              <w:right w:val="single" w:sz="8" w:space="0" w:color="auto"/>
            </w:tcBorders>
            <w:shd w:val="clear" w:color="000000" w:fill="CCCCCC"/>
            <w:vAlign w:val="center"/>
            <w:hideMark/>
          </w:tcPr>
          <w:p w14:paraId="19258E08" w14:textId="64A21414" w:rsidR="004C317E" w:rsidRPr="00833772" w:rsidRDefault="004C317E" w:rsidP="004C317E">
            <w:pPr>
              <w:jc w:val="right"/>
              <w:rPr>
                <w:rFonts w:ascii="Arial" w:hAnsi="Arial" w:cs="Arial"/>
                <w:b/>
                <w:bCs/>
                <w:color w:val="000000"/>
                <w:sz w:val="22"/>
                <w:szCs w:val="22"/>
              </w:rPr>
            </w:pPr>
            <w:r>
              <w:rPr>
                <w:rFonts w:ascii="Arial" w:hAnsi="Arial" w:cs="Arial"/>
                <w:b/>
                <w:bCs/>
                <w:color w:val="000000"/>
                <w:sz w:val="22"/>
                <w:szCs w:val="22"/>
              </w:rPr>
              <w:t>2,874,067</w:t>
            </w:r>
          </w:p>
        </w:tc>
      </w:tr>
      <w:tr w:rsidR="004C317E" w:rsidRPr="00833772" w14:paraId="78FBA52E" w14:textId="77777777" w:rsidTr="00B27992">
        <w:trPr>
          <w:trHeight w:val="570"/>
        </w:trPr>
        <w:tc>
          <w:tcPr>
            <w:tcW w:w="1408" w:type="dxa"/>
            <w:tcBorders>
              <w:top w:val="nil"/>
              <w:left w:val="single" w:sz="8" w:space="0" w:color="auto"/>
              <w:bottom w:val="nil"/>
              <w:right w:val="nil"/>
            </w:tcBorders>
            <w:vAlign w:val="center"/>
          </w:tcPr>
          <w:p w14:paraId="738DB844" w14:textId="62E03D0A" w:rsidR="004C317E" w:rsidRPr="004C317E" w:rsidRDefault="004C317E" w:rsidP="004C317E">
            <w:pPr>
              <w:jc w:val="right"/>
              <w:rPr>
                <w:rFonts w:ascii="Arial" w:hAnsi="Arial" w:cs="Arial"/>
                <w:color w:val="000000"/>
                <w:sz w:val="22"/>
                <w:szCs w:val="22"/>
              </w:rPr>
            </w:pPr>
            <w:r w:rsidRPr="004C317E">
              <w:rPr>
                <w:rFonts w:ascii="Arial" w:hAnsi="Arial" w:cs="Arial"/>
                <w:color w:val="000000"/>
                <w:sz w:val="22"/>
                <w:szCs w:val="22"/>
              </w:rPr>
              <w:t>0</w:t>
            </w:r>
          </w:p>
        </w:tc>
        <w:tc>
          <w:tcPr>
            <w:tcW w:w="1276" w:type="dxa"/>
            <w:tcBorders>
              <w:top w:val="nil"/>
              <w:left w:val="nil"/>
              <w:bottom w:val="nil"/>
              <w:right w:val="nil"/>
            </w:tcBorders>
            <w:shd w:val="clear" w:color="000000" w:fill="CCCCCC"/>
            <w:vAlign w:val="center"/>
          </w:tcPr>
          <w:p w14:paraId="1EE30E87" w14:textId="437BC3EE" w:rsidR="004C317E" w:rsidRPr="004C317E" w:rsidRDefault="004C317E" w:rsidP="004C317E">
            <w:pPr>
              <w:jc w:val="right"/>
              <w:rPr>
                <w:rFonts w:ascii="Arial" w:hAnsi="Arial" w:cs="Arial"/>
                <w:color w:val="000000"/>
                <w:sz w:val="22"/>
                <w:szCs w:val="22"/>
              </w:rPr>
            </w:pPr>
            <w:r w:rsidRPr="004C317E">
              <w:rPr>
                <w:rFonts w:ascii="Arial" w:hAnsi="Arial" w:cs="Arial"/>
                <w:color w:val="000000"/>
                <w:sz w:val="22"/>
                <w:szCs w:val="22"/>
              </w:rPr>
              <w:t>(2,219)</w:t>
            </w:r>
          </w:p>
        </w:tc>
        <w:tc>
          <w:tcPr>
            <w:tcW w:w="4705" w:type="dxa"/>
            <w:tcBorders>
              <w:top w:val="nil"/>
              <w:left w:val="nil"/>
              <w:bottom w:val="nil"/>
              <w:right w:val="nil"/>
            </w:tcBorders>
            <w:shd w:val="clear" w:color="000000" w:fill="CCCCCC"/>
            <w:vAlign w:val="center"/>
          </w:tcPr>
          <w:p w14:paraId="07B11468" w14:textId="070ECF2D" w:rsidR="004C317E" w:rsidRPr="004C317E" w:rsidRDefault="004C317E" w:rsidP="004C317E">
            <w:pPr>
              <w:rPr>
                <w:rFonts w:ascii="Arial" w:hAnsi="Arial" w:cs="Arial"/>
                <w:color w:val="000000"/>
                <w:sz w:val="22"/>
                <w:szCs w:val="22"/>
              </w:rPr>
            </w:pPr>
            <w:r w:rsidRPr="004C317E">
              <w:rPr>
                <w:rFonts w:ascii="Arial" w:hAnsi="Arial" w:cs="Arial"/>
                <w:color w:val="000000"/>
                <w:sz w:val="22"/>
                <w:szCs w:val="22"/>
              </w:rPr>
              <w:t>Adjustments to Opening Balance to match Actuary report balances</w:t>
            </w:r>
          </w:p>
        </w:tc>
        <w:tc>
          <w:tcPr>
            <w:tcW w:w="1649" w:type="dxa"/>
            <w:tcBorders>
              <w:top w:val="nil"/>
              <w:left w:val="nil"/>
              <w:bottom w:val="nil"/>
              <w:right w:val="nil"/>
            </w:tcBorders>
            <w:vAlign w:val="center"/>
          </w:tcPr>
          <w:p w14:paraId="2F689893" w14:textId="3D0614E1" w:rsidR="004C317E" w:rsidRPr="004C317E" w:rsidRDefault="004C317E" w:rsidP="004C317E">
            <w:pPr>
              <w:jc w:val="right"/>
              <w:rPr>
                <w:rFonts w:ascii="Arial" w:hAnsi="Arial" w:cs="Arial"/>
                <w:color w:val="000000"/>
                <w:sz w:val="22"/>
                <w:szCs w:val="22"/>
              </w:rPr>
            </w:pPr>
            <w:r w:rsidRPr="004C317E">
              <w:rPr>
                <w:rFonts w:ascii="Arial" w:hAnsi="Arial" w:cs="Arial"/>
                <w:color w:val="000000"/>
                <w:sz w:val="22"/>
                <w:szCs w:val="22"/>
              </w:rPr>
              <w:t>308</w:t>
            </w:r>
          </w:p>
        </w:tc>
        <w:tc>
          <w:tcPr>
            <w:tcW w:w="1342" w:type="dxa"/>
            <w:tcBorders>
              <w:top w:val="nil"/>
              <w:left w:val="nil"/>
              <w:bottom w:val="nil"/>
              <w:right w:val="single" w:sz="8" w:space="0" w:color="auto"/>
            </w:tcBorders>
            <w:shd w:val="clear" w:color="000000" w:fill="CCCCCC"/>
            <w:vAlign w:val="center"/>
          </w:tcPr>
          <w:p w14:paraId="5AB1FB1E" w14:textId="359C31C5" w:rsidR="004C317E" w:rsidRPr="004C317E" w:rsidRDefault="004C317E" w:rsidP="004C317E">
            <w:pPr>
              <w:jc w:val="right"/>
              <w:rPr>
                <w:rFonts w:ascii="Arial" w:hAnsi="Arial" w:cs="Arial"/>
                <w:color w:val="000000"/>
                <w:sz w:val="22"/>
                <w:szCs w:val="22"/>
              </w:rPr>
            </w:pPr>
            <w:r w:rsidRPr="004C317E">
              <w:rPr>
                <w:rFonts w:ascii="Arial" w:hAnsi="Arial" w:cs="Arial"/>
                <w:color w:val="000000"/>
                <w:sz w:val="22"/>
                <w:szCs w:val="22"/>
              </w:rPr>
              <w:t>(2,219)</w:t>
            </w:r>
          </w:p>
        </w:tc>
      </w:tr>
      <w:tr w:rsidR="004C317E" w:rsidRPr="00833772" w14:paraId="1340EE53" w14:textId="77777777" w:rsidTr="00B27992">
        <w:trPr>
          <w:trHeight w:val="570"/>
        </w:trPr>
        <w:tc>
          <w:tcPr>
            <w:tcW w:w="1408" w:type="dxa"/>
            <w:tcBorders>
              <w:top w:val="nil"/>
              <w:left w:val="single" w:sz="8" w:space="0" w:color="auto"/>
              <w:bottom w:val="nil"/>
              <w:right w:val="nil"/>
            </w:tcBorders>
            <w:vAlign w:val="center"/>
          </w:tcPr>
          <w:p w14:paraId="183CCD98" w14:textId="442E14BA" w:rsidR="004C317E" w:rsidRDefault="004C317E" w:rsidP="004C317E">
            <w:pPr>
              <w:jc w:val="right"/>
              <w:rPr>
                <w:rFonts w:ascii="Arial" w:hAnsi="Arial" w:cs="Arial"/>
                <w:color w:val="000000"/>
                <w:sz w:val="22"/>
                <w:szCs w:val="22"/>
              </w:rPr>
            </w:pPr>
            <w:r>
              <w:rPr>
                <w:rFonts w:ascii="Arial" w:hAnsi="Arial" w:cs="Arial"/>
                <w:b/>
                <w:bCs/>
                <w:color w:val="000000"/>
                <w:sz w:val="22"/>
                <w:szCs w:val="22"/>
              </w:rPr>
              <w:t>0</w:t>
            </w:r>
          </w:p>
        </w:tc>
        <w:tc>
          <w:tcPr>
            <w:tcW w:w="1276" w:type="dxa"/>
            <w:tcBorders>
              <w:top w:val="nil"/>
              <w:left w:val="nil"/>
              <w:bottom w:val="nil"/>
              <w:right w:val="nil"/>
            </w:tcBorders>
            <w:shd w:val="clear" w:color="000000" w:fill="CCCCCC"/>
            <w:vAlign w:val="center"/>
          </w:tcPr>
          <w:p w14:paraId="6FA8018E" w14:textId="36DE0C52" w:rsidR="004C317E" w:rsidRPr="00A267E8" w:rsidRDefault="004C317E" w:rsidP="004C317E">
            <w:pPr>
              <w:jc w:val="right"/>
              <w:rPr>
                <w:rFonts w:ascii="Arial" w:hAnsi="Arial" w:cs="Arial"/>
                <w:color w:val="000000"/>
                <w:sz w:val="22"/>
                <w:szCs w:val="22"/>
              </w:rPr>
            </w:pPr>
            <w:r>
              <w:rPr>
                <w:rFonts w:ascii="Arial" w:hAnsi="Arial" w:cs="Arial"/>
                <w:b/>
                <w:bCs/>
                <w:color w:val="000000"/>
                <w:sz w:val="22"/>
                <w:szCs w:val="22"/>
              </w:rPr>
              <w:t>(2,036)</w:t>
            </w:r>
          </w:p>
        </w:tc>
        <w:tc>
          <w:tcPr>
            <w:tcW w:w="4705" w:type="dxa"/>
            <w:tcBorders>
              <w:top w:val="nil"/>
              <w:left w:val="nil"/>
              <w:bottom w:val="nil"/>
              <w:right w:val="nil"/>
            </w:tcBorders>
            <w:shd w:val="clear" w:color="000000" w:fill="CCCCCC"/>
            <w:vAlign w:val="center"/>
          </w:tcPr>
          <w:p w14:paraId="1B508D6A" w14:textId="7F8B7D14" w:rsidR="004C317E" w:rsidRPr="00833772" w:rsidRDefault="004C317E" w:rsidP="004C317E">
            <w:pPr>
              <w:rPr>
                <w:rFonts w:ascii="Arial" w:hAnsi="Arial" w:cs="Arial"/>
                <w:color w:val="000000"/>
                <w:sz w:val="22"/>
                <w:szCs w:val="22"/>
              </w:rPr>
            </w:pPr>
            <w:r>
              <w:rPr>
                <w:rFonts w:ascii="Arial" w:hAnsi="Arial" w:cs="Arial"/>
                <w:b/>
                <w:bCs/>
                <w:color w:val="000000"/>
                <w:sz w:val="22"/>
                <w:szCs w:val="22"/>
              </w:rPr>
              <w:t>Balance at 1 April</w:t>
            </w:r>
          </w:p>
        </w:tc>
        <w:tc>
          <w:tcPr>
            <w:tcW w:w="1649" w:type="dxa"/>
            <w:tcBorders>
              <w:top w:val="nil"/>
              <w:left w:val="nil"/>
              <w:bottom w:val="nil"/>
              <w:right w:val="nil"/>
            </w:tcBorders>
            <w:vAlign w:val="center"/>
          </w:tcPr>
          <w:p w14:paraId="7C4DD37A" w14:textId="254A598F" w:rsidR="004C317E" w:rsidRDefault="004C317E" w:rsidP="004C317E">
            <w:pPr>
              <w:jc w:val="right"/>
              <w:rPr>
                <w:rFonts w:ascii="Arial" w:hAnsi="Arial" w:cs="Arial"/>
                <w:color w:val="000000"/>
                <w:sz w:val="22"/>
                <w:szCs w:val="22"/>
              </w:rPr>
            </w:pPr>
            <w:r>
              <w:rPr>
                <w:rFonts w:ascii="Arial" w:hAnsi="Arial" w:cs="Arial"/>
                <w:b/>
                <w:bCs/>
                <w:color w:val="000000"/>
                <w:sz w:val="22"/>
                <w:szCs w:val="22"/>
              </w:rPr>
              <w:t>2,869,333</w:t>
            </w:r>
          </w:p>
        </w:tc>
        <w:tc>
          <w:tcPr>
            <w:tcW w:w="1342" w:type="dxa"/>
            <w:tcBorders>
              <w:top w:val="nil"/>
              <w:left w:val="nil"/>
              <w:bottom w:val="nil"/>
              <w:right w:val="single" w:sz="8" w:space="0" w:color="auto"/>
            </w:tcBorders>
            <w:shd w:val="clear" w:color="000000" w:fill="CCCCCC"/>
            <w:vAlign w:val="center"/>
          </w:tcPr>
          <w:p w14:paraId="50B6E375" w14:textId="305A8F01" w:rsidR="004C317E" w:rsidRPr="00DE68C0" w:rsidRDefault="004C317E" w:rsidP="004C317E">
            <w:pPr>
              <w:jc w:val="right"/>
              <w:rPr>
                <w:rFonts w:ascii="Arial" w:hAnsi="Arial" w:cs="Arial"/>
                <w:color w:val="000000"/>
                <w:sz w:val="22"/>
                <w:szCs w:val="22"/>
              </w:rPr>
            </w:pPr>
            <w:r>
              <w:rPr>
                <w:rFonts w:ascii="Arial" w:hAnsi="Arial" w:cs="Arial"/>
                <w:b/>
                <w:bCs/>
                <w:color w:val="000000"/>
                <w:sz w:val="22"/>
                <w:szCs w:val="22"/>
              </w:rPr>
              <w:t>2,871,848</w:t>
            </w:r>
          </w:p>
        </w:tc>
      </w:tr>
      <w:tr w:rsidR="004C317E" w:rsidRPr="00833772" w14:paraId="101A0DAA" w14:textId="77777777" w:rsidTr="00B27992">
        <w:trPr>
          <w:trHeight w:val="570"/>
        </w:trPr>
        <w:tc>
          <w:tcPr>
            <w:tcW w:w="1408" w:type="dxa"/>
            <w:tcBorders>
              <w:top w:val="nil"/>
              <w:left w:val="single" w:sz="8" w:space="0" w:color="auto"/>
              <w:bottom w:val="nil"/>
              <w:right w:val="nil"/>
            </w:tcBorders>
            <w:vAlign w:val="center"/>
            <w:hideMark/>
          </w:tcPr>
          <w:p w14:paraId="699BAD67" w14:textId="5CD4AD98"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145</w:t>
            </w:r>
          </w:p>
        </w:tc>
        <w:tc>
          <w:tcPr>
            <w:tcW w:w="1276" w:type="dxa"/>
            <w:tcBorders>
              <w:top w:val="nil"/>
              <w:left w:val="nil"/>
              <w:bottom w:val="nil"/>
              <w:right w:val="nil"/>
            </w:tcBorders>
            <w:shd w:val="clear" w:color="000000" w:fill="CCCCCC"/>
            <w:vAlign w:val="center"/>
            <w:hideMark/>
          </w:tcPr>
          <w:p w14:paraId="145825EE" w14:textId="3A08C9B8" w:rsidR="004C317E" w:rsidRPr="00A267E8" w:rsidRDefault="004C317E" w:rsidP="004C317E">
            <w:pPr>
              <w:jc w:val="right"/>
              <w:rPr>
                <w:rFonts w:ascii="Arial" w:hAnsi="Arial" w:cs="Arial"/>
                <w:color w:val="000000"/>
                <w:sz w:val="22"/>
                <w:szCs w:val="22"/>
              </w:rPr>
            </w:pPr>
            <w:r>
              <w:rPr>
                <w:rFonts w:ascii="Arial" w:hAnsi="Arial" w:cs="Arial"/>
                <w:color w:val="000000"/>
                <w:sz w:val="22"/>
                <w:szCs w:val="22"/>
              </w:rPr>
              <w:t>2,239</w:t>
            </w:r>
          </w:p>
        </w:tc>
        <w:tc>
          <w:tcPr>
            <w:tcW w:w="4705" w:type="dxa"/>
            <w:tcBorders>
              <w:top w:val="nil"/>
              <w:left w:val="nil"/>
              <w:bottom w:val="nil"/>
              <w:right w:val="nil"/>
            </w:tcBorders>
            <w:shd w:val="clear" w:color="000000" w:fill="CCCCCC"/>
            <w:vAlign w:val="center"/>
            <w:hideMark/>
          </w:tcPr>
          <w:p w14:paraId="14B3E950" w14:textId="7A185B8C" w:rsidR="004C317E" w:rsidRPr="00833772" w:rsidRDefault="004C317E" w:rsidP="004C317E">
            <w:pPr>
              <w:rPr>
                <w:rFonts w:ascii="Arial" w:hAnsi="Arial" w:cs="Arial"/>
                <w:color w:val="000000"/>
                <w:sz w:val="22"/>
                <w:szCs w:val="22"/>
              </w:rPr>
            </w:pPr>
            <w:r>
              <w:rPr>
                <w:rFonts w:ascii="Arial" w:hAnsi="Arial" w:cs="Arial"/>
                <w:color w:val="000000"/>
                <w:sz w:val="22"/>
                <w:szCs w:val="22"/>
              </w:rPr>
              <w:t>Re-measurements of the net defined benefit (liability)/ asset</w:t>
            </w:r>
          </w:p>
        </w:tc>
        <w:tc>
          <w:tcPr>
            <w:tcW w:w="1649" w:type="dxa"/>
            <w:tcBorders>
              <w:top w:val="nil"/>
              <w:left w:val="nil"/>
              <w:bottom w:val="nil"/>
              <w:right w:val="nil"/>
            </w:tcBorders>
            <w:vAlign w:val="center"/>
            <w:hideMark/>
          </w:tcPr>
          <w:p w14:paraId="550A7156" w14:textId="40C9849C"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(66,473)</w:t>
            </w:r>
          </w:p>
        </w:tc>
        <w:tc>
          <w:tcPr>
            <w:tcW w:w="1342" w:type="dxa"/>
            <w:tcBorders>
              <w:top w:val="nil"/>
              <w:left w:val="nil"/>
              <w:bottom w:val="nil"/>
              <w:right w:val="single" w:sz="8" w:space="0" w:color="auto"/>
            </w:tcBorders>
            <w:shd w:val="clear" w:color="000000" w:fill="CCCCCC"/>
            <w:vAlign w:val="center"/>
            <w:hideMark/>
          </w:tcPr>
          <w:p w14:paraId="0CAAD0D4" w14:textId="773C18A6" w:rsidR="004C317E" w:rsidRPr="00DE68C0" w:rsidRDefault="004C317E" w:rsidP="004C317E">
            <w:pPr>
              <w:jc w:val="right"/>
              <w:rPr>
                <w:rFonts w:ascii="Arial" w:hAnsi="Arial" w:cs="Arial"/>
                <w:color w:val="000000"/>
                <w:sz w:val="22"/>
                <w:szCs w:val="22"/>
              </w:rPr>
            </w:pPr>
            <w:r>
              <w:rPr>
                <w:rFonts w:ascii="Arial" w:hAnsi="Arial" w:cs="Arial"/>
                <w:color w:val="000000"/>
                <w:sz w:val="22"/>
                <w:szCs w:val="22"/>
              </w:rPr>
              <w:t>(438,339)</w:t>
            </w:r>
          </w:p>
        </w:tc>
      </w:tr>
      <w:tr w:rsidR="004C317E" w:rsidRPr="00833772" w14:paraId="63520735" w14:textId="77777777" w:rsidTr="00B27992">
        <w:trPr>
          <w:trHeight w:val="855"/>
        </w:trPr>
        <w:tc>
          <w:tcPr>
            <w:tcW w:w="1408" w:type="dxa"/>
            <w:tcBorders>
              <w:top w:val="nil"/>
              <w:left w:val="single" w:sz="8" w:space="0" w:color="auto"/>
              <w:bottom w:val="nil"/>
              <w:right w:val="nil"/>
            </w:tcBorders>
            <w:vAlign w:val="center"/>
            <w:hideMark/>
          </w:tcPr>
          <w:p w14:paraId="528AF285" w14:textId="79B9342D"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123</w:t>
            </w:r>
          </w:p>
        </w:tc>
        <w:tc>
          <w:tcPr>
            <w:tcW w:w="1276" w:type="dxa"/>
            <w:tcBorders>
              <w:top w:val="nil"/>
              <w:left w:val="nil"/>
              <w:bottom w:val="nil"/>
              <w:right w:val="nil"/>
            </w:tcBorders>
            <w:shd w:val="clear" w:color="000000" w:fill="CCCCCC"/>
            <w:vAlign w:val="center"/>
            <w:hideMark/>
          </w:tcPr>
          <w:p w14:paraId="3786C843" w14:textId="78D9F258"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387</w:t>
            </w:r>
          </w:p>
        </w:tc>
        <w:tc>
          <w:tcPr>
            <w:tcW w:w="4705" w:type="dxa"/>
            <w:tcBorders>
              <w:top w:val="nil"/>
              <w:left w:val="nil"/>
              <w:bottom w:val="nil"/>
              <w:right w:val="nil"/>
            </w:tcBorders>
            <w:shd w:val="clear" w:color="000000" w:fill="CCCCCC"/>
            <w:vAlign w:val="center"/>
            <w:hideMark/>
          </w:tcPr>
          <w:p w14:paraId="48BD740D" w14:textId="2E188BF9" w:rsidR="004C317E" w:rsidRPr="00833772" w:rsidRDefault="004C317E" w:rsidP="004C317E">
            <w:pPr>
              <w:rPr>
                <w:rFonts w:ascii="Arial" w:hAnsi="Arial" w:cs="Arial"/>
                <w:color w:val="000000"/>
                <w:sz w:val="22"/>
                <w:szCs w:val="22"/>
              </w:rPr>
            </w:pPr>
            <w:r>
              <w:rPr>
                <w:rFonts w:ascii="Arial" w:hAnsi="Arial" w:cs="Arial"/>
                <w:color w:val="000000"/>
                <w:sz w:val="22"/>
                <w:szCs w:val="22"/>
              </w:rPr>
              <w:t>Reversal of items relating to retirement benefits debited or credited to the surplus or deficit on the provision of services</w:t>
            </w:r>
          </w:p>
        </w:tc>
        <w:tc>
          <w:tcPr>
            <w:tcW w:w="1649" w:type="dxa"/>
            <w:tcBorders>
              <w:top w:val="nil"/>
              <w:left w:val="nil"/>
              <w:bottom w:val="nil"/>
              <w:right w:val="nil"/>
            </w:tcBorders>
            <w:vAlign w:val="center"/>
            <w:hideMark/>
          </w:tcPr>
          <w:p w14:paraId="2719FC07" w14:textId="722CC8E4"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187,153</w:t>
            </w:r>
          </w:p>
        </w:tc>
        <w:tc>
          <w:tcPr>
            <w:tcW w:w="1342" w:type="dxa"/>
            <w:tcBorders>
              <w:top w:val="nil"/>
              <w:left w:val="nil"/>
              <w:bottom w:val="nil"/>
              <w:right w:val="single" w:sz="8" w:space="0" w:color="auto"/>
            </w:tcBorders>
            <w:shd w:val="clear" w:color="000000" w:fill="CCCCCC"/>
            <w:vAlign w:val="center"/>
            <w:hideMark/>
          </w:tcPr>
          <w:p w14:paraId="2AE66233" w14:textId="6921631E"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191,506</w:t>
            </w:r>
          </w:p>
        </w:tc>
      </w:tr>
      <w:tr w:rsidR="004C317E" w:rsidRPr="00833772" w14:paraId="09EFA5CD" w14:textId="77777777" w:rsidTr="00B27992">
        <w:trPr>
          <w:trHeight w:val="585"/>
        </w:trPr>
        <w:tc>
          <w:tcPr>
            <w:tcW w:w="1408" w:type="dxa"/>
            <w:tcBorders>
              <w:top w:val="nil"/>
              <w:left w:val="single" w:sz="8" w:space="0" w:color="auto"/>
              <w:bottom w:val="nil"/>
              <w:right w:val="nil"/>
            </w:tcBorders>
            <w:vAlign w:val="center"/>
            <w:hideMark/>
          </w:tcPr>
          <w:p w14:paraId="5CEB5D6F" w14:textId="1249B208"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(85)</w:t>
            </w:r>
          </w:p>
        </w:tc>
        <w:tc>
          <w:tcPr>
            <w:tcW w:w="1276" w:type="dxa"/>
            <w:tcBorders>
              <w:top w:val="nil"/>
              <w:left w:val="nil"/>
              <w:bottom w:val="nil"/>
              <w:right w:val="nil"/>
            </w:tcBorders>
            <w:shd w:val="clear" w:color="000000" w:fill="CCCCCC"/>
            <w:vAlign w:val="center"/>
            <w:hideMark/>
          </w:tcPr>
          <w:p w14:paraId="4C6C5BB7" w14:textId="14EE4A9C"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(496)</w:t>
            </w:r>
          </w:p>
        </w:tc>
        <w:tc>
          <w:tcPr>
            <w:tcW w:w="4705" w:type="dxa"/>
            <w:tcBorders>
              <w:top w:val="nil"/>
              <w:left w:val="nil"/>
              <w:bottom w:val="nil"/>
              <w:right w:val="nil"/>
            </w:tcBorders>
            <w:shd w:val="clear" w:color="000000" w:fill="CCCCCC"/>
            <w:vAlign w:val="center"/>
            <w:hideMark/>
          </w:tcPr>
          <w:p w14:paraId="74076700" w14:textId="631F4A24" w:rsidR="004C317E" w:rsidRPr="00833772" w:rsidRDefault="004C317E" w:rsidP="004C317E">
            <w:pPr>
              <w:rPr>
                <w:rFonts w:ascii="Arial" w:hAnsi="Arial" w:cs="Arial"/>
                <w:color w:val="000000"/>
                <w:sz w:val="22"/>
                <w:szCs w:val="22"/>
              </w:rPr>
            </w:pPr>
            <w:r>
              <w:rPr>
                <w:rFonts w:ascii="Arial" w:hAnsi="Arial" w:cs="Arial"/>
                <w:color w:val="000000"/>
                <w:sz w:val="22"/>
                <w:szCs w:val="22"/>
              </w:rPr>
              <w:t>Employer's pensions contribution and direct payments to pensioners payable in the year</w:t>
            </w:r>
          </w:p>
        </w:tc>
        <w:tc>
          <w:tcPr>
            <w:tcW w:w="1649" w:type="dxa"/>
            <w:tcBorders>
              <w:top w:val="nil"/>
              <w:left w:val="nil"/>
              <w:bottom w:val="nil"/>
              <w:right w:val="nil"/>
            </w:tcBorders>
            <w:vAlign w:val="center"/>
            <w:hideMark/>
          </w:tcPr>
          <w:p w14:paraId="5B075DF0" w14:textId="4A48BCC2"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(115,947)</w:t>
            </w:r>
          </w:p>
        </w:tc>
        <w:tc>
          <w:tcPr>
            <w:tcW w:w="1342" w:type="dxa"/>
            <w:tcBorders>
              <w:top w:val="nil"/>
              <w:left w:val="nil"/>
              <w:bottom w:val="nil"/>
              <w:right w:val="single" w:sz="8" w:space="0" w:color="auto"/>
            </w:tcBorders>
            <w:shd w:val="clear" w:color="000000" w:fill="CCCCCC"/>
            <w:vAlign w:val="center"/>
            <w:hideMark/>
          </w:tcPr>
          <w:p w14:paraId="44ABB29A" w14:textId="7B043B73" w:rsidR="004C317E" w:rsidRPr="00833772" w:rsidRDefault="004C317E" w:rsidP="004C317E">
            <w:pPr>
              <w:jc w:val="right"/>
              <w:rPr>
                <w:rFonts w:ascii="Arial" w:hAnsi="Arial" w:cs="Arial"/>
                <w:color w:val="000000"/>
                <w:sz w:val="22"/>
                <w:szCs w:val="22"/>
              </w:rPr>
            </w:pPr>
            <w:r>
              <w:rPr>
                <w:rFonts w:ascii="Arial" w:hAnsi="Arial" w:cs="Arial"/>
                <w:color w:val="000000"/>
                <w:sz w:val="22"/>
                <w:szCs w:val="22"/>
              </w:rPr>
              <w:t>(124,311)</w:t>
            </w:r>
          </w:p>
        </w:tc>
      </w:tr>
      <w:tr w:rsidR="004C317E" w:rsidRPr="00833772" w14:paraId="3F2187C2" w14:textId="77777777" w:rsidTr="00B27992">
        <w:trPr>
          <w:trHeight w:val="315"/>
        </w:trPr>
        <w:tc>
          <w:tcPr>
            <w:tcW w:w="1408" w:type="dxa"/>
            <w:tcBorders>
              <w:top w:val="single" w:sz="8" w:space="0" w:color="auto"/>
              <w:left w:val="single" w:sz="8" w:space="0" w:color="auto"/>
              <w:bottom w:val="single" w:sz="8" w:space="0" w:color="auto"/>
              <w:right w:val="nil"/>
            </w:tcBorders>
            <w:vAlign w:val="center"/>
            <w:hideMark/>
          </w:tcPr>
          <w:p w14:paraId="49B85382" w14:textId="2C4FD6D4" w:rsidR="004C317E" w:rsidRPr="00833772" w:rsidRDefault="004C317E" w:rsidP="004C317E">
            <w:pPr>
              <w:jc w:val="right"/>
              <w:rPr>
                <w:rFonts w:ascii="Arial" w:hAnsi="Arial" w:cs="Arial"/>
                <w:b/>
                <w:bCs/>
                <w:color w:val="000000"/>
                <w:sz w:val="22"/>
                <w:szCs w:val="22"/>
              </w:rPr>
            </w:pPr>
            <w:r>
              <w:rPr>
                <w:rFonts w:ascii="Arial" w:hAnsi="Arial" w:cs="Arial"/>
                <w:b/>
                <w:bCs/>
                <w:color w:val="000000"/>
                <w:sz w:val="22"/>
                <w:szCs w:val="22"/>
              </w:rPr>
              <w:t>183</w:t>
            </w:r>
          </w:p>
        </w:tc>
        <w:tc>
          <w:tcPr>
            <w:tcW w:w="1276" w:type="dxa"/>
            <w:tcBorders>
              <w:top w:val="single" w:sz="8" w:space="0" w:color="auto"/>
              <w:left w:val="nil"/>
              <w:bottom w:val="single" w:sz="8" w:space="0" w:color="auto"/>
              <w:right w:val="nil"/>
            </w:tcBorders>
            <w:shd w:val="clear" w:color="000000" w:fill="CCCCCC"/>
            <w:vAlign w:val="center"/>
            <w:hideMark/>
          </w:tcPr>
          <w:p w14:paraId="3F68783F" w14:textId="7AD84507" w:rsidR="004C317E" w:rsidRPr="00833772" w:rsidRDefault="004C317E" w:rsidP="004C317E">
            <w:pPr>
              <w:jc w:val="right"/>
              <w:rPr>
                <w:rFonts w:ascii="Arial" w:hAnsi="Arial" w:cs="Arial"/>
                <w:b/>
                <w:bCs/>
                <w:color w:val="000000"/>
                <w:sz w:val="22"/>
                <w:szCs w:val="22"/>
              </w:rPr>
            </w:pPr>
            <w:r>
              <w:rPr>
                <w:rFonts w:ascii="Arial" w:hAnsi="Arial" w:cs="Arial"/>
                <w:b/>
                <w:bCs/>
                <w:color w:val="000000"/>
                <w:sz w:val="22"/>
                <w:szCs w:val="22"/>
              </w:rPr>
              <w:t>93</w:t>
            </w:r>
          </w:p>
        </w:tc>
        <w:tc>
          <w:tcPr>
            <w:tcW w:w="4705" w:type="dxa"/>
            <w:tcBorders>
              <w:top w:val="nil"/>
              <w:left w:val="nil"/>
              <w:bottom w:val="single" w:sz="8" w:space="0" w:color="auto"/>
              <w:right w:val="nil"/>
            </w:tcBorders>
            <w:shd w:val="clear" w:color="000000" w:fill="CCCCCC"/>
            <w:vAlign w:val="center"/>
            <w:hideMark/>
          </w:tcPr>
          <w:p w14:paraId="25D9D072" w14:textId="1CEDCF9B" w:rsidR="004C317E" w:rsidRPr="00833772" w:rsidRDefault="004C317E" w:rsidP="004C317E">
            <w:pPr>
              <w:rPr>
                <w:rFonts w:ascii="Arial" w:hAnsi="Arial" w:cs="Arial"/>
                <w:b/>
                <w:bCs/>
                <w:color w:val="000000"/>
                <w:sz w:val="22"/>
                <w:szCs w:val="22"/>
              </w:rPr>
            </w:pPr>
            <w:r>
              <w:rPr>
                <w:rFonts w:ascii="Arial" w:hAnsi="Arial" w:cs="Arial"/>
                <w:b/>
                <w:bCs/>
                <w:color w:val="000000"/>
                <w:sz w:val="22"/>
                <w:szCs w:val="22"/>
              </w:rPr>
              <w:t>Balance at 31 March</w:t>
            </w:r>
          </w:p>
        </w:tc>
        <w:tc>
          <w:tcPr>
            <w:tcW w:w="1649" w:type="dxa"/>
            <w:tcBorders>
              <w:top w:val="single" w:sz="8" w:space="0" w:color="auto"/>
              <w:left w:val="nil"/>
              <w:bottom w:val="single" w:sz="8" w:space="0" w:color="auto"/>
              <w:right w:val="nil"/>
            </w:tcBorders>
            <w:vAlign w:val="center"/>
            <w:hideMark/>
          </w:tcPr>
          <w:p w14:paraId="301E6ACD" w14:textId="05F37091" w:rsidR="004C317E" w:rsidRPr="00833772" w:rsidRDefault="004C317E" w:rsidP="004C317E">
            <w:pPr>
              <w:jc w:val="right"/>
              <w:rPr>
                <w:rFonts w:ascii="Arial" w:hAnsi="Arial" w:cs="Arial"/>
                <w:b/>
                <w:bCs/>
                <w:color w:val="000000"/>
                <w:sz w:val="22"/>
                <w:szCs w:val="22"/>
              </w:rPr>
            </w:pPr>
            <w:r>
              <w:rPr>
                <w:rFonts w:ascii="Arial" w:hAnsi="Arial" w:cs="Arial"/>
                <w:b/>
                <w:bCs/>
                <w:color w:val="000000"/>
                <w:sz w:val="22"/>
                <w:szCs w:val="22"/>
              </w:rPr>
              <w:t>2,874,067</w:t>
            </w:r>
          </w:p>
        </w:tc>
        <w:tc>
          <w:tcPr>
            <w:tcW w:w="1342" w:type="dxa"/>
            <w:tcBorders>
              <w:top w:val="single" w:sz="8" w:space="0" w:color="auto"/>
              <w:left w:val="nil"/>
              <w:bottom w:val="single" w:sz="8" w:space="0" w:color="auto"/>
              <w:right w:val="single" w:sz="8" w:space="0" w:color="auto"/>
            </w:tcBorders>
            <w:shd w:val="clear" w:color="000000" w:fill="CCCCCC"/>
            <w:vAlign w:val="center"/>
            <w:hideMark/>
          </w:tcPr>
          <w:p w14:paraId="19F3F598" w14:textId="080C37BC" w:rsidR="004C317E" w:rsidRPr="00833772" w:rsidRDefault="004C317E" w:rsidP="004C317E">
            <w:pPr>
              <w:jc w:val="right"/>
              <w:rPr>
                <w:rFonts w:ascii="Arial" w:hAnsi="Arial" w:cs="Arial"/>
                <w:b/>
                <w:bCs/>
                <w:color w:val="000000"/>
                <w:sz w:val="22"/>
                <w:szCs w:val="22"/>
              </w:rPr>
            </w:pPr>
            <w:r>
              <w:rPr>
                <w:rFonts w:ascii="Arial" w:hAnsi="Arial" w:cs="Arial"/>
                <w:b/>
                <w:bCs/>
                <w:color w:val="000000"/>
                <w:sz w:val="22"/>
                <w:szCs w:val="22"/>
              </w:rPr>
              <w:t>2,500,704</w:t>
            </w:r>
          </w:p>
        </w:tc>
      </w:tr>
    </w:tbl>
    <w:p w14:paraId="4B177EEE" w14:textId="77777777" w:rsidR="003B74DA" w:rsidRDefault="003B74DA" w:rsidP="003B74DA">
      <w:pPr>
        <w:tabs>
          <w:tab w:val="right" w:pos="5760"/>
        </w:tabs>
        <w:ind w:left="426"/>
        <w:rPr>
          <w:rFonts w:ascii="Arial" w:hAnsi="Arial"/>
          <w:sz w:val="22"/>
          <w:szCs w:val="22"/>
        </w:rPr>
      </w:pPr>
    </w:p>
    <w:p w14:paraId="5F6D43C8" w14:textId="77777777" w:rsidR="003B74DA" w:rsidRPr="006550D9" w:rsidRDefault="003B74DA" w:rsidP="00B72F31">
      <w:pPr>
        <w:tabs>
          <w:tab w:val="right" w:pos="5760"/>
        </w:tabs>
        <w:rPr>
          <w:rFonts w:ascii="Arial" w:hAnsi="Arial"/>
          <w:b/>
          <w:sz w:val="22"/>
          <w:szCs w:val="22"/>
        </w:rPr>
      </w:pPr>
      <w:r w:rsidRPr="006550D9">
        <w:rPr>
          <w:rFonts w:ascii="Arial" w:hAnsi="Arial"/>
          <w:b/>
          <w:sz w:val="22"/>
          <w:szCs w:val="22"/>
        </w:rPr>
        <w:t>Collection Fund Adjustment Account</w:t>
      </w:r>
    </w:p>
    <w:p w14:paraId="7DCE28E4" w14:textId="77777777" w:rsidR="003B74DA" w:rsidRPr="006550D9" w:rsidRDefault="003B74DA" w:rsidP="003B74DA">
      <w:pPr>
        <w:tabs>
          <w:tab w:val="right" w:pos="5760"/>
        </w:tabs>
        <w:ind w:left="426"/>
        <w:rPr>
          <w:rFonts w:ascii="Arial" w:hAnsi="Arial"/>
          <w:b/>
          <w:sz w:val="22"/>
          <w:szCs w:val="22"/>
        </w:rPr>
      </w:pPr>
    </w:p>
    <w:p w14:paraId="6903BFD7" w14:textId="640F178E" w:rsidR="003B74DA" w:rsidRPr="00FB3596" w:rsidRDefault="003B74DA" w:rsidP="003B74DA">
      <w:pPr>
        <w:tabs>
          <w:tab w:val="right" w:pos="5760"/>
        </w:tabs>
        <w:ind w:left="426"/>
        <w:jc w:val="both"/>
        <w:rPr>
          <w:rFonts w:ascii="Arial" w:hAnsi="Arial"/>
          <w:sz w:val="22"/>
          <w:szCs w:val="22"/>
        </w:rPr>
      </w:pPr>
      <w:r w:rsidRPr="006550D9">
        <w:rPr>
          <w:rFonts w:ascii="Arial" w:hAnsi="Arial"/>
          <w:sz w:val="22"/>
          <w:szCs w:val="22"/>
        </w:rPr>
        <w:t xml:space="preserve">The collection fund adjustment account manages the difference arising from the recognition of council tax income in the CIES as it falls due from council </w:t>
      </w:r>
      <w:r w:rsidR="00105039" w:rsidRPr="006550D9">
        <w:rPr>
          <w:rFonts w:ascii="Arial" w:hAnsi="Arial"/>
          <w:sz w:val="22"/>
          <w:szCs w:val="22"/>
        </w:rPr>
        <w:t>taxpayers</w:t>
      </w:r>
      <w:r w:rsidRPr="006550D9">
        <w:rPr>
          <w:rFonts w:ascii="Arial" w:hAnsi="Arial"/>
          <w:sz w:val="22"/>
          <w:szCs w:val="22"/>
        </w:rPr>
        <w:t xml:space="preserve"> compared with the statutory arrangements for paying across amounts to the Police General Fund from the collection fund.</w:t>
      </w:r>
    </w:p>
    <w:p w14:paraId="4FE3959D" w14:textId="77777777" w:rsidR="003B74DA" w:rsidRPr="00FB3596" w:rsidRDefault="003B74DA" w:rsidP="003B74DA">
      <w:pPr>
        <w:tabs>
          <w:tab w:val="right" w:pos="5760"/>
        </w:tabs>
        <w:ind w:left="426"/>
        <w:rPr>
          <w:rFonts w:ascii="Arial" w:hAnsi="Arial"/>
          <w:sz w:val="22"/>
          <w:szCs w:val="22"/>
        </w:rPr>
      </w:pPr>
    </w:p>
    <w:tbl>
      <w:tblPr>
        <w:tblW w:w="8212" w:type="dxa"/>
        <w:tblCellMar>
          <w:top w:w="15" w:type="dxa"/>
          <w:bottom w:w="15" w:type="dxa"/>
        </w:tblCellMar>
        <w:tblLook w:val="04A0" w:firstRow="1" w:lastRow="0" w:firstColumn="1" w:lastColumn="0" w:noHBand="0" w:noVBand="1"/>
      </w:tblPr>
      <w:tblGrid>
        <w:gridCol w:w="5106"/>
        <w:gridCol w:w="1656"/>
        <w:gridCol w:w="1450"/>
      </w:tblGrid>
      <w:tr w:rsidR="00833772" w:rsidRPr="00833772" w14:paraId="3D247269" w14:textId="77777777" w:rsidTr="00833772">
        <w:trPr>
          <w:trHeight w:val="300"/>
        </w:trPr>
        <w:tc>
          <w:tcPr>
            <w:tcW w:w="5106" w:type="dxa"/>
            <w:tcBorders>
              <w:top w:val="single" w:sz="8" w:space="0" w:color="auto"/>
              <w:left w:val="single" w:sz="8" w:space="0" w:color="auto"/>
              <w:bottom w:val="nil"/>
              <w:right w:val="nil"/>
            </w:tcBorders>
            <w:shd w:val="clear" w:color="000000" w:fill="CCCCCC"/>
            <w:vAlign w:val="center"/>
            <w:hideMark/>
          </w:tcPr>
          <w:p w14:paraId="510788E9" w14:textId="77777777" w:rsidR="00833772" w:rsidRPr="00833772" w:rsidRDefault="00833772" w:rsidP="00833772">
            <w:pPr>
              <w:rPr>
                <w:sz w:val="24"/>
                <w:szCs w:val="24"/>
              </w:rPr>
            </w:pPr>
          </w:p>
        </w:tc>
        <w:tc>
          <w:tcPr>
            <w:tcW w:w="1656" w:type="dxa"/>
            <w:tcBorders>
              <w:top w:val="single" w:sz="8" w:space="0" w:color="auto"/>
              <w:left w:val="nil"/>
              <w:bottom w:val="nil"/>
              <w:right w:val="nil"/>
            </w:tcBorders>
            <w:vAlign w:val="center"/>
            <w:hideMark/>
          </w:tcPr>
          <w:p w14:paraId="291C38B3" w14:textId="1D4CD2B4"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714EDE">
              <w:rPr>
                <w:rFonts w:ascii="Arial" w:hAnsi="Arial" w:cs="Arial"/>
                <w:b/>
                <w:bCs/>
                <w:color w:val="000000"/>
                <w:sz w:val="22"/>
                <w:szCs w:val="22"/>
              </w:rPr>
              <w:t>4</w:t>
            </w:r>
          </w:p>
        </w:tc>
        <w:tc>
          <w:tcPr>
            <w:tcW w:w="1450" w:type="dxa"/>
            <w:tcBorders>
              <w:top w:val="single" w:sz="8" w:space="0" w:color="auto"/>
              <w:left w:val="nil"/>
              <w:bottom w:val="nil"/>
              <w:right w:val="single" w:sz="8" w:space="0" w:color="auto"/>
            </w:tcBorders>
            <w:shd w:val="clear" w:color="000000" w:fill="CCCCCC"/>
            <w:vAlign w:val="center"/>
            <w:hideMark/>
          </w:tcPr>
          <w:p w14:paraId="3AB7EDA4" w14:textId="425DB59D"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31-Mar-2</w:t>
            </w:r>
            <w:r w:rsidR="00714EDE">
              <w:rPr>
                <w:rFonts w:ascii="Arial" w:hAnsi="Arial" w:cs="Arial"/>
                <w:b/>
                <w:bCs/>
                <w:color w:val="000000"/>
                <w:sz w:val="22"/>
                <w:szCs w:val="22"/>
              </w:rPr>
              <w:t>5</w:t>
            </w:r>
          </w:p>
        </w:tc>
      </w:tr>
      <w:tr w:rsidR="00833772" w:rsidRPr="00833772" w14:paraId="5E5A7988" w14:textId="77777777" w:rsidTr="00833772">
        <w:trPr>
          <w:trHeight w:val="300"/>
        </w:trPr>
        <w:tc>
          <w:tcPr>
            <w:tcW w:w="5106" w:type="dxa"/>
            <w:tcBorders>
              <w:top w:val="nil"/>
              <w:left w:val="single" w:sz="8" w:space="0" w:color="auto"/>
              <w:bottom w:val="nil"/>
              <w:right w:val="nil"/>
            </w:tcBorders>
            <w:shd w:val="clear" w:color="000000" w:fill="CCCCCC"/>
            <w:vAlign w:val="center"/>
            <w:hideMark/>
          </w:tcPr>
          <w:p w14:paraId="3A460B13" w14:textId="77777777" w:rsidR="00833772" w:rsidRPr="00833772" w:rsidRDefault="00833772" w:rsidP="00833772">
            <w:pPr>
              <w:jc w:val="center"/>
              <w:rPr>
                <w:rFonts w:ascii="Arial" w:hAnsi="Arial" w:cs="Arial"/>
                <w:b/>
                <w:bCs/>
                <w:color w:val="000000"/>
                <w:sz w:val="22"/>
                <w:szCs w:val="22"/>
              </w:rPr>
            </w:pPr>
          </w:p>
        </w:tc>
        <w:tc>
          <w:tcPr>
            <w:tcW w:w="1656" w:type="dxa"/>
            <w:tcBorders>
              <w:top w:val="nil"/>
              <w:left w:val="nil"/>
              <w:bottom w:val="nil"/>
              <w:right w:val="nil"/>
            </w:tcBorders>
            <w:vAlign w:val="center"/>
            <w:hideMark/>
          </w:tcPr>
          <w:p w14:paraId="2C23A514"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£'000</w:t>
            </w:r>
          </w:p>
        </w:tc>
        <w:tc>
          <w:tcPr>
            <w:tcW w:w="1450" w:type="dxa"/>
            <w:tcBorders>
              <w:top w:val="nil"/>
              <w:left w:val="nil"/>
              <w:bottom w:val="nil"/>
              <w:right w:val="single" w:sz="8" w:space="0" w:color="auto"/>
            </w:tcBorders>
            <w:shd w:val="clear" w:color="000000" w:fill="CCCCCC"/>
            <w:vAlign w:val="center"/>
            <w:hideMark/>
          </w:tcPr>
          <w:p w14:paraId="6E80CD8D" w14:textId="77777777" w:rsidR="00833772" w:rsidRPr="00833772" w:rsidRDefault="00833772" w:rsidP="00833772">
            <w:pPr>
              <w:jc w:val="center"/>
              <w:rPr>
                <w:rFonts w:ascii="Arial" w:hAnsi="Arial" w:cs="Arial"/>
                <w:b/>
                <w:bCs/>
                <w:color w:val="000000"/>
                <w:sz w:val="22"/>
                <w:szCs w:val="22"/>
              </w:rPr>
            </w:pPr>
            <w:r w:rsidRPr="00833772">
              <w:rPr>
                <w:rFonts w:ascii="Arial" w:hAnsi="Arial" w:cs="Arial"/>
                <w:b/>
                <w:bCs/>
                <w:color w:val="000000"/>
                <w:sz w:val="22"/>
                <w:szCs w:val="22"/>
              </w:rPr>
              <w:t>£'000</w:t>
            </w:r>
          </w:p>
        </w:tc>
      </w:tr>
      <w:tr w:rsidR="003762E9" w:rsidRPr="00833772" w14:paraId="7ABCE9B2" w14:textId="77777777" w:rsidTr="00833772">
        <w:trPr>
          <w:trHeight w:val="300"/>
        </w:trPr>
        <w:tc>
          <w:tcPr>
            <w:tcW w:w="5106" w:type="dxa"/>
            <w:tcBorders>
              <w:top w:val="nil"/>
              <w:left w:val="single" w:sz="8" w:space="0" w:color="auto"/>
              <w:bottom w:val="nil"/>
              <w:right w:val="nil"/>
            </w:tcBorders>
            <w:shd w:val="clear" w:color="000000" w:fill="CCCCCC"/>
            <w:vAlign w:val="center"/>
            <w:hideMark/>
          </w:tcPr>
          <w:p w14:paraId="4FF5320B" w14:textId="77777777" w:rsidR="003762E9" w:rsidRPr="00833772" w:rsidRDefault="003762E9" w:rsidP="003762E9">
            <w:pPr>
              <w:rPr>
                <w:rFonts w:ascii="Arial" w:hAnsi="Arial" w:cs="Arial"/>
                <w:b/>
                <w:bCs/>
                <w:color w:val="000000"/>
                <w:sz w:val="22"/>
                <w:szCs w:val="22"/>
              </w:rPr>
            </w:pPr>
            <w:r w:rsidRPr="00833772">
              <w:rPr>
                <w:rFonts w:ascii="Arial" w:hAnsi="Arial" w:cs="Arial"/>
                <w:b/>
                <w:bCs/>
                <w:color w:val="000000"/>
                <w:sz w:val="22"/>
                <w:szCs w:val="22"/>
              </w:rPr>
              <w:t>Balance at 1 April</w:t>
            </w:r>
          </w:p>
        </w:tc>
        <w:tc>
          <w:tcPr>
            <w:tcW w:w="1656" w:type="dxa"/>
            <w:tcBorders>
              <w:top w:val="nil"/>
              <w:left w:val="nil"/>
              <w:bottom w:val="nil"/>
              <w:right w:val="nil"/>
            </w:tcBorders>
            <w:vAlign w:val="center"/>
            <w:hideMark/>
          </w:tcPr>
          <w:p w14:paraId="0C8DAF75" w14:textId="13C90262" w:rsidR="003762E9" w:rsidRPr="00833772" w:rsidRDefault="003762E9" w:rsidP="003762E9">
            <w:pPr>
              <w:jc w:val="right"/>
              <w:rPr>
                <w:rFonts w:ascii="Arial" w:hAnsi="Arial" w:cs="Arial"/>
                <w:b/>
                <w:bCs/>
                <w:color w:val="000000"/>
                <w:sz w:val="22"/>
                <w:szCs w:val="22"/>
              </w:rPr>
            </w:pPr>
            <w:r>
              <w:rPr>
                <w:rFonts w:ascii="Arial" w:hAnsi="Arial" w:cs="Arial"/>
                <w:b/>
                <w:bCs/>
                <w:color w:val="000000"/>
                <w:sz w:val="22"/>
                <w:szCs w:val="22"/>
              </w:rPr>
              <w:t>1</w:t>
            </w:r>
            <w:r w:rsidRPr="00833772">
              <w:rPr>
                <w:rFonts w:ascii="Arial" w:hAnsi="Arial" w:cs="Arial"/>
                <w:b/>
                <w:bCs/>
                <w:color w:val="000000"/>
                <w:sz w:val="22"/>
                <w:szCs w:val="22"/>
              </w:rPr>
              <w:t>3</w:t>
            </w:r>
          </w:p>
        </w:tc>
        <w:tc>
          <w:tcPr>
            <w:tcW w:w="1450" w:type="dxa"/>
            <w:tcBorders>
              <w:top w:val="nil"/>
              <w:left w:val="nil"/>
              <w:bottom w:val="nil"/>
              <w:right w:val="single" w:sz="8" w:space="0" w:color="auto"/>
            </w:tcBorders>
            <w:shd w:val="clear" w:color="000000" w:fill="CCCCCC"/>
            <w:vAlign w:val="center"/>
            <w:hideMark/>
          </w:tcPr>
          <w:p w14:paraId="3290DEB7" w14:textId="74D4DD5E" w:rsidR="003762E9" w:rsidRPr="00833772" w:rsidRDefault="003762E9" w:rsidP="003762E9">
            <w:pPr>
              <w:jc w:val="right"/>
              <w:rPr>
                <w:rFonts w:ascii="Arial" w:hAnsi="Arial" w:cs="Arial"/>
                <w:b/>
                <w:bCs/>
                <w:color w:val="000000"/>
                <w:sz w:val="22"/>
                <w:szCs w:val="22"/>
              </w:rPr>
            </w:pPr>
            <w:r>
              <w:rPr>
                <w:rFonts w:ascii="Arial" w:hAnsi="Arial" w:cs="Arial"/>
                <w:b/>
                <w:bCs/>
                <w:color w:val="000000"/>
                <w:sz w:val="22"/>
                <w:szCs w:val="22"/>
              </w:rPr>
              <w:t>345</w:t>
            </w:r>
          </w:p>
        </w:tc>
      </w:tr>
      <w:tr w:rsidR="003762E9" w:rsidRPr="00833772" w14:paraId="412F339F" w14:textId="77777777" w:rsidTr="00833772">
        <w:trPr>
          <w:trHeight w:val="1155"/>
        </w:trPr>
        <w:tc>
          <w:tcPr>
            <w:tcW w:w="5106" w:type="dxa"/>
            <w:tcBorders>
              <w:top w:val="nil"/>
              <w:left w:val="single" w:sz="8" w:space="0" w:color="auto"/>
              <w:bottom w:val="nil"/>
              <w:right w:val="nil"/>
            </w:tcBorders>
            <w:shd w:val="clear" w:color="000000" w:fill="CCCCCC"/>
            <w:vAlign w:val="center"/>
            <w:hideMark/>
          </w:tcPr>
          <w:p w14:paraId="3C5E3BFD" w14:textId="77777777" w:rsidR="003762E9" w:rsidRPr="00833772" w:rsidRDefault="003762E9" w:rsidP="003762E9">
            <w:pPr>
              <w:rPr>
                <w:rFonts w:ascii="Arial" w:hAnsi="Arial" w:cs="Arial"/>
                <w:color w:val="000000"/>
                <w:sz w:val="22"/>
                <w:szCs w:val="22"/>
              </w:rPr>
            </w:pPr>
            <w:r w:rsidRPr="00833772">
              <w:rPr>
                <w:rFonts w:ascii="Arial" w:hAnsi="Arial" w:cs="Arial"/>
                <w:color w:val="000000"/>
                <w:sz w:val="22"/>
                <w:szCs w:val="22"/>
              </w:rPr>
              <w:t>Amount by which council tax income credited to the CIES is different from council tax income calculated for the year in accordance with statutory requirements</w:t>
            </w:r>
          </w:p>
        </w:tc>
        <w:tc>
          <w:tcPr>
            <w:tcW w:w="1656" w:type="dxa"/>
            <w:tcBorders>
              <w:top w:val="nil"/>
              <w:left w:val="nil"/>
              <w:bottom w:val="single" w:sz="8" w:space="0" w:color="auto"/>
              <w:right w:val="nil"/>
            </w:tcBorders>
            <w:vAlign w:val="center"/>
            <w:hideMark/>
          </w:tcPr>
          <w:p w14:paraId="0630292A" w14:textId="1C98EFE9" w:rsidR="003762E9" w:rsidRPr="00833772" w:rsidRDefault="003762E9" w:rsidP="003762E9">
            <w:pPr>
              <w:jc w:val="right"/>
              <w:rPr>
                <w:rFonts w:ascii="Arial" w:hAnsi="Arial" w:cs="Arial"/>
                <w:color w:val="000000"/>
                <w:sz w:val="22"/>
                <w:szCs w:val="22"/>
              </w:rPr>
            </w:pPr>
            <w:r>
              <w:rPr>
                <w:rFonts w:ascii="Arial" w:hAnsi="Arial" w:cs="Arial"/>
                <w:color w:val="000000"/>
                <w:sz w:val="22"/>
                <w:szCs w:val="22"/>
              </w:rPr>
              <w:t>332</w:t>
            </w:r>
          </w:p>
        </w:tc>
        <w:tc>
          <w:tcPr>
            <w:tcW w:w="1450" w:type="dxa"/>
            <w:tcBorders>
              <w:top w:val="nil"/>
              <w:left w:val="nil"/>
              <w:bottom w:val="single" w:sz="8" w:space="0" w:color="auto"/>
              <w:right w:val="single" w:sz="8" w:space="0" w:color="auto"/>
            </w:tcBorders>
            <w:shd w:val="clear" w:color="000000" w:fill="CCCCCC"/>
            <w:vAlign w:val="center"/>
            <w:hideMark/>
          </w:tcPr>
          <w:p w14:paraId="00A7D1FB" w14:textId="3D046283" w:rsidR="003762E9" w:rsidRPr="00833772" w:rsidRDefault="003762E9" w:rsidP="003762E9">
            <w:pPr>
              <w:jc w:val="right"/>
              <w:rPr>
                <w:rFonts w:ascii="Arial" w:hAnsi="Arial" w:cs="Arial"/>
                <w:color w:val="000000"/>
                <w:sz w:val="22"/>
                <w:szCs w:val="22"/>
              </w:rPr>
            </w:pPr>
            <w:r>
              <w:rPr>
                <w:rFonts w:ascii="Arial" w:hAnsi="Arial" w:cs="Arial"/>
                <w:color w:val="000000"/>
                <w:sz w:val="22"/>
                <w:szCs w:val="22"/>
              </w:rPr>
              <w:t>(1,546)</w:t>
            </w:r>
          </w:p>
        </w:tc>
      </w:tr>
      <w:tr w:rsidR="003762E9" w:rsidRPr="00833772" w14:paraId="2B393293" w14:textId="77777777" w:rsidTr="00833772">
        <w:trPr>
          <w:trHeight w:val="315"/>
        </w:trPr>
        <w:tc>
          <w:tcPr>
            <w:tcW w:w="5106" w:type="dxa"/>
            <w:tcBorders>
              <w:top w:val="nil"/>
              <w:left w:val="single" w:sz="8" w:space="0" w:color="auto"/>
              <w:bottom w:val="single" w:sz="8" w:space="0" w:color="auto"/>
              <w:right w:val="nil"/>
            </w:tcBorders>
            <w:shd w:val="clear" w:color="000000" w:fill="CCCCCC"/>
            <w:vAlign w:val="center"/>
            <w:hideMark/>
          </w:tcPr>
          <w:p w14:paraId="4ADC1F66" w14:textId="77777777" w:rsidR="003762E9" w:rsidRPr="00833772" w:rsidRDefault="003762E9" w:rsidP="003762E9">
            <w:pPr>
              <w:rPr>
                <w:rFonts w:ascii="Arial" w:hAnsi="Arial" w:cs="Arial"/>
                <w:b/>
                <w:bCs/>
                <w:color w:val="000000"/>
                <w:sz w:val="22"/>
                <w:szCs w:val="22"/>
              </w:rPr>
            </w:pPr>
            <w:r w:rsidRPr="00833772">
              <w:rPr>
                <w:rFonts w:ascii="Arial" w:hAnsi="Arial" w:cs="Arial"/>
                <w:b/>
                <w:bCs/>
                <w:color w:val="000000"/>
                <w:sz w:val="22"/>
                <w:szCs w:val="22"/>
              </w:rPr>
              <w:t xml:space="preserve">Balance at 31 March </w:t>
            </w:r>
          </w:p>
        </w:tc>
        <w:tc>
          <w:tcPr>
            <w:tcW w:w="1656" w:type="dxa"/>
            <w:tcBorders>
              <w:top w:val="nil"/>
              <w:left w:val="nil"/>
              <w:bottom w:val="single" w:sz="8" w:space="0" w:color="auto"/>
              <w:right w:val="nil"/>
            </w:tcBorders>
            <w:vAlign w:val="center"/>
            <w:hideMark/>
          </w:tcPr>
          <w:p w14:paraId="79AD59AD" w14:textId="07FA494E" w:rsidR="003762E9" w:rsidRPr="00833772" w:rsidRDefault="003762E9" w:rsidP="003762E9">
            <w:pPr>
              <w:jc w:val="right"/>
              <w:rPr>
                <w:rFonts w:ascii="Arial" w:hAnsi="Arial" w:cs="Arial"/>
                <w:b/>
                <w:bCs/>
                <w:color w:val="000000"/>
                <w:sz w:val="22"/>
                <w:szCs w:val="22"/>
              </w:rPr>
            </w:pPr>
            <w:r w:rsidRPr="00833772">
              <w:rPr>
                <w:rFonts w:ascii="Arial" w:hAnsi="Arial" w:cs="Arial"/>
                <w:b/>
                <w:bCs/>
                <w:color w:val="000000"/>
                <w:sz w:val="22"/>
                <w:szCs w:val="22"/>
              </w:rPr>
              <w:t>3</w:t>
            </w:r>
            <w:r>
              <w:rPr>
                <w:rFonts w:ascii="Arial" w:hAnsi="Arial" w:cs="Arial"/>
                <w:b/>
                <w:bCs/>
                <w:color w:val="000000"/>
                <w:sz w:val="22"/>
                <w:szCs w:val="22"/>
              </w:rPr>
              <w:t>45</w:t>
            </w:r>
          </w:p>
        </w:tc>
        <w:tc>
          <w:tcPr>
            <w:tcW w:w="1450" w:type="dxa"/>
            <w:tcBorders>
              <w:top w:val="nil"/>
              <w:left w:val="nil"/>
              <w:bottom w:val="single" w:sz="8" w:space="0" w:color="auto"/>
              <w:right w:val="single" w:sz="8" w:space="0" w:color="auto"/>
            </w:tcBorders>
            <w:shd w:val="clear" w:color="000000" w:fill="CCCCCC"/>
            <w:vAlign w:val="center"/>
            <w:hideMark/>
          </w:tcPr>
          <w:p w14:paraId="0A5648F2" w14:textId="0CF9777D" w:rsidR="003762E9" w:rsidRPr="00833772" w:rsidRDefault="003762E9" w:rsidP="003762E9">
            <w:pPr>
              <w:jc w:val="right"/>
              <w:rPr>
                <w:rFonts w:ascii="Arial" w:hAnsi="Arial" w:cs="Arial"/>
                <w:b/>
                <w:bCs/>
                <w:color w:val="000000"/>
                <w:sz w:val="22"/>
                <w:szCs w:val="22"/>
              </w:rPr>
            </w:pPr>
            <w:r>
              <w:rPr>
                <w:rFonts w:ascii="Arial" w:hAnsi="Arial" w:cs="Arial"/>
                <w:b/>
                <w:bCs/>
                <w:color w:val="000000"/>
                <w:sz w:val="22"/>
                <w:szCs w:val="22"/>
              </w:rPr>
              <w:t>(1,202)</w:t>
            </w:r>
          </w:p>
        </w:tc>
      </w:tr>
    </w:tbl>
    <w:p w14:paraId="40E4B293" w14:textId="77777777" w:rsidR="003B74DA" w:rsidRDefault="003B74DA" w:rsidP="003B74DA">
      <w:pPr>
        <w:tabs>
          <w:tab w:val="right" w:pos="5760"/>
        </w:tabs>
        <w:ind w:left="426"/>
        <w:rPr>
          <w:rFonts w:ascii="Arial" w:hAnsi="Arial"/>
          <w:b/>
          <w:sz w:val="22"/>
          <w:szCs w:val="22"/>
        </w:rPr>
      </w:pPr>
    </w:p>
    <w:p w14:paraId="20A381BA" w14:textId="77777777" w:rsidR="003B74DA" w:rsidRDefault="003B74DA" w:rsidP="003B74DA">
      <w:pPr>
        <w:rPr>
          <w:rFonts w:ascii="Arial" w:hAnsi="Arial"/>
          <w:b/>
          <w:sz w:val="22"/>
          <w:szCs w:val="22"/>
        </w:rPr>
      </w:pPr>
      <w:r>
        <w:rPr>
          <w:rFonts w:ascii="Arial" w:hAnsi="Arial"/>
          <w:b/>
          <w:sz w:val="22"/>
          <w:szCs w:val="22"/>
        </w:rPr>
        <w:br w:type="page"/>
      </w:r>
    </w:p>
    <w:p w14:paraId="3BB48B9F" w14:textId="77777777" w:rsidR="003B74DA" w:rsidRPr="004B6FA0" w:rsidRDefault="003B74DA" w:rsidP="003B74DA">
      <w:pPr>
        <w:tabs>
          <w:tab w:val="right" w:pos="5760"/>
        </w:tabs>
        <w:ind w:left="426"/>
        <w:rPr>
          <w:rFonts w:ascii="Arial" w:hAnsi="Arial"/>
          <w:b/>
          <w:sz w:val="22"/>
          <w:szCs w:val="22"/>
        </w:rPr>
      </w:pPr>
      <w:r w:rsidRPr="004B6FA0">
        <w:rPr>
          <w:rFonts w:ascii="Arial" w:hAnsi="Arial"/>
          <w:b/>
          <w:sz w:val="22"/>
          <w:szCs w:val="22"/>
        </w:rPr>
        <w:lastRenderedPageBreak/>
        <w:t>Accumulated Absences Account</w:t>
      </w:r>
    </w:p>
    <w:p w14:paraId="185D1E71" w14:textId="77777777" w:rsidR="003B74DA" w:rsidRPr="004B6FA0" w:rsidRDefault="003B74DA" w:rsidP="003B74DA">
      <w:pPr>
        <w:tabs>
          <w:tab w:val="left" w:pos="930"/>
        </w:tabs>
        <w:ind w:left="426"/>
        <w:jc w:val="both"/>
        <w:rPr>
          <w:rFonts w:ascii="Arial" w:hAnsi="Arial"/>
          <w:b/>
          <w:sz w:val="22"/>
          <w:szCs w:val="22"/>
        </w:rPr>
      </w:pPr>
      <w:r w:rsidRPr="004B6FA0">
        <w:rPr>
          <w:rFonts w:ascii="Arial" w:hAnsi="Arial"/>
          <w:b/>
          <w:sz w:val="22"/>
          <w:szCs w:val="22"/>
        </w:rPr>
        <w:tab/>
      </w:r>
    </w:p>
    <w:p w14:paraId="47659A0F" w14:textId="215E359B" w:rsidR="003B74DA" w:rsidRDefault="003B74DA" w:rsidP="003B74DA">
      <w:pPr>
        <w:tabs>
          <w:tab w:val="right" w:pos="5760"/>
        </w:tabs>
        <w:ind w:left="426"/>
        <w:jc w:val="both"/>
        <w:rPr>
          <w:rFonts w:ascii="Arial" w:hAnsi="Arial"/>
          <w:sz w:val="22"/>
          <w:szCs w:val="22"/>
        </w:rPr>
      </w:pPr>
      <w:r w:rsidRPr="004B6FA0">
        <w:rPr>
          <w:rFonts w:ascii="Arial" w:hAnsi="Arial"/>
          <w:sz w:val="22"/>
          <w:szCs w:val="22"/>
        </w:rPr>
        <w:t xml:space="preserve">The accumulated absences account absorbs the differences that would otherwise arise on the Police General Fund balance from accruing for compensated absences earned but not taken in the year, </w:t>
      </w:r>
      <w:r w:rsidR="004302AC" w:rsidRPr="004B6FA0">
        <w:rPr>
          <w:rFonts w:ascii="Arial" w:hAnsi="Arial"/>
          <w:sz w:val="22"/>
          <w:szCs w:val="22"/>
        </w:rPr>
        <w:t>e.g.</w:t>
      </w:r>
      <w:r w:rsidRPr="004B6FA0">
        <w:rPr>
          <w:rFonts w:ascii="Arial" w:hAnsi="Arial"/>
          <w:sz w:val="22"/>
          <w:szCs w:val="22"/>
        </w:rPr>
        <w:t xml:space="preserve"> annual leave entitlement and police officers lieu time carried forward at 31 March. Statutory arrangements require that the impact on the General Fund balance is neutralised by transfers to or from the account.</w:t>
      </w:r>
    </w:p>
    <w:p w14:paraId="363B4710" w14:textId="77777777" w:rsidR="00617E3C" w:rsidRDefault="00617E3C" w:rsidP="003B74DA">
      <w:pPr>
        <w:tabs>
          <w:tab w:val="right" w:pos="5760"/>
        </w:tabs>
        <w:ind w:left="426"/>
        <w:jc w:val="both"/>
        <w:rPr>
          <w:rFonts w:ascii="Arial" w:hAnsi="Arial"/>
          <w:sz w:val="22"/>
          <w:szCs w:val="22"/>
        </w:rPr>
      </w:pPr>
    </w:p>
    <w:tbl>
      <w:tblPr>
        <w:tblW w:w="10480" w:type="dxa"/>
        <w:tblLook w:val="04A0" w:firstRow="1" w:lastRow="0" w:firstColumn="1" w:lastColumn="0" w:noHBand="0" w:noVBand="1"/>
      </w:tblPr>
      <w:tblGrid>
        <w:gridCol w:w="1408"/>
        <w:gridCol w:w="1276"/>
        <w:gridCol w:w="5103"/>
        <w:gridCol w:w="1393"/>
        <w:gridCol w:w="1300"/>
      </w:tblGrid>
      <w:tr w:rsidR="00C6492B" w:rsidRPr="00C6492B" w14:paraId="5899F172" w14:textId="77777777" w:rsidTr="005E2F77">
        <w:trPr>
          <w:trHeight w:val="300"/>
        </w:trPr>
        <w:tc>
          <w:tcPr>
            <w:tcW w:w="2684" w:type="dxa"/>
            <w:gridSpan w:val="2"/>
            <w:tcBorders>
              <w:top w:val="single" w:sz="8" w:space="0" w:color="auto"/>
              <w:left w:val="single" w:sz="8" w:space="0" w:color="auto"/>
              <w:bottom w:val="nil"/>
              <w:right w:val="single" w:sz="4" w:space="0" w:color="auto"/>
            </w:tcBorders>
            <w:shd w:val="clear" w:color="000000" w:fill="CCCCCC"/>
            <w:vAlign w:val="center"/>
            <w:hideMark/>
          </w:tcPr>
          <w:p w14:paraId="4CC158A5" w14:textId="77777777" w:rsidR="00C6492B" w:rsidRPr="00C6492B" w:rsidRDefault="00C6492B" w:rsidP="00C6492B">
            <w:pPr>
              <w:jc w:val="center"/>
              <w:rPr>
                <w:rFonts w:ascii="Arial" w:hAnsi="Arial" w:cs="Arial"/>
                <w:b/>
                <w:bCs/>
                <w:color w:val="000000"/>
                <w:sz w:val="22"/>
                <w:szCs w:val="22"/>
              </w:rPr>
            </w:pPr>
            <w:r w:rsidRPr="00C6492B">
              <w:rPr>
                <w:rFonts w:ascii="Arial" w:hAnsi="Arial" w:cs="Arial"/>
                <w:b/>
                <w:bCs/>
                <w:color w:val="000000"/>
                <w:sz w:val="22"/>
                <w:szCs w:val="22"/>
              </w:rPr>
              <w:t>PCC</w:t>
            </w:r>
          </w:p>
        </w:tc>
        <w:tc>
          <w:tcPr>
            <w:tcW w:w="5103" w:type="dxa"/>
            <w:tcBorders>
              <w:top w:val="single" w:sz="8" w:space="0" w:color="auto"/>
              <w:left w:val="single" w:sz="4" w:space="0" w:color="auto"/>
              <w:bottom w:val="nil"/>
              <w:right w:val="single" w:sz="4" w:space="0" w:color="auto"/>
            </w:tcBorders>
            <w:shd w:val="clear" w:color="000000" w:fill="CCCCCC"/>
            <w:vAlign w:val="center"/>
            <w:hideMark/>
          </w:tcPr>
          <w:p w14:paraId="307281D1" w14:textId="77777777" w:rsidR="00C6492B" w:rsidRPr="00C6492B" w:rsidRDefault="00C6492B" w:rsidP="00C6492B">
            <w:pPr>
              <w:rPr>
                <w:rFonts w:ascii="Arial" w:hAnsi="Arial" w:cs="Arial"/>
                <w:b/>
                <w:bCs/>
                <w:color w:val="000000"/>
                <w:sz w:val="22"/>
                <w:szCs w:val="22"/>
              </w:rPr>
            </w:pPr>
            <w:r w:rsidRPr="00C6492B">
              <w:rPr>
                <w:rFonts w:ascii="Arial" w:hAnsi="Arial" w:cs="Arial"/>
                <w:b/>
                <w:bCs/>
                <w:color w:val="000000"/>
                <w:sz w:val="22"/>
                <w:szCs w:val="22"/>
              </w:rPr>
              <w:t> </w:t>
            </w:r>
          </w:p>
        </w:tc>
        <w:tc>
          <w:tcPr>
            <w:tcW w:w="2693" w:type="dxa"/>
            <w:gridSpan w:val="2"/>
            <w:tcBorders>
              <w:top w:val="single" w:sz="8" w:space="0" w:color="auto"/>
              <w:left w:val="single" w:sz="4" w:space="0" w:color="auto"/>
              <w:bottom w:val="nil"/>
              <w:right w:val="single" w:sz="8" w:space="0" w:color="000000"/>
            </w:tcBorders>
            <w:shd w:val="clear" w:color="000000" w:fill="CCCCCC"/>
            <w:vAlign w:val="center"/>
            <w:hideMark/>
          </w:tcPr>
          <w:p w14:paraId="33EAFA88" w14:textId="77777777" w:rsidR="00C6492B" w:rsidRPr="00C6492B" w:rsidRDefault="00C6492B" w:rsidP="00C6492B">
            <w:pPr>
              <w:jc w:val="center"/>
              <w:rPr>
                <w:rFonts w:ascii="Arial" w:hAnsi="Arial" w:cs="Arial"/>
                <w:b/>
                <w:bCs/>
                <w:color w:val="000000"/>
                <w:sz w:val="22"/>
                <w:szCs w:val="22"/>
              </w:rPr>
            </w:pPr>
            <w:r w:rsidRPr="00C6492B">
              <w:rPr>
                <w:rFonts w:ascii="Arial" w:hAnsi="Arial" w:cs="Arial"/>
                <w:b/>
                <w:bCs/>
                <w:color w:val="000000"/>
                <w:sz w:val="22"/>
                <w:szCs w:val="22"/>
              </w:rPr>
              <w:t>PCC GROUP</w:t>
            </w:r>
          </w:p>
        </w:tc>
      </w:tr>
      <w:tr w:rsidR="00681F6E" w:rsidRPr="00C6492B" w14:paraId="22908AFB" w14:textId="77777777" w:rsidTr="005E2F77">
        <w:trPr>
          <w:trHeight w:val="300"/>
        </w:trPr>
        <w:tc>
          <w:tcPr>
            <w:tcW w:w="1408" w:type="dxa"/>
            <w:tcBorders>
              <w:top w:val="nil"/>
              <w:left w:val="single" w:sz="8" w:space="0" w:color="auto"/>
              <w:right w:val="nil"/>
            </w:tcBorders>
            <w:vAlign w:val="center"/>
            <w:hideMark/>
          </w:tcPr>
          <w:p w14:paraId="24D08B8A" w14:textId="14338476" w:rsidR="00C6492B" w:rsidRPr="00C6492B" w:rsidRDefault="00C6492B" w:rsidP="00C6492B">
            <w:pPr>
              <w:jc w:val="right"/>
              <w:rPr>
                <w:rFonts w:ascii="Arial" w:hAnsi="Arial" w:cs="Arial"/>
                <w:b/>
                <w:bCs/>
                <w:color w:val="000000"/>
                <w:sz w:val="22"/>
                <w:szCs w:val="22"/>
              </w:rPr>
            </w:pPr>
            <w:r w:rsidRPr="00C6492B">
              <w:rPr>
                <w:rFonts w:ascii="Arial" w:hAnsi="Arial" w:cs="Arial"/>
                <w:b/>
                <w:bCs/>
                <w:color w:val="000000"/>
                <w:sz w:val="22"/>
                <w:szCs w:val="22"/>
              </w:rPr>
              <w:t>31-Mar-2</w:t>
            </w:r>
            <w:r w:rsidR="00714EDE">
              <w:rPr>
                <w:rFonts w:ascii="Arial" w:hAnsi="Arial" w:cs="Arial"/>
                <w:b/>
                <w:bCs/>
                <w:color w:val="000000"/>
                <w:sz w:val="22"/>
                <w:szCs w:val="22"/>
              </w:rPr>
              <w:t>4</w:t>
            </w:r>
          </w:p>
        </w:tc>
        <w:tc>
          <w:tcPr>
            <w:tcW w:w="1276" w:type="dxa"/>
            <w:tcBorders>
              <w:top w:val="nil"/>
              <w:left w:val="nil"/>
              <w:bottom w:val="nil"/>
              <w:right w:val="single" w:sz="4" w:space="0" w:color="auto"/>
            </w:tcBorders>
            <w:shd w:val="clear" w:color="000000" w:fill="CCCCCC"/>
            <w:vAlign w:val="center"/>
            <w:hideMark/>
          </w:tcPr>
          <w:p w14:paraId="6F8600E6" w14:textId="5A9028E1" w:rsidR="00C6492B" w:rsidRPr="00C6492B" w:rsidRDefault="00C6492B" w:rsidP="00C6492B">
            <w:pPr>
              <w:jc w:val="right"/>
              <w:rPr>
                <w:rFonts w:ascii="Arial" w:hAnsi="Arial" w:cs="Arial"/>
                <w:b/>
                <w:bCs/>
                <w:color w:val="000000"/>
                <w:sz w:val="22"/>
                <w:szCs w:val="22"/>
              </w:rPr>
            </w:pPr>
            <w:r w:rsidRPr="00C6492B">
              <w:rPr>
                <w:rFonts w:ascii="Arial" w:hAnsi="Arial" w:cs="Arial"/>
                <w:b/>
                <w:bCs/>
                <w:color w:val="000000"/>
                <w:sz w:val="22"/>
                <w:szCs w:val="22"/>
              </w:rPr>
              <w:t>31-Mar-2</w:t>
            </w:r>
            <w:r w:rsidR="00714EDE">
              <w:rPr>
                <w:rFonts w:ascii="Arial" w:hAnsi="Arial" w:cs="Arial"/>
                <w:b/>
                <w:bCs/>
                <w:color w:val="000000"/>
                <w:sz w:val="22"/>
                <w:szCs w:val="22"/>
              </w:rPr>
              <w:t>5</w:t>
            </w:r>
          </w:p>
        </w:tc>
        <w:tc>
          <w:tcPr>
            <w:tcW w:w="5103" w:type="dxa"/>
            <w:tcBorders>
              <w:top w:val="nil"/>
              <w:left w:val="single" w:sz="4" w:space="0" w:color="auto"/>
              <w:bottom w:val="nil"/>
              <w:right w:val="single" w:sz="4" w:space="0" w:color="auto"/>
            </w:tcBorders>
            <w:shd w:val="clear" w:color="000000" w:fill="CCCCCC"/>
            <w:vAlign w:val="center"/>
            <w:hideMark/>
          </w:tcPr>
          <w:p w14:paraId="02DD7A9C" w14:textId="77777777" w:rsidR="00C6492B" w:rsidRPr="00C6492B" w:rsidRDefault="00C6492B" w:rsidP="00C6492B">
            <w:pPr>
              <w:rPr>
                <w:rFonts w:ascii="Arial" w:hAnsi="Arial" w:cs="Arial"/>
                <w:b/>
                <w:bCs/>
                <w:color w:val="000000"/>
                <w:sz w:val="22"/>
                <w:szCs w:val="22"/>
              </w:rPr>
            </w:pPr>
            <w:r w:rsidRPr="00C6492B">
              <w:rPr>
                <w:rFonts w:ascii="Arial" w:hAnsi="Arial" w:cs="Arial"/>
                <w:b/>
                <w:bCs/>
                <w:color w:val="000000"/>
                <w:sz w:val="22"/>
                <w:szCs w:val="22"/>
              </w:rPr>
              <w:t> </w:t>
            </w:r>
          </w:p>
        </w:tc>
        <w:tc>
          <w:tcPr>
            <w:tcW w:w="1393" w:type="dxa"/>
            <w:tcBorders>
              <w:top w:val="nil"/>
              <w:left w:val="single" w:sz="4" w:space="0" w:color="auto"/>
              <w:bottom w:val="nil"/>
              <w:right w:val="nil"/>
            </w:tcBorders>
            <w:vAlign w:val="center"/>
            <w:hideMark/>
          </w:tcPr>
          <w:p w14:paraId="05B55A50" w14:textId="0742478C" w:rsidR="00C6492B" w:rsidRPr="00C6492B" w:rsidRDefault="00C6492B" w:rsidP="00C6492B">
            <w:pPr>
              <w:jc w:val="right"/>
              <w:rPr>
                <w:rFonts w:ascii="Arial" w:hAnsi="Arial" w:cs="Arial"/>
                <w:b/>
                <w:bCs/>
                <w:color w:val="000000"/>
                <w:sz w:val="22"/>
                <w:szCs w:val="22"/>
              </w:rPr>
            </w:pPr>
            <w:r w:rsidRPr="00C6492B">
              <w:rPr>
                <w:rFonts w:ascii="Arial" w:hAnsi="Arial" w:cs="Arial"/>
                <w:b/>
                <w:bCs/>
                <w:color w:val="000000"/>
                <w:sz w:val="22"/>
                <w:szCs w:val="22"/>
              </w:rPr>
              <w:t>31-Mar-2</w:t>
            </w:r>
            <w:r w:rsidR="00714EDE">
              <w:rPr>
                <w:rFonts w:ascii="Arial" w:hAnsi="Arial" w:cs="Arial"/>
                <w:b/>
                <w:bCs/>
                <w:color w:val="000000"/>
                <w:sz w:val="22"/>
                <w:szCs w:val="22"/>
              </w:rPr>
              <w:t>4</w:t>
            </w:r>
          </w:p>
        </w:tc>
        <w:tc>
          <w:tcPr>
            <w:tcW w:w="1300" w:type="dxa"/>
            <w:tcBorders>
              <w:top w:val="nil"/>
              <w:left w:val="nil"/>
              <w:bottom w:val="nil"/>
              <w:right w:val="single" w:sz="4" w:space="0" w:color="auto"/>
            </w:tcBorders>
            <w:shd w:val="clear" w:color="000000" w:fill="CCCCCC"/>
            <w:vAlign w:val="center"/>
            <w:hideMark/>
          </w:tcPr>
          <w:p w14:paraId="195665EA" w14:textId="13170D77" w:rsidR="00C6492B" w:rsidRPr="00C6492B" w:rsidRDefault="00C6492B" w:rsidP="00C6492B">
            <w:pPr>
              <w:jc w:val="right"/>
              <w:rPr>
                <w:rFonts w:ascii="Arial" w:hAnsi="Arial" w:cs="Arial"/>
                <w:b/>
                <w:bCs/>
                <w:color w:val="000000"/>
                <w:sz w:val="22"/>
                <w:szCs w:val="22"/>
              </w:rPr>
            </w:pPr>
            <w:r w:rsidRPr="00C6492B">
              <w:rPr>
                <w:rFonts w:ascii="Arial" w:hAnsi="Arial" w:cs="Arial"/>
                <w:b/>
                <w:bCs/>
                <w:color w:val="000000"/>
                <w:sz w:val="22"/>
                <w:szCs w:val="22"/>
              </w:rPr>
              <w:t>31-Mar-2</w:t>
            </w:r>
            <w:r w:rsidR="00714EDE">
              <w:rPr>
                <w:rFonts w:ascii="Arial" w:hAnsi="Arial" w:cs="Arial"/>
                <w:b/>
                <w:bCs/>
                <w:color w:val="000000"/>
                <w:sz w:val="22"/>
                <w:szCs w:val="22"/>
              </w:rPr>
              <w:t>5</w:t>
            </w:r>
          </w:p>
        </w:tc>
      </w:tr>
      <w:tr w:rsidR="00681F6E" w:rsidRPr="00C6492B" w14:paraId="6399A915" w14:textId="77777777" w:rsidTr="005E2F77">
        <w:trPr>
          <w:trHeight w:val="300"/>
        </w:trPr>
        <w:tc>
          <w:tcPr>
            <w:tcW w:w="1408" w:type="dxa"/>
            <w:tcBorders>
              <w:top w:val="nil"/>
              <w:left w:val="single" w:sz="4" w:space="0" w:color="auto"/>
              <w:bottom w:val="nil"/>
              <w:right w:val="nil"/>
            </w:tcBorders>
            <w:shd w:val="clear" w:color="000000" w:fill="auto"/>
            <w:vAlign w:val="center"/>
            <w:hideMark/>
          </w:tcPr>
          <w:p w14:paraId="1E3086A1" w14:textId="77777777" w:rsidR="00C6492B" w:rsidRPr="00C6492B" w:rsidRDefault="00C6492B" w:rsidP="00C6492B">
            <w:pPr>
              <w:jc w:val="right"/>
              <w:rPr>
                <w:rFonts w:ascii="Arial" w:hAnsi="Arial" w:cs="Arial"/>
                <w:b/>
                <w:bCs/>
                <w:color w:val="000000"/>
                <w:sz w:val="22"/>
                <w:szCs w:val="22"/>
              </w:rPr>
            </w:pPr>
            <w:r w:rsidRPr="00C6492B">
              <w:rPr>
                <w:rFonts w:ascii="Arial" w:hAnsi="Arial" w:cs="Arial"/>
                <w:b/>
                <w:bCs/>
                <w:color w:val="000000"/>
                <w:sz w:val="22"/>
                <w:szCs w:val="22"/>
              </w:rPr>
              <w:t>£000</w:t>
            </w:r>
          </w:p>
        </w:tc>
        <w:tc>
          <w:tcPr>
            <w:tcW w:w="1276" w:type="dxa"/>
            <w:tcBorders>
              <w:top w:val="nil"/>
              <w:left w:val="nil"/>
              <w:bottom w:val="nil"/>
              <w:right w:val="single" w:sz="4" w:space="0" w:color="auto"/>
            </w:tcBorders>
            <w:shd w:val="clear" w:color="000000" w:fill="CCCCCC"/>
            <w:vAlign w:val="center"/>
            <w:hideMark/>
          </w:tcPr>
          <w:p w14:paraId="46A99C9A" w14:textId="77777777" w:rsidR="00C6492B" w:rsidRPr="00C6492B" w:rsidRDefault="00C6492B" w:rsidP="00C6492B">
            <w:pPr>
              <w:jc w:val="right"/>
              <w:rPr>
                <w:rFonts w:ascii="Arial" w:hAnsi="Arial" w:cs="Arial"/>
                <w:b/>
                <w:bCs/>
                <w:color w:val="000000"/>
                <w:sz w:val="22"/>
                <w:szCs w:val="22"/>
              </w:rPr>
            </w:pPr>
            <w:r w:rsidRPr="00C6492B">
              <w:rPr>
                <w:rFonts w:ascii="Arial" w:hAnsi="Arial" w:cs="Arial"/>
                <w:b/>
                <w:bCs/>
                <w:color w:val="000000"/>
                <w:sz w:val="22"/>
                <w:szCs w:val="22"/>
              </w:rPr>
              <w:t>£'000</w:t>
            </w:r>
          </w:p>
        </w:tc>
        <w:tc>
          <w:tcPr>
            <w:tcW w:w="5103" w:type="dxa"/>
            <w:tcBorders>
              <w:top w:val="nil"/>
              <w:left w:val="single" w:sz="4" w:space="0" w:color="auto"/>
              <w:bottom w:val="nil"/>
              <w:right w:val="single" w:sz="4" w:space="0" w:color="auto"/>
            </w:tcBorders>
            <w:shd w:val="clear" w:color="000000" w:fill="CCCCCC"/>
            <w:vAlign w:val="center"/>
            <w:hideMark/>
          </w:tcPr>
          <w:p w14:paraId="73E9946D" w14:textId="77777777" w:rsidR="00C6492B" w:rsidRPr="00C6492B" w:rsidRDefault="00C6492B" w:rsidP="00C6492B">
            <w:pPr>
              <w:rPr>
                <w:rFonts w:ascii="Arial" w:hAnsi="Arial" w:cs="Arial"/>
                <w:b/>
                <w:bCs/>
                <w:color w:val="000000"/>
                <w:sz w:val="22"/>
                <w:szCs w:val="22"/>
              </w:rPr>
            </w:pPr>
            <w:r w:rsidRPr="00C6492B">
              <w:rPr>
                <w:rFonts w:ascii="Arial" w:hAnsi="Arial" w:cs="Arial"/>
                <w:b/>
                <w:bCs/>
                <w:color w:val="000000"/>
                <w:sz w:val="22"/>
                <w:szCs w:val="22"/>
              </w:rPr>
              <w:t> </w:t>
            </w:r>
          </w:p>
        </w:tc>
        <w:tc>
          <w:tcPr>
            <w:tcW w:w="1393" w:type="dxa"/>
            <w:tcBorders>
              <w:top w:val="nil"/>
              <w:left w:val="single" w:sz="4" w:space="0" w:color="auto"/>
              <w:bottom w:val="nil"/>
              <w:right w:val="nil"/>
            </w:tcBorders>
            <w:vAlign w:val="center"/>
            <w:hideMark/>
          </w:tcPr>
          <w:p w14:paraId="62EFFEE6" w14:textId="77777777" w:rsidR="00C6492B" w:rsidRPr="00C6492B" w:rsidRDefault="00C6492B" w:rsidP="00C6492B">
            <w:pPr>
              <w:jc w:val="right"/>
              <w:rPr>
                <w:rFonts w:ascii="Arial" w:hAnsi="Arial" w:cs="Arial"/>
                <w:b/>
                <w:bCs/>
                <w:color w:val="000000"/>
                <w:sz w:val="22"/>
                <w:szCs w:val="22"/>
              </w:rPr>
            </w:pPr>
            <w:r w:rsidRPr="00C6492B">
              <w:rPr>
                <w:rFonts w:ascii="Arial" w:hAnsi="Arial" w:cs="Arial"/>
                <w:b/>
                <w:bCs/>
                <w:color w:val="000000"/>
                <w:sz w:val="22"/>
                <w:szCs w:val="22"/>
              </w:rPr>
              <w:t>£'000</w:t>
            </w:r>
          </w:p>
        </w:tc>
        <w:tc>
          <w:tcPr>
            <w:tcW w:w="1300" w:type="dxa"/>
            <w:tcBorders>
              <w:top w:val="nil"/>
              <w:left w:val="nil"/>
              <w:bottom w:val="nil"/>
              <w:right w:val="single" w:sz="8" w:space="0" w:color="auto"/>
            </w:tcBorders>
            <w:shd w:val="clear" w:color="000000" w:fill="CCCCCC"/>
            <w:vAlign w:val="center"/>
            <w:hideMark/>
          </w:tcPr>
          <w:p w14:paraId="2C12AD93" w14:textId="77777777" w:rsidR="00C6492B" w:rsidRPr="00C6492B" w:rsidRDefault="00C6492B" w:rsidP="00C6492B">
            <w:pPr>
              <w:jc w:val="right"/>
              <w:rPr>
                <w:rFonts w:ascii="Arial" w:hAnsi="Arial" w:cs="Arial"/>
                <w:b/>
                <w:bCs/>
                <w:color w:val="000000"/>
                <w:sz w:val="22"/>
                <w:szCs w:val="22"/>
              </w:rPr>
            </w:pPr>
            <w:r w:rsidRPr="00C6492B">
              <w:rPr>
                <w:rFonts w:ascii="Arial" w:hAnsi="Arial" w:cs="Arial"/>
                <w:b/>
                <w:bCs/>
                <w:color w:val="000000"/>
                <w:sz w:val="22"/>
                <w:szCs w:val="22"/>
              </w:rPr>
              <w:t>£'000</w:t>
            </w:r>
          </w:p>
        </w:tc>
      </w:tr>
      <w:tr w:rsidR="00785298" w:rsidRPr="00C6492B" w14:paraId="5DCEB4EE" w14:textId="77777777" w:rsidTr="00B27992">
        <w:trPr>
          <w:trHeight w:val="300"/>
        </w:trPr>
        <w:tc>
          <w:tcPr>
            <w:tcW w:w="1408" w:type="dxa"/>
            <w:tcBorders>
              <w:top w:val="nil"/>
              <w:left w:val="single" w:sz="4" w:space="0" w:color="auto"/>
              <w:bottom w:val="nil"/>
              <w:right w:val="nil"/>
            </w:tcBorders>
            <w:vAlign w:val="center"/>
            <w:hideMark/>
          </w:tcPr>
          <w:p w14:paraId="18F86BD0" w14:textId="03E9457D" w:rsidR="00785298" w:rsidRPr="00C6492B" w:rsidRDefault="00785298" w:rsidP="00785298">
            <w:pPr>
              <w:jc w:val="right"/>
              <w:rPr>
                <w:rFonts w:ascii="Arial" w:hAnsi="Arial" w:cs="Arial"/>
                <w:b/>
                <w:bCs/>
                <w:color w:val="000000"/>
                <w:sz w:val="22"/>
                <w:szCs w:val="22"/>
              </w:rPr>
            </w:pPr>
            <w:r>
              <w:rPr>
                <w:rFonts w:ascii="Arial" w:hAnsi="Arial" w:cs="Arial"/>
                <w:b/>
                <w:bCs/>
                <w:color w:val="000000"/>
                <w:sz w:val="22"/>
                <w:szCs w:val="22"/>
              </w:rPr>
              <w:t>10</w:t>
            </w:r>
          </w:p>
        </w:tc>
        <w:tc>
          <w:tcPr>
            <w:tcW w:w="1276" w:type="dxa"/>
            <w:tcBorders>
              <w:top w:val="nil"/>
              <w:left w:val="nil"/>
              <w:bottom w:val="nil"/>
              <w:right w:val="nil"/>
            </w:tcBorders>
            <w:shd w:val="clear" w:color="000000" w:fill="CCCCCC"/>
            <w:vAlign w:val="center"/>
            <w:hideMark/>
          </w:tcPr>
          <w:p w14:paraId="0D4CD498" w14:textId="2AE7F2E5" w:rsidR="00785298" w:rsidRPr="00C6492B" w:rsidRDefault="00785298" w:rsidP="00785298">
            <w:pPr>
              <w:jc w:val="right"/>
              <w:rPr>
                <w:rFonts w:ascii="Arial" w:hAnsi="Arial" w:cs="Arial"/>
                <w:b/>
                <w:bCs/>
                <w:color w:val="000000"/>
                <w:sz w:val="22"/>
                <w:szCs w:val="22"/>
              </w:rPr>
            </w:pPr>
            <w:r>
              <w:rPr>
                <w:rFonts w:ascii="Arial" w:hAnsi="Arial" w:cs="Arial"/>
                <w:b/>
                <w:bCs/>
                <w:color w:val="000000"/>
                <w:sz w:val="22"/>
                <w:szCs w:val="22"/>
              </w:rPr>
              <w:t>9</w:t>
            </w:r>
          </w:p>
        </w:tc>
        <w:tc>
          <w:tcPr>
            <w:tcW w:w="5103" w:type="dxa"/>
            <w:tcBorders>
              <w:top w:val="nil"/>
              <w:left w:val="single" w:sz="4" w:space="0" w:color="auto"/>
              <w:bottom w:val="nil"/>
              <w:right w:val="single" w:sz="4" w:space="0" w:color="auto"/>
            </w:tcBorders>
            <w:shd w:val="clear" w:color="000000" w:fill="CCCCCC"/>
            <w:vAlign w:val="center"/>
            <w:hideMark/>
          </w:tcPr>
          <w:p w14:paraId="57849060" w14:textId="77777777" w:rsidR="00785298" w:rsidRPr="00C6492B" w:rsidRDefault="00785298" w:rsidP="00785298">
            <w:pPr>
              <w:rPr>
                <w:rFonts w:ascii="Arial" w:hAnsi="Arial" w:cs="Arial"/>
                <w:b/>
                <w:bCs/>
                <w:color w:val="000000"/>
                <w:sz w:val="22"/>
                <w:szCs w:val="22"/>
              </w:rPr>
            </w:pPr>
            <w:r w:rsidRPr="00C6492B">
              <w:rPr>
                <w:rFonts w:ascii="Arial" w:hAnsi="Arial" w:cs="Arial"/>
                <w:b/>
                <w:bCs/>
                <w:color w:val="000000"/>
                <w:sz w:val="22"/>
                <w:szCs w:val="22"/>
              </w:rPr>
              <w:t>Balance at 1 April</w:t>
            </w:r>
          </w:p>
        </w:tc>
        <w:tc>
          <w:tcPr>
            <w:tcW w:w="1393" w:type="dxa"/>
            <w:tcBorders>
              <w:top w:val="nil"/>
              <w:left w:val="single" w:sz="4" w:space="0" w:color="auto"/>
              <w:bottom w:val="nil"/>
              <w:right w:val="nil"/>
            </w:tcBorders>
            <w:vAlign w:val="center"/>
            <w:hideMark/>
          </w:tcPr>
          <w:p w14:paraId="13A3A5D1" w14:textId="168F468C" w:rsidR="00785298" w:rsidRPr="00C6492B" w:rsidRDefault="00785298" w:rsidP="00785298">
            <w:pPr>
              <w:jc w:val="right"/>
              <w:rPr>
                <w:rFonts w:ascii="Arial" w:hAnsi="Arial" w:cs="Arial"/>
                <w:b/>
                <w:bCs/>
                <w:color w:val="000000"/>
                <w:sz w:val="22"/>
                <w:szCs w:val="22"/>
              </w:rPr>
            </w:pPr>
            <w:r w:rsidRPr="00C6492B">
              <w:rPr>
                <w:rFonts w:ascii="Arial" w:hAnsi="Arial" w:cs="Arial"/>
                <w:b/>
                <w:bCs/>
                <w:color w:val="000000"/>
                <w:sz w:val="22"/>
                <w:szCs w:val="22"/>
              </w:rPr>
              <w:t>8,</w:t>
            </w:r>
            <w:r>
              <w:rPr>
                <w:rFonts w:ascii="Arial" w:hAnsi="Arial" w:cs="Arial"/>
                <w:b/>
                <w:bCs/>
                <w:color w:val="000000"/>
                <w:sz w:val="22"/>
                <w:szCs w:val="22"/>
              </w:rPr>
              <w:t>801</w:t>
            </w:r>
          </w:p>
        </w:tc>
        <w:tc>
          <w:tcPr>
            <w:tcW w:w="1300" w:type="dxa"/>
            <w:tcBorders>
              <w:top w:val="nil"/>
              <w:left w:val="nil"/>
              <w:bottom w:val="nil"/>
              <w:right w:val="single" w:sz="8" w:space="0" w:color="auto"/>
            </w:tcBorders>
            <w:shd w:val="clear" w:color="000000" w:fill="CCCCCC"/>
            <w:vAlign w:val="center"/>
            <w:hideMark/>
          </w:tcPr>
          <w:p w14:paraId="081D0ED5" w14:textId="7D90A6BF" w:rsidR="00785298" w:rsidRPr="00C6492B" w:rsidRDefault="00785298" w:rsidP="00785298">
            <w:pPr>
              <w:jc w:val="right"/>
              <w:rPr>
                <w:rFonts w:ascii="Arial" w:hAnsi="Arial" w:cs="Arial"/>
                <w:b/>
                <w:bCs/>
                <w:color w:val="000000"/>
                <w:sz w:val="22"/>
                <w:szCs w:val="22"/>
              </w:rPr>
            </w:pPr>
            <w:r>
              <w:rPr>
                <w:rFonts w:ascii="Arial" w:hAnsi="Arial" w:cs="Arial"/>
                <w:b/>
                <w:bCs/>
                <w:color w:val="000000"/>
                <w:sz w:val="22"/>
                <w:szCs w:val="22"/>
              </w:rPr>
              <w:t>7,775</w:t>
            </w:r>
          </w:p>
        </w:tc>
      </w:tr>
      <w:tr w:rsidR="00785298" w:rsidRPr="00C6492B" w14:paraId="3CD07040" w14:textId="77777777" w:rsidTr="00B27992">
        <w:trPr>
          <w:trHeight w:val="570"/>
        </w:trPr>
        <w:tc>
          <w:tcPr>
            <w:tcW w:w="1408" w:type="dxa"/>
            <w:tcBorders>
              <w:top w:val="nil"/>
              <w:left w:val="single" w:sz="4" w:space="0" w:color="auto"/>
              <w:bottom w:val="nil"/>
              <w:right w:val="nil"/>
            </w:tcBorders>
            <w:vAlign w:val="center"/>
            <w:hideMark/>
          </w:tcPr>
          <w:p w14:paraId="5DFFE719" w14:textId="62544D17"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(10)</w:t>
            </w:r>
          </w:p>
        </w:tc>
        <w:tc>
          <w:tcPr>
            <w:tcW w:w="1276" w:type="dxa"/>
            <w:tcBorders>
              <w:top w:val="nil"/>
              <w:left w:val="nil"/>
              <w:bottom w:val="nil"/>
              <w:right w:val="nil"/>
            </w:tcBorders>
            <w:shd w:val="clear" w:color="000000" w:fill="CCCCCC"/>
            <w:vAlign w:val="center"/>
            <w:hideMark/>
          </w:tcPr>
          <w:p w14:paraId="3D51A5B7" w14:textId="76F7E9F9"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(9)</w:t>
            </w:r>
          </w:p>
        </w:tc>
        <w:tc>
          <w:tcPr>
            <w:tcW w:w="5103" w:type="dxa"/>
            <w:tcBorders>
              <w:top w:val="nil"/>
              <w:left w:val="single" w:sz="4" w:space="0" w:color="auto"/>
              <w:bottom w:val="nil"/>
              <w:right w:val="single" w:sz="4" w:space="0" w:color="auto"/>
            </w:tcBorders>
            <w:shd w:val="clear" w:color="000000" w:fill="CCCCCC"/>
            <w:vAlign w:val="center"/>
            <w:hideMark/>
          </w:tcPr>
          <w:p w14:paraId="004F2C16" w14:textId="77777777" w:rsidR="00785298" w:rsidRPr="00C6492B" w:rsidRDefault="00785298" w:rsidP="00785298">
            <w:pPr>
              <w:rPr>
                <w:rFonts w:ascii="Arial" w:hAnsi="Arial" w:cs="Arial"/>
                <w:color w:val="000000"/>
                <w:sz w:val="22"/>
                <w:szCs w:val="22"/>
              </w:rPr>
            </w:pPr>
            <w:r w:rsidRPr="00C6492B">
              <w:rPr>
                <w:rFonts w:ascii="Arial" w:hAnsi="Arial" w:cs="Arial"/>
                <w:color w:val="000000"/>
                <w:sz w:val="22"/>
                <w:szCs w:val="22"/>
              </w:rPr>
              <w:t>Settlement or cancellation made at the end of the preceding year</w:t>
            </w:r>
          </w:p>
        </w:tc>
        <w:tc>
          <w:tcPr>
            <w:tcW w:w="1393" w:type="dxa"/>
            <w:tcBorders>
              <w:top w:val="nil"/>
              <w:left w:val="single" w:sz="4" w:space="0" w:color="auto"/>
              <w:bottom w:val="nil"/>
              <w:right w:val="nil"/>
            </w:tcBorders>
            <w:vAlign w:val="center"/>
            <w:hideMark/>
          </w:tcPr>
          <w:p w14:paraId="785AE9DB" w14:textId="3544C141"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w:t>
            </w:r>
            <w:r w:rsidRPr="00C6492B">
              <w:rPr>
                <w:rFonts w:ascii="Arial" w:hAnsi="Arial" w:cs="Arial"/>
                <w:color w:val="000000"/>
                <w:sz w:val="22"/>
                <w:szCs w:val="22"/>
              </w:rPr>
              <w:t>8,</w:t>
            </w:r>
            <w:r>
              <w:rPr>
                <w:rFonts w:ascii="Arial" w:hAnsi="Arial" w:cs="Arial"/>
                <w:color w:val="000000"/>
                <w:sz w:val="22"/>
                <w:szCs w:val="22"/>
              </w:rPr>
              <w:t>801)</w:t>
            </w:r>
          </w:p>
        </w:tc>
        <w:tc>
          <w:tcPr>
            <w:tcW w:w="1300" w:type="dxa"/>
            <w:tcBorders>
              <w:top w:val="nil"/>
              <w:left w:val="nil"/>
              <w:bottom w:val="nil"/>
              <w:right w:val="single" w:sz="8" w:space="0" w:color="auto"/>
            </w:tcBorders>
            <w:shd w:val="clear" w:color="000000" w:fill="CCCCCC"/>
            <w:vAlign w:val="center"/>
            <w:hideMark/>
          </w:tcPr>
          <w:p w14:paraId="52CA7AA8" w14:textId="60C339C6"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(7,775)</w:t>
            </w:r>
          </w:p>
        </w:tc>
      </w:tr>
      <w:tr w:rsidR="00785298" w:rsidRPr="00C6492B" w14:paraId="45861637" w14:textId="77777777" w:rsidTr="00B27992">
        <w:trPr>
          <w:trHeight w:val="300"/>
        </w:trPr>
        <w:tc>
          <w:tcPr>
            <w:tcW w:w="1408" w:type="dxa"/>
            <w:tcBorders>
              <w:top w:val="nil"/>
              <w:left w:val="single" w:sz="4" w:space="0" w:color="auto"/>
              <w:bottom w:val="single" w:sz="4" w:space="0" w:color="auto"/>
              <w:right w:val="nil"/>
            </w:tcBorders>
            <w:vAlign w:val="center"/>
            <w:hideMark/>
          </w:tcPr>
          <w:p w14:paraId="236F0C56" w14:textId="60FE6E02" w:rsidR="00785298" w:rsidRPr="00C6492B" w:rsidRDefault="00785298" w:rsidP="00785298">
            <w:pPr>
              <w:jc w:val="right"/>
              <w:rPr>
                <w:rFonts w:ascii="Arial" w:hAnsi="Arial" w:cs="Arial"/>
                <w:sz w:val="22"/>
                <w:szCs w:val="22"/>
              </w:rPr>
            </w:pPr>
            <w:r>
              <w:rPr>
                <w:rFonts w:ascii="Arial" w:hAnsi="Arial" w:cs="Arial"/>
                <w:sz w:val="22"/>
                <w:szCs w:val="22"/>
              </w:rPr>
              <w:t>9</w:t>
            </w:r>
          </w:p>
        </w:tc>
        <w:tc>
          <w:tcPr>
            <w:tcW w:w="1276" w:type="dxa"/>
            <w:tcBorders>
              <w:top w:val="nil"/>
              <w:left w:val="nil"/>
              <w:bottom w:val="single" w:sz="4" w:space="0" w:color="auto"/>
              <w:right w:val="nil"/>
            </w:tcBorders>
            <w:shd w:val="clear" w:color="000000" w:fill="CCCCCC"/>
            <w:vAlign w:val="center"/>
            <w:hideMark/>
          </w:tcPr>
          <w:p w14:paraId="763904D9" w14:textId="38E73DF0"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19</w:t>
            </w:r>
          </w:p>
        </w:tc>
        <w:tc>
          <w:tcPr>
            <w:tcW w:w="5103" w:type="dxa"/>
            <w:tcBorders>
              <w:top w:val="nil"/>
              <w:left w:val="single" w:sz="4" w:space="0" w:color="auto"/>
              <w:bottom w:val="nil"/>
              <w:right w:val="single" w:sz="4" w:space="0" w:color="auto"/>
            </w:tcBorders>
            <w:shd w:val="clear" w:color="000000" w:fill="CCCCCC"/>
            <w:vAlign w:val="center"/>
            <w:hideMark/>
          </w:tcPr>
          <w:p w14:paraId="047BEF39" w14:textId="77777777" w:rsidR="00785298" w:rsidRPr="00C6492B" w:rsidRDefault="00785298" w:rsidP="00785298">
            <w:pPr>
              <w:rPr>
                <w:rFonts w:ascii="Arial" w:hAnsi="Arial" w:cs="Arial"/>
                <w:color w:val="000000"/>
                <w:sz w:val="22"/>
                <w:szCs w:val="22"/>
              </w:rPr>
            </w:pPr>
            <w:r w:rsidRPr="00C6492B">
              <w:rPr>
                <w:rFonts w:ascii="Arial" w:hAnsi="Arial" w:cs="Arial"/>
                <w:color w:val="000000"/>
                <w:sz w:val="22"/>
                <w:szCs w:val="22"/>
              </w:rPr>
              <w:t>Amounts accrued at the end of the current year</w:t>
            </w:r>
          </w:p>
        </w:tc>
        <w:tc>
          <w:tcPr>
            <w:tcW w:w="1393" w:type="dxa"/>
            <w:tcBorders>
              <w:top w:val="nil"/>
              <w:left w:val="single" w:sz="4" w:space="0" w:color="auto"/>
              <w:bottom w:val="single" w:sz="4" w:space="0" w:color="auto"/>
              <w:right w:val="nil"/>
            </w:tcBorders>
            <w:vAlign w:val="center"/>
            <w:hideMark/>
          </w:tcPr>
          <w:p w14:paraId="219510E3" w14:textId="3FE5DD13"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7</w:t>
            </w:r>
            <w:r w:rsidRPr="00C6492B">
              <w:rPr>
                <w:rFonts w:ascii="Arial" w:hAnsi="Arial" w:cs="Arial"/>
                <w:color w:val="000000"/>
                <w:sz w:val="22"/>
                <w:szCs w:val="22"/>
              </w:rPr>
              <w:t>,</w:t>
            </w:r>
            <w:r>
              <w:rPr>
                <w:rFonts w:ascii="Arial" w:hAnsi="Arial" w:cs="Arial"/>
                <w:color w:val="000000"/>
                <w:sz w:val="22"/>
                <w:szCs w:val="22"/>
              </w:rPr>
              <w:t>775</w:t>
            </w:r>
          </w:p>
        </w:tc>
        <w:tc>
          <w:tcPr>
            <w:tcW w:w="1300" w:type="dxa"/>
            <w:tcBorders>
              <w:top w:val="nil"/>
              <w:left w:val="nil"/>
              <w:bottom w:val="nil"/>
              <w:right w:val="single" w:sz="8" w:space="0" w:color="auto"/>
            </w:tcBorders>
            <w:shd w:val="clear" w:color="000000" w:fill="CCCCCC"/>
            <w:vAlign w:val="center"/>
            <w:hideMark/>
          </w:tcPr>
          <w:p w14:paraId="6EB58A43" w14:textId="6B10853A"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6,314</w:t>
            </w:r>
          </w:p>
        </w:tc>
      </w:tr>
      <w:tr w:rsidR="00785298" w:rsidRPr="00C6492B" w14:paraId="6493E6B2" w14:textId="77777777" w:rsidTr="00B27992">
        <w:trPr>
          <w:trHeight w:val="1155"/>
        </w:trPr>
        <w:tc>
          <w:tcPr>
            <w:tcW w:w="1408" w:type="dxa"/>
            <w:tcBorders>
              <w:top w:val="nil"/>
              <w:left w:val="single" w:sz="4" w:space="0" w:color="auto"/>
              <w:bottom w:val="single" w:sz="8" w:space="0" w:color="000000"/>
              <w:right w:val="nil"/>
            </w:tcBorders>
            <w:vAlign w:val="center"/>
            <w:hideMark/>
          </w:tcPr>
          <w:p w14:paraId="440F08C8" w14:textId="7886DECB" w:rsidR="00785298" w:rsidRPr="00C6492B" w:rsidRDefault="00785298" w:rsidP="00785298">
            <w:pPr>
              <w:jc w:val="right"/>
              <w:rPr>
                <w:rFonts w:ascii="Arial" w:hAnsi="Arial" w:cs="Arial"/>
                <w:sz w:val="22"/>
                <w:szCs w:val="22"/>
              </w:rPr>
            </w:pPr>
            <w:r>
              <w:rPr>
                <w:rFonts w:ascii="Arial" w:hAnsi="Arial" w:cs="Arial"/>
                <w:sz w:val="22"/>
                <w:szCs w:val="22"/>
              </w:rPr>
              <w:t>0</w:t>
            </w:r>
          </w:p>
        </w:tc>
        <w:tc>
          <w:tcPr>
            <w:tcW w:w="1276" w:type="dxa"/>
            <w:tcBorders>
              <w:top w:val="nil"/>
              <w:left w:val="nil"/>
              <w:bottom w:val="nil"/>
              <w:right w:val="nil"/>
            </w:tcBorders>
            <w:shd w:val="clear" w:color="000000" w:fill="CCCCCC"/>
            <w:vAlign w:val="center"/>
            <w:hideMark/>
          </w:tcPr>
          <w:p w14:paraId="0FD0C178" w14:textId="2308D47C"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10</w:t>
            </w:r>
          </w:p>
        </w:tc>
        <w:tc>
          <w:tcPr>
            <w:tcW w:w="5103" w:type="dxa"/>
            <w:tcBorders>
              <w:top w:val="nil"/>
              <w:left w:val="single" w:sz="4" w:space="0" w:color="auto"/>
              <w:bottom w:val="nil"/>
              <w:right w:val="single" w:sz="4" w:space="0" w:color="auto"/>
            </w:tcBorders>
            <w:shd w:val="clear" w:color="000000" w:fill="CCCCCC"/>
            <w:vAlign w:val="center"/>
            <w:hideMark/>
          </w:tcPr>
          <w:p w14:paraId="569ABFC8" w14:textId="77777777" w:rsidR="00785298" w:rsidRPr="00C6492B" w:rsidRDefault="00785298" w:rsidP="00785298">
            <w:pPr>
              <w:rPr>
                <w:rFonts w:ascii="Arial" w:hAnsi="Arial" w:cs="Arial"/>
                <w:color w:val="000000"/>
                <w:sz w:val="22"/>
                <w:szCs w:val="22"/>
              </w:rPr>
            </w:pPr>
            <w:r w:rsidRPr="00C6492B">
              <w:rPr>
                <w:rFonts w:ascii="Arial" w:hAnsi="Arial" w:cs="Arial"/>
                <w:color w:val="000000"/>
                <w:sz w:val="22"/>
                <w:szCs w:val="22"/>
              </w:rPr>
              <w:t>Amount by which officer remuneration charged to the CIES on an accruals basis is different from remuneration chargeable in the year in accordance with statutory requirements</w:t>
            </w:r>
          </w:p>
        </w:tc>
        <w:tc>
          <w:tcPr>
            <w:tcW w:w="1393" w:type="dxa"/>
            <w:tcBorders>
              <w:top w:val="nil"/>
              <w:left w:val="single" w:sz="4" w:space="0" w:color="auto"/>
              <w:bottom w:val="single" w:sz="8" w:space="0" w:color="000000"/>
              <w:right w:val="nil"/>
            </w:tcBorders>
            <w:vAlign w:val="center"/>
            <w:hideMark/>
          </w:tcPr>
          <w:p w14:paraId="09BC356D" w14:textId="25E8B47F"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w:t>
            </w:r>
            <w:r w:rsidRPr="00C6492B">
              <w:rPr>
                <w:rFonts w:ascii="Arial" w:hAnsi="Arial" w:cs="Arial"/>
                <w:color w:val="000000"/>
                <w:sz w:val="22"/>
                <w:szCs w:val="22"/>
              </w:rPr>
              <w:t>1</w:t>
            </w:r>
            <w:r>
              <w:rPr>
                <w:rFonts w:ascii="Arial" w:hAnsi="Arial" w:cs="Arial"/>
                <w:color w:val="000000"/>
                <w:sz w:val="22"/>
                <w:szCs w:val="22"/>
              </w:rPr>
              <w:t>,027)</w:t>
            </w:r>
          </w:p>
        </w:tc>
        <w:tc>
          <w:tcPr>
            <w:tcW w:w="1300" w:type="dxa"/>
            <w:tcBorders>
              <w:top w:val="single" w:sz="4" w:space="0" w:color="auto"/>
              <w:left w:val="nil"/>
              <w:bottom w:val="single" w:sz="8" w:space="0" w:color="auto"/>
              <w:right w:val="single" w:sz="8" w:space="0" w:color="auto"/>
            </w:tcBorders>
            <w:shd w:val="clear" w:color="000000" w:fill="CCCCCC"/>
            <w:vAlign w:val="center"/>
            <w:hideMark/>
          </w:tcPr>
          <w:p w14:paraId="145A3AF1" w14:textId="2570FFBC" w:rsidR="00785298" w:rsidRPr="00C6492B" w:rsidRDefault="00785298" w:rsidP="00785298">
            <w:pPr>
              <w:jc w:val="right"/>
              <w:rPr>
                <w:rFonts w:ascii="Arial" w:hAnsi="Arial" w:cs="Arial"/>
                <w:color w:val="000000"/>
                <w:sz w:val="22"/>
                <w:szCs w:val="22"/>
              </w:rPr>
            </w:pPr>
            <w:r>
              <w:rPr>
                <w:rFonts w:ascii="Arial" w:hAnsi="Arial" w:cs="Arial"/>
                <w:color w:val="000000"/>
                <w:sz w:val="22"/>
                <w:szCs w:val="22"/>
              </w:rPr>
              <w:t>(1,460)</w:t>
            </w:r>
          </w:p>
        </w:tc>
      </w:tr>
      <w:tr w:rsidR="00785298" w:rsidRPr="00C6492B" w14:paraId="3C55AB80" w14:textId="77777777" w:rsidTr="00B27992">
        <w:trPr>
          <w:trHeight w:val="315"/>
        </w:trPr>
        <w:tc>
          <w:tcPr>
            <w:tcW w:w="1408" w:type="dxa"/>
            <w:tcBorders>
              <w:top w:val="nil"/>
              <w:left w:val="single" w:sz="4" w:space="0" w:color="auto"/>
              <w:bottom w:val="single" w:sz="8" w:space="0" w:color="auto"/>
              <w:right w:val="nil"/>
            </w:tcBorders>
            <w:shd w:val="clear" w:color="000000" w:fill="auto"/>
            <w:vAlign w:val="center"/>
            <w:hideMark/>
          </w:tcPr>
          <w:p w14:paraId="19062EE1" w14:textId="21251706" w:rsidR="00785298" w:rsidRPr="00C6492B" w:rsidRDefault="00785298" w:rsidP="00785298">
            <w:pPr>
              <w:jc w:val="right"/>
              <w:rPr>
                <w:rFonts w:ascii="Arial" w:hAnsi="Arial" w:cs="Arial"/>
                <w:b/>
                <w:bCs/>
                <w:color w:val="000000"/>
                <w:sz w:val="22"/>
                <w:szCs w:val="22"/>
              </w:rPr>
            </w:pPr>
            <w:r>
              <w:rPr>
                <w:rFonts w:ascii="Arial" w:hAnsi="Arial" w:cs="Arial"/>
                <w:b/>
                <w:bCs/>
                <w:color w:val="000000"/>
                <w:sz w:val="22"/>
                <w:szCs w:val="22"/>
              </w:rPr>
              <w:t>9</w:t>
            </w:r>
          </w:p>
        </w:tc>
        <w:tc>
          <w:tcPr>
            <w:tcW w:w="1276" w:type="dxa"/>
            <w:tcBorders>
              <w:top w:val="single" w:sz="8" w:space="0" w:color="auto"/>
              <w:left w:val="nil"/>
              <w:bottom w:val="single" w:sz="8" w:space="0" w:color="auto"/>
              <w:right w:val="nil"/>
            </w:tcBorders>
            <w:shd w:val="clear" w:color="000000" w:fill="CCCCCC"/>
            <w:vAlign w:val="center"/>
            <w:hideMark/>
          </w:tcPr>
          <w:p w14:paraId="1D413D04" w14:textId="4FB13F0C" w:rsidR="00785298" w:rsidRPr="00C6492B" w:rsidRDefault="00785298" w:rsidP="00785298">
            <w:pPr>
              <w:jc w:val="right"/>
              <w:rPr>
                <w:rFonts w:ascii="Arial" w:hAnsi="Arial" w:cs="Arial"/>
                <w:b/>
                <w:bCs/>
                <w:sz w:val="22"/>
                <w:szCs w:val="22"/>
              </w:rPr>
            </w:pPr>
            <w:r>
              <w:rPr>
                <w:rFonts w:ascii="Arial" w:hAnsi="Arial" w:cs="Arial"/>
                <w:b/>
                <w:bCs/>
                <w:sz w:val="22"/>
                <w:szCs w:val="22"/>
              </w:rPr>
              <w:t>19</w:t>
            </w:r>
          </w:p>
        </w:tc>
        <w:tc>
          <w:tcPr>
            <w:tcW w:w="5103" w:type="dxa"/>
            <w:tcBorders>
              <w:top w:val="nil"/>
              <w:left w:val="single" w:sz="4" w:space="0" w:color="auto"/>
              <w:bottom w:val="single" w:sz="8" w:space="0" w:color="auto"/>
              <w:right w:val="single" w:sz="4" w:space="0" w:color="auto"/>
            </w:tcBorders>
            <w:shd w:val="clear" w:color="000000" w:fill="CCCCCC"/>
            <w:vAlign w:val="center"/>
            <w:hideMark/>
          </w:tcPr>
          <w:p w14:paraId="6ACE7CAC" w14:textId="77777777" w:rsidR="00785298" w:rsidRPr="00C6492B" w:rsidRDefault="00785298" w:rsidP="00785298">
            <w:pPr>
              <w:rPr>
                <w:rFonts w:ascii="Arial" w:hAnsi="Arial" w:cs="Arial"/>
                <w:b/>
                <w:bCs/>
                <w:color w:val="000000"/>
                <w:sz w:val="22"/>
                <w:szCs w:val="22"/>
              </w:rPr>
            </w:pPr>
            <w:r w:rsidRPr="00C6492B">
              <w:rPr>
                <w:rFonts w:ascii="Arial" w:hAnsi="Arial" w:cs="Arial"/>
                <w:b/>
                <w:bCs/>
                <w:color w:val="000000"/>
                <w:sz w:val="22"/>
                <w:szCs w:val="22"/>
              </w:rPr>
              <w:t xml:space="preserve">Balance at 31 March </w:t>
            </w:r>
          </w:p>
        </w:tc>
        <w:tc>
          <w:tcPr>
            <w:tcW w:w="1393" w:type="dxa"/>
            <w:tcBorders>
              <w:top w:val="nil"/>
              <w:left w:val="single" w:sz="4" w:space="0" w:color="auto"/>
              <w:bottom w:val="single" w:sz="8" w:space="0" w:color="auto"/>
              <w:right w:val="nil"/>
            </w:tcBorders>
            <w:vAlign w:val="center"/>
            <w:hideMark/>
          </w:tcPr>
          <w:p w14:paraId="0E91B17F" w14:textId="5E185A96" w:rsidR="00785298" w:rsidRPr="00C6492B" w:rsidRDefault="00785298" w:rsidP="00785298">
            <w:pPr>
              <w:jc w:val="right"/>
              <w:rPr>
                <w:rFonts w:ascii="Arial" w:hAnsi="Arial" w:cs="Arial"/>
                <w:b/>
                <w:bCs/>
                <w:sz w:val="22"/>
                <w:szCs w:val="22"/>
              </w:rPr>
            </w:pPr>
            <w:r>
              <w:rPr>
                <w:rFonts w:ascii="Arial" w:hAnsi="Arial" w:cs="Arial"/>
                <w:b/>
                <w:bCs/>
                <w:sz w:val="22"/>
                <w:szCs w:val="22"/>
              </w:rPr>
              <w:t>7</w:t>
            </w:r>
            <w:r w:rsidRPr="00C6492B">
              <w:rPr>
                <w:rFonts w:ascii="Arial" w:hAnsi="Arial" w:cs="Arial"/>
                <w:b/>
                <w:bCs/>
                <w:sz w:val="22"/>
                <w:szCs w:val="22"/>
              </w:rPr>
              <w:t>,</w:t>
            </w:r>
            <w:r>
              <w:rPr>
                <w:rFonts w:ascii="Arial" w:hAnsi="Arial" w:cs="Arial"/>
                <w:b/>
                <w:bCs/>
                <w:sz w:val="22"/>
                <w:szCs w:val="22"/>
              </w:rPr>
              <w:t>775</w:t>
            </w:r>
          </w:p>
        </w:tc>
        <w:tc>
          <w:tcPr>
            <w:tcW w:w="1300" w:type="dxa"/>
            <w:tcBorders>
              <w:top w:val="nil"/>
              <w:left w:val="nil"/>
              <w:bottom w:val="single" w:sz="8" w:space="0" w:color="auto"/>
              <w:right w:val="single" w:sz="8" w:space="0" w:color="auto"/>
            </w:tcBorders>
            <w:shd w:val="clear" w:color="000000" w:fill="CCCCCC"/>
            <w:vAlign w:val="center"/>
            <w:hideMark/>
          </w:tcPr>
          <w:p w14:paraId="065314E8" w14:textId="21A2035B" w:rsidR="00785298" w:rsidRPr="00C6492B" w:rsidRDefault="00785298" w:rsidP="00785298">
            <w:pPr>
              <w:jc w:val="right"/>
              <w:rPr>
                <w:rFonts w:ascii="Arial" w:hAnsi="Arial" w:cs="Arial"/>
                <w:b/>
                <w:bCs/>
                <w:sz w:val="22"/>
                <w:szCs w:val="22"/>
              </w:rPr>
            </w:pPr>
            <w:r>
              <w:rPr>
                <w:rFonts w:ascii="Arial" w:hAnsi="Arial" w:cs="Arial"/>
                <w:b/>
                <w:bCs/>
                <w:sz w:val="22"/>
                <w:szCs w:val="22"/>
              </w:rPr>
              <w:t>6,314</w:t>
            </w:r>
          </w:p>
        </w:tc>
      </w:tr>
    </w:tbl>
    <w:p w14:paraId="59AD9FA6" w14:textId="77777777" w:rsidR="006077F1" w:rsidRPr="00FB3596" w:rsidRDefault="006077F1" w:rsidP="003B74DA">
      <w:pPr>
        <w:tabs>
          <w:tab w:val="right" w:pos="5760"/>
        </w:tabs>
        <w:ind w:left="426"/>
        <w:jc w:val="both"/>
        <w:rPr>
          <w:rFonts w:ascii="Arial" w:hAnsi="Arial"/>
          <w:sz w:val="22"/>
          <w:szCs w:val="22"/>
        </w:rPr>
      </w:pPr>
    </w:p>
    <w:p w14:paraId="70A7E98D" w14:textId="77777777" w:rsidR="003B74DA" w:rsidRDefault="003B74DA" w:rsidP="003B74DA">
      <w:pPr>
        <w:rPr>
          <w:rFonts w:ascii="Arial" w:hAnsi="Arial" w:cs="Arial"/>
          <w:b/>
          <w:i/>
          <w:sz w:val="22"/>
          <w:szCs w:val="22"/>
        </w:rPr>
      </w:pPr>
    </w:p>
    <w:p w14:paraId="74B7B2B7" w14:textId="77777777" w:rsidR="003B74DA" w:rsidRPr="001B2327" w:rsidRDefault="003B74DA" w:rsidP="003B74DA">
      <w:pPr>
        <w:rPr>
          <w:rFonts w:ascii="Arial" w:hAnsi="Arial" w:cs="Arial"/>
          <w:b/>
          <w:i/>
          <w:sz w:val="22"/>
          <w:szCs w:val="22"/>
        </w:rPr>
      </w:pPr>
      <w:r w:rsidRPr="001B2327">
        <w:rPr>
          <w:rFonts w:ascii="Arial" w:hAnsi="Arial" w:cs="Arial"/>
          <w:b/>
          <w:i/>
          <w:sz w:val="22"/>
          <w:szCs w:val="22"/>
        </w:rPr>
        <w:t xml:space="preserve">Notes to the </w:t>
      </w:r>
      <w:r>
        <w:rPr>
          <w:rFonts w:ascii="Arial" w:hAnsi="Arial" w:cs="Arial"/>
          <w:b/>
          <w:i/>
          <w:sz w:val="22"/>
          <w:szCs w:val="22"/>
        </w:rPr>
        <w:t>Comprehensive Income and Expenditure Statement</w:t>
      </w:r>
    </w:p>
    <w:p w14:paraId="46501748" w14:textId="77777777" w:rsidR="003B74DA" w:rsidRDefault="003B74DA" w:rsidP="003B74DA">
      <w:pPr>
        <w:tabs>
          <w:tab w:val="right" w:pos="5760"/>
        </w:tabs>
        <w:ind w:left="426"/>
        <w:rPr>
          <w:rFonts w:ascii="Arial" w:hAnsi="Arial"/>
          <w:b/>
          <w:sz w:val="22"/>
          <w:szCs w:val="22"/>
        </w:rPr>
      </w:pPr>
    </w:p>
    <w:p w14:paraId="753CBE45" w14:textId="735122BA" w:rsidR="003B74DA" w:rsidRPr="00C83664" w:rsidRDefault="003B74DA" w:rsidP="008A5600">
      <w:pPr>
        <w:numPr>
          <w:ilvl w:val="0"/>
          <w:numId w:val="1"/>
        </w:numPr>
        <w:tabs>
          <w:tab w:val="clear" w:pos="720"/>
          <w:tab w:val="num" w:pos="426"/>
          <w:tab w:val="right" w:pos="5760"/>
        </w:tabs>
        <w:ind w:left="426"/>
        <w:rPr>
          <w:rFonts w:ascii="Arial" w:hAnsi="Arial"/>
          <w:b/>
          <w:sz w:val="24"/>
        </w:rPr>
      </w:pPr>
      <w:r>
        <w:rPr>
          <w:rFonts w:ascii="Arial" w:hAnsi="Arial"/>
          <w:b/>
          <w:sz w:val="22"/>
          <w:szCs w:val="22"/>
        </w:rPr>
        <w:t>Other o</w:t>
      </w:r>
      <w:r w:rsidRPr="00501B13">
        <w:rPr>
          <w:rFonts w:ascii="Arial" w:hAnsi="Arial"/>
          <w:b/>
          <w:sz w:val="22"/>
          <w:szCs w:val="22"/>
        </w:rPr>
        <w:t xml:space="preserve">perating </w:t>
      </w:r>
      <w:r>
        <w:rPr>
          <w:rFonts w:ascii="Arial" w:hAnsi="Arial"/>
          <w:b/>
          <w:sz w:val="22"/>
          <w:szCs w:val="22"/>
        </w:rPr>
        <w:t>i</w:t>
      </w:r>
      <w:r w:rsidRPr="00501B13">
        <w:rPr>
          <w:rFonts w:ascii="Arial" w:hAnsi="Arial"/>
          <w:b/>
          <w:sz w:val="22"/>
          <w:szCs w:val="22"/>
        </w:rPr>
        <w:t xml:space="preserve">ncome and </w:t>
      </w:r>
      <w:r>
        <w:rPr>
          <w:rFonts w:ascii="Arial" w:hAnsi="Arial"/>
          <w:b/>
          <w:sz w:val="22"/>
          <w:szCs w:val="22"/>
        </w:rPr>
        <w:t>e</w:t>
      </w:r>
      <w:r w:rsidRPr="00501B13">
        <w:rPr>
          <w:rFonts w:ascii="Arial" w:hAnsi="Arial"/>
          <w:b/>
          <w:sz w:val="22"/>
          <w:szCs w:val="22"/>
        </w:rPr>
        <w:t xml:space="preserve">xpenditure </w:t>
      </w:r>
    </w:p>
    <w:p w14:paraId="615BACDC" w14:textId="4262F94B" w:rsidR="007C65FF" w:rsidRDefault="007C65FF" w:rsidP="008A5600">
      <w:pPr>
        <w:tabs>
          <w:tab w:val="right" w:pos="5760"/>
        </w:tabs>
        <w:rPr>
          <w:rFonts w:ascii="Arial" w:hAnsi="Arial"/>
          <w:b/>
          <w:sz w:val="22"/>
          <w:szCs w:val="22"/>
        </w:rPr>
      </w:pPr>
    </w:p>
    <w:tbl>
      <w:tblPr>
        <w:tblW w:w="7520" w:type="dxa"/>
        <w:tblLook w:val="04A0" w:firstRow="1" w:lastRow="0" w:firstColumn="1" w:lastColumn="0" w:noHBand="0" w:noVBand="1"/>
      </w:tblPr>
      <w:tblGrid>
        <w:gridCol w:w="5428"/>
        <w:gridCol w:w="1044"/>
        <w:gridCol w:w="1048"/>
      </w:tblGrid>
      <w:tr w:rsidR="00593F10" w:rsidRPr="00593F10" w14:paraId="4C5C1A33" w14:textId="77777777" w:rsidTr="00593F10">
        <w:trPr>
          <w:trHeight w:val="300"/>
        </w:trPr>
        <w:tc>
          <w:tcPr>
            <w:tcW w:w="5428" w:type="dxa"/>
            <w:tcBorders>
              <w:top w:val="single" w:sz="8" w:space="0" w:color="auto"/>
              <w:left w:val="single" w:sz="8" w:space="0" w:color="auto"/>
              <w:bottom w:val="nil"/>
              <w:right w:val="nil"/>
            </w:tcBorders>
            <w:shd w:val="clear" w:color="000000" w:fill="CCCCCC"/>
            <w:noWrap/>
            <w:vAlign w:val="center"/>
            <w:hideMark/>
          </w:tcPr>
          <w:p w14:paraId="3B4EE8DA" w14:textId="77777777" w:rsidR="00593F10" w:rsidRPr="00593F10" w:rsidRDefault="00593F10" w:rsidP="00593F10">
            <w:pPr>
              <w:rPr>
                <w:color w:val="000000"/>
              </w:rPr>
            </w:pPr>
            <w:r w:rsidRPr="00593F10">
              <w:rPr>
                <w:color w:val="000000"/>
              </w:rPr>
              <w:t> </w:t>
            </w:r>
          </w:p>
        </w:tc>
        <w:tc>
          <w:tcPr>
            <w:tcW w:w="1044" w:type="dxa"/>
            <w:tcBorders>
              <w:top w:val="single" w:sz="8" w:space="0" w:color="auto"/>
              <w:left w:val="nil"/>
              <w:bottom w:val="nil"/>
              <w:right w:val="nil"/>
            </w:tcBorders>
            <w:vAlign w:val="center"/>
            <w:hideMark/>
          </w:tcPr>
          <w:p w14:paraId="5D47C085" w14:textId="0CBA2C86" w:rsidR="00593F10" w:rsidRPr="00593F10" w:rsidRDefault="00C37E7F" w:rsidP="00593F10">
            <w:pPr>
              <w:jc w:val="right"/>
              <w:rPr>
                <w:rFonts w:ascii="Arial" w:hAnsi="Arial" w:cs="Arial"/>
                <w:b/>
                <w:bCs/>
                <w:color w:val="000000"/>
                <w:sz w:val="22"/>
                <w:szCs w:val="22"/>
              </w:rPr>
            </w:pPr>
            <w:r>
              <w:rPr>
                <w:rFonts w:ascii="Arial" w:hAnsi="Arial" w:cs="Arial"/>
                <w:b/>
                <w:bCs/>
                <w:color w:val="000000"/>
                <w:sz w:val="22"/>
                <w:szCs w:val="22"/>
              </w:rPr>
              <w:t>2023/24</w:t>
            </w:r>
          </w:p>
        </w:tc>
        <w:tc>
          <w:tcPr>
            <w:tcW w:w="1048" w:type="dxa"/>
            <w:tcBorders>
              <w:top w:val="single" w:sz="8" w:space="0" w:color="auto"/>
              <w:left w:val="nil"/>
              <w:bottom w:val="nil"/>
              <w:right w:val="single" w:sz="8" w:space="0" w:color="auto"/>
            </w:tcBorders>
            <w:shd w:val="clear" w:color="000000" w:fill="CCCCCC"/>
            <w:noWrap/>
            <w:vAlign w:val="center"/>
            <w:hideMark/>
          </w:tcPr>
          <w:p w14:paraId="24B1998A" w14:textId="381858A2" w:rsidR="00593F10" w:rsidRPr="00593F10" w:rsidRDefault="00C37E7F" w:rsidP="00593F10">
            <w:pPr>
              <w:jc w:val="right"/>
              <w:rPr>
                <w:rFonts w:ascii="Arial" w:hAnsi="Arial" w:cs="Arial"/>
                <w:b/>
                <w:bCs/>
                <w:color w:val="000000"/>
                <w:sz w:val="22"/>
                <w:szCs w:val="22"/>
              </w:rPr>
            </w:pPr>
            <w:r>
              <w:rPr>
                <w:rFonts w:ascii="Arial" w:hAnsi="Arial" w:cs="Arial"/>
                <w:b/>
                <w:bCs/>
                <w:color w:val="000000"/>
                <w:sz w:val="22"/>
                <w:szCs w:val="22"/>
              </w:rPr>
              <w:t>2024/25</w:t>
            </w:r>
          </w:p>
        </w:tc>
      </w:tr>
      <w:tr w:rsidR="00593F10" w:rsidRPr="00593F10" w14:paraId="05910456" w14:textId="77777777" w:rsidTr="00593F10">
        <w:trPr>
          <w:trHeight w:val="300"/>
        </w:trPr>
        <w:tc>
          <w:tcPr>
            <w:tcW w:w="5428" w:type="dxa"/>
            <w:tcBorders>
              <w:top w:val="nil"/>
              <w:left w:val="single" w:sz="8" w:space="0" w:color="auto"/>
              <w:bottom w:val="nil"/>
              <w:right w:val="nil"/>
            </w:tcBorders>
            <w:shd w:val="clear" w:color="000000" w:fill="CCCCCC"/>
            <w:noWrap/>
            <w:vAlign w:val="center"/>
            <w:hideMark/>
          </w:tcPr>
          <w:p w14:paraId="0465F2EB" w14:textId="77777777" w:rsidR="00593F10" w:rsidRPr="00593F10" w:rsidRDefault="00593F10" w:rsidP="00593F10">
            <w:pPr>
              <w:rPr>
                <w:color w:val="000000"/>
              </w:rPr>
            </w:pPr>
            <w:r w:rsidRPr="00593F10">
              <w:rPr>
                <w:color w:val="000000"/>
              </w:rPr>
              <w:t> </w:t>
            </w:r>
          </w:p>
        </w:tc>
        <w:tc>
          <w:tcPr>
            <w:tcW w:w="1044" w:type="dxa"/>
            <w:tcBorders>
              <w:top w:val="nil"/>
              <w:left w:val="nil"/>
              <w:bottom w:val="nil"/>
              <w:right w:val="nil"/>
            </w:tcBorders>
            <w:vAlign w:val="center"/>
            <w:hideMark/>
          </w:tcPr>
          <w:p w14:paraId="5624D36C"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048" w:type="dxa"/>
            <w:tcBorders>
              <w:top w:val="nil"/>
              <w:left w:val="nil"/>
              <w:bottom w:val="nil"/>
              <w:right w:val="single" w:sz="8" w:space="0" w:color="auto"/>
            </w:tcBorders>
            <w:shd w:val="clear" w:color="000000" w:fill="CCCCCC"/>
            <w:noWrap/>
            <w:vAlign w:val="center"/>
            <w:hideMark/>
          </w:tcPr>
          <w:p w14:paraId="5DCFBCF6"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r>
      <w:tr w:rsidR="000155A1" w:rsidRPr="00593F10" w14:paraId="608EDE80" w14:textId="77777777" w:rsidTr="00593F10">
        <w:trPr>
          <w:trHeight w:val="300"/>
        </w:trPr>
        <w:tc>
          <w:tcPr>
            <w:tcW w:w="5428" w:type="dxa"/>
            <w:tcBorders>
              <w:top w:val="nil"/>
              <w:left w:val="single" w:sz="8" w:space="0" w:color="auto"/>
              <w:bottom w:val="nil"/>
              <w:right w:val="nil"/>
            </w:tcBorders>
            <w:shd w:val="clear" w:color="000000" w:fill="CCCCCC"/>
            <w:vAlign w:val="center"/>
            <w:hideMark/>
          </w:tcPr>
          <w:p w14:paraId="275FF7FD" w14:textId="77777777" w:rsidR="000155A1" w:rsidRPr="00593F10" w:rsidRDefault="000155A1" w:rsidP="000155A1">
            <w:pPr>
              <w:rPr>
                <w:rFonts w:ascii="Arial" w:hAnsi="Arial" w:cs="Arial"/>
                <w:color w:val="000000"/>
                <w:sz w:val="22"/>
                <w:szCs w:val="22"/>
              </w:rPr>
            </w:pPr>
            <w:r w:rsidRPr="00593F10">
              <w:rPr>
                <w:rFonts w:ascii="Arial" w:hAnsi="Arial" w:cs="Arial"/>
                <w:color w:val="000000"/>
                <w:sz w:val="22"/>
                <w:szCs w:val="22"/>
              </w:rPr>
              <w:t>Loss/(Gain) on the disposal of non-current assets</w:t>
            </w:r>
          </w:p>
        </w:tc>
        <w:tc>
          <w:tcPr>
            <w:tcW w:w="1044" w:type="dxa"/>
            <w:tcBorders>
              <w:top w:val="nil"/>
              <w:left w:val="nil"/>
              <w:bottom w:val="nil"/>
              <w:right w:val="nil"/>
            </w:tcBorders>
            <w:vAlign w:val="center"/>
            <w:hideMark/>
          </w:tcPr>
          <w:p w14:paraId="27B966D9" w14:textId="4D4A3E9F" w:rsidR="000155A1" w:rsidRPr="00593F10" w:rsidRDefault="000155A1" w:rsidP="000155A1">
            <w:pPr>
              <w:jc w:val="right"/>
              <w:rPr>
                <w:rFonts w:ascii="Arial" w:hAnsi="Arial" w:cs="Arial"/>
                <w:color w:val="000000"/>
                <w:sz w:val="22"/>
                <w:szCs w:val="22"/>
              </w:rPr>
            </w:pPr>
            <w:r w:rsidRPr="00593F10">
              <w:rPr>
                <w:rFonts w:ascii="Arial" w:hAnsi="Arial" w:cs="Arial"/>
                <w:color w:val="000000"/>
                <w:sz w:val="22"/>
                <w:szCs w:val="22"/>
              </w:rPr>
              <w:t>1</w:t>
            </w:r>
            <w:r>
              <w:rPr>
                <w:rFonts w:ascii="Arial" w:hAnsi="Arial" w:cs="Arial"/>
                <w:color w:val="000000"/>
                <w:sz w:val="22"/>
                <w:szCs w:val="22"/>
              </w:rPr>
              <w:t>1</w:t>
            </w:r>
            <w:r w:rsidRPr="00593F10">
              <w:rPr>
                <w:rFonts w:ascii="Arial" w:hAnsi="Arial" w:cs="Arial"/>
                <w:color w:val="000000"/>
                <w:sz w:val="22"/>
                <w:szCs w:val="22"/>
              </w:rPr>
              <w:t>9</w:t>
            </w:r>
          </w:p>
        </w:tc>
        <w:tc>
          <w:tcPr>
            <w:tcW w:w="1048" w:type="dxa"/>
            <w:tcBorders>
              <w:top w:val="nil"/>
              <w:left w:val="nil"/>
              <w:bottom w:val="nil"/>
              <w:right w:val="single" w:sz="8" w:space="0" w:color="auto"/>
            </w:tcBorders>
            <w:shd w:val="clear" w:color="000000" w:fill="CCCCCC"/>
            <w:vAlign w:val="center"/>
            <w:hideMark/>
          </w:tcPr>
          <w:p w14:paraId="0EAB66AE" w14:textId="5480FDC0"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(24)</w:t>
            </w:r>
          </w:p>
        </w:tc>
      </w:tr>
      <w:tr w:rsidR="000155A1" w:rsidRPr="00593F10" w14:paraId="3ED0F7B9" w14:textId="77777777" w:rsidTr="00593F10">
        <w:trPr>
          <w:trHeight w:val="300"/>
        </w:trPr>
        <w:tc>
          <w:tcPr>
            <w:tcW w:w="5428" w:type="dxa"/>
            <w:tcBorders>
              <w:top w:val="nil"/>
              <w:left w:val="single" w:sz="8" w:space="0" w:color="auto"/>
              <w:bottom w:val="nil"/>
              <w:right w:val="nil"/>
            </w:tcBorders>
            <w:shd w:val="clear" w:color="000000" w:fill="CCCCCC"/>
            <w:vAlign w:val="center"/>
            <w:hideMark/>
          </w:tcPr>
          <w:p w14:paraId="63FAC4AA" w14:textId="77777777" w:rsidR="000155A1" w:rsidRPr="00593F10" w:rsidRDefault="000155A1" w:rsidP="000155A1">
            <w:pPr>
              <w:rPr>
                <w:rFonts w:ascii="Arial" w:hAnsi="Arial" w:cs="Arial"/>
                <w:color w:val="000000"/>
                <w:sz w:val="22"/>
                <w:szCs w:val="22"/>
              </w:rPr>
            </w:pPr>
            <w:r w:rsidRPr="00593F10">
              <w:rPr>
                <w:rFonts w:ascii="Arial" w:hAnsi="Arial" w:cs="Arial"/>
                <w:color w:val="000000"/>
                <w:sz w:val="22"/>
                <w:szCs w:val="22"/>
              </w:rPr>
              <w:t>Changes in fair value of assets held for sale</w:t>
            </w:r>
          </w:p>
        </w:tc>
        <w:tc>
          <w:tcPr>
            <w:tcW w:w="1044" w:type="dxa"/>
            <w:tcBorders>
              <w:top w:val="nil"/>
              <w:left w:val="nil"/>
              <w:bottom w:val="nil"/>
              <w:right w:val="nil"/>
            </w:tcBorders>
            <w:vAlign w:val="center"/>
            <w:hideMark/>
          </w:tcPr>
          <w:p w14:paraId="2657AABD" w14:textId="77777777" w:rsidR="000155A1" w:rsidRPr="00593F10" w:rsidRDefault="000155A1" w:rsidP="000155A1">
            <w:pPr>
              <w:jc w:val="right"/>
              <w:rPr>
                <w:rFonts w:ascii="Arial" w:hAnsi="Arial" w:cs="Arial"/>
                <w:color w:val="000000"/>
                <w:sz w:val="22"/>
                <w:szCs w:val="22"/>
              </w:rPr>
            </w:pPr>
            <w:r w:rsidRPr="00593F10">
              <w:rPr>
                <w:rFonts w:ascii="Arial" w:hAnsi="Arial" w:cs="Arial"/>
                <w:color w:val="000000"/>
                <w:sz w:val="22"/>
                <w:szCs w:val="22"/>
              </w:rPr>
              <w:t>0</w:t>
            </w:r>
          </w:p>
        </w:tc>
        <w:tc>
          <w:tcPr>
            <w:tcW w:w="1048" w:type="dxa"/>
            <w:tcBorders>
              <w:top w:val="nil"/>
              <w:left w:val="nil"/>
              <w:bottom w:val="nil"/>
              <w:right w:val="single" w:sz="8" w:space="0" w:color="auto"/>
            </w:tcBorders>
            <w:shd w:val="clear" w:color="000000" w:fill="CCCCCC"/>
            <w:vAlign w:val="center"/>
            <w:hideMark/>
          </w:tcPr>
          <w:p w14:paraId="0C3DED9B" w14:textId="00C8D98E"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0</w:t>
            </w:r>
          </w:p>
        </w:tc>
      </w:tr>
      <w:tr w:rsidR="000155A1" w:rsidRPr="00593F10" w14:paraId="640C9EA0" w14:textId="77777777" w:rsidTr="00593F10">
        <w:trPr>
          <w:trHeight w:val="300"/>
        </w:trPr>
        <w:tc>
          <w:tcPr>
            <w:tcW w:w="5428" w:type="dxa"/>
            <w:tcBorders>
              <w:top w:val="nil"/>
              <w:left w:val="single" w:sz="8" w:space="0" w:color="auto"/>
              <w:bottom w:val="single" w:sz="8" w:space="0" w:color="auto"/>
              <w:right w:val="nil"/>
            </w:tcBorders>
            <w:shd w:val="clear" w:color="000000" w:fill="CCCCCC"/>
            <w:noWrap/>
            <w:vAlign w:val="center"/>
            <w:hideMark/>
          </w:tcPr>
          <w:p w14:paraId="71BC58AF" w14:textId="77777777" w:rsidR="000155A1" w:rsidRPr="00593F10" w:rsidRDefault="000155A1" w:rsidP="000155A1">
            <w:pPr>
              <w:rPr>
                <w:rFonts w:ascii="Arial" w:hAnsi="Arial" w:cs="Arial"/>
                <w:b/>
                <w:bCs/>
                <w:color w:val="000000"/>
                <w:sz w:val="22"/>
                <w:szCs w:val="22"/>
              </w:rPr>
            </w:pPr>
            <w:r w:rsidRPr="00593F10">
              <w:rPr>
                <w:rFonts w:ascii="Arial" w:hAnsi="Arial" w:cs="Arial"/>
                <w:b/>
                <w:bCs/>
                <w:color w:val="000000"/>
                <w:sz w:val="22"/>
                <w:szCs w:val="22"/>
              </w:rPr>
              <w:t>Total</w:t>
            </w:r>
          </w:p>
        </w:tc>
        <w:tc>
          <w:tcPr>
            <w:tcW w:w="1044" w:type="dxa"/>
            <w:tcBorders>
              <w:top w:val="single" w:sz="8" w:space="0" w:color="auto"/>
              <w:left w:val="nil"/>
              <w:bottom w:val="single" w:sz="8" w:space="0" w:color="auto"/>
              <w:right w:val="nil"/>
            </w:tcBorders>
            <w:vAlign w:val="center"/>
            <w:hideMark/>
          </w:tcPr>
          <w:p w14:paraId="61A321AA" w14:textId="1F5CFC5D" w:rsidR="000155A1" w:rsidRPr="00593F10" w:rsidRDefault="000155A1" w:rsidP="000155A1">
            <w:pPr>
              <w:jc w:val="right"/>
              <w:rPr>
                <w:rFonts w:ascii="Arial" w:hAnsi="Arial" w:cs="Arial"/>
                <w:b/>
                <w:bCs/>
                <w:color w:val="000000"/>
                <w:sz w:val="22"/>
                <w:szCs w:val="22"/>
              </w:rPr>
            </w:pPr>
            <w:r w:rsidRPr="00593F10">
              <w:rPr>
                <w:rFonts w:ascii="Arial" w:hAnsi="Arial" w:cs="Arial"/>
                <w:b/>
                <w:bCs/>
                <w:color w:val="000000"/>
                <w:sz w:val="22"/>
                <w:szCs w:val="22"/>
              </w:rPr>
              <w:t>1</w:t>
            </w:r>
            <w:r>
              <w:rPr>
                <w:rFonts w:ascii="Arial" w:hAnsi="Arial" w:cs="Arial"/>
                <w:b/>
                <w:bCs/>
                <w:color w:val="000000"/>
                <w:sz w:val="22"/>
                <w:szCs w:val="22"/>
              </w:rPr>
              <w:t>1</w:t>
            </w:r>
            <w:r w:rsidRPr="00593F10">
              <w:rPr>
                <w:rFonts w:ascii="Arial" w:hAnsi="Arial" w:cs="Arial"/>
                <w:b/>
                <w:bCs/>
                <w:color w:val="000000"/>
                <w:sz w:val="22"/>
                <w:szCs w:val="22"/>
              </w:rPr>
              <w:t>9</w:t>
            </w:r>
          </w:p>
        </w:tc>
        <w:tc>
          <w:tcPr>
            <w:tcW w:w="1048" w:type="dxa"/>
            <w:tcBorders>
              <w:top w:val="single" w:sz="8" w:space="0" w:color="auto"/>
              <w:left w:val="nil"/>
              <w:bottom w:val="single" w:sz="8" w:space="0" w:color="auto"/>
              <w:right w:val="single" w:sz="8" w:space="0" w:color="auto"/>
            </w:tcBorders>
            <w:shd w:val="clear" w:color="000000" w:fill="CCCCCC"/>
            <w:vAlign w:val="center"/>
            <w:hideMark/>
          </w:tcPr>
          <w:p w14:paraId="4A4F6CC5" w14:textId="4C40A220" w:rsidR="000155A1" w:rsidRPr="00593F10" w:rsidRDefault="000155A1" w:rsidP="000155A1">
            <w:pPr>
              <w:jc w:val="right"/>
              <w:rPr>
                <w:rFonts w:ascii="Arial" w:hAnsi="Arial" w:cs="Arial"/>
                <w:b/>
                <w:bCs/>
                <w:color w:val="000000"/>
                <w:sz w:val="22"/>
                <w:szCs w:val="22"/>
              </w:rPr>
            </w:pPr>
            <w:r>
              <w:rPr>
                <w:rFonts w:ascii="Arial" w:hAnsi="Arial" w:cs="Arial"/>
                <w:b/>
                <w:bCs/>
                <w:color w:val="000000"/>
                <w:sz w:val="22"/>
                <w:szCs w:val="22"/>
              </w:rPr>
              <w:t>(24)</w:t>
            </w:r>
          </w:p>
        </w:tc>
      </w:tr>
    </w:tbl>
    <w:p w14:paraId="6A02973F" w14:textId="77777777" w:rsidR="0041443C" w:rsidRDefault="0041443C" w:rsidP="008A5600">
      <w:pPr>
        <w:tabs>
          <w:tab w:val="right" w:pos="5760"/>
        </w:tabs>
        <w:rPr>
          <w:rFonts w:ascii="Arial" w:hAnsi="Arial"/>
          <w:b/>
          <w:sz w:val="22"/>
          <w:szCs w:val="22"/>
        </w:rPr>
      </w:pPr>
    </w:p>
    <w:p w14:paraId="5A1AC45A" w14:textId="77466181" w:rsidR="003B74DA" w:rsidRDefault="003B74DA" w:rsidP="003B74DA">
      <w:pPr>
        <w:numPr>
          <w:ilvl w:val="0"/>
          <w:numId w:val="1"/>
        </w:numPr>
        <w:tabs>
          <w:tab w:val="clear" w:pos="720"/>
          <w:tab w:val="num" w:pos="426"/>
          <w:tab w:val="right" w:pos="5760"/>
        </w:tabs>
        <w:ind w:left="426"/>
        <w:rPr>
          <w:rFonts w:ascii="Arial" w:hAnsi="Arial"/>
          <w:b/>
          <w:sz w:val="22"/>
          <w:szCs w:val="22"/>
        </w:rPr>
      </w:pPr>
      <w:r>
        <w:rPr>
          <w:rFonts w:ascii="Arial" w:hAnsi="Arial"/>
          <w:b/>
          <w:sz w:val="22"/>
          <w:szCs w:val="22"/>
        </w:rPr>
        <w:t>Financing and investment i</w:t>
      </w:r>
      <w:r w:rsidRPr="001B2327">
        <w:rPr>
          <w:rFonts w:ascii="Arial" w:hAnsi="Arial"/>
          <w:b/>
          <w:sz w:val="22"/>
          <w:szCs w:val="22"/>
        </w:rPr>
        <w:t xml:space="preserve">ncome and </w:t>
      </w:r>
      <w:r>
        <w:rPr>
          <w:rFonts w:ascii="Arial" w:hAnsi="Arial"/>
          <w:b/>
          <w:sz w:val="22"/>
          <w:szCs w:val="22"/>
        </w:rPr>
        <w:t>e</w:t>
      </w:r>
      <w:r w:rsidRPr="001B2327">
        <w:rPr>
          <w:rFonts w:ascii="Arial" w:hAnsi="Arial"/>
          <w:b/>
          <w:sz w:val="22"/>
          <w:szCs w:val="22"/>
        </w:rPr>
        <w:t xml:space="preserve">xpenditure </w:t>
      </w:r>
    </w:p>
    <w:p w14:paraId="62178CF8" w14:textId="77777777" w:rsidR="00C83664" w:rsidRPr="001B2327" w:rsidRDefault="00C83664" w:rsidP="008A5600">
      <w:pPr>
        <w:tabs>
          <w:tab w:val="right" w:pos="5760"/>
        </w:tabs>
        <w:ind w:left="426"/>
        <w:rPr>
          <w:rFonts w:ascii="Arial" w:hAnsi="Arial"/>
          <w:b/>
          <w:sz w:val="22"/>
          <w:szCs w:val="22"/>
        </w:rPr>
      </w:pPr>
    </w:p>
    <w:tbl>
      <w:tblPr>
        <w:tblW w:w="9180" w:type="dxa"/>
        <w:tblLook w:val="04A0" w:firstRow="1" w:lastRow="0" w:firstColumn="1" w:lastColumn="0" w:noHBand="0" w:noVBand="1"/>
      </w:tblPr>
      <w:tblGrid>
        <w:gridCol w:w="1135"/>
        <w:gridCol w:w="1012"/>
        <w:gridCol w:w="4961"/>
        <w:gridCol w:w="1060"/>
        <w:gridCol w:w="1012"/>
      </w:tblGrid>
      <w:tr w:rsidR="00714EDE" w:rsidRPr="00593F10" w14:paraId="0497FAAD" w14:textId="77777777" w:rsidTr="000155A1">
        <w:trPr>
          <w:trHeight w:val="315"/>
        </w:trPr>
        <w:tc>
          <w:tcPr>
            <w:tcW w:w="2147" w:type="dxa"/>
            <w:gridSpan w:val="2"/>
            <w:tcBorders>
              <w:top w:val="single" w:sz="8" w:space="0" w:color="auto"/>
              <w:left w:val="single" w:sz="8" w:space="0" w:color="auto"/>
              <w:bottom w:val="nil"/>
              <w:right w:val="nil"/>
            </w:tcBorders>
            <w:shd w:val="clear" w:color="000000" w:fill="D0CECE"/>
            <w:vAlign w:val="center"/>
            <w:hideMark/>
          </w:tcPr>
          <w:p w14:paraId="5963561E" w14:textId="77777777" w:rsidR="00593F10" w:rsidRPr="00593F10" w:rsidRDefault="00593F10" w:rsidP="00593F10">
            <w:pPr>
              <w:jc w:val="center"/>
              <w:rPr>
                <w:rFonts w:ascii="Arial" w:hAnsi="Arial" w:cs="Arial"/>
                <w:b/>
                <w:bCs/>
                <w:color w:val="000000"/>
                <w:sz w:val="22"/>
                <w:szCs w:val="22"/>
              </w:rPr>
            </w:pPr>
            <w:r w:rsidRPr="00593F10">
              <w:rPr>
                <w:rFonts w:ascii="Arial" w:hAnsi="Arial" w:cs="Arial"/>
                <w:b/>
                <w:bCs/>
                <w:color w:val="000000"/>
                <w:sz w:val="22"/>
                <w:szCs w:val="22"/>
              </w:rPr>
              <w:t>PCC</w:t>
            </w:r>
          </w:p>
        </w:tc>
        <w:tc>
          <w:tcPr>
            <w:tcW w:w="4961" w:type="dxa"/>
            <w:tcBorders>
              <w:top w:val="single" w:sz="8" w:space="0" w:color="auto"/>
              <w:left w:val="nil"/>
              <w:bottom w:val="nil"/>
              <w:right w:val="nil"/>
            </w:tcBorders>
            <w:shd w:val="clear" w:color="000000" w:fill="D0CECE"/>
            <w:vAlign w:val="center"/>
            <w:hideMark/>
          </w:tcPr>
          <w:p w14:paraId="52EBAC64" w14:textId="77777777" w:rsidR="00593F10" w:rsidRPr="00593F10" w:rsidRDefault="00593F10" w:rsidP="00593F10">
            <w:pPr>
              <w:rPr>
                <w:color w:val="000000"/>
              </w:rPr>
            </w:pPr>
            <w:r w:rsidRPr="00593F10">
              <w:rPr>
                <w:color w:val="000000"/>
              </w:rPr>
              <w:t> </w:t>
            </w:r>
          </w:p>
        </w:tc>
        <w:tc>
          <w:tcPr>
            <w:tcW w:w="2072" w:type="dxa"/>
            <w:gridSpan w:val="2"/>
            <w:tcBorders>
              <w:top w:val="single" w:sz="8" w:space="0" w:color="auto"/>
              <w:left w:val="nil"/>
              <w:bottom w:val="nil"/>
              <w:right w:val="single" w:sz="8" w:space="0" w:color="000000"/>
            </w:tcBorders>
            <w:shd w:val="clear" w:color="000000" w:fill="D0CECE"/>
            <w:noWrap/>
            <w:vAlign w:val="center"/>
            <w:hideMark/>
          </w:tcPr>
          <w:p w14:paraId="36415CF5" w14:textId="77777777" w:rsidR="00593F10" w:rsidRPr="00593F10" w:rsidRDefault="00593F10" w:rsidP="00593F10">
            <w:pPr>
              <w:jc w:val="center"/>
              <w:rPr>
                <w:rFonts w:ascii="Arial" w:hAnsi="Arial" w:cs="Arial"/>
                <w:b/>
                <w:bCs/>
                <w:color w:val="000000"/>
                <w:sz w:val="22"/>
                <w:szCs w:val="22"/>
              </w:rPr>
            </w:pPr>
            <w:r w:rsidRPr="00593F10">
              <w:rPr>
                <w:rFonts w:ascii="Arial" w:hAnsi="Arial" w:cs="Arial"/>
                <w:b/>
                <w:bCs/>
                <w:color w:val="000000"/>
                <w:sz w:val="22"/>
                <w:szCs w:val="22"/>
              </w:rPr>
              <w:t>PCC GROUP</w:t>
            </w:r>
          </w:p>
        </w:tc>
      </w:tr>
      <w:tr w:rsidR="00714EDE" w:rsidRPr="00593F10" w14:paraId="26F874DD" w14:textId="77777777" w:rsidTr="000155A1">
        <w:trPr>
          <w:trHeight w:val="315"/>
        </w:trPr>
        <w:tc>
          <w:tcPr>
            <w:tcW w:w="1135" w:type="dxa"/>
            <w:tcBorders>
              <w:top w:val="single" w:sz="8" w:space="0" w:color="auto"/>
              <w:left w:val="single" w:sz="8" w:space="0" w:color="auto"/>
              <w:bottom w:val="nil"/>
              <w:right w:val="nil"/>
            </w:tcBorders>
            <w:vAlign w:val="center"/>
            <w:hideMark/>
          </w:tcPr>
          <w:p w14:paraId="55785FE4" w14:textId="1A81AB1E" w:rsidR="00593F10" w:rsidRPr="00593F10" w:rsidRDefault="00C37E7F" w:rsidP="00593F10">
            <w:pPr>
              <w:jc w:val="right"/>
              <w:rPr>
                <w:rFonts w:ascii="Arial" w:hAnsi="Arial" w:cs="Arial"/>
                <w:b/>
                <w:bCs/>
                <w:color w:val="000000"/>
                <w:sz w:val="22"/>
                <w:szCs w:val="22"/>
              </w:rPr>
            </w:pPr>
            <w:r>
              <w:rPr>
                <w:rFonts w:ascii="Arial" w:hAnsi="Arial" w:cs="Arial"/>
                <w:b/>
                <w:bCs/>
                <w:color w:val="000000"/>
                <w:sz w:val="22"/>
                <w:szCs w:val="22"/>
              </w:rPr>
              <w:t>2023/24</w:t>
            </w:r>
          </w:p>
        </w:tc>
        <w:tc>
          <w:tcPr>
            <w:tcW w:w="1012" w:type="dxa"/>
            <w:tcBorders>
              <w:top w:val="single" w:sz="8" w:space="0" w:color="auto"/>
              <w:left w:val="nil"/>
              <w:bottom w:val="nil"/>
              <w:right w:val="nil"/>
            </w:tcBorders>
            <w:shd w:val="clear" w:color="000000" w:fill="CCCCCC"/>
            <w:noWrap/>
            <w:vAlign w:val="center"/>
            <w:hideMark/>
          </w:tcPr>
          <w:p w14:paraId="06038BA4" w14:textId="22D5B9E0" w:rsidR="00593F10" w:rsidRPr="00593F10" w:rsidRDefault="00C37E7F" w:rsidP="00593F10">
            <w:pPr>
              <w:jc w:val="right"/>
              <w:rPr>
                <w:rFonts w:ascii="Arial" w:hAnsi="Arial" w:cs="Arial"/>
                <w:b/>
                <w:bCs/>
                <w:color w:val="000000"/>
                <w:sz w:val="22"/>
                <w:szCs w:val="22"/>
              </w:rPr>
            </w:pPr>
            <w:r>
              <w:rPr>
                <w:rFonts w:ascii="Arial" w:hAnsi="Arial" w:cs="Arial"/>
                <w:b/>
                <w:bCs/>
                <w:color w:val="000000"/>
                <w:sz w:val="22"/>
                <w:szCs w:val="22"/>
              </w:rPr>
              <w:t>2024/25</w:t>
            </w:r>
          </w:p>
        </w:tc>
        <w:tc>
          <w:tcPr>
            <w:tcW w:w="4961" w:type="dxa"/>
            <w:tcBorders>
              <w:top w:val="nil"/>
              <w:left w:val="nil"/>
              <w:bottom w:val="nil"/>
              <w:right w:val="nil"/>
            </w:tcBorders>
            <w:shd w:val="clear" w:color="000000" w:fill="D0CECE"/>
            <w:vAlign w:val="center"/>
            <w:hideMark/>
          </w:tcPr>
          <w:p w14:paraId="5110D5F0" w14:textId="77777777" w:rsidR="00593F10" w:rsidRPr="00593F10" w:rsidRDefault="00593F10" w:rsidP="00593F10">
            <w:pPr>
              <w:rPr>
                <w:color w:val="000000"/>
              </w:rPr>
            </w:pPr>
            <w:r w:rsidRPr="00593F10">
              <w:rPr>
                <w:color w:val="000000"/>
              </w:rPr>
              <w:t> </w:t>
            </w:r>
          </w:p>
        </w:tc>
        <w:tc>
          <w:tcPr>
            <w:tcW w:w="1060" w:type="dxa"/>
            <w:tcBorders>
              <w:top w:val="single" w:sz="8" w:space="0" w:color="auto"/>
              <w:left w:val="nil"/>
              <w:bottom w:val="nil"/>
              <w:right w:val="nil"/>
            </w:tcBorders>
            <w:vAlign w:val="center"/>
            <w:hideMark/>
          </w:tcPr>
          <w:p w14:paraId="0DEC3D58" w14:textId="1EAF17B8" w:rsidR="00593F10" w:rsidRPr="00593F10" w:rsidRDefault="00C37E7F" w:rsidP="00593F10">
            <w:pPr>
              <w:jc w:val="right"/>
              <w:rPr>
                <w:rFonts w:ascii="Arial" w:hAnsi="Arial" w:cs="Arial"/>
                <w:b/>
                <w:bCs/>
                <w:color w:val="000000"/>
                <w:sz w:val="22"/>
                <w:szCs w:val="22"/>
              </w:rPr>
            </w:pPr>
            <w:r>
              <w:rPr>
                <w:rFonts w:ascii="Arial" w:hAnsi="Arial" w:cs="Arial"/>
                <w:b/>
                <w:bCs/>
                <w:color w:val="000000"/>
                <w:sz w:val="22"/>
                <w:szCs w:val="22"/>
              </w:rPr>
              <w:t>2023/24</w:t>
            </w:r>
          </w:p>
        </w:tc>
        <w:tc>
          <w:tcPr>
            <w:tcW w:w="1012" w:type="dxa"/>
            <w:tcBorders>
              <w:top w:val="single" w:sz="8" w:space="0" w:color="auto"/>
              <w:left w:val="nil"/>
              <w:bottom w:val="nil"/>
              <w:right w:val="single" w:sz="8" w:space="0" w:color="auto"/>
            </w:tcBorders>
            <w:shd w:val="clear" w:color="000000" w:fill="CCCCCC"/>
            <w:noWrap/>
            <w:vAlign w:val="center"/>
            <w:hideMark/>
          </w:tcPr>
          <w:p w14:paraId="3AFA14B0" w14:textId="08067D5D" w:rsidR="00593F10" w:rsidRPr="00593F10" w:rsidRDefault="00C37E7F" w:rsidP="00593F10">
            <w:pPr>
              <w:jc w:val="right"/>
              <w:rPr>
                <w:rFonts w:ascii="Arial" w:hAnsi="Arial" w:cs="Arial"/>
                <w:b/>
                <w:bCs/>
                <w:color w:val="000000"/>
                <w:sz w:val="22"/>
                <w:szCs w:val="22"/>
              </w:rPr>
            </w:pPr>
            <w:r>
              <w:rPr>
                <w:rFonts w:ascii="Arial" w:hAnsi="Arial" w:cs="Arial"/>
                <w:b/>
                <w:bCs/>
                <w:color w:val="000000"/>
                <w:sz w:val="22"/>
                <w:szCs w:val="22"/>
              </w:rPr>
              <w:t>2024/25</w:t>
            </w:r>
          </w:p>
        </w:tc>
      </w:tr>
      <w:tr w:rsidR="00714EDE" w:rsidRPr="00593F10" w14:paraId="1606AE4D" w14:textId="77777777" w:rsidTr="000155A1">
        <w:trPr>
          <w:trHeight w:val="300"/>
        </w:trPr>
        <w:tc>
          <w:tcPr>
            <w:tcW w:w="1135" w:type="dxa"/>
            <w:tcBorders>
              <w:top w:val="nil"/>
              <w:left w:val="single" w:sz="8" w:space="0" w:color="auto"/>
              <w:bottom w:val="nil"/>
              <w:right w:val="nil"/>
            </w:tcBorders>
            <w:vAlign w:val="center"/>
            <w:hideMark/>
          </w:tcPr>
          <w:p w14:paraId="24A7FC5B"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012" w:type="dxa"/>
            <w:tcBorders>
              <w:top w:val="nil"/>
              <w:left w:val="nil"/>
              <w:bottom w:val="nil"/>
              <w:right w:val="nil"/>
            </w:tcBorders>
            <w:shd w:val="clear" w:color="000000" w:fill="CCCCCC"/>
            <w:noWrap/>
            <w:vAlign w:val="center"/>
            <w:hideMark/>
          </w:tcPr>
          <w:p w14:paraId="5B890021"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4961" w:type="dxa"/>
            <w:tcBorders>
              <w:top w:val="nil"/>
              <w:left w:val="nil"/>
              <w:bottom w:val="nil"/>
              <w:right w:val="nil"/>
            </w:tcBorders>
            <w:shd w:val="clear" w:color="000000" w:fill="D0CECE"/>
            <w:vAlign w:val="center"/>
            <w:hideMark/>
          </w:tcPr>
          <w:p w14:paraId="31D6E05C" w14:textId="77777777" w:rsidR="00593F10" w:rsidRPr="00593F10" w:rsidRDefault="00593F10" w:rsidP="00593F10">
            <w:pPr>
              <w:rPr>
                <w:color w:val="000000"/>
              </w:rPr>
            </w:pPr>
            <w:r w:rsidRPr="00593F10">
              <w:rPr>
                <w:color w:val="000000"/>
              </w:rPr>
              <w:t> </w:t>
            </w:r>
          </w:p>
        </w:tc>
        <w:tc>
          <w:tcPr>
            <w:tcW w:w="1060" w:type="dxa"/>
            <w:tcBorders>
              <w:top w:val="nil"/>
              <w:left w:val="nil"/>
              <w:bottom w:val="nil"/>
              <w:right w:val="nil"/>
            </w:tcBorders>
            <w:vAlign w:val="center"/>
            <w:hideMark/>
          </w:tcPr>
          <w:p w14:paraId="1B69F241"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c>
          <w:tcPr>
            <w:tcW w:w="1012" w:type="dxa"/>
            <w:tcBorders>
              <w:top w:val="nil"/>
              <w:left w:val="nil"/>
              <w:bottom w:val="nil"/>
              <w:right w:val="single" w:sz="8" w:space="0" w:color="auto"/>
            </w:tcBorders>
            <w:shd w:val="clear" w:color="000000" w:fill="CCCCCC"/>
            <w:noWrap/>
            <w:vAlign w:val="center"/>
            <w:hideMark/>
          </w:tcPr>
          <w:p w14:paraId="4A7F705E" w14:textId="77777777" w:rsidR="00593F10" w:rsidRPr="00593F10" w:rsidRDefault="00593F10" w:rsidP="00593F10">
            <w:pPr>
              <w:jc w:val="right"/>
              <w:rPr>
                <w:rFonts w:ascii="Arial" w:hAnsi="Arial" w:cs="Arial"/>
                <w:b/>
                <w:bCs/>
                <w:color w:val="000000"/>
                <w:sz w:val="22"/>
                <w:szCs w:val="22"/>
              </w:rPr>
            </w:pPr>
            <w:r w:rsidRPr="00593F10">
              <w:rPr>
                <w:rFonts w:ascii="Arial" w:hAnsi="Arial" w:cs="Arial"/>
                <w:b/>
                <w:bCs/>
                <w:color w:val="000000"/>
                <w:sz w:val="22"/>
                <w:szCs w:val="22"/>
              </w:rPr>
              <w:t>£000</w:t>
            </w:r>
          </w:p>
        </w:tc>
      </w:tr>
      <w:tr w:rsidR="000155A1" w:rsidRPr="00593F10" w14:paraId="43629587" w14:textId="77777777" w:rsidTr="000155A1">
        <w:trPr>
          <w:trHeight w:val="300"/>
        </w:trPr>
        <w:tc>
          <w:tcPr>
            <w:tcW w:w="1135" w:type="dxa"/>
            <w:tcBorders>
              <w:top w:val="nil"/>
              <w:left w:val="single" w:sz="8" w:space="0" w:color="auto"/>
              <w:bottom w:val="nil"/>
              <w:right w:val="nil"/>
            </w:tcBorders>
            <w:vAlign w:val="center"/>
            <w:hideMark/>
          </w:tcPr>
          <w:p w14:paraId="195985E2" w14:textId="2F42211F"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2</w:t>
            </w:r>
            <w:r w:rsidRPr="00593F10">
              <w:rPr>
                <w:rFonts w:ascii="Arial" w:hAnsi="Arial" w:cs="Arial"/>
                <w:color w:val="000000"/>
                <w:sz w:val="22"/>
                <w:szCs w:val="22"/>
              </w:rPr>
              <w:t>,</w:t>
            </w:r>
            <w:r>
              <w:rPr>
                <w:rFonts w:ascii="Arial" w:hAnsi="Arial" w:cs="Arial"/>
                <w:color w:val="000000"/>
                <w:sz w:val="22"/>
                <w:szCs w:val="22"/>
              </w:rPr>
              <w:t>826</w:t>
            </w:r>
          </w:p>
        </w:tc>
        <w:tc>
          <w:tcPr>
            <w:tcW w:w="1012" w:type="dxa"/>
            <w:tcBorders>
              <w:top w:val="nil"/>
              <w:left w:val="nil"/>
              <w:bottom w:val="nil"/>
              <w:right w:val="nil"/>
            </w:tcBorders>
            <w:shd w:val="clear" w:color="000000" w:fill="D0CECE"/>
            <w:vAlign w:val="center"/>
            <w:hideMark/>
          </w:tcPr>
          <w:p w14:paraId="1A71F4A3" w14:textId="0E7DEA21"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3,588</w:t>
            </w:r>
          </w:p>
        </w:tc>
        <w:tc>
          <w:tcPr>
            <w:tcW w:w="4961" w:type="dxa"/>
            <w:tcBorders>
              <w:top w:val="nil"/>
              <w:left w:val="nil"/>
              <w:bottom w:val="nil"/>
              <w:right w:val="nil"/>
            </w:tcBorders>
            <w:shd w:val="clear" w:color="000000" w:fill="D0CECE"/>
            <w:vAlign w:val="center"/>
            <w:hideMark/>
          </w:tcPr>
          <w:p w14:paraId="20C2DA46" w14:textId="77777777" w:rsidR="000155A1" w:rsidRPr="00593F10" w:rsidRDefault="000155A1" w:rsidP="000155A1">
            <w:pPr>
              <w:rPr>
                <w:rFonts w:ascii="Arial" w:hAnsi="Arial" w:cs="Arial"/>
                <w:color w:val="000000"/>
                <w:sz w:val="22"/>
                <w:szCs w:val="22"/>
              </w:rPr>
            </w:pPr>
            <w:r w:rsidRPr="00593F10">
              <w:rPr>
                <w:rFonts w:ascii="Arial" w:hAnsi="Arial" w:cs="Arial"/>
                <w:color w:val="000000"/>
                <w:sz w:val="22"/>
                <w:szCs w:val="22"/>
              </w:rPr>
              <w:t>Interest payable and similar charges</w:t>
            </w:r>
          </w:p>
        </w:tc>
        <w:tc>
          <w:tcPr>
            <w:tcW w:w="1060" w:type="dxa"/>
            <w:tcBorders>
              <w:top w:val="nil"/>
              <w:left w:val="nil"/>
              <w:bottom w:val="nil"/>
              <w:right w:val="nil"/>
            </w:tcBorders>
            <w:vAlign w:val="center"/>
            <w:hideMark/>
          </w:tcPr>
          <w:p w14:paraId="6E3C66B9" w14:textId="4F336AA9"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2</w:t>
            </w:r>
            <w:r w:rsidRPr="00593F10">
              <w:rPr>
                <w:rFonts w:ascii="Arial" w:hAnsi="Arial" w:cs="Arial"/>
                <w:color w:val="000000"/>
                <w:sz w:val="22"/>
                <w:szCs w:val="22"/>
              </w:rPr>
              <w:t>,</w:t>
            </w:r>
            <w:r>
              <w:rPr>
                <w:rFonts w:ascii="Arial" w:hAnsi="Arial" w:cs="Arial"/>
                <w:color w:val="000000"/>
                <w:sz w:val="22"/>
                <w:szCs w:val="22"/>
              </w:rPr>
              <w:t>826</w:t>
            </w:r>
          </w:p>
        </w:tc>
        <w:tc>
          <w:tcPr>
            <w:tcW w:w="1012" w:type="dxa"/>
            <w:tcBorders>
              <w:top w:val="nil"/>
              <w:left w:val="nil"/>
              <w:bottom w:val="nil"/>
              <w:right w:val="single" w:sz="8" w:space="0" w:color="auto"/>
            </w:tcBorders>
            <w:shd w:val="clear" w:color="000000" w:fill="D0CECE"/>
            <w:vAlign w:val="center"/>
            <w:hideMark/>
          </w:tcPr>
          <w:p w14:paraId="1E3DC95C" w14:textId="5FB745EF"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3,588</w:t>
            </w:r>
          </w:p>
        </w:tc>
      </w:tr>
      <w:tr w:rsidR="000155A1" w:rsidRPr="00593F10" w14:paraId="05B7402E" w14:textId="77777777" w:rsidTr="000155A1">
        <w:trPr>
          <w:trHeight w:val="300"/>
        </w:trPr>
        <w:tc>
          <w:tcPr>
            <w:tcW w:w="1135" w:type="dxa"/>
            <w:tcBorders>
              <w:top w:val="nil"/>
              <w:left w:val="single" w:sz="8" w:space="0" w:color="auto"/>
              <w:bottom w:val="nil"/>
              <w:right w:val="nil"/>
            </w:tcBorders>
            <w:vAlign w:val="center"/>
            <w:hideMark/>
          </w:tcPr>
          <w:p w14:paraId="380F4458" w14:textId="44167712" w:rsidR="000155A1" w:rsidRPr="00593F10" w:rsidRDefault="000155A1" w:rsidP="000155A1">
            <w:pPr>
              <w:jc w:val="right"/>
              <w:rPr>
                <w:rFonts w:ascii="Arial" w:hAnsi="Arial" w:cs="Arial"/>
                <w:color w:val="000000"/>
                <w:sz w:val="22"/>
                <w:szCs w:val="22"/>
              </w:rPr>
            </w:pPr>
            <w:r w:rsidRPr="00593F10">
              <w:rPr>
                <w:rFonts w:ascii="Arial" w:hAnsi="Arial" w:cs="Arial"/>
                <w:color w:val="000000"/>
                <w:sz w:val="22"/>
                <w:szCs w:val="22"/>
              </w:rPr>
              <w:t>(</w:t>
            </w:r>
            <w:r>
              <w:rPr>
                <w:rFonts w:ascii="Arial" w:hAnsi="Arial" w:cs="Arial"/>
                <w:color w:val="000000"/>
                <w:sz w:val="22"/>
                <w:szCs w:val="22"/>
              </w:rPr>
              <w:t>2</w:t>
            </w:r>
            <w:r w:rsidRPr="00593F10">
              <w:rPr>
                <w:rFonts w:ascii="Arial" w:hAnsi="Arial" w:cs="Arial"/>
                <w:color w:val="000000"/>
                <w:sz w:val="22"/>
                <w:szCs w:val="22"/>
              </w:rPr>
              <w:t>,</w:t>
            </w:r>
            <w:r>
              <w:rPr>
                <w:rFonts w:ascii="Arial" w:hAnsi="Arial" w:cs="Arial"/>
                <w:color w:val="000000"/>
                <w:sz w:val="22"/>
                <w:szCs w:val="22"/>
              </w:rPr>
              <w:t>316</w:t>
            </w:r>
            <w:r w:rsidRPr="00593F10">
              <w:rPr>
                <w:rFonts w:ascii="Arial" w:hAnsi="Arial" w:cs="Arial"/>
                <w:color w:val="000000"/>
                <w:sz w:val="22"/>
                <w:szCs w:val="22"/>
              </w:rPr>
              <w:t>)</w:t>
            </w:r>
          </w:p>
        </w:tc>
        <w:tc>
          <w:tcPr>
            <w:tcW w:w="1012" w:type="dxa"/>
            <w:tcBorders>
              <w:top w:val="nil"/>
              <w:left w:val="nil"/>
              <w:bottom w:val="nil"/>
              <w:right w:val="nil"/>
            </w:tcBorders>
            <w:shd w:val="clear" w:color="000000" w:fill="D0CECE"/>
            <w:vAlign w:val="center"/>
            <w:hideMark/>
          </w:tcPr>
          <w:p w14:paraId="3CBDB7D0" w14:textId="7D286071"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(1,658)</w:t>
            </w:r>
          </w:p>
        </w:tc>
        <w:tc>
          <w:tcPr>
            <w:tcW w:w="4961" w:type="dxa"/>
            <w:tcBorders>
              <w:top w:val="nil"/>
              <w:left w:val="nil"/>
              <w:bottom w:val="nil"/>
              <w:right w:val="nil"/>
            </w:tcBorders>
            <w:shd w:val="clear" w:color="000000" w:fill="D0CECE"/>
            <w:vAlign w:val="center"/>
            <w:hideMark/>
          </w:tcPr>
          <w:p w14:paraId="55418A37" w14:textId="77777777" w:rsidR="000155A1" w:rsidRPr="00593F10" w:rsidRDefault="000155A1" w:rsidP="000155A1">
            <w:pPr>
              <w:rPr>
                <w:rFonts w:ascii="Arial" w:hAnsi="Arial" w:cs="Arial"/>
                <w:color w:val="000000"/>
                <w:sz w:val="22"/>
                <w:szCs w:val="22"/>
              </w:rPr>
            </w:pPr>
            <w:r w:rsidRPr="00593F10">
              <w:rPr>
                <w:rFonts w:ascii="Arial" w:hAnsi="Arial" w:cs="Arial"/>
                <w:color w:val="000000"/>
                <w:sz w:val="22"/>
                <w:szCs w:val="22"/>
              </w:rPr>
              <w:t>Interest receivable and similar income</w:t>
            </w:r>
          </w:p>
        </w:tc>
        <w:tc>
          <w:tcPr>
            <w:tcW w:w="1060" w:type="dxa"/>
            <w:tcBorders>
              <w:top w:val="nil"/>
              <w:left w:val="nil"/>
              <w:bottom w:val="nil"/>
              <w:right w:val="nil"/>
            </w:tcBorders>
            <w:vAlign w:val="center"/>
            <w:hideMark/>
          </w:tcPr>
          <w:p w14:paraId="4E605026" w14:textId="711ACF31" w:rsidR="000155A1" w:rsidRPr="00593F10" w:rsidRDefault="000155A1" w:rsidP="000155A1">
            <w:pPr>
              <w:jc w:val="right"/>
              <w:rPr>
                <w:rFonts w:ascii="Arial" w:hAnsi="Arial" w:cs="Arial"/>
                <w:color w:val="000000"/>
                <w:sz w:val="22"/>
                <w:szCs w:val="22"/>
              </w:rPr>
            </w:pPr>
            <w:r w:rsidRPr="00593F10">
              <w:rPr>
                <w:rFonts w:ascii="Arial" w:hAnsi="Arial" w:cs="Arial"/>
                <w:color w:val="000000"/>
                <w:sz w:val="22"/>
                <w:szCs w:val="22"/>
              </w:rPr>
              <w:t>(</w:t>
            </w:r>
            <w:r>
              <w:rPr>
                <w:rFonts w:ascii="Arial" w:hAnsi="Arial" w:cs="Arial"/>
                <w:color w:val="000000"/>
                <w:sz w:val="22"/>
                <w:szCs w:val="22"/>
              </w:rPr>
              <w:t>2</w:t>
            </w:r>
            <w:r w:rsidRPr="00593F10">
              <w:rPr>
                <w:rFonts w:ascii="Arial" w:hAnsi="Arial" w:cs="Arial"/>
                <w:color w:val="000000"/>
                <w:sz w:val="22"/>
                <w:szCs w:val="22"/>
              </w:rPr>
              <w:t>,</w:t>
            </w:r>
            <w:r>
              <w:rPr>
                <w:rFonts w:ascii="Arial" w:hAnsi="Arial" w:cs="Arial"/>
                <w:color w:val="000000"/>
                <w:sz w:val="22"/>
                <w:szCs w:val="22"/>
              </w:rPr>
              <w:t>316</w:t>
            </w:r>
            <w:r w:rsidRPr="00593F10">
              <w:rPr>
                <w:rFonts w:ascii="Arial" w:hAnsi="Arial" w:cs="Arial"/>
                <w:color w:val="000000"/>
                <w:sz w:val="22"/>
                <w:szCs w:val="22"/>
              </w:rPr>
              <w:t>)</w:t>
            </w:r>
          </w:p>
        </w:tc>
        <w:tc>
          <w:tcPr>
            <w:tcW w:w="1012" w:type="dxa"/>
            <w:tcBorders>
              <w:top w:val="nil"/>
              <w:left w:val="nil"/>
              <w:bottom w:val="nil"/>
              <w:right w:val="single" w:sz="8" w:space="0" w:color="auto"/>
            </w:tcBorders>
            <w:shd w:val="clear" w:color="000000" w:fill="D0CECE"/>
            <w:vAlign w:val="center"/>
            <w:hideMark/>
          </w:tcPr>
          <w:p w14:paraId="5FEF986C" w14:textId="25C39079"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(1,658)</w:t>
            </w:r>
          </w:p>
        </w:tc>
      </w:tr>
      <w:tr w:rsidR="000155A1" w:rsidRPr="00593F10" w14:paraId="4D80B11E" w14:textId="77777777" w:rsidTr="000155A1">
        <w:trPr>
          <w:trHeight w:val="300"/>
        </w:trPr>
        <w:tc>
          <w:tcPr>
            <w:tcW w:w="1135" w:type="dxa"/>
            <w:tcBorders>
              <w:top w:val="nil"/>
              <w:left w:val="single" w:sz="8" w:space="0" w:color="auto"/>
              <w:bottom w:val="nil"/>
              <w:right w:val="nil"/>
            </w:tcBorders>
            <w:vAlign w:val="center"/>
            <w:hideMark/>
          </w:tcPr>
          <w:p w14:paraId="6225C920" w14:textId="40B91A80"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(12)</w:t>
            </w:r>
          </w:p>
        </w:tc>
        <w:tc>
          <w:tcPr>
            <w:tcW w:w="1012" w:type="dxa"/>
            <w:tcBorders>
              <w:top w:val="nil"/>
              <w:left w:val="nil"/>
              <w:bottom w:val="nil"/>
              <w:right w:val="nil"/>
            </w:tcBorders>
            <w:shd w:val="clear" w:color="000000" w:fill="D0CECE"/>
            <w:vAlign w:val="center"/>
            <w:hideMark/>
          </w:tcPr>
          <w:p w14:paraId="5EA1B51A" w14:textId="170FC44D"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(119)</w:t>
            </w:r>
          </w:p>
        </w:tc>
        <w:tc>
          <w:tcPr>
            <w:tcW w:w="4961" w:type="dxa"/>
            <w:tcBorders>
              <w:top w:val="nil"/>
              <w:left w:val="nil"/>
              <w:bottom w:val="nil"/>
              <w:right w:val="nil"/>
            </w:tcBorders>
            <w:shd w:val="clear" w:color="000000" w:fill="D0CECE"/>
            <w:vAlign w:val="center"/>
            <w:hideMark/>
          </w:tcPr>
          <w:p w14:paraId="7CAD9689" w14:textId="77777777" w:rsidR="000155A1" w:rsidRPr="00593F10" w:rsidRDefault="000155A1" w:rsidP="000155A1">
            <w:pPr>
              <w:rPr>
                <w:rFonts w:ascii="Arial" w:hAnsi="Arial" w:cs="Arial"/>
                <w:color w:val="000000"/>
                <w:sz w:val="22"/>
                <w:szCs w:val="22"/>
              </w:rPr>
            </w:pPr>
            <w:r w:rsidRPr="00593F10">
              <w:rPr>
                <w:rFonts w:ascii="Arial" w:hAnsi="Arial" w:cs="Arial"/>
                <w:color w:val="000000"/>
                <w:sz w:val="22"/>
                <w:szCs w:val="22"/>
              </w:rPr>
              <w:t xml:space="preserve">Net interest on the defined benefit pensions liability </w:t>
            </w:r>
          </w:p>
        </w:tc>
        <w:tc>
          <w:tcPr>
            <w:tcW w:w="1060" w:type="dxa"/>
            <w:tcBorders>
              <w:top w:val="nil"/>
              <w:left w:val="nil"/>
              <w:bottom w:val="nil"/>
              <w:right w:val="nil"/>
            </w:tcBorders>
            <w:vAlign w:val="center"/>
            <w:hideMark/>
          </w:tcPr>
          <w:p w14:paraId="2A74FBC9" w14:textId="0A4D0D75" w:rsidR="000155A1" w:rsidRPr="00593F10" w:rsidRDefault="000155A1" w:rsidP="000155A1">
            <w:pPr>
              <w:jc w:val="right"/>
              <w:rPr>
                <w:rFonts w:ascii="Arial" w:hAnsi="Arial" w:cs="Arial"/>
                <w:color w:val="000000"/>
                <w:sz w:val="22"/>
                <w:szCs w:val="22"/>
              </w:rPr>
            </w:pPr>
            <w:r w:rsidRPr="00593F10">
              <w:rPr>
                <w:rFonts w:ascii="Arial" w:hAnsi="Arial" w:cs="Arial"/>
                <w:color w:val="000000"/>
                <w:sz w:val="22"/>
                <w:szCs w:val="22"/>
              </w:rPr>
              <w:t>1</w:t>
            </w:r>
            <w:r>
              <w:rPr>
                <w:rFonts w:ascii="Arial" w:hAnsi="Arial" w:cs="Arial"/>
                <w:color w:val="000000"/>
                <w:sz w:val="22"/>
                <w:szCs w:val="22"/>
              </w:rPr>
              <w:t>33</w:t>
            </w:r>
            <w:r w:rsidRPr="00593F10">
              <w:rPr>
                <w:rFonts w:ascii="Arial" w:hAnsi="Arial" w:cs="Arial"/>
                <w:color w:val="000000"/>
                <w:sz w:val="22"/>
                <w:szCs w:val="22"/>
              </w:rPr>
              <w:t>,7</w:t>
            </w:r>
            <w:r>
              <w:rPr>
                <w:rFonts w:ascii="Arial" w:hAnsi="Arial" w:cs="Arial"/>
                <w:color w:val="000000"/>
                <w:sz w:val="22"/>
                <w:szCs w:val="22"/>
              </w:rPr>
              <w:t>30</w:t>
            </w:r>
          </w:p>
        </w:tc>
        <w:tc>
          <w:tcPr>
            <w:tcW w:w="1012" w:type="dxa"/>
            <w:tcBorders>
              <w:top w:val="nil"/>
              <w:left w:val="nil"/>
              <w:bottom w:val="nil"/>
              <w:right w:val="single" w:sz="8" w:space="0" w:color="auto"/>
            </w:tcBorders>
            <w:shd w:val="clear" w:color="000000" w:fill="D0CECE"/>
            <w:vAlign w:val="center"/>
            <w:hideMark/>
          </w:tcPr>
          <w:p w14:paraId="64EC04CA" w14:textId="04E9D58A"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136,891</w:t>
            </w:r>
          </w:p>
        </w:tc>
      </w:tr>
      <w:tr w:rsidR="000155A1" w:rsidRPr="00593F10" w14:paraId="613D8033" w14:textId="77777777" w:rsidTr="000155A1">
        <w:trPr>
          <w:trHeight w:val="300"/>
        </w:trPr>
        <w:tc>
          <w:tcPr>
            <w:tcW w:w="1135" w:type="dxa"/>
            <w:tcBorders>
              <w:top w:val="nil"/>
              <w:left w:val="single" w:sz="8" w:space="0" w:color="auto"/>
              <w:bottom w:val="nil"/>
              <w:right w:val="nil"/>
            </w:tcBorders>
            <w:vAlign w:val="center"/>
            <w:hideMark/>
          </w:tcPr>
          <w:p w14:paraId="5D17AFC7" w14:textId="5C4015B1"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0</w:t>
            </w:r>
          </w:p>
        </w:tc>
        <w:tc>
          <w:tcPr>
            <w:tcW w:w="1012" w:type="dxa"/>
            <w:tcBorders>
              <w:top w:val="nil"/>
              <w:left w:val="nil"/>
              <w:bottom w:val="nil"/>
              <w:right w:val="nil"/>
            </w:tcBorders>
            <w:shd w:val="clear" w:color="000000" w:fill="D0CECE"/>
            <w:vAlign w:val="center"/>
            <w:hideMark/>
          </w:tcPr>
          <w:p w14:paraId="70BF4400" w14:textId="0870AA8C"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0</w:t>
            </w:r>
          </w:p>
        </w:tc>
        <w:tc>
          <w:tcPr>
            <w:tcW w:w="4961" w:type="dxa"/>
            <w:tcBorders>
              <w:top w:val="nil"/>
              <w:left w:val="nil"/>
              <w:bottom w:val="nil"/>
              <w:right w:val="nil"/>
            </w:tcBorders>
            <w:shd w:val="clear" w:color="000000" w:fill="D0CECE"/>
            <w:vAlign w:val="center"/>
            <w:hideMark/>
          </w:tcPr>
          <w:p w14:paraId="74A0A49D" w14:textId="77777777" w:rsidR="000155A1" w:rsidRPr="00593F10" w:rsidRDefault="000155A1" w:rsidP="000155A1">
            <w:pPr>
              <w:rPr>
                <w:rFonts w:ascii="Arial" w:hAnsi="Arial" w:cs="Arial"/>
                <w:color w:val="000000"/>
                <w:sz w:val="22"/>
                <w:szCs w:val="22"/>
              </w:rPr>
            </w:pPr>
            <w:r w:rsidRPr="00593F10">
              <w:rPr>
                <w:rFonts w:ascii="Arial" w:hAnsi="Arial" w:cs="Arial"/>
                <w:color w:val="000000"/>
                <w:sz w:val="22"/>
                <w:szCs w:val="22"/>
              </w:rPr>
              <w:t xml:space="preserve">Changes in fair value of investment properties </w:t>
            </w:r>
          </w:p>
        </w:tc>
        <w:tc>
          <w:tcPr>
            <w:tcW w:w="1060" w:type="dxa"/>
            <w:tcBorders>
              <w:top w:val="nil"/>
              <w:left w:val="nil"/>
              <w:bottom w:val="nil"/>
              <w:right w:val="nil"/>
            </w:tcBorders>
            <w:vAlign w:val="center"/>
            <w:hideMark/>
          </w:tcPr>
          <w:p w14:paraId="51D81B89" w14:textId="591089A2"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0</w:t>
            </w:r>
          </w:p>
        </w:tc>
        <w:tc>
          <w:tcPr>
            <w:tcW w:w="1012" w:type="dxa"/>
            <w:tcBorders>
              <w:top w:val="nil"/>
              <w:left w:val="nil"/>
              <w:bottom w:val="nil"/>
              <w:right w:val="single" w:sz="8" w:space="0" w:color="auto"/>
            </w:tcBorders>
            <w:shd w:val="clear" w:color="000000" w:fill="D0CECE"/>
            <w:vAlign w:val="center"/>
            <w:hideMark/>
          </w:tcPr>
          <w:p w14:paraId="6AA54463" w14:textId="5102A92F"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0</w:t>
            </w:r>
          </w:p>
        </w:tc>
      </w:tr>
      <w:tr w:rsidR="000155A1" w:rsidRPr="00593F10" w14:paraId="45AD61A5" w14:textId="77777777" w:rsidTr="000155A1">
        <w:trPr>
          <w:trHeight w:val="300"/>
        </w:trPr>
        <w:tc>
          <w:tcPr>
            <w:tcW w:w="1135" w:type="dxa"/>
            <w:tcBorders>
              <w:top w:val="nil"/>
              <w:left w:val="single" w:sz="8" w:space="0" w:color="auto"/>
              <w:bottom w:val="nil"/>
              <w:right w:val="nil"/>
            </w:tcBorders>
            <w:vAlign w:val="center"/>
            <w:hideMark/>
          </w:tcPr>
          <w:p w14:paraId="0F6C167F" w14:textId="05FD1C7F"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(3)</w:t>
            </w:r>
          </w:p>
        </w:tc>
        <w:tc>
          <w:tcPr>
            <w:tcW w:w="1012" w:type="dxa"/>
            <w:tcBorders>
              <w:top w:val="nil"/>
              <w:left w:val="nil"/>
              <w:bottom w:val="nil"/>
              <w:right w:val="nil"/>
            </w:tcBorders>
            <w:shd w:val="clear" w:color="000000" w:fill="D0CECE"/>
            <w:vAlign w:val="center"/>
            <w:hideMark/>
          </w:tcPr>
          <w:p w14:paraId="40A7C42D" w14:textId="18D6D3CA"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14</w:t>
            </w:r>
          </w:p>
        </w:tc>
        <w:tc>
          <w:tcPr>
            <w:tcW w:w="4961" w:type="dxa"/>
            <w:tcBorders>
              <w:top w:val="nil"/>
              <w:left w:val="nil"/>
              <w:bottom w:val="nil"/>
              <w:right w:val="nil"/>
            </w:tcBorders>
            <w:shd w:val="clear" w:color="000000" w:fill="D0CECE"/>
            <w:vAlign w:val="center"/>
            <w:hideMark/>
          </w:tcPr>
          <w:p w14:paraId="7F1DDB78" w14:textId="77777777" w:rsidR="000155A1" w:rsidRPr="00593F10" w:rsidRDefault="000155A1" w:rsidP="000155A1">
            <w:pPr>
              <w:rPr>
                <w:rFonts w:ascii="Arial" w:hAnsi="Arial" w:cs="Arial"/>
                <w:color w:val="000000"/>
                <w:sz w:val="22"/>
                <w:szCs w:val="22"/>
              </w:rPr>
            </w:pPr>
            <w:r w:rsidRPr="00593F10">
              <w:rPr>
                <w:rFonts w:ascii="Arial" w:hAnsi="Arial" w:cs="Arial"/>
                <w:color w:val="000000"/>
                <w:sz w:val="22"/>
                <w:szCs w:val="22"/>
              </w:rPr>
              <w:t>Impairment Allowance</w:t>
            </w:r>
          </w:p>
        </w:tc>
        <w:tc>
          <w:tcPr>
            <w:tcW w:w="1060" w:type="dxa"/>
            <w:tcBorders>
              <w:top w:val="nil"/>
              <w:left w:val="nil"/>
              <w:bottom w:val="nil"/>
              <w:right w:val="nil"/>
            </w:tcBorders>
            <w:vAlign w:val="center"/>
            <w:hideMark/>
          </w:tcPr>
          <w:p w14:paraId="377984BA" w14:textId="08698EA9"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(3)</w:t>
            </w:r>
          </w:p>
        </w:tc>
        <w:tc>
          <w:tcPr>
            <w:tcW w:w="1012" w:type="dxa"/>
            <w:tcBorders>
              <w:top w:val="nil"/>
              <w:left w:val="nil"/>
              <w:bottom w:val="nil"/>
              <w:right w:val="single" w:sz="8" w:space="0" w:color="auto"/>
            </w:tcBorders>
            <w:shd w:val="clear" w:color="000000" w:fill="D0CECE"/>
            <w:vAlign w:val="center"/>
            <w:hideMark/>
          </w:tcPr>
          <w:p w14:paraId="4BE5B068" w14:textId="0DCA0B6F" w:rsidR="000155A1" w:rsidRPr="00593F10" w:rsidRDefault="000155A1" w:rsidP="000155A1">
            <w:pPr>
              <w:jc w:val="right"/>
              <w:rPr>
                <w:rFonts w:ascii="Arial" w:hAnsi="Arial" w:cs="Arial"/>
                <w:color w:val="000000"/>
                <w:sz w:val="22"/>
                <w:szCs w:val="22"/>
              </w:rPr>
            </w:pPr>
            <w:r>
              <w:rPr>
                <w:rFonts w:ascii="Arial" w:hAnsi="Arial" w:cs="Arial"/>
                <w:color w:val="000000"/>
                <w:sz w:val="22"/>
                <w:szCs w:val="22"/>
              </w:rPr>
              <w:t>14</w:t>
            </w:r>
          </w:p>
        </w:tc>
      </w:tr>
      <w:tr w:rsidR="000155A1" w:rsidRPr="00593F10" w14:paraId="343DD2F2" w14:textId="77777777" w:rsidTr="000155A1">
        <w:trPr>
          <w:trHeight w:val="315"/>
        </w:trPr>
        <w:tc>
          <w:tcPr>
            <w:tcW w:w="1135" w:type="dxa"/>
            <w:tcBorders>
              <w:top w:val="single" w:sz="8" w:space="0" w:color="auto"/>
              <w:left w:val="single" w:sz="8" w:space="0" w:color="auto"/>
              <w:bottom w:val="single" w:sz="8" w:space="0" w:color="auto"/>
              <w:right w:val="nil"/>
            </w:tcBorders>
            <w:vAlign w:val="center"/>
            <w:hideMark/>
          </w:tcPr>
          <w:p w14:paraId="2787C4F2" w14:textId="0A126485" w:rsidR="000155A1" w:rsidRPr="00593F10" w:rsidRDefault="000155A1" w:rsidP="000155A1">
            <w:pPr>
              <w:jc w:val="right"/>
              <w:rPr>
                <w:rFonts w:ascii="Arial" w:hAnsi="Arial" w:cs="Arial"/>
                <w:b/>
                <w:bCs/>
                <w:color w:val="000000"/>
                <w:sz w:val="22"/>
                <w:szCs w:val="22"/>
              </w:rPr>
            </w:pPr>
            <w:r>
              <w:rPr>
                <w:rFonts w:ascii="Arial" w:hAnsi="Arial" w:cs="Arial"/>
                <w:b/>
                <w:bCs/>
                <w:color w:val="000000"/>
                <w:sz w:val="22"/>
                <w:szCs w:val="22"/>
              </w:rPr>
              <w:t>495</w:t>
            </w:r>
          </w:p>
        </w:tc>
        <w:tc>
          <w:tcPr>
            <w:tcW w:w="1012" w:type="dxa"/>
            <w:tcBorders>
              <w:top w:val="single" w:sz="8" w:space="0" w:color="auto"/>
              <w:left w:val="nil"/>
              <w:bottom w:val="single" w:sz="8" w:space="0" w:color="auto"/>
              <w:right w:val="nil"/>
            </w:tcBorders>
            <w:shd w:val="clear" w:color="000000" w:fill="D0CECE"/>
            <w:vAlign w:val="center"/>
            <w:hideMark/>
          </w:tcPr>
          <w:p w14:paraId="1E9B2EC4" w14:textId="640395F6" w:rsidR="000155A1" w:rsidRPr="00593F10" w:rsidRDefault="000155A1" w:rsidP="000155A1">
            <w:pPr>
              <w:jc w:val="right"/>
              <w:rPr>
                <w:rFonts w:ascii="Arial" w:hAnsi="Arial" w:cs="Arial"/>
                <w:b/>
                <w:bCs/>
                <w:color w:val="000000"/>
                <w:sz w:val="22"/>
                <w:szCs w:val="22"/>
              </w:rPr>
            </w:pPr>
            <w:r>
              <w:rPr>
                <w:rFonts w:ascii="Arial" w:hAnsi="Arial" w:cs="Arial"/>
                <w:b/>
                <w:bCs/>
                <w:color w:val="000000"/>
                <w:sz w:val="22"/>
                <w:szCs w:val="22"/>
              </w:rPr>
              <w:t>1,825</w:t>
            </w:r>
          </w:p>
        </w:tc>
        <w:tc>
          <w:tcPr>
            <w:tcW w:w="4961" w:type="dxa"/>
            <w:tcBorders>
              <w:top w:val="nil"/>
              <w:left w:val="nil"/>
              <w:bottom w:val="single" w:sz="8" w:space="0" w:color="auto"/>
              <w:right w:val="nil"/>
            </w:tcBorders>
            <w:shd w:val="clear" w:color="000000" w:fill="D0CECE"/>
            <w:vAlign w:val="center"/>
            <w:hideMark/>
          </w:tcPr>
          <w:p w14:paraId="425DC72E" w14:textId="77777777" w:rsidR="000155A1" w:rsidRPr="00593F10" w:rsidRDefault="000155A1" w:rsidP="000155A1">
            <w:pPr>
              <w:rPr>
                <w:rFonts w:ascii="Arial" w:hAnsi="Arial" w:cs="Arial"/>
                <w:b/>
                <w:bCs/>
                <w:color w:val="000000"/>
                <w:sz w:val="22"/>
                <w:szCs w:val="22"/>
              </w:rPr>
            </w:pPr>
            <w:r w:rsidRPr="00593F10">
              <w:rPr>
                <w:rFonts w:ascii="Arial" w:hAnsi="Arial" w:cs="Arial"/>
                <w:b/>
                <w:bCs/>
                <w:color w:val="000000"/>
                <w:sz w:val="22"/>
                <w:szCs w:val="22"/>
              </w:rPr>
              <w:t>Total</w:t>
            </w:r>
          </w:p>
        </w:tc>
        <w:tc>
          <w:tcPr>
            <w:tcW w:w="1060" w:type="dxa"/>
            <w:tcBorders>
              <w:top w:val="single" w:sz="8" w:space="0" w:color="auto"/>
              <w:left w:val="nil"/>
              <w:bottom w:val="single" w:sz="8" w:space="0" w:color="auto"/>
              <w:right w:val="nil"/>
            </w:tcBorders>
            <w:vAlign w:val="center"/>
            <w:hideMark/>
          </w:tcPr>
          <w:p w14:paraId="22AF0F79" w14:textId="392F7CBB" w:rsidR="000155A1" w:rsidRPr="00593F10" w:rsidRDefault="000155A1" w:rsidP="000155A1">
            <w:pPr>
              <w:jc w:val="center"/>
              <w:rPr>
                <w:rFonts w:ascii="Arial" w:hAnsi="Arial" w:cs="Arial"/>
                <w:b/>
                <w:bCs/>
                <w:color w:val="000000"/>
                <w:sz w:val="22"/>
                <w:szCs w:val="22"/>
              </w:rPr>
            </w:pPr>
            <w:r w:rsidRPr="00593F10">
              <w:rPr>
                <w:rFonts w:ascii="Arial" w:hAnsi="Arial" w:cs="Arial"/>
                <w:b/>
                <w:bCs/>
                <w:color w:val="000000"/>
                <w:sz w:val="22"/>
                <w:szCs w:val="22"/>
              </w:rPr>
              <w:t>1</w:t>
            </w:r>
            <w:r>
              <w:rPr>
                <w:rFonts w:ascii="Arial" w:hAnsi="Arial" w:cs="Arial"/>
                <w:b/>
                <w:bCs/>
                <w:color w:val="000000"/>
                <w:sz w:val="22"/>
                <w:szCs w:val="22"/>
              </w:rPr>
              <w:t>34</w:t>
            </w:r>
            <w:r w:rsidRPr="00593F10">
              <w:rPr>
                <w:rFonts w:ascii="Arial" w:hAnsi="Arial" w:cs="Arial"/>
                <w:b/>
                <w:bCs/>
                <w:color w:val="000000"/>
                <w:sz w:val="22"/>
                <w:szCs w:val="22"/>
              </w:rPr>
              <w:t>,</w:t>
            </w:r>
            <w:r>
              <w:rPr>
                <w:rFonts w:ascii="Arial" w:hAnsi="Arial" w:cs="Arial"/>
                <w:b/>
                <w:bCs/>
                <w:color w:val="000000"/>
                <w:sz w:val="22"/>
                <w:szCs w:val="22"/>
              </w:rPr>
              <w:t>237</w:t>
            </w:r>
          </w:p>
        </w:tc>
        <w:tc>
          <w:tcPr>
            <w:tcW w:w="1012" w:type="dxa"/>
            <w:tcBorders>
              <w:top w:val="single" w:sz="8" w:space="0" w:color="auto"/>
              <w:left w:val="nil"/>
              <w:bottom w:val="single" w:sz="8" w:space="0" w:color="auto"/>
              <w:right w:val="single" w:sz="8" w:space="0" w:color="auto"/>
            </w:tcBorders>
            <w:shd w:val="clear" w:color="000000" w:fill="D0CECE"/>
            <w:vAlign w:val="center"/>
            <w:hideMark/>
          </w:tcPr>
          <w:p w14:paraId="30F14DAE" w14:textId="02CE472A" w:rsidR="000155A1" w:rsidRPr="00593F10" w:rsidRDefault="000155A1" w:rsidP="000155A1">
            <w:pPr>
              <w:jc w:val="right"/>
              <w:rPr>
                <w:rFonts w:ascii="Arial" w:hAnsi="Arial" w:cs="Arial"/>
                <w:b/>
                <w:bCs/>
                <w:color w:val="000000"/>
                <w:sz w:val="22"/>
                <w:szCs w:val="22"/>
              </w:rPr>
            </w:pPr>
            <w:r>
              <w:rPr>
                <w:rFonts w:ascii="Arial" w:hAnsi="Arial" w:cs="Arial"/>
                <w:b/>
                <w:bCs/>
                <w:color w:val="000000"/>
                <w:sz w:val="22"/>
                <w:szCs w:val="22"/>
              </w:rPr>
              <w:t>138,835</w:t>
            </w:r>
          </w:p>
        </w:tc>
      </w:tr>
    </w:tbl>
    <w:p w14:paraId="4FEB9613" w14:textId="77777777" w:rsidR="003B74DA" w:rsidRDefault="003B74DA" w:rsidP="009649D3">
      <w:pPr>
        <w:tabs>
          <w:tab w:val="right" w:pos="5760"/>
        </w:tabs>
        <w:rPr>
          <w:rFonts w:ascii="Arial" w:hAnsi="Arial"/>
          <w:bCs/>
          <w:sz w:val="24"/>
        </w:rPr>
      </w:pPr>
    </w:p>
    <w:p w14:paraId="3E9F7646" w14:textId="1498D0B6" w:rsidR="006077F1" w:rsidRDefault="009649D3" w:rsidP="0066250F">
      <w:pPr>
        <w:tabs>
          <w:tab w:val="right" w:pos="5760"/>
        </w:tabs>
        <w:rPr>
          <w:rFonts w:ascii="Arial" w:hAnsi="Arial"/>
          <w:b/>
          <w:sz w:val="22"/>
          <w:szCs w:val="22"/>
        </w:rPr>
      </w:pPr>
      <w:r>
        <w:rPr>
          <w:rFonts w:ascii="Arial" w:hAnsi="Arial"/>
          <w:bCs/>
          <w:sz w:val="24"/>
        </w:rPr>
        <w:t xml:space="preserve">The interest payable and similar charges figure shown above includes an amount for loan arrangement fees. (£61k in 2024/25 and £22k in 2023/24). </w:t>
      </w:r>
      <w:r w:rsidR="00DC2030">
        <w:rPr>
          <w:rFonts w:ascii="Arial" w:hAnsi="Arial"/>
          <w:bCs/>
          <w:sz w:val="24"/>
        </w:rPr>
        <w:t>Therefore,</w:t>
      </w:r>
      <w:r>
        <w:rPr>
          <w:rFonts w:ascii="Arial" w:hAnsi="Arial"/>
          <w:bCs/>
          <w:sz w:val="24"/>
        </w:rPr>
        <w:t xml:space="preserve"> the interest expense recognised in the Financial Instruments Note 29 is £3.528m.</w:t>
      </w:r>
      <w:r w:rsidR="00B07CCC">
        <w:rPr>
          <w:rFonts w:ascii="Arial" w:hAnsi="Arial"/>
          <w:bCs/>
          <w:sz w:val="24"/>
        </w:rPr>
        <w:t xml:space="preserve">  This includes an amount in relation to leases liability of £</w:t>
      </w:r>
      <w:r w:rsidR="004E258A">
        <w:rPr>
          <w:rFonts w:ascii="Arial" w:hAnsi="Arial"/>
          <w:bCs/>
          <w:sz w:val="24"/>
        </w:rPr>
        <w:t>8</w:t>
      </w:r>
      <w:r w:rsidR="00B07CCC">
        <w:rPr>
          <w:rFonts w:ascii="Arial" w:hAnsi="Arial"/>
          <w:bCs/>
          <w:sz w:val="24"/>
        </w:rPr>
        <w:t>2k.</w:t>
      </w:r>
    </w:p>
    <w:p w14:paraId="703013F6" w14:textId="77777777" w:rsidR="00833772" w:rsidRDefault="00833772" w:rsidP="0066250F">
      <w:pPr>
        <w:tabs>
          <w:tab w:val="right" w:pos="5760"/>
        </w:tabs>
        <w:rPr>
          <w:rFonts w:ascii="Arial" w:hAnsi="Arial"/>
          <w:b/>
          <w:sz w:val="22"/>
          <w:szCs w:val="22"/>
        </w:rPr>
      </w:pPr>
    </w:p>
    <w:p w14:paraId="23892A26" w14:textId="77777777" w:rsidR="00833772" w:rsidRDefault="00833772" w:rsidP="0066250F">
      <w:pPr>
        <w:tabs>
          <w:tab w:val="right" w:pos="5760"/>
        </w:tabs>
        <w:rPr>
          <w:rFonts w:ascii="Arial" w:hAnsi="Arial"/>
          <w:b/>
          <w:sz w:val="22"/>
          <w:szCs w:val="22"/>
        </w:rPr>
      </w:pPr>
    </w:p>
    <w:p w14:paraId="7B1CD5AC" w14:textId="23CDC9FC" w:rsidR="003B74DA" w:rsidRDefault="003B74DA" w:rsidP="003B74DA">
      <w:pPr>
        <w:numPr>
          <w:ilvl w:val="0"/>
          <w:numId w:val="1"/>
        </w:numPr>
        <w:tabs>
          <w:tab w:val="clear" w:pos="720"/>
          <w:tab w:val="num" w:pos="426"/>
          <w:tab w:val="right" w:pos="5760"/>
        </w:tabs>
        <w:ind w:left="426"/>
        <w:rPr>
          <w:rFonts w:ascii="Arial" w:hAnsi="Arial"/>
          <w:b/>
          <w:sz w:val="22"/>
          <w:szCs w:val="22"/>
        </w:rPr>
      </w:pPr>
      <w:r>
        <w:rPr>
          <w:rFonts w:ascii="Arial" w:hAnsi="Arial"/>
          <w:b/>
          <w:sz w:val="22"/>
          <w:szCs w:val="22"/>
        </w:rPr>
        <w:lastRenderedPageBreak/>
        <w:t>Taxation and non-specific grant i</w:t>
      </w:r>
      <w:r w:rsidRPr="001B2327">
        <w:rPr>
          <w:rFonts w:ascii="Arial" w:hAnsi="Arial"/>
          <w:b/>
          <w:sz w:val="22"/>
          <w:szCs w:val="22"/>
        </w:rPr>
        <w:t>ncome</w:t>
      </w:r>
    </w:p>
    <w:p w14:paraId="1C3E3494" w14:textId="77777777" w:rsidR="003B74DA" w:rsidRDefault="003B74DA" w:rsidP="003B74DA">
      <w:pPr>
        <w:tabs>
          <w:tab w:val="right" w:pos="5760"/>
        </w:tabs>
        <w:rPr>
          <w:rFonts w:ascii="Arial" w:hAnsi="Arial"/>
          <w:b/>
          <w:sz w:val="22"/>
          <w:szCs w:val="22"/>
        </w:rPr>
      </w:pPr>
    </w:p>
    <w:p w14:paraId="1973C671" w14:textId="77777777" w:rsidR="003B74DA" w:rsidRPr="006550D9" w:rsidRDefault="003B74DA" w:rsidP="003B74DA">
      <w:pPr>
        <w:spacing w:after="240"/>
        <w:ind w:left="426"/>
        <w:rPr>
          <w:rFonts w:ascii="Arial" w:hAnsi="Arial" w:cs="Arial"/>
          <w:sz w:val="22"/>
          <w:szCs w:val="22"/>
          <w:u w:val="single"/>
        </w:rPr>
      </w:pPr>
      <w:r w:rsidRPr="006550D9">
        <w:rPr>
          <w:rFonts w:ascii="Arial" w:hAnsi="Arial" w:cs="Arial"/>
          <w:sz w:val="22"/>
          <w:szCs w:val="22"/>
          <w:u w:val="single"/>
        </w:rPr>
        <w:t>Collection Fund Accounting Policy</w:t>
      </w:r>
    </w:p>
    <w:p w14:paraId="0990AB21" w14:textId="77777777" w:rsidR="003B74DA" w:rsidRPr="006550D9" w:rsidRDefault="003B74DA" w:rsidP="003B74DA">
      <w:pPr>
        <w:spacing w:after="240"/>
        <w:ind w:left="426"/>
        <w:jc w:val="both"/>
        <w:rPr>
          <w:rFonts w:ascii="Arial" w:hAnsi="Arial" w:cs="Arial"/>
          <w:sz w:val="22"/>
          <w:szCs w:val="22"/>
        </w:rPr>
      </w:pPr>
      <w:r w:rsidRPr="006550D9">
        <w:rPr>
          <w:rFonts w:ascii="Arial" w:hAnsi="Arial" w:cs="Arial"/>
          <w:sz w:val="22"/>
          <w:szCs w:val="22"/>
        </w:rPr>
        <w:t>To reflect that billing authorities act as agents for major preceptors in collecting their share of council tax, council tax transactions and balances will be allocated between billing authorities and major preceptors. Thus, the risks and rewards that the amount of council tax collected could vary from that predicted will be shared proportionately by the billing authorities and major preceptors. The difference between the income included in the CIES and the amount required by regulation to be credited to the General Fund shall be taken to the collection fund adjustment account and included as a reconciling item in the movement in reserves statement. A debtor/creditor position between billing authorities and major preceptors is required to be recognised for the cash collected by the billing council from council tax debtors that belongs proportionately to the billing authorities and the major preceptors. This is because the net cash paid to each major preceptor in the year will not be its share of cash collected from council taxpayers. The effect of any bad debts written off or movement in the impairment provision are also shared proportionately.</w:t>
      </w:r>
    </w:p>
    <w:p w14:paraId="64064C8F" w14:textId="11CE6C4F" w:rsidR="003B74DA" w:rsidRDefault="003B74DA" w:rsidP="00E466A2">
      <w:pPr>
        <w:spacing w:after="240"/>
        <w:ind w:left="426"/>
        <w:jc w:val="both"/>
        <w:rPr>
          <w:rFonts w:ascii="Arial" w:hAnsi="Arial" w:cs="Arial"/>
          <w:sz w:val="22"/>
          <w:szCs w:val="22"/>
        </w:rPr>
      </w:pPr>
      <w:r w:rsidRPr="006550D9">
        <w:rPr>
          <w:rFonts w:ascii="Arial" w:hAnsi="Arial" w:cs="Arial"/>
          <w:sz w:val="22"/>
          <w:szCs w:val="22"/>
        </w:rPr>
        <w:t>Taxation and non-specific grant income included in the CIES is as follows</w:t>
      </w:r>
      <w:r w:rsidR="00E466A2">
        <w:rPr>
          <w:rFonts w:ascii="Arial" w:hAnsi="Arial" w:cs="Arial"/>
          <w:sz w:val="22"/>
          <w:szCs w:val="22"/>
        </w:rPr>
        <w:t>:</w:t>
      </w:r>
    </w:p>
    <w:tbl>
      <w:tblPr>
        <w:tblW w:w="7744" w:type="dxa"/>
        <w:tblInd w:w="602" w:type="dxa"/>
        <w:tblLook w:val="04A0" w:firstRow="1" w:lastRow="0" w:firstColumn="1" w:lastColumn="0" w:noHBand="0" w:noVBand="1"/>
      </w:tblPr>
      <w:tblGrid>
        <w:gridCol w:w="5428"/>
        <w:gridCol w:w="1158"/>
        <w:gridCol w:w="1158"/>
      </w:tblGrid>
      <w:tr w:rsidR="001D16CF" w:rsidRPr="00593F10" w14:paraId="0C390BDF" w14:textId="77777777">
        <w:trPr>
          <w:trHeight w:val="300"/>
        </w:trPr>
        <w:tc>
          <w:tcPr>
            <w:tcW w:w="5428" w:type="dxa"/>
            <w:tcBorders>
              <w:top w:val="single" w:sz="8" w:space="0" w:color="auto"/>
              <w:left w:val="single" w:sz="8" w:space="0" w:color="auto"/>
              <w:bottom w:val="nil"/>
              <w:right w:val="nil"/>
            </w:tcBorders>
            <w:shd w:val="clear" w:color="000000" w:fill="D9D9D9"/>
            <w:noWrap/>
            <w:vAlign w:val="bottom"/>
            <w:hideMark/>
          </w:tcPr>
          <w:p w14:paraId="48736B07" w14:textId="0B770CF1" w:rsidR="001D16CF" w:rsidRPr="00593F10" w:rsidRDefault="001D16CF" w:rsidP="001D16CF">
            <w:pPr>
              <w:rPr>
                <w:color w:val="000000"/>
              </w:rPr>
            </w:pPr>
            <w:r>
              <w:rPr>
                <w:color w:val="000000"/>
              </w:rPr>
              <w:t> </w:t>
            </w:r>
          </w:p>
        </w:tc>
        <w:tc>
          <w:tcPr>
            <w:tcW w:w="1158" w:type="dxa"/>
            <w:tcBorders>
              <w:top w:val="single" w:sz="8" w:space="0" w:color="auto"/>
              <w:left w:val="nil"/>
              <w:bottom w:val="nil"/>
              <w:right w:val="nil"/>
            </w:tcBorders>
            <w:vAlign w:val="center"/>
            <w:hideMark/>
          </w:tcPr>
          <w:p w14:paraId="0EDDC769" w14:textId="1582BBEE" w:rsidR="001D16CF" w:rsidRPr="00593F10" w:rsidRDefault="001D16CF" w:rsidP="001D16CF">
            <w:pPr>
              <w:jc w:val="right"/>
              <w:rPr>
                <w:rFonts w:ascii="Arial" w:hAnsi="Arial" w:cs="Arial"/>
                <w:b/>
                <w:bCs/>
                <w:color w:val="000000"/>
                <w:sz w:val="22"/>
                <w:szCs w:val="22"/>
              </w:rPr>
            </w:pPr>
            <w:r>
              <w:rPr>
                <w:rFonts w:ascii="Arial" w:hAnsi="Arial" w:cs="Arial"/>
                <w:b/>
                <w:bCs/>
                <w:color w:val="000000"/>
                <w:sz w:val="22"/>
                <w:szCs w:val="22"/>
              </w:rPr>
              <w:t>2023/24</w:t>
            </w:r>
          </w:p>
        </w:tc>
        <w:tc>
          <w:tcPr>
            <w:tcW w:w="1158" w:type="dxa"/>
            <w:tcBorders>
              <w:top w:val="single" w:sz="8" w:space="0" w:color="auto"/>
              <w:left w:val="nil"/>
              <w:bottom w:val="nil"/>
              <w:right w:val="single" w:sz="8" w:space="0" w:color="auto"/>
            </w:tcBorders>
            <w:shd w:val="clear" w:color="000000" w:fill="CCCCCC"/>
            <w:noWrap/>
            <w:vAlign w:val="center"/>
            <w:hideMark/>
          </w:tcPr>
          <w:p w14:paraId="6D37AEC7" w14:textId="18218F65" w:rsidR="001D16CF" w:rsidRPr="00593F10" w:rsidRDefault="001D16CF" w:rsidP="001D16CF">
            <w:pPr>
              <w:jc w:val="right"/>
              <w:rPr>
                <w:rFonts w:ascii="Arial" w:hAnsi="Arial" w:cs="Arial"/>
                <w:b/>
                <w:bCs/>
                <w:color w:val="000000"/>
                <w:sz w:val="22"/>
                <w:szCs w:val="22"/>
              </w:rPr>
            </w:pPr>
            <w:r>
              <w:rPr>
                <w:rFonts w:ascii="Arial" w:hAnsi="Arial" w:cs="Arial"/>
                <w:b/>
                <w:bCs/>
                <w:color w:val="000000"/>
                <w:sz w:val="22"/>
                <w:szCs w:val="22"/>
              </w:rPr>
              <w:t>2024/25</w:t>
            </w:r>
          </w:p>
        </w:tc>
      </w:tr>
      <w:tr w:rsidR="001D16CF" w:rsidRPr="00593F10" w14:paraId="6EF532FC" w14:textId="77777777">
        <w:trPr>
          <w:trHeight w:val="300"/>
        </w:trPr>
        <w:tc>
          <w:tcPr>
            <w:tcW w:w="5428" w:type="dxa"/>
            <w:tcBorders>
              <w:top w:val="nil"/>
              <w:left w:val="single" w:sz="8" w:space="0" w:color="auto"/>
              <w:bottom w:val="nil"/>
              <w:right w:val="nil"/>
            </w:tcBorders>
            <w:shd w:val="clear" w:color="000000" w:fill="D9D9D9"/>
            <w:noWrap/>
            <w:vAlign w:val="bottom"/>
            <w:hideMark/>
          </w:tcPr>
          <w:p w14:paraId="03891BFE" w14:textId="00C63DF3" w:rsidR="001D16CF" w:rsidRPr="00593F10" w:rsidRDefault="001D16CF" w:rsidP="001D16CF">
            <w:pPr>
              <w:rPr>
                <w:color w:val="000000"/>
              </w:rPr>
            </w:pPr>
            <w:r>
              <w:rPr>
                <w:color w:val="000000"/>
              </w:rPr>
              <w:t> </w:t>
            </w:r>
          </w:p>
        </w:tc>
        <w:tc>
          <w:tcPr>
            <w:tcW w:w="1158" w:type="dxa"/>
            <w:tcBorders>
              <w:top w:val="nil"/>
              <w:left w:val="nil"/>
              <w:bottom w:val="nil"/>
              <w:right w:val="nil"/>
            </w:tcBorders>
            <w:vAlign w:val="center"/>
            <w:hideMark/>
          </w:tcPr>
          <w:p w14:paraId="3E0398AB" w14:textId="4242D1AA" w:rsidR="001D16CF" w:rsidRPr="00593F10" w:rsidRDefault="001D16CF" w:rsidP="001D16CF">
            <w:pPr>
              <w:jc w:val="right"/>
              <w:rPr>
                <w:rFonts w:ascii="Arial" w:hAnsi="Arial" w:cs="Arial"/>
                <w:b/>
                <w:bCs/>
                <w:color w:val="000000"/>
                <w:sz w:val="22"/>
                <w:szCs w:val="22"/>
              </w:rPr>
            </w:pPr>
            <w:r>
              <w:rPr>
                <w:rFonts w:ascii="Arial" w:hAnsi="Arial" w:cs="Arial"/>
                <w:b/>
                <w:bCs/>
                <w:color w:val="000000"/>
                <w:sz w:val="22"/>
                <w:szCs w:val="22"/>
              </w:rPr>
              <w:t>£000</w:t>
            </w:r>
          </w:p>
        </w:tc>
        <w:tc>
          <w:tcPr>
            <w:tcW w:w="1158" w:type="dxa"/>
            <w:tcBorders>
              <w:top w:val="nil"/>
              <w:left w:val="nil"/>
              <w:bottom w:val="nil"/>
              <w:right w:val="single" w:sz="8" w:space="0" w:color="auto"/>
            </w:tcBorders>
            <w:shd w:val="clear" w:color="000000" w:fill="CCCCCC"/>
            <w:noWrap/>
            <w:vAlign w:val="center"/>
            <w:hideMark/>
          </w:tcPr>
          <w:p w14:paraId="2B04B735" w14:textId="6FC67A8A" w:rsidR="001D16CF" w:rsidRPr="00593F10" w:rsidRDefault="001D16CF" w:rsidP="001D16CF">
            <w:pPr>
              <w:jc w:val="right"/>
              <w:rPr>
                <w:rFonts w:ascii="Arial" w:hAnsi="Arial" w:cs="Arial"/>
                <w:b/>
                <w:bCs/>
                <w:color w:val="000000"/>
                <w:sz w:val="22"/>
                <w:szCs w:val="22"/>
              </w:rPr>
            </w:pPr>
            <w:r>
              <w:rPr>
                <w:rFonts w:ascii="Arial" w:hAnsi="Arial" w:cs="Arial"/>
                <w:b/>
                <w:bCs/>
                <w:color w:val="000000"/>
                <w:sz w:val="22"/>
                <w:szCs w:val="22"/>
              </w:rPr>
              <w:t>£000</w:t>
            </w:r>
          </w:p>
        </w:tc>
      </w:tr>
      <w:tr w:rsidR="00EA1B39" w:rsidRPr="00593F10" w14:paraId="48D6133D" w14:textId="77777777">
        <w:trPr>
          <w:trHeight w:val="300"/>
        </w:trPr>
        <w:tc>
          <w:tcPr>
            <w:tcW w:w="5428" w:type="dxa"/>
            <w:tcBorders>
              <w:top w:val="nil"/>
              <w:left w:val="single" w:sz="8" w:space="0" w:color="auto"/>
              <w:bottom w:val="nil"/>
              <w:right w:val="nil"/>
            </w:tcBorders>
            <w:shd w:val="clear" w:color="000000" w:fill="D9D9D9"/>
            <w:noWrap/>
            <w:vAlign w:val="center"/>
            <w:hideMark/>
          </w:tcPr>
          <w:p w14:paraId="4FB1D95E" w14:textId="6981C5FB" w:rsidR="00EA1B39" w:rsidRPr="00593F10" w:rsidRDefault="00EA1B39" w:rsidP="00EA1B39">
            <w:pPr>
              <w:rPr>
                <w:rFonts w:ascii="Arial" w:hAnsi="Arial" w:cs="Arial"/>
                <w:color w:val="000000"/>
                <w:sz w:val="22"/>
                <w:szCs w:val="22"/>
              </w:rPr>
            </w:pPr>
            <w:proofErr w:type="gramStart"/>
            <w:r>
              <w:rPr>
                <w:rFonts w:ascii="Arial" w:hAnsi="Arial" w:cs="Arial"/>
                <w:color w:val="000000"/>
                <w:sz w:val="22"/>
                <w:szCs w:val="22"/>
              </w:rPr>
              <w:t>Non ring-fenced</w:t>
            </w:r>
            <w:proofErr w:type="gramEnd"/>
            <w:r>
              <w:rPr>
                <w:rFonts w:ascii="Arial" w:hAnsi="Arial" w:cs="Arial"/>
                <w:color w:val="000000"/>
                <w:sz w:val="22"/>
                <w:szCs w:val="22"/>
              </w:rPr>
              <w:t xml:space="preserve"> government grants</w:t>
            </w:r>
          </w:p>
        </w:tc>
        <w:tc>
          <w:tcPr>
            <w:tcW w:w="1158" w:type="dxa"/>
            <w:tcBorders>
              <w:top w:val="nil"/>
              <w:left w:val="nil"/>
              <w:bottom w:val="nil"/>
              <w:right w:val="nil"/>
            </w:tcBorders>
            <w:noWrap/>
            <w:vAlign w:val="center"/>
            <w:hideMark/>
          </w:tcPr>
          <w:p w14:paraId="74ECD3AC" w14:textId="1E94AF7C" w:rsidR="00EA1B39" w:rsidRPr="00593F10" w:rsidRDefault="00EA1B39" w:rsidP="00EA1B39">
            <w:pPr>
              <w:jc w:val="right"/>
              <w:rPr>
                <w:rFonts w:ascii="Arial" w:hAnsi="Arial" w:cs="Arial"/>
                <w:color w:val="000000"/>
                <w:sz w:val="22"/>
                <w:szCs w:val="22"/>
              </w:rPr>
            </w:pPr>
            <w:r>
              <w:rPr>
                <w:rFonts w:ascii="Arial" w:hAnsi="Arial" w:cs="Arial"/>
                <w:color w:val="000000"/>
                <w:sz w:val="22"/>
                <w:szCs w:val="22"/>
              </w:rPr>
              <w:t>(239,927)</w:t>
            </w:r>
          </w:p>
        </w:tc>
        <w:tc>
          <w:tcPr>
            <w:tcW w:w="1158" w:type="dxa"/>
            <w:tcBorders>
              <w:top w:val="nil"/>
              <w:left w:val="nil"/>
              <w:bottom w:val="nil"/>
              <w:right w:val="single" w:sz="8" w:space="0" w:color="auto"/>
            </w:tcBorders>
            <w:shd w:val="clear" w:color="000000" w:fill="D9D9D9"/>
            <w:vAlign w:val="center"/>
            <w:hideMark/>
          </w:tcPr>
          <w:p w14:paraId="3C81563C" w14:textId="77CA3F8D" w:rsidR="00EA1B39" w:rsidRPr="00593F10" w:rsidRDefault="00EA1B39" w:rsidP="00EA1B39">
            <w:pPr>
              <w:jc w:val="right"/>
              <w:rPr>
                <w:rFonts w:ascii="Arial" w:hAnsi="Arial" w:cs="Arial"/>
                <w:color w:val="000000"/>
                <w:sz w:val="22"/>
                <w:szCs w:val="22"/>
              </w:rPr>
            </w:pPr>
            <w:r>
              <w:rPr>
                <w:rFonts w:ascii="Arial" w:hAnsi="Arial" w:cs="Arial"/>
                <w:color w:val="000000"/>
                <w:sz w:val="22"/>
                <w:szCs w:val="22"/>
              </w:rPr>
              <w:t>(248,779)</w:t>
            </w:r>
          </w:p>
        </w:tc>
      </w:tr>
      <w:tr w:rsidR="00EA1B39" w:rsidRPr="00593F10" w14:paraId="3395A1F7" w14:textId="77777777">
        <w:trPr>
          <w:trHeight w:val="300"/>
        </w:trPr>
        <w:tc>
          <w:tcPr>
            <w:tcW w:w="5428" w:type="dxa"/>
            <w:tcBorders>
              <w:top w:val="nil"/>
              <w:left w:val="single" w:sz="8" w:space="0" w:color="auto"/>
              <w:bottom w:val="nil"/>
              <w:right w:val="nil"/>
            </w:tcBorders>
            <w:shd w:val="clear" w:color="000000" w:fill="D9D9D9"/>
            <w:noWrap/>
            <w:vAlign w:val="center"/>
            <w:hideMark/>
          </w:tcPr>
          <w:p w14:paraId="57ACE406" w14:textId="62B289A4" w:rsidR="00EA1B39" w:rsidRPr="00593F10" w:rsidRDefault="00EA1B39" w:rsidP="00EA1B39">
            <w:pPr>
              <w:rPr>
                <w:rFonts w:ascii="Arial" w:hAnsi="Arial" w:cs="Arial"/>
                <w:color w:val="000000"/>
                <w:sz w:val="22"/>
                <w:szCs w:val="22"/>
              </w:rPr>
            </w:pPr>
            <w:r>
              <w:rPr>
                <w:rFonts w:ascii="Arial" w:hAnsi="Arial" w:cs="Arial"/>
                <w:color w:val="000000"/>
                <w:sz w:val="22"/>
                <w:szCs w:val="22"/>
              </w:rPr>
              <w:t>Capital grants and contributions</w:t>
            </w:r>
          </w:p>
        </w:tc>
        <w:tc>
          <w:tcPr>
            <w:tcW w:w="1158" w:type="dxa"/>
            <w:tcBorders>
              <w:top w:val="nil"/>
              <w:left w:val="nil"/>
              <w:bottom w:val="nil"/>
              <w:right w:val="nil"/>
            </w:tcBorders>
            <w:noWrap/>
            <w:vAlign w:val="center"/>
            <w:hideMark/>
          </w:tcPr>
          <w:p w14:paraId="1EB4A45B" w14:textId="0DD0BB08" w:rsidR="00EA1B39" w:rsidRPr="00593F10" w:rsidRDefault="00EA1B39" w:rsidP="00EA1B39">
            <w:pPr>
              <w:jc w:val="right"/>
              <w:rPr>
                <w:rFonts w:ascii="Arial" w:hAnsi="Arial" w:cs="Arial"/>
                <w:color w:val="000000"/>
                <w:sz w:val="22"/>
                <w:szCs w:val="22"/>
              </w:rPr>
            </w:pPr>
            <w:r>
              <w:rPr>
                <w:rFonts w:ascii="Arial" w:hAnsi="Arial" w:cs="Arial"/>
                <w:color w:val="000000"/>
                <w:sz w:val="22"/>
                <w:szCs w:val="22"/>
              </w:rPr>
              <w:t>(205)</w:t>
            </w:r>
          </w:p>
        </w:tc>
        <w:tc>
          <w:tcPr>
            <w:tcW w:w="1158" w:type="dxa"/>
            <w:tcBorders>
              <w:top w:val="nil"/>
              <w:left w:val="nil"/>
              <w:bottom w:val="nil"/>
              <w:right w:val="single" w:sz="8" w:space="0" w:color="auto"/>
            </w:tcBorders>
            <w:shd w:val="clear" w:color="000000" w:fill="D9D9D9"/>
            <w:vAlign w:val="center"/>
            <w:hideMark/>
          </w:tcPr>
          <w:p w14:paraId="1311F94C" w14:textId="7A2940A5" w:rsidR="00EA1B39" w:rsidRPr="00593F10" w:rsidRDefault="00EA1B39" w:rsidP="00EA1B39">
            <w:pPr>
              <w:jc w:val="right"/>
              <w:rPr>
                <w:rFonts w:ascii="Arial" w:hAnsi="Arial" w:cs="Arial"/>
                <w:color w:val="000000"/>
                <w:sz w:val="22"/>
                <w:szCs w:val="22"/>
              </w:rPr>
            </w:pPr>
            <w:r>
              <w:rPr>
                <w:rFonts w:ascii="Arial" w:hAnsi="Arial" w:cs="Arial"/>
                <w:color w:val="000000"/>
                <w:sz w:val="22"/>
                <w:szCs w:val="22"/>
              </w:rPr>
              <w:t>(203)</w:t>
            </w:r>
          </w:p>
        </w:tc>
      </w:tr>
      <w:tr w:rsidR="00EA1B39" w:rsidRPr="00593F10" w14:paraId="15FE2E69" w14:textId="77777777">
        <w:trPr>
          <w:trHeight w:val="300"/>
        </w:trPr>
        <w:tc>
          <w:tcPr>
            <w:tcW w:w="5428" w:type="dxa"/>
            <w:tcBorders>
              <w:top w:val="nil"/>
              <w:left w:val="single" w:sz="8" w:space="0" w:color="auto"/>
              <w:bottom w:val="nil"/>
              <w:right w:val="nil"/>
            </w:tcBorders>
            <w:shd w:val="clear" w:color="000000" w:fill="D9D9D9"/>
            <w:noWrap/>
            <w:vAlign w:val="center"/>
            <w:hideMark/>
          </w:tcPr>
          <w:p w14:paraId="0E7353E7" w14:textId="305C6B4F" w:rsidR="00EA1B39" w:rsidRPr="00593F10" w:rsidRDefault="00EA1B39" w:rsidP="00EA1B39">
            <w:pPr>
              <w:rPr>
                <w:rFonts w:ascii="Arial" w:hAnsi="Arial" w:cs="Arial"/>
                <w:color w:val="000000"/>
                <w:sz w:val="22"/>
                <w:szCs w:val="22"/>
              </w:rPr>
            </w:pPr>
            <w:r>
              <w:rPr>
                <w:rFonts w:ascii="Arial" w:hAnsi="Arial" w:cs="Arial"/>
                <w:color w:val="000000"/>
                <w:sz w:val="22"/>
                <w:szCs w:val="22"/>
              </w:rPr>
              <w:t>Funding for Additional Employer Pension Contributions</w:t>
            </w:r>
          </w:p>
        </w:tc>
        <w:tc>
          <w:tcPr>
            <w:tcW w:w="1158" w:type="dxa"/>
            <w:tcBorders>
              <w:top w:val="nil"/>
              <w:left w:val="nil"/>
              <w:bottom w:val="nil"/>
              <w:right w:val="nil"/>
            </w:tcBorders>
            <w:noWrap/>
            <w:vAlign w:val="center"/>
            <w:hideMark/>
          </w:tcPr>
          <w:p w14:paraId="79669038" w14:textId="257AD64C" w:rsidR="00EA1B39" w:rsidRPr="00593F10" w:rsidRDefault="00EA1B39" w:rsidP="00EA1B39">
            <w:pPr>
              <w:jc w:val="right"/>
              <w:rPr>
                <w:rFonts w:ascii="Arial" w:hAnsi="Arial" w:cs="Arial"/>
                <w:color w:val="000000"/>
                <w:sz w:val="22"/>
                <w:szCs w:val="22"/>
              </w:rPr>
            </w:pPr>
            <w:r>
              <w:rPr>
                <w:rFonts w:ascii="Arial" w:hAnsi="Arial" w:cs="Arial"/>
                <w:color w:val="000000"/>
                <w:sz w:val="22"/>
                <w:szCs w:val="22"/>
              </w:rPr>
              <w:t>(3,104)</w:t>
            </w:r>
          </w:p>
        </w:tc>
        <w:tc>
          <w:tcPr>
            <w:tcW w:w="1158" w:type="dxa"/>
            <w:tcBorders>
              <w:top w:val="nil"/>
              <w:left w:val="nil"/>
              <w:bottom w:val="nil"/>
              <w:right w:val="single" w:sz="8" w:space="0" w:color="auto"/>
            </w:tcBorders>
            <w:shd w:val="clear" w:color="000000" w:fill="D9D9D9"/>
            <w:vAlign w:val="center"/>
            <w:hideMark/>
          </w:tcPr>
          <w:p w14:paraId="6EB7A33C" w14:textId="52C663D2" w:rsidR="00EA1B39" w:rsidRPr="00593F10" w:rsidRDefault="00EA1B39" w:rsidP="00EA1B39">
            <w:pPr>
              <w:jc w:val="right"/>
              <w:rPr>
                <w:rFonts w:ascii="Arial" w:hAnsi="Arial" w:cs="Arial"/>
                <w:color w:val="000000"/>
                <w:sz w:val="22"/>
                <w:szCs w:val="22"/>
              </w:rPr>
            </w:pPr>
            <w:r>
              <w:rPr>
                <w:rFonts w:ascii="Arial" w:hAnsi="Arial" w:cs="Arial"/>
                <w:color w:val="000000"/>
                <w:sz w:val="22"/>
                <w:szCs w:val="22"/>
              </w:rPr>
              <w:t>(10,542)</w:t>
            </w:r>
          </w:p>
        </w:tc>
      </w:tr>
      <w:tr w:rsidR="00EA1B39" w:rsidRPr="00593F10" w14:paraId="3832DB6E" w14:textId="77777777">
        <w:trPr>
          <w:trHeight w:val="300"/>
        </w:trPr>
        <w:tc>
          <w:tcPr>
            <w:tcW w:w="5428" w:type="dxa"/>
            <w:tcBorders>
              <w:top w:val="nil"/>
              <w:left w:val="single" w:sz="8" w:space="0" w:color="auto"/>
              <w:bottom w:val="nil"/>
              <w:right w:val="nil"/>
            </w:tcBorders>
            <w:shd w:val="clear" w:color="000000" w:fill="D9D9D9"/>
            <w:noWrap/>
            <w:vAlign w:val="center"/>
            <w:hideMark/>
          </w:tcPr>
          <w:p w14:paraId="53471E20" w14:textId="60D90128" w:rsidR="00EA1B39" w:rsidRPr="00593F10" w:rsidRDefault="00EA1B39" w:rsidP="00EA1B39">
            <w:pPr>
              <w:rPr>
                <w:rFonts w:ascii="Arial" w:hAnsi="Arial" w:cs="Arial"/>
                <w:color w:val="000000"/>
                <w:sz w:val="22"/>
                <w:szCs w:val="22"/>
              </w:rPr>
            </w:pPr>
            <w:r>
              <w:rPr>
                <w:rFonts w:ascii="Arial" w:hAnsi="Arial" w:cs="Arial"/>
                <w:color w:val="000000"/>
                <w:sz w:val="22"/>
                <w:szCs w:val="22"/>
              </w:rPr>
              <w:t>Home Office Pension Grant</w:t>
            </w:r>
          </w:p>
        </w:tc>
        <w:tc>
          <w:tcPr>
            <w:tcW w:w="1158" w:type="dxa"/>
            <w:tcBorders>
              <w:top w:val="nil"/>
              <w:left w:val="nil"/>
              <w:bottom w:val="nil"/>
              <w:right w:val="nil"/>
            </w:tcBorders>
            <w:noWrap/>
            <w:vAlign w:val="center"/>
            <w:hideMark/>
          </w:tcPr>
          <w:p w14:paraId="6A5BA35D" w14:textId="407D9D01" w:rsidR="00EA1B39" w:rsidRPr="00593F10" w:rsidRDefault="00EA1B39" w:rsidP="00EA1B39">
            <w:pPr>
              <w:jc w:val="right"/>
              <w:rPr>
                <w:rFonts w:ascii="Arial" w:hAnsi="Arial" w:cs="Arial"/>
                <w:color w:val="000000"/>
                <w:sz w:val="22"/>
                <w:szCs w:val="22"/>
              </w:rPr>
            </w:pPr>
            <w:r>
              <w:rPr>
                <w:rFonts w:ascii="Arial" w:hAnsi="Arial" w:cs="Arial"/>
                <w:color w:val="000000"/>
                <w:sz w:val="22"/>
                <w:szCs w:val="22"/>
              </w:rPr>
              <w:t>(55,991)</w:t>
            </w:r>
          </w:p>
        </w:tc>
        <w:tc>
          <w:tcPr>
            <w:tcW w:w="1158" w:type="dxa"/>
            <w:tcBorders>
              <w:top w:val="nil"/>
              <w:left w:val="nil"/>
              <w:bottom w:val="nil"/>
              <w:right w:val="single" w:sz="8" w:space="0" w:color="auto"/>
            </w:tcBorders>
            <w:shd w:val="clear" w:color="000000" w:fill="D9D9D9"/>
            <w:vAlign w:val="center"/>
            <w:hideMark/>
          </w:tcPr>
          <w:p w14:paraId="58971CA5" w14:textId="611D1AC4" w:rsidR="00EA1B39" w:rsidRPr="00593F10" w:rsidRDefault="00EA1B39" w:rsidP="00EA1B39">
            <w:pPr>
              <w:jc w:val="right"/>
              <w:rPr>
                <w:rFonts w:ascii="Arial" w:hAnsi="Arial" w:cs="Arial"/>
                <w:color w:val="000000"/>
                <w:sz w:val="22"/>
                <w:szCs w:val="22"/>
              </w:rPr>
            </w:pPr>
            <w:r>
              <w:rPr>
                <w:rFonts w:ascii="Arial" w:hAnsi="Arial" w:cs="Arial"/>
                <w:color w:val="000000"/>
                <w:sz w:val="22"/>
                <w:szCs w:val="22"/>
              </w:rPr>
              <w:t>(54,803)</w:t>
            </w:r>
          </w:p>
        </w:tc>
      </w:tr>
      <w:tr w:rsidR="00EA1B39" w:rsidRPr="00593F10" w14:paraId="17C2C824" w14:textId="77777777">
        <w:trPr>
          <w:trHeight w:val="315"/>
        </w:trPr>
        <w:tc>
          <w:tcPr>
            <w:tcW w:w="5428" w:type="dxa"/>
            <w:tcBorders>
              <w:top w:val="nil"/>
              <w:left w:val="single" w:sz="8" w:space="0" w:color="auto"/>
              <w:bottom w:val="nil"/>
              <w:right w:val="nil"/>
            </w:tcBorders>
            <w:shd w:val="clear" w:color="000000" w:fill="D9D9D9"/>
            <w:noWrap/>
            <w:vAlign w:val="center"/>
            <w:hideMark/>
          </w:tcPr>
          <w:p w14:paraId="1218DD9C" w14:textId="7A20C5C2" w:rsidR="00EA1B39" w:rsidRPr="00E160F5" w:rsidRDefault="00EA1B39" w:rsidP="00EA1B39">
            <w:pPr>
              <w:rPr>
                <w:rFonts w:ascii="Arial" w:hAnsi="Arial" w:cs="Arial"/>
                <w:b/>
                <w:bCs/>
                <w:color w:val="000000"/>
                <w:sz w:val="22"/>
                <w:szCs w:val="22"/>
              </w:rPr>
            </w:pPr>
            <w:r w:rsidRPr="00E160F5">
              <w:rPr>
                <w:rFonts w:ascii="Arial" w:hAnsi="Arial" w:cs="Arial"/>
                <w:b/>
                <w:bCs/>
                <w:color w:val="000000"/>
                <w:sz w:val="22"/>
                <w:szCs w:val="22"/>
              </w:rPr>
              <w:t xml:space="preserve">Government Grants </w:t>
            </w:r>
            <w:r w:rsidR="00E160F5" w:rsidRPr="00E160F5">
              <w:rPr>
                <w:rFonts w:ascii="Arial" w:hAnsi="Arial" w:cs="Arial"/>
                <w:b/>
                <w:bCs/>
                <w:color w:val="000000"/>
                <w:sz w:val="22"/>
                <w:szCs w:val="22"/>
              </w:rPr>
              <w:t xml:space="preserve">Sub Total </w:t>
            </w:r>
            <w:r w:rsidRPr="00E160F5">
              <w:rPr>
                <w:rFonts w:ascii="Arial" w:hAnsi="Arial" w:cs="Arial"/>
                <w:b/>
                <w:bCs/>
                <w:color w:val="000000"/>
                <w:sz w:val="22"/>
                <w:szCs w:val="22"/>
              </w:rPr>
              <w:t>(Note 14)</w:t>
            </w:r>
          </w:p>
        </w:tc>
        <w:tc>
          <w:tcPr>
            <w:tcW w:w="1158" w:type="dxa"/>
            <w:tcBorders>
              <w:top w:val="single" w:sz="4" w:space="0" w:color="auto"/>
              <w:left w:val="nil"/>
              <w:bottom w:val="nil"/>
              <w:right w:val="nil"/>
            </w:tcBorders>
            <w:noWrap/>
            <w:vAlign w:val="center"/>
            <w:hideMark/>
          </w:tcPr>
          <w:p w14:paraId="5EFA6A8F" w14:textId="1E2E1286" w:rsidR="00EA1B39" w:rsidRPr="00E160F5" w:rsidRDefault="00EA1B39" w:rsidP="00EA1B39">
            <w:pPr>
              <w:jc w:val="right"/>
              <w:rPr>
                <w:rFonts w:ascii="Arial" w:hAnsi="Arial" w:cs="Arial"/>
                <w:b/>
                <w:bCs/>
                <w:color w:val="000000"/>
                <w:sz w:val="22"/>
                <w:szCs w:val="22"/>
              </w:rPr>
            </w:pPr>
            <w:r w:rsidRPr="00E160F5">
              <w:rPr>
                <w:rFonts w:ascii="Arial" w:hAnsi="Arial" w:cs="Arial"/>
                <w:b/>
                <w:bCs/>
                <w:color w:val="000000"/>
                <w:sz w:val="22"/>
                <w:szCs w:val="22"/>
              </w:rPr>
              <w:t>(299,226)</w:t>
            </w:r>
          </w:p>
        </w:tc>
        <w:tc>
          <w:tcPr>
            <w:tcW w:w="1158" w:type="dxa"/>
            <w:tcBorders>
              <w:top w:val="single" w:sz="4" w:space="0" w:color="auto"/>
              <w:left w:val="nil"/>
              <w:bottom w:val="nil"/>
              <w:right w:val="single" w:sz="8" w:space="0" w:color="auto"/>
            </w:tcBorders>
            <w:shd w:val="clear" w:color="000000" w:fill="D9D9D9"/>
            <w:vAlign w:val="center"/>
            <w:hideMark/>
          </w:tcPr>
          <w:p w14:paraId="47D6D554" w14:textId="77F650A1" w:rsidR="00EA1B39" w:rsidRPr="00E160F5" w:rsidRDefault="00EA1B39" w:rsidP="00EA1B39">
            <w:pPr>
              <w:jc w:val="right"/>
              <w:rPr>
                <w:rFonts w:ascii="Arial" w:hAnsi="Arial" w:cs="Arial"/>
                <w:b/>
                <w:bCs/>
                <w:color w:val="000000"/>
                <w:sz w:val="22"/>
                <w:szCs w:val="22"/>
              </w:rPr>
            </w:pPr>
            <w:r w:rsidRPr="00E160F5">
              <w:rPr>
                <w:rFonts w:ascii="Arial" w:hAnsi="Arial" w:cs="Arial"/>
                <w:b/>
                <w:bCs/>
                <w:color w:val="000000"/>
                <w:sz w:val="22"/>
                <w:szCs w:val="22"/>
              </w:rPr>
              <w:t>(314,327)</w:t>
            </w:r>
          </w:p>
        </w:tc>
      </w:tr>
      <w:tr w:rsidR="00EA1B39" w:rsidRPr="00593F10" w14:paraId="1A355C9B" w14:textId="77777777" w:rsidTr="002F756C">
        <w:trPr>
          <w:trHeight w:val="315"/>
        </w:trPr>
        <w:tc>
          <w:tcPr>
            <w:tcW w:w="5428" w:type="dxa"/>
            <w:tcBorders>
              <w:top w:val="nil"/>
              <w:left w:val="single" w:sz="8" w:space="0" w:color="auto"/>
              <w:bottom w:val="nil"/>
              <w:right w:val="nil"/>
            </w:tcBorders>
            <w:shd w:val="clear" w:color="000000" w:fill="D9D9D9"/>
            <w:noWrap/>
            <w:vAlign w:val="center"/>
            <w:hideMark/>
          </w:tcPr>
          <w:p w14:paraId="2684D1A4" w14:textId="34124576" w:rsidR="00EA1B39" w:rsidRPr="00593F10" w:rsidRDefault="00EA1B39" w:rsidP="00EA1B39">
            <w:pPr>
              <w:rPr>
                <w:rFonts w:ascii="Arial" w:hAnsi="Arial" w:cs="Arial"/>
                <w:b/>
                <w:bCs/>
                <w:color w:val="000000"/>
                <w:sz w:val="22"/>
                <w:szCs w:val="22"/>
              </w:rPr>
            </w:pPr>
            <w:r>
              <w:rPr>
                <w:rFonts w:ascii="Arial" w:hAnsi="Arial" w:cs="Arial"/>
                <w:color w:val="000000"/>
                <w:sz w:val="22"/>
                <w:szCs w:val="22"/>
              </w:rPr>
              <w:t>Council tax income</w:t>
            </w:r>
          </w:p>
        </w:tc>
        <w:tc>
          <w:tcPr>
            <w:tcW w:w="1158" w:type="dxa"/>
            <w:tcBorders>
              <w:top w:val="nil"/>
              <w:left w:val="nil"/>
              <w:bottom w:val="nil"/>
              <w:right w:val="nil"/>
            </w:tcBorders>
            <w:vAlign w:val="center"/>
            <w:hideMark/>
          </w:tcPr>
          <w:p w14:paraId="506B3BC5" w14:textId="57D82501" w:rsidR="00EA1B39" w:rsidRPr="00593F10" w:rsidRDefault="00EA1B39" w:rsidP="00EA1B39">
            <w:pPr>
              <w:jc w:val="right"/>
              <w:rPr>
                <w:rFonts w:ascii="Arial" w:hAnsi="Arial" w:cs="Arial"/>
                <w:b/>
                <w:bCs/>
                <w:color w:val="000000"/>
                <w:sz w:val="22"/>
                <w:szCs w:val="22"/>
              </w:rPr>
            </w:pPr>
            <w:r>
              <w:rPr>
                <w:rFonts w:ascii="Arial" w:hAnsi="Arial" w:cs="Arial"/>
                <w:color w:val="000000"/>
                <w:sz w:val="22"/>
                <w:szCs w:val="22"/>
              </w:rPr>
              <w:t>(115,670)</w:t>
            </w:r>
          </w:p>
        </w:tc>
        <w:tc>
          <w:tcPr>
            <w:tcW w:w="1158" w:type="dxa"/>
            <w:tcBorders>
              <w:top w:val="nil"/>
              <w:left w:val="nil"/>
              <w:bottom w:val="nil"/>
              <w:right w:val="single" w:sz="8" w:space="0" w:color="auto"/>
            </w:tcBorders>
            <w:shd w:val="clear" w:color="000000" w:fill="D9D9D9"/>
            <w:vAlign w:val="center"/>
            <w:hideMark/>
          </w:tcPr>
          <w:p w14:paraId="3CE0E170" w14:textId="02B7165F" w:rsidR="00EA1B39" w:rsidRPr="00593F10" w:rsidRDefault="00EA1B39" w:rsidP="00EA1B39">
            <w:pPr>
              <w:jc w:val="right"/>
              <w:rPr>
                <w:rFonts w:ascii="Arial" w:hAnsi="Arial" w:cs="Arial"/>
                <w:b/>
                <w:bCs/>
                <w:color w:val="000000"/>
                <w:sz w:val="22"/>
                <w:szCs w:val="22"/>
              </w:rPr>
            </w:pPr>
            <w:r>
              <w:rPr>
                <w:rFonts w:ascii="Arial" w:hAnsi="Arial" w:cs="Arial"/>
                <w:color w:val="000000"/>
                <w:sz w:val="22"/>
                <w:szCs w:val="22"/>
              </w:rPr>
              <w:t>(124,017)</w:t>
            </w:r>
          </w:p>
        </w:tc>
      </w:tr>
      <w:tr w:rsidR="00EA1B39" w:rsidRPr="00593F10" w14:paraId="7574E787" w14:textId="77777777">
        <w:trPr>
          <w:trHeight w:val="315"/>
        </w:trPr>
        <w:tc>
          <w:tcPr>
            <w:tcW w:w="5428" w:type="dxa"/>
            <w:tcBorders>
              <w:top w:val="nil"/>
              <w:left w:val="single" w:sz="8" w:space="0" w:color="auto"/>
              <w:bottom w:val="single" w:sz="8" w:space="0" w:color="auto"/>
              <w:right w:val="nil"/>
            </w:tcBorders>
            <w:shd w:val="clear" w:color="000000" w:fill="D9D9D9"/>
            <w:noWrap/>
            <w:vAlign w:val="center"/>
          </w:tcPr>
          <w:p w14:paraId="4759E449" w14:textId="44E1DF87" w:rsidR="00EA1B39" w:rsidRDefault="00EA1B39" w:rsidP="00EA1B39">
            <w:pPr>
              <w:rPr>
                <w:rFonts w:ascii="Arial" w:hAnsi="Arial" w:cs="Arial"/>
                <w:color w:val="000000"/>
                <w:sz w:val="22"/>
                <w:szCs w:val="22"/>
              </w:rPr>
            </w:pPr>
            <w:r>
              <w:rPr>
                <w:rFonts w:ascii="Arial" w:hAnsi="Arial" w:cs="Arial"/>
                <w:b/>
                <w:bCs/>
                <w:color w:val="000000"/>
                <w:sz w:val="22"/>
                <w:szCs w:val="22"/>
              </w:rPr>
              <w:t>Total</w:t>
            </w:r>
          </w:p>
        </w:tc>
        <w:tc>
          <w:tcPr>
            <w:tcW w:w="1158" w:type="dxa"/>
            <w:tcBorders>
              <w:top w:val="single" w:sz="8" w:space="0" w:color="auto"/>
              <w:left w:val="nil"/>
              <w:bottom w:val="single" w:sz="8" w:space="0" w:color="auto"/>
              <w:right w:val="nil"/>
            </w:tcBorders>
            <w:vAlign w:val="center"/>
          </w:tcPr>
          <w:p w14:paraId="5E97A22E" w14:textId="28490D8C" w:rsidR="00EA1B39" w:rsidRDefault="00EA1B39" w:rsidP="00EA1B39">
            <w:pPr>
              <w:jc w:val="right"/>
              <w:rPr>
                <w:rFonts w:ascii="Arial" w:hAnsi="Arial" w:cs="Arial"/>
                <w:color w:val="000000"/>
                <w:sz w:val="22"/>
                <w:szCs w:val="22"/>
              </w:rPr>
            </w:pPr>
            <w:r>
              <w:rPr>
                <w:rFonts w:ascii="Arial" w:hAnsi="Arial" w:cs="Arial"/>
                <w:b/>
                <w:bCs/>
                <w:color w:val="000000"/>
                <w:sz w:val="22"/>
                <w:szCs w:val="22"/>
              </w:rPr>
              <w:t>(414,896)</w:t>
            </w:r>
          </w:p>
        </w:tc>
        <w:tc>
          <w:tcPr>
            <w:tcW w:w="1158" w:type="dxa"/>
            <w:tcBorders>
              <w:top w:val="single" w:sz="8" w:space="0" w:color="auto"/>
              <w:left w:val="nil"/>
              <w:bottom w:val="single" w:sz="8" w:space="0" w:color="auto"/>
              <w:right w:val="single" w:sz="8" w:space="0" w:color="auto"/>
            </w:tcBorders>
            <w:shd w:val="clear" w:color="000000" w:fill="D9D9D9"/>
            <w:vAlign w:val="center"/>
          </w:tcPr>
          <w:p w14:paraId="7A359A7F" w14:textId="159973A0" w:rsidR="00EA1B39" w:rsidRDefault="00EA1B39" w:rsidP="00EA1B39">
            <w:pPr>
              <w:jc w:val="right"/>
              <w:rPr>
                <w:rFonts w:ascii="Arial" w:hAnsi="Arial" w:cs="Arial"/>
                <w:color w:val="000000"/>
                <w:sz w:val="22"/>
                <w:szCs w:val="22"/>
              </w:rPr>
            </w:pPr>
            <w:r>
              <w:rPr>
                <w:rFonts w:ascii="Arial" w:hAnsi="Arial" w:cs="Arial"/>
                <w:b/>
                <w:bCs/>
                <w:color w:val="000000"/>
                <w:sz w:val="22"/>
                <w:szCs w:val="22"/>
              </w:rPr>
              <w:t>(438,344)</w:t>
            </w:r>
          </w:p>
        </w:tc>
      </w:tr>
    </w:tbl>
    <w:p w14:paraId="63BE6C29" w14:textId="77777777" w:rsidR="00AB7BB3" w:rsidRDefault="00AB7BB3" w:rsidP="003B74DA">
      <w:pPr>
        <w:tabs>
          <w:tab w:val="right" w:pos="851"/>
        </w:tabs>
        <w:ind w:left="720"/>
        <w:rPr>
          <w:rFonts w:ascii="Arial" w:hAnsi="Arial"/>
          <w:sz w:val="24"/>
        </w:rPr>
      </w:pPr>
    </w:p>
    <w:p w14:paraId="1A7E58BE" w14:textId="633514A5" w:rsidR="003B74DA" w:rsidRDefault="003B74DA" w:rsidP="003B74DA">
      <w:pPr>
        <w:numPr>
          <w:ilvl w:val="0"/>
          <w:numId w:val="1"/>
        </w:numPr>
        <w:tabs>
          <w:tab w:val="clear" w:pos="720"/>
          <w:tab w:val="num" w:pos="426"/>
          <w:tab w:val="right" w:pos="5760"/>
        </w:tabs>
        <w:ind w:left="426"/>
        <w:rPr>
          <w:rFonts w:ascii="Arial" w:hAnsi="Arial" w:cs="Arial"/>
          <w:b/>
          <w:sz w:val="22"/>
          <w:szCs w:val="22"/>
        </w:rPr>
      </w:pPr>
      <w:r>
        <w:rPr>
          <w:rFonts w:ascii="Arial" w:hAnsi="Arial" w:cs="Arial"/>
          <w:b/>
          <w:sz w:val="22"/>
          <w:szCs w:val="22"/>
        </w:rPr>
        <w:t>Government gr</w:t>
      </w:r>
      <w:r w:rsidRPr="004E3DAB">
        <w:rPr>
          <w:rFonts w:ascii="Arial" w:hAnsi="Arial" w:cs="Arial"/>
          <w:b/>
          <w:sz w:val="22"/>
          <w:szCs w:val="22"/>
        </w:rPr>
        <w:t>ant</w:t>
      </w:r>
      <w:r>
        <w:rPr>
          <w:rFonts w:ascii="Arial" w:hAnsi="Arial" w:cs="Arial"/>
          <w:b/>
          <w:sz w:val="22"/>
          <w:szCs w:val="22"/>
        </w:rPr>
        <w:t>s and contributions</w:t>
      </w:r>
    </w:p>
    <w:p w14:paraId="7C1F3DAA" w14:textId="77777777" w:rsidR="003B74DA" w:rsidRDefault="003B74DA" w:rsidP="003B74DA">
      <w:pPr>
        <w:tabs>
          <w:tab w:val="right" w:pos="5760"/>
        </w:tabs>
        <w:rPr>
          <w:rFonts w:ascii="Arial" w:hAnsi="Arial" w:cs="Arial"/>
          <w:b/>
          <w:sz w:val="22"/>
          <w:szCs w:val="22"/>
        </w:rPr>
      </w:pPr>
    </w:p>
    <w:p w14:paraId="558DAF3B" w14:textId="77777777" w:rsidR="003B74DA" w:rsidRPr="006550D9" w:rsidRDefault="003B74DA" w:rsidP="003B74DA">
      <w:pPr>
        <w:spacing w:after="240"/>
        <w:ind w:left="426"/>
        <w:rPr>
          <w:rFonts w:ascii="Arial" w:hAnsi="Arial" w:cs="Arial"/>
          <w:sz w:val="22"/>
          <w:szCs w:val="22"/>
          <w:u w:val="single"/>
        </w:rPr>
      </w:pPr>
      <w:r w:rsidRPr="006550D9">
        <w:rPr>
          <w:rFonts w:ascii="Arial" w:hAnsi="Arial" w:cs="Arial"/>
          <w:sz w:val="22"/>
          <w:szCs w:val="22"/>
          <w:u w:val="single"/>
        </w:rPr>
        <w:t>Accounting Policy</w:t>
      </w:r>
    </w:p>
    <w:p w14:paraId="37883BE2" w14:textId="3D634917" w:rsidR="003B74DA" w:rsidRPr="006550D9" w:rsidRDefault="003B74DA" w:rsidP="003B74DA">
      <w:pPr>
        <w:spacing w:after="240"/>
        <w:ind w:left="426"/>
        <w:jc w:val="both"/>
        <w:rPr>
          <w:rFonts w:ascii="Arial" w:hAnsi="Arial" w:cs="Arial"/>
          <w:sz w:val="22"/>
          <w:szCs w:val="22"/>
        </w:rPr>
      </w:pPr>
      <w:r w:rsidRPr="006550D9">
        <w:rPr>
          <w:rFonts w:ascii="Arial" w:hAnsi="Arial" w:cs="Arial"/>
          <w:sz w:val="22"/>
          <w:szCs w:val="22"/>
        </w:rPr>
        <w:t xml:space="preserve">Whether paid on account, by instalments or in arrears, government grants and </w:t>
      </w:r>
      <w:r w:rsidR="00A40A4B" w:rsidRPr="006550D9">
        <w:rPr>
          <w:rFonts w:ascii="Arial" w:hAnsi="Arial" w:cs="Arial"/>
          <w:sz w:val="22"/>
          <w:szCs w:val="22"/>
        </w:rPr>
        <w:t>third-party</w:t>
      </w:r>
      <w:r w:rsidRPr="006550D9">
        <w:rPr>
          <w:rFonts w:ascii="Arial" w:hAnsi="Arial" w:cs="Arial"/>
          <w:sz w:val="22"/>
          <w:szCs w:val="22"/>
        </w:rPr>
        <w:t xml:space="preserve"> contributions and donations are recognised as due to the PCC/PCC Group when there is reasonable assurance that the Group will comply with the conditions attached to the payments, and the grants or contributions will be received.</w:t>
      </w:r>
    </w:p>
    <w:p w14:paraId="006E1197" w14:textId="77777777" w:rsidR="003B74DA" w:rsidRPr="006550D9" w:rsidRDefault="003B74DA" w:rsidP="003B74DA">
      <w:pPr>
        <w:spacing w:after="240"/>
        <w:ind w:left="426"/>
        <w:jc w:val="both"/>
        <w:rPr>
          <w:rFonts w:ascii="Arial" w:hAnsi="Arial" w:cs="Arial"/>
          <w:sz w:val="22"/>
          <w:szCs w:val="22"/>
        </w:rPr>
      </w:pPr>
      <w:r w:rsidRPr="006550D9">
        <w:rPr>
          <w:rFonts w:ascii="Arial" w:hAnsi="Arial" w:cs="Arial"/>
          <w:sz w:val="22"/>
          <w:szCs w:val="22"/>
        </w:rPr>
        <w:t>Amounts recognised as due to the PCC Group are not credited until conditions attached to the grant or contribution have been satisfied. Conditions are stipulations that specify that the future economic benefits or service potential embodied in the asset acquired using the grant or contribution are required to be consumed by the recipient as specified, or future economic benefits or service potential must be returned to the transferor.</w:t>
      </w:r>
    </w:p>
    <w:p w14:paraId="19A58215" w14:textId="03A86A12" w:rsidR="00C75839" w:rsidRDefault="003B74DA" w:rsidP="003B74DA">
      <w:pPr>
        <w:spacing w:after="240"/>
        <w:ind w:left="426"/>
        <w:jc w:val="both"/>
        <w:rPr>
          <w:rFonts w:ascii="Arial" w:hAnsi="Arial" w:cs="Arial"/>
          <w:sz w:val="22"/>
          <w:szCs w:val="22"/>
        </w:rPr>
      </w:pPr>
      <w:r w:rsidRPr="006550D9">
        <w:rPr>
          <w:rFonts w:ascii="Arial" w:hAnsi="Arial" w:cs="Arial"/>
          <w:sz w:val="22"/>
          <w:szCs w:val="22"/>
        </w:rPr>
        <w:t xml:space="preserve">Monies advanced as grants and contributions for which conditions have not been satisfied are carried in the balance sheet as </w:t>
      </w:r>
      <w:r w:rsidR="00E47EE4">
        <w:rPr>
          <w:rFonts w:ascii="Arial" w:hAnsi="Arial" w:cs="Arial"/>
          <w:sz w:val="22"/>
          <w:szCs w:val="22"/>
        </w:rPr>
        <w:t>Receipts in Advance</w:t>
      </w:r>
      <w:r w:rsidRPr="006550D9">
        <w:rPr>
          <w:rFonts w:ascii="Arial" w:hAnsi="Arial" w:cs="Arial"/>
          <w:sz w:val="22"/>
          <w:szCs w:val="22"/>
        </w:rPr>
        <w:t xml:space="preserve">. When conditions are satisfied, the grant or contribution is credited to the relevant service line (attributable to revenue grants and contributions) or taxation and non-specific grant income (non-ringfenced revenue grants and all capital grants) in the CIES. </w:t>
      </w:r>
    </w:p>
    <w:p w14:paraId="4E0FB24F" w14:textId="77777777" w:rsidR="00C75839" w:rsidRDefault="00C75839">
      <w:pPr>
        <w:rPr>
          <w:rFonts w:ascii="Arial" w:hAnsi="Arial" w:cs="Arial"/>
          <w:sz w:val="22"/>
          <w:szCs w:val="22"/>
        </w:rPr>
      </w:pPr>
      <w:r>
        <w:rPr>
          <w:rFonts w:ascii="Arial" w:hAnsi="Arial" w:cs="Arial"/>
          <w:sz w:val="22"/>
          <w:szCs w:val="22"/>
        </w:rPr>
        <w:br w:type="page"/>
      </w:r>
    </w:p>
    <w:p w14:paraId="7D7C2A41" w14:textId="77777777" w:rsidR="003B74DA" w:rsidRPr="006550D9" w:rsidRDefault="003B74DA" w:rsidP="003B74DA">
      <w:pPr>
        <w:spacing w:after="240"/>
        <w:ind w:left="426"/>
        <w:jc w:val="both"/>
        <w:rPr>
          <w:rFonts w:ascii="Arial" w:hAnsi="Arial" w:cs="Arial"/>
          <w:sz w:val="22"/>
          <w:szCs w:val="22"/>
        </w:rPr>
      </w:pPr>
      <w:r w:rsidRPr="006550D9">
        <w:rPr>
          <w:rFonts w:ascii="Arial" w:hAnsi="Arial" w:cs="Arial"/>
          <w:sz w:val="22"/>
          <w:szCs w:val="22"/>
        </w:rPr>
        <w:lastRenderedPageBreak/>
        <w:t>Where capital grants are credited to the CIES, they are reversed out of the Police General Fund balance in the movement in reserves statement. Where the grant has yet to be used to finance capital expenditure, it is posted to the capital grants unapplied reserve. Where it has been applied, it is posted to the capital adjustment account. Amounts in the capital grants unapplied reserve are transferred to the capital adjustment account once they have been applied to fund capital expenditure.</w:t>
      </w:r>
    </w:p>
    <w:p w14:paraId="56214FCE" w14:textId="2450B795" w:rsidR="003B74DA" w:rsidRPr="005A3707" w:rsidRDefault="003B74DA" w:rsidP="000C1B29">
      <w:pPr>
        <w:jc w:val="both"/>
        <w:rPr>
          <w:rFonts w:ascii="Arial" w:hAnsi="Arial" w:cs="Arial"/>
          <w:color w:val="FF0000"/>
          <w:sz w:val="22"/>
          <w:szCs w:val="22"/>
        </w:rPr>
      </w:pPr>
      <w:r w:rsidRPr="00DC1E65">
        <w:rPr>
          <w:rFonts w:ascii="Arial" w:hAnsi="Arial" w:cs="Arial"/>
          <w:sz w:val="22"/>
          <w:szCs w:val="22"/>
        </w:rPr>
        <w:t xml:space="preserve">The PCC/PCC Group credited the following grants and contributions to the CIES in </w:t>
      </w:r>
      <w:r w:rsidR="00C37E7F">
        <w:rPr>
          <w:rFonts w:ascii="Arial" w:hAnsi="Arial" w:cs="Arial"/>
          <w:sz w:val="22"/>
          <w:szCs w:val="22"/>
        </w:rPr>
        <w:t>2024/25</w:t>
      </w:r>
      <w:r w:rsidRPr="00017DCD">
        <w:rPr>
          <w:rFonts w:ascii="Arial" w:hAnsi="Arial" w:cs="Arial"/>
          <w:sz w:val="22"/>
          <w:szCs w:val="22"/>
        </w:rPr>
        <w:t>:</w:t>
      </w:r>
      <w:r>
        <w:rPr>
          <w:rFonts w:ascii="Arial" w:hAnsi="Arial" w:cs="Arial"/>
          <w:sz w:val="22"/>
          <w:szCs w:val="22"/>
        </w:rPr>
        <w:t xml:space="preserve"> </w:t>
      </w:r>
    </w:p>
    <w:p w14:paraId="56FF6FB8" w14:textId="77777777" w:rsidR="003B74DA" w:rsidRPr="00FB3596" w:rsidRDefault="003B74DA" w:rsidP="003B74DA">
      <w:pPr>
        <w:tabs>
          <w:tab w:val="right" w:pos="5760"/>
        </w:tabs>
        <w:ind w:left="720"/>
        <w:rPr>
          <w:rFonts w:ascii="Arial" w:hAnsi="Arial" w:cs="Arial"/>
          <w:sz w:val="22"/>
          <w:szCs w:val="22"/>
        </w:rPr>
      </w:pPr>
    </w:p>
    <w:tbl>
      <w:tblPr>
        <w:tblW w:w="9560" w:type="dxa"/>
        <w:tblLook w:val="04A0" w:firstRow="1" w:lastRow="0" w:firstColumn="1" w:lastColumn="0" w:noHBand="0" w:noVBand="1"/>
      </w:tblPr>
      <w:tblGrid>
        <w:gridCol w:w="6800"/>
        <w:gridCol w:w="1280"/>
        <w:gridCol w:w="1480"/>
      </w:tblGrid>
      <w:tr w:rsidR="001D16CF" w:rsidRPr="001D16CF" w14:paraId="72A5FCD9" w14:textId="77777777" w:rsidTr="001D16CF">
        <w:trPr>
          <w:trHeight w:val="290"/>
        </w:trPr>
        <w:tc>
          <w:tcPr>
            <w:tcW w:w="6800" w:type="dxa"/>
            <w:tcBorders>
              <w:top w:val="single" w:sz="8" w:space="0" w:color="auto"/>
              <w:left w:val="single" w:sz="8" w:space="0" w:color="auto"/>
              <w:bottom w:val="nil"/>
              <w:right w:val="nil"/>
            </w:tcBorders>
            <w:shd w:val="clear" w:color="000000" w:fill="CCCCCC"/>
            <w:vAlign w:val="center"/>
            <w:hideMark/>
          </w:tcPr>
          <w:p w14:paraId="68AC5685"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 </w:t>
            </w:r>
          </w:p>
        </w:tc>
        <w:tc>
          <w:tcPr>
            <w:tcW w:w="1280" w:type="dxa"/>
            <w:tcBorders>
              <w:top w:val="single" w:sz="8" w:space="0" w:color="auto"/>
              <w:left w:val="nil"/>
              <w:bottom w:val="nil"/>
              <w:right w:val="single" w:sz="8" w:space="0" w:color="auto"/>
            </w:tcBorders>
            <w:vAlign w:val="center"/>
            <w:hideMark/>
          </w:tcPr>
          <w:p w14:paraId="368014D8" w14:textId="77777777" w:rsidR="001D16CF" w:rsidRPr="001D16CF" w:rsidRDefault="001D16CF" w:rsidP="001D16CF">
            <w:pPr>
              <w:jc w:val="right"/>
              <w:rPr>
                <w:rFonts w:ascii="Arial" w:hAnsi="Arial" w:cs="Arial"/>
                <w:b/>
                <w:bCs/>
                <w:color w:val="000000"/>
                <w:sz w:val="22"/>
                <w:szCs w:val="22"/>
              </w:rPr>
            </w:pPr>
            <w:r w:rsidRPr="001D16CF">
              <w:rPr>
                <w:rFonts w:ascii="Arial" w:hAnsi="Arial" w:cs="Arial"/>
                <w:b/>
                <w:bCs/>
                <w:color w:val="000000"/>
                <w:sz w:val="22"/>
                <w:szCs w:val="22"/>
              </w:rPr>
              <w:t>2023/24</w:t>
            </w:r>
          </w:p>
        </w:tc>
        <w:tc>
          <w:tcPr>
            <w:tcW w:w="1480" w:type="dxa"/>
            <w:tcBorders>
              <w:top w:val="single" w:sz="8" w:space="0" w:color="auto"/>
              <w:left w:val="nil"/>
              <w:bottom w:val="nil"/>
              <w:right w:val="single" w:sz="8" w:space="0" w:color="auto"/>
            </w:tcBorders>
            <w:shd w:val="clear" w:color="000000" w:fill="CCCCCC"/>
            <w:vAlign w:val="center"/>
            <w:hideMark/>
          </w:tcPr>
          <w:p w14:paraId="6AAC64DA" w14:textId="77777777" w:rsidR="001D16CF" w:rsidRPr="001D16CF" w:rsidRDefault="001D16CF" w:rsidP="001D16CF">
            <w:pPr>
              <w:jc w:val="right"/>
              <w:rPr>
                <w:rFonts w:ascii="Arial" w:hAnsi="Arial" w:cs="Arial"/>
                <w:b/>
                <w:bCs/>
                <w:color w:val="000000"/>
                <w:sz w:val="22"/>
                <w:szCs w:val="22"/>
              </w:rPr>
            </w:pPr>
            <w:r w:rsidRPr="001D16CF">
              <w:rPr>
                <w:rFonts w:ascii="Arial" w:hAnsi="Arial" w:cs="Arial"/>
                <w:b/>
                <w:bCs/>
                <w:color w:val="000000"/>
                <w:sz w:val="22"/>
                <w:szCs w:val="22"/>
              </w:rPr>
              <w:t>2024/25</w:t>
            </w:r>
          </w:p>
        </w:tc>
      </w:tr>
      <w:tr w:rsidR="001D16CF" w:rsidRPr="001D16CF" w14:paraId="51FF406D"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64E2021F"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 </w:t>
            </w:r>
          </w:p>
        </w:tc>
        <w:tc>
          <w:tcPr>
            <w:tcW w:w="1280" w:type="dxa"/>
            <w:tcBorders>
              <w:top w:val="nil"/>
              <w:left w:val="nil"/>
              <w:bottom w:val="nil"/>
              <w:right w:val="single" w:sz="8" w:space="0" w:color="auto"/>
            </w:tcBorders>
            <w:vAlign w:val="center"/>
            <w:hideMark/>
          </w:tcPr>
          <w:p w14:paraId="4D7851AD" w14:textId="77777777" w:rsidR="001D16CF" w:rsidRPr="001D16CF" w:rsidRDefault="001D16CF" w:rsidP="001D16CF">
            <w:pPr>
              <w:jc w:val="right"/>
              <w:rPr>
                <w:rFonts w:ascii="Arial" w:hAnsi="Arial" w:cs="Arial"/>
                <w:b/>
                <w:bCs/>
                <w:color w:val="000000"/>
                <w:sz w:val="22"/>
                <w:szCs w:val="22"/>
              </w:rPr>
            </w:pPr>
            <w:r w:rsidRPr="001D16CF">
              <w:rPr>
                <w:rFonts w:ascii="Arial" w:hAnsi="Arial" w:cs="Arial"/>
                <w:b/>
                <w:bCs/>
                <w:color w:val="000000"/>
                <w:sz w:val="22"/>
                <w:szCs w:val="22"/>
              </w:rPr>
              <w:t>£000</w:t>
            </w:r>
          </w:p>
        </w:tc>
        <w:tc>
          <w:tcPr>
            <w:tcW w:w="1480" w:type="dxa"/>
            <w:tcBorders>
              <w:top w:val="nil"/>
              <w:left w:val="nil"/>
              <w:bottom w:val="nil"/>
              <w:right w:val="single" w:sz="8" w:space="0" w:color="auto"/>
            </w:tcBorders>
            <w:shd w:val="clear" w:color="000000" w:fill="CCCCCC"/>
            <w:vAlign w:val="center"/>
            <w:hideMark/>
          </w:tcPr>
          <w:p w14:paraId="1BE241B3" w14:textId="77777777" w:rsidR="001D16CF" w:rsidRPr="001D16CF" w:rsidRDefault="001D16CF" w:rsidP="001D16CF">
            <w:pPr>
              <w:jc w:val="right"/>
              <w:rPr>
                <w:rFonts w:ascii="Arial" w:hAnsi="Arial" w:cs="Arial"/>
                <w:b/>
                <w:bCs/>
                <w:color w:val="000000"/>
                <w:sz w:val="22"/>
                <w:szCs w:val="22"/>
              </w:rPr>
            </w:pPr>
            <w:r w:rsidRPr="001D16CF">
              <w:rPr>
                <w:rFonts w:ascii="Arial" w:hAnsi="Arial" w:cs="Arial"/>
                <w:b/>
                <w:bCs/>
                <w:color w:val="000000"/>
                <w:sz w:val="22"/>
                <w:szCs w:val="22"/>
              </w:rPr>
              <w:t>£000</w:t>
            </w:r>
          </w:p>
        </w:tc>
      </w:tr>
      <w:tr w:rsidR="001D16CF" w:rsidRPr="001D16CF" w14:paraId="000DEE73"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48576B9D" w14:textId="77777777" w:rsidR="001D16CF" w:rsidRPr="001D16CF" w:rsidRDefault="001D16CF" w:rsidP="001D16CF">
            <w:pPr>
              <w:rPr>
                <w:rFonts w:ascii="Arial" w:hAnsi="Arial" w:cs="Arial"/>
                <w:b/>
                <w:bCs/>
                <w:color w:val="000000"/>
                <w:sz w:val="22"/>
                <w:szCs w:val="22"/>
              </w:rPr>
            </w:pPr>
            <w:r w:rsidRPr="001D16CF">
              <w:rPr>
                <w:rFonts w:ascii="Arial" w:hAnsi="Arial" w:cs="Arial"/>
                <w:b/>
                <w:bCs/>
                <w:color w:val="000000"/>
                <w:sz w:val="22"/>
                <w:szCs w:val="22"/>
              </w:rPr>
              <w:t>Credited to Taxation and Non-Specific Grant Income:</w:t>
            </w:r>
          </w:p>
        </w:tc>
        <w:tc>
          <w:tcPr>
            <w:tcW w:w="1280" w:type="dxa"/>
            <w:tcBorders>
              <w:top w:val="nil"/>
              <w:left w:val="nil"/>
              <w:bottom w:val="nil"/>
              <w:right w:val="single" w:sz="8" w:space="0" w:color="auto"/>
            </w:tcBorders>
            <w:vAlign w:val="center"/>
            <w:hideMark/>
          </w:tcPr>
          <w:p w14:paraId="5CC853F4"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c>
          <w:tcPr>
            <w:tcW w:w="1480" w:type="dxa"/>
            <w:tcBorders>
              <w:top w:val="nil"/>
              <w:left w:val="nil"/>
              <w:bottom w:val="nil"/>
              <w:right w:val="single" w:sz="8" w:space="0" w:color="auto"/>
            </w:tcBorders>
            <w:shd w:val="clear" w:color="000000" w:fill="CCCCCC"/>
            <w:vAlign w:val="center"/>
            <w:hideMark/>
          </w:tcPr>
          <w:p w14:paraId="0C49A364"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r>
      <w:tr w:rsidR="001D16CF" w:rsidRPr="001D16CF" w14:paraId="7A6B96F9"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31817151"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Police Grant</w:t>
            </w:r>
          </w:p>
        </w:tc>
        <w:tc>
          <w:tcPr>
            <w:tcW w:w="1280" w:type="dxa"/>
            <w:tcBorders>
              <w:top w:val="nil"/>
              <w:left w:val="nil"/>
              <w:bottom w:val="nil"/>
              <w:right w:val="single" w:sz="8" w:space="0" w:color="auto"/>
            </w:tcBorders>
            <w:vAlign w:val="center"/>
            <w:hideMark/>
          </w:tcPr>
          <w:p w14:paraId="4DE50B77"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(239,927)</w:t>
            </w:r>
          </w:p>
        </w:tc>
        <w:tc>
          <w:tcPr>
            <w:tcW w:w="1480" w:type="dxa"/>
            <w:tcBorders>
              <w:top w:val="nil"/>
              <w:left w:val="nil"/>
              <w:bottom w:val="nil"/>
              <w:right w:val="single" w:sz="8" w:space="0" w:color="auto"/>
            </w:tcBorders>
            <w:shd w:val="clear" w:color="000000" w:fill="CCCCCC"/>
            <w:vAlign w:val="center"/>
            <w:hideMark/>
          </w:tcPr>
          <w:p w14:paraId="66F5AFF1"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(244,613)</w:t>
            </w:r>
          </w:p>
        </w:tc>
      </w:tr>
      <w:tr w:rsidR="001D16CF" w:rsidRPr="001D16CF" w14:paraId="6B68B042"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0C8BDA47"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Home office grant funding for Police Officer Pay Increase</w:t>
            </w:r>
          </w:p>
        </w:tc>
        <w:tc>
          <w:tcPr>
            <w:tcW w:w="1280" w:type="dxa"/>
            <w:tcBorders>
              <w:top w:val="nil"/>
              <w:left w:val="nil"/>
              <w:bottom w:val="nil"/>
              <w:right w:val="single" w:sz="8" w:space="0" w:color="auto"/>
            </w:tcBorders>
            <w:vAlign w:val="center"/>
            <w:hideMark/>
          </w:tcPr>
          <w:p w14:paraId="6C41872B"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0</w:t>
            </w:r>
          </w:p>
        </w:tc>
        <w:tc>
          <w:tcPr>
            <w:tcW w:w="1480" w:type="dxa"/>
            <w:tcBorders>
              <w:top w:val="nil"/>
              <w:left w:val="nil"/>
              <w:bottom w:val="nil"/>
              <w:right w:val="single" w:sz="8" w:space="0" w:color="auto"/>
            </w:tcBorders>
            <w:shd w:val="clear" w:color="000000" w:fill="CCCCCC"/>
            <w:vAlign w:val="center"/>
            <w:hideMark/>
          </w:tcPr>
          <w:p w14:paraId="28EB715C"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(4,166)</w:t>
            </w:r>
          </w:p>
        </w:tc>
      </w:tr>
      <w:tr w:rsidR="001D16CF" w:rsidRPr="001D16CF" w14:paraId="3E23FE2E"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2A3ECC03"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Capital Grant and contributions</w:t>
            </w:r>
          </w:p>
        </w:tc>
        <w:tc>
          <w:tcPr>
            <w:tcW w:w="1280" w:type="dxa"/>
            <w:tcBorders>
              <w:top w:val="nil"/>
              <w:left w:val="nil"/>
              <w:bottom w:val="nil"/>
              <w:right w:val="single" w:sz="8" w:space="0" w:color="auto"/>
            </w:tcBorders>
            <w:vAlign w:val="center"/>
            <w:hideMark/>
          </w:tcPr>
          <w:p w14:paraId="462568A1"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(205)</w:t>
            </w:r>
          </w:p>
        </w:tc>
        <w:tc>
          <w:tcPr>
            <w:tcW w:w="1480" w:type="dxa"/>
            <w:tcBorders>
              <w:top w:val="nil"/>
              <w:left w:val="nil"/>
              <w:bottom w:val="nil"/>
              <w:right w:val="single" w:sz="8" w:space="0" w:color="auto"/>
            </w:tcBorders>
            <w:shd w:val="clear" w:color="000000" w:fill="CCCCCC"/>
            <w:vAlign w:val="center"/>
            <w:hideMark/>
          </w:tcPr>
          <w:p w14:paraId="242BC4A7"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(203)</w:t>
            </w:r>
          </w:p>
        </w:tc>
      </w:tr>
      <w:tr w:rsidR="001D16CF" w:rsidRPr="001D16CF" w14:paraId="2A0EA6DF" w14:textId="77777777" w:rsidTr="001D16CF">
        <w:trPr>
          <w:trHeight w:val="300"/>
        </w:trPr>
        <w:tc>
          <w:tcPr>
            <w:tcW w:w="6800" w:type="dxa"/>
            <w:tcBorders>
              <w:top w:val="nil"/>
              <w:left w:val="single" w:sz="8" w:space="0" w:color="auto"/>
              <w:bottom w:val="nil"/>
              <w:right w:val="nil"/>
            </w:tcBorders>
            <w:shd w:val="clear" w:color="000000" w:fill="CCCCCC"/>
            <w:vAlign w:val="center"/>
            <w:hideMark/>
          </w:tcPr>
          <w:p w14:paraId="05DAF771"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Home Office grant payable towards the cost of retirement benefits</w:t>
            </w:r>
          </w:p>
        </w:tc>
        <w:tc>
          <w:tcPr>
            <w:tcW w:w="1280" w:type="dxa"/>
            <w:tcBorders>
              <w:top w:val="nil"/>
              <w:left w:val="nil"/>
              <w:bottom w:val="nil"/>
              <w:right w:val="single" w:sz="8" w:space="0" w:color="auto"/>
            </w:tcBorders>
            <w:vAlign w:val="center"/>
            <w:hideMark/>
          </w:tcPr>
          <w:p w14:paraId="3C535D87"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(55,991)</w:t>
            </w:r>
          </w:p>
        </w:tc>
        <w:tc>
          <w:tcPr>
            <w:tcW w:w="1480" w:type="dxa"/>
            <w:tcBorders>
              <w:top w:val="nil"/>
              <w:left w:val="nil"/>
              <w:bottom w:val="nil"/>
              <w:right w:val="single" w:sz="8" w:space="0" w:color="auto"/>
            </w:tcBorders>
            <w:shd w:val="clear" w:color="000000" w:fill="CCCCCC"/>
            <w:vAlign w:val="center"/>
            <w:hideMark/>
          </w:tcPr>
          <w:p w14:paraId="6537D5B6"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(54,803)</w:t>
            </w:r>
          </w:p>
        </w:tc>
      </w:tr>
      <w:tr w:rsidR="001D16CF" w:rsidRPr="001D16CF" w14:paraId="7717DA6D" w14:textId="77777777" w:rsidTr="001D16CF">
        <w:trPr>
          <w:trHeight w:val="600"/>
        </w:trPr>
        <w:tc>
          <w:tcPr>
            <w:tcW w:w="6800" w:type="dxa"/>
            <w:tcBorders>
              <w:top w:val="nil"/>
              <w:left w:val="single" w:sz="8" w:space="0" w:color="auto"/>
              <w:bottom w:val="nil"/>
              <w:right w:val="nil"/>
            </w:tcBorders>
            <w:shd w:val="clear" w:color="000000" w:fill="CCCCCC"/>
            <w:vAlign w:val="center"/>
            <w:hideMark/>
          </w:tcPr>
          <w:p w14:paraId="0F24873D"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Home Office funding for additional employer’s pension contributions</w:t>
            </w:r>
          </w:p>
        </w:tc>
        <w:tc>
          <w:tcPr>
            <w:tcW w:w="1280" w:type="dxa"/>
            <w:tcBorders>
              <w:top w:val="nil"/>
              <w:left w:val="nil"/>
              <w:bottom w:val="single" w:sz="8" w:space="0" w:color="auto"/>
              <w:right w:val="single" w:sz="8" w:space="0" w:color="auto"/>
            </w:tcBorders>
            <w:vAlign w:val="center"/>
            <w:hideMark/>
          </w:tcPr>
          <w:p w14:paraId="0764FAEB"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(3,104)</w:t>
            </w:r>
          </w:p>
        </w:tc>
        <w:tc>
          <w:tcPr>
            <w:tcW w:w="1480" w:type="dxa"/>
            <w:tcBorders>
              <w:top w:val="nil"/>
              <w:left w:val="nil"/>
              <w:bottom w:val="single" w:sz="8" w:space="0" w:color="auto"/>
              <w:right w:val="single" w:sz="8" w:space="0" w:color="auto"/>
            </w:tcBorders>
            <w:shd w:val="clear" w:color="000000" w:fill="CCCCCC"/>
            <w:vAlign w:val="center"/>
            <w:hideMark/>
          </w:tcPr>
          <w:p w14:paraId="47FAAEFC"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(10,542)</w:t>
            </w:r>
          </w:p>
        </w:tc>
      </w:tr>
      <w:tr w:rsidR="001D16CF" w:rsidRPr="001D16CF" w14:paraId="45C3CC35" w14:textId="77777777" w:rsidTr="001D16CF">
        <w:trPr>
          <w:trHeight w:val="300"/>
        </w:trPr>
        <w:tc>
          <w:tcPr>
            <w:tcW w:w="6800" w:type="dxa"/>
            <w:tcBorders>
              <w:top w:val="nil"/>
              <w:left w:val="single" w:sz="8" w:space="0" w:color="auto"/>
              <w:bottom w:val="nil"/>
              <w:right w:val="nil"/>
            </w:tcBorders>
            <w:shd w:val="clear" w:color="000000" w:fill="CCCCCC"/>
            <w:vAlign w:val="center"/>
            <w:hideMark/>
          </w:tcPr>
          <w:p w14:paraId="6923827A" w14:textId="77777777" w:rsidR="001D16CF" w:rsidRPr="001D16CF" w:rsidRDefault="001D16CF" w:rsidP="001D16CF">
            <w:pPr>
              <w:rPr>
                <w:rFonts w:ascii="Arial" w:hAnsi="Arial" w:cs="Arial"/>
                <w:b/>
                <w:bCs/>
                <w:color w:val="000000"/>
                <w:sz w:val="22"/>
                <w:szCs w:val="22"/>
              </w:rPr>
            </w:pPr>
            <w:r w:rsidRPr="001D16CF">
              <w:rPr>
                <w:rFonts w:ascii="Arial" w:hAnsi="Arial" w:cs="Arial"/>
                <w:b/>
                <w:bCs/>
                <w:color w:val="000000"/>
                <w:sz w:val="22"/>
                <w:szCs w:val="22"/>
              </w:rPr>
              <w:t>Sub Total</w:t>
            </w:r>
          </w:p>
        </w:tc>
        <w:tc>
          <w:tcPr>
            <w:tcW w:w="1280" w:type="dxa"/>
            <w:tcBorders>
              <w:top w:val="nil"/>
              <w:left w:val="nil"/>
              <w:bottom w:val="double" w:sz="6" w:space="0" w:color="auto"/>
              <w:right w:val="nil"/>
            </w:tcBorders>
            <w:vAlign w:val="center"/>
            <w:hideMark/>
          </w:tcPr>
          <w:p w14:paraId="12517E54" w14:textId="77777777" w:rsidR="001D16CF" w:rsidRPr="001D16CF" w:rsidRDefault="001D16CF" w:rsidP="001D16CF">
            <w:pPr>
              <w:jc w:val="right"/>
              <w:rPr>
                <w:rFonts w:ascii="Arial" w:hAnsi="Arial" w:cs="Arial"/>
                <w:b/>
                <w:bCs/>
                <w:color w:val="000000"/>
                <w:sz w:val="22"/>
                <w:szCs w:val="22"/>
              </w:rPr>
            </w:pPr>
            <w:r w:rsidRPr="001D16CF">
              <w:rPr>
                <w:rFonts w:ascii="Arial" w:hAnsi="Arial" w:cs="Arial"/>
                <w:b/>
                <w:bCs/>
                <w:color w:val="000000"/>
                <w:sz w:val="22"/>
                <w:szCs w:val="22"/>
              </w:rPr>
              <w:t>(299,226)</w:t>
            </w:r>
          </w:p>
        </w:tc>
        <w:tc>
          <w:tcPr>
            <w:tcW w:w="1480" w:type="dxa"/>
            <w:tcBorders>
              <w:top w:val="nil"/>
              <w:left w:val="nil"/>
              <w:bottom w:val="double" w:sz="6" w:space="0" w:color="auto"/>
              <w:right w:val="single" w:sz="8" w:space="0" w:color="auto"/>
            </w:tcBorders>
            <w:shd w:val="clear" w:color="000000" w:fill="CCCCCC"/>
            <w:vAlign w:val="center"/>
            <w:hideMark/>
          </w:tcPr>
          <w:p w14:paraId="5B682798" w14:textId="77777777" w:rsidR="001D16CF" w:rsidRPr="001D16CF" w:rsidRDefault="001D16CF" w:rsidP="001D16CF">
            <w:pPr>
              <w:jc w:val="right"/>
              <w:rPr>
                <w:rFonts w:ascii="Arial" w:hAnsi="Arial" w:cs="Arial"/>
                <w:b/>
                <w:bCs/>
                <w:color w:val="000000"/>
                <w:sz w:val="22"/>
                <w:szCs w:val="22"/>
              </w:rPr>
            </w:pPr>
            <w:r w:rsidRPr="001D16CF">
              <w:rPr>
                <w:rFonts w:ascii="Arial" w:hAnsi="Arial" w:cs="Arial"/>
                <w:b/>
                <w:bCs/>
                <w:color w:val="000000"/>
                <w:sz w:val="22"/>
                <w:szCs w:val="22"/>
              </w:rPr>
              <w:t>(314,327)</w:t>
            </w:r>
          </w:p>
        </w:tc>
      </w:tr>
      <w:tr w:rsidR="001D16CF" w:rsidRPr="001D16CF" w14:paraId="5AE99EAE" w14:textId="77777777" w:rsidTr="001D16CF">
        <w:trPr>
          <w:trHeight w:val="300"/>
        </w:trPr>
        <w:tc>
          <w:tcPr>
            <w:tcW w:w="6800" w:type="dxa"/>
            <w:tcBorders>
              <w:top w:val="nil"/>
              <w:left w:val="single" w:sz="8" w:space="0" w:color="auto"/>
              <w:bottom w:val="nil"/>
              <w:right w:val="nil"/>
            </w:tcBorders>
            <w:shd w:val="clear" w:color="000000" w:fill="CCCCCC"/>
            <w:vAlign w:val="center"/>
            <w:hideMark/>
          </w:tcPr>
          <w:p w14:paraId="037DECDE"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 </w:t>
            </w:r>
          </w:p>
        </w:tc>
        <w:tc>
          <w:tcPr>
            <w:tcW w:w="1280" w:type="dxa"/>
            <w:tcBorders>
              <w:top w:val="nil"/>
              <w:left w:val="nil"/>
              <w:bottom w:val="nil"/>
              <w:right w:val="single" w:sz="8" w:space="0" w:color="auto"/>
            </w:tcBorders>
            <w:vAlign w:val="center"/>
            <w:hideMark/>
          </w:tcPr>
          <w:p w14:paraId="10F4AB70"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c>
          <w:tcPr>
            <w:tcW w:w="1480" w:type="dxa"/>
            <w:tcBorders>
              <w:top w:val="nil"/>
              <w:left w:val="nil"/>
              <w:bottom w:val="nil"/>
              <w:right w:val="single" w:sz="8" w:space="0" w:color="auto"/>
            </w:tcBorders>
            <w:shd w:val="clear" w:color="000000" w:fill="CCCCCC"/>
            <w:vAlign w:val="center"/>
            <w:hideMark/>
          </w:tcPr>
          <w:p w14:paraId="1561904D"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r>
      <w:tr w:rsidR="001D16CF" w:rsidRPr="001D16CF" w14:paraId="754B8D9A"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4F7968B4" w14:textId="77777777" w:rsidR="001D16CF" w:rsidRPr="001D16CF" w:rsidRDefault="001D16CF" w:rsidP="001D16CF">
            <w:pPr>
              <w:rPr>
                <w:rFonts w:ascii="Arial" w:hAnsi="Arial" w:cs="Arial"/>
                <w:b/>
                <w:bCs/>
                <w:color w:val="000000"/>
                <w:sz w:val="22"/>
                <w:szCs w:val="22"/>
              </w:rPr>
            </w:pPr>
            <w:r w:rsidRPr="001D16CF">
              <w:rPr>
                <w:rFonts w:ascii="Arial" w:hAnsi="Arial" w:cs="Arial"/>
                <w:b/>
                <w:bCs/>
                <w:color w:val="000000"/>
                <w:sz w:val="22"/>
                <w:szCs w:val="22"/>
              </w:rPr>
              <w:t> </w:t>
            </w:r>
          </w:p>
        </w:tc>
        <w:tc>
          <w:tcPr>
            <w:tcW w:w="1280" w:type="dxa"/>
            <w:tcBorders>
              <w:top w:val="nil"/>
              <w:left w:val="nil"/>
              <w:bottom w:val="nil"/>
              <w:right w:val="single" w:sz="8" w:space="0" w:color="auto"/>
            </w:tcBorders>
            <w:vAlign w:val="center"/>
            <w:hideMark/>
          </w:tcPr>
          <w:p w14:paraId="7FB2A604"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c>
          <w:tcPr>
            <w:tcW w:w="1480" w:type="dxa"/>
            <w:tcBorders>
              <w:top w:val="nil"/>
              <w:left w:val="nil"/>
              <w:bottom w:val="nil"/>
              <w:right w:val="single" w:sz="8" w:space="0" w:color="auto"/>
            </w:tcBorders>
            <w:shd w:val="clear" w:color="000000" w:fill="CCCCCC"/>
            <w:vAlign w:val="center"/>
            <w:hideMark/>
          </w:tcPr>
          <w:p w14:paraId="0397E57D"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r>
      <w:tr w:rsidR="001D16CF" w:rsidRPr="001D16CF" w14:paraId="118899A4"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6E8438B1" w14:textId="77777777" w:rsidR="001D16CF" w:rsidRPr="001D16CF" w:rsidRDefault="001D16CF" w:rsidP="001D16CF">
            <w:pPr>
              <w:rPr>
                <w:rFonts w:ascii="Arial" w:hAnsi="Arial" w:cs="Arial"/>
                <w:b/>
                <w:bCs/>
                <w:color w:val="000000"/>
                <w:sz w:val="22"/>
                <w:szCs w:val="22"/>
              </w:rPr>
            </w:pPr>
            <w:r w:rsidRPr="001D16CF">
              <w:rPr>
                <w:rFonts w:ascii="Arial" w:hAnsi="Arial" w:cs="Arial"/>
                <w:b/>
                <w:bCs/>
                <w:color w:val="000000"/>
                <w:sz w:val="22"/>
                <w:szCs w:val="22"/>
              </w:rPr>
              <w:t>Credited to Services:</w:t>
            </w:r>
          </w:p>
        </w:tc>
        <w:tc>
          <w:tcPr>
            <w:tcW w:w="1280" w:type="dxa"/>
            <w:tcBorders>
              <w:top w:val="nil"/>
              <w:left w:val="nil"/>
              <w:bottom w:val="nil"/>
              <w:right w:val="single" w:sz="8" w:space="0" w:color="auto"/>
            </w:tcBorders>
            <w:vAlign w:val="center"/>
            <w:hideMark/>
          </w:tcPr>
          <w:p w14:paraId="617FBFEE"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c>
          <w:tcPr>
            <w:tcW w:w="1480" w:type="dxa"/>
            <w:tcBorders>
              <w:top w:val="nil"/>
              <w:left w:val="nil"/>
              <w:bottom w:val="nil"/>
              <w:right w:val="single" w:sz="8" w:space="0" w:color="auto"/>
            </w:tcBorders>
            <w:shd w:val="clear" w:color="000000" w:fill="CCCCCC"/>
            <w:vAlign w:val="center"/>
            <w:hideMark/>
          </w:tcPr>
          <w:p w14:paraId="7CF3015F"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r>
      <w:tr w:rsidR="001D16CF" w:rsidRPr="001D16CF" w14:paraId="210A3724"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407AF36F"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Funding for Additional Police Officers</w:t>
            </w:r>
          </w:p>
        </w:tc>
        <w:tc>
          <w:tcPr>
            <w:tcW w:w="1280" w:type="dxa"/>
            <w:tcBorders>
              <w:top w:val="nil"/>
              <w:left w:val="nil"/>
              <w:bottom w:val="nil"/>
              <w:right w:val="single" w:sz="8" w:space="0" w:color="auto"/>
            </w:tcBorders>
            <w:vAlign w:val="center"/>
            <w:hideMark/>
          </w:tcPr>
          <w:p w14:paraId="47D9AE68"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(9,720)</w:t>
            </w:r>
          </w:p>
        </w:tc>
        <w:tc>
          <w:tcPr>
            <w:tcW w:w="1480" w:type="dxa"/>
            <w:tcBorders>
              <w:top w:val="nil"/>
              <w:left w:val="nil"/>
              <w:bottom w:val="nil"/>
              <w:right w:val="single" w:sz="8" w:space="0" w:color="auto"/>
            </w:tcBorders>
            <w:shd w:val="clear" w:color="000000" w:fill="CCCCCC"/>
            <w:vAlign w:val="center"/>
            <w:hideMark/>
          </w:tcPr>
          <w:p w14:paraId="0504B7C2"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(14,177)</w:t>
            </w:r>
          </w:p>
        </w:tc>
      </w:tr>
      <w:tr w:rsidR="001D16CF" w:rsidRPr="001D16CF" w14:paraId="4E074C90"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1FF21342"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Counter Terrorism</w:t>
            </w:r>
          </w:p>
        </w:tc>
        <w:tc>
          <w:tcPr>
            <w:tcW w:w="1280" w:type="dxa"/>
            <w:tcBorders>
              <w:top w:val="nil"/>
              <w:left w:val="nil"/>
              <w:bottom w:val="nil"/>
              <w:right w:val="single" w:sz="8" w:space="0" w:color="auto"/>
            </w:tcBorders>
            <w:vAlign w:val="center"/>
            <w:hideMark/>
          </w:tcPr>
          <w:p w14:paraId="24D980C7"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(2,925)</w:t>
            </w:r>
          </w:p>
        </w:tc>
        <w:tc>
          <w:tcPr>
            <w:tcW w:w="1480" w:type="dxa"/>
            <w:tcBorders>
              <w:top w:val="nil"/>
              <w:left w:val="nil"/>
              <w:bottom w:val="nil"/>
              <w:right w:val="single" w:sz="8" w:space="0" w:color="auto"/>
            </w:tcBorders>
            <w:shd w:val="clear" w:color="000000" w:fill="CCCCCC"/>
            <w:vAlign w:val="center"/>
            <w:hideMark/>
          </w:tcPr>
          <w:p w14:paraId="472E15CE"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(3,333)</w:t>
            </w:r>
          </w:p>
        </w:tc>
      </w:tr>
      <w:tr w:rsidR="001D16CF" w:rsidRPr="001D16CF" w14:paraId="0595E671"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09110A28"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Ministry of Justice Victims Support</w:t>
            </w:r>
          </w:p>
        </w:tc>
        <w:tc>
          <w:tcPr>
            <w:tcW w:w="1280" w:type="dxa"/>
            <w:tcBorders>
              <w:top w:val="nil"/>
              <w:left w:val="nil"/>
              <w:bottom w:val="nil"/>
              <w:right w:val="single" w:sz="8" w:space="0" w:color="auto"/>
            </w:tcBorders>
            <w:vAlign w:val="center"/>
            <w:hideMark/>
          </w:tcPr>
          <w:p w14:paraId="6DBF4BD6"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(4,180)</w:t>
            </w:r>
          </w:p>
        </w:tc>
        <w:tc>
          <w:tcPr>
            <w:tcW w:w="1480" w:type="dxa"/>
            <w:tcBorders>
              <w:top w:val="nil"/>
              <w:left w:val="nil"/>
              <w:bottom w:val="nil"/>
              <w:right w:val="single" w:sz="8" w:space="0" w:color="auto"/>
            </w:tcBorders>
            <w:shd w:val="clear" w:color="000000" w:fill="CCCCCC"/>
            <w:vAlign w:val="center"/>
            <w:hideMark/>
          </w:tcPr>
          <w:p w14:paraId="5ECD507E"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(4,119)</w:t>
            </w:r>
          </w:p>
        </w:tc>
      </w:tr>
      <w:tr w:rsidR="001D16CF" w:rsidRPr="001D16CF" w14:paraId="3398E2FA"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62B62968"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Consolidated Hotspot Response*</w:t>
            </w:r>
          </w:p>
        </w:tc>
        <w:tc>
          <w:tcPr>
            <w:tcW w:w="1280" w:type="dxa"/>
            <w:tcBorders>
              <w:top w:val="nil"/>
              <w:left w:val="nil"/>
              <w:bottom w:val="nil"/>
              <w:right w:val="single" w:sz="8" w:space="0" w:color="auto"/>
            </w:tcBorders>
            <w:vAlign w:val="center"/>
            <w:hideMark/>
          </w:tcPr>
          <w:p w14:paraId="015F6901"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(1,923)</w:t>
            </w:r>
          </w:p>
        </w:tc>
        <w:tc>
          <w:tcPr>
            <w:tcW w:w="1480" w:type="dxa"/>
            <w:tcBorders>
              <w:top w:val="nil"/>
              <w:left w:val="nil"/>
              <w:bottom w:val="nil"/>
              <w:right w:val="single" w:sz="8" w:space="0" w:color="auto"/>
            </w:tcBorders>
            <w:shd w:val="clear" w:color="000000" w:fill="CCCCCC"/>
            <w:vAlign w:val="center"/>
            <w:hideMark/>
          </w:tcPr>
          <w:p w14:paraId="444C0642"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(1,957)</w:t>
            </w:r>
          </w:p>
        </w:tc>
      </w:tr>
      <w:tr w:rsidR="001D16CF" w:rsidRPr="001D16CF" w14:paraId="2C2694E3"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0B485D53"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 xml:space="preserve">Violence Reduction Unit Funding                                                            </w:t>
            </w:r>
          </w:p>
        </w:tc>
        <w:tc>
          <w:tcPr>
            <w:tcW w:w="1280" w:type="dxa"/>
            <w:tcBorders>
              <w:top w:val="nil"/>
              <w:left w:val="nil"/>
              <w:bottom w:val="nil"/>
              <w:right w:val="single" w:sz="8" w:space="0" w:color="auto"/>
            </w:tcBorders>
            <w:vAlign w:val="center"/>
            <w:hideMark/>
          </w:tcPr>
          <w:p w14:paraId="7230FE15"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(1,527)</w:t>
            </w:r>
          </w:p>
        </w:tc>
        <w:tc>
          <w:tcPr>
            <w:tcW w:w="1480" w:type="dxa"/>
            <w:tcBorders>
              <w:top w:val="nil"/>
              <w:left w:val="nil"/>
              <w:bottom w:val="nil"/>
              <w:right w:val="single" w:sz="8" w:space="0" w:color="auto"/>
            </w:tcBorders>
            <w:shd w:val="clear" w:color="000000" w:fill="CCCCCC"/>
            <w:vAlign w:val="center"/>
            <w:hideMark/>
          </w:tcPr>
          <w:p w14:paraId="5C907007"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(1,520)</w:t>
            </w:r>
          </w:p>
        </w:tc>
      </w:tr>
      <w:tr w:rsidR="001D16CF" w:rsidRPr="001D16CF" w14:paraId="5B05AF53" w14:textId="77777777" w:rsidTr="001D16CF">
        <w:trPr>
          <w:trHeight w:val="300"/>
        </w:trPr>
        <w:tc>
          <w:tcPr>
            <w:tcW w:w="6800" w:type="dxa"/>
            <w:tcBorders>
              <w:top w:val="nil"/>
              <w:left w:val="single" w:sz="8" w:space="0" w:color="auto"/>
              <w:bottom w:val="nil"/>
              <w:right w:val="nil"/>
            </w:tcBorders>
            <w:shd w:val="clear" w:color="000000" w:fill="CCCCCC"/>
            <w:vAlign w:val="center"/>
            <w:hideMark/>
          </w:tcPr>
          <w:p w14:paraId="5F2A81DC"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National Police Wellbeing Service</w:t>
            </w:r>
          </w:p>
        </w:tc>
        <w:tc>
          <w:tcPr>
            <w:tcW w:w="1280" w:type="dxa"/>
            <w:tcBorders>
              <w:top w:val="nil"/>
              <w:left w:val="nil"/>
              <w:bottom w:val="nil"/>
              <w:right w:val="single" w:sz="8" w:space="0" w:color="auto"/>
            </w:tcBorders>
            <w:vAlign w:val="center"/>
            <w:hideMark/>
          </w:tcPr>
          <w:p w14:paraId="7CC4B401"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(1,934)</w:t>
            </w:r>
          </w:p>
        </w:tc>
        <w:tc>
          <w:tcPr>
            <w:tcW w:w="1480" w:type="dxa"/>
            <w:tcBorders>
              <w:top w:val="nil"/>
              <w:left w:val="nil"/>
              <w:bottom w:val="nil"/>
              <w:right w:val="single" w:sz="8" w:space="0" w:color="auto"/>
            </w:tcBorders>
            <w:shd w:val="clear" w:color="000000" w:fill="CCCCCC"/>
            <w:vAlign w:val="center"/>
            <w:hideMark/>
          </w:tcPr>
          <w:p w14:paraId="213A7776"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(1,922)</w:t>
            </w:r>
          </w:p>
        </w:tc>
      </w:tr>
      <w:tr w:rsidR="001D16CF" w:rsidRPr="001D16CF" w14:paraId="0002141B"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0423EB9B"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 xml:space="preserve">Robotic Process Automation </w:t>
            </w:r>
          </w:p>
        </w:tc>
        <w:tc>
          <w:tcPr>
            <w:tcW w:w="1280" w:type="dxa"/>
            <w:tcBorders>
              <w:top w:val="nil"/>
              <w:left w:val="nil"/>
              <w:bottom w:val="nil"/>
              <w:right w:val="single" w:sz="8" w:space="0" w:color="auto"/>
            </w:tcBorders>
            <w:vAlign w:val="center"/>
            <w:hideMark/>
          </w:tcPr>
          <w:p w14:paraId="711254B9"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(1,149)</w:t>
            </w:r>
          </w:p>
        </w:tc>
        <w:tc>
          <w:tcPr>
            <w:tcW w:w="1480" w:type="dxa"/>
            <w:tcBorders>
              <w:top w:val="nil"/>
              <w:left w:val="nil"/>
              <w:bottom w:val="nil"/>
              <w:right w:val="single" w:sz="8" w:space="0" w:color="auto"/>
            </w:tcBorders>
            <w:shd w:val="clear" w:color="000000" w:fill="CCCCCC"/>
            <w:vAlign w:val="center"/>
            <w:hideMark/>
          </w:tcPr>
          <w:p w14:paraId="67493EFB"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(2,590)</w:t>
            </w:r>
          </w:p>
        </w:tc>
      </w:tr>
      <w:tr w:rsidR="001D16CF" w:rsidRPr="001D16CF" w14:paraId="1E183053"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6AC9F904"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DBS</w:t>
            </w:r>
          </w:p>
        </w:tc>
        <w:tc>
          <w:tcPr>
            <w:tcW w:w="1280" w:type="dxa"/>
            <w:tcBorders>
              <w:top w:val="nil"/>
              <w:left w:val="nil"/>
              <w:bottom w:val="nil"/>
              <w:right w:val="single" w:sz="8" w:space="0" w:color="auto"/>
            </w:tcBorders>
            <w:vAlign w:val="center"/>
            <w:hideMark/>
          </w:tcPr>
          <w:p w14:paraId="61630AE9"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(1,178)</w:t>
            </w:r>
          </w:p>
        </w:tc>
        <w:tc>
          <w:tcPr>
            <w:tcW w:w="1480" w:type="dxa"/>
            <w:tcBorders>
              <w:top w:val="nil"/>
              <w:left w:val="nil"/>
              <w:bottom w:val="nil"/>
              <w:right w:val="single" w:sz="8" w:space="0" w:color="auto"/>
            </w:tcBorders>
            <w:shd w:val="clear" w:color="000000" w:fill="CCCCCC"/>
            <w:vAlign w:val="center"/>
            <w:hideMark/>
          </w:tcPr>
          <w:p w14:paraId="2FA66908"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(1,266)</w:t>
            </w:r>
          </w:p>
        </w:tc>
      </w:tr>
      <w:tr w:rsidR="001D16CF" w:rsidRPr="001D16CF" w14:paraId="6F88C8B1"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2102A085"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Serious Violence Duty</w:t>
            </w:r>
          </w:p>
        </w:tc>
        <w:tc>
          <w:tcPr>
            <w:tcW w:w="1280" w:type="dxa"/>
            <w:tcBorders>
              <w:top w:val="nil"/>
              <w:left w:val="nil"/>
              <w:bottom w:val="nil"/>
              <w:right w:val="single" w:sz="8" w:space="0" w:color="auto"/>
            </w:tcBorders>
            <w:vAlign w:val="center"/>
            <w:hideMark/>
          </w:tcPr>
          <w:p w14:paraId="7CD4C2EA"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(346)</w:t>
            </w:r>
          </w:p>
        </w:tc>
        <w:tc>
          <w:tcPr>
            <w:tcW w:w="1480" w:type="dxa"/>
            <w:tcBorders>
              <w:top w:val="nil"/>
              <w:left w:val="nil"/>
              <w:bottom w:val="nil"/>
              <w:right w:val="single" w:sz="8" w:space="0" w:color="auto"/>
            </w:tcBorders>
            <w:shd w:val="clear" w:color="000000" w:fill="CCCCCC"/>
            <w:vAlign w:val="center"/>
            <w:hideMark/>
          </w:tcPr>
          <w:p w14:paraId="0946787B"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(301)</w:t>
            </w:r>
          </w:p>
        </w:tc>
      </w:tr>
      <w:tr w:rsidR="001D16CF" w:rsidRPr="001D16CF" w14:paraId="6960DEA0" w14:textId="77777777" w:rsidTr="001D16CF">
        <w:trPr>
          <w:trHeight w:val="600"/>
        </w:trPr>
        <w:tc>
          <w:tcPr>
            <w:tcW w:w="6800" w:type="dxa"/>
            <w:tcBorders>
              <w:top w:val="nil"/>
              <w:left w:val="single" w:sz="8" w:space="0" w:color="auto"/>
              <w:bottom w:val="nil"/>
              <w:right w:val="nil"/>
            </w:tcBorders>
            <w:shd w:val="clear" w:color="000000" w:fill="CCCCCC"/>
            <w:vAlign w:val="center"/>
            <w:hideMark/>
          </w:tcPr>
          <w:p w14:paraId="6D882F7A"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Share of grant funding received by lead forces in collaboration arrangements</w:t>
            </w:r>
          </w:p>
        </w:tc>
        <w:tc>
          <w:tcPr>
            <w:tcW w:w="1280" w:type="dxa"/>
            <w:tcBorders>
              <w:top w:val="nil"/>
              <w:left w:val="nil"/>
              <w:bottom w:val="nil"/>
              <w:right w:val="single" w:sz="8" w:space="0" w:color="auto"/>
            </w:tcBorders>
            <w:vAlign w:val="center"/>
            <w:hideMark/>
          </w:tcPr>
          <w:p w14:paraId="1C923ADB"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(550)</w:t>
            </w:r>
          </w:p>
        </w:tc>
        <w:tc>
          <w:tcPr>
            <w:tcW w:w="1480" w:type="dxa"/>
            <w:tcBorders>
              <w:top w:val="nil"/>
              <w:left w:val="nil"/>
              <w:bottom w:val="nil"/>
              <w:right w:val="single" w:sz="8" w:space="0" w:color="auto"/>
            </w:tcBorders>
            <w:shd w:val="clear" w:color="000000" w:fill="CCCCCC"/>
            <w:vAlign w:val="center"/>
            <w:hideMark/>
          </w:tcPr>
          <w:p w14:paraId="30E8ADD0"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(517)</w:t>
            </w:r>
          </w:p>
        </w:tc>
      </w:tr>
      <w:tr w:rsidR="001D16CF" w:rsidRPr="001D16CF" w14:paraId="5E27D7E5" w14:textId="77777777" w:rsidTr="001D16CF">
        <w:trPr>
          <w:trHeight w:val="600"/>
        </w:trPr>
        <w:tc>
          <w:tcPr>
            <w:tcW w:w="6800" w:type="dxa"/>
            <w:tcBorders>
              <w:top w:val="nil"/>
              <w:left w:val="single" w:sz="8" w:space="0" w:color="auto"/>
              <w:bottom w:val="nil"/>
              <w:right w:val="nil"/>
            </w:tcBorders>
            <w:shd w:val="clear" w:color="000000" w:fill="CCCCCC"/>
            <w:vAlign w:val="center"/>
            <w:hideMark/>
          </w:tcPr>
          <w:p w14:paraId="444986B4"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Domestic Abuse Matters</w:t>
            </w:r>
          </w:p>
        </w:tc>
        <w:tc>
          <w:tcPr>
            <w:tcW w:w="1280" w:type="dxa"/>
            <w:tcBorders>
              <w:top w:val="nil"/>
              <w:left w:val="nil"/>
              <w:bottom w:val="nil"/>
              <w:right w:val="single" w:sz="8" w:space="0" w:color="auto"/>
            </w:tcBorders>
            <w:vAlign w:val="center"/>
            <w:hideMark/>
          </w:tcPr>
          <w:p w14:paraId="53C1746B"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(124)</w:t>
            </w:r>
          </w:p>
        </w:tc>
        <w:tc>
          <w:tcPr>
            <w:tcW w:w="1480" w:type="dxa"/>
            <w:tcBorders>
              <w:top w:val="nil"/>
              <w:left w:val="nil"/>
              <w:bottom w:val="nil"/>
              <w:right w:val="single" w:sz="8" w:space="0" w:color="auto"/>
            </w:tcBorders>
            <w:shd w:val="clear" w:color="000000" w:fill="CCCCCC"/>
            <w:vAlign w:val="center"/>
            <w:hideMark/>
          </w:tcPr>
          <w:p w14:paraId="3F9BFC38"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0</w:t>
            </w:r>
          </w:p>
        </w:tc>
      </w:tr>
      <w:tr w:rsidR="001D16CF" w:rsidRPr="001D16CF" w14:paraId="03833C99"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39924715"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NPPC Cyber Crime Grant</w:t>
            </w:r>
          </w:p>
        </w:tc>
        <w:tc>
          <w:tcPr>
            <w:tcW w:w="1280" w:type="dxa"/>
            <w:tcBorders>
              <w:top w:val="nil"/>
              <w:left w:val="nil"/>
              <w:bottom w:val="nil"/>
              <w:right w:val="single" w:sz="8" w:space="0" w:color="auto"/>
            </w:tcBorders>
            <w:vAlign w:val="center"/>
            <w:hideMark/>
          </w:tcPr>
          <w:p w14:paraId="3BBDB0C5"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(182)</w:t>
            </w:r>
          </w:p>
        </w:tc>
        <w:tc>
          <w:tcPr>
            <w:tcW w:w="1480" w:type="dxa"/>
            <w:tcBorders>
              <w:top w:val="nil"/>
              <w:left w:val="nil"/>
              <w:bottom w:val="nil"/>
              <w:right w:val="single" w:sz="8" w:space="0" w:color="auto"/>
            </w:tcBorders>
            <w:shd w:val="clear" w:color="000000" w:fill="CCCCCC"/>
            <w:vAlign w:val="center"/>
            <w:hideMark/>
          </w:tcPr>
          <w:p w14:paraId="77333B9F"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(193)</w:t>
            </w:r>
          </w:p>
        </w:tc>
      </w:tr>
      <w:tr w:rsidR="001D16CF" w:rsidRPr="001D16CF" w14:paraId="24007965"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5CB87A8B"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Software Licence Costs</w:t>
            </w:r>
          </w:p>
        </w:tc>
        <w:tc>
          <w:tcPr>
            <w:tcW w:w="1280" w:type="dxa"/>
            <w:tcBorders>
              <w:top w:val="nil"/>
              <w:left w:val="nil"/>
              <w:bottom w:val="nil"/>
              <w:right w:val="single" w:sz="8" w:space="0" w:color="auto"/>
            </w:tcBorders>
            <w:vAlign w:val="center"/>
            <w:hideMark/>
          </w:tcPr>
          <w:p w14:paraId="2C4212D8"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(509)</w:t>
            </w:r>
          </w:p>
        </w:tc>
        <w:tc>
          <w:tcPr>
            <w:tcW w:w="1480" w:type="dxa"/>
            <w:tcBorders>
              <w:top w:val="nil"/>
              <w:left w:val="nil"/>
              <w:bottom w:val="nil"/>
              <w:right w:val="single" w:sz="8" w:space="0" w:color="auto"/>
            </w:tcBorders>
            <w:shd w:val="clear" w:color="000000" w:fill="CCCCCC"/>
            <w:vAlign w:val="center"/>
            <w:hideMark/>
          </w:tcPr>
          <w:p w14:paraId="7DD9B4F8"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0</w:t>
            </w:r>
          </w:p>
        </w:tc>
      </w:tr>
      <w:tr w:rsidR="001D16CF" w:rsidRPr="001D16CF" w14:paraId="143E56DF"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413DCF5D"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Project Adder                              </w:t>
            </w:r>
          </w:p>
        </w:tc>
        <w:tc>
          <w:tcPr>
            <w:tcW w:w="1280" w:type="dxa"/>
            <w:tcBorders>
              <w:top w:val="nil"/>
              <w:left w:val="nil"/>
              <w:bottom w:val="nil"/>
              <w:right w:val="single" w:sz="8" w:space="0" w:color="auto"/>
            </w:tcBorders>
            <w:vAlign w:val="center"/>
            <w:hideMark/>
          </w:tcPr>
          <w:p w14:paraId="7B48FB0C"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(352)</w:t>
            </w:r>
          </w:p>
        </w:tc>
        <w:tc>
          <w:tcPr>
            <w:tcW w:w="1480" w:type="dxa"/>
            <w:tcBorders>
              <w:top w:val="nil"/>
              <w:left w:val="nil"/>
              <w:bottom w:val="nil"/>
              <w:right w:val="single" w:sz="8" w:space="0" w:color="auto"/>
            </w:tcBorders>
            <w:shd w:val="clear" w:color="000000" w:fill="CCCCCC"/>
            <w:vAlign w:val="center"/>
            <w:hideMark/>
          </w:tcPr>
          <w:p w14:paraId="39D3FA83"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(302)</w:t>
            </w:r>
          </w:p>
        </w:tc>
      </w:tr>
      <w:tr w:rsidR="001D16CF" w:rsidRPr="001D16CF" w14:paraId="3042C826"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36977657"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Safer Streets Funding</w:t>
            </w:r>
          </w:p>
        </w:tc>
        <w:tc>
          <w:tcPr>
            <w:tcW w:w="1280" w:type="dxa"/>
            <w:tcBorders>
              <w:top w:val="nil"/>
              <w:left w:val="nil"/>
              <w:bottom w:val="nil"/>
              <w:right w:val="single" w:sz="8" w:space="0" w:color="auto"/>
            </w:tcBorders>
            <w:vAlign w:val="center"/>
            <w:hideMark/>
          </w:tcPr>
          <w:p w14:paraId="6BA3AC76"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(465)</w:t>
            </w:r>
          </w:p>
        </w:tc>
        <w:tc>
          <w:tcPr>
            <w:tcW w:w="1480" w:type="dxa"/>
            <w:tcBorders>
              <w:top w:val="nil"/>
              <w:left w:val="nil"/>
              <w:bottom w:val="nil"/>
              <w:right w:val="single" w:sz="8" w:space="0" w:color="auto"/>
            </w:tcBorders>
            <w:shd w:val="clear" w:color="000000" w:fill="CCCCCC"/>
            <w:vAlign w:val="center"/>
            <w:hideMark/>
          </w:tcPr>
          <w:p w14:paraId="011C284D"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(348)</w:t>
            </w:r>
          </w:p>
        </w:tc>
      </w:tr>
      <w:tr w:rsidR="001D16CF" w:rsidRPr="001D16CF" w14:paraId="21FF8E16"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0D0519CC"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XL Bully Dog Kennelling</w:t>
            </w:r>
          </w:p>
        </w:tc>
        <w:tc>
          <w:tcPr>
            <w:tcW w:w="1280" w:type="dxa"/>
            <w:tcBorders>
              <w:top w:val="nil"/>
              <w:left w:val="nil"/>
              <w:bottom w:val="nil"/>
              <w:right w:val="single" w:sz="8" w:space="0" w:color="auto"/>
            </w:tcBorders>
            <w:vAlign w:val="center"/>
            <w:hideMark/>
          </w:tcPr>
          <w:p w14:paraId="17BB6ABC"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0</w:t>
            </w:r>
          </w:p>
        </w:tc>
        <w:tc>
          <w:tcPr>
            <w:tcW w:w="1480" w:type="dxa"/>
            <w:tcBorders>
              <w:top w:val="nil"/>
              <w:left w:val="nil"/>
              <w:bottom w:val="nil"/>
              <w:right w:val="single" w:sz="8" w:space="0" w:color="auto"/>
            </w:tcBorders>
            <w:shd w:val="clear" w:color="000000" w:fill="CCCCCC"/>
            <w:vAlign w:val="center"/>
            <w:hideMark/>
          </w:tcPr>
          <w:p w14:paraId="0BFA724C"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(242)</w:t>
            </w:r>
          </w:p>
        </w:tc>
      </w:tr>
      <w:tr w:rsidR="001D16CF" w:rsidRPr="001D16CF" w14:paraId="6A9FF21D"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63FAB439"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Lancashire Resilience Forum</w:t>
            </w:r>
          </w:p>
        </w:tc>
        <w:tc>
          <w:tcPr>
            <w:tcW w:w="1280" w:type="dxa"/>
            <w:tcBorders>
              <w:top w:val="nil"/>
              <w:left w:val="nil"/>
              <w:bottom w:val="nil"/>
              <w:right w:val="single" w:sz="8" w:space="0" w:color="auto"/>
            </w:tcBorders>
            <w:vAlign w:val="center"/>
            <w:hideMark/>
          </w:tcPr>
          <w:p w14:paraId="23E0E92E"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(200)</w:t>
            </w:r>
          </w:p>
        </w:tc>
        <w:tc>
          <w:tcPr>
            <w:tcW w:w="1480" w:type="dxa"/>
            <w:tcBorders>
              <w:top w:val="nil"/>
              <w:left w:val="nil"/>
              <w:bottom w:val="nil"/>
              <w:right w:val="single" w:sz="8" w:space="0" w:color="auto"/>
            </w:tcBorders>
            <w:shd w:val="clear" w:color="000000" w:fill="CCCCCC"/>
            <w:vAlign w:val="center"/>
            <w:hideMark/>
          </w:tcPr>
          <w:p w14:paraId="065E4C40"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(350)</w:t>
            </w:r>
          </w:p>
        </w:tc>
      </w:tr>
      <w:tr w:rsidR="001D16CF" w:rsidRPr="001D16CF" w14:paraId="167462A4"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15182B96"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Other small grants &amp; contributions (grants below £100k)</w:t>
            </w:r>
          </w:p>
        </w:tc>
        <w:tc>
          <w:tcPr>
            <w:tcW w:w="1280" w:type="dxa"/>
            <w:tcBorders>
              <w:top w:val="nil"/>
              <w:left w:val="nil"/>
              <w:bottom w:val="single" w:sz="4" w:space="0" w:color="auto"/>
              <w:right w:val="single" w:sz="8" w:space="0" w:color="auto"/>
            </w:tcBorders>
            <w:vAlign w:val="center"/>
            <w:hideMark/>
          </w:tcPr>
          <w:p w14:paraId="5B4CE64B"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(150)</w:t>
            </w:r>
          </w:p>
        </w:tc>
        <w:tc>
          <w:tcPr>
            <w:tcW w:w="1480" w:type="dxa"/>
            <w:tcBorders>
              <w:top w:val="nil"/>
              <w:left w:val="nil"/>
              <w:bottom w:val="single" w:sz="4" w:space="0" w:color="auto"/>
              <w:right w:val="single" w:sz="8" w:space="0" w:color="auto"/>
            </w:tcBorders>
            <w:shd w:val="clear" w:color="000000" w:fill="CCCCCC"/>
            <w:vAlign w:val="center"/>
            <w:hideMark/>
          </w:tcPr>
          <w:p w14:paraId="302BAC0E"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(274)</w:t>
            </w:r>
          </w:p>
        </w:tc>
      </w:tr>
      <w:tr w:rsidR="001D16CF" w:rsidRPr="001D16CF" w14:paraId="1B1A40AC"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09F8E0FC" w14:textId="77777777" w:rsidR="001D16CF" w:rsidRPr="001D16CF" w:rsidRDefault="001D16CF" w:rsidP="001D16CF">
            <w:pPr>
              <w:rPr>
                <w:rFonts w:ascii="Arial" w:hAnsi="Arial" w:cs="Arial"/>
                <w:b/>
                <w:bCs/>
                <w:color w:val="000000"/>
                <w:sz w:val="22"/>
                <w:szCs w:val="22"/>
              </w:rPr>
            </w:pPr>
            <w:r w:rsidRPr="001D16CF">
              <w:rPr>
                <w:rFonts w:ascii="Arial" w:hAnsi="Arial" w:cs="Arial"/>
                <w:b/>
                <w:bCs/>
                <w:color w:val="000000"/>
                <w:sz w:val="22"/>
                <w:szCs w:val="22"/>
              </w:rPr>
              <w:t>Total</w:t>
            </w:r>
          </w:p>
        </w:tc>
        <w:tc>
          <w:tcPr>
            <w:tcW w:w="1280" w:type="dxa"/>
            <w:tcBorders>
              <w:top w:val="nil"/>
              <w:left w:val="nil"/>
              <w:bottom w:val="nil"/>
              <w:right w:val="nil"/>
            </w:tcBorders>
            <w:vAlign w:val="center"/>
            <w:hideMark/>
          </w:tcPr>
          <w:p w14:paraId="2BDBC7E3"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(27,413)</w:t>
            </w:r>
          </w:p>
        </w:tc>
        <w:tc>
          <w:tcPr>
            <w:tcW w:w="1480" w:type="dxa"/>
            <w:tcBorders>
              <w:top w:val="nil"/>
              <w:left w:val="nil"/>
              <w:bottom w:val="nil"/>
              <w:right w:val="single" w:sz="8" w:space="0" w:color="auto"/>
            </w:tcBorders>
            <w:shd w:val="clear" w:color="000000" w:fill="CCCCCC"/>
            <w:vAlign w:val="center"/>
            <w:hideMark/>
          </w:tcPr>
          <w:p w14:paraId="29902CFA"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(33,412)</w:t>
            </w:r>
          </w:p>
        </w:tc>
      </w:tr>
      <w:tr w:rsidR="001D16CF" w:rsidRPr="001D16CF" w14:paraId="72BE48A1" w14:textId="77777777" w:rsidTr="001D16CF">
        <w:trPr>
          <w:trHeight w:val="290"/>
        </w:trPr>
        <w:tc>
          <w:tcPr>
            <w:tcW w:w="6800" w:type="dxa"/>
            <w:tcBorders>
              <w:top w:val="nil"/>
              <w:left w:val="single" w:sz="8" w:space="0" w:color="auto"/>
              <w:bottom w:val="nil"/>
              <w:right w:val="nil"/>
            </w:tcBorders>
            <w:shd w:val="clear" w:color="000000" w:fill="CCCCCC"/>
            <w:vAlign w:val="center"/>
            <w:hideMark/>
          </w:tcPr>
          <w:p w14:paraId="592FD5C2" w14:textId="77777777" w:rsidR="001D16CF" w:rsidRPr="001D16CF" w:rsidRDefault="001D16CF" w:rsidP="001D16CF">
            <w:pPr>
              <w:rPr>
                <w:rFonts w:ascii="Arial" w:hAnsi="Arial" w:cs="Arial"/>
                <w:color w:val="000000"/>
                <w:sz w:val="22"/>
                <w:szCs w:val="22"/>
              </w:rPr>
            </w:pPr>
            <w:r w:rsidRPr="001D16CF">
              <w:rPr>
                <w:rFonts w:ascii="Arial" w:hAnsi="Arial" w:cs="Arial"/>
                <w:color w:val="000000"/>
                <w:sz w:val="22"/>
                <w:szCs w:val="22"/>
              </w:rPr>
              <w:t> </w:t>
            </w:r>
          </w:p>
        </w:tc>
        <w:tc>
          <w:tcPr>
            <w:tcW w:w="1280" w:type="dxa"/>
            <w:tcBorders>
              <w:top w:val="nil"/>
              <w:left w:val="nil"/>
              <w:bottom w:val="nil"/>
              <w:right w:val="nil"/>
            </w:tcBorders>
            <w:vAlign w:val="center"/>
            <w:hideMark/>
          </w:tcPr>
          <w:p w14:paraId="1B285410" w14:textId="77777777" w:rsidR="001D16CF" w:rsidRPr="001D16CF" w:rsidRDefault="001D16CF" w:rsidP="001D16CF">
            <w:pPr>
              <w:rPr>
                <w:rFonts w:ascii="Arial" w:hAnsi="Arial" w:cs="Arial"/>
                <w:color w:val="000000"/>
                <w:sz w:val="22"/>
                <w:szCs w:val="22"/>
              </w:rPr>
            </w:pPr>
          </w:p>
        </w:tc>
        <w:tc>
          <w:tcPr>
            <w:tcW w:w="1480" w:type="dxa"/>
            <w:tcBorders>
              <w:top w:val="nil"/>
              <w:left w:val="nil"/>
              <w:bottom w:val="nil"/>
              <w:right w:val="single" w:sz="8" w:space="0" w:color="auto"/>
            </w:tcBorders>
            <w:shd w:val="clear" w:color="000000" w:fill="CCCCCC"/>
            <w:vAlign w:val="center"/>
            <w:hideMark/>
          </w:tcPr>
          <w:p w14:paraId="752DA275" w14:textId="77777777" w:rsidR="001D16CF" w:rsidRPr="001D16CF" w:rsidRDefault="001D16CF" w:rsidP="001D16CF">
            <w:pPr>
              <w:jc w:val="right"/>
              <w:rPr>
                <w:rFonts w:ascii="Arial" w:hAnsi="Arial" w:cs="Arial"/>
                <w:color w:val="000000"/>
                <w:sz w:val="22"/>
                <w:szCs w:val="22"/>
              </w:rPr>
            </w:pPr>
            <w:r w:rsidRPr="001D16CF">
              <w:rPr>
                <w:rFonts w:ascii="Arial" w:hAnsi="Arial" w:cs="Arial"/>
                <w:color w:val="000000"/>
                <w:sz w:val="22"/>
                <w:szCs w:val="22"/>
              </w:rPr>
              <w:t> </w:t>
            </w:r>
          </w:p>
        </w:tc>
      </w:tr>
      <w:tr w:rsidR="001D16CF" w:rsidRPr="001D16CF" w14:paraId="7F87AD26" w14:textId="77777777" w:rsidTr="001D16CF">
        <w:trPr>
          <w:trHeight w:val="300"/>
        </w:trPr>
        <w:tc>
          <w:tcPr>
            <w:tcW w:w="6800" w:type="dxa"/>
            <w:tcBorders>
              <w:top w:val="nil"/>
              <w:left w:val="single" w:sz="8" w:space="0" w:color="auto"/>
              <w:bottom w:val="single" w:sz="8" w:space="0" w:color="auto"/>
              <w:right w:val="nil"/>
            </w:tcBorders>
            <w:shd w:val="clear" w:color="000000" w:fill="CCCCCC"/>
            <w:vAlign w:val="center"/>
            <w:hideMark/>
          </w:tcPr>
          <w:p w14:paraId="08F53883" w14:textId="77777777" w:rsidR="001D16CF" w:rsidRPr="001D16CF" w:rsidRDefault="001D16CF" w:rsidP="001D16CF">
            <w:pPr>
              <w:rPr>
                <w:rFonts w:ascii="Arial" w:hAnsi="Arial" w:cs="Arial"/>
                <w:b/>
                <w:bCs/>
                <w:color w:val="000000"/>
                <w:sz w:val="22"/>
                <w:szCs w:val="22"/>
              </w:rPr>
            </w:pPr>
            <w:r w:rsidRPr="001D16CF">
              <w:rPr>
                <w:rFonts w:ascii="Arial" w:hAnsi="Arial" w:cs="Arial"/>
                <w:b/>
                <w:bCs/>
                <w:color w:val="000000"/>
                <w:sz w:val="22"/>
                <w:szCs w:val="22"/>
              </w:rPr>
              <w:t xml:space="preserve">Total Government Grants </w:t>
            </w:r>
          </w:p>
        </w:tc>
        <w:tc>
          <w:tcPr>
            <w:tcW w:w="1280" w:type="dxa"/>
            <w:tcBorders>
              <w:top w:val="nil"/>
              <w:left w:val="nil"/>
              <w:bottom w:val="single" w:sz="8" w:space="0" w:color="auto"/>
              <w:right w:val="nil"/>
            </w:tcBorders>
            <w:vAlign w:val="center"/>
            <w:hideMark/>
          </w:tcPr>
          <w:p w14:paraId="42859BFB" w14:textId="77777777" w:rsidR="001D16CF" w:rsidRPr="001D16CF" w:rsidRDefault="001D16CF" w:rsidP="001D16CF">
            <w:pPr>
              <w:jc w:val="right"/>
              <w:rPr>
                <w:rFonts w:ascii="Arial" w:hAnsi="Arial" w:cs="Arial"/>
                <w:b/>
                <w:bCs/>
                <w:color w:val="000000"/>
                <w:sz w:val="22"/>
                <w:szCs w:val="22"/>
              </w:rPr>
            </w:pPr>
            <w:r w:rsidRPr="001D16CF">
              <w:rPr>
                <w:rFonts w:ascii="Arial" w:hAnsi="Arial" w:cs="Arial"/>
                <w:b/>
                <w:bCs/>
                <w:color w:val="000000"/>
                <w:sz w:val="22"/>
                <w:szCs w:val="22"/>
              </w:rPr>
              <w:t>(326,640)</w:t>
            </w:r>
          </w:p>
        </w:tc>
        <w:tc>
          <w:tcPr>
            <w:tcW w:w="1480" w:type="dxa"/>
            <w:tcBorders>
              <w:top w:val="nil"/>
              <w:left w:val="nil"/>
              <w:bottom w:val="single" w:sz="8" w:space="0" w:color="auto"/>
              <w:right w:val="single" w:sz="8" w:space="0" w:color="auto"/>
            </w:tcBorders>
            <w:shd w:val="clear" w:color="000000" w:fill="CCCCCC"/>
            <w:vAlign w:val="center"/>
            <w:hideMark/>
          </w:tcPr>
          <w:p w14:paraId="1ABDD456" w14:textId="77777777" w:rsidR="001D16CF" w:rsidRPr="001D16CF" w:rsidRDefault="001D16CF" w:rsidP="001D16CF">
            <w:pPr>
              <w:jc w:val="right"/>
              <w:rPr>
                <w:rFonts w:ascii="Arial" w:hAnsi="Arial" w:cs="Arial"/>
                <w:b/>
                <w:bCs/>
                <w:color w:val="000000"/>
                <w:sz w:val="22"/>
                <w:szCs w:val="22"/>
              </w:rPr>
            </w:pPr>
            <w:r w:rsidRPr="001D16CF">
              <w:rPr>
                <w:rFonts w:ascii="Arial" w:hAnsi="Arial" w:cs="Arial"/>
                <w:b/>
                <w:bCs/>
                <w:color w:val="000000"/>
                <w:sz w:val="22"/>
                <w:szCs w:val="22"/>
              </w:rPr>
              <w:t>(347,739)</w:t>
            </w:r>
          </w:p>
        </w:tc>
      </w:tr>
    </w:tbl>
    <w:p w14:paraId="7C9AFEA9" w14:textId="77777777" w:rsidR="00911260" w:rsidRDefault="00911260" w:rsidP="008D3112">
      <w:pPr>
        <w:tabs>
          <w:tab w:val="right" w:pos="5760"/>
        </w:tabs>
        <w:ind w:left="426"/>
        <w:rPr>
          <w:rFonts w:ascii="Arial" w:hAnsi="Arial"/>
          <w:bCs/>
          <w:sz w:val="22"/>
          <w:szCs w:val="22"/>
        </w:rPr>
      </w:pPr>
    </w:p>
    <w:p w14:paraId="5496E630" w14:textId="19A4C558" w:rsidR="00E44CAB" w:rsidRDefault="001B2ABA" w:rsidP="008D3112">
      <w:pPr>
        <w:tabs>
          <w:tab w:val="right" w:pos="5760"/>
        </w:tabs>
        <w:ind w:left="426"/>
        <w:rPr>
          <w:rFonts w:ascii="Arial" w:hAnsi="Arial"/>
          <w:bCs/>
          <w:sz w:val="22"/>
          <w:szCs w:val="22"/>
        </w:rPr>
      </w:pPr>
      <w:r>
        <w:rPr>
          <w:rFonts w:ascii="Arial" w:hAnsi="Arial"/>
          <w:bCs/>
          <w:sz w:val="22"/>
          <w:szCs w:val="22"/>
        </w:rPr>
        <w:t>*</w:t>
      </w:r>
      <w:r w:rsidR="0037244F">
        <w:rPr>
          <w:rFonts w:ascii="Arial" w:hAnsi="Arial"/>
          <w:bCs/>
          <w:sz w:val="22"/>
          <w:szCs w:val="22"/>
        </w:rPr>
        <w:t xml:space="preserve">Grants disclosed as Serious Violence </w:t>
      </w:r>
      <w:r w:rsidR="00701F00">
        <w:rPr>
          <w:rFonts w:ascii="Arial" w:hAnsi="Arial"/>
          <w:bCs/>
          <w:sz w:val="22"/>
          <w:szCs w:val="22"/>
        </w:rPr>
        <w:t xml:space="preserve">Funding </w:t>
      </w:r>
      <w:r w:rsidR="0037244F">
        <w:rPr>
          <w:rFonts w:ascii="Arial" w:hAnsi="Arial"/>
          <w:bCs/>
          <w:sz w:val="22"/>
          <w:szCs w:val="22"/>
        </w:rPr>
        <w:t>a</w:t>
      </w:r>
      <w:r w:rsidR="00701F00">
        <w:rPr>
          <w:rFonts w:ascii="Arial" w:hAnsi="Arial"/>
          <w:bCs/>
          <w:sz w:val="22"/>
          <w:szCs w:val="22"/>
        </w:rPr>
        <w:t>nd Hotspot Response within 23/24, have be</w:t>
      </w:r>
      <w:r w:rsidR="00911260">
        <w:rPr>
          <w:rFonts w:ascii="Arial" w:hAnsi="Arial"/>
          <w:bCs/>
          <w:sz w:val="22"/>
          <w:szCs w:val="22"/>
        </w:rPr>
        <w:t xml:space="preserve">en </w:t>
      </w:r>
      <w:r w:rsidR="00701F00">
        <w:rPr>
          <w:rFonts w:ascii="Arial" w:hAnsi="Arial"/>
          <w:bCs/>
          <w:sz w:val="22"/>
          <w:szCs w:val="22"/>
        </w:rPr>
        <w:t xml:space="preserve">consolidated in </w:t>
      </w:r>
      <w:r w:rsidR="00D932CD">
        <w:rPr>
          <w:rFonts w:ascii="Arial" w:hAnsi="Arial"/>
          <w:bCs/>
          <w:sz w:val="22"/>
          <w:szCs w:val="22"/>
        </w:rPr>
        <w:t xml:space="preserve">a single grant for 24/25 and </w:t>
      </w:r>
      <w:r w:rsidR="00911260">
        <w:rPr>
          <w:rFonts w:ascii="Arial" w:hAnsi="Arial"/>
          <w:bCs/>
          <w:sz w:val="22"/>
          <w:szCs w:val="22"/>
        </w:rPr>
        <w:t xml:space="preserve">the </w:t>
      </w:r>
      <w:r w:rsidR="008D3112">
        <w:rPr>
          <w:rFonts w:ascii="Arial" w:hAnsi="Arial"/>
          <w:bCs/>
          <w:sz w:val="22"/>
          <w:szCs w:val="22"/>
        </w:rPr>
        <w:t xml:space="preserve">figure for 23/24 </w:t>
      </w:r>
      <w:r w:rsidR="00911260">
        <w:rPr>
          <w:rFonts w:ascii="Arial" w:hAnsi="Arial"/>
          <w:bCs/>
          <w:sz w:val="22"/>
          <w:szCs w:val="22"/>
        </w:rPr>
        <w:t xml:space="preserve">represents the consolidation of the grants </w:t>
      </w:r>
      <w:r w:rsidR="008D3112">
        <w:rPr>
          <w:rFonts w:ascii="Arial" w:hAnsi="Arial"/>
          <w:bCs/>
          <w:sz w:val="22"/>
          <w:szCs w:val="22"/>
        </w:rPr>
        <w:t>to aid comparability</w:t>
      </w:r>
      <w:r w:rsidR="00911260">
        <w:rPr>
          <w:rFonts w:ascii="Arial" w:hAnsi="Arial"/>
          <w:bCs/>
          <w:sz w:val="22"/>
          <w:szCs w:val="22"/>
        </w:rPr>
        <w:t>.</w:t>
      </w:r>
    </w:p>
    <w:p w14:paraId="57CD78FD" w14:textId="6BBA16C1" w:rsidR="008D3112" w:rsidRDefault="008D3112">
      <w:pPr>
        <w:rPr>
          <w:rFonts w:ascii="Arial" w:hAnsi="Arial"/>
          <w:bCs/>
          <w:sz w:val="22"/>
          <w:szCs w:val="22"/>
        </w:rPr>
      </w:pPr>
      <w:r>
        <w:rPr>
          <w:rFonts w:ascii="Arial" w:hAnsi="Arial"/>
          <w:bCs/>
          <w:sz w:val="22"/>
          <w:szCs w:val="22"/>
        </w:rPr>
        <w:br w:type="page"/>
      </w:r>
    </w:p>
    <w:p w14:paraId="425D7319" w14:textId="1606A234" w:rsidR="003B74DA" w:rsidRPr="007F66F2" w:rsidRDefault="003B74DA" w:rsidP="003B74DA">
      <w:pPr>
        <w:numPr>
          <w:ilvl w:val="0"/>
          <w:numId w:val="1"/>
        </w:numPr>
        <w:tabs>
          <w:tab w:val="clear" w:pos="720"/>
          <w:tab w:val="num" w:pos="426"/>
          <w:tab w:val="right" w:pos="5760"/>
        </w:tabs>
        <w:ind w:left="426"/>
        <w:rPr>
          <w:rFonts w:ascii="Arial" w:hAnsi="Arial"/>
          <w:b/>
          <w:sz w:val="24"/>
        </w:rPr>
      </w:pPr>
      <w:r w:rsidRPr="007F66F2">
        <w:rPr>
          <w:rFonts w:ascii="Arial" w:hAnsi="Arial"/>
          <w:b/>
          <w:sz w:val="22"/>
          <w:szCs w:val="22"/>
        </w:rPr>
        <w:lastRenderedPageBreak/>
        <w:t>Capital Charges and Fair Value Charge to Chief Constable</w:t>
      </w:r>
    </w:p>
    <w:p w14:paraId="16155236" w14:textId="77777777" w:rsidR="003B74DA" w:rsidRPr="007F66F2" w:rsidRDefault="003B74DA" w:rsidP="003B74DA">
      <w:pPr>
        <w:tabs>
          <w:tab w:val="right" w:pos="5760"/>
        </w:tabs>
        <w:rPr>
          <w:rFonts w:ascii="Arial" w:hAnsi="Arial"/>
          <w:b/>
          <w:sz w:val="22"/>
          <w:szCs w:val="22"/>
        </w:rPr>
      </w:pPr>
    </w:p>
    <w:p w14:paraId="4AFFAA13" w14:textId="7F1C12F2" w:rsidR="003B74DA" w:rsidRPr="007F66F2" w:rsidRDefault="003B74DA" w:rsidP="003B74DA">
      <w:pPr>
        <w:ind w:left="426" w:right="-331"/>
        <w:jc w:val="both"/>
        <w:rPr>
          <w:rFonts w:ascii="Arial" w:hAnsi="Arial" w:cs="Arial"/>
          <w:sz w:val="22"/>
          <w:szCs w:val="22"/>
        </w:rPr>
      </w:pPr>
      <w:r w:rsidRPr="007F66F2">
        <w:rPr>
          <w:rFonts w:ascii="Arial" w:hAnsi="Arial" w:cs="Arial"/>
          <w:sz w:val="22"/>
          <w:szCs w:val="22"/>
        </w:rPr>
        <w:t xml:space="preserve">All assets (land, buildings, equipment etc.) are owned by the PCC. Therefore, the costs of ownership for these assets, such as depreciation, are initially charged to the PCC’s statement of accounts.  However, it is necessary to reflect the fact that the CC has had use of these assets during </w:t>
      </w:r>
      <w:r w:rsidR="00C37E7F">
        <w:rPr>
          <w:rFonts w:ascii="Arial" w:hAnsi="Arial" w:cs="Arial"/>
          <w:sz w:val="22"/>
          <w:szCs w:val="22"/>
        </w:rPr>
        <w:t>2024/25</w:t>
      </w:r>
      <w:r w:rsidRPr="007F66F2">
        <w:rPr>
          <w:rFonts w:ascii="Arial" w:hAnsi="Arial" w:cs="Arial"/>
          <w:sz w:val="22"/>
          <w:szCs w:val="22"/>
        </w:rPr>
        <w:t>.  Using the principle of ‘substance over form’, a fair value proxy cost will be included in the CC</w:t>
      </w:r>
      <w:r w:rsidR="005B6F05" w:rsidRPr="007F66F2">
        <w:rPr>
          <w:rFonts w:ascii="Arial" w:hAnsi="Arial" w:cs="Arial"/>
          <w:sz w:val="22"/>
          <w:szCs w:val="22"/>
        </w:rPr>
        <w:t>’</w:t>
      </w:r>
      <w:r w:rsidRPr="007F66F2">
        <w:rPr>
          <w:rFonts w:ascii="Arial" w:hAnsi="Arial" w:cs="Arial"/>
          <w:sz w:val="22"/>
          <w:szCs w:val="22"/>
        </w:rPr>
        <w:t>s CIES to reflect the utilisation of the PCC- owned fixed assets which mirrors depreciation of property, plant and equipment, amortisation of intangible assets and impairment from obsolescence or physical damage.</w:t>
      </w:r>
    </w:p>
    <w:p w14:paraId="4D2C672E" w14:textId="77777777" w:rsidR="003B74DA" w:rsidRPr="007F66F2" w:rsidRDefault="003B74DA" w:rsidP="003B74DA">
      <w:pPr>
        <w:ind w:left="426" w:right="-331"/>
        <w:jc w:val="both"/>
        <w:rPr>
          <w:rFonts w:ascii="Arial" w:hAnsi="Arial" w:cs="Arial"/>
          <w:sz w:val="22"/>
          <w:szCs w:val="22"/>
        </w:rPr>
      </w:pPr>
    </w:p>
    <w:p w14:paraId="17E59DD9" w14:textId="534B8602" w:rsidR="003B74DA" w:rsidRPr="007F66F2" w:rsidRDefault="003B74DA" w:rsidP="00857217">
      <w:pPr>
        <w:ind w:left="426" w:right="-331"/>
        <w:jc w:val="both"/>
        <w:rPr>
          <w:rFonts w:ascii="Arial" w:hAnsi="Arial" w:cs="Arial"/>
          <w:sz w:val="22"/>
          <w:szCs w:val="22"/>
        </w:rPr>
      </w:pPr>
      <w:r w:rsidRPr="007F66F2">
        <w:rPr>
          <w:rFonts w:ascii="Arial" w:hAnsi="Arial" w:cs="Arial"/>
          <w:sz w:val="22"/>
          <w:szCs w:val="22"/>
        </w:rPr>
        <w:t>The following transactions have been made in the PCC</w:t>
      </w:r>
      <w:r w:rsidR="005B6F05" w:rsidRPr="007F66F2">
        <w:rPr>
          <w:rFonts w:ascii="Arial" w:hAnsi="Arial" w:cs="Arial"/>
          <w:sz w:val="22"/>
          <w:szCs w:val="22"/>
        </w:rPr>
        <w:t>’</w:t>
      </w:r>
      <w:r w:rsidRPr="007F66F2">
        <w:rPr>
          <w:rFonts w:ascii="Arial" w:hAnsi="Arial" w:cs="Arial"/>
          <w:sz w:val="22"/>
          <w:szCs w:val="22"/>
        </w:rPr>
        <w:t>s cost of service relating to the movement in balance sheet value of the PCC</w:t>
      </w:r>
      <w:r w:rsidR="005B6F05" w:rsidRPr="007F66F2">
        <w:rPr>
          <w:rFonts w:ascii="Arial" w:hAnsi="Arial" w:cs="Arial"/>
          <w:sz w:val="22"/>
          <w:szCs w:val="22"/>
        </w:rPr>
        <w:t>’</w:t>
      </w:r>
      <w:r w:rsidRPr="007F66F2">
        <w:rPr>
          <w:rFonts w:ascii="Arial" w:hAnsi="Arial" w:cs="Arial"/>
          <w:sz w:val="22"/>
          <w:szCs w:val="22"/>
        </w:rPr>
        <w:t xml:space="preserve">s property plant and equipment. </w:t>
      </w:r>
    </w:p>
    <w:p w14:paraId="1360E1E8" w14:textId="77777777" w:rsidR="00857217" w:rsidRPr="007F66F2" w:rsidRDefault="00857217" w:rsidP="00857217">
      <w:pPr>
        <w:ind w:left="426" w:right="-331"/>
        <w:jc w:val="both"/>
        <w:rPr>
          <w:rFonts w:ascii="Arial" w:hAnsi="Arial" w:cs="Arial"/>
          <w:sz w:val="22"/>
          <w:szCs w:val="22"/>
        </w:rPr>
      </w:pPr>
    </w:p>
    <w:tbl>
      <w:tblPr>
        <w:tblW w:w="8880" w:type="dxa"/>
        <w:jc w:val="center"/>
        <w:tblLook w:val="04A0" w:firstRow="1" w:lastRow="0" w:firstColumn="1" w:lastColumn="0" w:noHBand="0" w:noVBand="1"/>
      </w:tblPr>
      <w:tblGrid>
        <w:gridCol w:w="5584"/>
        <w:gridCol w:w="1777"/>
        <w:gridCol w:w="1519"/>
      </w:tblGrid>
      <w:tr w:rsidR="007F66F2" w:rsidRPr="007F66F2" w14:paraId="285B3494" w14:textId="77777777" w:rsidTr="00911260">
        <w:trPr>
          <w:trHeight w:val="300"/>
          <w:jc w:val="center"/>
        </w:trPr>
        <w:tc>
          <w:tcPr>
            <w:tcW w:w="5584" w:type="dxa"/>
            <w:tcBorders>
              <w:top w:val="single" w:sz="8" w:space="0" w:color="auto"/>
              <w:left w:val="single" w:sz="8" w:space="0" w:color="auto"/>
              <w:bottom w:val="nil"/>
              <w:right w:val="nil"/>
            </w:tcBorders>
            <w:shd w:val="clear" w:color="000000" w:fill="CCCCCC"/>
            <w:vAlign w:val="center"/>
            <w:hideMark/>
          </w:tcPr>
          <w:p w14:paraId="028BFBD8" w14:textId="77777777" w:rsidR="007F66F2" w:rsidRPr="007F66F2" w:rsidRDefault="007F66F2" w:rsidP="007F66F2">
            <w:pPr>
              <w:rPr>
                <w:rFonts w:ascii="Arial" w:hAnsi="Arial" w:cs="Arial"/>
                <w:b/>
                <w:bCs/>
                <w:color w:val="000000"/>
                <w:sz w:val="22"/>
                <w:szCs w:val="22"/>
              </w:rPr>
            </w:pPr>
            <w:r w:rsidRPr="007F66F2">
              <w:rPr>
                <w:rFonts w:ascii="Arial" w:hAnsi="Arial" w:cs="Arial"/>
                <w:b/>
                <w:bCs/>
                <w:color w:val="000000"/>
                <w:sz w:val="22"/>
                <w:szCs w:val="22"/>
              </w:rPr>
              <w:t> </w:t>
            </w:r>
          </w:p>
        </w:tc>
        <w:tc>
          <w:tcPr>
            <w:tcW w:w="1777" w:type="dxa"/>
            <w:tcBorders>
              <w:top w:val="single" w:sz="8" w:space="0" w:color="auto"/>
              <w:left w:val="nil"/>
              <w:right w:val="single" w:sz="8" w:space="0" w:color="auto"/>
            </w:tcBorders>
            <w:vAlign w:val="center"/>
            <w:hideMark/>
          </w:tcPr>
          <w:p w14:paraId="4F494B6F" w14:textId="08BA38A4" w:rsidR="00413DEC" w:rsidRPr="007F66F2" w:rsidRDefault="00C37E7F" w:rsidP="00074F62">
            <w:pPr>
              <w:jc w:val="right"/>
              <w:rPr>
                <w:rFonts w:ascii="Arial" w:hAnsi="Arial" w:cs="Arial"/>
                <w:b/>
                <w:bCs/>
                <w:color w:val="000000"/>
                <w:sz w:val="22"/>
                <w:szCs w:val="22"/>
              </w:rPr>
            </w:pPr>
            <w:r>
              <w:rPr>
                <w:rFonts w:ascii="Arial" w:hAnsi="Arial" w:cs="Arial"/>
                <w:b/>
                <w:bCs/>
                <w:color w:val="000000"/>
                <w:sz w:val="22"/>
                <w:szCs w:val="22"/>
              </w:rPr>
              <w:t>2023/24</w:t>
            </w:r>
          </w:p>
        </w:tc>
        <w:tc>
          <w:tcPr>
            <w:tcW w:w="1519" w:type="dxa"/>
            <w:tcBorders>
              <w:top w:val="single" w:sz="8" w:space="0" w:color="auto"/>
              <w:left w:val="single" w:sz="8" w:space="0" w:color="auto"/>
              <w:right w:val="single" w:sz="8" w:space="0" w:color="auto"/>
            </w:tcBorders>
            <w:shd w:val="clear" w:color="000000" w:fill="CCCCCC"/>
            <w:vAlign w:val="center"/>
            <w:hideMark/>
          </w:tcPr>
          <w:p w14:paraId="49DFC37B" w14:textId="4279CE97" w:rsidR="007F66F2" w:rsidRPr="007F66F2" w:rsidRDefault="00C37E7F" w:rsidP="007F66F2">
            <w:pPr>
              <w:jc w:val="right"/>
              <w:rPr>
                <w:rFonts w:ascii="Arial" w:hAnsi="Arial" w:cs="Arial"/>
                <w:b/>
                <w:bCs/>
                <w:color w:val="000000"/>
                <w:sz w:val="22"/>
                <w:szCs w:val="22"/>
              </w:rPr>
            </w:pPr>
            <w:r>
              <w:rPr>
                <w:rFonts w:ascii="Arial" w:hAnsi="Arial" w:cs="Arial"/>
                <w:b/>
                <w:bCs/>
                <w:color w:val="000000"/>
                <w:sz w:val="22"/>
                <w:szCs w:val="22"/>
              </w:rPr>
              <w:t>2024/25</w:t>
            </w:r>
          </w:p>
        </w:tc>
      </w:tr>
      <w:tr w:rsidR="007F66F2" w:rsidRPr="007F66F2" w14:paraId="46B45BDC" w14:textId="77777777" w:rsidTr="00911260">
        <w:trPr>
          <w:trHeight w:val="315"/>
          <w:jc w:val="center"/>
        </w:trPr>
        <w:tc>
          <w:tcPr>
            <w:tcW w:w="5584" w:type="dxa"/>
            <w:tcBorders>
              <w:top w:val="nil"/>
              <w:left w:val="single" w:sz="8" w:space="0" w:color="auto"/>
              <w:bottom w:val="nil"/>
              <w:right w:val="nil"/>
            </w:tcBorders>
            <w:shd w:val="clear" w:color="000000" w:fill="CCCCCC"/>
            <w:vAlign w:val="center"/>
            <w:hideMark/>
          </w:tcPr>
          <w:p w14:paraId="4DFCE503" w14:textId="77777777" w:rsidR="007F66F2" w:rsidRPr="007F66F2" w:rsidRDefault="007F66F2" w:rsidP="007F66F2">
            <w:pPr>
              <w:rPr>
                <w:rFonts w:ascii="Arial" w:hAnsi="Arial" w:cs="Arial"/>
                <w:b/>
                <w:bCs/>
                <w:color w:val="000000"/>
                <w:sz w:val="22"/>
                <w:szCs w:val="22"/>
              </w:rPr>
            </w:pPr>
            <w:r w:rsidRPr="007F66F2">
              <w:rPr>
                <w:rFonts w:ascii="Arial" w:hAnsi="Arial" w:cs="Arial"/>
                <w:b/>
                <w:bCs/>
                <w:color w:val="000000"/>
                <w:sz w:val="22"/>
                <w:szCs w:val="22"/>
              </w:rPr>
              <w:t> </w:t>
            </w:r>
          </w:p>
        </w:tc>
        <w:tc>
          <w:tcPr>
            <w:tcW w:w="1777" w:type="dxa"/>
            <w:tcBorders>
              <w:top w:val="nil"/>
              <w:left w:val="nil"/>
              <w:right w:val="single" w:sz="8" w:space="0" w:color="auto"/>
            </w:tcBorders>
            <w:vAlign w:val="center"/>
            <w:hideMark/>
          </w:tcPr>
          <w:p w14:paraId="79EA765C" w14:textId="77777777" w:rsidR="007F66F2" w:rsidRPr="007F66F2" w:rsidRDefault="007F66F2" w:rsidP="007F66F2">
            <w:pPr>
              <w:jc w:val="right"/>
              <w:rPr>
                <w:rFonts w:ascii="Arial" w:hAnsi="Arial" w:cs="Arial"/>
                <w:b/>
                <w:bCs/>
                <w:color w:val="000000"/>
                <w:sz w:val="22"/>
                <w:szCs w:val="22"/>
              </w:rPr>
            </w:pPr>
            <w:r w:rsidRPr="007F66F2">
              <w:rPr>
                <w:rFonts w:ascii="Arial" w:hAnsi="Arial" w:cs="Arial"/>
                <w:b/>
                <w:bCs/>
                <w:color w:val="000000"/>
                <w:sz w:val="22"/>
                <w:szCs w:val="22"/>
              </w:rPr>
              <w:t>£000</w:t>
            </w:r>
          </w:p>
        </w:tc>
        <w:tc>
          <w:tcPr>
            <w:tcW w:w="1519" w:type="dxa"/>
            <w:tcBorders>
              <w:top w:val="nil"/>
              <w:left w:val="single" w:sz="8" w:space="0" w:color="auto"/>
              <w:right w:val="single" w:sz="8" w:space="0" w:color="auto"/>
            </w:tcBorders>
            <w:shd w:val="clear" w:color="000000" w:fill="CCCCCC"/>
            <w:vAlign w:val="center"/>
            <w:hideMark/>
          </w:tcPr>
          <w:p w14:paraId="32CB9232" w14:textId="77777777" w:rsidR="007F66F2" w:rsidRPr="007F66F2" w:rsidRDefault="007F66F2" w:rsidP="007F66F2">
            <w:pPr>
              <w:jc w:val="right"/>
              <w:rPr>
                <w:rFonts w:ascii="Arial" w:hAnsi="Arial" w:cs="Arial"/>
                <w:b/>
                <w:bCs/>
                <w:color w:val="000000"/>
                <w:sz w:val="22"/>
                <w:szCs w:val="22"/>
              </w:rPr>
            </w:pPr>
            <w:r w:rsidRPr="007F66F2">
              <w:rPr>
                <w:rFonts w:ascii="Arial" w:hAnsi="Arial" w:cs="Arial"/>
                <w:b/>
                <w:bCs/>
                <w:color w:val="000000"/>
                <w:sz w:val="22"/>
                <w:szCs w:val="22"/>
              </w:rPr>
              <w:t>£000</w:t>
            </w:r>
          </w:p>
        </w:tc>
      </w:tr>
      <w:tr w:rsidR="00780443" w:rsidRPr="007F66F2" w14:paraId="2621BC42" w14:textId="77777777" w:rsidTr="00911260">
        <w:trPr>
          <w:trHeight w:val="300"/>
          <w:jc w:val="center"/>
        </w:trPr>
        <w:tc>
          <w:tcPr>
            <w:tcW w:w="5584" w:type="dxa"/>
            <w:tcBorders>
              <w:top w:val="nil"/>
              <w:left w:val="single" w:sz="8" w:space="0" w:color="auto"/>
              <w:bottom w:val="nil"/>
              <w:right w:val="nil"/>
            </w:tcBorders>
            <w:shd w:val="clear" w:color="000000" w:fill="CCCCCC"/>
            <w:vAlign w:val="center"/>
            <w:hideMark/>
          </w:tcPr>
          <w:p w14:paraId="1034DCA5" w14:textId="77777777"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Depreciation of PPE</w:t>
            </w:r>
          </w:p>
        </w:tc>
        <w:tc>
          <w:tcPr>
            <w:tcW w:w="1777" w:type="dxa"/>
            <w:tcBorders>
              <w:left w:val="nil"/>
              <w:bottom w:val="nil"/>
              <w:right w:val="single" w:sz="8" w:space="0" w:color="auto"/>
            </w:tcBorders>
            <w:vAlign w:val="center"/>
            <w:hideMark/>
          </w:tcPr>
          <w:p w14:paraId="570151A0" w14:textId="676E8923"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20,870</w:t>
            </w:r>
          </w:p>
        </w:tc>
        <w:tc>
          <w:tcPr>
            <w:tcW w:w="1519" w:type="dxa"/>
            <w:tcBorders>
              <w:left w:val="nil"/>
              <w:bottom w:val="nil"/>
              <w:right w:val="single" w:sz="8" w:space="0" w:color="auto"/>
            </w:tcBorders>
            <w:shd w:val="clear" w:color="000000" w:fill="CCCCCC"/>
            <w:vAlign w:val="center"/>
            <w:hideMark/>
          </w:tcPr>
          <w:p w14:paraId="68A53CFE" w14:textId="54CF66DF"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21,360</w:t>
            </w:r>
          </w:p>
        </w:tc>
      </w:tr>
      <w:tr w:rsidR="00780443" w:rsidRPr="007F66F2" w14:paraId="7BC78393" w14:textId="77777777" w:rsidTr="005E2F77">
        <w:trPr>
          <w:trHeight w:val="300"/>
          <w:jc w:val="center"/>
        </w:trPr>
        <w:tc>
          <w:tcPr>
            <w:tcW w:w="5584" w:type="dxa"/>
            <w:tcBorders>
              <w:top w:val="nil"/>
              <w:left w:val="single" w:sz="8" w:space="0" w:color="auto"/>
              <w:bottom w:val="nil"/>
              <w:right w:val="nil"/>
            </w:tcBorders>
            <w:shd w:val="clear" w:color="000000" w:fill="CCCCCC"/>
            <w:vAlign w:val="center"/>
            <w:hideMark/>
          </w:tcPr>
          <w:p w14:paraId="773FFD99" w14:textId="77777777"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Amortisation of intangible assets</w:t>
            </w:r>
          </w:p>
        </w:tc>
        <w:tc>
          <w:tcPr>
            <w:tcW w:w="1777" w:type="dxa"/>
            <w:tcBorders>
              <w:top w:val="nil"/>
              <w:left w:val="nil"/>
              <w:bottom w:val="nil"/>
              <w:right w:val="single" w:sz="8" w:space="0" w:color="auto"/>
            </w:tcBorders>
            <w:vAlign w:val="center"/>
            <w:hideMark/>
          </w:tcPr>
          <w:p w14:paraId="6CF0DDAD" w14:textId="607ED91D"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584</w:t>
            </w:r>
          </w:p>
        </w:tc>
        <w:tc>
          <w:tcPr>
            <w:tcW w:w="1519" w:type="dxa"/>
            <w:tcBorders>
              <w:top w:val="nil"/>
              <w:left w:val="nil"/>
              <w:bottom w:val="nil"/>
              <w:right w:val="single" w:sz="8" w:space="0" w:color="auto"/>
            </w:tcBorders>
            <w:shd w:val="clear" w:color="000000" w:fill="CCCCCC"/>
            <w:vAlign w:val="center"/>
            <w:hideMark/>
          </w:tcPr>
          <w:p w14:paraId="6F7522DE" w14:textId="2C6C5680"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764</w:t>
            </w:r>
          </w:p>
        </w:tc>
      </w:tr>
      <w:tr w:rsidR="00780443" w:rsidRPr="007F66F2" w14:paraId="3C573474" w14:textId="77777777" w:rsidTr="005E2F77">
        <w:trPr>
          <w:trHeight w:val="315"/>
          <w:jc w:val="center"/>
        </w:trPr>
        <w:tc>
          <w:tcPr>
            <w:tcW w:w="5584" w:type="dxa"/>
            <w:tcBorders>
              <w:top w:val="nil"/>
              <w:left w:val="single" w:sz="8" w:space="0" w:color="auto"/>
              <w:bottom w:val="nil"/>
              <w:right w:val="nil"/>
            </w:tcBorders>
            <w:shd w:val="clear" w:color="000000" w:fill="CCCCCC"/>
            <w:vAlign w:val="center"/>
            <w:hideMark/>
          </w:tcPr>
          <w:p w14:paraId="300F9205" w14:textId="77777777"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Revenue expenditure funded by capital under statute</w:t>
            </w:r>
          </w:p>
        </w:tc>
        <w:tc>
          <w:tcPr>
            <w:tcW w:w="1777" w:type="dxa"/>
            <w:tcBorders>
              <w:top w:val="nil"/>
              <w:left w:val="nil"/>
              <w:bottom w:val="nil"/>
              <w:right w:val="single" w:sz="8" w:space="0" w:color="auto"/>
            </w:tcBorders>
            <w:vAlign w:val="center"/>
            <w:hideMark/>
          </w:tcPr>
          <w:p w14:paraId="606187C8" w14:textId="74D970C0"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120</w:t>
            </w:r>
          </w:p>
        </w:tc>
        <w:tc>
          <w:tcPr>
            <w:tcW w:w="1519" w:type="dxa"/>
            <w:tcBorders>
              <w:top w:val="nil"/>
              <w:left w:val="nil"/>
              <w:bottom w:val="nil"/>
              <w:right w:val="single" w:sz="8" w:space="0" w:color="auto"/>
            </w:tcBorders>
            <w:shd w:val="clear" w:color="000000" w:fill="CCCCCC"/>
            <w:vAlign w:val="center"/>
            <w:hideMark/>
          </w:tcPr>
          <w:p w14:paraId="18A2E5D1" w14:textId="3C6655B1"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119</w:t>
            </w:r>
          </w:p>
        </w:tc>
      </w:tr>
      <w:tr w:rsidR="00780443" w:rsidRPr="007F66F2" w14:paraId="76782A10" w14:textId="77777777" w:rsidTr="005E2F77">
        <w:trPr>
          <w:trHeight w:val="570"/>
          <w:jc w:val="center"/>
        </w:trPr>
        <w:tc>
          <w:tcPr>
            <w:tcW w:w="5584" w:type="dxa"/>
            <w:tcBorders>
              <w:top w:val="nil"/>
              <w:left w:val="single" w:sz="8" w:space="0" w:color="auto"/>
              <w:bottom w:val="nil"/>
              <w:right w:val="nil"/>
            </w:tcBorders>
            <w:shd w:val="clear" w:color="000000" w:fill="CCCCCC"/>
            <w:vAlign w:val="center"/>
            <w:hideMark/>
          </w:tcPr>
          <w:p w14:paraId="78842273" w14:textId="77777777"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Fair value recharge to CC to reflect his use of the assets to deliver the policing service</w:t>
            </w:r>
          </w:p>
        </w:tc>
        <w:tc>
          <w:tcPr>
            <w:tcW w:w="1777" w:type="dxa"/>
            <w:tcBorders>
              <w:top w:val="single" w:sz="8" w:space="0" w:color="auto"/>
              <w:left w:val="nil"/>
              <w:bottom w:val="nil"/>
              <w:right w:val="single" w:sz="8" w:space="0" w:color="auto"/>
            </w:tcBorders>
            <w:vAlign w:val="center"/>
            <w:hideMark/>
          </w:tcPr>
          <w:p w14:paraId="002A8D98" w14:textId="6B621C0D" w:rsidR="00780443" w:rsidRPr="007F66F2" w:rsidRDefault="00780443" w:rsidP="00780443">
            <w:pPr>
              <w:jc w:val="right"/>
              <w:rPr>
                <w:rFonts w:ascii="Arial" w:hAnsi="Arial" w:cs="Arial"/>
                <w:color w:val="000000"/>
                <w:sz w:val="22"/>
                <w:szCs w:val="22"/>
              </w:rPr>
            </w:pPr>
            <w:r w:rsidRPr="007F66F2">
              <w:rPr>
                <w:rFonts w:ascii="Arial" w:hAnsi="Arial" w:cs="Arial"/>
                <w:color w:val="000000"/>
                <w:sz w:val="22"/>
                <w:szCs w:val="22"/>
              </w:rPr>
              <w:t>(</w:t>
            </w:r>
            <w:r>
              <w:rPr>
                <w:rFonts w:ascii="Arial" w:hAnsi="Arial" w:cs="Arial"/>
                <w:color w:val="000000"/>
                <w:sz w:val="22"/>
                <w:szCs w:val="22"/>
              </w:rPr>
              <w:t>21</w:t>
            </w:r>
            <w:r w:rsidRPr="007F66F2">
              <w:rPr>
                <w:rFonts w:ascii="Arial" w:hAnsi="Arial" w:cs="Arial"/>
                <w:color w:val="000000"/>
                <w:sz w:val="22"/>
                <w:szCs w:val="22"/>
              </w:rPr>
              <w:t>,</w:t>
            </w:r>
            <w:r>
              <w:rPr>
                <w:rFonts w:ascii="Arial" w:hAnsi="Arial" w:cs="Arial"/>
                <w:color w:val="000000"/>
                <w:sz w:val="22"/>
                <w:szCs w:val="22"/>
              </w:rPr>
              <w:t>575</w:t>
            </w:r>
            <w:r w:rsidRPr="007F66F2">
              <w:rPr>
                <w:rFonts w:ascii="Arial" w:hAnsi="Arial" w:cs="Arial"/>
                <w:color w:val="000000"/>
                <w:sz w:val="22"/>
                <w:szCs w:val="22"/>
              </w:rPr>
              <w:t>)</w:t>
            </w:r>
          </w:p>
        </w:tc>
        <w:tc>
          <w:tcPr>
            <w:tcW w:w="1519" w:type="dxa"/>
            <w:tcBorders>
              <w:top w:val="single" w:sz="8" w:space="0" w:color="auto"/>
              <w:left w:val="nil"/>
              <w:bottom w:val="nil"/>
              <w:right w:val="single" w:sz="8" w:space="0" w:color="auto"/>
            </w:tcBorders>
            <w:shd w:val="clear" w:color="000000" w:fill="CCCCCC"/>
            <w:vAlign w:val="center"/>
            <w:hideMark/>
          </w:tcPr>
          <w:p w14:paraId="7B869E69" w14:textId="36747FD6"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(22,244)</w:t>
            </w:r>
          </w:p>
        </w:tc>
      </w:tr>
      <w:tr w:rsidR="00780443" w:rsidRPr="007F66F2" w14:paraId="1016400F" w14:textId="77777777" w:rsidTr="005E2F77">
        <w:trPr>
          <w:trHeight w:val="330"/>
          <w:jc w:val="center"/>
        </w:trPr>
        <w:tc>
          <w:tcPr>
            <w:tcW w:w="5584" w:type="dxa"/>
            <w:tcBorders>
              <w:top w:val="nil"/>
              <w:left w:val="single" w:sz="8" w:space="0" w:color="auto"/>
              <w:bottom w:val="nil"/>
              <w:right w:val="nil"/>
            </w:tcBorders>
            <w:shd w:val="clear" w:color="000000" w:fill="CCCCCC"/>
            <w:vAlign w:val="center"/>
            <w:hideMark/>
          </w:tcPr>
          <w:p w14:paraId="7AF2A311" w14:textId="47CEDDC4"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Revaluation</w:t>
            </w:r>
            <w:r w:rsidR="00D309DC">
              <w:rPr>
                <w:rFonts w:ascii="Arial" w:hAnsi="Arial" w:cs="Arial"/>
                <w:color w:val="000000"/>
                <w:sz w:val="22"/>
                <w:szCs w:val="22"/>
              </w:rPr>
              <w:t>/impairment</w:t>
            </w:r>
            <w:r w:rsidRPr="007F66F2">
              <w:rPr>
                <w:rFonts w:ascii="Arial" w:hAnsi="Arial" w:cs="Arial"/>
                <w:color w:val="000000"/>
                <w:sz w:val="22"/>
                <w:szCs w:val="22"/>
              </w:rPr>
              <w:t xml:space="preserve"> losses</w:t>
            </w:r>
          </w:p>
        </w:tc>
        <w:tc>
          <w:tcPr>
            <w:tcW w:w="1777" w:type="dxa"/>
            <w:tcBorders>
              <w:top w:val="nil"/>
              <w:left w:val="nil"/>
              <w:bottom w:val="single" w:sz="8" w:space="0" w:color="auto"/>
              <w:right w:val="single" w:sz="8" w:space="0" w:color="auto"/>
            </w:tcBorders>
            <w:vAlign w:val="center"/>
            <w:hideMark/>
          </w:tcPr>
          <w:p w14:paraId="4966BBBC" w14:textId="04AFA25F"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0</w:t>
            </w:r>
          </w:p>
        </w:tc>
        <w:tc>
          <w:tcPr>
            <w:tcW w:w="1519" w:type="dxa"/>
            <w:tcBorders>
              <w:top w:val="nil"/>
              <w:left w:val="nil"/>
              <w:bottom w:val="single" w:sz="8" w:space="0" w:color="auto"/>
              <w:right w:val="single" w:sz="8" w:space="0" w:color="auto"/>
            </w:tcBorders>
            <w:shd w:val="clear" w:color="000000" w:fill="CCCCCC"/>
            <w:vAlign w:val="center"/>
            <w:hideMark/>
          </w:tcPr>
          <w:p w14:paraId="053CFF2E" w14:textId="56560421" w:rsidR="00780443" w:rsidRPr="007F66F2" w:rsidRDefault="00D309DC" w:rsidP="00780443">
            <w:pPr>
              <w:jc w:val="right"/>
              <w:rPr>
                <w:rFonts w:ascii="Arial" w:hAnsi="Arial" w:cs="Arial"/>
                <w:color w:val="000000"/>
                <w:sz w:val="22"/>
                <w:szCs w:val="22"/>
              </w:rPr>
            </w:pPr>
            <w:r>
              <w:rPr>
                <w:rFonts w:ascii="Arial" w:hAnsi="Arial" w:cs="Arial"/>
                <w:color w:val="000000"/>
                <w:sz w:val="22"/>
                <w:szCs w:val="22"/>
              </w:rPr>
              <w:t>65</w:t>
            </w:r>
          </w:p>
        </w:tc>
      </w:tr>
      <w:tr w:rsidR="00780443" w:rsidRPr="007F66F2" w14:paraId="61219FF1" w14:textId="77777777" w:rsidTr="005E2F77">
        <w:trPr>
          <w:trHeight w:val="615"/>
          <w:jc w:val="center"/>
        </w:trPr>
        <w:tc>
          <w:tcPr>
            <w:tcW w:w="5584" w:type="dxa"/>
            <w:tcBorders>
              <w:top w:val="nil"/>
              <w:left w:val="single" w:sz="8" w:space="0" w:color="auto"/>
              <w:bottom w:val="single" w:sz="8" w:space="0" w:color="auto"/>
              <w:right w:val="nil"/>
            </w:tcBorders>
            <w:shd w:val="clear" w:color="000000" w:fill="CCCCCC"/>
            <w:vAlign w:val="center"/>
            <w:hideMark/>
          </w:tcPr>
          <w:p w14:paraId="40A449B4" w14:textId="77777777" w:rsidR="00780443" w:rsidRPr="007F66F2" w:rsidRDefault="00780443" w:rsidP="00780443">
            <w:pPr>
              <w:rPr>
                <w:rFonts w:ascii="Arial" w:hAnsi="Arial" w:cs="Arial"/>
                <w:b/>
                <w:bCs/>
                <w:color w:val="000000"/>
                <w:sz w:val="22"/>
                <w:szCs w:val="22"/>
              </w:rPr>
            </w:pPr>
            <w:r w:rsidRPr="007F66F2">
              <w:rPr>
                <w:rFonts w:ascii="Arial" w:hAnsi="Arial" w:cs="Arial"/>
                <w:b/>
                <w:bCs/>
                <w:color w:val="000000"/>
                <w:sz w:val="22"/>
                <w:szCs w:val="22"/>
              </w:rPr>
              <w:t>Total charges in respect of property, plant and equipment &amp; intangible assets</w:t>
            </w:r>
          </w:p>
        </w:tc>
        <w:tc>
          <w:tcPr>
            <w:tcW w:w="1777" w:type="dxa"/>
            <w:tcBorders>
              <w:top w:val="nil"/>
              <w:left w:val="nil"/>
              <w:bottom w:val="single" w:sz="8" w:space="0" w:color="auto"/>
              <w:right w:val="single" w:sz="8" w:space="0" w:color="auto"/>
            </w:tcBorders>
            <w:vAlign w:val="center"/>
            <w:hideMark/>
          </w:tcPr>
          <w:p w14:paraId="79AC5874" w14:textId="44F93C74" w:rsidR="00780443" w:rsidRPr="007F66F2" w:rsidRDefault="00780443" w:rsidP="00780443">
            <w:pPr>
              <w:jc w:val="right"/>
              <w:rPr>
                <w:rFonts w:ascii="Arial" w:hAnsi="Arial" w:cs="Arial"/>
                <w:b/>
                <w:bCs/>
                <w:color w:val="000000"/>
                <w:sz w:val="22"/>
                <w:szCs w:val="22"/>
              </w:rPr>
            </w:pPr>
            <w:r>
              <w:rPr>
                <w:rFonts w:ascii="Arial" w:hAnsi="Arial" w:cs="Arial"/>
                <w:b/>
                <w:bCs/>
                <w:color w:val="000000"/>
                <w:sz w:val="22"/>
                <w:szCs w:val="22"/>
              </w:rPr>
              <w:t>0</w:t>
            </w:r>
          </w:p>
        </w:tc>
        <w:tc>
          <w:tcPr>
            <w:tcW w:w="1519" w:type="dxa"/>
            <w:tcBorders>
              <w:top w:val="nil"/>
              <w:left w:val="nil"/>
              <w:bottom w:val="single" w:sz="8" w:space="0" w:color="auto"/>
              <w:right w:val="single" w:sz="8" w:space="0" w:color="auto"/>
            </w:tcBorders>
            <w:shd w:val="clear" w:color="000000" w:fill="CCCCCC"/>
            <w:vAlign w:val="center"/>
            <w:hideMark/>
          </w:tcPr>
          <w:p w14:paraId="63CA40B7" w14:textId="0EA8B554" w:rsidR="00780443" w:rsidRPr="007F66F2" w:rsidRDefault="00D309DC" w:rsidP="00780443">
            <w:pPr>
              <w:jc w:val="right"/>
              <w:rPr>
                <w:rFonts w:ascii="Arial" w:hAnsi="Arial" w:cs="Arial"/>
                <w:b/>
                <w:bCs/>
                <w:color w:val="000000"/>
                <w:sz w:val="22"/>
                <w:szCs w:val="22"/>
              </w:rPr>
            </w:pPr>
            <w:r>
              <w:rPr>
                <w:rFonts w:ascii="Arial" w:hAnsi="Arial" w:cs="Arial"/>
                <w:b/>
                <w:bCs/>
                <w:color w:val="000000"/>
                <w:sz w:val="22"/>
                <w:szCs w:val="22"/>
              </w:rPr>
              <w:t>65</w:t>
            </w:r>
          </w:p>
        </w:tc>
      </w:tr>
    </w:tbl>
    <w:p w14:paraId="7C97113C" w14:textId="77777777" w:rsidR="00857217" w:rsidRPr="007F66F2" w:rsidRDefault="00857217" w:rsidP="00857217">
      <w:pPr>
        <w:ind w:left="426" w:right="-331"/>
        <w:jc w:val="both"/>
        <w:rPr>
          <w:rFonts w:ascii="Arial" w:hAnsi="Arial" w:cs="Arial"/>
          <w:sz w:val="22"/>
          <w:szCs w:val="22"/>
        </w:rPr>
      </w:pPr>
    </w:p>
    <w:p w14:paraId="23EF2043" w14:textId="05C0AE57" w:rsidR="00857217" w:rsidRDefault="003B74DA">
      <w:pPr>
        <w:rPr>
          <w:rFonts w:ascii="Arial" w:hAnsi="Arial" w:cs="Arial"/>
          <w:sz w:val="22"/>
          <w:szCs w:val="22"/>
        </w:rPr>
      </w:pPr>
      <w:r w:rsidRPr="007F66F2">
        <w:rPr>
          <w:rFonts w:ascii="Arial" w:hAnsi="Arial" w:cs="Arial"/>
          <w:sz w:val="22"/>
          <w:szCs w:val="22"/>
        </w:rPr>
        <w:t xml:space="preserve">Revaluation </w:t>
      </w:r>
      <w:r w:rsidR="00D309DC">
        <w:rPr>
          <w:rFonts w:ascii="Arial" w:hAnsi="Arial" w:cs="Arial"/>
          <w:sz w:val="22"/>
          <w:szCs w:val="22"/>
        </w:rPr>
        <w:t xml:space="preserve">and impairment </w:t>
      </w:r>
      <w:r w:rsidRPr="007F66F2">
        <w:rPr>
          <w:rFonts w:ascii="Arial" w:hAnsi="Arial" w:cs="Arial"/>
          <w:sz w:val="22"/>
          <w:szCs w:val="22"/>
        </w:rPr>
        <w:t>gains and losses remain with the PCC as they are not deemed to reflect cost of use but are more a reflection of the economic conditions, which should remain with the PCC.</w:t>
      </w:r>
    </w:p>
    <w:p w14:paraId="680953D1" w14:textId="23661F03" w:rsidR="009C334E" w:rsidRDefault="009C334E">
      <w:pPr>
        <w:rPr>
          <w:rFonts w:ascii="Arial" w:hAnsi="Arial" w:cs="Arial"/>
          <w:sz w:val="22"/>
          <w:szCs w:val="22"/>
        </w:rPr>
      </w:pPr>
      <w:r>
        <w:rPr>
          <w:rFonts w:ascii="Arial" w:hAnsi="Arial" w:cs="Arial"/>
          <w:sz w:val="22"/>
          <w:szCs w:val="22"/>
        </w:rPr>
        <w:br w:type="page"/>
      </w:r>
    </w:p>
    <w:p w14:paraId="1FC0788E" w14:textId="77777777" w:rsidR="009C334E" w:rsidRDefault="009C334E">
      <w:pPr>
        <w:rPr>
          <w:rFonts w:ascii="Arial" w:hAnsi="Arial"/>
          <w:b/>
          <w:sz w:val="22"/>
          <w:szCs w:val="22"/>
        </w:rPr>
      </w:pPr>
    </w:p>
    <w:p w14:paraId="214328FF" w14:textId="25E06AFD" w:rsidR="003B74DA" w:rsidRPr="007F66F2" w:rsidRDefault="003B74DA" w:rsidP="003B74DA">
      <w:pPr>
        <w:numPr>
          <w:ilvl w:val="0"/>
          <w:numId w:val="1"/>
        </w:numPr>
        <w:tabs>
          <w:tab w:val="clear" w:pos="720"/>
          <w:tab w:val="num" w:pos="426"/>
          <w:tab w:val="right" w:pos="5760"/>
        </w:tabs>
        <w:rPr>
          <w:rFonts w:ascii="Arial" w:hAnsi="Arial"/>
          <w:b/>
          <w:sz w:val="22"/>
          <w:szCs w:val="22"/>
        </w:rPr>
      </w:pPr>
      <w:r w:rsidRPr="007F66F2">
        <w:rPr>
          <w:rFonts w:ascii="Arial" w:hAnsi="Arial"/>
          <w:b/>
          <w:sz w:val="22"/>
          <w:szCs w:val="22"/>
        </w:rPr>
        <w:t xml:space="preserve">PCC Funding of the Chief Constable </w:t>
      </w:r>
    </w:p>
    <w:p w14:paraId="28888CDD" w14:textId="77777777" w:rsidR="003B74DA" w:rsidRPr="007F66F2" w:rsidRDefault="003B74DA" w:rsidP="003B74DA">
      <w:pPr>
        <w:tabs>
          <w:tab w:val="right" w:pos="5760"/>
        </w:tabs>
        <w:rPr>
          <w:rFonts w:ascii="Arial" w:hAnsi="Arial"/>
          <w:b/>
          <w:sz w:val="22"/>
          <w:szCs w:val="22"/>
        </w:rPr>
      </w:pPr>
    </w:p>
    <w:p w14:paraId="1990C60A" w14:textId="77777777" w:rsidR="003B74DA" w:rsidRPr="007F66F2" w:rsidRDefault="003B74DA" w:rsidP="003B74DA">
      <w:pPr>
        <w:spacing w:after="240"/>
        <w:ind w:left="426"/>
        <w:rPr>
          <w:rFonts w:ascii="Arial" w:hAnsi="Arial" w:cs="Arial"/>
          <w:sz w:val="22"/>
          <w:szCs w:val="22"/>
          <w:u w:val="single"/>
        </w:rPr>
      </w:pPr>
      <w:r w:rsidRPr="007F66F2">
        <w:rPr>
          <w:rFonts w:ascii="Arial" w:hAnsi="Arial" w:cs="Arial"/>
          <w:sz w:val="22"/>
          <w:szCs w:val="22"/>
          <w:u w:val="single"/>
        </w:rPr>
        <w:t>Accounting Policy</w:t>
      </w:r>
    </w:p>
    <w:p w14:paraId="620A399C" w14:textId="24CB2550" w:rsidR="003B74DA" w:rsidRPr="007F66F2" w:rsidRDefault="003B74DA" w:rsidP="003B74DA">
      <w:pPr>
        <w:tabs>
          <w:tab w:val="left" w:pos="426"/>
        </w:tabs>
        <w:ind w:left="426"/>
        <w:jc w:val="both"/>
        <w:rPr>
          <w:rFonts w:ascii="Arial" w:hAnsi="Arial"/>
          <w:sz w:val="22"/>
          <w:szCs w:val="22"/>
        </w:rPr>
      </w:pPr>
      <w:r w:rsidRPr="007F66F2">
        <w:rPr>
          <w:rFonts w:ascii="Arial" w:hAnsi="Arial"/>
          <w:sz w:val="22"/>
          <w:szCs w:val="22"/>
        </w:rPr>
        <w:t>The PCC</w:t>
      </w:r>
      <w:r w:rsidR="005B6F05" w:rsidRPr="007F66F2">
        <w:rPr>
          <w:rFonts w:ascii="Arial" w:hAnsi="Arial"/>
          <w:sz w:val="22"/>
          <w:szCs w:val="22"/>
        </w:rPr>
        <w:t>’</w:t>
      </w:r>
      <w:r w:rsidRPr="007F66F2">
        <w:rPr>
          <w:rFonts w:ascii="Arial" w:hAnsi="Arial"/>
          <w:sz w:val="22"/>
          <w:szCs w:val="22"/>
        </w:rPr>
        <w:t>s funding of CC</w:t>
      </w:r>
      <w:r w:rsidR="005B6F05" w:rsidRPr="007F66F2">
        <w:rPr>
          <w:rFonts w:ascii="Arial" w:hAnsi="Arial"/>
          <w:sz w:val="22"/>
          <w:szCs w:val="22"/>
        </w:rPr>
        <w:t>’</w:t>
      </w:r>
      <w:r w:rsidRPr="007F66F2">
        <w:rPr>
          <w:rFonts w:ascii="Arial" w:hAnsi="Arial"/>
          <w:sz w:val="22"/>
          <w:szCs w:val="22"/>
        </w:rPr>
        <w:t xml:space="preserve">s expenditure takes the form of </w:t>
      </w:r>
      <w:r w:rsidR="005B6F05" w:rsidRPr="007F66F2">
        <w:rPr>
          <w:rFonts w:ascii="Arial" w:hAnsi="Arial"/>
          <w:sz w:val="22"/>
          <w:szCs w:val="22"/>
        </w:rPr>
        <w:t>“</w:t>
      </w:r>
      <w:r w:rsidRPr="007F66F2">
        <w:rPr>
          <w:rFonts w:ascii="Arial" w:hAnsi="Arial"/>
          <w:sz w:val="22"/>
          <w:szCs w:val="22"/>
        </w:rPr>
        <w:t>Intragroup funding</w:t>
      </w:r>
      <w:r w:rsidR="005B6F05" w:rsidRPr="007F66F2">
        <w:rPr>
          <w:rFonts w:ascii="Arial" w:hAnsi="Arial"/>
          <w:sz w:val="22"/>
          <w:szCs w:val="22"/>
        </w:rPr>
        <w:t>”</w:t>
      </w:r>
      <w:r w:rsidRPr="007F66F2">
        <w:rPr>
          <w:rFonts w:ascii="Arial" w:hAnsi="Arial"/>
          <w:sz w:val="22"/>
          <w:szCs w:val="22"/>
        </w:rPr>
        <w:t xml:space="preserve"> and is shown as income in the CC</w:t>
      </w:r>
      <w:r w:rsidR="005B6F05" w:rsidRPr="007F66F2">
        <w:rPr>
          <w:rFonts w:ascii="Arial" w:hAnsi="Arial"/>
          <w:sz w:val="22"/>
          <w:szCs w:val="22"/>
        </w:rPr>
        <w:t>’</w:t>
      </w:r>
      <w:r w:rsidRPr="007F66F2">
        <w:rPr>
          <w:rFonts w:ascii="Arial" w:hAnsi="Arial"/>
          <w:sz w:val="22"/>
          <w:szCs w:val="22"/>
        </w:rPr>
        <w:t>s CIES and expenditure in the PCC</w:t>
      </w:r>
      <w:r w:rsidR="005B6F05" w:rsidRPr="007F66F2">
        <w:rPr>
          <w:rFonts w:ascii="Arial" w:hAnsi="Arial"/>
          <w:sz w:val="22"/>
          <w:szCs w:val="22"/>
        </w:rPr>
        <w:t>’</w:t>
      </w:r>
      <w:r w:rsidRPr="007F66F2">
        <w:rPr>
          <w:rFonts w:ascii="Arial" w:hAnsi="Arial"/>
          <w:sz w:val="22"/>
          <w:szCs w:val="22"/>
        </w:rPr>
        <w:t>s CIES. There is no actual transfer of cash involved in this transaction as all the resources belong to the PCC. The CC is, in effect, consuming the resources of the PCC but, for the purpose of reflecting the arrangement the transactions are reported as such. The accruals concept applies equally to the Intragroup Funding in that revenue is funded upon recognition on the understanding that the PCC has responsibility for working capital balances.</w:t>
      </w:r>
    </w:p>
    <w:p w14:paraId="3D50F68E" w14:textId="77777777" w:rsidR="003B74DA" w:rsidRPr="007F66F2" w:rsidRDefault="003B74DA" w:rsidP="003B74DA">
      <w:pPr>
        <w:jc w:val="both"/>
        <w:rPr>
          <w:rFonts w:ascii="Arial" w:hAnsi="Arial"/>
        </w:rPr>
      </w:pPr>
    </w:p>
    <w:p w14:paraId="660F7A1A" w14:textId="77777777" w:rsidR="003B74DA" w:rsidRPr="007F66F2" w:rsidRDefault="003B74DA" w:rsidP="003B74DA">
      <w:pPr>
        <w:tabs>
          <w:tab w:val="left" w:pos="426"/>
        </w:tabs>
        <w:ind w:left="426"/>
        <w:jc w:val="both"/>
        <w:rPr>
          <w:rFonts w:ascii="Arial" w:hAnsi="Arial"/>
          <w:sz w:val="22"/>
          <w:szCs w:val="22"/>
        </w:rPr>
      </w:pPr>
      <w:r w:rsidRPr="007F66F2">
        <w:rPr>
          <w:rFonts w:ascii="Arial" w:hAnsi="Arial"/>
          <w:sz w:val="22"/>
          <w:szCs w:val="22"/>
        </w:rPr>
        <w:t>Funding for PCC resources consumed at the request of the CC represents the funding of the in-year costs recognised in the CC CIES and is calculated as follows:</w:t>
      </w:r>
    </w:p>
    <w:p w14:paraId="62D201DD" w14:textId="42D784EA" w:rsidR="003B74DA" w:rsidRPr="007F66F2" w:rsidRDefault="003B74DA" w:rsidP="003B74DA">
      <w:pPr>
        <w:tabs>
          <w:tab w:val="left" w:pos="426"/>
        </w:tabs>
        <w:ind w:left="426"/>
        <w:rPr>
          <w:rFonts w:ascii="Arial" w:hAnsi="Arial"/>
          <w:sz w:val="22"/>
          <w:szCs w:val="22"/>
        </w:rPr>
      </w:pPr>
    </w:p>
    <w:tbl>
      <w:tblPr>
        <w:tblW w:w="10454" w:type="dxa"/>
        <w:tblLook w:val="04A0" w:firstRow="1" w:lastRow="0" w:firstColumn="1" w:lastColumn="0" w:noHBand="0" w:noVBand="1"/>
      </w:tblPr>
      <w:tblGrid>
        <w:gridCol w:w="1271"/>
        <w:gridCol w:w="7537"/>
        <w:gridCol w:w="1646"/>
      </w:tblGrid>
      <w:tr w:rsidR="004546C6" w:rsidRPr="007F66F2" w14:paraId="4A47F07F" w14:textId="77777777" w:rsidTr="005E2F77">
        <w:trPr>
          <w:trHeight w:val="300"/>
        </w:trPr>
        <w:tc>
          <w:tcPr>
            <w:tcW w:w="1271" w:type="dxa"/>
            <w:vMerge w:val="restart"/>
            <w:tcBorders>
              <w:top w:val="single" w:sz="8" w:space="0" w:color="auto"/>
              <w:left w:val="single" w:sz="4" w:space="0" w:color="auto"/>
              <w:bottom w:val="nil"/>
              <w:right w:val="single" w:sz="8" w:space="0" w:color="auto"/>
            </w:tcBorders>
            <w:noWrap/>
            <w:vAlign w:val="center"/>
            <w:hideMark/>
          </w:tcPr>
          <w:p w14:paraId="3703D994" w14:textId="0B4D391C" w:rsidR="00413DEC" w:rsidRPr="007F66F2" w:rsidRDefault="00C37E7F" w:rsidP="002735E1">
            <w:pPr>
              <w:jc w:val="right"/>
              <w:rPr>
                <w:rFonts w:ascii="Arial" w:hAnsi="Arial" w:cs="Arial"/>
                <w:b/>
                <w:bCs/>
                <w:color w:val="000000"/>
                <w:sz w:val="22"/>
                <w:szCs w:val="22"/>
              </w:rPr>
            </w:pPr>
            <w:r>
              <w:rPr>
                <w:rFonts w:ascii="Arial" w:hAnsi="Arial" w:cs="Arial"/>
                <w:b/>
                <w:bCs/>
                <w:color w:val="000000"/>
                <w:sz w:val="22"/>
                <w:szCs w:val="22"/>
              </w:rPr>
              <w:t>2023/24</w:t>
            </w:r>
          </w:p>
        </w:tc>
        <w:tc>
          <w:tcPr>
            <w:tcW w:w="7537" w:type="dxa"/>
            <w:vMerge w:val="restart"/>
            <w:tcBorders>
              <w:top w:val="single" w:sz="8" w:space="0" w:color="auto"/>
              <w:left w:val="nil"/>
              <w:bottom w:val="nil"/>
              <w:right w:val="nil"/>
            </w:tcBorders>
            <w:shd w:val="clear" w:color="000000" w:fill="CCCCCC"/>
            <w:noWrap/>
            <w:vAlign w:val="center"/>
            <w:hideMark/>
          </w:tcPr>
          <w:p w14:paraId="29BEC1EF" w14:textId="77777777" w:rsidR="004546C6" w:rsidRPr="007F66F2" w:rsidRDefault="004546C6" w:rsidP="007F66F2">
            <w:pPr>
              <w:jc w:val="center"/>
              <w:rPr>
                <w:rFonts w:ascii="Arial" w:hAnsi="Arial" w:cs="Arial"/>
                <w:color w:val="000000"/>
                <w:sz w:val="22"/>
                <w:szCs w:val="22"/>
              </w:rPr>
            </w:pPr>
            <w:r w:rsidRPr="007F66F2">
              <w:rPr>
                <w:rFonts w:ascii="Arial" w:hAnsi="Arial" w:cs="Arial"/>
                <w:color w:val="000000"/>
                <w:sz w:val="22"/>
                <w:szCs w:val="22"/>
              </w:rPr>
              <w:t> </w:t>
            </w:r>
          </w:p>
        </w:tc>
        <w:tc>
          <w:tcPr>
            <w:tcW w:w="1646" w:type="dxa"/>
            <w:vMerge w:val="restart"/>
            <w:tcBorders>
              <w:top w:val="single" w:sz="8" w:space="0" w:color="auto"/>
              <w:left w:val="nil"/>
              <w:bottom w:val="nil"/>
              <w:right w:val="single" w:sz="8" w:space="0" w:color="auto"/>
            </w:tcBorders>
            <w:noWrap/>
            <w:vAlign w:val="center"/>
            <w:hideMark/>
          </w:tcPr>
          <w:p w14:paraId="1622A606" w14:textId="0CF941AA" w:rsidR="004546C6" w:rsidRPr="007F66F2" w:rsidRDefault="00C37E7F" w:rsidP="007F66F2">
            <w:pPr>
              <w:jc w:val="right"/>
              <w:rPr>
                <w:rFonts w:ascii="Arial" w:hAnsi="Arial" w:cs="Arial"/>
                <w:b/>
                <w:bCs/>
                <w:color w:val="000000"/>
                <w:sz w:val="22"/>
                <w:szCs w:val="22"/>
              </w:rPr>
            </w:pPr>
            <w:r>
              <w:rPr>
                <w:rFonts w:ascii="Arial" w:hAnsi="Arial" w:cs="Arial"/>
                <w:b/>
                <w:bCs/>
                <w:color w:val="000000"/>
                <w:sz w:val="22"/>
                <w:szCs w:val="22"/>
              </w:rPr>
              <w:t>2024/25</w:t>
            </w:r>
          </w:p>
        </w:tc>
      </w:tr>
      <w:tr w:rsidR="004546C6" w:rsidRPr="007F66F2" w14:paraId="6B5FA27E" w14:textId="77777777" w:rsidTr="005E2F77">
        <w:trPr>
          <w:trHeight w:val="300"/>
        </w:trPr>
        <w:tc>
          <w:tcPr>
            <w:tcW w:w="1271" w:type="dxa"/>
            <w:vMerge/>
            <w:tcBorders>
              <w:top w:val="single" w:sz="8" w:space="0" w:color="auto"/>
              <w:left w:val="single" w:sz="4" w:space="0" w:color="auto"/>
              <w:bottom w:val="nil"/>
              <w:right w:val="single" w:sz="8" w:space="0" w:color="auto"/>
            </w:tcBorders>
            <w:vAlign w:val="center"/>
            <w:hideMark/>
          </w:tcPr>
          <w:p w14:paraId="44E21A71" w14:textId="77777777" w:rsidR="004546C6" w:rsidRPr="007F66F2" w:rsidRDefault="004546C6" w:rsidP="007F66F2">
            <w:pPr>
              <w:rPr>
                <w:rFonts w:ascii="Arial" w:hAnsi="Arial" w:cs="Arial"/>
                <w:b/>
                <w:bCs/>
                <w:color w:val="000000"/>
                <w:sz w:val="22"/>
                <w:szCs w:val="22"/>
              </w:rPr>
            </w:pPr>
          </w:p>
        </w:tc>
        <w:tc>
          <w:tcPr>
            <w:tcW w:w="7537" w:type="dxa"/>
            <w:vMerge/>
            <w:tcBorders>
              <w:top w:val="single" w:sz="8" w:space="0" w:color="auto"/>
              <w:left w:val="nil"/>
              <w:bottom w:val="nil"/>
              <w:right w:val="nil"/>
            </w:tcBorders>
            <w:vAlign w:val="center"/>
            <w:hideMark/>
          </w:tcPr>
          <w:p w14:paraId="311D46E1" w14:textId="77777777" w:rsidR="004546C6" w:rsidRPr="007F66F2" w:rsidRDefault="004546C6" w:rsidP="007F66F2">
            <w:pPr>
              <w:rPr>
                <w:rFonts w:ascii="Arial" w:hAnsi="Arial" w:cs="Arial"/>
                <w:color w:val="000000"/>
                <w:sz w:val="22"/>
                <w:szCs w:val="22"/>
              </w:rPr>
            </w:pPr>
          </w:p>
        </w:tc>
        <w:tc>
          <w:tcPr>
            <w:tcW w:w="1646" w:type="dxa"/>
            <w:vMerge/>
            <w:tcBorders>
              <w:top w:val="single" w:sz="8" w:space="0" w:color="auto"/>
              <w:left w:val="nil"/>
              <w:bottom w:val="nil"/>
              <w:right w:val="single" w:sz="8" w:space="0" w:color="auto"/>
            </w:tcBorders>
            <w:vAlign w:val="center"/>
            <w:hideMark/>
          </w:tcPr>
          <w:p w14:paraId="4B34F9CF" w14:textId="77777777" w:rsidR="004546C6" w:rsidRPr="007F66F2" w:rsidRDefault="004546C6" w:rsidP="007F66F2">
            <w:pPr>
              <w:rPr>
                <w:rFonts w:ascii="Arial" w:hAnsi="Arial" w:cs="Arial"/>
                <w:b/>
                <w:bCs/>
                <w:color w:val="000000"/>
                <w:sz w:val="22"/>
                <w:szCs w:val="22"/>
              </w:rPr>
            </w:pPr>
          </w:p>
        </w:tc>
      </w:tr>
      <w:tr w:rsidR="004546C6" w:rsidRPr="007F66F2" w14:paraId="4DC2DD7C" w14:textId="77777777" w:rsidTr="005E2F77">
        <w:trPr>
          <w:trHeight w:val="300"/>
        </w:trPr>
        <w:tc>
          <w:tcPr>
            <w:tcW w:w="1271" w:type="dxa"/>
            <w:tcBorders>
              <w:top w:val="nil"/>
              <w:left w:val="single" w:sz="4" w:space="0" w:color="auto"/>
              <w:bottom w:val="nil"/>
              <w:right w:val="single" w:sz="8" w:space="0" w:color="auto"/>
            </w:tcBorders>
            <w:noWrap/>
            <w:vAlign w:val="center"/>
            <w:hideMark/>
          </w:tcPr>
          <w:p w14:paraId="4EE9B9E1" w14:textId="77777777" w:rsidR="004546C6" w:rsidRPr="007F66F2" w:rsidRDefault="004546C6" w:rsidP="007F66F2">
            <w:pPr>
              <w:jc w:val="right"/>
              <w:rPr>
                <w:rFonts w:ascii="Arial" w:hAnsi="Arial" w:cs="Arial"/>
                <w:b/>
                <w:bCs/>
                <w:color w:val="000000"/>
                <w:sz w:val="22"/>
                <w:szCs w:val="22"/>
              </w:rPr>
            </w:pPr>
            <w:r w:rsidRPr="007F66F2">
              <w:rPr>
                <w:rFonts w:ascii="Arial" w:hAnsi="Arial" w:cs="Arial"/>
                <w:b/>
                <w:bCs/>
                <w:color w:val="000000"/>
                <w:sz w:val="22"/>
                <w:szCs w:val="22"/>
              </w:rPr>
              <w:t> </w:t>
            </w:r>
          </w:p>
        </w:tc>
        <w:tc>
          <w:tcPr>
            <w:tcW w:w="7537" w:type="dxa"/>
            <w:tcBorders>
              <w:top w:val="nil"/>
              <w:left w:val="nil"/>
              <w:bottom w:val="nil"/>
              <w:right w:val="nil"/>
            </w:tcBorders>
            <w:shd w:val="clear" w:color="000000" w:fill="CCCCCC"/>
            <w:noWrap/>
            <w:vAlign w:val="center"/>
            <w:hideMark/>
          </w:tcPr>
          <w:p w14:paraId="778CBB2F" w14:textId="77777777" w:rsidR="004546C6" w:rsidRPr="007F66F2" w:rsidRDefault="004546C6" w:rsidP="007F66F2">
            <w:pPr>
              <w:jc w:val="center"/>
              <w:rPr>
                <w:rFonts w:ascii="Arial" w:hAnsi="Arial" w:cs="Arial"/>
                <w:color w:val="000000"/>
                <w:sz w:val="22"/>
                <w:szCs w:val="22"/>
              </w:rPr>
            </w:pPr>
            <w:r w:rsidRPr="007F66F2">
              <w:rPr>
                <w:rFonts w:ascii="Arial" w:hAnsi="Arial" w:cs="Arial"/>
                <w:color w:val="000000"/>
                <w:sz w:val="22"/>
                <w:szCs w:val="22"/>
              </w:rPr>
              <w:t> </w:t>
            </w:r>
          </w:p>
        </w:tc>
        <w:tc>
          <w:tcPr>
            <w:tcW w:w="1646" w:type="dxa"/>
            <w:tcBorders>
              <w:top w:val="nil"/>
              <w:left w:val="nil"/>
              <w:bottom w:val="nil"/>
              <w:right w:val="single" w:sz="8" w:space="0" w:color="auto"/>
            </w:tcBorders>
            <w:noWrap/>
            <w:vAlign w:val="center"/>
            <w:hideMark/>
          </w:tcPr>
          <w:p w14:paraId="6CF60118" w14:textId="77777777" w:rsidR="004546C6" w:rsidRPr="007F66F2" w:rsidRDefault="004546C6" w:rsidP="007F66F2">
            <w:pPr>
              <w:jc w:val="right"/>
              <w:rPr>
                <w:rFonts w:ascii="Arial" w:hAnsi="Arial" w:cs="Arial"/>
                <w:b/>
                <w:bCs/>
                <w:color w:val="000000"/>
                <w:sz w:val="22"/>
                <w:szCs w:val="22"/>
              </w:rPr>
            </w:pPr>
            <w:r w:rsidRPr="007F66F2">
              <w:rPr>
                <w:rFonts w:ascii="Arial" w:hAnsi="Arial" w:cs="Arial"/>
                <w:b/>
                <w:bCs/>
                <w:color w:val="000000"/>
                <w:sz w:val="22"/>
                <w:szCs w:val="22"/>
              </w:rPr>
              <w:t> </w:t>
            </w:r>
          </w:p>
        </w:tc>
      </w:tr>
      <w:tr w:rsidR="004546C6" w:rsidRPr="007F66F2" w14:paraId="21FBD973" w14:textId="77777777" w:rsidTr="005E2F77">
        <w:trPr>
          <w:trHeight w:val="300"/>
        </w:trPr>
        <w:tc>
          <w:tcPr>
            <w:tcW w:w="1271" w:type="dxa"/>
            <w:tcBorders>
              <w:top w:val="nil"/>
              <w:left w:val="single" w:sz="4" w:space="0" w:color="auto"/>
              <w:bottom w:val="nil"/>
              <w:right w:val="single" w:sz="8" w:space="0" w:color="auto"/>
            </w:tcBorders>
            <w:noWrap/>
            <w:vAlign w:val="center"/>
            <w:hideMark/>
          </w:tcPr>
          <w:p w14:paraId="47B7CD17" w14:textId="77777777" w:rsidR="004546C6" w:rsidRPr="007F66F2" w:rsidRDefault="004546C6" w:rsidP="007F66F2">
            <w:pPr>
              <w:jc w:val="right"/>
              <w:rPr>
                <w:rFonts w:ascii="Arial" w:hAnsi="Arial" w:cs="Arial"/>
                <w:b/>
                <w:bCs/>
                <w:color w:val="000000"/>
                <w:sz w:val="22"/>
                <w:szCs w:val="22"/>
              </w:rPr>
            </w:pPr>
            <w:r w:rsidRPr="007F66F2">
              <w:rPr>
                <w:rFonts w:ascii="Arial" w:hAnsi="Arial" w:cs="Arial"/>
                <w:b/>
                <w:bCs/>
                <w:color w:val="000000"/>
                <w:sz w:val="22"/>
                <w:szCs w:val="22"/>
              </w:rPr>
              <w:t>£000</w:t>
            </w:r>
          </w:p>
        </w:tc>
        <w:tc>
          <w:tcPr>
            <w:tcW w:w="7537" w:type="dxa"/>
            <w:tcBorders>
              <w:top w:val="nil"/>
              <w:left w:val="nil"/>
              <w:bottom w:val="nil"/>
              <w:right w:val="nil"/>
            </w:tcBorders>
            <w:shd w:val="clear" w:color="000000" w:fill="CCCCCC"/>
            <w:noWrap/>
            <w:vAlign w:val="center"/>
            <w:hideMark/>
          </w:tcPr>
          <w:p w14:paraId="7143CC89" w14:textId="77777777" w:rsidR="004546C6" w:rsidRPr="007F66F2" w:rsidRDefault="004546C6" w:rsidP="007F66F2">
            <w:pPr>
              <w:jc w:val="center"/>
              <w:rPr>
                <w:rFonts w:ascii="Arial" w:hAnsi="Arial" w:cs="Arial"/>
                <w:color w:val="000000"/>
                <w:sz w:val="22"/>
                <w:szCs w:val="22"/>
              </w:rPr>
            </w:pPr>
            <w:r w:rsidRPr="007F66F2">
              <w:rPr>
                <w:rFonts w:ascii="Arial" w:hAnsi="Arial" w:cs="Arial"/>
                <w:color w:val="000000"/>
                <w:sz w:val="22"/>
                <w:szCs w:val="22"/>
              </w:rPr>
              <w:t> </w:t>
            </w:r>
          </w:p>
        </w:tc>
        <w:tc>
          <w:tcPr>
            <w:tcW w:w="1646" w:type="dxa"/>
            <w:tcBorders>
              <w:top w:val="nil"/>
              <w:left w:val="nil"/>
              <w:bottom w:val="nil"/>
              <w:right w:val="single" w:sz="8" w:space="0" w:color="auto"/>
            </w:tcBorders>
            <w:noWrap/>
            <w:vAlign w:val="center"/>
            <w:hideMark/>
          </w:tcPr>
          <w:p w14:paraId="510A9429" w14:textId="77777777" w:rsidR="004546C6" w:rsidRPr="007F66F2" w:rsidRDefault="004546C6" w:rsidP="007F66F2">
            <w:pPr>
              <w:jc w:val="right"/>
              <w:rPr>
                <w:rFonts w:ascii="Arial" w:hAnsi="Arial" w:cs="Arial"/>
                <w:b/>
                <w:bCs/>
                <w:color w:val="000000"/>
                <w:sz w:val="22"/>
                <w:szCs w:val="22"/>
              </w:rPr>
            </w:pPr>
            <w:r w:rsidRPr="007F66F2">
              <w:rPr>
                <w:rFonts w:ascii="Arial" w:hAnsi="Arial" w:cs="Arial"/>
                <w:b/>
                <w:bCs/>
                <w:color w:val="000000"/>
                <w:sz w:val="22"/>
                <w:szCs w:val="22"/>
              </w:rPr>
              <w:t>£000</w:t>
            </w:r>
          </w:p>
        </w:tc>
      </w:tr>
      <w:tr w:rsidR="004546C6" w:rsidRPr="007F66F2" w14:paraId="4800D0ED" w14:textId="77777777" w:rsidTr="005E2F77">
        <w:trPr>
          <w:trHeight w:val="300"/>
        </w:trPr>
        <w:tc>
          <w:tcPr>
            <w:tcW w:w="1271" w:type="dxa"/>
            <w:tcBorders>
              <w:top w:val="nil"/>
              <w:left w:val="single" w:sz="4" w:space="0" w:color="auto"/>
              <w:bottom w:val="nil"/>
              <w:right w:val="single" w:sz="8" w:space="0" w:color="auto"/>
            </w:tcBorders>
            <w:noWrap/>
            <w:vAlign w:val="center"/>
            <w:hideMark/>
          </w:tcPr>
          <w:p w14:paraId="55D1DCAE" w14:textId="77777777" w:rsidR="004546C6" w:rsidRPr="007F66F2" w:rsidRDefault="004546C6" w:rsidP="007F66F2">
            <w:pPr>
              <w:jc w:val="right"/>
              <w:rPr>
                <w:rFonts w:ascii="Arial" w:hAnsi="Arial" w:cs="Arial"/>
                <w:b/>
                <w:bCs/>
                <w:color w:val="000000"/>
                <w:sz w:val="22"/>
                <w:szCs w:val="22"/>
              </w:rPr>
            </w:pPr>
            <w:r w:rsidRPr="007F66F2">
              <w:rPr>
                <w:rFonts w:ascii="Arial" w:hAnsi="Arial" w:cs="Arial"/>
                <w:b/>
                <w:bCs/>
                <w:color w:val="000000"/>
                <w:sz w:val="22"/>
                <w:szCs w:val="22"/>
              </w:rPr>
              <w:t> </w:t>
            </w:r>
          </w:p>
        </w:tc>
        <w:tc>
          <w:tcPr>
            <w:tcW w:w="7537" w:type="dxa"/>
            <w:tcBorders>
              <w:top w:val="nil"/>
              <w:left w:val="nil"/>
              <w:bottom w:val="nil"/>
              <w:right w:val="nil"/>
            </w:tcBorders>
            <w:shd w:val="clear" w:color="000000" w:fill="CCCCCC"/>
            <w:noWrap/>
            <w:vAlign w:val="center"/>
            <w:hideMark/>
          </w:tcPr>
          <w:p w14:paraId="6F0BD91F" w14:textId="77777777" w:rsidR="004546C6" w:rsidRPr="007F66F2" w:rsidRDefault="004546C6" w:rsidP="007F66F2">
            <w:pPr>
              <w:rPr>
                <w:rFonts w:ascii="Arial" w:hAnsi="Arial" w:cs="Arial"/>
                <w:color w:val="000000"/>
                <w:sz w:val="22"/>
                <w:szCs w:val="22"/>
              </w:rPr>
            </w:pPr>
            <w:r w:rsidRPr="007F66F2">
              <w:rPr>
                <w:rFonts w:ascii="Arial" w:hAnsi="Arial" w:cs="Arial"/>
                <w:color w:val="000000"/>
                <w:sz w:val="22"/>
                <w:szCs w:val="22"/>
              </w:rPr>
              <w:t> </w:t>
            </w:r>
          </w:p>
        </w:tc>
        <w:tc>
          <w:tcPr>
            <w:tcW w:w="1646" w:type="dxa"/>
            <w:tcBorders>
              <w:top w:val="nil"/>
              <w:left w:val="nil"/>
              <w:bottom w:val="nil"/>
              <w:right w:val="single" w:sz="8" w:space="0" w:color="auto"/>
            </w:tcBorders>
            <w:noWrap/>
            <w:vAlign w:val="center"/>
            <w:hideMark/>
          </w:tcPr>
          <w:p w14:paraId="34957944" w14:textId="77777777" w:rsidR="004546C6" w:rsidRPr="007F66F2" w:rsidRDefault="004546C6" w:rsidP="007F66F2">
            <w:pPr>
              <w:jc w:val="right"/>
              <w:rPr>
                <w:rFonts w:ascii="Arial" w:hAnsi="Arial" w:cs="Arial"/>
                <w:b/>
                <w:bCs/>
                <w:color w:val="000000"/>
                <w:sz w:val="22"/>
                <w:szCs w:val="22"/>
              </w:rPr>
            </w:pPr>
            <w:r w:rsidRPr="007F66F2">
              <w:rPr>
                <w:rFonts w:ascii="Arial" w:hAnsi="Arial" w:cs="Arial"/>
                <w:b/>
                <w:bCs/>
                <w:color w:val="000000"/>
                <w:sz w:val="22"/>
                <w:szCs w:val="22"/>
              </w:rPr>
              <w:t> </w:t>
            </w:r>
          </w:p>
        </w:tc>
      </w:tr>
      <w:tr w:rsidR="00780443" w:rsidRPr="007F66F2" w14:paraId="5F9AC36C" w14:textId="77777777" w:rsidTr="005E2F77">
        <w:trPr>
          <w:trHeight w:val="300"/>
        </w:trPr>
        <w:tc>
          <w:tcPr>
            <w:tcW w:w="1271" w:type="dxa"/>
            <w:tcBorders>
              <w:top w:val="nil"/>
              <w:left w:val="single" w:sz="4" w:space="0" w:color="auto"/>
              <w:bottom w:val="nil"/>
              <w:right w:val="single" w:sz="8" w:space="0" w:color="auto"/>
            </w:tcBorders>
            <w:noWrap/>
            <w:vAlign w:val="center"/>
            <w:hideMark/>
          </w:tcPr>
          <w:p w14:paraId="625BFE92" w14:textId="016BD489" w:rsidR="00780443" w:rsidRPr="007F66F2" w:rsidRDefault="00780443" w:rsidP="00780443">
            <w:pPr>
              <w:jc w:val="right"/>
              <w:rPr>
                <w:rFonts w:ascii="Arial" w:hAnsi="Arial" w:cs="Arial"/>
                <w:color w:val="000000"/>
                <w:sz w:val="22"/>
                <w:szCs w:val="22"/>
              </w:rPr>
            </w:pPr>
            <w:r w:rsidRPr="007F66F2">
              <w:rPr>
                <w:rFonts w:ascii="Arial" w:hAnsi="Arial" w:cs="Arial"/>
                <w:color w:val="000000"/>
                <w:sz w:val="22"/>
                <w:szCs w:val="22"/>
              </w:rPr>
              <w:t>5</w:t>
            </w:r>
            <w:r>
              <w:rPr>
                <w:rFonts w:ascii="Arial" w:hAnsi="Arial" w:cs="Arial"/>
                <w:color w:val="000000"/>
                <w:sz w:val="22"/>
                <w:szCs w:val="22"/>
              </w:rPr>
              <w:t>33</w:t>
            </w:r>
            <w:r w:rsidRPr="007F66F2">
              <w:rPr>
                <w:rFonts w:ascii="Arial" w:hAnsi="Arial" w:cs="Arial"/>
                <w:color w:val="000000"/>
                <w:sz w:val="22"/>
                <w:szCs w:val="22"/>
              </w:rPr>
              <w:t>,</w:t>
            </w:r>
            <w:r>
              <w:rPr>
                <w:rFonts w:ascii="Arial" w:hAnsi="Arial" w:cs="Arial"/>
                <w:color w:val="000000"/>
                <w:sz w:val="22"/>
                <w:szCs w:val="22"/>
              </w:rPr>
              <w:t>319</w:t>
            </w:r>
          </w:p>
        </w:tc>
        <w:tc>
          <w:tcPr>
            <w:tcW w:w="7537" w:type="dxa"/>
            <w:tcBorders>
              <w:top w:val="nil"/>
              <w:left w:val="nil"/>
              <w:bottom w:val="nil"/>
              <w:right w:val="nil"/>
            </w:tcBorders>
            <w:shd w:val="clear" w:color="000000" w:fill="CCCCCC"/>
            <w:noWrap/>
            <w:vAlign w:val="center"/>
            <w:hideMark/>
          </w:tcPr>
          <w:p w14:paraId="7E420525" w14:textId="77777777"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Provision of services deficit in CC CIES prior to PCC funding</w:t>
            </w:r>
          </w:p>
        </w:tc>
        <w:tc>
          <w:tcPr>
            <w:tcW w:w="1646" w:type="dxa"/>
            <w:tcBorders>
              <w:top w:val="nil"/>
              <w:left w:val="nil"/>
              <w:bottom w:val="nil"/>
              <w:right w:val="single" w:sz="8" w:space="0" w:color="auto"/>
            </w:tcBorders>
            <w:noWrap/>
            <w:vAlign w:val="center"/>
            <w:hideMark/>
          </w:tcPr>
          <w:p w14:paraId="45CC620A" w14:textId="3CBB3213"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558,82</w:t>
            </w:r>
            <w:r w:rsidR="005B7CD8">
              <w:rPr>
                <w:rFonts w:ascii="Arial" w:hAnsi="Arial" w:cs="Arial"/>
                <w:color w:val="000000"/>
                <w:sz w:val="22"/>
                <w:szCs w:val="22"/>
              </w:rPr>
              <w:t>8</w:t>
            </w:r>
          </w:p>
        </w:tc>
      </w:tr>
      <w:tr w:rsidR="00780443" w:rsidRPr="007F66F2" w14:paraId="7B48148E" w14:textId="77777777" w:rsidTr="005E2F77">
        <w:trPr>
          <w:trHeight w:val="300"/>
        </w:trPr>
        <w:tc>
          <w:tcPr>
            <w:tcW w:w="1271" w:type="dxa"/>
            <w:tcBorders>
              <w:top w:val="nil"/>
              <w:left w:val="single" w:sz="4" w:space="0" w:color="auto"/>
              <w:bottom w:val="nil"/>
              <w:right w:val="single" w:sz="8" w:space="0" w:color="auto"/>
            </w:tcBorders>
            <w:noWrap/>
            <w:vAlign w:val="center"/>
            <w:hideMark/>
          </w:tcPr>
          <w:p w14:paraId="4F47EB50" w14:textId="7FC37E9C" w:rsidR="00780443" w:rsidRPr="007F66F2" w:rsidRDefault="00780443" w:rsidP="00780443">
            <w:pPr>
              <w:jc w:val="right"/>
              <w:rPr>
                <w:rFonts w:ascii="Arial" w:hAnsi="Arial" w:cs="Arial"/>
                <w:color w:val="000000"/>
                <w:sz w:val="22"/>
                <w:szCs w:val="22"/>
              </w:rPr>
            </w:pPr>
            <w:r w:rsidRPr="007F66F2">
              <w:rPr>
                <w:rFonts w:ascii="Arial" w:hAnsi="Arial" w:cs="Arial"/>
                <w:color w:val="000000"/>
                <w:sz w:val="22"/>
                <w:szCs w:val="22"/>
              </w:rPr>
              <w:t>(18</w:t>
            </w:r>
            <w:r>
              <w:rPr>
                <w:rFonts w:ascii="Arial" w:hAnsi="Arial" w:cs="Arial"/>
                <w:color w:val="000000"/>
                <w:sz w:val="22"/>
                <w:szCs w:val="22"/>
              </w:rPr>
              <w:t>7,030</w:t>
            </w:r>
            <w:r w:rsidRPr="007F66F2">
              <w:rPr>
                <w:rFonts w:ascii="Arial" w:hAnsi="Arial" w:cs="Arial"/>
                <w:color w:val="000000"/>
                <w:sz w:val="22"/>
                <w:szCs w:val="22"/>
              </w:rPr>
              <w:t>)</w:t>
            </w:r>
          </w:p>
        </w:tc>
        <w:tc>
          <w:tcPr>
            <w:tcW w:w="7537" w:type="dxa"/>
            <w:tcBorders>
              <w:top w:val="nil"/>
              <w:left w:val="nil"/>
              <w:bottom w:val="nil"/>
              <w:right w:val="nil"/>
            </w:tcBorders>
            <w:shd w:val="clear" w:color="000000" w:fill="CCCCCC"/>
            <w:noWrap/>
            <w:vAlign w:val="center"/>
            <w:hideMark/>
          </w:tcPr>
          <w:p w14:paraId="151B372E" w14:textId="77777777"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Adjustment for net IAS19 pensions charges included in cost of service but funded by CC pensions reserve</w:t>
            </w:r>
          </w:p>
        </w:tc>
        <w:tc>
          <w:tcPr>
            <w:tcW w:w="1646" w:type="dxa"/>
            <w:tcBorders>
              <w:top w:val="nil"/>
              <w:left w:val="nil"/>
              <w:bottom w:val="nil"/>
              <w:right w:val="single" w:sz="8" w:space="0" w:color="auto"/>
            </w:tcBorders>
            <w:noWrap/>
            <w:vAlign w:val="center"/>
            <w:hideMark/>
          </w:tcPr>
          <w:p w14:paraId="50208E64" w14:textId="172D5E4D"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(191,119)</w:t>
            </w:r>
          </w:p>
        </w:tc>
      </w:tr>
      <w:tr w:rsidR="00780443" w:rsidRPr="007F66F2" w14:paraId="7E229501" w14:textId="77777777" w:rsidTr="005E2F77">
        <w:trPr>
          <w:trHeight w:val="300"/>
        </w:trPr>
        <w:tc>
          <w:tcPr>
            <w:tcW w:w="1271" w:type="dxa"/>
            <w:tcBorders>
              <w:top w:val="nil"/>
              <w:left w:val="single" w:sz="4" w:space="0" w:color="auto"/>
              <w:bottom w:val="nil"/>
              <w:right w:val="single" w:sz="8" w:space="0" w:color="auto"/>
            </w:tcBorders>
            <w:noWrap/>
            <w:vAlign w:val="center"/>
            <w:hideMark/>
          </w:tcPr>
          <w:p w14:paraId="17498E90" w14:textId="6DBA7FAF" w:rsidR="00780443" w:rsidRPr="007F66F2" w:rsidRDefault="00780443" w:rsidP="00780443">
            <w:pPr>
              <w:jc w:val="right"/>
              <w:rPr>
                <w:rFonts w:ascii="Arial" w:hAnsi="Arial" w:cs="Arial"/>
                <w:color w:val="000000"/>
                <w:sz w:val="22"/>
                <w:szCs w:val="22"/>
              </w:rPr>
            </w:pPr>
            <w:r w:rsidRPr="007F66F2">
              <w:rPr>
                <w:rFonts w:ascii="Arial" w:hAnsi="Arial" w:cs="Arial"/>
                <w:color w:val="000000"/>
                <w:sz w:val="22"/>
                <w:szCs w:val="22"/>
              </w:rPr>
              <w:t>1</w:t>
            </w:r>
            <w:r>
              <w:rPr>
                <w:rFonts w:ascii="Arial" w:hAnsi="Arial" w:cs="Arial"/>
                <w:color w:val="000000"/>
                <w:sz w:val="22"/>
                <w:szCs w:val="22"/>
              </w:rPr>
              <w:t>15</w:t>
            </w:r>
            <w:r w:rsidRPr="007F66F2">
              <w:rPr>
                <w:rFonts w:ascii="Arial" w:hAnsi="Arial" w:cs="Arial"/>
                <w:color w:val="000000"/>
                <w:sz w:val="22"/>
                <w:szCs w:val="22"/>
              </w:rPr>
              <w:t>,</w:t>
            </w:r>
            <w:r>
              <w:rPr>
                <w:rFonts w:ascii="Arial" w:hAnsi="Arial" w:cs="Arial"/>
                <w:color w:val="000000"/>
                <w:sz w:val="22"/>
                <w:szCs w:val="22"/>
              </w:rPr>
              <w:t>861</w:t>
            </w:r>
          </w:p>
        </w:tc>
        <w:tc>
          <w:tcPr>
            <w:tcW w:w="7537" w:type="dxa"/>
            <w:tcBorders>
              <w:top w:val="nil"/>
              <w:left w:val="nil"/>
              <w:bottom w:val="nil"/>
              <w:right w:val="nil"/>
            </w:tcBorders>
            <w:shd w:val="clear" w:color="000000" w:fill="CCCCCC"/>
            <w:noWrap/>
            <w:vAlign w:val="center"/>
            <w:hideMark/>
          </w:tcPr>
          <w:p w14:paraId="7BEEF144" w14:textId="77777777"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Replace with actual employer contribution funded by PCC</w:t>
            </w:r>
          </w:p>
        </w:tc>
        <w:tc>
          <w:tcPr>
            <w:tcW w:w="1646" w:type="dxa"/>
            <w:tcBorders>
              <w:top w:val="nil"/>
              <w:left w:val="nil"/>
              <w:bottom w:val="nil"/>
              <w:right w:val="single" w:sz="8" w:space="0" w:color="auto"/>
            </w:tcBorders>
            <w:noWrap/>
            <w:vAlign w:val="center"/>
            <w:hideMark/>
          </w:tcPr>
          <w:p w14:paraId="18AABE6F" w14:textId="61496A11"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123,815</w:t>
            </w:r>
          </w:p>
        </w:tc>
      </w:tr>
      <w:tr w:rsidR="00780443" w:rsidRPr="007F66F2" w14:paraId="336FE469" w14:textId="77777777" w:rsidTr="005E2F77">
        <w:trPr>
          <w:trHeight w:val="315"/>
        </w:trPr>
        <w:tc>
          <w:tcPr>
            <w:tcW w:w="1271" w:type="dxa"/>
            <w:tcBorders>
              <w:top w:val="nil"/>
              <w:left w:val="single" w:sz="4" w:space="0" w:color="auto"/>
              <w:bottom w:val="single" w:sz="8" w:space="0" w:color="auto"/>
              <w:right w:val="single" w:sz="8" w:space="0" w:color="auto"/>
            </w:tcBorders>
            <w:noWrap/>
            <w:vAlign w:val="center"/>
            <w:hideMark/>
          </w:tcPr>
          <w:p w14:paraId="0FBB3656" w14:textId="29302DD6" w:rsidR="00780443" w:rsidRPr="007F66F2" w:rsidRDefault="00780443" w:rsidP="00780443">
            <w:pPr>
              <w:jc w:val="right"/>
              <w:rPr>
                <w:rFonts w:ascii="Arial" w:hAnsi="Arial" w:cs="Arial"/>
                <w:color w:val="000000"/>
                <w:sz w:val="22"/>
                <w:szCs w:val="22"/>
              </w:rPr>
            </w:pPr>
            <w:r w:rsidRPr="007F66F2">
              <w:rPr>
                <w:rFonts w:ascii="Arial" w:hAnsi="Arial" w:cs="Arial"/>
                <w:color w:val="000000"/>
                <w:sz w:val="22"/>
                <w:szCs w:val="22"/>
              </w:rPr>
              <w:t>1</w:t>
            </w:r>
            <w:r>
              <w:rPr>
                <w:rFonts w:ascii="Arial" w:hAnsi="Arial" w:cs="Arial"/>
                <w:color w:val="000000"/>
                <w:sz w:val="22"/>
                <w:szCs w:val="22"/>
              </w:rPr>
              <w:t>,026</w:t>
            </w:r>
          </w:p>
        </w:tc>
        <w:tc>
          <w:tcPr>
            <w:tcW w:w="7537" w:type="dxa"/>
            <w:tcBorders>
              <w:top w:val="nil"/>
              <w:left w:val="nil"/>
              <w:bottom w:val="nil"/>
              <w:right w:val="nil"/>
            </w:tcBorders>
            <w:shd w:val="clear" w:color="000000" w:fill="CCCCCC"/>
            <w:noWrap/>
            <w:vAlign w:val="center"/>
            <w:hideMark/>
          </w:tcPr>
          <w:p w14:paraId="1C20352C" w14:textId="77777777" w:rsidR="00780443" w:rsidRPr="007F66F2" w:rsidRDefault="00780443" w:rsidP="00780443">
            <w:pPr>
              <w:rPr>
                <w:rFonts w:ascii="Arial" w:hAnsi="Arial" w:cs="Arial"/>
                <w:color w:val="000000"/>
                <w:sz w:val="22"/>
                <w:szCs w:val="22"/>
              </w:rPr>
            </w:pPr>
            <w:r w:rsidRPr="007F66F2">
              <w:rPr>
                <w:rFonts w:ascii="Arial" w:hAnsi="Arial" w:cs="Arial"/>
                <w:color w:val="000000"/>
                <w:sz w:val="22"/>
                <w:szCs w:val="22"/>
              </w:rPr>
              <w:t>Adjustment for movement in accumulated absence accrual funded by CC accumulated absence reserve</w:t>
            </w:r>
          </w:p>
        </w:tc>
        <w:tc>
          <w:tcPr>
            <w:tcW w:w="1646" w:type="dxa"/>
            <w:tcBorders>
              <w:top w:val="nil"/>
              <w:left w:val="nil"/>
              <w:bottom w:val="single" w:sz="8" w:space="0" w:color="auto"/>
              <w:right w:val="single" w:sz="8" w:space="0" w:color="auto"/>
            </w:tcBorders>
            <w:noWrap/>
            <w:vAlign w:val="center"/>
            <w:hideMark/>
          </w:tcPr>
          <w:p w14:paraId="1AA487BE" w14:textId="651CEE35" w:rsidR="00780443" w:rsidRPr="007F66F2" w:rsidRDefault="00780443" w:rsidP="00780443">
            <w:pPr>
              <w:jc w:val="right"/>
              <w:rPr>
                <w:rFonts w:ascii="Arial" w:hAnsi="Arial" w:cs="Arial"/>
                <w:color w:val="000000"/>
                <w:sz w:val="22"/>
                <w:szCs w:val="22"/>
              </w:rPr>
            </w:pPr>
            <w:r>
              <w:rPr>
                <w:rFonts w:ascii="Arial" w:hAnsi="Arial" w:cs="Arial"/>
                <w:color w:val="000000"/>
                <w:sz w:val="22"/>
                <w:szCs w:val="22"/>
              </w:rPr>
              <w:t>1,471</w:t>
            </w:r>
          </w:p>
        </w:tc>
      </w:tr>
      <w:tr w:rsidR="00780443" w:rsidRPr="007F66F2" w14:paraId="78EC8F14" w14:textId="77777777" w:rsidTr="005E2F77">
        <w:trPr>
          <w:trHeight w:val="315"/>
        </w:trPr>
        <w:tc>
          <w:tcPr>
            <w:tcW w:w="1271" w:type="dxa"/>
            <w:tcBorders>
              <w:top w:val="nil"/>
              <w:left w:val="single" w:sz="4" w:space="0" w:color="auto"/>
              <w:bottom w:val="single" w:sz="8" w:space="0" w:color="auto"/>
              <w:right w:val="single" w:sz="8" w:space="0" w:color="auto"/>
            </w:tcBorders>
            <w:noWrap/>
            <w:vAlign w:val="center"/>
            <w:hideMark/>
          </w:tcPr>
          <w:p w14:paraId="669A6D21" w14:textId="52DA69DC" w:rsidR="00780443" w:rsidRPr="007F66F2" w:rsidRDefault="00780443" w:rsidP="00780443">
            <w:pPr>
              <w:jc w:val="right"/>
              <w:rPr>
                <w:rFonts w:ascii="Arial" w:hAnsi="Arial" w:cs="Arial"/>
                <w:b/>
                <w:bCs/>
                <w:color w:val="000000"/>
                <w:sz w:val="22"/>
                <w:szCs w:val="22"/>
              </w:rPr>
            </w:pPr>
            <w:r w:rsidRPr="007F66F2">
              <w:rPr>
                <w:rFonts w:ascii="Arial" w:hAnsi="Arial" w:cs="Arial"/>
                <w:b/>
                <w:bCs/>
                <w:color w:val="000000"/>
                <w:sz w:val="22"/>
                <w:szCs w:val="22"/>
              </w:rPr>
              <w:t>4</w:t>
            </w:r>
            <w:r>
              <w:rPr>
                <w:rFonts w:ascii="Arial" w:hAnsi="Arial" w:cs="Arial"/>
                <w:b/>
                <w:bCs/>
                <w:color w:val="000000"/>
                <w:sz w:val="22"/>
                <w:szCs w:val="22"/>
              </w:rPr>
              <w:t>63</w:t>
            </w:r>
            <w:r w:rsidRPr="007F66F2">
              <w:rPr>
                <w:rFonts w:ascii="Arial" w:hAnsi="Arial" w:cs="Arial"/>
                <w:b/>
                <w:bCs/>
                <w:color w:val="000000"/>
                <w:sz w:val="22"/>
                <w:szCs w:val="22"/>
              </w:rPr>
              <w:t>,</w:t>
            </w:r>
            <w:r>
              <w:rPr>
                <w:rFonts w:ascii="Arial" w:hAnsi="Arial" w:cs="Arial"/>
                <w:b/>
                <w:bCs/>
                <w:color w:val="000000"/>
                <w:sz w:val="22"/>
                <w:szCs w:val="22"/>
              </w:rPr>
              <w:t>176</w:t>
            </w:r>
          </w:p>
        </w:tc>
        <w:tc>
          <w:tcPr>
            <w:tcW w:w="7537" w:type="dxa"/>
            <w:tcBorders>
              <w:top w:val="nil"/>
              <w:left w:val="nil"/>
              <w:bottom w:val="nil"/>
              <w:right w:val="nil"/>
            </w:tcBorders>
            <w:shd w:val="clear" w:color="000000" w:fill="CCCCCC"/>
            <w:noWrap/>
            <w:vAlign w:val="center"/>
            <w:hideMark/>
          </w:tcPr>
          <w:p w14:paraId="4D5974C9" w14:textId="77777777" w:rsidR="00780443" w:rsidRPr="007F66F2" w:rsidRDefault="00780443" w:rsidP="00780443">
            <w:pPr>
              <w:rPr>
                <w:rFonts w:ascii="Arial" w:hAnsi="Arial" w:cs="Arial"/>
                <w:b/>
                <w:bCs/>
                <w:color w:val="000000"/>
                <w:sz w:val="22"/>
                <w:szCs w:val="22"/>
              </w:rPr>
            </w:pPr>
            <w:r w:rsidRPr="007F66F2">
              <w:rPr>
                <w:rFonts w:ascii="Arial" w:hAnsi="Arial" w:cs="Arial"/>
                <w:b/>
                <w:bCs/>
                <w:color w:val="000000"/>
                <w:sz w:val="22"/>
                <w:szCs w:val="22"/>
              </w:rPr>
              <w:t>PCC funding for PCC resources consumed at the request of the CC</w:t>
            </w:r>
          </w:p>
        </w:tc>
        <w:tc>
          <w:tcPr>
            <w:tcW w:w="1646" w:type="dxa"/>
            <w:tcBorders>
              <w:top w:val="nil"/>
              <w:left w:val="nil"/>
              <w:bottom w:val="single" w:sz="8" w:space="0" w:color="auto"/>
              <w:right w:val="single" w:sz="8" w:space="0" w:color="auto"/>
            </w:tcBorders>
            <w:noWrap/>
            <w:vAlign w:val="center"/>
            <w:hideMark/>
          </w:tcPr>
          <w:p w14:paraId="7BE22F23" w14:textId="747CD924" w:rsidR="00780443" w:rsidRPr="007F66F2" w:rsidRDefault="00780443" w:rsidP="00780443">
            <w:pPr>
              <w:jc w:val="right"/>
              <w:rPr>
                <w:rFonts w:ascii="Arial" w:hAnsi="Arial" w:cs="Arial"/>
                <w:b/>
                <w:bCs/>
                <w:color w:val="000000"/>
                <w:sz w:val="22"/>
                <w:szCs w:val="22"/>
              </w:rPr>
            </w:pPr>
            <w:r>
              <w:rPr>
                <w:rFonts w:ascii="Arial" w:hAnsi="Arial" w:cs="Arial"/>
                <w:b/>
                <w:bCs/>
                <w:color w:val="000000"/>
                <w:sz w:val="22"/>
                <w:szCs w:val="22"/>
              </w:rPr>
              <w:t>492,99</w:t>
            </w:r>
            <w:r w:rsidR="005B7CD8">
              <w:rPr>
                <w:rFonts w:ascii="Arial" w:hAnsi="Arial" w:cs="Arial"/>
                <w:b/>
                <w:bCs/>
                <w:color w:val="000000"/>
                <w:sz w:val="22"/>
                <w:szCs w:val="22"/>
              </w:rPr>
              <w:t>5</w:t>
            </w:r>
          </w:p>
        </w:tc>
      </w:tr>
      <w:tr w:rsidR="004546C6" w:rsidRPr="007F66F2" w14:paraId="16BA66E9" w14:textId="77777777" w:rsidTr="005E2F77">
        <w:trPr>
          <w:trHeight w:val="300"/>
        </w:trPr>
        <w:tc>
          <w:tcPr>
            <w:tcW w:w="1271" w:type="dxa"/>
            <w:tcBorders>
              <w:top w:val="nil"/>
              <w:left w:val="single" w:sz="4" w:space="0" w:color="auto"/>
              <w:bottom w:val="nil"/>
              <w:right w:val="single" w:sz="8" w:space="0" w:color="auto"/>
            </w:tcBorders>
            <w:noWrap/>
            <w:vAlign w:val="center"/>
            <w:hideMark/>
          </w:tcPr>
          <w:p w14:paraId="2639DD1E" w14:textId="77777777" w:rsidR="004546C6" w:rsidRPr="007F66F2" w:rsidRDefault="004546C6" w:rsidP="007F66F2">
            <w:pPr>
              <w:jc w:val="right"/>
              <w:rPr>
                <w:rFonts w:ascii="Arial" w:hAnsi="Arial" w:cs="Arial"/>
                <w:b/>
                <w:bCs/>
                <w:color w:val="000000"/>
                <w:sz w:val="22"/>
                <w:szCs w:val="22"/>
              </w:rPr>
            </w:pPr>
            <w:r w:rsidRPr="007F66F2">
              <w:rPr>
                <w:rFonts w:ascii="Arial" w:hAnsi="Arial" w:cs="Arial"/>
                <w:b/>
                <w:bCs/>
                <w:color w:val="000000"/>
                <w:sz w:val="22"/>
                <w:szCs w:val="22"/>
              </w:rPr>
              <w:t> </w:t>
            </w:r>
          </w:p>
        </w:tc>
        <w:tc>
          <w:tcPr>
            <w:tcW w:w="7537" w:type="dxa"/>
            <w:tcBorders>
              <w:top w:val="nil"/>
              <w:left w:val="nil"/>
              <w:bottom w:val="nil"/>
              <w:right w:val="nil"/>
            </w:tcBorders>
            <w:shd w:val="clear" w:color="000000" w:fill="CCCCCC"/>
            <w:noWrap/>
            <w:vAlign w:val="center"/>
            <w:hideMark/>
          </w:tcPr>
          <w:p w14:paraId="14E47C47" w14:textId="77777777" w:rsidR="004546C6" w:rsidRPr="007F66F2" w:rsidRDefault="004546C6" w:rsidP="007F66F2">
            <w:pPr>
              <w:rPr>
                <w:rFonts w:ascii="Arial" w:hAnsi="Arial" w:cs="Arial"/>
                <w:color w:val="000000"/>
                <w:sz w:val="22"/>
                <w:szCs w:val="22"/>
              </w:rPr>
            </w:pPr>
            <w:r w:rsidRPr="007F66F2">
              <w:rPr>
                <w:rFonts w:ascii="Arial" w:hAnsi="Arial" w:cs="Arial"/>
                <w:color w:val="000000"/>
                <w:sz w:val="22"/>
                <w:szCs w:val="22"/>
              </w:rPr>
              <w:t>Consisting of:</w:t>
            </w:r>
          </w:p>
        </w:tc>
        <w:tc>
          <w:tcPr>
            <w:tcW w:w="1646" w:type="dxa"/>
            <w:tcBorders>
              <w:top w:val="nil"/>
              <w:left w:val="nil"/>
              <w:bottom w:val="nil"/>
              <w:right w:val="single" w:sz="8" w:space="0" w:color="auto"/>
            </w:tcBorders>
            <w:noWrap/>
            <w:vAlign w:val="center"/>
            <w:hideMark/>
          </w:tcPr>
          <w:p w14:paraId="1C8061FF" w14:textId="77777777" w:rsidR="004546C6" w:rsidRPr="007F66F2" w:rsidRDefault="004546C6" w:rsidP="007F66F2">
            <w:pPr>
              <w:jc w:val="right"/>
              <w:rPr>
                <w:rFonts w:ascii="Arial" w:hAnsi="Arial" w:cs="Arial"/>
                <w:b/>
                <w:bCs/>
                <w:color w:val="000000"/>
                <w:sz w:val="22"/>
                <w:szCs w:val="22"/>
              </w:rPr>
            </w:pPr>
            <w:r w:rsidRPr="007F66F2">
              <w:rPr>
                <w:rFonts w:ascii="Arial" w:hAnsi="Arial" w:cs="Arial"/>
                <w:b/>
                <w:bCs/>
                <w:color w:val="000000"/>
                <w:sz w:val="22"/>
                <w:szCs w:val="22"/>
              </w:rPr>
              <w:t> </w:t>
            </w:r>
          </w:p>
        </w:tc>
      </w:tr>
      <w:tr w:rsidR="002735E1" w:rsidRPr="007F66F2" w14:paraId="02902161" w14:textId="77777777" w:rsidTr="005E2F77">
        <w:trPr>
          <w:trHeight w:val="300"/>
        </w:trPr>
        <w:tc>
          <w:tcPr>
            <w:tcW w:w="1271" w:type="dxa"/>
            <w:tcBorders>
              <w:top w:val="nil"/>
              <w:left w:val="single" w:sz="4" w:space="0" w:color="auto"/>
              <w:bottom w:val="nil"/>
              <w:right w:val="single" w:sz="8" w:space="0" w:color="auto"/>
            </w:tcBorders>
            <w:noWrap/>
            <w:vAlign w:val="center"/>
            <w:hideMark/>
          </w:tcPr>
          <w:p w14:paraId="080AC081" w14:textId="2565B394" w:rsidR="002735E1" w:rsidRPr="00A372A3" w:rsidRDefault="002735E1" w:rsidP="002735E1">
            <w:pPr>
              <w:jc w:val="right"/>
              <w:rPr>
                <w:rFonts w:ascii="Arial" w:hAnsi="Arial" w:cs="Arial"/>
                <w:color w:val="000000"/>
                <w:sz w:val="22"/>
                <w:szCs w:val="22"/>
              </w:rPr>
            </w:pPr>
            <w:r w:rsidRPr="00A372A3">
              <w:rPr>
                <w:rFonts w:ascii="Arial" w:hAnsi="Arial" w:cs="Arial"/>
                <w:color w:val="000000"/>
                <w:sz w:val="22"/>
                <w:szCs w:val="22"/>
              </w:rPr>
              <w:t>2</w:t>
            </w:r>
            <w:r>
              <w:rPr>
                <w:rFonts w:ascii="Arial" w:hAnsi="Arial" w:cs="Arial"/>
                <w:color w:val="000000"/>
                <w:sz w:val="22"/>
                <w:szCs w:val="22"/>
              </w:rPr>
              <w:t>1</w:t>
            </w:r>
            <w:r w:rsidRPr="00A372A3">
              <w:rPr>
                <w:rFonts w:ascii="Arial" w:hAnsi="Arial" w:cs="Arial"/>
                <w:color w:val="000000"/>
                <w:sz w:val="22"/>
                <w:szCs w:val="22"/>
              </w:rPr>
              <w:t>,</w:t>
            </w:r>
            <w:r w:rsidRPr="005E2F77">
              <w:rPr>
                <w:rFonts w:ascii="Arial" w:hAnsi="Arial" w:cs="Arial"/>
                <w:color w:val="000000"/>
                <w:sz w:val="22"/>
                <w:szCs w:val="22"/>
              </w:rPr>
              <w:t>5</w:t>
            </w:r>
            <w:r>
              <w:rPr>
                <w:rFonts w:ascii="Arial" w:hAnsi="Arial" w:cs="Arial"/>
                <w:color w:val="000000"/>
                <w:sz w:val="22"/>
                <w:szCs w:val="22"/>
              </w:rPr>
              <w:t>75</w:t>
            </w:r>
          </w:p>
        </w:tc>
        <w:tc>
          <w:tcPr>
            <w:tcW w:w="7537" w:type="dxa"/>
            <w:tcBorders>
              <w:top w:val="nil"/>
              <w:left w:val="nil"/>
              <w:bottom w:val="nil"/>
              <w:right w:val="nil"/>
            </w:tcBorders>
            <w:shd w:val="clear" w:color="000000" w:fill="CCCCCC"/>
            <w:noWrap/>
            <w:vAlign w:val="center"/>
            <w:hideMark/>
          </w:tcPr>
          <w:p w14:paraId="1F87CFC2" w14:textId="77777777" w:rsidR="002735E1" w:rsidRPr="007F66F2" w:rsidRDefault="002735E1" w:rsidP="002735E1">
            <w:pPr>
              <w:rPr>
                <w:rFonts w:ascii="Arial" w:hAnsi="Arial" w:cs="Arial"/>
                <w:color w:val="000000"/>
                <w:sz w:val="22"/>
                <w:szCs w:val="22"/>
              </w:rPr>
            </w:pPr>
            <w:r w:rsidRPr="007F66F2">
              <w:rPr>
                <w:rFonts w:ascii="Arial" w:hAnsi="Arial" w:cs="Arial"/>
                <w:color w:val="000000"/>
                <w:sz w:val="22"/>
                <w:szCs w:val="22"/>
              </w:rPr>
              <w:t>Fair value adjustment for CC consumption of PCC property &amp; equipment</w:t>
            </w:r>
          </w:p>
        </w:tc>
        <w:tc>
          <w:tcPr>
            <w:tcW w:w="1646" w:type="dxa"/>
            <w:tcBorders>
              <w:top w:val="nil"/>
              <w:left w:val="nil"/>
              <w:bottom w:val="nil"/>
              <w:right w:val="single" w:sz="8" w:space="0" w:color="auto"/>
            </w:tcBorders>
            <w:noWrap/>
            <w:vAlign w:val="center"/>
            <w:hideMark/>
          </w:tcPr>
          <w:p w14:paraId="383A167A" w14:textId="67D5F5D8" w:rsidR="002735E1" w:rsidRPr="007F66F2" w:rsidRDefault="002735E1" w:rsidP="002735E1">
            <w:pPr>
              <w:jc w:val="right"/>
              <w:rPr>
                <w:rFonts w:ascii="Arial" w:hAnsi="Arial" w:cs="Arial"/>
                <w:color w:val="000000"/>
                <w:sz w:val="22"/>
                <w:szCs w:val="22"/>
              </w:rPr>
            </w:pPr>
            <w:r>
              <w:rPr>
                <w:rFonts w:ascii="Arial" w:hAnsi="Arial" w:cs="Arial"/>
                <w:color w:val="000000"/>
                <w:sz w:val="22"/>
                <w:szCs w:val="22"/>
              </w:rPr>
              <w:t>22,244</w:t>
            </w:r>
          </w:p>
        </w:tc>
      </w:tr>
      <w:tr w:rsidR="002735E1" w:rsidRPr="007F66F2" w14:paraId="2D16058F" w14:textId="77777777" w:rsidTr="005E2F77">
        <w:trPr>
          <w:trHeight w:val="315"/>
        </w:trPr>
        <w:tc>
          <w:tcPr>
            <w:tcW w:w="1271" w:type="dxa"/>
            <w:tcBorders>
              <w:top w:val="nil"/>
              <w:left w:val="single" w:sz="4" w:space="0" w:color="auto"/>
              <w:bottom w:val="single" w:sz="8" w:space="0" w:color="auto"/>
              <w:right w:val="single" w:sz="8" w:space="0" w:color="auto"/>
            </w:tcBorders>
            <w:noWrap/>
            <w:vAlign w:val="center"/>
            <w:hideMark/>
          </w:tcPr>
          <w:p w14:paraId="6E5D2841" w14:textId="7DB9B20A" w:rsidR="002735E1" w:rsidRPr="00A372A3" w:rsidRDefault="002735E1" w:rsidP="002735E1">
            <w:pPr>
              <w:jc w:val="right"/>
              <w:rPr>
                <w:rFonts w:ascii="Arial" w:hAnsi="Arial" w:cs="Arial"/>
                <w:color w:val="000000"/>
                <w:sz w:val="22"/>
                <w:szCs w:val="22"/>
              </w:rPr>
            </w:pPr>
            <w:r w:rsidRPr="00A372A3">
              <w:rPr>
                <w:rFonts w:ascii="Arial" w:hAnsi="Arial" w:cs="Arial"/>
                <w:color w:val="000000"/>
                <w:sz w:val="22"/>
                <w:szCs w:val="22"/>
              </w:rPr>
              <w:t>4</w:t>
            </w:r>
            <w:r>
              <w:rPr>
                <w:rFonts w:ascii="Arial" w:hAnsi="Arial" w:cs="Arial"/>
                <w:color w:val="000000"/>
                <w:sz w:val="22"/>
                <w:szCs w:val="22"/>
              </w:rPr>
              <w:t>41</w:t>
            </w:r>
            <w:r w:rsidRPr="00A372A3">
              <w:rPr>
                <w:rFonts w:ascii="Arial" w:hAnsi="Arial" w:cs="Arial"/>
                <w:color w:val="000000"/>
                <w:sz w:val="22"/>
                <w:szCs w:val="22"/>
              </w:rPr>
              <w:t>,</w:t>
            </w:r>
            <w:r>
              <w:rPr>
                <w:rFonts w:ascii="Arial" w:hAnsi="Arial" w:cs="Arial"/>
                <w:color w:val="000000"/>
                <w:sz w:val="22"/>
                <w:szCs w:val="22"/>
              </w:rPr>
              <w:t>601</w:t>
            </w:r>
          </w:p>
        </w:tc>
        <w:tc>
          <w:tcPr>
            <w:tcW w:w="7537" w:type="dxa"/>
            <w:tcBorders>
              <w:top w:val="nil"/>
              <w:left w:val="nil"/>
              <w:bottom w:val="nil"/>
              <w:right w:val="nil"/>
            </w:tcBorders>
            <w:shd w:val="clear" w:color="000000" w:fill="CCCCCC"/>
            <w:noWrap/>
            <w:vAlign w:val="center"/>
            <w:hideMark/>
          </w:tcPr>
          <w:p w14:paraId="06DE314B" w14:textId="77777777" w:rsidR="002735E1" w:rsidRPr="007F66F2" w:rsidRDefault="002735E1" w:rsidP="002735E1">
            <w:pPr>
              <w:rPr>
                <w:rFonts w:ascii="Arial" w:hAnsi="Arial" w:cs="Arial"/>
                <w:color w:val="000000"/>
                <w:sz w:val="22"/>
                <w:szCs w:val="22"/>
              </w:rPr>
            </w:pPr>
            <w:r w:rsidRPr="007F66F2">
              <w:rPr>
                <w:rFonts w:ascii="Arial" w:hAnsi="Arial" w:cs="Arial"/>
                <w:color w:val="000000"/>
                <w:sz w:val="22"/>
                <w:szCs w:val="22"/>
              </w:rPr>
              <w:t>Other resources</w:t>
            </w:r>
          </w:p>
        </w:tc>
        <w:tc>
          <w:tcPr>
            <w:tcW w:w="1646" w:type="dxa"/>
            <w:tcBorders>
              <w:top w:val="nil"/>
              <w:left w:val="nil"/>
              <w:bottom w:val="single" w:sz="8" w:space="0" w:color="auto"/>
              <w:right w:val="single" w:sz="8" w:space="0" w:color="auto"/>
            </w:tcBorders>
            <w:noWrap/>
            <w:vAlign w:val="center"/>
            <w:hideMark/>
          </w:tcPr>
          <w:p w14:paraId="1515AF0A" w14:textId="35644974" w:rsidR="002735E1" w:rsidRPr="007F66F2" w:rsidRDefault="002735E1" w:rsidP="002735E1">
            <w:pPr>
              <w:jc w:val="right"/>
              <w:rPr>
                <w:rFonts w:ascii="Arial" w:hAnsi="Arial" w:cs="Arial"/>
                <w:color w:val="000000"/>
                <w:sz w:val="22"/>
                <w:szCs w:val="22"/>
              </w:rPr>
            </w:pPr>
            <w:r>
              <w:rPr>
                <w:rFonts w:ascii="Arial" w:hAnsi="Arial" w:cs="Arial"/>
                <w:color w:val="000000"/>
                <w:sz w:val="22"/>
                <w:szCs w:val="22"/>
              </w:rPr>
              <w:t>470,7</w:t>
            </w:r>
            <w:r w:rsidR="005B7CD8">
              <w:rPr>
                <w:rFonts w:ascii="Arial" w:hAnsi="Arial" w:cs="Arial"/>
                <w:color w:val="000000"/>
                <w:sz w:val="22"/>
                <w:szCs w:val="22"/>
              </w:rPr>
              <w:t>51</w:t>
            </w:r>
          </w:p>
        </w:tc>
      </w:tr>
      <w:tr w:rsidR="002735E1" w:rsidRPr="007F66F2" w14:paraId="566826E4" w14:textId="77777777" w:rsidTr="005E2F77">
        <w:trPr>
          <w:trHeight w:val="315"/>
        </w:trPr>
        <w:tc>
          <w:tcPr>
            <w:tcW w:w="1271" w:type="dxa"/>
            <w:tcBorders>
              <w:top w:val="nil"/>
              <w:left w:val="single" w:sz="4" w:space="0" w:color="auto"/>
              <w:bottom w:val="single" w:sz="8" w:space="0" w:color="auto"/>
              <w:right w:val="single" w:sz="8" w:space="0" w:color="auto"/>
            </w:tcBorders>
            <w:noWrap/>
            <w:vAlign w:val="center"/>
            <w:hideMark/>
          </w:tcPr>
          <w:p w14:paraId="40E0108C" w14:textId="5232E779" w:rsidR="002735E1" w:rsidRPr="00A372A3" w:rsidRDefault="002735E1" w:rsidP="002735E1">
            <w:pPr>
              <w:jc w:val="right"/>
              <w:rPr>
                <w:rFonts w:ascii="Arial" w:hAnsi="Arial" w:cs="Arial"/>
                <w:b/>
                <w:bCs/>
                <w:color w:val="000000"/>
                <w:sz w:val="22"/>
                <w:szCs w:val="22"/>
              </w:rPr>
            </w:pPr>
            <w:r w:rsidRPr="00A372A3">
              <w:rPr>
                <w:rFonts w:ascii="Arial" w:hAnsi="Arial" w:cs="Arial"/>
                <w:b/>
                <w:bCs/>
                <w:color w:val="000000"/>
                <w:sz w:val="22"/>
                <w:szCs w:val="22"/>
              </w:rPr>
              <w:t>4</w:t>
            </w:r>
            <w:r>
              <w:rPr>
                <w:rFonts w:ascii="Arial" w:hAnsi="Arial" w:cs="Arial"/>
                <w:b/>
                <w:bCs/>
                <w:color w:val="000000"/>
                <w:sz w:val="22"/>
                <w:szCs w:val="22"/>
              </w:rPr>
              <w:t>63</w:t>
            </w:r>
            <w:r w:rsidRPr="00A372A3">
              <w:rPr>
                <w:rFonts w:ascii="Arial" w:hAnsi="Arial" w:cs="Arial"/>
                <w:b/>
                <w:bCs/>
                <w:color w:val="000000"/>
                <w:sz w:val="22"/>
                <w:szCs w:val="22"/>
              </w:rPr>
              <w:t>,</w:t>
            </w:r>
            <w:r>
              <w:rPr>
                <w:rFonts w:ascii="Arial" w:hAnsi="Arial" w:cs="Arial"/>
                <w:b/>
                <w:bCs/>
                <w:color w:val="000000"/>
                <w:sz w:val="22"/>
                <w:szCs w:val="22"/>
              </w:rPr>
              <w:t>176</w:t>
            </w:r>
          </w:p>
        </w:tc>
        <w:tc>
          <w:tcPr>
            <w:tcW w:w="7537" w:type="dxa"/>
            <w:tcBorders>
              <w:top w:val="nil"/>
              <w:left w:val="nil"/>
              <w:bottom w:val="single" w:sz="8" w:space="0" w:color="auto"/>
              <w:right w:val="nil"/>
            </w:tcBorders>
            <w:shd w:val="clear" w:color="000000" w:fill="CCCCCC"/>
            <w:noWrap/>
            <w:vAlign w:val="center"/>
            <w:hideMark/>
          </w:tcPr>
          <w:p w14:paraId="6EE79D47" w14:textId="77777777" w:rsidR="002735E1" w:rsidRPr="007F66F2" w:rsidRDefault="002735E1" w:rsidP="002735E1">
            <w:pPr>
              <w:rPr>
                <w:rFonts w:ascii="Arial" w:hAnsi="Arial" w:cs="Arial"/>
                <w:b/>
                <w:bCs/>
                <w:color w:val="000000"/>
                <w:sz w:val="22"/>
                <w:szCs w:val="22"/>
              </w:rPr>
            </w:pPr>
            <w:r w:rsidRPr="007F66F2">
              <w:rPr>
                <w:rFonts w:ascii="Arial" w:hAnsi="Arial" w:cs="Arial"/>
                <w:b/>
                <w:bCs/>
                <w:color w:val="000000"/>
                <w:sz w:val="22"/>
                <w:szCs w:val="22"/>
              </w:rPr>
              <w:t>Total PCC resources consumed at the request of the CC</w:t>
            </w:r>
          </w:p>
        </w:tc>
        <w:tc>
          <w:tcPr>
            <w:tcW w:w="1646" w:type="dxa"/>
            <w:tcBorders>
              <w:top w:val="nil"/>
              <w:left w:val="nil"/>
              <w:bottom w:val="single" w:sz="8" w:space="0" w:color="auto"/>
              <w:right w:val="single" w:sz="8" w:space="0" w:color="auto"/>
            </w:tcBorders>
            <w:noWrap/>
            <w:vAlign w:val="center"/>
            <w:hideMark/>
          </w:tcPr>
          <w:p w14:paraId="4689A581" w14:textId="6362B165" w:rsidR="002735E1" w:rsidRPr="007F66F2" w:rsidRDefault="002735E1" w:rsidP="002735E1">
            <w:pPr>
              <w:jc w:val="right"/>
              <w:rPr>
                <w:rFonts w:ascii="Arial" w:hAnsi="Arial" w:cs="Arial"/>
                <w:b/>
                <w:bCs/>
                <w:color w:val="000000"/>
                <w:sz w:val="22"/>
                <w:szCs w:val="22"/>
              </w:rPr>
            </w:pPr>
            <w:r>
              <w:rPr>
                <w:rFonts w:ascii="Arial" w:hAnsi="Arial" w:cs="Arial"/>
                <w:b/>
                <w:bCs/>
                <w:color w:val="000000"/>
                <w:sz w:val="22"/>
                <w:szCs w:val="22"/>
              </w:rPr>
              <w:t>492,9</w:t>
            </w:r>
            <w:r w:rsidR="00850FAE">
              <w:rPr>
                <w:rFonts w:ascii="Arial" w:hAnsi="Arial" w:cs="Arial"/>
                <w:b/>
                <w:bCs/>
                <w:color w:val="000000"/>
                <w:sz w:val="22"/>
                <w:szCs w:val="22"/>
              </w:rPr>
              <w:t>9</w:t>
            </w:r>
            <w:r w:rsidR="005B7CD8">
              <w:rPr>
                <w:rFonts w:ascii="Arial" w:hAnsi="Arial" w:cs="Arial"/>
                <w:b/>
                <w:bCs/>
                <w:color w:val="000000"/>
                <w:sz w:val="22"/>
                <w:szCs w:val="22"/>
              </w:rPr>
              <w:t>5</w:t>
            </w:r>
          </w:p>
        </w:tc>
      </w:tr>
    </w:tbl>
    <w:p w14:paraId="6112E8E3" w14:textId="2D7D2B2D" w:rsidR="00AC35E9" w:rsidRDefault="00AC35E9" w:rsidP="003B74DA">
      <w:pPr>
        <w:tabs>
          <w:tab w:val="left" w:pos="426"/>
        </w:tabs>
        <w:ind w:left="426"/>
        <w:rPr>
          <w:rFonts w:ascii="Arial" w:hAnsi="Arial"/>
          <w:sz w:val="22"/>
          <w:szCs w:val="22"/>
        </w:rPr>
      </w:pPr>
    </w:p>
    <w:p w14:paraId="3E559DEC" w14:textId="77777777" w:rsidR="00C15E99" w:rsidRDefault="00C15E99">
      <w:pPr>
        <w:rPr>
          <w:rFonts w:ascii="Arial" w:hAnsi="Arial"/>
          <w:b/>
          <w:sz w:val="22"/>
          <w:szCs w:val="22"/>
        </w:rPr>
      </w:pPr>
      <w:r>
        <w:rPr>
          <w:rFonts w:ascii="Arial" w:hAnsi="Arial"/>
          <w:b/>
          <w:sz w:val="22"/>
          <w:szCs w:val="22"/>
        </w:rPr>
        <w:br w:type="page"/>
      </w:r>
    </w:p>
    <w:p w14:paraId="2D9E7040" w14:textId="657E6E2D" w:rsidR="003B74DA" w:rsidRDefault="003B74DA" w:rsidP="003B74DA">
      <w:pPr>
        <w:numPr>
          <w:ilvl w:val="0"/>
          <w:numId w:val="1"/>
        </w:numPr>
        <w:tabs>
          <w:tab w:val="clear" w:pos="720"/>
          <w:tab w:val="num" w:pos="426"/>
          <w:tab w:val="right" w:pos="5760"/>
        </w:tabs>
        <w:rPr>
          <w:rFonts w:ascii="Arial" w:hAnsi="Arial"/>
          <w:b/>
          <w:sz w:val="22"/>
          <w:szCs w:val="22"/>
        </w:rPr>
      </w:pPr>
      <w:r>
        <w:rPr>
          <w:rFonts w:ascii="Arial" w:hAnsi="Arial"/>
          <w:b/>
          <w:sz w:val="22"/>
          <w:szCs w:val="22"/>
        </w:rPr>
        <w:lastRenderedPageBreak/>
        <w:t>O</w:t>
      </w:r>
      <w:r w:rsidRPr="009D65AD">
        <w:rPr>
          <w:rFonts w:ascii="Arial" w:hAnsi="Arial"/>
          <w:b/>
          <w:sz w:val="22"/>
          <w:szCs w:val="22"/>
        </w:rPr>
        <w:t>fficers</w:t>
      </w:r>
      <w:r w:rsidR="005B6F05">
        <w:rPr>
          <w:rFonts w:ascii="Arial" w:hAnsi="Arial"/>
          <w:b/>
          <w:sz w:val="22"/>
          <w:szCs w:val="22"/>
        </w:rPr>
        <w:t>’</w:t>
      </w:r>
      <w:r w:rsidRPr="009D65AD">
        <w:rPr>
          <w:rFonts w:ascii="Arial" w:hAnsi="Arial"/>
          <w:b/>
          <w:sz w:val="22"/>
          <w:szCs w:val="22"/>
        </w:rPr>
        <w:t xml:space="preserve"> Remuneration</w:t>
      </w:r>
    </w:p>
    <w:p w14:paraId="32450F7B" w14:textId="77777777" w:rsidR="003B74DA" w:rsidRDefault="003B74DA" w:rsidP="003B74DA">
      <w:pPr>
        <w:tabs>
          <w:tab w:val="right" w:pos="5760"/>
        </w:tabs>
        <w:rPr>
          <w:rFonts w:ascii="Arial" w:hAnsi="Arial"/>
          <w:b/>
          <w:sz w:val="22"/>
          <w:szCs w:val="22"/>
        </w:rPr>
      </w:pPr>
    </w:p>
    <w:p w14:paraId="1E6FBF6C" w14:textId="16FD2350" w:rsidR="003B74DA" w:rsidRDefault="003B74DA" w:rsidP="003B74DA">
      <w:pPr>
        <w:spacing w:after="240"/>
        <w:ind w:left="426"/>
        <w:rPr>
          <w:rFonts w:ascii="Arial" w:hAnsi="Arial"/>
          <w:sz w:val="22"/>
          <w:szCs w:val="22"/>
          <w:u w:val="single"/>
        </w:rPr>
      </w:pPr>
      <w:r w:rsidRPr="005B5C64">
        <w:rPr>
          <w:rFonts w:ascii="Arial" w:hAnsi="Arial"/>
          <w:sz w:val="22"/>
          <w:szCs w:val="22"/>
          <w:u w:val="single"/>
        </w:rPr>
        <w:t xml:space="preserve">Accounting Policy Short </w:t>
      </w:r>
      <w:r w:rsidR="00A40A4B" w:rsidRPr="005B5C64">
        <w:rPr>
          <w:rFonts w:ascii="Arial" w:hAnsi="Arial"/>
          <w:sz w:val="22"/>
          <w:szCs w:val="22"/>
          <w:u w:val="single"/>
        </w:rPr>
        <w:t>Term</w:t>
      </w:r>
      <w:r w:rsidRPr="005B5C64">
        <w:rPr>
          <w:rFonts w:ascii="Arial" w:hAnsi="Arial"/>
          <w:sz w:val="22"/>
          <w:szCs w:val="22"/>
          <w:u w:val="single"/>
        </w:rPr>
        <w:t xml:space="preserve"> Employee Benefits</w:t>
      </w:r>
    </w:p>
    <w:p w14:paraId="400F4EA0" w14:textId="77777777" w:rsidR="003B74DA" w:rsidRPr="005B6F05" w:rsidRDefault="003B74DA" w:rsidP="003B74DA">
      <w:pPr>
        <w:pStyle w:val="BodyTextIndent"/>
        <w:ind w:left="397" w:firstLine="0"/>
        <w:jc w:val="both"/>
        <w:rPr>
          <w:rFonts w:cs="Arial"/>
          <w:b/>
          <w:sz w:val="22"/>
          <w:szCs w:val="22"/>
        </w:rPr>
      </w:pPr>
      <w:r w:rsidRPr="005B6F05">
        <w:rPr>
          <w:rFonts w:cs="Arial"/>
          <w:b/>
          <w:sz w:val="22"/>
          <w:szCs w:val="22"/>
        </w:rPr>
        <w:t>Benefits payable during employment</w:t>
      </w:r>
    </w:p>
    <w:p w14:paraId="26483967" w14:textId="77777777" w:rsidR="003B74DA" w:rsidRPr="005B6F05" w:rsidRDefault="003B74DA" w:rsidP="003B74DA">
      <w:pPr>
        <w:pStyle w:val="BodyTextIndent"/>
        <w:ind w:left="397" w:firstLine="0"/>
        <w:jc w:val="both"/>
        <w:rPr>
          <w:rFonts w:cs="Arial"/>
          <w:b/>
          <w:i w:val="0"/>
          <w:sz w:val="22"/>
          <w:szCs w:val="22"/>
        </w:rPr>
      </w:pPr>
    </w:p>
    <w:p w14:paraId="3BCEDFC3" w14:textId="77777777" w:rsidR="003B74DA" w:rsidRPr="005B6F05" w:rsidRDefault="003B74DA" w:rsidP="003B74DA">
      <w:pPr>
        <w:pStyle w:val="BodyTextIndent"/>
        <w:ind w:left="397" w:firstLine="0"/>
        <w:jc w:val="both"/>
        <w:rPr>
          <w:rFonts w:cs="Arial"/>
          <w:i w:val="0"/>
          <w:sz w:val="22"/>
          <w:szCs w:val="22"/>
        </w:rPr>
      </w:pPr>
      <w:r w:rsidRPr="005B6F05">
        <w:rPr>
          <w:rFonts w:cs="Arial"/>
          <w:i w:val="0"/>
          <w:sz w:val="22"/>
          <w:szCs w:val="22"/>
        </w:rPr>
        <w:t xml:space="preserve">Short-term employee benefits are those due to be settled within 12 months of the year-end. They include such benefits as salaries, paid annual leave and paid sick leave, bonuses and non-monetary benefits (e.g. cars) for current employees and are recognised as an expense for services in the year in which employees render service to the Group. An accrual is made for the cost of holiday entitlements (or any form of leave e.g. time off in lieu) earned by employees but not taken before the year-end which employees can carry forward into the next financial year (referred to as accumulated absences). The accrual is made at the salary rates applicable in the following accounting year, being the period in which the employee takes the benefit. </w:t>
      </w:r>
    </w:p>
    <w:p w14:paraId="0A6B104A" w14:textId="77777777" w:rsidR="003B74DA" w:rsidRPr="005B6F05" w:rsidRDefault="003B74DA" w:rsidP="003B74DA">
      <w:pPr>
        <w:pStyle w:val="BodyTextIndent"/>
        <w:ind w:left="397" w:firstLine="0"/>
        <w:jc w:val="both"/>
        <w:rPr>
          <w:rFonts w:cs="Arial"/>
          <w:b/>
          <w:sz w:val="22"/>
          <w:szCs w:val="22"/>
        </w:rPr>
      </w:pPr>
    </w:p>
    <w:p w14:paraId="485C8F32" w14:textId="77777777" w:rsidR="003B74DA" w:rsidRPr="005B6F05" w:rsidRDefault="003B74DA" w:rsidP="003B74DA">
      <w:pPr>
        <w:pStyle w:val="BodyTextIndent"/>
        <w:ind w:left="397" w:firstLine="0"/>
        <w:jc w:val="both"/>
        <w:rPr>
          <w:rFonts w:cs="Arial"/>
          <w:b/>
          <w:sz w:val="22"/>
          <w:szCs w:val="22"/>
        </w:rPr>
      </w:pPr>
      <w:r w:rsidRPr="005B6F05">
        <w:rPr>
          <w:rFonts w:cs="Arial"/>
          <w:b/>
          <w:sz w:val="22"/>
          <w:szCs w:val="22"/>
        </w:rPr>
        <w:t>Termination Benefits</w:t>
      </w:r>
    </w:p>
    <w:p w14:paraId="21EE405E" w14:textId="77777777" w:rsidR="003B74DA" w:rsidRPr="005B6F05" w:rsidRDefault="003B74DA" w:rsidP="003B74DA">
      <w:pPr>
        <w:pStyle w:val="BodyTextIndent"/>
        <w:ind w:left="397" w:firstLine="0"/>
        <w:jc w:val="both"/>
        <w:rPr>
          <w:rFonts w:cs="Arial"/>
          <w:b/>
          <w:i w:val="0"/>
          <w:sz w:val="22"/>
          <w:szCs w:val="22"/>
        </w:rPr>
      </w:pPr>
    </w:p>
    <w:p w14:paraId="4C280966" w14:textId="623037EE" w:rsidR="003B74DA" w:rsidRDefault="003B74DA" w:rsidP="003B74DA">
      <w:pPr>
        <w:pStyle w:val="BodyTextIndent"/>
        <w:ind w:left="397" w:firstLine="0"/>
        <w:jc w:val="both"/>
        <w:rPr>
          <w:rFonts w:cs="Arial"/>
          <w:i w:val="0"/>
          <w:sz w:val="22"/>
          <w:szCs w:val="22"/>
        </w:rPr>
      </w:pPr>
      <w:r w:rsidRPr="005B6F05">
        <w:rPr>
          <w:rFonts w:cs="Arial"/>
          <w:i w:val="0"/>
          <w:sz w:val="22"/>
          <w:szCs w:val="22"/>
        </w:rPr>
        <w:t>Termination benefits are amounts payable to police staff, including PCSOs, as a result of a decision by the PCC Group to terminate a staff member’s employment before the normal retirement date or a staff member’s decision to accept voluntary redundancy and are charged on an accruals basis to surplus or deficit on the provision of services in the CIES at the earlier of when the PCC Group can no longer withdraw the offer of those benefits or when the PCC Group recognises costs for a restructuring.</w:t>
      </w:r>
    </w:p>
    <w:p w14:paraId="4682985F" w14:textId="1B1C4CEE" w:rsidR="008F1E9D" w:rsidRDefault="008F1E9D" w:rsidP="003B74DA">
      <w:pPr>
        <w:pStyle w:val="BodyTextIndent"/>
        <w:ind w:left="397" w:firstLine="0"/>
        <w:jc w:val="both"/>
        <w:rPr>
          <w:rFonts w:cs="Arial"/>
          <w:i w:val="0"/>
          <w:sz w:val="22"/>
          <w:szCs w:val="22"/>
        </w:rPr>
      </w:pPr>
    </w:p>
    <w:p w14:paraId="0CD2A79E" w14:textId="77777777" w:rsidR="008F1E9D" w:rsidRPr="002C1128" w:rsidRDefault="008F1E9D" w:rsidP="008F1E9D">
      <w:pPr>
        <w:pStyle w:val="BodyTextIndent"/>
        <w:ind w:left="397" w:firstLine="0"/>
        <w:jc w:val="both"/>
        <w:rPr>
          <w:rFonts w:cs="Arial"/>
          <w:i w:val="0"/>
          <w:sz w:val="22"/>
          <w:szCs w:val="22"/>
        </w:rPr>
      </w:pPr>
      <w:r w:rsidRPr="005B6F05">
        <w:rPr>
          <w:rFonts w:cs="Arial"/>
          <w:i w:val="0"/>
          <w:sz w:val="22"/>
          <w:szCs w:val="22"/>
        </w:rPr>
        <w:t>Where termination benefits involve the enhancement of pensions, statutory provisions require the Police General Fund balance to be charged with the amount payable by the Group to the Pension Fund or pensioner in the year, not the amount calculated according to the relevant accounting standards. In the movement in reserves statement, appropriations are required to and from the pensions reserve to remove the notional debits and credits for pension enhancement termination benefits and replace them with debits for cash paid to the pension fund and pensioners and any such amounts payable but unpaid at the year-end.</w:t>
      </w:r>
    </w:p>
    <w:p w14:paraId="08751F82" w14:textId="77777777" w:rsidR="008F1E9D" w:rsidRDefault="008F1E9D" w:rsidP="008F1E9D">
      <w:pPr>
        <w:tabs>
          <w:tab w:val="right" w:pos="5760"/>
        </w:tabs>
        <w:jc w:val="both"/>
        <w:rPr>
          <w:rFonts w:ascii="Arial" w:hAnsi="Arial"/>
          <w:b/>
          <w:sz w:val="22"/>
          <w:szCs w:val="22"/>
        </w:rPr>
      </w:pPr>
    </w:p>
    <w:p w14:paraId="1046802B" w14:textId="77777777" w:rsidR="008F1E9D" w:rsidRDefault="008F1E9D" w:rsidP="008F1E9D">
      <w:pPr>
        <w:tabs>
          <w:tab w:val="left" w:pos="426"/>
        </w:tabs>
        <w:spacing w:after="240"/>
        <w:ind w:left="426"/>
        <w:rPr>
          <w:rFonts w:ascii="Arial" w:hAnsi="Arial"/>
          <w:sz w:val="22"/>
          <w:szCs w:val="22"/>
        </w:rPr>
      </w:pPr>
      <w:r w:rsidRPr="00AD4E52">
        <w:rPr>
          <w:rFonts w:ascii="Arial" w:hAnsi="Arial"/>
          <w:sz w:val="22"/>
          <w:szCs w:val="22"/>
        </w:rPr>
        <w:t xml:space="preserve">The remuneration paid to the senior employees of the Office of the PCC and the PCC group </w:t>
      </w:r>
      <w:proofErr w:type="gramStart"/>
      <w:r w:rsidRPr="00AD4E52">
        <w:rPr>
          <w:rFonts w:ascii="Arial" w:hAnsi="Arial"/>
          <w:sz w:val="22"/>
          <w:szCs w:val="22"/>
        </w:rPr>
        <w:t>as a whole is</w:t>
      </w:r>
      <w:proofErr w:type="gramEnd"/>
      <w:r w:rsidRPr="00AD4E52">
        <w:rPr>
          <w:rFonts w:ascii="Arial" w:hAnsi="Arial"/>
          <w:sz w:val="22"/>
          <w:szCs w:val="22"/>
        </w:rPr>
        <w:t xml:space="preserve"> as follows:</w:t>
      </w:r>
    </w:p>
    <w:p w14:paraId="06D6B2EF" w14:textId="77777777" w:rsidR="00CF0E1F" w:rsidRPr="00AD4E52" w:rsidRDefault="00CF0E1F" w:rsidP="008F1E9D">
      <w:pPr>
        <w:tabs>
          <w:tab w:val="left" w:pos="426"/>
        </w:tabs>
        <w:spacing w:after="240"/>
        <w:ind w:left="426"/>
        <w:rPr>
          <w:rFonts w:ascii="Arial" w:hAnsi="Arial"/>
          <w:sz w:val="22"/>
          <w:szCs w:val="22"/>
        </w:rPr>
      </w:pPr>
    </w:p>
    <w:p w14:paraId="7F757B1D" w14:textId="4E672ADB" w:rsidR="00D20A29" w:rsidRDefault="00D20A29" w:rsidP="003B74DA">
      <w:pPr>
        <w:tabs>
          <w:tab w:val="right" w:pos="5760"/>
        </w:tabs>
        <w:jc w:val="both"/>
        <w:rPr>
          <w:rFonts w:ascii="Arial" w:hAnsi="Arial"/>
          <w:b/>
          <w:sz w:val="22"/>
          <w:szCs w:val="22"/>
        </w:rPr>
        <w:sectPr w:rsidR="00D20A29" w:rsidSect="00CD2558">
          <w:headerReference w:type="even" r:id="rId65"/>
          <w:headerReference w:type="default" r:id="rId66"/>
          <w:footerReference w:type="default" r:id="rId67"/>
          <w:headerReference w:type="first" r:id="rId68"/>
          <w:pgSz w:w="11909" w:h="16834" w:code="9"/>
          <w:pgMar w:top="720" w:right="720" w:bottom="720" w:left="720" w:header="397" w:footer="720" w:gutter="0"/>
          <w:cols w:space="720"/>
          <w:docGrid w:linePitch="272"/>
        </w:sectPr>
      </w:pPr>
    </w:p>
    <w:p w14:paraId="1C23F9D1" w14:textId="340C5714" w:rsidR="00CD15C6" w:rsidRDefault="006F3FAD">
      <w:pPr>
        <w:rPr>
          <w:rFonts w:ascii="Arial" w:hAnsi="Arial"/>
          <w:b/>
          <w:sz w:val="22"/>
          <w:szCs w:val="22"/>
        </w:rPr>
      </w:pPr>
      <w:r w:rsidRPr="006F3FAD">
        <w:rPr>
          <w:rFonts w:ascii="Arial" w:hAnsi="Arial"/>
          <w:b/>
          <w:sz w:val="22"/>
          <w:szCs w:val="22"/>
        </w:rPr>
        <w:lastRenderedPageBreak/>
        <w:t>Senior Officers and Relevant Police Officers 202</w:t>
      </w:r>
      <w:r w:rsidR="00E057A0">
        <w:rPr>
          <w:rFonts w:ascii="Arial" w:hAnsi="Arial"/>
          <w:b/>
          <w:sz w:val="22"/>
          <w:szCs w:val="22"/>
        </w:rPr>
        <w:t>4</w:t>
      </w:r>
      <w:r w:rsidRPr="006F3FAD">
        <w:rPr>
          <w:rFonts w:ascii="Arial" w:hAnsi="Arial"/>
          <w:b/>
          <w:sz w:val="22"/>
          <w:szCs w:val="22"/>
        </w:rPr>
        <w:t>-2</w:t>
      </w:r>
      <w:r w:rsidR="00E057A0">
        <w:rPr>
          <w:rFonts w:ascii="Arial" w:hAnsi="Arial"/>
          <w:b/>
          <w:sz w:val="22"/>
          <w:szCs w:val="22"/>
        </w:rPr>
        <w:t>5</w:t>
      </w:r>
    </w:p>
    <w:p w14:paraId="3E64D997" w14:textId="77777777" w:rsidR="006F3FAD" w:rsidRPr="009C6598" w:rsidRDefault="006F3FAD">
      <w:pPr>
        <w:rPr>
          <w:rFonts w:ascii="Arial" w:hAnsi="Arial"/>
          <w:b/>
          <w:sz w:val="16"/>
          <w:szCs w:val="16"/>
        </w:rPr>
      </w:pPr>
    </w:p>
    <w:tbl>
      <w:tblPr>
        <w:tblW w:w="15730" w:type="dxa"/>
        <w:tblLayout w:type="fixed"/>
        <w:tblCellMar>
          <w:top w:w="15" w:type="dxa"/>
          <w:bottom w:w="15" w:type="dxa"/>
        </w:tblCellMar>
        <w:tblLook w:val="04A0" w:firstRow="1" w:lastRow="0" w:firstColumn="1" w:lastColumn="0" w:noHBand="0" w:noVBand="1"/>
      </w:tblPr>
      <w:tblGrid>
        <w:gridCol w:w="4390"/>
        <w:gridCol w:w="850"/>
        <w:gridCol w:w="1276"/>
        <w:gridCol w:w="1276"/>
        <w:gridCol w:w="1275"/>
        <w:gridCol w:w="1134"/>
        <w:gridCol w:w="993"/>
        <w:gridCol w:w="1559"/>
        <w:gridCol w:w="1417"/>
        <w:gridCol w:w="1560"/>
      </w:tblGrid>
      <w:tr w:rsidR="005F3585" w:rsidRPr="00CD15C6" w14:paraId="2379262F" w14:textId="77777777" w:rsidTr="00C75839">
        <w:trPr>
          <w:trHeight w:val="1128"/>
        </w:trPr>
        <w:tc>
          <w:tcPr>
            <w:tcW w:w="4390"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534C087D" w14:textId="77777777" w:rsidR="005F3585" w:rsidRPr="00CD15C6" w:rsidRDefault="005F3585" w:rsidP="005F3585">
            <w:pPr>
              <w:rPr>
                <w:rFonts w:ascii="Arial" w:hAnsi="Arial" w:cs="Arial"/>
                <w:b/>
                <w:bCs/>
                <w:sz w:val="18"/>
                <w:szCs w:val="18"/>
              </w:rPr>
            </w:pPr>
            <w:r w:rsidRPr="00CD15C6">
              <w:rPr>
                <w:rFonts w:ascii="Arial" w:hAnsi="Arial" w:cs="Arial"/>
                <w:b/>
                <w:bCs/>
                <w:sz w:val="18"/>
                <w:szCs w:val="18"/>
              </w:rPr>
              <w:t xml:space="preserve">Post Holder Information </w:t>
            </w:r>
            <w:r w:rsidRPr="00CD15C6">
              <w:rPr>
                <w:rFonts w:ascii="Arial" w:hAnsi="Arial" w:cs="Arial"/>
                <w:b/>
                <w:bCs/>
                <w:sz w:val="18"/>
                <w:szCs w:val="18"/>
              </w:rPr>
              <w:br/>
              <w:t>(Post title only)</w:t>
            </w:r>
          </w:p>
        </w:tc>
        <w:tc>
          <w:tcPr>
            <w:tcW w:w="850"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26EE79A8" w14:textId="77777777" w:rsidR="005F3585" w:rsidRPr="00CD15C6" w:rsidRDefault="005F3585" w:rsidP="005F3585">
            <w:pPr>
              <w:rPr>
                <w:rFonts w:ascii="Arial" w:hAnsi="Arial" w:cs="Arial"/>
                <w:b/>
                <w:bCs/>
                <w:sz w:val="18"/>
                <w:szCs w:val="18"/>
              </w:rPr>
            </w:pPr>
            <w:r w:rsidRPr="00CD15C6">
              <w:rPr>
                <w:rFonts w:ascii="Arial" w:hAnsi="Arial" w:cs="Arial"/>
                <w:b/>
                <w:bCs/>
                <w:sz w:val="18"/>
                <w:szCs w:val="18"/>
              </w:rPr>
              <w:t>Notes</w:t>
            </w:r>
          </w:p>
        </w:tc>
        <w:tc>
          <w:tcPr>
            <w:tcW w:w="1276"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25BDD822" w14:textId="4B279BC4" w:rsidR="005F3585" w:rsidRPr="00CD15C6" w:rsidRDefault="005F3585" w:rsidP="005F3585">
            <w:pPr>
              <w:jc w:val="center"/>
              <w:rPr>
                <w:rFonts w:ascii="Arial" w:hAnsi="Arial" w:cs="Arial"/>
                <w:b/>
                <w:bCs/>
                <w:sz w:val="18"/>
                <w:szCs w:val="18"/>
              </w:rPr>
            </w:pPr>
            <w:r>
              <w:rPr>
                <w:rFonts w:ascii="Arial" w:hAnsi="Arial" w:cs="Arial"/>
                <w:b/>
                <w:bCs/>
                <w:sz w:val="18"/>
                <w:szCs w:val="18"/>
              </w:rPr>
              <w:t>Salary (including allowances)</w:t>
            </w:r>
            <w:r>
              <w:rPr>
                <w:rFonts w:ascii="Arial" w:hAnsi="Arial" w:cs="Arial"/>
                <w:b/>
                <w:bCs/>
                <w:sz w:val="18"/>
                <w:szCs w:val="18"/>
              </w:rPr>
              <w:br/>
              <w:t>£</w:t>
            </w:r>
          </w:p>
        </w:tc>
        <w:tc>
          <w:tcPr>
            <w:tcW w:w="1276" w:type="dxa"/>
            <w:tcBorders>
              <w:top w:val="single" w:sz="4" w:space="0" w:color="auto"/>
              <w:left w:val="nil"/>
              <w:bottom w:val="single" w:sz="4" w:space="0" w:color="auto"/>
              <w:right w:val="single" w:sz="4" w:space="0" w:color="auto"/>
            </w:tcBorders>
            <w:shd w:val="clear" w:color="000000" w:fill="C0C0C0"/>
            <w:vAlign w:val="bottom"/>
            <w:hideMark/>
          </w:tcPr>
          <w:p w14:paraId="7F19495E" w14:textId="2212634B" w:rsidR="005F3585" w:rsidRPr="00CD15C6" w:rsidRDefault="005F3585" w:rsidP="005F3585">
            <w:pPr>
              <w:jc w:val="center"/>
              <w:rPr>
                <w:rFonts w:ascii="Arial" w:hAnsi="Arial" w:cs="Arial"/>
                <w:b/>
                <w:bCs/>
                <w:sz w:val="18"/>
                <w:szCs w:val="18"/>
              </w:rPr>
            </w:pPr>
            <w:r>
              <w:rPr>
                <w:rFonts w:ascii="Arial" w:hAnsi="Arial" w:cs="Arial"/>
                <w:b/>
                <w:bCs/>
                <w:sz w:val="18"/>
                <w:szCs w:val="18"/>
              </w:rPr>
              <w:t>Honorarium</w:t>
            </w:r>
            <w:r>
              <w:rPr>
                <w:rFonts w:ascii="Arial" w:hAnsi="Arial" w:cs="Arial"/>
                <w:b/>
                <w:bCs/>
                <w:sz w:val="18"/>
                <w:szCs w:val="18"/>
              </w:rPr>
              <w:br/>
              <w:t>£</w:t>
            </w:r>
          </w:p>
        </w:tc>
        <w:tc>
          <w:tcPr>
            <w:tcW w:w="1275" w:type="dxa"/>
            <w:tcBorders>
              <w:top w:val="single" w:sz="4" w:space="0" w:color="auto"/>
              <w:left w:val="nil"/>
              <w:bottom w:val="single" w:sz="4" w:space="0" w:color="auto"/>
              <w:right w:val="single" w:sz="4" w:space="0" w:color="auto"/>
            </w:tcBorders>
            <w:shd w:val="clear" w:color="000000" w:fill="C0C0C0"/>
            <w:vAlign w:val="bottom"/>
            <w:hideMark/>
          </w:tcPr>
          <w:p w14:paraId="0820A41F" w14:textId="30FBB624" w:rsidR="005F3585" w:rsidRPr="00CD15C6" w:rsidRDefault="005F3585" w:rsidP="005F3585">
            <w:pPr>
              <w:jc w:val="center"/>
              <w:rPr>
                <w:rFonts w:ascii="Arial" w:hAnsi="Arial" w:cs="Arial"/>
                <w:b/>
                <w:bCs/>
                <w:sz w:val="18"/>
                <w:szCs w:val="18"/>
              </w:rPr>
            </w:pPr>
            <w:r>
              <w:rPr>
                <w:rFonts w:ascii="Arial" w:hAnsi="Arial" w:cs="Arial"/>
                <w:b/>
                <w:bCs/>
                <w:sz w:val="18"/>
                <w:szCs w:val="18"/>
              </w:rPr>
              <w:t>Expenses Allowances</w:t>
            </w:r>
            <w:r>
              <w:rPr>
                <w:rFonts w:ascii="Arial" w:hAnsi="Arial" w:cs="Arial"/>
                <w:b/>
                <w:bCs/>
                <w:sz w:val="18"/>
                <w:szCs w:val="18"/>
              </w:rPr>
              <w:br/>
              <w:t>£</w:t>
            </w:r>
          </w:p>
        </w:tc>
        <w:tc>
          <w:tcPr>
            <w:tcW w:w="1134" w:type="dxa"/>
            <w:tcBorders>
              <w:top w:val="single" w:sz="4" w:space="0" w:color="auto"/>
              <w:left w:val="nil"/>
              <w:bottom w:val="single" w:sz="4" w:space="0" w:color="auto"/>
              <w:right w:val="single" w:sz="4" w:space="0" w:color="auto"/>
            </w:tcBorders>
            <w:shd w:val="clear" w:color="000000" w:fill="C0C0C0"/>
            <w:vAlign w:val="bottom"/>
            <w:hideMark/>
          </w:tcPr>
          <w:p w14:paraId="6744EE3C" w14:textId="366FA9CF" w:rsidR="005F3585" w:rsidRPr="00CD15C6" w:rsidRDefault="005F3585" w:rsidP="005F3585">
            <w:pPr>
              <w:jc w:val="center"/>
              <w:rPr>
                <w:rFonts w:ascii="Arial" w:hAnsi="Arial" w:cs="Arial"/>
                <w:b/>
                <w:bCs/>
                <w:sz w:val="18"/>
                <w:szCs w:val="18"/>
              </w:rPr>
            </w:pPr>
            <w:r>
              <w:rPr>
                <w:rFonts w:ascii="Arial" w:hAnsi="Arial" w:cs="Arial"/>
                <w:b/>
                <w:bCs/>
                <w:sz w:val="18"/>
                <w:szCs w:val="18"/>
              </w:rPr>
              <w:t>Other Payments       £</w:t>
            </w:r>
          </w:p>
        </w:tc>
        <w:tc>
          <w:tcPr>
            <w:tcW w:w="993" w:type="dxa"/>
            <w:tcBorders>
              <w:top w:val="single" w:sz="4" w:space="0" w:color="auto"/>
              <w:left w:val="nil"/>
              <w:bottom w:val="single" w:sz="4" w:space="0" w:color="auto"/>
              <w:right w:val="single" w:sz="4" w:space="0" w:color="auto"/>
            </w:tcBorders>
            <w:shd w:val="clear" w:color="000000" w:fill="C0C0C0"/>
            <w:vAlign w:val="bottom"/>
            <w:hideMark/>
          </w:tcPr>
          <w:p w14:paraId="5A745DBF" w14:textId="407AD176" w:rsidR="005F3585" w:rsidRPr="00CD15C6" w:rsidRDefault="005F3585" w:rsidP="005F3585">
            <w:pPr>
              <w:jc w:val="center"/>
              <w:rPr>
                <w:rFonts w:ascii="Arial" w:hAnsi="Arial" w:cs="Arial"/>
                <w:b/>
                <w:bCs/>
                <w:sz w:val="18"/>
                <w:szCs w:val="18"/>
              </w:rPr>
            </w:pPr>
            <w:r>
              <w:rPr>
                <w:rFonts w:ascii="Arial" w:hAnsi="Arial" w:cs="Arial"/>
                <w:b/>
                <w:bCs/>
                <w:sz w:val="18"/>
                <w:szCs w:val="18"/>
              </w:rPr>
              <w:t xml:space="preserve">Benefits in Kind </w:t>
            </w:r>
            <w:r>
              <w:rPr>
                <w:rFonts w:ascii="Arial" w:hAnsi="Arial" w:cs="Arial"/>
                <w:b/>
                <w:bCs/>
                <w:sz w:val="18"/>
                <w:szCs w:val="18"/>
              </w:rPr>
              <w:br/>
              <w:t xml:space="preserve">£ </w:t>
            </w:r>
          </w:p>
        </w:tc>
        <w:tc>
          <w:tcPr>
            <w:tcW w:w="1559" w:type="dxa"/>
            <w:tcBorders>
              <w:top w:val="single" w:sz="4" w:space="0" w:color="auto"/>
              <w:left w:val="nil"/>
              <w:bottom w:val="single" w:sz="4" w:space="0" w:color="auto"/>
              <w:right w:val="single" w:sz="4" w:space="0" w:color="auto"/>
            </w:tcBorders>
            <w:shd w:val="clear" w:color="000000" w:fill="C0C0C0"/>
            <w:vAlign w:val="bottom"/>
            <w:hideMark/>
          </w:tcPr>
          <w:p w14:paraId="3D3D3C15" w14:textId="39A8ECBC" w:rsidR="005F3585" w:rsidRPr="00CD15C6" w:rsidRDefault="005F3585" w:rsidP="005F3585">
            <w:pPr>
              <w:jc w:val="center"/>
              <w:rPr>
                <w:rFonts w:ascii="Arial" w:hAnsi="Arial" w:cs="Arial"/>
                <w:b/>
                <w:bCs/>
                <w:sz w:val="18"/>
                <w:szCs w:val="18"/>
              </w:rPr>
            </w:pPr>
            <w:r>
              <w:rPr>
                <w:rFonts w:ascii="Arial" w:hAnsi="Arial" w:cs="Arial"/>
                <w:b/>
                <w:bCs/>
                <w:sz w:val="18"/>
                <w:szCs w:val="18"/>
              </w:rPr>
              <w:t xml:space="preserve">Total Remunerations </w:t>
            </w:r>
            <w:proofErr w:type="spellStart"/>
            <w:r>
              <w:rPr>
                <w:rFonts w:ascii="Arial" w:hAnsi="Arial" w:cs="Arial"/>
                <w:b/>
                <w:bCs/>
                <w:sz w:val="18"/>
                <w:szCs w:val="18"/>
              </w:rPr>
              <w:t>exc</w:t>
            </w:r>
            <w:proofErr w:type="spellEnd"/>
            <w:r>
              <w:rPr>
                <w:rFonts w:ascii="Arial" w:hAnsi="Arial" w:cs="Arial"/>
                <w:b/>
                <w:bCs/>
                <w:sz w:val="18"/>
                <w:szCs w:val="18"/>
              </w:rPr>
              <w:t xml:space="preserve"> Pensions Contributions </w:t>
            </w:r>
            <w:r>
              <w:rPr>
                <w:rFonts w:ascii="Arial" w:hAnsi="Arial" w:cs="Arial"/>
                <w:b/>
                <w:bCs/>
                <w:sz w:val="18"/>
                <w:szCs w:val="18"/>
              </w:rPr>
              <w:br/>
              <w:t>£</w:t>
            </w:r>
          </w:p>
        </w:tc>
        <w:tc>
          <w:tcPr>
            <w:tcW w:w="1417" w:type="dxa"/>
            <w:tcBorders>
              <w:top w:val="single" w:sz="4" w:space="0" w:color="auto"/>
              <w:left w:val="nil"/>
              <w:bottom w:val="single" w:sz="4" w:space="0" w:color="auto"/>
              <w:right w:val="single" w:sz="4" w:space="0" w:color="auto"/>
            </w:tcBorders>
            <w:shd w:val="clear" w:color="000000" w:fill="C0C0C0"/>
            <w:vAlign w:val="bottom"/>
            <w:hideMark/>
          </w:tcPr>
          <w:p w14:paraId="7136C758" w14:textId="213BB90F" w:rsidR="005F3585" w:rsidRPr="00CD15C6" w:rsidRDefault="005F3585" w:rsidP="005F3585">
            <w:pPr>
              <w:jc w:val="center"/>
              <w:rPr>
                <w:rFonts w:ascii="Arial" w:hAnsi="Arial" w:cs="Arial"/>
                <w:b/>
                <w:bCs/>
                <w:sz w:val="18"/>
                <w:szCs w:val="18"/>
              </w:rPr>
            </w:pPr>
            <w:r>
              <w:rPr>
                <w:rFonts w:ascii="Arial" w:hAnsi="Arial" w:cs="Arial"/>
                <w:b/>
                <w:bCs/>
                <w:sz w:val="18"/>
                <w:szCs w:val="18"/>
              </w:rPr>
              <w:t>Employers Pensions Contributions</w:t>
            </w:r>
            <w:r>
              <w:rPr>
                <w:rFonts w:ascii="Arial" w:hAnsi="Arial" w:cs="Arial"/>
                <w:b/>
                <w:bCs/>
                <w:sz w:val="18"/>
                <w:szCs w:val="18"/>
              </w:rPr>
              <w:br/>
              <w:t>£</w:t>
            </w:r>
          </w:p>
        </w:tc>
        <w:tc>
          <w:tcPr>
            <w:tcW w:w="1560" w:type="dxa"/>
            <w:tcBorders>
              <w:top w:val="single" w:sz="4" w:space="0" w:color="auto"/>
              <w:left w:val="nil"/>
              <w:bottom w:val="single" w:sz="4" w:space="0" w:color="auto"/>
              <w:right w:val="single" w:sz="4" w:space="0" w:color="auto"/>
            </w:tcBorders>
            <w:shd w:val="clear" w:color="000000" w:fill="C0C0C0"/>
            <w:vAlign w:val="bottom"/>
            <w:hideMark/>
          </w:tcPr>
          <w:p w14:paraId="5D8A7361" w14:textId="616D5974" w:rsidR="005F3585" w:rsidRPr="00CD15C6" w:rsidRDefault="005F3585" w:rsidP="005F3585">
            <w:pPr>
              <w:jc w:val="center"/>
              <w:rPr>
                <w:rFonts w:ascii="Arial" w:hAnsi="Arial" w:cs="Arial"/>
                <w:b/>
                <w:bCs/>
                <w:sz w:val="18"/>
                <w:szCs w:val="18"/>
              </w:rPr>
            </w:pPr>
            <w:r>
              <w:rPr>
                <w:rFonts w:ascii="Arial" w:hAnsi="Arial" w:cs="Arial"/>
                <w:b/>
                <w:bCs/>
                <w:sz w:val="18"/>
                <w:szCs w:val="18"/>
              </w:rPr>
              <w:t xml:space="preserve">Total Remuneration </w:t>
            </w:r>
            <w:r>
              <w:rPr>
                <w:rFonts w:ascii="Arial" w:hAnsi="Arial" w:cs="Arial"/>
                <w:b/>
                <w:bCs/>
                <w:sz w:val="18"/>
                <w:szCs w:val="18"/>
              </w:rPr>
              <w:br/>
              <w:t>£</w:t>
            </w:r>
          </w:p>
        </w:tc>
      </w:tr>
      <w:tr w:rsidR="00E0744F" w:rsidRPr="00CD15C6" w14:paraId="00BF85B2" w14:textId="77777777" w:rsidTr="00E0744F">
        <w:trPr>
          <w:trHeight w:val="300"/>
        </w:trPr>
        <w:tc>
          <w:tcPr>
            <w:tcW w:w="439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9BA99A9" w14:textId="77777777" w:rsidR="006F3FAD" w:rsidRPr="00CD15C6" w:rsidRDefault="006F3FAD" w:rsidP="00243FAB">
            <w:pPr>
              <w:rPr>
                <w:rFonts w:ascii="Arial" w:hAnsi="Arial" w:cs="Arial"/>
                <w:b/>
                <w:bCs/>
                <w:u w:val="single"/>
              </w:rPr>
            </w:pPr>
            <w:r w:rsidRPr="00CD15C6">
              <w:rPr>
                <w:rFonts w:ascii="Arial" w:hAnsi="Arial" w:cs="Arial"/>
                <w:b/>
                <w:bCs/>
                <w:u w:val="single"/>
              </w:rPr>
              <w:t>OFFICE OF THE PCC</w:t>
            </w:r>
          </w:p>
        </w:tc>
        <w:tc>
          <w:tcPr>
            <w:tcW w:w="85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6A5D844" w14:textId="77777777" w:rsidR="006F3FAD" w:rsidRPr="00CD15C6" w:rsidRDefault="006F3FAD" w:rsidP="00243FAB">
            <w:pPr>
              <w:rPr>
                <w:rFonts w:ascii="Arial" w:hAnsi="Arial" w:cs="Arial"/>
                <w:b/>
                <w:bCs/>
                <w:u w:val="single"/>
              </w:rPr>
            </w:pPr>
          </w:p>
        </w:tc>
        <w:tc>
          <w:tcPr>
            <w:tcW w:w="127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3666386" w14:textId="77777777" w:rsidR="006F3FAD" w:rsidRPr="00CD15C6" w:rsidRDefault="006F3FAD" w:rsidP="00243FAB"/>
        </w:tc>
        <w:tc>
          <w:tcPr>
            <w:tcW w:w="127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A04D5B6" w14:textId="77777777" w:rsidR="006F3FAD" w:rsidRPr="00CD15C6" w:rsidRDefault="006F3FAD" w:rsidP="00243FAB">
            <w:pPr>
              <w:jc w:val="center"/>
            </w:pPr>
          </w:p>
        </w:tc>
        <w:tc>
          <w:tcPr>
            <w:tcW w:w="127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6876C47" w14:textId="77777777" w:rsidR="006F3FAD" w:rsidRPr="00CD15C6" w:rsidRDefault="006F3FAD" w:rsidP="00243FAB">
            <w:pPr>
              <w:jc w:val="center"/>
            </w:pPr>
          </w:p>
        </w:tc>
        <w:tc>
          <w:tcPr>
            <w:tcW w:w="1134"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451AC5E" w14:textId="77777777" w:rsidR="006F3FAD" w:rsidRPr="00CD15C6" w:rsidRDefault="006F3FAD" w:rsidP="00243FAB">
            <w:pPr>
              <w:jc w:val="center"/>
            </w:pPr>
          </w:p>
        </w:tc>
        <w:tc>
          <w:tcPr>
            <w:tcW w:w="993"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C4E846A" w14:textId="77777777" w:rsidR="006F3FAD" w:rsidRPr="00CD15C6" w:rsidRDefault="006F3FAD" w:rsidP="00243FAB">
            <w:pPr>
              <w:jc w:val="center"/>
            </w:pPr>
          </w:p>
        </w:tc>
        <w:tc>
          <w:tcPr>
            <w:tcW w:w="1559"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B3AB06C" w14:textId="77777777" w:rsidR="006F3FAD" w:rsidRPr="00CD15C6" w:rsidRDefault="006F3FAD" w:rsidP="00243FAB">
            <w:pPr>
              <w:jc w:val="center"/>
            </w:pPr>
          </w:p>
        </w:tc>
        <w:tc>
          <w:tcPr>
            <w:tcW w:w="141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58EF7DF" w14:textId="77777777" w:rsidR="006F3FAD" w:rsidRPr="00CD15C6" w:rsidRDefault="006F3FAD" w:rsidP="00243FAB">
            <w:pPr>
              <w:jc w:val="cente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8C821A6" w14:textId="77777777" w:rsidR="006F3FAD" w:rsidRPr="00CD15C6" w:rsidRDefault="006F3FAD" w:rsidP="00243FAB">
            <w:pPr>
              <w:rPr>
                <w:rFonts w:ascii="Arial" w:hAnsi="Arial" w:cs="Arial"/>
                <w:color w:val="000000"/>
                <w:sz w:val="18"/>
                <w:szCs w:val="18"/>
              </w:rPr>
            </w:pPr>
            <w:r w:rsidRPr="00CD15C6">
              <w:rPr>
                <w:rFonts w:ascii="Arial" w:hAnsi="Arial" w:cs="Arial"/>
                <w:color w:val="000000"/>
                <w:sz w:val="18"/>
                <w:szCs w:val="18"/>
              </w:rPr>
              <w:t xml:space="preserve"> </w:t>
            </w:r>
          </w:p>
        </w:tc>
      </w:tr>
      <w:tr w:rsidR="00A647D7" w:rsidRPr="00CD15C6" w14:paraId="219C1B1C" w14:textId="77777777" w:rsidTr="00E0744F">
        <w:trPr>
          <w:trHeight w:val="300"/>
        </w:trPr>
        <w:tc>
          <w:tcPr>
            <w:tcW w:w="439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89B41D6" w14:textId="221D51A0" w:rsidR="002914AA" w:rsidRDefault="000A5FFC" w:rsidP="000A5FFC">
            <w:pPr>
              <w:rPr>
                <w:rFonts w:ascii="Arial" w:hAnsi="Arial" w:cs="Arial"/>
                <w:color w:val="000000"/>
                <w:sz w:val="18"/>
                <w:szCs w:val="18"/>
              </w:rPr>
            </w:pPr>
            <w:r>
              <w:rPr>
                <w:rFonts w:ascii="Arial" w:hAnsi="Arial" w:cs="Arial"/>
                <w:color w:val="000000"/>
                <w:sz w:val="18"/>
                <w:szCs w:val="18"/>
              </w:rPr>
              <w:t xml:space="preserve">Police and Crime Commissioner A </w:t>
            </w:r>
            <w:r w:rsidR="002914AA">
              <w:rPr>
                <w:rFonts w:ascii="Arial" w:hAnsi="Arial" w:cs="Arial"/>
                <w:color w:val="000000"/>
                <w:sz w:val="18"/>
                <w:szCs w:val="18"/>
              </w:rPr>
              <w:t>–</w:t>
            </w:r>
            <w:r>
              <w:rPr>
                <w:rFonts w:ascii="Arial" w:hAnsi="Arial" w:cs="Arial"/>
                <w:color w:val="000000"/>
                <w:sz w:val="18"/>
                <w:szCs w:val="18"/>
              </w:rPr>
              <w:t xml:space="preserve"> </w:t>
            </w:r>
          </w:p>
          <w:p w14:paraId="4E78AD78" w14:textId="69A98D36" w:rsidR="000A5FFC" w:rsidRPr="00CD15C6" w:rsidRDefault="000A5FFC" w:rsidP="000A5FFC">
            <w:pPr>
              <w:rPr>
                <w:rFonts w:ascii="Arial" w:hAnsi="Arial" w:cs="Arial"/>
                <w:color w:val="000000"/>
                <w:sz w:val="18"/>
                <w:szCs w:val="18"/>
              </w:rPr>
            </w:pPr>
            <w:r>
              <w:rPr>
                <w:rFonts w:ascii="Arial" w:hAnsi="Arial" w:cs="Arial"/>
                <w:color w:val="000000"/>
                <w:sz w:val="18"/>
                <w:szCs w:val="18"/>
              </w:rPr>
              <w:t>A Snowden</w:t>
            </w:r>
          </w:p>
        </w:tc>
        <w:tc>
          <w:tcPr>
            <w:tcW w:w="850" w:type="dxa"/>
            <w:tcBorders>
              <w:top w:val="single" w:sz="4" w:space="0" w:color="auto"/>
              <w:left w:val="nil"/>
              <w:bottom w:val="single" w:sz="4" w:space="0" w:color="auto"/>
              <w:right w:val="single" w:sz="4" w:space="0" w:color="auto"/>
            </w:tcBorders>
            <w:shd w:val="clear" w:color="000000" w:fill="F2F2F2"/>
            <w:noWrap/>
            <w:vAlign w:val="bottom"/>
            <w:hideMark/>
          </w:tcPr>
          <w:p w14:paraId="06A3AA18" w14:textId="199677CB" w:rsidR="000A5FFC" w:rsidRPr="00CD15C6" w:rsidRDefault="000A5FFC" w:rsidP="000A5FFC">
            <w:pPr>
              <w:rPr>
                <w:rFonts w:ascii="Arial" w:hAnsi="Arial" w:cs="Arial"/>
                <w:color w:val="000000"/>
                <w:sz w:val="18"/>
                <w:szCs w:val="18"/>
              </w:rPr>
            </w:pPr>
            <w:r>
              <w:rPr>
                <w:rFonts w:ascii="Arial" w:hAnsi="Arial" w:cs="Arial"/>
                <w:color w:val="000000"/>
                <w:sz w:val="18"/>
                <w:szCs w:val="18"/>
              </w:rPr>
              <w:t>Note 1</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4FC0FCF6" w14:textId="559D36C9"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9,289</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39B54395" w14:textId="0B4B95BD"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single" w:sz="4" w:space="0" w:color="auto"/>
              <w:left w:val="nil"/>
              <w:bottom w:val="single" w:sz="4" w:space="0" w:color="auto"/>
              <w:right w:val="single" w:sz="4" w:space="0" w:color="auto"/>
            </w:tcBorders>
            <w:shd w:val="clear" w:color="000000" w:fill="F2F2F2"/>
            <w:noWrap/>
            <w:vAlign w:val="bottom"/>
            <w:hideMark/>
          </w:tcPr>
          <w:p w14:paraId="79EE7947" w14:textId="6DBC2988" w:rsidR="000A5FFC" w:rsidRPr="00CD15C6" w:rsidRDefault="000A5FFC" w:rsidP="00DD543B">
            <w:pPr>
              <w:jc w:val="right"/>
            </w:pPr>
            <w:r>
              <w:rPr>
                <w:rFonts w:ascii="Arial" w:hAnsi="Arial" w:cs="Arial"/>
                <w:color w:val="000000"/>
                <w:sz w:val="18"/>
                <w:szCs w:val="18"/>
              </w:rPr>
              <w:t> </w:t>
            </w:r>
          </w:p>
        </w:tc>
        <w:tc>
          <w:tcPr>
            <w:tcW w:w="1134" w:type="dxa"/>
            <w:tcBorders>
              <w:top w:val="single" w:sz="4" w:space="0" w:color="auto"/>
              <w:left w:val="nil"/>
              <w:bottom w:val="single" w:sz="4" w:space="0" w:color="auto"/>
              <w:right w:val="single" w:sz="4" w:space="0" w:color="auto"/>
            </w:tcBorders>
            <w:shd w:val="clear" w:color="000000" w:fill="F2F2F2"/>
            <w:noWrap/>
            <w:vAlign w:val="bottom"/>
            <w:hideMark/>
          </w:tcPr>
          <w:p w14:paraId="4CAF83F1" w14:textId="6692373F" w:rsidR="000A5FFC" w:rsidRPr="00CD15C6" w:rsidRDefault="000A5FFC" w:rsidP="00DD543B">
            <w:pPr>
              <w:jc w:val="right"/>
            </w:pPr>
            <w:r>
              <w:rPr>
                <w:rFonts w:ascii="Arial" w:hAnsi="Arial" w:cs="Arial"/>
                <w:color w:val="000000"/>
                <w:sz w:val="18"/>
                <w:szCs w:val="18"/>
              </w:rPr>
              <w:t> </w:t>
            </w:r>
          </w:p>
        </w:tc>
        <w:tc>
          <w:tcPr>
            <w:tcW w:w="993" w:type="dxa"/>
            <w:tcBorders>
              <w:top w:val="single" w:sz="4" w:space="0" w:color="auto"/>
              <w:left w:val="nil"/>
              <w:bottom w:val="single" w:sz="4" w:space="0" w:color="auto"/>
              <w:right w:val="single" w:sz="4" w:space="0" w:color="auto"/>
            </w:tcBorders>
            <w:shd w:val="clear" w:color="000000" w:fill="F2F2F2"/>
            <w:noWrap/>
            <w:vAlign w:val="bottom"/>
            <w:hideMark/>
          </w:tcPr>
          <w:p w14:paraId="046584CE" w14:textId="125E5B02" w:rsidR="000A5FFC" w:rsidRPr="00CD15C6" w:rsidRDefault="000A5FFC" w:rsidP="00DD543B">
            <w:pPr>
              <w:jc w:val="right"/>
            </w:pPr>
            <w:r>
              <w:rPr>
                <w:rFonts w:ascii="Arial" w:hAnsi="Arial" w:cs="Arial"/>
                <w:color w:val="000000"/>
                <w:sz w:val="18"/>
                <w:szCs w:val="18"/>
              </w:rPr>
              <w:t> </w:t>
            </w:r>
          </w:p>
        </w:tc>
        <w:tc>
          <w:tcPr>
            <w:tcW w:w="1559" w:type="dxa"/>
            <w:tcBorders>
              <w:top w:val="single" w:sz="4" w:space="0" w:color="auto"/>
              <w:left w:val="nil"/>
              <w:bottom w:val="single" w:sz="4" w:space="0" w:color="auto"/>
              <w:right w:val="single" w:sz="4" w:space="0" w:color="auto"/>
            </w:tcBorders>
            <w:shd w:val="clear" w:color="000000" w:fill="F2F2F2"/>
            <w:noWrap/>
            <w:vAlign w:val="bottom"/>
            <w:hideMark/>
          </w:tcPr>
          <w:p w14:paraId="45A4748E" w14:textId="593716DC"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9,289</w:t>
            </w:r>
          </w:p>
        </w:tc>
        <w:tc>
          <w:tcPr>
            <w:tcW w:w="1417" w:type="dxa"/>
            <w:tcBorders>
              <w:top w:val="single" w:sz="4" w:space="0" w:color="auto"/>
              <w:left w:val="nil"/>
              <w:bottom w:val="single" w:sz="4" w:space="0" w:color="auto"/>
              <w:right w:val="single" w:sz="4" w:space="0" w:color="auto"/>
            </w:tcBorders>
            <w:shd w:val="clear" w:color="000000" w:fill="F2F2F2"/>
            <w:noWrap/>
            <w:vAlign w:val="bottom"/>
            <w:hideMark/>
          </w:tcPr>
          <w:p w14:paraId="51183B62" w14:textId="6C07FE57"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1,115</w:t>
            </w:r>
          </w:p>
        </w:tc>
        <w:tc>
          <w:tcPr>
            <w:tcW w:w="1560" w:type="dxa"/>
            <w:tcBorders>
              <w:top w:val="single" w:sz="4" w:space="0" w:color="auto"/>
              <w:left w:val="nil"/>
              <w:bottom w:val="single" w:sz="4" w:space="0" w:color="auto"/>
              <w:right w:val="single" w:sz="4" w:space="0" w:color="auto"/>
            </w:tcBorders>
            <w:shd w:val="clear" w:color="000000" w:fill="F2F2F2"/>
            <w:noWrap/>
            <w:vAlign w:val="bottom"/>
            <w:hideMark/>
          </w:tcPr>
          <w:p w14:paraId="29AB099A" w14:textId="0C56236E"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10,403</w:t>
            </w:r>
          </w:p>
        </w:tc>
      </w:tr>
      <w:tr w:rsidR="00A647D7" w:rsidRPr="00CD15C6" w14:paraId="6DE21A7F"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noWrap/>
            <w:vAlign w:val="bottom"/>
          </w:tcPr>
          <w:p w14:paraId="06BD041D" w14:textId="4A48E5ED" w:rsidR="002914AA" w:rsidRDefault="000A5FFC" w:rsidP="000A5FFC">
            <w:pPr>
              <w:rPr>
                <w:rFonts w:ascii="Arial" w:hAnsi="Arial" w:cs="Arial"/>
                <w:color w:val="000000"/>
                <w:sz w:val="18"/>
                <w:szCs w:val="18"/>
              </w:rPr>
            </w:pPr>
            <w:r>
              <w:rPr>
                <w:rFonts w:ascii="Arial" w:hAnsi="Arial" w:cs="Arial"/>
                <w:color w:val="000000"/>
                <w:sz w:val="18"/>
                <w:szCs w:val="18"/>
              </w:rPr>
              <w:t xml:space="preserve">Police and Crime Commissioner B </w:t>
            </w:r>
            <w:r w:rsidR="002914AA">
              <w:rPr>
                <w:rFonts w:ascii="Arial" w:hAnsi="Arial" w:cs="Arial"/>
                <w:color w:val="000000"/>
                <w:sz w:val="18"/>
                <w:szCs w:val="18"/>
              </w:rPr>
              <w:t>–</w:t>
            </w:r>
            <w:r>
              <w:rPr>
                <w:rFonts w:ascii="Arial" w:hAnsi="Arial" w:cs="Arial"/>
                <w:color w:val="000000"/>
                <w:sz w:val="18"/>
                <w:szCs w:val="18"/>
              </w:rPr>
              <w:t xml:space="preserve"> </w:t>
            </w:r>
          </w:p>
          <w:p w14:paraId="4DD42925" w14:textId="661D2262" w:rsidR="000A5FFC" w:rsidRPr="00CD15C6" w:rsidRDefault="000A5FFC" w:rsidP="000A5FFC">
            <w:pPr>
              <w:rPr>
                <w:rFonts w:ascii="Arial" w:hAnsi="Arial" w:cs="Arial"/>
                <w:color w:val="000000"/>
                <w:sz w:val="18"/>
                <w:szCs w:val="18"/>
              </w:rPr>
            </w:pPr>
            <w:r>
              <w:rPr>
                <w:rFonts w:ascii="Arial" w:hAnsi="Arial" w:cs="Arial"/>
                <w:color w:val="000000"/>
                <w:sz w:val="18"/>
                <w:szCs w:val="18"/>
              </w:rPr>
              <w:t xml:space="preserve">C </w:t>
            </w:r>
            <w:proofErr w:type="spellStart"/>
            <w:r>
              <w:rPr>
                <w:rFonts w:ascii="Arial" w:hAnsi="Arial" w:cs="Arial"/>
                <w:color w:val="000000"/>
                <w:sz w:val="18"/>
                <w:szCs w:val="18"/>
              </w:rPr>
              <w:t>Grunshaw</w:t>
            </w:r>
            <w:proofErr w:type="spellEnd"/>
          </w:p>
        </w:tc>
        <w:tc>
          <w:tcPr>
            <w:tcW w:w="850" w:type="dxa"/>
            <w:tcBorders>
              <w:top w:val="nil"/>
              <w:left w:val="nil"/>
              <w:bottom w:val="single" w:sz="4" w:space="0" w:color="auto"/>
              <w:right w:val="single" w:sz="4" w:space="0" w:color="auto"/>
            </w:tcBorders>
            <w:shd w:val="clear" w:color="000000" w:fill="F2F2F2"/>
            <w:noWrap/>
            <w:vAlign w:val="bottom"/>
          </w:tcPr>
          <w:p w14:paraId="5F3B40FD" w14:textId="2D6F50C4" w:rsidR="000A5FFC" w:rsidRPr="00CD15C6" w:rsidRDefault="000A5FFC" w:rsidP="000A5FFC">
            <w:pPr>
              <w:rPr>
                <w:rFonts w:ascii="Arial" w:hAnsi="Arial" w:cs="Arial"/>
                <w:color w:val="000000"/>
                <w:sz w:val="18"/>
                <w:szCs w:val="18"/>
              </w:rPr>
            </w:pPr>
            <w:r>
              <w:rPr>
                <w:rFonts w:ascii="Arial" w:hAnsi="Arial" w:cs="Arial"/>
                <w:color w:val="000000"/>
                <w:sz w:val="18"/>
                <w:szCs w:val="18"/>
              </w:rPr>
              <w:t>Note 1</w:t>
            </w:r>
          </w:p>
        </w:tc>
        <w:tc>
          <w:tcPr>
            <w:tcW w:w="1276" w:type="dxa"/>
            <w:tcBorders>
              <w:top w:val="nil"/>
              <w:left w:val="nil"/>
              <w:bottom w:val="single" w:sz="4" w:space="0" w:color="auto"/>
              <w:right w:val="single" w:sz="4" w:space="0" w:color="auto"/>
            </w:tcBorders>
            <w:shd w:val="clear" w:color="000000" w:fill="F2F2F2"/>
            <w:noWrap/>
            <w:vAlign w:val="bottom"/>
          </w:tcPr>
          <w:p w14:paraId="7F390DDC" w14:textId="227A47EC"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79,311</w:t>
            </w:r>
          </w:p>
        </w:tc>
        <w:tc>
          <w:tcPr>
            <w:tcW w:w="1276" w:type="dxa"/>
            <w:tcBorders>
              <w:top w:val="nil"/>
              <w:left w:val="nil"/>
              <w:bottom w:val="single" w:sz="4" w:space="0" w:color="auto"/>
              <w:right w:val="single" w:sz="4" w:space="0" w:color="auto"/>
            </w:tcBorders>
            <w:shd w:val="clear" w:color="000000" w:fill="F2F2F2"/>
            <w:noWrap/>
            <w:vAlign w:val="bottom"/>
          </w:tcPr>
          <w:p w14:paraId="4AD5BCF6" w14:textId="4825DE9C"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tcPr>
          <w:p w14:paraId="04BF15F1" w14:textId="6FD9D126" w:rsidR="000A5FFC" w:rsidRPr="00CD15C6" w:rsidRDefault="000A5FFC"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tcPr>
          <w:p w14:paraId="31B97998" w14:textId="12398DC7" w:rsidR="000A5FFC" w:rsidRPr="00CD15C6" w:rsidRDefault="000A5FFC"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tcPr>
          <w:p w14:paraId="337A9B27" w14:textId="4500BF38" w:rsidR="000A5FFC" w:rsidRPr="00CD15C6" w:rsidRDefault="000A5FFC" w:rsidP="00DD543B">
            <w:pPr>
              <w:jc w:val="right"/>
            </w:pPr>
            <w:r>
              <w:rPr>
                <w:rFonts w:ascii="Arial" w:hAnsi="Arial" w:cs="Arial"/>
                <w:color w:val="000000"/>
                <w:sz w:val="18"/>
                <w:szCs w:val="18"/>
              </w:rPr>
              <w:t>743</w:t>
            </w:r>
          </w:p>
        </w:tc>
        <w:tc>
          <w:tcPr>
            <w:tcW w:w="1559" w:type="dxa"/>
            <w:tcBorders>
              <w:top w:val="nil"/>
              <w:left w:val="nil"/>
              <w:bottom w:val="single" w:sz="4" w:space="0" w:color="auto"/>
              <w:right w:val="single" w:sz="4" w:space="0" w:color="auto"/>
            </w:tcBorders>
            <w:shd w:val="clear" w:color="000000" w:fill="F2F2F2"/>
            <w:noWrap/>
            <w:vAlign w:val="bottom"/>
          </w:tcPr>
          <w:p w14:paraId="019F0655" w14:textId="48B49C76"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80,054</w:t>
            </w:r>
          </w:p>
        </w:tc>
        <w:tc>
          <w:tcPr>
            <w:tcW w:w="1417" w:type="dxa"/>
            <w:tcBorders>
              <w:top w:val="nil"/>
              <w:left w:val="nil"/>
              <w:bottom w:val="single" w:sz="4" w:space="0" w:color="auto"/>
              <w:right w:val="single" w:sz="4" w:space="0" w:color="auto"/>
            </w:tcBorders>
            <w:shd w:val="clear" w:color="000000" w:fill="F2F2F2"/>
            <w:noWrap/>
            <w:vAlign w:val="bottom"/>
          </w:tcPr>
          <w:p w14:paraId="4CC29237" w14:textId="53E341E5"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9,517</w:t>
            </w:r>
          </w:p>
        </w:tc>
        <w:tc>
          <w:tcPr>
            <w:tcW w:w="1560" w:type="dxa"/>
            <w:tcBorders>
              <w:top w:val="nil"/>
              <w:left w:val="nil"/>
              <w:bottom w:val="single" w:sz="4" w:space="0" w:color="auto"/>
              <w:right w:val="single" w:sz="4" w:space="0" w:color="auto"/>
            </w:tcBorders>
            <w:shd w:val="clear" w:color="000000" w:fill="F2F2F2"/>
            <w:noWrap/>
            <w:vAlign w:val="bottom"/>
          </w:tcPr>
          <w:p w14:paraId="5F702FAE" w14:textId="5063BEAA"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89,572</w:t>
            </w:r>
          </w:p>
        </w:tc>
      </w:tr>
      <w:tr w:rsidR="009C6598" w:rsidRPr="00CD15C6" w14:paraId="745B5436"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7CC8C38E" w14:textId="2C70CED3" w:rsidR="000A5FFC" w:rsidRPr="00CD15C6" w:rsidRDefault="000A5FFC" w:rsidP="000A5FFC">
            <w:pPr>
              <w:rPr>
                <w:rFonts w:ascii="Arial" w:hAnsi="Arial" w:cs="Arial"/>
                <w:color w:val="000000"/>
                <w:sz w:val="18"/>
                <w:szCs w:val="18"/>
              </w:rPr>
            </w:pPr>
            <w:r>
              <w:rPr>
                <w:rFonts w:ascii="Arial" w:hAnsi="Arial" w:cs="Arial"/>
                <w:color w:val="000000"/>
                <w:sz w:val="18"/>
                <w:szCs w:val="18"/>
              </w:rPr>
              <w:t>Deputy Police and Crime Commissioner</w:t>
            </w:r>
          </w:p>
        </w:tc>
        <w:tc>
          <w:tcPr>
            <w:tcW w:w="850" w:type="dxa"/>
            <w:tcBorders>
              <w:top w:val="nil"/>
              <w:left w:val="nil"/>
              <w:bottom w:val="single" w:sz="4" w:space="0" w:color="auto"/>
              <w:right w:val="single" w:sz="4" w:space="0" w:color="auto"/>
            </w:tcBorders>
            <w:shd w:val="clear" w:color="000000" w:fill="F2F2F2"/>
            <w:noWrap/>
            <w:vAlign w:val="bottom"/>
            <w:hideMark/>
          </w:tcPr>
          <w:p w14:paraId="3D031C3E" w14:textId="7EBB3A68" w:rsidR="000A5FFC" w:rsidRPr="00CD15C6" w:rsidRDefault="000A5FFC" w:rsidP="000A5FFC">
            <w:pPr>
              <w:rPr>
                <w:rFonts w:ascii="Arial" w:hAnsi="Arial" w:cs="Arial"/>
                <w:color w:val="000000"/>
                <w:sz w:val="18"/>
                <w:szCs w:val="18"/>
              </w:rPr>
            </w:pPr>
            <w:r>
              <w:rPr>
                <w:rFonts w:ascii="Arial" w:hAnsi="Arial" w:cs="Arial"/>
                <w:color w:val="000000"/>
                <w:sz w:val="18"/>
                <w:szCs w:val="18"/>
              </w:rPr>
              <w:t>Note 2</w:t>
            </w:r>
          </w:p>
        </w:tc>
        <w:tc>
          <w:tcPr>
            <w:tcW w:w="1276" w:type="dxa"/>
            <w:tcBorders>
              <w:top w:val="nil"/>
              <w:left w:val="nil"/>
              <w:bottom w:val="single" w:sz="4" w:space="0" w:color="auto"/>
              <w:right w:val="single" w:sz="4" w:space="0" w:color="auto"/>
            </w:tcBorders>
            <w:shd w:val="clear" w:color="000000" w:fill="F2F2F2"/>
            <w:noWrap/>
            <w:vAlign w:val="bottom"/>
            <w:hideMark/>
          </w:tcPr>
          <w:p w14:paraId="3B5F4187" w14:textId="34235942"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1,214</w:t>
            </w:r>
          </w:p>
        </w:tc>
        <w:tc>
          <w:tcPr>
            <w:tcW w:w="1276" w:type="dxa"/>
            <w:tcBorders>
              <w:top w:val="nil"/>
              <w:left w:val="nil"/>
              <w:bottom w:val="single" w:sz="4" w:space="0" w:color="auto"/>
              <w:right w:val="single" w:sz="4" w:space="0" w:color="auto"/>
            </w:tcBorders>
            <w:shd w:val="clear" w:color="000000" w:fill="F2F2F2"/>
            <w:noWrap/>
            <w:vAlign w:val="bottom"/>
            <w:hideMark/>
          </w:tcPr>
          <w:p w14:paraId="5061AB10" w14:textId="4B23FD89"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4DEC688B" w14:textId="3EC25254" w:rsidR="000A5FFC" w:rsidRPr="00CD15C6" w:rsidRDefault="000A5FFC"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01736D46" w14:textId="3FDD2706" w:rsidR="000A5FFC" w:rsidRPr="00CD15C6" w:rsidRDefault="000A5FFC" w:rsidP="00DD543B">
            <w:pPr>
              <w:jc w:val="right"/>
            </w:pPr>
            <w:r>
              <w:rPr>
                <w:rFonts w:ascii="Arial" w:hAnsi="Arial" w:cs="Arial"/>
                <w:color w:val="000000"/>
                <w:sz w:val="18"/>
                <w:szCs w:val="18"/>
              </w:rPr>
              <w:t>1,465</w:t>
            </w:r>
          </w:p>
        </w:tc>
        <w:tc>
          <w:tcPr>
            <w:tcW w:w="993" w:type="dxa"/>
            <w:tcBorders>
              <w:top w:val="nil"/>
              <w:left w:val="nil"/>
              <w:bottom w:val="single" w:sz="4" w:space="0" w:color="auto"/>
              <w:right w:val="single" w:sz="4" w:space="0" w:color="auto"/>
            </w:tcBorders>
            <w:shd w:val="clear" w:color="000000" w:fill="F2F2F2"/>
            <w:noWrap/>
            <w:vAlign w:val="bottom"/>
            <w:hideMark/>
          </w:tcPr>
          <w:p w14:paraId="4433C290" w14:textId="222EE819" w:rsidR="000A5FFC" w:rsidRPr="00CD15C6" w:rsidRDefault="000A5FFC"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10BBE7A2" w14:textId="752EA310"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2,679</w:t>
            </w:r>
          </w:p>
        </w:tc>
        <w:tc>
          <w:tcPr>
            <w:tcW w:w="1417" w:type="dxa"/>
            <w:tcBorders>
              <w:top w:val="nil"/>
              <w:left w:val="nil"/>
              <w:bottom w:val="single" w:sz="4" w:space="0" w:color="auto"/>
              <w:right w:val="single" w:sz="4" w:space="0" w:color="auto"/>
            </w:tcBorders>
            <w:shd w:val="clear" w:color="000000" w:fill="F2F2F2"/>
            <w:noWrap/>
            <w:vAlign w:val="bottom"/>
            <w:hideMark/>
          </w:tcPr>
          <w:p w14:paraId="13B1DE36" w14:textId="41D62135"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0</w:t>
            </w:r>
          </w:p>
        </w:tc>
        <w:tc>
          <w:tcPr>
            <w:tcW w:w="1560" w:type="dxa"/>
            <w:tcBorders>
              <w:top w:val="nil"/>
              <w:left w:val="nil"/>
              <w:bottom w:val="single" w:sz="4" w:space="0" w:color="auto"/>
              <w:right w:val="single" w:sz="4" w:space="0" w:color="auto"/>
            </w:tcBorders>
            <w:shd w:val="clear" w:color="000000" w:fill="F2F2F2"/>
            <w:noWrap/>
            <w:vAlign w:val="bottom"/>
            <w:hideMark/>
          </w:tcPr>
          <w:p w14:paraId="29A6857A" w14:textId="6BAAD001"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2,679</w:t>
            </w:r>
          </w:p>
        </w:tc>
      </w:tr>
      <w:tr w:rsidR="009C6598" w:rsidRPr="00CD15C6" w14:paraId="6CFFE250"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6EBA92FA" w14:textId="34DC25A3" w:rsidR="000A5FFC" w:rsidRPr="00CD15C6" w:rsidRDefault="000A5FFC" w:rsidP="000A5FFC">
            <w:pPr>
              <w:rPr>
                <w:rFonts w:ascii="Arial" w:hAnsi="Arial" w:cs="Arial"/>
                <w:color w:val="000000"/>
                <w:sz w:val="18"/>
                <w:szCs w:val="18"/>
              </w:rPr>
            </w:pPr>
            <w:r>
              <w:rPr>
                <w:rFonts w:ascii="Arial" w:hAnsi="Arial" w:cs="Arial"/>
                <w:color w:val="000000"/>
                <w:sz w:val="18"/>
                <w:szCs w:val="18"/>
              </w:rPr>
              <w:t>Chief Executive C</w:t>
            </w:r>
          </w:p>
        </w:tc>
        <w:tc>
          <w:tcPr>
            <w:tcW w:w="850" w:type="dxa"/>
            <w:tcBorders>
              <w:top w:val="nil"/>
              <w:left w:val="nil"/>
              <w:bottom w:val="single" w:sz="4" w:space="0" w:color="auto"/>
              <w:right w:val="single" w:sz="4" w:space="0" w:color="auto"/>
            </w:tcBorders>
            <w:shd w:val="clear" w:color="000000" w:fill="F2F2F2"/>
            <w:noWrap/>
            <w:vAlign w:val="bottom"/>
            <w:hideMark/>
          </w:tcPr>
          <w:p w14:paraId="06A5684D" w14:textId="7C9CAACA" w:rsidR="000A5FFC" w:rsidRPr="00CD15C6" w:rsidRDefault="000A5FFC" w:rsidP="000A5FFC">
            <w:pPr>
              <w:rPr>
                <w:rFonts w:ascii="Arial" w:hAnsi="Arial" w:cs="Arial"/>
                <w:color w:val="000000"/>
                <w:sz w:val="18"/>
                <w:szCs w:val="18"/>
              </w:rPr>
            </w:pPr>
            <w:r>
              <w:rPr>
                <w:rFonts w:ascii="Arial" w:hAnsi="Arial" w:cs="Arial"/>
                <w:color w:val="000000"/>
                <w:sz w:val="18"/>
                <w:szCs w:val="18"/>
              </w:rPr>
              <w:t>Note 3</w:t>
            </w:r>
          </w:p>
        </w:tc>
        <w:tc>
          <w:tcPr>
            <w:tcW w:w="1276" w:type="dxa"/>
            <w:tcBorders>
              <w:top w:val="nil"/>
              <w:left w:val="nil"/>
              <w:bottom w:val="single" w:sz="4" w:space="0" w:color="auto"/>
              <w:right w:val="single" w:sz="4" w:space="0" w:color="auto"/>
            </w:tcBorders>
            <w:shd w:val="clear" w:color="000000" w:fill="F2F2F2"/>
            <w:noWrap/>
            <w:vAlign w:val="bottom"/>
            <w:hideMark/>
          </w:tcPr>
          <w:p w14:paraId="129EFF9B" w14:textId="3A862F4B"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31,557</w:t>
            </w:r>
          </w:p>
        </w:tc>
        <w:tc>
          <w:tcPr>
            <w:tcW w:w="1276" w:type="dxa"/>
            <w:tcBorders>
              <w:top w:val="nil"/>
              <w:left w:val="nil"/>
              <w:bottom w:val="single" w:sz="4" w:space="0" w:color="auto"/>
              <w:right w:val="single" w:sz="4" w:space="0" w:color="auto"/>
            </w:tcBorders>
            <w:shd w:val="clear" w:color="000000" w:fill="F2F2F2"/>
            <w:noWrap/>
            <w:vAlign w:val="bottom"/>
            <w:hideMark/>
          </w:tcPr>
          <w:p w14:paraId="78C0A889" w14:textId="48D12FDB"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120E77B3" w14:textId="1C25B5B5" w:rsidR="000A5FFC" w:rsidRPr="00CD15C6" w:rsidRDefault="000A5FFC"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5012BF1B" w14:textId="6DB8AFBA" w:rsidR="000A5FFC" w:rsidRPr="00CD15C6" w:rsidRDefault="000A5FFC" w:rsidP="00DD543B">
            <w:pPr>
              <w:jc w:val="right"/>
            </w:pPr>
            <w:r>
              <w:rPr>
                <w:rFonts w:ascii="Arial" w:hAnsi="Arial" w:cs="Arial"/>
                <w:color w:val="000000"/>
                <w:sz w:val="18"/>
                <w:szCs w:val="18"/>
              </w:rPr>
              <w:t>160,622</w:t>
            </w:r>
          </w:p>
        </w:tc>
        <w:tc>
          <w:tcPr>
            <w:tcW w:w="993" w:type="dxa"/>
            <w:tcBorders>
              <w:top w:val="nil"/>
              <w:left w:val="nil"/>
              <w:bottom w:val="single" w:sz="4" w:space="0" w:color="auto"/>
              <w:right w:val="single" w:sz="4" w:space="0" w:color="auto"/>
            </w:tcBorders>
            <w:shd w:val="clear" w:color="000000" w:fill="F2F2F2"/>
            <w:noWrap/>
            <w:vAlign w:val="bottom"/>
            <w:hideMark/>
          </w:tcPr>
          <w:p w14:paraId="7A3A47AC" w14:textId="613A5DA4" w:rsidR="000A5FFC" w:rsidRPr="00CD15C6" w:rsidRDefault="000A5FFC"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28DC7BA9" w14:textId="59A1130A"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192,178</w:t>
            </w:r>
          </w:p>
        </w:tc>
        <w:tc>
          <w:tcPr>
            <w:tcW w:w="1417" w:type="dxa"/>
            <w:tcBorders>
              <w:top w:val="nil"/>
              <w:left w:val="nil"/>
              <w:bottom w:val="single" w:sz="4" w:space="0" w:color="auto"/>
              <w:right w:val="single" w:sz="4" w:space="0" w:color="auto"/>
            </w:tcBorders>
            <w:shd w:val="clear" w:color="000000" w:fill="F2F2F2"/>
            <w:noWrap/>
            <w:vAlign w:val="bottom"/>
            <w:hideMark/>
          </w:tcPr>
          <w:p w14:paraId="2D80C4B5" w14:textId="0718BE7F"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3,216</w:t>
            </w:r>
          </w:p>
        </w:tc>
        <w:tc>
          <w:tcPr>
            <w:tcW w:w="1560" w:type="dxa"/>
            <w:tcBorders>
              <w:top w:val="nil"/>
              <w:left w:val="nil"/>
              <w:bottom w:val="single" w:sz="4" w:space="0" w:color="auto"/>
              <w:right w:val="single" w:sz="4" w:space="0" w:color="auto"/>
            </w:tcBorders>
            <w:shd w:val="clear" w:color="000000" w:fill="F2F2F2"/>
            <w:noWrap/>
            <w:vAlign w:val="bottom"/>
            <w:hideMark/>
          </w:tcPr>
          <w:p w14:paraId="40072414" w14:textId="4431B4EE"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195,394</w:t>
            </w:r>
          </w:p>
        </w:tc>
      </w:tr>
      <w:tr w:rsidR="00A647D7" w:rsidRPr="00CD15C6" w14:paraId="06911A0C"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noWrap/>
            <w:vAlign w:val="bottom"/>
          </w:tcPr>
          <w:p w14:paraId="71A3F1C6" w14:textId="41F6F57D" w:rsidR="000A5FFC" w:rsidRPr="00CD15C6" w:rsidRDefault="000A5FFC" w:rsidP="000A5FFC">
            <w:pPr>
              <w:rPr>
                <w:rFonts w:ascii="Arial" w:hAnsi="Arial" w:cs="Arial"/>
                <w:color w:val="000000"/>
                <w:sz w:val="18"/>
                <w:szCs w:val="18"/>
              </w:rPr>
            </w:pPr>
            <w:r>
              <w:rPr>
                <w:rFonts w:ascii="Arial" w:hAnsi="Arial" w:cs="Arial"/>
                <w:color w:val="000000"/>
                <w:sz w:val="18"/>
                <w:szCs w:val="18"/>
              </w:rPr>
              <w:t>Chief Executive D</w:t>
            </w:r>
          </w:p>
        </w:tc>
        <w:tc>
          <w:tcPr>
            <w:tcW w:w="850" w:type="dxa"/>
            <w:tcBorders>
              <w:top w:val="nil"/>
              <w:left w:val="nil"/>
              <w:bottom w:val="single" w:sz="4" w:space="0" w:color="auto"/>
              <w:right w:val="single" w:sz="4" w:space="0" w:color="auto"/>
            </w:tcBorders>
            <w:shd w:val="clear" w:color="000000" w:fill="F2F2F2"/>
            <w:noWrap/>
            <w:vAlign w:val="bottom"/>
          </w:tcPr>
          <w:p w14:paraId="397F268D" w14:textId="3A348CE2" w:rsidR="000A5FFC" w:rsidRPr="00CD15C6" w:rsidRDefault="000A5FFC" w:rsidP="000A5FFC">
            <w:pPr>
              <w:rPr>
                <w:rFonts w:ascii="Arial" w:hAnsi="Arial" w:cs="Arial"/>
                <w:color w:val="000000"/>
                <w:sz w:val="18"/>
                <w:szCs w:val="18"/>
              </w:rPr>
            </w:pPr>
            <w:r>
              <w:rPr>
                <w:rFonts w:ascii="Arial" w:hAnsi="Arial" w:cs="Arial"/>
                <w:color w:val="000000"/>
                <w:sz w:val="18"/>
                <w:szCs w:val="18"/>
              </w:rPr>
              <w:t>Note 3</w:t>
            </w:r>
          </w:p>
        </w:tc>
        <w:tc>
          <w:tcPr>
            <w:tcW w:w="1276" w:type="dxa"/>
            <w:tcBorders>
              <w:top w:val="nil"/>
              <w:left w:val="nil"/>
              <w:bottom w:val="single" w:sz="4" w:space="0" w:color="auto"/>
              <w:right w:val="single" w:sz="4" w:space="0" w:color="auto"/>
            </w:tcBorders>
            <w:shd w:val="clear" w:color="000000" w:fill="F2F2F2"/>
            <w:noWrap/>
            <w:vAlign w:val="bottom"/>
          </w:tcPr>
          <w:p w14:paraId="5DF6BF2B" w14:textId="0D0D9717"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30,938</w:t>
            </w:r>
          </w:p>
        </w:tc>
        <w:tc>
          <w:tcPr>
            <w:tcW w:w="1276" w:type="dxa"/>
            <w:tcBorders>
              <w:top w:val="nil"/>
              <w:left w:val="nil"/>
              <w:bottom w:val="single" w:sz="4" w:space="0" w:color="auto"/>
              <w:right w:val="single" w:sz="4" w:space="0" w:color="auto"/>
            </w:tcBorders>
            <w:shd w:val="clear" w:color="000000" w:fill="F2F2F2"/>
            <w:noWrap/>
            <w:vAlign w:val="bottom"/>
          </w:tcPr>
          <w:p w14:paraId="5E10CD8E" w14:textId="5D6A10CA"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tcPr>
          <w:p w14:paraId="45AAA0DE" w14:textId="49130181" w:rsidR="000A5FFC" w:rsidRPr="00CD15C6" w:rsidRDefault="000A5FFC"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tcPr>
          <w:p w14:paraId="3DEA4E26" w14:textId="792D8FD2" w:rsidR="000A5FFC" w:rsidRPr="00CD15C6" w:rsidRDefault="000A5FFC"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tcPr>
          <w:p w14:paraId="60C4D80D" w14:textId="63F362F3" w:rsidR="000A5FFC" w:rsidRPr="00CD15C6" w:rsidRDefault="000A5FFC"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tcPr>
          <w:p w14:paraId="7AA1592A" w14:textId="0B27E144"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30,938</w:t>
            </w:r>
          </w:p>
        </w:tc>
        <w:tc>
          <w:tcPr>
            <w:tcW w:w="1417" w:type="dxa"/>
            <w:tcBorders>
              <w:top w:val="nil"/>
              <w:left w:val="nil"/>
              <w:bottom w:val="single" w:sz="4" w:space="0" w:color="auto"/>
              <w:right w:val="single" w:sz="4" w:space="0" w:color="auto"/>
            </w:tcBorders>
            <w:shd w:val="clear" w:color="000000" w:fill="F2F2F2"/>
            <w:noWrap/>
            <w:vAlign w:val="bottom"/>
          </w:tcPr>
          <w:p w14:paraId="1AE6966C" w14:textId="13F9B124"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3,713</w:t>
            </w:r>
          </w:p>
        </w:tc>
        <w:tc>
          <w:tcPr>
            <w:tcW w:w="1560" w:type="dxa"/>
            <w:tcBorders>
              <w:top w:val="nil"/>
              <w:left w:val="nil"/>
              <w:bottom w:val="single" w:sz="4" w:space="0" w:color="auto"/>
              <w:right w:val="single" w:sz="4" w:space="0" w:color="auto"/>
            </w:tcBorders>
            <w:shd w:val="clear" w:color="000000" w:fill="F2F2F2"/>
            <w:noWrap/>
            <w:vAlign w:val="bottom"/>
          </w:tcPr>
          <w:p w14:paraId="1B2571F2" w14:textId="6D0D77D5"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34,650</w:t>
            </w:r>
          </w:p>
        </w:tc>
      </w:tr>
      <w:tr w:rsidR="009C6598" w:rsidRPr="00CD15C6" w14:paraId="5861AE68"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2F9A091B" w14:textId="7F620CD6" w:rsidR="000A5FFC" w:rsidRPr="00CD15C6" w:rsidRDefault="000A5FFC" w:rsidP="000A5FFC">
            <w:pPr>
              <w:rPr>
                <w:rFonts w:ascii="Arial" w:hAnsi="Arial" w:cs="Arial"/>
                <w:color w:val="000000"/>
                <w:sz w:val="18"/>
                <w:szCs w:val="18"/>
              </w:rPr>
            </w:pPr>
            <w:r>
              <w:rPr>
                <w:rFonts w:ascii="Arial" w:hAnsi="Arial" w:cs="Arial"/>
                <w:color w:val="000000"/>
                <w:sz w:val="18"/>
                <w:szCs w:val="18"/>
              </w:rPr>
              <w:t>Chief Finance Officer - s151 officer</w:t>
            </w:r>
          </w:p>
        </w:tc>
        <w:tc>
          <w:tcPr>
            <w:tcW w:w="850" w:type="dxa"/>
            <w:tcBorders>
              <w:top w:val="nil"/>
              <w:left w:val="nil"/>
              <w:bottom w:val="single" w:sz="4" w:space="0" w:color="auto"/>
              <w:right w:val="single" w:sz="4" w:space="0" w:color="auto"/>
            </w:tcBorders>
            <w:shd w:val="clear" w:color="000000" w:fill="F2F2F2"/>
            <w:noWrap/>
            <w:vAlign w:val="bottom"/>
            <w:hideMark/>
          </w:tcPr>
          <w:p w14:paraId="435C15F8" w14:textId="72920B26" w:rsidR="000A5FFC" w:rsidRPr="00CD15C6" w:rsidRDefault="000A5FFC" w:rsidP="000A5FFC">
            <w:pPr>
              <w:rPr>
                <w:rFonts w:ascii="Arial" w:hAnsi="Arial" w:cs="Arial"/>
                <w:color w:val="000000"/>
                <w:sz w:val="18"/>
                <w:szCs w:val="18"/>
              </w:rPr>
            </w:pPr>
            <w:r>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3EC397AC" w14:textId="45F166DC"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96,383</w:t>
            </w:r>
          </w:p>
        </w:tc>
        <w:tc>
          <w:tcPr>
            <w:tcW w:w="1276" w:type="dxa"/>
            <w:tcBorders>
              <w:top w:val="nil"/>
              <w:left w:val="nil"/>
              <w:bottom w:val="single" w:sz="4" w:space="0" w:color="auto"/>
              <w:right w:val="single" w:sz="4" w:space="0" w:color="auto"/>
            </w:tcBorders>
            <w:shd w:val="clear" w:color="000000" w:fill="F2F2F2"/>
            <w:noWrap/>
            <w:vAlign w:val="bottom"/>
            <w:hideMark/>
          </w:tcPr>
          <w:p w14:paraId="709E6D62" w14:textId="5903DB31"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08D748E2" w14:textId="03FCCC68" w:rsidR="000A5FFC" w:rsidRPr="00CD15C6" w:rsidRDefault="000A5FFC"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4613B861" w14:textId="143A70F3" w:rsidR="000A5FFC" w:rsidRPr="00CD15C6" w:rsidRDefault="000A5FFC"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7D953681" w14:textId="210BD27A" w:rsidR="000A5FFC" w:rsidRPr="00CD15C6" w:rsidRDefault="000A5FFC"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6058E7D3" w14:textId="6A53A585"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96,383</w:t>
            </w:r>
          </w:p>
        </w:tc>
        <w:tc>
          <w:tcPr>
            <w:tcW w:w="1417" w:type="dxa"/>
            <w:tcBorders>
              <w:top w:val="nil"/>
              <w:left w:val="nil"/>
              <w:bottom w:val="single" w:sz="4" w:space="0" w:color="auto"/>
              <w:right w:val="single" w:sz="4" w:space="0" w:color="auto"/>
            </w:tcBorders>
            <w:shd w:val="clear" w:color="000000" w:fill="F2F2F2"/>
            <w:noWrap/>
            <w:vAlign w:val="bottom"/>
            <w:hideMark/>
          </w:tcPr>
          <w:p w14:paraId="4DC27852" w14:textId="2CF4F083"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11,566</w:t>
            </w:r>
          </w:p>
        </w:tc>
        <w:tc>
          <w:tcPr>
            <w:tcW w:w="1560" w:type="dxa"/>
            <w:tcBorders>
              <w:top w:val="nil"/>
              <w:left w:val="nil"/>
              <w:bottom w:val="single" w:sz="4" w:space="0" w:color="auto"/>
              <w:right w:val="single" w:sz="4" w:space="0" w:color="auto"/>
            </w:tcBorders>
            <w:shd w:val="clear" w:color="000000" w:fill="F2F2F2"/>
            <w:noWrap/>
            <w:vAlign w:val="bottom"/>
            <w:hideMark/>
          </w:tcPr>
          <w:p w14:paraId="388EC67E" w14:textId="788739D2" w:rsidR="000A5FFC" w:rsidRPr="00CD15C6" w:rsidRDefault="000A5FFC" w:rsidP="00DD543B">
            <w:pPr>
              <w:jc w:val="right"/>
              <w:rPr>
                <w:rFonts w:ascii="Arial" w:hAnsi="Arial" w:cs="Arial"/>
                <w:color w:val="000000"/>
                <w:sz w:val="18"/>
                <w:szCs w:val="18"/>
              </w:rPr>
            </w:pPr>
            <w:r>
              <w:rPr>
                <w:rFonts w:ascii="Arial" w:hAnsi="Arial" w:cs="Arial"/>
                <w:color w:val="000000"/>
                <w:sz w:val="18"/>
                <w:szCs w:val="18"/>
              </w:rPr>
              <w:t>107,949</w:t>
            </w:r>
          </w:p>
        </w:tc>
      </w:tr>
      <w:tr w:rsidR="00E0744F" w:rsidRPr="00CD15C6" w14:paraId="04E4ECD0" w14:textId="77777777" w:rsidTr="004D5349">
        <w:trPr>
          <w:trHeight w:val="20"/>
        </w:trPr>
        <w:tc>
          <w:tcPr>
            <w:tcW w:w="439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1008373" w14:textId="77777777" w:rsidR="00F940EB" w:rsidRPr="004D5349" w:rsidRDefault="00F940EB" w:rsidP="00243FAB">
            <w:pPr>
              <w:rPr>
                <w:rFonts w:ascii="Arial" w:hAnsi="Arial" w:cs="Arial"/>
                <w:color w:val="000000"/>
              </w:rPr>
            </w:pP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BBFB2C3" w14:textId="77777777" w:rsidR="00F940EB" w:rsidRPr="004D5349" w:rsidRDefault="00F940EB" w:rsidP="00243FAB">
            <w:pPr>
              <w:rPr>
                <w:rFonts w:ascii="Arial"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1439B078" w14:textId="77777777" w:rsidR="00F940EB" w:rsidRPr="004D5349" w:rsidRDefault="00F940EB" w:rsidP="00DD543B">
            <w:pPr>
              <w:jc w:val="right"/>
              <w:rPr>
                <w:rFonts w:ascii="Arial" w:hAnsi="Arial" w:cs="Arial"/>
                <w:color w:val="000000"/>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0433A5F8" w14:textId="77777777" w:rsidR="00F940EB" w:rsidRPr="004D5349" w:rsidRDefault="00F940EB" w:rsidP="00DD543B">
            <w:pPr>
              <w:jc w:val="right"/>
              <w:rPr>
                <w:rFonts w:ascii="Arial" w:hAnsi="Arial" w:cs="Arial"/>
                <w:color w:val="000000"/>
              </w:rPr>
            </w:pPr>
          </w:p>
        </w:tc>
        <w:tc>
          <w:tcPr>
            <w:tcW w:w="1275"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C72BB50" w14:textId="77777777" w:rsidR="00F940EB" w:rsidRPr="00AB0C82" w:rsidRDefault="00F940EB" w:rsidP="00DD543B">
            <w:pPr>
              <w:jc w:val="right"/>
            </w:pPr>
          </w:p>
        </w:tc>
        <w:tc>
          <w:tcPr>
            <w:tcW w:w="1134"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888C9F2" w14:textId="77777777" w:rsidR="00F940EB" w:rsidRPr="00AB0C82" w:rsidRDefault="00F940EB" w:rsidP="00DD543B">
            <w:pPr>
              <w:jc w:val="right"/>
            </w:pPr>
          </w:p>
        </w:tc>
        <w:tc>
          <w:tcPr>
            <w:tcW w:w="993"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2B8399B" w14:textId="77777777" w:rsidR="00F940EB" w:rsidRPr="00AB0C82" w:rsidRDefault="00F940EB" w:rsidP="00DD543B">
            <w:pPr>
              <w:jc w:val="right"/>
            </w:pPr>
          </w:p>
        </w:tc>
        <w:tc>
          <w:tcPr>
            <w:tcW w:w="1559"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086D057" w14:textId="77777777" w:rsidR="00F940EB" w:rsidRPr="004D5349" w:rsidRDefault="00F940EB" w:rsidP="00DD543B">
            <w:pPr>
              <w:jc w:val="right"/>
              <w:rPr>
                <w:rFonts w:ascii="Arial" w:hAnsi="Arial" w:cs="Arial"/>
                <w:color w:val="000000"/>
              </w:rPr>
            </w:pPr>
          </w:p>
        </w:tc>
        <w:tc>
          <w:tcPr>
            <w:tcW w:w="1417"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EF37C0F" w14:textId="77777777" w:rsidR="00F940EB" w:rsidRPr="004D5349" w:rsidRDefault="00F940EB" w:rsidP="00DD543B">
            <w:pPr>
              <w:jc w:val="right"/>
              <w:rPr>
                <w:rFonts w:ascii="Arial" w:hAnsi="Arial" w:cs="Arial"/>
                <w:color w:val="000000"/>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3DEB3F37" w14:textId="77777777" w:rsidR="00F940EB" w:rsidRPr="004D5349" w:rsidRDefault="00F940EB" w:rsidP="00DD543B">
            <w:pPr>
              <w:jc w:val="right"/>
              <w:rPr>
                <w:rFonts w:ascii="Arial" w:hAnsi="Arial" w:cs="Arial"/>
                <w:color w:val="000000"/>
              </w:rPr>
            </w:pPr>
          </w:p>
        </w:tc>
      </w:tr>
      <w:tr w:rsidR="00AB0C82" w:rsidRPr="00CD15C6" w14:paraId="5FA16403" w14:textId="77777777" w:rsidTr="00C75839">
        <w:trPr>
          <w:trHeight w:val="103"/>
        </w:trPr>
        <w:tc>
          <w:tcPr>
            <w:tcW w:w="439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919222C" w14:textId="51241EB6" w:rsidR="00AB0C82" w:rsidRPr="00CD15C6" w:rsidRDefault="00AB0C82" w:rsidP="00243FAB">
            <w:pPr>
              <w:rPr>
                <w:rFonts w:ascii="Arial" w:hAnsi="Arial" w:cs="Arial"/>
                <w:color w:val="000000"/>
                <w:sz w:val="18"/>
                <w:szCs w:val="18"/>
              </w:rPr>
            </w:pPr>
            <w:r w:rsidRPr="003E201F">
              <w:rPr>
                <w:rFonts w:ascii="Arial" w:hAnsi="Arial"/>
                <w:b/>
                <w:bCs/>
                <w:color w:val="000000"/>
                <w:u w:val="single"/>
              </w:rPr>
              <w:t>LANCASHIRE CONSTABULARY</w:t>
            </w:r>
          </w:p>
        </w:tc>
        <w:tc>
          <w:tcPr>
            <w:tcW w:w="85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3440E034" w14:textId="77777777" w:rsidR="00AB0C82" w:rsidRPr="00CD15C6" w:rsidRDefault="00AB0C82" w:rsidP="00243FAB">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37E60C26" w14:textId="77777777" w:rsidR="00AB0C82" w:rsidRPr="00CD15C6" w:rsidRDefault="00AB0C82" w:rsidP="00DD543B">
            <w:pPr>
              <w:jc w:val="right"/>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0F6CDECE" w14:textId="77777777" w:rsidR="00AB0C82" w:rsidRPr="00CD15C6" w:rsidRDefault="00AB0C82" w:rsidP="00DD543B">
            <w:pPr>
              <w:jc w:val="right"/>
              <w:rPr>
                <w:rFonts w:ascii="Arial" w:hAnsi="Arial" w:cs="Arial"/>
                <w:color w:val="000000"/>
                <w:sz w:val="18"/>
                <w:szCs w:val="18"/>
              </w:rPr>
            </w:pPr>
          </w:p>
        </w:tc>
        <w:tc>
          <w:tcPr>
            <w:tcW w:w="1275"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EAC45DF" w14:textId="77777777" w:rsidR="00AB0C82" w:rsidRPr="00CD15C6" w:rsidRDefault="00AB0C82" w:rsidP="00DD543B">
            <w:pPr>
              <w:jc w:val="right"/>
            </w:pPr>
          </w:p>
        </w:tc>
        <w:tc>
          <w:tcPr>
            <w:tcW w:w="1134"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12016F54" w14:textId="77777777" w:rsidR="00AB0C82" w:rsidRPr="00CD15C6" w:rsidRDefault="00AB0C82" w:rsidP="00DD543B">
            <w:pPr>
              <w:jc w:val="right"/>
            </w:pPr>
          </w:p>
        </w:tc>
        <w:tc>
          <w:tcPr>
            <w:tcW w:w="993"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C18B1E5" w14:textId="77777777" w:rsidR="00AB0C82" w:rsidRPr="00CD15C6" w:rsidRDefault="00AB0C82" w:rsidP="00DD543B">
            <w:pPr>
              <w:jc w:val="right"/>
            </w:pPr>
          </w:p>
        </w:tc>
        <w:tc>
          <w:tcPr>
            <w:tcW w:w="1559"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3A6D89DD" w14:textId="77777777" w:rsidR="00AB0C82" w:rsidRPr="00CD15C6" w:rsidRDefault="00AB0C82" w:rsidP="00DD543B">
            <w:pPr>
              <w:jc w:val="right"/>
              <w:rPr>
                <w:rFonts w:ascii="Arial" w:hAnsi="Arial" w:cs="Arial"/>
                <w:color w:val="000000"/>
                <w:sz w:val="18"/>
                <w:szCs w:val="18"/>
              </w:rPr>
            </w:pPr>
          </w:p>
        </w:tc>
        <w:tc>
          <w:tcPr>
            <w:tcW w:w="1417"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174EBDCD" w14:textId="77777777" w:rsidR="00AB0C82" w:rsidRPr="00CD15C6" w:rsidRDefault="00AB0C82" w:rsidP="00DD543B">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2D42522" w14:textId="77777777" w:rsidR="00AB0C82" w:rsidRPr="00CD15C6" w:rsidRDefault="00AB0C82" w:rsidP="00DD543B">
            <w:pPr>
              <w:jc w:val="right"/>
              <w:rPr>
                <w:rFonts w:ascii="Arial" w:hAnsi="Arial" w:cs="Arial"/>
                <w:color w:val="000000"/>
                <w:sz w:val="18"/>
                <w:szCs w:val="18"/>
              </w:rPr>
            </w:pPr>
          </w:p>
        </w:tc>
      </w:tr>
      <w:tr w:rsidR="00A647D7" w:rsidRPr="00CD15C6" w14:paraId="02D3AA43" w14:textId="77777777" w:rsidTr="00E0744F">
        <w:trPr>
          <w:trHeight w:val="300"/>
        </w:trPr>
        <w:tc>
          <w:tcPr>
            <w:tcW w:w="439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275EDE6" w14:textId="2EB91D28" w:rsidR="00DD543B" w:rsidRPr="00CD15C6" w:rsidRDefault="00DD543B" w:rsidP="00DD543B">
            <w:pPr>
              <w:rPr>
                <w:rFonts w:ascii="Arial" w:hAnsi="Arial" w:cs="Arial"/>
                <w:color w:val="000000"/>
                <w:sz w:val="18"/>
                <w:szCs w:val="18"/>
              </w:rPr>
            </w:pPr>
            <w:r>
              <w:rPr>
                <w:rFonts w:ascii="Arial" w:hAnsi="Arial" w:cs="Arial"/>
                <w:color w:val="000000"/>
                <w:sz w:val="18"/>
                <w:szCs w:val="18"/>
              </w:rPr>
              <w:t>Chief Constable - S Hatchett</w:t>
            </w:r>
          </w:p>
        </w:tc>
        <w:tc>
          <w:tcPr>
            <w:tcW w:w="850" w:type="dxa"/>
            <w:tcBorders>
              <w:top w:val="single" w:sz="4" w:space="0" w:color="auto"/>
              <w:left w:val="nil"/>
              <w:bottom w:val="single" w:sz="4" w:space="0" w:color="auto"/>
              <w:right w:val="single" w:sz="4" w:space="0" w:color="auto"/>
            </w:tcBorders>
            <w:shd w:val="clear" w:color="000000" w:fill="F2F2F2"/>
            <w:noWrap/>
            <w:vAlign w:val="bottom"/>
            <w:hideMark/>
          </w:tcPr>
          <w:p w14:paraId="5134557D" w14:textId="3632344F" w:rsidR="00DD543B" w:rsidRPr="00CD15C6" w:rsidRDefault="00DD543B" w:rsidP="00DD543B">
            <w:pPr>
              <w:rPr>
                <w:rFonts w:ascii="Arial" w:hAnsi="Arial" w:cs="Arial"/>
                <w:color w:val="000000"/>
                <w:sz w:val="18"/>
                <w:szCs w:val="18"/>
              </w:rPr>
            </w:pPr>
            <w:r>
              <w:rPr>
                <w:rFonts w:ascii="Arial" w:hAnsi="Arial" w:cs="Arial"/>
                <w:color w:val="000000"/>
                <w:sz w:val="18"/>
                <w:szCs w:val="18"/>
              </w:rPr>
              <w:t> </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5FC07A72" w14:textId="07E2B9FB"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192,513</w:t>
            </w:r>
          </w:p>
        </w:tc>
        <w:tc>
          <w:tcPr>
            <w:tcW w:w="1276" w:type="dxa"/>
            <w:tcBorders>
              <w:top w:val="single" w:sz="4" w:space="0" w:color="auto"/>
              <w:left w:val="nil"/>
              <w:bottom w:val="single" w:sz="4" w:space="0" w:color="auto"/>
              <w:right w:val="single" w:sz="4" w:space="0" w:color="auto"/>
            </w:tcBorders>
            <w:shd w:val="clear" w:color="000000" w:fill="F2F2F2"/>
            <w:noWrap/>
            <w:vAlign w:val="bottom"/>
            <w:hideMark/>
          </w:tcPr>
          <w:p w14:paraId="76263FAD" w14:textId="20057EEB"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single" w:sz="4" w:space="0" w:color="auto"/>
              <w:left w:val="nil"/>
              <w:bottom w:val="single" w:sz="4" w:space="0" w:color="auto"/>
              <w:right w:val="single" w:sz="4" w:space="0" w:color="auto"/>
            </w:tcBorders>
            <w:shd w:val="clear" w:color="000000" w:fill="F2F2F2"/>
            <w:noWrap/>
            <w:vAlign w:val="bottom"/>
            <w:hideMark/>
          </w:tcPr>
          <w:p w14:paraId="3465CF01" w14:textId="0DE2C1B6" w:rsidR="00DD543B" w:rsidRPr="00CD15C6" w:rsidRDefault="00DD543B" w:rsidP="00DD543B">
            <w:pPr>
              <w:jc w:val="right"/>
            </w:pPr>
            <w:r>
              <w:rPr>
                <w:rFonts w:ascii="Arial" w:hAnsi="Arial" w:cs="Arial"/>
                <w:color w:val="000000"/>
                <w:sz w:val="18"/>
                <w:szCs w:val="18"/>
              </w:rPr>
              <w:t> </w:t>
            </w:r>
          </w:p>
        </w:tc>
        <w:tc>
          <w:tcPr>
            <w:tcW w:w="1134" w:type="dxa"/>
            <w:tcBorders>
              <w:top w:val="single" w:sz="4" w:space="0" w:color="auto"/>
              <w:left w:val="nil"/>
              <w:bottom w:val="single" w:sz="4" w:space="0" w:color="auto"/>
              <w:right w:val="single" w:sz="4" w:space="0" w:color="auto"/>
            </w:tcBorders>
            <w:shd w:val="clear" w:color="000000" w:fill="F2F2F2"/>
            <w:noWrap/>
            <w:vAlign w:val="bottom"/>
            <w:hideMark/>
          </w:tcPr>
          <w:p w14:paraId="40C31648" w14:textId="4F2E0968" w:rsidR="00DD543B" w:rsidRPr="00CD15C6" w:rsidRDefault="00DD543B" w:rsidP="00DD543B">
            <w:pPr>
              <w:jc w:val="right"/>
            </w:pPr>
            <w:r>
              <w:rPr>
                <w:rFonts w:ascii="Arial" w:hAnsi="Arial" w:cs="Arial"/>
                <w:color w:val="000000"/>
                <w:sz w:val="18"/>
                <w:szCs w:val="18"/>
              </w:rPr>
              <w:t> </w:t>
            </w:r>
          </w:p>
        </w:tc>
        <w:tc>
          <w:tcPr>
            <w:tcW w:w="993" w:type="dxa"/>
            <w:tcBorders>
              <w:top w:val="single" w:sz="4" w:space="0" w:color="auto"/>
              <w:left w:val="nil"/>
              <w:bottom w:val="single" w:sz="4" w:space="0" w:color="auto"/>
              <w:right w:val="single" w:sz="4" w:space="0" w:color="auto"/>
            </w:tcBorders>
            <w:shd w:val="clear" w:color="000000" w:fill="F2F2F2"/>
            <w:noWrap/>
            <w:vAlign w:val="bottom"/>
            <w:hideMark/>
          </w:tcPr>
          <w:p w14:paraId="173A957C" w14:textId="342BADA7" w:rsidR="00DD543B" w:rsidRPr="00CD15C6" w:rsidRDefault="00DD543B" w:rsidP="00DD543B">
            <w:pPr>
              <w:jc w:val="right"/>
            </w:pPr>
            <w:r>
              <w:rPr>
                <w:rFonts w:ascii="Arial" w:hAnsi="Arial" w:cs="Arial"/>
                <w:color w:val="000000"/>
                <w:sz w:val="18"/>
                <w:szCs w:val="18"/>
              </w:rPr>
              <w:t> </w:t>
            </w:r>
          </w:p>
        </w:tc>
        <w:tc>
          <w:tcPr>
            <w:tcW w:w="1559" w:type="dxa"/>
            <w:tcBorders>
              <w:top w:val="single" w:sz="4" w:space="0" w:color="auto"/>
              <w:left w:val="nil"/>
              <w:bottom w:val="single" w:sz="4" w:space="0" w:color="auto"/>
              <w:right w:val="single" w:sz="4" w:space="0" w:color="auto"/>
            </w:tcBorders>
            <w:shd w:val="clear" w:color="000000" w:fill="F2F2F2"/>
            <w:noWrap/>
            <w:vAlign w:val="bottom"/>
            <w:hideMark/>
          </w:tcPr>
          <w:p w14:paraId="3D857AE8" w14:textId="5E8B48E1"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192,513</w:t>
            </w:r>
          </w:p>
        </w:tc>
        <w:tc>
          <w:tcPr>
            <w:tcW w:w="1417" w:type="dxa"/>
            <w:tcBorders>
              <w:top w:val="single" w:sz="4" w:space="0" w:color="auto"/>
              <w:left w:val="nil"/>
              <w:bottom w:val="single" w:sz="4" w:space="0" w:color="auto"/>
              <w:right w:val="single" w:sz="4" w:space="0" w:color="auto"/>
            </w:tcBorders>
            <w:shd w:val="clear" w:color="000000" w:fill="F2F2F2"/>
            <w:noWrap/>
            <w:vAlign w:val="bottom"/>
            <w:hideMark/>
          </w:tcPr>
          <w:p w14:paraId="44C8ED59" w14:textId="30A08031"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67,957</w:t>
            </w:r>
          </w:p>
        </w:tc>
        <w:tc>
          <w:tcPr>
            <w:tcW w:w="1560" w:type="dxa"/>
            <w:tcBorders>
              <w:top w:val="single" w:sz="4" w:space="0" w:color="auto"/>
              <w:left w:val="nil"/>
              <w:bottom w:val="single" w:sz="4" w:space="0" w:color="auto"/>
              <w:right w:val="single" w:sz="4" w:space="0" w:color="auto"/>
            </w:tcBorders>
            <w:shd w:val="clear" w:color="000000" w:fill="F2F2F2"/>
            <w:noWrap/>
            <w:vAlign w:val="bottom"/>
            <w:hideMark/>
          </w:tcPr>
          <w:p w14:paraId="6B464BB7" w14:textId="1AEA0D69"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260,470</w:t>
            </w:r>
          </w:p>
        </w:tc>
      </w:tr>
      <w:tr w:rsidR="009C6598" w:rsidRPr="00CD15C6" w14:paraId="6885745C" w14:textId="77777777" w:rsidTr="00C75839">
        <w:trPr>
          <w:trHeight w:val="65"/>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0D378CB5" w14:textId="50750939" w:rsidR="00DD543B" w:rsidRPr="004D5349" w:rsidRDefault="00DD543B" w:rsidP="00DD543B">
            <w:pPr>
              <w:rPr>
                <w:rFonts w:ascii="Arial" w:hAnsi="Arial" w:cs="Arial"/>
                <w:color w:val="000000"/>
                <w:sz w:val="10"/>
                <w:szCs w:val="10"/>
              </w:rPr>
            </w:pPr>
            <w:r w:rsidRPr="004D5349">
              <w:rPr>
                <w:rFonts w:ascii="Arial" w:hAnsi="Arial" w:cs="Arial"/>
                <w:color w:val="000000"/>
                <w:sz w:val="10"/>
                <w:szCs w:val="10"/>
              </w:rPr>
              <w:t> </w:t>
            </w:r>
          </w:p>
        </w:tc>
        <w:tc>
          <w:tcPr>
            <w:tcW w:w="850" w:type="dxa"/>
            <w:tcBorders>
              <w:top w:val="nil"/>
              <w:left w:val="nil"/>
              <w:bottom w:val="single" w:sz="4" w:space="0" w:color="auto"/>
              <w:right w:val="single" w:sz="4" w:space="0" w:color="auto"/>
            </w:tcBorders>
            <w:shd w:val="clear" w:color="000000" w:fill="F2F2F2"/>
            <w:noWrap/>
            <w:vAlign w:val="bottom"/>
            <w:hideMark/>
          </w:tcPr>
          <w:p w14:paraId="271DB05C" w14:textId="68C3F77A" w:rsidR="00DD543B" w:rsidRPr="004D5349" w:rsidRDefault="00DD543B" w:rsidP="00DD543B">
            <w:pPr>
              <w:rPr>
                <w:rFonts w:ascii="Arial" w:hAnsi="Arial" w:cs="Arial"/>
                <w:color w:val="000000"/>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39037129" w14:textId="51FE8202"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541901E1" w14:textId="2BCE5B06"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5E69FDF0" w14:textId="2686B5EB" w:rsidR="00DD543B" w:rsidRPr="004D5349" w:rsidRDefault="00DD543B" w:rsidP="00DD543B">
            <w:pPr>
              <w:jc w:val="right"/>
              <w:rPr>
                <w:sz w:val="10"/>
                <w:szCs w:val="10"/>
              </w:rPr>
            </w:pPr>
            <w:r w:rsidRPr="004D5349">
              <w:rPr>
                <w:rFonts w:ascii="Arial" w:hAnsi="Arial" w:cs="Arial"/>
                <w:color w:val="000000"/>
                <w:sz w:val="10"/>
                <w:szCs w:val="10"/>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233FBAEE" w14:textId="18FDCFD1" w:rsidR="00DD543B" w:rsidRPr="004D5349" w:rsidRDefault="00DD543B" w:rsidP="00DD543B">
            <w:pPr>
              <w:jc w:val="right"/>
              <w:rPr>
                <w:sz w:val="10"/>
                <w:szCs w:val="10"/>
              </w:rPr>
            </w:pPr>
            <w:r w:rsidRPr="004D5349">
              <w:rPr>
                <w:rFonts w:ascii="Arial" w:hAnsi="Arial" w:cs="Arial"/>
                <w:color w:val="000000"/>
                <w:sz w:val="10"/>
                <w:szCs w:val="10"/>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5EF2EEA9" w14:textId="5C1A376D" w:rsidR="00DD543B" w:rsidRPr="004D5349" w:rsidRDefault="00DD543B" w:rsidP="00DD543B">
            <w:pPr>
              <w:jc w:val="right"/>
              <w:rPr>
                <w:sz w:val="10"/>
                <w:szCs w:val="10"/>
              </w:rPr>
            </w:pPr>
            <w:r w:rsidRPr="004D5349">
              <w:rPr>
                <w:rFonts w:ascii="Arial" w:hAnsi="Arial" w:cs="Arial"/>
                <w:color w:val="000000"/>
                <w:sz w:val="10"/>
                <w:szCs w:val="1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28BABE0F" w14:textId="0054802C"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417" w:type="dxa"/>
            <w:tcBorders>
              <w:top w:val="nil"/>
              <w:left w:val="nil"/>
              <w:bottom w:val="single" w:sz="4" w:space="0" w:color="auto"/>
              <w:right w:val="single" w:sz="4" w:space="0" w:color="auto"/>
            </w:tcBorders>
            <w:shd w:val="clear" w:color="000000" w:fill="F2F2F2"/>
            <w:noWrap/>
            <w:vAlign w:val="bottom"/>
            <w:hideMark/>
          </w:tcPr>
          <w:p w14:paraId="1F1A182C" w14:textId="70A2DBFD"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560" w:type="dxa"/>
            <w:tcBorders>
              <w:top w:val="nil"/>
              <w:left w:val="nil"/>
              <w:bottom w:val="single" w:sz="4" w:space="0" w:color="auto"/>
              <w:right w:val="single" w:sz="4" w:space="0" w:color="auto"/>
            </w:tcBorders>
            <w:shd w:val="clear" w:color="000000" w:fill="F2F2F2"/>
            <w:noWrap/>
            <w:vAlign w:val="bottom"/>
            <w:hideMark/>
          </w:tcPr>
          <w:p w14:paraId="471E17D7" w14:textId="1BD35F8B"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r>
      <w:tr w:rsidR="009C6598" w:rsidRPr="00CD15C6" w14:paraId="0963DDA6"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62CDE4C8" w14:textId="170519BC" w:rsidR="00DD543B" w:rsidRPr="00CD15C6" w:rsidRDefault="00DD543B" w:rsidP="005F774E">
            <w:pPr>
              <w:rPr>
                <w:rFonts w:ascii="Arial" w:hAnsi="Arial" w:cs="Arial"/>
                <w:color w:val="000000"/>
                <w:sz w:val="18"/>
                <w:szCs w:val="18"/>
              </w:rPr>
            </w:pPr>
            <w:r>
              <w:rPr>
                <w:rFonts w:ascii="Arial" w:hAnsi="Arial" w:cs="Arial"/>
                <w:color w:val="000000"/>
                <w:sz w:val="18"/>
                <w:szCs w:val="18"/>
              </w:rPr>
              <w:t>Deputy Chief Constable - S Mackenzie</w:t>
            </w:r>
          </w:p>
        </w:tc>
        <w:tc>
          <w:tcPr>
            <w:tcW w:w="850" w:type="dxa"/>
            <w:tcBorders>
              <w:top w:val="nil"/>
              <w:left w:val="nil"/>
              <w:bottom w:val="single" w:sz="4" w:space="0" w:color="auto"/>
              <w:right w:val="single" w:sz="4" w:space="0" w:color="auto"/>
            </w:tcBorders>
            <w:shd w:val="clear" w:color="000000" w:fill="F2F2F2"/>
            <w:noWrap/>
            <w:vAlign w:val="bottom"/>
            <w:hideMark/>
          </w:tcPr>
          <w:p w14:paraId="0FCEB410" w14:textId="39B90AA7" w:rsidR="00DD543B" w:rsidRPr="00CD15C6" w:rsidRDefault="00DD543B" w:rsidP="00DD543B">
            <w:r>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07DE7068" w14:textId="0ADA7BD8" w:rsidR="00DD543B" w:rsidRPr="00CD15C6" w:rsidRDefault="00DD543B" w:rsidP="00DD543B">
            <w:pPr>
              <w:jc w:val="right"/>
            </w:pPr>
            <w:r>
              <w:rPr>
                <w:rFonts w:ascii="Arial" w:hAnsi="Arial" w:cs="Arial"/>
                <w:color w:val="000000"/>
                <w:sz w:val="18"/>
                <w:szCs w:val="18"/>
              </w:rPr>
              <w:t>159,030</w:t>
            </w:r>
          </w:p>
        </w:tc>
        <w:tc>
          <w:tcPr>
            <w:tcW w:w="1276" w:type="dxa"/>
            <w:tcBorders>
              <w:top w:val="nil"/>
              <w:left w:val="nil"/>
              <w:bottom w:val="single" w:sz="4" w:space="0" w:color="auto"/>
              <w:right w:val="single" w:sz="4" w:space="0" w:color="auto"/>
            </w:tcBorders>
            <w:shd w:val="clear" w:color="000000" w:fill="F2F2F2"/>
            <w:noWrap/>
            <w:vAlign w:val="bottom"/>
            <w:hideMark/>
          </w:tcPr>
          <w:p w14:paraId="7B8AE7CC" w14:textId="7ACDB268" w:rsidR="00DD543B" w:rsidRPr="00CD15C6" w:rsidRDefault="00DD543B" w:rsidP="00DD543B">
            <w:pPr>
              <w:jc w:val="right"/>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1AEB68C9" w14:textId="40422EAD" w:rsidR="00DD543B" w:rsidRPr="00CD15C6" w:rsidRDefault="00DD543B"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541F9B3E" w14:textId="46057618" w:rsidR="00DD543B" w:rsidRPr="00CD15C6" w:rsidRDefault="00DD543B"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5B938A84" w14:textId="5A9048FD" w:rsidR="00DD543B" w:rsidRPr="00CD15C6" w:rsidRDefault="00DD543B"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4635C07F" w14:textId="6C4CFCAE" w:rsidR="00DD543B" w:rsidRPr="00CD15C6" w:rsidRDefault="00DD543B" w:rsidP="00DD543B">
            <w:pPr>
              <w:jc w:val="right"/>
            </w:pPr>
            <w:r>
              <w:rPr>
                <w:rFonts w:ascii="Arial" w:hAnsi="Arial" w:cs="Arial"/>
                <w:color w:val="000000"/>
                <w:sz w:val="18"/>
                <w:szCs w:val="18"/>
              </w:rPr>
              <w:t>159,030</w:t>
            </w:r>
          </w:p>
        </w:tc>
        <w:tc>
          <w:tcPr>
            <w:tcW w:w="1417" w:type="dxa"/>
            <w:tcBorders>
              <w:top w:val="nil"/>
              <w:left w:val="nil"/>
              <w:bottom w:val="single" w:sz="4" w:space="0" w:color="auto"/>
              <w:right w:val="single" w:sz="4" w:space="0" w:color="auto"/>
            </w:tcBorders>
            <w:shd w:val="clear" w:color="000000" w:fill="F2F2F2"/>
            <w:noWrap/>
            <w:vAlign w:val="bottom"/>
            <w:hideMark/>
          </w:tcPr>
          <w:p w14:paraId="17269A1C" w14:textId="60869931" w:rsidR="00DD543B" w:rsidRPr="00CD15C6" w:rsidRDefault="00DD543B" w:rsidP="00DD543B">
            <w:pPr>
              <w:jc w:val="right"/>
            </w:pPr>
            <w:r>
              <w:rPr>
                <w:rFonts w:ascii="Arial" w:hAnsi="Arial" w:cs="Arial"/>
                <w:color w:val="000000"/>
                <w:sz w:val="18"/>
                <w:szCs w:val="18"/>
              </w:rPr>
              <w:t>56,138</w:t>
            </w:r>
          </w:p>
        </w:tc>
        <w:tc>
          <w:tcPr>
            <w:tcW w:w="1560" w:type="dxa"/>
            <w:tcBorders>
              <w:top w:val="nil"/>
              <w:left w:val="nil"/>
              <w:bottom w:val="single" w:sz="4" w:space="0" w:color="auto"/>
              <w:right w:val="single" w:sz="4" w:space="0" w:color="auto"/>
            </w:tcBorders>
            <w:shd w:val="clear" w:color="000000" w:fill="F2F2F2"/>
            <w:noWrap/>
            <w:vAlign w:val="bottom"/>
            <w:hideMark/>
          </w:tcPr>
          <w:p w14:paraId="3EF2F312" w14:textId="26AFE1EA" w:rsidR="00DD543B" w:rsidRPr="00CD15C6" w:rsidRDefault="00DD543B" w:rsidP="00DD543B">
            <w:pPr>
              <w:jc w:val="right"/>
            </w:pPr>
            <w:r>
              <w:rPr>
                <w:rFonts w:ascii="Arial" w:hAnsi="Arial" w:cs="Arial"/>
                <w:color w:val="000000"/>
                <w:sz w:val="18"/>
                <w:szCs w:val="18"/>
              </w:rPr>
              <w:t>215,168</w:t>
            </w:r>
          </w:p>
        </w:tc>
      </w:tr>
      <w:tr w:rsidR="009C6598" w:rsidRPr="00CD15C6" w14:paraId="586747FC" w14:textId="77777777" w:rsidTr="00C75839">
        <w:trPr>
          <w:trHeight w:val="73"/>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573AD031" w14:textId="2FF927D8" w:rsidR="00DD543B" w:rsidRPr="00CD15C6" w:rsidRDefault="00DD543B" w:rsidP="00DD543B">
            <w:pPr>
              <w:rPr>
                <w:rFonts w:ascii="Arial" w:hAnsi="Arial" w:cs="Arial"/>
                <w:color w:val="000000"/>
                <w:sz w:val="18"/>
                <w:szCs w:val="18"/>
              </w:rPr>
            </w:pPr>
            <w:r>
              <w:rPr>
                <w:rFonts w:ascii="Arial" w:hAnsi="Arial" w:cs="Arial"/>
                <w:color w:val="000000"/>
                <w:sz w:val="18"/>
                <w:szCs w:val="18"/>
              </w:rPr>
              <w:t> </w:t>
            </w:r>
          </w:p>
        </w:tc>
        <w:tc>
          <w:tcPr>
            <w:tcW w:w="850" w:type="dxa"/>
            <w:tcBorders>
              <w:top w:val="nil"/>
              <w:left w:val="nil"/>
              <w:bottom w:val="single" w:sz="4" w:space="0" w:color="auto"/>
              <w:right w:val="single" w:sz="4" w:space="0" w:color="auto"/>
            </w:tcBorders>
            <w:shd w:val="clear" w:color="000000" w:fill="F2F2F2"/>
            <w:noWrap/>
            <w:vAlign w:val="bottom"/>
            <w:hideMark/>
          </w:tcPr>
          <w:p w14:paraId="0651CC0F" w14:textId="61F3B0E7" w:rsidR="00DD543B" w:rsidRPr="00CD15C6" w:rsidRDefault="00DD543B" w:rsidP="00DD543B">
            <w:pPr>
              <w:rPr>
                <w:rFonts w:ascii="Arial" w:hAnsi="Arial" w:cs="Arial"/>
                <w:color w:val="000000"/>
                <w:sz w:val="18"/>
                <w:szCs w:val="18"/>
              </w:rPr>
            </w:pPr>
            <w:r>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0B0E1047" w14:textId="2917E67C"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35932971" w14:textId="14F1F4DF"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69A9AFFC" w14:textId="214BCFFA" w:rsidR="00DD543B" w:rsidRPr="00CD15C6" w:rsidRDefault="00DD543B"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2DD151E1" w14:textId="74766FCD" w:rsidR="00DD543B" w:rsidRPr="00CD15C6" w:rsidRDefault="00DD543B"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523EFDD4" w14:textId="7EABFE56" w:rsidR="00DD543B" w:rsidRPr="00CD15C6" w:rsidRDefault="00DD543B"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559C86BB" w14:textId="39A8B01D"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417" w:type="dxa"/>
            <w:tcBorders>
              <w:top w:val="nil"/>
              <w:left w:val="nil"/>
              <w:bottom w:val="single" w:sz="4" w:space="0" w:color="auto"/>
              <w:right w:val="single" w:sz="4" w:space="0" w:color="auto"/>
            </w:tcBorders>
            <w:shd w:val="clear" w:color="000000" w:fill="F2F2F2"/>
            <w:noWrap/>
            <w:vAlign w:val="bottom"/>
            <w:hideMark/>
          </w:tcPr>
          <w:p w14:paraId="70E9902B" w14:textId="1D596C5A"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560" w:type="dxa"/>
            <w:tcBorders>
              <w:top w:val="nil"/>
              <w:left w:val="nil"/>
              <w:bottom w:val="single" w:sz="4" w:space="0" w:color="auto"/>
              <w:right w:val="single" w:sz="4" w:space="0" w:color="auto"/>
            </w:tcBorders>
            <w:shd w:val="clear" w:color="000000" w:fill="F2F2F2"/>
            <w:noWrap/>
            <w:vAlign w:val="bottom"/>
            <w:hideMark/>
          </w:tcPr>
          <w:p w14:paraId="4B4CB276" w14:textId="7B973AEB"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r>
      <w:tr w:rsidR="009C6598" w:rsidRPr="00CD15C6" w14:paraId="61A47C9D"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0D4176B3" w14:textId="19C9B94B" w:rsidR="00DD543B" w:rsidRPr="00CD15C6" w:rsidRDefault="00DD543B" w:rsidP="00DD543B">
            <w:pPr>
              <w:rPr>
                <w:rFonts w:ascii="Arial" w:hAnsi="Arial" w:cs="Arial"/>
                <w:color w:val="000000"/>
                <w:sz w:val="18"/>
                <w:szCs w:val="18"/>
              </w:rPr>
            </w:pPr>
            <w:r>
              <w:rPr>
                <w:rFonts w:ascii="Arial" w:hAnsi="Arial" w:cs="Arial"/>
                <w:color w:val="000000"/>
                <w:sz w:val="18"/>
                <w:szCs w:val="18"/>
              </w:rPr>
              <w:t xml:space="preserve">Assistant Chief Constable - Crime </w:t>
            </w:r>
          </w:p>
        </w:tc>
        <w:tc>
          <w:tcPr>
            <w:tcW w:w="850" w:type="dxa"/>
            <w:tcBorders>
              <w:top w:val="nil"/>
              <w:left w:val="nil"/>
              <w:bottom w:val="single" w:sz="4" w:space="0" w:color="auto"/>
              <w:right w:val="single" w:sz="4" w:space="0" w:color="auto"/>
            </w:tcBorders>
            <w:shd w:val="clear" w:color="000000" w:fill="F2F2F2"/>
            <w:noWrap/>
            <w:vAlign w:val="bottom"/>
            <w:hideMark/>
          </w:tcPr>
          <w:p w14:paraId="237376F0" w14:textId="3488FAD8" w:rsidR="00DD543B" w:rsidRPr="00CD15C6" w:rsidRDefault="00DD543B" w:rsidP="00DD543B">
            <w:pPr>
              <w:rPr>
                <w:rFonts w:ascii="Arial" w:hAnsi="Arial" w:cs="Arial"/>
                <w:color w:val="000000"/>
                <w:sz w:val="18"/>
                <w:szCs w:val="18"/>
              </w:rPr>
            </w:pPr>
            <w:r>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1FA69AB9" w14:textId="17B7C194"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118,880</w:t>
            </w:r>
          </w:p>
        </w:tc>
        <w:tc>
          <w:tcPr>
            <w:tcW w:w="1276" w:type="dxa"/>
            <w:tcBorders>
              <w:top w:val="nil"/>
              <w:left w:val="nil"/>
              <w:bottom w:val="single" w:sz="4" w:space="0" w:color="auto"/>
              <w:right w:val="single" w:sz="4" w:space="0" w:color="auto"/>
            </w:tcBorders>
            <w:shd w:val="clear" w:color="000000" w:fill="F2F2F2"/>
            <w:noWrap/>
            <w:vAlign w:val="bottom"/>
            <w:hideMark/>
          </w:tcPr>
          <w:p w14:paraId="558A7443" w14:textId="7F8A1876"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3B9B0C00" w14:textId="251C794D" w:rsidR="00DD543B" w:rsidRPr="00CD15C6" w:rsidRDefault="00CC1BDE" w:rsidP="00DD543B">
            <w:pPr>
              <w:jc w:val="right"/>
            </w:pPr>
            <w:r>
              <w:rPr>
                <w:rFonts w:ascii="Arial" w:hAnsi="Arial" w:cs="Arial"/>
                <w:color w:val="000000"/>
                <w:sz w:val="18"/>
                <w:szCs w:val="18"/>
              </w:rPr>
              <w:t>877</w:t>
            </w:r>
          </w:p>
        </w:tc>
        <w:tc>
          <w:tcPr>
            <w:tcW w:w="1134" w:type="dxa"/>
            <w:tcBorders>
              <w:top w:val="nil"/>
              <w:left w:val="nil"/>
              <w:bottom w:val="single" w:sz="4" w:space="0" w:color="auto"/>
              <w:right w:val="single" w:sz="4" w:space="0" w:color="auto"/>
            </w:tcBorders>
            <w:shd w:val="clear" w:color="000000" w:fill="F2F2F2"/>
            <w:noWrap/>
            <w:vAlign w:val="bottom"/>
            <w:hideMark/>
          </w:tcPr>
          <w:p w14:paraId="462837C9" w14:textId="0467B74A" w:rsidR="00DD543B" w:rsidRPr="00CD15C6" w:rsidRDefault="00DD543B"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0FF1076B" w14:textId="19EF49DB" w:rsidR="00DD543B" w:rsidRPr="00CD15C6" w:rsidRDefault="00DD543B"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2CB64ED7" w14:textId="14E3A144"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119,</w:t>
            </w:r>
            <w:r w:rsidR="002B7877">
              <w:rPr>
                <w:rFonts w:ascii="Arial" w:hAnsi="Arial" w:cs="Arial"/>
                <w:color w:val="000000"/>
                <w:sz w:val="18"/>
                <w:szCs w:val="18"/>
              </w:rPr>
              <w:t>756</w:t>
            </w:r>
          </w:p>
        </w:tc>
        <w:tc>
          <w:tcPr>
            <w:tcW w:w="1417" w:type="dxa"/>
            <w:tcBorders>
              <w:top w:val="nil"/>
              <w:left w:val="nil"/>
              <w:bottom w:val="single" w:sz="4" w:space="0" w:color="auto"/>
              <w:right w:val="single" w:sz="4" w:space="0" w:color="auto"/>
            </w:tcBorders>
            <w:shd w:val="clear" w:color="000000" w:fill="F2F2F2"/>
            <w:noWrap/>
            <w:vAlign w:val="bottom"/>
            <w:hideMark/>
          </w:tcPr>
          <w:p w14:paraId="68FB6612" w14:textId="18C66CF3"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41,953</w:t>
            </w:r>
          </w:p>
        </w:tc>
        <w:tc>
          <w:tcPr>
            <w:tcW w:w="1560" w:type="dxa"/>
            <w:tcBorders>
              <w:top w:val="nil"/>
              <w:left w:val="nil"/>
              <w:bottom w:val="single" w:sz="4" w:space="0" w:color="auto"/>
              <w:right w:val="single" w:sz="4" w:space="0" w:color="auto"/>
            </w:tcBorders>
            <w:shd w:val="clear" w:color="000000" w:fill="F2F2F2"/>
            <w:noWrap/>
            <w:vAlign w:val="bottom"/>
            <w:hideMark/>
          </w:tcPr>
          <w:p w14:paraId="0F87A3D3" w14:textId="684E0414"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161,</w:t>
            </w:r>
            <w:r w:rsidR="002B7877">
              <w:rPr>
                <w:rFonts w:ascii="Arial" w:hAnsi="Arial" w:cs="Arial"/>
                <w:color w:val="000000"/>
                <w:sz w:val="18"/>
                <w:szCs w:val="18"/>
              </w:rPr>
              <w:t>709</w:t>
            </w:r>
          </w:p>
        </w:tc>
      </w:tr>
      <w:tr w:rsidR="009C6598" w:rsidRPr="00CD15C6" w14:paraId="700FB4BA" w14:textId="77777777" w:rsidTr="004D5349">
        <w:trPr>
          <w:trHeight w:val="57"/>
        </w:trPr>
        <w:tc>
          <w:tcPr>
            <w:tcW w:w="4390" w:type="dxa"/>
            <w:tcBorders>
              <w:top w:val="nil"/>
              <w:left w:val="single" w:sz="4" w:space="0" w:color="auto"/>
              <w:bottom w:val="single" w:sz="4" w:space="0" w:color="auto"/>
              <w:right w:val="single" w:sz="4" w:space="0" w:color="auto"/>
            </w:tcBorders>
            <w:shd w:val="clear" w:color="000000" w:fill="F2F2F2"/>
            <w:noWrap/>
            <w:vAlign w:val="bottom"/>
            <w:hideMark/>
          </w:tcPr>
          <w:p w14:paraId="7E4D7E41" w14:textId="52A4C957"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850" w:type="dxa"/>
            <w:tcBorders>
              <w:top w:val="nil"/>
              <w:left w:val="nil"/>
              <w:bottom w:val="single" w:sz="4" w:space="0" w:color="auto"/>
              <w:right w:val="single" w:sz="4" w:space="0" w:color="auto"/>
            </w:tcBorders>
            <w:shd w:val="clear" w:color="000000" w:fill="F2F2F2"/>
            <w:noWrap/>
            <w:vAlign w:val="bottom"/>
            <w:hideMark/>
          </w:tcPr>
          <w:p w14:paraId="7DF1810A" w14:textId="16CCDF28" w:rsidR="00DD543B" w:rsidRPr="004D5349" w:rsidRDefault="00DD543B" w:rsidP="00DD543B">
            <w:pPr>
              <w:rPr>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34F05F89" w14:textId="4C99BF1F" w:rsidR="00DD543B" w:rsidRPr="004D5349" w:rsidRDefault="00DD543B" w:rsidP="00DD543B">
            <w:pPr>
              <w:jc w:val="right"/>
              <w:rPr>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048DCAD6" w14:textId="4145EDF1" w:rsidR="00DD543B" w:rsidRPr="004D5349" w:rsidRDefault="00DD543B" w:rsidP="00DD543B">
            <w:pPr>
              <w:jc w:val="right"/>
              <w:rPr>
                <w:sz w:val="10"/>
                <w:szCs w:val="10"/>
              </w:rPr>
            </w:pPr>
            <w:r w:rsidRPr="004D5349">
              <w:rPr>
                <w:rFonts w:ascii="Arial" w:hAnsi="Arial" w:cs="Arial"/>
                <w:color w:val="000000"/>
                <w:sz w:val="10"/>
                <w:szCs w:val="10"/>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4EAB32D5" w14:textId="32C5FCAF" w:rsidR="00DD543B" w:rsidRPr="004D5349" w:rsidRDefault="00DD543B" w:rsidP="00DD543B">
            <w:pPr>
              <w:jc w:val="right"/>
              <w:rPr>
                <w:sz w:val="10"/>
                <w:szCs w:val="10"/>
              </w:rPr>
            </w:pPr>
            <w:r w:rsidRPr="004D5349">
              <w:rPr>
                <w:rFonts w:ascii="Arial" w:hAnsi="Arial" w:cs="Arial"/>
                <w:color w:val="000000"/>
                <w:sz w:val="10"/>
                <w:szCs w:val="10"/>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18C9ECF9" w14:textId="707BA003" w:rsidR="00DD543B" w:rsidRPr="004D5349" w:rsidRDefault="00DD543B" w:rsidP="00DD543B">
            <w:pPr>
              <w:jc w:val="right"/>
              <w:rPr>
                <w:sz w:val="10"/>
                <w:szCs w:val="10"/>
              </w:rPr>
            </w:pPr>
            <w:r w:rsidRPr="004D5349">
              <w:rPr>
                <w:rFonts w:ascii="Arial" w:hAnsi="Arial" w:cs="Arial"/>
                <w:color w:val="000000"/>
                <w:sz w:val="10"/>
                <w:szCs w:val="10"/>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1594CCE6" w14:textId="51B67625" w:rsidR="00DD543B" w:rsidRPr="004D5349" w:rsidRDefault="00DD543B" w:rsidP="00DD543B">
            <w:pPr>
              <w:jc w:val="right"/>
              <w:rPr>
                <w:sz w:val="10"/>
                <w:szCs w:val="10"/>
              </w:rPr>
            </w:pPr>
            <w:r w:rsidRPr="004D5349">
              <w:rPr>
                <w:rFonts w:ascii="Arial" w:hAnsi="Arial" w:cs="Arial"/>
                <w:color w:val="000000"/>
                <w:sz w:val="10"/>
                <w:szCs w:val="1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08854F20" w14:textId="5FDF4860" w:rsidR="00DD543B" w:rsidRPr="004D5349" w:rsidRDefault="00DD543B" w:rsidP="00DD543B">
            <w:pPr>
              <w:jc w:val="right"/>
              <w:rPr>
                <w:sz w:val="10"/>
                <w:szCs w:val="10"/>
              </w:rPr>
            </w:pPr>
            <w:r w:rsidRPr="004D5349">
              <w:rPr>
                <w:rFonts w:ascii="Arial" w:hAnsi="Arial" w:cs="Arial"/>
                <w:color w:val="000000"/>
                <w:sz w:val="10"/>
                <w:szCs w:val="10"/>
              </w:rPr>
              <w:t> </w:t>
            </w:r>
          </w:p>
        </w:tc>
        <w:tc>
          <w:tcPr>
            <w:tcW w:w="1417" w:type="dxa"/>
            <w:tcBorders>
              <w:top w:val="nil"/>
              <w:left w:val="nil"/>
              <w:bottom w:val="single" w:sz="4" w:space="0" w:color="auto"/>
              <w:right w:val="single" w:sz="4" w:space="0" w:color="auto"/>
            </w:tcBorders>
            <w:shd w:val="clear" w:color="000000" w:fill="F2F2F2"/>
            <w:noWrap/>
            <w:vAlign w:val="bottom"/>
            <w:hideMark/>
          </w:tcPr>
          <w:p w14:paraId="7D39419C" w14:textId="13E86A09" w:rsidR="00DD543B" w:rsidRPr="004D5349" w:rsidRDefault="00DD543B" w:rsidP="00DD543B">
            <w:pPr>
              <w:jc w:val="right"/>
              <w:rPr>
                <w:sz w:val="10"/>
                <w:szCs w:val="10"/>
              </w:rPr>
            </w:pPr>
            <w:r w:rsidRPr="004D5349">
              <w:rPr>
                <w:rFonts w:ascii="Arial" w:hAnsi="Arial" w:cs="Arial"/>
                <w:color w:val="000000"/>
                <w:sz w:val="10"/>
                <w:szCs w:val="10"/>
              </w:rPr>
              <w:t> </w:t>
            </w:r>
          </w:p>
        </w:tc>
        <w:tc>
          <w:tcPr>
            <w:tcW w:w="1560" w:type="dxa"/>
            <w:tcBorders>
              <w:top w:val="nil"/>
              <w:left w:val="nil"/>
              <w:bottom w:val="single" w:sz="4" w:space="0" w:color="auto"/>
              <w:right w:val="single" w:sz="4" w:space="0" w:color="auto"/>
            </w:tcBorders>
            <w:shd w:val="clear" w:color="000000" w:fill="F2F2F2"/>
            <w:noWrap/>
            <w:vAlign w:val="bottom"/>
            <w:hideMark/>
          </w:tcPr>
          <w:p w14:paraId="1896E659" w14:textId="5638A8F8" w:rsidR="00DD543B" w:rsidRPr="004D5349" w:rsidRDefault="00DD543B" w:rsidP="00DD543B">
            <w:pPr>
              <w:jc w:val="right"/>
              <w:rPr>
                <w:sz w:val="10"/>
                <w:szCs w:val="10"/>
              </w:rPr>
            </w:pPr>
            <w:r w:rsidRPr="004D5349">
              <w:rPr>
                <w:rFonts w:ascii="Arial" w:hAnsi="Arial" w:cs="Arial"/>
                <w:color w:val="000000"/>
                <w:sz w:val="10"/>
                <w:szCs w:val="10"/>
              </w:rPr>
              <w:t> </w:t>
            </w:r>
          </w:p>
        </w:tc>
      </w:tr>
      <w:tr w:rsidR="009C6598" w:rsidRPr="00CD15C6" w14:paraId="4E6A38C0"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25953FF4" w14:textId="49656992" w:rsidR="00DD543B" w:rsidRPr="00CD15C6" w:rsidRDefault="00DD543B" w:rsidP="00DD543B">
            <w:pPr>
              <w:rPr>
                <w:rFonts w:ascii="Arial" w:hAnsi="Arial" w:cs="Arial"/>
                <w:color w:val="000000"/>
                <w:sz w:val="18"/>
                <w:szCs w:val="18"/>
              </w:rPr>
            </w:pPr>
            <w:r>
              <w:rPr>
                <w:rFonts w:ascii="Arial" w:hAnsi="Arial" w:cs="Arial"/>
                <w:color w:val="000000"/>
                <w:sz w:val="18"/>
                <w:szCs w:val="18"/>
              </w:rPr>
              <w:t xml:space="preserve">Assistant Chief Constable - Territorial Operations </w:t>
            </w:r>
          </w:p>
        </w:tc>
        <w:tc>
          <w:tcPr>
            <w:tcW w:w="850" w:type="dxa"/>
            <w:tcBorders>
              <w:top w:val="nil"/>
              <w:left w:val="nil"/>
              <w:bottom w:val="single" w:sz="4" w:space="0" w:color="auto"/>
              <w:right w:val="single" w:sz="4" w:space="0" w:color="auto"/>
            </w:tcBorders>
            <w:shd w:val="clear" w:color="000000" w:fill="F2F2F2"/>
            <w:vAlign w:val="bottom"/>
            <w:hideMark/>
          </w:tcPr>
          <w:p w14:paraId="69C33B32" w14:textId="753624C7" w:rsidR="00DD543B" w:rsidRPr="00CD15C6" w:rsidRDefault="00DD543B" w:rsidP="00DD543B">
            <w:pPr>
              <w:rPr>
                <w:rFonts w:ascii="Arial" w:hAnsi="Arial" w:cs="Arial"/>
                <w:color w:val="000000"/>
                <w:sz w:val="18"/>
                <w:szCs w:val="18"/>
              </w:rPr>
            </w:pPr>
            <w:r>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01C2D8EA" w14:textId="2EEDDEF6"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120,192</w:t>
            </w:r>
          </w:p>
        </w:tc>
        <w:tc>
          <w:tcPr>
            <w:tcW w:w="1276" w:type="dxa"/>
            <w:tcBorders>
              <w:top w:val="nil"/>
              <w:left w:val="nil"/>
              <w:bottom w:val="single" w:sz="4" w:space="0" w:color="auto"/>
              <w:right w:val="single" w:sz="4" w:space="0" w:color="auto"/>
            </w:tcBorders>
            <w:shd w:val="clear" w:color="000000" w:fill="F2F2F2"/>
            <w:noWrap/>
            <w:vAlign w:val="bottom"/>
            <w:hideMark/>
          </w:tcPr>
          <w:p w14:paraId="2B084421" w14:textId="768F3F28"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772A6587" w14:textId="1B73FE69"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3085DE16" w14:textId="4BF3B445"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1AA5B727" w14:textId="5F57A8C3" w:rsidR="00DD543B" w:rsidRPr="00CD15C6" w:rsidRDefault="00DD543B"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62701FBE" w14:textId="22835C0F"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120,192</w:t>
            </w:r>
          </w:p>
        </w:tc>
        <w:tc>
          <w:tcPr>
            <w:tcW w:w="1417" w:type="dxa"/>
            <w:tcBorders>
              <w:top w:val="nil"/>
              <w:left w:val="nil"/>
              <w:bottom w:val="single" w:sz="4" w:space="0" w:color="auto"/>
              <w:right w:val="single" w:sz="4" w:space="0" w:color="auto"/>
            </w:tcBorders>
            <w:shd w:val="clear" w:color="000000" w:fill="F2F2F2"/>
            <w:noWrap/>
            <w:vAlign w:val="bottom"/>
            <w:hideMark/>
          </w:tcPr>
          <w:p w14:paraId="027EAE4B" w14:textId="613D28E3"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42,352</w:t>
            </w:r>
          </w:p>
        </w:tc>
        <w:tc>
          <w:tcPr>
            <w:tcW w:w="1560" w:type="dxa"/>
            <w:tcBorders>
              <w:top w:val="nil"/>
              <w:left w:val="nil"/>
              <w:bottom w:val="single" w:sz="4" w:space="0" w:color="auto"/>
              <w:right w:val="single" w:sz="4" w:space="0" w:color="auto"/>
            </w:tcBorders>
            <w:shd w:val="clear" w:color="000000" w:fill="F2F2F2"/>
            <w:noWrap/>
            <w:vAlign w:val="bottom"/>
            <w:hideMark/>
          </w:tcPr>
          <w:p w14:paraId="50F126CC" w14:textId="495FFBD5"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162,544</w:t>
            </w:r>
          </w:p>
        </w:tc>
      </w:tr>
      <w:tr w:rsidR="009C6598" w:rsidRPr="00CD15C6" w14:paraId="4AFD0E97" w14:textId="77777777" w:rsidTr="00C75839">
        <w:trPr>
          <w:trHeight w:val="61"/>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5C100A05" w14:textId="5E9521C2" w:rsidR="00DD543B" w:rsidRPr="004D5349" w:rsidRDefault="00DD543B" w:rsidP="00DD543B">
            <w:pPr>
              <w:rPr>
                <w:rFonts w:ascii="Arial" w:hAnsi="Arial" w:cs="Arial"/>
                <w:color w:val="000000"/>
                <w:sz w:val="10"/>
                <w:szCs w:val="10"/>
              </w:rPr>
            </w:pPr>
            <w:r w:rsidRPr="004D5349">
              <w:rPr>
                <w:rFonts w:ascii="Arial" w:hAnsi="Arial" w:cs="Arial"/>
                <w:color w:val="000000"/>
                <w:sz w:val="10"/>
                <w:szCs w:val="10"/>
              </w:rPr>
              <w:t> </w:t>
            </w:r>
          </w:p>
        </w:tc>
        <w:tc>
          <w:tcPr>
            <w:tcW w:w="850" w:type="dxa"/>
            <w:tcBorders>
              <w:top w:val="nil"/>
              <w:left w:val="nil"/>
              <w:bottom w:val="single" w:sz="4" w:space="0" w:color="auto"/>
              <w:right w:val="single" w:sz="4" w:space="0" w:color="auto"/>
            </w:tcBorders>
            <w:shd w:val="clear" w:color="000000" w:fill="F2F2F2"/>
            <w:vAlign w:val="bottom"/>
            <w:hideMark/>
          </w:tcPr>
          <w:p w14:paraId="6E5D4DB6" w14:textId="2E3FCC0F" w:rsidR="00DD543B" w:rsidRPr="004D5349" w:rsidRDefault="00DD543B" w:rsidP="00DD543B">
            <w:pPr>
              <w:rPr>
                <w:rFonts w:ascii="Arial" w:hAnsi="Arial" w:cs="Arial"/>
                <w:color w:val="000000"/>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0C7B2E8A" w14:textId="48794686"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6CB51B81" w14:textId="6F935E77"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7AED069E" w14:textId="0F382376"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7223C4D2" w14:textId="77B51777"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61429C01" w14:textId="795239DF" w:rsidR="00DD543B" w:rsidRPr="004D5349" w:rsidRDefault="00DD543B" w:rsidP="00DD543B">
            <w:pPr>
              <w:jc w:val="right"/>
              <w:rPr>
                <w:sz w:val="10"/>
                <w:szCs w:val="10"/>
              </w:rPr>
            </w:pPr>
            <w:r w:rsidRPr="004D5349">
              <w:rPr>
                <w:rFonts w:ascii="Arial" w:hAnsi="Arial" w:cs="Arial"/>
                <w:color w:val="000000"/>
                <w:sz w:val="10"/>
                <w:szCs w:val="1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5367CBF9" w14:textId="599A8532"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417" w:type="dxa"/>
            <w:tcBorders>
              <w:top w:val="nil"/>
              <w:left w:val="nil"/>
              <w:bottom w:val="single" w:sz="4" w:space="0" w:color="auto"/>
              <w:right w:val="single" w:sz="4" w:space="0" w:color="auto"/>
            </w:tcBorders>
            <w:shd w:val="clear" w:color="000000" w:fill="F2F2F2"/>
            <w:noWrap/>
            <w:vAlign w:val="bottom"/>
            <w:hideMark/>
          </w:tcPr>
          <w:p w14:paraId="5008E1BA" w14:textId="20073CE8"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560" w:type="dxa"/>
            <w:tcBorders>
              <w:top w:val="nil"/>
              <w:left w:val="nil"/>
              <w:bottom w:val="single" w:sz="4" w:space="0" w:color="auto"/>
              <w:right w:val="single" w:sz="4" w:space="0" w:color="auto"/>
            </w:tcBorders>
            <w:shd w:val="clear" w:color="000000" w:fill="F2F2F2"/>
            <w:noWrap/>
            <w:vAlign w:val="bottom"/>
            <w:hideMark/>
          </w:tcPr>
          <w:p w14:paraId="7FC88757" w14:textId="4D1CA0D2"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r>
      <w:tr w:rsidR="009C6598" w:rsidRPr="00CD15C6" w14:paraId="7269C7FC"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6925859A" w14:textId="2A2DFB29" w:rsidR="00DD543B" w:rsidRPr="00CD15C6" w:rsidRDefault="00DD543B" w:rsidP="00DD543B">
            <w:pPr>
              <w:rPr>
                <w:rFonts w:ascii="Arial" w:hAnsi="Arial" w:cs="Arial"/>
                <w:color w:val="000000"/>
                <w:sz w:val="18"/>
                <w:szCs w:val="18"/>
              </w:rPr>
            </w:pPr>
            <w:r>
              <w:rPr>
                <w:rFonts w:ascii="Arial" w:hAnsi="Arial" w:cs="Arial"/>
                <w:color w:val="000000"/>
                <w:sz w:val="18"/>
                <w:szCs w:val="18"/>
              </w:rPr>
              <w:t xml:space="preserve">Assistant Chief Constable - Specialist Operations </w:t>
            </w:r>
            <w:r w:rsidR="000F4C6D">
              <w:rPr>
                <w:rFonts w:ascii="Arial" w:hAnsi="Arial" w:cs="Arial"/>
                <w:color w:val="000000"/>
                <w:sz w:val="18"/>
                <w:szCs w:val="18"/>
              </w:rPr>
              <w:t>E</w:t>
            </w:r>
          </w:p>
        </w:tc>
        <w:tc>
          <w:tcPr>
            <w:tcW w:w="850" w:type="dxa"/>
            <w:tcBorders>
              <w:top w:val="nil"/>
              <w:left w:val="nil"/>
              <w:bottom w:val="single" w:sz="4" w:space="0" w:color="auto"/>
              <w:right w:val="single" w:sz="4" w:space="0" w:color="auto"/>
            </w:tcBorders>
            <w:shd w:val="clear" w:color="000000" w:fill="F2F2F2"/>
            <w:vAlign w:val="bottom"/>
            <w:hideMark/>
          </w:tcPr>
          <w:p w14:paraId="5F836179" w14:textId="3E9C3306" w:rsidR="00DD543B" w:rsidRPr="00CD15C6" w:rsidRDefault="00DD543B" w:rsidP="00DD543B">
            <w:pPr>
              <w:rPr>
                <w:rFonts w:ascii="Arial" w:hAnsi="Arial" w:cs="Arial"/>
                <w:color w:val="000000"/>
                <w:sz w:val="18"/>
                <w:szCs w:val="18"/>
              </w:rPr>
            </w:pPr>
            <w:r>
              <w:rPr>
                <w:rFonts w:ascii="Arial" w:hAnsi="Arial" w:cs="Arial"/>
                <w:color w:val="000000"/>
                <w:sz w:val="18"/>
                <w:szCs w:val="18"/>
              </w:rPr>
              <w:t xml:space="preserve">Note </w:t>
            </w:r>
            <w:r w:rsidR="00FC1B33">
              <w:rPr>
                <w:rFonts w:ascii="Arial" w:hAnsi="Arial" w:cs="Arial"/>
                <w:color w:val="000000"/>
                <w:sz w:val="18"/>
                <w:szCs w:val="18"/>
              </w:rPr>
              <w:t>4</w:t>
            </w:r>
          </w:p>
        </w:tc>
        <w:tc>
          <w:tcPr>
            <w:tcW w:w="1276" w:type="dxa"/>
            <w:tcBorders>
              <w:top w:val="nil"/>
              <w:left w:val="nil"/>
              <w:bottom w:val="single" w:sz="4" w:space="0" w:color="auto"/>
              <w:right w:val="single" w:sz="4" w:space="0" w:color="auto"/>
            </w:tcBorders>
            <w:shd w:val="clear" w:color="000000" w:fill="F2F2F2"/>
            <w:noWrap/>
            <w:vAlign w:val="bottom"/>
            <w:hideMark/>
          </w:tcPr>
          <w:p w14:paraId="4E3F5AD0" w14:textId="05943EA5"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55,031</w:t>
            </w:r>
          </w:p>
        </w:tc>
        <w:tc>
          <w:tcPr>
            <w:tcW w:w="1276" w:type="dxa"/>
            <w:tcBorders>
              <w:top w:val="nil"/>
              <w:left w:val="nil"/>
              <w:bottom w:val="single" w:sz="4" w:space="0" w:color="auto"/>
              <w:right w:val="single" w:sz="4" w:space="0" w:color="auto"/>
            </w:tcBorders>
            <w:shd w:val="clear" w:color="000000" w:fill="F2F2F2"/>
            <w:noWrap/>
            <w:vAlign w:val="bottom"/>
            <w:hideMark/>
          </w:tcPr>
          <w:p w14:paraId="6F8BC111" w14:textId="2333E841"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5F7A8B68" w14:textId="592E092D"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7B42F3B6" w14:textId="5622E67A"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528C92A3" w14:textId="13F0BC13" w:rsidR="00DD543B" w:rsidRPr="00CD15C6" w:rsidRDefault="00DD543B"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75E26B6D" w14:textId="692FE6AE"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55,031</w:t>
            </w:r>
          </w:p>
        </w:tc>
        <w:tc>
          <w:tcPr>
            <w:tcW w:w="1417" w:type="dxa"/>
            <w:tcBorders>
              <w:top w:val="nil"/>
              <w:left w:val="nil"/>
              <w:bottom w:val="single" w:sz="4" w:space="0" w:color="auto"/>
              <w:right w:val="single" w:sz="4" w:space="0" w:color="auto"/>
            </w:tcBorders>
            <w:shd w:val="clear" w:color="000000" w:fill="F2F2F2"/>
            <w:noWrap/>
            <w:vAlign w:val="bottom"/>
            <w:hideMark/>
          </w:tcPr>
          <w:p w14:paraId="0A402A3D" w14:textId="4E3A62D7"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19,062</w:t>
            </w:r>
          </w:p>
        </w:tc>
        <w:tc>
          <w:tcPr>
            <w:tcW w:w="1560" w:type="dxa"/>
            <w:tcBorders>
              <w:top w:val="nil"/>
              <w:left w:val="nil"/>
              <w:bottom w:val="single" w:sz="4" w:space="0" w:color="auto"/>
              <w:right w:val="single" w:sz="4" w:space="0" w:color="auto"/>
            </w:tcBorders>
            <w:shd w:val="clear" w:color="000000" w:fill="F2F2F2"/>
            <w:noWrap/>
            <w:vAlign w:val="bottom"/>
            <w:hideMark/>
          </w:tcPr>
          <w:p w14:paraId="5AA12087" w14:textId="50ABA48C"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74,093</w:t>
            </w:r>
          </w:p>
        </w:tc>
      </w:tr>
      <w:tr w:rsidR="009C6598" w:rsidRPr="00CD15C6" w14:paraId="3B942A65"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5F2A12CB" w14:textId="13528ED7" w:rsidR="00DD543B" w:rsidRPr="00CD15C6" w:rsidRDefault="00DD543B" w:rsidP="00DD543B">
            <w:pPr>
              <w:rPr>
                <w:rFonts w:ascii="Arial" w:hAnsi="Arial" w:cs="Arial"/>
                <w:color w:val="000000"/>
                <w:sz w:val="18"/>
                <w:szCs w:val="18"/>
              </w:rPr>
            </w:pPr>
            <w:r>
              <w:rPr>
                <w:rFonts w:ascii="Arial" w:hAnsi="Arial" w:cs="Arial"/>
                <w:color w:val="000000"/>
                <w:sz w:val="18"/>
                <w:szCs w:val="18"/>
              </w:rPr>
              <w:t xml:space="preserve">Assistant Chief Constable - Specialist Operations </w:t>
            </w:r>
            <w:r w:rsidR="000F4C6D">
              <w:rPr>
                <w:rFonts w:ascii="Arial" w:hAnsi="Arial" w:cs="Arial"/>
                <w:color w:val="000000"/>
                <w:sz w:val="18"/>
                <w:szCs w:val="18"/>
              </w:rPr>
              <w:t>F</w:t>
            </w:r>
          </w:p>
        </w:tc>
        <w:tc>
          <w:tcPr>
            <w:tcW w:w="850" w:type="dxa"/>
            <w:tcBorders>
              <w:top w:val="nil"/>
              <w:left w:val="nil"/>
              <w:bottom w:val="single" w:sz="4" w:space="0" w:color="auto"/>
              <w:right w:val="single" w:sz="4" w:space="0" w:color="auto"/>
            </w:tcBorders>
            <w:shd w:val="clear" w:color="000000" w:fill="F2F2F2"/>
            <w:vAlign w:val="bottom"/>
            <w:hideMark/>
          </w:tcPr>
          <w:p w14:paraId="6C1FE683" w14:textId="2D1A38E9" w:rsidR="00DD543B" w:rsidRPr="00CD15C6" w:rsidRDefault="00DD543B" w:rsidP="00DD543B">
            <w:r>
              <w:rPr>
                <w:rFonts w:ascii="Arial" w:hAnsi="Arial" w:cs="Arial"/>
                <w:color w:val="000000"/>
                <w:sz w:val="18"/>
                <w:szCs w:val="18"/>
              </w:rPr>
              <w:t xml:space="preserve">Note </w:t>
            </w:r>
            <w:r w:rsidR="00FC1B33">
              <w:rPr>
                <w:rFonts w:ascii="Arial" w:hAnsi="Arial" w:cs="Arial"/>
                <w:color w:val="000000"/>
                <w:sz w:val="18"/>
                <w:szCs w:val="18"/>
              </w:rPr>
              <w:t>4</w:t>
            </w:r>
          </w:p>
        </w:tc>
        <w:tc>
          <w:tcPr>
            <w:tcW w:w="1276" w:type="dxa"/>
            <w:tcBorders>
              <w:top w:val="nil"/>
              <w:left w:val="nil"/>
              <w:bottom w:val="single" w:sz="4" w:space="0" w:color="auto"/>
              <w:right w:val="single" w:sz="4" w:space="0" w:color="auto"/>
            </w:tcBorders>
            <w:shd w:val="clear" w:color="000000" w:fill="F2F2F2"/>
            <w:noWrap/>
            <w:vAlign w:val="bottom"/>
            <w:hideMark/>
          </w:tcPr>
          <w:p w14:paraId="1EDB1798" w14:textId="2540DBEE" w:rsidR="00DD543B" w:rsidRPr="00CD15C6" w:rsidRDefault="00590072" w:rsidP="00DD543B">
            <w:pPr>
              <w:jc w:val="right"/>
            </w:pPr>
            <w:r>
              <w:rPr>
                <w:rFonts w:ascii="Arial" w:hAnsi="Arial" w:cs="Arial"/>
                <w:color w:val="000000"/>
                <w:sz w:val="18"/>
                <w:szCs w:val="18"/>
              </w:rPr>
              <w:t>68</w:t>
            </w:r>
            <w:r w:rsidR="00DD543B">
              <w:rPr>
                <w:rFonts w:ascii="Arial" w:hAnsi="Arial" w:cs="Arial"/>
                <w:color w:val="000000"/>
                <w:sz w:val="18"/>
                <w:szCs w:val="18"/>
              </w:rPr>
              <w:t>,</w:t>
            </w:r>
            <w:r>
              <w:rPr>
                <w:rFonts w:ascii="Arial" w:hAnsi="Arial" w:cs="Arial"/>
                <w:color w:val="000000"/>
                <w:sz w:val="18"/>
                <w:szCs w:val="18"/>
              </w:rPr>
              <w:t>395</w:t>
            </w:r>
          </w:p>
        </w:tc>
        <w:tc>
          <w:tcPr>
            <w:tcW w:w="1276" w:type="dxa"/>
            <w:tcBorders>
              <w:top w:val="nil"/>
              <w:left w:val="nil"/>
              <w:bottom w:val="single" w:sz="4" w:space="0" w:color="auto"/>
              <w:right w:val="single" w:sz="4" w:space="0" w:color="auto"/>
            </w:tcBorders>
            <w:shd w:val="clear" w:color="000000" w:fill="F2F2F2"/>
            <w:noWrap/>
            <w:vAlign w:val="bottom"/>
            <w:hideMark/>
          </w:tcPr>
          <w:p w14:paraId="5624DA30" w14:textId="529B4471" w:rsidR="00DD543B" w:rsidRPr="00CD15C6" w:rsidRDefault="00DD543B" w:rsidP="00DD543B">
            <w:pPr>
              <w:jc w:val="right"/>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5ED35793" w14:textId="299D862F" w:rsidR="00DD543B" w:rsidRPr="00CD15C6" w:rsidRDefault="00DD543B" w:rsidP="00DD543B">
            <w:pPr>
              <w:jc w:val="right"/>
            </w:pPr>
            <w:r>
              <w:rPr>
                <w:rFonts w:ascii="Arial" w:hAnsi="Arial" w:cs="Arial"/>
                <w:color w:val="000000"/>
                <w:sz w:val="18"/>
                <w:szCs w:val="18"/>
              </w:rPr>
              <w:t>456</w:t>
            </w:r>
          </w:p>
        </w:tc>
        <w:tc>
          <w:tcPr>
            <w:tcW w:w="1134" w:type="dxa"/>
            <w:tcBorders>
              <w:top w:val="nil"/>
              <w:left w:val="nil"/>
              <w:bottom w:val="single" w:sz="4" w:space="0" w:color="auto"/>
              <w:right w:val="single" w:sz="4" w:space="0" w:color="auto"/>
            </w:tcBorders>
            <w:shd w:val="clear" w:color="000000" w:fill="F2F2F2"/>
            <w:noWrap/>
            <w:vAlign w:val="bottom"/>
            <w:hideMark/>
          </w:tcPr>
          <w:p w14:paraId="6CD39112" w14:textId="1B317877" w:rsidR="00DD543B" w:rsidRPr="00CD15C6" w:rsidRDefault="00DD543B"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0B71443F" w14:textId="53E73A55" w:rsidR="00DD543B" w:rsidRPr="00CD15C6" w:rsidRDefault="00DD543B"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1353DD29" w14:textId="31031B29" w:rsidR="00DD543B" w:rsidRPr="00CD15C6" w:rsidRDefault="00CA240B" w:rsidP="00DD543B">
            <w:pPr>
              <w:jc w:val="right"/>
            </w:pPr>
            <w:r>
              <w:rPr>
                <w:rFonts w:ascii="Arial" w:hAnsi="Arial" w:cs="Arial"/>
                <w:color w:val="000000"/>
                <w:sz w:val="18"/>
                <w:szCs w:val="18"/>
              </w:rPr>
              <w:t>68</w:t>
            </w:r>
            <w:r w:rsidR="00DD543B">
              <w:rPr>
                <w:rFonts w:ascii="Arial" w:hAnsi="Arial" w:cs="Arial"/>
                <w:color w:val="000000"/>
                <w:sz w:val="18"/>
                <w:szCs w:val="18"/>
              </w:rPr>
              <w:t>,</w:t>
            </w:r>
            <w:r>
              <w:rPr>
                <w:rFonts w:ascii="Arial" w:hAnsi="Arial" w:cs="Arial"/>
                <w:color w:val="000000"/>
                <w:sz w:val="18"/>
                <w:szCs w:val="18"/>
              </w:rPr>
              <w:t>851</w:t>
            </w:r>
          </w:p>
        </w:tc>
        <w:tc>
          <w:tcPr>
            <w:tcW w:w="1417" w:type="dxa"/>
            <w:tcBorders>
              <w:top w:val="nil"/>
              <w:left w:val="nil"/>
              <w:bottom w:val="single" w:sz="4" w:space="0" w:color="auto"/>
              <w:right w:val="single" w:sz="4" w:space="0" w:color="auto"/>
            </w:tcBorders>
            <w:shd w:val="clear" w:color="000000" w:fill="F2F2F2"/>
            <w:noWrap/>
            <w:vAlign w:val="bottom"/>
            <w:hideMark/>
          </w:tcPr>
          <w:p w14:paraId="1358312F" w14:textId="1B8F5299" w:rsidR="00DD543B" w:rsidRPr="00CD15C6" w:rsidRDefault="00DD543B" w:rsidP="00DD543B">
            <w:pPr>
              <w:jc w:val="right"/>
            </w:pPr>
            <w:r>
              <w:rPr>
                <w:rFonts w:ascii="Arial" w:hAnsi="Arial" w:cs="Arial"/>
                <w:color w:val="000000"/>
                <w:sz w:val="18"/>
                <w:szCs w:val="18"/>
              </w:rPr>
              <w:t>23,711</w:t>
            </w:r>
          </w:p>
        </w:tc>
        <w:tc>
          <w:tcPr>
            <w:tcW w:w="1560" w:type="dxa"/>
            <w:tcBorders>
              <w:top w:val="nil"/>
              <w:left w:val="nil"/>
              <w:bottom w:val="single" w:sz="4" w:space="0" w:color="auto"/>
              <w:right w:val="single" w:sz="4" w:space="0" w:color="auto"/>
            </w:tcBorders>
            <w:shd w:val="clear" w:color="000000" w:fill="F2F2F2"/>
            <w:noWrap/>
            <w:vAlign w:val="bottom"/>
            <w:hideMark/>
          </w:tcPr>
          <w:p w14:paraId="39638FE6" w14:textId="2DBDDB7F" w:rsidR="00DD543B" w:rsidRPr="00CD15C6" w:rsidRDefault="00DD543B" w:rsidP="00DD543B">
            <w:pPr>
              <w:jc w:val="right"/>
            </w:pPr>
            <w:r>
              <w:rPr>
                <w:rFonts w:ascii="Arial" w:hAnsi="Arial" w:cs="Arial"/>
                <w:color w:val="000000"/>
                <w:sz w:val="18"/>
                <w:szCs w:val="18"/>
              </w:rPr>
              <w:t>9</w:t>
            </w:r>
            <w:r w:rsidR="00D25C0E">
              <w:rPr>
                <w:rFonts w:ascii="Arial" w:hAnsi="Arial" w:cs="Arial"/>
                <w:color w:val="000000"/>
                <w:sz w:val="18"/>
                <w:szCs w:val="18"/>
              </w:rPr>
              <w:t>2</w:t>
            </w:r>
            <w:r>
              <w:rPr>
                <w:rFonts w:ascii="Arial" w:hAnsi="Arial" w:cs="Arial"/>
                <w:color w:val="000000"/>
                <w:sz w:val="18"/>
                <w:szCs w:val="18"/>
              </w:rPr>
              <w:t>,</w:t>
            </w:r>
            <w:r w:rsidR="00D25C0E">
              <w:rPr>
                <w:rFonts w:ascii="Arial" w:hAnsi="Arial" w:cs="Arial"/>
                <w:color w:val="000000"/>
                <w:sz w:val="18"/>
                <w:szCs w:val="18"/>
              </w:rPr>
              <w:t>562</w:t>
            </w:r>
          </w:p>
        </w:tc>
      </w:tr>
      <w:tr w:rsidR="009C6598" w:rsidRPr="00CD15C6" w14:paraId="449ECBCD"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3E2B353D" w14:textId="3842A8AD" w:rsidR="00DD543B" w:rsidRPr="00CD15C6" w:rsidRDefault="00DD543B" w:rsidP="00DD543B">
            <w:pPr>
              <w:rPr>
                <w:rFonts w:ascii="Arial" w:hAnsi="Arial" w:cs="Arial"/>
                <w:color w:val="000000"/>
                <w:sz w:val="18"/>
                <w:szCs w:val="18"/>
              </w:rPr>
            </w:pPr>
            <w:r>
              <w:rPr>
                <w:rFonts w:ascii="Arial" w:hAnsi="Arial" w:cs="Arial"/>
                <w:color w:val="000000"/>
                <w:sz w:val="18"/>
                <w:szCs w:val="18"/>
              </w:rPr>
              <w:t xml:space="preserve">Assistant Chief Constable - Specialist Operations </w:t>
            </w:r>
            <w:r w:rsidR="000F4C6D">
              <w:rPr>
                <w:rFonts w:ascii="Arial" w:hAnsi="Arial" w:cs="Arial"/>
                <w:color w:val="000000"/>
                <w:sz w:val="18"/>
                <w:szCs w:val="18"/>
              </w:rPr>
              <w:t>G</w:t>
            </w:r>
          </w:p>
        </w:tc>
        <w:tc>
          <w:tcPr>
            <w:tcW w:w="850" w:type="dxa"/>
            <w:tcBorders>
              <w:top w:val="nil"/>
              <w:left w:val="nil"/>
              <w:bottom w:val="single" w:sz="4" w:space="0" w:color="auto"/>
              <w:right w:val="single" w:sz="4" w:space="0" w:color="auto"/>
            </w:tcBorders>
            <w:shd w:val="clear" w:color="000000" w:fill="F2F2F2"/>
            <w:vAlign w:val="bottom"/>
            <w:hideMark/>
          </w:tcPr>
          <w:p w14:paraId="1AA6491E" w14:textId="1D380CF9" w:rsidR="00DD543B" w:rsidRPr="00CD15C6" w:rsidRDefault="00DD543B" w:rsidP="00DD543B">
            <w:pPr>
              <w:rPr>
                <w:rFonts w:ascii="Arial" w:hAnsi="Arial" w:cs="Arial"/>
                <w:color w:val="000000"/>
                <w:sz w:val="18"/>
                <w:szCs w:val="18"/>
              </w:rPr>
            </w:pPr>
            <w:r>
              <w:rPr>
                <w:rFonts w:ascii="Arial" w:hAnsi="Arial" w:cs="Arial"/>
                <w:color w:val="000000"/>
                <w:sz w:val="18"/>
                <w:szCs w:val="18"/>
              </w:rPr>
              <w:t xml:space="preserve">Note </w:t>
            </w:r>
            <w:r w:rsidR="00FC1B33">
              <w:rPr>
                <w:rFonts w:ascii="Arial" w:hAnsi="Arial" w:cs="Arial"/>
                <w:color w:val="000000"/>
                <w:sz w:val="18"/>
                <w:szCs w:val="18"/>
              </w:rPr>
              <w:t>4</w:t>
            </w:r>
          </w:p>
        </w:tc>
        <w:tc>
          <w:tcPr>
            <w:tcW w:w="1276" w:type="dxa"/>
            <w:tcBorders>
              <w:top w:val="nil"/>
              <w:left w:val="nil"/>
              <w:bottom w:val="single" w:sz="4" w:space="0" w:color="auto"/>
              <w:right w:val="single" w:sz="4" w:space="0" w:color="auto"/>
            </w:tcBorders>
            <w:shd w:val="clear" w:color="000000" w:fill="F2F2F2"/>
            <w:vAlign w:val="bottom"/>
            <w:hideMark/>
          </w:tcPr>
          <w:p w14:paraId="784FC336" w14:textId="058EEFA6"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11,842</w:t>
            </w:r>
          </w:p>
        </w:tc>
        <w:tc>
          <w:tcPr>
            <w:tcW w:w="1276" w:type="dxa"/>
            <w:tcBorders>
              <w:top w:val="nil"/>
              <w:left w:val="nil"/>
              <w:bottom w:val="single" w:sz="4" w:space="0" w:color="auto"/>
              <w:right w:val="single" w:sz="4" w:space="0" w:color="auto"/>
            </w:tcBorders>
            <w:shd w:val="clear" w:color="000000" w:fill="F2F2F2"/>
            <w:noWrap/>
            <w:vAlign w:val="bottom"/>
            <w:hideMark/>
          </w:tcPr>
          <w:p w14:paraId="2700DB1D" w14:textId="578C6C2D"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66E2C1F9" w14:textId="55F8B008"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24385084" w14:textId="40860C1B"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1F759060" w14:textId="718B428B" w:rsidR="00DD543B" w:rsidRPr="00CD15C6" w:rsidRDefault="00DD543B"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7C308418" w14:textId="2FC99D0D"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11,842</w:t>
            </w:r>
          </w:p>
        </w:tc>
        <w:tc>
          <w:tcPr>
            <w:tcW w:w="1417" w:type="dxa"/>
            <w:tcBorders>
              <w:top w:val="nil"/>
              <w:left w:val="nil"/>
              <w:bottom w:val="single" w:sz="4" w:space="0" w:color="auto"/>
              <w:right w:val="single" w:sz="4" w:space="0" w:color="auto"/>
            </w:tcBorders>
            <w:shd w:val="clear" w:color="000000" w:fill="F2F2F2"/>
            <w:noWrap/>
            <w:vAlign w:val="bottom"/>
            <w:hideMark/>
          </w:tcPr>
          <w:p w14:paraId="6C488906" w14:textId="1E459D6F"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4,137</w:t>
            </w:r>
          </w:p>
        </w:tc>
        <w:tc>
          <w:tcPr>
            <w:tcW w:w="1560" w:type="dxa"/>
            <w:tcBorders>
              <w:top w:val="nil"/>
              <w:left w:val="nil"/>
              <w:bottom w:val="single" w:sz="4" w:space="0" w:color="auto"/>
              <w:right w:val="single" w:sz="4" w:space="0" w:color="auto"/>
            </w:tcBorders>
            <w:shd w:val="clear" w:color="000000" w:fill="F2F2F2"/>
            <w:noWrap/>
            <w:vAlign w:val="bottom"/>
            <w:hideMark/>
          </w:tcPr>
          <w:p w14:paraId="35BD9235" w14:textId="1D3C020D"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15,979</w:t>
            </w:r>
          </w:p>
        </w:tc>
      </w:tr>
      <w:tr w:rsidR="009C6598" w:rsidRPr="00CD15C6" w14:paraId="016144C9" w14:textId="77777777" w:rsidTr="00C75839">
        <w:trPr>
          <w:trHeight w:val="121"/>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1AFD5B6E" w14:textId="5D404393" w:rsidR="00DD543B" w:rsidRPr="004D5349" w:rsidRDefault="00DD543B" w:rsidP="00DD543B">
            <w:pPr>
              <w:rPr>
                <w:rFonts w:ascii="Arial" w:hAnsi="Arial" w:cs="Arial"/>
                <w:color w:val="000000"/>
                <w:sz w:val="10"/>
                <w:szCs w:val="10"/>
              </w:rPr>
            </w:pPr>
            <w:r w:rsidRPr="004D5349">
              <w:rPr>
                <w:rFonts w:ascii="Arial" w:hAnsi="Arial" w:cs="Arial"/>
                <w:color w:val="000000"/>
                <w:sz w:val="10"/>
                <w:szCs w:val="10"/>
              </w:rPr>
              <w:t> </w:t>
            </w:r>
          </w:p>
        </w:tc>
        <w:tc>
          <w:tcPr>
            <w:tcW w:w="850" w:type="dxa"/>
            <w:tcBorders>
              <w:top w:val="nil"/>
              <w:left w:val="nil"/>
              <w:bottom w:val="single" w:sz="4" w:space="0" w:color="auto"/>
              <w:right w:val="single" w:sz="4" w:space="0" w:color="auto"/>
            </w:tcBorders>
            <w:shd w:val="clear" w:color="000000" w:fill="F2F2F2"/>
            <w:vAlign w:val="bottom"/>
            <w:hideMark/>
          </w:tcPr>
          <w:p w14:paraId="04A94A47" w14:textId="4D1011CB" w:rsidR="00DD543B" w:rsidRPr="004D5349" w:rsidRDefault="00DD543B" w:rsidP="00DD543B">
            <w:pPr>
              <w:rPr>
                <w:rFonts w:ascii="Arial" w:hAnsi="Arial" w:cs="Arial"/>
                <w:color w:val="000000"/>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vAlign w:val="bottom"/>
            <w:hideMark/>
          </w:tcPr>
          <w:p w14:paraId="6D934BEC" w14:textId="75A51ABE"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46D49D89" w14:textId="59FFF39E"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65AC73E6" w14:textId="51854309"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23E7244F" w14:textId="0069A456"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7568B7CC" w14:textId="6FD23894" w:rsidR="00DD543B" w:rsidRPr="004D5349" w:rsidRDefault="00DD543B" w:rsidP="00DD543B">
            <w:pPr>
              <w:jc w:val="right"/>
              <w:rPr>
                <w:sz w:val="10"/>
                <w:szCs w:val="10"/>
              </w:rPr>
            </w:pPr>
            <w:r w:rsidRPr="004D5349">
              <w:rPr>
                <w:rFonts w:ascii="Arial" w:hAnsi="Arial" w:cs="Arial"/>
                <w:color w:val="000000"/>
                <w:sz w:val="10"/>
                <w:szCs w:val="1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4D6009CA" w14:textId="738C8393"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417" w:type="dxa"/>
            <w:tcBorders>
              <w:top w:val="nil"/>
              <w:left w:val="nil"/>
              <w:bottom w:val="single" w:sz="4" w:space="0" w:color="auto"/>
              <w:right w:val="single" w:sz="4" w:space="0" w:color="auto"/>
            </w:tcBorders>
            <w:shd w:val="clear" w:color="000000" w:fill="F2F2F2"/>
            <w:noWrap/>
            <w:vAlign w:val="bottom"/>
            <w:hideMark/>
          </w:tcPr>
          <w:p w14:paraId="78646DCF" w14:textId="5A6D8F06"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560" w:type="dxa"/>
            <w:tcBorders>
              <w:top w:val="nil"/>
              <w:left w:val="nil"/>
              <w:bottom w:val="single" w:sz="4" w:space="0" w:color="auto"/>
              <w:right w:val="single" w:sz="4" w:space="0" w:color="auto"/>
            </w:tcBorders>
            <w:shd w:val="clear" w:color="000000" w:fill="F2F2F2"/>
            <w:noWrap/>
            <w:vAlign w:val="bottom"/>
            <w:hideMark/>
          </w:tcPr>
          <w:p w14:paraId="3FD59FD3" w14:textId="0E7D88F9"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r>
      <w:tr w:rsidR="009C6598" w:rsidRPr="00CD15C6" w14:paraId="52AB5FB9"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0B98926A" w14:textId="00FC6FAF" w:rsidR="00DD543B" w:rsidRPr="00CD15C6" w:rsidRDefault="00DD543B" w:rsidP="00DD543B">
            <w:pPr>
              <w:rPr>
                <w:rFonts w:ascii="Arial" w:hAnsi="Arial" w:cs="Arial"/>
                <w:color w:val="000000"/>
                <w:sz w:val="18"/>
                <w:szCs w:val="18"/>
              </w:rPr>
            </w:pPr>
            <w:r>
              <w:rPr>
                <w:rFonts w:ascii="Arial" w:hAnsi="Arial" w:cs="Arial"/>
                <w:color w:val="000000"/>
                <w:sz w:val="18"/>
                <w:szCs w:val="18"/>
              </w:rPr>
              <w:t>Chief Operating Officer</w:t>
            </w:r>
          </w:p>
        </w:tc>
        <w:tc>
          <w:tcPr>
            <w:tcW w:w="850" w:type="dxa"/>
            <w:tcBorders>
              <w:top w:val="nil"/>
              <w:left w:val="nil"/>
              <w:bottom w:val="single" w:sz="4" w:space="0" w:color="auto"/>
              <w:right w:val="single" w:sz="4" w:space="0" w:color="auto"/>
            </w:tcBorders>
            <w:shd w:val="clear" w:color="000000" w:fill="F2F2F2"/>
            <w:vAlign w:val="bottom"/>
            <w:hideMark/>
          </w:tcPr>
          <w:p w14:paraId="7735933E" w14:textId="6F553B07" w:rsidR="00DD543B" w:rsidRPr="00CD15C6" w:rsidRDefault="00DD543B" w:rsidP="00DD543B">
            <w:r>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000000" w:fill="F2F2F2"/>
            <w:vAlign w:val="bottom"/>
            <w:hideMark/>
          </w:tcPr>
          <w:p w14:paraId="5D5EB9B4" w14:textId="33C66D10" w:rsidR="00DD543B" w:rsidRPr="00CD15C6" w:rsidRDefault="00DD543B" w:rsidP="00DD543B">
            <w:pPr>
              <w:jc w:val="right"/>
            </w:pPr>
            <w:r>
              <w:rPr>
                <w:rFonts w:ascii="Arial" w:hAnsi="Arial" w:cs="Arial"/>
                <w:color w:val="000000"/>
                <w:sz w:val="18"/>
                <w:szCs w:val="18"/>
              </w:rPr>
              <w:t>133,191</w:t>
            </w:r>
          </w:p>
        </w:tc>
        <w:tc>
          <w:tcPr>
            <w:tcW w:w="1276" w:type="dxa"/>
            <w:tcBorders>
              <w:top w:val="nil"/>
              <w:left w:val="nil"/>
              <w:bottom w:val="single" w:sz="4" w:space="0" w:color="auto"/>
              <w:right w:val="single" w:sz="4" w:space="0" w:color="auto"/>
            </w:tcBorders>
            <w:shd w:val="clear" w:color="000000" w:fill="F2F2F2"/>
            <w:noWrap/>
            <w:vAlign w:val="bottom"/>
            <w:hideMark/>
          </w:tcPr>
          <w:p w14:paraId="16072082" w14:textId="5E52C505" w:rsidR="00DD543B" w:rsidRPr="00CD15C6" w:rsidRDefault="00DD543B" w:rsidP="00DD543B">
            <w:pPr>
              <w:jc w:val="right"/>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2A76E735" w14:textId="285D323A" w:rsidR="00DD543B" w:rsidRPr="00CD15C6" w:rsidRDefault="00DD543B"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2E9096C6" w14:textId="1A5C93A5" w:rsidR="00DD543B" w:rsidRPr="00CD15C6" w:rsidRDefault="00DD543B"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7BF4FE72" w14:textId="6C98D9BC" w:rsidR="00DD543B" w:rsidRPr="00CD15C6" w:rsidRDefault="00DD543B" w:rsidP="00DD543B">
            <w:pPr>
              <w:jc w:val="right"/>
            </w:pPr>
            <w:r>
              <w:rPr>
                <w:rFonts w:ascii="Arial" w:hAnsi="Arial" w:cs="Arial"/>
                <w:color w:val="000000"/>
                <w:sz w:val="18"/>
                <w:szCs w:val="18"/>
              </w:rPr>
              <w:t>6,215</w:t>
            </w:r>
          </w:p>
        </w:tc>
        <w:tc>
          <w:tcPr>
            <w:tcW w:w="1559" w:type="dxa"/>
            <w:tcBorders>
              <w:top w:val="nil"/>
              <w:left w:val="nil"/>
              <w:bottom w:val="single" w:sz="4" w:space="0" w:color="auto"/>
              <w:right w:val="single" w:sz="4" w:space="0" w:color="auto"/>
            </w:tcBorders>
            <w:shd w:val="clear" w:color="000000" w:fill="F2F2F2"/>
            <w:noWrap/>
            <w:vAlign w:val="bottom"/>
            <w:hideMark/>
          </w:tcPr>
          <w:p w14:paraId="00D2576D" w14:textId="3EE5F55C" w:rsidR="00DD543B" w:rsidRPr="00CD15C6" w:rsidRDefault="00DD543B" w:rsidP="00DD543B">
            <w:pPr>
              <w:jc w:val="right"/>
            </w:pPr>
            <w:r>
              <w:rPr>
                <w:rFonts w:ascii="Arial" w:hAnsi="Arial" w:cs="Arial"/>
                <w:color w:val="000000"/>
                <w:sz w:val="18"/>
                <w:szCs w:val="18"/>
              </w:rPr>
              <w:t>139,406</w:t>
            </w:r>
          </w:p>
        </w:tc>
        <w:tc>
          <w:tcPr>
            <w:tcW w:w="1417" w:type="dxa"/>
            <w:tcBorders>
              <w:top w:val="nil"/>
              <w:left w:val="nil"/>
              <w:bottom w:val="single" w:sz="4" w:space="0" w:color="auto"/>
              <w:right w:val="single" w:sz="4" w:space="0" w:color="auto"/>
            </w:tcBorders>
            <w:shd w:val="clear" w:color="000000" w:fill="F2F2F2"/>
            <w:noWrap/>
            <w:vAlign w:val="bottom"/>
            <w:hideMark/>
          </w:tcPr>
          <w:p w14:paraId="20709564" w14:textId="1702B233" w:rsidR="00DD543B" w:rsidRPr="00CD15C6" w:rsidRDefault="00DD543B" w:rsidP="00DD543B">
            <w:pPr>
              <w:jc w:val="right"/>
            </w:pPr>
            <w:r>
              <w:rPr>
                <w:rFonts w:ascii="Arial" w:hAnsi="Arial" w:cs="Arial"/>
                <w:color w:val="000000"/>
                <w:sz w:val="18"/>
                <w:szCs w:val="18"/>
              </w:rPr>
              <w:t>20,378</w:t>
            </w:r>
          </w:p>
        </w:tc>
        <w:tc>
          <w:tcPr>
            <w:tcW w:w="1560" w:type="dxa"/>
            <w:tcBorders>
              <w:top w:val="nil"/>
              <w:left w:val="nil"/>
              <w:bottom w:val="single" w:sz="4" w:space="0" w:color="auto"/>
              <w:right w:val="single" w:sz="4" w:space="0" w:color="auto"/>
            </w:tcBorders>
            <w:shd w:val="clear" w:color="000000" w:fill="F2F2F2"/>
            <w:noWrap/>
            <w:vAlign w:val="bottom"/>
            <w:hideMark/>
          </w:tcPr>
          <w:p w14:paraId="1A1FD7ED" w14:textId="5D7B17F5" w:rsidR="00DD543B" w:rsidRPr="00CD15C6" w:rsidRDefault="00DD543B" w:rsidP="00DD543B">
            <w:pPr>
              <w:jc w:val="right"/>
            </w:pPr>
            <w:r>
              <w:rPr>
                <w:rFonts w:ascii="Arial" w:hAnsi="Arial" w:cs="Arial"/>
                <w:color w:val="000000"/>
                <w:sz w:val="18"/>
                <w:szCs w:val="18"/>
              </w:rPr>
              <w:t>159,784</w:t>
            </w:r>
          </w:p>
        </w:tc>
      </w:tr>
      <w:tr w:rsidR="009C6598" w:rsidRPr="00CD15C6" w14:paraId="0865946A" w14:textId="77777777" w:rsidTr="00C75839">
        <w:trPr>
          <w:trHeight w:val="154"/>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13841C61" w14:textId="463A0EA0" w:rsidR="00DD543B" w:rsidRPr="004D5349" w:rsidRDefault="00DD543B" w:rsidP="00DD543B">
            <w:pPr>
              <w:rPr>
                <w:rFonts w:ascii="Arial" w:hAnsi="Arial" w:cs="Arial"/>
                <w:color w:val="000000"/>
                <w:sz w:val="10"/>
                <w:szCs w:val="10"/>
              </w:rPr>
            </w:pPr>
            <w:r w:rsidRPr="004D5349">
              <w:rPr>
                <w:rFonts w:ascii="Arial" w:hAnsi="Arial" w:cs="Arial"/>
                <w:color w:val="000000"/>
                <w:sz w:val="10"/>
                <w:szCs w:val="10"/>
              </w:rPr>
              <w:t> </w:t>
            </w:r>
          </w:p>
        </w:tc>
        <w:tc>
          <w:tcPr>
            <w:tcW w:w="850" w:type="dxa"/>
            <w:tcBorders>
              <w:top w:val="nil"/>
              <w:left w:val="nil"/>
              <w:bottom w:val="single" w:sz="4" w:space="0" w:color="auto"/>
              <w:right w:val="single" w:sz="4" w:space="0" w:color="auto"/>
            </w:tcBorders>
            <w:shd w:val="clear" w:color="000000" w:fill="F2F2F2"/>
            <w:noWrap/>
            <w:vAlign w:val="bottom"/>
            <w:hideMark/>
          </w:tcPr>
          <w:p w14:paraId="4E418111" w14:textId="5E45D7A1" w:rsidR="00DD543B" w:rsidRPr="004D5349" w:rsidRDefault="00DD543B" w:rsidP="00DD543B">
            <w:pPr>
              <w:rPr>
                <w:rFonts w:ascii="Arial" w:hAnsi="Arial" w:cs="Arial"/>
                <w:color w:val="000000"/>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vAlign w:val="bottom"/>
            <w:hideMark/>
          </w:tcPr>
          <w:p w14:paraId="42013C1F" w14:textId="73BBF799"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276" w:type="dxa"/>
            <w:tcBorders>
              <w:top w:val="nil"/>
              <w:left w:val="nil"/>
              <w:bottom w:val="single" w:sz="4" w:space="0" w:color="auto"/>
              <w:right w:val="single" w:sz="4" w:space="0" w:color="auto"/>
            </w:tcBorders>
            <w:shd w:val="clear" w:color="000000" w:fill="F2F2F2"/>
            <w:noWrap/>
            <w:vAlign w:val="bottom"/>
            <w:hideMark/>
          </w:tcPr>
          <w:p w14:paraId="446C4E06" w14:textId="0D1690F6"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09FA1114" w14:textId="35C3E1E5" w:rsidR="00DD543B" w:rsidRPr="004D5349" w:rsidRDefault="00DD543B" w:rsidP="00DD543B">
            <w:pPr>
              <w:jc w:val="right"/>
              <w:rPr>
                <w:sz w:val="10"/>
                <w:szCs w:val="10"/>
              </w:rPr>
            </w:pPr>
            <w:r w:rsidRPr="004D5349">
              <w:rPr>
                <w:rFonts w:ascii="Arial" w:hAnsi="Arial" w:cs="Arial"/>
                <w:color w:val="000000"/>
                <w:sz w:val="10"/>
                <w:szCs w:val="10"/>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596DD806" w14:textId="36BDCE55" w:rsidR="00DD543B" w:rsidRPr="004D5349" w:rsidRDefault="00DD543B" w:rsidP="00DD543B">
            <w:pPr>
              <w:jc w:val="right"/>
              <w:rPr>
                <w:sz w:val="10"/>
                <w:szCs w:val="10"/>
              </w:rPr>
            </w:pPr>
            <w:r w:rsidRPr="004D5349">
              <w:rPr>
                <w:rFonts w:ascii="Arial" w:hAnsi="Arial" w:cs="Arial"/>
                <w:color w:val="000000"/>
                <w:sz w:val="10"/>
                <w:szCs w:val="10"/>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66053B04" w14:textId="2AA158F0" w:rsidR="00DD543B" w:rsidRPr="004D5349" w:rsidRDefault="00DD543B" w:rsidP="00DD543B">
            <w:pPr>
              <w:jc w:val="right"/>
              <w:rPr>
                <w:sz w:val="10"/>
                <w:szCs w:val="10"/>
              </w:rPr>
            </w:pPr>
            <w:r w:rsidRPr="004D5349">
              <w:rPr>
                <w:rFonts w:ascii="Arial" w:hAnsi="Arial" w:cs="Arial"/>
                <w:color w:val="000000"/>
                <w:sz w:val="10"/>
                <w:szCs w:val="10"/>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71B5E450" w14:textId="78818E34"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417" w:type="dxa"/>
            <w:tcBorders>
              <w:top w:val="nil"/>
              <w:left w:val="nil"/>
              <w:bottom w:val="single" w:sz="4" w:space="0" w:color="auto"/>
              <w:right w:val="single" w:sz="4" w:space="0" w:color="auto"/>
            </w:tcBorders>
            <w:shd w:val="clear" w:color="000000" w:fill="F2F2F2"/>
            <w:noWrap/>
            <w:vAlign w:val="bottom"/>
            <w:hideMark/>
          </w:tcPr>
          <w:p w14:paraId="6A04C56D" w14:textId="3DFDFF81"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c>
          <w:tcPr>
            <w:tcW w:w="1560" w:type="dxa"/>
            <w:tcBorders>
              <w:top w:val="nil"/>
              <w:left w:val="nil"/>
              <w:bottom w:val="single" w:sz="4" w:space="0" w:color="auto"/>
              <w:right w:val="single" w:sz="4" w:space="0" w:color="auto"/>
            </w:tcBorders>
            <w:shd w:val="clear" w:color="000000" w:fill="F2F2F2"/>
            <w:noWrap/>
            <w:vAlign w:val="bottom"/>
            <w:hideMark/>
          </w:tcPr>
          <w:p w14:paraId="5416C3E2" w14:textId="2C1DFD70" w:rsidR="00DD543B" w:rsidRPr="004D5349" w:rsidRDefault="00DD543B" w:rsidP="00DD543B">
            <w:pPr>
              <w:jc w:val="right"/>
              <w:rPr>
                <w:rFonts w:ascii="Arial" w:hAnsi="Arial" w:cs="Arial"/>
                <w:color w:val="000000"/>
                <w:sz w:val="10"/>
                <w:szCs w:val="10"/>
              </w:rPr>
            </w:pPr>
            <w:r w:rsidRPr="004D5349">
              <w:rPr>
                <w:rFonts w:ascii="Arial" w:hAnsi="Arial" w:cs="Arial"/>
                <w:color w:val="000000"/>
                <w:sz w:val="10"/>
                <w:szCs w:val="10"/>
              </w:rPr>
              <w:t> </w:t>
            </w:r>
          </w:p>
        </w:tc>
      </w:tr>
      <w:tr w:rsidR="009C6598" w:rsidRPr="00CD15C6" w14:paraId="4B95BF58" w14:textId="77777777" w:rsidTr="00E0744F">
        <w:trPr>
          <w:trHeight w:val="300"/>
        </w:trPr>
        <w:tc>
          <w:tcPr>
            <w:tcW w:w="4390" w:type="dxa"/>
            <w:tcBorders>
              <w:top w:val="nil"/>
              <w:left w:val="single" w:sz="4" w:space="0" w:color="auto"/>
              <w:bottom w:val="single" w:sz="4" w:space="0" w:color="auto"/>
              <w:right w:val="single" w:sz="4" w:space="0" w:color="auto"/>
            </w:tcBorders>
            <w:shd w:val="clear" w:color="000000" w:fill="F2F2F2"/>
            <w:vAlign w:val="bottom"/>
            <w:hideMark/>
          </w:tcPr>
          <w:p w14:paraId="3BFB5BC8" w14:textId="65766984" w:rsidR="00DD543B" w:rsidRPr="00CD15C6" w:rsidRDefault="00DD543B" w:rsidP="00DD543B">
            <w:pPr>
              <w:rPr>
                <w:rFonts w:ascii="Arial" w:hAnsi="Arial" w:cs="Arial"/>
                <w:color w:val="000000"/>
                <w:sz w:val="18"/>
                <w:szCs w:val="18"/>
              </w:rPr>
            </w:pPr>
            <w:r>
              <w:rPr>
                <w:rFonts w:ascii="Arial" w:hAnsi="Arial" w:cs="Arial"/>
                <w:color w:val="000000"/>
                <w:sz w:val="18"/>
                <w:szCs w:val="18"/>
              </w:rPr>
              <w:t>Chief Finance Officer - s151 Officer</w:t>
            </w:r>
          </w:p>
        </w:tc>
        <w:tc>
          <w:tcPr>
            <w:tcW w:w="850" w:type="dxa"/>
            <w:tcBorders>
              <w:top w:val="nil"/>
              <w:left w:val="nil"/>
              <w:bottom w:val="single" w:sz="4" w:space="0" w:color="auto"/>
              <w:right w:val="single" w:sz="4" w:space="0" w:color="auto"/>
            </w:tcBorders>
            <w:shd w:val="clear" w:color="000000" w:fill="F2F2F2"/>
            <w:noWrap/>
            <w:vAlign w:val="bottom"/>
            <w:hideMark/>
          </w:tcPr>
          <w:p w14:paraId="34FCE71E" w14:textId="3B57C0AF" w:rsidR="00DD543B" w:rsidRPr="00CD15C6" w:rsidRDefault="00DD543B" w:rsidP="00DD543B">
            <w:pPr>
              <w:rPr>
                <w:rFonts w:ascii="Arial" w:hAnsi="Arial" w:cs="Arial"/>
                <w:color w:val="000000"/>
                <w:sz w:val="18"/>
                <w:szCs w:val="18"/>
              </w:rPr>
            </w:pPr>
            <w:r>
              <w:rPr>
                <w:rFonts w:ascii="Arial" w:hAnsi="Arial" w:cs="Arial"/>
                <w:color w:val="000000"/>
                <w:sz w:val="18"/>
                <w:szCs w:val="18"/>
              </w:rPr>
              <w:t> </w:t>
            </w:r>
          </w:p>
        </w:tc>
        <w:tc>
          <w:tcPr>
            <w:tcW w:w="1276" w:type="dxa"/>
            <w:tcBorders>
              <w:top w:val="nil"/>
              <w:left w:val="nil"/>
              <w:bottom w:val="single" w:sz="4" w:space="0" w:color="auto"/>
              <w:right w:val="single" w:sz="4" w:space="0" w:color="auto"/>
            </w:tcBorders>
            <w:shd w:val="clear" w:color="000000" w:fill="F2F2F2"/>
            <w:vAlign w:val="bottom"/>
            <w:hideMark/>
          </w:tcPr>
          <w:p w14:paraId="653B2D1B" w14:textId="6630B665"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96,756</w:t>
            </w:r>
          </w:p>
        </w:tc>
        <w:tc>
          <w:tcPr>
            <w:tcW w:w="1276" w:type="dxa"/>
            <w:tcBorders>
              <w:top w:val="nil"/>
              <w:left w:val="nil"/>
              <w:bottom w:val="single" w:sz="4" w:space="0" w:color="auto"/>
              <w:right w:val="single" w:sz="4" w:space="0" w:color="auto"/>
            </w:tcBorders>
            <w:shd w:val="clear" w:color="000000" w:fill="F2F2F2"/>
            <w:noWrap/>
            <w:vAlign w:val="bottom"/>
            <w:hideMark/>
          </w:tcPr>
          <w:p w14:paraId="2A3E6264" w14:textId="75D21B0D"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 </w:t>
            </w:r>
          </w:p>
        </w:tc>
        <w:tc>
          <w:tcPr>
            <w:tcW w:w="1275" w:type="dxa"/>
            <w:tcBorders>
              <w:top w:val="nil"/>
              <w:left w:val="nil"/>
              <w:bottom w:val="single" w:sz="4" w:space="0" w:color="auto"/>
              <w:right w:val="single" w:sz="4" w:space="0" w:color="auto"/>
            </w:tcBorders>
            <w:shd w:val="clear" w:color="000000" w:fill="F2F2F2"/>
            <w:noWrap/>
            <w:vAlign w:val="bottom"/>
            <w:hideMark/>
          </w:tcPr>
          <w:p w14:paraId="36515A4A" w14:textId="1864C42D" w:rsidR="00DD543B" w:rsidRPr="00CD15C6" w:rsidRDefault="00DD543B" w:rsidP="00DD543B">
            <w:pPr>
              <w:jc w:val="right"/>
            </w:pPr>
            <w:r>
              <w:rPr>
                <w:rFonts w:ascii="Arial" w:hAnsi="Arial" w:cs="Arial"/>
                <w:color w:val="000000"/>
                <w:sz w:val="18"/>
                <w:szCs w:val="18"/>
              </w:rPr>
              <w:t> </w:t>
            </w:r>
          </w:p>
        </w:tc>
        <w:tc>
          <w:tcPr>
            <w:tcW w:w="1134" w:type="dxa"/>
            <w:tcBorders>
              <w:top w:val="nil"/>
              <w:left w:val="nil"/>
              <w:bottom w:val="single" w:sz="4" w:space="0" w:color="auto"/>
              <w:right w:val="single" w:sz="4" w:space="0" w:color="auto"/>
            </w:tcBorders>
            <w:shd w:val="clear" w:color="000000" w:fill="F2F2F2"/>
            <w:noWrap/>
            <w:vAlign w:val="bottom"/>
            <w:hideMark/>
          </w:tcPr>
          <w:p w14:paraId="6A01990E" w14:textId="6CC6AEF6" w:rsidR="00DD543B" w:rsidRPr="00CD15C6" w:rsidRDefault="00DD543B" w:rsidP="00DD543B">
            <w:pPr>
              <w:jc w:val="right"/>
            </w:pPr>
            <w:r>
              <w:rPr>
                <w:rFonts w:ascii="Arial" w:hAnsi="Arial" w:cs="Arial"/>
                <w:color w:val="000000"/>
                <w:sz w:val="18"/>
                <w:szCs w:val="18"/>
              </w:rPr>
              <w:t> </w:t>
            </w:r>
          </w:p>
        </w:tc>
        <w:tc>
          <w:tcPr>
            <w:tcW w:w="993" w:type="dxa"/>
            <w:tcBorders>
              <w:top w:val="nil"/>
              <w:left w:val="nil"/>
              <w:bottom w:val="single" w:sz="4" w:space="0" w:color="auto"/>
              <w:right w:val="single" w:sz="4" w:space="0" w:color="auto"/>
            </w:tcBorders>
            <w:shd w:val="clear" w:color="000000" w:fill="F2F2F2"/>
            <w:noWrap/>
            <w:vAlign w:val="bottom"/>
            <w:hideMark/>
          </w:tcPr>
          <w:p w14:paraId="5A599590" w14:textId="1D33118D" w:rsidR="00DD543B" w:rsidRPr="00CD15C6" w:rsidRDefault="00DD543B" w:rsidP="00DD543B">
            <w:pPr>
              <w:jc w:val="right"/>
            </w:pPr>
            <w:r>
              <w:rPr>
                <w:rFonts w:ascii="Arial" w:hAnsi="Arial" w:cs="Arial"/>
                <w:color w:val="000000"/>
                <w:sz w:val="18"/>
                <w:szCs w:val="18"/>
              </w:rPr>
              <w:t> </w:t>
            </w:r>
          </w:p>
        </w:tc>
        <w:tc>
          <w:tcPr>
            <w:tcW w:w="1559" w:type="dxa"/>
            <w:tcBorders>
              <w:top w:val="nil"/>
              <w:left w:val="nil"/>
              <w:bottom w:val="single" w:sz="4" w:space="0" w:color="auto"/>
              <w:right w:val="single" w:sz="4" w:space="0" w:color="auto"/>
            </w:tcBorders>
            <w:shd w:val="clear" w:color="000000" w:fill="F2F2F2"/>
            <w:noWrap/>
            <w:vAlign w:val="bottom"/>
            <w:hideMark/>
          </w:tcPr>
          <w:p w14:paraId="39CB893C" w14:textId="4AE28975"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96,756</w:t>
            </w:r>
          </w:p>
        </w:tc>
        <w:tc>
          <w:tcPr>
            <w:tcW w:w="1417" w:type="dxa"/>
            <w:tcBorders>
              <w:top w:val="nil"/>
              <w:left w:val="nil"/>
              <w:bottom w:val="single" w:sz="4" w:space="0" w:color="auto"/>
              <w:right w:val="single" w:sz="4" w:space="0" w:color="auto"/>
            </w:tcBorders>
            <w:shd w:val="clear" w:color="000000" w:fill="F2F2F2"/>
            <w:noWrap/>
            <w:vAlign w:val="bottom"/>
            <w:hideMark/>
          </w:tcPr>
          <w:p w14:paraId="505C870E" w14:textId="3C304FEE"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14,804</w:t>
            </w:r>
          </w:p>
        </w:tc>
        <w:tc>
          <w:tcPr>
            <w:tcW w:w="1560" w:type="dxa"/>
            <w:tcBorders>
              <w:top w:val="nil"/>
              <w:left w:val="nil"/>
              <w:bottom w:val="single" w:sz="4" w:space="0" w:color="auto"/>
              <w:right w:val="single" w:sz="4" w:space="0" w:color="auto"/>
            </w:tcBorders>
            <w:shd w:val="clear" w:color="000000" w:fill="F2F2F2"/>
            <w:noWrap/>
            <w:vAlign w:val="bottom"/>
            <w:hideMark/>
          </w:tcPr>
          <w:p w14:paraId="08B61023" w14:textId="0D604D56" w:rsidR="00DD543B" w:rsidRPr="00CD15C6" w:rsidRDefault="00DD543B" w:rsidP="00DD543B">
            <w:pPr>
              <w:jc w:val="right"/>
              <w:rPr>
                <w:rFonts w:ascii="Arial" w:hAnsi="Arial" w:cs="Arial"/>
                <w:color w:val="000000"/>
                <w:sz w:val="18"/>
                <w:szCs w:val="18"/>
              </w:rPr>
            </w:pPr>
            <w:r>
              <w:rPr>
                <w:rFonts w:ascii="Arial" w:hAnsi="Arial" w:cs="Arial"/>
                <w:color w:val="000000"/>
                <w:sz w:val="18"/>
                <w:szCs w:val="18"/>
              </w:rPr>
              <w:t>111,560</w:t>
            </w:r>
          </w:p>
        </w:tc>
      </w:tr>
    </w:tbl>
    <w:p w14:paraId="12A15BD0" w14:textId="77777777" w:rsidR="006F3FAD" w:rsidRDefault="006F3FAD">
      <w:pPr>
        <w:rPr>
          <w:rFonts w:ascii="Arial" w:hAnsi="Arial"/>
          <w:b/>
          <w:sz w:val="22"/>
          <w:szCs w:val="22"/>
        </w:rPr>
      </w:pPr>
    </w:p>
    <w:p w14:paraId="6F0CB8B6" w14:textId="77777777" w:rsidR="00FC1B33" w:rsidRDefault="00FC1B33">
      <w:r>
        <w:br w:type="page"/>
      </w:r>
    </w:p>
    <w:tbl>
      <w:tblPr>
        <w:tblW w:w="15534" w:type="dxa"/>
        <w:tblLook w:val="04A0" w:firstRow="1" w:lastRow="0" w:firstColumn="1" w:lastColumn="0" w:noHBand="0" w:noVBand="1"/>
      </w:tblPr>
      <w:tblGrid>
        <w:gridCol w:w="15534"/>
      </w:tblGrid>
      <w:tr w:rsidR="00762F22" w:rsidRPr="00762F22" w14:paraId="7A4E4485" w14:textId="77777777" w:rsidTr="00762F22">
        <w:trPr>
          <w:trHeight w:val="307"/>
        </w:trPr>
        <w:tc>
          <w:tcPr>
            <w:tcW w:w="15534" w:type="dxa"/>
            <w:tcBorders>
              <w:top w:val="nil"/>
              <w:left w:val="nil"/>
              <w:bottom w:val="nil"/>
              <w:right w:val="nil"/>
            </w:tcBorders>
            <w:noWrap/>
            <w:vAlign w:val="bottom"/>
            <w:hideMark/>
          </w:tcPr>
          <w:p w14:paraId="689369C9" w14:textId="555D1573" w:rsidR="00762F22" w:rsidRPr="00762F22" w:rsidRDefault="00762F22" w:rsidP="00762F22">
            <w:pPr>
              <w:rPr>
                <w:rFonts w:ascii="Aptos Narrow" w:hAnsi="Aptos Narrow"/>
                <w:color w:val="000000"/>
                <w:sz w:val="22"/>
                <w:szCs w:val="22"/>
              </w:rPr>
            </w:pPr>
            <w:r w:rsidRPr="00762F22">
              <w:rPr>
                <w:rFonts w:ascii="Aptos Narrow" w:hAnsi="Aptos Narrow"/>
                <w:color w:val="000000"/>
                <w:sz w:val="22"/>
                <w:szCs w:val="22"/>
              </w:rPr>
              <w:lastRenderedPageBreak/>
              <w:t>Note 1 - Post covered by two officers during the year. A - 1st April 2024 to 8th May 2024; B - 9th May 2024 to 31st March 2025</w:t>
            </w:r>
          </w:p>
        </w:tc>
      </w:tr>
      <w:tr w:rsidR="00762F22" w:rsidRPr="00762F22" w14:paraId="6246DA57" w14:textId="77777777" w:rsidTr="00762F22">
        <w:trPr>
          <w:trHeight w:val="307"/>
        </w:trPr>
        <w:tc>
          <w:tcPr>
            <w:tcW w:w="15534" w:type="dxa"/>
            <w:tcBorders>
              <w:top w:val="nil"/>
              <w:left w:val="nil"/>
              <w:bottom w:val="nil"/>
              <w:right w:val="nil"/>
            </w:tcBorders>
            <w:noWrap/>
            <w:vAlign w:val="bottom"/>
            <w:hideMark/>
          </w:tcPr>
          <w:p w14:paraId="27A78FDD" w14:textId="77777777" w:rsidR="00762F22" w:rsidRPr="00762F22" w:rsidRDefault="00762F22" w:rsidP="00762F22">
            <w:pPr>
              <w:rPr>
                <w:rFonts w:ascii="Aptos Narrow" w:hAnsi="Aptos Narrow"/>
                <w:color w:val="000000"/>
                <w:sz w:val="22"/>
                <w:szCs w:val="22"/>
              </w:rPr>
            </w:pPr>
            <w:r w:rsidRPr="00762F22">
              <w:rPr>
                <w:rFonts w:ascii="Aptos Narrow" w:hAnsi="Aptos Narrow"/>
                <w:color w:val="000000"/>
                <w:sz w:val="22"/>
                <w:szCs w:val="22"/>
              </w:rPr>
              <w:t>Note 2 - Post covered by officer from 1st April 2024 to 8th May 2024</w:t>
            </w:r>
          </w:p>
        </w:tc>
      </w:tr>
      <w:tr w:rsidR="00762F22" w:rsidRPr="00762F22" w14:paraId="6A5D217D" w14:textId="77777777" w:rsidTr="00762F22">
        <w:trPr>
          <w:trHeight w:val="307"/>
        </w:trPr>
        <w:tc>
          <w:tcPr>
            <w:tcW w:w="15534" w:type="dxa"/>
            <w:tcBorders>
              <w:top w:val="nil"/>
              <w:left w:val="nil"/>
              <w:bottom w:val="nil"/>
              <w:right w:val="nil"/>
            </w:tcBorders>
            <w:noWrap/>
            <w:vAlign w:val="bottom"/>
            <w:hideMark/>
          </w:tcPr>
          <w:p w14:paraId="672AC915" w14:textId="25C4D6C5" w:rsidR="00762F22" w:rsidRDefault="00762F22" w:rsidP="00762F22">
            <w:pPr>
              <w:rPr>
                <w:rFonts w:ascii="Aptos Narrow" w:hAnsi="Aptos Narrow"/>
                <w:color w:val="000000"/>
                <w:sz w:val="22"/>
                <w:szCs w:val="22"/>
              </w:rPr>
            </w:pPr>
            <w:r w:rsidRPr="00762F22">
              <w:rPr>
                <w:rFonts w:ascii="Aptos Narrow" w:hAnsi="Aptos Narrow"/>
                <w:color w:val="000000"/>
                <w:sz w:val="22"/>
                <w:szCs w:val="22"/>
              </w:rPr>
              <w:t>Note 3 - Post covered by t</w:t>
            </w:r>
            <w:r w:rsidR="001D004A">
              <w:rPr>
                <w:rFonts w:ascii="Aptos Narrow" w:hAnsi="Aptos Narrow"/>
                <w:color w:val="000000"/>
                <w:sz w:val="22"/>
                <w:szCs w:val="22"/>
              </w:rPr>
              <w:t xml:space="preserve">hree </w:t>
            </w:r>
            <w:r w:rsidRPr="00762F22">
              <w:rPr>
                <w:rFonts w:ascii="Aptos Narrow" w:hAnsi="Aptos Narrow"/>
                <w:color w:val="000000"/>
                <w:sz w:val="22"/>
                <w:szCs w:val="22"/>
              </w:rPr>
              <w:t xml:space="preserve">officers during the year. C - 1st April 2024 to 30th June 2024 and received a payment in respect for early retirement. </w:t>
            </w:r>
          </w:p>
          <w:p w14:paraId="53331944" w14:textId="1D7846F0" w:rsidR="00762F22" w:rsidRPr="00762F22" w:rsidRDefault="00762F22" w:rsidP="00762F22">
            <w:pPr>
              <w:rPr>
                <w:rFonts w:ascii="Aptos Narrow" w:hAnsi="Aptos Narrow"/>
                <w:color w:val="000000"/>
                <w:sz w:val="22"/>
                <w:szCs w:val="22"/>
              </w:rPr>
            </w:pPr>
            <w:r w:rsidRPr="00762F22">
              <w:rPr>
                <w:rFonts w:ascii="Aptos Narrow" w:hAnsi="Aptos Narrow"/>
                <w:color w:val="000000"/>
                <w:sz w:val="22"/>
                <w:szCs w:val="22"/>
              </w:rPr>
              <w:t>D - 18th December 2024 to 31st March 2025</w:t>
            </w:r>
            <w:r w:rsidR="001D004A">
              <w:rPr>
                <w:rFonts w:ascii="Aptos Narrow" w:hAnsi="Aptos Narrow"/>
                <w:color w:val="000000"/>
                <w:sz w:val="22"/>
                <w:szCs w:val="22"/>
              </w:rPr>
              <w:t xml:space="preserve">.  </w:t>
            </w:r>
            <w:bookmarkStart w:id="19" w:name="_Hlk216783260"/>
            <w:r w:rsidR="001D004A">
              <w:rPr>
                <w:rFonts w:ascii="Aptos Narrow" w:hAnsi="Aptos Narrow"/>
                <w:color w:val="000000"/>
                <w:sz w:val="22"/>
                <w:szCs w:val="22"/>
              </w:rPr>
              <w:t>Between 1</w:t>
            </w:r>
            <w:r w:rsidR="001D004A" w:rsidRPr="001D004A">
              <w:rPr>
                <w:rFonts w:ascii="Aptos Narrow" w:hAnsi="Aptos Narrow"/>
                <w:color w:val="000000"/>
                <w:sz w:val="22"/>
                <w:szCs w:val="22"/>
                <w:vertAlign w:val="superscript"/>
              </w:rPr>
              <w:t>st</w:t>
            </w:r>
            <w:r w:rsidR="001D004A">
              <w:rPr>
                <w:rFonts w:ascii="Aptos Narrow" w:hAnsi="Aptos Narrow"/>
                <w:color w:val="000000"/>
                <w:sz w:val="22"/>
                <w:szCs w:val="22"/>
              </w:rPr>
              <w:t xml:space="preserve"> July and </w:t>
            </w:r>
            <w:proofErr w:type="gramStart"/>
            <w:r w:rsidR="001D004A">
              <w:rPr>
                <w:rFonts w:ascii="Aptos Narrow" w:hAnsi="Aptos Narrow"/>
                <w:color w:val="000000"/>
                <w:sz w:val="22"/>
                <w:szCs w:val="22"/>
              </w:rPr>
              <w:t>18</w:t>
            </w:r>
            <w:r w:rsidR="001D004A" w:rsidRPr="001D004A">
              <w:rPr>
                <w:rFonts w:ascii="Aptos Narrow" w:hAnsi="Aptos Narrow"/>
                <w:color w:val="000000"/>
                <w:sz w:val="22"/>
                <w:szCs w:val="22"/>
                <w:vertAlign w:val="superscript"/>
              </w:rPr>
              <w:t>th</w:t>
            </w:r>
            <w:r w:rsidR="001D004A">
              <w:rPr>
                <w:rFonts w:ascii="Aptos Narrow" w:hAnsi="Aptos Narrow"/>
                <w:color w:val="000000"/>
                <w:sz w:val="22"/>
                <w:szCs w:val="22"/>
              </w:rPr>
              <w:t xml:space="preserve"> December 2024</w:t>
            </w:r>
            <w:proofErr w:type="gramEnd"/>
            <w:r w:rsidR="001D004A">
              <w:rPr>
                <w:rFonts w:ascii="Aptos Narrow" w:hAnsi="Aptos Narrow"/>
                <w:color w:val="000000"/>
                <w:sz w:val="22"/>
                <w:szCs w:val="22"/>
              </w:rPr>
              <w:t xml:space="preserve"> the post was covered by the Chief Finance Officer alongside his contracted duties</w:t>
            </w:r>
            <w:r w:rsidR="00B1238A">
              <w:rPr>
                <w:rFonts w:ascii="Aptos Narrow" w:hAnsi="Aptos Narrow"/>
                <w:color w:val="000000"/>
                <w:sz w:val="22"/>
                <w:szCs w:val="22"/>
              </w:rPr>
              <w:t>.</w:t>
            </w:r>
            <w:bookmarkEnd w:id="19"/>
          </w:p>
        </w:tc>
      </w:tr>
      <w:tr w:rsidR="005F774E" w:rsidRPr="00762F22" w14:paraId="337DFD14" w14:textId="77777777" w:rsidTr="00762F22">
        <w:trPr>
          <w:trHeight w:val="307"/>
        </w:trPr>
        <w:tc>
          <w:tcPr>
            <w:tcW w:w="15534" w:type="dxa"/>
            <w:tcBorders>
              <w:top w:val="nil"/>
              <w:left w:val="nil"/>
              <w:bottom w:val="nil"/>
              <w:right w:val="nil"/>
            </w:tcBorders>
            <w:noWrap/>
            <w:vAlign w:val="bottom"/>
          </w:tcPr>
          <w:p w14:paraId="15BA9F4D" w14:textId="5BCCA830" w:rsidR="005F774E" w:rsidRPr="0052719F" w:rsidRDefault="005F774E" w:rsidP="00762F22">
            <w:pPr>
              <w:rPr>
                <w:rFonts w:ascii="Aptos Narrow" w:hAnsi="Aptos Narrow"/>
                <w:color w:val="000000"/>
                <w:sz w:val="22"/>
                <w:szCs w:val="22"/>
              </w:rPr>
            </w:pPr>
            <w:r w:rsidRPr="0052719F">
              <w:rPr>
                <w:rFonts w:ascii="Aptos Narrow" w:hAnsi="Aptos Narrow"/>
                <w:color w:val="000000"/>
                <w:sz w:val="22"/>
                <w:szCs w:val="22"/>
              </w:rPr>
              <w:t xml:space="preserve">Note </w:t>
            </w:r>
            <w:r w:rsidR="00FC1B33">
              <w:rPr>
                <w:rFonts w:ascii="Aptos Narrow" w:hAnsi="Aptos Narrow"/>
                <w:color w:val="000000"/>
                <w:sz w:val="22"/>
                <w:szCs w:val="22"/>
              </w:rPr>
              <w:t>4</w:t>
            </w:r>
            <w:r w:rsidRPr="0052719F">
              <w:rPr>
                <w:rFonts w:ascii="Aptos Narrow" w:hAnsi="Aptos Narrow"/>
                <w:color w:val="000000"/>
                <w:sz w:val="22"/>
                <w:szCs w:val="22"/>
              </w:rPr>
              <w:t xml:space="preserve"> </w:t>
            </w:r>
            <w:r w:rsidR="0009542D">
              <w:rPr>
                <w:rFonts w:ascii="Aptos Narrow" w:hAnsi="Aptos Narrow"/>
                <w:color w:val="000000"/>
                <w:sz w:val="22"/>
                <w:szCs w:val="22"/>
              </w:rPr>
              <w:t>–</w:t>
            </w:r>
            <w:r w:rsidRPr="0052719F">
              <w:rPr>
                <w:rFonts w:ascii="Aptos Narrow" w:hAnsi="Aptos Narrow"/>
                <w:color w:val="000000"/>
                <w:sz w:val="22"/>
                <w:szCs w:val="22"/>
              </w:rPr>
              <w:t xml:space="preserve"> </w:t>
            </w:r>
            <w:r w:rsidR="0009542D">
              <w:rPr>
                <w:rFonts w:ascii="Aptos Narrow" w:hAnsi="Aptos Narrow"/>
                <w:color w:val="000000"/>
                <w:sz w:val="22"/>
                <w:szCs w:val="22"/>
              </w:rPr>
              <w:t>Post cover</w:t>
            </w:r>
            <w:r w:rsidR="009B724F">
              <w:rPr>
                <w:rFonts w:ascii="Aptos Narrow" w:hAnsi="Aptos Narrow"/>
                <w:color w:val="000000"/>
                <w:sz w:val="22"/>
                <w:szCs w:val="22"/>
              </w:rPr>
              <w:t xml:space="preserve">ed by 3 individuals during the year. </w:t>
            </w:r>
            <w:r w:rsidRPr="0052719F">
              <w:rPr>
                <w:rFonts w:ascii="Aptos Narrow" w:hAnsi="Aptos Narrow"/>
                <w:color w:val="000000"/>
                <w:sz w:val="22"/>
                <w:szCs w:val="22"/>
              </w:rPr>
              <w:t xml:space="preserve">Officer </w:t>
            </w:r>
            <w:r w:rsidR="000F4C6D" w:rsidRPr="0052719F">
              <w:rPr>
                <w:rFonts w:ascii="Aptos Narrow" w:hAnsi="Aptos Narrow"/>
                <w:color w:val="000000"/>
                <w:sz w:val="22"/>
                <w:szCs w:val="22"/>
              </w:rPr>
              <w:t>E</w:t>
            </w:r>
            <w:r w:rsidRPr="0052719F">
              <w:rPr>
                <w:rFonts w:ascii="Aptos Narrow" w:hAnsi="Aptos Narrow"/>
                <w:color w:val="000000"/>
                <w:sz w:val="22"/>
                <w:szCs w:val="22"/>
              </w:rPr>
              <w:t xml:space="preserve"> retired from position during the year. </w:t>
            </w:r>
            <w:r w:rsidR="009C6598" w:rsidRPr="0052719F">
              <w:rPr>
                <w:rFonts w:ascii="Aptos Narrow" w:hAnsi="Aptos Narrow"/>
                <w:color w:val="000000"/>
                <w:sz w:val="22"/>
                <w:szCs w:val="22"/>
              </w:rPr>
              <w:t>1</w:t>
            </w:r>
            <w:r w:rsidR="009C6598" w:rsidRPr="0052719F">
              <w:rPr>
                <w:rFonts w:ascii="Aptos Narrow" w:hAnsi="Aptos Narrow"/>
                <w:color w:val="000000"/>
                <w:sz w:val="22"/>
                <w:szCs w:val="22"/>
                <w:vertAlign w:val="superscript"/>
              </w:rPr>
              <w:t>st</w:t>
            </w:r>
            <w:r w:rsidR="009C6598" w:rsidRPr="0052719F">
              <w:rPr>
                <w:rFonts w:ascii="Aptos Narrow" w:hAnsi="Aptos Narrow"/>
                <w:color w:val="000000"/>
                <w:sz w:val="22"/>
                <w:szCs w:val="22"/>
              </w:rPr>
              <w:t xml:space="preserve"> April 2024</w:t>
            </w:r>
            <w:r w:rsidRPr="0052719F">
              <w:rPr>
                <w:rFonts w:ascii="Aptos Narrow" w:hAnsi="Aptos Narrow"/>
                <w:color w:val="000000"/>
                <w:sz w:val="22"/>
                <w:szCs w:val="22"/>
              </w:rPr>
              <w:t xml:space="preserve"> - 31 August 2024, Officer </w:t>
            </w:r>
            <w:r w:rsidR="009C6598" w:rsidRPr="0052719F">
              <w:rPr>
                <w:rFonts w:ascii="Aptos Narrow" w:hAnsi="Aptos Narrow"/>
                <w:color w:val="000000"/>
                <w:sz w:val="22"/>
                <w:szCs w:val="22"/>
              </w:rPr>
              <w:t>F</w:t>
            </w:r>
            <w:r w:rsidRPr="0052719F">
              <w:rPr>
                <w:rFonts w:ascii="Aptos Narrow" w:hAnsi="Aptos Narrow"/>
                <w:color w:val="000000"/>
                <w:sz w:val="22"/>
                <w:szCs w:val="22"/>
              </w:rPr>
              <w:t xml:space="preserve"> </w:t>
            </w:r>
            <w:r w:rsidR="00ED7B4B">
              <w:rPr>
                <w:rFonts w:ascii="Aptos Narrow" w:hAnsi="Aptos Narrow"/>
                <w:color w:val="000000"/>
                <w:sz w:val="22"/>
                <w:szCs w:val="22"/>
              </w:rPr>
              <w:t>was</w:t>
            </w:r>
            <w:r w:rsidRPr="0052719F">
              <w:rPr>
                <w:rFonts w:ascii="Aptos Narrow" w:hAnsi="Aptos Narrow"/>
                <w:color w:val="000000"/>
                <w:sz w:val="22"/>
                <w:szCs w:val="22"/>
              </w:rPr>
              <w:t xml:space="preserve"> </w:t>
            </w:r>
            <w:r w:rsidR="009C6598" w:rsidRPr="0052719F">
              <w:rPr>
                <w:rFonts w:ascii="Aptos Narrow" w:hAnsi="Aptos Narrow"/>
                <w:color w:val="000000"/>
                <w:sz w:val="22"/>
                <w:szCs w:val="22"/>
              </w:rPr>
              <w:t>Seconded from GMP</w:t>
            </w:r>
            <w:r w:rsidRPr="0052719F">
              <w:rPr>
                <w:rFonts w:ascii="Aptos Narrow" w:hAnsi="Aptos Narrow"/>
                <w:color w:val="000000"/>
                <w:sz w:val="22"/>
                <w:szCs w:val="22"/>
              </w:rPr>
              <w:t xml:space="preserve">, from 8th July 2024 to </w:t>
            </w:r>
            <w:r w:rsidR="00935550">
              <w:rPr>
                <w:rFonts w:ascii="Aptos Narrow" w:hAnsi="Aptos Narrow"/>
                <w:color w:val="000000"/>
                <w:sz w:val="22"/>
                <w:szCs w:val="22"/>
              </w:rPr>
              <w:t>28</w:t>
            </w:r>
            <w:r w:rsidR="00935550" w:rsidRPr="00935550">
              <w:rPr>
                <w:rFonts w:ascii="Aptos Narrow" w:hAnsi="Aptos Narrow"/>
                <w:color w:val="000000"/>
                <w:sz w:val="22"/>
                <w:szCs w:val="22"/>
                <w:vertAlign w:val="superscript"/>
              </w:rPr>
              <w:t>th</w:t>
            </w:r>
            <w:r w:rsidR="00935550">
              <w:rPr>
                <w:rFonts w:ascii="Aptos Narrow" w:hAnsi="Aptos Narrow"/>
                <w:color w:val="000000"/>
                <w:sz w:val="22"/>
                <w:szCs w:val="22"/>
              </w:rPr>
              <w:t xml:space="preserve"> February</w:t>
            </w:r>
            <w:r w:rsidR="0052719F" w:rsidRPr="0052719F">
              <w:rPr>
                <w:rFonts w:ascii="Aptos Narrow" w:hAnsi="Aptos Narrow"/>
                <w:color w:val="000000"/>
                <w:sz w:val="22"/>
                <w:szCs w:val="22"/>
              </w:rPr>
              <w:t xml:space="preserve"> 2025</w:t>
            </w:r>
            <w:r w:rsidR="009C6598" w:rsidRPr="0052719F">
              <w:rPr>
                <w:rFonts w:ascii="Aptos Narrow" w:hAnsi="Aptos Narrow"/>
                <w:color w:val="000000"/>
                <w:sz w:val="22"/>
                <w:szCs w:val="22"/>
              </w:rPr>
              <w:t>. Officer G – 24</w:t>
            </w:r>
            <w:r w:rsidR="009C6598" w:rsidRPr="0052719F">
              <w:rPr>
                <w:rFonts w:ascii="Aptos Narrow" w:hAnsi="Aptos Narrow"/>
                <w:color w:val="000000"/>
                <w:sz w:val="22"/>
                <w:szCs w:val="22"/>
                <w:vertAlign w:val="superscript"/>
              </w:rPr>
              <w:t>th</w:t>
            </w:r>
            <w:r w:rsidR="009C6598" w:rsidRPr="0052719F">
              <w:rPr>
                <w:rFonts w:ascii="Aptos Narrow" w:hAnsi="Aptos Narrow"/>
                <w:color w:val="000000"/>
                <w:sz w:val="22"/>
                <w:szCs w:val="22"/>
              </w:rPr>
              <w:t xml:space="preserve"> Feb</w:t>
            </w:r>
            <w:r w:rsidR="00492BBA">
              <w:rPr>
                <w:rFonts w:ascii="Aptos Narrow" w:hAnsi="Aptos Narrow"/>
                <w:color w:val="000000"/>
                <w:sz w:val="22"/>
                <w:szCs w:val="22"/>
              </w:rPr>
              <w:t>ruary</w:t>
            </w:r>
            <w:r w:rsidR="009C6598" w:rsidRPr="0052719F">
              <w:rPr>
                <w:rFonts w:ascii="Aptos Narrow" w:hAnsi="Aptos Narrow"/>
                <w:color w:val="000000"/>
                <w:sz w:val="22"/>
                <w:szCs w:val="22"/>
              </w:rPr>
              <w:t xml:space="preserve"> to 31</w:t>
            </w:r>
            <w:r w:rsidR="00492BBA">
              <w:rPr>
                <w:rFonts w:ascii="Aptos Narrow" w:hAnsi="Aptos Narrow"/>
                <w:color w:val="000000"/>
                <w:sz w:val="22"/>
                <w:szCs w:val="22"/>
              </w:rPr>
              <w:t>st</w:t>
            </w:r>
            <w:r w:rsidR="009C6598" w:rsidRPr="0052719F">
              <w:rPr>
                <w:rFonts w:ascii="Aptos Narrow" w:hAnsi="Aptos Narrow"/>
                <w:color w:val="000000"/>
                <w:sz w:val="22"/>
                <w:szCs w:val="22"/>
              </w:rPr>
              <w:t xml:space="preserve"> March 2025.</w:t>
            </w:r>
          </w:p>
        </w:tc>
      </w:tr>
      <w:tr w:rsidR="00935550" w:rsidRPr="00762F22" w14:paraId="0BD0C94C" w14:textId="77777777" w:rsidTr="00762F22">
        <w:trPr>
          <w:trHeight w:val="307"/>
        </w:trPr>
        <w:tc>
          <w:tcPr>
            <w:tcW w:w="15534" w:type="dxa"/>
            <w:tcBorders>
              <w:top w:val="nil"/>
              <w:left w:val="nil"/>
              <w:bottom w:val="nil"/>
              <w:right w:val="nil"/>
            </w:tcBorders>
            <w:noWrap/>
            <w:vAlign w:val="bottom"/>
          </w:tcPr>
          <w:p w14:paraId="159EE556" w14:textId="77777777" w:rsidR="00935550" w:rsidRPr="0052719F" w:rsidRDefault="00935550" w:rsidP="00762F22">
            <w:pPr>
              <w:rPr>
                <w:rFonts w:ascii="Aptos Narrow" w:hAnsi="Aptos Narrow"/>
                <w:color w:val="000000"/>
                <w:sz w:val="22"/>
                <w:szCs w:val="22"/>
              </w:rPr>
            </w:pPr>
          </w:p>
        </w:tc>
      </w:tr>
    </w:tbl>
    <w:p w14:paraId="21F88FEF" w14:textId="77777777" w:rsidR="00CF0E1F" w:rsidRDefault="00CF0E1F">
      <w:pPr>
        <w:rPr>
          <w:rFonts w:ascii="Arial" w:hAnsi="Arial"/>
          <w:b/>
          <w:sz w:val="22"/>
          <w:szCs w:val="22"/>
        </w:rPr>
      </w:pPr>
    </w:p>
    <w:p w14:paraId="55105D25" w14:textId="74910479" w:rsidR="00CD15C6" w:rsidRDefault="00CD15C6">
      <w:pPr>
        <w:rPr>
          <w:rFonts w:ascii="Arial" w:hAnsi="Arial"/>
          <w:b/>
          <w:sz w:val="22"/>
          <w:szCs w:val="22"/>
        </w:rPr>
      </w:pPr>
      <w:r>
        <w:rPr>
          <w:rFonts w:ascii="Arial" w:hAnsi="Arial"/>
          <w:b/>
          <w:sz w:val="22"/>
          <w:szCs w:val="22"/>
        </w:rPr>
        <w:br w:type="page"/>
      </w:r>
    </w:p>
    <w:p w14:paraId="6FF552EB" w14:textId="77777777" w:rsidR="00CD15C6" w:rsidRDefault="00CD15C6" w:rsidP="00EC79F9">
      <w:pPr>
        <w:ind w:left="426"/>
        <w:rPr>
          <w:rFonts w:ascii="Arial" w:hAnsi="Arial"/>
          <w:b/>
          <w:sz w:val="22"/>
          <w:szCs w:val="22"/>
        </w:rPr>
      </w:pPr>
    </w:p>
    <w:p w14:paraId="63F44336" w14:textId="1D4E15AE" w:rsidR="00EC79F9" w:rsidRDefault="00EC79F9" w:rsidP="00EC79F9">
      <w:pPr>
        <w:ind w:left="426"/>
        <w:rPr>
          <w:rFonts w:ascii="Arial" w:hAnsi="Arial"/>
          <w:b/>
          <w:sz w:val="22"/>
          <w:szCs w:val="22"/>
        </w:rPr>
      </w:pPr>
      <w:r w:rsidRPr="00AD4E52">
        <w:rPr>
          <w:rFonts w:ascii="Arial" w:hAnsi="Arial"/>
          <w:b/>
          <w:sz w:val="22"/>
          <w:szCs w:val="22"/>
        </w:rPr>
        <w:t>Senior Officers and Relevant Police Officers 20</w:t>
      </w:r>
      <w:r>
        <w:rPr>
          <w:rFonts w:ascii="Arial" w:hAnsi="Arial"/>
          <w:b/>
          <w:sz w:val="22"/>
          <w:szCs w:val="22"/>
        </w:rPr>
        <w:t>2</w:t>
      </w:r>
      <w:r w:rsidR="00E057A0">
        <w:rPr>
          <w:rFonts w:ascii="Arial" w:hAnsi="Arial"/>
          <w:b/>
          <w:sz w:val="22"/>
          <w:szCs w:val="22"/>
        </w:rPr>
        <w:t>3</w:t>
      </w:r>
      <w:r w:rsidRPr="00AD4E52">
        <w:rPr>
          <w:rFonts w:ascii="Arial" w:hAnsi="Arial"/>
          <w:b/>
          <w:sz w:val="22"/>
          <w:szCs w:val="22"/>
        </w:rPr>
        <w:t>-</w:t>
      </w:r>
      <w:r>
        <w:rPr>
          <w:rFonts w:ascii="Arial" w:hAnsi="Arial"/>
          <w:b/>
          <w:sz w:val="22"/>
          <w:szCs w:val="22"/>
        </w:rPr>
        <w:t>2</w:t>
      </w:r>
      <w:r w:rsidR="00E057A0">
        <w:rPr>
          <w:rFonts w:ascii="Arial" w:hAnsi="Arial"/>
          <w:b/>
          <w:sz w:val="22"/>
          <w:szCs w:val="22"/>
        </w:rPr>
        <w:t>4</w:t>
      </w:r>
    </w:p>
    <w:p w14:paraId="24FB76E5" w14:textId="77777777" w:rsidR="00EC79F9" w:rsidRDefault="00EC79F9" w:rsidP="003B74DA">
      <w:pPr>
        <w:ind w:left="426"/>
        <w:rPr>
          <w:rFonts w:ascii="Arial" w:hAnsi="Arial"/>
          <w:b/>
          <w:sz w:val="22"/>
          <w:szCs w:val="22"/>
        </w:rPr>
      </w:pPr>
    </w:p>
    <w:tbl>
      <w:tblPr>
        <w:tblW w:w="15730" w:type="dxa"/>
        <w:tblLayout w:type="fixed"/>
        <w:tblLook w:val="04A0" w:firstRow="1" w:lastRow="0" w:firstColumn="1" w:lastColumn="0" w:noHBand="0" w:noVBand="1"/>
      </w:tblPr>
      <w:tblGrid>
        <w:gridCol w:w="4136"/>
        <w:gridCol w:w="758"/>
        <w:gridCol w:w="1241"/>
        <w:gridCol w:w="1373"/>
        <w:gridCol w:w="1276"/>
        <w:gridCol w:w="1267"/>
        <w:gridCol w:w="991"/>
        <w:gridCol w:w="1596"/>
        <w:gridCol w:w="1532"/>
        <w:gridCol w:w="1560"/>
      </w:tblGrid>
      <w:tr w:rsidR="007D454F" w:rsidRPr="00EC79F9" w14:paraId="1625E9AB" w14:textId="77777777" w:rsidTr="00C75839">
        <w:trPr>
          <w:trHeight w:val="1246"/>
        </w:trPr>
        <w:tc>
          <w:tcPr>
            <w:tcW w:w="4136"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319E3A4C" w14:textId="77777777" w:rsidR="007D454F" w:rsidRPr="00EC79F9" w:rsidRDefault="007D454F" w:rsidP="007D454F">
            <w:pPr>
              <w:rPr>
                <w:rFonts w:ascii="Arial" w:hAnsi="Arial" w:cs="Arial"/>
                <w:b/>
                <w:bCs/>
                <w:sz w:val="18"/>
                <w:szCs w:val="18"/>
              </w:rPr>
            </w:pPr>
            <w:r w:rsidRPr="00EC79F9">
              <w:rPr>
                <w:rFonts w:ascii="Arial" w:hAnsi="Arial" w:cs="Arial"/>
                <w:b/>
                <w:bCs/>
                <w:sz w:val="18"/>
                <w:szCs w:val="18"/>
              </w:rPr>
              <w:t xml:space="preserve">Post Holder Information </w:t>
            </w:r>
            <w:r w:rsidRPr="00EC79F9">
              <w:rPr>
                <w:rFonts w:ascii="Arial" w:hAnsi="Arial" w:cs="Arial"/>
                <w:b/>
                <w:bCs/>
                <w:sz w:val="18"/>
                <w:szCs w:val="18"/>
              </w:rPr>
              <w:br/>
              <w:t>(Post title only)</w:t>
            </w:r>
          </w:p>
        </w:tc>
        <w:tc>
          <w:tcPr>
            <w:tcW w:w="758" w:type="dxa"/>
            <w:tcBorders>
              <w:top w:val="single" w:sz="4" w:space="0" w:color="auto"/>
              <w:left w:val="nil"/>
              <w:bottom w:val="single" w:sz="4" w:space="0" w:color="auto"/>
              <w:right w:val="single" w:sz="4" w:space="0" w:color="auto"/>
            </w:tcBorders>
            <w:shd w:val="clear" w:color="000000" w:fill="C0C0C0"/>
            <w:vAlign w:val="bottom"/>
            <w:hideMark/>
          </w:tcPr>
          <w:p w14:paraId="1E2F317B" w14:textId="77777777" w:rsidR="007D454F" w:rsidRPr="00EC79F9" w:rsidRDefault="007D454F" w:rsidP="007D454F">
            <w:pPr>
              <w:rPr>
                <w:rFonts w:ascii="Arial" w:hAnsi="Arial" w:cs="Arial"/>
                <w:b/>
                <w:bCs/>
                <w:sz w:val="18"/>
                <w:szCs w:val="18"/>
              </w:rPr>
            </w:pPr>
            <w:r w:rsidRPr="00EC79F9">
              <w:rPr>
                <w:rFonts w:ascii="Arial" w:hAnsi="Arial" w:cs="Arial"/>
                <w:b/>
                <w:bCs/>
                <w:sz w:val="18"/>
                <w:szCs w:val="18"/>
              </w:rPr>
              <w:t>Notes</w:t>
            </w:r>
          </w:p>
        </w:tc>
        <w:tc>
          <w:tcPr>
            <w:tcW w:w="1241" w:type="dxa"/>
            <w:tcBorders>
              <w:top w:val="single" w:sz="4" w:space="0" w:color="auto"/>
              <w:left w:val="single" w:sz="4" w:space="0" w:color="auto"/>
              <w:bottom w:val="single" w:sz="4" w:space="0" w:color="auto"/>
              <w:right w:val="single" w:sz="4" w:space="0" w:color="auto"/>
            </w:tcBorders>
            <w:shd w:val="clear" w:color="000000" w:fill="C0C0C0"/>
            <w:vAlign w:val="bottom"/>
            <w:hideMark/>
          </w:tcPr>
          <w:p w14:paraId="1389F42F" w14:textId="739025FA" w:rsidR="007D454F" w:rsidRPr="00EC79F9" w:rsidRDefault="007D454F" w:rsidP="007D454F">
            <w:pPr>
              <w:jc w:val="center"/>
              <w:rPr>
                <w:rFonts w:ascii="Arial" w:hAnsi="Arial" w:cs="Arial"/>
                <w:b/>
                <w:bCs/>
                <w:sz w:val="18"/>
                <w:szCs w:val="18"/>
              </w:rPr>
            </w:pPr>
            <w:r>
              <w:rPr>
                <w:rFonts w:ascii="Arial" w:hAnsi="Arial" w:cs="Arial"/>
                <w:b/>
                <w:bCs/>
                <w:sz w:val="18"/>
                <w:szCs w:val="18"/>
              </w:rPr>
              <w:t>Salary (including allowances)</w:t>
            </w:r>
            <w:r>
              <w:rPr>
                <w:rFonts w:ascii="Arial" w:hAnsi="Arial" w:cs="Arial"/>
                <w:b/>
                <w:bCs/>
                <w:sz w:val="18"/>
                <w:szCs w:val="18"/>
              </w:rPr>
              <w:br/>
              <w:t>£</w:t>
            </w:r>
          </w:p>
        </w:tc>
        <w:tc>
          <w:tcPr>
            <w:tcW w:w="1373" w:type="dxa"/>
            <w:tcBorders>
              <w:top w:val="single" w:sz="4" w:space="0" w:color="auto"/>
              <w:left w:val="nil"/>
              <w:bottom w:val="single" w:sz="4" w:space="0" w:color="auto"/>
              <w:right w:val="single" w:sz="4" w:space="0" w:color="auto"/>
            </w:tcBorders>
            <w:shd w:val="clear" w:color="000000" w:fill="C0C0C0"/>
            <w:vAlign w:val="bottom"/>
            <w:hideMark/>
          </w:tcPr>
          <w:p w14:paraId="2E6960E7" w14:textId="3AF2D24B" w:rsidR="007D454F" w:rsidRPr="00EC79F9" w:rsidRDefault="007D454F" w:rsidP="007D454F">
            <w:pPr>
              <w:jc w:val="center"/>
              <w:rPr>
                <w:rFonts w:ascii="Arial" w:hAnsi="Arial" w:cs="Arial"/>
                <w:b/>
                <w:bCs/>
                <w:sz w:val="18"/>
                <w:szCs w:val="18"/>
              </w:rPr>
            </w:pPr>
            <w:r>
              <w:rPr>
                <w:rFonts w:ascii="Arial" w:hAnsi="Arial" w:cs="Arial"/>
                <w:b/>
                <w:bCs/>
                <w:sz w:val="18"/>
                <w:szCs w:val="18"/>
              </w:rPr>
              <w:t>Honorarium</w:t>
            </w:r>
            <w:r>
              <w:rPr>
                <w:rFonts w:ascii="Arial" w:hAnsi="Arial" w:cs="Arial"/>
                <w:b/>
                <w:bCs/>
                <w:sz w:val="18"/>
                <w:szCs w:val="18"/>
              </w:rPr>
              <w:br/>
              <w:t>£</w:t>
            </w:r>
          </w:p>
        </w:tc>
        <w:tc>
          <w:tcPr>
            <w:tcW w:w="1276" w:type="dxa"/>
            <w:tcBorders>
              <w:top w:val="single" w:sz="4" w:space="0" w:color="auto"/>
              <w:left w:val="nil"/>
              <w:bottom w:val="single" w:sz="4" w:space="0" w:color="auto"/>
              <w:right w:val="single" w:sz="4" w:space="0" w:color="auto"/>
            </w:tcBorders>
            <w:shd w:val="clear" w:color="000000" w:fill="C0C0C0"/>
            <w:vAlign w:val="bottom"/>
            <w:hideMark/>
          </w:tcPr>
          <w:p w14:paraId="1BB74FBE" w14:textId="3E9E40B0" w:rsidR="007D454F" w:rsidRPr="00EC79F9" w:rsidRDefault="007D454F" w:rsidP="007D454F">
            <w:pPr>
              <w:jc w:val="center"/>
              <w:rPr>
                <w:rFonts w:ascii="Arial" w:hAnsi="Arial" w:cs="Arial"/>
                <w:b/>
                <w:bCs/>
                <w:sz w:val="18"/>
                <w:szCs w:val="18"/>
              </w:rPr>
            </w:pPr>
            <w:r>
              <w:rPr>
                <w:rFonts w:ascii="Arial" w:hAnsi="Arial" w:cs="Arial"/>
                <w:b/>
                <w:bCs/>
                <w:sz w:val="18"/>
                <w:szCs w:val="18"/>
              </w:rPr>
              <w:t>Expenses Allowances</w:t>
            </w:r>
            <w:r>
              <w:rPr>
                <w:rFonts w:ascii="Arial" w:hAnsi="Arial" w:cs="Arial"/>
                <w:b/>
                <w:bCs/>
                <w:sz w:val="18"/>
                <w:szCs w:val="18"/>
              </w:rPr>
              <w:br/>
              <w:t>£</w:t>
            </w:r>
          </w:p>
        </w:tc>
        <w:tc>
          <w:tcPr>
            <w:tcW w:w="1267" w:type="dxa"/>
            <w:tcBorders>
              <w:top w:val="single" w:sz="4" w:space="0" w:color="auto"/>
              <w:left w:val="nil"/>
              <w:bottom w:val="single" w:sz="4" w:space="0" w:color="auto"/>
              <w:right w:val="single" w:sz="4" w:space="0" w:color="auto"/>
            </w:tcBorders>
            <w:shd w:val="clear" w:color="000000" w:fill="C0C0C0"/>
            <w:vAlign w:val="bottom"/>
            <w:hideMark/>
          </w:tcPr>
          <w:p w14:paraId="627AECFC" w14:textId="07E8356C" w:rsidR="007D454F" w:rsidRPr="00EC79F9" w:rsidRDefault="007D454F" w:rsidP="007D454F">
            <w:pPr>
              <w:jc w:val="center"/>
              <w:rPr>
                <w:rFonts w:ascii="Arial" w:hAnsi="Arial" w:cs="Arial"/>
                <w:b/>
                <w:bCs/>
                <w:sz w:val="18"/>
                <w:szCs w:val="18"/>
              </w:rPr>
            </w:pPr>
            <w:r>
              <w:rPr>
                <w:rFonts w:ascii="Arial" w:hAnsi="Arial" w:cs="Arial"/>
                <w:b/>
                <w:bCs/>
                <w:sz w:val="18"/>
                <w:szCs w:val="18"/>
              </w:rPr>
              <w:t>Other Payments       £</w:t>
            </w:r>
          </w:p>
        </w:tc>
        <w:tc>
          <w:tcPr>
            <w:tcW w:w="991" w:type="dxa"/>
            <w:tcBorders>
              <w:top w:val="single" w:sz="4" w:space="0" w:color="auto"/>
              <w:left w:val="nil"/>
              <w:bottom w:val="single" w:sz="4" w:space="0" w:color="auto"/>
              <w:right w:val="single" w:sz="4" w:space="0" w:color="auto"/>
            </w:tcBorders>
            <w:shd w:val="clear" w:color="000000" w:fill="C0C0C0"/>
            <w:vAlign w:val="bottom"/>
            <w:hideMark/>
          </w:tcPr>
          <w:p w14:paraId="20E26BE5" w14:textId="6B7727E0" w:rsidR="007D454F" w:rsidRPr="00EC79F9" w:rsidRDefault="007D454F" w:rsidP="007D454F">
            <w:pPr>
              <w:jc w:val="center"/>
              <w:rPr>
                <w:rFonts w:ascii="Arial" w:hAnsi="Arial" w:cs="Arial"/>
                <w:b/>
                <w:bCs/>
                <w:sz w:val="18"/>
                <w:szCs w:val="18"/>
              </w:rPr>
            </w:pPr>
            <w:r>
              <w:rPr>
                <w:rFonts w:ascii="Arial" w:hAnsi="Arial" w:cs="Arial"/>
                <w:b/>
                <w:bCs/>
                <w:sz w:val="18"/>
                <w:szCs w:val="18"/>
              </w:rPr>
              <w:t xml:space="preserve">Benefits in Kind </w:t>
            </w:r>
            <w:r>
              <w:rPr>
                <w:rFonts w:ascii="Arial" w:hAnsi="Arial" w:cs="Arial"/>
                <w:b/>
                <w:bCs/>
                <w:sz w:val="18"/>
                <w:szCs w:val="18"/>
              </w:rPr>
              <w:br/>
              <w:t xml:space="preserve">£ </w:t>
            </w:r>
          </w:p>
        </w:tc>
        <w:tc>
          <w:tcPr>
            <w:tcW w:w="1596" w:type="dxa"/>
            <w:tcBorders>
              <w:top w:val="single" w:sz="4" w:space="0" w:color="auto"/>
              <w:left w:val="nil"/>
              <w:bottom w:val="single" w:sz="4" w:space="0" w:color="auto"/>
              <w:right w:val="single" w:sz="4" w:space="0" w:color="auto"/>
            </w:tcBorders>
            <w:shd w:val="clear" w:color="000000" w:fill="C0C0C0"/>
            <w:vAlign w:val="bottom"/>
            <w:hideMark/>
          </w:tcPr>
          <w:p w14:paraId="2951FCB2" w14:textId="54EF56E4" w:rsidR="007D454F" w:rsidRPr="00EC79F9" w:rsidRDefault="007D454F" w:rsidP="007D454F">
            <w:pPr>
              <w:jc w:val="center"/>
              <w:rPr>
                <w:rFonts w:ascii="Arial" w:hAnsi="Arial" w:cs="Arial"/>
                <w:b/>
                <w:bCs/>
                <w:sz w:val="18"/>
                <w:szCs w:val="18"/>
              </w:rPr>
            </w:pPr>
            <w:r>
              <w:rPr>
                <w:rFonts w:ascii="Arial" w:hAnsi="Arial" w:cs="Arial"/>
                <w:b/>
                <w:bCs/>
                <w:sz w:val="18"/>
                <w:szCs w:val="18"/>
              </w:rPr>
              <w:t xml:space="preserve">Total Remunerations </w:t>
            </w:r>
            <w:proofErr w:type="spellStart"/>
            <w:r>
              <w:rPr>
                <w:rFonts w:ascii="Arial" w:hAnsi="Arial" w:cs="Arial"/>
                <w:b/>
                <w:bCs/>
                <w:sz w:val="18"/>
                <w:szCs w:val="18"/>
              </w:rPr>
              <w:t>exc</w:t>
            </w:r>
            <w:proofErr w:type="spellEnd"/>
            <w:r>
              <w:rPr>
                <w:rFonts w:ascii="Arial" w:hAnsi="Arial" w:cs="Arial"/>
                <w:b/>
                <w:bCs/>
                <w:sz w:val="18"/>
                <w:szCs w:val="18"/>
              </w:rPr>
              <w:t xml:space="preserve"> Pensions Contributions </w:t>
            </w:r>
            <w:r>
              <w:rPr>
                <w:rFonts w:ascii="Arial" w:hAnsi="Arial" w:cs="Arial"/>
                <w:b/>
                <w:bCs/>
                <w:sz w:val="18"/>
                <w:szCs w:val="18"/>
              </w:rPr>
              <w:br/>
              <w:t>£</w:t>
            </w:r>
          </w:p>
        </w:tc>
        <w:tc>
          <w:tcPr>
            <w:tcW w:w="1532" w:type="dxa"/>
            <w:tcBorders>
              <w:top w:val="single" w:sz="4" w:space="0" w:color="auto"/>
              <w:left w:val="nil"/>
              <w:bottom w:val="single" w:sz="4" w:space="0" w:color="auto"/>
              <w:right w:val="single" w:sz="4" w:space="0" w:color="auto"/>
            </w:tcBorders>
            <w:shd w:val="clear" w:color="000000" w:fill="C0C0C0"/>
            <w:vAlign w:val="bottom"/>
            <w:hideMark/>
          </w:tcPr>
          <w:p w14:paraId="4957FD99" w14:textId="05D0628B" w:rsidR="007D454F" w:rsidRPr="00EC79F9" w:rsidRDefault="007D454F" w:rsidP="007D454F">
            <w:pPr>
              <w:jc w:val="center"/>
              <w:rPr>
                <w:rFonts w:ascii="Arial" w:hAnsi="Arial" w:cs="Arial"/>
                <w:b/>
                <w:bCs/>
                <w:sz w:val="18"/>
                <w:szCs w:val="18"/>
              </w:rPr>
            </w:pPr>
            <w:r>
              <w:rPr>
                <w:rFonts w:ascii="Arial" w:hAnsi="Arial" w:cs="Arial"/>
                <w:b/>
                <w:bCs/>
                <w:sz w:val="18"/>
                <w:szCs w:val="18"/>
              </w:rPr>
              <w:t>Employers Pensions Contributions</w:t>
            </w:r>
            <w:r>
              <w:rPr>
                <w:rFonts w:ascii="Arial" w:hAnsi="Arial" w:cs="Arial"/>
                <w:b/>
                <w:bCs/>
                <w:sz w:val="18"/>
                <w:szCs w:val="18"/>
              </w:rPr>
              <w:br/>
              <w:t>£</w:t>
            </w:r>
          </w:p>
        </w:tc>
        <w:tc>
          <w:tcPr>
            <w:tcW w:w="1560" w:type="dxa"/>
            <w:tcBorders>
              <w:top w:val="single" w:sz="4" w:space="0" w:color="auto"/>
              <w:left w:val="nil"/>
              <w:bottom w:val="single" w:sz="4" w:space="0" w:color="auto"/>
              <w:right w:val="single" w:sz="4" w:space="0" w:color="auto"/>
            </w:tcBorders>
            <w:shd w:val="clear" w:color="000000" w:fill="C0C0C0"/>
            <w:vAlign w:val="bottom"/>
            <w:hideMark/>
          </w:tcPr>
          <w:p w14:paraId="4FA8B49E" w14:textId="75C8F17D" w:rsidR="007D454F" w:rsidRPr="00EC79F9" w:rsidRDefault="007D454F" w:rsidP="007D454F">
            <w:pPr>
              <w:jc w:val="center"/>
              <w:rPr>
                <w:rFonts w:ascii="Arial" w:hAnsi="Arial" w:cs="Arial"/>
                <w:b/>
                <w:bCs/>
                <w:sz w:val="18"/>
                <w:szCs w:val="18"/>
              </w:rPr>
            </w:pPr>
            <w:r>
              <w:rPr>
                <w:rFonts w:ascii="Arial" w:hAnsi="Arial" w:cs="Arial"/>
                <w:b/>
                <w:bCs/>
                <w:sz w:val="18"/>
                <w:szCs w:val="18"/>
              </w:rPr>
              <w:t xml:space="preserve">Total Remuneration </w:t>
            </w:r>
            <w:r>
              <w:rPr>
                <w:rFonts w:ascii="Arial" w:hAnsi="Arial" w:cs="Arial"/>
                <w:b/>
                <w:bCs/>
                <w:sz w:val="18"/>
                <w:szCs w:val="18"/>
              </w:rPr>
              <w:br/>
              <w:t>£</w:t>
            </w:r>
          </w:p>
        </w:tc>
      </w:tr>
      <w:tr w:rsidR="00E057A0" w:rsidRPr="00EC79F9" w14:paraId="64F49E81"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4781F78C" w14:textId="3C7097A3" w:rsidR="00E057A0" w:rsidRPr="00EC79F9" w:rsidRDefault="00E057A0" w:rsidP="00E057A0">
            <w:pPr>
              <w:rPr>
                <w:rFonts w:ascii="Arial" w:hAnsi="Arial" w:cs="Arial"/>
                <w:b/>
                <w:bCs/>
                <w:u w:val="single"/>
              </w:rPr>
            </w:pPr>
            <w:r w:rsidRPr="00CD15C6">
              <w:rPr>
                <w:rFonts w:ascii="Arial" w:hAnsi="Arial" w:cs="Arial"/>
                <w:b/>
                <w:bCs/>
                <w:u w:val="single"/>
              </w:rPr>
              <w:t>OFFICE OF THE PCC</w:t>
            </w:r>
          </w:p>
        </w:tc>
        <w:tc>
          <w:tcPr>
            <w:tcW w:w="758"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0029910" w14:textId="46762F8A" w:rsidR="00E057A0" w:rsidRPr="00EC79F9" w:rsidRDefault="00E057A0" w:rsidP="00E057A0">
            <w:pPr>
              <w:rPr>
                <w:rFonts w:ascii="Arial" w:hAnsi="Arial" w:cs="Arial"/>
                <w:b/>
                <w:bCs/>
                <w:sz w:val="16"/>
                <w:szCs w:val="16"/>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EB6E788" w14:textId="3F0AAD7B" w:rsidR="00E057A0" w:rsidRPr="00EC79F9" w:rsidRDefault="00E057A0" w:rsidP="00E057A0">
            <w:pPr>
              <w:jc w:val="center"/>
              <w:rPr>
                <w:rFonts w:ascii="Arial" w:hAnsi="Arial" w:cs="Arial"/>
                <w:b/>
                <w:bCs/>
                <w:sz w:val="16"/>
                <w:szCs w:val="16"/>
              </w:rPr>
            </w:pPr>
          </w:p>
        </w:tc>
        <w:tc>
          <w:tcPr>
            <w:tcW w:w="1373"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9DD3BC0" w14:textId="17AE1430" w:rsidR="00E057A0" w:rsidRPr="00EC79F9" w:rsidRDefault="00E057A0" w:rsidP="00E057A0">
            <w:pPr>
              <w:jc w:val="center"/>
              <w:rPr>
                <w:rFonts w:ascii="Arial" w:hAnsi="Arial" w:cs="Arial"/>
                <w:b/>
                <w:bCs/>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74A0B72" w14:textId="0C493A60" w:rsidR="00E057A0" w:rsidRPr="00EC79F9" w:rsidRDefault="00E057A0" w:rsidP="00E057A0">
            <w:pPr>
              <w:jc w:val="center"/>
              <w:rPr>
                <w:rFonts w:ascii="Arial" w:hAnsi="Arial" w:cs="Arial"/>
                <w:b/>
                <w:bCs/>
                <w:sz w:val="16"/>
                <w:szCs w:val="16"/>
              </w:rPr>
            </w:pPr>
          </w:p>
        </w:tc>
        <w:tc>
          <w:tcPr>
            <w:tcW w:w="126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EA5CDF5" w14:textId="70512C8B" w:rsidR="00E057A0" w:rsidRPr="00EC79F9" w:rsidRDefault="00E057A0" w:rsidP="00E057A0">
            <w:pPr>
              <w:jc w:val="center"/>
              <w:rPr>
                <w:rFonts w:ascii="Arial" w:hAnsi="Arial" w:cs="Arial"/>
                <w:b/>
                <w:bCs/>
                <w:sz w:val="16"/>
                <w:szCs w:val="16"/>
              </w:rPr>
            </w:pPr>
          </w:p>
        </w:tc>
        <w:tc>
          <w:tcPr>
            <w:tcW w:w="99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9DB1D07" w14:textId="7526CF1F" w:rsidR="00E057A0" w:rsidRPr="00EC79F9" w:rsidRDefault="00E057A0" w:rsidP="00E057A0">
            <w:pPr>
              <w:jc w:val="center"/>
              <w:rPr>
                <w:rFonts w:ascii="Arial" w:hAnsi="Arial" w:cs="Arial"/>
                <w:b/>
                <w:bCs/>
                <w:sz w:val="16"/>
                <w:szCs w:val="16"/>
              </w:rPr>
            </w:pPr>
          </w:p>
        </w:tc>
        <w:tc>
          <w:tcPr>
            <w:tcW w:w="159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5F55409" w14:textId="6CE4D790" w:rsidR="00E057A0" w:rsidRPr="00EC79F9" w:rsidRDefault="00E057A0" w:rsidP="00E057A0">
            <w:pPr>
              <w:jc w:val="center"/>
              <w:rPr>
                <w:rFonts w:ascii="Arial" w:hAnsi="Arial" w:cs="Arial"/>
                <w:b/>
                <w:bCs/>
                <w:sz w:val="16"/>
                <w:szCs w:val="16"/>
              </w:rPr>
            </w:pPr>
          </w:p>
        </w:tc>
        <w:tc>
          <w:tcPr>
            <w:tcW w:w="1532"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FA5A37B" w14:textId="222EA088" w:rsidR="00E057A0" w:rsidRPr="00EC79F9" w:rsidRDefault="00E057A0" w:rsidP="00E057A0">
            <w:pPr>
              <w:jc w:val="center"/>
              <w:rPr>
                <w:rFonts w:ascii="Arial" w:hAnsi="Arial" w:cs="Arial"/>
                <w:b/>
                <w:bCs/>
                <w:sz w:val="16"/>
                <w:szCs w:val="16"/>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07D60BB" w14:textId="048CF542"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 xml:space="preserve"> </w:t>
            </w:r>
          </w:p>
        </w:tc>
      </w:tr>
      <w:tr w:rsidR="00E057A0" w:rsidRPr="00EC79F9" w14:paraId="59EAB5C3"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7719A07" w14:textId="3939839C"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Police and Crime Commissioner</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C2EB157" w14:textId="6E7AC811" w:rsidR="00E057A0" w:rsidRPr="00EC79F9"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6565CA7" w14:textId="5A05A581"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88,600</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A2D4ADB" w14:textId="25AB31B0" w:rsidR="00E057A0" w:rsidRPr="00EC79F9"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69DABBF" w14:textId="339DEF06" w:rsidR="00E057A0" w:rsidRPr="00EC79F9"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9D27F5A" w14:textId="4CE79AF6" w:rsidR="00E057A0" w:rsidRPr="00EC79F9"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B6C65AD" w14:textId="6C30AAC7" w:rsidR="00E057A0" w:rsidRPr="00EC79F9"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8590B6" w14:textId="08473845"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88,600</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70D816A" w14:textId="3ABADA9C"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10,632</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C2A9D8C" w14:textId="09EC390A"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99,232</w:t>
            </w:r>
          </w:p>
        </w:tc>
      </w:tr>
      <w:tr w:rsidR="00E057A0" w:rsidRPr="00EC79F9" w14:paraId="3AB93CE6"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C4BD2A2" w14:textId="408A80AA"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Deputy Police and Crime Commissioner</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3DC4DB2" w14:textId="1C76DE77" w:rsidR="00E057A0" w:rsidRPr="00EC79F9"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59D6C05" w14:textId="3B619F26"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11,094</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345EB2A" w14:textId="2B2352FE" w:rsidR="00E057A0" w:rsidRPr="00EC79F9"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C5B5A95" w14:textId="05339A1E" w:rsidR="00E057A0" w:rsidRPr="00EC79F9"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AF0C66" w14:textId="27AC1B16" w:rsidR="00E057A0" w:rsidRPr="00EC79F9"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17B9213" w14:textId="1097D896" w:rsidR="00E057A0" w:rsidRPr="00EC79F9"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C9FC7C2" w14:textId="7B1E1854"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11,094</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8BF23D7" w14:textId="0A27B98F"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0</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7CE91B9" w14:textId="5CF770B5"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11,094</w:t>
            </w:r>
          </w:p>
        </w:tc>
      </w:tr>
      <w:tr w:rsidR="00E057A0" w:rsidRPr="00EC79F9" w14:paraId="30E91B57"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F622376" w14:textId="230EE3F9"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Chief Executive</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2F752E4" w14:textId="0D4C7C5C" w:rsidR="00E057A0" w:rsidRPr="00EC79F9"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533B366" w14:textId="502E6173"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w:t>
            </w:r>
            <w:r>
              <w:rPr>
                <w:rFonts w:ascii="Arial" w:hAnsi="Arial" w:cs="Arial"/>
                <w:color w:val="000000"/>
                <w:sz w:val="18"/>
                <w:szCs w:val="18"/>
              </w:rPr>
              <w:t>10</w:t>
            </w:r>
            <w:r w:rsidRPr="00CD15C6">
              <w:rPr>
                <w:rFonts w:ascii="Arial" w:hAnsi="Arial" w:cs="Arial"/>
                <w:color w:val="000000"/>
                <w:sz w:val="18"/>
                <w:szCs w:val="18"/>
              </w:rPr>
              <w:t>,</w:t>
            </w:r>
            <w:r>
              <w:rPr>
                <w:rFonts w:ascii="Arial" w:hAnsi="Arial" w:cs="Arial"/>
                <w:color w:val="000000"/>
                <w:sz w:val="18"/>
                <w:szCs w:val="18"/>
              </w:rPr>
              <w:t>043</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75F6DE" w14:textId="1E5D4E20" w:rsidR="00E057A0" w:rsidRPr="00EC79F9"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78C7FEF" w14:textId="7C8AD0D4" w:rsidR="00E057A0" w:rsidRPr="00EC79F9"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414D323" w14:textId="747A3F7C" w:rsidR="00E057A0" w:rsidRPr="00EC79F9"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DF49AFC" w14:textId="10E27C99" w:rsidR="00E057A0" w:rsidRPr="00EC79F9"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EABB5F" w14:textId="3E2314A7"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w:t>
            </w:r>
            <w:r>
              <w:rPr>
                <w:rFonts w:ascii="Arial" w:hAnsi="Arial" w:cs="Arial"/>
                <w:color w:val="000000"/>
                <w:sz w:val="18"/>
                <w:szCs w:val="18"/>
              </w:rPr>
              <w:t>1</w:t>
            </w:r>
            <w:r w:rsidRPr="00CD15C6">
              <w:rPr>
                <w:rFonts w:ascii="Arial" w:hAnsi="Arial" w:cs="Arial"/>
                <w:color w:val="000000"/>
                <w:sz w:val="18"/>
                <w:szCs w:val="18"/>
              </w:rPr>
              <w:t>0,</w:t>
            </w:r>
            <w:r>
              <w:rPr>
                <w:rFonts w:ascii="Arial" w:hAnsi="Arial" w:cs="Arial"/>
                <w:color w:val="000000"/>
                <w:sz w:val="18"/>
                <w:szCs w:val="18"/>
              </w:rPr>
              <w:t>043</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722EEDF" w14:textId="3357568E"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w:t>
            </w:r>
            <w:r>
              <w:rPr>
                <w:rFonts w:ascii="Arial" w:hAnsi="Arial" w:cs="Arial"/>
                <w:color w:val="000000"/>
                <w:sz w:val="18"/>
                <w:szCs w:val="18"/>
              </w:rPr>
              <w:t>2</w:t>
            </w:r>
            <w:r w:rsidRPr="00CD15C6">
              <w:rPr>
                <w:rFonts w:ascii="Arial" w:hAnsi="Arial" w:cs="Arial"/>
                <w:color w:val="000000"/>
                <w:sz w:val="18"/>
                <w:szCs w:val="18"/>
              </w:rPr>
              <w:t>,</w:t>
            </w:r>
            <w:r>
              <w:rPr>
                <w:rFonts w:ascii="Arial" w:hAnsi="Arial" w:cs="Arial"/>
                <w:color w:val="000000"/>
                <w:sz w:val="18"/>
                <w:szCs w:val="18"/>
              </w:rPr>
              <w:t>432</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232C62A" w14:textId="77FE925C"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w:t>
            </w:r>
            <w:r>
              <w:rPr>
                <w:rFonts w:ascii="Arial" w:hAnsi="Arial" w:cs="Arial"/>
                <w:color w:val="000000"/>
                <w:sz w:val="18"/>
                <w:szCs w:val="18"/>
              </w:rPr>
              <w:t>22</w:t>
            </w:r>
            <w:r w:rsidRPr="00CD15C6">
              <w:rPr>
                <w:rFonts w:ascii="Arial" w:hAnsi="Arial" w:cs="Arial"/>
                <w:color w:val="000000"/>
                <w:sz w:val="18"/>
                <w:szCs w:val="18"/>
              </w:rPr>
              <w:t>,</w:t>
            </w:r>
            <w:r>
              <w:rPr>
                <w:rFonts w:ascii="Arial" w:hAnsi="Arial" w:cs="Arial"/>
                <w:color w:val="000000"/>
                <w:sz w:val="18"/>
                <w:szCs w:val="18"/>
              </w:rPr>
              <w:t>475</w:t>
            </w:r>
          </w:p>
        </w:tc>
      </w:tr>
      <w:tr w:rsidR="00E057A0" w:rsidRPr="00EC79F9" w14:paraId="6BCC0ACD"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9CAA986" w14:textId="004A21F3"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Chief Finance Officer - s151 officer</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ED68079" w14:textId="3705253E" w:rsidR="00E057A0" w:rsidRPr="00EC79F9"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60B9978" w14:textId="5718027D"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81,544</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60B5FA4" w14:textId="4F244CED" w:rsidR="00E057A0" w:rsidRPr="00EC79F9"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D61089F" w14:textId="3EA7FFEE" w:rsidR="00E057A0" w:rsidRPr="00EC79F9"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E9480EB" w14:textId="4E123383" w:rsidR="00E057A0" w:rsidRPr="00EC79F9"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222AA50" w14:textId="2B4F1191" w:rsidR="00E057A0" w:rsidRPr="00EC79F9"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6EC8B1E" w14:textId="254A3928"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81,544</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BA1BF62" w14:textId="55797D0A"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9,785</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738095C" w14:textId="22094431"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91,330</w:t>
            </w:r>
          </w:p>
        </w:tc>
      </w:tr>
      <w:tr w:rsidR="002D4348" w:rsidRPr="00EC79F9" w14:paraId="106422E8" w14:textId="77777777" w:rsidTr="00C75839">
        <w:trPr>
          <w:trHeight w:val="79"/>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tcPr>
          <w:p w14:paraId="58242B08" w14:textId="77777777" w:rsidR="002D4348" w:rsidRPr="00CD15C6" w:rsidRDefault="002D4348" w:rsidP="00E057A0">
            <w:pPr>
              <w:rPr>
                <w:rFonts w:ascii="Arial" w:hAnsi="Arial" w:cs="Arial"/>
                <w:color w:val="000000"/>
                <w:sz w:val="18"/>
                <w:szCs w:val="18"/>
              </w:rPr>
            </w:pP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7E93A78C" w14:textId="77777777" w:rsidR="002D4348" w:rsidRPr="00EC79F9" w:rsidRDefault="002D4348"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018F974E" w14:textId="77777777" w:rsidR="002D4348" w:rsidRPr="00CD15C6" w:rsidRDefault="002D4348" w:rsidP="00E057A0">
            <w:pPr>
              <w:jc w:val="right"/>
              <w:rPr>
                <w:rFonts w:ascii="Arial" w:hAnsi="Arial" w:cs="Arial"/>
                <w:color w:val="000000"/>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7CAC3F1C" w14:textId="77777777" w:rsidR="002D4348" w:rsidRPr="00EC79F9" w:rsidRDefault="002D4348"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76FE02B7" w14:textId="77777777" w:rsidR="002D4348" w:rsidRPr="00EC79F9" w:rsidRDefault="002D4348"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09BB214B" w14:textId="77777777" w:rsidR="002D4348" w:rsidRPr="00EC79F9" w:rsidRDefault="002D4348"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AF8E2A1" w14:textId="77777777" w:rsidR="002D4348" w:rsidRPr="00EC79F9" w:rsidRDefault="002D4348"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91B3704" w14:textId="77777777" w:rsidR="002D4348" w:rsidRPr="00CD15C6" w:rsidRDefault="002D4348" w:rsidP="00E057A0">
            <w:pPr>
              <w:jc w:val="right"/>
              <w:rPr>
                <w:rFonts w:ascii="Arial" w:hAnsi="Arial" w:cs="Arial"/>
                <w:color w:val="000000"/>
                <w:sz w:val="18"/>
                <w:szCs w:val="18"/>
              </w:rPr>
            </w:pP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41A9075" w14:textId="77777777" w:rsidR="002D4348" w:rsidRPr="00CD15C6" w:rsidRDefault="002D4348" w:rsidP="00E057A0">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1A24C9F3" w14:textId="77777777" w:rsidR="002D4348" w:rsidRPr="00CD15C6" w:rsidRDefault="002D4348" w:rsidP="00E057A0">
            <w:pPr>
              <w:jc w:val="right"/>
              <w:rPr>
                <w:rFonts w:ascii="Arial" w:hAnsi="Arial" w:cs="Arial"/>
                <w:color w:val="000000"/>
                <w:sz w:val="18"/>
                <w:szCs w:val="18"/>
              </w:rPr>
            </w:pPr>
          </w:p>
        </w:tc>
      </w:tr>
      <w:tr w:rsidR="007D454F" w:rsidRPr="00EC79F9" w14:paraId="3848349A" w14:textId="77777777" w:rsidTr="004D5349">
        <w:trPr>
          <w:trHeight w:val="323"/>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tcPr>
          <w:p w14:paraId="27D0EA01" w14:textId="592979BD" w:rsidR="007D454F" w:rsidRPr="00CD15C6" w:rsidRDefault="00AB0C82" w:rsidP="00E057A0">
            <w:pPr>
              <w:rPr>
                <w:rFonts w:ascii="Arial" w:hAnsi="Arial" w:cs="Arial"/>
                <w:color w:val="000000"/>
                <w:sz w:val="18"/>
                <w:szCs w:val="18"/>
              </w:rPr>
            </w:pPr>
            <w:r w:rsidRPr="003E201F">
              <w:rPr>
                <w:rFonts w:ascii="Arial" w:hAnsi="Arial"/>
                <w:b/>
                <w:bCs/>
                <w:color w:val="000000"/>
                <w:u w:val="single"/>
              </w:rPr>
              <w:t>LANCASHIRE CONSTABULARY</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14ADEC2D" w14:textId="77777777" w:rsidR="007D454F" w:rsidRPr="00EC79F9" w:rsidRDefault="007D454F"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F4A3C95" w14:textId="77777777" w:rsidR="007D454F" w:rsidRPr="00CD15C6" w:rsidRDefault="007D454F" w:rsidP="00E057A0">
            <w:pPr>
              <w:jc w:val="right"/>
              <w:rPr>
                <w:rFonts w:ascii="Arial" w:hAnsi="Arial" w:cs="Arial"/>
                <w:color w:val="000000"/>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0E030FDA" w14:textId="77777777" w:rsidR="007D454F" w:rsidRPr="00EC79F9" w:rsidRDefault="007D454F"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2683CB14" w14:textId="77777777" w:rsidR="007D454F" w:rsidRPr="00EC79F9" w:rsidRDefault="007D454F"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2912908A" w14:textId="77777777" w:rsidR="007D454F" w:rsidRPr="00EC79F9" w:rsidRDefault="007D454F"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83FC28B" w14:textId="77777777" w:rsidR="007D454F" w:rsidRPr="00EC79F9" w:rsidRDefault="007D454F"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117221E" w14:textId="77777777" w:rsidR="007D454F" w:rsidRPr="00CD15C6" w:rsidRDefault="007D454F" w:rsidP="00E057A0">
            <w:pPr>
              <w:jc w:val="right"/>
              <w:rPr>
                <w:rFonts w:ascii="Arial" w:hAnsi="Arial" w:cs="Arial"/>
                <w:color w:val="000000"/>
                <w:sz w:val="18"/>
                <w:szCs w:val="18"/>
              </w:rPr>
            </w:pP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7F84A7A5" w14:textId="77777777" w:rsidR="007D454F" w:rsidRPr="00CD15C6" w:rsidRDefault="007D454F" w:rsidP="00E057A0">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1F206179" w14:textId="77777777" w:rsidR="007D454F" w:rsidRPr="00CD15C6" w:rsidRDefault="007D454F" w:rsidP="00E057A0">
            <w:pPr>
              <w:jc w:val="right"/>
              <w:rPr>
                <w:rFonts w:ascii="Arial" w:hAnsi="Arial" w:cs="Arial"/>
                <w:color w:val="000000"/>
                <w:sz w:val="18"/>
                <w:szCs w:val="18"/>
              </w:rPr>
            </w:pPr>
          </w:p>
        </w:tc>
      </w:tr>
      <w:tr w:rsidR="00E057A0" w:rsidRPr="00EC79F9" w14:paraId="09E0DA90"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424F427" w14:textId="17D09FED"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Chief Constable A - C Rowley</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8B769DC" w14:textId="7BC7592B"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Note 1</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F651A21" w14:textId="157ED25F"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182,520</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4A82B8B" w14:textId="3D59527D" w:rsidR="00E057A0" w:rsidRPr="00EC79F9"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29B5F3E" w14:textId="26BE664B" w:rsidR="00E057A0" w:rsidRPr="00EC79F9"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DA1AF02" w14:textId="71671FC3" w:rsidR="00E057A0" w:rsidRPr="00EC79F9"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EC39F44" w14:textId="1C3A77D9" w:rsidR="00E057A0" w:rsidRPr="00EC79F9"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C1CEBE" w14:textId="5124C681"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182,520</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3251D1A" w14:textId="52F93437"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55,567</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1DA2C42" w14:textId="03E54F95"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238,087</w:t>
            </w:r>
          </w:p>
        </w:tc>
      </w:tr>
      <w:tr w:rsidR="00E057A0" w:rsidRPr="00EC79F9" w14:paraId="50D587A1"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tcPr>
          <w:p w14:paraId="6F42B678" w14:textId="730C7796"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Chief Constable B - S Hatchett</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D5F05CA" w14:textId="40549939" w:rsidR="00E057A0" w:rsidRPr="00EC79F9" w:rsidRDefault="00E057A0" w:rsidP="00E057A0">
            <w:pPr>
              <w:rPr>
                <w:rFonts w:ascii="Arial" w:hAnsi="Arial" w:cs="Arial"/>
                <w:color w:val="000000"/>
                <w:sz w:val="18"/>
                <w:szCs w:val="18"/>
              </w:rPr>
            </w:pPr>
            <w:r w:rsidRPr="00CD15C6">
              <w:rPr>
                <w:rFonts w:ascii="Arial" w:hAnsi="Arial" w:cs="Arial"/>
                <w:color w:val="000000"/>
                <w:sz w:val="18"/>
                <w:szCs w:val="18"/>
              </w:rPr>
              <w:t>Note 1</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tcPr>
          <w:p w14:paraId="716DFB4F" w14:textId="0886F08F"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15,886</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234EF951" w14:textId="77777777" w:rsidR="00E057A0" w:rsidRPr="00EC79F9"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27BF5665" w14:textId="77777777" w:rsidR="00E057A0" w:rsidRPr="00EC79F9"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72621C7B" w14:textId="01D4C63F" w:rsidR="00E057A0" w:rsidRPr="00EC79F9"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38EB98F0" w14:textId="44AE476B" w:rsidR="00E057A0" w:rsidRPr="00EC79F9"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1570B93" w14:textId="3BC7510D"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15,886</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363DED1" w14:textId="687D34EA"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4,897</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967DEA6" w14:textId="2663E301" w:rsidR="00E057A0" w:rsidRPr="00EC79F9" w:rsidRDefault="00E057A0" w:rsidP="00E057A0">
            <w:pPr>
              <w:jc w:val="right"/>
              <w:rPr>
                <w:rFonts w:ascii="Arial" w:hAnsi="Arial" w:cs="Arial"/>
                <w:color w:val="000000"/>
                <w:sz w:val="18"/>
                <w:szCs w:val="18"/>
              </w:rPr>
            </w:pPr>
            <w:r w:rsidRPr="00CD15C6">
              <w:rPr>
                <w:rFonts w:ascii="Arial" w:hAnsi="Arial" w:cs="Arial"/>
                <w:color w:val="000000"/>
                <w:sz w:val="18"/>
                <w:szCs w:val="18"/>
              </w:rPr>
              <w:t>20,783</w:t>
            </w:r>
          </w:p>
        </w:tc>
      </w:tr>
      <w:tr w:rsidR="00E057A0" w:rsidRPr="00BC0E48" w14:paraId="15F6C1DA" w14:textId="77777777" w:rsidTr="00C75839">
        <w:trPr>
          <w:trHeight w:val="190"/>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F607185" w14:textId="610869B7" w:rsidR="00E057A0" w:rsidRPr="00BC0E48" w:rsidRDefault="00E057A0" w:rsidP="00E057A0">
            <w:pPr>
              <w:rPr>
                <w:rFonts w:ascii="Arial" w:hAnsi="Arial" w:cs="Arial"/>
                <w:color w:val="000000"/>
                <w:sz w:val="18"/>
                <w:szCs w:val="18"/>
              </w:rPr>
            </w:pP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EFCDF7" w14:textId="1ACC6ED8" w:rsidR="00E057A0" w:rsidRPr="00BC0E48"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7BD3D9F" w14:textId="2FC51462" w:rsidR="00E057A0" w:rsidRPr="00BC0E48" w:rsidRDefault="00E057A0" w:rsidP="00E057A0">
            <w:pPr>
              <w:jc w:val="right"/>
              <w:rPr>
                <w:rFonts w:ascii="Arial" w:hAnsi="Arial" w:cs="Arial"/>
                <w:color w:val="000000"/>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1F1BBC8" w14:textId="36ABCB1E"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1BD91EB" w14:textId="779C1DBB" w:rsidR="00E057A0" w:rsidRPr="00BC0E48"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093A8EF" w14:textId="3B2D74FD" w:rsidR="00E057A0" w:rsidRPr="00BC0E48"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BC4AB05" w14:textId="59EDD0AC" w:rsidR="00E057A0" w:rsidRPr="00BC0E48"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2E1C29F" w14:textId="136B2A42" w:rsidR="00E057A0" w:rsidRPr="00BC0E48" w:rsidRDefault="00E057A0" w:rsidP="00E057A0">
            <w:pPr>
              <w:jc w:val="right"/>
              <w:rPr>
                <w:rFonts w:ascii="Arial" w:hAnsi="Arial" w:cs="Arial"/>
                <w:color w:val="000000"/>
                <w:sz w:val="18"/>
                <w:szCs w:val="18"/>
              </w:rPr>
            </w:pP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9F42581" w14:textId="1140DC4E" w:rsidR="00E057A0" w:rsidRPr="00BC0E48" w:rsidRDefault="00E057A0" w:rsidP="00E057A0">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64F943C" w14:textId="005043E7" w:rsidR="00E057A0" w:rsidRPr="00BC0E48" w:rsidRDefault="00E057A0" w:rsidP="00E057A0">
            <w:pPr>
              <w:jc w:val="right"/>
              <w:rPr>
                <w:rFonts w:ascii="Arial" w:hAnsi="Arial" w:cs="Arial"/>
                <w:color w:val="000000"/>
                <w:sz w:val="18"/>
                <w:szCs w:val="18"/>
              </w:rPr>
            </w:pPr>
          </w:p>
        </w:tc>
      </w:tr>
      <w:tr w:rsidR="00E057A0" w:rsidRPr="00BC0E48" w14:paraId="35C47ADF"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6778BEE" w14:textId="7E440292"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Deputy Chief Constable B - S Hatchett</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3400B18" w14:textId="78444B15"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2</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AF66531" w14:textId="21330BD3"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135,084</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99501F7" w14:textId="3E5959D2"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4790945" w14:textId="04D7A1AA" w:rsidR="00E057A0" w:rsidRPr="00BC0E48"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26559CF" w14:textId="5F619819" w:rsidR="00E057A0" w:rsidRPr="00BC0E48"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5332774" w14:textId="3E14F0C4" w:rsidR="00E057A0" w:rsidRPr="00BC0E48"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67D4B08" w14:textId="01649DB5"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135,084</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FB44D17" w14:textId="63E75F31"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41,903</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2FE6DBB" w14:textId="17636D20"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176,987</w:t>
            </w:r>
          </w:p>
        </w:tc>
      </w:tr>
      <w:tr w:rsidR="00E057A0" w:rsidRPr="00BC0E48" w14:paraId="18327EDB"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4DAA91FB" w14:textId="231414FF"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Deputy Chief Constable C - S Mackenzie</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3AF2346" w14:textId="567D4D11"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2</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0E90D26" w14:textId="1688282E"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13,136</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AA20AD" w14:textId="007A21FD"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4B47DB1" w14:textId="6876A001" w:rsidR="00E057A0" w:rsidRPr="00BC0E48"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B46B7E9" w14:textId="29E52FF1" w:rsidR="00E057A0" w:rsidRPr="00BC0E48"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30A197F" w14:textId="586CECDE" w:rsidR="00E057A0" w:rsidRPr="00BC0E48"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580EB4A" w14:textId="405A9078"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13,136</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DCF3AAA" w14:textId="5B7C8EF4"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4,046</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20A8237" w14:textId="0EF16F07"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17,182</w:t>
            </w:r>
          </w:p>
        </w:tc>
      </w:tr>
      <w:tr w:rsidR="00E057A0" w:rsidRPr="00BC0E48" w14:paraId="1CC68ABD" w14:textId="77777777" w:rsidTr="00C75839">
        <w:trPr>
          <w:trHeight w:val="175"/>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439493C" w14:textId="5F3D29CC" w:rsidR="00E057A0" w:rsidRPr="00BC0E48" w:rsidRDefault="00E057A0" w:rsidP="00E057A0">
            <w:pPr>
              <w:rPr>
                <w:rFonts w:ascii="Arial" w:hAnsi="Arial" w:cs="Arial"/>
                <w:color w:val="000000"/>
                <w:sz w:val="18"/>
                <w:szCs w:val="18"/>
              </w:rPr>
            </w:pP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4BB6D0D" w14:textId="4879512C" w:rsidR="00E057A0" w:rsidRPr="00BC0E48"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5532E91" w14:textId="712BEB8F" w:rsidR="00E057A0" w:rsidRPr="00BC0E48" w:rsidRDefault="00E057A0" w:rsidP="00E057A0">
            <w:pPr>
              <w:jc w:val="right"/>
              <w:rPr>
                <w:rFonts w:ascii="Arial" w:hAnsi="Arial" w:cs="Arial"/>
                <w:color w:val="000000"/>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32E35EA" w14:textId="3CF8C057"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D6FF31" w14:textId="2DF798F5" w:rsidR="00E057A0" w:rsidRPr="00BC0E48" w:rsidRDefault="00E057A0" w:rsidP="00E057A0">
            <w:pPr>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908C296" w14:textId="0EB3B032" w:rsidR="00E057A0" w:rsidRPr="00BC0E48" w:rsidRDefault="00E057A0" w:rsidP="00E057A0">
            <w:pPr>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01DBF6C" w14:textId="1E7B22B1" w:rsidR="00E057A0" w:rsidRPr="00BC0E48" w:rsidRDefault="00E057A0" w:rsidP="00E057A0">
            <w:pPr>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0455E4A" w14:textId="74EEA070" w:rsidR="00E057A0" w:rsidRPr="00BC0E48" w:rsidRDefault="00E057A0" w:rsidP="00E057A0">
            <w:pPr>
              <w:jc w:val="right"/>
              <w:rPr>
                <w:rFonts w:ascii="Arial" w:hAnsi="Arial" w:cs="Arial"/>
                <w:color w:val="000000"/>
                <w:sz w:val="18"/>
                <w:szCs w:val="18"/>
              </w:rPr>
            </w:pP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03EFE5E" w14:textId="018DD51D" w:rsidR="00E057A0" w:rsidRPr="00BC0E48" w:rsidRDefault="00E057A0" w:rsidP="00E057A0">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BB152E9" w14:textId="393566B8" w:rsidR="00E057A0" w:rsidRPr="00BC0E48" w:rsidRDefault="00E057A0" w:rsidP="00E057A0">
            <w:pPr>
              <w:jc w:val="right"/>
              <w:rPr>
                <w:rFonts w:ascii="Arial" w:hAnsi="Arial" w:cs="Arial"/>
                <w:color w:val="000000"/>
                <w:sz w:val="18"/>
                <w:szCs w:val="18"/>
              </w:rPr>
            </w:pPr>
          </w:p>
        </w:tc>
      </w:tr>
      <w:tr w:rsidR="00E057A0" w:rsidRPr="00BC0E48" w14:paraId="474EABA9"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7C54330" w14:textId="6764A7E0"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Assistant Chief Constable - Crime C</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5AF49B3" w14:textId="78FD216B"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3</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0AB39E3" w14:textId="447DC818"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105,924</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3D8757B" w14:textId="28722AAB"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21FDC7C" w14:textId="0DDAE8A6"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2,453</w:t>
            </w: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5A2AA2" w14:textId="221BD3FD"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D225B6C" w14:textId="20A066C8"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A1A3585" w14:textId="7344316A"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108,377</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A840FC0" w14:textId="26F21EF8"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32,862</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75D09D2" w14:textId="1AF416B4"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141,239</w:t>
            </w:r>
          </w:p>
        </w:tc>
      </w:tr>
      <w:tr w:rsidR="00E057A0" w:rsidRPr="00BC0E48" w14:paraId="00E9CFEF"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01C3B4D" w14:textId="25252B43"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Assistant Chief Constable - Crime D</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61BC8B2" w14:textId="0336A66B"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3</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2EF38B2" w14:textId="72FC9214"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9,590</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5ECAF3" w14:textId="5E7CFE87"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59C8E4A" w14:textId="5A610FED"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103</w:t>
            </w: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20B87B2" w14:textId="58ACD73B"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F619733" w14:textId="79C9CDFE"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DF249B4" w14:textId="1FA32166"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9,693</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30277D9" w14:textId="01BE013A"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2,972</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0BCAA9B" w14:textId="045CF602"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12,665</w:t>
            </w:r>
          </w:p>
        </w:tc>
      </w:tr>
      <w:tr w:rsidR="00E057A0" w:rsidRPr="00BC0E48" w14:paraId="19AA68DD"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4DAAC36" w14:textId="77852A3F"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Assistant Chief Constable - Crime E</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40D69C8" w14:textId="4362588D"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4</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41A02504" w14:textId="2ECF87DB"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4,495</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7B8D65B" w14:textId="6A9B974D"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9043AF9" w14:textId="4FB46855"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613</w:t>
            </w: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2573B19" w14:textId="57137798"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783035A" w14:textId="20DFDF95"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24624B" w14:textId="242DD884"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5,108</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6DBC5D7" w14:textId="31888A4A"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689</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841A6D7" w14:textId="2515FCF9"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5,797</w:t>
            </w:r>
          </w:p>
        </w:tc>
      </w:tr>
      <w:tr w:rsidR="00E057A0" w:rsidRPr="00BC0E48" w14:paraId="3FEE1084" w14:textId="77777777" w:rsidTr="00C75839">
        <w:trPr>
          <w:trHeight w:val="121"/>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985A932" w14:textId="57969B05" w:rsidR="00E057A0" w:rsidRPr="00BC0E48" w:rsidRDefault="00E057A0" w:rsidP="00E057A0">
            <w:pPr>
              <w:rPr>
                <w:rFonts w:ascii="Arial" w:hAnsi="Arial" w:cs="Arial"/>
                <w:color w:val="000000"/>
                <w:sz w:val="18"/>
                <w:szCs w:val="18"/>
              </w:rPr>
            </w:pP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B8C4DF" w14:textId="47C6025B" w:rsidR="00E057A0" w:rsidRPr="00BC0E48"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6657374" w14:textId="12553A59" w:rsidR="00E057A0" w:rsidRPr="00BC0E48" w:rsidRDefault="00E057A0" w:rsidP="00E057A0">
            <w:pPr>
              <w:jc w:val="right"/>
              <w:rPr>
                <w:rFonts w:ascii="Arial" w:hAnsi="Arial" w:cs="Arial"/>
                <w:color w:val="000000"/>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D0B1E2D" w14:textId="6AAC2146"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E9199EA" w14:textId="68857C6E" w:rsidR="00E057A0" w:rsidRPr="00BC0E48" w:rsidRDefault="00E057A0" w:rsidP="00E057A0">
            <w:pPr>
              <w:jc w:val="right"/>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2CA5943" w14:textId="6403676B"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7CF1C1C" w14:textId="71A35D71"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F761D90" w14:textId="2344B5A2" w:rsidR="00E057A0" w:rsidRPr="00BC0E48" w:rsidRDefault="00E057A0" w:rsidP="00E057A0">
            <w:pPr>
              <w:jc w:val="right"/>
              <w:rPr>
                <w:rFonts w:ascii="Arial" w:hAnsi="Arial" w:cs="Arial"/>
                <w:color w:val="000000"/>
                <w:sz w:val="18"/>
                <w:szCs w:val="18"/>
              </w:rPr>
            </w:pP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159016C" w14:textId="1DF8CBD0" w:rsidR="00E057A0" w:rsidRPr="00BC0E48" w:rsidRDefault="00E057A0" w:rsidP="00E057A0">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E98331F" w14:textId="6CAFBABC" w:rsidR="00E057A0" w:rsidRPr="00BC0E48" w:rsidRDefault="00E057A0" w:rsidP="00E057A0">
            <w:pPr>
              <w:jc w:val="right"/>
              <w:rPr>
                <w:rFonts w:ascii="Arial" w:hAnsi="Arial" w:cs="Arial"/>
                <w:color w:val="000000"/>
                <w:sz w:val="18"/>
                <w:szCs w:val="18"/>
              </w:rPr>
            </w:pPr>
          </w:p>
        </w:tc>
      </w:tr>
      <w:tr w:rsidR="00E057A0" w:rsidRPr="00BC0E48" w14:paraId="798D5499"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AFC7E9B" w14:textId="6A3370EC"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Assistant Chief Constable - Territorial Operations F</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391D44E" w14:textId="1372FB15"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5</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C8A7F90" w14:textId="373FE9C0"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94,915</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4C9F3C" w14:textId="29F732AF"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E85BE9A" w14:textId="02890691"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2,885</w:t>
            </w: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BEDF2CF" w14:textId="5DCDAA16"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288D960" w14:textId="3602FDCA"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07FA1C" w14:textId="3E397E60"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97,800</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12F3E4" w14:textId="4BB4F3F5"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27,483</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A235C01" w14:textId="2D83E595"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125,283</w:t>
            </w:r>
          </w:p>
        </w:tc>
      </w:tr>
      <w:tr w:rsidR="00E057A0" w:rsidRPr="00BC0E48" w14:paraId="1332E7C6"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DF3614D" w14:textId="23A98B69"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Assistant Chief Constable - Territorial Operations G</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CE89A38" w14:textId="1102F528"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5</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4271289D" w14:textId="0D90D8BA"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26,603</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A2FF9D0" w14:textId="08D71CBC"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D8F4DD1" w14:textId="2CB1B37E"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187</w:t>
            </w: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DA9400A" w14:textId="383FC2B0"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10A95E0" w14:textId="011CB295"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E248ED7" w14:textId="062A00E0"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26,789</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B88871F" w14:textId="31227B79"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8,190</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FB4B93B" w14:textId="5B65333B"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34,979</w:t>
            </w:r>
          </w:p>
        </w:tc>
      </w:tr>
      <w:tr w:rsidR="00E057A0" w:rsidRPr="00BC0E48" w14:paraId="2A716F63"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tcPr>
          <w:p w14:paraId="22F25A84" w14:textId="546128B5"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Assistant Chief Constable - Specialist Operations H</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6874DA6" w14:textId="2E63947A"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6</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tcPr>
          <w:p w14:paraId="4FBAAF06" w14:textId="3D43D54D"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88,339</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7D94B3A" w14:textId="0AC66642"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7627C5EF" w14:textId="784DA3F3" w:rsidR="00E057A0" w:rsidRPr="00BC0E48" w:rsidRDefault="00E057A0" w:rsidP="00E057A0">
            <w:pPr>
              <w:jc w:val="right"/>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EE1682B" w14:textId="5597A766"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8662DAF" w14:textId="35FDD34A"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62F37A59" w14:textId="6E5AC1AA"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88,339</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31A99820" w14:textId="2AC476AB"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26,769</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23DDDC3" w14:textId="4E0944C7"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115,108</w:t>
            </w:r>
          </w:p>
        </w:tc>
      </w:tr>
      <w:tr w:rsidR="00E057A0" w:rsidRPr="00BC0E48" w14:paraId="3B9C14DD"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tcPr>
          <w:p w14:paraId="5CCAF1DE" w14:textId="54A06B25"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Assistant Chief Constable - Specialist Operations F</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70ADC7BC" w14:textId="293B5704"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6</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tcPr>
          <w:p w14:paraId="55D45B53" w14:textId="6485EF7F"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30,446</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EC06BDF" w14:textId="65962534"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6F7395B" w14:textId="4C1E234B" w:rsidR="00E057A0" w:rsidRPr="00BC0E48" w:rsidRDefault="00E057A0" w:rsidP="00E057A0">
            <w:pPr>
              <w:jc w:val="right"/>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15602EC1" w14:textId="3B3CC133"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25EE5BA9" w14:textId="24CC89E9"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43F290D" w14:textId="0141BA13"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30,446</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4616BC93" w14:textId="518C23B2"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9,288</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714D3FF9" w14:textId="084257BC"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39,734</w:t>
            </w:r>
          </w:p>
        </w:tc>
      </w:tr>
    </w:tbl>
    <w:p w14:paraId="0EDA029F" w14:textId="77777777" w:rsidR="00FC1B33" w:rsidRDefault="00FC1B33">
      <w:r>
        <w:br w:type="page"/>
      </w:r>
    </w:p>
    <w:tbl>
      <w:tblPr>
        <w:tblW w:w="15730" w:type="dxa"/>
        <w:tblLayout w:type="fixed"/>
        <w:tblLook w:val="04A0" w:firstRow="1" w:lastRow="0" w:firstColumn="1" w:lastColumn="0" w:noHBand="0" w:noVBand="1"/>
      </w:tblPr>
      <w:tblGrid>
        <w:gridCol w:w="4136"/>
        <w:gridCol w:w="758"/>
        <w:gridCol w:w="1241"/>
        <w:gridCol w:w="1373"/>
        <w:gridCol w:w="1276"/>
        <w:gridCol w:w="1267"/>
        <w:gridCol w:w="991"/>
        <w:gridCol w:w="1596"/>
        <w:gridCol w:w="1532"/>
        <w:gridCol w:w="1560"/>
      </w:tblGrid>
      <w:tr w:rsidR="00E057A0" w:rsidRPr="00BC0E48" w14:paraId="4C2CC3F9"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DD94138" w14:textId="2C59DF58" w:rsidR="00E057A0" w:rsidRPr="00BC0E48" w:rsidRDefault="00E057A0" w:rsidP="00E057A0">
            <w:pPr>
              <w:rPr>
                <w:rFonts w:ascii="Arial" w:hAnsi="Arial" w:cs="Arial"/>
                <w:color w:val="000000"/>
                <w:sz w:val="18"/>
                <w:szCs w:val="18"/>
              </w:rPr>
            </w:pP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2A7E081" w14:textId="677AA61A" w:rsidR="00E057A0" w:rsidRPr="00BC0E48"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D5C82B7" w14:textId="6743275B" w:rsidR="00E057A0" w:rsidRPr="00BC0E48" w:rsidRDefault="00E057A0" w:rsidP="00E057A0">
            <w:pPr>
              <w:jc w:val="right"/>
              <w:rPr>
                <w:rFonts w:ascii="Arial" w:hAnsi="Arial" w:cs="Arial"/>
                <w:color w:val="000000"/>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0F75C2" w14:textId="1649CE30"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9254DB2" w14:textId="2877D225" w:rsidR="00E057A0" w:rsidRPr="00BC0E48" w:rsidRDefault="00E057A0" w:rsidP="00E057A0">
            <w:pPr>
              <w:jc w:val="right"/>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2284AC" w14:textId="17C58C97"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248A09C" w14:textId="10AF4AB6"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746709E" w14:textId="2FD1D108" w:rsidR="00E057A0" w:rsidRPr="00BC0E48" w:rsidRDefault="00E057A0" w:rsidP="00E057A0">
            <w:pPr>
              <w:jc w:val="right"/>
              <w:rPr>
                <w:rFonts w:ascii="Arial" w:hAnsi="Arial" w:cs="Arial"/>
                <w:color w:val="000000"/>
                <w:sz w:val="18"/>
                <w:szCs w:val="18"/>
              </w:rPr>
            </w:pP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45B1F1D" w14:textId="1F4CDA21" w:rsidR="00E057A0" w:rsidRPr="00BC0E48" w:rsidRDefault="00E057A0" w:rsidP="00E057A0">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6C55A7A" w14:textId="6258DCA2" w:rsidR="00E057A0" w:rsidRPr="00BC0E48" w:rsidRDefault="00E057A0" w:rsidP="00E057A0">
            <w:pPr>
              <w:jc w:val="right"/>
              <w:rPr>
                <w:rFonts w:ascii="Arial" w:hAnsi="Arial" w:cs="Arial"/>
                <w:color w:val="000000"/>
                <w:sz w:val="18"/>
                <w:szCs w:val="18"/>
              </w:rPr>
            </w:pPr>
          </w:p>
        </w:tc>
      </w:tr>
      <w:tr w:rsidR="00E057A0" w:rsidRPr="00BC0E48" w14:paraId="205E418C"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C671680" w14:textId="726C1EC3"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Chief Operating Officer</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9D70DAF" w14:textId="38E506EA" w:rsidR="00E057A0" w:rsidRPr="00BC0E48"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A34BCAD" w14:textId="554BBA96"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126,068</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4372B57" w14:textId="5541F76A"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3867110" w14:textId="5EBD7F10" w:rsidR="00E057A0" w:rsidRPr="00BC0E48" w:rsidRDefault="00E057A0" w:rsidP="00E057A0">
            <w:pPr>
              <w:jc w:val="right"/>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7AC3F18" w14:textId="26C075AF"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5FD2BBF" w14:textId="132D5D3A" w:rsidR="00E057A0" w:rsidRPr="00BC0E48" w:rsidRDefault="00E057A0" w:rsidP="00E057A0">
            <w:pPr>
              <w:jc w:val="right"/>
              <w:rPr>
                <w:rFonts w:ascii="Arial" w:hAnsi="Arial" w:cs="Arial"/>
                <w:color w:val="000000"/>
                <w:sz w:val="18"/>
                <w:szCs w:val="18"/>
              </w:rPr>
            </w:pPr>
            <w:r w:rsidRPr="00AA48EF">
              <w:rPr>
                <w:rFonts w:ascii="Arial" w:hAnsi="Arial" w:cs="Arial"/>
                <w:sz w:val="18"/>
                <w:szCs w:val="18"/>
              </w:rPr>
              <w:t>6,215</w:t>
            </w: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C8428CA" w14:textId="0F0BB9C4"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w:t>
            </w:r>
            <w:r>
              <w:rPr>
                <w:rFonts w:ascii="Arial" w:hAnsi="Arial" w:cs="Arial"/>
                <w:color w:val="000000"/>
                <w:sz w:val="18"/>
                <w:szCs w:val="18"/>
              </w:rPr>
              <w:t>32,283</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51D7E2A" w14:textId="381E01C9"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19,288</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77DCE40" w14:textId="5180B819"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15</w:t>
            </w:r>
            <w:r>
              <w:rPr>
                <w:rFonts w:ascii="Arial" w:hAnsi="Arial" w:cs="Arial"/>
                <w:color w:val="000000"/>
                <w:sz w:val="18"/>
                <w:szCs w:val="18"/>
              </w:rPr>
              <w:t>1</w:t>
            </w:r>
            <w:r w:rsidRPr="00CD15C6">
              <w:rPr>
                <w:rFonts w:ascii="Arial" w:hAnsi="Arial" w:cs="Arial"/>
                <w:color w:val="000000"/>
                <w:sz w:val="18"/>
                <w:szCs w:val="18"/>
              </w:rPr>
              <w:t>,</w:t>
            </w:r>
            <w:r>
              <w:rPr>
                <w:rFonts w:ascii="Arial" w:hAnsi="Arial" w:cs="Arial"/>
                <w:color w:val="000000"/>
                <w:sz w:val="18"/>
                <w:szCs w:val="18"/>
              </w:rPr>
              <w:t>571</w:t>
            </w:r>
          </w:p>
        </w:tc>
      </w:tr>
      <w:tr w:rsidR="00E057A0" w:rsidRPr="00BC0E48" w14:paraId="1E01B70C"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B055899" w14:textId="5223890C" w:rsidR="00E057A0" w:rsidRPr="00BC0E48" w:rsidRDefault="00E057A0" w:rsidP="00E057A0">
            <w:pPr>
              <w:rPr>
                <w:rFonts w:ascii="Arial" w:hAnsi="Arial" w:cs="Arial"/>
                <w:color w:val="000000"/>
                <w:sz w:val="18"/>
                <w:szCs w:val="18"/>
              </w:rPr>
            </w:pP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724BD05" w14:textId="384D75C4" w:rsidR="00E057A0" w:rsidRPr="00BC0E48"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774680B" w14:textId="0EABA2F8" w:rsidR="00E057A0" w:rsidRPr="00BC0E48" w:rsidRDefault="00E057A0" w:rsidP="00E057A0">
            <w:pPr>
              <w:jc w:val="right"/>
              <w:rPr>
                <w:rFonts w:ascii="Arial" w:hAnsi="Arial" w:cs="Arial"/>
                <w:color w:val="000000"/>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7C85852" w14:textId="6997B180"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BF111F6" w14:textId="7B81582F" w:rsidR="00E057A0" w:rsidRPr="00BC0E48" w:rsidRDefault="00E057A0" w:rsidP="00E057A0">
            <w:pPr>
              <w:jc w:val="right"/>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A4AF1D7" w14:textId="2C20F75D"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82CBF64" w14:textId="07BE8108"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7B72396" w14:textId="3268C601" w:rsidR="00E057A0" w:rsidRPr="00BC0E48" w:rsidRDefault="00E057A0" w:rsidP="00E057A0">
            <w:pPr>
              <w:jc w:val="right"/>
              <w:rPr>
                <w:rFonts w:ascii="Arial" w:hAnsi="Arial" w:cs="Arial"/>
                <w:color w:val="000000"/>
                <w:sz w:val="18"/>
                <w:szCs w:val="18"/>
              </w:rPr>
            </w:pP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7DD1D8A" w14:textId="7880F3BE" w:rsidR="00E057A0" w:rsidRPr="00BC0E48" w:rsidRDefault="00E057A0" w:rsidP="00E057A0">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C30E1F" w14:textId="0613C8FF" w:rsidR="00E057A0" w:rsidRPr="00BC0E48" w:rsidRDefault="00E057A0" w:rsidP="00E057A0">
            <w:pPr>
              <w:jc w:val="right"/>
              <w:rPr>
                <w:rFonts w:ascii="Arial" w:hAnsi="Arial" w:cs="Arial"/>
                <w:color w:val="000000"/>
                <w:sz w:val="18"/>
                <w:szCs w:val="18"/>
              </w:rPr>
            </w:pPr>
          </w:p>
        </w:tc>
      </w:tr>
      <w:tr w:rsidR="00E057A0" w:rsidRPr="00BC0E48" w14:paraId="01AA7FC2"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42D7FD88" w14:textId="23B5B19F"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Chief Finance Officer - s151 Officer</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32630C1" w14:textId="0C6BF476" w:rsidR="00E057A0" w:rsidRPr="00BC0E48"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B2960F7" w14:textId="76F816C0"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91,474</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D799928" w14:textId="268DBFFC"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CF55A90" w14:textId="270AE052" w:rsidR="00E057A0" w:rsidRPr="00BC0E48" w:rsidRDefault="00E057A0" w:rsidP="00E057A0">
            <w:pPr>
              <w:jc w:val="right"/>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BA027A5" w14:textId="674C5EFC"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tcPr>
          <w:p w14:paraId="5A1DBCE8" w14:textId="185FE05C"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1E4F390" w14:textId="23B47EC0"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91,474</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760A8A4" w14:textId="722628B3"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13,996</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2326070" w14:textId="0140A785"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105,470</w:t>
            </w:r>
          </w:p>
        </w:tc>
      </w:tr>
      <w:tr w:rsidR="00E057A0" w:rsidRPr="00BC0E48" w14:paraId="0E705367"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4F3EB81" w14:textId="28673916" w:rsidR="00E057A0" w:rsidRPr="00BC0E48" w:rsidRDefault="00E057A0" w:rsidP="00E057A0">
            <w:pPr>
              <w:rPr>
                <w:rFonts w:ascii="Arial" w:hAnsi="Arial" w:cs="Arial"/>
                <w:color w:val="000000"/>
                <w:sz w:val="18"/>
                <w:szCs w:val="18"/>
              </w:rPr>
            </w:pP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C9E65EC" w14:textId="1B05DB6F" w:rsidR="00E057A0" w:rsidRPr="00BC0E48" w:rsidRDefault="00E057A0" w:rsidP="00E057A0">
            <w:pPr>
              <w:rPr>
                <w:rFonts w:ascii="Arial" w:hAnsi="Arial" w:cs="Arial"/>
                <w:color w:val="000000"/>
                <w:sz w:val="18"/>
                <w:szCs w:val="18"/>
              </w:rPr>
            </w:pP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3B8BFBB" w14:textId="4ABFF984" w:rsidR="00E057A0" w:rsidRPr="00BC0E48" w:rsidRDefault="00E057A0" w:rsidP="00E057A0">
            <w:pPr>
              <w:jc w:val="right"/>
              <w:rPr>
                <w:rFonts w:ascii="Arial" w:hAnsi="Arial" w:cs="Arial"/>
                <w:color w:val="000000"/>
                <w:sz w:val="18"/>
                <w:szCs w:val="18"/>
              </w:rPr>
            </w:pP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1A02B95" w14:textId="41D42A63"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8B4CFA0" w14:textId="036AE9A4" w:rsidR="00E057A0" w:rsidRPr="00BC0E48" w:rsidRDefault="00E057A0" w:rsidP="00E057A0">
            <w:pPr>
              <w:jc w:val="right"/>
              <w:rPr>
                <w:rFonts w:ascii="Arial" w:hAnsi="Arial" w:cs="Arial"/>
                <w:color w:val="000000"/>
                <w:sz w:val="18"/>
                <w:szCs w:val="18"/>
              </w:rPr>
            </w:pP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8E2337" w14:textId="3791EB9B"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6E9B2A6" w14:textId="74086788"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4E775096" w14:textId="0178BE87" w:rsidR="00E057A0" w:rsidRPr="00BC0E48" w:rsidRDefault="00E057A0" w:rsidP="00E057A0">
            <w:pPr>
              <w:jc w:val="right"/>
              <w:rPr>
                <w:rFonts w:ascii="Arial" w:hAnsi="Arial" w:cs="Arial"/>
                <w:color w:val="000000"/>
                <w:sz w:val="18"/>
                <w:szCs w:val="18"/>
              </w:rPr>
            </w:pP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25B72DE" w14:textId="1031E6BC" w:rsidR="00E057A0" w:rsidRPr="00BC0E48" w:rsidRDefault="00E057A0" w:rsidP="00E057A0">
            <w:pPr>
              <w:jc w:val="right"/>
              <w:rPr>
                <w:rFonts w:ascii="Arial" w:hAnsi="Arial" w:cs="Arial"/>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9528977" w14:textId="656D7BC9" w:rsidR="00E057A0" w:rsidRPr="00BC0E48" w:rsidRDefault="00E057A0" w:rsidP="00E057A0">
            <w:pPr>
              <w:jc w:val="right"/>
              <w:rPr>
                <w:rFonts w:ascii="Arial" w:hAnsi="Arial" w:cs="Arial"/>
                <w:color w:val="000000"/>
                <w:sz w:val="18"/>
                <w:szCs w:val="18"/>
              </w:rPr>
            </w:pPr>
          </w:p>
        </w:tc>
      </w:tr>
      <w:tr w:rsidR="00E057A0" w:rsidRPr="00BC0E48" w14:paraId="282D7932" w14:textId="77777777" w:rsidTr="007D454F">
        <w:trPr>
          <w:trHeight w:val="322"/>
        </w:trPr>
        <w:tc>
          <w:tcPr>
            <w:tcW w:w="413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63C609A" w14:textId="16AD8114"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Assistant Chief Constable - Regional Collaboration Lead</w:t>
            </w:r>
          </w:p>
        </w:tc>
        <w:tc>
          <w:tcPr>
            <w:tcW w:w="758"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552A0AD" w14:textId="6A78356B" w:rsidR="00E057A0" w:rsidRPr="00BC0E48" w:rsidRDefault="00E057A0" w:rsidP="00E057A0">
            <w:pPr>
              <w:rPr>
                <w:rFonts w:ascii="Arial" w:hAnsi="Arial" w:cs="Arial"/>
                <w:color w:val="000000"/>
                <w:sz w:val="18"/>
                <w:szCs w:val="18"/>
              </w:rPr>
            </w:pPr>
            <w:r w:rsidRPr="00CD15C6">
              <w:rPr>
                <w:rFonts w:ascii="Arial" w:hAnsi="Arial" w:cs="Arial"/>
                <w:color w:val="000000"/>
                <w:sz w:val="18"/>
                <w:szCs w:val="18"/>
              </w:rPr>
              <w:t>Note 7</w:t>
            </w:r>
          </w:p>
        </w:tc>
        <w:tc>
          <w:tcPr>
            <w:tcW w:w="1241"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DEAF78B" w14:textId="215B874A"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55,215</w:t>
            </w:r>
          </w:p>
        </w:tc>
        <w:tc>
          <w:tcPr>
            <w:tcW w:w="1373"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A278283" w14:textId="4F61F26E" w:rsidR="00E057A0" w:rsidRPr="00BC0E48" w:rsidRDefault="00E057A0" w:rsidP="00E057A0">
            <w:pPr>
              <w:rPr>
                <w:rFonts w:ascii="Arial" w:hAnsi="Arial" w:cs="Arial"/>
                <w:color w:val="000000"/>
                <w:sz w:val="18"/>
                <w:szCs w:val="18"/>
              </w:rPr>
            </w:pPr>
          </w:p>
        </w:tc>
        <w:tc>
          <w:tcPr>
            <w:tcW w:w="127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8C6AE75" w14:textId="02867BB1"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3,167</w:t>
            </w:r>
          </w:p>
        </w:tc>
        <w:tc>
          <w:tcPr>
            <w:tcW w:w="1267"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91FBAA8" w14:textId="7C43D524" w:rsidR="00E057A0" w:rsidRPr="00BC0E48" w:rsidRDefault="00E057A0" w:rsidP="00E057A0">
            <w:pPr>
              <w:jc w:val="right"/>
              <w:rPr>
                <w:rFonts w:ascii="Arial" w:hAnsi="Arial" w:cs="Arial"/>
                <w:color w:val="000000"/>
                <w:sz w:val="18"/>
                <w:szCs w:val="18"/>
              </w:rPr>
            </w:pPr>
          </w:p>
        </w:tc>
        <w:tc>
          <w:tcPr>
            <w:tcW w:w="991"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148BE7C" w14:textId="5154CDDA" w:rsidR="00E057A0" w:rsidRPr="00BC0E48" w:rsidRDefault="00E057A0" w:rsidP="00E057A0">
            <w:pPr>
              <w:jc w:val="right"/>
              <w:rPr>
                <w:rFonts w:ascii="Arial" w:hAnsi="Arial" w:cs="Arial"/>
                <w:color w:val="000000"/>
                <w:sz w:val="18"/>
                <w:szCs w:val="18"/>
              </w:rPr>
            </w:pPr>
          </w:p>
        </w:tc>
        <w:tc>
          <w:tcPr>
            <w:tcW w:w="1596"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EC073D6" w14:textId="24BC8288"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58,382</w:t>
            </w:r>
          </w:p>
        </w:tc>
        <w:tc>
          <w:tcPr>
            <w:tcW w:w="1532"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6828BBF2" w14:textId="64969E33"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15,980</w:t>
            </w:r>
          </w:p>
        </w:tc>
        <w:tc>
          <w:tcPr>
            <w:tcW w:w="1560"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DBF1FA2" w14:textId="0BD53410" w:rsidR="00E057A0" w:rsidRPr="00BC0E48" w:rsidRDefault="00E057A0" w:rsidP="00E057A0">
            <w:pPr>
              <w:jc w:val="right"/>
              <w:rPr>
                <w:rFonts w:ascii="Arial" w:hAnsi="Arial" w:cs="Arial"/>
                <w:color w:val="000000"/>
                <w:sz w:val="18"/>
                <w:szCs w:val="18"/>
              </w:rPr>
            </w:pPr>
            <w:r w:rsidRPr="00CD15C6">
              <w:rPr>
                <w:rFonts w:ascii="Arial" w:hAnsi="Arial" w:cs="Arial"/>
                <w:color w:val="000000"/>
                <w:sz w:val="18"/>
                <w:szCs w:val="18"/>
              </w:rPr>
              <w:t>7</w:t>
            </w:r>
            <w:r>
              <w:rPr>
                <w:rFonts w:ascii="Arial" w:hAnsi="Arial" w:cs="Arial"/>
                <w:color w:val="000000"/>
                <w:sz w:val="18"/>
                <w:szCs w:val="18"/>
              </w:rPr>
              <w:t>4</w:t>
            </w:r>
            <w:r w:rsidRPr="00CD15C6">
              <w:rPr>
                <w:rFonts w:ascii="Arial" w:hAnsi="Arial" w:cs="Arial"/>
                <w:color w:val="000000"/>
                <w:sz w:val="18"/>
                <w:szCs w:val="18"/>
              </w:rPr>
              <w:t>,</w:t>
            </w:r>
            <w:r>
              <w:rPr>
                <w:rFonts w:ascii="Arial" w:hAnsi="Arial" w:cs="Arial"/>
                <w:color w:val="000000"/>
                <w:sz w:val="18"/>
                <w:szCs w:val="18"/>
              </w:rPr>
              <w:t>362</w:t>
            </w:r>
          </w:p>
        </w:tc>
      </w:tr>
    </w:tbl>
    <w:p w14:paraId="1D93D527" w14:textId="6612490E" w:rsidR="00EC79F9" w:rsidRDefault="00EC79F9" w:rsidP="003B74DA">
      <w:pPr>
        <w:ind w:left="426"/>
        <w:rPr>
          <w:rFonts w:ascii="Arial" w:hAnsi="Arial"/>
          <w:b/>
          <w:sz w:val="22"/>
          <w:szCs w:val="22"/>
        </w:rPr>
      </w:pPr>
    </w:p>
    <w:tbl>
      <w:tblPr>
        <w:tblW w:w="15429" w:type="dxa"/>
        <w:tblLook w:val="04A0" w:firstRow="1" w:lastRow="0" w:firstColumn="1" w:lastColumn="0" w:noHBand="0" w:noVBand="1"/>
      </w:tblPr>
      <w:tblGrid>
        <w:gridCol w:w="15429"/>
      </w:tblGrid>
      <w:tr w:rsidR="00E057A0" w:rsidRPr="00BC0E48" w14:paraId="7543B7A1" w14:textId="77777777" w:rsidTr="00E057A0">
        <w:trPr>
          <w:trHeight w:val="343"/>
        </w:trPr>
        <w:tc>
          <w:tcPr>
            <w:tcW w:w="15429" w:type="dxa"/>
            <w:tcBorders>
              <w:top w:val="nil"/>
              <w:left w:val="nil"/>
              <w:bottom w:val="nil"/>
              <w:right w:val="nil"/>
            </w:tcBorders>
            <w:noWrap/>
            <w:vAlign w:val="bottom"/>
          </w:tcPr>
          <w:p w14:paraId="010D4604" w14:textId="1BE3FC31" w:rsidR="00E057A0" w:rsidRPr="00BC0E48" w:rsidRDefault="00E057A0" w:rsidP="00E057A0">
            <w:pPr>
              <w:rPr>
                <w:rFonts w:ascii="Arial" w:hAnsi="Arial" w:cs="Arial"/>
                <w:color w:val="000000"/>
                <w:sz w:val="22"/>
                <w:szCs w:val="22"/>
              </w:rPr>
            </w:pPr>
            <w:r w:rsidRPr="00F045E4">
              <w:rPr>
                <w:rFonts w:ascii="Arial" w:hAnsi="Arial" w:cs="Arial"/>
                <w:color w:val="000000"/>
                <w:sz w:val="22"/>
                <w:szCs w:val="22"/>
              </w:rPr>
              <w:t>Note 1 - Post covered by two officers during the year. A - 1st April 2023 to 31st March 2024, with post holder retiring 31st March 2024. B - 29th February 2024 to 31 March 2024, who has continued in role. Annualised Salary of Officer B is £184,272</w:t>
            </w:r>
            <w:r>
              <w:rPr>
                <w:rFonts w:ascii="Arial" w:hAnsi="Arial" w:cs="Arial"/>
                <w:color w:val="000000"/>
                <w:sz w:val="22"/>
                <w:szCs w:val="22"/>
              </w:rPr>
              <w:t xml:space="preserve"> as Chief Constable</w:t>
            </w:r>
          </w:p>
        </w:tc>
      </w:tr>
      <w:tr w:rsidR="00E057A0" w:rsidRPr="00BC0E48" w14:paraId="127BE018" w14:textId="77777777" w:rsidTr="00E057A0">
        <w:trPr>
          <w:trHeight w:val="343"/>
        </w:trPr>
        <w:tc>
          <w:tcPr>
            <w:tcW w:w="15429" w:type="dxa"/>
            <w:tcBorders>
              <w:top w:val="nil"/>
              <w:left w:val="nil"/>
              <w:bottom w:val="nil"/>
              <w:right w:val="nil"/>
            </w:tcBorders>
            <w:noWrap/>
            <w:vAlign w:val="bottom"/>
          </w:tcPr>
          <w:p w14:paraId="41E893D3" w14:textId="144E9495" w:rsidR="00E057A0" w:rsidRPr="00BC0E48" w:rsidRDefault="00E057A0" w:rsidP="00E057A0">
            <w:pPr>
              <w:rPr>
                <w:rFonts w:ascii="Arial" w:hAnsi="Arial" w:cs="Arial"/>
                <w:color w:val="000000"/>
                <w:sz w:val="22"/>
                <w:szCs w:val="22"/>
              </w:rPr>
            </w:pPr>
            <w:r w:rsidRPr="00F045E4">
              <w:rPr>
                <w:rFonts w:ascii="Arial" w:hAnsi="Arial" w:cs="Arial"/>
                <w:color w:val="000000"/>
                <w:sz w:val="22"/>
                <w:szCs w:val="22"/>
              </w:rPr>
              <w:t>Note 2 - Post covered by two officers during the year. B - 1st April 2023 to 28th February 2024. C - 29th February to 31st March, who has continued in role. Annualised Salary of Officer C is £152,373</w:t>
            </w:r>
            <w:r>
              <w:rPr>
                <w:rFonts w:ascii="Arial" w:hAnsi="Arial" w:cs="Arial"/>
                <w:color w:val="000000"/>
                <w:sz w:val="22"/>
                <w:szCs w:val="22"/>
              </w:rPr>
              <w:t xml:space="preserve"> as Deputy Chief Constable</w:t>
            </w:r>
          </w:p>
        </w:tc>
      </w:tr>
      <w:tr w:rsidR="00E057A0" w:rsidRPr="00BC0E48" w14:paraId="744C5BED" w14:textId="77777777" w:rsidTr="00E057A0">
        <w:trPr>
          <w:trHeight w:val="343"/>
        </w:trPr>
        <w:tc>
          <w:tcPr>
            <w:tcW w:w="15429" w:type="dxa"/>
            <w:tcBorders>
              <w:top w:val="nil"/>
              <w:left w:val="nil"/>
              <w:bottom w:val="nil"/>
              <w:right w:val="nil"/>
            </w:tcBorders>
            <w:noWrap/>
            <w:vAlign w:val="bottom"/>
          </w:tcPr>
          <w:p w14:paraId="3550B569" w14:textId="25A6D51F" w:rsidR="00E057A0" w:rsidRPr="00BC0E48" w:rsidRDefault="00E057A0" w:rsidP="00E057A0">
            <w:pPr>
              <w:rPr>
                <w:rFonts w:ascii="Arial" w:hAnsi="Arial" w:cs="Arial"/>
                <w:color w:val="000000"/>
                <w:sz w:val="22"/>
                <w:szCs w:val="22"/>
              </w:rPr>
            </w:pPr>
            <w:r w:rsidRPr="00F045E4">
              <w:rPr>
                <w:rFonts w:ascii="Arial" w:hAnsi="Arial" w:cs="Arial"/>
                <w:color w:val="000000"/>
                <w:sz w:val="22"/>
                <w:szCs w:val="22"/>
              </w:rPr>
              <w:t>Note 3 - Post covered by two officers during the year. C - 1st April 2023 to 28th February 2024. D - 1st March - 31st March 2024, who has continued in the role</w:t>
            </w:r>
          </w:p>
        </w:tc>
      </w:tr>
      <w:tr w:rsidR="00E057A0" w:rsidRPr="00F045E4" w14:paraId="64CD8E2B" w14:textId="77777777" w:rsidTr="00E057A0">
        <w:trPr>
          <w:trHeight w:val="343"/>
        </w:trPr>
        <w:tc>
          <w:tcPr>
            <w:tcW w:w="15429" w:type="dxa"/>
            <w:tcBorders>
              <w:top w:val="nil"/>
              <w:left w:val="nil"/>
              <w:bottom w:val="nil"/>
              <w:right w:val="nil"/>
            </w:tcBorders>
            <w:noWrap/>
            <w:vAlign w:val="bottom"/>
          </w:tcPr>
          <w:p w14:paraId="6B1A236A" w14:textId="0C4ADA8F" w:rsidR="00E057A0" w:rsidRPr="00F045E4" w:rsidRDefault="00E057A0" w:rsidP="00E057A0">
            <w:pPr>
              <w:rPr>
                <w:rFonts w:ascii="Arial" w:hAnsi="Arial" w:cs="Arial"/>
                <w:color w:val="000000"/>
                <w:sz w:val="22"/>
                <w:szCs w:val="22"/>
              </w:rPr>
            </w:pPr>
            <w:r w:rsidRPr="00F045E4">
              <w:rPr>
                <w:rFonts w:ascii="Arial" w:hAnsi="Arial" w:cs="Arial"/>
                <w:color w:val="000000"/>
                <w:sz w:val="22"/>
                <w:szCs w:val="22"/>
              </w:rPr>
              <w:t>Note 4 - Officer E retired 7th April 2023 and was on leave throughout the period employed in 23/24</w:t>
            </w:r>
          </w:p>
        </w:tc>
      </w:tr>
      <w:tr w:rsidR="00E057A0" w:rsidRPr="00F045E4" w14:paraId="2C2EC77B" w14:textId="77777777" w:rsidTr="00E057A0">
        <w:trPr>
          <w:trHeight w:val="343"/>
        </w:trPr>
        <w:tc>
          <w:tcPr>
            <w:tcW w:w="15429" w:type="dxa"/>
            <w:tcBorders>
              <w:top w:val="nil"/>
              <w:left w:val="nil"/>
              <w:bottom w:val="nil"/>
              <w:right w:val="nil"/>
            </w:tcBorders>
            <w:noWrap/>
            <w:vAlign w:val="bottom"/>
          </w:tcPr>
          <w:p w14:paraId="3CD400C8" w14:textId="2EAF60B0" w:rsidR="00E057A0" w:rsidRPr="00F045E4" w:rsidRDefault="00E057A0" w:rsidP="00E057A0">
            <w:pPr>
              <w:rPr>
                <w:rFonts w:ascii="Arial" w:hAnsi="Arial" w:cs="Arial"/>
                <w:color w:val="000000"/>
                <w:sz w:val="22"/>
                <w:szCs w:val="22"/>
              </w:rPr>
            </w:pPr>
            <w:r w:rsidRPr="00F045E4">
              <w:rPr>
                <w:rFonts w:ascii="Arial" w:hAnsi="Arial" w:cs="Arial"/>
                <w:color w:val="000000"/>
                <w:sz w:val="22"/>
                <w:szCs w:val="22"/>
              </w:rPr>
              <w:t>Note 5 - Post covered by two officers during the year. F - 1st April 2023 to 7th January 2024. G - 8th January 2024 to 31st March, who has continued in the role</w:t>
            </w:r>
          </w:p>
        </w:tc>
      </w:tr>
      <w:tr w:rsidR="00E057A0" w:rsidRPr="00F045E4" w14:paraId="4D51C7A9" w14:textId="77777777" w:rsidTr="00E057A0">
        <w:trPr>
          <w:trHeight w:val="343"/>
        </w:trPr>
        <w:tc>
          <w:tcPr>
            <w:tcW w:w="15429" w:type="dxa"/>
            <w:tcBorders>
              <w:top w:val="nil"/>
              <w:left w:val="nil"/>
              <w:bottom w:val="nil"/>
              <w:right w:val="nil"/>
            </w:tcBorders>
            <w:noWrap/>
            <w:vAlign w:val="bottom"/>
          </w:tcPr>
          <w:p w14:paraId="19A796D2" w14:textId="264EB5EA" w:rsidR="00E057A0" w:rsidRPr="00F045E4" w:rsidRDefault="00E057A0" w:rsidP="00E057A0">
            <w:pPr>
              <w:rPr>
                <w:rFonts w:ascii="Arial" w:hAnsi="Arial" w:cs="Arial"/>
                <w:color w:val="000000"/>
                <w:sz w:val="22"/>
                <w:szCs w:val="22"/>
              </w:rPr>
            </w:pPr>
            <w:r w:rsidRPr="00F045E4">
              <w:rPr>
                <w:rFonts w:ascii="Arial" w:hAnsi="Arial" w:cs="Arial"/>
                <w:color w:val="000000"/>
                <w:sz w:val="22"/>
                <w:szCs w:val="22"/>
              </w:rPr>
              <w:t xml:space="preserve">Note 6 - Post covered by two officers during the year. H - 1st April to 10th December 2023. F - 8th </w:t>
            </w:r>
            <w:r w:rsidR="00DC2030" w:rsidRPr="00F045E4">
              <w:rPr>
                <w:rFonts w:ascii="Arial" w:hAnsi="Arial" w:cs="Arial"/>
                <w:color w:val="000000"/>
                <w:sz w:val="22"/>
                <w:szCs w:val="22"/>
              </w:rPr>
              <w:t>January</w:t>
            </w:r>
            <w:r w:rsidRPr="00F045E4">
              <w:rPr>
                <w:rFonts w:ascii="Arial" w:hAnsi="Arial" w:cs="Arial"/>
                <w:color w:val="000000"/>
                <w:sz w:val="22"/>
                <w:szCs w:val="22"/>
              </w:rPr>
              <w:t xml:space="preserve"> to 31 March 2024, who has continued in the role</w:t>
            </w:r>
          </w:p>
        </w:tc>
      </w:tr>
      <w:tr w:rsidR="00E057A0" w:rsidRPr="00F045E4" w14:paraId="32439624" w14:textId="77777777" w:rsidTr="00E057A0">
        <w:trPr>
          <w:trHeight w:val="343"/>
        </w:trPr>
        <w:tc>
          <w:tcPr>
            <w:tcW w:w="15429" w:type="dxa"/>
            <w:tcBorders>
              <w:top w:val="nil"/>
              <w:left w:val="nil"/>
              <w:bottom w:val="nil"/>
              <w:right w:val="nil"/>
            </w:tcBorders>
            <w:noWrap/>
            <w:vAlign w:val="bottom"/>
          </w:tcPr>
          <w:p w14:paraId="55658246" w14:textId="0C16BD1B" w:rsidR="00E057A0" w:rsidRPr="00F045E4" w:rsidRDefault="00E057A0" w:rsidP="00E057A0">
            <w:pPr>
              <w:rPr>
                <w:rFonts w:ascii="Arial" w:hAnsi="Arial" w:cs="Arial"/>
                <w:color w:val="000000"/>
                <w:sz w:val="22"/>
                <w:szCs w:val="22"/>
              </w:rPr>
            </w:pPr>
            <w:r w:rsidRPr="00F045E4">
              <w:rPr>
                <w:rFonts w:ascii="Arial" w:hAnsi="Arial" w:cs="Arial"/>
                <w:color w:val="000000"/>
                <w:sz w:val="22"/>
                <w:szCs w:val="22"/>
              </w:rPr>
              <w:t xml:space="preserve">Note 7 - Costs of post are recharged across the six Regional </w:t>
            </w:r>
            <w:proofErr w:type="gramStart"/>
            <w:r w:rsidRPr="00F045E4">
              <w:rPr>
                <w:rFonts w:ascii="Arial" w:hAnsi="Arial" w:cs="Arial"/>
                <w:color w:val="000000"/>
                <w:sz w:val="22"/>
                <w:szCs w:val="22"/>
              </w:rPr>
              <w:t>North West</w:t>
            </w:r>
            <w:proofErr w:type="gramEnd"/>
            <w:r w:rsidRPr="00F045E4">
              <w:rPr>
                <w:rFonts w:ascii="Arial" w:hAnsi="Arial" w:cs="Arial"/>
                <w:color w:val="000000"/>
                <w:sz w:val="22"/>
                <w:szCs w:val="22"/>
              </w:rPr>
              <w:t xml:space="preserve"> Forces (Merseyside, GMP, Cheshire, Cumbria, North Wales and Lancashire). Officer transferred to another force on 3rd September 2023</w:t>
            </w:r>
          </w:p>
        </w:tc>
      </w:tr>
    </w:tbl>
    <w:p w14:paraId="33C1995B" w14:textId="6ABD950E" w:rsidR="00EC79F9" w:rsidRDefault="00EC79F9">
      <w:pPr>
        <w:rPr>
          <w:rFonts w:ascii="Arial" w:hAnsi="Arial"/>
          <w:b/>
          <w:sz w:val="22"/>
          <w:szCs w:val="22"/>
        </w:rPr>
      </w:pPr>
    </w:p>
    <w:p w14:paraId="326FB869" w14:textId="77777777" w:rsidR="003B74DA" w:rsidRPr="00AD4E52" w:rsidRDefault="003B74DA" w:rsidP="003B74DA">
      <w:pPr>
        <w:ind w:left="426"/>
        <w:rPr>
          <w:rFonts w:ascii="Arial" w:hAnsi="Arial"/>
          <w:b/>
          <w:sz w:val="22"/>
          <w:szCs w:val="22"/>
        </w:rPr>
      </w:pPr>
    </w:p>
    <w:p w14:paraId="45F68213" w14:textId="630013DF" w:rsidR="003B74DA" w:rsidRPr="005E43ED" w:rsidRDefault="003B74DA" w:rsidP="003B74DA">
      <w:pPr>
        <w:rPr>
          <w:rFonts w:ascii="Arial" w:hAnsi="Arial" w:cs="Arial"/>
          <w:color w:val="000000"/>
        </w:rPr>
        <w:sectPr w:rsidR="003B74DA" w:rsidRPr="005E43ED" w:rsidSect="00A00487">
          <w:headerReference w:type="even" r:id="rId69"/>
          <w:headerReference w:type="default" r:id="rId70"/>
          <w:headerReference w:type="first" r:id="rId71"/>
          <w:pgSz w:w="16834" w:h="11909" w:orient="landscape" w:code="9"/>
          <w:pgMar w:top="720" w:right="720" w:bottom="720" w:left="720" w:header="397" w:footer="720" w:gutter="0"/>
          <w:cols w:space="720"/>
          <w:docGrid w:linePitch="272"/>
        </w:sectPr>
      </w:pPr>
    </w:p>
    <w:p w14:paraId="1CE8FE21" w14:textId="77777777" w:rsidR="003B74DA" w:rsidRDefault="003B74DA" w:rsidP="003B74DA">
      <w:pPr>
        <w:rPr>
          <w:rFonts w:ascii="Arial" w:hAnsi="Arial"/>
          <w:sz w:val="22"/>
          <w:szCs w:val="22"/>
        </w:rPr>
      </w:pPr>
    </w:p>
    <w:p w14:paraId="315896DE" w14:textId="3D669C49" w:rsidR="006F3FAD" w:rsidRDefault="006F3FAD" w:rsidP="0040440A">
      <w:pPr>
        <w:tabs>
          <w:tab w:val="left" w:pos="426"/>
        </w:tabs>
        <w:jc w:val="both"/>
        <w:rPr>
          <w:rFonts w:ascii="Arial" w:hAnsi="Arial"/>
          <w:sz w:val="22"/>
          <w:szCs w:val="22"/>
        </w:rPr>
      </w:pPr>
      <w:r w:rsidRPr="006F3FAD">
        <w:rPr>
          <w:rFonts w:ascii="Arial" w:hAnsi="Arial"/>
          <w:sz w:val="22"/>
          <w:szCs w:val="22"/>
        </w:rPr>
        <w:t xml:space="preserve">The </w:t>
      </w:r>
      <w:r w:rsidR="0013055D">
        <w:rPr>
          <w:rFonts w:ascii="Arial" w:hAnsi="Arial"/>
          <w:sz w:val="22"/>
          <w:szCs w:val="22"/>
        </w:rPr>
        <w:t>P</w:t>
      </w:r>
      <w:r w:rsidRPr="006F3FAD">
        <w:rPr>
          <w:rFonts w:ascii="Arial" w:hAnsi="Arial"/>
          <w:sz w:val="22"/>
          <w:szCs w:val="22"/>
        </w:rPr>
        <w:t>CC</w:t>
      </w:r>
      <w:r w:rsidR="0013055D">
        <w:rPr>
          <w:rFonts w:ascii="Arial" w:hAnsi="Arial"/>
          <w:sz w:val="22"/>
          <w:szCs w:val="22"/>
        </w:rPr>
        <w:t xml:space="preserve"> group</w:t>
      </w:r>
      <w:r w:rsidRPr="006F3FAD">
        <w:rPr>
          <w:rFonts w:ascii="Arial" w:hAnsi="Arial"/>
          <w:sz w:val="22"/>
          <w:szCs w:val="22"/>
        </w:rPr>
        <w:t xml:space="preserve"> employed an estimated </w:t>
      </w:r>
      <w:r w:rsidR="0013055D" w:rsidRPr="00825544">
        <w:rPr>
          <w:rFonts w:ascii="Arial" w:hAnsi="Arial"/>
          <w:sz w:val="22"/>
          <w:szCs w:val="22"/>
        </w:rPr>
        <w:t>5</w:t>
      </w:r>
      <w:r w:rsidR="00A033D1" w:rsidRPr="00825544">
        <w:rPr>
          <w:rFonts w:ascii="Arial" w:hAnsi="Arial"/>
          <w:sz w:val="22"/>
          <w:szCs w:val="22"/>
        </w:rPr>
        <w:t>89</w:t>
      </w:r>
      <w:r w:rsidR="0083267D" w:rsidRPr="00825544">
        <w:rPr>
          <w:rFonts w:ascii="Arial" w:hAnsi="Arial"/>
          <w:sz w:val="22"/>
          <w:szCs w:val="22"/>
        </w:rPr>
        <w:t>5</w:t>
      </w:r>
      <w:r w:rsidRPr="00825544">
        <w:rPr>
          <w:rFonts w:ascii="Arial" w:hAnsi="Arial"/>
          <w:sz w:val="22"/>
          <w:szCs w:val="22"/>
        </w:rPr>
        <w:t xml:space="preserve"> full time equivalents during </w:t>
      </w:r>
      <w:r w:rsidR="00C37E7F" w:rsidRPr="00825544">
        <w:rPr>
          <w:rFonts w:ascii="Arial" w:hAnsi="Arial"/>
          <w:sz w:val="22"/>
          <w:szCs w:val="22"/>
        </w:rPr>
        <w:t>2024/25</w:t>
      </w:r>
      <w:r w:rsidRPr="00825544">
        <w:rPr>
          <w:rFonts w:ascii="Arial" w:hAnsi="Arial"/>
          <w:sz w:val="22"/>
          <w:szCs w:val="22"/>
        </w:rPr>
        <w:t xml:space="preserve"> (59</w:t>
      </w:r>
      <w:r w:rsidR="002A3FC6" w:rsidRPr="00825544">
        <w:rPr>
          <w:rFonts w:ascii="Arial" w:hAnsi="Arial"/>
          <w:sz w:val="22"/>
          <w:szCs w:val="22"/>
        </w:rPr>
        <w:t>1</w:t>
      </w:r>
      <w:r w:rsidR="0083267D" w:rsidRPr="00825544">
        <w:rPr>
          <w:rFonts w:ascii="Arial" w:hAnsi="Arial"/>
          <w:sz w:val="22"/>
          <w:szCs w:val="22"/>
        </w:rPr>
        <w:t>0</w:t>
      </w:r>
      <w:r w:rsidRPr="00825544">
        <w:rPr>
          <w:rFonts w:ascii="Arial" w:hAnsi="Arial"/>
          <w:sz w:val="22"/>
          <w:szCs w:val="22"/>
        </w:rPr>
        <w:t xml:space="preserve"> in </w:t>
      </w:r>
      <w:r w:rsidR="00C37E7F" w:rsidRPr="00825544">
        <w:rPr>
          <w:rFonts w:ascii="Arial" w:hAnsi="Arial"/>
          <w:sz w:val="22"/>
          <w:szCs w:val="22"/>
        </w:rPr>
        <w:t>2023/24</w:t>
      </w:r>
      <w:r w:rsidRPr="00825544">
        <w:rPr>
          <w:rFonts w:ascii="Arial" w:hAnsi="Arial"/>
          <w:sz w:val="22"/>
          <w:szCs w:val="22"/>
        </w:rPr>
        <w:t>). In addition to the senior and relevant officers outlined in the note above, the following employees</w:t>
      </w:r>
      <w:r w:rsidRPr="006F3FAD">
        <w:rPr>
          <w:rFonts w:ascii="Arial" w:hAnsi="Arial"/>
          <w:sz w:val="22"/>
          <w:szCs w:val="22"/>
        </w:rPr>
        <w:t xml:space="preserve"> received remuneration of greater than £50,000 for the year (excluding employer's pension contributions):-</w:t>
      </w:r>
    </w:p>
    <w:p w14:paraId="5C7DA157" w14:textId="77777777" w:rsidR="006A4C46" w:rsidRDefault="006A4C46" w:rsidP="00BB2692">
      <w:pPr>
        <w:tabs>
          <w:tab w:val="left" w:pos="426"/>
        </w:tabs>
        <w:jc w:val="both"/>
        <w:rPr>
          <w:rFonts w:ascii="Arial" w:hAnsi="Arial"/>
          <w:sz w:val="22"/>
          <w:szCs w:val="22"/>
        </w:rPr>
      </w:pPr>
    </w:p>
    <w:tbl>
      <w:tblPr>
        <w:tblW w:w="10206" w:type="dxa"/>
        <w:tblCellMar>
          <w:top w:w="15" w:type="dxa"/>
          <w:bottom w:w="15" w:type="dxa"/>
        </w:tblCellMar>
        <w:tblLook w:val="04A0" w:firstRow="1" w:lastRow="0" w:firstColumn="1" w:lastColumn="0" w:noHBand="0" w:noVBand="1"/>
      </w:tblPr>
      <w:tblGrid>
        <w:gridCol w:w="1429"/>
        <w:gridCol w:w="346"/>
        <w:gridCol w:w="1545"/>
        <w:gridCol w:w="1159"/>
        <w:gridCol w:w="1142"/>
        <w:gridCol w:w="1142"/>
        <w:gridCol w:w="1159"/>
        <w:gridCol w:w="1142"/>
        <w:gridCol w:w="1142"/>
      </w:tblGrid>
      <w:tr w:rsidR="006F3FAD" w:rsidRPr="006F3FAD" w14:paraId="5D651032" w14:textId="77777777" w:rsidTr="007168A0">
        <w:trPr>
          <w:trHeight w:val="300"/>
        </w:trPr>
        <w:tc>
          <w:tcPr>
            <w:tcW w:w="1429" w:type="dxa"/>
            <w:tcBorders>
              <w:top w:val="single" w:sz="8" w:space="0" w:color="auto"/>
              <w:left w:val="single" w:sz="8" w:space="0" w:color="auto"/>
              <w:bottom w:val="nil"/>
              <w:right w:val="nil"/>
            </w:tcBorders>
            <w:shd w:val="clear" w:color="000000" w:fill="D9D9D9"/>
            <w:noWrap/>
            <w:vAlign w:val="bottom"/>
            <w:hideMark/>
          </w:tcPr>
          <w:p w14:paraId="64958935" w14:textId="77777777" w:rsidR="006F3FAD" w:rsidRPr="006F3FAD" w:rsidRDefault="006F3FAD" w:rsidP="006F3FAD">
            <w:pPr>
              <w:rPr>
                <w:sz w:val="24"/>
                <w:szCs w:val="24"/>
              </w:rPr>
            </w:pPr>
          </w:p>
        </w:tc>
        <w:tc>
          <w:tcPr>
            <w:tcW w:w="1891" w:type="dxa"/>
            <w:gridSpan w:val="2"/>
            <w:tcBorders>
              <w:top w:val="single" w:sz="8" w:space="0" w:color="auto"/>
              <w:left w:val="nil"/>
              <w:bottom w:val="nil"/>
              <w:right w:val="nil"/>
            </w:tcBorders>
            <w:shd w:val="clear" w:color="000000" w:fill="D9D9D9"/>
            <w:noWrap/>
            <w:vAlign w:val="bottom"/>
            <w:hideMark/>
          </w:tcPr>
          <w:p w14:paraId="57BDA945" w14:textId="77777777" w:rsidR="006F3FAD" w:rsidRPr="006F3FAD" w:rsidRDefault="006F3FAD" w:rsidP="006F3FAD"/>
        </w:tc>
        <w:tc>
          <w:tcPr>
            <w:tcW w:w="3443" w:type="dxa"/>
            <w:gridSpan w:val="3"/>
            <w:tcBorders>
              <w:top w:val="single" w:sz="8" w:space="0" w:color="auto"/>
              <w:left w:val="nil"/>
              <w:bottom w:val="nil"/>
              <w:right w:val="nil"/>
            </w:tcBorders>
            <w:noWrap/>
            <w:vAlign w:val="bottom"/>
            <w:hideMark/>
          </w:tcPr>
          <w:p w14:paraId="22138EF0" w14:textId="501F8108" w:rsidR="006F3FAD" w:rsidRPr="006F3FAD" w:rsidRDefault="00C37E7F" w:rsidP="006F3FAD">
            <w:pPr>
              <w:jc w:val="center"/>
              <w:rPr>
                <w:rFonts w:ascii="Arial" w:hAnsi="Arial" w:cs="Arial"/>
                <w:b/>
                <w:bCs/>
                <w:color w:val="000000"/>
                <w:sz w:val="22"/>
                <w:szCs w:val="22"/>
              </w:rPr>
            </w:pPr>
            <w:r>
              <w:rPr>
                <w:rFonts w:ascii="Arial" w:hAnsi="Arial" w:cs="Arial"/>
                <w:b/>
                <w:bCs/>
                <w:color w:val="000000"/>
                <w:sz w:val="22"/>
                <w:szCs w:val="22"/>
              </w:rPr>
              <w:t>2023/24</w:t>
            </w:r>
          </w:p>
        </w:tc>
        <w:tc>
          <w:tcPr>
            <w:tcW w:w="3443" w:type="dxa"/>
            <w:gridSpan w:val="3"/>
            <w:tcBorders>
              <w:top w:val="single" w:sz="8" w:space="0" w:color="auto"/>
              <w:left w:val="nil"/>
              <w:bottom w:val="nil"/>
              <w:right w:val="nil"/>
            </w:tcBorders>
            <w:shd w:val="clear" w:color="000000" w:fill="D9D9D9"/>
            <w:noWrap/>
            <w:vAlign w:val="bottom"/>
            <w:hideMark/>
          </w:tcPr>
          <w:p w14:paraId="635F62FB" w14:textId="54B5FEA0" w:rsidR="006F3FAD" w:rsidRPr="006F3FAD" w:rsidRDefault="00C37E7F" w:rsidP="006F3FAD">
            <w:pPr>
              <w:jc w:val="center"/>
              <w:rPr>
                <w:rFonts w:ascii="Arial" w:hAnsi="Arial" w:cs="Arial"/>
                <w:b/>
                <w:bCs/>
                <w:color w:val="000000"/>
                <w:sz w:val="22"/>
                <w:szCs w:val="22"/>
              </w:rPr>
            </w:pPr>
            <w:r>
              <w:rPr>
                <w:rFonts w:ascii="Arial" w:hAnsi="Arial" w:cs="Arial"/>
                <w:b/>
                <w:bCs/>
                <w:color w:val="000000"/>
                <w:sz w:val="22"/>
                <w:szCs w:val="22"/>
              </w:rPr>
              <w:t>2024/25</w:t>
            </w:r>
          </w:p>
        </w:tc>
      </w:tr>
      <w:tr w:rsidR="006F3FAD" w:rsidRPr="006F3FAD" w14:paraId="192FBBA8" w14:textId="77777777" w:rsidTr="007168A0">
        <w:trPr>
          <w:trHeight w:val="585"/>
        </w:trPr>
        <w:tc>
          <w:tcPr>
            <w:tcW w:w="1429" w:type="dxa"/>
            <w:tcBorders>
              <w:top w:val="nil"/>
              <w:left w:val="single" w:sz="8" w:space="0" w:color="auto"/>
              <w:bottom w:val="nil"/>
              <w:right w:val="nil"/>
            </w:tcBorders>
            <w:shd w:val="clear" w:color="000000" w:fill="D9D9D9"/>
            <w:noWrap/>
            <w:vAlign w:val="bottom"/>
            <w:hideMark/>
          </w:tcPr>
          <w:p w14:paraId="092B4647" w14:textId="77777777" w:rsidR="006F3FAD" w:rsidRPr="006F3FAD" w:rsidRDefault="006F3FAD" w:rsidP="006F3FAD">
            <w:pPr>
              <w:jc w:val="center"/>
              <w:rPr>
                <w:rFonts w:ascii="Arial" w:hAnsi="Arial" w:cs="Arial"/>
                <w:b/>
                <w:bCs/>
                <w:color w:val="000000"/>
                <w:sz w:val="22"/>
                <w:szCs w:val="22"/>
              </w:rPr>
            </w:pPr>
          </w:p>
        </w:tc>
        <w:tc>
          <w:tcPr>
            <w:tcW w:w="1891" w:type="dxa"/>
            <w:gridSpan w:val="2"/>
            <w:tcBorders>
              <w:top w:val="nil"/>
              <w:left w:val="nil"/>
              <w:bottom w:val="nil"/>
              <w:right w:val="nil"/>
            </w:tcBorders>
            <w:shd w:val="clear" w:color="000000" w:fill="D9D9D9"/>
            <w:noWrap/>
            <w:vAlign w:val="bottom"/>
            <w:hideMark/>
          </w:tcPr>
          <w:p w14:paraId="5C33CBC9" w14:textId="77777777" w:rsidR="006F3FAD" w:rsidRPr="006F3FAD" w:rsidRDefault="006F3FAD" w:rsidP="006F3FAD"/>
        </w:tc>
        <w:tc>
          <w:tcPr>
            <w:tcW w:w="1159" w:type="dxa"/>
            <w:tcBorders>
              <w:top w:val="nil"/>
              <w:left w:val="nil"/>
              <w:bottom w:val="nil"/>
              <w:right w:val="nil"/>
            </w:tcBorders>
            <w:vAlign w:val="bottom"/>
            <w:hideMark/>
          </w:tcPr>
          <w:p w14:paraId="4A1DCE7D" w14:textId="77777777" w:rsidR="006F3FAD" w:rsidRPr="006F3FAD" w:rsidRDefault="006F3FAD" w:rsidP="006F3FAD">
            <w:pPr>
              <w:rPr>
                <w:rFonts w:ascii="Arial" w:hAnsi="Arial" w:cs="Arial"/>
                <w:color w:val="000000"/>
                <w:sz w:val="22"/>
                <w:szCs w:val="22"/>
              </w:rPr>
            </w:pPr>
            <w:r w:rsidRPr="006F3FAD">
              <w:rPr>
                <w:rFonts w:ascii="Arial" w:hAnsi="Arial" w:cs="Arial"/>
                <w:color w:val="000000"/>
                <w:sz w:val="22"/>
                <w:szCs w:val="22"/>
              </w:rPr>
              <w:t>Police Officers</w:t>
            </w:r>
          </w:p>
        </w:tc>
        <w:tc>
          <w:tcPr>
            <w:tcW w:w="1142" w:type="dxa"/>
            <w:tcBorders>
              <w:top w:val="nil"/>
              <w:left w:val="nil"/>
              <w:bottom w:val="nil"/>
              <w:right w:val="nil"/>
            </w:tcBorders>
            <w:vAlign w:val="bottom"/>
            <w:hideMark/>
          </w:tcPr>
          <w:p w14:paraId="74875D89" w14:textId="77777777" w:rsidR="006F3FAD" w:rsidRPr="006F3FAD" w:rsidRDefault="006F3FAD" w:rsidP="006F3FAD">
            <w:pPr>
              <w:rPr>
                <w:rFonts w:ascii="Arial" w:hAnsi="Arial" w:cs="Arial"/>
                <w:color w:val="000000"/>
                <w:sz w:val="22"/>
                <w:szCs w:val="22"/>
              </w:rPr>
            </w:pPr>
            <w:r w:rsidRPr="006F3FAD">
              <w:rPr>
                <w:rFonts w:ascii="Arial" w:hAnsi="Arial" w:cs="Arial"/>
                <w:color w:val="000000"/>
                <w:sz w:val="22"/>
                <w:szCs w:val="22"/>
              </w:rPr>
              <w:t>Police Staff</w:t>
            </w:r>
          </w:p>
        </w:tc>
        <w:tc>
          <w:tcPr>
            <w:tcW w:w="1142" w:type="dxa"/>
            <w:tcBorders>
              <w:top w:val="nil"/>
              <w:left w:val="nil"/>
              <w:bottom w:val="nil"/>
              <w:right w:val="nil"/>
            </w:tcBorders>
            <w:vAlign w:val="bottom"/>
            <w:hideMark/>
          </w:tcPr>
          <w:p w14:paraId="081C3F98" w14:textId="77777777" w:rsidR="006F3FAD" w:rsidRPr="006F3FAD" w:rsidRDefault="006F3FAD" w:rsidP="006F3FAD">
            <w:pPr>
              <w:rPr>
                <w:rFonts w:ascii="Arial" w:hAnsi="Arial" w:cs="Arial"/>
                <w:color w:val="000000"/>
                <w:sz w:val="22"/>
                <w:szCs w:val="22"/>
              </w:rPr>
            </w:pPr>
            <w:r w:rsidRPr="006F3FAD">
              <w:rPr>
                <w:rFonts w:ascii="Arial" w:hAnsi="Arial" w:cs="Arial"/>
                <w:color w:val="000000"/>
                <w:sz w:val="22"/>
                <w:szCs w:val="22"/>
              </w:rPr>
              <w:t>Total</w:t>
            </w:r>
          </w:p>
        </w:tc>
        <w:tc>
          <w:tcPr>
            <w:tcW w:w="1159" w:type="dxa"/>
            <w:tcBorders>
              <w:top w:val="nil"/>
              <w:left w:val="nil"/>
              <w:bottom w:val="nil"/>
              <w:right w:val="nil"/>
            </w:tcBorders>
            <w:shd w:val="clear" w:color="000000" w:fill="D9D9D9"/>
            <w:vAlign w:val="bottom"/>
            <w:hideMark/>
          </w:tcPr>
          <w:p w14:paraId="3EC05035" w14:textId="77777777" w:rsidR="006F3FAD" w:rsidRPr="006F3FAD" w:rsidRDefault="006F3FAD" w:rsidP="006F3FAD">
            <w:pPr>
              <w:rPr>
                <w:rFonts w:ascii="Arial" w:hAnsi="Arial" w:cs="Arial"/>
                <w:color w:val="000000"/>
                <w:sz w:val="22"/>
                <w:szCs w:val="22"/>
              </w:rPr>
            </w:pPr>
            <w:r w:rsidRPr="006F3FAD">
              <w:rPr>
                <w:rFonts w:ascii="Arial" w:hAnsi="Arial" w:cs="Arial"/>
                <w:color w:val="000000"/>
                <w:sz w:val="22"/>
                <w:szCs w:val="22"/>
              </w:rPr>
              <w:t>Police Officers</w:t>
            </w:r>
          </w:p>
        </w:tc>
        <w:tc>
          <w:tcPr>
            <w:tcW w:w="1142" w:type="dxa"/>
            <w:tcBorders>
              <w:top w:val="nil"/>
              <w:left w:val="nil"/>
              <w:bottom w:val="nil"/>
              <w:right w:val="nil"/>
            </w:tcBorders>
            <w:shd w:val="clear" w:color="000000" w:fill="D9D9D9"/>
            <w:vAlign w:val="bottom"/>
            <w:hideMark/>
          </w:tcPr>
          <w:p w14:paraId="72D1DE9D" w14:textId="77777777" w:rsidR="006F3FAD" w:rsidRPr="006F3FAD" w:rsidRDefault="006F3FAD" w:rsidP="006F3FAD">
            <w:pPr>
              <w:rPr>
                <w:rFonts w:ascii="Arial" w:hAnsi="Arial" w:cs="Arial"/>
                <w:color w:val="000000"/>
                <w:sz w:val="22"/>
                <w:szCs w:val="22"/>
              </w:rPr>
            </w:pPr>
            <w:r w:rsidRPr="006F3FAD">
              <w:rPr>
                <w:rFonts w:ascii="Arial" w:hAnsi="Arial" w:cs="Arial"/>
                <w:color w:val="000000"/>
                <w:sz w:val="22"/>
                <w:szCs w:val="22"/>
              </w:rPr>
              <w:t>Police Staff</w:t>
            </w:r>
          </w:p>
        </w:tc>
        <w:tc>
          <w:tcPr>
            <w:tcW w:w="1142" w:type="dxa"/>
            <w:tcBorders>
              <w:top w:val="nil"/>
              <w:left w:val="nil"/>
              <w:bottom w:val="nil"/>
              <w:right w:val="single" w:sz="8" w:space="0" w:color="auto"/>
            </w:tcBorders>
            <w:shd w:val="clear" w:color="000000" w:fill="D9D9D9"/>
            <w:vAlign w:val="bottom"/>
            <w:hideMark/>
          </w:tcPr>
          <w:p w14:paraId="7856134F" w14:textId="77777777" w:rsidR="006F3FAD" w:rsidRPr="006F3FAD" w:rsidRDefault="006F3FAD" w:rsidP="006F3FAD">
            <w:pPr>
              <w:rPr>
                <w:rFonts w:ascii="Arial" w:hAnsi="Arial" w:cs="Arial"/>
                <w:color w:val="000000"/>
                <w:sz w:val="22"/>
                <w:szCs w:val="22"/>
              </w:rPr>
            </w:pPr>
            <w:r w:rsidRPr="006F3FAD">
              <w:rPr>
                <w:rFonts w:ascii="Arial" w:hAnsi="Arial" w:cs="Arial"/>
                <w:color w:val="000000"/>
                <w:sz w:val="22"/>
                <w:szCs w:val="22"/>
              </w:rPr>
              <w:t>Total</w:t>
            </w:r>
          </w:p>
        </w:tc>
      </w:tr>
      <w:tr w:rsidR="006F3FAD" w:rsidRPr="006F3FAD" w14:paraId="427C50F1"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3AB9C2DC" w14:textId="77777777" w:rsidR="006F3FAD" w:rsidRPr="006F3FAD" w:rsidRDefault="006F3FAD" w:rsidP="006F3FAD">
            <w:pPr>
              <w:jc w:val="right"/>
              <w:rPr>
                <w:rFonts w:ascii="Arial" w:hAnsi="Arial" w:cs="Arial"/>
                <w:color w:val="000000"/>
                <w:sz w:val="22"/>
                <w:szCs w:val="22"/>
              </w:rPr>
            </w:pPr>
            <w:r w:rsidRPr="006F3FAD">
              <w:rPr>
                <w:rFonts w:ascii="Arial" w:hAnsi="Arial" w:cs="Arial"/>
                <w:color w:val="000000"/>
                <w:sz w:val="22"/>
                <w:szCs w:val="22"/>
              </w:rPr>
              <w:t>£110,000</w:t>
            </w:r>
          </w:p>
        </w:tc>
        <w:tc>
          <w:tcPr>
            <w:tcW w:w="346" w:type="dxa"/>
            <w:tcBorders>
              <w:top w:val="nil"/>
              <w:left w:val="nil"/>
              <w:bottom w:val="nil"/>
              <w:right w:val="nil"/>
            </w:tcBorders>
            <w:shd w:val="clear" w:color="000000" w:fill="D9D9D9"/>
            <w:noWrap/>
            <w:vAlign w:val="bottom"/>
            <w:hideMark/>
          </w:tcPr>
          <w:p w14:paraId="03754FE3" w14:textId="77777777" w:rsidR="006F3FAD" w:rsidRPr="006F3FAD" w:rsidRDefault="006F3FAD" w:rsidP="006F3FAD">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46866266" w14:textId="77777777" w:rsidR="006F3FAD" w:rsidRPr="006F3FAD" w:rsidRDefault="006F3FAD" w:rsidP="006F3FAD">
            <w:pPr>
              <w:rPr>
                <w:rFonts w:ascii="Arial" w:hAnsi="Arial" w:cs="Arial"/>
                <w:color w:val="000000"/>
                <w:sz w:val="22"/>
                <w:szCs w:val="22"/>
              </w:rPr>
            </w:pPr>
            <w:r w:rsidRPr="006F3FAD">
              <w:rPr>
                <w:rFonts w:ascii="Arial" w:hAnsi="Arial" w:cs="Arial"/>
                <w:color w:val="000000"/>
                <w:sz w:val="22"/>
                <w:szCs w:val="22"/>
              </w:rPr>
              <w:t>£114,999</w:t>
            </w:r>
          </w:p>
        </w:tc>
        <w:tc>
          <w:tcPr>
            <w:tcW w:w="1159" w:type="dxa"/>
            <w:tcBorders>
              <w:top w:val="nil"/>
              <w:left w:val="nil"/>
              <w:bottom w:val="nil"/>
              <w:right w:val="nil"/>
            </w:tcBorders>
            <w:vAlign w:val="bottom"/>
            <w:hideMark/>
          </w:tcPr>
          <w:p w14:paraId="2C79BFF8" w14:textId="77777777" w:rsidR="006F3FAD" w:rsidRPr="006F3FAD" w:rsidRDefault="006F3FAD" w:rsidP="006F3FAD">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nil"/>
            </w:tcBorders>
            <w:vAlign w:val="bottom"/>
            <w:hideMark/>
          </w:tcPr>
          <w:p w14:paraId="55C6498F" w14:textId="77777777" w:rsidR="006F3FAD" w:rsidRPr="006F3FAD" w:rsidRDefault="006F3FAD" w:rsidP="006F3FAD">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nil"/>
            </w:tcBorders>
            <w:vAlign w:val="bottom"/>
            <w:hideMark/>
          </w:tcPr>
          <w:p w14:paraId="3300E331" w14:textId="77777777" w:rsidR="006F3FAD" w:rsidRPr="006F3FAD" w:rsidRDefault="006F3FAD" w:rsidP="006F3FAD">
            <w:pPr>
              <w:jc w:val="right"/>
              <w:rPr>
                <w:rFonts w:ascii="Arial" w:hAnsi="Arial" w:cs="Arial"/>
                <w:color w:val="000000"/>
                <w:sz w:val="22"/>
                <w:szCs w:val="22"/>
              </w:rPr>
            </w:pPr>
            <w:r w:rsidRPr="006F3FAD">
              <w:rPr>
                <w:rFonts w:ascii="Arial" w:hAnsi="Arial" w:cs="Arial"/>
                <w:color w:val="000000"/>
                <w:sz w:val="22"/>
                <w:szCs w:val="22"/>
              </w:rPr>
              <w:t>0</w:t>
            </w:r>
          </w:p>
        </w:tc>
        <w:tc>
          <w:tcPr>
            <w:tcW w:w="1159" w:type="dxa"/>
            <w:tcBorders>
              <w:top w:val="nil"/>
              <w:left w:val="nil"/>
              <w:bottom w:val="nil"/>
              <w:right w:val="nil"/>
            </w:tcBorders>
            <w:shd w:val="clear" w:color="000000" w:fill="D9D9D9"/>
            <w:vAlign w:val="bottom"/>
            <w:hideMark/>
          </w:tcPr>
          <w:p w14:paraId="4418AC63" w14:textId="77777777" w:rsidR="006F3FAD" w:rsidRPr="006F3FAD" w:rsidRDefault="006F3FAD" w:rsidP="006F3FAD">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nil"/>
            </w:tcBorders>
            <w:shd w:val="clear" w:color="000000" w:fill="D9D9D9"/>
            <w:vAlign w:val="bottom"/>
            <w:hideMark/>
          </w:tcPr>
          <w:p w14:paraId="019A26CA" w14:textId="77777777" w:rsidR="006F3FAD" w:rsidRPr="006F3FAD" w:rsidRDefault="006F3FAD" w:rsidP="006F3FAD">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single" w:sz="8" w:space="0" w:color="auto"/>
            </w:tcBorders>
            <w:shd w:val="clear" w:color="000000" w:fill="D9D9D9"/>
            <w:vAlign w:val="bottom"/>
            <w:hideMark/>
          </w:tcPr>
          <w:p w14:paraId="11CEB82D" w14:textId="77777777" w:rsidR="006F3FAD" w:rsidRPr="006F3FAD" w:rsidRDefault="006F3FAD" w:rsidP="006F3FAD">
            <w:pPr>
              <w:jc w:val="right"/>
              <w:rPr>
                <w:rFonts w:ascii="Arial" w:hAnsi="Arial" w:cs="Arial"/>
                <w:color w:val="000000"/>
                <w:sz w:val="22"/>
                <w:szCs w:val="22"/>
              </w:rPr>
            </w:pPr>
            <w:r w:rsidRPr="006F3FAD">
              <w:rPr>
                <w:rFonts w:ascii="Arial" w:hAnsi="Arial" w:cs="Arial"/>
                <w:color w:val="000000"/>
                <w:sz w:val="22"/>
                <w:szCs w:val="22"/>
              </w:rPr>
              <w:t>0</w:t>
            </w:r>
          </w:p>
        </w:tc>
      </w:tr>
      <w:tr w:rsidR="007168A0" w:rsidRPr="006F3FAD" w14:paraId="199530FF"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363A148A"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£105,000</w:t>
            </w:r>
          </w:p>
        </w:tc>
        <w:tc>
          <w:tcPr>
            <w:tcW w:w="346" w:type="dxa"/>
            <w:tcBorders>
              <w:top w:val="nil"/>
              <w:left w:val="nil"/>
              <w:bottom w:val="nil"/>
              <w:right w:val="nil"/>
            </w:tcBorders>
            <w:shd w:val="clear" w:color="000000" w:fill="D9D9D9"/>
            <w:noWrap/>
            <w:vAlign w:val="bottom"/>
            <w:hideMark/>
          </w:tcPr>
          <w:p w14:paraId="6D32D257"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51BC3623"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£109,999</w:t>
            </w:r>
          </w:p>
        </w:tc>
        <w:tc>
          <w:tcPr>
            <w:tcW w:w="1159" w:type="dxa"/>
            <w:tcBorders>
              <w:top w:val="nil"/>
              <w:left w:val="nil"/>
              <w:bottom w:val="nil"/>
              <w:right w:val="nil"/>
            </w:tcBorders>
            <w:vAlign w:val="bottom"/>
            <w:hideMark/>
          </w:tcPr>
          <w:p w14:paraId="3C75B129"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nil"/>
            </w:tcBorders>
            <w:vAlign w:val="bottom"/>
            <w:hideMark/>
          </w:tcPr>
          <w:p w14:paraId="0A1A4093"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nil"/>
            </w:tcBorders>
            <w:vAlign w:val="bottom"/>
            <w:hideMark/>
          </w:tcPr>
          <w:p w14:paraId="2C2BF03D"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0</w:t>
            </w:r>
          </w:p>
        </w:tc>
        <w:tc>
          <w:tcPr>
            <w:tcW w:w="1159" w:type="dxa"/>
            <w:tcBorders>
              <w:top w:val="nil"/>
              <w:left w:val="nil"/>
              <w:bottom w:val="nil"/>
              <w:right w:val="nil"/>
            </w:tcBorders>
            <w:shd w:val="clear" w:color="000000" w:fill="D9D9D9"/>
            <w:vAlign w:val="bottom"/>
            <w:hideMark/>
          </w:tcPr>
          <w:p w14:paraId="2CAC2DC7" w14:textId="4E812020"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w:t>
            </w:r>
          </w:p>
        </w:tc>
        <w:tc>
          <w:tcPr>
            <w:tcW w:w="1142" w:type="dxa"/>
            <w:tcBorders>
              <w:top w:val="nil"/>
              <w:left w:val="nil"/>
              <w:bottom w:val="nil"/>
              <w:right w:val="nil"/>
            </w:tcBorders>
            <w:shd w:val="clear" w:color="000000" w:fill="D9D9D9"/>
            <w:vAlign w:val="bottom"/>
            <w:hideMark/>
          </w:tcPr>
          <w:p w14:paraId="6464E80F" w14:textId="6791B1B1"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0</w:t>
            </w:r>
          </w:p>
        </w:tc>
        <w:tc>
          <w:tcPr>
            <w:tcW w:w="1142" w:type="dxa"/>
            <w:tcBorders>
              <w:top w:val="nil"/>
              <w:left w:val="nil"/>
              <w:bottom w:val="nil"/>
              <w:right w:val="single" w:sz="8" w:space="0" w:color="auto"/>
            </w:tcBorders>
            <w:shd w:val="clear" w:color="000000" w:fill="D9D9D9"/>
            <w:noWrap/>
            <w:vAlign w:val="bottom"/>
            <w:hideMark/>
          </w:tcPr>
          <w:p w14:paraId="0E276D35" w14:textId="457998A8"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w:t>
            </w:r>
          </w:p>
        </w:tc>
      </w:tr>
      <w:tr w:rsidR="007168A0" w:rsidRPr="006F3FAD" w14:paraId="0ED1FEEE"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0B855698"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£100,000</w:t>
            </w:r>
          </w:p>
        </w:tc>
        <w:tc>
          <w:tcPr>
            <w:tcW w:w="346" w:type="dxa"/>
            <w:tcBorders>
              <w:top w:val="nil"/>
              <w:left w:val="nil"/>
              <w:bottom w:val="nil"/>
              <w:right w:val="nil"/>
            </w:tcBorders>
            <w:shd w:val="clear" w:color="000000" w:fill="D9D9D9"/>
            <w:noWrap/>
            <w:vAlign w:val="bottom"/>
            <w:hideMark/>
          </w:tcPr>
          <w:p w14:paraId="1557C24A"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62C545C8"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£104,999</w:t>
            </w:r>
          </w:p>
        </w:tc>
        <w:tc>
          <w:tcPr>
            <w:tcW w:w="1159" w:type="dxa"/>
            <w:tcBorders>
              <w:top w:val="nil"/>
              <w:left w:val="nil"/>
              <w:bottom w:val="nil"/>
              <w:right w:val="nil"/>
            </w:tcBorders>
            <w:noWrap/>
            <w:vAlign w:val="bottom"/>
            <w:hideMark/>
          </w:tcPr>
          <w:p w14:paraId="4512ECA3" w14:textId="286E2D7F"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w:t>
            </w:r>
          </w:p>
        </w:tc>
        <w:tc>
          <w:tcPr>
            <w:tcW w:w="1142" w:type="dxa"/>
            <w:tcBorders>
              <w:top w:val="nil"/>
              <w:left w:val="nil"/>
              <w:bottom w:val="nil"/>
              <w:right w:val="nil"/>
            </w:tcBorders>
            <w:noWrap/>
            <w:vAlign w:val="bottom"/>
            <w:hideMark/>
          </w:tcPr>
          <w:p w14:paraId="020D0109"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nil"/>
            </w:tcBorders>
            <w:vAlign w:val="bottom"/>
            <w:hideMark/>
          </w:tcPr>
          <w:p w14:paraId="47ED6540" w14:textId="564CA401"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w:t>
            </w:r>
          </w:p>
        </w:tc>
        <w:tc>
          <w:tcPr>
            <w:tcW w:w="1159" w:type="dxa"/>
            <w:tcBorders>
              <w:top w:val="nil"/>
              <w:left w:val="nil"/>
              <w:bottom w:val="nil"/>
              <w:right w:val="nil"/>
            </w:tcBorders>
            <w:shd w:val="clear" w:color="000000" w:fill="D9D9D9"/>
            <w:vAlign w:val="bottom"/>
            <w:hideMark/>
          </w:tcPr>
          <w:p w14:paraId="79521DD1" w14:textId="57E033AE"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w:t>
            </w:r>
          </w:p>
        </w:tc>
        <w:tc>
          <w:tcPr>
            <w:tcW w:w="1142" w:type="dxa"/>
            <w:tcBorders>
              <w:top w:val="nil"/>
              <w:left w:val="nil"/>
              <w:bottom w:val="nil"/>
              <w:right w:val="nil"/>
            </w:tcBorders>
            <w:shd w:val="clear" w:color="000000" w:fill="D9D9D9"/>
            <w:vAlign w:val="bottom"/>
            <w:hideMark/>
          </w:tcPr>
          <w:p w14:paraId="5E4EDC66" w14:textId="5418057A"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0</w:t>
            </w:r>
          </w:p>
        </w:tc>
        <w:tc>
          <w:tcPr>
            <w:tcW w:w="1142" w:type="dxa"/>
            <w:tcBorders>
              <w:top w:val="nil"/>
              <w:left w:val="nil"/>
              <w:bottom w:val="nil"/>
              <w:right w:val="single" w:sz="8" w:space="0" w:color="auto"/>
            </w:tcBorders>
            <w:shd w:val="clear" w:color="000000" w:fill="D9D9D9"/>
            <w:noWrap/>
            <w:vAlign w:val="bottom"/>
            <w:hideMark/>
          </w:tcPr>
          <w:p w14:paraId="126A3077" w14:textId="11E43E9B"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w:t>
            </w:r>
          </w:p>
        </w:tc>
      </w:tr>
      <w:tr w:rsidR="007168A0" w:rsidRPr="006F3FAD" w14:paraId="03F3F797"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292D9EB2"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£95,000</w:t>
            </w:r>
          </w:p>
        </w:tc>
        <w:tc>
          <w:tcPr>
            <w:tcW w:w="346" w:type="dxa"/>
            <w:tcBorders>
              <w:top w:val="nil"/>
              <w:left w:val="nil"/>
              <w:bottom w:val="nil"/>
              <w:right w:val="nil"/>
            </w:tcBorders>
            <w:shd w:val="clear" w:color="000000" w:fill="D9D9D9"/>
            <w:noWrap/>
            <w:vAlign w:val="bottom"/>
            <w:hideMark/>
          </w:tcPr>
          <w:p w14:paraId="562DC8E9"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35817FF7"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£99,999</w:t>
            </w:r>
          </w:p>
        </w:tc>
        <w:tc>
          <w:tcPr>
            <w:tcW w:w="1159" w:type="dxa"/>
            <w:tcBorders>
              <w:top w:val="nil"/>
              <w:left w:val="nil"/>
              <w:bottom w:val="nil"/>
              <w:right w:val="nil"/>
            </w:tcBorders>
            <w:noWrap/>
            <w:vAlign w:val="bottom"/>
            <w:hideMark/>
          </w:tcPr>
          <w:p w14:paraId="44170118" w14:textId="12C32166"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w:t>
            </w:r>
          </w:p>
        </w:tc>
        <w:tc>
          <w:tcPr>
            <w:tcW w:w="1142" w:type="dxa"/>
            <w:tcBorders>
              <w:top w:val="nil"/>
              <w:left w:val="nil"/>
              <w:bottom w:val="nil"/>
              <w:right w:val="nil"/>
            </w:tcBorders>
            <w:noWrap/>
            <w:vAlign w:val="bottom"/>
            <w:hideMark/>
          </w:tcPr>
          <w:p w14:paraId="4191D1CE"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nil"/>
            </w:tcBorders>
            <w:vAlign w:val="bottom"/>
            <w:hideMark/>
          </w:tcPr>
          <w:p w14:paraId="122AAEBF" w14:textId="05D8417D"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w:t>
            </w:r>
          </w:p>
        </w:tc>
        <w:tc>
          <w:tcPr>
            <w:tcW w:w="1159" w:type="dxa"/>
            <w:tcBorders>
              <w:top w:val="nil"/>
              <w:left w:val="nil"/>
              <w:bottom w:val="nil"/>
              <w:right w:val="nil"/>
            </w:tcBorders>
            <w:shd w:val="clear" w:color="000000" w:fill="D9D9D9"/>
            <w:vAlign w:val="bottom"/>
            <w:hideMark/>
          </w:tcPr>
          <w:p w14:paraId="0A7E7FE0" w14:textId="1B8081C8"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w:t>
            </w:r>
          </w:p>
        </w:tc>
        <w:tc>
          <w:tcPr>
            <w:tcW w:w="1142" w:type="dxa"/>
            <w:tcBorders>
              <w:top w:val="nil"/>
              <w:left w:val="nil"/>
              <w:bottom w:val="nil"/>
              <w:right w:val="nil"/>
            </w:tcBorders>
            <w:shd w:val="clear" w:color="000000" w:fill="D9D9D9"/>
            <w:vAlign w:val="bottom"/>
            <w:hideMark/>
          </w:tcPr>
          <w:p w14:paraId="31FC677A" w14:textId="075916B7"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0</w:t>
            </w:r>
          </w:p>
        </w:tc>
        <w:tc>
          <w:tcPr>
            <w:tcW w:w="1142" w:type="dxa"/>
            <w:tcBorders>
              <w:top w:val="nil"/>
              <w:left w:val="nil"/>
              <w:bottom w:val="nil"/>
              <w:right w:val="single" w:sz="8" w:space="0" w:color="auto"/>
            </w:tcBorders>
            <w:shd w:val="clear" w:color="000000" w:fill="D9D9D9"/>
            <w:noWrap/>
            <w:vAlign w:val="bottom"/>
            <w:hideMark/>
          </w:tcPr>
          <w:p w14:paraId="3B1A8884" w14:textId="605E5F62"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w:t>
            </w:r>
          </w:p>
        </w:tc>
      </w:tr>
      <w:tr w:rsidR="007168A0" w:rsidRPr="006F3FAD" w14:paraId="58D1839B"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416E01D8"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£90,000</w:t>
            </w:r>
          </w:p>
        </w:tc>
        <w:tc>
          <w:tcPr>
            <w:tcW w:w="346" w:type="dxa"/>
            <w:tcBorders>
              <w:top w:val="nil"/>
              <w:left w:val="nil"/>
              <w:bottom w:val="nil"/>
              <w:right w:val="nil"/>
            </w:tcBorders>
            <w:shd w:val="clear" w:color="000000" w:fill="D9D9D9"/>
            <w:noWrap/>
            <w:vAlign w:val="bottom"/>
            <w:hideMark/>
          </w:tcPr>
          <w:p w14:paraId="344998D5"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0678E34C"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£94,999</w:t>
            </w:r>
          </w:p>
        </w:tc>
        <w:tc>
          <w:tcPr>
            <w:tcW w:w="1159" w:type="dxa"/>
            <w:tcBorders>
              <w:top w:val="nil"/>
              <w:left w:val="nil"/>
              <w:bottom w:val="nil"/>
              <w:right w:val="nil"/>
            </w:tcBorders>
            <w:noWrap/>
            <w:vAlign w:val="bottom"/>
            <w:hideMark/>
          </w:tcPr>
          <w:p w14:paraId="66B48BC3" w14:textId="21662C24"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8</w:t>
            </w:r>
          </w:p>
        </w:tc>
        <w:tc>
          <w:tcPr>
            <w:tcW w:w="1142" w:type="dxa"/>
            <w:tcBorders>
              <w:top w:val="nil"/>
              <w:left w:val="nil"/>
              <w:bottom w:val="nil"/>
              <w:right w:val="nil"/>
            </w:tcBorders>
            <w:noWrap/>
            <w:vAlign w:val="bottom"/>
            <w:hideMark/>
          </w:tcPr>
          <w:p w14:paraId="376297AD"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0</w:t>
            </w:r>
          </w:p>
        </w:tc>
        <w:tc>
          <w:tcPr>
            <w:tcW w:w="1142" w:type="dxa"/>
            <w:tcBorders>
              <w:top w:val="nil"/>
              <w:left w:val="nil"/>
              <w:bottom w:val="nil"/>
              <w:right w:val="nil"/>
            </w:tcBorders>
            <w:vAlign w:val="bottom"/>
            <w:hideMark/>
          </w:tcPr>
          <w:p w14:paraId="5C618789" w14:textId="5AE45599"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8</w:t>
            </w:r>
          </w:p>
        </w:tc>
        <w:tc>
          <w:tcPr>
            <w:tcW w:w="1159" w:type="dxa"/>
            <w:tcBorders>
              <w:top w:val="nil"/>
              <w:left w:val="nil"/>
              <w:bottom w:val="nil"/>
              <w:right w:val="nil"/>
            </w:tcBorders>
            <w:shd w:val="clear" w:color="000000" w:fill="D9D9D9"/>
            <w:vAlign w:val="bottom"/>
            <w:hideMark/>
          </w:tcPr>
          <w:p w14:paraId="24997BBF" w14:textId="43D803E4"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10</w:t>
            </w:r>
          </w:p>
        </w:tc>
        <w:tc>
          <w:tcPr>
            <w:tcW w:w="1142" w:type="dxa"/>
            <w:tcBorders>
              <w:top w:val="nil"/>
              <w:left w:val="nil"/>
              <w:bottom w:val="nil"/>
              <w:right w:val="nil"/>
            </w:tcBorders>
            <w:shd w:val="clear" w:color="000000" w:fill="D9D9D9"/>
            <w:vAlign w:val="bottom"/>
            <w:hideMark/>
          </w:tcPr>
          <w:p w14:paraId="2F2D1439" w14:textId="73BAE8BC"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w:t>
            </w:r>
          </w:p>
        </w:tc>
        <w:tc>
          <w:tcPr>
            <w:tcW w:w="1142" w:type="dxa"/>
            <w:tcBorders>
              <w:top w:val="nil"/>
              <w:left w:val="nil"/>
              <w:bottom w:val="nil"/>
              <w:right w:val="single" w:sz="8" w:space="0" w:color="auto"/>
            </w:tcBorders>
            <w:shd w:val="clear" w:color="000000" w:fill="D9D9D9"/>
            <w:noWrap/>
            <w:vAlign w:val="bottom"/>
            <w:hideMark/>
          </w:tcPr>
          <w:p w14:paraId="6F6D8D45" w14:textId="08B0A3BC"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12</w:t>
            </w:r>
          </w:p>
        </w:tc>
      </w:tr>
      <w:tr w:rsidR="007168A0" w:rsidRPr="006F3FAD" w14:paraId="2A89C6EC"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78B2AEBE"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£85,000</w:t>
            </w:r>
          </w:p>
        </w:tc>
        <w:tc>
          <w:tcPr>
            <w:tcW w:w="346" w:type="dxa"/>
            <w:tcBorders>
              <w:top w:val="nil"/>
              <w:left w:val="nil"/>
              <w:bottom w:val="nil"/>
              <w:right w:val="nil"/>
            </w:tcBorders>
            <w:shd w:val="clear" w:color="000000" w:fill="D9D9D9"/>
            <w:noWrap/>
            <w:vAlign w:val="bottom"/>
            <w:hideMark/>
          </w:tcPr>
          <w:p w14:paraId="79E69C44"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1F05D69D"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£89,999</w:t>
            </w:r>
          </w:p>
        </w:tc>
        <w:tc>
          <w:tcPr>
            <w:tcW w:w="1159" w:type="dxa"/>
            <w:tcBorders>
              <w:top w:val="nil"/>
              <w:left w:val="nil"/>
              <w:bottom w:val="nil"/>
              <w:right w:val="nil"/>
            </w:tcBorders>
            <w:noWrap/>
            <w:vAlign w:val="bottom"/>
            <w:hideMark/>
          </w:tcPr>
          <w:p w14:paraId="3E070CE4" w14:textId="1FD910A5"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7</w:t>
            </w:r>
          </w:p>
        </w:tc>
        <w:tc>
          <w:tcPr>
            <w:tcW w:w="1142" w:type="dxa"/>
            <w:tcBorders>
              <w:top w:val="nil"/>
              <w:left w:val="nil"/>
              <w:bottom w:val="nil"/>
              <w:right w:val="nil"/>
            </w:tcBorders>
            <w:noWrap/>
            <w:vAlign w:val="bottom"/>
            <w:hideMark/>
          </w:tcPr>
          <w:p w14:paraId="2F866816" w14:textId="37B6A854"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0</w:t>
            </w:r>
          </w:p>
        </w:tc>
        <w:tc>
          <w:tcPr>
            <w:tcW w:w="1142" w:type="dxa"/>
            <w:tcBorders>
              <w:top w:val="nil"/>
              <w:left w:val="nil"/>
              <w:bottom w:val="nil"/>
              <w:right w:val="nil"/>
            </w:tcBorders>
            <w:vAlign w:val="bottom"/>
            <w:hideMark/>
          </w:tcPr>
          <w:p w14:paraId="5253E4FD" w14:textId="2A336F30"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7</w:t>
            </w:r>
          </w:p>
        </w:tc>
        <w:tc>
          <w:tcPr>
            <w:tcW w:w="1159" w:type="dxa"/>
            <w:tcBorders>
              <w:top w:val="nil"/>
              <w:left w:val="nil"/>
              <w:bottom w:val="nil"/>
              <w:right w:val="nil"/>
            </w:tcBorders>
            <w:shd w:val="clear" w:color="000000" w:fill="D9D9D9"/>
            <w:vAlign w:val="bottom"/>
            <w:hideMark/>
          </w:tcPr>
          <w:p w14:paraId="7784A54F" w14:textId="60A62CCD"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w:t>
            </w:r>
          </w:p>
        </w:tc>
        <w:tc>
          <w:tcPr>
            <w:tcW w:w="1142" w:type="dxa"/>
            <w:tcBorders>
              <w:top w:val="nil"/>
              <w:left w:val="nil"/>
              <w:bottom w:val="nil"/>
              <w:right w:val="nil"/>
            </w:tcBorders>
            <w:shd w:val="clear" w:color="000000" w:fill="D9D9D9"/>
            <w:vAlign w:val="bottom"/>
            <w:hideMark/>
          </w:tcPr>
          <w:p w14:paraId="36C6BB04" w14:textId="5825925E"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w:t>
            </w:r>
          </w:p>
        </w:tc>
        <w:tc>
          <w:tcPr>
            <w:tcW w:w="1142" w:type="dxa"/>
            <w:tcBorders>
              <w:top w:val="nil"/>
              <w:left w:val="nil"/>
              <w:bottom w:val="nil"/>
              <w:right w:val="single" w:sz="8" w:space="0" w:color="auto"/>
            </w:tcBorders>
            <w:shd w:val="clear" w:color="000000" w:fill="D9D9D9"/>
            <w:noWrap/>
            <w:vAlign w:val="bottom"/>
            <w:hideMark/>
          </w:tcPr>
          <w:p w14:paraId="010150EA" w14:textId="57F7FFF4"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6</w:t>
            </w:r>
          </w:p>
        </w:tc>
      </w:tr>
      <w:tr w:rsidR="007168A0" w:rsidRPr="006F3FAD" w14:paraId="6A97FE1E"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02A12222"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£80,000</w:t>
            </w:r>
          </w:p>
        </w:tc>
        <w:tc>
          <w:tcPr>
            <w:tcW w:w="346" w:type="dxa"/>
            <w:tcBorders>
              <w:top w:val="nil"/>
              <w:left w:val="nil"/>
              <w:bottom w:val="nil"/>
              <w:right w:val="nil"/>
            </w:tcBorders>
            <w:shd w:val="clear" w:color="000000" w:fill="D9D9D9"/>
            <w:noWrap/>
            <w:vAlign w:val="bottom"/>
            <w:hideMark/>
          </w:tcPr>
          <w:p w14:paraId="7AA71B85"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77D7C978"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£84,999</w:t>
            </w:r>
          </w:p>
        </w:tc>
        <w:tc>
          <w:tcPr>
            <w:tcW w:w="1159" w:type="dxa"/>
            <w:tcBorders>
              <w:top w:val="nil"/>
              <w:left w:val="nil"/>
              <w:bottom w:val="nil"/>
              <w:right w:val="nil"/>
            </w:tcBorders>
            <w:noWrap/>
            <w:vAlign w:val="bottom"/>
            <w:hideMark/>
          </w:tcPr>
          <w:p w14:paraId="2C58FB67" w14:textId="7C8BA112"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10</w:t>
            </w:r>
          </w:p>
        </w:tc>
        <w:tc>
          <w:tcPr>
            <w:tcW w:w="1142" w:type="dxa"/>
            <w:tcBorders>
              <w:top w:val="nil"/>
              <w:left w:val="nil"/>
              <w:bottom w:val="nil"/>
              <w:right w:val="nil"/>
            </w:tcBorders>
            <w:noWrap/>
            <w:vAlign w:val="bottom"/>
            <w:hideMark/>
          </w:tcPr>
          <w:p w14:paraId="6CB16D2A" w14:textId="33CA4D91"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w:t>
            </w:r>
          </w:p>
        </w:tc>
        <w:tc>
          <w:tcPr>
            <w:tcW w:w="1142" w:type="dxa"/>
            <w:tcBorders>
              <w:top w:val="nil"/>
              <w:left w:val="nil"/>
              <w:bottom w:val="nil"/>
              <w:right w:val="nil"/>
            </w:tcBorders>
            <w:vAlign w:val="bottom"/>
            <w:hideMark/>
          </w:tcPr>
          <w:p w14:paraId="6DB5E0C9" w14:textId="14FD9BE0"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13</w:t>
            </w:r>
          </w:p>
        </w:tc>
        <w:tc>
          <w:tcPr>
            <w:tcW w:w="1159" w:type="dxa"/>
            <w:tcBorders>
              <w:top w:val="nil"/>
              <w:left w:val="nil"/>
              <w:bottom w:val="nil"/>
              <w:right w:val="nil"/>
            </w:tcBorders>
            <w:shd w:val="clear" w:color="000000" w:fill="D9D9D9"/>
            <w:vAlign w:val="bottom"/>
            <w:hideMark/>
          </w:tcPr>
          <w:p w14:paraId="757D7B06" w14:textId="3F3891C8"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7</w:t>
            </w:r>
          </w:p>
        </w:tc>
        <w:tc>
          <w:tcPr>
            <w:tcW w:w="1142" w:type="dxa"/>
            <w:tcBorders>
              <w:top w:val="nil"/>
              <w:left w:val="nil"/>
              <w:bottom w:val="nil"/>
              <w:right w:val="nil"/>
            </w:tcBorders>
            <w:shd w:val="clear" w:color="000000" w:fill="D9D9D9"/>
            <w:vAlign w:val="bottom"/>
            <w:hideMark/>
          </w:tcPr>
          <w:p w14:paraId="69E586B2" w14:textId="6AFD750C"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w:t>
            </w:r>
          </w:p>
        </w:tc>
        <w:tc>
          <w:tcPr>
            <w:tcW w:w="1142" w:type="dxa"/>
            <w:tcBorders>
              <w:top w:val="nil"/>
              <w:left w:val="nil"/>
              <w:bottom w:val="nil"/>
              <w:right w:val="single" w:sz="8" w:space="0" w:color="auto"/>
            </w:tcBorders>
            <w:shd w:val="clear" w:color="000000" w:fill="D9D9D9"/>
            <w:noWrap/>
            <w:vAlign w:val="bottom"/>
            <w:hideMark/>
          </w:tcPr>
          <w:p w14:paraId="256D3BB3" w14:textId="0A917D11"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12</w:t>
            </w:r>
          </w:p>
        </w:tc>
      </w:tr>
      <w:tr w:rsidR="007168A0" w:rsidRPr="006F3FAD" w14:paraId="65BE2B9B"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63FCB8A9"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£75,000</w:t>
            </w:r>
          </w:p>
        </w:tc>
        <w:tc>
          <w:tcPr>
            <w:tcW w:w="346" w:type="dxa"/>
            <w:tcBorders>
              <w:top w:val="nil"/>
              <w:left w:val="nil"/>
              <w:bottom w:val="nil"/>
              <w:right w:val="nil"/>
            </w:tcBorders>
            <w:shd w:val="clear" w:color="000000" w:fill="D9D9D9"/>
            <w:noWrap/>
            <w:vAlign w:val="bottom"/>
            <w:hideMark/>
          </w:tcPr>
          <w:p w14:paraId="71451D95"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038CD671"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£79,999</w:t>
            </w:r>
          </w:p>
        </w:tc>
        <w:tc>
          <w:tcPr>
            <w:tcW w:w="1159" w:type="dxa"/>
            <w:tcBorders>
              <w:top w:val="nil"/>
              <w:left w:val="nil"/>
              <w:bottom w:val="nil"/>
              <w:right w:val="nil"/>
            </w:tcBorders>
            <w:noWrap/>
            <w:vAlign w:val="bottom"/>
            <w:hideMark/>
          </w:tcPr>
          <w:p w14:paraId="4D0B6386" w14:textId="435FB6D7"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w:t>
            </w:r>
          </w:p>
        </w:tc>
        <w:tc>
          <w:tcPr>
            <w:tcW w:w="1142" w:type="dxa"/>
            <w:tcBorders>
              <w:top w:val="nil"/>
              <w:left w:val="nil"/>
              <w:bottom w:val="nil"/>
              <w:right w:val="nil"/>
            </w:tcBorders>
            <w:noWrap/>
            <w:vAlign w:val="bottom"/>
            <w:hideMark/>
          </w:tcPr>
          <w:p w14:paraId="48F5E78B" w14:textId="064C3510"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4</w:t>
            </w:r>
          </w:p>
        </w:tc>
        <w:tc>
          <w:tcPr>
            <w:tcW w:w="1142" w:type="dxa"/>
            <w:tcBorders>
              <w:top w:val="nil"/>
              <w:left w:val="nil"/>
              <w:bottom w:val="nil"/>
              <w:right w:val="nil"/>
            </w:tcBorders>
            <w:vAlign w:val="bottom"/>
            <w:hideMark/>
          </w:tcPr>
          <w:p w14:paraId="1CC08D80" w14:textId="1FBAD9FD"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9</w:t>
            </w:r>
          </w:p>
        </w:tc>
        <w:tc>
          <w:tcPr>
            <w:tcW w:w="1159" w:type="dxa"/>
            <w:tcBorders>
              <w:top w:val="nil"/>
              <w:left w:val="nil"/>
              <w:bottom w:val="nil"/>
              <w:right w:val="nil"/>
            </w:tcBorders>
            <w:shd w:val="clear" w:color="000000" w:fill="D9D9D9"/>
            <w:vAlign w:val="bottom"/>
            <w:hideMark/>
          </w:tcPr>
          <w:p w14:paraId="22011E5A" w14:textId="2C14FA43"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9</w:t>
            </w:r>
          </w:p>
        </w:tc>
        <w:tc>
          <w:tcPr>
            <w:tcW w:w="1142" w:type="dxa"/>
            <w:tcBorders>
              <w:top w:val="nil"/>
              <w:left w:val="nil"/>
              <w:bottom w:val="nil"/>
              <w:right w:val="nil"/>
            </w:tcBorders>
            <w:shd w:val="clear" w:color="000000" w:fill="D9D9D9"/>
            <w:vAlign w:val="bottom"/>
            <w:hideMark/>
          </w:tcPr>
          <w:p w14:paraId="1FF614AD" w14:textId="76EDB864"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w:t>
            </w:r>
          </w:p>
        </w:tc>
        <w:tc>
          <w:tcPr>
            <w:tcW w:w="1142" w:type="dxa"/>
            <w:tcBorders>
              <w:top w:val="nil"/>
              <w:left w:val="nil"/>
              <w:bottom w:val="nil"/>
              <w:right w:val="single" w:sz="8" w:space="0" w:color="auto"/>
            </w:tcBorders>
            <w:shd w:val="clear" w:color="000000" w:fill="D9D9D9"/>
            <w:noWrap/>
            <w:vAlign w:val="bottom"/>
            <w:hideMark/>
          </w:tcPr>
          <w:p w14:paraId="3E83EA3E" w14:textId="4146045D"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10</w:t>
            </w:r>
          </w:p>
        </w:tc>
      </w:tr>
      <w:tr w:rsidR="007168A0" w:rsidRPr="006F3FAD" w14:paraId="10508449"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4B9BC667"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£70,000</w:t>
            </w:r>
          </w:p>
        </w:tc>
        <w:tc>
          <w:tcPr>
            <w:tcW w:w="346" w:type="dxa"/>
            <w:tcBorders>
              <w:top w:val="nil"/>
              <w:left w:val="nil"/>
              <w:bottom w:val="nil"/>
              <w:right w:val="nil"/>
            </w:tcBorders>
            <w:shd w:val="clear" w:color="000000" w:fill="D9D9D9"/>
            <w:noWrap/>
            <w:vAlign w:val="bottom"/>
            <w:hideMark/>
          </w:tcPr>
          <w:p w14:paraId="3217493E"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4261919C"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£74,999</w:t>
            </w:r>
          </w:p>
        </w:tc>
        <w:tc>
          <w:tcPr>
            <w:tcW w:w="1159" w:type="dxa"/>
            <w:tcBorders>
              <w:top w:val="nil"/>
              <w:left w:val="nil"/>
              <w:bottom w:val="nil"/>
              <w:right w:val="nil"/>
            </w:tcBorders>
            <w:noWrap/>
            <w:vAlign w:val="bottom"/>
            <w:hideMark/>
          </w:tcPr>
          <w:p w14:paraId="341BEF74" w14:textId="11BDCE8C"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14</w:t>
            </w:r>
          </w:p>
        </w:tc>
        <w:tc>
          <w:tcPr>
            <w:tcW w:w="1142" w:type="dxa"/>
            <w:tcBorders>
              <w:top w:val="nil"/>
              <w:left w:val="nil"/>
              <w:bottom w:val="nil"/>
              <w:right w:val="nil"/>
            </w:tcBorders>
            <w:noWrap/>
            <w:vAlign w:val="bottom"/>
            <w:hideMark/>
          </w:tcPr>
          <w:p w14:paraId="2EBE108E" w14:textId="08D94780"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w:t>
            </w:r>
          </w:p>
        </w:tc>
        <w:tc>
          <w:tcPr>
            <w:tcW w:w="1142" w:type="dxa"/>
            <w:tcBorders>
              <w:top w:val="nil"/>
              <w:left w:val="nil"/>
              <w:bottom w:val="nil"/>
              <w:right w:val="nil"/>
            </w:tcBorders>
            <w:vAlign w:val="bottom"/>
            <w:hideMark/>
          </w:tcPr>
          <w:p w14:paraId="4C8DE224" w14:textId="45CF6DF1"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1</w:t>
            </w:r>
            <w:r>
              <w:rPr>
                <w:rFonts w:ascii="Arial" w:hAnsi="Arial" w:cs="Arial"/>
                <w:color w:val="000000"/>
                <w:sz w:val="22"/>
                <w:szCs w:val="22"/>
              </w:rPr>
              <w:t>5</w:t>
            </w:r>
          </w:p>
        </w:tc>
        <w:tc>
          <w:tcPr>
            <w:tcW w:w="1159" w:type="dxa"/>
            <w:tcBorders>
              <w:top w:val="nil"/>
              <w:left w:val="nil"/>
              <w:bottom w:val="nil"/>
              <w:right w:val="nil"/>
            </w:tcBorders>
            <w:shd w:val="clear" w:color="000000" w:fill="D9D9D9"/>
            <w:vAlign w:val="bottom"/>
            <w:hideMark/>
          </w:tcPr>
          <w:p w14:paraId="7A294EA6" w14:textId="59BA1F45"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31</w:t>
            </w:r>
          </w:p>
        </w:tc>
        <w:tc>
          <w:tcPr>
            <w:tcW w:w="1142" w:type="dxa"/>
            <w:tcBorders>
              <w:top w:val="nil"/>
              <w:left w:val="nil"/>
              <w:bottom w:val="nil"/>
              <w:right w:val="nil"/>
            </w:tcBorders>
            <w:shd w:val="clear" w:color="000000" w:fill="D9D9D9"/>
            <w:vAlign w:val="bottom"/>
            <w:hideMark/>
          </w:tcPr>
          <w:p w14:paraId="1DBB32C3" w14:textId="64B80F4D"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4</w:t>
            </w:r>
          </w:p>
        </w:tc>
        <w:tc>
          <w:tcPr>
            <w:tcW w:w="1142" w:type="dxa"/>
            <w:tcBorders>
              <w:top w:val="nil"/>
              <w:left w:val="nil"/>
              <w:bottom w:val="nil"/>
              <w:right w:val="single" w:sz="8" w:space="0" w:color="auto"/>
            </w:tcBorders>
            <w:shd w:val="clear" w:color="000000" w:fill="D9D9D9"/>
            <w:noWrap/>
            <w:vAlign w:val="bottom"/>
            <w:hideMark/>
          </w:tcPr>
          <w:p w14:paraId="31973171" w14:textId="3AB556B5"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35</w:t>
            </w:r>
          </w:p>
        </w:tc>
      </w:tr>
      <w:tr w:rsidR="007168A0" w:rsidRPr="006F3FAD" w14:paraId="2154D6C2"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7BEF9BE3"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£65,000</w:t>
            </w:r>
          </w:p>
        </w:tc>
        <w:tc>
          <w:tcPr>
            <w:tcW w:w="346" w:type="dxa"/>
            <w:tcBorders>
              <w:top w:val="nil"/>
              <w:left w:val="nil"/>
              <w:bottom w:val="nil"/>
              <w:right w:val="nil"/>
            </w:tcBorders>
            <w:shd w:val="clear" w:color="000000" w:fill="D9D9D9"/>
            <w:noWrap/>
            <w:vAlign w:val="bottom"/>
            <w:hideMark/>
          </w:tcPr>
          <w:p w14:paraId="323C5C96"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50B8A98D"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£69,999</w:t>
            </w:r>
          </w:p>
        </w:tc>
        <w:tc>
          <w:tcPr>
            <w:tcW w:w="1159" w:type="dxa"/>
            <w:tcBorders>
              <w:top w:val="nil"/>
              <w:left w:val="nil"/>
              <w:bottom w:val="nil"/>
              <w:right w:val="nil"/>
            </w:tcBorders>
            <w:noWrap/>
            <w:vAlign w:val="bottom"/>
            <w:hideMark/>
          </w:tcPr>
          <w:p w14:paraId="574D75DD" w14:textId="3851FCE3"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w:t>
            </w:r>
            <w:r w:rsidRPr="006F3FAD">
              <w:rPr>
                <w:rFonts w:ascii="Arial" w:hAnsi="Arial" w:cs="Arial"/>
                <w:color w:val="000000"/>
                <w:sz w:val="22"/>
                <w:szCs w:val="22"/>
              </w:rPr>
              <w:t>1</w:t>
            </w:r>
          </w:p>
        </w:tc>
        <w:tc>
          <w:tcPr>
            <w:tcW w:w="1142" w:type="dxa"/>
            <w:tcBorders>
              <w:top w:val="nil"/>
              <w:left w:val="nil"/>
              <w:bottom w:val="nil"/>
              <w:right w:val="nil"/>
            </w:tcBorders>
            <w:noWrap/>
            <w:vAlign w:val="bottom"/>
            <w:hideMark/>
          </w:tcPr>
          <w:p w14:paraId="51AF91DA" w14:textId="337B2423"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w:t>
            </w:r>
          </w:p>
        </w:tc>
        <w:tc>
          <w:tcPr>
            <w:tcW w:w="1142" w:type="dxa"/>
            <w:tcBorders>
              <w:top w:val="nil"/>
              <w:left w:val="nil"/>
              <w:bottom w:val="nil"/>
              <w:right w:val="nil"/>
            </w:tcBorders>
            <w:vAlign w:val="bottom"/>
            <w:hideMark/>
          </w:tcPr>
          <w:p w14:paraId="577B279E" w14:textId="1A606450"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54</w:t>
            </w:r>
          </w:p>
        </w:tc>
        <w:tc>
          <w:tcPr>
            <w:tcW w:w="1159" w:type="dxa"/>
            <w:tcBorders>
              <w:top w:val="nil"/>
              <w:left w:val="nil"/>
              <w:bottom w:val="nil"/>
              <w:right w:val="nil"/>
            </w:tcBorders>
            <w:shd w:val="clear" w:color="000000" w:fill="D9D9D9"/>
            <w:vAlign w:val="bottom"/>
            <w:hideMark/>
          </w:tcPr>
          <w:p w14:paraId="2AABC6EB" w14:textId="0BCDE4C3"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138</w:t>
            </w:r>
          </w:p>
        </w:tc>
        <w:tc>
          <w:tcPr>
            <w:tcW w:w="1142" w:type="dxa"/>
            <w:tcBorders>
              <w:top w:val="nil"/>
              <w:left w:val="nil"/>
              <w:bottom w:val="nil"/>
              <w:right w:val="nil"/>
            </w:tcBorders>
            <w:shd w:val="clear" w:color="000000" w:fill="D9D9D9"/>
            <w:vAlign w:val="bottom"/>
            <w:hideMark/>
          </w:tcPr>
          <w:p w14:paraId="1AFAFC24" w14:textId="16C1B94C"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3</w:t>
            </w:r>
          </w:p>
        </w:tc>
        <w:tc>
          <w:tcPr>
            <w:tcW w:w="1142" w:type="dxa"/>
            <w:tcBorders>
              <w:top w:val="nil"/>
              <w:left w:val="nil"/>
              <w:bottom w:val="nil"/>
              <w:right w:val="single" w:sz="8" w:space="0" w:color="auto"/>
            </w:tcBorders>
            <w:shd w:val="clear" w:color="000000" w:fill="D9D9D9"/>
            <w:noWrap/>
            <w:vAlign w:val="bottom"/>
            <w:hideMark/>
          </w:tcPr>
          <w:p w14:paraId="29A7B198" w14:textId="704E80A5"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141</w:t>
            </w:r>
          </w:p>
        </w:tc>
      </w:tr>
      <w:tr w:rsidR="007168A0" w:rsidRPr="006F3FAD" w14:paraId="18F80B15"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4EBF8F57"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£60,000</w:t>
            </w:r>
          </w:p>
        </w:tc>
        <w:tc>
          <w:tcPr>
            <w:tcW w:w="346" w:type="dxa"/>
            <w:tcBorders>
              <w:top w:val="nil"/>
              <w:left w:val="nil"/>
              <w:bottom w:val="nil"/>
              <w:right w:val="nil"/>
            </w:tcBorders>
            <w:shd w:val="clear" w:color="000000" w:fill="D9D9D9"/>
            <w:noWrap/>
            <w:vAlign w:val="bottom"/>
            <w:hideMark/>
          </w:tcPr>
          <w:p w14:paraId="25EAE5A8"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3F792AD5"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£64,999</w:t>
            </w:r>
          </w:p>
        </w:tc>
        <w:tc>
          <w:tcPr>
            <w:tcW w:w="1159" w:type="dxa"/>
            <w:tcBorders>
              <w:top w:val="nil"/>
              <w:left w:val="nil"/>
              <w:bottom w:val="nil"/>
              <w:right w:val="nil"/>
            </w:tcBorders>
            <w:noWrap/>
            <w:vAlign w:val="bottom"/>
            <w:hideMark/>
          </w:tcPr>
          <w:p w14:paraId="266D0E30" w14:textId="5D75AFAD"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149</w:t>
            </w:r>
          </w:p>
        </w:tc>
        <w:tc>
          <w:tcPr>
            <w:tcW w:w="1142" w:type="dxa"/>
            <w:tcBorders>
              <w:top w:val="nil"/>
              <w:left w:val="nil"/>
              <w:bottom w:val="nil"/>
              <w:right w:val="nil"/>
            </w:tcBorders>
            <w:noWrap/>
            <w:vAlign w:val="bottom"/>
            <w:hideMark/>
          </w:tcPr>
          <w:p w14:paraId="40C614FD" w14:textId="5910FFB6"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7</w:t>
            </w:r>
          </w:p>
        </w:tc>
        <w:tc>
          <w:tcPr>
            <w:tcW w:w="1142" w:type="dxa"/>
            <w:tcBorders>
              <w:top w:val="nil"/>
              <w:left w:val="nil"/>
              <w:bottom w:val="nil"/>
              <w:right w:val="nil"/>
            </w:tcBorders>
            <w:vAlign w:val="bottom"/>
            <w:hideMark/>
          </w:tcPr>
          <w:p w14:paraId="0A2007AE" w14:textId="367F89C2"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15</w:t>
            </w:r>
            <w:r w:rsidRPr="006F3FAD">
              <w:rPr>
                <w:rFonts w:ascii="Arial" w:hAnsi="Arial" w:cs="Arial"/>
                <w:color w:val="000000"/>
                <w:sz w:val="22"/>
                <w:szCs w:val="22"/>
              </w:rPr>
              <w:t>6</w:t>
            </w:r>
          </w:p>
        </w:tc>
        <w:tc>
          <w:tcPr>
            <w:tcW w:w="1159" w:type="dxa"/>
            <w:tcBorders>
              <w:top w:val="nil"/>
              <w:left w:val="nil"/>
              <w:bottom w:val="nil"/>
              <w:right w:val="nil"/>
            </w:tcBorders>
            <w:shd w:val="clear" w:color="000000" w:fill="D9D9D9"/>
            <w:vAlign w:val="bottom"/>
            <w:hideMark/>
          </w:tcPr>
          <w:p w14:paraId="09D3428E" w14:textId="324EFD28"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232</w:t>
            </w:r>
          </w:p>
        </w:tc>
        <w:tc>
          <w:tcPr>
            <w:tcW w:w="1142" w:type="dxa"/>
            <w:tcBorders>
              <w:top w:val="nil"/>
              <w:left w:val="nil"/>
              <w:bottom w:val="nil"/>
              <w:right w:val="nil"/>
            </w:tcBorders>
            <w:shd w:val="clear" w:color="000000" w:fill="D9D9D9"/>
            <w:vAlign w:val="bottom"/>
            <w:hideMark/>
          </w:tcPr>
          <w:p w14:paraId="08ACF8BD" w14:textId="4F80DA50"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9</w:t>
            </w:r>
          </w:p>
        </w:tc>
        <w:tc>
          <w:tcPr>
            <w:tcW w:w="1142" w:type="dxa"/>
            <w:tcBorders>
              <w:top w:val="nil"/>
              <w:left w:val="nil"/>
              <w:bottom w:val="nil"/>
              <w:right w:val="single" w:sz="8" w:space="0" w:color="auto"/>
            </w:tcBorders>
            <w:shd w:val="clear" w:color="000000" w:fill="D9D9D9"/>
            <w:noWrap/>
            <w:vAlign w:val="bottom"/>
            <w:hideMark/>
          </w:tcPr>
          <w:p w14:paraId="6ECF1225" w14:textId="594992BB"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241</w:t>
            </w:r>
          </w:p>
        </w:tc>
      </w:tr>
      <w:tr w:rsidR="007168A0" w:rsidRPr="006F3FAD" w14:paraId="2A76B772"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7ECDDEFF"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£55,000</w:t>
            </w:r>
          </w:p>
        </w:tc>
        <w:tc>
          <w:tcPr>
            <w:tcW w:w="346" w:type="dxa"/>
            <w:tcBorders>
              <w:top w:val="nil"/>
              <w:left w:val="nil"/>
              <w:bottom w:val="nil"/>
              <w:right w:val="nil"/>
            </w:tcBorders>
            <w:shd w:val="clear" w:color="000000" w:fill="D9D9D9"/>
            <w:noWrap/>
            <w:vAlign w:val="bottom"/>
            <w:hideMark/>
          </w:tcPr>
          <w:p w14:paraId="3AF0C995"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4272372A"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£59,999</w:t>
            </w:r>
          </w:p>
        </w:tc>
        <w:tc>
          <w:tcPr>
            <w:tcW w:w="1159" w:type="dxa"/>
            <w:tcBorders>
              <w:top w:val="nil"/>
              <w:left w:val="nil"/>
              <w:bottom w:val="nil"/>
              <w:right w:val="nil"/>
            </w:tcBorders>
            <w:noWrap/>
            <w:vAlign w:val="bottom"/>
            <w:hideMark/>
          </w:tcPr>
          <w:p w14:paraId="32BB1E86" w14:textId="0E6E09D0"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2</w:t>
            </w:r>
            <w:r>
              <w:rPr>
                <w:rFonts w:ascii="Arial" w:hAnsi="Arial" w:cs="Arial"/>
                <w:color w:val="000000"/>
                <w:sz w:val="22"/>
                <w:szCs w:val="22"/>
              </w:rPr>
              <w:t>55</w:t>
            </w:r>
          </w:p>
        </w:tc>
        <w:tc>
          <w:tcPr>
            <w:tcW w:w="1142" w:type="dxa"/>
            <w:tcBorders>
              <w:top w:val="nil"/>
              <w:left w:val="nil"/>
              <w:bottom w:val="nil"/>
              <w:right w:val="nil"/>
            </w:tcBorders>
            <w:noWrap/>
            <w:vAlign w:val="bottom"/>
            <w:hideMark/>
          </w:tcPr>
          <w:p w14:paraId="4F8ED378" w14:textId="7F3F88BB"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8</w:t>
            </w:r>
          </w:p>
        </w:tc>
        <w:tc>
          <w:tcPr>
            <w:tcW w:w="1142" w:type="dxa"/>
            <w:tcBorders>
              <w:top w:val="nil"/>
              <w:left w:val="nil"/>
              <w:bottom w:val="nil"/>
              <w:right w:val="nil"/>
            </w:tcBorders>
            <w:vAlign w:val="bottom"/>
            <w:hideMark/>
          </w:tcPr>
          <w:p w14:paraId="355385CD" w14:textId="66C4BAD8"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2</w:t>
            </w:r>
            <w:r>
              <w:rPr>
                <w:rFonts w:ascii="Arial" w:hAnsi="Arial" w:cs="Arial"/>
                <w:color w:val="000000"/>
                <w:sz w:val="22"/>
                <w:szCs w:val="22"/>
              </w:rPr>
              <w:t>63</w:t>
            </w:r>
          </w:p>
        </w:tc>
        <w:tc>
          <w:tcPr>
            <w:tcW w:w="1159" w:type="dxa"/>
            <w:tcBorders>
              <w:top w:val="nil"/>
              <w:left w:val="nil"/>
              <w:bottom w:val="nil"/>
              <w:right w:val="nil"/>
            </w:tcBorders>
            <w:shd w:val="clear" w:color="000000" w:fill="D9D9D9"/>
            <w:vAlign w:val="bottom"/>
            <w:hideMark/>
          </w:tcPr>
          <w:p w14:paraId="6040CFD4" w14:textId="65D029E6"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401</w:t>
            </w:r>
          </w:p>
        </w:tc>
        <w:tc>
          <w:tcPr>
            <w:tcW w:w="1142" w:type="dxa"/>
            <w:tcBorders>
              <w:top w:val="nil"/>
              <w:left w:val="nil"/>
              <w:bottom w:val="nil"/>
              <w:right w:val="nil"/>
            </w:tcBorders>
            <w:shd w:val="clear" w:color="000000" w:fill="D9D9D9"/>
            <w:vAlign w:val="bottom"/>
            <w:hideMark/>
          </w:tcPr>
          <w:p w14:paraId="3171E75C" w14:textId="39BF3311"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21</w:t>
            </w:r>
          </w:p>
        </w:tc>
        <w:tc>
          <w:tcPr>
            <w:tcW w:w="1142" w:type="dxa"/>
            <w:tcBorders>
              <w:top w:val="nil"/>
              <w:left w:val="nil"/>
              <w:bottom w:val="nil"/>
              <w:right w:val="single" w:sz="8" w:space="0" w:color="auto"/>
            </w:tcBorders>
            <w:shd w:val="clear" w:color="000000" w:fill="D9D9D9"/>
            <w:noWrap/>
            <w:vAlign w:val="bottom"/>
            <w:hideMark/>
          </w:tcPr>
          <w:p w14:paraId="79C58B1C" w14:textId="458404A4"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422</w:t>
            </w:r>
          </w:p>
        </w:tc>
      </w:tr>
      <w:tr w:rsidR="007168A0" w:rsidRPr="006F3FAD" w14:paraId="3B54A0C8" w14:textId="77777777" w:rsidTr="007168A0">
        <w:trPr>
          <w:trHeight w:val="300"/>
        </w:trPr>
        <w:tc>
          <w:tcPr>
            <w:tcW w:w="1429" w:type="dxa"/>
            <w:tcBorders>
              <w:top w:val="nil"/>
              <w:left w:val="single" w:sz="8" w:space="0" w:color="auto"/>
              <w:bottom w:val="nil"/>
              <w:right w:val="nil"/>
            </w:tcBorders>
            <w:shd w:val="clear" w:color="000000" w:fill="D9D9D9"/>
            <w:noWrap/>
            <w:vAlign w:val="bottom"/>
            <w:hideMark/>
          </w:tcPr>
          <w:p w14:paraId="27685713" w14:textId="77777777" w:rsidR="007168A0" w:rsidRPr="006F3FAD" w:rsidRDefault="007168A0" w:rsidP="007168A0">
            <w:pPr>
              <w:jc w:val="right"/>
              <w:rPr>
                <w:rFonts w:ascii="Arial" w:hAnsi="Arial" w:cs="Arial"/>
                <w:color w:val="000000"/>
                <w:sz w:val="22"/>
                <w:szCs w:val="22"/>
              </w:rPr>
            </w:pPr>
            <w:r w:rsidRPr="006F3FAD">
              <w:rPr>
                <w:rFonts w:ascii="Arial" w:hAnsi="Arial" w:cs="Arial"/>
                <w:color w:val="000000"/>
                <w:sz w:val="22"/>
                <w:szCs w:val="22"/>
              </w:rPr>
              <w:t>£50,000</w:t>
            </w:r>
          </w:p>
        </w:tc>
        <w:tc>
          <w:tcPr>
            <w:tcW w:w="346" w:type="dxa"/>
            <w:tcBorders>
              <w:top w:val="nil"/>
              <w:left w:val="nil"/>
              <w:bottom w:val="nil"/>
              <w:right w:val="nil"/>
            </w:tcBorders>
            <w:shd w:val="clear" w:color="000000" w:fill="D9D9D9"/>
            <w:noWrap/>
            <w:vAlign w:val="bottom"/>
            <w:hideMark/>
          </w:tcPr>
          <w:p w14:paraId="68E13264"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w:t>
            </w:r>
          </w:p>
        </w:tc>
        <w:tc>
          <w:tcPr>
            <w:tcW w:w="1545" w:type="dxa"/>
            <w:tcBorders>
              <w:top w:val="nil"/>
              <w:left w:val="nil"/>
              <w:bottom w:val="nil"/>
              <w:right w:val="nil"/>
            </w:tcBorders>
            <w:shd w:val="clear" w:color="000000" w:fill="D9D9D9"/>
            <w:noWrap/>
            <w:vAlign w:val="bottom"/>
            <w:hideMark/>
          </w:tcPr>
          <w:p w14:paraId="225712E7" w14:textId="77777777" w:rsidR="007168A0" w:rsidRPr="006F3FAD" w:rsidRDefault="007168A0" w:rsidP="007168A0">
            <w:pPr>
              <w:rPr>
                <w:rFonts w:ascii="Arial" w:hAnsi="Arial" w:cs="Arial"/>
                <w:color w:val="000000"/>
                <w:sz w:val="22"/>
                <w:szCs w:val="22"/>
              </w:rPr>
            </w:pPr>
            <w:r w:rsidRPr="006F3FAD">
              <w:rPr>
                <w:rFonts w:ascii="Arial" w:hAnsi="Arial" w:cs="Arial"/>
                <w:color w:val="000000"/>
                <w:sz w:val="22"/>
                <w:szCs w:val="22"/>
              </w:rPr>
              <w:t>£54,999</w:t>
            </w:r>
          </w:p>
        </w:tc>
        <w:tc>
          <w:tcPr>
            <w:tcW w:w="1159" w:type="dxa"/>
            <w:tcBorders>
              <w:top w:val="nil"/>
              <w:left w:val="nil"/>
              <w:bottom w:val="nil"/>
              <w:right w:val="nil"/>
            </w:tcBorders>
            <w:noWrap/>
            <w:vAlign w:val="bottom"/>
            <w:hideMark/>
          </w:tcPr>
          <w:p w14:paraId="017CE2F7" w14:textId="2C9A52A2"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535</w:t>
            </w:r>
          </w:p>
        </w:tc>
        <w:tc>
          <w:tcPr>
            <w:tcW w:w="1142" w:type="dxa"/>
            <w:tcBorders>
              <w:top w:val="nil"/>
              <w:left w:val="nil"/>
              <w:bottom w:val="nil"/>
              <w:right w:val="nil"/>
            </w:tcBorders>
            <w:noWrap/>
            <w:vAlign w:val="bottom"/>
            <w:hideMark/>
          </w:tcPr>
          <w:p w14:paraId="2F1BD64D" w14:textId="33461EC4"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29</w:t>
            </w:r>
          </w:p>
        </w:tc>
        <w:tc>
          <w:tcPr>
            <w:tcW w:w="1142" w:type="dxa"/>
            <w:tcBorders>
              <w:top w:val="nil"/>
              <w:left w:val="nil"/>
              <w:bottom w:val="nil"/>
              <w:right w:val="nil"/>
            </w:tcBorders>
            <w:vAlign w:val="bottom"/>
            <w:hideMark/>
          </w:tcPr>
          <w:p w14:paraId="59F92722" w14:textId="5B93EB90"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564</w:t>
            </w:r>
          </w:p>
        </w:tc>
        <w:tc>
          <w:tcPr>
            <w:tcW w:w="1159" w:type="dxa"/>
            <w:tcBorders>
              <w:top w:val="nil"/>
              <w:left w:val="nil"/>
              <w:bottom w:val="nil"/>
              <w:right w:val="nil"/>
            </w:tcBorders>
            <w:shd w:val="clear" w:color="000000" w:fill="D9D9D9"/>
            <w:vAlign w:val="bottom"/>
            <w:hideMark/>
          </w:tcPr>
          <w:p w14:paraId="465F1C8E" w14:textId="0FEB7B9D"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643</w:t>
            </w:r>
          </w:p>
        </w:tc>
        <w:tc>
          <w:tcPr>
            <w:tcW w:w="1142" w:type="dxa"/>
            <w:tcBorders>
              <w:top w:val="nil"/>
              <w:left w:val="nil"/>
              <w:bottom w:val="nil"/>
              <w:right w:val="nil"/>
            </w:tcBorders>
            <w:shd w:val="clear" w:color="000000" w:fill="D9D9D9"/>
            <w:vAlign w:val="bottom"/>
            <w:hideMark/>
          </w:tcPr>
          <w:p w14:paraId="49D7439C" w14:textId="5EA790A8"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5</w:t>
            </w:r>
            <w:r w:rsidR="00C443DA">
              <w:rPr>
                <w:rFonts w:ascii="Arial" w:hAnsi="Arial" w:cs="Arial"/>
                <w:color w:val="000000"/>
                <w:sz w:val="22"/>
                <w:szCs w:val="22"/>
              </w:rPr>
              <w:t>4</w:t>
            </w:r>
          </w:p>
        </w:tc>
        <w:tc>
          <w:tcPr>
            <w:tcW w:w="1142" w:type="dxa"/>
            <w:tcBorders>
              <w:top w:val="nil"/>
              <w:left w:val="nil"/>
              <w:bottom w:val="nil"/>
              <w:right w:val="single" w:sz="8" w:space="0" w:color="auto"/>
            </w:tcBorders>
            <w:shd w:val="clear" w:color="000000" w:fill="D9D9D9"/>
            <w:noWrap/>
            <w:vAlign w:val="bottom"/>
            <w:hideMark/>
          </w:tcPr>
          <w:p w14:paraId="62499136" w14:textId="7B71197E" w:rsidR="007168A0" w:rsidRPr="006F3FAD" w:rsidRDefault="007168A0" w:rsidP="007168A0">
            <w:pPr>
              <w:jc w:val="right"/>
              <w:rPr>
                <w:rFonts w:ascii="Arial" w:hAnsi="Arial" w:cs="Arial"/>
                <w:color w:val="000000"/>
                <w:sz w:val="22"/>
                <w:szCs w:val="22"/>
              </w:rPr>
            </w:pPr>
            <w:r>
              <w:rPr>
                <w:rFonts w:ascii="Arial" w:hAnsi="Arial" w:cs="Arial"/>
                <w:color w:val="000000"/>
                <w:sz w:val="22"/>
                <w:szCs w:val="22"/>
              </w:rPr>
              <w:t>69</w:t>
            </w:r>
            <w:r w:rsidR="009B6138">
              <w:rPr>
                <w:rFonts w:ascii="Arial" w:hAnsi="Arial" w:cs="Arial"/>
                <w:color w:val="000000"/>
                <w:sz w:val="22"/>
                <w:szCs w:val="22"/>
              </w:rPr>
              <w:t>7</w:t>
            </w:r>
          </w:p>
        </w:tc>
      </w:tr>
      <w:tr w:rsidR="00C443DA" w:rsidRPr="006F3FAD" w14:paraId="73363EBE" w14:textId="77777777">
        <w:trPr>
          <w:trHeight w:val="315"/>
        </w:trPr>
        <w:tc>
          <w:tcPr>
            <w:tcW w:w="1429" w:type="dxa"/>
            <w:tcBorders>
              <w:top w:val="nil"/>
              <w:left w:val="single" w:sz="8" w:space="0" w:color="auto"/>
              <w:bottom w:val="single" w:sz="8" w:space="0" w:color="auto"/>
              <w:right w:val="nil"/>
            </w:tcBorders>
            <w:shd w:val="clear" w:color="000000" w:fill="D9D9D9"/>
            <w:noWrap/>
            <w:vAlign w:val="bottom"/>
            <w:hideMark/>
          </w:tcPr>
          <w:p w14:paraId="38A8DC2B" w14:textId="77777777" w:rsidR="00C443DA" w:rsidRPr="006F3FAD" w:rsidRDefault="00C443DA" w:rsidP="00C443DA">
            <w:pPr>
              <w:rPr>
                <w:rFonts w:ascii="Arial" w:hAnsi="Arial" w:cs="Arial"/>
                <w:b/>
                <w:bCs/>
                <w:color w:val="000000"/>
                <w:sz w:val="22"/>
                <w:szCs w:val="22"/>
              </w:rPr>
            </w:pPr>
            <w:r w:rsidRPr="006F3FAD">
              <w:rPr>
                <w:rFonts w:ascii="Arial" w:hAnsi="Arial" w:cs="Arial"/>
                <w:b/>
                <w:bCs/>
                <w:color w:val="000000"/>
                <w:sz w:val="22"/>
                <w:szCs w:val="22"/>
              </w:rPr>
              <w:t>Total</w:t>
            </w:r>
          </w:p>
        </w:tc>
        <w:tc>
          <w:tcPr>
            <w:tcW w:w="1891" w:type="dxa"/>
            <w:gridSpan w:val="2"/>
            <w:tcBorders>
              <w:top w:val="nil"/>
              <w:left w:val="nil"/>
              <w:bottom w:val="single" w:sz="8" w:space="0" w:color="auto"/>
              <w:right w:val="nil"/>
            </w:tcBorders>
            <w:shd w:val="clear" w:color="000000" w:fill="D9D9D9"/>
            <w:noWrap/>
            <w:vAlign w:val="bottom"/>
            <w:hideMark/>
          </w:tcPr>
          <w:p w14:paraId="41132A59" w14:textId="77777777" w:rsidR="00C443DA" w:rsidRPr="006F3FAD" w:rsidRDefault="00C443DA" w:rsidP="00C443DA">
            <w:pPr>
              <w:rPr>
                <w:rFonts w:ascii="Arial" w:hAnsi="Arial" w:cs="Arial"/>
                <w:b/>
                <w:bCs/>
                <w:color w:val="000000"/>
                <w:sz w:val="22"/>
                <w:szCs w:val="22"/>
              </w:rPr>
            </w:pPr>
          </w:p>
        </w:tc>
        <w:tc>
          <w:tcPr>
            <w:tcW w:w="1159" w:type="dxa"/>
            <w:tcBorders>
              <w:top w:val="single" w:sz="4" w:space="0" w:color="auto"/>
              <w:left w:val="nil"/>
              <w:bottom w:val="single" w:sz="8" w:space="0" w:color="auto"/>
              <w:right w:val="nil"/>
            </w:tcBorders>
            <w:noWrap/>
            <w:vAlign w:val="bottom"/>
            <w:hideMark/>
          </w:tcPr>
          <w:p w14:paraId="174C722D" w14:textId="41B28FA2" w:rsidR="00C443DA" w:rsidRPr="006F3FAD" w:rsidRDefault="00C443DA" w:rsidP="00C443DA">
            <w:pPr>
              <w:jc w:val="right"/>
              <w:rPr>
                <w:rFonts w:ascii="Arial" w:hAnsi="Arial" w:cs="Arial"/>
                <w:b/>
                <w:bCs/>
                <w:color w:val="000000"/>
                <w:sz w:val="22"/>
                <w:szCs w:val="22"/>
              </w:rPr>
            </w:pPr>
            <w:r>
              <w:rPr>
                <w:rFonts w:ascii="Arial" w:hAnsi="Arial" w:cs="Arial"/>
                <w:b/>
                <w:bCs/>
                <w:color w:val="000000"/>
                <w:sz w:val="22"/>
                <w:szCs w:val="22"/>
              </w:rPr>
              <w:t>1039</w:t>
            </w:r>
          </w:p>
        </w:tc>
        <w:tc>
          <w:tcPr>
            <w:tcW w:w="1142" w:type="dxa"/>
            <w:tcBorders>
              <w:top w:val="single" w:sz="4" w:space="0" w:color="auto"/>
              <w:left w:val="nil"/>
              <w:bottom w:val="single" w:sz="8" w:space="0" w:color="auto"/>
              <w:right w:val="nil"/>
            </w:tcBorders>
            <w:noWrap/>
            <w:vAlign w:val="bottom"/>
            <w:hideMark/>
          </w:tcPr>
          <w:p w14:paraId="6AC4D3A7" w14:textId="7EDF9E3D" w:rsidR="00C443DA" w:rsidRPr="006F3FAD" w:rsidRDefault="00C443DA" w:rsidP="00C443DA">
            <w:pPr>
              <w:jc w:val="right"/>
              <w:rPr>
                <w:rFonts w:ascii="Arial" w:hAnsi="Arial" w:cs="Arial"/>
                <w:b/>
                <w:bCs/>
                <w:color w:val="000000"/>
                <w:sz w:val="22"/>
                <w:szCs w:val="22"/>
              </w:rPr>
            </w:pPr>
            <w:r>
              <w:rPr>
                <w:rFonts w:ascii="Arial" w:hAnsi="Arial" w:cs="Arial"/>
                <w:b/>
                <w:bCs/>
                <w:color w:val="000000"/>
                <w:sz w:val="22"/>
                <w:szCs w:val="22"/>
              </w:rPr>
              <w:t>55</w:t>
            </w:r>
          </w:p>
        </w:tc>
        <w:tc>
          <w:tcPr>
            <w:tcW w:w="1142" w:type="dxa"/>
            <w:tcBorders>
              <w:top w:val="single" w:sz="4" w:space="0" w:color="auto"/>
              <w:left w:val="nil"/>
              <w:bottom w:val="single" w:sz="8" w:space="0" w:color="auto"/>
              <w:right w:val="nil"/>
            </w:tcBorders>
            <w:noWrap/>
            <w:vAlign w:val="bottom"/>
            <w:hideMark/>
          </w:tcPr>
          <w:p w14:paraId="1BF8AD6C" w14:textId="5975CB64" w:rsidR="00C443DA" w:rsidRPr="006F3FAD" w:rsidRDefault="00C443DA" w:rsidP="00C443DA">
            <w:pPr>
              <w:jc w:val="right"/>
              <w:rPr>
                <w:rFonts w:ascii="Arial" w:hAnsi="Arial" w:cs="Arial"/>
                <w:b/>
                <w:bCs/>
                <w:color w:val="000000"/>
                <w:sz w:val="22"/>
                <w:szCs w:val="22"/>
              </w:rPr>
            </w:pPr>
            <w:r>
              <w:rPr>
                <w:rFonts w:ascii="Arial" w:hAnsi="Arial" w:cs="Arial"/>
                <w:b/>
                <w:bCs/>
                <w:color w:val="000000"/>
                <w:sz w:val="22"/>
                <w:szCs w:val="22"/>
              </w:rPr>
              <w:t>1094</w:t>
            </w:r>
          </w:p>
        </w:tc>
        <w:tc>
          <w:tcPr>
            <w:tcW w:w="1159" w:type="dxa"/>
            <w:tcBorders>
              <w:top w:val="single" w:sz="4" w:space="0" w:color="auto"/>
              <w:left w:val="nil"/>
              <w:bottom w:val="single" w:sz="8" w:space="0" w:color="auto"/>
              <w:right w:val="nil"/>
            </w:tcBorders>
            <w:shd w:val="clear" w:color="000000" w:fill="D9D9D9"/>
            <w:noWrap/>
            <w:vAlign w:val="bottom"/>
            <w:hideMark/>
          </w:tcPr>
          <w:p w14:paraId="2E21D689" w14:textId="55431A2D" w:rsidR="00C443DA" w:rsidRPr="006F3FAD" w:rsidRDefault="00C443DA" w:rsidP="00C443DA">
            <w:pPr>
              <w:jc w:val="right"/>
              <w:rPr>
                <w:rFonts w:ascii="Arial" w:hAnsi="Arial" w:cs="Arial"/>
                <w:b/>
                <w:bCs/>
                <w:color w:val="000000"/>
                <w:sz w:val="22"/>
                <w:szCs w:val="22"/>
              </w:rPr>
            </w:pPr>
            <w:r>
              <w:rPr>
                <w:rFonts w:ascii="Arial" w:hAnsi="Arial" w:cs="Arial"/>
                <w:b/>
                <w:bCs/>
                <w:color w:val="000000"/>
                <w:sz w:val="22"/>
                <w:szCs w:val="22"/>
              </w:rPr>
              <w:t>1486</w:t>
            </w:r>
          </w:p>
        </w:tc>
        <w:tc>
          <w:tcPr>
            <w:tcW w:w="1142" w:type="dxa"/>
            <w:tcBorders>
              <w:top w:val="single" w:sz="4" w:space="0" w:color="auto"/>
              <w:left w:val="nil"/>
              <w:bottom w:val="single" w:sz="8" w:space="0" w:color="auto"/>
              <w:right w:val="nil"/>
            </w:tcBorders>
            <w:shd w:val="clear" w:color="000000" w:fill="D9D9D9"/>
            <w:noWrap/>
            <w:vAlign w:val="bottom"/>
            <w:hideMark/>
          </w:tcPr>
          <w:p w14:paraId="6330187D" w14:textId="60998B8C" w:rsidR="00C443DA" w:rsidRPr="006F3FAD" w:rsidRDefault="00C443DA" w:rsidP="00C443DA">
            <w:pPr>
              <w:jc w:val="right"/>
              <w:rPr>
                <w:rFonts w:ascii="Arial" w:hAnsi="Arial" w:cs="Arial"/>
                <w:b/>
                <w:bCs/>
                <w:color w:val="000000"/>
                <w:sz w:val="22"/>
                <w:szCs w:val="22"/>
              </w:rPr>
            </w:pPr>
            <w:r>
              <w:rPr>
                <w:rFonts w:ascii="Arial" w:hAnsi="Arial" w:cs="Arial"/>
                <w:b/>
                <w:bCs/>
                <w:color w:val="000000"/>
                <w:sz w:val="22"/>
                <w:szCs w:val="22"/>
              </w:rPr>
              <w:t>100</w:t>
            </w:r>
          </w:p>
        </w:tc>
        <w:tc>
          <w:tcPr>
            <w:tcW w:w="1142" w:type="dxa"/>
            <w:tcBorders>
              <w:top w:val="single" w:sz="4" w:space="0" w:color="auto"/>
              <w:left w:val="nil"/>
              <w:bottom w:val="single" w:sz="8" w:space="0" w:color="auto"/>
              <w:right w:val="single" w:sz="8" w:space="0" w:color="auto"/>
            </w:tcBorders>
            <w:shd w:val="clear" w:color="000000" w:fill="D9D9D9"/>
            <w:noWrap/>
            <w:vAlign w:val="bottom"/>
            <w:hideMark/>
          </w:tcPr>
          <w:p w14:paraId="472861A1" w14:textId="4171DD88" w:rsidR="00C443DA" w:rsidRPr="006F3FAD" w:rsidRDefault="00C443DA" w:rsidP="00C443DA">
            <w:pPr>
              <w:jc w:val="right"/>
              <w:rPr>
                <w:rFonts w:ascii="Arial" w:hAnsi="Arial" w:cs="Arial"/>
                <w:b/>
                <w:bCs/>
                <w:color w:val="000000"/>
                <w:sz w:val="22"/>
                <w:szCs w:val="22"/>
              </w:rPr>
            </w:pPr>
            <w:r>
              <w:rPr>
                <w:rFonts w:ascii="Arial" w:hAnsi="Arial" w:cs="Arial"/>
                <w:b/>
                <w:bCs/>
                <w:color w:val="000000"/>
                <w:sz w:val="22"/>
                <w:szCs w:val="22"/>
              </w:rPr>
              <w:t>158</w:t>
            </w:r>
            <w:r w:rsidR="009B6138">
              <w:rPr>
                <w:rFonts w:ascii="Arial" w:hAnsi="Arial" w:cs="Arial"/>
                <w:b/>
                <w:bCs/>
                <w:color w:val="000000"/>
                <w:sz w:val="22"/>
                <w:szCs w:val="22"/>
              </w:rPr>
              <w:t>6</w:t>
            </w:r>
          </w:p>
        </w:tc>
      </w:tr>
    </w:tbl>
    <w:p w14:paraId="4710AAB0" w14:textId="77777777" w:rsidR="003B74DA" w:rsidRPr="00A5499C" w:rsidRDefault="003B74DA" w:rsidP="00BB2692">
      <w:pPr>
        <w:tabs>
          <w:tab w:val="left" w:pos="426"/>
        </w:tabs>
        <w:rPr>
          <w:rFonts w:ascii="Arial" w:hAnsi="Arial"/>
          <w:sz w:val="24"/>
        </w:rPr>
      </w:pPr>
    </w:p>
    <w:p w14:paraId="5BDBAF72" w14:textId="668B70EA" w:rsidR="006A4C46" w:rsidRPr="008A5600" w:rsidRDefault="006A4C46" w:rsidP="006A4C46">
      <w:pPr>
        <w:rPr>
          <w:rFonts w:ascii="Arial" w:hAnsi="Arial" w:cs="Arial"/>
          <w:color w:val="000000"/>
          <w:sz w:val="22"/>
          <w:szCs w:val="22"/>
        </w:rPr>
      </w:pPr>
      <w:r w:rsidRPr="008A5600">
        <w:rPr>
          <w:rFonts w:ascii="Arial" w:hAnsi="Arial" w:cs="Arial"/>
          <w:color w:val="000000"/>
          <w:sz w:val="22"/>
          <w:szCs w:val="22"/>
        </w:rPr>
        <w:t>NB Remuneration includes gross pay, before the deduction of employees' pension contributions, together with benefits declared to HM Customs &amp; Excise on the form P11D and redundancy payments paid in the year. It does not include employers' pension contributions.  Senior Officer posts that are included in the Officers Remuneration note have been excluded.</w:t>
      </w:r>
    </w:p>
    <w:p w14:paraId="2A314675" w14:textId="77777777" w:rsidR="003B74DA" w:rsidRPr="00C54B97" w:rsidRDefault="003B74DA" w:rsidP="003B74DA">
      <w:pPr>
        <w:tabs>
          <w:tab w:val="left" w:pos="426"/>
        </w:tabs>
        <w:ind w:left="426"/>
        <w:rPr>
          <w:rFonts w:ascii="Arial" w:hAnsi="Arial"/>
          <w:b/>
          <w:sz w:val="24"/>
          <w:szCs w:val="24"/>
        </w:rPr>
      </w:pPr>
    </w:p>
    <w:p w14:paraId="72C02C41" w14:textId="0E4257DA" w:rsidR="006A4C46" w:rsidRDefault="006A4C46" w:rsidP="008A5600">
      <w:pPr>
        <w:tabs>
          <w:tab w:val="left" w:pos="426"/>
        </w:tabs>
        <w:rPr>
          <w:rFonts w:ascii="Arial" w:hAnsi="Arial"/>
          <w:sz w:val="22"/>
          <w:szCs w:val="22"/>
        </w:rPr>
      </w:pPr>
      <w:r w:rsidRPr="006A4C46">
        <w:rPr>
          <w:rFonts w:ascii="Arial" w:hAnsi="Arial"/>
          <w:sz w:val="22"/>
          <w:szCs w:val="22"/>
        </w:rPr>
        <w:t xml:space="preserve">The table above includes </w:t>
      </w:r>
      <w:r w:rsidR="004C39DF">
        <w:rPr>
          <w:rFonts w:ascii="Arial" w:hAnsi="Arial"/>
          <w:sz w:val="22"/>
          <w:szCs w:val="22"/>
        </w:rPr>
        <w:t>no</w:t>
      </w:r>
      <w:r w:rsidRPr="006A4C46">
        <w:rPr>
          <w:rFonts w:ascii="Arial" w:hAnsi="Arial"/>
          <w:sz w:val="22"/>
          <w:szCs w:val="22"/>
        </w:rPr>
        <w:t xml:space="preserve"> police staff who appear only </w:t>
      </w:r>
      <w:proofErr w:type="gramStart"/>
      <w:r w:rsidRPr="006A4C46">
        <w:rPr>
          <w:rFonts w:ascii="Arial" w:hAnsi="Arial"/>
          <w:sz w:val="22"/>
          <w:szCs w:val="22"/>
        </w:rPr>
        <w:t>as a consequence of</w:t>
      </w:r>
      <w:proofErr w:type="gramEnd"/>
      <w:r w:rsidRPr="006A4C46">
        <w:rPr>
          <w:rFonts w:ascii="Arial" w:hAnsi="Arial"/>
          <w:sz w:val="22"/>
          <w:szCs w:val="22"/>
        </w:rPr>
        <w:t xml:space="preserve"> </w:t>
      </w:r>
      <w:r w:rsidR="00DF412D">
        <w:rPr>
          <w:rFonts w:ascii="Arial" w:hAnsi="Arial"/>
          <w:sz w:val="22"/>
          <w:szCs w:val="22"/>
        </w:rPr>
        <w:t>exit packages</w:t>
      </w:r>
      <w:r w:rsidRPr="006A4C46">
        <w:rPr>
          <w:rFonts w:ascii="Arial" w:hAnsi="Arial"/>
          <w:sz w:val="22"/>
          <w:szCs w:val="22"/>
        </w:rPr>
        <w:t>. The numbers and banding affected are shown below:</w:t>
      </w:r>
    </w:p>
    <w:p w14:paraId="2ECF0287" w14:textId="77777777" w:rsidR="003B74DA" w:rsidRDefault="003B74DA" w:rsidP="008A5600">
      <w:pPr>
        <w:tabs>
          <w:tab w:val="left" w:pos="426"/>
        </w:tabs>
        <w:rPr>
          <w:rFonts w:ascii="Arial" w:hAnsi="Arial"/>
          <w:sz w:val="22"/>
          <w:szCs w:val="22"/>
        </w:rPr>
      </w:pPr>
    </w:p>
    <w:p w14:paraId="56A0BF4C" w14:textId="77777777" w:rsidR="003B74DA" w:rsidRDefault="003B74DA" w:rsidP="003B74DA">
      <w:pPr>
        <w:tabs>
          <w:tab w:val="left" w:pos="426"/>
        </w:tabs>
        <w:ind w:left="426"/>
        <w:rPr>
          <w:rFonts w:ascii="Arial" w:hAnsi="Arial"/>
          <w:sz w:val="22"/>
          <w:szCs w:val="22"/>
        </w:rPr>
      </w:pPr>
    </w:p>
    <w:p w14:paraId="153BEE26" w14:textId="77777777" w:rsidR="003B74DA" w:rsidRDefault="003B74DA" w:rsidP="003B74DA">
      <w:pPr>
        <w:tabs>
          <w:tab w:val="left" w:pos="426"/>
        </w:tabs>
        <w:ind w:left="426"/>
        <w:rPr>
          <w:rFonts w:ascii="Arial" w:hAnsi="Arial"/>
        </w:rPr>
      </w:pPr>
    </w:p>
    <w:p w14:paraId="4ABDBF03" w14:textId="77777777" w:rsidR="0074460F" w:rsidRDefault="0074460F">
      <w:pPr>
        <w:rPr>
          <w:rFonts w:ascii="Arial" w:hAnsi="Arial"/>
          <w:b/>
          <w:sz w:val="22"/>
          <w:szCs w:val="22"/>
        </w:rPr>
      </w:pPr>
      <w:r>
        <w:rPr>
          <w:rFonts w:ascii="Arial" w:hAnsi="Arial"/>
          <w:b/>
          <w:sz w:val="22"/>
          <w:szCs w:val="22"/>
        </w:rPr>
        <w:br w:type="page"/>
      </w:r>
    </w:p>
    <w:p w14:paraId="599C5379" w14:textId="48CF10A1" w:rsidR="003B74DA" w:rsidRPr="001177EC" w:rsidRDefault="003B74DA" w:rsidP="003B74DA">
      <w:pPr>
        <w:ind w:left="426"/>
        <w:rPr>
          <w:rFonts w:ascii="Arial" w:hAnsi="Arial"/>
          <w:b/>
          <w:sz w:val="22"/>
          <w:szCs w:val="22"/>
        </w:rPr>
      </w:pPr>
      <w:r w:rsidRPr="001177EC">
        <w:rPr>
          <w:rFonts w:ascii="Arial" w:hAnsi="Arial"/>
          <w:b/>
          <w:sz w:val="22"/>
          <w:szCs w:val="22"/>
        </w:rPr>
        <w:lastRenderedPageBreak/>
        <w:t>Exit packages</w:t>
      </w:r>
    </w:p>
    <w:p w14:paraId="5D3B1F0C" w14:textId="77777777" w:rsidR="003B74DA" w:rsidRPr="001177EC" w:rsidRDefault="003B74DA" w:rsidP="003B74DA">
      <w:pPr>
        <w:tabs>
          <w:tab w:val="right" w:pos="5760"/>
        </w:tabs>
        <w:rPr>
          <w:rFonts w:ascii="Arial" w:hAnsi="Arial"/>
          <w:sz w:val="16"/>
          <w:szCs w:val="16"/>
        </w:rPr>
      </w:pPr>
    </w:p>
    <w:p w14:paraId="4023043F" w14:textId="77777777" w:rsidR="003B74DA" w:rsidRPr="001177EC" w:rsidRDefault="003B74DA" w:rsidP="003B74DA">
      <w:pPr>
        <w:tabs>
          <w:tab w:val="left" w:pos="426"/>
        </w:tabs>
        <w:ind w:left="426"/>
        <w:jc w:val="both"/>
        <w:rPr>
          <w:rFonts w:ascii="Arial" w:hAnsi="Arial"/>
          <w:sz w:val="22"/>
          <w:szCs w:val="22"/>
        </w:rPr>
      </w:pPr>
      <w:r w:rsidRPr="001177EC">
        <w:rPr>
          <w:rFonts w:ascii="Arial" w:hAnsi="Arial"/>
          <w:sz w:val="22"/>
          <w:szCs w:val="22"/>
        </w:rPr>
        <w:t>The numbers of exit packages for the PCC Group, with total cost per band and total cost of the compulsory redundancy and other departures, are set out in the table below. It should be noted that the exit package costs shown in the table reflect the total cost to the organisation including, where appropriate, cost of pension enhancements:</w:t>
      </w:r>
    </w:p>
    <w:p w14:paraId="5C3CF042" w14:textId="77777777" w:rsidR="003B74DA" w:rsidRPr="001177EC" w:rsidRDefault="003B74DA" w:rsidP="001177EC">
      <w:pPr>
        <w:tabs>
          <w:tab w:val="left" w:pos="426"/>
        </w:tabs>
        <w:jc w:val="both"/>
        <w:rPr>
          <w:rFonts w:ascii="Arial" w:hAnsi="Arial"/>
          <w:sz w:val="16"/>
          <w:szCs w:val="16"/>
        </w:rPr>
      </w:pPr>
    </w:p>
    <w:p w14:paraId="4CD2AD98" w14:textId="5020EC79" w:rsidR="003B74DA" w:rsidRPr="001177EC" w:rsidRDefault="009207DA" w:rsidP="003B74DA">
      <w:pPr>
        <w:tabs>
          <w:tab w:val="left" w:pos="426"/>
        </w:tabs>
        <w:ind w:left="426"/>
        <w:rPr>
          <w:rFonts w:ascii="Arial" w:hAnsi="Arial"/>
          <w:sz w:val="22"/>
          <w:szCs w:val="22"/>
        </w:rPr>
      </w:pPr>
      <w:r w:rsidRPr="001177EC">
        <w:rPr>
          <w:rFonts w:ascii="Arial" w:hAnsi="Arial"/>
          <w:sz w:val="22"/>
          <w:szCs w:val="22"/>
        </w:rPr>
        <w:t>The table below is for</w:t>
      </w:r>
      <w:r w:rsidR="003B74DA" w:rsidRPr="001177EC">
        <w:rPr>
          <w:rFonts w:ascii="Arial" w:hAnsi="Arial"/>
          <w:sz w:val="22"/>
          <w:szCs w:val="22"/>
        </w:rPr>
        <w:t xml:space="preserve"> exit packages included in the above note that relate to the Office of the PCC for </w:t>
      </w:r>
      <w:r w:rsidR="00C37E7F">
        <w:rPr>
          <w:rFonts w:ascii="Arial" w:hAnsi="Arial"/>
          <w:sz w:val="22"/>
          <w:szCs w:val="22"/>
        </w:rPr>
        <w:t>2024/25</w:t>
      </w:r>
      <w:r w:rsidR="003B74DA" w:rsidRPr="001177EC">
        <w:rPr>
          <w:rFonts w:ascii="Arial" w:hAnsi="Arial"/>
          <w:sz w:val="22"/>
          <w:szCs w:val="22"/>
        </w:rPr>
        <w:t>.</w:t>
      </w:r>
    </w:p>
    <w:p w14:paraId="6AC049EC" w14:textId="6DE0C543" w:rsidR="00264EEC" w:rsidRPr="001177EC" w:rsidRDefault="00264EEC" w:rsidP="003B74DA">
      <w:pPr>
        <w:tabs>
          <w:tab w:val="left" w:pos="426"/>
        </w:tabs>
        <w:ind w:left="426"/>
        <w:rPr>
          <w:rFonts w:ascii="Arial" w:hAnsi="Arial"/>
          <w:sz w:val="16"/>
          <w:szCs w:val="16"/>
        </w:rPr>
      </w:pPr>
    </w:p>
    <w:tbl>
      <w:tblPr>
        <w:tblW w:w="8798" w:type="dxa"/>
        <w:jc w:val="center"/>
        <w:tblCellMar>
          <w:top w:w="15" w:type="dxa"/>
          <w:bottom w:w="15" w:type="dxa"/>
        </w:tblCellMar>
        <w:tblLook w:val="04A0" w:firstRow="1" w:lastRow="0" w:firstColumn="1" w:lastColumn="0" w:noHBand="0" w:noVBand="1"/>
      </w:tblPr>
      <w:tblGrid>
        <w:gridCol w:w="3027"/>
        <w:gridCol w:w="2206"/>
        <w:gridCol w:w="1665"/>
        <w:gridCol w:w="1900"/>
      </w:tblGrid>
      <w:tr w:rsidR="001177EC" w:rsidRPr="00213739" w14:paraId="13DA60FF" w14:textId="77777777" w:rsidTr="00984515">
        <w:trPr>
          <w:trHeight w:val="819"/>
          <w:jc w:val="center"/>
        </w:trPr>
        <w:tc>
          <w:tcPr>
            <w:tcW w:w="3027" w:type="dxa"/>
            <w:tcBorders>
              <w:top w:val="single" w:sz="8" w:space="0" w:color="auto"/>
              <w:left w:val="single" w:sz="8" w:space="0" w:color="auto"/>
              <w:bottom w:val="nil"/>
              <w:right w:val="nil"/>
            </w:tcBorders>
            <w:shd w:val="clear" w:color="auto" w:fill="D9D9D9"/>
            <w:vAlign w:val="center"/>
            <w:hideMark/>
          </w:tcPr>
          <w:p w14:paraId="7E9ABA9F" w14:textId="77777777" w:rsidR="001177EC" w:rsidRPr="005049D8" w:rsidRDefault="001177EC" w:rsidP="001177EC">
            <w:pPr>
              <w:rPr>
                <w:rFonts w:ascii="Arial" w:hAnsi="Arial" w:cs="Arial"/>
                <w:b/>
                <w:bCs/>
                <w:color w:val="000000"/>
                <w:sz w:val="22"/>
                <w:szCs w:val="22"/>
              </w:rPr>
            </w:pPr>
            <w:r w:rsidRPr="005049D8">
              <w:rPr>
                <w:rFonts w:ascii="Arial" w:hAnsi="Arial" w:cs="Arial"/>
                <w:b/>
                <w:bCs/>
                <w:color w:val="000000"/>
                <w:sz w:val="22"/>
                <w:szCs w:val="22"/>
              </w:rPr>
              <w:t>Bandings</w:t>
            </w:r>
          </w:p>
        </w:tc>
        <w:tc>
          <w:tcPr>
            <w:tcW w:w="2206" w:type="dxa"/>
            <w:tcBorders>
              <w:top w:val="single" w:sz="8" w:space="0" w:color="auto"/>
              <w:left w:val="nil"/>
              <w:bottom w:val="nil"/>
              <w:right w:val="nil"/>
            </w:tcBorders>
            <w:shd w:val="clear" w:color="auto" w:fill="D9D9D9"/>
            <w:vAlign w:val="center"/>
            <w:hideMark/>
          </w:tcPr>
          <w:p w14:paraId="10F66811" w14:textId="77777777" w:rsidR="001177EC" w:rsidRPr="005049D8" w:rsidRDefault="001177EC" w:rsidP="001177EC">
            <w:pPr>
              <w:jc w:val="center"/>
              <w:rPr>
                <w:rFonts w:ascii="Arial" w:hAnsi="Arial" w:cs="Arial"/>
                <w:b/>
                <w:bCs/>
                <w:color w:val="000000"/>
                <w:sz w:val="22"/>
                <w:szCs w:val="22"/>
              </w:rPr>
            </w:pPr>
            <w:r w:rsidRPr="005049D8">
              <w:rPr>
                <w:rFonts w:ascii="Arial" w:hAnsi="Arial" w:cs="Arial"/>
                <w:b/>
                <w:bCs/>
                <w:color w:val="000000"/>
                <w:sz w:val="22"/>
                <w:szCs w:val="22"/>
              </w:rPr>
              <w:t>Number of Compulsory Redundancies</w:t>
            </w:r>
          </w:p>
        </w:tc>
        <w:tc>
          <w:tcPr>
            <w:tcW w:w="1665" w:type="dxa"/>
            <w:tcBorders>
              <w:top w:val="single" w:sz="8" w:space="0" w:color="auto"/>
              <w:left w:val="nil"/>
              <w:bottom w:val="nil"/>
              <w:right w:val="nil"/>
            </w:tcBorders>
            <w:shd w:val="clear" w:color="auto" w:fill="D9D9D9"/>
            <w:vAlign w:val="center"/>
            <w:hideMark/>
          </w:tcPr>
          <w:p w14:paraId="580302DB" w14:textId="77777777" w:rsidR="001177EC" w:rsidRPr="005049D8" w:rsidRDefault="001177EC" w:rsidP="001177EC">
            <w:pPr>
              <w:jc w:val="center"/>
              <w:rPr>
                <w:rFonts w:ascii="Arial" w:hAnsi="Arial" w:cs="Arial"/>
                <w:b/>
                <w:bCs/>
                <w:color w:val="000000"/>
                <w:sz w:val="22"/>
                <w:szCs w:val="22"/>
              </w:rPr>
            </w:pPr>
            <w:r w:rsidRPr="005049D8">
              <w:rPr>
                <w:rFonts w:ascii="Arial" w:hAnsi="Arial" w:cs="Arial"/>
                <w:b/>
                <w:bCs/>
                <w:color w:val="000000"/>
                <w:sz w:val="22"/>
                <w:szCs w:val="22"/>
              </w:rPr>
              <w:t>Number of Other Departures</w:t>
            </w:r>
          </w:p>
        </w:tc>
        <w:tc>
          <w:tcPr>
            <w:tcW w:w="1900" w:type="dxa"/>
            <w:tcBorders>
              <w:top w:val="single" w:sz="8" w:space="0" w:color="auto"/>
              <w:left w:val="nil"/>
              <w:bottom w:val="nil"/>
              <w:right w:val="single" w:sz="8" w:space="0" w:color="auto"/>
            </w:tcBorders>
            <w:shd w:val="clear" w:color="auto" w:fill="D9D9D9"/>
            <w:vAlign w:val="center"/>
            <w:hideMark/>
          </w:tcPr>
          <w:p w14:paraId="06916B9F" w14:textId="77777777" w:rsidR="001177EC" w:rsidRPr="005049D8" w:rsidRDefault="001177EC" w:rsidP="001177EC">
            <w:pPr>
              <w:jc w:val="right"/>
              <w:rPr>
                <w:rFonts w:ascii="Arial" w:hAnsi="Arial" w:cs="Arial"/>
                <w:b/>
                <w:bCs/>
                <w:color w:val="000000"/>
                <w:sz w:val="22"/>
                <w:szCs w:val="22"/>
              </w:rPr>
            </w:pPr>
            <w:r w:rsidRPr="005049D8">
              <w:rPr>
                <w:rFonts w:ascii="Arial" w:hAnsi="Arial" w:cs="Arial"/>
                <w:b/>
                <w:bCs/>
                <w:color w:val="000000"/>
                <w:sz w:val="22"/>
                <w:szCs w:val="22"/>
              </w:rPr>
              <w:t>Total cost of exit packages in each band</w:t>
            </w:r>
          </w:p>
        </w:tc>
      </w:tr>
      <w:tr w:rsidR="006718B0" w:rsidRPr="00213739" w14:paraId="5026DBC4" w14:textId="77777777" w:rsidTr="00984515">
        <w:trPr>
          <w:trHeight w:val="272"/>
          <w:jc w:val="center"/>
        </w:trPr>
        <w:tc>
          <w:tcPr>
            <w:tcW w:w="3027" w:type="dxa"/>
            <w:tcBorders>
              <w:top w:val="nil"/>
              <w:left w:val="single" w:sz="8" w:space="0" w:color="auto"/>
              <w:bottom w:val="nil"/>
              <w:right w:val="nil"/>
            </w:tcBorders>
            <w:shd w:val="clear" w:color="auto" w:fill="D9D9D9"/>
            <w:vAlign w:val="center"/>
            <w:hideMark/>
          </w:tcPr>
          <w:p w14:paraId="3BC7CCE3" w14:textId="1F70D588"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£0 - £20000</w:t>
            </w:r>
          </w:p>
        </w:tc>
        <w:tc>
          <w:tcPr>
            <w:tcW w:w="2206" w:type="dxa"/>
            <w:tcBorders>
              <w:top w:val="nil"/>
              <w:left w:val="nil"/>
              <w:bottom w:val="nil"/>
              <w:right w:val="nil"/>
            </w:tcBorders>
            <w:shd w:val="clear" w:color="auto" w:fill="D9D9D9"/>
            <w:vAlign w:val="center"/>
            <w:hideMark/>
          </w:tcPr>
          <w:p w14:paraId="7B0BE76B" w14:textId="251C588F"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1</w:t>
            </w:r>
          </w:p>
        </w:tc>
        <w:tc>
          <w:tcPr>
            <w:tcW w:w="1665" w:type="dxa"/>
            <w:tcBorders>
              <w:top w:val="nil"/>
              <w:left w:val="nil"/>
              <w:bottom w:val="nil"/>
              <w:right w:val="nil"/>
            </w:tcBorders>
            <w:shd w:val="clear" w:color="auto" w:fill="D9D9D9"/>
            <w:vAlign w:val="center"/>
            <w:hideMark/>
          </w:tcPr>
          <w:p w14:paraId="12B9F49A" w14:textId="679A674F"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1</w:t>
            </w:r>
            <w:r w:rsidR="00536D7D">
              <w:rPr>
                <w:rFonts w:ascii="Arial" w:hAnsi="Arial" w:cs="Arial"/>
                <w:color w:val="000000"/>
                <w:sz w:val="22"/>
                <w:szCs w:val="22"/>
              </w:rPr>
              <w:t>3</w:t>
            </w:r>
          </w:p>
        </w:tc>
        <w:tc>
          <w:tcPr>
            <w:tcW w:w="1900" w:type="dxa"/>
            <w:tcBorders>
              <w:top w:val="nil"/>
              <w:left w:val="nil"/>
              <w:bottom w:val="nil"/>
              <w:right w:val="single" w:sz="8" w:space="0" w:color="auto"/>
            </w:tcBorders>
            <w:shd w:val="clear" w:color="auto" w:fill="D9D9D9"/>
            <w:vAlign w:val="center"/>
            <w:hideMark/>
          </w:tcPr>
          <w:p w14:paraId="02E96DD3" w14:textId="4E8A7744"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w:t>
            </w:r>
            <w:r w:rsidR="00652267">
              <w:rPr>
                <w:rFonts w:ascii="Arial" w:hAnsi="Arial" w:cs="Arial"/>
                <w:color w:val="000000"/>
                <w:sz w:val="22"/>
                <w:szCs w:val="22"/>
              </w:rPr>
              <w:t>49</w:t>
            </w:r>
            <w:r w:rsidRPr="005049D8">
              <w:rPr>
                <w:rFonts w:ascii="Arial" w:hAnsi="Arial" w:cs="Arial"/>
                <w:color w:val="000000"/>
                <w:sz w:val="22"/>
                <w:szCs w:val="22"/>
              </w:rPr>
              <w:t>,</w:t>
            </w:r>
            <w:r w:rsidR="00652267">
              <w:rPr>
                <w:rFonts w:ascii="Arial" w:hAnsi="Arial" w:cs="Arial"/>
                <w:color w:val="000000"/>
                <w:sz w:val="22"/>
                <w:szCs w:val="22"/>
              </w:rPr>
              <w:t>333</w:t>
            </w:r>
          </w:p>
        </w:tc>
      </w:tr>
      <w:tr w:rsidR="006718B0" w:rsidRPr="00213739" w14:paraId="4064E2E0" w14:textId="77777777" w:rsidTr="00984515">
        <w:trPr>
          <w:trHeight w:val="272"/>
          <w:jc w:val="center"/>
        </w:trPr>
        <w:tc>
          <w:tcPr>
            <w:tcW w:w="3027" w:type="dxa"/>
            <w:tcBorders>
              <w:top w:val="nil"/>
              <w:left w:val="single" w:sz="8" w:space="0" w:color="auto"/>
              <w:bottom w:val="nil"/>
              <w:right w:val="nil"/>
            </w:tcBorders>
            <w:shd w:val="clear" w:color="auto" w:fill="D9D9D9"/>
            <w:vAlign w:val="center"/>
            <w:hideMark/>
          </w:tcPr>
          <w:p w14:paraId="7DC9DD2C" w14:textId="46BC889D"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£20001 - £40000</w:t>
            </w:r>
          </w:p>
        </w:tc>
        <w:tc>
          <w:tcPr>
            <w:tcW w:w="2206" w:type="dxa"/>
            <w:tcBorders>
              <w:top w:val="nil"/>
              <w:left w:val="nil"/>
              <w:bottom w:val="nil"/>
              <w:right w:val="nil"/>
            </w:tcBorders>
            <w:shd w:val="clear" w:color="auto" w:fill="D9D9D9"/>
            <w:vAlign w:val="center"/>
            <w:hideMark/>
          </w:tcPr>
          <w:p w14:paraId="4436D233" w14:textId="5727372C"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665" w:type="dxa"/>
            <w:tcBorders>
              <w:top w:val="nil"/>
              <w:left w:val="nil"/>
              <w:bottom w:val="nil"/>
              <w:right w:val="nil"/>
            </w:tcBorders>
            <w:shd w:val="clear" w:color="auto" w:fill="D9D9D9"/>
            <w:vAlign w:val="center"/>
            <w:hideMark/>
          </w:tcPr>
          <w:p w14:paraId="062ADA0E" w14:textId="3F2563CA"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1</w:t>
            </w:r>
          </w:p>
        </w:tc>
        <w:tc>
          <w:tcPr>
            <w:tcW w:w="1900" w:type="dxa"/>
            <w:tcBorders>
              <w:top w:val="nil"/>
              <w:left w:val="nil"/>
              <w:bottom w:val="nil"/>
              <w:right w:val="single" w:sz="8" w:space="0" w:color="auto"/>
            </w:tcBorders>
            <w:shd w:val="clear" w:color="auto" w:fill="D9D9D9"/>
            <w:vAlign w:val="center"/>
            <w:hideMark/>
          </w:tcPr>
          <w:p w14:paraId="34FBF14D" w14:textId="6B35E11A"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£30,000</w:t>
            </w:r>
          </w:p>
        </w:tc>
      </w:tr>
      <w:tr w:rsidR="006718B0" w:rsidRPr="00213739" w14:paraId="6D0172DB" w14:textId="77777777" w:rsidTr="00984515">
        <w:trPr>
          <w:trHeight w:val="272"/>
          <w:jc w:val="center"/>
        </w:trPr>
        <w:tc>
          <w:tcPr>
            <w:tcW w:w="3027" w:type="dxa"/>
            <w:tcBorders>
              <w:top w:val="nil"/>
              <w:left w:val="single" w:sz="8" w:space="0" w:color="auto"/>
              <w:bottom w:val="nil"/>
              <w:right w:val="nil"/>
            </w:tcBorders>
            <w:shd w:val="clear" w:color="auto" w:fill="D9D9D9"/>
            <w:vAlign w:val="center"/>
            <w:hideMark/>
          </w:tcPr>
          <w:p w14:paraId="79608549" w14:textId="49D1D071"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£40001 - £60000</w:t>
            </w:r>
          </w:p>
        </w:tc>
        <w:tc>
          <w:tcPr>
            <w:tcW w:w="2206" w:type="dxa"/>
            <w:tcBorders>
              <w:top w:val="nil"/>
              <w:left w:val="nil"/>
              <w:bottom w:val="nil"/>
              <w:right w:val="nil"/>
            </w:tcBorders>
            <w:shd w:val="clear" w:color="auto" w:fill="D9D9D9"/>
            <w:vAlign w:val="center"/>
            <w:hideMark/>
          </w:tcPr>
          <w:p w14:paraId="06E64087" w14:textId="148B3688"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665" w:type="dxa"/>
            <w:tcBorders>
              <w:top w:val="nil"/>
              <w:left w:val="nil"/>
              <w:bottom w:val="nil"/>
              <w:right w:val="nil"/>
            </w:tcBorders>
            <w:shd w:val="clear" w:color="auto" w:fill="D9D9D9"/>
            <w:vAlign w:val="center"/>
            <w:hideMark/>
          </w:tcPr>
          <w:p w14:paraId="4A462A06" w14:textId="15194E74"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00C6FDC1" w14:textId="5DA73DF1"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£0</w:t>
            </w:r>
          </w:p>
        </w:tc>
      </w:tr>
      <w:tr w:rsidR="006718B0" w:rsidRPr="00213739" w14:paraId="7C120AEA" w14:textId="77777777" w:rsidTr="00984515">
        <w:trPr>
          <w:trHeight w:val="272"/>
          <w:jc w:val="center"/>
        </w:trPr>
        <w:tc>
          <w:tcPr>
            <w:tcW w:w="3027" w:type="dxa"/>
            <w:tcBorders>
              <w:top w:val="nil"/>
              <w:left w:val="single" w:sz="8" w:space="0" w:color="auto"/>
              <w:bottom w:val="nil"/>
              <w:right w:val="nil"/>
            </w:tcBorders>
            <w:shd w:val="clear" w:color="auto" w:fill="D9D9D9"/>
            <w:vAlign w:val="center"/>
            <w:hideMark/>
          </w:tcPr>
          <w:p w14:paraId="6BA04008" w14:textId="11365DFD"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£60001 - £80000</w:t>
            </w:r>
          </w:p>
        </w:tc>
        <w:tc>
          <w:tcPr>
            <w:tcW w:w="2206" w:type="dxa"/>
            <w:tcBorders>
              <w:top w:val="nil"/>
              <w:left w:val="nil"/>
              <w:bottom w:val="nil"/>
              <w:right w:val="nil"/>
            </w:tcBorders>
            <w:shd w:val="clear" w:color="auto" w:fill="D9D9D9"/>
            <w:vAlign w:val="center"/>
            <w:hideMark/>
          </w:tcPr>
          <w:p w14:paraId="7DC55DAD" w14:textId="4CBBC10E"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1</w:t>
            </w:r>
          </w:p>
        </w:tc>
        <w:tc>
          <w:tcPr>
            <w:tcW w:w="1665" w:type="dxa"/>
            <w:tcBorders>
              <w:top w:val="nil"/>
              <w:left w:val="nil"/>
              <w:bottom w:val="nil"/>
              <w:right w:val="nil"/>
            </w:tcBorders>
            <w:shd w:val="clear" w:color="auto" w:fill="D9D9D9"/>
            <w:vAlign w:val="center"/>
            <w:hideMark/>
          </w:tcPr>
          <w:p w14:paraId="17A7AFE9" w14:textId="0429C07F"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17142D14" w14:textId="039BC036"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£76,063</w:t>
            </w:r>
          </w:p>
        </w:tc>
      </w:tr>
      <w:tr w:rsidR="006718B0" w:rsidRPr="00213739" w14:paraId="1ABBCC23" w14:textId="77777777" w:rsidTr="00984515">
        <w:trPr>
          <w:trHeight w:val="272"/>
          <w:jc w:val="center"/>
        </w:trPr>
        <w:tc>
          <w:tcPr>
            <w:tcW w:w="3027" w:type="dxa"/>
            <w:tcBorders>
              <w:top w:val="nil"/>
              <w:left w:val="single" w:sz="8" w:space="0" w:color="auto"/>
              <w:bottom w:val="nil"/>
              <w:right w:val="nil"/>
            </w:tcBorders>
            <w:shd w:val="clear" w:color="auto" w:fill="D9D9D9"/>
            <w:vAlign w:val="center"/>
            <w:hideMark/>
          </w:tcPr>
          <w:p w14:paraId="5B39AB1E" w14:textId="6DC06BB4"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£80001 - £100000</w:t>
            </w:r>
          </w:p>
        </w:tc>
        <w:tc>
          <w:tcPr>
            <w:tcW w:w="2206" w:type="dxa"/>
            <w:tcBorders>
              <w:top w:val="nil"/>
              <w:left w:val="nil"/>
              <w:bottom w:val="nil"/>
              <w:right w:val="nil"/>
            </w:tcBorders>
            <w:shd w:val="clear" w:color="auto" w:fill="D9D9D9"/>
            <w:vAlign w:val="center"/>
            <w:hideMark/>
          </w:tcPr>
          <w:p w14:paraId="4E667E55" w14:textId="2478D9EE"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665" w:type="dxa"/>
            <w:tcBorders>
              <w:top w:val="nil"/>
              <w:left w:val="nil"/>
              <w:bottom w:val="nil"/>
              <w:right w:val="nil"/>
            </w:tcBorders>
            <w:shd w:val="clear" w:color="auto" w:fill="D9D9D9"/>
            <w:vAlign w:val="center"/>
            <w:hideMark/>
          </w:tcPr>
          <w:p w14:paraId="4D0953F3" w14:textId="6BBEF1D3"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79E67FA5" w14:textId="74AD3BFB"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£0</w:t>
            </w:r>
          </w:p>
        </w:tc>
      </w:tr>
      <w:tr w:rsidR="006718B0" w:rsidRPr="00213739" w14:paraId="152A685F" w14:textId="77777777" w:rsidTr="00984515">
        <w:trPr>
          <w:trHeight w:val="272"/>
          <w:jc w:val="center"/>
        </w:trPr>
        <w:tc>
          <w:tcPr>
            <w:tcW w:w="3027" w:type="dxa"/>
            <w:tcBorders>
              <w:top w:val="nil"/>
              <w:left w:val="single" w:sz="8" w:space="0" w:color="auto"/>
              <w:bottom w:val="nil"/>
              <w:right w:val="nil"/>
            </w:tcBorders>
            <w:shd w:val="clear" w:color="auto" w:fill="D9D9D9"/>
            <w:vAlign w:val="center"/>
            <w:hideMark/>
          </w:tcPr>
          <w:p w14:paraId="31932379" w14:textId="09F0CC75"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£100001 - £150000</w:t>
            </w:r>
          </w:p>
        </w:tc>
        <w:tc>
          <w:tcPr>
            <w:tcW w:w="2206" w:type="dxa"/>
            <w:tcBorders>
              <w:top w:val="nil"/>
              <w:left w:val="nil"/>
              <w:bottom w:val="nil"/>
              <w:right w:val="nil"/>
            </w:tcBorders>
            <w:shd w:val="clear" w:color="auto" w:fill="D9D9D9"/>
            <w:vAlign w:val="center"/>
            <w:hideMark/>
          </w:tcPr>
          <w:p w14:paraId="74C49ABE" w14:textId="211BA9D9"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1</w:t>
            </w:r>
          </w:p>
        </w:tc>
        <w:tc>
          <w:tcPr>
            <w:tcW w:w="1665" w:type="dxa"/>
            <w:tcBorders>
              <w:top w:val="nil"/>
              <w:left w:val="nil"/>
              <w:bottom w:val="nil"/>
              <w:right w:val="nil"/>
            </w:tcBorders>
            <w:shd w:val="clear" w:color="auto" w:fill="D9D9D9"/>
            <w:vAlign w:val="center"/>
            <w:hideMark/>
          </w:tcPr>
          <w:p w14:paraId="3571574C" w14:textId="3751D7D2"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582EC437" w14:textId="53657060"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£108,512</w:t>
            </w:r>
          </w:p>
        </w:tc>
      </w:tr>
      <w:tr w:rsidR="006718B0" w:rsidRPr="00213739" w14:paraId="2022D1A5" w14:textId="77777777" w:rsidTr="00984515">
        <w:trPr>
          <w:trHeight w:val="286"/>
          <w:jc w:val="center"/>
        </w:trPr>
        <w:tc>
          <w:tcPr>
            <w:tcW w:w="3027" w:type="dxa"/>
            <w:tcBorders>
              <w:top w:val="nil"/>
              <w:left w:val="single" w:sz="8" w:space="0" w:color="auto"/>
              <w:bottom w:val="nil"/>
              <w:right w:val="nil"/>
            </w:tcBorders>
            <w:shd w:val="clear" w:color="auto" w:fill="D9D9D9"/>
            <w:vAlign w:val="center"/>
            <w:hideMark/>
          </w:tcPr>
          <w:p w14:paraId="16F2B7B1" w14:textId="75E065EA"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£150001 - £200000</w:t>
            </w:r>
          </w:p>
        </w:tc>
        <w:tc>
          <w:tcPr>
            <w:tcW w:w="2206" w:type="dxa"/>
            <w:tcBorders>
              <w:top w:val="nil"/>
              <w:left w:val="nil"/>
              <w:bottom w:val="nil"/>
              <w:right w:val="nil"/>
            </w:tcBorders>
            <w:shd w:val="clear" w:color="auto" w:fill="D9D9D9"/>
            <w:vAlign w:val="center"/>
            <w:hideMark/>
          </w:tcPr>
          <w:p w14:paraId="787DB719" w14:textId="3BC5EC9D"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665" w:type="dxa"/>
            <w:tcBorders>
              <w:top w:val="nil"/>
              <w:left w:val="nil"/>
              <w:bottom w:val="nil"/>
              <w:right w:val="nil"/>
            </w:tcBorders>
            <w:shd w:val="clear" w:color="auto" w:fill="D9D9D9"/>
            <w:vAlign w:val="center"/>
            <w:hideMark/>
          </w:tcPr>
          <w:p w14:paraId="09E623F6" w14:textId="7EB215C5"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5CFE3ACE" w14:textId="653B8181"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£0</w:t>
            </w:r>
          </w:p>
        </w:tc>
      </w:tr>
      <w:tr w:rsidR="006718B0" w:rsidRPr="00213739" w14:paraId="3053C46E" w14:textId="77777777" w:rsidTr="00984515">
        <w:trPr>
          <w:trHeight w:val="286"/>
          <w:jc w:val="center"/>
        </w:trPr>
        <w:tc>
          <w:tcPr>
            <w:tcW w:w="3027" w:type="dxa"/>
            <w:tcBorders>
              <w:top w:val="nil"/>
              <w:left w:val="single" w:sz="8" w:space="0" w:color="auto"/>
              <w:bottom w:val="nil"/>
              <w:right w:val="nil"/>
            </w:tcBorders>
            <w:shd w:val="clear" w:color="auto" w:fill="D9D9D9"/>
            <w:vAlign w:val="center"/>
          </w:tcPr>
          <w:p w14:paraId="547E118A" w14:textId="3CB2B1CD"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£550001 - £600000</w:t>
            </w:r>
          </w:p>
        </w:tc>
        <w:tc>
          <w:tcPr>
            <w:tcW w:w="2206" w:type="dxa"/>
            <w:tcBorders>
              <w:top w:val="nil"/>
              <w:left w:val="nil"/>
              <w:bottom w:val="single" w:sz="8" w:space="0" w:color="auto"/>
              <w:right w:val="nil"/>
            </w:tcBorders>
            <w:shd w:val="clear" w:color="auto" w:fill="D9D9D9"/>
            <w:vAlign w:val="center"/>
          </w:tcPr>
          <w:p w14:paraId="0373C9A8" w14:textId="69030322"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0</w:t>
            </w:r>
          </w:p>
        </w:tc>
        <w:tc>
          <w:tcPr>
            <w:tcW w:w="1665" w:type="dxa"/>
            <w:tcBorders>
              <w:top w:val="nil"/>
              <w:left w:val="nil"/>
              <w:bottom w:val="single" w:sz="8" w:space="0" w:color="auto"/>
              <w:right w:val="nil"/>
            </w:tcBorders>
            <w:shd w:val="clear" w:color="auto" w:fill="D9D9D9"/>
            <w:vAlign w:val="center"/>
          </w:tcPr>
          <w:p w14:paraId="0C0BE270" w14:textId="339C224B"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1</w:t>
            </w:r>
          </w:p>
        </w:tc>
        <w:tc>
          <w:tcPr>
            <w:tcW w:w="1900" w:type="dxa"/>
            <w:tcBorders>
              <w:top w:val="nil"/>
              <w:left w:val="nil"/>
              <w:bottom w:val="single" w:sz="8" w:space="0" w:color="auto"/>
              <w:right w:val="single" w:sz="8" w:space="0" w:color="auto"/>
            </w:tcBorders>
            <w:shd w:val="clear" w:color="auto" w:fill="D9D9D9"/>
            <w:vAlign w:val="center"/>
          </w:tcPr>
          <w:p w14:paraId="3EFAA333" w14:textId="07DC6327"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£567,369</w:t>
            </w:r>
          </w:p>
        </w:tc>
      </w:tr>
      <w:tr w:rsidR="006718B0" w:rsidRPr="00213739" w14:paraId="02B1C540" w14:textId="77777777" w:rsidTr="00984515">
        <w:trPr>
          <w:trHeight w:val="286"/>
          <w:jc w:val="center"/>
        </w:trPr>
        <w:tc>
          <w:tcPr>
            <w:tcW w:w="3027" w:type="dxa"/>
            <w:tcBorders>
              <w:top w:val="nil"/>
              <w:left w:val="single" w:sz="8" w:space="0" w:color="auto"/>
              <w:bottom w:val="single" w:sz="4" w:space="0" w:color="auto"/>
              <w:right w:val="nil"/>
            </w:tcBorders>
            <w:shd w:val="clear" w:color="auto" w:fill="D9D9D9"/>
            <w:vAlign w:val="center"/>
            <w:hideMark/>
          </w:tcPr>
          <w:p w14:paraId="72D1747D" w14:textId="6FA7A57B" w:rsidR="006718B0" w:rsidRPr="005049D8" w:rsidRDefault="006718B0" w:rsidP="006718B0">
            <w:pPr>
              <w:rPr>
                <w:rFonts w:ascii="Arial" w:hAnsi="Arial" w:cs="Arial"/>
                <w:color w:val="000000"/>
                <w:sz w:val="22"/>
                <w:szCs w:val="22"/>
              </w:rPr>
            </w:pPr>
            <w:r w:rsidRPr="005049D8">
              <w:rPr>
                <w:rFonts w:ascii="Arial" w:hAnsi="Arial" w:cs="Arial"/>
                <w:color w:val="000000"/>
                <w:sz w:val="22"/>
                <w:szCs w:val="22"/>
              </w:rPr>
              <w:t xml:space="preserve">Total </w:t>
            </w:r>
          </w:p>
        </w:tc>
        <w:tc>
          <w:tcPr>
            <w:tcW w:w="2206" w:type="dxa"/>
            <w:tcBorders>
              <w:top w:val="nil"/>
              <w:left w:val="nil"/>
              <w:bottom w:val="single" w:sz="4" w:space="0" w:color="auto"/>
              <w:right w:val="nil"/>
            </w:tcBorders>
            <w:shd w:val="clear" w:color="auto" w:fill="D9D9D9"/>
            <w:vAlign w:val="center"/>
            <w:hideMark/>
          </w:tcPr>
          <w:p w14:paraId="686EDF89" w14:textId="29B0012D"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3</w:t>
            </w:r>
          </w:p>
        </w:tc>
        <w:tc>
          <w:tcPr>
            <w:tcW w:w="1665" w:type="dxa"/>
            <w:tcBorders>
              <w:top w:val="nil"/>
              <w:left w:val="nil"/>
              <w:bottom w:val="single" w:sz="4" w:space="0" w:color="auto"/>
              <w:right w:val="nil"/>
            </w:tcBorders>
            <w:shd w:val="clear" w:color="auto" w:fill="D9D9D9"/>
            <w:vAlign w:val="center"/>
            <w:hideMark/>
          </w:tcPr>
          <w:p w14:paraId="00827BFE" w14:textId="310E5654" w:rsidR="006718B0" w:rsidRPr="005049D8" w:rsidRDefault="006718B0" w:rsidP="006718B0">
            <w:pPr>
              <w:jc w:val="center"/>
              <w:rPr>
                <w:rFonts w:ascii="Arial" w:hAnsi="Arial" w:cs="Arial"/>
                <w:color w:val="000000"/>
                <w:sz w:val="22"/>
                <w:szCs w:val="22"/>
              </w:rPr>
            </w:pPr>
            <w:r w:rsidRPr="005049D8">
              <w:rPr>
                <w:rFonts w:ascii="Arial" w:hAnsi="Arial" w:cs="Arial"/>
                <w:color w:val="000000"/>
                <w:sz w:val="22"/>
                <w:szCs w:val="22"/>
              </w:rPr>
              <w:t>1</w:t>
            </w:r>
            <w:r w:rsidR="00652267">
              <w:rPr>
                <w:rFonts w:ascii="Arial" w:hAnsi="Arial" w:cs="Arial"/>
                <w:color w:val="000000"/>
                <w:sz w:val="22"/>
                <w:szCs w:val="22"/>
              </w:rPr>
              <w:t>5</w:t>
            </w:r>
          </w:p>
        </w:tc>
        <w:tc>
          <w:tcPr>
            <w:tcW w:w="1900" w:type="dxa"/>
            <w:tcBorders>
              <w:top w:val="nil"/>
              <w:left w:val="nil"/>
              <w:bottom w:val="single" w:sz="4" w:space="0" w:color="auto"/>
              <w:right w:val="single" w:sz="8" w:space="0" w:color="auto"/>
            </w:tcBorders>
            <w:shd w:val="clear" w:color="auto" w:fill="D9D9D9"/>
            <w:vAlign w:val="center"/>
            <w:hideMark/>
          </w:tcPr>
          <w:p w14:paraId="28DB5DFF" w14:textId="7AB26D84" w:rsidR="006718B0" w:rsidRPr="005049D8" w:rsidRDefault="006718B0" w:rsidP="006718B0">
            <w:pPr>
              <w:jc w:val="right"/>
              <w:rPr>
                <w:rFonts w:ascii="Arial" w:hAnsi="Arial" w:cs="Arial"/>
                <w:color w:val="000000"/>
                <w:sz w:val="22"/>
                <w:szCs w:val="22"/>
              </w:rPr>
            </w:pPr>
            <w:r w:rsidRPr="005049D8">
              <w:rPr>
                <w:rFonts w:ascii="Arial" w:hAnsi="Arial" w:cs="Arial"/>
                <w:color w:val="000000"/>
                <w:sz w:val="22"/>
                <w:szCs w:val="22"/>
              </w:rPr>
              <w:t>£83</w:t>
            </w:r>
            <w:r w:rsidR="00652267">
              <w:rPr>
                <w:rFonts w:ascii="Arial" w:hAnsi="Arial" w:cs="Arial"/>
                <w:color w:val="000000"/>
                <w:sz w:val="22"/>
                <w:szCs w:val="22"/>
              </w:rPr>
              <w:t>1</w:t>
            </w:r>
            <w:r w:rsidRPr="005049D8">
              <w:rPr>
                <w:rFonts w:ascii="Arial" w:hAnsi="Arial" w:cs="Arial"/>
                <w:color w:val="000000"/>
                <w:sz w:val="22"/>
                <w:szCs w:val="22"/>
              </w:rPr>
              <w:t>,</w:t>
            </w:r>
            <w:r w:rsidR="00652267">
              <w:rPr>
                <w:rFonts w:ascii="Arial" w:hAnsi="Arial" w:cs="Arial"/>
                <w:color w:val="000000"/>
                <w:sz w:val="22"/>
                <w:szCs w:val="22"/>
              </w:rPr>
              <w:t>277</w:t>
            </w:r>
          </w:p>
        </w:tc>
      </w:tr>
    </w:tbl>
    <w:p w14:paraId="06D3A38D" w14:textId="77777777" w:rsidR="00642DCF" w:rsidRDefault="00642DCF" w:rsidP="002F7CC2">
      <w:pPr>
        <w:tabs>
          <w:tab w:val="left" w:pos="426"/>
        </w:tabs>
        <w:ind w:left="720"/>
        <w:rPr>
          <w:rFonts w:ascii="Arial" w:hAnsi="Arial"/>
          <w:sz w:val="22"/>
          <w:szCs w:val="22"/>
        </w:rPr>
      </w:pPr>
    </w:p>
    <w:p w14:paraId="62FC9612" w14:textId="5F98DFEE" w:rsidR="00264EEC" w:rsidRPr="00984515" w:rsidRDefault="00984515" w:rsidP="002F7CC2">
      <w:pPr>
        <w:tabs>
          <w:tab w:val="left" w:pos="426"/>
        </w:tabs>
        <w:ind w:left="720"/>
        <w:rPr>
          <w:rFonts w:ascii="Arial" w:hAnsi="Arial"/>
          <w:sz w:val="22"/>
          <w:szCs w:val="22"/>
          <w:highlight w:val="yellow"/>
        </w:rPr>
      </w:pPr>
      <w:r w:rsidRPr="00984515">
        <w:rPr>
          <w:rFonts w:ascii="Arial" w:hAnsi="Arial"/>
          <w:sz w:val="22"/>
          <w:szCs w:val="22"/>
        </w:rPr>
        <w:t xml:space="preserve">Bandings between £200,000 and £550,000 removed as </w:t>
      </w:r>
      <w:r w:rsidR="002F7CC2">
        <w:rPr>
          <w:rFonts w:ascii="Arial" w:hAnsi="Arial"/>
          <w:sz w:val="22"/>
          <w:szCs w:val="22"/>
        </w:rPr>
        <w:t>no</w:t>
      </w:r>
      <w:r w:rsidRPr="00984515">
        <w:rPr>
          <w:rFonts w:ascii="Arial" w:hAnsi="Arial"/>
          <w:sz w:val="22"/>
          <w:szCs w:val="22"/>
        </w:rPr>
        <w:t xml:space="preserve"> applicable Exit packages made</w:t>
      </w:r>
    </w:p>
    <w:p w14:paraId="1946D664" w14:textId="77777777" w:rsidR="00984515" w:rsidRPr="00213739" w:rsidRDefault="00984515" w:rsidP="003B74DA">
      <w:pPr>
        <w:tabs>
          <w:tab w:val="left" w:pos="426"/>
        </w:tabs>
        <w:ind w:left="426"/>
        <w:rPr>
          <w:rFonts w:ascii="Arial" w:hAnsi="Arial"/>
          <w:sz w:val="16"/>
          <w:szCs w:val="16"/>
          <w:highlight w:val="yellow"/>
        </w:rPr>
      </w:pPr>
    </w:p>
    <w:p w14:paraId="5A0BDCCF" w14:textId="053F1117" w:rsidR="004C36A7" w:rsidRPr="007F3E76" w:rsidRDefault="003B74DA" w:rsidP="003B74DA">
      <w:pPr>
        <w:tabs>
          <w:tab w:val="left" w:pos="426"/>
        </w:tabs>
        <w:ind w:left="426"/>
        <w:rPr>
          <w:rFonts w:ascii="Arial" w:hAnsi="Arial"/>
          <w:sz w:val="22"/>
          <w:szCs w:val="22"/>
        </w:rPr>
      </w:pPr>
      <w:r w:rsidRPr="007F3E76">
        <w:rPr>
          <w:rFonts w:ascii="Arial" w:hAnsi="Arial"/>
          <w:sz w:val="22"/>
          <w:szCs w:val="22"/>
        </w:rPr>
        <w:t>PCC</w:t>
      </w:r>
      <w:r w:rsidR="00E71785" w:rsidRPr="007F3E76">
        <w:rPr>
          <w:rFonts w:ascii="Arial" w:hAnsi="Arial"/>
          <w:sz w:val="22"/>
          <w:szCs w:val="22"/>
        </w:rPr>
        <w:t xml:space="preserve"> only</w:t>
      </w:r>
      <w:r w:rsidRPr="007F3E76">
        <w:rPr>
          <w:rFonts w:ascii="Arial" w:hAnsi="Arial"/>
          <w:sz w:val="22"/>
          <w:szCs w:val="22"/>
        </w:rPr>
        <w:t>:</w:t>
      </w:r>
    </w:p>
    <w:tbl>
      <w:tblPr>
        <w:tblW w:w="8798" w:type="dxa"/>
        <w:jc w:val="center"/>
        <w:tblLook w:val="04A0" w:firstRow="1" w:lastRow="0" w:firstColumn="1" w:lastColumn="0" w:noHBand="0" w:noVBand="1"/>
      </w:tblPr>
      <w:tblGrid>
        <w:gridCol w:w="3027"/>
        <w:gridCol w:w="2205"/>
        <w:gridCol w:w="1666"/>
        <w:gridCol w:w="1900"/>
      </w:tblGrid>
      <w:tr w:rsidR="001177EC" w:rsidRPr="007F3E76" w14:paraId="116364D1" w14:textId="77777777" w:rsidTr="007F3E76">
        <w:trPr>
          <w:trHeight w:val="861"/>
          <w:jc w:val="center"/>
        </w:trPr>
        <w:tc>
          <w:tcPr>
            <w:tcW w:w="3027" w:type="dxa"/>
            <w:tcBorders>
              <w:top w:val="single" w:sz="8" w:space="0" w:color="auto"/>
              <w:left w:val="single" w:sz="8" w:space="0" w:color="auto"/>
              <w:bottom w:val="nil"/>
              <w:right w:val="nil"/>
            </w:tcBorders>
            <w:shd w:val="clear" w:color="auto" w:fill="D9D9D9"/>
            <w:vAlign w:val="center"/>
            <w:hideMark/>
          </w:tcPr>
          <w:p w14:paraId="0E205CDD" w14:textId="77777777" w:rsidR="001177EC" w:rsidRPr="007F3E76" w:rsidRDefault="001177EC" w:rsidP="00243FAB">
            <w:pPr>
              <w:rPr>
                <w:rFonts w:ascii="Arial" w:hAnsi="Arial" w:cs="Arial"/>
                <w:b/>
                <w:bCs/>
                <w:color w:val="000000"/>
                <w:sz w:val="22"/>
                <w:szCs w:val="22"/>
              </w:rPr>
            </w:pPr>
            <w:r w:rsidRPr="007F3E76">
              <w:rPr>
                <w:rFonts w:ascii="Arial" w:hAnsi="Arial" w:cs="Arial"/>
                <w:b/>
                <w:bCs/>
                <w:color w:val="000000"/>
                <w:sz w:val="22"/>
                <w:szCs w:val="22"/>
              </w:rPr>
              <w:t>Bandings</w:t>
            </w:r>
          </w:p>
        </w:tc>
        <w:tc>
          <w:tcPr>
            <w:tcW w:w="2205" w:type="dxa"/>
            <w:tcBorders>
              <w:top w:val="single" w:sz="8" w:space="0" w:color="auto"/>
              <w:left w:val="nil"/>
              <w:bottom w:val="nil"/>
              <w:right w:val="nil"/>
            </w:tcBorders>
            <w:shd w:val="clear" w:color="auto" w:fill="D9D9D9"/>
            <w:vAlign w:val="center"/>
            <w:hideMark/>
          </w:tcPr>
          <w:p w14:paraId="0A974E2C" w14:textId="77777777" w:rsidR="001177EC" w:rsidRPr="007F3E76" w:rsidRDefault="001177EC" w:rsidP="00243FAB">
            <w:pPr>
              <w:jc w:val="center"/>
              <w:rPr>
                <w:rFonts w:ascii="Arial" w:hAnsi="Arial" w:cs="Arial"/>
                <w:b/>
                <w:bCs/>
                <w:color w:val="000000"/>
                <w:sz w:val="22"/>
                <w:szCs w:val="22"/>
              </w:rPr>
            </w:pPr>
            <w:r w:rsidRPr="007F3E76">
              <w:rPr>
                <w:rFonts w:ascii="Arial" w:hAnsi="Arial" w:cs="Arial"/>
                <w:b/>
                <w:bCs/>
                <w:color w:val="000000"/>
                <w:sz w:val="22"/>
                <w:szCs w:val="22"/>
              </w:rPr>
              <w:t>Number of Compulsory Redundancies</w:t>
            </w:r>
          </w:p>
        </w:tc>
        <w:tc>
          <w:tcPr>
            <w:tcW w:w="1666" w:type="dxa"/>
            <w:tcBorders>
              <w:top w:val="single" w:sz="8" w:space="0" w:color="auto"/>
              <w:left w:val="nil"/>
              <w:bottom w:val="nil"/>
              <w:right w:val="nil"/>
            </w:tcBorders>
            <w:shd w:val="clear" w:color="auto" w:fill="D9D9D9"/>
            <w:vAlign w:val="center"/>
            <w:hideMark/>
          </w:tcPr>
          <w:p w14:paraId="699EB730" w14:textId="77777777" w:rsidR="001177EC" w:rsidRPr="007F3E76" w:rsidRDefault="001177EC" w:rsidP="00243FAB">
            <w:pPr>
              <w:jc w:val="center"/>
              <w:rPr>
                <w:rFonts w:ascii="Arial" w:hAnsi="Arial" w:cs="Arial"/>
                <w:b/>
                <w:bCs/>
                <w:color w:val="000000"/>
                <w:sz w:val="22"/>
                <w:szCs w:val="22"/>
              </w:rPr>
            </w:pPr>
            <w:r w:rsidRPr="007F3E76">
              <w:rPr>
                <w:rFonts w:ascii="Arial" w:hAnsi="Arial" w:cs="Arial"/>
                <w:b/>
                <w:bCs/>
                <w:color w:val="000000"/>
                <w:sz w:val="22"/>
                <w:szCs w:val="22"/>
              </w:rPr>
              <w:t>Number of Other Departures</w:t>
            </w:r>
          </w:p>
        </w:tc>
        <w:tc>
          <w:tcPr>
            <w:tcW w:w="1900" w:type="dxa"/>
            <w:tcBorders>
              <w:top w:val="single" w:sz="8" w:space="0" w:color="auto"/>
              <w:left w:val="nil"/>
              <w:bottom w:val="nil"/>
              <w:right w:val="single" w:sz="8" w:space="0" w:color="auto"/>
            </w:tcBorders>
            <w:shd w:val="clear" w:color="auto" w:fill="D9D9D9"/>
            <w:vAlign w:val="center"/>
            <w:hideMark/>
          </w:tcPr>
          <w:p w14:paraId="08E6980A" w14:textId="77777777" w:rsidR="001177EC" w:rsidRPr="007F3E76" w:rsidRDefault="001177EC" w:rsidP="00243FAB">
            <w:pPr>
              <w:jc w:val="right"/>
              <w:rPr>
                <w:rFonts w:ascii="Arial" w:hAnsi="Arial" w:cs="Arial"/>
                <w:b/>
                <w:bCs/>
                <w:color w:val="000000"/>
                <w:sz w:val="22"/>
                <w:szCs w:val="22"/>
              </w:rPr>
            </w:pPr>
            <w:r w:rsidRPr="007F3E76">
              <w:rPr>
                <w:rFonts w:ascii="Arial" w:hAnsi="Arial" w:cs="Arial"/>
                <w:b/>
                <w:bCs/>
                <w:color w:val="000000"/>
                <w:sz w:val="22"/>
                <w:szCs w:val="22"/>
              </w:rPr>
              <w:t>Total cost of exit packages in each band</w:t>
            </w:r>
          </w:p>
        </w:tc>
      </w:tr>
      <w:tr w:rsidR="007F3E76" w:rsidRPr="007F3E76" w14:paraId="2088B9CA" w14:textId="77777777" w:rsidTr="007F3E76">
        <w:trPr>
          <w:trHeight w:val="287"/>
          <w:jc w:val="center"/>
        </w:trPr>
        <w:tc>
          <w:tcPr>
            <w:tcW w:w="3027" w:type="dxa"/>
            <w:tcBorders>
              <w:top w:val="nil"/>
              <w:left w:val="single" w:sz="8" w:space="0" w:color="auto"/>
              <w:bottom w:val="nil"/>
              <w:right w:val="nil"/>
            </w:tcBorders>
            <w:shd w:val="clear" w:color="auto" w:fill="D9D9D9"/>
            <w:vAlign w:val="center"/>
            <w:hideMark/>
          </w:tcPr>
          <w:p w14:paraId="2D1F6DB5" w14:textId="220768CC"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£0 - £20000</w:t>
            </w:r>
          </w:p>
        </w:tc>
        <w:tc>
          <w:tcPr>
            <w:tcW w:w="2205" w:type="dxa"/>
            <w:tcBorders>
              <w:top w:val="nil"/>
              <w:left w:val="nil"/>
              <w:bottom w:val="nil"/>
              <w:right w:val="nil"/>
            </w:tcBorders>
            <w:shd w:val="clear" w:color="auto" w:fill="D9D9D9"/>
            <w:vAlign w:val="center"/>
            <w:hideMark/>
          </w:tcPr>
          <w:p w14:paraId="29C0930B" w14:textId="59D51BF5"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shd w:val="clear" w:color="auto" w:fill="D9D9D9"/>
            <w:vAlign w:val="center"/>
            <w:hideMark/>
          </w:tcPr>
          <w:p w14:paraId="5BD5E21D" w14:textId="5D8CE813"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1</w:t>
            </w:r>
          </w:p>
        </w:tc>
        <w:tc>
          <w:tcPr>
            <w:tcW w:w="1900" w:type="dxa"/>
            <w:tcBorders>
              <w:top w:val="nil"/>
              <w:left w:val="nil"/>
              <w:bottom w:val="nil"/>
              <w:right w:val="single" w:sz="8" w:space="0" w:color="auto"/>
            </w:tcBorders>
            <w:shd w:val="clear" w:color="auto" w:fill="D9D9D9"/>
            <w:vAlign w:val="center"/>
            <w:hideMark/>
          </w:tcPr>
          <w:p w14:paraId="37505990" w14:textId="58722E57"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£1,465</w:t>
            </w:r>
          </w:p>
        </w:tc>
      </w:tr>
      <w:tr w:rsidR="007F3E76" w:rsidRPr="007F3E76" w14:paraId="1CDC98CF" w14:textId="77777777" w:rsidTr="007F3E76">
        <w:trPr>
          <w:trHeight w:val="287"/>
          <w:jc w:val="center"/>
        </w:trPr>
        <w:tc>
          <w:tcPr>
            <w:tcW w:w="3027" w:type="dxa"/>
            <w:tcBorders>
              <w:top w:val="nil"/>
              <w:left w:val="single" w:sz="8" w:space="0" w:color="auto"/>
              <w:bottom w:val="nil"/>
              <w:right w:val="nil"/>
            </w:tcBorders>
            <w:shd w:val="clear" w:color="auto" w:fill="D9D9D9"/>
            <w:vAlign w:val="center"/>
            <w:hideMark/>
          </w:tcPr>
          <w:p w14:paraId="384C3102" w14:textId="114C1382"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£20001 - £40000</w:t>
            </w:r>
          </w:p>
        </w:tc>
        <w:tc>
          <w:tcPr>
            <w:tcW w:w="2205" w:type="dxa"/>
            <w:tcBorders>
              <w:top w:val="nil"/>
              <w:left w:val="nil"/>
              <w:bottom w:val="nil"/>
              <w:right w:val="nil"/>
            </w:tcBorders>
            <w:shd w:val="clear" w:color="auto" w:fill="D9D9D9"/>
            <w:vAlign w:val="center"/>
            <w:hideMark/>
          </w:tcPr>
          <w:p w14:paraId="5E00DD29" w14:textId="77569DF3"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shd w:val="clear" w:color="auto" w:fill="D9D9D9"/>
            <w:vAlign w:val="center"/>
            <w:hideMark/>
          </w:tcPr>
          <w:p w14:paraId="62315A04" w14:textId="176EA1D1"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1A57296A" w14:textId="350D1588"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£0</w:t>
            </w:r>
          </w:p>
        </w:tc>
      </w:tr>
      <w:tr w:rsidR="007F3E76" w:rsidRPr="007F3E76" w14:paraId="220EE524" w14:textId="77777777" w:rsidTr="007F3E76">
        <w:trPr>
          <w:trHeight w:val="287"/>
          <w:jc w:val="center"/>
        </w:trPr>
        <w:tc>
          <w:tcPr>
            <w:tcW w:w="3027" w:type="dxa"/>
            <w:tcBorders>
              <w:top w:val="nil"/>
              <w:left w:val="single" w:sz="8" w:space="0" w:color="auto"/>
              <w:bottom w:val="nil"/>
              <w:right w:val="nil"/>
            </w:tcBorders>
            <w:shd w:val="clear" w:color="auto" w:fill="D9D9D9"/>
            <w:vAlign w:val="center"/>
            <w:hideMark/>
          </w:tcPr>
          <w:p w14:paraId="55DEF3BF" w14:textId="2E951AF3"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£40001 - £60000</w:t>
            </w:r>
          </w:p>
        </w:tc>
        <w:tc>
          <w:tcPr>
            <w:tcW w:w="2205" w:type="dxa"/>
            <w:tcBorders>
              <w:top w:val="nil"/>
              <w:left w:val="nil"/>
              <w:bottom w:val="nil"/>
              <w:right w:val="nil"/>
            </w:tcBorders>
            <w:shd w:val="clear" w:color="auto" w:fill="D9D9D9"/>
            <w:vAlign w:val="center"/>
            <w:hideMark/>
          </w:tcPr>
          <w:p w14:paraId="6539C937" w14:textId="26E18F57"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shd w:val="clear" w:color="auto" w:fill="D9D9D9"/>
            <w:vAlign w:val="center"/>
            <w:hideMark/>
          </w:tcPr>
          <w:p w14:paraId="74E93338" w14:textId="05C4B48D"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315EEF4B" w14:textId="0A9D816A"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£0</w:t>
            </w:r>
          </w:p>
        </w:tc>
      </w:tr>
      <w:tr w:rsidR="007F3E76" w:rsidRPr="007F3E76" w14:paraId="5FA9938C" w14:textId="77777777" w:rsidTr="007F3E76">
        <w:trPr>
          <w:trHeight w:val="287"/>
          <w:jc w:val="center"/>
        </w:trPr>
        <w:tc>
          <w:tcPr>
            <w:tcW w:w="3027" w:type="dxa"/>
            <w:tcBorders>
              <w:top w:val="nil"/>
              <w:left w:val="single" w:sz="8" w:space="0" w:color="auto"/>
              <w:bottom w:val="nil"/>
              <w:right w:val="nil"/>
            </w:tcBorders>
            <w:shd w:val="clear" w:color="auto" w:fill="D9D9D9"/>
            <w:vAlign w:val="center"/>
            <w:hideMark/>
          </w:tcPr>
          <w:p w14:paraId="30796833" w14:textId="2937A303"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£60001 - £80000</w:t>
            </w:r>
          </w:p>
        </w:tc>
        <w:tc>
          <w:tcPr>
            <w:tcW w:w="2205" w:type="dxa"/>
            <w:tcBorders>
              <w:top w:val="nil"/>
              <w:left w:val="nil"/>
              <w:bottom w:val="nil"/>
              <w:right w:val="nil"/>
            </w:tcBorders>
            <w:shd w:val="clear" w:color="auto" w:fill="D9D9D9"/>
            <w:vAlign w:val="center"/>
            <w:hideMark/>
          </w:tcPr>
          <w:p w14:paraId="3C9F495D" w14:textId="6B4A0BFA"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shd w:val="clear" w:color="auto" w:fill="D9D9D9"/>
            <w:vAlign w:val="center"/>
            <w:hideMark/>
          </w:tcPr>
          <w:p w14:paraId="45CE50A6" w14:textId="135A97DE"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16F8BE4F" w14:textId="0B91D465"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£0</w:t>
            </w:r>
          </w:p>
        </w:tc>
      </w:tr>
      <w:tr w:rsidR="007F3E76" w:rsidRPr="007F3E76" w14:paraId="18CA1D54" w14:textId="77777777" w:rsidTr="007F3E76">
        <w:trPr>
          <w:trHeight w:val="287"/>
          <w:jc w:val="center"/>
        </w:trPr>
        <w:tc>
          <w:tcPr>
            <w:tcW w:w="3027" w:type="dxa"/>
            <w:tcBorders>
              <w:top w:val="nil"/>
              <w:left w:val="single" w:sz="8" w:space="0" w:color="auto"/>
              <w:bottom w:val="nil"/>
              <w:right w:val="nil"/>
            </w:tcBorders>
            <w:shd w:val="clear" w:color="auto" w:fill="D9D9D9"/>
            <w:vAlign w:val="center"/>
            <w:hideMark/>
          </w:tcPr>
          <w:p w14:paraId="078E3A34" w14:textId="56756F8C"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£80001 - £100000</w:t>
            </w:r>
          </w:p>
        </w:tc>
        <w:tc>
          <w:tcPr>
            <w:tcW w:w="2205" w:type="dxa"/>
            <w:tcBorders>
              <w:top w:val="nil"/>
              <w:left w:val="nil"/>
              <w:bottom w:val="nil"/>
              <w:right w:val="nil"/>
            </w:tcBorders>
            <w:shd w:val="clear" w:color="auto" w:fill="D9D9D9"/>
            <w:vAlign w:val="center"/>
            <w:hideMark/>
          </w:tcPr>
          <w:p w14:paraId="765B9648" w14:textId="498FEF11"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shd w:val="clear" w:color="auto" w:fill="D9D9D9"/>
            <w:vAlign w:val="center"/>
            <w:hideMark/>
          </w:tcPr>
          <w:p w14:paraId="32A14D9B" w14:textId="10C32EAB"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712AFA1D" w14:textId="3F62C40D"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£0</w:t>
            </w:r>
          </w:p>
        </w:tc>
      </w:tr>
      <w:tr w:rsidR="007F3E76" w:rsidRPr="007F3E76" w14:paraId="31DD89BA" w14:textId="77777777" w:rsidTr="007F3E76">
        <w:trPr>
          <w:trHeight w:val="287"/>
          <w:jc w:val="center"/>
        </w:trPr>
        <w:tc>
          <w:tcPr>
            <w:tcW w:w="3027" w:type="dxa"/>
            <w:tcBorders>
              <w:top w:val="nil"/>
              <w:left w:val="single" w:sz="8" w:space="0" w:color="auto"/>
              <w:bottom w:val="nil"/>
              <w:right w:val="nil"/>
            </w:tcBorders>
            <w:shd w:val="clear" w:color="auto" w:fill="D9D9D9"/>
            <w:vAlign w:val="center"/>
            <w:hideMark/>
          </w:tcPr>
          <w:p w14:paraId="1CD3DD7C" w14:textId="7245364F"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£100001 - £150000</w:t>
            </w:r>
          </w:p>
        </w:tc>
        <w:tc>
          <w:tcPr>
            <w:tcW w:w="2205" w:type="dxa"/>
            <w:tcBorders>
              <w:top w:val="nil"/>
              <w:left w:val="nil"/>
              <w:bottom w:val="nil"/>
              <w:right w:val="nil"/>
            </w:tcBorders>
            <w:shd w:val="clear" w:color="auto" w:fill="D9D9D9"/>
            <w:vAlign w:val="center"/>
            <w:hideMark/>
          </w:tcPr>
          <w:p w14:paraId="06E499D8" w14:textId="5A20475A"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shd w:val="clear" w:color="auto" w:fill="D9D9D9"/>
            <w:vAlign w:val="center"/>
            <w:hideMark/>
          </w:tcPr>
          <w:p w14:paraId="0AEEA500" w14:textId="6F305FCF"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003CA6F4" w14:textId="624CBEC2"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£0</w:t>
            </w:r>
          </w:p>
        </w:tc>
      </w:tr>
      <w:tr w:rsidR="007F3E76" w:rsidRPr="007F3E76" w14:paraId="79AD242F" w14:textId="77777777" w:rsidTr="007F3E76">
        <w:trPr>
          <w:trHeight w:val="301"/>
          <w:jc w:val="center"/>
        </w:trPr>
        <w:tc>
          <w:tcPr>
            <w:tcW w:w="3027" w:type="dxa"/>
            <w:tcBorders>
              <w:top w:val="nil"/>
              <w:left w:val="single" w:sz="8" w:space="0" w:color="auto"/>
              <w:bottom w:val="nil"/>
              <w:right w:val="nil"/>
            </w:tcBorders>
            <w:shd w:val="clear" w:color="auto" w:fill="D9D9D9"/>
            <w:vAlign w:val="center"/>
            <w:hideMark/>
          </w:tcPr>
          <w:p w14:paraId="1AF9690F" w14:textId="6441567B"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£150001 - £200000</w:t>
            </w:r>
          </w:p>
        </w:tc>
        <w:tc>
          <w:tcPr>
            <w:tcW w:w="2205" w:type="dxa"/>
            <w:tcBorders>
              <w:top w:val="nil"/>
              <w:left w:val="nil"/>
              <w:bottom w:val="nil"/>
              <w:right w:val="nil"/>
            </w:tcBorders>
            <w:shd w:val="clear" w:color="auto" w:fill="D9D9D9"/>
            <w:vAlign w:val="center"/>
            <w:hideMark/>
          </w:tcPr>
          <w:p w14:paraId="6D40270F" w14:textId="52396A30"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shd w:val="clear" w:color="auto" w:fill="D9D9D9"/>
            <w:vAlign w:val="center"/>
            <w:hideMark/>
          </w:tcPr>
          <w:p w14:paraId="512756A5" w14:textId="72E1D3C4"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shd w:val="clear" w:color="auto" w:fill="D9D9D9"/>
            <w:vAlign w:val="center"/>
            <w:hideMark/>
          </w:tcPr>
          <w:p w14:paraId="6D33DCDE" w14:textId="19357D9F"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£0</w:t>
            </w:r>
          </w:p>
        </w:tc>
      </w:tr>
      <w:tr w:rsidR="007F3E76" w:rsidRPr="007F3E76" w14:paraId="377745AF" w14:textId="77777777" w:rsidTr="007F3E76">
        <w:trPr>
          <w:trHeight w:val="301"/>
          <w:jc w:val="center"/>
        </w:trPr>
        <w:tc>
          <w:tcPr>
            <w:tcW w:w="3027" w:type="dxa"/>
            <w:tcBorders>
              <w:top w:val="nil"/>
              <w:left w:val="single" w:sz="8" w:space="0" w:color="auto"/>
              <w:bottom w:val="nil"/>
              <w:right w:val="nil"/>
            </w:tcBorders>
            <w:shd w:val="clear" w:color="auto" w:fill="D9D9D9"/>
            <w:vAlign w:val="center"/>
          </w:tcPr>
          <w:p w14:paraId="65A994C4" w14:textId="399F882C"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£550001 - £600000</w:t>
            </w:r>
          </w:p>
        </w:tc>
        <w:tc>
          <w:tcPr>
            <w:tcW w:w="2205" w:type="dxa"/>
            <w:tcBorders>
              <w:top w:val="nil"/>
              <w:left w:val="nil"/>
              <w:bottom w:val="single" w:sz="8" w:space="0" w:color="auto"/>
              <w:right w:val="nil"/>
            </w:tcBorders>
            <w:shd w:val="clear" w:color="auto" w:fill="D9D9D9"/>
            <w:vAlign w:val="center"/>
          </w:tcPr>
          <w:p w14:paraId="35BD0F1A" w14:textId="7161E6A9"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single" w:sz="8" w:space="0" w:color="auto"/>
              <w:right w:val="nil"/>
            </w:tcBorders>
            <w:shd w:val="clear" w:color="auto" w:fill="D9D9D9"/>
            <w:vAlign w:val="center"/>
          </w:tcPr>
          <w:p w14:paraId="30F92180" w14:textId="53DAE56B"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1</w:t>
            </w:r>
          </w:p>
        </w:tc>
        <w:tc>
          <w:tcPr>
            <w:tcW w:w="1900" w:type="dxa"/>
            <w:tcBorders>
              <w:top w:val="nil"/>
              <w:left w:val="nil"/>
              <w:bottom w:val="single" w:sz="8" w:space="0" w:color="auto"/>
              <w:right w:val="single" w:sz="8" w:space="0" w:color="auto"/>
            </w:tcBorders>
            <w:shd w:val="clear" w:color="auto" w:fill="D9D9D9"/>
            <w:vAlign w:val="center"/>
          </w:tcPr>
          <w:p w14:paraId="60870929" w14:textId="0FA015D0"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£567,369</w:t>
            </w:r>
          </w:p>
        </w:tc>
      </w:tr>
      <w:tr w:rsidR="007F3E76" w:rsidRPr="007F3E76" w14:paraId="093C92E1" w14:textId="77777777" w:rsidTr="007F3E76">
        <w:trPr>
          <w:trHeight w:val="301"/>
          <w:jc w:val="center"/>
        </w:trPr>
        <w:tc>
          <w:tcPr>
            <w:tcW w:w="3027" w:type="dxa"/>
            <w:tcBorders>
              <w:top w:val="nil"/>
              <w:left w:val="single" w:sz="8" w:space="0" w:color="auto"/>
              <w:bottom w:val="single" w:sz="8" w:space="0" w:color="auto"/>
              <w:right w:val="nil"/>
            </w:tcBorders>
            <w:shd w:val="clear" w:color="auto" w:fill="D9D9D9"/>
            <w:vAlign w:val="center"/>
            <w:hideMark/>
          </w:tcPr>
          <w:p w14:paraId="025222E1" w14:textId="1B8EF9B7" w:rsidR="007F3E76" w:rsidRPr="007F3E76" w:rsidRDefault="007F3E76" w:rsidP="007F3E76">
            <w:pPr>
              <w:rPr>
                <w:rFonts w:ascii="Arial" w:hAnsi="Arial" w:cs="Arial"/>
                <w:color w:val="000000"/>
                <w:sz w:val="22"/>
                <w:szCs w:val="22"/>
              </w:rPr>
            </w:pPr>
            <w:r w:rsidRPr="007F3E76">
              <w:rPr>
                <w:rFonts w:ascii="Arial" w:hAnsi="Arial" w:cs="Arial"/>
                <w:color w:val="000000"/>
                <w:sz w:val="22"/>
                <w:szCs w:val="22"/>
              </w:rPr>
              <w:t xml:space="preserve">Total </w:t>
            </w:r>
          </w:p>
        </w:tc>
        <w:tc>
          <w:tcPr>
            <w:tcW w:w="2205" w:type="dxa"/>
            <w:tcBorders>
              <w:top w:val="nil"/>
              <w:left w:val="nil"/>
              <w:bottom w:val="single" w:sz="8" w:space="0" w:color="auto"/>
              <w:right w:val="nil"/>
            </w:tcBorders>
            <w:shd w:val="clear" w:color="auto" w:fill="D9D9D9"/>
            <w:vAlign w:val="center"/>
            <w:hideMark/>
          </w:tcPr>
          <w:p w14:paraId="2410B256" w14:textId="654A2E9D"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single" w:sz="8" w:space="0" w:color="auto"/>
              <w:right w:val="nil"/>
            </w:tcBorders>
            <w:shd w:val="clear" w:color="auto" w:fill="D9D9D9"/>
            <w:vAlign w:val="center"/>
            <w:hideMark/>
          </w:tcPr>
          <w:p w14:paraId="2F96413F" w14:textId="7E4BD957" w:rsidR="007F3E76" w:rsidRPr="007F3E76" w:rsidRDefault="007F3E76" w:rsidP="007F3E76">
            <w:pPr>
              <w:jc w:val="center"/>
              <w:rPr>
                <w:rFonts w:ascii="Arial" w:hAnsi="Arial" w:cs="Arial"/>
                <w:color w:val="000000"/>
                <w:sz w:val="22"/>
                <w:szCs w:val="22"/>
              </w:rPr>
            </w:pPr>
            <w:r w:rsidRPr="007F3E76">
              <w:rPr>
                <w:rFonts w:ascii="Arial" w:hAnsi="Arial" w:cs="Arial"/>
                <w:color w:val="000000"/>
                <w:sz w:val="22"/>
                <w:szCs w:val="22"/>
              </w:rPr>
              <w:t>2</w:t>
            </w:r>
          </w:p>
        </w:tc>
        <w:tc>
          <w:tcPr>
            <w:tcW w:w="1900" w:type="dxa"/>
            <w:tcBorders>
              <w:top w:val="nil"/>
              <w:left w:val="nil"/>
              <w:bottom w:val="single" w:sz="8" w:space="0" w:color="auto"/>
              <w:right w:val="single" w:sz="8" w:space="0" w:color="auto"/>
            </w:tcBorders>
            <w:shd w:val="clear" w:color="auto" w:fill="D9D9D9"/>
            <w:vAlign w:val="center"/>
            <w:hideMark/>
          </w:tcPr>
          <w:p w14:paraId="3251DA9D" w14:textId="60C7DC39" w:rsidR="007F3E76" w:rsidRPr="007F3E76" w:rsidRDefault="007F3E76" w:rsidP="007F3E76">
            <w:pPr>
              <w:jc w:val="right"/>
              <w:rPr>
                <w:rFonts w:ascii="Arial" w:hAnsi="Arial" w:cs="Arial"/>
                <w:color w:val="000000"/>
                <w:sz w:val="22"/>
                <w:szCs w:val="22"/>
              </w:rPr>
            </w:pPr>
            <w:r w:rsidRPr="007F3E76">
              <w:rPr>
                <w:rFonts w:ascii="Arial" w:hAnsi="Arial" w:cs="Arial"/>
                <w:color w:val="000000"/>
                <w:sz w:val="22"/>
                <w:szCs w:val="22"/>
              </w:rPr>
              <w:t>£568,834</w:t>
            </w:r>
          </w:p>
        </w:tc>
      </w:tr>
    </w:tbl>
    <w:p w14:paraId="35F2921D" w14:textId="77777777" w:rsidR="00642DCF" w:rsidRDefault="00642DCF" w:rsidP="003E25AA">
      <w:pPr>
        <w:tabs>
          <w:tab w:val="left" w:pos="426"/>
        </w:tabs>
        <w:ind w:left="720"/>
        <w:rPr>
          <w:rFonts w:ascii="Arial" w:hAnsi="Arial"/>
          <w:sz w:val="22"/>
          <w:szCs w:val="22"/>
        </w:rPr>
      </w:pPr>
    </w:p>
    <w:p w14:paraId="779092B0" w14:textId="003615E5" w:rsidR="003E25AA" w:rsidRPr="00984515" w:rsidRDefault="003E25AA" w:rsidP="003E25AA">
      <w:pPr>
        <w:tabs>
          <w:tab w:val="left" w:pos="426"/>
        </w:tabs>
        <w:ind w:left="720"/>
        <w:rPr>
          <w:rFonts w:ascii="Arial" w:hAnsi="Arial"/>
          <w:sz w:val="22"/>
          <w:szCs w:val="22"/>
          <w:highlight w:val="yellow"/>
        </w:rPr>
      </w:pPr>
      <w:r w:rsidRPr="00984515">
        <w:rPr>
          <w:rFonts w:ascii="Arial" w:hAnsi="Arial"/>
          <w:sz w:val="22"/>
          <w:szCs w:val="22"/>
        </w:rPr>
        <w:t xml:space="preserve">Bandings between £200,000 and £550,000 removed as </w:t>
      </w:r>
      <w:r>
        <w:rPr>
          <w:rFonts w:ascii="Arial" w:hAnsi="Arial"/>
          <w:sz w:val="22"/>
          <w:szCs w:val="22"/>
        </w:rPr>
        <w:t>no</w:t>
      </w:r>
      <w:r w:rsidRPr="00984515">
        <w:rPr>
          <w:rFonts w:ascii="Arial" w:hAnsi="Arial"/>
          <w:sz w:val="22"/>
          <w:szCs w:val="22"/>
        </w:rPr>
        <w:t xml:space="preserve"> applicable Exit packages made</w:t>
      </w:r>
    </w:p>
    <w:p w14:paraId="07E193D1" w14:textId="73F07397" w:rsidR="006958C3" w:rsidRDefault="006958C3" w:rsidP="003B74DA">
      <w:pPr>
        <w:tabs>
          <w:tab w:val="left" w:pos="426"/>
        </w:tabs>
        <w:ind w:left="426"/>
        <w:rPr>
          <w:rFonts w:ascii="Arial" w:hAnsi="Arial"/>
          <w:sz w:val="16"/>
          <w:szCs w:val="16"/>
        </w:rPr>
      </w:pPr>
    </w:p>
    <w:p w14:paraId="5972F80F" w14:textId="77777777" w:rsidR="00642DCF" w:rsidRDefault="00642DCF">
      <w:pPr>
        <w:rPr>
          <w:rFonts w:ascii="Arial" w:hAnsi="Arial"/>
          <w:sz w:val="22"/>
          <w:szCs w:val="22"/>
        </w:rPr>
      </w:pPr>
      <w:r>
        <w:rPr>
          <w:rFonts w:ascii="Arial" w:hAnsi="Arial"/>
          <w:sz w:val="22"/>
          <w:szCs w:val="22"/>
        </w:rPr>
        <w:br w:type="page"/>
      </w:r>
    </w:p>
    <w:p w14:paraId="11BA6E58" w14:textId="35DC248D" w:rsidR="009D5642" w:rsidRPr="007F3E76" w:rsidRDefault="00C37E7F" w:rsidP="003B74DA">
      <w:pPr>
        <w:tabs>
          <w:tab w:val="left" w:pos="426"/>
        </w:tabs>
        <w:ind w:left="426"/>
        <w:rPr>
          <w:rFonts w:ascii="Arial" w:hAnsi="Arial"/>
          <w:sz w:val="22"/>
          <w:szCs w:val="22"/>
        </w:rPr>
      </w:pPr>
      <w:r w:rsidRPr="007F3E76">
        <w:rPr>
          <w:rFonts w:ascii="Arial" w:hAnsi="Arial"/>
          <w:sz w:val="22"/>
          <w:szCs w:val="22"/>
        </w:rPr>
        <w:lastRenderedPageBreak/>
        <w:t>2023/24</w:t>
      </w:r>
      <w:r w:rsidR="009D5642" w:rsidRPr="007F3E76">
        <w:rPr>
          <w:rFonts w:ascii="Arial" w:hAnsi="Arial"/>
          <w:sz w:val="22"/>
          <w:szCs w:val="22"/>
        </w:rPr>
        <w:t xml:space="preserve"> Comparators:</w:t>
      </w:r>
    </w:p>
    <w:tbl>
      <w:tblPr>
        <w:tblW w:w="8700" w:type="dxa"/>
        <w:tblInd w:w="874" w:type="dxa"/>
        <w:tblLook w:val="04A0" w:firstRow="1" w:lastRow="0" w:firstColumn="1" w:lastColumn="0" w:noHBand="0" w:noVBand="1"/>
      </w:tblPr>
      <w:tblGrid>
        <w:gridCol w:w="2944"/>
        <w:gridCol w:w="2126"/>
        <w:gridCol w:w="1843"/>
        <w:gridCol w:w="1787"/>
      </w:tblGrid>
      <w:tr w:rsidR="006451E4" w:rsidRPr="007F3E76" w14:paraId="26BC748C" w14:textId="77777777" w:rsidTr="006451E4">
        <w:trPr>
          <w:trHeight w:val="900"/>
        </w:trPr>
        <w:tc>
          <w:tcPr>
            <w:tcW w:w="2944" w:type="dxa"/>
            <w:tcBorders>
              <w:top w:val="single" w:sz="8" w:space="0" w:color="auto"/>
              <w:left w:val="single" w:sz="8" w:space="0" w:color="auto"/>
              <w:bottom w:val="nil"/>
              <w:right w:val="nil"/>
            </w:tcBorders>
            <w:vAlign w:val="center"/>
            <w:hideMark/>
          </w:tcPr>
          <w:p w14:paraId="1C372082" w14:textId="77777777" w:rsidR="006451E4" w:rsidRPr="007F3E76" w:rsidRDefault="006451E4">
            <w:pPr>
              <w:rPr>
                <w:rFonts w:ascii="Arial" w:hAnsi="Arial" w:cs="Arial"/>
                <w:b/>
                <w:bCs/>
                <w:color w:val="000000"/>
                <w:sz w:val="22"/>
                <w:szCs w:val="22"/>
              </w:rPr>
            </w:pPr>
            <w:r w:rsidRPr="007F3E76">
              <w:rPr>
                <w:rFonts w:ascii="Arial" w:hAnsi="Arial" w:cs="Arial"/>
                <w:b/>
                <w:bCs/>
                <w:color w:val="000000"/>
                <w:sz w:val="22"/>
                <w:szCs w:val="22"/>
              </w:rPr>
              <w:t>Bandings</w:t>
            </w:r>
          </w:p>
        </w:tc>
        <w:tc>
          <w:tcPr>
            <w:tcW w:w="2126" w:type="dxa"/>
            <w:tcBorders>
              <w:top w:val="single" w:sz="8" w:space="0" w:color="auto"/>
              <w:left w:val="nil"/>
              <w:bottom w:val="nil"/>
              <w:right w:val="nil"/>
            </w:tcBorders>
            <w:vAlign w:val="center"/>
            <w:hideMark/>
          </w:tcPr>
          <w:p w14:paraId="09E6DA52" w14:textId="77777777" w:rsidR="006451E4" w:rsidRPr="007F3E76" w:rsidRDefault="006451E4">
            <w:pPr>
              <w:jc w:val="center"/>
              <w:rPr>
                <w:rFonts w:ascii="Arial" w:hAnsi="Arial" w:cs="Arial"/>
                <w:b/>
                <w:bCs/>
                <w:color w:val="000000"/>
                <w:sz w:val="22"/>
                <w:szCs w:val="22"/>
              </w:rPr>
            </w:pPr>
            <w:r w:rsidRPr="007F3E76">
              <w:rPr>
                <w:rFonts w:ascii="Arial" w:hAnsi="Arial" w:cs="Arial"/>
                <w:b/>
                <w:bCs/>
                <w:color w:val="000000"/>
                <w:sz w:val="22"/>
                <w:szCs w:val="22"/>
              </w:rPr>
              <w:t>Number of Compulsory Redundancies</w:t>
            </w:r>
          </w:p>
        </w:tc>
        <w:tc>
          <w:tcPr>
            <w:tcW w:w="1843" w:type="dxa"/>
            <w:tcBorders>
              <w:top w:val="single" w:sz="8" w:space="0" w:color="auto"/>
              <w:left w:val="nil"/>
              <w:bottom w:val="nil"/>
              <w:right w:val="nil"/>
            </w:tcBorders>
            <w:vAlign w:val="center"/>
            <w:hideMark/>
          </w:tcPr>
          <w:p w14:paraId="78522D04" w14:textId="77777777" w:rsidR="006451E4" w:rsidRPr="007F3E76" w:rsidRDefault="006451E4">
            <w:pPr>
              <w:jc w:val="center"/>
              <w:rPr>
                <w:rFonts w:ascii="Arial" w:hAnsi="Arial" w:cs="Arial"/>
                <w:b/>
                <w:bCs/>
                <w:color w:val="000000"/>
                <w:sz w:val="22"/>
                <w:szCs w:val="22"/>
              </w:rPr>
            </w:pPr>
            <w:r w:rsidRPr="007F3E76">
              <w:rPr>
                <w:rFonts w:ascii="Arial" w:hAnsi="Arial" w:cs="Arial"/>
                <w:b/>
                <w:bCs/>
                <w:color w:val="000000"/>
                <w:sz w:val="22"/>
                <w:szCs w:val="22"/>
              </w:rPr>
              <w:t>Number of Other Departures</w:t>
            </w:r>
          </w:p>
        </w:tc>
        <w:tc>
          <w:tcPr>
            <w:tcW w:w="1787" w:type="dxa"/>
            <w:tcBorders>
              <w:top w:val="single" w:sz="8" w:space="0" w:color="auto"/>
              <w:left w:val="nil"/>
              <w:bottom w:val="nil"/>
              <w:right w:val="single" w:sz="8" w:space="0" w:color="auto"/>
            </w:tcBorders>
            <w:vAlign w:val="center"/>
            <w:hideMark/>
          </w:tcPr>
          <w:p w14:paraId="0395D942" w14:textId="77777777" w:rsidR="006451E4" w:rsidRPr="007F3E76" w:rsidRDefault="006451E4">
            <w:pPr>
              <w:jc w:val="right"/>
              <w:rPr>
                <w:rFonts w:ascii="Arial" w:hAnsi="Arial" w:cs="Arial"/>
                <w:b/>
                <w:bCs/>
                <w:color w:val="000000"/>
                <w:sz w:val="22"/>
                <w:szCs w:val="22"/>
              </w:rPr>
            </w:pPr>
            <w:r w:rsidRPr="007F3E76">
              <w:rPr>
                <w:rFonts w:ascii="Arial" w:hAnsi="Arial" w:cs="Arial"/>
                <w:b/>
                <w:bCs/>
                <w:color w:val="000000"/>
                <w:sz w:val="22"/>
                <w:szCs w:val="22"/>
              </w:rPr>
              <w:t>Total cost of exit packages in each band</w:t>
            </w:r>
          </w:p>
        </w:tc>
      </w:tr>
      <w:tr w:rsidR="00A32E2B" w:rsidRPr="007F3E76" w14:paraId="4F6DC64A" w14:textId="77777777" w:rsidTr="005E2F77">
        <w:trPr>
          <w:trHeight w:val="300"/>
        </w:trPr>
        <w:tc>
          <w:tcPr>
            <w:tcW w:w="2944" w:type="dxa"/>
            <w:tcBorders>
              <w:top w:val="nil"/>
              <w:left w:val="single" w:sz="8" w:space="0" w:color="auto"/>
              <w:bottom w:val="nil"/>
              <w:right w:val="nil"/>
            </w:tcBorders>
            <w:vAlign w:val="center"/>
            <w:hideMark/>
          </w:tcPr>
          <w:p w14:paraId="26CFE1D9" w14:textId="77777777" w:rsidR="00A32E2B" w:rsidRPr="007F3E76" w:rsidRDefault="00A32E2B" w:rsidP="00A32E2B">
            <w:pPr>
              <w:rPr>
                <w:rFonts w:ascii="Arial" w:hAnsi="Arial" w:cs="Arial"/>
                <w:color w:val="000000"/>
                <w:sz w:val="22"/>
                <w:szCs w:val="22"/>
              </w:rPr>
            </w:pPr>
            <w:r w:rsidRPr="007F3E76">
              <w:rPr>
                <w:rFonts w:ascii="Arial" w:hAnsi="Arial" w:cs="Arial"/>
                <w:color w:val="000000"/>
                <w:sz w:val="22"/>
                <w:szCs w:val="22"/>
              </w:rPr>
              <w:t>£0 - £20,000</w:t>
            </w:r>
          </w:p>
        </w:tc>
        <w:tc>
          <w:tcPr>
            <w:tcW w:w="2126" w:type="dxa"/>
            <w:tcBorders>
              <w:top w:val="nil"/>
              <w:left w:val="nil"/>
              <w:bottom w:val="nil"/>
              <w:right w:val="nil"/>
            </w:tcBorders>
            <w:vAlign w:val="center"/>
            <w:hideMark/>
          </w:tcPr>
          <w:p w14:paraId="10180426" w14:textId="3EC56A80" w:rsidR="00A32E2B" w:rsidRPr="007F3E76" w:rsidRDefault="00E057A0" w:rsidP="00A32E2B">
            <w:pPr>
              <w:jc w:val="center"/>
              <w:rPr>
                <w:rFonts w:ascii="Arial" w:hAnsi="Arial" w:cs="Arial"/>
                <w:color w:val="000000"/>
                <w:sz w:val="22"/>
                <w:szCs w:val="22"/>
              </w:rPr>
            </w:pPr>
            <w:r w:rsidRPr="007F3E76">
              <w:rPr>
                <w:rFonts w:ascii="Arial" w:hAnsi="Arial" w:cs="Arial"/>
                <w:color w:val="000000"/>
                <w:sz w:val="22"/>
                <w:szCs w:val="22"/>
              </w:rPr>
              <w:t>1</w:t>
            </w:r>
          </w:p>
        </w:tc>
        <w:tc>
          <w:tcPr>
            <w:tcW w:w="1843" w:type="dxa"/>
            <w:tcBorders>
              <w:top w:val="nil"/>
              <w:left w:val="nil"/>
              <w:bottom w:val="nil"/>
              <w:right w:val="nil"/>
            </w:tcBorders>
            <w:vAlign w:val="center"/>
            <w:hideMark/>
          </w:tcPr>
          <w:p w14:paraId="0463CFC5" w14:textId="67120217" w:rsidR="00A32E2B" w:rsidRPr="007F3E76" w:rsidRDefault="00E057A0" w:rsidP="00A32E2B">
            <w:pPr>
              <w:jc w:val="center"/>
              <w:rPr>
                <w:rFonts w:ascii="Arial" w:hAnsi="Arial" w:cs="Arial"/>
                <w:color w:val="000000"/>
                <w:sz w:val="22"/>
                <w:szCs w:val="22"/>
              </w:rPr>
            </w:pPr>
            <w:r w:rsidRPr="007F3E76">
              <w:rPr>
                <w:rFonts w:ascii="Arial" w:hAnsi="Arial" w:cs="Arial"/>
                <w:color w:val="000000"/>
                <w:sz w:val="22"/>
                <w:szCs w:val="22"/>
              </w:rPr>
              <w:t>11</w:t>
            </w:r>
          </w:p>
        </w:tc>
        <w:tc>
          <w:tcPr>
            <w:tcW w:w="1787" w:type="dxa"/>
            <w:tcBorders>
              <w:top w:val="nil"/>
              <w:left w:val="nil"/>
              <w:bottom w:val="nil"/>
              <w:right w:val="single" w:sz="8" w:space="0" w:color="auto"/>
            </w:tcBorders>
            <w:vAlign w:val="center"/>
            <w:hideMark/>
          </w:tcPr>
          <w:p w14:paraId="04266142" w14:textId="03572D93" w:rsidR="00A32E2B" w:rsidRPr="007F3E76" w:rsidRDefault="00A32E2B" w:rsidP="00A32E2B">
            <w:pPr>
              <w:jc w:val="right"/>
              <w:rPr>
                <w:rFonts w:ascii="Arial" w:hAnsi="Arial" w:cs="Arial"/>
                <w:color w:val="000000"/>
                <w:sz w:val="22"/>
                <w:szCs w:val="22"/>
              </w:rPr>
            </w:pPr>
            <w:r w:rsidRPr="007F3E76" w:rsidDel="001473E1">
              <w:rPr>
                <w:rFonts w:ascii="Arial" w:hAnsi="Arial" w:cs="Arial"/>
                <w:color w:val="000000"/>
                <w:sz w:val="22"/>
                <w:szCs w:val="22"/>
              </w:rPr>
              <w:t>£</w:t>
            </w:r>
            <w:r w:rsidR="00E057A0" w:rsidRPr="007F3E76">
              <w:rPr>
                <w:rFonts w:ascii="Arial" w:hAnsi="Arial" w:cs="Arial"/>
                <w:color w:val="000000"/>
                <w:sz w:val="22"/>
                <w:szCs w:val="22"/>
              </w:rPr>
              <w:t>90,164</w:t>
            </w:r>
          </w:p>
        </w:tc>
      </w:tr>
      <w:tr w:rsidR="00A32E2B" w:rsidRPr="007F3E76" w14:paraId="75676F13" w14:textId="77777777" w:rsidTr="005E2F77">
        <w:trPr>
          <w:trHeight w:val="300"/>
        </w:trPr>
        <w:tc>
          <w:tcPr>
            <w:tcW w:w="2944" w:type="dxa"/>
            <w:tcBorders>
              <w:top w:val="nil"/>
              <w:left w:val="single" w:sz="8" w:space="0" w:color="auto"/>
              <w:bottom w:val="nil"/>
              <w:right w:val="nil"/>
            </w:tcBorders>
            <w:vAlign w:val="center"/>
            <w:hideMark/>
          </w:tcPr>
          <w:p w14:paraId="415CF041" w14:textId="77777777" w:rsidR="00A32E2B" w:rsidRPr="007F3E76" w:rsidRDefault="00A32E2B" w:rsidP="00A32E2B">
            <w:pPr>
              <w:rPr>
                <w:rFonts w:ascii="Arial" w:hAnsi="Arial" w:cs="Arial"/>
                <w:color w:val="000000"/>
                <w:sz w:val="22"/>
                <w:szCs w:val="22"/>
              </w:rPr>
            </w:pPr>
            <w:r w:rsidRPr="007F3E76">
              <w:rPr>
                <w:rFonts w:ascii="Arial" w:hAnsi="Arial" w:cs="Arial"/>
                <w:color w:val="000000"/>
                <w:sz w:val="22"/>
                <w:szCs w:val="22"/>
              </w:rPr>
              <w:t>£20,001 -   £40,000</w:t>
            </w:r>
          </w:p>
        </w:tc>
        <w:tc>
          <w:tcPr>
            <w:tcW w:w="2126" w:type="dxa"/>
            <w:tcBorders>
              <w:top w:val="nil"/>
              <w:left w:val="nil"/>
              <w:bottom w:val="nil"/>
              <w:right w:val="nil"/>
            </w:tcBorders>
            <w:vAlign w:val="center"/>
            <w:hideMark/>
          </w:tcPr>
          <w:p w14:paraId="2579D29E" w14:textId="50ADBAF1" w:rsidR="00A32E2B" w:rsidRPr="007F3E76" w:rsidRDefault="00A32E2B" w:rsidP="00A32E2B">
            <w:pPr>
              <w:jc w:val="center"/>
              <w:rPr>
                <w:rFonts w:ascii="Arial" w:hAnsi="Arial" w:cs="Arial"/>
                <w:color w:val="000000"/>
                <w:sz w:val="22"/>
                <w:szCs w:val="22"/>
              </w:rPr>
            </w:pPr>
            <w:r w:rsidRPr="007F3E76">
              <w:rPr>
                <w:rFonts w:ascii="Arial" w:hAnsi="Arial" w:cs="Arial"/>
                <w:color w:val="000000"/>
                <w:sz w:val="22"/>
                <w:szCs w:val="22"/>
              </w:rPr>
              <w:t>1</w:t>
            </w:r>
          </w:p>
        </w:tc>
        <w:tc>
          <w:tcPr>
            <w:tcW w:w="1843" w:type="dxa"/>
            <w:tcBorders>
              <w:top w:val="nil"/>
              <w:left w:val="nil"/>
              <w:bottom w:val="nil"/>
              <w:right w:val="nil"/>
            </w:tcBorders>
            <w:vAlign w:val="center"/>
            <w:hideMark/>
          </w:tcPr>
          <w:p w14:paraId="4D91CB8B" w14:textId="33E990CF" w:rsidR="00A32E2B" w:rsidRPr="007F3E76" w:rsidRDefault="00A32E2B" w:rsidP="00A32E2B">
            <w:pPr>
              <w:jc w:val="center"/>
              <w:rPr>
                <w:rFonts w:ascii="Arial" w:hAnsi="Arial" w:cs="Arial"/>
                <w:color w:val="000000"/>
                <w:sz w:val="22"/>
                <w:szCs w:val="22"/>
              </w:rPr>
            </w:pPr>
            <w:r w:rsidRPr="007F3E76" w:rsidDel="001473E1">
              <w:rPr>
                <w:rFonts w:ascii="Arial" w:hAnsi="Arial" w:cs="Arial"/>
                <w:color w:val="000000"/>
                <w:sz w:val="22"/>
                <w:szCs w:val="22"/>
              </w:rPr>
              <w:t>1</w:t>
            </w:r>
          </w:p>
        </w:tc>
        <w:tc>
          <w:tcPr>
            <w:tcW w:w="1787" w:type="dxa"/>
            <w:tcBorders>
              <w:top w:val="nil"/>
              <w:left w:val="nil"/>
              <w:bottom w:val="nil"/>
              <w:right w:val="single" w:sz="8" w:space="0" w:color="auto"/>
            </w:tcBorders>
            <w:vAlign w:val="center"/>
            <w:hideMark/>
          </w:tcPr>
          <w:p w14:paraId="6D3A6CA9" w14:textId="71750A84" w:rsidR="00A32E2B" w:rsidRPr="007F3E76" w:rsidRDefault="00A32E2B" w:rsidP="00A32E2B">
            <w:pPr>
              <w:jc w:val="right"/>
              <w:rPr>
                <w:rFonts w:ascii="Arial" w:hAnsi="Arial" w:cs="Arial"/>
                <w:color w:val="000000"/>
                <w:sz w:val="22"/>
                <w:szCs w:val="22"/>
              </w:rPr>
            </w:pPr>
            <w:r w:rsidRPr="007F3E76">
              <w:rPr>
                <w:rFonts w:ascii="Arial" w:hAnsi="Arial" w:cs="Arial"/>
                <w:color w:val="000000"/>
                <w:sz w:val="22"/>
                <w:szCs w:val="22"/>
              </w:rPr>
              <w:t>£6</w:t>
            </w:r>
            <w:r w:rsidR="003A552E" w:rsidRPr="007F3E76">
              <w:rPr>
                <w:rFonts w:ascii="Arial" w:hAnsi="Arial" w:cs="Arial"/>
                <w:color w:val="000000"/>
                <w:sz w:val="22"/>
                <w:szCs w:val="22"/>
              </w:rPr>
              <w:t>9</w:t>
            </w:r>
            <w:r w:rsidRPr="007F3E76">
              <w:rPr>
                <w:rFonts w:ascii="Arial" w:hAnsi="Arial" w:cs="Arial"/>
                <w:color w:val="000000"/>
                <w:sz w:val="22"/>
                <w:szCs w:val="22"/>
              </w:rPr>
              <w:t>,</w:t>
            </w:r>
            <w:r w:rsidR="003A552E" w:rsidRPr="007F3E76">
              <w:rPr>
                <w:rFonts w:ascii="Arial" w:hAnsi="Arial" w:cs="Arial"/>
                <w:color w:val="000000"/>
                <w:sz w:val="22"/>
                <w:szCs w:val="22"/>
              </w:rPr>
              <w:t>647</w:t>
            </w:r>
          </w:p>
        </w:tc>
      </w:tr>
      <w:tr w:rsidR="00A32E2B" w:rsidRPr="007F3E76" w14:paraId="5B3DFBD3" w14:textId="77777777" w:rsidTr="005E2F77">
        <w:trPr>
          <w:trHeight w:val="300"/>
        </w:trPr>
        <w:tc>
          <w:tcPr>
            <w:tcW w:w="2944" w:type="dxa"/>
            <w:tcBorders>
              <w:top w:val="nil"/>
              <w:left w:val="single" w:sz="8" w:space="0" w:color="auto"/>
              <w:bottom w:val="nil"/>
              <w:right w:val="nil"/>
            </w:tcBorders>
            <w:vAlign w:val="center"/>
            <w:hideMark/>
          </w:tcPr>
          <w:p w14:paraId="1C1D2A75" w14:textId="77777777" w:rsidR="00A32E2B" w:rsidRPr="007F3E76" w:rsidRDefault="00A32E2B" w:rsidP="00A32E2B">
            <w:pPr>
              <w:rPr>
                <w:rFonts w:ascii="Arial" w:hAnsi="Arial" w:cs="Arial"/>
                <w:color w:val="000000"/>
                <w:sz w:val="22"/>
                <w:szCs w:val="22"/>
              </w:rPr>
            </w:pPr>
            <w:r w:rsidRPr="007F3E76">
              <w:rPr>
                <w:rFonts w:ascii="Arial" w:hAnsi="Arial" w:cs="Arial"/>
                <w:color w:val="000000"/>
                <w:sz w:val="22"/>
                <w:szCs w:val="22"/>
              </w:rPr>
              <w:t>£40,001 -   £60,000</w:t>
            </w:r>
          </w:p>
        </w:tc>
        <w:tc>
          <w:tcPr>
            <w:tcW w:w="2126" w:type="dxa"/>
            <w:tcBorders>
              <w:top w:val="nil"/>
              <w:left w:val="nil"/>
              <w:bottom w:val="nil"/>
              <w:right w:val="nil"/>
            </w:tcBorders>
            <w:vAlign w:val="center"/>
            <w:hideMark/>
          </w:tcPr>
          <w:p w14:paraId="25F29C67" w14:textId="442C5226" w:rsidR="00A32E2B" w:rsidRPr="007F3E76" w:rsidRDefault="003A552E" w:rsidP="00A32E2B">
            <w:pPr>
              <w:jc w:val="center"/>
              <w:rPr>
                <w:rFonts w:ascii="Arial" w:hAnsi="Arial" w:cs="Arial"/>
                <w:color w:val="000000"/>
                <w:sz w:val="22"/>
                <w:szCs w:val="22"/>
              </w:rPr>
            </w:pPr>
            <w:r w:rsidRPr="007F3E76">
              <w:rPr>
                <w:rFonts w:ascii="Arial" w:hAnsi="Arial" w:cs="Arial"/>
                <w:color w:val="000000"/>
                <w:sz w:val="22"/>
                <w:szCs w:val="22"/>
              </w:rPr>
              <w:t>0</w:t>
            </w:r>
          </w:p>
        </w:tc>
        <w:tc>
          <w:tcPr>
            <w:tcW w:w="1843" w:type="dxa"/>
            <w:tcBorders>
              <w:top w:val="nil"/>
              <w:left w:val="nil"/>
              <w:bottom w:val="nil"/>
              <w:right w:val="nil"/>
            </w:tcBorders>
            <w:vAlign w:val="center"/>
            <w:hideMark/>
          </w:tcPr>
          <w:p w14:paraId="6766E359" w14:textId="01020EA2" w:rsidR="00A32E2B" w:rsidRPr="007F3E76" w:rsidRDefault="00A32E2B" w:rsidP="00A32E2B">
            <w:pPr>
              <w:jc w:val="center"/>
              <w:rPr>
                <w:rFonts w:ascii="Arial" w:hAnsi="Arial" w:cs="Arial"/>
                <w:color w:val="000000"/>
                <w:sz w:val="22"/>
                <w:szCs w:val="22"/>
              </w:rPr>
            </w:pPr>
            <w:r w:rsidRPr="007F3E76" w:rsidDel="001473E1">
              <w:rPr>
                <w:rFonts w:ascii="Arial" w:hAnsi="Arial" w:cs="Arial"/>
                <w:color w:val="000000"/>
                <w:sz w:val="22"/>
                <w:szCs w:val="22"/>
              </w:rPr>
              <w:t>0</w:t>
            </w:r>
          </w:p>
        </w:tc>
        <w:tc>
          <w:tcPr>
            <w:tcW w:w="1787" w:type="dxa"/>
            <w:tcBorders>
              <w:top w:val="nil"/>
              <w:left w:val="nil"/>
              <w:bottom w:val="nil"/>
              <w:right w:val="single" w:sz="8" w:space="0" w:color="auto"/>
            </w:tcBorders>
            <w:vAlign w:val="center"/>
            <w:hideMark/>
          </w:tcPr>
          <w:p w14:paraId="712CB58E" w14:textId="6B876709" w:rsidR="00A32E2B" w:rsidRPr="007F3E76" w:rsidRDefault="00A32E2B" w:rsidP="00A32E2B">
            <w:pPr>
              <w:jc w:val="right"/>
              <w:rPr>
                <w:rFonts w:ascii="Arial" w:hAnsi="Arial" w:cs="Arial"/>
                <w:color w:val="000000"/>
                <w:sz w:val="22"/>
                <w:szCs w:val="22"/>
              </w:rPr>
            </w:pPr>
            <w:r w:rsidRPr="007F3E76" w:rsidDel="001473E1">
              <w:rPr>
                <w:rFonts w:ascii="Arial" w:hAnsi="Arial" w:cs="Arial"/>
                <w:color w:val="000000"/>
                <w:sz w:val="22"/>
                <w:szCs w:val="22"/>
              </w:rPr>
              <w:t>£</w:t>
            </w:r>
            <w:r w:rsidR="003A552E" w:rsidRPr="007F3E76">
              <w:rPr>
                <w:rFonts w:ascii="Arial" w:hAnsi="Arial" w:cs="Arial"/>
                <w:color w:val="000000"/>
                <w:sz w:val="22"/>
                <w:szCs w:val="22"/>
              </w:rPr>
              <w:t>0</w:t>
            </w:r>
          </w:p>
        </w:tc>
      </w:tr>
      <w:tr w:rsidR="00A32E2B" w:rsidRPr="007F3E76" w14:paraId="243DBBDF" w14:textId="77777777" w:rsidTr="005E2F77">
        <w:trPr>
          <w:trHeight w:val="300"/>
        </w:trPr>
        <w:tc>
          <w:tcPr>
            <w:tcW w:w="2944" w:type="dxa"/>
            <w:tcBorders>
              <w:top w:val="nil"/>
              <w:left w:val="single" w:sz="8" w:space="0" w:color="auto"/>
              <w:bottom w:val="nil"/>
              <w:right w:val="nil"/>
            </w:tcBorders>
            <w:vAlign w:val="center"/>
            <w:hideMark/>
          </w:tcPr>
          <w:p w14:paraId="73F2B593" w14:textId="77777777" w:rsidR="00A32E2B" w:rsidRPr="007F3E76" w:rsidRDefault="00A32E2B" w:rsidP="00A32E2B">
            <w:pPr>
              <w:rPr>
                <w:rFonts w:ascii="Arial" w:hAnsi="Arial" w:cs="Arial"/>
                <w:color w:val="000000"/>
                <w:sz w:val="22"/>
                <w:szCs w:val="22"/>
              </w:rPr>
            </w:pPr>
            <w:r w:rsidRPr="007F3E76">
              <w:rPr>
                <w:rFonts w:ascii="Arial" w:hAnsi="Arial" w:cs="Arial"/>
                <w:color w:val="000000"/>
                <w:sz w:val="22"/>
                <w:szCs w:val="22"/>
              </w:rPr>
              <w:t>£60,001 -   £80,000</w:t>
            </w:r>
          </w:p>
        </w:tc>
        <w:tc>
          <w:tcPr>
            <w:tcW w:w="2126" w:type="dxa"/>
            <w:tcBorders>
              <w:top w:val="nil"/>
              <w:left w:val="nil"/>
              <w:bottom w:val="nil"/>
              <w:right w:val="nil"/>
            </w:tcBorders>
            <w:vAlign w:val="center"/>
            <w:hideMark/>
          </w:tcPr>
          <w:p w14:paraId="412CC622" w14:textId="05BB09C3" w:rsidR="00A32E2B" w:rsidRPr="007F3E76" w:rsidRDefault="003A552E" w:rsidP="00A32E2B">
            <w:pPr>
              <w:jc w:val="center"/>
              <w:rPr>
                <w:rFonts w:ascii="Arial" w:hAnsi="Arial" w:cs="Arial"/>
                <w:color w:val="000000"/>
                <w:sz w:val="22"/>
                <w:szCs w:val="22"/>
              </w:rPr>
            </w:pPr>
            <w:r w:rsidRPr="007F3E76">
              <w:rPr>
                <w:rFonts w:ascii="Arial" w:hAnsi="Arial" w:cs="Arial"/>
                <w:color w:val="000000"/>
                <w:sz w:val="22"/>
                <w:szCs w:val="22"/>
              </w:rPr>
              <w:t>0</w:t>
            </w:r>
          </w:p>
        </w:tc>
        <w:tc>
          <w:tcPr>
            <w:tcW w:w="1843" w:type="dxa"/>
            <w:tcBorders>
              <w:top w:val="nil"/>
              <w:left w:val="nil"/>
              <w:bottom w:val="nil"/>
              <w:right w:val="nil"/>
            </w:tcBorders>
            <w:vAlign w:val="center"/>
            <w:hideMark/>
          </w:tcPr>
          <w:p w14:paraId="6DB9D865" w14:textId="273D0DC5" w:rsidR="00A32E2B" w:rsidRPr="007F3E76" w:rsidRDefault="00A32E2B" w:rsidP="00A32E2B">
            <w:pPr>
              <w:jc w:val="center"/>
              <w:rPr>
                <w:rFonts w:ascii="Arial" w:hAnsi="Arial" w:cs="Arial"/>
                <w:color w:val="000000"/>
                <w:sz w:val="22"/>
                <w:szCs w:val="22"/>
              </w:rPr>
            </w:pPr>
            <w:r w:rsidRPr="007F3E76" w:rsidDel="001473E1">
              <w:rPr>
                <w:rFonts w:ascii="Arial" w:hAnsi="Arial" w:cs="Arial"/>
                <w:color w:val="000000"/>
                <w:sz w:val="22"/>
                <w:szCs w:val="22"/>
              </w:rPr>
              <w:t>0</w:t>
            </w:r>
          </w:p>
        </w:tc>
        <w:tc>
          <w:tcPr>
            <w:tcW w:w="1787" w:type="dxa"/>
            <w:tcBorders>
              <w:top w:val="nil"/>
              <w:left w:val="nil"/>
              <w:bottom w:val="nil"/>
              <w:right w:val="single" w:sz="8" w:space="0" w:color="auto"/>
            </w:tcBorders>
            <w:vAlign w:val="center"/>
            <w:hideMark/>
          </w:tcPr>
          <w:p w14:paraId="0DAF96ED" w14:textId="5A2F0329" w:rsidR="00A32E2B" w:rsidRPr="007F3E76" w:rsidRDefault="00A32E2B" w:rsidP="00A32E2B">
            <w:pPr>
              <w:jc w:val="right"/>
              <w:rPr>
                <w:rFonts w:ascii="Arial" w:hAnsi="Arial" w:cs="Arial"/>
                <w:color w:val="000000"/>
                <w:sz w:val="22"/>
                <w:szCs w:val="22"/>
              </w:rPr>
            </w:pPr>
            <w:r w:rsidRPr="007F3E76">
              <w:rPr>
                <w:rFonts w:ascii="Arial" w:hAnsi="Arial" w:cs="Arial"/>
                <w:color w:val="000000"/>
                <w:sz w:val="22"/>
                <w:szCs w:val="22"/>
              </w:rPr>
              <w:t>£0</w:t>
            </w:r>
          </w:p>
        </w:tc>
      </w:tr>
      <w:tr w:rsidR="006451E4" w:rsidRPr="007F3E76" w14:paraId="28936021" w14:textId="77777777" w:rsidTr="006451E4">
        <w:trPr>
          <w:trHeight w:val="300"/>
        </w:trPr>
        <w:tc>
          <w:tcPr>
            <w:tcW w:w="2944" w:type="dxa"/>
            <w:tcBorders>
              <w:top w:val="nil"/>
              <w:left w:val="single" w:sz="8" w:space="0" w:color="auto"/>
              <w:bottom w:val="nil"/>
              <w:right w:val="nil"/>
            </w:tcBorders>
            <w:vAlign w:val="center"/>
            <w:hideMark/>
          </w:tcPr>
          <w:p w14:paraId="6F5D0F35" w14:textId="77777777" w:rsidR="006451E4" w:rsidRPr="007F3E76" w:rsidRDefault="006451E4">
            <w:pPr>
              <w:rPr>
                <w:rFonts w:ascii="Arial" w:hAnsi="Arial" w:cs="Arial"/>
                <w:color w:val="000000"/>
                <w:sz w:val="22"/>
                <w:szCs w:val="22"/>
              </w:rPr>
            </w:pPr>
            <w:r w:rsidRPr="007F3E76">
              <w:rPr>
                <w:rFonts w:ascii="Arial" w:hAnsi="Arial" w:cs="Arial"/>
                <w:color w:val="000000"/>
                <w:sz w:val="22"/>
                <w:szCs w:val="22"/>
              </w:rPr>
              <w:t>£80,001 -   £100,000</w:t>
            </w:r>
          </w:p>
        </w:tc>
        <w:tc>
          <w:tcPr>
            <w:tcW w:w="2126" w:type="dxa"/>
            <w:tcBorders>
              <w:top w:val="nil"/>
              <w:left w:val="nil"/>
              <w:bottom w:val="nil"/>
              <w:right w:val="nil"/>
            </w:tcBorders>
            <w:vAlign w:val="center"/>
            <w:hideMark/>
          </w:tcPr>
          <w:p w14:paraId="601D631B" w14:textId="77777777" w:rsidR="006451E4" w:rsidRPr="007F3E76" w:rsidRDefault="006451E4">
            <w:pPr>
              <w:jc w:val="center"/>
              <w:rPr>
                <w:rFonts w:ascii="Arial" w:hAnsi="Arial" w:cs="Arial"/>
                <w:color w:val="000000"/>
                <w:sz w:val="22"/>
                <w:szCs w:val="22"/>
              </w:rPr>
            </w:pPr>
            <w:r w:rsidRPr="007F3E76">
              <w:rPr>
                <w:rFonts w:ascii="Arial" w:hAnsi="Arial" w:cs="Arial"/>
                <w:color w:val="000000"/>
                <w:sz w:val="22"/>
                <w:szCs w:val="22"/>
              </w:rPr>
              <w:t>0</w:t>
            </w:r>
          </w:p>
        </w:tc>
        <w:tc>
          <w:tcPr>
            <w:tcW w:w="1843" w:type="dxa"/>
            <w:tcBorders>
              <w:top w:val="nil"/>
              <w:left w:val="nil"/>
              <w:bottom w:val="nil"/>
              <w:right w:val="nil"/>
            </w:tcBorders>
            <w:vAlign w:val="center"/>
            <w:hideMark/>
          </w:tcPr>
          <w:p w14:paraId="626FF094" w14:textId="77777777" w:rsidR="006451E4" w:rsidRPr="007F3E76" w:rsidRDefault="006451E4">
            <w:pPr>
              <w:jc w:val="center"/>
              <w:rPr>
                <w:rFonts w:ascii="Arial" w:hAnsi="Arial" w:cs="Arial"/>
                <w:color w:val="000000"/>
                <w:sz w:val="22"/>
                <w:szCs w:val="22"/>
              </w:rPr>
            </w:pPr>
            <w:r w:rsidRPr="007F3E76">
              <w:rPr>
                <w:rFonts w:ascii="Arial" w:hAnsi="Arial" w:cs="Arial"/>
                <w:color w:val="000000"/>
                <w:sz w:val="22"/>
                <w:szCs w:val="22"/>
              </w:rPr>
              <w:t>0</w:t>
            </w:r>
          </w:p>
        </w:tc>
        <w:tc>
          <w:tcPr>
            <w:tcW w:w="1787" w:type="dxa"/>
            <w:tcBorders>
              <w:top w:val="nil"/>
              <w:left w:val="nil"/>
              <w:bottom w:val="nil"/>
              <w:right w:val="single" w:sz="8" w:space="0" w:color="auto"/>
            </w:tcBorders>
            <w:vAlign w:val="center"/>
            <w:hideMark/>
          </w:tcPr>
          <w:p w14:paraId="7B6D3B93" w14:textId="77777777" w:rsidR="006451E4" w:rsidRPr="007F3E76" w:rsidRDefault="006451E4">
            <w:pPr>
              <w:jc w:val="right"/>
              <w:rPr>
                <w:rFonts w:ascii="Arial" w:hAnsi="Arial" w:cs="Arial"/>
                <w:color w:val="000000"/>
                <w:sz w:val="22"/>
                <w:szCs w:val="22"/>
              </w:rPr>
            </w:pPr>
            <w:r w:rsidRPr="007F3E76">
              <w:rPr>
                <w:rFonts w:ascii="Arial" w:hAnsi="Arial" w:cs="Arial"/>
                <w:color w:val="000000"/>
                <w:sz w:val="22"/>
                <w:szCs w:val="22"/>
              </w:rPr>
              <w:t>£0</w:t>
            </w:r>
          </w:p>
        </w:tc>
      </w:tr>
      <w:tr w:rsidR="006451E4" w:rsidRPr="007F3E76" w14:paraId="601F05F0" w14:textId="77777777" w:rsidTr="006451E4">
        <w:trPr>
          <w:trHeight w:val="300"/>
        </w:trPr>
        <w:tc>
          <w:tcPr>
            <w:tcW w:w="2944" w:type="dxa"/>
            <w:tcBorders>
              <w:top w:val="nil"/>
              <w:left w:val="single" w:sz="8" w:space="0" w:color="auto"/>
              <w:bottom w:val="nil"/>
              <w:right w:val="nil"/>
            </w:tcBorders>
            <w:vAlign w:val="center"/>
            <w:hideMark/>
          </w:tcPr>
          <w:p w14:paraId="38DB90DB" w14:textId="77777777" w:rsidR="006451E4" w:rsidRPr="007F3E76" w:rsidRDefault="006451E4">
            <w:pPr>
              <w:rPr>
                <w:rFonts w:ascii="Arial" w:hAnsi="Arial" w:cs="Arial"/>
                <w:color w:val="000000"/>
                <w:sz w:val="22"/>
                <w:szCs w:val="22"/>
              </w:rPr>
            </w:pPr>
            <w:r w:rsidRPr="007F3E76">
              <w:rPr>
                <w:rFonts w:ascii="Arial" w:hAnsi="Arial" w:cs="Arial"/>
                <w:color w:val="000000"/>
                <w:sz w:val="22"/>
                <w:szCs w:val="22"/>
              </w:rPr>
              <w:t>£100,001 -   £150,000</w:t>
            </w:r>
          </w:p>
        </w:tc>
        <w:tc>
          <w:tcPr>
            <w:tcW w:w="2126" w:type="dxa"/>
            <w:tcBorders>
              <w:top w:val="nil"/>
              <w:left w:val="nil"/>
              <w:bottom w:val="nil"/>
              <w:right w:val="nil"/>
            </w:tcBorders>
            <w:vAlign w:val="center"/>
            <w:hideMark/>
          </w:tcPr>
          <w:p w14:paraId="5A50E43E" w14:textId="77777777" w:rsidR="006451E4" w:rsidRPr="007F3E76" w:rsidRDefault="006451E4">
            <w:pPr>
              <w:jc w:val="center"/>
              <w:rPr>
                <w:rFonts w:ascii="Arial" w:hAnsi="Arial" w:cs="Arial"/>
                <w:color w:val="000000"/>
                <w:sz w:val="22"/>
                <w:szCs w:val="22"/>
              </w:rPr>
            </w:pPr>
            <w:r w:rsidRPr="007F3E76">
              <w:rPr>
                <w:rFonts w:ascii="Arial" w:hAnsi="Arial" w:cs="Arial"/>
                <w:color w:val="000000"/>
                <w:sz w:val="22"/>
                <w:szCs w:val="22"/>
              </w:rPr>
              <w:t>0</w:t>
            </w:r>
          </w:p>
        </w:tc>
        <w:tc>
          <w:tcPr>
            <w:tcW w:w="1843" w:type="dxa"/>
            <w:tcBorders>
              <w:top w:val="nil"/>
              <w:left w:val="nil"/>
              <w:bottom w:val="nil"/>
              <w:right w:val="nil"/>
            </w:tcBorders>
            <w:vAlign w:val="center"/>
            <w:hideMark/>
          </w:tcPr>
          <w:p w14:paraId="6C5111B0" w14:textId="77777777" w:rsidR="006451E4" w:rsidRPr="007F3E76" w:rsidRDefault="006451E4">
            <w:pPr>
              <w:jc w:val="center"/>
              <w:rPr>
                <w:rFonts w:ascii="Arial" w:hAnsi="Arial" w:cs="Arial"/>
                <w:color w:val="000000"/>
                <w:sz w:val="22"/>
                <w:szCs w:val="22"/>
              </w:rPr>
            </w:pPr>
            <w:r w:rsidRPr="007F3E76">
              <w:rPr>
                <w:rFonts w:ascii="Arial" w:hAnsi="Arial" w:cs="Arial"/>
                <w:color w:val="000000"/>
                <w:sz w:val="22"/>
                <w:szCs w:val="22"/>
              </w:rPr>
              <w:t>0</w:t>
            </w:r>
          </w:p>
        </w:tc>
        <w:tc>
          <w:tcPr>
            <w:tcW w:w="1787" w:type="dxa"/>
            <w:tcBorders>
              <w:top w:val="nil"/>
              <w:left w:val="nil"/>
              <w:bottom w:val="nil"/>
              <w:right w:val="single" w:sz="8" w:space="0" w:color="auto"/>
            </w:tcBorders>
            <w:vAlign w:val="center"/>
            <w:hideMark/>
          </w:tcPr>
          <w:p w14:paraId="7D206DBE" w14:textId="77777777" w:rsidR="006451E4" w:rsidRPr="007F3E76" w:rsidRDefault="006451E4">
            <w:pPr>
              <w:jc w:val="right"/>
              <w:rPr>
                <w:rFonts w:ascii="Arial" w:hAnsi="Arial" w:cs="Arial"/>
                <w:color w:val="000000"/>
                <w:sz w:val="22"/>
                <w:szCs w:val="22"/>
              </w:rPr>
            </w:pPr>
            <w:r w:rsidRPr="007F3E76">
              <w:rPr>
                <w:rFonts w:ascii="Arial" w:hAnsi="Arial" w:cs="Arial"/>
                <w:color w:val="000000"/>
                <w:sz w:val="22"/>
                <w:szCs w:val="22"/>
              </w:rPr>
              <w:t>£0</w:t>
            </w:r>
          </w:p>
        </w:tc>
      </w:tr>
      <w:tr w:rsidR="006451E4" w:rsidRPr="007F3E76" w14:paraId="6E0C6769" w14:textId="77777777" w:rsidTr="006451E4">
        <w:trPr>
          <w:trHeight w:val="315"/>
        </w:trPr>
        <w:tc>
          <w:tcPr>
            <w:tcW w:w="2944" w:type="dxa"/>
            <w:tcBorders>
              <w:top w:val="nil"/>
              <w:left w:val="single" w:sz="8" w:space="0" w:color="auto"/>
              <w:bottom w:val="nil"/>
              <w:right w:val="nil"/>
            </w:tcBorders>
            <w:vAlign w:val="center"/>
            <w:hideMark/>
          </w:tcPr>
          <w:p w14:paraId="2133A207" w14:textId="77777777" w:rsidR="006451E4" w:rsidRPr="007F3E76" w:rsidRDefault="006451E4">
            <w:pPr>
              <w:rPr>
                <w:rFonts w:ascii="Arial" w:hAnsi="Arial" w:cs="Arial"/>
                <w:color w:val="000000"/>
                <w:sz w:val="22"/>
                <w:szCs w:val="22"/>
              </w:rPr>
            </w:pPr>
            <w:r w:rsidRPr="007F3E76">
              <w:rPr>
                <w:rFonts w:ascii="Arial" w:hAnsi="Arial" w:cs="Arial"/>
                <w:color w:val="000000"/>
                <w:sz w:val="22"/>
                <w:szCs w:val="22"/>
              </w:rPr>
              <w:t>£150,001 -   £200,000</w:t>
            </w:r>
          </w:p>
        </w:tc>
        <w:tc>
          <w:tcPr>
            <w:tcW w:w="2126" w:type="dxa"/>
            <w:tcBorders>
              <w:top w:val="nil"/>
              <w:left w:val="nil"/>
              <w:bottom w:val="single" w:sz="8" w:space="0" w:color="auto"/>
              <w:right w:val="nil"/>
            </w:tcBorders>
            <w:vAlign w:val="center"/>
            <w:hideMark/>
          </w:tcPr>
          <w:p w14:paraId="54DBB837" w14:textId="77777777" w:rsidR="006451E4" w:rsidRPr="007F3E76" w:rsidRDefault="006451E4">
            <w:pPr>
              <w:jc w:val="center"/>
              <w:rPr>
                <w:rFonts w:ascii="Arial" w:hAnsi="Arial" w:cs="Arial"/>
                <w:color w:val="000000"/>
                <w:sz w:val="22"/>
                <w:szCs w:val="22"/>
              </w:rPr>
            </w:pPr>
            <w:r w:rsidRPr="007F3E76">
              <w:rPr>
                <w:rFonts w:ascii="Arial" w:hAnsi="Arial" w:cs="Arial"/>
                <w:color w:val="000000"/>
                <w:sz w:val="22"/>
                <w:szCs w:val="22"/>
              </w:rPr>
              <w:t>0</w:t>
            </w:r>
          </w:p>
        </w:tc>
        <w:tc>
          <w:tcPr>
            <w:tcW w:w="1843" w:type="dxa"/>
            <w:tcBorders>
              <w:top w:val="nil"/>
              <w:left w:val="nil"/>
              <w:bottom w:val="single" w:sz="8" w:space="0" w:color="auto"/>
              <w:right w:val="nil"/>
            </w:tcBorders>
            <w:vAlign w:val="center"/>
            <w:hideMark/>
          </w:tcPr>
          <w:p w14:paraId="0C36EF60" w14:textId="77777777" w:rsidR="006451E4" w:rsidRPr="007F3E76" w:rsidRDefault="006451E4">
            <w:pPr>
              <w:jc w:val="center"/>
              <w:rPr>
                <w:rFonts w:ascii="Arial" w:hAnsi="Arial" w:cs="Arial"/>
                <w:color w:val="000000"/>
                <w:sz w:val="22"/>
                <w:szCs w:val="22"/>
              </w:rPr>
            </w:pPr>
            <w:r w:rsidRPr="007F3E76">
              <w:rPr>
                <w:rFonts w:ascii="Arial" w:hAnsi="Arial" w:cs="Arial"/>
                <w:color w:val="000000"/>
                <w:sz w:val="22"/>
                <w:szCs w:val="22"/>
              </w:rPr>
              <w:t>0</w:t>
            </w:r>
          </w:p>
        </w:tc>
        <w:tc>
          <w:tcPr>
            <w:tcW w:w="1787" w:type="dxa"/>
            <w:tcBorders>
              <w:top w:val="nil"/>
              <w:left w:val="nil"/>
              <w:bottom w:val="single" w:sz="8" w:space="0" w:color="auto"/>
              <w:right w:val="single" w:sz="8" w:space="0" w:color="auto"/>
            </w:tcBorders>
            <w:vAlign w:val="center"/>
            <w:hideMark/>
          </w:tcPr>
          <w:p w14:paraId="3289DDBD" w14:textId="77777777" w:rsidR="006451E4" w:rsidRPr="007F3E76" w:rsidRDefault="006451E4">
            <w:pPr>
              <w:jc w:val="right"/>
              <w:rPr>
                <w:rFonts w:ascii="Arial" w:hAnsi="Arial" w:cs="Arial"/>
                <w:color w:val="000000"/>
                <w:sz w:val="22"/>
                <w:szCs w:val="22"/>
              </w:rPr>
            </w:pPr>
            <w:r w:rsidRPr="007F3E76">
              <w:rPr>
                <w:rFonts w:ascii="Arial" w:hAnsi="Arial" w:cs="Arial"/>
                <w:color w:val="000000"/>
                <w:sz w:val="22"/>
                <w:szCs w:val="22"/>
              </w:rPr>
              <w:t>£0</w:t>
            </w:r>
          </w:p>
        </w:tc>
      </w:tr>
      <w:tr w:rsidR="006451E4" w:rsidRPr="007F3E76" w14:paraId="0BF4A465" w14:textId="77777777" w:rsidTr="006451E4">
        <w:trPr>
          <w:trHeight w:val="315"/>
        </w:trPr>
        <w:tc>
          <w:tcPr>
            <w:tcW w:w="2944" w:type="dxa"/>
            <w:tcBorders>
              <w:top w:val="nil"/>
              <w:left w:val="single" w:sz="8" w:space="0" w:color="auto"/>
              <w:bottom w:val="single" w:sz="8" w:space="0" w:color="auto"/>
              <w:right w:val="nil"/>
            </w:tcBorders>
            <w:vAlign w:val="center"/>
            <w:hideMark/>
          </w:tcPr>
          <w:p w14:paraId="6CE8197C" w14:textId="77777777" w:rsidR="006451E4" w:rsidRPr="007F3E76" w:rsidRDefault="006451E4">
            <w:pPr>
              <w:rPr>
                <w:rFonts w:ascii="Arial" w:hAnsi="Arial" w:cs="Arial"/>
                <w:color w:val="000000"/>
                <w:sz w:val="22"/>
                <w:szCs w:val="22"/>
              </w:rPr>
            </w:pPr>
            <w:r w:rsidRPr="007F3E76">
              <w:rPr>
                <w:rFonts w:ascii="Arial" w:hAnsi="Arial" w:cs="Arial"/>
                <w:color w:val="000000"/>
                <w:sz w:val="22"/>
                <w:szCs w:val="22"/>
              </w:rPr>
              <w:t xml:space="preserve">Total </w:t>
            </w:r>
          </w:p>
        </w:tc>
        <w:tc>
          <w:tcPr>
            <w:tcW w:w="2126" w:type="dxa"/>
            <w:tcBorders>
              <w:top w:val="nil"/>
              <w:left w:val="nil"/>
              <w:bottom w:val="single" w:sz="8" w:space="0" w:color="auto"/>
              <w:right w:val="nil"/>
            </w:tcBorders>
            <w:vAlign w:val="center"/>
            <w:hideMark/>
          </w:tcPr>
          <w:p w14:paraId="1F268B15" w14:textId="325600B6" w:rsidR="006451E4" w:rsidRPr="007F3E76" w:rsidRDefault="003A552E">
            <w:pPr>
              <w:jc w:val="center"/>
              <w:rPr>
                <w:rFonts w:ascii="Arial" w:hAnsi="Arial" w:cs="Arial"/>
                <w:color w:val="000000"/>
                <w:sz w:val="22"/>
                <w:szCs w:val="22"/>
              </w:rPr>
            </w:pPr>
            <w:r w:rsidRPr="007F3E76">
              <w:rPr>
                <w:rFonts w:ascii="Arial" w:hAnsi="Arial" w:cs="Arial"/>
                <w:color w:val="000000"/>
                <w:sz w:val="22"/>
                <w:szCs w:val="22"/>
              </w:rPr>
              <w:t>2</w:t>
            </w:r>
          </w:p>
        </w:tc>
        <w:tc>
          <w:tcPr>
            <w:tcW w:w="1843" w:type="dxa"/>
            <w:tcBorders>
              <w:top w:val="nil"/>
              <w:left w:val="nil"/>
              <w:bottom w:val="single" w:sz="8" w:space="0" w:color="auto"/>
              <w:right w:val="nil"/>
            </w:tcBorders>
            <w:vAlign w:val="center"/>
            <w:hideMark/>
          </w:tcPr>
          <w:p w14:paraId="24B260CC" w14:textId="5A4D4C6C" w:rsidR="006451E4" w:rsidRPr="007F3E76" w:rsidRDefault="003A552E">
            <w:pPr>
              <w:jc w:val="center"/>
              <w:rPr>
                <w:rFonts w:ascii="Arial" w:hAnsi="Arial" w:cs="Arial"/>
                <w:color w:val="000000"/>
                <w:sz w:val="22"/>
                <w:szCs w:val="22"/>
              </w:rPr>
            </w:pPr>
            <w:r w:rsidRPr="007F3E76">
              <w:rPr>
                <w:rFonts w:ascii="Arial" w:hAnsi="Arial" w:cs="Arial"/>
                <w:color w:val="000000"/>
                <w:sz w:val="22"/>
                <w:szCs w:val="22"/>
              </w:rPr>
              <w:t>12</w:t>
            </w:r>
          </w:p>
        </w:tc>
        <w:tc>
          <w:tcPr>
            <w:tcW w:w="1787" w:type="dxa"/>
            <w:tcBorders>
              <w:top w:val="nil"/>
              <w:left w:val="nil"/>
              <w:bottom w:val="single" w:sz="8" w:space="0" w:color="auto"/>
              <w:right w:val="single" w:sz="8" w:space="0" w:color="auto"/>
            </w:tcBorders>
            <w:vAlign w:val="center"/>
            <w:hideMark/>
          </w:tcPr>
          <w:p w14:paraId="6A38467A" w14:textId="47DEDFC4" w:rsidR="006451E4" w:rsidRPr="007F3E76" w:rsidRDefault="006451E4">
            <w:pPr>
              <w:jc w:val="right"/>
              <w:rPr>
                <w:rFonts w:ascii="Arial" w:hAnsi="Arial" w:cs="Arial"/>
                <w:color w:val="000000"/>
                <w:sz w:val="22"/>
                <w:szCs w:val="22"/>
              </w:rPr>
            </w:pPr>
            <w:r w:rsidRPr="007F3E76">
              <w:rPr>
                <w:rFonts w:ascii="Arial" w:hAnsi="Arial" w:cs="Arial"/>
                <w:color w:val="000000"/>
                <w:sz w:val="22"/>
                <w:szCs w:val="22"/>
              </w:rPr>
              <w:t>£</w:t>
            </w:r>
            <w:r w:rsidR="003A552E" w:rsidRPr="007F3E76">
              <w:rPr>
                <w:rFonts w:ascii="Arial" w:hAnsi="Arial" w:cs="Arial"/>
                <w:color w:val="000000"/>
                <w:sz w:val="22"/>
                <w:szCs w:val="22"/>
              </w:rPr>
              <w:t>159</w:t>
            </w:r>
            <w:r w:rsidRPr="007F3E76">
              <w:rPr>
                <w:rFonts w:ascii="Arial" w:hAnsi="Arial" w:cs="Arial"/>
                <w:color w:val="000000"/>
                <w:sz w:val="22"/>
                <w:szCs w:val="22"/>
              </w:rPr>
              <w:t>,</w:t>
            </w:r>
            <w:r w:rsidR="003A552E" w:rsidRPr="007F3E76">
              <w:rPr>
                <w:rFonts w:ascii="Arial" w:hAnsi="Arial" w:cs="Arial"/>
                <w:color w:val="000000"/>
                <w:sz w:val="22"/>
                <w:szCs w:val="22"/>
              </w:rPr>
              <w:t>810</w:t>
            </w:r>
          </w:p>
        </w:tc>
      </w:tr>
    </w:tbl>
    <w:p w14:paraId="32F8BE93" w14:textId="77777777" w:rsidR="00A32E2B" w:rsidRPr="007F3E76" w:rsidRDefault="00A32E2B" w:rsidP="003B74DA">
      <w:pPr>
        <w:tabs>
          <w:tab w:val="left" w:pos="426"/>
        </w:tabs>
        <w:ind w:left="426"/>
        <w:rPr>
          <w:rFonts w:ascii="Arial" w:hAnsi="Arial"/>
          <w:sz w:val="22"/>
          <w:szCs w:val="22"/>
        </w:rPr>
      </w:pPr>
    </w:p>
    <w:p w14:paraId="354FB061" w14:textId="1F3AC182" w:rsidR="00C34C2B" w:rsidRPr="007F3E76" w:rsidRDefault="00C34C2B" w:rsidP="003B74DA">
      <w:pPr>
        <w:tabs>
          <w:tab w:val="left" w:pos="426"/>
        </w:tabs>
        <w:ind w:left="426"/>
        <w:rPr>
          <w:rFonts w:ascii="Arial" w:hAnsi="Arial"/>
          <w:sz w:val="22"/>
          <w:szCs w:val="22"/>
        </w:rPr>
      </w:pPr>
      <w:r w:rsidRPr="007F3E76">
        <w:rPr>
          <w:rFonts w:ascii="Arial" w:hAnsi="Arial"/>
          <w:sz w:val="22"/>
          <w:szCs w:val="22"/>
        </w:rPr>
        <w:t>P</w:t>
      </w:r>
      <w:r w:rsidR="00600E93" w:rsidRPr="007F3E76">
        <w:rPr>
          <w:rFonts w:ascii="Arial" w:hAnsi="Arial"/>
          <w:sz w:val="22"/>
          <w:szCs w:val="22"/>
        </w:rPr>
        <w:t>C</w:t>
      </w:r>
      <w:r w:rsidRPr="007F3E76">
        <w:rPr>
          <w:rFonts w:ascii="Arial" w:hAnsi="Arial"/>
          <w:sz w:val="22"/>
          <w:szCs w:val="22"/>
        </w:rPr>
        <w:t>C</w:t>
      </w:r>
      <w:r w:rsidR="00E71785" w:rsidRPr="007F3E76">
        <w:rPr>
          <w:rFonts w:ascii="Arial" w:hAnsi="Arial"/>
          <w:sz w:val="22"/>
          <w:szCs w:val="22"/>
        </w:rPr>
        <w:t xml:space="preserve"> only</w:t>
      </w:r>
      <w:r w:rsidRPr="007F3E76">
        <w:rPr>
          <w:rFonts w:ascii="Arial" w:hAnsi="Arial"/>
          <w:sz w:val="22"/>
          <w:szCs w:val="22"/>
        </w:rPr>
        <w:t>:</w:t>
      </w:r>
    </w:p>
    <w:p w14:paraId="722FA2D0" w14:textId="77777777" w:rsidR="00C34C2B" w:rsidRPr="007F3E76" w:rsidRDefault="00C34C2B" w:rsidP="003B74DA">
      <w:pPr>
        <w:tabs>
          <w:tab w:val="left" w:pos="426"/>
        </w:tabs>
        <w:ind w:left="426"/>
        <w:rPr>
          <w:rFonts w:ascii="Arial" w:hAnsi="Arial"/>
          <w:sz w:val="16"/>
          <w:szCs w:val="16"/>
        </w:rPr>
      </w:pPr>
    </w:p>
    <w:tbl>
      <w:tblPr>
        <w:tblW w:w="10206" w:type="dxa"/>
        <w:jc w:val="center"/>
        <w:tblCellMar>
          <w:top w:w="15" w:type="dxa"/>
          <w:bottom w:w="15" w:type="dxa"/>
        </w:tblCellMar>
        <w:tblLook w:val="04A0" w:firstRow="1" w:lastRow="0" w:firstColumn="1" w:lastColumn="0" w:noHBand="0" w:noVBand="1"/>
      </w:tblPr>
      <w:tblGrid>
        <w:gridCol w:w="4435"/>
        <w:gridCol w:w="2205"/>
        <w:gridCol w:w="1666"/>
        <w:gridCol w:w="1900"/>
      </w:tblGrid>
      <w:tr w:rsidR="001177EC" w:rsidRPr="007F3E76" w14:paraId="594F5030" w14:textId="77777777" w:rsidTr="008F4DC5">
        <w:trPr>
          <w:trHeight w:val="900"/>
          <w:jc w:val="center"/>
        </w:trPr>
        <w:tc>
          <w:tcPr>
            <w:tcW w:w="4435" w:type="dxa"/>
            <w:tcBorders>
              <w:top w:val="single" w:sz="8" w:space="0" w:color="auto"/>
              <w:left w:val="single" w:sz="8" w:space="0" w:color="auto"/>
              <w:bottom w:val="nil"/>
              <w:right w:val="nil"/>
            </w:tcBorders>
            <w:vAlign w:val="center"/>
            <w:hideMark/>
          </w:tcPr>
          <w:p w14:paraId="7CADB821" w14:textId="77777777" w:rsidR="001177EC" w:rsidRPr="007F3E76" w:rsidRDefault="001177EC" w:rsidP="001177EC">
            <w:pPr>
              <w:rPr>
                <w:rFonts w:ascii="Arial" w:hAnsi="Arial" w:cs="Arial"/>
                <w:b/>
                <w:bCs/>
                <w:color w:val="000000"/>
                <w:sz w:val="22"/>
                <w:szCs w:val="22"/>
              </w:rPr>
            </w:pPr>
            <w:r w:rsidRPr="007F3E76">
              <w:rPr>
                <w:rFonts w:ascii="Arial" w:hAnsi="Arial" w:cs="Arial"/>
                <w:b/>
                <w:bCs/>
                <w:color w:val="000000"/>
                <w:sz w:val="22"/>
                <w:szCs w:val="22"/>
              </w:rPr>
              <w:t>Bandings</w:t>
            </w:r>
          </w:p>
        </w:tc>
        <w:tc>
          <w:tcPr>
            <w:tcW w:w="2205" w:type="dxa"/>
            <w:tcBorders>
              <w:top w:val="single" w:sz="8" w:space="0" w:color="auto"/>
              <w:left w:val="nil"/>
              <w:bottom w:val="nil"/>
              <w:right w:val="nil"/>
            </w:tcBorders>
            <w:vAlign w:val="center"/>
            <w:hideMark/>
          </w:tcPr>
          <w:p w14:paraId="2F7DB85C" w14:textId="77777777" w:rsidR="001177EC" w:rsidRPr="007F3E76" w:rsidRDefault="001177EC" w:rsidP="001177EC">
            <w:pPr>
              <w:jc w:val="center"/>
              <w:rPr>
                <w:rFonts w:ascii="Arial" w:hAnsi="Arial" w:cs="Arial"/>
                <w:b/>
                <w:bCs/>
                <w:color w:val="000000"/>
                <w:sz w:val="22"/>
                <w:szCs w:val="22"/>
              </w:rPr>
            </w:pPr>
            <w:r w:rsidRPr="007F3E76">
              <w:rPr>
                <w:rFonts w:ascii="Arial" w:hAnsi="Arial" w:cs="Arial"/>
                <w:b/>
                <w:bCs/>
                <w:color w:val="000000"/>
                <w:sz w:val="22"/>
                <w:szCs w:val="22"/>
              </w:rPr>
              <w:t>Number of Compulsory Redundancies</w:t>
            </w:r>
          </w:p>
        </w:tc>
        <w:tc>
          <w:tcPr>
            <w:tcW w:w="1666" w:type="dxa"/>
            <w:tcBorders>
              <w:top w:val="single" w:sz="8" w:space="0" w:color="auto"/>
              <w:left w:val="nil"/>
              <w:bottom w:val="nil"/>
              <w:right w:val="nil"/>
            </w:tcBorders>
            <w:vAlign w:val="center"/>
            <w:hideMark/>
          </w:tcPr>
          <w:p w14:paraId="05166A55" w14:textId="77777777" w:rsidR="001177EC" w:rsidRPr="007F3E76" w:rsidRDefault="001177EC" w:rsidP="001177EC">
            <w:pPr>
              <w:jc w:val="center"/>
              <w:rPr>
                <w:rFonts w:ascii="Arial" w:hAnsi="Arial" w:cs="Arial"/>
                <w:b/>
                <w:bCs/>
                <w:color w:val="000000"/>
                <w:sz w:val="22"/>
                <w:szCs w:val="22"/>
              </w:rPr>
            </w:pPr>
            <w:r w:rsidRPr="007F3E76">
              <w:rPr>
                <w:rFonts w:ascii="Arial" w:hAnsi="Arial" w:cs="Arial"/>
                <w:b/>
                <w:bCs/>
                <w:color w:val="000000"/>
                <w:sz w:val="22"/>
                <w:szCs w:val="22"/>
              </w:rPr>
              <w:t>Number of Other Departures</w:t>
            </w:r>
          </w:p>
        </w:tc>
        <w:tc>
          <w:tcPr>
            <w:tcW w:w="1900" w:type="dxa"/>
            <w:tcBorders>
              <w:top w:val="single" w:sz="8" w:space="0" w:color="auto"/>
              <w:left w:val="nil"/>
              <w:bottom w:val="nil"/>
              <w:right w:val="single" w:sz="8" w:space="0" w:color="auto"/>
            </w:tcBorders>
            <w:vAlign w:val="center"/>
            <w:hideMark/>
          </w:tcPr>
          <w:p w14:paraId="47F9E83D" w14:textId="77777777" w:rsidR="001177EC" w:rsidRPr="007F3E76" w:rsidRDefault="001177EC" w:rsidP="001177EC">
            <w:pPr>
              <w:jc w:val="right"/>
              <w:rPr>
                <w:rFonts w:ascii="Arial" w:hAnsi="Arial" w:cs="Arial"/>
                <w:b/>
                <w:bCs/>
                <w:color w:val="000000"/>
                <w:sz w:val="22"/>
                <w:szCs w:val="22"/>
              </w:rPr>
            </w:pPr>
            <w:r w:rsidRPr="007F3E76">
              <w:rPr>
                <w:rFonts w:ascii="Arial" w:hAnsi="Arial" w:cs="Arial"/>
                <w:b/>
                <w:bCs/>
                <w:color w:val="000000"/>
                <w:sz w:val="22"/>
                <w:szCs w:val="22"/>
              </w:rPr>
              <w:t>Total cost of exit packages in each band</w:t>
            </w:r>
          </w:p>
        </w:tc>
      </w:tr>
      <w:tr w:rsidR="001177EC" w:rsidRPr="007F3E76" w14:paraId="4D7B4E5B" w14:textId="77777777" w:rsidTr="008F4DC5">
        <w:trPr>
          <w:trHeight w:val="300"/>
          <w:jc w:val="center"/>
        </w:trPr>
        <w:tc>
          <w:tcPr>
            <w:tcW w:w="4435" w:type="dxa"/>
            <w:tcBorders>
              <w:top w:val="nil"/>
              <w:left w:val="single" w:sz="8" w:space="0" w:color="auto"/>
              <w:bottom w:val="nil"/>
              <w:right w:val="nil"/>
            </w:tcBorders>
            <w:vAlign w:val="center"/>
            <w:hideMark/>
          </w:tcPr>
          <w:p w14:paraId="52C42E15" w14:textId="1E335E86" w:rsidR="001177EC" w:rsidRPr="007F3E76" w:rsidRDefault="001177EC" w:rsidP="001177EC">
            <w:pPr>
              <w:rPr>
                <w:rFonts w:ascii="Arial" w:hAnsi="Arial" w:cs="Arial"/>
                <w:color w:val="000000"/>
                <w:sz w:val="22"/>
                <w:szCs w:val="22"/>
              </w:rPr>
            </w:pPr>
            <w:r w:rsidRPr="007F3E76">
              <w:rPr>
                <w:rFonts w:ascii="Arial" w:hAnsi="Arial" w:cs="Arial"/>
                <w:color w:val="000000"/>
                <w:sz w:val="22"/>
                <w:szCs w:val="22"/>
              </w:rPr>
              <w:t>£0 - £20,000</w:t>
            </w:r>
          </w:p>
        </w:tc>
        <w:tc>
          <w:tcPr>
            <w:tcW w:w="2205" w:type="dxa"/>
            <w:tcBorders>
              <w:top w:val="nil"/>
              <w:left w:val="nil"/>
              <w:bottom w:val="nil"/>
              <w:right w:val="nil"/>
            </w:tcBorders>
            <w:vAlign w:val="center"/>
            <w:hideMark/>
          </w:tcPr>
          <w:p w14:paraId="4B28C401" w14:textId="1D628CC9" w:rsidR="001177EC" w:rsidRPr="007F3E76" w:rsidRDefault="008F4DC5"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vAlign w:val="center"/>
            <w:hideMark/>
          </w:tcPr>
          <w:p w14:paraId="75F4352C" w14:textId="1E453C69" w:rsidR="001177EC" w:rsidRPr="007F3E76" w:rsidRDefault="008F4DC5" w:rsidP="001177EC">
            <w:pPr>
              <w:jc w:val="center"/>
              <w:rPr>
                <w:rFonts w:ascii="Arial" w:hAnsi="Arial" w:cs="Arial"/>
                <w:color w:val="000000"/>
                <w:sz w:val="22"/>
                <w:szCs w:val="22"/>
              </w:rPr>
            </w:pPr>
            <w:r w:rsidRPr="007F3E76">
              <w:rPr>
                <w:rFonts w:ascii="Arial" w:hAnsi="Arial" w:cs="Arial"/>
                <w:color w:val="000000"/>
                <w:sz w:val="22"/>
                <w:szCs w:val="22"/>
              </w:rPr>
              <w:t>1</w:t>
            </w:r>
          </w:p>
        </w:tc>
        <w:tc>
          <w:tcPr>
            <w:tcW w:w="1900" w:type="dxa"/>
            <w:tcBorders>
              <w:top w:val="nil"/>
              <w:left w:val="nil"/>
              <w:bottom w:val="nil"/>
              <w:right w:val="single" w:sz="8" w:space="0" w:color="auto"/>
            </w:tcBorders>
            <w:vAlign w:val="center"/>
            <w:hideMark/>
          </w:tcPr>
          <w:p w14:paraId="34A8DEE2" w14:textId="545AE4F1" w:rsidR="001177EC" w:rsidRPr="007F3E76" w:rsidRDefault="008F4DC5" w:rsidP="001177EC">
            <w:pPr>
              <w:jc w:val="right"/>
              <w:rPr>
                <w:rFonts w:ascii="Arial" w:hAnsi="Arial" w:cs="Arial"/>
                <w:color w:val="000000"/>
                <w:sz w:val="22"/>
                <w:szCs w:val="22"/>
              </w:rPr>
            </w:pPr>
            <w:r w:rsidRPr="007F3E76">
              <w:rPr>
                <w:rFonts w:ascii="Arial" w:hAnsi="Arial" w:cs="Arial"/>
                <w:color w:val="000000"/>
                <w:sz w:val="22"/>
                <w:szCs w:val="22"/>
              </w:rPr>
              <w:t>£</w:t>
            </w:r>
            <w:r w:rsidR="003A552E" w:rsidRPr="007F3E76">
              <w:rPr>
                <w:rFonts w:ascii="Arial" w:hAnsi="Arial" w:cs="Arial"/>
                <w:color w:val="000000"/>
                <w:sz w:val="22"/>
                <w:szCs w:val="22"/>
              </w:rPr>
              <w:t>7</w:t>
            </w:r>
            <w:r w:rsidRPr="007F3E76">
              <w:rPr>
                <w:rFonts w:ascii="Arial" w:hAnsi="Arial" w:cs="Arial"/>
                <w:color w:val="000000"/>
                <w:sz w:val="22"/>
                <w:szCs w:val="22"/>
              </w:rPr>
              <w:t>,7</w:t>
            </w:r>
            <w:r w:rsidR="003A552E" w:rsidRPr="007F3E76">
              <w:rPr>
                <w:rFonts w:ascii="Arial" w:hAnsi="Arial" w:cs="Arial"/>
                <w:color w:val="000000"/>
                <w:sz w:val="22"/>
                <w:szCs w:val="22"/>
              </w:rPr>
              <w:t>61</w:t>
            </w:r>
          </w:p>
        </w:tc>
      </w:tr>
      <w:tr w:rsidR="001177EC" w:rsidRPr="007F3E76" w14:paraId="69468C93" w14:textId="77777777" w:rsidTr="008F4DC5">
        <w:trPr>
          <w:trHeight w:val="300"/>
          <w:jc w:val="center"/>
        </w:trPr>
        <w:tc>
          <w:tcPr>
            <w:tcW w:w="4435" w:type="dxa"/>
            <w:tcBorders>
              <w:top w:val="nil"/>
              <w:left w:val="single" w:sz="8" w:space="0" w:color="auto"/>
              <w:bottom w:val="nil"/>
              <w:right w:val="nil"/>
            </w:tcBorders>
            <w:vAlign w:val="center"/>
            <w:hideMark/>
          </w:tcPr>
          <w:p w14:paraId="0E79D320" w14:textId="6032F88B" w:rsidR="001177EC" w:rsidRPr="007F3E76" w:rsidRDefault="001177EC" w:rsidP="001177EC">
            <w:pPr>
              <w:rPr>
                <w:rFonts w:ascii="Arial" w:hAnsi="Arial" w:cs="Arial"/>
                <w:color w:val="000000"/>
                <w:sz w:val="22"/>
                <w:szCs w:val="22"/>
              </w:rPr>
            </w:pPr>
            <w:r w:rsidRPr="007F3E76">
              <w:rPr>
                <w:rFonts w:ascii="Arial" w:hAnsi="Arial" w:cs="Arial"/>
                <w:color w:val="000000"/>
                <w:sz w:val="22"/>
                <w:szCs w:val="22"/>
              </w:rPr>
              <w:t>£20,001 -   £40,000</w:t>
            </w:r>
          </w:p>
        </w:tc>
        <w:tc>
          <w:tcPr>
            <w:tcW w:w="2205" w:type="dxa"/>
            <w:tcBorders>
              <w:top w:val="nil"/>
              <w:left w:val="nil"/>
              <w:bottom w:val="nil"/>
              <w:right w:val="nil"/>
            </w:tcBorders>
            <w:vAlign w:val="center"/>
            <w:hideMark/>
          </w:tcPr>
          <w:p w14:paraId="72A532D6" w14:textId="2A32014A" w:rsidR="001177EC" w:rsidRPr="007F3E76" w:rsidRDefault="008F4DC5"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vAlign w:val="center"/>
            <w:hideMark/>
          </w:tcPr>
          <w:p w14:paraId="469C2F22" w14:textId="4BD0C000" w:rsidR="001177EC" w:rsidRPr="007F3E76" w:rsidRDefault="008F4DC5"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vAlign w:val="center"/>
            <w:hideMark/>
          </w:tcPr>
          <w:p w14:paraId="70C8FAB3" w14:textId="3A5BAE4C" w:rsidR="001177EC" w:rsidRPr="007F3E76" w:rsidRDefault="008F4DC5" w:rsidP="001177EC">
            <w:pPr>
              <w:jc w:val="right"/>
              <w:rPr>
                <w:rFonts w:ascii="Arial" w:hAnsi="Arial" w:cs="Arial"/>
                <w:color w:val="000000"/>
                <w:sz w:val="22"/>
                <w:szCs w:val="22"/>
              </w:rPr>
            </w:pPr>
            <w:r w:rsidRPr="007F3E76">
              <w:rPr>
                <w:rFonts w:ascii="Arial" w:hAnsi="Arial" w:cs="Arial"/>
                <w:color w:val="000000"/>
                <w:sz w:val="22"/>
                <w:szCs w:val="22"/>
              </w:rPr>
              <w:t>£0</w:t>
            </w:r>
          </w:p>
        </w:tc>
      </w:tr>
      <w:tr w:rsidR="001177EC" w:rsidRPr="007F3E76" w14:paraId="0009F326" w14:textId="77777777" w:rsidTr="008F4DC5">
        <w:trPr>
          <w:trHeight w:val="300"/>
          <w:jc w:val="center"/>
        </w:trPr>
        <w:tc>
          <w:tcPr>
            <w:tcW w:w="4435" w:type="dxa"/>
            <w:tcBorders>
              <w:top w:val="nil"/>
              <w:left w:val="single" w:sz="8" w:space="0" w:color="auto"/>
              <w:bottom w:val="nil"/>
              <w:right w:val="nil"/>
            </w:tcBorders>
            <w:vAlign w:val="center"/>
            <w:hideMark/>
          </w:tcPr>
          <w:p w14:paraId="528BE4CD" w14:textId="5EB99C77" w:rsidR="001177EC" w:rsidRPr="007F3E76" w:rsidRDefault="001177EC" w:rsidP="001177EC">
            <w:pPr>
              <w:rPr>
                <w:rFonts w:ascii="Arial" w:hAnsi="Arial" w:cs="Arial"/>
                <w:color w:val="000000"/>
                <w:sz w:val="22"/>
                <w:szCs w:val="22"/>
              </w:rPr>
            </w:pPr>
            <w:r w:rsidRPr="007F3E76">
              <w:rPr>
                <w:rFonts w:ascii="Arial" w:hAnsi="Arial" w:cs="Arial"/>
                <w:color w:val="000000"/>
                <w:sz w:val="22"/>
                <w:szCs w:val="22"/>
              </w:rPr>
              <w:t>£40,001 -   £60,000</w:t>
            </w:r>
          </w:p>
        </w:tc>
        <w:tc>
          <w:tcPr>
            <w:tcW w:w="2205" w:type="dxa"/>
            <w:tcBorders>
              <w:top w:val="nil"/>
              <w:left w:val="nil"/>
              <w:bottom w:val="nil"/>
              <w:right w:val="nil"/>
            </w:tcBorders>
            <w:vAlign w:val="center"/>
            <w:hideMark/>
          </w:tcPr>
          <w:p w14:paraId="5BD580E9" w14:textId="52D0E846"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vAlign w:val="center"/>
            <w:hideMark/>
          </w:tcPr>
          <w:p w14:paraId="28BF4ED3" w14:textId="44A71645"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vAlign w:val="center"/>
            <w:hideMark/>
          </w:tcPr>
          <w:p w14:paraId="4E3FC8DF" w14:textId="1110419C" w:rsidR="001177EC" w:rsidRPr="007F3E76" w:rsidRDefault="001177EC" w:rsidP="001177EC">
            <w:pPr>
              <w:jc w:val="right"/>
              <w:rPr>
                <w:rFonts w:ascii="Arial" w:hAnsi="Arial" w:cs="Arial"/>
                <w:color w:val="000000"/>
                <w:sz w:val="22"/>
                <w:szCs w:val="22"/>
              </w:rPr>
            </w:pPr>
            <w:r w:rsidRPr="007F3E76">
              <w:rPr>
                <w:rFonts w:ascii="Arial" w:hAnsi="Arial" w:cs="Arial"/>
                <w:color w:val="000000"/>
                <w:sz w:val="22"/>
                <w:szCs w:val="22"/>
              </w:rPr>
              <w:t>£0</w:t>
            </w:r>
          </w:p>
        </w:tc>
      </w:tr>
      <w:tr w:rsidR="001177EC" w:rsidRPr="007F3E76" w14:paraId="49D67192" w14:textId="77777777" w:rsidTr="008F4DC5">
        <w:trPr>
          <w:trHeight w:val="300"/>
          <w:jc w:val="center"/>
        </w:trPr>
        <w:tc>
          <w:tcPr>
            <w:tcW w:w="4435" w:type="dxa"/>
            <w:tcBorders>
              <w:top w:val="nil"/>
              <w:left w:val="single" w:sz="8" w:space="0" w:color="auto"/>
              <w:bottom w:val="nil"/>
              <w:right w:val="nil"/>
            </w:tcBorders>
            <w:vAlign w:val="center"/>
            <w:hideMark/>
          </w:tcPr>
          <w:p w14:paraId="18C1AE02" w14:textId="392A765A" w:rsidR="001177EC" w:rsidRPr="007F3E76" w:rsidRDefault="001177EC" w:rsidP="001177EC">
            <w:pPr>
              <w:rPr>
                <w:rFonts w:ascii="Arial" w:hAnsi="Arial" w:cs="Arial"/>
                <w:color w:val="000000"/>
                <w:sz w:val="22"/>
                <w:szCs w:val="22"/>
              </w:rPr>
            </w:pPr>
            <w:r w:rsidRPr="007F3E76">
              <w:rPr>
                <w:rFonts w:ascii="Arial" w:hAnsi="Arial" w:cs="Arial"/>
                <w:color w:val="000000"/>
                <w:sz w:val="22"/>
                <w:szCs w:val="22"/>
              </w:rPr>
              <w:t>£60,001 -   £80,000</w:t>
            </w:r>
          </w:p>
        </w:tc>
        <w:tc>
          <w:tcPr>
            <w:tcW w:w="2205" w:type="dxa"/>
            <w:tcBorders>
              <w:top w:val="nil"/>
              <w:left w:val="nil"/>
              <w:bottom w:val="nil"/>
              <w:right w:val="nil"/>
            </w:tcBorders>
            <w:vAlign w:val="center"/>
            <w:hideMark/>
          </w:tcPr>
          <w:p w14:paraId="593D34DB" w14:textId="2394AA4E"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vAlign w:val="center"/>
            <w:hideMark/>
          </w:tcPr>
          <w:p w14:paraId="1C218A8C" w14:textId="1979A84A"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vAlign w:val="center"/>
            <w:hideMark/>
          </w:tcPr>
          <w:p w14:paraId="4DCCEE15" w14:textId="248CE1FE" w:rsidR="001177EC" w:rsidRPr="007F3E76" w:rsidRDefault="001177EC" w:rsidP="001177EC">
            <w:pPr>
              <w:jc w:val="right"/>
              <w:rPr>
                <w:rFonts w:ascii="Arial" w:hAnsi="Arial" w:cs="Arial"/>
                <w:color w:val="000000"/>
                <w:sz w:val="22"/>
                <w:szCs w:val="22"/>
              </w:rPr>
            </w:pPr>
            <w:r w:rsidRPr="007F3E76">
              <w:rPr>
                <w:rFonts w:ascii="Arial" w:hAnsi="Arial" w:cs="Arial"/>
                <w:color w:val="000000"/>
                <w:sz w:val="22"/>
                <w:szCs w:val="22"/>
              </w:rPr>
              <w:t>£0</w:t>
            </w:r>
          </w:p>
        </w:tc>
      </w:tr>
      <w:tr w:rsidR="001177EC" w:rsidRPr="007F3E76" w14:paraId="51F53DF6" w14:textId="77777777" w:rsidTr="008F4DC5">
        <w:trPr>
          <w:trHeight w:val="300"/>
          <w:jc w:val="center"/>
        </w:trPr>
        <w:tc>
          <w:tcPr>
            <w:tcW w:w="4435" w:type="dxa"/>
            <w:tcBorders>
              <w:top w:val="nil"/>
              <w:left w:val="single" w:sz="8" w:space="0" w:color="auto"/>
              <w:bottom w:val="nil"/>
              <w:right w:val="nil"/>
            </w:tcBorders>
            <w:vAlign w:val="center"/>
            <w:hideMark/>
          </w:tcPr>
          <w:p w14:paraId="42CFD4FE" w14:textId="1BA77C02" w:rsidR="001177EC" w:rsidRPr="007F3E76" w:rsidRDefault="001177EC" w:rsidP="001177EC">
            <w:pPr>
              <w:rPr>
                <w:rFonts w:ascii="Arial" w:hAnsi="Arial" w:cs="Arial"/>
                <w:color w:val="000000"/>
                <w:sz w:val="22"/>
                <w:szCs w:val="22"/>
              </w:rPr>
            </w:pPr>
            <w:r w:rsidRPr="007F3E76">
              <w:rPr>
                <w:rFonts w:ascii="Arial" w:hAnsi="Arial" w:cs="Arial"/>
                <w:color w:val="000000"/>
                <w:sz w:val="22"/>
                <w:szCs w:val="22"/>
              </w:rPr>
              <w:t>£80,001 -   £100,000</w:t>
            </w:r>
          </w:p>
        </w:tc>
        <w:tc>
          <w:tcPr>
            <w:tcW w:w="2205" w:type="dxa"/>
            <w:tcBorders>
              <w:top w:val="nil"/>
              <w:left w:val="nil"/>
              <w:bottom w:val="nil"/>
              <w:right w:val="nil"/>
            </w:tcBorders>
            <w:vAlign w:val="center"/>
            <w:hideMark/>
          </w:tcPr>
          <w:p w14:paraId="3A2ADDC7" w14:textId="3F162A56"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vAlign w:val="center"/>
            <w:hideMark/>
          </w:tcPr>
          <w:p w14:paraId="198AFC67" w14:textId="01DDA5ED"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vAlign w:val="center"/>
            <w:hideMark/>
          </w:tcPr>
          <w:p w14:paraId="0401BE7C" w14:textId="5A602D4A" w:rsidR="001177EC" w:rsidRPr="007F3E76" w:rsidRDefault="001177EC" w:rsidP="001177EC">
            <w:pPr>
              <w:jc w:val="right"/>
              <w:rPr>
                <w:rFonts w:ascii="Arial" w:hAnsi="Arial" w:cs="Arial"/>
                <w:color w:val="000000"/>
                <w:sz w:val="22"/>
                <w:szCs w:val="22"/>
              </w:rPr>
            </w:pPr>
            <w:r w:rsidRPr="007F3E76">
              <w:rPr>
                <w:rFonts w:ascii="Arial" w:hAnsi="Arial" w:cs="Arial"/>
                <w:color w:val="000000"/>
                <w:sz w:val="22"/>
                <w:szCs w:val="22"/>
              </w:rPr>
              <w:t>£0</w:t>
            </w:r>
          </w:p>
        </w:tc>
      </w:tr>
      <w:tr w:rsidR="001177EC" w:rsidRPr="007F3E76" w14:paraId="47EC4CBC" w14:textId="77777777" w:rsidTr="008F4DC5">
        <w:trPr>
          <w:trHeight w:val="300"/>
          <w:jc w:val="center"/>
        </w:trPr>
        <w:tc>
          <w:tcPr>
            <w:tcW w:w="4435" w:type="dxa"/>
            <w:tcBorders>
              <w:top w:val="nil"/>
              <w:left w:val="single" w:sz="8" w:space="0" w:color="auto"/>
              <w:bottom w:val="nil"/>
              <w:right w:val="nil"/>
            </w:tcBorders>
            <w:vAlign w:val="center"/>
            <w:hideMark/>
          </w:tcPr>
          <w:p w14:paraId="4856F8EF" w14:textId="0B1745CC" w:rsidR="001177EC" w:rsidRPr="007F3E76" w:rsidRDefault="001177EC" w:rsidP="001177EC">
            <w:pPr>
              <w:rPr>
                <w:rFonts w:ascii="Arial" w:hAnsi="Arial" w:cs="Arial"/>
                <w:color w:val="000000"/>
                <w:sz w:val="22"/>
                <w:szCs w:val="22"/>
              </w:rPr>
            </w:pPr>
            <w:r w:rsidRPr="007F3E76">
              <w:rPr>
                <w:rFonts w:ascii="Arial" w:hAnsi="Arial" w:cs="Arial"/>
                <w:color w:val="000000"/>
                <w:sz w:val="22"/>
                <w:szCs w:val="22"/>
              </w:rPr>
              <w:t>£100,001 -   £150,000</w:t>
            </w:r>
          </w:p>
        </w:tc>
        <w:tc>
          <w:tcPr>
            <w:tcW w:w="2205" w:type="dxa"/>
            <w:tcBorders>
              <w:top w:val="nil"/>
              <w:left w:val="nil"/>
              <w:bottom w:val="nil"/>
              <w:right w:val="nil"/>
            </w:tcBorders>
            <w:vAlign w:val="center"/>
            <w:hideMark/>
          </w:tcPr>
          <w:p w14:paraId="4B98B83F" w14:textId="4210A408"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nil"/>
              <w:right w:val="nil"/>
            </w:tcBorders>
            <w:vAlign w:val="center"/>
            <w:hideMark/>
          </w:tcPr>
          <w:p w14:paraId="3CE13768" w14:textId="062873FB"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nil"/>
              <w:right w:val="single" w:sz="8" w:space="0" w:color="auto"/>
            </w:tcBorders>
            <w:vAlign w:val="center"/>
            <w:hideMark/>
          </w:tcPr>
          <w:p w14:paraId="2717678D" w14:textId="73EB0095" w:rsidR="001177EC" w:rsidRPr="007F3E76" w:rsidRDefault="001177EC" w:rsidP="001177EC">
            <w:pPr>
              <w:jc w:val="right"/>
              <w:rPr>
                <w:rFonts w:ascii="Arial" w:hAnsi="Arial" w:cs="Arial"/>
                <w:color w:val="000000"/>
                <w:sz w:val="22"/>
                <w:szCs w:val="22"/>
              </w:rPr>
            </w:pPr>
            <w:r w:rsidRPr="007F3E76">
              <w:rPr>
                <w:rFonts w:ascii="Arial" w:hAnsi="Arial" w:cs="Arial"/>
                <w:color w:val="000000"/>
                <w:sz w:val="22"/>
                <w:szCs w:val="22"/>
              </w:rPr>
              <w:t>£0</w:t>
            </w:r>
          </w:p>
        </w:tc>
      </w:tr>
      <w:tr w:rsidR="001177EC" w:rsidRPr="007F3E76" w14:paraId="6605DB83" w14:textId="77777777" w:rsidTr="008F4DC5">
        <w:trPr>
          <w:trHeight w:val="315"/>
          <w:jc w:val="center"/>
        </w:trPr>
        <w:tc>
          <w:tcPr>
            <w:tcW w:w="4435" w:type="dxa"/>
            <w:tcBorders>
              <w:top w:val="nil"/>
              <w:left w:val="single" w:sz="8" w:space="0" w:color="auto"/>
              <w:bottom w:val="nil"/>
              <w:right w:val="nil"/>
            </w:tcBorders>
            <w:vAlign w:val="center"/>
            <w:hideMark/>
          </w:tcPr>
          <w:p w14:paraId="4F48B132" w14:textId="3491792A" w:rsidR="001177EC" w:rsidRPr="007F3E76" w:rsidRDefault="001177EC" w:rsidP="001177EC">
            <w:pPr>
              <w:rPr>
                <w:rFonts w:ascii="Arial" w:hAnsi="Arial" w:cs="Arial"/>
                <w:color w:val="000000"/>
                <w:sz w:val="22"/>
                <w:szCs w:val="22"/>
              </w:rPr>
            </w:pPr>
            <w:r w:rsidRPr="007F3E76">
              <w:rPr>
                <w:rFonts w:ascii="Arial" w:hAnsi="Arial" w:cs="Arial"/>
                <w:color w:val="000000"/>
                <w:sz w:val="22"/>
                <w:szCs w:val="22"/>
              </w:rPr>
              <w:t>£150,001 -   £200,000</w:t>
            </w:r>
          </w:p>
        </w:tc>
        <w:tc>
          <w:tcPr>
            <w:tcW w:w="2205" w:type="dxa"/>
            <w:tcBorders>
              <w:top w:val="nil"/>
              <w:left w:val="nil"/>
              <w:bottom w:val="single" w:sz="8" w:space="0" w:color="auto"/>
              <w:right w:val="nil"/>
            </w:tcBorders>
            <w:vAlign w:val="center"/>
            <w:hideMark/>
          </w:tcPr>
          <w:p w14:paraId="32C2B065" w14:textId="3D1B56BA"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single" w:sz="8" w:space="0" w:color="auto"/>
              <w:right w:val="nil"/>
            </w:tcBorders>
            <w:vAlign w:val="center"/>
            <w:hideMark/>
          </w:tcPr>
          <w:p w14:paraId="71F5D560" w14:textId="574F68F2" w:rsidR="001177EC" w:rsidRPr="007F3E76" w:rsidRDefault="001177EC"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900" w:type="dxa"/>
            <w:tcBorders>
              <w:top w:val="nil"/>
              <w:left w:val="nil"/>
              <w:bottom w:val="single" w:sz="8" w:space="0" w:color="auto"/>
              <w:right w:val="single" w:sz="8" w:space="0" w:color="auto"/>
            </w:tcBorders>
            <w:vAlign w:val="center"/>
            <w:hideMark/>
          </w:tcPr>
          <w:p w14:paraId="7F07B709" w14:textId="0BFCC874" w:rsidR="001177EC" w:rsidRPr="007F3E76" w:rsidRDefault="001177EC" w:rsidP="001177EC">
            <w:pPr>
              <w:jc w:val="right"/>
              <w:rPr>
                <w:rFonts w:ascii="Arial" w:hAnsi="Arial" w:cs="Arial"/>
                <w:color w:val="000000"/>
                <w:sz w:val="22"/>
                <w:szCs w:val="22"/>
              </w:rPr>
            </w:pPr>
            <w:r w:rsidRPr="007F3E76">
              <w:rPr>
                <w:rFonts w:ascii="Arial" w:hAnsi="Arial" w:cs="Arial"/>
                <w:color w:val="000000"/>
                <w:sz w:val="22"/>
                <w:szCs w:val="22"/>
              </w:rPr>
              <w:t>£0</w:t>
            </w:r>
          </w:p>
        </w:tc>
      </w:tr>
      <w:tr w:rsidR="001177EC" w:rsidRPr="001177EC" w14:paraId="5835ED99" w14:textId="77777777" w:rsidTr="008F4DC5">
        <w:trPr>
          <w:trHeight w:val="315"/>
          <w:jc w:val="center"/>
        </w:trPr>
        <w:tc>
          <w:tcPr>
            <w:tcW w:w="4435" w:type="dxa"/>
            <w:tcBorders>
              <w:top w:val="nil"/>
              <w:left w:val="single" w:sz="8" w:space="0" w:color="auto"/>
              <w:bottom w:val="single" w:sz="8" w:space="0" w:color="auto"/>
              <w:right w:val="nil"/>
            </w:tcBorders>
            <w:vAlign w:val="center"/>
            <w:hideMark/>
          </w:tcPr>
          <w:p w14:paraId="09C32B8D" w14:textId="2BBBDA4F" w:rsidR="001177EC" w:rsidRPr="007F3E76" w:rsidRDefault="001177EC" w:rsidP="001177EC">
            <w:pPr>
              <w:rPr>
                <w:rFonts w:ascii="Arial" w:hAnsi="Arial" w:cs="Arial"/>
                <w:color w:val="000000"/>
                <w:sz w:val="22"/>
                <w:szCs w:val="22"/>
              </w:rPr>
            </w:pPr>
            <w:r w:rsidRPr="007F3E76">
              <w:rPr>
                <w:rFonts w:ascii="Arial" w:hAnsi="Arial" w:cs="Arial"/>
                <w:color w:val="000000"/>
                <w:sz w:val="22"/>
                <w:szCs w:val="22"/>
              </w:rPr>
              <w:t xml:space="preserve">Total </w:t>
            </w:r>
          </w:p>
        </w:tc>
        <w:tc>
          <w:tcPr>
            <w:tcW w:w="2205" w:type="dxa"/>
            <w:tcBorders>
              <w:top w:val="nil"/>
              <w:left w:val="nil"/>
              <w:bottom w:val="single" w:sz="8" w:space="0" w:color="auto"/>
              <w:right w:val="nil"/>
            </w:tcBorders>
            <w:vAlign w:val="center"/>
            <w:hideMark/>
          </w:tcPr>
          <w:p w14:paraId="1F6A7679" w14:textId="44B312F7" w:rsidR="001177EC" w:rsidRPr="007F3E76" w:rsidRDefault="008F4DC5" w:rsidP="001177EC">
            <w:pPr>
              <w:jc w:val="center"/>
              <w:rPr>
                <w:rFonts w:ascii="Arial" w:hAnsi="Arial" w:cs="Arial"/>
                <w:color w:val="000000"/>
                <w:sz w:val="22"/>
                <w:szCs w:val="22"/>
              </w:rPr>
            </w:pPr>
            <w:r w:rsidRPr="007F3E76">
              <w:rPr>
                <w:rFonts w:ascii="Arial" w:hAnsi="Arial" w:cs="Arial"/>
                <w:color w:val="000000"/>
                <w:sz w:val="22"/>
                <w:szCs w:val="22"/>
              </w:rPr>
              <w:t>0</w:t>
            </w:r>
          </w:p>
        </w:tc>
        <w:tc>
          <w:tcPr>
            <w:tcW w:w="1666" w:type="dxa"/>
            <w:tcBorders>
              <w:top w:val="nil"/>
              <w:left w:val="nil"/>
              <w:bottom w:val="single" w:sz="8" w:space="0" w:color="auto"/>
              <w:right w:val="nil"/>
            </w:tcBorders>
            <w:vAlign w:val="center"/>
            <w:hideMark/>
          </w:tcPr>
          <w:p w14:paraId="524FC6EA" w14:textId="78A2FEAB" w:rsidR="001177EC" w:rsidRPr="007F3E76" w:rsidRDefault="008F4DC5" w:rsidP="001177EC">
            <w:pPr>
              <w:jc w:val="center"/>
              <w:rPr>
                <w:rFonts w:ascii="Arial" w:hAnsi="Arial" w:cs="Arial"/>
                <w:color w:val="000000"/>
                <w:sz w:val="22"/>
                <w:szCs w:val="22"/>
              </w:rPr>
            </w:pPr>
            <w:r w:rsidRPr="007F3E76">
              <w:rPr>
                <w:rFonts w:ascii="Arial" w:hAnsi="Arial" w:cs="Arial"/>
                <w:color w:val="000000"/>
                <w:sz w:val="22"/>
                <w:szCs w:val="22"/>
              </w:rPr>
              <w:t>1</w:t>
            </w:r>
          </w:p>
        </w:tc>
        <w:tc>
          <w:tcPr>
            <w:tcW w:w="1900" w:type="dxa"/>
            <w:tcBorders>
              <w:top w:val="nil"/>
              <w:left w:val="nil"/>
              <w:bottom w:val="single" w:sz="8" w:space="0" w:color="auto"/>
              <w:right w:val="single" w:sz="8" w:space="0" w:color="auto"/>
            </w:tcBorders>
            <w:vAlign w:val="center"/>
            <w:hideMark/>
          </w:tcPr>
          <w:p w14:paraId="598ED95F" w14:textId="0C2A41A2" w:rsidR="001177EC" w:rsidRPr="001177EC" w:rsidRDefault="008F4DC5" w:rsidP="001177EC">
            <w:pPr>
              <w:jc w:val="right"/>
              <w:rPr>
                <w:rFonts w:ascii="Arial" w:hAnsi="Arial" w:cs="Arial"/>
                <w:color w:val="000000"/>
                <w:sz w:val="22"/>
                <w:szCs w:val="22"/>
              </w:rPr>
            </w:pPr>
            <w:r w:rsidRPr="007F3E76">
              <w:rPr>
                <w:rFonts w:ascii="Arial" w:hAnsi="Arial" w:cs="Arial"/>
                <w:color w:val="000000"/>
                <w:sz w:val="22"/>
                <w:szCs w:val="22"/>
              </w:rPr>
              <w:t>£</w:t>
            </w:r>
            <w:r w:rsidR="003A552E" w:rsidRPr="007F3E76">
              <w:rPr>
                <w:rFonts w:ascii="Arial" w:hAnsi="Arial" w:cs="Arial"/>
                <w:color w:val="000000"/>
                <w:sz w:val="22"/>
                <w:szCs w:val="22"/>
              </w:rPr>
              <w:t>7</w:t>
            </w:r>
            <w:r w:rsidRPr="007F3E76">
              <w:rPr>
                <w:rFonts w:ascii="Arial" w:hAnsi="Arial" w:cs="Arial"/>
                <w:color w:val="000000"/>
                <w:sz w:val="22"/>
                <w:szCs w:val="22"/>
              </w:rPr>
              <w:t>,7</w:t>
            </w:r>
            <w:r w:rsidR="003A552E" w:rsidRPr="007F3E76">
              <w:rPr>
                <w:rFonts w:ascii="Arial" w:hAnsi="Arial" w:cs="Arial"/>
                <w:color w:val="000000"/>
                <w:sz w:val="22"/>
                <w:szCs w:val="22"/>
              </w:rPr>
              <w:t>61</w:t>
            </w:r>
          </w:p>
        </w:tc>
      </w:tr>
    </w:tbl>
    <w:p w14:paraId="4E2CC14A" w14:textId="77777777" w:rsidR="00153067" w:rsidRDefault="00153067" w:rsidP="001177EC">
      <w:pPr>
        <w:rPr>
          <w:rFonts w:ascii="Arial" w:hAnsi="Arial"/>
          <w:b/>
          <w:i/>
          <w:sz w:val="22"/>
          <w:szCs w:val="22"/>
        </w:rPr>
      </w:pPr>
    </w:p>
    <w:p w14:paraId="50261660" w14:textId="77777777" w:rsidR="00393C15" w:rsidRDefault="00393C15">
      <w:pPr>
        <w:rPr>
          <w:rFonts w:ascii="Arial" w:hAnsi="Arial"/>
          <w:b/>
          <w:i/>
          <w:sz w:val="22"/>
          <w:szCs w:val="22"/>
        </w:rPr>
      </w:pPr>
      <w:r>
        <w:rPr>
          <w:rFonts w:ascii="Arial" w:hAnsi="Arial"/>
          <w:b/>
          <w:i/>
          <w:sz w:val="22"/>
          <w:szCs w:val="22"/>
        </w:rPr>
        <w:br w:type="page"/>
      </w:r>
    </w:p>
    <w:p w14:paraId="074487F0" w14:textId="01525F7E" w:rsidR="003B74DA" w:rsidRPr="00B771FA" w:rsidRDefault="003B74DA" w:rsidP="001177EC">
      <w:pPr>
        <w:rPr>
          <w:rFonts w:ascii="Arial" w:hAnsi="Arial"/>
          <w:b/>
          <w:i/>
          <w:sz w:val="22"/>
          <w:szCs w:val="22"/>
        </w:rPr>
      </w:pPr>
      <w:r w:rsidRPr="00B771FA">
        <w:rPr>
          <w:rFonts w:ascii="Arial" w:hAnsi="Arial"/>
          <w:b/>
          <w:i/>
          <w:sz w:val="22"/>
          <w:szCs w:val="22"/>
        </w:rPr>
        <w:lastRenderedPageBreak/>
        <w:t>Balance Sheet Notes</w:t>
      </w:r>
    </w:p>
    <w:p w14:paraId="6B1FB4E9" w14:textId="77777777" w:rsidR="003B74DA" w:rsidRPr="00B771FA" w:rsidRDefault="003B74DA" w:rsidP="003B74DA">
      <w:pPr>
        <w:tabs>
          <w:tab w:val="right" w:pos="5760"/>
        </w:tabs>
        <w:ind w:left="426"/>
        <w:rPr>
          <w:rFonts w:ascii="Arial" w:hAnsi="Arial"/>
          <w:sz w:val="22"/>
          <w:szCs w:val="22"/>
        </w:rPr>
      </w:pPr>
    </w:p>
    <w:p w14:paraId="598C5EE6" w14:textId="708981F8" w:rsidR="00F15B26" w:rsidRPr="007B6920" w:rsidRDefault="00F15B26" w:rsidP="003B74DA">
      <w:pPr>
        <w:numPr>
          <w:ilvl w:val="0"/>
          <w:numId w:val="1"/>
        </w:numPr>
        <w:tabs>
          <w:tab w:val="right" w:pos="5760"/>
        </w:tabs>
        <w:rPr>
          <w:rFonts w:ascii="Arial" w:hAnsi="Arial"/>
          <w:sz w:val="22"/>
          <w:szCs w:val="22"/>
        </w:rPr>
      </w:pPr>
      <w:r>
        <w:rPr>
          <w:rFonts w:ascii="Arial" w:hAnsi="Arial"/>
          <w:b/>
          <w:bCs/>
          <w:sz w:val="22"/>
          <w:szCs w:val="22"/>
        </w:rPr>
        <w:t>Leases</w:t>
      </w:r>
    </w:p>
    <w:p w14:paraId="5E23F2DA" w14:textId="17764E20" w:rsidR="007B6920" w:rsidRDefault="007B6920" w:rsidP="007B6920">
      <w:pPr>
        <w:tabs>
          <w:tab w:val="right" w:pos="5760"/>
        </w:tabs>
        <w:ind w:left="720"/>
        <w:rPr>
          <w:rFonts w:ascii="Arial" w:hAnsi="Arial"/>
          <w:sz w:val="22"/>
          <w:szCs w:val="22"/>
        </w:rPr>
      </w:pPr>
    </w:p>
    <w:p w14:paraId="3FEA8A6A" w14:textId="7EFEBE2D" w:rsidR="007B6920" w:rsidRPr="007B6920" w:rsidRDefault="007B6920" w:rsidP="007B6920">
      <w:pPr>
        <w:tabs>
          <w:tab w:val="right" w:pos="5760"/>
        </w:tabs>
        <w:ind w:left="720"/>
        <w:rPr>
          <w:rFonts w:ascii="Arial" w:hAnsi="Arial"/>
          <w:sz w:val="22"/>
          <w:szCs w:val="22"/>
        </w:rPr>
      </w:pPr>
      <w:r w:rsidRPr="007B6920">
        <w:rPr>
          <w:rFonts w:ascii="Arial" w:hAnsi="Arial"/>
          <w:sz w:val="22"/>
          <w:szCs w:val="22"/>
        </w:rPr>
        <w:t xml:space="preserve">In 2024/25, the </w:t>
      </w:r>
      <w:r>
        <w:rPr>
          <w:rFonts w:ascii="Arial" w:hAnsi="Arial"/>
          <w:sz w:val="22"/>
          <w:szCs w:val="22"/>
        </w:rPr>
        <w:t xml:space="preserve">PCC Group </w:t>
      </w:r>
      <w:r w:rsidRPr="007B6920">
        <w:rPr>
          <w:rFonts w:ascii="Arial" w:hAnsi="Arial"/>
          <w:sz w:val="22"/>
          <w:szCs w:val="22"/>
        </w:rPr>
        <w:t xml:space="preserve">applied IFRS 16 Leases as required by the Code of Practice for Local Authority Accounting in the United Kingdom. The main impact of the new requirements is that for arrangements previously accounted for as operating leases (i.e. without recognising the leased property as an asset and future rents as a liability) a right-of- use asset and a lease liability are to be brought into the Balance Sheet at 1 April 2024. </w:t>
      </w:r>
    </w:p>
    <w:p w14:paraId="23CCD56F" w14:textId="77777777" w:rsidR="007B6920" w:rsidRPr="007B6920" w:rsidRDefault="007B6920" w:rsidP="007B6920">
      <w:pPr>
        <w:tabs>
          <w:tab w:val="right" w:pos="5760"/>
        </w:tabs>
        <w:ind w:left="720"/>
        <w:rPr>
          <w:rFonts w:ascii="Arial" w:hAnsi="Arial"/>
          <w:sz w:val="22"/>
          <w:szCs w:val="22"/>
        </w:rPr>
      </w:pPr>
    </w:p>
    <w:p w14:paraId="0424BD66" w14:textId="77777777" w:rsidR="007B6920" w:rsidRPr="007B6920" w:rsidRDefault="007B6920" w:rsidP="007B6920">
      <w:pPr>
        <w:tabs>
          <w:tab w:val="right" w:pos="5760"/>
        </w:tabs>
        <w:ind w:left="720"/>
        <w:rPr>
          <w:rFonts w:ascii="Arial" w:hAnsi="Arial"/>
          <w:sz w:val="22"/>
          <w:szCs w:val="22"/>
        </w:rPr>
      </w:pPr>
      <w:r w:rsidRPr="007B6920">
        <w:rPr>
          <w:rFonts w:ascii="Arial" w:hAnsi="Arial"/>
          <w:sz w:val="22"/>
          <w:szCs w:val="22"/>
        </w:rPr>
        <w:t>Leases for items of low value and leases that expire on or before 31 March 2025 are exempt</w:t>
      </w:r>
    </w:p>
    <w:p w14:paraId="10829CC4" w14:textId="77777777" w:rsidR="007B6920" w:rsidRPr="007B6920" w:rsidRDefault="007B6920" w:rsidP="007B6920">
      <w:pPr>
        <w:tabs>
          <w:tab w:val="right" w:pos="5760"/>
        </w:tabs>
        <w:ind w:left="720"/>
        <w:rPr>
          <w:rFonts w:ascii="Arial" w:hAnsi="Arial"/>
          <w:sz w:val="22"/>
          <w:szCs w:val="22"/>
        </w:rPr>
      </w:pPr>
      <w:r w:rsidRPr="007B6920">
        <w:rPr>
          <w:rFonts w:ascii="Arial" w:hAnsi="Arial"/>
          <w:sz w:val="22"/>
          <w:szCs w:val="22"/>
        </w:rPr>
        <w:t>from the new arrangements.</w:t>
      </w:r>
    </w:p>
    <w:p w14:paraId="7DC4D335" w14:textId="77777777" w:rsidR="007B6920" w:rsidRPr="007B6920" w:rsidRDefault="007B6920" w:rsidP="007B6920">
      <w:pPr>
        <w:tabs>
          <w:tab w:val="right" w:pos="5760"/>
        </w:tabs>
        <w:ind w:left="720"/>
        <w:rPr>
          <w:rFonts w:ascii="Arial" w:hAnsi="Arial"/>
          <w:sz w:val="22"/>
          <w:szCs w:val="22"/>
        </w:rPr>
      </w:pPr>
    </w:p>
    <w:p w14:paraId="02E78774" w14:textId="77777777" w:rsidR="007B6920" w:rsidRDefault="007B6920" w:rsidP="007B6920">
      <w:pPr>
        <w:tabs>
          <w:tab w:val="right" w:pos="5760"/>
        </w:tabs>
        <w:ind w:left="720"/>
        <w:rPr>
          <w:rFonts w:ascii="Arial" w:hAnsi="Arial"/>
          <w:sz w:val="22"/>
          <w:szCs w:val="22"/>
        </w:rPr>
      </w:pPr>
      <w:r w:rsidRPr="007B6920">
        <w:rPr>
          <w:rFonts w:ascii="Arial" w:hAnsi="Arial"/>
          <w:sz w:val="22"/>
          <w:szCs w:val="22"/>
        </w:rPr>
        <w:t xml:space="preserve">IFRS 16 has been applied retrospectively, but with the cumulative effect recognised at 1 April 2024. This means that right-of-use assets and lease liabilities have been calculated as if IFRS 16 had always applied but recognised in 2024/25 and not by adjusting prior year figures. </w:t>
      </w:r>
    </w:p>
    <w:p w14:paraId="689794BB" w14:textId="77777777" w:rsidR="007B6920" w:rsidRDefault="007B6920" w:rsidP="007B6920">
      <w:pPr>
        <w:tabs>
          <w:tab w:val="right" w:pos="5760"/>
        </w:tabs>
        <w:ind w:left="720"/>
        <w:rPr>
          <w:rFonts w:ascii="Arial" w:hAnsi="Arial"/>
          <w:sz w:val="22"/>
          <w:szCs w:val="22"/>
        </w:rPr>
      </w:pPr>
    </w:p>
    <w:p w14:paraId="193D4C4E" w14:textId="77777777" w:rsidR="007B6920" w:rsidRPr="007B6920" w:rsidRDefault="007B6920" w:rsidP="007B6920">
      <w:pPr>
        <w:tabs>
          <w:tab w:val="right" w:pos="5760"/>
        </w:tabs>
        <w:ind w:left="720"/>
        <w:rPr>
          <w:rFonts w:ascii="Arial" w:hAnsi="Arial"/>
          <w:sz w:val="22"/>
          <w:szCs w:val="22"/>
        </w:rPr>
      </w:pPr>
      <w:r w:rsidRPr="007B6920">
        <w:rPr>
          <w:rFonts w:ascii="Arial" w:hAnsi="Arial"/>
          <w:sz w:val="22"/>
          <w:szCs w:val="22"/>
        </w:rPr>
        <w:t>However, some practical expedients have been applied as required or permitted by the Code:</w:t>
      </w:r>
    </w:p>
    <w:p w14:paraId="5FA51697" w14:textId="77777777" w:rsidR="007B6920" w:rsidRPr="007B6920" w:rsidRDefault="007B6920" w:rsidP="007B6920">
      <w:pPr>
        <w:tabs>
          <w:tab w:val="right" w:pos="5760"/>
        </w:tabs>
        <w:ind w:left="720"/>
        <w:rPr>
          <w:rFonts w:ascii="Arial" w:hAnsi="Arial"/>
          <w:sz w:val="22"/>
          <w:szCs w:val="22"/>
        </w:rPr>
      </w:pPr>
    </w:p>
    <w:p w14:paraId="5B6078EB" w14:textId="42C80CA1" w:rsidR="007B6920" w:rsidRDefault="007B6920" w:rsidP="007B6920">
      <w:pPr>
        <w:pStyle w:val="ListParagraph"/>
        <w:numPr>
          <w:ilvl w:val="0"/>
          <w:numId w:val="49"/>
        </w:numPr>
        <w:tabs>
          <w:tab w:val="right" w:pos="5760"/>
        </w:tabs>
        <w:rPr>
          <w:rFonts w:ascii="Arial" w:hAnsi="Arial"/>
        </w:rPr>
      </w:pPr>
      <w:r w:rsidRPr="007B6920">
        <w:rPr>
          <w:rFonts w:ascii="Arial" w:hAnsi="Arial"/>
        </w:rPr>
        <w:t>lease liabilities are measured at the present value of the remaining lease payments at 1 April 2024, discounted by the authority’s incremental borrowing rate at that date</w:t>
      </w:r>
    </w:p>
    <w:p w14:paraId="4C17D66A" w14:textId="71CB0BEB" w:rsidR="007B6920" w:rsidRDefault="007B6920" w:rsidP="007B6920">
      <w:pPr>
        <w:pStyle w:val="ListParagraph"/>
        <w:numPr>
          <w:ilvl w:val="0"/>
          <w:numId w:val="49"/>
        </w:numPr>
        <w:tabs>
          <w:tab w:val="right" w:pos="5760"/>
        </w:tabs>
        <w:rPr>
          <w:rFonts w:ascii="Arial" w:hAnsi="Arial"/>
        </w:rPr>
      </w:pPr>
      <w:r w:rsidRPr="007B6920">
        <w:rPr>
          <w:rFonts w:ascii="Arial" w:hAnsi="Arial"/>
        </w:rPr>
        <w:t>a single discount rate has been applied to portfolios of leases with reasonably similar characteristics</w:t>
      </w:r>
    </w:p>
    <w:p w14:paraId="14144880" w14:textId="6E6E3D21" w:rsidR="007B6920" w:rsidRDefault="007B6920" w:rsidP="007B6920">
      <w:pPr>
        <w:pStyle w:val="ListParagraph"/>
        <w:numPr>
          <w:ilvl w:val="0"/>
          <w:numId w:val="49"/>
        </w:numPr>
        <w:tabs>
          <w:tab w:val="right" w:pos="5760"/>
        </w:tabs>
        <w:rPr>
          <w:rFonts w:ascii="Arial" w:hAnsi="Arial"/>
        </w:rPr>
      </w:pPr>
      <w:r w:rsidRPr="007B6920">
        <w:rPr>
          <w:rFonts w:ascii="Arial" w:hAnsi="Arial"/>
        </w:rPr>
        <w:tab/>
        <w:t xml:space="preserve">the weighted average of the incremental borrowing rates used to discount liabilities was </w:t>
      </w:r>
      <w:r w:rsidR="00C95CBD">
        <w:rPr>
          <w:rFonts w:ascii="Arial" w:hAnsi="Arial"/>
        </w:rPr>
        <w:t>3.78</w:t>
      </w:r>
      <w:r w:rsidRPr="007B6920">
        <w:rPr>
          <w:rFonts w:ascii="Arial" w:hAnsi="Arial"/>
        </w:rPr>
        <w:t>%</w:t>
      </w:r>
    </w:p>
    <w:p w14:paraId="72B78963" w14:textId="0DAEF252" w:rsidR="007B6920" w:rsidRDefault="007B6920" w:rsidP="007B6920">
      <w:pPr>
        <w:pStyle w:val="ListParagraph"/>
        <w:numPr>
          <w:ilvl w:val="0"/>
          <w:numId w:val="49"/>
        </w:numPr>
        <w:tabs>
          <w:tab w:val="right" w:pos="5760"/>
        </w:tabs>
        <w:rPr>
          <w:rFonts w:ascii="Arial" w:hAnsi="Arial"/>
        </w:rPr>
      </w:pPr>
      <w:r w:rsidRPr="007B6920">
        <w:rPr>
          <w:rFonts w:ascii="Arial" w:hAnsi="Arial"/>
        </w:rPr>
        <w:tab/>
        <w:t>right-of-use assets are measured at the amount of the lease liability, adjusted for any prepaid or accrued lease payments that were in the balance sheet on 31 March 2024 – any initial direct costs have been excluded</w:t>
      </w:r>
    </w:p>
    <w:p w14:paraId="139EFA9B" w14:textId="77777777" w:rsidR="00190CE3" w:rsidRPr="009D04CA" w:rsidRDefault="007B6920" w:rsidP="00190CE3">
      <w:pPr>
        <w:pStyle w:val="ListParagraph"/>
        <w:numPr>
          <w:ilvl w:val="0"/>
          <w:numId w:val="49"/>
        </w:numPr>
        <w:tabs>
          <w:tab w:val="right" w:pos="5760"/>
        </w:tabs>
        <w:rPr>
          <w:rFonts w:ascii="Arial" w:hAnsi="Arial"/>
        </w:rPr>
      </w:pPr>
      <w:r w:rsidRPr="007B6920">
        <w:rPr>
          <w:rFonts w:ascii="Arial" w:hAnsi="Arial"/>
        </w:rPr>
        <w:tab/>
        <w:t>all leases were assessed as to whether they were onerous at 31 March 2024, so right-of-use assets have not been subject to an impairment review – carrying amounts have been reduced by any provisions for onerous contracts that were in the 31 March 2024 Balance Sheet.</w:t>
      </w:r>
      <w:r w:rsidR="00190CE3" w:rsidRPr="00190CE3">
        <w:t xml:space="preserve"> </w:t>
      </w:r>
    </w:p>
    <w:p w14:paraId="191DFAE2" w14:textId="7ED114B6" w:rsidR="009D04CA" w:rsidRDefault="009D04CA" w:rsidP="009D04CA">
      <w:pPr>
        <w:tabs>
          <w:tab w:val="right" w:pos="5760"/>
        </w:tabs>
        <w:ind w:left="360"/>
        <w:rPr>
          <w:rFonts w:ascii="Arial" w:hAnsi="Arial"/>
          <w:b/>
          <w:bCs/>
          <w:u w:val="single"/>
        </w:rPr>
      </w:pPr>
      <w:r w:rsidRPr="009D04CA">
        <w:rPr>
          <w:rFonts w:ascii="Arial" w:hAnsi="Arial"/>
          <w:b/>
          <w:bCs/>
          <w:u w:val="single"/>
        </w:rPr>
        <w:t>Accounting Policy</w:t>
      </w:r>
    </w:p>
    <w:p w14:paraId="5C1DCCB8" w14:textId="77777777" w:rsidR="009D04CA" w:rsidRPr="009D04CA" w:rsidRDefault="009D04CA" w:rsidP="009D04CA">
      <w:pPr>
        <w:tabs>
          <w:tab w:val="right" w:pos="5760"/>
        </w:tabs>
        <w:ind w:left="360"/>
        <w:rPr>
          <w:rFonts w:ascii="Arial" w:hAnsi="Arial"/>
          <w:b/>
          <w:bCs/>
          <w:u w:val="single"/>
        </w:rPr>
      </w:pPr>
    </w:p>
    <w:p w14:paraId="36756721" w14:textId="16AA9812" w:rsidR="00101C3E" w:rsidRDefault="00101C3E" w:rsidP="009D04CA">
      <w:pPr>
        <w:pStyle w:val="ListParagraph"/>
        <w:tabs>
          <w:tab w:val="right" w:pos="5760"/>
        </w:tabs>
        <w:rPr>
          <w:rFonts w:ascii="Arial" w:hAnsi="Arial"/>
        </w:rPr>
      </w:pPr>
      <w:r w:rsidRPr="00101C3E">
        <w:rPr>
          <w:rFonts w:ascii="Arial" w:hAnsi="Arial"/>
        </w:rPr>
        <w:t>Leases for items of low value and leases that expire on or before 31 March 2025 are exempt from the new arrangements</w:t>
      </w:r>
      <w:r>
        <w:rPr>
          <w:rFonts w:ascii="Arial" w:hAnsi="Arial"/>
        </w:rPr>
        <w:t>. It was decided that the low value limit would be the same for owned assets and be set £15k.</w:t>
      </w:r>
    </w:p>
    <w:p w14:paraId="2C8ECE9E" w14:textId="77777777" w:rsidR="00393C15" w:rsidRDefault="00393C15" w:rsidP="00190CE3">
      <w:pPr>
        <w:pStyle w:val="ListParagraph"/>
        <w:tabs>
          <w:tab w:val="right" w:pos="5760"/>
        </w:tabs>
        <w:rPr>
          <w:rFonts w:ascii="Arial" w:hAnsi="Arial"/>
        </w:rPr>
      </w:pPr>
    </w:p>
    <w:p w14:paraId="12C335BF" w14:textId="4D901BFE" w:rsidR="00190CE3" w:rsidRDefault="00190CE3" w:rsidP="00190CE3">
      <w:pPr>
        <w:pStyle w:val="ListParagraph"/>
        <w:tabs>
          <w:tab w:val="right" w:pos="5760"/>
        </w:tabs>
        <w:rPr>
          <w:rFonts w:ascii="Arial" w:hAnsi="Arial"/>
        </w:rPr>
      </w:pPr>
      <w:r w:rsidRPr="00190CE3">
        <w:rPr>
          <w:rFonts w:ascii="Arial" w:hAnsi="Arial"/>
        </w:rPr>
        <w:t>This has resulted in the following additions to the Balance Sheet:</w:t>
      </w:r>
    </w:p>
    <w:p w14:paraId="081E515A" w14:textId="77777777" w:rsidR="00393C15" w:rsidRPr="00190CE3" w:rsidRDefault="00393C15" w:rsidP="00190CE3">
      <w:pPr>
        <w:pStyle w:val="ListParagraph"/>
        <w:tabs>
          <w:tab w:val="right" w:pos="5760"/>
        </w:tabs>
        <w:rPr>
          <w:rFonts w:ascii="Arial" w:hAnsi="Arial"/>
        </w:rPr>
      </w:pPr>
    </w:p>
    <w:p w14:paraId="65F18AA5" w14:textId="58C0F3E2" w:rsidR="00190CE3" w:rsidRPr="00393C15" w:rsidRDefault="00190CE3" w:rsidP="00393C15">
      <w:pPr>
        <w:pStyle w:val="ListParagraph"/>
        <w:numPr>
          <w:ilvl w:val="0"/>
          <w:numId w:val="50"/>
        </w:numPr>
        <w:tabs>
          <w:tab w:val="right" w:pos="5760"/>
        </w:tabs>
        <w:rPr>
          <w:rFonts w:ascii="Arial" w:hAnsi="Arial"/>
        </w:rPr>
      </w:pPr>
      <w:r w:rsidRPr="00393C15">
        <w:rPr>
          <w:rFonts w:ascii="Arial" w:hAnsi="Arial"/>
        </w:rPr>
        <w:t>£2.</w:t>
      </w:r>
      <w:r w:rsidR="006D3E06" w:rsidRPr="00393C15">
        <w:rPr>
          <w:rFonts w:ascii="Arial" w:hAnsi="Arial"/>
        </w:rPr>
        <w:t>571</w:t>
      </w:r>
      <w:r w:rsidRPr="00393C15">
        <w:rPr>
          <w:rFonts w:ascii="Arial" w:hAnsi="Arial"/>
        </w:rPr>
        <w:t xml:space="preserve">m Property, plant and equipment – land and buildings (right-of-use assets) </w:t>
      </w:r>
    </w:p>
    <w:p w14:paraId="33CEFFE8" w14:textId="4F0A8EE6" w:rsidR="00D11C3C" w:rsidRPr="00393C15" w:rsidRDefault="00D11C3C" w:rsidP="00393C15">
      <w:pPr>
        <w:pStyle w:val="ListParagraph"/>
        <w:numPr>
          <w:ilvl w:val="0"/>
          <w:numId w:val="50"/>
        </w:numPr>
        <w:tabs>
          <w:tab w:val="right" w:pos="5760"/>
        </w:tabs>
        <w:rPr>
          <w:rFonts w:ascii="Arial" w:hAnsi="Arial"/>
        </w:rPr>
      </w:pPr>
      <w:r w:rsidRPr="00393C15">
        <w:rPr>
          <w:rFonts w:ascii="Arial" w:hAnsi="Arial"/>
        </w:rPr>
        <w:t>£0.124m Property, plant and equipment – Donated Assets</w:t>
      </w:r>
    </w:p>
    <w:p w14:paraId="61B9EDD7" w14:textId="649ACCFC" w:rsidR="00190CE3" w:rsidRPr="00393C15" w:rsidRDefault="00190CE3" w:rsidP="00393C15">
      <w:pPr>
        <w:pStyle w:val="ListParagraph"/>
        <w:numPr>
          <w:ilvl w:val="0"/>
          <w:numId w:val="50"/>
        </w:numPr>
        <w:tabs>
          <w:tab w:val="right" w:pos="5760"/>
        </w:tabs>
        <w:rPr>
          <w:rFonts w:ascii="Arial" w:hAnsi="Arial"/>
        </w:rPr>
      </w:pPr>
      <w:r w:rsidRPr="00393C15">
        <w:rPr>
          <w:rFonts w:ascii="Arial" w:hAnsi="Arial"/>
        </w:rPr>
        <w:t>£2.2</w:t>
      </w:r>
      <w:r w:rsidR="006D3E06" w:rsidRPr="00393C15">
        <w:rPr>
          <w:rFonts w:ascii="Arial" w:hAnsi="Arial"/>
        </w:rPr>
        <w:t>55m</w:t>
      </w:r>
      <w:r w:rsidRPr="00393C15">
        <w:rPr>
          <w:rFonts w:ascii="Arial" w:hAnsi="Arial"/>
        </w:rPr>
        <w:t xml:space="preserve"> Non-current lease liabilities</w:t>
      </w:r>
    </w:p>
    <w:p w14:paraId="34E63E21" w14:textId="5C614064" w:rsidR="00190CE3" w:rsidRPr="00393C15" w:rsidRDefault="00190CE3" w:rsidP="00393C15">
      <w:pPr>
        <w:pStyle w:val="ListParagraph"/>
        <w:numPr>
          <w:ilvl w:val="0"/>
          <w:numId w:val="50"/>
        </w:numPr>
        <w:tabs>
          <w:tab w:val="right" w:pos="5760"/>
        </w:tabs>
        <w:rPr>
          <w:rFonts w:ascii="Arial" w:hAnsi="Arial"/>
        </w:rPr>
      </w:pPr>
      <w:r w:rsidRPr="00393C15">
        <w:rPr>
          <w:rFonts w:ascii="Arial" w:hAnsi="Arial"/>
        </w:rPr>
        <w:t>£</w:t>
      </w:r>
      <w:r w:rsidR="006D3E06" w:rsidRPr="00393C15">
        <w:rPr>
          <w:rFonts w:ascii="Arial" w:hAnsi="Arial"/>
        </w:rPr>
        <w:t>0.252m</w:t>
      </w:r>
      <w:r w:rsidRPr="00393C15">
        <w:rPr>
          <w:rFonts w:ascii="Arial" w:hAnsi="Arial"/>
        </w:rPr>
        <w:t xml:space="preserve"> Current creditors (lease liabilities)</w:t>
      </w:r>
    </w:p>
    <w:p w14:paraId="1EB06284" w14:textId="2235EDFF" w:rsidR="007B6920" w:rsidRPr="00393C15" w:rsidRDefault="00190CE3" w:rsidP="00393C15">
      <w:pPr>
        <w:pStyle w:val="ListParagraph"/>
        <w:numPr>
          <w:ilvl w:val="0"/>
          <w:numId w:val="50"/>
        </w:numPr>
        <w:tabs>
          <w:tab w:val="right" w:pos="5760"/>
        </w:tabs>
        <w:rPr>
          <w:rFonts w:ascii="Arial" w:hAnsi="Arial"/>
        </w:rPr>
      </w:pPr>
      <w:r w:rsidRPr="00393C15">
        <w:rPr>
          <w:rFonts w:ascii="Arial" w:hAnsi="Arial"/>
        </w:rPr>
        <w:t>The newly recognised lease liabilities of £</w:t>
      </w:r>
      <w:r w:rsidR="00D11C3C" w:rsidRPr="00393C15">
        <w:rPr>
          <w:rFonts w:ascii="Arial" w:hAnsi="Arial"/>
        </w:rPr>
        <w:t>2.507m. The difference of £0.064m relates to payments in advance.</w:t>
      </w:r>
    </w:p>
    <w:p w14:paraId="002AB4AA" w14:textId="014F83B4" w:rsidR="007B6920" w:rsidRPr="00101C3E" w:rsidRDefault="00101C3E" w:rsidP="00101C3E">
      <w:pPr>
        <w:tabs>
          <w:tab w:val="right" w:pos="5760"/>
        </w:tabs>
        <w:ind w:left="360"/>
        <w:rPr>
          <w:rFonts w:ascii="Arial" w:hAnsi="Arial"/>
          <w:sz w:val="22"/>
          <w:szCs w:val="22"/>
        </w:rPr>
      </w:pPr>
      <w:r w:rsidRPr="00101C3E">
        <w:rPr>
          <w:rFonts w:ascii="Arial" w:hAnsi="Arial"/>
          <w:sz w:val="22"/>
          <w:szCs w:val="22"/>
        </w:rPr>
        <w:t>The detailed effects of these changes are shown in the following notes.</w:t>
      </w:r>
    </w:p>
    <w:p w14:paraId="6645343F" w14:textId="77777777" w:rsidR="007B6920" w:rsidRPr="00F15B26" w:rsidRDefault="007B6920" w:rsidP="007B6920">
      <w:pPr>
        <w:tabs>
          <w:tab w:val="right" w:pos="5760"/>
        </w:tabs>
        <w:ind w:left="720"/>
        <w:rPr>
          <w:rFonts w:ascii="Arial" w:hAnsi="Arial"/>
          <w:sz w:val="22"/>
          <w:szCs w:val="22"/>
        </w:rPr>
      </w:pPr>
    </w:p>
    <w:p w14:paraId="0CE64A30" w14:textId="6A0932A9" w:rsidR="00393C15" w:rsidRDefault="00393C15">
      <w:pPr>
        <w:rPr>
          <w:rFonts w:ascii="Arial" w:hAnsi="Arial"/>
          <w:sz w:val="22"/>
          <w:szCs w:val="22"/>
        </w:rPr>
      </w:pPr>
      <w:r>
        <w:rPr>
          <w:rFonts w:ascii="Arial" w:hAnsi="Arial"/>
          <w:sz w:val="22"/>
          <w:szCs w:val="22"/>
        </w:rPr>
        <w:br w:type="page"/>
      </w:r>
    </w:p>
    <w:p w14:paraId="3A6C4DB9" w14:textId="31BA6358" w:rsidR="003B74DA" w:rsidRPr="00F15B26" w:rsidRDefault="003B74DA" w:rsidP="00F15B26">
      <w:pPr>
        <w:numPr>
          <w:ilvl w:val="0"/>
          <w:numId w:val="1"/>
        </w:numPr>
        <w:tabs>
          <w:tab w:val="right" w:pos="5760"/>
        </w:tabs>
        <w:rPr>
          <w:rFonts w:ascii="Arial" w:hAnsi="Arial"/>
          <w:sz w:val="22"/>
          <w:szCs w:val="22"/>
        </w:rPr>
      </w:pPr>
      <w:r w:rsidRPr="00F15B26">
        <w:rPr>
          <w:rFonts w:ascii="Arial" w:hAnsi="Arial"/>
          <w:b/>
          <w:sz w:val="22"/>
          <w:szCs w:val="22"/>
        </w:rPr>
        <w:lastRenderedPageBreak/>
        <w:t xml:space="preserve">Property, Plant and Equipment </w:t>
      </w:r>
    </w:p>
    <w:p w14:paraId="67EE8E71" w14:textId="77777777" w:rsidR="003B74DA" w:rsidRPr="00B771FA" w:rsidRDefault="003B74DA" w:rsidP="003B74DA">
      <w:pPr>
        <w:tabs>
          <w:tab w:val="right" w:pos="5760"/>
        </w:tabs>
        <w:rPr>
          <w:rFonts w:ascii="Arial" w:hAnsi="Arial"/>
          <w:b/>
          <w:sz w:val="22"/>
          <w:szCs w:val="22"/>
        </w:rPr>
      </w:pPr>
    </w:p>
    <w:p w14:paraId="45DB75E5" w14:textId="77777777" w:rsidR="003B74DA" w:rsidRPr="00B771FA" w:rsidRDefault="003B74DA" w:rsidP="003B74DA">
      <w:pPr>
        <w:spacing w:after="240"/>
        <w:ind w:left="426"/>
        <w:rPr>
          <w:rFonts w:ascii="Arial" w:hAnsi="Arial"/>
          <w:sz w:val="22"/>
          <w:szCs w:val="22"/>
          <w:u w:val="single"/>
        </w:rPr>
      </w:pPr>
      <w:r w:rsidRPr="00B771FA">
        <w:rPr>
          <w:rFonts w:ascii="Arial" w:hAnsi="Arial"/>
          <w:sz w:val="22"/>
          <w:szCs w:val="22"/>
          <w:u w:val="single"/>
        </w:rPr>
        <w:t>Accounting Policies</w:t>
      </w:r>
    </w:p>
    <w:p w14:paraId="63909AA4" w14:textId="77777777" w:rsidR="00F15B26" w:rsidRDefault="003B74DA" w:rsidP="00F15B26">
      <w:pPr>
        <w:spacing w:after="240"/>
        <w:ind w:left="525"/>
        <w:jc w:val="both"/>
      </w:pPr>
      <w:r w:rsidRPr="00B771FA">
        <w:rPr>
          <w:rFonts w:ascii="Arial" w:hAnsi="Arial" w:cs="Arial"/>
          <w:sz w:val="22"/>
          <w:szCs w:val="22"/>
        </w:rPr>
        <w:t>Physical assets that are held for use in the production or supply of goods or services, for rental to others, or for administrative purposes and that are expected to be used during more than one financial year are classified as property, plant and equipment.</w:t>
      </w:r>
      <w:r w:rsidR="00F15B26" w:rsidRPr="00F15B26">
        <w:t xml:space="preserve"> </w:t>
      </w:r>
    </w:p>
    <w:p w14:paraId="22AD5E53" w14:textId="77777777" w:rsidR="003B74DA" w:rsidRPr="00B771FA" w:rsidRDefault="003B74DA" w:rsidP="003B74DA">
      <w:pPr>
        <w:spacing w:after="240"/>
        <w:ind w:left="525"/>
        <w:jc w:val="both"/>
        <w:rPr>
          <w:rFonts w:ascii="Arial" w:hAnsi="Arial" w:cs="Arial"/>
          <w:b/>
        </w:rPr>
      </w:pPr>
      <w:r w:rsidRPr="00B771FA">
        <w:rPr>
          <w:rFonts w:ascii="Arial" w:hAnsi="Arial" w:cs="Arial"/>
          <w:b/>
        </w:rPr>
        <w:t>Recognition</w:t>
      </w:r>
    </w:p>
    <w:p w14:paraId="7008644D" w14:textId="77777777" w:rsidR="003B74DA" w:rsidRPr="00B771FA" w:rsidRDefault="003B74DA" w:rsidP="003B74DA">
      <w:pPr>
        <w:spacing w:after="240"/>
        <w:ind w:left="525"/>
        <w:jc w:val="both"/>
        <w:rPr>
          <w:rFonts w:ascii="Arial" w:hAnsi="Arial" w:cs="Arial"/>
          <w:sz w:val="22"/>
          <w:szCs w:val="22"/>
        </w:rPr>
      </w:pPr>
      <w:r w:rsidRPr="00B771FA">
        <w:rPr>
          <w:rFonts w:ascii="Arial" w:hAnsi="Arial" w:cs="Arial"/>
          <w:sz w:val="22"/>
          <w:szCs w:val="22"/>
        </w:rPr>
        <w:t xml:space="preserve">Expenditure on the acquisition, creation or enhancement of property, plant and equipment </w:t>
      </w:r>
      <w:proofErr w:type="gramStart"/>
      <w:r w:rsidRPr="00B771FA">
        <w:rPr>
          <w:rFonts w:ascii="Arial" w:hAnsi="Arial" w:cs="Arial"/>
          <w:sz w:val="22"/>
          <w:szCs w:val="22"/>
        </w:rPr>
        <w:t>in excess of</w:t>
      </w:r>
      <w:proofErr w:type="gramEnd"/>
      <w:r w:rsidRPr="00B771FA">
        <w:rPr>
          <w:rFonts w:ascii="Arial" w:hAnsi="Arial" w:cs="Arial"/>
          <w:sz w:val="22"/>
          <w:szCs w:val="22"/>
        </w:rPr>
        <w:t xml:space="preserve"> £15,000 is capitalised on an accruals basis, </w:t>
      </w:r>
      <w:proofErr w:type="gramStart"/>
      <w:r w:rsidRPr="00B771FA">
        <w:rPr>
          <w:rFonts w:ascii="Arial" w:hAnsi="Arial" w:cs="Arial"/>
          <w:sz w:val="22"/>
          <w:szCs w:val="22"/>
        </w:rPr>
        <w:t>provided that</w:t>
      </w:r>
      <w:proofErr w:type="gramEnd"/>
      <w:r w:rsidRPr="00B771FA">
        <w:rPr>
          <w:rFonts w:ascii="Arial" w:hAnsi="Arial" w:cs="Arial"/>
          <w:sz w:val="22"/>
          <w:szCs w:val="22"/>
        </w:rPr>
        <w:t xml:space="preserve"> it is probable that the future economic benefits or service potential associated with the item will flow to the PCC Group and the cost of the item can be measured reliably. Expenditure that maintains but does not add to an asset’s potential to deliver future economic benefits or service potential (i.e. repairs and maintenance) is charged as an expense when it is incurred.</w:t>
      </w:r>
    </w:p>
    <w:p w14:paraId="0CFCC920" w14:textId="77777777" w:rsidR="003B74DA" w:rsidRPr="00B771FA" w:rsidRDefault="003B74DA" w:rsidP="003B74DA">
      <w:pPr>
        <w:spacing w:after="240"/>
        <w:ind w:left="525"/>
        <w:jc w:val="both"/>
        <w:rPr>
          <w:rFonts w:ascii="Arial" w:hAnsi="Arial" w:cs="Arial"/>
          <w:b/>
        </w:rPr>
      </w:pPr>
      <w:r w:rsidRPr="00B771FA">
        <w:rPr>
          <w:rFonts w:ascii="Arial" w:hAnsi="Arial" w:cs="Arial"/>
          <w:b/>
        </w:rPr>
        <w:t>Measurement</w:t>
      </w:r>
    </w:p>
    <w:p w14:paraId="58BC7A82" w14:textId="77777777" w:rsidR="003B74DA" w:rsidRPr="00B771FA" w:rsidRDefault="003B74DA" w:rsidP="003B74DA">
      <w:pPr>
        <w:spacing w:after="240"/>
        <w:ind w:left="525"/>
        <w:jc w:val="both"/>
        <w:rPr>
          <w:rFonts w:ascii="Arial" w:hAnsi="Arial" w:cs="Arial"/>
          <w:sz w:val="22"/>
          <w:szCs w:val="22"/>
        </w:rPr>
      </w:pPr>
      <w:r w:rsidRPr="00B771FA">
        <w:rPr>
          <w:rFonts w:ascii="Arial" w:hAnsi="Arial" w:cs="Arial"/>
          <w:sz w:val="22"/>
          <w:szCs w:val="22"/>
        </w:rPr>
        <w:t>For assets that are purchased they are initially recognised at cost. The cost comprises:</w:t>
      </w:r>
    </w:p>
    <w:p w14:paraId="51B4BBAC" w14:textId="77777777" w:rsidR="003B74DA" w:rsidRPr="00B771FA" w:rsidRDefault="003B74DA" w:rsidP="003B74DA">
      <w:pPr>
        <w:numPr>
          <w:ilvl w:val="0"/>
          <w:numId w:val="5"/>
        </w:numPr>
        <w:spacing w:after="240"/>
        <w:jc w:val="both"/>
        <w:rPr>
          <w:rFonts w:ascii="Arial" w:hAnsi="Arial" w:cs="Arial"/>
          <w:sz w:val="22"/>
          <w:szCs w:val="22"/>
        </w:rPr>
      </w:pPr>
      <w:r w:rsidRPr="00B771FA">
        <w:rPr>
          <w:rFonts w:ascii="Arial" w:hAnsi="Arial" w:cs="Arial"/>
          <w:sz w:val="22"/>
          <w:szCs w:val="22"/>
        </w:rPr>
        <w:t>the purchase price;</w:t>
      </w:r>
    </w:p>
    <w:p w14:paraId="1D908549" w14:textId="77777777" w:rsidR="003B74DA" w:rsidRPr="00B771FA" w:rsidRDefault="003B74DA" w:rsidP="003B74DA">
      <w:pPr>
        <w:numPr>
          <w:ilvl w:val="0"/>
          <w:numId w:val="5"/>
        </w:numPr>
        <w:spacing w:after="240"/>
        <w:jc w:val="both"/>
        <w:rPr>
          <w:rFonts w:ascii="Arial" w:hAnsi="Arial" w:cs="Arial"/>
          <w:sz w:val="22"/>
          <w:szCs w:val="22"/>
        </w:rPr>
      </w:pPr>
      <w:r w:rsidRPr="00B771FA">
        <w:rPr>
          <w:rFonts w:ascii="Arial" w:hAnsi="Arial" w:cs="Arial"/>
          <w:sz w:val="22"/>
          <w:szCs w:val="22"/>
        </w:rPr>
        <w:t>any costs attributable to bringing the asset to the location and condition necessary for it to be operational.</w:t>
      </w:r>
    </w:p>
    <w:p w14:paraId="4C560627" w14:textId="77777777" w:rsidR="003B74DA" w:rsidRPr="00B771FA" w:rsidRDefault="003B74DA" w:rsidP="003B74DA">
      <w:pPr>
        <w:spacing w:after="240"/>
        <w:ind w:left="525"/>
        <w:jc w:val="both"/>
        <w:rPr>
          <w:rFonts w:ascii="Arial" w:hAnsi="Arial" w:cs="Arial"/>
          <w:sz w:val="22"/>
          <w:szCs w:val="22"/>
        </w:rPr>
      </w:pPr>
      <w:r w:rsidRPr="00B771FA">
        <w:rPr>
          <w:rFonts w:ascii="Arial" w:hAnsi="Arial" w:cs="Arial"/>
          <w:sz w:val="22"/>
          <w:szCs w:val="22"/>
        </w:rPr>
        <w:t>Assets that are being constructed by the PCC Group will initially be recognised at cost. Only those costs that can be directly attributable to bringing the asset into operation will be capitalised. The PCC does not capitalise borrowing costs incurred whilst assets are under construction.</w:t>
      </w:r>
    </w:p>
    <w:p w14:paraId="1B36EEB2" w14:textId="77777777" w:rsidR="003B74DA" w:rsidRPr="00B771FA" w:rsidRDefault="003B74DA" w:rsidP="003B74DA">
      <w:pPr>
        <w:spacing w:after="240"/>
        <w:ind w:left="525"/>
        <w:jc w:val="both"/>
        <w:rPr>
          <w:rFonts w:ascii="Arial" w:hAnsi="Arial" w:cs="Arial"/>
          <w:sz w:val="22"/>
          <w:szCs w:val="22"/>
        </w:rPr>
      </w:pPr>
      <w:r w:rsidRPr="00B771FA">
        <w:rPr>
          <w:rFonts w:ascii="Arial" w:hAnsi="Arial" w:cs="Arial"/>
          <w:sz w:val="22"/>
          <w:szCs w:val="22"/>
        </w:rPr>
        <w:t>Assets are then carried in the PCC and PCC Group balance sheets using the following measurement bases:</w:t>
      </w:r>
    </w:p>
    <w:p w14:paraId="256FE50D" w14:textId="77777777" w:rsidR="003B74DA" w:rsidRPr="00B771FA" w:rsidRDefault="003B74DA" w:rsidP="004E2882">
      <w:pPr>
        <w:numPr>
          <w:ilvl w:val="0"/>
          <w:numId w:val="14"/>
        </w:numPr>
        <w:spacing w:after="240"/>
        <w:jc w:val="both"/>
        <w:rPr>
          <w:rFonts w:ascii="Arial" w:hAnsi="Arial" w:cs="Arial"/>
          <w:sz w:val="22"/>
          <w:szCs w:val="22"/>
        </w:rPr>
      </w:pPr>
      <w:r w:rsidRPr="00B771FA">
        <w:rPr>
          <w:rFonts w:ascii="Arial" w:hAnsi="Arial" w:cs="Arial"/>
          <w:sz w:val="22"/>
          <w:szCs w:val="22"/>
        </w:rPr>
        <w:t>assets under construction – historical cost</w:t>
      </w:r>
    </w:p>
    <w:p w14:paraId="50B2FB03" w14:textId="77777777" w:rsidR="003B74DA" w:rsidRPr="00B771FA" w:rsidRDefault="003B74DA" w:rsidP="004E2882">
      <w:pPr>
        <w:numPr>
          <w:ilvl w:val="0"/>
          <w:numId w:val="14"/>
        </w:numPr>
        <w:spacing w:after="240"/>
        <w:jc w:val="both"/>
        <w:rPr>
          <w:rFonts w:ascii="Arial" w:hAnsi="Arial" w:cs="Arial"/>
          <w:sz w:val="22"/>
          <w:szCs w:val="22"/>
        </w:rPr>
      </w:pPr>
      <w:r w:rsidRPr="00B771FA">
        <w:rPr>
          <w:rFonts w:ascii="Arial" w:hAnsi="Arial" w:cs="Arial"/>
          <w:sz w:val="22"/>
          <w:szCs w:val="22"/>
        </w:rPr>
        <w:t>all other assets – current value, determined as the amount that would be paid for the asset in its existing use (existing use value – EUV).</w:t>
      </w:r>
    </w:p>
    <w:p w14:paraId="7D549361" w14:textId="77777777" w:rsidR="003B74DA" w:rsidRPr="00B771FA" w:rsidRDefault="003B74DA" w:rsidP="003B74DA">
      <w:pPr>
        <w:spacing w:after="240"/>
        <w:ind w:left="525"/>
        <w:jc w:val="both"/>
        <w:rPr>
          <w:rFonts w:ascii="Arial" w:hAnsi="Arial" w:cs="Arial"/>
          <w:sz w:val="22"/>
          <w:szCs w:val="22"/>
        </w:rPr>
      </w:pPr>
      <w:r w:rsidRPr="00B771FA">
        <w:rPr>
          <w:rFonts w:ascii="Arial" w:hAnsi="Arial" w:cs="Arial"/>
          <w:sz w:val="22"/>
          <w:szCs w:val="22"/>
        </w:rPr>
        <w:t>Where there is no market-based evidence of current value because of the specialist nature of an asset, depreciated replacement cost (DRC) is used as an estimate of current value.</w:t>
      </w:r>
    </w:p>
    <w:p w14:paraId="30A6E2A8" w14:textId="77777777" w:rsidR="003B74DA" w:rsidRPr="00B771FA" w:rsidRDefault="003B74DA" w:rsidP="003B74DA">
      <w:pPr>
        <w:spacing w:after="240"/>
        <w:ind w:left="525"/>
        <w:jc w:val="both"/>
        <w:rPr>
          <w:rFonts w:ascii="Arial" w:hAnsi="Arial" w:cs="Arial"/>
          <w:sz w:val="22"/>
          <w:szCs w:val="22"/>
        </w:rPr>
      </w:pPr>
      <w:r w:rsidRPr="00B771FA">
        <w:rPr>
          <w:rFonts w:ascii="Arial" w:hAnsi="Arial" w:cs="Arial"/>
          <w:sz w:val="22"/>
          <w:szCs w:val="22"/>
        </w:rPr>
        <w:t>Where non-property assets, principally furniture, equipment and vehicles that have short useful lives or low values (or both), depreciated historical cost basis is used as a proxy for fair value.</w:t>
      </w:r>
    </w:p>
    <w:p w14:paraId="0D520899" w14:textId="146EE2DD" w:rsidR="003B74DA" w:rsidRPr="00B771FA" w:rsidRDefault="003B74DA" w:rsidP="003B74DA">
      <w:pPr>
        <w:spacing w:after="240"/>
        <w:ind w:left="525"/>
        <w:jc w:val="both"/>
        <w:rPr>
          <w:rFonts w:ascii="Arial" w:hAnsi="Arial" w:cs="Arial"/>
          <w:sz w:val="22"/>
          <w:szCs w:val="22"/>
        </w:rPr>
      </w:pPr>
      <w:r w:rsidRPr="00B771FA">
        <w:rPr>
          <w:rFonts w:ascii="Arial" w:hAnsi="Arial" w:cs="Arial"/>
          <w:sz w:val="22"/>
          <w:szCs w:val="22"/>
        </w:rPr>
        <w:t xml:space="preserve">All assets held on a valuation basis, as determined by the code of practice, have been reviewed within a three-year period by RICS qualified surveyors at </w:t>
      </w:r>
      <w:r w:rsidR="00731FEF" w:rsidRPr="00B771FA">
        <w:rPr>
          <w:rFonts w:ascii="Arial" w:hAnsi="Arial" w:cs="Arial"/>
          <w:sz w:val="22"/>
          <w:szCs w:val="22"/>
        </w:rPr>
        <w:t xml:space="preserve">Aspin &amp; Co </w:t>
      </w:r>
      <w:r w:rsidRPr="00B771FA">
        <w:rPr>
          <w:rFonts w:ascii="Arial" w:hAnsi="Arial" w:cs="Arial"/>
          <w:sz w:val="22"/>
          <w:szCs w:val="22"/>
        </w:rPr>
        <w:t xml:space="preserve">to ensure that </w:t>
      </w:r>
      <w:r w:rsidRPr="00B771FA">
        <w:rPr>
          <w:rFonts w:ascii="Arial" w:hAnsi="Arial"/>
          <w:sz w:val="22"/>
          <w:szCs w:val="22"/>
        </w:rPr>
        <w:t>the carrying amounts are not materially different from fair value at the balance sheet date</w:t>
      </w:r>
      <w:r w:rsidRPr="00B771FA">
        <w:rPr>
          <w:rFonts w:ascii="Arial" w:hAnsi="Arial" w:cs="Arial"/>
          <w:sz w:val="22"/>
          <w:szCs w:val="22"/>
        </w:rPr>
        <w:t xml:space="preserve">.  Increases in valuations are matched by credits to the Revaluation Reserve to recognise unrealised gains unless the gain reverses a loss previously charged to a service. In this case the gain up to the amount of the loss will be credited to the CIES. </w:t>
      </w:r>
    </w:p>
    <w:p w14:paraId="1F208696" w14:textId="77777777" w:rsidR="003B74DA" w:rsidRPr="00B771FA" w:rsidRDefault="003B74DA" w:rsidP="003B74DA">
      <w:pPr>
        <w:spacing w:after="240"/>
        <w:ind w:left="525"/>
        <w:jc w:val="both"/>
        <w:rPr>
          <w:rFonts w:ascii="Arial" w:hAnsi="Arial" w:cs="Arial"/>
          <w:sz w:val="22"/>
          <w:szCs w:val="22"/>
        </w:rPr>
      </w:pPr>
      <w:r w:rsidRPr="00B771FA">
        <w:rPr>
          <w:rFonts w:ascii="Arial" w:hAnsi="Arial" w:cs="Arial"/>
          <w:sz w:val="22"/>
          <w:szCs w:val="22"/>
        </w:rPr>
        <w:t>Where decreases in value are identified, they are accounted for as follows:</w:t>
      </w:r>
    </w:p>
    <w:p w14:paraId="3DD7FA64" w14:textId="77777777" w:rsidR="003B74DA" w:rsidRPr="00B771FA" w:rsidRDefault="003B74DA" w:rsidP="003B74DA">
      <w:pPr>
        <w:numPr>
          <w:ilvl w:val="0"/>
          <w:numId w:val="6"/>
        </w:numPr>
        <w:spacing w:after="240"/>
        <w:jc w:val="both"/>
        <w:rPr>
          <w:rFonts w:ascii="Arial" w:hAnsi="Arial" w:cs="Arial"/>
          <w:sz w:val="22"/>
          <w:szCs w:val="22"/>
        </w:rPr>
      </w:pPr>
      <w:r w:rsidRPr="00B771FA">
        <w:rPr>
          <w:rFonts w:ascii="Arial" w:hAnsi="Arial" w:cs="Arial"/>
          <w:sz w:val="22"/>
          <w:szCs w:val="22"/>
        </w:rPr>
        <w:t>where there is a balance of revaluation gains for the asset in the revaluation reserve, the carrying amount of the asset is written down against that balance (up to the amount of the accumulated gains)</w:t>
      </w:r>
    </w:p>
    <w:p w14:paraId="21AD9643" w14:textId="77777777" w:rsidR="003B74DA" w:rsidRPr="00B771FA" w:rsidRDefault="003B74DA" w:rsidP="003B74DA">
      <w:pPr>
        <w:numPr>
          <w:ilvl w:val="0"/>
          <w:numId w:val="6"/>
        </w:numPr>
        <w:spacing w:after="240"/>
        <w:jc w:val="both"/>
        <w:rPr>
          <w:rFonts w:ascii="Arial" w:hAnsi="Arial" w:cs="Arial"/>
          <w:sz w:val="22"/>
          <w:szCs w:val="22"/>
        </w:rPr>
      </w:pPr>
      <w:r w:rsidRPr="00B771FA">
        <w:rPr>
          <w:rFonts w:ascii="Arial" w:hAnsi="Arial" w:cs="Arial"/>
          <w:sz w:val="22"/>
          <w:szCs w:val="22"/>
        </w:rPr>
        <w:lastRenderedPageBreak/>
        <w:t>where there is no balance in the revaluation reserve or an insufficient balance, the carrying amount of the asset is written down against the relevant service line(s) in the CIES.</w:t>
      </w:r>
    </w:p>
    <w:p w14:paraId="1B6A4A34" w14:textId="77777777" w:rsidR="003B74DA" w:rsidRPr="00B771FA" w:rsidRDefault="003B74DA" w:rsidP="003B74DA">
      <w:pPr>
        <w:spacing w:after="240"/>
        <w:ind w:left="390"/>
        <w:jc w:val="both"/>
        <w:rPr>
          <w:rFonts w:ascii="Arial" w:hAnsi="Arial" w:cs="Arial"/>
          <w:sz w:val="22"/>
          <w:szCs w:val="22"/>
        </w:rPr>
      </w:pPr>
      <w:r w:rsidRPr="00B771FA">
        <w:rPr>
          <w:rFonts w:ascii="Arial" w:hAnsi="Arial" w:cs="Arial"/>
          <w:sz w:val="22"/>
          <w:szCs w:val="22"/>
        </w:rPr>
        <w:t xml:space="preserve">The revaluation reserve contains revaluation gains recognised since 1 April 2007 only, the date of its formal implementation. The revaluation reserve was created with effect from 1 April 2007 with a </w:t>
      </w:r>
      <w:proofErr w:type="gramStart"/>
      <w:r w:rsidRPr="00B771FA">
        <w:rPr>
          <w:rFonts w:ascii="Arial" w:hAnsi="Arial" w:cs="Arial"/>
          <w:sz w:val="22"/>
          <w:szCs w:val="22"/>
        </w:rPr>
        <w:t>zero opening</w:t>
      </w:r>
      <w:proofErr w:type="gramEnd"/>
      <w:r w:rsidRPr="00B771FA">
        <w:rPr>
          <w:rFonts w:ascii="Arial" w:hAnsi="Arial" w:cs="Arial"/>
          <w:sz w:val="22"/>
          <w:szCs w:val="22"/>
        </w:rPr>
        <w:t xml:space="preserve"> balance. Gains arising before that date have been consolidated into the capital adjustment account.</w:t>
      </w:r>
    </w:p>
    <w:p w14:paraId="57AD79C4" w14:textId="77777777" w:rsidR="003B74DA" w:rsidRPr="00B771FA" w:rsidRDefault="003B74DA" w:rsidP="003B74DA">
      <w:pPr>
        <w:spacing w:after="240"/>
        <w:ind w:left="390"/>
        <w:jc w:val="both"/>
        <w:rPr>
          <w:rFonts w:ascii="Arial" w:hAnsi="Arial" w:cs="Arial"/>
          <w:b/>
        </w:rPr>
      </w:pPr>
      <w:bookmarkStart w:id="20" w:name="_Hlk75160412"/>
      <w:r w:rsidRPr="00B771FA">
        <w:rPr>
          <w:rFonts w:ascii="Arial" w:hAnsi="Arial" w:cs="Arial"/>
          <w:b/>
        </w:rPr>
        <w:t>Impairment</w:t>
      </w:r>
    </w:p>
    <w:p w14:paraId="2DEFCF13" w14:textId="5914B22E" w:rsidR="00290AFB" w:rsidRPr="00B771FA" w:rsidRDefault="00290AFB" w:rsidP="00290AFB">
      <w:pPr>
        <w:spacing w:after="240"/>
        <w:ind w:left="390"/>
        <w:jc w:val="both"/>
        <w:rPr>
          <w:rFonts w:ascii="Arial" w:eastAsia="Calibri" w:hAnsi="Arial" w:cs="Arial"/>
          <w:sz w:val="22"/>
          <w:szCs w:val="22"/>
          <w:lang w:eastAsia="en-US"/>
        </w:rPr>
      </w:pPr>
      <w:r w:rsidRPr="00B771FA">
        <w:rPr>
          <w:rFonts w:ascii="Arial" w:eastAsia="Calibri" w:hAnsi="Arial" w:cs="Arial"/>
          <w:sz w:val="22"/>
          <w:szCs w:val="22"/>
          <w:lang w:eastAsia="en-US"/>
        </w:rPr>
        <w:t xml:space="preserve">Assets are assessed at each year-end as to whether there is any indication that an asset may be impaired. Where indications exist and any possible differences are estimated to be material, the recoverable amount of the asset is estimated and, where this is less than the carrying amount of the asset, an impairment loss is recognised for the shortfall. No impairments were identified in </w:t>
      </w:r>
      <w:r w:rsidR="00C37E7F">
        <w:rPr>
          <w:rFonts w:ascii="Arial" w:eastAsia="Calibri" w:hAnsi="Arial" w:cs="Arial"/>
          <w:sz w:val="22"/>
          <w:szCs w:val="22"/>
          <w:lang w:eastAsia="en-US"/>
        </w:rPr>
        <w:t>2024/25</w:t>
      </w:r>
      <w:r w:rsidR="0023711F" w:rsidRPr="00B771FA">
        <w:rPr>
          <w:rFonts w:ascii="Arial" w:eastAsia="Calibri" w:hAnsi="Arial" w:cs="Arial"/>
          <w:sz w:val="22"/>
          <w:szCs w:val="22"/>
          <w:lang w:eastAsia="en-US"/>
        </w:rPr>
        <w:t>.</w:t>
      </w:r>
    </w:p>
    <w:bookmarkEnd w:id="20"/>
    <w:p w14:paraId="707AD59C" w14:textId="77777777" w:rsidR="003B74DA" w:rsidRPr="00B771FA" w:rsidRDefault="003B74DA" w:rsidP="00F20798">
      <w:pPr>
        <w:spacing w:after="240"/>
        <w:ind w:left="390"/>
        <w:jc w:val="both"/>
        <w:rPr>
          <w:rFonts w:ascii="Arial" w:hAnsi="Arial" w:cs="Arial"/>
          <w:b/>
        </w:rPr>
      </w:pPr>
      <w:r w:rsidRPr="00B771FA">
        <w:rPr>
          <w:rFonts w:ascii="Arial" w:hAnsi="Arial" w:cs="Arial"/>
          <w:b/>
        </w:rPr>
        <w:t>Depreciation</w:t>
      </w:r>
    </w:p>
    <w:p w14:paraId="3361C22D" w14:textId="52B2AF5B" w:rsidR="003B74DA" w:rsidRPr="00B771FA" w:rsidRDefault="003B74DA" w:rsidP="00F20798">
      <w:pPr>
        <w:spacing w:after="240"/>
        <w:ind w:left="390"/>
        <w:jc w:val="both"/>
        <w:rPr>
          <w:rFonts w:ascii="Arial" w:hAnsi="Arial" w:cs="Arial"/>
          <w:sz w:val="22"/>
          <w:szCs w:val="22"/>
        </w:rPr>
      </w:pPr>
      <w:r w:rsidRPr="00B771FA">
        <w:rPr>
          <w:rFonts w:ascii="Arial" w:hAnsi="Arial" w:cs="Arial"/>
          <w:sz w:val="22"/>
          <w:szCs w:val="22"/>
        </w:rPr>
        <w:t>Depreciation is provided for on all property, plant and equipment assets by the systematic allocation of their depreciable amounts over their useful lives. An exception is made for assets without a determinable finite useful life (i.e. freehold land) and assets that are not yet available for use (i.e. assets under construction).</w:t>
      </w:r>
    </w:p>
    <w:p w14:paraId="4862FF9B" w14:textId="77777777" w:rsidR="003B74DA" w:rsidRPr="00B771FA" w:rsidRDefault="003B74DA" w:rsidP="00F20798">
      <w:pPr>
        <w:spacing w:after="240"/>
        <w:ind w:left="390"/>
        <w:jc w:val="both"/>
        <w:rPr>
          <w:rFonts w:ascii="Arial" w:hAnsi="Arial" w:cs="Arial"/>
          <w:sz w:val="22"/>
          <w:szCs w:val="22"/>
        </w:rPr>
      </w:pPr>
      <w:r w:rsidRPr="00B771FA">
        <w:rPr>
          <w:rFonts w:ascii="Arial" w:hAnsi="Arial" w:cs="Arial"/>
          <w:sz w:val="22"/>
          <w:szCs w:val="22"/>
        </w:rPr>
        <w:t>Depreciation is calculated on the following bases:</w:t>
      </w:r>
    </w:p>
    <w:p w14:paraId="18F4AD2F" w14:textId="77777777" w:rsidR="003B74DA" w:rsidRPr="00B771FA" w:rsidRDefault="003B74DA" w:rsidP="003B74DA">
      <w:pPr>
        <w:numPr>
          <w:ilvl w:val="0"/>
          <w:numId w:val="7"/>
        </w:numPr>
        <w:spacing w:after="240"/>
        <w:jc w:val="both"/>
        <w:rPr>
          <w:rFonts w:ascii="Arial" w:hAnsi="Arial" w:cs="Arial"/>
          <w:sz w:val="22"/>
          <w:szCs w:val="22"/>
        </w:rPr>
      </w:pPr>
      <w:r w:rsidRPr="00B771FA">
        <w:rPr>
          <w:rFonts w:ascii="Arial" w:hAnsi="Arial" w:cs="Arial"/>
          <w:sz w:val="22"/>
          <w:szCs w:val="22"/>
        </w:rPr>
        <w:t xml:space="preserve"> buildings – straight-line allocation over the useful life of the property as estimated by the valuer</w:t>
      </w:r>
    </w:p>
    <w:p w14:paraId="7DA4AFAC" w14:textId="77777777" w:rsidR="003B74DA" w:rsidRPr="00B771FA" w:rsidRDefault="003B74DA" w:rsidP="003B74DA">
      <w:pPr>
        <w:numPr>
          <w:ilvl w:val="0"/>
          <w:numId w:val="7"/>
        </w:numPr>
        <w:spacing w:after="240"/>
        <w:jc w:val="both"/>
        <w:rPr>
          <w:rFonts w:ascii="Arial" w:hAnsi="Arial" w:cs="Arial"/>
          <w:sz w:val="22"/>
          <w:szCs w:val="22"/>
        </w:rPr>
      </w:pPr>
      <w:r w:rsidRPr="00B771FA">
        <w:rPr>
          <w:rFonts w:ascii="Arial" w:hAnsi="Arial" w:cs="Arial"/>
          <w:sz w:val="22"/>
          <w:szCs w:val="22"/>
        </w:rPr>
        <w:t>vehicles and IT equipment, - straight line basis over lives which are assessed individually by professional staff within the</w:t>
      </w:r>
      <w:r w:rsidRPr="00B771FA">
        <w:rPr>
          <w:rFonts w:ascii="Arial" w:hAnsi="Arial" w:cs="Arial"/>
          <w:i/>
          <w:sz w:val="22"/>
          <w:szCs w:val="22"/>
        </w:rPr>
        <w:t xml:space="preserve"> </w:t>
      </w:r>
      <w:r w:rsidRPr="00B771FA">
        <w:rPr>
          <w:rFonts w:ascii="Arial" w:hAnsi="Arial" w:cs="Arial"/>
          <w:sz w:val="22"/>
          <w:szCs w:val="22"/>
        </w:rPr>
        <w:t>Constabulary.</w:t>
      </w:r>
    </w:p>
    <w:p w14:paraId="140A1B77" w14:textId="3EE03486" w:rsidR="00AE2EB6" w:rsidRDefault="003B74DA" w:rsidP="00AE2EB6">
      <w:pPr>
        <w:pStyle w:val="BodyTextIndent"/>
        <w:numPr>
          <w:ilvl w:val="0"/>
          <w:numId w:val="7"/>
        </w:numPr>
        <w:jc w:val="both"/>
        <w:rPr>
          <w:rFonts w:cs="Arial"/>
          <w:i w:val="0"/>
          <w:sz w:val="22"/>
          <w:szCs w:val="22"/>
        </w:rPr>
      </w:pPr>
      <w:r w:rsidRPr="00B771FA">
        <w:rPr>
          <w:rFonts w:cs="Arial"/>
          <w:i w:val="0"/>
          <w:sz w:val="22"/>
          <w:szCs w:val="22"/>
        </w:rPr>
        <w:t>furniture and equipment other than IT equipment is depreciated over 10 years, unless it is known that a different period is required.</w:t>
      </w:r>
    </w:p>
    <w:p w14:paraId="4E03BC04" w14:textId="77777777" w:rsidR="00D025E1" w:rsidRDefault="00D025E1" w:rsidP="00D025E1">
      <w:pPr>
        <w:pStyle w:val="BodyTextIndent"/>
        <w:ind w:left="975" w:firstLine="0"/>
        <w:jc w:val="both"/>
        <w:rPr>
          <w:rFonts w:cs="Arial"/>
          <w:i w:val="0"/>
          <w:sz w:val="22"/>
          <w:szCs w:val="22"/>
        </w:rPr>
      </w:pPr>
    </w:p>
    <w:p w14:paraId="52A288B3" w14:textId="2A205CBC" w:rsidR="00AE2EB6" w:rsidRPr="00AE2EB6" w:rsidRDefault="00AE2EB6" w:rsidP="00AE2EB6">
      <w:pPr>
        <w:pStyle w:val="BodyTextIndent"/>
        <w:numPr>
          <w:ilvl w:val="0"/>
          <w:numId w:val="7"/>
        </w:numPr>
        <w:jc w:val="both"/>
        <w:rPr>
          <w:rFonts w:cs="Arial"/>
          <w:i w:val="0"/>
          <w:sz w:val="22"/>
          <w:szCs w:val="22"/>
        </w:rPr>
      </w:pPr>
      <w:r>
        <w:rPr>
          <w:rFonts w:cs="Arial"/>
          <w:i w:val="0"/>
          <w:sz w:val="22"/>
          <w:szCs w:val="22"/>
        </w:rPr>
        <w:t xml:space="preserve">Right of use assets will be depreciated on </w:t>
      </w:r>
      <w:r w:rsidR="001E6361">
        <w:rPr>
          <w:rFonts w:cs="Arial"/>
          <w:i w:val="0"/>
          <w:sz w:val="22"/>
          <w:szCs w:val="22"/>
        </w:rPr>
        <w:t xml:space="preserve">the shorter of either the </w:t>
      </w:r>
      <w:r w:rsidR="007D059F">
        <w:rPr>
          <w:rFonts w:cs="Arial"/>
          <w:i w:val="0"/>
          <w:sz w:val="22"/>
          <w:szCs w:val="22"/>
        </w:rPr>
        <w:t>lease term or life of t</w:t>
      </w:r>
      <w:r>
        <w:rPr>
          <w:rFonts w:cs="Arial"/>
          <w:i w:val="0"/>
          <w:sz w:val="22"/>
          <w:szCs w:val="22"/>
        </w:rPr>
        <w:t xml:space="preserve">he underlying category they fall into (e.g. buildings, vehicles and IT equipment) </w:t>
      </w:r>
      <w:r w:rsidR="007D059F">
        <w:rPr>
          <w:rFonts w:cs="Arial"/>
          <w:i w:val="0"/>
          <w:sz w:val="22"/>
          <w:szCs w:val="22"/>
        </w:rPr>
        <w:t>whichever is shorter</w:t>
      </w:r>
    </w:p>
    <w:p w14:paraId="4E409AB0" w14:textId="77777777" w:rsidR="003B74DA" w:rsidRPr="00B771FA" w:rsidRDefault="003B74DA" w:rsidP="004D5349">
      <w:pPr>
        <w:tabs>
          <w:tab w:val="left" w:pos="426"/>
          <w:tab w:val="right" w:pos="1276"/>
        </w:tabs>
        <w:jc w:val="both"/>
        <w:rPr>
          <w:rFonts w:ascii="Arial" w:hAnsi="Arial"/>
          <w:sz w:val="22"/>
          <w:szCs w:val="22"/>
        </w:rPr>
      </w:pPr>
    </w:p>
    <w:p w14:paraId="1F7B2FFA" w14:textId="588BC9A8" w:rsidR="003B74DA" w:rsidRPr="00B771FA" w:rsidRDefault="003B74DA" w:rsidP="003B74DA">
      <w:pPr>
        <w:tabs>
          <w:tab w:val="left" w:pos="426"/>
          <w:tab w:val="right" w:pos="1276"/>
        </w:tabs>
        <w:ind w:left="426"/>
        <w:jc w:val="both"/>
        <w:rPr>
          <w:rFonts w:ascii="Arial" w:hAnsi="Arial"/>
          <w:sz w:val="22"/>
          <w:szCs w:val="22"/>
        </w:rPr>
      </w:pPr>
      <w:r w:rsidRPr="00B771FA">
        <w:rPr>
          <w:rFonts w:ascii="Arial" w:hAnsi="Arial"/>
          <w:sz w:val="22"/>
          <w:szCs w:val="22"/>
        </w:rPr>
        <w:t xml:space="preserve">Where an item of property, plant and equipment asset has major components whose costs are significant in relation to the total cost of the item, the components are depreciated separately. In considering </w:t>
      </w:r>
      <w:r w:rsidR="00105039" w:rsidRPr="00B771FA">
        <w:rPr>
          <w:rFonts w:ascii="Arial" w:hAnsi="Arial"/>
          <w:sz w:val="22"/>
          <w:szCs w:val="22"/>
        </w:rPr>
        <w:t>whether</w:t>
      </w:r>
      <w:r w:rsidRPr="00B771FA">
        <w:rPr>
          <w:rFonts w:ascii="Arial" w:hAnsi="Arial"/>
          <w:sz w:val="22"/>
          <w:szCs w:val="22"/>
        </w:rPr>
        <w:t xml:space="preserve"> there is a component the policy followed is:</w:t>
      </w:r>
    </w:p>
    <w:p w14:paraId="4C7A2A35" w14:textId="364FE897" w:rsidR="00D20A29" w:rsidRPr="00B771FA" w:rsidRDefault="003B74DA" w:rsidP="0066250F">
      <w:pPr>
        <w:pStyle w:val="BodyTextIndent"/>
        <w:numPr>
          <w:ilvl w:val="0"/>
          <w:numId w:val="7"/>
        </w:numPr>
        <w:jc w:val="both"/>
        <w:rPr>
          <w:rFonts w:cs="Arial"/>
          <w:sz w:val="22"/>
          <w:szCs w:val="22"/>
        </w:rPr>
      </w:pPr>
      <w:r w:rsidRPr="00B771FA">
        <w:rPr>
          <w:rFonts w:cs="Arial"/>
          <w:sz w:val="22"/>
          <w:szCs w:val="22"/>
        </w:rPr>
        <w:t>The land element will continue to be considered as a separate asset with its own valuation which, are not subject to depreciation;</w:t>
      </w:r>
    </w:p>
    <w:p w14:paraId="28BC0100" w14:textId="77777777" w:rsidR="003B74DA" w:rsidRPr="00B771FA" w:rsidRDefault="003B74DA" w:rsidP="003B74DA">
      <w:pPr>
        <w:pStyle w:val="BodyTextIndent"/>
        <w:numPr>
          <w:ilvl w:val="0"/>
          <w:numId w:val="7"/>
        </w:numPr>
        <w:jc w:val="both"/>
        <w:rPr>
          <w:rFonts w:cs="Arial"/>
          <w:sz w:val="22"/>
          <w:szCs w:val="22"/>
        </w:rPr>
      </w:pPr>
      <w:r w:rsidRPr="00B771FA">
        <w:rPr>
          <w:rFonts w:cs="Arial"/>
          <w:i w:val="0"/>
          <w:sz w:val="22"/>
          <w:szCs w:val="22"/>
        </w:rPr>
        <w:t>The asset will be reviewed and any part of the asset which can be identified as a self-contained building will be subject to a separate valuation and asset life. This will ensure that any part of the overall asset which is not of the same construction quality has a specific use and/or economic life identified;</w:t>
      </w:r>
    </w:p>
    <w:p w14:paraId="4F7F19D7" w14:textId="4BE8C89E" w:rsidR="003B74DA" w:rsidRPr="00B771FA" w:rsidRDefault="003B74DA" w:rsidP="003B74DA">
      <w:pPr>
        <w:pStyle w:val="BodyTextIndent"/>
        <w:numPr>
          <w:ilvl w:val="0"/>
          <w:numId w:val="7"/>
        </w:numPr>
        <w:jc w:val="both"/>
        <w:rPr>
          <w:rFonts w:cs="Arial"/>
          <w:sz w:val="22"/>
          <w:szCs w:val="22"/>
        </w:rPr>
      </w:pPr>
      <w:r w:rsidRPr="00B771FA">
        <w:rPr>
          <w:rFonts w:cs="Arial"/>
          <w:i w:val="0"/>
          <w:sz w:val="22"/>
          <w:szCs w:val="22"/>
        </w:rPr>
        <w:t xml:space="preserve">For any building with a value above £1m consideration will be given as to </w:t>
      </w:r>
      <w:r w:rsidR="00105039" w:rsidRPr="00B771FA">
        <w:rPr>
          <w:rFonts w:cs="Arial"/>
          <w:i w:val="0"/>
          <w:sz w:val="22"/>
          <w:szCs w:val="22"/>
        </w:rPr>
        <w:t>whether</w:t>
      </w:r>
      <w:r w:rsidRPr="00B771FA">
        <w:rPr>
          <w:rFonts w:cs="Arial"/>
          <w:i w:val="0"/>
          <w:sz w:val="22"/>
          <w:szCs w:val="22"/>
        </w:rPr>
        <w:t xml:space="preserve"> there is any significant part which requires a separate component. This will take into consideration whether there is any aspect of the construction, such as roof, windows, services or any specialist item which has a substantially different asset life. </w:t>
      </w:r>
      <w:proofErr w:type="gramStart"/>
      <w:r w:rsidRPr="00B771FA">
        <w:rPr>
          <w:rFonts w:cs="Arial"/>
          <w:i w:val="0"/>
          <w:sz w:val="22"/>
          <w:szCs w:val="22"/>
        </w:rPr>
        <w:t>For the purpose of</w:t>
      </w:r>
      <w:proofErr w:type="gramEnd"/>
      <w:r w:rsidRPr="00B771FA">
        <w:rPr>
          <w:rFonts w:cs="Arial"/>
          <w:i w:val="0"/>
          <w:sz w:val="22"/>
          <w:szCs w:val="22"/>
        </w:rPr>
        <w:t xml:space="preserve"> this </w:t>
      </w:r>
      <w:proofErr w:type="gramStart"/>
      <w:r w:rsidRPr="00B771FA">
        <w:rPr>
          <w:rFonts w:cs="Arial"/>
          <w:i w:val="0"/>
          <w:sz w:val="22"/>
          <w:szCs w:val="22"/>
        </w:rPr>
        <w:t>exercise</w:t>
      </w:r>
      <w:proofErr w:type="gramEnd"/>
      <w:r w:rsidRPr="00B771FA">
        <w:rPr>
          <w:rFonts w:cs="Arial"/>
          <w:i w:val="0"/>
          <w:sz w:val="22"/>
          <w:szCs w:val="22"/>
        </w:rPr>
        <w:t xml:space="preserve"> it is considered that an element that represents more than 25% of the valuation is considered significant;</w:t>
      </w:r>
    </w:p>
    <w:p w14:paraId="5A0F39D3" w14:textId="77777777" w:rsidR="003B74DA" w:rsidRPr="00B771FA" w:rsidRDefault="003B74DA" w:rsidP="003B74DA">
      <w:pPr>
        <w:pStyle w:val="BodyTextIndent"/>
        <w:numPr>
          <w:ilvl w:val="0"/>
          <w:numId w:val="7"/>
        </w:numPr>
        <w:jc w:val="both"/>
        <w:rPr>
          <w:rFonts w:cs="Arial"/>
          <w:sz w:val="22"/>
          <w:szCs w:val="22"/>
        </w:rPr>
      </w:pPr>
      <w:r w:rsidRPr="00B771FA">
        <w:rPr>
          <w:rFonts w:cs="Arial"/>
          <w:i w:val="0"/>
          <w:sz w:val="22"/>
          <w:szCs w:val="22"/>
        </w:rPr>
        <w:t>Any equipment which is a fixture of the building will be included within the overall asset valuation. There will be a separate valuation if it is likely to exceed 25% of the property value.</w:t>
      </w:r>
    </w:p>
    <w:p w14:paraId="152A4300" w14:textId="77777777" w:rsidR="003B74DA" w:rsidRPr="00B771FA" w:rsidRDefault="003B74DA" w:rsidP="003B74DA">
      <w:pPr>
        <w:pStyle w:val="BodyTextIndent"/>
        <w:ind w:left="975" w:firstLine="0"/>
        <w:jc w:val="both"/>
        <w:rPr>
          <w:rFonts w:cs="Arial"/>
          <w:sz w:val="22"/>
          <w:szCs w:val="22"/>
        </w:rPr>
      </w:pPr>
    </w:p>
    <w:p w14:paraId="7F98D690" w14:textId="77777777" w:rsidR="008F3ABD" w:rsidRDefault="003B74DA" w:rsidP="008F3ABD">
      <w:pPr>
        <w:spacing w:after="240"/>
        <w:ind w:left="180"/>
        <w:jc w:val="both"/>
        <w:rPr>
          <w:rFonts w:ascii="Arial" w:hAnsi="Arial" w:cs="Arial"/>
          <w:sz w:val="22"/>
          <w:szCs w:val="22"/>
        </w:rPr>
      </w:pPr>
      <w:r w:rsidRPr="00B771FA">
        <w:rPr>
          <w:rFonts w:ascii="Arial" w:hAnsi="Arial" w:cs="Arial"/>
          <w:sz w:val="22"/>
          <w:szCs w:val="22"/>
        </w:rPr>
        <w:t>Revaluation gains are also depreciated, with an amount equal to the difference between current value depreciation charged on assets and the depreciation that would have been chargeable based on their historical cost being transferred each year from the Revaluation Reserve to the Capital Adjustment Account.</w:t>
      </w:r>
    </w:p>
    <w:p w14:paraId="6894ACD7" w14:textId="77777777" w:rsidR="00393C15" w:rsidRDefault="00393C15">
      <w:pPr>
        <w:rPr>
          <w:rFonts w:ascii="Arial" w:hAnsi="Arial" w:cs="Arial"/>
          <w:b/>
        </w:rPr>
      </w:pPr>
      <w:r>
        <w:rPr>
          <w:rFonts w:ascii="Arial" w:hAnsi="Arial" w:cs="Arial"/>
          <w:b/>
        </w:rPr>
        <w:br w:type="page"/>
      </w:r>
    </w:p>
    <w:p w14:paraId="1F7B016D" w14:textId="155492E9" w:rsidR="003B74DA" w:rsidRPr="008F3ABD" w:rsidRDefault="003B74DA" w:rsidP="008F3ABD">
      <w:pPr>
        <w:spacing w:after="240"/>
        <w:ind w:left="180"/>
        <w:jc w:val="both"/>
        <w:rPr>
          <w:rFonts w:ascii="Arial" w:hAnsi="Arial" w:cs="Arial"/>
          <w:sz w:val="22"/>
          <w:szCs w:val="22"/>
        </w:rPr>
      </w:pPr>
      <w:r w:rsidRPr="00B771FA">
        <w:rPr>
          <w:rFonts w:ascii="Arial" w:hAnsi="Arial" w:cs="Arial"/>
          <w:b/>
        </w:rPr>
        <w:lastRenderedPageBreak/>
        <w:t>Disposals and Non-Current Assets Held for Sale</w:t>
      </w:r>
    </w:p>
    <w:p w14:paraId="4CF27941" w14:textId="77777777" w:rsidR="003B74DA" w:rsidRPr="00B771FA" w:rsidRDefault="003B74DA" w:rsidP="003B74DA">
      <w:pPr>
        <w:spacing w:after="240"/>
        <w:ind w:left="180"/>
        <w:jc w:val="both"/>
        <w:rPr>
          <w:rFonts w:ascii="Arial" w:hAnsi="Arial" w:cs="Arial"/>
          <w:sz w:val="22"/>
          <w:szCs w:val="22"/>
        </w:rPr>
      </w:pPr>
      <w:r w:rsidRPr="00B771FA">
        <w:rPr>
          <w:rFonts w:ascii="Arial" w:hAnsi="Arial" w:cs="Arial"/>
          <w:sz w:val="22"/>
          <w:szCs w:val="22"/>
        </w:rPr>
        <w:t xml:space="preserve">When it becomes probable that the carrying amount of an asset will be recovered principally through a sale transaction rather than through its continuing use, it is reclassified as an asset held for sale. The asset is re-valued immediately before reclassification and then carried at the lower of this amount and fair value less costs to sell. Where there is a subsequent decrease to fair value less costs to sell, the loss is posted to the other operating expenditure line in the CIES. Gains in fair value are recognised only up to the amount of any previous losses recognised in the surplus or deficit on the provision of services. Depreciation is not charged on assets held for sale. </w:t>
      </w:r>
    </w:p>
    <w:p w14:paraId="0D229778" w14:textId="77777777" w:rsidR="003B74DA" w:rsidRPr="00B771FA" w:rsidRDefault="003B74DA" w:rsidP="003B74DA">
      <w:pPr>
        <w:spacing w:after="240"/>
        <w:ind w:left="180"/>
        <w:jc w:val="both"/>
        <w:rPr>
          <w:rFonts w:ascii="Arial" w:hAnsi="Arial" w:cs="Arial"/>
          <w:sz w:val="22"/>
          <w:szCs w:val="22"/>
        </w:rPr>
      </w:pPr>
      <w:r w:rsidRPr="00B771FA">
        <w:rPr>
          <w:rFonts w:ascii="Arial" w:hAnsi="Arial" w:cs="Arial"/>
          <w:sz w:val="22"/>
          <w:szCs w:val="22"/>
        </w:rPr>
        <w:t>If assets no longer meet the criteria to be classified as assets held for sale, they are reclassified back to non-current assets and valued at the lower of their carrying amount before they were classified as held for sale; adjusted for depreciation, amortisation or revaluations that would have been recognised had they not been classified as held for Sale, and their recoverable amount at the date of the decision not to sell.</w:t>
      </w:r>
    </w:p>
    <w:p w14:paraId="03199CCE" w14:textId="77777777" w:rsidR="003B74DA" w:rsidRPr="00B771FA" w:rsidRDefault="003B74DA" w:rsidP="003B74DA">
      <w:pPr>
        <w:spacing w:after="240"/>
        <w:ind w:left="180"/>
        <w:jc w:val="both"/>
        <w:rPr>
          <w:rFonts w:ascii="Arial" w:hAnsi="Arial" w:cs="Arial"/>
          <w:sz w:val="22"/>
          <w:szCs w:val="22"/>
        </w:rPr>
      </w:pPr>
      <w:r w:rsidRPr="00B771FA">
        <w:rPr>
          <w:rFonts w:ascii="Arial" w:hAnsi="Arial" w:cs="Arial"/>
          <w:sz w:val="22"/>
          <w:szCs w:val="22"/>
        </w:rPr>
        <w:t>Assets that are to be abandoned or scrapped are not reclassified as assets held for sale.</w:t>
      </w:r>
    </w:p>
    <w:p w14:paraId="08A145E2" w14:textId="77DCCB09" w:rsidR="003B74DA" w:rsidRDefault="003B74DA" w:rsidP="00C72742">
      <w:pPr>
        <w:ind w:left="180"/>
        <w:rPr>
          <w:rFonts w:ascii="Arial" w:hAnsi="Arial" w:cs="Arial"/>
          <w:sz w:val="22"/>
          <w:szCs w:val="22"/>
        </w:rPr>
      </w:pPr>
      <w:r w:rsidRPr="00B771FA">
        <w:rPr>
          <w:rFonts w:ascii="Arial" w:hAnsi="Arial" w:cs="Arial"/>
          <w:sz w:val="22"/>
          <w:szCs w:val="22"/>
        </w:rPr>
        <w:t>When an asset is disposed of or decommissioned, the carrying amount of the asset in the balance sheet (whether property, plant and equipment or assets held for sale) is written off to the other operating expenditure line in the CIES as part of the gain or loss on disposal. Receipts from disposal (if any) are credited to the same line in the CIES also as part of the gain or loss on disposal (i.e. netted off against the carrying value of the asset at the time of the disposal). Any revaluation gains accumulated for the asset in the revaluation reserve are transferred to the capital adjustment account.</w:t>
      </w:r>
    </w:p>
    <w:p w14:paraId="008DFA1A" w14:textId="77777777" w:rsidR="00C72742" w:rsidRPr="00B771FA" w:rsidRDefault="00C72742" w:rsidP="004D5349">
      <w:pPr>
        <w:ind w:left="180"/>
        <w:rPr>
          <w:rFonts w:ascii="Arial" w:hAnsi="Arial" w:cs="Arial"/>
          <w:sz w:val="22"/>
          <w:szCs w:val="22"/>
        </w:rPr>
      </w:pPr>
    </w:p>
    <w:p w14:paraId="2E02A7AD" w14:textId="0F455AAF" w:rsidR="003B74DA" w:rsidRPr="00B771FA" w:rsidRDefault="003B74DA" w:rsidP="003B74DA">
      <w:pPr>
        <w:spacing w:after="240"/>
        <w:ind w:left="180"/>
        <w:jc w:val="both"/>
        <w:rPr>
          <w:rFonts w:ascii="Arial" w:hAnsi="Arial" w:cs="Arial"/>
          <w:sz w:val="22"/>
          <w:szCs w:val="22"/>
        </w:rPr>
      </w:pPr>
      <w:r w:rsidRPr="00B771FA">
        <w:rPr>
          <w:rFonts w:ascii="Arial" w:hAnsi="Arial" w:cs="Arial"/>
          <w:sz w:val="22"/>
          <w:szCs w:val="22"/>
        </w:rPr>
        <w:t xml:space="preserve">Amounts received for a disposal </w:t>
      </w:r>
      <w:proofErr w:type="gramStart"/>
      <w:r w:rsidRPr="00B771FA">
        <w:rPr>
          <w:rFonts w:ascii="Arial" w:hAnsi="Arial" w:cs="Arial"/>
          <w:sz w:val="22"/>
          <w:szCs w:val="22"/>
        </w:rPr>
        <w:t>in excess of</w:t>
      </w:r>
      <w:proofErr w:type="gramEnd"/>
      <w:r w:rsidRPr="00B771FA">
        <w:rPr>
          <w:rFonts w:ascii="Arial" w:hAnsi="Arial" w:cs="Arial"/>
          <w:sz w:val="22"/>
          <w:szCs w:val="22"/>
        </w:rPr>
        <w:t xml:space="preserve"> £10,000 are categorised as capital receipts. The balance of receipts is required to be credited to the capital receipts </w:t>
      </w:r>
      <w:r w:rsidR="00105039" w:rsidRPr="00B771FA">
        <w:rPr>
          <w:rFonts w:ascii="Arial" w:hAnsi="Arial" w:cs="Arial"/>
          <w:sz w:val="22"/>
          <w:szCs w:val="22"/>
        </w:rPr>
        <w:t>reserve and</w:t>
      </w:r>
      <w:r w:rsidRPr="00B771FA">
        <w:rPr>
          <w:rFonts w:ascii="Arial" w:hAnsi="Arial" w:cs="Arial"/>
          <w:sz w:val="22"/>
          <w:szCs w:val="22"/>
        </w:rPr>
        <w:t xml:space="preserve"> can then only be used for new capital investment or be set aside to reduce the Authority</w:t>
      </w:r>
      <w:r w:rsidR="005B6F05" w:rsidRPr="00B771FA">
        <w:rPr>
          <w:rFonts w:ascii="Arial" w:hAnsi="Arial" w:cs="Arial"/>
          <w:sz w:val="22"/>
          <w:szCs w:val="22"/>
        </w:rPr>
        <w:t>’</w:t>
      </w:r>
      <w:r w:rsidRPr="00B771FA">
        <w:rPr>
          <w:rFonts w:ascii="Arial" w:hAnsi="Arial" w:cs="Arial"/>
          <w:sz w:val="22"/>
          <w:szCs w:val="22"/>
        </w:rPr>
        <w:t>s underlying need to borrow (the capital financing requirement). Receipts are appropriated to the reserve from the Police General Fund balance in the movement in reserve statement.</w:t>
      </w:r>
    </w:p>
    <w:p w14:paraId="36E767A3" w14:textId="77777777" w:rsidR="003B74DA" w:rsidRPr="00B771FA" w:rsidRDefault="003B74DA" w:rsidP="003B74DA">
      <w:pPr>
        <w:spacing w:after="240"/>
        <w:ind w:left="180"/>
        <w:jc w:val="both"/>
        <w:rPr>
          <w:rFonts w:ascii="Arial" w:hAnsi="Arial" w:cs="Arial"/>
          <w:sz w:val="22"/>
          <w:szCs w:val="22"/>
        </w:rPr>
      </w:pPr>
      <w:r w:rsidRPr="00B771FA">
        <w:rPr>
          <w:rFonts w:ascii="Arial" w:hAnsi="Arial" w:cs="Arial"/>
          <w:sz w:val="22"/>
          <w:szCs w:val="22"/>
        </w:rPr>
        <w:t xml:space="preserve">The written-off value of disposals is not a charge against council tax, as the cost of fixed assets is fully provided for under separate arrangements for capital financing.  Amounts are appropriated to the capital adjustment account from the General Fund balance in the movement in reserve statement. </w:t>
      </w:r>
    </w:p>
    <w:p w14:paraId="667FB3F6" w14:textId="77777777" w:rsidR="003B74DA" w:rsidRPr="00B771FA" w:rsidRDefault="003B74DA" w:rsidP="003B74DA">
      <w:pPr>
        <w:spacing w:after="240"/>
        <w:ind w:left="255"/>
        <w:jc w:val="both"/>
        <w:rPr>
          <w:rFonts w:ascii="Arial" w:hAnsi="Arial" w:cs="Arial"/>
          <w:b/>
        </w:rPr>
      </w:pPr>
      <w:r w:rsidRPr="00B771FA">
        <w:rPr>
          <w:rFonts w:ascii="Arial" w:hAnsi="Arial" w:cs="Arial"/>
          <w:b/>
        </w:rPr>
        <w:t xml:space="preserve">Charges to Revenue for Non-Current Assets </w:t>
      </w:r>
    </w:p>
    <w:p w14:paraId="4C27E17F" w14:textId="5BFFFCE5" w:rsidR="00493BEA" w:rsidRPr="00B771FA" w:rsidRDefault="003B74DA" w:rsidP="003B74DA">
      <w:pPr>
        <w:spacing w:after="240"/>
        <w:ind w:left="255"/>
        <w:jc w:val="both"/>
        <w:rPr>
          <w:rFonts w:ascii="Arial" w:hAnsi="Arial" w:cs="Arial"/>
          <w:sz w:val="22"/>
          <w:szCs w:val="22"/>
        </w:rPr>
      </w:pPr>
      <w:r w:rsidRPr="00B771FA">
        <w:rPr>
          <w:rFonts w:ascii="Arial" w:hAnsi="Arial" w:cs="Arial"/>
          <w:sz w:val="22"/>
          <w:szCs w:val="22"/>
        </w:rPr>
        <w:t>The PCC and PCC Group CIES are charged with the following amounts to record the real cost of holding non-current assets during the year:</w:t>
      </w:r>
    </w:p>
    <w:p w14:paraId="3102AC04" w14:textId="5DCC973E" w:rsidR="00D20A29" w:rsidRPr="00B771FA" w:rsidRDefault="003B74DA" w:rsidP="004E2882">
      <w:pPr>
        <w:pStyle w:val="BodyTextIndent"/>
        <w:numPr>
          <w:ilvl w:val="0"/>
          <w:numId w:val="34"/>
        </w:numPr>
        <w:jc w:val="both"/>
        <w:rPr>
          <w:rFonts w:cs="Arial"/>
          <w:i w:val="0"/>
          <w:sz w:val="22"/>
          <w:szCs w:val="22"/>
        </w:rPr>
      </w:pPr>
      <w:r w:rsidRPr="00B771FA">
        <w:rPr>
          <w:rFonts w:cs="Arial"/>
          <w:i w:val="0"/>
          <w:sz w:val="22"/>
          <w:szCs w:val="22"/>
        </w:rPr>
        <w:t>Depreciation attributable to the assets used by the service;</w:t>
      </w:r>
    </w:p>
    <w:p w14:paraId="32A3EA24" w14:textId="0CD306C9" w:rsidR="003B74DA" w:rsidRPr="00B771FA" w:rsidRDefault="003B74DA" w:rsidP="004E2882">
      <w:pPr>
        <w:pStyle w:val="BodyTextIndent"/>
        <w:numPr>
          <w:ilvl w:val="0"/>
          <w:numId w:val="34"/>
        </w:numPr>
        <w:jc w:val="both"/>
        <w:rPr>
          <w:rFonts w:cs="Arial"/>
          <w:i w:val="0"/>
          <w:sz w:val="22"/>
          <w:szCs w:val="22"/>
        </w:rPr>
      </w:pPr>
      <w:r w:rsidRPr="00B771FA">
        <w:rPr>
          <w:rFonts w:cs="Arial"/>
          <w:i w:val="0"/>
          <w:sz w:val="22"/>
          <w:szCs w:val="22"/>
        </w:rPr>
        <w:t xml:space="preserve">Revaluation and impairment losses on assets used by the service where there are no accumulated </w:t>
      </w:r>
    </w:p>
    <w:p w14:paraId="555A29C3" w14:textId="16B7F7A8" w:rsidR="003B74DA" w:rsidRPr="00B771FA" w:rsidRDefault="001B2985" w:rsidP="004E2882">
      <w:pPr>
        <w:pStyle w:val="BodyTextIndent"/>
        <w:numPr>
          <w:ilvl w:val="0"/>
          <w:numId w:val="34"/>
        </w:numPr>
        <w:jc w:val="both"/>
        <w:rPr>
          <w:rFonts w:cs="Arial"/>
          <w:i w:val="0"/>
          <w:sz w:val="22"/>
          <w:szCs w:val="22"/>
        </w:rPr>
      </w:pPr>
      <w:r w:rsidRPr="00B771FA">
        <w:rPr>
          <w:rFonts w:cs="Arial"/>
          <w:i w:val="0"/>
          <w:sz w:val="22"/>
          <w:szCs w:val="22"/>
        </w:rPr>
        <w:t>G</w:t>
      </w:r>
      <w:r w:rsidR="003B74DA" w:rsidRPr="00B771FA">
        <w:rPr>
          <w:rFonts w:cs="Arial"/>
          <w:i w:val="0"/>
          <w:sz w:val="22"/>
          <w:szCs w:val="22"/>
        </w:rPr>
        <w:t>ains in the revaluation reserve against which the losses can be written off;</w:t>
      </w:r>
    </w:p>
    <w:p w14:paraId="66F6342B" w14:textId="2AA4A912" w:rsidR="003B74DA" w:rsidRPr="00B771FA" w:rsidRDefault="003B74DA" w:rsidP="004E2882">
      <w:pPr>
        <w:pStyle w:val="BodyTextIndent"/>
        <w:numPr>
          <w:ilvl w:val="0"/>
          <w:numId w:val="34"/>
        </w:numPr>
        <w:jc w:val="both"/>
        <w:rPr>
          <w:rFonts w:cs="Arial"/>
          <w:i w:val="0"/>
          <w:sz w:val="22"/>
          <w:szCs w:val="22"/>
        </w:rPr>
      </w:pPr>
      <w:r w:rsidRPr="00B771FA">
        <w:rPr>
          <w:rFonts w:cs="Arial"/>
          <w:i w:val="0"/>
          <w:sz w:val="22"/>
          <w:szCs w:val="22"/>
        </w:rPr>
        <w:t xml:space="preserve">Amortisation of intangible </w:t>
      </w:r>
      <w:r w:rsidR="00964E74" w:rsidRPr="00B771FA">
        <w:rPr>
          <w:rFonts w:cs="Arial"/>
          <w:i w:val="0"/>
          <w:sz w:val="22"/>
          <w:szCs w:val="22"/>
        </w:rPr>
        <w:t>non-current</w:t>
      </w:r>
      <w:r w:rsidRPr="00B771FA">
        <w:rPr>
          <w:rFonts w:cs="Arial"/>
          <w:i w:val="0"/>
          <w:sz w:val="22"/>
          <w:szCs w:val="22"/>
        </w:rPr>
        <w:t xml:space="preserve"> assets attributable to the service.</w:t>
      </w:r>
    </w:p>
    <w:p w14:paraId="0E3C498A" w14:textId="77777777" w:rsidR="003B74DA" w:rsidRPr="00B771FA" w:rsidRDefault="003B74DA" w:rsidP="003B74DA">
      <w:pPr>
        <w:pStyle w:val="BodyTextIndent"/>
        <w:ind w:left="397" w:firstLine="0"/>
        <w:jc w:val="both"/>
        <w:rPr>
          <w:rFonts w:cs="Arial"/>
          <w:i w:val="0"/>
          <w:sz w:val="22"/>
          <w:szCs w:val="22"/>
        </w:rPr>
      </w:pPr>
    </w:p>
    <w:p w14:paraId="39DDE689" w14:textId="77777777" w:rsidR="003B74DA" w:rsidRDefault="003B74DA" w:rsidP="003B74DA">
      <w:pPr>
        <w:spacing w:after="240"/>
        <w:ind w:left="180"/>
        <w:jc w:val="both"/>
        <w:rPr>
          <w:rFonts w:ascii="Arial" w:hAnsi="Arial" w:cs="Arial"/>
          <w:sz w:val="22"/>
          <w:szCs w:val="22"/>
        </w:rPr>
      </w:pPr>
      <w:r w:rsidRPr="00B771FA">
        <w:rPr>
          <w:rFonts w:ascii="Arial" w:hAnsi="Arial" w:cs="Arial"/>
          <w:sz w:val="22"/>
          <w:szCs w:val="22"/>
        </w:rPr>
        <w:t>The PCC is not required to raise council tax to fund depreciation, revaluation and impairment losses or amortisations. However, he is required to make an annual contribution from revenue towards the reduction in its overall borrowing requirement equal to an amount calculated on a prudent basis determined in accordance with statutory guidance; this is known as the minimum revenue provision (MRP). Depreciation, impairment and revaluation losses and amortisations are therefore reversed to the capital adjustment account via the movement in reserves statement and replaced by the MRP.</w:t>
      </w:r>
    </w:p>
    <w:p w14:paraId="30AEF37A" w14:textId="77777777" w:rsidR="00C92A3A" w:rsidRDefault="00C92A3A">
      <w:pPr>
        <w:rPr>
          <w:rFonts w:ascii="Arial" w:hAnsi="Arial"/>
          <w:sz w:val="22"/>
          <w:szCs w:val="22"/>
        </w:rPr>
        <w:sectPr w:rsidR="00C92A3A" w:rsidSect="00A00487">
          <w:headerReference w:type="even" r:id="rId72"/>
          <w:headerReference w:type="default" r:id="rId73"/>
          <w:headerReference w:type="first" r:id="rId74"/>
          <w:pgSz w:w="11909" w:h="16834" w:code="9"/>
          <w:pgMar w:top="720" w:right="720" w:bottom="720" w:left="720" w:header="397" w:footer="720" w:gutter="0"/>
          <w:cols w:space="720"/>
          <w:docGrid w:linePitch="272"/>
        </w:sectPr>
      </w:pPr>
      <w:bookmarkStart w:id="21" w:name="_Hlk57286047"/>
    </w:p>
    <w:p w14:paraId="7A727361" w14:textId="576E02EB" w:rsidR="00BB47E1" w:rsidRDefault="00BB47E1" w:rsidP="00ED47CE">
      <w:pPr>
        <w:rPr>
          <w:rFonts w:ascii="Arial" w:hAnsi="Arial"/>
          <w:sz w:val="22"/>
          <w:szCs w:val="22"/>
        </w:rPr>
      </w:pPr>
      <w:r>
        <w:rPr>
          <w:rFonts w:ascii="Arial" w:hAnsi="Arial"/>
          <w:sz w:val="22"/>
          <w:szCs w:val="22"/>
        </w:rPr>
        <w:lastRenderedPageBreak/>
        <w:t xml:space="preserve">Movements in </w:t>
      </w:r>
      <w:r w:rsidR="00C37E7F">
        <w:rPr>
          <w:rFonts w:ascii="Arial" w:hAnsi="Arial"/>
          <w:sz w:val="22"/>
          <w:szCs w:val="22"/>
        </w:rPr>
        <w:t>2024/25</w:t>
      </w:r>
    </w:p>
    <w:p w14:paraId="04B97DA1" w14:textId="77777777" w:rsidR="00E96552" w:rsidRPr="001814D4" w:rsidRDefault="00E96552" w:rsidP="003B74DA">
      <w:pPr>
        <w:tabs>
          <w:tab w:val="right" w:pos="5760"/>
        </w:tabs>
        <w:ind w:left="426"/>
        <w:rPr>
          <w:rFonts w:ascii="Arial" w:hAnsi="Arial"/>
          <w:sz w:val="16"/>
          <w:szCs w:val="16"/>
        </w:rPr>
      </w:pPr>
    </w:p>
    <w:tbl>
      <w:tblPr>
        <w:tblW w:w="15252" w:type="dxa"/>
        <w:tblLayout w:type="fixed"/>
        <w:tblLook w:val="04A0" w:firstRow="1" w:lastRow="0" w:firstColumn="1" w:lastColumn="0" w:noHBand="0" w:noVBand="1"/>
      </w:tblPr>
      <w:tblGrid>
        <w:gridCol w:w="6511"/>
        <w:gridCol w:w="1134"/>
        <w:gridCol w:w="1276"/>
        <w:gridCol w:w="1275"/>
        <w:gridCol w:w="1985"/>
        <w:gridCol w:w="1559"/>
        <w:gridCol w:w="1512"/>
      </w:tblGrid>
      <w:tr w:rsidR="008B2601" w:rsidRPr="00E96552" w14:paraId="6C3ECEEB" w14:textId="77777777" w:rsidTr="000C17BA">
        <w:trPr>
          <w:trHeight w:val="1048"/>
        </w:trPr>
        <w:tc>
          <w:tcPr>
            <w:tcW w:w="651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EC1C55D" w14:textId="77777777" w:rsidR="008B2601" w:rsidRPr="00E96552" w:rsidRDefault="008B2601" w:rsidP="00E96552">
            <w:pPr>
              <w:rPr>
                <w:rFonts w:ascii="Arial" w:hAnsi="Arial" w:cs="Arial"/>
                <w:b/>
                <w:bCs/>
                <w:sz w:val="24"/>
                <w:szCs w:val="24"/>
              </w:rPr>
            </w:pPr>
            <w:r w:rsidRPr="00E96552">
              <w:rPr>
                <w:rFonts w:ascii="Arial" w:hAnsi="Arial" w:cs="Arial"/>
                <w:b/>
                <w:bCs/>
                <w:sz w:val="24"/>
                <w:szCs w:val="24"/>
              </w:rPr>
              <w:t> </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4ABD6ACF" w14:textId="77777777" w:rsidR="008B2601" w:rsidRPr="00E96552" w:rsidRDefault="008B2601" w:rsidP="00E96552">
            <w:pPr>
              <w:jc w:val="center"/>
              <w:rPr>
                <w:rFonts w:ascii="Arial" w:hAnsi="Arial" w:cs="Arial"/>
                <w:b/>
                <w:bCs/>
              </w:rPr>
            </w:pPr>
            <w:r w:rsidRPr="00E96552">
              <w:rPr>
                <w:rFonts w:ascii="Arial" w:hAnsi="Arial" w:cs="Arial"/>
                <w:b/>
                <w:bCs/>
              </w:rPr>
              <w:t>Land and Buildings</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5FB761DC" w14:textId="77777777" w:rsidR="008B2601" w:rsidRPr="00E96552" w:rsidRDefault="008B2601" w:rsidP="00E96552">
            <w:pPr>
              <w:jc w:val="center"/>
              <w:rPr>
                <w:rFonts w:ascii="Arial" w:hAnsi="Arial" w:cs="Arial"/>
                <w:b/>
                <w:bCs/>
              </w:rPr>
            </w:pPr>
            <w:r w:rsidRPr="00E96552">
              <w:rPr>
                <w:rFonts w:ascii="Arial" w:hAnsi="Arial" w:cs="Arial"/>
                <w:b/>
                <w:bCs/>
              </w:rPr>
              <w:t>Vehicles &amp; ICT equipment</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14:paraId="19322CE2" w14:textId="77777777" w:rsidR="008B2601" w:rsidRPr="00E96552" w:rsidRDefault="008B2601" w:rsidP="00E96552">
            <w:pPr>
              <w:jc w:val="center"/>
              <w:rPr>
                <w:rFonts w:ascii="Arial" w:hAnsi="Arial" w:cs="Arial"/>
                <w:b/>
                <w:bCs/>
              </w:rPr>
            </w:pPr>
            <w:r w:rsidRPr="00E96552">
              <w:rPr>
                <w:rFonts w:ascii="Arial" w:hAnsi="Arial" w:cs="Arial"/>
                <w:b/>
                <w:bCs/>
              </w:rPr>
              <w:t>Furniture &amp; Equipment</w:t>
            </w:r>
          </w:p>
        </w:tc>
        <w:tc>
          <w:tcPr>
            <w:tcW w:w="1985" w:type="dxa"/>
            <w:tcBorders>
              <w:top w:val="single" w:sz="8" w:space="0" w:color="auto"/>
              <w:left w:val="nil"/>
              <w:bottom w:val="single" w:sz="8" w:space="0" w:color="auto"/>
              <w:right w:val="single" w:sz="4" w:space="0" w:color="auto"/>
            </w:tcBorders>
            <w:shd w:val="clear" w:color="000000" w:fill="D9D9D9"/>
            <w:vAlign w:val="center"/>
          </w:tcPr>
          <w:p w14:paraId="65500DB9" w14:textId="3CB4B193" w:rsidR="008B2601" w:rsidRPr="00E96552" w:rsidRDefault="001D3DE6" w:rsidP="00954479">
            <w:pPr>
              <w:jc w:val="center"/>
              <w:rPr>
                <w:rFonts w:ascii="Arial" w:hAnsi="Arial" w:cs="Arial"/>
                <w:b/>
                <w:bCs/>
              </w:rPr>
            </w:pPr>
            <w:r w:rsidRPr="001D3DE6">
              <w:rPr>
                <w:rFonts w:ascii="Arial" w:hAnsi="Arial" w:cs="Arial"/>
                <w:b/>
                <w:bCs/>
              </w:rPr>
              <w:t>Right of Use assets (including peppercorn leases)</w:t>
            </w:r>
          </w:p>
        </w:tc>
        <w:tc>
          <w:tcPr>
            <w:tcW w:w="1559" w:type="dxa"/>
            <w:tcBorders>
              <w:top w:val="single" w:sz="8" w:space="0" w:color="auto"/>
              <w:left w:val="single" w:sz="4" w:space="0" w:color="auto"/>
              <w:bottom w:val="single" w:sz="8" w:space="0" w:color="auto"/>
              <w:right w:val="single" w:sz="8" w:space="0" w:color="auto"/>
            </w:tcBorders>
            <w:shd w:val="clear" w:color="000000" w:fill="D9D9D9"/>
            <w:vAlign w:val="center"/>
            <w:hideMark/>
          </w:tcPr>
          <w:p w14:paraId="34F0AC86" w14:textId="04A5BCFE" w:rsidR="008B2601" w:rsidRPr="00E96552" w:rsidRDefault="008B2601" w:rsidP="00E96552">
            <w:pPr>
              <w:jc w:val="center"/>
              <w:rPr>
                <w:rFonts w:ascii="Arial" w:hAnsi="Arial" w:cs="Arial"/>
                <w:b/>
                <w:bCs/>
              </w:rPr>
            </w:pPr>
            <w:r w:rsidRPr="00E96552">
              <w:rPr>
                <w:rFonts w:ascii="Arial" w:hAnsi="Arial" w:cs="Arial"/>
                <w:b/>
                <w:bCs/>
              </w:rPr>
              <w:t>Assets under Construction</w:t>
            </w:r>
          </w:p>
        </w:tc>
        <w:tc>
          <w:tcPr>
            <w:tcW w:w="1512" w:type="dxa"/>
            <w:tcBorders>
              <w:top w:val="single" w:sz="8" w:space="0" w:color="auto"/>
              <w:left w:val="nil"/>
              <w:bottom w:val="single" w:sz="8" w:space="0" w:color="auto"/>
              <w:right w:val="single" w:sz="8" w:space="0" w:color="auto"/>
            </w:tcBorders>
            <w:shd w:val="clear" w:color="000000" w:fill="D9D9D9"/>
            <w:vAlign w:val="center"/>
            <w:hideMark/>
          </w:tcPr>
          <w:p w14:paraId="10176307" w14:textId="77777777" w:rsidR="008B2601" w:rsidRPr="00E96552" w:rsidRDefault="008B2601" w:rsidP="00E96552">
            <w:pPr>
              <w:jc w:val="center"/>
              <w:rPr>
                <w:rFonts w:ascii="Arial" w:hAnsi="Arial" w:cs="Arial"/>
                <w:b/>
                <w:bCs/>
              </w:rPr>
            </w:pPr>
            <w:r w:rsidRPr="00E96552">
              <w:rPr>
                <w:rFonts w:ascii="Arial" w:hAnsi="Arial" w:cs="Arial"/>
                <w:b/>
                <w:bCs/>
              </w:rPr>
              <w:t>Total Property, Plant and Equipment</w:t>
            </w:r>
          </w:p>
        </w:tc>
      </w:tr>
      <w:tr w:rsidR="008B2601" w:rsidRPr="00E96552" w14:paraId="35FE7931"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4095033C" w14:textId="77777777" w:rsidR="008B2601" w:rsidRPr="00E96552" w:rsidRDefault="008B2601" w:rsidP="00E96552">
            <w:pPr>
              <w:rPr>
                <w:rFonts w:ascii="Arial" w:hAnsi="Arial" w:cs="Arial"/>
                <w:b/>
                <w:bCs/>
              </w:rPr>
            </w:pPr>
            <w:r w:rsidRPr="00E96552">
              <w:rPr>
                <w:rFonts w:ascii="Arial" w:hAnsi="Arial" w:cs="Arial"/>
                <w:b/>
                <w:bCs/>
              </w:rPr>
              <w:t> </w:t>
            </w:r>
          </w:p>
        </w:tc>
        <w:tc>
          <w:tcPr>
            <w:tcW w:w="1134" w:type="dxa"/>
            <w:tcBorders>
              <w:top w:val="nil"/>
              <w:left w:val="nil"/>
              <w:bottom w:val="single" w:sz="8" w:space="0" w:color="auto"/>
              <w:right w:val="single" w:sz="8" w:space="0" w:color="auto"/>
            </w:tcBorders>
            <w:shd w:val="clear" w:color="000000" w:fill="D9D9D9"/>
            <w:vAlign w:val="center"/>
            <w:hideMark/>
          </w:tcPr>
          <w:p w14:paraId="2FA9E3FF" w14:textId="77777777" w:rsidR="008B2601" w:rsidRPr="00E96552" w:rsidRDefault="008B2601" w:rsidP="00E96552">
            <w:pPr>
              <w:jc w:val="center"/>
              <w:rPr>
                <w:rFonts w:ascii="Arial" w:hAnsi="Arial" w:cs="Arial"/>
                <w:b/>
                <w:bCs/>
              </w:rPr>
            </w:pPr>
            <w:r w:rsidRPr="00E96552">
              <w:rPr>
                <w:rFonts w:ascii="Arial" w:hAnsi="Arial" w:cs="Arial"/>
                <w:b/>
                <w:bCs/>
              </w:rPr>
              <w:t>£000</w:t>
            </w:r>
          </w:p>
        </w:tc>
        <w:tc>
          <w:tcPr>
            <w:tcW w:w="1276" w:type="dxa"/>
            <w:tcBorders>
              <w:top w:val="nil"/>
              <w:left w:val="nil"/>
              <w:bottom w:val="single" w:sz="8" w:space="0" w:color="auto"/>
              <w:right w:val="single" w:sz="8" w:space="0" w:color="auto"/>
            </w:tcBorders>
            <w:shd w:val="clear" w:color="000000" w:fill="D9D9D9"/>
            <w:vAlign w:val="center"/>
            <w:hideMark/>
          </w:tcPr>
          <w:p w14:paraId="239C8741" w14:textId="77777777" w:rsidR="008B2601" w:rsidRPr="00E96552" w:rsidRDefault="008B2601" w:rsidP="00E96552">
            <w:pPr>
              <w:jc w:val="center"/>
              <w:rPr>
                <w:rFonts w:ascii="Arial" w:hAnsi="Arial" w:cs="Arial"/>
                <w:b/>
                <w:bCs/>
              </w:rPr>
            </w:pPr>
            <w:r w:rsidRPr="00E96552">
              <w:rPr>
                <w:rFonts w:ascii="Arial" w:hAnsi="Arial" w:cs="Arial"/>
                <w:b/>
                <w:bCs/>
              </w:rPr>
              <w:t>£000</w:t>
            </w:r>
          </w:p>
        </w:tc>
        <w:tc>
          <w:tcPr>
            <w:tcW w:w="1275" w:type="dxa"/>
            <w:tcBorders>
              <w:top w:val="nil"/>
              <w:left w:val="nil"/>
              <w:bottom w:val="single" w:sz="8" w:space="0" w:color="auto"/>
              <w:right w:val="single" w:sz="8" w:space="0" w:color="auto"/>
            </w:tcBorders>
            <w:shd w:val="clear" w:color="000000" w:fill="D9D9D9"/>
            <w:vAlign w:val="center"/>
            <w:hideMark/>
          </w:tcPr>
          <w:p w14:paraId="46FD8561" w14:textId="77777777" w:rsidR="008B2601" w:rsidRPr="00E96552" w:rsidRDefault="008B2601" w:rsidP="00E96552">
            <w:pPr>
              <w:jc w:val="center"/>
              <w:rPr>
                <w:rFonts w:ascii="Arial" w:hAnsi="Arial" w:cs="Arial"/>
                <w:b/>
                <w:bCs/>
              </w:rPr>
            </w:pPr>
            <w:r w:rsidRPr="00E96552">
              <w:rPr>
                <w:rFonts w:ascii="Arial" w:hAnsi="Arial" w:cs="Arial"/>
                <w:b/>
                <w:bCs/>
              </w:rPr>
              <w:t>£000</w:t>
            </w:r>
          </w:p>
        </w:tc>
        <w:tc>
          <w:tcPr>
            <w:tcW w:w="1985" w:type="dxa"/>
            <w:tcBorders>
              <w:top w:val="single" w:sz="8" w:space="0" w:color="auto"/>
              <w:left w:val="nil"/>
              <w:bottom w:val="single" w:sz="8" w:space="0" w:color="auto"/>
              <w:right w:val="single" w:sz="4" w:space="0" w:color="auto"/>
            </w:tcBorders>
            <w:shd w:val="clear" w:color="000000" w:fill="D9D9D9"/>
          </w:tcPr>
          <w:p w14:paraId="3210B37C" w14:textId="77777777" w:rsidR="008B2601" w:rsidRPr="00E96552" w:rsidRDefault="008B2601" w:rsidP="00E96552">
            <w:pPr>
              <w:jc w:val="center"/>
              <w:rPr>
                <w:rFonts w:ascii="Arial" w:hAnsi="Arial" w:cs="Arial"/>
                <w:b/>
                <w:bCs/>
              </w:rPr>
            </w:pPr>
          </w:p>
        </w:tc>
        <w:tc>
          <w:tcPr>
            <w:tcW w:w="1559" w:type="dxa"/>
            <w:tcBorders>
              <w:top w:val="nil"/>
              <w:left w:val="single" w:sz="4" w:space="0" w:color="auto"/>
              <w:bottom w:val="single" w:sz="8" w:space="0" w:color="auto"/>
              <w:right w:val="single" w:sz="8" w:space="0" w:color="auto"/>
            </w:tcBorders>
            <w:shd w:val="clear" w:color="000000" w:fill="D9D9D9"/>
            <w:vAlign w:val="center"/>
            <w:hideMark/>
          </w:tcPr>
          <w:p w14:paraId="06F2BFFF" w14:textId="7F3F14DF" w:rsidR="008B2601" w:rsidRPr="00E96552" w:rsidRDefault="008B2601" w:rsidP="00E96552">
            <w:pPr>
              <w:jc w:val="center"/>
              <w:rPr>
                <w:rFonts w:ascii="Arial" w:hAnsi="Arial" w:cs="Arial"/>
                <w:b/>
                <w:bCs/>
              </w:rPr>
            </w:pPr>
            <w:r w:rsidRPr="00E96552">
              <w:rPr>
                <w:rFonts w:ascii="Arial" w:hAnsi="Arial" w:cs="Arial"/>
                <w:b/>
                <w:bCs/>
              </w:rPr>
              <w:t>£000</w:t>
            </w:r>
          </w:p>
        </w:tc>
        <w:tc>
          <w:tcPr>
            <w:tcW w:w="1512" w:type="dxa"/>
            <w:tcBorders>
              <w:top w:val="nil"/>
              <w:left w:val="nil"/>
              <w:bottom w:val="single" w:sz="8" w:space="0" w:color="auto"/>
              <w:right w:val="single" w:sz="8" w:space="0" w:color="auto"/>
            </w:tcBorders>
            <w:shd w:val="clear" w:color="000000" w:fill="D9D9D9"/>
            <w:vAlign w:val="center"/>
            <w:hideMark/>
          </w:tcPr>
          <w:p w14:paraId="29BC4060" w14:textId="77777777" w:rsidR="008B2601" w:rsidRPr="00E96552" w:rsidRDefault="008B2601" w:rsidP="00E96552">
            <w:pPr>
              <w:jc w:val="center"/>
              <w:rPr>
                <w:rFonts w:ascii="Arial" w:hAnsi="Arial" w:cs="Arial"/>
                <w:b/>
                <w:bCs/>
              </w:rPr>
            </w:pPr>
            <w:r w:rsidRPr="00E96552">
              <w:rPr>
                <w:rFonts w:ascii="Arial" w:hAnsi="Arial" w:cs="Arial"/>
                <w:b/>
                <w:bCs/>
              </w:rPr>
              <w:t>£000</w:t>
            </w:r>
          </w:p>
        </w:tc>
      </w:tr>
      <w:tr w:rsidR="008B2601" w:rsidRPr="00E96552" w14:paraId="31C36ABC"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7E7C303A" w14:textId="77777777" w:rsidR="008B2601" w:rsidRPr="00E96552" w:rsidRDefault="008B2601" w:rsidP="00E96552">
            <w:pPr>
              <w:rPr>
                <w:rFonts w:ascii="Arial" w:hAnsi="Arial" w:cs="Arial"/>
                <w:b/>
                <w:bCs/>
              </w:rPr>
            </w:pPr>
            <w:r w:rsidRPr="00E96552">
              <w:rPr>
                <w:rFonts w:ascii="Arial" w:hAnsi="Arial" w:cs="Arial"/>
                <w:b/>
                <w:bCs/>
              </w:rPr>
              <w:t>Cost or Valuation</w:t>
            </w:r>
          </w:p>
        </w:tc>
        <w:tc>
          <w:tcPr>
            <w:tcW w:w="1134" w:type="dxa"/>
            <w:tcBorders>
              <w:top w:val="nil"/>
              <w:left w:val="nil"/>
              <w:bottom w:val="single" w:sz="8" w:space="0" w:color="auto"/>
              <w:right w:val="single" w:sz="8" w:space="0" w:color="auto"/>
            </w:tcBorders>
            <w:shd w:val="clear" w:color="000000" w:fill="D9D9D9"/>
            <w:vAlign w:val="center"/>
            <w:hideMark/>
          </w:tcPr>
          <w:p w14:paraId="7D5322B1" w14:textId="77777777" w:rsidR="008B2601" w:rsidRPr="00E96552" w:rsidRDefault="008B2601" w:rsidP="00E96552">
            <w:pPr>
              <w:jc w:val="right"/>
              <w:rPr>
                <w:rFonts w:ascii="Arial" w:hAnsi="Arial" w:cs="Arial"/>
                <w:b/>
                <w:bCs/>
              </w:rPr>
            </w:pPr>
            <w:r w:rsidRPr="00E96552">
              <w:rPr>
                <w:rFonts w:ascii="Arial" w:hAnsi="Arial" w:cs="Arial"/>
                <w:b/>
                <w:bCs/>
              </w:rPr>
              <w:t> </w:t>
            </w:r>
          </w:p>
        </w:tc>
        <w:tc>
          <w:tcPr>
            <w:tcW w:w="1276" w:type="dxa"/>
            <w:tcBorders>
              <w:top w:val="nil"/>
              <w:left w:val="nil"/>
              <w:bottom w:val="single" w:sz="8" w:space="0" w:color="auto"/>
              <w:right w:val="single" w:sz="8" w:space="0" w:color="auto"/>
            </w:tcBorders>
            <w:shd w:val="clear" w:color="000000" w:fill="D9D9D9"/>
            <w:vAlign w:val="center"/>
            <w:hideMark/>
          </w:tcPr>
          <w:p w14:paraId="7966E9CB" w14:textId="77777777" w:rsidR="008B2601" w:rsidRPr="00E96552" w:rsidRDefault="008B2601" w:rsidP="00E96552">
            <w:pPr>
              <w:jc w:val="right"/>
              <w:rPr>
                <w:rFonts w:ascii="Arial" w:hAnsi="Arial" w:cs="Arial"/>
                <w:b/>
                <w:bCs/>
              </w:rPr>
            </w:pPr>
            <w:r w:rsidRPr="00E96552">
              <w:rPr>
                <w:rFonts w:ascii="Arial" w:hAnsi="Arial" w:cs="Arial"/>
                <w:b/>
                <w:bCs/>
              </w:rPr>
              <w:t> </w:t>
            </w:r>
          </w:p>
        </w:tc>
        <w:tc>
          <w:tcPr>
            <w:tcW w:w="1275" w:type="dxa"/>
            <w:tcBorders>
              <w:top w:val="nil"/>
              <w:left w:val="nil"/>
              <w:bottom w:val="single" w:sz="8" w:space="0" w:color="auto"/>
              <w:right w:val="single" w:sz="8" w:space="0" w:color="auto"/>
            </w:tcBorders>
            <w:shd w:val="clear" w:color="000000" w:fill="D9D9D9"/>
            <w:vAlign w:val="center"/>
            <w:hideMark/>
          </w:tcPr>
          <w:p w14:paraId="7C23F692" w14:textId="77777777" w:rsidR="008B2601" w:rsidRPr="00E96552" w:rsidRDefault="008B2601" w:rsidP="00E96552">
            <w:pPr>
              <w:jc w:val="right"/>
              <w:rPr>
                <w:rFonts w:ascii="Arial" w:hAnsi="Arial" w:cs="Arial"/>
                <w:b/>
                <w:bCs/>
              </w:rPr>
            </w:pPr>
            <w:r w:rsidRPr="00E96552">
              <w:rPr>
                <w:rFonts w:ascii="Arial" w:hAnsi="Arial" w:cs="Arial"/>
                <w:b/>
                <w:bCs/>
              </w:rPr>
              <w:t> </w:t>
            </w:r>
          </w:p>
        </w:tc>
        <w:tc>
          <w:tcPr>
            <w:tcW w:w="1985" w:type="dxa"/>
            <w:tcBorders>
              <w:top w:val="single" w:sz="8" w:space="0" w:color="auto"/>
              <w:left w:val="nil"/>
              <w:bottom w:val="single" w:sz="8" w:space="0" w:color="auto"/>
              <w:right w:val="single" w:sz="4" w:space="0" w:color="auto"/>
            </w:tcBorders>
            <w:shd w:val="clear" w:color="000000" w:fill="D9D9D9"/>
          </w:tcPr>
          <w:p w14:paraId="5AA26FA2" w14:textId="77777777" w:rsidR="008B2601" w:rsidRPr="00E96552" w:rsidRDefault="008B2601" w:rsidP="00E96552">
            <w:pPr>
              <w:jc w:val="right"/>
              <w:rPr>
                <w:rFonts w:ascii="Arial" w:hAnsi="Arial" w:cs="Arial"/>
                <w:b/>
                <w:bCs/>
              </w:rPr>
            </w:pPr>
          </w:p>
        </w:tc>
        <w:tc>
          <w:tcPr>
            <w:tcW w:w="1559" w:type="dxa"/>
            <w:tcBorders>
              <w:top w:val="nil"/>
              <w:left w:val="single" w:sz="4" w:space="0" w:color="auto"/>
              <w:bottom w:val="single" w:sz="8" w:space="0" w:color="auto"/>
              <w:right w:val="single" w:sz="8" w:space="0" w:color="auto"/>
            </w:tcBorders>
            <w:shd w:val="clear" w:color="000000" w:fill="D9D9D9"/>
            <w:vAlign w:val="center"/>
            <w:hideMark/>
          </w:tcPr>
          <w:p w14:paraId="0AB7398D" w14:textId="13B67B3C" w:rsidR="008B2601" w:rsidRPr="00E96552" w:rsidRDefault="008B2601" w:rsidP="00E96552">
            <w:pPr>
              <w:jc w:val="right"/>
              <w:rPr>
                <w:rFonts w:ascii="Arial" w:hAnsi="Arial" w:cs="Arial"/>
                <w:b/>
                <w:bCs/>
              </w:rPr>
            </w:pPr>
            <w:r w:rsidRPr="00E96552">
              <w:rPr>
                <w:rFonts w:ascii="Arial" w:hAnsi="Arial" w:cs="Arial"/>
                <w:b/>
                <w:bCs/>
              </w:rPr>
              <w:t> </w:t>
            </w:r>
          </w:p>
        </w:tc>
        <w:tc>
          <w:tcPr>
            <w:tcW w:w="1512" w:type="dxa"/>
            <w:tcBorders>
              <w:top w:val="nil"/>
              <w:left w:val="nil"/>
              <w:bottom w:val="single" w:sz="8" w:space="0" w:color="auto"/>
              <w:right w:val="single" w:sz="8" w:space="0" w:color="auto"/>
            </w:tcBorders>
            <w:shd w:val="clear" w:color="000000" w:fill="D9D9D9"/>
            <w:vAlign w:val="center"/>
            <w:hideMark/>
          </w:tcPr>
          <w:p w14:paraId="3227891A" w14:textId="77777777" w:rsidR="008B2601" w:rsidRPr="00E96552" w:rsidRDefault="008B2601" w:rsidP="00E96552">
            <w:pPr>
              <w:jc w:val="right"/>
              <w:rPr>
                <w:rFonts w:ascii="Arial" w:hAnsi="Arial" w:cs="Arial"/>
                <w:b/>
                <w:bCs/>
              </w:rPr>
            </w:pPr>
            <w:r w:rsidRPr="00E96552">
              <w:rPr>
                <w:rFonts w:ascii="Arial" w:hAnsi="Arial" w:cs="Arial"/>
                <w:b/>
                <w:bCs/>
              </w:rPr>
              <w:t> </w:t>
            </w:r>
          </w:p>
        </w:tc>
      </w:tr>
      <w:tr w:rsidR="001D3DE6" w:rsidRPr="00E96552" w14:paraId="37CE311C" w14:textId="77777777" w:rsidTr="000C17BA">
        <w:trPr>
          <w:trHeight w:val="303"/>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17466508" w14:textId="55F17E21" w:rsidR="001D3DE6" w:rsidRPr="00E96552" w:rsidRDefault="001D3DE6" w:rsidP="001D3DE6">
            <w:pPr>
              <w:rPr>
                <w:rFonts w:ascii="Arial" w:hAnsi="Arial" w:cs="Arial"/>
              </w:rPr>
            </w:pPr>
            <w:r>
              <w:rPr>
                <w:rFonts w:ascii="Arial" w:hAnsi="Arial" w:cs="Arial"/>
              </w:rPr>
              <w:t>At 1 April 2024</w:t>
            </w:r>
          </w:p>
        </w:tc>
        <w:tc>
          <w:tcPr>
            <w:tcW w:w="1134" w:type="dxa"/>
            <w:tcBorders>
              <w:top w:val="nil"/>
              <w:left w:val="nil"/>
              <w:bottom w:val="single" w:sz="8" w:space="0" w:color="auto"/>
              <w:right w:val="single" w:sz="8" w:space="0" w:color="auto"/>
            </w:tcBorders>
            <w:shd w:val="clear" w:color="000000" w:fill="D9D9D9"/>
            <w:vAlign w:val="center"/>
            <w:hideMark/>
          </w:tcPr>
          <w:p w14:paraId="029EB2A9" w14:textId="5CE8895C" w:rsidR="001D3DE6" w:rsidRPr="00E96552" w:rsidRDefault="001D3DE6" w:rsidP="001D3DE6">
            <w:pPr>
              <w:jc w:val="right"/>
              <w:rPr>
                <w:rFonts w:ascii="Arial" w:hAnsi="Arial" w:cs="Arial"/>
                <w:b/>
                <w:bCs/>
              </w:rPr>
            </w:pPr>
            <w:r>
              <w:rPr>
                <w:rFonts w:ascii="Arial" w:hAnsi="Arial" w:cs="Arial"/>
                <w:b/>
                <w:bCs/>
              </w:rPr>
              <w:t>218,216</w:t>
            </w:r>
          </w:p>
        </w:tc>
        <w:tc>
          <w:tcPr>
            <w:tcW w:w="1276" w:type="dxa"/>
            <w:tcBorders>
              <w:top w:val="nil"/>
              <w:left w:val="nil"/>
              <w:bottom w:val="single" w:sz="8" w:space="0" w:color="auto"/>
              <w:right w:val="single" w:sz="8" w:space="0" w:color="auto"/>
            </w:tcBorders>
            <w:shd w:val="clear" w:color="000000" w:fill="D9D9D9"/>
            <w:vAlign w:val="center"/>
            <w:hideMark/>
          </w:tcPr>
          <w:p w14:paraId="1D38AD34" w14:textId="40BCAC58" w:rsidR="001D3DE6" w:rsidRPr="00E96552" w:rsidRDefault="001D3DE6" w:rsidP="001D3DE6">
            <w:pPr>
              <w:jc w:val="right"/>
              <w:rPr>
                <w:rFonts w:ascii="Arial" w:hAnsi="Arial" w:cs="Arial"/>
                <w:b/>
                <w:bCs/>
              </w:rPr>
            </w:pPr>
            <w:r>
              <w:rPr>
                <w:rFonts w:ascii="Arial" w:hAnsi="Arial" w:cs="Arial"/>
                <w:b/>
                <w:bCs/>
              </w:rPr>
              <w:t>41,929</w:t>
            </w:r>
          </w:p>
        </w:tc>
        <w:tc>
          <w:tcPr>
            <w:tcW w:w="1275" w:type="dxa"/>
            <w:tcBorders>
              <w:top w:val="nil"/>
              <w:left w:val="nil"/>
              <w:bottom w:val="single" w:sz="8" w:space="0" w:color="auto"/>
              <w:right w:val="single" w:sz="8" w:space="0" w:color="auto"/>
            </w:tcBorders>
            <w:shd w:val="clear" w:color="000000" w:fill="D9D9D9"/>
            <w:vAlign w:val="center"/>
            <w:hideMark/>
          </w:tcPr>
          <w:p w14:paraId="22595306" w14:textId="45FBF204" w:rsidR="001D3DE6" w:rsidRPr="00E96552" w:rsidRDefault="001D3DE6" w:rsidP="001D3DE6">
            <w:pPr>
              <w:jc w:val="right"/>
              <w:rPr>
                <w:rFonts w:ascii="Arial" w:hAnsi="Arial" w:cs="Arial"/>
                <w:b/>
                <w:bCs/>
              </w:rPr>
            </w:pPr>
            <w:r>
              <w:rPr>
                <w:rFonts w:ascii="Arial" w:hAnsi="Arial" w:cs="Arial"/>
                <w:b/>
                <w:bCs/>
              </w:rPr>
              <w:t>11,050</w:t>
            </w:r>
          </w:p>
        </w:tc>
        <w:tc>
          <w:tcPr>
            <w:tcW w:w="1985" w:type="dxa"/>
            <w:tcBorders>
              <w:top w:val="nil"/>
              <w:left w:val="nil"/>
              <w:bottom w:val="single" w:sz="8" w:space="0" w:color="auto"/>
              <w:right w:val="single" w:sz="8" w:space="0" w:color="auto"/>
            </w:tcBorders>
            <w:shd w:val="clear" w:color="000000" w:fill="D9D9D9"/>
            <w:vAlign w:val="center"/>
          </w:tcPr>
          <w:p w14:paraId="7BB53D47" w14:textId="4F79DC79" w:rsidR="001D3DE6" w:rsidRDefault="001D3DE6" w:rsidP="001D3DE6">
            <w:pPr>
              <w:jc w:val="right"/>
              <w:rPr>
                <w:rFonts w:ascii="Arial" w:hAnsi="Arial" w:cs="Arial"/>
                <w:b/>
                <w:bCs/>
              </w:rPr>
            </w:pPr>
          </w:p>
        </w:tc>
        <w:tc>
          <w:tcPr>
            <w:tcW w:w="1559" w:type="dxa"/>
            <w:tcBorders>
              <w:top w:val="nil"/>
              <w:left w:val="nil"/>
              <w:bottom w:val="single" w:sz="8" w:space="0" w:color="auto"/>
              <w:right w:val="single" w:sz="8" w:space="0" w:color="auto"/>
            </w:tcBorders>
            <w:shd w:val="clear" w:color="000000" w:fill="D9D9D9"/>
            <w:vAlign w:val="center"/>
            <w:hideMark/>
          </w:tcPr>
          <w:p w14:paraId="57D2E153" w14:textId="09120322" w:rsidR="001D3DE6" w:rsidRPr="00E96552" w:rsidRDefault="001D3DE6" w:rsidP="001D3DE6">
            <w:pPr>
              <w:jc w:val="right"/>
              <w:rPr>
                <w:rFonts w:ascii="Arial" w:hAnsi="Arial" w:cs="Arial"/>
                <w:b/>
                <w:bCs/>
              </w:rPr>
            </w:pPr>
            <w:r>
              <w:rPr>
                <w:rFonts w:ascii="Arial" w:hAnsi="Arial" w:cs="Arial"/>
                <w:b/>
                <w:bCs/>
              </w:rPr>
              <w:t>10,609</w:t>
            </w:r>
          </w:p>
        </w:tc>
        <w:tc>
          <w:tcPr>
            <w:tcW w:w="1512" w:type="dxa"/>
            <w:tcBorders>
              <w:top w:val="nil"/>
              <w:left w:val="nil"/>
              <w:bottom w:val="single" w:sz="8" w:space="0" w:color="auto"/>
              <w:right w:val="single" w:sz="8" w:space="0" w:color="auto"/>
            </w:tcBorders>
            <w:shd w:val="clear" w:color="000000" w:fill="D9D9D9"/>
            <w:vAlign w:val="center"/>
            <w:hideMark/>
          </w:tcPr>
          <w:p w14:paraId="501B0651" w14:textId="63ED9702" w:rsidR="001D3DE6" w:rsidRPr="00E96552" w:rsidRDefault="001D3DE6" w:rsidP="001D3DE6">
            <w:pPr>
              <w:jc w:val="right"/>
              <w:rPr>
                <w:rFonts w:ascii="Arial" w:hAnsi="Arial" w:cs="Arial"/>
                <w:b/>
                <w:bCs/>
              </w:rPr>
            </w:pPr>
            <w:r>
              <w:rPr>
                <w:rFonts w:ascii="Arial" w:hAnsi="Arial" w:cs="Arial"/>
                <w:b/>
                <w:bCs/>
              </w:rPr>
              <w:t>28</w:t>
            </w:r>
            <w:r w:rsidR="00C221EC">
              <w:rPr>
                <w:rFonts w:ascii="Arial" w:hAnsi="Arial" w:cs="Arial"/>
                <w:b/>
                <w:bCs/>
              </w:rPr>
              <w:t>1</w:t>
            </w:r>
            <w:r>
              <w:rPr>
                <w:rFonts w:ascii="Arial" w:hAnsi="Arial" w:cs="Arial"/>
                <w:b/>
                <w:bCs/>
              </w:rPr>
              <w:t>,</w:t>
            </w:r>
            <w:r w:rsidR="00C221EC">
              <w:rPr>
                <w:rFonts w:ascii="Arial" w:hAnsi="Arial" w:cs="Arial"/>
                <w:b/>
                <w:bCs/>
              </w:rPr>
              <w:t>803</w:t>
            </w:r>
          </w:p>
        </w:tc>
      </w:tr>
      <w:tr w:rsidR="00C221EC" w:rsidRPr="00E96552" w14:paraId="0B08CD3D" w14:textId="77777777">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tcPr>
          <w:p w14:paraId="62A00E7D" w14:textId="7E0C68F2" w:rsidR="00C221EC" w:rsidRDefault="00C221EC" w:rsidP="00C221EC">
            <w:pPr>
              <w:rPr>
                <w:rFonts w:ascii="Arial" w:hAnsi="Arial" w:cs="Arial"/>
              </w:rPr>
            </w:pPr>
            <w:r>
              <w:rPr>
                <w:rFonts w:ascii="Arial" w:hAnsi="Arial" w:cs="Arial"/>
              </w:rPr>
              <w:t>Cumulative Catch-up for IFRS16 Adoption</w:t>
            </w:r>
          </w:p>
        </w:tc>
        <w:tc>
          <w:tcPr>
            <w:tcW w:w="1134" w:type="dxa"/>
            <w:tcBorders>
              <w:top w:val="single" w:sz="8" w:space="0" w:color="auto"/>
              <w:left w:val="nil"/>
              <w:bottom w:val="single" w:sz="8" w:space="0" w:color="auto"/>
              <w:right w:val="single" w:sz="8" w:space="0" w:color="auto"/>
            </w:tcBorders>
            <w:shd w:val="clear" w:color="000000" w:fill="D9D9D9"/>
            <w:vAlign w:val="center"/>
          </w:tcPr>
          <w:p w14:paraId="3158B0F2" w14:textId="3D22F51D" w:rsidR="00C221EC" w:rsidRDefault="00C221EC" w:rsidP="00C221EC">
            <w:pPr>
              <w:jc w:val="right"/>
              <w:rPr>
                <w:rFonts w:ascii="Arial" w:hAnsi="Arial" w:cs="Arial"/>
              </w:rPr>
            </w:pPr>
            <w:r>
              <w:rPr>
                <w:rFonts w:ascii="Arial" w:hAnsi="Arial" w:cs="Arial"/>
              </w:rPr>
              <w:t> </w:t>
            </w:r>
          </w:p>
        </w:tc>
        <w:tc>
          <w:tcPr>
            <w:tcW w:w="1276" w:type="dxa"/>
            <w:tcBorders>
              <w:top w:val="single" w:sz="8" w:space="0" w:color="auto"/>
              <w:left w:val="nil"/>
              <w:bottom w:val="single" w:sz="8" w:space="0" w:color="auto"/>
              <w:right w:val="single" w:sz="8" w:space="0" w:color="auto"/>
            </w:tcBorders>
            <w:shd w:val="clear" w:color="000000" w:fill="D9D9D9"/>
            <w:vAlign w:val="center"/>
          </w:tcPr>
          <w:p w14:paraId="3288FE18" w14:textId="01223447" w:rsidR="00C221EC" w:rsidRDefault="00C221EC" w:rsidP="00C221EC">
            <w:pPr>
              <w:jc w:val="right"/>
              <w:rPr>
                <w:rFonts w:ascii="Arial" w:hAnsi="Arial" w:cs="Arial"/>
              </w:rPr>
            </w:pPr>
            <w:r>
              <w:rPr>
                <w:rFonts w:ascii="Arial" w:hAnsi="Arial" w:cs="Arial"/>
              </w:rPr>
              <w:t> </w:t>
            </w:r>
          </w:p>
        </w:tc>
        <w:tc>
          <w:tcPr>
            <w:tcW w:w="1275" w:type="dxa"/>
            <w:tcBorders>
              <w:top w:val="single" w:sz="8" w:space="0" w:color="auto"/>
              <w:left w:val="nil"/>
              <w:bottom w:val="single" w:sz="8" w:space="0" w:color="auto"/>
              <w:right w:val="single" w:sz="8" w:space="0" w:color="auto"/>
            </w:tcBorders>
            <w:shd w:val="clear" w:color="000000" w:fill="D9D9D9"/>
            <w:vAlign w:val="center"/>
          </w:tcPr>
          <w:p w14:paraId="4C88B1D0" w14:textId="183C39FF" w:rsidR="00C221EC" w:rsidRDefault="00C221EC" w:rsidP="00C221EC">
            <w:pPr>
              <w:jc w:val="right"/>
              <w:rPr>
                <w:rFonts w:ascii="Arial" w:hAnsi="Arial" w:cs="Arial"/>
              </w:rPr>
            </w:pPr>
            <w:r>
              <w:rPr>
                <w:rFonts w:ascii="Arial" w:hAnsi="Arial" w:cs="Arial"/>
              </w:rPr>
              <w:t> </w:t>
            </w:r>
          </w:p>
        </w:tc>
        <w:tc>
          <w:tcPr>
            <w:tcW w:w="1985" w:type="dxa"/>
            <w:tcBorders>
              <w:top w:val="single" w:sz="8" w:space="0" w:color="auto"/>
              <w:left w:val="nil"/>
              <w:bottom w:val="single" w:sz="8" w:space="0" w:color="auto"/>
              <w:right w:val="single" w:sz="8" w:space="0" w:color="auto"/>
            </w:tcBorders>
            <w:shd w:val="clear" w:color="000000" w:fill="D9D9D9"/>
            <w:vAlign w:val="center"/>
          </w:tcPr>
          <w:p w14:paraId="331A6343" w14:textId="5989B9F0" w:rsidR="00C221EC" w:rsidRDefault="00C221EC" w:rsidP="00C221EC">
            <w:pPr>
              <w:jc w:val="right"/>
              <w:rPr>
                <w:rFonts w:ascii="Arial" w:hAnsi="Arial" w:cs="Arial"/>
              </w:rPr>
            </w:pPr>
            <w:r>
              <w:rPr>
                <w:rFonts w:ascii="Arial" w:hAnsi="Arial" w:cs="Arial"/>
              </w:rPr>
              <w:t>2,695</w:t>
            </w:r>
          </w:p>
        </w:tc>
        <w:tc>
          <w:tcPr>
            <w:tcW w:w="1559" w:type="dxa"/>
            <w:tcBorders>
              <w:top w:val="single" w:sz="8" w:space="0" w:color="auto"/>
              <w:left w:val="nil"/>
              <w:bottom w:val="single" w:sz="8" w:space="0" w:color="auto"/>
              <w:right w:val="single" w:sz="8" w:space="0" w:color="auto"/>
            </w:tcBorders>
            <w:shd w:val="clear" w:color="000000" w:fill="D9D9D9"/>
            <w:vAlign w:val="center"/>
          </w:tcPr>
          <w:p w14:paraId="165ECDFF" w14:textId="13AF0A6A" w:rsidR="00C221EC" w:rsidRDefault="00C221EC" w:rsidP="00C221EC">
            <w:pPr>
              <w:jc w:val="right"/>
              <w:rPr>
                <w:rFonts w:ascii="Arial" w:hAnsi="Arial" w:cs="Arial"/>
              </w:rPr>
            </w:pPr>
            <w:r>
              <w:rPr>
                <w:rFonts w:ascii="Arial" w:hAnsi="Arial" w:cs="Arial"/>
              </w:rPr>
              <w:t> </w:t>
            </w:r>
          </w:p>
        </w:tc>
        <w:tc>
          <w:tcPr>
            <w:tcW w:w="1512" w:type="dxa"/>
            <w:tcBorders>
              <w:top w:val="nil"/>
              <w:left w:val="nil"/>
              <w:bottom w:val="single" w:sz="8" w:space="0" w:color="auto"/>
              <w:right w:val="single" w:sz="8" w:space="0" w:color="auto"/>
            </w:tcBorders>
            <w:shd w:val="clear" w:color="000000" w:fill="D9D9D9"/>
            <w:vAlign w:val="center"/>
          </w:tcPr>
          <w:p w14:paraId="4E115C25" w14:textId="3D2F349D" w:rsidR="00C221EC" w:rsidRDefault="00C221EC" w:rsidP="00C221EC">
            <w:pPr>
              <w:jc w:val="right"/>
              <w:rPr>
                <w:rFonts w:ascii="Arial" w:hAnsi="Arial" w:cs="Arial"/>
              </w:rPr>
            </w:pPr>
            <w:r>
              <w:rPr>
                <w:rFonts w:ascii="Arial" w:hAnsi="Arial" w:cs="Arial"/>
                <w:b/>
                <w:bCs/>
              </w:rPr>
              <w:t>2,695</w:t>
            </w:r>
          </w:p>
        </w:tc>
      </w:tr>
      <w:tr w:rsidR="001D3DE6" w:rsidRPr="00E96552" w14:paraId="789B3D5A"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7C3ED749" w14:textId="11296F04" w:rsidR="001D3DE6" w:rsidRPr="00E96552" w:rsidRDefault="001D3DE6" w:rsidP="001D3DE6">
            <w:pPr>
              <w:rPr>
                <w:rFonts w:ascii="Arial" w:hAnsi="Arial" w:cs="Arial"/>
              </w:rPr>
            </w:pPr>
            <w:r>
              <w:rPr>
                <w:rFonts w:ascii="Arial" w:hAnsi="Arial" w:cs="Arial"/>
              </w:rPr>
              <w:t>Additions</w:t>
            </w:r>
          </w:p>
        </w:tc>
        <w:tc>
          <w:tcPr>
            <w:tcW w:w="1134" w:type="dxa"/>
            <w:tcBorders>
              <w:top w:val="nil"/>
              <w:left w:val="nil"/>
              <w:bottom w:val="single" w:sz="8" w:space="0" w:color="auto"/>
              <w:right w:val="single" w:sz="8" w:space="0" w:color="auto"/>
            </w:tcBorders>
            <w:shd w:val="clear" w:color="000000" w:fill="D9D9D9"/>
            <w:vAlign w:val="center"/>
            <w:hideMark/>
          </w:tcPr>
          <w:p w14:paraId="11D5FCBD" w14:textId="4B326ED6" w:rsidR="001D3DE6" w:rsidRPr="00E96552" w:rsidRDefault="001D3DE6" w:rsidP="001D3DE6">
            <w:pPr>
              <w:jc w:val="right"/>
              <w:rPr>
                <w:rFonts w:ascii="Arial" w:hAnsi="Arial" w:cs="Arial"/>
              </w:rPr>
            </w:pPr>
            <w:r>
              <w:rPr>
                <w:rFonts w:ascii="Arial" w:hAnsi="Arial" w:cs="Arial"/>
              </w:rPr>
              <w:t>1,830</w:t>
            </w:r>
          </w:p>
        </w:tc>
        <w:tc>
          <w:tcPr>
            <w:tcW w:w="1276" w:type="dxa"/>
            <w:tcBorders>
              <w:top w:val="nil"/>
              <w:left w:val="nil"/>
              <w:bottom w:val="single" w:sz="8" w:space="0" w:color="auto"/>
              <w:right w:val="single" w:sz="8" w:space="0" w:color="auto"/>
            </w:tcBorders>
            <w:shd w:val="clear" w:color="000000" w:fill="D9D9D9"/>
            <w:vAlign w:val="center"/>
            <w:hideMark/>
          </w:tcPr>
          <w:p w14:paraId="594DA3D1" w14:textId="75755CEF" w:rsidR="001D3DE6" w:rsidRPr="00E96552" w:rsidRDefault="00AA76B6" w:rsidP="001D3DE6">
            <w:pPr>
              <w:jc w:val="right"/>
              <w:rPr>
                <w:rFonts w:ascii="Arial" w:hAnsi="Arial" w:cs="Arial"/>
              </w:rPr>
            </w:pPr>
            <w:r>
              <w:rPr>
                <w:rFonts w:ascii="Arial" w:hAnsi="Arial" w:cs="Arial"/>
              </w:rPr>
              <w:t>7</w:t>
            </w:r>
            <w:r w:rsidR="001D3DE6">
              <w:rPr>
                <w:rFonts w:ascii="Arial" w:hAnsi="Arial" w:cs="Arial"/>
              </w:rPr>
              <w:t>,</w:t>
            </w:r>
            <w:r>
              <w:rPr>
                <w:rFonts w:ascii="Arial" w:hAnsi="Arial" w:cs="Arial"/>
              </w:rPr>
              <w:t>519</w:t>
            </w:r>
          </w:p>
        </w:tc>
        <w:tc>
          <w:tcPr>
            <w:tcW w:w="1275" w:type="dxa"/>
            <w:tcBorders>
              <w:top w:val="nil"/>
              <w:left w:val="nil"/>
              <w:bottom w:val="single" w:sz="8" w:space="0" w:color="auto"/>
              <w:right w:val="single" w:sz="8" w:space="0" w:color="auto"/>
            </w:tcBorders>
            <w:shd w:val="clear" w:color="000000" w:fill="D9D9D9"/>
            <w:vAlign w:val="center"/>
            <w:hideMark/>
          </w:tcPr>
          <w:p w14:paraId="12927BDE" w14:textId="097FBAA1" w:rsidR="001D3DE6" w:rsidRPr="00E96552" w:rsidRDefault="001D3DE6" w:rsidP="001D3DE6">
            <w:pPr>
              <w:jc w:val="right"/>
              <w:rPr>
                <w:rFonts w:ascii="Arial" w:hAnsi="Arial" w:cs="Arial"/>
              </w:rPr>
            </w:pPr>
            <w:r>
              <w:rPr>
                <w:rFonts w:ascii="Arial" w:hAnsi="Arial" w:cs="Arial"/>
              </w:rPr>
              <w:t>1,026</w:t>
            </w:r>
          </w:p>
        </w:tc>
        <w:tc>
          <w:tcPr>
            <w:tcW w:w="1985" w:type="dxa"/>
            <w:tcBorders>
              <w:top w:val="nil"/>
              <w:left w:val="nil"/>
              <w:bottom w:val="single" w:sz="8" w:space="0" w:color="auto"/>
              <w:right w:val="single" w:sz="8" w:space="0" w:color="auto"/>
            </w:tcBorders>
            <w:shd w:val="clear" w:color="000000" w:fill="D9D9D9"/>
            <w:vAlign w:val="center"/>
          </w:tcPr>
          <w:p w14:paraId="5F490DB7" w14:textId="1DF6E2F3" w:rsidR="001D3DE6" w:rsidRDefault="00E21830" w:rsidP="001D3DE6">
            <w:pPr>
              <w:jc w:val="right"/>
              <w:rPr>
                <w:rFonts w:ascii="Arial" w:hAnsi="Arial" w:cs="Arial"/>
              </w:rPr>
            </w:pPr>
            <w:r>
              <w:rPr>
                <w:rFonts w:ascii="Arial" w:hAnsi="Arial" w:cs="Arial"/>
              </w:rPr>
              <w:t>0</w:t>
            </w:r>
            <w:r w:rsidR="001D3DE6">
              <w:rPr>
                <w:rFonts w:ascii="Arial" w:hAnsi="Arial" w:cs="Arial"/>
              </w:rPr>
              <w:t> </w:t>
            </w:r>
          </w:p>
        </w:tc>
        <w:tc>
          <w:tcPr>
            <w:tcW w:w="1559" w:type="dxa"/>
            <w:tcBorders>
              <w:top w:val="nil"/>
              <w:left w:val="nil"/>
              <w:bottom w:val="single" w:sz="8" w:space="0" w:color="auto"/>
              <w:right w:val="single" w:sz="8" w:space="0" w:color="auto"/>
            </w:tcBorders>
            <w:shd w:val="clear" w:color="000000" w:fill="D9D9D9"/>
            <w:vAlign w:val="center"/>
            <w:hideMark/>
          </w:tcPr>
          <w:p w14:paraId="18A6BF8E" w14:textId="2A7DFDBA" w:rsidR="001D3DE6" w:rsidRPr="00E96552" w:rsidRDefault="001D3DE6" w:rsidP="001D3DE6">
            <w:pPr>
              <w:jc w:val="right"/>
              <w:rPr>
                <w:rFonts w:ascii="Arial" w:hAnsi="Arial" w:cs="Arial"/>
              </w:rPr>
            </w:pPr>
            <w:r>
              <w:rPr>
                <w:rFonts w:ascii="Arial" w:hAnsi="Arial" w:cs="Arial"/>
              </w:rPr>
              <w:t>17,527</w:t>
            </w:r>
          </w:p>
        </w:tc>
        <w:tc>
          <w:tcPr>
            <w:tcW w:w="1512" w:type="dxa"/>
            <w:tcBorders>
              <w:top w:val="nil"/>
              <w:left w:val="nil"/>
              <w:bottom w:val="single" w:sz="8" w:space="0" w:color="auto"/>
              <w:right w:val="single" w:sz="8" w:space="0" w:color="auto"/>
            </w:tcBorders>
            <w:shd w:val="clear" w:color="000000" w:fill="D9D9D9"/>
            <w:vAlign w:val="center"/>
            <w:hideMark/>
          </w:tcPr>
          <w:p w14:paraId="500F5E23" w14:textId="22805C99" w:rsidR="001D3DE6" w:rsidRPr="00E96552" w:rsidRDefault="001D3DE6" w:rsidP="001D3DE6">
            <w:pPr>
              <w:jc w:val="right"/>
              <w:rPr>
                <w:rFonts w:ascii="Arial" w:hAnsi="Arial" w:cs="Arial"/>
              </w:rPr>
            </w:pPr>
            <w:r>
              <w:rPr>
                <w:rFonts w:ascii="Arial" w:hAnsi="Arial" w:cs="Arial"/>
              </w:rPr>
              <w:t>2</w:t>
            </w:r>
            <w:r w:rsidR="00AA76B6">
              <w:rPr>
                <w:rFonts w:ascii="Arial" w:hAnsi="Arial" w:cs="Arial"/>
              </w:rPr>
              <w:t>7</w:t>
            </w:r>
            <w:r>
              <w:rPr>
                <w:rFonts w:ascii="Arial" w:hAnsi="Arial" w:cs="Arial"/>
              </w:rPr>
              <w:t>,</w:t>
            </w:r>
            <w:r w:rsidR="00AA76B6">
              <w:rPr>
                <w:rFonts w:ascii="Arial" w:hAnsi="Arial" w:cs="Arial"/>
              </w:rPr>
              <w:t>902</w:t>
            </w:r>
          </w:p>
        </w:tc>
      </w:tr>
      <w:tr w:rsidR="001D3DE6" w:rsidRPr="00E96552" w14:paraId="6EF9833F" w14:textId="77777777" w:rsidTr="000C17BA">
        <w:trPr>
          <w:trHeight w:val="607"/>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768DA153" w14:textId="4AB3A6A8" w:rsidR="001D3DE6" w:rsidRPr="00E96552" w:rsidRDefault="001D3DE6" w:rsidP="001D3DE6">
            <w:pPr>
              <w:rPr>
                <w:rFonts w:ascii="Arial" w:hAnsi="Arial" w:cs="Arial"/>
              </w:rPr>
            </w:pPr>
            <w:r>
              <w:rPr>
                <w:rFonts w:ascii="Arial" w:hAnsi="Arial" w:cs="Arial"/>
              </w:rPr>
              <w:t>Revaluation increases/(decreases) recognised in the surplus/deficit on the provision of services</w:t>
            </w:r>
          </w:p>
        </w:tc>
        <w:tc>
          <w:tcPr>
            <w:tcW w:w="1134" w:type="dxa"/>
            <w:tcBorders>
              <w:top w:val="nil"/>
              <w:left w:val="nil"/>
              <w:bottom w:val="single" w:sz="8" w:space="0" w:color="auto"/>
              <w:right w:val="single" w:sz="8" w:space="0" w:color="auto"/>
            </w:tcBorders>
            <w:shd w:val="clear" w:color="000000" w:fill="D9D9D9"/>
            <w:vAlign w:val="center"/>
            <w:hideMark/>
          </w:tcPr>
          <w:p w14:paraId="3272E244" w14:textId="3DA655E5" w:rsidR="001D3DE6" w:rsidRPr="00E96552" w:rsidRDefault="001D3DE6" w:rsidP="001D3DE6">
            <w:pPr>
              <w:jc w:val="right"/>
              <w:rPr>
                <w:rFonts w:ascii="Arial" w:hAnsi="Arial" w:cs="Arial"/>
              </w:rPr>
            </w:pPr>
            <w:r>
              <w:rPr>
                <w:rFonts w:ascii="Arial" w:hAnsi="Arial" w:cs="Arial"/>
              </w:rPr>
              <w:t>(103)</w:t>
            </w:r>
          </w:p>
        </w:tc>
        <w:tc>
          <w:tcPr>
            <w:tcW w:w="1276" w:type="dxa"/>
            <w:tcBorders>
              <w:top w:val="nil"/>
              <w:left w:val="nil"/>
              <w:bottom w:val="single" w:sz="8" w:space="0" w:color="auto"/>
              <w:right w:val="single" w:sz="8" w:space="0" w:color="auto"/>
            </w:tcBorders>
            <w:shd w:val="clear" w:color="000000" w:fill="D9D9D9"/>
            <w:vAlign w:val="center"/>
            <w:hideMark/>
          </w:tcPr>
          <w:p w14:paraId="7C5F20F1" w14:textId="18A7BAB4" w:rsidR="001D3DE6" w:rsidRPr="00E96552" w:rsidRDefault="001D3DE6" w:rsidP="001D3DE6">
            <w:pPr>
              <w:jc w:val="right"/>
              <w:rPr>
                <w:rFonts w:ascii="Arial" w:hAnsi="Arial" w:cs="Arial"/>
              </w:rPr>
            </w:pPr>
            <w:r>
              <w:rPr>
                <w:rFonts w:ascii="Arial" w:hAnsi="Arial" w:cs="Arial"/>
              </w:rPr>
              <w:t>0</w:t>
            </w:r>
          </w:p>
        </w:tc>
        <w:tc>
          <w:tcPr>
            <w:tcW w:w="1275" w:type="dxa"/>
            <w:tcBorders>
              <w:top w:val="nil"/>
              <w:left w:val="nil"/>
              <w:bottom w:val="single" w:sz="8" w:space="0" w:color="auto"/>
              <w:right w:val="single" w:sz="8" w:space="0" w:color="auto"/>
            </w:tcBorders>
            <w:shd w:val="clear" w:color="000000" w:fill="D9D9D9"/>
            <w:vAlign w:val="center"/>
            <w:hideMark/>
          </w:tcPr>
          <w:p w14:paraId="687FC060" w14:textId="56166ECC" w:rsidR="001D3DE6" w:rsidRPr="00E96552" w:rsidRDefault="001D3DE6" w:rsidP="001D3DE6">
            <w:pPr>
              <w:jc w:val="right"/>
              <w:rPr>
                <w:rFonts w:ascii="Arial" w:hAnsi="Arial" w:cs="Arial"/>
              </w:rPr>
            </w:pPr>
            <w:r>
              <w:rPr>
                <w:rFonts w:ascii="Arial" w:hAnsi="Arial" w:cs="Arial"/>
              </w:rPr>
              <w:t>0</w:t>
            </w:r>
          </w:p>
        </w:tc>
        <w:tc>
          <w:tcPr>
            <w:tcW w:w="1985" w:type="dxa"/>
            <w:tcBorders>
              <w:top w:val="nil"/>
              <w:left w:val="nil"/>
              <w:bottom w:val="single" w:sz="8" w:space="0" w:color="auto"/>
              <w:right w:val="single" w:sz="8" w:space="0" w:color="auto"/>
            </w:tcBorders>
            <w:shd w:val="clear" w:color="000000" w:fill="D9D9D9"/>
            <w:vAlign w:val="center"/>
          </w:tcPr>
          <w:p w14:paraId="5AE54EB0" w14:textId="236D3E0D" w:rsidR="001D3DE6" w:rsidRPr="00E96552" w:rsidRDefault="00E21830" w:rsidP="001D3DE6">
            <w:pPr>
              <w:jc w:val="right"/>
              <w:rPr>
                <w:rFonts w:ascii="Arial" w:hAnsi="Arial" w:cs="Arial"/>
              </w:rPr>
            </w:pPr>
            <w:r>
              <w:rPr>
                <w:rFonts w:ascii="Arial" w:hAnsi="Arial" w:cs="Arial"/>
              </w:rPr>
              <w:t>0</w:t>
            </w:r>
            <w:r w:rsidR="001D3DE6">
              <w:rPr>
                <w:rFonts w:ascii="Arial" w:hAnsi="Arial" w:cs="Arial"/>
              </w:rPr>
              <w:t> </w:t>
            </w:r>
          </w:p>
        </w:tc>
        <w:tc>
          <w:tcPr>
            <w:tcW w:w="1559" w:type="dxa"/>
            <w:tcBorders>
              <w:top w:val="nil"/>
              <w:left w:val="nil"/>
              <w:bottom w:val="single" w:sz="8" w:space="0" w:color="auto"/>
              <w:right w:val="single" w:sz="8" w:space="0" w:color="auto"/>
            </w:tcBorders>
            <w:shd w:val="clear" w:color="000000" w:fill="D9D9D9"/>
            <w:vAlign w:val="center"/>
            <w:hideMark/>
          </w:tcPr>
          <w:p w14:paraId="0804026A" w14:textId="0299E99D" w:rsidR="001D3DE6" w:rsidRPr="00E96552" w:rsidRDefault="001D3DE6" w:rsidP="001D3DE6">
            <w:pPr>
              <w:jc w:val="right"/>
              <w:rPr>
                <w:rFonts w:ascii="Arial" w:hAnsi="Arial" w:cs="Arial"/>
              </w:rPr>
            </w:pPr>
            <w:r>
              <w:rPr>
                <w:rFonts w:ascii="Arial" w:hAnsi="Arial" w:cs="Arial"/>
              </w:rPr>
              <w:t>0</w:t>
            </w:r>
          </w:p>
        </w:tc>
        <w:tc>
          <w:tcPr>
            <w:tcW w:w="1512" w:type="dxa"/>
            <w:tcBorders>
              <w:top w:val="nil"/>
              <w:left w:val="nil"/>
              <w:bottom w:val="single" w:sz="8" w:space="0" w:color="auto"/>
              <w:right w:val="single" w:sz="8" w:space="0" w:color="auto"/>
            </w:tcBorders>
            <w:shd w:val="clear" w:color="000000" w:fill="D9D9D9"/>
            <w:vAlign w:val="center"/>
            <w:hideMark/>
          </w:tcPr>
          <w:p w14:paraId="1CDD4053" w14:textId="586F7109" w:rsidR="001D3DE6" w:rsidRPr="00E96552" w:rsidRDefault="001D3DE6" w:rsidP="001D3DE6">
            <w:pPr>
              <w:jc w:val="right"/>
              <w:rPr>
                <w:rFonts w:ascii="Arial" w:hAnsi="Arial" w:cs="Arial"/>
              </w:rPr>
            </w:pPr>
            <w:r>
              <w:rPr>
                <w:rFonts w:ascii="Arial" w:hAnsi="Arial" w:cs="Arial"/>
              </w:rPr>
              <w:t>(103)</w:t>
            </w:r>
          </w:p>
        </w:tc>
      </w:tr>
      <w:tr w:rsidR="001D3DE6" w:rsidRPr="00E96552" w14:paraId="22A8C151" w14:textId="77777777" w:rsidTr="000C17BA">
        <w:trPr>
          <w:trHeight w:val="364"/>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752CF295" w14:textId="0EB58F7D" w:rsidR="001D3DE6" w:rsidRPr="00E96552" w:rsidRDefault="001D3DE6" w:rsidP="001D3DE6">
            <w:pPr>
              <w:rPr>
                <w:rFonts w:ascii="Arial" w:hAnsi="Arial" w:cs="Arial"/>
              </w:rPr>
            </w:pPr>
            <w:r>
              <w:rPr>
                <w:rFonts w:ascii="Arial" w:hAnsi="Arial" w:cs="Arial"/>
              </w:rPr>
              <w:t xml:space="preserve">Revaluation increase/(decrease) recognised in the revaluation reserve. </w:t>
            </w:r>
          </w:p>
        </w:tc>
        <w:tc>
          <w:tcPr>
            <w:tcW w:w="1134" w:type="dxa"/>
            <w:tcBorders>
              <w:top w:val="nil"/>
              <w:left w:val="nil"/>
              <w:bottom w:val="single" w:sz="8" w:space="0" w:color="auto"/>
              <w:right w:val="single" w:sz="8" w:space="0" w:color="auto"/>
            </w:tcBorders>
            <w:shd w:val="clear" w:color="000000" w:fill="D9D9D9"/>
            <w:vAlign w:val="center"/>
            <w:hideMark/>
          </w:tcPr>
          <w:p w14:paraId="58633125" w14:textId="661429E5" w:rsidR="001D3DE6" w:rsidRPr="00E96552" w:rsidRDefault="001D3DE6" w:rsidP="001D3DE6">
            <w:pPr>
              <w:jc w:val="right"/>
              <w:rPr>
                <w:rFonts w:ascii="Arial" w:hAnsi="Arial" w:cs="Arial"/>
              </w:rPr>
            </w:pPr>
            <w:r>
              <w:rPr>
                <w:rFonts w:ascii="Arial" w:hAnsi="Arial" w:cs="Arial"/>
              </w:rPr>
              <w:t>(6,218)</w:t>
            </w:r>
          </w:p>
        </w:tc>
        <w:tc>
          <w:tcPr>
            <w:tcW w:w="1276" w:type="dxa"/>
            <w:tcBorders>
              <w:top w:val="nil"/>
              <w:left w:val="nil"/>
              <w:bottom w:val="single" w:sz="8" w:space="0" w:color="auto"/>
              <w:right w:val="single" w:sz="8" w:space="0" w:color="auto"/>
            </w:tcBorders>
            <w:shd w:val="clear" w:color="000000" w:fill="D9D9D9"/>
            <w:vAlign w:val="center"/>
            <w:hideMark/>
          </w:tcPr>
          <w:p w14:paraId="70612B62" w14:textId="1FD05959" w:rsidR="001D3DE6" w:rsidRPr="00E96552" w:rsidRDefault="001D3DE6" w:rsidP="001D3DE6">
            <w:pPr>
              <w:jc w:val="right"/>
              <w:rPr>
                <w:rFonts w:ascii="Arial" w:hAnsi="Arial" w:cs="Arial"/>
              </w:rPr>
            </w:pPr>
            <w:r>
              <w:rPr>
                <w:rFonts w:ascii="Arial" w:hAnsi="Arial" w:cs="Arial"/>
              </w:rPr>
              <w:t>0</w:t>
            </w:r>
          </w:p>
        </w:tc>
        <w:tc>
          <w:tcPr>
            <w:tcW w:w="1275" w:type="dxa"/>
            <w:tcBorders>
              <w:top w:val="nil"/>
              <w:left w:val="nil"/>
              <w:bottom w:val="single" w:sz="8" w:space="0" w:color="auto"/>
              <w:right w:val="single" w:sz="8" w:space="0" w:color="auto"/>
            </w:tcBorders>
            <w:shd w:val="clear" w:color="000000" w:fill="D9D9D9"/>
            <w:vAlign w:val="center"/>
            <w:hideMark/>
          </w:tcPr>
          <w:p w14:paraId="5ACA51BA" w14:textId="08CB48A1" w:rsidR="001D3DE6" w:rsidRPr="00E96552" w:rsidRDefault="001D3DE6" w:rsidP="001D3DE6">
            <w:pPr>
              <w:jc w:val="right"/>
              <w:rPr>
                <w:rFonts w:ascii="Arial" w:hAnsi="Arial" w:cs="Arial"/>
              </w:rPr>
            </w:pPr>
            <w:r>
              <w:rPr>
                <w:rFonts w:ascii="Arial" w:hAnsi="Arial" w:cs="Arial"/>
              </w:rPr>
              <w:t>0</w:t>
            </w:r>
          </w:p>
        </w:tc>
        <w:tc>
          <w:tcPr>
            <w:tcW w:w="1985" w:type="dxa"/>
            <w:tcBorders>
              <w:top w:val="nil"/>
              <w:left w:val="nil"/>
              <w:bottom w:val="single" w:sz="8" w:space="0" w:color="auto"/>
              <w:right w:val="single" w:sz="8" w:space="0" w:color="auto"/>
            </w:tcBorders>
            <w:shd w:val="clear" w:color="000000" w:fill="D9D9D9"/>
            <w:vAlign w:val="center"/>
          </w:tcPr>
          <w:p w14:paraId="43D00AAC" w14:textId="30F22DEC" w:rsidR="001D3DE6" w:rsidRPr="00E96552" w:rsidRDefault="00E21830" w:rsidP="001D3DE6">
            <w:pPr>
              <w:jc w:val="right"/>
              <w:rPr>
                <w:rFonts w:ascii="Arial" w:hAnsi="Arial" w:cs="Arial"/>
              </w:rPr>
            </w:pPr>
            <w:r>
              <w:rPr>
                <w:rFonts w:ascii="Arial" w:hAnsi="Arial" w:cs="Arial"/>
              </w:rPr>
              <w:t>0</w:t>
            </w:r>
            <w:r w:rsidR="001D3DE6">
              <w:rPr>
                <w:rFonts w:ascii="Arial" w:hAnsi="Arial" w:cs="Arial"/>
              </w:rPr>
              <w:t> </w:t>
            </w:r>
          </w:p>
        </w:tc>
        <w:tc>
          <w:tcPr>
            <w:tcW w:w="1559" w:type="dxa"/>
            <w:tcBorders>
              <w:top w:val="nil"/>
              <w:left w:val="nil"/>
              <w:bottom w:val="single" w:sz="8" w:space="0" w:color="auto"/>
              <w:right w:val="single" w:sz="8" w:space="0" w:color="auto"/>
            </w:tcBorders>
            <w:shd w:val="clear" w:color="000000" w:fill="D9D9D9"/>
            <w:vAlign w:val="center"/>
            <w:hideMark/>
          </w:tcPr>
          <w:p w14:paraId="1EAE219E" w14:textId="2CFADFC5" w:rsidR="001D3DE6" w:rsidRPr="00E96552" w:rsidRDefault="001D3DE6" w:rsidP="001D3DE6">
            <w:pPr>
              <w:jc w:val="right"/>
              <w:rPr>
                <w:rFonts w:ascii="Arial" w:hAnsi="Arial" w:cs="Arial"/>
              </w:rPr>
            </w:pPr>
            <w:r>
              <w:rPr>
                <w:rFonts w:ascii="Arial" w:hAnsi="Arial" w:cs="Arial"/>
              </w:rPr>
              <w:t>0</w:t>
            </w:r>
          </w:p>
        </w:tc>
        <w:tc>
          <w:tcPr>
            <w:tcW w:w="1512" w:type="dxa"/>
            <w:tcBorders>
              <w:top w:val="nil"/>
              <w:left w:val="nil"/>
              <w:bottom w:val="single" w:sz="8" w:space="0" w:color="auto"/>
              <w:right w:val="single" w:sz="8" w:space="0" w:color="auto"/>
            </w:tcBorders>
            <w:shd w:val="clear" w:color="000000" w:fill="D9D9D9"/>
            <w:vAlign w:val="center"/>
            <w:hideMark/>
          </w:tcPr>
          <w:p w14:paraId="194C6419" w14:textId="2A2EB8DD" w:rsidR="001D3DE6" w:rsidRPr="00E96552" w:rsidRDefault="001D3DE6" w:rsidP="001D3DE6">
            <w:pPr>
              <w:jc w:val="right"/>
              <w:rPr>
                <w:rFonts w:ascii="Arial" w:hAnsi="Arial" w:cs="Arial"/>
              </w:rPr>
            </w:pPr>
            <w:r>
              <w:rPr>
                <w:rFonts w:ascii="Arial" w:hAnsi="Arial" w:cs="Arial"/>
              </w:rPr>
              <w:t>(6,218)</w:t>
            </w:r>
          </w:p>
        </w:tc>
      </w:tr>
      <w:tr w:rsidR="001D3DE6" w:rsidRPr="00E96552" w14:paraId="75DDEFEC"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3F0CF6AD" w14:textId="2107CB8D" w:rsidR="001D3DE6" w:rsidRPr="00E96552" w:rsidRDefault="001D3DE6" w:rsidP="001D3DE6">
            <w:pPr>
              <w:rPr>
                <w:rFonts w:ascii="Arial" w:hAnsi="Arial" w:cs="Arial"/>
              </w:rPr>
            </w:pPr>
            <w:r>
              <w:rPr>
                <w:rFonts w:ascii="Arial" w:hAnsi="Arial" w:cs="Arial"/>
              </w:rPr>
              <w:t>Reclassification/Capitalisation</w:t>
            </w:r>
          </w:p>
        </w:tc>
        <w:tc>
          <w:tcPr>
            <w:tcW w:w="1134" w:type="dxa"/>
            <w:tcBorders>
              <w:top w:val="nil"/>
              <w:left w:val="nil"/>
              <w:bottom w:val="single" w:sz="8" w:space="0" w:color="auto"/>
              <w:right w:val="single" w:sz="8" w:space="0" w:color="auto"/>
            </w:tcBorders>
            <w:shd w:val="clear" w:color="000000" w:fill="D9D9D9"/>
            <w:vAlign w:val="center"/>
            <w:hideMark/>
          </w:tcPr>
          <w:p w14:paraId="6F6011CD" w14:textId="46B92138" w:rsidR="001D3DE6" w:rsidRPr="00E96552" w:rsidRDefault="001D3DE6" w:rsidP="001D3DE6">
            <w:pPr>
              <w:jc w:val="right"/>
              <w:rPr>
                <w:rFonts w:ascii="Arial" w:hAnsi="Arial" w:cs="Arial"/>
              </w:rPr>
            </w:pPr>
            <w:r>
              <w:rPr>
                <w:rFonts w:ascii="Arial" w:hAnsi="Arial" w:cs="Arial"/>
              </w:rPr>
              <w:t>0</w:t>
            </w:r>
          </w:p>
        </w:tc>
        <w:tc>
          <w:tcPr>
            <w:tcW w:w="1276" w:type="dxa"/>
            <w:tcBorders>
              <w:top w:val="nil"/>
              <w:left w:val="nil"/>
              <w:bottom w:val="single" w:sz="8" w:space="0" w:color="auto"/>
              <w:right w:val="single" w:sz="8" w:space="0" w:color="auto"/>
            </w:tcBorders>
            <w:shd w:val="clear" w:color="000000" w:fill="D9D9D9"/>
            <w:vAlign w:val="center"/>
            <w:hideMark/>
          </w:tcPr>
          <w:p w14:paraId="5397E633" w14:textId="7FCB2212" w:rsidR="001D3DE6" w:rsidRPr="00E96552" w:rsidRDefault="00AA76B6" w:rsidP="001D3DE6">
            <w:pPr>
              <w:jc w:val="right"/>
              <w:rPr>
                <w:rFonts w:ascii="Arial" w:hAnsi="Arial" w:cs="Arial"/>
              </w:rPr>
            </w:pPr>
            <w:r w:rsidRPr="00AA76B6">
              <w:rPr>
                <w:rFonts w:ascii="Arial" w:hAnsi="Arial" w:cs="Arial"/>
              </w:rPr>
              <w:t>1,677</w:t>
            </w:r>
          </w:p>
        </w:tc>
        <w:tc>
          <w:tcPr>
            <w:tcW w:w="1275" w:type="dxa"/>
            <w:tcBorders>
              <w:top w:val="nil"/>
              <w:left w:val="nil"/>
              <w:bottom w:val="single" w:sz="8" w:space="0" w:color="auto"/>
              <w:right w:val="single" w:sz="8" w:space="0" w:color="auto"/>
            </w:tcBorders>
            <w:shd w:val="clear" w:color="000000" w:fill="D9D9D9"/>
            <w:vAlign w:val="center"/>
            <w:hideMark/>
          </w:tcPr>
          <w:p w14:paraId="05670EC5" w14:textId="0F63DFB0" w:rsidR="001D3DE6" w:rsidRPr="00E96552" w:rsidRDefault="001D3DE6" w:rsidP="001D3DE6">
            <w:pPr>
              <w:jc w:val="right"/>
              <w:rPr>
                <w:rFonts w:ascii="Arial" w:hAnsi="Arial" w:cs="Arial"/>
              </w:rPr>
            </w:pPr>
            <w:r>
              <w:rPr>
                <w:rFonts w:ascii="Arial" w:hAnsi="Arial" w:cs="Arial"/>
              </w:rPr>
              <w:t>0</w:t>
            </w:r>
          </w:p>
        </w:tc>
        <w:tc>
          <w:tcPr>
            <w:tcW w:w="1985" w:type="dxa"/>
            <w:tcBorders>
              <w:top w:val="nil"/>
              <w:left w:val="nil"/>
              <w:bottom w:val="single" w:sz="8" w:space="0" w:color="auto"/>
              <w:right w:val="single" w:sz="8" w:space="0" w:color="auto"/>
            </w:tcBorders>
            <w:shd w:val="clear" w:color="000000" w:fill="D9D9D9"/>
            <w:vAlign w:val="center"/>
          </w:tcPr>
          <w:p w14:paraId="154EDA6F" w14:textId="55D88F39" w:rsidR="001D3DE6" w:rsidRPr="00E96552" w:rsidRDefault="00E21830" w:rsidP="00816CA5">
            <w:pPr>
              <w:ind w:left="1440"/>
              <w:jc w:val="right"/>
              <w:rPr>
                <w:rFonts w:ascii="Arial" w:hAnsi="Arial" w:cs="Arial"/>
              </w:rPr>
            </w:pPr>
            <w:r>
              <w:rPr>
                <w:rFonts w:ascii="Arial" w:hAnsi="Arial" w:cs="Arial"/>
              </w:rPr>
              <w:t>0</w:t>
            </w:r>
            <w:r w:rsidR="001D3DE6">
              <w:rPr>
                <w:rFonts w:ascii="Arial" w:hAnsi="Arial" w:cs="Arial"/>
              </w:rPr>
              <w:t> </w:t>
            </w:r>
          </w:p>
        </w:tc>
        <w:tc>
          <w:tcPr>
            <w:tcW w:w="1559" w:type="dxa"/>
            <w:tcBorders>
              <w:top w:val="nil"/>
              <w:left w:val="nil"/>
              <w:bottom w:val="single" w:sz="8" w:space="0" w:color="auto"/>
              <w:right w:val="single" w:sz="8" w:space="0" w:color="auto"/>
            </w:tcBorders>
            <w:shd w:val="clear" w:color="000000" w:fill="D9D9D9"/>
            <w:vAlign w:val="center"/>
            <w:hideMark/>
          </w:tcPr>
          <w:p w14:paraId="5DAE3FAE" w14:textId="4A36556C" w:rsidR="001D3DE6" w:rsidRPr="00E96552" w:rsidRDefault="001D3DE6" w:rsidP="001D3DE6">
            <w:pPr>
              <w:jc w:val="right"/>
              <w:rPr>
                <w:rFonts w:ascii="Arial" w:hAnsi="Arial" w:cs="Arial"/>
              </w:rPr>
            </w:pPr>
            <w:r>
              <w:rPr>
                <w:rFonts w:ascii="Arial" w:hAnsi="Arial" w:cs="Arial"/>
              </w:rPr>
              <w:t>(1,677)</w:t>
            </w:r>
          </w:p>
        </w:tc>
        <w:tc>
          <w:tcPr>
            <w:tcW w:w="1512" w:type="dxa"/>
            <w:tcBorders>
              <w:top w:val="nil"/>
              <w:left w:val="nil"/>
              <w:bottom w:val="single" w:sz="8" w:space="0" w:color="auto"/>
              <w:right w:val="single" w:sz="8" w:space="0" w:color="auto"/>
            </w:tcBorders>
            <w:shd w:val="clear" w:color="000000" w:fill="D9D9D9"/>
            <w:vAlign w:val="center"/>
            <w:hideMark/>
          </w:tcPr>
          <w:p w14:paraId="00CDE52F" w14:textId="3A825CF3" w:rsidR="001D3DE6" w:rsidRPr="00E96552" w:rsidRDefault="0037207E" w:rsidP="001D3DE6">
            <w:pPr>
              <w:jc w:val="right"/>
              <w:rPr>
                <w:rFonts w:ascii="Arial" w:hAnsi="Arial" w:cs="Arial"/>
              </w:rPr>
            </w:pPr>
            <w:r>
              <w:rPr>
                <w:rFonts w:ascii="Arial" w:hAnsi="Arial" w:cs="Arial"/>
              </w:rPr>
              <w:t>0</w:t>
            </w:r>
          </w:p>
        </w:tc>
      </w:tr>
      <w:tr w:rsidR="001D3DE6" w:rsidRPr="00E96552" w14:paraId="5C5CDF1C" w14:textId="77777777" w:rsidTr="000C17BA">
        <w:trPr>
          <w:trHeight w:val="303"/>
        </w:trPr>
        <w:tc>
          <w:tcPr>
            <w:tcW w:w="6511" w:type="dxa"/>
            <w:tcBorders>
              <w:top w:val="nil"/>
              <w:left w:val="single" w:sz="8" w:space="0" w:color="auto"/>
              <w:bottom w:val="single" w:sz="8" w:space="0" w:color="auto"/>
              <w:right w:val="single" w:sz="8" w:space="0" w:color="auto"/>
            </w:tcBorders>
            <w:shd w:val="clear" w:color="000000" w:fill="D9D9D9"/>
            <w:vAlign w:val="center"/>
          </w:tcPr>
          <w:p w14:paraId="2A7860A9" w14:textId="3F85BC33" w:rsidR="001D3DE6" w:rsidRPr="00E96552" w:rsidRDefault="001D3DE6" w:rsidP="001D3DE6">
            <w:pPr>
              <w:rPr>
                <w:rFonts w:ascii="Arial" w:hAnsi="Arial" w:cs="Arial"/>
              </w:rPr>
            </w:pPr>
            <w:r>
              <w:rPr>
                <w:rFonts w:ascii="Arial" w:hAnsi="Arial" w:cs="Arial"/>
              </w:rPr>
              <w:t>Impairments</w:t>
            </w:r>
          </w:p>
        </w:tc>
        <w:tc>
          <w:tcPr>
            <w:tcW w:w="1134" w:type="dxa"/>
            <w:tcBorders>
              <w:top w:val="nil"/>
              <w:left w:val="nil"/>
              <w:bottom w:val="single" w:sz="8" w:space="0" w:color="auto"/>
              <w:right w:val="single" w:sz="8" w:space="0" w:color="auto"/>
            </w:tcBorders>
            <w:shd w:val="clear" w:color="000000" w:fill="D9D9D9"/>
            <w:vAlign w:val="center"/>
          </w:tcPr>
          <w:p w14:paraId="6720ED76" w14:textId="0891CE7E" w:rsidR="001D3DE6" w:rsidRPr="00E96552" w:rsidRDefault="001D3DE6" w:rsidP="001D3DE6">
            <w:pPr>
              <w:jc w:val="right"/>
              <w:rPr>
                <w:rFonts w:ascii="Arial" w:hAnsi="Arial" w:cs="Arial"/>
              </w:rPr>
            </w:pPr>
            <w:r>
              <w:rPr>
                <w:rFonts w:ascii="Arial" w:hAnsi="Arial" w:cs="Arial"/>
              </w:rPr>
              <w:t>0</w:t>
            </w:r>
          </w:p>
        </w:tc>
        <w:tc>
          <w:tcPr>
            <w:tcW w:w="1276" w:type="dxa"/>
            <w:tcBorders>
              <w:top w:val="nil"/>
              <w:left w:val="nil"/>
              <w:bottom w:val="single" w:sz="8" w:space="0" w:color="auto"/>
              <w:right w:val="single" w:sz="8" w:space="0" w:color="auto"/>
            </w:tcBorders>
            <w:shd w:val="clear" w:color="000000" w:fill="D9D9D9"/>
            <w:vAlign w:val="center"/>
          </w:tcPr>
          <w:p w14:paraId="7542BF4D" w14:textId="5CAB62B5" w:rsidR="001D3DE6" w:rsidRPr="00E96552" w:rsidRDefault="001D3DE6" w:rsidP="001D3DE6">
            <w:pPr>
              <w:jc w:val="right"/>
              <w:rPr>
                <w:rFonts w:ascii="Arial" w:hAnsi="Arial" w:cs="Arial"/>
              </w:rPr>
            </w:pPr>
            <w:r>
              <w:rPr>
                <w:rFonts w:ascii="Arial" w:hAnsi="Arial" w:cs="Arial"/>
              </w:rPr>
              <w:t>0</w:t>
            </w:r>
          </w:p>
        </w:tc>
        <w:tc>
          <w:tcPr>
            <w:tcW w:w="1275" w:type="dxa"/>
            <w:tcBorders>
              <w:top w:val="nil"/>
              <w:left w:val="nil"/>
              <w:bottom w:val="single" w:sz="8" w:space="0" w:color="auto"/>
              <w:right w:val="single" w:sz="8" w:space="0" w:color="auto"/>
            </w:tcBorders>
            <w:shd w:val="clear" w:color="000000" w:fill="D9D9D9"/>
            <w:vAlign w:val="center"/>
          </w:tcPr>
          <w:p w14:paraId="1CB1DB58" w14:textId="35F696AA" w:rsidR="001D3DE6" w:rsidRPr="00E96552" w:rsidRDefault="001D3DE6" w:rsidP="001D3DE6">
            <w:pPr>
              <w:jc w:val="right"/>
              <w:rPr>
                <w:rFonts w:ascii="Arial" w:hAnsi="Arial" w:cs="Arial"/>
              </w:rPr>
            </w:pPr>
            <w:r>
              <w:rPr>
                <w:rFonts w:ascii="Arial" w:hAnsi="Arial" w:cs="Arial"/>
              </w:rPr>
              <w:t>0</w:t>
            </w:r>
          </w:p>
        </w:tc>
        <w:tc>
          <w:tcPr>
            <w:tcW w:w="1985" w:type="dxa"/>
            <w:tcBorders>
              <w:top w:val="nil"/>
              <w:left w:val="nil"/>
              <w:bottom w:val="single" w:sz="8" w:space="0" w:color="auto"/>
              <w:right w:val="single" w:sz="8" w:space="0" w:color="auto"/>
            </w:tcBorders>
            <w:shd w:val="clear" w:color="000000" w:fill="D9D9D9"/>
            <w:vAlign w:val="center"/>
          </w:tcPr>
          <w:p w14:paraId="1983DC6E" w14:textId="4FFEDA96" w:rsidR="001D3DE6" w:rsidRPr="00E96552" w:rsidRDefault="001D3DE6" w:rsidP="001D3DE6">
            <w:pPr>
              <w:jc w:val="right"/>
              <w:rPr>
                <w:rFonts w:ascii="Arial" w:hAnsi="Arial" w:cs="Arial"/>
              </w:rPr>
            </w:pPr>
            <w:r>
              <w:rPr>
                <w:rFonts w:ascii="Arial" w:hAnsi="Arial" w:cs="Arial"/>
              </w:rPr>
              <w:t>0</w:t>
            </w:r>
          </w:p>
        </w:tc>
        <w:tc>
          <w:tcPr>
            <w:tcW w:w="1559" w:type="dxa"/>
            <w:tcBorders>
              <w:top w:val="nil"/>
              <w:left w:val="nil"/>
              <w:bottom w:val="single" w:sz="8" w:space="0" w:color="auto"/>
              <w:right w:val="single" w:sz="8" w:space="0" w:color="auto"/>
            </w:tcBorders>
            <w:shd w:val="clear" w:color="000000" w:fill="D9D9D9"/>
            <w:vAlign w:val="center"/>
          </w:tcPr>
          <w:p w14:paraId="6E3887DF" w14:textId="7F149CBB" w:rsidR="001D3DE6" w:rsidRPr="00E96552" w:rsidRDefault="001D3DE6" w:rsidP="001D3DE6">
            <w:pPr>
              <w:jc w:val="right"/>
              <w:rPr>
                <w:rFonts w:ascii="Arial" w:hAnsi="Arial" w:cs="Arial"/>
              </w:rPr>
            </w:pPr>
            <w:r>
              <w:rPr>
                <w:rFonts w:ascii="Arial" w:hAnsi="Arial" w:cs="Arial"/>
              </w:rPr>
              <w:t>(57)</w:t>
            </w:r>
          </w:p>
        </w:tc>
        <w:tc>
          <w:tcPr>
            <w:tcW w:w="1512" w:type="dxa"/>
            <w:tcBorders>
              <w:top w:val="nil"/>
              <w:left w:val="nil"/>
              <w:bottom w:val="single" w:sz="8" w:space="0" w:color="auto"/>
              <w:right w:val="single" w:sz="8" w:space="0" w:color="auto"/>
            </w:tcBorders>
            <w:shd w:val="clear" w:color="000000" w:fill="D9D9D9"/>
            <w:vAlign w:val="center"/>
          </w:tcPr>
          <w:p w14:paraId="09C16C1A" w14:textId="54CDB5E2" w:rsidR="001D3DE6" w:rsidRPr="00E96552" w:rsidRDefault="001D3DE6" w:rsidP="001D3DE6">
            <w:pPr>
              <w:jc w:val="right"/>
              <w:rPr>
                <w:rFonts w:ascii="Arial" w:hAnsi="Arial" w:cs="Arial"/>
              </w:rPr>
            </w:pPr>
            <w:r>
              <w:rPr>
                <w:rFonts w:ascii="Arial" w:hAnsi="Arial" w:cs="Arial"/>
              </w:rPr>
              <w:t>(57)</w:t>
            </w:r>
          </w:p>
        </w:tc>
      </w:tr>
      <w:tr w:rsidR="001D3DE6" w:rsidRPr="00E96552" w14:paraId="2ACFF9E7" w14:textId="77777777" w:rsidTr="000C17BA">
        <w:trPr>
          <w:trHeight w:val="303"/>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5E4A253F" w14:textId="68B9CFC2" w:rsidR="001D3DE6" w:rsidRPr="00E96552" w:rsidRDefault="001D3DE6" w:rsidP="001D3DE6">
            <w:pPr>
              <w:rPr>
                <w:rFonts w:ascii="Arial" w:hAnsi="Arial" w:cs="Arial"/>
              </w:rPr>
            </w:pPr>
            <w:r>
              <w:rPr>
                <w:rFonts w:ascii="Arial" w:hAnsi="Arial" w:cs="Arial"/>
              </w:rPr>
              <w:t>De-recognition on disposals</w:t>
            </w:r>
          </w:p>
        </w:tc>
        <w:tc>
          <w:tcPr>
            <w:tcW w:w="1134" w:type="dxa"/>
            <w:tcBorders>
              <w:top w:val="nil"/>
              <w:left w:val="nil"/>
              <w:bottom w:val="single" w:sz="8" w:space="0" w:color="auto"/>
              <w:right w:val="single" w:sz="8" w:space="0" w:color="auto"/>
            </w:tcBorders>
            <w:shd w:val="clear" w:color="000000" w:fill="D9D9D9"/>
            <w:vAlign w:val="center"/>
            <w:hideMark/>
          </w:tcPr>
          <w:p w14:paraId="5D83D8A6" w14:textId="0B8532EE" w:rsidR="001D3DE6" w:rsidRPr="00E96552" w:rsidRDefault="001D3DE6" w:rsidP="001D3DE6">
            <w:pPr>
              <w:jc w:val="right"/>
              <w:rPr>
                <w:rFonts w:ascii="Arial" w:hAnsi="Arial" w:cs="Arial"/>
              </w:rPr>
            </w:pPr>
            <w:r>
              <w:rPr>
                <w:rFonts w:ascii="Arial" w:hAnsi="Arial" w:cs="Arial"/>
              </w:rPr>
              <w:t>(144)</w:t>
            </w:r>
          </w:p>
        </w:tc>
        <w:tc>
          <w:tcPr>
            <w:tcW w:w="1276" w:type="dxa"/>
            <w:tcBorders>
              <w:top w:val="nil"/>
              <w:left w:val="nil"/>
              <w:bottom w:val="single" w:sz="8" w:space="0" w:color="auto"/>
              <w:right w:val="single" w:sz="8" w:space="0" w:color="auto"/>
            </w:tcBorders>
            <w:shd w:val="clear" w:color="000000" w:fill="D9D9D9"/>
            <w:vAlign w:val="center"/>
            <w:hideMark/>
          </w:tcPr>
          <w:p w14:paraId="261B2E53" w14:textId="5748A84B" w:rsidR="001D3DE6" w:rsidRPr="00E96552" w:rsidRDefault="001D3DE6" w:rsidP="001D3DE6">
            <w:pPr>
              <w:jc w:val="right"/>
              <w:rPr>
                <w:rFonts w:ascii="Arial" w:hAnsi="Arial" w:cs="Arial"/>
              </w:rPr>
            </w:pPr>
            <w:r>
              <w:rPr>
                <w:rFonts w:ascii="Arial" w:hAnsi="Arial" w:cs="Arial"/>
              </w:rPr>
              <w:t>(2,300)</w:t>
            </w:r>
          </w:p>
        </w:tc>
        <w:tc>
          <w:tcPr>
            <w:tcW w:w="1275" w:type="dxa"/>
            <w:tcBorders>
              <w:top w:val="nil"/>
              <w:left w:val="nil"/>
              <w:bottom w:val="single" w:sz="8" w:space="0" w:color="auto"/>
              <w:right w:val="single" w:sz="8" w:space="0" w:color="auto"/>
            </w:tcBorders>
            <w:shd w:val="clear" w:color="000000" w:fill="D9D9D9"/>
            <w:vAlign w:val="center"/>
            <w:hideMark/>
          </w:tcPr>
          <w:p w14:paraId="7BCCEDB5" w14:textId="0A14E341" w:rsidR="001D3DE6" w:rsidRPr="00E96552" w:rsidRDefault="001D3DE6" w:rsidP="001D3DE6">
            <w:pPr>
              <w:jc w:val="right"/>
              <w:rPr>
                <w:rFonts w:ascii="Arial" w:hAnsi="Arial" w:cs="Arial"/>
              </w:rPr>
            </w:pPr>
            <w:r>
              <w:rPr>
                <w:rFonts w:ascii="Arial" w:hAnsi="Arial" w:cs="Arial"/>
              </w:rPr>
              <w:t>0</w:t>
            </w:r>
          </w:p>
        </w:tc>
        <w:tc>
          <w:tcPr>
            <w:tcW w:w="1985" w:type="dxa"/>
            <w:tcBorders>
              <w:top w:val="nil"/>
              <w:left w:val="nil"/>
              <w:bottom w:val="single" w:sz="8" w:space="0" w:color="auto"/>
              <w:right w:val="single" w:sz="8" w:space="0" w:color="auto"/>
            </w:tcBorders>
            <w:shd w:val="clear" w:color="000000" w:fill="D9D9D9"/>
            <w:vAlign w:val="center"/>
          </w:tcPr>
          <w:p w14:paraId="38698867" w14:textId="5E5EED55" w:rsidR="001D3DE6" w:rsidRPr="00E96552" w:rsidRDefault="001D3DE6" w:rsidP="001D3DE6">
            <w:pPr>
              <w:jc w:val="right"/>
              <w:rPr>
                <w:rFonts w:ascii="Arial" w:hAnsi="Arial" w:cs="Arial"/>
              </w:rPr>
            </w:pPr>
            <w:r>
              <w:rPr>
                <w:rFonts w:ascii="Arial" w:hAnsi="Arial" w:cs="Arial"/>
              </w:rPr>
              <w:t>0</w:t>
            </w:r>
          </w:p>
        </w:tc>
        <w:tc>
          <w:tcPr>
            <w:tcW w:w="1559" w:type="dxa"/>
            <w:tcBorders>
              <w:top w:val="nil"/>
              <w:left w:val="nil"/>
              <w:bottom w:val="single" w:sz="8" w:space="0" w:color="auto"/>
              <w:right w:val="single" w:sz="8" w:space="0" w:color="auto"/>
            </w:tcBorders>
            <w:shd w:val="clear" w:color="000000" w:fill="D9D9D9"/>
            <w:vAlign w:val="center"/>
            <w:hideMark/>
          </w:tcPr>
          <w:p w14:paraId="7FC8247F" w14:textId="4F27A1D8" w:rsidR="001D3DE6" w:rsidRPr="00E96552" w:rsidRDefault="001D3DE6" w:rsidP="001D3DE6">
            <w:pPr>
              <w:jc w:val="right"/>
              <w:rPr>
                <w:rFonts w:ascii="Arial" w:hAnsi="Arial" w:cs="Arial"/>
              </w:rPr>
            </w:pPr>
            <w:r>
              <w:rPr>
                <w:rFonts w:ascii="Arial" w:hAnsi="Arial" w:cs="Arial"/>
              </w:rPr>
              <w:t>0</w:t>
            </w:r>
          </w:p>
        </w:tc>
        <w:tc>
          <w:tcPr>
            <w:tcW w:w="1512" w:type="dxa"/>
            <w:tcBorders>
              <w:top w:val="nil"/>
              <w:left w:val="nil"/>
              <w:bottom w:val="single" w:sz="8" w:space="0" w:color="auto"/>
              <w:right w:val="single" w:sz="8" w:space="0" w:color="auto"/>
            </w:tcBorders>
            <w:shd w:val="clear" w:color="000000" w:fill="D9D9D9"/>
            <w:vAlign w:val="center"/>
            <w:hideMark/>
          </w:tcPr>
          <w:p w14:paraId="3C2D2422" w14:textId="618ECE2C" w:rsidR="001D3DE6" w:rsidRPr="00E96552" w:rsidRDefault="001D3DE6" w:rsidP="001D3DE6">
            <w:pPr>
              <w:jc w:val="right"/>
              <w:rPr>
                <w:rFonts w:ascii="Arial" w:hAnsi="Arial" w:cs="Arial"/>
              </w:rPr>
            </w:pPr>
            <w:r>
              <w:rPr>
                <w:rFonts w:ascii="Arial" w:hAnsi="Arial" w:cs="Arial"/>
              </w:rPr>
              <w:t>(2,444)</w:t>
            </w:r>
          </w:p>
        </w:tc>
      </w:tr>
      <w:tr w:rsidR="001D3DE6" w:rsidRPr="00E96552" w14:paraId="58A850CC"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07B2ECB0" w14:textId="12963D82" w:rsidR="001D3DE6" w:rsidRPr="00E96552" w:rsidRDefault="001D3DE6" w:rsidP="001D3DE6">
            <w:pPr>
              <w:rPr>
                <w:rFonts w:ascii="Arial" w:hAnsi="Arial" w:cs="Arial"/>
                <w:b/>
                <w:bCs/>
              </w:rPr>
            </w:pPr>
            <w:r>
              <w:rPr>
                <w:rFonts w:ascii="Arial" w:hAnsi="Arial" w:cs="Arial"/>
                <w:b/>
                <w:bCs/>
              </w:rPr>
              <w:t>At 31 March 2025</w:t>
            </w:r>
          </w:p>
        </w:tc>
        <w:tc>
          <w:tcPr>
            <w:tcW w:w="1134" w:type="dxa"/>
            <w:tcBorders>
              <w:top w:val="nil"/>
              <w:left w:val="nil"/>
              <w:bottom w:val="single" w:sz="8" w:space="0" w:color="auto"/>
              <w:right w:val="single" w:sz="8" w:space="0" w:color="auto"/>
            </w:tcBorders>
            <w:shd w:val="clear" w:color="000000" w:fill="D9D9D9"/>
            <w:vAlign w:val="center"/>
            <w:hideMark/>
          </w:tcPr>
          <w:p w14:paraId="762EC046" w14:textId="465A3BA5" w:rsidR="001D3DE6" w:rsidRPr="00E96552" w:rsidRDefault="001D3DE6" w:rsidP="001D3DE6">
            <w:pPr>
              <w:jc w:val="right"/>
              <w:rPr>
                <w:rFonts w:ascii="Arial" w:hAnsi="Arial" w:cs="Arial"/>
                <w:b/>
                <w:bCs/>
              </w:rPr>
            </w:pPr>
            <w:r>
              <w:rPr>
                <w:rFonts w:ascii="Arial" w:hAnsi="Arial" w:cs="Arial"/>
                <w:b/>
                <w:bCs/>
              </w:rPr>
              <w:t>213,581</w:t>
            </w:r>
          </w:p>
        </w:tc>
        <w:tc>
          <w:tcPr>
            <w:tcW w:w="1276" w:type="dxa"/>
            <w:tcBorders>
              <w:top w:val="nil"/>
              <w:left w:val="nil"/>
              <w:bottom w:val="single" w:sz="8" w:space="0" w:color="auto"/>
              <w:right w:val="single" w:sz="8" w:space="0" w:color="auto"/>
            </w:tcBorders>
            <w:shd w:val="clear" w:color="000000" w:fill="D9D9D9"/>
            <w:vAlign w:val="center"/>
            <w:hideMark/>
          </w:tcPr>
          <w:p w14:paraId="7A93414D" w14:textId="69A0549F" w:rsidR="001D3DE6" w:rsidRPr="00E96552" w:rsidRDefault="001D3DE6" w:rsidP="001D3DE6">
            <w:pPr>
              <w:jc w:val="right"/>
              <w:rPr>
                <w:rFonts w:ascii="Arial" w:hAnsi="Arial" w:cs="Arial"/>
                <w:b/>
                <w:bCs/>
              </w:rPr>
            </w:pPr>
            <w:r>
              <w:rPr>
                <w:rFonts w:ascii="Arial" w:hAnsi="Arial" w:cs="Arial"/>
                <w:b/>
                <w:bCs/>
              </w:rPr>
              <w:t>48,824</w:t>
            </w:r>
          </w:p>
        </w:tc>
        <w:tc>
          <w:tcPr>
            <w:tcW w:w="1275" w:type="dxa"/>
            <w:tcBorders>
              <w:top w:val="nil"/>
              <w:left w:val="nil"/>
              <w:bottom w:val="single" w:sz="8" w:space="0" w:color="auto"/>
              <w:right w:val="single" w:sz="8" w:space="0" w:color="auto"/>
            </w:tcBorders>
            <w:shd w:val="clear" w:color="000000" w:fill="D9D9D9"/>
            <w:vAlign w:val="center"/>
            <w:hideMark/>
          </w:tcPr>
          <w:p w14:paraId="7E3D1B2F" w14:textId="650D0FF5" w:rsidR="001D3DE6" w:rsidRPr="00E96552" w:rsidRDefault="001D3DE6" w:rsidP="001D3DE6">
            <w:pPr>
              <w:jc w:val="right"/>
              <w:rPr>
                <w:rFonts w:ascii="Arial" w:hAnsi="Arial" w:cs="Arial"/>
                <w:b/>
                <w:bCs/>
              </w:rPr>
            </w:pPr>
            <w:r>
              <w:rPr>
                <w:rFonts w:ascii="Arial" w:hAnsi="Arial" w:cs="Arial"/>
                <w:b/>
                <w:bCs/>
              </w:rPr>
              <w:t>12,076</w:t>
            </w:r>
          </w:p>
        </w:tc>
        <w:tc>
          <w:tcPr>
            <w:tcW w:w="1985" w:type="dxa"/>
            <w:tcBorders>
              <w:top w:val="nil"/>
              <w:left w:val="nil"/>
              <w:bottom w:val="single" w:sz="8" w:space="0" w:color="auto"/>
              <w:right w:val="single" w:sz="8" w:space="0" w:color="auto"/>
            </w:tcBorders>
            <w:shd w:val="clear" w:color="000000" w:fill="D9D9D9"/>
            <w:vAlign w:val="center"/>
          </w:tcPr>
          <w:p w14:paraId="6DCEDA25" w14:textId="412A0B7C" w:rsidR="001D3DE6" w:rsidRDefault="001D3DE6" w:rsidP="001D3DE6">
            <w:pPr>
              <w:jc w:val="right"/>
              <w:rPr>
                <w:rFonts w:ascii="Arial" w:hAnsi="Arial" w:cs="Arial"/>
                <w:b/>
                <w:bCs/>
              </w:rPr>
            </w:pPr>
            <w:r>
              <w:rPr>
                <w:rFonts w:ascii="Arial" w:hAnsi="Arial" w:cs="Arial"/>
                <w:b/>
                <w:bCs/>
              </w:rPr>
              <w:t>2,695</w:t>
            </w:r>
          </w:p>
        </w:tc>
        <w:tc>
          <w:tcPr>
            <w:tcW w:w="1559" w:type="dxa"/>
            <w:tcBorders>
              <w:top w:val="nil"/>
              <w:left w:val="nil"/>
              <w:bottom w:val="single" w:sz="8" w:space="0" w:color="auto"/>
              <w:right w:val="single" w:sz="8" w:space="0" w:color="auto"/>
            </w:tcBorders>
            <w:shd w:val="clear" w:color="000000" w:fill="D9D9D9"/>
            <w:vAlign w:val="center"/>
            <w:hideMark/>
          </w:tcPr>
          <w:p w14:paraId="0948CFCA" w14:textId="0ADE3A52" w:rsidR="001D3DE6" w:rsidRPr="00E96552" w:rsidRDefault="001D3DE6" w:rsidP="001D3DE6">
            <w:pPr>
              <w:jc w:val="right"/>
              <w:rPr>
                <w:rFonts w:ascii="Arial" w:hAnsi="Arial" w:cs="Arial"/>
                <w:b/>
                <w:bCs/>
              </w:rPr>
            </w:pPr>
            <w:r>
              <w:rPr>
                <w:rFonts w:ascii="Arial" w:hAnsi="Arial" w:cs="Arial"/>
                <w:b/>
                <w:bCs/>
              </w:rPr>
              <w:t>26,402</w:t>
            </w:r>
          </w:p>
        </w:tc>
        <w:tc>
          <w:tcPr>
            <w:tcW w:w="1512" w:type="dxa"/>
            <w:tcBorders>
              <w:top w:val="nil"/>
              <w:left w:val="nil"/>
              <w:bottom w:val="single" w:sz="8" w:space="0" w:color="auto"/>
              <w:right w:val="single" w:sz="8" w:space="0" w:color="auto"/>
            </w:tcBorders>
            <w:shd w:val="clear" w:color="000000" w:fill="D9D9D9"/>
            <w:vAlign w:val="center"/>
            <w:hideMark/>
          </w:tcPr>
          <w:p w14:paraId="495839A5" w14:textId="064329AF" w:rsidR="001D3DE6" w:rsidRPr="00E96552" w:rsidRDefault="001D3DE6" w:rsidP="001D3DE6">
            <w:pPr>
              <w:jc w:val="right"/>
              <w:rPr>
                <w:rFonts w:ascii="Arial" w:hAnsi="Arial" w:cs="Arial"/>
                <w:b/>
                <w:bCs/>
              </w:rPr>
            </w:pPr>
            <w:r>
              <w:rPr>
                <w:rFonts w:ascii="Arial" w:hAnsi="Arial" w:cs="Arial"/>
                <w:b/>
                <w:bCs/>
              </w:rPr>
              <w:t>303,578</w:t>
            </w:r>
          </w:p>
        </w:tc>
      </w:tr>
      <w:tr w:rsidR="001D3DE6" w:rsidRPr="00E96552" w14:paraId="5D0D74C9" w14:textId="77777777" w:rsidTr="000C17BA">
        <w:trPr>
          <w:trHeight w:val="181"/>
        </w:trPr>
        <w:tc>
          <w:tcPr>
            <w:tcW w:w="6511" w:type="dxa"/>
            <w:tcBorders>
              <w:top w:val="nil"/>
              <w:left w:val="nil"/>
              <w:bottom w:val="nil"/>
              <w:right w:val="nil"/>
            </w:tcBorders>
            <w:noWrap/>
            <w:vAlign w:val="center"/>
            <w:hideMark/>
          </w:tcPr>
          <w:p w14:paraId="4C30847D" w14:textId="6F6F9B4B" w:rsidR="001D3DE6" w:rsidRPr="00E96552" w:rsidRDefault="001D3DE6" w:rsidP="001D3DE6">
            <w:pPr>
              <w:jc w:val="right"/>
              <w:rPr>
                <w:rFonts w:ascii="Arial" w:hAnsi="Arial" w:cs="Arial"/>
                <w:b/>
                <w:bCs/>
              </w:rPr>
            </w:pPr>
          </w:p>
        </w:tc>
        <w:tc>
          <w:tcPr>
            <w:tcW w:w="1134" w:type="dxa"/>
            <w:tcBorders>
              <w:top w:val="nil"/>
              <w:left w:val="nil"/>
              <w:bottom w:val="nil"/>
              <w:right w:val="nil"/>
            </w:tcBorders>
            <w:noWrap/>
            <w:vAlign w:val="bottom"/>
            <w:hideMark/>
          </w:tcPr>
          <w:p w14:paraId="7C579C34" w14:textId="77777777" w:rsidR="001D3DE6" w:rsidRPr="00E96552" w:rsidRDefault="001D3DE6" w:rsidP="001D3DE6"/>
        </w:tc>
        <w:tc>
          <w:tcPr>
            <w:tcW w:w="1276" w:type="dxa"/>
            <w:tcBorders>
              <w:top w:val="nil"/>
              <w:left w:val="nil"/>
              <w:bottom w:val="nil"/>
              <w:right w:val="nil"/>
            </w:tcBorders>
            <w:noWrap/>
            <w:vAlign w:val="bottom"/>
            <w:hideMark/>
          </w:tcPr>
          <w:p w14:paraId="48106D34" w14:textId="77777777" w:rsidR="001D3DE6" w:rsidRPr="00E96552" w:rsidRDefault="001D3DE6" w:rsidP="001D3DE6"/>
        </w:tc>
        <w:tc>
          <w:tcPr>
            <w:tcW w:w="1275" w:type="dxa"/>
            <w:tcBorders>
              <w:top w:val="nil"/>
              <w:left w:val="nil"/>
              <w:bottom w:val="nil"/>
              <w:right w:val="nil"/>
            </w:tcBorders>
            <w:noWrap/>
            <w:vAlign w:val="bottom"/>
            <w:hideMark/>
          </w:tcPr>
          <w:p w14:paraId="393A368A" w14:textId="77777777" w:rsidR="001D3DE6" w:rsidRPr="00E96552" w:rsidRDefault="001D3DE6" w:rsidP="001D3DE6"/>
        </w:tc>
        <w:tc>
          <w:tcPr>
            <w:tcW w:w="1985" w:type="dxa"/>
            <w:tcBorders>
              <w:top w:val="nil"/>
              <w:left w:val="nil"/>
              <w:bottom w:val="nil"/>
              <w:right w:val="nil"/>
            </w:tcBorders>
            <w:vAlign w:val="bottom"/>
          </w:tcPr>
          <w:p w14:paraId="44421AC8" w14:textId="77777777" w:rsidR="001D3DE6" w:rsidRPr="00E96552" w:rsidRDefault="001D3DE6" w:rsidP="001D3DE6"/>
        </w:tc>
        <w:tc>
          <w:tcPr>
            <w:tcW w:w="1559" w:type="dxa"/>
            <w:tcBorders>
              <w:top w:val="nil"/>
              <w:left w:val="nil"/>
              <w:bottom w:val="nil"/>
              <w:right w:val="nil"/>
            </w:tcBorders>
            <w:noWrap/>
            <w:vAlign w:val="bottom"/>
            <w:hideMark/>
          </w:tcPr>
          <w:p w14:paraId="094B0D06" w14:textId="6A25B949" w:rsidR="001D3DE6" w:rsidRPr="00E96552" w:rsidRDefault="001D3DE6" w:rsidP="001D3DE6"/>
        </w:tc>
        <w:tc>
          <w:tcPr>
            <w:tcW w:w="1512" w:type="dxa"/>
            <w:tcBorders>
              <w:top w:val="nil"/>
              <w:left w:val="nil"/>
              <w:bottom w:val="nil"/>
              <w:right w:val="nil"/>
            </w:tcBorders>
            <w:noWrap/>
            <w:vAlign w:val="bottom"/>
            <w:hideMark/>
          </w:tcPr>
          <w:p w14:paraId="1F3F5E32" w14:textId="77777777" w:rsidR="001D3DE6" w:rsidRPr="00E96552" w:rsidRDefault="001D3DE6" w:rsidP="001D3DE6"/>
        </w:tc>
      </w:tr>
      <w:tr w:rsidR="001D3DE6" w:rsidRPr="00E96552" w14:paraId="4258353E" w14:textId="77777777" w:rsidTr="000C17BA">
        <w:trPr>
          <w:trHeight w:val="406"/>
        </w:trPr>
        <w:tc>
          <w:tcPr>
            <w:tcW w:w="651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8462DF1" w14:textId="55897818" w:rsidR="001D3DE6" w:rsidRPr="00E96552" w:rsidRDefault="001D3DE6" w:rsidP="001D3DE6">
            <w:pPr>
              <w:rPr>
                <w:rFonts w:ascii="Arial" w:hAnsi="Arial" w:cs="Arial"/>
                <w:b/>
                <w:bCs/>
              </w:rPr>
            </w:pPr>
            <w:r>
              <w:rPr>
                <w:rFonts w:ascii="Arial" w:hAnsi="Arial" w:cs="Arial"/>
                <w:b/>
                <w:bCs/>
              </w:rPr>
              <w:t>Accumulated Depreciation &amp; Impairment</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675D581B" w14:textId="0FD0FEA6" w:rsidR="001D3DE6" w:rsidRPr="00E96552" w:rsidRDefault="001D3DE6" w:rsidP="001D3DE6">
            <w:pPr>
              <w:jc w:val="right"/>
              <w:rPr>
                <w:rFonts w:ascii="Arial" w:hAnsi="Arial" w:cs="Arial"/>
                <w:b/>
                <w:bCs/>
              </w:rPr>
            </w:pPr>
            <w:r>
              <w:rPr>
                <w:rFonts w:ascii="Arial" w:hAnsi="Arial" w:cs="Arial"/>
                <w:b/>
                <w:bCs/>
              </w:rPr>
              <w:t> </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0309F0AF" w14:textId="473A5D0E" w:rsidR="001D3DE6" w:rsidRPr="00E96552" w:rsidRDefault="001D3DE6" w:rsidP="001D3DE6">
            <w:pPr>
              <w:jc w:val="right"/>
              <w:rPr>
                <w:rFonts w:ascii="Arial" w:hAnsi="Arial" w:cs="Arial"/>
                <w:b/>
                <w:bCs/>
              </w:rPr>
            </w:pPr>
            <w:r>
              <w:rPr>
                <w:rFonts w:ascii="Arial" w:hAnsi="Arial" w:cs="Arial"/>
                <w:b/>
                <w:bCs/>
              </w:rPr>
              <w:t> </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14:paraId="2F631A21" w14:textId="1105C23E" w:rsidR="001D3DE6" w:rsidRPr="00E96552" w:rsidRDefault="001D3DE6" w:rsidP="001D3DE6">
            <w:pPr>
              <w:jc w:val="right"/>
              <w:rPr>
                <w:rFonts w:ascii="Arial" w:hAnsi="Arial" w:cs="Arial"/>
                <w:b/>
                <w:bCs/>
              </w:rPr>
            </w:pPr>
            <w:r>
              <w:rPr>
                <w:rFonts w:ascii="Arial" w:hAnsi="Arial" w:cs="Arial"/>
                <w:b/>
                <w:bCs/>
              </w:rPr>
              <w:t> </w:t>
            </w:r>
          </w:p>
        </w:tc>
        <w:tc>
          <w:tcPr>
            <w:tcW w:w="1985" w:type="dxa"/>
            <w:tcBorders>
              <w:top w:val="single" w:sz="8" w:space="0" w:color="auto"/>
              <w:left w:val="nil"/>
              <w:bottom w:val="single" w:sz="8" w:space="0" w:color="auto"/>
              <w:right w:val="single" w:sz="8" w:space="0" w:color="auto"/>
            </w:tcBorders>
            <w:shd w:val="clear" w:color="000000" w:fill="D9D9D9"/>
            <w:vAlign w:val="center"/>
          </w:tcPr>
          <w:p w14:paraId="1B67B5DD" w14:textId="24F983C4" w:rsidR="001D3DE6" w:rsidRPr="00E96552" w:rsidRDefault="001D3DE6" w:rsidP="001D3DE6">
            <w:pPr>
              <w:jc w:val="right"/>
              <w:rPr>
                <w:rFonts w:ascii="Arial" w:hAnsi="Arial" w:cs="Arial"/>
                <w:b/>
                <w:bCs/>
              </w:rPr>
            </w:pPr>
            <w:r>
              <w:rPr>
                <w:rFonts w:ascii="Arial" w:hAnsi="Arial" w:cs="Arial"/>
                <w:b/>
                <w:bCs/>
              </w:rPr>
              <w:t> </w:t>
            </w:r>
          </w:p>
        </w:tc>
        <w:tc>
          <w:tcPr>
            <w:tcW w:w="1559" w:type="dxa"/>
            <w:tcBorders>
              <w:top w:val="single" w:sz="8" w:space="0" w:color="auto"/>
              <w:left w:val="nil"/>
              <w:bottom w:val="single" w:sz="8" w:space="0" w:color="auto"/>
              <w:right w:val="single" w:sz="8" w:space="0" w:color="auto"/>
            </w:tcBorders>
            <w:shd w:val="clear" w:color="000000" w:fill="D9D9D9"/>
            <w:vAlign w:val="center"/>
            <w:hideMark/>
          </w:tcPr>
          <w:p w14:paraId="07EE3272" w14:textId="347AB5B5" w:rsidR="001D3DE6" w:rsidRPr="00E96552" w:rsidRDefault="001D3DE6" w:rsidP="001D3DE6">
            <w:pPr>
              <w:jc w:val="right"/>
              <w:rPr>
                <w:rFonts w:ascii="Arial" w:hAnsi="Arial" w:cs="Arial"/>
                <w:b/>
                <w:bCs/>
              </w:rPr>
            </w:pPr>
            <w:r>
              <w:rPr>
                <w:rFonts w:ascii="Arial" w:hAnsi="Arial" w:cs="Arial"/>
                <w:b/>
                <w:bCs/>
              </w:rPr>
              <w:t> </w:t>
            </w:r>
          </w:p>
        </w:tc>
        <w:tc>
          <w:tcPr>
            <w:tcW w:w="1512" w:type="dxa"/>
            <w:tcBorders>
              <w:top w:val="single" w:sz="8" w:space="0" w:color="auto"/>
              <w:left w:val="nil"/>
              <w:bottom w:val="single" w:sz="8" w:space="0" w:color="auto"/>
              <w:right w:val="single" w:sz="8" w:space="0" w:color="auto"/>
            </w:tcBorders>
            <w:shd w:val="clear" w:color="000000" w:fill="D9D9D9"/>
            <w:vAlign w:val="center"/>
            <w:hideMark/>
          </w:tcPr>
          <w:p w14:paraId="5811EA59" w14:textId="3FEB5BA1" w:rsidR="001D3DE6" w:rsidRPr="00E96552" w:rsidRDefault="001D3DE6" w:rsidP="001D3DE6">
            <w:pPr>
              <w:jc w:val="right"/>
              <w:rPr>
                <w:rFonts w:ascii="Arial" w:hAnsi="Arial" w:cs="Arial"/>
                <w:b/>
                <w:bCs/>
              </w:rPr>
            </w:pPr>
            <w:r>
              <w:rPr>
                <w:rFonts w:ascii="Arial" w:hAnsi="Arial" w:cs="Arial"/>
                <w:b/>
                <w:bCs/>
              </w:rPr>
              <w:t> </w:t>
            </w:r>
          </w:p>
        </w:tc>
      </w:tr>
      <w:tr w:rsidR="001D3DE6" w:rsidRPr="00E96552" w14:paraId="6F0BE0D3" w14:textId="77777777" w:rsidTr="000C17BA">
        <w:trPr>
          <w:trHeight w:val="303"/>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6AD0E7E3" w14:textId="21AB3514" w:rsidR="001D3DE6" w:rsidRPr="00E96552" w:rsidRDefault="001D3DE6" w:rsidP="001D3DE6">
            <w:pPr>
              <w:rPr>
                <w:rFonts w:ascii="Arial" w:hAnsi="Arial" w:cs="Arial"/>
              </w:rPr>
            </w:pPr>
            <w:r>
              <w:rPr>
                <w:rFonts w:ascii="Arial" w:hAnsi="Arial" w:cs="Arial"/>
              </w:rPr>
              <w:t>At 1 April 2024</w:t>
            </w:r>
          </w:p>
        </w:tc>
        <w:tc>
          <w:tcPr>
            <w:tcW w:w="1134" w:type="dxa"/>
            <w:tcBorders>
              <w:top w:val="nil"/>
              <w:left w:val="nil"/>
              <w:bottom w:val="single" w:sz="8" w:space="0" w:color="auto"/>
              <w:right w:val="single" w:sz="8" w:space="0" w:color="auto"/>
            </w:tcBorders>
            <w:shd w:val="clear" w:color="000000" w:fill="D9D9D9"/>
            <w:vAlign w:val="center"/>
            <w:hideMark/>
          </w:tcPr>
          <w:p w14:paraId="6B5CE733" w14:textId="25FEA460" w:rsidR="001D3DE6" w:rsidRPr="00E96552" w:rsidRDefault="001D3DE6" w:rsidP="001D3DE6">
            <w:pPr>
              <w:jc w:val="right"/>
              <w:rPr>
                <w:rFonts w:ascii="Arial" w:hAnsi="Arial" w:cs="Arial"/>
                <w:b/>
                <w:bCs/>
              </w:rPr>
            </w:pPr>
            <w:r>
              <w:rPr>
                <w:rFonts w:ascii="Arial" w:hAnsi="Arial" w:cs="Arial"/>
                <w:b/>
                <w:bCs/>
              </w:rPr>
              <w:t>(2,745)</w:t>
            </w:r>
          </w:p>
        </w:tc>
        <w:tc>
          <w:tcPr>
            <w:tcW w:w="1276" w:type="dxa"/>
            <w:tcBorders>
              <w:top w:val="nil"/>
              <w:left w:val="nil"/>
              <w:bottom w:val="single" w:sz="8" w:space="0" w:color="auto"/>
              <w:right w:val="single" w:sz="8" w:space="0" w:color="auto"/>
            </w:tcBorders>
            <w:shd w:val="clear" w:color="000000" w:fill="D9D9D9"/>
            <w:vAlign w:val="center"/>
            <w:hideMark/>
          </w:tcPr>
          <w:p w14:paraId="661E738E" w14:textId="2E87B333" w:rsidR="001D3DE6" w:rsidRPr="00E96552" w:rsidRDefault="001D3DE6" w:rsidP="001D3DE6">
            <w:pPr>
              <w:jc w:val="right"/>
              <w:rPr>
                <w:rFonts w:ascii="Arial" w:hAnsi="Arial" w:cs="Arial"/>
                <w:b/>
                <w:bCs/>
              </w:rPr>
            </w:pPr>
            <w:r>
              <w:rPr>
                <w:rFonts w:ascii="Arial" w:hAnsi="Arial" w:cs="Arial"/>
                <w:b/>
                <w:bCs/>
              </w:rPr>
              <w:t>(22,314)</w:t>
            </w:r>
          </w:p>
        </w:tc>
        <w:tc>
          <w:tcPr>
            <w:tcW w:w="1275" w:type="dxa"/>
            <w:tcBorders>
              <w:top w:val="nil"/>
              <w:left w:val="nil"/>
              <w:bottom w:val="single" w:sz="8" w:space="0" w:color="auto"/>
              <w:right w:val="single" w:sz="8" w:space="0" w:color="auto"/>
            </w:tcBorders>
            <w:shd w:val="clear" w:color="000000" w:fill="D9D9D9"/>
            <w:vAlign w:val="center"/>
            <w:hideMark/>
          </w:tcPr>
          <w:p w14:paraId="3943FB4F" w14:textId="3C390F44" w:rsidR="001D3DE6" w:rsidRPr="00E96552" w:rsidRDefault="001D3DE6" w:rsidP="001D3DE6">
            <w:pPr>
              <w:jc w:val="right"/>
              <w:rPr>
                <w:rFonts w:ascii="Arial" w:hAnsi="Arial" w:cs="Arial"/>
                <w:b/>
                <w:bCs/>
              </w:rPr>
            </w:pPr>
            <w:r>
              <w:rPr>
                <w:rFonts w:ascii="Arial" w:hAnsi="Arial" w:cs="Arial"/>
                <w:b/>
                <w:bCs/>
              </w:rPr>
              <w:t>(5,300)</w:t>
            </w:r>
          </w:p>
        </w:tc>
        <w:tc>
          <w:tcPr>
            <w:tcW w:w="1985" w:type="dxa"/>
            <w:tcBorders>
              <w:top w:val="nil"/>
              <w:left w:val="nil"/>
              <w:bottom w:val="single" w:sz="8" w:space="0" w:color="auto"/>
              <w:right w:val="single" w:sz="8" w:space="0" w:color="auto"/>
            </w:tcBorders>
            <w:shd w:val="clear" w:color="000000" w:fill="D9D9D9"/>
            <w:vAlign w:val="center"/>
          </w:tcPr>
          <w:p w14:paraId="750F4C72" w14:textId="110BFFED" w:rsidR="001D3DE6" w:rsidRPr="00E96552" w:rsidRDefault="001D3DE6" w:rsidP="001D3DE6">
            <w:pPr>
              <w:jc w:val="right"/>
              <w:rPr>
                <w:rFonts w:ascii="Arial" w:hAnsi="Arial" w:cs="Arial"/>
                <w:b/>
                <w:bCs/>
              </w:rPr>
            </w:pPr>
          </w:p>
        </w:tc>
        <w:tc>
          <w:tcPr>
            <w:tcW w:w="1559" w:type="dxa"/>
            <w:tcBorders>
              <w:top w:val="nil"/>
              <w:left w:val="nil"/>
              <w:bottom w:val="single" w:sz="8" w:space="0" w:color="auto"/>
              <w:right w:val="single" w:sz="8" w:space="0" w:color="auto"/>
            </w:tcBorders>
            <w:shd w:val="clear" w:color="000000" w:fill="D9D9D9"/>
            <w:vAlign w:val="center"/>
            <w:hideMark/>
          </w:tcPr>
          <w:p w14:paraId="000CCEAF" w14:textId="4439D42B" w:rsidR="001D3DE6" w:rsidRPr="00E96552" w:rsidRDefault="001D3DE6" w:rsidP="001D3DE6">
            <w:pPr>
              <w:jc w:val="right"/>
              <w:rPr>
                <w:rFonts w:ascii="Arial" w:hAnsi="Arial" w:cs="Arial"/>
                <w:b/>
                <w:bCs/>
              </w:rPr>
            </w:pPr>
            <w:r>
              <w:rPr>
                <w:rFonts w:ascii="Arial" w:hAnsi="Arial" w:cs="Arial"/>
                <w:b/>
                <w:bCs/>
              </w:rPr>
              <w:t>0</w:t>
            </w:r>
          </w:p>
        </w:tc>
        <w:tc>
          <w:tcPr>
            <w:tcW w:w="1512" w:type="dxa"/>
            <w:tcBorders>
              <w:top w:val="nil"/>
              <w:left w:val="nil"/>
              <w:bottom w:val="single" w:sz="8" w:space="0" w:color="auto"/>
              <w:right w:val="single" w:sz="8" w:space="0" w:color="auto"/>
            </w:tcBorders>
            <w:shd w:val="clear" w:color="000000" w:fill="D9D9D9"/>
            <w:vAlign w:val="center"/>
            <w:hideMark/>
          </w:tcPr>
          <w:p w14:paraId="0661BFE8" w14:textId="3CDDB729" w:rsidR="001D3DE6" w:rsidRPr="00E96552" w:rsidRDefault="001D3DE6" w:rsidP="001D3DE6">
            <w:pPr>
              <w:jc w:val="right"/>
              <w:rPr>
                <w:rFonts w:ascii="Arial" w:hAnsi="Arial" w:cs="Arial"/>
                <w:b/>
                <w:bCs/>
              </w:rPr>
            </w:pPr>
            <w:r>
              <w:rPr>
                <w:rFonts w:ascii="Arial" w:hAnsi="Arial" w:cs="Arial"/>
                <w:b/>
                <w:bCs/>
              </w:rPr>
              <w:t>(30,358)</w:t>
            </w:r>
          </w:p>
        </w:tc>
      </w:tr>
      <w:tr w:rsidR="001D3DE6" w:rsidRPr="00E96552" w14:paraId="2F997554" w14:textId="77777777" w:rsidTr="000C17BA">
        <w:trPr>
          <w:trHeight w:val="303"/>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35BCF954" w14:textId="45F2F2F8" w:rsidR="001D3DE6" w:rsidRPr="00E96552" w:rsidRDefault="001D3DE6" w:rsidP="001D3DE6">
            <w:pPr>
              <w:rPr>
                <w:rFonts w:ascii="Arial" w:hAnsi="Arial" w:cs="Arial"/>
              </w:rPr>
            </w:pPr>
            <w:r>
              <w:rPr>
                <w:rFonts w:ascii="Arial" w:hAnsi="Arial" w:cs="Arial"/>
              </w:rPr>
              <w:t>Depreciation charge</w:t>
            </w:r>
          </w:p>
        </w:tc>
        <w:tc>
          <w:tcPr>
            <w:tcW w:w="1134" w:type="dxa"/>
            <w:tcBorders>
              <w:top w:val="nil"/>
              <w:left w:val="nil"/>
              <w:bottom w:val="single" w:sz="8" w:space="0" w:color="auto"/>
              <w:right w:val="single" w:sz="8" w:space="0" w:color="auto"/>
            </w:tcBorders>
            <w:shd w:val="clear" w:color="000000" w:fill="D9D9D9"/>
            <w:vAlign w:val="center"/>
            <w:hideMark/>
          </w:tcPr>
          <w:p w14:paraId="2DB5EAE7" w14:textId="3F267C46" w:rsidR="001D3DE6" w:rsidRPr="00E96552" w:rsidRDefault="001D3DE6" w:rsidP="001D3DE6">
            <w:pPr>
              <w:jc w:val="right"/>
              <w:rPr>
                <w:rFonts w:ascii="Arial" w:hAnsi="Arial" w:cs="Arial"/>
              </w:rPr>
            </w:pPr>
            <w:r>
              <w:rPr>
                <w:rFonts w:ascii="Arial" w:hAnsi="Arial" w:cs="Arial"/>
              </w:rPr>
              <w:t>(11,438)</w:t>
            </w:r>
          </w:p>
        </w:tc>
        <w:tc>
          <w:tcPr>
            <w:tcW w:w="1276" w:type="dxa"/>
            <w:tcBorders>
              <w:top w:val="nil"/>
              <w:left w:val="nil"/>
              <w:bottom w:val="single" w:sz="8" w:space="0" w:color="auto"/>
              <w:right w:val="single" w:sz="8" w:space="0" w:color="auto"/>
            </w:tcBorders>
            <w:shd w:val="clear" w:color="000000" w:fill="D9D9D9"/>
            <w:vAlign w:val="center"/>
            <w:hideMark/>
          </w:tcPr>
          <w:p w14:paraId="37015C29" w14:textId="6A22B80D" w:rsidR="001D3DE6" w:rsidRPr="00E96552" w:rsidRDefault="001D3DE6" w:rsidP="001D3DE6">
            <w:pPr>
              <w:jc w:val="right"/>
              <w:rPr>
                <w:rFonts w:ascii="Arial" w:hAnsi="Arial" w:cs="Arial"/>
              </w:rPr>
            </w:pPr>
            <w:r>
              <w:rPr>
                <w:rFonts w:ascii="Arial" w:hAnsi="Arial" w:cs="Arial"/>
              </w:rPr>
              <w:t>(8,423)</w:t>
            </w:r>
          </w:p>
        </w:tc>
        <w:tc>
          <w:tcPr>
            <w:tcW w:w="1275" w:type="dxa"/>
            <w:tcBorders>
              <w:top w:val="nil"/>
              <w:left w:val="nil"/>
              <w:bottom w:val="single" w:sz="8" w:space="0" w:color="auto"/>
              <w:right w:val="single" w:sz="8" w:space="0" w:color="auto"/>
            </w:tcBorders>
            <w:shd w:val="clear" w:color="000000" w:fill="D9D9D9"/>
            <w:vAlign w:val="center"/>
            <w:hideMark/>
          </w:tcPr>
          <w:p w14:paraId="4A396C3B" w14:textId="61F32DD3" w:rsidR="001D3DE6" w:rsidRPr="00E96552" w:rsidRDefault="001D3DE6" w:rsidP="001D3DE6">
            <w:pPr>
              <w:jc w:val="right"/>
              <w:rPr>
                <w:rFonts w:ascii="Arial" w:hAnsi="Arial" w:cs="Arial"/>
              </w:rPr>
            </w:pPr>
            <w:r>
              <w:rPr>
                <w:rFonts w:ascii="Arial" w:hAnsi="Arial" w:cs="Arial"/>
              </w:rPr>
              <w:t>(1,119)</w:t>
            </w:r>
          </w:p>
        </w:tc>
        <w:tc>
          <w:tcPr>
            <w:tcW w:w="1985" w:type="dxa"/>
            <w:tcBorders>
              <w:top w:val="nil"/>
              <w:left w:val="nil"/>
              <w:bottom w:val="single" w:sz="8" w:space="0" w:color="auto"/>
              <w:right w:val="single" w:sz="8" w:space="0" w:color="auto"/>
            </w:tcBorders>
            <w:shd w:val="clear" w:color="000000" w:fill="D9D9D9"/>
            <w:vAlign w:val="center"/>
          </w:tcPr>
          <w:p w14:paraId="4AFE25E9" w14:textId="4931F3A9" w:rsidR="001D3DE6" w:rsidRPr="00E96552" w:rsidRDefault="001D3DE6" w:rsidP="001D3DE6">
            <w:pPr>
              <w:jc w:val="right"/>
              <w:rPr>
                <w:rFonts w:ascii="Arial" w:hAnsi="Arial" w:cs="Arial"/>
              </w:rPr>
            </w:pPr>
            <w:r>
              <w:rPr>
                <w:rFonts w:ascii="Arial" w:hAnsi="Arial" w:cs="Arial"/>
              </w:rPr>
              <w:t>(381)</w:t>
            </w:r>
          </w:p>
        </w:tc>
        <w:tc>
          <w:tcPr>
            <w:tcW w:w="1559" w:type="dxa"/>
            <w:tcBorders>
              <w:top w:val="nil"/>
              <w:left w:val="nil"/>
              <w:bottom w:val="single" w:sz="8" w:space="0" w:color="auto"/>
              <w:right w:val="single" w:sz="8" w:space="0" w:color="auto"/>
            </w:tcBorders>
            <w:shd w:val="clear" w:color="000000" w:fill="D9D9D9"/>
            <w:vAlign w:val="center"/>
            <w:hideMark/>
          </w:tcPr>
          <w:p w14:paraId="17F9FD63" w14:textId="460AACF2" w:rsidR="001D3DE6" w:rsidRPr="00E96552" w:rsidRDefault="001D3DE6" w:rsidP="001D3DE6">
            <w:pPr>
              <w:jc w:val="right"/>
              <w:rPr>
                <w:rFonts w:ascii="Arial" w:hAnsi="Arial" w:cs="Arial"/>
              </w:rPr>
            </w:pPr>
            <w:r>
              <w:rPr>
                <w:rFonts w:ascii="Arial" w:hAnsi="Arial" w:cs="Arial"/>
              </w:rPr>
              <w:t>0</w:t>
            </w:r>
          </w:p>
        </w:tc>
        <w:tc>
          <w:tcPr>
            <w:tcW w:w="1512" w:type="dxa"/>
            <w:tcBorders>
              <w:top w:val="nil"/>
              <w:left w:val="nil"/>
              <w:bottom w:val="single" w:sz="8" w:space="0" w:color="auto"/>
              <w:right w:val="single" w:sz="8" w:space="0" w:color="auto"/>
            </w:tcBorders>
            <w:shd w:val="clear" w:color="000000" w:fill="D9D9D9"/>
            <w:vAlign w:val="center"/>
            <w:hideMark/>
          </w:tcPr>
          <w:p w14:paraId="6C7A6C4B" w14:textId="7A89A8D3" w:rsidR="001D3DE6" w:rsidRPr="00E96552" w:rsidRDefault="001D3DE6" w:rsidP="001D3DE6">
            <w:pPr>
              <w:jc w:val="right"/>
              <w:rPr>
                <w:rFonts w:ascii="Arial" w:hAnsi="Arial" w:cs="Arial"/>
                <w:b/>
                <w:bCs/>
              </w:rPr>
            </w:pPr>
            <w:r>
              <w:rPr>
                <w:rFonts w:ascii="Arial" w:hAnsi="Arial" w:cs="Arial"/>
                <w:b/>
                <w:bCs/>
              </w:rPr>
              <w:t>(21,360)</w:t>
            </w:r>
          </w:p>
        </w:tc>
      </w:tr>
      <w:tr w:rsidR="001D3DE6" w:rsidRPr="00E96552" w14:paraId="222659F1"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2D36E990" w14:textId="47532422" w:rsidR="001D3DE6" w:rsidRPr="00E96552" w:rsidRDefault="001D3DE6" w:rsidP="001D3DE6">
            <w:pPr>
              <w:rPr>
                <w:rFonts w:ascii="Arial" w:hAnsi="Arial" w:cs="Arial"/>
              </w:rPr>
            </w:pPr>
            <w:r>
              <w:rPr>
                <w:rFonts w:ascii="Arial" w:hAnsi="Arial" w:cs="Arial"/>
              </w:rPr>
              <w:t>Depreciation written out to revaluation reserve</w:t>
            </w:r>
          </w:p>
        </w:tc>
        <w:tc>
          <w:tcPr>
            <w:tcW w:w="1134" w:type="dxa"/>
            <w:tcBorders>
              <w:top w:val="nil"/>
              <w:left w:val="nil"/>
              <w:bottom w:val="single" w:sz="8" w:space="0" w:color="auto"/>
              <w:right w:val="single" w:sz="8" w:space="0" w:color="auto"/>
            </w:tcBorders>
            <w:shd w:val="clear" w:color="000000" w:fill="D9D9D9"/>
            <w:vAlign w:val="center"/>
            <w:hideMark/>
          </w:tcPr>
          <w:p w14:paraId="2EAB0F2F" w14:textId="57F5FC42" w:rsidR="001D3DE6" w:rsidRPr="00E96552" w:rsidRDefault="001D3DE6" w:rsidP="001D3DE6">
            <w:pPr>
              <w:jc w:val="right"/>
              <w:rPr>
                <w:rFonts w:ascii="Arial" w:hAnsi="Arial" w:cs="Arial"/>
              </w:rPr>
            </w:pPr>
            <w:r>
              <w:rPr>
                <w:rFonts w:ascii="Arial" w:hAnsi="Arial" w:cs="Arial"/>
              </w:rPr>
              <w:t>8,455</w:t>
            </w:r>
          </w:p>
        </w:tc>
        <w:tc>
          <w:tcPr>
            <w:tcW w:w="1276" w:type="dxa"/>
            <w:tcBorders>
              <w:top w:val="nil"/>
              <w:left w:val="nil"/>
              <w:bottom w:val="single" w:sz="8" w:space="0" w:color="auto"/>
              <w:right w:val="single" w:sz="8" w:space="0" w:color="auto"/>
            </w:tcBorders>
            <w:shd w:val="clear" w:color="000000" w:fill="D9D9D9"/>
            <w:vAlign w:val="center"/>
            <w:hideMark/>
          </w:tcPr>
          <w:p w14:paraId="737237B1" w14:textId="01750B0F" w:rsidR="001D3DE6" w:rsidRPr="00E96552" w:rsidRDefault="001D3DE6" w:rsidP="001D3DE6">
            <w:pPr>
              <w:jc w:val="right"/>
              <w:rPr>
                <w:rFonts w:ascii="Arial" w:hAnsi="Arial" w:cs="Arial"/>
              </w:rPr>
            </w:pPr>
            <w:r>
              <w:rPr>
                <w:rFonts w:ascii="Arial" w:hAnsi="Arial" w:cs="Arial"/>
              </w:rPr>
              <w:t>0</w:t>
            </w:r>
          </w:p>
        </w:tc>
        <w:tc>
          <w:tcPr>
            <w:tcW w:w="1275" w:type="dxa"/>
            <w:tcBorders>
              <w:top w:val="nil"/>
              <w:left w:val="nil"/>
              <w:bottom w:val="single" w:sz="8" w:space="0" w:color="auto"/>
              <w:right w:val="single" w:sz="8" w:space="0" w:color="auto"/>
            </w:tcBorders>
            <w:shd w:val="clear" w:color="000000" w:fill="D9D9D9"/>
            <w:vAlign w:val="center"/>
            <w:hideMark/>
          </w:tcPr>
          <w:p w14:paraId="7FCF7549" w14:textId="6ABA00D4" w:rsidR="001D3DE6" w:rsidRPr="00E96552" w:rsidRDefault="001D3DE6" w:rsidP="001D3DE6">
            <w:pPr>
              <w:jc w:val="right"/>
              <w:rPr>
                <w:rFonts w:ascii="Arial" w:hAnsi="Arial" w:cs="Arial"/>
              </w:rPr>
            </w:pPr>
            <w:r>
              <w:rPr>
                <w:rFonts w:ascii="Arial" w:hAnsi="Arial" w:cs="Arial"/>
              </w:rPr>
              <w:t>0</w:t>
            </w:r>
          </w:p>
        </w:tc>
        <w:tc>
          <w:tcPr>
            <w:tcW w:w="1985" w:type="dxa"/>
            <w:tcBorders>
              <w:top w:val="nil"/>
              <w:left w:val="nil"/>
              <w:bottom w:val="single" w:sz="8" w:space="0" w:color="auto"/>
              <w:right w:val="single" w:sz="8" w:space="0" w:color="auto"/>
            </w:tcBorders>
            <w:shd w:val="clear" w:color="000000" w:fill="D9D9D9"/>
            <w:vAlign w:val="center"/>
          </w:tcPr>
          <w:p w14:paraId="1640504C" w14:textId="7CBEB8D0" w:rsidR="001D3DE6" w:rsidRPr="00E96552" w:rsidRDefault="001D3DE6" w:rsidP="001D3DE6">
            <w:pPr>
              <w:jc w:val="right"/>
              <w:rPr>
                <w:rFonts w:ascii="Arial" w:hAnsi="Arial" w:cs="Arial"/>
              </w:rPr>
            </w:pPr>
            <w:r>
              <w:rPr>
                <w:rFonts w:ascii="Arial" w:hAnsi="Arial" w:cs="Arial"/>
              </w:rPr>
              <w:t>0</w:t>
            </w:r>
          </w:p>
        </w:tc>
        <w:tc>
          <w:tcPr>
            <w:tcW w:w="1559" w:type="dxa"/>
            <w:tcBorders>
              <w:top w:val="nil"/>
              <w:left w:val="nil"/>
              <w:bottom w:val="single" w:sz="8" w:space="0" w:color="auto"/>
              <w:right w:val="single" w:sz="8" w:space="0" w:color="auto"/>
            </w:tcBorders>
            <w:shd w:val="clear" w:color="000000" w:fill="D9D9D9"/>
            <w:vAlign w:val="center"/>
            <w:hideMark/>
          </w:tcPr>
          <w:p w14:paraId="54D3789D" w14:textId="0E094094" w:rsidR="001D3DE6" w:rsidRPr="00E96552" w:rsidRDefault="001D3DE6" w:rsidP="001D3DE6">
            <w:pPr>
              <w:jc w:val="right"/>
              <w:rPr>
                <w:rFonts w:ascii="Arial" w:hAnsi="Arial" w:cs="Arial"/>
              </w:rPr>
            </w:pPr>
            <w:r>
              <w:rPr>
                <w:rFonts w:ascii="Arial" w:hAnsi="Arial" w:cs="Arial"/>
              </w:rPr>
              <w:t>0</w:t>
            </w:r>
          </w:p>
        </w:tc>
        <w:tc>
          <w:tcPr>
            <w:tcW w:w="1512" w:type="dxa"/>
            <w:tcBorders>
              <w:top w:val="nil"/>
              <w:left w:val="nil"/>
              <w:bottom w:val="single" w:sz="8" w:space="0" w:color="auto"/>
              <w:right w:val="single" w:sz="8" w:space="0" w:color="auto"/>
            </w:tcBorders>
            <w:shd w:val="clear" w:color="000000" w:fill="D9D9D9"/>
            <w:vAlign w:val="center"/>
            <w:hideMark/>
          </w:tcPr>
          <w:p w14:paraId="4FC70C0E" w14:textId="409397B3" w:rsidR="001D3DE6" w:rsidRPr="00E96552" w:rsidRDefault="001D3DE6" w:rsidP="001D3DE6">
            <w:pPr>
              <w:jc w:val="right"/>
              <w:rPr>
                <w:rFonts w:ascii="Arial" w:hAnsi="Arial" w:cs="Arial"/>
                <w:b/>
                <w:bCs/>
              </w:rPr>
            </w:pPr>
            <w:r>
              <w:rPr>
                <w:rFonts w:ascii="Arial" w:hAnsi="Arial" w:cs="Arial"/>
                <w:b/>
                <w:bCs/>
              </w:rPr>
              <w:t>8,455</w:t>
            </w:r>
          </w:p>
        </w:tc>
      </w:tr>
      <w:tr w:rsidR="001D3DE6" w:rsidRPr="00E96552" w14:paraId="1E96E32F"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tcPr>
          <w:p w14:paraId="696895C3" w14:textId="30707654" w:rsidR="001D3DE6" w:rsidRPr="00E96552" w:rsidRDefault="001D3DE6" w:rsidP="001D3DE6">
            <w:pPr>
              <w:rPr>
                <w:rFonts w:ascii="Arial" w:hAnsi="Arial" w:cs="Arial"/>
              </w:rPr>
            </w:pPr>
            <w:r>
              <w:rPr>
                <w:rFonts w:ascii="Arial" w:hAnsi="Arial" w:cs="Arial"/>
              </w:rPr>
              <w:t>Depreciation written out to surplus/deficit on the provision of services</w:t>
            </w:r>
          </w:p>
        </w:tc>
        <w:tc>
          <w:tcPr>
            <w:tcW w:w="1134" w:type="dxa"/>
            <w:tcBorders>
              <w:top w:val="nil"/>
              <w:left w:val="nil"/>
              <w:bottom w:val="single" w:sz="8" w:space="0" w:color="auto"/>
              <w:right w:val="single" w:sz="8" w:space="0" w:color="auto"/>
            </w:tcBorders>
            <w:shd w:val="clear" w:color="000000" w:fill="D9D9D9"/>
            <w:vAlign w:val="center"/>
          </w:tcPr>
          <w:p w14:paraId="6C464BF4" w14:textId="5293D40B" w:rsidR="001D3DE6" w:rsidRPr="00E96552" w:rsidRDefault="001D3DE6" w:rsidP="001D3DE6">
            <w:pPr>
              <w:jc w:val="right"/>
              <w:rPr>
                <w:rFonts w:ascii="Arial" w:hAnsi="Arial" w:cs="Arial"/>
              </w:rPr>
            </w:pPr>
            <w:r>
              <w:rPr>
                <w:rFonts w:ascii="Arial" w:hAnsi="Arial" w:cs="Arial"/>
              </w:rPr>
              <w:t>95</w:t>
            </w:r>
          </w:p>
        </w:tc>
        <w:tc>
          <w:tcPr>
            <w:tcW w:w="1276" w:type="dxa"/>
            <w:tcBorders>
              <w:top w:val="nil"/>
              <w:left w:val="nil"/>
              <w:bottom w:val="single" w:sz="8" w:space="0" w:color="auto"/>
              <w:right w:val="single" w:sz="8" w:space="0" w:color="auto"/>
            </w:tcBorders>
            <w:shd w:val="clear" w:color="000000" w:fill="D9D9D9"/>
            <w:vAlign w:val="center"/>
          </w:tcPr>
          <w:p w14:paraId="5FDCC1FB" w14:textId="3A484CC7" w:rsidR="001D3DE6" w:rsidRPr="00E96552" w:rsidRDefault="001D3DE6" w:rsidP="001D3DE6">
            <w:pPr>
              <w:jc w:val="right"/>
              <w:rPr>
                <w:rFonts w:ascii="Arial" w:hAnsi="Arial" w:cs="Arial"/>
              </w:rPr>
            </w:pPr>
            <w:r>
              <w:rPr>
                <w:rFonts w:ascii="Arial" w:hAnsi="Arial" w:cs="Arial"/>
              </w:rPr>
              <w:t>0</w:t>
            </w:r>
          </w:p>
        </w:tc>
        <w:tc>
          <w:tcPr>
            <w:tcW w:w="1275" w:type="dxa"/>
            <w:tcBorders>
              <w:top w:val="nil"/>
              <w:left w:val="nil"/>
              <w:bottom w:val="single" w:sz="8" w:space="0" w:color="auto"/>
              <w:right w:val="single" w:sz="8" w:space="0" w:color="auto"/>
            </w:tcBorders>
            <w:shd w:val="clear" w:color="000000" w:fill="D9D9D9"/>
            <w:vAlign w:val="center"/>
          </w:tcPr>
          <w:p w14:paraId="330A9B38" w14:textId="275E81FD" w:rsidR="001D3DE6" w:rsidRPr="00E96552" w:rsidRDefault="001D3DE6" w:rsidP="001D3DE6">
            <w:pPr>
              <w:jc w:val="right"/>
              <w:rPr>
                <w:rFonts w:ascii="Arial" w:hAnsi="Arial" w:cs="Arial"/>
              </w:rPr>
            </w:pPr>
            <w:r>
              <w:rPr>
                <w:rFonts w:ascii="Arial" w:hAnsi="Arial" w:cs="Arial"/>
              </w:rPr>
              <w:t>0</w:t>
            </w:r>
          </w:p>
        </w:tc>
        <w:tc>
          <w:tcPr>
            <w:tcW w:w="1985" w:type="dxa"/>
            <w:tcBorders>
              <w:top w:val="nil"/>
              <w:left w:val="nil"/>
              <w:bottom w:val="single" w:sz="8" w:space="0" w:color="auto"/>
              <w:right w:val="single" w:sz="8" w:space="0" w:color="auto"/>
            </w:tcBorders>
            <w:shd w:val="clear" w:color="000000" w:fill="D9D9D9"/>
            <w:vAlign w:val="center"/>
          </w:tcPr>
          <w:p w14:paraId="61D8D043" w14:textId="6FAD9403" w:rsidR="001D3DE6" w:rsidRDefault="001D3DE6" w:rsidP="001D3DE6">
            <w:pPr>
              <w:jc w:val="right"/>
              <w:rPr>
                <w:rFonts w:ascii="Arial" w:hAnsi="Arial" w:cs="Arial"/>
              </w:rPr>
            </w:pPr>
            <w:r>
              <w:rPr>
                <w:rFonts w:ascii="Arial" w:hAnsi="Arial" w:cs="Arial"/>
              </w:rPr>
              <w:t>0</w:t>
            </w:r>
          </w:p>
        </w:tc>
        <w:tc>
          <w:tcPr>
            <w:tcW w:w="1559" w:type="dxa"/>
            <w:tcBorders>
              <w:top w:val="nil"/>
              <w:left w:val="nil"/>
              <w:bottom w:val="single" w:sz="8" w:space="0" w:color="auto"/>
              <w:right w:val="single" w:sz="8" w:space="0" w:color="auto"/>
            </w:tcBorders>
            <w:shd w:val="clear" w:color="000000" w:fill="D9D9D9"/>
            <w:vAlign w:val="center"/>
          </w:tcPr>
          <w:p w14:paraId="38F16F70" w14:textId="2CC5AA96" w:rsidR="001D3DE6" w:rsidRPr="00E96552" w:rsidRDefault="001D3DE6" w:rsidP="001D3DE6">
            <w:pPr>
              <w:jc w:val="right"/>
              <w:rPr>
                <w:rFonts w:ascii="Arial" w:hAnsi="Arial" w:cs="Arial"/>
              </w:rPr>
            </w:pPr>
            <w:r>
              <w:rPr>
                <w:rFonts w:ascii="Arial" w:hAnsi="Arial" w:cs="Arial"/>
              </w:rPr>
              <w:t>0</w:t>
            </w:r>
          </w:p>
        </w:tc>
        <w:tc>
          <w:tcPr>
            <w:tcW w:w="1512" w:type="dxa"/>
            <w:tcBorders>
              <w:top w:val="nil"/>
              <w:left w:val="nil"/>
              <w:bottom w:val="single" w:sz="8" w:space="0" w:color="auto"/>
              <w:right w:val="single" w:sz="8" w:space="0" w:color="auto"/>
            </w:tcBorders>
            <w:shd w:val="clear" w:color="000000" w:fill="D9D9D9"/>
            <w:vAlign w:val="center"/>
          </w:tcPr>
          <w:p w14:paraId="214CE917" w14:textId="1CC03EBB" w:rsidR="001D3DE6" w:rsidRPr="00E96552" w:rsidRDefault="001D3DE6" w:rsidP="001D3DE6">
            <w:pPr>
              <w:jc w:val="right"/>
              <w:rPr>
                <w:rFonts w:ascii="Arial" w:hAnsi="Arial" w:cs="Arial"/>
                <w:b/>
                <w:bCs/>
              </w:rPr>
            </w:pPr>
            <w:r>
              <w:rPr>
                <w:rFonts w:ascii="Arial" w:hAnsi="Arial" w:cs="Arial"/>
                <w:b/>
                <w:bCs/>
              </w:rPr>
              <w:t>95</w:t>
            </w:r>
          </w:p>
        </w:tc>
      </w:tr>
      <w:tr w:rsidR="001D3DE6" w:rsidRPr="00E96552" w14:paraId="5B7CE953"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345538C2" w14:textId="4AEB8496" w:rsidR="001D3DE6" w:rsidRPr="00E96552" w:rsidRDefault="001D3DE6" w:rsidP="001D3DE6">
            <w:pPr>
              <w:rPr>
                <w:rFonts w:ascii="Arial" w:hAnsi="Arial" w:cs="Arial"/>
              </w:rPr>
            </w:pPr>
            <w:r>
              <w:rPr>
                <w:rFonts w:ascii="Arial" w:hAnsi="Arial" w:cs="Arial"/>
              </w:rPr>
              <w:t>De-recognition on disposals</w:t>
            </w:r>
          </w:p>
        </w:tc>
        <w:tc>
          <w:tcPr>
            <w:tcW w:w="1134" w:type="dxa"/>
            <w:tcBorders>
              <w:top w:val="nil"/>
              <w:left w:val="nil"/>
              <w:bottom w:val="single" w:sz="8" w:space="0" w:color="auto"/>
              <w:right w:val="single" w:sz="8" w:space="0" w:color="auto"/>
            </w:tcBorders>
            <w:shd w:val="clear" w:color="000000" w:fill="D9D9D9"/>
            <w:vAlign w:val="center"/>
            <w:hideMark/>
          </w:tcPr>
          <w:p w14:paraId="446F4BE2" w14:textId="6635A5FF" w:rsidR="001D3DE6" w:rsidRPr="00E96552" w:rsidRDefault="001D3DE6" w:rsidP="001D3DE6">
            <w:pPr>
              <w:jc w:val="right"/>
              <w:rPr>
                <w:rFonts w:ascii="Arial" w:hAnsi="Arial" w:cs="Arial"/>
              </w:rPr>
            </w:pPr>
            <w:r>
              <w:rPr>
                <w:rFonts w:ascii="Arial" w:hAnsi="Arial" w:cs="Arial"/>
              </w:rPr>
              <w:t>0</w:t>
            </w:r>
          </w:p>
        </w:tc>
        <w:tc>
          <w:tcPr>
            <w:tcW w:w="1276" w:type="dxa"/>
            <w:tcBorders>
              <w:top w:val="nil"/>
              <w:left w:val="nil"/>
              <w:bottom w:val="single" w:sz="8" w:space="0" w:color="auto"/>
              <w:right w:val="single" w:sz="8" w:space="0" w:color="auto"/>
            </w:tcBorders>
            <w:shd w:val="clear" w:color="000000" w:fill="D9D9D9"/>
            <w:vAlign w:val="center"/>
            <w:hideMark/>
          </w:tcPr>
          <w:p w14:paraId="7CBEFC08" w14:textId="085A2738" w:rsidR="001D3DE6" w:rsidRPr="00E96552" w:rsidRDefault="001D3DE6" w:rsidP="001D3DE6">
            <w:pPr>
              <w:jc w:val="right"/>
              <w:rPr>
                <w:rFonts w:ascii="Arial" w:hAnsi="Arial" w:cs="Arial"/>
              </w:rPr>
            </w:pPr>
            <w:r>
              <w:rPr>
                <w:rFonts w:ascii="Arial" w:hAnsi="Arial" w:cs="Arial"/>
              </w:rPr>
              <w:t>2,049</w:t>
            </w:r>
          </w:p>
        </w:tc>
        <w:tc>
          <w:tcPr>
            <w:tcW w:w="1275" w:type="dxa"/>
            <w:tcBorders>
              <w:top w:val="nil"/>
              <w:left w:val="nil"/>
              <w:bottom w:val="single" w:sz="8" w:space="0" w:color="auto"/>
              <w:right w:val="single" w:sz="8" w:space="0" w:color="auto"/>
            </w:tcBorders>
            <w:shd w:val="clear" w:color="000000" w:fill="D9D9D9"/>
            <w:vAlign w:val="center"/>
            <w:hideMark/>
          </w:tcPr>
          <w:p w14:paraId="45D7C46E" w14:textId="4926CBB8" w:rsidR="001D3DE6" w:rsidRPr="00E96552" w:rsidRDefault="001D3DE6" w:rsidP="001D3DE6">
            <w:pPr>
              <w:jc w:val="right"/>
              <w:rPr>
                <w:rFonts w:ascii="Arial" w:hAnsi="Arial" w:cs="Arial"/>
              </w:rPr>
            </w:pPr>
            <w:r>
              <w:rPr>
                <w:rFonts w:ascii="Arial" w:hAnsi="Arial" w:cs="Arial"/>
              </w:rPr>
              <w:t>0</w:t>
            </w:r>
          </w:p>
        </w:tc>
        <w:tc>
          <w:tcPr>
            <w:tcW w:w="1985" w:type="dxa"/>
            <w:tcBorders>
              <w:top w:val="nil"/>
              <w:left w:val="nil"/>
              <w:bottom w:val="single" w:sz="8" w:space="0" w:color="auto"/>
              <w:right w:val="single" w:sz="8" w:space="0" w:color="auto"/>
            </w:tcBorders>
            <w:shd w:val="clear" w:color="000000" w:fill="D9D9D9"/>
            <w:vAlign w:val="center"/>
          </w:tcPr>
          <w:p w14:paraId="113096D4" w14:textId="70623C50" w:rsidR="001D3DE6" w:rsidRPr="00E96552" w:rsidRDefault="001D3DE6" w:rsidP="001D3DE6">
            <w:pPr>
              <w:jc w:val="right"/>
              <w:rPr>
                <w:rFonts w:ascii="Arial" w:hAnsi="Arial" w:cs="Arial"/>
              </w:rPr>
            </w:pPr>
            <w:r>
              <w:rPr>
                <w:rFonts w:ascii="Arial" w:hAnsi="Arial" w:cs="Arial"/>
              </w:rPr>
              <w:t>0</w:t>
            </w:r>
          </w:p>
        </w:tc>
        <w:tc>
          <w:tcPr>
            <w:tcW w:w="1559" w:type="dxa"/>
            <w:tcBorders>
              <w:top w:val="nil"/>
              <w:left w:val="nil"/>
              <w:bottom w:val="single" w:sz="8" w:space="0" w:color="auto"/>
              <w:right w:val="single" w:sz="8" w:space="0" w:color="auto"/>
            </w:tcBorders>
            <w:shd w:val="clear" w:color="000000" w:fill="D9D9D9"/>
            <w:vAlign w:val="center"/>
            <w:hideMark/>
          </w:tcPr>
          <w:p w14:paraId="01977DD1" w14:textId="30C9E001" w:rsidR="001D3DE6" w:rsidRPr="00E96552" w:rsidRDefault="001D3DE6" w:rsidP="001D3DE6">
            <w:pPr>
              <w:jc w:val="right"/>
              <w:rPr>
                <w:rFonts w:ascii="Arial" w:hAnsi="Arial" w:cs="Arial"/>
              </w:rPr>
            </w:pPr>
            <w:r>
              <w:rPr>
                <w:rFonts w:ascii="Arial" w:hAnsi="Arial" w:cs="Arial"/>
              </w:rPr>
              <w:t>0</w:t>
            </w:r>
          </w:p>
        </w:tc>
        <w:tc>
          <w:tcPr>
            <w:tcW w:w="1512" w:type="dxa"/>
            <w:tcBorders>
              <w:top w:val="nil"/>
              <w:left w:val="nil"/>
              <w:bottom w:val="single" w:sz="8" w:space="0" w:color="auto"/>
              <w:right w:val="single" w:sz="8" w:space="0" w:color="auto"/>
            </w:tcBorders>
            <w:shd w:val="clear" w:color="000000" w:fill="D9D9D9"/>
            <w:vAlign w:val="center"/>
            <w:hideMark/>
          </w:tcPr>
          <w:p w14:paraId="2BC263D7" w14:textId="54E8257C" w:rsidR="001D3DE6" w:rsidRPr="00E96552" w:rsidRDefault="001D3DE6" w:rsidP="001D3DE6">
            <w:pPr>
              <w:jc w:val="right"/>
              <w:rPr>
                <w:rFonts w:ascii="Arial" w:hAnsi="Arial" w:cs="Arial"/>
                <w:b/>
                <w:bCs/>
              </w:rPr>
            </w:pPr>
            <w:r>
              <w:rPr>
                <w:rFonts w:ascii="Arial" w:hAnsi="Arial" w:cs="Arial"/>
                <w:b/>
                <w:bCs/>
              </w:rPr>
              <w:t>2,049</w:t>
            </w:r>
          </w:p>
        </w:tc>
      </w:tr>
      <w:tr w:rsidR="001D3DE6" w:rsidRPr="00E96552" w14:paraId="18DE7FD6"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620FFFA9" w14:textId="4AD11EA0" w:rsidR="001D3DE6" w:rsidRPr="00E96552" w:rsidRDefault="001D3DE6" w:rsidP="001D3DE6">
            <w:pPr>
              <w:rPr>
                <w:rFonts w:ascii="Arial" w:hAnsi="Arial" w:cs="Arial"/>
                <w:b/>
                <w:bCs/>
              </w:rPr>
            </w:pPr>
            <w:r>
              <w:rPr>
                <w:rFonts w:ascii="Arial" w:hAnsi="Arial" w:cs="Arial"/>
                <w:b/>
                <w:bCs/>
              </w:rPr>
              <w:t>At 31 March 2025</w:t>
            </w:r>
          </w:p>
        </w:tc>
        <w:tc>
          <w:tcPr>
            <w:tcW w:w="1134" w:type="dxa"/>
            <w:tcBorders>
              <w:top w:val="nil"/>
              <w:left w:val="nil"/>
              <w:bottom w:val="single" w:sz="8" w:space="0" w:color="auto"/>
              <w:right w:val="single" w:sz="8" w:space="0" w:color="auto"/>
            </w:tcBorders>
            <w:shd w:val="clear" w:color="000000" w:fill="D9D9D9"/>
            <w:vAlign w:val="center"/>
            <w:hideMark/>
          </w:tcPr>
          <w:p w14:paraId="1ACFEB23" w14:textId="720A2C99" w:rsidR="001D3DE6" w:rsidRPr="00E96552" w:rsidRDefault="001D3DE6" w:rsidP="001D3DE6">
            <w:pPr>
              <w:jc w:val="right"/>
              <w:rPr>
                <w:rFonts w:ascii="Arial" w:hAnsi="Arial" w:cs="Arial"/>
                <w:b/>
                <w:bCs/>
              </w:rPr>
            </w:pPr>
            <w:r>
              <w:rPr>
                <w:rFonts w:ascii="Arial" w:hAnsi="Arial" w:cs="Arial"/>
                <w:b/>
                <w:bCs/>
              </w:rPr>
              <w:t>(5,633)</w:t>
            </w:r>
          </w:p>
        </w:tc>
        <w:tc>
          <w:tcPr>
            <w:tcW w:w="1276" w:type="dxa"/>
            <w:tcBorders>
              <w:top w:val="nil"/>
              <w:left w:val="nil"/>
              <w:bottom w:val="single" w:sz="8" w:space="0" w:color="auto"/>
              <w:right w:val="single" w:sz="8" w:space="0" w:color="auto"/>
            </w:tcBorders>
            <w:shd w:val="clear" w:color="000000" w:fill="D9D9D9"/>
            <w:vAlign w:val="center"/>
            <w:hideMark/>
          </w:tcPr>
          <w:p w14:paraId="357C510B" w14:textId="2BCD81FB" w:rsidR="001D3DE6" w:rsidRPr="00E96552" w:rsidRDefault="001D3DE6" w:rsidP="001D3DE6">
            <w:pPr>
              <w:jc w:val="right"/>
              <w:rPr>
                <w:rFonts w:ascii="Arial" w:hAnsi="Arial" w:cs="Arial"/>
                <w:b/>
                <w:bCs/>
              </w:rPr>
            </w:pPr>
            <w:r>
              <w:rPr>
                <w:rFonts w:ascii="Arial" w:hAnsi="Arial" w:cs="Arial"/>
                <w:b/>
                <w:bCs/>
              </w:rPr>
              <w:t>(28,687)</w:t>
            </w:r>
          </w:p>
        </w:tc>
        <w:tc>
          <w:tcPr>
            <w:tcW w:w="1275" w:type="dxa"/>
            <w:tcBorders>
              <w:top w:val="nil"/>
              <w:left w:val="nil"/>
              <w:bottom w:val="single" w:sz="8" w:space="0" w:color="auto"/>
              <w:right w:val="single" w:sz="8" w:space="0" w:color="auto"/>
            </w:tcBorders>
            <w:shd w:val="clear" w:color="000000" w:fill="D9D9D9"/>
            <w:vAlign w:val="center"/>
            <w:hideMark/>
          </w:tcPr>
          <w:p w14:paraId="7D3DD6BA" w14:textId="51011143" w:rsidR="001D3DE6" w:rsidRPr="00E96552" w:rsidRDefault="001D3DE6" w:rsidP="001D3DE6">
            <w:pPr>
              <w:jc w:val="right"/>
              <w:rPr>
                <w:rFonts w:ascii="Arial" w:hAnsi="Arial" w:cs="Arial"/>
                <w:b/>
                <w:bCs/>
              </w:rPr>
            </w:pPr>
            <w:r>
              <w:rPr>
                <w:rFonts w:ascii="Arial" w:hAnsi="Arial" w:cs="Arial"/>
                <w:b/>
                <w:bCs/>
              </w:rPr>
              <w:t>(6,418)</w:t>
            </w:r>
          </w:p>
        </w:tc>
        <w:tc>
          <w:tcPr>
            <w:tcW w:w="1985" w:type="dxa"/>
            <w:tcBorders>
              <w:top w:val="nil"/>
              <w:left w:val="nil"/>
              <w:bottom w:val="single" w:sz="8" w:space="0" w:color="auto"/>
              <w:right w:val="single" w:sz="8" w:space="0" w:color="auto"/>
            </w:tcBorders>
            <w:shd w:val="clear" w:color="000000" w:fill="D9D9D9"/>
            <w:vAlign w:val="center"/>
          </w:tcPr>
          <w:p w14:paraId="0EA9FA71" w14:textId="31001EBE" w:rsidR="001D3DE6" w:rsidRPr="00E96552" w:rsidRDefault="001D3DE6" w:rsidP="001D3DE6">
            <w:pPr>
              <w:jc w:val="right"/>
              <w:rPr>
                <w:rFonts w:ascii="Arial" w:hAnsi="Arial" w:cs="Arial"/>
                <w:b/>
                <w:bCs/>
              </w:rPr>
            </w:pPr>
            <w:r>
              <w:rPr>
                <w:rFonts w:ascii="Arial" w:hAnsi="Arial" w:cs="Arial"/>
                <w:b/>
                <w:bCs/>
              </w:rPr>
              <w:t>(381)</w:t>
            </w:r>
          </w:p>
        </w:tc>
        <w:tc>
          <w:tcPr>
            <w:tcW w:w="1559" w:type="dxa"/>
            <w:tcBorders>
              <w:top w:val="nil"/>
              <w:left w:val="nil"/>
              <w:bottom w:val="single" w:sz="8" w:space="0" w:color="auto"/>
              <w:right w:val="single" w:sz="8" w:space="0" w:color="auto"/>
            </w:tcBorders>
            <w:shd w:val="clear" w:color="000000" w:fill="D9D9D9"/>
            <w:vAlign w:val="center"/>
            <w:hideMark/>
          </w:tcPr>
          <w:p w14:paraId="4863A591" w14:textId="0AABDE34" w:rsidR="001D3DE6" w:rsidRPr="00E96552" w:rsidRDefault="001D3DE6" w:rsidP="001D3DE6">
            <w:pPr>
              <w:jc w:val="right"/>
              <w:rPr>
                <w:rFonts w:ascii="Arial" w:hAnsi="Arial" w:cs="Arial"/>
                <w:b/>
                <w:bCs/>
              </w:rPr>
            </w:pPr>
            <w:r>
              <w:rPr>
                <w:rFonts w:ascii="Arial" w:hAnsi="Arial" w:cs="Arial"/>
                <w:b/>
                <w:bCs/>
              </w:rPr>
              <w:t>0</w:t>
            </w:r>
          </w:p>
        </w:tc>
        <w:tc>
          <w:tcPr>
            <w:tcW w:w="1512" w:type="dxa"/>
            <w:tcBorders>
              <w:top w:val="nil"/>
              <w:left w:val="nil"/>
              <w:bottom w:val="single" w:sz="8" w:space="0" w:color="auto"/>
              <w:right w:val="single" w:sz="8" w:space="0" w:color="auto"/>
            </w:tcBorders>
            <w:shd w:val="clear" w:color="000000" w:fill="D9D9D9"/>
            <w:vAlign w:val="center"/>
            <w:hideMark/>
          </w:tcPr>
          <w:p w14:paraId="31D3793A" w14:textId="64C9DCC8" w:rsidR="001D3DE6" w:rsidRPr="00E96552" w:rsidRDefault="001D3DE6" w:rsidP="001D3DE6">
            <w:pPr>
              <w:jc w:val="right"/>
              <w:rPr>
                <w:rFonts w:ascii="Arial" w:hAnsi="Arial" w:cs="Arial"/>
                <w:b/>
                <w:bCs/>
              </w:rPr>
            </w:pPr>
            <w:r>
              <w:rPr>
                <w:rFonts w:ascii="Arial" w:hAnsi="Arial" w:cs="Arial"/>
                <w:b/>
                <w:bCs/>
              </w:rPr>
              <w:t>(41,120)</w:t>
            </w:r>
          </w:p>
        </w:tc>
      </w:tr>
      <w:tr w:rsidR="001D3DE6" w:rsidRPr="00E96552" w14:paraId="64A6B960" w14:textId="77777777" w:rsidTr="00C221EC">
        <w:trPr>
          <w:trHeight w:val="152"/>
        </w:trPr>
        <w:tc>
          <w:tcPr>
            <w:tcW w:w="6511" w:type="dxa"/>
            <w:tcBorders>
              <w:top w:val="nil"/>
              <w:left w:val="nil"/>
              <w:bottom w:val="nil"/>
              <w:right w:val="nil"/>
            </w:tcBorders>
            <w:noWrap/>
            <w:hideMark/>
          </w:tcPr>
          <w:p w14:paraId="2ADAFF73" w14:textId="1DD7D679" w:rsidR="001D3DE6" w:rsidRPr="00C221EC" w:rsidRDefault="001D3DE6" w:rsidP="00C221EC">
            <w:pPr>
              <w:rPr>
                <w:rFonts w:ascii="Arial" w:hAnsi="Arial" w:cs="Arial"/>
                <w:b/>
                <w:bCs/>
                <w:sz w:val="10"/>
                <w:szCs w:val="10"/>
              </w:rPr>
            </w:pPr>
          </w:p>
        </w:tc>
        <w:tc>
          <w:tcPr>
            <w:tcW w:w="1134" w:type="dxa"/>
            <w:tcBorders>
              <w:top w:val="nil"/>
              <w:left w:val="nil"/>
              <w:bottom w:val="nil"/>
              <w:right w:val="nil"/>
            </w:tcBorders>
            <w:noWrap/>
            <w:hideMark/>
          </w:tcPr>
          <w:p w14:paraId="2E8695ED" w14:textId="77777777" w:rsidR="001D3DE6" w:rsidRPr="00C221EC" w:rsidRDefault="001D3DE6" w:rsidP="00C221EC">
            <w:pPr>
              <w:rPr>
                <w:sz w:val="10"/>
                <w:szCs w:val="10"/>
              </w:rPr>
            </w:pPr>
          </w:p>
        </w:tc>
        <w:tc>
          <w:tcPr>
            <w:tcW w:w="1276" w:type="dxa"/>
            <w:tcBorders>
              <w:top w:val="nil"/>
              <w:left w:val="nil"/>
              <w:bottom w:val="nil"/>
              <w:right w:val="nil"/>
            </w:tcBorders>
            <w:noWrap/>
            <w:hideMark/>
          </w:tcPr>
          <w:p w14:paraId="7C3272F2" w14:textId="77777777" w:rsidR="001D3DE6" w:rsidRPr="00C221EC" w:rsidRDefault="001D3DE6" w:rsidP="00C221EC">
            <w:pPr>
              <w:rPr>
                <w:sz w:val="10"/>
                <w:szCs w:val="10"/>
              </w:rPr>
            </w:pPr>
          </w:p>
        </w:tc>
        <w:tc>
          <w:tcPr>
            <w:tcW w:w="1275" w:type="dxa"/>
            <w:tcBorders>
              <w:top w:val="nil"/>
              <w:left w:val="nil"/>
              <w:bottom w:val="nil"/>
              <w:right w:val="nil"/>
            </w:tcBorders>
            <w:noWrap/>
            <w:hideMark/>
          </w:tcPr>
          <w:p w14:paraId="3670A38D" w14:textId="77777777" w:rsidR="001D3DE6" w:rsidRPr="00C221EC" w:rsidRDefault="001D3DE6" w:rsidP="00C221EC">
            <w:pPr>
              <w:rPr>
                <w:sz w:val="10"/>
                <w:szCs w:val="10"/>
              </w:rPr>
            </w:pPr>
          </w:p>
        </w:tc>
        <w:tc>
          <w:tcPr>
            <w:tcW w:w="1985" w:type="dxa"/>
            <w:tcBorders>
              <w:top w:val="nil"/>
              <w:left w:val="nil"/>
              <w:bottom w:val="nil"/>
              <w:right w:val="nil"/>
            </w:tcBorders>
          </w:tcPr>
          <w:p w14:paraId="5665E05B" w14:textId="77777777" w:rsidR="001D3DE6" w:rsidRPr="00C221EC" w:rsidRDefault="001D3DE6" w:rsidP="00C221EC">
            <w:pPr>
              <w:rPr>
                <w:sz w:val="10"/>
                <w:szCs w:val="10"/>
              </w:rPr>
            </w:pPr>
          </w:p>
        </w:tc>
        <w:tc>
          <w:tcPr>
            <w:tcW w:w="1559" w:type="dxa"/>
            <w:tcBorders>
              <w:top w:val="nil"/>
              <w:left w:val="nil"/>
              <w:bottom w:val="nil"/>
              <w:right w:val="nil"/>
            </w:tcBorders>
            <w:noWrap/>
            <w:hideMark/>
          </w:tcPr>
          <w:p w14:paraId="1A3F38F5" w14:textId="05277952" w:rsidR="001D3DE6" w:rsidRPr="00C221EC" w:rsidRDefault="001D3DE6" w:rsidP="00C221EC">
            <w:pPr>
              <w:rPr>
                <w:sz w:val="10"/>
                <w:szCs w:val="10"/>
              </w:rPr>
            </w:pPr>
          </w:p>
        </w:tc>
        <w:tc>
          <w:tcPr>
            <w:tcW w:w="1512" w:type="dxa"/>
            <w:tcBorders>
              <w:top w:val="nil"/>
              <w:left w:val="nil"/>
              <w:bottom w:val="nil"/>
              <w:right w:val="nil"/>
            </w:tcBorders>
            <w:noWrap/>
            <w:hideMark/>
          </w:tcPr>
          <w:p w14:paraId="0678D597" w14:textId="77777777" w:rsidR="001D3DE6" w:rsidRPr="00C221EC" w:rsidRDefault="001D3DE6" w:rsidP="00C221EC">
            <w:pPr>
              <w:rPr>
                <w:sz w:val="10"/>
                <w:szCs w:val="10"/>
              </w:rPr>
            </w:pPr>
          </w:p>
        </w:tc>
      </w:tr>
      <w:tr w:rsidR="001D3DE6" w:rsidRPr="00E96552" w14:paraId="31019999" w14:textId="77777777" w:rsidTr="000C17BA">
        <w:trPr>
          <w:trHeight w:val="319"/>
        </w:trPr>
        <w:tc>
          <w:tcPr>
            <w:tcW w:w="6511"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6B228891" w14:textId="23FA51D8" w:rsidR="001D3DE6" w:rsidRPr="00E96552" w:rsidRDefault="001D3DE6" w:rsidP="001D3DE6">
            <w:pPr>
              <w:rPr>
                <w:rFonts w:ascii="Arial" w:hAnsi="Arial" w:cs="Arial"/>
                <w:b/>
                <w:bCs/>
              </w:rPr>
            </w:pPr>
            <w:r>
              <w:rPr>
                <w:rFonts w:ascii="Arial" w:hAnsi="Arial" w:cs="Arial"/>
                <w:b/>
                <w:bCs/>
              </w:rPr>
              <w:t>Net Book Value</w:t>
            </w:r>
          </w:p>
        </w:tc>
        <w:tc>
          <w:tcPr>
            <w:tcW w:w="1134" w:type="dxa"/>
            <w:tcBorders>
              <w:top w:val="single" w:sz="8" w:space="0" w:color="auto"/>
              <w:left w:val="nil"/>
              <w:bottom w:val="single" w:sz="8" w:space="0" w:color="auto"/>
              <w:right w:val="single" w:sz="8" w:space="0" w:color="auto"/>
            </w:tcBorders>
            <w:shd w:val="clear" w:color="000000" w:fill="D9D9D9"/>
            <w:vAlign w:val="center"/>
            <w:hideMark/>
          </w:tcPr>
          <w:p w14:paraId="26DE03B6" w14:textId="29A601FB" w:rsidR="001D3DE6" w:rsidRPr="00E96552" w:rsidRDefault="001D3DE6" w:rsidP="001D3DE6">
            <w:pPr>
              <w:jc w:val="right"/>
              <w:rPr>
                <w:rFonts w:ascii="Arial" w:hAnsi="Arial" w:cs="Arial"/>
                <w:b/>
                <w:bCs/>
              </w:rPr>
            </w:pPr>
            <w:r>
              <w:rPr>
                <w:rFonts w:ascii="Arial" w:hAnsi="Arial" w:cs="Arial"/>
                <w:b/>
                <w:bCs/>
              </w:rPr>
              <w:t> </w:t>
            </w:r>
          </w:p>
        </w:tc>
        <w:tc>
          <w:tcPr>
            <w:tcW w:w="1276" w:type="dxa"/>
            <w:tcBorders>
              <w:top w:val="single" w:sz="8" w:space="0" w:color="auto"/>
              <w:left w:val="nil"/>
              <w:bottom w:val="single" w:sz="8" w:space="0" w:color="auto"/>
              <w:right w:val="single" w:sz="8" w:space="0" w:color="auto"/>
            </w:tcBorders>
            <w:shd w:val="clear" w:color="000000" w:fill="D9D9D9"/>
            <w:vAlign w:val="center"/>
            <w:hideMark/>
          </w:tcPr>
          <w:p w14:paraId="2E411949" w14:textId="7982CE79" w:rsidR="001D3DE6" w:rsidRPr="00E96552" w:rsidRDefault="001D3DE6" w:rsidP="001D3DE6">
            <w:pPr>
              <w:jc w:val="right"/>
              <w:rPr>
                <w:rFonts w:ascii="Arial" w:hAnsi="Arial" w:cs="Arial"/>
                <w:b/>
                <w:bCs/>
              </w:rPr>
            </w:pPr>
            <w:r>
              <w:rPr>
                <w:rFonts w:ascii="Arial" w:hAnsi="Arial" w:cs="Arial"/>
                <w:b/>
                <w:bCs/>
              </w:rPr>
              <w:t> </w:t>
            </w:r>
          </w:p>
        </w:tc>
        <w:tc>
          <w:tcPr>
            <w:tcW w:w="1275" w:type="dxa"/>
            <w:tcBorders>
              <w:top w:val="single" w:sz="8" w:space="0" w:color="auto"/>
              <w:left w:val="nil"/>
              <w:bottom w:val="single" w:sz="8" w:space="0" w:color="auto"/>
              <w:right w:val="single" w:sz="8" w:space="0" w:color="auto"/>
            </w:tcBorders>
            <w:shd w:val="clear" w:color="000000" w:fill="D9D9D9"/>
            <w:vAlign w:val="center"/>
            <w:hideMark/>
          </w:tcPr>
          <w:p w14:paraId="1273D9E4" w14:textId="3D18F298" w:rsidR="001D3DE6" w:rsidRPr="00E96552" w:rsidRDefault="001D3DE6" w:rsidP="001D3DE6">
            <w:pPr>
              <w:jc w:val="right"/>
              <w:rPr>
                <w:rFonts w:ascii="Arial" w:hAnsi="Arial" w:cs="Arial"/>
                <w:b/>
                <w:bCs/>
              </w:rPr>
            </w:pPr>
            <w:r>
              <w:rPr>
                <w:rFonts w:ascii="Arial" w:hAnsi="Arial" w:cs="Arial"/>
                <w:b/>
                <w:bCs/>
              </w:rPr>
              <w:t> </w:t>
            </w:r>
          </w:p>
        </w:tc>
        <w:tc>
          <w:tcPr>
            <w:tcW w:w="1985" w:type="dxa"/>
            <w:tcBorders>
              <w:top w:val="single" w:sz="8" w:space="0" w:color="auto"/>
              <w:left w:val="nil"/>
              <w:bottom w:val="single" w:sz="8" w:space="0" w:color="auto"/>
              <w:right w:val="single" w:sz="8" w:space="0" w:color="auto"/>
            </w:tcBorders>
            <w:shd w:val="clear" w:color="000000" w:fill="D9D9D9"/>
            <w:vAlign w:val="center"/>
          </w:tcPr>
          <w:p w14:paraId="485F6306" w14:textId="011F8C56" w:rsidR="001D3DE6" w:rsidRPr="00E96552" w:rsidRDefault="001D3DE6" w:rsidP="001D3DE6">
            <w:pPr>
              <w:jc w:val="right"/>
              <w:rPr>
                <w:rFonts w:ascii="Arial" w:hAnsi="Arial" w:cs="Arial"/>
                <w:b/>
                <w:bCs/>
              </w:rPr>
            </w:pPr>
            <w:r>
              <w:rPr>
                <w:rFonts w:ascii="Arial" w:hAnsi="Arial" w:cs="Arial"/>
                <w:b/>
                <w:bCs/>
              </w:rPr>
              <w:t> </w:t>
            </w:r>
          </w:p>
        </w:tc>
        <w:tc>
          <w:tcPr>
            <w:tcW w:w="1559" w:type="dxa"/>
            <w:tcBorders>
              <w:top w:val="single" w:sz="8" w:space="0" w:color="auto"/>
              <w:left w:val="nil"/>
              <w:bottom w:val="single" w:sz="8" w:space="0" w:color="auto"/>
              <w:right w:val="single" w:sz="8" w:space="0" w:color="auto"/>
            </w:tcBorders>
            <w:shd w:val="clear" w:color="000000" w:fill="D9D9D9"/>
            <w:vAlign w:val="center"/>
            <w:hideMark/>
          </w:tcPr>
          <w:p w14:paraId="017AC78A" w14:textId="5F20D6CB" w:rsidR="001D3DE6" w:rsidRPr="00E96552" w:rsidRDefault="001D3DE6" w:rsidP="001D3DE6">
            <w:pPr>
              <w:jc w:val="right"/>
              <w:rPr>
                <w:rFonts w:ascii="Arial" w:hAnsi="Arial" w:cs="Arial"/>
                <w:b/>
                <w:bCs/>
              </w:rPr>
            </w:pPr>
            <w:r>
              <w:rPr>
                <w:rFonts w:ascii="Arial" w:hAnsi="Arial" w:cs="Arial"/>
                <w:b/>
                <w:bCs/>
              </w:rPr>
              <w:t> </w:t>
            </w:r>
          </w:p>
        </w:tc>
        <w:tc>
          <w:tcPr>
            <w:tcW w:w="1512" w:type="dxa"/>
            <w:tcBorders>
              <w:top w:val="single" w:sz="8" w:space="0" w:color="auto"/>
              <w:left w:val="nil"/>
              <w:bottom w:val="single" w:sz="8" w:space="0" w:color="auto"/>
              <w:right w:val="single" w:sz="8" w:space="0" w:color="auto"/>
            </w:tcBorders>
            <w:shd w:val="clear" w:color="000000" w:fill="D9D9D9"/>
            <w:vAlign w:val="center"/>
            <w:hideMark/>
          </w:tcPr>
          <w:p w14:paraId="5E45A617" w14:textId="7FCF6866" w:rsidR="001D3DE6" w:rsidRPr="00E96552" w:rsidRDefault="001D3DE6" w:rsidP="001D3DE6">
            <w:pPr>
              <w:jc w:val="right"/>
              <w:rPr>
                <w:rFonts w:ascii="Arial" w:hAnsi="Arial" w:cs="Arial"/>
                <w:b/>
                <w:bCs/>
              </w:rPr>
            </w:pPr>
            <w:r>
              <w:rPr>
                <w:rFonts w:ascii="Arial" w:hAnsi="Arial" w:cs="Arial"/>
                <w:b/>
                <w:bCs/>
              </w:rPr>
              <w:t> </w:t>
            </w:r>
          </w:p>
        </w:tc>
      </w:tr>
      <w:tr w:rsidR="00C403A6" w:rsidRPr="00E96552" w14:paraId="2F90B1C1" w14:textId="77777777" w:rsidTr="000C17BA">
        <w:trPr>
          <w:trHeight w:val="319"/>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256E4E56" w14:textId="2FCC1A1C" w:rsidR="00C403A6" w:rsidRPr="00E96552" w:rsidRDefault="00C403A6" w:rsidP="00C403A6">
            <w:pPr>
              <w:rPr>
                <w:rFonts w:ascii="Arial" w:hAnsi="Arial" w:cs="Arial"/>
                <w:b/>
                <w:bCs/>
              </w:rPr>
            </w:pPr>
            <w:r>
              <w:rPr>
                <w:rFonts w:ascii="Arial" w:hAnsi="Arial" w:cs="Arial"/>
                <w:b/>
                <w:bCs/>
              </w:rPr>
              <w:t>At 31 March 2025</w:t>
            </w:r>
          </w:p>
        </w:tc>
        <w:tc>
          <w:tcPr>
            <w:tcW w:w="1134" w:type="dxa"/>
            <w:tcBorders>
              <w:top w:val="nil"/>
              <w:left w:val="nil"/>
              <w:bottom w:val="single" w:sz="8" w:space="0" w:color="auto"/>
              <w:right w:val="single" w:sz="8" w:space="0" w:color="auto"/>
            </w:tcBorders>
            <w:shd w:val="clear" w:color="000000" w:fill="D9D9D9"/>
            <w:vAlign w:val="center"/>
            <w:hideMark/>
          </w:tcPr>
          <w:p w14:paraId="13C00539" w14:textId="62801722" w:rsidR="00C403A6" w:rsidRPr="00E96552" w:rsidRDefault="00C403A6" w:rsidP="00C403A6">
            <w:pPr>
              <w:jc w:val="right"/>
              <w:rPr>
                <w:rFonts w:ascii="Arial" w:hAnsi="Arial" w:cs="Arial"/>
                <w:b/>
                <w:bCs/>
              </w:rPr>
            </w:pPr>
            <w:r>
              <w:rPr>
                <w:rFonts w:ascii="Arial" w:hAnsi="Arial" w:cs="Arial"/>
                <w:b/>
                <w:bCs/>
              </w:rPr>
              <w:t>207,947</w:t>
            </w:r>
          </w:p>
        </w:tc>
        <w:tc>
          <w:tcPr>
            <w:tcW w:w="1276" w:type="dxa"/>
            <w:tcBorders>
              <w:top w:val="nil"/>
              <w:left w:val="nil"/>
              <w:bottom w:val="single" w:sz="8" w:space="0" w:color="auto"/>
              <w:right w:val="single" w:sz="8" w:space="0" w:color="auto"/>
            </w:tcBorders>
            <w:shd w:val="clear" w:color="000000" w:fill="D9D9D9"/>
            <w:vAlign w:val="center"/>
            <w:hideMark/>
          </w:tcPr>
          <w:p w14:paraId="4895163A" w14:textId="2DF4E13D" w:rsidR="00C403A6" w:rsidRPr="00E96552" w:rsidRDefault="00C403A6" w:rsidP="00C403A6">
            <w:pPr>
              <w:jc w:val="right"/>
              <w:rPr>
                <w:rFonts w:ascii="Arial" w:hAnsi="Arial" w:cs="Arial"/>
                <w:b/>
                <w:bCs/>
              </w:rPr>
            </w:pPr>
            <w:r>
              <w:rPr>
                <w:rFonts w:ascii="Arial" w:hAnsi="Arial" w:cs="Arial"/>
                <w:b/>
                <w:bCs/>
              </w:rPr>
              <w:t>20,137</w:t>
            </w:r>
          </w:p>
        </w:tc>
        <w:tc>
          <w:tcPr>
            <w:tcW w:w="1275" w:type="dxa"/>
            <w:tcBorders>
              <w:top w:val="nil"/>
              <w:left w:val="nil"/>
              <w:bottom w:val="single" w:sz="8" w:space="0" w:color="auto"/>
              <w:right w:val="single" w:sz="8" w:space="0" w:color="auto"/>
            </w:tcBorders>
            <w:shd w:val="clear" w:color="000000" w:fill="D9D9D9"/>
            <w:vAlign w:val="center"/>
            <w:hideMark/>
          </w:tcPr>
          <w:p w14:paraId="1A828398" w14:textId="709089AA" w:rsidR="00C403A6" w:rsidRPr="00E96552" w:rsidRDefault="00C403A6" w:rsidP="00C403A6">
            <w:pPr>
              <w:jc w:val="right"/>
              <w:rPr>
                <w:rFonts w:ascii="Arial" w:hAnsi="Arial" w:cs="Arial"/>
                <w:b/>
                <w:bCs/>
              </w:rPr>
            </w:pPr>
            <w:r>
              <w:rPr>
                <w:rFonts w:ascii="Arial" w:hAnsi="Arial" w:cs="Arial"/>
                <w:b/>
                <w:bCs/>
              </w:rPr>
              <w:t>5,658</w:t>
            </w:r>
          </w:p>
        </w:tc>
        <w:tc>
          <w:tcPr>
            <w:tcW w:w="1985" w:type="dxa"/>
            <w:tcBorders>
              <w:top w:val="nil"/>
              <w:left w:val="nil"/>
              <w:bottom w:val="single" w:sz="8" w:space="0" w:color="auto"/>
              <w:right w:val="single" w:sz="8" w:space="0" w:color="auto"/>
            </w:tcBorders>
            <w:shd w:val="clear" w:color="000000" w:fill="D9D9D9"/>
            <w:vAlign w:val="center"/>
          </w:tcPr>
          <w:p w14:paraId="7F7AF781" w14:textId="73FE4088" w:rsidR="00C403A6" w:rsidRDefault="00C403A6" w:rsidP="00C403A6">
            <w:pPr>
              <w:jc w:val="right"/>
              <w:rPr>
                <w:rFonts w:ascii="Arial" w:hAnsi="Arial" w:cs="Arial"/>
                <w:b/>
                <w:bCs/>
              </w:rPr>
            </w:pPr>
            <w:r>
              <w:rPr>
                <w:rFonts w:ascii="Arial" w:hAnsi="Arial" w:cs="Arial"/>
                <w:b/>
                <w:bCs/>
              </w:rPr>
              <w:t>2,314</w:t>
            </w:r>
          </w:p>
        </w:tc>
        <w:tc>
          <w:tcPr>
            <w:tcW w:w="1559" w:type="dxa"/>
            <w:tcBorders>
              <w:top w:val="nil"/>
              <w:left w:val="nil"/>
              <w:bottom w:val="single" w:sz="8" w:space="0" w:color="auto"/>
              <w:right w:val="single" w:sz="8" w:space="0" w:color="auto"/>
            </w:tcBorders>
            <w:shd w:val="clear" w:color="000000" w:fill="D9D9D9"/>
            <w:vAlign w:val="center"/>
            <w:hideMark/>
          </w:tcPr>
          <w:p w14:paraId="1BFF0D80" w14:textId="704049CC" w:rsidR="00C403A6" w:rsidRPr="00E96552" w:rsidRDefault="00C403A6" w:rsidP="00C403A6">
            <w:pPr>
              <w:jc w:val="right"/>
              <w:rPr>
                <w:rFonts w:ascii="Arial" w:hAnsi="Arial" w:cs="Arial"/>
                <w:b/>
                <w:bCs/>
              </w:rPr>
            </w:pPr>
            <w:r>
              <w:rPr>
                <w:rFonts w:ascii="Arial" w:hAnsi="Arial" w:cs="Arial"/>
                <w:b/>
                <w:bCs/>
              </w:rPr>
              <w:t>26,402</w:t>
            </w:r>
          </w:p>
        </w:tc>
        <w:tc>
          <w:tcPr>
            <w:tcW w:w="1512" w:type="dxa"/>
            <w:tcBorders>
              <w:top w:val="nil"/>
              <w:left w:val="nil"/>
              <w:bottom w:val="single" w:sz="8" w:space="0" w:color="auto"/>
              <w:right w:val="single" w:sz="8" w:space="0" w:color="auto"/>
            </w:tcBorders>
            <w:shd w:val="clear" w:color="000000" w:fill="D9D9D9"/>
            <w:vAlign w:val="center"/>
            <w:hideMark/>
          </w:tcPr>
          <w:p w14:paraId="22B5B295" w14:textId="0175A420" w:rsidR="00C403A6" w:rsidRPr="00E96552" w:rsidRDefault="00C403A6" w:rsidP="00C403A6">
            <w:pPr>
              <w:jc w:val="right"/>
              <w:rPr>
                <w:rFonts w:ascii="Arial" w:hAnsi="Arial" w:cs="Arial"/>
                <w:b/>
                <w:bCs/>
              </w:rPr>
            </w:pPr>
            <w:r>
              <w:rPr>
                <w:rFonts w:ascii="Arial" w:hAnsi="Arial" w:cs="Arial"/>
                <w:b/>
                <w:bCs/>
              </w:rPr>
              <w:t>262,458</w:t>
            </w:r>
          </w:p>
        </w:tc>
      </w:tr>
      <w:tr w:rsidR="00C403A6" w:rsidRPr="00E96552" w14:paraId="1C203211" w14:textId="77777777" w:rsidTr="000C17BA">
        <w:trPr>
          <w:trHeight w:val="303"/>
        </w:trPr>
        <w:tc>
          <w:tcPr>
            <w:tcW w:w="6511" w:type="dxa"/>
            <w:tcBorders>
              <w:top w:val="nil"/>
              <w:left w:val="single" w:sz="8" w:space="0" w:color="auto"/>
              <w:bottom w:val="single" w:sz="8" w:space="0" w:color="auto"/>
              <w:right w:val="single" w:sz="8" w:space="0" w:color="auto"/>
            </w:tcBorders>
            <w:shd w:val="clear" w:color="000000" w:fill="D9D9D9"/>
            <w:vAlign w:val="center"/>
            <w:hideMark/>
          </w:tcPr>
          <w:p w14:paraId="25CE5AB5" w14:textId="0B16D0ED" w:rsidR="00C403A6" w:rsidRPr="00E96552" w:rsidRDefault="00C403A6" w:rsidP="00C403A6">
            <w:pPr>
              <w:rPr>
                <w:rFonts w:ascii="Arial" w:hAnsi="Arial" w:cs="Arial"/>
                <w:b/>
                <w:bCs/>
              </w:rPr>
            </w:pPr>
            <w:r>
              <w:rPr>
                <w:rFonts w:ascii="Arial" w:hAnsi="Arial" w:cs="Arial"/>
                <w:b/>
                <w:bCs/>
              </w:rPr>
              <w:t>At 31 March 2024</w:t>
            </w:r>
          </w:p>
        </w:tc>
        <w:tc>
          <w:tcPr>
            <w:tcW w:w="1134" w:type="dxa"/>
            <w:tcBorders>
              <w:top w:val="nil"/>
              <w:left w:val="nil"/>
              <w:bottom w:val="single" w:sz="8" w:space="0" w:color="auto"/>
              <w:right w:val="single" w:sz="8" w:space="0" w:color="auto"/>
            </w:tcBorders>
            <w:shd w:val="clear" w:color="000000" w:fill="D9D9D9"/>
            <w:vAlign w:val="center"/>
            <w:hideMark/>
          </w:tcPr>
          <w:p w14:paraId="787A85AD" w14:textId="6E7C1565" w:rsidR="00C403A6" w:rsidRPr="00E96552" w:rsidRDefault="00C403A6" w:rsidP="00C403A6">
            <w:pPr>
              <w:jc w:val="right"/>
              <w:rPr>
                <w:rFonts w:ascii="Arial" w:hAnsi="Arial" w:cs="Arial"/>
                <w:b/>
                <w:bCs/>
              </w:rPr>
            </w:pPr>
            <w:r>
              <w:rPr>
                <w:rFonts w:ascii="Arial" w:hAnsi="Arial" w:cs="Arial"/>
                <w:b/>
                <w:bCs/>
              </w:rPr>
              <w:t>215,471</w:t>
            </w:r>
          </w:p>
        </w:tc>
        <w:tc>
          <w:tcPr>
            <w:tcW w:w="1276" w:type="dxa"/>
            <w:tcBorders>
              <w:top w:val="nil"/>
              <w:left w:val="nil"/>
              <w:bottom w:val="single" w:sz="8" w:space="0" w:color="auto"/>
              <w:right w:val="single" w:sz="8" w:space="0" w:color="auto"/>
            </w:tcBorders>
            <w:shd w:val="clear" w:color="000000" w:fill="D9D9D9"/>
            <w:vAlign w:val="center"/>
            <w:hideMark/>
          </w:tcPr>
          <w:p w14:paraId="0F673955" w14:textId="24FF955B" w:rsidR="00C403A6" w:rsidRPr="00E96552" w:rsidRDefault="00C403A6" w:rsidP="00C403A6">
            <w:pPr>
              <w:jc w:val="right"/>
              <w:rPr>
                <w:rFonts w:ascii="Arial" w:hAnsi="Arial" w:cs="Arial"/>
                <w:b/>
                <w:bCs/>
              </w:rPr>
            </w:pPr>
            <w:r>
              <w:rPr>
                <w:rFonts w:ascii="Arial" w:hAnsi="Arial" w:cs="Arial"/>
                <w:b/>
                <w:bCs/>
              </w:rPr>
              <w:t>19,615</w:t>
            </w:r>
          </w:p>
        </w:tc>
        <w:tc>
          <w:tcPr>
            <w:tcW w:w="1275" w:type="dxa"/>
            <w:tcBorders>
              <w:top w:val="nil"/>
              <w:left w:val="nil"/>
              <w:bottom w:val="single" w:sz="8" w:space="0" w:color="auto"/>
              <w:right w:val="single" w:sz="8" w:space="0" w:color="auto"/>
            </w:tcBorders>
            <w:shd w:val="clear" w:color="000000" w:fill="D9D9D9"/>
            <w:vAlign w:val="center"/>
            <w:hideMark/>
          </w:tcPr>
          <w:p w14:paraId="060F328C" w14:textId="4A8FF5FA" w:rsidR="00C403A6" w:rsidRPr="00E96552" w:rsidRDefault="00C403A6" w:rsidP="00C403A6">
            <w:pPr>
              <w:jc w:val="right"/>
              <w:rPr>
                <w:rFonts w:ascii="Arial" w:hAnsi="Arial" w:cs="Arial"/>
                <w:b/>
                <w:bCs/>
              </w:rPr>
            </w:pPr>
            <w:r>
              <w:rPr>
                <w:rFonts w:ascii="Arial" w:hAnsi="Arial" w:cs="Arial"/>
                <w:b/>
                <w:bCs/>
              </w:rPr>
              <w:t>5,750</w:t>
            </w:r>
          </w:p>
        </w:tc>
        <w:tc>
          <w:tcPr>
            <w:tcW w:w="1985" w:type="dxa"/>
            <w:tcBorders>
              <w:top w:val="nil"/>
              <w:left w:val="nil"/>
              <w:bottom w:val="single" w:sz="8" w:space="0" w:color="auto"/>
              <w:right w:val="single" w:sz="8" w:space="0" w:color="auto"/>
            </w:tcBorders>
            <w:shd w:val="clear" w:color="000000" w:fill="D9D9D9"/>
            <w:vAlign w:val="center"/>
          </w:tcPr>
          <w:p w14:paraId="03BF0A3D" w14:textId="0FDC55B5" w:rsidR="00C403A6" w:rsidRDefault="00C403A6" w:rsidP="00C403A6">
            <w:pPr>
              <w:jc w:val="right"/>
              <w:rPr>
                <w:rFonts w:ascii="Arial" w:hAnsi="Arial" w:cs="Arial"/>
                <w:b/>
                <w:bCs/>
              </w:rPr>
            </w:pPr>
            <w:r>
              <w:rPr>
                <w:rFonts w:ascii="Arial" w:hAnsi="Arial" w:cs="Arial"/>
                <w:b/>
                <w:bCs/>
              </w:rPr>
              <w:t>0</w:t>
            </w:r>
          </w:p>
        </w:tc>
        <w:tc>
          <w:tcPr>
            <w:tcW w:w="1559" w:type="dxa"/>
            <w:tcBorders>
              <w:top w:val="nil"/>
              <w:left w:val="nil"/>
              <w:bottom w:val="single" w:sz="8" w:space="0" w:color="auto"/>
              <w:right w:val="single" w:sz="8" w:space="0" w:color="auto"/>
            </w:tcBorders>
            <w:shd w:val="clear" w:color="000000" w:fill="D9D9D9"/>
            <w:vAlign w:val="center"/>
            <w:hideMark/>
          </w:tcPr>
          <w:p w14:paraId="1012CEF9" w14:textId="6F0BC5A9" w:rsidR="00C403A6" w:rsidRPr="00E96552" w:rsidRDefault="00C403A6" w:rsidP="00C403A6">
            <w:pPr>
              <w:jc w:val="right"/>
              <w:rPr>
                <w:rFonts w:ascii="Arial" w:hAnsi="Arial" w:cs="Arial"/>
                <w:b/>
                <w:bCs/>
              </w:rPr>
            </w:pPr>
            <w:r>
              <w:rPr>
                <w:rFonts w:ascii="Arial" w:hAnsi="Arial" w:cs="Arial"/>
                <w:b/>
                <w:bCs/>
              </w:rPr>
              <w:t>10,609</w:t>
            </w:r>
          </w:p>
        </w:tc>
        <w:tc>
          <w:tcPr>
            <w:tcW w:w="1512" w:type="dxa"/>
            <w:tcBorders>
              <w:top w:val="nil"/>
              <w:left w:val="nil"/>
              <w:bottom w:val="single" w:sz="8" w:space="0" w:color="auto"/>
              <w:right w:val="single" w:sz="8" w:space="0" w:color="auto"/>
            </w:tcBorders>
            <w:shd w:val="clear" w:color="000000" w:fill="D9D9D9"/>
            <w:vAlign w:val="center"/>
            <w:hideMark/>
          </w:tcPr>
          <w:p w14:paraId="3C9ADD15" w14:textId="7F9B66BE" w:rsidR="00C403A6" w:rsidRPr="00E96552" w:rsidRDefault="00C403A6" w:rsidP="00C403A6">
            <w:pPr>
              <w:jc w:val="right"/>
              <w:rPr>
                <w:rFonts w:ascii="Arial" w:hAnsi="Arial" w:cs="Arial"/>
                <w:b/>
                <w:bCs/>
              </w:rPr>
            </w:pPr>
            <w:r>
              <w:rPr>
                <w:rFonts w:ascii="Arial" w:hAnsi="Arial" w:cs="Arial"/>
                <w:b/>
                <w:bCs/>
              </w:rPr>
              <w:t>251,445</w:t>
            </w:r>
          </w:p>
        </w:tc>
      </w:tr>
    </w:tbl>
    <w:p w14:paraId="715ED8D9" w14:textId="77777777" w:rsidR="00954479" w:rsidRDefault="00954479" w:rsidP="003B74DA">
      <w:pPr>
        <w:tabs>
          <w:tab w:val="right" w:pos="5760"/>
        </w:tabs>
        <w:ind w:left="426"/>
        <w:rPr>
          <w:rFonts w:ascii="Arial" w:hAnsi="Arial"/>
          <w:sz w:val="22"/>
          <w:szCs w:val="22"/>
        </w:rPr>
        <w:sectPr w:rsidR="00954479" w:rsidSect="00954479">
          <w:pgSz w:w="16834" w:h="11909" w:orient="landscape" w:code="9"/>
          <w:pgMar w:top="720" w:right="720" w:bottom="720" w:left="720" w:header="397" w:footer="720" w:gutter="0"/>
          <w:cols w:space="720"/>
          <w:docGrid w:linePitch="272"/>
        </w:sectPr>
      </w:pPr>
    </w:p>
    <w:p w14:paraId="50D951E9" w14:textId="77777777" w:rsidR="00954479" w:rsidRDefault="00954479" w:rsidP="003B74DA">
      <w:pPr>
        <w:tabs>
          <w:tab w:val="right" w:pos="5760"/>
        </w:tabs>
        <w:ind w:left="426"/>
        <w:rPr>
          <w:rFonts w:ascii="Arial" w:hAnsi="Arial"/>
          <w:sz w:val="22"/>
          <w:szCs w:val="22"/>
        </w:rPr>
      </w:pPr>
    </w:p>
    <w:p w14:paraId="10E1E07A" w14:textId="175FCA1C" w:rsidR="003B74DA" w:rsidRDefault="003B74DA" w:rsidP="003B74DA">
      <w:pPr>
        <w:tabs>
          <w:tab w:val="right" w:pos="5760"/>
        </w:tabs>
        <w:ind w:left="426"/>
        <w:rPr>
          <w:rFonts w:ascii="Arial" w:hAnsi="Arial"/>
          <w:sz w:val="22"/>
          <w:szCs w:val="22"/>
        </w:rPr>
      </w:pPr>
      <w:r>
        <w:rPr>
          <w:rFonts w:ascii="Arial" w:hAnsi="Arial"/>
          <w:sz w:val="22"/>
          <w:szCs w:val="22"/>
        </w:rPr>
        <w:t>M</w:t>
      </w:r>
      <w:r w:rsidRPr="00FB3596">
        <w:rPr>
          <w:rFonts w:ascii="Arial" w:hAnsi="Arial"/>
          <w:sz w:val="22"/>
          <w:szCs w:val="22"/>
        </w:rPr>
        <w:t xml:space="preserve">ovements in </w:t>
      </w:r>
      <w:r w:rsidR="00C37E7F">
        <w:rPr>
          <w:rFonts w:ascii="Arial" w:hAnsi="Arial"/>
          <w:sz w:val="22"/>
          <w:szCs w:val="22"/>
        </w:rPr>
        <w:t>2023/24</w:t>
      </w:r>
      <w:r w:rsidRPr="00FB3596">
        <w:rPr>
          <w:rFonts w:ascii="Arial" w:hAnsi="Arial"/>
          <w:sz w:val="22"/>
          <w:szCs w:val="22"/>
        </w:rPr>
        <w:t>:</w:t>
      </w:r>
    </w:p>
    <w:p w14:paraId="4449D085" w14:textId="77777777" w:rsidR="00E96552" w:rsidRDefault="00E96552" w:rsidP="003B74DA">
      <w:pPr>
        <w:tabs>
          <w:tab w:val="right" w:pos="5760"/>
        </w:tabs>
        <w:ind w:left="426"/>
        <w:rPr>
          <w:rFonts w:ascii="Arial" w:hAnsi="Arial"/>
          <w:sz w:val="22"/>
          <w:szCs w:val="22"/>
        </w:rPr>
      </w:pPr>
    </w:p>
    <w:tbl>
      <w:tblPr>
        <w:tblStyle w:val="TableGrid"/>
        <w:tblW w:w="10033" w:type="dxa"/>
        <w:tblInd w:w="421" w:type="dxa"/>
        <w:tblLook w:val="04A0" w:firstRow="1" w:lastRow="0" w:firstColumn="1" w:lastColumn="0" w:noHBand="0" w:noVBand="1"/>
      </w:tblPr>
      <w:tblGrid>
        <w:gridCol w:w="2862"/>
        <w:gridCol w:w="1355"/>
        <w:gridCol w:w="1414"/>
        <w:gridCol w:w="1426"/>
        <w:gridCol w:w="1549"/>
        <w:gridCol w:w="1427"/>
      </w:tblGrid>
      <w:tr w:rsidR="002115EB" w14:paraId="6A46BB77" w14:textId="77777777" w:rsidTr="00B00AB2">
        <w:tc>
          <w:tcPr>
            <w:tcW w:w="2862" w:type="dxa"/>
            <w:tcBorders>
              <w:top w:val="single" w:sz="8" w:space="0" w:color="auto"/>
              <w:left w:val="single" w:sz="8" w:space="0" w:color="auto"/>
              <w:bottom w:val="single" w:sz="8" w:space="0" w:color="auto"/>
              <w:right w:val="single" w:sz="8" w:space="0" w:color="auto"/>
            </w:tcBorders>
            <w:shd w:val="clear" w:color="000000" w:fill="D9D9D9"/>
            <w:vAlign w:val="center"/>
          </w:tcPr>
          <w:p w14:paraId="01680C12" w14:textId="11397902" w:rsidR="002115EB" w:rsidRDefault="002115EB" w:rsidP="002115EB">
            <w:pPr>
              <w:tabs>
                <w:tab w:val="right" w:pos="5760"/>
              </w:tabs>
              <w:rPr>
                <w:rFonts w:ascii="Arial" w:hAnsi="Arial"/>
                <w:b/>
                <w:sz w:val="14"/>
                <w:szCs w:val="10"/>
              </w:rPr>
            </w:pPr>
            <w:r w:rsidRPr="00E96552">
              <w:rPr>
                <w:rFonts w:ascii="Arial" w:hAnsi="Arial" w:cs="Arial"/>
                <w:b/>
                <w:bCs/>
                <w:sz w:val="24"/>
                <w:szCs w:val="24"/>
              </w:rPr>
              <w:t> </w:t>
            </w:r>
          </w:p>
        </w:tc>
        <w:tc>
          <w:tcPr>
            <w:tcW w:w="1355" w:type="dxa"/>
            <w:tcBorders>
              <w:top w:val="single" w:sz="8" w:space="0" w:color="auto"/>
              <w:left w:val="nil"/>
              <w:bottom w:val="single" w:sz="8" w:space="0" w:color="auto"/>
              <w:right w:val="single" w:sz="8" w:space="0" w:color="auto"/>
            </w:tcBorders>
            <w:shd w:val="clear" w:color="000000" w:fill="D9D9D9"/>
            <w:vAlign w:val="center"/>
          </w:tcPr>
          <w:p w14:paraId="0FA3BB0D" w14:textId="64E3F606" w:rsidR="002115EB" w:rsidRDefault="002115EB" w:rsidP="002115EB">
            <w:pPr>
              <w:tabs>
                <w:tab w:val="right" w:pos="5760"/>
              </w:tabs>
              <w:rPr>
                <w:rFonts w:ascii="Arial" w:hAnsi="Arial"/>
                <w:b/>
                <w:sz w:val="14"/>
                <w:szCs w:val="10"/>
              </w:rPr>
            </w:pPr>
            <w:r w:rsidRPr="00E96552">
              <w:rPr>
                <w:rFonts w:ascii="Arial" w:hAnsi="Arial" w:cs="Arial"/>
                <w:b/>
                <w:bCs/>
              </w:rPr>
              <w:t>Land and Buildings</w:t>
            </w:r>
          </w:p>
        </w:tc>
        <w:tc>
          <w:tcPr>
            <w:tcW w:w="1414" w:type="dxa"/>
            <w:tcBorders>
              <w:top w:val="single" w:sz="8" w:space="0" w:color="auto"/>
              <w:left w:val="nil"/>
              <w:bottom w:val="single" w:sz="8" w:space="0" w:color="auto"/>
              <w:right w:val="single" w:sz="8" w:space="0" w:color="auto"/>
            </w:tcBorders>
            <w:shd w:val="clear" w:color="000000" w:fill="D9D9D9"/>
            <w:vAlign w:val="center"/>
          </w:tcPr>
          <w:p w14:paraId="174B9128" w14:textId="18623C25" w:rsidR="002115EB" w:rsidRDefault="002115EB" w:rsidP="002115EB">
            <w:pPr>
              <w:tabs>
                <w:tab w:val="right" w:pos="5760"/>
              </w:tabs>
              <w:rPr>
                <w:rFonts w:ascii="Arial" w:hAnsi="Arial"/>
                <w:b/>
                <w:sz w:val="14"/>
                <w:szCs w:val="10"/>
              </w:rPr>
            </w:pPr>
            <w:r w:rsidRPr="00E96552">
              <w:rPr>
                <w:rFonts w:ascii="Arial" w:hAnsi="Arial" w:cs="Arial"/>
                <w:b/>
                <w:bCs/>
              </w:rPr>
              <w:t>Vehicles &amp; ICT equipment</w:t>
            </w:r>
          </w:p>
        </w:tc>
        <w:tc>
          <w:tcPr>
            <w:tcW w:w="1426" w:type="dxa"/>
            <w:tcBorders>
              <w:top w:val="single" w:sz="8" w:space="0" w:color="auto"/>
              <w:left w:val="nil"/>
              <w:bottom w:val="single" w:sz="8" w:space="0" w:color="auto"/>
              <w:right w:val="single" w:sz="8" w:space="0" w:color="auto"/>
            </w:tcBorders>
            <w:shd w:val="clear" w:color="000000" w:fill="D9D9D9"/>
            <w:vAlign w:val="center"/>
          </w:tcPr>
          <w:p w14:paraId="490C69AF" w14:textId="0BAA0381" w:rsidR="002115EB" w:rsidRDefault="002115EB" w:rsidP="002115EB">
            <w:pPr>
              <w:tabs>
                <w:tab w:val="right" w:pos="5760"/>
              </w:tabs>
              <w:rPr>
                <w:rFonts w:ascii="Arial" w:hAnsi="Arial"/>
                <w:b/>
                <w:sz w:val="14"/>
                <w:szCs w:val="10"/>
              </w:rPr>
            </w:pPr>
            <w:r w:rsidRPr="00E96552">
              <w:rPr>
                <w:rFonts w:ascii="Arial" w:hAnsi="Arial" w:cs="Arial"/>
                <w:b/>
                <w:bCs/>
              </w:rPr>
              <w:t>Furniture &amp; Equipment</w:t>
            </w:r>
          </w:p>
        </w:tc>
        <w:tc>
          <w:tcPr>
            <w:tcW w:w="1549" w:type="dxa"/>
            <w:tcBorders>
              <w:top w:val="single" w:sz="8" w:space="0" w:color="auto"/>
              <w:left w:val="nil"/>
              <w:bottom w:val="single" w:sz="8" w:space="0" w:color="auto"/>
              <w:right w:val="single" w:sz="8" w:space="0" w:color="auto"/>
            </w:tcBorders>
            <w:shd w:val="clear" w:color="000000" w:fill="D9D9D9"/>
            <w:vAlign w:val="center"/>
          </w:tcPr>
          <w:p w14:paraId="7C3F3EF7" w14:textId="145517D9" w:rsidR="002115EB" w:rsidRDefault="002115EB" w:rsidP="002115EB">
            <w:pPr>
              <w:tabs>
                <w:tab w:val="right" w:pos="5760"/>
              </w:tabs>
              <w:rPr>
                <w:rFonts w:ascii="Arial" w:hAnsi="Arial"/>
                <w:b/>
                <w:sz w:val="14"/>
                <w:szCs w:val="10"/>
              </w:rPr>
            </w:pPr>
            <w:r w:rsidRPr="00E96552">
              <w:rPr>
                <w:rFonts w:ascii="Arial" w:hAnsi="Arial" w:cs="Arial"/>
                <w:b/>
                <w:bCs/>
              </w:rPr>
              <w:t>Assets under Construction</w:t>
            </w:r>
          </w:p>
        </w:tc>
        <w:tc>
          <w:tcPr>
            <w:tcW w:w="1427" w:type="dxa"/>
            <w:tcBorders>
              <w:top w:val="single" w:sz="8" w:space="0" w:color="auto"/>
              <w:left w:val="nil"/>
              <w:bottom w:val="single" w:sz="8" w:space="0" w:color="auto"/>
              <w:right w:val="single" w:sz="8" w:space="0" w:color="auto"/>
            </w:tcBorders>
            <w:shd w:val="clear" w:color="000000" w:fill="D9D9D9"/>
            <w:vAlign w:val="center"/>
          </w:tcPr>
          <w:p w14:paraId="215F90E7" w14:textId="1F80AB36" w:rsidR="002115EB" w:rsidRDefault="002115EB" w:rsidP="002115EB">
            <w:pPr>
              <w:tabs>
                <w:tab w:val="right" w:pos="5760"/>
              </w:tabs>
              <w:rPr>
                <w:rFonts w:ascii="Arial" w:hAnsi="Arial"/>
                <w:b/>
                <w:sz w:val="14"/>
                <w:szCs w:val="10"/>
              </w:rPr>
            </w:pPr>
            <w:r w:rsidRPr="00E96552">
              <w:rPr>
                <w:rFonts w:ascii="Arial" w:hAnsi="Arial" w:cs="Arial"/>
                <w:b/>
                <w:bCs/>
              </w:rPr>
              <w:t>Total Property, Plant and Equipment</w:t>
            </w:r>
          </w:p>
        </w:tc>
      </w:tr>
      <w:tr w:rsidR="002115EB" w14:paraId="4658A6EE" w14:textId="77777777" w:rsidTr="00B00AB2">
        <w:tc>
          <w:tcPr>
            <w:tcW w:w="2862" w:type="dxa"/>
            <w:tcBorders>
              <w:top w:val="nil"/>
              <w:left w:val="single" w:sz="8" w:space="0" w:color="auto"/>
              <w:bottom w:val="single" w:sz="8" w:space="0" w:color="auto"/>
              <w:right w:val="single" w:sz="8" w:space="0" w:color="auto"/>
            </w:tcBorders>
            <w:shd w:val="clear" w:color="000000" w:fill="D9D9D9"/>
            <w:vAlign w:val="center"/>
          </w:tcPr>
          <w:p w14:paraId="3692C45C" w14:textId="2635061E" w:rsidR="002115EB" w:rsidRDefault="002115EB" w:rsidP="002115EB">
            <w:pPr>
              <w:tabs>
                <w:tab w:val="right" w:pos="5760"/>
              </w:tabs>
              <w:rPr>
                <w:rFonts w:ascii="Arial" w:hAnsi="Arial"/>
                <w:b/>
                <w:sz w:val="14"/>
                <w:szCs w:val="10"/>
              </w:rPr>
            </w:pPr>
            <w:r w:rsidRPr="00E96552">
              <w:rPr>
                <w:rFonts w:ascii="Arial" w:hAnsi="Arial" w:cs="Arial"/>
                <w:b/>
                <w:bCs/>
              </w:rPr>
              <w:t> </w:t>
            </w:r>
          </w:p>
        </w:tc>
        <w:tc>
          <w:tcPr>
            <w:tcW w:w="1355" w:type="dxa"/>
            <w:tcBorders>
              <w:top w:val="nil"/>
              <w:left w:val="nil"/>
              <w:bottom w:val="single" w:sz="8" w:space="0" w:color="auto"/>
              <w:right w:val="single" w:sz="8" w:space="0" w:color="auto"/>
            </w:tcBorders>
            <w:shd w:val="clear" w:color="000000" w:fill="D9D9D9"/>
            <w:vAlign w:val="center"/>
          </w:tcPr>
          <w:p w14:paraId="3783C820" w14:textId="5B387C05" w:rsidR="002115EB" w:rsidRDefault="002115EB" w:rsidP="002115EB">
            <w:pPr>
              <w:tabs>
                <w:tab w:val="right" w:pos="5760"/>
              </w:tabs>
              <w:jc w:val="center"/>
              <w:rPr>
                <w:rFonts w:ascii="Arial" w:hAnsi="Arial"/>
                <w:b/>
                <w:sz w:val="14"/>
                <w:szCs w:val="10"/>
              </w:rPr>
            </w:pPr>
            <w:r w:rsidRPr="00E96552">
              <w:rPr>
                <w:rFonts w:ascii="Arial" w:hAnsi="Arial" w:cs="Arial"/>
                <w:b/>
                <w:bCs/>
              </w:rPr>
              <w:t>£000</w:t>
            </w:r>
          </w:p>
        </w:tc>
        <w:tc>
          <w:tcPr>
            <w:tcW w:w="1414" w:type="dxa"/>
            <w:tcBorders>
              <w:top w:val="nil"/>
              <w:left w:val="nil"/>
              <w:bottom w:val="single" w:sz="8" w:space="0" w:color="auto"/>
              <w:right w:val="single" w:sz="8" w:space="0" w:color="auto"/>
            </w:tcBorders>
            <w:shd w:val="clear" w:color="000000" w:fill="D9D9D9"/>
            <w:vAlign w:val="center"/>
          </w:tcPr>
          <w:p w14:paraId="55A15122" w14:textId="20FAC4D4" w:rsidR="002115EB" w:rsidRDefault="002115EB" w:rsidP="002115EB">
            <w:pPr>
              <w:tabs>
                <w:tab w:val="right" w:pos="5760"/>
              </w:tabs>
              <w:jc w:val="center"/>
              <w:rPr>
                <w:rFonts w:ascii="Arial" w:hAnsi="Arial"/>
                <w:b/>
                <w:sz w:val="14"/>
                <w:szCs w:val="10"/>
              </w:rPr>
            </w:pPr>
            <w:r w:rsidRPr="00E96552">
              <w:rPr>
                <w:rFonts w:ascii="Arial" w:hAnsi="Arial" w:cs="Arial"/>
                <w:b/>
                <w:bCs/>
              </w:rPr>
              <w:t>£000</w:t>
            </w:r>
          </w:p>
        </w:tc>
        <w:tc>
          <w:tcPr>
            <w:tcW w:w="1426" w:type="dxa"/>
            <w:tcBorders>
              <w:top w:val="nil"/>
              <w:left w:val="nil"/>
              <w:bottom w:val="single" w:sz="8" w:space="0" w:color="auto"/>
              <w:right w:val="single" w:sz="8" w:space="0" w:color="auto"/>
            </w:tcBorders>
            <w:shd w:val="clear" w:color="000000" w:fill="D9D9D9"/>
            <w:vAlign w:val="center"/>
          </w:tcPr>
          <w:p w14:paraId="28B27991" w14:textId="4F5DB9E7" w:rsidR="002115EB" w:rsidRDefault="002115EB" w:rsidP="002115EB">
            <w:pPr>
              <w:tabs>
                <w:tab w:val="right" w:pos="5760"/>
              </w:tabs>
              <w:jc w:val="center"/>
              <w:rPr>
                <w:rFonts w:ascii="Arial" w:hAnsi="Arial"/>
                <w:b/>
                <w:sz w:val="14"/>
                <w:szCs w:val="10"/>
              </w:rPr>
            </w:pPr>
            <w:r w:rsidRPr="00E96552">
              <w:rPr>
                <w:rFonts w:ascii="Arial" w:hAnsi="Arial" w:cs="Arial"/>
                <w:b/>
                <w:bCs/>
              </w:rPr>
              <w:t>£000</w:t>
            </w:r>
          </w:p>
        </w:tc>
        <w:tc>
          <w:tcPr>
            <w:tcW w:w="1549" w:type="dxa"/>
            <w:tcBorders>
              <w:top w:val="nil"/>
              <w:left w:val="nil"/>
              <w:bottom w:val="single" w:sz="8" w:space="0" w:color="auto"/>
              <w:right w:val="single" w:sz="8" w:space="0" w:color="auto"/>
            </w:tcBorders>
            <w:shd w:val="clear" w:color="000000" w:fill="D9D9D9"/>
            <w:vAlign w:val="center"/>
          </w:tcPr>
          <w:p w14:paraId="61EE7EF3" w14:textId="59B1B84B" w:rsidR="002115EB" w:rsidRDefault="002115EB" w:rsidP="002115EB">
            <w:pPr>
              <w:tabs>
                <w:tab w:val="right" w:pos="5760"/>
              </w:tabs>
              <w:jc w:val="center"/>
              <w:rPr>
                <w:rFonts w:ascii="Arial" w:hAnsi="Arial"/>
                <w:b/>
                <w:sz w:val="14"/>
                <w:szCs w:val="10"/>
              </w:rPr>
            </w:pPr>
            <w:r w:rsidRPr="00E96552">
              <w:rPr>
                <w:rFonts w:ascii="Arial" w:hAnsi="Arial" w:cs="Arial"/>
                <w:b/>
                <w:bCs/>
              </w:rPr>
              <w:t>£000</w:t>
            </w:r>
          </w:p>
        </w:tc>
        <w:tc>
          <w:tcPr>
            <w:tcW w:w="1427" w:type="dxa"/>
            <w:tcBorders>
              <w:top w:val="nil"/>
              <w:left w:val="nil"/>
              <w:bottom w:val="single" w:sz="8" w:space="0" w:color="auto"/>
              <w:right w:val="single" w:sz="8" w:space="0" w:color="auto"/>
            </w:tcBorders>
            <w:shd w:val="clear" w:color="000000" w:fill="D9D9D9"/>
            <w:vAlign w:val="center"/>
          </w:tcPr>
          <w:p w14:paraId="158910DD" w14:textId="11F80C3C" w:rsidR="002115EB" w:rsidRDefault="002115EB" w:rsidP="002115EB">
            <w:pPr>
              <w:tabs>
                <w:tab w:val="right" w:pos="5760"/>
              </w:tabs>
              <w:jc w:val="center"/>
              <w:rPr>
                <w:rFonts w:ascii="Arial" w:hAnsi="Arial"/>
                <w:b/>
                <w:sz w:val="14"/>
                <w:szCs w:val="10"/>
              </w:rPr>
            </w:pPr>
            <w:r w:rsidRPr="00E96552">
              <w:rPr>
                <w:rFonts w:ascii="Arial" w:hAnsi="Arial" w:cs="Arial"/>
                <w:b/>
                <w:bCs/>
              </w:rPr>
              <w:t>£000</w:t>
            </w:r>
          </w:p>
        </w:tc>
      </w:tr>
      <w:tr w:rsidR="002115EB" w14:paraId="50DA3B18" w14:textId="77777777" w:rsidTr="00B00AB2">
        <w:tc>
          <w:tcPr>
            <w:tcW w:w="2862" w:type="dxa"/>
            <w:tcBorders>
              <w:top w:val="nil"/>
              <w:left w:val="single" w:sz="8" w:space="0" w:color="auto"/>
              <w:bottom w:val="single" w:sz="8" w:space="0" w:color="auto"/>
              <w:right w:val="single" w:sz="8" w:space="0" w:color="auto"/>
            </w:tcBorders>
            <w:shd w:val="clear" w:color="000000" w:fill="D9D9D9"/>
            <w:vAlign w:val="center"/>
          </w:tcPr>
          <w:p w14:paraId="5208DE96" w14:textId="73FA1E5A" w:rsidR="002115EB" w:rsidRDefault="002115EB" w:rsidP="002115EB">
            <w:pPr>
              <w:tabs>
                <w:tab w:val="right" w:pos="5760"/>
              </w:tabs>
              <w:rPr>
                <w:rFonts w:ascii="Arial" w:hAnsi="Arial"/>
                <w:b/>
                <w:sz w:val="14"/>
                <w:szCs w:val="10"/>
              </w:rPr>
            </w:pPr>
            <w:r w:rsidRPr="00E96552">
              <w:rPr>
                <w:rFonts w:ascii="Arial" w:hAnsi="Arial" w:cs="Arial"/>
                <w:b/>
                <w:bCs/>
              </w:rPr>
              <w:t>Cost or Valuation</w:t>
            </w:r>
          </w:p>
        </w:tc>
        <w:tc>
          <w:tcPr>
            <w:tcW w:w="1355" w:type="dxa"/>
            <w:tcBorders>
              <w:top w:val="nil"/>
              <w:left w:val="nil"/>
              <w:bottom w:val="single" w:sz="8" w:space="0" w:color="auto"/>
              <w:right w:val="single" w:sz="8" w:space="0" w:color="auto"/>
            </w:tcBorders>
            <w:shd w:val="clear" w:color="000000" w:fill="D9D9D9"/>
            <w:vAlign w:val="center"/>
          </w:tcPr>
          <w:p w14:paraId="39501070" w14:textId="5D6B6A9D" w:rsidR="002115EB" w:rsidRDefault="002115EB" w:rsidP="002115EB">
            <w:pPr>
              <w:tabs>
                <w:tab w:val="right" w:pos="5760"/>
              </w:tabs>
              <w:rPr>
                <w:rFonts w:ascii="Arial" w:hAnsi="Arial"/>
                <w:b/>
                <w:sz w:val="14"/>
                <w:szCs w:val="10"/>
              </w:rPr>
            </w:pPr>
            <w:r w:rsidRPr="00E96552">
              <w:rPr>
                <w:rFonts w:ascii="Arial" w:hAnsi="Arial" w:cs="Arial"/>
                <w:b/>
                <w:bCs/>
              </w:rPr>
              <w:t> </w:t>
            </w:r>
          </w:p>
        </w:tc>
        <w:tc>
          <w:tcPr>
            <w:tcW w:w="1414" w:type="dxa"/>
            <w:tcBorders>
              <w:top w:val="nil"/>
              <w:left w:val="nil"/>
              <w:bottom w:val="single" w:sz="8" w:space="0" w:color="auto"/>
              <w:right w:val="single" w:sz="8" w:space="0" w:color="auto"/>
            </w:tcBorders>
            <w:shd w:val="clear" w:color="000000" w:fill="D9D9D9"/>
            <w:vAlign w:val="center"/>
          </w:tcPr>
          <w:p w14:paraId="4F935A66" w14:textId="7CE5F60D" w:rsidR="002115EB" w:rsidRDefault="002115EB" w:rsidP="002115EB">
            <w:pPr>
              <w:tabs>
                <w:tab w:val="right" w:pos="5760"/>
              </w:tabs>
              <w:rPr>
                <w:rFonts w:ascii="Arial" w:hAnsi="Arial"/>
                <w:b/>
                <w:sz w:val="14"/>
                <w:szCs w:val="10"/>
              </w:rPr>
            </w:pPr>
            <w:r w:rsidRPr="00E96552">
              <w:rPr>
                <w:rFonts w:ascii="Arial" w:hAnsi="Arial" w:cs="Arial"/>
                <w:b/>
                <w:bCs/>
              </w:rPr>
              <w:t> </w:t>
            </w:r>
          </w:p>
        </w:tc>
        <w:tc>
          <w:tcPr>
            <w:tcW w:w="1426" w:type="dxa"/>
            <w:tcBorders>
              <w:top w:val="nil"/>
              <w:left w:val="nil"/>
              <w:bottom w:val="single" w:sz="8" w:space="0" w:color="auto"/>
              <w:right w:val="single" w:sz="8" w:space="0" w:color="auto"/>
            </w:tcBorders>
            <w:shd w:val="clear" w:color="000000" w:fill="D9D9D9"/>
            <w:vAlign w:val="center"/>
          </w:tcPr>
          <w:p w14:paraId="62FFE05B" w14:textId="1D1D5BF1" w:rsidR="002115EB" w:rsidRDefault="002115EB" w:rsidP="002115EB">
            <w:pPr>
              <w:tabs>
                <w:tab w:val="right" w:pos="5760"/>
              </w:tabs>
              <w:rPr>
                <w:rFonts w:ascii="Arial" w:hAnsi="Arial"/>
                <w:b/>
                <w:sz w:val="14"/>
                <w:szCs w:val="10"/>
              </w:rPr>
            </w:pPr>
            <w:r w:rsidRPr="00E96552">
              <w:rPr>
                <w:rFonts w:ascii="Arial" w:hAnsi="Arial" w:cs="Arial"/>
                <w:b/>
                <w:bCs/>
              </w:rPr>
              <w:t> </w:t>
            </w:r>
          </w:p>
        </w:tc>
        <w:tc>
          <w:tcPr>
            <w:tcW w:w="1549" w:type="dxa"/>
            <w:tcBorders>
              <w:top w:val="nil"/>
              <w:left w:val="nil"/>
              <w:bottom w:val="single" w:sz="8" w:space="0" w:color="auto"/>
              <w:right w:val="single" w:sz="8" w:space="0" w:color="auto"/>
            </w:tcBorders>
            <w:shd w:val="clear" w:color="000000" w:fill="D9D9D9"/>
            <w:vAlign w:val="center"/>
          </w:tcPr>
          <w:p w14:paraId="0D4EF314" w14:textId="0A5CF2E9" w:rsidR="002115EB" w:rsidRDefault="002115EB" w:rsidP="002115EB">
            <w:pPr>
              <w:tabs>
                <w:tab w:val="right" w:pos="5760"/>
              </w:tabs>
              <w:rPr>
                <w:rFonts w:ascii="Arial" w:hAnsi="Arial"/>
                <w:b/>
                <w:sz w:val="14"/>
                <w:szCs w:val="10"/>
              </w:rPr>
            </w:pPr>
            <w:r w:rsidRPr="00E96552">
              <w:rPr>
                <w:rFonts w:ascii="Arial" w:hAnsi="Arial" w:cs="Arial"/>
                <w:b/>
                <w:bCs/>
              </w:rPr>
              <w:t> </w:t>
            </w:r>
          </w:p>
        </w:tc>
        <w:tc>
          <w:tcPr>
            <w:tcW w:w="1427" w:type="dxa"/>
            <w:tcBorders>
              <w:top w:val="nil"/>
              <w:left w:val="nil"/>
              <w:bottom w:val="single" w:sz="8" w:space="0" w:color="auto"/>
              <w:right w:val="single" w:sz="8" w:space="0" w:color="auto"/>
            </w:tcBorders>
            <w:shd w:val="clear" w:color="000000" w:fill="D9D9D9"/>
            <w:vAlign w:val="center"/>
          </w:tcPr>
          <w:p w14:paraId="28D00EF3" w14:textId="2ADF9DA0" w:rsidR="002115EB" w:rsidRDefault="002115EB" w:rsidP="002115EB">
            <w:pPr>
              <w:tabs>
                <w:tab w:val="right" w:pos="5760"/>
              </w:tabs>
              <w:rPr>
                <w:rFonts w:ascii="Arial" w:hAnsi="Arial"/>
                <w:b/>
                <w:sz w:val="14"/>
                <w:szCs w:val="10"/>
              </w:rPr>
            </w:pPr>
            <w:r w:rsidRPr="00E96552">
              <w:rPr>
                <w:rFonts w:ascii="Arial" w:hAnsi="Arial" w:cs="Arial"/>
                <w:b/>
                <w:bCs/>
              </w:rPr>
              <w:t> </w:t>
            </w:r>
          </w:p>
        </w:tc>
      </w:tr>
      <w:tr w:rsidR="00B33488" w14:paraId="15C02A23" w14:textId="77777777" w:rsidTr="00B00AB2">
        <w:tc>
          <w:tcPr>
            <w:tcW w:w="2862" w:type="dxa"/>
            <w:tcBorders>
              <w:top w:val="nil"/>
              <w:left w:val="single" w:sz="8" w:space="0" w:color="auto"/>
              <w:bottom w:val="single" w:sz="8" w:space="0" w:color="auto"/>
              <w:right w:val="single" w:sz="8" w:space="0" w:color="auto"/>
            </w:tcBorders>
            <w:shd w:val="clear" w:color="000000" w:fill="D9D9D9"/>
            <w:vAlign w:val="center"/>
          </w:tcPr>
          <w:p w14:paraId="5F19F81C" w14:textId="5FAED9D1" w:rsidR="00B33488" w:rsidRDefault="00B33488" w:rsidP="002115EB">
            <w:pPr>
              <w:tabs>
                <w:tab w:val="right" w:pos="5760"/>
              </w:tabs>
              <w:rPr>
                <w:rFonts w:ascii="Arial" w:hAnsi="Arial"/>
                <w:b/>
                <w:sz w:val="14"/>
                <w:szCs w:val="10"/>
              </w:rPr>
            </w:pPr>
            <w:r w:rsidRPr="00E96552">
              <w:rPr>
                <w:rFonts w:ascii="Arial" w:hAnsi="Arial" w:cs="Arial"/>
              </w:rPr>
              <w:t>At 1 April 2023</w:t>
            </w:r>
          </w:p>
        </w:tc>
        <w:tc>
          <w:tcPr>
            <w:tcW w:w="1355" w:type="dxa"/>
            <w:tcBorders>
              <w:top w:val="nil"/>
              <w:left w:val="nil"/>
              <w:bottom w:val="single" w:sz="8" w:space="0" w:color="auto"/>
              <w:right w:val="single" w:sz="8" w:space="0" w:color="auto"/>
            </w:tcBorders>
            <w:shd w:val="clear" w:color="000000" w:fill="D9D9D9"/>
            <w:vAlign w:val="center"/>
          </w:tcPr>
          <w:p w14:paraId="025035B3" w14:textId="40F034AE" w:rsidR="00B33488" w:rsidRDefault="00B33488" w:rsidP="002115EB">
            <w:pPr>
              <w:tabs>
                <w:tab w:val="right" w:pos="5760"/>
              </w:tabs>
              <w:jc w:val="right"/>
              <w:rPr>
                <w:rFonts w:ascii="Arial" w:hAnsi="Arial"/>
                <w:b/>
                <w:sz w:val="14"/>
                <w:szCs w:val="10"/>
              </w:rPr>
            </w:pPr>
            <w:r w:rsidRPr="00E96552">
              <w:rPr>
                <w:rFonts w:ascii="Arial" w:hAnsi="Arial" w:cs="Arial"/>
                <w:b/>
                <w:bCs/>
              </w:rPr>
              <w:t>2</w:t>
            </w:r>
            <w:r>
              <w:rPr>
                <w:rFonts w:ascii="Arial" w:hAnsi="Arial" w:cs="Arial"/>
                <w:b/>
                <w:bCs/>
              </w:rPr>
              <w:t>13</w:t>
            </w:r>
            <w:r w:rsidRPr="00E96552">
              <w:rPr>
                <w:rFonts w:ascii="Arial" w:hAnsi="Arial" w:cs="Arial"/>
                <w:b/>
                <w:bCs/>
              </w:rPr>
              <w:t>,</w:t>
            </w:r>
            <w:r>
              <w:rPr>
                <w:rFonts w:ascii="Arial" w:hAnsi="Arial" w:cs="Arial"/>
                <w:b/>
                <w:bCs/>
              </w:rPr>
              <w:t>027</w:t>
            </w:r>
          </w:p>
        </w:tc>
        <w:tc>
          <w:tcPr>
            <w:tcW w:w="1414" w:type="dxa"/>
            <w:tcBorders>
              <w:top w:val="nil"/>
              <w:left w:val="nil"/>
              <w:bottom w:val="single" w:sz="8" w:space="0" w:color="auto"/>
              <w:right w:val="single" w:sz="8" w:space="0" w:color="auto"/>
            </w:tcBorders>
            <w:shd w:val="clear" w:color="000000" w:fill="D9D9D9"/>
            <w:vAlign w:val="center"/>
          </w:tcPr>
          <w:p w14:paraId="5A28BA3D" w14:textId="5E802FD7" w:rsidR="00B33488" w:rsidRDefault="00B33488" w:rsidP="002115EB">
            <w:pPr>
              <w:tabs>
                <w:tab w:val="right" w:pos="5760"/>
              </w:tabs>
              <w:jc w:val="right"/>
              <w:rPr>
                <w:rFonts w:ascii="Arial" w:hAnsi="Arial"/>
                <w:b/>
                <w:sz w:val="14"/>
                <w:szCs w:val="10"/>
              </w:rPr>
            </w:pPr>
            <w:r w:rsidRPr="00E96552">
              <w:rPr>
                <w:rFonts w:ascii="Arial" w:hAnsi="Arial" w:cs="Arial"/>
                <w:b/>
                <w:bCs/>
              </w:rPr>
              <w:t>39,617</w:t>
            </w:r>
          </w:p>
        </w:tc>
        <w:tc>
          <w:tcPr>
            <w:tcW w:w="1426" w:type="dxa"/>
            <w:tcBorders>
              <w:top w:val="nil"/>
              <w:left w:val="nil"/>
              <w:bottom w:val="single" w:sz="8" w:space="0" w:color="auto"/>
              <w:right w:val="single" w:sz="8" w:space="0" w:color="auto"/>
            </w:tcBorders>
            <w:shd w:val="clear" w:color="000000" w:fill="D9D9D9"/>
            <w:vAlign w:val="center"/>
          </w:tcPr>
          <w:p w14:paraId="677DA86D" w14:textId="15733B4A" w:rsidR="00B33488" w:rsidRDefault="00B33488" w:rsidP="002115EB">
            <w:pPr>
              <w:tabs>
                <w:tab w:val="right" w:pos="5760"/>
              </w:tabs>
              <w:jc w:val="right"/>
              <w:rPr>
                <w:rFonts w:ascii="Arial" w:hAnsi="Arial"/>
                <w:b/>
                <w:sz w:val="14"/>
                <w:szCs w:val="10"/>
              </w:rPr>
            </w:pPr>
            <w:r w:rsidRPr="00E96552">
              <w:rPr>
                <w:rFonts w:ascii="Arial" w:hAnsi="Arial" w:cs="Arial"/>
                <w:b/>
                <w:bCs/>
              </w:rPr>
              <w:t>11,625</w:t>
            </w:r>
          </w:p>
        </w:tc>
        <w:tc>
          <w:tcPr>
            <w:tcW w:w="1549" w:type="dxa"/>
            <w:tcBorders>
              <w:top w:val="nil"/>
              <w:left w:val="nil"/>
              <w:bottom w:val="single" w:sz="8" w:space="0" w:color="auto"/>
              <w:right w:val="single" w:sz="8" w:space="0" w:color="auto"/>
            </w:tcBorders>
            <w:shd w:val="clear" w:color="000000" w:fill="D9D9D9"/>
            <w:vAlign w:val="center"/>
          </w:tcPr>
          <w:p w14:paraId="5AB34E83" w14:textId="6CD12CEA" w:rsidR="00B33488" w:rsidRDefault="00B33488" w:rsidP="002115EB">
            <w:pPr>
              <w:tabs>
                <w:tab w:val="right" w:pos="5760"/>
              </w:tabs>
              <w:jc w:val="right"/>
              <w:rPr>
                <w:rFonts w:ascii="Arial" w:hAnsi="Arial"/>
                <w:b/>
                <w:sz w:val="14"/>
                <w:szCs w:val="10"/>
              </w:rPr>
            </w:pPr>
            <w:r>
              <w:rPr>
                <w:rFonts w:ascii="Arial" w:hAnsi="Arial" w:cs="Arial"/>
                <w:b/>
                <w:bCs/>
              </w:rPr>
              <w:t>3</w:t>
            </w:r>
            <w:r w:rsidRPr="00E96552">
              <w:rPr>
                <w:rFonts w:ascii="Arial" w:hAnsi="Arial" w:cs="Arial"/>
                <w:b/>
                <w:bCs/>
              </w:rPr>
              <w:t>,</w:t>
            </w:r>
            <w:r>
              <w:rPr>
                <w:rFonts w:ascii="Arial" w:hAnsi="Arial" w:cs="Arial"/>
                <w:b/>
                <w:bCs/>
              </w:rPr>
              <w:t>844</w:t>
            </w:r>
          </w:p>
        </w:tc>
        <w:tc>
          <w:tcPr>
            <w:tcW w:w="1427" w:type="dxa"/>
            <w:tcBorders>
              <w:top w:val="nil"/>
              <w:left w:val="nil"/>
              <w:bottom w:val="single" w:sz="8" w:space="0" w:color="auto"/>
              <w:right w:val="single" w:sz="8" w:space="0" w:color="auto"/>
            </w:tcBorders>
            <w:shd w:val="clear" w:color="000000" w:fill="D9D9D9"/>
            <w:vAlign w:val="center"/>
          </w:tcPr>
          <w:p w14:paraId="2BD7ED87" w14:textId="4E757D2A" w:rsidR="00B33488" w:rsidRDefault="00B33488" w:rsidP="002115EB">
            <w:pPr>
              <w:tabs>
                <w:tab w:val="right" w:pos="5760"/>
              </w:tabs>
              <w:jc w:val="right"/>
              <w:rPr>
                <w:rFonts w:ascii="Arial" w:hAnsi="Arial"/>
                <w:b/>
                <w:sz w:val="14"/>
                <w:szCs w:val="10"/>
              </w:rPr>
            </w:pPr>
            <w:r w:rsidRPr="00E96552">
              <w:rPr>
                <w:rFonts w:ascii="Arial" w:hAnsi="Arial" w:cs="Arial"/>
                <w:b/>
                <w:bCs/>
              </w:rPr>
              <w:t>26</w:t>
            </w:r>
            <w:r>
              <w:rPr>
                <w:rFonts w:ascii="Arial" w:hAnsi="Arial" w:cs="Arial"/>
                <w:b/>
                <w:bCs/>
              </w:rPr>
              <w:t>8</w:t>
            </w:r>
            <w:r w:rsidRPr="00E96552">
              <w:rPr>
                <w:rFonts w:ascii="Arial" w:hAnsi="Arial" w:cs="Arial"/>
                <w:b/>
                <w:bCs/>
              </w:rPr>
              <w:t>,</w:t>
            </w:r>
            <w:r>
              <w:rPr>
                <w:rFonts w:ascii="Arial" w:hAnsi="Arial" w:cs="Arial"/>
                <w:b/>
                <w:bCs/>
              </w:rPr>
              <w:t>113</w:t>
            </w:r>
          </w:p>
        </w:tc>
      </w:tr>
      <w:tr w:rsidR="00B33488" w14:paraId="6ACCE8CA" w14:textId="77777777" w:rsidTr="00B00AB2">
        <w:tc>
          <w:tcPr>
            <w:tcW w:w="2862" w:type="dxa"/>
            <w:tcBorders>
              <w:top w:val="nil"/>
              <w:left w:val="single" w:sz="8" w:space="0" w:color="auto"/>
              <w:bottom w:val="single" w:sz="8" w:space="0" w:color="auto"/>
              <w:right w:val="single" w:sz="8" w:space="0" w:color="auto"/>
            </w:tcBorders>
            <w:shd w:val="clear" w:color="000000" w:fill="D9D9D9"/>
            <w:vAlign w:val="center"/>
          </w:tcPr>
          <w:p w14:paraId="081D4F3E" w14:textId="36D92550" w:rsidR="00B33488" w:rsidRDefault="00B33488" w:rsidP="002115EB">
            <w:pPr>
              <w:tabs>
                <w:tab w:val="right" w:pos="5760"/>
              </w:tabs>
              <w:rPr>
                <w:rFonts w:ascii="Arial" w:hAnsi="Arial"/>
                <w:b/>
                <w:sz w:val="14"/>
                <w:szCs w:val="10"/>
              </w:rPr>
            </w:pPr>
            <w:r w:rsidRPr="00E96552">
              <w:rPr>
                <w:rFonts w:ascii="Arial" w:hAnsi="Arial" w:cs="Arial"/>
              </w:rPr>
              <w:t>Additions</w:t>
            </w:r>
          </w:p>
        </w:tc>
        <w:tc>
          <w:tcPr>
            <w:tcW w:w="1355" w:type="dxa"/>
            <w:tcBorders>
              <w:top w:val="nil"/>
              <w:left w:val="nil"/>
              <w:bottom w:val="single" w:sz="8" w:space="0" w:color="auto"/>
              <w:right w:val="single" w:sz="8" w:space="0" w:color="auto"/>
            </w:tcBorders>
            <w:shd w:val="clear" w:color="000000" w:fill="D9D9D9"/>
            <w:vAlign w:val="center"/>
          </w:tcPr>
          <w:p w14:paraId="6775BEC9" w14:textId="61FFD2C8" w:rsidR="00B33488" w:rsidRDefault="00B33488" w:rsidP="002115EB">
            <w:pPr>
              <w:tabs>
                <w:tab w:val="right" w:pos="5760"/>
              </w:tabs>
              <w:jc w:val="right"/>
              <w:rPr>
                <w:rFonts w:ascii="Arial" w:hAnsi="Arial"/>
                <w:b/>
                <w:sz w:val="14"/>
                <w:szCs w:val="10"/>
              </w:rPr>
            </w:pPr>
            <w:r w:rsidRPr="00E96552">
              <w:rPr>
                <w:rFonts w:ascii="Arial" w:hAnsi="Arial" w:cs="Arial"/>
              </w:rPr>
              <w:t>796</w:t>
            </w:r>
          </w:p>
        </w:tc>
        <w:tc>
          <w:tcPr>
            <w:tcW w:w="1414" w:type="dxa"/>
            <w:tcBorders>
              <w:top w:val="nil"/>
              <w:left w:val="nil"/>
              <w:bottom w:val="single" w:sz="8" w:space="0" w:color="auto"/>
              <w:right w:val="single" w:sz="8" w:space="0" w:color="auto"/>
            </w:tcBorders>
            <w:shd w:val="clear" w:color="000000" w:fill="D9D9D9"/>
            <w:vAlign w:val="center"/>
          </w:tcPr>
          <w:p w14:paraId="2B2506E1" w14:textId="52A0673B" w:rsidR="00B33488" w:rsidRDefault="00B33488" w:rsidP="002115EB">
            <w:pPr>
              <w:tabs>
                <w:tab w:val="right" w:pos="5760"/>
              </w:tabs>
              <w:jc w:val="right"/>
              <w:rPr>
                <w:rFonts w:ascii="Arial" w:hAnsi="Arial"/>
                <w:b/>
                <w:sz w:val="14"/>
                <w:szCs w:val="10"/>
              </w:rPr>
            </w:pPr>
            <w:r w:rsidRPr="00E96552">
              <w:rPr>
                <w:rFonts w:ascii="Arial" w:hAnsi="Arial" w:cs="Arial"/>
              </w:rPr>
              <w:t>10,292</w:t>
            </w:r>
          </w:p>
        </w:tc>
        <w:tc>
          <w:tcPr>
            <w:tcW w:w="1426" w:type="dxa"/>
            <w:tcBorders>
              <w:top w:val="nil"/>
              <w:left w:val="nil"/>
              <w:bottom w:val="single" w:sz="8" w:space="0" w:color="auto"/>
              <w:right w:val="single" w:sz="8" w:space="0" w:color="auto"/>
            </w:tcBorders>
            <w:shd w:val="clear" w:color="000000" w:fill="D9D9D9"/>
            <w:vAlign w:val="center"/>
          </w:tcPr>
          <w:p w14:paraId="4685A1C1" w14:textId="50348FD9" w:rsidR="00B33488" w:rsidRDefault="00B33488" w:rsidP="002115EB">
            <w:pPr>
              <w:tabs>
                <w:tab w:val="right" w:pos="5760"/>
              </w:tabs>
              <w:jc w:val="right"/>
              <w:rPr>
                <w:rFonts w:ascii="Arial" w:hAnsi="Arial"/>
                <w:b/>
                <w:sz w:val="14"/>
                <w:szCs w:val="10"/>
              </w:rPr>
            </w:pPr>
            <w:r w:rsidRPr="00E96552">
              <w:rPr>
                <w:rFonts w:ascii="Arial" w:hAnsi="Arial" w:cs="Arial"/>
              </w:rPr>
              <w:t>317</w:t>
            </w:r>
          </w:p>
        </w:tc>
        <w:tc>
          <w:tcPr>
            <w:tcW w:w="1549" w:type="dxa"/>
            <w:tcBorders>
              <w:top w:val="nil"/>
              <w:left w:val="nil"/>
              <w:bottom w:val="single" w:sz="8" w:space="0" w:color="auto"/>
              <w:right w:val="single" w:sz="8" w:space="0" w:color="auto"/>
            </w:tcBorders>
            <w:shd w:val="clear" w:color="000000" w:fill="D9D9D9"/>
            <w:vAlign w:val="center"/>
          </w:tcPr>
          <w:p w14:paraId="0F9B55EA" w14:textId="32219A7B" w:rsidR="00B33488" w:rsidRDefault="00B33488" w:rsidP="002115EB">
            <w:pPr>
              <w:tabs>
                <w:tab w:val="right" w:pos="5760"/>
              </w:tabs>
              <w:jc w:val="right"/>
              <w:rPr>
                <w:rFonts w:ascii="Arial" w:hAnsi="Arial"/>
                <w:b/>
                <w:sz w:val="14"/>
                <w:szCs w:val="10"/>
              </w:rPr>
            </w:pPr>
            <w:r>
              <w:rPr>
                <w:rFonts w:ascii="Arial" w:hAnsi="Arial" w:cs="Arial"/>
              </w:rPr>
              <w:t>7</w:t>
            </w:r>
            <w:r w:rsidRPr="00E96552">
              <w:rPr>
                <w:rFonts w:ascii="Arial" w:hAnsi="Arial" w:cs="Arial"/>
              </w:rPr>
              <w:t>,</w:t>
            </w:r>
            <w:r>
              <w:rPr>
                <w:rFonts w:ascii="Arial" w:hAnsi="Arial" w:cs="Arial"/>
              </w:rPr>
              <w:t>613</w:t>
            </w:r>
          </w:p>
        </w:tc>
        <w:tc>
          <w:tcPr>
            <w:tcW w:w="1427" w:type="dxa"/>
            <w:tcBorders>
              <w:top w:val="nil"/>
              <w:left w:val="nil"/>
              <w:bottom w:val="single" w:sz="8" w:space="0" w:color="auto"/>
              <w:right w:val="single" w:sz="8" w:space="0" w:color="auto"/>
            </w:tcBorders>
            <w:shd w:val="clear" w:color="000000" w:fill="D9D9D9"/>
            <w:vAlign w:val="center"/>
          </w:tcPr>
          <w:p w14:paraId="553B9B98" w14:textId="289B96E0" w:rsidR="00B33488" w:rsidRDefault="00B33488" w:rsidP="002115EB">
            <w:pPr>
              <w:tabs>
                <w:tab w:val="right" w:pos="5760"/>
              </w:tabs>
              <w:jc w:val="right"/>
              <w:rPr>
                <w:rFonts w:ascii="Arial" w:hAnsi="Arial"/>
                <w:b/>
                <w:sz w:val="14"/>
                <w:szCs w:val="10"/>
              </w:rPr>
            </w:pPr>
            <w:r w:rsidRPr="00E96552">
              <w:rPr>
                <w:rFonts w:ascii="Arial" w:hAnsi="Arial" w:cs="Arial"/>
              </w:rPr>
              <w:t>1</w:t>
            </w:r>
            <w:r>
              <w:rPr>
                <w:rFonts w:ascii="Arial" w:hAnsi="Arial" w:cs="Arial"/>
              </w:rPr>
              <w:t>9</w:t>
            </w:r>
            <w:r w:rsidRPr="00E96552">
              <w:rPr>
                <w:rFonts w:ascii="Arial" w:hAnsi="Arial" w:cs="Arial"/>
              </w:rPr>
              <w:t>,</w:t>
            </w:r>
            <w:r>
              <w:rPr>
                <w:rFonts w:ascii="Arial" w:hAnsi="Arial" w:cs="Arial"/>
              </w:rPr>
              <w:t>018</w:t>
            </w:r>
          </w:p>
        </w:tc>
      </w:tr>
      <w:tr w:rsidR="00B33488" w14:paraId="20CA3D01" w14:textId="77777777" w:rsidTr="00B00AB2">
        <w:tc>
          <w:tcPr>
            <w:tcW w:w="2862" w:type="dxa"/>
            <w:tcBorders>
              <w:top w:val="nil"/>
              <w:left w:val="single" w:sz="8" w:space="0" w:color="auto"/>
              <w:bottom w:val="single" w:sz="8" w:space="0" w:color="auto"/>
              <w:right w:val="single" w:sz="8" w:space="0" w:color="auto"/>
            </w:tcBorders>
            <w:shd w:val="clear" w:color="000000" w:fill="D9D9D9"/>
            <w:vAlign w:val="center"/>
          </w:tcPr>
          <w:p w14:paraId="520B6DAA" w14:textId="201E4B34" w:rsidR="00B33488" w:rsidRDefault="00B33488" w:rsidP="002115EB">
            <w:pPr>
              <w:tabs>
                <w:tab w:val="right" w:pos="5760"/>
              </w:tabs>
              <w:rPr>
                <w:rFonts w:ascii="Arial" w:hAnsi="Arial"/>
                <w:b/>
                <w:sz w:val="14"/>
                <w:szCs w:val="10"/>
              </w:rPr>
            </w:pPr>
            <w:r w:rsidRPr="00E96552">
              <w:rPr>
                <w:rFonts w:ascii="Arial" w:hAnsi="Arial" w:cs="Arial"/>
              </w:rPr>
              <w:t>Revaluation increases/(decreases) recognised in the surplus/deficit on the provision of services</w:t>
            </w:r>
          </w:p>
        </w:tc>
        <w:tc>
          <w:tcPr>
            <w:tcW w:w="1355" w:type="dxa"/>
            <w:tcBorders>
              <w:top w:val="nil"/>
              <w:left w:val="nil"/>
              <w:bottom w:val="single" w:sz="8" w:space="0" w:color="auto"/>
              <w:right w:val="single" w:sz="8" w:space="0" w:color="auto"/>
            </w:tcBorders>
            <w:shd w:val="clear" w:color="000000" w:fill="D9D9D9"/>
            <w:vAlign w:val="center"/>
          </w:tcPr>
          <w:p w14:paraId="1B7AFC56" w14:textId="04EF205E" w:rsidR="00B33488" w:rsidRDefault="00B33488" w:rsidP="002115EB">
            <w:pPr>
              <w:tabs>
                <w:tab w:val="right" w:pos="5760"/>
              </w:tabs>
              <w:jc w:val="right"/>
              <w:rPr>
                <w:rFonts w:ascii="Arial" w:hAnsi="Arial"/>
                <w:b/>
                <w:sz w:val="14"/>
                <w:szCs w:val="10"/>
              </w:rPr>
            </w:pPr>
            <w:r>
              <w:rPr>
                <w:rFonts w:ascii="Arial" w:hAnsi="Arial" w:cs="Arial"/>
              </w:rPr>
              <w:t>0</w:t>
            </w:r>
          </w:p>
        </w:tc>
        <w:tc>
          <w:tcPr>
            <w:tcW w:w="1414" w:type="dxa"/>
            <w:tcBorders>
              <w:top w:val="nil"/>
              <w:left w:val="nil"/>
              <w:bottom w:val="single" w:sz="8" w:space="0" w:color="auto"/>
              <w:right w:val="single" w:sz="8" w:space="0" w:color="auto"/>
            </w:tcBorders>
            <w:shd w:val="clear" w:color="000000" w:fill="D9D9D9"/>
            <w:vAlign w:val="center"/>
          </w:tcPr>
          <w:p w14:paraId="582F2018" w14:textId="39CADD24"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426" w:type="dxa"/>
            <w:tcBorders>
              <w:top w:val="nil"/>
              <w:left w:val="nil"/>
              <w:bottom w:val="single" w:sz="8" w:space="0" w:color="auto"/>
              <w:right w:val="single" w:sz="8" w:space="0" w:color="auto"/>
            </w:tcBorders>
            <w:shd w:val="clear" w:color="000000" w:fill="D9D9D9"/>
            <w:vAlign w:val="center"/>
          </w:tcPr>
          <w:p w14:paraId="22EF230B" w14:textId="2C80EA8C"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549" w:type="dxa"/>
            <w:tcBorders>
              <w:top w:val="nil"/>
              <w:left w:val="nil"/>
              <w:bottom w:val="single" w:sz="8" w:space="0" w:color="auto"/>
              <w:right w:val="single" w:sz="8" w:space="0" w:color="auto"/>
            </w:tcBorders>
            <w:shd w:val="clear" w:color="000000" w:fill="D9D9D9"/>
            <w:vAlign w:val="center"/>
          </w:tcPr>
          <w:p w14:paraId="4B202D2B" w14:textId="2E0BF7E9"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427" w:type="dxa"/>
            <w:tcBorders>
              <w:top w:val="nil"/>
              <w:left w:val="nil"/>
              <w:bottom w:val="single" w:sz="8" w:space="0" w:color="auto"/>
              <w:right w:val="single" w:sz="8" w:space="0" w:color="auto"/>
            </w:tcBorders>
            <w:shd w:val="clear" w:color="000000" w:fill="D9D9D9"/>
            <w:vAlign w:val="center"/>
          </w:tcPr>
          <w:p w14:paraId="2C71B219" w14:textId="560CE3D7" w:rsidR="00B33488" w:rsidRDefault="00B33488" w:rsidP="002115EB">
            <w:pPr>
              <w:tabs>
                <w:tab w:val="right" w:pos="5760"/>
              </w:tabs>
              <w:jc w:val="right"/>
              <w:rPr>
                <w:rFonts w:ascii="Arial" w:hAnsi="Arial"/>
                <w:b/>
                <w:sz w:val="14"/>
                <w:szCs w:val="10"/>
              </w:rPr>
            </w:pPr>
            <w:r>
              <w:rPr>
                <w:rFonts w:ascii="Arial" w:hAnsi="Arial" w:cs="Arial"/>
              </w:rPr>
              <w:t>0</w:t>
            </w:r>
          </w:p>
        </w:tc>
      </w:tr>
      <w:tr w:rsidR="00B33488" w14:paraId="0D5821D8" w14:textId="77777777" w:rsidTr="00B00AB2">
        <w:tc>
          <w:tcPr>
            <w:tcW w:w="2862" w:type="dxa"/>
            <w:tcBorders>
              <w:top w:val="nil"/>
              <w:left w:val="single" w:sz="8" w:space="0" w:color="auto"/>
              <w:bottom w:val="single" w:sz="8" w:space="0" w:color="auto"/>
              <w:right w:val="single" w:sz="8" w:space="0" w:color="auto"/>
            </w:tcBorders>
            <w:shd w:val="clear" w:color="000000" w:fill="D9D9D9"/>
            <w:vAlign w:val="center"/>
          </w:tcPr>
          <w:p w14:paraId="099313A0" w14:textId="0796633F" w:rsidR="00B33488" w:rsidRDefault="00B33488" w:rsidP="002115EB">
            <w:pPr>
              <w:tabs>
                <w:tab w:val="right" w:pos="5760"/>
              </w:tabs>
              <w:rPr>
                <w:rFonts w:ascii="Arial" w:hAnsi="Arial"/>
                <w:b/>
                <w:sz w:val="14"/>
                <w:szCs w:val="10"/>
              </w:rPr>
            </w:pPr>
            <w:r w:rsidRPr="00E96552">
              <w:rPr>
                <w:rFonts w:ascii="Arial" w:hAnsi="Arial" w:cs="Arial"/>
              </w:rPr>
              <w:t xml:space="preserve">Revaluation increase/(decrease) recognised in the revaluation reserve. </w:t>
            </w:r>
          </w:p>
        </w:tc>
        <w:tc>
          <w:tcPr>
            <w:tcW w:w="1355" w:type="dxa"/>
            <w:tcBorders>
              <w:top w:val="nil"/>
              <w:left w:val="nil"/>
              <w:bottom w:val="single" w:sz="8" w:space="0" w:color="auto"/>
              <w:right w:val="single" w:sz="8" w:space="0" w:color="auto"/>
            </w:tcBorders>
            <w:shd w:val="clear" w:color="000000" w:fill="D9D9D9"/>
            <w:vAlign w:val="center"/>
          </w:tcPr>
          <w:p w14:paraId="6A64A6CE" w14:textId="1FBF5011" w:rsidR="00B33488" w:rsidRDefault="00B33488" w:rsidP="002115EB">
            <w:pPr>
              <w:tabs>
                <w:tab w:val="right" w:pos="5760"/>
              </w:tabs>
              <w:jc w:val="right"/>
              <w:rPr>
                <w:rFonts w:ascii="Arial" w:hAnsi="Arial"/>
                <w:b/>
                <w:sz w:val="14"/>
                <w:szCs w:val="10"/>
              </w:rPr>
            </w:pPr>
            <w:r>
              <w:rPr>
                <w:rFonts w:ascii="Arial" w:hAnsi="Arial" w:cs="Arial"/>
              </w:rPr>
              <w:t>4</w:t>
            </w:r>
            <w:r w:rsidRPr="00E96552" w:rsidDel="009A1555">
              <w:rPr>
                <w:rFonts w:ascii="Arial" w:hAnsi="Arial" w:cs="Arial"/>
              </w:rPr>
              <w:t>,</w:t>
            </w:r>
            <w:r>
              <w:rPr>
                <w:rFonts w:ascii="Arial" w:hAnsi="Arial" w:cs="Arial"/>
              </w:rPr>
              <w:t>392</w:t>
            </w:r>
          </w:p>
        </w:tc>
        <w:tc>
          <w:tcPr>
            <w:tcW w:w="1414" w:type="dxa"/>
            <w:tcBorders>
              <w:top w:val="nil"/>
              <w:left w:val="nil"/>
              <w:bottom w:val="single" w:sz="8" w:space="0" w:color="auto"/>
              <w:right w:val="single" w:sz="8" w:space="0" w:color="auto"/>
            </w:tcBorders>
            <w:shd w:val="clear" w:color="000000" w:fill="D9D9D9"/>
            <w:vAlign w:val="center"/>
          </w:tcPr>
          <w:p w14:paraId="32602A31" w14:textId="0F523FB4"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426" w:type="dxa"/>
            <w:tcBorders>
              <w:top w:val="nil"/>
              <w:left w:val="nil"/>
              <w:bottom w:val="single" w:sz="8" w:space="0" w:color="auto"/>
              <w:right w:val="single" w:sz="8" w:space="0" w:color="auto"/>
            </w:tcBorders>
            <w:shd w:val="clear" w:color="000000" w:fill="D9D9D9"/>
            <w:vAlign w:val="center"/>
          </w:tcPr>
          <w:p w14:paraId="2E3F6F38" w14:textId="1F0D741D"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549" w:type="dxa"/>
            <w:tcBorders>
              <w:top w:val="nil"/>
              <w:left w:val="nil"/>
              <w:bottom w:val="single" w:sz="8" w:space="0" w:color="auto"/>
              <w:right w:val="single" w:sz="8" w:space="0" w:color="auto"/>
            </w:tcBorders>
            <w:shd w:val="clear" w:color="000000" w:fill="D9D9D9"/>
            <w:vAlign w:val="center"/>
          </w:tcPr>
          <w:p w14:paraId="529A93E1" w14:textId="565CDC30"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427" w:type="dxa"/>
            <w:tcBorders>
              <w:top w:val="nil"/>
              <w:left w:val="nil"/>
              <w:bottom w:val="single" w:sz="8" w:space="0" w:color="auto"/>
              <w:right w:val="single" w:sz="8" w:space="0" w:color="auto"/>
            </w:tcBorders>
            <w:shd w:val="clear" w:color="000000" w:fill="D9D9D9"/>
            <w:vAlign w:val="center"/>
          </w:tcPr>
          <w:p w14:paraId="0F280518" w14:textId="6FA90A2F" w:rsidR="00B33488" w:rsidRDefault="00B33488" w:rsidP="002115EB">
            <w:pPr>
              <w:tabs>
                <w:tab w:val="right" w:pos="5760"/>
              </w:tabs>
              <w:jc w:val="right"/>
              <w:rPr>
                <w:rFonts w:ascii="Arial" w:hAnsi="Arial"/>
                <w:b/>
                <w:sz w:val="14"/>
                <w:szCs w:val="10"/>
              </w:rPr>
            </w:pPr>
            <w:r>
              <w:rPr>
                <w:rFonts w:ascii="Arial" w:hAnsi="Arial" w:cs="Arial"/>
              </w:rPr>
              <w:t>4,392</w:t>
            </w:r>
          </w:p>
        </w:tc>
      </w:tr>
      <w:tr w:rsidR="00B33488" w14:paraId="6BF8F8BC" w14:textId="77777777" w:rsidTr="00B00AB2">
        <w:tc>
          <w:tcPr>
            <w:tcW w:w="2862" w:type="dxa"/>
            <w:tcBorders>
              <w:top w:val="nil"/>
              <w:left w:val="single" w:sz="8" w:space="0" w:color="auto"/>
              <w:bottom w:val="single" w:sz="8" w:space="0" w:color="auto"/>
              <w:right w:val="single" w:sz="8" w:space="0" w:color="auto"/>
            </w:tcBorders>
            <w:shd w:val="clear" w:color="000000" w:fill="D9D9D9"/>
            <w:vAlign w:val="center"/>
          </w:tcPr>
          <w:p w14:paraId="091710D2" w14:textId="12FC43BB" w:rsidR="00B33488" w:rsidRDefault="00B33488" w:rsidP="002115EB">
            <w:pPr>
              <w:tabs>
                <w:tab w:val="right" w:pos="5760"/>
              </w:tabs>
              <w:rPr>
                <w:rFonts w:ascii="Arial" w:hAnsi="Arial"/>
                <w:b/>
                <w:sz w:val="14"/>
                <w:szCs w:val="10"/>
              </w:rPr>
            </w:pPr>
            <w:r w:rsidRPr="00E96552">
              <w:rPr>
                <w:rFonts w:ascii="Arial" w:hAnsi="Arial" w:cs="Arial"/>
              </w:rPr>
              <w:t>Reclassification/Capitalisation</w:t>
            </w:r>
          </w:p>
        </w:tc>
        <w:tc>
          <w:tcPr>
            <w:tcW w:w="1355" w:type="dxa"/>
            <w:tcBorders>
              <w:top w:val="nil"/>
              <w:left w:val="nil"/>
              <w:bottom w:val="single" w:sz="8" w:space="0" w:color="auto"/>
              <w:right w:val="single" w:sz="8" w:space="0" w:color="auto"/>
            </w:tcBorders>
            <w:shd w:val="clear" w:color="000000" w:fill="D9D9D9"/>
            <w:vAlign w:val="center"/>
          </w:tcPr>
          <w:p w14:paraId="54ED085A" w14:textId="54764414"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414" w:type="dxa"/>
            <w:tcBorders>
              <w:top w:val="nil"/>
              <w:left w:val="nil"/>
              <w:bottom w:val="single" w:sz="8" w:space="0" w:color="auto"/>
              <w:right w:val="single" w:sz="8" w:space="0" w:color="auto"/>
            </w:tcBorders>
            <w:shd w:val="clear" w:color="000000" w:fill="D9D9D9"/>
            <w:vAlign w:val="center"/>
          </w:tcPr>
          <w:p w14:paraId="24664A26" w14:textId="2AC9CBEF" w:rsidR="00B33488" w:rsidRDefault="00B33488" w:rsidP="002115EB">
            <w:pPr>
              <w:tabs>
                <w:tab w:val="right" w:pos="5760"/>
              </w:tabs>
              <w:jc w:val="right"/>
              <w:rPr>
                <w:rFonts w:ascii="Arial" w:hAnsi="Arial"/>
                <w:b/>
                <w:sz w:val="14"/>
                <w:szCs w:val="10"/>
              </w:rPr>
            </w:pPr>
            <w:r w:rsidRPr="00E96552">
              <w:rPr>
                <w:rFonts w:ascii="Arial" w:hAnsi="Arial" w:cs="Arial"/>
              </w:rPr>
              <w:t>848</w:t>
            </w:r>
          </w:p>
        </w:tc>
        <w:tc>
          <w:tcPr>
            <w:tcW w:w="1426" w:type="dxa"/>
            <w:tcBorders>
              <w:top w:val="nil"/>
              <w:left w:val="nil"/>
              <w:bottom w:val="single" w:sz="8" w:space="0" w:color="auto"/>
              <w:right w:val="single" w:sz="8" w:space="0" w:color="auto"/>
            </w:tcBorders>
            <w:shd w:val="clear" w:color="000000" w:fill="D9D9D9"/>
            <w:vAlign w:val="center"/>
          </w:tcPr>
          <w:p w14:paraId="03376B66" w14:textId="3B5727D7"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549" w:type="dxa"/>
            <w:tcBorders>
              <w:top w:val="nil"/>
              <w:left w:val="nil"/>
              <w:bottom w:val="single" w:sz="8" w:space="0" w:color="auto"/>
              <w:right w:val="single" w:sz="8" w:space="0" w:color="auto"/>
            </w:tcBorders>
            <w:shd w:val="clear" w:color="000000" w:fill="D9D9D9"/>
            <w:vAlign w:val="center"/>
          </w:tcPr>
          <w:p w14:paraId="001FE87F" w14:textId="300A6739" w:rsidR="00B33488" w:rsidRDefault="00B33488" w:rsidP="002115EB">
            <w:pPr>
              <w:tabs>
                <w:tab w:val="right" w:pos="5760"/>
              </w:tabs>
              <w:jc w:val="right"/>
              <w:rPr>
                <w:rFonts w:ascii="Arial" w:hAnsi="Arial"/>
                <w:b/>
                <w:sz w:val="14"/>
                <w:szCs w:val="10"/>
              </w:rPr>
            </w:pPr>
            <w:r w:rsidRPr="00E96552">
              <w:rPr>
                <w:rFonts w:ascii="Arial" w:hAnsi="Arial" w:cs="Arial"/>
              </w:rPr>
              <w:t>(848)</w:t>
            </w:r>
          </w:p>
        </w:tc>
        <w:tc>
          <w:tcPr>
            <w:tcW w:w="1427" w:type="dxa"/>
            <w:tcBorders>
              <w:top w:val="nil"/>
              <w:left w:val="nil"/>
              <w:bottom w:val="single" w:sz="8" w:space="0" w:color="auto"/>
              <w:right w:val="single" w:sz="8" w:space="0" w:color="auto"/>
            </w:tcBorders>
            <w:shd w:val="clear" w:color="000000" w:fill="D9D9D9"/>
            <w:vAlign w:val="center"/>
          </w:tcPr>
          <w:p w14:paraId="63270BB5" w14:textId="59A25152" w:rsidR="00B33488" w:rsidRDefault="00B33488" w:rsidP="002115EB">
            <w:pPr>
              <w:tabs>
                <w:tab w:val="right" w:pos="5760"/>
              </w:tabs>
              <w:jc w:val="right"/>
              <w:rPr>
                <w:rFonts w:ascii="Arial" w:hAnsi="Arial"/>
                <w:b/>
                <w:sz w:val="14"/>
                <w:szCs w:val="10"/>
              </w:rPr>
            </w:pPr>
            <w:r w:rsidRPr="00E96552">
              <w:rPr>
                <w:rFonts w:ascii="Arial" w:hAnsi="Arial" w:cs="Arial"/>
              </w:rPr>
              <w:t>0</w:t>
            </w:r>
          </w:p>
        </w:tc>
      </w:tr>
      <w:tr w:rsidR="00B33488" w14:paraId="7CC84FEA" w14:textId="77777777" w:rsidTr="00B00AB2">
        <w:tc>
          <w:tcPr>
            <w:tcW w:w="2862" w:type="dxa"/>
            <w:tcBorders>
              <w:top w:val="nil"/>
              <w:left w:val="single" w:sz="8" w:space="0" w:color="auto"/>
              <w:bottom w:val="single" w:sz="8" w:space="0" w:color="auto"/>
              <w:right w:val="single" w:sz="8" w:space="0" w:color="auto"/>
            </w:tcBorders>
            <w:shd w:val="clear" w:color="000000" w:fill="D9D9D9"/>
            <w:vAlign w:val="center"/>
          </w:tcPr>
          <w:p w14:paraId="496B3A02" w14:textId="26DCBE35" w:rsidR="00B33488" w:rsidRDefault="00B33488" w:rsidP="002115EB">
            <w:pPr>
              <w:tabs>
                <w:tab w:val="right" w:pos="5760"/>
              </w:tabs>
              <w:rPr>
                <w:rFonts w:ascii="Arial" w:hAnsi="Arial"/>
                <w:b/>
                <w:sz w:val="14"/>
                <w:szCs w:val="10"/>
              </w:rPr>
            </w:pPr>
            <w:r w:rsidRPr="00E96552">
              <w:rPr>
                <w:rFonts w:ascii="Arial" w:hAnsi="Arial" w:cs="Arial"/>
              </w:rPr>
              <w:t>De-recognition on disposals</w:t>
            </w:r>
          </w:p>
        </w:tc>
        <w:tc>
          <w:tcPr>
            <w:tcW w:w="1355" w:type="dxa"/>
            <w:tcBorders>
              <w:top w:val="nil"/>
              <w:left w:val="nil"/>
              <w:bottom w:val="single" w:sz="8" w:space="0" w:color="auto"/>
              <w:right w:val="single" w:sz="8" w:space="0" w:color="auto"/>
            </w:tcBorders>
            <w:shd w:val="clear" w:color="000000" w:fill="D9D9D9"/>
            <w:vAlign w:val="center"/>
          </w:tcPr>
          <w:p w14:paraId="319D465B" w14:textId="55B40B45"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414" w:type="dxa"/>
            <w:tcBorders>
              <w:top w:val="nil"/>
              <w:left w:val="nil"/>
              <w:bottom w:val="single" w:sz="8" w:space="0" w:color="auto"/>
              <w:right w:val="single" w:sz="8" w:space="0" w:color="auto"/>
            </w:tcBorders>
            <w:shd w:val="clear" w:color="000000" w:fill="D9D9D9"/>
            <w:vAlign w:val="center"/>
          </w:tcPr>
          <w:p w14:paraId="79A0CC8C" w14:textId="4F124AA2" w:rsidR="00B33488" w:rsidRDefault="00B33488" w:rsidP="002115EB">
            <w:pPr>
              <w:tabs>
                <w:tab w:val="right" w:pos="5760"/>
              </w:tabs>
              <w:jc w:val="right"/>
              <w:rPr>
                <w:rFonts w:ascii="Arial" w:hAnsi="Arial"/>
                <w:b/>
                <w:sz w:val="14"/>
                <w:szCs w:val="10"/>
              </w:rPr>
            </w:pPr>
            <w:r w:rsidRPr="00E96552">
              <w:rPr>
                <w:rFonts w:ascii="Arial" w:hAnsi="Arial" w:cs="Arial"/>
              </w:rPr>
              <w:t>(8,828)</w:t>
            </w:r>
          </w:p>
        </w:tc>
        <w:tc>
          <w:tcPr>
            <w:tcW w:w="1426" w:type="dxa"/>
            <w:tcBorders>
              <w:top w:val="nil"/>
              <w:left w:val="nil"/>
              <w:bottom w:val="single" w:sz="8" w:space="0" w:color="auto"/>
              <w:right w:val="single" w:sz="8" w:space="0" w:color="auto"/>
            </w:tcBorders>
            <w:shd w:val="clear" w:color="000000" w:fill="D9D9D9"/>
            <w:vAlign w:val="center"/>
          </w:tcPr>
          <w:p w14:paraId="28D41F9B" w14:textId="489B385E" w:rsidR="00B33488" w:rsidRDefault="00B33488" w:rsidP="002115EB">
            <w:pPr>
              <w:tabs>
                <w:tab w:val="right" w:pos="5760"/>
              </w:tabs>
              <w:jc w:val="right"/>
              <w:rPr>
                <w:rFonts w:ascii="Arial" w:hAnsi="Arial"/>
                <w:b/>
                <w:sz w:val="14"/>
                <w:szCs w:val="10"/>
              </w:rPr>
            </w:pPr>
            <w:r w:rsidRPr="00E96552">
              <w:rPr>
                <w:rFonts w:ascii="Arial" w:hAnsi="Arial" w:cs="Arial"/>
              </w:rPr>
              <w:t>(893)</w:t>
            </w:r>
          </w:p>
        </w:tc>
        <w:tc>
          <w:tcPr>
            <w:tcW w:w="1549" w:type="dxa"/>
            <w:tcBorders>
              <w:top w:val="nil"/>
              <w:left w:val="nil"/>
              <w:bottom w:val="single" w:sz="8" w:space="0" w:color="auto"/>
              <w:right w:val="single" w:sz="8" w:space="0" w:color="auto"/>
            </w:tcBorders>
            <w:shd w:val="clear" w:color="000000" w:fill="D9D9D9"/>
            <w:vAlign w:val="center"/>
          </w:tcPr>
          <w:p w14:paraId="6CCD43D0" w14:textId="540E9934" w:rsidR="00B33488" w:rsidRDefault="00B33488" w:rsidP="002115EB">
            <w:pPr>
              <w:tabs>
                <w:tab w:val="right" w:pos="5760"/>
              </w:tabs>
              <w:jc w:val="right"/>
              <w:rPr>
                <w:rFonts w:ascii="Arial" w:hAnsi="Arial"/>
                <w:b/>
                <w:sz w:val="14"/>
                <w:szCs w:val="10"/>
              </w:rPr>
            </w:pPr>
            <w:r w:rsidRPr="00E96552">
              <w:rPr>
                <w:rFonts w:ascii="Arial" w:hAnsi="Arial" w:cs="Arial"/>
              </w:rPr>
              <w:t>0</w:t>
            </w:r>
          </w:p>
        </w:tc>
        <w:tc>
          <w:tcPr>
            <w:tcW w:w="1427" w:type="dxa"/>
            <w:tcBorders>
              <w:top w:val="nil"/>
              <w:left w:val="nil"/>
              <w:bottom w:val="single" w:sz="8" w:space="0" w:color="auto"/>
              <w:right w:val="single" w:sz="8" w:space="0" w:color="auto"/>
            </w:tcBorders>
            <w:shd w:val="clear" w:color="000000" w:fill="D9D9D9"/>
            <w:vAlign w:val="center"/>
          </w:tcPr>
          <w:p w14:paraId="19AF7FD8" w14:textId="720C2E57" w:rsidR="00B33488" w:rsidRDefault="00B33488" w:rsidP="002115EB">
            <w:pPr>
              <w:tabs>
                <w:tab w:val="right" w:pos="5760"/>
              </w:tabs>
              <w:jc w:val="right"/>
              <w:rPr>
                <w:rFonts w:ascii="Arial" w:hAnsi="Arial"/>
                <w:b/>
                <w:sz w:val="14"/>
                <w:szCs w:val="10"/>
              </w:rPr>
            </w:pPr>
            <w:r w:rsidRPr="00E96552">
              <w:rPr>
                <w:rFonts w:ascii="Arial" w:hAnsi="Arial" w:cs="Arial"/>
              </w:rPr>
              <w:t>(9,720)</w:t>
            </w:r>
          </w:p>
        </w:tc>
      </w:tr>
      <w:tr w:rsidR="00B33488" w14:paraId="3F239CCC" w14:textId="77777777">
        <w:tc>
          <w:tcPr>
            <w:tcW w:w="2862" w:type="dxa"/>
            <w:tcBorders>
              <w:top w:val="single" w:sz="8" w:space="0" w:color="auto"/>
              <w:left w:val="single" w:sz="8" w:space="0" w:color="auto"/>
              <w:bottom w:val="single" w:sz="4" w:space="0" w:color="auto"/>
              <w:right w:val="single" w:sz="8" w:space="0" w:color="auto"/>
            </w:tcBorders>
            <w:shd w:val="clear" w:color="000000" w:fill="D9D9D9"/>
            <w:vAlign w:val="center"/>
          </w:tcPr>
          <w:p w14:paraId="2BAECB08" w14:textId="416384EA" w:rsidR="00B33488" w:rsidRDefault="00B33488" w:rsidP="002115EB">
            <w:pPr>
              <w:tabs>
                <w:tab w:val="right" w:pos="5760"/>
              </w:tabs>
              <w:rPr>
                <w:rFonts w:ascii="Arial" w:hAnsi="Arial"/>
                <w:b/>
                <w:sz w:val="14"/>
                <w:szCs w:val="10"/>
              </w:rPr>
            </w:pPr>
            <w:r w:rsidRPr="00E96552">
              <w:rPr>
                <w:rFonts w:ascii="Arial" w:hAnsi="Arial" w:cs="Arial"/>
                <w:b/>
                <w:bCs/>
              </w:rPr>
              <w:t>At 31 March 2024</w:t>
            </w:r>
          </w:p>
        </w:tc>
        <w:tc>
          <w:tcPr>
            <w:tcW w:w="1355" w:type="dxa"/>
            <w:tcBorders>
              <w:top w:val="single" w:sz="8" w:space="0" w:color="auto"/>
              <w:left w:val="nil"/>
              <w:bottom w:val="single" w:sz="4" w:space="0" w:color="auto"/>
              <w:right w:val="single" w:sz="8" w:space="0" w:color="auto"/>
            </w:tcBorders>
            <w:shd w:val="clear" w:color="000000" w:fill="D9D9D9"/>
            <w:vAlign w:val="center"/>
          </w:tcPr>
          <w:p w14:paraId="6BAFB1AB" w14:textId="2BA2C3C7" w:rsidR="00B33488" w:rsidRDefault="00B33488" w:rsidP="002115EB">
            <w:pPr>
              <w:tabs>
                <w:tab w:val="right" w:pos="5760"/>
              </w:tabs>
              <w:jc w:val="right"/>
              <w:rPr>
                <w:rFonts w:ascii="Arial" w:hAnsi="Arial"/>
                <w:b/>
                <w:sz w:val="14"/>
                <w:szCs w:val="10"/>
              </w:rPr>
            </w:pPr>
            <w:r w:rsidRPr="00E96552">
              <w:rPr>
                <w:rFonts w:ascii="Arial" w:hAnsi="Arial" w:cs="Arial"/>
                <w:b/>
                <w:bCs/>
              </w:rPr>
              <w:t>21</w:t>
            </w:r>
            <w:r>
              <w:rPr>
                <w:rFonts w:ascii="Arial" w:hAnsi="Arial" w:cs="Arial"/>
                <w:b/>
                <w:bCs/>
              </w:rPr>
              <w:t>8</w:t>
            </w:r>
            <w:r w:rsidRPr="00E96552">
              <w:rPr>
                <w:rFonts w:ascii="Arial" w:hAnsi="Arial" w:cs="Arial"/>
                <w:b/>
                <w:bCs/>
              </w:rPr>
              <w:t>,</w:t>
            </w:r>
            <w:r>
              <w:rPr>
                <w:rFonts w:ascii="Arial" w:hAnsi="Arial" w:cs="Arial"/>
                <w:b/>
                <w:bCs/>
              </w:rPr>
              <w:t>216</w:t>
            </w:r>
          </w:p>
        </w:tc>
        <w:tc>
          <w:tcPr>
            <w:tcW w:w="1414" w:type="dxa"/>
            <w:tcBorders>
              <w:top w:val="single" w:sz="8" w:space="0" w:color="auto"/>
              <w:left w:val="nil"/>
              <w:bottom w:val="single" w:sz="4" w:space="0" w:color="auto"/>
              <w:right w:val="single" w:sz="8" w:space="0" w:color="auto"/>
            </w:tcBorders>
            <w:shd w:val="clear" w:color="000000" w:fill="D9D9D9"/>
            <w:vAlign w:val="center"/>
          </w:tcPr>
          <w:p w14:paraId="4E3FDD10" w14:textId="35084D20" w:rsidR="00B33488" w:rsidRDefault="00B33488" w:rsidP="002115EB">
            <w:pPr>
              <w:tabs>
                <w:tab w:val="right" w:pos="5760"/>
              </w:tabs>
              <w:jc w:val="right"/>
              <w:rPr>
                <w:rFonts w:ascii="Arial" w:hAnsi="Arial"/>
                <w:b/>
                <w:sz w:val="14"/>
                <w:szCs w:val="10"/>
              </w:rPr>
            </w:pPr>
            <w:r w:rsidRPr="00E96552">
              <w:rPr>
                <w:rFonts w:ascii="Arial" w:hAnsi="Arial" w:cs="Arial"/>
                <w:b/>
                <w:bCs/>
              </w:rPr>
              <w:t>41,929</w:t>
            </w:r>
          </w:p>
        </w:tc>
        <w:tc>
          <w:tcPr>
            <w:tcW w:w="1426" w:type="dxa"/>
            <w:tcBorders>
              <w:top w:val="single" w:sz="8" w:space="0" w:color="auto"/>
              <w:left w:val="nil"/>
              <w:bottom w:val="single" w:sz="4" w:space="0" w:color="auto"/>
              <w:right w:val="single" w:sz="8" w:space="0" w:color="auto"/>
            </w:tcBorders>
            <w:shd w:val="clear" w:color="000000" w:fill="D9D9D9"/>
            <w:vAlign w:val="center"/>
          </w:tcPr>
          <w:p w14:paraId="0310970B" w14:textId="4432861F" w:rsidR="00B33488" w:rsidRDefault="00B33488" w:rsidP="002115EB">
            <w:pPr>
              <w:tabs>
                <w:tab w:val="right" w:pos="5760"/>
              </w:tabs>
              <w:jc w:val="right"/>
              <w:rPr>
                <w:rFonts w:ascii="Arial" w:hAnsi="Arial"/>
                <w:b/>
                <w:sz w:val="14"/>
                <w:szCs w:val="10"/>
              </w:rPr>
            </w:pPr>
            <w:r w:rsidRPr="00E96552">
              <w:rPr>
                <w:rFonts w:ascii="Arial" w:hAnsi="Arial" w:cs="Arial"/>
                <w:b/>
                <w:bCs/>
              </w:rPr>
              <w:t>11,050</w:t>
            </w:r>
          </w:p>
        </w:tc>
        <w:tc>
          <w:tcPr>
            <w:tcW w:w="1549" w:type="dxa"/>
            <w:tcBorders>
              <w:top w:val="single" w:sz="8" w:space="0" w:color="auto"/>
              <w:left w:val="nil"/>
              <w:bottom w:val="single" w:sz="4" w:space="0" w:color="auto"/>
              <w:right w:val="single" w:sz="8" w:space="0" w:color="auto"/>
            </w:tcBorders>
            <w:shd w:val="clear" w:color="000000" w:fill="D9D9D9"/>
            <w:vAlign w:val="center"/>
          </w:tcPr>
          <w:p w14:paraId="2E7F2783" w14:textId="5B803462" w:rsidR="00B33488" w:rsidRDefault="00B33488" w:rsidP="002115EB">
            <w:pPr>
              <w:tabs>
                <w:tab w:val="right" w:pos="5760"/>
              </w:tabs>
              <w:jc w:val="right"/>
              <w:rPr>
                <w:rFonts w:ascii="Arial" w:hAnsi="Arial"/>
                <w:b/>
                <w:sz w:val="14"/>
                <w:szCs w:val="10"/>
              </w:rPr>
            </w:pPr>
            <w:r>
              <w:rPr>
                <w:rFonts w:ascii="Arial" w:hAnsi="Arial" w:cs="Arial"/>
                <w:b/>
                <w:bCs/>
              </w:rPr>
              <w:t>10,609</w:t>
            </w:r>
          </w:p>
        </w:tc>
        <w:tc>
          <w:tcPr>
            <w:tcW w:w="1427" w:type="dxa"/>
            <w:tcBorders>
              <w:top w:val="single" w:sz="8" w:space="0" w:color="auto"/>
              <w:left w:val="nil"/>
              <w:bottom w:val="single" w:sz="4" w:space="0" w:color="auto"/>
              <w:right w:val="single" w:sz="8" w:space="0" w:color="auto"/>
            </w:tcBorders>
            <w:shd w:val="clear" w:color="000000" w:fill="D9D9D9"/>
            <w:vAlign w:val="center"/>
          </w:tcPr>
          <w:p w14:paraId="5F1B8E01" w14:textId="5792166A" w:rsidR="00B33488" w:rsidRDefault="00B33488" w:rsidP="002115EB">
            <w:pPr>
              <w:tabs>
                <w:tab w:val="right" w:pos="5760"/>
              </w:tabs>
              <w:jc w:val="right"/>
              <w:rPr>
                <w:rFonts w:ascii="Arial" w:hAnsi="Arial"/>
                <w:b/>
                <w:sz w:val="14"/>
                <w:szCs w:val="10"/>
              </w:rPr>
            </w:pPr>
            <w:r w:rsidRPr="00E96552">
              <w:rPr>
                <w:rFonts w:ascii="Arial" w:hAnsi="Arial" w:cs="Arial"/>
                <w:b/>
                <w:bCs/>
              </w:rPr>
              <w:t>2</w:t>
            </w:r>
            <w:r>
              <w:rPr>
                <w:rFonts w:ascii="Arial" w:hAnsi="Arial" w:cs="Arial"/>
                <w:b/>
                <w:bCs/>
              </w:rPr>
              <w:t>81</w:t>
            </w:r>
            <w:r w:rsidRPr="00E96552">
              <w:rPr>
                <w:rFonts w:ascii="Arial" w:hAnsi="Arial" w:cs="Arial"/>
                <w:b/>
                <w:bCs/>
              </w:rPr>
              <w:t>,</w:t>
            </w:r>
            <w:r>
              <w:rPr>
                <w:rFonts w:ascii="Arial" w:hAnsi="Arial" w:cs="Arial"/>
                <w:b/>
                <w:bCs/>
              </w:rPr>
              <w:t>803</w:t>
            </w:r>
          </w:p>
        </w:tc>
      </w:tr>
    </w:tbl>
    <w:p w14:paraId="446D5F78" w14:textId="77777777" w:rsidR="003B74DA" w:rsidRDefault="003B74DA" w:rsidP="003B74DA">
      <w:pPr>
        <w:tabs>
          <w:tab w:val="right" w:pos="5760"/>
        </w:tabs>
        <w:ind w:left="426"/>
        <w:rPr>
          <w:rFonts w:ascii="Arial" w:hAnsi="Arial"/>
          <w:b/>
          <w:sz w:val="14"/>
          <w:szCs w:val="10"/>
        </w:rPr>
      </w:pPr>
    </w:p>
    <w:p w14:paraId="00AA7C93" w14:textId="77777777" w:rsidR="002115EB" w:rsidRDefault="002115EB" w:rsidP="00701332">
      <w:pPr>
        <w:tabs>
          <w:tab w:val="right" w:pos="5760"/>
        </w:tabs>
        <w:rPr>
          <w:rFonts w:ascii="Arial" w:hAnsi="Arial"/>
          <w:sz w:val="22"/>
          <w:szCs w:val="22"/>
        </w:rPr>
      </w:pPr>
      <w:r>
        <w:rPr>
          <w:rFonts w:ascii="Arial" w:hAnsi="Arial"/>
          <w:sz w:val="22"/>
          <w:szCs w:val="22"/>
        </w:rPr>
        <w:t xml:space="preserve">       </w:t>
      </w:r>
    </w:p>
    <w:tbl>
      <w:tblPr>
        <w:tblStyle w:val="TableGrid"/>
        <w:tblW w:w="10051" w:type="dxa"/>
        <w:tblInd w:w="403" w:type="dxa"/>
        <w:tblLook w:val="04A0" w:firstRow="1" w:lastRow="0" w:firstColumn="1" w:lastColumn="0" w:noHBand="0" w:noVBand="1"/>
      </w:tblPr>
      <w:tblGrid>
        <w:gridCol w:w="13"/>
        <w:gridCol w:w="2835"/>
        <w:gridCol w:w="1417"/>
        <w:gridCol w:w="1418"/>
        <w:gridCol w:w="1417"/>
        <w:gridCol w:w="1559"/>
        <w:gridCol w:w="1392"/>
      </w:tblGrid>
      <w:tr w:rsidR="002115EB" w14:paraId="16A59326" w14:textId="77777777" w:rsidTr="004945AC">
        <w:tc>
          <w:tcPr>
            <w:tcW w:w="2848" w:type="dxa"/>
            <w:gridSpan w:val="2"/>
            <w:tcBorders>
              <w:top w:val="single" w:sz="8" w:space="0" w:color="auto"/>
              <w:left w:val="single" w:sz="8" w:space="0" w:color="auto"/>
              <w:bottom w:val="single" w:sz="8" w:space="0" w:color="auto"/>
              <w:right w:val="single" w:sz="8" w:space="0" w:color="auto"/>
            </w:tcBorders>
            <w:shd w:val="clear" w:color="000000" w:fill="D9D9D9"/>
            <w:vAlign w:val="center"/>
          </w:tcPr>
          <w:p w14:paraId="25A0C63A" w14:textId="54D2E9E7" w:rsidR="002115EB" w:rsidRDefault="002115EB" w:rsidP="002115EB">
            <w:pPr>
              <w:tabs>
                <w:tab w:val="right" w:pos="5760"/>
              </w:tabs>
              <w:rPr>
                <w:rFonts w:ascii="Arial" w:hAnsi="Arial"/>
                <w:sz w:val="22"/>
                <w:szCs w:val="22"/>
              </w:rPr>
            </w:pPr>
            <w:r w:rsidRPr="00E96552">
              <w:rPr>
                <w:rFonts w:ascii="Arial" w:hAnsi="Arial" w:cs="Arial"/>
                <w:b/>
                <w:bCs/>
              </w:rPr>
              <w:t>Accumulated Depreciation &amp; Impairment</w:t>
            </w:r>
          </w:p>
        </w:tc>
        <w:tc>
          <w:tcPr>
            <w:tcW w:w="1417" w:type="dxa"/>
            <w:tcBorders>
              <w:top w:val="single" w:sz="8" w:space="0" w:color="auto"/>
              <w:left w:val="nil"/>
              <w:bottom w:val="single" w:sz="8" w:space="0" w:color="auto"/>
              <w:right w:val="single" w:sz="8" w:space="0" w:color="auto"/>
            </w:tcBorders>
            <w:shd w:val="clear" w:color="000000" w:fill="D9D9D9"/>
            <w:vAlign w:val="center"/>
          </w:tcPr>
          <w:p w14:paraId="23E16A61" w14:textId="3A64223A" w:rsidR="002115EB" w:rsidRDefault="002115EB" w:rsidP="002115EB">
            <w:pPr>
              <w:tabs>
                <w:tab w:val="right" w:pos="5760"/>
              </w:tabs>
              <w:rPr>
                <w:rFonts w:ascii="Arial" w:hAnsi="Arial"/>
                <w:sz w:val="22"/>
                <w:szCs w:val="22"/>
              </w:rPr>
            </w:pPr>
            <w:r w:rsidRPr="00E96552">
              <w:rPr>
                <w:rFonts w:ascii="Arial" w:hAnsi="Arial" w:cs="Arial"/>
                <w:b/>
                <w:bCs/>
              </w:rPr>
              <w:t> </w:t>
            </w:r>
          </w:p>
        </w:tc>
        <w:tc>
          <w:tcPr>
            <w:tcW w:w="1418" w:type="dxa"/>
            <w:tcBorders>
              <w:top w:val="single" w:sz="8" w:space="0" w:color="auto"/>
              <w:left w:val="nil"/>
              <w:bottom w:val="single" w:sz="8" w:space="0" w:color="auto"/>
              <w:right w:val="single" w:sz="8" w:space="0" w:color="auto"/>
            </w:tcBorders>
            <w:shd w:val="clear" w:color="000000" w:fill="D9D9D9"/>
            <w:vAlign w:val="center"/>
          </w:tcPr>
          <w:p w14:paraId="19BAC469" w14:textId="2E81E6B6" w:rsidR="002115EB" w:rsidRDefault="002115EB" w:rsidP="002115EB">
            <w:pPr>
              <w:tabs>
                <w:tab w:val="right" w:pos="5760"/>
              </w:tabs>
              <w:rPr>
                <w:rFonts w:ascii="Arial" w:hAnsi="Arial"/>
                <w:sz w:val="22"/>
                <w:szCs w:val="22"/>
              </w:rPr>
            </w:pPr>
            <w:r w:rsidRPr="00E96552">
              <w:rPr>
                <w:rFonts w:ascii="Arial" w:hAnsi="Arial" w:cs="Arial"/>
                <w:b/>
                <w:bCs/>
              </w:rPr>
              <w:t> </w:t>
            </w:r>
          </w:p>
        </w:tc>
        <w:tc>
          <w:tcPr>
            <w:tcW w:w="1417" w:type="dxa"/>
            <w:tcBorders>
              <w:top w:val="single" w:sz="8" w:space="0" w:color="auto"/>
              <w:left w:val="nil"/>
              <w:bottom w:val="single" w:sz="8" w:space="0" w:color="auto"/>
              <w:right w:val="single" w:sz="8" w:space="0" w:color="auto"/>
            </w:tcBorders>
            <w:shd w:val="clear" w:color="000000" w:fill="D9D9D9"/>
            <w:vAlign w:val="center"/>
          </w:tcPr>
          <w:p w14:paraId="2D0DBA53" w14:textId="487C8D36" w:rsidR="002115EB" w:rsidRDefault="002115EB" w:rsidP="002115EB">
            <w:pPr>
              <w:tabs>
                <w:tab w:val="right" w:pos="5760"/>
              </w:tabs>
              <w:rPr>
                <w:rFonts w:ascii="Arial" w:hAnsi="Arial"/>
                <w:sz w:val="22"/>
                <w:szCs w:val="22"/>
              </w:rPr>
            </w:pPr>
            <w:r w:rsidRPr="00E96552">
              <w:rPr>
                <w:rFonts w:ascii="Arial" w:hAnsi="Arial" w:cs="Arial"/>
                <w:b/>
                <w:bCs/>
              </w:rPr>
              <w:t> </w:t>
            </w:r>
          </w:p>
        </w:tc>
        <w:tc>
          <w:tcPr>
            <w:tcW w:w="1559" w:type="dxa"/>
            <w:tcBorders>
              <w:top w:val="single" w:sz="8" w:space="0" w:color="auto"/>
              <w:left w:val="nil"/>
              <w:bottom w:val="single" w:sz="8" w:space="0" w:color="auto"/>
              <w:right w:val="single" w:sz="8" w:space="0" w:color="auto"/>
            </w:tcBorders>
            <w:shd w:val="clear" w:color="000000" w:fill="D9D9D9"/>
            <w:vAlign w:val="center"/>
          </w:tcPr>
          <w:p w14:paraId="02B1D540" w14:textId="6D423A30" w:rsidR="002115EB" w:rsidRDefault="002115EB" w:rsidP="002115EB">
            <w:pPr>
              <w:tabs>
                <w:tab w:val="right" w:pos="5760"/>
              </w:tabs>
              <w:rPr>
                <w:rFonts w:ascii="Arial" w:hAnsi="Arial"/>
                <w:sz w:val="22"/>
                <w:szCs w:val="22"/>
              </w:rPr>
            </w:pPr>
            <w:r w:rsidRPr="00E96552">
              <w:rPr>
                <w:rFonts w:ascii="Arial" w:hAnsi="Arial" w:cs="Arial"/>
                <w:b/>
                <w:bCs/>
              </w:rPr>
              <w:t> </w:t>
            </w:r>
          </w:p>
        </w:tc>
        <w:tc>
          <w:tcPr>
            <w:tcW w:w="1392" w:type="dxa"/>
            <w:tcBorders>
              <w:top w:val="single" w:sz="8" w:space="0" w:color="auto"/>
              <w:left w:val="nil"/>
              <w:bottom w:val="single" w:sz="8" w:space="0" w:color="auto"/>
              <w:right w:val="single" w:sz="8" w:space="0" w:color="auto"/>
            </w:tcBorders>
            <w:shd w:val="clear" w:color="000000" w:fill="D9D9D9"/>
            <w:vAlign w:val="center"/>
          </w:tcPr>
          <w:p w14:paraId="7B4EBC95" w14:textId="20BF4105" w:rsidR="002115EB" w:rsidRDefault="002115EB" w:rsidP="002115EB">
            <w:pPr>
              <w:tabs>
                <w:tab w:val="right" w:pos="5760"/>
              </w:tabs>
              <w:rPr>
                <w:rFonts w:ascii="Arial" w:hAnsi="Arial"/>
                <w:sz w:val="22"/>
                <w:szCs w:val="22"/>
              </w:rPr>
            </w:pPr>
            <w:r w:rsidRPr="00E96552">
              <w:rPr>
                <w:rFonts w:ascii="Arial" w:hAnsi="Arial" w:cs="Arial"/>
                <w:b/>
                <w:bCs/>
              </w:rPr>
              <w:t> </w:t>
            </w:r>
          </w:p>
        </w:tc>
      </w:tr>
      <w:tr w:rsidR="004945AC" w14:paraId="189C1C55" w14:textId="77777777" w:rsidTr="004945AC">
        <w:trPr>
          <w:gridBefore w:val="1"/>
          <w:wBefore w:w="13" w:type="dxa"/>
        </w:trPr>
        <w:tc>
          <w:tcPr>
            <w:tcW w:w="2835" w:type="dxa"/>
            <w:tcBorders>
              <w:top w:val="nil"/>
              <w:left w:val="single" w:sz="8" w:space="0" w:color="auto"/>
              <w:bottom w:val="single" w:sz="8" w:space="0" w:color="auto"/>
              <w:right w:val="single" w:sz="8" w:space="0" w:color="auto"/>
            </w:tcBorders>
            <w:shd w:val="clear" w:color="000000" w:fill="D9D9D9"/>
            <w:vAlign w:val="center"/>
          </w:tcPr>
          <w:p w14:paraId="690ADC50" w14:textId="642E20C6" w:rsidR="004945AC" w:rsidRDefault="004945AC" w:rsidP="002115EB">
            <w:pPr>
              <w:tabs>
                <w:tab w:val="right" w:pos="5760"/>
              </w:tabs>
              <w:rPr>
                <w:rFonts w:ascii="Arial" w:hAnsi="Arial"/>
                <w:sz w:val="22"/>
                <w:szCs w:val="22"/>
              </w:rPr>
            </w:pPr>
            <w:r w:rsidRPr="00E96552">
              <w:rPr>
                <w:rFonts w:ascii="Arial" w:hAnsi="Arial" w:cs="Arial"/>
              </w:rPr>
              <w:t>At 1 April 2023</w:t>
            </w:r>
          </w:p>
        </w:tc>
        <w:tc>
          <w:tcPr>
            <w:tcW w:w="1417" w:type="dxa"/>
            <w:tcBorders>
              <w:top w:val="nil"/>
              <w:left w:val="nil"/>
              <w:bottom w:val="single" w:sz="8" w:space="0" w:color="auto"/>
              <w:right w:val="single" w:sz="8" w:space="0" w:color="auto"/>
            </w:tcBorders>
            <w:shd w:val="clear" w:color="000000" w:fill="D9D9D9"/>
            <w:vAlign w:val="center"/>
          </w:tcPr>
          <w:p w14:paraId="60B2DC27" w14:textId="274744EA" w:rsidR="004945AC" w:rsidRDefault="004945AC" w:rsidP="002115EB">
            <w:pPr>
              <w:tabs>
                <w:tab w:val="right" w:pos="5760"/>
              </w:tabs>
              <w:jc w:val="right"/>
              <w:rPr>
                <w:rFonts w:ascii="Arial" w:hAnsi="Arial"/>
                <w:sz w:val="22"/>
                <w:szCs w:val="22"/>
              </w:rPr>
            </w:pPr>
            <w:r w:rsidRPr="00E96552">
              <w:rPr>
                <w:rFonts w:ascii="Arial" w:hAnsi="Arial" w:cs="Arial"/>
                <w:b/>
                <w:bCs/>
              </w:rPr>
              <w:t>(</w:t>
            </w:r>
            <w:r>
              <w:rPr>
                <w:rFonts w:ascii="Arial" w:hAnsi="Arial" w:cs="Arial"/>
                <w:b/>
                <w:bCs/>
              </w:rPr>
              <w:t>1</w:t>
            </w:r>
            <w:r w:rsidRPr="00E96552">
              <w:rPr>
                <w:rFonts w:ascii="Arial" w:hAnsi="Arial" w:cs="Arial"/>
                <w:b/>
                <w:bCs/>
              </w:rPr>
              <w:t>,</w:t>
            </w:r>
            <w:r>
              <w:rPr>
                <w:rFonts w:ascii="Arial" w:hAnsi="Arial" w:cs="Arial"/>
                <w:b/>
                <w:bCs/>
              </w:rPr>
              <w:t>950</w:t>
            </w:r>
            <w:r w:rsidRPr="00E96552">
              <w:rPr>
                <w:rFonts w:ascii="Arial" w:hAnsi="Arial" w:cs="Arial"/>
                <w:b/>
                <w:bCs/>
              </w:rPr>
              <w:t>)</w:t>
            </w:r>
          </w:p>
        </w:tc>
        <w:tc>
          <w:tcPr>
            <w:tcW w:w="1418" w:type="dxa"/>
            <w:tcBorders>
              <w:top w:val="nil"/>
              <w:left w:val="nil"/>
              <w:bottom w:val="single" w:sz="8" w:space="0" w:color="auto"/>
              <w:right w:val="single" w:sz="8" w:space="0" w:color="auto"/>
            </w:tcBorders>
            <w:shd w:val="clear" w:color="000000" w:fill="D9D9D9"/>
            <w:vAlign w:val="center"/>
          </w:tcPr>
          <w:p w14:paraId="48B49E02" w14:textId="48573E0E" w:rsidR="004945AC" w:rsidRDefault="004945AC" w:rsidP="002115EB">
            <w:pPr>
              <w:tabs>
                <w:tab w:val="right" w:pos="5760"/>
              </w:tabs>
              <w:jc w:val="right"/>
              <w:rPr>
                <w:rFonts w:ascii="Arial" w:hAnsi="Arial"/>
                <w:sz w:val="22"/>
                <w:szCs w:val="22"/>
              </w:rPr>
            </w:pPr>
            <w:r w:rsidRPr="00E96552">
              <w:rPr>
                <w:rFonts w:ascii="Arial" w:hAnsi="Arial" w:cs="Arial"/>
                <w:b/>
                <w:bCs/>
              </w:rPr>
              <w:t>(21,983)</w:t>
            </w:r>
          </w:p>
        </w:tc>
        <w:tc>
          <w:tcPr>
            <w:tcW w:w="1417" w:type="dxa"/>
            <w:tcBorders>
              <w:top w:val="nil"/>
              <w:left w:val="nil"/>
              <w:bottom w:val="single" w:sz="8" w:space="0" w:color="auto"/>
              <w:right w:val="single" w:sz="8" w:space="0" w:color="auto"/>
            </w:tcBorders>
            <w:shd w:val="clear" w:color="000000" w:fill="D9D9D9"/>
            <w:vAlign w:val="center"/>
          </w:tcPr>
          <w:p w14:paraId="541E8466" w14:textId="206DDB26" w:rsidR="004945AC" w:rsidRDefault="004945AC" w:rsidP="002115EB">
            <w:pPr>
              <w:tabs>
                <w:tab w:val="right" w:pos="5760"/>
              </w:tabs>
              <w:jc w:val="right"/>
              <w:rPr>
                <w:rFonts w:ascii="Arial" w:hAnsi="Arial"/>
                <w:sz w:val="22"/>
                <w:szCs w:val="22"/>
              </w:rPr>
            </w:pPr>
            <w:r w:rsidRPr="00E96552">
              <w:rPr>
                <w:rFonts w:ascii="Arial" w:hAnsi="Arial" w:cs="Arial"/>
                <w:b/>
                <w:bCs/>
              </w:rPr>
              <w:t>(5,027)</w:t>
            </w:r>
          </w:p>
        </w:tc>
        <w:tc>
          <w:tcPr>
            <w:tcW w:w="1559" w:type="dxa"/>
            <w:tcBorders>
              <w:top w:val="nil"/>
              <w:left w:val="nil"/>
              <w:bottom w:val="single" w:sz="8" w:space="0" w:color="auto"/>
              <w:right w:val="single" w:sz="8" w:space="0" w:color="auto"/>
            </w:tcBorders>
            <w:shd w:val="clear" w:color="000000" w:fill="D9D9D9"/>
            <w:vAlign w:val="center"/>
          </w:tcPr>
          <w:p w14:paraId="31CA1672" w14:textId="24B0DD6E" w:rsidR="004945AC" w:rsidRDefault="004945AC" w:rsidP="002115EB">
            <w:pPr>
              <w:tabs>
                <w:tab w:val="right" w:pos="5760"/>
              </w:tabs>
              <w:jc w:val="right"/>
              <w:rPr>
                <w:rFonts w:ascii="Arial" w:hAnsi="Arial"/>
                <w:sz w:val="22"/>
                <w:szCs w:val="22"/>
              </w:rPr>
            </w:pPr>
            <w:r w:rsidRPr="00E96552">
              <w:rPr>
                <w:rFonts w:ascii="Arial" w:hAnsi="Arial" w:cs="Arial"/>
                <w:b/>
                <w:bCs/>
              </w:rPr>
              <w:t>0</w:t>
            </w:r>
          </w:p>
        </w:tc>
        <w:tc>
          <w:tcPr>
            <w:tcW w:w="1392" w:type="dxa"/>
            <w:tcBorders>
              <w:top w:val="nil"/>
              <w:left w:val="nil"/>
              <w:bottom w:val="single" w:sz="8" w:space="0" w:color="auto"/>
              <w:right w:val="single" w:sz="8" w:space="0" w:color="auto"/>
            </w:tcBorders>
            <w:shd w:val="clear" w:color="000000" w:fill="D9D9D9"/>
            <w:vAlign w:val="center"/>
          </w:tcPr>
          <w:p w14:paraId="30CBE1A4" w14:textId="111996F2" w:rsidR="004945AC" w:rsidRDefault="004945AC" w:rsidP="002115EB">
            <w:pPr>
              <w:tabs>
                <w:tab w:val="right" w:pos="5760"/>
              </w:tabs>
              <w:jc w:val="right"/>
              <w:rPr>
                <w:rFonts w:ascii="Arial" w:hAnsi="Arial"/>
                <w:sz w:val="22"/>
                <w:szCs w:val="22"/>
              </w:rPr>
            </w:pPr>
            <w:r w:rsidRPr="00E96552">
              <w:rPr>
                <w:rFonts w:ascii="Arial" w:hAnsi="Arial" w:cs="Arial"/>
                <w:b/>
                <w:bCs/>
              </w:rPr>
              <w:t>(</w:t>
            </w:r>
            <w:r>
              <w:rPr>
                <w:rFonts w:ascii="Arial" w:hAnsi="Arial" w:cs="Arial"/>
                <w:b/>
                <w:bCs/>
              </w:rPr>
              <w:t>28</w:t>
            </w:r>
            <w:r w:rsidRPr="00E96552">
              <w:rPr>
                <w:rFonts w:ascii="Arial" w:hAnsi="Arial" w:cs="Arial"/>
                <w:b/>
                <w:bCs/>
              </w:rPr>
              <w:t>,</w:t>
            </w:r>
            <w:r>
              <w:rPr>
                <w:rFonts w:ascii="Arial" w:hAnsi="Arial" w:cs="Arial"/>
                <w:b/>
                <w:bCs/>
              </w:rPr>
              <w:t>960</w:t>
            </w:r>
            <w:r w:rsidRPr="00E96552">
              <w:rPr>
                <w:rFonts w:ascii="Arial" w:hAnsi="Arial" w:cs="Arial"/>
                <w:b/>
                <w:bCs/>
              </w:rPr>
              <w:t>)</w:t>
            </w:r>
          </w:p>
        </w:tc>
      </w:tr>
      <w:tr w:rsidR="004945AC" w14:paraId="48D3AFA4" w14:textId="77777777" w:rsidTr="004945AC">
        <w:trPr>
          <w:gridBefore w:val="1"/>
          <w:wBefore w:w="13" w:type="dxa"/>
        </w:trPr>
        <w:tc>
          <w:tcPr>
            <w:tcW w:w="2835" w:type="dxa"/>
            <w:tcBorders>
              <w:top w:val="nil"/>
              <w:left w:val="single" w:sz="8" w:space="0" w:color="auto"/>
              <w:bottom w:val="single" w:sz="8" w:space="0" w:color="auto"/>
              <w:right w:val="single" w:sz="8" w:space="0" w:color="auto"/>
            </w:tcBorders>
            <w:shd w:val="clear" w:color="000000" w:fill="D9D9D9"/>
            <w:vAlign w:val="center"/>
          </w:tcPr>
          <w:p w14:paraId="37F7B4DB" w14:textId="01688557" w:rsidR="004945AC" w:rsidRDefault="004945AC" w:rsidP="002115EB">
            <w:pPr>
              <w:tabs>
                <w:tab w:val="right" w:pos="5760"/>
              </w:tabs>
              <w:rPr>
                <w:rFonts w:ascii="Arial" w:hAnsi="Arial"/>
                <w:sz w:val="22"/>
                <w:szCs w:val="22"/>
              </w:rPr>
            </w:pPr>
            <w:r w:rsidRPr="00E96552">
              <w:rPr>
                <w:rFonts w:ascii="Arial" w:hAnsi="Arial" w:cs="Arial"/>
              </w:rPr>
              <w:t>Depreciation charge</w:t>
            </w:r>
          </w:p>
        </w:tc>
        <w:tc>
          <w:tcPr>
            <w:tcW w:w="1417" w:type="dxa"/>
            <w:tcBorders>
              <w:top w:val="nil"/>
              <w:left w:val="nil"/>
              <w:bottom w:val="single" w:sz="8" w:space="0" w:color="auto"/>
              <w:right w:val="single" w:sz="8" w:space="0" w:color="auto"/>
            </w:tcBorders>
            <w:shd w:val="clear" w:color="000000" w:fill="D9D9D9"/>
            <w:vAlign w:val="center"/>
          </w:tcPr>
          <w:p w14:paraId="34E21671" w14:textId="7CA080C5" w:rsidR="004945AC" w:rsidRDefault="004945AC" w:rsidP="002115EB">
            <w:pPr>
              <w:tabs>
                <w:tab w:val="right" w:pos="5760"/>
              </w:tabs>
              <w:jc w:val="right"/>
              <w:rPr>
                <w:rFonts w:ascii="Arial" w:hAnsi="Arial"/>
                <w:sz w:val="22"/>
                <w:szCs w:val="22"/>
              </w:rPr>
            </w:pPr>
            <w:r w:rsidRPr="00E96552">
              <w:rPr>
                <w:rFonts w:ascii="Arial" w:hAnsi="Arial" w:cs="Arial"/>
              </w:rPr>
              <w:t>(</w:t>
            </w:r>
            <w:r>
              <w:rPr>
                <w:rFonts w:ascii="Arial" w:hAnsi="Arial" w:cs="Arial"/>
              </w:rPr>
              <w:t>11</w:t>
            </w:r>
            <w:r w:rsidRPr="00E96552">
              <w:rPr>
                <w:rFonts w:ascii="Arial" w:hAnsi="Arial" w:cs="Arial"/>
              </w:rPr>
              <w:t>,</w:t>
            </w:r>
            <w:r>
              <w:rPr>
                <w:rFonts w:ascii="Arial" w:hAnsi="Arial" w:cs="Arial"/>
              </w:rPr>
              <w:t>051</w:t>
            </w:r>
            <w:r w:rsidRPr="00E96552">
              <w:rPr>
                <w:rFonts w:ascii="Arial" w:hAnsi="Arial" w:cs="Arial"/>
              </w:rPr>
              <w:t>)</w:t>
            </w:r>
          </w:p>
        </w:tc>
        <w:tc>
          <w:tcPr>
            <w:tcW w:w="1418" w:type="dxa"/>
            <w:tcBorders>
              <w:top w:val="nil"/>
              <w:left w:val="nil"/>
              <w:bottom w:val="single" w:sz="8" w:space="0" w:color="auto"/>
              <w:right w:val="single" w:sz="8" w:space="0" w:color="auto"/>
            </w:tcBorders>
            <w:shd w:val="clear" w:color="000000" w:fill="D9D9D9"/>
            <w:vAlign w:val="center"/>
          </w:tcPr>
          <w:p w14:paraId="6083C191" w14:textId="22DC1CEF" w:rsidR="004945AC" w:rsidRDefault="004945AC" w:rsidP="002115EB">
            <w:pPr>
              <w:tabs>
                <w:tab w:val="right" w:pos="5760"/>
              </w:tabs>
              <w:jc w:val="right"/>
              <w:rPr>
                <w:rFonts w:ascii="Arial" w:hAnsi="Arial"/>
                <w:sz w:val="22"/>
                <w:szCs w:val="22"/>
              </w:rPr>
            </w:pPr>
            <w:r w:rsidRPr="00E96552">
              <w:rPr>
                <w:rFonts w:ascii="Arial" w:hAnsi="Arial" w:cs="Arial"/>
              </w:rPr>
              <w:t>(8,661)</w:t>
            </w:r>
          </w:p>
        </w:tc>
        <w:tc>
          <w:tcPr>
            <w:tcW w:w="1417" w:type="dxa"/>
            <w:tcBorders>
              <w:top w:val="nil"/>
              <w:left w:val="nil"/>
              <w:bottom w:val="single" w:sz="8" w:space="0" w:color="auto"/>
              <w:right w:val="single" w:sz="8" w:space="0" w:color="auto"/>
            </w:tcBorders>
            <w:shd w:val="clear" w:color="000000" w:fill="D9D9D9"/>
            <w:vAlign w:val="center"/>
          </w:tcPr>
          <w:p w14:paraId="39A5D3AF" w14:textId="76ED3C2E" w:rsidR="004945AC" w:rsidRDefault="004945AC" w:rsidP="002115EB">
            <w:pPr>
              <w:tabs>
                <w:tab w:val="right" w:pos="5760"/>
              </w:tabs>
              <w:jc w:val="right"/>
              <w:rPr>
                <w:rFonts w:ascii="Arial" w:hAnsi="Arial"/>
                <w:sz w:val="22"/>
                <w:szCs w:val="22"/>
              </w:rPr>
            </w:pPr>
            <w:r w:rsidRPr="00E96552">
              <w:rPr>
                <w:rFonts w:ascii="Arial" w:hAnsi="Arial" w:cs="Arial"/>
              </w:rPr>
              <w:t>(1,158)</w:t>
            </w:r>
          </w:p>
        </w:tc>
        <w:tc>
          <w:tcPr>
            <w:tcW w:w="1559" w:type="dxa"/>
            <w:tcBorders>
              <w:top w:val="nil"/>
              <w:left w:val="nil"/>
              <w:bottom w:val="single" w:sz="8" w:space="0" w:color="auto"/>
              <w:right w:val="single" w:sz="8" w:space="0" w:color="auto"/>
            </w:tcBorders>
            <w:shd w:val="clear" w:color="000000" w:fill="D9D9D9"/>
            <w:vAlign w:val="center"/>
          </w:tcPr>
          <w:p w14:paraId="29B6ABA7" w14:textId="2C53AF77" w:rsidR="004945AC" w:rsidRDefault="004945AC" w:rsidP="002115EB">
            <w:pPr>
              <w:tabs>
                <w:tab w:val="right" w:pos="5760"/>
              </w:tabs>
              <w:jc w:val="right"/>
              <w:rPr>
                <w:rFonts w:ascii="Arial" w:hAnsi="Arial"/>
                <w:sz w:val="22"/>
                <w:szCs w:val="22"/>
              </w:rPr>
            </w:pPr>
            <w:r w:rsidRPr="00E96552">
              <w:rPr>
                <w:rFonts w:ascii="Arial" w:hAnsi="Arial" w:cs="Arial"/>
              </w:rPr>
              <w:t>0</w:t>
            </w:r>
          </w:p>
        </w:tc>
        <w:tc>
          <w:tcPr>
            <w:tcW w:w="1392" w:type="dxa"/>
            <w:tcBorders>
              <w:top w:val="nil"/>
              <w:left w:val="nil"/>
              <w:bottom w:val="single" w:sz="8" w:space="0" w:color="auto"/>
              <w:right w:val="single" w:sz="8" w:space="0" w:color="auto"/>
            </w:tcBorders>
            <w:shd w:val="clear" w:color="000000" w:fill="D9D9D9"/>
            <w:vAlign w:val="center"/>
          </w:tcPr>
          <w:p w14:paraId="5FE3FFA8" w14:textId="2A305D0C" w:rsidR="004945AC" w:rsidRDefault="004945AC" w:rsidP="002115EB">
            <w:pPr>
              <w:tabs>
                <w:tab w:val="right" w:pos="5760"/>
              </w:tabs>
              <w:jc w:val="right"/>
              <w:rPr>
                <w:rFonts w:ascii="Arial" w:hAnsi="Arial"/>
                <w:sz w:val="22"/>
                <w:szCs w:val="22"/>
              </w:rPr>
            </w:pPr>
            <w:r w:rsidRPr="00E96552">
              <w:rPr>
                <w:rFonts w:ascii="Arial" w:hAnsi="Arial" w:cs="Arial"/>
                <w:b/>
                <w:bCs/>
              </w:rPr>
              <w:t>(</w:t>
            </w:r>
            <w:r>
              <w:rPr>
                <w:rFonts w:ascii="Arial" w:hAnsi="Arial" w:cs="Arial"/>
                <w:b/>
                <w:bCs/>
              </w:rPr>
              <w:t>20</w:t>
            </w:r>
            <w:r w:rsidRPr="00E96552">
              <w:rPr>
                <w:rFonts w:ascii="Arial" w:hAnsi="Arial" w:cs="Arial"/>
                <w:b/>
                <w:bCs/>
              </w:rPr>
              <w:t>,</w:t>
            </w:r>
            <w:r>
              <w:rPr>
                <w:rFonts w:ascii="Arial" w:hAnsi="Arial" w:cs="Arial"/>
                <w:b/>
                <w:bCs/>
              </w:rPr>
              <w:t>870</w:t>
            </w:r>
            <w:r w:rsidRPr="00E96552">
              <w:rPr>
                <w:rFonts w:ascii="Arial" w:hAnsi="Arial" w:cs="Arial"/>
                <w:b/>
                <w:bCs/>
              </w:rPr>
              <w:t>)</w:t>
            </w:r>
          </w:p>
        </w:tc>
      </w:tr>
      <w:tr w:rsidR="004945AC" w14:paraId="6C319F83" w14:textId="77777777" w:rsidTr="004945AC">
        <w:trPr>
          <w:gridBefore w:val="1"/>
          <w:wBefore w:w="13" w:type="dxa"/>
        </w:trPr>
        <w:tc>
          <w:tcPr>
            <w:tcW w:w="2835" w:type="dxa"/>
            <w:tcBorders>
              <w:top w:val="nil"/>
              <w:left w:val="single" w:sz="8" w:space="0" w:color="auto"/>
              <w:bottom w:val="single" w:sz="8" w:space="0" w:color="auto"/>
              <w:right w:val="single" w:sz="8" w:space="0" w:color="auto"/>
            </w:tcBorders>
            <w:shd w:val="clear" w:color="000000" w:fill="D9D9D9"/>
            <w:vAlign w:val="center"/>
          </w:tcPr>
          <w:p w14:paraId="7C05F7B9" w14:textId="447CDB87" w:rsidR="004945AC" w:rsidRDefault="004945AC" w:rsidP="002115EB">
            <w:pPr>
              <w:tabs>
                <w:tab w:val="right" w:pos="5760"/>
              </w:tabs>
              <w:rPr>
                <w:rFonts w:ascii="Arial" w:hAnsi="Arial"/>
                <w:sz w:val="22"/>
                <w:szCs w:val="22"/>
              </w:rPr>
            </w:pPr>
            <w:r w:rsidRPr="00E96552">
              <w:rPr>
                <w:rFonts w:ascii="Arial" w:hAnsi="Arial" w:cs="Arial"/>
              </w:rPr>
              <w:t>Depreciation written out to revaluation reserve</w:t>
            </w:r>
          </w:p>
        </w:tc>
        <w:tc>
          <w:tcPr>
            <w:tcW w:w="1417" w:type="dxa"/>
            <w:tcBorders>
              <w:top w:val="nil"/>
              <w:left w:val="nil"/>
              <w:bottom w:val="single" w:sz="8" w:space="0" w:color="auto"/>
              <w:right w:val="single" w:sz="8" w:space="0" w:color="auto"/>
            </w:tcBorders>
            <w:shd w:val="clear" w:color="000000" w:fill="D9D9D9"/>
            <w:vAlign w:val="center"/>
          </w:tcPr>
          <w:p w14:paraId="0BFD698C" w14:textId="53CC67C7" w:rsidR="004945AC" w:rsidRDefault="004945AC" w:rsidP="002115EB">
            <w:pPr>
              <w:tabs>
                <w:tab w:val="right" w:pos="5760"/>
              </w:tabs>
              <w:jc w:val="right"/>
              <w:rPr>
                <w:rFonts w:ascii="Arial" w:hAnsi="Arial"/>
                <w:sz w:val="22"/>
                <w:szCs w:val="22"/>
              </w:rPr>
            </w:pPr>
            <w:r>
              <w:rPr>
                <w:rFonts w:ascii="Arial" w:hAnsi="Arial" w:cs="Arial"/>
              </w:rPr>
              <w:t>10</w:t>
            </w:r>
            <w:r w:rsidRPr="00E96552">
              <w:rPr>
                <w:rFonts w:ascii="Arial" w:hAnsi="Arial" w:cs="Arial"/>
              </w:rPr>
              <w:t>,</w:t>
            </w:r>
            <w:r>
              <w:rPr>
                <w:rFonts w:ascii="Arial" w:hAnsi="Arial" w:cs="Arial"/>
              </w:rPr>
              <w:t>256</w:t>
            </w:r>
          </w:p>
        </w:tc>
        <w:tc>
          <w:tcPr>
            <w:tcW w:w="1418" w:type="dxa"/>
            <w:tcBorders>
              <w:top w:val="nil"/>
              <w:left w:val="nil"/>
              <w:bottom w:val="single" w:sz="8" w:space="0" w:color="auto"/>
              <w:right w:val="single" w:sz="8" w:space="0" w:color="auto"/>
            </w:tcBorders>
            <w:shd w:val="clear" w:color="000000" w:fill="D9D9D9"/>
            <w:vAlign w:val="center"/>
          </w:tcPr>
          <w:p w14:paraId="13C6E4B9" w14:textId="5A85B1D3" w:rsidR="004945AC" w:rsidRDefault="004945AC" w:rsidP="002115EB">
            <w:pPr>
              <w:tabs>
                <w:tab w:val="right" w:pos="5760"/>
              </w:tabs>
              <w:jc w:val="right"/>
              <w:rPr>
                <w:rFonts w:ascii="Arial" w:hAnsi="Arial"/>
                <w:sz w:val="22"/>
                <w:szCs w:val="22"/>
              </w:rPr>
            </w:pPr>
            <w:r w:rsidRPr="00E96552">
              <w:rPr>
                <w:rFonts w:ascii="Arial" w:hAnsi="Arial" w:cs="Arial"/>
              </w:rPr>
              <w:t>0</w:t>
            </w:r>
          </w:p>
        </w:tc>
        <w:tc>
          <w:tcPr>
            <w:tcW w:w="1417" w:type="dxa"/>
            <w:tcBorders>
              <w:top w:val="nil"/>
              <w:left w:val="nil"/>
              <w:bottom w:val="single" w:sz="8" w:space="0" w:color="auto"/>
              <w:right w:val="single" w:sz="8" w:space="0" w:color="auto"/>
            </w:tcBorders>
            <w:shd w:val="clear" w:color="000000" w:fill="D9D9D9"/>
            <w:vAlign w:val="center"/>
          </w:tcPr>
          <w:p w14:paraId="50413DE9" w14:textId="6D513B30" w:rsidR="004945AC" w:rsidRDefault="004945AC" w:rsidP="002115EB">
            <w:pPr>
              <w:tabs>
                <w:tab w:val="right" w:pos="5760"/>
              </w:tabs>
              <w:jc w:val="right"/>
              <w:rPr>
                <w:rFonts w:ascii="Arial" w:hAnsi="Arial"/>
                <w:sz w:val="22"/>
                <w:szCs w:val="22"/>
              </w:rPr>
            </w:pPr>
            <w:r w:rsidRPr="00E96552">
              <w:rPr>
                <w:rFonts w:ascii="Arial" w:hAnsi="Arial" w:cs="Arial"/>
              </w:rPr>
              <w:t>0</w:t>
            </w:r>
          </w:p>
        </w:tc>
        <w:tc>
          <w:tcPr>
            <w:tcW w:w="1559" w:type="dxa"/>
            <w:tcBorders>
              <w:top w:val="nil"/>
              <w:left w:val="nil"/>
              <w:bottom w:val="single" w:sz="8" w:space="0" w:color="auto"/>
              <w:right w:val="single" w:sz="8" w:space="0" w:color="auto"/>
            </w:tcBorders>
            <w:shd w:val="clear" w:color="000000" w:fill="D9D9D9"/>
            <w:vAlign w:val="center"/>
          </w:tcPr>
          <w:p w14:paraId="71F0F007" w14:textId="417C77BE" w:rsidR="004945AC" w:rsidRDefault="004945AC" w:rsidP="002115EB">
            <w:pPr>
              <w:tabs>
                <w:tab w:val="right" w:pos="5760"/>
              </w:tabs>
              <w:jc w:val="right"/>
              <w:rPr>
                <w:rFonts w:ascii="Arial" w:hAnsi="Arial"/>
                <w:sz w:val="22"/>
                <w:szCs w:val="22"/>
              </w:rPr>
            </w:pPr>
            <w:r w:rsidRPr="00E96552">
              <w:rPr>
                <w:rFonts w:ascii="Arial" w:hAnsi="Arial" w:cs="Arial"/>
              </w:rPr>
              <w:t>0</w:t>
            </w:r>
          </w:p>
        </w:tc>
        <w:tc>
          <w:tcPr>
            <w:tcW w:w="1392" w:type="dxa"/>
            <w:tcBorders>
              <w:top w:val="nil"/>
              <w:left w:val="nil"/>
              <w:bottom w:val="single" w:sz="8" w:space="0" w:color="auto"/>
              <w:right w:val="single" w:sz="8" w:space="0" w:color="auto"/>
            </w:tcBorders>
            <w:shd w:val="clear" w:color="000000" w:fill="D9D9D9"/>
            <w:vAlign w:val="center"/>
          </w:tcPr>
          <w:p w14:paraId="43353B52" w14:textId="34F3B1CF" w:rsidR="004945AC" w:rsidRDefault="004945AC" w:rsidP="002115EB">
            <w:pPr>
              <w:tabs>
                <w:tab w:val="right" w:pos="5760"/>
              </w:tabs>
              <w:jc w:val="right"/>
              <w:rPr>
                <w:rFonts w:ascii="Arial" w:hAnsi="Arial"/>
                <w:sz w:val="22"/>
                <w:szCs w:val="22"/>
              </w:rPr>
            </w:pPr>
            <w:r>
              <w:rPr>
                <w:rFonts w:ascii="Arial" w:hAnsi="Arial" w:cs="Arial"/>
                <w:b/>
                <w:bCs/>
              </w:rPr>
              <w:t>10,256</w:t>
            </w:r>
          </w:p>
        </w:tc>
      </w:tr>
      <w:tr w:rsidR="004945AC" w14:paraId="1F159834" w14:textId="77777777" w:rsidTr="004945AC">
        <w:trPr>
          <w:gridBefore w:val="1"/>
          <w:wBefore w:w="13" w:type="dxa"/>
        </w:trPr>
        <w:tc>
          <w:tcPr>
            <w:tcW w:w="2835" w:type="dxa"/>
            <w:tcBorders>
              <w:top w:val="nil"/>
              <w:left w:val="single" w:sz="8" w:space="0" w:color="auto"/>
              <w:bottom w:val="single" w:sz="8" w:space="0" w:color="auto"/>
              <w:right w:val="single" w:sz="8" w:space="0" w:color="auto"/>
            </w:tcBorders>
            <w:shd w:val="clear" w:color="000000" w:fill="D9D9D9"/>
            <w:vAlign w:val="center"/>
          </w:tcPr>
          <w:p w14:paraId="46C165EA" w14:textId="387BAFE5" w:rsidR="004945AC" w:rsidRDefault="004945AC" w:rsidP="002115EB">
            <w:pPr>
              <w:tabs>
                <w:tab w:val="right" w:pos="5760"/>
              </w:tabs>
              <w:rPr>
                <w:rFonts w:ascii="Arial" w:hAnsi="Arial"/>
                <w:sz w:val="22"/>
                <w:szCs w:val="22"/>
              </w:rPr>
            </w:pPr>
            <w:r w:rsidRPr="009A14B6">
              <w:rPr>
                <w:rFonts w:ascii="Arial" w:hAnsi="Arial" w:cs="Arial"/>
              </w:rPr>
              <w:t>Depreciation written out to surplus/deficit on the provision of services</w:t>
            </w:r>
          </w:p>
        </w:tc>
        <w:tc>
          <w:tcPr>
            <w:tcW w:w="1417" w:type="dxa"/>
            <w:tcBorders>
              <w:top w:val="nil"/>
              <w:left w:val="nil"/>
              <w:bottom w:val="single" w:sz="8" w:space="0" w:color="auto"/>
              <w:right w:val="single" w:sz="8" w:space="0" w:color="auto"/>
            </w:tcBorders>
            <w:shd w:val="clear" w:color="000000" w:fill="D9D9D9"/>
            <w:vAlign w:val="center"/>
          </w:tcPr>
          <w:p w14:paraId="046FAFA2" w14:textId="07B9BD37" w:rsidR="004945AC" w:rsidRDefault="004945AC" w:rsidP="002115EB">
            <w:pPr>
              <w:tabs>
                <w:tab w:val="right" w:pos="5760"/>
              </w:tabs>
              <w:jc w:val="right"/>
              <w:rPr>
                <w:rFonts w:ascii="Arial" w:hAnsi="Arial"/>
                <w:sz w:val="22"/>
                <w:szCs w:val="22"/>
              </w:rPr>
            </w:pPr>
            <w:r>
              <w:rPr>
                <w:rFonts w:ascii="Arial" w:hAnsi="Arial" w:cs="Arial"/>
              </w:rPr>
              <w:t>0</w:t>
            </w:r>
          </w:p>
        </w:tc>
        <w:tc>
          <w:tcPr>
            <w:tcW w:w="1418" w:type="dxa"/>
            <w:tcBorders>
              <w:top w:val="nil"/>
              <w:left w:val="nil"/>
              <w:bottom w:val="single" w:sz="8" w:space="0" w:color="auto"/>
              <w:right w:val="single" w:sz="8" w:space="0" w:color="auto"/>
            </w:tcBorders>
            <w:shd w:val="clear" w:color="000000" w:fill="D9D9D9"/>
            <w:vAlign w:val="center"/>
          </w:tcPr>
          <w:p w14:paraId="4BB1835D" w14:textId="43065EDB" w:rsidR="004945AC" w:rsidRDefault="004945AC" w:rsidP="002115EB">
            <w:pPr>
              <w:tabs>
                <w:tab w:val="right" w:pos="5760"/>
              </w:tabs>
              <w:jc w:val="right"/>
              <w:rPr>
                <w:rFonts w:ascii="Arial" w:hAnsi="Arial"/>
                <w:sz w:val="22"/>
                <w:szCs w:val="22"/>
              </w:rPr>
            </w:pPr>
            <w:r>
              <w:rPr>
                <w:rFonts w:ascii="Arial" w:hAnsi="Arial" w:cs="Arial"/>
              </w:rPr>
              <w:t>0</w:t>
            </w:r>
          </w:p>
        </w:tc>
        <w:tc>
          <w:tcPr>
            <w:tcW w:w="1417" w:type="dxa"/>
            <w:tcBorders>
              <w:top w:val="nil"/>
              <w:left w:val="nil"/>
              <w:bottom w:val="single" w:sz="8" w:space="0" w:color="auto"/>
              <w:right w:val="single" w:sz="8" w:space="0" w:color="auto"/>
            </w:tcBorders>
            <w:shd w:val="clear" w:color="000000" w:fill="D9D9D9"/>
            <w:vAlign w:val="center"/>
          </w:tcPr>
          <w:p w14:paraId="74095263" w14:textId="370DCCA4" w:rsidR="004945AC" w:rsidRDefault="004945AC" w:rsidP="002115EB">
            <w:pPr>
              <w:tabs>
                <w:tab w:val="right" w:pos="5760"/>
              </w:tabs>
              <w:jc w:val="right"/>
              <w:rPr>
                <w:rFonts w:ascii="Arial" w:hAnsi="Arial"/>
                <w:sz w:val="22"/>
                <w:szCs w:val="22"/>
              </w:rPr>
            </w:pPr>
            <w:r>
              <w:rPr>
                <w:rFonts w:ascii="Arial" w:hAnsi="Arial" w:cs="Arial"/>
              </w:rPr>
              <w:t>0</w:t>
            </w:r>
          </w:p>
        </w:tc>
        <w:tc>
          <w:tcPr>
            <w:tcW w:w="1559" w:type="dxa"/>
            <w:tcBorders>
              <w:top w:val="nil"/>
              <w:left w:val="nil"/>
              <w:bottom w:val="single" w:sz="8" w:space="0" w:color="auto"/>
              <w:right w:val="single" w:sz="8" w:space="0" w:color="auto"/>
            </w:tcBorders>
            <w:shd w:val="clear" w:color="000000" w:fill="D9D9D9"/>
            <w:vAlign w:val="center"/>
          </w:tcPr>
          <w:p w14:paraId="24AA845F" w14:textId="23BC1AE4" w:rsidR="004945AC" w:rsidRDefault="004945AC" w:rsidP="002115EB">
            <w:pPr>
              <w:tabs>
                <w:tab w:val="right" w:pos="5760"/>
              </w:tabs>
              <w:jc w:val="right"/>
              <w:rPr>
                <w:rFonts w:ascii="Arial" w:hAnsi="Arial"/>
                <w:sz w:val="22"/>
                <w:szCs w:val="22"/>
              </w:rPr>
            </w:pPr>
            <w:r>
              <w:rPr>
                <w:rFonts w:ascii="Arial" w:hAnsi="Arial" w:cs="Arial"/>
              </w:rPr>
              <w:t>0</w:t>
            </w:r>
          </w:p>
        </w:tc>
        <w:tc>
          <w:tcPr>
            <w:tcW w:w="1392" w:type="dxa"/>
            <w:tcBorders>
              <w:top w:val="nil"/>
              <w:left w:val="nil"/>
              <w:bottom w:val="single" w:sz="8" w:space="0" w:color="auto"/>
              <w:right w:val="single" w:sz="8" w:space="0" w:color="auto"/>
            </w:tcBorders>
            <w:shd w:val="clear" w:color="000000" w:fill="D9D9D9"/>
            <w:vAlign w:val="center"/>
          </w:tcPr>
          <w:p w14:paraId="3CA4F346" w14:textId="44A7C9FD" w:rsidR="004945AC" w:rsidRDefault="004945AC" w:rsidP="002115EB">
            <w:pPr>
              <w:tabs>
                <w:tab w:val="right" w:pos="5760"/>
              </w:tabs>
              <w:jc w:val="right"/>
              <w:rPr>
                <w:rFonts w:ascii="Arial" w:hAnsi="Arial"/>
                <w:sz w:val="22"/>
                <w:szCs w:val="22"/>
              </w:rPr>
            </w:pPr>
            <w:r>
              <w:rPr>
                <w:rFonts w:ascii="Arial" w:hAnsi="Arial" w:cs="Arial"/>
                <w:b/>
                <w:bCs/>
              </w:rPr>
              <w:t>0</w:t>
            </w:r>
          </w:p>
        </w:tc>
      </w:tr>
      <w:tr w:rsidR="004945AC" w14:paraId="5EA770F2" w14:textId="77777777" w:rsidTr="004945AC">
        <w:trPr>
          <w:gridBefore w:val="1"/>
          <w:wBefore w:w="13" w:type="dxa"/>
        </w:trPr>
        <w:tc>
          <w:tcPr>
            <w:tcW w:w="2835" w:type="dxa"/>
            <w:tcBorders>
              <w:top w:val="nil"/>
              <w:left w:val="single" w:sz="8" w:space="0" w:color="auto"/>
              <w:bottom w:val="single" w:sz="8" w:space="0" w:color="auto"/>
              <w:right w:val="single" w:sz="8" w:space="0" w:color="auto"/>
            </w:tcBorders>
            <w:shd w:val="clear" w:color="000000" w:fill="D9D9D9"/>
            <w:vAlign w:val="center"/>
          </w:tcPr>
          <w:p w14:paraId="1A7CB937" w14:textId="320AF6CF" w:rsidR="004945AC" w:rsidRDefault="004945AC" w:rsidP="002115EB">
            <w:pPr>
              <w:tabs>
                <w:tab w:val="right" w:pos="5760"/>
              </w:tabs>
              <w:rPr>
                <w:rFonts w:ascii="Arial" w:hAnsi="Arial"/>
                <w:sz w:val="22"/>
                <w:szCs w:val="22"/>
              </w:rPr>
            </w:pPr>
            <w:r w:rsidRPr="00E96552">
              <w:rPr>
                <w:rFonts w:ascii="Arial" w:hAnsi="Arial" w:cs="Arial"/>
              </w:rPr>
              <w:t>De-recognition on disposals</w:t>
            </w:r>
          </w:p>
        </w:tc>
        <w:tc>
          <w:tcPr>
            <w:tcW w:w="1417" w:type="dxa"/>
            <w:tcBorders>
              <w:top w:val="nil"/>
              <w:left w:val="nil"/>
              <w:bottom w:val="single" w:sz="8" w:space="0" w:color="auto"/>
              <w:right w:val="single" w:sz="8" w:space="0" w:color="auto"/>
            </w:tcBorders>
            <w:shd w:val="clear" w:color="000000" w:fill="D9D9D9"/>
            <w:vAlign w:val="center"/>
          </w:tcPr>
          <w:p w14:paraId="3DDA40E8" w14:textId="459140B3" w:rsidR="004945AC" w:rsidRDefault="004945AC" w:rsidP="002115EB">
            <w:pPr>
              <w:tabs>
                <w:tab w:val="right" w:pos="5760"/>
              </w:tabs>
              <w:jc w:val="right"/>
              <w:rPr>
                <w:rFonts w:ascii="Arial" w:hAnsi="Arial"/>
                <w:sz w:val="22"/>
                <w:szCs w:val="22"/>
              </w:rPr>
            </w:pPr>
            <w:r w:rsidRPr="00E96552">
              <w:rPr>
                <w:rFonts w:ascii="Arial" w:hAnsi="Arial" w:cs="Arial"/>
              </w:rPr>
              <w:t>0</w:t>
            </w:r>
          </w:p>
        </w:tc>
        <w:tc>
          <w:tcPr>
            <w:tcW w:w="1418" w:type="dxa"/>
            <w:tcBorders>
              <w:top w:val="nil"/>
              <w:left w:val="nil"/>
              <w:bottom w:val="single" w:sz="8" w:space="0" w:color="auto"/>
              <w:right w:val="single" w:sz="8" w:space="0" w:color="auto"/>
            </w:tcBorders>
            <w:shd w:val="clear" w:color="000000" w:fill="D9D9D9"/>
            <w:vAlign w:val="center"/>
          </w:tcPr>
          <w:p w14:paraId="78F8DA85" w14:textId="75BBA5B7" w:rsidR="004945AC" w:rsidRDefault="004945AC" w:rsidP="002115EB">
            <w:pPr>
              <w:tabs>
                <w:tab w:val="right" w:pos="5760"/>
              </w:tabs>
              <w:jc w:val="right"/>
              <w:rPr>
                <w:rFonts w:ascii="Arial" w:hAnsi="Arial"/>
                <w:sz w:val="22"/>
                <w:szCs w:val="22"/>
              </w:rPr>
            </w:pPr>
            <w:r w:rsidRPr="00E96552">
              <w:rPr>
                <w:rFonts w:ascii="Arial" w:hAnsi="Arial" w:cs="Arial"/>
              </w:rPr>
              <w:t>8,331</w:t>
            </w:r>
          </w:p>
        </w:tc>
        <w:tc>
          <w:tcPr>
            <w:tcW w:w="1417" w:type="dxa"/>
            <w:tcBorders>
              <w:top w:val="nil"/>
              <w:left w:val="nil"/>
              <w:bottom w:val="single" w:sz="8" w:space="0" w:color="auto"/>
              <w:right w:val="single" w:sz="8" w:space="0" w:color="auto"/>
            </w:tcBorders>
            <w:shd w:val="clear" w:color="000000" w:fill="D9D9D9"/>
            <w:vAlign w:val="center"/>
          </w:tcPr>
          <w:p w14:paraId="7DE42323" w14:textId="0D994D99" w:rsidR="004945AC" w:rsidRDefault="004945AC" w:rsidP="002115EB">
            <w:pPr>
              <w:tabs>
                <w:tab w:val="right" w:pos="5760"/>
              </w:tabs>
              <w:jc w:val="right"/>
              <w:rPr>
                <w:rFonts w:ascii="Arial" w:hAnsi="Arial"/>
                <w:sz w:val="22"/>
                <w:szCs w:val="22"/>
              </w:rPr>
            </w:pPr>
            <w:r w:rsidRPr="00E96552">
              <w:rPr>
                <w:rFonts w:ascii="Arial" w:hAnsi="Arial" w:cs="Arial"/>
              </w:rPr>
              <w:t>885</w:t>
            </w:r>
          </w:p>
        </w:tc>
        <w:tc>
          <w:tcPr>
            <w:tcW w:w="1559" w:type="dxa"/>
            <w:tcBorders>
              <w:top w:val="nil"/>
              <w:left w:val="nil"/>
              <w:bottom w:val="single" w:sz="8" w:space="0" w:color="auto"/>
              <w:right w:val="single" w:sz="8" w:space="0" w:color="auto"/>
            </w:tcBorders>
            <w:shd w:val="clear" w:color="000000" w:fill="D9D9D9"/>
            <w:vAlign w:val="center"/>
          </w:tcPr>
          <w:p w14:paraId="3424FB9D" w14:textId="12787C75" w:rsidR="004945AC" w:rsidRDefault="004945AC" w:rsidP="002115EB">
            <w:pPr>
              <w:tabs>
                <w:tab w:val="right" w:pos="5760"/>
              </w:tabs>
              <w:jc w:val="right"/>
              <w:rPr>
                <w:rFonts w:ascii="Arial" w:hAnsi="Arial"/>
                <w:sz w:val="22"/>
                <w:szCs w:val="22"/>
              </w:rPr>
            </w:pPr>
            <w:r w:rsidRPr="00E96552">
              <w:rPr>
                <w:rFonts w:ascii="Arial" w:hAnsi="Arial" w:cs="Arial"/>
              </w:rPr>
              <w:t>0</w:t>
            </w:r>
          </w:p>
        </w:tc>
        <w:tc>
          <w:tcPr>
            <w:tcW w:w="1392" w:type="dxa"/>
            <w:tcBorders>
              <w:top w:val="nil"/>
              <w:left w:val="nil"/>
              <w:bottom w:val="single" w:sz="8" w:space="0" w:color="auto"/>
              <w:right w:val="single" w:sz="8" w:space="0" w:color="auto"/>
            </w:tcBorders>
            <w:shd w:val="clear" w:color="000000" w:fill="D9D9D9"/>
            <w:vAlign w:val="center"/>
          </w:tcPr>
          <w:p w14:paraId="09D5804B" w14:textId="6954A285" w:rsidR="004945AC" w:rsidRDefault="004945AC" w:rsidP="002115EB">
            <w:pPr>
              <w:tabs>
                <w:tab w:val="right" w:pos="5760"/>
              </w:tabs>
              <w:jc w:val="right"/>
              <w:rPr>
                <w:rFonts w:ascii="Arial" w:hAnsi="Arial"/>
                <w:sz w:val="22"/>
                <w:szCs w:val="22"/>
              </w:rPr>
            </w:pPr>
            <w:r w:rsidRPr="00E96552">
              <w:rPr>
                <w:rFonts w:ascii="Arial" w:hAnsi="Arial" w:cs="Arial"/>
                <w:b/>
                <w:bCs/>
              </w:rPr>
              <w:t>9,216</w:t>
            </w:r>
          </w:p>
        </w:tc>
      </w:tr>
      <w:tr w:rsidR="004945AC" w14:paraId="28248A5A" w14:textId="77777777" w:rsidTr="004945AC">
        <w:trPr>
          <w:gridBefore w:val="1"/>
          <w:wBefore w:w="13" w:type="dxa"/>
        </w:trPr>
        <w:tc>
          <w:tcPr>
            <w:tcW w:w="2835" w:type="dxa"/>
            <w:tcBorders>
              <w:top w:val="nil"/>
              <w:left w:val="single" w:sz="8" w:space="0" w:color="auto"/>
              <w:bottom w:val="single" w:sz="8" w:space="0" w:color="auto"/>
              <w:right w:val="single" w:sz="8" w:space="0" w:color="auto"/>
            </w:tcBorders>
            <w:shd w:val="clear" w:color="000000" w:fill="D9D9D9"/>
            <w:vAlign w:val="center"/>
          </w:tcPr>
          <w:p w14:paraId="58A4DA7D" w14:textId="67BF0C68" w:rsidR="004945AC" w:rsidRDefault="004945AC" w:rsidP="002115EB">
            <w:pPr>
              <w:tabs>
                <w:tab w:val="right" w:pos="5760"/>
              </w:tabs>
              <w:rPr>
                <w:rFonts w:ascii="Arial" w:hAnsi="Arial"/>
                <w:sz w:val="22"/>
                <w:szCs w:val="22"/>
              </w:rPr>
            </w:pPr>
            <w:r w:rsidRPr="00E96552">
              <w:rPr>
                <w:rFonts w:ascii="Arial" w:hAnsi="Arial" w:cs="Arial"/>
                <w:b/>
                <w:bCs/>
              </w:rPr>
              <w:t>At 31 March 202</w:t>
            </w:r>
            <w:r>
              <w:rPr>
                <w:rFonts w:ascii="Arial" w:hAnsi="Arial" w:cs="Arial"/>
                <w:b/>
                <w:bCs/>
              </w:rPr>
              <w:t>4</w:t>
            </w:r>
          </w:p>
        </w:tc>
        <w:tc>
          <w:tcPr>
            <w:tcW w:w="1417" w:type="dxa"/>
            <w:tcBorders>
              <w:top w:val="nil"/>
              <w:left w:val="nil"/>
              <w:bottom w:val="single" w:sz="8" w:space="0" w:color="auto"/>
              <w:right w:val="single" w:sz="8" w:space="0" w:color="auto"/>
            </w:tcBorders>
            <w:shd w:val="clear" w:color="000000" w:fill="D9D9D9"/>
            <w:vAlign w:val="center"/>
          </w:tcPr>
          <w:p w14:paraId="475EE0CD" w14:textId="61C9BDEA" w:rsidR="004945AC" w:rsidRDefault="004945AC" w:rsidP="002115EB">
            <w:pPr>
              <w:tabs>
                <w:tab w:val="right" w:pos="5760"/>
              </w:tabs>
              <w:jc w:val="right"/>
              <w:rPr>
                <w:rFonts w:ascii="Arial" w:hAnsi="Arial"/>
                <w:sz w:val="22"/>
                <w:szCs w:val="22"/>
              </w:rPr>
            </w:pPr>
            <w:r w:rsidRPr="00E96552">
              <w:rPr>
                <w:rFonts w:ascii="Arial" w:hAnsi="Arial" w:cs="Arial"/>
                <w:b/>
                <w:bCs/>
              </w:rPr>
              <w:t>(</w:t>
            </w:r>
            <w:r>
              <w:rPr>
                <w:rFonts w:ascii="Arial" w:hAnsi="Arial" w:cs="Arial"/>
                <w:b/>
                <w:bCs/>
              </w:rPr>
              <w:t>2</w:t>
            </w:r>
            <w:r w:rsidRPr="00E96552">
              <w:rPr>
                <w:rFonts w:ascii="Arial" w:hAnsi="Arial" w:cs="Arial"/>
                <w:b/>
                <w:bCs/>
              </w:rPr>
              <w:t>,</w:t>
            </w:r>
            <w:r>
              <w:rPr>
                <w:rFonts w:ascii="Arial" w:hAnsi="Arial" w:cs="Arial"/>
                <w:b/>
                <w:bCs/>
              </w:rPr>
              <w:t>745</w:t>
            </w:r>
            <w:r w:rsidRPr="00E96552">
              <w:rPr>
                <w:rFonts w:ascii="Arial" w:hAnsi="Arial" w:cs="Arial"/>
                <w:b/>
                <w:bCs/>
              </w:rPr>
              <w:t>)</w:t>
            </w:r>
          </w:p>
        </w:tc>
        <w:tc>
          <w:tcPr>
            <w:tcW w:w="1418" w:type="dxa"/>
            <w:tcBorders>
              <w:top w:val="nil"/>
              <w:left w:val="nil"/>
              <w:bottom w:val="single" w:sz="8" w:space="0" w:color="auto"/>
              <w:right w:val="single" w:sz="8" w:space="0" w:color="auto"/>
            </w:tcBorders>
            <w:shd w:val="clear" w:color="000000" w:fill="D9D9D9"/>
            <w:vAlign w:val="center"/>
          </w:tcPr>
          <w:p w14:paraId="1DE2E7D3" w14:textId="57C34984" w:rsidR="004945AC" w:rsidRDefault="004945AC" w:rsidP="002115EB">
            <w:pPr>
              <w:tabs>
                <w:tab w:val="right" w:pos="5760"/>
              </w:tabs>
              <w:jc w:val="right"/>
              <w:rPr>
                <w:rFonts w:ascii="Arial" w:hAnsi="Arial"/>
                <w:sz w:val="22"/>
                <w:szCs w:val="22"/>
              </w:rPr>
            </w:pPr>
            <w:r w:rsidRPr="00E96552">
              <w:rPr>
                <w:rFonts w:ascii="Arial" w:hAnsi="Arial" w:cs="Arial"/>
                <w:b/>
                <w:bCs/>
              </w:rPr>
              <w:t>(22,314)</w:t>
            </w:r>
          </w:p>
        </w:tc>
        <w:tc>
          <w:tcPr>
            <w:tcW w:w="1417" w:type="dxa"/>
            <w:tcBorders>
              <w:top w:val="nil"/>
              <w:left w:val="nil"/>
              <w:bottom w:val="single" w:sz="8" w:space="0" w:color="auto"/>
              <w:right w:val="single" w:sz="8" w:space="0" w:color="auto"/>
            </w:tcBorders>
            <w:shd w:val="clear" w:color="000000" w:fill="D9D9D9"/>
            <w:vAlign w:val="center"/>
          </w:tcPr>
          <w:p w14:paraId="24E44AD8" w14:textId="59059859" w:rsidR="004945AC" w:rsidRDefault="004945AC" w:rsidP="002115EB">
            <w:pPr>
              <w:tabs>
                <w:tab w:val="right" w:pos="5760"/>
              </w:tabs>
              <w:jc w:val="right"/>
              <w:rPr>
                <w:rFonts w:ascii="Arial" w:hAnsi="Arial"/>
                <w:sz w:val="22"/>
                <w:szCs w:val="22"/>
              </w:rPr>
            </w:pPr>
            <w:r w:rsidRPr="00E96552">
              <w:rPr>
                <w:rFonts w:ascii="Arial" w:hAnsi="Arial" w:cs="Arial"/>
                <w:b/>
                <w:bCs/>
              </w:rPr>
              <w:t>(5,300)</w:t>
            </w:r>
          </w:p>
        </w:tc>
        <w:tc>
          <w:tcPr>
            <w:tcW w:w="1559" w:type="dxa"/>
            <w:tcBorders>
              <w:top w:val="nil"/>
              <w:left w:val="nil"/>
              <w:bottom w:val="single" w:sz="8" w:space="0" w:color="auto"/>
              <w:right w:val="single" w:sz="8" w:space="0" w:color="auto"/>
            </w:tcBorders>
            <w:shd w:val="clear" w:color="000000" w:fill="D9D9D9"/>
            <w:vAlign w:val="center"/>
          </w:tcPr>
          <w:p w14:paraId="6517F4FE" w14:textId="498C0108" w:rsidR="004945AC" w:rsidRDefault="004945AC" w:rsidP="002115EB">
            <w:pPr>
              <w:tabs>
                <w:tab w:val="right" w:pos="5760"/>
              </w:tabs>
              <w:jc w:val="right"/>
              <w:rPr>
                <w:rFonts w:ascii="Arial" w:hAnsi="Arial"/>
                <w:sz w:val="22"/>
                <w:szCs w:val="22"/>
              </w:rPr>
            </w:pPr>
            <w:r w:rsidRPr="00E96552">
              <w:rPr>
                <w:rFonts w:ascii="Arial" w:hAnsi="Arial" w:cs="Arial"/>
                <w:b/>
                <w:bCs/>
              </w:rPr>
              <w:t>0</w:t>
            </w:r>
          </w:p>
        </w:tc>
        <w:tc>
          <w:tcPr>
            <w:tcW w:w="1392" w:type="dxa"/>
            <w:tcBorders>
              <w:top w:val="nil"/>
              <w:left w:val="nil"/>
              <w:bottom w:val="single" w:sz="8" w:space="0" w:color="auto"/>
              <w:right w:val="single" w:sz="8" w:space="0" w:color="auto"/>
            </w:tcBorders>
            <w:shd w:val="clear" w:color="000000" w:fill="D9D9D9"/>
            <w:vAlign w:val="center"/>
          </w:tcPr>
          <w:p w14:paraId="631E9AC6" w14:textId="5D6570B3" w:rsidR="004945AC" w:rsidRDefault="004945AC" w:rsidP="002115EB">
            <w:pPr>
              <w:tabs>
                <w:tab w:val="right" w:pos="5760"/>
              </w:tabs>
              <w:jc w:val="right"/>
              <w:rPr>
                <w:rFonts w:ascii="Arial" w:hAnsi="Arial"/>
                <w:sz w:val="22"/>
                <w:szCs w:val="22"/>
              </w:rPr>
            </w:pPr>
            <w:r w:rsidRPr="00E96552">
              <w:rPr>
                <w:rFonts w:ascii="Arial" w:hAnsi="Arial" w:cs="Arial"/>
                <w:b/>
                <w:bCs/>
              </w:rPr>
              <w:t>(3</w:t>
            </w:r>
            <w:r>
              <w:rPr>
                <w:rFonts w:ascii="Arial" w:hAnsi="Arial" w:cs="Arial"/>
                <w:b/>
                <w:bCs/>
              </w:rPr>
              <w:t>0</w:t>
            </w:r>
            <w:r w:rsidRPr="00E96552">
              <w:rPr>
                <w:rFonts w:ascii="Arial" w:hAnsi="Arial" w:cs="Arial"/>
                <w:b/>
                <w:bCs/>
              </w:rPr>
              <w:t>,</w:t>
            </w:r>
            <w:r>
              <w:rPr>
                <w:rFonts w:ascii="Arial" w:hAnsi="Arial" w:cs="Arial"/>
                <w:b/>
                <w:bCs/>
              </w:rPr>
              <w:t>358</w:t>
            </w:r>
            <w:r w:rsidRPr="00E96552">
              <w:rPr>
                <w:rFonts w:ascii="Arial" w:hAnsi="Arial" w:cs="Arial"/>
                <w:b/>
                <w:bCs/>
              </w:rPr>
              <w:t>)</w:t>
            </w:r>
          </w:p>
        </w:tc>
      </w:tr>
    </w:tbl>
    <w:p w14:paraId="148EF002" w14:textId="55783C34" w:rsidR="002115EB" w:rsidRDefault="002115EB" w:rsidP="00701332">
      <w:pPr>
        <w:tabs>
          <w:tab w:val="right" w:pos="5760"/>
        </w:tabs>
        <w:rPr>
          <w:rFonts w:ascii="Arial" w:hAnsi="Arial"/>
          <w:sz w:val="22"/>
          <w:szCs w:val="22"/>
        </w:rPr>
      </w:pPr>
    </w:p>
    <w:tbl>
      <w:tblPr>
        <w:tblStyle w:val="TableGrid"/>
        <w:tblW w:w="10038" w:type="dxa"/>
        <w:tblInd w:w="416" w:type="dxa"/>
        <w:tblLook w:val="04A0" w:firstRow="1" w:lastRow="0" w:firstColumn="1" w:lastColumn="0" w:noHBand="0" w:noVBand="1"/>
      </w:tblPr>
      <w:tblGrid>
        <w:gridCol w:w="2835"/>
        <w:gridCol w:w="1417"/>
        <w:gridCol w:w="1418"/>
        <w:gridCol w:w="1417"/>
        <w:gridCol w:w="1559"/>
        <w:gridCol w:w="1392"/>
      </w:tblGrid>
      <w:tr w:rsidR="002115EB" w14:paraId="20FF2EE1" w14:textId="77777777" w:rsidTr="002115EB">
        <w:tc>
          <w:tcPr>
            <w:tcW w:w="2835" w:type="dxa"/>
            <w:tcBorders>
              <w:top w:val="single" w:sz="8" w:space="0" w:color="auto"/>
              <w:left w:val="single" w:sz="8" w:space="0" w:color="auto"/>
              <w:bottom w:val="single" w:sz="8" w:space="0" w:color="auto"/>
              <w:right w:val="single" w:sz="8" w:space="0" w:color="auto"/>
            </w:tcBorders>
            <w:shd w:val="clear" w:color="000000" w:fill="D9D9D9"/>
            <w:vAlign w:val="center"/>
          </w:tcPr>
          <w:p w14:paraId="4C2257D9" w14:textId="144A94E1" w:rsidR="002115EB" w:rsidRDefault="002115EB" w:rsidP="002115EB">
            <w:pPr>
              <w:tabs>
                <w:tab w:val="right" w:pos="5760"/>
              </w:tabs>
              <w:rPr>
                <w:rFonts w:ascii="Arial" w:hAnsi="Arial"/>
                <w:sz w:val="22"/>
                <w:szCs w:val="22"/>
              </w:rPr>
            </w:pPr>
            <w:r w:rsidRPr="00E96552">
              <w:rPr>
                <w:rFonts w:ascii="Arial" w:hAnsi="Arial" w:cs="Arial"/>
                <w:b/>
                <w:bCs/>
              </w:rPr>
              <w:t>Net Book Value</w:t>
            </w:r>
          </w:p>
        </w:tc>
        <w:tc>
          <w:tcPr>
            <w:tcW w:w="1417" w:type="dxa"/>
            <w:tcBorders>
              <w:top w:val="single" w:sz="8" w:space="0" w:color="auto"/>
              <w:left w:val="nil"/>
              <w:bottom w:val="single" w:sz="8" w:space="0" w:color="auto"/>
              <w:right w:val="single" w:sz="8" w:space="0" w:color="auto"/>
            </w:tcBorders>
            <w:shd w:val="clear" w:color="000000" w:fill="D9D9D9"/>
            <w:vAlign w:val="center"/>
          </w:tcPr>
          <w:p w14:paraId="5C90FEC4" w14:textId="0C3E458C" w:rsidR="002115EB" w:rsidRDefault="002115EB" w:rsidP="002115EB">
            <w:pPr>
              <w:tabs>
                <w:tab w:val="right" w:pos="5760"/>
              </w:tabs>
              <w:jc w:val="right"/>
              <w:rPr>
                <w:rFonts w:ascii="Arial" w:hAnsi="Arial"/>
                <w:sz w:val="22"/>
                <w:szCs w:val="22"/>
              </w:rPr>
            </w:pPr>
            <w:r w:rsidRPr="00E96552">
              <w:rPr>
                <w:rFonts w:ascii="Arial" w:hAnsi="Arial" w:cs="Arial"/>
                <w:b/>
                <w:bCs/>
              </w:rPr>
              <w:t> </w:t>
            </w:r>
          </w:p>
        </w:tc>
        <w:tc>
          <w:tcPr>
            <w:tcW w:w="1418" w:type="dxa"/>
            <w:tcBorders>
              <w:top w:val="single" w:sz="8" w:space="0" w:color="auto"/>
              <w:left w:val="nil"/>
              <w:bottom w:val="single" w:sz="8" w:space="0" w:color="auto"/>
              <w:right w:val="single" w:sz="8" w:space="0" w:color="auto"/>
            </w:tcBorders>
            <w:shd w:val="clear" w:color="000000" w:fill="D9D9D9"/>
            <w:vAlign w:val="center"/>
          </w:tcPr>
          <w:p w14:paraId="418A845D" w14:textId="4BFEBC1D" w:rsidR="002115EB" w:rsidRDefault="002115EB" w:rsidP="002115EB">
            <w:pPr>
              <w:tabs>
                <w:tab w:val="right" w:pos="5760"/>
              </w:tabs>
              <w:jc w:val="right"/>
              <w:rPr>
                <w:rFonts w:ascii="Arial" w:hAnsi="Arial"/>
                <w:sz w:val="22"/>
                <w:szCs w:val="22"/>
              </w:rPr>
            </w:pPr>
            <w:r w:rsidRPr="00E96552">
              <w:rPr>
                <w:rFonts w:ascii="Arial" w:hAnsi="Arial" w:cs="Arial"/>
                <w:b/>
                <w:bCs/>
              </w:rPr>
              <w:t> </w:t>
            </w:r>
          </w:p>
        </w:tc>
        <w:tc>
          <w:tcPr>
            <w:tcW w:w="1417" w:type="dxa"/>
            <w:tcBorders>
              <w:top w:val="single" w:sz="8" w:space="0" w:color="auto"/>
              <w:left w:val="nil"/>
              <w:bottom w:val="single" w:sz="8" w:space="0" w:color="auto"/>
              <w:right w:val="single" w:sz="8" w:space="0" w:color="auto"/>
            </w:tcBorders>
            <w:shd w:val="clear" w:color="000000" w:fill="D9D9D9"/>
            <w:vAlign w:val="center"/>
          </w:tcPr>
          <w:p w14:paraId="7A04B17C" w14:textId="06837D7B" w:rsidR="002115EB" w:rsidRDefault="002115EB" w:rsidP="002115EB">
            <w:pPr>
              <w:tabs>
                <w:tab w:val="right" w:pos="5760"/>
              </w:tabs>
              <w:jc w:val="right"/>
              <w:rPr>
                <w:rFonts w:ascii="Arial" w:hAnsi="Arial"/>
                <w:sz w:val="22"/>
                <w:szCs w:val="22"/>
              </w:rPr>
            </w:pPr>
            <w:r w:rsidRPr="00E96552">
              <w:rPr>
                <w:rFonts w:ascii="Arial" w:hAnsi="Arial" w:cs="Arial"/>
                <w:b/>
                <w:bCs/>
              </w:rPr>
              <w:t> </w:t>
            </w:r>
          </w:p>
        </w:tc>
        <w:tc>
          <w:tcPr>
            <w:tcW w:w="1559" w:type="dxa"/>
            <w:tcBorders>
              <w:top w:val="single" w:sz="8" w:space="0" w:color="auto"/>
              <w:left w:val="nil"/>
              <w:bottom w:val="single" w:sz="8" w:space="0" w:color="auto"/>
              <w:right w:val="single" w:sz="8" w:space="0" w:color="auto"/>
            </w:tcBorders>
            <w:shd w:val="clear" w:color="000000" w:fill="D9D9D9"/>
            <w:vAlign w:val="center"/>
          </w:tcPr>
          <w:p w14:paraId="2119C9C0" w14:textId="7D717C18" w:rsidR="002115EB" w:rsidRDefault="002115EB" w:rsidP="002115EB">
            <w:pPr>
              <w:tabs>
                <w:tab w:val="right" w:pos="5760"/>
              </w:tabs>
              <w:jc w:val="right"/>
              <w:rPr>
                <w:rFonts w:ascii="Arial" w:hAnsi="Arial"/>
                <w:sz w:val="22"/>
                <w:szCs w:val="22"/>
              </w:rPr>
            </w:pPr>
            <w:r w:rsidRPr="00E96552">
              <w:rPr>
                <w:rFonts w:ascii="Arial" w:hAnsi="Arial" w:cs="Arial"/>
                <w:b/>
                <w:bCs/>
              </w:rPr>
              <w:t> </w:t>
            </w:r>
          </w:p>
        </w:tc>
        <w:tc>
          <w:tcPr>
            <w:tcW w:w="1392" w:type="dxa"/>
            <w:tcBorders>
              <w:top w:val="single" w:sz="8" w:space="0" w:color="auto"/>
              <w:left w:val="nil"/>
              <w:bottom w:val="single" w:sz="8" w:space="0" w:color="auto"/>
              <w:right w:val="single" w:sz="8" w:space="0" w:color="auto"/>
            </w:tcBorders>
            <w:shd w:val="clear" w:color="000000" w:fill="D9D9D9"/>
            <w:vAlign w:val="center"/>
          </w:tcPr>
          <w:p w14:paraId="755D8D35" w14:textId="05B2AF91" w:rsidR="002115EB" w:rsidRDefault="002115EB" w:rsidP="002115EB">
            <w:pPr>
              <w:tabs>
                <w:tab w:val="right" w:pos="5760"/>
              </w:tabs>
              <w:jc w:val="right"/>
              <w:rPr>
                <w:rFonts w:ascii="Arial" w:hAnsi="Arial"/>
                <w:sz w:val="22"/>
                <w:szCs w:val="22"/>
              </w:rPr>
            </w:pPr>
            <w:r w:rsidRPr="00E96552">
              <w:rPr>
                <w:rFonts w:ascii="Arial" w:hAnsi="Arial" w:cs="Arial"/>
                <w:b/>
                <w:bCs/>
              </w:rPr>
              <w:t> </w:t>
            </w:r>
          </w:p>
        </w:tc>
      </w:tr>
      <w:tr w:rsidR="002115EB" w14:paraId="6ADC80D3" w14:textId="77777777" w:rsidTr="002115EB">
        <w:tc>
          <w:tcPr>
            <w:tcW w:w="2835" w:type="dxa"/>
            <w:tcBorders>
              <w:top w:val="nil"/>
              <w:left w:val="single" w:sz="8" w:space="0" w:color="auto"/>
              <w:bottom w:val="single" w:sz="8" w:space="0" w:color="auto"/>
              <w:right w:val="single" w:sz="8" w:space="0" w:color="auto"/>
            </w:tcBorders>
            <w:shd w:val="clear" w:color="000000" w:fill="D9D9D9"/>
            <w:vAlign w:val="center"/>
          </w:tcPr>
          <w:p w14:paraId="78B634B1" w14:textId="3305F11E" w:rsidR="002115EB" w:rsidRDefault="002115EB" w:rsidP="002115EB">
            <w:pPr>
              <w:tabs>
                <w:tab w:val="right" w:pos="5760"/>
              </w:tabs>
              <w:rPr>
                <w:rFonts w:ascii="Arial" w:hAnsi="Arial"/>
                <w:sz w:val="22"/>
                <w:szCs w:val="22"/>
              </w:rPr>
            </w:pPr>
            <w:r w:rsidRPr="00E96552">
              <w:rPr>
                <w:rFonts w:ascii="Arial" w:hAnsi="Arial" w:cs="Arial"/>
                <w:b/>
                <w:bCs/>
              </w:rPr>
              <w:t>At 31 March 2024</w:t>
            </w:r>
          </w:p>
        </w:tc>
        <w:tc>
          <w:tcPr>
            <w:tcW w:w="1417" w:type="dxa"/>
            <w:tcBorders>
              <w:top w:val="nil"/>
              <w:left w:val="nil"/>
              <w:bottom w:val="single" w:sz="8" w:space="0" w:color="auto"/>
              <w:right w:val="single" w:sz="8" w:space="0" w:color="auto"/>
            </w:tcBorders>
            <w:shd w:val="clear" w:color="000000" w:fill="D9D9D9"/>
            <w:vAlign w:val="center"/>
          </w:tcPr>
          <w:p w14:paraId="01106B08" w14:textId="05FFE285" w:rsidR="002115EB" w:rsidRDefault="002115EB" w:rsidP="002115EB">
            <w:pPr>
              <w:tabs>
                <w:tab w:val="right" w:pos="5760"/>
              </w:tabs>
              <w:jc w:val="right"/>
              <w:rPr>
                <w:rFonts w:ascii="Arial" w:hAnsi="Arial"/>
                <w:sz w:val="22"/>
                <w:szCs w:val="22"/>
              </w:rPr>
            </w:pPr>
            <w:r>
              <w:rPr>
                <w:rFonts w:ascii="Arial" w:hAnsi="Arial" w:cs="Arial"/>
                <w:b/>
                <w:bCs/>
              </w:rPr>
              <w:t>215,471</w:t>
            </w:r>
          </w:p>
        </w:tc>
        <w:tc>
          <w:tcPr>
            <w:tcW w:w="1418" w:type="dxa"/>
            <w:tcBorders>
              <w:top w:val="nil"/>
              <w:left w:val="nil"/>
              <w:bottom w:val="single" w:sz="8" w:space="0" w:color="auto"/>
              <w:right w:val="single" w:sz="8" w:space="0" w:color="auto"/>
            </w:tcBorders>
            <w:shd w:val="clear" w:color="000000" w:fill="D9D9D9"/>
            <w:vAlign w:val="center"/>
          </w:tcPr>
          <w:p w14:paraId="6DE6C7C7" w14:textId="44A1BAE5" w:rsidR="002115EB" w:rsidRDefault="002115EB" w:rsidP="002115EB">
            <w:pPr>
              <w:tabs>
                <w:tab w:val="right" w:pos="5760"/>
              </w:tabs>
              <w:jc w:val="right"/>
              <w:rPr>
                <w:rFonts w:ascii="Arial" w:hAnsi="Arial"/>
                <w:sz w:val="22"/>
                <w:szCs w:val="22"/>
              </w:rPr>
            </w:pPr>
            <w:r w:rsidRPr="00E96552">
              <w:rPr>
                <w:rFonts w:ascii="Arial" w:hAnsi="Arial" w:cs="Arial"/>
                <w:b/>
                <w:bCs/>
              </w:rPr>
              <w:t>19,615</w:t>
            </w:r>
          </w:p>
        </w:tc>
        <w:tc>
          <w:tcPr>
            <w:tcW w:w="1417" w:type="dxa"/>
            <w:tcBorders>
              <w:top w:val="nil"/>
              <w:left w:val="nil"/>
              <w:bottom w:val="single" w:sz="8" w:space="0" w:color="auto"/>
              <w:right w:val="single" w:sz="8" w:space="0" w:color="auto"/>
            </w:tcBorders>
            <w:shd w:val="clear" w:color="000000" w:fill="D9D9D9"/>
            <w:vAlign w:val="center"/>
          </w:tcPr>
          <w:p w14:paraId="498B0E23" w14:textId="0B8BADF9" w:rsidR="002115EB" w:rsidRDefault="002115EB" w:rsidP="002115EB">
            <w:pPr>
              <w:tabs>
                <w:tab w:val="right" w:pos="5760"/>
              </w:tabs>
              <w:jc w:val="right"/>
              <w:rPr>
                <w:rFonts w:ascii="Arial" w:hAnsi="Arial"/>
                <w:sz w:val="22"/>
                <w:szCs w:val="22"/>
              </w:rPr>
            </w:pPr>
            <w:r w:rsidRPr="00E96552">
              <w:rPr>
                <w:rFonts w:ascii="Arial" w:hAnsi="Arial" w:cs="Arial"/>
                <w:b/>
                <w:bCs/>
              </w:rPr>
              <w:t>5,750</w:t>
            </w:r>
          </w:p>
        </w:tc>
        <w:tc>
          <w:tcPr>
            <w:tcW w:w="1559" w:type="dxa"/>
            <w:tcBorders>
              <w:top w:val="nil"/>
              <w:left w:val="nil"/>
              <w:bottom w:val="single" w:sz="8" w:space="0" w:color="auto"/>
              <w:right w:val="single" w:sz="8" w:space="0" w:color="auto"/>
            </w:tcBorders>
            <w:shd w:val="clear" w:color="000000" w:fill="D9D9D9"/>
            <w:vAlign w:val="center"/>
          </w:tcPr>
          <w:p w14:paraId="76AA28DB" w14:textId="089DE794" w:rsidR="002115EB" w:rsidRDefault="002115EB" w:rsidP="002115EB">
            <w:pPr>
              <w:tabs>
                <w:tab w:val="right" w:pos="5760"/>
              </w:tabs>
              <w:jc w:val="right"/>
              <w:rPr>
                <w:rFonts w:ascii="Arial" w:hAnsi="Arial"/>
                <w:sz w:val="22"/>
                <w:szCs w:val="22"/>
              </w:rPr>
            </w:pPr>
            <w:r>
              <w:rPr>
                <w:rFonts w:ascii="Arial" w:hAnsi="Arial" w:cs="Arial"/>
                <w:b/>
                <w:bCs/>
              </w:rPr>
              <w:t>10,609</w:t>
            </w:r>
          </w:p>
        </w:tc>
        <w:tc>
          <w:tcPr>
            <w:tcW w:w="1392" w:type="dxa"/>
            <w:tcBorders>
              <w:top w:val="nil"/>
              <w:left w:val="nil"/>
              <w:bottom w:val="single" w:sz="8" w:space="0" w:color="auto"/>
              <w:right w:val="single" w:sz="8" w:space="0" w:color="auto"/>
            </w:tcBorders>
            <w:shd w:val="clear" w:color="000000" w:fill="D9D9D9"/>
            <w:vAlign w:val="center"/>
          </w:tcPr>
          <w:p w14:paraId="78EE5915" w14:textId="2CC9BC22" w:rsidR="002115EB" w:rsidRDefault="002115EB" w:rsidP="002115EB">
            <w:pPr>
              <w:tabs>
                <w:tab w:val="right" w:pos="5760"/>
              </w:tabs>
              <w:jc w:val="right"/>
              <w:rPr>
                <w:rFonts w:ascii="Arial" w:hAnsi="Arial"/>
                <w:sz w:val="22"/>
                <w:szCs w:val="22"/>
              </w:rPr>
            </w:pPr>
            <w:r>
              <w:rPr>
                <w:rFonts w:ascii="Arial" w:hAnsi="Arial" w:cs="Arial"/>
                <w:b/>
                <w:bCs/>
              </w:rPr>
              <w:t>251,445</w:t>
            </w:r>
          </w:p>
        </w:tc>
      </w:tr>
      <w:tr w:rsidR="002115EB" w14:paraId="67CF08DC" w14:textId="77777777" w:rsidTr="002115EB">
        <w:tc>
          <w:tcPr>
            <w:tcW w:w="2835" w:type="dxa"/>
            <w:tcBorders>
              <w:top w:val="nil"/>
              <w:left w:val="single" w:sz="8" w:space="0" w:color="auto"/>
              <w:bottom w:val="single" w:sz="8" w:space="0" w:color="auto"/>
              <w:right w:val="single" w:sz="8" w:space="0" w:color="auto"/>
            </w:tcBorders>
            <w:shd w:val="clear" w:color="000000" w:fill="D9D9D9"/>
            <w:vAlign w:val="center"/>
          </w:tcPr>
          <w:p w14:paraId="284704C8" w14:textId="75E6B4BC" w:rsidR="002115EB" w:rsidRDefault="002115EB" w:rsidP="002115EB">
            <w:pPr>
              <w:tabs>
                <w:tab w:val="right" w:pos="5760"/>
              </w:tabs>
              <w:rPr>
                <w:rFonts w:ascii="Arial" w:hAnsi="Arial"/>
                <w:sz w:val="22"/>
                <w:szCs w:val="22"/>
              </w:rPr>
            </w:pPr>
            <w:r w:rsidRPr="00E96552">
              <w:rPr>
                <w:rFonts w:ascii="Arial" w:hAnsi="Arial" w:cs="Arial"/>
                <w:b/>
                <w:bCs/>
              </w:rPr>
              <w:t>At 31 March 2023</w:t>
            </w:r>
          </w:p>
        </w:tc>
        <w:tc>
          <w:tcPr>
            <w:tcW w:w="1417" w:type="dxa"/>
            <w:tcBorders>
              <w:top w:val="nil"/>
              <w:left w:val="nil"/>
              <w:bottom w:val="single" w:sz="8" w:space="0" w:color="auto"/>
              <w:right w:val="single" w:sz="8" w:space="0" w:color="auto"/>
            </w:tcBorders>
            <w:shd w:val="clear" w:color="000000" w:fill="D9D9D9"/>
            <w:vAlign w:val="center"/>
          </w:tcPr>
          <w:p w14:paraId="478F3650" w14:textId="772EC10F" w:rsidR="002115EB" w:rsidRDefault="002115EB" w:rsidP="002115EB">
            <w:pPr>
              <w:tabs>
                <w:tab w:val="right" w:pos="5760"/>
              </w:tabs>
              <w:jc w:val="right"/>
              <w:rPr>
                <w:rFonts w:ascii="Arial" w:hAnsi="Arial"/>
                <w:sz w:val="22"/>
                <w:szCs w:val="22"/>
              </w:rPr>
            </w:pPr>
            <w:r>
              <w:rPr>
                <w:rFonts w:ascii="Arial" w:hAnsi="Arial" w:cs="Arial"/>
                <w:b/>
                <w:bCs/>
              </w:rPr>
              <w:t>211,077</w:t>
            </w:r>
          </w:p>
        </w:tc>
        <w:tc>
          <w:tcPr>
            <w:tcW w:w="1418" w:type="dxa"/>
            <w:tcBorders>
              <w:top w:val="nil"/>
              <w:left w:val="nil"/>
              <w:bottom w:val="single" w:sz="8" w:space="0" w:color="auto"/>
              <w:right w:val="single" w:sz="8" w:space="0" w:color="auto"/>
            </w:tcBorders>
            <w:shd w:val="clear" w:color="000000" w:fill="D9D9D9"/>
            <w:vAlign w:val="center"/>
          </w:tcPr>
          <w:p w14:paraId="5C2363BE" w14:textId="57B14D37" w:rsidR="002115EB" w:rsidRDefault="002115EB" w:rsidP="002115EB">
            <w:pPr>
              <w:tabs>
                <w:tab w:val="right" w:pos="5760"/>
              </w:tabs>
              <w:jc w:val="right"/>
              <w:rPr>
                <w:rFonts w:ascii="Arial" w:hAnsi="Arial"/>
                <w:sz w:val="22"/>
                <w:szCs w:val="22"/>
              </w:rPr>
            </w:pPr>
            <w:r w:rsidRPr="00E96552">
              <w:rPr>
                <w:rFonts w:ascii="Arial" w:hAnsi="Arial" w:cs="Arial"/>
                <w:b/>
                <w:bCs/>
              </w:rPr>
              <w:t>17,634</w:t>
            </w:r>
          </w:p>
        </w:tc>
        <w:tc>
          <w:tcPr>
            <w:tcW w:w="1417" w:type="dxa"/>
            <w:tcBorders>
              <w:top w:val="nil"/>
              <w:left w:val="nil"/>
              <w:bottom w:val="single" w:sz="8" w:space="0" w:color="auto"/>
              <w:right w:val="single" w:sz="8" w:space="0" w:color="auto"/>
            </w:tcBorders>
            <w:shd w:val="clear" w:color="000000" w:fill="D9D9D9"/>
            <w:vAlign w:val="center"/>
          </w:tcPr>
          <w:p w14:paraId="54B65134" w14:textId="47EC1F0E" w:rsidR="002115EB" w:rsidRDefault="002115EB" w:rsidP="002115EB">
            <w:pPr>
              <w:tabs>
                <w:tab w:val="right" w:pos="5760"/>
              </w:tabs>
              <w:jc w:val="right"/>
              <w:rPr>
                <w:rFonts w:ascii="Arial" w:hAnsi="Arial"/>
                <w:sz w:val="22"/>
                <w:szCs w:val="22"/>
              </w:rPr>
            </w:pPr>
            <w:r w:rsidRPr="00E96552">
              <w:rPr>
                <w:rFonts w:ascii="Arial" w:hAnsi="Arial" w:cs="Arial"/>
                <w:b/>
                <w:bCs/>
              </w:rPr>
              <w:t>6,598</w:t>
            </w:r>
          </w:p>
        </w:tc>
        <w:tc>
          <w:tcPr>
            <w:tcW w:w="1559" w:type="dxa"/>
            <w:tcBorders>
              <w:top w:val="nil"/>
              <w:left w:val="nil"/>
              <w:bottom w:val="single" w:sz="8" w:space="0" w:color="auto"/>
              <w:right w:val="single" w:sz="8" w:space="0" w:color="auto"/>
            </w:tcBorders>
            <w:shd w:val="clear" w:color="000000" w:fill="D9D9D9"/>
            <w:vAlign w:val="center"/>
          </w:tcPr>
          <w:p w14:paraId="71562848" w14:textId="48704164" w:rsidR="002115EB" w:rsidRDefault="002115EB" w:rsidP="002115EB">
            <w:pPr>
              <w:tabs>
                <w:tab w:val="right" w:pos="5760"/>
              </w:tabs>
              <w:jc w:val="right"/>
              <w:rPr>
                <w:rFonts w:ascii="Arial" w:hAnsi="Arial"/>
                <w:sz w:val="22"/>
                <w:szCs w:val="22"/>
              </w:rPr>
            </w:pPr>
            <w:r>
              <w:rPr>
                <w:rFonts w:ascii="Arial" w:hAnsi="Arial" w:cs="Arial"/>
                <w:b/>
                <w:bCs/>
              </w:rPr>
              <w:t>3,844</w:t>
            </w:r>
          </w:p>
        </w:tc>
        <w:tc>
          <w:tcPr>
            <w:tcW w:w="1392" w:type="dxa"/>
            <w:tcBorders>
              <w:top w:val="nil"/>
              <w:left w:val="nil"/>
              <w:bottom w:val="single" w:sz="8" w:space="0" w:color="auto"/>
              <w:right w:val="single" w:sz="8" w:space="0" w:color="auto"/>
            </w:tcBorders>
            <w:shd w:val="clear" w:color="000000" w:fill="D9D9D9"/>
            <w:vAlign w:val="center"/>
          </w:tcPr>
          <w:p w14:paraId="11543DAE" w14:textId="158962FC" w:rsidR="002115EB" w:rsidRDefault="002115EB" w:rsidP="002115EB">
            <w:pPr>
              <w:tabs>
                <w:tab w:val="right" w:pos="5760"/>
              </w:tabs>
              <w:jc w:val="right"/>
              <w:rPr>
                <w:rFonts w:ascii="Arial" w:hAnsi="Arial"/>
                <w:sz w:val="22"/>
                <w:szCs w:val="22"/>
              </w:rPr>
            </w:pPr>
            <w:r>
              <w:rPr>
                <w:rFonts w:ascii="Arial" w:hAnsi="Arial" w:cs="Arial"/>
                <w:b/>
                <w:bCs/>
              </w:rPr>
              <w:t>239,153</w:t>
            </w:r>
          </w:p>
        </w:tc>
      </w:tr>
    </w:tbl>
    <w:p w14:paraId="0F2666D6" w14:textId="11C1D6EE" w:rsidR="007D1803" w:rsidRDefault="00862B63">
      <w:pPr>
        <w:rPr>
          <w:rFonts w:ascii="Arial" w:hAnsi="Arial"/>
          <w:b/>
          <w:sz w:val="22"/>
          <w:szCs w:val="22"/>
        </w:rPr>
      </w:pPr>
      <w:bookmarkStart w:id="22" w:name="_Hlk109656478"/>
      <w:bookmarkEnd w:id="21"/>
      <w:r>
        <w:rPr>
          <w:rFonts w:ascii="Arial" w:hAnsi="Arial"/>
          <w:b/>
          <w:sz w:val="22"/>
          <w:szCs w:val="22"/>
        </w:rPr>
        <w:t xml:space="preserve"> </w:t>
      </w:r>
    </w:p>
    <w:p w14:paraId="6AB15F4A" w14:textId="1D102349" w:rsidR="003B74DA" w:rsidRPr="007C1E81" w:rsidRDefault="003B74DA" w:rsidP="009D7304">
      <w:pPr>
        <w:tabs>
          <w:tab w:val="right" w:pos="5760"/>
        </w:tabs>
        <w:jc w:val="both"/>
        <w:rPr>
          <w:rFonts w:ascii="Arial" w:hAnsi="Arial"/>
          <w:i/>
          <w:color w:val="FF0000"/>
          <w:sz w:val="22"/>
          <w:szCs w:val="22"/>
        </w:rPr>
      </w:pPr>
      <w:r w:rsidRPr="007C1E81">
        <w:rPr>
          <w:rFonts w:ascii="Arial" w:hAnsi="Arial"/>
          <w:b/>
          <w:sz w:val="22"/>
          <w:szCs w:val="22"/>
        </w:rPr>
        <w:t xml:space="preserve">Capital Commitments </w:t>
      </w:r>
    </w:p>
    <w:p w14:paraId="31A18781" w14:textId="77777777" w:rsidR="003B74DA" w:rsidRPr="007C1E81" w:rsidRDefault="003B74DA" w:rsidP="003A75C3">
      <w:pPr>
        <w:tabs>
          <w:tab w:val="right" w:pos="5760"/>
        </w:tabs>
        <w:jc w:val="both"/>
        <w:rPr>
          <w:rFonts w:ascii="Arial" w:hAnsi="Arial"/>
          <w:b/>
          <w:sz w:val="22"/>
          <w:szCs w:val="22"/>
        </w:rPr>
      </w:pPr>
    </w:p>
    <w:p w14:paraId="1CD82FBD" w14:textId="248B85FA" w:rsidR="003B74DA" w:rsidRPr="007C1E81" w:rsidRDefault="003B74DA" w:rsidP="009D7304">
      <w:pPr>
        <w:tabs>
          <w:tab w:val="left" w:pos="426"/>
          <w:tab w:val="right" w:pos="1276"/>
        </w:tabs>
        <w:jc w:val="both"/>
        <w:rPr>
          <w:rFonts w:ascii="Arial" w:hAnsi="Arial"/>
          <w:sz w:val="22"/>
          <w:szCs w:val="22"/>
        </w:rPr>
      </w:pPr>
      <w:r w:rsidRPr="007C1E81">
        <w:rPr>
          <w:rFonts w:ascii="Arial" w:hAnsi="Arial"/>
          <w:sz w:val="22"/>
          <w:szCs w:val="22"/>
        </w:rPr>
        <w:t>At 31 March 20</w:t>
      </w:r>
      <w:r w:rsidR="00B1343E" w:rsidRPr="007C1E81">
        <w:rPr>
          <w:rFonts w:ascii="Arial" w:hAnsi="Arial"/>
          <w:sz w:val="22"/>
          <w:szCs w:val="22"/>
        </w:rPr>
        <w:t>2</w:t>
      </w:r>
      <w:r w:rsidR="00F3405A">
        <w:rPr>
          <w:rFonts w:ascii="Arial" w:hAnsi="Arial"/>
          <w:sz w:val="22"/>
          <w:szCs w:val="22"/>
        </w:rPr>
        <w:t>5</w:t>
      </w:r>
      <w:r w:rsidRPr="007C1E81">
        <w:rPr>
          <w:rFonts w:ascii="Arial" w:hAnsi="Arial"/>
          <w:sz w:val="22"/>
          <w:szCs w:val="22"/>
        </w:rPr>
        <w:t xml:space="preserve"> the PCC Group has </w:t>
      </w:r>
      <w:r w:rsidR="00105039" w:rsidRPr="007C1E81">
        <w:rPr>
          <w:rFonts w:ascii="Arial" w:hAnsi="Arial"/>
          <w:sz w:val="22"/>
          <w:szCs w:val="22"/>
        </w:rPr>
        <w:t>entered</w:t>
      </w:r>
      <w:r w:rsidRPr="007C1E81">
        <w:rPr>
          <w:rFonts w:ascii="Arial" w:hAnsi="Arial"/>
          <w:sz w:val="22"/>
          <w:szCs w:val="22"/>
        </w:rPr>
        <w:t xml:space="preserve"> </w:t>
      </w:r>
      <w:proofErr w:type="gramStart"/>
      <w:r w:rsidRPr="007C1E81">
        <w:rPr>
          <w:rFonts w:ascii="Arial" w:hAnsi="Arial"/>
          <w:sz w:val="22"/>
          <w:szCs w:val="22"/>
        </w:rPr>
        <w:t>a number of</w:t>
      </w:r>
      <w:proofErr w:type="gramEnd"/>
      <w:r w:rsidRPr="007C1E81">
        <w:rPr>
          <w:rFonts w:ascii="Arial" w:hAnsi="Arial"/>
          <w:sz w:val="22"/>
          <w:szCs w:val="22"/>
        </w:rPr>
        <w:t xml:space="preserve"> capital contracts in respect of expenditure to be incurred in 20</w:t>
      </w:r>
      <w:r w:rsidR="00625966" w:rsidRPr="007C1E81">
        <w:rPr>
          <w:rFonts w:ascii="Arial" w:hAnsi="Arial"/>
          <w:sz w:val="22"/>
          <w:szCs w:val="22"/>
        </w:rPr>
        <w:t>2</w:t>
      </w:r>
      <w:r w:rsidR="00F01C9C">
        <w:rPr>
          <w:rFonts w:ascii="Arial" w:hAnsi="Arial"/>
          <w:sz w:val="22"/>
          <w:szCs w:val="22"/>
        </w:rPr>
        <w:t>5</w:t>
      </w:r>
      <w:r w:rsidR="00472200" w:rsidRPr="007C1E81">
        <w:rPr>
          <w:rFonts w:ascii="Arial" w:hAnsi="Arial"/>
          <w:sz w:val="22"/>
          <w:szCs w:val="22"/>
        </w:rPr>
        <w:t>/</w:t>
      </w:r>
      <w:r w:rsidR="00625966" w:rsidRPr="007C1E81">
        <w:rPr>
          <w:rFonts w:ascii="Arial" w:hAnsi="Arial"/>
          <w:sz w:val="22"/>
          <w:szCs w:val="22"/>
        </w:rPr>
        <w:t>2</w:t>
      </w:r>
      <w:r w:rsidR="00F01C9C">
        <w:rPr>
          <w:rFonts w:ascii="Arial" w:hAnsi="Arial"/>
          <w:sz w:val="22"/>
          <w:szCs w:val="22"/>
        </w:rPr>
        <w:t>6</w:t>
      </w:r>
      <w:r w:rsidRPr="007C1E81">
        <w:rPr>
          <w:rFonts w:ascii="Arial" w:hAnsi="Arial"/>
          <w:sz w:val="22"/>
          <w:szCs w:val="22"/>
        </w:rPr>
        <w:t xml:space="preserve"> and future years, budgeted to </w:t>
      </w:r>
      <w:r w:rsidRPr="005D521B">
        <w:rPr>
          <w:rFonts w:ascii="Arial" w:hAnsi="Arial"/>
          <w:sz w:val="22"/>
          <w:szCs w:val="22"/>
        </w:rPr>
        <w:t xml:space="preserve">cost </w:t>
      </w:r>
      <w:r w:rsidR="005D521B" w:rsidRPr="005D521B">
        <w:rPr>
          <w:rFonts w:ascii="Arial" w:hAnsi="Arial"/>
          <w:sz w:val="22"/>
          <w:szCs w:val="22"/>
        </w:rPr>
        <w:t>£</w:t>
      </w:r>
      <w:r w:rsidR="00F01C9C">
        <w:rPr>
          <w:rFonts w:ascii="Arial" w:hAnsi="Arial"/>
          <w:sz w:val="22"/>
          <w:szCs w:val="22"/>
        </w:rPr>
        <w:t>29</w:t>
      </w:r>
      <w:r w:rsidR="00CA2552">
        <w:rPr>
          <w:rFonts w:ascii="Arial" w:hAnsi="Arial"/>
          <w:sz w:val="22"/>
          <w:szCs w:val="22"/>
        </w:rPr>
        <w:t>.</w:t>
      </w:r>
      <w:r w:rsidR="00F01C9C">
        <w:rPr>
          <w:rFonts w:ascii="Arial" w:hAnsi="Arial"/>
          <w:sz w:val="22"/>
          <w:szCs w:val="22"/>
        </w:rPr>
        <w:t>204</w:t>
      </w:r>
      <w:r w:rsidR="00625966" w:rsidRPr="005D521B">
        <w:rPr>
          <w:rFonts w:ascii="Arial" w:hAnsi="Arial"/>
          <w:sz w:val="22"/>
          <w:szCs w:val="22"/>
        </w:rPr>
        <w:t>m</w:t>
      </w:r>
      <w:r w:rsidRPr="007C1E81">
        <w:rPr>
          <w:rFonts w:ascii="Arial" w:hAnsi="Arial"/>
          <w:sz w:val="22"/>
          <w:szCs w:val="22"/>
        </w:rPr>
        <w:t>. Similar commitments at 31 March 20</w:t>
      </w:r>
      <w:r w:rsidR="00472200" w:rsidRPr="007C1E81">
        <w:rPr>
          <w:rFonts w:ascii="Arial" w:hAnsi="Arial"/>
          <w:sz w:val="22"/>
          <w:szCs w:val="22"/>
        </w:rPr>
        <w:t>2</w:t>
      </w:r>
      <w:r w:rsidR="00F3405A">
        <w:rPr>
          <w:rFonts w:ascii="Arial" w:hAnsi="Arial"/>
          <w:sz w:val="22"/>
          <w:szCs w:val="22"/>
        </w:rPr>
        <w:t>4</w:t>
      </w:r>
      <w:r w:rsidR="00472200" w:rsidRPr="007C1E81">
        <w:rPr>
          <w:rFonts w:ascii="Arial" w:hAnsi="Arial"/>
          <w:sz w:val="22"/>
          <w:szCs w:val="22"/>
        </w:rPr>
        <w:t xml:space="preserve"> </w:t>
      </w:r>
      <w:r w:rsidRPr="007C1E81">
        <w:rPr>
          <w:rFonts w:ascii="Arial" w:hAnsi="Arial"/>
          <w:sz w:val="22"/>
          <w:szCs w:val="22"/>
        </w:rPr>
        <w:t xml:space="preserve">were </w:t>
      </w:r>
      <w:r w:rsidRPr="008A1026">
        <w:rPr>
          <w:rFonts w:ascii="Arial" w:hAnsi="Arial"/>
          <w:sz w:val="22"/>
          <w:szCs w:val="22"/>
        </w:rPr>
        <w:t>£</w:t>
      </w:r>
      <w:r w:rsidR="00F3405A">
        <w:rPr>
          <w:rFonts w:ascii="Arial" w:hAnsi="Arial"/>
          <w:sz w:val="22"/>
          <w:szCs w:val="22"/>
        </w:rPr>
        <w:t>5</w:t>
      </w:r>
      <w:r w:rsidR="00AE2DCB" w:rsidRPr="008A1026">
        <w:rPr>
          <w:rFonts w:ascii="Arial" w:hAnsi="Arial"/>
          <w:sz w:val="22"/>
          <w:szCs w:val="22"/>
        </w:rPr>
        <w:t>.</w:t>
      </w:r>
      <w:r w:rsidR="00F3405A">
        <w:rPr>
          <w:rFonts w:ascii="Arial" w:hAnsi="Arial"/>
          <w:sz w:val="22"/>
          <w:szCs w:val="22"/>
        </w:rPr>
        <w:t>60</w:t>
      </w:r>
      <w:r w:rsidR="00AE2DCB" w:rsidRPr="008A1026">
        <w:rPr>
          <w:rFonts w:ascii="Arial" w:hAnsi="Arial"/>
          <w:sz w:val="22"/>
          <w:szCs w:val="22"/>
        </w:rPr>
        <w:t>6</w:t>
      </w:r>
      <w:r w:rsidRPr="008A1026">
        <w:rPr>
          <w:rFonts w:ascii="Arial" w:hAnsi="Arial"/>
          <w:sz w:val="22"/>
          <w:szCs w:val="22"/>
        </w:rPr>
        <w:t>m.</w:t>
      </w:r>
    </w:p>
    <w:p w14:paraId="2CAC3144" w14:textId="77777777" w:rsidR="003B74DA" w:rsidRPr="00E96552" w:rsidRDefault="003B74DA" w:rsidP="003A75C3">
      <w:pPr>
        <w:tabs>
          <w:tab w:val="left" w:pos="426"/>
          <w:tab w:val="right" w:pos="1276"/>
        </w:tabs>
        <w:ind w:left="426"/>
        <w:jc w:val="both"/>
        <w:rPr>
          <w:rFonts w:ascii="Arial" w:hAnsi="Arial"/>
          <w:sz w:val="22"/>
          <w:szCs w:val="22"/>
          <w:highlight w:val="yellow"/>
        </w:rPr>
      </w:pPr>
    </w:p>
    <w:bookmarkEnd w:id="22"/>
    <w:p w14:paraId="1C315126" w14:textId="781A8BB9" w:rsidR="003B74DA" w:rsidRPr="00944392" w:rsidRDefault="003B74DA" w:rsidP="009D7304">
      <w:pPr>
        <w:tabs>
          <w:tab w:val="left" w:pos="426"/>
          <w:tab w:val="right" w:pos="1276"/>
        </w:tabs>
        <w:jc w:val="both"/>
        <w:rPr>
          <w:rFonts w:ascii="Arial" w:hAnsi="Arial"/>
          <w:b/>
          <w:sz w:val="22"/>
          <w:szCs w:val="22"/>
        </w:rPr>
      </w:pPr>
      <w:r w:rsidRPr="00944392">
        <w:rPr>
          <w:rFonts w:ascii="Arial" w:hAnsi="Arial"/>
          <w:b/>
          <w:sz w:val="22"/>
          <w:szCs w:val="22"/>
        </w:rPr>
        <w:t>Effects of Changes in Estimates</w:t>
      </w:r>
    </w:p>
    <w:p w14:paraId="2B02F293" w14:textId="77777777" w:rsidR="003B74DA" w:rsidRPr="00944392" w:rsidRDefault="003B74DA" w:rsidP="003A75C3">
      <w:pPr>
        <w:tabs>
          <w:tab w:val="right" w:pos="5760"/>
        </w:tabs>
        <w:jc w:val="both"/>
        <w:rPr>
          <w:rFonts w:ascii="Arial" w:hAnsi="Arial"/>
          <w:sz w:val="22"/>
          <w:szCs w:val="22"/>
        </w:rPr>
      </w:pPr>
    </w:p>
    <w:p w14:paraId="2B20CE17" w14:textId="32842A63" w:rsidR="003B74DA" w:rsidRPr="00944392" w:rsidRDefault="003B74DA" w:rsidP="009D7304">
      <w:pPr>
        <w:tabs>
          <w:tab w:val="left" w:pos="426"/>
          <w:tab w:val="right" w:pos="1276"/>
        </w:tabs>
        <w:jc w:val="both"/>
        <w:rPr>
          <w:rFonts w:ascii="Arial" w:hAnsi="Arial"/>
          <w:sz w:val="22"/>
          <w:szCs w:val="22"/>
        </w:rPr>
      </w:pPr>
      <w:r w:rsidRPr="00944392">
        <w:rPr>
          <w:rFonts w:ascii="Arial" w:hAnsi="Arial"/>
          <w:sz w:val="22"/>
          <w:szCs w:val="22"/>
        </w:rPr>
        <w:t xml:space="preserve">In </w:t>
      </w:r>
      <w:r w:rsidR="00C37E7F">
        <w:rPr>
          <w:rFonts w:ascii="Arial" w:hAnsi="Arial"/>
          <w:sz w:val="22"/>
          <w:szCs w:val="22"/>
        </w:rPr>
        <w:t>2024/25</w:t>
      </w:r>
      <w:r w:rsidR="00625966" w:rsidRPr="00944392">
        <w:rPr>
          <w:rFonts w:ascii="Arial" w:hAnsi="Arial"/>
          <w:sz w:val="22"/>
          <w:szCs w:val="22"/>
        </w:rPr>
        <w:t xml:space="preserve"> </w:t>
      </w:r>
      <w:r w:rsidRPr="00944392">
        <w:rPr>
          <w:rFonts w:ascii="Arial" w:hAnsi="Arial"/>
          <w:sz w:val="22"/>
          <w:szCs w:val="22"/>
        </w:rPr>
        <w:t>the PCC made no material changes to its accounting estimates for property, plant and equipment.</w:t>
      </w:r>
    </w:p>
    <w:p w14:paraId="0FA83327" w14:textId="12A9CE61" w:rsidR="00D20A29" w:rsidRPr="00944392" w:rsidRDefault="00D20A29" w:rsidP="003A75C3">
      <w:pPr>
        <w:rPr>
          <w:rFonts w:ascii="Arial" w:hAnsi="Arial"/>
          <w:b/>
          <w:sz w:val="22"/>
          <w:szCs w:val="22"/>
        </w:rPr>
      </w:pPr>
    </w:p>
    <w:p w14:paraId="1D422CCD" w14:textId="77777777" w:rsidR="00DD3944" w:rsidRDefault="00DD3944">
      <w:pPr>
        <w:rPr>
          <w:rFonts w:ascii="Arial" w:hAnsi="Arial"/>
          <w:b/>
          <w:sz w:val="22"/>
          <w:szCs w:val="22"/>
        </w:rPr>
      </w:pPr>
      <w:bookmarkStart w:id="23" w:name="_Hlk75160618"/>
      <w:bookmarkStart w:id="24" w:name="_Hlk75160500"/>
      <w:r>
        <w:rPr>
          <w:rFonts w:ascii="Arial" w:hAnsi="Arial"/>
          <w:b/>
          <w:sz w:val="22"/>
          <w:szCs w:val="22"/>
        </w:rPr>
        <w:br w:type="page"/>
      </w:r>
    </w:p>
    <w:p w14:paraId="68C52FF1" w14:textId="485FC62B" w:rsidR="00DD2B03" w:rsidRPr="006F3B49" w:rsidRDefault="003B74DA" w:rsidP="009D7304">
      <w:pPr>
        <w:tabs>
          <w:tab w:val="left" w:pos="426"/>
          <w:tab w:val="right" w:pos="1276"/>
        </w:tabs>
        <w:jc w:val="both"/>
        <w:rPr>
          <w:rFonts w:ascii="Arial" w:hAnsi="Arial" w:cs="Arial"/>
          <w:sz w:val="22"/>
          <w:szCs w:val="22"/>
        </w:rPr>
      </w:pPr>
      <w:r w:rsidRPr="006F3B49">
        <w:rPr>
          <w:rFonts w:ascii="Arial" w:hAnsi="Arial"/>
          <w:b/>
          <w:sz w:val="22"/>
          <w:szCs w:val="22"/>
        </w:rPr>
        <w:lastRenderedPageBreak/>
        <w:t xml:space="preserve">Revaluations </w:t>
      </w:r>
    </w:p>
    <w:p w14:paraId="7C5E3AED" w14:textId="77777777" w:rsidR="00DD2B03" w:rsidRPr="006F3B49" w:rsidRDefault="00DD2B03" w:rsidP="003A75C3">
      <w:pPr>
        <w:tabs>
          <w:tab w:val="left" w:pos="426"/>
          <w:tab w:val="right" w:pos="1276"/>
        </w:tabs>
        <w:ind w:left="426"/>
        <w:jc w:val="both"/>
        <w:rPr>
          <w:rFonts w:ascii="Arial" w:hAnsi="Arial"/>
          <w:b/>
          <w:sz w:val="22"/>
          <w:szCs w:val="22"/>
        </w:rPr>
      </w:pPr>
    </w:p>
    <w:p w14:paraId="54517253" w14:textId="1F8E84F4" w:rsidR="00DD2B03" w:rsidRPr="006F3B49" w:rsidRDefault="00290AFB" w:rsidP="009D7304">
      <w:pPr>
        <w:tabs>
          <w:tab w:val="left" w:pos="426"/>
          <w:tab w:val="right" w:pos="1276"/>
        </w:tabs>
        <w:jc w:val="both"/>
        <w:rPr>
          <w:rFonts w:ascii="Arial" w:hAnsi="Arial" w:cs="Arial"/>
          <w:sz w:val="22"/>
          <w:szCs w:val="22"/>
        </w:rPr>
      </w:pPr>
      <w:r w:rsidRPr="006F3B49">
        <w:rPr>
          <w:rFonts w:ascii="Arial" w:hAnsi="Arial" w:cs="Arial"/>
          <w:sz w:val="22"/>
          <w:szCs w:val="22"/>
        </w:rPr>
        <w:t xml:space="preserve">The PCC Group carries out a rolling three-year programme that ensures that all property, plant and equipment required to be measured at </w:t>
      </w:r>
      <w:r w:rsidR="0041356E">
        <w:rPr>
          <w:rFonts w:ascii="Arial" w:hAnsi="Arial" w:cs="Arial"/>
          <w:sz w:val="22"/>
          <w:szCs w:val="22"/>
        </w:rPr>
        <w:t xml:space="preserve">current </w:t>
      </w:r>
      <w:r w:rsidRPr="006F3B49">
        <w:rPr>
          <w:rFonts w:ascii="Arial" w:hAnsi="Arial" w:cs="Arial"/>
          <w:sz w:val="22"/>
          <w:szCs w:val="22"/>
        </w:rPr>
        <w:t xml:space="preserve">value is re-valued sufficiently regularly to ensure that the carrying amount is not materially different from </w:t>
      </w:r>
      <w:r w:rsidR="0041356E">
        <w:rPr>
          <w:rFonts w:ascii="Arial" w:hAnsi="Arial" w:cs="Arial"/>
          <w:sz w:val="22"/>
          <w:szCs w:val="22"/>
        </w:rPr>
        <w:t>current</w:t>
      </w:r>
      <w:r w:rsidRPr="006F3B49">
        <w:rPr>
          <w:rFonts w:ascii="Arial" w:hAnsi="Arial" w:cs="Arial"/>
          <w:sz w:val="22"/>
          <w:szCs w:val="22"/>
        </w:rPr>
        <w:t xml:space="preserve"> value at the balance sheet date. Revaluations in </w:t>
      </w:r>
      <w:r w:rsidR="00C37E7F">
        <w:rPr>
          <w:rFonts w:ascii="Arial" w:hAnsi="Arial" w:cs="Arial"/>
          <w:sz w:val="22"/>
          <w:szCs w:val="22"/>
        </w:rPr>
        <w:t>2024/25</w:t>
      </w:r>
      <w:r w:rsidRPr="006F3B49">
        <w:rPr>
          <w:rFonts w:ascii="Arial" w:hAnsi="Arial" w:cs="Arial"/>
          <w:sz w:val="22"/>
          <w:szCs w:val="22"/>
        </w:rPr>
        <w:t xml:space="preserve"> were carried out by RICS qualified surveyors from Aspin and Company Ltd. Valuations of land and buildings were carried out in accordance with the methodologies and bases for estimation set out in the professional standards of the Royal Institution of Chartered Surveyors</w:t>
      </w:r>
      <w:r w:rsidRPr="006F3B49">
        <w:rPr>
          <w:rFonts w:ascii="Arial" w:hAnsi="Arial" w:cs="Arial"/>
          <w:color w:val="FF0000"/>
          <w:sz w:val="22"/>
          <w:szCs w:val="22"/>
        </w:rPr>
        <w:t xml:space="preserve">. </w:t>
      </w:r>
      <w:r w:rsidRPr="006F3B49">
        <w:rPr>
          <w:rFonts w:ascii="Arial" w:hAnsi="Arial" w:cs="Arial"/>
          <w:sz w:val="22"/>
          <w:szCs w:val="22"/>
        </w:rPr>
        <w:t xml:space="preserve">Where non-property assets, principally furniture, equipment and vehicles that have short useful lives or low values (or both), depreciated historical cost basis is used as a proxy for </w:t>
      </w:r>
      <w:r w:rsidR="0041356E">
        <w:rPr>
          <w:rFonts w:ascii="Arial" w:hAnsi="Arial" w:cs="Arial"/>
          <w:sz w:val="22"/>
          <w:szCs w:val="22"/>
        </w:rPr>
        <w:t>current</w:t>
      </w:r>
      <w:r w:rsidRPr="006F3B49">
        <w:rPr>
          <w:rFonts w:ascii="Arial" w:hAnsi="Arial" w:cs="Arial"/>
          <w:sz w:val="22"/>
          <w:szCs w:val="22"/>
        </w:rPr>
        <w:t xml:space="preserve"> value and these are not therefore subject to revaluation.</w:t>
      </w:r>
    </w:p>
    <w:p w14:paraId="62CF01AC" w14:textId="77777777" w:rsidR="00DD2B03" w:rsidRPr="006F3B49" w:rsidRDefault="00DD2B03" w:rsidP="003A75C3">
      <w:pPr>
        <w:tabs>
          <w:tab w:val="left" w:pos="426"/>
          <w:tab w:val="right" w:pos="1276"/>
        </w:tabs>
        <w:ind w:left="426"/>
        <w:jc w:val="both"/>
        <w:rPr>
          <w:rFonts w:ascii="Arial" w:hAnsi="Arial" w:cs="Arial"/>
          <w:sz w:val="22"/>
          <w:szCs w:val="22"/>
        </w:rPr>
      </w:pPr>
    </w:p>
    <w:p w14:paraId="35306EBB" w14:textId="521D204B" w:rsidR="00040118" w:rsidRDefault="00290AFB" w:rsidP="009D7304">
      <w:pPr>
        <w:tabs>
          <w:tab w:val="left" w:pos="426"/>
          <w:tab w:val="right" w:pos="1276"/>
        </w:tabs>
        <w:jc w:val="both"/>
        <w:rPr>
          <w:rFonts w:ascii="Arial" w:hAnsi="Arial" w:cs="Arial"/>
          <w:sz w:val="22"/>
          <w:szCs w:val="22"/>
        </w:rPr>
      </w:pPr>
      <w:r w:rsidRPr="006F3B49">
        <w:rPr>
          <w:rFonts w:ascii="Arial" w:hAnsi="Arial" w:cs="Arial"/>
          <w:sz w:val="22"/>
          <w:szCs w:val="22"/>
        </w:rPr>
        <w:t>The following table shows the progress of the PCC Group’s rolling programme for the revaluations of property plant and equipment.</w:t>
      </w:r>
    </w:p>
    <w:p w14:paraId="5EF0ACAC" w14:textId="77777777" w:rsidR="00290AFB" w:rsidRPr="006F3B49" w:rsidRDefault="00290AFB" w:rsidP="009D7304">
      <w:pPr>
        <w:tabs>
          <w:tab w:val="left" w:pos="426"/>
          <w:tab w:val="right" w:pos="1276"/>
        </w:tabs>
        <w:jc w:val="both"/>
        <w:rPr>
          <w:rFonts w:ascii="Arial" w:hAnsi="Arial" w:cs="Arial"/>
          <w:sz w:val="22"/>
          <w:szCs w:val="22"/>
        </w:rPr>
      </w:pPr>
    </w:p>
    <w:p w14:paraId="6E634523" w14:textId="77777777" w:rsidR="00DD2B03" w:rsidRPr="00E96552" w:rsidRDefault="00DD2B03" w:rsidP="009D7304">
      <w:pPr>
        <w:tabs>
          <w:tab w:val="left" w:pos="426"/>
          <w:tab w:val="right" w:pos="1276"/>
        </w:tabs>
        <w:jc w:val="both"/>
        <w:rPr>
          <w:rFonts w:ascii="Arial" w:hAnsi="Arial" w:cs="Arial"/>
          <w:sz w:val="22"/>
          <w:szCs w:val="22"/>
          <w:highlight w:val="yellow"/>
        </w:rPr>
      </w:pPr>
    </w:p>
    <w:tbl>
      <w:tblPr>
        <w:tblW w:w="9983" w:type="dxa"/>
        <w:tblInd w:w="466" w:type="dxa"/>
        <w:tblLook w:val="04A0" w:firstRow="1" w:lastRow="0" w:firstColumn="1" w:lastColumn="0" w:noHBand="0" w:noVBand="1"/>
      </w:tblPr>
      <w:tblGrid>
        <w:gridCol w:w="2344"/>
        <w:gridCol w:w="1627"/>
        <w:gridCol w:w="1464"/>
        <w:gridCol w:w="1564"/>
        <w:gridCol w:w="1468"/>
        <w:gridCol w:w="1516"/>
      </w:tblGrid>
      <w:tr w:rsidR="00350D11" w:rsidRPr="004C17B2" w14:paraId="3C3BE029" w14:textId="77777777" w:rsidTr="00E94E01">
        <w:trPr>
          <w:trHeight w:val="900"/>
        </w:trPr>
        <w:tc>
          <w:tcPr>
            <w:tcW w:w="2344" w:type="dxa"/>
            <w:tcBorders>
              <w:top w:val="single" w:sz="8" w:space="0" w:color="auto"/>
              <w:left w:val="single" w:sz="8" w:space="0" w:color="auto"/>
              <w:bottom w:val="nil"/>
              <w:right w:val="nil"/>
            </w:tcBorders>
            <w:shd w:val="clear" w:color="000000" w:fill="D9D9D9"/>
            <w:vAlign w:val="center"/>
            <w:hideMark/>
          </w:tcPr>
          <w:bookmarkEnd w:id="23"/>
          <w:bookmarkEnd w:id="24"/>
          <w:p w14:paraId="00B96866" w14:textId="77777777" w:rsidR="00350D11" w:rsidRPr="006F3B49" w:rsidRDefault="00350D11" w:rsidP="003A75C3">
            <w:pPr>
              <w:rPr>
                <w:rFonts w:ascii="Arial" w:hAnsi="Arial" w:cs="Arial"/>
                <w:b/>
                <w:bCs/>
                <w:color w:val="000000"/>
              </w:rPr>
            </w:pPr>
            <w:r w:rsidRPr="006F3B49">
              <w:rPr>
                <w:rFonts w:ascii="Arial" w:hAnsi="Arial" w:cs="Arial"/>
                <w:b/>
                <w:bCs/>
                <w:color w:val="000000"/>
              </w:rPr>
              <w:t> </w:t>
            </w:r>
          </w:p>
        </w:tc>
        <w:tc>
          <w:tcPr>
            <w:tcW w:w="1627" w:type="dxa"/>
            <w:tcBorders>
              <w:top w:val="single" w:sz="8" w:space="0" w:color="auto"/>
              <w:left w:val="nil"/>
              <w:bottom w:val="nil"/>
              <w:right w:val="nil"/>
            </w:tcBorders>
            <w:shd w:val="clear" w:color="000000" w:fill="D9D9D9"/>
            <w:vAlign w:val="center"/>
            <w:hideMark/>
          </w:tcPr>
          <w:p w14:paraId="63E6D22A" w14:textId="77777777" w:rsidR="00350D11" w:rsidRPr="006F3B49" w:rsidRDefault="00350D11" w:rsidP="00177184">
            <w:pPr>
              <w:jc w:val="center"/>
              <w:rPr>
                <w:rFonts w:ascii="Arial" w:hAnsi="Arial" w:cs="Arial"/>
                <w:b/>
                <w:bCs/>
                <w:color w:val="000000"/>
              </w:rPr>
            </w:pPr>
            <w:r w:rsidRPr="006F3B49">
              <w:rPr>
                <w:rFonts w:ascii="Arial" w:hAnsi="Arial" w:cs="Arial"/>
                <w:b/>
                <w:bCs/>
                <w:color w:val="000000"/>
              </w:rPr>
              <w:t>Land &amp; Buildings</w:t>
            </w:r>
          </w:p>
        </w:tc>
        <w:tc>
          <w:tcPr>
            <w:tcW w:w="1464" w:type="dxa"/>
            <w:tcBorders>
              <w:top w:val="single" w:sz="8" w:space="0" w:color="auto"/>
              <w:left w:val="nil"/>
              <w:bottom w:val="nil"/>
              <w:right w:val="nil"/>
            </w:tcBorders>
            <w:shd w:val="clear" w:color="000000" w:fill="D9D9D9"/>
            <w:vAlign w:val="center"/>
            <w:hideMark/>
          </w:tcPr>
          <w:p w14:paraId="29198F8B" w14:textId="77777777" w:rsidR="00350D11" w:rsidRPr="006F3B49" w:rsidRDefault="00350D11" w:rsidP="00177184">
            <w:pPr>
              <w:jc w:val="center"/>
              <w:rPr>
                <w:rFonts w:ascii="Arial" w:hAnsi="Arial" w:cs="Arial"/>
                <w:b/>
                <w:bCs/>
                <w:color w:val="000000"/>
              </w:rPr>
            </w:pPr>
            <w:r w:rsidRPr="006F3B49">
              <w:rPr>
                <w:rFonts w:ascii="Arial" w:hAnsi="Arial" w:cs="Arial"/>
                <w:b/>
                <w:bCs/>
                <w:color w:val="000000"/>
              </w:rPr>
              <w:t>Vehicles, Plant, Furniture &amp; Equipment</w:t>
            </w:r>
          </w:p>
        </w:tc>
        <w:tc>
          <w:tcPr>
            <w:tcW w:w="1564" w:type="dxa"/>
            <w:tcBorders>
              <w:top w:val="single" w:sz="8" w:space="0" w:color="auto"/>
              <w:left w:val="nil"/>
              <w:bottom w:val="nil"/>
              <w:right w:val="nil"/>
            </w:tcBorders>
            <w:shd w:val="clear" w:color="000000" w:fill="D9D9D9"/>
            <w:vAlign w:val="center"/>
            <w:hideMark/>
          </w:tcPr>
          <w:p w14:paraId="54A49738" w14:textId="77777777" w:rsidR="00350D11" w:rsidRPr="006F3B49" w:rsidRDefault="00350D11" w:rsidP="00177184">
            <w:pPr>
              <w:jc w:val="center"/>
              <w:rPr>
                <w:rFonts w:ascii="Arial" w:hAnsi="Arial" w:cs="Arial"/>
                <w:b/>
                <w:bCs/>
                <w:color w:val="000000"/>
              </w:rPr>
            </w:pPr>
            <w:r w:rsidRPr="006F3B49">
              <w:rPr>
                <w:rFonts w:ascii="Arial" w:hAnsi="Arial" w:cs="Arial"/>
                <w:b/>
                <w:bCs/>
                <w:color w:val="000000"/>
              </w:rPr>
              <w:t>Assets under Construction</w:t>
            </w:r>
          </w:p>
        </w:tc>
        <w:tc>
          <w:tcPr>
            <w:tcW w:w="1468" w:type="dxa"/>
            <w:tcBorders>
              <w:top w:val="single" w:sz="8" w:space="0" w:color="auto"/>
              <w:left w:val="nil"/>
              <w:bottom w:val="nil"/>
              <w:right w:val="nil"/>
            </w:tcBorders>
            <w:shd w:val="clear" w:color="000000" w:fill="D9D9D9"/>
            <w:vAlign w:val="center"/>
          </w:tcPr>
          <w:p w14:paraId="41C41059" w14:textId="005BCC6A" w:rsidR="00350D11" w:rsidRPr="006F3B49" w:rsidRDefault="00E94E01" w:rsidP="00E94E01">
            <w:pPr>
              <w:jc w:val="center"/>
              <w:rPr>
                <w:rFonts w:ascii="Arial" w:hAnsi="Arial" w:cs="Arial"/>
                <w:b/>
                <w:bCs/>
                <w:color w:val="000000"/>
              </w:rPr>
            </w:pPr>
            <w:r w:rsidRPr="00E94E01">
              <w:rPr>
                <w:rFonts w:ascii="Arial" w:hAnsi="Arial" w:cs="Arial"/>
                <w:b/>
                <w:bCs/>
                <w:color w:val="000000"/>
              </w:rPr>
              <w:t>Right of Use assets</w:t>
            </w:r>
          </w:p>
        </w:tc>
        <w:tc>
          <w:tcPr>
            <w:tcW w:w="1516" w:type="dxa"/>
            <w:tcBorders>
              <w:top w:val="single" w:sz="8" w:space="0" w:color="auto"/>
              <w:left w:val="nil"/>
              <w:bottom w:val="nil"/>
              <w:right w:val="single" w:sz="8" w:space="0" w:color="auto"/>
            </w:tcBorders>
            <w:shd w:val="clear" w:color="000000" w:fill="D9D9D9"/>
            <w:vAlign w:val="center"/>
            <w:hideMark/>
          </w:tcPr>
          <w:p w14:paraId="494A235F" w14:textId="4AFC07CD" w:rsidR="00350D11" w:rsidRPr="006F3B49" w:rsidRDefault="00350D11" w:rsidP="00177184">
            <w:pPr>
              <w:jc w:val="center"/>
              <w:rPr>
                <w:rFonts w:ascii="Arial" w:hAnsi="Arial" w:cs="Arial"/>
                <w:b/>
                <w:bCs/>
                <w:color w:val="000000"/>
              </w:rPr>
            </w:pPr>
            <w:r w:rsidRPr="006F3B49">
              <w:rPr>
                <w:rFonts w:ascii="Arial" w:hAnsi="Arial" w:cs="Arial"/>
                <w:b/>
                <w:bCs/>
                <w:color w:val="000000"/>
              </w:rPr>
              <w:t>Total</w:t>
            </w:r>
          </w:p>
        </w:tc>
      </w:tr>
      <w:tr w:rsidR="00350D11" w:rsidRPr="004C17B2" w14:paraId="39A35C8C" w14:textId="77777777" w:rsidTr="00E94E01">
        <w:trPr>
          <w:trHeight w:val="300"/>
        </w:trPr>
        <w:tc>
          <w:tcPr>
            <w:tcW w:w="2344" w:type="dxa"/>
            <w:tcBorders>
              <w:top w:val="nil"/>
              <w:left w:val="single" w:sz="8" w:space="0" w:color="auto"/>
              <w:bottom w:val="nil"/>
              <w:right w:val="nil"/>
            </w:tcBorders>
            <w:shd w:val="clear" w:color="000000" w:fill="D9D9D9"/>
            <w:vAlign w:val="center"/>
            <w:hideMark/>
          </w:tcPr>
          <w:p w14:paraId="601346E8" w14:textId="77777777" w:rsidR="00350D11" w:rsidRPr="006F3B49" w:rsidRDefault="00350D11" w:rsidP="00177184">
            <w:pPr>
              <w:rPr>
                <w:rFonts w:ascii="Arial" w:hAnsi="Arial" w:cs="Arial"/>
                <w:color w:val="FF0000"/>
              </w:rPr>
            </w:pPr>
            <w:r w:rsidRPr="006F3B49">
              <w:rPr>
                <w:rFonts w:ascii="Arial" w:hAnsi="Arial" w:cs="Arial"/>
                <w:color w:val="FF0000"/>
              </w:rPr>
              <w:t> </w:t>
            </w:r>
          </w:p>
        </w:tc>
        <w:tc>
          <w:tcPr>
            <w:tcW w:w="1627" w:type="dxa"/>
            <w:tcBorders>
              <w:top w:val="nil"/>
              <w:left w:val="nil"/>
              <w:bottom w:val="nil"/>
              <w:right w:val="nil"/>
            </w:tcBorders>
            <w:shd w:val="clear" w:color="000000" w:fill="D9D9D9"/>
            <w:vAlign w:val="center"/>
            <w:hideMark/>
          </w:tcPr>
          <w:p w14:paraId="5E940D18" w14:textId="77777777" w:rsidR="00350D11" w:rsidRPr="006F3B49" w:rsidRDefault="00350D11" w:rsidP="00177184">
            <w:pPr>
              <w:jc w:val="center"/>
              <w:rPr>
                <w:rFonts w:ascii="Arial" w:hAnsi="Arial" w:cs="Arial"/>
                <w:b/>
                <w:bCs/>
                <w:color w:val="000000"/>
              </w:rPr>
            </w:pPr>
            <w:r w:rsidRPr="006F3B49">
              <w:rPr>
                <w:rFonts w:ascii="Arial" w:hAnsi="Arial" w:cs="Arial"/>
                <w:b/>
                <w:bCs/>
                <w:color w:val="000000"/>
              </w:rPr>
              <w:t>£000</w:t>
            </w:r>
          </w:p>
        </w:tc>
        <w:tc>
          <w:tcPr>
            <w:tcW w:w="1464" w:type="dxa"/>
            <w:tcBorders>
              <w:top w:val="nil"/>
              <w:left w:val="nil"/>
              <w:bottom w:val="nil"/>
              <w:right w:val="nil"/>
            </w:tcBorders>
            <w:shd w:val="clear" w:color="000000" w:fill="D9D9D9"/>
            <w:vAlign w:val="center"/>
            <w:hideMark/>
          </w:tcPr>
          <w:p w14:paraId="70C73140" w14:textId="77777777" w:rsidR="00350D11" w:rsidRPr="006F3B49" w:rsidRDefault="00350D11" w:rsidP="00177184">
            <w:pPr>
              <w:jc w:val="center"/>
              <w:rPr>
                <w:rFonts w:ascii="Arial" w:hAnsi="Arial" w:cs="Arial"/>
                <w:b/>
                <w:bCs/>
                <w:color w:val="000000"/>
              </w:rPr>
            </w:pPr>
            <w:r w:rsidRPr="006F3B49">
              <w:rPr>
                <w:rFonts w:ascii="Arial" w:hAnsi="Arial" w:cs="Arial"/>
                <w:b/>
                <w:bCs/>
                <w:color w:val="000000"/>
              </w:rPr>
              <w:t>£000</w:t>
            </w:r>
          </w:p>
        </w:tc>
        <w:tc>
          <w:tcPr>
            <w:tcW w:w="1564" w:type="dxa"/>
            <w:tcBorders>
              <w:top w:val="nil"/>
              <w:left w:val="nil"/>
              <w:bottom w:val="nil"/>
              <w:right w:val="nil"/>
            </w:tcBorders>
            <w:shd w:val="clear" w:color="000000" w:fill="D9D9D9"/>
            <w:vAlign w:val="center"/>
            <w:hideMark/>
          </w:tcPr>
          <w:p w14:paraId="24B954CB" w14:textId="77777777" w:rsidR="00350D11" w:rsidRPr="006F3B49" w:rsidRDefault="00350D11" w:rsidP="00177184">
            <w:pPr>
              <w:jc w:val="center"/>
              <w:rPr>
                <w:rFonts w:ascii="Arial" w:hAnsi="Arial" w:cs="Arial"/>
                <w:b/>
                <w:bCs/>
                <w:color w:val="000000"/>
              </w:rPr>
            </w:pPr>
            <w:r w:rsidRPr="006F3B49">
              <w:rPr>
                <w:rFonts w:ascii="Arial" w:hAnsi="Arial" w:cs="Arial"/>
                <w:b/>
                <w:bCs/>
                <w:color w:val="000000"/>
              </w:rPr>
              <w:t>£000</w:t>
            </w:r>
          </w:p>
        </w:tc>
        <w:tc>
          <w:tcPr>
            <w:tcW w:w="1468" w:type="dxa"/>
            <w:tcBorders>
              <w:top w:val="nil"/>
              <w:left w:val="nil"/>
              <w:right w:val="nil"/>
            </w:tcBorders>
            <w:shd w:val="clear" w:color="000000" w:fill="D9D9D9"/>
            <w:vAlign w:val="center"/>
          </w:tcPr>
          <w:p w14:paraId="1089E22D" w14:textId="68370314" w:rsidR="00350D11" w:rsidRPr="006F3B49" w:rsidRDefault="00E94E01" w:rsidP="00E94E01">
            <w:pPr>
              <w:jc w:val="center"/>
              <w:rPr>
                <w:rFonts w:ascii="Arial" w:hAnsi="Arial" w:cs="Arial"/>
                <w:b/>
                <w:bCs/>
                <w:color w:val="000000"/>
              </w:rPr>
            </w:pPr>
            <w:r w:rsidRPr="00E94E01">
              <w:rPr>
                <w:rFonts w:ascii="Arial" w:hAnsi="Arial" w:cs="Arial"/>
                <w:b/>
                <w:bCs/>
                <w:color w:val="000000"/>
              </w:rPr>
              <w:t>£000</w:t>
            </w:r>
          </w:p>
        </w:tc>
        <w:tc>
          <w:tcPr>
            <w:tcW w:w="1516" w:type="dxa"/>
            <w:tcBorders>
              <w:top w:val="nil"/>
              <w:left w:val="nil"/>
              <w:right w:val="single" w:sz="8" w:space="0" w:color="auto"/>
            </w:tcBorders>
            <w:shd w:val="clear" w:color="000000" w:fill="D9D9D9"/>
            <w:vAlign w:val="center"/>
            <w:hideMark/>
          </w:tcPr>
          <w:p w14:paraId="74F6C2FD" w14:textId="04461B17" w:rsidR="00350D11" w:rsidRPr="006F3B49" w:rsidRDefault="00350D11" w:rsidP="00177184">
            <w:pPr>
              <w:jc w:val="center"/>
              <w:rPr>
                <w:rFonts w:ascii="Arial" w:hAnsi="Arial" w:cs="Arial"/>
                <w:b/>
                <w:bCs/>
                <w:color w:val="000000"/>
              </w:rPr>
            </w:pPr>
            <w:r w:rsidRPr="006F3B49">
              <w:rPr>
                <w:rFonts w:ascii="Arial" w:hAnsi="Arial" w:cs="Arial"/>
                <w:b/>
                <w:bCs/>
                <w:color w:val="000000"/>
              </w:rPr>
              <w:t>£000</w:t>
            </w:r>
          </w:p>
        </w:tc>
      </w:tr>
      <w:tr w:rsidR="00350D11" w:rsidRPr="004C17B2" w14:paraId="1D137F2F" w14:textId="77777777" w:rsidTr="009A1BE0">
        <w:trPr>
          <w:trHeight w:val="300"/>
        </w:trPr>
        <w:tc>
          <w:tcPr>
            <w:tcW w:w="2344" w:type="dxa"/>
            <w:tcBorders>
              <w:top w:val="nil"/>
              <w:left w:val="single" w:sz="8" w:space="0" w:color="auto"/>
              <w:bottom w:val="nil"/>
              <w:right w:val="nil"/>
            </w:tcBorders>
            <w:shd w:val="clear" w:color="000000" w:fill="D9D9D9"/>
            <w:vAlign w:val="center"/>
            <w:hideMark/>
          </w:tcPr>
          <w:p w14:paraId="4B222B6B" w14:textId="77777777" w:rsidR="00350D11" w:rsidRPr="006F3B49" w:rsidRDefault="00350D11" w:rsidP="00A41240">
            <w:pPr>
              <w:rPr>
                <w:rFonts w:ascii="Arial" w:hAnsi="Arial" w:cs="Arial"/>
                <w:color w:val="000000"/>
              </w:rPr>
            </w:pPr>
            <w:r w:rsidRPr="006F3B49">
              <w:rPr>
                <w:rFonts w:ascii="Arial" w:hAnsi="Arial" w:cs="Arial"/>
                <w:color w:val="000000"/>
              </w:rPr>
              <w:t xml:space="preserve">Carried at historical cost </w:t>
            </w:r>
          </w:p>
        </w:tc>
        <w:tc>
          <w:tcPr>
            <w:tcW w:w="1627" w:type="dxa"/>
            <w:tcBorders>
              <w:top w:val="nil"/>
              <w:left w:val="nil"/>
              <w:bottom w:val="nil"/>
              <w:right w:val="nil"/>
            </w:tcBorders>
            <w:shd w:val="clear" w:color="000000" w:fill="D9D9D9"/>
            <w:vAlign w:val="center"/>
            <w:hideMark/>
          </w:tcPr>
          <w:p w14:paraId="78E8896D" w14:textId="66ACD6E8" w:rsidR="00350D11" w:rsidRPr="006F3B49" w:rsidRDefault="00350D11" w:rsidP="00A41240">
            <w:pPr>
              <w:jc w:val="right"/>
              <w:rPr>
                <w:rFonts w:ascii="Arial" w:hAnsi="Arial" w:cs="Arial"/>
                <w:color w:val="000000"/>
              </w:rPr>
            </w:pPr>
            <w:r w:rsidRPr="006F3B49">
              <w:rPr>
                <w:rFonts w:ascii="Arial" w:hAnsi="Arial" w:cs="Arial"/>
                <w:color w:val="000000"/>
              </w:rPr>
              <w:t>0</w:t>
            </w:r>
          </w:p>
        </w:tc>
        <w:tc>
          <w:tcPr>
            <w:tcW w:w="1464" w:type="dxa"/>
            <w:tcBorders>
              <w:top w:val="nil"/>
              <w:left w:val="nil"/>
              <w:bottom w:val="nil"/>
              <w:right w:val="nil"/>
            </w:tcBorders>
            <w:shd w:val="clear" w:color="000000" w:fill="D9D9D9"/>
            <w:vAlign w:val="center"/>
            <w:hideMark/>
          </w:tcPr>
          <w:p w14:paraId="0BED0779" w14:textId="6952CE0D" w:rsidR="00350D11" w:rsidRPr="006F3B49" w:rsidRDefault="005269FA" w:rsidP="00A41240">
            <w:pPr>
              <w:jc w:val="right"/>
              <w:rPr>
                <w:rFonts w:ascii="Arial" w:hAnsi="Arial" w:cs="Arial"/>
                <w:color w:val="000000"/>
              </w:rPr>
            </w:pPr>
            <w:r>
              <w:rPr>
                <w:rFonts w:ascii="Arial" w:hAnsi="Arial" w:cs="Arial"/>
                <w:color w:val="000000"/>
              </w:rPr>
              <w:t>60,900</w:t>
            </w:r>
          </w:p>
        </w:tc>
        <w:tc>
          <w:tcPr>
            <w:tcW w:w="1564" w:type="dxa"/>
            <w:tcBorders>
              <w:top w:val="nil"/>
              <w:left w:val="nil"/>
              <w:bottom w:val="nil"/>
              <w:right w:val="nil"/>
            </w:tcBorders>
            <w:shd w:val="clear" w:color="000000" w:fill="D9D9D9"/>
            <w:vAlign w:val="center"/>
            <w:hideMark/>
          </w:tcPr>
          <w:p w14:paraId="1F445D96" w14:textId="00D8ACB2" w:rsidR="00350D11" w:rsidRPr="006F3B49" w:rsidRDefault="005269FA" w:rsidP="00A41240">
            <w:pPr>
              <w:jc w:val="right"/>
              <w:rPr>
                <w:rFonts w:ascii="Arial" w:hAnsi="Arial" w:cs="Arial"/>
                <w:color w:val="000000"/>
              </w:rPr>
            </w:pPr>
            <w:r>
              <w:rPr>
                <w:rFonts w:ascii="Arial" w:hAnsi="Arial" w:cs="Arial"/>
                <w:color w:val="000000"/>
              </w:rPr>
              <w:t>26</w:t>
            </w:r>
            <w:r w:rsidR="00350D11" w:rsidRPr="006F3B49">
              <w:rPr>
                <w:rFonts w:ascii="Arial" w:hAnsi="Arial" w:cs="Arial"/>
                <w:color w:val="000000"/>
              </w:rPr>
              <w:t>,</w:t>
            </w:r>
            <w:r>
              <w:rPr>
                <w:rFonts w:ascii="Arial" w:hAnsi="Arial" w:cs="Arial"/>
                <w:color w:val="000000"/>
              </w:rPr>
              <w:t>402</w:t>
            </w:r>
          </w:p>
        </w:tc>
        <w:tc>
          <w:tcPr>
            <w:tcW w:w="1468" w:type="dxa"/>
            <w:tcBorders>
              <w:top w:val="nil"/>
              <w:left w:val="nil"/>
              <w:bottom w:val="nil"/>
              <w:right w:val="nil"/>
            </w:tcBorders>
            <w:shd w:val="clear" w:color="000000" w:fill="D9D9D9"/>
            <w:vAlign w:val="center"/>
          </w:tcPr>
          <w:p w14:paraId="2D2568B7" w14:textId="2C8D964B" w:rsidR="00350D11" w:rsidRDefault="005269FA" w:rsidP="005269FA">
            <w:pPr>
              <w:jc w:val="right"/>
              <w:rPr>
                <w:rFonts w:ascii="Arial" w:hAnsi="Arial" w:cs="Arial"/>
                <w:color w:val="000000"/>
              </w:rPr>
            </w:pPr>
            <w:r>
              <w:rPr>
                <w:rFonts w:ascii="Arial" w:hAnsi="Arial" w:cs="Arial"/>
                <w:color w:val="000000"/>
              </w:rPr>
              <w:t>2,695</w:t>
            </w:r>
          </w:p>
        </w:tc>
        <w:tc>
          <w:tcPr>
            <w:tcW w:w="1516" w:type="dxa"/>
            <w:tcBorders>
              <w:top w:val="nil"/>
              <w:left w:val="nil"/>
              <w:bottom w:val="nil"/>
              <w:right w:val="single" w:sz="8" w:space="0" w:color="auto"/>
            </w:tcBorders>
            <w:shd w:val="clear" w:color="000000" w:fill="D9D9D9"/>
            <w:vAlign w:val="center"/>
            <w:hideMark/>
          </w:tcPr>
          <w:p w14:paraId="1CC718EA" w14:textId="447E4D0E" w:rsidR="00350D11" w:rsidRPr="006F3B49" w:rsidRDefault="00CC0903" w:rsidP="00A41240">
            <w:pPr>
              <w:jc w:val="right"/>
              <w:rPr>
                <w:rFonts w:ascii="Arial" w:hAnsi="Arial" w:cs="Arial"/>
                <w:color w:val="000000"/>
              </w:rPr>
            </w:pPr>
            <w:r>
              <w:rPr>
                <w:rFonts w:ascii="Arial" w:hAnsi="Arial" w:cs="Arial"/>
                <w:color w:val="000000"/>
              </w:rPr>
              <w:t>89</w:t>
            </w:r>
            <w:r w:rsidR="00350D11" w:rsidRPr="006F3B49">
              <w:rPr>
                <w:rFonts w:ascii="Arial" w:hAnsi="Arial" w:cs="Arial"/>
                <w:color w:val="000000"/>
              </w:rPr>
              <w:t>,</w:t>
            </w:r>
            <w:r>
              <w:rPr>
                <w:rFonts w:ascii="Arial" w:hAnsi="Arial" w:cs="Arial"/>
                <w:color w:val="000000"/>
              </w:rPr>
              <w:t>997</w:t>
            </w:r>
          </w:p>
        </w:tc>
      </w:tr>
      <w:tr w:rsidR="00350D11" w:rsidRPr="004C17B2" w14:paraId="23360CEC" w14:textId="77777777" w:rsidTr="009A1BE0">
        <w:trPr>
          <w:trHeight w:val="300"/>
        </w:trPr>
        <w:tc>
          <w:tcPr>
            <w:tcW w:w="2344" w:type="dxa"/>
            <w:tcBorders>
              <w:top w:val="nil"/>
              <w:left w:val="single" w:sz="8" w:space="0" w:color="auto"/>
              <w:bottom w:val="nil"/>
              <w:right w:val="nil"/>
            </w:tcBorders>
            <w:shd w:val="clear" w:color="000000" w:fill="D9D9D9"/>
            <w:vAlign w:val="center"/>
            <w:hideMark/>
          </w:tcPr>
          <w:p w14:paraId="1002EE11" w14:textId="46CA6BDF" w:rsidR="00350D11" w:rsidRPr="006F3B49" w:rsidRDefault="00350D11" w:rsidP="00177184">
            <w:pPr>
              <w:rPr>
                <w:rFonts w:ascii="Arial" w:hAnsi="Arial" w:cs="Arial"/>
                <w:color w:val="000000"/>
              </w:rPr>
            </w:pPr>
            <w:r w:rsidRPr="006F3B49">
              <w:rPr>
                <w:rFonts w:ascii="Arial" w:hAnsi="Arial" w:cs="Arial"/>
                <w:color w:val="000000"/>
              </w:rPr>
              <w:t xml:space="preserve">Valued at </w:t>
            </w:r>
            <w:r>
              <w:rPr>
                <w:rFonts w:ascii="Arial" w:hAnsi="Arial" w:cs="Arial"/>
                <w:color w:val="000000"/>
              </w:rPr>
              <w:t>current</w:t>
            </w:r>
            <w:r w:rsidRPr="006F3B49">
              <w:rPr>
                <w:rFonts w:ascii="Arial" w:hAnsi="Arial" w:cs="Arial"/>
                <w:color w:val="000000"/>
              </w:rPr>
              <w:t xml:space="preserve"> value</w:t>
            </w:r>
            <w:r w:rsidRPr="006F3B49" w:rsidDel="0041356E">
              <w:rPr>
                <w:rFonts w:ascii="Arial" w:hAnsi="Arial" w:cs="Arial"/>
                <w:color w:val="000000"/>
              </w:rPr>
              <w:t xml:space="preserve"> </w:t>
            </w:r>
            <w:r w:rsidRPr="006F3B49">
              <w:rPr>
                <w:rFonts w:ascii="Arial" w:hAnsi="Arial" w:cs="Arial"/>
                <w:color w:val="000000"/>
              </w:rPr>
              <w:t>at:</w:t>
            </w:r>
          </w:p>
        </w:tc>
        <w:tc>
          <w:tcPr>
            <w:tcW w:w="1627" w:type="dxa"/>
            <w:tcBorders>
              <w:top w:val="nil"/>
              <w:left w:val="nil"/>
              <w:bottom w:val="nil"/>
              <w:right w:val="nil"/>
            </w:tcBorders>
            <w:shd w:val="clear" w:color="000000" w:fill="D9D9D9"/>
            <w:vAlign w:val="center"/>
            <w:hideMark/>
          </w:tcPr>
          <w:p w14:paraId="5B73BA4C" w14:textId="0DFE9A58" w:rsidR="00350D11" w:rsidRPr="006F3B49" w:rsidRDefault="00350D11" w:rsidP="00177184">
            <w:pPr>
              <w:jc w:val="right"/>
              <w:rPr>
                <w:rFonts w:ascii="Arial" w:hAnsi="Arial" w:cs="Arial"/>
                <w:color w:val="000000"/>
              </w:rPr>
            </w:pPr>
          </w:p>
        </w:tc>
        <w:tc>
          <w:tcPr>
            <w:tcW w:w="1464" w:type="dxa"/>
            <w:tcBorders>
              <w:top w:val="nil"/>
              <w:left w:val="nil"/>
              <w:bottom w:val="nil"/>
              <w:right w:val="nil"/>
            </w:tcBorders>
            <w:shd w:val="clear" w:color="000000" w:fill="D9D9D9"/>
            <w:vAlign w:val="center"/>
            <w:hideMark/>
          </w:tcPr>
          <w:p w14:paraId="01BED153" w14:textId="7B73D8F6" w:rsidR="00350D11" w:rsidRPr="006F3B49" w:rsidRDefault="00350D11" w:rsidP="00177184">
            <w:pPr>
              <w:jc w:val="right"/>
              <w:rPr>
                <w:rFonts w:ascii="Arial" w:hAnsi="Arial" w:cs="Arial"/>
                <w:color w:val="000000"/>
              </w:rPr>
            </w:pPr>
          </w:p>
        </w:tc>
        <w:tc>
          <w:tcPr>
            <w:tcW w:w="1564" w:type="dxa"/>
            <w:tcBorders>
              <w:top w:val="nil"/>
              <w:left w:val="nil"/>
              <w:bottom w:val="nil"/>
              <w:right w:val="nil"/>
            </w:tcBorders>
            <w:shd w:val="clear" w:color="000000" w:fill="D9D9D9"/>
            <w:vAlign w:val="center"/>
            <w:hideMark/>
          </w:tcPr>
          <w:p w14:paraId="10711D38" w14:textId="26576202" w:rsidR="00350D11" w:rsidRPr="006F3B49" w:rsidRDefault="00350D11" w:rsidP="00177184">
            <w:pPr>
              <w:jc w:val="right"/>
              <w:rPr>
                <w:rFonts w:ascii="Arial" w:hAnsi="Arial" w:cs="Arial"/>
                <w:color w:val="000000"/>
              </w:rPr>
            </w:pPr>
          </w:p>
        </w:tc>
        <w:tc>
          <w:tcPr>
            <w:tcW w:w="1468" w:type="dxa"/>
            <w:tcBorders>
              <w:top w:val="nil"/>
              <w:left w:val="nil"/>
              <w:bottom w:val="nil"/>
              <w:right w:val="nil"/>
            </w:tcBorders>
            <w:shd w:val="clear" w:color="000000" w:fill="D9D9D9"/>
          </w:tcPr>
          <w:p w14:paraId="3083EF28" w14:textId="77777777" w:rsidR="00350D11" w:rsidRPr="006F3B49" w:rsidRDefault="00350D11" w:rsidP="00177184">
            <w:pPr>
              <w:jc w:val="right"/>
              <w:rPr>
                <w:rFonts w:ascii="Arial" w:hAnsi="Arial" w:cs="Arial"/>
                <w:color w:val="000000"/>
              </w:rPr>
            </w:pPr>
          </w:p>
        </w:tc>
        <w:tc>
          <w:tcPr>
            <w:tcW w:w="1516" w:type="dxa"/>
            <w:tcBorders>
              <w:top w:val="nil"/>
              <w:left w:val="nil"/>
              <w:bottom w:val="nil"/>
              <w:right w:val="single" w:sz="8" w:space="0" w:color="auto"/>
            </w:tcBorders>
            <w:shd w:val="clear" w:color="000000" w:fill="D9D9D9"/>
            <w:vAlign w:val="center"/>
            <w:hideMark/>
          </w:tcPr>
          <w:p w14:paraId="5E7AAC6F" w14:textId="50824452" w:rsidR="00350D11" w:rsidRPr="006F3B49" w:rsidRDefault="00350D11" w:rsidP="00177184">
            <w:pPr>
              <w:jc w:val="right"/>
              <w:rPr>
                <w:rFonts w:ascii="Arial" w:hAnsi="Arial" w:cs="Arial"/>
                <w:color w:val="000000"/>
              </w:rPr>
            </w:pPr>
          </w:p>
        </w:tc>
      </w:tr>
      <w:tr w:rsidR="005F5F5D" w:rsidRPr="004C17B2" w14:paraId="05F464BB" w14:textId="77777777" w:rsidTr="009A1BE0">
        <w:trPr>
          <w:trHeight w:val="300"/>
        </w:trPr>
        <w:tc>
          <w:tcPr>
            <w:tcW w:w="2344" w:type="dxa"/>
            <w:tcBorders>
              <w:top w:val="nil"/>
              <w:left w:val="single" w:sz="8" w:space="0" w:color="auto"/>
              <w:bottom w:val="nil"/>
              <w:right w:val="nil"/>
            </w:tcBorders>
            <w:shd w:val="clear" w:color="000000" w:fill="D9D9D9"/>
            <w:vAlign w:val="center"/>
          </w:tcPr>
          <w:p w14:paraId="519C2C91" w14:textId="76D1024D" w:rsidR="005F5F5D" w:rsidRPr="006F3B49" w:rsidRDefault="005F5F5D" w:rsidP="005F5F5D">
            <w:pPr>
              <w:jc w:val="right"/>
              <w:rPr>
                <w:rFonts w:ascii="Arial" w:hAnsi="Arial" w:cs="Arial"/>
                <w:color w:val="000000"/>
              </w:rPr>
            </w:pPr>
            <w:r>
              <w:rPr>
                <w:rFonts w:ascii="Arial" w:hAnsi="Arial" w:cs="Arial"/>
                <w:color w:val="000000"/>
              </w:rPr>
              <w:t>31-Mar-25</w:t>
            </w:r>
          </w:p>
        </w:tc>
        <w:tc>
          <w:tcPr>
            <w:tcW w:w="1627" w:type="dxa"/>
            <w:tcBorders>
              <w:top w:val="nil"/>
              <w:left w:val="nil"/>
              <w:bottom w:val="nil"/>
              <w:right w:val="nil"/>
            </w:tcBorders>
            <w:shd w:val="clear" w:color="000000" w:fill="D9D9D9"/>
            <w:vAlign w:val="center"/>
          </w:tcPr>
          <w:p w14:paraId="6F669EAC" w14:textId="18722497" w:rsidR="005F5F5D" w:rsidRDefault="005F5F5D" w:rsidP="005F5F5D">
            <w:pPr>
              <w:jc w:val="right"/>
              <w:rPr>
                <w:rFonts w:ascii="Arial" w:hAnsi="Arial" w:cs="Arial"/>
                <w:color w:val="000000"/>
              </w:rPr>
            </w:pPr>
            <w:r>
              <w:rPr>
                <w:rFonts w:ascii="Arial" w:hAnsi="Arial" w:cs="Arial"/>
                <w:color w:val="000000"/>
              </w:rPr>
              <w:t>135,487</w:t>
            </w:r>
          </w:p>
        </w:tc>
        <w:tc>
          <w:tcPr>
            <w:tcW w:w="1464" w:type="dxa"/>
            <w:tcBorders>
              <w:top w:val="nil"/>
              <w:left w:val="nil"/>
              <w:bottom w:val="nil"/>
              <w:right w:val="nil"/>
            </w:tcBorders>
            <w:shd w:val="clear" w:color="000000" w:fill="D9D9D9"/>
            <w:vAlign w:val="center"/>
          </w:tcPr>
          <w:p w14:paraId="4EE2312F" w14:textId="5324AC97" w:rsidR="005F5F5D" w:rsidRDefault="00E94E01" w:rsidP="005F5F5D">
            <w:pPr>
              <w:jc w:val="right"/>
              <w:rPr>
                <w:rFonts w:ascii="Arial" w:hAnsi="Arial" w:cs="Arial"/>
                <w:color w:val="000000"/>
              </w:rPr>
            </w:pPr>
            <w:r>
              <w:rPr>
                <w:rFonts w:ascii="Arial" w:hAnsi="Arial" w:cs="Arial"/>
                <w:color w:val="000000"/>
              </w:rPr>
              <w:t>0</w:t>
            </w:r>
          </w:p>
        </w:tc>
        <w:tc>
          <w:tcPr>
            <w:tcW w:w="1564" w:type="dxa"/>
            <w:tcBorders>
              <w:top w:val="nil"/>
              <w:left w:val="nil"/>
              <w:bottom w:val="nil"/>
              <w:right w:val="nil"/>
            </w:tcBorders>
            <w:shd w:val="clear" w:color="000000" w:fill="D9D9D9"/>
            <w:vAlign w:val="center"/>
          </w:tcPr>
          <w:p w14:paraId="5685A5EC" w14:textId="40FDFB1E" w:rsidR="005F5F5D" w:rsidRDefault="00E94E01" w:rsidP="005F5F5D">
            <w:pPr>
              <w:jc w:val="right"/>
              <w:rPr>
                <w:rFonts w:ascii="Arial" w:hAnsi="Arial" w:cs="Arial"/>
                <w:color w:val="000000"/>
              </w:rPr>
            </w:pPr>
            <w:r>
              <w:rPr>
                <w:rFonts w:ascii="Arial" w:hAnsi="Arial" w:cs="Arial"/>
                <w:color w:val="000000"/>
              </w:rPr>
              <w:t>0</w:t>
            </w:r>
          </w:p>
        </w:tc>
        <w:tc>
          <w:tcPr>
            <w:tcW w:w="1468" w:type="dxa"/>
            <w:tcBorders>
              <w:top w:val="nil"/>
              <w:left w:val="nil"/>
              <w:bottom w:val="nil"/>
              <w:right w:val="nil"/>
            </w:tcBorders>
            <w:shd w:val="clear" w:color="000000" w:fill="D9D9D9"/>
          </w:tcPr>
          <w:p w14:paraId="603B445F" w14:textId="6A9774B4" w:rsidR="005F5F5D" w:rsidRDefault="00E94E01" w:rsidP="005F5F5D">
            <w:pPr>
              <w:jc w:val="right"/>
              <w:rPr>
                <w:rFonts w:ascii="Arial" w:hAnsi="Arial" w:cs="Arial"/>
                <w:color w:val="000000"/>
              </w:rPr>
            </w:pPr>
            <w:r>
              <w:rPr>
                <w:rFonts w:ascii="Arial" w:hAnsi="Arial" w:cs="Arial"/>
                <w:color w:val="000000"/>
              </w:rPr>
              <w:t>0</w:t>
            </w:r>
          </w:p>
        </w:tc>
        <w:tc>
          <w:tcPr>
            <w:tcW w:w="1516" w:type="dxa"/>
            <w:tcBorders>
              <w:top w:val="nil"/>
              <w:left w:val="nil"/>
              <w:bottom w:val="nil"/>
              <w:right w:val="single" w:sz="8" w:space="0" w:color="auto"/>
            </w:tcBorders>
            <w:shd w:val="clear" w:color="000000" w:fill="D9D9D9"/>
            <w:vAlign w:val="center"/>
          </w:tcPr>
          <w:p w14:paraId="5CBAD118" w14:textId="2A4DB666" w:rsidR="005F5F5D" w:rsidRDefault="005F5F5D" w:rsidP="005F5F5D">
            <w:pPr>
              <w:jc w:val="right"/>
              <w:rPr>
                <w:rFonts w:ascii="Arial" w:hAnsi="Arial" w:cs="Arial"/>
                <w:color w:val="000000"/>
              </w:rPr>
            </w:pPr>
            <w:r>
              <w:rPr>
                <w:rFonts w:ascii="Arial" w:hAnsi="Arial" w:cs="Arial"/>
                <w:color w:val="000000"/>
              </w:rPr>
              <w:t>135,487</w:t>
            </w:r>
          </w:p>
        </w:tc>
      </w:tr>
      <w:tr w:rsidR="005F5F5D" w:rsidRPr="004C17B2" w14:paraId="7166C2A3" w14:textId="77777777" w:rsidTr="009A1BE0">
        <w:trPr>
          <w:trHeight w:val="300"/>
        </w:trPr>
        <w:tc>
          <w:tcPr>
            <w:tcW w:w="2344" w:type="dxa"/>
            <w:tcBorders>
              <w:top w:val="nil"/>
              <w:left w:val="single" w:sz="8" w:space="0" w:color="auto"/>
              <w:bottom w:val="nil"/>
              <w:right w:val="nil"/>
            </w:tcBorders>
            <w:shd w:val="clear" w:color="000000" w:fill="D9D9D9"/>
            <w:vAlign w:val="center"/>
          </w:tcPr>
          <w:p w14:paraId="54E94BC5" w14:textId="4F81D6C0" w:rsidR="005F5F5D" w:rsidRPr="006F3B49" w:rsidRDefault="005F5F5D" w:rsidP="005F5F5D">
            <w:pPr>
              <w:jc w:val="right"/>
              <w:rPr>
                <w:rFonts w:ascii="Arial" w:hAnsi="Arial" w:cs="Arial"/>
                <w:color w:val="000000"/>
              </w:rPr>
            </w:pPr>
            <w:r w:rsidRPr="006F3B49">
              <w:rPr>
                <w:rFonts w:ascii="Arial" w:hAnsi="Arial" w:cs="Arial"/>
                <w:color w:val="000000"/>
              </w:rPr>
              <w:t>31-Mar-24</w:t>
            </w:r>
          </w:p>
        </w:tc>
        <w:tc>
          <w:tcPr>
            <w:tcW w:w="1627" w:type="dxa"/>
            <w:tcBorders>
              <w:top w:val="nil"/>
              <w:left w:val="nil"/>
              <w:bottom w:val="nil"/>
              <w:right w:val="nil"/>
            </w:tcBorders>
            <w:shd w:val="clear" w:color="000000" w:fill="D9D9D9"/>
            <w:vAlign w:val="center"/>
          </w:tcPr>
          <w:p w14:paraId="150C9C63" w14:textId="5F329BC8" w:rsidR="005F5F5D" w:rsidRPr="006F3B49" w:rsidRDefault="005F5F5D" w:rsidP="005F5F5D">
            <w:pPr>
              <w:jc w:val="right"/>
              <w:rPr>
                <w:rFonts w:ascii="Arial" w:hAnsi="Arial" w:cs="Arial"/>
                <w:color w:val="000000"/>
              </w:rPr>
            </w:pPr>
            <w:r>
              <w:rPr>
                <w:rFonts w:ascii="Arial" w:hAnsi="Arial" w:cs="Arial"/>
                <w:color w:val="000000"/>
              </w:rPr>
              <w:t>55,493</w:t>
            </w:r>
          </w:p>
        </w:tc>
        <w:tc>
          <w:tcPr>
            <w:tcW w:w="1464" w:type="dxa"/>
            <w:tcBorders>
              <w:top w:val="nil"/>
              <w:left w:val="nil"/>
              <w:bottom w:val="nil"/>
              <w:right w:val="nil"/>
            </w:tcBorders>
            <w:shd w:val="clear" w:color="000000" w:fill="D9D9D9"/>
            <w:vAlign w:val="center"/>
          </w:tcPr>
          <w:p w14:paraId="1FD830F2" w14:textId="6E94DE60" w:rsidR="005F5F5D" w:rsidRPr="006F3B49" w:rsidRDefault="005F5F5D" w:rsidP="005F5F5D">
            <w:pPr>
              <w:jc w:val="right"/>
              <w:rPr>
                <w:rFonts w:ascii="Arial" w:hAnsi="Arial" w:cs="Arial"/>
                <w:color w:val="000000"/>
              </w:rPr>
            </w:pPr>
            <w:r>
              <w:rPr>
                <w:rFonts w:ascii="Arial" w:hAnsi="Arial" w:cs="Arial"/>
                <w:color w:val="000000"/>
              </w:rPr>
              <w:t>0</w:t>
            </w:r>
          </w:p>
        </w:tc>
        <w:tc>
          <w:tcPr>
            <w:tcW w:w="1564" w:type="dxa"/>
            <w:tcBorders>
              <w:top w:val="nil"/>
              <w:left w:val="nil"/>
              <w:bottom w:val="nil"/>
              <w:right w:val="nil"/>
            </w:tcBorders>
            <w:shd w:val="clear" w:color="000000" w:fill="D9D9D9"/>
            <w:vAlign w:val="center"/>
          </w:tcPr>
          <w:p w14:paraId="43DA897B" w14:textId="60240C99" w:rsidR="005F5F5D" w:rsidRPr="006F3B49" w:rsidRDefault="005F5F5D" w:rsidP="005F5F5D">
            <w:pPr>
              <w:jc w:val="right"/>
              <w:rPr>
                <w:rFonts w:ascii="Arial" w:hAnsi="Arial" w:cs="Arial"/>
                <w:color w:val="000000"/>
              </w:rPr>
            </w:pPr>
            <w:r>
              <w:rPr>
                <w:rFonts w:ascii="Arial" w:hAnsi="Arial" w:cs="Arial"/>
                <w:color w:val="000000"/>
              </w:rPr>
              <w:t>0</w:t>
            </w:r>
          </w:p>
        </w:tc>
        <w:tc>
          <w:tcPr>
            <w:tcW w:w="1468" w:type="dxa"/>
            <w:tcBorders>
              <w:top w:val="nil"/>
              <w:left w:val="nil"/>
              <w:bottom w:val="nil"/>
              <w:right w:val="nil"/>
            </w:tcBorders>
            <w:shd w:val="clear" w:color="000000" w:fill="D9D9D9"/>
          </w:tcPr>
          <w:p w14:paraId="45A14A01" w14:textId="4F65102E" w:rsidR="005F5F5D" w:rsidRDefault="00E94E01" w:rsidP="005F5F5D">
            <w:pPr>
              <w:jc w:val="right"/>
              <w:rPr>
                <w:rFonts w:ascii="Arial" w:hAnsi="Arial" w:cs="Arial"/>
                <w:color w:val="000000"/>
              </w:rPr>
            </w:pPr>
            <w:r>
              <w:rPr>
                <w:rFonts w:ascii="Arial" w:hAnsi="Arial" w:cs="Arial"/>
                <w:color w:val="000000"/>
              </w:rPr>
              <w:t>0</w:t>
            </w:r>
          </w:p>
        </w:tc>
        <w:tc>
          <w:tcPr>
            <w:tcW w:w="1516" w:type="dxa"/>
            <w:tcBorders>
              <w:top w:val="nil"/>
              <w:left w:val="nil"/>
              <w:bottom w:val="nil"/>
              <w:right w:val="single" w:sz="8" w:space="0" w:color="auto"/>
            </w:tcBorders>
            <w:shd w:val="clear" w:color="000000" w:fill="D9D9D9"/>
            <w:vAlign w:val="center"/>
          </w:tcPr>
          <w:p w14:paraId="31D91E28" w14:textId="7CCABCED" w:rsidR="005F5F5D" w:rsidRPr="006F3B49" w:rsidRDefault="005F5F5D" w:rsidP="005F5F5D">
            <w:pPr>
              <w:jc w:val="right"/>
              <w:rPr>
                <w:rFonts w:ascii="Arial" w:hAnsi="Arial" w:cs="Arial"/>
                <w:color w:val="000000"/>
              </w:rPr>
            </w:pPr>
            <w:r>
              <w:rPr>
                <w:rFonts w:ascii="Arial" w:hAnsi="Arial" w:cs="Arial"/>
                <w:color w:val="000000"/>
              </w:rPr>
              <w:t>55,493</w:t>
            </w:r>
          </w:p>
        </w:tc>
      </w:tr>
      <w:tr w:rsidR="005F5F5D" w:rsidRPr="004C17B2" w14:paraId="31B0A5D4" w14:textId="77777777" w:rsidTr="009A1BE0">
        <w:trPr>
          <w:trHeight w:val="300"/>
        </w:trPr>
        <w:tc>
          <w:tcPr>
            <w:tcW w:w="2344" w:type="dxa"/>
            <w:tcBorders>
              <w:top w:val="nil"/>
              <w:left w:val="single" w:sz="8" w:space="0" w:color="auto"/>
              <w:bottom w:val="nil"/>
              <w:right w:val="nil"/>
            </w:tcBorders>
            <w:shd w:val="clear" w:color="000000" w:fill="D9D9D9"/>
            <w:vAlign w:val="center"/>
          </w:tcPr>
          <w:p w14:paraId="31FE7AEB" w14:textId="70BF5A32" w:rsidR="005F5F5D" w:rsidRPr="006F3B49" w:rsidRDefault="005F5F5D" w:rsidP="005F5F5D">
            <w:pPr>
              <w:jc w:val="right"/>
              <w:rPr>
                <w:rFonts w:ascii="Arial" w:hAnsi="Arial" w:cs="Arial"/>
                <w:color w:val="000000"/>
              </w:rPr>
            </w:pPr>
            <w:r w:rsidRPr="006F3B49">
              <w:rPr>
                <w:rFonts w:ascii="Arial" w:hAnsi="Arial" w:cs="Arial"/>
                <w:color w:val="000000"/>
              </w:rPr>
              <w:t>31-Mar-23</w:t>
            </w:r>
          </w:p>
        </w:tc>
        <w:tc>
          <w:tcPr>
            <w:tcW w:w="1627" w:type="dxa"/>
            <w:tcBorders>
              <w:top w:val="nil"/>
              <w:left w:val="nil"/>
              <w:bottom w:val="nil"/>
              <w:right w:val="nil"/>
            </w:tcBorders>
            <w:shd w:val="clear" w:color="000000" w:fill="D9D9D9"/>
            <w:vAlign w:val="center"/>
          </w:tcPr>
          <w:p w14:paraId="0ABE5AE6" w14:textId="0CB28580" w:rsidR="005F5F5D" w:rsidRPr="006F3B49" w:rsidRDefault="005F5F5D" w:rsidP="005F5F5D">
            <w:pPr>
              <w:jc w:val="right"/>
              <w:rPr>
                <w:rFonts w:ascii="Arial" w:hAnsi="Arial" w:cs="Arial"/>
                <w:color w:val="000000"/>
              </w:rPr>
            </w:pPr>
            <w:r>
              <w:rPr>
                <w:rFonts w:ascii="Arial" w:hAnsi="Arial" w:cs="Arial"/>
                <w:color w:val="000000"/>
              </w:rPr>
              <w:t>10,527</w:t>
            </w:r>
          </w:p>
        </w:tc>
        <w:tc>
          <w:tcPr>
            <w:tcW w:w="1464" w:type="dxa"/>
            <w:tcBorders>
              <w:top w:val="nil"/>
              <w:left w:val="nil"/>
              <w:bottom w:val="nil"/>
              <w:right w:val="nil"/>
            </w:tcBorders>
            <w:shd w:val="clear" w:color="000000" w:fill="D9D9D9"/>
            <w:vAlign w:val="center"/>
          </w:tcPr>
          <w:p w14:paraId="43B1CEA5" w14:textId="77F434DC" w:rsidR="005F5F5D" w:rsidRPr="006F3B49" w:rsidRDefault="005F5F5D" w:rsidP="005F5F5D">
            <w:pPr>
              <w:jc w:val="right"/>
              <w:rPr>
                <w:rFonts w:ascii="Arial" w:hAnsi="Arial" w:cs="Arial"/>
                <w:color w:val="000000"/>
              </w:rPr>
            </w:pPr>
            <w:r w:rsidRPr="006F3B49">
              <w:rPr>
                <w:rFonts w:ascii="Arial" w:hAnsi="Arial" w:cs="Arial"/>
                <w:color w:val="000000"/>
              </w:rPr>
              <w:t>0</w:t>
            </w:r>
          </w:p>
        </w:tc>
        <w:tc>
          <w:tcPr>
            <w:tcW w:w="1564" w:type="dxa"/>
            <w:tcBorders>
              <w:top w:val="nil"/>
              <w:left w:val="nil"/>
              <w:bottom w:val="nil"/>
              <w:right w:val="nil"/>
            </w:tcBorders>
            <w:shd w:val="clear" w:color="000000" w:fill="D9D9D9"/>
            <w:vAlign w:val="center"/>
          </w:tcPr>
          <w:p w14:paraId="17516669" w14:textId="6E9CD022" w:rsidR="005F5F5D" w:rsidRPr="006F3B49" w:rsidRDefault="005F5F5D" w:rsidP="005F5F5D">
            <w:pPr>
              <w:jc w:val="right"/>
              <w:rPr>
                <w:rFonts w:ascii="Arial" w:hAnsi="Arial" w:cs="Arial"/>
                <w:color w:val="000000"/>
              </w:rPr>
            </w:pPr>
            <w:r w:rsidRPr="006F3B49">
              <w:rPr>
                <w:rFonts w:ascii="Arial" w:hAnsi="Arial" w:cs="Arial"/>
                <w:color w:val="000000"/>
              </w:rPr>
              <w:t>0</w:t>
            </w:r>
          </w:p>
        </w:tc>
        <w:tc>
          <w:tcPr>
            <w:tcW w:w="1468" w:type="dxa"/>
            <w:tcBorders>
              <w:top w:val="nil"/>
              <w:left w:val="nil"/>
              <w:bottom w:val="nil"/>
              <w:right w:val="nil"/>
            </w:tcBorders>
            <w:shd w:val="clear" w:color="000000" w:fill="D9D9D9"/>
          </w:tcPr>
          <w:p w14:paraId="06D01533" w14:textId="732A990A" w:rsidR="005F5F5D" w:rsidRDefault="00E94E01" w:rsidP="005F5F5D">
            <w:pPr>
              <w:jc w:val="right"/>
              <w:rPr>
                <w:rFonts w:ascii="Arial" w:hAnsi="Arial" w:cs="Arial"/>
                <w:color w:val="000000"/>
              </w:rPr>
            </w:pPr>
            <w:r>
              <w:rPr>
                <w:rFonts w:ascii="Arial" w:hAnsi="Arial" w:cs="Arial"/>
                <w:color w:val="000000"/>
              </w:rPr>
              <w:t>0</w:t>
            </w:r>
          </w:p>
        </w:tc>
        <w:tc>
          <w:tcPr>
            <w:tcW w:w="1516" w:type="dxa"/>
            <w:tcBorders>
              <w:top w:val="nil"/>
              <w:left w:val="nil"/>
              <w:bottom w:val="nil"/>
              <w:right w:val="single" w:sz="8" w:space="0" w:color="auto"/>
            </w:tcBorders>
            <w:shd w:val="clear" w:color="000000" w:fill="D9D9D9"/>
            <w:vAlign w:val="center"/>
          </w:tcPr>
          <w:p w14:paraId="28D29526" w14:textId="1C8ED41C" w:rsidR="005F5F5D" w:rsidRPr="006F3B49" w:rsidRDefault="005F5F5D" w:rsidP="005F5F5D">
            <w:pPr>
              <w:jc w:val="right"/>
              <w:rPr>
                <w:rFonts w:ascii="Arial" w:hAnsi="Arial" w:cs="Arial"/>
                <w:color w:val="000000"/>
              </w:rPr>
            </w:pPr>
            <w:r>
              <w:rPr>
                <w:rFonts w:ascii="Arial" w:hAnsi="Arial" w:cs="Arial"/>
                <w:color w:val="000000"/>
              </w:rPr>
              <w:t>10,527</w:t>
            </w:r>
          </w:p>
        </w:tc>
      </w:tr>
      <w:tr w:rsidR="005F5F5D" w:rsidRPr="004C17B2" w14:paraId="0F98EF8A" w14:textId="77777777" w:rsidTr="009A1BE0">
        <w:trPr>
          <w:trHeight w:val="300"/>
        </w:trPr>
        <w:tc>
          <w:tcPr>
            <w:tcW w:w="2344" w:type="dxa"/>
            <w:tcBorders>
              <w:top w:val="nil"/>
              <w:left w:val="single" w:sz="8" w:space="0" w:color="auto"/>
              <w:bottom w:val="nil"/>
              <w:right w:val="nil"/>
            </w:tcBorders>
            <w:shd w:val="clear" w:color="000000" w:fill="D9D9D9"/>
            <w:vAlign w:val="center"/>
            <w:hideMark/>
          </w:tcPr>
          <w:p w14:paraId="6B9A711B" w14:textId="07795ADB" w:rsidR="005F5F5D" w:rsidRPr="006F3B49" w:rsidRDefault="005F5F5D" w:rsidP="005F5F5D">
            <w:pPr>
              <w:jc w:val="right"/>
              <w:rPr>
                <w:rFonts w:ascii="Arial" w:hAnsi="Arial" w:cs="Arial"/>
                <w:color w:val="000000"/>
              </w:rPr>
            </w:pPr>
            <w:r w:rsidRPr="006F3B49">
              <w:rPr>
                <w:rFonts w:ascii="Arial" w:hAnsi="Arial" w:cs="Arial"/>
                <w:color w:val="000000"/>
              </w:rPr>
              <w:t>31-Mar-22</w:t>
            </w:r>
          </w:p>
        </w:tc>
        <w:tc>
          <w:tcPr>
            <w:tcW w:w="1627" w:type="dxa"/>
            <w:tcBorders>
              <w:top w:val="nil"/>
              <w:left w:val="nil"/>
              <w:bottom w:val="nil"/>
              <w:right w:val="nil"/>
            </w:tcBorders>
            <w:shd w:val="clear" w:color="000000" w:fill="D9D9D9"/>
            <w:vAlign w:val="center"/>
            <w:hideMark/>
          </w:tcPr>
          <w:p w14:paraId="1EF1FB91" w14:textId="01E98177" w:rsidR="005F5F5D" w:rsidRPr="006F3B49" w:rsidRDefault="005F5F5D" w:rsidP="005F5F5D">
            <w:pPr>
              <w:jc w:val="right"/>
              <w:rPr>
                <w:rFonts w:ascii="Arial" w:hAnsi="Arial" w:cs="Arial"/>
                <w:color w:val="000000"/>
              </w:rPr>
            </w:pPr>
            <w:r>
              <w:rPr>
                <w:rFonts w:ascii="Arial" w:hAnsi="Arial" w:cs="Arial"/>
                <w:color w:val="000000"/>
              </w:rPr>
              <w:t>12,073</w:t>
            </w:r>
            <w:r w:rsidRPr="006F3B49">
              <w:rPr>
                <w:rFonts w:ascii="Arial" w:hAnsi="Arial" w:cs="Arial"/>
                <w:color w:val="000000"/>
              </w:rPr>
              <w:t xml:space="preserve"> </w:t>
            </w:r>
          </w:p>
        </w:tc>
        <w:tc>
          <w:tcPr>
            <w:tcW w:w="1464" w:type="dxa"/>
            <w:tcBorders>
              <w:top w:val="nil"/>
              <w:left w:val="nil"/>
              <w:bottom w:val="nil"/>
              <w:right w:val="nil"/>
            </w:tcBorders>
            <w:shd w:val="clear" w:color="000000" w:fill="D9D9D9"/>
            <w:vAlign w:val="center"/>
            <w:hideMark/>
          </w:tcPr>
          <w:p w14:paraId="444CACBD" w14:textId="57686D71" w:rsidR="005F5F5D" w:rsidRPr="006F3B49" w:rsidRDefault="005F5F5D" w:rsidP="005F5F5D">
            <w:pPr>
              <w:jc w:val="right"/>
              <w:rPr>
                <w:rFonts w:ascii="Arial" w:hAnsi="Arial" w:cs="Arial"/>
                <w:color w:val="000000"/>
              </w:rPr>
            </w:pPr>
            <w:r w:rsidRPr="006F3B49">
              <w:rPr>
                <w:rFonts w:ascii="Arial" w:hAnsi="Arial" w:cs="Arial"/>
                <w:color w:val="000000"/>
              </w:rPr>
              <w:t>0</w:t>
            </w:r>
          </w:p>
        </w:tc>
        <w:tc>
          <w:tcPr>
            <w:tcW w:w="1564" w:type="dxa"/>
            <w:tcBorders>
              <w:top w:val="nil"/>
              <w:left w:val="nil"/>
              <w:bottom w:val="nil"/>
              <w:right w:val="nil"/>
            </w:tcBorders>
            <w:shd w:val="clear" w:color="000000" w:fill="D9D9D9"/>
            <w:vAlign w:val="center"/>
            <w:hideMark/>
          </w:tcPr>
          <w:p w14:paraId="4C8B97F1" w14:textId="5C3B6A48" w:rsidR="005F5F5D" w:rsidRPr="006F3B49" w:rsidRDefault="005F5F5D" w:rsidP="005F5F5D">
            <w:pPr>
              <w:jc w:val="right"/>
              <w:rPr>
                <w:rFonts w:ascii="Arial" w:hAnsi="Arial" w:cs="Arial"/>
                <w:color w:val="000000"/>
              </w:rPr>
            </w:pPr>
            <w:r w:rsidRPr="006F3B49">
              <w:rPr>
                <w:rFonts w:ascii="Arial" w:hAnsi="Arial" w:cs="Arial"/>
                <w:color w:val="000000"/>
              </w:rPr>
              <w:t>0</w:t>
            </w:r>
          </w:p>
        </w:tc>
        <w:tc>
          <w:tcPr>
            <w:tcW w:w="1468" w:type="dxa"/>
            <w:tcBorders>
              <w:top w:val="nil"/>
              <w:left w:val="nil"/>
              <w:bottom w:val="nil"/>
              <w:right w:val="nil"/>
            </w:tcBorders>
            <w:shd w:val="clear" w:color="000000" w:fill="D9D9D9"/>
          </w:tcPr>
          <w:p w14:paraId="1085ED15" w14:textId="443DF6CA" w:rsidR="005F5F5D" w:rsidRDefault="00E94E01" w:rsidP="005F5F5D">
            <w:pPr>
              <w:jc w:val="right"/>
              <w:rPr>
                <w:rFonts w:ascii="Arial" w:hAnsi="Arial" w:cs="Arial"/>
                <w:color w:val="000000"/>
              </w:rPr>
            </w:pPr>
            <w:r>
              <w:rPr>
                <w:rFonts w:ascii="Arial" w:hAnsi="Arial" w:cs="Arial"/>
                <w:color w:val="000000"/>
              </w:rPr>
              <w:t>0</w:t>
            </w:r>
          </w:p>
        </w:tc>
        <w:tc>
          <w:tcPr>
            <w:tcW w:w="1516" w:type="dxa"/>
            <w:tcBorders>
              <w:top w:val="nil"/>
              <w:left w:val="nil"/>
              <w:bottom w:val="nil"/>
              <w:right w:val="single" w:sz="8" w:space="0" w:color="auto"/>
            </w:tcBorders>
            <w:shd w:val="clear" w:color="000000" w:fill="D9D9D9"/>
            <w:vAlign w:val="center"/>
            <w:hideMark/>
          </w:tcPr>
          <w:p w14:paraId="2250C4C1" w14:textId="01814258" w:rsidR="005F5F5D" w:rsidRPr="006F3B49" w:rsidRDefault="005F5F5D" w:rsidP="005F5F5D">
            <w:pPr>
              <w:jc w:val="right"/>
              <w:rPr>
                <w:rFonts w:ascii="Arial" w:hAnsi="Arial" w:cs="Arial"/>
                <w:color w:val="000000"/>
              </w:rPr>
            </w:pPr>
            <w:r>
              <w:rPr>
                <w:rFonts w:ascii="Arial" w:hAnsi="Arial" w:cs="Arial"/>
                <w:color w:val="000000"/>
              </w:rPr>
              <w:t>12,073</w:t>
            </w:r>
            <w:r w:rsidRPr="006F3B49">
              <w:rPr>
                <w:rFonts w:ascii="Arial" w:hAnsi="Arial" w:cs="Arial"/>
                <w:color w:val="000000"/>
              </w:rPr>
              <w:t xml:space="preserve"> </w:t>
            </w:r>
          </w:p>
        </w:tc>
      </w:tr>
      <w:tr w:rsidR="005F5F5D" w:rsidRPr="004C17B2" w14:paraId="7AF1FC02" w14:textId="77777777" w:rsidTr="009A1BE0">
        <w:trPr>
          <w:trHeight w:val="300"/>
        </w:trPr>
        <w:tc>
          <w:tcPr>
            <w:tcW w:w="2344" w:type="dxa"/>
            <w:tcBorders>
              <w:top w:val="nil"/>
              <w:left w:val="single" w:sz="8" w:space="0" w:color="auto"/>
              <w:bottom w:val="nil"/>
              <w:right w:val="nil"/>
            </w:tcBorders>
            <w:shd w:val="clear" w:color="auto" w:fill="D9D9D9" w:themeFill="background1" w:themeFillShade="D9"/>
            <w:vAlign w:val="center"/>
            <w:hideMark/>
          </w:tcPr>
          <w:p w14:paraId="792A4949" w14:textId="53A410A5" w:rsidR="005F5F5D" w:rsidRPr="006F3B49" w:rsidRDefault="005F5F5D" w:rsidP="005F5F5D">
            <w:pPr>
              <w:jc w:val="right"/>
              <w:rPr>
                <w:rFonts w:ascii="Arial" w:hAnsi="Arial" w:cs="Arial"/>
                <w:color w:val="000000"/>
              </w:rPr>
            </w:pPr>
            <w:r w:rsidRPr="006F3B49">
              <w:rPr>
                <w:rFonts w:ascii="Arial" w:hAnsi="Arial" w:cs="Arial"/>
                <w:color w:val="000000"/>
              </w:rPr>
              <w:t>31-Mar-21</w:t>
            </w:r>
          </w:p>
        </w:tc>
        <w:tc>
          <w:tcPr>
            <w:tcW w:w="1627" w:type="dxa"/>
            <w:tcBorders>
              <w:top w:val="nil"/>
              <w:left w:val="nil"/>
              <w:bottom w:val="nil"/>
              <w:right w:val="nil"/>
            </w:tcBorders>
            <w:shd w:val="clear" w:color="000000" w:fill="D9D9D9"/>
            <w:vAlign w:val="center"/>
            <w:hideMark/>
          </w:tcPr>
          <w:p w14:paraId="664A72A6" w14:textId="3DE52BBB" w:rsidR="005F5F5D" w:rsidRPr="006F3B49" w:rsidRDefault="005F5F5D" w:rsidP="005F5F5D">
            <w:pPr>
              <w:jc w:val="right"/>
              <w:rPr>
                <w:rFonts w:ascii="Arial" w:hAnsi="Arial" w:cs="Arial"/>
                <w:color w:val="000000"/>
              </w:rPr>
            </w:pPr>
            <w:r>
              <w:rPr>
                <w:rFonts w:ascii="Arial" w:hAnsi="Arial" w:cs="Arial"/>
                <w:color w:val="000000"/>
              </w:rPr>
              <w:t>0</w:t>
            </w:r>
            <w:r w:rsidRPr="006F3B49">
              <w:rPr>
                <w:rFonts w:ascii="Arial" w:hAnsi="Arial" w:cs="Arial"/>
                <w:color w:val="000000"/>
              </w:rPr>
              <w:t xml:space="preserve"> </w:t>
            </w:r>
          </w:p>
        </w:tc>
        <w:tc>
          <w:tcPr>
            <w:tcW w:w="1464" w:type="dxa"/>
            <w:tcBorders>
              <w:top w:val="nil"/>
              <w:left w:val="nil"/>
              <w:bottom w:val="nil"/>
              <w:right w:val="nil"/>
            </w:tcBorders>
            <w:shd w:val="clear" w:color="000000" w:fill="D9D9D9"/>
            <w:vAlign w:val="center"/>
            <w:hideMark/>
          </w:tcPr>
          <w:p w14:paraId="511D3155" w14:textId="46130F09" w:rsidR="005F5F5D" w:rsidRPr="006F3B49" w:rsidRDefault="005F5F5D" w:rsidP="005F5F5D">
            <w:pPr>
              <w:jc w:val="right"/>
              <w:rPr>
                <w:rFonts w:ascii="Arial" w:hAnsi="Arial" w:cs="Arial"/>
                <w:color w:val="000000"/>
              </w:rPr>
            </w:pPr>
            <w:r w:rsidRPr="006F3B49">
              <w:rPr>
                <w:rFonts w:ascii="Arial" w:hAnsi="Arial" w:cs="Arial"/>
                <w:color w:val="000000"/>
              </w:rPr>
              <w:t>0</w:t>
            </w:r>
          </w:p>
        </w:tc>
        <w:tc>
          <w:tcPr>
            <w:tcW w:w="1564" w:type="dxa"/>
            <w:tcBorders>
              <w:top w:val="nil"/>
              <w:left w:val="nil"/>
              <w:bottom w:val="nil"/>
              <w:right w:val="nil"/>
            </w:tcBorders>
            <w:shd w:val="clear" w:color="000000" w:fill="D9D9D9"/>
            <w:vAlign w:val="center"/>
            <w:hideMark/>
          </w:tcPr>
          <w:p w14:paraId="67FA5A5A" w14:textId="6434B47E" w:rsidR="005F5F5D" w:rsidRPr="006F3B49" w:rsidRDefault="005F5F5D" w:rsidP="005F5F5D">
            <w:pPr>
              <w:jc w:val="right"/>
              <w:rPr>
                <w:rFonts w:ascii="Arial" w:hAnsi="Arial" w:cs="Arial"/>
                <w:color w:val="000000"/>
              </w:rPr>
            </w:pPr>
            <w:r w:rsidRPr="006F3B49">
              <w:rPr>
                <w:rFonts w:ascii="Arial" w:hAnsi="Arial" w:cs="Arial"/>
                <w:color w:val="000000"/>
              </w:rPr>
              <w:t>0</w:t>
            </w:r>
          </w:p>
        </w:tc>
        <w:tc>
          <w:tcPr>
            <w:tcW w:w="1468" w:type="dxa"/>
            <w:tcBorders>
              <w:top w:val="nil"/>
              <w:left w:val="nil"/>
              <w:bottom w:val="nil"/>
              <w:right w:val="nil"/>
            </w:tcBorders>
            <w:shd w:val="clear" w:color="000000" w:fill="D9D9D9"/>
          </w:tcPr>
          <w:p w14:paraId="4AE16AA0" w14:textId="18317B6D" w:rsidR="005F5F5D" w:rsidRPr="006F3B49" w:rsidRDefault="00E94E01" w:rsidP="005F5F5D">
            <w:pPr>
              <w:jc w:val="right"/>
              <w:rPr>
                <w:rFonts w:ascii="Arial" w:hAnsi="Arial" w:cs="Arial"/>
                <w:color w:val="000000"/>
              </w:rPr>
            </w:pPr>
            <w:r>
              <w:rPr>
                <w:rFonts w:ascii="Arial" w:hAnsi="Arial" w:cs="Arial"/>
                <w:color w:val="000000"/>
              </w:rPr>
              <w:t>0</w:t>
            </w:r>
          </w:p>
        </w:tc>
        <w:tc>
          <w:tcPr>
            <w:tcW w:w="1516" w:type="dxa"/>
            <w:tcBorders>
              <w:top w:val="nil"/>
              <w:left w:val="nil"/>
              <w:bottom w:val="nil"/>
              <w:right w:val="single" w:sz="8" w:space="0" w:color="auto"/>
            </w:tcBorders>
            <w:shd w:val="clear" w:color="000000" w:fill="D9D9D9"/>
            <w:vAlign w:val="center"/>
            <w:hideMark/>
          </w:tcPr>
          <w:p w14:paraId="0A690BAF" w14:textId="26F7FE5F" w:rsidR="005F5F5D" w:rsidRPr="006F3B49" w:rsidRDefault="005F5F5D" w:rsidP="005F5F5D">
            <w:pPr>
              <w:jc w:val="right"/>
              <w:rPr>
                <w:rFonts w:ascii="Arial" w:hAnsi="Arial" w:cs="Arial"/>
                <w:color w:val="000000"/>
              </w:rPr>
            </w:pPr>
            <w:r>
              <w:rPr>
                <w:rFonts w:ascii="Arial" w:hAnsi="Arial" w:cs="Arial"/>
                <w:color w:val="000000"/>
              </w:rPr>
              <w:t>0</w:t>
            </w:r>
            <w:r w:rsidRPr="006F3B49">
              <w:rPr>
                <w:rFonts w:ascii="Arial" w:hAnsi="Arial" w:cs="Arial"/>
                <w:color w:val="000000"/>
              </w:rPr>
              <w:t xml:space="preserve"> </w:t>
            </w:r>
          </w:p>
        </w:tc>
      </w:tr>
      <w:tr w:rsidR="005F5F5D" w:rsidRPr="004C17B2" w14:paraId="46D130A0" w14:textId="77777777" w:rsidTr="009A1BE0">
        <w:trPr>
          <w:trHeight w:val="300"/>
        </w:trPr>
        <w:tc>
          <w:tcPr>
            <w:tcW w:w="2344" w:type="dxa"/>
            <w:tcBorders>
              <w:top w:val="nil"/>
              <w:left w:val="single" w:sz="8" w:space="0" w:color="auto"/>
              <w:bottom w:val="nil"/>
              <w:right w:val="nil"/>
            </w:tcBorders>
            <w:shd w:val="clear" w:color="000000" w:fill="D9D9D9"/>
            <w:vAlign w:val="center"/>
          </w:tcPr>
          <w:p w14:paraId="47EA58F5" w14:textId="44EADA63" w:rsidR="005F5F5D" w:rsidRPr="006F3B49" w:rsidRDefault="005F5F5D" w:rsidP="00CA1167">
            <w:pPr>
              <w:jc w:val="right"/>
              <w:rPr>
                <w:rFonts w:ascii="Arial" w:hAnsi="Arial" w:cs="Arial"/>
                <w:color w:val="000000"/>
              </w:rPr>
            </w:pPr>
            <w:r w:rsidRPr="006F3B49">
              <w:rPr>
                <w:rFonts w:ascii="Arial" w:hAnsi="Arial" w:cs="Arial"/>
                <w:color w:val="000000"/>
              </w:rPr>
              <w:t> </w:t>
            </w:r>
          </w:p>
        </w:tc>
        <w:tc>
          <w:tcPr>
            <w:tcW w:w="1627" w:type="dxa"/>
            <w:tcBorders>
              <w:top w:val="nil"/>
              <w:left w:val="nil"/>
              <w:bottom w:val="nil"/>
              <w:right w:val="nil"/>
            </w:tcBorders>
            <w:shd w:val="clear" w:color="000000" w:fill="D9D9D9"/>
            <w:vAlign w:val="center"/>
          </w:tcPr>
          <w:p w14:paraId="04638C72" w14:textId="34355CE6" w:rsidR="005F5F5D" w:rsidRPr="006F3B49" w:rsidRDefault="005F5F5D" w:rsidP="00CA1167">
            <w:pPr>
              <w:jc w:val="right"/>
              <w:rPr>
                <w:rFonts w:ascii="Arial" w:hAnsi="Arial" w:cs="Arial"/>
                <w:color w:val="000000"/>
              </w:rPr>
            </w:pPr>
            <w:r w:rsidRPr="006F3B49">
              <w:rPr>
                <w:rFonts w:ascii="Arial" w:hAnsi="Arial" w:cs="Arial"/>
                <w:color w:val="000000"/>
              </w:rPr>
              <w:t> </w:t>
            </w:r>
          </w:p>
        </w:tc>
        <w:tc>
          <w:tcPr>
            <w:tcW w:w="1464" w:type="dxa"/>
            <w:tcBorders>
              <w:top w:val="nil"/>
              <w:left w:val="nil"/>
              <w:bottom w:val="single" w:sz="4" w:space="0" w:color="auto"/>
              <w:right w:val="nil"/>
            </w:tcBorders>
            <w:shd w:val="clear" w:color="000000" w:fill="D9D9D9"/>
            <w:vAlign w:val="center"/>
          </w:tcPr>
          <w:p w14:paraId="7A0F91EE" w14:textId="06D35800" w:rsidR="005F5F5D" w:rsidRPr="006F3B49" w:rsidRDefault="005F5F5D" w:rsidP="00CA1167">
            <w:pPr>
              <w:jc w:val="right"/>
              <w:rPr>
                <w:rFonts w:ascii="Arial" w:hAnsi="Arial" w:cs="Arial"/>
                <w:color w:val="000000"/>
              </w:rPr>
            </w:pPr>
            <w:r w:rsidRPr="006F3B49">
              <w:rPr>
                <w:rFonts w:ascii="Arial" w:hAnsi="Arial" w:cs="Arial"/>
                <w:color w:val="000000"/>
              </w:rPr>
              <w:t> </w:t>
            </w:r>
          </w:p>
        </w:tc>
        <w:tc>
          <w:tcPr>
            <w:tcW w:w="1564" w:type="dxa"/>
            <w:tcBorders>
              <w:top w:val="nil"/>
              <w:left w:val="nil"/>
              <w:bottom w:val="single" w:sz="4" w:space="0" w:color="auto"/>
              <w:right w:val="nil"/>
            </w:tcBorders>
            <w:shd w:val="clear" w:color="000000" w:fill="D9D9D9"/>
            <w:vAlign w:val="center"/>
          </w:tcPr>
          <w:p w14:paraId="425E5138" w14:textId="5CDFFCDF" w:rsidR="005F5F5D" w:rsidRPr="006F3B49" w:rsidRDefault="005F5F5D" w:rsidP="00CA1167">
            <w:pPr>
              <w:jc w:val="right"/>
              <w:rPr>
                <w:rFonts w:ascii="Arial" w:hAnsi="Arial" w:cs="Arial"/>
                <w:color w:val="000000"/>
              </w:rPr>
            </w:pPr>
            <w:r w:rsidRPr="006F3B49">
              <w:rPr>
                <w:rFonts w:ascii="Arial" w:hAnsi="Arial" w:cs="Arial"/>
                <w:color w:val="000000"/>
              </w:rPr>
              <w:t> </w:t>
            </w:r>
          </w:p>
        </w:tc>
        <w:tc>
          <w:tcPr>
            <w:tcW w:w="1468" w:type="dxa"/>
            <w:tcBorders>
              <w:top w:val="nil"/>
              <w:left w:val="nil"/>
              <w:bottom w:val="single" w:sz="4" w:space="0" w:color="auto"/>
              <w:right w:val="nil"/>
            </w:tcBorders>
            <w:shd w:val="clear" w:color="000000" w:fill="D9D9D9"/>
          </w:tcPr>
          <w:p w14:paraId="0A1AD148" w14:textId="77777777" w:rsidR="005F5F5D" w:rsidRPr="006F3B49" w:rsidRDefault="005F5F5D" w:rsidP="00CA1167">
            <w:pPr>
              <w:jc w:val="right"/>
              <w:rPr>
                <w:rFonts w:ascii="Arial" w:hAnsi="Arial" w:cs="Arial"/>
                <w:color w:val="000000"/>
              </w:rPr>
            </w:pPr>
          </w:p>
        </w:tc>
        <w:tc>
          <w:tcPr>
            <w:tcW w:w="1516" w:type="dxa"/>
            <w:tcBorders>
              <w:top w:val="nil"/>
              <w:left w:val="nil"/>
              <w:bottom w:val="single" w:sz="8" w:space="0" w:color="auto"/>
              <w:right w:val="single" w:sz="8" w:space="0" w:color="auto"/>
            </w:tcBorders>
            <w:shd w:val="clear" w:color="000000" w:fill="D9D9D9"/>
            <w:vAlign w:val="center"/>
          </w:tcPr>
          <w:p w14:paraId="375EB1A1" w14:textId="27337EE7" w:rsidR="005F5F5D" w:rsidRPr="006F3B49" w:rsidRDefault="005F5F5D" w:rsidP="00CA1167">
            <w:pPr>
              <w:jc w:val="right"/>
              <w:rPr>
                <w:rFonts w:ascii="Arial" w:hAnsi="Arial" w:cs="Arial"/>
                <w:color w:val="000000"/>
              </w:rPr>
            </w:pPr>
            <w:r w:rsidRPr="006F3B49">
              <w:rPr>
                <w:rFonts w:ascii="Arial" w:hAnsi="Arial" w:cs="Arial"/>
                <w:color w:val="000000"/>
              </w:rPr>
              <w:t> </w:t>
            </w:r>
          </w:p>
        </w:tc>
      </w:tr>
      <w:tr w:rsidR="005269FA" w:rsidRPr="004C17B2" w14:paraId="329D7FEE" w14:textId="77777777" w:rsidTr="005269FA">
        <w:trPr>
          <w:trHeight w:val="315"/>
        </w:trPr>
        <w:tc>
          <w:tcPr>
            <w:tcW w:w="2344" w:type="dxa"/>
            <w:tcBorders>
              <w:top w:val="nil"/>
              <w:left w:val="single" w:sz="8" w:space="0" w:color="auto"/>
              <w:bottom w:val="single" w:sz="8" w:space="0" w:color="auto"/>
              <w:right w:val="nil"/>
            </w:tcBorders>
            <w:shd w:val="clear" w:color="000000" w:fill="D9D9D9"/>
            <w:vAlign w:val="center"/>
            <w:hideMark/>
          </w:tcPr>
          <w:p w14:paraId="6F91B0FF" w14:textId="61170123" w:rsidR="005269FA" w:rsidRPr="006F3B49" w:rsidRDefault="005269FA" w:rsidP="005269FA">
            <w:pPr>
              <w:rPr>
                <w:rFonts w:ascii="Arial" w:hAnsi="Arial" w:cs="Arial"/>
                <w:color w:val="000000"/>
              </w:rPr>
            </w:pPr>
            <w:r w:rsidRPr="006F3B49">
              <w:rPr>
                <w:rFonts w:ascii="Arial" w:hAnsi="Arial" w:cs="Arial"/>
                <w:b/>
                <w:bCs/>
                <w:color w:val="000000"/>
              </w:rPr>
              <w:t>Total Cost or valuation as at 31</w:t>
            </w:r>
            <w:r w:rsidRPr="006F3B49">
              <w:rPr>
                <w:rFonts w:ascii="Arial" w:hAnsi="Arial" w:cs="Arial"/>
                <w:b/>
                <w:bCs/>
                <w:color w:val="000000"/>
                <w:vertAlign w:val="superscript"/>
              </w:rPr>
              <w:t>st</w:t>
            </w:r>
            <w:r w:rsidRPr="006F3B49">
              <w:rPr>
                <w:rFonts w:ascii="Arial" w:hAnsi="Arial" w:cs="Arial"/>
                <w:b/>
                <w:bCs/>
                <w:color w:val="000000"/>
              </w:rPr>
              <w:t xml:space="preserve"> March 20</w:t>
            </w:r>
            <w:r>
              <w:rPr>
                <w:rFonts w:ascii="Arial" w:hAnsi="Arial" w:cs="Arial"/>
                <w:b/>
                <w:bCs/>
                <w:color w:val="000000"/>
              </w:rPr>
              <w:t>25</w:t>
            </w:r>
          </w:p>
        </w:tc>
        <w:tc>
          <w:tcPr>
            <w:tcW w:w="1627" w:type="dxa"/>
            <w:tcBorders>
              <w:top w:val="single" w:sz="8" w:space="0" w:color="auto"/>
              <w:left w:val="nil"/>
              <w:bottom w:val="single" w:sz="8" w:space="0" w:color="auto"/>
              <w:right w:val="nil"/>
            </w:tcBorders>
            <w:shd w:val="clear" w:color="000000" w:fill="D9D9D9"/>
            <w:vAlign w:val="center"/>
            <w:hideMark/>
          </w:tcPr>
          <w:p w14:paraId="434023B1" w14:textId="2CEFE208" w:rsidR="005269FA" w:rsidRPr="006F3B49" w:rsidRDefault="005269FA" w:rsidP="005269FA">
            <w:pPr>
              <w:jc w:val="right"/>
              <w:rPr>
                <w:rFonts w:ascii="Arial" w:hAnsi="Arial" w:cs="Arial"/>
                <w:color w:val="000000"/>
              </w:rPr>
            </w:pPr>
            <w:r w:rsidRPr="006F3B49">
              <w:rPr>
                <w:rFonts w:ascii="Arial" w:hAnsi="Arial" w:cs="Arial"/>
                <w:b/>
                <w:bCs/>
                <w:color w:val="000000"/>
              </w:rPr>
              <w:t>21</w:t>
            </w:r>
            <w:r>
              <w:rPr>
                <w:rFonts w:ascii="Arial" w:hAnsi="Arial" w:cs="Arial"/>
                <w:b/>
                <w:bCs/>
                <w:color w:val="000000"/>
              </w:rPr>
              <w:t>3</w:t>
            </w:r>
            <w:r w:rsidRPr="006F3B49">
              <w:rPr>
                <w:rFonts w:ascii="Arial" w:hAnsi="Arial" w:cs="Arial"/>
                <w:b/>
                <w:bCs/>
                <w:color w:val="000000"/>
              </w:rPr>
              <w:t>,</w:t>
            </w:r>
            <w:r>
              <w:rPr>
                <w:rFonts w:ascii="Arial" w:hAnsi="Arial" w:cs="Arial"/>
                <w:b/>
                <w:bCs/>
                <w:color w:val="000000"/>
              </w:rPr>
              <w:t>581</w:t>
            </w:r>
          </w:p>
        </w:tc>
        <w:tc>
          <w:tcPr>
            <w:tcW w:w="1464" w:type="dxa"/>
            <w:tcBorders>
              <w:top w:val="single" w:sz="4" w:space="0" w:color="auto"/>
              <w:left w:val="nil"/>
              <w:bottom w:val="single" w:sz="8" w:space="0" w:color="auto"/>
              <w:right w:val="nil"/>
            </w:tcBorders>
            <w:shd w:val="clear" w:color="000000" w:fill="D9D9D9"/>
            <w:vAlign w:val="center"/>
            <w:hideMark/>
          </w:tcPr>
          <w:p w14:paraId="0EA61D4A" w14:textId="79B1271E" w:rsidR="005269FA" w:rsidRPr="005269FA" w:rsidRDefault="005269FA" w:rsidP="005269FA">
            <w:pPr>
              <w:jc w:val="right"/>
              <w:rPr>
                <w:rFonts w:ascii="Arial" w:hAnsi="Arial" w:cs="Arial"/>
                <w:b/>
                <w:bCs/>
                <w:color w:val="000000"/>
              </w:rPr>
            </w:pPr>
            <w:r w:rsidRPr="005269FA">
              <w:rPr>
                <w:rFonts w:ascii="Arial" w:hAnsi="Arial" w:cs="Arial"/>
                <w:b/>
                <w:bCs/>
                <w:color w:val="000000"/>
              </w:rPr>
              <w:t>60,900</w:t>
            </w:r>
          </w:p>
        </w:tc>
        <w:tc>
          <w:tcPr>
            <w:tcW w:w="1564" w:type="dxa"/>
            <w:tcBorders>
              <w:top w:val="single" w:sz="4" w:space="0" w:color="auto"/>
              <w:left w:val="nil"/>
              <w:bottom w:val="single" w:sz="8" w:space="0" w:color="auto"/>
              <w:right w:val="nil"/>
            </w:tcBorders>
            <w:shd w:val="clear" w:color="000000" w:fill="D9D9D9"/>
            <w:vAlign w:val="center"/>
            <w:hideMark/>
          </w:tcPr>
          <w:p w14:paraId="15BE4726" w14:textId="7750E2D0" w:rsidR="005269FA" w:rsidRPr="005269FA" w:rsidRDefault="005269FA" w:rsidP="005269FA">
            <w:pPr>
              <w:jc w:val="right"/>
              <w:rPr>
                <w:rFonts w:ascii="Arial" w:hAnsi="Arial" w:cs="Arial"/>
                <w:b/>
                <w:bCs/>
                <w:color w:val="000000"/>
              </w:rPr>
            </w:pPr>
            <w:r w:rsidRPr="005269FA">
              <w:rPr>
                <w:rFonts w:ascii="Arial" w:hAnsi="Arial" w:cs="Arial"/>
                <w:b/>
                <w:bCs/>
                <w:color w:val="000000"/>
              </w:rPr>
              <w:t>26,402</w:t>
            </w:r>
          </w:p>
        </w:tc>
        <w:tc>
          <w:tcPr>
            <w:tcW w:w="1468" w:type="dxa"/>
            <w:tcBorders>
              <w:top w:val="single" w:sz="4" w:space="0" w:color="auto"/>
              <w:left w:val="nil"/>
              <w:bottom w:val="single" w:sz="8" w:space="0" w:color="auto"/>
              <w:right w:val="nil"/>
            </w:tcBorders>
            <w:shd w:val="clear" w:color="000000" w:fill="D9D9D9"/>
            <w:vAlign w:val="center"/>
          </w:tcPr>
          <w:p w14:paraId="5185DD85" w14:textId="751A477C" w:rsidR="005269FA" w:rsidRPr="005269FA" w:rsidRDefault="005269FA" w:rsidP="005269FA">
            <w:pPr>
              <w:jc w:val="right"/>
              <w:rPr>
                <w:rFonts w:ascii="Arial" w:hAnsi="Arial" w:cs="Arial"/>
                <w:b/>
                <w:bCs/>
                <w:color w:val="000000"/>
              </w:rPr>
            </w:pPr>
            <w:r w:rsidRPr="005269FA">
              <w:rPr>
                <w:rFonts w:ascii="Arial" w:hAnsi="Arial" w:cs="Arial"/>
                <w:b/>
                <w:bCs/>
                <w:color w:val="000000"/>
              </w:rPr>
              <w:t>2,695</w:t>
            </w:r>
          </w:p>
        </w:tc>
        <w:tc>
          <w:tcPr>
            <w:tcW w:w="1516" w:type="dxa"/>
            <w:tcBorders>
              <w:top w:val="single" w:sz="8" w:space="0" w:color="auto"/>
              <w:left w:val="nil"/>
              <w:bottom w:val="single" w:sz="8" w:space="0" w:color="auto"/>
              <w:right w:val="single" w:sz="8" w:space="0" w:color="auto"/>
            </w:tcBorders>
            <w:shd w:val="clear" w:color="000000" w:fill="D9D9D9"/>
            <w:vAlign w:val="center"/>
            <w:hideMark/>
          </w:tcPr>
          <w:p w14:paraId="3FBC372D" w14:textId="17B19639" w:rsidR="005269FA" w:rsidRPr="006F3B49" w:rsidRDefault="00CC0903" w:rsidP="005269FA">
            <w:pPr>
              <w:jc w:val="right"/>
              <w:rPr>
                <w:rFonts w:ascii="Arial" w:hAnsi="Arial" w:cs="Arial"/>
                <w:color w:val="000000"/>
              </w:rPr>
            </w:pPr>
            <w:r>
              <w:rPr>
                <w:rFonts w:ascii="Arial" w:hAnsi="Arial" w:cs="Arial"/>
                <w:b/>
                <w:bCs/>
                <w:color w:val="000000"/>
              </w:rPr>
              <w:t>303</w:t>
            </w:r>
            <w:r w:rsidR="005269FA" w:rsidRPr="004C17B2">
              <w:rPr>
                <w:rFonts w:ascii="Arial" w:hAnsi="Arial" w:cs="Arial"/>
                <w:b/>
                <w:bCs/>
                <w:color w:val="000000"/>
              </w:rPr>
              <w:t>,</w:t>
            </w:r>
            <w:r>
              <w:rPr>
                <w:rFonts w:ascii="Arial" w:hAnsi="Arial" w:cs="Arial"/>
                <w:b/>
                <w:bCs/>
                <w:color w:val="000000"/>
              </w:rPr>
              <w:t>578</w:t>
            </w:r>
          </w:p>
        </w:tc>
      </w:tr>
    </w:tbl>
    <w:p w14:paraId="48CCB511" w14:textId="77777777" w:rsidR="003B74DA" w:rsidRDefault="003B74DA" w:rsidP="003A75C3">
      <w:pPr>
        <w:tabs>
          <w:tab w:val="right" w:pos="5760"/>
        </w:tabs>
        <w:rPr>
          <w:rFonts w:ascii="Arial" w:hAnsi="Arial"/>
          <w:b/>
          <w:sz w:val="22"/>
          <w:szCs w:val="22"/>
        </w:rPr>
      </w:pPr>
    </w:p>
    <w:p w14:paraId="07A822EF" w14:textId="6219FD3F" w:rsidR="00E811B0" w:rsidRDefault="00E811B0">
      <w:pPr>
        <w:rPr>
          <w:rFonts w:ascii="Arial" w:hAnsi="Arial"/>
          <w:b/>
          <w:sz w:val="22"/>
          <w:szCs w:val="22"/>
        </w:rPr>
      </w:pPr>
    </w:p>
    <w:p w14:paraId="241458D7" w14:textId="77777777" w:rsidR="00DE2A8B" w:rsidRDefault="00DE2A8B">
      <w:pPr>
        <w:rPr>
          <w:rFonts w:ascii="Arial" w:hAnsi="Arial"/>
          <w:b/>
          <w:sz w:val="22"/>
          <w:szCs w:val="22"/>
        </w:rPr>
      </w:pPr>
      <w:r>
        <w:rPr>
          <w:rFonts w:ascii="Arial" w:hAnsi="Arial"/>
          <w:b/>
          <w:sz w:val="22"/>
          <w:szCs w:val="22"/>
        </w:rPr>
        <w:br w:type="page"/>
      </w:r>
    </w:p>
    <w:p w14:paraId="746CC8C5" w14:textId="1465E524" w:rsidR="003B74DA" w:rsidRDefault="003B74DA" w:rsidP="003B74DA">
      <w:pPr>
        <w:numPr>
          <w:ilvl w:val="0"/>
          <w:numId w:val="1"/>
        </w:numPr>
        <w:tabs>
          <w:tab w:val="clear" w:pos="720"/>
          <w:tab w:val="num" w:pos="426"/>
          <w:tab w:val="right" w:pos="5760"/>
        </w:tabs>
        <w:rPr>
          <w:rFonts w:ascii="Arial" w:hAnsi="Arial"/>
          <w:b/>
          <w:sz w:val="22"/>
          <w:szCs w:val="22"/>
        </w:rPr>
      </w:pPr>
      <w:r w:rsidRPr="00DB17E5">
        <w:rPr>
          <w:rFonts w:ascii="Arial" w:hAnsi="Arial"/>
          <w:b/>
          <w:sz w:val="22"/>
          <w:szCs w:val="22"/>
        </w:rPr>
        <w:lastRenderedPageBreak/>
        <w:t xml:space="preserve">Capital Expenditure and Financing </w:t>
      </w:r>
    </w:p>
    <w:p w14:paraId="0C5F1319" w14:textId="77777777" w:rsidR="003B74DA" w:rsidRDefault="003B74DA" w:rsidP="003B74DA">
      <w:pPr>
        <w:tabs>
          <w:tab w:val="right" w:pos="5760"/>
        </w:tabs>
        <w:rPr>
          <w:rFonts w:ascii="Arial" w:hAnsi="Arial"/>
          <w:b/>
          <w:sz w:val="22"/>
          <w:szCs w:val="22"/>
        </w:rPr>
      </w:pPr>
    </w:p>
    <w:p w14:paraId="366C5E5B" w14:textId="0A93F511" w:rsidR="003B74DA" w:rsidRPr="00847C8B" w:rsidRDefault="003B74DA" w:rsidP="003B74DA">
      <w:pPr>
        <w:spacing w:after="240"/>
        <w:ind w:left="426"/>
        <w:jc w:val="both"/>
        <w:rPr>
          <w:rFonts w:ascii="Arial" w:hAnsi="Arial"/>
          <w:sz w:val="22"/>
          <w:szCs w:val="22"/>
          <w:u w:val="single"/>
        </w:rPr>
      </w:pPr>
      <w:r w:rsidRPr="00847C8B">
        <w:rPr>
          <w:rFonts w:ascii="Arial" w:hAnsi="Arial"/>
          <w:sz w:val="22"/>
          <w:szCs w:val="22"/>
          <w:u w:val="single"/>
        </w:rPr>
        <w:t>Accounting Policy</w:t>
      </w:r>
      <w:r>
        <w:rPr>
          <w:rFonts w:ascii="Arial" w:hAnsi="Arial"/>
          <w:sz w:val="22"/>
          <w:szCs w:val="22"/>
          <w:u w:val="single"/>
        </w:rPr>
        <w:t xml:space="preserve"> -</w:t>
      </w:r>
      <w:r w:rsidR="00964E74">
        <w:rPr>
          <w:rFonts w:ascii="Arial" w:hAnsi="Arial"/>
          <w:sz w:val="22"/>
          <w:szCs w:val="22"/>
          <w:u w:val="single"/>
        </w:rPr>
        <w:t xml:space="preserve"> </w:t>
      </w:r>
      <w:r w:rsidRPr="00847C8B">
        <w:rPr>
          <w:rFonts w:ascii="Arial" w:hAnsi="Arial"/>
          <w:sz w:val="22"/>
          <w:szCs w:val="22"/>
          <w:u w:val="single"/>
        </w:rPr>
        <w:t>Government Grants and Contributions</w:t>
      </w:r>
    </w:p>
    <w:p w14:paraId="766C8C57" w14:textId="77777777" w:rsidR="003B74DA" w:rsidRPr="00847C8B" w:rsidRDefault="003B74DA" w:rsidP="003B74DA">
      <w:pPr>
        <w:spacing w:after="240"/>
        <w:ind w:left="426"/>
        <w:jc w:val="both"/>
        <w:rPr>
          <w:rFonts w:ascii="Arial" w:hAnsi="Arial"/>
          <w:sz w:val="22"/>
          <w:szCs w:val="22"/>
          <w:u w:val="single"/>
        </w:rPr>
      </w:pPr>
      <w:r w:rsidRPr="00847C8B">
        <w:rPr>
          <w:rFonts w:ascii="Arial" w:hAnsi="Arial"/>
          <w:sz w:val="22"/>
          <w:szCs w:val="22"/>
        </w:rPr>
        <w:t>Where capital grants are credited to the C</w:t>
      </w:r>
      <w:r>
        <w:rPr>
          <w:rFonts w:ascii="Arial" w:hAnsi="Arial"/>
          <w:sz w:val="22"/>
          <w:szCs w:val="22"/>
        </w:rPr>
        <w:t>IES</w:t>
      </w:r>
      <w:r w:rsidRPr="00847C8B">
        <w:rPr>
          <w:rFonts w:ascii="Arial" w:hAnsi="Arial"/>
          <w:sz w:val="22"/>
          <w:szCs w:val="22"/>
        </w:rPr>
        <w:t>, they are reversed out of the</w:t>
      </w:r>
      <w:r>
        <w:rPr>
          <w:rFonts w:ascii="Arial" w:hAnsi="Arial"/>
          <w:sz w:val="22"/>
          <w:szCs w:val="22"/>
        </w:rPr>
        <w:t xml:space="preserve"> </w:t>
      </w:r>
      <w:r w:rsidRPr="00847C8B">
        <w:rPr>
          <w:rFonts w:ascii="Arial" w:hAnsi="Arial"/>
          <w:sz w:val="22"/>
          <w:szCs w:val="22"/>
        </w:rPr>
        <w:t xml:space="preserve">General Fund </w:t>
      </w:r>
      <w:r>
        <w:rPr>
          <w:rFonts w:ascii="Arial" w:hAnsi="Arial"/>
          <w:sz w:val="22"/>
          <w:szCs w:val="22"/>
        </w:rPr>
        <w:t>b</w:t>
      </w:r>
      <w:r w:rsidRPr="00847C8B">
        <w:rPr>
          <w:rFonts w:ascii="Arial" w:hAnsi="Arial"/>
          <w:sz w:val="22"/>
          <w:szCs w:val="22"/>
        </w:rPr>
        <w:t xml:space="preserve">alance in the </w:t>
      </w:r>
      <w:r>
        <w:rPr>
          <w:rFonts w:ascii="Arial" w:hAnsi="Arial"/>
          <w:sz w:val="22"/>
          <w:szCs w:val="22"/>
        </w:rPr>
        <w:t>m</w:t>
      </w:r>
      <w:r w:rsidRPr="00847C8B">
        <w:rPr>
          <w:rFonts w:ascii="Arial" w:hAnsi="Arial"/>
          <w:sz w:val="22"/>
          <w:szCs w:val="22"/>
        </w:rPr>
        <w:t xml:space="preserve">ovement in </w:t>
      </w:r>
      <w:r>
        <w:rPr>
          <w:rFonts w:ascii="Arial" w:hAnsi="Arial"/>
          <w:sz w:val="22"/>
          <w:szCs w:val="22"/>
        </w:rPr>
        <w:t>r</w:t>
      </w:r>
      <w:r w:rsidRPr="00847C8B">
        <w:rPr>
          <w:rFonts w:ascii="Arial" w:hAnsi="Arial"/>
          <w:sz w:val="22"/>
          <w:szCs w:val="22"/>
        </w:rPr>
        <w:t xml:space="preserve">eserves </w:t>
      </w:r>
      <w:r>
        <w:rPr>
          <w:rFonts w:ascii="Arial" w:hAnsi="Arial"/>
          <w:sz w:val="22"/>
          <w:szCs w:val="22"/>
        </w:rPr>
        <w:t>s</w:t>
      </w:r>
      <w:r w:rsidRPr="00847C8B">
        <w:rPr>
          <w:rFonts w:ascii="Arial" w:hAnsi="Arial"/>
          <w:sz w:val="22"/>
          <w:szCs w:val="22"/>
        </w:rPr>
        <w:t>tatement. Where the grant has yet to be used to finance capital</w:t>
      </w:r>
      <w:r>
        <w:rPr>
          <w:rFonts w:ascii="Arial" w:hAnsi="Arial"/>
          <w:sz w:val="22"/>
          <w:szCs w:val="22"/>
        </w:rPr>
        <w:t xml:space="preserve"> </w:t>
      </w:r>
      <w:r w:rsidRPr="00847C8B">
        <w:rPr>
          <w:rFonts w:ascii="Arial" w:hAnsi="Arial"/>
          <w:sz w:val="22"/>
          <w:szCs w:val="22"/>
        </w:rPr>
        <w:t xml:space="preserve">expenditure, it is posted to the </w:t>
      </w:r>
      <w:r>
        <w:rPr>
          <w:rFonts w:ascii="Arial" w:hAnsi="Arial"/>
          <w:sz w:val="22"/>
          <w:szCs w:val="22"/>
        </w:rPr>
        <w:t>c</w:t>
      </w:r>
      <w:r w:rsidRPr="00847C8B">
        <w:rPr>
          <w:rFonts w:ascii="Arial" w:hAnsi="Arial"/>
          <w:sz w:val="22"/>
          <w:szCs w:val="22"/>
        </w:rPr>
        <w:t xml:space="preserve">apital </w:t>
      </w:r>
      <w:r>
        <w:rPr>
          <w:rFonts w:ascii="Arial" w:hAnsi="Arial"/>
          <w:sz w:val="22"/>
          <w:szCs w:val="22"/>
        </w:rPr>
        <w:t>g</w:t>
      </w:r>
      <w:r w:rsidRPr="00847C8B">
        <w:rPr>
          <w:rFonts w:ascii="Arial" w:hAnsi="Arial"/>
          <w:sz w:val="22"/>
          <w:szCs w:val="22"/>
        </w:rPr>
        <w:t xml:space="preserve">rants </w:t>
      </w:r>
      <w:r>
        <w:rPr>
          <w:rFonts w:ascii="Arial" w:hAnsi="Arial"/>
          <w:sz w:val="22"/>
          <w:szCs w:val="22"/>
        </w:rPr>
        <w:t>u</w:t>
      </w:r>
      <w:r w:rsidRPr="00847C8B">
        <w:rPr>
          <w:rFonts w:ascii="Arial" w:hAnsi="Arial"/>
          <w:sz w:val="22"/>
          <w:szCs w:val="22"/>
        </w:rPr>
        <w:t xml:space="preserve">napplied reserve. Where it has been applied, it is posted to the </w:t>
      </w:r>
      <w:r>
        <w:rPr>
          <w:rFonts w:ascii="Arial" w:hAnsi="Arial"/>
          <w:sz w:val="22"/>
          <w:szCs w:val="22"/>
        </w:rPr>
        <w:t>c</w:t>
      </w:r>
      <w:r w:rsidRPr="00847C8B">
        <w:rPr>
          <w:rFonts w:ascii="Arial" w:hAnsi="Arial"/>
          <w:sz w:val="22"/>
          <w:szCs w:val="22"/>
        </w:rPr>
        <w:t>apital</w:t>
      </w:r>
      <w:r>
        <w:rPr>
          <w:rFonts w:ascii="Arial" w:hAnsi="Arial"/>
          <w:sz w:val="22"/>
          <w:szCs w:val="22"/>
        </w:rPr>
        <w:t xml:space="preserve"> a</w:t>
      </w:r>
      <w:r w:rsidRPr="00847C8B">
        <w:rPr>
          <w:rFonts w:ascii="Arial" w:hAnsi="Arial"/>
          <w:sz w:val="22"/>
          <w:szCs w:val="22"/>
        </w:rPr>
        <w:t xml:space="preserve">djustment </w:t>
      </w:r>
      <w:r>
        <w:rPr>
          <w:rFonts w:ascii="Arial" w:hAnsi="Arial"/>
          <w:sz w:val="22"/>
          <w:szCs w:val="22"/>
        </w:rPr>
        <w:t>a</w:t>
      </w:r>
      <w:r w:rsidRPr="00847C8B">
        <w:rPr>
          <w:rFonts w:ascii="Arial" w:hAnsi="Arial"/>
          <w:sz w:val="22"/>
          <w:szCs w:val="22"/>
        </w:rPr>
        <w:t xml:space="preserve">ccount. Amounts in the </w:t>
      </w:r>
      <w:r>
        <w:rPr>
          <w:rFonts w:ascii="Arial" w:hAnsi="Arial"/>
          <w:sz w:val="22"/>
          <w:szCs w:val="22"/>
        </w:rPr>
        <w:t>c</w:t>
      </w:r>
      <w:r w:rsidRPr="00847C8B">
        <w:rPr>
          <w:rFonts w:ascii="Arial" w:hAnsi="Arial"/>
          <w:sz w:val="22"/>
          <w:szCs w:val="22"/>
        </w:rPr>
        <w:t xml:space="preserve">apital </w:t>
      </w:r>
      <w:r>
        <w:rPr>
          <w:rFonts w:ascii="Arial" w:hAnsi="Arial"/>
          <w:sz w:val="22"/>
          <w:szCs w:val="22"/>
        </w:rPr>
        <w:t>g</w:t>
      </w:r>
      <w:r w:rsidRPr="00847C8B">
        <w:rPr>
          <w:rFonts w:ascii="Arial" w:hAnsi="Arial"/>
          <w:sz w:val="22"/>
          <w:szCs w:val="22"/>
        </w:rPr>
        <w:t xml:space="preserve">rants </w:t>
      </w:r>
      <w:r>
        <w:rPr>
          <w:rFonts w:ascii="Arial" w:hAnsi="Arial"/>
          <w:sz w:val="22"/>
          <w:szCs w:val="22"/>
        </w:rPr>
        <w:t>u</w:t>
      </w:r>
      <w:r w:rsidRPr="00847C8B">
        <w:rPr>
          <w:rFonts w:ascii="Arial" w:hAnsi="Arial"/>
          <w:sz w:val="22"/>
          <w:szCs w:val="22"/>
        </w:rPr>
        <w:t xml:space="preserve">napplied reserve are transferred to the </w:t>
      </w:r>
      <w:r>
        <w:rPr>
          <w:rFonts w:ascii="Arial" w:hAnsi="Arial"/>
          <w:sz w:val="22"/>
          <w:szCs w:val="22"/>
        </w:rPr>
        <w:t>c</w:t>
      </w:r>
      <w:r w:rsidRPr="00847C8B">
        <w:rPr>
          <w:rFonts w:ascii="Arial" w:hAnsi="Arial"/>
          <w:sz w:val="22"/>
          <w:szCs w:val="22"/>
        </w:rPr>
        <w:t xml:space="preserve">apital </w:t>
      </w:r>
      <w:r>
        <w:rPr>
          <w:rFonts w:ascii="Arial" w:hAnsi="Arial"/>
          <w:sz w:val="22"/>
          <w:szCs w:val="22"/>
        </w:rPr>
        <w:t>a</w:t>
      </w:r>
      <w:r w:rsidRPr="00847C8B">
        <w:rPr>
          <w:rFonts w:ascii="Arial" w:hAnsi="Arial"/>
          <w:sz w:val="22"/>
          <w:szCs w:val="22"/>
        </w:rPr>
        <w:t xml:space="preserve">djustment </w:t>
      </w:r>
      <w:r>
        <w:rPr>
          <w:rFonts w:ascii="Arial" w:hAnsi="Arial"/>
          <w:sz w:val="22"/>
          <w:szCs w:val="22"/>
        </w:rPr>
        <w:t>a</w:t>
      </w:r>
      <w:r w:rsidRPr="00847C8B">
        <w:rPr>
          <w:rFonts w:ascii="Arial" w:hAnsi="Arial"/>
          <w:sz w:val="22"/>
          <w:szCs w:val="22"/>
        </w:rPr>
        <w:t>ccount</w:t>
      </w:r>
      <w:r>
        <w:rPr>
          <w:rFonts w:ascii="Arial" w:hAnsi="Arial"/>
          <w:sz w:val="22"/>
          <w:szCs w:val="22"/>
        </w:rPr>
        <w:t xml:space="preserve"> </w:t>
      </w:r>
      <w:r w:rsidRPr="00847C8B">
        <w:rPr>
          <w:rFonts w:ascii="Arial" w:hAnsi="Arial"/>
          <w:sz w:val="22"/>
          <w:szCs w:val="22"/>
        </w:rPr>
        <w:t>once they have been applied to fund capital expenditure</w:t>
      </w:r>
      <w:r>
        <w:rPr>
          <w:rFonts w:ascii="Arial" w:hAnsi="Arial"/>
          <w:sz w:val="22"/>
          <w:szCs w:val="22"/>
          <w:u w:val="single"/>
        </w:rPr>
        <w:t>.</w:t>
      </w:r>
    </w:p>
    <w:p w14:paraId="7A1A4B26" w14:textId="13B1FBE4" w:rsidR="00040118" w:rsidRDefault="003B74DA" w:rsidP="00290AFB">
      <w:pPr>
        <w:ind w:left="426"/>
        <w:jc w:val="both"/>
        <w:rPr>
          <w:rFonts w:ascii="Arial" w:hAnsi="Arial"/>
          <w:sz w:val="22"/>
          <w:szCs w:val="22"/>
        </w:rPr>
      </w:pPr>
      <w:r w:rsidRPr="006D116D">
        <w:rPr>
          <w:rFonts w:ascii="Arial" w:hAnsi="Arial"/>
          <w:sz w:val="22"/>
          <w:szCs w:val="22"/>
        </w:rPr>
        <w:t xml:space="preserve">The total amount of capital expenditure incurred in the year is shown in the table below together with the resources that have been used to finance it. Where capital expenditure is to be financed in future years by charges to revenue as assets are used by the </w:t>
      </w:r>
      <w:r>
        <w:rPr>
          <w:rFonts w:ascii="Arial" w:hAnsi="Arial"/>
          <w:sz w:val="22"/>
          <w:szCs w:val="22"/>
        </w:rPr>
        <w:t>PCC Group</w:t>
      </w:r>
      <w:r w:rsidRPr="006D116D">
        <w:rPr>
          <w:rFonts w:ascii="Arial" w:hAnsi="Arial"/>
          <w:sz w:val="22"/>
          <w:szCs w:val="22"/>
        </w:rPr>
        <w:t xml:space="preserve">, the expenditure results in an increase in the </w:t>
      </w:r>
      <w:r>
        <w:rPr>
          <w:rFonts w:ascii="Arial" w:hAnsi="Arial"/>
          <w:sz w:val="22"/>
          <w:szCs w:val="22"/>
        </w:rPr>
        <w:t>c</w:t>
      </w:r>
      <w:r w:rsidRPr="006D116D">
        <w:rPr>
          <w:rFonts w:ascii="Arial" w:hAnsi="Arial"/>
          <w:sz w:val="22"/>
          <w:szCs w:val="22"/>
        </w:rPr>
        <w:t xml:space="preserve">apital </w:t>
      </w:r>
      <w:r>
        <w:rPr>
          <w:rFonts w:ascii="Arial" w:hAnsi="Arial"/>
          <w:sz w:val="22"/>
          <w:szCs w:val="22"/>
        </w:rPr>
        <w:t>f</w:t>
      </w:r>
      <w:r w:rsidRPr="006D116D">
        <w:rPr>
          <w:rFonts w:ascii="Arial" w:hAnsi="Arial"/>
          <w:sz w:val="22"/>
          <w:szCs w:val="22"/>
        </w:rPr>
        <w:t xml:space="preserve">inancing </w:t>
      </w:r>
      <w:r>
        <w:rPr>
          <w:rFonts w:ascii="Arial" w:hAnsi="Arial"/>
          <w:sz w:val="22"/>
          <w:szCs w:val="22"/>
        </w:rPr>
        <w:t>r</w:t>
      </w:r>
      <w:r w:rsidRPr="006D116D">
        <w:rPr>
          <w:rFonts w:ascii="Arial" w:hAnsi="Arial"/>
          <w:sz w:val="22"/>
          <w:szCs w:val="22"/>
        </w:rPr>
        <w:t xml:space="preserve">equirement (CFR), a measure of the capital expenditure incurred historically by the </w:t>
      </w:r>
      <w:r>
        <w:rPr>
          <w:rFonts w:ascii="Arial" w:hAnsi="Arial"/>
          <w:sz w:val="22"/>
          <w:szCs w:val="22"/>
        </w:rPr>
        <w:t>PCC Group</w:t>
      </w:r>
      <w:r w:rsidRPr="006D116D">
        <w:rPr>
          <w:rFonts w:ascii="Arial" w:hAnsi="Arial"/>
          <w:sz w:val="22"/>
          <w:szCs w:val="22"/>
        </w:rPr>
        <w:t xml:space="preserve"> that has yet to be financed. The CFR is analysed in the second part of this note.</w:t>
      </w:r>
    </w:p>
    <w:p w14:paraId="7827DD6D" w14:textId="66AE2650" w:rsidR="00177184" w:rsidRDefault="00177184">
      <w:pPr>
        <w:rPr>
          <w:rFonts w:ascii="Arial" w:hAnsi="Arial"/>
          <w:sz w:val="22"/>
          <w:szCs w:val="22"/>
        </w:rPr>
      </w:pPr>
    </w:p>
    <w:tbl>
      <w:tblPr>
        <w:tblW w:w="8637" w:type="dxa"/>
        <w:jc w:val="center"/>
        <w:tblCellMar>
          <w:top w:w="15" w:type="dxa"/>
          <w:bottom w:w="15" w:type="dxa"/>
        </w:tblCellMar>
        <w:tblLook w:val="04A0" w:firstRow="1" w:lastRow="0" w:firstColumn="1" w:lastColumn="0" w:noHBand="0" w:noVBand="1"/>
      </w:tblPr>
      <w:tblGrid>
        <w:gridCol w:w="6213"/>
        <w:gridCol w:w="1123"/>
        <w:gridCol w:w="1301"/>
      </w:tblGrid>
      <w:tr w:rsidR="00E96552" w:rsidRPr="00E96552" w14:paraId="5189E24A" w14:textId="77777777" w:rsidTr="00563FD7">
        <w:trPr>
          <w:trHeight w:val="213"/>
          <w:jc w:val="center"/>
        </w:trPr>
        <w:tc>
          <w:tcPr>
            <w:tcW w:w="6213" w:type="dxa"/>
            <w:tcBorders>
              <w:top w:val="single" w:sz="8" w:space="0" w:color="auto"/>
              <w:left w:val="single" w:sz="8" w:space="0" w:color="auto"/>
              <w:bottom w:val="nil"/>
              <w:right w:val="nil"/>
            </w:tcBorders>
            <w:shd w:val="clear" w:color="000000" w:fill="D9D9D9"/>
            <w:vAlign w:val="center"/>
            <w:hideMark/>
          </w:tcPr>
          <w:p w14:paraId="75053162" w14:textId="77777777" w:rsidR="00E96552" w:rsidRPr="00E96552" w:rsidRDefault="00E96552" w:rsidP="00E96552">
            <w:pPr>
              <w:rPr>
                <w:sz w:val="24"/>
                <w:szCs w:val="24"/>
              </w:rPr>
            </w:pPr>
          </w:p>
        </w:tc>
        <w:tc>
          <w:tcPr>
            <w:tcW w:w="1123" w:type="dxa"/>
            <w:tcBorders>
              <w:top w:val="single" w:sz="8" w:space="0" w:color="auto"/>
              <w:left w:val="nil"/>
              <w:bottom w:val="nil"/>
              <w:right w:val="nil"/>
            </w:tcBorders>
            <w:shd w:val="clear" w:color="000000" w:fill="D9D9D9"/>
            <w:vAlign w:val="center"/>
            <w:hideMark/>
          </w:tcPr>
          <w:p w14:paraId="63446B1E" w14:textId="59B6508A" w:rsidR="00E96552" w:rsidRPr="00E96552" w:rsidRDefault="00C37E7F" w:rsidP="00E96552">
            <w:pPr>
              <w:jc w:val="right"/>
              <w:rPr>
                <w:rFonts w:ascii="Arial" w:hAnsi="Arial" w:cs="Arial"/>
                <w:b/>
                <w:bCs/>
                <w:color w:val="000000"/>
                <w:sz w:val="22"/>
                <w:szCs w:val="22"/>
              </w:rPr>
            </w:pPr>
            <w:r>
              <w:rPr>
                <w:rFonts w:ascii="Arial" w:hAnsi="Arial" w:cs="Arial"/>
                <w:b/>
                <w:bCs/>
                <w:color w:val="000000"/>
                <w:sz w:val="22"/>
                <w:szCs w:val="22"/>
              </w:rPr>
              <w:t>2023/24</w:t>
            </w:r>
          </w:p>
        </w:tc>
        <w:tc>
          <w:tcPr>
            <w:tcW w:w="1301" w:type="dxa"/>
            <w:tcBorders>
              <w:top w:val="single" w:sz="8" w:space="0" w:color="auto"/>
              <w:left w:val="nil"/>
              <w:bottom w:val="nil"/>
              <w:right w:val="single" w:sz="8" w:space="0" w:color="auto"/>
            </w:tcBorders>
            <w:shd w:val="clear" w:color="000000" w:fill="D9D9D9"/>
            <w:vAlign w:val="center"/>
            <w:hideMark/>
          </w:tcPr>
          <w:p w14:paraId="52CE5B1A" w14:textId="0494196A" w:rsidR="00E96552" w:rsidRPr="00E96552" w:rsidRDefault="00C37E7F" w:rsidP="00563FD7">
            <w:pPr>
              <w:jc w:val="center"/>
              <w:rPr>
                <w:rFonts w:ascii="Arial" w:hAnsi="Arial" w:cs="Arial"/>
                <w:b/>
                <w:bCs/>
                <w:color w:val="000000"/>
                <w:sz w:val="22"/>
                <w:szCs w:val="22"/>
              </w:rPr>
            </w:pPr>
            <w:r>
              <w:rPr>
                <w:rFonts w:ascii="Arial" w:hAnsi="Arial" w:cs="Arial"/>
                <w:b/>
                <w:bCs/>
                <w:color w:val="000000"/>
                <w:sz w:val="22"/>
                <w:szCs w:val="22"/>
              </w:rPr>
              <w:t>2024/25</w:t>
            </w:r>
          </w:p>
        </w:tc>
      </w:tr>
      <w:tr w:rsidR="00E96552" w:rsidRPr="00E96552" w14:paraId="5335B6E4"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31BB15AA" w14:textId="77777777" w:rsidR="00E96552" w:rsidRPr="00E96552" w:rsidRDefault="00E96552" w:rsidP="00E96552">
            <w:pPr>
              <w:rPr>
                <w:rFonts w:ascii="Arial" w:hAnsi="Arial" w:cs="Arial"/>
                <w:b/>
                <w:bCs/>
                <w:color w:val="000000"/>
                <w:sz w:val="22"/>
                <w:szCs w:val="22"/>
              </w:rPr>
            </w:pPr>
          </w:p>
        </w:tc>
        <w:tc>
          <w:tcPr>
            <w:tcW w:w="1123" w:type="dxa"/>
            <w:tcBorders>
              <w:top w:val="nil"/>
              <w:left w:val="nil"/>
              <w:bottom w:val="nil"/>
              <w:right w:val="nil"/>
            </w:tcBorders>
            <w:shd w:val="clear" w:color="000000" w:fill="D9D9D9"/>
            <w:vAlign w:val="center"/>
            <w:hideMark/>
          </w:tcPr>
          <w:p w14:paraId="713AD9FF" w14:textId="77777777" w:rsidR="00E96552" w:rsidRPr="00E96552" w:rsidRDefault="00E96552" w:rsidP="00E96552">
            <w:pPr>
              <w:jc w:val="center"/>
              <w:rPr>
                <w:rFonts w:ascii="Arial" w:hAnsi="Arial" w:cs="Arial"/>
                <w:b/>
                <w:bCs/>
                <w:color w:val="000000"/>
                <w:sz w:val="22"/>
                <w:szCs w:val="22"/>
              </w:rPr>
            </w:pPr>
            <w:r w:rsidRPr="00E96552">
              <w:rPr>
                <w:rFonts w:ascii="Arial" w:hAnsi="Arial" w:cs="Arial"/>
                <w:b/>
                <w:bCs/>
                <w:color w:val="000000"/>
                <w:sz w:val="22"/>
                <w:szCs w:val="22"/>
              </w:rPr>
              <w:t>£000</w:t>
            </w:r>
          </w:p>
        </w:tc>
        <w:tc>
          <w:tcPr>
            <w:tcW w:w="1301" w:type="dxa"/>
            <w:tcBorders>
              <w:top w:val="nil"/>
              <w:left w:val="nil"/>
              <w:bottom w:val="nil"/>
              <w:right w:val="single" w:sz="8" w:space="0" w:color="auto"/>
            </w:tcBorders>
            <w:shd w:val="clear" w:color="000000" w:fill="D9D9D9"/>
            <w:vAlign w:val="center"/>
            <w:hideMark/>
          </w:tcPr>
          <w:p w14:paraId="79C9F129" w14:textId="77777777" w:rsidR="00E96552" w:rsidRPr="00E96552" w:rsidRDefault="00E96552" w:rsidP="00E96552">
            <w:pPr>
              <w:jc w:val="center"/>
              <w:rPr>
                <w:rFonts w:ascii="Arial" w:hAnsi="Arial" w:cs="Arial"/>
                <w:b/>
                <w:bCs/>
                <w:color w:val="000000"/>
                <w:sz w:val="22"/>
                <w:szCs w:val="22"/>
              </w:rPr>
            </w:pPr>
            <w:r w:rsidRPr="00E96552">
              <w:rPr>
                <w:rFonts w:ascii="Arial" w:hAnsi="Arial" w:cs="Arial"/>
                <w:b/>
                <w:bCs/>
                <w:color w:val="000000"/>
                <w:sz w:val="22"/>
                <w:szCs w:val="22"/>
              </w:rPr>
              <w:t>£000</w:t>
            </w:r>
          </w:p>
        </w:tc>
      </w:tr>
      <w:tr w:rsidR="00E96552" w:rsidRPr="00E96552" w14:paraId="7CF4EBEC"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4EB6328D" w14:textId="77777777" w:rsidR="00E96552" w:rsidRPr="00E96552" w:rsidRDefault="00E96552" w:rsidP="00E96552">
            <w:pPr>
              <w:jc w:val="center"/>
              <w:rPr>
                <w:rFonts w:ascii="Arial" w:hAnsi="Arial" w:cs="Arial"/>
                <w:b/>
                <w:bCs/>
                <w:color w:val="000000"/>
                <w:sz w:val="22"/>
                <w:szCs w:val="22"/>
              </w:rPr>
            </w:pPr>
          </w:p>
        </w:tc>
        <w:tc>
          <w:tcPr>
            <w:tcW w:w="1123" w:type="dxa"/>
            <w:tcBorders>
              <w:top w:val="nil"/>
              <w:left w:val="nil"/>
              <w:right w:val="nil"/>
            </w:tcBorders>
            <w:shd w:val="clear" w:color="000000" w:fill="D9D9D9"/>
            <w:vAlign w:val="center"/>
            <w:hideMark/>
          </w:tcPr>
          <w:p w14:paraId="3EBE3060" w14:textId="77777777" w:rsidR="00E96552" w:rsidRPr="00E96552" w:rsidRDefault="00E96552" w:rsidP="00E96552">
            <w:pPr>
              <w:jc w:val="right"/>
            </w:pPr>
          </w:p>
        </w:tc>
        <w:tc>
          <w:tcPr>
            <w:tcW w:w="1301" w:type="dxa"/>
            <w:tcBorders>
              <w:top w:val="nil"/>
              <w:left w:val="nil"/>
              <w:bottom w:val="nil"/>
              <w:right w:val="single" w:sz="8" w:space="0" w:color="auto"/>
            </w:tcBorders>
            <w:shd w:val="clear" w:color="000000" w:fill="D9D9D9"/>
            <w:vAlign w:val="center"/>
            <w:hideMark/>
          </w:tcPr>
          <w:p w14:paraId="2152B4F5" w14:textId="77777777" w:rsidR="00E96552" w:rsidRPr="00E96552" w:rsidRDefault="00E96552" w:rsidP="00E96552">
            <w:pPr>
              <w:jc w:val="right"/>
            </w:pPr>
          </w:p>
        </w:tc>
      </w:tr>
      <w:tr w:rsidR="003E1D98" w:rsidRPr="00E96552" w14:paraId="78217C69" w14:textId="77777777">
        <w:trPr>
          <w:trHeight w:val="213"/>
          <w:jc w:val="center"/>
        </w:trPr>
        <w:tc>
          <w:tcPr>
            <w:tcW w:w="6213" w:type="dxa"/>
            <w:tcBorders>
              <w:top w:val="nil"/>
              <w:left w:val="single" w:sz="8" w:space="0" w:color="auto"/>
              <w:bottom w:val="nil"/>
              <w:right w:val="nil"/>
            </w:tcBorders>
            <w:shd w:val="clear" w:color="000000" w:fill="D9D9D9"/>
            <w:vAlign w:val="center"/>
          </w:tcPr>
          <w:p w14:paraId="5BD08E3C" w14:textId="436CC05D" w:rsidR="003E1D98" w:rsidRPr="00E96552" w:rsidRDefault="003E1D98" w:rsidP="00DC7F16">
            <w:pPr>
              <w:rPr>
                <w:rFonts w:ascii="Arial" w:hAnsi="Arial" w:cs="Arial"/>
                <w:b/>
                <w:bCs/>
                <w:color w:val="000000"/>
                <w:sz w:val="22"/>
                <w:szCs w:val="22"/>
              </w:rPr>
            </w:pPr>
            <w:r w:rsidRPr="00E96552">
              <w:rPr>
                <w:rFonts w:ascii="Arial" w:hAnsi="Arial" w:cs="Arial"/>
                <w:b/>
                <w:bCs/>
                <w:color w:val="000000"/>
                <w:sz w:val="22"/>
                <w:szCs w:val="22"/>
              </w:rPr>
              <w:t>Opening Capital Financing Requirement</w:t>
            </w:r>
          </w:p>
        </w:tc>
        <w:tc>
          <w:tcPr>
            <w:tcW w:w="1123" w:type="dxa"/>
            <w:tcBorders>
              <w:top w:val="nil"/>
              <w:left w:val="nil"/>
              <w:bottom w:val="nil"/>
            </w:tcBorders>
            <w:shd w:val="clear" w:color="000000" w:fill="D9D9D9"/>
            <w:vAlign w:val="center"/>
          </w:tcPr>
          <w:p w14:paraId="6AED6F5B" w14:textId="653DAECC" w:rsidR="003E1D98" w:rsidRPr="00E96552" w:rsidRDefault="003E1D98" w:rsidP="00DC7F16">
            <w:pPr>
              <w:jc w:val="right"/>
              <w:rPr>
                <w:rFonts w:ascii="Arial" w:hAnsi="Arial" w:cs="Arial"/>
                <w:b/>
                <w:bCs/>
                <w:color w:val="000000"/>
                <w:sz w:val="22"/>
                <w:szCs w:val="22"/>
              </w:rPr>
            </w:pPr>
            <w:r w:rsidRPr="00E96552">
              <w:rPr>
                <w:rFonts w:ascii="Arial" w:hAnsi="Arial" w:cs="Arial"/>
                <w:b/>
                <w:bCs/>
                <w:color w:val="000000"/>
                <w:sz w:val="22"/>
                <w:szCs w:val="22"/>
              </w:rPr>
              <w:t>7</w:t>
            </w:r>
            <w:r>
              <w:rPr>
                <w:rFonts w:ascii="Arial" w:hAnsi="Arial" w:cs="Arial"/>
                <w:b/>
                <w:bCs/>
                <w:color w:val="000000"/>
                <w:sz w:val="22"/>
                <w:szCs w:val="22"/>
              </w:rPr>
              <w:t>3</w:t>
            </w:r>
            <w:r w:rsidRPr="00E96552">
              <w:rPr>
                <w:rFonts w:ascii="Arial" w:hAnsi="Arial" w:cs="Arial"/>
                <w:b/>
                <w:bCs/>
                <w:color w:val="000000"/>
                <w:sz w:val="22"/>
                <w:szCs w:val="22"/>
              </w:rPr>
              <w:t>,</w:t>
            </w:r>
            <w:r>
              <w:rPr>
                <w:rFonts w:ascii="Arial" w:hAnsi="Arial" w:cs="Arial"/>
                <w:b/>
                <w:bCs/>
                <w:color w:val="000000"/>
                <w:sz w:val="22"/>
                <w:szCs w:val="22"/>
              </w:rPr>
              <w:t>996</w:t>
            </w:r>
          </w:p>
        </w:tc>
        <w:tc>
          <w:tcPr>
            <w:tcW w:w="1301" w:type="dxa"/>
            <w:tcBorders>
              <w:top w:val="nil"/>
              <w:left w:val="nil"/>
              <w:bottom w:val="nil"/>
              <w:right w:val="single" w:sz="8" w:space="0" w:color="auto"/>
            </w:tcBorders>
            <w:shd w:val="clear" w:color="000000" w:fill="D9D9D9"/>
            <w:vAlign w:val="center"/>
          </w:tcPr>
          <w:p w14:paraId="31D5F4EA" w14:textId="0B208B58" w:rsidR="003E1D98" w:rsidRPr="00E96552" w:rsidRDefault="003E1D98" w:rsidP="00DC7F16">
            <w:pPr>
              <w:jc w:val="right"/>
              <w:rPr>
                <w:rFonts w:ascii="Arial" w:hAnsi="Arial" w:cs="Arial"/>
                <w:b/>
                <w:bCs/>
                <w:color w:val="000000"/>
                <w:sz w:val="22"/>
                <w:szCs w:val="22"/>
              </w:rPr>
            </w:pPr>
            <w:r>
              <w:rPr>
                <w:rFonts w:ascii="Arial" w:hAnsi="Arial" w:cs="Arial"/>
                <w:b/>
                <w:bCs/>
                <w:color w:val="000000"/>
                <w:sz w:val="22"/>
                <w:szCs w:val="22"/>
              </w:rPr>
              <w:t>78,259</w:t>
            </w:r>
          </w:p>
        </w:tc>
      </w:tr>
      <w:tr w:rsidR="003E1D98" w:rsidRPr="00E96552" w14:paraId="5355682C"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5B0BC387" w14:textId="0A67C4DE" w:rsidR="003E1D98" w:rsidRPr="00E96552" w:rsidRDefault="003E1D98" w:rsidP="00DC7F16">
            <w:pPr>
              <w:rPr>
                <w:rFonts w:ascii="Arial" w:hAnsi="Arial" w:cs="Arial"/>
                <w:b/>
                <w:bCs/>
                <w:color w:val="000000"/>
                <w:sz w:val="22"/>
                <w:szCs w:val="22"/>
              </w:rPr>
            </w:pPr>
          </w:p>
        </w:tc>
        <w:tc>
          <w:tcPr>
            <w:tcW w:w="1123" w:type="dxa"/>
            <w:tcBorders>
              <w:top w:val="nil"/>
              <w:left w:val="nil"/>
              <w:bottom w:val="nil"/>
            </w:tcBorders>
            <w:shd w:val="clear" w:color="000000" w:fill="D9D9D9"/>
            <w:vAlign w:val="center"/>
            <w:hideMark/>
          </w:tcPr>
          <w:p w14:paraId="6D59098D" w14:textId="49F83CAF" w:rsidR="003E1D98" w:rsidRPr="00E96552" w:rsidRDefault="003E1D98" w:rsidP="00DC7F16">
            <w:pPr>
              <w:jc w:val="right"/>
              <w:rPr>
                <w:rFonts w:ascii="Arial" w:hAnsi="Arial" w:cs="Arial"/>
                <w:b/>
                <w:bCs/>
                <w:color w:val="000000"/>
                <w:sz w:val="22"/>
                <w:szCs w:val="22"/>
              </w:rPr>
            </w:pPr>
          </w:p>
        </w:tc>
        <w:tc>
          <w:tcPr>
            <w:tcW w:w="1301" w:type="dxa"/>
            <w:tcBorders>
              <w:top w:val="nil"/>
              <w:left w:val="nil"/>
              <w:bottom w:val="nil"/>
              <w:right w:val="single" w:sz="8" w:space="0" w:color="auto"/>
            </w:tcBorders>
            <w:shd w:val="clear" w:color="000000" w:fill="D9D9D9"/>
            <w:vAlign w:val="center"/>
            <w:hideMark/>
          </w:tcPr>
          <w:p w14:paraId="0BD05B90" w14:textId="36E3CB61" w:rsidR="003E1D98" w:rsidRPr="00E96552" w:rsidRDefault="003E1D98" w:rsidP="00DC7F16">
            <w:pPr>
              <w:jc w:val="right"/>
              <w:rPr>
                <w:rFonts w:ascii="Arial" w:hAnsi="Arial" w:cs="Arial"/>
                <w:b/>
                <w:bCs/>
                <w:color w:val="000000"/>
                <w:sz w:val="22"/>
                <w:szCs w:val="22"/>
              </w:rPr>
            </w:pPr>
            <w:r>
              <w:rPr>
                <w:rFonts w:ascii="Arial" w:hAnsi="Arial" w:cs="Arial"/>
                <w:color w:val="000000"/>
                <w:sz w:val="22"/>
                <w:szCs w:val="22"/>
              </w:rPr>
              <w:t> </w:t>
            </w:r>
          </w:p>
        </w:tc>
      </w:tr>
      <w:tr w:rsidR="003E1D98" w:rsidRPr="00E96552" w14:paraId="2EEE9D38"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0E8A370E" w14:textId="533CDCB7" w:rsidR="003E1D98" w:rsidRPr="00E96552" w:rsidRDefault="003E1D98" w:rsidP="003E1D98">
            <w:pPr>
              <w:rPr>
                <w:rFonts w:ascii="Arial" w:hAnsi="Arial" w:cs="Arial"/>
                <w:b/>
                <w:bCs/>
                <w:color w:val="000000"/>
                <w:sz w:val="22"/>
                <w:szCs w:val="22"/>
              </w:rPr>
            </w:pPr>
            <w:r w:rsidRPr="00E96552">
              <w:rPr>
                <w:rFonts w:ascii="Arial" w:hAnsi="Arial" w:cs="Arial"/>
                <w:b/>
                <w:bCs/>
                <w:color w:val="000000"/>
                <w:sz w:val="22"/>
                <w:szCs w:val="22"/>
              </w:rPr>
              <w:t>Capital Investment</w:t>
            </w:r>
          </w:p>
        </w:tc>
        <w:tc>
          <w:tcPr>
            <w:tcW w:w="1123" w:type="dxa"/>
            <w:tcBorders>
              <w:top w:val="nil"/>
              <w:left w:val="nil"/>
              <w:bottom w:val="nil"/>
            </w:tcBorders>
            <w:shd w:val="clear" w:color="000000" w:fill="D9D9D9"/>
            <w:vAlign w:val="center"/>
            <w:hideMark/>
          </w:tcPr>
          <w:p w14:paraId="676ECA1B" w14:textId="77777777" w:rsidR="003E1D98" w:rsidRPr="00E96552" w:rsidRDefault="003E1D98" w:rsidP="00DC7F16"/>
        </w:tc>
        <w:tc>
          <w:tcPr>
            <w:tcW w:w="1301" w:type="dxa"/>
            <w:tcBorders>
              <w:top w:val="nil"/>
              <w:left w:val="nil"/>
              <w:bottom w:val="nil"/>
              <w:right w:val="single" w:sz="8" w:space="0" w:color="auto"/>
            </w:tcBorders>
            <w:shd w:val="clear" w:color="000000" w:fill="D9D9D9"/>
            <w:vAlign w:val="center"/>
            <w:hideMark/>
          </w:tcPr>
          <w:p w14:paraId="204C6C97" w14:textId="3F3D4D23" w:rsidR="003E1D98" w:rsidRPr="00E96552" w:rsidRDefault="003E1D98" w:rsidP="00DC7F16">
            <w:r>
              <w:rPr>
                <w:rFonts w:ascii="Arial" w:hAnsi="Arial" w:cs="Arial"/>
                <w:color w:val="000000"/>
                <w:sz w:val="22"/>
                <w:szCs w:val="22"/>
              </w:rPr>
              <w:t> </w:t>
            </w:r>
          </w:p>
        </w:tc>
      </w:tr>
      <w:tr w:rsidR="003E1D98" w:rsidRPr="00E96552" w14:paraId="0E5B0A90"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1312484F" w14:textId="61C05509" w:rsidR="003E1D98" w:rsidRPr="00E96552" w:rsidRDefault="003E1D98" w:rsidP="003E1D98">
            <w:pPr>
              <w:rPr>
                <w:rFonts w:ascii="Arial" w:hAnsi="Arial" w:cs="Arial"/>
                <w:b/>
                <w:bCs/>
                <w:color w:val="000000"/>
                <w:sz w:val="22"/>
                <w:szCs w:val="22"/>
              </w:rPr>
            </w:pPr>
            <w:r w:rsidRPr="00E96552">
              <w:rPr>
                <w:rFonts w:ascii="Arial" w:hAnsi="Arial" w:cs="Arial"/>
                <w:color w:val="000000"/>
                <w:sz w:val="22"/>
                <w:szCs w:val="22"/>
              </w:rPr>
              <w:t>Property, plant and equipment</w:t>
            </w:r>
          </w:p>
        </w:tc>
        <w:tc>
          <w:tcPr>
            <w:tcW w:w="1123" w:type="dxa"/>
            <w:tcBorders>
              <w:top w:val="nil"/>
              <w:left w:val="nil"/>
              <w:bottom w:val="nil"/>
            </w:tcBorders>
            <w:shd w:val="clear" w:color="000000" w:fill="D9D9D9"/>
            <w:vAlign w:val="center"/>
            <w:hideMark/>
          </w:tcPr>
          <w:p w14:paraId="3F6CC5CE" w14:textId="2A8B215F" w:rsidR="003E1D98" w:rsidRPr="00E96552" w:rsidRDefault="003E1D98" w:rsidP="003E1D98">
            <w:pPr>
              <w:jc w:val="right"/>
              <w:rPr>
                <w:rFonts w:ascii="Arial" w:hAnsi="Arial" w:cs="Arial"/>
                <w:b/>
                <w:bCs/>
                <w:color w:val="000000"/>
                <w:sz w:val="22"/>
                <w:szCs w:val="22"/>
              </w:rPr>
            </w:pPr>
            <w:r w:rsidRPr="00E96552">
              <w:rPr>
                <w:rFonts w:ascii="Arial" w:hAnsi="Arial" w:cs="Arial"/>
                <w:color w:val="000000"/>
                <w:sz w:val="22"/>
                <w:szCs w:val="22"/>
              </w:rPr>
              <w:t>1</w:t>
            </w:r>
            <w:r>
              <w:rPr>
                <w:rFonts w:ascii="Arial" w:hAnsi="Arial" w:cs="Arial"/>
                <w:color w:val="000000"/>
                <w:sz w:val="22"/>
                <w:szCs w:val="22"/>
              </w:rPr>
              <w:t>9</w:t>
            </w:r>
            <w:r w:rsidRPr="00E96552">
              <w:rPr>
                <w:rFonts w:ascii="Arial" w:hAnsi="Arial" w:cs="Arial"/>
                <w:color w:val="000000"/>
                <w:sz w:val="22"/>
                <w:szCs w:val="22"/>
              </w:rPr>
              <w:t>,</w:t>
            </w:r>
            <w:r>
              <w:rPr>
                <w:rFonts w:ascii="Arial" w:hAnsi="Arial" w:cs="Arial"/>
                <w:color w:val="000000"/>
                <w:sz w:val="22"/>
                <w:szCs w:val="22"/>
              </w:rPr>
              <w:t>018</w:t>
            </w:r>
          </w:p>
        </w:tc>
        <w:tc>
          <w:tcPr>
            <w:tcW w:w="1301" w:type="dxa"/>
            <w:tcBorders>
              <w:top w:val="nil"/>
              <w:left w:val="nil"/>
              <w:bottom w:val="nil"/>
              <w:right w:val="single" w:sz="8" w:space="0" w:color="auto"/>
            </w:tcBorders>
            <w:shd w:val="clear" w:color="000000" w:fill="D9D9D9"/>
            <w:vAlign w:val="center"/>
            <w:hideMark/>
          </w:tcPr>
          <w:p w14:paraId="4AED5823" w14:textId="7B2E328A" w:rsidR="003E1D98" w:rsidRPr="00E96552" w:rsidRDefault="003E1D98" w:rsidP="003E1D98">
            <w:pPr>
              <w:jc w:val="right"/>
            </w:pPr>
            <w:r>
              <w:rPr>
                <w:rFonts w:ascii="Arial" w:hAnsi="Arial" w:cs="Arial"/>
                <w:color w:val="000000"/>
                <w:sz w:val="22"/>
                <w:szCs w:val="22"/>
              </w:rPr>
              <w:t>27,902</w:t>
            </w:r>
          </w:p>
        </w:tc>
      </w:tr>
      <w:tr w:rsidR="003E1D98" w:rsidRPr="00E96552" w14:paraId="12D2A71D"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55B0F39A" w14:textId="36733982" w:rsidR="003E1D98" w:rsidRPr="00E96552" w:rsidRDefault="003E1D98" w:rsidP="003E1D98">
            <w:pPr>
              <w:rPr>
                <w:rFonts w:ascii="Arial" w:hAnsi="Arial" w:cs="Arial"/>
                <w:color w:val="000000"/>
                <w:sz w:val="22"/>
                <w:szCs w:val="22"/>
              </w:rPr>
            </w:pPr>
            <w:r w:rsidRPr="00E96552">
              <w:rPr>
                <w:rFonts w:ascii="Arial" w:hAnsi="Arial" w:cs="Arial"/>
                <w:color w:val="000000"/>
                <w:sz w:val="22"/>
                <w:szCs w:val="22"/>
              </w:rPr>
              <w:t>Investment Property</w:t>
            </w:r>
          </w:p>
        </w:tc>
        <w:tc>
          <w:tcPr>
            <w:tcW w:w="1123" w:type="dxa"/>
            <w:tcBorders>
              <w:top w:val="nil"/>
              <w:left w:val="nil"/>
              <w:bottom w:val="nil"/>
            </w:tcBorders>
            <w:shd w:val="clear" w:color="000000" w:fill="D9D9D9"/>
            <w:vAlign w:val="center"/>
            <w:hideMark/>
          </w:tcPr>
          <w:p w14:paraId="007E4B1E" w14:textId="17ABE5DF" w:rsidR="003E1D98" w:rsidRPr="00E96552" w:rsidRDefault="003E1D98" w:rsidP="00DC7F16">
            <w:pPr>
              <w:jc w:val="right"/>
              <w:rPr>
                <w:rFonts w:ascii="Arial" w:hAnsi="Arial" w:cs="Arial"/>
                <w:color w:val="000000"/>
                <w:sz w:val="22"/>
                <w:szCs w:val="22"/>
              </w:rPr>
            </w:pPr>
            <w:r w:rsidRPr="00E96552">
              <w:rPr>
                <w:rFonts w:ascii="Arial" w:hAnsi="Arial" w:cs="Arial"/>
                <w:color w:val="000000"/>
                <w:sz w:val="22"/>
                <w:szCs w:val="22"/>
              </w:rPr>
              <w:t>0</w:t>
            </w:r>
          </w:p>
        </w:tc>
        <w:tc>
          <w:tcPr>
            <w:tcW w:w="1301" w:type="dxa"/>
            <w:tcBorders>
              <w:top w:val="nil"/>
              <w:left w:val="nil"/>
              <w:bottom w:val="nil"/>
              <w:right w:val="single" w:sz="8" w:space="0" w:color="auto"/>
            </w:tcBorders>
            <w:shd w:val="clear" w:color="000000" w:fill="D9D9D9"/>
            <w:vAlign w:val="center"/>
            <w:hideMark/>
          </w:tcPr>
          <w:p w14:paraId="08146E28" w14:textId="1775C043" w:rsidR="003E1D98" w:rsidRPr="00E96552" w:rsidRDefault="003E1D98" w:rsidP="00DC7F16">
            <w:pPr>
              <w:jc w:val="right"/>
              <w:rPr>
                <w:rFonts w:ascii="Arial" w:hAnsi="Arial" w:cs="Arial"/>
                <w:color w:val="000000"/>
                <w:sz w:val="22"/>
                <w:szCs w:val="22"/>
              </w:rPr>
            </w:pPr>
            <w:r>
              <w:rPr>
                <w:rFonts w:ascii="Arial" w:hAnsi="Arial" w:cs="Arial"/>
                <w:color w:val="000000"/>
                <w:sz w:val="22"/>
                <w:szCs w:val="22"/>
              </w:rPr>
              <w:t>0</w:t>
            </w:r>
          </w:p>
        </w:tc>
      </w:tr>
      <w:tr w:rsidR="003E1D98" w:rsidRPr="00E96552" w14:paraId="5BE1B4F6"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3661B374" w14:textId="2FA39A52" w:rsidR="003E1D98" w:rsidRPr="00E96552" w:rsidRDefault="003E1D98" w:rsidP="003E1D98">
            <w:pPr>
              <w:rPr>
                <w:rFonts w:ascii="Arial" w:hAnsi="Arial" w:cs="Arial"/>
                <w:color w:val="000000"/>
                <w:sz w:val="22"/>
                <w:szCs w:val="22"/>
              </w:rPr>
            </w:pPr>
            <w:r w:rsidRPr="00E96552">
              <w:rPr>
                <w:rFonts w:ascii="Arial" w:hAnsi="Arial" w:cs="Arial"/>
                <w:color w:val="000000"/>
                <w:sz w:val="22"/>
                <w:szCs w:val="22"/>
              </w:rPr>
              <w:t xml:space="preserve">Intangible assets </w:t>
            </w:r>
          </w:p>
        </w:tc>
        <w:tc>
          <w:tcPr>
            <w:tcW w:w="1123" w:type="dxa"/>
            <w:tcBorders>
              <w:top w:val="nil"/>
              <w:left w:val="nil"/>
              <w:bottom w:val="nil"/>
            </w:tcBorders>
            <w:shd w:val="clear" w:color="000000" w:fill="D9D9D9"/>
            <w:vAlign w:val="center"/>
            <w:hideMark/>
          </w:tcPr>
          <w:p w14:paraId="5D2E35E7" w14:textId="4270EC40" w:rsidR="003E1D98" w:rsidRPr="00E96552" w:rsidRDefault="003E1D98" w:rsidP="00DC7F16">
            <w:pPr>
              <w:jc w:val="right"/>
              <w:rPr>
                <w:rFonts w:ascii="Arial" w:hAnsi="Arial" w:cs="Arial"/>
                <w:color w:val="000000"/>
                <w:sz w:val="22"/>
                <w:szCs w:val="22"/>
              </w:rPr>
            </w:pPr>
            <w:r w:rsidRPr="00E96552">
              <w:rPr>
                <w:rFonts w:ascii="Arial" w:hAnsi="Arial" w:cs="Arial"/>
                <w:color w:val="000000"/>
                <w:sz w:val="22"/>
                <w:szCs w:val="22"/>
              </w:rPr>
              <w:t>876</w:t>
            </w:r>
          </w:p>
        </w:tc>
        <w:tc>
          <w:tcPr>
            <w:tcW w:w="1301" w:type="dxa"/>
            <w:tcBorders>
              <w:top w:val="nil"/>
              <w:left w:val="nil"/>
              <w:bottom w:val="nil"/>
              <w:right w:val="single" w:sz="8" w:space="0" w:color="auto"/>
            </w:tcBorders>
            <w:shd w:val="clear" w:color="000000" w:fill="D9D9D9"/>
            <w:vAlign w:val="center"/>
            <w:hideMark/>
          </w:tcPr>
          <w:p w14:paraId="50D6CF76" w14:textId="70CF7D22" w:rsidR="003E1D98" w:rsidRPr="00E96552" w:rsidRDefault="003E1D98" w:rsidP="00DC7F16">
            <w:pPr>
              <w:jc w:val="right"/>
              <w:rPr>
                <w:rFonts w:ascii="Arial" w:hAnsi="Arial" w:cs="Arial"/>
                <w:color w:val="000000"/>
                <w:sz w:val="22"/>
                <w:szCs w:val="22"/>
              </w:rPr>
            </w:pPr>
            <w:r>
              <w:rPr>
                <w:rFonts w:ascii="Arial" w:hAnsi="Arial" w:cs="Arial"/>
                <w:color w:val="000000"/>
                <w:sz w:val="22"/>
                <w:szCs w:val="22"/>
              </w:rPr>
              <w:t>2,881</w:t>
            </w:r>
          </w:p>
        </w:tc>
      </w:tr>
      <w:tr w:rsidR="00016F3B" w:rsidRPr="00E96552" w14:paraId="08D2450C" w14:textId="77777777">
        <w:trPr>
          <w:trHeight w:val="213"/>
          <w:jc w:val="center"/>
        </w:trPr>
        <w:tc>
          <w:tcPr>
            <w:tcW w:w="6213" w:type="dxa"/>
            <w:tcBorders>
              <w:top w:val="nil"/>
              <w:left w:val="single" w:sz="8" w:space="0" w:color="auto"/>
              <w:bottom w:val="nil"/>
              <w:right w:val="nil"/>
            </w:tcBorders>
            <w:shd w:val="clear" w:color="000000" w:fill="D9D9D9"/>
            <w:vAlign w:val="center"/>
          </w:tcPr>
          <w:p w14:paraId="13D16F77" w14:textId="092B00BD" w:rsidR="00016F3B" w:rsidRPr="00E96552" w:rsidRDefault="00016F3B" w:rsidP="00016F3B">
            <w:pPr>
              <w:rPr>
                <w:rFonts w:ascii="Arial" w:hAnsi="Arial" w:cs="Arial"/>
                <w:color w:val="000000"/>
                <w:sz w:val="22"/>
                <w:szCs w:val="22"/>
              </w:rPr>
            </w:pPr>
            <w:r>
              <w:rPr>
                <w:rFonts w:ascii="Arial" w:hAnsi="Arial" w:cs="Arial"/>
                <w:color w:val="000000"/>
                <w:sz w:val="22"/>
                <w:szCs w:val="22"/>
              </w:rPr>
              <w:t>Right of Use Assets recognised under IFRS16 Adoption</w:t>
            </w:r>
          </w:p>
        </w:tc>
        <w:tc>
          <w:tcPr>
            <w:tcW w:w="1123" w:type="dxa"/>
            <w:tcBorders>
              <w:top w:val="nil"/>
              <w:left w:val="nil"/>
              <w:bottom w:val="nil"/>
              <w:right w:val="nil"/>
            </w:tcBorders>
            <w:shd w:val="clear" w:color="000000" w:fill="D9D9D9"/>
            <w:vAlign w:val="center"/>
          </w:tcPr>
          <w:p w14:paraId="64ADEC1D" w14:textId="51C801F0" w:rsidR="00016F3B" w:rsidRPr="00E96552" w:rsidRDefault="00016F3B" w:rsidP="00016F3B">
            <w:pPr>
              <w:jc w:val="right"/>
              <w:rPr>
                <w:rFonts w:ascii="Arial" w:hAnsi="Arial" w:cs="Arial"/>
                <w:color w:val="000000"/>
                <w:sz w:val="22"/>
                <w:szCs w:val="22"/>
              </w:rPr>
            </w:pPr>
            <w:r>
              <w:rPr>
                <w:rFonts w:ascii="Arial" w:hAnsi="Arial" w:cs="Arial"/>
                <w:color w:val="000000"/>
                <w:sz w:val="22"/>
                <w:szCs w:val="22"/>
              </w:rPr>
              <w:t> </w:t>
            </w:r>
          </w:p>
        </w:tc>
        <w:tc>
          <w:tcPr>
            <w:tcW w:w="1301" w:type="dxa"/>
            <w:tcBorders>
              <w:top w:val="nil"/>
              <w:left w:val="nil"/>
              <w:bottom w:val="nil"/>
              <w:right w:val="single" w:sz="8" w:space="0" w:color="auto"/>
            </w:tcBorders>
            <w:shd w:val="clear" w:color="000000" w:fill="D9D9D9"/>
            <w:vAlign w:val="center"/>
          </w:tcPr>
          <w:p w14:paraId="7F48041A" w14:textId="00FF45A2" w:rsidR="00016F3B" w:rsidRDefault="00016F3B" w:rsidP="00016F3B">
            <w:pPr>
              <w:jc w:val="right"/>
              <w:rPr>
                <w:rFonts w:ascii="Arial" w:hAnsi="Arial" w:cs="Arial"/>
                <w:color w:val="000000"/>
                <w:sz w:val="22"/>
                <w:szCs w:val="22"/>
              </w:rPr>
            </w:pPr>
            <w:r>
              <w:rPr>
                <w:rFonts w:ascii="Arial" w:hAnsi="Arial" w:cs="Arial"/>
                <w:color w:val="000000"/>
                <w:sz w:val="22"/>
                <w:szCs w:val="22"/>
              </w:rPr>
              <w:t>2,695</w:t>
            </w:r>
          </w:p>
        </w:tc>
      </w:tr>
      <w:tr w:rsidR="003E1D98" w:rsidRPr="00E96552" w14:paraId="6ABB8933"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7CE82C10" w14:textId="62E5A868" w:rsidR="003E1D98" w:rsidRPr="00E96552" w:rsidRDefault="003E1D98" w:rsidP="003E1D98">
            <w:pPr>
              <w:rPr>
                <w:rFonts w:ascii="Arial" w:hAnsi="Arial" w:cs="Arial"/>
                <w:color w:val="000000"/>
                <w:sz w:val="22"/>
                <w:szCs w:val="22"/>
              </w:rPr>
            </w:pPr>
            <w:r w:rsidRPr="00E96552">
              <w:rPr>
                <w:rFonts w:ascii="Arial" w:hAnsi="Arial" w:cs="Arial"/>
                <w:color w:val="000000"/>
                <w:sz w:val="22"/>
                <w:szCs w:val="22"/>
              </w:rPr>
              <w:t>Revenue expenditure funded by capital under statute</w:t>
            </w:r>
          </w:p>
        </w:tc>
        <w:tc>
          <w:tcPr>
            <w:tcW w:w="1123" w:type="dxa"/>
            <w:tcBorders>
              <w:top w:val="nil"/>
              <w:left w:val="nil"/>
              <w:bottom w:val="nil"/>
            </w:tcBorders>
            <w:shd w:val="clear" w:color="000000" w:fill="D9D9D9"/>
            <w:vAlign w:val="center"/>
            <w:hideMark/>
          </w:tcPr>
          <w:p w14:paraId="71EF54D3" w14:textId="3AD58EAC" w:rsidR="003E1D98" w:rsidRPr="00E96552" w:rsidRDefault="003E1D98" w:rsidP="00DC7F16">
            <w:pPr>
              <w:jc w:val="right"/>
              <w:rPr>
                <w:rFonts w:ascii="Arial" w:hAnsi="Arial" w:cs="Arial"/>
                <w:color w:val="000000"/>
                <w:sz w:val="22"/>
                <w:szCs w:val="22"/>
              </w:rPr>
            </w:pPr>
            <w:r w:rsidRPr="00E96552">
              <w:rPr>
                <w:rFonts w:ascii="Arial" w:hAnsi="Arial" w:cs="Arial"/>
                <w:color w:val="000000"/>
                <w:sz w:val="22"/>
                <w:szCs w:val="22"/>
              </w:rPr>
              <w:t>120</w:t>
            </w:r>
          </w:p>
        </w:tc>
        <w:tc>
          <w:tcPr>
            <w:tcW w:w="1301" w:type="dxa"/>
            <w:tcBorders>
              <w:top w:val="nil"/>
              <w:left w:val="nil"/>
              <w:bottom w:val="nil"/>
              <w:right w:val="single" w:sz="8" w:space="0" w:color="auto"/>
            </w:tcBorders>
            <w:shd w:val="clear" w:color="000000" w:fill="D9D9D9"/>
            <w:vAlign w:val="center"/>
            <w:hideMark/>
          </w:tcPr>
          <w:p w14:paraId="05961BF7" w14:textId="22F5F319" w:rsidR="003E1D98" w:rsidRPr="00E96552" w:rsidRDefault="003E1D98" w:rsidP="00DC7F16">
            <w:pPr>
              <w:jc w:val="right"/>
              <w:rPr>
                <w:rFonts w:ascii="Arial" w:hAnsi="Arial" w:cs="Arial"/>
                <w:color w:val="000000"/>
                <w:sz w:val="22"/>
                <w:szCs w:val="22"/>
              </w:rPr>
            </w:pPr>
            <w:r>
              <w:rPr>
                <w:rFonts w:ascii="Arial" w:hAnsi="Arial" w:cs="Arial"/>
                <w:color w:val="000000"/>
                <w:sz w:val="22"/>
                <w:szCs w:val="22"/>
              </w:rPr>
              <w:t>119</w:t>
            </w:r>
          </w:p>
        </w:tc>
      </w:tr>
      <w:tr w:rsidR="003E1D98" w:rsidRPr="00E96552" w14:paraId="18ADD9BB"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378B6BC1" w14:textId="2DCF2338" w:rsidR="003E1D98" w:rsidRPr="00E96552" w:rsidRDefault="003E1D98" w:rsidP="003E1D98">
            <w:pPr>
              <w:rPr>
                <w:rFonts w:ascii="Arial" w:hAnsi="Arial" w:cs="Arial"/>
                <w:color w:val="000000"/>
                <w:sz w:val="22"/>
                <w:szCs w:val="22"/>
              </w:rPr>
            </w:pPr>
          </w:p>
        </w:tc>
        <w:tc>
          <w:tcPr>
            <w:tcW w:w="1123" w:type="dxa"/>
            <w:tcBorders>
              <w:top w:val="nil"/>
              <w:left w:val="nil"/>
              <w:bottom w:val="nil"/>
            </w:tcBorders>
            <w:shd w:val="clear" w:color="000000" w:fill="D9D9D9"/>
            <w:vAlign w:val="center"/>
            <w:hideMark/>
          </w:tcPr>
          <w:p w14:paraId="7AB1991C" w14:textId="7E86E0CC" w:rsidR="003E1D98" w:rsidRPr="00E96552" w:rsidRDefault="003E1D98" w:rsidP="00DC7F16">
            <w:pPr>
              <w:jc w:val="right"/>
              <w:rPr>
                <w:rFonts w:ascii="Arial" w:hAnsi="Arial" w:cs="Arial"/>
                <w:color w:val="000000"/>
                <w:sz w:val="22"/>
                <w:szCs w:val="22"/>
              </w:rPr>
            </w:pPr>
          </w:p>
        </w:tc>
        <w:tc>
          <w:tcPr>
            <w:tcW w:w="1301" w:type="dxa"/>
            <w:tcBorders>
              <w:top w:val="nil"/>
              <w:left w:val="nil"/>
              <w:bottom w:val="nil"/>
              <w:right w:val="single" w:sz="8" w:space="0" w:color="auto"/>
            </w:tcBorders>
            <w:shd w:val="clear" w:color="000000" w:fill="D9D9D9"/>
            <w:vAlign w:val="center"/>
            <w:hideMark/>
          </w:tcPr>
          <w:p w14:paraId="0A4BCAC0" w14:textId="3AF6D628" w:rsidR="003E1D98" w:rsidRPr="00E96552" w:rsidRDefault="003E1D98" w:rsidP="00DC7F16">
            <w:pPr>
              <w:jc w:val="right"/>
              <w:rPr>
                <w:rFonts w:ascii="Arial" w:hAnsi="Arial" w:cs="Arial"/>
                <w:color w:val="000000"/>
                <w:sz w:val="22"/>
                <w:szCs w:val="22"/>
              </w:rPr>
            </w:pPr>
            <w:r>
              <w:rPr>
                <w:rFonts w:ascii="Arial" w:hAnsi="Arial" w:cs="Arial"/>
                <w:color w:val="000000"/>
                <w:sz w:val="22"/>
                <w:szCs w:val="22"/>
              </w:rPr>
              <w:t> </w:t>
            </w:r>
          </w:p>
        </w:tc>
      </w:tr>
      <w:tr w:rsidR="003E1D98" w:rsidRPr="00E96552" w14:paraId="2927CBAC"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60869454" w14:textId="176B00ED" w:rsidR="003E1D98" w:rsidRPr="00E96552" w:rsidRDefault="003E1D98" w:rsidP="003E1D98">
            <w:pPr>
              <w:rPr>
                <w:rFonts w:ascii="Arial" w:hAnsi="Arial" w:cs="Arial"/>
                <w:color w:val="000000"/>
                <w:sz w:val="22"/>
                <w:szCs w:val="22"/>
              </w:rPr>
            </w:pPr>
            <w:r w:rsidRPr="00E96552">
              <w:rPr>
                <w:rFonts w:ascii="Arial" w:hAnsi="Arial" w:cs="Arial"/>
                <w:b/>
                <w:bCs/>
                <w:color w:val="000000"/>
                <w:sz w:val="22"/>
                <w:szCs w:val="22"/>
              </w:rPr>
              <w:t>Sources of finance</w:t>
            </w:r>
            <w:r w:rsidRPr="00E96552">
              <w:rPr>
                <w:rFonts w:ascii="Arial" w:hAnsi="Arial" w:cs="Arial"/>
                <w:color w:val="000000"/>
                <w:sz w:val="16"/>
                <w:szCs w:val="16"/>
              </w:rPr>
              <w:t> </w:t>
            </w:r>
          </w:p>
        </w:tc>
        <w:tc>
          <w:tcPr>
            <w:tcW w:w="1123" w:type="dxa"/>
            <w:tcBorders>
              <w:top w:val="nil"/>
              <w:left w:val="nil"/>
              <w:bottom w:val="nil"/>
            </w:tcBorders>
            <w:shd w:val="clear" w:color="000000" w:fill="D9D9D9"/>
            <w:vAlign w:val="center"/>
            <w:hideMark/>
          </w:tcPr>
          <w:p w14:paraId="25F5399A" w14:textId="77777777" w:rsidR="003E1D98" w:rsidRPr="00E96552" w:rsidRDefault="003E1D98" w:rsidP="00DC7F16"/>
        </w:tc>
        <w:tc>
          <w:tcPr>
            <w:tcW w:w="1301" w:type="dxa"/>
            <w:tcBorders>
              <w:top w:val="nil"/>
              <w:left w:val="nil"/>
              <w:bottom w:val="nil"/>
              <w:right w:val="single" w:sz="8" w:space="0" w:color="auto"/>
            </w:tcBorders>
            <w:shd w:val="clear" w:color="000000" w:fill="D9D9D9"/>
            <w:vAlign w:val="center"/>
            <w:hideMark/>
          </w:tcPr>
          <w:p w14:paraId="4BAF8FAD" w14:textId="6F67E554" w:rsidR="003E1D98" w:rsidRPr="00E96552" w:rsidRDefault="003E1D98" w:rsidP="00DC7F16">
            <w:r>
              <w:rPr>
                <w:rFonts w:ascii="Arial" w:hAnsi="Arial" w:cs="Arial"/>
                <w:color w:val="000000"/>
                <w:sz w:val="22"/>
                <w:szCs w:val="22"/>
              </w:rPr>
              <w:t> </w:t>
            </w:r>
          </w:p>
        </w:tc>
      </w:tr>
      <w:tr w:rsidR="003E1D98" w:rsidRPr="00E96552" w14:paraId="7A457FD0" w14:textId="77777777">
        <w:trPr>
          <w:trHeight w:val="213"/>
          <w:jc w:val="center"/>
        </w:trPr>
        <w:tc>
          <w:tcPr>
            <w:tcW w:w="6213" w:type="dxa"/>
            <w:tcBorders>
              <w:top w:val="nil"/>
              <w:left w:val="single" w:sz="8" w:space="0" w:color="auto"/>
              <w:bottom w:val="nil"/>
              <w:right w:val="nil"/>
            </w:tcBorders>
            <w:shd w:val="clear" w:color="000000" w:fill="D9D9D9"/>
            <w:vAlign w:val="center"/>
            <w:hideMark/>
          </w:tcPr>
          <w:p w14:paraId="76BD4791" w14:textId="070A461C" w:rsidR="003E1D98" w:rsidRPr="00E96552" w:rsidRDefault="003E1D98" w:rsidP="003E1D98">
            <w:pPr>
              <w:rPr>
                <w:rFonts w:ascii="Arial" w:hAnsi="Arial" w:cs="Arial"/>
                <w:b/>
                <w:bCs/>
                <w:color w:val="000000"/>
                <w:sz w:val="22"/>
                <w:szCs w:val="22"/>
              </w:rPr>
            </w:pPr>
            <w:r w:rsidRPr="00E96552">
              <w:rPr>
                <w:rFonts w:ascii="Arial" w:hAnsi="Arial" w:cs="Arial"/>
                <w:color w:val="000000"/>
                <w:sz w:val="22"/>
                <w:szCs w:val="22"/>
              </w:rPr>
              <w:t>Capital receipts</w:t>
            </w:r>
          </w:p>
        </w:tc>
        <w:tc>
          <w:tcPr>
            <w:tcW w:w="1123" w:type="dxa"/>
            <w:tcBorders>
              <w:top w:val="nil"/>
              <w:left w:val="nil"/>
              <w:bottom w:val="nil"/>
              <w:right w:val="nil"/>
            </w:tcBorders>
            <w:shd w:val="clear" w:color="000000" w:fill="D9D9D9"/>
            <w:vAlign w:val="center"/>
            <w:hideMark/>
          </w:tcPr>
          <w:p w14:paraId="566F8DD2" w14:textId="303062A2" w:rsidR="003E1D98" w:rsidRPr="00E96552" w:rsidRDefault="003E1D98" w:rsidP="003E1D98">
            <w:pPr>
              <w:jc w:val="right"/>
              <w:rPr>
                <w:rFonts w:ascii="Arial" w:hAnsi="Arial" w:cs="Arial"/>
                <w:b/>
                <w:bCs/>
                <w:color w:val="000000"/>
                <w:sz w:val="22"/>
                <w:szCs w:val="22"/>
              </w:rPr>
            </w:pPr>
            <w:r>
              <w:rPr>
                <w:rFonts w:ascii="Arial" w:hAnsi="Arial" w:cs="Arial"/>
                <w:color w:val="000000"/>
                <w:sz w:val="22"/>
                <w:szCs w:val="22"/>
              </w:rPr>
              <w:t>0</w:t>
            </w:r>
          </w:p>
        </w:tc>
        <w:tc>
          <w:tcPr>
            <w:tcW w:w="1301" w:type="dxa"/>
            <w:tcBorders>
              <w:top w:val="nil"/>
              <w:left w:val="nil"/>
              <w:bottom w:val="nil"/>
              <w:right w:val="single" w:sz="8" w:space="0" w:color="auto"/>
            </w:tcBorders>
            <w:shd w:val="clear" w:color="000000" w:fill="D9D9D9"/>
            <w:vAlign w:val="center"/>
            <w:hideMark/>
          </w:tcPr>
          <w:p w14:paraId="10A08CC8" w14:textId="434DFE5A" w:rsidR="003E1D98" w:rsidRPr="00E96552" w:rsidRDefault="003E1D98" w:rsidP="003E1D98">
            <w:pPr>
              <w:jc w:val="right"/>
            </w:pPr>
            <w:r>
              <w:rPr>
                <w:rFonts w:ascii="Arial" w:hAnsi="Arial" w:cs="Arial"/>
                <w:color w:val="000000"/>
                <w:sz w:val="22"/>
                <w:szCs w:val="22"/>
              </w:rPr>
              <w:t>0</w:t>
            </w:r>
          </w:p>
        </w:tc>
      </w:tr>
      <w:tr w:rsidR="003E1D98" w:rsidRPr="00E96552" w14:paraId="40A72863"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57454061" w14:textId="27648258" w:rsidR="003E1D98" w:rsidRPr="00E96552" w:rsidRDefault="003E1D98" w:rsidP="003E1D98">
            <w:pPr>
              <w:rPr>
                <w:rFonts w:ascii="Arial" w:hAnsi="Arial" w:cs="Arial"/>
                <w:color w:val="000000"/>
                <w:sz w:val="22"/>
                <w:szCs w:val="22"/>
              </w:rPr>
            </w:pPr>
            <w:r w:rsidRPr="00E96552">
              <w:rPr>
                <w:rFonts w:ascii="Arial" w:hAnsi="Arial" w:cs="Arial"/>
                <w:color w:val="000000"/>
                <w:sz w:val="22"/>
                <w:szCs w:val="22"/>
              </w:rPr>
              <w:t>Government grants &amp; other contributions</w:t>
            </w:r>
          </w:p>
        </w:tc>
        <w:tc>
          <w:tcPr>
            <w:tcW w:w="1123" w:type="dxa"/>
            <w:tcBorders>
              <w:top w:val="nil"/>
              <w:left w:val="nil"/>
              <w:bottom w:val="nil"/>
              <w:right w:val="nil"/>
            </w:tcBorders>
            <w:shd w:val="clear" w:color="000000" w:fill="D9D9D9"/>
            <w:vAlign w:val="center"/>
            <w:hideMark/>
          </w:tcPr>
          <w:p w14:paraId="16C39FC9" w14:textId="6ED8A505" w:rsidR="003E1D98" w:rsidRPr="00E96552" w:rsidRDefault="003E1D98" w:rsidP="00F95990">
            <w:pPr>
              <w:jc w:val="right"/>
              <w:rPr>
                <w:rFonts w:ascii="Arial" w:hAnsi="Arial" w:cs="Arial"/>
                <w:color w:val="000000"/>
                <w:sz w:val="22"/>
                <w:szCs w:val="22"/>
              </w:rPr>
            </w:pPr>
            <w:r>
              <w:rPr>
                <w:rFonts w:ascii="Arial" w:hAnsi="Arial" w:cs="Arial"/>
                <w:color w:val="000000"/>
                <w:sz w:val="22"/>
                <w:szCs w:val="22"/>
              </w:rPr>
              <w:t>(112)</w:t>
            </w:r>
          </w:p>
        </w:tc>
        <w:tc>
          <w:tcPr>
            <w:tcW w:w="1301" w:type="dxa"/>
            <w:tcBorders>
              <w:top w:val="nil"/>
              <w:left w:val="nil"/>
              <w:bottom w:val="nil"/>
              <w:right w:val="single" w:sz="8" w:space="0" w:color="auto"/>
            </w:tcBorders>
            <w:shd w:val="clear" w:color="000000" w:fill="D9D9D9"/>
            <w:vAlign w:val="center"/>
            <w:hideMark/>
          </w:tcPr>
          <w:p w14:paraId="69D58DA0" w14:textId="17E725AC" w:rsidR="003E1D98" w:rsidRPr="00E96552" w:rsidRDefault="003E1D98" w:rsidP="00F95990">
            <w:pPr>
              <w:jc w:val="right"/>
              <w:rPr>
                <w:rFonts w:ascii="Arial" w:hAnsi="Arial" w:cs="Arial"/>
                <w:color w:val="000000"/>
                <w:sz w:val="22"/>
                <w:szCs w:val="22"/>
              </w:rPr>
            </w:pPr>
            <w:r>
              <w:rPr>
                <w:rFonts w:ascii="Arial" w:hAnsi="Arial" w:cs="Arial"/>
                <w:color w:val="000000"/>
                <w:sz w:val="22"/>
                <w:szCs w:val="22"/>
              </w:rPr>
              <w:t>(</w:t>
            </w:r>
            <w:r w:rsidR="00016F3B">
              <w:rPr>
                <w:rFonts w:ascii="Arial" w:hAnsi="Arial" w:cs="Arial"/>
                <w:color w:val="000000"/>
                <w:sz w:val="22"/>
                <w:szCs w:val="22"/>
              </w:rPr>
              <w:t>407</w:t>
            </w:r>
            <w:r>
              <w:rPr>
                <w:rFonts w:ascii="Arial" w:hAnsi="Arial" w:cs="Arial"/>
                <w:color w:val="000000"/>
                <w:sz w:val="22"/>
                <w:szCs w:val="22"/>
              </w:rPr>
              <w:t>)</w:t>
            </w:r>
          </w:p>
        </w:tc>
      </w:tr>
      <w:tr w:rsidR="003E1D98" w:rsidRPr="00E96552" w14:paraId="5B412E67"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67C54211" w14:textId="09F63280" w:rsidR="003E1D98" w:rsidRPr="00E96552" w:rsidRDefault="003E1D98" w:rsidP="003E1D98">
            <w:pPr>
              <w:rPr>
                <w:rFonts w:ascii="Arial" w:hAnsi="Arial" w:cs="Arial"/>
                <w:color w:val="000000"/>
                <w:sz w:val="22"/>
                <w:szCs w:val="22"/>
              </w:rPr>
            </w:pPr>
            <w:r w:rsidRPr="00E96552">
              <w:rPr>
                <w:rFonts w:ascii="Arial" w:hAnsi="Arial" w:cs="Arial"/>
                <w:color w:val="000000"/>
                <w:sz w:val="22"/>
                <w:szCs w:val="22"/>
              </w:rPr>
              <w:t>Direct revenue contributions</w:t>
            </w:r>
          </w:p>
        </w:tc>
        <w:tc>
          <w:tcPr>
            <w:tcW w:w="1123" w:type="dxa"/>
            <w:tcBorders>
              <w:top w:val="nil"/>
              <w:left w:val="nil"/>
              <w:bottom w:val="nil"/>
              <w:right w:val="nil"/>
            </w:tcBorders>
            <w:shd w:val="clear" w:color="000000" w:fill="D9D9D9"/>
            <w:vAlign w:val="center"/>
            <w:hideMark/>
          </w:tcPr>
          <w:p w14:paraId="158479CB" w14:textId="16D9CB2C" w:rsidR="003E1D98" w:rsidRPr="00E96552" w:rsidRDefault="003E1D98" w:rsidP="00F95990">
            <w:pPr>
              <w:jc w:val="right"/>
              <w:rPr>
                <w:rFonts w:ascii="Arial" w:hAnsi="Arial" w:cs="Arial"/>
                <w:color w:val="000000"/>
                <w:sz w:val="22"/>
                <w:szCs w:val="22"/>
              </w:rPr>
            </w:pPr>
            <w:r>
              <w:rPr>
                <w:rFonts w:ascii="Arial" w:hAnsi="Arial" w:cs="Arial"/>
                <w:color w:val="000000"/>
                <w:sz w:val="22"/>
                <w:szCs w:val="22"/>
              </w:rPr>
              <w:t>(13,448)</w:t>
            </w:r>
          </w:p>
        </w:tc>
        <w:tc>
          <w:tcPr>
            <w:tcW w:w="1301" w:type="dxa"/>
            <w:tcBorders>
              <w:top w:val="nil"/>
              <w:left w:val="nil"/>
              <w:bottom w:val="nil"/>
              <w:right w:val="single" w:sz="8" w:space="0" w:color="auto"/>
            </w:tcBorders>
            <w:shd w:val="clear" w:color="000000" w:fill="D9D9D9"/>
            <w:vAlign w:val="center"/>
            <w:hideMark/>
          </w:tcPr>
          <w:p w14:paraId="16411EA4" w14:textId="245AA011" w:rsidR="003E1D98" w:rsidRPr="00E96552" w:rsidRDefault="003E1D98" w:rsidP="00F95990">
            <w:pPr>
              <w:jc w:val="right"/>
              <w:rPr>
                <w:rFonts w:ascii="Arial" w:hAnsi="Arial" w:cs="Arial"/>
                <w:color w:val="000000"/>
                <w:sz w:val="22"/>
                <w:szCs w:val="22"/>
              </w:rPr>
            </w:pPr>
            <w:r>
              <w:rPr>
                <w:rFonts w:ascii="Arial" w:hAnsi="Arial" w:cs="Arial"/>
                <w:color w:val="000000"/>
                <w:sz w:val="22"/>
                <w:szCs w:val="22"/>
              </w:rPr>
              <w:t>(13,385)</w:t>
            </w:r>
          </w:p>
        </w:tc>
      </w:tr>
      <w:tr w:rsidR="003E1D98" w:rsidRPr="00E96552" w14:paraId="49BCBDA4" w14:textId="77777777">
        <w:trPr>
          <w:trHeight w:val="213"/>
          <w:jc w:val="center"/>
        </w:trPr>
        <w:tc>
          <w:tcPr>
            <w:tcW w:w="6213" w:type="dxa"/>
            <w:tcBorders>
              <w:top w:val="nil"/>
              <w:left w:val="single" w:sz="8" w:space="0" w:color="auto"/>
              <w:bottom w:val="nil"/>
              <w:right w:val="nil"/>
            </w:tcBorders>
            <w:shd w:val="clear" w:color="000000" w:fill="D9D9D9"/>
            <w:vAlign w:val="center"/>
            <w:hideMark/>
          </w:tcPr>
          <w:p w14:paraId="6E9E016D" w14:textId="01CB63E5" w:rsidR="003E1D98" w:rsidRPr="00E96552" w:rsidRDefault="003E1D98" w:rsidP="003E1D98">
            <w:pPr>
              <w:rPr>
                <w:rFonts w:ascii="Arial" w:hAnsi="Arial" w:cs="Arial"/>
                <w:color w:val="000000"/>
                <w:sz w:val="22"/>
                <w:szCs w:val="22"/>
              </w:rPr>
            </w:pPr>
            <w:r w:rsidRPr="00E96552">
              <w:rPr>
                <w:rFonts w:ascii="Arial" w:hAnsi="Arial" w:cs="Arial"/>
                <w:color w:val="000000"/>
                <w:sz w:val="22"/>
                <w:szCs w:val="22"/>
              </w:rPr>
              <w:t>Minimum Revenue Provision</w:t>
            </w:r>
          </w:p>
        </w:tc>
        <w:tc>
          <w:tcPr>
            <w:tcW w:w="1123" w:type="dxa"/>
            <w:tcBorders>
              <w:top w:val="nil"/>
              <w:left w:val="nil"/>
              <w:bottom w:val="single" w:sz="8" w:space="0" w:color="auto"/>
              <w:right w:val="nil"/>
            </w:tcBorders>
            <w:shd w:val="clear" w:color="000000" w:fill="D9D9D9"/>
            <w:vAlign w:val="center"/>
            <w:hideMark/>
          </w:tcPr>
          <w:p w14:paraId="3EA9B4E6" w14:textId="60E5DFF6" w:rsidR="003E1D98" w:rsidRPr="00E96552" w:rsidRDefault="003E1D98" w:rsidP="00F95990">
            <w:pPr>
              <w:jc w:val="right"/>
              <w:rPr>
                <w:rFonts w:ascii="Arial" w:hAnsi="Arial" w:cs="Arial"/>
                <w:color w:val="000000"/>
                <w:sz w:val="22"/>
                <w:szCs w:val="22"/>
              </w:rPr>
            </w:pPr>
            <w:r>
              <w:rPr>
                <w:rFonts w:ascii="Arial" w:hAnsi="Arial" w:cs="Arial"/>
                <w:color w:val="000000"/>
                <w:sz w:val="22"/>
                <w:szCs w:val="22"/>
              </w:rPr>
              <w:t>(2,191)</w:t>
            </w:r>
          </w:p>
        </w:tc>
        <w:tc>
          <w:tcPr>
            <w:tcW w:w="1301" w:type="dxa"/>
            <w:tcBorders>
              <w:top w:val="nil"/>
              <w:left w:val="nil"/>
              <w:bottom w:val="single" w:sz="8" w:space="0" w:color="auto"/>
              <w:right w:val="single" w:sz="8" w:space="0" w:color="auto"/>
            </w:tcBorders>
            <w:shd w:val="clear" w:color="000000" w:fill="D9D9D9"/>
            <w:vAlign w:val="center"/>
            <w:hideMark/>
          </w:tcPr>
          <w:p w14:paraId="0F8DB09A" w14:textId="1B157F79" w:rsidR="003E1D98" w:rsidRPr="00E96552" w:rsidRDefault="003E1D98" w:rsidP="00F95990">
            <w:pPr>
              <w:jc w:val="right"/>
              <w:rPr>
                <w:rFonts w:ascii="Arial" w:hAnsi="Arial" w:cs="Arial"/>
                <w:color w:val="000000"/>
                <w:sz w:val="22"/>
                <w:szCs w:val="22"/>
              </w:rPr>
            </w:pPr>
            <w:r>
              <w:rPr>
                <w:rFonts w:ascii="Arial" w:hAnsi="Arial" w:cs="Arial"/>
                <w:color w:val="000000"/>
                <w:sz w:val="22"/>
                <w:szCs w:val="22"/>
              </w:rPr>
              <w:t>(2,</w:t>
            </w:r>
            <w:r w:rsidR="009D4FCB">
              <w:rPr>
                <w:rFonts w:ascii="Arial" w:hAnsi="Arial" w:cs="Arial"/>
                <w:color w:val="000000"/>
                <w:sz w:val="22"/>
                <w:szCs w:val="22"/>
              </w:rPr>
              <w:t>408</w:t>
            </w:r>
            <w:r>
              <w:rPr>
                <w:rFonts w:ascii="Arial" w:hAnsi="Arial" w:cs="Arial"/>
                <w:color w:val="000000"/>
                <w:sz w:val="22"/>
                <w:szCs w:val="22"/>
              </w:rPr>
              <w:t>)</w:t>
            </w:r>
          </w:p>
        </w:tc>
      </w:tr>
      <w:tr w:rsidR="003E1D98" w:rsidRPr="00E96552" w14:paraId="2AD8557F" w14:textId="77777777">
        <w:trPr>
          <w:trHeight w:val="224"/>
          <w:jc w:val="center"/>
        </w:trPr>
        <w:tc>
          <w:tcPr>
            <w:tcW w:w="6213" w:type="dxa"/>
            <w:tcBorders>
              <w:top w:val="nil"/>
              <w:left w:val="single" w:sz="8" w:space="0" w:color="auto"/>
              <w:bottom w:val="nil"/>
              <w:right w:val="nil"/>
            </w:tcBorders>
            <w:shd w:val="clear" w:color="000000" w:fill="D9D9D9"/>
            <w:vAlign w:val="center"/>
            <w:hideMark/>
          </w:tcPr>
          <w:p w14:paraId="68C4112C" w14:textId="0B2AB560" w:rsidR="003E1D98" w:rsidRPr="00E96552" w:rsidRDefault="003E1D98" w:rsidP="003E1D98">
            <w:pPr>
              <w:rPr>
                <w:rFonts w:ascii="Arial" w:hAnsi="Arial" w:cs="Arial"/>
                <w:color w:val="000000"/>
                <w:sz w:val="22"/>
                <w:szCs w:val="22"/>
              </w:rPr>
            </w:pPr>
            <w:r w:rsidRPr="00E96552">
              <w:rPr>
                <w:rFonts w:ascii="Arial" w:hAnsi="Arial" w:cs="Arial"/>
                <w:b/>
                <w:bCs/>
                <w:color w:val="000000"/>
                <w:sz w:val="22"/>
                <w:szCs w:val="22"/>
              </w:rPr>
              <w:t>Closing Capital Financing Requirement</w:t>
            </w:r>
          </w:p>
        </w:tc>
        <w:tc>
          <w:tcPr>
            <w:tcW w:w="1123" w:type="dxa"/>
            <w:tcBorders>
              <w:top w:val="nil"/>
              <w:left w:val="nil"/>
              <w:bottom w:val="double" w:sz="6" w:space="0" w:color="auto"/>
              <w:right w:val="nil"/>
            </w:tcBorders>
            <w:shd w:val="clear" w:color="000000" w:fill="D9D9D9"/>
            <w:vAlign w:val="center"/>
            <w:hideMark/>
          </w:tcPr>
          <w:p w14:paraId="44D3A199" w14:textId="4F1C77DA" w:rsidR="003E1D98" w:rsidRPr="00E96552" w:rsidRDefault="003E1D98" w:rsidP="00F95990">
            <w:pPr>
              <w:jc w:val="right"/>
              <w:rPr>
                <w:rFonts w:ascii="Arial" w:hAnsi="Arial" w:cs="Arial"/>
                <w:color w:val="000000"/>
                <w:sz w:val="22"/>
                <w:szCs w:val="22"/>
              </w:rPr>
            </w:pPr>
            <w:r>
              <w:rPr>
                <w:rFonts w:ascii="Arial" w:hAnsi="Arial" w:cs="Arial"/>
                <w:b/>
                <w:bCs/>
                <w:color w:val="000000"/>
                <w:sz w:val="22"/>
                <w:szCs w:val="22"/>
              </w:rPr>
              <w:t>78,259</w:t>
            </w:r>
          </w:p>
        </w:tc>
        <w:tc>
          <w:tcPr>
            <w:tcW w:w="1301" w:type="dxa"/>
            <w:tcBorders>
              <w:top w:val="nil"/>
              <w:left w:val="nil"/>
              <w:bottom w:val="double" w:sz="6" w:space="0" w:color="auto"/>
              <w:right w:val="single" w:sz="8" w:space="0" w:color="auto"/>
            </w:tcBorders>
            <w:shd w:val="clear" w:color="000000" w:fill="D9D9D9"/>
            <w:vAlign w:val="center"/>
            <w:hideMark/>
          </w:tcPr>
          <w:p w14:paraId="05EB318B" w14:textId="49D43A6A" w:rsidR="003E1D98" w:rsidRPr="00E96552" w:rsidRDefault="003E1D98" w:rsidP="00F95990">
            <w:pPr>
              <w:jc w:val="right"/>
              <w:rPr>
                <w:rFonts w:ascii="Arial" w:hAnsi="Arial" w:cs="Arial"/>
                <w:color w:val="000000"/>
                <w:sz w:val="22"/>
                <w:szCs w:val="22"/>
              </w:rPr>
            </w:pPr>
            <w:r>
              <w:rPr>
                <w:rFonts w:ascii="Arial" w:hAnsi="Arial" w:cs="Arial"/>
                <w:b/>
                <w:bCs/>
                <w:color w:val="000000"/>
                <w:sz w:val="22"/>
                <w:szCs w:val="22"/>
              </w:rPr>
              <w:t>95,657</w:t>
            </w:r>
          </w:p>
        </w:tc>
      </w:tr>
      <w:tr w:rsidR="003E1D98" w:rsidRPr="00E96552" w14:paraId="4727C0A4" w14:textId="77777777">
        <w:trPr>
          <w:trHeight w:val="224"/>
          <w:jc w:val="center"/>
        </w:trPr>
        <w:tc>
          <w:tcPr>
            <w:tcW w:w="6213" w:type="dxa"/>
            <w:tcBorders>
              <w:top w:val="nil"/>
              <w:left w:val="single" w:sz="8" w:space="0" w:color="auto"/>
              <w:bottom w:val="nil"/>
              <w:right w:val="nil"/>
            </w:tcBorders>
            <w:shd w:val="clear" w:color="000000" w:fill="D9D9D9"/>
            <w:vAlign w:val="center"/>
            <w:hideMark/>
          </w:tcPr>
          <w:p w14:paraId="4854C539" w14:textId="122EC0CA" w:rsidR="003E1D98" w:rsidRPr="00E96552" w:rsidRDefault="003E1D98" w:rsidP="003E1D98">
            <w:pPr>
              <w:rPr>
                <w:rFonts w:ascii="Arial" w:hAnsi="Arial" w:cs="Arial"/>
                <w:b/>
                <w:bCs/>
                <w:color w:val="000000"/>
                <w:sz w:val="22"/>
                <w:szCs w:val="22"/>
              </w:rPr>
            </w:pPr>
          </w:p>
        </w:tc>
        <w:tc>
          <w:tcPr>
            <w:tcW w:w="1123" w:type="dxa"/>
            <w:tcBorders>
              <w:top w:val="nil"/>
              <w:left w:val="nil"/>
              <w:bottom w:val="nil"/>
            </w:tcBorders>
            <w:shd w:val="clear" w:color="000000" w:fill="D9D9D9"/>
            <w:vAlign w:val="center"/>
            <w:hideMark/>
          </w:tcPr>
          <w:p w14:paraId="771EFE9C" w14:textId="26A6B51D" w:rsidR="003E1D98" w:rsidRPr="00E96552" w:rsidRDefault="003E1D98" w:rsidP="00F95990">
            <w:pPr>
              <w:jc w:val="right"/>
              <w:rPr>
                <w:rFonts w:ascii="Arial" w:hAnsi="Arial" w:cs="Arial"/>
                <w:b/>
                <w:bCs/>
                <w:color w:val="000000"/>
                <w:sz w:val="22"/>
                <w:szCs w:val="22"/>
              </w:rPr>
            </w:pPr>
          </w:p>
        </w:tc>
        <w:tc>
          <w:tcPr>
            <w:tcW w:w="1301" w:type="dxa"/>
            <w:tcBorders>
              <w:top w:val="nil"/>
              <w:left w:val="nil"/>
              <w:bottom w:val="nil"/>
              <w:right w:val="single" w:sz="8" w:space="0" w:color="auto"/>
            </w:tcBorders>
            <w:shd w:val="clear" w:color="000000" w:fill="D9D9D9"/>
            <w:vAlign w:val="center"/>
            <w:hideMark/>
          </w:tcPr>
          <w:p w14:paraId="7B1A9DE1" w14:textId="26786BE6" w:rsidR="003E1D98" w:rsidRPr="00E96552" w:rsidRDefault="003E1D98" w:rsidP="00F95990">
            <w:pPr>
              <w:jc w:val="right"/>
              <w:rPr>
                <w:rFonts w:ascii="Arial" w:hAnsi="Arial" w:cs="Arial"/>
                <w:b/>
                <w:bCs/>
                <w:color w:val="000000"/>
                <w:sz w:val="22"/>
                <w:szCs w:val="22"/>
              </w:rPr>
            </w:pPr>
            <w:r>
              <w:rPr>
                <w:rFonts w:ascii="Arial" w:hAnsi="Arial" w:cs="Arial"/>
                <w:color w:val="000000"/>
                <w:sz w:val="22"/>
                <w:szCs w:val="22"/>
              </w:rPr>
              <w:t> </w:t>
            </w:r>
          </w:p>
        </w:tc>
      </w:tr>
      <w:tr w:rsidR="003E1D98" w:rsidRPr="00E96552" w14:paraId="4DD2BD41" w14:textId="77777777" w:rsidTr="00563FD7">
        <w:trPr>
          <w:trHeight w:val="224"/>
          <w:jc w:val="center"/>
        </w:trPr>
        <w:tc>
          <w:tcPr>
            <w:tcW w:w="6213" w:type="dxa"/>
            <w:tcBorders>
              <w:top w:val="nil"/>
              <w:left w:val="single" w:sz="8" w:space="0" w:color="auto"/>
              <w:bottom w:val="nil"/>
              <w:right w:val="nil"/>
            </w:tcBorders>
            <w:shd w:val="clear" w:color="000000" w:fill="D9D9D9"/>
            <w:vAlign w:val="center"/>
            <w:hideMark/>
          </w:tcPr>
          <w:p w14:paraId="5B162FD0" w14:textId="647EE80F" w:rsidR="003E1D98" w:rsidRPr="00E96552" w:rsidRDefault="003E1D98" w:rsidP="003E1D98">
            <w:pPr>
              <w:rPr>
                <w:rFonts w:ascii="Arial" w:hAnsi="Arial" w:cs="Arial"/>
                <w:b/>
                <w:bCs/>
                <w:color w:val="000000"/>
                <w:sz w:val="22"/>
                <w:szCs w:val="22"/>
              </w:rPr>
            </w:pPr>
            <w:r w:rsidRPr="00E96552">
              <w:rPr>
                <w:rFonts w:ascii="Arial" w:hAnsi="Arial" w:cs="Arial"/>
                <w:b/>
                <w:bCs/>
                <w:color w:val="000000"/>
                <w:sz w:val="22"/>
                <w:szCs w:val="22"/>
              </w:rPr>
              <w:t>Explanation of movements in year</w:t>
            </w:r>
          </w:p>
        </w:tc>
        <w:tc>
          <w:tcPr>
            <w:tcW w:w="1123" w:type="dxa"/>
            <w:tcBorders>
              <w:top w:val="nil"/>
              <w:left w:val="nil"/>
              <w:bottom w:val="nil"/>
            </w:tcBorders>
            <w:shd w:val="clear" w:color="000000" w:fill="D9D9D9"/>
            <w:vAlign w:val="center"/>
            <w:hideMark/>
          </w:tcPr>
          <w:p w14:paraId="7D352F67" w14:textId="77777777" w:rsidR="003E1D98" w:rsidRPr="00E96552" w:rsidRDefault="003E1D98" w:rsidP="00DC7F16"/>
        </w:tc>
        <w:tc>
          <w:tcPr>
            <w:tcW w:w="1301" w:type="dxa"/>
            <w:tcBorders>
              <w:top w:val="nil"/>
              <w:left w:val="nil"/>
              <w:bottom w:val="nil"/>
              <w:right w:val="single" w:sz="8" w:space="0" w:color="auto"/>
            </w:tcBorders>
            <w:shd w:val="clear" w:color="000000" w:fill="D9D9D9"/>
            <w:vAlign w:val="center"/>
            <w:hideMark/>
          </w:tcPr>
          <w:p w14:paraId="7C687162" w14:textId="71986777" w:rsidR="003E1D98" w:rsidRPr="00E96552" w:rsidRDefault="003E1D98" w:rsidP="00DC7F16">
            <w:r>
              <w:rPr>
                <w:rFonts w:ascii="Arial" w:hAnsi="Arial" w:cs="Arial"/>
                <w:color w:val="000000"/>
                <w:sz w:val="22"/>
                <w:szCs w:val="22"/>
              </w:rPr>
              <w:t> </w:t>
            </w:r>
          </w:p>
        </w:tc>
      </w:tr>
      <w:tr w:rsidR="003E1D98" w:rsidRPr="00E96552" w14:paraId="6F28B15E" w14:textId="77777777" w:rsidTr="00563FD7">
        <w:trPr>
          <w:trHeight w:val="213"/>
          <w:jc w:val="center"/>
        </w:trPr>
        <w:tc>
          <w:tcPr>
            <w:tcW w:w="6213" w:type="dxa"/>
            <w:tcBorders>
              <w:top w:val="nil"/>
              <w:left w:val="single" w:sz="8" w:space="0" w:color="auto"/>
              <w:bottom w:val="nil"/>
              <w:right w:val="nil"/>
            </w:tcBorders>
            <w:shd w:val="clear" w:color="000000" w:fill="D9D9D9"/>
            <w:vAlign w:val="center"/>
            <w:hideMark/>
          </w:tcPr>
          <w:p w14:paraId="28B33BCF" w14:textId="60470DC2" w:rsidR="003E1D98" w:rsidRPr="00E96552" w:rsidRDefault="003E1D98" w:rsidP="00DC7F16">
            <w:pPr>
              <w:rPr>
                <w:rFonts w:ascii="Arial" w:hAnsi="Arial" w:cs="Arial"/>
                <w:b/>
                <w:bCs/>
                <w:color w:val="000000"/>
                <w:sz w:val="22"/>
                <w:szCs w:val="22"/>
              </w:rPr>
            </w:pPr>
            <w:r w:rsidRPr="00E96552">
              <w:rPr>
                <w:rFonts w:ascii="Arial" w:hAnsi="Arial" w:cs="Arial"/>
                <w:color w:val="000000"/>
                <w:sz w:val="22"/>
                <w:szCs w:val="22"/>
              </w:rPr>
              <w:t>New Borrowing required in year</w:t>
            </w:r>
          </w:p>
        </w:tc>
        <w:tc>
          <w:tcPr>
            <w:tcW w:w="1123" w:type="dxa"/>
            <w:tcBorders>
              <w:top w:val="nil"/>
              <w:left w:val="nil"/>
              <w:bottom w:val="nil"/>
            </w:tcBorders>
            <w:shd w:val="clear" w:color="000000" w:fill="D9D9D9"/>
            <w:vAlign w:val="center"/>
            <w:hideMark/>
          </w:tcPr>
          <w:p w14:paraId="7F0A3BD4" w14:textId="20E7AE02" w:rsidR="003E1D98" w:rsidRPr="00E96552" w:rsidRDefault="003E1D98" w:rsidP="003E1D98">
            <w:pPr>
              <w:jc w:val="right"/>
              <w:rPr>
                <w:rFonts w:ascii="Arial" w:hAnsi="Arial" w:cs="Arial"/>
                <w:b/>
                <w:bCs/>
                <w:color w:val="000000"/>
                <w:sz w:val="22"/>
                <w:szCs w:val="22"/>
              </w:rPr>
            </w:pPr>
            <w:r>
              <w:rPr>
                <w:rFonts w:ascii="Arial" w:hAnsi="Arial" w:cs="Arial"/>
                <w:color w:val="000000"/>
                <w:sz w:val="22"/>
                <w:szCs w:val="22"/>
              </w:rPr>
              <w:t>6</w:t>
            </w:r>
            <w:r w:rsidRPr="00E96552">
              <w:rPr>
                <w:rFonts w:ascii="Arial" w:hAnsi="Arial" w:cs="Arial"/>
                <w:color w:val="000000"/>
                <w:sz w:val="22"/>
                <w:szCs w:val="22"/>
              </w:rPr>
              <w:t>,</w:t>
            </w:r>
            <w:r>
              <w:rPr>
                <w:rFonts w:ascii="Arial" w:hAnsi="Arial" w:cs="Arial"/>
                <w:color w:val="000000"/>
                <w:sz w:val="22"/>
                <w:szCs w:val="22"/>
              </w:rPr>
              <w:t>454</w:t>
            </w:r>
          </w:p>
        </w:tc>
        <w:tc>
          <w:tcPr>
            <w:tcW w:w="1301" w:type="dxa"/>
            <w:tcBorders>
              <w:top w:val="nil"/>
              <w:left w:val="nil"/>
              <w:bottom w:val="nil"/>
              <w:right w:val="single" w:sz="8" w:space="0" w:color="auto"/>
            </w:tcBorders>
            <w:shd w:val="clear" w:color="000000" w:fill="D9D9D9"/>
            <w:vAlign w:val="center"/>
            <w:hideMark/>
          </w:tcPr>
          <w:p w14:paraId="46A626BB" w14:textId="142A5087" w:rsidR="003E1D98" w:rsidRPr="00E96552" w:rsidRDefault="003E1D98" w:rsidP="003E1D98">
            <w:pPr>
              <w:jc w:val="right"/>
            </w:pPr>
            <w:r>
              <w:rPr>
                <w:rFonts w:ascii="Arial" w:hAnsi="Arial" w:cs="Arial"/>
                <w:color w:val="000000"/>
                <w:sz w:val="22"/>
                <w:szCs w:val="22"/>
              </w:rPr>
              <w:t>17,235</w:t>
            </w:r>
          </w:p>
        </w:tc>
      </w:tr>
      <w:tr w:rsidR="003E1D98" w:rsidRPr="00E96552" w14:paraId="04EA0CD8" w14:textId="77777777">
        <w:trPr>
          <w:trHeight w:val="213"/>
          <w:jc w:val="center"/>
        </w:trPr>
        <w:tc>
          <w:tcPr>
            <w:tcW w:w="6213" w:type="dxa"/>
            <w:tcBorders>
              <w:top w:val="nil"/>
              <w:left w:val="single" w:sz="8" w:space="0" w:color="auto"/>
              <w:bottom w:val="nil"/>
              <w:right w:val="nil"/>
            </w:tcBorders>
            <w:shd w:val="clear" w:color="000000" w:fill="D9D9D9"/>
            <w:vAlign w:val="center"/>
            <w:hideMark/>
          </w:tcPr>
          <w:p w14:paraId="07295066" w14:textId="151921CB" w:rsidR="003E1D98" w:rsidRPr="00E96552" w:rsidRDefault="003E1D98" w:rsidP="00DC7F16">
            <w:pPr>
              <w:rPr>
                <w:rFonts w:ascii="Arial" w:hAnsi="Arial" w:cs="Arial"/>
                <w:color w:val="000000"/>
                <w:sz w:val="22"/>
                <w:szCs w:val="22"/>
              </w:rPr>
            </w:pPr>
            <w:r w:rsidRPr="00D6236D">
              <w:rPr>
                <w:rFonts w:ascii="Arial" w:hAnsi="Arial" w:cs="Arial"/>
                <w:color w:val="000000"/>
                <w:sz w:val="22"/>
                <w:szCs w:val="22"/>
              </w:rPr>
              <w:t>Assets acquired under finance leases</w:t>
            </w:r>
          </w:p>
        </w:tc>
        <w:tc>
          <w:tcPr>
            <w:tcW w:w="1123" w:type="dxa"/>
            <w:tcBorders>
              <w:top w:val="nil"/>
              <w:left w:val="nil"/>
            </w:tcBorders>
            <w:shd w:val="clear" w:color="000000" w:fill="D9D9D9"/>
            <w:vAlign w:val="center"/>
            <w:hideMark/>
          </w:tcPr>
          <w:p w14:paraId="56FE063C" w14:textId="003215C8" w:rsidR="003E1D98" w:rsidRPr="00E96552" w:rsidRDefault="003E1D98" w:rsidP="003E1D98">
            <w:pPr>
              <w:jc w:val="right"/>
              <w:rPr>
                <w:rFonts w:ascii="Arial" w:hAnsi="Arial" w:cs="Arial"/>
                <w:color w:val="000000"/>
                <w:sz w:val="22"/>
                <w:szCs w:val="22"/>
              </w:rPr>
            </w:pPr>
          </w:p>
        </w:tc>
        <w:tc>
          <w:tcPr>
            <w:tcW w:w="1301" w:type="dxa"/>
            <w:tcBorders>
              <w:top w:val="nil"/>
              <w:left w:val="nil"/>
              <w:bottom w:val="nil"/>
              <w:right w:val="single" w:sz="8" w:space="0" w:color="auto"/>
            </w:tcBorders>
            <w:shd w:val="clear" w:color="000000" w:fill="D9D9D9"/>
            <w:vAlign w:val="center"/>
            <w:hideMark/>
          </w:tcPr>
          <w:p w14:paraId="6A4219F0" w14:textId="67184DD4" w:rsidR="003E1D98" w:rsidRPr="00E96552" w:rsidRDefault="00016F3B" w:rsidP="003E1D98">
            <w:pPr>
              <w:jc w:val="right"/>
              <w:rPr>
                <w:rFonts w:ascii="Arial" w:hAnsi="Arial" w:cs="Arial"/>
                <w:color w:val="000000"/>
                <w:sz w:val="22"/>
                <w:szCs w:val="22"/>
              </w:rPr>
            </w:pPr>
            <w:r>
              <w:rPr>
                <w:rFonts w:ascii="Arial" w:hAnsi="Arial" w:cs="Arial"/>
                <w:color w:val="000000"/>
                <w:sz w:val="22"/>
                <w:szCs w:val="22"/>
              </w:rPr>
              <w:t>2,571</w:t>
            </w:r>
          </w:p>
        </w:tc>
      </w:tr>
      <w:tr w:rsidR="003E1D98" w:rsidRPr="00E96552" w14:paraId="0CB1EE9D" w14:textId="77777777">
        <w:trPr>
          <w:trHeight w:val="224"/>
          <w:jc w:val="center"/>
        </w:trPr>
        <w:tc>
          <w:tcPr>
            <w:tcW w:w="6213" w:type="dxa"/>
            <w:tcBorders>
              <w:top w:val="nil"/>
              <w:left w:val="single" w:sz="8" w:space="0" w:color="auto"/>
              <w:bottom w:val="nil"/>
              <w:right w:val="nil"/>
            </w:tcBorders>
            <w:shd w:val="clear" w:color="000000" w:fill="D9D9D9"/>
            <w:vAlign w:val="center"/>
          </w:tcPr>
          <w:p w14:paraId="4E347F23" w14:textId="1BE23809" w:rsidR="003E1D98" w:rsidRPr="00E96552" w:rsidRDefault="003E1D98" w:rsidP="00DC7F16">
            <w:pPr>
              <w:rPr>
                <w:rFonts w:ascii="Arial" w:hAnsi="Arial" w:cs="Arial"/>
                <w:color w:val="000000"/>
                <w:sz w:val="22"/>
                <w:szCs w:val="22"/>
              </w:rPr>
            </w:pPr>
            <w:r w:rsidRPr="00E96552">
              <w:rPr>
                <w:rFonts w:ascii="Arial" w:hAnsi="Arial" w:cs="Arial"/>
                <w:color w:val="000000"/>
                <w:sz w:val="22"/>
                <w:szCs w:val="22"/>
              </w:rPr>
              <w:t>MRP applied in year</w:t>
            </w:r>
          </w:p>
        </w:tc>
        <w:tc>
          <w:tcPr>
            <w:tcW w:w="1123" w:type="dxa"/>
            <w:tcBorders>
              <w:top w:val="nil"/>
              <w:left w:val="nil"/>
              <w:bottom w:val="single" w:sz="4" w:space="0" w:color="auto"/>
            </w:tcBorders>
            <w:shd w:val="clear" w:color="000000" w:fill="D9D9D9"/>
            <w:vAlign w:val="center"/>
          </w:tcPr>
          <w:p w14:paraId="4EFE4F42" w14:textId="508C6DA9" w:rsidR="003E1D98" w:rsidRPr="00E96552" w:rsidRDefault="003E1D98" w:rsidP="003E1D98">
            <w:pPr>
              <w:jc w:val="right"/>
              <w:rPr>
                <w:rFonts w:ascii="Arial" w:hAnsi="Arial" w:cs="Arial"/>
                <w:color w:val="000000"/>
                <w:sz w:val="22"/>
                <w:szCs w:val="22"/>
              </w:rPr>
            </w:pPr>
            <w:r w:rsidRPr="00E96552">
              <w:rPr>
                <w:rFonts w:ascii="Arial" w:hAnsi="Arial" w:cs="Arial"/>
                <w:color w:val="000000"/>
                <w:sz w:val="22"/>
                <w:szCs w:val="22"/>
              </w:rPr>
              <w:t>(2,191)</w:t>
            </w:r>
          </w:p>
        </w:tc>
        <w:tc>
          <w:tcPr>
            <w:tcW w:w="1301" w:type="dxa"/>
            <w:tcBorders>
              <w:top w:val="nil"/>
              <w:left w:val="nil"/>
              <w:bottom w:val="nil"/>
              <w:right w:val="single" w:sz="8" w:space="0" w:color="auto"/>
            </w:tcBorders>
            <w:shd w:val="clear" w:color="000000" w:fill="D9D9D9"/>
            <w:vAlign w:val="center"/>
          </w:tcPr>
          <w:p w14:paraId="0D338640" w14:textId="3F0856F8" w:rsidR="003E1D98" w:rsidRPr="00E96552" w:rsidRDefault="003E1D98" w:rsidP="003E1D98">
            <w:pPr>
              <w:jc w:val="right"/>
              <w:rPr>
                <w:rFonts w:ascii="Arial" w:hAnsi="Arial" w:cs="Arial"/>
                <w:color w:val="000000"/>
                <w:sz w:val="22"/>
                <w:szCs w:val="22"/>
              </w:rPr>
            </w:pPr>
            <w:r>
              <w:rPr>
                <w:rFonts w:ascii="Arial" w:hAnsi="Arial" w:cs="Arial"/>
                <w:color w:val="000000"/>
                <w:sz w:val="22"/>
                <w:szCs w:val="22"/>
              </w:rPr>
              <w:t>(2,</w:t>
            </w:r>
            <w:r w:rsidR="009D4FCB">
              <w:rPr>
                <w:rFonts w:ascii="Arial" w:hAnsi="Arial" w:cs="Arial"/>
                <w:color w:val="000000"/>
                <w:sz w:val="22"/>
                <w:szCs w:val="22"/>
              </w:rPr>
              <w:t>408</w:t>
            </w:r>
            <w:r>
              <w:rPr>
                <w:rFonts w:ascii="Arial" w:hAnsi="Arial" w:cs="Arial"/>
                <w:color w:val="000000"/>
                <w:sz w:val="22"/>
                <w:szCs w:val="22"/>
              </w:rPr>
              <w:t>)</w:t>
            </w:r>
          </w:p>
        </w:tc>
      </w:tr>
      <w:tr w:rsidR="003E1D98" w:rsidRPr="00E96552" w14:paraId="14A9B48E" w14:textId="77777777">
        <w:trPr>
          <w:trHeight w:val="224"/>
          <w:jc w:val="center"/>
        </w:trPr>
        <w:tc>
          <w:tcPr>
            <w:tcW w:w="6213" w:type="dxa"/>
            <w:tcBorders>
              <w:top w:val="nil"/>
              <w:left w:val="single" w:sz="8" w:space="0" w:color="auto"/>
              <w:bottom w:val="nil"/>
              <w:right w:val="nil"/>
            </w:tcBorders>
            <w:shd w:val="clear" w:color="000000" w:fill="D9D9D9"/>
            <w:vAlign w:val="center"/>
            <w:hideMark/>
          </w:tcPr>
          <w:p w14:paraId="21FB693A" w14:textId="62ACE2D3" w:rsidR="003E1D98" w:rsidRPr="00E96552" w:rsidRDefault="003E1D98" w:rsidP="00DC7F16">
            <w:pPr>
              <w:rPr>
                <w:rFonts w:ascii="Arial" w:hAnsi="Arial" w:cs="Arial"/>
                <w:color w:val="000000"/>
                <w:sz w:val="22"/>
                <w:szCs w:val="22"/>
              </w:rPr>
            </w:pPr>
            <w:r w:rsidRPr="00E96552">
              <w:rPr>
                <w:rFonts w:ascii="Arial" w:hAnsi="Arial" w:cs="Arial"/>
                <w:b/>
                <w:bCs/>
                <w:color w:val="000000"/>
                <w:sz w:val="22"/>
                <w:szCs w:val="22"/>
              </w:rPr>
              <w:t>Increase/(decrease) in Capital Financing Requirement</w:t>
            </w:r>
          </w:p>
        </w:tc>
        <w:tc>
          <w:tcPr>
            <w:tcW w:w="1123" w:type="dxa"/>
            <w:tcBorders>
              <w:top w:val="single" w:sz="4" w:space="0" w:color="auto"/>
              <w:left w:val="nil"/>
              <w:bottom w:val="single" w:sz="4" w:space="0" w:color="auto"/>
            </w:tcBorders>
            <w:shd w:val="clear" w:color="000000" w:fill="D9D9D9"/>
            <w:vAlign w:val="center"/>
            <w:hideMark/>
          </w:tcPr>
          <w:p w14:paraId="450096BC" w14:textId="539F848B" w:rsidR="003E1D98" w:rsidRPr="00E96552" w:rsidRDefault="003E1D98" w:rsidP="00DC7F16">
            <w:pPr>
              <w:jc w:val="right"/>
              <w:rPr>
                <w:rFonts w:ascii="Arial" w:hAnsi="Arial" w:cs="Arial"/>
                <w:color w:val="000000"/>
                <w:sz w:val="22"/>
                <w:szCs w:val="22"/>
              </w:rPr>
            </w:pPr>
            <w:r>
              <w:rPr>
                <w:rFonts w:ascii="Arial" w:hAnsi="Arial" w:cs="Arial"/>
                <w:b/>
                <w:bCs/>
                <w:color w:val="000000"/>
                <w:sz w:val="22"/>
                <w:szCs w:val="22"/>
              </w:rPr>
              <w:t>4</w:t>
            </w:r>
            <w:r w:rsidRPr="00E96552">
              <w:rPr>
                <w:rFonts w:ascii="Arial" w:hAnsi="Arial" w:cs="Arial"/>
                <w:b/>
                <w:bCs/>
                <w:color w:val="000000"/>
                <w:sz w:val="22"/>
                <w:szCs w:val="22"/>
              </w:rPr>
              <w:t>,</w:t>
            </w:r>
            <w:r>
              <w:rPr>
                <w:rFonts w:ascii="Arial" w:hAnsi="Arial" w:cs="Arial"/>
                <w:b/>
                <w:bCs/>
                <w:color w:val="000000"/>
                <w:sz w:val="22"/>
                <w:szCs w:val="22"/>
              </w:rPr>
              <w:t>263</w:t>
            </w:r>
          </w:p>
        </w:tc>
        <w:tc>
          <w:tcPr>
            <w:tcW w:w="1301" w:type="dxa"/>
            <w:tcBorders>
              <w:top w:val="single" w:sz="4" w:space="0" w:color="auto"/>
              <w:left w:val="nil"/>
              <w:bottom w:val="single" w:sz="8" w:space="0" w:color="auto"/>
              <w:right w:val="single" w:sz="8" w:space="0" w:color="auto"/>
            </w:tcBorders>
            <w:shd w:val="clear" w:color="000000" w:fill="D9D9D9"/>
            <w:vAlign w:val="center"/>
            <w:hideMark/>
          </w:tcPr>
          <w:p w14:paraId="42A37AC5" w14:textId="7B5E4EBD" w:rsidR="003E1D98" w:rsidRPr="00E96552" w:rsidRDefault="003E1D98" w:rsidP="00DC7F16">
            <w:pPr>
              <w:jc w:val="right"/>
              <w:rPr>
                <w:rFonts w:ascii="Arial" w:hAnsi="Arial" w:cs="Arial"/>
                <w:color w:val="000000"/>
                <w:sz w:val="22"/>
                <w:szCs w:val="22"/>
              </w:rPr>
            </w:pPr>
            <w:r>
              <w:rPr>
                <w:rFonts w:ascii="Arial" w:hAnsi="Arial" w:cs="Arial"/>
                <w:b/>
                <w:bCs/>
                <w:color w:val="000000"/>
                <w:sz w:val="22"/>
                <w:szCs w:val="22"/>
              </w:rPr>
              <w:t>1</w:t>
            </w:r>
            <w:r w:rsidR="00016F3B">
              <w:rPr>
                <w:rFonts w:ascii="Arial" w:hAnsi="Arial" w:cs="Arial"/>
                <w:b/>
                <w:bCs/>
                <w:color w:val="000000"/>
                <w:sz w:val="22"/>
                <w:szCs w:val="22"/>
              </w:rPr>
              <w:t>7</w:t>
            </w:r>
            <w:r>
              <w:rPr>
                <w:rFonts w:ascii="Arial" w:hAnsi="Arial" w:cs="Arial"/>
                <w:b/>
                <w:bCs/>
                <w:color w:val="000000"/>
                <w:sz w:val="22"/>
                <w:szCs w:val="22"/>
              </w:rPr>
              <w:t>,</w:t>
            </w:r>
            <w:r w:rsidR="00016F3B">
              <w:rPr>
                <w:rFonts w:ascii="Arial" w:hAnsi="Arial" w:cs="Arial"/>
                <w:b/>
                <w:bCs/>
                <w:color w:val="000000"/>
                <w:sz w:val="22"/>
                <w:szCs w:val="22"/>
              </w:rPr>
              <w:t>397</w:t>
            </w:r>
          </w:p>
        </w:tc>
      </w:tr>
      <w:tr w:rsidR="003E1D98" w:rsidRPr="00E96552" w14:paraId="7CA25219" w14:textId="77777777">
        <w:trPr>
          <w:trHeight w:val="224"/>
          <w:jc w:val="center"/>
        </w:trPr>
        <w:tc>
          <w:tcPr>
            <w:tcW w:w="6213" w:type="dxa"/>
            <w:tcBorders>
              <w:top w:val="nil"/>
              <w:left w:val="single" w:sz="8" w:space="0" w:color="auto"/>
              <w:bottom w:val="single" w:sz="8" w:space="0" w:color="auto"/>
              <w:right w:val="nil"/>
            </w:tcBorders>
            <w:shd w:val="clear" w:color="000000" w:fill="D9D9D9"/>
            <w:vAlign w:val="center"/>
            <w:hideMark/>
          </w:tcPr>
          <w:p w14:paraId="4D806F05" w14:textId="29AC97B2" w:rsidR="003E1D98" w:rsidRPr="00E96552" w:rsidRDefault="003E1D98" w:rsidP="00DC7F16">
            <w:pPr>
              <w:rPr>
                <w:rFonts w:ascii="Arial" w:hAnsi="Arial" w:cs="Arial"/>
                <w:b/>
                <w:bCs/>
                <w:color w:val="000000"/>
                <w:sz w:val="22"/>
                <w:szCs w:val="22"/>
              </w:rPr>
            </w:pPr>
          </w:p>
        </w:tc>
        <w:tc>
          <w:tcPr>
            <w:tcW w:w="1123" w:type="dxa"/>
            <w:tcBorders>
              <w:top w:val="single" w:sz="4" w:space="0" w:color="auto"/>
              <w:left w:val="nil"/>
              <w:bottom w:val="single" w:sz="8" w:space="0" w:color="auto"/>
              <w:right w:val="nil"/>
            </w:tcBorders>
            <w:shd w:val="clear" w:color="000000" w:fill="D9D9D9"/>
            <w:vAlign w:val="center"/>
            <w:hideMark/>
          </w:tcPr>
          <w:p w14:paraId="532FFEF0" w14:textId="5D446147" w:rsidR="003E1D98" w:rsidRPr="00E96552" w:rsidRDefault="003E1D98" w:rsidP="00DC7F16">
            <w:pPr>
              <w:jc w:val="right"/>
              <w:rPr>
                <w:rFonts w:ascii="Arial" w:hAnsi="Arial" w:cs="Arial"/>
                <w:b/>
                <w:bCs/>
                <w:color w:val="000000"/>
                <w:sz w:val="22"/>
                <w:szCs w:val="22"/>
              </w:rPr>
            </w:pPr>
          </w:p>
        </w:tc>
        <w:tc>
          <w:tcPr>
            <w:tcW w:w="1301" w:type="dxa"/>
            <w:tcBorders>
              <w:top w:val="nil"/>
              <w:left w:val="nil"/>
              <w:bottom w:val="single" w:sz="8" w:space="0" w:color="auto"/>
              <w:right w:val="single" w:sz="8" w:space="0" w:color="auto"/>
            </w:tcBorders>
            <w:shd w:val="clear" w:color="000000" w:fill="D9D9D9"/>
            <w:vAlign w:val="center"/>
            <w:hideMark/>
          </w:tcPr>
          <w:p w14:paraId="73541B25" w14:textId="1CFCE3CA" w:rsidR="003E1D98" w:rsidRPr="00E96552" w:rsidRDefault="003E1D98" w:rsidP="00DC7F16">
            <w:pPr>
              <w:jc w:val="right"/>
              <w:rPr>
                <w:rFonts w:ascii="Arial" w:hAnsi="Arial" w:cs="Arial"/>
                <w:b/>
                <w:bCs/>
                <w:color w:val="000000"/>
                <w:sz w:val="22"/>
                <w:szCs w:val="22"/>
              </w:rPr>
            </w:pPr>
          </w:p>
        </w:tc>
      </w:tr>
    </w:tbl>
    <w:p w14:paraId="48F3514C" w14:textId="6B41F57C" w:rsidR="00DE2A8B" w:rsidRDefault="00DE2A8B" w:rsidP="008A5600">
      <w:pPr>
        <w:rPr>
          <w:rFonts w:ascii="Arial" w:hAnsi="Arial"/>
          <w:sz w:val="22"/>
          <w:szCs w:val="22"/>
        </w:rPr>
      </w:pPr>
    </w:p>
    <w:p w14:paraId="5C737FFE" w14:textId="77777777" w:rsidR="00DE2A8B" w:rsidRDefault="00DE2A8B">
      <w:pPr>
        <w:rPr>
          <w:rFonts w:ascii="Arial" w:hAnsi="Arial"/>
          <w:sz w:val="22"/>
          <w:szCs w:val="22"/>
        </w:rPr>
      </w:pPr>
      <w:r>
        <w:rPr>
          <w:rFonts w:ascii="Arial" w:hAnsi="Arial"/>
          <w:sz w:val="22"/>
          <w:szCs w:val="22"/>
        </w:rPr>
        <w:br w:type="page"/>
      </w:r>
    </w:p>
    <w:p w14:paraId="557CF951" w14:textId="260025B3" w:rsidR="003B74DA" w:rsidRPr="004B53FC" w:rsidRDefault="003B74DA" w:rsidP="003B74DA">
      <w:pPr>
        <w:numPr>
          <w:ilvl w:val="0"/>
          <w:numId w:val="1"/>
        </w:numPr>
        <w:tabs>
          <w:tab w:val="clear" w:pos="720"/>
          <w:tab w:val="num" w:pos="426"/>
          <w:tab w:val="right" w:pos="5760"/>
        </w:tabs>
        <w:rPr>
          <w:rFonts w:ascii="Arial" w:hAnsi="Arial"/>
          <w:b/>
          <w:sz w:val="22"/>
          <w:szCs w:val="22"/>
        </w:rPr>
      </w:pPr>
      <w:r w:rsidRPr="004B53FC">
        <w:rPr>
          <w:rFonts w:ascii="Arial" w:hAnsi="Arial"/>
          <w:b/>
          <w:sz w:val="22"/>
          <w:szCs w:val="22"/>
        </w:rPr>
        <w:lastRenderedPageBreak/>
        <w:t xml:space="preserve">Debtors </w:t>
      </w:r>
    </w:p>
    <w:p w14:paraId="36758154" w14:textId="77777777" w:rsidR="003B74DA" w:rsidRPr="004B53FC" w:rsidRDefault="003B74DA" w:rsidP="003B74DA">
      <w:pPr>
        <w:tabs>
          <w:tab w:val="left" w:pos="426"/>
        </w:tabs>
        <w:ind w:left="426"/>
        <w:rPr>
          <w:rFonts w:ascii="Arial" w:hAnsi="Arial"/>
          <w:sz w:val="22"/>
          <w:szCs w:val="22"/>
        </w:rPr>
      </w:pPr>
    </w:p>
    <w:tbl>
      <w:tblPr>
        <w:tblW w:w="9454" w:type="dxa"/>
        <w:tblInd w:w="530" w:type="dxa"/>
        <w:tblLook w:val="04A0" w:firstRow="1" w:lastRow="0" w:firstColumn="1" w:lastColumn="0" w:noHBand="0" w:noVBand="1"/>
      </w:tblPr>
      <w:tblGrid>
        <w:gridCol w:w="1396"/>
        <w:gridCol w:w="1543"/>
        <w:gridCol w:w="3601"/>
        <w:gridCol w:w="1444"/>
        <w:gridCol w:w="1470"/>
      </w:tblGrid>
      <w:tr w:rsidR="004B35C4" w:rsidRPr="004B53FC" w14:paraId="6D4C142A" w14:textId="77777777" w:rsidTr="004B35C4">
        <w:trPr>
          <w:trHeight w:val="122"/>
        </w:trPr>
        <w:tc>
          <w:tcPr>
            <w:tcW w:w="2939" w:type="dxa"/>
            <w:gridSpan w:val="2"/>
            <w:tcBorders>
              <w:top w:val="single" w:sz="8" w:space="0" w:color="auto"/>
              <w:left w:val="single" w:sz="4" w:space="0" w:color="auto"/>
              <w:bottom w:val="nil"/>
              <w:right w:val="nil"/>
            </w:tcBorders>
            <w:shd w:val="clear" w:color="000000" w:fill="CCCCCC"/>
            <w:hideMark/>
          </w:tcPr>
          <w:p w14:paraId="0C088922" w14:textId="77777777" w:rsidR="004B35C4" w:rsidRPr="004B53FC" w:rsidRDefault="004B35C4" w:rsidP="004B35C4">
            <w:pPr>
              <w:jc w:val="center"/>
              <w:rPr>
                <w:rFonts w:ascii="Arial" w:hAnsi="Arial" w:cs="Arial"/>
                <w:b/>
                <w:bCs/>
                <w:color w:val="000000"/>
                <w:sz w:val="22"/>
                <w:szCs w:val="22"/>
              </w:rPr>
            </w:pPr>
            <w:r w:rsidRPr="004B53FC">
              <w:rPr>
                <w:rFonts w:ascii="Arial" w:hAnsi="Arial" w:cs="Arial"/>
                <w:b/>
                <w:bCs/>
                <w:color w:val="000000"/>
                <w:sz w:val="22"/>
                <w:szCs w:val="22"/>
              </w:rPr>
              <w:t>PCC</w:t>
            </w:r>
          </w:p>
        </w:tc>
        <w:tc>
          <w:tcPr>
            <w:tcW w:w="3601" w:type="dxa"/>
            <w:tcBorders>
              <w:top w:val="single" w:sz="8" w:space="0" w:color="auto"/>
              <w:left w:val="nil"/>
              <w:bottom w:val="nil"/>
              <w:right w:val="nil"/>
            </w:tcBorders>
            <w:shd w:val="clear" w:color="000000" w:fill="CCCCCC"/>
            <w:hideMark/>
          </w:tcPr>
          <w:p w14:paraId="3E81854A" w14:textId="11BFCB97" w:rsidR="004B35C4" w:rsidRPr="004B53FC" w:rsidRDefault="004B35C4" w:rsidP="004B35C4">
            <w:pPr>
              <w:jc w:val="center"/>
              <w:rPr>
                <w:color w:val="000000"/>
              </w:rPr>
            </w:pPr>
          </w:p>
        </w:tc>
        <w:tc>
          <w:tcPr>
            <w:tcW w:w="2914" w:type="dxa"/>
            <w:gridSpan w:val="2"/>
            <w:tcBorders>
              <w:top w:val="single" w:sz="8" w:space="0" w:color="auto"/>
              <w:left w:val="nil"/>
              <w:bottom w:val="nil"/>
              <w:right w:val="single" w:sz="8" w:space="0" w:color="000000"/>
            </w:tcBorders>
            <w:shd w:val="clear" w:color="000000" w:fill="CCCCCC"/>
            <w:hideMark/>
          </w:tcPr>
          <w:p w14:paraId="09E33A9B" w14:textId="77777777" w:rsidR="004B35C4" w:rsidRPr="004B53FC" w:rsidRDefault="004B35C4" w:rsidP="004B35C4">
            <w:pPr>
              <w:jc w:val="center"/>
              <w:rPr>
                <w:rFonts w:ascii="Arial" w:hAnsi="Arial" w:cs="Arial"/>
                <w:b/>
                <w:bCs/>
                <w:color w:val="000000"/>
                <w:sz w:val="22"/>
                <w:szCs w:val="22"/>
              </w:rPr>
            </w:pPr>
            <w:r w:rsidRPr="004B53FC">
              <w:rPr>
                <w:rFonts w:ascii="Arial" w:hAnsi="Arial" w:cs="Arial"/>
                <w:b/>
                <w:bCs/>
                <w:color w:val="000000"/>
                <w:sz w:val="22"/>
                <w:szCs w:val="22"/>
              </w:rPr>
              <w:t>PCC Group</w:t>
            </w:r>
          </w:p>
        </w:tc>
      </w:tr>
      <w:tr w:rsidR="004B35C4" w:rsidRPr="004B53FC" w14:paraId="7ACD2B9F" w14:textId="77777777" w:rsidTr="00B35BF3">
        <w:trPr>
          <w:trHeight w:val="218"/>
        </w:trPr>
        <w:tc>
          <w:tcPr>
            <w:tcW w:w="1396" w:type="dxa"/>
            <w:tcBorders>
              <w:top w:val="nil"/>
              <w:left w:val="single" w:sz="4" w:space="0" w:color="auto"/>
              <w:bottom w:val="nil"/>
              <w:right w:val="nil"/>
            </w:tcBorders>
            <w:vAlign w:val="center"/>
            <w:hideMark/>
          </w:tcPr>
          <w:p w14:paraId="4B2395F3" w14:textId="77777777" w:rsidR="004B35C4" w:rsidRDefault="004B35C4" w:rsidP="004B35C4">
            <w:pPr>
              <w:jc w:val="right"/>
              <w:rPr>
                <w:rFonts w:ascii="Arial" w:hAnsi="Arial" w:cs="Arial"/>
                <w:b/>
                <w:bCs/>
                <w:color w:val="000000"/>
                <w:sz w:val="22"/>
                <w:szCs w:val="22"/>
              </w:rPr>
            </w:pPr>
            <w:r w:rsidRPr="004B53FC">
              <w:rPr>
                <w:rFonts w:ascii="Arial" w:hAnsi="Arial" w:cs="Arial"/>
                <w:b/>
                <w:bCs/>
                <w:color w:val="000000"/>
                <w:sz w:val="22"/>
                <w:szCs w:val="22"/>
              </w:rPr>
              <w:t>31-Mar-2</w:t>
            </w:r>
            <w:r w:rsidR="00E71EA4">
              <w:rPr>
                <w:rFonts w:ascii="Arial" w:hAnsi="Arial" w:cs="Arial"/>
                <w:b/>
                <w:bCs/>
                <w:color w:val="000000"/>
                <w:sz w:val="22"/>
                <w:szCs w:val="22"/>
              </w:rPr>
              <w:t>4</w:t>
            </w:r>
          </w:p>
          <w:p w14:paraId="1AAE7084" w14:textId="35480D55" w:rsidR="00DF412D" w:rsidRPr="004B53FC" w:rsidRDefault="00DF412D" w:rsidP="004B35C4">
            <w:pPr>
              <w:jc w:val="right"/>
              <w:rPr>
                <w:rFonts w:ascii="Arial" w:hAnsi="Arial" w:cs="Arial"/>
                <w:b/>
                <w:bCs/>
                <w:color w:val="000000"/>
                <w:sz w:val="22"/>
                <w:szCs w:val="22"/>
              </w:rPr>
            </w:pPr>
            <w:r>
              <w:rPr>
                <w:rFonts w:ascii="Arial" w:hAnsi="Arial" w:cs="Arial"/>
                <w:b/>
                <w:bCs/>
                <w:color w:val="000000"/>
                <w:sz w:val="22"/>
                <w:szCs w:val="22"/>
              </w:rPr>
              <w:t>Restated</w:t>
            </w:r>
          </w:p>
        </w:tc>
        <w:tc>
          <w:tcPr>
            <w:tcW w:w="1543" w:type="dxa"/>
            <w:tcBorders>
              <w:top w:val="nil"/>
              <w:left w:val="nil"/>
              <w:bottom w:val="nil"/>
              <w:right w:val="nil"/>
            </w:tcBorders>
            <w:shd w:val="clear" w:color="000000" w:fill="CCCCCC"/>
            <w:vAlign w:val="center"/>
            <w:hideMark/>
          </w:tcPr>
          <w:p w14:paraId="311F491A" w14:textId="1BB2C867" w:rsidR="004B35C4" w:rsidRPr="004B53FC" w:rsidRDefault="004B35C4" w:rsidP="004B35C4">
            <w:pPr>
              <w:jc w:val="right"/>
              <w:rPr>
                <w:rFonts w:ascii="Arial" w:hAnsi="Arial" w:cs="Arial"/>
                <w:b/>
                <w:bCs/>
                <w:color w:val="000000"/>
                <w:sz w:val="22"/>
                <w:szCs w:val="22"/>
              </w:rPr>
            </w:pPr>
            <w:r w:rsidRPr="004B53FC">
              <w:rPr>
                <w:rFonts w:ascii="Arial" w:hAnsi="Arial" w:cs="Arial"/>
                <w:b/>
                <w:bCs/>
                <w:color w:val="000000"/>
                <w:sz w:val="22"/>
                <w:szCs w:val="22"/>
              </w:rPr>
              <w:t>31-Mar-2</w:t>
            </w:r>
            <w:r w:rsidR="00E71EA4">
              <w:rPr>
                <w:rFonts w:ascii="Arial" w:hAnsi="Arial" w:cs="Arial"/>
                <w:b/>
                <w:bCs/>
                <w:color w:val="000000"/>
                <w:sz w:val="22"/>
                <w:szCs w:val="22"/>
              </w:rPr>
              <w:t>5</w:t>
            </w:r>
          </w:p>
        </w:tc>
        <w:tc>
          <w:tcPr>
            <w:tcW w:w="3601" w:type="dxa"/>
            <w:tcBorders>
              <w:top w:val="nil"/>
              <w:left w:val="nil"/>
              <w:bottom w:val="nil"/>
              <w:right w:val="nil"/>
            </w:tcBorders>
            <w:vAlign w:val="center"/>
            <w:hideMark/>
          </w:tcPr>
          <w:p w14:paraId="1844396C" w14:textId="77777777" w:rsidR="004B35C4" w:rsidRPr="004B53FC" w:rsidRDefault="004B35C4" w:rsidP="004B35C4">
            <w:pPr>
              <w:jc w:val="right"/>
              <w:rPr>
                <w:rFonts w:ascii="Arial" w:hAnsi="Arial" w:cs="Arial"/>
                <w:b/>
                <w:bCs/>
                <w:color w:val="000000"/>
                <w:sz w:val="22"/>
                <w:szCs w:val="22"/>
              </w:rPr>
            </w:pPr>
          </w:p>
        </w:tc>
        <w:tc>
          <w:tcPr>
            <w:tcW w:w="1444" w:type="dxa"/>
            <w:tcBorders>
              <w:top w:val="nil"/>
              <w:left w:val="nil"/>
              <w:bottom w:val="nil"/>
              <w:right w:val="nil"/>
            </w:tcBorders>
            <w:vAlign w:val="center"/>
            <w:hideMark/>
          </w:tcPr>
          <w:p w14:paraId="0C5BA8F2" w14:textId="421D803B" w:rsidR="004B35C4" w:rsidRPr="004B53FC" w:rsidRDefault="004B35C4" w:rsidP="004B35C4">
            <w:pPr>
              <w:jc w:val="right"/>
              <w:rPr>
                <w:rFonts w:ascii="Arial" w:hAnsi="Arial" w:cs="Arial"/>
                <w:b/>
                <w:bCs/>
                <w:color w:val="000000"/>
                <w:sz w:val="22"/>
                <w:szCs w:val="22"/>
              </w:rPr>
            </w:pPr>
            <w:r w:rsidRPr="004B53FC">
              <w:rPr>
                <w:rFonts w:ascii="Arial" w:hAnsi="Arial" w:cs="Arial"/>
                <w:b/>
                <w:bCs/>
                <w:color w:val="000000"/>
                <w:sz w:val="22"/>
                <w:szCs w:val="22"/>
              </w:rPr>
              <w:t>31-Mar-2</w:t>
            </w:r>
            <w:r w:rsidR="00E71EA4">
              <w:rPr>
                <w:rFonts w:ascii="Arial" w:hAnsi="Arial" w:cs="Arial"/>
                <w:b/>
                <w:bCs/>
                <w:color w:val="000000"/>
                <w:sz w:val="22"/>
                <w:szCs w:val="22"/>
              </w:rPr>
              <w:t>4</w:t>
            </w:r>
            <w:r w:rsidR="00DF412D">
              <w:rPr>
                <w:rFonts w:ascii="Arial" w:hAnsi="Arial" w:cs="Arial"/>
                <w:b/>
                <w:bCs/>
                <w:color w:val="000000"/>
                <w:sz w:val="22"/>
                <w:szCs w:val="22"/>
              </w:rPr>
              <w:t xml:space="preserve"> Restated</w:t>
            </w:r>
          </w:p>
        </w:tc>
        <w:tc>
          <w:tcPr>
            <w:tcW w:w="1470" w:type="dxa"/>
            <w:tcBorders>
              <w:top w:val="nil"/>
              <w:left w:val="nil"/>
              <w:bottom w:val="nil"/>
              <w:right w:val="single" w:sz="8" w:space="0" w:color="auto"/>
            </w:tcBorders>
            <w:shd w:val="clear" w:color="000000" w:fill="D0CECE"/>
            <w:vAlign w:val="center"/>
            <w:hideMark/>
          </w:tcPr>
          <w:p w14:paraId="336D150C" w14:textId="509FA8AC" w:rsidR="004B35C4" w:rsidRPr="004B53FC" w:rsidRDefault="004B35C4" w:rsidP="004B35C4">
            <w:pPr>
              <w:jc w:val="right"/>
              <w:rPr>
                <w:rFonts w:ascii="Arial" w:hAnsi="Arial" w:cs="Arial"/>
                <w:b/>
                <w:bCs/>
                <w:color w:val="000000"/>
                <w:sz w:val="22"/>
                <w:szCs w:val="22"/>
              </w:rPr>
            </w:pPr>
            <w:r w:rsidRPr="004B53FC">
              <w:rPr>
                <w:rFonts w:ascii="Arial" w:hAnsi="Arial" w:cs="Arial"/>
                <w:b/>
                <w:bCs/>
                <w:color w:val="000000"/>
                <w:sz w:val="22"/>
                <w:szCs w:val="22"/>
              </w:rPr>
              <w:t>31-Mar-2</w:t>
            </w:r>
            <w:r w:rsidR="00E71EA4">
              <w:rPr>
                <w:rFonts w:ascii="Arial" w:hAnsi="Arial" w:cs="Arial"/>
                <w:b/>
                <w:bCs/>
                <w:color w:val="000000"/>
                <w:sz w:val="22"/>
                <w:szCs w:val="22"/>
              </w:rPr>
              <w:t>5</w:t>
            </w:r>
          </w:p>
        </w:tc>
      </w:tr>
      <w:tr w:rsidR="004B35C4" w:rsidRPr="004B53FC" w14:paraId="34A7C1FF" w14:textId="77777777" w:rsidTr="0089327A">
        <w:trPr>
          <w:trHeight w:val="218"/>
        </w:trPr>
        <w:tc>
          <w:tcPr>
            <w:tcW w:w="1396" w:type="dxa"/>
            <w:tcBorders>
              <w:top w:val="nil"/>
              <w:left w:val="single" w:sz="4" w:space="0" w:color="auto"/>
              <w:right w:val="nil"/>
            </w:tcBorders>
            <w:vAlign w:val="center"/>
            <w:hideMark/>
          </w:tcPr>
          <w:p w14:paraId="2C0F70CB" w14:textId="77777777" w:rsidR="004B35C4" w:rsidRPr="004B53FC" w:rsidRDefault="004B35C4" w:rsidP="004B35C4">
            <w:pPr>
              <w:jc w:val="right"/>
              <w:rPr>
                <w:rFonts w:ascii="Arial" w:hAnsi="Arial" w:cs="Arial"/>
                <w:b/>
                <w:bCs/>
                <w:color w:val="000000"/>
                <w:sz w:val="22"/>
                <w:szCs w:val="22"/>
              </w:rPr>
            </w:pPr>
            <w:r w:rsidRPr="004B53FC">
              <w:rPr>
                <w:rFonts w:ascii="Arial" w:hAnsi="Arial" w:cs="Arial"/>
                <w:b/>
                <w:bCs/>
                <w:color w:val="000000"/>
                <w:sz w:val="22"/>
                <w:szCs w:val="22"/>
              </w:rPr>
              <w:t>£000</w:t>
            </w:r>
          </w:p>
        </w:tc>
        <w:tc>
          <w:tcPr>
            <w:tcW w:w="1543" w:type="dxa"/>
            <w:tcBorders>
              <w:top w:val="nil"/>
              <w:left w:val="nil"/>
              <w:bottom w:val="nil"/>
              <w:right w:val="nil"/>
            </w:tcBorders>
            <w:shd w:val="clear" w:color="000000" w:fill="CCCCCC"/>
            <w:vAlign w:val="center"/>
            <w:hideMark/>
          </w:tcPr>
          <w:p w14:paraId="6766E34D" w14:textId="77777777" w:rsidR="004B35C4" w:rsidRPr="004B53FC" w:rsidRDefault="004B35C4" w:rsidP="004B35C4">
            <w:pPr>
              <w:jc w:val="right"/>
              <w:rPr>
                <w:rFonts w:ascii="Arial" w:hAnsi="Arial" w:cs="Arial"/>
                <w:b/>
                <w:bCs/>
                <w:color w:val="000000"/>
                <w:sz w:val="22"/>
                <w:szCs w:val="22"/>
              </w:rPr>
            </w:pPr>
            <w:r w:rsidRPr="004B53FC">
              <w:rPr>
                <w:rFonts w:ascii="Arial" w:hAnsi="Arial" w:cs="Arial"/>
                <w:b/>
                <w:bCs/>
                <w:color w:val="000000"/>
                <w:sz w:val="22"/>
                <w:szCs w:val="22"/>
              </w:rPr>
              <w:t>£000</w:t>
            </w:r>
          </w:p>
        </w:tc>
        <w:tc>
          <w:tcPr>
            <w:tcW w:w="3601" w:type="dxa"/>
            <w:tcBorders>
              <w:top w:val="nil"/>
              <w:left w:val="nil"/>
              <w:bottom w:val="nil"/>
              <w:right w:val="nil"/>
            </w:tcBorders>
            <w:vAlign w:val="center"/>
            <w:hideMark/>
          </w:tcPr>
          <w:p w14:paraId="712AECB8" w14:textId="77777777" w:rsidR="004B35C4" w:rsidRPr="004B53FC" w:rsidRDefault="004B35C4" w:rsidP="004B35C4">
            <w:pPr>
              <w:jc w:val="right"/>
              <w:rPr>
                <w:rFonts w:ascii="Arial" w:hAnsi="Arial" w:cs="Arial"/>
                <w:b/>
                <w:bCs/>
                <w:color w:val="000000"/>
                <w:sz w:val="22"/>
                <w:szCs w:val="22"/>
              </w:rPr>
            </w:pPr>
          </w:p>
        </w:tc>
        <w:tc>
          <w:tcPr>
            <w:tcW w:w="1444" w:type="dxa"/>
            <w:tcBorders>
              <w:top w:val="nil"/>
              <w:left w:val="nil"/>
              <w:bottom w:val="nil"/>
              <w:right w:val="nil"/>
            </w:tcBorders>
            <w:vAlign w:val="center"/>
            <w:hideMark/>
          </w:tcPr>
          <w:p w14:paraId="16C83054" w14:textId="77777777" w:rsidR="004B35C4" w:rsidRPr="004B53FC" w:rsidRDefault="004B35C4" w:rsidP="004B35C4">
            <w:pPr>
              <w:jc w:val="right"/>
              <w:rPr>
                <w:rFonts w:ascii="Arial" w:hAnsi="Arial" w:cs="Arial"/>
                <w:b/>
                <w:bCs/>
                <w:color w:val="000000"/>
                <w:sz w:val="22"/>
                <w:szCs w:val="22"/>
              </w:rPr>
            </w:pPr>
            <w:r w:rsidRPr="004B53FC">
              <w:rPr>
                <w:rFonts w:ascii="Arial" w:hAnsi="Arial" w:cs="Arial"/>
                <w:b/>
                <w:bCs/>
                <w:color w:val="000000"/>
                <w:sz w:val="22"/>
                <w:szCs w:val="22"/>
              </w:rPr>
              <w:t>£000</w:t>
            </w:r>
          </w:p>
        </w:tc>
        <w:tc>
          <w:tcPr>
            <w:tcW w:w="1470" w:type="dxa"/>
            <w:tcBorders>
              <w:top w:val="nil"/>
              <w:left w:val="nil"/>
              <w:bottom w:val="nil"/>
              <w:right w:val="single" w:sz="8" w:space="0" w:color="auto"/>
            </w:tcBorders>
            <w:shd w:val="clear" w:color="auto" w:fill="D0CECE"/>
            <w:vAlign w:val="center"/>
            <w:hideMark/>
          </w:tcPr>
          <w:p w14:paraId="18F2C622" w14:textId="77777777" w:rsidR="004B35C4" w:rsidRPr="004B53FC" w:rsidRDefault="004B35C4" w:rsidP="004B35C4">
            <w:pPr>
              <w:jc w:val="right"/>
              <w:rPr>
                <w:rFonts w:ascii="Arial" w:hAnsi="Arial" w:cs="Arial"/>
                <w:b/>
                <w:bCs/>
                <w:color w:val="000000"/>
                <w:sz w:val="22"/>
                <w:szCs w:val="22"/>
              </w:rPr>
            </w:pPr>
            <w:r w:rsidRPr="004B53FC">
              <w:rPr>
                <w:rFonts w:ascii="Arial" w:hAnsi="Arial" w:cs="Arial"/>
                <w:b/>
                <w:bCs/>
                <w:color w:val="000000"/>
                <w:sz w:val="22"/>
                <w:szCs w:val="22"/>
              </w:rPr>
              <w:t>£000</w:t>
            </w:r>
          </w:p>
        </w:tc>
      </w:tr>
      <w:tr w:rsidR="004B35C4" w:rsidRPr="004B53FC" w14:paraId="7A2A3EDB" w14:textId="77777777" w:rsidTr="00B35BF3">
        <w:trPr>
          <w:trHeight w:val="218"/>
        </w:trPr>
        <w:tc>
          <w:tcPr>
            <w:tcW w:w="1396" w:type="dxa"/>
            <w:tcBorders>
              <w:top w:val="nil"/>
              <w:left w:val="single" w:sz="4" w:space="0" w:color="auto"/>
              <w:bottom w:val="nil"/>
              <w:right w:val="nil"/>
            </w:tcBorders>
            <w:vAlign w:val="center"/>
            <w:hideMark/>
          </w:tcPr>
          <w:p w14:paraId="22CA1D98" w14:textId="77777777" w:rsidR="004B35C4" w:rsidRPr="004B53FC" w:rsidRDefault="004B35C4" w:rsidP="004B35C4">
            <w:pPr>
              <w:rPr>
                <w:color w:val="000000"/>
              </w:rPr>
            </w:pPr>
            <w:r w:rsidRPr="004B53FC">
              <w:rPr>
                <w:color w:val="000000"/>
              </w:rPr>
              <w:t> </w:t>
            </w:r>
          </w:p>
        </w:tc>
        <w:tc>
          <w:tcPr>
            <w:tcW w:w="1543" w:type="dxa"/>
            <w:tcBorders>
              <w:top w:val="nil"/>
              <w:left w:val="nil"/>
              <w:bottom w:val="nil"/>
              <w:right w:val="nil"/>
            </w:tcBorders>
            <w:shd w:val="clear" w:color="000000" w:fill="CCCCCC"/>
            <w:vAlign w:val="center"/>
            <w:hideMark/>
          </w:tcPr>
          <w:p w14:paraId="3EDE0E69" w14:textId="77777777" w:rsidR="004B35C4" w:rsidRPr="004B53FC" w:rsidRDefault="004B35C4" w:rsidP="004B35C4">
            <w:pPr>
              <w:rPr>
                <w:color w:val="000000"/>
              </w:rPr>
            </w:pPr>
            <w:r w:rsidRPr="004B53FC">
              <w:rPr>
                <w:color w:val="000000"/>
              </w:rPr>
              <w:t> </w:t>
            </w:r>
          </w:p>
        </w:tc>
        <w:tc>
          <w:tcPr>
            <w:tcW w:w="3601" w:type="dxa"/>
            <w:tcBorders>
              <w:top w:val="nil"/>
              <w:left w:val="nil"/>
              <w:bottom w:val="nil"/>
              <w:right w:val="nil"/>
            </w:tcBorders>
            <w:vAlign w:val="center"/>
            <w:hideMark/>
          </w:tcPr>
          <w:p w14:paraId="67DBA2D7" w14:textId="77777777" w:rsidR="004B35C4" w:rsidRPr="004B53FC" w:rsidRDefault="004B35C4" w:rsidP="004B35C4">
            <w:pPr>
              <w:rPr>
                <w:rFonts w:ascii="Arial" w:hAnsi="Arial" w:cs="Arial"/>
                <w:color w:val="000000"/>
                <w:sz w:val="22"/>
                <w:szCs w:val="22"/>
              </w:rPr>
            </w:pPr>
            <w:r w:rsidRPr="004B53FC">
              <w:rPr>
                <w:rFonts w:ascii="Arial" w:hAnsi="Arial" w:cs="Arial"/>
                <w:color w:val="000000"/>
                <w:sz w:val="22"/>
                <w:szCs w:val="22"/>
              </w:rPr>
              <w:t>Debtors comprise:</w:t>
            </w:r>
          </w:p>
        </w:tc>
        <w:tc>
          <w:tcPr>
            <w:tcW w:w="1444" w:type="dxa"/>
            <w:tcBorders>
              <w:top w:val="nil"/>
              <w:left w:val="nil"/>
              <w:bottom w:val="nil"/>
              <w:right w:val="nil"/>
            </w:tcBorders>
            <w:vAlign w:val="center"/>
            <w:hideMark/>
          </w:tcPr>
          <w:p w14:paraId="700303FE" w14:textId="77777777" w:rsidR="004B35C4" w:rsidRPr="004B53FC" w:rsidRDefault="004B35C4" w:rsidP="004B35C4">
            <w:pPr>
              <w:rPr>
                <w:rFonts w:ascii="Arial" w:hAnsi="Arial" w:cs="Arial"/>
                <w:color w:val="000000"/>
                <w:sz w:val="22"/>
                <w:szCs w:val="22"/>
              </w:rPr>
            </w:pPr>
          </w:p>
        </w:tc>
        <w:tc>
          <w:tcPr>
            <w:tcW w:w="1470" w:type="dxa"/>
            <w:tcBorders>
              <w:top w:val="nil"/>
              <w:left w:val="nil"/>
              <w:bottom w:val="nil"/>
              <w:right w:val="single" w:sz="8" w:space="0" w:color="auto"/>
            </w:tcBorders>
            <w:shd w:val="clear" w:color="000000" w:fill="D0CECE"/>
            <w:vAlign w:val="center"/>
            <w:hideMark/>
          </w:tcPr>
          <w:p w14:paraId="3EBD2B13" w14:textId="77777777" w:rsidR="004B35C4" w:rsidRPr="004B53FC" w:rsidRDefault="004B35C4" w:rsidP="004B35C4">
            <w:pPr>
              <w:jc w:val="right"/>
              <w:rPr>
                <w:rFonts w:ascii="Arial" w:hAnsi="Arial" w:cs="Arial"/>
                <w:color w:val="000000"/>
                <w:sz w:val="22"/>
                <w:szCs w:val="22"/>
              </w:rPr>
            </w:pPr>
            <w:r w:rsidRPr="004B53FC">
              <w:rPr>
                <w:rFonts w:ascii="Arial" w:hAnsi="Arial" w:cs="Arial"/>
                <w:color w:val="000000"/>
                <w:sz w:val="22"/>
                <w:szCs w:val="22"/>
              </w:rPr>
              <w:t> </w:t>
            </w:r>
          </w:p>
        </w:tc>
      </w:tr>
      <w:tr w:rsidR="0055223A" w:rsidRPr="004B53FC" w14:paraId="40E9EB9E" w14:textId="77777777" w:rsidTr="004B53FC">
        <w:trPr>
          <w:trHeight w:val="218"/>
        </w:trPr>
        <w:tc>
          <w:tcPr>
            <w:tcW w:w="1396" w:type="dxa"/>
            <w:tcBorders>
              <w:top w:val="nil"/>
              <w:left w:val="single" w:sz="4" w:space="0" w:color="auto"/>
              <w:bottom w:val="nil"/>
              <w:right w:val="nil"/>
            </w:tcBorders>
            <w:vAlign w:val="center"/>
            <w:hideMark/>
          </w:tcPr>
          <w:p w14:paraId="41BA5849" w14:textId="43957FB3" w:rsidR="0055223A" w:rsidRPr="004B53FC" w:rsidRDefault="008B0FD3" w:rsidP="0055223A">
            <w:pPr>
              <w:jc w:val="right"/>
              <w:rPr>
                <w:rFonts w:ascii="Arial" w:hAnsi="Arial" w:cs="Arial"/>
                <w:color w:val="000000"/>
                <w:sz w:val="22"/>
                <w:szCs w:val="22"/>
              </w:rPr>
            </w:pPr>
            <w:r>
              <w:rPr>
                <w:rFonts w:ascii="Arial" w:hAnsi="Arial" w:cs="Arial"/>
                <w:color w:val="000000"/>
                <w:sz w:val="22"/>
                <w:szCs w:val="22"/>
              </w:rPr>
              <w:t>7,</w:t>
            </w:r>
            <w:r w:rsidR="00CB68BF">
              <w:rPr>
                <w:rFonts w:ascii="Arial" w:hAnsi="Arial" w:cs="Arial"/>
                <w:color w:val="000000"/>
                <w:sz w:val="22"/>
                <w:szCs w:val="22"/>
              </w:rPr>
              <w:t>072</w:t>
            </w:r>
          </w:p>
        </w:tc>
        <w:tc>
          <w:tcPr>
            <w:tcW w:w="1543" w:type="dxa"/>
            <w:tcBorders>
              <w:top w:val="nil"/>
              <w:left w:val="nil"/>
              <w:bottom w:val="nil"/>
              <w:right w:val="nil"/>
            </w:tcBorders>
            <w:shd w:val="clear" w:color="000000" w:fill="CCCCCC"/>
            <w:vAlign w:val="center"/>
            <w:hideMark/>
          </w:tcPr>
          <w:p w14:paraId="24D9C4C2" w14:textId="76C614EE" w:rsidR="0055223A" w:rsidRPr="00891737" w:rsidRDefault="0055223A" w:rsidP="0055223A">
            <w:pPr>
              <w:jc w:val="right"/>
              <w:rPr>
                <w:rFonts w:ascii="Arial" w:hAnsi="Arial" w:cs="Arial"/>
                <w:b/>
                <w:bCs/>
                <w:color w:val="000000"/>
                <w:sz w:val="22"/>
                <w:szCs w:val="22"/>
              </w:rPr>
            </w:pPr>
            <w:r w:rsidRPr="004D5349">
              <w:rPr>
                <w:rFonts w:ascii="Arial" w:hAnsi="Arial" w:cs="Arial"/>
                <w:b/>
                <w:bCs/>
                <w:sz w:val="22"/>
                <w:szCs w:val="22"/>
              </w:rPr>
              <w:t>8,</w:t>
            </w:r>
            <w:r w:rsidR="00F921BF" w:rsidRPr="004D5349">
              <w:rPr>
                <w:rFonts w:ascii="Arial" w:hAnsi="Arial" w:cs="Arial"/>
                <w:b/>
                <w:bCs/>
                <w:sz w:val="22"/>
                <w:szCs w:val="22"/>
              </w:rPr>
              <w:t>200</w:t>
            </w:r>
          </w:p>
        </w:tc>
        <w:tc>
          <w:tcPr>
            <w:tcW w:w="3601" w:type="dxa"/>
            <w:tcBorders>
              <w:top w:val="nil"/>
              <w:left w:val="nil"/>
              <w:bottom w:val="nil"/>
              <w:right w:val="nil"/>
            </w:tcBorders>
            <w:vAlign w:val="center"/>
            <w:hideMark/>
          </w:tcPr>
          <w:p w14:paraId="515E10F4" w14:textId="77777777" w:rsidR="0055223A" w:rsidRPr="004B53FC" w:rsidRDefault="0055223A" w:rsidP="0055223A">
            <w:pPr>
              <w:rPr>
                <w:rFonts w:ascii="Arial" w:hAnsi="Arial" w:cs="Arial"/>
                <w:color w:val="000000"/>
                <w:sz w:val="22"/>
                <w:szCs w:val="22"/>
              </w:rPr>
            </w:pPr>
            <w:r w:rsidRPr="004B53FC">
              <w:rPr>
                <w:rFonts w:ascii="Arial" w:hAnsi="Arial" w:cs="Arial"/>
                <w:color w:val="000000"/>
                <w:sz w:val="22"/>
                <w:szCs w:val="22"/>
              </w:rPr>
              <w:t>Trade debtors</w:t>
            </w:r>
          </w:p>
        </w:tc>
        <w:tc>
          <w:tcPr>
            <w:tcW w:w="1444" w:type="dxa"/>
            <w:tcBorders>
              <w:top w:val="nil"/>
              <w:left w:val="nil"/>
              <w:bottom w:val="nil"/>
              <w:right w:val="single" w:sz="8" w:space="0" w:color="auto"/>
            </w:tcBorders>
            <w:vAlign w:val="center"/>
            <w:hideMark/>
          </w:tcPr>
          <w:p w14:paraId="20BD4F9D" w14:textId="451F90C3" w:rsidR="0055223A" w:rsidRPr="004B53FC" w:rsidRDefault="00990A8B" w:rsidP="0055223A">
            <w:pPr>
              <w:jc w:val="right"/>
              <w:rPr>
                <w:rFonts w:ascii="Arial" w:hAnsi="Arial" w:cs="Arial"/>
                <w:color w:val="000000"/>
                <w:sz w:val="22"/>
                <w:szCs w:val="22"/>
              </w:rPr>
            </w:pPr>
            <w:r>
              <w:rPr>
                <w:rFonts w:ascii="Arial" w:hAnsi="Arial" w:cs="Arial"/>
                <w:color w:val="000000"/>
                <w:sz w:val="22"/>
                <w:szCs w:val="22"/>
              </w:rPr>
              <w:t>7,</w:t>
            </w:r>
            <w:r w:rsidR="00CB68BF">
              <w:rPr>
                <w:rFonts w:ascii="Arial" w:hAnsi="Arial" w:cs="Arial"/>
                <w:color w:val="000000"/>
                <w:sz w:val="22"/>
                <w:szCs w:val="22"/>
              </w:rPr>
              <w:t>072</w:t>
            </w:r>
          </w:p>
        </w:tc>
        <w:tc>
          <w:tcPr>
            <w:tcW w:w="1470" w:type="dxa"/>
            <w:tcBorders>
              <w:top w:val="nil"/>
              <w:left w:val="nil"/>
              <w:bottom w:val="nil"/>
              <w:right w:val="single" w:sz="8" w:space="0" w:color="auto"/>
            </w:tcBorders>
            <w:shd w:val="clear" w:color="000000" w:fill="D0CECE"/>
            <w:vAlign w:val="center"/>
            <w:hideMark/>
          </w:tcPr>
          <w:p w14:paraId="19A3EDE3" w14:textId="7DEDBBB9" w:rsidR="0055223A" w:rsidRPr="004B53FC" w:rsidRDefault="0055223A" w:rsidP="0055223A">
            <w:pPr>
              <w:jc w:val="right"/>
              <w:rPr>
                <w:rFonts w:ascii="Arial" w:hAnsi="Arial" w:cs="Arial"/>
                <w:color w:val="000000"/>
                <w:sz w:val="22"/>
                <w:szCs w:val="22"/>
              </w:rPr>
            </w:pPr>
            <w:r>
              <w:rPr>
                <w:rFonts w:ascii="Arial" w:hAnsi="Arial" w:cs="Arial"/>
                <w:b/>
                <w:bCs/>
                <w:color w:val="000000"/>
                <w:sz w:val="22"/>
                <w:szCs w:val="22"/>
              </w:rPr>
              <w:t>8,</w:t>
            </w:r>
            <w:r w:rsidR="00F921BF">
              <w:rPr>
                <w:rFonts w:ascii="Arial" w:hAnsi="Arial" w:cs="Arial"/>
                <w:b/>
                <w:bCs/>
                <w:color w:val="000000"/>
                <w:sz w:val="22"/>
                <w:szCs w:val="22"/>
              </w:rPr>
              <w:t>200</w:t>
            </w:r>
          </w:p>
        </w:tc>
      </w:tr>
      <w:tr w:rsidR="0055223A" w:rsidRPr="004B53FC" w14:paraId="3E7C76C5" w14:textId="77777777" w:rsidTr="004B53FC">
        <w:trPr>
          <w:trHeight w:val="218"/>
        </w:trPr>
        <w:tc>
          <w:tcPr>
            <w:tcW w:w="1396" w:type="dxa"/>
            <w:tcBorders>
              <w:top w:val="nil"/>
              <w:left w:val="single" w:sz="4" w:space="0" w:color="auto"/>
              <w:bottom w:val="nil"/>
              <w:right w:val="nil"/>
            </w:tcBorders>
            <w:vAlign w:val="center"/>
            <w:hideMark/>
          </w:tcPr>
          <w:p w14:paraId="6900D12E" w14:textId="547FB74B" w:rsidR="0055223A" w:rsidRPr="004B53FC" w:rsidRDefault="0055223A" w:rsidP="0055223A">
            <w:pPr>
              <w:jc w:val="right"/>
              <w:rPr>
                <w:rFonts w:ascii="Arial" w:hAnsi="Arial" w:cs="Arial"/>
                <w:color w:val="000000"/>
                <w:sz w:val="22"/>
                <w:szCs w:val="22"/>
              </w:rPr>
            </w:pPr>
            <w:r>
              <w:rPr>
                <w:rFonts w:ascii="Arial" w:hAnsi="Arial" w:cs="Arial"/>
                <w:color w:val="000000"/>
                <w:sz w:val="22"/>
                <w:szCs w:val="22"/>
              </w:rPr>
              <w:t>9</w:t>
            </w:r>
            <w:r w:rsidRPr="004B53FC">
              <w:rPr>
                <w:rFonts w:ascii="Arial" w:hAnsi="Arial" w:cs="Arial"/>
                <w:color w:val="000000"/>
                <w:sz w:val="22"/>
                <w:szCs w:val="22"/>
              </w:rPr>
              <w:t>,</w:t>
            </w:r>
            <w:r>
              <w:rPr>
                <w:rFonts w:ascii="Arial" w:hAnsi="Arial" w:cs="Arial"/>
                <w:color w:val="000000"/>
                <w:sz w:val="22"/>
                <w:szCs w:val="22"/>
              </w:rPr>
              <w:t>244</w:t>
            </w:r>
          </w:p>
        </w:tc>
        <w:tc>
          <w:tcPr>
            <w:tcW w:w="1543" w:type="dxa"/>
            <w:tcBorders>
              <w:top w:val="nil"/>
              <w:left w:val="nil"/>
              <w:bottom w:val="nil"/>
              <w:right w:val="nil"/>
            </w:tcBorders>
            <w:shd w:val="clear" w:color="000000" w:fill="CCCCCC"/>
            <w:vAlign w:val="center"/>
            <w:hideMark/>
          </w:tcPr>
          <w:p w14:paraId="5F65C82C" w14:textId="2FCC91F0" w:rsidR="0055223A" w:rsidRPr="00891737" w:rsidRDefault="0055223A" w:rsidP="0055223A">
            <w:pPr>
              <w:jc w:val="right"/>
              <w:rPr>
                <w:rFonts w:ascii="Arial" w:hAnsi="Arial" w:cs="Arial"/>
                <w:b/>
                <w:bCs/>
                <w:color w:val="000000"/>
                <w:sz w:val="22"/>
                <w:szCs w:val="22"/>
              </w:rPr>
            </w:pPr>
            <w:r w:rsidRPr="00891737">
              <w:rPr>
                <w:rFonts w:ascii="Arial" w:hAnsi="Arial" w:cs="Arial"/>
                <w:b/>
                <w:bCs/>
                <w:color w:val="000000"/>
                <w:sz w:val="22"/>
                <w:szCs w:val="22"/>
              </w:rPr>
              <w:t>10,924</w:t>
            </w:r>
          </w:p>
        </w:tc>
        <w:tc>
          <w:tcPr>
            <w:tcW w:w="3601" w:type="dxa"/>
            <w:tcBorders>
              <w:top w:val="nil"/>
              <w:left w:val="nil"/>
              <w:bottom w:val="nil"/>
              <w:right w:val="nil"/>
            </w:tcBorders>
            <w:vAlign w:val="center"/>
            <w:hideMark/>
          </w:tcPr>
          <w:p w14:paraId="5EBD207E" w14:textId="77777777" w:rsidR="0055223A" w:rsidRPr="004B53FC" w:rsidRDefault="0055223A" w:rsidP="0055223A">
            <w:pPr>
              <w:rPr>
                <w:rFonts w:ascii="Arial" w:hAnsi="Arial" w:cs="Arial"/>
                <w:color w:val="000000"/>
                <w:sz w:val="22"/>
                <w:szCs w:val="22"/>
              </w:rPr>
            </w:pPr>
            <w:r w:rsidRPr="004B53FC">
              <w:rPr>
                <w:rFonts w:ascii="Arial" w:hAnsi="Arial" w:cs="Arial"/>
                <w:color w:val="000000"/>
                <w:sz w:val="22"/>
                <w:szCs w:val="22"/>
              </w:rPr>
              <w:t>Share of council tax debtors</w:t>
            </w:r>
          </w:p>
        </w:tc>
        <w:tc>
          <w:tcPr>
            <w:tcW w:w="1444" w:type="dxa"/>
            <w:tcBorders>
              <w:top w:val="nil"/>
              <w:left w:val="nil"/>
              <w:bottom w:val="nil"/>
              <w:right w:val="single" w:sz="8" w:space="0" w:color="auto"/>
            </w:tcBorders>
            <w:vAlign w:val="center"/>
            <w:hideMark/>
          </w:tcPr>
          <w:p w14:paraId="189459D1" w14:textId="0F6BE184" w:rsidR="0055223A" w:rsidRPr="004B53FC" w:rsidRDefault="0055223A" w:rsidP="0055223A">
            <w:pPr>
              <w:jc w:val="right"/>
              <w:rPr>
                <w:rFonts w:ascii="Arial" w:hAnsi="Arial" w:cs="Arial"/>
                <w:color w:val="000000"/>
                <w:sz w:val="22"/>
                <w:szCs w:val="22"/>
              </w:rPr>
            </w:pPr>
            <w:r>
              <w:rPr>
                <w:rFonts w:ascii="Arial" w:hAnsi="Arial" w:cs="Arial"/>
                <w:color w:val="000000"/>
                <w:sz w:val="22"/>
                <w:szCs w:val="22"/>
              </w:rPr>
              <w:t>9</w:t>
            </w:r>
            <w:r w:rsidRPr="004B53FC">
              <w:rPr>
                <w:rFonts w:ascii="Arial" w:hAnsi="Arial" w:cs="Arial"/>
                <w:color w:val="000000"/>
                <w:sz w:val="22"/>
                <w:szCs w:val="22"/>
              </w:rPr>
              <w:t>,</w:t>
            </w:r>
            <w:r>
              <w:rPr>
                <w:rFonts w:ascii="Arial" w:hAnsi="Arial" w:cs="Arial"/>
                <w:color w:val="000000"/>
                <w:sz w:val="22"/>
                <w:szCs w:val="22"/>
              </w:rPr>
              <w:t>244</w:t>
            </w:r>
          </w:p>
        </w:tc>
        <w:tc>
          <w:tcPr>
            <w:tcW w:w="1470" w:type="dxa"/>
            <w:tcBorders>
              <w:top w:val="nil"/>
              <w:left w:val="nil"/>
              <w:bottom w:val="nil"/>
              <w:right w:val="single" w:sz="8" w:space="0" w:color="auto"/>
            </w:tcBorders>
            <w:shd w:val="clear" w:color="000000" w:fill="D0CECE"/>
            <w:vAlign w:val="center"/>
            <w:hideMark/>
          </w:tcPr>
          <w:p w14:paraId="0E466AD0" w14:textId="01BE1A70" w:rsidR="0055223A" w:rsidRPr="004B53FC" w:rsidRDefault="0055223A" w:rsidP="0055223A">
            <w:pPr>
              <w:jc w:val="right"/>
              <w:rPr>
                <w:rFonts w:ascii="Arial" w:hAnsi="Arial" w:cs="Arial"/>
                <w:color w:val="000000"/>
                <w:sz w:val="22"/>
                <w:szCs w:val="22"/>
              </w:rPr>
            </w:pPr>
            <w:r>
              <w:rPr>
                <w:rFonts w:ascii="Arial" w:hAnsi="Arial" w:cs="Arial"/>
                <w:b/>
                <w:bCs/>
                <w:color w:val="000000"/>
                <w:sz w:val="22"/>
                <w:szCs w:val="22"/>
              </w:rPr>
              <w:t>10,924</w:t>
            </w:r>
          </w:p>
        </w:tc>
      </w:tr>
      <w:tr w:rsidR="0055223A" w:rsidRPr="004B53FC" w14:paraId="24844F04" w14:textId="77777777" w:rsidTr="004B53FC">
        <w:trPr>
          <w:trHeight w:val="218"/>
        </w:trPr>
        <w:tc>
          <w:tcPr>
            <w:tcW w:w="1396" w:type="dxa"/>
            <w:tcBorders>
              <w:top w:val="nil"/>
              <w:left w:val="single" w:sz="4" w:space="0" w:color="auto"/>
              <w:bottom w:val="nil"/>
              <w:right w:val="nil"/>
            </w:tcBorders>
            <w:vAlign w:val="center"/>
            <w:hideMark/>
          </w:tcPr>
          <w:p w14:paraId="47E528CD" w14:textId="7146E179" w:rsidR="0055223A" w:rsidRPr="004B53FC" w:rsidRDefault="0055223A" w:rsidP="0055223A">
            <w:pPr>
              <w:jc w:val="right"/>
              <w:rPr>
                <w:rFonts w:ascii="Arial" w:hAnsi="Arial" w:cs="Arial"/>
                <w:color w:val="000000"/>
                <w:sz w:val="22"/>
                <w:szCs w:val="22"/>
              </w:rPr>
            </w:pPr>
            <w:r w:rsidRPr="004B53FC">
              <w:rPr>
                <w:rFonts w:ascii="Arial" w:hAnsi="Arial" w:cs="Arial"/>
                <w:color w:val="000000"/>
                <w:sz w:val="22"/>
                <w:szCs w:val="22"/>
              </w:rPr>
              <w:t>2,</w:t>
            </w:r>
            <w:r>
              <w:rPr>
                <w:rFonts w:ascii="Arial" w:hAnsi="Arial" w:cs="Arial"/>
                <w:color w:val="000000"/>
                <w:sz w:val="22"/>
                <w:szCs w:val="22"/>
              </w:rPr>
              <w:t>847</w:t>
            </w:r>
          </w:p>
        </w:tc>
        <w:tc>
          <w:tcPr>
            <w:tcW w:w="1543" w:type="dxa"/>
            <w:tcBorders>
              <w:top w:val="nil"/>
              <w:left w:val="nil"/>
              <w:bottom w:val="nil"/>
              <w:right w:val="nil"/>
            </w:tcBorders>
            <w:shd w:val="clear" w:color="000000" w:fill="CCCCCC"/>
            <w:vAlign w:val="center"/>
            <w:hideMark/>
          </w:tcPr>
          <w:p w14:paraId="3D5B1405" w14:textId="788343D3" w:rsidR="0055223A" w:rsidRPr="00891737" w:rsidRDefault="0055223A" w:rsidP="0055223A">
            <w:pPr>
              <w:jc w:val="right"/>
              <w:rPr>
                <w:rFonts w:ascii="Arial" w:hAnsi="Arial" w:cs="Arial"/>
                <w:b/>
                <w:bCs/>
                <w:color w:val="000000"/>
                <w:sz w:val="22"/>
                <w:szCs w:val="22"/>
              </w:rPr>
            </w:pPr>
            <w:r w:rsidRPr="00891737">
              <w:rPr>
                <w:rFonts w:ascii="Arial" w:hAnsi="Arial" w:cs="Arial"/>
                <w:b/>
                <w:bCs/>
                <w:color w:val="000000"/>
                <w:sz w:val="22"/>
                <w:szCs w:val="22"/>
              </w:rPr>
              <w:t>2,593</w:t>
            </w:r>
          </w:p>
        </w:tc>
        <w:tc>
          <w:tcPr>
            <w:tcW w:w="3601" w:type="dxa"/>
            <w:tcBorders>
              <w:top w:val="nil"/>
              <w:left w:val="nil"/>
              <w:bottom w:val="nil"/>
              <w:right w:val="nil"/>
            </w:tcBorders>
            <w:vAlign w:val="center"/>
            <w:hideMark/>
          </w:tcPr>
          <w:p w14:paraId="6A1BCB98" w14:textId="77777777" w:rsidR="0055223A" w:rsidRPr="004B53FC" w:rsidRDefault="0055223A" w:rsidP="0055223A">
            <w:pPr>
              <w:rPr>
                <w:rFonts w:ascii="Arial" w:hAnsi="Arial" w:cs="Arial"/>
                <w:color w:val="000000"/>
                <w:sz w:val="22"/>
                <w:szCs w:val="22"/>
              </w:rPr>
            </w:pPr>
            <w:r w:rsidRPr="004B53FC">
              <w:rPr>
                <w:rFonts w:ascii="Arial" w:hAnsi="Arial" w:cs="Arial"/>
                <w:color w:val="000000"/>
                <w:sz w:val="22"/>
                <w:szCs w:val="22"/>
              </w:rPr>
              <w:t>Tax &amp; Social Security</w:t>
            </w:r>
          </w:p>
        </w:tc>
        <w:tc>
          <w:tcPr>
            <w:tcW w:w="1444" w:type="dxa"/>
            <w:tcBorders>
              <w:top w:val="nil"/>
              <w:left w:val="nil"/>
              <w:bottom w:val="nil"/>
              <w:right w:val="single" w:sz="8" w:space="0" w:color="auto"/>
            </w:tcBorders>
            <w:vAlign w:val="center"/>
            <w:hideMark/>
          </w:tcPr>
          <w:p w14:paraId="475E86DF" w14:textId="02CA6968" w:rsidR="0055223A" w:rsidRPr="004B53FC" w:rsidRDefault="0055223A" w:rsidP="0055223A">
            <w:pPr>
              <w:jc w:val="right"/>
              <w:rPr>
                <w:rFonts w:ascii="Arial" w:hAnsi="Arial" w:cs="Arial"/>
                <w:color w:val="000000"/>
                <w:sz w:val="22"/>
                <w:szCs w:val="22"/>
              </w:rPr>
            </w:pPr>
            <w:r w:rsidRPr="004B53FC">
              <w:rPr>
                <w:rFonts w:ascii="Arial" w:hAnsi="Arial" w:cs="Arial"/>
                <w:color w:val="000000"/>
                <w:sz w:val="22"/>
                <w:szCs w:val="22"/>
              </w:rPr>
              <w:t>2,</w:t>
            </w:r>
            <w:r>
              <w:rPr>
                <w:rFonts w:ascii="Arial" w:hAnsi="Arial" w:cs="Arial"/>
                <w:color w:val="000000"/>
                <w:sz w:val="22"/>
                <w:szCs w:val="22"/>
              </w:rPr>
              <w:t>847</w:t>
            </w:r>
          </w:p>
        </w:tc>
        <w:tc>
          <w:tcPr>
            <w:tcW w:w="1470" w:type="dxa"/>
            <w:tcBorders>
              <w:top w:val="nil"/>
              <w:left w:val="nil"/>
              <w:bottom w:val="nil"/>
              <w:right w:val="single" w:sz="8" w:space="0" w:color="auto"/>
            </w:tcBorders>
            <w:shd w:val="clear" w:color="000000" w:fill="D0CECE"/>
            <w:vAlign w:val="center"/>
            <w:hideMark/>
          </w:tcPr>
          <w:p w14:paraId="1068EE22" w14:textId="72EA8FD3" w:rsidR="0055223A" w:rsidRPr="004B53FC" w:rsidRDefault="0055223A" w:rsidP="0055223A">
            <w:pPr>
              <w:jc w:val="right"/>
              <w:rPr>
                <w:rFonts w:ascii="Arial" w:hAnsi="Arial" w:cs="Arial"/>
                <w:color w:val="000000"/>
                <w:sz w:val="22"/>
                <w:szCs w:val="22"/>
              </w:rPr>
            </w:pPr>
            <w:r>
              <w:rPr>
                <w:rFonts w:ascii="Arial" w:hAnsi="Arial" w:cs="Arial"/>
                <w:b/>
                <w:bCs/>
                <w:color w:val="000000"/>
                <w:sz w:val="22"/>
                <w:szCs w:val="22"/>
              </w:rPr>
              <w:t>2,593</w:t>
            </w:r>
          </w:p>
        </w:tc>
      </w:tr>
      <w:tr w:rsidR="0055223A" w:rsidRPr="004B53FC" w14:paraId="3212CD91" w14:textId="77777777" w:rsidTr="004B53FC">
        <w:trPr>
          <w:trHeight w:val="218"/>
        </w:trPr>
        <w:tc>
          <w:tcPr>
            <w:tcW w:w="1396" w:type="dxa"/>
            <w:tcBorders>
              <w:top w:val="nil"/>
              <w:left w:val="single" w:sz="4" w:space="0" w:color="auto"/>
              <w:bottom w:val="nil"/>
              <w:right w:val="nil"/>
            </w:tcBorders>
            <w:vAlign w:val="center"/>
            <w:hideMark/>
          </w:tcPr>
          <w:p w14:paraId="02D81CEE" w14:textId="1DFA3C9D" w:rsidR="0055223A" w:rsidRPr="004B53FC" w:rsidRDefault="00990A8B" w:rsidP="0055223A">
            <w:pPr>
              <w:jc w:val="right"/>
              <w:rPr>
                <w:rFonts w:ascii="Arial" w:hAnsi="Arial" w:cs="Arial"/>
                <w:color w:val="000000"/>
                <w:sz w:val="22"/>
                <w:szCs w:val="22"/>
              </w:rPr>
            </w:pPr>
            <w:r>
              <w:rPr>
                <w:rFonts w:ascii="Arial" w:hAnsi="Arial" w:cs="Arial"/>
                <w:color w:val="000000"/>
                <w:sz w:val="22"/>
                <w:szCs w:val="22"/>
              </w:rPr>
              <w:t>25,</w:t>
            </w:r>
            <w:r w:rsidR="00CB68BF">
              <w:rPr>
                <w:rFonts w:ascii="Arial" w:hAnsi="Arial" w:cs="Arial"/>
                <w:color w:val="000000"/>
                <w:sz w:val="22"/>
                <w:szCs w:val="22"/>
              </w:rPr>
              <w:t>799</w:t>
            </w:r>
          </w:p>
        </w:tc>
        <w:tc>
          <w:tcPr>
            <w:tcW w:w="1543" w:type="dxa"/>
            <w:tcBorders>
              <w:top w:val="nil"/>
              <w:left w:val="nil"/>
              <w:bottom w:val="nil"/>
              <w:right w:val="nil"/>
            </w:tcBorders>
            <w:shd w:val="clear" w:color="000000" w:fill="CCCCCC"/>
            <w:vAlign w:val="center"/>
            <w:hideMark/>
          </w:tcPr>
          <w:p w14:paraId="37DA8D16" w14:textId="56FC0466" w:rsidR="0055223A" w:rsidRPr="00891737" w:rsidRDefault="0055223A" w:rsidP="0055223A">
            <w:pPr>
              <w:jc w:val="right"/>
              <w:rPr>
                <w:rFonts w:ascii="Arial" w:hAnsi="Arial" w:cs="Arial"/>
                <w:b/>
                <w:bCs/>
                <w:color w:val="000000"/>
                <w:sz w:val="22"/>
                <w:szCs w:val="22"/>
              </w:rPr>
            </w:pPr>
            <w:r w:rsidRPr="00891737">
              <w:rPr>
                <w:rFonts w:ascii="Arial" w:hAnsi="Arial" w:cs="Arial"/>
                <w:b/>
                <w:bCs/>
                <w:color w:val="000000"/>
                <w:sz w:val="22"/>
                <w:szCs w:val="22"/>
              </w:rPr>
              <w:t>32,</w:t>
            </w:r>
            <w:r w:rsidR="00F921BF">
              <w:rPr>
                <w:rFonts w:ascii="Arial" w:hAnsi="Arial" w:cs="Arial"/>
                <w:b/>
                <w:bCs/>
                <w:color w:val="000000"/>
                <w:sz w:val="22"/>
                <w:szCs w:val="22"/>
              </w:rPr>
              <w:t>637</w:t>
            </w:r>
          </w:p>
        </w:tc>
        <w:tc>
          <w:tcPr>
            <w:tcW w:w="3601" w:type="dxa"/>
            <w:tcBorders>
              <w:top w:val="nil"/>
              <w:left w:val="nil"/>
              <w:bottom w:val="nil"/>
              <w:right w:val="nil"/>
            </w:tcBorders>
            <w:vAlign w:val="center"/>
            <w:hideMark/>
          </w:tcPr>
          <w:p w14:paraId="5663486E" w14:textId="35FFC5AA" w:rsidR="0055223A" w:rsidRPr="004B53FC" w:rsidRDefault="00F921BF" w:rsidP="0055223A">
            <w:pPr>
              <w:rPr>
                <w:rFonts w:ascii="Arial" w:hAnsi="Arial" w:cs="Arial"/>
                <w:color w:val="000000"/>
                <w:sz w:val="22"/>
                <w:szCs w:val="22"/>
              </w:rPr>
            </w:pPr>
            <w:r>
              <w:rPr>
                <w:rFonts w:ascii="Arial" w:hAnsi="Arial" w:cs="Arial"/>
                <w:color w:val="000000"/>
                <w:sz w:val="22"/>
                <w:szCs w:val="22"/>
              </w:rPr>
              <w:t>Government Grants</w:t>
            </w:r>
          </w:p>
        </w:tc>
        <w:tc>
          <w:tcPr>
            <w:tcW w:w="1444" w:type="dxa"/>
            <w:tcBorders>
              <w:top w:val="nil"/>
              <w:left w:val="nil"/>
              <w:bottom w:val="nil"/>
              <w:right w:val="single" w:sz="8" w:space="0" w:color="auto"/>
            </w:tcBorders>
            <w:vAlign w:val="center"/>
            <w:hideMark/>
          </w:tcPr>
          <w:p w14:paraId="39DE80B9" w14:textId="62EE6671" w:rsidR="0055223A" w:rsidRPr="004B53FC" w:rsidRDefault="00990A8B" w:rsidP="0055223A">
            <w:pPr>
              <w:jc w:val="right"/>
              <w:rPr>
                <w:rFonts w:ascii="Arial" w:hAnsi="Arial" w:cs="Arial"/>
                <w:color w:val="000000"/>
                <w:sz w:val="22"/>
                <w:szCs w:val="22"/>
              </w:rPr>
            </w:pPr>
            <w:r>
              <w:rPr>
                <w:rFonts w:ascii="Arial" w:hAnsi="Arial" w:cs="Arial"/>
                <w:color w:val="000000"/>
                <w:sz w:val="22"/>
                <w:szCs w:val="22"/>
              </w:rPr>
              <w:t>25,</w:t>
            </w:r>
            <w:r w:rsidR="00CB68BF">
              <w:rPr>
                <w:rFonts w:ascii="Arial" w:hAnsi="Arial" w:cs="Arial"/>
                <w:color w:val="000000"/>
                <w:sz w:val="22"/>
                <w:szCs w:val="22"/>
              </w:rPr>
              <w:t>799</w:t>
            </w:r>
          </w:p>
        </w:tc>
        <w:tc>
          <w:tcPr>
            <w:tcW w:w="1470" w:type="dxa"/>
            <w:tcBorders>
              <w:top w:val="nil"/>
              <w:left w:val="nil"/>
              <w:bottom w:val="nil"/>
              <w:right w:val="single" w:sz="8" w:space="0" w:color="auto"/>
            </w:tcBorders>
            <w:shd w:val="clear" w:color="000000" w:fill="D0CECE"/>
            <w:vAlign w:val="center"/>
            <w:hideMark/>
          </w:tcPr>
          <w:p w14:paraId="27FD0E1A" w14:textId="64897DA9" w:rsidR="0055223A" w:rsidRPr="004B53FC" w:rsidRDefault="0055223A" w:rsidP="0055223A">
            <w:pPr>
              <w:jc w:val="right"/>
              <w:rPr>
                <w:rFonts w:ascii="Arial" w:hAnsi="Arial" w:cs="Arial"/>
                <w:color w:val="000000"/>
                <w:sz w:val="22"/>
                <w:szCs w:val="22"/>
              </w:rPr>
            </w:pPr>
            <w:r>
              <w:rPr>
                <w:rFonts w:ascii="Arial" w:hAnsi="Arial" w:cs="Arial"/>
                <w:b/>
                <w:bCs/>
                <w:color w:val="000000"/>
                <w:sz w:val="22"/>
                <w:szCs w:val="22"/>
              </w:rPr>
              <w:t>32,</w:t>
            </w:r>
            <w:r w:rsidR="00F921BF">
              <w:rPr>
                <w:rFonts w:ascii="Arial" w:hAnsi="Arial" w:cs="Arial"/>
                <w:b/>
                <w:bCs/>
                <w:color w:val="000000"/>
                <w:sz w:val="22"/>
                <w:szCs w:val="22"/>
              </w:rPr>
              <w:t>637</w:t>
            </w:r>
          </w:p>
        </w:tc>
      </w:tr>
      <w:tr w:rsidR="00E54178" w:rsidRPr="004B53FC" w14:paraId="5288DC77" w14:textId="77777777" w:rsidTr="00B27992">
        <w:trPr>
          <w:trHeight w:val="228"/>
        </w:trPr>
        <w:tc>
          <w:tcPr>
            <w:tcW w:w="1396" w:type="dxa"/>
            <w:tcBorders>
              <w:top w:val="nil"/>
              <w:left w:val="single" w:sz="4" w:space="0" w:color="auto"/>
              <w:bottom w:val="nil"/>
              <w:right w:val="nil"/>
            </w:tcBorders>
            <w:vAlign w:val="center"/>
            <w:hideMark/>
          </w:tcPr>
          <w:p w14:paraId="16651084" w14:textId="56C7F216" w:rsidR="00E54178" w:rsidRPr="004B53FC" w:rsidRDefault="00E54178" w:rsidP="00E54178">
            <w:pPr>
              <w:jc w:val="right"/>
              <w:rPr>
                <w:rFonts w:ascii="Arial" w:hAnsi="Arial" w:cs="Arial"/>
                <w:color w:val="000000"/>
                <w:sz w:val="22"/>
                <w:szCs w:val="22"/>
              </w:rPr>
            </w:pPr>
            <w:r w:rsidRPr="004B53FC">
              <w:rPr>
                <w:rFonts w:ascii="Arial" w:hAnsi="Arial" w:cs="Arial"/>
                <w:color w:val="000000"/>
                <w:sz w:val="22"/>
                <w:szCs w:val="22"/>
              </w:rPr>
              <w:t>1</w:t>
            </w:r>
            <w:r>
              <w:rPr>
                <w:rFonts w:ascii="Arial" w:hAnsi="Arial" w:cs="Arial"/>
                <w:color w:val="000000"/>
                <w:sz w:val="22"/>
                <w:szCs w:val="22"/>
              </w:rPr>
              <w:t>9</w:t>
            </w:r>
          </w:p>
        </w:tc>
        <w:tc>
          <w:tcPr>
            <w:tcW w:w="1543" w:type="dxa"/>
            <w:tcBorders>
              <w:top w:val="nil"/>
              <w:left w:val="nil"/>
              <w:bottom w:val="nil"/>
              <w:right w:val="nil"/>
            </w:tcBorders>
            <w:shd w:val="clear" w:color="000000" w:fill="CCCCCC"/>
            <w:vAlign w:val="center"/>
            <w:hideMark/>
          </w:tcPr>
          <w:p w14:paraId="3E374D74" w14:textId="6878A58E" w:rsidR="00E54178" w:rsidRPr="00E54178" w:rsidRDefault="00E54178" w:rsidP="00E54178">
            <w:pPr>
              <w:jc w:val="right"/>
              <w:rPr>
                <w:rFonts w:ascii="Arial" w:hAnsi="Arial" w:cs="Arial"/>
                <w:b/>
                <w:bCs/>
                <w:color w:val="000000"/>
                <w:sz w:val="22"/>
                <w:szCs w:val="22"/>
              </w:rPr>
            </w:pPr>
            <w:r w:rsidRPr="00E54178">
              <w:rPr>
                <w:rFonts w:ascii="Arial" w:hAnsi="Arial" w:cs="Arial"/>
                <w:b/>
                <w:bCs/>
                <w:color w:val="000000"/>
                <w:sz w:val="22"/>
                <w:szCs w:val="22"/>
              </w:rPr>
              <w:t>36</w:t>
            </w:r>
          </w:p>
        </w:tc>
        <w:tc>
          <w:tcPr>
            <w:tcW w:w="3601" w:type="dxa"/>
            <w:tcBorders>
              <w:top w:val="nil"/>
              <w:left w:val="nil"/>
              <w:bottom w:val="nil"/>
              <w:right w:val="nil"/>
            </w:tcBorders>
            <w:vAlign w:val="center"/>
            <w:hideMark/>
          </w:tcPr>
          <w:p w14:paraId="6AA32924" w14:textId="77777777" w:rsidR="00E54178" w:rsidRPr="004B53FC" w:rsidRDefault="00E54178" w:rsidP="00E54178">
            <w:pPr>
              <w:rPr>
                <w:rFonts w:ascii="Arial" w:hAnsi="Arial" w:cs="Arial"/>
                <w:color w:val="000000"/>
                <w:sz w:val="22"/>
                <w:szCs w:val="22"/>
              </w:rPr>
            </w:pPr>
            <w:r w:rsidRPr="004B53FC">
              <w:rPr>
                <w:rFonts w:ascii="Arial" w:hAnsi="Arial" w:cs="Arial"/>
                <w:color w:val="000000"/>
                <w:sz w:val="22"/>
                <w:szCs w:val="22"/>
              </w:rPr>
              <w:t>Other debtors</w:t>
            </w:r>
          </w:p>
        </w:tc>
        <w:tc>
          <w:tcPr>
            <w:tcW w:w="1444" w:type="dxa"/>
            <w:tcBorders>
              <w:top w:val="nil"/>
              <w:left w:val="nil"/>
              <w:bottom w:val="nil"/>
              <w:right w:val="single" w:sz="8" w:space="0" w:color="auto"/>
            </w:tcBorders>
            <w:vAlign w:val="center"/>
            <w:hideMark/>
          </w:tcPr>
          <w:p w14:paraId="106E274B" w14:textId="1FCE4D2A" w:rsidR="00E54178" w:rsidRPr="004B53FC" w:rsidRDefault="00E54178" w:rsidP="00E54178">
            <w:pPr>
              <w:jc w:val="right"/>
              <w:rPr>
                <w:rFonts w:ascii="Arial" w:hAnsi="Arial" w:cs="Arial"/>
                <w:color w:val="000000"/>
                <w:sz w:val="22"/>
                <w:szCs w:val="22"/>
              </w:rPr>
            </w:pPr>
            <w:r w:rsidRPr="004B53FC">
              <w:rPr>
                <w:rFonts w:ascii="Arial" w:hAnsi="Arial" w:cs="Arial"/>
                <w:color w:val="000000"/>
                <w:sz w:val="22"/>
                <w:szCs w:val="22"/>
              </w:rPr>
              <w:t>1</w:t>
            </w:r>
            <w:r>
              <w:rPr>
                <w:rFonts w:ascii="Arial" w:hAnsi="Arial" w:cs="Arial"/>
                <w:color w:val="000000"/>
                <w:sz w:val="22"/>
                <w:szCs w:val="22"/>
              </w:rPr>
              <w:t>9</w:t>
            </w:r>
          </w:p>
        </w:tc>
        <w:tc>
          <w:tcPr>
            <w:tcW w:w="1470" w:type="dxa"/>
            <w:tcBorders>
              <w:top w:val="nil"/>
              <w:left w:val="nil"/>
              <w:bottom w:val="nil"/>
              <w:right w:val="single" w:sz="8" w:space="0" w:color="auto"/>
            </w:tcBorders>
            <w:shd w:val="clear" w:color="000000" w:fill="D0CECE"/>
            <w:vAlign w:val="center"/>
            <w:hideMark/>
          </w:tcPr>
          <w:p w14:paraId="6CE61A39" w14:textId="2F3F90CB" w:rsidR="00E54178" w:rsidRPr="00E54178" w:rsidRDefault="00E54178" w:rsidP="00E54178">
            <w:pPr>
              <w:jc w:val="right"/>
              <w:rPr>
                <w:rFonts w:ascii="Arial" w:hAnsi="Arial" w:cs="Arial"/>
                <w:b/>
                <w:bCs/>
                <w:color w:val="000000"/>
                <w:sz w:val="22"/>
                <w:szCs w:val="22"/>
              </w:rPr>
            </w:pPr>
            <w:r w:rsidRPr="00E54178">
              <w:rPr>
                <w:rFonts w:ascii="Arial" w:hAnsi="Arial" w:cs="Arial"/>
                <w:b/>
                <w:bCs/>
                <w:color w:val="000000"/>
                <w:sz w:val="22"/>
                <w:szCs w:val="22"/>
              </w:rPr>
              <w:t>36</w:t>
            </w:r>
          </w:p>
        </w:tc>
      </w:tr>
      <w:tr w:rsidR="00E54178" w:rsidRPr="004B53FC" w14:paraId="6AB7F7D2" w14:textId="77777777" w:rsidTr="002E314A">
        <w:trPr>
          <w:trHeight w:val="228"/>
        </w:trPr>
        <w:tc>
          <w:tcPr>
            <w:tcW w:w="1396" w:type="dxa"/>
            <w:tcBorders>
              <w:top w:val="nil"/>
              <w:left w:val="single" w:sz="4" w:space="0" w:color="auto"/>
              <w:bottom w:val="single" w:sz="8" w:space="0" w:color="auto"/>
              <w:right w:val="nil"/>
            </w:tcBorders>
            <w:vAlign w:val="center"/>
            <w:hideMark/>
          </w:tcPr>
          <w:p w14:paraId="677EA076" w14:textId="10C6949B" w:rsidR="00E54178" w:rsidRPr="004B53FC" w:rsidRDefault="00E54178" w:rsidP="00E54178">
            <w:pPr>
              <w:jc w:val="right"/>
              <w:rPr>
                <w:rFonts w:ascii="Arial" w:hAnsi="Arial" w:cs="Arial"/>
                <w:color w:val="000000"/>
                <w:sz w:val="22"/>
                <w:szCs w:val="22"/>
              </w:rPr>
            </w:pPr>
            <w:r>
              <w:rPr>
                <w:rFonts w:ascii="Arial" w:hAnsi="Arial" w:cs="Arial"/>
                <w:color w:val="000000"/>
                <w:sz w:val="22"/>
                <w:szCs w:val="22"/>
              </w:rPr>
              <w:t>12,784</w:t>
            </w:r>
          </w:p>
        </w:tc>
        <w:tc>
          <w:tcPr>
            <w:tcW w:w="1543" w:type="dxa"/>
            <w:tcBorders>
              <w:top w:val="nil"/>
              <w:left w:val="nil"/>
              <w:bottom w:val="nil"/>
              <w:right w:val="nil"/>
            </w:tcBorders>
            <w:shd w:val="clear" w:color="000000" w:fill="CCCCCC"/>
            <w:vAlign w:val="center"/>
            <w:hideMark/>
          </w:tcPr>
          <w:p w14:paraId="7FDEC9E5" w14:textId="3DF60E9C" w:rsidR="00E54178" w:rsidRPr="00E54178" w:rsidRDefault="00E54178" w:rsidP="00E54178">
            <w:pPr>
              <w:jc w:val="right"/>
              <w:rPr>
                <w:rFonts w:ascii="Arial" w:hAnsi="Arial" w:cs="Arial"/>
                <w:b/>
                <w:bCs/>
                <w:color w:val="000000"/>
                <w:sz w:val="22"/>
                <w:szCs w:val="22"/>
              </w:rPr>
            </w:pPr>
            <w:r w:rsidRPr="00E54178">
              <w:rPr>
                <w:rFonts w:ascii="Arial" w:hAnsi="Arial" w:cs="Arial"/>
                <w:b/>
                <w:bCs/>
                <w:color w:val="000000"/>
                <w:sz w:val="22"/>
                <w:szCs w:val="22"/>
              </w:rPr>
              <w:t>2,180</w:t>
            </w:r>
          </w:p>
        </w:tc>
        <w:tc>
          <w:tcPr>
            <w:tcW w:w="3601" w:type="dxa"/>
            <w:tcBorders>
              <w:top w:val="nil"/>
              <w:left w:val="nil"/>
              <w:bottom w:val="nil"/>
              <w:right w:val="nil"/>
            </w:tcBorders>
            <w:vAlign w:val="center"/>
            <w:hideMark/>
          </w:tcPr>
          <w:p w14:paraId="20F46023" w14:textId="77777777" w:rsidR="00E54178" w:rsidRPr="004B53FC" w:rsidRDefault="00E54178" w:rsidP="00E54178">
            <w:pPr>
              <w:rPr>
                <w:rFonts w:ascii="Arial" w:hAnsi="Arial" w:cs="Arial"/>
                <w:color w:val="000000"/>
                <w:sz w:val="22"/>
                <w:szCs w:val="22"/>
              </w:rPr>
            </w:pPr>
            <w:r w:rsidRPr="004B53FC">
              <w:rPr>
                <w:rFonts w:ascii="Arial" w:hAnsi="Arial" w:cs="Arial"/>
                <w:color w:val="000000"/>
                <w:sz w:val="22"/>
                <w:szCs w:val="22"/>
              </w:rPr>
              <w:t>Intragroup debtor</w:t>
            </w:r>
          </w:p>
        </w:tc>
        <w:tc>
          <w:tcPr>
            <w:tcW w:w="1444" w:type="dxa"/>
            <w:tcBorders>
              <w:top w:val="nil"/>
              <w:left w:val="nil"/>
              <w:bottom w:val="single" w:sz="8" w:space="0" w:color="auto"/>
              <w:right w:val="single" w:sz="8" w:space="0" w:color="auto"/>
            </w:tcBorders>
            <w:vAlign w:val="center"/>
            <w:hideMark/>
          </w:tcPr>
          <w:p w14:paraId="5A18E1A0" w14:textId="4872F51C" w:rsidR="00E54178" w:rsidRPr="004B53FC" w:rsidRDefault="00E54178" w:rsidP="00E54178">
            <w:pPr>
              <w:jc w:val="right"/>
              <w:rPr>
                <w:rFonts w:ascii="Arial" w:hAnsi="Arial" w:cs="Arial"/>
                <w:color w:val="000000"/>
                <w:sz w:val="22"/>
                <w:szCs w:val="22"/>
              </w:rPr>
            </w:pPr>
            <w:r>
              <w:rPr>
                <w:rFonts w:ascii="Arial" w:hAnsi="Arial" w:cs="Arial"/>
                <w:color w:val="000000"/>
                <w:sz w:val="22"/>
                <w:szCs w:val="22"/>
              </w:rPr>
              <w:t>0</w:t>
            </w:r>
          </w:p>
        </w:tc>
        <w:tc>
          <w:tcPr>
            <w:tcW w:w="1470" w:type="dxa"/>
            <w:tcBorders>
              <w:top w:val="nil"/>
              <w:left w:val="nil"/>
              <w:bottom w:val="single" w:sz="8" w:space="0" w:color="auto"/>
              <w:right w:val="single" w:sz="8" w:space="0" w:color="auto"/>
            </w:tcBorders>
            <w:shd w:val="clear" w:color="000000" w:fill="D0CECE"/>
            <w:vAlign w:val="center"/>
            <w:hideMark/>
          </w:tcPr>
          <w:p w14:paraId="079498D6" w14:textId="2F4C39B6" w:rsidR="00E54178" w:rsidRPr="004B53FC" w:rsidRDefault="00E54178" w:rsidP="00E54178">
            <w:pPr>
              <w:jc w:val="right"/>
              <w:rPr>
                <w:rFonts w:ascii="Arial" w:hAnsi="Arial" w:cs="Arial"/>
                <w:color w:val="000000"/>
                <w:sz w:val="22"/>
                <w:szCs w:val="22"/>
              </w:rPr>
            </w:pPr>
            <w:r>
              <w:rPr>
                <w:rFonts w:ascii="Arial" w:hAnsi="Arial" w:cs="Arial"/>
                <w:color w:val="000000"/>
                <w:sz w:val="22"/>
                <w:szCs w:val="22"/>
              </w:rPr>
              <w:t> </w:t>
            </w:r>
          </w:p>
        </w:tc>
      </w:tr>
      <w:tr w:rsidR="00E54178" w:rsidRPr="00E96552" w14:paraId="25CA37BF" w14:textId="77777777" w:rsidTr="002E314A">
        <w:trPr>
          <w:trHeight w:val="228"/>
        </w:trPr>
        <w:tc>
          <w:tcPr>
            <w:tcW w:w="1396" w:type="dxa"/>
            <w:tcBorders>
              <w:top w:val="nil"/>
              <w:left w:val="single" w:sz="4" w:space="0" w:color="auto"/>
              <w:bottom w:val="single" w:sz="8" w:space="0" w:color="auto"/>
              <w:right w:val="nil"/>
            </w:tcBorders>
            <w:vAlign w:val="center"/>
            <w:hideMark/>
          </w:tcPr>
          <w:p w14:paraId="2EAB2854" w14:textId="0EB21885" w:rsidR="00E54178" w:rsidRPr="004B53FC" w:rsidRDefault="00E54178" w:rsidP="00E54178">
            <w:pPr>
              <w:jc w:val="right"/>
              <w:rPr>
                <w:rFonts w:ascii="Arial" w:hAnsi="Arial" w:cs="Arial"/>
                <w:b/>
                <w:bCs/>
                <w:color w:val="000000"/>
                <w:sz w:val="22"/>
                <w:szCs w:val="22"/>
              </w:rPr>
            </w:pPr>
            <w:r w:rsidRPr="004B53FC">
              <w:rPr>
                <w:rFonts w:ascii="Arial" w:hAnsi="Arial" w:cs="Arial"/>
                <w:b/>
                <w:bCs/>
                <w:color w:val="000000"/>
                <w:sz w:val="22"/>
                <w:szCs w:val="22"/>
              </w:rPr>
              <w:t>5</w:t>
            </w:r>
            <w:r>
              <w:rPr>
                <w:rFonts w:ascii="Arial" w:hAnsi="Arial" w:cs="Arial"/>
                <w:b/>
                <w:bCs/>
                <w:color w:val="000000"/>
                <w:sz w:val="22"/>
                <w:szCs w:val="22"/>
              </w:rPr>
              <w:t>7</w:t>
            </w:r>
            <w:r w:rsidRPr="004B53FC">
              <w:rPr>
                <w:rFonts w:ascii="Arial" w:hAnsi="Arial" w:cs="Arial"/>
                <w:b/>
                <w:bCs/>
                <w:color w:val="000000"/>
                <w:sz w:val="22"/>
                <w:szCs w:val="22"/>
              </w:rPr>
              <w:t>,</w:t>
            </w:r>
            <w:r>
              <w:rPr>
                <w:rFonts w:ascii="Arial" w:hAnsi="Arial" w:cs="Arial"/>
                <w:b/>
                <w:bCs/>
                <w:color w:val="000000"/>
                <w:sz w:val="22"/>
                <w:szCs w:val="22"/>
              </w:rPr>
              <w:t>766</w:t>
            </w:r>
          </w:p>
        </w:tc>
        <w:tc>
          <w:tcPr>
            <w:tcW w:w="1543" w:type="dxa"/>
            <w:tcBorders>
              <w:top w:val="single" w:sz="8" w:space="0" w:color="auto"/>
              <w:left w:val="nil"/>
              <w:bottom w:val="single" w:sz="8" w:space="0" w:color="auto"/>
              <w:right w:val="nil"/>
            </w:tcBorders>
            <w:shd w:val="clear" w:color="000000" w:fill="CCCCCC"/>
            <w:vAlign w:val="center"/>
            <w:hideMark/>
          </w:tcPr>
          <w:p w14:paraId="7736EDB6" w14:textId="530323BA" w:rsidR="00E54178" w:rsidRPr="00E54178" w:rsidRDefault="00E54178" w:rsidP="00E54178">
            <w:pPr>
              <w:jc w:val="right"/>
              <w:rPr>
                <w:rFonts w:ascii="Arial" w:hAnsi="Arial" w:cs="Arial"/>
                <w:b/>
                <w:bCs/>
                <w:color w:val="000000"/>
                <w:sz w:val="22"/>
                <w:szCs w:val="22"/>
              </w:rPr>
            </w:pPr>
            <w:r w:rsidRPr="00E54178">
              <w:rPr>
                <w:rFonts w:ascii="Arial" w:hAnsi="Arial" w:cs="Arial"/>
                <w:b/>
                <w:bCs/>
                <w:color w:val="000000"/>
                <w:sz w:val="22"/>
                <w:szCs w:val="22"/>
              </w:rPr>
              <w:t>56,</w:t>
            </w:r>
            <w:r w:rsidR="00F921BF">
              <w:rPr>
                <w:rFonts w:ascii="Arial" w:hAnsi="Arial" w:cs="Arial"/>
                <w:b/>
                <w:bCs/>
                <w:color w:val="000000"/>
                <w:sz w:val="22"/>
                <w:szCs w:val="22"/>
              </w:rPr>
              <w:t>570</w:t>
            </w:r>
          </w:p>
        </w:tc>
        <w:tc>
          <w:tcPr>
            <w:tcW w:w="3601" w:type="dxa"/>
            <w:tcBorders>
              <w:top w:val="nil"/>
              <w:left w:val="nil"/>
              <w:bottom w:val="single" w:sz="8" w:space="0" w:color="auto"/>
              <w:right w:val="nil"/>
            </w:tcBorders>
            <w:vAlign w:val="center"/>
            <w:hideMark/>
          </w:tcPr>
          <w:p w14:paraId="114A5F19" w14:textId="77777777" w:rsidR="00E54178" w:rsidRPr="004B53FC" w:rsidRDefault="00E54178" w:rsidP="00E54178">
            <w:pPr>
              <w:jc w:val="center"/>
              <w:rPr>
                <w:rFonts w:ascii="Arial" w:hAnsi="Arial" w:cs="Arial"/>
                <w:b/>
                <w:bCs/>
                <w:color w:val="000000"/>
                <w:sz w:val="22"/>
                <w:szCs w:val="22"/>
              </w:rPr>
            </w:pPr>
            <w:r w:rsidRPr="004B53FC">
              <w:rPr>
                <w:rFonts w:ascii="Arial" w:hAnsi="Arial" w:cs="Arial"/>
                <w:b/>
                <w:bCs/>
                <w:color w:val="000000"/>
                <w:sz w:val="22"/>
                <w:szCs w:val="22"/>
              </w:rPr>
              <w:t>TOTAL</w:t>
            </w:r>
          </w:p>
        </w:tc>
        <w:tc>
          <w:tcPr>
            <w:tcW w:w="1444" w:type="dxa"/>
            <w:tcBorders>
              <w:top w:val="nil"/>
              <w:left w:val="nil"/>
              <w:bottom w:val="single" w:sz="8" w:space="0" w:color="auto"/>
              <w:right w:val="single" w:sz="8" w:space="0" w:color="auto"/>
            </w:tcBorders>
            <w:vAlign w:val="center"/>
            <w:hideMark/>
          </w:tcPr>
          <w:p w14:paraId="6D2EFED9" w14:textId="1FD44C8D" w:rsidR="00E54178" w:rsidRPr="004B53FC" w:rsidRDefault="00E54178" w:rsidP="00E54178">
            <w:pPr>
              <w:jc w:val="right"/>
              <w:rPr>
                <w:rFonts w:ascii="Arial" w:hAnsi="Arial" w:cs="Arial"/>
                <w:b/>
                <w:bCs/>
                <w:color w:val="000000"/>
                <w:sz w:val="22"/>
                <w:szCs w:val="22"/>
              </w:rPr>
            </w:pPr>
            <w:r>
              <w:rPr>
                <w:rFonts w:ascii="Arial" w:hAnsi="Arial" w:cs="Arial"/>
                <w:b/>
                <w:bCs/>
                <w:color w:val="000000"/>
                <w:sz w:val="22"/>
                <w:szCs w:val="22"/>
              </w:rPr>
              <w:t>44</w:t>
            </w:r>
            <w:r w:rsidRPr="004B53FC">
              <w:rPr>
                <w:rFonts w:ascii="Arial" w:hAnsi="Arial" w:cs="Arial"/>
                <w:b/>
                <w:bCs/>
                <w:color w:val="000000"/>
                <w:sz w:val="22"/>
                <w:szCs w:val="22"/>
              </w:rPr>
              <w:t>,9</w:t>
            </w:r>
            <w:r>
              <w:rPr>
                <w:rFonts w:ascii="Arial" w:hAnsi="Arial" w:cs="Arial"/>
                <w:b/>
                <w:bCs/>
                <w:color w:val="000000"/>
                <w:sz w:val="22"/>
                <w:szCs w:val="22"/>
              </w:rPr>
              <w:t>82</w:t>
            </w:r>
          </w:p>
        </w:tc>
        <w:tc>
          <w:tcPr>
            <w:tcW w:w="1470" w:type="dxa"/>
            <w:tcBorders>
              <w:top w:val="single" w:sz="8" w:space="0" w:color="auto"/>
              <w:left w:val="nil"/>
              <w:bottom w:val="single" w:sz="8" w:space="0" w:color="auto"/>
              <w:right w:val="single" w:sz="4" w:space="0" w:color="auto"/>
            </w:tcBorders>
            <w:shd w:val="clear" w:color="000000" w:fill="CCCCCC"/>
            <w:vAlign w:val="center"/>
            <w:hideMark/>
          </w:tcPr>
          <w:p w14:paraId="3EF3B096" w14:textId="6BBC7326" w:rsidR="00E54178" w:rsidRPr="004B53FC" w:rsidRDefault="00E54178" w:rsidP="00E54178">
            <w:pPr>
              <w:jc w:val="right"/>
              <w:rPr>
                <w:rFonts w:ascii="Arial" w:hAnsi="Arial" w:cs="Arial"/>
                <w:b/>
                <w:bCs/>
                <w:color w:val="000000"/>
                <w:sz w:val="22"/>
                <w:szCs w:val="22"/>
              </w:rPr>
            </w:pPr>
            <w:r>
              <w:rPr>
                <w:rFonts w:ascii="Arial" w:hAnsi="Arial" w:cs="Arial"/>
                <w:b/>
                <w:bCs/>
                <w:color w:val="000000"/>
                <w:sz w:val="22"/>
                <w:szCs w:val="22"/>
              </w:rPr>
              <w:t>5</w:t>
            </w:r>
            <w:r w:rsidR="00F921BF">
              <w:rPr>
                <w:rFonts w:ascii="Arial" w:hAnsi="Arial" w:cs="Arial"/>
                <w:b/>
                <w:bCs/>
                <w:color w:val="000000"/>
                <w:sz w:val="22"/>
                <w:szCs w:val="22"/>
              </w:rPr>
              <w:t>4,390</w:t>
            </w:r>
          </w:p>
        </w:tc>
      </w:tr>
    </w:tbl>
    <w:p w14:paraId="3E29B285" w14:textId="77777777" w:rsidR="003B74DA" w:rsidRPr="00E96552" w:rsidRDefault="003B74DA" w:rsidP="003B74DA">
      <w:pPr>
        <w:tabs>
          <w:tab w:val="left" w:pos="426"/>
        </w:tabs>
        <w:ind w:left="426"/>
        <w:rPr>
          <w:rFonts w:ascii="Arial" w:hAnsi="Arial"/>
          <w:sz w:val="22"/>
          <w:szCs w:val="22"/>
          <w:highlight w:val="yellow"/>
        </w:rPr>
      </w:pPr>
    </w:p>
    <w:p w14:paraId="32C1D7F2" w14:textId="77777777" w:rsidR="00393C15" w:rsidRDefault="003B74DA" w:rsidP="003B74DA">
      <w:pPr>
        <w:ind w:left="426"/>
        <w:jc w:val="both"/>
        <w:rPr>
          <w:rFonts w:ascii="Arial" w:hAnsi="Arial"/>
          <w:sz w:val="22"/>
          <w:szCs w:val="22"/>
        </w:rPr>
      </w:pPr>
      <w:r w:rsidRPr="00255AA7">
        <w:rPr>
          <w:rFonts w:ascii="Arial" w:hAnsi="Arial"/>
          <w:sz w:val="22"/>
          <w:szCs w:val="22"/>
        </w:rPr>
        <w:t>Debtors are reported net of impairment allowance</w:t>
      </w:r>
      <w:r w:rsidR="00F8389A">
        <w:rPr>
          <w:rFonts w:ascii="Arial" w:hAnsi="Arial"/>
          <w:sz w:val="22"/>
          <w:szCs w:val="22"/>
        </w:rPr>
        <w:t xml:space="preserve"> as shown in Note</w:t>
      </w:r>
      <w:r w:rsidR="00393C15">
        <w:rPr>
          <w:rFonts w:ascii="Arial" w:hAnsi="Arial"/>
          <w:sz w:val="22"/>
          <w:szCs w:val="22"/>
        </w:rPr>
        <w:t xml:space="preserve"> 29</w:t>
      </w:r>
      <w:r w:rsidRPr="00255AA7">
        <w:rPr>
          <w:rFonts w:ascii="Arial" w:hAnsi="Arial"/>
          <w:sz w:val="22"/>
          <w:szCs w:val="22"/>
        </w:rPr>
        <w:t>.</w:t>
      </w:r>
    </w:p>
    <w:p w14:paraId="2148434F" w14:textId="77777777" w:rsidR="00393C15" w:rsidRDefault="00393C15" w:rsidP="003B74DA">
      <w:pPr>
        <w:ind w:left="426"/>
        <w:jc w:val="both"/>
        <w:rPr>
          <w:rFonts w:ascii="Arial" w:hAnsi="Arial"/>
          <w:sz w:val="22"/>
          <w:szCs w:val="22"/>
        </w:rPr>
      </w:pPr>
    </w:p>
    <w:p w14:paraId="60B26770" w14:textId="6C4AFFE5" w:rsidR="003B74DA" w:rsidRDefault="003B74DA" w:rsidP="003B74DA">
      <w:pPr>
        <w:ind w:left="426"/>
        <w:jc w:val="both"/>
        <w:rPr>
          <w:rFonts w:ascii="Arial" w:hAnsi="Arial"/>
          <w:sz w:val="22"/>
          <w:szCs w:val="22"/>
        </w:rPr>
      </w:pPr>
      <w:r w:rsidRPr="00255AA7">
        <w:rPr>
          <w:rFonts w:ascii="Arial" w:hAnsi="Arial"/>
          <w:sz w:val="22"/>
          <w:szCs w:val="22"/>
        </w:rPr>
        <w:t>Billing authorities have confirmed that all overdue council tax debt is considered for impairment.</w:t>
      </w:r>
    </w:p>
    <w:p w14:paraId="296725EF" w14:textId="5194F269" w:rsidR="00CB68BF" w:rsidRDefault="00CB68BF">
      <w:pPr>
        <w:rPr>
          <w:rFonts w:ascii="Arial" w:hAnsi="Arial"/>
          <w:sz w:val="22"/>
          <w:szCs w:val="22"/>
        </w:rPr>
      </w:pPr>
    </w:p>
    <w:p w14:paraId="726D260D" w14:textId="77777777" w:rsidR="00CB68BF" w:rsidRDefault="00CB68BF" w:rsidP="00CB68BF">
      <w:pPr>
        <w:numPr>
          <w:ilvl w:val="0"/>
          <w:numId w:val="1"/>
        </w:numPr>
        <w:tabs>
          <w:tab w:val="right" w:pos="5760"/>
        </w:tabs>
        <w:jc w:val="both"/>
        <w:rPr>
          <w:rFonts w:ascii="Arial" w:hAnsi="Arial"/>
          <w:b/>
          <w:bCs/>
          <w:sz w:val="22"/>
          <w:szCs w:val="22"/>
        </w:rPr>
      </w:pPr>
      <w:r w:rsidRPr="001E20E3">
        <w:rPr>
          <w:rFonts w:ascii="Arial" w:hAnsi="Arial"/>
          <w:b/>
          <w:bCs/>
          <w:sz w:val="22"/>
          <w:szCs w:val="22"/>
        </w:rPr>
        <w:t>Payments in Advance</w:t>
      </w:r>
    </w:p>
    <w:p w14:paraId="6059AEF1" w14:textId="77777777" w:rsidR="00CB68BF" w:rsidRDefault="00CB68BF" w:rsidP="00CB68BF">
      <w:pPr>
        <w:tabs>
          <w:tab w:val="right" w:pos="5760"/>
        </w:tabs>
        <w:ind w:left="720"/>
        <w:jc w:val="both"/>
        <w:rPr>
          <w:rFonts w:ascii="Arial" w:hAnsi="Arial"/>
          <w:b/>
          <w:bCs/>
          <w:sz w:val="22"/>
          <w:szCs w:val="22"/>
        </w:rPr>
      </w:pPr>
    </w:p>
    <w:tbl>
      <w:tblPr>
        <w:tblW w:w="5540" w:type="dxa"/>
        <w:tblInd w:w="602" w:type="dxa"/>
        <w:tblLook w:val="04A0" w:firstRow="1" w:lastRow="0" w:firstColumn="1" w:lastColumn="0" w:noHBand="0" w:noVBand="1"/>
      </w:tblPr>
      <w:tblGrid>
        <w:gridCol w:w="1700"/>
        <w:gridCol w:w="2400"/>
        <w:gridCol w:w="1440"/>
      </w:tblGrid>
      <w:tr w:rsidR="00CB68BF" w:rsidRPr="00B04A8B" w14:paraId="4B896DE4" w14:textId="77777777">
        <w:trPr>
          <w:trHeight w:val="290"/>
        </w:trPr>
        <w:tc>
          <w:tcPr>
            <w:tcW w:w="1700" w:type="dxa"/>
            <w:vMerge w:val="restart"/>
            <w:tcBorders>
              <w:top w:val="single" w:sz="8" w:space="0" w:color="auto"/>
              <w:left w:val="single" w:sz="8" w:space="0" w:color="auto"/>
              <w:right w:val="nil"/>
            </w:tcBorders>
            <w:noWrap/>
            <w:vAlign w:val="bottom"/>
            <w:hideMark/>
          </w:tcPr>
          <w:p w14:paraId="6B9934E1" w14:textId="77777777" w:rsidR="00CB68BF" w:rsidRDefault="00CB68BF">
            <w:pPr>
              <w:jc w:val="right"/>
              <w:rPr>
                <w:rFonts w:ascii="Arial" w:hAnsi="Arial" w:cs="Arial"/>
                <w:b/>
                <w:bCs/>
                <w:color w:val="000000"/>
                <w:sz w:val="22"/>
                <w:szCs w:val="22"/>
              </w:rPr>
            </w:pPr>
            <w:r>
              <w:rPr>
                <w:rFonts w:ascii="Arial" w:hAnsi="Arial" w:cs="Arial"/>
                <w:b/>
                <w:bCs/>
                <w:color w:val="000000"/>
                <w:sz w:val="22"/>
                <w:szCs w:val="22"/>
              </w:rPr>
              <w:t>3</w:t>
            </w:r>
            <w:r w:rsidRPr="00B04A8B">
              <w:rPr>
                <w:rFonts w:ascii="Arial" w:hAnsi="Arial" w:cs="Arial"/>
                <w:b/>
                <w:bCs/>
                <w:color w:val="000000"/>
                <w:sz w:val="22"/>
                <w:szCs w:val="22"/>
              </w:rPr>
              <w:t>1-Mar-2</w:t>
            </w:r>
            <w:r>
              <w:rPr>
                <w:rFonts w:ascii="Arial" w:hAnsi="Arial" w:cs="Arial"/>
                <w:b/>
                <w:bCs/>
                <w:color w:val="000000"/>
                <w:sz w:val="22"/>
                <w:szCs w:val="22"/>
              </w:rPr>
              <w:t>4</w:t>
            </w:r>
          </w:p>
          <w:p w14:paraId="6F8E9A11" w14:textId="5C3C49C1" w:rsidR="00CB68BF" w:rsidRPr="00B04A8B" w:rsidRDefault="00EA7D57">
            <w:pPr>
              <w:jc w:val="right"/>
              <w:rPr>
                <w:rFonts w:ascii="Aptos Narrow" w:hAnsi="Aptos Narrow"/>
                <w:color w:val="000000"/>
                <w:sz w:val="22"/>
                <w:szCs w:val="22"/>
              </w:rPr>
            </w:pPr>
            <w:r>
              <w:rPr>
                <w:rFonts w:ascii="Arial" w:hAnsi="Arial" w:cs="Arial"/>
                <w:b/>
                <w:bCs/>
                <w:color w:val="000000"/>
                <w:sz w:val="22"/>
                <w:szCs w:val="22"/>
              </w:rPr>
              <w:t>Restated</w:t>
            </w:r>
          </w:p>
        </w:tc>
        <w:tc>
          <w:tcPr>
            <w:tcW w:w="2400" w:type="dxa"/>
            <w:tcBorders>
              <w:top w:val="single" w:sz="8" w:space="0" w:color="auto"/>
              <w:left w:val="nil"/>
              <w:bottom w:val="nil"/>
              <w:right w:val="nil"/>
            </w:tcBorders>
            <w:shd w:val="clear" w:color="auto" w:fill="D9D9D9"/>
            <w:noWrap/>
            <w:vAlign w:val="bottom"/>
            <w:hideMark/>
          </w:tcPr>
          <w:p w14:paraId="4CB9619B" w14:textId="77777777" w:rsidR="00CB68BF" w:rsidRPr="004F2FDA" w:rsidRDefault="00CB68BF">
            <w:pPr>
              <w:rPr>
                <w:rFonts w:ascii="Arial" w:hAnsi="Arial" w:cs="Arial"/>
                <w:b/>
                <w:bCs/>
                <w:color w:val="000000"/>
                <w:sz w:val="22"/>
                <w:szCs w:val="22"/>
              </w:rPr>
            </w:pPr>
            <w:r w:rsidRPr="004F2FDA">
              <w:rPr>
                <w:rFonts w:ascii="Arial" w:hAnsi="Arial" w:cs="Arial"/>
                <w:b/>
                <w:bCs/>
                <w:color w:val="000000"/>
                <w:sz w:val="22"/>
                <w:szCs w:val="22"/>
              </w:rPr>
              <w:t>PCC Group/PCC</w:t>
            </w:r>
          </w:p>
        </w:tc>
        <w:tc>
          <w:tcPr>
            <w:tcW w:w="1440" w:type="dxa"/>
            <w:vMerge w:val="restart"/>
            <w:tcBorders>
              <w:top w:val="single" w:sz="8" w:space="0" w:color="auto"/>
              <w:left w:val="nil"/>
              <w:right w:val="single" w:sz="8" w:space="0" w:color="auto"/>
            </w:tcBorders>
            <w:shd w:val="clear" w:color="auto" w:fill="D9D9D9"/>
            <w:noWrap/>
            <w:vAlign w:val="center"/>
            <w:hideMark/>
          </w:tcPr>
          <w:p w14:paraId="7EE252A5" w14:textId="77777777" w:rsidR="00CB68BF" w:rsidRPr="004F2FDA" w:rsidRDefault="00CB68BF">
            <w:pPr>
              <w:jc w:val="right"/>
              <w:rPr>
                <w:rFonts w:ascii="Arial" w:hAnsi="Arial" w:cs="Arial"/>
                <w:color w:val="000000"/>
                <w:sz w:val="22"/>
                <w:szCs w:val="22"/>
              </w:rPr>
            </w:pPr>
            <w:r w:rsidRPr="00B04A8B">
              <w:rPr>
                <w:rFonts w:ascii="Arial" w:hAnsi="Arial" w:cs="Arial"/>
                <w:b/>
                <w:bCs/>
                <w:color w:val="000000"/>
                <w:sz w:val="22"/>
                <w:szCs w:val="22"/>
              </w:rPr>
              <w:t>31-Mar-2</w:t>
            </w:r>
            <w:r>
              <w:rPr>
                <w:rFonts w:ascii="Arial" w:hAnsi="Arial" w:cs="Arial"/>
                <w:b/>
                <w:bCs/>
                <w:color w:val="000000"/>
                <w:sz w:val="22"/>
                <w:szCs w:val="22"/>
              </w:rPr>
              <w:t>5</w:t>
            </w:r>
          </w:p>
        </w:tc>
      </w:tr>
      <w:tr w:rsidR="00CB68BF" w:rsidRPr="00B04A8B" w14:paraId="04E89777" w14:textId="77777777">
        <w:trPr>
          <w:trHeight w:val="290"/>
        </w:trPr>
        <w:tc>
          <w:tcPr>
            <w:tcW w:w="1700" w:type="dxa"/>
            <w:vMerge/>
            <w:tcBorders>
              <w:left w:val="single" w:sz="8" w:space="0" w:color="auto"/>
              <w:bottom w:val="nil"/>
              <w:right w:val="nil"/>
            </w:tcBorders>
            <w:shd w:val="clear" w:color="000000" w:fill="auto"/>
            <w:vAlign w:val="center"/>
            <w:hideMark/>
          </w:tcPr>
          <w:p w14:paraId="724997AC" w14:textId="77777777" w:rsidR="00CB68BF" w:rsidRPr="00B04A8B" w:rsidRDefault="00CB68BF">
            <w:pPr>
              <w:jc w:val="right"/>
              <w:rPr>
                <w:rFonts w:ascii="Arial" w:hAnsi="Arial" w:cs="Arial"/>
                <w:b/>
                <w:bCs/>
                <w:color w:val="000000"/>
                <w:sz w:val="22"/>
                <w:szCs w:val="22"/>
              </w:rPr>
            </w:pPr>
          </w:p>
        </w:tc>
        <w:tc>
          <w:tcPr>
            <w:tcW w:w="2400" w:type="dxa"/>
            <w:tcBorders>
              <w:top w:val="nil"/>
              <w:left w:val="nil"/>
              <w:bottom w:val="nil"/>
              <w:right w:val="nil"/>
            </w:tcBorders>
            <w:shd w:val="clear" w:color="auto" w:fill="D9D9D9"/>
            <w:vAlign w:val="center"/>
            <w:hideMark/>
          </w:tcPr>
          <w:p w14:paraId="0C4C8524" w14:textId="77777777" w:rsidR="00CB68BF" w:rsidRPr="00B04A8B" w:rsidRDefault="00CB68BF">
            <w:pPr>
              <w:rPr>
                <w:rFonts w:ascii="Arial" w:hAnsi="Arial" w:cs="Arial"/>
                <w:b/>
                <w:bCs/>
                <w:color w:val="000000"/>
                <w:sz w:val="22"/>
                <w:szCs w:val="22"/>
              </w:rPr>
            </w:pPr>
            <w:r w:rsidRPr="00B04A8B">
              <w:rPr>
                <w:rFonts w:ascii="Arial" w:hAnsi="Arial" w:cs="Arial"/>
                <w:b/>
                <w:bCs/>
                <w:color w:val="000000"/>
                <w:sz w:val="22"/>
                <w:szCs w:val="22"/>
              </w:rPr>
              <w:t> </w:t>
            </w:r>
          </w:p>
        </w:tc>
        <w:tc>
          <w:tcPr>
            <w:tcW w:w="1440" w:type="dxa"/>
            <w:vMerge/>
            <w:tcBorders>
              <w:left w:val="nil"/>
              <w:bottom w:val="nil"/>
              <w:right w:val="single" w:sz="8" w:space="0" w:color="auto"/>
            </w:tcBorders>
            <w:shd w:val="clear" w:color="000000" w:fill="D9D9D9"/>
            <w:vAlign w:val="center"/>
            <w:hideMark/>
          </w:tcPr>
          <w:p w14:paraId="6E9C8008" w14:textId="77777777" w:rsidR="00CB68BF" w:rsidRPr="00B04A8B" w:rsidRDefault="00CB68BF">
            <w:pPr>
              <w:jc w:val="right"/>
              <w:rPr>
                <w:rFonts w:ascii="Arial" w:hAnsi="Arial" w:cs="Arial"/>
                <w:b/>
                <w:bCs/>
                <w:color w:val="000000"/>
                <w:sz w:val="22"/>
                <w:szCs w:val="22"/>
              </w:rPr>
            </w:pPr>
          </w:p>
        </w:tc>
      </w:tr>
      <w:tr w:rsidR="00CB68BF" w:rsidRPr="00B04A8B" w14:paraId="4CA0FDCE" w14:textId="77777777">
        <w:trPr>
          <w:trHeight w:val="290"/>
        </w:trPr>
        <w:tc>
          <w:tcPr>
            <w:tcW w:w="1700" w:type="dxa"/>
            <w:tcBorders>
              <w:top w:val="nil"/>
              <w:left w:val="single" w:sz="8" w:space="0" w:color="auto"/>
              <w:bottom w:val="nil"/>
              <w:right w:val="nil"/>
            </w:tcBorders>
            <w:vAlign w:val="center"/>
            <w:hideMark/>
          </w:tcPr>
          <w:p w14:paraId="6A075AB6" w14:textId="77777777" w:rsidR="00CB68BF" w:rsidRPr="00B04A8B" w:rsidRDefault="00CB68BF">
            <w:pPr>
              <w:jc w:val="right"/>
              <w:rPr>
                <w:rFonts w:ascii="Arial" w:hAnsi="Arial" w:cs="Arial"/>
                <w:b/>
                <w:bCs/>
                <w:color w:val="000000"/>
                <w:sz w:val="22"/>
                <w:szCs w:val="22"/>
              </w:rPr>
            </w:pPr>
            <w:r w:rsidRPr="00B04A8B">
              <w:rPr>
                <w:rFonts w:ascii="Arial" w:hAnsi="Arial" w:cs="Arial"/>
                <w:b/>
                <w:bCs/>
                <w:color w:val="000000"/>
                <w:sz w:val="22"/>
                <w:szCs w:val="22"/>
              </w:rPr>
              <w:t>£000</w:t>
            </w:r>
          </w:p>
        </w:tc>
        <w:tc>
          <w:tcPr>
            <w:tcW w:w="2400" w:type="dxa"/>
            <w:tcBorders>
              <w:top w:val="nil"/>
              <w:left w:val="nil"/>
              <w:bottom w:val="nil"/>
              <w:right w:val="nil"/>
            </w:tcBorders>
            <w:shd w:val="clear" w:color="000000" w:fill="D9D9D9"/>
            <w:vAlign w:val="center"/>
            <w:hideMark/>
          </w:tcPr>
          <w:p w14:paraId="372FF7F2" w14:textId="77777777" w:rsidR="00CB68BF" w:rsidRPr="00B04A8B" w:rsidRDefault="00CB68BF">
            <w:pPr>
              <w:rPr>
                <w:rFonts w:ascii="Arial" w:hAnsi="Arial" w:cs="Arial"/>
                <w:b/>
                <w:bCs/>
                <w:color w:val="000000"/>
                <w:sz w:val="22"/>
                <w:szCs w:val="22"/>
              </w:rPr>
            </w:pPr>
            <w:r w:rsidRPr="00B04A8B">
              <w:rPr>
                <w:rFonts w:ascii="Arial" w:hAnsi="Arial" w:cs="Arial"/>
                <w:b/>
                <w:bCs/>
                <w:color w:val="000000"/>
                <w:sz w:val="22"/>
                <w:szCs w:val="22"/>
              </w:rPr>
              <w:t> </w:t>
            </w:r>
          </w:p>
        </w:tc>
        <w:tc>
          <w:tcPr>
            <w:tcW w:w="1440" w:type="dxa"/>
            <w:tcBorders>
              <w:top w:val="nil"/>
              <w:left w:val="nil"/>
              <w:bottom w:val="nil"/>
              <w:right w:val="single" w:sz="8" w:space="0" w:color="auto"/>
            </w:tcBorders>
            <w:shd w:val="clear" w:color="000000" w:fill="D9D9D9"/>
            <w:vAlign w:val="center"/>
            <w:hideMark/>
          </w:tcPr>
          <w:p w14:paraId="4647D41C" w14:textId="77777777" w:rsidR="00CB68BF" w:rsidRPr="00B04A8B" w:rsidRDefault="00CB68BF">
            <w:pPr>
              <w:jc w:val="right"/>
              <w:rPr>
                <w:rFonts w:ascii="Arial" w:hAnsi="Arial" w:cs="Arial"/>
                <w:b/>
                <w:bCs/>
                <w:color w:val="000000"/>
                <w:sz w:val="22"/>
                <w:szCs w:val="22"/>
              </w:rPr>
            </w:pPr>
            <w:r w:rsidRPr="00B04A8B">
              <w:rPr>
                <w:rFonts w:ascii="Arial" w:hAnsi="Arial" w:cs="Arial"/>
                <w:b/>
                <w:bCs/>
                <w:color w:val="000000"/>
                <w:sz w:val="22"/>
                <w:szCs w:val="22"/>
              </w:rPr>
              <w:t>£000</w:t>
            </w:r>
          </w:p>
        </w:tc>
      </w:tr>
      <w:tr w:rsidR="00CB68BF" w:rsidRPr="00B04A8B" w14:paraId="7C77277A" w14:textId="77777777">
        <w:trPr>
          <w:trHeight w:val="300"/>
        </w:trPr>
        <w:tc>
          <w:tcPr>
            <w:tcW w:w="1700" w:type="dxa"/>
            <w:tcBorders>
              <w:top w:val="nil"/>
              <w:left w:val="single" w:sz="8" w:space="0" w:color="auto"/>
              <w:bottom w:val="nil"/>
              <w:right w:val="nil"/>
            </w:tcBorders>
            <w:vAlign w:val="center"/>
            <w:hideMark/>
          </w:tcPr>
          <w:p w14:paraId="57359430" w14:textId="77777777" w:rsidR="00CB68BF" w:rsidRPr="00B04A8B" w:rsidRDefault="00CB68BF">
            <w:pPr>
              <w:jc w:val="center"/>
              <w:rPr>
                <w:rFonts w:ascii="Arial" w:hAnsi="Arial" w:cs="Arial"/>
                <w:b/>
                <w:bCs/>
                <w:color w:val="000000"/>
                <w:sz w:val="22"/>
                <w:szCs w:val="22"/>
              </w:rPr>
            </w:pPr>
            <w:r w:rsidRPr="00B04A8B">
              <w:rPr>
                <w:rFonts w:ascii="Arial" w:hAnsi="Arial" w:cs="Arial"/>
                <w:b/>
                <w:bCs/>
                <w:color w:val="000000"/>
                <w:sz w:val="22"/>
                <w:szCs w:val="22"/>
              </w:rPr>
              <w:t> </w:t>
            </w:r>
          </w:p>
        </w:tc>
        <w:tc>
          <w:tcPr>
            <w:tcW w:w="2400" w:type="dxa"/>
            <w:tcBorders>
              <w:top w:val="nil"/>
              <w:left w:val="nil"/>
              <w:bottom w:val="nil"/>
              <w:right w:val="nil"/>
            </w:tcBorders>
            <w:shd w:val="clear" w:color="000000" w:fill="D9D9D9"/>
            <w:vAlign w:val="center"/>
            <w:hideMark/>
          </w:tcPr>
          <w:p w14:paraId="3D82D2CC" w14:textId="77777777" w:rsidR="00CB68BF" w:rsidRPr="00B04A8B" w:rsidRDefault="00CB68BF">
            <w:pPr>
              <w:rPr>
                <w:rFonts w:ascii="Arial" w:hAnsi="Arial" w:cs="Arial"/>
                <w:color w:val="000000"/>
                <w:sz w:val="22"/>
                <w:szCs w:val="22"/>
              </w:rPr>
            </w:pPr>
            <w:r w:rsidRPr="00B04A8B">
              <w:rPr>
                <w:rFonts w:ascii="Arial" w:hAnsi="Arial" w:cs="Arial"/>
                <w:color w:val="000000"/>
                <w:sz w:val="22"/>
                <w:szCs w:val="22"/>
              </w:rPr>
              <w:t>Comprises</w:t>
            </w:r>
          </w:p>
        </w:tc>
        <w:tc>
          <w:tcPr>
            <w:tcW w:w="1440" w:type="dxa"/>
            <w:tcBorders>
              <w:top w:val="nil"/>
              <w:left w:val="nil"/>
              <w:bottom w:val="nil"/>
              <w:right w:val="single" w:sz="8" w:space="0" w:color="auto"/>
            </w:tcBorders>
            <w:shd w:val="clear" w:color="000000" w:fill="D9D9D9"/>
            <w:vAlign w:val="center"/>
            <w:hideMark/>
          </w:tcPr>
          <w:p w14:paraId="5EDDC263" w14:textId="77777777" w:rsidR="00CB68BF" w:rsidRPr="007F19B1" w:rsidRDefault="00CB68BF">
            <w:pPr>
              <w:rPr>
                <w:rFonts w:ascii="Arial" w:hAnsi="Arial" w:cs="Arial"/>
                <w:color w:val="000000"/>
                <w:sz w:val="22"/>
                <w:szCs w:val="22"/>
              </w:rPr>
            </w:pPr>
            <w:r w:rsidRPr="007F19B1">
              <w:rPr>
                <w:rFonts w:ascii="Arial" w:hAnsi="Arial" w:cs="Arial"/>
                <w:color w:val="000000"/>
                <w:sz w:val="22"/>
                <w:szCs w:val="22"/>
              </w:rPr>
              <w:t> </w:t>
            </w:r>
          </w:p>
        </w:tc>
      </w:tr>
      <w:tr w:rsidR="00CB68BF" w:rsidRPr="00B04A8B" w14:paraId="40FBBE55" w14:textId="77777777">
        <w:trPr>
          <w:trHeight w:val="300"/>
        </w:trPr>
        <w:tc>
          <w:tcPr>
            <w:tcW w:w="1700" w:type="dxa"/>
            <w:tcBorders>
              <w:top w:val="nil"/>
              <w:left w:val="single" w:sz="8" w:space="0" w:color="auto"/>
              <w:bottom w:val="nil"/>
              <w:right w:val="nil"/>
            </w:tcBorders>
            <w:vAlign w:val="center"/>
            <w:hideMark/>
          </w:tcPr>
          <w:p w14:paraId="02327985" w14:textId="77777777" w:rsidR="00CB68BF" w:rsidRPr="00B04A8B" w:rsidRDefault="00CB68BF">
            <w:pPr>
              <w:jc w:val="right"/>
              <w:rPr>
                <w:rFonts w:ascii="Arial" w:hAnsi="Arial" w:cs="Arial"/>
                <w:color w:val="000000"/>
                <w:sz w:val="22"/>
                <w:szCs w:val="22"/>
              </w:rPr>
            </w:pPr>
            <w:r w:rsidRPr="00B04A8B">
              <w:rPr>
                <w:rFonts w:ascii="Arial" w:hAnsi="Arial" w:cs="Arial"/>
                <w:color w:val="000000"/>
                <w:sz w:val="22"/>
                <w:szCs w:val="22"/>
              </w:rPr>
              <w:t>7,</w:t>
            </w:r>
            <w:r>
              <w:rPr>
                <w:rFonts w:ascii="Arial" w:hAnsi="Arial" w:cs="Arial"/>
                <w:color w:val="000000"/>
                <w:sz w:val="22"/>
                <w:szCs w:val="22"/>
              </w:rPr>
              <w:t>630</w:t>
            </w:r>
          </w:p>
        </w:tc>
        <w:tc>
          <w:tcPr>
            <w:tcW w:w="2400" w:type="dxa"/>
            <w:tcBorders>
              <w:top w:val="nil"/>
              <w:left w:val="nil"/>
              <w:bottom w:val="nil"/>
              <w:right w:val="nil"/>
            </w:tcBorders>
            <w:shd w:val="clear" w:color="000000" w:fill="D9D9D9"/>
            <w:vAlign w:val="center"/>
            <w:hideMark/>
          </w:tcPr>
          <w:p w14:paraId="656CA314" w14:textId="77777777" w:rsidR="00CB68BF" w:rsidRPr="00B04A8B" w:rsidRDefault="00CB68BF">
            <w:pPr>
              <w:rPr>
                <w:rFonts w:ascii="Arial" w:hAnsi="Arial" w:cs="Arial"/>
                <w:color w:val="000000"/>
                <w:sz w:val="22"/>
                <w:szCs w:val="22"/>
              </w:rPr>
            </w:pPr>
            <w:r w:rsidRPr="00B04A8B">
              <w:rPr>
                <w:rFonts w:ascii="Arial" w:hAnsi="Arial" w:cs="Arial"/>
                <w:color w:val="000000"/>
                <w:sz w:val="22"/>
                <w:szCs w:val="22"/>
              </w:rPr>
              <w:t xml:space="preserve">Pensions </w:t>
            </w:r>
          </w:p>
        </w:tc>
        <w:tc>
          <w:tcPr>
            <w:tcW w:w="1440" w:type="dxa"/>
            <w:tcBorders>
              <w:top w:val="nil"/>
              <w:left w:val="nil"/>
              <w:bottom w:val="nil"/>
              <w:right w:val="single" w:sz="8" w:space="0" w:color="auto"/>
            </w:tcBorders>
            <w:shd w:val="clear" w:color="000000" w:fill="D9D9D9"/>
            <w:vAlign w:val="center"/>
            <w:hideMark/>
          </w:tcPr>
          <w:p w14:paraId="13B92637" w14:textId="77777777" w:rsidR="00CB68BF" w:rsidRPr="007F19B1" w:rsidRDefault="00CB68BF">
            <w:pPr>
              <w:jc w:val="right"/>
              <w:rPr>
                <w:rFonts w:ascii="Arial" w:hAnsi="Arial" w:cs="Arial"/>
                <w:color w:val="000000"/>
                <w:sz w:val="22"/>
                <w:szCs w:val="22"/>
              </w:rPr>
            </w:pPr>
            <w:r w:rsidRPr="007F19B1">
              <w:rPr>
                <w:rFonts w:ascii="Arial" w:hAnsi="Arial" w:cs="Arial"/>
                <w:color w:val="000000"/>
                <w:sz w:val="22"/>
                <w:szCs w:val="22"/>
              </w:rPr>
              <w:t>0</w:t>
            </w:r>
          </w:p>
        </w:tc>
      </w:tr>
      <w:tr w:rsidR="00CB68BF" w:rsidRPr="00B04A8B" w14:paraId="359711AF" w14:textId="77777777">
        <w:trPr>
          <w:trHeight w:val="300"/>
        </w:trPr>
        <w:tc>
          <w:tcPr>
            <w:tcW w:w="1700" w:type="dxa"/>
            <w:tcBorders>
              <w:top w:val="nil"/>
              <w:left w:val="single" w:sz="8" w:space="0" w:color="auto"/>
              <w:bottom w:val="nil"/>
              <w:right w:val="nil"/>
            </w:tcBorders>
            <w:vAlign w:val="center"/>
            <w:hideMark/>
          </w:tcPr>
          <w:p w14:paraId="14C19F1E" w14:textId="77777777" w:rsidR="00CB68BF" w:rsidRPr="00B04A8B" w:rsidRDefault="00CB68BF">
            <w:pPr>
              <w:jc w:val="right"/>
              <w:rPr>
                <w:rFonts w:ascii="Arial" w:hAnsi="Arial" w:cs="Arial"/>
                <w:color w:val="000000"/>
                <w:sz w:val="22"/>
                <w:szCs w:val="22"/>
              </w:rPr>
            </w:pPr>
            <w:r w:rsidRPr="00B04A8B">
              <w:rPr>
                <w:rFonts w:ascii="Arial" w:hAnsi="Arial" w:cs="Arial"/>
                <w:color w:val="000000"/>
                <w:sz w:val="22"/>
                <w:szCs w:val="22"/>
              </w:rPr>
              <w:t>4,4</w:t>
            </w:r>
            <w:r>
              <w:rPr>
                <w:rFonts w:ascii="Arial" w:hAnsi="Arial" w:cs="Arial"/>
                <w:color w:val="000000"/>
                <w:sz w:val="22"/>
                <w:szCs w:val="22"/>
              </w:rPr>
              <w:t>62</w:t>
            </w:r>
          </w:p>
        </w:tc>
        <w:tc>
          <w:tcPr>
            <w:tcW w:w="2400" w:type="dxa"/>
            <w:tcBorders>
              <w:top w:val="nil"/>
              <w:left w:val="nil"/>
              <w:bottom w:val="nil"/>
              <w:right w:val="nil"/>
            </w:tcBorders>
            <w:shd w:val="clear" w:color="000000" w:fill="D9D9D9"/>
            <w:vAlign w:val="center"/>
            <w:hideMark/>
          </w:tcPr>
          <w:p w14:paraId="63020C60" w14:textId="77777777" w:rsidR="00CB68BF" w:rsidRPr="00B04A8B" w:rsidRDefault="00CB68BF">
            <w:pPr>
              <w:rPr>
                <w:rFonts w:ascii="Arial" w:hAnsi="Arial" w:cs="Arial"/>
                <w:color w:val="000000"/>
                <w:sz w:val="22"/>
                <w:szCs w:val="22"/>
              </w:rPr>
            </w:pPr>
            <w:r w:rsidRPr="00B04A8B">
              <w:rPr>
                <w:rFonts w:ascii="Arial" w:hAnsi="Arial" w:cs="Arial"/>
                <w:color w:val="000000"/>
                <w:sz w:val="22"/>
                <w:szCs w:val="22"/>
              </w:rPr>
              <w:t>ICT Costs</w:t>
            </w:r>
          </w:p>
        </w:tc>
        <w:tc>
          <w:tcPr>
            <w:tcW w:w="1440" w:type="dxa"/>
            <w:tcBorders>
              <w:top w:val="nil"/>
              <w:left w:val="nil"/>
              <w:bottom w:val="nil"/>
              <w:right w:val="single" w:sz="8" w:space="0" w:color="auto"/>
            </w:tcBorders>
            <w:shd w:val="clear" w:color="000000" w:fill="D9D9D9"/>
            <w:vAlign w:val="center"/>
            <w:hideMark/>
          </w:tcPr>
          <w:p w14:paraId="60A1ADD8" w14:textId="77777777" w:rsidR="00CB68BF" w:rsidRPr="007F19B1" w:rsidRDefault="00CB68BF">
            <w:pPr>
              <w:jc w:val="right"/>
              <w:rPr>
                <w:rFonts w:ascii="Arial" w:hAnsi="Arial" w:cs="Arial"/>
                <w:color w:val="000000"/>
                <w:sz w:val="22"/>
                <w:szCs w:val="22"/>
              </w:rPr>
            </w:pPr>
            <w:r w:rsidRPr="007F19B1">
              <w:rPr>
                <w:rFonts w:ascii="Arial" w:hAnsi="Arial" w:cs="Arial"/>
                <w:color w:val="000000"/>
                <w:sz w:val="22"/>
                <w:szCs w:val="22"/>
              </w:rPr>
              <w:t>5,219</w:t>
            </w:r>
          </w:p>
        </w:tc>
      </w:tr>
      <w:tr w:rsidR="00CB68BF" w:rsidRPr="00B04A8B" w14:paraId="032A2DC9" w14:textId="77777777">
        <w:trPr>
          <w:trHeight w:val="300"/>
        </w:trPr>
        <w:tc>
          <w:tcPr>
            <w:tcW w:w="1700" w:type="dxa"/>
            <w:tcBorders>
              <w:top w:val="nil"/>
              <w:left w:val="single" w:sz="8" w:space="0" w:color="auto"/>
              <w:bottom w:val="single" w:sz="8" w:space="0" w:color="auto"/>
              <w:right w:val="nil"/>
            </w:tcBorders>
            <w:vAlign w:val="center"/>
            <w:hideMark/>
          </w:tcPr>
          <w:p w14:paraId="7F8E34B9" w14:textId="1A5F314A" w:rsidR="00CB68BF" w:rsidRPr="00B04A8B" w:rsidRDefault="009235DF">
            <w:pPr>
              <w:jc w:val="right"/>
              <w:rPr>
                <w:rFonts w:ascii="Arial" w:hAnsi="Arial" w:cs="Arial"/>
                <w:color w:val="000000"/>
                <w:sz w:val="22"/>
                <w:szCs w:val="22"/>
              </w:rPr>
            </w:pPr>
            <w:r>
              <w:rPr>
                <w:rFonts w:ascii="Arial" w:hAnsi="Arial" w:cs="Arial"/>
                <w:color w:val="000000"/>
                <w:sz w:val="22"/>
                <w:szCs w:val="22"/>
              </w:rPr>
              <w:t>206</w:t>
            </w:r>
          </w:p>
        </w:tc>
        <w:tc>
          <w:tcPr>
            <w:tcW w:w="2400" w:type="dxa"/>
            <w:tcBorders>
              <w:top w:val="nil"/>
              <w:left w:val="nil"/>
              <w:bottom w:val="nil"/>
              <w:right w:val="nil"/>
            </w:tcBorders>
            <w:shd w:val="clear" w:color="000000" w:fill="D9D9D9"/>
            <w:vAlign w:val="center"/>
            <w:hideMark/>
          </w:tcPr>
          <w:p w14:paraId="0D89885C" w14:textId="77777777" w:rsidR="00CB68BF" w:rsidRPr="00B04A8B" w:rsidRDefault="00CB68BF">
            <w:pPr>
              <w:rPr>
                <w:rFonts w:ascii="Arial" w:hAnsi="Arial" w:cs="Arial"/>
                <w:color w:val="000000"/>
                <w:sz w:val="22"/>
                <w:szCs w:val="22"/>
              </w:rPr>
            </w:pPr>
            <w:r w:rsidRPr="00B04A8B">
              <w:rPr>
                <w:rFonts w:ascii="Arial" w:hAnsi="Arial" w:cs="Arial"/>
                <w:color w:val="000000"/>
                <w:sz w:val="22"/>
                <w:szCs w:val="22"/>
              </w:rPr>
              <w:t>Miscellaneous Costs</w:t>
            </w:r>
          </w:p>
        </w:tc>
        <w:tc>
          <w:tcPr>
            <w:tcW w:w="1440" w:type="dxa"/>
            <w:tcBorders>
              <w:top w:val="nil"/>
              <w:left w:val="nil"/>
              <w:bottom w:val="single" w:sz="8" w:space="0" w:color="auto"/>
              <w:right w:val="single" w:sz="8" w:space="0" w:color="auto"/>
            </w:tcBorders>
            <w:shd w:val="clear" w:color="000000" w:fill="D9D9D9"/>
            <w:vAlign w:val="center"/>
            <w:hideMark/>
          </w:tcPr>
          <w:p w14:paraId="7040DB4E" w14:textId="77777777" w:rsidR="00CB68BF" w:rsidRPr="007F19B1" w:rsidRDefault="00CB68BF">
            <w:pPr>
              <w:jc w:val="right"/>
              <w:rPr>
                <w:rFonts w:ascii="Arial" w:hAnsi="Arial" w:cs="Arial"/>
                <w:color w:val="000000"/>
                <w:sz w:val="22"/>
                <w:szCs w:val="22"/>
              </w:rPr>
            </w:pPr>
            <w:r w:rsidRPr="007F19B1">
              <w:rPr>
                <w:rFonts w:ascii="Arial" w:hAnsi="Arial" w:cs="Arial"/>
                <w:color w:val="000000"/>
                <w:sz w:val="22"/>
                <w:szCs w:val="22"/>
              </w:rPr>
              <w:t>191</w:t>
            </w:r>
          </w:p>
        </w:tc>
      </w:tr>
      <w:tr w:rsidR="00CB68BF" w:rsidRPr="00B04A8B" w14:paraId="42C60EA1" w14:textId="77777777">
        <w:trPr>
          <w:trHeight w:val="300"/>
        </w:trPr>
        <w:tc>
          <w:tcPr>
            <w:tcW w:w="1700" w:type="dxa"/>
            <w:tcBorders>
              <w:top w:val="single" w:sz="8" w:space="0" w:color="auto"/>
              <w:left w:val="single" w:sz="8" w:space="0" w:color="auto"/>
              <w:bottom w:val="single" w:sz="8" w:space="0" w:color="auto"/>
              <w:right w:val="nil"/>
            </w:tcBorders>
            <w:vAlign w:val="center"/>
            <w:hideMark/>
          </w:tcPr>
          <w:p w14:paraId="042B219C" w14:textId="4C5DFDCF" w:rsidR="00CB68BF" w:rsidRPr="00B04A8B" w:rsidRDefault="00CB68BF">
            <w:pPr>
              <w:jc w:val="right"/>
              <w:rPr>
                <w:rFonts w:ascii="Arial" w:hAnsi="Arial" w:cs="Arial"/>
                <w:b/>
                <w:bCs/>
                <w:color w:val="000000"/>
                <w:sz w:val="22"/>
                <w:szCs w:val="22"/>
              </w:rPr>
            </w:pPr>
            <w:r w:rsidRPr="00B04A8B">
              <w:rPr>
                <w:rFonts w:ascii="Arial" w:hAnsi="Arial" w:cs="Arial"/>
                <w:b/>
                <w:bCs/>
                <w:color w:val="000000"/>
                <w:sz w:val="22"/>
                <w:szCs w:val="22"/>
              </w:rPr>
              <w:t>1</w:t>
            </w:r>
            <w:r>
              <w:rPr>
                <w:rFonts w:ascii="Arial" w:hAnsi="Arial" w:cs="Arial"/>
                <w:b/>
                <w:bCs/>
                <w:color w:val="000000"/>
                <w:sz w:val="22"/>
                <w:szCs w:val="22"/>
              </w:rPr>
              <w:t>2</w:t>
            </w:r>
            <w:r w:rsidRPr="00B04A8B">
              <w:rPr>
                <w:rFonts w:ascii="Arial" w:hAnsi="Arial" w:cs="Arial"/>
                <w:b/>
                <w:bCs/>
                <w:color w:val="000000"/>
                <w:sz w:val="22"/>
                <w:szCs w:val="22"/>
              </w:rPr>
              <w:t>,</w:t>
            </w:r>
            <w:r>
              <w:rPr>
                <w:rFonts w:ascii="Arial" w:hAnsi="Arial" w:cs="Arial"/>
                <w:b/>
                <w:bCs/>
                <w:color w:val="000000"/>
                <w:sz w:val="22"/>
                <w:szCs w:val="22"/>
              </w:rPr>
              <w:t>2</w:t>
            </w:r>
            <w:r w:rsidR="009235DF">
              <w:rPr>
                <w:rFonts w:ascii="Arial" w:hAnsi="Arial" w:cs="Arial"/>
                <w:b/>
                <w:bCs/>
                <w:color w:val="000000"/>
                <w:sz w:val="22"/>
                <w:szCs w:val="22"/>
              </w:rPr>
              <w:t>98</w:t>
            </w:r>
          </w:p>
        </w:tc>
        <w:tc>
          <w:tcPr>
            <w:tcW w:w="2400" w:type="dxa"/>
            <w:tcBorders>
              <w:top w:val="nil"/>
              <w:left w:val="nil"/>
              <w:bottom w:val="single" w:sz="8" w:space="0" w:color="auto"/>
              <w:right w:val="nil"/>
            </w:tcBorders>
            <w:shd w:val="clear" w:color="000000" w:fill="D9D9D9"/>
            <w:vAlign w:val="center"/>
            <w:hideMark/>
          </w:tcPr>
          <w:p w14:paraId="05B509E3" w14:textId="77777777" w:rsidR="00CB68BF" w:rsidRPr="00B04A8B" w:rsidRDefault="00CB68BF">
            <w:pPr>
              <w:rPr>
                <w:rFonts w:ascii="Arial" w:hAnsi="Arial" w:cs="Arial"/>
                <w:b/>
                <w:bCs/>
                <w:color w:val="000000"/>
                <w:sz w:val="22"/>
                <w:szCs w:val="22"/>
              </w:rPr>
            </w:pPr>
            <w:r w:rsidRPr="00B04A8B">
              <w:rPr>
                <w:rFonts w:ascii="Arial" w:hAnsi="Arial" w:cs="Arial"/>
                <w:b/>
                <w:bCs/>
                <w:color w:val="000000"/>
                <w:sz w:val="22"/>
                <w:szCs w:val="22"/>
              </w:rPr>
              <w:t>Total</w:t>
            </w:r>
          </w:p>
        </w:tc>
        <w:tc>
          <w:tcPr>
            <w:tcW w:w="1440" w:type="dxa"/>
            <w:tcBorders>
              <w:top w:val="single" w:sz="8" w:space="0" w:color="auto"/>
              <w:left w:val="nil"/>
              <w:bottom w:val="single" w:sz="8" w:space="0" w:color="auto"/>
              <w:right w:val="single" w:sz="8" w:space="0" w:color="auto"/>
            </w:tcBorders>
            <w:shd w:val="clear" w:color="000000" w:fill="D9D9D9"/>
            <w:vAlign w:val="center"/>
            <w:hideMark/>
          </w:tcPr>
          <w:p w14:paraId="0D48F405" w14:textId="77777777" w:rsidR="00CB68BF" w:rsidRPr="007F19B1" w:rsidRDefault="00CB68BF">
            <w:pPr>
              <w:jc w:val="right"/>
              <w:rPr>
                <w:rFonts w:ascii="Arial" w:hAnsi="Arial" w:cs="Arial"/>
                <w:b/>
                <w:bCs/>
                <w:color w:val="000000"/>
                <w:sz w:val="22"/>
                <w:szCs w:val="22"/>
              </w:rPr>
            </w:pPr>
            <w:r w:rsidRPr="007F19B1">
              <w:rPr>
                <w:rFonts w:ascii="Arial" w:hAnsi="Arial" w:cs="Arial"/>
                <w:b/>
                <w:bCs/>
                <w:color w:val="000000"/>
                <w:sz w:val="22"/>
                <w:szCs w:val="22"/>
              </w:rPr>
              <w:t>5,410</w:t>
            </w:r>
          </w:p>
        </w:tc>
      </w:tr>
    </w:tbl>
    <w:p w14:paraId="432C0CDF" w14:textId="77777777" w:rsidR="00CB68BF" w:rsidRDefault="00CB68BF" w:rsidP="00CB68BF">
      <w:pPr>
        <w:ind w:left="720"/>
        <w:rPr>
          <w:rFonts w:ascii="Arial" w:hAnsi="Arial"/>
          <w:bCs/>
          <w:sz w:val="22"/>
          <w:szCs w:val="22"/>
        </w:rPr>
      </w:pPr>
    </w:p>
    <w:p w14:paraId="0C386F46" w14:textId="1102DD97" w:rsidR="00EA7D57" w:rsidRDefault="00EA7D57" w:rsidP="00CB68BF">
      <w:pPr>
        <w:ind w:left="720"/>
        <w:rPr>
          <w:rFonts w:ascii="Arial" w:hAnsi="Arial"/>
          <w:bCs/>
          <w:sz w:val="22"/>
          <w:szCs w:val="22"/>
        </w:rPr>
      </w:pPr>
      <w:r w:rsidRPr="00957809">
        <w:rPr>
          <w:rFonts w:ascii="Arial" w:hAnsi="Arial"/>
          <w:bCs/>
          <w:sz w:val="22"/>
          <w:szCs w:val="22"/>
        </w:rPr>
        <w:t>The miscellaneous costs figure for 23/24 has been adjusted for the effects of IFRS 16 (£64K)</w:t>
      </w:r>
    </w:p>
    <w:p w14:paraId="380E7B0E" w14:textId="0FE657B2" w:rsidR="00960780" w:rsidRDefault="00960780" w:rsidP="00744D72">
      <w:pPr>
        <w:jc w:val="right"/>
        <w:rPr>
          <w:rFonts w:ascii="Arial" w:hAnsi="Arial"/>
          <w:b/>
          <w:sz w:val="22"/>
          <w:szCs w:val="22"/>
        </w:rPr>
      </w:pPr>
    </w:p>
    <w:p w14:paraId="5ABA8FEA" w14:textId="2042A707" w:rsidR="003B74DA" w:rsidRPr="00255AA7" w:rsidRDefault="003B74DA" w:rsidP="003B74DA">
      <w:pPr>
        <w:numPr>
          <w:ilvl w:val="0"/>
          <w:numId w:val="1"/>
        </w:numPr>
        <w:tabs>
          <w:tab w:val="clear" w:pos="720"/>
          <w:tab w:val="num" w:pos="426"/>
          <w:tab w:val="right" w:pos="5760"/>
        </w:tabs>
        <w:rPr>
          <w:rFonts w:ascii="Arial" w:hAnsi="Arial"/>
          <w:b/>
          <w:sz w:val="22"/>
          <w:szCs w:val="22"/>
        </w:rPr>
      </w:pPr>
      <w:r w:rsidRPr="00255AA7">
        <w:rPr>
          <w:rFonts w:ascii="Arial" w:hAnsi="Arial"/>
          <w:b/>
          <w:sz w:val="22"/>
          <w:szCs w:val="22"/>
        </w:rPr>
        <w:t>Creditors</w:t>
      </w:r>
    </w:p>
    <w:p w14:paraId="141EB977" w14:textId="77777777" w:rsidR="009D5E7D" w:rsidRPr="00255AA7" w:rsidRDefault="009D5E7D" w:rsidP="008A5600">
      <w:pPr>
        <w:tabs>
          <w:tab w:val="right" w:pos="5760"/>
        </w:tabs>
        <w:rPr>
          <w:rFonts w:ascii="Arial" w:hAnsi="Arial"/>
          <w:b/>
          <w:sz w:val="22"/>
          <w:szCs w:val="22"/>
        </w:rPr>
      </w:pPr>
    </w:p>
    <w:tbl>
      <w:tblPr>
        <w:tblW w:w="9404" w:type="dxa"/>
        <w:tblInd w:w="6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418"/>
        <w:gridCol w:w="1418"/>
        <w:gridCol w:w="3732"/>
        <w:gridCol w:w="1418"/>
        <w:gridCol w:w="1418"/>
      </w:tblGrid>
      <w:tr w:rsidR="00E811B0" w:rsidRPr="00255AA7" w14:paraId="2B162DAB" w14:textId="77777777" w:rsidTr="00CC2A77">
        <w:trPr>
          <w:trHeight w:val="290"/>
        </w:trPr>
        <w:tc>
          <w:tcPr>
            <w:tcW w:w="2836" w:type="dxa"/>
            <w:gridSpan w:val="2"/>
            <w:shd w:val="clear" w:color="000000" w:fill="CCCCCC"/>
            <w:vAlign w:val="center"/>
            <w:hideMark/>
          </w:tcPr>
          <w:p w14:paraId="03259E76" w14:textId="77777777" w:rsidR="00E811B0" w:rsidRPr="00255AA7" w:rsidRDefault="00E811B0" w:rsidP="00E811B0">
            <w:pPr>
              <w:jc w:val="center"/>
              <w:rPr>
                <w:rFonts w:ascii="Arial" w:hAnsi="Arial" w:cs="Arial"/>
                <w:b/>
                <w:bCs/>
                <w:color w:val="000000"/>
                <w:sz w:val="22"/>
                <w:szCs w:val="22"/>
              </w:rPr>
            </w:pPr>
            <w:r w:rsidRPr="00255AA7">
              <w:rPr>
                <w:rFonts w:ascii="Arial" w:hAnsi="Arial" w:cs="Arial"/>
                <w:b/>
                <w:bCs/>
                <w:color w:val="000000"/>
                <w:sz w:val="22"/>
                <w:szCs w:val="22"/>
              </w:rPr>
              <w:t>PCC</w:t>
            </w:r>
          </w:p>
        </w:tc>
        <w:tc>
          <w:tcPr>
            <w:tcW w:w="3732" w:type="dxa"/>
            <w:shd w:val="clear" w:color="000000" w:fill="CCCCCC"/>
            <w:vAlign w:val="center"/>
            <w:hideMark/>
          </w:tcPr>
          <w:p w14:paraId="553CBB87" w14:textId="77777777" w:rsidR="00E811B0" w:rsidRPr="00255AA7" w:rsidRDefault="00E811B0" w:rsidP="00E811B0">
            <w:pPr>
              <w:rPr>
                <w:rFonts w:ascii="Arial" w:hAnsi="Arial" w:cs="Arial"/>
                <w:b/>
                <w:bCs/>
                <w:color w:val="000000"/>
                <w:sz w:val="22"/>
                <w:szCs w:val="22"/>
              </w:rPr>
            </w:pPr>
            <w:r w:rsidRPr="00255AA7">
              <w:rPr>
                <w:rFonts w:ascii="Arial" w:hAnsi="Arial" w:cs="Arial"/>
                <w:b/>
                <w:bCs/>
                <w:color w:val="000000"/>
                <w:sz w:val="22"/>
                <w:szCs w:val="22"/>
              </w:rPr>
              <w:t> </w:t>
            </w:r>
          </w:p>
        </w:tc>
        <w:tc>
          <w:tcPr>
            <w:tcW w:w="2836" w:type="dxa"/>
            <w:gridSpan w:val="2"/>
            <w:shd w:val="clear" w:color="000000" w:fill="CCCCCC"/>
            <w:vAlign w:val="center"/>
            <w:hideMark/>
          </w:tcPr>
          <w:p w14:paraId="15F31FC3" w14:textId="77777777" w:rsidR="00E811B0" w:rsidRPr="00255AA7" w:rsidRDefault="00E811B0" w:rsidP="00E811B0">
            <w:pPr>
              <w:jc w:val="center"/>
              <w:rPr>
                <w:rFonts w:ascii="Arial" w:hAnsi="Arial" w:cs="Arial"/>
                <w:b/>
                <w:bCs/>
                <w:color w:val="000000"/>
                <w:sz w:val="22"/>
                <w:szCs w:val="22"/>
              </w:rPr>
            </w:pPr>
            <w:r w:rsidRPr="00255AA7">
              <w:rPr>
                <w:rFonts w:ascii="Arial" w:hAnsi="Arial" w:cs="Arial"/>
                <w:b/>
                <w:bCs/>
                <w:color w:val="000000"/>
                <w:sz w:val="22"/>
                <w:szCs w:val="22"/>
              </w:rPr>
              <w:t>PCC Group</w:t>
            </w:r>
          </w:p>
        </w:tc>
      </w:tr>
      <w:tr w:rsidR="00E811B0" w:rsidRPr="00255AA7" w14:paraId="5148C78A" w14:textId="77777777" w:rsidTr="00CC2A77">
        <w:trPr>
          <w:trHeight w:val="290"/>
        </w:trPr>
        <w:tc>
          <w:tcPr>
            <w:tcW w:w="1418" w:type="dxa"/>
            <w:shd w:val="clear" w:color="000000" w:fill="auto"/>
            <w:vAlign w:val="center"/>
            <w:hideMark/>
          </w:tcPr>
          <w:p w14:paraId="595127D7" w14:textId="77777777" w:rsidR="00E811B0" w:rsidRDefault="00E811B0" w:rsidP="00E811B0">
            <w:pPr>
              <w:jc w:val="right"/>
              <w:rPr>
                <w:rFonts w:ascii="Arial" w:hAnsi="Arial" w:cs="Arial"/>
                <w:b/>
                <w:bCs/>
                <w:color w:val="000000"/>
                <w:sz w:val="22"/>
                <w:szCs w:val="22"/>
              </w:rPr>
            </w:pPr>
            <w:r w:rsidRPr="00255AA7">
              <w:rPr>
                <w:rFonts w:ascii="Arial" w:hAnsi="Arial" w:cs="Arial"/>
                <w:b/>
                <w:bCs/>
                <w:color w:val="000000"/>
                <w:sz w:val="22"/>
                <w:szCs w:val="22"/>
              </w:rPr>
              <w:t>31-Mar-2</w:t>
            </w:r>
            <w:r w:rsidR="00E71EA4">
              <w:rPr>
                <w:rFonts w:ascii="Arial" w:hAnsi="Arial" w:cs="Arial"/>
                <w:b/>
                <w:bCs/>
                <w:color w:val="000000"/>
                <w:sz w:val="22"/>
                <w:szCs w:val="22"/>
              </w:rPr>
              <w:t>4</w:t>
            </w:r>
          </w:p>
          <w:p w14:paraId="0CE2CAF2" w14:textId="0881C98A" w:rsidR="0078160C" w:rsidRPr="00255AA7" w:rsidRDefault="0078160C" w:rsidP="00E811B0">
            <w:pPr>
              <w:jc w:val="right"/>
              <w:rPr>
                <w:rFonts w:ascii="Arial" w:hAnsi="Arial" w:cs="Arial"/>
                <w:b/>
                <w:bCs/>
                <w:color w:val="000000"/>
                <w:sz w:val="22"/>
                <w:szCs w:val="22"/>
              </w:rPr>
            </w:pPr>
            <w:r>
              <w:rPr>
                <w:rFonts w:ascii="Arial" w:hAnsi="Arial" w:cs="Arial"/>
                <w:b/>
                <w:bCs/>
                <w:color w:val="000000"/>
                <w:sz w:val="22"/>
                <w:szCs w:val="22"/>
              </w:rPr>
              <w:t>(restated)</w:t>
            </w:r>
          </w:p>
        </w:tc>
        <w:tc>
          <w:tcPr>
            <w:tcW w:w="1418" w:type="dxa"/>
            <w:shd w:val="clear" w:color="000000" w:fill="CCCCCC"/>
            <w:vAlign w:val="center"/>
            <w:hideMark/>
          </w:tcPr>
          <w:p w14:paraId="739066E0" w14:textId="0214388A" w:rsidR="00E811B0" w:rsidRPr="00255AA7" w:rsidRDefault="00E811B0" w:rsidP="00E811B0">
            <w:pPr>
              <w:jc w:val="right"/>
              <w:rPr>
                <w:rFonts w:ascii="Arial" w:hAnsi="Arial" w:cs="Arial"/>
                <w:b/>
                <w:bCs/>
                <w:color w:val="000000"/>
                <w:sz w:val="22"/>
                <w:szCs w:val="22"/>
              </w:rPr>
            </w:pPr>
            <w:r w:rsidRPr="00255AA7">
              <w:rPr>
                <w:rFonts w:ascii="Arial" w:hAnsi="Arial" w:cs="Arial"/>
                <w:b/>
                <w:bCs/>
                <w:color w:val="000000"/>
                <w:sz w:val="22"/>
                <w:szCs w:val="22"/>
              </w:rPr>
              <w:t>31-Mar-2</w:t>
            </w:r>
            <w:r w:rsidR="00E71EA4">
              <w:rPr>
                <w:rFonts w:ascii="Arial" w:hAnsi="Arial" w:cs="Arial"/>
                <w:b/>
                <w:bCs/>
                <w:color w:val="000000"/>
                <w:sz w:val="22"/>
                <w:szCs w:val="22"/>
              </w:rPr>
              <w:t>5</w:t>
            </w:r>
          </w:p>
        </w:tc>
        <w:tc>
          <w:tcPr>
            <w:tcW w:w="3732" w:type="dxa"/>
            <w:shd w:val="clear" w:color="000000" w:fill="auto"/>
            <w:vAlign w:val="center"/>
            <w:hideMark/>
          </w:tcPr>
          <w:p w14:paraId="05C78BBA" w14:textId="77777777" w:rsidR="00E811B0" w:rsidRPr="00F45DDE" w:rsidRDefault="00E811B0" w:rsidP="00E811B0">
            <w:pPr>
              <w:jc w:val="right"/>
              <w:rPr>
                <w:rFonts w:ascii="Arial" w:hAnsi="Arial" w:cs="Arial"/>
                <w:b/>
                <w:bCs/>
                <w:color w:val="000000"/>
                <w:sz w:val="22"/>
                <w:szCs w:val="22"/>
              </w:rPr>
            </w:pPr>
          </w:p>
        </w:tc>
        <w:tc>
          <w:tcPr>
            <w:tcW w:w="1418" w:type="dxa"/>
            <w:shd w:val="clear" w:color="000000" w:fill="auto"/>
            <w:vAlign w:val="center"/>
            <w:hideMark/>
          </w:tcPr>
          <w:p w14:paraId="26280334" w14:textId="77777777" w:rsidR="00E811B0" w:rsidRDefault="00E811B0" w:rsidP="00E811B0">
            <w:pPr>
              <w:jc w:val="right"/>
              <w:rPr>
                <w:rFonts w:ascii="Arial" w:hAnsi="Arial" w:cs="Arial"/>
                <w:b/>
                <w:bCs/>
                <w:color w:val="000000"/>
                <w:sz w:val="22"/>
                <w:szCs w:val="22"/>
              </w:rPr>
            </w:pPr>
            <w:r w:rsidRPr="00F45DDE">
              <w:rPr>
                <w:rFonts w:ascii="Arial" w:hAnsi="Arial" w:cs="Arial"/>
                <w:b/>
                <w:bCs/>
                <w:color w:val="000000"/>
                <w:sz w:val="22"/>
                <w:szCs w:val="22"/>
              </w:rPr>
              <w:t>31-Mar-2</w:t>
            </w:r>
            <w:r w:rsidR="00E71EA4">
              <w:rPr>
                <w:rFonts w:ascii="Arial" w:hAnsi="Arial" w:cs="Arial"/>
                <w:b/>
                <w:bCs/>
                <w:color w:val="000000"/>
                <w:sz w:val="22"/>
                <w:szCs w:val="22"/>
              </w:rPr>
              <w:t>4</w:t>
            </w:r>
          </w:p>
          <w:p w14:paraId="534804DC" w14:textId="32A84E9A" w:rsidR="0078160C" w:rsidRPr="00F45DDE" w:rsidRDefault="0078160C" w:rsidP="00E811B0">
            <w:pPr>
              <w:jc w:val="right"/>
              <w:rPr>
                <w:rFonts w:ascii="Arial" w:hAnsi="Arial" w:cs="Arial"/>
                <w:b/>
                <w:bCs/>
                <w:color w:val="000000"/>
                <w:sz w:val="22"/>
                <w:szCs w:val="22"/>
              </w:rPr>
            </w:pPr>
            <w:r>
              <w:rPr>
                <w:rFonts w:ascii="Arial" w:hAnsi="Arial" w:cs="Arial"/>
                <w:b/>
                <w:bCs/>
                <w:color w:val="000000"/>
                <w:sz w:val="22"/>
                <w:szCs w:val="22"/>
              </w:rPr>
              <w:t>(restated)</w:t>
            </w:r>
          </w:p>
        </w:tc>
        <w:tc>
          <w:tcPr>
            <w:tcW w:w="1418" w:type="dxa"/>
            <w:shd w:val="clear" w:color="000000" w:fill="D0CECE"/>
            <w:vAlign w:val="center"/>
            <w:hideMark/>
          </w:tcPr>
          <w:p w14:paraId="0CEF3ECC" w14:textId="5ACCD92D" w:rsidR="00E811B0" w:rsidRPr="00F45DDE" w:rsidRDefault="00E811B0" w:rsidP="00E811B0">
            <w:pPr>
              <w:jc w:val="right"/>
              <w:rPr>
                <w:rFonts w:ascii="Arial" w:hAnsi="Arial" w:cs="Arial"/>
                <w:b/>
                <w:bCs/>
                <w:color w:val="000000"/>
                <w:sz w:val="22"/>
                <w:szCs w:val="22"/>
              </w:rPr>
            </w:pPr>
            <w:r w:rsidRPr="00F45DDE">
              <w:rPr>
                <w:rFonts w:ascii="Arial" w:hAnsi="Arial" w:cs="Arial"/>
                <w:b/>
                <w:bCs/>
                <w:color w:val="000000"/>
                <w:sz w:val="22"/>
                <w:szCs w:val="22"/>
              </w:rPr>
              <w:t>31-Mar-2</w:t>
            </w:r>
            <w:r w:rsidR="00E71EA4">
              <w:rPr>
                <w:rFonts w:ascii="Arial" w:hAnsi="Arial" w:cs="Arial"/>
                <w:b/>
                <w:bCs/>
                <w:color w:val="000000"/>
                <w:sz w:val="22"/>
                <w:szCs w:val="22"/>
              </w:rPr>
              <w:t>5</w:t>
            </w:r>
          </w:p>
        </w:tc>
      </w:tr>
      <w:tr w:rsidR="00E811B0" w:rsidRPr="00255AA7" w14:paraId="097BDB85" w14:textId="77777777" w:rsidTr="00CC2A77">
        <w:trPr>
          <w:trHeight w:val="290"/>
        </w:trPr>
        <w:tc>
          <w:tcPr>
            <w:tcW w:w="1418" w:type="dxa"/>
            <w:shd w:val="clear" w:color="000000" w:fill="auto"/>
            <w:vAlign w:val="center"/>
            <w:hideMark/>
          </w:tcPr>
          <w:p w14:paraId="701BD225" w14:textId="77777777" w:rsidR="00E811B0" w:rsidRPr="00255AA7" w:rsidRDefault="00E811B0" w:rsidP="00E811B0">
            <w:pPr>
              <w:jc w:val="right"/>
              <w:rPr>
                <w:rFonts w:ascii="Arial" w:hAnsi="Arial" w:cs="Arial"/>
                <w:b/>
                <w:bCs/>
                <w:color w:val="000000"/>
                <w:sz w:val="22"/>
                <w:szCs w:val="22"/>
              </w:rPr>
            </w:pPr>
            <w:r w:rsidRPr="00255AA7">
              <w:rPr>
                <w:rFonts w:ascii="Arial" w:hAnsi="Arial" w:cs="Arial"/>
                <w:b/>
                <w:bCs/>
                <w:color w:val="000000"/>
                <w:sz w:val="22"/>
                <w:szCs w:val="22"/>
              </w:rPr>
              <w:t>£000</w:t>
            </w:r>
          </w:p>
        </w:tc>
        <w:tc>
          <w:tcPr>
            <w:tcW w:w="1418" w:type="dxa"/>
            <w:shd w:val="clear" w:color="000000" w:fill="CCCCCC"/>
            <w:vAlign w:val="center"/>
            <w:hideMark/>
          </w:tcPr>
          <w:p w14:paraId="7659CD8C" w14:textId="77777777" w:rsidR="00E811B0" w:rsidRPr="00255AA7" w:rsidRDefault="00E811B0" w:rsidP="00E811B0">
            <w:pPr>
              <w:jc w:val="right"/>
              <w:rPr>
                <w:rFonts w:ascii="Arial" w:hAnsi="Arial" w:cs="Arial"/>
                <w:b/>
                <w:bCs/>
                <w:color w:val="000000"/>
                <w:sz w:val="22"/>
                <w:szCs w:val="22"/>
              </w:rPr>
            </w:pPr>
            <w:r w:rsidRPr="00255AA7">
              <w:rPr>
                <w:rFonts w:ascii="Arial" w:hAnsi="Arial" w:cs="Arial"/>
                <w:b/>
                <w:bCs/>
                <w:color w:val="000000"/>
                <w:sz w:val="22"/>
                <w:szCs w:val="22"/>
              </w:rPr>
              <w:t>£000</w:t>
            </w:r>
          </w:p>
        </w:tc>
        <w:tc>
          <w:tcPr>
            <w:tcW w:w="3732" w:type="dxa"/>
            <w:shd w:val="clear" w:color="000000" w:fill="auto"/>
            <w:vAlign w:val="center"/>
            <w:hideMark/>
          </w:tcPr>
          <w:p w14:paraId="6E2F7AA7" w14:textId="77777777" w:rsidR="00E811B0" w:rsidRPr="00F45DDE" w:rsidRDefault="00E811B0" w:rsidP="00E811B0">
            <w:pPr>
              <w:jc w:val="right"/>
              <w:rPr>
                <w:rFonts w:ascii="Arial" w:hAnsi="Arial" w:cs="Arial"/>
                <w:b/>
                <w:bCs/>
                <w:color w:val="000000"/>
                <w:sz w:val="22"/>
                <w:szCs w:val="22"/>
              </w:rPr>
            </w:pPr>
          </w:p>
        </w:tc>
        <w:tc>
          <w:tcPr>
            <w:tcW w:w="1418" w:type="dxa"/>
            <w:shd w:val="clear" w:color="000000" w:fill="auto"/>
            <w:vAlign w:val="center"/>
            <w:hideMark/>
          </w:tcPr>
          <w:p w14:paraId="2E81502E" w14:textId="77777777" w:rsidR="00E811B0" w:rsidRPr="00F45DDE" w:rsidRDefault="00E811B0" w:rsidP="00E811B0">
            <w:pPr>
              <w:jc w:val="right"/>
              <w:rPr>
                <w:rFonts w:ascii="Arial" w:hAnsi="Arial" w:cs="Arial"/>
                <w:b/>
                <w:bCs/>
                <w:color w:val="000000"/>
                <w:sz w:val="22"/>
                <w:szCs w:val="22"/>
              </w:rPr>
            </w:pPr>
            <w:r w:rsidRPr="00F45DDE">
              <w:rPr>
                <w:rFonts w:ascii="Arial" w:hAnsi="Arial" w:cs="Arial"/>
                <w:b/>
                <w:bCs/>
                <w:color w:val="000000"/>
                <w:sz w:val="22"/>
                <w:szCs w:val="22"/>
              </w:rPr>
              <w:t>£000</w:t>
            </w:r>
          </w:p>
        </w:tc>
        <w:tc>
          <w:tcPr>
            <w:tcW w:w="1418" w:type="dxa"/>
            <w:shd w:val="clear" w:color="000000" w:fill="D0CECE"/>
            <w:vAlign w:val="center"/>
            <w:hideMark/>
          </w:tcPr>
          <w:p w14:paraId="31EDC3C3" w14:textId="77777777" w:rsidR="00E811B0" w:rsidRPr="00F45DDE" w:rsidRDefault="00E811B0" w:rsidP="00E811B0">
            <w:pPr>
              <w:jc w:val="right"/>
              <w:rPr>
                <w:rFonts w:ascii="Arial" w:hAnsi="Arial" w:cs="Arial"/>
                <w:b/>
                <w:bCs/>
                <w:color w:val="000000"/>
                <w:sz w:val="22"/>
                <w:szCs w:val="22"/>
              </w:rPr>
            </w:pPr>
            <w:r w:rsidRPr="00F45DDE">
              <w:rPr>
                <w:rFonts w:ascii="Arial" w:hAnsi="Arial" w:cs="Arial"/>
                <w:b/>
                <w:bCs/>
                <w:color w:val="000000"/>
                <w:sz w:val="22"/>
                <w:szCs w:val="22"/>
              </w:rPr>
              <w:t>£000</w:t>
            </w:r>
          </w:p>
        </w:tc>
      </w:tr>
      <w:tr w:rsidR="00E811B0" w:rsidRPr="00255AA7" w14:paraId="77DE5D0B" w14:textId="77777777" w:rsidTr="00CC2A77">
        <w:trPr>
          <w:trHeight w:val="290"/>
        </w:trPr>
        <w:tc>
          <w:tcPr>
            <w:tcW w:w="1418" w:type="dxa"/>
            <w:vAlign w:val="center"/>
            <w:hideMark/>
          </w:tcPr>
          <w:p w14:paraId="6FA14253" w14:textId="77777777" w:rsidR="00E811B0" w:rsidRPr="00255AA7" w:rsidRDefault="00E811B0" w:rsidP="00E811B0">
            <w:pPr>
              <w:jc w:val="right"/>
              <w:rPr>
                <w:rFonts w:ascii="Arial" w:hAnsi="Arial" w:cs="Arial"/>
                <w:color w:val="000000"/>
                <w:sz w:val="22"/>
                <w:szCs w:val="22"/>
              </w:rPr>
            </w:pPr>
            <w:r w:rsidRPr="00255AA7">
              <w:rPr>
                <w:rFonts w:ascii="Arial" w:hAnsi="Arial" w:cs="Arial"/>
                <w:color w:val="000000"/>
                <w:sz w:val="22"/>
                <w:szCs w:val="22"/>
              </w:rPr>
              <w:t> </w:t>
            </w:r>
          </w:p>
        </w:tc>
        <w:tc>
          <w:tcPr>
            <w:tcW w:w="1418" w:type="dxa"/>
            <w:shd w:val="clear" w:color="000000" w:fill="CCCCCC"/>
            <w:vAlign w:val="center"/>
            <w:hideMark/>
          </w:tcPr>
          <w:p w14:paraId="187A4F29" w14:textId="77777777" w:rsidR="00E811B0" w:rsidRPr="00255AA7" w:rsidRDefault="00E811B0" w:rsidP="00E811B0">
            <w:pPr>
              <w:jc w:val="right"/>
              <w:rPr>
                <w:rFonts w:ascii="Arial" w:hAnsi="Arial" w:cs="Arial"/>
                <w:b/>
                <w:bCs/>
                <w:color w:val="000000"/>
                <w:sz w:val="22"/>
                <w:szCs w:val="22"/>
              </w:rPr>
            </w:pPr>
            <w:r w:rsidRPr="00255AA7">
              <w:rPr>
                <w:rFonts w:ascii="Arial" w:hAnsi="Arial" w:cs="Arial"/>
                <w:b/>
                <w:bCs/>
                <w:color w:val="000000"/>
                <w:sz w:val="22"/>
                <w:szCs w:val="22"/>
              </w:rPr>
              <w:t> </w:t>
            </w:r>
          </w:p>
        </w:tc>
        <w:tc>
          <w:tcPr>
            <w:tcW w:w="3732" w:type="dxa"/>
            <w:shd w:val="clear" w:color="000000" w:fill="auto"/>
            <w:vAlign w:val="center"/>
            <w:hideMark/>
          </w:tcPr>
          <w:p w14:paraId="273B85AD" w14:textId="77777777" w:rsidR="00E811B0" w:rsidRPr="00F45DDE" w:rsidRDefault="00E811B0" w:rsidP="00E811B0">
            <w:pPr>
              <w:rPr>
                <w:rFonts w:ascii="Arial" w:hAnsi="Arial" w:cs="Arial"/>
                <w:color w:val="000000"/>
                <w:sz w:val="22"/>
                <w:szCs w:val="22"/>
              </w:rPr>
            </w:pPr>
            <w:r w:rsidRPr="00F45DDE">
              <w:rPr>
                <w:rFonts w:ascii="Arial" w:hAnsi="Arial" w:cs="Arial"/>
                <w:color w:val="000000"/>
                <w:sz w:val="22"/>
                <w:szCs w:val="22"/>
              </w:rPr>
              <w:t>Creditors comprise:</w:t>
            </w:r>
          </w:p>
        </w:tc>
        <w:tc>
          <w:tcPr>
            <w:tcW w:w="1418" w:type="dxa"/>
            <w:shd w:val="clear" w:color="000000" w:fill="auto"/>
            <w:vAlign w:val="center"/>
            <w:hideMark/>
          </w:tcPr>
          <w:p w14:paraId="31841703" w14:textId="77777777" w:rsidR="00E811B0" w:rsidRPr="00F45DDE" w:rsidRDefault="00E811B0" w:rsidP="00E811B0">
            <w:pPr>
              <w:rPr>
                <w:rFonts w:ascii="Arial" w:hAnsi="Arial" w:cs="Arial"/>
                <w:color w:val="000000"/>
                <w:sz w:val="22"/>
                <w:szCs w:val="22"/>
              </w:rPr>
            </w:pPr>
          </w:p>
        </w:tc>
        <w:tc>
          <w:tcPr>
            <w:tcW w:w="1418" w:type="dxa"/>
            <w:shd w:val="clear" w:color="000000" w:fill="D0CECE"/>
            <w:vAlign w:val="center"/>
            <w:hideMark/>
          </w:tcPr>
          <w:p w14:paraId="3373ADC6" w14:textId="77777777" w:rsidR="00E811B0" w:rsidRPr="00F45DDE" w:rsidRDefault="00E811B0" w:rsidP="00E811B0">
            <w:pPr>
              <w:jc w:val="right"/>
              <w:rPr>
                <w:rFonts w:ascii="Arial" w:hAnsi="Arial" w:cs="Arial"/>
                <w:color w:val="000000"/>
                <w:sz w:val="22"/>
                <w:szCs w:val="22"/>
              </w:rPr>
            </w:pPr>
            <w:r w:rsidRPr="00F45DDE">
              <w:rPr>
                <w:rFonts w:ascii="Arial" w:hAnsi="Arial" w:cs="Arial"/>
                <w:color w:val="000000"/>
                <w:sz w:val="22"/>
                <w:szCs w:val="22"/>
              </w:rPr>
              <w:t> </w:t>
            </w:r>
          </w:p>
        </w:tc>
      </w:tr>
      <w:tr w:rsidR="00E80FD4" w:rsidRPr="00255AA7" w14:paraId="3DA9CD3F" w14:textId="77777777" w:rsidTr="00CC2A77">
        <w:trPr>
          <w:trHeight w:val="290"/>
        </w:trPr>
        <w:tc>
          <w:tcPr>
            <w:tcW w:w="1418" w:type="dxa"/>
            <w:vAlign w:val="center"/>
            <w:hideMark/>
          </w:tcPr>
          <w:p w14:paraId="28A46037" w14:textId="6F307F6D" w:rsidR="00E80FD4" w:rsidRPr="00255AA7" w:rsidRDefault="00E80FD4" w:rsidP="00E80FD4">
            <w:pPr>
              <w:jc w:val="right"/>
              <w:rPr>
                <w:rFonts w:ascii="Arial" w:hAnsi="Arial" w:cs="Arial"/>
                <w:color w:val="000000"/>
                <w:sz w:val="22"/>
                <w:szCs w:val="22"/>
              </w:rPr>
            </w:pPr>
            <w:r>
              <w:rPr>
                <w:rFonts w:ascii="Arial" w:hAnsi="Arial" w:cs="Arial"/>
                <w:color w:val="000000"/>
                <w:sz w:val="22"/>
                <w:szCs w:val="22"/>
              </w:rPr>
              <w:t>17,319</w:t>
            </w:r>
          </w:p>
        </w:tc>
        <w:tc>
          <w:tcPr>
            <w:tcW w:w="1418" w:type="dxa"/>
            <w:shd w:val="clear" w:color="000000" w:fill="CCCCCC"/>
            <w:vAlign w:val="center"/>
            <w:hideMark/>
          </w:tcPr>
          <w:p w14:paraId="450BE324" w14:textId="12BEEE55" w:rsidR="00E80FD4" w:rsidRPr="00255AA7" w:rsidRDefault="00E80FD4" w:rsidP="00E80FD4">
            <w:pPr>
              <w:jc w:val="right"/>
              <w:rPr>
                <w:rFonts w:ascii="Arial" w:hAnsi="Arial" w:cs="Arial"/>
                <w:color w:val="000000"/>
                <w:sz w:val="22"/>
                <w:szCs w:val="22"/>
              </w:rPr>
            </w:pPr>
            <w:r>
              <w:rPr>
                <w:rFonts w:ascii="Arial" w:hAnsi="Arial" w:cs="Arial"/>
                <w:b/>
                <w:bCs/>
                <w:color w:val="000000"/>
                <w:sz w:val="22"/>
                <w:szCs w:val="22"/>
              </w:rPr>
              <w:t>22,</w:t>
            </w:r>
            <w:r w:rsidR="007A5885">
              <w:rPr>
                <w:rFonts w:ascii="Arial" w:hAnsi="Arial" w:cs="Arial"/>
                <w:b/>
                <w:bCs/>
                <w:color w:val="000000"/>
                <w:sz w:val="22"/>
                <w:szCs w:val="22"/>
              </w:rPr>
              <w:t>908</w:t>
            </w:r>
          </w:p>
        </w:tc>
        <w:tc>
          <w:tcPr>
            <w:tcW w:w="3732" w:type="dxa"/>
            <w:shd w:val="clear" w:color="000000" w:fill="auto"/>
            <w:vAlign w:val="center"/>
            <w:hideMark/>
          </w:tcPr>
          <w:p w14:paraId="7415A8A7" w14:textId="77777777" w:rsidR="00E80FD4" w:rsidRPr="00F45DDE" w:rsidRDefault="00E80FD4" w:rsidP="00E80FD4">
            <w:pPr>
              <w:rPr>
                <w:rFonts w:ascii="Arial" w:hAnsi="Arial" w:cs="Arial"/>
                <w:color w:val="000000"/>
                <w:sz w:val="22"/>
                <w:szCs w:val="22"/>
              </w:rPr>
            </w:pPr>
            <w:r w:rsidRPr="00F45DDE">
              <w:rPr>
                <w:rFonts w:ascii="Arial" w:hAnsi="Arial" w:cs="Arial"/>
                <w:color w:val="000000"/>
                <w:sz w:val="22"/>
                <w:szCs w:val="22"/>
              </w:rPr>
              <w:t>Trade creditors</w:t>
            </w:r>
          </w:p>
        </w:tc>
        <w:tc>
          <w:tcPr>
            <w:tcW w:w="1418" w:type="dxa"/>
            <w:vAlign w:val="center"/>
            <w:hideMark/>
          </w:tcPr>
          <w:p w14:paraId="7DF400EE" w14:textId="3DCABDBE" w:rsidR="00E80FD4" w:rsidRPr="00F45DDE" w:rsidRDefault="00E80FD4" w:rsidP="00E80FD4">
            <w:pPr>
              <w:jc w:val="right"/>
              <w:rPr>
                <w:rFonts w:ascii="Arial" w:hAnsi="Arial" w:cs="Arial"/>
                <w:color w:val="000000"/>
                <w:sz w:val="22"/>
                <w:szCs w:val="22"/>
              </w:rPr>
            </w:pPr>
            <w:r>
              <w:rPr>
                <w:rFonts w:ascii="Arial" w:hAnsi="Arial" w:cs="Arial"/>
                <w:color w:val="000000"/>
                <w:sz w:val="22"/>
                <w:szCs w:val="22"/>
              </w:rPr>
              <w:t>17,319</w:t>
            </w:r>
          </w:p>
        </w:tc>
        <w:tc>
          <w:tcPr>
            <w:tcW w:w="1418" w:type="dxa"/>
            <w:shd w:val="clear" w:color="000000" w:fill="D0CECE"/>
            <w:vAlign w:val="center"/>
            <w:hideMark/>
          </w:tcPr>
          <w:p w14:paraId="14D4AAD1" w14:textId="41C9DBDD" w:rsidR="00E80FD4" w:rsidRPr="00365BB6" w:rsidRDefault="00E80FD4" w:rsidP="00E80FD4">
            <w:pPr>
              <w:jc w:val="right"/>
              <w:rPr>
                <w:rFonts w:ascii="Arial" w:hAnsi="Arial" w:cs="Arial"/>
                <w:b/>
                <w:bCs/>
                <w:color w:val="000000"/>
                <w:sz w:val="22"/>
                <w:szCs w:val="22"/>
              </w:rPr>
            </w:pPr>
            <w:r w:rsidRPr="00365BB6">
              <w:rPr>
                <w:rFonts w:ascii="Arial" w:hAnsi="Arial" w:cs="Arial"/>
                <w:b/>
                <w:bCs/>
                <w:color w:val="000000"/>
                <w:sz w:val="22"/>
                <w:szCs w:val="22"/>
              </w:rPr>
              <w:t>22,</w:t>
            </w:r>
            <w:r w:rsidR="00B93BCE">
              <w:rPr>
                <w:rFonts w:ascii="Arial" w:hAnsi="Arial" w:cs="Arial"/>
                <w:b/>
                <w:bCs/>
                <w:color w:val="000000"/>
                <w:sz w:val="22"/>
                <w:szCs w:val="22"/>
              </w:rPr>
              <w:t>909</w:t>
            </w:r>
          </w:p>
        </w:tc>
      </w:tr>
      <w:tr w:rsidR="00E80FD4" w:rsidRPr="00255AA7" w14:paraId="330CEFDC" w14:textId="77777777" w:rsidTr="00CC2A77">
        <w:trPr>
          <w:trHeight w:val="290"/>
        </w:trPr>
        <w:tc>
          <w:tcPr>
            <w:tcW w:w="1418" w:type="dxa"/>
            <w:vAlign w:val="center"/>
          </w:tcPr>
          <w:p w14:paraId="292320BB" w14:textId="3CBA7261" w:rsidR="00E80FD4" w:rsidRDefault="00E80FD4" w:rsidP="00E80FD4">
            <w:pPr>
              <w:jc w:val="right"/>
              <w:rPr>
                <w:rFonts w:ascii="Arial" w:hAnsi="Arial" w:cs="Arial"/>
                <w:color w:val="000000"/>
                <w:sz w:val="22"/>
                <w:szCs w:val="22"/>
              </w:rPr>
            </w:pPr>
            <w:r>
              <w:rPr>
                <w:rFonts w:ascii="Arial" w:hAnsi="Arial" w:cs="Arial"/>
                <w:color w:val="000000"/>
                <w:sz w:val="22"/>
                <w:szCs w:val="22"/>
              </w:rPr>
              <w:t>666</w:t>
            </w:r>
          </w:p>
        </w:tc>
        <w:tc>
          <w:tcPr>
            <w:tcW w:w="1418" w:type="dxa"/>
            <w:shd w:val="clear" w:color="000000" w:fill="CCCCCC"/>
            <w:vAlign w:val="center"/>
          </w:tcPr>
          <w:p w14:paraId="43AB7E0D" w14:textId="67E342B1" w:rsidR="00E80FD4" w:rsidRPr="00255AA7" w:rsidRDefault="00E80FD4" w:rsidP="00E80FD4">
            <w:pPr>
              <w:jc w:val="right"/>
              <w:rPr>
                <w:rFonts w:ascii="Arial" w:hAnsi="Arial" w:cs="Arial"/>
                <w:color w:val="000000"/>
                <w:sz w:val="22"/>
                <w:szCs w:val="22"/>
              </w:rPr>
            </w:pPr>
            <w:r>
              <w:rPr>
                <w:rFonts w:ascii="Arial" w:hAnsi="Arial" w:cs="Arial"/>
                <w:b/>
                <w:bCs/>
                <w:color w:val="000000"/>
                <w:sz w:val="22"/>
                <w:szCs w:val="22"/>
              </w:rPr>
              <w:t>1,415</w:t>
            </w:r>
          </w:p>
        </w:tc>
        <w:tc>
          <w:tcPr>
            <w:tcW w:w="3732" w:type="dxa"/>
            <w:shd w:val="clear" w:color="000000" w:fill="auto"/>
            <w:vAlign w:val="center"/>
          </w:tcPr>
          <w:p w14:paraId="250F8394" w14:textId="44792AB6" w:rsidR="00E80FD4" w:rsidRPr="00F45DDE" w:rsidRDefault="00E80FD4" w:rsidP="00E80FD4">
            <w:pPr>
              <w:rPr>
                <w:rFonts w:ascii="Arial" w:hAnsi="Arial" w:cs="Arial"/>
                <w:color w:val="000000"/>
                <w:sz w:val="22"/>
                <w:szCs w:val="22"/>
              </w:rPr>
            </w:pPr>
            <w:r w:rsidRPr="00F45DDE">
              <w:rPr>
                <w:rFonts w:ascii="Arial" w:hAnsi="Arial" w:cs="Arial"/>
                <w:color w:val="000000"/>
                <w:sz w:val="22"/>
                <w:szCs w:val="22"/>
              </w:rPr>
              <w:t>Tax &amp; social security</w:t>
            </w:r>
          </w:p>
        </w:tc>
        <w:tc>
          <w:tcPr>
            <w:tcW w:w="1418" w:type="dxa"/>
            <w:vAlign w:val="center"/>
          </w:tcPr>
          <w:p w14:paraId="5F3789D9" w14:textId="2CC0922E" w:rsidR="00E80FD4" w:rsidRDefault="00E80FD4" w:rsidP="00E80FD4">
            <w:pPr>
              <w:jc w:val="right"/>
              <w:rPr>
                <w:rFonts w:ascii="Arial" w:hAnsi="Arial" w:cs="Arial"/>
                <w:color w:val="000000"/>
                <w:sz w:val="22"/>
                <w:szCs w:val="22"/>
              </w:rPr>
            </w:pPr>
            <w:r>
              <w:rPr>
                <w:rFonts w:ascii="Arial" w:hAnsi="Arial" w:cs="Arial"/>
                <w:color w:val="000000"/>
                <w:sz w:val="22"/>
                <w:szCs w:val="22"/>
              </w:rPr>
              <w:t>6,350</w:t>
            </w:r>
          </w:p>
        </w:tc>
        <w:tc>
          <w:tcPr>
            <w:tcW w:w="1418" w:type="dxa"/>
            <w:shd w:val="clear" w:color="000000" w:fill="D0CECE"/>
            <w:vAlign w:val="center"/>
          </w:tcPr>
          <w:p w14:paraId="70B035CD" w14:textId="1BFD40B7" w:rsidR="00E80FD4" w:rsidRPr="00365BB6" w:rsidRDefault="00E80FD4" w:rsidP="00E80FD4">
            <w:pPr>
              <w:jc w:val="right"/>
              <w:rPr>
                <w:rFonts w:ascii="Arial" w:hAnsi="Arial" w:cs="Arial"/>
                <w:b/>
                <w:bCs/>
                <w:color w:val="000000"/>
                <w:sz w:val="22"/>
                <w:szCs w:val="22"/>
              </w:rPr>
            </w:pPr>
            <w:r w:rsidRPr="00365BB6">
              <w:rPr>
                <w:rFonts w:ascii="Arial" w:hAnsi="Arial" w:cs="Arial"/>
                <w:b/>
                <w:bCs/>
                <w:color w:val="000000"/>
                <w:sz w:val="22"/>
                <w:szCs w:val="22"/>
              </w:rPr>
              <w:t>7,122</w:t>
            </w:r>
          </w:p>
        </w:tc>
      </w:tr>
      <w:tr w:rsidR="00E80FD4" w:rsidRPr="00255AA7" w14:paraId="2CCD9122" w14:textId="77777777" w:rsidTr="00CC2A77">
        <w:trPr>
          <w:trHeight w:val="290"/>
        </w:trPr>
        <w:tc>
          <w:tcPr>
            <w:tcW w:w="1418" w:type="dxa"/>
            <w:vAlign w:val="center"/>
            <w:hideMark/>
          </w:tcPr>
          <w:p w14:paraId="3633C201" w14:textId="6D606858" w:rsidR="00E80FD4" w:rsidRPr="00255AA7" w:rsidRDefault="00E80FD4" w:rsidP="00E80FD4">
            <w:pPr>
              <w:jc w:val="right"/>
              <w:rPr>
                <w:rFonts w:ascii="Arial" w:hAnsi="Arial" w:cs="Arial"/>
                <w:color w:val="000000"/>
                <w:sz w:val="22"/>
                <w:szCs w:val="22"/>
              </w:rPr>
            </w:pPr>
            <w:r>
              <w:rPr>
                <w:rFonts w:ascii="Arial" w:hAnsi="Arial" w:cs="Arial"/>
                <w:color w:val="000000"/>
                <w:sz w:val="22"/>
                <w:szCs w:val="22"/>
              </w:rPr>
              <w:t>9,589</w:t>
            </w:r>
          </w:p>
        </w:tc>
        <w:tc>
          <w:tcPr>
            <w:tcW w:w="1418" w:type="dxa"/>
            <w:shd w:val="clear" w:color="000000" w:fill="CCCCCC"/>
            <w:vAlign w:val="center"/>
            <w:hideMark/>
          </w:tcPr>
          <w:p w14:paraId="7AA66B37" w14:textId="7945235A" w:rsidR="00E80FD4" w:rsidRPr="00255AA7" w:rsidRDefault="00E80FD4" w:rsidP="00E80FD4">
            <w:pPr>
              <w:jc w:val="right"/>
              <w:rPr>
                <w:rFonts w:ascii="Arial" w:hAnsi="Arial" w:cs="Arial"/>
                <w:color w:val="000000"/>
                <w:sz w:val="22"/>
                <w:szCs w:val="22"/>
              </w:rPr>
            </w:pPr>
            <w:r>
              <w:rPr>
                <w:rFonts w:ascii="Arial" w:hAnsi="Arial" w:cs="Arial"/>
                <w:b/>
                <w:bCs/>
                <w:color w:val="000000"/>
                <w:sz w:val="22"/>
                <w:szCs w:val="22"/>
              </w:rPr>
              <w:t>9,722</w:t>
            </w:r>
          </w:p>
        </w:tc>
        <w:tc>
          <w:tcPr>
            <w:tcW w:w="3732" w:type="dxa"/>
            <w:shd w:val="clear" w:color="000000" w:fill="auto"/>
            <w:vAlign w:val="center"/>
            <w:hideMark/>
          </w:tcPr>
          <w:p w14:paraId="5D6C086D" w14:textId="77777777" w:rsidR="00E80FD4" w:rsidRPr="00F45DDE" w:rsidRDefault="00E80FD4" w:rsidP="00E80FD4">
            <w:pPr>
              <w:rPr>
                <w:rFonts w:ascii="Arial" w:hAnsi="Arial" w:cs="Arial"/>
                <w:color w:val="000000"/>
                <w:sz w:val="22"/>
                <w:szCs w:val="22"/>
              </w:rPr>
            </w:pPr>
            <w:r w:rsidRPr="00F45DDE">
              <w:rPr>
                <w:rFonts w:ascii="Arial" w:hAnsi="Arial" w:cs="Arial"/>
                <w:color w:val="000000"/>
                <w:sz w:val="22"/>
                <w:szCs w:val="22"/>
              </w:rPr>
              <w:t>Share of council tax creditors</w:t>
            </w:r>
          </w:p>
        </w:tc>
        <w:tc>
          <w:tcPr>
            <w:tcW w:w="1418" w:type="dxa"/>
            <w:vAlign w:val="center"/>
            <w:hideMark/>
          </w:tcPr>
          <w:p w14:paraId="148C29B9" w14:textId="2433151A" w:rsidR="00E80FD4" w:rsidRPr="00F45DDE" w:rsidRDefault="00E80FD4" w:rsidP="00E80FD4">
            <w:pPr>
              <w:jc w:val="right"/>
              <w:rPr>
                <w:rFonts w:ascii="Arial" w:hAnsi="Arial" w:cs="Arial"/>
                <w:color w:val="000000"/>
                <w:sz w:val="22"/>
                <w:szCs w:val="22"/>
              </w:rPr>
            </w:pPr>
            <w:r>
              <w:rPr>
                <w:rFonts w:ascii="Arial" w:hAnsi="Arial" w:cs="Arial"/>
                <w:color w:val="000000"/>
                <w:sz w:val="22"/>
                <w:szCs w:val="22"/>
              </w:rPr>
              <w:t>9,589</w:t>
            </w:r>
          </w:p>
        </w:tc>
        <w:tc>
          <w:tcPr>
            <w:tcW w:w="1418" w:type="dxa"/>
            <w:shd w:val="clear" w:color="000000" w:fill="D0CECE"/>
            <w:vAlign w:val="center"/>
            <w:hideMark/>
          </w:tcPr>
          <w:p w14:paraId="602955CD" w14:textId="3829B8F4" w:rsidR="00E80FD4" w:rsidRPr="00365BB6" w:rsidRDefault="00E80FD4" w:rsidP="00E80FD4">
            <w:pPr>
              <w:jc w:val="right"/>
              <w:rPr>
                <w:rFonts w:ascii="Arial" w:hAnsi="Arial" w:cs="Arial"/>
                <w:b/>
                <w:bCs/>
                <w:color w:val="000000"/>
                <w:sz w:val="22"/>
                <w:szCs w:val="22"/>
              </w:rPr>
            </w:pPr>
            <w:r w:rsidRPr="00365BB6">
              <w:rPr>
                <w:rFonts w:ascii="Arial" w:hAnsi="Arial" w:cs="Arial"/>
                <w:b/>
                <w:bCs/>
                <w:color w:val="000000"/>
                <w:sz w:val="22"/>
                <w:szCs w:val="22"/>
              </w:rPr>
              <w:t>9,722</w:t>
            </w:r>
          </w:p>
        </w:tc>
      </w:tr>
      <w:tr w:rsidR="00E80FD4" w:rsidRPr="00255AA7" w14:paraId="7C670887" w14:textId="77777777" w:rsidTr="00CC2A77">
        <w:trPr>
          <w:trHeight w:val="290"/>
        </w:trPr>
        <w:tc>
          <w:tcPr>
            <w:tcW w:w="1418" w:type="dxa"/>
            <w:vAlign w:val="center"/>
          </w:tcPr>
          <w:p w14:paraId="6545A243" w14:textId="6C6A37B7" w:rsidR="00E80FD4" w:rsidRPr="00255AA7" w:rsidRDefault="00E80FD4" w:rsidP="00E80FD4">
            <w:pPr>
              <w:jc w:val="right"/>
              <w:rPr>
                <w:rFonts w:ascii="Arial" w:hAnsi="Arial" w:cs="Arial"/>
                <w:color w:val="000000"/>
                <w:sz w:val="22"/>
                <w:szCs w:val="22"/>
              </w:rPr>
            </w:pPr>
            <w:r>
              <w:rPr>
                <w:rFonts w:ascii="Arial" w:hAnsi="Arial" w:cs="Arial"/>
                <w:color w:val="000000"/>
                <w:sz w:val="22"/>
                <w:szCs w:val="22"/>
              </w:rPr>
              <w:t>98</w:t>
            </w:r>
          </w:p>
        </w:tc>
        <w:tc>
          <w:tcPr>
            <w:tcW w:w="1418" w:type="dxa"/>
            <w:shd w:val="clear" w:color="000000" w:fill="CCCCCC"/>
            <w:vAlign w:val="center"/>
          </w:tcPr>
          <w:p w14:paraId="3B6EC72C" w14:textId="41E869C8" w:rsidR="00E80FD4" w:rsidRPr="00255AA7" w:rsidRDefault="00E80FD4" w:rsidP="00E80FD4">
            <w:pPr>
              <w:jc w:val="right"/>
              <w:rPr>
                <w:rFonts w:ascii="Arial" w:hAnsi="Arial" w:cs="Arial"/>
                <w:color w:val="000000"/>
                <w:sz w:val="22"/>
                <w:szCs w:val="22"/>
              </w:rPr>
            </w:pPr>
            <w:r>
              <w:rPr>
                <w:rFonts w:ascii="Arial" w:hAnsi="Arial" w:cs="Arial"/>
                <w:b/>
                <w:bCs/>
                <w:color w:val="000000"/>
                <w:sz w:val="22"/>
                <w:szCs w:val="22"/>
              </w:rPr>
              <w:t>56</w:t>
            </w:r>
          </w:p>
        </w:tc>
        <w:tc>
          <w:tcPr>
            <w:tcW w:w="3732" w:type="dxa"/>
            <w:shd w:val="clear" w:color="000000" w:fill="auto"/>
            <w:vAlign w:val="center"/>
          </w:tcPr>
          <w:p w14:paraId="23DBACDE" w14:textId="5391FF40" w:rsidR="00E80FD4" w:rsidRPr="00F45DDE" w:rsidRDefault="00E80FD4" w:rsidP="00E80FD4">
            <w:pPr>
              <w:rPr>
                <w:rFonts w:ascii="Arial" w:hAnsi="Arial" w:cs="Arial"/>
                <w:color w:val="000000"/>
                <w:sz w:val="22"/>
                <w:szCs w:val="22"/>
              </w:rPr>
            </w:pPr>
            <w:r w:rsidRPr="004F1579">
              <w:rPr>
                <w:rFonts w:ascii="Arial" w:hAnsi="Arial" w:cs="Arial"/>
                <w:color w:val="000000"/>
                <w:sz w:val="22"/>
                <w:szCs w:val="22"/>
              </w:rPr>
              <w:t>Employee Benefits</w:t>
            </w:r>
          </w:p>
        </w:tc>
        <w:tc>
          <w:tcPr>
            <w:tcW w:w="1418" w:type="dxa"/>
            <w:vAlign w:val="center"/>
          </w:tcPr>
          <w:p w14:paraId="3D8377DF" w14:textId="33A93E6F" w:rsidR="00E80FD4" w:rsidRPr="00F45DDE" w:rsidRDefault="00E80FD4" w:rsidP="00E80FD4">
            <w:pPr>
              <w:jc w:val="right"/>
              <w:rPr>
                <w:rFonts w:ascii="Arial" w:hAnsi="Arial" w:cs="Arial"/>
                <w:color w:val="000000"/>
                <w:sz w:val="22"/>
                <w:szCs w:val="22"/>
              </w:rPr>
            </w:pPr>
            <w:r>
              <w:rPr>
                <w:rFonts w:ascii="Arial" w:hAnsi="Arial" w:cs="Arial"/>
                <w:color w:val="000000"/>
                <w:sz w:val="22"/>
                <w:szCs w:val="22"/>
              </w:rPr>
              <w:t>11,302</w:t>
            </w:r>
          </w:p>
        </w:tc>
        <w:tc>
          <w:tcPr>
            <w:tcW w:w="1418" w:type="dxa"/>
            <w:shd w:val="clear" w:color="000000" w:fill="D0CECE"/>
            <w:vAlign w:val="center"/>
          </w:tcPr>
          <w:p w14:paraId="779A7AD4" w14:textId="7ECD0156" w:rsidR="00E80FD4" w:rsidRPr="00365BB6" w:rsidRDefault="00E80FD4" w:rsidP="00E80FD4">
            <w:pPr>
              <w:jc w:val="right"/>
              <w:rPr>
                <w:rFonts w:ascii="Arial" w:hAnsi="Arial" w:cs="Arial"/>
                <w:b/>
                <w:bCs/>
                <w:color w:val="000000"/>
                <w:sz w:val="22"/>
                <w:szCs w:val="22"/>
              </w:rPr>
            </w:pPr>
            <w:r w:rsidRPr="00365BB6">
              <w:rPr>
                <w:rFonts w:ascii="Arial" w:hAnsi="Arial" w:cs="Arial"/>
                <w:b/>
                <w:bCs/>
                <w:color w:val="000000"/>
                <w:sz w:val="22"/>
                <w:szCs w:val="22"/>
              </w:rPr>
              <w:t>9,520</w:t>
            </w:r>
          </w:p>
        </w:tc>
      </w:tr>
      <w:tr w:rsidR="00E80FD4" w:rsidRPr="00255AA7" w14:paraId="75E027CF" w14:textId="77777777" w:rsidTr="00CC2A77">
        <w:trPr>
          <w:trHeight w:val="290"/>
        </w:trPr>
        <w:tc>
          <w:tcPr>
            <w:tcW w:w="1418" w:type="dxa"/>
            <w:vAlign w:val="center"/>
          </w:tcPr>
          <w:p w14:paraId="413D2517" w14:textId="7DBF22F7" w:rsidR="00E80FD4" w:rsidRPr="00255AA7" w:rsidRDefault="00A22E27" w:rsidP="00E80FD4">
            <w:pPr>
              <w:jc w:val="right"/>
              <w:rPr>
                <w:rFonts w:ascii="Arial" w:hAnsi="Arial" w:cs="Arial"/>
                <w:color w:val="000000"/>
                <w:sz w:val="22"/>
                <w:szCs w:val="22"/>
              </w:rPr>
            </w:pPr>
            <w:r>
              <w:rPr>
                <w:rFonts w:ascii="Arial" w:hAnsi="Arial" w:cs="Arial"/>
                <w:color w:val="000000"/>
                <w:sz w:val="22"/>
                <w:szCs w:val="22"/>
              </w:rPr>
              <w:t>310</w:t>
            </w:r>
          </w:p>
        </w:tc>
        <w:tc>
          <w:tcPr>
            <w:tcW w:w="1418" w:type="dxa"/>
            <w:shd w:val="clear" w:color="000000" w:fill="CCCCCC"/>
            <w:vAlign w:val="center"/>
          </w:tcPr>
          <w:p w14:paraId="61C4C150" w14:textId="630C3C1A" w:rsidR="00E80FD4" w:rsidRPr="00255AA7" w:rsidRDefault="00E80FD4" w:rsidP="00E80FD4">
            <w:pPr>
              <w:jc w:val="right"/>
              <w:rPr>
                <w:rFonts w:ascii="Arial" w:hAnsi="Arial" w:cs="Arial"/>
                <w:color w:val="000000"/>
                <w:sz w:val="22"/>
                <w:szCs w:val="22"/>
              </w:rPr>
            </w:pPr>
            <w:r>
              <w:rPr>
                <w:rFonts w:ascii="Arial" w:hAnsi="Arial" w:cs="Arial"/>
                <w:b/>
                <w:bCs/>
                <w:color w:val="000000"/>
                <w:sz w:val="22"/>
                <w:szCs w:val="22"/>
              </w:rPr>
              <w:t>369</w:t>
            </w:r>
          </w:p>
        </w:tc>
        <w:tc>
          <w:tcPr>
            <w:tcW w:w="3732" w:type="dxa"/>
            <w:shd w:val="clear" w:color="000000" w:fill="auto"/>
            <w:vAlign w:val="center"/>
          </w:tcPr>
          <w:p w14:paraId="543911B9" w14:textId="0B39822A" w:rsidR="00E80FD4" w:rsidRPr="00F45DDE" w:rsidRDefault="00E80FD4" w:rsidP="00E80FD4">
            <w:pPr>
              <w:rPr>
                <w:rFonts w:ascii="Arial" w:hAnsi="Arial" w:cs="Arial"/>
                <w:color w:val="000000"/>
                <w:sz w:val="22"/>
                <w:szCs w:val="22"/>
              </w:rPr>
            </w:pPr>
            <w:r>
              <w:rPr>
                <w:rFonts w:ascii="Arial" w:hAnsi="Arial" w:cs="Arial"/>
                <w:color w:val="000000"/>
                <w:sz w:val="22"/>
                <w:szCs w:val="22"/>
              </w:rPr>
              <w:t>Monies held on account</w:t>
            </w:r>
          </w:p>
        </w:tc>
        <w:tc>
          <w:tcPr>
            <w:tcW w:w="1418" w:type="dxa"/>
            <w:vAlign w:val="center"/>
          </w:tcPr>
          <w:p w14:paraId="2C69C31F" w14:textId="017B80F3" w:rsidR="00E80FD4" w:rsidRPr="00F45DDE" w:rsidRDefault="00A22E27" w:rsidP="00E80FD4">
            <w:pPr>
              <w:jc w:val="right"/>
              <w:rPr>
                <w:rFonts w:ascii="Arial" w:hAnsi="Arial" w:cs="Arial"/>
                <w:color w:val="000000"/>
                <w:sz w:val="22"/>
                <w:szCs w:val="22"/>
              </w:rPr>
            </w:pPr>
            <w:r>
              <w:rPr>
                <w:rFonts w:ascii="Arial" w:hAnsi="Arial" w:cs="Arial"/>
                <w:color w:val="000000"/>
                <w:sz w:val="22"/>
                <w:szCs w:val="22"/>
              </w:rPr>
              <w:t>310</w:t>
            </w:r>
          </w:p>
        </w:tc>
        <w:tc>
          <w:tcPr>
            <w:tcW w:w="1418" w:type="dxa"/>
            <w:shd w:val="clear" w:color="000000" w:fill="D0CECE"/>
            <w:vAlign w:val="center"/>
          </w:tcPr>
          <w:p w14:paraId="706F38BA" w14:textId="112F21F9" w:rsidR="00E80FD4" w:rsidRPr="00365BB6" w:rsidRDefault="00E80FD4" w:rsidP="00E80FD4">
            <w:pPr>
              <w:jc w:val="right"/>
              <w:rPr>
                <w:rFonts w:ascii="Arial" w:hAnsi="Arial" w:cs="Arial"/>
                <w:b/>
                <w:bCs/>
                <w:color w:val="000000"/>
                <w:sz w:val="22"/>
                <w:szCs w:val="22"/>
              </w:rPr>
            </w:pPr>
            <w:r w:rsidRPr="00365BB6">
              <w:rPr>
                <w:rFonts w:ascii="Arial" w:hAnsi="Arial" w:cs="Arial"/>
                <w:b/>
                <w:bCs/>
                <w:color w:val="000000"/>
                <w:sz w:val="22"/>
                <w:szCs w:val="22"/>
              </w:rPr>
              <w:t>369</w:t>
            </w:r>
          </w:p>
        </w:tc>
      </w:tr>
      <w:tr w:rsidR="00E80FD4" w:rsidRPr="00255AA7" w14:paraId="5800A896" w14:textId="77777777" w:rsidTr="00CC2A77">
        <w:trPr>
          <w:trHeight w:val="290"/>
        </w:trPr>
        <w:tc>
          <w:tcPr>
            <w:tcW w:w="1418" w:type="dxa"/>
            <w:vAlign w:val="center"/>
            <w:hideMark/>
          </w:tcPr>
          <w:p w14:paraId="17BF2A71" w14:textId="028186BD" w:rsidR="00E80FD4" w:rsidRPr="00255AA7" w:rsidRDefault="00E80FD4" w:rsidP="00E80FD4">
            <w:pPr>
              <w:jc w:val="right"/>
              <w:rPr>
                <w:rFonts w:ascii="Arial" w:hAnsi="Arial" w:cs="Arial"/>
                <w:color w:val="000000"/>
                <w:sz w:val="22"/>
                <w:szCs w:val="22"/>
              </w:rPr>
            </w:pPr>
            <w:r>
              <w:rPr>
                <w:rFonts w:ascii="Arial" w:hAnsi="Arial" w:cs="Arial"/>
                <w:color w:val="000000"/>
                <w:sz w:val="22"/>
                <w:szCs w:val="22"/>
              </w:rPr>
              <w:t>40</w:t>
            </w:r>
          </w:p>
        </w:tc>
        <w:tc>
          <w:tcPr>
            <w:tcW w:w="1418" w:type="dxa"/>
            <w:shd w:val="clear" w:color="000000" w:fill="CCCCCC"/>
            <w:vAlign w:val="center"/>
            <w:hideMark/>
          </w:tcPr>
          <w:p w14:paraId="1BCBED39" w14:textId="23FB97AE" w:rsidR="00E80FD4" w:rsidRPr="00255AA7" w:rsidRDefault="00E80FD4" w:rsidP="00E80FD4">
            <w:pPr>
              <w:jc w:val="right"/>
              <w:rPr>
                <w:rFonts w:ascii="Arial" w:hAnsi="Arial" w:cs="Arial"/>
                <w:color w:val="000000"/>
                <w:sz w:val="22"/>
                <w:szCs w:val="22"/>
              </w:rPr>
            </w:pPr>
            <w:r>
              <w:rPr>
                <w:rFonts w:ascii="Arial" w:hAnsi="Arial" w:cs="Arial"/>
                <w:b/>
                <w:bCs/>
                <w:color w:val="000000"/>
                <w:sz w:val="22"/>
                <w:szCs w:val="22"/>
              </w:rPr>
              <w:t>135</w:t>
            </w:r>
          </w:p>
        </w:tc>
        <w:tc>
          <w:tcPr>
            <w:tcW w:w="3732" w:type="dxa"/>
            <w:shd w:val="clear" w:color="000000" w:fill="auto"/>
            <w:vAlign w:val="center"/>
            <w:hideMark/>
          </w:tcPr>
          <w:p w14:paraId="795851B6" w14:textId="77777777" w:rsidR="00E80FD4" w:rsidRPr="00F45DDE" w:rsidRDefault="00E80FD4" w:rsidP="00E80FD4">
            <w:pPr>
              <w:rPr>
                <w:rFonts w:ascii="Arial" w:hAnsi="Arial" w:cs="Arial"/>
                <w:color w:val="000000"/>
                <w:sz w:val="22"/>
                <w:szCs w:val="22"/>
              </w:rPr>
            </w:pPr>
            <w:r w:rsidRPr="00F45DDE">
              <w:rPr>
                <w:rFonts w:ascii="Arial" w:hAnsi="Arial" w:cs="Arial"/>
                <w:color w:val="000000"/>
                <w:sz w:val="22"/>
                <w:szCs w:val="22"/>
              </w:rPr>
              <w:t>Other Entities and Individuals</w:t>
            </w:r>
          </w:p>
        </w:tc>
        <w:tc>
          <w:tcPr>
            <w:tcW w:w="1418" w:type="dxa"/>
            <w:vAlign w:val="center"/>
            <w:hideMark/>
          </w:tcPr>
          <w:p w14:paraId="4C43A130" w14:textId="50B5C7CC" w:rsidR="00E80FD4" w:rsidRPr="00F45DDE" w:rsidRDefault="00E80FD4" w:rsidP="00E80FD4">
            <w:pPr>
              <w:jc w:val="right"/>
              <w:rPr>
                <w:rFonts w:ascii="Arial" w:hAnsi="Arial" w:cs="Arial"/>
                <w:color w:val="000000"/>
                <w:sz w:val="22"/>
                <w:szCs w:val="22"/>
              </w:rPr>
            </w:pPr>
            <w:r>
              <w:rPr>
                <w:rFonts w:ascii="Arial" w:hAnsi="Arial" w:cs="Arial"/>
                <w:color w:val="000000"/>
                <w:sz w:val="22"/>
                <w:szCs w:val="22"/>
              </w:rPr>
              <w:t>40</w:t>
            </w:r>
          </w:p>
        </w:tc>
        <w:tc>
          <w:tcPr>
            <w:tcW w:w="1418" w:type="dxa"/>
            <w:shd w:val="clear" w:color="000000" w:fill="D0CECE"/>
            <w:vAlign w:val="center"/>
            <w:hideMark/>
          </w:tcPr>
          <w:p w14:paraId="598B81D5" w14:textId="79BF1FF4" w:rsidR="00E80FD4" w:rsidRPr="00365BB6" w:rsidRDefault="00E80FD4" w:rsidP="00E80FD4">
            <w:pPr>
              <w:jc w:val="right"/>
              <w:rPr>
                <w:rFonts w:ascii="Arial" w:hAnsi="Arial" w:cs="Arial"/>
                <w:b/>
                <w:bCs/>
                <w:color w:val="000000"/>
                <w:sz w:val="22"/>
                <w:szCs w:val="22"/>
              </w:rPr>
            </w:pPr>
            <w:r w:rsidRPr="00365BB6">
              <w:rPr>
                <w:rFonts w:ascii="Arial" w:hAnsi="Arial" w:cs="Arial"/>
                <w:b/>
                <w:bCs/>
                <w:color w:val="000000"/>
                <w:sz w:val="22"/>
                <w:szCs w:val="22"/>
              </w:rPr>
              <w:t>135</w:t>
            </w:r>
          </w:p>
        </w:tc>
      </w:tr>
      <w:tr w:rsidR="00CC2A77" w:rsidRPr="00255AA7" w14:paraId="0CAC2CD9" w14:textId="77777777" w:rsidTr="00625B3B">
        <w:trPr>
          <w:trHeight w:val="304"/>
        </w:trPr>
        <w:tc>
          <w:tcPr>
            <w:tcW w:w="1418" w:type="dxa"/>
            <w:tcBorders>
              <w:bottom w:val="single" w:sz="4" w:space="0" w:color="auto"/>
            </w:tcBorders>
            <w:shd w:val="clear" w:color="000000" w:fill="auto"/>
            <w:vAlign w:val="center"/>
            <w:hideMark/>
          </w:tcPr>
          <w:p w14:paraId="2C506506" w14:textId="0ECC7958" w:rsidR="00CC2A77" w:rsidRPr="00255AA7" w:rsidRDefault="00CC2A77" w:rsidP="00CC2A77">
            <w:pPr>
              <w:jc w:val="right"/>
              <w:rPr>
                <w:rFonts w:ascii="Arial" w:hAnsi="Arial" w:cs="Arial"/>
                <w:color w:val="000000"/>
                <w:sz w:val="22"/>
                <w:szCs w:val="22"/>
              </w:rPr>
            </w:pPr>
            <w:r>
              <w:rPr>
                <w:rFonts w:ascii="Arial" w:hAnsi="Arial" w:cs="Arial"/>
                <w:color w:val="000000"/>
                <w:sz w:val="22"/>
                <w:szCs w:val="22"/>
              </w:rPr>
              <w:t>0</w:t>
            </w:r>
          </w:p>
        </w:tc>
        <w:tc>
          <w:tcPr>
            <w:tcW w:w="1418" w:type="dxa"/>
            <w:tcBorders>
              <w:bottom w:val="single" w:sz="4" w:space="0" w:color="auto"/>
            </w:tcBorders>
            <w:shd w:val="clear" w:color="000000" w:fill="CCCCCC"/>
            <w:vAlign w:val="center"/>
          </w:tcPr>
          <w:p w14:paraId="23406B8D" w14:textId="7BE4ACF7" w:rsidR="00CC2A77" w:rsidRPr="00255AA7" w:rsidRDefault="00CC2A77" w:rsidP="00CC2A77">
            <w:pPr>
              <w:jc w:val="right"/>
              <w:rPr>
                <w:rFonts w:ascii="Arial" w:hAnsi="Arial" w:cs="Arial"/>
                <w:color w:val="000000"/>
                <w:sz w:val="22"/>
                <w:szCs w:val="22"/>
              </w:rPr>
            </w:pPr>
            <w:r>
              <w:rPr>
                <w:rFonts w:ascii="Arial" w:hAnsi="Arial" w:cs="Arial"/>
                <w:b/>
                <w:bCs/>
                <w:color w:val="000000"/>
                <w:sz w:val="22"/>
                <w:szCs w:val="22"/>
              </w:rPr>
              <w:t>0</w:t>
            </w:r>
          </w:p>
        </w:tc>
        <w:tc>
          <w:tcPr>
            <w:tcW w:w="3732" w:type="dxa"/>
            <w:shd w:val="clear" w:color="000000" w:fill="auto"/>
            <w:vAlign w:val="center"/>
            <w:hideMark/>
          </w:tcPr>
          <w:p w14:paraId="796AC7ED" w14:textId="77777777" w:rsidR="00CC2A77" w:rsidRPr="00F45DDE" w:rsidRDefault="00CC2A77" w:rsidP="00CC2A77">
            <w:pPr>
              <w:rPr>
                <w:rFonts w:ascii="Arial" w:hAnsi="Arial" w:cs="Arial"/>
                <w:color w:val="000000"/>
                <w:sz w:val="22"/>
                <w:szCs w:val="22"/>
              </w:rPr>
            </w:pPr>
            <w:r w:rsidRPr="00F45DDE">
              <w:rPr>
                <w:rFonts w:ascii="Arial" w:hAnsi="Arial" w:cs="Arial"/>
                <w:color w:val="000000"/>
                <w:sz w:val="22"/>
                <w:szCs w:val="22"/>
              </w:rPr>
              <w:t>Intragroup Creditor</w:t>
            </w:r>
          </w:p>
        </w:tc>
        <w:tc>
          <w:tcPr>
            <w:tcW w:w="1418" w:type="dxa"/>
            <w:tcBorders>
              <w:bottom w:val="single" w:sz="4" w:space="0" w:color="auto"/>
            </w:tcBorders>
            <w:vAlign w:val="center"/>
            <w:hideMark/>
          </w:tcPr>
          <w:p w14:paraId="1084C8C9" w14:textId="6F530B1B" w:rsidR="00CC2A77" w:rsidRPr="00F45DDE" w:rsidRDefault="00CC2A77" w:rsidP="00CC2A77">
            <w:pPr>
              <w:jc w:val="right"/>
              <w:rPr>
                <w:rFonts w:ascii="Arial" w:hAnsi="Arial" w:cs="Arial"/>
                <w:color w:val="000000"/>
                <w:sz w:val="22"/>
                <w:szCs w:val="22"/>
              </w:rPr>
            </w:pPr>
          </w:p>
        </w:tc>
        <w:tc>
          <w:tcPr>
            <w:tcW w:w="1418" w:type="dxa"/>
            <w:tcBorders>
              <w:bottom w:val="single" w:sz="4" w:space="0" w:color="auto"/>
            </w:tcBorders>
            <w:shd w:val="clear" w:color="000000" w:fill="D0CECE"/>
            <w:vAlign w:val="center"/>
            <w:hideMark/>
          </w:tcPr>
          <w:p w14:paraId="511779E5" w14:textId="780494D5" w:rsidR="00CC2A77" w:rsidRPr="00F45DDE" w:rsidRDefault="00CC2A77" w:rsidP="00CC2A77">
            <w:pPr>
              <w:jc w:val="right"/>
              <w:rPr>
                <w:rFonts w:ascii="Arial" w:hAnsi="Arial" w:cs="Arial"/>
                <w:color w:val="000000"/>
                <w:sz w:val="22"/>
                <w:szCs w:val="22"/>
              </w:rPr>
            </w:pPr>
          </w:p>
        </w:tc>
      </w:tr>
      <w:tr w:rsidR="00CC2A77" w:rsidRPr="00E96552" w14:paraId="7DAD0383" w14:textId="77777777" w:rsidTr="00625B3B">
        <w:trPr>
          <w:trHeight w:val="304"/>
        </w:trPr>
        <w:tc>
          <w:tcPr>
            <w:tcW w:w="1418" w:type="dxa"/>
            <w:tcBorders>
              <w:top w:val="single" w:sz="4" w:space="0" w:color="auto"/>
              <w:bottom w:val="single" w:sz="4" w:space="0" w:color="auto"/>
            </w:tcBorders>
            <w:shd w:val="clear" w:color="000000" w:fill="auto"/>
            <w:vAlign w:val="center"/>
            <w:hideMark/>
          </w:tcPr>
          <w:p w14:paraId="44412E77" w14:textId="62CEB0A1" w:rsidR="00CC2A77" w:rsidRPr="00255AA7" w:rsidRDefault="00A22E27" w:rsidP="00CC2A77">
            <w:pPr>
              <w:jc w:val="right"/>
              <w:rPr>
                <w:rFonts w:ascii="Arial" w:hAnsi="Arial" w:cs="Arial"/>
                <w:b/>
                <w:bCs/>
                <w:color w:val="000000"/>
                <w:sz w:val="22"/>
                <w:szCs w:val="22"/>
              </w:rPr>
            </w:pPr>
            <w:r>
              <w:rPr>
                <w:rFonts w:ascii="Arial" w:hAnsi="Arial" w:cs="Arial"/>
                <w:b/>
                <w:bCs/>
                <w:color w:val="000000"/>
                <w:sz w:val="22"/>
                <w:szCs w:val="22"/>
              </w:rPr>
              <w:t>28,02</w:t>
            </w:r>
            <w:r w:rsidR="007A5885">
              <w:rPr>
                <w:rFonts w:ascii="Arial" w:hAnsi="Arial" w:cs="Arial"/>
                <w:b/>
                <w:bCs/>
                <w:color w:val="000000"/>
                <w:sz w:val="22"/>
                <w:szCs w:val="22"/>
              </w:rPr>
              <w:t>2</w:t>
            </w:r>
          </w:p>
        </w:tc>
        <w:tc>
          <w:tcPr>
            <w:tcW w:w="1418" w:type="dxa"/>
            <w:tcBorders>
              <w:top w:val="single" w:sz="4" w:space="0" w:color="auto"/>
              <w:bottom w:val="single" w:sz="4" w:space="0" w:color="auto"/>
            </w:tcBorders>
            <w:shd w:val="clear" w:color="000000" w:fill="CCCCCC"/>
            <w:vAlign w:val="center"/>
            <w:hideMark/>
          </w:tcPr>
          <w:p w14:paraId="13A05676" w14:textId="2E5AF711" w:rsidR="00CC2A77" w:rsidRPr="00255AA7" w:rsidRDefault="00CC2A77" w:rsidP="00CC2A77">
            <w:pPr>
              <w:jc w:val="right"/>
              <w:rPr>
                <w:rFonts w:ascii="Arial" w:hAnsi="Arial" w:cs="Arial"/>
                <w:b/>
                <w:bCs/>
                <w:color w:val="000000"/>
                <w:sz w:val="22"/>
                <w:szCs w:val="22"/>
              </w:rPr>
            </w:pPr>
            <w:r>
              <w:rPr>
                <w:rFonts w:ascii="Arial" w:hAnsi="Arial" w:cs="Arial"/>
                <w:b/>
                <w:bCs/>
                <w:color w:val="000000"/>
                <w:sz w:val="22"/>
                <w:szCs w:val="22"/>
              </w:rPr>
              <w:t>34,</w:t>
            </w:r>
            <w:r w:rsidR="007A5885">
              <w:rPr>
                <w:rFonts w:ascii="Arial" w:hAnsi="Arial" w:cs="Arial"/>
                <w:b/>
                <w:bCs/>
                <w:color w:val="000000"/>
                <w:sz w:val="22"/>
                <w:szCs w:val="22"/>
              </w:rPr>
              <w:t>606</w:t>
            </w:r>
          </w:p>
        </w:tc>
        <w:tc>
          <w:tcPr>
            <w:tcW w:w="3732" w:type="dxa"/>
            <w:shd w:val="clear" w:color="000000" w:fill="auto"/>
            <w:vAlign w:val="center"/>
            <w:hideMark/>
          </w:tcPr>
          <w:p w14:paraId="0921AE6F" w14:textId="77777777" w:rsidR="00CC2A77" w:rsidRPr="00F45DDE" w:rsidRDefault="00CC2A77" w:rsidP="00CC2A77">
            <w:pPr>
              <w:rPr>
                <w:rFonts w:ascii="Arial" w:hAnsi="Arial" w:cs="Arial"/>
                <w:b/>
                <w:bCs/>
                <w:color w:val="000000"/>
                <w:sz w:val="22"/>
                <w:szCs w:val="22"/>
              </w:rPr>
            </w:pPr>
            <w:r w:rsidRPr="00F45DDE">
              <w:rPr>
                <w:rFonts w:ascii="Arial" w:hAnsi="Arial" w:cs="Arial"/>
                <w:b/>
                <w:bCs/>
                <w:color w:val="000000"/>
                <w:sz w:val="22"/>
                <w:szCs w:val="22"/>
              </w:rPr>
              <w:t>TOTAL</w:t>
            </w:r>
          </w:p>
        </w:tc>
        <w:tc>
          <w:tcPr>
            <w:tcW w:w="1418" w:type="dxa"/>
            <w:tcBorders>
              <w:top w:val="single" w:sz="4" w:space="0" w:color="auto"/>
              <w:bottom w:val="single" w:sz="4" w:space="0" w:color="auto"/>
            </w:tcBorders>
            <w:vAlign w:val="center"/>
            <w:hideMark/>
          </w:tcPr>
          <w:p w14:paraId="6C2D8953" w14:textId="361004DC" w:rsidR="00CC2A77" w:rsidRPr="00F45DDE" w:rsidRDefault="00CC2A77" w:rsidP="00CC2A77">
            <w:pPr>
              <w:jc w:val="right"/>
              <w:rPr>
                <w:rFonts w:ascii="Arial" w:hAnsi="Arial" w:cs="Arial"/>
                <w:b/>
                <w:bCs/>
                <w:color w:val="000000"/>
                <w:sz w:val="22"/>
                <w:szCs w:val="22"/>
              </w:rPr>
            </w:pPr>
            <w:r w:rsidRPr="00F45DDE">
              <w:rPr>
                <w:rFonts w:ascii="Arial" w:hAnsi="Arial" w:cs="Arial"/>
                <w:b/>
                <w:bCs/>
                <w:color w:val="000000"/>
                <w:sz w:val="22"/>
                <w:szCs w:val="22"/>
              </w:rPr>
              <w:t>4</w:t>
            </w:r>
            <w:r w:rsidR="00A22E27">
              <w:rPr>
                <w:rFonts w:ascii="Arial" w:hAnsi="Arial" w:cs="Arial"/>
                <w:b/>
                <w:bCs/>
                <w:color w:val="000000"/>
                <w:sz w:val="22"/>
                <w:szCs w:val="22"/>
              </w:rPr>
              <w:t>4,910</w:t>
            </w:r>
          </w:p>
        </w:tc>
        <w:tc>
          <w:tcPr>
            <w:tcW w:w="1418" w:type="dxa"/>
            <w:tcBorders>
              <w:top w:val="single" w:sz="4" w:space="0" w:color="auto"/>
              <w:bottom w:val="single" w:sz="4" w:space="0" w:color="auto"/>
            </w:tcBorders>
            <w:shd w:val="clear" w:color="000000" w:fill="D0CECE"/>
            <w:vAlign w:val="center"/>
            <w:hideMark/>
          </w:tcPr>
          <w:p w14:paraId="29FA2D6A" w14:textId="72C51433" w:rsidR="00CC2A77" w:rsidRPr="00F45DDE" w:rsidRDefault="00CC2A77" w:rsidP="00CC2A77">
            <w:pPr>
              <w:jc w:val="right"/>
              <w:rPr>
                <w:rFonts w:ascii="Arial" w:hAnsi="Arial" w:cs="Arial"/>
                <w:b/>
                <w:bCs/>
                <w:color w:val="000000"/>
                <w:sz w:val="22"/>
                <w:szCs w:val="22"/>
              </w:rPr>
            </w:pPr>
            <w:r>
              <w:rPr>
                <w:rFonts w:ascii="Arial" w:hAnsi="Arial" w:cs="Arial"/>
                <w:b/>
                <w:bCs/>
                <w:color w:val="000000"/>
                <w:sz w:val="22"/>
                <w:szCs w:val="22"/>
              </w:rPr>
              <w:t>49,</w:t>
            </w:r>
            <w:r w:rsidR="008A07BA">
              <w:rPr>
                <w:rFonts w:ascii="Arial" w:hAnsi="Arial" w:cs="Arial"/>
                <w:b/>
                <w:bCs/>
                <w:color w:val="000000"/>
                <w:sz w:val="22"/>
                <w:szCs w:val="22"/>
              </w:rPr>
              <w:t>7</w:t>
            </w:r>
            <w:r w:rsidR="00B93BCE">
              <w:rPr>
                <w:rFonts w:ascii="Arial" w:hAnsi="Arial" w:cs="Arial"/>
                <w:b/>
                <w:bCs/>
                <w:color w:val="000000"/>
                <w:sz w:val="22"/>
                <w:szCs w:val="22"/>
              </w:rPr>
              <w:t>77</w:t>
            </w:r>
          </w:p>
        </w:tc>
      </w:tr>
    </w:tbl>
    <w:p w14:paraId="5CF44CEC" w14:textId="77777777" w:rsidR="005D3A66" w:rsidRDefault="005D3A66" w:rsidP="005D3A66">
      <w:pPr>
        <w:ind w:left="426"/>
        <w:jc w:val="both"/>
        <w:rPr>
          <w:rFonts w:ascii="Arial" w:hAnsi="Arial"/>
          <w:sz w:val="22"/>
          <w:szCs w:val="22"/>
        </w:rPr>
      </w:pPr>
    </w:p>
    <w:p w14:paraId="4D1E00DD" w14:textId="1BDEA668" w:rsidR="00582128" w:rsidRPr="00582128" w:rsidRDefault="00582128" w:rsidP="00DD3944">
      <w:pPr>
        <w:jc w:val="both"/>
        <w:rPr>
          <w:rFonts w:ascii="Arial" w:hAnsi="Arial"/>
          <w:sz w:val="22"/>
          <w:szCs w:val="22"/>
          <w:u w:val="single"/>
        </w:rPr>
      </w:pPr>
    </w:p>
    <w:p w14:paraId="273A8EEC" w14:textId="77777777" w:rsidR="00582128" w:rsidRDefault="00582128" w:rsidP="00582128">
      <w:pPr>
        <w:ind w:left="426"/>
        <w:jc w:val="both"/>
        <w:rPr>
          <w:rFonts w:ascii="Arial" w:hAnsi="Arial"/>
          <w:sz w:val="22"/>
          <w:szCs w:val="22"/>
        </w:rPr>
      </w:pPr>
      <w:r w:rsidRPr="00582128">
        <w:rPr>
          <w:rFonts w:ascii="Arial" w:hAnsi="Arial"/>
          <w:sz w:val="22"/>
          <w:szCs w:val="22"/>
        </w:rPr>
        <w:t>The Employee Benefits Figure Shown in the Table includes the Accumulated Absences Adjustment as shown in Note 10</w:t>
      </w:r>
      <w:r w:rsidRPr="00582128">
        <w:rPr>
          <w:rFonts w:ascii="Arial" w:hAnsi="Arial"/>
          <w:sz w:val="22"/>
          <w:szCs w:val="22"/>
        </w:rPr>
        <w:tab/>
      </w:r>
    </w:p>
    <w:p w14:paraId="39C5492D" w14:textId="78C0C14B" w:rsidR="00153067" w:rsidRPr="00550962" w:rsidRDefault="00582128" w:rsidP="00550962">
      <w:pPr>
        <w:jc w:val="both"/>
        <w:rPr>
          <w:rFonts w:ascii="Arial" w:hAnsi="Arial"/>
          <w:sz w:val="22"/>
          <w:szCs w:val="22"/>
        </w:rPr>
      </w:pPr>
      <w:r w:rsidRPr="00582128">
        <w:rPr>
          <w:rFonts w:ascii="Arial" w:hAnsi="Arial"/>
          <w:sz w:val="22"/>
          <w:szCs w:val="22"/>
        </w:rPr>
        <w:tab/>
      </w:r>
      <w:r w:rsidRPr="00582128">
        <w:rPr>
          <w:rFonts w:ascii="Arial" w:hAnsi="Arial"/>
          <w:sz w:val="22"/>
          <w:szCs w:val="22"/>
        </w:rPr>
        <w:tab/>
      </w:r>
      <w:r w:rsidRPr="00582128">
        <w:rPr>
          <w:rFonts w:ascii="Arial" w:hAnsi="Arial"/>
          <w:sz w:val="22"/>
          <w:szCs w:val="22"/>
        </w:rPr>
        <w:tab/>
      </w:r>
      <w:r w:rsidRPr="00582128">
        <w:rPr>
          <w:rFonts w:ascii="Arial" w:hAnsi="Arial"/>
          <w:sz w:val="22"/>
          <w:szCs w:val="22"/>
        </w:rPr>
        <w:tab/>
      </w:r>
      <w:r w:rsidRPr="00582128">
        <w:rPr>
          <w:rFonts w:ascii="Arial" w:hAnsi="Arial"/>
          <w:sz w:val="22"/>
          <w:szCs w:val="22"/>
        </w:rPr>
        <w:tab/>
      </w:r>
      <w:r w:rsidRPr="00582128">
        <w:rPr>
          <w:rFonts w:ascii="Arial" w:hAnsi="Arial"/>
          <w:sz w:val="22"/>
          <w:szCs w:val="22"/>
        </w:rPr>
        <w:tab/>
      </w:r>
      <w:r w:rsidRPr="00582128">
        <w:rPr>
          <w:rFonts w:ascii="Arial" w:hAnsi="Arial"/>
          <w:sz w:val="22"/>
          <w:szCs w:val="22"/>
        </w:rPr>
        <w:tab/>
      </w:r>
      <w:r w:rsidRPr="00582128">
        <w:rPr>
          <w:rFonts w:ascii="Arial" w:hAnsi="Arial"/>
          <w:sz w:val="22"/>
          <w:szCs w:val="22"/>
        </w:rPr>
        <w:tab/>
      </w:r>
    </w:p>
    <w:p w14:paraId="5A0BF09C" w14:textId="680C4523" w:rsidR="003B74DA" w:rsidRPr="00BF7B49" w:rsidRDefault="003B74DA" w:rsidP="003B74DA">
      <w:pPr>
        <w:numPr>
          <w:ilvl w:val="0"/>
          <w:numId w:val="1"/>
        </w:numPr>
        <w:tabs>
          <w:tab w:val="clear" w:pos="720"/>
          <w:tab w:val="num" w:pos="426"/>
          <w:tab w:val="right" w:pos="5760"/>
        </w:tabs>
        <w:jc w:val="both"/>
        <w:rPr>
          <w:rFonts w:ascii="Arial" w:hAnsi="Arial"/>
          <w:sz w:val="22"/>
          <w:szCs w:val="22"/>
        </w:rPr>
      </w:pPr>
      <w:r w:rsidRPr="00BF7B49">
        <w:rPr>
          <w:rFonts w:ascii="Arial" w:hAnsi="Arial"/>
          <w:b/>
          <w:sz w:val="22"/>
          <w:szCs w:val="22"/>
        </w:rPr>
        <w:t>Cash and Cash Equivalents</w:t>
      </w:r>
    </w:p>
    <w:p w14:paraId="171A7D05" w14:textId="77777777" w:rsidR="003B74DA" w:rsidRPr="00BF7B49" w:rsidRDefault="003B74DA" w:rsidP="003B74DA">
      <w:pPr>
        <w:tabs>
          <w:tab w:val="right" w:pos="5760"/>
        </w:tabs>
        <w:jc w:val="both"/>
        <w:rPr>
          <w:rFonts w:ascii="Arial" w:hAnsi="Arial"/>
          <w:b/>
          <w:sz w:val="22"/>
          <w:szCs w:val="22"/>
        </w:rPr>
      </w:pPr>
    </w:p>
    <w:p w14:paraId="6E3AF551" w14:textId="77777777" w:rsidR="003B74DA" w:rsidRPr="00BF7B49" w:rsidRDefault="003B74DA" w:rsidP="003B74DA">
      <w:pPr>
        <w:pStyle w:val="BodyTextIndent"/>
        <w:ind w:left="397" w:firstLine="0"/>
        <w:jc w:val="both"/>
        <w:rPr>
          <w:rFonts w:cs="Arial"/>
          <w:i w:val="0"/>
          <w:sz w:val="22"/>
          <w:szCs w:val="22"/>
          <w:u w:val="single"/>
        </w:rPr>
      </w:pPr>
      <w:r w:rsidRPr="00BF7B49">
        <w:rPr>
          <w:rFonts w:cs="Arial"/>
          <w:i w:val="0"/>
          <w:sz w:val="22"/>
          <w:szCs w:val="22"/>
          <w:u w:val="single"/>
        </w:rPr>
        <w:t>Accounting Policy</w:t>
      </w:r>
    </w:p>
    <w:p w14:paraId="66E20FB9" w14:textId="77777777" w:rsidR="003B74DA" w:rsidRPr="00BF7B49" w:rsidRDefault="003B74DA" w:rsidP="003B74DA">
      <w:pPr>
        <w:pStyle w:val="BodyTextIndent"/>
        <w:ind w:left="397" w:firstLine="0"/>
        <w:jc w:val="both"/>
        <w:rPr>
          <w:rFonts w:cs="Arial"/>
          <w:i w:val="0"/>
          <w:sz w:val="22"/>
          <w:szCs w:val="22"/>
        </w:rPr>
      </w:pPr>
    </w:p>
    <w:p w14:paraId="09820A3F" w14:textId="77777777" w:rsidR="003B74DA" w:rsidRPr="00BF7B49" w:rsidRDefault="003B74DA" w:rsidP="003B74DA">
      <w:pPr>
        <w:pStyle w:val="BodyTextIndent"/>
        <w:ind w:left="397" w:firstLine="0"/>
        <w:jc w:val="both"/>
        <w:rPr>
          <w:rFonts w:cs="Arial"/>
          <w:i w:val="0"/>
          <w:sz w:val="22"/>
          <w:szCs w:val="22"/>
        </w:rPr>
      </w:pPr>
      <w:r w:rsidRPr="00BF7B49">
        <w:rPr>
          <w:rFonts w:cs="Arial"/>
          <w:i w:val="0"/>
          <w:sz w:val="22"/>
          <w:szCs w:val="22"/>
        </w:rPr>
        <w:t xml:space="preserve">Cash is represented by cash in hand and deposits with financial institutions repayable without penalty on notice of not more than 24 hours. Cash equivalents are highly liquid investments that mature in three months or less from the date of acquisition and that are readily convertible to known amounts of cash with insignificant risk of change in value. </w:t>
      </w:r>
    </w:p>
    <w:p w14:paraId="5CCFC4CA" w14:textId="77777777" w:rsidR="003B74DA" w:rsidRPr="00BF7B49" w:rsidRDefault="003B74DA" w:rsidP="003B74DA">
      <w:pPr>
        <w:pStyle w:val="BodyTextIndent"/>
        <w:ind w:left="397" w:firstLine="0"/>
        <w:jc w:val="both"/>
        <w:rPr>
          <w:rFonts w:cs="Arial"/>
          <w:i w:val="0"/>
          <w:sz w:val="22"/>
          <w:szCs w:val="22"/>
        </w:rPr>
      </w:pPr>
    </w:p>
    <w:p w14:paraId="29BD522D" w14:textId="7CC59706" w:rsidR="003B74DA" w:rsidRPr="00BF7B49" w:rsidRDefault="003B74DA" w:rsidP="003B74DA">
      <w:pPr>
        <w:pStyle w:val="BodyTextIndent"/>
        <w:ind w:left="397" w:firstLine="0"/>
        <w:jc w:val="both"/>
        <w:rPr>
          <w:rFonts w:cs="Arial"/>
          <w:i w:val="0"/>
          <w:sz w:val="22"/>
          <w:szCs w:val="22"/>
        </w:rPr>
      </w:pPr>
      <w:r w:rsidRPr="00BF7B49">
        <w:rPr>
          <w:rFonts w:cs="Arial"/>
          <w:i w:val="0"/>
          <w:sz w:val="22"/>
          <w:szCs w:val="22"/>
        </w:rPr>
        <w:t>In the cash flow statement, cash and cash equivalents are shown net of bank overdrafts that are repayable on demand and form an integral part of the Group</w:t>
      </w:r>
      <w:r w:rsidR="005B6F05" w:rsidRPr="00BF7B49">
        <w:rPr>
          <w:rFonts w:cs="Arial"/>
          <w:i w:val="0"/>
          <w:sz w:val="22"/>
          <w:szCs w:val="22"/>
        </w:rPr>
        <w:t>’</w:t>
      </w:r>
      <w:r w:rsidRPr="00BF7B49">
        <w:rPr>
          <w:rFonts w:cs="Arial"/>
          <w:i w:val="0"/>
          <w:sz w:val="22"/>
          <w:szCs w:val="22"/>
        </w:rPr>
        <w:t>s cash management.</w:t>
      </w:r>
    </w:p>
    <w:p w14:paraId="1F4FD61B" w14:textId="575430F1" w:rsidR="00B83CCB" w:rsidRDefault="00B83CCB">
      <w:pPr>
        <w:rPr>
          <w:rFonts w:ascii="Arial" w:hAnsi="Arial"/>
          <w:sz w:val="22"/>
          <w:szCs w:val="22"/>
        </w:rPr>
      </w:pPr>
    </w:p>
    <w:p w14:paraId="0E992F29" w14:textId="1963A8CF" w:rsidR="003B74DA" w:rsidRPr="00BF7B49" w:rsidRDefault="003B74DA" w:rsidP="003B74DA">
      <w:pPr>
        <w:ind w:left="426"/>
        <w:jc w:val="both"/>
        <w:rPr>
          <w:rFonts w:ascii="Arial" w:hAnsi="Arial"/>
          <w:sz w:val="22"/>
          <w:szCs w:val="22"/>
        </w:rPr>
      </w:pPr>
      <w:r w:rsidRPr="00BF7B49">
        <w:rPr>
          <w:rFonts w:ascii="Arial" w:hAnsi="Arial"/>
          <w:sz w:val="22"/>
          <w:szCs w:val="22"/>
        </w:rPr>
        <w:t>The balance of cash and cash equivalents is made up of the following elements:</w:t>
      </w:r>
    </w:p>
    <w:p w14:paraId="25B300E0" w14:textId="77777777" w:rsidR="003B74DA" w:rsidRPr="00E96552" w:rsidRDefault="003B74DA" w:rsidP="003B74DA">
      <w:pPr>
        <w:ind w:left="426"/>
        <w:jc w:val="both"/>
        <w:rPr>
          <w:rFonts w:ascii="Arial" w:hAnsi="Arial"/>
          <w:sz w:val="22"/>
          <w:szCs w:val="22"/>
          <w:highlight w:val="yellow"/>
        </w:rPr>
      </w:pPr>
    </w:p>
    <w:tbl>
      <w:tblPr>
        <w:tblW w:w="6469" w:type="dxa"/>
        <w:tblInd w:w="710" w:type="dxa"/>
        <w:tblLook w:val="04A0" w:firstRow="1" w:lastRow="0" w:firstColumn="1" w:lastColumn="0" w:noHBand="0" w:noVBand="1"/>
      </w:tblPr>
      <w:tblGrid>
        <w:gridCol w:w="3137"/>
        <w:gridCol w:w="1481"/>
        <w:gridCol w:w="1851"/>
      </w:tblGrid>
      <w:tr w:rsidR="00116F83" w:rsidRPr="00E96552" w14:paraId="21E3DD9B" w14:textId="77777777" w:rsidTr="00191B6F">
        <w:trPr>
          <w:trHeight w:val="223"/>
        </w:trPr>
        <w:tc>
          <w:tcPr>
            <w:tcW w:w="3137" w:type="dxa"/>
            <w:tcBorders>
              <w:top w:val="single" w:sz="8" w:space="0" w:color="auto"/>
              <w:left w:val="single" w:sz="8" w:space="0" w:color="auto"/>
              <w:bottom w:val="nil"/>
              <w:right w:val="nil"/>
            </w:tcBorders>
            <w:shd w:val="clear" w:color="auto" w:fill="D0CECE"/>
            <w:vAlign w:val="center"/>
            <w:hideMark/>
          </w:tcPr>
          <w:p w14:paraId="3FCAB4E9" w14:textId="77777777" w:rsidR="00116F83" w:rsidRPr="00B933C8" w:rsidRDefault="00116F83" w:rsidP="00116F83">
            <w:pPr>
              <w:jc w:val="both"/>
              <w:rPr>
                <w:rFonts w:ascii="Arial" w:hAnsi="Arial" w:cs="Arial"/>
                <w:color w:val="000000"/>
                <w:sz w:val="22"/>
                <w:szCs w:val="22"/>
              </w:rPr>
            </w:pPr>
            <w:r w:rsidRPr="00B933C8">
              <w:rPr>
                <w:rFonts w:ascii="Arial" w:hAnsi="Arial" w:cs="Arial"/>
                <w:color w:val="000000"/>
                <w:sz w:val="22"/>
                <w:szCs w:val="22"/>
              </w:rPr>
              <w:t> </w:t>
            </w:r>
          </w:p>
        </w:tc>
        <w:tc>
          <w:tcPr>
            <w:tcW w:w="1481" w:type="dxa"/>
            <w:tcBorders>
              <w:top w:val="single" w:sz="8" w:space="0" w:color="auto"/>
              <w:left w:val="nil"/>
              <w:bottom w:val="nil"/>
              <w:right w:val="nil"/>
            </w:tcBorders>
            <w:vAlign w:val="center"/>
            <w:hideMark/>
          </w:tcPr>
          <w:p w14:paraId="492D65B0" w14:textId="77777777" w:rsidR="00116F83" w:rsidRDefault="00116F83" w:rsidP="00116F83">
            <w:pPr>
              <w:jc w:val="right"/>
              <w:rPr>
                <w:rFonts w:ascii="Arial" w:hAnsi="Arial" w:cs="Arial"/>
                <w:b/>
                <w:bCs/>
                <w:color w:val="000000"/>
                <w:sz w:val="22"/>
                <w:szCs w:val="22"/>
              </w:rPr>
            </w:pPr>
            <w:r w:rsidRPr="00B933C8">
              <w:rPr>
                <w:rFonts w:ascii="Arial" w:hAnsi="Arial" w:cs="Arial"/>
                <w:b/>
                <w:bCs/>
                <w:color w:val="000000"/>
                <w:sz w:val="22"/>
                <w:szCs w:val="22"/>
              </w:rPr>
              <w:t>31-Mar-2</w:t>
            </w:r>
            <w:r w:rsidR="00E71EA4">
              <w:rPr>
                <w:rFonts w:ascii="Arial" w:hAnsi="Arial" w:cs="Arial"/>
                <w:b/>
                <w:bCs/>
                <w:color w:val="000000"/>
                <w:sz w:val="22"/>
                <w:szCs w:val="22"/>
              </w:rPr>
              <w:t>4</w:t>
            </w:r>
          </w:p>
          <w:p w14:paraId="5E8B20B1" w14:textId="4194F5FC" w:rsidR="0078160C" w:rsidRPr="00B933C8" w:rsidRDefault="0078160C" w:rsidP="00116F83">
            <w:pPr>
              <w:jc w:val="right"/>
              <w:rPr>
                <w:rFonts w:ascii="Arial" w:hAnsi="Arial" w:cs="Arial"/>
                <w:b/>
                <w:bCs/>
                <w:color w:val="000000"/>
                <w:sz w:val="22"/>
                <w:szCs w:val="22"/>
              </w:rPr>
            </w:pPr>
            <w:r>
              <w:rPr>
                <w:rFonts w:ascii="Arial" w:hAnsi="Arial" w:cs="Arial"/>
                <w:b/>
                <w:bCs/>
                <w:color w:val="000000"/>
                <w:sz w:val="22"/>
                <w:szCs w:val="22"/>
              </w:rPr>
              <w:t>(restated)</w:t>
            </w:r>
          </w:p>
        </w:tc>
        <w:tc>
          <w:tcPr>
            <w:tcW w:w="1851" w:type="dxa"/>
            <w:tcBorders>
              <w:top w:val="single" w:sz="8" w:space="0" w:color="auto"/>
              <w:left w:val="nil"/>
              <w:bottom w:val="nil"/>
              <w:right w:val="single" w:sz="8" w:space="0" w:color="auto"/>
            </w:tcBorders>
            <w:shd w:val="clear" w:color="auto" w:fill="D0CECE"/>
            <w:vAlign w:val="center"/>
            <w:hideMark/>
          </w:tcPr>
          <w:p w14:paraId="1A71FC2C" w14:textId="3AC0CF74" w:rsidR="00116F83" w:rsidRPr="00B933C8" w:rsidRDefault="00116F83" w:rsidP="00116F83">
            <w:pPr>
              <w:jc w:val="right"/>
              <w:rPr>
                <w:rFonts w:ascii="Arial" w:hAnsi="Arial" w:cs="Arial"/>
                <w:b/>
                <w:bCs/>
                <w:color w:val="000000"/>
                <w:sz w:val="22"/>
                <w:szCs w:val="22"/>
              </w:rPr>
            </w:pPr>
            <w:r w:rsidRPr="00B933C8">
              <w:rPr>
                <w:rFonts w:ascii="Arial" w:hAnsi="Arial" w:cs="Arial"/>
                <w:b/>
                <w:bCs/>
                <w:color w:val="000000"/>
                <w:sz w:val="22"/>
                <w:szCs w:val="22"/>
              </w:rPr>
              <w:t>31-Mar-2</w:t>
            </w:r>
            <w:r w:rsidR="00E71EA4">
              <w:rPr>
                <w:rFonts w:ascii="Arial" w:hAnsi="Arial" w:cs="Arial"/>
                <w:b/>
                <w:bCs/>
                <w:color w:val="000000"/>
                <w:sz w:val="22"/>
                <w:szCs w:val="22"/>
              </w:rPr>
              <w:t>5</w:t>
            </w:r>
          </w:p>
        </w:tc>
      </w:tr>
      <w:tr w:rsidR="00116F83" w:rsidRPr="00E96552" w14:paraId="504CAC4A" w14:textId="77777777" w:rsidTr="00191B6F">
        <w:trPr>
          <w:trHeight w:val="223"/>
        </w:trPr>
        <w:tc>
          <w:tcPr>
            <w:tcW w:w="3137" w:type="dxa"/>
            <w:tcBorders>
              <w:top w:val="nil"/>
              <w:left w:val="single" w:sz="8" w:space="0" w:color="auto"/>
              <w:bottom w:val="nil"/>
              <w:right w:val="nil"/>
            </w:tcBorders>
            <w:shd w:val="clear" w:color="auto" w:fill="D0CECE"/>
            <w:vAlign w:val="center"/>
            <w:hideMark/>
          </w:tcPr>
          <w:p w14:paraId="3DB950EF" w14:textId="77777777" w:rsidR="00116F83" w:rsidRPr="00B933C8" w:rsidRDefault="00116F83" w:rsidP="00116F83">
            <w:pPr>
              <w:jc w:val="both"/>
              <w:rPr>
                <w:rFonts w:ascii="Arial" w:hAnsi="Arial" w:cs="Arial"/>
                <w:color w:val="000000"/>
                <w:sz w:val="22"/>
                <w:szCs w:val="22"/>
              </w:rPr>
            </w:pPr>
            <w:r w:rsidRPr="00B933C8">
              <w:rPr>
                <w:rFonts w:ascii="Arial" w:hAnsi="Arial" w:cs="Arial"/>
                <w:color w:val="000000"/>
                <w:sz w:val="22"/>
                <w:szCs w:val="22"/>
              </w:rPr>
              <w:t> </w:t>
            </w:r>
          </w:p>
        </w:tc>
        <w:tc>
          <w:tcPr>
            <w:tcW w:w="1481" w:type="dxa"/>
            <w:tcBorders>
              <w:top w:val="nil"/>
              <w:left w:val="nil"/>
              <w:bottom w:val="nil"/>
              <w:right w:val="nil"/>
            </w:tcBorders>
            <w:vAlign w:val="center"/>
            <w:hideMark/>
          </w:tcPr>
          <w:p w14:paraId="0962C18F" w14:textId="77777777" w:rsidR="00116F83" w:rsidRPr="00B933C8" w:rsidRDefault="00116F83" w:rsidP="00116F83">
            <w:pPr>
              <w:jc w:val="right"/>
              <w:rPr>
                <w:rFonts w:ascii="Arial" w:hAnsi="Arial" w:cs="Arial"/>
                <w:b/>
                <w:bCs/>
                <w:color w:val="000000"/>
                <w:sz w:val="22"/>
                <w:szCs w:val="22"/>
              </w:rPr>
            </w:pPr>
            <w:r w:rsidRPr="00B933C8">
              <w:rPr>
                <w:rFonts w:ascii="Arial" w:hAnsi="Arial" w:cs="Arial"/>
                <w:b/>
                <w:bCs/>
                <w:color w:val="000000"/>
                <w:sz w:val="22"/>
                <w:szCs w:val="22"/>
              </w:rPr>
              <w:t>£000</w:t>
            </w:r>
          </w:p>
        </w:tc>
        <w:tc>
          <w:tcPr>
            <w:tcW w:w="1851" w:type="dxa"/>
            <w:tcBorders>
              <w:top w:val="nil"/>
              <w:left w:val="nil"/>
              <w:bottom w:val="nil"/>
              <w:right w:val="single" w:sz="8" w:space="0" w:color="auto"/>
            </w:tcBorders>
            <w:shd w:val="clear" w:color="auto" w:fill="D0CECE"/>
            <w:vAlign w:val="center"/>
            <w:hideMark/>
          </w:tcPr>
          <w:p w14:paraId="2CA85188" w14:textId="77777777" w:rsidR="00116F83" w:rsidRPr="00B933C8" w:rsidRDefault="00116F83" w:rsidP="00116F83">
            <w:pPr>
              <w:jc w:val="right"/>
              <w:rPr>
                <w:rFonts w:ascii="Arial" w:hAnsi="Arial" w:cs="Arial"/>
                <w:b/>
                <w:bCs/>
                <w:color w:val="000000"/>
                <w:sz w:val="22"/>
                <w:szCs w:val="22"/>
              </w:rPr>
            </w:pPr>
            <w:r w:rsidRPr="00B933C8">
              <w:rPr>
                <w:rFonts w:ascii="Arial" w:hAnsi="Arial" w:cs="Arial"/>
                <w:b/>
                <w:bCs/>
                <w:color w:val="000000"/>
                <w:sz w:val="22"/>
                <w:szCs w:val="22"/>
              </w:rPr>
              <w:t>£000</w:t>
            </w:r>
          </w:p>
        </w:tc>
      </w:tr>
      <w:tr w:rsidR="00B911A4" w:rsidRPr="00E96552" w14:paraId="7BE87134" w14:textId="77777777" w:rsidTr="00B911A4">
        <w:trPr>
          <w:trHeight w:val="223"/>
        </w:trPr>
        <w:tc>
          <w:tcPr>
            <w:tcW w:w="3137" w:type="dxa"/>
            <w:tcBorders>
              <w:top w:val="nil"/>
              <w:left w:val="single" w:sz="8" w:space="0" w:color="auto"/>
              <w:bottom w:val="nil"/>
              <w:right w:val="nil"/>
            </w:tcBorders>
            <w:shd w:val="clear" w:color="auto" w:fill="D0CECE"/>
            <w:vAlign w:val="center"/>
            <w:hideMark/>
          </w:tcPr>
          <w:p w14:paraId="287A8394" w14:textId="77777777" w:rsidR="00B911A4" w:rsidRPr="00B933C8" w:rsidRDefault="00B911A4" w:rsidP="00B911A4">
            <w:pPr>
              <w:jc w:val="both"/>
              <w:rPr>
                <w:rFonts w:ascii="Arial" w:hAnsi="Arial" w:cs="Arial"/>
                <w:color w:val="000000"/>
                <w:sz w:val="22"/>
                <w:szCs w:val="22"/>
              </w:rPr>
            </w:pPr>
            <w:r w:rsidRPr="00B933C8">
              <w:rPr>
                <w:rFonts w:ascii="Arial" w:hAnsi="Arial" w:cs="Arial"/>
                <w:color w:val="000000"/>
                <w:sz w:val="22"/>
                <w:szCs w:val="22"/>
              </w:rPr>
              <w:t xml:space="preserve">Cash held </w:t>
            </w:r>
          </w:p>
        </w:tc>
        <w:tc>
          <w:tcPr>
            <w:tcW w:w="1481" w:type="dxa"/>
            <w:tcBorders>
              <w:top w:val="nil"/>
              <w:left w:val="nil"/>
              <w:bottom w:val="nil"/>
              <w:right w:val="nil"/>
            </w:tcBorders>
            <w:vAlign w:val="center"/>
            <w:hideMark/>
          </w:tcPr>
          <w:p w14:paraId="7F167F6E" w14:textId="678BB3FB" w:rsidR="00B911A4" w:rsidRPr="00B933C8" w:rsidRDefault="00B911A4" w:rsidP="00B911A4">
            <w:pPr>
              <w:jc w:val="right"/>
              <w:rPr>
                <w:rFonts w:ascii="Arial" w:hAnsi="Arial" w:cs="Arial"/>
                <w:color w:val="000000"/>
                <w:sz w:val="22"/>
                <w:szCs w:val="22"/>
              </w:rPr>
            </w:pPr>
            <w:r>
              <w:rPr>
                <w:rFonts w:ascii="Arial" w:hAnsi="Arial" w:cs="Arial"/>
                <w:color w:val="000000"/>
                <w:sz w:val="22"/>
                <w:szCs w:val="22"/>
              </w:rPr>
              <w:t>95</w:t>
            </w:r>
          </w:p>
        </w:tc>
        <w:tc>
          <w:tcPr>
            <w:tcW w:w="1851" w:type="dxa"/>
            <w:tcBorders>
              <w:top w:val="nil"/>
              <w:left w:val="nil"/>
              <w:bottom w:val="nil"/>
              <w:right w:val="single" w:sz="8" w:space="0" w:color="auto"/>
            </w:tcBorders>
            <w:shd w:val="clear" w:color="auto" w:fill="D0CECE"/>
            <w:vAlign w:val="center"/>
            <w:hideMark/>
          </w:tcPr>
          <w:p w14:paraId="1D23A7C8" w14:textId="58FFE4E5" w:rsidR="00B911A4" w:rsidRPr="00B933C8" w:rsidRDefault="00B911A4" w:rsidP="00B911A4">
            <w:pPr>
              <w:jc w:val="right"/>
              <w:rPr>
                <w:rFonts w:ascii="Arial" w:hAnsi="Arial" w:cs="Arial"/>
                <w:color w:val="000000"/>
                <w:sz w:val="22"/>
                <w:szCs w:val="22"/>
              </w:rPr>
            </w:pPr>
            <w:r>
              <w:rPr>
                <w:rFonts w:ascii="Arial" w:hAnsi="Arial" w:cs="Arial"/>
                <w:color w:val="000000"/>
                <w:sz w:val="22"/>
                <w:szCs w:val="22"/>
              </w:rPr>
              <w:t>125</w:t>
            </w:r>
          </w:p>
        </w:tc>
      </w:tr>
      <w:tr w:rsidR="00B911A4" w:rsidRPr="00E96552" w14:paraId="4883B7A6" w14:textId="77777777" w:rsidTr="00B911A4">
        <w:trPr>
          <w:trHeight w:val="223"/>
        </w:trPr>
        <w:tc>
          <w:tcPr>
            <w:tcW w:w="3137" w:type="dxa"/>
            <w:tcBorders>
              <w:top w:val="nil"/>
              <w:left w:val="single" w:sz="8" w:space="0" w:color="auto"/>
              <w:bottom w:val="nil"/>
              <w:right w:val="nil"/>
            </w:tcBorders>
            <w:shd w:val="clear" w:color="auto" w:fill="D0CECE"/>
            <w:vAlign w:val="center"/>
            <w:hideMark/>
          </w:tcPr>
          <w:p w14:paraId="1F4BD805" w14:textId="77777777" w:rsidR="00B911A4" w:rsidRPr="00B933C8" w:rsidRDefault="00B911A4" w:rsidP="00B911A4">
            <w:pPr>
              <w:jc w:val="both"/>
              <w:rPr>
                <w:rFonts w:ascii="Arial" w:hAnsi="Arial" w:cs="Arial"/>
                <w:color w:val="000000"/>
                <w:sz w:val="22"/>
                <w:szCs w:val="22"/>
              </w:rPr>
            </w:pPr>
            <w:r w:rsidRPr="00B933C8">
              <w:rPr>
                <w:rFonts w:ascii="Arial" w:hAnsi="Arial" w:cs="Arial"/>
                <w:color w:val="000000"/>
                <w:sz w:val="22"/>
                <w:szCs w:val="22"/>
              </w:rPr>
              <w:t>Bank current accounts</w:t>
            </w:r>
          </w:p>
        </w:tc>
        <w:tc>
          <w:tcPr>
            <w:tcW w:w="1481" w:type="dxa"/>
            <w:tcBorders>
              <w:top w:val="nil"/>
              <w:left w:val="nil"/>
              <w:bottom w:val="nil"/>
              <w:right w:val="nil"/>
            </w:tcBorders>
            <w:vAlign w:val="center"/>
            <w:hideMark/>
          </w:tcPr>
          <w:p w14:paraId="3BAB02AC" w14:textId="7A3C174F" w:rsidR="00B911A4" w:rsidRPr="00B933C8" w:rsidRDefault="00B911A4" w:rsidP="00B911A4">
            <w:pPr>
              <w:jc w:val="right"/>
              <w:rPr>
                <w:rFonts w:ascii="Arial" w:hAnsi="Arial" w:cs="Arial"/>
                <w:color w:val="000000"/>
                <w:sz w:val="22"/>
                <w:szCs w:val="22"/>
              </w:rPr>
            </w:pPr>
            <w:r>
              <w:rPr>
                <w:rFonts w:ascii="Arial" w:hAnsi="Arial" w:cs="Arial"/>
                <w:color w:val="000000"/>
                <w:sz w:val="22"/>
                <w:szCs w:val="22"/>
              </w:rPr>
              <w:t>8</w:t>
            </w:r>
          </w:p>
        </w:tc>
        <w:tc>
          <w:tcPr>
            <w:tcW w:w="1851" w:type="dxa"/>
            <w:tcBorders>
              <w:top w:val="nil"/>
              <w:left w:val="nil"/>
              <w:bottom w:val="nil"/>
              <w:right w:val="single" w:sz="8" w:space="0" w:color="auto"/>
            </w:tcBorders>
            <w:shd w:val="clear" w:color="auto" w:fill="D0CECE"/>
            <w:vAlign w:val="center"/>
            <w:hideMark/>
          </w:tcPr>
          <w:p w14:paraId="2A924592" w14:textId="67124212" w:rsidR="00B911A4" w:rsidRPr="00B933C8" w:rsidRDefault="00B911A4" w:rsidP="00B911A4">
            <w:pPr>
              <w:jc w:val="right"/>
              <w:rPr>
                <w:rFonts w:ascii="Arial" w:hAnsi="Arial" w:cs="Arial"/>
                <w:color w:val="000000"/>
                <w:sz w:val="22"/>
                <w:szCs w:val="22"/>
              </w:rPr>
            </w:pPr>
            <w:r>
              <w:rPr>
                <w:rFonts w:ascii="Arial" w:hAnsi="Arial" w:cs="Arial"/>
                <w:color w:val="000000"/>
                <w:sz w:val="22"/>
                <w:szCs w:val="22"/>
              </w:rPr>
              <w:t>25</w:t>
            </w:r>
          </w:p>
        </w:tc>
      </w:tr>
      <w:tr w:rsidR="00B911A4" w:rsidRPr="00E96552" w14:paraId="61F23125" w14:textId="77777777" w:rsidTr="00B911A4">
        <w:trPr>
          <w:trHeight w:val="436"/>
        </w:trPr>
        <w:tc>
          <w:tcPr>
            <w:tcW w:w="3137" w:type="dxa"/>
            <w:tcBorders>
              <w:top w:val="nil"/>
              <w:left w:val="single" w:sz="8" w:space="0" w:color="auto"/>
              <w:bottom w:val="nil"/>
              <w:right w:val="nil"/>
            </w:tcBorders>
            <w:shd w:val="clear" w:color="auto" w:fill="D0CECE"/>
            <w:vAlign w:val="center"/>
            <w:hideMark/>
          </w:tcPr>
          <w:p w14:paraId="00292B55" w14:textId="77777777" w:rsidR="00B911A4" w:rsidRPr="00B933C8" w:rsidRDefault="00B911A4" w:rsidP="00B911A4">
            <w:pPr>
              <w:jc w:val="both"/>
              <w:rPr>
                <w:rFonts w:ascii="Arial" w:hAnsi="Arial" w:cs="Arial"/>
                <w:color w:val="000000"/>
                <w:sz w:val="22"/>
                <w:szCs w:val="22"/>
              </w:rPr>
            </w:pPr>
            <w:r w:rsidRPr="00B933C8">
              <w:rPr>
                <w:rFonts w:ascii="Arial" w:hAnsi="Arial" w:cs="Arial"/>
                <w:color w:val="000000"/>
                <w:sz w:val="22"/>
                <w:szCs w:val="22"/>
              </w:rPr>
              <w:t>Short-term deposits under three months</w:t>
            </w:r>
          </w:p>
        </w:tc>
        <w:tc>
          <w:tcPr>
            <w:tcW w:w="1481" w:type="dxa"/>
            <w:tcBorders>
              <w:top w:val="nil"/>
              <w:left w:val="nil"/>
              <w:bottom w:val="single" w:sz="8" w:space="0" w:color="auto"/>
              <w:right w:val="nil"/>
            </w:tcBorders>
            <w:vAlign w:val="center"/>
            <w:hideMark/>
          </w:tcPr>
          <w:p w14:paraId="46700F0E" w14:textId="0D973DB7" w:rsidR="00B911A4" w:rsidRPr="00B933C8" w:rsidRDefault="00A22E27" w:rsidP="00B911A4">
            <w:pPr>
              <w:jc w:val="right"/>
              <w:rPr>
                <w:rFonts w:ascii="Arial" w:hAnsi="Arial" w:cs="Arial"/>
                <w:color w:val="000000"/>
                <w:sz w:val="22"/>
                <w:szCs w:val="22"/>
              </w:rPr>
            </w:pPr>
            <w:r>
              <w:rPr>
                <w:rFonts w:ascii="Arial" w:hAnsi="Arial" w:cs="Arial"/>
                <w:color w:val="000000"/>
                <w:sz w:val="22"/>
                <w:szCs w:val="22"/>
              </w:rPr>
              <w:t>4,51</w:t>
            </w:r>
            <w:r w:rsidR="00B911A4" w:rsidRPr="00B933C8">
              <w:rPr>
                <w:rFonts w:ascii="Arial" w:hAnsi="Arial" w:cs="Arial"/>
                <w:color w:val="000000"/>
                <w:sz w:val="22"/>
                <w:szCs w:val="22"/>
              </w:rPr>
              <w:t>7</w:t>
            </w:r>
          </w:p>
        </w:tc>
        <w:tc>
          <w:tcPr>
            <w:tcW w:w="1851" w:type="dxa"/>
            <w:tcBorders>
              <w:top w:val="nil"/>
              <w:left w:val="nil"/>
              <w:bottom w:val="nil"/>
              <w:right w:val="single" w:sz="8" w:space="0" w:color="auto"/>
            </w:tcBorders>
            <w:shd w:val="clear" w:color="auto" w:fill="D0CECE"/>
            <w:vAlign w:val="center"/>
            <w:hideMark/>
          </w:tcPr>
          <w:p w14:paraId="53FE6840" w14:textId="6967518E" w:rsidR="00B911A4" w:rsidRPr="00B933C8" w:rsidRDefault="00B911A4" w:rsidP="00B911A4">
            <w:pPr>
              <w:jc w:val="right"/>
              <w:rPr>
                <w:rFonts w:ascii="Arial" w:hAnsi="Arial" w:cs="Arial"/>
                <w:color w:val="000000"/>
                <w:sz w:val="22"/>
                <w:szCs w:val="22"/>
              </w:rPr>
            </w:pPr>
            <w:r>
              <w:rPr>
                <w:rFonts w:ascii="Arial" w:hAnsi="Arial" w:cs="Arial"/>
                <w:color w:val="000000"/>
                <w:sz w:val="22"/>
                <w:szCs w:val="22"/>
              </w:rPr>
              <w:t>11,748</w:t>
            </w:r>
          </w:p>
        </w:tc>
      </w:tr>
      <w:tr w:rsidR="00B911A4" w:rsidRPr="00E96552" w14:paraId="23D3FE83" w14:textId="77777777" w:rsidTr="00B911A4">
        <w:trPr>
          <w:trHeight w:val="234"/>
        </w:trPr>
        <w:tc>
          <w:tcPr>
            <w:tcW w:w="3137" w:type="dxa"/>
            <w:tcBorders>
              <w:top w:val="nil"/>
              <w:left w:val="single" w:sz="8" w:space="0" w:color="auto"/>
              <w:bottom w:val="single" w:sz="8" w:space="0" w:color="auto"/>
              <w:right w:val="nil"/>
            </w:tcBorders>
            <w:shd w:val="clear" w:color="auto" w:fill="D0CECE"/>
            <w:vAlign w:val="center"/>
            <w:hideMark/>
          </w:tcPr>
          <w:p w14:paraId="235446BD" w14:textId="77777777" w:rsidR="00B911A4" w:rsidRPr="00B933C8" w:rsidRDefault="00B911A4" w:rsidP="00B911A4">
            <w:pPr>
              <w:jc w:val="both"/>
              <w:rPr>
                <w:rFonts w:ascii="Arial" w:hAnsi="Arial" w:cs="Arial"/>
                <w:b/>
                <w:bCs/>
                <w:color w:val="000000"/>
                <w:sz w:val="22"/>
                <w:szCs w:val="22"/>
              </w:rPr>
            </w:pPr>
            <w:r w:rsidRPr="00B933C8">
              <w:rPr>
                <w:rFonts w:ascii="Arial" w:hAnsi="Arial" w:cs="Arial"/>
                <w:b/>
                <w:bCs/>
                <w:color w:val="000000"/>
                <w:sz w:val="22"/>
                <w:szCs w:val="22"/>
              </w:rPr>
              <w:t>TOTAL</w:t>
            </w:r>
          </w:p>
        </w:tc>
        <w:tc>
          <w:tcPr>
            <w:tcW w:w="1481" w:type="dxa"/>
            <w:tcBorders>
              <w:top w:val="nil"/>
              <w:left w:val="nil"/>
              <w:bottom w:val="single" w:sz="8" w:space="0" w:color="auto"/>
              <w:right w:val="nil"/>
            </w:tcBorders>
            <w:vAlign w:val="center"/>
            <w:hideMark/>
          </w:tcPr>
          <w:p w14:paraId="732A8285" w14:textId="3C09B2E5" w:rsidR="00B911A4" w:rsidRPr="00B933C8" w:rsidRDefault="00A22E27" w:rsidP="00B911A4">
            <w:pPr>
              <w:jc w:val="right"/>
              <w:rPr>
                <w:rFonts w:ascii="Arial" w:hAnsi="Arial" w:cs="Arial"/>
                <w:b/>
                <w:bCs/>
                <w:color w:val="000000"/>
                <w:sz w:val="22"/>
                <w:szCs w:val="22"/>
              </w:rPr>
            </w:pPr>
            <w:r>
              <w:rPr>
                <w:rFonts w:ascii="Arial" w:hAnsi="Arial" w:cs="Arial"/>
                <w:b/>
                <w:bCs/>
                <w:color w:val="000000"/>
                <w:sz w:val="22"/>
                <w:szCs w:val="22"/>
              </w:rPr>
              <w:t>4,619</w:t>
            </w:r>
          </w:p>
        </w:tc>
        <w:tc>
          <w:tcPr>
            <w:tcW w:w="1851" w:type="dxa"/>
            <w:tcBorders>
              <w:top w:val="single" w:sz="8" w:space="0" w:color="auto"/>
              <w:left w:val="nil"/>
              <w:bottom w:val="single" w:sz="8" w:space="0" w:color="auto"/>
              <w:right w:val="single" w:sz="8" w:space="0" w:color="auto"/>
            </w:tcBorders>
            <w:shd w:val="clear" w:color="auto" w:fill="D0CECE"/>
            <w:vAlign w:val="center"/>
            <w:hideMark/>
          </w:tcPr>
          <w:p w14:paraId="40DE1B8E" w14:textId="0525BA48" w:rsidR="00B911A4" w:rsidRPr="00B933C8" w:rsidRDefault="00B911A4" w:rsidP="00B911A4">
            <w:pPr>
              <w:jc w:val="right"/>
              <w:rPr>
                <w:rFonts w:ascii="Arial" w:hAnsi="Arial" w:cs="Arial"/>
                <w:b/>
                <w:bCs/>
                <w:color w:val="000000"/>
                <w:sz w:val="22"/>
                <w:szCs w:val="22"/>
              </w:rPr>
            </w:pPr>
            <w:r>
              <w:rPr>
                <w:rFonts w:ascii="Arial" w:hAnsi="Arial" w:cs="Arial"/>
                <w:b/>
                <w:bCs/>
                <w:color w:val="000000"/>
                <w:sz w:val="22"/>
                <w:szCs w:val="22"/>
              </w:rPr>
              <w:t>11,898</w:t>
            </w:r>
          </w:p>
        </w:tc>
      </w:tr>
    </w:tbl>
    <w:p w14:paraId="1FAB0A86" w14:textId="77777777" w:rsidR="003B74DA" w:rsidRPr="00E96552" w:rsidRDefault="003B74DA" w:rsidP="003B74DA">
      <w:pPr>
        <w:tabs>
          <w:tab w:val="right" w:pos="5760"/>
        </w:tabs>
        <w:ind w:left="720"/>
        <w:rPr>
          <w:rFonts w:ascii="Arial" w:hAnsi="Arial"/>
          <w:sz w:val="22"/>
          <w:szCs w:val="22"/>
          <w:highlight w:val="yellow"/>
        </w:rPr>
      </w:pPr>
    </w:p>
    <w:p w14:paraId="27C0B217" w14:textId="153AA7CD" w:rsidR="003035F2" w:rsidRDefault="003035F2" w:rsidP="006904D1">
      <w:pPr>
        <w:tabs>
          <w:tab w:val="right" w:pos="5760"/>
        </w:tabs>
        <w:ind w:left="426"/>
        <w:rPr>
          <w:rFonts w:ascii="Arial" w:hAnsi="Arial"/>
          <w:sz w:val="22"/>
          <w:szCs w:val="22"/>
        </w:rPr>
      </w:pPr>
    </w:p>
    <w:p w14:paraId="69D4A74F" w14:textId="77777777" w:rsidR="006904D1" w:rsidRDefault="006904D1" w:rsidP="006904D1">
      <w:pPr>
        <w:tabs>
          <w:tab w:val="right" w:pos="5760"/>
        </w:tabs>
        <w:ind w:left="426"/>
        <w:rPr>
          <w:rFonts w:ascii="Arial" w:hAnsi="Arial"/>
          <w:sz w:val="22"/>
          <w:szCs w:val="22"/>
        </w:rPr>
      </w:pPr>
    </w:p>
    <w:p w14:paraId="4A95D7FB" w14:textId="77777777" w:rsidR="00961D1E" w:rsidRDefault="00961D1E">
      <w:pPr>
        <w:rPr>
          <w:rFonts w:ascii="Arial" w:hAnsi="Arial"/>
          <w:b/>
          <w:sz w:val="22"/>
          <w:szCs w:val="22"/>
        </w:rPr>
      </w:pPr>
      <w:r>
        <w:rPr>
          <w:rFonts w:ascii="Arial" w:hAnsi="Arial"/>
          <w:b/>
          <w:sz w:val="22"/>
          <w:szCs w:val="22"/>
        </w:rPr>
        <w:br w:type="page"/>
      </w:r>
    </w:p>
    <w:p w14:paraId="73A7C221" w14:textId="31D4C4FC" w:rsidR="003B74DA" w:rsidRDefault="003B74DA" w:rsidP="003B74DA">
      <w:pPr>
        <w:numPr>
          <w:ilvl w:val="0"/>
          <w:numId w:val="1"/>
        </w:numPr>
        <w:tabs>
          <w:tab w:val="clear" w:pos="720"/>
          <w:tab w:val="num" w:pos="426"/>
          <w:tab w:val="right" w:pos="5760"/>
        </w:tabs>
        <w:ind w:left="426"/>
        <w:rPr>
          <w:rFonts w:ascii="Arial" w:hAnsi="Arial"/>
          <w:b/>
          <w:sz w:val="22"/>
          <w:szCs w:val="22"/>
        </w:rPr>
      </w:pPr>
      <w:r w:rsidRPr="007439A2">
        <w:rPr>
          <w:rFonts w:ascii="Arial" w:hAnsi="Arial"/>
          <w:b/>
          <w:sz w:val="22"/>
          <w:szCs w:val="22"/>
        </w:rPr>
        <w:lastRenderedPageBreak/>
        <w:t>Cash Flow Statement -Adjustments to Net Deficit on the provision of services for non-cash movement</w:t>
      </w:r>
    </w:p>
    <w:p w14:paraId="29826460" w14:textId="77777777" w:rsidR="009D5E7D" w:rsidRDefault="009D5E7D" w:rsidP="008A5600">
      <w:pPr>
        <w:tabs>
          <w:tab w:val="right" w:pos="5760"/>
        </w:tabs>
        <w:ind w:left="426"/>
        <w:rPr>
          <w:rFonts w:ascii="Arial" w:hAnsi="Arial"/>
          <w:b/>
          <w:sz w:val="22"/>
          <w:szCs w:val="22"/>
        </w:rPr>
      </w:pPr>
    </w:p>
    <w:tbl>
      <w:tblPr>
        <w:tblW w:w="10480" w:type="dxa"/>
        <w:tblLayout w:type="fixed"/>
        <w:tblCellMar>
          <w:top w:w="15" w:type="dxa"/>
          <w:bottom w:w="15" w:type="dxa"/>
        </w:tblCellMar>
        <w:tblLook w:val="04A0" w:firstRow="1" w:lastRow="0" w:firstColumn="1" w:lastColumn="0" w:noHBand="0" w:noVBand="1"/>
      </w:tblPr>
      <w:tblGrid>
        <w:gridCol w:w="1266"/>
        <w:gridCol w:w="1134"/>
        <w:gridCol w:w="5475"/>
        <w:gridCol w:w="1312"/>
        <w:gridCol w:w="1293"/>
      </w:tblGrid>
      <w:tr w:rsidR="00D8288C" w:rsidRPr="00D8288C" w14:paraId="060ED90C" w14:textId="77777777" w:rsidTr="00744D72">
        <w:trPr>
          <w:trHeight w:val="300"/>
        </w:trPr>
        <w:tc>
          <w:tcPr>
            <w:tcW w:w="2400" w:type="dxa"/>
            <w:gridSpan w:val="2"/>
            <w:tcBorders>
              <w:top w:val="single" w:sz="8" w:space="0" w:color="auto"/>
              <w:left w:val="single" w:sz="8" w:space="0" w:color="auto"/>
              <w:bottom w:val="nil"/>
              <w:right w:val="nil"/>
            </w:tcBorders>
            <w:shd w:val="clear" w:color="000000" w:fill="CCCCCC"/>
            <w:vAlign w:val="center"/>
            <w:hideMark/>
          </w:tcPr>
          <w:p w14:paraId="54D4B156"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PCC</w:t>
            </w:r>
          </w:p>
        </w:tc>
        <w:tc>
          <w:tcPr>
            <w:tcW w:w="5475" w:type="dxa"/>
            <w:tcBorders>
              <w:top w:val="single" w:sz="8" w:space="0" w:color="auto"/>
              <w:left w:val="nil"/>
              <w:bottom w:val="nil"/>
              <w:right w:val="nil"/>
            </w:tcBorders>
            <w:shd w:val="clear" w:color="000000" w:fill="CCCCCC"/>
            <w:vAlign w:val="center"/>
            <w:hideMark/>
          </w:tcPr>
          <w:p w14:paraId="7EA402CF" w14:textId="77777777" w:rsidR="00D8288C" w:rsidRPr="00D8288C" w:rsidRDefault="00D8288C" w:rsidP="00D8288C">
            <w:pPr>
              <w:jc w:val="center"/>
              <w:rPr>
                <w:rFonts w:ascii="Arial" w:hAnsi="Arial" w:cs="Arial"/>
                <w:b/>
                <w:bCs/>
                <w:color w:val="000000"/>
                <w:sz w:val="22"/>
                <w:szCs w:val="22"/>
              </w:rPr>
            </w:pPr>
          </w:p>
        </w:tc>
        <w:tc>
          <w:tcPr>
            <w:tcW w:w="2605" w:type="dxa"/>
            <w:gridSpan w:val="2"/>
            <w:tcBorders>
              <w:top w:val="single" w:sz="8" w:space="0" w:color="auto"/>
              <w:left w:val="nil"/>
              <w:bottom w:val="nil"/>
              <w:right w:val="nil"/>
            </w:tcBorders>
            <w:shd w:val="clear" w:color="000000" w:fill="CCCCCC"/>
            <w:vAlign w:val="center"/>
            <w:hideMark/>
          </w:tcPr>
          <w:p w14:paraId="750CC5D8"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PCC GROUP</w:t>
            </w:r>
          </w:p>
        </w:tc>
      </w:tr>
      <w:tr w:rsidR="00681F6E" w:rsidRPr="00D8288C" w14:paraId="4EBCC0BC" w14:textId="77777777" w:rsidTr="00744D72">
        <w:trPr>
          <w:trHeight w:val="300"/>
        </w:trPr>
        <w:tc>
          <w:tcPr>
            <w:tcW w:w="1266" w:type="dxa"/>
            <w:tcBorders>
              <w:top w:val="nil"/>
              <w:left w:val="single" w:sz="8" w:space="0" w:color="auto"/>
              <w:bottom w:val="nil"/>
              <w:right w:val="nil"/>
            </w:tcBorders>
            <w:shd w:val="clear" w:color="000000" w:fill="auto"/>
            <w:vAlign w:val="center"/>
            <w:hideMark/>
          </w:tcPr>
          <w:p w14:paraId="02A9524B" w14:textId="2198EF7F" w:rsidR="0042789B" w:rsidRPr="00D8288C" w:rsidRDefault="00C37E7F" w:rsidP="00DD1DC1">
            <w:pPr>
              <w:jc w:val="right"/>
              <w:rPr>
                <w:rFonts w:ascii="Arial" w:hAnsi="Arial" w:cs="Arial"/>
                <w:b/>
                <w:bCs/>
                <w:color w:val="000000"/>
                <w:sz w:val="22"/>
                <w:szCs w:val="22"/>
              </w:rPr>
            </w:pPr>
            <w:r>
              <w:rPr>
                <w:rFonts w:ascii="Arial" w:hAnsi="Arial" w:cs="Arial"/>
                <w:b/>
                <w:bCs/>
                <w:color w:val="000000"/>
                <w:sz w:val="22"/>
                <w:szCs w:val="22"/>
              </w:rPr>
              <w:t>2023/24</w:t>
            </w:r>
          </w:p>
        </w:tc>
        <w:tc>
          <w:tcPr>
            <w:tcW w:w="1134" w:type="dxa"/>
            <w:tcBorders>
              <w:top w:val="nil"/>
              <w:left w:val="nil"/>
              <w:bottom w:val="nil"/>
              <w:right w:val="nil"/>
            </w:tcBorders>
            <w:shd w:val="clear" w:color="000000" w:fill="CCCCCC"/>
            <w:vAlign w:val="center"/>
            <w:hideMark/>
          </w:tcPr>
          <w:p w14:paraId="34C6ABD0" w14:textId="4A43E223" w:rsidR="00D8288C" w:rsidRPr="00D8288C" w:rsidRDefault="00C37E7F" w:rsidP="00D8288C">
            <w:pPr>
              <w:jc w:val="right"/>
              <w:rPr>
                <w:rFonts w:ascii="Arial" w:hAnsi="Arial" w:cs="Arial"/>
                <w:b/>
                <w:bCs/>
                <w:color w:val="000000"/>
                <w:sz w:val="22"/>
                <w:szCs w:val="22"/>
              </w:rPr>
            </w:pPr>
            <w:r>
              <w:rPr>
                <w:rFonts w:ascii="Arial" w:hAnsi="Arial" w:cs="Arial"/>
                <w:b/>
                <w:bCs/>
                <w:color w:val="000000"/>
                <w:sz w:val="22"/>
                <w:szCs w:val="22"/>
              </w:rPr>
              <w:t>2024/25</w:t>
            </w:r>
          </w:p>
        </w:tc>
        <w:tc>
          <w:tcPr>
            <w:tcW w:w="5475" w:type="dxa"/>
            <w:tcBorders>
              <w:top w:val="nil"/>
              <w:left w:val="nil"/>
              <w:bottom w:val="nil"/>
              <w:right w:val="nil"/>
            </w:tcBorders>
            <w:shd w:val="clear" w:color="000000" w:fill="auto"/>
            <w:vAlign w:val="center"/>
            <w:hideMark/>
          </w:tcPr>
          <w:p w14:paraId="44BA169E" w14:textId="77777777" w:rsidR="00D8288C" w:rsidRPr="00D8288C" w:rsidRDefault="00D8288C" w:rsidP="00D8288C">
            <w:pPr>
              <w:jc w:val="right"/>
              <w:rPr>
                <w:rFonts w:ascii="Arial" w:hAnsi="Arial" w:cs="Arial"/>
                <w:b/>
                <w:bCs/>
                <w:color w:val="000000"/>
                <w:sz w:val="22"/>
                <w:szCs w:val="22"/>
              </w:rPr>
            </w:pPr>
          </w:p>
        </w:tc>
        <w:tc>
          <w:tcPr>
            <w:tcW w:w="1312" w:type="dxa"/>
            <w:tcBorders>
              <w:top w:val="nil"/>
              <w:left w:val="nil"/>
              <w:bottom w:val="nil"/>
              <w:right w:val="nil"/>
            </w:tcBorders>
            <w:shd w:val="clear" w:color="000000" w:fill="auto"/>
            <w:vAlign w:val="center"/>
            <w:hideMark/>
          </w:tcPr>
          <w:p w14:paraId="320283E4" w14:textId="1E0F2E26" w:rsidR="0042789B" w:rsidRPr="00D8288C" w:rsidRDefault="00C37E7F" w:rsidP="00DD1DC1">
            <w:pPr>
              <w:jc w:val="right"/>
              <w:rPr>
                <w:rFonts w:ascii="Arial" w:hAnsi="Arial" w:cs="Arial"/>
                <w:b/>
                <w:bCs/>
                <w:color w:val="000000"/>
                <w:sz w:val="22"/>
                <w:szCs w:val="22"/>
              </w:rPr>
            </w:pPr>
            <w:r>
              <w:rPr>
                <w:rFonts w:ascii="Arial" w:hAnsi="Arial" w:cs="Arial"/>
                <w:b/>
                <w:bCs/>
                <w:color w:val="000000"/>
                <w:sz w:val="22"/>
                <w:szCs w:val="22"/>
              </w:rPr>
              <w:t>2023/24</w:t>
            </w:r>
          </w:p>
        </w:tc>
        <w:tc>
          <w:tcPr>
            <w:tcW w:w="1293" w:type="dxa"/>
            <w:tcBorders>
              <w:top w:val="nil"/>
              <w:left w:val="nil"/>
              <w:bottom w:val="nil"/>
              <w:right w:val="single" w:sz="8" w:space="0" w:color="auto"/>
            </w:tcBorders>
            <w:shd w:val="clear" w:color="000000" w:fill="CCCCCC"/>
            <w:vAlign w:val="center"/>
            <w:hideMark/>
          </w:tcPr>
          <w:p w14:paraId="258A8929" w14:textId="2E2B8393" w:rsidR="00D8288C" w:rsidRPr="00D8288C" w:rsidRDefault="00C37E7F" w:rsidP="00D8288C">
            <w:pPr>
              <w:jc w:val="right"/>
              <w:rPr>
                <w:rFonts w:ascii="Arial" w:hAnsi="Arial" w:cs="Arial"/>
                <w:b/>
                <w:bCs/>
                <w:color w:val="000000"/>
                <w:sz w:val="22"/>
                <w:szCs w:val="22"/>
              </w:rPr>
            </w:pPr>
            <w:r>
              <w:rPr>
                <w:rFonts w:ascii="Arial" w:hAnsi="Arial" w:cs="Arial"/>
                <w:b/>
                <w:bCs/>
                <w:color w:val="000000"/>
                <w:sz w:val="22"/>
                <w:szCs w:val="22"/>
              </w:rPr>
              <w:t>2024/25</w:t>
            </w:r>
          </w:p>
        </w:tc>
      </w:tr>
      <w:tr w:rsidR="00681F6E" w:rsidRPr="00D8288C" w14:paraId="00BBBF4D" w14:textId="77777777" w:rsidTr="00744D72">
        <w:trPr>
          <w:trHeight w:val="570"/>
        </w:trPr>
        <w:tc>
          <w:tcPr>
            <w:tcW w:w="1266" w:type="dxa"/>
            <w:tcBorders>
              <w:top w:val="nil"/>
              <w:left w:val="single" w:sz="8" w:space="0" w:color="auto"/>
              <w:bottom w:val="nil"/>
              <w:right w:val="nil"/>
            </w:tcBorders>
            <w:shd w:val="clear" w:color="000000" w:fill="auto"/>
            <w:vAlign w:val="center"/>
            <w:hideMark/>
          </w:tcPr>
          <w:p w14:paraId="3A3ADA24" w14:textId="77777777" w:rsidR="00D8288C" w:rsidRPr="00D8288C" w:rsidRDefault="00D8288C" w:rsidP="00D8288C">
            <w:pPr>
              <w:jc w:val="right"/>
              <w:rPr>
                <w:rFonts w:ascii="Arial" w:hAnsi="Arial" w:cs="Arial"/>
                <w:b/>
                <w:bCs/>
                <w:color w:val="000000"/>
                <w:sz w:val="22"/>
                <w:szCs w:val="22"/>
              </w:rPr>
            </w:pPr>
            <w:r w:rsidRPr="00D8288C">
              <w:rPr>
                <w:rFonts w:ascii="Arial" w:hAnsi="Arial" w:cs="Arial"/>
                <w:b/>
                <w:bCs/>
                <w:color w:val="000000"/>
                <w:sz w:val="22"/>
                <w:szCs w:val="22"/>
              </w:rPr>
              <w:t>£000</w:t>
            </w:r>
          </w:p>
        </w:tc>
        <w:tc>
          <w:tcPr>
            <w:tcW w:w="1134" w:type="dxa"/>
            <w:tcBorders>
              <w:top w:val="nil"/>
              <w:left w:val="nil"/>
              <w:bottom w:val="nil"/>
              <w:right w:val="nil"/>
            </w:tcBorders>
            <w:shd w:val="clear" w:color="000000" w:fill="CCCCCC"/>
            <w:vAlign w:val="center"/>
            <w:hideMark/>
          </w:tcPr>
          <w:p w14:paraId="7ECF7BDA" w14:textId="77777777" w:rsidR="00D8288C" w:rsidRPr="00D8288C" w:rsidRDefault="00D8288C" w:rsidP="00D8288C">
            <w:pPr>
              <w:jc w:val="right"/>
              <w:rPr>
                <w:rFonts w:ascii="Arial" w:hAnsi="Arial" w:cs="Arial"/>
                <w:b/>
                <w:bCs/>
                <w:color w:val="000000"/>
                <w:sz w:val="22"/>
                <w:szCs w:val="22"/>
              </w:rPr>
            </w:pPr>
            <w:r w:rsidRPr="00D8288C">
              <w:rPr>
                <w:rFonts w:ascii="Arial" w:hAnsi="Arial" w:cs="Arial"/>
                <w:b/>
                <w:bCs/>
                <w:color w:val="000000"/>
                <w:sz w:val="22"/>
                <w:szCs w:val="22"/>
              </w:rPr>
              <w:t>£000</w:t>
            </w:r>
          </w:p>
        </w:tc>
        <w:tc>
          <w:tcPr>
            <w:tcW w:w="5475" w:type="dxa"/>
            <w:tcBorders>
              <w:top w:val="nil"/>
              <w:left w:val="nil"/>
              <w:bottom w:val="nil"/>
              <w:right w:val="nil"/>
            </w:tcBorders>
            <w:shd w:val="clear" w:color="000000" w:fill="auto"/>
            <w:vAlign w:val="center"/>
            <w:hideMark/>
          </w:tcPr>
          <w:p w14:paraId="78CF6629" w14:textId="77777777" w:rsidR="00D8288C" w:rsidRPr="00D8288C" w:rsidRDefault="00D8288C" w:rsidP="00D8288C">
            <w:pPr>
              <w:jc w:val="right"/>
              <w:rPr>
                <w:rFonts w:ascii="Arial" w:hAnsi="Arial" w:cs="Arial"/>
                <w:b/>
                <w:bCs/>
                <w:color w:val="000000"/>
                <w:sz w:val="22"/>
                <w:szCs w:val="22"/>
              </w:rPr>
            </w:pPr>
          </w:p>
        </w:tc>
        <w:tc>
          <w:tcPr>
            <w:tcW w:w="1312" w:type="dxa"/>
            <w:tcBorders>
              <w:top w:val="nil"/>
              <w:left w:val="nil"/>
              <w:bottom w:val="nil"/>
              <w:right w:val="nil"/>
            </w:tcBorders>
            <w:shd w:val="clear" w:color="000000" w:fill="auto"/>
            <w:vAlign w:val="center"/>
            <w:hideMark/>
          </w:tcPr>
          <w:p w14:paraId="478F186C"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£000</w:t>
            </w:r>
          </w:p>
        </w:tc>
        <w:tc>
          <w:tcPr>
            <w:tcW w:w="1293" w:type="dxa"/>
            <w:tcBorders>
              <w:top w:val="nil"/>
              <w:left w:val="nil"/>
              <w:bottom w:val="nil"/>
              <w:right w:val="single" w:sz="8" w:space="0" w:color="auto"/>
            </w:tcBorders>
            <w:shd w:val="clear" w:color="000000" w:fill="CCCCCC"/>
            <w:vAlign w:val="center"/>
            <w:hideMark/>
          </w:tcPr>
          <w:p w14:paraId="57A8C5DE"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£000</w:t>
            </w:r>
          </w:p>
        </w:tc>
      </w:tr>
      <w:tr w:rsidR="00C7221C" w:rsidRPr="00D8288C" w14:paraId="6F640B10" w14:textId="77777777" w:rsidTr="00744D72">
        <w:trPr>
          <w:trHeight w:val="353"/>
        </w:trPr>
        <w:tc>
          <w:tcPr>
            <w:tcW w:w="1266" w:type="dxa"/>
            <w:tcBorders>
              <w:top w:val="nil"/>
              <w:left w:val="single" w:sz="8" w:space="0" w:color="auto"/>
              <w:bottom w:val="nil"/>
              <w:right w:val="nil"/>
            </w:tcBorders>
            <w:shd w:val="clear" w:color="000000" w:fill="auto"/>
            <w:vAlign w:val="center"/>
            <w:hideMark/>
          </w:tcPr>
          <w:p w14:paraId="3DA6A4CB" w14:textId="10DFCD7C"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w:t>
            </w:r>
            <w:r>
              <w:rPr>
                <w:rFonts w:ascii="Arial" w:hAnsi="Arial" w:cs="Arial"/>
                <w:color w:val="000000"/>
                <w:sz w:val="22"/>
                <w:szCs w:val="22"/>
              </w:rPr>
              <w:t>20</w:t>
            </w:r>
            <w:r w:rsidRPr="00D8288C">
              <w:rPr>
                <w:rFonts w:ascii="Arial" w:hAnsi="Arial" w:cs="Arial"/>
                <w:color w:val="000000"/>
                <w:sz w:val="22"/>
                <w:szCs w:val="22"/>
              </w:rPr>
              <w:t>,</w:t>
            </w:r>
            <w:r>
              <w:rPr>
                <w:rFonts w:ascii="Arial" w:hAnsi="Arial" w:cs="Arial"/>
                <w:color w:val="000000"/>
                <w:sz w:val="22"/>
                <w:szCs w:val="22"/>
              </w:rPr>
              <w:t>870</w:t>
            </w:r>
            <w:r w:rsidRPr="00D8288C">
              <w:rPr>
                <w:rFonts w:ascii="Arial" w:hAnsi="Arial" w:cs="Arial"/>
                <w:color w:val="000000"/>
                <w:sz w:val="22"/>
                <w:szCs w:val="22"/>
              </w:rPr>
              <w:t>)</w:t>
            </w:r>
          </w:p>
        </w:tc>
        <w:tc>
          <w:tcPr>
            <w:tcW w:w="1134" w:type="dxa"/>
            <w:tcBorders>
              <w:top w:val="nil"/>
              <w:left w:val="nil"/>
              <w:bottom w:val="nil"/>
              <w:right w:val="nil"/>
            </w:tcBorders>
            <w:shd w:val="clear" w:color="000000" w:fill="CCCCCC"/>
            <w:vAlign w:val="center"/>
            <w:hideMark/>
          </w:tcPr>
          <w:p w14:paraId="3D0CE5F3" w14:textId="15E02653"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(21,360)</w:t>
            </w:r>
          </w:p>
        </w:tc>
        <w:tc>
          <w:tcPr>
            <w:tcW w:w="5475" w:type="dxa"/>
            <w:tcBorders>
              <w:top w:val="nil"/>
              <w:left w:val="nil"/>
              <w:bottom w:val="nil"/>
              <w:right w:val="nil"/>
            </w:tcBorders>
            <w:shd w:val="clear" w:color="000000" w:fill="auto"/>
            <w:vAlign w:val="center"/>
            <w:hideMark/>
          </w:tcPr>
          <w:p w14:paraId="32DE774A" w14:textId="0DBDDB7E" w:rsidR="00C7221C" w:rsidRPr="00D8288C" w:rsidRDefault="00C7221C" w:rsidP="00C7221C">
            <w:pPr>
              <w:rPr>
                <w:rFonts w:ascii="Arial" w:hAnsi="Arial" w:cs="Arial"/>
                <w:color w:val="000000"/>
                <w:sz w:val="22"/>
                <w:szCs w:val="22"/>
              </w:rPr>
            </w:pPr>
            <w:r w:rsidRPr="00D8288C">
              <w:rPr>
                <w:rFonts w:ascii="Arial" w:hAnsi="Arial" w:cs="Arial"/>
                <w:color w:val="000000"/>
                <w:sz w:val="22"/>
                <w:szCs w:val="22"/>
              </w:rPr>
              <w:t>Depreciation</w:t>
            </w:r>
          </w:p>
        </w:tc>
        <w:tc>
          <w:tcPr>
            <w:tcW w:w="1312" w:type="dxa"/>
            <w:tcBorders>
              <w:top w:val="nil"/>
              <w:left w:val="nil"/>
              <w:bottom w:val="nil"/>
              <w:right w:val="nil"/>
            </w:tcBorders>
            <w:shd w:val="clear" w:color="000000" w:fill="auto"/>
            <w:vAlign w:val="center"/>
            <w:hideMark/>
          </w:tcPr>
          <w:p w14:paraId="1B932DD3" w14:textId="0343347F"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w:t>
            </w:r>
            <w:r>
              <w:rPr>
                <w:rFonts w:ascii="Arial" w:hAnsi="Arial" w:cs="Arial"/>
                <w:color w:val="000000"/>
                <w:sz w:val="22"/>
                <w:szCs w:val="22"/>
              </w:rPr>
              <w:t>20</w:t>
            </w:r>
            <w:r w:rsidRPr="00D8288C">
              <w:rPr>
                <w:rFonts w:ascii="Arial" w:hAnsi="Arial" w:cs="Arial"/>
                <w:color w:val="000000"/>
                <w:sz w:val="22"/>
                <w:szCs w:val="22"/>
              </w:rPr>
              <w:t>,</w:t>
            </w:r>
            <w:r>
              <w:rPr>
                <w:rFonts w:ascii="Arial" w:hAnsi="Arial" w:cs="Arial"/>
                <w:color w:val="000000"/>
                <w:sz w:val="22"/>
                <w:szCs w:val="22"/>
              </w:rPr>
              <w:t>870</w:t>
            </w:r>
            <w:r w:rsidRPr="00D8288C">
              <w:rPr>
                <w:rFonts w:ascii="Arial" w:hAnsi="Arial" w:cs="Arial"/>
                <w:color w:val="000000"/>
                <w:sz w:val="22"/>
                <w:szCs w:val="22"/>
              </w:rPr>
              <w:t>)</w:t>
            </w:r>
          </w:p>
        </w:tc>
        <w:tc>
          <w:tcPr>
            <w:tcW w:w="1293" w:type="dxa"/>
            <w:tcBorders>
              <w:top w:val="nil"/>
              <w:left w:val="nil"/>
              <w:bottom w:val="nil"/>
              <w:right w:val="single" w:sz="8" w:space="0" w:color="auto"/>
            </w:tcBorders>
            <w:shd w:val="clear" w:color="000000" w:fill="CCCCCC"/>
            <w:vAlign w:val="center"/>
            <w:hideMark/>
          </w:tcPr>
          <w:p w14:paraId="7851A641" w14:textId="2CC3F2A1"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(21,360)</w:t>
            </w:r>
          </w:p>
        </w:tc>
      </w:tr>
      <w:tr w:rsidR="00A530EA" w:rsidRPr="00D8288C" w14:paraId="2A8F3B21" w14:textId="77777777" w:rsidTr="00744D72">
        <w:trPr>
          <w:trHeight w:val="315"/>
        </w:trPr>
        <w:tc>
          <w:tcPr>
            <w:tcW w:w="1266" w:type="dxa"/>
            <w:tcBorders>
              <w:top w:val="nil"/>
              <w:left w:val="single" w:sz="8" w:space="0" w:color="auto"/>
              <w:bottom w:val="nil"/>
              <w:right w:val="nil"/>
            </w:tcBorders>
            <w:shd w:val="clear" w:color="000000" w:fill="auto"/>
            <w:vAlign w:val="center"/>
          </w:tcPr>
          <w:p w14:paraId="73F1D395" w14:textId="479A1D5B" w:rsidR="00A530EA" w:rsidRPr="00D8288C" w:rsidRDefault="00A530EA" w:rsidP="00C7221C">
            <w:pPr>
              <w:jc w:val="right"/>
              <w:rPr>
                <w:rFonts w:ascii="Arial" w:hAnsi="Arial" w:cs="Arial"/>
                <w:color w:val="000000"/>
                <w:sz w:val="22"/>
                <w:szCs w:val="22"/>
              </w:rPr>
            </w:pPr>
            <w:r>
              <w:rPr>
                <w:rFonts w:ascii="Arial" w:hAnsi="Arial" w:cs="Arial"/>
                <w:color w:val="000000"/>
                <w:sz w:val="22"/>
                <w:szCs w:val="22"/>
              </w:rPr>
              <w:t>0</w:t>
            </w:r>
          </w:p>
        </w:tc>
        <w:tc>
          <w:tcPr>
            <w:tcW w:w="1134" w:type="dxa"/>
            <w:tcBorders>
              <w:top w:val="nil"/>
              <w:left w:val="nil"/>
              <w:bottom w:val="nil"/>
              <w:right w:val="nil"/>
            </w:tcBorders>
            <w:shd w:val="clear" w:color="000000" w:fill="CCCCCC"/>
            <w:vAlign w:val="center"/>
          </w:tcPr>
          <w:p w14:paraId="1F4EFA49" w14:textId="2C81E1BD" w:rsidR="00A530EA" w:rsidRDefault="00A530EA" w:rsidP="00C7221C">
            <w:pPr>
              <w:jc w:val="right"/>
              <w:rPr>
                <w:rFonts w:ascii="Arial" w:hAnsi="Arial" w:cs="Arial"/>
                <w:color w:val="000000"/>
                <w:sz w:val="22"/>
                <w:szCs w:val="22"/>
              </w:rPr>
            </w:pPr>
            <w:r>
              <w:rPr>
                <w:rFonts w:ascii="Arial" w:hAnsi="Arial" w:cs="Arial"/>
                <w:color w:val="000000"/>
                <w:sz w:val="22"/>
                <w:szCs w:val="22"/>
              </w:rPr>
              <w:t>(65)</w:t>
            </w:r>
          </w:p>
        </w:tc>
        <w:tc>
          <w:tcPr>
            <w:tcW w:w="5475" w:type="dxa"/>
            <w:tcBorders>
              <w:top w:val="nil"/>
              <w:left w:val="nil"/>
              <w:bottom w:val="nil"/>
              <w:right w:val="nil"/>
            </w:tcBorders>
            <w:shd w:val="clear" w:color="000000" w:fill="auto"/>
            <w:vAlign w:val="center"/>
          </w:tcPr>
          <w:p w14:paraId="33E47F70" w14:textId="7B8017DD" w:rsidR="00A530EA" w:rsidRPr="00D8288C" w:rsidRDefault="00A530EA" w:rsidP="00C7221C">
            <w:pPr>
              <w:rPr>
                <w:rFonts w:ascii="Arial" w:hAnsi="Arial" w:cs="Arial"/>
                <w:color w:val="000000"/>
                <w:sz w:val="22"/>
                <w:szCs w:val="22"/>
              </w:rPr>
            </w:pPr>
            <w:r>
              <w:rPr>
                <w:rFonts w:ascii="Arial" w:hAnsi="Arial" w:cs="Arial"/>
                <w:color w:val="000000"/>
                <w:sz w:val="22"/>
                <w:szCs w:val="22"/>
              </w:rPr>
              <w:t>Impairments and Downwards Valuations</w:t>
            </w:r>
          </w:p>
        </w:tc>
        <w:tc>
          <w:tcPr>
            <w:tcW w:w="1312" w:type="dxa"/>
            <w:tcBorders>
              <w:top w:val="nil"/>
              <w:left w:val="nil"/>
              <w:bottom w:val="nil"/>
              <w:right w:val="nil"/>
            </w:tcBorders>
            <w:shd w:val="clear" w:color="000000" w:fill="auto"/>
            <w:vAlign w:val="center"/>
          </w:tcPr>
          <w:p w14:paraId="5FF9B903" w14:textId="7E6508D1" w:rsidR="00A530EA" w:rsidRPr="00D8288C" w:rsidRDefault="00A530EA" w:rsidP="00C7221C">
            <w:pPr>
              <w:jc w:val="right"/>
              <w:rPr>
                <w:rFonts w:ascii="Arial" w:hAnsi="Arial" w:cs="Arial"/>
                <w:color w:val="000000"/>
                <w:sz w:val="22"/>
                <w:szCs w:val="22"/>
              </w:rPr>
            </w:pPr>
            <w:r>
              <w:rPr>
                <w:rFonts w:ascii="Arial" w:hAnsi="Arial" w:cs="Arial"/>
                <w:color w:val="000000"/>
                <w:sz w:val="22"/>
                <w:szCs w:val="22"/>
              </w:rPr>
              <w:t>0</w:t>
            </w:r>
          </w:p>
        </w:tc>
        <w:tc>
          <w:tcPr>
            <w:tcW w:w="1293" w:type="dxa"/>
            <w:tcBorders>
              <w:top w:val="nil"/>
              <w:left w:val="nil"/>
              <w:bottom w:val="nil"/>
              <w:right w:val="single" w:sz="8" w:space="0" w:color="auto"/>
            </w:tcBorders>
            <w:shd w:val="clear" w:color="000000" w:fill="CCCCCC"/>
            <w:vAlign w:val="center"/>
          </w:tcPr>
          <w:p w14:paraId="0A3B9351" w14:textId="70E0AC50" w:rsidR="00A530EA" w:rsidRDefault="00A530EA" w:rsidP="00C7221C">
            <w:pPr>
              <w:jc w:val="right"/>
              <w:rPr>
                <w:rFonts w:ascii="Arial" w:hAnsi="Arial" w:cs="Arial"/>
                <w:color w:val="000000"/>
                <w:sz w:val="22"/>
                <w:szCs w:val="22"/>
              </w:rPr>
            </w:pPr>
            <w:r>
              <w:rPr>
                <w:rFonts w:ascii="Arial" w:hAnsi="Arial" w:cs="Arial"/>
                <w:color w:val="000000"/>
                <w:sz w:val="22"/>
                <w:szCs w:val="22"/>
              </w:rPr>
              <w:t>(65)</w:t>
            </w:r>
          </w:p>
        </w:tc>
      </w:tr>
      <w:tr w:rsidR="00C7221C" w:rsidRPr="00D8288C" w14:paraId="094AFF99" w14:textId="77777777" w:rsidTr="00744D72">
        <w:trPr>
          <w:trHeight w:val="315"/>
        </w:trPr>
        <w:tc>
          <w:tcPr>
            <w:tcW w:w="1266" w:type="dxa"/>
            <w:tcBorders>
              <w:top w:val="nil"/>
              <w:left w:val="single" w:sz="8" w:space="0" w:color="auto"/>
              <w:bottom w:val="nil"/>
              <w:right w:val="nil"/>
            </w:tcBorders>
            <w:shd w:val="clear" w:color="000000" w:fill="auto"/>
            <w:vAlign w:val="center"/>
            <w:hideMark/>
          </w:tcPr>
          <w:p w14:paraId="6C0963F7" w14:textId="3EB3805D"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w:t>
            </w:r>
            <w:r>
              <w:rPr>
                <w:rFonts w:ascii="Arial" w:hAnsi="Arial" w:cs="Arial"/>
                <w:color w:val="000000"/>
                <w:sz w:val="22"/>
                <w:szCs w:val="22"/>
              </w:rPr>
              <w:t>584</w:t>
            </w:r>
            <w:r w:rsidRPr="00D8288C">
              <w:rPr>
                <w:rFonts w:ascii="Arial" w:hAnsi="Arial" w:cs="Arial"/>
                <w:color w:val="000000"/>
                <w:sz w:val="22"/>
                <w:szCs w:val="22"/>
              </w:rPr>
              <w:t>)</w:t>
            </w:r>
          </w:p>
        </w:tc>
        <w:tc>
          <w:tcPr>
            <w:tcW w:w="1134" w:type="dxa"/>
            <w:tcBorders>
              <w:top w:val="nil"/>
              <w:left w:val="nil"/>
              <w:bottom w:val="nil"/>
              <w:right w:val="nil"/>
            </w:tcBorders>
            <w:shd w:val="clear" w:color="000000" w:fill="CCCCCC"/>
            <w:vAlign w:val="center"/>
            <w:hideMark/>
          </w:tcPr>
          <w:p w14:paraId="3F4CDE03" w14:textId="359AD016"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(764)</w:t>
            </w:r>
          </w:p>
        </w:tc>
        <w:tc>
          <w:tcPr>
            <w:tcW w:w="5475" w:type="dxa"/>
            <w:tcBorders>
              <w:top w:val="nil"/>
              <w:left w:val="nil"/>
              <w:bottom w:val="nil"/>
              <w:right w:val="nil"/>
            </w:tcBorders>
            <w:shd w:val="clear" w:color="000000" w:fill="auto"/>
            <w:vAlign w:val="center"/>
            <w:hideMark/>
          </w:tcPr>
          <w:p w14:paraId="02EDE67F" w14:textId="77777777" w:rsidR="00C7221C" w:rsidRPr="00D8288C" w:rsidRDefault="00C7221C" w:rsidP="00C7221C">
            <w:pPr>
              <w:rPr>
                <w:rFonts w:ascii="Arial" w:hAnsi="Arial" w:cs="Arial"/>
                <w:color w:val="000000"/>
                <w:sz w:val="22"/>
                <w:szCs w:val="22"/>
              </w:rPr>
            </w:pPr>
            <w:r w:rsidRPr="00D8288C">
              <w:rPr>
                <w:rFonts w:ascii="Arial" w:hAnsi="Arial" w:cs="Arial"/>
                <w:color w:val="000000"/>
                <w:sz w:val="22"/>
                <w:szCs w:val="22"/>
              </w:rPr>
              <w:t>Amortisation</w:t>
            </w:r>
          </w:p>
        </w:tc>
        <w:tc>
          <w:tcPr>
            <w:tcW w:w="1312" w:type="dxa"/>
            <w:tcBorders>
              <w:top w:val="nil"/>
              <w:left w:val="nil"/>
              <w:bottom w:val="nil"/>
              <w:right w:val="nil"/>
            </w:tcBorders>
            <w:shd w:val="clear" w:color="000000" w:fill="auto"/>
            <w:vAlign w:val="center"/>
            <w:hideMark/>
          </w:tcPr>
          <w:p w14:paraId="7BB03B99" w14:textId="43B5EB44"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w:t>
            </w:r>
            <w:r>
              <w:rPr>
                <w:rFonts w:ascii="Arial" w:hAnsi="Arial" w:cs="Arial"/>
                <w:color w:val="000000"/>
                <w:sz w:val="22"/>
                <w:szCs w:val="22"/>
              </w:rPr>
              <w:t>584</w:t>
            </w:r>
            <w:r w:rsidRPr="00D8288C">
              <w:rPr>
                <w:rFonts w:ascii="Arial" w:hAnsi="Arial" w:cs="Arial"/>
                <w:color w:val="000000"/>
                <w:sz w:val="22"/>
                <w:szCs w:val="22"/>
              </w:rPr>
              <w:t>)</w:t>
            </w:r>
          </w:p>
        </w:tc>
        <w:tc>
          <w:tcPr>
            <w:tcW w:w="1293" w:type="dxa"/>
            <w:tcBorders>
              <w:top w:val="nil"/>
              <w:left w:val="nil"/>
              <w:bottom w:val="nil"/>
              <w:right w:val="single" w:sz="8" w:space="0" w:color="auto"/>
            </w:tcBorders>
            <w:shd w:val="clear" w:color="000000" w:fill="CCCCCC"/>
            <w:vAlign w:val="center"/>
            <w:hideMark/>
          </w:tcPr>
          <w:p w14:paraId="32EB55E5" w14:textId="51F93E42"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(764)</w:t>
            </w:r>
          </w:p>
        </w:tc>
      </w:tr>
      <w:tr w:rsidR="00C7221C" w:rsidRPr="00D8288C" w14:paraId="5EA11B63" w14:textId="77777777" w:rsidTr="00744D72">
        <w:trPr>
          <w:trHeight w:val="315"/>
        </w:trPr>
        <w:tc>
          <w:tcPr>
            <w:tcW w:w="1266" w:type="dxa"/>
            <w:tcBorders>
              <w:top w:val="nil"/>
              <w:left w:val="single" w:sz="8" w:space="0" w:color="auto"/>
              <w:bottom w:val="nil"/>
              <w:right w:val="nil"/>
            </w:tcBorders>
            <w:shd w:val="clear" w:color="000000" w:fill="auto"/>
            <w:vAlign w:val="center"/>
            <w:hideMark/>
          </w:tcPr>
          <w:p w14:paraId="1D3C360C" w14:textId="617ECAF2" w:rsidR="00C7221C" w:rsidRPr="00D8288C" w:rsidRDefault="00194E0F" w:rsidP="00C7221C">
            <w:pPr>
              <w:jc w:val="right"/>
              <w:rPr>
                <w:rFonts w:ascii="Arial" w:hAnsi="Arial" w:cs="Arial"/>
                <w:color w:val="000000"/>
                <w:sz w:val="22"/>
                <w:szCs w:val="22"/>
              </w:rPr>
            </w:pPr>
            <w:r>
              <w:rPr>
                <w:rFonts w:ascii="Arial" w:hAnsi="Arial" w:cs="Arial"/>
                <w:color w:val="000000"/>
                <w:sz w:val="22"/>
                <w:szCs w:val="22"/>
              </w:rPr>
              <w:t>9,27</w:t>
            </w:r>
            <w:r w:rsidR="00F24589">
              <w:rPr>
                <w:rFonts w:ascii="Arial" w:hAnsi="Arial" w:cs="Arial"/>
                <w:color w:val="000000"/>
                <w:sz w:val="22"/>
                <w:szCs w:val="22"/>
              </w:rPr>
              <w:t>2</w:t>
            </w:r>
          </w:p>
        </w:tc>
        <w:tc>
          <w:tcPr>
            <w:tcW w:w="1134" w:type="dxa"/>
            <w:tcBorders>
              <w:top w:val="nil"/>
              <w:left w:val="nil"/>
              <w:bottom w:val="nil"/>
              <w:right w:val="nil"/>
            </w:tcBorders>
            <w:shd w:val="clear" w:color="000000" w:fill="CCCCCC"/>
            <w:vAlign w:val="center"/>
            <w:hideMark/>
          </w:tcPr>
          <w:p w14:paraId="29F23D4F" w14:textId="27E353E9" w:rsidR="00C7221C" w:rsidRPr="00D8288C" w:rsidRDefault="00F24589" w:rsidP="00C7221C">
            <w:pPr>
              <w:jc w:val="right"/>
              <w:rPr>
                <w:rFonts w:ascii="Arial" w:hAnsi="Arial" w:cs="Arial"/>
                <w:color w:val="000000"/>
                <w:sz w:val="22"/>
                <w:szCs w:val="22"/>
              </w:rPr>
            </w:pPr>
            <w:r>
              <w:rPr>
                <w:rFonts w:ascii="Arial" w:hAnsi="Arial" w:cs="Arial"/>
                <w:color w:val="000000"/>
                <w:sz w:val="22"/>
                <w:szCs w:val="22"/>
              </w:rPr>
              <w:t>(6</w:t>
            </w:r>
            <w:r w:rsidR="00194E0F">
              <w:rPr>
                <w:rFonts w:ascii="Arial" w:hAnsi="Arial" w:cs="Arial"/>
                <w:color w:val="000000"/>
                <w:sz w:val="22"/>
                <w:szCs w:val="22"/>
              </w:rPr>
              <w:t>,</w:t>
            </w:r>
            <w:r>
              <w:rPr>
                <w:rFonts w:ascii="Arial" w:hAnsi="Arial" w:cs="Arial"/>
                <w:color w:val="000000"/>
                <w:sz w:val="22"/>
                <w:szCs w:val="22"/>
              </w:rPr>
              <w:t>348)</w:t>
            </w:r>
          </w:p>
        </w:tc>
        <w:tc>
          <w:tcPr>
            <w:tcW w:w="5475" w:type="dxa"/>
            <w:tcBorders>
              <w:top w:val="nil"/>
              <w:left w:val="nil"/>
              <w:bottom w:val="nil"/>
              <w:right w:val="nil"/>
            </w:tcBorders>
            <w:shd w:val="clear" w:color="000000" w:fill="auto"/>
            <w:vAlign w:val="center"/>
            <w:hideMark/>
          </w:tcPr>
          <w:p w14:paraId="4D26B619" w14:textId="77777777" w:rsidR="00C7221C" w:rsidRPr="00D8288C" w:rsidRDefault="00C7221C" w:rsidP="00C7221C">
            <w:pPr>
              <w:rPr>
                <w:rFonts w:ascii="Arial" w:hAnsi="Arial" w:cs="Arial"/>
                <w:color w:val="000000"/>
                <w:sz w:val="22"/>
                <w:szCs w:val="22"/>
              </w:rPr>
            </w:pPr>
            <w:r w:rsidRPr="00D8288C">
              <w:rPr>
                <w:rFonts w:ascii="Arial" w:hAnsi="Arial" w:cs="Arial"/>
                <w:color w:val="000000"/>
                <w:sz w:val="22"/>
                <w:szCs w:val="22"/>
              </w:rPr>
              <w:t>Net (increase)/decrease in revenue creditors</w:t>
            </w:r>
          </w:p>
        </w:tc>
        <w:tc>
          <w:tcPr>
            <w:tcW w:w="1312" w:type="dxa"/>
            <w:tcBorders>
              <w:top w:val="nil"/>
              <w:left w:val="nil"/>
              <w:bottom w:val="nil"/>
              <w:right w:val="nil"/>
            </w:tcBorders>
            <w:shd w:val="clear" w:color="000000" w:fill="auto"/>
            <w:vAlign w:val="center"/>
            <w:hideMark/>
          </w:tcPr>
          <w:p w14:paraId="6124B1F9" w14:textId="73A5456F" w:rsidR="00C7221C" w:rsidRPr="00D8288C" w:rsidRDefault="00194E0F" w:rsidP="00C7221C">
            <w:pPr>
              <w:jc w:val="right"/>
              <w:rPr>
                <w:rFonts w:ascii="Arial" w:hAnsi="Arial" w:cs="Arial"/>
                <w:color w:val="000000"/>
                <w:sz w:val="22"/>
                <w:szCs w:val="22"/>
              </w:rPr>
            </w:pPr>
            <w:r>
              <w:rPr>
                <w:rFonts w:ascii="Arial" w:hAnsi="Arial" w:cs="Arial"/>
                <w:color w:val="000000"/>
                <w:sz w:val="22"/>
                <w:szCs w:val="22"/>
              </w:rPr>
              <w:t>1,176</w:t>
            </w:r>
          </w:p>
        </w:tc>
        <w:tc>
          <w:tcPr>
            <w:tcW w:w="1293" w:type="dxa"/>
            <w:tcBorders>
              <w:top w:val="nil"/>
              <w:left w:val="nil"/>
              <w:bottom w:val="nil"/>
              <w:right w:val="single" w:sz="8" w:space="0" w:color="auto"/>
            </w:tcBorders>
            <w:shd w:val="clear" w:color="000000" w:fill="CCCCCC"/>
            <w:vAlign w:val="center"/>
            <w:hideMark/>
          </w:tcPr>
          <w:p w14:paraId="57CC95F1" w14:textId="5716E078" w:rsidR="00C7221C" w:rsidRPr="00D8288C" w:rsidRDefault="00267CAC" w:rsidP="00C7221C">
            <w:pPr>
              <w:jc w:val="right"/>
              <w:rPr>
                <w:rFonts w:ascii="Arial" w:hAnsi="Arial" w:cs="Arial"/>
                <w:color w:val="000000"/>
                <w:sz w:val="22"/>
                <w:szCs w:val="22"/>
              </w:rPr>
            </w:pPr>
            <w:r>
              <w:rPr>
                <w:rFonts w:ascii="Arial" w:hAnsi="Arial" w:cs="Arial"/>
                <w:color w:val="000000"/>
                <w:sz w:val="22"/>
                <w:szCs w:val="22"/>
              </w:rPr>
              <w:t>(4,631)</w:t>
            </w:r>
          </w:p>
        </w:tc>
      </w:tr>
      <w:tr w:rsidR="00C7221C" w:rsidRPr="00D8288C" w14:paraId="6491B030" w14:textId="77777777" w:rsidTr="00744D72">
        <w:trPr>
          <w:trHeight w:val="300"/>
        </w:trPr>
        <w:tc>
          <w:tcPr>
            <w:tcW w:w="1266" w:type="dxa"/>
            <w:tcBorders>
              <w:top w:val="nil"/>
              <w:left w:val="single" w:sz="8" w:space="0" w:color="auto"/>
              <w:bottom w:val="nil"/>
              <w:right w:val="nil"/>
            </w:tcBorders>
            <w:shd w:val="clear" w:color="000000" w:fill="auto"/>
            <w:vAlign w:val="center"/>
            <w:hideMark/>
          </w:tcPr>
          <w:p w14:paraId="65A480D3" w14:textId="7812B941"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22</w:t>
            </w:r>
            <w:r w:rsidRPr="00D8288C">
              <w:rPr>
                <w:rFonts w:ascii="Arial" w:hAnsi="Arial" w:cs="Arial"/>
                <w:color w:val="000000"/>
                <w:sz w:val="22"/>
                <w:szCs w:val="22"/>
              </w:rPr>
              <w:t>,</w:t>
            </w:r>
            <w:r>
              <w:rPr>
                <w:rFonts w:ascii="Arial" w:hAnsi="Arial" w:cs="Arial"/>
                <w:color w:val="000000"/>
                <w:sz w:val="22"/>
                <w:szCs w:val="22"/>
              </w:rPr>
              <w:t>249</w:t>
            </w:r>
          </w:p>
        </w:tc>
        <w:tc>
          <w:tcPr>
            <w:tcW w:w="1134" w:type="dxa"/>
            <w:tcBorders>
              <w:top w:val="nil"/>
              <w:left w:val="nil"/>
              <w:bottom w:val="nil"/>
              <w:right w:val="nil"/>
            </w:tcBorders>
            <w:shd w:val="clear" w:color="000000" w:fill="CCCCCC"/>
            <w:vAlign w:val="center"/>
            <w:hideMark/>
          </w:tcPr>
          <w:p w14:paraId="72EF1303" w14:textId="50862562"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(8,</w:t>
            </w:r>
            <w:r w:rsidR="003A7251">
              <w:rPr>
                <w:rFonts w:ascii="Arial" w:hAnsi="Arial" w:cs="Arial"/>
                <w:color w:val="000000"/>
                <w:sz w:val="22"/>
                <w:szCs w:val="22"/>
              </w:rPr>
              <w:t>09</w:t>
            </w:r>
            <w:r w:rsidR="00BF77AB">
              <w:rPr>
                <w:rFonts w:ascii="Arial" w:hAnsi="Arial" w:cs="Arial"/>
                <w:color w:val="000000"/>
                <w:sz w:val="22"/>
                <w:szCs w:val="22"/>
              </w:rPr>
              <w:t>5</w:t>
            </w:r>
            <w:r>
              <w:rPr>
                <w:rFonts w:ascii="Arial" w:hAnsi="Arial" w:cs="Arial"/>
                <w:color w:val="000000"/>
                <w:sz w:val="22"/>
                <w:szCs w:val="22"/>
              </w:rPr>
              <w:t>)</w:t>
            </w:r>
          </w:p>
        </w:tc>
        <w:tc>
          <w:tcPr>
            <w:tcW w:w="5475" w:type="dxa"/>
            <w:tcBorders>
              <w:top w:val="nil"/>
              <w:left w:val="nil"/>
              <w:bottom w:val="nil"/>
              <w:right w:val="nil"/>
            </w:tcBorders>
            <w:shd w:val="clear" w:color="000000" w:fill="auto"/>
            <w:vAlign w:val="center"/>
            <w:hideMark/>
          </w:tcPr>
          <w:p w14:paraId="58B95DAA" w14:textId="77777777" w:rsidR="00C7221C" w:rsidRPr="00D8288C" w:rsidRDefault="00C7221C" w:rsidP="00C7221C">
            <w:pPr>
              <w:rPr>
                <w:rFonts w:ascii="Arial" w:hAnsi="Arial" w:cs="Arial"/>
                <w:color w:val="000000"/>
                <w:sz w:val="22"/>
                <w:szCs w:val="22"/>
              </w:rPr>
            </w:pPr>
            <w:r w:rsidRPr="00D8288C">
              <w:rPr>
                <w:rFonts w:ascii="Arial" w:hAnsi="Arial" w:cs="Arial"/>
                <w:color w:val="000000"/>
                <w:sz w:val="22"/>
                <w:szCs w:val="22"/>
              </w:rPr>
              <w:t>Net increase/(decrease) in revenue debtors</w:t>
            </w:r>
          </w:p>
        </w:tc>
        <w:tc>
          <w:tcPr>
            <w:tcW w:w="1312" w:type="dxa"/>
            <w:tcBorders>
              <w:top w:val="nil"/>
              <w:left w:val="nil"/>
              <w:bottom w:val="nil"/>
              <w:right w:val="nil"/>
            </w:tcBorders>
            <w:shd w:val="clear" w:color="000000" w:fill="auto"/>
            <w:vAlign w:val="center"/>
            <w:hideMark/>
          </w:tcPr>
          <w:p w14:paraId="5A4B1B19" w14:textId="1C7B50E9"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9</w:t>
            </w:r>
            <w:r w:rsidRPr="00D8288C">
              <w:rPr>
                <w:rFonts w:ascii="Arial" w:hAnsi="Arial" w:cs="Arial"/>
                <w:color w:val="000000"/>
                <w:sz w:val="22"/>
                <w:szCs w:val="22"/>
              </w:rPr>
              <w:t>,</w:t>
            </w:r>
            <w:r>
              <w:rPr>
                <w:rFonts w:ascii="Arial" w:hAnsi="Arial" w:cs="Arial"/>
                <w:color w:val="000000"/>
                <w:sz w:val="22"/>
                <w:szCs w:val="22"/>
              </w:rPr>
              <w:t>465</w:t>
            </w:r>
          </w:p>
        </w:tc>
        <w:tc>
          <w:tcPr>
            <w:tcW w:w="1293" w:type="dxa"/>
            <w:tcBorders>
              <w:top w:val="nil"/>
              <w:left w:val="nil"/>
              <w:bottom w:val="nil"/>
              <w:right w:val="single" w:sz="8" w:space="0" w:color="auto"/>
            </w:tcBorders>
            <w:shd w:val="clear" w:color="000000" w:fill="CCCCCC"/>
            <w:vAlign w:val="center"/>
            <w:hideMark/>
          </w:tcPr>
          <w:p w14:paraId="0E5B6DD8" w14:textId="57BB8998"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2,</w:t>
            </w:r>
            <w:r w:rsidR="00BF77AB">
              <w:rPr>
                <w:rFonts w:ascii="Arial" w:hAnsi="Arial" w:cs="Arial"/>
                <w:color w:val="000000"/>
                <w:sz w:val="22"/>
                <w:szCs w:val="22"/>
              </w:rPr>
              <w:t>509</w:t>
            </w:r>
          </w:p>
        </w:tc>
      </w:tr>
      <w:tr w:rsidR="00C7221C" w:rsidRPr="00D8288C" w14:paraId="2857E4B1" w14:textId="77777777" w:rsidTr="00744D72">
        <w:trPr>
          <w:trHeight w:val="300"/>
        </w:trPr>
        <w:tc>
          <w:tcPr>
            <w:tcW w:w="1266" w:type="dxa"/>
            <w:tcBorders>
              <w:top w:val="nil"/>
              <w:left w:val="single" w:sz="8" w:space="0" w:color="auto"/>
              <w:bottom w:val="nil"/>
              <w:right w:val="nil"/>
            </w:tcBorders>
            <w:shd w:val="clear" w:color="000000" w:fill="auto"/>
            <w:vAlign w:val="center"/>
            <w:hideMark/>
          </w:tcPr>
          <w:p w14:paraId="44210E88" w14:textId="181E258A"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21</w:t>
            </w:r>
            <w:r w:rsidRPr="00D8288C">
              <w:rPr>
                <w:rFonts w:ascii="Arial" w:hAnsi="Arial" w:cs="Arial"/>
                <w:color w:val="000000"/>
                <w:sz w:val="22"/>
                <w:szCs w:val="22"/>
              </w:rPr>
              <w:t>1</w:t>
            </w:r>
          </w:p>
        </w:tc>
        <w:tc>
          <w:tcPr>
            <w:tcW w:w="1134" w:type="dxa"/>
            <w:tcBorders>
              <w:top w:val="nil"/>
              <w:left w:val="nil"/>
              <w:bottom w:val="nil"/>
              <w:right w:val="nil"/>
            </w:tcBorders>
            <w:shd w:val="clear" w:color="000000" w:fill="CCCCCC"/>
            <w:vAlign w:val="center"/>
            <w:hideMark/>
          </w:tcPr>
          <w:p w14:paraId="4337633A" w14:textId="40D08EB3"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(126)</w:t>
            </w:r>
          </w:p>
        </w:tc>
        <w:tc>
          <w:tcPr>
            <w:tcW w:w="5475" w:type="dxa"/>
            <w:tcBorders>
              <w:top w:val="nil"/>
              <w:left w:val="nil"/>
              <w:bottom w:val="nil"/>
              <w:right w:val="nil"/>
            </w:tcBorders>
            <w:shd w:val="clear" w:color="000000" w:fill="auto"/>
            <w:vAlign w:val="center"/>
            <w:hideMark/>
          </w:tcPr>
          <w:p w14:paraId="3EE69085" w14:textId="77777777" w:rsidR="00C7221C" w:rsidRPr="00D8288C" w:rsidRDefault="00C7221C" w:rsidP="00C7221C">
            <w:pPr>
              <w:rPr>
                <w:rFonts w:ascii="Arial" w:hAnsi="Arial" w:cs="Arial"/>
                <w:color w:val="000000"/>
                <w:sz w:val="22"/>
                <w:szCs w:val="22"/>
              </w:rPr>
            </w:pPr>
            <w:r w:rsidRPr="00D8288C">
              <w:rPr>
                <w:rFonts w:ascii="Arial" w:hAnsi="Arial" w:cs="Arial"/>
                <w:color w:val="000000"/>
                <w:sz w:val="22"/>
                <w:szCs w:val="22"/>
              </w:rPr>
              <w:t>Increase/(decrease) in inventories</w:t>
            </w:r>
          </w:p>
        </w:tc>
        <w:tc>
          <w:tcPr>
            <w:tcW w:w="1312" w:type="dxa"/>
            <w:tcBorders>
              <w:top w:val="nil"/>
              <w:left w:val="nil"/>
              <w:bottom w:val="nil"/>
              <w:right w:val="nil"/>
            </w:tcBorders>
            <w:shd w:val="clear" w:color="000000" w:fill="auto"/>
            <w:vAlign w:val="center"/>
            <w:hideMark/>
          </w:tcPr>
          <w:p w14:paraId="2E432019" w14:textId="2FA8C93B"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21</w:t>
            </w:r>
            <w:r w:rsidRPr="00D8288C">
              <w:rPr>
                <w:rFonts w:ascii="Arial" w:hAnsi="Arial" w:cs="Arial"/>
                <w:color w:val="000000"/>
                <w:sz w:val="22"/>
                <w:szCs w:val="22"/>
              </w:rPr>
              <w:t>1</w:t>
            </w:r>
          </w:p>
        </w:tc>
        <w:tc>
          <w:tcPr>
            <w:tcW w:w="1293" w:type="dxa"/>
            <w:tcBorders>
              <w:top w:val="nil"/>
              <w:left w:val="nil"/>
              <w:bottom w:val="nil"/>
              <w:right w:val="single" w:sz="8" w:space="0" w:color="auto"/>
            </w:tcBorders>
            <w:shd w:val="clear" w:color="000000" w:fill="CCCCCC"/>
            <w:vAlign w:val="center"/>
            <w:hideMark/>
          </w:tcPr>
          <w:p w14:paraId="60333A7E" w14:textId="06BBF53C"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(126)</w:t>
            </w:r>
          </w:p>
        </w:tc>
      </w:tr>
      <w:tr w:rsidR="00C7221C" w:rsidRPr="00D8288C" w14:paraId="76FDDC26" w14:textId="77777777" w:rsidTr="00744D72">
        <w:trPr>
          <w:trHeight w:val="300"/>
        </w:trPr>
        <w:tc>
          <w:tcPr>
            <w:tcW w:w="1266" w:type="dxa"/>
            <w:tcBorders>
              <w:top w:val="nil"/>
              <w:left w:val="single" w:sz="8" w:space="0" w:color="auto"/>
              <w:bottom w:val="nil"/>
              <w:right w:val="nil"/>
            </w:tcBorders>
            <w:shd w:val="clear" w:color="000000" w:fill="auto"/>
            <w:vAlign w:val="center"/>
            <w:hideMark/>
          </w:tcPr>
          <w:p w14:paraId="4EED29E0" w14:textId="1CA05402"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1</w:t>
            </w:r>
            <w:r>
              <w:rPr>
                <w:rFonts w:ascii="Arial" w:hAnsi="Arial" w:cs="Arial"/>
                <w:color w:val="000000"/>
                <w:sz w:val="22"/>
                <w:szCs w:val="22"/>
              </w:rPr>
              <w:t>45</w:t>
            </w:r>
          </w:p>
        </w:tc>
        <w:tc>
          <w:tcPr>
            <w:tcW w:w="1134" w:type="dxa"/>
            <w:tcBorders>
              <w:top w:val="nil"/>
              <w:left w:val="nil"/>
              <w:bottom w:val="nil"/>
              <w:right w:val="nil"/>
            </w:tcBorders>
            <w:shd w:val="clear" w:color="000000" w:fill="CCCCCC"/>
            <w:vAlign w:val="center"/>
            <w:hideMark/>
          </w:tcPr>
          <w:p w14:paraId="7B6C4C77" w14:textId="28060F3B" w:rsidR="00C7221C" w:rsidRPr="00293E7B" w:rsidRDefault="00C7221C" w:rsidP="00C7221C">
            <w:pPr>
              <w:jc w:val="right"/>
              <w:rPr>
                <w:rFonts w:ascii="Arial" w:hAnsi="Arial" w:cs="Arial"/>
                <w:color w:val="000000"/>
                <w:sz w:val="22"/>
                <w:szCs w:val="22"/>
              </w:rPr>
            </w:pPr>
            <w:r>
              <w:rPr>
                <w:rFonts w:ascii="Arial" w:hAnsi="Arial" w:cs="Arial"/>
                <w:color w:val="000000"/>
                <w:sz w:val="22"/>
                <w:szCs w:val="22"/>
              </w:rPr>
              <w:t>20</w:t>
            </w:r>
          </w:p>
        </w:tc>
        <w:tc>
          <w:tcPr>
            <w:tcW w:w="5475" w:type="dxa"/>
            <w:tcBorders>
              <w:top w:val="nil"/>
              <w:left w:val="nil"/>
              <w:bottom w:val="nil"/>
              <w:right w:val="nil"/>
            </w:tcBorders>
            <w:shd w:val="clear" w:color="000000" w:fill="auto"/>
            <w:vAlign w:val="center"/>
            <w:hideMark/>
          </w:tcPr>
          <w:p w14:paraId="04BE661F" w14:textId="306CFE26" w:rsidR="00C7221C" w:rsidRPr="00293E7B" w:rsidRDefault="00FF4ADA" w:rsidP="00C7221C">
            <w:pPr>
              <w:rPr>
                <w:rFonts w:ascii="Arial" w:hAnsi="Arial" w:cs="Arial"/>
                <w:color w:val="000000"/>
                <w:sz w:val="22"/>
                <w:szCs w:val="22"/>
              </w:rPr>
            </w:pPr>
            <w:r>
              <w:rPr>
                <w:rFonts w:ascii="Arial" w:hAnsi="Arial" w:cs="Arial"/>
                <w:color w:val="000000"/>
                <w:sz w:val="22"/>
                <w:szCs w:val="22"/>
              </w:rPr>
              <w:t xml:space="preserve">Movement in </w:t>
            </w:r>
            <w:r w:rsidR="00C7221C" w:rsidRPr="00293E7B">
              <w:rPr>
                <w:rFonts w:ascii="Arial" w:hAnsi="Arial" w:cs="Arial"/>
                <w:color w:val="000000"/>
                <w:sz w:val="22"/>
                <w:szCs w:val="22"/>
              </w:rPr>
              <w:t>Pension liability</w:t>
            </w:r>
          </w:p>
        </w:tc>
        <w:tc>
          <w:tcPr>
            <w:tcW w:w="1312" w:type="dxa"/>
            <w:tcBorders>
              <w:top w:val="nil"/>
              <w:left w:val="nil"/>
              <w:bottom w:val="nil"/>
              <w:right w:val="nil"/>
            </w:tcBorders>
            <w:shd w:val="clear" w:color="000000" w:fill="auto"/>
            <w:vAlign w:val="center"/>
            <w:hideMark/>
          </w:tcPr>
          <w:p w14:paraId="17607487" w14:textId="1770895B" w:rsidR="00C7221C" w:rsidRPr="00293E7B" w:rsidRDefault="00C7221C" w:rsidP="00C7221C">
            <w:pPr>
              <w:jc w:val="right"/>
              <w:rPr>
                <w:rFonts w:ascii="Arial" w:hAnsi="Arial" w:cs="Arial"/>
                <w:color w:val="000000"/>
                <w:sz w:val="22"/>
                <w:szCs w:val="22"/>
              </w:rPr>
            </w:pPr>
            <w:r w:rsidRPr="00293E7B">
              <w:rPr>
                <w:rFonts w:ascii="Arial" w:hAnsi="Arial" w:cs="Arial"/>
                <w:color w:val="000000"/>
                <w:sz w:val="22"/>
                <w:szCs w:val="22"/>
              </w:rPr>
              <w:t>(</w:t>
            </w:r>
            <w:r>
              <w:rPr>
                <w:rFonts w:ascii="Arial" w:hAnsi="Arial" w:cs="Arial"/>
                <w:color w:val="000000"/>
                <w:sz w:val="22"/>
                <w:szCs w:val="22"/>
              </w:rPr>
              <w:t>49</w:t>
            </w:r>
            <w:r w:rsidRPr="00293E7B">
              <w:rPr>
                <w:rFonts w:ascii="Arial" w:hAnsi="Arial" w:cs="Arial"/>
                <w:color w:val="000000"/>
                <w:sz w:val="22"/>
                <w:szCs w:val="22"/>
              </w:rPr>
              <w:t>,1</w:t>
            </w:r>
            <w:r>
              <w:rPr>
                <w:rFonts w:ascii="Arial" w:hAnsi="Arial" w:cs="Arial"/>
                <w:color w:val="000000"/>
                <w:sz w:val="22"/>
                <w:szCs w:val="22"/>
              </w:rPr>
              <w:t>18</w:t>
            </w:r>
            <w:r w:rsidRPr="00293E7B">
              <w:rPr>
                <w:rFonts w:ascii="Arial" w:hAnsi="Arial" w:cs="Arial"/>
                <w:color w:val="000000"/>
                <w:sz w:val="22"/>
                <w:szCs w:val="22"/>
              </w:rPr>
              <w:t>)</w:t>
            </w:r>
          </w:p>
        </w:tc>
        <w:tc>
          <w:tcPr>
            <w:tcW w:w="1293" w:type="dxa"/>
            <w:tcBorders>
              <w:top w:val="nil"/>
              <w:left w:val="nil"/>
              <w:bottom w:val="nil"/>
              <w:right w:val="single" w:sz="8" w:space="0" w:color="auto"/>
            </w:tcBorders>
            <w:shd w:val="clear" w:color="000000" w:fill="CCCCCC"/>
            <w:vAlign w:val="center"/>
            <w:hideMark/>
          </w:tcPr>
          <w:p w14:paraId="6A631A89" w14:textId="02821B4E" w:rsidR="00C7221C" w:rsidRPr="00293E7B" w:rsidRDefault="00C7221C" w:rsidP="00C7221C">
            <w:pPr>
              <w:jc w:val="right"/>
              <w:rPr>
                <w:rFonts w:ascii="Arial" w:hAnsi="Arial" w:cs="Arial"/>
                <w:color w:val="000000"/>
                <w:sz w:val="22"/>
                <w:szCs w:val="22"/>
              </w:rPr>
            </w:pPr>
            <w:r>
              <w:rPr>
                <w:rFonts w:ascii="Arial" w:hAnsi="Arial" w:cs="Arial"/>
                <w:color w:val="000000"/>
                <w:sz w:val="22"/>
                <w:szCs w:val="22"/>
              </w:rPr>
              <w:t>(78,134)</w:t>
            </w:r>
          </w:p>
        </w:tc>
      </w:tr>
      <w:tr w:rsidR="00C7221C" w:rsidRPr="00D8288C" w14:paraId="15D50417" w14:textId="77777777" w:rsidTr="00744D72">
        <w:trPr>
          <w:trHeight w:val="300"/>
        </w:trPr>
        <w:tc>
          <w:tcPr>
            <w:tcW w:w="1266" w:type="dxa"/>
            <w:tcBorders>
              <w:top w:val="nil"/>
              <w:left w:val="single" w:sz="8" w:space="0" w:color="auto"/>
              <w:bottom w:val="nil"/>
              <w:right w:val="nil"/>
            </w:tcBorders>
            <w:shd w:val="clear" w:color="000000" w:fill="auto"/>
            <w:vAlign w:val="center"/>
            <w:hideMark/>
          </w:tcPr>
          <w:p w14:paraId="03F38A9B" w14:textId="6203E16E"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8</w:t>
            </w:r>
            <w:r>
              <w:rPr>
                <w:rFonts w:ascii="Arial" w:hAnsi="Arial" w:cs="Arial"/>
                <w:color w:val="000000"/>
                <w:sz w:val="22"/>
                <w:szCs w:val="22"/>
              </w:rPr>
              <w:t>7</w:t>
            </w:r>
            <w:r w:rsidRPr="00D8288C">
              <w:rPr>
                <w:rFonts w:ascii="Arial" w:hAnsi="Arial" w:cs="Arial"/>
                <w:color w:val="000000"/>
                <w:sz w:val="22"/>
                <w:szCs w:val="22"/>
              </w:rPr>
              <w:t>5</w:t>
            </w:r>
          </w:p>
        </w:tc>
        <w:tc>
          <w:tcPr>
            <w:tcW w:w="1134" w:type="dxa"/>
            <w:tcBorders>
              <w:top w:val="nil"/>
              <w:left w:val="nil"/>
              <w:right w:val="nil"/>
            </w:tcBorders>
            <w:shd w:val="clear" w:color="000000" w:fill="CCCCCC"/>
            <w:vAlign w:val="center"/>
            <w:hideMark/>
          </w:tcPr>
          <w:p w14:paraId="311905E5" w14:textId="0CF8B219" w:rsidR="00C7221C" w:rsidRPr="00D8288C" w:rsidRDefault="00F34228" w:rsidP="00C7221C">
            <w:pPr>
              <w:jc w:val="right"/>
              <w:rPr>
                <w:rFonts w:ascii="Arial" w:hAnsi="Arial" w:cs="Arial"/>
                <w:color w:val="000000"/>
                <w:sz w:val="22"/>
                <w:szCs w:val="22"/>
              </w:rPr>
            </w:pPr>
            <w:r>
              <w:rPr>
                <w:rFonts w:ascii="Arial" w:hAnsi="Arial" w:cs="Arial"/>
                <w:color w:val="000000"/>
                <w:sz w:val="22"/>
                <w:szCs w:val="22"/>
              </w:rPr>
              <w:t>(14)</w:t>
            </w:r>
          </w:p>
        </w:tc>
        <w:tc>
          <w:tcPr>
            <w:tcW w:w="5475" w:type="dxa"/>
            <w:tcBorders>
              <w:top w:val="nil"/>
              <w:left w:val="nil"/>
              <w:right w:val="nil"/>
            </w:tcBorders>
            <w:shd w:val="clear" w:color="000000" w:fill="auto"/>
            <w:vAlign w:val="center"/>
            <w:hideMark/>
          </w:tcPr>
          <w:p w14:paraId="2803F4C4" w14:textId="5F0ED3B5" w:rsidR="00C7221C" w:rsidRPr="00D8288C" w:rsidRDefault="00C7221C" w:rsidP="00C7221C">
            <w:pPr>
              <w:rPr>
                <w:rFonts w:ascii="Arial" w:hAnsi="Arial" w:cs="Arial"/>
                <w:color w:val="000000"/>
                <w:sz w:val="22"/>
                <w:szCs w:val="22"/>
              </w:rPr>
            </w:pPr>
            <w:r w:rsidRPr="00D8288C">
              <w:rPr>
                <w:rFonts w:ascii="Arial" w:hAnsi="Arial" w:cs="Arial"/>
                <w:color w:val="000000"/>
                <w:sz w:val="22"/>
                <w:szCs w:val="22"/>
              </w:rPr>
              <w:t xml:space="preserve">Contributions </w:t>
            </w:r>
            <w:r w:rsidR="00877B80">
              <w:rPr>
                <w:rFonts w:ascii="Arial" w:hAnsi="Arial" w:cs="Arial"/>
                <w:color w:val="000000"/>
                <w:sz w:val="22"/>
                <w:szCs w:val="22"/>
              </w:rPr>
              <w:t>(to)</w:t>
            </w:r>
            <w:r w:rsidR="00C849F8">
              <w:rPr>
                <w:rFonts w:ascii="Arial" w:hAnsi="Arial" w:cs="Arial"/>
                <w:color w:val="000000"/>
                <w:sz w:val="22"/>
                <w:szCs w:val="22"/>
              </w:rPr>
              <w:t>/</w:t>
            </w:r>
            <w:r w:rsidRPr="00D8288C">
              <w:rPr>
                <w:rFonts w:ascii="Arial" w:hAnsi="Arial" w:cs="Arial"/>
                <w:color w:val="000000"/>
                <w:sz w:val="22"/>
                <w:szCs w:val="22"/>
              </w:rPr>
              <w:t>from provisions</w:t>
            </w:r>
          </w:p>
        </w:tc>
        <w:tc>
          <w:tcPr>
            <w:tcW w:w="1312" w:type="dxa"/>
            <w:tcBorders>
              <w:top w:val="nil"/>
              <w:left w:val="nil"/>
              <w:right w:val="nil"/>
            </w:tcBorders>
            <w:shd w:val="clear" w:color="000000" w:fill="auto"/>
            <w:vAlign w:val="center"/>
            <w:hideMark/>
          </w:tcPr>
          <w:p w14:paraId="3AD1BD20" w14:textId="13302354"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8</w:t>
            </w:r>
            <w:r>
              <w:rPr>
                <w:rFonts w:ascii="Arial" w:hAnsi="Arial" w:cs="Arial"/>
                <w:color w:val="000000"/>
                <w:sz w:val="22"/>
                <w:szCs w:val="22"/>
              </w:rPr>
              <w:t>7</w:t>
            </w:r>
            <w:r w:rsidRPr="00D8288C">
              <w:rPr>
                <w:rFonts w:ascii="Arial" w:hAnsi="Arial" w:cs="Arial"/>
                <w:color w:val="000000"/>
                <w:sz w:val="22"/>
                <w:szCs w:val="22"/>
              </w:rPr>
              <w:t>5</w:t>
            </w:r>
          </w:p>
        </w:tc>
        <w:tc>
          <w:tcPr>
            <w:tcW w:w="1293" w:type="dxa"/>
            <w:tcBorders>
              <w:top w:val="nil"/>
              <w:left w:val="nil"/>
              <w:right w:val="single" w:sz="8" w:space="0" w:color="auto"/>
            </w:tcBorders>
            <w:shd w:val="clear" w:color="000000" w:fill="CCCCCC"/>
            <w:vAlign w:val="center"/>
            <w:hideMark/>
          </w:tcPr>
          <w:p w14:paraId="1B5137C3" w14:textId="7ABE69FA" w:rsidR="00C7221C" w:rsidRPr="00D8288C" w:rsidRDefault="00312F97" w:rsidP="00C7221C">
            <w:pPr>
              <w:jc w:val="right"/>
              <w:rPr>
                <w:rFonts w:ascii="Arial" w:hAnsi="Arial" w:cs="Arial"/>
                <w:color w:val="000000"/>
                <w:sz w:val="22"/>
                <w:szCs w:val="22"/>
              </w:rPr>
            </w:pPr>
            <w:r>
              <w:rPr>
                <w:rFonts w:ascii="Arial" w:hAnsi="Arial" w:cs="Arial"/>
                <w:color w:val="000000"/>
                <w:sz w:val="22"/>
                <w:szCs w:val="22"/>
              </w:rPr>
              <w:t>(14)</w:t>
            </w:r>
          </w:p>
        </w:tc>
      </w:tr>
      <w:tr w:rsidR="00C7221C" w:rsidRPr="00D8288C" w14:paraId="21C78A57" w14:textId="77777777" w:rsidTr="00744D72">
        <w:trPr>
          <w:trHeight w:val="300"/>
        </w:trPr>
        <w:tc>
          <w:tcPr>
            <w:tcW w:w="1266" w:type="dxa"/>
            <w:tcBorders>
              <w:top w:val="nil"/>
              <w:left w:val="single" w:sz="8" w:space="0" w:color="auto"/>
              <w:bottom w:val="nil"/>
              <w:right w:val="nil"/>
            </w:tcBorders>
            <w:shd w:val="clear" w:color="000000" w:fill="auto"/>
            <w:vAlign w:val="center"/>
            <w:hideMark/>
          </w:tcPr>
          <w:p w14:paraId="280AAE70" w14:textId="16881D34"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(5</w:t>
            </w:r>
            <w:r>
              <w:rPr>
                <w:rFonts w:ascii="Arial" w:hAnsi="Arial" w:cs="Arial"/>
                <w:color w:val="000000"/>
                <w:sz w:val="22"/>
                <w:szCs w:val="22"/>
              </w:rPr>
              <w:t>08</w:t>
            </w:r>
            <w:r w:rsidRPr="00D8288C">
              <w:rPr>
                <w:rFonts w:ascii="Arial" w:hAnsi="Arial" w:cs="Arial"/>
                <w:color w:val="000000"/>
                <w:sz w:val="22"/>
                <w:szCs w:val="22"/>
              </w:rPr>
              <w:t>)</w:t>
            </w:r>
          </w:p>
        </w:tc>
        <w:tc>
          <w:tcPr>
            <w:tcW w:w="1134" w:type="dxa"/>
            <w:tcBorders>
              <w:top w:val="nil"/>
              <w:left w:val="nil"/>
              <w:right w:val="nil"/>
            </w:tcBorders>
            <w:shd w:val="clear" w:color="000000" w:fill="CCCCCC"/>
            <w:vAlign w:val="center"/>
            <w:hideMark/>
          </w:tcPr>
          <w:p w14:paraId="3CD2CE7D" w14:textId="77336DE3"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(395)</w:t>
            </w:r>
          </w:p>
        </w:tc>
        <w:tc>
          <w:tcPr>
            <w:tcW w:w="5475" w:type="dxa"/>
            <w:tcBorders>
              <w:top w:val="nil"/>
              <w:left w:val="nil"/>
              <w:right w:val="nil"/>
            </w:tcBorders>
            <w:shd w:val="clear" w:color="000000" w:fill="auto"/>
            <w:vAlign w:val="center"/>
            <w:hideMark/>
          </w:tcPr>
          <w:p w14:paraId="7E48560A" w14:textId="77777777" w:rsidR="00C7221C" w:rsidRPr="00D8288C" w:rsidRDefault="00C7221C" w:rsidP="00C7221C">
            <w:pPr>
              <w:rPr>
                <w:rFonts w:ascii="Arial" w:hAnsi="Arial" w:cs="Arial"/>
                <w:color w:val="000000"/>
                <w:sz w:val="22"/>
                <w:szCs w:val="22"/>
              </w:rPr>
            </w:pPr>
            <w:r w:rsidRPr="00D8288C">
              <w:rPr>
                <w:rFonts w:ascii="Arial" w:hAnsi="Arial" w:cs="Arial"/>
                <w:color w:val="000000"/>
                <w:sz w:val="22"/>
                <w:szCs w:val="22"/>
              </w:rPr>
              <w:t xml:space="preserve">Carrying amount of non-current assets sold </w:t>
            </w:r>
          </w:p>
        </w:tc>
        <w:tc>
          <w:tcPr>
            <w:tcW w:w="1312" w:type="dxa"/>
            <w:tcBorders>
              <w:top w:val="nil"/>
              <w:left w:val="nil"/>
              <w:right w:val="nil"/>
            </w:tcBorders>
            <w:shd w:val="clear" w:color="000000" w:fill="auto"/>
            <w:vAlign w:val="center"/>
            <w:hideMark/>
          </w:tcPr>
          <w:p w14:paraId="3819CC86" w14:textId="3ECB6782" w:rsidR="00C7221C" w:rsidRPr="00D8288C" w:rsidRDefault="00C7221C" w:rsidP="00C7221C">
            <w:pPr>
              <w:jc w:val="right"/>
              <w:rPr>
                <w:rFonts w:ascii="Arial" w:hAnsi="Arial" w:cs="Arial"/>
                <w:color w:val="000000"/>
                <w:sz w:val="22"/>
                <w:szCs w:val="22"/>
              </w:rPr>
            </w:pPr>
            <w:r w:rsidRPr="00D8288C">
              <w:rPr>
                <w:rFonts w:ascii="Arial" w:hAnsi="Arial" w:cs="Arial"/>
                <w:color w:val="000000"/>
                <w:sz w:val="22"/>
                <w:szCs w:val="22"/>
              </w:rPr>
              <w:t>(</w:t>
            </w:r>
            <w:r>
              <w:rPr>
                <w:rFonts w:ascii="Arial" w:hAnsi="Arial" w:cs="Arial"/>
                <w:color w:val="000000"/>
                <w:sz w:val="22"/>
                <w:szCs w:val="22"/>
              </w:rPr>
              <w:t>508</w:t>
            </w:r>
            <w:r w:rsidRPr="00D8288C">
              <w:rPr>
                <w:rFonts w:ascii="Arial" w:hAnsi="Arial" w:cs="Arial"/>
                <w:color w:val="000000"/>
                <w:sz w:val="22"/>
                <w:szCs w:val="22"/>
              </w:rPr>
              <w:t>)</w:t>
            </w:r>
          </w:p>
        </w:tc>
        <w:tc>
          <w:tcPr>
            <w:tcW w:w="1293" w:type="dxa"/>
            <w:tcBorders>
              <w:top w:val="nil"/>
              <w:left w:val="nil"/>
              <w:bottom w:val="nil"/>
              <w:right w:val="single" w:sz="8" w:space="0" w:color="auto"/>
            </w:tcBorders>
            <w:shd w:val="clear" w:color="000000" w:fill="CCCCCC"/>
            <w:vAlign w:val="center"/>
            <w:hideMark/>
          </w:tcPr>
          <w:p w14:paraId="50C7F324" w14:textId="0293BEE7" w:rsidR="00C7221C" w:rsidRPr="00D8288C" w:rsidRDefault="00C7221C" w:rsidP="00C7221C">
            <w:pPr>
              <w:jc w:val="right"/>
              <w:rPr>
                <w:rFonts w:ascii="Arial" w:hAnsi="Arial" w:cs="Arial"/>
                <w:color w:val="000000"/>
                <w:sz w:val="22"/>
                <w:szCs w:val="22"/>
              </w:rPr>
            </w:pPr>
            <w:r>
              <w:rPr>
                <w:rFonts w:ascii="Arial" w:hAnsi="Arial" w:cs="Arial"/>
                <w:color w:val="000000"/>
                <w:sz w:val="22"/>
                <w:szCs w:val="22"/>
              </w:rPr>
              <w:t>(395)</w:t>
            </w:r>
          </w:p>
        </w:tc>
      </w:tr>
      <w:tr w:rsidR="005E382A" w:rsidRPr="00D8288C" w14:paraId="41B3EC43" w14:textId="77777777" w:rsidTr="00744D72">
        <w:trPr>
          <w:trHeight w:val="315"/>
        </w:trPr>
        <w:tc>
          <w:tcPr>
            <w:tcW w:w="1266" w:type="dxa"/>
            <w:tcBorders>
              <w:top w:val="nil"/>
              <w:left w:val="single" w:sz="8" w:space="0" w:color="auto"/>
              <w:bottom w:val="single" w:sz="8" w:space="0" w:color="auto"/>
              <w:right w:val="nil"/>
            </w:tcBorders>
            <w:shd w:val="clear" w:color="000000" w:fill="auto"/>
            <w:vAlign w:val="center"/>
          </w:tcPr>
          <w:p w14:paraId="5DBA1163" w14:textId="77777777" w:rsidR="005E382A" w:rsidRDefault="005E382A" w:rsidP="005E382A">
            <w:pPr>
              <w:jc w:val="right"/>
              <w:rPr>
                <w:rFonts w:ascii="Arial" w:hAnsi="Arial" w:cs="Arial"/>
                <w:b/>
                <w:bCs/>
                <w:color w:val="000000"/>
                <w:sz w:val="22"/>
                <w:szCs w:val="22"/>
              </w:rPr>
            </w:pPr>
          </w:p>
        </w:tc>
        <w:tc>
          <w:tcPr>
            <w:tcW w:w="1134" w:type="dxa"/>
            <w:tcBorders>
              <w:left w:val="nil"/>
              <w:bottom w:val="single" w:sz="8" w:space="0" w:color="auto"/>
              <w:right w:val="nil"/>
            </w:tcBorders>
            <w:shd w:val="clear" w:color="000000" w:fill="CCCCCC"/>
            <w:vAlign w:val="center"/>
          </w:tcPr>
          <w:p w14:paraId="4639FA53" w14:textId="4C25638D" w:rsidR="005E382A" w:rsidRPr="00DA2A00" w:rsidRDefault="005B2217" w:rsidP="005E382A">
            <w:pPr>
              <w:jc w:val="right"/>
              <w:rPr>
                <w:rFonts w:ascii="Arial" w:hAnsi="Arial" w:cs="Arial"/>
                <w:color w:val="000000"/>
                <w:sz w:val="22"/>
                <w:szCs w:val="22"/>
              </w:rPr>
            </w:pPr>
            <w:r w:rsidRPr="00DA2A00">
              <w:rPr>
                <w:rFonts w:ascii="Arial" w:hAnsi="Arial" w:cs="Arial"/>
                <w:color w:val="000000"/>
                <w:sz w:val="22"/>
                <w:szCs w:val="22"/>
              </w:rPr>
              <w:t>124</w:t>
            </w:r>
          </w:p>
        </w:tc>
        <w:tc>
          <w:tcPr>
            <w:tcW w:w="5475" w:type="dxa"/>
            <w:tcBorders>
              <w:top w:val="nil"/>
              <w:left w:val="nil"/>
              <w:bottom w:val="single" w:sz="8" w:space="0" w:color="auto"/>
              <w:right w:val="nil"/>
            </w:tcBorders>
            <w:shd w:val="clear" w:color="000000" w:fill="auto"/>
            <w:vAlign w:val="center"/>
          </w:tcPr>
          <w:p w14:paraId="3945298E" w14:textId="48E7C0A2" w:rsidR="005E382A" w:rsidRPr="00D8288C" w:rsidRDefault="005E382A" w:rsidP="005E382A">
            <w:pPr>
              <w:rPr>
                <w:rFonts w:ascii="Arial" w:hAnsi="Arial" w:cs="Arial"/>
                <w:b/>
                <w:bCs/>
                <w:color w:val="000000"/>
                <w:sz w:val="22"/>
                <w:szCs w:val="22"/>
              </w:rPr>
            </w:pPr>
            <w:r>
              <w:rPr>
                <w:rFonts w:ascii="Arial" w:hAnsi="Arial" w:cs="Arial"/>
                <w:color w:val="000000"/>
                <w:sz w:val="22"/>
                <w:szCs w:val="22"/>
              </w:rPr>
              <w:t>Recognition of Donated Asset Income/Peppercorn Leases</w:t>
            </w:r>
            <w:r w:rsidR="008F66AD">
              <w:rPr>
                <w:rFonts w:ascii="Arial" w:hAnsi="Arial" w:cs="Arial"/>
                <w:color w:val="000000"/>
                <w:sz w:val="22"/>
                <w:szCs w:val="22"/>
              </w:rPr>
              <w:t xml:space="preserve"> charged within Provision of service</w:t>
            </w:r>
          </w:p>
        </w:tc>
        <w:tc>
          <w:tcPr>
            <w:tcW w:w="1312" w:type="dxa"/>
            <w:tcBorders>
              <w:top w:val="nil"/>
              <w:left w:val="nil"/>
              <w:bottom w:val="single" w:sz="8" w:space="0" w:color="auto"/>
              <w:right w:val="nil"/>
            </w:tcBorders>
            <w:shd w:val="clear" w:color="000000" w:fill="auto"/>
            <w:vAlign w:val="center"/>
          </w:tcPr>
          <w:p w14:paraId="2D57F98A" w14:textId="21782F64" w:rsidR="005E382A" w:rsidRPr="00D8288C" w:rsidRDefault="005E382A" w:rsidP="005E382A">
            <w:pPr>
              <w:jc w:val="right"/>
              <w:rPr>
                <w:rFonts w:ascii="Arial" w:hAnsi="Arial" w:cs="Arial"/>
                <w:b/>
                <w:bCs/>
                <w:color w:val="000000"/>
                <w:sz w:val="22"/>
                <w:szCs w:val="22"/>
              </w:rPr>
            </w:pPr>
            <w:r>
              <w:rPr>
                <w:rFonts w:ascii="Arial" w:hAnsi="Arial" w:cs="Arial"/>
                <w:color w:val="000000"/>
                <w:sz w:val="22"/>
                <w:szCs w:val="22"/>
              </w:rPr>
              <w:t> </w:t>
            </w:r>
          </w:p>
        </w:tc>
        <w:tc>
          <w:tcPr>
            <w:tcW w:w="1293" w:type="dxa"/>
            <w:tcBorders>
              <w:top w:val="nil"/>
              <w:left w:val="nil"/>
              <w:bottom w:val="single" w:sz="8" w:space="0" w:color="auto"/>
              <w:right w:val="single" w:sz="8" w:space="0" w:color="auto"/>
            </w:tcBorders>
            <w:shd w:val="clear" w:color="000000" w:fill="CCCCCC"/>
            <w:vAlign w:val="center"/>
          </w:tcPr>
          <w:p w14:paraId="230CEB84" w14:textId="1ABEC474" w:rsidR="005E382A" w:rsidRDefault="005E382A" w:rsidP="005E382A">
            <w:pPr>
              <w:jc w:val="right"/>
              <w:rPr>
                <w:rFonts w:ascii="Arial" w:hAnsi="Arial" w:cs="Arial"/>
                <w:b/>
                <w:bCs/>
                <w:color w:val="000000"/>
                <w:sz w:val="22"/>
                <w:szCs w:val="22"/>
              </w:rPr>
            </w:pPr>
            <w:r>
              <w:rPr>
                <w:rFonts w:ascii="Arial" w:hAnsi="Arial" w:cs="Arial"/>
                <w:color w:val="000000"/>
                <w:sz w:val="22"/>
                <w:szCs w:val="22"/>
              </w:rPr>
              <w:t>124</w:t>
            </w:r>
          </w:p>
        </w:tc>
      </w:tr>
      <w:tr w:rsidR="00C7221C" w:rsidRPr="00D8288C" w14:paraId="11BEE6C4" w14:textId="77777777" w:rsidTr="00744D72">
        <w:trPr>
          <w:trHeight w:val="315"/>
        </w:trPr>
        <w:tc>
          <w:tcPr>
            <w:tcW w:w="1266" w:type="dxa"/>
            <w:tcBorders>
              <w:top w:val="nil"/>
              <w:left w:val="single" w:sz="8" w:space="0" w:color="auto"/>
              <w:bottom w:val="single" w:sz="8" w:space="0" w:color="auto"/>
              <w:right w:val="nil"/>
            </w:tcBorders>
            <w:shd w:val="clear" w:color="000000" w:fill="auto"/>
            <w:vAlign w:val="center"/>
            <w:hideMark/>
          </w:tcPr>
          <w:p w14:paraId="764D4D6C" w14:textId="02CE5689" w:rsidR="00C7221C" w:rsidRPr="00D8288C" w:rsidRDefault="00194E0F" w:rsidP="00C7221C">
            <w:pPr>
              <w:jc w:val="right"/>
              <w:rPr>
                <w:rFonts w:ascii="Arial" w:hAnsi="Arial" w:cs="Arial"/>
                <w:b/>
                <w:bCs/>
                <w:color w:val="000000"/>
                <w:sz w:val="22"/>
                <w:szCs w:val="22"/>
              </w:rPr>
            </w:pPr>
            <w:r>
              <w:rPr>
                <w:rFonts w:ascii="Arial" w:hAnsi="Arial" w:cs="Arial"/>
                <w:b/>
                <w:bCs/>
                <w:color w:val="000000"/>
                <w:sz w:val="22"/>
                <w:szCs w:val="22"/>
              </w:rPr>
              <w:t>10,790</w:t>
            </w:r>
          </w:p>
        </w:tc>
        <w:tc>
          <w:tcPr>
            <w:tcW w:w="1134" w:type="dxa"/>
            <w:tcBorders>
              <w:top w:val="single" w:sz="8" w:space="0" w:color="auto"/>
              <w:left w:val="nil"/>
              <w:bottom w:val="single" w:sz="8" w:space="0" w:color="auto"/>
              <w:right w:val="nil"/>
            </w:tcBorders>
            <w:shd w:val="clear" w:color="000000" w:fill="CCCCCC"/>
            <w:vAlign w:val="center"/>
            <w:hideMark/>
          </w:tcPr>
          <w:p w14:paraId="0EA00C58" w14:textId="6DC32F4E" w:rsidR="00C7221C" w:rsidRPr="00D8288C" w:rsidRDefault="00DA2A00" w:rsidP="00C7221C">
            <w:pPr>
              <w:jc w:val="right"/>
              <w:rPr>
                <w:rFonts w:ascii="Arial" w:hAnsi="Arial" w:cs="Arial"/>
                <w:b/>
                <w:bCs/>
                <w:color w:val="000000"/>
                <w:sz w:val="22"/>
                <w:szCs w:val="22"/>
              </w:rPr>
            </w:pPr>
            <w:r w:rsidRPr="00DA2A00">
              <w:rPr>
                <w:rFonts w:ascii="Arial" w:hAnsi="Arial" w:cs="Arial"/>
                <w:b/>
                <w:bCs/>
                <w:color w:val="000000"/>
                <w:sz w:val="22"/>
                <w:szCs w:val="22"/>
              </w:rPr>
              <w:t>(3</w:t>
            </w:r>
            <w:r w:rsidR="006922F1">
              <w:rPr>
                <w:rFonts w:ascii="Arial" w:hAnsi="Arial" w:cs="Arial"/>
                <w:b/>
                <w:bCs/>
                <w:color w:val="000000"/>
                <w:sz w:val="22"/>
                <w:szCs w:val="22"/>
              </w:rPr>
              <w:t>7</w:t>
            </w:r>
            <w:r w:rsidRPr="00DA2A00">
              <w:rPr>
                <w:rFonts w:ascii="Arial" w:hAnsi="Arial" w:cs="Arial"/>
                <w:b/>
                <w:bCs/>
                <w:color w:val="000000"/>
                <w:sz w:val="22"/>
                <w:szCs w:val="22"/>
              </w:rPr>
              <w:t>,0</w:t>
            </w:r>
            <w:r w:rsidR="006941F0">
              <w:rPr>
                <w:rFonts w:ascii="Arial" w:hAnsi="Arial" w:cs="Arial"/>
                <w:b/>
                <w:bCs/>
                <w:color w:val="000000"/>
                <w:sz w:val="22"/>
                <w:szCs w:val="22"/>
              </w:rPr>
              <w:t>2</w:t>
            </w:r>
            <w:r w:rsidR="006922F1">
              <w:rPr>
                <w:rFonts w:ascii="Arial" w:hAnsi="Arial" w:cs="Arial"/>
                <w:b/>
                <w:bCs/>
                <w:color w:val="000000"/>
                <w:sz w:val="22"/>
                <w:szCs w:val="22"/>
              </w:rPr>
              <w:t>3</w:t>
            </w:r>
            <w:r w:rsidRPr="00DA2A00">
              <w:rPr>
                <w:rFonts w:ascii="Arial" w:hAnsi="Arial" w:cs="Arial"/>
                <w:b/>
                <w:bCs/>
                <w:color w:val="000000"/>
                <w:sz w:val="22"/>
                <w:szCs w:val="22"/>
              </w:rPr>
              <w:t>)</w:t>
            </w:r>
          </w:p>
        </w:tc>
        <w:tc>
          <w:tcPr>
            <w:tcW w:w="5475" w:type="dxa"/>
            <w:tcBorders>
              <w:top w:val="nil"/>
              <w:left w:val="nil"/>
              <w:bottom w:val="single" w:sz="8" w:space="0" w:color="auto"/>
              <w:right w:val="nil"/>
            </w:tcBorders>
            <w:shd w:val="clear" w:color="000000" w:fill="auto"/>
            <w:vAlign w:val="center"/>
            <w:hideMark/>
          </w:tcPr>
          <w:p w14:paraId="2D0632DC" w14:textId="77777777" w:rsidR="00C7221C" w:rsidRPr="00D8288C" w:rsidRDefault="00C7221C" w:rsidP="00C7221C">
            <w:pPr>
              <w:rPr>
                <w:rFonts w:ascii="Arial" w:hAnsi="Arial" w:cs="Arial"/>
                <w:b/>
                <w:bCs/>
                <w:color w:val="000000"/>
                <w:sz w:val="22"/>
                <w:szCs w:val="22"/>
              </w:rPr>
            </w:pPr>
            <w:r w:rsidRPr="00D8288C">
              <w:rPr>
                <w:rFonts w:ascii="Arial" w:hAnsi="Arial" w:cs="Arial"/>
                <w:b/>
                <w:bCs/>
                <w:color w:val="000000"/>
                <w:sz w:val="22"/>
                <w:szCs w:val="22"/>
              </w:rPr>
              <w:t xml:space="preserve">Total </w:t>
            </w:r>
          </w:p>
        </w:tc>
        <w:tc>
          <w:tcPr>
            <w:tcW w:w="1312" w:type="dxa"/>
            <w:tcBorders>
              <w:top w:val="single" w:sz="8" w:space="0" w:color="auto"/>
              <w:left w:val="nil"/>
              <w:bottom w:val="single" w:sz="8" w:space="0" w:color="auto"/>
              <w:right w:val="nil"/>
            </w:tcBorders>
            <w:shd w:val="clear" w:color="000000" w:fill="auto"/>
            <w:vAlign w:val="center"/>
            <w:hideMark/>
          </w:tcPr>
          <w:p w14:paraId="61D9DFD0" w14:textId="5F5DD56D" w:rsidR="00C7221C" w:rsidRPr="00D8288C" w:rsidRDefault="00C7221C" w:rsidP="00C7221C">
            <w:pPr>
              <w:jc w:val="right"/>
              <w:rPr>
                <w:rFonts w:ascii="Arial" w:hAnsi="Arial" w:cs="Arial"/>
                <w:b/>
                <w:bCs/>
                <w:color w:val="000000"/>
                <w:sz w:val="22"/>
                <w:szCs w:val="22"/>
              </w:rPr>
            </w:pPr>
            <w:r w:rsidRPr="00D8288C">
              <w:rPr>
                <w:rFonts w:ascii="Arial" w:hAnsi="Arial" w:cs="Arial"/>
                <w:b/>
                <w:bCs/>
                <w:color w:val="000000"/>
                <w:sz w:val="22"/>
                <w:szCs w:val="22"/>
              </w:rPr>
              <w:t>(</w:t>
            </w:r>
            <w:r w:rsidR="00194E0F">
              <w:rPr>
                <w:rFonts w:ascii="Arial" w:hAnsi="Arial" w:cs="Arial"/>
                <w:b/>
                <w:bCs/>
                <w:color w:val="000000"/>
                <w:sz w:val="22"/>
                <w:szCs w:val="22"/>
              </w:rPr>
              <w:t>59,353</w:t>
            </w:r>
            <w:r w:rsidRPr="00D8288C">
              <w:rPr>
                <w:rFonts w:ascii="Arial" w:hAnsi="Arial" w:cs="Arial"/>
                <w:b/>
                <w:bCs/>
                <w:color w:val="000000"/>
                <w:sz w:val="22"/>
                <w:szCs w:val="22"/>
              </w:rPr>
              <w:t>)</w:t>
            </w:r>
          </w:p>
        </w:tc>
        <w:tc>
          <w:tcPr>
            <w:tcW w:w="1293" w:type="dxa"/>
            <w:tcBorders>
              <w:top w:val="nil"/>
              <w:left w:val="nil"/>
              <w:bottom w:val="single" w:sz="8" w:space="0" w:color="auto"/>
              <w:right w:val="single" w:sz="8" w:space="0" w:color="auto"/>
            </w:tcBorders>
            <w:shd w:val="clear" w:color="000000" w:fill="CCCCCC"/>
            <w:vAlign w:val="center"/>
            <w:hideMark/>
          </w:tcPr>
          <w:p w14:paraId="7E6C09BF" w14:textId="71EDC7C3" w:rsidR="00C7221C" w:rsidRPr="00D8288C" w:rsidRDefault="00A530EA" w:rsidP="00C7221C">
            <w:pPr>
              <w:jc w:val="right"/>
              <w:rPr>
                <w:rFonts w:ascii="Arial" w:hAnsi="Arial" w:cs="Arial"/>
                <w:b/>
                <w:bCs/>
                <w:color w:val="000000"/>
                <w:sz w:val="22"/>
                <w:szCs w:val="22"/>
              </w:rPr>
            </w:pPr>
            <w:r>
              <w:rPr>
                <w:rFonts w:ascii="Arial" w:hAnsi="Arial" w:cs="Arial"/>
                <w:b/>
                <w:bCs/>
                <w:color w:val="000000"/>
                <w:sz w:val="22"/>
                <w:szCs w:val="22"/>
              </w:rPr>
              <w:t>(</w:t>
            </w:r>
            <w:r w:rsidR="001D153C">
              <w:rPr>
                <w:rFonts w:ascii="Arial" w:hAnsi="Arial" w:cs="Arial"/>
                <w:b/>
                <w:bCs/>
                <w:color w:val="000000"/>
                <w:sz w:val="22"/>
                <w:szCs w:val="22"/>
              </w:rPr>
              <w:t>102</w:t>
            </w:r>
            <w:r>
              <w:rPr>
                <w:rFonts w:ascii="Arial" w:hAnsi="Arial" w:cs="Arial"/>
                <w:b/>
                <w:bCs/>
                <w:color w:val="000000"/>
                <w:sz w:val="22"/>
                <w:szCs w:val="22"/>
              </w:rPr>
              <w:t>,</w:t>
            </w:r>
            <w:r w:rsidR="001D153C">
              <w:rPr>
                <w:rFonts w:ascii="Arial" w:hAnsi="Arial" w:cs="Arial"/>
                <w:b/>
                <w:bCs/>
                <w:color w:val="000000"/>
                <w:sz w:val="22"/>
                <w:szCs w:val="22"/>
              </w:rPr>
              <w:t>856</w:t>
            </w:r>
            <w:r>
              <w:rPr>
                <w:rFonts w:ascii="Arial" w:hAnsi="Arial" w:cs="Arial"/>
                <w:b/>
                <w:bCs/>
                <w:color w:val="000000"/>
                <w:sz w:val="22"/>
                <w:szCs w:val="22"/>
              </w:rPr>
              <w:t>)</w:t>
            </w:r>
          </w:p>
        </w:tc>
      </w:tr>
    </w:tbl>
    <w:p w14:paraId="6F50B853" w14:textId="77777777" w:rsidR="00116F83" w:rsidRDefault="00116F83">
      <w:pPr>
        <w:rPr>
          <w:rFonts w:ascii="Arial" w:hAnsi="Arial"/>
          <w:b/>
          <w:sz w:val="22"/>
          <w:szCs w:val="22"/>
        </w:rPr>
      </w:pPr>
    </w:p>
    <w:p w14:paraId="6B912B39" w14:textId="487DFFFC" w:rsidR="003B74DA" w:rsidRDefault="003B74DA" w:rsidP="003B74DA">
      <w:pPr>
        <w:numPr>
          <w:ilvl w:val="0"/>
          <w:numId w:val="1"/>
        </w:numPr>
        <w:tabs>
          <w:tab w:val="clear" w:pos="720"/>
          <w:tab w:val="num" w:pos="426"/>
          <w:tab w:val="right" w:pos="5760"/>
        </w:tabs>
        <w:rPr>
          <w:rFonts w:ascii="Arial" w:hAnsi="Arial"/>
          <w:b/>
          <w:sz w:val="22"/>
          <w:szCs w:val="22"/>
        </w:rPr>
      </w:pPr>
      <w:r w:rsidRPr="009A31CB">
        <w:rPr>
          <w:rFonts w:ascii="Arial" w:hAnsi="Arial"/>
          <w:b/>
          <w:sz w:val="22"/>
          <w:szCs w:val="22"/>
        </w:rPr>
        <w:t xml:space="preserve">Cash Flow Statement </w:t>
      </w:r>
      <w:r w:rsidR="005B6F05">
        <w:rPr>
          <w:rFonts w:ascii="Arial" w:hAnsi="Arial"/>
          <w:b/>
          <w:sz w:val="22"/>
          <w:szCs w:val="22"/>
        </w:rPr>
        <w:t>–</w:t>
      </w:r>
      <w:r w:rsidRPr="009A31CB">
        <w:rPr>
          <w:rFonts w:ascii="Arial" w:hAnsi="Arial"/>
          <w:b/>
          <w:sz w:val="22"/>
          <w:szCs w:val="22"/>
        </w:rPr>
        <w:t xml:space="preserve"> Adjustments for items included in the net </w:t>
      </w:r>
      <w:r>
        <w:rPr>
          <w:rFonts w:ascii="Arial" w:hAnsi="Arial"/>
          <w:b/>
          <w:sz w:val="22"/>
          <w:szCs w:val="22"/>
        </w:rPr>
        <w:t>d</w:t>
      </w:r>
      <w:r w:rsidRPr="009A31CB">
        <w:rPr>
          <w:rFonts w:ascii="Arial" w:hAnsi="Arial"/>
          <w:b/>
          <w:sz w:val="22"/>
          <w:szCs w:val="22"/>
        </w:rPr>
        <w:t>eficit on the provision of services that are investing and financing activities</w:t>
      </w:r>
    </w:p>
    <w:p w14:paraId="3B341920" w14:textId="00B0C6F6" w:rsidR="003B74DA" w:rsidRDefault="003B74DA" w:rsidP="003B74DA">
      <w:pPr>
        <w:tabs>
          <w:tab w:val="right" w:pos="5760"/>
        </w:tabs>
        <w:ind w:left="720"/>
        <w:rPr>
          <w:rFonts w:ascii="Arial" w:hAnsi="Arial"/>
          <w:b/>
          <w:sz w:val="22"/>
          <w:szCs w:val="22"/>
        </w:rPr>
      </w:pPr>
    </w:p>
    <w:tbl>
      <w:tblPr>
        <w:tblW w:w="7900" w:type="dxa"/>
        <w:tblCellMar>
          <w:top w:w="15" w:type="dxa"/>
          <w:bottom w:w="15" w:type="dxa"/>
        </w:tblCellMar>
        <w:tblLook w:val="04A0" w:firstRow="1" w:lastRow="0" w:firstColumn="1" w:lastColumn="0" w:noHBand="0" w:noVBand="1"/>
      </w:tblPr>
      <w:tblGrid>
        <w:gridCol w:w="5302"/>
        <w:gridCol w:w="1299"/>
        <w:gridCol w:w="1299"/>
      </w:tblGrid>
      <w:tr w:rsidR="00D8288C" w:rsidRPr="00D8288C" w14:paraId="647DEAD3" w14:textId="77777777" w:rsidTr="00440114">
        <w:trPr>
          <w:trHeight w:val="300"/>
        </w:trPr>
        <w:tc>
          <w:tcPr>
            <w:tcW w:w="7900" w:type="dxa"/>
            <w:gridSpan w:val="3"/>
            <w:tcBorders>
              <w:top w:val="single" w:sz="8" w:space="0" w:color="auto"/>
              <w:left w:val="single" w:sz="8" w:space="0" w:color="auto"/>
              <w:bottom w:val="nil"/>
              <w:right w:val="single" w:sz="4" w:space="0" w:color="auto"/>
            </w:tcBorders>
            <w:shd w:val="clear" w:color="000000" w:fill="CCCCCC"/>
            <w:noWrap/>
            <w:vAlign w:val="center"/>
            <w:hideMark/>
          </w:tcPr>
          <w:p w14:paraId="22319DC2"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PCC/PCC GROUP</w:t>
            </w:r>
          </w:p>
        </w:tc>
      </w:tr>
      <w:tr w:rsidR="00D8288C" w:rsidRPr="00D8288C" w14:paraId="2387652B" w14:textId="77777777" w:rsidTr="00D8288C">
        <w:trPr>
          <w:trHeight w:val="300"/>
        </w:trPr>
        <w:tc>
          <w:tcPr>
            <w:tcW w:w="5302" w:type="dxa"/>
            <w:tcBorders>
              <w:top w:val="nil"/>
              <w:left w:val="single" w:sz="8" w:space="0" w:color="auto"/>
              <w:bottom w:val="nil"/>
              <w:right w:val="nil"/>
            </w:tcBorders>
            <w:shd w:val="clear" w:color="000000" w:fill="CCCCCC"/>
            <w:noWrap/>
            <w:vAlign w:val="center"/>
            <w:hideMark/>
          </w:tcPr>
          <w:p w14:paraId="4DA68834" w14:textId="77777777" w:rsidR="00D8288C" w:rsidRPr="00D8288C" w:rsidRDefault="00D8288C" w:rsidP="00D8288C">
            <w:pPr>
              <w:jc w:val="center"/>
              <w:rPr>
                <w:rFonts w:ascii="Arial" w:hAnsi="Arial" w:cs="Arial"/>
                <w:b/>
                <w:bCs/>
                <w:color w:val="000000"/>
                <w:sz w:val="22"/>
                <w:szCs w:val="22"/>
              </w:rPr>
            </w:pPr>
          </w:p>
        </w:tc>
        <w:tc>
          <w:tcPr>
            <w:tcW w:w="1299" w:type="dxa"/>
            <w:tcBorders>
              <w:top w:val="nil"/>
              <w:left w:val="nil"/>
              <w:bottom w:val="nil"/>
              <w:right w:val="nil"/>
            </w:tcBorders>
            <w:shd w:val="clear" w:color="000000" w:fill="auto"/>
            <w:noWrap/>
            <w:vAlign w:val="center"/>
            <w:hideMark/>
          </w:tcPr>
          <w:p w14:paraId="08C40DC8" w14:textId="34C547B2" w:rsidR="00D8288C" w:rsidRPr="00D8288C" w:rsidRDefault="00C37E7F" w:rsidP="00D8288C">
            <w:pPr>
              <w:jc w:val="center"/>
              <w:rPr>
                <w:rFonts w:ascii="Arial" w:hAnsi="Arial" w:cs="Arial"/>
                <w:b/>
                <w:bCs/>
                <w:color w:val="000000"/>
                <w:sz w:val="22"/>
                <w:szCs w:val="22"/>
              </w:rPr>
            </w:pPr>
            <w:r>
              <w:rPr>
                <w:rFonts w:ascii="Arial" w:hAnsi="Arial" w:cs="Arial"/>
                <w:b/>
                <w:bCs/>
                <w:color w:val="000000"/>
                <w:sz w:val="22"/>
                <w:szCs w:val="22"/>
              </w:rPr>
              <w:t>2023/24</w:t>
            </w:r>
          </w:p>
        </w:tc>
        <w:tc>
          <w:tcPr>
            <w:tcW w:w="1299" w:type="dxa"/>
            <w:tcBorders>
              <w:top w:val="nil"/>
              <w:left w:val="nil"/>
              <w:bottom w:val="nil"/>
              <w:right w:val="single" w:sz="8" w:space="0" w:color="auto"/>
            </w:tcBorders>
            <w:shd w:val="clear" w:color="000000" w:fill="CCCCCC"/>
            <w:noWrap/>
            <w:vAlign w:val="center"/>
            <w:hideMark/>
          </w:tcPr>
          <w:p w14:paraId="645171CB" w14:textId="3F22EA0D" w:rsidR="00D8288C" w:rsidRPr="00D8288C" w:rsidRDefault="00C37E7F" w:rsidP="00D8288C">
            <w:pPr>
              <w:jc w:val="center"/>
              <w:rPr>
                <w:rFonts w:ascii="Arial" w:hAnsi="Arial" w:cs="Arial"/>
                <w:b/>
                <w:bCs/>
                <w:color w:val="000000"/>
                <w:sz w:val="22"/>
                <w:szCs w:val="22"/>
              </w:rPr>
            </w:pPr>
            <w:r>
              <w:rPr>
                <w:rFonts w:ascii="Arial" w:hAnsi="Arial" w:cs="Arial"/>
                <w:b/>
                <w:bCs/>
                <w:color w:val="000000"/>
                <w:sz w:val="22"/>
                <w:szCs w:val="22"/>
              </w:rPr>
              <w:t>2024/25</w:t>
            </w:r>
          </w:p>
        </w:tc>
      </w:tr>
      <w:tr w:rsidR="00D8288C" w:rsidRPr="00D8288C" w14:paraId="2D99B8AC" w14:textId="77777777" w:rsidTr="00D8288C">
        <w:trPr>
          <w:trHeight w:val="300"/>
        </w:trPr>
        <w:tc>
          <w:tcPr>
            <w:tcW w:w="5302" w:type="dxa"/>
            <w:tcBorders>
              <w:top w:val="nil"/>
              <w:left w:val="single" w:sz="8" w:space="0" w:color="auto"/>
              <w:bottom w:val="nil"/>
              <w:right w:val="nil"/>
            </w:tcBorders>
            <w:shd w:val="clear" w:color="000000" w:fill="CCCCCC"/>
            <w:noWrap/>
            <w:vAlign w:val="center"/>
            <w:hideMark/>
          </w:tcPr>
          <w:p w14:paraId="1C40F618" w14:textId="77777777" w:rsidR="00D8288C" w:rsidRPr="00D8288C" w:rsidRDefault="00D8288C" w:rsidP="00D8288C">
            <w:pPr>
              <w:jc w:val="center"/>
              <w:rPr>
                <w:rFonts w:ascii="Arial" w:hAnsi="Arial" w:cs="Arial"/>
                <w:b/>
                <w:bCs/>
                <w:color w:val="000000"/>
                <w:sz w:val="22"/>
                <w:szCs w:val="22"/>
              </w:rPr>
            </w:pPr>
          </w:p>
        </w:tc>
        <w:tc>
          <w:tcPr>
            <w:tcW w:w="1299" w:type="dxa"/>
            <w:tcBorders>
              <w:top w:val="nil"/>
              <w:left w:val="nil"/>
              <w:bottom w:val="nil"/>
              <w:right w:val="nil"/>
            </w:tcBorders>
            <w:shd w:val="clear" w:color="000000" w:fill="auto"/>
            <w:noWrap/>
            <w:vAlign w:val="center"/>
            <w:hideMark/>
          </w:tcPr>
          <w:p w14:paraId="032DB789"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£000</w:t>
            </w:r>
          </w:p>
        </w:tc>
        <w:tc>
          <w:tcPr>
            <w:tcW w:w="1299" w:type="dxa"/>
            <w:tcBorders>
              <w:top w:val="nil"/>
              <w:left w:val="nil"/>
              <w:bottom w:val="nil"/>
              <w:right w:val="single" w:sz="8" w:space="0" w:color="auto"/>
            </w:tcBorders>
            <w:shd w:val="clear" w:color="000000" w:fill="CCCCCC"/>
            <w:noWrap/>
            <w:vAlign w:val="center"/>
            <w:hideMark/>
          </w:tcPr>
          <w:p w14:paraId="0BE6BAD2"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£000</w:t>
            </w:r>
          </w:p>
        </w:tc>
      </w:tr>
      <w:tr w:rsidR="000F7164" w:rsidRPr="00D8288C" w14:paraId="1FE0A3E4" w14:textId="77777777" w:rsidTr="00D8288C">
        <w:trPr>
          <w:trHeight w:val="570"/>
        </w:trPr>
        <w:tc>
          <w:tcPr>
            <w:tcW w:w="5302" w:type="dxa"/>
            <w:tcBorders>
              <w:top w:val="nil"/>
              <w:left w:val="single" w:sz="8" w:space="0" w:color="auto"/>
              <w:bottom w:val="nil"/>
              <w:right w:val="nil"/>
            </w:tcBorders>
            <w:shd w:val="clear" w:color="000000" w:fill="CCCCCC"/>
            <w:vAlign w:val="center"/>
            <w:hideMark/>
          </w:tcPr>
          <w:p w14:paraId="7D4E79A9" w14:textId="77777777" w:rsidR="000F7164" w:rsidRPr="00D8288C" w:rsidRDefault="000F7164" w:rsidP="000F7164">
            <w:pPr>
              <w:rPr>
                <w:rFonts w:ascii="Arial" w:hAnsi="Arial" w:cs="Arial"/>
                <w:color w:val="000000"/>
                <w:sz w:val="22"/>
                <w:szCs w:val="22"/>
              </w:rPr>
            </w:pPr>
            <w:r w:rsidRPr="00D8288C">
              <w:rPr>
                <w:rFonts w:ascii="Arial" w:hAnsi="Arial" w:cs="Arial"/>
                <w:color w:val="000000"/>
                <w:sz w:val="22"/>
                <w:szCs w:val="22"/>
              </w:rPr>
              <w:t>Capital grants and contributions credited to (surplus)/deficit on provisions of services</w:t>
            </w:r>
          </w:p>
        </w:tc>
        <w:tc>
          <w:tcPr>
            <w:tcW w:w="1299" w:type="dxa"/>
            <w:tcBorders>
              <w:top w:val="nil"/>
              <w:left w:val="nil"/>
              <w:bottom w:val="nil"/>
              <w:right w:val="nil"/>
            </w:tcBorders>
            <w:shd w:val="clear" w:color="000000" w:fill="auto"/>
            <w:noWrap/>
            <w:vAlign w:val="center"/>
            <w:hideMark/>
          </w:tcPr>
          <w:p w14:paraId="469E3B86" w14:textId="70D5FE59" w:rsidR="000F7164" w:rsidRPr="00D8288C" w:rsidRDefault="000F7164" w:rsidP="000F7164">
            <w:pPr>
              <w:jc w:val="right"/>
              <w:rPr>
                <w:rFonts w:ascii="Arial" w:hAnsi="Arial" w:cs="Arial"/>
                <w:color w:val="000000"/>
                <w:sz w:val="22"/>
                <w:szCs w:val="22"/>
              </w:rPr>
            </w:pPr>
            <w:r w:rsidRPr="00D8288C">
              <w:rPr>
                <w:rFonts w:ascii="Arial" w:hAnsi="Arial" w:cs="Arial"/>
                <w:color w:val="000000"/>
                <w:sz w:val="22"/>
                <w:szCs w:val="22"/>
              </w:rPr>
              <w:t>2</w:t>
            </w:r>
            <w:r>
              <w:rPr>
                <w:rFonts w:ascii="Arial" w:hAnsi="Arial" w:cs="Arial"/>
                <w:color w:val="000000"/>
                <w:sz w:val="22"/>
                <w:szCs w:val="22"/>
              </w:rPr>
              <w:t>05</w:t>
            </w:r>
          </w:p>
        </w:tc>
        <w:tc>
          <w:tcPr>
            <w:tcW w:w="1299" w:type="dxa"/>
            <w:tcBorders>
              <w:top w:val="nil"/>
              <w:left w:val="nil"/>
              <w:bottom w:val="nil"/>
              <w:right w:val="single" w:sz="8" w:space="0" w:color="auto"/>
            </w:tcBorders>
            <w:shd w:val="clear" w:color="000000" w:fill="CCCCCC"/>
            <w:noWrap/>
            <w:vAlign w:val="center"/>
            <w:hideMark/>
          </w:tcPr>
          <w:p w14:paraId="3F5E4DEF" w14:textId="4A1FD377"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203</w:t>
            </w:r>
          </w:p>
        </w:tc>
      </w:tr>
      <w:tr w:rsidR="000F7164" w:rsidRPr="00D8288C" w14:paraId="56B5D8AB" w14:textId="77777777" w:rsidTr="00D8288C">
        <w:trPr>
          <w:trHeight w:val="315"/>
        </w:trPr>
        <w:tc>
          <w:tcPr>
            <w:tcW w:w="5302" w:type="dxa"/>
            <w:tcBorders>
              <w:top w:val="nil"/>
              <w:left w:val="single" w:sz="8" w:space="0" w:color="auto"/>
              <w:bottom w:val="nil"/>
              <w:right w:val="nil"/>
            </w:tcBorders>
            <w:shd w:val="clear" w:color="000000" w:fill="CCCCCC"/>
            <w:vAlign w:val="center"/>
            <w:hideMark/>
          </w:tcPr>
          <w:p w14:paraId="07FC220C" w14:textId="77777777" w:rsidR="000F7164" w:rsidRPr="00D8288C" w:rsidRDefault="000F7164" w:rsidP="000F7164">
            <w:pPr>
              <w:rPr>
                <w:rFonts w:ascii="Arial" w:hAnsi="Arial" w:cs="Arial"/>
                <w:color w:val="000000"/>
                <w:sz w:val="22"/>
                <w:szCs w:val="22"/>
              </w:rPr>
            </w:pPr>
            <w:r w:rsidRPr="00D8288C">
              <w:rPr>
                <w:rFonts w:ascii="Arial" w:hAnsi="Arial" w:cs="Arial"/>
                <w:color w:val="000000"/>
                <w:sz w:val="22"/>
                <w:szCs w:val="22"/>
              </w:rPr>
              <w:t>Proceeds from sale of PPE</w:t>
            </w:r>
          </w:p>
        </w:tc>
        <w:tc>
          <w:tcPr>
            <w:tcW w:w="1299" w:type="dxa"/>
            <w:tcBorders>
              <w:top w:val="nil"/>
              <w:left w:val="nil"/>
              <w:bottom w:val="single" w:sz="8" w:space="0" w:color="auto"/>
              <w:right w:val="nil"/>
            </w:tcBorders>
            <w:shd w:val="clear" w:color="000000" w:fill="auto"/>
            <w:noWrap/>
            <w:vAlign w:val="center"/>
            <w:hideMark/>
          </w:tcPr>
          <w:p w14:paraId="6EB2CD05" w14:textId="6E88F8FC"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0</w:t>
            </w:r>
          </w:p>
        </w:tc>
        <w:tc>
          <w:tcPr>
            <w:tcW w:w="1299" w:type="dxa"/>
            <w:tcBorders>
              <w:top w:val="nil"/>
              <w:left w:val="nil"/>
              <w:bottom w:val="single" w:sz="8" w:space="0" w:color="auto"/>
              <w:right w:val="single" w:sz="8" w:space="0" w:color="auto"/>
            </w:tcBorders>
            <w:shd w:val="clear" w:color="000000" w:fill="CCCCCC"/>
            <w:noWrap/>
            <w:vAlign w:val="center"/>
            <w:hideMark/>
          </w:tcPr>
          <w:p w14:paraId="5C702E87" w14:textId="222C3FA0"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91</w:t>
            </w:r>
          </w:p>
        </w:tc>
      </w:tr>
      <w:tr w:rsidR="000F7164" w:rsidRPr="00D8288C" w14:paraId="503AAB1A" w14:textId="77777777" w:rsidTr="00D8288C">
        <w:trPr>
          <w:trHeight w:val="315"/>
        </w:trPr>
        <w:tc>
          <w:tcPr>
            <w:tcW w:w="5302" w:type="dxa"/>
            <w:tcBorders>
              <w:top w:val="nil"/>
              <w:left w:val="single" w:sz="8" w:space="0" w:color="auto"/>
              <w:bottom w:val="single" w:sz="8" w:space="0" w:color="auto"/>
              <w:right w:val="nil"/>
            </w:tcBorders>
            <w:shd w:val="clear" w:color="000000" w:fill="CCCCCC"/>
            <w:noWrap/>
            <w:vAlign w:val="center"/>
            <w:hideMark/>
          </w:tcPr>
          <w:p w14:paraId="1945F9FB" w14:textId="77777777" w:rsidR="000F7164" w:rsidRPr="00D8288C" w:rsidRDefault="000F7164" w:rsidP="000F7164">
            <w:pPr>
              <w:rPr>
                <w:rFonts w:ascii="Arial" w:hAnsi="Arial" w:cs="Arial"/>
                <w:b/>
                <w:bCs/>
                <w:color w:val="000000"/>
                <w:sz w:val="22"/>
                <w:szCs w:val="22"/>
              </w:rPr>
            </w:pPr>
            <w:r w:rsidRPr="00D8288C">
              <w:rPr>
                <w:rFonts w:ascii="Arial" w:hAnsi="Arial" w:cs="Arial"/>
                <w:b/>
                <w:bCs/>
                <w:color w:val="000000"/>
                <w:sz w:val="22"/>
                <w:szCs w:val="22"/>
              </w:rPr>
              <w:t xml:space="preserve">Total </w:t>
            </w:r>
          </w:p>
        </w:tc>
        <w:tc>
          <w:tcPr>
            <w:tcW w:w="1299" w:type="dxa"/>
            <w:tcBorders>
              <w:top w:val="nil"/>
              <w:left w:val="nil"/>
              <w:bottom w:val="single" w:sz="8" w:space="0" w:color="auto"/>
              <w:right w:val="single" w:sz="8" w:space="0" w:color="auto"/>
            </w:tcBorders>
            <w:shd w:val="clear" w:color="000000" w:fill="auto"/>
            <w:noWrap/>
            <w:vAlign w:val="center"/>
            <w:hideMark/>
          </w:tcPr>
          <w:p w14:paraId="2C93CE34" w14:textId="6175082F" w:rsidR="000F7164" w:rsidRPr="00D8288C" w:rsidRDefault="000F7164" w:rsidP="000F7164">
            <w:pPr>
              <w:jc w:val="right"/>
              <w:rPr>
                <w:rFonts w:ascii="Arial" w:hAnsi="Arial" w:cs="Arial"/>
                <w:b/>
                <w:bCs/>
                <w:color w:val="000000"/>
                <w:sz w:val="22"/>
                <w:szCs w:val="22"/>
              </w:rPr>
            </w:pPr>
            <w:r>
              <w:rPr>
                <w:rFonts w:ascii="Arial" w:hAnsi="Arial" w:cs="Arial"/>
                <w:b/>
                <w:bCs/>
                <w:color w:val="000000"/>
                <w:sz w:val="22"/>
                <w:szCs w:val="22"/>
              </w:rPr>
              <w:t>205</w:t>
            </w:r>
          </w:p>
        </w:tc>
        <w:tc>
          <w:tcPr>
            <w:tcW w:w="1299" w:type="dxa"/>
            <w:tcBorders>
              <w:top w:val="nil"/>
              <w:left w:val="single" w:sz="8" w:space="0" w:color="auto"/>
              <w:bottom w:val="single" w:sz="8" w:space="0" w:color="auto"/>
              <w:right w:val="single" w:sz="8" w:space="0" w:color="auto"/>
            </w:tcBorders>
            <w:shd w:val="clear" w:color="000000" w:fill="CCCCCC"/>
            <w:noWrap/>
            <w:vAlign w:val="center"/>
            <w:hideMark/>
          </w:tcPr>
          <w:p w14:paraId="3D5A6753" w14:textId="6E393E01" w:rsidR="000F7164" w:rsidRPr="00D8288C" w:rsidRDefault="000F7164" w:rsidP="000F7164">
            <w:pPr>
              <w:jc w:val="right"/>
              <w:rPr>
                <w:rFonts w:ascii="Arial" w:hAnsi="Arial" w:cs="Arial"/>
                <w:b/>
                <w:bCs/>
                <w:color w:val="000000"/>
                <w:sz w:val="22"/>
                <w:szCs w:val="22"/>
              </w:rPr>
            </w:pPr>
            <w:r>
              <w:rPr>
                <w:rFonts w:ascii="Arial" w:hAnsi="Arial" w:cs="Arial"/>
                <w:b/>
                <w:bCs/>
                <w:color w:val="000000"/>
                <w:sz w:val="22"/>
                <w:szCs w:val="22"/>
              </w:rPr>
              <w:t>294</w:t>
            </w:r>
          </w:p>
        </w:tc>
      </w:tr>
    </w:tbl>
    <w:p w14:paraId="6DDF68F9" w14:textId="53E66358" w:rsidR="00B83CCB" w:rsidRDefault="00B83CCB">
      <w:pPr>
        <w:rPr>
          <w:rFonts w:ascii="Arial" w:hAnsi="Arial"/>
          <w:b/>
          <w:sz w:val="22"/>
          <w:szCs w:val="22"/>
        </w:rPr>
      </w:pPr>
    </w:p>
    <w:p w14:paraId="2EE81862" w14:textId="5A5444C7" w:rsidR="003B74DA" w:rsidRPr="00AD4E52" w:rsidRDefault="003B74DA" w:rsidP="003B74DA">
      <w:pPr>
        <w:numPr>
          <w:ilvl w:val="0"/>
          <w:numId w:val="1"/>
        </w:numPr>
        <w:tabs>
          <w:tab w:val="clear" w:pos="720"/>
          <w:tab w:val="num" w:pos="426"/>
          <w:tab w:val="right" w:pos="5760"/>
        </w:tabs>
        <w:rPr>
          <w:rFonts w:ascii="Arial" w:hAnsi="Arial"/>
          <w:sz w:val="22"/>
          <w:szCs w:val="22"/>
        </w:rPr>
      </w:pPr>
      <w:r w:rsidRPr="00AD4E52">
        <w:rPr>
          <w:rFonts w:ascii="Arial" w:hAnsi="Arial"/>
          <w:b/>
          <w:sz w:val="22"/>
          <w:szCs w:val="22"/>
        </w:rPr>
        <w:t>Cash Flow Statement – Investing Activities</w:t>
      </w:r>
    </w:p>
    <w:p w14:paraId="18FC26B2" w14:textId="77777777" w:rsidR="003B74DA" w:rsidRPr="00AD4E52" w:rsidRDefault="003B74DA" w:rsidP="003B74DA">
      <w:pPr>
        <w:tabs>
          <w:tab w:val="right" w:pos="5760"/>
        </w:tabs>
        <w:rPr>
          <w:rFonts w:ascii="Arial" w:hAnsi="Arial"/>
          <w:sz w:val="22"/>
          <w:szCs w:val="22"/>
        </w:rPr>
      </w:pPr>
    </w:p>
    <w:tbl>
      <w:tblPr>
        <w:tblW w:w="9072" w:type="dxa"/>
        <w:tblCellMar>
          <w:top w:w="15" w:type="dxa"/>
          <w:bottom w:w="15" w:type="dxa"/>
        </w:tblCellMar>
        <w:tblLook w:val="04A0" w:firstRow="1" w:lastRow="0" w:firstColumn="1" w:lastColumn="0" w:noHBand="0" w:noVBand="1"/>
      </w:tblPr>
      <w:tblGrid>
        <w:gridCol w:w="5995"/>
        <w:gridCol w:w="1791"/>
        <w:gridCol w:w="1286"/>
      </w:tblGrid>
      <w:tr w:rsidR="00D8288C" w:rsidRPr="00D8288C" w14:paraId="27D17DEC" w14:textId="77777777" w:rsidTr="000F7164">
        <w:trPr>
          <w:trHeight w:val="300"/>
        </w:trPr>
        <w:tc>
          <w:tcPr>
            <w:tcW w:w="5995" w:type="dxa"/>
            <w:tcBorders>
              <w:top w:val="single" w:sz="8" w:space="0" w:color="auto"/>
              <w:left w:val="single" w:sz="8" w:space="0" w:color="auto"/>
              <w:bottom w:val="nil"/>
              <w:right w:val="nil"/>
            </w:tcBorders>
            <w:shd w:val="clear" w:color="000000" w:fill="CCCCCC"/>
            <w:vAlign w:val="center"/>
            <w:hideMark/>
          </w:tcPr>
          <w:p w14:paraId="41B6C593" w14:textId="77777777" w:rsidR="00D8288C" w:rsidRPr="00D8288C" w:rsidRDefault="00D8288C" w:rsidP="00D8288C">
            <w:pPr>
              <w:rPr>
                <w:sz w:val="24"/>
                <w:szCs w:val="24"/>
              </w:rPr>
            </w:pPr>
          </w:p>
        </w:tc>
        <w:tc>
          <w:tcPr>
            <w:tcW w:w="3077" w:type="dxa"/>
            <w:gridSpan w:val="2"/>
            <w:tcBorders>
              <w:top w:val="single" w:sz="8" w:space="0" w:color="auto"/>
              <w:left w:val="nil"/>
              <w:bottom w:val="nil"/>
              <w:right w:val="single" w:sz="4" w:space="0" w:color="auto"/>
            </w:tcBorders>
            <w:shd w:val="clear" w:color="000000" w:fill="CCCCCC"/>
            <w:vAlign w:val="center"/>
            <w:hideMark/>
          </w:tcPr>
          <w:p w14:paraId="1BC6770A"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PCC/PCC GROUP</w:t>
            </w:r>
          </w:p>
        </w:tc>
      </w:tr>
      <w:tr w:rsidR="00D8288C" w:rsidRPr="00D8288C" w14:paraId="4DADFA6A" w14:textId="77777777" w:rsidTr="000F7164">
        <w:trPr>
          <w:trHeight w:val="300"/>
        </w:trPr>
        <w:tc>
          <w:tcPr>
            <w:tcW w:w="5995" w:type="dxa"/>
            <w:tcBorders>
              <w:top w:val="nil"/>
              <w:left w:val="single" w:sz="8" w:space="0" w:color="auto"/>
              <w:bottom w:val="nil"/>
              <w:right w:val="nil"/>
            </w:tcBorders>
            <w:shd w:val="clear" w:color="000000" w:fill="CCCCCC"/>
            <w:vAlign w:val="center"/>
            <w:hideMark/>
          </w:tcPr>
          <w:p w14:paraId="2AD87E8F" w14:textId="77777777" w:rsidR="00D8288C" w:rsidRPr="00D8288C" w:rsidRDefault="00D8288C" w:rsidP="00D8288C">
            <w:pPr>
              <w:jc w:val="center"/>
              <w:rPr>
                <w:rFonts w:ascii="Arial" w:hAnsi="Arial" w:cs="Arial"/>
                <w:b/>
                <w:bCs/>
                <w:color w:val="000000"/>
                <w:sz w:val="22"/>
                <w:szCs w:val="22"/>
              </w:rPr>
            </w:pPr>
          </w:p>
        </w:tc>
        <w:tc>
          <w:tcPr>
            <w:tcW w:w="1791" w:type="dxa"/>
            <w:tcBorders>
              <w:top w:val="nil"/>
              <w:left w:val="nil"/>
              <w:bottom w:val="nil"/>
              <w:right w:val="single" w:sz="8" w:space="0" w:color="auto"/>
            </w:tcBorders>
            <w:shd w:val="clear" w:color="000000" w:fill="auto"/>
            <w:vAlign w:val="center"/>
            <w:hideMark/>
          </w:tcPr>
          <w:p w14:paraId="4E7BF3CA" w14:textId="643F4D11" w:rsidR="00D8288C" w:rsidRPr="00D8288C" w:rsidRDefault="00C37E7F" w:rsidP="00D8288C">
            <w:pPr>
              <w:jc w:val="center"/>
              <w:rPr>
                <w:rFonts w:ascii="Arial" w:hAnsi="Arial" w:cs="Arial"/>
                <w:b/>
                <w:bCs/>
                <w:color w:val="000000"/>
                <w:sz w:val="22"/>
                <w:szCs w:val="22"/>
              </w:rPr>
            </w:pPr>
            <w:r>
              <w:rPr>
                <w:rFonts w:ascii="Arial" w:hAnsi="Arial" w:cs="Arial"/>
                <w:b/>
                <w:bCs/>
                <w:color w:val="000000"/>
                <w:sz w:val="22"/>
                <w:szCs w:val="22"/>
              </w:rPr>
              <w:t>2023/24</w:t>
            </w:r>
          </w:p>
        </w:tc>
        <w:tc>
          <w:tcPr>
            <w:tcW w:w="1286" w:type="dxa"/>
            <w:tcBorders>
              <w:top w:val="nil"/>
              <w:left w:val="single" w:sz="8" w:space="0" w:color="auto"/>
              <w:bottom w:val="nil"/>
              <w:right w:val="single" w:sz="8" w:space="0" w:color="auto"/>
            </w:tcBorders>
            <w:shd w:val="clear" w:color="000000" w:fill="CCCCCC"/>
            <w:vAlign w:val="center"/>
            <w:hideMark/>
          </w:tcPr>
          <w:p w14:paraId="04445CEF" w14:textId="11C8128C" w:rsidR="00D8288C" w:rsidRPr="00D8288C" w:rsidRDefault="00C37E7F" w:rsidP="00D8288C">
            <w:pPr>
              <w:jc w:val="center"/>
              <w:rPr>
                <w:rFonts w:ascii="Arial" w:hAnsi="Arial" w:cs="Arial"/>
                <w:b/>
                <w:bCs/>
                <w:color w:val="000000"/>
                <w:sz w:val="22"/>
                <w:szCs w:val="22"/>
              </w:rPr>
            </w:pPr>
            <w:r>
              <w:rPr>
                <w:rFonts w:ascii="Arial" w:hAnsi="Arial" w:cs="Arial"/>
                <w:b/>
                <w:bCs/>
                <w:color w:val="000000"/>
                <w:sz w:val="22"/>
                <w:szCs w:val="22"/>
              </w:rPr>
              <w:t>2024/25</w:t>
            </w:r>
          </w:p>
        </w:tc>
      </w:tr>
      <w:tr w:rsidR="00D8288C" w:rsidRPr="00D8288C" w14:paraId="6DF60B5F" w14:textId="77777777" w:rsidTr="000F7164">
        <w:trPr>
          <w:trHeight w:val="300"/>
        </w:trPr>
        <w:tc>
          <w:tcPr>
            <w:tcW w:w="5995" w:type="dxa"/>
            <w:tcBorders>
              <w:top w:val="nil"/>
              <w:left w:val="single" w:sz="8" w:space="0" w:color="auto"/>
              <w:bottom w:val="nil"/>
              <w:right w:val="nil"/>
            </w:tcBorders>
            <w:shd w:val="clear" w:color="000000" w:fill="CCCCCC"/>
            <w:vAlign w:val="center"/>
            <w:hideMark/>
          </w:tcPr>
          <w:p w14:paraId="266C9A30" w14:textId="77777777" w:rsidR="00D8288C" w:rsidRPr="00D8288C" w:rsidRDefault="00D8288C" w:rsidP="00D8288C">
            <w:pPr>
              <w:jc w:val="center"/>
              <w:rPr>
                <w:rFonts w:ascii="Arial" w:hAnsi="Arial" w:cs="Arial"/>
                <w:b/>
                <w:bCs/>
                <w:color w:val="000000"/>
                <w:sz w:val="22"/>
                <w:szCs w:val="22"/>
              </w:rPr>
            </w:pPr>
          </w:p>
        </w:tc>
        <w:tc>
          <w:tcPr>
            <w:tcW w:w="1791" w:type="dxa"/>
            <w:tcBorders>
              <w:top w:val="nil"/>
              <w:left w:val="nil"/>
              <w:bottom w:val="nil"/>
              <w:right w:val="single" w:sz="8" w:space="0" w:color="auto"/>
            </w:tcBorders>
            <w:shd w:val="clear" w:color="000000" w:fill="auto"/>
            <w:noWrap/>
            <w:vAlign w:val="center"/>
            <w:hideMark/>
          </w:tcPr>
          <w:p w14:paraId="2F63E992"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£000</w:t>
            </w:r>
          </w:p>
        </w:tc>
        <w:tc>
          <w:tcPr>
            <w:tcW w:w="1286" w:type="dxa"/>
            <w:tcBorders>
              <w:top w:val="nil"/>
              <w:left w:val="single" w:sz="8" w:space="0" w:color="auto"/>
              <w:bottom w:val="nil"/>
              <w:right w:val="single" w:sz="8" w:space="0" w:color="auto"/>
            </w:tcBorders>
            <w:shd w:val="clear" w:color="000000" w:fill="CCCCCC"/>
            <w:noWrap/>
            <w:vAlign w:val="center"/>
            <w:hideMark/>
          </w:tcPr>
          <w:p w14:paraId="2704607B"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£000</w:t>
            </w:r>
          </w:p>
        </w:tc>
      </w:tr>
      <w:tr w:rsidR="000F7164" w:rsidRPr="00D8288C" w14:paraId="30387573" w14:textId="77777777" w:rsidTr="000F7164">
        <w:trPr>
          <w:trHeight w:val="570"/>
        </w:trPr>
        <w:tc>
          <w:tcPr>
            <w:tcW w:w="5995" w:type="dxa"/>
            <w:tcBorders>
              <w:top w:val="nil"/>
              <w:left w:val="single" w:sz="8" w:space="0" w:color="auto"/>
              <w:bottom w:val="nil"/>
              <w:right w:val="nil"/>
            </w:tcBorders>
            <w:shd w:val="clear" w:color="000000" w:fill="CCCCCC"/>
            <w:vAlign w:val="center"/>
            <w:hideMark/>
          </w:tcPr>
          <w:p w14:paraId="131F40AA" w14:textId="77777777" w:rsidR="000F7164" w:rsidRPr="00D8288C" w:rsidRDefault="000F7164" w:rsidP="000F7164">
            <w:pPr>
              <w:rPr>
                <w:rFonts w:ascii="Arial" w:hAnsi="Arial" w:cs="Arial"/>
                <w:color w:val="000000"/>
                <w:sz w:val="22"/>
                <w:szCs w:val="22"/>
              </w:rPr>
            </w:pPr>
            <w:r w:rsidRPr="00D8288C">
              <w:rPr>
                <w:rFonts w:ascii="Arial" w:hAnsi="Arial" w:cs="Arial"/>
                <w:color w:val="000000"/>
                <w:sz w:val="22"/>
                <w:szCs w:val="22"/>
              </w:rPr>
              <w:t>Purchase of property, plant and equipment, investment property and intangible assets</w:t>
            </w:r>
          </w:p>
        </w:tc>
        <w:tc>
          <w:tcPr>
            <w:tcW w:w="1791" w:type="dxa"/>
            <w:tcBorders>
              <w:top w:val="nil"/>
              <w:left w:val="nil"/>
              <w:bottom w:val="nil"/>
              <w:right w:val="single" w:sz="8" w:space="0" w:color="auto"/>
            </w:tcBorders>
            <w:shd w:val="clear" w:color="000000" w:fill="auto"/>
            <w:vAlign w:val="center"/>
            <w:hideMark/>
          </w:tcPr>
          <w:p w14:paraId="310064B1" w14:textId="563ADC0A" w:rsidR="000F7164" w:rsidRPr="00D8288C" w:rsidRDefault="000F7164" w:rsidP="000F7164">
            <w:pPr>
              <w:jc w:val="right"/>
              <w:rPr>
                <w:rFonts w:ascii="Arial" w:hAnsi="Arial" w:cs="Arial"/>
                <w:color w:val="000000"/>
                <w:sz w:val="22"/>
                <w:szCs w:val="22"/>
              </w:rPr>
            </w:pPr>
            <w:r w:rsidRPr="00D8288C">
              <w:rPr>
                <w:rFonts w:ascii="Arial" w:hAnsi="Arial" w:cs="Arial"/>
                <w:color w:val="000000"/>
                <w:sz w:val="22"/>
                <w:szCs w:val="22"/>
              </w:rPr>
              <w:t>1</w:t>
            </w:r>
            <w:r>
              <w:rPr>
                <w:rFonts w:ascii="Arial" w:hAnsi="Arial" w:cs="Arial"/>
                <w:color w:val="000000"/>
                <w:sz w:val="22"/>
                <w:szCs w:val="22"/>
              </w:rPr>
              <w:t>9</w:t>
            </w:r>
            <w:r w:rsidRPr="00D8288C">
              <w:rPr>
                <w:rFonts w:ascii="Arial" w:hAnsi="Arial" w:cs="Arial"/>
                <w:color w:val="000000"/>
                <w:sz w:val="22"/>
                <w:szCs w:val="22"/>
              </w:rPr>
              <w:t>,</w:t>
            </w:r>
            <w:r>
              <w:rPr>
                <w:rFonts w:ascii="Arial" w:hAnsi="Arial" w:cs="Arial"/>
                <w:color w:val="000000"/>
                <w:sz w:val="22"/>
                <w:szCs w:val="22"/>
              </w:rPr>
              <w:t>894</w:t>
            </w:r>
          </w:p>
        </w:tc>
        <w:tc>
          <w:tcPr>
            <w:tcW w:w="1286" w:type="dxa"/>
            <w:tcBorders>
              <w:top w:val="nil"/>
              <w:left w:val="single" w:sz="8" w:space="0" w:color="auto"/>
              <w:bottom w:val="nil"/>
              <w:right w:val="single" w:sz="8" w:space="0" w:color="auto"/>
            </w:tcBorders>
            <w:shd w:val="clear" w:color="000000" w:fill="CCCCCC"/>
            <w:vAlign w:val="center"/>
            <w:hideMark/>
          </w:tcPr>
          <w:p w14:paraId="7723B735" w14:textId="7DFE20E7"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30,783</w:t>
            </w:r>
          </w:p>
        </w:tc>
      </w:tr>
      <w:tr w:rsidR="000F7164" w:rsidRPr="00D8288C" w14:paraId="11D93D2B" w14:textId="77777777" w:rsidTr="000F7164">
        <w:trPr>
          <w:trHeight w:val="855"/>
        </w:trPr>
        <w:tc>
          <w:tcPr>
            <w:tcW w:w="5995" w:type="dxa"/>
            <w:tcBorders>
              <w:top w:val="nil"/>
              <w:left w:val="single" w:sz="8" w:space="0" w:color="auto"/>
              <w:bottom w:val="nil"/>
              <w:right w:val="nil"/>
            </w:tcBorders>
            <w:shd w:val="clear" w:color="000000" w:fill="CCCCCC"/>
            <w:vAlign w:val="center"/>
            <w:hideMark/>
          </w:tcPr>
          <w:p w14:paraId="00FE86BC" w14:textId="77777777" w:rsidR="000F7164" w:rsidRPr="00D8288C" w:rsidRDefault="000F7164" w:rsidP="000F7164">
            <w:pPr>
              <w:rPr>
                <w:rFonts w:ascii="Arial" w:hAnsi="Arial" w:cs="Arial"/>
                <w:color w:val="000000"/>
                <w:sz w:val="22"/>
                <w:szCs w:val="22"/>
              </w:rPr>
            </w:pPr>
            <w:r w:rsidRPr="00D8288C">
              <w:rPr>
                <w:rFonts w:ascii="Arial" w:hAnsi="Arial" w:cs="Arial"/>
                <w:color w:val="000000"/>
                <w:sz w:val="22"/>
                <w:szCs w:val="22"/>
              </w:rPr>
              <w:t>Proceeds from sale of property, plant and equipment, investments property and intangible assets</w:t>
            </w:r>
          </w:p>
        </w:tc>
        <w:tc>
          <w:tcPr>
            <w:tcW w:w="1791" w:type="dxa"/>
            <w:tcBorders>
              <w:top w:val="nil"/>
              <w:left w:val="nil"/>
              <w:bottom w:val="nil"/>
              <w:right w:val="single" w:sz="8" w:space="0" w:color="auto"/>
            </w:tcBorders>
            <w:shd w:val="clear" w:color="000000" w:fill="auto"/>
            <w:vAlign w:val="center"/>
            <w:hideMark/>
          </w:tcPr>
          <w:p w14:paraId="3F83987D" w14:textId="018A560C"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0</w:t>
            </w:r>
          </w:p>
        </w:tc>
        <w:tc>
          <w:tcPr>
            <w:tcW w:w="1286" w:type="dxa"/>
            <w:tcBorders>
              <w:top w:val="nil"/>
              <w:left w:val="single" w:sz="8" w:space="0" w:color="auto"/>
              <w:bottom w:val="nil"/>
              <w:right w:val="single" w:sz="8" w:space="0" w:color="auto"/>
            </w:tcBorders>
            <w:shd w:val="clear" w:color="000000" w:fill="CCCCCC"/>
            <w:vAlign w:val="center"/>
            <w:hideMark/>
          </w:tcPr>
          <w:p w14:paraId="367DC41C" w14:textId="7771B793"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(91)</w:t>
            </w:r>
          </w:p>
        </w:tc>
      </w:tr>
      <w:tr w:rsidR="000F7164" w:rsidRPr="00D8288C" w14:paraId="6972CE1F" w14:textId="77777777" w:rsidTr="000F7164">
        <w:trPr>
          <w:trHeight w:val="300"/>
        </w:trPr>
        <w:tc>
          <w:tcPr>
            <w:tcW w:w="5995" w:type="dxa"/>
            <w:tcBorders>
              <w:top w:val="nil"/>
              <w:left w:val="single" w:sz="8" w:space="0" w:color="auto"/>
              <w:bottom w:val="nil"/>
              <w:right w:val="nil"/>
            </w:tcBorders>
            <w:shd w:val="clear" w:color="000000" w:fill="CCCCCC"/>
            <w:vAlign w:val="center"/>
            <w:hideMark/>
          </w:tcPr>
          <w:p w14:paraId="560C49AD" w14:textId="77777777" w:rsidR="000F7164" w:rsidRPr="00D8288C" w:rsidRDefault="000F7164" w:rsidP="000F7164">
            <w:pPr>
              <w:rPr>
                <w:rFonts w:ascii="Arial" w:hAnsi="Arial" w:cs="Arial"/>
                <w:color w:val="000000"/>
                <w:sz w:val="22"/>
                <w:szCs w:val="22"/>
              </w:rPr>
            </w:pPr>
            <w:r w:rsidRPr="00D8288C">
              <w:rPr>
                <w:rFonts w:ascii="Arial" w:hAnsi="Arial" w:cs="Arial"/>
                <w:color w:val="000000"/>
                <w:sz w:val="22"/>
                <w:szCs w:val="22"/>
              </w:rPr>
              <w:t>Purchase of short-term investments</w:t>
            </w:r>
          </w:p>
        </w:tc>
        <w:tc>
          <w:tcPr>
            <w:tcW w:w="1791" w:type="dxa"/>
            <w:tcBorders>
              <w:top w:val="nil"/>
              <w:left w:val="nil"/>
              <w:bottom w:val="nil"/>
              <w:right w:val="single" w:sz="8" w:space="0" w:color="auto"/>
            </w:tcBorders>
            <w:shd w:val="clear" w:color="000000" w:fill="auto"/>
            <w:vAlign w:val="center"/>
            <w:hideMark/>
          </w:tcPr>
          <w:p w14:paraId="30734E63" w14:textId="18E5BADE"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25</w:t>
            </w:r>
            <w:r w:rsidRPr="00D8288C">
              <w:rPr>
                <w:rFonts w:ascii="Arial" w:hAnsi="Arial" w:cs="Arial"/>
                <w:color w:val="000000"/>
                <w:sz w:val="22"/>
                <w:szCs w:val="22"/>
              </w:rPr>
              <w:t>,000</w:t>
            </w:r>
          </w:p>
        </w:tc>
        <w:tc>
          <w:tcPr>
            <w:tcW w:w="1286" w:type="dxa"/>
            <w:tcBorders>
              <w:top w:val="nil"/>
              <w:left w:val="single" w:sz="8" w:space="0" w:color="auto"/>
              <w:bottom w:val="nil"/>
              <w:right w:val="single" w:sz="8" w:space="0" w:color="auto"/>
            </w:tcBorders>
            <w:shd w:val="clear" w:color="000000" w:fill="CCCCCC"/>
            <w:vAlign w:val="center"/>
            <w:hideMark/>
          </w:tcPr>
          <w:p w14:paraId="5292EBF4" w14:textId="6D543C9C"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(15,000)</w:t>
            </w:r>
          </w:p>
        </w:tc>
      </w:tr>
      <w:tr w:rsidR="000F7164" w:rsidRPr="00D8288C" w14:paraId="75F251DC" w14:textId="77777777" w:rsidTr="000F7164">
        <w:trPr>
          <w:trHeight w:val="300"/>
        </w:trPr>
        <w:tc>
          <w:tcPr>
            <w:tcW w:w="5995" w:type="dxa"/>
            <w:tcBorders>
              <w:top w:val="nil"/>
              <w:left w:val="single" w:sz="8" w:space="0" w:color="auto"/>
              <w:bottom w:val="nil"/>
              <w:right w:val="nil"/>
            </w:tcBorders>
            <w:shd w:val="clear" w:color="000000" w:fill="CCCCCC"/>
            <w:vAlign w:val="center"/>
            <w:hideMark/>
          </w:tcPr>
          <w:p w14:paraId="745A7D56" w14:textId="77777777" w:rsidR="000F7164" w:rsidRPr="00D8288C" w:rsidRDefault="000F7164" w:rsidP="000F7164">
            <w:pPr>
              <w:rPr>
                <w:rFonts w:ascii="Arial" w:hAnsi="Arial" w:cs="Arial"/>
                <w:color w:val="000000"/>
                <w:sz w:val="22"/>
                <w:szCs w:val="22"/>
              </w:rPr>
            </w:pPr>
            <w:r w:rsidRPr="00D8288C">
              <w:rPr>
                <w:rFonts w:ascii="Arial" w:hAnsi="Arial" w:cs="Arial"/>
                <w:color w:val="000000"/>
                <w:sz w:val="22"/>
                <w:szCs w:val="22"/>
              </w:rPr>
              <w:t>Proceeds from disposal of short-term investments</w:t>
            </w:r>
          </w:p>
        </w:tc>
        <w:tc>
          <w:tcPr>
            <w:tcW w:w="1791" w:type="dxa"/>
            <w:tcBorders>
              <w:top w:val="nil"/>
              <w:left w:val="nil"/>
              <w:bottom w:val="nil"/>
              <w:right w:val="single" w:sz="8" w:space="0" w:color="auto"/>
            </w:tcBorders>
            <w:shd w:val="clear" w:color="000000" w:fill="auto"/>
            <w:vAlign w:val="center"/>
            <w:hideMark/>
          </w:tcPr>
          <w:p w14:paraId="4E8732AB" w14:textId="3BD1951F" w:rsidR="000F7164" w:rsidRPr="00D8288C" w:rsidRDefault="000F7164" w:rsidP="000F7164">
            <w:pPr>
              <w:jc w:val="right"/>
              <w:rPr>
                <w:rFonts w:ascii="Arial" w:hAnsi="Arial" w:cs="Arial"/>
                <w:color w:val="000000"/>
                <w:sz w:val="22"/>
                <w:szCs w:val="22"/>
              </w:rPr>
            </w:pPr>
            <w:r w:rsidRPr="00D8288C">
              <w:rPr>
                <w:rFonts w:ascii="Arial" w:hAnsi="Arial" w:cs="Arial"/>
                <w:color w:val="000000"/>
                <w:sz w:val="22"/>
                <w:szCs w:val="22"/>
              </w:rPr>
              <w:t>(</w:t>
            </w:r>
            <w:r>
              <w:rPr>
                <w:rFonts w:ascii="Arial" w:hAnsi="Arial" w:cs="Arial"/>
                <w:color w:val="000000"/>
                <w:sz w:val="22"/>
                <w:szCs w:val="22"/>
              </w:rPr>
              <w:t>25</w:t>
            </w:r>
            <w:r w:rsidRPr="00D8288C">
              <w:rPr>
                <w:rFonts w:ascii="Arial" w:hAnsi="Arial" w:cs="Arial"/>
                <w:color w:val="000000"/>
                <w:sz w:val="22"/>
                <w:szCs w:val="22"/>
              </w:rPr>
              <w:t>,000)</w:t>
            </w:r>
          </w:p>
        </w:tc>
        <w:tc>
          <w:tcPr>
            <w:tcW w:w="1286" w:type="dxa"/>
            <w:tcBorders>
              <w:top w:val="nil"/>
              <w:left w:val="single" w:sz="8" w:space="0" w:color="auto"/>
              <w:bottom w:val="nil"/>
              <w:right w:val="single" w:sz="8" w:space="0" w:color="auto"/>
            </w:tcBorders>
            <w:shd w:val="clear" w:color="000000" w:fill="CCCCCC"/>
            <w:vAlign w:val="center"/>
            <w:hideMark/>
          </w:tcPr>
          <w:p w14:paraId="33AFAFA6" w14:textId="27DB0D4C"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15,000</w:t>
            </w:r>
          </w:p>
        </w:tc>
      </w:tr>
      <w:tr w:rsidR="000F7164" w:rsidRPr="00D8288C" w14:paraId="272D76EA" w14:textId="77777777" w:rsidTr="000F7164">
        <w:trPr>
          <w:trHeight w:val="315"/>
        </w:trPr>
        <w:tc>
          <w:tcPr>
            <w:tcW w:w="5995" w:type="dxa"/>
            <w:tcBorders>
              <w:top w:val="nil"/>
              <w:left w:val="single" w:sz="8" w:space="0" w:color="auto"/>
              <w:bottom w:val="nil"/>
              <w:right w:val="nil"/>
            </w:tcBorders>
            <w:shd w:val="clear" w:color="000000" w:fill="CCCCCC"/>
            <w:vAlign w:val="center"/>
            <w:hideMark/>
          </w:tcPr>
          <w:p w14:paraId="6C3B6DF7" w14:textId="77777777" w:rsidR="000F7164" w:rsidRPr="00D8288C" w:rsidRDefault="000F7164" w:rsidP="000F7164">
            <w:pPr>
              <w:rPr>
                <w:rFonts w:ascii="Arial" w:hAnsi="Arial" w:cs="Arial"/>
                <w:color w:val="000000"/>
                <w:sz w:val="22"/>
                <w:szCs w:val="22"/>
              </w:rPr>
            </w:pPr>
            <w:r w:rsidRPr="00D8288C">
              <w:rPr>
                <w:rFonts w:ascii="Arial" w:hAnsi="Arial" w:cs="Arial"/>
                <w:color w:val="000000"/>
                <w:sz w:val="22"/>
                <w:szCs w:val="22"/>
              </w:rPr>
              <w:t>Other receipts from investing activities</w:t>
            </w:r>
          </w:p>
        </w:tc>
        <w:tc>
          <w:tcPr>
            <w:tcW w:w="1791" w:type="dxa"/>
            <w:tcBorders>
              <w:top w:val="nil"/>
              <w:left w:val="nil"/>
              <w:bottom w:val="single" w:sz="8" w:space="0" w:color="auto"/>
              <w:right w:val="single" w:sz="8" w:space="0" w:color="auto"/>
            </w:tcBorders>
            <w:shd w:val="clear" w:color="000000" w:fill="auto"/>
            <w:vAlign w:val="center"/>
            <w:hideMark/>
          </w:tcPr>
          <w:p w14:paraId="3EF67F1D" w14:textId="193BEE78" w:rsidR="000F7164" w:rsidRPr="00D8288C" w:rsidRDefault="000F7164" w:rsidP="000F7164">
            <w:pPr>
              <w:jc w:val="right"/>
              <w:rPr>
                <w:rFonts w:ascii="Arial" w:hAnsi="Arial" w:cs="Arial"/>
                <w:color w:val="000000"/>
                <w:sz w:val="22"/>
                <w:szCs w:val="22"/>
              </w:rPr>
            </w:pPr>
            <w:r w:rsidRPr="00D8288C">
              <w:rPr>
                <w:rFonts w:ascii="Arial" w:hAnsi="Arial" w:cs="Arial"/>
                <w:color w:val="000000"/>
                <w:sz w:val="22"/>
                <w:szCs w:val="22"/>
              </w:rPr>
              <w:t>(</w:t>
            </w:r>
            <w:r>
              <w:rPr>
                <w:rFonts w:ascii="Arial" w:hAnsi="Arial" w:cs="Arial"/>
                <w:color w:val="000000"/>
                <w:sz w:val="22"/>
                <w:szCs w:val="22"/>
              </w:rPr>
              <w:t>230</w:t>
            </w:r>
            <w:r w:rsidRPr="00D8288C">
              <w:rPr>
                <w:rFonts w:ascii="Arial" w:hAnsi="Arial" w:cs="Arial"/>
                <w:color w:val="000000"/>
                <w:sz w:val="22"/>
                <w:szCs w:val="22"/>
              </w:rPr>
              <w:t>)</w:t>
            </w:r>
          </w:p>
        </w:tc>
        <w:tc>
          <w:tcPr>
            <w:tcW w:w="1286" w:type="dxa"/>
            <w:tcBorders>
              <w:top w:val="nil"/>
              <w:left w:val="single" w:sz="8" w:space="0" w:color="auto"/>
              <w:bottom w:val="single" w:sz="8" w:space="0" w:color="auto"/>
              <w:right w:val="single" w:sz="8" w:space="0" w:color="auto"/>
            </w:tcBorders>
            <w:shd w:val="clear" w:color="000000" w:fill="CCCCCC"/>
            <w:vAlign w:val="center"/>
            <w:hideMark/>
          </w:tcPr>
          <w:p w14:paraId="1177420C" w14:textId="3D29C9A8" w:rsidR="000F7164" w:rsidRPr="00D8288C" w:rsidRDefault="000F7164" w:rsidP="000F7164">
            <w:pPr>
              <w:jc w:val="right"/>
              <w:rPr>
                <w:rFonts w:ascii="Arial" w:hAnsi="Arial" w:cs="Arial"/>
                <w:color w:val="000000"/>
                <w:sz w:val="22"/>
                <w:szCs w:val="22"/>
              </w:rPr>
            </w:pPr>
            <w:r>
              <w:rPr>
                <w:rFonts w:ascii="Arial" w:hAnsi="Arial" w:cs="Arial"/>
                <w:color w:val="000000"/>
                <w:sz w:val="22"/>
                <w:szCs w:val="22"/>
              </w:rPr>
              <w:t>(129)</w:t>
            </w:r>
          </w:p>
        </w:tc>
      </w:tr>
      <w:tr w:rsidR="000F7164" w:rsidRPr="00D8288C" w14:paraId="1BB91118" w14:textId="77777777" w:rsidTr="000F7164">
        <w:trPr>
          <w:trHeight w:val="615"/>
        </w:trPr>
        <w:tc>
          <w:tcPr>
            <w:tcW w:w="5995" w:type="dxa"/>
            <w:tcBorders>
              <w:top w:val="nil"/>
              <w:left w:val="single" w:sz="8" w:space="0" w:color="auto"/>
              <w:bottom w:val="single" w:sz="8" w:space="0" w:color="auto"/>
              <w:right w:val="nil"/>
            </w:tcBorders>
            <w:shd w:val="clear" w:color="000000" w:fill="CCCCCC"/>
            <w:vAlign w:val="center"/>
            <w:hideMark/>
          </w:tcPr>
          <w:p w14:paraId="1637BD76" w14:textId="77777777" w:rsidR="000F7164" w:rsidRPr="00D8288C" w:rsidRDefault="000F7164" w:rsidP="000F7164">
            <w:pPr>
              <w:rPr>
                <w:rFonts w:ascii="Arial" w:hAnsi="Arial" w:cs="Arial"/>
                <w:b/>
                <w:bCs/>
                <w:color w:val="000000"/>
                <w:sz w:val="22"/>
                <w:szCs w:val="22"/>
              </w:rPr>
            </w:pPr>
            <w:r w:rsidRPr="00D8288C">
              <w:rPr>
                <w:rFonts w:ascii="Arial" w:hAnsi="Arial" w:cs="Arial"/>
                <w:b/>
                <w:bCs/>
                <w:color w:val="000000"/>
                <w:sz w:val="22"/>
                <w:szCs w:val="22"/>
              </w:rPr>
              <w:t xml:space="preserve">Net cash outflows/(inflows) from investing activities </w:t>
            </w:r>
          </w:p>
        </w:tc>
        <w:tc>
          <w:tcPr>
            <w:tcW w:w="1791" w:type="dxa"/>
            <w:tcBorders>
              <w:top w:val="nil"/>
              <w:left w:val="nil"/>
              <w:bottom w:val="single" w:sz="8" w:space="0" w:color="auto"/>
              <w:right w:val="single" w:sz="8" w:space="0" w:color="auto"/>
            </w:tcBorders>
            <w:shd w:val="clear" w:color="000000" w:fill="auto"/>
            <w:vAlign w:val="center"/>
            <w:hideMark/>
          </w:tcPr>
          <w:p w14:paraId="736C1229" w14:textId="1F3FAAE2" w:rsidR="000F7164" w:rsidRPr="00D8288C" w:rsidRDefault="000F7164" w:rsidP="000F7164">
            <w:pPr>
              <w:jc w:val="right"/>
              <w:rPr>
                <w:rFonts w:ascii="Arial" w:hAnsi="Arial" w:cs="Arial"/>
                <w:b/>
                <w:bCs/>
                <w:color w:val="000000"/>
                <w:sz w:val="22"/>
                <w:szCs w:val="22"/>
              </w:rPr>
            </w:pPr>
            <w:r w:rsidRPr="00D8288C">
              <w:rPr>
                <w:rFonts w:ascii="Arial" w:hAnsi="Arial" w:cs="Arial"/>
                <w:b/>
                <w:bCs/>
                <w:color w:val="000000"/>
                <w:sz w:val="22"/>
                <w:szCs w:val="22"/>
              </w:rPr>
              <w:t>1</w:t>
            </w:r>
            <w:r>
              <w:rPr>
                <w:rFonts w:ascii="Arial" w:hAnsi="Arial" w:cs="Arial"/>
                <w:b/>
                <w:bCs/>
                <w:color w:val="000000"/>
                <w:sz w:val="22"/>
                <w:szCs w:val="22"/>
              </w:rPr>
              <w:t>9</w:t>
            </w:r>
            <w:r w:rsidRPr="00D8288C">
              <w:rPr>
                <w:rFonts w:ascii="Arial" w:hAnsi="Arial" w:cs="Arial"/>
                <w:b/>
                <w:bCs/>
                <w:color w:val="000000"/>
                <w:sz w:val="22"/>
                <w:szCs w:val="22"/>
              </w:rPr>
              <w:t>,</w:t>
            </w:r>
            <w:r>
              <w:rPr>
                <w:rFonts w:ascii="Arial" w:hAnsi="Arial" w:cs="Arial"/>
                <w:b/>
                <w:bCs/>
                <w:color w:val="000000"/>
                <w:sz w:val="22"/>
                <w:szCs w:val="22"/>
              </w:rPr>
              <w:t>664</w:t>
            </w:r>
          </w:p>
        </w:tc>
        <w:tc>
          <w:tcPr>
            <w:tcW w:w="1286" w:type="dxa"/>
            <w:tcBorders>
              <w:top w:val="nil"/>
              <w:left w:val="single" w:sz="8" w:space="0" w:color="auto"/>
              <w:bottom w:val="single" w:sz="8" w:space="0" w:color="auto"/>
              <w:right w:val="single" w:sz="8" w:space="0" w:color="auto"/>
            </w:tcBorders>
            <w:shd w:val="clear" w:color="000000" w:fill="CCCCCC"/>
            <w:vAlign w:val="center"/>
            <w:hideMark/>
          </w:tcPr>
          <w:p w14:paraId="140194E0" w14:textId="711F3250" w:rsidR="000F7164" w:rsidRPr="00D8288C" w:rsidRDefault="000F7164" w:rsidP="000F7164">
            <w:pPr>
              <w:jc w:val="right"/>
              <w:rPr>
                <w:rFonts w:ascii="Arial" w:hAnsi="Arial" w:cs="Arial"/>
                <w:b/>
                <w:bCs/>
                <w:color w:val="000000"/>
                <w:sz w:val="22"/>
                <w:szCs w:val="22"/>
              </w:rPr>
            </w:pPr>
            <w:r>
              <w:rPr>
                <w:rFonts w:ascii="Arial" w:hAnsi="Arial" w:cs="Arial"/>
                <w:b/>
                <w:bCs/>
                <w:color w:val="000000"/>
                <w:sz w:val="22"/>
                <w:szCs w:val="22"/>
              </w:rPr>
              <w:t>30,563</w:t>
            </w:r>
          </w:p>
        </w:tc>
      </w:tr>
    </w:tbl>
    <w:p w14:paraId="4423975B" w14:textId="11EA6A81" w:rsidR="00997F7C" w:rsidRDefault="00997F7C">
      <w:pPr>
        <w:rPr>
          <w:rFonts w:ascii="Arial" w:hAnsi="Arial"/>
          <w:b/>
          <w:sz w:val="22"/>
          <w:szCs w:val="22"/>
        </w:rPr>
      </w:pPr>
    </w:p>
    <w:p w14:paraId="11EE66DF" w14:textId="02BDBDB6" w:rsidR="003B74DA" w:rsidRDefault="003B74DA" w:rsidP="003B74DA">
      <w:pPr>
        <w:numPr>
          <w:ilvl w:val="0"/>
          <w:numId w:val="1"/>
        </w:numPr>
        <w:tabs>
          <w:tab w:val="clear" w:pos="720"/>
          <w:tab w:val="num" w:pos="426"/>
          <w:tab w:val="right" w:pos="5760"/>
        </w:tabs>
        <w:rPr>
          <w:rFonts w:ascii="Arial" w:hAnsi="Arial"/>
          <w:b/>
          <w:sz w:val="22"/>
          <w:szCs w:val="22"/>
        </w:rPr>
      </w:pPr>
      <w:r w:rsidRPr="00AD4E52">
        <w:rPr>
          <w:rFonts w:ascii="Arial" w:hAnsi="Arial"/>
          <w:b/>
          <w:sz w:val="22"/>
          <w:szCs w:val="22"/>
        </w:rPr>
        <w:t>Cash Flow Statement – Cash Flows from Financing Activities</w:t>
      </w:r>
    </w:p>
    <w:p w14:paraId="57A8CA9A" w14:textId="77777777" w:rsidR="00232841" w:rsidRPr="00AD4E52" w:rsidRDefault="00232841" w:rsidP="008A5600">
      <w:pPr>
        <w:tabs>
          <w:tab w:val="right" w:pos="5760"/>
        </w:tabs>
        <w:rPr>
          <w:rFonts w:ascii="Arial" w:hAnsi="Arial"/>
          <w:b/>
          <w:sz w:val="22"/>
          <w:szCs w:val="22"/>
        </w:rPr>
      </w:pPr>
    </w:p>
    <w:tbl>
      <w:tblPr>
        <w:tblW w:w="7900" w:type="dxa"/>
        <w:tblCellMar>
          <w:top w:w="15" w:type="dxa"/>
          <w:bottom w:w="15" w:type="dxa"/>
        </w:tblCellMar>
        <w:tblLook w:val="04A0" w:firstRow="1" w:lastRow="0" w:firstColumn="1" w:lastColumn="0" w:noHBand="0" w:noVBand="1"/>
      </w:tblPr>
      <w:tblGrid>
        <w:gridCol w:w="5220"/>
        <w:gridCol w:w="1560"/>
        <w:gridCol w:w="1120"/>
      </w:tblGrid>
      <w:tr w:rsidR="00D8288C" w:rsidRPr="00D8288C" w14:paraId="2FE94A13" w14:textId="77777777" w:rsidTr="00D8288C">
        <w:trPr>
          <w:trHeight w:val="300"/>
        </w:trPr>
        <w:tc>
          <w:tcPr>
            <w:tcW w:w="5220" w:type="dxa"/>
            <w:tcBorders>
              <w:top w:val="single" w:sz="8" w:space="0" w:color="auto"/>
              <w:left w:val="single" w:sz="8" w:space="0" w:color="auto"/>
              <w:bottom w:val="nil"/>
              <w:right w:val="nil"/>
            </w:tcBorders>
            <w:shd w:val="clear" w:color="000000" w:fill="CCCCCC"/>
            <w:vAlign w:val="center"/>
            <w:hideMark/>
          </w:tcPr>
          <w:p w14:paraId="333BAD59" w14:textId="77777777" w:rsidR="00D8288C" w:rsidRPr="00D8288C" w:rsidRDefault="00D8288C" w:rsidP="00D8288C">
            <w:pPr>
              <w:rPr>
                <w:sz w:val="24"/>
                <w:szCs w:val="24"/>
              </w:rPr>
            </w:pPr>
          </w:p>
        </w:tc>
        <w:tc>
          <w:tcPr>
            <w:tcW w:w="2680" w:type="dxa"/>
            <w:gridSpan w:val="2"/>
            <w:tcBorders>
              <w:top w:val="single" w:sz="8" w:space="0" w:color="auto"/>
              <w:left w:val="nil"/>
              <w:bottom w:val="nil"/>
              <w:right w:val="nil"/>
            </w:tcBorders>
            <w:shd w:val="clear" w:color="000000" w:fill="CCCCCC"/>
            <w:vAlign w:val="center"/>
            <w:hideMark/>
          </w:tcPr>
          <w:p w14:paraId="1375F94A"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PCC/PCC GROUP</w:t>
            </w:r>
          </w:p>
        </w:tc>
      </w:tr>
      <w:tr w:rsidR="00D8288C" w:rsidRPr="00D8288C" w14:paraId="03975A94" w14:textId="77777777" w:rsidTr="00D8288C">
        <w:trPr>
          <w:trHeight w:val="300"/>
        </w:trPr>
        <w:tc>
          <w:tcPr>
            <w:tcW w:w="5220" w:type="dxa"/>
            <w:tcBorders>
              <w:top w:val="nil"/>
              <w:left w:val="single" w:sz="8" w:space="0" w:color="auto"/>
              <w:bottom w:val="nil"/>
              <w:right w:val="nil"/>
            </w:tcBorders>
            <w:shd w:val="clear" w:color="000000" w:fill="CCCCCC"/>
            <w:vAlign w:val="center"/>
            <w:hideMark/>
          </w:tcPr>
          <w:p w14:paraId="23CB8B9A" w14:textId="77777777" w:rsidR="00D8288C" w:rsidRPr="00D8288C" w:rsidRDefault="00D8288C" w:rsidP="00D8288C">
            <w:pPr>
              <w:jc w:val="center"/>
              <w:rPr>
                <w:rFonts w:ascii="Arial" w:hAnsi="Arial" w:cs="Arial"/>
                <w:b/>
                <w:bCs/>
                <w:color w:val="000000"/>
                <w:sz w:val="22"/>
                <w:szCs w:val="22"/>
              </w:rPr>
            </w:pPr>
          </w:p>
        </w:tc>
        <w:tc>
          <w:tcPr>
            <w:tcW w:w="1560" w:type="dxa"/>
            <w:tcBorders>
              <w:top w:val="nil"/>
              <w:left w:val="nil"/>
              <w:bottom w:val="nil"/>
              <w:right w:val="nil"/>
            </w:tcBorders>
            <w:vAlign w:val="center"/>
            <w:hideMark/>
          </w:tcPr>
          <w:p w14:paraId="52B75E79" w14:textId="20E24543" w:rsidR="00D8288C" w:rsidRPr="00D8288C" w:rsidRDefault="00C37E7F" w:rsidP="00D8288C">
            <w:pPr>
              <w:jc w:val="center"/>
              <w:rPr>
                <w:rFonts w:ascii="Arial" w:hAnsi="Arial" w:cs="Arial"/>
                <w:b/>
                <w:bCs/>
                <w:color w:val="000000"/>
                <w:sz w:val="22"/>
                <w:szCs w:val="22"/>
              </w:rPr>
            </w:pPr>
            <w:r>
              <w:rPr>
                <w:rFonts w:ascii="Arial" w:hAnsi="Arial" w:cs="Arial"/>
                <w:b/>
                <w:bCs/>
                <w:color w:val="000000"/>
                <w:sz w:val="22"/>
                <w:szCs w:val="22"/>
              </w:rPr>
              <w:t>2023/24</w:t>
            </w:r>
          </w:p>
        </w:tc>
        <w:tc>
          <w:tcPr>
            <w:tcW w:w="1120" w:type="dxa"/>
            <w:tcBorders>
              <w:top w:val="nil"/>
              <w:left w:val="single" w:sz="8" w:space="0" w:color="auto"/>
              <w:bottom w:val="nil"/>
              <w:right w:val="single" w:sz="8" w:space="0" w:color="auto"/>
            </w:tcBorders>
            <w:shd w:val="clear" w:color="000000" w:fill="CCCCCC"/>
            <w:vAlign w:val="center"/>
            <w:hideMark/>
          </w:tcPr>
          <w:p w14:paraId="5FB02564" w14:textId="1061A338" w:rsidR="00D8288C" w:rsidRPr="00D8288C" w:rsidRDefault="00C37E7F" w:rsidP="00D8288C">
            <w:pPr>
              <w:jc w:val="center"/>
              <w:rPr>
                <w:rFonts w:ascii="Arial" w:hAnsi="Arial" w:cs="Arial"/>
                <w:b/>
                <w:bCs/>
                <w:color w:val="000000"/>
                <w:sz w:val="22"/>
                <w:szCs w:val="22"/>
              </w:rPr>
            </w:pPr>
            <w:r>
              <w:rPr>
                <w:rFonts w:ascii="Arial" w:hAnsi="Arial" w:cs="Arial"/>
                <w:b/>
                <w:bCs/>
                <w:color w:val="000000"/>
                <w:sz w:val="22"/>
                <w:szCs w:val="22"/>
              </w:rPr>
              <w:t>2024/25</w:t>
            </w:r>
          </w:p>
        </w:tc>
      </w:tr>
      <w:tr w:rsidR="00D8288C" w:rsidRPr="00D8288C" w14:paraId="24119A60" w14:textId="77777777" w:rsidTr="00D8288C">
        <w:trPr>
          <w:trHeight w:val="300"/>
        </w:trPr>
        <w:tc>
          <w:tcPr>
            <w:tcW w:w="5220" w:type="dxa"/>
            <w:tcBorders>
              <w:top w:val="nil"/>
              <w:left w:val="single" w:sz="8" w:space="0" w:color="auto"/>
              <w:bottom w:val="nil"/>
              <w:right w:val="nil"/>
            </w:tcBorders>
            <w:shd w:val="clear" w:color="000000" w:fill="CCCCCC"/>
            <w:vAlign w:val="center"/>
            <w:hideMark/>
          </w:tcPr>
          <w:p w14:paraId="607A8CCC" w14:textId="77777777" w:rsidR="00D8288C" w:rsidRPr="00D8288C" w:rsidRDefault="00D8288C" w:rsidP="00D8288C">
            <w:pPr>
              <w:jc w:val="center"/>
              <w:rPr>
                <w:rFonts w:ascii="Arial" w:hAnsi="Arial" w:cs="Arial"/>
                <w:b/>
                <w:bCs/>
                <w:color w:val="000000"/>
                <w:sz w:val="22"/>
                <w:szCs w:val="22"/>
              </w:rPr>
            </w:pPr>
          </w:p>
        </w:tc>
        <w:tc>
          <w:tcPr>
            <w:tcW w:w="1560" w:type="dxa"/>
            <w:tcBorders>
              <w:top w:val="nil"/>
              <w:left w:val="nil"/>
              <w:bottom w:val="nil"/>
              <w:right w:val="nil"/>
            </w:tcBorders>
            <w:noWrap/>
            <w:vAlign w:val="center"/>
            <w:hideMark/>
          </w:tcPr>
          <w:p w14:paraId="58784E51"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£000</w:t>
            </w:r>
          </w:p>
        </w:tc>
        <w:tc>
          <w:tcPr>
            <w:tcW w:w="1120" w:type="dxa"/>
            <w:tcBorders>
              <w:top w:val="nil"/>
              <w:left w:val="single" w:sz="8" w:space="0" w:color="auto"/>
              <w:bottom w:val="nil"/>
              <w:right w:val="single" w:sz="8" w:space="0" w:color="auto"/>
            </w:tcBorders>
            <w:shd w:val="clear" w:color="000000" w:fill="CCCCCC"/>
            <w:vAlign w:val="center"/>
            <w:hideMark/>
          </w:tcPr>
          <w:p w14:paraId="1A615BF6" w14:textId="77777777" w:rsidR="00D8288C" w:rsidRPr="00D8288C" w:rsidRDefault="00D8288C" w:rsidP="00D8288C">
            <w:pPr>
              <w:jc w:val="center"/>
              <w:rPr>
                <w:rFonts w:ascii="Arial" w:hAnsi="Arial" w:cs="Arial"/>
                <w:b/>
                <w:bCs/>
                <w:color w:val="000000"/>
                <w:sz w:val="22"/>
                <w:szCs w:val="22"/>
              </w:rPr>
            </w:pPr>
            <w:r w:rsidRPr="00D8288C">
              <w:rPr>
                <w:rFonts w:ascii="Arial" w:hAnsi="Arial" w:cs="Arial"/>
                <w:b/>
                <w:bCs/>
                <w:color w:val="000000"/>
                <w:sz w:val="22"/>
                <w:szCs w:val="22"/>
              </w:rPr>
              <w:t>£000</w:t>
            </w:r>
          </w:p>
        </w:tc>
      </w:tr>
      <w:tr w:rsidR="00375E6F" w:rsidRPr="00D8288C" w14:paraId="6D2A4C1A" w14:textId="77777777" w:rsidTr="00D8288C">
        <w:trPr>
          <w:trHeight w:val="300"/>
        </w:trPr>
        <w:tc>
          <w:tcPr>
            <w:tcW w:w="5220" w:type="dxa"/>
            <w:tcBorders>
              <w:top w:val="nil"/>
              <w:left w:val="single" w:sz="8" w:space="0" w:color="auto"/>
              <w:bottom w:val="nil"/>
              <w:right w:val="nil"/>
            </w:tcBorders>
            <w:shd w:val="clear" w:color="000000" w:fill="CCCCCC"/>
            <w:vAlign w:val="center"/>
            <w:hideMark/>
          </w:tcPr>
          <w:p w14:paraId="525C1C95" w14:textId="77777777" w:rsidR="00375E6F" w:rsidRPr="00D8288C" w:rsidRDefault="00375E6F" w:rsidP="00375E6F">
            <w:pPr>
              <w:rPr>
                <w:rFonts w:ascii="Arial" w:hAnsi="Arial" w:cs="Arial"/>
                <w:color w:val="000000"/>
                <w:sz w:val="22"/>
                <w:szCs w:val="22"/>
              </w:rPr>
            </w:pPr>
            <w:r w:rsidRPr="00D8288C">
              <w:rPr>
                <w:rFonts w:ascii="Arial" w:hAnsi="Arial" w:cs="Arial"/>
                <w:color w:val="000000"/>
                <w:sz w:val="22"/>
                <w:szCs w:val="22"/>
              </w:rPr>
              <w:t xml:space="preserve">Cash repayment of </w:t>
            </w:r>
            <w:proofErr w:type="gramStart"/>
            <w:r w:rsidRPr="00D8288C">
              <w:rPr>
                <w:rFonts w:ascii="Arial" w:hAnsi="Arial" w:cs="Arial"/>
                <w:color w:val="000000"/>
                <w:sz w:val="22"/>
                <w:szCs w:val="22"/>
              </w:rPr>
              <w:t>short and long term</w:t>
            </w:r>
            <w:proofErr w:type="gramEnd"/>
            <w:r w:rsidRPr="00D8288C">
              <w:rPr>
                <w:rFonts w:ascii="Arial" w:hAnsi="Arial" w:cs="Arial"/>
                <w:color w:val="000000"/>
                <w:sz w:val="22"/>
                <w:szCs w:val="22"/>
              </w:rPr>
              <w:t xml:space="preserve"> borrowing</w:t>
            </w:r>
          </w:p>
        </w:tc>
        <w:tc>
          <w:tcPr>
            <w:tcW w:w="1560" w:type="dxa"/>
            <w:tcBorders>
              <w:top w:val="nil"/>
              <w:left w:val="nil"/>
              <w:bottom w:val="nil"/>
              <w:right w:val="nil"/>
            </w:tcBorders>
            <w:vAlign w:val="center"/>
            <w:hideMark/>
          </w:tcPr>
          <w:p w14:paraId="32C15373" w14:textId="49D35DFC" w:rsidR="00375E6F" w:rsidRPr="00D8288C" w:rsidRDefault="00375E6F" w:rsidP="00375E6F">
            <w:pPr>
              <w:jc w:val="right"/>
              <w:rPr>
                <w:rFonts w:ascii="Arial" w:hAnsi="Arial" w:cs="Arial"/>
                <w:color w:val="000000"/>
                <w:sz w:val="22"/>
                <w:szCs w:val="22"/>
              </w:rPr>
            </w:pPr>
            <w:r>
              <w:rPr>
                <w:rFonts w:ascii="Arial" w:hAnsi="Arial" w:cs="Arial"/>
                <w:color w:val="000000"/>
                <w:sz w:val="22"/>
                <w:szCs w:val="22"/>
              </w:rPr>
              <w:t>36</w:t>
            </w:r>
            <w:r w:rsidRPr="00D8288C">
              <w:rPr>
                <w:rFonts w:ascii="Arial" w:hAnsi="Arial" w:cs="Arial"/>
                <w:color w:val="000000"/>
                <w:sz w:val="22"/>
                <w:szCs w:val="22"/>
              </w:rPr>
              <w:t>,2</w:t>
            </w:r>
            <w:r>
              <w:rPr>
                <w:rFonts w:ascii="Arial" w:hAnsi="Arial" w:cs="Arial"/>
                <w:color w:val="000000"/>
                <w:sz w:val="22"/>
                <w:szCs w:val="22"/>
              </w:rPr>
              <w:t>18</w:t>
            </w:r>
          </w:p>
        </w:tc>
        <w:tc>
          <w:tcPr>
            <w:tcW w:w="1120" w:type="dxa"/>
            <w:tcBorders>
              <w:top w:val="nil"/>
              <w:left w:val="single" w:sz="8" w:space="0" w:color="auto"/>
              <w:bottom w:val="nil"/>
              <w:right w:val="single" w:sz="8" w:space="0" w:color="auto"/>
            </w:tcBorders>
            <w:shd w:val="clear" w:color="000000" w:fill="CCCCCC"/>
            <w:vAlign w:val="center"/>
            <w:hideMark/>
          </w:tcPr>
          <w:p w14:paraId="3DAB3C04" w14:textId="7FCDA9E0" w:rsidR="00375E6F" w:rsidRPr="00D8288C" w:rsidRDefault="00375E6F" w:rsidP="00375E6F">
            <w:pPr>
              <w:jc w:val="right"/>
              <w:rPr>
                <w:rFonts w:ascii="Arial" w:hAnsi="Arial" w:cs="Arial"/>
                <w:color w:val="000000"/>
                <w:sz w:val="22"/>
                <w:szCs w:val="22"/>
              </w:rPr>
            </w:pPr>
            <w:r>
              <w:rPr>
                <w:rFonts w:ascii="Arial" w:hAnsi="Arial" w:cs="Arial"/>
                <w:color w:val="000000"/>
                <w:sz w:val="22"/>
                <w:szCs w:val="22"/>
              </w:rPr>
              <w:t>49,497</w:t>
            </w:r>
          </w:p>
        </w:tc>
      </w:tr>
      <w:tr w:rsidR="00375E6F" w:rsidRPr="00D8288C" w14:paraId="31DF6DEB" w14:textId="77777777" w:rsidTr="00D8288C">
        <w:trPr>
          <w:trHeight w:val="315"/>
        </w:trPr>
        <w:tc>
          <w:tcPr>
            <w:tcW w:w="5220" w:type="dxa"/>
            <w:tcBorders>
              <w:top w:val="nil"/>
              <w:left w:val="single" w:sz="8" w:space="0" w:color="auto"/>
              <w:bottom w:val="nil"/>
              <w:right w:val="nil"/>
            </w:tcBorders>
            <w:shd w:val="clear" w:color="000000" w:fill="CCCCCC"/>
            <w:vAlign w:val="center"/>
            <w:hideMark/>
          </w:tcPr>
          <w:p w14:paraId="0AB67BCF" w14:textId="77777777" w:rsidR="00375E6F" w:rsidRPr="00D8288C" w:rsidRDefault="00375E6F" w:rsidP="00375E6F">
            <w:pPr>
              <w:rPr>
                <w:rFonts w:ascii="Arial" w:hAnsi="Arial" w:cs="Arial"/>
                <w:color w:val="000000"/>
                <w:sz w:val="22"/>
                <w:szCs w:val="22"/>
              </w:rPr>
            </w:pPr>
            <w:r w:rsidRPr="00D8288C">
              <w:rPr>
                <w:rFonts w:ascii="Arial" w:hAnsi="Arial" w:cs="Arial"/>
                <w:color w:val="000000"/>
                <w:sz w:val="22"/>
                <w:szCs w:val="22"/>
              </w:rPr>
              <w:t xml:space="preserve">Cash receipt of </w:t>
            </w:r>
            <w:proofErr w:type="gramStart"/>
            <w:r w:rsidRPr="00D8288C">
              <w:rPr>
                <w:rFonts w:ascii="Arial" w:hAnsi="Arial" w:cs="Arial"/>
                <w:color w:val="000000"/>
                <w:sz w:val="22"/>
                <w:szCs w:val="22"/>
              </w:rPr>
              <w:t>long and short term</w:t>
            </w:r>
            <w:proofErr w:type="gramEnd"/>
            <w:r w:rsidRPr="00D8288C">
              <w:rPr>
                <w:rFonts w:ascii="Arial" w:hAnsi="Arial" w:cs="Arial"/>
                <w:color w:val="000000"/>
                <w:sz w:val="22"/>
                <w:szCs w:val="22"/>
              </w:rPr>
              <w:t xml:space="preserve"> borrowing</w:t>
            </w:r>
          </w:p>
        </w:tc>
        <w:tc>
          <w:tcPr>
            <w:tcW w:w="1560" w:type="dxa"/>
            <w:tcBorders>
              <w:top w:val="nil"/>
              <w:left w:val="nil"/>
              <w:bottom w:val="nil"/>
              <w:right w:val="nil"/>
            </w:tcBorders>
            <w:vAlign w:val="center"/>
            <w:hideMark/>
          </w:tcPr>
          <w:p w14:paraId="15B85924" w14:textId="2494CA9D" w:rsidR="00375E6F" w:rsidRPr="00D8288C" w:rsidRDefault="00375E6F" w:rsidP="00375E6F">
            <w:pPr>
              <w:jc w:val="right"/>
              <w:rPr>
                <w:rFonts w:ascii="Arial" w:hAnsi="Arial" w:cs="Arial"/>
                <w:color w:val="000000"/>
                <w:sz w:val="22"/>
                <w:szCs w:val="22"/>
              </w:rPr>
            </w:pPr>
            <w:r w:rsidRPr="00D8288C">
              <w:rPr>
                <w:rFonts w:ascii="Arial" w:hAnsi="Arial" w:cs="Arial"/>
                <w:color w:val="000000"/>
                <w:sz w:val="22"/>
                <w:szCs w:val="22"/>
              </w:rPr>
              <w:t>(</w:t>
            </w:r>
            <w:r>
              <w:rPr>
                <w:rFonts w:ascii="Arial" w:hAnsi="Arial" w:cs="Arial"/>
                <w:color w:val="000000"/>
                <w:sz w:val="22"/>
                <w:szCs w:val="22"/>
              </w:rPr>
              <w:t>35</w:t>
            </w:r>
            <w:r w:rsidRPr="00D8288C">
              <w:rPr>
                <w:rFonts w:ascii="Arial" w:hAnsi="Arial" w:cs="Arial"/>
                <w:color w:val="000000"/>
                <w:sz w:val="22"/>
                <w:szCs w:val="22"/>
              </w:rPr>
              <w:t>,000)</w:t>
            </w:r>
          </w:p>
        </w:tc>
        <w:tc>
          <w:tcPr>
            <w:tcW w:w="1120" w:type="dxa"/>
            <w:tcBorders>
              <w:top w:val="nil"/>
              <w:left w:val="single" w:sz="8" w:space="0" w:color="auto"/>
              <w:bottom w:val="nil"/>
              <w:right w:val="single" w:sz="8" w:space="0" w:color="auto"/>
            </w:tcBorders>
            <w:shd w:val="clear" w:color="000000" w:fill="CCCCCC"/>
            <w:vAlign w:val="center"/>
            <w:hideMark/>
          </w:tcPr>
          <w:p w14:paraId="5C40829B" w14:textId="26740450" w:rsidR="00375E6F" w:rsidRPr="00D8288C" w:rsidRDefault="00375E6F" w:rsidP="00375E6F">
            <w:pPr>
              <w:jc w:val="right"/>
              <w:rPr>
                <w:rFonts w:ascii="Arial" w:hAnsi="Arial" w:cs="Arial"/>
                <w:color w:val="000000"/>
                <w:sz w:val="22"/>
                <w:szCs w:val="22"/>
              </w:rPr>
            </w:pPr>
            <w:r>
              <w:rPr>
                <w:rFonts w:ascii="Arial" w:hAnsi="Arial" w:cs="Arial"/>
                <w:color w:val="000000"/>
                <w:sz w:val="22"/>
                <w:szCs w:val="22"/>
              </w:rPr>
              <w:t>(58,000)</w:t>
            </w:r>
          </w:p>
        </w:tc>
      </w:tr>
      <w:tr w:rsidR="00375E6F" w:rsidRPr="00D8288C" w14:paraId="4005F529" w14:textId="77777777" w:rsidTr="00D8288C">
        <w:trPr>
          <w:trHeight w:val="315"/>
        </w:trPr>
        <w:tc>
          <w:tcPr>
            <w:tcW w:w="5220" w:type="dxa"/>
            <w:tcBorders>
              <w:top w:val="nil"/>
              <w:left w:val="single" w:sz="8" w:space="0" w:color="auto"/>
              <w:bottom w:val="nil"/>
              <w:right w:val="nil"/>
            </w:tcBorders>
            <w:shd w:val="clear" w:color="000000" w:fill="CCCCCC"/>
            <w:vAlign w:val="center"/>
          </w:tcPr>
          <w:p w14:paraId="6A915612" w14:textId="0F754D0F" w:rsidR="00375E6F" w:rsidRPr="00D8288C" w:rsidRDefault="00375E6F" w:rsidP="00375E6F">
            <w:pPr>
              <w:rPr>
                <w:rFonts w:ascii="Arial" w:hAnsi="Arial" w:cs="Arial"/>
                <w:color w:val="000000"/>
                <w:sz w:val="22"/>
                <w:szCs w:val="22"/>
              </w:rPr>
            </w:pPr>
            <w:r w:rsidRPr="00375E6F">
              <w:rPr>
                <w:rFonts w:ascii="Arial" w:hAnsi="Arial" w:cs="Arial"/>
                <w:color w:val="000000"/>
                <w:sz w:val="22"/>
                <w:szCs w:val="22"/>
              </w:rPr>
              <w:t>Cash payments for reduction of lease liabilities</w:t>
            </w:r>
          </w:p>
        </w:tc>
        <w:tc>
          <w:tcPr>
            <w:tcW w:w="1560" w:type="dxa"/>
            <w:tcBorders>
              <w:top w:val="nil"/>
              <w:left w:val="nil"/>
              <w:bottom w:val="nil"/>
              <w:right w:val="nil"/>
            </w:tcBorders>
            <w:vAlign w:val="center"/>
          </w:tcPr>
          <w:p w14:paraId="649FEBDE" w14:textId="77777777" w:rsidR="00375E6F" w:rsidRPr="00D8288C" w:rsidRDefault="00375E6F" w:rsidP="00375E6F">
            <w:pPr>
              <w:jc w:val="right"/>
              <w:rPr>
                <w:rFonts w:ascii="Arial" w:hAnsi="Arial" w:cs="Arial"/>
                <w:color w:val="000000"/>
                <w:sz w:val="22"/>
                <w:szCs w:val="22"/>
              </w:rPr>
            </w:pPr>
          </w:p>
        </w:tc>
        <w:tc>
          <w:tcPr>
            <w:tcW w:w="1120" w:type="dxa"/>
            <w:tcBorders>
              <w:top w:val="nil"/>
              <w:left w:val="single" w:sz="8" w:space="0" w:color="auto"/>
              <w:bottom w:val="nil"/>
              <w:right w:val="single" w:sz="8" w:space="0" w:color="auto"/>
            </w:tcBorders>
            <w:shd w:val="clear" w:color="000000" w:fill="CCCCCC"/>
            <w:vAlign w:val="center"/>
          </w:tcPr>
          <w:p w14:paraId="6628A319" w14:textId="57322F73" w:rsidR="00375E6F" w:rsidRPr="00D8288C" w:rsidRDefault="009F16D4" w:rsidP="00375E6F">
            <w:pPr>
              <w:jc w:val="right"/>
              <w:rPr>
                <w:rFonts w:ascii="Arial" w:hAnsi="Arial" w:cs="Arial"/>
                <w:color w:val="000000"/>
                <w:sz w:val="22"/>
                <w:szCs w:val="22"/>
              </w:rPr>
            </w:pPr>
            <w:r>
              <w:rPr>
                <w:rFonts w:ascii="Arial" w:hAnsi="Arial" w:cs="Arial"/>
                <w:color w:val="000000"/>
                <w:sz w:val="22"/>
                <w:szCs w:val="22"/>
              </w:rPr>
              <w:t>252</w:t>
            </w:r>
          </w:p>
        </w:tc>
      </w:tr>
      <w:tr w:rsidR="00375E6F" w:rsidRPr="00D8288C" w14:paraId="12391A2E" w14:textId="77777777" w:rsidTr="00D8288C">
        <w:trPr>
          <w:trHeight w:val="315"/>
        </w:trPr>
        <w:tc>
          <w:tcPr>
            <w:tcW w:w="5220" w:type="dxa"/>
            <w:tcBorders>
              <w:top w:val="nil"/>
              <w:left w:val="single" w:sz="8" w:space="0" w:color="auto"/>
              <w:bottom w:val="single" w:sz="8" w:space="0" w:color="auto"/>
              <w:right w:val="nil"/>
            </w:tcBorders>
            <w:shd w:val="clear" w:color="000000" w:fill="CCCCCC"/>
            <w:vAlign w:val="center"/>
            <w:hideMark/>
          </w:tcPr>
          <w:p w14:paraId="6388A2A4" w14:textId="77777777" w:rsidR="00375E6F" w:rsidRPr="00D8288C" w:rsidRDefault="00375E6F" w:rsidP="00375E6F">
            <w:pPr>
              <w:rPr>
                <w:rFonts w:ascii="Arial" w:hAnsi="Arial" w:cs="Arial"/>
                <w:b/>
                <w:bCs/>
                <w:color w:val="000000"/>
                <w:sz w:val="22"/>
                <w:szCs w:val="22"/>
              </w:rPr>
            </w:pPr>
            <w:r w:rsidRPr="00D8288C">
              <w:rPr>
                <w:rFonts w:ascii="Arial" w:hAnsi="Arial" w:cs="Arial"/>
                <w:b/>
                <w:bCs/>
                <w:color w:val="000000"/>
                <w:sz w:val="22"/>
                <w:szCs w:val="22"/>
              </w:rPr>
              <w:t>Total cash outflows from financing activities</w:t>
            </w:r>
          </w:p>
        </w:tc>
        <w:tc>
          <w:tcPr>
            <w:tcW w:w="1560" w:type="dxa"/>
            <w:tcBorders>
              <w:top w:val="single" w:sz="8" w:space="0" w:color="auto"/>
              <w:left w:val="nil"/>
              <w:bottom w:val="single" w:sz="8" w:space="0" w:color="auto"/>
              <w:right w:val="single" w:sz="8" w:space="0" w:color="auto"/>
            </w:tcBorders>
            <w:vAlign w:val="center"/>
            <w:hideMark/>
          </w:tcPr>
          <w:p w14:paraId="0BD4585B" w14:textId="0B5FC2B0" w:rsidR="00375E6F" w:rsidRPr="00D8288C" w:rsidRDefault="00375E6F" w:rsidP="00375E6F">
            <w:pPr>
              <w:jc w:val="right"/>
              <w:rPr>
                <w:rFonts w:ascii="Arial" w:hAnsi="Arial" w:cs="Arial"/>
                <w:b/>
                <w:bCs/>
                <w:color w:val="000000"/>
                <w:sz w:val="22"/>
                <w:szCs w:val="22"/>
              </w:rPr>
            </w:pPr>
            <w:r>
              <w:rPr>
                <w:rFonts w:ascii="Arial" w:hAnsi="Arial" w:cs="Arial"/>
                <w:b/>
                <w:bCs/>
                <w:color w:val="000000"/>
                <w:sz w:val="22"/>
                <w:szCs w:val="22"/>
              </w:rPr>
              <w:t>1,218</w:t>
            </w:r>
          </w:p>
        </w:tc>
        <w:tc>
          <w:tcPr>
            <w:tcW w:w="1120" w:type="dxa"/>
            <w:tcBorders>
              <w:top w:val="single" w:sz="8" w:space="0" w:color="auto"/>
              <w:left w:val="single" w:sz="8" w:space="0" w:color="auto"/>
              <w:bottom w:val="single" w:sz="8" w:space="0" w:color="auto"/>
              <w:right w:val="single" w:sz="8" w:space="0" w:color="auto"/>
            </w:tcBorders>
            <w:shd w:val="clear" w:color="000000" w:fill="CCCCCC"/>
            <w:vAlign w:val="center"/>
            <w:hideMark/>
          </w:tcPr>
          <w:p w14:paraId="6C4E4850" w14:textId="70EDDF41" w:rsidR="00375E6F" w:rsidRPr="00D8288C" w:rsidRDefault="00375E6F" w:rsidP="00375E6F">
            <w:pPr>
              <w:jc w:val="right"/>
              <w:rPr>
                <w:rFonts w:ascii="Arial" w:hAnsi="Arial" w:cs="Arial"/>
                <w:b/>
                <w:bCs/>
                <w:color w:val="000000"/>
                <w:sz w:val="22"/>
                <w:szCs w:val="22"/>
              </w:rPr>
            </w:pPr>
            <w:r>
              <w:rPr>
                <w:rFonts w:ascii="Arial" w:hAnsi="Arial" w:cs="Arial"/>
                <w:b/>
                <w:bCs/>
                <w:color w:val="000000"/>
                <w:sz w:val="22"/>
                <w:szCs w:val="22"/>
              </w:rPr>
              <w:t>(8,</w:t>
            </w:r>
            <w:r w:rsidR="009F16D4">
              <w:rPr>
                <w:rFonts w:ascii="Arial" w:hAnsi="Arial" w:cs="Arial"/>
                <w:b/>
                <w:bCs/>
                <w:color w:val="000000"/>
                <w:sz w:val="22"/>
                <w:szCs w:val="22"/>
              </w:rPr>
              <w:t>251</w:t>
            </w:r>
            <w:r>
              <w:rPr>
                <w:rFonts w:ascii="Arial" w:hAnsi="Arial" w:cs="Arial"/>
                <w:b/>
                <w:bCs/>
                <w:color w:val="000000"/>
                <w:sz w:val="22"/>
                <w:szCs w:val="22"/>
              </w:rPr>
              <w:t>)</w:t>
            </w:r>
          </w:p>
        </w:tc>
      </w:tr>
    </w:tbl>
    <w:p w14:paraId="01ED30C4" w14:textId="77777777" w:rsidR="003B74DA" w:rsidRPr="00AD4E52" w:rsidRDefault="003B74DA" w:rsidP="003B74DA">
      <w:pPr>
        <w:tabs>
          <w:tab w:val="right" w:pos="5760"/>
        </w:tabs>
        <w:rPr>
          <w:rFonts w:ascii="Arial" w:hAnsi="Arial"/>
          <w:b/>
          <w:sz w:val="22"/>
          <w:szCs w:val="22"/>
        </w:rPr>
      </w:pPr>
    </w:p>
    <w:p w14:paraId="6B9A8569" w14:textId="77777777" w:rsidR="00153067" w:rsidRDefault="00153067">
      <w:pPr>
        <w:rPr>
          <w:rFonts w:ascii="Arial" w:hAnsi="Arial"/>
          <w:b/>
          <w:sz w:val="22"/>
          <w:szCs w:val="22"/>
        </w:rPr>
      </w:pPr>
      <w:r>
        <w:rPr>
          <w:rFonts w:ascii="Arial" w:hAnsi="Arial"/>
          <w:b/>
          <w:sz w:val="22"/>
          <w:szCs w:val="22"/>
        </w:rPr>
        <w:br w:type="page"/>
      </w:r>
    </w:p>
    <w:p w14:paraId="0A4B5A01" w14:textId="2FC6759B" w:rsidR="003B74DA" w:rsidRPr="00F455FC" w:rsidRDefault="003B74DA" w:rsidP="003B74DA">
      <w:pPr>
        <w:numPr>
          <w:ilvl w:val="0"/>
          <w:numId w:val="1"/>
        </w:numPr>
        <w:tabs>
          <w:tab w:val="clear" w:pos="720"/>
          <w:tab w:val="num" w:pos="426"/>
          <w:tab w:val="right" w:pos="5760"/>
        </w:tabs>
        <w:rPr>
          <w:rFonts w:ascii="Arial" w:hAnsi="Arial"/>
          <w:b/>
          <w:sz w:val="22"/>
          <w:szCs w:val="22"/>
        </w:rPr>
      </w:pPr>
      <w:r w:rsidRPr="00F455FC">
        <w:rPr>
          <w:rFonts w:ascii="Arial" w:hAnsi="Arial"/>
          <w:b/>
          <w:sz w:val="22"/>
          <w:szCs w:val="22"/>
        </w:rPr>
        <w:lastRenderedPageBreak/>
        <w:t xml:space="preserve">Financial Instruments </w:t>
      </w:r>
    </w:p>
    <w:p w14:paraId="07C8894C" w14:textId="77777777" w:rsidR="003B74DA" w:rsidRPr="00F455FC" w:rsidRDefault="003B74DA" w:rsidP="003B74DA">
      <w:pPr>
        <w:tabs>
          <w:tab w:val="right" w:pos="5760"/>
        </w:tabs>
        <w:rPr>
          <w:rFonts w:ascii="Arial" w:hAnsi="Arial"/>
          <w:b/>
          <w:sz w:val="22"/>
          <w:szCs w:val="22"/>
        </w:rPr>
      </w:pPr>
    </w:p>
    <w:p w14:paraId="3347CD2D" w14:textId="77777777" w:rsidR="003B74DA" w:rsidRPr="00F455FC" w:rsidRDefault="003B74DA" w:rsidP="003B74DA">
      <w:pPr>
        <w:pStyle w:val="BodyTextIndent"/>
        <w:ind w:left="397" w:firstLine="0"/>
        <w:jc w:val="both"/>
        <w:rPr>
          <w:i w:val="0"/>
          <w:sz w:val="22"/>
          <w:szCs w:val="22"/>
          <w:u w:val="single"/>
        </w:rPr>
      </w:pPr>
      <w:r w:rsidRPr="00F455FC">
        <w:rPr>
          <w:i w:val="0"/>
          <w:sz w:val="22"/>
          <w:szCs w:val="22"/>
          <w:u w:val="single"/>
        </w:rPr>
        <w:t>Accounting Policy</w:t>
      </w:r>
    </w:p>
    <w:p w14:paraId="64970366" w14:textId="77777777" w:rsidR="003B74DA" w:rsidRPr="00F455FC" w:rsidRDefault="003B74DA" w:rsidP="003B74DA">
      <w:pPr>
        <w:pStyle w:val="BodyTextIndent"/>
        <w:ind w:left="397" w:firstLine="0"/>
        <w:jc w:val="both"/>
        <w:rPr>
          <w:i w:val="0"/>
          <w:sz w:val="22"/>
          <w:szCs w:val="22"/>
          <w:u w:val="single"/>
        </w:rPr>
      </w:pPr>
    </w:p>
    <w:p w14:paraId="106A47E9" w14:textId="77777777" w:rsidR="003B74DA" w:rsidRPr="00F455FC" w:rsidRDefault="003B74DA" w:rsidP="003B74DA">
      <w:pPr>
        <w:spacing w:after="240"/>
        <w:ind w:left="426"/>
        <w:jc w:val="both"/>
        <w:rPr>
          <w:rFonts w:ascii="Arial" w:hAnsi="Arial" w:cs="Arial"/>
          <w:b/>
          <w:sz w:val="22"/>
          <w:szCs w:val="22"/>
        </w:rPr>
      </w:pPr>
      <w:r w:rsidRPr="00F455FC">
        <w:rPr>
          <w:rFonts w:ascii="Arial" w:hAnsi="Arial" w:cs="Arial"/>
          <w:b/>
          <w:sz w:val="22"/>
          <w:szCs w:val="22"/>
        </w:rPr>
        <w:t>Financial Instruments – Classifications</w:t>
      </w:r>
    </w:p>
    <w:p w14:paraId="58555FAE" w14:textId="77777777" w:rsidR="003B74DA" w:rsidRPr="00F455FC" w:rsidRDefault="003B74DA" w:rsidP="003B74DA">
      <w:pPr>
        <w:spacing w:after="240"/>
        <w:ind w:left="426"/>
        <w:jc w:val="both"/>
        <w:rPr>
          <w:rFonts w:ascii="Arial" w:hAnsi="Arial" w:cs="Arial"/>
          <w:b/>
          <w:sz w:val="22"/>
          <w:szCs w:val="22"/>
        </w:rPr>
      </w:pPr>
      <w:r w:rsidRPr="00F455FC">
        <w:rPr>
          <w:rFonts w:ascii="Arial" w:hAnsi="Arial" w:cs="Arial"/>
          <w:sz w:val="22"/>
          <w:szCs w:val="22"/>
        </w:rPr>
        <w:t>A financial instrument is a contract that gives rise to a financial asset in one entity and a financial liability in another entity. Non-exchange transactions, such as those relating to taxes and government grants do not give rise to a financial instrument.</w:t>
      </w:r>
    </w:p>
    <w:p w14:paraId="5E446C3A" w14:textId="77777777" w:rsidR="003B74DA" w:rsidRPr="00F455FC" w:rsidRDefault="003B74DA" w:rsidP="003B74DA">
      <w:pPr>
        <w:spacing w:after="240"/>
        <w:ind w:left="426"/>
        <w:jc w:val="both"/>
        <w:rPr>
          <w:rFonts w:ascii="Arial" w:hAnsi="Arial" w:cs="Arial"/>
          <w:b/>
          <w:sz w:val="22"/>
          <w:szCs w:val="22"/>
        </w:rPr>
      </w:pPr>
      <w:r w:rsidRPr="00F455FC">
        <w:rPr>
          <w:rFonts w:ascii="Arial" w:hAnsi="Arial" w:cs="Arial"/>
          <w:b/>
          <w:sz w:val="22"/>
          <w:szCs w:val="22"/>
        </w:rPr>
        <w:t xml:space="preserve">Financial Liabilities </w:t>
      </w:r>
    </w:p>
    <w:p w14:paraId="01F8DAFF" w14:textId="77777777" w:rsidR="003B74DA" w:rsidRPr="00F455FC" w:rsidRDefault="003B74DA" w:rsidP="003B74DA">
      <w:pPr>
        <w:spacing w:after="240"/>
        <w:ind w:left="426"/>
        <w:jc w:val="both"/>
        <w:rPr>
          <w:rFonts w:ascii="Arial" w:hAnsi="Arial" w:cs="Arial"/>
          <w:sz w:val="22"/>
          <w:szCs w:val="22"/>
        </w:rPr>
      </w:pPr>
      <w:r w:rsidRPr="00F455FC">
        <w:rPr>
          <w:rFonts w:ascii="Arial" w:hAnsi="Arial" w:cs="Arial"/>
          <w:sz w:val="22"/>
          <w:szCs w:val="22"/>
        </w:rPr>
        <w:t>A financial liability is an obligation to transfer economic benefits controlled by the PCC and can be represented by a contractual obligation to deliver cash or financial assets or an obligation to exchange financial assets and liabilities with another entity that is potentially unfavourable to the PCC.</w:t>
      </w:r>
    </w:p>
    <w:p w14:paraId="42F607A8" w14:textId="27152B22" w:rsidR="003B74DA" w:rsidRPr="00F455FC" w:rsidRDefault="00105039" w:rsidP="003B74DA">
      <w:pPr>
        <w:spacing w:after="240"/>
        <w:ind w:left="426"/>
        <w:jc w:val="both"/>
        <w:rPr>
          <w:rFonts w:ascii="Arial" w:hAnsi="Arial" w:cs="Arial"/>
          <w:sz w:val="22"/>
          <w:szCs w:val="22"/>
        </w:rPr>
      </w:pPr>
      <w:r w:rsidRPr="00F455FC">
        <w:rPr>
          <w:rFonts w:ascii="Arial" w:hAnsi="Arial" w:cs="Arial"/>
          <w:sz w:val="22"/>
          <w:szCs w:val="22"/>
        </w:rPr>
        <w:t>All</w:t>
      </w:r>
      <w:r w:rsidR="003B74DA" w:rsidRPr="00F455FC">
        <w:rPr>
          <w:rFonts w:ascii="Arial" w:hAnsi="Arial" w:cs="Arial"/>
          <w:sz w:val="22"/>
          <w:szCs w:val="22"/>
        </w:rPr>
        <w:t xml:space="preserve"> the PCCs financial liabilities held during the year are measured at amortised cost and comprised:</w:t>
      </w:r>
    </w:p>
    <w:p w14:paraId="73909983" w14:textId="77777777" w:rsidR="003B74DA" w:rsidRPr="00F455FC" w:rsidRDefault="003B74DA" w:rsidP="004E2882">
      <w:pPr>
        <w:pStyle w:val="ListParagraph"/>
        <w:numPr>
          <w:ilvl w:val="0"/>
          <w:numId w:val="25"/>
        </w:numPr>
        <w:spacing w:after="240"/>
        <w:jc w:val="both"/>
        <w:rPr>
          <w:rFonts w:ascii="Arial" w:hAnsi="Arial" w:cs="Arial"/>
        </w:rPr>
      </w:pPr>
      <w:r w:rsidRPr="00F455FC">
        <w:rPr>
          <w:rFonts w:ascii="Arial" w:hAnsi="Arial" w:cs="Arial"/>
        </w:rPr>
        <w:t>long term loans from the Public Works Loans Board;</w:t>
      </w:r>
    </w:p>
    <w:p w14:paraId="0D5E3380" w14:textId="77777777" w:rsidR="003B74DA" w:rsidRPr="00F455FC" w:rsidRDefault="003B74DA" w:rsidP="004E2882">
      <w:pPr>
        <w:pStyle w:val="ListParagraph"/>
        <w:numPr>
          <w:ilvl w:val="0"/>
          <w:numId w:val="25"/>
        </w:numPr>
        <w:spacing w:after="240"/>
        <w:jc w:val="both"/>
        <w:rPr>
          <w:rFonts w:ascii="Arial" w:hAnsi="Arial" w:cs="Arial"/>
        </w:rPr>
      </w:pPr>
      <w:r w:rsidRPr="00F455FC">
        <w:rPr>
          <w:rFonts w:ascii="Arial" w:hAnsi="Arial" w:cs="Arial"/>
        </w:rPr>
        <w:t>short term loans from other local authorities;</w:t>
      </w:r>
    </w:p>
    <w:p w14:paraId="657C7C51" w14:textId="42657029" w:rsidR="00AF3F0C" w:rsidRPr="00F455FC" w:rsidRDefault="003B74DA" w:rsidP="004E2882">
      <w:pPr>
        <w:pStyle w:val="ListParagraph"/>
        <w:numPr>
          <w:ilvl w:val="0"/>
          <w:numId w:val="25"/>
        </w:numPr>
        <w:spacing w:after="240"/>
        <w:jc w:val="both"/>
        <w:rPr>
          <w:rFonts w:ascii="Arial" w:hAnsi="Arial" w:cs="Arial"/>
          <w:b/>
        </w:rPr>
      </w:pPr>
      <w:r w:rsidRPr="00F455FC">
        <w:rPr>
          <w:rFonts w:ascii="Arial" w:hAnsi="Arial" w:cs="Arial"/>
        </w:rPr>
        <w:t>trade payables for goods and services received.</w:t>
      </w:r>
    </w:p>
    <w:p w14:paraId="479F1DF1" w14:textId="080C9353" w:rsidR="003B74DA" w:rsidRPr="00F455FC" w:rsidRDefault="003B74DA" w:rsidP="003B74DA">
      <w:pPr>
        <w:spacing w:after="240"/>
        <w:ind w:left="426"/>
        <w:jc w:val="both"/>
        <w:rPr>
          <w:rFonts w:ascii="Arial" w:hAnsi="Arial" w:cs="Arial"/>
          <w:b/>
          <w:sz w:val="22"/>
          <w:szCs w:val="22"/>
        </w:rPr>
      </w:pPr>
      <w:r w:rsidRPr="00F455FC">
        <w:rPr>
          <w:rFonts w:ascii="Arial" w:hAnsi="Arial" w:cs="Arial"/>
          <w:b/>
          <w:sz w:val="22"/>
          <w:szCs w:val="22"/>
        </w:rPr>
        <w:t xml:space="preserve">Financial Assets </w:t>
      </w:r>
    </w:p>
    <w:p w14:paraId="3E4C86AF" w14:textId="692CFD49" w:rsidR="003B74DA" w:rsidRPr="00F455FC" w:rsidRDefault="003B74DA" w:rsidP="003B74DA">
      <w:pPr>
        <w:spacing w:after="240"/>
        <w:ind w:left="426"/>
        <w:jc w:val="both"/>
        <w:rPr>
          <w:rFonts w:ascii="Arial" w:hAnsi="Arial" w:cs="Arial"/>
          <w:sz w:val="22"/>
          <w:szCs w:val="22"/>
        </w:rPr>
      </w:pPr>
      <w:r w:rsidRPr="00F455FC">
        <w:rPr>
          <w:rFonts w:ascii="Arial" w:hAnsi="Arial" w:cs="Arial"/>
          <w:sz w:val="22"/>
          <w:szCs w:val="22"/>
        </w:rPr>
        <w:t xml:space="preserve">A financial asset is a right to future economic benefits controlled by the PCC that is represented by cash, equity instruments or a contractual right to receive cash or other financial assets or a right to exchange financial assets and liabilities with another entity that is potentially favourable to the PCC. </w:t>
      </w:r>
    </w:p>
    <w:p w14:paraId="7DFDD7B2" w14:textId="618FD3B0" w:rsidR="003B578C" w:rsidRPr="00F455FC" w:rsidRDefault="003B578C" w:rsidP="003B74DA">
      <w:pPr>
        <w:spacing w:after="240"/>
        <w:ind w:left="426"/>
        <w:jc w:val="both"/>
        <w:rPr>
          <w:rFonts w:ascii="Arial" w:hAnsi="Arial" w:cs="Arial"/>
          <w:sz w:val="22"/>
          <w:szCs w:val="22"/>
        </w:rPr>
      </w:pPr>
      <w:r w:rsidRPr="00F455FC">
        <w:rPr>
          <w:rFonts w:ascii="Arial" w:hAnsi="Arial" w:cs="Arial"/>
          <w:sz w:val="22"/>
          <w:szCs w:val="22"/>
        </w:rPr>
        <w:t>Financial assets should be classified and measured at fair value, with changes in fair value recognised in the profit and loss as they arise (FVPL), unless specific criteria are met for classifying and measuring the asset at either amortised cost or fair value through other comprehensive income (FVOCI).</w:t>
      </w:r>
    </w:p>
    <w:p w14:paraId="18D7C324" w14:textId="7B76496C" w:rsidR="003B74DA" w:rsidRPr="00F455FC" w:rsidRDefault="00105039" w:rsidP="003B74DA">
      <w:pPr>
        <w:spacing w:after="240"/>
        <w:ind w:left="426"/>
        <w:jc w:val="both"/>
        <w:rPr>
          <w:rFonts w:ascii="Arial" w:hAnsi="Arial" w:cs="Arial"/>
          <w:sz w:val="22"/>
          <w:szCs w:val="22"/>
        </w:rPr>
      </w:pPr>
      <w:r w:rsidRPr="00F455FC">
        <w:rPr>
          <w:rFonts w:ascii="Arial" w:hAnsi="Arial" w:cs="Arial"/>
          <w:sz w:val="22"/>
          <w:szCs w:val="22"/>
        </w:rPr>
        <w:t>All</w:t>
      </w:r>
      <w:r w:rsidR="003B578C" w:rsidRPr="00F455FC">
        <w:rPr>
          <w:rFonts w:ascii="Arial" w:hAnsi="Arial" w:cs="Arial"/>
          <w:sz w:val="22"/>
          <w:szCs w:val="22"/>
        </w:rPr>
        <w:t xml:space="preserve"> the </w:t>
      </w:r>
      <w:r w:rsidR="003B74DA" w:rsidRPr="00F455FC">
        <w:rPr>
          <w:rFonts w:ascii="Arial" w:hAnsi="Arial" w:cs="Arial"/>
          <w:sz w:val="22"/>
          <w:szCs w:val="22"/>
        </w:rPr>
        <w:t>financial assets held by the PCC during the year are all held under the classification of amortised cost (where cash flows are solely payments of principal and interest and the PCCs business model is to collect those cash flows) comprising:</w:t>
      </w:r>
    </w:p>
    <w:p w14:paraId="2865EE35" w14:textId="77777777" w:rsidR="003B74DA" w:rsidRPr="00F455FC" w:rsidRDefault="003B74DA" w:rsidP="004E2882">
      <w:pPr>
        <w:pStyle w:val="ListParagraph"/>
        <w:numPr>
          <w:ilvl w:val="0"/>
          <w:numId w:val="26"/>
        </w:numPr>
        <w:spacing w:after="240"/>
        <w:jc w:val="both"/>
        <w:rPr>
          <w:rFonts w:ascii="Arial" w:hAnsi="Arial" w:cs="Arial"/>
        </w:rPr>
      </w:pPr>
      <w:r w:rsidRPr="00F455FC">
        <w:rPr>
          <w:rFonts w:ascii="Arial" w:hAnsi="Arial" w:cs="Arial"/>
        </w:rPr>
        <w:t>cash in hand;</w:t>
      </w:r>
    </w:p>
    <w:p w14:paraId="69702E95" w14:textId="77777777" w:rsidR="003B74DA" w:rsidRPr="00F455FC" w:rsidRDefault="003B74DA" w:rsidP="004E2882">
      <w:pPr>
        <w:pStyle w:val="ListParagraph"/>
        <w:numPr>
          <w:ilvl w:val="0"/>
          <w:numId w:val="26"/>
        </w:numPr>
        <w:spacing w:after="240"/>
        <w:jc w:val="both"/>
        <w:rPr>
          <w:rFonts w:ascii="Arial" w:hAnsi="Arial" w:cs="Arial"/>
        </w:rPr>
      </w:pPr>
      <w:r w:rsidRPr="00F455FC">
        <w:rPr>
          <w:rFonts w:ascii="Arial" w:hAnsi="Arial" w:cs="Arial"/>
        </w:rPr>
        <w:t>bank current account held with Nat West Bank;</w:t>
      </w:r>
    </w:p>
    <w:p w14:paraId="0FB80756" w14:textId="7F01340D" w:rsidR="003B74DA" w:rsidRPr="00173712" w:rsidRDefault="003B74DA" w:rsidP="004E2882">
      <w:pPr>
        <w:pStyle w:val="ListParagraph"/>
        <w:numPr>
          <w:ilvl w:val="0"/>
          <w:numId w:val="26"/>
        </w:numPr>
        <w:spacing w:after="240"/>
        <w:jc w:val="both"/>
        <w:rPr>
          <w:rFonts w:ascii="Arial" w:hAnsi="Arial" w:cs="Arial"/>
        </w:rPr>
      </w:pPr>
      <w:r w:rsidRPr="00173712">
        <w:rPr>
          <w:rFonts w:ascii="Arial" w:hAnsi="Arial" w:cs="Arial"/>
        </w:rPr>
        <w:t xml:space="preserve">surplus cash balances </w:t>
      </w:r>
      <w:r w:rsidR="00F03ADE" w:rsidRPr="00173712">
        <w:rPr>
          <w:rFonts w:ascii="Arial" w:hAnsi="Arial" w:cs="Arial"/>
        </w:rPr>
        <w:t xml:space="preserve">are invested overnight with the Debt Management Office </w:t>
      </w:r>
      <w:r w:rsidRPr="00173712">
        <w:rPr>
          <w:rFonts w:ascii="Arial" w:hAnsi="Arial" w:cs="Arial"/>
        </w:rPr>
        <w:t>;</w:t>
      </w:r>
    </w:p>
    <w:p w14:paraId="21FE35BA" w14:textId="2CEFECE0" w:rsidR="003B74DA" w:rsidRPr="00F455FC" w:rsidRDefault="003B74DA" w:rsidP="004E2882">
      <w:pPr>
        <w:pStyle w:val="ListParagraph"/>
        <w:numPr>
          <w:ilvl w:val="0"/>
          <w:numId w:val="26"/>
        </w:numPr>
        <w:spacing w:after="240"/>
        <w:jc w:val="both"/>
        <w:rPr>
          <w:rFonts w:ascii="Arial" w:hAnsi="Arial" w:cs="Arial"/>
        </w:rPr>
      </w:pPr>
      <w:r w:rsidRPr="00F455FC">
        <w:rPr>
          <w:rFonts w:ascii="Arial" w:hAnsi="Arial" w:cs="Arial"/>
        </w:rPr>
        <w:t>trade receivables for goods and services provided.</w:t>
      </w:r>
    </w:p>
    <w:p w14:paraId="305FDEFD" w14:textId="3679D851" w:rsidR="003B74DA" w:rsidRPr="00836B1C" w:rsidRDefault="003B74DA" w:rsidP="003B74DA">
      <w:pPr>
        <w:spacing w:after="240"/>
        <w:ind w:left="426"/>
        <w:jc w:val="both"/>
        <w:rPr>
          <w:rFonts w:ascii="Arial" w:hAnsi="Arial" w:cs="Arial"/>
          <w:b/>
          <w:sz w:val="22"/>
          <w:szCs w:val="22"/>
        </w:rPr>
      </w:pPr>
      <w:r w:rsidRPr="00836B1C">
        <w:rPr>
          <w:rFonts w:ascii="Arial" w:hAnsi="Arial" w:cs="Arial"/>
          <w:b/>
          <w:sz w:val="22"/>
          <w:szCs w:val="22"/>
        </w:rPr>
        <w:t xml:space="preserve">Expected Credit Loss Model </w:t>
      </w:r>
    </w:p>
    <w:p w14:paraId="5E904626" w14:textId="6D5594DB" w:rsidR="00CF62D9" w:rsidRPr="00836B1C" w:rsidRDefault="003B74DA" w:rsidP="009B4908">
      <w:pPr>
        <w:spacing w:after="240"/>
        <w:ind w:left="426"/>
        <w:jc w:val="both"/>
        <w:rPr>
          <w:rFonts w:ascii="Arial" w:hAnsi="Arial" w:cs="Arial"/>
          <w:sz w:val="22"/>
          <w:szCs w:val="22"/>
        </w:rPr>
      </w:pPr>
      <w:r w:rsidRPr="00836B1C">
        <w:rPr>
          <w:rFonts w:ascii="Arial" w:hAnsi="Arial" w:cs="Arial"/>
          <w:sz w:val="22"/>
          <w:szCs w:val="22"/>
        </w:rPr>
        <w:t xml:space="preserve">The PCC recognises expected credit losses on its financial assets held at amortised cost (subject to materiality) either on a 12-month or lifetime basis.  </w:t>
      </w:r>
    </w:p>
    <w:p w14:paraId="65BB4A55" w14:textId="0641E9BF" w:rsidR="003B74DA" w:rsidRPr="00836B1C" w:rsidRDefault="003B74DA" w:rsidP="003B74DA">
      <w:pPr>
        <w:spacing w:after="240"/>
        <w:ind w:left="426"/>
        <w:jc w:val="both"/>
        <w:rPr>
          <w:rFonts w:ascii="Arial" w:hAnsi="Arial" w:cs="Arial"/>
          <w:sz w:val="22"/>
          <w:szCs w:val="22"/>
        </w:rPr>
      </w:pPr>
      <w:r w:rsidRPr="00836B1C">
        <w:rPr>
          <w:rFonts w:ascii="Arial" w:hAnsi="Arial" w:cs="Arial"/>
          <w:sz w:val="22"/>
          <w:szCs w:val="22"/>
        </w:rPr>
        <w:t xml:space="preserve">Impairment losses are calculated to reflect the expectation that the future cash flows might not take place because the borrower could default on their obligations.  Credit risk plays a crucial part in assessing losses.  Where risk has increased significantly since an instrument was initially recognised, losses are assessed on a lifetime basis.  Where risk has not increased significantly or remains low, losses are assessed </w:t>
      </w:r>
      <w:r w:rsidR="00105039" w:rsidRPr="00836B1C">
        <w:rPr>
          <w:rFonts w:ascii="Arial" w:hAnsi="Arial" w:cs="Arial"/>
          <w:sz w:val="22"/>
          <w:szCs w:val="22"/>
        </w:rPr>
        <w:t>based on</w:t>
      </w:r>
      <w:r w:rsidRPr="00836B1C">
        <w:rPr>
          <w:rFonts w:ascii="Arial" w:hAnsi="Arial" w:cs="Arial"/>
          <w:sz w:val="22"/>
          <w:szCs w:val="22"/>
        </w:rPr>
        <w:t xml:space="preserve"> 12-month expected losses. </w:t>
      </w:r>
    </w:p>
    <w:p w14:paraId="5D1F7D70" w14:textId="77777777" w:rsidR="003B74DA" w:rsidRPr="00836B1C" w:rsidRDefault="003B74DA" w:rsidP="003B74DA">
      <w:pPr>
        <w:spacing w:after="240"/>
        <w:ind w:left="426"/>
        <w:jc w:val="both"/>
        <w:rPr>
          <w:rFonts w:ascii="Arial" w:hAnsi="Arial" w:cs="Arial"/>
          <w:sz w:val="22"/>
          <w:szCs w:val="22"/>
        </w:rPr>
      </w:pPr>
      <w:r w:rsidRPr="00836B1C">
        <w:rPr>
          <w:rFonts w:ascii="Arial" w:hAnsi="Arial" w:cs="Arial"/>
          <w:sz w:val="22"/>
          <w:szCs w:val="22"/>
        </w:rPr>
        <w:t xml:space="preserve">Lifetime losses are recognised for trade receivables (debtors) held by the PCC, </w:t>
      </w:r>
      <w:proofErr w:type="gramStart"/>
      <w:r w:rsidRPr="00836B1C">
        <w:rPr>
          <w:rFonts w:ascii="Arial" w:hAnsi="Arial" w:cs="Arial"/>
          <w:sz w:val="22"/>
          <w:szCs w:val="22"/>
        </w:rPr>
        <w:t>where</w:t>
      </w:r>
      <w:proofErr w:type="gramEnd"/>
      <w:r w:rsidRPr="00836B1C">
        <w:rPr>
          <w:rFonts w:ascii="Arial" w:hAnsi="Arial" w:cs="Arial"/>
          <w:sz w:val="22"/>
          <w:szCs w:val="22"/>
        </w:rPr>
        <w:t xml:space="preserve"> material.</w:t>
      </w:r>
    </w:p>
    <w:p w14:paraId="01E7D8AD" w14:textId="77777777" w:rsidR="00153067" w:rsidRDefault="00153067">
      <w:pPr>
        <w:rPr>
          <w:rFonts w:ascii="Arial" w:hAnsi="Arial" w:cs="Arial"/>
          <w:sz w:val="22"/>
          <w:szCs w:val="22"/>
        </w:rPr>
      </w:pPr>
      <w:r>
        <w:rPr>
          <w:rFonts w:ascii="Arial" w:hAnsi="Arial" w:cs="Arial"/>
          <w:sz w:val="22"/>
          <w:szCs w:val="22"/>
        </w:rPr>
        <w:br w:type="page"/>
      </w:r>
    </w:p>
    <w:p w14:paraId="1C1C145F" w14:textId="098EA99A" w:rsidR="003B74DA" w:rsidRPr="00836B1C" w:rsidRDefault="003B74DA" w:rsidP="003B74DA">
      <w:pPr>
        <w:spacing w:after="240"/>
        <w:ind w:left="426"/>
        <w:jc w:val="both"/>
        <w:rPr>
          <w:rFonts w:ascii="Arial" w:hAnsi="Arial" w:cs="Arial"/>
          <w:sz w:val="22"/>
          <w:szCs w:val="22"/>
        </w:rPr>
      </w:pPr>
      <w:r w:rsidRPr="00836B1C">
        <w:rPr>
          <w:rFonts w:ascii="Arial" w:hAnsi="Arial" w:cs="Arial"/>
          <w:sz w:val="22"/>
          <w:szCs w:val="22"/>
        </w:rPr>
        <w:lastRenderedPageBreak/>
        <w:t xml:space="preserve">The Code confirms that local authorities must not recognise a loss allowance for expected credit losses on a financial asset where the counterparty for a financial asset is central government or a local authority for which relevant statutory provisions prevent default. </w:t>
      </w:r>
    </w:p>
    <w:p w14:paraId="7C463C73" w14:textId="77777777" w:rsidR="003B74DA" w:rsidRPr="00836B1C" w:rsidRDefault="003B74DA" w:rsidP="003B74DA">
      <w:pPr>
        <w:spacing w:after="240"/>
        <w:ind w:left="426"/>
        <w:jc w:val="both"/>
        <w:rPr>
          <w:rFonts w:ascii="Arial" w:hAnsi="Arial" w:cs="Arial"/>
          <w:b/>
          <w:sz w:val="22"/>
          <w:szCs w:val="22"/>
        </w:rPr>
      </w:pPr>
      <w:r w:rsidRPr="00836B1C">
        <w:rPr>
          <w:rFonts w:ascii="Arial" w:hAnsi="Arial" w:cs="Arial"/>
          <w:b/>
          <w:sz w:val="22"/>
          <w:szCs w:val="22"/>
        </w:rPr>
        <w:t>Fair Values</w:t>
      </w:r>
    </w:p>
    <w:p w14:paraId="2D8A13F8" w14:textId="021AF907" w:rsidR="003B74DA" w:rsidRPr="00836B1C" w:rsidRDefault="00010BEB" w:rsidP="003B74DA">
      <w:pPr>
        <w:spacing w:after="240"/>
        <w:ind w:left="426"/>
        <w:jc w:val="both"/>
        <w:rPr>
          <w:rFonts w:ascii="Arial" w:hAnsi="Arial" w:cs="Arial"/>
          <w:sz w:val="22"/>
          <w:szCs w:val="22"/>
        </w:rPr>
      </w:pPr>
      <w:r w:rsidRPr="00836B1C">
        <w:rPr>
          <w:rFonts w:ascii="Arial" w:hAnsi="Arial" w:cs="Arial"/>
          <w:sz w:val="22"/>
          <w:szCs w:val="22"/>
        </w:rPr>
        <w:t xml:space="preserve">All </w:t>
      </w:r>
      <w:r w:rsidR="003B578C" w:rsidRPr="00836B1C">
        <w:rPr>
          <w:rFonts w:ascii="Arial" w:hAnsi="Arial" w:cs="Arial"/>
          <w:sz w:val="22"/>
          <w:szCs w:val="22"/>
        </w:rPr>
        <w:t xml:space="preserve">Financial instruments are carried in the balance sheet at </w:t>
      </w:r>
      <w:r w:rsidRPr="00836B1C">
        <w:rPr>
          <w:rFonts w:ascii="Arial" w:hAnsi="Arial" w:cs="Arial"/>
          <w:sz w:val="22"/>
          <w:szCs w:val="22"/>
        </w:rPr>
        <w:t>amortised cost</w:t>
      </w:r>
      <w:r w:rsidR="00D837BD" w:rsidRPr="00836B1C">
        <w:rPr>
          <w:rFonts w:ascii="Arial" w:hAnsi="Arial" w:cs="Arial"/>
          <w:sz w:val="22"/>
          <w:szCs w:val="22"/>
        </w:rPr>
        <w:t xml:space="preserve"> as the PCC’s</w:t>
      </w:r>
      <w:r w:rsidR="00D837BD" w:rsidRPr="00836B1C">
        <w:t xml:space="preserve"> </w:t>
      </w:r>
      <w:r w:rsidR="00D837BD" w:rsidRPr="00836B1C">
        <w:rPr>
          <w:rFonts w:ascii="Arial" w:hAnsi="Arial" w:cs="Arial"/>
          <w:sz w:val="22"/>
          <w:szCs w:val="22"/>
        </w:rPr>
        <w:t>business model is to hold investments to collect contractual cash flows</w:t>
      </w:r>
      <w:r w:rsidR="003B578C" w:rsidRPr="00836B1C">
        <w:rPr>
          <w:rFonts w:ascii="Arial" w:hAnsi="Arial" w:cs="Arial"/>
          <w:sz w:val="22"/>
          <w:szCs w:val="22"/>
        </w:rPr>
        <w:t>.</w:t>
      </w:r>
      <w:r w:rsidR="003B74DA" w:rsidRPr="00836B1C">
        <w:rPr>
          <w:rFonts w:ascii="Arial" w:hAnsi="Arial" w:cs="Arial"/>
          <w:sz w:val="22"/>
          <w:szCs w:val="22"/>
        </w:rPr>
        <w:t xml:space="preserve"> Their fair values have been estimated by calculating the net present value of the remaining contractual cash flows at 31 March 20</w:t>
      </w:r>
      <w:r w:rsidR="00C4215A" w:rsidRPr="00836B1C">
        <w:rPr>
          <w:rFonts w:ascii="Arial" w:hAnsi="Arial" w:cs="Arial"/>
          <w:sz w:val="22"/>
          <w:szCs w:val="22"/>
        </w:rPr>
        <w:t>2</w:t>
      </w:r>
      <w:r w:rsidR="00625B3B">
        <w:rPr>
          <w:rFonts w:ascii="Arial" w:hAnsi="Arial" w:cs="Arial"/>
          <w:sz w:val="22"/>
          <w:szCs w:val="22"/>
        </w:rPr>
        <w:t>5</w:t>
      </w:r>
      <w:r w:rsidR="003B74DA" w:rsidRPr="00836B1C">
        <w:rPr>
          <w:rFonts w:ascii="Arial" w:hAnsi="Arial" w:cs="Arial"/>
          <w:sz w:val="22"/>
          <w:szCs w:val="22"/>
        </w:rPr>
        <w:t>, using the following methods and assumptions:</w:t>
      </w:r>
    </w:p>
    <w:p w14:paraId="252CE53D" w14:textId="77777777" w:rsidR="003B74DA" w:rsidRPr="00836B1C" w:rsidRDefault="003B74DA" w:rsidP="004E2882">
      <w:pPr>
        <w:pStyle w:val="ListParagraph"/>
        <w:numPr>
          <w:ilvl w:val="0"/>
          <w:numId w:val="27"/>
        </w:numPr>
        <w:spacing w:after="240"/>
        <w:jc w:val="both"/>
        <w:rPr>
          <w:rFonts w:ascii="Arial" w:hAnsi="Arial" w:cs="Arial"/>
        </w:rPr>
      </w:pPr>
      <w:r w:rsidRPr="00836B1C">
        <w:rPr>
          <w:rFonts w:ascii="Arial" w:hAnsi="Arial" w:cs="Arial"/>
        </w:rPr>
        <w:t>Loans borrowed by the PCC have been valued by discounting the contractual cash flows over the whole life of the instrument at the appropriate market rate for local authority loans;</w:t>
      </w:r>
    </w:p>
    <w:p w14:paraId="46632E53" w14:textId="30E4031D" w:rsidR="003B74DA" w:rsidRPr="00836B1C" w:rsidRDefault="003B74DA" w:rsidP="004E2882">
      <w:pPr>
        <w:pStyle w:val="ListParagraph"/>
        <w:numPr>
          <w:ilvl w:val="0"/>
          <w:numId w:val="27"/>
        </w:numPr>
        <w:spacing w:after="240"/>
        <w:jc w:val="both"/>
        <w:rPr>
          <w:rFonts w:ascii="Arial" w:hAnsi="Arial" w:cs="Arial"/>
        </w:rPr>
      </w:pPr>
      <w:r w:rsidRPr="00836B1C">
        <w:rPr>
          <w:rFonts w:ascii="Arial" w:hAnsi="Arial" w:cs="Arial"/>
        </w:rPr>
        <w:t>The fair values of long</w:t>
      </w:r>
      <w:r w:rsidR="00226873" w:rsidRPr="00836B1C">
        <w:rPr>
          <w:rFonts w:ascii="Arial" w:hAnsi="Arial" w:cs="Arial"/>
        </w:rPr>
        <w:t>-</w:t>
      </w:r>
      <w:r w:rsidRPr="00836B1C">
        <w:rPr>
          <w:rFonts w:ascii="Arial" w:hAnsi="Arial" w:cs="Arial"/>
        </w:rPr>
        <w:t>term loans have been discounted at the market rates for similar instruments with similar remaining terms to maturity on 31 March 20</w:t>
      </w:r>
      <w:r w:rsidR="00C4215A" w:rsidRPr="00836B1C">
        <w:rPr>
          <w:rFonts w:ascii="Arial" w:hAnsi="Arial" w:cs="Arial"/>
        </w:rPr>
        <w:t>2</w:t>
      </w:r>
      <w:r w:rsidR="00106CC1">
        <w:rPr>
          <w:rFonts w:ascii="Arial" w:hAnsi="Arial" w:cs="Arial"/>
        </w:rPr>
        <w:t>5</w:t>
      </w:r>
      <w:r w:rsidRPr="00836B1C">
        <w:rPr>
          <w:rFonts w:ascii="Arial" w:hAnsi="Arial" w:cs="Arial"/>
        </w:rPr>
        <w:t>;</w:t>
      </w:r>
    </w:p>
    <w:p w14:paraId="37563D89" w14:textId="729B1873" w:rsidR="00AF3F0C" w:rsidRPr="00836B1C" w:rsidRDefault="003B74DA" w:rsidP="004E2882">
      <w:pPr>
        <w:pStyle w:val="ListParagraph"/>
        <w:numPr>
          <w:ilvl w:val="0"/>
          <w:numId w:val="27"/>
        </w:numPr>
        <w:spacing w:after="240"/>
        <w:jc w:val="both"/>
        <w:rPr>
          <w:rFonts w:ascii="Arial" w:hAnsi="Arial" w:cs="Arial"/>
        </w:rPr>
      </w:pPr>
      <w:r w:rsidRPr="00836B1C">
        <w:rPr>
          <w:rFonts w:ascii="Arial" w:hAnsi="Arial" w:cs="Arial"/>
        </w:rPr>
        <w:t>The fair value of short</w:t>
      </w:r>
      <w:r w:rsidR="00226873" w:rsidRPr="00836B1C">
        <w:rPr>
          <w:rFonts w:ascii="Arial" w:hAnsi="Arial" w:cs="Arial"/>
        </w:rPr>
        <w:t>-</w:t>
      </w:r>
      <w:r w:rsidRPr="00836B1C">
        <w:rPr>
          <w:rFonts w:ascii="Arial" w:hAnsi="Arial" w:cs="Arial"/>
        </w:rPr>
        <w:t>term instruments, including trade payables and receivables, is assumed to approximate to the carrying amount given the low and stable interest rate environment.</w:t>
      </w:r>
    </w:p>
    <w:p w14:paraId="441A1DD9" w14:textId="14BF6389" w:rsidR="003B74DA" w:rsidRPr="00836B1C" w:rsidRDefault="003B74DA" w:rsidP="003B74DA">
      <w:pPr>
        <w:spacing w:after="240"/>
        <w:ind w:left="426"/>
        <w:jc w:val="both"/>
        <w:rPr>
          <w:rFonts w:cs="Arial"/>
          <w:sz w:val="22"/>
          <w:szCs w:val="22"/>
        </w:rPr>
      </w:pPr>
      <w:r w:rsidRPr="00836B1C">
        <w:rPr>
          <w:rFonts w:ascii="Arial" w:hAnsi="Arial" w:cs="Arial"/>
          <w:sz w:val="22"/>
          <w:szCs w:val="22"/>
        </w:rPr>
        <w:t>Fair values are shown in the table below, split by their level in the fair value hierarchy:</w:t>
      </w:r>
    </w:p>
    <w:tbl>
      <w:tblPr>
        <w:tblStyle w:val="TableGrid"/>
        <w:tblW w:w="9845" w:type="dxa"/>
        <w:tblInd w:w="6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8716"/>
      </w:tblGrid>
      <w:tr w:rsidR="003B74DA" w:rsidRPr="00836B1C" w14:paraId="5DCF3F3E" w14:textId="77777777" w:rsidTr="00D56E42">
        <w:tc>
          <w:tcPr>
            <w:tcW w:w="1129" w:type="dxa"/>
          </w:tcPr>
          <w:p w14:paraId="38F7DDDB" w14:textId="77777777" w:rsidR="003B74DA" w:rsidRPr="00836B1C" w:rsidRDefault="003B74DA" w:rsidP="00D56E42">
            <w:pPr>
              <w:jc w:val="both"/>
              <w:rPr>
                <w:rFonts w:ascii="Arial" w:eastAsia="Arial Unicode MS" w:hAnsi="Arial" w:cs="Arial"/>
                <w:sz w:val="22"/>
              </w:rPr>
            </w:pPr>
            <w:r w:rsidRPr="00836B1C">
              <w:rPr>
                <w:rFonts w:ascii="Arial" w:eastAsia="Arial Unicode MS" w:hAnsi="Arial" w:cs="Arial"/>
                <w:sz w:val="22"/>
              </w:rPr>
              <w:t>Level 1</w:t>
            </w:r>
          </w:p>
        </w:tc>
        <w:tc>
          <w:tcPr>
            <w:tcW w:w="8716" w:type="dxa"/>
          </w:tcPr>
          <w:p w14:paraId="1806F41A" w14:textId="77777777" w:rsidR="003B74DA" w:rsidRPr="00836B1C" w:rsidRDefault="003B74DA" w:rsidP="00D56E42">
            <w:pPr>
              <w:jc w:val="both"/>
              <w:rPr>
                <w:rFonts w:ascii="Arial" w:eastAsia="Arial Unicode MS" w:hAnsi="Arial" w:cs="Arial"/>
                <w:sz w:val="22"/>
              </w:rPr>
            </w:pPr>
            <w:r w:rsidRPr="00836B1C">
              <w:rPr>
                <w:rFonts w:ascii="Arial" w:eastAsia="Arial Unicode MS" w:hAnsi="Arial" w:cs="Arial"/>
                <w:sz w:val="22"/>
              </w:rPr>
              <w:t>Derived from quoted prices in active markets for identical assets or liabilities, e.g. bond prices</w:t>
            </w:r>
          </w:p>
        </w:tc>
      </w:tr>
      <w:tr w:rsidR="003B74DA" w:rsidRPr="00836B1C" w14:paraId="3F93827F" w14:textId="77777777" w:rsidTr="00D56E42">
        <w:tc>
          <w:tcPr>
            <w:tcW w:w="1129" w:type="dxa"/>
          </w:tcPr>
          <w:p w14:paraId="72BA1765" w14:textId="77777777" w:rsidR="003B74DA" w:rsidRPr="00836B1C" w:rsidRDefault="003B74DA" w:rsidP="00D56E42">
            <w:pPr>
              <w:jc w:val="both"/>
              <w:rPr>
                <w:rFonts w:ascii="Arial" w:eastAsia="Arial Unicode MS" w:hAnsi="Arial" w:cs="Arial"/>
                <w:sz w:val="22"/>
              </w:rPr>
            </w:pPr>
            <w:r w:rsidRPr="00836B1C">
              <w:rPr>
                <w:rFonts w:ascii="Arial" w:eastAsia="Arial Unicode MS" w:hAnsi="Arial" w:cs="Arial"/>
                <w:sz w:val="22"/>
              </w:rPr>
              <w:t>Level 2</w:t>
            </w:r>
          </w:p>
        </w:tc>
        <w:tc>
          <w:tcPr>
            <w:tcW w:w="8716" w:type="dxa"/>
          </w:tcPr>
          <w:p w14:paraId="682070C7" w14:textId="1B08B45D" w:rsidR="003B74DA" w:rsidRPr="00836B1C" w:rsidRDefault="00226873" w:rsidP="00D56E42">
            <w:pPr>
              <w:jc w:val="both"/>
              <w:rPr>
                <w:rFonts w:ascii="Arial" w:eastAsia="Arial Unicode MS" w:hAnsi="Arial" w:cs="Arial"/>
                <w:sz w:val="22"/>
              </w:rPr>
            </w:pPr>
            <w:r w:rsidRPr="00836B1C">
              <w:rPr>
                <w:rFonts w:ascii="Arial" w:eastAsia="Arial Unicode MS" w:hAnsi="Arial" w:cs="Arial"/>
                <w:sz w:val="22"/>
              </w:rPr>
              <w:t>Calculated from</w:t>
            </w:r>
            <w:r w:rsidR="003B74DA" w:rsidRPr="00836B1C">
              <w:rPr>
                <w:rFonts w:ascii="Arial" w:eastAsia="Arial Unicode MS" w:hAnsi="Arial" w:cs="Arial"/>
                <w:sz w:val="22"/>
              </w:rPr>
              <w:t xml:space="preserve"> inputs other than quoted prices that are observable for the asset or liability, e.g. interest rates or yields for similar instruments</w:t>
            </w:r>
          </w:p>
        </w:tc>
      </w:tr>
      <w:tr w:rsidR="003B74DA" w:rsidRPr="00645FC2" w14:paraId="54AF0014" w14:textId="77777777" w:rsidTr="00D56E42">
        <w:tc>
          <w:tcPr>
            <w:tcW w:w="1129" w:type="dxa"/>
          </w:tcPr>
          <w:p w14:paraId="190213D0" w14:textId="77777777" w:rsidR="003B74DA" w:rsidRPr="00836B1C" w:rsidRDefault="003B74DA" w:rsidP="00D56E42">
            <w:pPr>
              <w:jc w:val="both"/>
              <w:rPr>
                <w:rFonts w:ascii="Arial" w:eastAsia="Arial Unicode MS" w:hAnsi="Arial" w:cs="Arial"/>
                <w:sz w:val="22"/>
              </w:rPr>
            </w:pPr>
            <w:r w:rsidRPr="00836B1C">
              <w:rPr>
                <w:rFonts w:ascii="Arial" w:eastAsia="Arial Unicode MS" w:hAnsi="Arial" w:cs="Arial"/>
                <w:sz w:val="22"/>
              </w:rPr>
              <w:t>Level 3</w:t>
            </w:r>
          </w:p>
        </w:tc>
        <w:tc>
          <w:tcPr>
            <w:tcW w:w="8716" w:type="dxa"/>
          </w:tcPr>
          <w:p w14:paraId="7A55BE15" w14:textId="77777777" w:rsidR="00A42FD8" w:rsidRDefault="003B74DA" w:rsidP="00791D75">
            <w:pPr>
              <w:jc w:val="both"/>
              <w:rPr>
                <w:rFonts w:ascii="Arial" w:eastAsia="Arial Unicode MS" w:hAnsi="Arial" w:cs="Arial"/>
                <w:sz w:val="22"/>
              </w:rPr>
            </w:pPr>
            <w:r w:rsidRPr="00836B1C">
              <w:rPr>
                <w:rFonts w:ascii="Arial" w:eastAsia="Arial Unicode MS" w:hAnsi="Arial" w:cs="Arial"/>
                <w:sz w:val="22"/>
              </w:rPr>
              <w:t>Determined using unobservable inputs, e.g. non-market data such as cash flow forecasts or estimated creditworthiness</w:t>
            </w:r>
          </w:p>
          <w:p w14:paraId="7FBEC596" w14:textId="48F7CC09" w:rsidR="00791D75" w:rsidRPr="00836B1C" w:rsidRDefault="00791D75" w:rsidP="00791D75">
            <w:pPr>
              <w:jc w:val="both"/>
              <w:rPr>
                <w:rFonts w:ascii="Arial" w:eastAsia="Arial Unicode MS" w:hAnsi="Arial" w:cs="Arial"/>
                <w:sz w:val="22"/>
              </w:rPr>
            </w:pPr>
          </w:p>
        </w:tc>
      </w:tr>
    </w:tbl>
    <w:p w14:paraId="52A3293D" w14:textId="4AAF7B17" w:rsidR="00791D75" w:rsidRDefault="00791D75" w:rsidP="00791D75">
      <w:pPr>
        <w:rPr>
          <w:rFonts w:ascii="Arial" w:hAnsi="Arial" w:cs="Arial"/>
          <w:sz w:val="22"/>
          <w:szCs w:val="22"/>
        </w:rPr>
      </w:pPr>
      <w:r>
        <w:rPr>
          <w:rFonts w:ascii="Arial" w:hAnsi="Arial" w:cs="Arial"/>
          <w:sz w:val="22"/>
          <w:szCs w:val="22"/>
        </w:rPr>
        <w:br w:type="page"/>
      </w:r>
      <w:r w:rsidRPr="0063738B">
        <w:rPr>
          <w:rFonts w:ascii="Arial" w:hAnsi="Arial" w:cs="Arial"/>
          <w:sz w:val="22"/>
          <w:szCs w:val="22"/>
        </w:rPr>
        <w:lastRenderedPageBreak/>
        <w:t>The following categories of financial instruments are carried in the Balance Sheets of the PCC and the Group:-</w:t>
      </w:r>
    </w:p>
    <w:p w14:paraId="72261BDD" w14:textId="77777777" w:rsidR="00886F75" w:rsidRPr="00791D75" w:rsidRDefault="00886F75">
      <w:pPr>
        <w:rPr>
          <w:rFonts w:ascii="Arial" w:hAnsi="Arial" w:cs="Arial"/>
          <w:sz w:val="22"/>
          <w:szCs w:val="22"/>
          <w:highlight w:val="yellow"/>
        </w:rPr>
      </w:pPr>
    </w:p>
    <w:p w14:paraId="0085E558" w14:textId="77777777" w:rsidR="0063738B" w:rsidRDefault="0063738B">
      <w:pPr>
        <w:rPr>
          <w:rFonts w:ascii="Arial" w:hAnsi="Arial" w:cs="Arial"/>
          <w:sz w:val="22"/>
          <w:szCs w:val="22"/>
          <w:highlight w:val="yellow"/>
        </w:rPr>
      </w:pPr>
    </w:p>
    <w:tbl>
      <w:tblPr>
        <w:tblW w:w="10972" w:type="dxa"/>
        <w:tblInd w:w="-5" w:type="dxa"/>
        <w:tblLook w:val="04A0" w:firstRow="1" w:lastRow="0" w:firstColumn="1" w:lastColumn="0" w:noHBand="0" w:noVBand="1"/>
      </w:tblPr>
      <w:tblGrid>
        <w:gridCol w:w="1101"/>
        <w:gridCol w:w="992"/>
        <w:gridCol w:w="1195"/>
        <w:gridCol w:w="1195"/>
        <w:gridCol w:w="2288"/>
        <w:gridCol w:w="992"/>
        <w:gridCol w:w="992"/>
        <w:gridCol w:w="1134"/>
        <w:gridCol w:w="1083"/>
      </w:tblGrid>
      <w:tr w:rsidR="008F4702" w:rsidRPr="008F4702" w14:paraId="5D50FAF8" w14:textId="77777777" w:rsidTr="00791D75">
        <w:trPr>
          <w:trHeight w:val="299"/>
        </w:trPr>
        <w:tc>
          <w:tcPr>
            <w:tcW w:w="2093" w:type="dxa"/>
            <w:gridSpan w:val="2"/>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44FB2F0E"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Long Term</w:t>
            </w:r>
          </w:p>
        </w:tc>
        <w:tc>
          <w:tcPr>
            <w:tcW w:w="2390"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734913DC"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Short Term</w:t>
            </w:r>
          </w:p>
        </w:tc>
        <w:tc>
          <w:tcPr>
            <w:tcW w:w="2288" w:type="dxa"/>
            <w:tcBorders>
              <w:top w:val="single" w:sz="4" w:space="0" w:color="auto"/>
              <w:left w:val="nil"/>
              <w:bottom w:val="single" w:sz="4" w:space="0" w:color="auto"/>
              <w:right w:val="single" w:sz="4" w:space="0" w:color="auto"/>
            </w:tcBorders>
            <w:shd w:val="clear" w:color="000000" w:fill="D9D9D9"/>
            <w:noWrap/>
            <w:vAlign w:val="bottom"/>
            <w:hideMark/>
          </w:tcPr>
          <w:p w14:paraId="558BCEB7" w14:textId="77777777" w:rsidR="008F4702" w:rsidRPr="0052153D" w:rsidRDefault="008F4702" w:rsidP="008F4702">
            <w:pPr>
              <w:rPr>
                <w:rFonts w:ascii="Arial" w:hAnsi="Arial" w:cs="Arial"/>
                <w:b/>
                <w:bCs/>
                <w:color w:val="000000"/>
                <w:sz w:val="16"/>
                <w:szCs w:val="16"/>
              </w:rPr>
            </w:pPr>
            <w:r w:rsidRPr="0052153D">
              <w:rPr>
                <w:rFonts w:ascii="Arial" w:hAnsi="Arial" w:cs="Arial"/>
                <w:b/>
                <w:bCs/>
                <w:color w:val="000000"/>
                <w:sz w:val="16"/>
                <w:szCs w:val="16"/>
              </w:rPr>
              <w:t> </w:t>
            </w:r>
          </w:p>
        </w:tc>
        <w:tc>
          <w:tcPr>
            <w:tcW w:w="1984"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6F861C9E"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Long Term</w:t>
            </w:r>
          </w:p>
        </w:tc>
        <w:tc>
          <w:tcPr>
            <w:tcW w:w="2217" w:type="dxa"/>
            <w:gridSpan w:val="2"/>
            <w:tcBorders>
              <w:top w:val="single" w:sz="4" w:space="0" w:color="auto"/>
              <w:left w:val="nil"/>
              <w:bottom w:val="single" w:sz="4" w:space="0" w:color="auto"/>
              <w:right w:val="single" w:sz="4" w:space="0" w:color="auto"/>
            </w:tcBorders>
            <w:shd w:val="clear" w:color="000000" w:fill="D9D9D9"/>
            <w:noWrap/>
            <w:vAlign w:val="bottom"/>
            <w:hideMark/>
          </w:tcPr>
          <w:p w14:paraId="0704C6F3"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Short Term</w:t>
            </w:r>
          </w:p>
        </w:tc>
      </w:tr>
      <w:tr w:rsidR="008F4702" w:rsidRPr="008F4702" w14:paraId="35B36E9F" w14:textId="77777777" w:rsidTr="00791D75">
        <w:trPr>
          <w:trHeight w:val="299"/>
        </w:trPr>
        <w:tc>
          <w:tcPr>
            <w:tcW w:w="1101" w:type="dxa"/>
            <w:tcBorders>
              <w:top w:val="nil"/>
              <w:left w:val="single" w:sz="4" w:space="0" w:color="auto"/>
              <w:bottom w:val="single" w:sz="4" w:space="0" w:color="auto"/>
              <w:right w:val="single" w:sz="4" w:space="0" w:color="auto"/>
            </w:tcBorders>
            <w:shd w:val="clear" w:color="000000" w:fill="D9D9D9"/>
            <w:noWrap/>
            <w:vAlign w:val="bottom"/>
            <w:hideMark/>
          </w:tcPr>
          <w:p w14:paraId="06B8D9C2"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PCC</w:t>
            </w:r>
          </w:p>
        </w:tc>
        <w:tc>
          <w:tcPr>
            <w:tcW w:w="992" w:type="dxa"/>
            <w:tcBorders>
              <w:top w:val="nil"/>
              <w:left w:val="nil"/>
              <w:bottom w:val="single" w:sz="4" w:space="0" w:color="auto"/>
              <w:right w:val="single" w:sz="4" w:space="0" w:color="auto"/>
            </w:tcBorders>
            <w:shd w:val="clear" w:color="000000" w:fill="D9D9D9"/>
            <w:noWrap/>
            <w:vAlign w:val="bottom"/>
            <w:hideMark/>
          </w:tcPr>
          <w:p w14:paraId="7C869CE6"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 xml:space="preserve">Group </w:t>
            </w:r>
          </w:p>
        </w:tc>
        <w:tc>
          <w:tcPr>
            <w:tcW w:w="1195" w:type="dxa"/>
            <w:tcBorders>
              <w:top w:val="nil"/>
              <w:left w:val="nil"/>
              <w:bottom w:val="single" w:sz="4" w:space="0" w:color="auto"/>
              <w:right w:val="single" w:sz="4" w:space="0" w:color="auto"/>
            </w:tcBorders>
            <w:shd w:val="clear" w:color="000000" w:fill="D9D9D9"/>
            <w:noWrap/>
            <w:vAlign w:val="bottom"/>
            <w:hideMark/>
          </w:tcPr>
          <w:p w14:paraId="533E10F3"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 xml:space="preserve">PCC </w:t>
            </w:r>
          </w:p>
        </w:tc>
        <w:tc>
          <w:tcPr>
            <w:tcW w:w="1195" w:type="dxa"/>
            <w:tcBorders>
              <w:top w:val="nil"/>
              <w:left w:val="nil"/>
              <w:bottom w:val="single" w:sz="4" w:space="0" w:color="auto"/>
              <w:right w:val="single" w:sz="4" w:space="0" w:color="auto"/>
            </w:tcBorders>
            <w:shd w:val="clear" w:color="000000" w:fill="D9D9D9"/>
            <w:noWrap/>
            <w:vAlign w:val="bottom"/>
            <w:hideMark/>
          </w:tcPr>
          <w:p w14:paraId="0F1D1B9D"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Group</w:t>
            </w:r>
          </w:p>
        </w:tc>
        <w:tc>
          <w:tcPr>
            <w:tcW w:w="2288" w:type="dxa"/>
            <w:tcBorders>
              <w:top w:val="nil"/>
              <w:left w:val="nil"/>
              <w:bottom w:val="single" w:sz="4" w:space="0" w:color="auto"/>
              <w:right w:val="single" w:sz="4" w:space="0" w:color="auto"/>
            </w:tcBorders>
            <w:shd w:val="clear" w:color="000000" w:fill="D9D9D9"/>
            <w:noWrap/>
            <w:vAlign w:val="bottom"/>
            <w:hideMark/>
          </w:tcPr>
          <w:p w14:paraId="6AB907A3" w14:textId="77777777" w:rsidR="008F4702" w:rsidRPr="0052153D" w:rsidRDefault="008F4702" w:rsidP="008F4702">
            <w:pPr>
              <w:rPr>
                <w:rFonts w:ascii="Arial" w:hAnsi="Arial" w:cs="Arial"/>
                <w:b/>
                <w:bCs/>
                <w:color w:val="000000"/>
                <w:sz w:val="16"/>
                <w:szCs w:val="16"/>
              </w:rPr>
            </w:pPr>
            <w:r w:rsidRPr="0052153D">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5766DB7E"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PCC</w:t>
            </w:r>
          </w:p>
        </w:tc>
        <w:tc>
          <w:tcPr>
            <w:tcW w:w="992" w:type="dxa"/>
            <w:tcBorders>
              <w:top w:val="nil"/>
              <w:left w:val="nil"/>
              <w:bottom w:val="single" w:sz="4" w:space="0" w:color="auto"/>
              <w:right w:val="single" w:sz="4" w:space="0" w:color="auto"/>
            </w:tcBorders>
            <w:shd w:val="clear" w:color="000000" w:fill="D9D9D9"/>
            <w:noWrap/>
            <w:vAlign w:val="bottom"/>
            <w:hideMark/>
          </w:tcPr>
          <w:p w14:paraId="1FFF6477"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 xml:space="preserve">Group </w:t>
            </w:r>
          </w:p>
        </w:tc>
        <w:tc>
          <w:tcPr>
            <w:tcW w:w="1134" w:type="dxa"/>
            <w:tcBorders>
              <w:top w:val="nil"/>
              <w:left w:val="nil"/>
              <w:bottom w:val="single" w:sz="4" w:space="0" w:color="auto"/>
              <w:right w:val="single" w:sz="4" w:space="0" w:color="auto"/>
            </w:tcBorders>
            <w:shd w:val="clear" w:color="000000" w:fill="D9D9D9"/>
            <w:noWrap/>
            <w:vAlign w:val="bottom"/>
            <w:hideMark/>
          </w:tcPr>
          <w:p w14:paraId="23BDEE17"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 xml:space="preserve">PCC </w:t>
            </w:r>
          </w:p>
        </w:tc>
        <w:tc>
          <w:tcPr>
            <w:tcW w:w="1083" w:type="dxa"/>
            <w:tcBorders>
              <w:top w:val="nil"/>
              <w:left w:val="nil"/>
              <w:bottom w:val="single" w:sz="4" w:space="0" w:color="auto"/>
              <w:right w:val="single" w:sz="4" w:space="0" w:color="auto"/>
            </w:tcBorders>
            <w:shd w:val="clear" w:color="000000" w:fill="D9D9D9"/>
            <w:noWrap/>
            <w:vAlign w:val="bottom"/>
            <w:hideMark/>
          </w:tcPr>
          <w:p w14:paraId="4863BF6C" w14:textId="77777777" w:rsidR="008F4702" w:rsidRPr="0052153D" w:rsidRDefault="008F4702" w:rsidP="008F4702">
            <w:pPr>
              <w:jc w:val="center"/>
              <w:rPr>
                <w:rFonts w:ascii="Arial" w:hAnsi="Arial" w:cs="Arial"/>
                <w:b/>
                <w:bCs/>
                <w:color w:val="000000"/>
                <w:sz w:val="16"/>
                <w:szCs w:val="16"/>
              </w:rPr>
            </w:pPr>
            <w:r w:rsidRPr="0052153D">
              <w:rPr>
                <w:rFonts w:ascii="Arial" w:hAnsi="Arial" w:cs="Arial"/>
                <w:b/>
                <w:bCs/>
                <w:color w:val="000000"/>
                <w:sz w:val="16"/>
                <w:szCs w:val="16"/>
              </w:rPr>
              <w:t>Group</w:t>
            </w:r>
          </w:p>
        </w:tc>
      </w:tr>
      <w:tr w:rsidR="008F4702" w:rsidRPr="008F4702" w14:paraId="7050BCBE" w14:textId="77777777" w:rsidTr="00791D75">
        <w:trPr>
          <w:trHeight w:val="299"/>
        </w:trPr>
        <w:tc>
          <w:tcPr>
            <w:tcW w:w="1101" w:type="dxa"/>
            <w:tcBorders>
              <w:top w:val="nil"/>
              <w:left w:val="single" w:sz="4" w:space="0" w:color="auto"/>
              <w:bottom w:val="single" w:sz="4" w:space="0" w:color="auto"/>
              <w:right w:val="single" w:sz="4" w:space="0" w:color="auto"/>
            </w:tcBorders>
            <w:shd w:val="clear" w:color="000000" w:fill="D9D9D9"/>
            <w:vAlign w:val="center"/>
            <w:hideMark/>
          </w:tcPr>
          <w:p w14:paraId="3FA7A22D" w14:textId="2305B321" w:rsidR="008F4702" w:rsidRPr="0052153D" w:rsidRDefault="008F4702" w:rsidP="008F4702">
            <w:pPr>
              <w:jc w:val="right"/>
              <w:rPr>
                <w:rFonts w:ascii="Arial" w:hAnsi="Arial" w:cs="Arial"/>
                <w:b/>
                <w:bCs/>
                <w:color w:val="000000"/>
                <w:sz w:val="16"/>
                <w:szCs w:val="16"/>
              </w:rPr>
            </w:pPr>
            <w:r w:rsidRPr="0052153D">
              <w:rPr>
                <w:rFonts w:ascii="Arial" w:hAnsi="Arial" w:cs="Arial"/>
                <w:b/>
                <w:bCs/>
                <w:color w:val="000000"/>
                <w:sz w:val="16"/>
                <w:szCs w:val="16"/>
              </w:rPr>
              <w:t>31-Mar-2</w:t>
            </w:r>
            <w:r w:rsidR="00E71EA4" w:rsidRPr="0052153D">
              <w:rPr>
                <w:rFonts w:ascii="Arial" w:hAnsi="Arial" w:cs="Arial"/>
                <w:b/>
                <w:bCs/>
                <w:color w:val="000000"/>
                <w:sz w:val="16"/>
                <w:szCs w:val="16"/>
              </w:rPr>
              <w:t>4</w:t>
            </w:r>
          </w:p>
        </w:tc>
        <w:tc>
          <w:tcPr>
            <w:tcW w:w="992" w:type="dxa"/>
            <w:tcBorders>
              <w:top w:val="nil"/>
              <w:left w:val="nil"/>
              <w:bottom w:val="single" w:sz="4" w:space="0" w:color="auto"/>
              <w:right w:val="single" w:sz="4" w:space="0" w:color="auto"/>
            </w:tcBorders>
            <w:shd w:val="clear" w:color="000000" w:fill="D9D9D9"/>
            <w:vAlign w:val="center"/>
            <w:hideMark/>
          </w:tcPr>
          <w:p w14:paraId="1D057F14" w14:textId="55FE6558" w:rsidR="008F4702" w:rsidRPr="0052153D" w:rsidRDefault="008F4702" w:rsidP="008F4702">
            <w:pPr>
              <w:jc w:val="right"/>
              <w:rPr>
                <w:rFonts w:ascii="Arial" w:hAnsi="Arial" w:cs="Arial"/>
                <w:b/>
                <w:bCs/>
                <w:color w:val="000000"/>
                <w:sz w:val="16"/>
                <w:szCs w:val="16"/>
              </w:rPr>
            </w:pPr>
            <w:r w:rsidRPr="0052153D">
              <w:rPr>
                <w:rFonts w:ascii="Arial" w:hAnsi="Arial" w:cs="Arial"/>
                <w:b/>
                <w:bCs/>
                <w:color w:val="000000"/>
                <w:sz w:val="16"/>
                <w:szCs w:val="16"/>
              </w:rPr>
              <w:t>31-Mar-2</w:t>
            </w:r>
            <w:r w:rsidR="00E71EA4" w:rsidRPr="0052153D">
              <w:rPr>
                <w:rFonts w:ascii="Arial" w:hAnsi="Arial" w:cs="Arial"/>
                <w:b/>
                <w:bCs/>
                <w:color w:val="000000"/>
                <w:sz w:val="16"/>
                <w:szCs w:val="16"/>
              </w:rPr>
              <w:t>4</w:t>
            </w:r>
          </w:p>
        </w:tc>
        <w:tc>
          <w:tcPr>
            <w:tcW w:w="1195" w:type="dxa"/>
            <w:tcBorders>
              <w:top w:val="nil"/>
              <w:left w:val="nil"/>
              <w:bottom w:val="single" w:sz="4" w:space="0" w:color="auto"/>
              <w:right w:val="single" w:sz="4" w:space="0" w:color="auto"/>
            </w:tcBorders>
            <w:shd w:val="clear" w:color="000000" w:fill="D9D9D9"/>
            <w:vAlign w:val="center"/>
            <w:hideMark/>
          </w:tcPr>
          <w:p w14:paraId="76E8D6DD" w14:textId="14E93909" w:rsidR="008F4702" w:rsidRPr="0052153D" w:rsidRDefault="00DD3944" w:rsidP="008F4702">
            <w:pPr>
              <w:jc w:val="right"/>
              <w:rPr>
                <w:rFonts w:ascii="Arial" w:hAnsi="Arial" w:cs="Arial"/>
                <w:b/>
                <w:bCs/>
                <w:color w:val="000000"/>
                <w:sz w:val="16"/>
                <w:szCs w:val="16"/>
              </w:rPr>
            </w:pPr>
            <w:r>
              <w:rPr>
                <w:rFonts w:ascii="Arial" w:hAnsi="Arial" w:cs="Arial"/>
                <w:b/>
                <w:bCs/>
                <w:color w:val="000000"/>
                <w:sz w:val="16"/>
                <w:szCs w:val="16"/>
              </w:rPr>
              <w:t xml:space="preserve">Restated </w:t>
            </w:r>
            <w:r w:rsidR="008F4702" w:rsidRPr="0052153D">
              <w:rPr>
                <w:rFonts w:ascii="Arial" w:hAnsi="Arial" w:cs="Arial"/>
                <w:b/>
                <w:bCs/>
                <w:color w:val="000000"/>
                <w:sz w:val="16"/>
                <w:szCs w:val="16"/>
              </w:rPr>
              <w:t>31-Mar-2</w:t>
            </w:r>
            <w:r w:rsidR="00E71EA4" w:rsidRPr="0052153D">
              <w:rPr>
                <w:rFonts w:ascii="Arial" w:hAnsi="Arial" w:cs="Arial"/>
                <w:b/>
                <w:bCs/>
                <w:color w:val="000000"/>
                <w:sz w:val="16"/>
                <w:szCs w:val="16"/>
              </w:rPr>
              <w:t>4</w:t>
            </w:r>
          </w:p>
        </w:tc>
        <w:tc>
          <w:tcPr>
            <w:tcW w:w="1195" w:type="dxa"/>
            <w:tcBorders>
              <w:top w:val="nil"/>
              <w:left w:val="nil"/>
              <w:bottom w:val="single" w:sz="4" w:space="0" w:color="auto"/>
              <w:right w:val="single" w:sz="4" w:space="0" w:color="auto"/>
            </w:tcBorders>
            <w:shd w:val="clear" w:color="000000" w:fill="D9D9D9"/>
            <w:vAlign w:val="center"/>
            <w:hideMark/>
          </w:tcPr>
          <w:p w14:paraId="5D87C9C1" w14:textId="55CEB794" w:rsidR="008F4702" w:rsidRPr="0052153D" w:rsidRDefault="00DD3944" w:rsidP="008F4702">
            <w:pPr>
              <w:jc w:val="right"/>
              <w:rPr>
                <w:rFonts w:ascii="Arial" w:hAnsi="Arial" w:cs="Arial"/>
                <w:b/>
                <w:bCs/>
                <w:color w:val="000000"/>
                <w:sz w:val="16"/>
                <w:szCs w:val="16"/>
              </w:rPr>
            </w:pPr>
            <w:r>
              <w:rPr>
                <w:rFonts w:ascii="Arial" w:hAnsi="Arial" w:cs="Arial"/>
                <w:b/>
                <w:bCs/>
                <w:color w:val="000000"/>
                <w:sz w:val="16"/>
                <w:szCs w:val="16"/>
              </w:rPr>
              <w:t xml:space="preserve">Restated </w:t>
            </w:r>
            <w:r w:rsidR="008F4702" w:rsidRPr="0052153D">
              <w:rPr>
                <w:rFonts w:ascii="Arial" w:hAnsi="Arial" w:cs="Arial"/>
                <w:b/>
                <w:bCs/>
                <w:color w:val="000000"/>
                <w:sz w:val="16"/>
                <w:szCs w:val="16"/>
              </w:rPr>
              <w:t>31-Mar-2</w:t>
            </w:r>
            <w:r w:rsidR="00E71EA4" w:rsidRPr="0052153D">
              <w:rPr>
                <w:rFonts w:ascii="Arial" w:hAnsi="Arial" w:cs="Arial"/>
                <w:b/>
                <w:bCs/>
                <w:color w:val="000000"/>
                <w:sz w:val="16"/>
                <w:szCs w:val="16"/>
              </w:rPr>
              <w:t>4</w:t>
            </w:r>
          </w:p>
        </w:tc>
        <w:tc>
          <w:tcPr>
            <w:tcW w:w="2288" w:type="dxa"/>
            <w:tcBorders>
              <w:top w:val="nil"/>
              <w:left w:val="nil"/>
              <w:bottom w:val="single" w:sz="4" w:space="0" w:color="auto"/>
              <w:right w:val="single" w:sz="4" w:space="0" w:color="auto"/>
            </w:tcBorders>
            <w:shd w:val="clear" w:color="000000" w:fill="D9D9D9"/>
            <w:noWrap/>
            <w:vAlign w:val="bottom"/>
            <w:hideMark/>
          </w:tcPr>
          <w:p w14:paraId="3D53D97D" w14:textId="77777777" w:rsidR="008F4702" w:rsidRPr="0052153D" w:rsidRDefault="008F4702" w:rsidP="008F4702">
            <w:pPr>
              <w:jc w:val="right"/>
              <w:rPr>
                <w:rFonts w:ascii="Arial" w:hAnsi="Arial" w:cs="Arial"/>
                <w:b/>
                <w:bCs/>
                <w:color w:val="000000"/>
                <w:sz w:val="16"/>
                <w:szCs w:val="16"/>
              </w:rPr>
            </w:pPr>
            <w:r w:rsidRPr="0052153D">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shd w:val="clear" w:color="000000" w:fill="D9D9D9"/>
            <w:vAlign w:val="center"/>
            <w:hideMark/>
          </w:tcPr>
          <w:p w14:paraId="54CB6B39" w14:textId="72703FA5" w:rsidR="008F4702" w:rsidRPr="0052153D" w:rsidRDefault="008F4702" w:rsidP="008F4702">
            <w:pPr>
              <w:jc w:val="right"/>
              <w:rPr>
                <w:rFonts w:ascii="Arial" w:hAnsi="Arial" w:cs="Arial"/>
                <w:b/>
                <w:bCs/>
                <w:color w:val="000000"/>
                <w:sz w:val="16"/>
                <w:szCs w:val="16"/>
              </w:rPr>
            </w:pPr>
            <w:r w:rsidRPr="0052153D">
              <w:rPr>
                <w:rFonts w:ascii="Arial" w:hAnsi="Arial" w:cs="Arial"/>
                <w:b/>
                <w:bCs/>
                <w:color w:val="000000"/>
                <w:sz w:val="16"/>
                <w:szCs w:val="16"/>
              </w:rPr>
              <w:t>31-Mar-2</w:t>
            </w:r>
            <w:r w:rsidR="00E71EA4" w:rsidRPr="0052153D">
              <w:rPr>
                <w:rFonts w:ascii="Arial" w:hAnsi="Arial" w:cs="Arial"/>
                <w:b/>
                <w:bCs/>
                <w:color w:val="000000"/>
                <w:sz w:val="16"/>
                <w:szCs w:val="16"/>
              </w:rPr>
              <w:t>5</w:t>
            </w:r>
          </w:p>
        </w:tc>
        <w:tc>
          <w:tcPr>
            <w:tcW w:w="992" w:type="dxa"/>
            <w:tcBorders>
              <w:top w:val="nil"/>
              <w:left w:val="nil"/>
              <w:bottom w:val="single" w:sz="4" w:space="0" w:color="auto"/>
              <w:right w:val="single" w:sz="4" w:space="0" w:color="auto"/>
            </w:tcBorders>
            <w:shd w:val="clear" w:color="000000" w:fill="D9D9D9"/>
            <w:vAlign w:val="center"/>
            <w:hideMark/>
          </w:tcPr>
          <w:p w14:paraId="1ADD493E" w14:textId="4B35641E" w:rsidR="008F4702" w:rsidRPr="0052153D" w:rsidRDefault="008F4702" w:rsidP="008F4702">
            <w:pPr>
              <w:jc w:val="right"/>
              <w:rPr>
                <w:rFonts w:ascii="Arial" w:hAnsi="Arial" w:cs="Arial"/>
                <w:b/>
                <w:bCs/>
                <w:color w:val="000000"/>
                <w:sz w:val="16"/>
                <w:szCs w:val="16"/>
              </w:rPr>
            </w:pPr>
            <w:r w:rsidRPr="0052153D">
              <w:rPr>
                <w:rFonts w:ascii="Arial" w:hAnsi="Arial" w:cs="Arial"/>
                <w:b/>
                <w:bCs/>
                <w:color w:val="000000"/>
                <w:sz w:val="16"/>
                <w:szCs w:val="16"/>
              </w:rPr>
              <w:t>31-Mar-2</w:t>
            </w:r>
            <w:r w:rsidR="00E71EA4" w:rsidRPr="0052153D">
              <w:rPr>
                <w:rFonts w:ascii="Arial" w:hAnsi="Arial" w:cs="Arial"/>
                <w:b/>
                <w:bCs/>
                <w:color w:val="000000"/>
                <w:sz w:val="16"/>
                <w:szCs w:val="16"/>
              </w:rPr>
              <w:t>5</w:t>
            </w:r>
          </w:p>
        </w:tc>
        <w:tc>
          <w:tcPr>
            <w:tcW w:w="1134" w:type="dxa"/>
            <w:tcBorders>
              <w:top w:val="nil"/>
              <w:left w:val="nil"/>
              <w:bottom w:val="single" w:sz="4" w:space="0" w:color="auto"/>
              <w:right w:val="single" w:sz="4" w:space="0" w:color="auto"/>
            </w:tcBorders>
            <w:shd w:val="clear" w:color="000000" w:fill="D9D9D9"/>
            <w:vAlign w:val="center"/>
            <w:hideMark/>
          </w:tcPr>
          <w:p w14:paraId="364F99B4" w14:textId="19DDA276" w:rsidR="008F4702" w:rsidRPr="0052153D" w:rsidRDefault="008F4702" w:rsidP="008F4702">
            <w:pPr>
              <w:jc w:val="right"/>
              <w:rPr>
                <w:rFonts w:ascii="Arial" w:hAnsi="Arial" w:cs="Arial"/>
                <w:b/>
                <w:bCs/>
                <w:color w:val="000000"/>
                <w:sz w:val="16"/>
                <w:szCs w:val="16"/>
              </w:rPr>
            </w:pPr>
            <w:r w:rsidRPr="0052153D">
              <w:rPr>
                <w:rFonts w:ascii="Arial" w:hAnsi="Arial" w:cs="Arial"/>
                <w:b/>
                <w:bCs/>
                <w:color w:val="000000"/>
                <w:sz w:val="16"/>
                <w:szCs w:val="16"/>
              </w:rPr>
              <w:t>31-Mar-2</w:t>
            </w:r>
            <w:r w:rsidR="00E71EA4" w:rsidRPr="0052153D">
              <w:rPr>
                <w:rFonts w:ascii="Arial" w:hAnsi="Arial" w:cs="Arial"/>
                <w:b/>
                <w:bCs/>
                <w:color w:val="000000"/>
                <w:sz w:val="16"/>
                <w:szCs w:val="16"/>
              </w:rPr>
              <w:t>5</w:t>
            </w:r>
          </w:p>
        </w:tc>
        <w:tc>
          <w:tcPr>
            <w:tcW w:w="1083" w:type="dxa"/>
            <w:tcBorders>
              <w:top w:val="nil"/>
              <w:left w:val="nil"/>
              <w:bottom w:val="single" w:sz="4" w:space="0" w:color="auto"/>
              <w:right w:val="single" w:sz="4" w:space="0" w:color="auto"/>
            </w:tcBorders>
            <w:shd w:val="clear" w:color="000000" w:fill="D9D9D9"/>
            <w:vAlign w:val="center"/>
            <w:hideMark/>
          </w:tcPr>
          <w:p w14:paraId="26C8617D" w14:textId="464DA221" w:rsidR="008F4702" w:rsidRPr="0052153D" w:rsidRDefault="008F4702" w:rsidP="008F4702">
            <w:pPr>
              <w:jc w:val="right"/>
              <w:rPr>
                <w:rFonts w:ascii="Arial" w:hAnsi="Arial" w:cs="Arial"/>
                <w:b/>
                <w:bCs/>
                <w:color w:val="000000"/>
                <w:sz w:val="16"/>
                <w:szCs w:val="16"/>
              </w:rPr>
            </w:pPr>
            <w:r w:rsidRPr="0052153D">
              <w:rPr>
                <w:rFonts w:ascii="Arial" w:hAnsi="Arial" w:cs="Arial"/>
                <w:b/>
                <w:bCs/>
                <w:color w:val="000000"/>
                <w:sz w:val="16"/>
                <w:szCs w:val="16"/>
              </w:rPr>
              <w:t>31-Mar-2</w:t>
            </w:r>
            <w:r w:rsidR="00E71EA4" w:rsidRPr="0052153D">
              <w:rPr>
                <w:rFonts w:ascii="Arial" w:hAnsi="Arial" w:cs="Arial"/>
                <w:b/>
                <w:bCs/>
                <w:color w:val="000000"/>
                <w:sz w:val="16"/>
                <w:szCs w:val="16"/>
              </w:rPr>
              <w:t>5</w:t>
            </w:r>
          </w:p>
        </w:tc>
      </w:tr>
      <w:tr w:rsidR="00124A82" w:rsidRPr="008F4702" w14:paraId="471E99F6"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6465B809"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£000</w:t>
            </w:r>
          </w:p>
        </w:tc>
        <w:tc>
          <w:tcPr>
            <w:tcW w:w="992" w:type="dxa"/>
            <w:tcBorders>
              <w:top w:val="nil"/>
              <w:left w:val="nil"/>
              <w:bottom w:val="single" w:sz="4" w:space="0" w:color="auto"/>
              <w:right w:val="single" w:sz="4" w:space="0" w:color="auto"/>
            </w:tcBorders>
            <w:noWrap/>
            <w:vAlign w:val="bottom"/>
            <w:hideMark/>
          </w:tcPr>
          <w:p w14:paraId="2D522A94"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£000</w:t>
            </w:r>
          </w:p>
        </w:tc>
        <w:tc>
          <w:tcPr>
            <w:tcW w:w="1195" w:type="dxa"/>
            <w:tcBorders>
              <w:top w:val="nil"/>
              <w:left w:val="nil"/>
              <w:bottom w:val="single" w:sz="4" w:space="0" w:color="auto"/>
              <w:right w:val="single" w:sz="4" w:space="0" w:color="auto"/>
            </w:tcBorders>
            <w:noWrap/>
            <w:vAlign w:val="bottom"/>
            <w:hideMark/>
          </w:tcPr>
          <w:p w14:paraId="44384C87"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£000</w:t>
            </w:r>
          </w:p>
        </w:tc>
        <w:tc>
          <w:tcPr>
            <w:tcW w:w="1195" w:type="dxa"/>
            <w:tcBorders>
              <w:top w:val="nil"/>
              <w:left w:val="nil"/>
              <w:bottom w:val="single" w:sz="4" w:space="0" w:color="auto"/>
              <w:right w:val="single" w:sz="4" w:space="0" w:color="auto"/>
            </w:tcBorders>
            <w:noWrap/>
            <w:vAlign w:val="bottom"/>
            <w:hideMark/>
          </w:tcPr>
          <w:p w14:paraId="3EDCABF0" w14:textId="446AB964"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£000</w:t>
            </w:r>
          </w:p>
        </w:tc>
        <w:tc>
          <w:tcPr>
            <w:tcW w:w="2288" w:type="dxa"/>
            <w:tcBorders>
              <w:top w:val="nil"/>
              <w:left w:val="nil"/>
              <w:bottom w:val="single" w:sz="4" w:space="0" w:color="auto"/>
              <w:right w:val="single" w:sz="4" w:space="0" w:color="auto"/>
            </w:tcBorders>
            <w:noWrap/>
            <w:vAlign w:val="bottom"/>
            <w:hideMark/>
          </w:tcPr>
          <w:p w14:paraId="32BCE84F"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vAlign w:val="center"/>
            <w:hideMark/>
          </w:tcPr>
          <w:p w14:paraId="1428FB8A" w14:textId="77777777" w:rsidR="00124A82" w:rsidRPr="0052153D" w:rsidRDefault="00124A82" w:rsidP="00124A82">
            <w:pPr>
              <w:jc w:val="right"/>
              <w:rPr>
                <w:rFonts w:ascii="Arial" w:hAnsi="Arial" w:cs="Arial"/>
                <w:b/>
                <w:bCs/>
                <w:color w:val="000000"/>
                <w:sz w:val="16"/>
                <w:szCs w:val="16"/>
              </w:rPr>
            </w:pPr>
            <w:r w:rsidRPr="0052153D">
              <w:rPr>
                <w:rFonts w:ascii="Arial" w:hAnsi="Arial" w:cs="Arial"/>
                <w:b/>
                <w:bCs/>
                <w:color w:val="000000"/>
                <w:sz w:val="16"/>
                <w:szCs w:val="16"/>
              </w:rPr>
              <w:t>£000</w:t>
            </w:r>
          </w:p>
        </w:tc>
        <w:tc>
          <w:tcPr>
            <w:tcW w:w="992" w:type="dxa"/>
            <w:tcBorders>
              <w:top w:val="nil"/>
              <w:left w:val="nil"/>
              <w:bottom w:val="single" w:sz="4" w:space="0" w:color="auto"/>
              <w:right w:val="single" w:sz="4" w:space="0" w:color="auto"/>
            </w:tcBorders>
            <w:shd w:val="clear" w:color="000000" w:fill="D9D9D9"/>
            <w:vAlign w:val="center"/>
            <w:hideMark/>
          </w:tcPr>
          <w:p w14:paraId="034692A3" w14:textId="77777777" w:rsidR="00124A82" w:rsidRPr="0052153D" w:rsidRDefault="00124A82" w:rsidP="00124A82">
            <w:pPr>
              <w:jc w:val="right"/>
              <w:rPr>
                <w:rFonts w:ascii="Arial" w:hAnsi="Arial" w:cs="Arial"/>
                <w:b/>
                <w:bCs/>
                <w:color w:val="000000"/>
                <w:sz w:val="16"/>
                <w:szCs w:val="16"/>
              </w:rPr>
            </w:pPr>
            <w:r w:rsidRPr="0052153D">
              <w:rPr>
                <w:rFonts w:ascii="Arial" w:hAnsi="Arial" w:cs="Arial"/>
                <w:b/>
                <w:bCs/>
                <w:color w:val="000000"/>
                <w:sz w:val="16"/>
                <w:szCs w:val="16"/>
              </w:rPr>
              <w:t>£000</w:t>
            </w:r>
          </w:p>
        </w:tc>
        <w:tc>
          <w:tcPr>
            <w:tcW w:w="1134" w:type="dxa"/>
            <w:tcBorders>
              <w:top w:val="nil"/>
              <w:left w:val="nil"/>
              <w:bottom w:val="single" w:sz="4" w:space="0" w:color="auto"/>
              <w:right w:val="single" w:sz="4" w:space="0" w:color="auto"/>
            </w:tcBorders>
            <w:shd w:val="clear" w:color="000000" w:fill="D9D9D9"/>
            <w:vAlign w:val="center"/>
            <w:hideMark/>
          </w:tcPr>
          <w:p w14:paraId="45741EDA" w14:textId="77777777" w:rsidR="00124A82" w:rsidRPr="0052153D" w:rsidRDefault="00124A82" w:rsidP="00124A82">
            <w:pPr>
              <w:jc w:val="right"/>
              <w:rPr>
                <w:rFonts w:ascii="Arial" w:hAnsi="Arial" w:cs="Arial"/>
                <w:b/>
                <w:bCs/>
                <w:color w:val="000000"/>
                <w:sz w:val="16"/>
                <w:szCs w:val="16"/>
              </w:rPr>
            </w:pPr>
            <w:r w:rsidRPr="0052153D">
              <w:rPr>
                <w:rFonts w:ascii="Arial" w:hAnsi="Arial" w:cs="Arial"/>
                <w:b/>
                <w:bCs/>
                <w:color w:val="000000"/>
                <w:sz w:val="16"/>
                <w:szCs w:val="16"/>
              </w:rPr>
              <w:t>£000</w:t>
            </w:r>
          </w:p>
        </w:tc>
        <w:tc>
          <w:tcPr>
            <w:tcW w:w="1083" w:type="dxa"/>
            <w:tcBorders>
              <w:top w:val="nil"/>
              <w:left w:val="nil"/>
              <w:bottom w:val="single" w:sz="4" w:space="0" w:color="auto"/>
              <w:right w:val="single" w:sz="4" w:space="0" w:color="auto"/>
            </w:tcBorders>
            <w:shd w:val="clear" w:color="000000" w:fill="D9D9D9"/>
            <w:vAlign w:val="center"/>
            <w:hideMark/>
          </w:tcPr>
          <w:p w14:paraId="12D06E69" w14:textId="77777777" w:rsidR="00124A82" w:rsidRPr="0052153D" w:rsidRDefault="00124A82" w:rsidP="00124A82">
            <w:pPr>
              <w:jc w:val="right"/>
              <w:rPr>
                <w:rFonts w:ascii="Arial" w:hAnsi="Arial" w:cs="Arial"/>
                <w:b/>
                <w:bCs/>
                <w:color w:val="000000"/>
                <w:sz w:val="16"/>
                <w:szCs w:val="16"/>
              </w:rPr>
            </w:pPr>
            <w:r w:rsidRPr="0052153D">
              <w:rPr>
                <w:rFonts w:ascii="Arial" w:hAnsi="Arial" w:cs="Arial"/>
                <w:b/>
                <w:bCs/>
                <w:color w:val="000000"/>
                <w:sz w:val="16"/>
                <w:szCs w:val="16"/>
              </w:rPr>
              <w:t>£000</w:t>
            </w:r>
          </w:p>
        </w:tc>
      </w:tr>
      <w:tr w:rsidR="00124A82" w:rsidRPr="008F4702" w14:paraId="062F6A47"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69085151"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7F247055"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33F659E7"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0CE3B17D" w14:textId="2153EB46"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161CAF3A" w14:textId="77777777" w:rsidR="00124A82" w:rsidRPr="0052153D" w:rsidRDefault="00124A82" w:rsidP="00124A82">
            <w:pPr>
              <w:rPr>
                <w:rFonts w:ascii="Arial" w:hAnsi="Arial" w:cs="Arial"/>
                <w:b/>
                <w:bCs/>
                <w:color w:val="000000"/>
                <w:sz w:val="16"/>
                <w:szCs w:val="16"/>
              </w:rPr>
            </w:pPr>
            <w:r w:rsidRPr="0052153D">
              <w:rPr>
                <w:rFonts w:ascii="Arial" w:hAnsi="Arial" w:cs="Arial"/>
                <w:b/>
                <w:bCs/>
                <w:color w:val="000000"/>
                <w:sz w:val="16"/>
                <w:szCs w:val="16"/>
              </w:rPr>
              <w:t>Assets at amortised cost</w:t>
            </w:r>
          </w:p>
        </w:tc>
        <w:tc>
          <w:tcPr>
            <w:tcW w:w="992" w:type="dxa"/>
            <w:tcBorders>
              <w:top w:val="nil"/>
              <w:left w:val="nil"/>
              <w:bottom w:val="single" w:sz="4" w:space="0" w:color="auto"/>
              <w:right w:val="single" w:sz="4" w:space="0" w:color="auto"/>
            </w:tcBorders>
            <w:shd w:val="clear" w:color="000000" w:fill="D9D9D9"/>
            <w:noWrap/>
            <w:vAlign w:val="bottom"/>
            <w:hideMark/>
          </w:tcPr>
          <w:p w14:paraId="657AFAFE"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39FBC195"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D9D9D9"/>
            <w:noWrap/>
            <w:vAlign w:val="bottom"/>
            <w:hideMark/>
          </w:tcPr>
          <w:p w14:paraId="0A3E4CC5"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1313DAAA" w14:textId="77777777" w:rsidR="00124A82" w:rsidRPr="0052153D" w:rsidRDefault="00124A82" w:rsidP="00124A82">
            <w:pPr>
              <w:jc w:val="right"/>
              <w:rPr>
                <w:rFonts w:ascii="Arial" w:hAnsi="Arial" w:cs="Arial"/>
                <w:color w:val="000000"/>
                <w:sz w:val="16"/>
                <w:szCs w:val="16"/>
              </w:rPr>
            </w:pPr>
            <w:r w:rsidRPr="0052153D">
              <w:rPr>
                <w:rFonts w:ascii="Arial" w:hAnsi="Arial" w:cs="Arial"/>
                <w:color w:val="000000"/>
                <w:sz w:val="16"/>
                <w:szCs w:val="16"/>
              </w:rPr>
              <w:t> </w:t>
            </w:r>
          </w:p>
        </w:tc>
      </w:tr>
      <w:tr w:rsidR="00791D75" w:rsidRPr="008F4702" w14:paraId="31737D17"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tcPr>
          <w:p w14:paraId="106A092A" w14:textId="77777777" w:rsidR="00791D75" w:rsidRPr="0052153D" w:rsidRDefault="00791D75" w:rsidP="00124A82">
            <w:pPr>
              <w:jc w:val="right"/>
              <w:rPr>
                <w:rFonts w:ascii="Arial" w:hAnsi="Arial" w:cs="Arial"/>
                <w:color w:val="000000"/>
                <w:sz w:val="16"/>
                <w:szCs w:val="16"/>
              </w:rPr>
            </w:pPr>
          </w:p>
        </w:tc>
        <w:tc>
          <w:tcPr>
            <w:tcW w:w="992" w:type="dxa"/>
            <w:tcBorders>
              <w:top w:val="nil"/>
              <w:left w:val="nil"/>
              <w:bottom w:val="single" w:sz="4" w:space="0" w:color="auto"/>
              <w:right w:val="single" w:sz="4" w:space="0" w:color="auto"/>
            </w:tcBorders>
            <w:noWrap/>
            <w:vAlign w:val="bottom"/>
          </w:tcPr>
          <w:p w14:paraId="4EEE508C" w14:textId="77777777" w:rsidR="00791D75" w:rsidRPr="0052153D" w:rsidRDefault="00791D75" w:rsidP="00124A82">
            <w:pPr>
              <w:jc w:val="right"/>
              <w:rPr>
                <w:rFonts w:ascii="Arial" w:hAnsi="Arial" w:cs="Arial"/>
                <w:color w:val="000000"/>
                <w:sz w:val="16"/>
                <w:szCs w:val="16"/>
              </w:rPr>
            </w:pPr>
          </w:p>
        </w:tc>
        <w:tc>
          <w:tcPr>
            <w:tcW w:w="1195" w:type="dxa"/>
            <w:tcBorders>
              <w:top w:val="nil"/>
              <w:left w:val="nil"/>
              <w:bottom w:val="single" w:sz="4" w:space="0" w:color="auto"/>
              <w:right w:val="single" w:sz="4" w:space="0" w:color="auto"/>
            </w:tcBorders>
            <w:noWrap/>
            <w:vAlign w:val="bottom"/>
          </w:tcPr>
          <w:p w14:paraId="2794DEDB" w14:textId="77777777" w:rsidR="00791D75" w:rsidRPr="0052153D" w:rsidRDefault="00791D75" w:rsidP="00124A82">
            <w:pPr>
              <w:jc w:val="right"/>
              <w:rPr>
                <w:rFonts w:ascii="Arial" w:hAnsi="Arial" w:cs="Arial"/>
                <w:color w:val="000000"/>
                <w:sz w:val="16"/>
                <w:szCs w:val="16"/>
              </w:rPr>
            </w:pPr>
          </w:p>
        </w:tc>
        <w:tc>
          <w:tcPr>
            <w:tcW w:w="1195" w:type="dxa"/>
            <w:tcBorders>
              <w:top w:val="nil"/>
              <w:left w:val="nil"/>
              <w:bottom w:val="single" w:sz="4" w:space="0" w:color="auto"/>
              <w:right w:val="single" w:sz="4" w:space="0" w:color="auto"/>
            </w:tcBorders>
            <w:noWrap/>
            <w:vAlign w:val="bottom"/>
          </w:tcPr>
          <w:p w14:paraId="153642CA" w14:textId="77777777" w:rsidR="00791D75" w:rsidRPr="0052153D" w:rsidRDefault="00791D75" w:rsidP="00124A82">
            <w:pPr>
              <w:jc w:val="right"/>
              <w:rPr>
                <w:rFonts w:ascii="Arial" w:hAnsi="Arial" w:cs="Arial"/>
                <w:color w:val="000000"/>
                <w:sz w:val="16"/>
                <w:szCs w:val="16"/>
              </w:rPr>
            </w:pPr>
          </w:p>
        </w:tc>
        <w:tc>
          <w:tcPr>
            <w:tcW w:w="2288" w:type="dxa"/>
            <w:tcBorders>
              <w:top w:val="nil"/>
              <w:left w:val="nil"/>
              <w:bottom w:val="single" w:sz="4" w:space="0" w:color="auto"/>
              <w:right w:val="single" w:sz="4" w:space="0" w:color="auto"/>
            </w:tcBorders>
            <w:noWrap/>
            <w:vAlign w:val="bottom"/>
          </w:tcPr>
          <w:p w14:paraId="5DAD00F2" w14:textId="77777777" w:rsidR="00791D75" w:rsidRPr="0052153D" w:rsidRDefault="00791D75" w:rsidP="00124A82">
            <w:pPr>
              <w:rPr>
                <w:rFonts w:ascii="Arial" w:hAnsi="Arial" w:cs="Arial"/>
                <w:b/>
                <w:bCs/>
                <w:color w:val="000000"/>
                <w:sz w:val="16"/>
                <w:szCs w:val="16"/>
              </w:rPr>
            </w:pPr>
          </w:p>
        </w:tc>
        <w:tc>
          <w:tcPr>
            <w:tcW w:w="992" w:type="dxa"/>
            <w:tcBorders>
              <w:top w:val="nil"/>
              <w:left w:val="nil"/>
              <w:bottom w:val="single" w:sz="4" w:space="0" w:color="auto"/>
              <w:right w:val="single" w:sz="4" w:space="0" w:color="auto"/>
            </w:tcBorders>
            <w:shd w:val="clear" w:color="000000" w:fill="D9D9D9"/>
            <w:noWrap/>
            <w:vAlign w:val="bottom"/>
          </w:tcPr>
          <w:p w14:paraId="510A1B48" w14:textId="77777777" w:rsidR="00791D75" w:rsidRPr="0052153D" w:rsidRDefault="00791D75" w:rsidP="00124A82">
            <w:pPr>
              <w:jc w:val="right"/>
              <w:rPr>
                <w:rFonts w:ascii="Arial" w:hAnsi="Arial" w:cs="Arial"/>
                <w:color w:val="000000"/>
                <w:sz w:val="16"/>
                <w:szCs w:val="16"/>
              </w:rPr>
            </w:pPr>
          </w:p>
        </w:tc>
        <w:tc>
          <w:tcPr>
            <w:tcW w:w="992" w:type="dxa"/>
            <w:tcBorders>
              <w:top w:val="nil"/>
              <w:left w:val="nil"/>
              <w:bottom w:val="single" w:sz="4" w:space="0" w:color="auto"/>
              <w:right w:val="single" w:sz="4" w:space="0" w:color="auto"/>
            </w:tcBorders>
            <w:shd w:val="clear" w:color="000000" w:fill="D9D9D9"/>
            <w:noWrap/>
            <w:vAlign w:val="bottom"/>
          </w:tcPr>
          <w:p w14:paraId="0BC56B0E" w14:textId="77777777" w:rsidR="00791D75" w:rsidRPr="0052153D" w:rsidRDefault="00791D75" w:rsidP="00124A82">
            <w:pPr>
              <w:jc w:val="right"/>
              <w:rPr>
                <w:rFonts w:ascii="Arial" w:hAnsi="Arial" w:cs="Arial"/>
                <w:color w:val="000000"/>
                <w:sz w:val="16"/>
                <w:szCs w:val="16"/>
              </w:rPr>
            </w:pPr>
          </w:p>
        </w:tc>
        <w:tc>
          <w:tcPr>
            <w:tcW w:w="1134" w:type="dxa"/>
            <w:tcBorders>
              <w:top w:val="nil"/>
              <w:left w:val="nil"/>
              <w:bottom w:val="single" w:sz="4" w:space="0" w:color="auto"/>
              <w:right w:val="single" w:sz="4" w:space="0" w:color="auto"/>
            </w:tcBorders>
            <w:shd w:val="clear" w:color="000000" w:fill="D9D9D9"/>
            <w:noWrap/>
            <w:vAlign w:val="bottom"/>
          </w:tcPr>
          <w:p w14:paraId="2FA8C005" w14:textId="77777777" w:rsidR="00791D75" w:rsidRPr="0052153D" w:rsidRDefault="00791D75" w:rsidP="00124A82">
            <w:pPr>
              <w:jc w:val="right"/>
              <w:rPr>
                <w:rFonts w:ascii="Arial" w:hAnsi="Arial" w:cs="Arial"/>
                <w:color w:val="000000"/>
                <w:sz w:val="16"/>
                <w:szCs w:val="16"/>
              </w:rPr>
            </w:pPr>
          </w:p>
        </w:tc>
        <w:tc>
          <w:tcPr>
            <w:tcW w:w="1083" w:type="dxa"/>
            <w:tcBorders>
              <w:top w:val="nil"/>
              <w:left w:val="nil"/>
              <w:bottom w:val="single" w:sz="4" w:space="0" w:color="auto"/>
              <w:right w:val="single" w:sz="4" w:space="0" w:color="auto"/>
            </w:tcBorders>
            <w:shd w:val="clear" w:color="000000" w:fill="D9D9D9"/>
            <w:noWrap/>
            <w:vAlign w:val="bottom"/>
          </w:tcPr>
          <w:p w14:paraId="77DB41AD" w14:textId="77777777" w:rsidR="00791D75" w:rsidRPr="0052153D" w:rsidRDefault="00791D75" w:rsidP="00124A82">
            <w:pPr>
              <w:jc w:val="right"/>
              <w:rPr>
                <w:rFonts w:ascii="Arial" w:hAnsi="Arial" w:cs="Arial"/>
                <w:color w:val="000000"/>
                <w:sz w:val="16"/>
                <w:szCs w:val="16"/>
              </w:rPr>
            </w:pPr>
          </w:p>
        </w:tc>
      </w:tr>
      <w:tr w:rsidR="0052153D" w:rsidRPr="008F4702" w14:paraId="5590C400" w14:textId="77777777" w:rsidTr="00791D75">
        <w:trPr>
          <w:trHeight w:val="299"/>
        </w:trPr>
        <w:tc>
          <w:tcPr>
            <w:tcW w:w="1101" w:type="dxa"/>
            <w:tcBorders>
              <w:top w:val="single" w:sz="4" w:space="0" w:color="auto"/>
              <w:left w:val="single" w:sz="4" w:space="0" w:color="auto"/>
              <w:bottom w:val="single" w:sz="4" w:space="0" w:color="auto"/>
              <w:right w:val="single" w:sz="4" w:space="0" w:color="auto"/>
            </w:tcBorders>
            <w:noWrap/>
            <w:vAlign w:val="bottom"/>
            <w:hideMark/>
          </w:tcPr>
          <w:p w14:paraId="6D85F74F" w14:textId="24804F9D" w:rsidR="0052153D" w:rsidRPr="0052153D" w:rsidRDefault="0052153D" w:rsidP="0052153D">
            <w:pPr>
              <w:jc w:val="right"/>
              <w:rPr>
                <w:rFonts w:ascii="Arial" w:hAnsi="Arial" w:cs="Arial"/>
                <w:color w:val="000000"/>
                <w:sz w:val="16"/>
                <w:szCs w:val="16"/>
              </w:rPr>
            </w:pPr>
            <w:r w:rsidRPr="0052153D">
              <w:rPr>
                <w:rFonts w:ascii="Arial" w:hAnsi="Arial" w:cs="Arial"/>
                <w:b/>
                <w:bCs/>
                <w:color w:val="000000"/>
                <w:sz w:val="16"/>
                <w:szCs w:val="16"/>
              </w:rPr>
              <w:t>0</w:t>
            </w:r>
          </w:p>
        </w:tc>
        <w:tc>
          <w:tcPr>
            <w:tcW w:w="992" w:type="dxa"/>
            <w:tcBorders>
              <w:top w:val="single" w:sz="4" w:space="0" w:color="auto"/>
              <w:left w:val="nil"/>
              <w:bottom w:val="single" w:sz="4" w:space="0" w:color="auto"/>
              <w:right w:val="single" w:sz="4" w:space="0" w:color="auto"/>
            </w:tcBorders>
            <w:noWrap/>
            <w:vAlign w:val="bottom"/>
            <w:hideMark/>
          </w:tcPr>
          <w:p w14:paraId="476D7C06" w14:textId="2CB443BA" w:rsidR="0052153D" w:rsidRPr="0052153D" w:rsidRDefault="0052153D" w:rsidP="0052153D">
            <w:pPr>
              <w:jc w:val="right"/>
              <w:rPr>
                <w:rFonts w:ascii="Arial" w:hAnsi="Arial" w:cs="Arial"/>
                <w:color w:val="000000"/>
                <w:sz w:val="16"/>
                <w:szCs w:val="16"/>
              </w:rPr>
            </w:pPr>
            <w:r w:rsidRPr="0052153D">
              <w:rPr>
                <w:rFonts w:ascii="Arial" w:hAnsi="Arial" w:cs="Arial"/>
                <w:b/>
                <w:bCs/>
                <w:color w:val="000000"/>
                <w:sz w:val="16"/>
                <w:szCs w:val="16"/>
              </w:rPr>
              <w:t>0</w:t>
            </w:r>
          </w:p>
        </w:tc>
        <w:tc>
          <w:tcPr>
            <w:tcW w:w="1195" w:type="dxa"/>
            <w:tcBorders>
              <w:top w:val="single" w:sz="4" w:space="0" w:color="auto"/>
              <w:left w:val="nil"/>
              <w:bottom w:val="single" w:sz="4" w:space="0" w:color="auto"/>
              <w:right w:val="single" w:sz="4" w:space="0" w:color="auto"/>
            </w:tcBorders>
            <w:noWrap/>
            <w:vAlign w:val="bottom"/>
            <w:hideMark/>
          </w:tcPr>
          <w:p w14:paraId="4E3BC26D" w14:textId="2376CA95" w:rsidR="0052153D" w:rsidRPr="00194E0F" w:rsidRDefault="00194E0F" w:rsidP="0052153D">
            <w:pPr>
              <w:jc w:val="right"/>
              <w:rPr>
                <w:rFonts w:ascii="Arial" w:hAnsi="Arial" w:cs="Arial"/>
                <w:b/>
                <w:bCs/>
                <w:color w:val="000000"/>
                <w:sz w:val="16"/>
                <w:szCs w:val="16"/>
              </w:rPr>
            </w:pPr>
            <w:r w:rsidRPr="00194E0F">
              <w:rPr>
                <w:rFonts w:ascii="Arial" w:hAnsi="Arial" w:cs="Arial"/>
                <w:b/>
                <w:bCs/>
                <w:color w:val="000000"/>
                <w:sz w:val="16"/>
                <w:szCs w:val="16"/>
              </w:rPr>
              <w:t>4,619</w:t>
            </w:r>
          </w:p>
        </w:tc>
        <w:tc>
          <w:tcPr>
            <w:tcW w:w="1195" w:type="dxa"/>
            <w:tcBorders>
              <w:top w:val="single" w:sz="4" w:space="0" w:color="auto"/>
              <w:left w:val="nil"/>
              <w:bottom w:val="single" w:sz="4" w:space="0" w:color="auto"/>
              <w:right w:val="single" w:sz="4" w:space="0" w:color="auto"/>
            </w:tcBorders>
            <w:noWrap/>
            <w:vAlign w:val="bottom"/>
            <w:hideMark/>
          </w:tcPr>
          <w:p w14:paraId="659EBE0A" w14:textId="0B9DA37F" w:rsidR="0052153D" w:rsidRPr="00194E0F" w:rsidRDefault="00194E0F" w:rsidP="0052153D">
            <w:pPr>
              <w:jc w:val="right"/>
              <w:rPr>
                <w:rFonts w:ascii="Arial" w:hAnsi="Arial" w:cs="Arial"/>
                <w:b/>
                <w:bCs/>
                <w:color w:val="000000"/>
                <w:sz w:val="16"/>
                <w:szCs w:val="16"/>
              </w:rPr>
            </w:pPr>
            <w:r w:rsidRPr="00194E0F">
              <w:rPr>
                <w:rFonts w:ascii="Arial" w:hAnsi="Arial" w:cs="Arial"/>
                <w:b/>
                <w:bCs/>
                <w:color w:val="000000"/>
                <w:sz w:val="16"/>
                <w:szCs w:val="16"/>
              </w:rPr>
              <w:t>4,619</w:t>
            </w:r>
          </w:p>
        </w:tc>
        <w:tc>
          <w:tcPr>
            <w:tcW w:w="2288" w:type="dxa"/>
            <w:tcBorders>
              <w:top w:val="nil"/>
              <w:left w:val="nil"/>
              <w:bottom w:val="single" w:sz="4" w:space="0" w:color="auto"/>
              <w:right w:val="single" w:sz="4" w:space="0" w:color="auto"/>
            </w:tcBorders>
            <w:noWrap/>
            <w:vAlign w:val="bottom"/>
            <w:hideMark/>
          </w:tcPr>
          <w:p w14:paraId="15ED7BCC"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Financial Assets at Amortised Cost</w:t>
            </w:r>
          </w:p>
        </w:tc>
        <w:tc>
          <w:tcPr>
            <w:tcW w:w="992"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52B305BE" w14:textId="020279E6" w:rsidR="0052153D" w:rsidRPr="0052153D" w:rsidRDefault="0052153D" w:rsidP="0052153D">
            <w:pPr>
              <w:jc w:val="right"/>
              <w:rPr>
                <w:rFonts w:ascii="Arial" w:hAnsi="Arial" w:cs="Arial"/>
                <w:b/>
                <w:bCs/>
                <w:color w:val="000000"/>
                <w:sz w:val="16"/>
                <w:szCs w:val="16"/>
              </w:rPr>
            </w:pPr>
            <w:r w:rsidRPr="0052153D">
              <w:rPr>
                <w:rFonts w:ascii="Arial" w:hAnsi="Arial" w:cs="Arial"/>
                <w:color w:val="000000"/>
                <w:sz w:val="16"/>
                <w:szCs w:val="16"/>
              </w:rPr>
              <w:t>0</w:t>
            </w:r>
          </w:p>
        </w:tc>
        <w:tc>
          <w:tcPr>
            <w:tcW w:w="992" w:type="dxa"/>
            <w:tcBorders>
              <w:top w:val="single" w:sz="4" w:space="0" w:color="auto"/>
              <w:left w:val="nil"/>
              <w:bottom w:val="single" w:sz="4" w:space="0" w:color="auto"/>
              <w:right w:val="single" w:sz="4" w:space="0" w:color="auto"/>
            </w:tcBorders>
            <w:shd w:val="clear" w:color="000000" w:fill="D9D9D9"/>
            <w:noWrap/>
            <w:vAlign w:val="bottom"/>
            <w:hideMark/>
          </w:tcPr>
          <w:p w14:paraId="38F0328D" w14:textId="2B3754CE" w:rsidR="0052153D" w:rsidRPr="0052153D" w:rsidRDefault="0052153D" w:rsidP="0052153D">
            <w:pPr>
              <w:jc w:val="right"/>
              <w:rPr>
                <w:rFonts w:ascii="Arial" w:hAnsi="Arial" w:cs="Arial"/>
                <w:b/>
                <w:bCs/>
                <w:color w:val="000000"/>
                <w:sz w:val="16"/>
                <w:szCs w:val="16"/>
              </w:rPr>
            </w:pPr>
            <w:r w:rsidRPr="0052153D">
              <w:rPr>
                <w:rFonts w:ascii="Arial" w:hAnsi="Arial" w:cs="Arial"/>
                <w:color w:val="000000"/>
                <w:sz w:val="16"/>
                <w:szCs w:val="16"/>
              </w:rPr>
              <w:t>0</w:t>
            </w:r>
          </w:p>
        </w:tc>
        <w:tc>
          <w:tcPr>
            <w:tcW w:w="1134" w:type="dxa"/>
            <w:tcBorders>
              <w:top w:val="single" w:sz="4" w:space="0" w:color="auto"/>
              <w:left w:val="nil"/>
              <w:bottom w:val="single" w:sz="4" w:space="0" w:color="auto"/>
              <w:right w:val="single" w:sz="4" w:space="0" w:color="auto"/>
            </w:tcBorders>
            <w:shd w:val="clear" w:color="000000" w:fill="D9D9D9"/>
            <w:noWrap/>
            <w:vAlign w:val="bottom"/>
            <w:hideMark/>
          </w:tcPr>
          <w:p w14:paraId="71D00D9B" w14:textId="2850EB7A" w:rsidR="0052153D" w:rsidRPr="0052153D" w:rsidRDefault="000F1A52" w:rsidP="0052153D">
            <w:pPr>
              <w:jc w:val="right"/>
              <w:rPr>
                <w:rFonts w:ascii="Arial" w:hAnsi="Arial" w:cs="Arial"/>
                <w:b/>
                <w:bCs/>
                <w:color w:val="000000"/>
                <w:sz w:val="16"/>
                <w:szCs w:val="16"/>
              </w:rPr>
            </w:pPr>
            <w:r>
              <w:rPr>
                <w:rFonts w:ascii="Arial" w:hAnsi="Arial" w:cs="Arial"/>
                <w:color w:val="000000"/>
                <w:sz w:val="16"/>
                <w:szCs w:val="16"/>
              </w:rPr>
              <w:t>11,898</w:t>
            </w:r>
          </w:p>
        </w:tc>
        <w:tc>
          <w:tcPr>
            <w:tcW w:w="1083" w:type="dxa"/>
            <w:tcBorders>
              <w:top w:val="single" w:sz="4" w:space="0" w:color="auto"/>
              <w:left w:val="nil"/>
              <w:bottom w:val="single" w:sz="4" w:space="0" w:color="auto"/>
              <w:right w:val="single" w:sz="4" w:space="0" w:color="auto"/>
            </w:tcBorders>
            <w:shd w:val="clear" w:color="000000" w:fill="D9D9D9"/>
            <w:noWrap/>
            <w:vAlign w:val="bottom"/>
            <w:hideMark/>
          </w:tcPr>
          <w:p w14:paraId="55A6F0F6" w14:textId="0AACE37C" w:rsidR="0052153D" w:rsidRPr="0052153D" w:rsidRDefault="000F1A52" w:rsidP="0052153D">
            <w:pPr>
              <w:jc w:val="right"/>
              <w:rPr>
                <w:rFonts w:ascii="Arial" w:hAnsi="Arial" w:cs="Arial"/>
                <w:b/>
                <w:bCs/>
                <w:color w:val="000000"/>
                <w:sz w:val="16"/>
                <w:szCs w:val="16"/>
              </w:rPr>
            </w:pPr>
            <w:r>
              <w:rPr>
                <w:rFonts w:ascii="Arial" w:hAnsi="Arial" w:cs="Arial"/>
                <w:color w:val="000000"/>
                <w:sz w:val="16"/>
                <w:szCs w:val="16"/>
              </w:rPr>
              <w:t>11,898</w:t>
            </w:r>
          </w:p>
        </w:tc>
      </w:tr>
      <w:tr w:rsidR="0052153D" w:rsidRPr="008F4702" w14:paraId="673B1980"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70174551" w14:textId="06DBAB15" w:rsidR="0052153D" w:rsidRPr="0052153D" w:rsidRDefault="0052153D" w:rsidP="0052153D">
            <w:pPr>
              <w:jc w:val="right"/>
              <w:rPr>
                <w:rFonts w:ascii="Arial" w:hAnsi="Arial" w:cs="Arial"/>
                <w:color w:val="000000"/>
                <w:sz w:val="16"/>
                <w:szCs w:val="16"/>
              </w:rPr>
            </w:pPr>
            <w:r w:rsidRPr="0052153D">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47CB1828" w14:textId="6CB5CD04" w:rsidR="0052153D" w:rsidRPr="0052153D" w:rsidRDefault="0052153D" w:rsidP="0052153D">
            <w:pPr>
              <w:jc w:val="right"/>
              <w:rPr>
                <w:rFonts w:ascii="Arial" w:hAnsi="Arial" w:cs="Arial"/>
                <w:color w:val="000000"/>
                <w:sz w:val="16"/>
                <w:szCs w:val="16"/>
              </w:rPr>
            </w:pPr>
            <w:r w:rsidRPr="0052153D">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556A92EB" w14:textId="734626DB" w:rsidR="0052153D" w:rsidRPr="00194E0F" w:rsidRDefault="000F1A52" w:rsidP="0052153D">
            <w:pPr>
              <w:jc w:val="right"/>
              <w:rPr>
                <w:rFonts w:ascii="Arial" w:hAnsi="Arial" w:cs="Arial"/>
                <w:b/>
                <w:bCs/>
                <w:color w:val="000000"/>
                <w:sz w:val="16"/>
                <w:szCs w:val="16"/>
              </w:rPr>
            </w:pPr>
            <w:r w:rsidRPr="00194E0F">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749319C9" w14:textId="7E4C8362" w:rsidR="0052153D" w:rsidRPr="00194E0F" w:rsidRDefault="000F1A52" w:rsidP="0052153D">
            <w:pPr>
              <w:jc w:val="right"/>
              <w:rPr>
                <w:rFonts w:ascii="Arial" w:hAnsi="Arial" w:cs="Arial"/>
                <w:b/>
                <w:bCs/>
                <w:color w:val="000000"/>
                <w:sz w:val="16"/>
                <w:szCs w:val="16"/>
              </w:rPr>
            </w:pPr>
            <w:r w:rsidRPr="00194E0F">
              <w:rPr>
                <w:rFonts w:ascii="Arial" w:hAnsi="Arial" w:cs="Arial"/>
                <w:b/>
                <w:bCs/>
                <w:color w:val="000000"/>
                <w:sz w:val="16"/>
                <w:szCs w:val="16"/>
              </w:rPr>
              <w:t>0</w:t>
            </w:r>
          </w:p>
        </w:tc>
        <w:tc>
          <w:tcPr>
            <w:tcW w:w="2288" w:type="dxa"/>
            <w:tcBorders>
              <w:top w:val="nil"/>
              <w:left w:val="nil"/>
              <w:bottom w:val="single" w:sz="4" w:space="0" w:color="auto"/>
              <w:right w:val="single" w:sz="4" w:space="0" w:color="auto"/>
            </w:tcBorders>
            <w:noWrap/>
            <w:vAlign w:val="bottom"/>
            <w:hideMark/>
          </w:tcPr>
          <w:p w14:paraId="4A511ABF"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Fair Value through  profit and loss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247BEC6D" w14:textId="71D6EB1B" w:rsidR="0052153D" w:rsidRPr="0052153D" w:rsidRDefault="0052153D" w:rsidP="0052153D">
            <w:pPr>
              <w:jc w:val="right"/>
              <w:rPr>
                <w:rFonts w:ascii="Arial" w:hAnsi="Arial" w:cs="Arial"/>
                <w:b/>
                <w:bCs/>
                <w:color w:val="000000"/>
                <w:sz w:val="16"/>
                <w:szCs w:val="16"/>
              </w:rPr>
            </w:pPr>
            <w:r w:rsidRPr="0052153D">
              <w:rPr>
                <w:rFonts w:ascii="Arial" w:hAnsi="Arial" w:cs="Arial"/>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4129DFAC" w14:textId="58025DE8" w:rsidR="0052153D" w:rsidRPr="0052153D" w:rsidRDefault="0052153D" w:rsidP="0052153D">
            <w:pPr>
              <w:jc w:val="right"/>
              <w:rPr>
                <w:rFonts w:ascii="Arial" w:hAnsi="Arial" w:cs="Arial"/>
                <w:b/>
                <w:bCs/>
                <w:color w:val="000000"/>
                <w:sz w:val="16"/>
                <w:szCs w:val="16"/>
              </w:rPr>
            </w:pPr>
            <w:r w:rsidRPr="0052153D">
              <w:rPr>
                <w:rFonts w:ascii="Arial" w:hAnsi="Arial" w:cs="Arial"/>
                <w:color w:val="000000"/>
                <w:sz w:val="16"/>
                <w:szCs w:val="16"/>
              </w:rPr>
              <w:t>0</w:t>
            </w:r>
          </w:p>
        </w:tc>
        <w:tc>
          <w:tcPr>
            <w:tcW w:w="1134" w:type="dxa"/>
            <w:tcBorders>
              <w:top w:val="nil"/>
              <w:left w:val="nil"/>
              <w:bottom w:val="single" w:sz="4" w:space="0" w:color="auto"/>
              <w:right w:val="single" w:sz="4" w:space="0" w:color="auto"/>
            </w:tcBorders>
            <w:shd w:val="clear" w:color="000000" w:fill="D9D9D9"/>
            <w:noWrap/>
            <w:vAlign w:val="bottom"/>
            <w:hideMark/>
          </w:tcPr>
          <w:p w14:paraId="7E76ADA9" w14:textId="502EFA15" w:rsidR="0052153D" w:rsidRPr="0052153D" w:rsidRDefault="000F1A52" w:rsidP="0052153D">
            <w:pPr>
              <w:jc w:val="right"/>
              <w:rPr>
                <w:rFonts w:ascii="Arial" w:hAnsi="Arial" w:cs="Arial"/>
                <w:b/>
                <w:bCs/>
                <w:color w:val="000000"/>
                <w:sz w:val="16"/>
                <w:szCs w:val="16"/>
              </w:rPr>
            </w:pPr>
            <w:r>
              <w:rPr>
                <w:rFonts w:ascii="Arial" w:hAnsi="Arial" w:cs="Arial"/>
                <w:color w:val="000000"/>
                <w:sz w:val="16"/>
                <w:szCs w:val="16"/>
              </w:rPr>
              <w:t>0</w:t>
            </w:r>
          </w:p>
        </w:tc>
        <w:tc>
          <w:tcPr>
            <w:tcW w:w="1083" w:type="dxa"/>
            <w:tcBorders>
              <w:top w:val="nil"/>
              <w:left w:val="nil"/>
              <w:bottom w:val="single" w:sz="4" w:space="0" w:color="auto"/>
              <w:right w:val="single" w:sz="4" w:space="0" w:color="auto"/>
            </w:tcBorders>
            <w:shd w:val="clear" w:color="000000" w:fill="D9D9D9"/>
            <w:noWrap/>
            <w:vAlign w:val="bottom"/>
            <w:hideMark/>
          </w:tcPr>
          <w:p w14:paraId="29F126FB" w14:textId="5368119A" w:rsidR="0052153D" w:rsidRPr="0052153D" w:rsidRDefault="000F1A52" w:rsidP="0052153D">
            <w:pPr>
              <w:jc w:val="right"/>
              <w:rPr>
                <w:rFonts w:ascii="Arial" w:hAnsi="Arial" w:cs="Arial"/>
                <w:b/>
                <w:bCs/>
                <w:color w:val="000000"/>
                <w:sz w:val="16"/>
                <w:szCs w:val="16"/>
              </w:rPr>
            </w:pPr>
            <w:r>
              <w:rPr>
                <w:rFonts w:ascii="Arial" w:hAnsi="Arial" w:cs="Arial"/>
                <w:b/>
                <w:bCs/>
                <w:color w:val="000000"/>
                <w:sz w:val="16"/>
                <w:szCs w:val="16"/>
              </w:rPr>
              <w:t>0</w:t>
            </w:r>
          </w:p>
        </w:tc>
      </w:tr>
      <w:tr w:rsidR="0052153D" w:rsidRPr="008F4702" w14:paraId="09961502"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46A38034" w14:textId="7833A58D" w:rsidR="0052153D" w:rsidRPr="0052153D" w:rsidRDefault="0052153D" w:rsidP="0052153D">
            <w:pPr>
              <w:jc w:val="right"/>
              <w:rPr>
                <w:rFonts w:ascii="Arial" w:hAnsi="Arial" w:cs="Arial"/>
                <w:color w:val="000000"/>
                <w:sz w:val="16"/>
                <w:szCs w:val="16"/>
              </w:rPr>
            </w:pPr>
            <w:r w:rsidRPr="0052153D">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097A2362" w14:textId="2145AE1D" w:rsidR="0052153D" w:rsidRPr="0052153D" w:rsidRDefault="0052153D" w:rsidP="0052153D">
            <w:pPr>
              <w:jc w:val="right"/>
              <w:rPr>
                <w:rFonts w:ascii="Arial" w:hAnsi="Arial" w:cs="Arial"/>
                <w:color w:val="000000"/>
                <w:sz w:val="16"/>
                <w:szCs w:val="16"/>
              </w:rPr>
            </w:pPr>
            <w:r w:rsidRPr="0052153D">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2DAC2DEF" w14:textId="724212BD" w:rsidR="0052153D" w:rsidRPr="00194E0F" w:rsidRDefault="00194E0F" w:rsidP="0052153D">
            <w:pPr>
              <w:jc w:val="right"/>
              <w:rPr>
                <w:rFonts w:ascii="Arial" w:hAnsi="Arial" w:cs="Arial"/>
                <w:b/>
                <w:bCs/>
                <w:color w:val="000000"/>
                <w:sz w:val="16"/>
                <w:szCs w:val="16"/>
              </w:rPr>
            </w:pPr>
            <w:r w:rsidRPr="00194E0F">
              <w:rPr>
                <w:rFonts w:ascii="Arial" w:hAnsi="Arial" w:cs="Arial"/>
                <w:b/>
                <w:bCs/>
                <w:color w:val="000000"/>
                <w:sz w:val="16"/>
                <w:szCs w:val="16"/>
              </w:rPr>
              <w:t>4,619</w:t>
            </w:r>
          </w:p>
        </w:tc>
        <w:tc>
          <w:tcPr>
            <w:tcW w:w="1195" w:type="dxa"/>
            <w:tcBorders>
              <w:top w:val="nil"/>
              <w:left w:val="nil"/>
              <w:bottom w:val="single" w:sz="4" w:space="0" w:color="auto"/>
              <w:right w:val="single" w:sz="4" w:space="0" w:color="auto"/>
            </w:tcBorders>
            <w:noWrap/>
            <w:vAlign w:val="bottom"/>
            <w:hideMark/>
          </w:tcPr>
          <w:p w14:paraId="416B00AB" w14:textId="053C678E" w:rsidR="0052153D" w:rsidRPr="00194E0F" w:rsidRDefault="00194E0F" w:rsidP="0052153D">
            <w:pPr>
              <w:jc w:val="right"/>
              <w:rPr>
                <w:rFonts w:ascii="Arial" w:hAnsi="Arial" w:cs="Arial"/>
                <w:b/>
                <w:bCs/>
                <w:color w:val="000000"/>
                <w:sz w:val="16"/>
                <w:szCs w:val="16"/>
              </w:rPr>
            </w:pPr>
            <w:r w:rsidRPr="00194E0F">
              <w:rPr>
                <w:rFonts w:ascii="Arial" w:hAnsi="Arial" w:cs="Arial"/>
                <w:b/>
                <w:bCs/>
                <w:color w:val="000000"/>
                <w:sz w:val="16"/>
                <w:szCs w:val="16"/>
              </w:rPr>
              <w:t>4,619</w:t>
            </w:r>
          </w:p>
        </w:tc>
        <w:tc>
          <w:tcPr>
            <w:tcW w:w="2288" w:type="dxa"/>
            <w:tcBorders>
              <w:top w:val="nil"/>
              <w:left w:val="nil"/>
              <w:bottom w:val="single" w:sz="4" w:space="0" w:color="auto"/>
              <w:right w:val="single" w:sz="4" w:space="0" w:color="auto"/>
            </w:tcBorders>
            <w:noWrap/>
            <w:vAlign w:val="bottom"/>
            <w:hideMark/>
          </w:tcPr>
          <w:p w14:paraId="4105679A" w14:textId="77777777" w:rsidR="0052153D" w:rsidRPr="0052153D" w:rsidRDefault="0052153D" w:rsidP="0052153D">
            <w:pPr>
              <w:rPr>
                <w:rFonts w:ascii="Arial" w:hAnsi="Arial" w:cs="Arial"/>
                <w:b/>
                <w:bCs/>
                <w:color w:val="000000"/>
                <w:sz w:val="16"/>
                <w:szCs w:val="16"/>
              </w:rPr>
            </w:pPr>
            <w:r w:rsidRPr="0052153D">
              <w:rPr>
                <w:rFonts w:ascii="Arial" w:hAnsi="Arial" w:cs="Arial"/>
                <w:b/>
                <w:bCs/>
                <w:color w:val="000000"/>
                <w:sz w:val="16"/>
                <w:szCs w:val="16"/>
              </w:rPr>
              <w:t>Total Cash and Cash Equivalents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076463BA" w14:textId="7D23EC9E" w:rsidR="0052153D" w:rsidRPr="0052153D" w:rsidRDefault="0052153D" w:rsidP="0052153D">
            <w:pPr>
              <w:jc w:val="right"/>
              <w:rPr>
                <w:rFonts w:ascii="Arial" w:hAnsi="Arial" w:cs="Arial"/>
                <w:b/>
                <w:bCs/>
                <w:color w:val="000000"/>
                <w:sz w:val="16"/>
                <w:szCs w:val="16"/>
              </w:rPr>
            </w:pPr>
            <w:r w:rsidRPr="0052153D">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315295D0" w14:textId="41B7E029" w:rsidR="0052153D" w:rsidRPr="0052153D" w:rsidRDefault="0052153D" w:rsidP="0052153D">
            <w:pPr>
              <w:jc w:val="right"/>
              <w:rPr>
                <w:rFonts w:ascii="Arial" w:hAnsi="Arial" w:cs="Arial"/>
                <w:b/>
                <w:bCs/>
                <w:color w:val="000000"/>
                <w:sz w:val="16"/>
                <w:szCs w:val="16"/>
              </w:rPr>
            </w:pPr>
            <w:r w:rsidRPr="0052153D">
              <w:rPr>
                <w:rFonts w:ascii="Arial" w:hAnsi="Arial" w:cs="Arial"/>
                <w:b/>
                <w:bCs/>
                <w:color w:val="000000"/>
                <w:sz w:val="16"/>
                <w:szCs w:val="16"/>
              </w:rPr>
              <w:t>0</w:t>
            </w:r>
          </w:p>
        </w:tc>
        <w:tc>
          <w:tcPr>
            <w:tcW w:w="1134" w:type="dxa"/>
            <w:tcBorders>
              <w:top w:val="nil"/>
              <w:left w:val="nil"/>
              <w:bottom w:val="single" w:sz="4" w:space="0" w:color="auto"/>
              <w:right w:val="single" w:sz="4" w:space="0" w:color="auto"/>
            </w:tcBorders>
            <w:shd w:val="clear" w:color="000000" w:fill="D9D9D9"/>
            <w:noWrap/>
            <w:vAlign w:val="bottom"/>
            <w:hideMark/>
          </w:tcPr>
          <w:p w14:paraId="484A0BBA" w14:textId="3C8503D7" w:rsidR="0052153D" w:rsidRPr="0052153D" w:rsidRDefault="0052153D" w:rsidP="0052153D">
            <w:pPr>
              <w:jc w:val="right"/>
              <w:rPr>
                <w:rFonts w:ascii="Arial" w:hAnsi="Arial" w:cs="Arial"/>
                <w:b/>
                <w:bCs/>
                <w:color w:val="000000"/>
                <w:sz w:val="16"/>
                <w:szCs w:val="16"/>
              </w:rPr>
            </w:pPr>
            <w:r w:rsidRPr="0052153D">
              <w:rPr>
                <w:rFonts w:ascii="Arial" w:hAnsi="Arial" w:cs="Arial"/>
                <w:b/>
                <w:bCs/>
                <w:color w:val="000000"/>
                <w:sz w:val="16"/>
                <w:szCs w:val="16"/>
              </w:rPr>
              <w:t>11,898</w:t>
            </w:r>
          </w:p>
        </w:tc>
        <w:tc>
          <w:tcPr>
            <w:tcW w:w="1083" w:type="dxa"/>
            <w:tcBorders>
              <w:top w:val="nil"/>
              <w:left w:val="nil"/>
              <w:bottom w:val="single" w:sz="4" w:space="0" w:color="auto"/>
              <w:right w:val="single" w:sz="4" w:space="0" w:color="auto"/>
            </w:tcBorders>
            <w:shd w:val="clear" w:color="000000" w:fill="D9D9D9"/>
            <w:noWrap/>
            <w:vAlign w:val="bottom"/>
            <w:hideMark/>
          </w:tcPr>
          <w:p w14:paraId="5BB0BD21" w14:textId="1F0D457A" w:rsidR="0052153D" w:rsidRPr="0052153D" w:rsidRDefault="0052153D" w:rsidP="0052153D">
            <w:pPr>
              <w:jc w:val="right"/>
              <w:rPr>
                <w:rFonts w:ascii="Arial" w:hAnsi="Arial" w:cs="Arial"/>
                <w:b/>
                <w:bCs/>
                <w:color w:val="000000"/>
                <w:sz w:val="16"/>
                <w:szCs w:val="16"/>
              </w:rPr>
            </w:pPr>
            <w:r w:rsidRPr="0052153D">
              <w:rPr>
                <w:rFonts w:ascii="Arial" w:hAnsi="Arial" w:cs="Arial"/>
                <w:b/>
                <w:bCs/>
                <w:color w:val="000000"/>
                <w:sz w:val="16"/>
                <w:szCs w:val="16"/>
              </w:rPr>
              <w:t>11,898</w:t>
            </w:r>
          </w:p>
        </w:tc>
      </w:tr>
      <w:tr w:rsidR="0052153D" w:rsidRPr="008F4702" w14:paraId="0847FEF5" w14:textId="77777777" w:rsidTr="00791D75">
        <w:trPr>
          <w:trHeight w:val="101"/>
        </w:trPr>
        <w:tc>
          <w:tcPr>
            <w:tcW w:w="1101" w:type="dxa"/>
            <w:tcBorders>
              <w:top w:val="nil"/>
              <w:left w:val="single" w:sz="4" w:space="0" w:color="auto"/>
              <w:bottom w:val="single" w:sz="4" w:space="0" w:color="auto"/>
              <w:right w:val="single" w:sz="4" w:space="0" w:color="auto"/>
            </w:tcBorders>
            <w:noWrap/>
            <w:vAlign w:val="bottom"/>
            <w:hideMark/>
          </w:tcPr>
          <w:p w14:paraId="1265EB6E" w14:textId="35FEF467"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6B059A6C" w14:textId="51769ACE"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51021BAB" w14:textId="63A7FAD4"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58EC4177" w14:textId="63CD81E6"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7A9863F8"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 </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434016F5" w14:textId="3A26FBF5"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0CBD8435" w14:textId="0DCEA3C1"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D9D9D9"/>
            <w:noWrap/>
            <w:vAlign w:val="bottom"/>
            <w:hideMark/>
          </w:tcPr>
          <w:p w14:paraId="5D859881" w14:textId="2A9F02F3"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69386FFE" w14:textId="23B549D8"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r>
      <w:tr w:rsidR="0052153D" w:rsidRPr="008F4702" w14:paraId="6430995F"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25575EA5" w14:textId="5853830C"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23D6B643" w14:textId="5C3C4936"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7F1AE567" w14:textId="75E78810"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45DFA20B" w14:textId="33237F64"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2F586321" w14:textId="77777777" w:rsidR="0052153D" w:rsidRPr="0052153D" w:rsidRDefault="0052153D" w:rsidP="0052153D">
            <w:pPr>
              <w:rPr>
                <w:rFonts w:ascii="Arial" w:hAnsi="Arial" w:cs="Arial"/>
                <w:b/>
                <w:bCs/>
                <w:color w:val="000000"/>
                <w:sz w:val="16"/>
                <w:szCs w:val="16"/>
              </w:rPr>
            </w:pPr>
            <w:r w:rsidRPr="0052153D">
              <w:rPr>
                <w:rFonts w:ascii="Arial" w:hAnsi="Arial" w:cs="Arial"/>
                <w:b/>
                <w:bCs/>
                <w:color w:val="000000"/>
                <w:sz w:val="16"/>
                <w:szCs w:val="16"/>
              </w:rPr>
              <w:t>Debtors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6CDFA860" w14:textId="0248F3FA"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5B4B5E57" w14:textId="64072D97"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D9D9D9"/>
            <w:noWrap/>
            <w:vAlign w:val="bottom"/>
            <w:hideMark/>
          </w:tcPr>
          <w:p w14:paraId="756F05FF" w14:textId="264F6AD3"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3F45F209" w14:textId="5F82BEA5"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r>
      <w:tr w:rsidR="00511EFC" w:rsidRPr="008F4702" w14:paraId="7BC16E8B"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69F9117F" w14:textId="30AA2E69"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13212FF2" w14:textId="5A97FEA3"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7B392596" w14:textId="7D2C0A2D" w:rsidR="00511EFC" w:rsidRPr="00173712" w:rsidRDefault="00D5020E" w:rsidP="00511EFC">
            <w:pPr>
              <w:jc w:val="right"/>
              <w:rPr>
                <w:rFonts w:ascii="Arial" w:hAnsi="Arial" w:cs="Arial"/>
                <w:color w:val="000000"/>
                <w:sz w:val="16"/>
                <w:szCs w:val="16"/>
                <w:highlight w:val="yellow"/>
              </w:rPr>
            </w:pPr>
            <w:r>
              <w:rPr>
                <w:rFonts w:ascii="Arial" w:hAnsi="Arial" w:cs="Arial"/>
                <w:b/>
                <w:bCs/>
                <w:color w:val="000000"/>
                <w:sz w:val="16"/>
                <w:szCs w:val="16"/>
              </w:rPr>
              <w:t>7,072</w:t>
            </w:r>
          </w:p>
        </w:tc>
        <w:tc>
          <w:tcPr>
            <w:tcW w:w="1195" w:type="dxa"/>
            <w:tcBorders>
              <w:top w:val="nil"/>
              <w:left w:val="nil"/>
              <w:bottom w:val="single" w:sz="4" w:space="0" w:color="auto"/>
              <w:right w:val="single" w:sz="4" w:space="0" w:color="auto"/>
            </w:tcBorders>
            <w:noWrap/>
            <w:vAlign w:val="bottom"/>
            <w:hideMark/>
          </w:tcPr>
          <w:p w14:paraId="5A63E10E" w14:textId="1D8F620D" w:rsidR="00511EFC" w:rsidRPr="00173712" w:rsidRDefault="00D5020E" w:rsidP="00511EFC">
            <w:pPr>
              <w:jc w:val="right"/>
              <w:rPr>
                <w:rFonts w:ascii="Arial" w:hAnsi="Arial" w:cs="Arial"/>
                <w:color w:val="000000"/>
                <w:sz w:val="16"/>
                <w:szCs w:val="16"/>
                <w:highlight w:val="yellow"/>
              </w:rPr>
            </w:pPr>
            <w:r>
              <w:rPr>
                <w:rFonts w:ascii="Arial" w:hAnsi="Arial" w:cs="Arial"/>
                <w:b/>
                <w:bCs/>
                <w:color w:val="000000"/>
                <w:sz w:val="16"/>
                <w:szCs w:val="16"/>
              </w:rPr>
              <w:t>7,072</w:t>
            </w:r>
          </w:p>
        </w:tc>
        <w:tc>
          <w:tcPr>
            <w:tcW w:w="2288" w:type="dxa"/>
            <w:tcBorders>
              <w:top w:val="nil"/>
              <w:left w:val="nil"/>
              <w:bottom w:val="single" w:sz="4" w:space="0" w:color="auto"/>
              <w:right w:val="single" w:sz="4" w:space="0" w:color="auto"/>
            </w:tcBorders>
            <w:noWrap/>
            <w:vAlign w:val="bottom"/>
            <w:hideMark/>
          </w:tcPr>
          <w:p w14:paraId="44BDAFC6" w14:textId="77777777" w:rsidR="00511EFC" w:rsidRPr="0052153D" w:rsidRDefault="00511EFC" w:rsidP="00511EFC">
            <w:pPr>
              <w:rPr>
                <w:rFonts w:ascii="Arial" w:hAnsi="Arial" w:cs="Arial"/>
                <w:color w:val="000000"/>
                <w:sz w:val="16"/>
                <w:szCs w:val="16"/>
              </w:rPr>
            </w:pPr>
            <w:r w:rsidRPr="0052153D">
              <w:rPr>
                <w:rFonts w:ascii="Arial" w:hAnsi="Arial" w:cs="Arial"/>
                <w:color w:val="000000"/>
                <w:sz w:val="16"/>
                <w:szCs w:val="16"/>
              </w:rPr>
              <w:t>Financial Assets at Amortised Cost</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3C0D2907" w14:textId="54E3390C" w:rsidR="00511EFC" w:rsidRPr="00173712" w:rsidRDefault="00511EFC" w:rsidP="00511EFC">
            <w:pPr>
              <w:jc w:val="right"/>
              <w:rPr>
                <w:rFonts w:ascii="Arial" w:hAnsi="Arial" w:cs="Arial"/>
                <w:b/>
                <w:bCs/>
                <w:color w:val="000000"/>
                <w:sz w:val="16"/>
                <w:szCs w:val="16"/>
                <w:highlight w:val="yellow"/>
              </w:rPr>
            </w:pPr>
            <w:r>
              <w:rPr>
                <w:rFonts w:ascii="Arial" w:hAnsi="Arial" w:cs="Arial"/>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5FEBD32C" w14:textId="0BA13887" w:rsidR="00511EFC" w:rsidRPr="00173712" w:rsidRDefault="00511EFC" w:rsidP="00511EFC">
            <w:pPr>
              <w:jc w:val="right"/>
              <w:rPr>
                <w:rFonts w:ascii="Arial" w:hAnsi="Arial" w:cs="Arial"/>
                <w:b/>
                <w:bCs/>
                <w:color w:val="000000"/>
                <w:sz w:val="16"/>
                <w:szCs w:val="16"/>
                <w:highlight w:val="yellow"/>
              </w:rPr>
            </w:pPr>
            <w:r>
              <w:rPr>
                <w:rFonts w:ascii="Arial" w:hAnsi="Arial" w:cs="Arial"/>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shd w:val="clear" w:color="000000" w:fill="D9D9D9"/>
            <w:noWrap/>
            <w:vAlign w:val="bottom"/>
            <w:hideMark/>
          </w:tcPr>
          <w:p w14:paraId="751132D2" w14:textId="7AB13A79" w:rsidR="00511EFC" w:rsidRPr="00173712" w:rsidRDefault="00511EFC" w:rsidP="00511EFC">
            <w:pPr>
              <w:jc w:val="right"/>
              <w:rPr>
                <w:rFonts w:ascii="Arial" w:hAnsi="Arial" w:cs="Arial"/>
                <w:b/>
                <w:bCs/>
                <w:color w:val="000000"/>
                <w:sz w:val="16"/>
                <w:szCs w:val="16"/>
                <w:highlight w:val="yellow"/>
              </w:rPr>
            </w:pPr>
            <w:r>
              <w:rPr>
                <w:rFonts w:ascii="Arial" w:hAnsi="Arial" w:cs="Arial"/>
                <w:color w:val="000000"/>
                <w:sz w:val="16"/>
                <w:szCs w:val="16"/>
              </w:rPr>
              <w:t>8,</w:t>
            </w:r>
            <w:r w:rsidR="008A07BA">
              <w:rPr>
                <w:rFonts w:ascii="Arial" w:hAnsi="Arial" w:cs="Arial"/>
                <w:color w:val="000000"/>
                <w:sz w:val="16"/>
                <w:szCs w:val="16"/>
              </w:rPr>
              <w:t>200</w:t>
            </w:r>
          </w:p>
        </w:tc>
        <w:tc>
          <w:tcPr>
            <w:tcW w:w="1083" w:type="dxa"/>
            <w:tcBorders>
              <w:top w:val="single" w:sz="4" w:space="0" w:color="auto"/>
              <w:left w:val="nil"/>
              <w:bottom w:val="single" w:sz="4" w:space="0" w:color="auto"/>
              <w:right w:val="single" w:sz="4" w:space="0" w:color="auto"/>
            </w:tcBorders>
            <w:shd w:val="clear" w:color="000000" w:fill="D9D9D9"/>
            <w:noWrap/>
            <w:vAlign w:val="bottom"/>
            <w:hideMark/>
          </w:tcPr>
          <w:p w14:paraId="2FD79B73" w14:textId="200AE62C" w:rsidR="00511EFC" w:rsidRPr="00173712" w:rsidRDefault="00511EFC" w:rsidP="00511EFC">
            <w:pPr>
              <w:jc w:val="right"/>
              <w:rPr>
                <w:rFonts w:ascii="Arial" w:hAnsi="Arial" w:cs="Arial"/>
                <w:b/>
                <w:bCs/>
                <w:color w:val="000000"/>
                <w:sz w:val="16"/>
                <w:szCs w:val="16"/>
                <w:highlight w:val="yellow"/>
              </w:rPr>
            </w:pPr>
            <w:r>
              <w:rPr>
                <w:rFonts w:ascii="Arial" w:hAnsi="Arial" w:cs="Arial"/>
                <w:color w:val="000000"/>
                <w:sz w:val="16"/>
                <w:szCs w:val="16"/>
              </w:rPr>
              <w:t>8,</w:t>
            </w:r>
            <w:r w:rsidR="008A07BA">
              <w:rPr>
                <w:rFonts w:ascii="Arial" w:hAnsi="Arial" w:cs="Arial"/>
                <w:color w:val="000000"/>
                <w:sz w:val="16"/>
                <w:szCs w:val="16"/>
              </w:rPr>
              <w:t>200</w:t>
            </w:r>
          </w:p>
        </w:tc>
      </w:tr>
      <w:tr w:rsidR="00511EFC" w:rsidRPr="008F4702" w14:paraId="26AF63C8"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4D4425F4" w14:textId="43585E0B"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4A70CEE4" w14:textId="5366B331"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64BDE515" w14:textId="20B15063" w:rsidR="00511EFC" w:rsidRPr="00173712" w:rsidRDefault="00D5020E" w:rsidP="00511EFC">
            <w:pPr>
              <w:jc w:val="right"/>
              <w:rPr>
                <w:rFonts w:ascii="Arial" w:hAnsi="Arial" w:cs="Arial"/>
                <w:color w:val="000000"/>
                <w:sz w:val="16"/>
                <w:szCs w:val="16"/>
                <w:highlight w:val="yellow"/>
              </w:rPr>
            </w:pPr>
            <w:r>
              <w:rPr>
                <w:rFonts w:ascii="Arial" w:hAnsi="Arial" w:cs="Arial"/>
                <w:b/>
                <w:bCs/>
                <w:color w:val="000000"/>
                <w:sz w:val="16"/>
                <w:szCs w:val="16"/>
              </w:rPr>
              <w:t>37,</w:t>
            </w:r>
            <w:r w:rsidR="00CB68BF">
              <w:rPr>
                <w:rFonts w:ascii="Arial" w:hAnsi="Arial" w:cs="Arial"/>
                <w:b/>
                <w:bCs/>
                <w:color w:val="000000"/>
                <w:sz w:val="16"/>
                <w:szCs w:val="16"/>
              </w:rPr>
              <w:t>910</w:t>
            </w:r>
          </w:p>
        </w:tc>
        <w:tc>
          <w:tcPr>
            <w:tcW w:w="1195" w:type="dxa"/>
            <w:tcBorders>
              <w:top w:val="nil"/>
              <w:left w:val="nil"/>
              <w:bottom w:val="single" w:sz="4" w:space="0" w:color="auto"/>
              <w:right w:val="single" w:sz="4" w:space="0" w:color="auto"/>
            </w:tcBorders>
            <w:noWrap/>
            <w:vAlign w:val="bottom"/>
            <w:hideMark/>
          </w:tcPr>
          <w:p w14:paraId="640A31D1" w14:textId="4D659A44" w:rsidR="00511EFC" w:rsidRPr="00173712" w:rsidRDefault="00D5020E" w:rsidP="00511EFC">
            <w:pPr>
              <w:jc w:val="right"/>
              <w:rPr>
                <w:rFonts w:ascii="Arial" w:hAnsi="Arial" w:cs="Arial"/>
                <w:color w:val="000000"/>
                <w:sz w:val="16"/>
                <w:szCs w:val="16"/>
                <w:highlight w:val="yellow"/>
              </w:rPr>
            </w:pPr>
            <w:r>
              <w:rPr>
                <w:rFonts w:ascii="Arial" w:hAnsi="Arial" w:cs="Arial"/>
                <w:b/>
                <w:bCs/>
                <w:color w:val="000000"/>
                <w:sz w:val="16"/>
                <w:szCs w:val="16"/>
              </w:rPr>
              <w:t>37,</w:t>
            </w:r>
            <w:r w:rsidR="00CB68BF">
              <w:rPr>
                <w:rFonts w:ascii="Arial" w:hAnsi="Arial" w:cs="Arial"/>
                <w:b/>
                <w:bCs/>
                <w:color w:val="000000"/>
                <w:sz w:val="16"/>
                <w:szCs w:val="16"/>
              </w:rPr>
              <w:t>910</w:t>
            </w:r>
          </w:p>
        </w:tc>
        <w:tc>
          <w:tcPr>
            <w:tcW w:w="2288" w:type="dxa"/>
            <w:tcBorders>
              <w:top w:val="nil"/>
              <w:left w:val="nil"/>
              <w:bottom w:val="single" w:sz="4" w:space="0" w:color="auto"/>
              <w:right w:val="single" w:sz="4" w:space="0" w:color="auto"/>
            </w:tcBorders>
            <w:noWrap/>
            <w:vAlign w:val="bottom"/>
            <w:hideMark/>
          </w:tcPr>
          <w:p w14:paraId="7625FAEF" w14:textId="16DC6A5D" w:rsidR="00511EFC" w:rsidRPr="0052153D" w:rsidRDefault="00DC2030" w:rsidP="00511EFC">
            <w:pPr>
              <w:rPr>
                <w:rFonts w:ascii="Arial" w:hAnsi="Arial" w:cs="Arial"/>
                <w:color w:val="000000"/>
                <w:sz w:val="16"/>
                <w:szCs w:val="16"/>
              </w:rPr>
            </w:pPr>
            <w:r w:rsidRPr="0052153D">
              <w:rPr>
                <w:rFonts w:ascii="Arial" w:hAnsi="Arial" w:cs="Arial"/>
                <w:color w:val="000000"/>
                <w:sz w:val="16"/>
                <w:szCs w:val="16"/>
              </w:rPr>
              <w:t>Non-Financial</w:t>
            </w:r>
            <w:r w:rsidR="00511EFC" w:rsidRPr="0052153D">
              <w:rPr>
                <w:rFonts w:ascii="Arial" w:hAnsi="Arial" w:cs="Arial"/>
                <w:color w:val="000000"/>
                <w:sz w:val="16"/>
                <w:szCs w:val="16"/>
              </w:rPr>
              <w:t xml:space="preserve"> Instruments debtors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2A18A520" w14:textId="03EC980F" w:rsidR="00511EFC" w:rsidRPr="00173712" w:rsidRDefault="00511EFC" w:rsidP="00511EFC">
            <w:pPr>
              <w:jc w:val="right"/>
              <w:rPr>
                <w:rFonts w:ascii="Arial" w:hAnsi="Arial" w:cs="Arial"/>
                <w:b/>
                <w:bCs/>
                <w:color w:val="000000"/>
                <w:sz w:val="16"/>
                <w:szCs w:val="16"/>
                <w:highlight w:val="yellow"/>
              </w:rPr>
            </w:pPr>
            <w:r>
              <w:rPr>
                <w:rFonts w:ascii="Arial" w:hAnsi="Arial" w:cs="Arial"/>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0E8391AC" w14:textId="4ED66B2B" w:rsidR="00511EFC" w:rsidRPr="00173712" w:rsidRDefault="00511EFC" w:rsidP="00511EFC">
            <w:pPr>
              <w:jc w:val="right"/>
              <w:rPr>
                <w:rFonts w:ascii="Arial" w:hAnsi="Arial" w:cs="Arial"/>
                <w:b/>
                <w:bCs/>
                <w:color w:val="000000"/>
                <w:sz w:val="16"/>
                <w:szCs w:val="16"/>
                <w:highlight w:val="yellow"/>
              </w:rPr>
            </w:pPr>
            <w:r>
              <w:rPr>
                <w:rFonts w:ascii="Arial" w:hAnsi="Arial" w:cs="Arial"/>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68782D2D" w14:textId="67B20F1B" w:rsidR="00511EFC" w:rsidRPr="00173712" w:rsidRDefault="00511EFC" w:rsidP="00511EFC">
            <w:pPr>
              <w:jc w:val="right"/>
              <w:rPr>
                <w:rFonts w:ascii="Arial" w:hAnsi="Arial" w:cs="Arial"/>
                <w:b/>
                <w:bCs/>
                <w:color w:val="000000"/>
                <w:sz w:val="16"/>
                <w:szCs w:val="16"/>
                <w:highlight w:val="yellow"/>
              </w:rPr>
            </w:pPr>
            <w:r>
              <w:rPr>
                <w:rFonts w:ascii="Arial" w:hAnsi="Arial" w:cs="Arial"/>
                <w:color w:val="000000"/>
                <w:sz w:val="16"/>
                <w:szCs w:val="16"/>
              </w:rPr>
              <w:t>4</w:t>
            </w:r>
            <w:r w:rsidR="008A07BA">
              <w:rPr>
                <w:rFonts w:ascii="Arial" w:hAnsi="Arial" w:cs="Arial"/>
                <w:color w:val="000000"/>
                <w:sz w:val="16"/>
                <w:szCs w:val="16"/>
              </w:rPr>
              <w:t>6,190</w:t>
            </w:r>
          </w:p>
        </w:tc>
        <w:tc>
          <w:tcPr>
            <w:tcW w:w="1083" w:type="dxa"/>
            <w:tcBorders>
              <w:top w:val="nil"/>
              <w:left w:val="nil"/>
              <w:bottom w:val="single" w:sz="4" w:space="0" w:color="auto"/>
              <w:right w:val="single" w:sz="4" w:space="0" w:color="auto"/>
            </w:tcBorders>
            <w:shd w:val="clear" w:color="000000" w:fill="D9D9D9"/>
            <w:noWrap/>
            <w:vAlign w:val="bottom"/>
            <w:hideMark/>
          </w:tcPr>
          <w:p w14:paraId="656A124E" w14:textId="11BAD4A1" w:rsidR="00511EFC" w:rsidRPr="00173712" w:rsidRDefault="008A07BA" w:rsidP="00511EFC">
            <w:pPr>
              <w:jc w:val="right"/>
              <w:rPr>
                <w:rFonts w:ascii="Arial" w:hAnsi="Arial" w:cs="Arial"/>
                <w:b/>
                <w:bCs/>
                <w:color w:val="000000"/>
                <w:sz w:val="16"/>
                <w:szCs w:val="16"/>
                <w:highlight w:val="yellow"/>
              </w:rPr>
            </w:pPr>
            <w:r>
              <w:rPr>
                <w:rFonts w:ascii="Arial" w:hAnsi="Arial" w:cs="Arial"/>
                <w:color w:val="000000"/>
                <w:sz w:val="16"/>
                <w:szCs w:val="16"/>
              </w:rPr>
              <w:t>46,190</w:t>
            </w:r>
          </w:p>
        </w:tc>
      </w:tr>
      <w:tr w:rsidR="00511EFC" w:rsidRPr="008F4702" w14:paraId="102F9EA5"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75762F3B" w14:textId="0BE40E44"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51FEEB29" w14:textId="7EEC4504"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3B906022" w14:textId="065F33D9"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44,982</w:t>
            </w:r>
          </w:p>
        </w:tc>
        <w:tc>
          <w:tcPr>
            <w:tcW w:w="1195" w:type="dxa"/>
            <w:tcBorders>
              <w:top w:val="nil"/>
              <w:left w:val="nil"/>
              <w:bottom w:val="single" w:sz="4" w:space="0" w:color="auto"/>
              <w:right w:val="single" w:sz="4" w:space="0" w:color="auto"/>
            </w:tcBorders>
            <w:noWrap/>
            <w:vAlign w:val="bottom"/>
            <w:hideMark/>
          </w:tcPr>
          <w:p w14:paraId="2CC4C2D5" w14:textId="09B18F0D"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44,982</w:t>
            </w:r>
          </w:p>
        </w:tc>
        <w:tc>
          <w:tcPr>
            <w:tcW w:w="2288" w:type="dxa"/>
            <w:tcBorders>
              <w:top w:val="nil"/>
              <w:left w:val="nil"/>
              <w:bottom w:val="single" w:sz="4" w:space="0" w:color="auto"/>
              <w:right w:val="single" w:sz="4" w:space="0" w:color="auto"/>
            </w:tcBorders>
            <w:noWrap/>
            <w:vAlign w:val="bottom"/>
            <w:hideMark/>
          </w:tcPr>
          <w:p w14:paraId="13732DFD" w14:textId="77777777" w:rsidR="00511EFC" w:rsidRPr="0052153D" w:rsidRDefault="00511EFC" w:rsidP="00511EFC">
            <w:pPr>
              <w:rPr>
                <w:rFonts w:ascii="Arial" w:hAnsi="Arial" w:cs="Arial"/>
                <w:b/>
                <w:bCs/>
                <w:color w:val="000000"/>
                <w:sz w:val="16"/>
                <w:szCs w:val="16"/>
              </w:rPr>
            </w:pPr>
            <w:r w:rsidRPr="0052153D">
              <w:rPr>
                <w:rFonts w:ascii="Arial" w:hAnsi="Arial" w:cs="Arial"/>
                <w:b/>
                <w:bCs/>
                <w:color w:val="000000"/>
                <w:sz w:val="16"/>
                <w:szCs w:val="16"/>
              </w:rPr>
              <w:t>Total Debtors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44B7F6C3" w14:textId="0F7D8363" w:rsidR="00511EFC" w:rsidRPr="00173712" w:rsidRDefault="00511EFC" w:rsidP="00511EFC">
            <w:pPr>
              <w:jc w:val="right"/>
              <w:rPr>
                <w:rFonts w:ascii="Arial" w:hAnsi="Arial" w:cs="Arial"/>
                <w:b/>
                <w:bCs/>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608264FD" w14:textId="191F3317" w:rsidR="00511EFC" w:rsidRPr="00173712" w:rsidRDefault="00511EFC" w:rsidP="00511EFC">
            <w:pPr>
              <w:jc w:val="right"/>
              <w:rPr>
                <w:rFonts w:ascii="Arial" w:hAnsi="Arial" w:cs="Arial"/>
                <w:b/>
                <w:bCs/>
                <w:color w:val="000000"/>
                <w:sz w:val="16"/>
                <w:szCs w:val="16"/>
                <w:highlight w:val="yellow"/>
              </w:rPr>
            </w:pPr>
            <w:r>
              <w:rPr>
                <w:rFonts w:ascii="Arial" w:hAnsi="Arial" w:cs="Arial"/>
                <w:b/>
                <w:bCs/>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05692910" w14:textId="4C4D16B8" w:rsidR="00511EFC" w:rsidRPr="00173712" w:rsidRDefault="008A07BA" w:rsidP="00511EFC">
            <w:pPr>
              <w:jc w:val="right"/>
              <w:rPr>
                <w:rFonts w:ascii="Arial" w:hAnsi="Arial" w:cs="Arial"/>
                <w:b/>
                <w:bCs/>
                <w:color w:val="000000"/>
                <w:sz w:val="16"/>
                <w:szCs w:val="16"/>
                <w:highlight w:val="yellow"/>
              </w:rPr>
            </w:pPr>
            <w:r>
              <w:rPr>
                <w:rFonts w:ascii="Arial" w:hAnsi="Arial" w:cs="Arial"/>
                <w:b/>
                <w:bCs/>
                <w:color w:val="000000"/>
                <w:sz w:val="16"/>
                <w:szCs w:val="16"/>
              </w:rPr>
              <w:t>54,390</w:t>
            </w:r>
          </w:p>
        </w:tc>
        <w:tc>
          <w:tcPr>
            <w:tcW w:w="1083" w:type="dxa"/>
            <w:tcBorders>
              <w:top w:val="nil"/>
              <w:left w:val="nil"/>
              <w:bottom w:val="single" w:sz="4" w:space="0" w:color="auto"/>
              <w:right w:val="single" w:sz="4" w:space="0" w:color="auto"/>
            </w:tcBorders>
            <w:shd w:val="clear" w:color="000000" w:fill="D9D9D9"/>
            <w:noWrap/>
            <w:vAlign w:val="bottom"/>
            <w:hideMark/>
          </w:tcPr>
          <w:p w14:paraId="2E58F48D" w14:textId="03BEF0F1" w:rsidR="00511EFC" w:rsidRPr="00173712" w:rsidRDefault="008A07BA" w:rsidP="00511EFC">
            <w:pPr>
              <w:jc w:val="right"/>
              <w:rPr>
                <w:rFonts w:ascii="Arial" w:hAnsi="Arial" w:cs="Arial"/>
                <w:b/>
                <w:bCs/>
                <w:color w:val="000000"/>
                <w:sz w:val="16"/>
                <w:szCs w:val="16"/>
                <w:highlight w:val="yellow"/>
              </w:rPr>
            </w:pPr>
            <w:r w:rsidRPr="008A07BA">
              <w:rPr>
                <w:rFonts w:ascii="Arial" w:hAnsi="Arial" w:cs="Arial"/>
                <w:b/>
                <w:bCs/>
                <w:color w:val="000000"/>
                <w:sz w:val="16"/>
                <w:szCs w:val="16"/>
              </w:rPr>
              <w:t>54,390</w:t>
            </w:r>
          </w:p>
        </w:tc>
      </w:tr>
      <w:tr w:rsidR="00511EFC" w:rsidRPr="008F4702" w14:paraId="54322B7B"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18E51131" w14:textId="02B04C8E" w:rsidR="00511EFC" w:rsidRPr="00173712" w:rsidRDefault="00511EFC" w:rsidP="00511EFC">
            <w:pPr>
              <w:rPr>
                <w:rFonts w:ascii="Arial" w:hAnsi="Arial" w:cs="Arial"/>
                <w:color w:val="000000"/>
                <w:sz w:val="16"/>
                <w:szCs w:val="16"/>
                <w:highlight w:val="yellow"/>
              </w:rPr>
            </w:pPr>
            <w:r>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26D148B0" w14:textId="777F3186" w:rsidR="00511EFC" w:rsidRPr="00173712" w:rsidRDefault="00511EFC" w:rsidP="00511EFC">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45DE5124" w14:textId="2494F68C" w:rsidR="00511EFC" w:rsidRPr="00173712" w:rsidRDefault="00511EFC" w:rsidP="00511EFC">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7CDBBDAC" w14:textId="36AE0386" w:rsidR="00511EFC" w:rsidRPr="00173712" w:rsidRDefault="00511EFC" w:rsidP="00511EFC">
            <w:pPr>
              <w:rPr>
                <w:rFonts w:ascii="Arial" w:hAnsi="Arial" w:cs="Arial"/>
                <w:color w:val="000000"/>
                <w:sz w:val="16"/>
                <w:szCs w:val="16"/>
                <w:highlight w:val="yellow"/>
              </w:rPr>
            </w:pPr>
            <w:r>
              <w:rPr>
                <w:rFonts w:ascii="Arial" w:hAnsi="Arial" w:cs="Arial"/>
                <w:b/>
                <w:bCs/>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15086965" w14:textId="77777777" w:rsidR="00511EFC" w:rsidRPr="0052153D" w:rsidRDefault="00511EFC" w:rsidP="00511EFC">
            <w:pPr>
              <w:rPr>
                <w:rFonts w:ascii="Arial" w:hAnsi="Arial" w:cs="Arial"/>
                <w:color w:val="000000"/>
                <w:sz w:val="16"/>
                <w:szCs w:val="16"/>
              </w:rPr>
            </w:pPr>
            <w:r w:rsidRPr="0052153D">
              <w:rPr>
                <w:rFonts w:ascii="Arial" w:hAnsi="Arial" w:cs="Arial"/>
                <w:color w:val="000000"/>
                <w:sz w:val="16"/>
                <w:szCs w:val="16"/>
              </w:rPr>
              <w:t> </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7EC00F8B" w14:textId="70E1CA98" w:rsidR="00511EFC" w:rsidRPr="00173712" w:rsidRDefault="00511EFC" w:rsidP="00511EFC">
            <w:pPr>
              <w:rPr>
                <w:rFonts w:ascii="Arial" w:hAnsi="Arial" w:cs="Arial"/>
                <w:b/>
                <w:bCs/>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29214F1E" w14:textId="4BAED86B" w:rsidR="00511EFC" w:rsidRPr="00173712" w:rsidRDefault="00511EFC" w:rsidP="00511EFC">
            <w:pPr>
              <w:rPr>
                <w:rFonts w:ascii="Arial" w:hAnsi="Arial" w:cs="Arial"/>
                <w:b/>
                <w:bCs/>
                <w:color w:val="000000"/>
                <w:sz w:val="16"/>
                <w:szCs w:val="16"/>
                <w:highlight w:val="yellow"/>
              </w:rPr>
            </w:pPr>
            <w:r>
              <w:rPr>
                <w:rFonts w:ascii="Arial" w:hAnsi="Arial" w:cs="Arial"/>
                <w:color w:val="000000"/>
                <w:sz w:val="16"/>
                <w:szCs w:val="16"/>
              </w:rPr>
              <w:t> </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7DE5030B" w14:textId="7A4AFB0C" w:rsidR="00511EFC" w:rsidRPr="00173712" w:rsidRDefault="00511EFC" w:rsidP="00511EFC">
            <w:pPr>
              <w:rPr>
                <w:rFonts w:ascii="Arial" w:hAnsi="Arial" w:cs="Arial"/>
                <w:b/>
                <w:bCs/>
                <w:color w:val="000000"/>
                <w:sz w:val="16"/>
                <w:szCs w:val="16"/>
                <w:highlight w:val="yellow"/>
              </w:rPr>
            </w:pPr>
            <w:r>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55B2B255" w14:textId="48B34125" w:rsidR="00511EFC" w:rsidRPr="00173712" w:rsidRDefault="00511EFC" w:rsidP="00511EFC">
            <w:pPr>
              <w:rPr>
                <w:rFonts w:ascii="Arial" w:hAnsi="Arial" w:cs="Arial"/>
                <w:b/>
                <w:bCs/>
                <w:color w:val="000000"/>
                <w:sz w:val="16"/>
                <w:szCs w:val="16"/>
                <w:highlight w:val="yellow"/>
              </w:rPr>
            </w:pPr>
            <w:r>
              <w:rPr>
                <w:rFonts w:ascii="Arial" w:hAnsi="Arial" w:cs="Arial"/>
                <w:color w:val="000000"/>
                <w:sz w:val="16"/>
                <w:szCs w:val="16"/>
              </w:rPr>
              <w:t> </w:t>
            </w:r>
          </w:p>
        </w:tc>
      </w:tr>
      <w:tr w:rsidR="00511EFC" w:rsidRPr="008F4702" w14:paraId="5F08CF40"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470A8683" w14:textId="7923B773"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79D72BF9" w14:textId="7718414A"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4EBEEE3C" w14:textId="6C6582A4"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54,581</w:t>
            </w:r>
          </w:p>
        </w:tc>
        <w:tc>
          <w:tcPr>
            <w:tcW w:w="1195" w:type="dxa"/>
            <w:tcBorders>
              <w:top w:val="nil"/>
              <w:left w:val="nil"/>
              <w:bottom w:val="single" w:sz="4" w:space="0" w:color="auto"/>
              <w:right w:val="single" w:sz="4" w:space="0" w:color="auto"/>
            </w:tcBorders>
            <w:noWrap/>
            <w:vAlign w:val="bottom"/>
            <w:hideMark/>
          </w:tcPr>
          <w:p w14:paraId="0DC65A87" w14:textId="12C3EC46" w:rsidR="00511EFC" w:rsidRPr="00173712" w:rsidRDefault="00511EFC" w:rsidP="00511EFC">
            <w:pPr>
              <w:jc w:val="right"/>
              <w:rPr>
                <w:rFonts w:ascii="Arial" w:hAnsi="Arial" w:cs="Arial"/>
                <w:color w:val="000000"/>
                <w:sz w:val="16"/>
                <w:szCs w:val="16"/>
                <w:highlight w:val="yellow"/>
              </w:rPr>
            </w:pPr>
            <w:r>
              <w:rPr>
                <w:rFonts w:ascii="Arial" w:hAnsi="Arial" w:cs="Arial"/>
                <w:b/>
                <w:bCs/>
                <w:color w:val="000000"/>
                <w:sz w:val="16"/>
                <w:szCs w:val="16"/>
              </w:rPr>
              <w:t>54,581</w:t>
            </w:r>
          </w:p>
        </w:tc>
        <w:tc>
          <w:tcPr>
            <w:tcW w:w="2288" w:type="dxa"/>
            <w:tcBorders>
              <w:top w:val="nil"/>
              <w:left w:val="nil"/>
              <w:bottom w:val="single" w:sz="4" w:space="0" w:color="auto"/>
              <w:right w:val="single" w:sz="4" w:space="0" w:color="auto"/>
            </w:tcBorders>
            <w:noWrap/>
            <w:vAlign w:val="bottom"/>
            <w:hideMark/>
          </w:tcPr>
          <w:p w14:paraId="0D8BA1A5" w14:textId="77777777" w:rsidR="00511EFC" w:rsidRPr="0052153D" w:rsidRDefault="00511EFC" w:rsidP="00511EFC">
            <w:pPr>
              <w:rPr>
                <w:rFonts w:ascii="Arial" w:hAnsi="Arial" w:cs="Arial"/>
                <w:b/>
                <w:bCs/>
                <w:color w:val="000000"/>
                <w:sz w:val="16"/>
                <w:szCs w:val="16"/>
              </w:rPr>
            </w:pPr>
            <w:r w:rsidRPr="0052153D">
              <w:rPr>
                <w:rFonts w:ascii="Arial" w:hAnsi="Arial" w:cs="Arial"/>
                <w:b/>
                <w:bCs/>
                <w:color w:val="000000"/>
                <w:sz w:val="16"/>
                <w:szCs w:val="16"/>
              </w:rPr>
              <w:t>Total All Financial Assets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40C4FE0C" w14:textId="7C101747" w:rsidR="00511EFC" w:rsidRPr="00173712" w:rsidRDefault="00511EFC" w:rsidP="00511EFC">
            <w:pPr>
              <w:jc w:val="right"/>
              <w:rPr>
                <w:rFonts w:ascii="Arial" w:hAnsi="Arial" w:cs="Arial"/>
                <w:b/>
                <w:bCs/>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6052FAA8" w14:textId="65CC6313" w:rsidR="00511EFC" w:rsidRPr="00173712" w:rsidRDefault="00511EFC" w:rsidP="00511EFC">
            <w:pPr>
              <w:jc w:val="right"/>
              <w:rPr>
                <w:rFonts w:ascii="Arial" w:hAnsi="Arial" w:cs="Arial"/>
                <w:b/>
                <w:bCs/>
                <w:color w:val="000000"/>
                <w:sz w:val="16"/>
                <w:szCs w:val="16"/>
                <w:highlight w:val="yellow"/>
              </w:rPr>
            </w:pPr>
            <w:r>
              <w:rPr>
                <w:rFonts w:ascii="Arial" w:hAnsi="Arial" w:cs="Arial"/>
                <w:b/>
                <w:bCs/>
                <w:color w:val="000000"/>
                <w:sz w:val="16"/>
                <w:szCs w:val="16"/>
              </w:rPr>
              <w:t>0</w:t>
            </w:r>
          </w:p>
        </w:tc>
        <w:tc>
          <w:tcPr>
            <w:tcW w:w="1134" w:type="dxa"/>
            <w:tcBorders>
              <w:top w:val="nil"/>
              <w:left w:val="single" w:sz="4" w:space="0" w:color="auto"/>
              <w:bottom w:val="single" w:sz="4" w:space="0" w:color="auto"/>
              <w:right w:val="single" w:sz="4" w:space="0" w:color="auto"/>
            </w:tcBorders>
            <w:shd w:val="clear" w:color="000000" w:fill="D9D9D9"/>
            <w:noWrap/>
            <w:vAlign w:val="bottom"/>
            <w:hideMark/>
          </w:tcPr>
          <w:p w14:paraId="6A66F93D" w14:textId="4CA59E24" w:rsidR="00511EFC" w:rsidRPr="00173712" w:rsidRDefault="00511EFC" w:rsidP="00511EFC">
            <w:pPr>
              <w:jc w:val="right"/>
              <w:rPr>
                <w:rFonts w:ascii="Arial" w:hAnsi="Arial" w:cs="Arial"/>
                <w:b/>
                <w:bCs/>
                <w:color w:val="000000"/>
                <w:sz w:val="16"/>
                <w:szCs w:val="16"/>
                <w:highlight w:val="yellow"/>
              </w:rPr>
            </w:pPr>
            <w:r>
              <w:rPr>
                <w:rFonts w:ascii="Arial" w:hAnsi="Arial" w:cs="Arial"/>
                <w:b/>
                <w:bCs/>
                <w:color w:val="000000"/>
                <w:sz w:val="16"/>
                <w:szCs w:val="16"/>
              </w:rPr>
              <w:t>6</w:t>
            </w:r>
            <w:r w:rsidR="008A07BA">
              <w:rPr>
                <w:rFonts w:ascii="Arial" w:hAnsi="Arial" w:cs="Arial"/>
                <w:b/>
                <w:bCs/>
                <w:color w:val="000000"/>
                <w:sz w:val="16"/>
                <w:szCs w:val="16"/>
              </w:rPr>
              <w:t>6,288</w:t>
            </w:r>
          </w:p>
        </w:tc>
        <w:tc>
          <w:tcPr>
            <w:tcW w:w="1083" w:type="dxa"/>
            <w:tcBorders>
              <w:top w:val="nil"/>
              <w:left w:val="nil"/>
              <w:bottom w:val="single" w:sz="4" w:space="0" w:color="auto"/>
              <w:right w:val="single" w:sz="4" w:space="0" w:color="auto"/>
            </w:tcBorders>
            <w:shd w:val="clear" w:color="000000" w:fill="D9D9D9"/>
            <w:noWrap/>
            <w:vAlign w:val="bottom"/>
            <w:hideMark/>
          </w:tcPr>
          <w:p w14:paraId="0B747CD1" w14:textId="1F278EA6" w:rsidR="00511EFC" w:rsidRPr="00173712" w:rsidRDefault="008A07BA" w:rsidP="00511EFC">
            <w:pPr>
              <w:jc w:val="right"/>
              <w:rPr>
                <w:rFonts w:ascii="Arial" w:hAnsi="Arial" w:cs="Arial"/>
                <w:b/>
                <w:bCs/>
                <w:color w:val="000000"/>
                <w:sz w:val="16"/>
                <w:szCs w:val="16"/>
                <w:highlight w:val="yellow"/>
              </w:rPr>
            </w:pPr>
            <w:r>
              <w:rPr>
                <w:rFonts w:ascii="Arial" w:hAnsi="Arial" w:cs="Arial"/>
                <w:b/>
                <w:bCs/>
                <w:color w:val="000000"/>
                <w:sz w:val="16"/>
                <w:szCs w:val="16"/>
              </w:rPr>
              <w:t>66,288</w:t>
            </w:r>
          </w:p>
        </w:tc>
      </w:tr>
      <w:tr w:rsidR="0052153D" w:rsidRPr="008F4702" w14:paraId="52AC0B30" w14:textId="77777777" w:rsidTr="00791D75">
        <w:trPr>
          <w:trHeight w:val="101"/>
        </w:trPr>
        <w:tc>
          <w:tcPr>
            <w:tcW w:w="1101" w:type="dxa"/>
            <w:tcBorders>
              <w:top w:val="nil"/>
              <w:left w:val="single" w:sz="4" w:space="0" w:color="auto"/>
              <w:bottom w:val="single" w:sz="4" w:space="0" w:color="auto"/>
              <w:right w:val="single" w:sz="4" w:space="0" w:color="auto"/>
            </w:tcBorders>
            <w:noWrap/>
            <w:vAlign w:val="bottom"/>
            <w:hideMark/>
          </w:tcPr>
          <w:p w14:paraId="0832078E" w14:textId="5975EA52"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0258852B" w14:textId="138CA390"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18F9670A" w14:textId="57F75C89"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32F2A8C0" w14:textId="4203C65B"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2240AE7C"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 </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267291A2" w14:textId="505E2FE0"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1449AB60" w14:textId="12B07333"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D9D9D9"/>
            <w:noWrap/>
            <w:vAlign w:val="bottom"/>
            <w:hideMark/>
          </w:tcPr>
          <w:p w14:paraId="69404C34" w14:textId="34A49E87"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62B847EC" w14:textId="1E6D2926"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r>
      <w:tr w:rsidR="0052153D" w:rsidRPr="008F4702" w14:paraId="7D947CBA"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2D362434" w14:textId="3BE1B9A4"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1117AAB9" w14:textId="33209DAB"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53FD27CA" w14:textId="0A805F37"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31EC4D25" w14:textId="726AC9D0"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51585956" w14:textId="77777777" w:rsidR="0052153D" w:rsidRPr="0052153D" w:rsidRDefault="0052153D" w:rsidP="0052153D">
            <w:pPr>
              <w:rPr>
                <w:rFonts w:ascii="Arial" w:hAnsi="Arial" w:cs="Arial"/>
                <w:b/>
                <w:bCs/>
                <w:color w:val="000000"/>
                <w:sz w:val="16"/>
                <w:szCs w:val="16"/>
              </w:rPr>
            </w:pPr>
            <w:r w:rsidRPr="0052153D">
              <w:rPr>
                <w:rFonts w:ascii="Arial" w:hAnsi="Arial" w:cs="Arial"/>
                <w:b/>
                <w:bCs/>
                <w:color w:val="000000"/>
                <w:sz w:val="16"/>
                <w:szCs w:val="16"/>
              </w:rPr>
              <w:t>Borrowings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45680A5D" w14:textId="3E625675"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43626E9F" w14:textId="359CCA91"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D9D9D9"/>
            <w:noWrap/>
            <w:vAlign w:val="bottom"/>
            <w:hideMark/>
          </w:tcPr>
          <w:p w14:paraId="323AA5A0" w14:textId="24727F54"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0EF0B921" w14:textId="206FFDEE"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r>
      <w:tr w:rsidR="0052153D" w:rsidRPr="008F4702" w14:paraId="5E14396B"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0A1D3316" w14:textId="29DAB7B7"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(5,000)</w:t>
            </w:r>
          </w:p>
        </w:tc>
        <w:tc>
          <w:tcPr>
            <w:tcW w:w="992" w:type="dxa"/>
            <w:tcBorders>
              <w:top w:val="nil"/>
              <w:left w:val="nil"/>
              <w:bottom w:val="single" w:sz="4" w:space="0" w:color="auto"/>
              <w:right w:val="single" w:sz="4" w:space="0" w:color="auto"/>
            </w:tcBorders>
            <w:noWrap/>
            <w:vAlign w:val="bottom"/>
            <w:hideMark/>
          </w:tcPr>
          <w:p w14:paraId="1D3D8C64" w14:textId="4CA395A2"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(5,000)</w:t>
            </w:r>
          </w:p>
        </w:tc>
        <w:tc>
          <w:tcPr>
            <w:tcW w:w="1195" w:type="dxa"/>
            <w:tcBorders>
              <w:top w:val="nil"/>
              <w:left w:val="nil"/>
              <w:bottom w:val="single" w:sz="4" w:space="0" w:color="auto"/>
              <w:right w:val="single" w:sz="4" w:space="0" w:color="auto"/>
            </w:tcBorders>
            <w:noWrap/>
            <w:vAlign w:val="bottom"/>
            <w:hideMark/>
          </w:tcPr>
          <w:p w14:paraId="5D3F910C" w14:textId="15ACE24C"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(45,022)</w:t>
            </w:r>
          </w:p>
        </w:tc>
        <w:tc>
          <w:tcPr>
            <w:tcW w:w="1195" w:type="dxa"/>
            <w:tcBorders>
              <w:top w:val="nil"/>
              <w:left w:val="nil"/>
              <w:bottom w:val="single" w:sz="4" w:space="0" w:color="auto"/>
              <w:right w:val="single" w:sz="4" w:space="0" w:color="auto"/>
            </w:tcBorders>
            <w:noWrap/>
            <w:vAlign w:val="bottom"/>
            <w:hideMark/>
          </w:tcPr>
          <w:p w14:paraId="6AAC6674" w14:textId="4C1F872C"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(45,022)</w:t>
            </w:r>
          </w:p>
        </w:tc>
        <w:tc>
          <w:tcPr>
            <w:tcW w:w="2288" w:type="dxa"/>
            <w:tcBorders>
              <w:top w:val="nil"/>
              <w:left w:val="nil"/>
              <w:bottom w:val="single" w:sz="4" w:space="0" w:color="auto"/>
              <w:right w:val="single" w:sz="4" w:space="0" w:color="auto"/>
            </w:tcBorders>
            <w:noWrap/>
            <w:vAlign w:val="bottom"/>
            <w:hideMark/>
          </w:tcPr>
          <w:p w14:paraId="72E35BF6"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Financial Liabilities at Amortised Cost</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174BD4D2" w14:textId="16F5E0EF"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533037DB" w14:textId="5DD9C2D7"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0</w:t>
            </w:r>
          </w:p>
        </w:tc>
        <w:tc>
          <w:tcPr>
            <w:tcW w:w="1134" w:type="dxa"/>
            <w:tcBorders>
              <w:top w:val="nil"/>
              <w:left w:val="nil"/>
              <w:bottom w:val="single" w:sz="4" w:space="0" w:color="auto"/>
              <w:right w:val="single" w:sz="4" w:space="0" w:color="auto"/>
            </w:tcBorders>
            <w:shd w:val="clear" w:color="000000" w:fill="D9D9D9"/>
            <w:noWrap/>
            <w:vAlign w:val="bottom"/>
            <w:hideMark/>
          </w:tcPr>
          <w:p w14:paraId="7BDBB5E8" w14:textId="5F54BD0C"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(60,000)</w:t>
            </w:r>
          </w:p>
        </w:tc>
        <w:tc>
          <w:tcPr>
            <w:tcW w:w="1083" w:type="dxa"/>
            <w:tcBorders>
              <w:top w:val="nil"/>
              <w:left w:val="nil"/>
              <w:bottom w:val="single" w:sz="4" w:space="0" w:color="auto"/>
              <w:right w:val="single" w:sz="4" w:space="0" w:color="auto"/>
            </w:tcBorders>
            <w:shd w:val="clear" w:color="000000" w:fill="D9D9D9"/>
            <w:noWrap/>
            <w:vAlign w:val="bottom"/>
            <w:hideMark/>
          </w:tcPr>
          <w:p w14:paraId="36DE6DF5" w14:textId="0AA00C3C"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(60,000)</w:t>
            </w:r>
          </w:p>
        </w:tc>
      </w:tr>
      <w:tr w:rsidR="0052153D" w:rsidRPr="008F4702" w14:paraId="2FB06691"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7440E56F" w14:textId="18EFD682"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(40,888)</w:t>
            </w:r>
          </w:p>
        </w:tc>
        <w:tc>
          <w:tcPr>
            <w:tcW w:w="992" w:type="dxa"/>
            <w:tcBorders>
              <w:top w:val="nil"/>
              <w:left w:val="nil"/>
              <w:bottom w:val="single" w:sz="4" w:space="0" w:color="auto"/>
              <w:right w:val="single" w:sz="4" w:space="0" w:color="auto"/>
            </w:tcBorders>
            <w:noWrap/>
            <w:vAlign w:val="bottom"/>
            <w:hideMark/>
          </w:tcPr>
          <w:p w14:paraId="78AEC13E" w14:textId="0CDF7CB8"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(40,888)</w:t>
            </w:r>
          </w:p>
        </w:tc>
        <w:tc>
          <w:tcPr>
            <w:tcW w:w="1195" w:type="dxa"/>
            <w:tcBorders>
              <w:top w:val="nil"/>
              <w:left w:val="nil"/>
              <w:bottom w:val="single" w:sz="4" w:space="0" w:color="auto"/>
              <w:right w:val="single" w:sz="4" w:space="0" w:color="auto"/>
            </w:tcBorders>
            <w:noWrap/>
            <w:vAlign w:val="bottom"/>
            <w:hideMark/>
          </w:tcPr>
          <w:p w14:paraId="63385358" w14:textId="13678B57"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(1,475)</w:t>
            </w:r>
          </w:p>
        </w:tc>
        <w:tc>
          <w:tcPr>
            <w:tcW w:w="1195" w:type="dxa"/>
            <w:tcBorders>
              <w:top w:val="nil"/>
              <w:left w:val="nil"/>
              <w:bottom w:val="single" w:sz="4" w:space="0" w:color="auto"/>
              <w:right w:val="single" w:sz="4" w:space="0" w:color="auto"/>
            </w:tcBorders>
            <w:noWrap/>
            <w:vAlign w:val="bottom"/>
            <w:hideMark/>
          </w:tcPr>
          <w:p w14:paraId="02E23F7F" w14:textId="2A0C302A"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(1,475)</w:t>
            </w:r>
          </w:p>
        </w:tc>
        <w:tc>
          <w:tcPr>
            <w:tcW w:w="2288" w:type="dxa"/>
            <w:tcBorders>
              <w:top w:val="nil"/>
              <w:left w:val="nil"/>
              <w:bottom w:val="single" w:sz="4" w:space="0" w:color="auto"/>
              <w:right w:val="single" w:sz="4" w:space="0" w:color="auto"/>
            </w:tcBorders>
            <w:noWrap/>
            <w:vAlign w:val="bottom"/>
            <w:hideMark/>
          </w:tcPr>
          <w:p w14:paraId="3CAAAD86"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Financial Liabilities at Amortised Cost - PWLB</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7ACFC4F8" w14:textId="1E56CD05"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(39,413)</w:t>
            </w:r>
          </w:p>
        </w:tc>
        <w:tc>
          <w:tcPr>
            <w:tcW w:w="992" w:type="dxa"/>
            <w:tcBorders>
              <w:top w:val="nil"/>
              <w:left w:val="nil"/>
              <w:bottom w:val="single" w:sz="4" w:space="0" w:color="auto"/>
              <w:right w:val="single" w:sz="4" w:space="0" w:color="auto"/>
            </w:tcBorders>
            <w:shd w:val="clear" w:color="000000" w:fill="D9D9D9"/>
            <w:noWrap/>
            <w:vAlign w:val="bottom"/>
            <w:hideMark/>
          </w:tcPr>
          <w:p w14:paraId="0FC46664" w14:textId="48F44643"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(39,413)</w:t>
            </w:r>
          </w:p>
        </w:tc>
        <w:tc>
          <w:tcPr>
            <w:tcW w:w="1134" w:type="dxa"/>
            <w:tcBorders>
              <w:top w:val="nil"/>
              <w:left w:val="nil"/>
              <w:bottom w:val="single" w:sz="4" w:space="0" w:color="auto"/>
              <w:right w:val="single" w:sz="4" w:space="0" w:color="auto"/>
            </w:tcBorders>
            <w:shd w:val="clear" w:color="000000" w:fill="D9D9D9"/>
            <w:noWrap/>
            <w:vAlign w:val="bottom"/>
            <w:hideMark/>
          </w:tcPr>
          <w:p w14:paraId="7C98CD63" w14:textId="3267CF5E"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(1,475)</w:t>
            </w:r>
          </w:p>
        </w:tc>
        <w:tc>
          <w:tcPr>
            <w:tcW w:w="1083" w:type="dxa"/>
            <w:tcBorders>
              <w:top w:val="nil"/>
              <w:left w:val="nil"/>
              <w:bottom w:val="single" w:sz="4" w:space="0" w:color="auto"/>
              <w:right w:val="single" w:sz="4" w:space="0" w:color="auto"/>
            </w:tcBorders>
            <w:shd w:val="clear" w:color="000000" w:fill="D9D9D9"/>
            <w:noWrap/>
            <w:vAlign w:val="bottom"/>
            <w:hideMark/>
          </w:tcPr>
          <w:p w14:paraId="0D0C3E9D" w14:textId="1C512F82"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(1,475)</w:t>
            </w:r>
          </w:p>
        </w:tc>
      </w:tr>
      <w:tr w:rsidR="0052153D" w:rsidRPr="008F4702" w14:paraId="000A10B3"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6042CA8A" w14:textId="16492E06"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(45,888)</w:t>
            </w:r>
          </w:p>
        </w:tc>
        <w:tc>
          <w:tcPr>
            <w:tcW w:w="992" w:type="dxa"/>
            <w:tcBorders>
              <w:top w:val="nil"/>
              <w:left w:val="nil"/>
              <w:bottom w:val="single" w:sz="4" w:space="0" w:color="auto"/>
              <w:right w:val="single" w:sz="4" w:space="0" w:color="auto"/>
            </w:tcBorders>
            <w:noWrap/>
            <w:vAlign w:val="bottom"/>
            <w:hideMark/>
          </w:tcPr>
          <w:p w14:paraId="7D60F668" w14:textId="4C7CAE99"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(45,888)</w:t>
            </w:r>
          </w:p>
        </w:tc>
        <w:tc>
          <w:tcPr>
            <w:tcW w:w="1195" w:type="dxa"/>
            <w:tcBorders>
              <w:top w:val="nil"/>
              <w:left w:val="nil"/>
              <w:bottom w:val="single" w:sz="4" w:space="0" w:color="auto"/>
              <w:right w:val="single" w:sz="4" w:space="0" w:color="auto"/>
            </w:tcBorders>
            <w:noWrap/>
            <w:vAlign w:val="bottom"/>
            <w:hideMark/>
          </w:tcPr>
          <w:p w14:paraId="0BD9F1AA" w14:textId="355C8EC0"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(46,497)</w:t>
            </w:r>
          </w:p>
        </w:tc>
        <w:tc>
          <w:tcPr>
            <w:tcW w:w="1195" w:type="dxa"/>
            <w:tcBorders>
              <w:top w:val="nil"/>
              <w:left w:val="nil"/>
              <w:bottom w:val="single" w:sz="4" w:space="0" w:color="auto"/>
              <w:right w:val="single" w:sz="4" w:space="0" w:color="auto"/>
            </w:tcBorders>
            <w:noWrap/>
            <w:vAlign w:val="bottom"/>
            <w:hideMark/>
          </w:tcPr>
          <w:p w14:paraId="4318C03A" w14:textId="5016594A"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(46,497)</w:t>
            </w:r>
          </w:p>
        </w:tc>
        <w:tc>
          <w:tcPr>
            <w:tcW w:w="2288" w:type="dxa"/>
            <w:tcBorders>
              <w:top w:val="nil"/>
              <w:left w:val="nil"/>
              <w:bottom w:val="single" w:sz="4" w:space="0" w:color="auto"/>
              <w:right w:val="single" w:sz="4" w:space="0" w:color="auto"/>
            </w:tcBorders>
            <w:noWrap/>
            <w:vAlign w:val="bottom"/>
            <w:hideMark/>
          </w:tcPr>
          <w:p w14:paraId="27935720" w14:textId="77777777" w:rsidR="0052153D" w:rsidRPr="0052153D" w:rsidRDefault="0052153D" w:rsidP="0052153D">
            <w:pPr>
              <w:rPr>
                <w:rFonts w:ascii="Arial" w:hAnsi="Arial" w:cs="Arial"/>
                <w:b/>
                <w:bCs/>
                <w:color w:val="000000"/>
                <w:sz w:val="16"/>
                <w:szCs w:val="16"/>
              </w:rPr>
            </w:pPr>
            <w:r w:rsidRPr="0052153D">
              <w:rPr>
                <w:rFonts w:ascii="Arial" w:hAnsi="Arial" w:cs="Arial"/>
                <w:b/>
                <w:bCs/>
                <w:color w:val="000000"/>
                <w:sz w:val="16"/>
                <w:szCs w:val="16"/>
              </w:rPr>
              <w:t>Total Borrowings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5A82293C" w14:textId="78C44C12" w:rsidR="0052153D" w:rsidRPr="00173712" w:rsidRDefault="0052153D" w:rsidP="0052153D">
            <w:pPr>
              <w:jc w:val="right"/>
              <w:rPr>
                <w:rFonts w:ascii="Arial" w:hAnsi="Arial" w:cs="Arial"/>
                <w:b/>
                <w:bCs/>
                <w:color w:val="000000"/>
                <w:sz w:val="16"/>
                <w:szCs w:val="16"/>
                <w:highlight w:val="yellow"/>
              </w:rPr>
            </w:pPr>
            <w:r>
              <w:rPr>
                <w:rFonts w:ascii="Arial" w:hAnsi="Arial" w:cs="Arial"/>
                <w:b/>
                <w:bCs/>
                <w:color w:val="000000"/>
                <w:sz w:val="16"/>
                <w:szCs w:val="16"/>
              </w:rPr>
              <w:t>(39,413)</w:t>
            </w:r>
          </w:p>
        </w:tc>
        <w:tc>
          <w:tcPr>
            <w:tcW w:w="992" w:type="dxa"/>
            <w:tcBorders>
              <w:top w:val="nil"/>
              <w:left w:val="nil"/>
              <w:bottom w:val="single" w:sz="4" w:space="0" w:color="auto"/>
              <w:right w:val="single" w:sz="4" w:space="0" w:color="auto"/>
            </w:tcBorders>
            <w:shd w:val="clear" w:color="000000" w:fill="D9D9D9"/>
            <w:noWrap/>
            <w:vAlign w:val="bottom"/>
            <w:hideMark/>
          </w:tcPr>
          <w:p w14:paraId="4E74CEFE" w14:textId="329C4DC7" w:rsidR="0052153D" w:rsidRPr="00173712" w:rsidRDefault="0052153D" w:rsidP="0052153D">
            <w:pPr>
              <w:jc w:val="right"/>
              <w:rPr>
                <w:rFonts w:ascii="Arial" w:hAnsi="Arial" w:cs="Arial"/>
                <w:b/>
                <w:bCs/>
                <w:color w:val="000000"/>
                <w:sz w:val="16"/>
                <w:szCs w:val="16"/>
                <w:highlight w:val="yellow"/>
              </w:rPr>
            </w:pPr>
            <w:r>
              <w:rPr>
                <w:rFonts w:ascii="Arial" w:hAnsi="Arial" w:cs="Arial"/>
                <w:b/>
                <w:bCs/>
                <w:color w:val="000000"/>
                <w:sz w:val="16"/>
                <w:szCs w:val="16"/>
              </w:rPr>
              <w:t>(39,413)</w:t>
            </w:r>
          </w:p>
        </w:tc>
        <w:tc>
          <w:tcPr>
            <w:tcW w:w="1134" w:type="dxa"/>
            <w:tcBorders>
              <w:top w:val="nil"/>
              <w:left w:val="nil"/>
              <w:bottom w:val="single" w:sz="4" w:space="0" w:color="auto"/>
              <w:right w:val="single" w:sz="4" w:space="0" w:color="auto"/>
            </w:tcBorders>
            <w:shd w:val="clear" w:color="000000" w:fill="D9D9D9"/>
            <w:noWrap/>
            <w:vAlign w:val="bottom"/>
            <w:hideMark/>
          </w:tcPr>
          <w:p w14:paraId="7235CB33" w14:textId="611998A3" w:rsidR="0052153D" w:rsidRPr="00173712" w:rsidRDefault="0052153D" w:rsidP="0052153D">
            <w:pPr>
              <w:jc w:val="right"/>
              <w:rPr>
                <w:rFonts w:ascii="Arial" w:hAnsi="Arial" w:cs="Arial"/>
                <w:b/>
                <w:bCs/>
                <w:color w:val="000000"/>
                <w:sz w:val="16"/>
                <w:szCs w:val="16"/>
                <w:highlight w:val="yellow"/>
              </w:rPr>
            </w:pPr>
            <w:r>
              <w:rPr>
                <w:rFonts w:ascii="Arial" w:hAnsi="Arial" w:cs="Arial"/>
                <w:b/>
                <w:bCs/>
                <w:color w:val="000000"/>
                <w:sz w:val="16"/>
                <w:szCs w:val="16"/>
              </w:rPr>
              <w:t>(61,475)</w:t>
            </w:r>
          </w:p>
        </w:tc>
        <w:tc>
          <w:tcPr>
            <w:tcW w:w="1083" w:type="dxa"/>
            <w:tcBorders>
              <w:top w:val="nil"/>
              <w:left w:val="nil"/>
              <w:bottom w:val="single" w:sz="4" w:space="0" w:color="auto"/>
              <w:right w:val="single" w:sz="4" w:space="0" w:color="auto"/>
            </w:tcBorders>
            <w:shd w:val="clear" w:color="000000" w:fill="D9D9D9"/>
            <w:noWrap/>
            <w:vAlign w:val="bottom"/>
            <w:hideMark/>
          </w:tcPr>
          <w:p w14:paraId="14C15712" w14:textId="0DD546D6" w:rsidR="0052153D" w:rsidRPr="00173712" w:rsidRDefault="0052153D" w:rsidP="0052153D">
            <w:pPr>
              <w:jc w:val="right"/>
              <w:rPr>
                <w:rFonts w:ascii="Arial" w:hAnsi="Arial" w:cs="Arial"/>
                <w:b/>
                <w:bCs/>
                <w:color w:val="000000"/>
                <w:sz w:val="16"/>
                <w:szCs w:val="16"/>
                <w:highlight w:val="yellow"/>
              </w:rPr>
            </w:pPr>
            <w:r>
              <w:rPr>
                <w:rFonts w:ascii="Arial" w:hAnsi="Arial" w:cs="Arial"/>
                <w:b/>
                <w:bCs/>
                <w:color w:val="000000"/>
                <w:sz w:val="16"/>
                <w:szCs w:val="16"/>
              </w:rPr>
              <w:t>(61,475)</w:t>
            </w:r>
          </w:p>
        </w:tc>
      </w:tr>
      <w:tr w:rsidR="0052153D" w:rsidRPr="008F4702" w14:paraId="6A96058B" w14:textId="77777777" w:rsidTr="00791D75">
        <w:trPr>
          <w:trHeight w:val="101"/>
        </w:trPr>
        <w:tc>
          <w:tcPr>
            <w:tcW w:w="1101" w:type="dxa"/>
            <w:tcBorders>
              <w:top w:val="nil"/>
              <w:left w:val="single" w:sz="4" w:space="0" w:color="auto"/>
              <w:bottom w:val="single" w:sz="4" w:space="0" w:color="auto"/>
              <w:right w:val="single" w:sz="4" w:space="0" w:color="auto"/>
            </w:tcBorders>
            <w:noWrap/>
            <w:vAlign w:val="bottom"/>
            <w:hideMark/>
          </w:tcPr>
          <w:p w14:paraId="2B5BC1EB" w14:textId="4AC6C457"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7A2B27C3" w14:textId="7E7F251D"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64A16A69" w14:textId="4E3DEE52"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1F7C20AD" w14:textId="69443658"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77FE6137"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 </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74E4690C" w14:textId="28BBF3E8"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799EEB1D" w14:textId="17CD87CF"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D9D9D9"/>
            <w:noWrap/>
            <w:vAlign w:val="bottom"/>
            <w:hideMark/>
          </w:tcPr>
          <w:p w14:paraId="60AEBE2E" w14:textId="1CB33D69"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2AC2D449" w14:textId="0FD3199D"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r>
      <w:tr w:rsidR="0052153D" w:rsidRPr="008F4702" w14:paraId="74513252"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0FD2D5A0" w14:textId="2345BE1B"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265A04F0" w14:textId="619A24A2"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667C2C4C" w14:textId="46CFE706"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44BC59E4" w14:textId="66F24BE7" w:rsidR="0052153D" w:rsidRPr="00173712" w:rsidRDefault="0052153D" w:rsidP="0052153D">
            <w:pPr>
              <w:rPr>
                <w:rFonts w:ascii="Arial" w:hAnsi="Arial" w:cs="Arial"/>
                <w:color w:val="000000"/>
                <w:sz w:val="16"/>
                <w:szCs w:val="16"/>
                <w:highlight w:val="yellow"/>
              </w:rPr>
            </w:pPr>
            <w:r>
              <w:rPr>
                <w:rFonts w:ascii="Arial" w:hAnsi="Arial" w:cs="Arial"/>
                <w:b/>
                <w:bCs/>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08D16A74" w14:textId="77777777" w:rsidR="0052153D" w:rsidRPr="0052153D" w:rsidRDefault="0052153D" w:rsidP="0052153D">
            <w:pPr>
              <w:rPr>
                <w:rFonts w:ascii="Arial" w:hAnsi="Arial" w:cs="Arial"/>
                <w:b/>
                <w:bCs/>
                <w:color w:val="000000"/>
                <w:sz w:val="16"/>
                <w:szCs w:val="16"/>
              </w:rPr>
            </w:pPr>
            <w:r w:rsidRPr="0052153D">
              <w:rPr>
                <w:rFonts w:ascii="Arial" w:hAnsi="Arial" w:cs="Arial"/>
                <w:b/>
                <w:bCs/>
                <w:color w:val="000000"/>
                <w:sz w:val="16"/>
                <w:szCs w:val="16"/>
              </w:rPr>
              <w:t>Creditors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64EDA9D2" w14:textId="466F36DF"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0C98DAA6" w14:textId="0C71694B"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D9D9D9"/>
            <w:noWrap/>
            <w:vAlign w:val="bottom"/>
            <w:hideMark/>
          </w:tcPr>
          <w:p w14:paraId="5F08C15C" w14:textId="555EDF26"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6DEEC2F5" w14:textId="249E61E0" w:rsidR="0052153D" w:rsidRPr="00173712" w:rsidRDefault="0052153D" w:rsidP="0052153D">
            <w:pPr>
              <w:rPr>
                <w:rFonts w:ascii="Arial" w:hAnsi="Arial" w:cs="Arial"/>
                <w:b/>
                <w:bCs/>
                <w:color w:val="000000"/>
                <w:sz w:val="16"/>
                <w:szCs w:val="16"/>
                <w:highlight w:val="yellow"/>
              </w:rPr>
            </w:pPr>
            <w:r>
              <w:rPr>
                <w:rFonts w:ascii="Arial" w:hAnsi="Arial" w:cs="Arial"/>
                <w:color w:val="000000"/>
                <w:sz w:val="16"/>
                <w:szCs w:val="16"/>
              </w:rPr>
              <w:t> </w:t>
            </w:r>
          </w:p>
        </w:tc>
      </w:tr>
      <w:tr w:rsidR="0052153D" w:rsidRPr="008F4702" w14:paraId="25F7D193"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2D1EDCB2" w14:textId="360F0FB6"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14055C07" w14:textId="2ECE8C78"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2CA83756" w14:textId="4A157B80"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w:t>
            </w:r>
            <w:r w:rsidR="00194E0F">
              <w:rPr>
                <w:rFonts w:ascii="Arial" w:hAnsi="Arial" w:cs="Arial"/>
                <w:b/>
                <w:bCs/>
                <w:color w:val="000000"/>
                <w:sz w:val="16"/>
                <w:szCs w:val="16"/>
              </w:rPr>
              <w:t>17,6</w:t>
            </w:r>
            <w:r w:rsidR="006C6C5F">
              <w:rPr>
                <w:rFonts w:ascii="Arial" w:hAnsi="Arial" w:cs="Arial"/>
                <w:b/>
                <w:bCs/>
                <w:color w:val="000000"/>
                <w:sz w:val="16"/>
                <w:szCs w:val="16"/>
              </w:rPr>
              <w:t>29</w:t>
            </w:r>
            <w:r>
              <w:rPr>
                <w:rFonts w:ascii="Arial" w:hAnsi="Arial" w:cs="Arial"/>
                <w:b/>
                <w:bCs/>
                <w:color w:val="000000"/>
                <w:sz w:val="16"/>
                <w:szCs w:val="16"/>
              </w:rPr>
              <w:t>)</w:t>
            </w:r>
          </w:p>
        </w:tc>
        <w:tc>
          <w:tcPr>
            <w:tcW w:w="1195" w:type="dxa"/>
            <w:tcBorders>
              <w:top w:val="nil"/>
              <w:left w:val="nil"/>
              <w:bottom w:val="single" w:sz="4" w:space="0" w:color="auto"/>
              <w:right w:val="single" w:sz="4" w:space="0" w:color="auto"/>
            </w:tcBorders>
            <w:noWrap/>
            <w:vAlign w:val="bottom"/>
            <w:hideMark/>
          </w:tcPr>
          <w:p w14:paraId="4C5F99F6" w14:textId="352FBA7D" w:rsidR="0052153D" w:rsidRPr="00173712" w:rsidRDefault="00194E0F" w:rsidP="0052153D">
            <w:pPr>
              <w:jc w:val="right"/>
              <w:rPr>
                <w:rFonts w:ascii="Arial" w:hAnsi="Arial" w:cs="Arial"/>
                <w:color w:val="000000"/>
                <w:sz w:val="16"/>
                <w:szCs w:val="16"/>
                <w:highlight w:val="yellow"/>
              </w:rPr>
            </w:pPr>
            <w:r>
              <w:rPr>
                <w:rFonts w:ascii="Arial" w:hAnsi="Arial" w:cs="Arial"/>
                <w:b/>
                <w:bCs/>
                <w:color w:val="000000"/>
                <w:sz w:val="16"/>
                <w:szCs w:val="16"/>
              </w:rPr>
              <w:t>(17,6</w:t>
            </w:r>
            <w:r w:rsidR="00890A8E">
              <w:rPr>
                <w:rFonts w:ascii="Arial" w:hAnsi="Arial" w:cs="Arial"/>
                <w:b/>
                <w:bCs/>
                <w:color w:val="000000"/>
                <w:sz w:val="16"/>
                <w:szCs w:val="16"/>
              </w:rPr>
              <w:t>29</w:t>
            </w:r>
            <w:r>
              <w:rPr>
                <w:rFonts w:ascii="Arial" w:hAnsi="Arial" w:cs="Arial"/>
                <w:b/>
                <w:bCs/>
                <w:color w:val="000000"/>
                <w:sz w:val="16"/>
                <w:szCs w:val="16"/>
              </w:rPr>
              <w:t>)</w:t>
            </w:r>
          </w:p>
        </w:tc>
        <w:tc>
          <w:tcPr>
            <w:tcW w:w="2288" w:type="dxa"/>
            <w:tcBorders>
              <w:top w:val="nil"/>
              <w:left w:val="nil"/>
              <w:bottom w:val="single" w:sz="4" w:space="0" w:color="auto"/>
              <w:right w:val="single" w:sz="4" w:space="0" w:color="auto"/>
            </w:tcBorders>
            <w:noWrap/>
            <w:vAlign w:val="bottom"/>
            <w:hideMark/>
          </w:tcPr>
          <w:p w14:paraId="0AA2434B"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Financial Liabilities at Amortised Cost</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0DFC4E52" w14:textId="67364C6A"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23554A80" w14:textId="10E769B1"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0</w:t>
            </w:r>
          </w:p>
        </w:tc>
        <w:tc>
          <w:tcPr>
            <w:tcW w:w="1134" w:type="dxa"/>
            <w:tcBorders>
              <w:top w:val="nil"/>
              <w:left w:val="nil"/>
              <w:bottom w:val="single" w:sz="4" w:space="0" w:color="auto"/>
              <w:right w:val="single" w:sz="4" w:space="0" w:color="auto"/>
            </w:tcBorders>
            <w:shd w:val="clear" w:color="000000" w:fill="D9D9D9"/>
            <w:noWrap/>
            <w:vAlign w:val="bottom"/>
            <w:hideMark/>
          </w:tcPr>
          <w:p w14:paraId="1A17D882" w14:textId="671D1A97"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(23,</w:t>
            </w:r>
            <w:r w:rsidR="00A65FD4">
              <w:rPr>
                <w:rFonts w:ascii="Arial" w:hAnsi="Arial" w:cs="Arial"/>
                <w:color w:val="000000"/>
                <w:sz w:val="16"/>
                <w:szCs w:val="16"/>
              </w:rPr>
              <w:t>2</w:t>
            </w:r>
            <w:r w:rsidR="00890A8E">
              <w:rPr>
                <w:rFonts w:ascii="Arial" w:hAnsi="Arial" w:cs="Arial"/>
                <w:color w:val="000000"/>
                <w:sz w:val="16"/>
                <w:szCs w:val="16"/>
              </w:rPr>
              <w:t>78</w:t>
            </w:r>
            <w:r>
              <w:rPr>
                <w:rFonts w:ascii="Arial" w:hAnsi="Arial" w:cs="Arial"/>
                <w:color w:val="000000"/>
                <w:sz w:val="16"/>
                <w:szCs w:val="16"/>
              </w:rPr>
              <w:t>)</w:t>
            </w:r>
          </w:p>
        </w:tc>
        <w:tc>
          <w:tcPr>
            <w:tcW w:w="1083" w:type="dxa"/>
            <w:tcBorders>
              <w:top w:val="nil"/>
              <w:left w:val="nil"/>
              <w:bottom w:val="single" w:sz="4" w:space="0" w:color="auto"/>
              <w:right w:val="single" w:sz="4" w:space="0" w:color="auto"/>
            </w:tcBorders>
            <w:shd w:val="clear" w:color="000000" w:fill="D9D9D9"/>
            <w:noWrap/>
            <w:vAlign w:val="bottom"/>
            <w:hideMark/>
          </w:tcPr>
          <w:p w14:paraId="1FD9BC0F" w14:textId="6291F0D1"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(23,</w:t>
            </w:r>
            <w:r w:rsidR="00A65FD4">
              <w:rPr>
                <w:rFonts w:ascii="Arial" w:hAnsi="Arial" w:cs="Arial"/>
                <w:color w:val="000000"/>
                <w:sz w:val="16"/>
                <w:szCs w:val="16"/>
              </w:rPr>
              <w:t>2</w:t>
            </w:r>
            <w:r w:rsidR="00890A8E">
              <w:rPr>
                <w:rFonts w:ascii="Arial" w:hAnsi="Arial" w:cs="Arial"/>
                <w:color w:val="000000"/>
                <w:sz w:val="16"/>
                <w:szCs w:val="16"/>
              </w:rPr>
              <w:t>78</w:t>
            </w:r>
            <w:r>
              <w:rPr>
                <w:rFonts w:ascii="Arial" w:hAnsi="Arial" w:cs="Arial"/>
                <w:color w:val="000000"/>
                <w:sz w:val="16"/>
                <w:szCs w:val="16"/>
              </w:rPr>
              <w:t>)</w:t>
            </w:r>
          </w:p>
        </w:tc>
      </w:tr>
      <w:tr w:rsidR="0052153D" w:rsidRPr="008F4702" w14:paraId="1C59408E"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307B370B" w14:textId="3C74C8A0"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01FB670F" w14:textId="56BBFEB6"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24AD578F" w14:textId="5FFE885D"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w:t>
            </w:r>
            <w:r w:rsidR="00194E0F">
              <w:rPr>
                <w:rFonts w:ascii="Arial" w:hAnsi="Arial" w:cs="Arial"/>
                <w:b/>
                <w:bCs/>
                <w:color w:val="000000"/>
                <w:sz w:val="16"/>
                <w:szCs w:val="16"/>
              </w:rPr>
              <w:t>10,393</w:t>
            </w:r>
            <w:r>
              <w:rPr>
                <w:rFonts w:ascii="Arial" w:hAnsi="Arial" w:cs="Arial"/>
                <w:b/>
                <w:bCs/>
                <w:color w:val="000000"/>
                <w:sz w:val="16"/>
                <w:szCs w:val="16"/>
              </w:rPr>
              <w:t>)</w:t>
            </w:r>
          </w:p>
        </w:tc>
        <w:tc>
          <w:tcPr>
            <w:tcW w:w="1195" w:type="dxa"/>
            <w:tcBorders>
              <w:top w:val="nil"/>
              <w:left w:val="nil"/>
              <w:bottom w:val="single" w:sz="4" w:space="0" w:color="auto"/>
              <w:right w:val="single" w:sz="4" w:space="0" w:color="auto"/>
            </w:tcBorders>
            <w:noWrap/>
            <w:vAlign w:val="bottom"/>
            <w:hideMark/>
          </w:tcPr>
          <w:p w14:paraId="2904C9C4" w14:textId="767A9C8E"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(27,281)</w:t>
            </w:r>
          </w:p>
        </w:tc>
        <w:tc>
          <w:tcPr>
            <w:tcW w:w="2288" w:type="dxa"/>
            <w:tcBorders>
              <w:top w:val="nil"/>
              <w:left w:val="nil"/>
              <w:bottom w:val="single" w:sz="4" w:space="0" w:color="auto"/>
              <w:right w:val="single" w:sz="4" w:space="0" w:color="auto"/>
            </w:tcBorders>
            <w:noWrap/>
            <w:vAlign w:val="bottom"/>
            <w:hideMark/>
          </w:tcPr>
          <w:p w14:paraId="37BD3341" w14:textId="2FB0FA30" w:rsidR="0052153D" w:rsidRPr="0052153D" w:rsidRDefault="00DC2030" w:rsidP="0052153D">
            <w:pPr>
              <w:rPr>
                <w:rFonts w:ascii="Arial" w:hAnsi="Arial" w:cs="Arial"/>
                <w:color w:val="000000"/>
                <w:sz w:val="16"/>
                <w:szCs w:val="16"/>
              </w:rPr>
            </w:pPr>
            <w:r w:rsidRPr="0052153D">
              <w:rPr>
                <w:rFonts w:ascii="Arial" w:hAnsi="Arial" w:cs="Arial"/>
                <w:color w:val="000000"/>
                <w:sz w:val="16"/>
                <w:szCs w:val="16"/>
              </w:rPr>
              <w:t>Non-financial</w:t>
            </w:r>
            <w:r w:rsidR="0052153D" w:rsidRPr="0052153D">
              <w:rPr>
                <w:rFonts w:ascii="Arial" w:hAnsi="Arial" w:cs="Arial"/>
                <w:color w:val="000000"/>
                <w:sz w:val="16"/>
                <w:szCs w:val="16"/>
              </w:rPr>
              <w:t xml:space="preserve"> instruments creditors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7064104A" w14:textId="29E89769"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49D1D241" w14:textId="7A92C7CD"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0</w:t>
            </w:r>
          </w:p>
        </w:tc>
        <w:tc>
          <w:tcPr>
            <w:tcW w:w="1134" w:type="dxa"/>
            <w:tcBorders>
              <w:top w:val="nil"/>
              <w:left w:val="nil"/>
              <w:bottom w:val="single" w:sz="4" w:space="0" w:color="auto"/>
              <w:right w:val="single" w:sz="4" w:space="0" w:color="auto"/>
            </w:tcBorders>
            <w:shd w:val="clear" w:color="000000" w:fill="D9D9D9"/>
            <w:noWrap/>
            <w:vAlign w:val="bottom"/>
            <w:hideMark/>
          </w:tcPr>
          <w:p w14:paraId="117BECB2" w14:textId="1D89167B"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w:t>
            </w:r>
            <w:r w:rsidR="009E2239">
              <w:rPr>
                <w:rFonts w:ascii="Arial" w:hAnsi="Arial" w:cs="Arial"/>
                <w:color w:val="000000"/>
                <w:sz w:val="16"/>
                <w:szCs w:val="16"/>
              </w:rPr>
              <w:t>11</w:t>
            </w:r>
            <w:r>
              <w:rPr>
                <w:rFonts w:ascii="Arial" w:hAnsi="Arial" w:cs="Arial"/>
                <w:color w:val="000000"/>
                <w:sz w:val="16"/>
                <w:szCs w:val="16"/>
              </w:rPr>
              <w:t>,</w:t>
            </w:r>
            <w:r w:rsidR="009E2239">
              <w:rPr>
                <w:rFonts w:ascii="Arial" w:hAnsi="Arial" w:cs="Arial"/>
                <w:color w:val="000000"/>
                <w:sz w:val="16"/>
                <w:szCs w:val="16"/>
              </w:rPr>
              <w:t>328</w:t>
            </w:r>
            <w:r>
              <w:rPr>
                <w:rFonts w:ascii="Arial" w:hAnsi="Arial" w:cs="Arial"/>
                <w:color w:val="000000"/>
                <w:sz w:val="16"/>
                <w:szCs w:val="16"/>
              </w:rPr>
              <w:t>)</w:t>
            </w:r>
          </w:p>
        </w:tc>
        <w:tc>
          <w:tcPr>
            <w:tcW w:w="1083" w:type="dxa"/>
            <w:tcBorders>
              <w:top w:val="nil"/>
              <w:left w:val="nil"/>
              <w:bottom w:val="single" w:sz="4" w:space="0" w:color="auto"/>
              <w:right w:val="single" w:sz="4" w:space="0" w:color="auto"/>
            </w:tcBorders>
            <w:shd w:val="clear" w:color="000000" w:fill="D9D9D9"/>
            <w:noWrap/>
            <w:vAlign w:val="bottom"/>
            <w:hideMark/>
          </w:tcPr>
          <w:p w14:paraId="5A341D6A" w14:textId="2DF2ADEF" w:rsidR="0052153D" w:rsidRPr="00173712" w:rsidRDefault="0052153D" w:rsidP="0052153D">
            <w:pPr>
              <w:jc w:val="right"/>
              <w:rPr>
                <w:rFonts w:ascii="Arial" w:hAnsi="Arial" w:cs="Arial"/>
                <w:b/>
                <w:bCs/>
                <w:color w:val="000000"/>
                <w:sz w:val="16"/>
                <w:szCs w:val="16"/>
                <w:highlight w:val="yellow"/>
              </w:rPr>
            </w:pPr>
            <w:r>
              <w:rPr>
                <w:rFonts w:ascii="Arial" w:hAnsi="Arial" w:cs="Arial"/>
                <w:color w:val="000000"/>
                <w:sz w:val="16"/>
                <w:szCs w:val="16"/>
              </w:rPr>
              <w:t>(26,499)</w:t>
            </w:r>
          </w:p>
        </w:tc>
      </w:tr>
      <w:tr w:rsidR="0052153D" w:rsidRPr="008F4702" w14:paraId="3915F6F3"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270E4148" w14:textId="78C24A5B"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noWrap/>
            <w:vAlign w:val="bottom"/>
            <w:hideMark/>
          </w:tcPr>
          <w:p w14:paraId="68EB3BC0" w14:textId="5E9D1317"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0</w:t>
            </w:r>
          </w:p>
        </w:tc>
        <w:tc>
          <w:tcPr>
            <w:tcW w:w="1195" w:type="dxa"/>
            <w:tcBorders>
              <w:top w:val="nil"/>
              <w:left w:val="nil"/>
              <w:bottom w:val="single" w:sz="4" w:space="0" w:color="auto"/>
              <w:right w:val="single" w:sz="4" w:space="0" w:color="auto"/>
            </w:tcBorders>
            <w:noWrap/>
            <w:vAlign w:val="bottom"/>
            <w:hideMark/>
          </w:tcPr>
          <w:p w14:paraId="2360115D" w14:textId="13D06A3B"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w:t>
            </w:r>
            <w:r w:rsidR="00F22E58">
              <w:rPr>
                <w:rFonts w:ascii="Arial" w:hAnsi="Arial" w:cs="Arial"/>
                <w:b/>
                <w:bCs/>
                <w:color w:val="000000"/>
                <w:sz w:val="16"/>
                <w:szCs w:val="16"/>
              </w:rPr>
              <w:t>28,02</w:t>
            </w:r>
            <w:r w:rsidR="006C6C5F">
              <w:rPr>
                <w:rFonts w:ascii="Arial" w:hAnsi="Arial" w:cs="Arial"/>
                <w:b/>
                <w:bCs/>
                <w:color w:val="000000"/>
                <w:sz w:val="16"/>
                <w:szCs w:val="16"/>
              </w:rPr>
              <w:t>2</w:t>
            </w:r>
            <w:r w:rsidR="00B57166">
              <w:rPr>
                <w:rFonts w:ascii="Arial" w:hAnsi="Arial" w:cs="Arial"/>
                <w:b/>
                <w:bCs/>
                <w:color w:val="000000"/>
                <w:sz w:val="16"/>
                <w:szCs w:val="16"/>
              </w:rPr>
              <w:t>)</w:t>
            </w:r>
          </w:p>
        </w:tc>
        <w:tc>
          <w:tcPr>
            <w:tcW w:w="1195" w:type="dxa"/>
            <w:tcBorders>
              <w:top w:val="nil"/>
              <w:left w:val="nil"/>
              <w:bottom w:val="single" w:sz="4" w:space="0" w:color="auto"/>
              <w:right w:val="single" w:sz="4" w:space="0" w:color="auto"/>
            </w:tcBorders>
            <w:noWrap/>
            <w:vAlign w:val="bottom"/>
            <w:hideMark/>
          </w:tcPr>
          <w:p w14:paraId="3786E3BE" w14:textId="593D8D09"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w:t>
            </w:r>
            <w:r w:rsidR="00F22E58">
              <w:rPr>
                <w:rFonts w:ascii="Arial" w:hAnsi="Arial" w:cs="Arial"/>
                <w:b/>
                <w:bCs/>
                <w:color w:val="000000"/>
                <w:sz w:val="16"/>
                <w:szCs w:val="16"/>
              </w:rPr>
              <w:t>44,910</w:t>
            </w:r>
            <w:r>
              <w:rPr>
                <w:rFonts w:ascii="Arial" w:hAnsi="Arial" w:cs="Arial"/>
                <w:b/>
                <w:bCs/>
                <w:color w:val="000000"/>
                <w:sz w:val="16"/>
                <w:szCs w:val="16"/>
              </w:rPr>
              <w:t>)</w:t>
            </w:r>
          </w:p>
        </w:tc>
        <w:tc>
          <w:tcPr>
            <w:tcW w:w="2288" w:type="dxa"/>
            <w:tcBorders>
              <w:top w:val="nil"/>
              <w:left w:val="nil"/>
              <w:bottom w:val="single" w:sz="4" w:space="0" w:color="auto"/>
              <w:right w:val="single" w:sz="4" w:space="0" w:color="auto"/>
            </w:tcBorders>
            <w:noWrap/>
            <w:vAlign w:val="bottom"/>
            <w:hideMark/>
          </w:tcPr>
          <w:p w14:paraId="4CDBCA63" w14:textId="77777777" w:rsidR="0052153D" w:rsidRPr="0052153D" w:rsidRDefault="0052153D" w:rsidP="0052153D">
            <w:pPr>
              <w:rPr>
                <w:rFonts w:ascii="Arial" w:hAnsi="Arial" w:cs="Arial"/>
                <w:b/>
                <w:bCs/>
                <w:color w:val="000000"/>
                <w:sz w:val="16"/>
                <w:szCs w:val="16"/>
              </w:rPr>
            </w:pPr>
            <w:r w:rsidRPr="0052153D">
              <w:rPr>
                <w:rFonts w:ascii="Arial" w:hAnsi="Arial" w:cs="Arial"/>
                <w:b/>
                <w:bCs/>
                <w:color w:val="000000"/>
                <w:sz w:val="16"/>
                <w:szCs w:val="16"/>
              </w:rPr>
              <w:t xml:space="preserve">Total </w:t>
            </w:r>
            <w:proofErr w:type="gramStart"/>
            <w:r w:rsidRPr="0052153D">
              <w:rPr>
                <w:rFonts w:ascii="Arial" w:hAnsi="Arial" w:cs="Arial"/>
                <w:b/>
                <w:bCs/>
                <w:color w:val="000000"/>
                <w:sz w:val="16"/>
                <w:szCs w:val="16"/>
              </w:rPr>
              <w:t>Short Term</w:t>
            </w:r>
            <w:proofErr w:type="gramEnd"/>
            <w:r w:rsidRPr="0052153D">
              <w:rPr>
                <w:rFonts w:ascii="Arial" w:hAnsi="Arial" w:cs="Arial"/>
                <w:b/>
                <w:bCs/>
                <w:color w:val="000000"/>
                <w:sz w:val="16"/>
                <w:szCs w:val="16"/>
              </w:rPr>
              <w:t xml:space="preserve"> Creditors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26F0140E" w14:textId="05F3DB31" w:rsidR="0052153D" w:rsidRPr="00173712" w:rsidRDefault="0052153D" w:rsidP="0052153D">
            <w:pPr>
              <w:jc w:val="right"/>
              <w:rPr>
                <w:rFonts w:ascii="Arial" w:hAnsi="Arial" w:cs="Arial"/>
                <w:b/>
                <w:bCs/>
                <w:color w:val="000000"/>
                <w:sz w:val="16"/>
                <w:szCs w:val="16"/>
                <w:highlight w:val="yellow"/>
              </w:rPr>
            </w:pPr>
            <w:r>
              <w:rPr>
                <w:rFonts w:ascii="Arial" w:hAnsi="Arial" w:cs="Arial"/>
                <w:b/>
                <w:bCs/>
                <w:color w:val="000000"/>
                <w:sz w:val="16"/>
                <w:szCs w:val="16"/>
              </w:rPr>
              <w:t>0</w:t>
            </w:r>
          </w:p>
        </w:tc>
        <w:tc>
          <w:tcPr>
            <w:tcW w:w="992" w:type="dxa"/>
            <w:tcBorders>
              <w:top w:val="nil"/>
              <w:left w:val="nil"/>
              <w:bottom w:val="single" w:sz="4" w:space="0" w:color="auto"/>
              <w:right w:val="single" w:sz="4" w:space="0" w:color="auto"/>
            </w:tcBorders>
            <w:shd w:val="clear" w:color="000000" w:fill="D9D9D9"/>
            <w:noWrap/>
            <w:vAlign w:val="bottom"/>
            <w:hideMark/>
          </w:tcPr>
          <w:p w14:paraId="633E19A0" w14:textId="04FF2948" w:rsidR="0052153D" w:rsidRPr="00173712" w:rsidRDefault="0052153D" w:rsidP="0052153D">
            <w:pPr>
              <w:jc w:val="right"/>
              <w:rPr>
                <w:rFonts w:ascii="Arial" w:hAnsi="Arial" w:cs="Arial"/>
                <w:b/>
                <w:bCs/>
                <w:color w:val="000000"/>
                <w:sz w:val="16"/>
                <w:szCs w:val="16"/>
                <w:highlight w:val="yellow"/>
              </w:rPr>
            </w:pPr>
            <w:r>
              <w:rPr>
                <w:rFonts w:ascii="Arial" w:hAnsi="Arial" w:cs="Arial"/>
                <w:b/>
                <w:bCs/>
                <w:color w:val="000000"/>
                <w:sz w:val="16"/>
                <w:szCs w:val="16"/>
              </w:rPr>
              <w:t>0</w:t>
            </w:r>
          </w:p>
        </w:tc>
        <w:tc>
          <w:tcPr>
            <w:tcW w:w="1134" w:type="dxa"/>
            <w:tcBorders>
              <w:top w:val="nil"/>
              <w:left w:val="nil"/>
              <w:bottom w:val="single" w:sz="4" w:space="0" w:color="auto"/>
              <w:right w:val="single" w:sz="4" w:space="0" w:color="auto"/>
            </w:tcBorders>
            <w:shd w:val="clear" w:color="000000" w:fill="D9D9D9"/>
            <w:noWrap/>
            <w:vAlign w:val="bottom"/>
            <w:hideMark/>
          </w:tcPr>
          <w:p w14:paraId="606A0656" w14:textId="3D8806EA" w:rsidR="0052153D" w:rsidRPr="00173712" w:rsidRDefault="0052153D" w:rsidP="0052153D">
            <w:pPr>
              <w:jc w:val="right"/>
              <w:rPr>
                <w:rFonts w:ascii="Arial" w:hAnsi="Arial" w:cs="Arial"/>
                <w:b/>
                <w:bCs/>
                <w:color w:val="000000"/>
                <w:sz w:val="16"/>
                <w:szCs w:val="16"/>
                <w:highlight w:val="yellow"/>
              </w:rPr>
            </w:pPr>
            <w:r>
              <w:rPr>
                <w:rFonts w:ascii="Arial" w:hAnsi="Arial" w:cs="Arial"/>
                <w:b/>
                <w:bCs/>
                <w:color w:val="000000"/>
                <w:sz w:val="16"/>
                <w:szCs w:val="16"/>
              </w:rPr>
              <w:t>(</w:t>
            </w:r>
            <w:r w:rsidR="009E2239">
              <w:rPr>
                <w:rFonts w:ascii="Arial" w:hAnsi="Arial" w:cs="Arial"/>
                <w:b/>
                <w:bCs/>
                <w:color w:val="000000"/>
                <w:sz w:val="16"/>
                <w:szCs w:val="16"/>
              </w:rPr>
              <w:t>34</w:t>
            </w:r>
            <w:r>
              <w:rPr>
                <w:rFonts w:ascii="Arial" w:hAnsi="Arial" w:cs="Arial"/>
                <w:b/>
                <w:bCs/>
                <w:color w:val="000000"/>
                <w:sz w:val="16"/>
                <w:szCs w:val="16"/>
              </w:rPr>
              <w:t>,</w:t>
            </w:r>
            <w:r w:rsidR="00890A8E">
              <w:rPr>
                <w:rFonts w:ascii="Arial" w:hAnsi="Arial" w:cs="Arial"/>
                <w:b/>
                <w:bCs/>
                <w:color w:val="000000"/>
                <w:sz w:val="16"/>
                <w:szCs w:val="16"/>
              </w:rPr>
              <w:t>606</w:t>
            </w:r>
            <w:r>
              <w:rPr>
                <w:rFonts w:ascii="Arial" w:hAnsi="Arial" w:cs="Arial"/>
                <w:b/>
                <w:bCs/>
                <w:color w:val="000000"/>
                <w:sz w:val="16"/>
                <w:szCs w:val="16"/>
              </w:rPr>
              <w:t>)</w:t>
            </w:r>
          </w:p>
        </w:tc>
        <w:tc>
          <w:tcPr>
            <w:tcW w:w="1083" w:type="dxa"/>
            <w:tcBorders>
              <w:top w:val="nil"/>
              <w:left w:val="nil"/>
              <w:bottom w:val="single" w:sz="4" w:space="0" w:color="auto"/>
              <w:right w:val="single" w:sz="4" w:space="0" w:color="auto"/>
            </w:tcBorders>
            <w:shd w:val="clear" w:color="000000" w:fill="D9D9D9"/>
            <w:noWrap/>
            <w:vAlign w:val="bottom"/>
            <w:hideMark/>
          </w:tcPr>
          <w:p w14:paraId="5E81EAB4" w14:textId="267E22AA" w:rsidR="0052153D" w:rsidRPr="00173712" w:rsidRDefault="0052153D" w:rsidP="0052153D">
            <w:pPr>
              <w:jc w:val="right"/>
              <w:rPr>
                <w:rFonts w:ascii="Arial" w:hAnsi="Arial" w:cs="Arial"/>
                <w:b/>
                <w:bCs/>
                <w:color w:val="000000"/>
                <w:sz w:val="16"/>
                <w:szCs w:val="16"/>
                <w:highlight w:val="yellow"/>
              </w:rPr>
            </w:pPr>
            <w:r>
              <w:rPr>
                <w:rFonts w:ascii="Arial" w:hAnsi="Arial" w:cs="Arial"/>
                <w:b/>
                <w:bCs/>
                <w:color w:val="000000"/>
                <w:sz w:val="16"/>
                <w:szCs w:val="16"/>
              </w:rPr>
              <w:t>(49,</w:t>
            </w:r>
            <w:r w:rsidR="00C77884">
              <w:rPr>
                <w:rFonts w:ascii="Arial" w:hAnsi="Arial" w:cs="Arial"/>
                <w:b/>
                <w:bCs/>
                <w:color w:val="000000"/>
                <w:sz w:val="16"/>
                <w:szCs w:val="16"/>
              </w:rPr>
              <w:t>7</w:t>
            </w:r>
            <w:r w:rsidR="00890A8E">
              <w:rPr>
                <w:rFonts w:ascii="Arial" w:hAnsi="Arial" w:cs="Arial"/>
                <w:b/>
                <w:bCs/>
                <w:color w:val="000000"/>
                <w:sz w:val="16"/>
                <w:szCs w:val="16"/>
              </w:rPr>
              <w:t>77</w:t>
            </w:r>
            <w:r>
              <w:rPr>
                <w:rFonts w:ascii="Arial" w:hAnsi="Arial" w:cs="Arial"/>
                <w:b/>
                <w:bCs/>
                <w:color w:val="000000"/>
                <w:sz w:val="16"/>
                <w:szCs w:val="16"/>
              </w:rPr>
              <w:t>)</w:t>
            </w:r>
          </w:p>
        </w:tc>
      </w:tr>
      <w:tr w:rsidR="0052153D" w:rsidRPr="008F4702" w14:paraId="33958601" w14:textId="77777777" w:rsidTr="00791D75">
        <w:trPr>
          <w:trHeight w:val="101"/>
        </w:trPr>
        <w:tc>
          <w:tcPr>
            <w:tcW w:w="1101" w:type="dxa"/>
            <w:tcBorders>
              <w:top w:val="nil"/>
              <w:left w:val="single" w:sz="4" w:space="0" w:color="auto"/>
              <w:bottom w:val="single" w:sz="4" w:space="0" w:color="auto"/>
              <w:right w:val="single" w:sz="4" w:space="0" w:color="auto"/>
            </w:tcBorders>
            <w:noWrap/>
            <w:vAlign w:val="bottom"/>
            <w:hideMark/>
          </w:tcPr>
          <w:p w14:paraId="1AAF8FE9" w14:textId="7AC10983"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noWrap/>
            <w:vAlign w:val="bottom"/>
            <w:hideMark/>
          </w:tcPr>
          <w:p w14:paraId="5C30A9FF" w14:textId="6AC783FD"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51F678FF" w14:textId="6A4FEB37"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1195" w:type="dxa"/>
            <w:tcBorders>
              <w:top w:val="nil"/>
              <w:left w:val="nil"/>
              <w:bottom w:val="single" w:sz="4" w:space="0" w:color="auto"/>
              <w:right w:val="single" w:sz="4" w:space="0" w:color="auto"/>
            </w:tcBorders>
            <w:noWrap/>
            <w:vAlign w:val="bottom"/>
            <w:hideMark/>
          </w:tcPr>
          <w:p w14:paraId="778CB4E9" w14:textId="6352C9E2"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2288" w:type="dxa"/>
            <w:tcBorders>
              <w:top w:val="nil"/>
              <w:left w:val="nil"/>
              <w:bottom w:val="single" w:sz="4" w:space="0" w:color="auto"/>
              <w:right w:val="single" w:sz="4" w:space="0" w:color="auto"/>
            </w:tcBorders>
            <w:noWrap/>
            <w:vAlign w:val="bottom"/>
            <w:hideMark/>
          </w:tcPr>
          <w:p w14:paraId="6C054C86"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 </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22559084" w14:textId="4BD9494E"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992" w:type="dxa"/>
            <w:tcBorders>
              <w:top w:val="nil"/>
              <w:left w:val="nil"/>
              <w:bottom w:val="single" w:sz="4" w:space="0" w:color="auto"/>
              <w:right w:val="single" w:sz="4" w:space="0" w:color="auto"/>
            </w:tcBorders>
            <w:shd w:val="clear" w:color="000000" w:fill="D9D9D9"/>
            <w:noWrap/>
            <w:vAlign w:val="bottom"/>
            <w:hideMark/>
          </w:tcPr>
          <w:p w14:paraId="4795D7B8" w14:textId="09C7A2B1"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1134" w:type="dxa"/>
            <w:tcBorders>
              <w:top w:val="nil"/>
              <w:left w:val="nil"/>
              <w:bottom w:val="single" w:sz="4" w:space="0" w:color="auto"/>
              <w:right w:val="single" w:sz="4" w:space="0" w:color="auto"/>
            </w:tcBorders>
            <w:shd w:val="clear" w:color="000000" w:fill="D9D9D9"/>
            <w:noWrap/>
            <w:vAlign w:val="bottom"/>
            <w:hideMark/>
          </w:tcPr>
          <w:p w14:paraId="5A81776C" w14:textId="39FC022C"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c>
          <w:tcPr>
            <w:tcW w:w="1083" w:type="dxa"/>
            <w:tcBorders>
              <w:top w:val="nil"/>
              <w:left w:val="nil"/>
              <w:bottom w:val="single" w:sz="4" w:space="0" w:color="auto"/>
              <w:right w:val="single" w:sz="4" w:space="0" w:color="auto"/>
            </w:tcBorders>
            <w:shd w:val="clear" w:color="000000" w:fill="D9D9D9"/>
            <w:noWrap/>
            <w:vAlign w:val="bottom"/>
            <w:hideMark/>
          </w:tcPr>
          <w:p w14:paraId="33CF5250" w14:textId="64886446" w:rsidR="0052153D" w:rsidRPr="00173712" w:rsidRDefault="0052153D" w:rsidP="0052153D">
            <w:pPr>
              <w:rPr>
                <w:rFonts w:ascii="Arial" w:hAnsi="Arial" w:cs="Arial"/>
                <w:color w:val="000000"/>
                <w:sz w:val="16"/>
                <w:szCs w:val="16"/>
                <w:highlight w:val="yellow"/>
              </w:rPr>
            </w:pPr>
            <w:r>
              <w:rPr>
                <w:rFonts w:ascii="Arial" w:hAnsi="Arial" w:cs="Arial"/>
                <w:color w:val="000000"/>
                <w:sz w:val="16"/>
                <w:szCs w:val="16"/>
              </w:rPr>
              <w:t> </w:t>
            </w:r>
          </w:p>
        </w:tc>
      </w:tr>
      <w:tr w:rsidR="0052153D" w:rsidRPr="008F4702" w14:paraId="44821D86" w14:textId="77777777" w:rsidTr="00791D75">
        <w:trPr>
          <w:trHeight w:val="299"/>
        </w:trPr>
        <w:tc>
          <w:tcPr>
            <w:tcW w:w="1101" w:type="dxa"/>
            <w:tcBorders>
              <w:top w:val="nil"/>
              <w:left w:val="single" w:sz="4" w:space="0" w:color="auto"/>
              <w:bottom w:val="single" w:sz="4" w:space="0" w:color="auto"/>
              <w:right w:val="single" w:sz="4" w:space="0" w:color="auto"/>
            </w:tcBorders>
            <w:noWrap/>
            <w:vAlign w:val="bottom"/>
            <w:hideMark/>
          </w:tcPr>
          <w:p w14:paraId="0A429E05" w14:textId="7D1CAB2F" w:rsidR="0052153D" w:rsidRPr="00173712" w:rsidRDefault="0052153D" w:rsidP="0052153D">
            <w:pPr>
              <w:jc w:val="right"/>
              <w:rPr>
                <w:rFonts w:ascii="Arial" w:hAnsi="Arial" w:cs="Arial"/>
                <w:color w:val="000000"/>
                <w:sz w:val="16"/>
                <w:szCs w:val="16"/>
                <w:highlight w:val="yellow"/>
              </w:rPr>
            </w:pPr>
            <w:r>
              <w:rPr>
                <w:rFonts w:ascii="Arial" w:hAnsi="Arial" w:cs="Arial"/>
                <w:color w:val="000000"/>
                <w:sz w:val="16"/>
                <w:szCs w:val="16"/>
              </w:rPr>
              <w:t>(45,888)</w:t>
            </w:r>
          </w:p>
        </w:tc>
        <w:tc>
          <w:tcPr>
            <w:tcW w:w="992" w:type="dxa"/>
            <w:tcBorders>
              <w:top w:val="nil"/>
              <w:left w:val="nil"/>
              <w:bottom w:val="single" w:sz="4" w:space="0" w:color="auto"/>
              <w:right w:val="single" w:sz="4" w:space="0" w:color="auto"/>
            </w:tcBorders>
            <w:noWrap/>
            <w:vAlign w:val="bottom"/>
            <w:hideMark/>
          </w:tcPr>
          <w:p w14:paraId="38B4EE7F" w14:textId="63DFCD44" w:rsidR="0052153D" w:rsidRPr="00173712" w:rsidRDefault="0052153D" w:rsidP="0052153D">
            <w:pPr>
              <w:jc w:val="right"/>
              <w:rPr>
                <w:rFonts w:ascii="Arial" w:hAnsi="Arial" w:cs="Arial"/>
                <w:color w:val="000000"/>
                <w:sz w:val="16"/>
                <w:szCs w:val="16"/>
                <w:highlight w:val="yellow"/>
              </w:rPr>
            </w:pPr>
            <w:r>
              <w:rPr>
                <w:rFonts w:ascii="Arial" w:hAnsi="Arial" w:cs="Arial"/>
                <w:color w:val="000000"/>
                <w:sz w:val="16"/>
                <w:szCs w:val="16"/>
              </w:rPr>
              <w:t>(45,888)</w:t>
            </w:r>
          </w:p>
        </w:tc>
        <w:tc>
          <w:tcPr>
            <w:tcW w:w="1195" w:type="dxa"/>
            <w:tcBorders>
              <w:top w:val="nil"/>
              <w:left w:val="nil"/>
              <w:bottom w:val="single" w:sz="4" w:space="0" w:color="auto"/>
              <w:right w:val="single" w:sz="4" w:space="0" w:color="auto"/>
            </w:tcBorders>
            <w:noWrap/>
            <w:vAlign w:val="bottom"/>
            <w:hideMark/>
          </w:tcPr>
          <w:p w14:paraId="102E5F52" w14:textId="7B75FAF0" w:rsidR="0052153D" w:rsidRPr="00173712" w:rsidRDefault="0052153D" w:rsidP="0052153D">
            <w:pPr>
              <w:jc w:val="right"/>
              <w:rPr>
                <w:rFonts w:ascii="Arial" w:hAnsi="Arial" w:cs="Arial"/>
                <w:color w:val="000000"/>
                <w:sz w:val="16"/>
                <w:szCs w:val="16"/>
                <w:highlight w:val="yellow"/>
              </w:rPr>
            </w:pPr>
            <w:r>
              <w:rPr>
                <w:rFonts w:ascii="Arial" w:hAnsi="Arial" w:cs="Arial"/>
                <w:color w:val="000000"/>
                <w:sz w:val="16"/>
                <w:szCs w:val="16"/>
              </w:rPr>
              <w:t>(</w:t>
            </w:r>
            <w:r w:rsidR="00F22E58">
              <w:rPr>
                <w:rFonts w:ascii="Arial" w:hAnsi="Arial" w:cs="Arial"/>
                <w:color w:val="000000"/>
                <w:sz w:val="16"/>
                <w:szCs w:val="16"/>
              </w:rPr>
              <w:t>74,519</w:t>
            </w:r>
            <w:r w:rsidR="00B57166">
              <w:rPr>
                <w:rFonts w:ascii="Arial" w:hAnsi="Arial" w:cs="Arial"/>
                <w:color w:val="000000"/>
                <w:sz w:val="16"/>
                <w:szCs w:val="16"/>
              </w:rPr>
              <w:t>)</w:t>
            </w:r>
          </w:p>
        </w:tc>
        <w:tc>
          <w:tcPr>
            <w:tcW w:w="1195" w:type="dxa"/>
            <w:tcBorders>
              <w:top w:val="nil"/>
              <w:left w:val="nil"/>
              <w:bottom w:val="single" w:sz="4" w:space="0" w:color="auto"/>
              <w:right w:val="single" w:sz="4" w:space="0" w:color="auto"/>
            </w:tcBorders>
            <w:noWrap/>
            <w:vAlign w:val="bottom"/>
            <w:hideMark/>
          </w:tcPr>
          <w:p w14:paraId="5E0B96D1" w14:textId="01214756" w:rsidR="0052153D" w:rsidRPr="00173712" w:rsidRDefault="0052153D" w:rsidP="0052153D">
            <w:pPr>
              <w:jc w:val="right"/>
              <w:rPr>
                <w:rFonts w:ascii="Arial" w:hAnsi="Arial" w:cs="Arial"/>
                <w:color w:val="000000"/>
                <w:sz w:val="16"/>
                <w:szCs w:val="16"/>
                <w:highlight w:val="yellow"/>
              </w:rPr>
            </w:pPr>
            <w:r>
              <w:rPr>
                <w:rFonts w:ascii="Arial" w:hAnsi="Arial" w:cs="Arial"/>
                <w:color w:val="000000"/>
                <w:sz w:val="16"/>
                <w:szCs w:val="16"/>
              </w:rPr>
              <w:t>(</w:t>
            </w:r>
            <w:r w:rsidR="00F22E58">
              <w:rPr>
                <w:rFonts w:ascii="Arial" w:hAnsi="Arial" w:cs="Arial"/>
                <w:color w:val="000000"/>
                <w:sz w:val="16"/>
                <w:szCs w:val="16"/>
              </w:rPr>
              <w:t>91,407</w:t>
            </w:r>
            <w:r>
              <w:rPr>
                <w:rFonts w:ascii="Arial" w:hAnsi="Arial" w:cs="Arial"/>
                <w:color w:val="000000"/>
                <w:sz w:val="16"/>
                <w:szCs w:val="16"/>
              </w:rPr>
              <w:t>)</w:t>
            </w:r>
          </w:p>
        </w:tc>
        <w:tc>
          <w:tcPr>
            <w:tcW w:w="2288" w:type="dxa"/>
            <w:tcBorders>
              <w:top w:val="nil"/>
              <w:left w:val="nil"/>
              <w:bottom w:val="single" w:sz="4" w:space="0" w:color="auto"/>
              <w:right w:val="single" w:sz="4" w:space="0" w:color="auto"/>
            </w:tcBorders>
            <w:noWrap/>
            <w:vAlign w:val="bottom"/>
            <w:hideMark/>
          </w:tcPr>
          <w:p w14:paraId="7DA5BB72" w14:textId="77777777" w:rsidR="0052153D" w:rsidRPr="0052153D" w:rsidRDefault="0052153D" w:rsidP="0052153D">
            <w:pPr>
              <w:rPr>
                <w:rFonts w:ascii="Arial" w:hAnsi="Arial" w:cs="Arial"/>
                <w:color w:val="000000"/>
                <w:sz w:val="16"/>
                <w:szCs w:val="16"/>
              </w:rPr>
            </w:pPr>
            <w:r w:rsidRPr="0052153D">
              <w:rPr>
                <w:rFonts w:ascii="Arial" w:hAnsi="Arial" w:cs="Arial"/>
                <w:color w:val="000000"/>
                <w:sz w:val="16"/>
                <w:szCs w:val="16"/>
              </w:rPr>
              <w:t>Total All Financial Liabilities</w:t>
            </w:r>
          </w:p>
        </w:tc>
        <w:tc>
          <w:tcPr>
            <w:tcW w:w="992" w:type="dxa"/>
            <w:tcBorders>
              <w:top w:val="nil"/>
              <w:left w:val="single" w:sz="4" w:space="0" w:color="auto"/>
              <w:bottom w:val="single" w:sz="4" w:space="0" w:color="auto"/>
              <w:right w:val="single" w:sz="4" w:space="0" w:color="auto"/>
            </w:tcBorders>
            <w:shd w:val="clear" w:color="000000" w:fill="D9D9D9"/>
            <w:noWrap/>
            <w:vAlign w:val="bottom"/>
            <w:hideMark/>
          </w:tcPr>
          <w:p w14:paraId="5A14F75A" w14:textId="28A52DE0"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(39,413)</w:t>
            </w:r>
          </w:p>
        </w:tc>
        <w:tc>
          <w:tcPr>
            <w:tcW w:w="992" w:type="dxa"/>
            <w:tcBorders>
              <w:top w:val="nil"/>
              <w:left w:val="nil"/>
              <w:bottom w:val="single" w:sz="4" w:space="0" w:color="auto"/>
              <w:right w:val="single" w:sz="4" w:space="0" w:color="auto"/>
            </w:tcBorders>
            <w:shd w:val="clear" w:color="000000" w:fill="D9D9D9"/>
            <w:noWrap/>
            <w:vAlign w:val="bottom"/>
            <w:hideMark/>
          </w:tcPr>
          <w:p w14:paraId="71622A1C" w14:textId="4AE32480"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(39,413)</w:t>
            </w:r>
          </w:p>
        </w:tc>
        <w:tc>
          <w:tcPr>
            <w:tcW w:w="1134" w:type="dxa"/>
            <w:tcBorders>
              <w:top w:val="nil"/>
              <w:left w:val="nil"/>
              <w:bottom w:val="single" w:sz="4" w:space="0" w:color="auto"/>
              <w:right w:val="single" w:sz="4" w:space="0" w:color="auto"/>
            </w:tcBorders>
            <w:shd w:val="clear" w:color="000000" w:fill="D9D9D9"/>
            <w:noWrap/>
            <w:vAlign w:val="bottom"/>
            <w:hideMark/>
          </w:tcPr>
          <w:p w14:paraId="5DF65C05" w14:textId="50049D90"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w:t>
            </w:r>
            <w:r w:rsidR="009E2239">
              <w:rPr>
                <w:rFonts w:ascii="Arial" w:hAnsi="Arial" w:cs="Arial"/>
                <w:b/>
                <w:bCs/>
                <w:color w:val="000000"/>
                <w:sz w:val="16"/>
                <w:szCs w:val="16"/>
              </w:rPr>
              <w:t>96,0</w:t>
            </w:r>
            <w:r w:rsidR="006476D9">
              <w:rPr>
                <w:rFonts w:ascii="Arial" w:hAnsi="Arial" w:cs="Arial"/>
                <w:b/>
                <w:bCs/>
                <w:color w:val="000000"/>
                <w:sz w:val="16"/>
                <w:szCs w:val="16"/>
              </w:rPr>
              <w:t>81</w:t>
            </w:r>
            <w:r>
              <w:rPr>
                <w:rFonts w:ascii="Arial" w:hAnsi="Arial" w:cs="Arial"/>
                <w:b/>
                <w:bCs/>
                <w:color w:val="000000"/>
                <w:sz w:val="16"/>
                <w:szCs w:val="16"/>
              </w:rPr>
              <w:t>)</w:t>
            </w:r>
          </w:p>
        </w:tc>
        <w:tc>
          <w:tcPr>
            <w:tcW w:w="1083" w:type="dxa"/>
            <w:tcBorders>
              <w:top w:val="nil"/>
              <w:left w:val="nil"/>
              <w:bottom w:val="single" w:sz="4" w:space="0" w:color="auto"/>
              <w:right w:val="single" w:sz="4" w:space="0" w:color="auto"/>
            </w:tcBorders>
            <w:shd w:val="clear" w:color="000000" w:fill="D9D9D9"/>
            <w:noWrap/>
            <w:vAlign w:val="bottom"/>
            <w:hideMark/>
          </w:tcPr>
          <w:p w14:paraId="4F3522BA" w14:textId="5C1D73EE" w:rsidR="0052153D" w:rsidRPr="00173712" w:rsidRDefault="0052153D" w:rsidP="0052153D">
            <w:pPr>
              <w:jc w:val="right"/>
              <w:rPr>
                <w:rFonts w:ascii="Arial" w:hAnsi="Arial" w:cs="Arial"/>
                <w:color w:val="000000"/>
                <w:sz w:val="16"/>
                <w:szCs w:val="16"/>
                <w:highlight w:val="yellow"/>
              </w:rPr>
            </w:pPr>
            <w:r>
              <w:rPr>
                <w:rFonts w:ascii="Arial" w:hAnsi="Arial" w:cs="Arial"/>
                <w:b/>
                <w:bCs/>
                <w:color w:val="000000"/>
                <w:sz w:val="16"/>
                <w:szCs w:val="16"/>
              </w:rPr>
              <w:t>(111,</w:t>
            </w:r>
            <w:r w:rsidR="00C77884">
              <w:rPr>
                <w:rFonts w:ascii="Arial" w:hAnsi="Arial" w:cs="Arial"/>
                <w:b/>
                <w:bCs/>
                <w:color w:val="000000"/>
                <w:sz w:val="16"/>
                <w:szCs w:val="16"/>
              </w:rPr>
              <w:t>2</w:t>
            </w:r>
            <w:r w:rsidR="006476D9">
              <w:rPr>
                <w:rFonts w:ascii="Arial" w:hAnsi="Arial" w:cs="Arial"/>
                <w:b/>
                <w:bCs/>
                <w:color w:val="000000"/>
                <w:sz w:val="16"/>
                <w:szCs w:val="16"/>
              </w:rPr>
              <w:t>52</w:t>
            </w:r>
            <w:r>
              <w:rPr>
                <w:rFonts w:ascii="Arial" w:hAnsi="Arial" w:cs="Arial"/>
                <w:b/>
                <w:bCs/>
                <w:color w:val="000000"/>
                <w:sz w:val="16"/>
                <w:szCs w:val="16"/>
              </w:rPr>
              <w:t>)</w:t>
            </w:r>
          </w:p>
        </w:tc>
      </w:tr>
    </w:tbl>
    <w:p w14:paraId="2389DF7F" w14:textId="77777777" w:rsidR="009E03EE" w:rsidRDefault="009E03EE" w:rsidP="009E03EE">
      <w:pPr>
        <w:pStyle w:val="BodyTextIndent"/>
        <w:jc w:val="both"/>
        <w:rPr>
          <w:i w:val="0"/>
          <w:iCs/>
        </w:rPr>
      </w:pPr>
    </w:p>
    <w:p w14:paraId="41906116" w14:textId="77777777" w:rsidR="00791D75" w:rsidRDefault="009E03EE" w:rsidP="009E03EE">
      <w:pPr>
        <w:pStyle w:val="BodyTextIndent"/>
        <w:jc w:val="both"/>
        <w:rPr>
          <w:i w:val="0"/>
          <w:iCs/>
        </w:rPr>
      </w:pPr>
      <w:r w:rsidRPr="009E03EE">
        <w:rPr>
          <w:i w:val="0"/>
          <w:iCs/>
        </w:rPr>
        <w:t>A fair value assessment has been undertaken of the borrowings in the above table and In 2024/25</w:t>
      </w:r>
    </w:p>
    <w:p w14:paraId="7C2358E3" w14:textId="77777777" w:rsidR="00791D75" w:rsidRDefault="00791D75" w:rsidP="009E03EE">
      <w:pPr>
        <w:pStyle w:val="BodyTextIndent"/>
        <w:jc w:val="both"/>
        <w:rPr>
          <w:i w:val="0"/>
          <w:iCs/>
        </w:rPr>
      </w:pPr>
      <w:r>
        <w:rPr>
          <w:i w:val="0"/>
          <w:iCs/>
        </w:rPr>
        <w:t>t</w:t>
      </w:r>
      <w:r w:rsidR="009E03EE" w:rsidRPr="009E03EE">
        <w:rPr>
          <w:i w:val="0"/>
          <w:iCs/>
        </w:rPr>
        <w:t>he fair value of the financial liabilities held at Amortised Cost -PWLB has been calculated at</w:t>
      </w:r>
      <w:r>
        <w:rPr>
          <w:i w:val="0"/>
          <w:iCs/>
        </w:rPr>
        <w:t xml:space="preserve"> </w:t>
      </w:r>
    </w:p>
    <w:p w14:paraId="7EB3F124" w14:textId="3095C13F" w:rsidR="009E03EE" w:rsidRPr="009E03EE" w:rsidRDefault="009E03EE" w:rsidP="009E03EE">
      <w:pPr>
        <w:pStyle w:val="BodyTextIndent"/>
        <w:jc w:val="both"/>
        <w:rPr>
          <w:i w:val="0"/>
          <w:iCs/>
        </w:rPr>
      </w:pPr>
      <w:r w:rsidRPr="009E03EE">
        <w:rPr>
          <w:i w:val="0"/>
          <w:iCs/>
        </w:rPr>
        <w:t xml:space="preserve">£31.172m (£39.070m – 23/24). </w:t>
      </w:r>
    </w:p>
    <w:p w14:paraId="5836FC18" w14:textId="77777777" w:rsidR="009E03EE" w:rsidRPr="009E03EE" w:rsidRDefault="009E03EE" w:rsidP="009E03EE">
      <w:pPr>
        <w:pStyle w:val="BodyTextIndent"/>
        <w:jc w:val="both"/>
        <w:rPr>
          <w:i w:val="0"/>
          <w:iCs/>
        </w:rPr>
      </w:pPr>
    </w:p>
    <w:p w14:paraId="2C856990" w14:textId="77777777" w:rsidR="00791D75" w:rsidRDefault="009E03EE" w:rsidP="009E03EE">
      <w:pPr>
        <w:pStyle w:val="BodyTextIndent"/>
        <w:jc w:val="both"/>
        <w:rPr>
          <w:i w:val="0"/>
          <w:iCs/>
        </w:rPr>
      </w:pPr>
      <w:r w:rsidRPr="009E03EE">
        <w:rPr>
          <w:i w:val="0"/>
          <w:iCs/>
        </w:rPr>
        <w:t>As the nature of the short-term financial liabilities held at Amortised Cost is that they are under 12</w:t>
      </w:r>
    </w:p>
    <w:p w14:paraId="73EA3E9D" w14:textId="77777777" w:rsidR="00791D75" w:rsidRDefault="009E03EE" w:rsidP="009E03EE">
      <w:pPr>
        <w:pStyle w:val="BodyTextIndent"/>
        <w:jc w:val="both"/>
        <w:rPr>
          <w:i w:val="0"/>
          <w:iCs/>
        </w:rPr>
      </w:pPr>
      <w:r w:rsidRPr="009E03EE">
        <w:rPr>
          <w:i w:val="0"/>
          <w:iCs/>
        </w:rPr>
        <w:t>months the figures have not been disclosed as due to the short-term nature of the borrowing they</w:t>
      </w:r>
    </w:p>
    <w:p w14:paraId="50721509" w14:textId="5EF7882B" w:rsidR="00791D75" w:rsidRDefault="009E03EE" w:rsidP="009E03EE">
      <w:pPr>
        <w:pStyle w:val="BodyTextIndent"/>
        <w:jc w:val="both"/>
        <w:rPr>
          <w:i w:val="0"/>
          <w:iCs/>
        </w:rPr>
      </w:pPr>
      <w:proofErr w:type="spellStart"/>
      <w:r w:rsidRPr="009E03EE">
        <w:rPr>
          <w:i w:val="0"/>
          <w:iCs/>
        </w:rPr>
        <w:t>were</w:t>
      </w:r>
      <w:proofErr w:type="spellEnd"/>
      <w:r w:rsidRPr="009E03EE">
        <w:rPr>
          <w:i w:val="0"/>
          <w:iCs/>
        </w:rPr>
        <w:t xml:space="preserve"> not materially different than the figures disclosed in the table above.</w:t>
      </w:r>
    </w:p>
    <w:p w14:paraId="592FB568" w14:textId="77777777" w:rsidR="00791D75" w:rsidRDefault="00791D75">
      <w:pPr>
        <w:rPr>
          <w:rFonts w:ascii="Arial" w:hAnsi="Arial"/>
          <w:iCs/>
          <w:sz w:val="24"/>
        </w:rPr>
      </w:pPr>
      <w:r>
        <w:rPr>
          <w:i/>
          <w:iCs/>
        </w:rPr>
        <w:br w:type="page"/>
      </w:r>
    </w:p>
    <w:p w14:paraId="70CB91B5" w14:textId="241CA9FF" w:rsidR="003B74DA" w:rsidRPr="0055585F" w:rsidRDefault="003B74DA" w:rsidP="00C17D02">
      <w:pPr>
        <w:spacing w:after="240"/>
        <w:ind w:left="397"/>
        <w:jc w:val="both"/>
        <w:rPr>
          <w:rFonts w:ascii="Arial" w:hAnsi="Arial" w:cs="Arial"/>
          <w:b/>
          <w:sz w:val="22"/>
          <w:szCs w:val="22"/>
        </w:rPr>
      </w:pPr>
      <w:r w:rsidRPr="0055585F">
        <w:rPr>
          <w:rFonts w:ascii="Arial" w:hAnsi="Arial" w:cs="Arial"/>
          <w:b/>
          <w:sz w:val="22"/>
          <w:szCs w:val="22"/>
        </w:rPr>
        <w:lastRenderedPageBreak/>
        <w:t xml:space="preserve">Income, Expense, Gains and Losses  </w:t>
      </w:r>
    </w:p>
    <w:p w14:paraId="4CA1B760" w14:textId="77777777" w:rsidR="003B74DA" w:rsidRPr="0055585F" w:rsidRDefault="003B74DA" w:rsidP="00C17D02">
      <w:pPr>
        <w:spacing w:after="240"/>
        <w:ind w:left="397"/>
        <w:jc w:val="both"/>
        <w:rPr>
          <w:rFonts w:ascii="Arial" w:hAnsi="Arial" w:cs="Arial"/>
          <w:b/>
          <w:sz w:val="22"/>
          <w:szCs w:val="22"/>
        </w:rPr>
      </w:pPr>
      <w:r w:rsidRPr="0055585F">
        <w:rPr>
          <w:rFonts w:ascii="Arial" w:hAnsi="Arial" w:cs="Arial"/>
          <w:b/>
          <w:sz w:val="22"/>
          <w:szCs w:val="22"/>
        </w:rPr>
        <w:t xml:space="preserve">Gains and Losses on Financial Instruments  </w:t>
      </w:r>
    </w:p>
    <w:p w14:paraId="06B576CF" w14:textId="21DB047D" w:rsidR="003B74DA" w:rsidRPr="0055585F" w:rsidRDefault="003B74DA" w:rsidP="00C17D02">
      <w:pPr>
        <w:ind w:left="397"/>
        <w:jc w:val="both"/>
        <w:rPr>
          <w:rFonts w:ascii="Arial" w:hAnsi="Arial" w:cs="Arial"/>
          <w:sz w:val="22"/>
          <w:szCs w:val="22"/>
        </w:rPr>
      </w:pPr>
      <w:r w:rsidRPr="0055585F">
        <w:rPr>
          <w:rFonts w:ascii="Arial" w:hAnsi="Arial" w:cs="Arial"/>
          <w:sz w:val="22"/>
          <w:szCs w:val="22"/>
        </w:rPr>
        <w:t xml:space="preserve">The gains and losses during </w:t>
      </w:r>
      <w:r w:rsidR="00C37E7F">
        <w:rPr>
          <w:rFonts w:ascii="Arial" w:hAnsi="Arial" w:cs="Arial"/>
          <w:sz w:val="22"/>
          <w:szCs w:val="22"/>
        </w:rPr>
        <w:t>2024/25</w:t>
      </w:r>
      <w:r w:rsidRPr="0055585F">
        <w:rPr>
          <w:rFonts w:ascii="Arial" w:hAnsi="Arial" w:cs="Arial"/>
          <w:sz w:val="22"/>
          <w:szCs w:val="22"/>
        </w:rPr>
        <w:t xml:space="preserve"> on financial instruments, i.e. the borrowings and investments detailed above, which have been recognised in the deficit on the provision of services in the CIES, are as shown in the following table</w:t>
      </w:r>
      <w:r w:rsidR="00D14CBC" w:rsidRPr="0055585F">
        <w:rPr>
          <w:rFonts w:ascii="Arial" w:hAnsi="Arial" w:cs="Arial"/>
          <w:sz w:val="22"/>
          <w:szCs w:val="22"/>
        </w:rPr>
        <w:t>.</w:t>
      </w:r>
    </w:p>
    <w:p w14:paraId="33B62D41" w14:textId="5A7CB314" w:rsidR="00886F75" w:rsidRDefault="00886F75">
      <w:pPr>
        <w:rPr>
          <w:rFonts w:ascii="Arial" w:hAnsi="Arial" w:cs="Arial"/>
          <w:sz w:val="22"/>
          <w:szCs w:val="22"/>
          <w:highlight w:val="yellow"/>
        </w:rPr>
      </w:pPr>
    </w:p>
    <w:tbl>
      <w:tblPr>
        <w:tblW w:w="5873" w:type="dxa"/>
        <w:tblInd w:w="656" w:type="dxa"/>
        <w:tblLook w:val="04A0" w:firstRow="1" w:lastRow="0" w:firstColumn="1" w:lastColumn="0" w:noHBand="0" w:noVBand="1"/>
      </w:tblPr>
      <w:tblGrid>
        <w:gridCol w:w="2553"/>
        <w:gridCol w:w="1660"/>
        <w:gridCol w:w="1660"/>
      </w:tblGrid>
      <w:tr w:rsidR="00D14CBC" w:rsidRPr="004774EE" w14:paraId="02F45E06" w14:textId="77777777" w:rsidTr="00D14CBC">
        <w:trPr>
          <w:trHeight w:val="159"/>
        </w:trPr>
        <w:tc>
          <w:tcPr>
            <w:tcW w:w="2553" w:type="dxa"/>
            <w:tcBorders>
              <w:top w:val="single" w:sz="8" w:space="0" w:color="auto"/>
              <w:left w:val="single" w:sz="8" w:space="0" w:color="auto"/>
              <w:bottom w:val="nil"/>
              <w:right w:val="nil"/>
            </w:tcBorders>
            <w:shd w:val="clear" w:color="000000" w:fill="CCCCCC"/>
            <w:vAlign w:val="center"/>
            <w:hideMark/>
          </w:tcPr>
          <w:p w14:paraId="21CD2D5B" w14:textId="73E26C57" w:rsidR="00D14CBC" w:rsidRPr="005E2F77" w:rsidRDefault="00D14CBC" w:rsidP="00D14CBC">
            <w:pPr>
              <w:rPr>
                <w:rFonts w:ascii="Arial" w:hAnsi="Arial" w:cs="Arial"/>
                <w:b/>
                <w:color w:val="000000"/>
                <w:sz w:val="22"/>
                <w:szCs w:val="22"/>
              </w:rPr>
            </w:pPr>
            <w:r w:rsidRPr="004774EE">
              <w:rPr>
                <w:rFonts w:ascii="Arial" w:hAnsi="Arial" w:cs="Arial"/>
                <w:color w:val="000000"/>
                <w:sz w:val="22"/>
                <w:szCs w:val="22"/>
              </w:rPr>
              <w:t> </w:t>
            </w:r>
            <w:r w:rsidR="0041356E">
              <w:rPr>
                <w:rFonts w:ascii="Arial" w:hAnsi="Arial" w:cs="Arial"/>
                <w:b/>
                <w:bCs/>
                <w:color w:val="000000"/>
                <w:sz w:val="22"/>
                <w:szCs w:val="22"/>
              </w:rPr>
              <w:t>PCC Group/PCC</w:t>
            </w:r>
          </w:p>
        </w:tc>
        <w:tc>
          <w:tcPr>
            <w:tcW w:w="1660" w:type="dxa"/>
            <w:tcBorders>
              <w:top w:val="single" w:sz="8" w:space="0" w:color="auto"/>
              <w:left w:val="nil"/>
              <w:bottom w:val="nil"/>
              <w:right w:val="nil"/>
            </w:tcBorders>
            <w:vAlign w:val="center"/>
            <w:hideMark/>
          </w:tcPr>
          <w:p w14:paraId="5751B54D" w14:textId="2C5AF67F" w:rsidR="00D14CBC" w:rsidRPr="004774EE" w:rsidRDefault="00C37E7F" w:rsidP="00D14CBC">
            <w:pPr>
              <w:jc w:val="center"/>
              <w:rPr>
                <w:rFonts w:ascii="Arial" w:hAnsi="Arial" w:cs="Arial"/>
                <w:b/>
                <w:bCs/>
                <w:color w:val="000000"/>
                <w:sz w:val="22"/>
                <w:szCs w:val="22"/>
              </w:rPr>
            </w:pPr>
            <w:r>
              <w:rPr>
                <w:rFonts w:ascii="Arial" w:hAnsi="Arial" w:cs="Arial"/>
                <w:b/>
                <w:bCs/>
                <w:color w:val="000000"/>
                <w:sz w:val="22"/>
                <w:szCs w:val="22"/>
              </w:rPr>
              <w:t>2023/24</w:t>
            </w:r>
          </w:p>
        </w:tc>
        <w:tc>
          <w:tcPr>
            <w:tcW w:w="1660" w:type="dxa"/>
            <w:tcBorders>
              <w:top w:val="single" w:sz="8" w:space="0" w:color="auto"/>
              <w:left w:val="nil"/>
              <w:bottom w:val="nil"/>
              <w:right w:val="single" w:sz="4" w:space="0" w:color="auto"/>
            </w:tcBorders>
            <w:shd w:val="clear" w:color="000000" w:fill="CCCCCC"/>
            <w:vAlign w:val="center"/>
            <w:hideMark/>
          </w:tcPr>
          <w:p w14:paraId="74A5427B" w14:textId="6724DE9A" w:rsidR="00D14CBC" w:rsidRPr="004774EE" w:rsidRDefault="00C37E7F" w:rsidP="00D14CBC">
            <w:pPr>
              <w:jc w:val="center"/>
              <w:rPr>
                <w:rFonts w:ascii="Arial" w:hAnsi="Arial" w:cs="Arial"/>
                <w:b/>
                <w:bCs/>
                <w:color w:val="000000"/>
                <w:sz w:val="22"/>
                <w:szCs w:val="22"/>
              </w:rPr>
            </w:pPr>
            <w:r>
              <w:rPr>
                <w:rFonts w:ascii="Arial" w:hAnsi="Arial" w:cs="Arial"/>
                <w:b/>
                <w:bCs/>
                <w:color w:val="000000"/>
                <w:sz w:val="22"/>
                <w:szCs w:val="22"/>
              </w:rPr>
              <w:t>2024/25</w:t>
            </w:r>
          </w:p>
        </w:tc>
      </w:tr>
      <w:tr w:rsidR="00D14CBC" w:rsidRPr="004774EE" w14:paraId="7EE54116" w14:textId="77777777" w:rsidTr="00D14CBC">
        <w:trPr>
          <w:trHeight w:val="159"/>
        </w:trPr>
        <w:tc>
          <w:tcPr>
            <w:tcW w:w="2553" w:type="dxa"/>
            <w:tcBorders>
              <w:top w:val="nil"/>
              <w:left w:val="single" w:sz="8" w:space="0" w:color="auto"/>
              <w:bottom w:val="nil"/>
              <w:right w:val="nil"/>
            </w:tcBorders>
            <w:shd w:val="clear" w:color="000000" w:fill="CCCCCC"/>
            <w:vAlign w:val="center"/>
            <w:hideMark/>
          </w:tcPr>
          <w:p w14:paraId="73C7D109" w14:textId="77777777" w:rsidR="00D14CBC" w:rsidRPr="004774EE" w:rsidRDefault="00D14CBC" w:rsidP="00D14CBC">
            <w:pPr>
              <w:rPr>
                <w:rFonts w:ascii="Arial" w:hAnsi="Arial" w:cs="Arial"/>
                <w:color w:val="000000"/>
                <w:sz w:val="22"/>
                <w:szCs w:val="22"/>
              </w:rPr>
            </w:pPr>
            <w:r w:rsidRPr="004774EE">
              <w:rPr>
                <w:rFonts w:ascii="Arial" w:hAnsi="Arial" w:cs="Arial"/>
                <w:color w:val="000000"/>
                <w:sz w:val="22"/>
                <w:szCs w:val="22"/>
              </w:rPr>
              <w:t> </w:t>
            </w:r>
          </w:p>
        </w:tc>
        <w:tc>
          <w:tcPr>
            <w:tcW w:w="1660" w:type="dxa"/>
            <w:tcBorders>
              <w:top w:val="nil"/>
              <w:left w:val="nil"/>
              <w:bottom w:val="nil"/>
              <w:right w:val="nil"/>
            </w:tcBorders>
            <w:vAlign w:val="center"/>
            <w:hideMark/>
          </w:tcPr>
          <w:p w14:paraId="53AB43B3" w14:textId="77777777" w:rsidR="00D14CBC" w:rsidRPr="004774EE" w:rsidRDefault="00D14CBC" w:rsidP="00D14CBC">
            <w:pPr>
              <w:jc w:val="center"/>
              <w:rPr>
                <w:rFonts w:ascii="Arial" w:hAnsi="Arial" w:cs="Arial"/>
                <w:b/>
                <w:bCs/>
                <w:color w:val="000000"/>
                <w:sz w:val="22"/>
                <w:szCs w:val="22"/>
              </w:rPr>
            </w:pPr>
            <w:r w:rsidRPr="004774EE">
              <w:rPr>
                <w:rFonts w:ascii="Arial" w:hAnsi="Arial" w:cs="Arial"/>
                <w:b/>
                <w:bCs/>
                <w:color w:val="000000"/>
                <w:sz w:val="22"/>
                <w:szCs w:val="22"/>
              </w:rPr>
              <w:t>£000</w:t>
            </w:r>
          </w:p>
        </w:tc>
        <w:tc>
          <w:tcPr>
            <w:tcW w:w="1660" w:type="dxa"/>
            <w:tcBorders>
              <w:top w:val="nil"/>
              <w:left w:val="nil"/>
              <w:bottom w:val="nil"/>
              <w:right w:val="single" w:sz="4" w:space="0" w:color="auto"/>
            </w:tcBorders>
            <w:shd w:val="clear" w:color="000000" w:fill="CCCCCC"/>
            <w:vAlign w:val="center"/>
            <w:hideMark/>
          </w:tcPr>
          <w:p w14:paraId="6C511D7D" w14:textId="77777777" w:rsidR="00D14CBC" w:rsidRPr="004774EE" w:rsidRDefault="00D14CBC" w:rsidP="00D14CBC">
            <w:pPr>
              <w:jc w:val="center"/>
              <w:rPr>
                <w:rFonts w:ascii="Arial" w:hAnsi="Arial" w:cs="Arial"/>
                <w:b/>
                <w:bCs/>
                <w:color w:val="000000"/>
                <w:sz w:val="22"/>
                <w:szCs w:val="22"/>
              </w:rPr>
            </w:pPr>
            <w:r w:rsidRPr="004774EE">
              <w:rPr>
                <w:rFonts w:ascii="Arial" w:hAnsi="Arial" w:cs="Arial"/>
                <w:b/>
                <w:bCs/>
                <w:color w:val="000000"/>
                <w:sz w:val="22"/>
                <w:szCs w:val="22"/>
              </w:rPr>
              <w:t>£000</w:t>
            </w:r>
          </w:p>
        </w:tc>
      </w:tr>
      <w:tr w:rsidR="00D14CBC" w:rsidRPr="004774EE" w14:paraId="48FB5D6C" w14:textId="77777777" w:rsidTr="00173712">
        <w:trPr>
          <w:trHeight w:val="159"/>
        </w:trPr>
        <w:tc>
          <w:tcPr>
            <w:tcW w:w="2553" w:type="dxa"/>
            <w:tcBorders>
              <w:top w:val="nil"/>
              <w:left w:val="single" w:sz="8" w:space="0" w:color="auto"/>
              <w:bottom w:val="nil"/>
              <w:right w:val="nil"/>
            </w:tcBorders>
            <w:shd w:val="clear" w:color="000000" w:fill="CCCCCC"/>
            <w:vAlign w:val="center"/>
            <w:hideMark/>
          </w:tcPr>
          <w:p w14:paraId="3BFEF2C9" w14:textId="77777777" w:rsidR="00D14CBC" w:rsidRPr="004774EE" w:rsidRDefault="00D14CBC" w:rsidP="00D14CBC">
            <w:pPr>
              <w:rPr>
                <w:rFonts w:ascii="Arial" w:hAnsi="Arial" w:cs="Arial"/>
                <w:color w:val="000000"/>
                <w:sz w:val="24"/>
                <w:szCs w:val="24"/>
              </w:rPr>
            </w:pPr>
            <w:r w:rsidRPr="004774EE">
              <w:rPr>
                <w:rFonts w:ascii="Arial" w:hAnsi="Arial" w:cs="Arial"/>
                <w:color w:val="000000"/>
                <w:sz w:val="24"/>
                <w:szCs w:val="24"/>
              </w:rPr>
              <w:t> </w:t>
            </w:r>
          </w:p>
        </w:tc>
        <w:tc>
          <w:tcPr>
            <w:tcW w:w="1660" w:type="dxa"/>
            <w:tcBorders>
              <w:top w:val="nil"/>
              <w:left w:val="nil"/>
              <w:bottom w:val="nil"/>
              <w:right w:val="nil"/>
            </w:tcBorders>
            <w:vAlign w:val="center"/>
            <w:hideMark/>
          </w:tcPr>
          <w:p w14:paraId="3EB4E45C" w14:textId="77777777" w:rsidR="00D14CBC" w:rsidRPr="004774EE" w:rsidRDefault="00D14CBC" w:rsidP="00D14CBC">
            <w:pPr>
              <w:rPr>
                <w:rFonts w:ascii="Arial" w:hAnsi="Arial" w:cs="Arial"/>
                <w:color w:val="000000"/>
                <w:sz w:val="24"/>
                <w:szCs w:val="24"/>
              </w:rPr>
            </w:pPr>
          </w:p>
        </w:tc>
        <w:tc>
          <w:tcPr>
            <w:tcW w:w="1660" w:type="dxa"/>
            <w:tcBorders>
              <w:top w:val="nil"/>
              <w:left w:val="nil"/>
              <w:bottom w:val="nil"/>
              <w:right w:val="single" w:sz="4" w:space="0" w:color="auto"/>
            </w:tcBorders>
            <w:shd w:val="clear" w:color="auto" w:fill="D0CECE"/>
            <w:vAlign w:val="center"/>
            <w:hideMark/>
          </w:tcPr>
          <w:p w14:paraId="3CA96102" w14:textId="77777777" w:rsidR="00D14CBC" w:rsidRPr="004774EE" w:rsidRDefault="00D14CBC" w:rsidP="00D14CBC">
            <w:pPr>
              <w:rPr>
                <w:rFonts w:ascii="Arial" w:hAnsi="Arial" w:cs="Arial"/>
                <w:color w:val="000000"/>
                <w:sz w:val="24"/>
                <w:szCs w:val="24"/>
              </w:rPr>
            </w:pPr>
            <w:r w:rsidRPr="004774EE">
              <w:rPr>
                <w:rFonts w:ascii="Arial" w:hAnsi="Arial" w:cs="Arial"/>
                <w:color w:val="000000"/>
                <w:sz w:val="24"/>
                <w:szCs w:val="24"/>
              </w:rPr>
              <w:t> </w:t>
            </w:r>
          </w:p>
        </w:tc>
      </w:tr>
      <w:tr w:rsidR="00173712" w:rsidRPr="004774EE" w14:paraId="0DBDD2B1" w14:textId="77777777" w:rsidTr="00642A97">
        <w:trPr>
          <w:trHeight w:val="310"/>
        </w:trPr>
        <w:tc>
          <w:tcPr>
            <w:tcW w:w="2553" w:type="dxa"/>
            <w:tcBorders>
              <w:top w:val="nil"/>
              <w:left w:val="single" w:sz="8" w:space="0" w:color="auto"/>
              <w:bottom w:val="nil"/>
              <w:right w:val="nil"/>
            </w:tcBorders>
            <w:shd w:val="clear" w:color="000000" w:fill="CCCCCC"/>
            <w:vAlign w:val="center"/>
            <w:hideMark/>
          </w:tcPr>
          <w:p w14:paraId="6E3BCDF3" w14:textId="77777777" w:rsidR="00173712" w:rsidRPr="004774EE" w:rsidRDefault="00173712" w:rsidP="00173712">
            <w:pPr>
              <w:rPr>
                <w:rFonts w:ascii="Arial" w:hAnsi="Arial" w:cs="Arial"/>
                <w:color w:val="000000"/>
                <w:sz w:val="22"/>
                <w:szCs w:val="22"/>
              </w:rPr>
            </w:pPr>
            <w:r w:rsidRPr="004774EE">
              <w:rPr>
                <w:rFonts w:ascii="Arial" w:hAnsi="Arial" w:cs="Arial"/>
                <w:color w:val="000000"/>
                <w:sz w:val="22"/>
                <w:szCs w:val="22"/>
              </w:rPr>
              <w:t>Interest expense</w:t>
            </w:r>
          </w:p>
        </w:tc>
        <w:tc>
          <w:tcPr>
            <w:tcW w:w="1660" w:type="dxa"/>
            <w:tcBorders>
              <w:top w:val="nil"/>
              <w:left w:val="nil"/>
              <w:bottom w:val="single" w:sz="8" w:space="0" w:color="auto"/>
              <w:right w:val="nil"/>
            </w:tcBorders>
            <w:vAlign w:val="center"/>
            <w:hideMark/>
          </w:tcPr>
          <w:p w14:paraId="0758DBB1" w14:textId="35091F49" w:rsidR="00173712" w:rsidRPr="00173712" w:rsidRDefault="00173712" w:rsidP="00173712">
            <w:pPr>
              <w:jc w:val="right"/>
              <w:rPr>
                <w:rFonts w:ascii="Arial" w:hAnsi="Arial" w:cs="Arial"/>
                <w:color w:val="000000"/>
                <w:sz w:val="22"/>
                <w:szCs w:val="22"/>
              </w:rPr>
            </w:pPr>
            <w:r w:rsidRPr="00173712">
              <w:rPr>
                <w:rFonts w:ascii="Arial" w:hAnsi="Arial" w:cs="Arial"/>
                <w:color w:val="000000"/>
                <w:sz w:val="22"/>
                <w:szCs w:val="22"/>
              </w:rPr>
              <w:t>2,804</w:t>
            </w:r>
          </w:p>
        </w:tc>
        <w:tc>
          <w:tcPr>
            <w:tcW w:w="1660" w:type="dxa"/>
            <w:tcBorders>
              <w:top w:val="nil"/>
              <w:left w:val="nil"/>
              <w:bottom w:val="single" w:sz="8" w:space="0" w:color="auto"/>
              <w:right w:val="single" w:sz="8" w:space="0" w:color="auto"/>
            </w:tcBorders>
            <w:shd w:val="clear" w:color="auto" w:fill="D0CECE"/>
            <w:vAlign w:val="center"/>
            <w:hideMark/>
          </w:tcPr>
          <w:p w14:paraId="76F0C4E1" w14:textId="27DC7759" w:rsidR="00173712" w:rsidRPr="00173712" w:rsidRDefault="00173712" w:rsidP="00173712">
            <w:pPr>
              <w:jc w:val="right"/>
              <w:rPr>
                <w:rFonts w:ascii="Arial" w:hAnsi="Arial" w:cs="Arial"/>
                <w:color w:val="000000"/>
                <w:sz w:val="22"/>
                <w:szCs w:val="22"/>
              </w:rPr>
            </w:pPr>
            <w:r w:rsidRPr="00173712">
              <w:rPr>
                <w:rFonts w:ascii="Arial" w:hAnsi="Arial" w:cs="Arial"/>
                <w:color w:val="000000"/>
                <w:sz w:val="22"/>
                <w:szCs w:val="22"/>
              </w:rPr>
              <w:t>3,</w:t>
            </w:r>
            <w:r w:rsidR="009649D3">
              <w:rPr>
                <w:rFonts w:ascii="Arial" w:hAnsi="Arial" w:cs="Arial"/>
                <w:color w:val="000000"/>
                <w:sz w:val="22"/>
                <w:szCs w:val="22"/>
              </w:rPr>
              <w:t>528</w:t>
            </w:r>
          </w:p>
        </w:tc>
      </w:tr>
      <w:tr w:rsidR="00173712" w:rsidRPr="004774EE" w14:paraId="1DCD0282" w14:textId="77777777" w:rsidTr="00642A97">
        <w:trPr>
          <w:trHeight w:val="326"/>
        </w:trPr>
        <w:tc>
          <w:tcPr>
            <w:tcW w:w="2553" w:type="dxa"/>
            <w:tcBorders>
              <w:top w:val="nil"/>
              <w:left w:val="single" w:sz="8" w:space="0" w:color="auto"/>
              <w:bottom w:val="nil"/>
              <w:right w:val="nil"/>
            </w:tcBorders>
            <w:shd w:val="clear" w:color="000000" w:fill="CCCCCC"/>
            <w:vAlign w:val="center"/>
            <w:hideMark/>
          </w:tcPr>
          <w:p w14:paraId="464899F5" w14:textId="77777777" w:rsidR="00173712" w:rsidRPr="004774EE" w:rsidRDefault="00173712" w:rsidP="00173712">
            <w:pPr>
              <w:rPr>
                <w:rFonts w:ascii="Arial" w:hAnsi="Arial" w:cs="Arial"/>
                <w:b/>
                <w:bCs/>
                <w:color w:val="000000"/>
                <w:sz w:val="22"/>
                <w:szCs w:val="22"/>
              </w:rPr>
            </w:pPr>
            <w:r w:rsidRPr="004774EE">
              <w:rPr>
                <w:rFonts w:ascii="Arial" w:hAnsi="Arial" w:cs="Arial"/>
                <w:b/>
                <w:bCs/>
                <w:color w:val="000000"/>
                <w:sz w:val="22"/>
                <w:szCs w:val="22"/>
              </w:rPr>
              <w:t>Total Interest payable</w:t>
            </w:r>
          </w:p>
        </w:tc>
        <w:tc>
          <w:tcPr>
            <w:tcW w:w="1660" w:type="dxa"/>
            <w:tcBorders>
              <w:top w:val="nil"/>
              <w:left w:val="nil"/>
              <w:bottom w:val="single" w:sz="8" w:space="0" w:color="auto"/>
              <w:right w:val="nil"/>
            </w:tcBorders>
            <w:vAlign w:val="center"/>
            <w:hideMark/>
          </w:tcPr>
          <w:p w14:paraId="6A4714AF" w14:textId="403EC017" w:rsidR="00173712" w:rsidRPr="00173712" w:rsidRDefault="00173712" w:rsidP="00173712">
            <w:pPr>
              <w:jc w:val="right"/>
              <w:rPr>
                <w:rFonts w:ascii="Arial" w:hAnsi="Arial" w:cs="Arial"/>
                <w:color w:val="000000"/>
                <w:sz w:val="22"/>
                <w:szCs w:val="22"/>
              </w:rPr>
            </w:pPr>
            <w:r w:rsidRPr="00173712">
              <w:rPr>
                <w:rFonts w:ascii="Arial" w:hAnsi="Arial" w:cs="Arial"/>
                <w:color w:val="000000"/>
                <w:sz w:val="22"/>
                <w:szCs w:val="22"/>
              </w:rPr>
              <w:t>2,804</w:t>
            </w:r>
          </w:p>
        </w:tc>
        <w:tc>
          <w:tcPr>
            <w:tcW w:w="1660" w:type="dxa"/>
            <w:tcBorders>
              <w:top w:val="single" w:sz="8" w:space="0" w:color="auto"/>
              <w:left w:val="nil"/>
              <w:bottom w:val="single" w:sz="8" w:space="0" w:color="auto"/>
              <w:right w:val="single" w:sz="8" w:space="0" w:color="auto"/>
            </w:tcBorders>
            <w:shd w:val="clear" w:color="auto" w:fill="D0CECE"/>
            <w:vAlign w:val="center"/>
            <w:hideMark/>
          </w:tcPr>
          <w:p w14:paraId="43F15EC2" w14:textId="468DE4AB" w:rsidR="00173712" w:rsidRPr="00173712" w:rsidRDefault="00173712" w:rsidP="00173712">
            <w:pPr>
              <w:jc w:val="right"/>
              <w:rPr>
                <w:rFonts w:ascii="Arial" w:hAnsi="Arial" w:cs="Arial"/>
                <w:color w:val="000000"/>
                <w:sz w:val="22"/>
                <w:szCs w:val="22"/>
              </w:rPr>
            </w:pPr>
            <w:r w:rsidRPr="00173712">
              <w:rPr>
                <w:rFonts w:ascii="Arial" w:hAnsi="Arial" w:cs="Arial"/>
                <w:b/>
                <w:bCs/>
                <w:color w:val="000000"/>
                <w:sz w:val="22"/>
                <w:szCs w:val="22"/>
              </w:rPr>
              <w:t>3,</w:t>
            </w:r>
            <w:r w:rsidR="00F73D8C">
              <w:rPr>
                <w:rFonts w:ascii="Arial" w:hAnsi="Arial" w:cs="Arial"/>
                <w:b/>
                <w:bCs/>
                <w:color w:val="000000"/>
                <w:sz w:val="22"/>
                <w:szCs w:val="22"/>
              </w:rPr>
              <w:t>528</w:t>
            </w:r>
          </w:p>
        </w:tc>
      </w:tr>
      <w:tr w:rsidR="00173712" w:rsidRPr="004774EE" w14:paraId="0B2D570C" w14:textId="77777777" w:rsidTr="00642A97">
        <w:trPr>
          <w:trHeight w:val="159"/>
        </w:trPr>
        <w:tc>
          <w:tcPr>
            <w:tcW w:w="2553" w:type="dxa"/>
            <w:tcBorders>
              <w:top w:val="nil"/>
              <w:left w:val="single" w:sz="8" w:space="0" w:color="auto"/>
              <w:bottom w:val="nil"/>
              <w:right w:val="nil"/>
            </w:tcBorders>
            <w:shd w:val="clear" w:color="000000" w:fill="CCCCCC"/>
            <w:vAlign w:val="center"/>
            <w:hideMark/>
          </w:tcPr>
          <w:p w14:paraId="5CE5FA62" w14:textId="77777777" w:rsidR="00173712" w:rsidRPr="004774EE" w:rsidRDefault="00173712" w:rsidP="00173712">
            <w:pPr>
              <w:rPr>
                <w:rFonts w:ascii="Arial" w:hAnsi="Arial" w:cs="Arial"/>
                <w:color w:val="000000"/>
                <w:sz w:val="22"/>
                <w:szCs w:val="22"/>
              </w:rPr>
            </w:pPr>
            <w:r w:rsidRPr="004774EE">
              <w:rPr>
                <w:rFonts w:ascii="Arial" w:hAnsi="Arial" w:cs="Arial"/>
                <w:color w:val="000000"/>
                <w:sz w:val="22"/>
                <w:szCs w:val="22"/>
              </w:rPr>
              <w:t> </w:t>
            </w:r>
          </w:p>
        </w:tc>
        <w:tc>
          <w:tcPr>
            <w:tcW w:w="1660" w:type="dxa"/>
            <w:tcBorders>
              <w:top w:val="nil"/>
              <w:left w:val="nil"/>
              <w:bottom w:val="nil"/>
              <w:right w:val="nil"/>
            </w:tcBorders>
            <w:vAlign w:val="center"/>
            <w:hideMark/>
          </w:tcPr>
          <w:p w14:paraId="7DC3748A" w14:textId="77777777" w:rsidR="00173712" w:rsidRPr="00173712" w:rsidRDefault="00173712" w:rsidP="00173712">
            <w:pPr>
              <w:rPr>
                <w:rFonts w:ascii="Arial" w:hAnsi="Arial" w:cs="Arial"/>
                <w:color w:val="000000"/>
                <w:sz w:val="22"/>
                <w:szCs w:val="22"/>
              </w:rPr>
            </w:pPr>
          </w:p>
        </w:tc>
        <w:tc>
          <w:tcPr>
            <w:tcW w:w="1660" w:type="dxa"/>
            <w:tcBorders>
              <w:top w:val="single" w:sz="8" w:space="0" w:color="auto"/>
              <w:left w:val="nil"/>
              <w:bottom w:val="nil"/>
              <w:right w:val="single" w:sz="8" w:space="0" w:color="auto"/>
            </w:tcBorders>
            <w:shd w:val="clear" w:color="auto" w:fill="D0CECE"/>
            <w:vAlign w:val="center"/>
            <w:hideMark/>
          </w:tcPr>
          <w:p w14:paraId="4E5AC466" w14:textId="2D4DD2AB" w:rsidR="00173712" w:rsidRPr="00173712" w:rsidRDefault="00173712" w:rsidP="00173712">
            <w:pPr>
              <w:jc w:val="right"/>
              <w:rPr>
                <w:rFonts w:ascii="Arial" w:hAnsi="Arial" w:cs="Arial"/>
                <w:color w:val="000000"/>
                <w:sz w:val="22"/>
                <w:szCs w:val="22"/>
              </w:rPr>
            </w:pPr>
            <w:r w:rsidRPr="00173712">
              <w:rPr>
                <w:rFonts w:ascii="Arial" w:hAnsi="Arial" w:cs="Arial"/>
                <w:b/>
                <w:bCs/>
                <w:color w:val="000000"/>
                <w:sz w:val="22"/>
                <w:szCs w:val="22"/>
              </w:rPr>
              <w:t> </w:t>
            </w:r>
          </w:p>
        </w:tc>
      </w:tr>
      <w:tr w:rsidR="00173712" w:rsidRPr="004F0432" w14:paraId="52B01164" w14:textId="77777777" w:rsidTr="00173712">
        <w:trPr>
          <w:trHeight w:val="167"/>
        </w:trPr>
        <w:tc>
          <w:tcPr>
            <w:tcW w:w="2553" w:type="dxa"/>
            <w:tcBorders>
              <w:top w:val="nil"/>
              <w:left w:val="single" w:sz="8" w:space="0" w:color="auto"/>
              <w:bottom w:val="nil"/>
              <w:right w:val="nil"/>
            </w:tcBorders>
            <w:shd w:val="clear" w:color="000000" w:fill="CCCCCC"/>
            <w:vAlign w:val="center"/>
            <w:hideMark/>
          </w:tcPr>
          <w:p w14:paraId="6571209A" w14:textId="77777777" w:rsidR="00173712" w:rsidRPr="004774EE" w:rsidRDefault="00173712" w:rsidP="00173712">
            <w:pPr>
              <w:rPr>
                <w:rFonts w:ascii="Arial" w:hAnsi="Arial" w:cs="Arial"/>
                <w:color w:val="000000"/>
                <w:sz w:val="22"/>
                <w:szCs w:val="22"/>
              </w:rPr>
            </w:pPr>
            <w:r w:rsidRPr="004774EE">
              <w:rPr>
                <w:rFonts w:ascii="Arial" w:hAnsi="Arial" w:cs="Arial"/>
                <w:color w:val="000000"/>
                <w:sz w:val="22"/>
                <w:szCs w:val="22"/>
              </w:rPr>
              <w:t>Interest income</w:t>
            </w:r>
          </w:p>
        </w:tc>
        <w:tc>
          <w:tcPr>
            <w:tcW w:w="1660" w:type="dxa"/>
            <w:tcBorders>
              <w:top w:val="nil"/>
              <w:left w:val="nil"/>
              <w:bottom w:val="single" w:sz="8" w:space="0" w:color="auto"/>
              <w:right w:val="nil"/>
            </w:tcBorders>
            <w:vAlign w:val="center"/>
            <w:hideMark/>
          </w:tcPr>
          <w:p w14:paraId="3FFCAB75" w14:textId="6CA83130" w:rsidR="00173712" w:rsidRPr="00173712" w:rsidRDefault="00173712" w:rsidP="00173712">
            <w:pPr>
              <w:jc w:val="right"/>
              <w:rPr>
                <w:rFonts w:ascii="Arial" w:hAnsi="Arial" w:cs="Arial"/>
                <w:color w:val="000000"/>
                <w:sz w:val="22"/>
                <w:szCs w:val="22"/>
              </w:rPr>
            </w:pPr>
            <w:r w:rsidRPr="00173712">
              <w:rPr>
                <w:rFonts w:ascii="Arial" w:hAnsi="Arial" w:cs="Arial"/>
                <w:color w:val="000000"/>
                <w:sz w:val="22"/>
                <w:szCs w:val="22"/>
              </w:rPr>
              <w:t>2,316</w:t>
            </w:r>
          </w:p>
        </w:tc>
        <w:tc>
          <w:tcPr>
            <w:tcW w:w="1660" w:type="dxa"/>
            <w:tcBorders>
              <w:top w:val="nil"/>
              <w:left w:val="nil"/>
              <w:bottom w:val="nil"/>
              <w:right w:val="single" w:sz="8" w:space="0" w:color="auto"/>
            </w:tcBorders>
            <w:shd w:val="clear" w:color="auto" w:fill="D0CECE"/>
            <w:vAlign w:val="center"/>
            <w:hideMark/>
          </w:tcPr>
          <w:p w14:paraId="5B4A767A" w14:textId="620C08A0" w:rsidR="00173712" w:rsidRPr="00173712" w:rsidRDefault="00173712" w:rsidP="00173712">
            <w:pPr>
              <w:jc w:val="right"/>
              <w:rPr>
                <w:rFonts w:ascii="Arial" w:hAnsi="Arial" w:cs="Arial"/>
                <w:color w:val="000000"/>
                <w:sz w:val="22"/>
                <w:szCs w:val="22"/>
              </w:rPr>
            </w:pPr>
            <w:r w:rsidRPr="00173712">
              <w:rPr>
                <w:rFonts w:ascii="Arial" w:hAnsi="Arial" w:cs="Arial"/>
                <w:color w:val="000000"/>
                <w:sz w:val="22"/>
                <w:szCs w:val="22"/>
              </w:rPr>
              <w:t>1,658</w:t>
            </w:r>
          </w:p>
        </w:tc>
      </w:tr>
      <w:tr w:rsidR="00173712" w:rsidRPr="004774EE" w14:paraId="58366E0A" w14:textId="77777777" w:rsidTr="00173712">
        <w:trPr>
          <w:trHeight w:val="326"/>
        </w:trPr>
        <w:tc>
          <w:tcPr>
            <w:tcW w:w="2553" w:type="dxa"/>
            <w:tcBorders>
              <w:top w:val="nil"/>
              <w:left w:val="single" w:sz="8" w:space="0" w:color="auto"/>
              <w:bottom w:val="single" w:sz="8" w:space="0" w:color="auto"/>
              <w:right w:val="nil"/>
            </w:tcBorders>
            <w:shd w:val="clear" w:color="000000" w:fill="CCCCCC"/>
            <w:vAlign w:val="center"/>
            <w:hideMark/>
          </w:tcPr>
          <w:p w14:paraId="479818D2" w14:textId="77777777" w:rsidR="00173712" w:rsidRPr="004774EE" w:rsidRDefault="00173712" w:rsidP="00173712">
            <w:pPr>
              <w:rPr>
                <w:rFonts w:ascii="Arial" w:hAnsi="Arial" w:cs="Arial"/>
                <w:b/>
                <w:bCs/>
                <w:color w:val="000000"/>
                <w:sz w:val="22"/>
                <w:szCs w:val="22"/>
              </w:rPr>
            </w:pPr>
            <w:r w:rsidRPr="004774EE">
              <w:rPr>
                <w:rFonts w:ascii="Arial" w:hAnsi="Arial" w:cs="Arial"/>
                <w:b/>
                <w:bCs/>
                <w:color w:val="000000"/>
                <w:sz w:val="22"/>
                <w:szCs w:val="22"/>
              </w:rPr>
              <w:t>Total interest receivable</w:t>
            </w:r>
          </w:p>
        </w:tc>
        <w:tc>
          <w:tcPr>
            <w:tcW w:w="1660" w:type="dxa"/>
            <w:tcBorders>
              <w:top w:val="nil"/>
              <w:left w:val="nil"/>
              <w:bottom w:val="single" w:sz="8" w:space="0" w:color="auto"/>
              <w:right w:val="nil"/>
            </w:tcBorders>
            <w:vAlign w:val="center"/>
            <w:hideMark/>
          </w:tcPr>
          <w:p w14:paraId="30FD14EB" w14:textId="3324ABCE" w:rsidR="00173712" w:rsidRPr="00173712" w:rsidRDefault="00173712" w:rsidP="00173712">
            <w:pPr>
              <w:jc w:val="right"/>
              <w:rPr>
                <w:rFonts w:ascii="Arial" w:hAnsi="Arial" w:cs="Arial"/>
                <w:b/>
                <w:bCs/>
                <w:color w:val="000000"/>
                <w:sz w:val="22"/>
                <w:szCs w:val="22"/>
              </w:rPr>
            </w:pPr>
            <w:r w:rsidRPr="00173712">
              <w:rPr>
                <w:rFonts w:ascii="Arial" w:hAnsi="Arial" w:cs="Arial"/>
                <w:b/>
                <w:bCs/>
                <w:color w:val="000000"/>
                <w:sz w:val="22"/>
                <w:szCs w:val="22"/>
              </w:rPr>
              <w:t>2,316</w:t>
            </w:r>
          </w:p>
        </w:tc>
        <w:tc>
          <w:tcPr>
            <w:tcW w:w="1660" w:type="dxa"/>
            <w:tcBorders>
              <w:top w:val="single" w:sz="8" w:space="0" w:color="auto"/>
              <w:left w:val="nil"/>
              <w:bottom w:val="single" w:sz="8" w:space="0" w:color="auto"/>
              <w:right w:val="single" w:sz="8" w:space="0" w:color="auto"/>
            </w:tcBorders>
            <w:shd w:val="clear" w:color="auto" w:fill="D0CECE"/>
            <w:vAlign w:val="center"/>
            <w:hideMark/>
          </w:tcPr>
          <w:p w14:paraId="78185309" w14:textId="4507FB59" w:rsidR="00173712" w:rsidRPr="00173712" w:rsidRDefault="00173712" w:rsidP="00173712">
            <w:pPr>
              <w:jc w:val="right"/>
              <w:rPr>
                <w:rFonts w:ascii="Arial" w:hAnsi="Arial" w:cs="Arial"/>
                <w:b/>
                <w:bCs/>
                <w:color w:val="000000"/>
                <w:sz w:val="22"/>
                <w:szCs w:val="22"/>
              </w:rPr>
            </w:pPr>
            <w:r w:rsidRPr="00173712">
              <w:rPr>
                <w:rFonts w:ascii="Arial" w:hAnsi="Arial" w:cs="Arial"/>
                <w:b/>
                <w:bCs/>
                <w:color w:val="000000"/>
                <w:sz w:val="22"/>
                <w:szCs w:val="22"/>
              </w:rPr>
              <w:t>1,658</w:t>
            </w:r>
          </w:p>
        </w:tc>
      </w:tr>
    </w:tbl>
    <w:p w14:paraId="7A9B88CF" w14:textId="77777777" w:rsidR="003B74DA" w:rsidRPr="00645FC2" w:rsidRDefault="003B74DA" w:rsidP="003B74DA">
      <w:pPr>
        <w:tabs>
          <w:tab w:val="right" w:pos="5760"/>
        </w:tabs>
        <w:ind w:left="426"/>
        <w:jc w:val="both"/>
        <w:rPr>
          <w:rFonts w:ascii="Arial" w:hAnsi="Arial" w:cs="Arial"/>
          <w:b/>
          <w:sz w:val="22"/>
          <w:szCs w:val="22"/>
          <w:highlight w:val="yellow"/>
        </w:rPr>
      </w:pPr>
    </w:p>
    <w:p w14:paraId="3BDC7472" w14:textId="77777777" w:rsidR="003B74DA" w:rsidRPr="00C17D02" w:rsidRDefault="003B74DA" w:rsidP="003B74DA">
      <w:pPr>
        <w:spacing w:after="240"/>
        <w:ind w:left="426"/>
        <w:jc w:val="both"/>
        <w:rPr>
          <w:rFonts w:ascii="Arial" w:hAnsi="Arial" w:cs="Arial"/>
          <w:b/>
          <w:sz w:val="22"/>
          <w:szCs w:val="22"/>
        </w:rPr>
      </w:pPr>
      <w:r w:rsidRPr="00C17D02">
        <w:rPr>
          <w:rFonts w:ascii="Arial" w:hAnsi="Arial" w:cs="Arial"/>
          <w:b/>
          <w:sz w:val="22"/>
          <w:szCs w:val="22"/>
        </w:rPr>
        <w:t xml:space="preserve">Exposure to Risk in Financial Instruments </w:t>
      </w:r>
    </w:p>
    <w:p w14:paraId="33623F57" w14:textId="77777777" w:rsidR="003B74DA" w:rsidRPr="00C17D02" w:rsidRDefault="003B74DA" w:rsidP="003B74DA">
      <w:pPr>
        <w:ind w:left="426"/>
        <w:jc w:val="both"/>
        <w:rPr>
          <w:rFonts w:ascii="Arial" w:hAnsi="Arial" w:cs="Arial"/>
          <w:sz w:val="22"/>
          <w:szCs w:val="22"/>
        </w:rPr>
      </w:pPr>
      <w:r w:rsidRPr="00C17D02">
        <w:rPr>
          <w:rFonts w:ascii="Arial" w:hAnsi="Arial" w:cs="Arial"/>
          <w:sz w:val="22"/>
          <w:szCs w:val="22"/>
        </w:rPr>
        <w:t>There is some risk attached to our holdings of and transactions in financial instruments. The following sections show how we quantify, where possible, and control our exposure to the three main elements of financial risk. These are credit risk, liquidity risk and market risk.</w:t>
      </w:r>
    </w:p>
    <w:p w14:paraId="5B24B390" w14:textId="77777777" w:rsidR="003B74DA" w:rsidRPr="00C17D02" w:rsidRDefault="003B74DA" w:rsidP="003B74DA">
      <w:pPr>
        <w:ind w:left="426"/>
        <w:jc w:val="both"/>
        <w:rPr>
          <w:rFonts w:ascii="Arial" w:hAnsi="Arial" w:cs="Arial"/>
          <w:b/>
          <w:sz w:val="22"/>
          <w:szCs w:val="22"/>
        </w:rPr>
      </w:pPr>
    </w:p>
    <w:p w14:paraId="2A0975AD" w14:textId="552B669E" w:rsidR="003B74DA" w:rsidRPr="00280F0A" w:rsidRDefault="003B74DA" w:rsidP="003B74DA">
      <w:pPr>
        <w:spacing w:after="240"/>
        <w:ind w:left="426"/>
        <w:jc w:val="both"/>
        <w:rPr>
          <w:rFonts w:ascii="Arial" w:hAnsi="Arial" w:cs="Arial"/>
          <w:b/>
          <w:sz w:val="22"/>
          <w:szCs w:val="22"/>
        </w:rPr>
      </w:pPr>
      <w:r w:rsidRPr="00280F0A">
        <w:rPr>
          <w:rFonts w:ascii="Arial" w:hAnsi="Arial" w:cs="Arial"/>
          <w:b/>
          <w:sz w:val="22"/>
          <w:szCs w:val="22"/>
        </w:rPr>
        <w:t xml:space="preserve">Credit </w:t>
      </w:r>
      <w:r w:rsidR="00226873" w:rsidRPr="00280F0A">
        <w:rPr>
          <w:rFonts w:ascii="Arial" w:hAnsi="Arial" w:cs="Arial"/>
          <w:b/>
          <w:sz w:val="22"/>
          <w:szCs w:val="22"/>
        </w:rPr>
        <w:t xml:space="preserve">Risk </w:t>
      </w:r>
      <w:r w:rsidR="0041356E">
        <w:rPr>
          <w:rFonts w:ascii="Arial" w:hAnsi="Arial" w:cs="Arial"/>
          <w:b/>
          <w:sz w:val="22"/>
          <w:szCs w:val="22"/>
        </w:rPr>
        <w:t>–</w:t>
      </w:r>
      <w:r w:rsidRPr="00280F0A">
        <w:rPr>
          <w:rFonts w:ascii="Arial" w:hAnsi="Arial" w:cs="Arial"/>
          <w:b/>
          <w:sz w:val="22"/>
          <w:szCs w:val="22"/>
        </w:rPr>
        <w:t xml:space="preserve"> Trade Receivables</w:t>
      </w:r>
    </w:p>
    <w:p w14:paraId="01C538BC" w14:textId="052A1F52" w:rsidR="003B74DA" w:rsidRPr="00CF4AE0" w:rsidRDefault="003B74DA" w:rsidP="003B74DA">
      <w:pPr>
        <w:ind w:left="426"/>
        <w:jc w:val="both"/>
        <w:rPr>
          <w:rFonts w:ascii="Arial" w:eastAsia="Calibri" w:hAnsi="Arial" w:cs="Helvetica-Light"/>
          <w:color w:val="000000"/>
          <w:sz w:val="22"/>
          <w:szCs w:val="22"/>
          <w:lang w:eastAsia="en-US"/>
        </w:rPr>
      </w:pPr>
      <w:r w:rsidRPr="00280F0A">
        <w:rPr>
          <w:rFonts w:ascii="Arial" w:hAnsi="Arial" w:cs="Arial"/>
          <w:sz w:val="22"/>
          <w:szCs w:val="22"/>
        </w:rPr>
        <w:t>Counterparty credit risk is the risk that a counterparty will be unable to meet its obligations and repay monies owed to</w:t>
      </w:r>
      <w:r w:rsidRPr="00CF4AE0">
        <w:rPr>
          <w:rFonts w:ascii="Arial" w:hAnsi="Arial" w:cs="Arial"/>
          <w:sz w:val="22"/>
          <w:szCs w:val="22"/>
        </w:rPr>
        <w:t xml:space="preserve"> the PCC. The </w:t>
      </w:r>
      <w:r w:rsidRPr="00CF4AE0">
        <w:rPr>
          <w:rFonts w:ascii="Arial" w:eastAsia="Calibri" w:hAnsi="Arial" w:cs="Helvetica-Light"/>
          <w:color w:val="000000"/>
          <w:sz w:val="22"/>
          <w:szCs w:val="22"/>
          <w:lang w:eastAsia="en-US"/>
        </w:rPr>
        <w:t>risk arises from deposits with banks and financial institutions, as well as credit exposures to the organisation</w:t>
      </w:r>
      <w:r w:rsidR="005B6F05" w:rsidRPr="00CF4AE0">
        <w:rPr>
          <w:rFonts w:ascii="Arial" w:eastAsia="Calibri" w:hAnsi="Arial" w:cs="Helvetica-Light"/>
          <w:color w:val="000000"/>
          <w:sz w:val="22"/>
          <w:szCs w:val="22"/>
          <w:lang w:eastAsia="en-US"/>
        </w:rPr>
        <w:t>’</w:t>
      </w:r>
      <w:r w:rsidRPr="00CF4AE0">
        <w:rPr>
          <w:rFonts w:ascii="Arial" w:eastAsia="Calibri" w:hAnsi="Arial" w:cs="Helvetica-Light"/>
          <w:color w:val="000000"/>
          <w:sz w:val="22"/>
          <w:szCs w:val="22"/>
          <w:lang w:eastAsia="en-US"/>
        </w:rPr>
        <w:t>s customers.</w:t>
      </w:r>
    </w:p>
    <w:p w14:paraId="4E3B9CA2" w14:textId="36E052E7" w:rsidR="00DC6907" w:rsidRPr="00CF4AE0" w:rsidRDefault="00DC6907">
      <w:pPr>
        <w:rPr>
          <w:rFonts w:ascii="Arial" w:eastAsia="Calibri" w:hAnsi="Arial" w:cs="Helvetica-Light"/>
          <w:color w:val="000000"/>
          <w:sz w:val="22"/>
          <w:szCs w:val="22"/>
          <w:lang w:eastAsia="en-US"/>
        </w:rPr>
      </w:pPr>
    </w:p>
    <w:p w14:paraId="4EF5881F" w14:textId="0507CC20" w:rsidR="003B74DA" w:rsidRPr="00CF4AE0" w:rsidRDefault="00105039" w:rsidP="003B74DA">
      <w:pPr>
        <w:ind w:left="426"/>
        <w:jc w:val="both"/>
        <w:rPr>
          <w:rFonts w:ascii="Arial" w:eastAsia="Calibri" w:hAnsi="Arial" w:cs="Helvetica-Light"/>
          <w:color w:val="000000"/>
          <w:sz w:val="22"/>
          <w:szCs w:val="22"/>
          <w:lang w:eastAsia="en-US"/>
        </w:rPr>
      </w:pPr>
      <w:r w:rsidRPr="00CF4AE0">
        <w:rPr>
          <w:rFonts w:ascii="Arial" w:eastAsia="Calibri" w:hAnsi="Arial" w:cs="Helvetica-Light"/>
          <w:color w:val="000000"/>
          <w:sz w:val="22"/>
          <w:szCs w:val="22"/>
          <w:lang w:eastAsia="en-US"/>
        </w:rPr>
        <w:t>Regarding</w:t>
      </w:r>
      <w:r w:rsidR="003B74DA" w:rsidRPr="00CF4AE0">
        <w:rPr>
          <w:rFonts w:ascii="Arial" w:eastAsia="Calibri" w:hAnsi="Arial" w:cs="Helvetica-Light"/>
          <w:color w:val="000000"/>
          <w:sz w:val="22"/>
          <w:szCs w:val="22"/>
          <w:lang w:eastAsia="en-US"/>
        </w:rPr>
        <w:t xml:space="preserve"> financial institutions, the risk is minimised through the annual investment strategy, which requires that deposits are not made with an institution unless it meets identified minimum credit criteria, as laid down by the three main credit rating agencies. The strategy also imposes a maximum sum and duration with which the PCC can be invested in an institution depending upon the quality of credit rating. </w:t>
      </w:r>
    </w:p>
    <w:p w14:paraId="3C73F973" w14:textId="77777777" w:rsidR="003B74DA" w:rsidRPr="00CF4AE0" w:rsidRDefault="003B74DA" w:rsidP="003B74DA">
      <w:pPr>
        <w:ind w:left="426"/>
        <w:jc w:val="both"/>
        <w:rPr>
          <w:rFonts w:ascii="Arial" w:eastAsia="Calibri" w:hAnsi="Arial" w:cs="Helvetica-Light"/>
          <w:color w:val="000000"/>
          <w:sz w:val="22"/>
          <w:szCs w:val="22"/>
          <w:lang w:eastAsia="en-US"/>
        </w:rPr>
      </w:pPr>
    </w:p>
    <w:p w14:paraId="4872A850" w14:textId="51F53E8E" w:rsidR="003B74DA" w:rsidRPr="00CF4AE0" w:rsidRDefault="003B74DA" w:rsidP="003B74DA">
      <w:pPr>
        <w:ind w:left="426"/>
        <w:jc w:val="both"/>
        <w:rPr>
          <w:rFonts w:ascii="Arial" w:eastAsia="Calibri" w:hAnsi="Arial" w:cs="Helvetica-Light"/>
          <w:color w:val="000000"/>
          <w:sz w:val="22"/>
          <w:szCs w:val="22"/>
          <w:lang w:eastAsia="en-US"/>
        </w:rPr>
      </w:pPr>
      <w:r w:rsidRPr="00737618">
        <w:rPr>
          <w:rFonts w:ascii="Arial" w:eastAsia="Calibri" w:hAnsi="Arial" w:cs="Helvetica-Light"/>
          <w:color w:val="000000"/>
          <w:sz w:val="22"/>
          <w:szCs w:val="22"/>
          <w:lang w:eastAsia="en-US"/>
        </w:rPr>
        <w:t xml:space="preserve">During the </w:t>
      </w:r>
      <w:r w:rsidR="00C37E7F" w:rsidRPr="00737618">
        <w:rPr>
          <w:rFonts w:ascii="Arial" w:eastAsia="Calibri" w:hAnsi="Arial" w:cs="Helvetica-Light"/>
          <w:color w:val="000000"/>
          <w:sz w:val="22"/>
          <w:szCs w:val="22"/>
          <w:lang w:eastAsia="en-US"/>
        </w:rPr>
        <w:t>2024/25</w:t>
      </w:r>
      <w:r w:rsidRPr="00737618">
        <w:rPr>
          <w:rFonts w:ascii="Arial" w:eastAsia="Calibri" w:hAnsi="Arial" w:cs="Helvetica-Light"/>
          <w:color w:val="000000"/>
          <w:sz w:val="22"/>
          <w:szCs w:val="22"/>
          <w:lang w:eastAsia="en-US"/>
        </w:rPr>
        <w:t xml:space="preserve"> financial year the </w:t>
      </w:r>
      <w:r w:rsidR="00737618" w:rsidRPr="00737618">
        <w:rPr>
          <w:rFonts w:ascii="Arial" w:eastAsia="Calibri" w:hAnsi="Arial" w:cs="Helvetica-Light"/>
          <w:color w:val="000000"/>
          <w:sz w:val="22"/>
          <w:szCs w:val="22"/>
          <w:lang w:eastAsia="en-US"/>
        </w:rPr>
        <w:t>PCC</w:t>
      </w:r>
      <w:r w:rsidR="00737618">
        <w:rPr>
          <w:rFonts w:ascii="Arial" w:eastAsia="Calibri" w:hAnsi="Arial" w:cs="Helvetica-Light"/>
          <w:color w:val="000000"/>
          <w:sz w:val="22"/>
          <w:szCs w:val="22"/>
          <w:lang w:eastAsia="en-US"/>
        </w:rPr>
        <w:t xml:space="preserve"> brought it’s Treasury Management Function in-house and it’s balances were invested in a call account with </w:t>
      </w:r>
      <w:r w:rsidR="00DC2030">
        <w:rPr>
          <w:rFonts w:ascii="Arial" w:eastAsia="Calibri" w:hAnsi="Arial" w:cs="Helvetica-Light"/>
          <w:color w:val="000000"/>
          <w:sz w:val="22"/>
          <w:szCs w:val="22"/>
          <w:lang w:eastAsia="en-US"/>
        </w:rPr>
        <w:t>NatWest</w:t>
      </w:r>
      <w:r w:rsidR="00737618">
        <w:rPr>
          <w:rFonts w:ascii="Arial" w:eastAsia="Calibri" w:hAnsi="Arial" w:cs="Helvetica-Light"/>
          <w:color w:val="000000"/>
          <w:sz w:val="22"/>
          <w:szCs w:val="22"/>
          <w:lang w:eastAsia="en-US"/>
        </w:rPr>
        <w:t xml:space="preserve"> and with the Debt Management </w:t>
      </w:r>
      <w:proofErr w:type="gramStart"/>
      <w:r w:rsidR="00737618">
        <w:rPr>
          <w:rFonts w:ascii="Arial" w:eastAsia="Calibri" w:hAnsi="Arial" w:cs="Helvetica-Light"/>
          <w:color w:val="000000"/>
          <w:sz w:val="22"/>
          <w:szCs w:val="22"/>
          <w:lang w:eastAsia="en-US"/>
        </w:rPr>
        <w:t>Office</w:t>
      </w:r>
      <w:proofErr w:type="gramEnd"/>
      <w:r w:rsidR="00737618">
        <w:rPr>
          <w:rFonts w:ascii="Arial" w:eastAsia="Calibri" w:hAnsi="Arial" w:cs="Helvetica-Light"/>
          <w:color w:val="000000"/>
          <w:sz w:val="22"/>
          <w:szCs w:val="22"/>
          <w:lang w:eastAsia="en-US"/>
        </w:rPr>
        <w:t xml:space="preserve"> so the investments portfolio maintained a very high AA-credit rating</w:t>
      </w:r>
    </w:p>
    <w:p w14:paraId="3C8CAF86" w14:textId="77777777" w:rsidR="0077429D" w:rsidRPr="00CF4AE0" w:rsidRDefault="0077429D" w:rsidP="003B74DA">
      <w:pPr>
        <w:ind w:left="426"/>
        <w:jc w:val="both"/>
        <w:rPr>
          <w:rFonts w:ascii="Arial" w:eastAsia="Calibri" w:hAnsi="Arial" w:cs="Helvetica-Light"/>
          <w:color w:val="000000"/>
          <w:sz w:val="22"/>
          <w:szCs w:val="22"/>
          <w:lang w:eastAsia="en-US"/>
        </w:rPr>
      </w:pPr>
    </w:p>
    <w:p w14:paraId="71AFDF0C" w14:textId="77777777" w:rsidR="003B74DA" w:rsidRPr="00CF4AE0" w:rsidRDefault="003B74DA" w:rsidP="003B74DA">
      <w:pPr>
        <w:ind w:left="426"/>
        <w:jc w:val="both"/>
        <w:rPr>
          <w:rFonts w:ascii="Arial" w:hAnsi="Arial" w:cs="Arial"/>
          <w:sz w:val="22"/>
          <w:szCs w:val="22"/>
        </w:rPr>
      </w:pPr>
      <w:r w:rsidRPr="00CF4AE0">
        <w:rPr>
          <w:rFonts w:ascii="Arial" w:hAnsi="Arial" w:cs="Arial"/>
          <w:sz w:val="22"/>
          <w:szCs w:val="22"/>
        </w:rPr>
        <w:t>The following analysis summarises the PCCs trade receivables by due date. Only those receivables meeting the definition of financial assets are included.</w:t>
      </w:r>
    </w:p>
    <w:p w14:paraId="7CA4F067" w14:textId="2D46CADB" w:rsidR="003B74DA" w:rsidRPr="00CF4AE0" w:rsidRDefault="003B74DA" w:rsidP="003B74DA">
      <w:pPr>
        <w:ind w:left="426"/>
        <w:jc w:val="both"/>
        <w:rPr>
          <w:rFonts w:ascii="Arial" w:hAnsi="Arial" w:cs="Arial"/>
          <w:sz w:val="22"/>
          <w:szCs w:val="22"/>
        </w:rPr>
      </w:pPr>
    </w:p>
    <w:tbl>
      <w:tblPr>
        <w:tblW w:w="6326" w:type="dxa"/>
        <w:tblInd w:w="602" w:type="dxa"/>
        <w:tblLook w:val="04A0" w:firstRow="1" w:lastRow="0" w:firstColumn="1" w:lastColumn="0" w:noHBand="0" w:noVBand="1"/>
      </w:tblPr>
      <w:tblGrid>
        <w:gridCol w:w="3451"/>
        <w:gridCol w:w="1592"/>
        <w:gridCol w:w="1283"/>
      </w:tblGrid>
      <w:tr w:rsidR="00CB6457" w:rsidRPr="00964E10" w14:paraId="476E57B3" w14:textId="77777777" w:rsidTr="00022A89">
        <w:trPr>
          <w:trHeight w:val="262"/>
        </w:trPr>
        <w:tc>
          <w:tcPr>
            <w:tcW w:w="3451" w:type="dxa"/>
            <w:tcBorders>
              <w:top w:val="single" w:sz="8" w:space="0" w:color="auto"/>
              <w:left w:val="single" w:sz="8" w:space="0" w:color="auto"/>
              <w:bottom w:val="nil"/>
              <w:right w:val="nil"/>
            </w:tcBorders>
            <w:shd w:val="clear" w:color="000000" w:fill="CCCCCC"/>
            <w:vAlign w:val="center"/>
            <w:hideMark/>
          </w:tcPr>
          <w:p w14:paraId="76B666F8" w14:textId="7D0CAB43" w:rsidR="00CB6457" w:rsidRPr="00964E10" w:rsidRDefault="0041356E" w:rsidP="00CB6457">
            <w:pPr>
              <w:jc w:val="both"/>
              <w:rPr>
                <w:rFonts w:ascii="Arial" w:hAnsi="Arial" w:cs="Arial"/>
                <w:color w:val="000000"/>
                <w:sz w:val="22"/>
                <w:szCs w:val="22"/>
              </w:rPr>
            </w:pPr>
            <w:r>
              <w:rPr>
                <w:rFonts w:ascii="Arial" w:hAnsi="Arial" w:cs="Arial"/>
                <w:b/>
                <w:bCs/>
                <w:color w:val="000000"/>
                <w:sz w:val="22"/>
                <w:szCs w:val="22"/>
              </w:rPr>
              <w:t>PCC GROUP/PCC</w:t>
            </w:r>
          </w:p>
        </w:tc>
        <w:tc>
          <w:tcPr>
            <w:tcW w:w="1592" w:type="dxa"/>
            <w:tcBorders>
              <w:top w:val="single" w:sz="8" w:space="0" w:color="auto"/>
              <w:left w:val="nil"/>
              <w:bottom w:val="nil"/>
              <w:right w:val="nil"/>
            </w:tcBorders>
            <w:vAlign w:val="center"/>
            <w:hideMark/>
          </w:tcPr>
          <w:p w14:paraId="4E992424" w14:textId="4778ACFA" w:rsidR="00CB6457" w:rsidRPr="00964E10" w:rsidRDefault="00CB6457" w:rsidP="00CB6457">
            <w:pPr>
              <w:jc w:val="right"/>
              <w:rPr>
                <w:rFonts w:ascii="Arial" w:hAnsi="Arial" w:cs="Arial"/>
                <w:b/>
                <w:bCs/>
                <w:color w:val="000000"/>
                <w:sz w:val="22"/>
                <w:szCs w:val="22"/>
              </w:rPr>
            </w:pPr>
            <w:r w:rsidRPr="00964E10">
              <w:rPr>
                <w:rFonts w:ascii="Arial" w:hAnsi="Arial" w:cs="Arial"/>
                <w:b/>
                <w:bCs/>
                <w:color w:val="000000"/>
                <w:sz w:val="22"/>
                <w:szCs w:val="22"/>
              </w:rPr>
              <w:t>31-Mar-2</w:t>
            </w:r>
            <w:r w:rsidR="00124A82">
              <w:rPr>
                <w:rFonts w:ascii="Arial" w:hAnsi="Arial" w:cs="Arial"/>
                <w:b/>
                <w:bCs/>
                <w:color w:val="000000"/>
                <w:sz w:val="22"/>
                <w:szCs w:val="22"/>
              </w:rPr>
              <w:t>4</w:t>
            </w:r>
          </w:p>
        </w:tc>
        <w:tc>
          <w:tcPr>
            <w:tcW w:w="1283" w:type="dxa"/>
            <w:tcBorders>
              <w:top w:val="single" w:sz="8" w:space="0" w:color="auto"/>
              <w:left w:val="nil"/>
              <w:bottom w:val="nil"/>
              <w:right w:val="single" w:sz="8" w:space="0" w:color="auto"/>
            </w:tcBorders>
            <w:shd w:val="clear" w:color="000000" w:fill="CCCCCC"/>
            <w:vAlign w:val="center"/>
            <w:hideMark/>
          </w:tcPr>
          <w:p w14:paraId="640C5038" w14:textId="7A8CFDA5" w:rsidR="00CB6457" w:rsidRPr="00964E10" w:rsidRDefault="00CB6457" w:rsidP="00CB6457">
            <w:pPr>
              <w:jc w:val="right"/>
              <w:rPr>
                <w:rFonts w:ascii="Arial" w:hAnsi="Arial" w:cs="Arial"/>
                <w:b/>
                <w:bCs/>
                <w:color w:val="000000"/>
                <w:sz w:val="22"/>
                <w:szCs w:val="22"/>
              </w:rPr>
            </w:pPr>
            <w:r w:rsidRPr="00964E10">
              <w:rPr>
                <w:rFonts w:ascii="Arial" w:hAnsi="Arial" w:cs="Arial"/>
                <w:b/>
                <w:bCs/>
                <w:color w:val="000000"/>
                <w:sz w:val="22"/>
                <w:szCs w:val="22"/>
              </w:rPr>
              <w:t>31-Mar-2</w:t>
            </w:r>
            <w:r w:rsidR="00124A82">
              <w:rPr>
                <w:rFonts w:ascii="Arial" w:hAnsi="Arial" w:cs="Arial"/>
                <w:b/>
                <w:bCs/>
                <w:color w:val="000000"/>
                <w:sz w:val="22"/>
                <w:szCs w:val="22"/>
              </w:rPr>
              <w:t>5</w:t>
            </w:r>
          </w:p>
        </w:tc>
      </w:tr>
      <w:tr w:rsidR="0054643C" w:rsidRPr="00964E10" w14:paraId="6201E3EE" w14:textId="77777777" w:rsidTr="00022A89">
        <w:trPr>
          <w:trHeight w:val="262"/>
        </w:trPr>
        <w:tc>
          <w:tcPr>
            <w:tcW w:w="3451" w:type="dxa"/>
            <w:tcBorders>
              <w:top w:val="nil"/>
              <w:left w:val="single" w:sz="8" w:space="0" w:color="auto"/>
              <w:bottom w:val="nil"/>
              <w:right w:val="nil"/>
            </w:tcBorders>
            <w:shd w:val="clear" w:color="000000" w:fill="CCCCCC"/>
            <w:vAlign w:val="center"/>
            <w:hideMark/>
          </w:tcPr>
          <w:p w14:paraId="6F274252" w14:textId="77777777" w:rsidR="0054643C" w:rsidRPr="00964E10" w:rsidRDefault="0054643C" w:rsidP="0054643C">
            <w:pPr>
              <w:jc w:val="both"/>
              <w:rPr>
                <w:rFonts w:ascii="Arial" w:hAnsi="Arial" w:cs="Arial"/>
                <w:color w:val="000000"/>
                <w:sz w:val="22"/>
                <w:szCs w:val="22"/>
              </w:rPr>
            </w:pPr>
            <w:r w:rsidRPr="00964E10">
              <w:rPr>
                <w:rFonts w:ascii="Arial" w:hAnsi="Arial" w:cs="Arial"/>
                <w:color w:val="000000"/>
                <w:sz w:val="22"/>
                <w:szCs w:val="22"/>
              </w:rPr>
              <w:t> </w:t>
            </w:r>
          </w:p>
        </w:tc>
        <w:tc>
          <w:tcPr>
            <w:tcW w:w="1592" w:type="dxa"/>
            <w:tcBorders>
              <w:top w:val="nil"/>
              <w:left w:val="nil"/>
              <w:bottom w:val="nil"/>
              <w:right w:val="nil"/>
            </w:tcBorders>
            <w:vAlign w:val="center"/>
            <w:hideMark/>
          </w:tcPr>
          <w:p w14:paraId="50282AE4" w14:textId="77777777" w:rsidR="0054643C" w:rsidRPr="00964E10" w:rsidRDefault="0054643C" w:rsidP="0054643C">
            <w:pPr>
              <w:jc w:val="right"/>
              <w:rPr>
                <w:rFonts w:ascii="Arial" w:hAnsi="Arial" w:cs="Arial"/>
                <w:b/>
                <w:bCs/>
                <w:color w:val="000000"/>
                <w:sz w:val="22"/>
                <w:szCs w:val="22"/>
              </w:rPr>
            </w:pPr>
            <w:r w:rsidRPr="00964E10">
              <w:rPr>
                <w:rFonts w:ascii="Arial" w:hAnsi="Arial" w:cs="Arial"/>
                <w:b/>
                <w:bCs/>
                <w:color w:val="000000"/>
                <w:sz w:val="22"/>
                <w:szCs w:val="22"/>
              </w:rPr>
              <w:t>£000</w:t>
            </w:r>
          </w:p>
        </w:tc>
        <w:tc>
          <w:tcPr>
            <w:tcW w:w="1283" w:type="dxa"/>
            <w:tcBorders>
              <w:top w:val="nil"/>
              <w:left w:val="nil"/>
              <w:bottom w:val="nil"/>
              <w:right w:val="single" w:sz="8" w:space="0" w:color="auto"/>
            </w:tcBorders>
            <w:shd w:val="clear" w:color="000000" w:fill="CCCCCC"/>
            <w:vAlign w:val="center"/>
            <w:hideMark/>
          </w:tcPr>
          <w:p w14:paraId="30024445" w14:textId="77777777" w:rsidR="0054643C" w:rsidRPr="00964E10" w:rsidRDefault="0054643C" w:rsidP="0054643C">
            <w:pPr>
              <w:jc w:val="right"/>
              <w:rPr>
                <w:rFonts w:ascii="Arial" w:hAnsi="Arial" w:cs="Arial"/>
                <w:b/>
                <w:bCs/>
                <w:color w:val="000000"/>
                <w:sz w:val="22"/>
                <w:szCs w:val="22"/>
              </w:rPr>
            </w:pPr>
            <w:r w:rsidRPr="00964E10">
              <w:rPr>
                <w:rFonts w:ascii="Arial" w:hAnsi="Arial" w:cs="Arial"/>
                <w:b/>
                <w:bCs/>
                <w:color w:val="000000"/>
                <w:sz w:val="22"/>
                <w:szCs w:val="22"/>
              </w:rPr>
              <w:t>£000</w:t>
            </w:r>
          </w:p>
        </w:tc>
      </w:tr>
      <w:tr w:rsidR="00D850B2" w:rsidRPr="00964E10" w14:paraId="61CE984E" w14:textId="77777777" w:rsidTr="00B27992">
        <w:trPr>
          <w:trHeight w:val="262"/>
        </w:trPr>
        <w:tc>
          <w:tcPr>
            <w:tcW w:w="3451" w:type="dxa"/>
            <w:tcBorders>
              <w:top w:val="nil"/>
              <w:left w:val="single" w:sz="8" w:space="0" w:color="auto"/>
              <w:bottom w:val="nil"/>
              <w:right w:val="nil"/>
            </w:tcBorders>
            <w:shd w:val="clear" w:color="000000" w:fill="CCCCCC"/>
            <w:vAlign w:val="center"/>
            <w:hideMark/>
          </w:tcPr>
          <w:p w14:paraId="7D920BA2" w14:textId="77777777" w:rsidR="00D850B2" w:rsidRPr="00964E10" w:rsidRDefault="00D850B2" w:rsidP="00D850B2">
            <w:pPr>
              <w:jc w:val="both"/>
              <w:rPr>
                <w:rFonts w:ascii="Arial" w:hAnsi="Arial" w:cs="Arial"/>
                <w:color w:val="000000"/>
                <w:sz w:val="22"/>
                <w:szCs w:val="22"/>
              </w:rPr>
            </w:pPr>
            <w:r w:rsidRPr="00964E10">
              <w:rPr>
                <w:rFonts w:ascii="Arial" w:hAnsi="Arial" w:cs="Arial"/>
                <w:color w:val="000000"/>
                <w:sz w:val="22"/>
                <w:szCs w:val="22"/>
              </w:rPr>
              <w:t>Neither past due nor impaired</w:t>
            </w:r>
          </w:p>
        </w:tc>
        <w:tc>
          <w:tcPr>
            <w:tcW w:w="1592" w:type="dxa"/>
            <w:tcBorders>
              <w:top w:val="nil"/>
              <w:left w:val="nil"/>
              <w:bottom w:val="nil"/>
              <w:right w:val="single" w:sz="8" w:space="0" w:color="auto"/>
            </w:tcBorders>
            <w:vAlign w:val="center"/>
            <w:hideMark/>
          </w:tcPr>
          <w:p w14:paraId="66D52E73" w14:textId="2173F50A" w:rsidR="00D850B2" w:rsidRPr="00964E10" w:rsidRDefault="00D850B2" w:rsidP="00D850B2">
            <w:pPr>
              <w:jc w:val="right"/>
              <w:rPr>
                <w:rFonts w:ascii="Arial" w:hAnsi="Arial" w:cs="Arial"/>
                <w:color w:val="000000"/>
                <w:sz w:val="22"/>
                <w:szCs w:val="22"/>
              </w:rPr>
            </w:pPr>
            <w:r w:rsidRPr="00964E10">
              <w:rPr>
                <w:rFonts w:ascii="Arial" w:hAnsi="Arial" w:cs="Arial"/>
                <w:color w:val="000000"/>
                <w:sz w:val="22"/>
                <w:szCs w:val="22"/>
              </w:rPr>
              <w:t>1</w:t>
            </w:r>
            <w:r>
              <w:rPr>
                <w:rFonts w:ascii="Arial" w:hAnsi="Arial" w:cs="Arial"/>
                <w:color w:val="000000"/>
                <w:sz w:val="22"/>
                <w:szCs w:val="22"/>
              </w:rPr>
              <w:t>4</w:t>
            </w:r>
            <w:r w:rsidRPr="00964E10">
              <w:rPr>
                <w:rFonts w:ascii="Arial" w:hAnsi="Arial" w:cs="Arial"/>
                <w:color w:val="000000"/>
                <w:sz w:val="22"/>
                <w:szCs w:val="22"/>
              </w:rPr>
              <w:t>,</w:t>
            </w:r>
            <w:r w:rsidR="00D04DAF">
              <w:rPr>
                <w:rFonts w:ascii="Arial" w:hAnsi="Arial" w:cs="Arial"/>
                <w:color w:val="000000"/>
                <w:sz w:val="22"/>
                <w:szCs w:val="22"/>
              </w:rPr>
              <w:t>703</w:t>
            </w:r>
          </w:p>
        </w:tc>
        <w:tc>
          <w:tcPr>
            <w:tcW w:w="1283" w:type="dxa"/>
            <w:tcBorders>
              <w:top w:val="nil"/>
              <w:left w:val="nil"/>
              <w:bottom w:val="nil"/>
              <w:right w:val="single" w:sz="8" w:space="0" w:color="auto"/>
            </w:tcBorders>
            <w:shd w:val="clear" w:color="000000" w:fill="D0CECE"/>
            <w:vAlign w:val="center"/>
          </w:tcPr>
          <w:p w14:paraId="1B63E17F" w14:textId="788C4C02" w:rsidR="00D850B2" w:rsidRPr="00964E10" w:rsidRDefault="00D850B2" w:rsidP="00D850B2">
            <w:pPr>
              <w:jc w:val="right"/>
              <w:rPr>
                <w:rFonts w:ascii="Arial" w:hAnsi="Arial" w:cs="Arial"/>
                <w:color w:val="000000"/>
                <w:sz w:val="22"/>
                <w:szCs w:val="22"/>
              </w:rPr>
            </w:pPr>
            <w:r>
              <w:rPr>
                <w:rFonts w:ascii="Arial" w:hAnsi="Arial" w:cs="Arial"/>
                <w:b/>
                <w:bCs/>
                <w:color w:val="000000"/>
                <w:sz w:val="22"/>
                <w:szCs w:val="22"/>
              </w:rPr>
              <w:t>7,</w:t>
            </w:r>
            <w:r w:rsidR="00423050">
              <w:rPr>
                <w:rFonts w:ascii="Arial" w:hAnsi="Arial" w:cs="Arial"/>
                <w:b/>
                <w:bCs/>
                <w:color w:val="000000"/>
                <w:sz w:val="22"/>
                <w:szCs w:val="22"/>
              </w:rPr>
              <w:t>576</w:t>
            </w:r>
          </w:p>
        </w:tc>
      </w:tr>
      <w:tr w:rsidR="00D850B2" w:rsidRPr="00964E10" w14:paraId="1A4FCEF6" w14:textId="77777777" w:rsidTr="00B27992">
        <w:trPr>
          <w:trHeight w:val="262"/>
        </w:trPr>
        <w:tc>
          <w:tcPr>
            <w:tcW w:w="3451" w:type="dxa"/>
            <w:tcBorders>
              <w:top w:val="nil"/>
              <w:left w:val="single" w:sz="8" w:space="0" w:color="auto"/>
              <w:bottom w:val="nil"/>
              <w:right w:val="nil"/>
            </w:tcBorders>
            <w:shd w:val="clear" w:color="000000" w:fill="CCCCCC"/>
            <w:vAlign w:val="center"/>
            <w:hideMark/>
          </w:tcPr>
          <w:p w14:paraId="4DB5DA00" w14:textId="77777777" w:rsidR="00D850B2" w:rsidRPr="00964E10" w:rsidRDefault="00D850B2" w:rsidP="00D850B2">
            <w:pPr>
              <w:jc w:val="both"/>
              <w:rPr>
                <w:rFonts w:ascii="Arial" w:hAnsi="Arial" w:cs="Arial"/>
                <w:color w:val="000000"/>
                <w:sz w:val="22"/>
                <w:szCs w:val="22"/>
              </w:rPr>
            </w:pPr>
            <w:r w:rsidRPr="00964E10">
              <w:rPr>
                <w:rFonts w:ascii="Arial" w:hAnsi="Arial" w:cs="Arial"/>
                <w:color w:val="000000"/>
                <w:sz w:val="22"/>
                <w:szCs w:val="22"/>
              </w:rPr>
              <w:t>Past due &lt; 3 months</w:t>
            </w:r>
          </w:p>
        </w:tc>
        <w:tc>
          <w:tcPr>
            <w:tcW w:w="1592" w:type="dxa"/>
            <w:tcBorders>
              <w:top w:val="nil"/>
              <w:left w:val="nil"/>
              <w:bottom w:val="nil"/>
              <w:right w:val="single" w:sz="8" w:space="0" w:color="auto"/>
            </w:tcBorders>
            <w:vAlign w:val="center"/>
            <w:hideMark/>
          </w:tcPr>
          <w:p w14:paraId="547920E5" w14:textId="4242A1EF" w:rsidR="00D850B2" w:rsidRPr="00964E10" w:rsidRDefault="00D850B2" w:rsidP="00D850B2">
            <w:pPr>
              <w:jc w:val="right"/>
              <w:rPr>
                <w:rFonts w:ascii="Arial" w:hAnsi="Arial" w:cs="Arial"/>
                <w:color w:val="000000"/>
                <w:sz w:val="22"/>
                <w:szCs w:val="22"/>
              </w:rPr>
            </w:pPr>
            <w:r>
              <w:rPr>
                <w:rFonts w:ascii="Arial" w:hAnsi="Arial" w:cs="Arial"/>
                <w:color w:val="000000"/>
                <w:sz w:val="22"/>
                <w:szCs w:val="22"/>
              </w:rPr>
              <w:t>83</w:t>
            </w:r>
            <w:r w:rsidRPr="00964E10">
              <w:rPr>
                <w:rFonts w:ascii="Arial" w:hAnsi="Arial" w:cs="Arial"/>
                <w:color w:val="000000"/>
                <w:sz w:val="22"/>
                <w:szCs w:val="22"/>
              </w:rPr>
              <w:t>0</w:t>
            </w:r>
          </w:p>
        </w:tc>
        <w:tc>
          <w:tcPr>
            <w:tcW w:w="1283" w:type="dxa"/>
            <w:tcBorders>
              <w:top w:val="nil"/>
              <w:left w:val="nil"/>
              <w:bottom w:val="nil"/>
              <w:right w:val="single" w:sz="8" w:space="0" w:color="auto"/>
            </w:tcBorders>
            <w:shd w:val="clear" w:color="000000" w:fill="D0CECE"/>
            <w:vAlign w:val="center"/>
          </w:tcPr>
          <w:p w14:paraId="45EFC470" w14:textId="1653A235" w:rsidR="00D850B2" w:rsidRPr="00964E10" w:rsidRDefault="00D850B2" w:rsidP="00D850B2">
            <w:pPr>
              <w:jc w:val="right"/>
              <w:rPr>
                <w:rFonts w:ascii="Arial" w:hAnsi="Arial" w:cs="Arial"/>
                <w:color w:val="000000"/>
                <w:sz w:val="22"/>
                <w:szCs w:val="22"/>
              </w:rPr>
            </w:pPr>
            <w:r>
              <w:rPr>
                <w:rFonts w:ascii="Arial" w:hAnsi="Arial" w:cs="Arial"/>
                <w:b/>
                <w:bCs/>
                <w:color w:val="000000"/>
                <w:sz w:val="22"/>
                <w:szCs w:val="22"/>
              </w:rPr>
              <w:t>244</w:t>
            </w:r>
          </w:p>
        </w:tc>
      </w:tr>
      <w:tr w:rsidR="00D850B2" w:rsidRPr="00964E10" w14:paraId="59BDE2A5" w14:textId="77777777" w:rsidTr="00B27992">
        <w:trPr>
          <w:trHeight w:val="262"/>
        </w:trPr>
        <w:tc>
          <w:tcPr>
            <w:tcW w:w="3451" w:type="dxa"/>
            <w:tcBorders>
              <w:top w:val="nil"/>
              <w:left w:val="single" w:sz="8" w:space="0" w:color="auto"/>
              <w:bottom w:val="nil"/>
              <w:right w:val="nil"/>
            </w:tcBorders>
            <w:shd w:val="clear" w:color="000000" w:fill="CCCCCC"/>
            <w:vAlign w:val="center"/>
            <w:hideMark/>
          </w:tcPr>
          <w:p w14:paraId="02C377C8" w14:textId="77777777" w:rsidR="00D850B2" w:rsidRPr="00964E10" w:rsidRDefault="00D850B2" w:rsidP="00D850B2">
            <w:pPr>
              <w:jc w:val="both"/>
              <w:rPr>
                <w:rFonts w:ascii="Arial" w:hAnsi="Arial" w:cs="Arial"/>
                <w:color w:val="000000"/>
                <w:sz w:val="22"/>
                <w:szCs w:val="22"/>
              </w:rPr>
            </w:pPr>
            <w:r w:rsidRPr="00964E10">
              <w:rPr>
                <w:rFonts w:ascii="Arial" w:hAnsi="Arial" w:cs="Arial"/>
                <w:color w:val="000000"/>
                <w:sz w:val="22"/>
                <w:szCs w:val="22"/>
              </w:rPr>
              <w:t>Past due 3 – 6 months</w:t>
            </w:r>
          </w:p>
        </w:tc>
        <w:tc>
          <w:tcPr>
            <w:tcW w:w="1592" w:type="dxa"/>
            <w:tcBorders>
              <w:top w:val="nil"/>
              <w:left w:val="nil"/>
              <w:bottom w:val="nil"/>
              <w:right w:val="single" w:sz="8" w:space="0" w:color="auto"/>
            </w:tcBorders>
            <w:vAlign w:val="center"/>
            <w:hideMark/>
          </w:tcPr>
          <w:p w14:paraId="1FD6E0EA" w14:textId="33B35C72" w:rsidR="00D850B2" w:rsidRPr="00964E10" w:rsidRDefault="00D850B2" w:rsidP="00D850B2">
            <w:pPr>
              <w:jc w:val="right"/>
              <w:rPr>
                <w:rFonts w:ascii="Arial" w:hAnsi="Arial" w:cs="Arial"/>
                <w:color w:val="000000"/>
                <w:sz w:val="22"/>
                <w:szCs w:val="22"/>
              </w:rPr>
            </w:pPr>
            <w:r>
              <w:rPr>
                <w:rFonts w:ascii="Arial" w:hAnsi="Arial" w:cs="Arial"/>
                <w:color w:val="000000"/>
                <w:sz w:val="22"/>
                <w:szCs w:val="22"/>
              </w:rPr>
              <w:t>3</w:t>
            </w:r>
            <w:r w:rsidRPr="00964E10">
              <w:rPr>
                <w:rFonts w:ascii="Arial" w:hAnsi="Arial" w:cs="Arial"/>
                <w:color w:val="000000"/>
                <w:sz w:val="22"/>
                <w:szCs w:val="22"/>
              </w:rPr>
              <w:t>2</w:t>
            </w:r>
            <w:r>
              <w:rPr>
                <w:rFonts w:ascii="Arial" w:hAnsi="Arial" w:cs="Arial"/>
                <w:color w:val="000000"/>
                <w:sz w:val="22"/>
                <w:szCs w:val="22"/>
              </w:rPr>
              <w:t>0</w:t>
            </w:r>
          </w:p>
        </w:tc>
        <w:tc>
          <w:tcPr>
            <w:tcW w:w="1283" w:type="dxa"/>
            <w:tcBorders>
              <w:top w:val="nil"/>
              <w:left w:val="nil"/>
              <w:bottom w:val="nil"/>
              <w:right w:val="single" w:sz="8" w:space="0" w:color="auto"/>
            </w:tcBorders>
            <w:shd w:val="clear" w:color="000000" w:fill="D0CECE"/>
            <w:vAlign w:val="center"/>
          </w:tcPr>
          <w:p w14:paraId="117F3FC3" w14:textId="2598255E" w:rsidR="00D850B2" w:rsidRPr="00964E10" w:rsidRDefault="00D850B2" w:rsidP="00D850B2">
            <w:pPr>
              <w:jc w:val="right"/>
              <w:rPr>
                <w:rFonts w:ascii="Arial" w:hAnsi="Arial" w:cs="Arial"/>
                <w:color w:val="000000"/>
                <w:sz w:val="22"/>
                <w:szCs w:val="22"/>
              </w:rPr>
            </w:pPr>
            <w:r>
              <w:rPr>
                <w:rFonts w:ascii="Arial" w:hAnsi="Arial" w:cs="Arial"/>
                <w:b/>
                <w:bCs/>
                <w:color w:val="000000"/>
                <w:sz w:val="22"/>
                <w:szCs w:val="22"/>
              </w:rPr>
              <w:t>99</w:t>
            </w:r>
          </w:p>
        </w:tc>
      </w:tr>
      <w:tr w:rsidR="00D850B2" w:rsidRPr="00964E10" w14:paraId="1B6D3408" w14:textId="77777777" w:rsidTr="00B27992">
        <w:trPr>
          <w:trHeight w:val="262"/>
        </w:trPr>
        <w:tc>
          <w:tcPr>
            <w:tcW w:w="3451" w:type="dxa"/>
            <w:tcBorders>
              <w:top w:val="nil"/>
              <w:left w:val="single" w:sz="8" w:space="0" w:color="auto"/>
              <w:bottom w:val="nil"/>
              <w:right w:val="nil"/>
            </w:tcBorders>
            <w:shd w:val="clear" w:color="000000" w:fill="CCCCCC"/>
            <w:vAlign w:val="center"/>
            <w:hideMark/>
          </w:tcPr>
          <w:p w14:paraId="64ACC6BB" w14:textId="77777777" w:rsidR="00D850B2" w:rsidRPr="00964E10" w:rsidRDefault="00D850B2" w:rsidP="00D850B2">
            <w:pPr>
              <w:jc w:val="both"/>
              <w:rPr>
                <w:rFonts w:ascii="Arial" w:hAnsi="Arial" w:cs="Arial"/>
                <w:color w:val="000000"/>
                <w:sz w:val="22"/>
                <w:szCs w:val="22"/>
              </w:rPr>
            </w:pPr>
            <w:r w:rsidRPr="00964E10">
              <w:rPr>
                <w:rFonts w:ascii="Arial" w:hAnsi="Arial" w:cs="Arial"/>
                <w:color w:val="000000"/>
                <w:sz w:val="22"/>
                <w:szCs w:val="22"/>
              </w:rPr>
              <w:t>Past due 6 – 12 months</w:t>
            </w:r>
          </w:p>
        </w:tc>
        <w:tc>
          <w:tcPr>
            <w:tcW w:w="1592" w:type="dxa"/>
            <w:tcBorders>
              <w:top w:val="nil"/>
              <w:left w:val="nil"/>
              <w:bottom w:val="nil"/>
              <w:right w:val="single" w:sz="8" w:space="0" w:color="auto"/>
            </w:tcBorders>
            <w:vAlign w:val="center"/>
            <w:hideMark/>
          </w:tcPr>
          <w:p w14:paraId="5350D843" w14:textId="1AB0BE6F" w:rsidR="00D850B2" w:rsidRPr="00964E10" w:rsidRDefault="00D850B2" w:rsidP="00D850B2">
            <w:pPr>
              <w:jc w:val="right"/>
              <w:rPr>
                <w:rFonts w:ascii="Arial" w:hAnsi="Arial" w:cs="Arial"/>
                <w:color w:val="000000"/>
                <w:sz w:val="22"/>
                <w:szCs w:val="22"/>
              </w:rPr>
            </w:pPr>
            <w:r>
              <w:rPr>
                <w:rFonts w:ascii="Arial" w:hAnsi="Arial" w:cs="Arial"/>
                <w:color w:val="000000"/>
                <w:sz w:val="22"/>
                <w:szCs w:val="22"/>
              </w:rPr>
              <w:t>78</w:t>
            </w:r>
          </w:p>
        </w:tc>
        <w:tc>
          <w:tcPr>
            <w:tcW w:w="1283" w:type="dxa"/>
            <w:tcBorders>
              <w:top w:val="nil"/>
              <w:left w:val="nil"/>
              <w:bottom w:val="nil"/>
              <w:right w:val="single" w:sz="8" w:space="0" w:color="auto"/>
            </w:tcBorders>
            <w:shd w:val="clear" w:color="000000" w:fill="D0CECE"/>
            <w:vAlign w:val="center"/>
          </w:tcPr>
          <w:p w14:paraId="5F85647F" w14:textId="62FA0116" w:rsidR="00D850B2" w:rsidRPr="00964E10" w:rsidRDefault="00D850B2" w:rsidP="00D850B2">
            <w:pPr>
              <w:jc w:val="right"/>
              <w:rPr>
                <w:rFonts w:ascii="Arial" w:hAnsi="Arial" w:cs="Arial"/>
                <w:color w:val="000000"/>
                <w:sz w:val="22"/>
                <w:szCs w:val="22"/>
              </w:rPr>
            </w:pPr>
            <w:r>
              <w:rPr>
                <w:rFonts w:ascii="Arial" w:hAnsi="Arial" w:cs="Arial"/>
                <w:b/>
                <w:bCs/>
                <w:color w:val="000000"/>
                <w:sz w:val="22"/>
                <w:szCs w:val="22"/>
              </w:rPr>
              <w:t>183</w:t>
            </w:r>
          </w:p>
        </w:tc>
      </w:tr>
      <w:tr w:rsidR="00D850B2" w:rsidRPr="00964E10" w14:paraId="751F165A" w14:textId="77777777" w:rsidTr="00B27992">
        <w:trPr>
          <w:trHeight w:val="262"/>
        </w:trPr>
        <w:tc>
          <w:tcPr>
            <w:tcW w:w="3451" w:type="dxa"/>
            <w:tcBorders>
              <w:top w:val="nil"/>
              <w:left w:val="single" w:sz="8" w:space="0" w:color="auto"/>
              <w:bottom w:val="nil"/>
              <w:right w:val="nil"/>
            </w:tcBorders>
            <w:shd w:val="clear" w:color="000000" w:fill="CCCCCC"/>
            <w:vAlign w:val="center"/>
            <w:hideMark/>
          </w:tcPr>
          <w:p w14:paraId="4771CCDB" w14:textId="77777777" w:rsidR="00D850B2" w:rsidRPr="00964E10" w:rsidRDefault="00D850B2" w:rsidP="00D850B2">
            <w:pPr>
              <w:jc w:val="both"/>
              <w:rPr>
                <w:rFonts w:ascii="Arial" w:hAnsi="Arial" w:cs="Arial"/>
                <w:color w:val="000000"/>
                <w:sz w:val="22"/>
                <w:szCs w:val="22"/>
              </w:rPr>
            </w:pPr>
            <w:r w:rsidRPr="00964E10">
              <w:rPr>
                <w:rFonts w:ascii="Arial" w:hAnsi="Arial" w:cs="Arial"/>
                <w:color w:val="000000"/>
                <w:sz w:val="22"/>
                <w:szCs w:val="22"/>
              </w:rPr>
              <w:t>Past due 12+ months</w:t>
            </w:r>
          </w:p>
        </w:tc>
        <w:tc>
          <w:tcPr>
            <w:tcW w:w="1592" w:type="dxa"/>
            <w:tcBorders>
              <w:top w:val="nil"/>
              <w:left w:val="nil"/>
              <w:bottom w:val="nil"/>
              <w:right w:val="single" w:sz="8" w:space="0" w:color="auto"/>
            </w:tcBorders>
            <w:vAlign w:val="center"/>
            <w:hideMark/>
          </w:tcPr>
          <w:p w14:paraId="73CCBF01" w14:textId="5504160E" w:rsidR="00D850B2" w:rsidRPr="00964E10" w:rsidRDefault="00D04DAF" w:rsidP="00D850B2">
            <w:pPr>
              <w:jc w:val="right"/>
              <w:rPr>
                <w:rFonts w:ascii="Arial" w:hAnsi="Arial" w:cs="Arial"/>
                <w:color w:val="000000"/>
                <w:sz w:val="22"/>
                <w:szCs w:val="22"/>
              </w:rPr>
            </w:pPr>
            <w:r>
              <w:rPr>
                <w:rFonts w:ascii="Arial" w:hAnsi="Arial" w:cs="Arial"/>
                <w:color w:val="000000"/>
                <w:sz w:val="22"/>
                <w:szCs w:val="22"/>
              </w:rPr>
              <w:t>171</w:t>
            </w:r>
          </w:p>
        </w:tc>
        <w:tc>
          <w:tcPr>
            <w:tcW w:w="1283" w:type="dxa"/>
            <w:tcBorders>
              <w:top w:val="nil"/>
              <w:left w:val="nil"/>
              <w:bottom w:val="nil"/>
              <w:right w:val="single" w:sz="8" w:space="0" w:color="auto"/>
            </w:tcBorders>
            <w:shd w:val="clear" w:color="000000" w:fill="D0CECE"/>
            <w:vAlign w:val="center"/>
          </w:tcPr>
          <w:p w14:paraId="10C87437" w14:textId="5E5EEDBD" w:rsidR="00D850B2" w:rsidRPr="00964E10" w:rsidRDefault="00D850B2" w:rsidP="00D850B2">
            <w:pPr>
              <w:jc w:val="right"/>
              <w:rPr>
                <w:rFonts w:ascii="Arial" w:hAnsi="Arial" w:cs="Arial"/>
                <w:color w:val="000000"/>
                <w:sz w:val="22"/>
                <w:szCs w:val="22"/>
              </w:rPr>
            </w:pPr>
            <w:r>
              <w:rPr>
                <w:rFonts w:ascii="Arial" w:hAnsi="Arial" w:cs="Arial"/>
                <w:b/>
                <w:bCs/>
                <w:color w:val="000000"/>
                <w:sz w:val="22"/>
                <w:szCs w:val="22"/>
              </w:rPr>
              <w:t>188</w:t>
            </w:r>
          </w:p>
        </w:tc>
      </w:tr>
      <w:tr w:rsidR="00D850B2" w:rsidRPr="00964E10" w14:paraId="4D8DD26D" w14:textId="77777777" w:rsidTr="00B27992">
        <w:trPr>
          <w:trHeight w:val="274"/>
        </w:trPr>
        <w:tc>
          <w:tcPr>
            <w:tcW w:w="3451" w:type="dxa"/>
            <w:tcBorders>
              <w:top w:val="nil"/>
              <w:left w:val="single" w:sz="8" w:space="0" w:color="auto"/>
              <w:bottom w:val="nil"/>
              <w:right w:val="nil"/>
            </w:tcBorders>
            <w:shd w:val="clear" w:color="000000" w:fill="CCCCCC"/>
            <w:vAlign w:val="center"/>
            <w:hideMark/>
          </w:tcPr>
          <w:p w14:paraId="44A979A0" w14:textId="77777777" w:rsidR="00D850B2" w:rsidRPr="00964E10" w:rsidRDefault="00D850B2" w:rsidP="00D850B2">
            <w:pPr>
              <w:jc w:val="both"/>
              <w:rPr>
                <w:rFonts w:ascii="Arial" w:hAnsi="Arial" w:cs="Arial"/>
                <w:color w:val="000000"/>
                <w:sz w:val="22"/>
                <w:szCs w:val="22"/>
              </w:rPr>
            </w:pPr>
            <w:r w:rsidRPr="00964E10">
              <w:rPr>
                <w:rFonts w:ascii="Arial" w:hAnsi="Arial" w:cs="Arial"/>
                <w:color w:val="000000"/>
                <w:sz w:val="22"/>
                <w:szCs w:val="22"/>
              </w:rPr>
              <w:t>Individually impaired</w:t>
            </w:r>
          </w:p>
        </w:tc>
        <w:tc>
          <w:tcPr>
            <w:tcW w:w="1592" w:type="dxa"/>
            <w:tcBorders>
              <w:top w:val="nil"/>
              <w:left w:val="nil"/>
              <w:bottom w:val="nil"/>
              <w:right w:val="single" w:sz="8" w:space="0" w:color="auto"/>
            </w:tcBorders>
            <w:vAlign w:val="center"/>
            <w:hideMark/>
          </w:tcPr>
          <w:p w14:paraId="34ABBD93" w14:textId="1B38C22B" w:rsidR="00D850B2" w:rsidRPr="00964E10" w:rsidRDefault="00B14C8B" w:rsidP="00D850B2">
            <w:pPr>
              <w:jc w:val="right"/>
              <w:rPr>
                <w:rFonts w:ascii="Arial" w:hAnsi="Arial" w:cs="Arial"/>
                <w:color w:val="000000"/>
                <w:sz w:val="22"/>
                <w:szCs w:val="22"/>
              </w:rPr>
            </w:pPr>
            <w:r>
              <w:rPr>
                <w:rFonts w:ascii="Arial" w:hAnsi="Arial" w:cs="Arial"/>
                <w:color w:val="000000"/>
                <w:sz w:val="22"/>
                <w:szCs w:val="22"/>
              </w:rPr>
              <w:t>(</w:t>
            </w:r>
            <w:r w:rsidR="00D850B2" w:rsidRPr="00964E10">
              <w:rPr>
                <w:rFonts w:ascii="Arial" w:hAnsi="Arial" w:cs="Arial"/>
                <w:color w:val="000000"/>
                <w:sz w:val="22"/>
                <w:szCs w:val="22"/>
              </w:rPr>
              <w:t>7</w:t>
            </w:r>
            <w:r w:rsidR="00D850B2">
              <w:rPr>
                <w:rFonts w:ascii="Arial" w:hAnsi="Arial" w:cs="Arial"/>
                <w:color w:val="000000"/>
                <w:sz w:val="22"/>
                <w:szCs w:val="22"/>
              </w:rPr>
              <w:t>5</w:t>
            </w:r>
            <w:r>
              <w:rPr>
                <w:rFonts w:ascii="Arial" w:hAnsi="Arial" w:cs="Arial"/>
                <w:color w:val="000000"/>
                <w:sz w:val="22"/>
                <w:szCs w:val="22"/>
              </w:rPr>
              <w:t>)</w:t>
            </w:r>
          </w:p>
        </w:tc>
        <w:tc>
          <w:tcPr>
            <w:tcW w:w="1283" w:type="dxa"/>
            <w:tcBorders>
              <w:top w:val="nil"/>
              <w:left w:val="nil"/>
              <w:bottom w:val="nil"/>
              <w:right w:val="single" w:sz="8" w:space="0" w:color="auto"/>
            </w:tcBorders>
            <w:shd w:val="clear" w:color="000000" w:fill="D0CECE"/>
            <w:vAlign w:val="center"/>
          </w:tcPr>
          <w:p w14:paraId="3B94910F" w14:textId="12C75309" w:rsidR="00D850B2" w:rsidRPr="00964E10" w:rsidRDefault="00B14C8B" w:rsidP="00D850B2">
            <w:pPr>
              <w:jc w:val="right"/>
              <w:rPr>
                <w:rFonts w:ascii="Arial" w:hAnsi="Arial" w:cs="Arial"/>
                <w:color w:val="000000"/>
                <w:sz w:val="22"/>
                <w:szCs w:val="22"/>
              </w:rPr>
            </w:pPr>
            <w:r>
              <w:rPr>
                <w:rFonts w:ascii="Arial" w:hAnsi="Arial" w:cs="Arial"/>
                <w:b/>
                <w:bCs/>
                <w:color w:val="000000"/>
                <w:sz w:val="22"/>
                <w:szCs w:val="22"/>
              </w:rPr>
              <w:t>(</w:t>
            </w:r>
            <w:r w:rsidR="00423050">
              <w:rPr>
                <w:rFonts w:ascii="Arial" w:hAnsi="Arial" w:cs="Arial"/>
                <w:b/>
                <w:bCs/>
                <w:color w:val="000000"/>
                <w:sz w:val="22"/>
                <w:szCs w:val="22"/>
              </w:rPr>
              <w:t>90</w:t>
            </w:r>
            <w:r>
              <w:rPr>
                <w:rFonts w:ascii="Arial" w:hAnsi="Arial" w:cs="Arial"/>
                <w:b/>
                <w:bCs/>
                <w:color w:val="000000"/>
                <w:sz w:val="22"/>
                <w:szCs w:val="22"/>
              </w:rPr>
              <w:t>)</w:t>
            </w:r>
          </w:p>
        </w:tc>
      </w:tr>
      <w:tr w:rsidR="00D850B2" w:rsidRPr="00645FC2" w14:paraId="0BE340E5" w14:textId="77777777" w:rsidTr="00CC22D5">
        <w:trPr>
          <w:trHeight w:val="274"/>
        </w:trPr>
        <w:tc>
          <w:tcPr>
            <w:tcW w:w="3451" w:type="dxa"/>
            <w:tcBorders>
              <w:top w:val="nil"/>
              <w:left w:val="single" w:sz="8" w:space="0" w:color="auto"/>
              <w:bottom w:val="single" w:sz="8" w:space="0" w:color="auto"/>
              <w:right w:val="nil"/>
            </w:tcBorders>
            <w:shd w:val="clear" w:color="000000" w:fill="CCCCCC"/>
            <w:vAlign w:val="center"/>
            <w:hideMark/>
          </w:tcPr>
          <w:p w14:paraId="54CE819A" w14:textId="77777777" w:rsidR="00D850B2" w:rsidRPr="00964E10" w:rsidRDefault="00D850B2" w:rsidP="00D850B2">
            <w:pPr>
              <w:jc w:val="both"/>
              <w:rPr>
                <w:rFonts w:ascii="Arial" w:hAnsi="Arial" w:cs="Arial"/>
                <w:b/>
                <w:bCs/>
                <w:color w:val="000000"/>
                <w:sz w:val="22"/>
                <w:szCs w:val="22"/>
              </w:rPr>
            </w:pPr>
            <w:r w:rsidRPr="00964E10">
              <w:rPr>
                <w:rFonts w:ascii="Arial" w:hAnsi="Arial" w:cs="Arial"/>
                <w:b/>
                <w:bCs/>
                <w:color w:val="000000"/>
                <w:sz w:val="22"/>
                <w:szCs w:val="22"/>
              </w:rPr>
              <w:t>TOTAL RECEIVABLES</w:t>
            </w:r>
          </w:p>
        </w:tc>
        <w:tc>
          <w:tcPr>
            <w:tcW w:w="1592" w:type="dxa"/>
            <w:tcBorders>
              <w:top w:val="single" w:sz="8" w:space="0" w:color="auto"/>
              <w:left w:val="nil"/>
              <w:bottom w:val="single" w:sz="8" w:space="0" w:color="auto"/>
              <w:right w:val="single" w:sz="8" w:space="0" w:color="auto"/>
            </w:tcBorders>
            <w:vAlign w:val="center"/>
            <w:hideMark/>
          </w:tcPr>
          <w:p w14:paraId="114EE144" w14:textId="559C51DD" w:rsidR="00D850B2" w:rsidRPr="00964E10" w:rsidRDefault="00D850B2" w:rsidP="00D850B2">
            <w:pPr>
              <w:jc w:val="right"/>
              <w:rPr>
                <w:rFonts w:ascii="Arial" w:hAnsi="Arial" w:cs="Arial"/>
                <w:b/>
                <w:bCs/>
                <w:color w:val="000000"/>
                <w:sz w:val="22"/>
                <w:szCs w:val="22"/>
              </w:rPr>
            </w:pPr>
            <w:r w:rsidRPr="00964E10">
              <w:rPr>
                <w:rFonts w:ascii="Arial" w:hAnsi="Arial" w:cs="Arial"/>
                <w:b/>
                <w:bCs/>
                <w:color w:val="000000"/>
                <w:sz w:val="22"/>
                <w:szCs w:val="22"/>
              </w:rPr>
              <w:t>1</w:t>
            </w:r>
            <w:r>
              <w:rPr>
                <w:rFonts w:ascii="Arial" w:hAnsi="Arial" w:cs="Arial"/>
                <w:b/>
                <w:bCs/>
                <w:color w:val="000000"/>
                <w:sz w:val="22"/>
                <w:szCs w:val="22"/>
              </w:rPr>
              <w:t>6</w:t>
            </w:r>
            <w:r w:rsidRPr="00964E10">
              <w:rPr>
                <w:rFonts w:ascii="Arial" w:hAnsi="Arial" w:cs="Arial"/>
                <w:b/>
                <w:bCs/>
                <w:color w:val="000000"/>
                <w:sz w:val="22"/>
                <w:szCs w:val="22"/>
              </w:rPr>
              <w:t>,</w:t>
            </w:r>
            <w:r>
              <w:rPr>
                <w:rFonts w:ascii="Arial" w:hAnsi="Arial" w:cs="Arial"/>
                <w:b/>
                <w:bCs/>
                <w:color w:val="000000"/>
                <w:sz w:val="22"/>
                <w:szCs w:val="22"/>
              </w:rPr>
              <w:t>027</w:t>
            </w:r>
          </w:p>
        </w:tc>
        <w:tc>
          <w:tcPr>
            <w:tcW w:w="1283" w:type="dxa"/>
            <w:tcBorders>
              <w:top w:val="single" w:sz="8" w:space="0" w:color="auto"/>
              <w:left w:val="nil"/>
              <w:bottom w:val="single" w:sz="8" w:space="0" w:color="auto"/>
              <w:right w:val="single" w:sz="8" w:space="0" w:color="auto"/>
            </w:tcBorders>
            <w:shd w:val="clear" w:color="000000" w:fill="CCCCCC"/>
            <w:vAlign w:val="center"/>
            <w:hideMark/>
          </w:tcPr>
          <w:p w14:paraId="1A24ABE5" w14:textId="5E712649" w:rsidR="00D850B2" w:rsidRPr="00964E10" w:rsidRDefault="00D850B2" w:rsidP="00D850B2">
            <w:pPr>
              <w:jc w:val="right"/>
              <w:rPr>
                <w:rFonts w:ascii="Arial" w:hAnsi="Arial" w:cs="Arial"/>
                <w:b/>
                <w:bCs/>
                <w:color w:val="000000"/>
                <w:sz w:val="22"/>
                <w:szCs w:val="22"/>
              </w:rPr>
            </w:pPr>
            <w:r>
              <w:rPr>
                <w:rFonts w:ascii="Arial" w:hAnsi="Arial" w:cs="Arial"/>
                <w:b/>
                <w:bCs/>
                <w:color w:val="000000"/>
                <w:sz w:val="22"/>
                <w:szCs w:val="22"/>
              </w:rPr>
              <w:t>8,</w:t>
            </w:r>
            <w:r w:rsidR="00EE0E8B">
              <w:rPr>
                <w:rFonts w:ascii="Arial" w:hAnsi="Arial" w:cs="Arial"/>
                <w:b/>
                <w:bCs/>
                <w:color w:val="000000"/>
                <w:sz w:val="22"/>
                <w:szCs w:val="22"/>
              </w:rPr>
              <w:t>200</w:t>
            </w:r>
          </w:p>
        </w:tc>
      </w:tr>
    </w:tbl>
    <w:p w14:paraId="50B4C672" w14:textId="77777777" w:rsidR="0054643C" w:rsidRPr="00645FC2" w:rsidRDefault="0054643C" w:rsidP="003B74DA">
      <w:pPr>
        <w:ind w:left="426"/>
        <w:jc w:val="both"/>
        <w:rPr>
          <w:rFonts w:ascii="Arial" w:hAnsi="Arial" w:cs="Arial"/>
          <w:sz w:val="22"/>
          <w:szCs w:val="22"/>
          <w:highlight w:val="yellow"/>
        </w:rPr>
      </w:pPr>
    </w:p>
    <w:p w14:paraId="4441C691" w14:textId="77777777" w:rsidR="00791D75" w:rsidRDefault="00791D75">
      <w:pPr>
        <w:rPr>
          <w:rFonts w:ascii="Arial" w:hAnsi="Arial" w:cs="Arial"/>
          <w:sz w:val="22"/>
          <w:szCs w:val="22"/>
        </w:rPr>
      </w:pPr>
      <w:bookmarkStart w:id="25" w:name="_Hlk109660484"/>
      <w:bookmarkStart w:id="26" w:name="_Hlk75962763"/>
      <w:r>
        <w:rPr>
          <w:rFonts w:ascii="Arial" w:hAnsi="Arial" w:cs="Arial"/>
          <w:sz w:val="22"/>
          <w:szCs w:val="22"/>
        </w:rPr>
        <w:br w:type="page"/>
      </w:r>
    </w:p>
    <w:p w14:paraId="5EA7888A" w14:textId="40EC4C8E" w:rsidR="003B74DA" w:rsidRPr="00F85E6B" w:rsidRDefault="003B74DA" w:rsidP="0054643C">
      <w:pPr>
        <w:ind w:left="426"/>
        <w:jc w:val="both"/>
        <w:rPr>
          <w:rFonts w:ascii="Arial" w:hAnsi="Arial" w:cs="Arial"/>
          <w:sz w:val="22"/>
          <w:szCs w:val="22"/>
        </w:rPr>
      </w:pPr>
      <w:r w:rsidRPr="00F85E6B">
        <w:rPr>
          <w:rFonts w:ascii="Arial" w:hAnsi="Arial" w:cs="Arial"/>
          <w:sz w:val="22"/>
          <w:szCs w:val="22"/>
        </w:rPr>
        <w:lastRenderedPageBreak/>
        <w:t xml:space="preserve">Receivables </w:t>
      </w:r>
      <w:proofErr w:type="gramStart"/>
      <w:r w:rsidRPr="00F85E6B">
        <w:rPr>
          <w:rFonts w:ascii="Arial" w:hAnsi="Arial" w:cs="Arial"/>
          <w:sz w:val="22"/>
          <w:szCs w:val="22"/>
        </w:rPr>
        <w:t>are considered to be</w:t>
      </w:r>
      <w:proofErr w:type="gramEnd"/>
      <w:r w:rsidRPr="00F85E6B">
        <w:rPr>
          <w:rFonts w:ascii="Arial" w:hAnsi="Arial" w:cs="Arial"/>
          <w:sz w:val="22"/>
          <w:szCs w:val="22"/>
        </w:rPr>
        <w:t xml:space="preserve"> in credit risk where they are 60 days or more past due and they are determined to be credit impaired where they are 90 days or more past due. They are collectively assessed for credit risk and the requirement for an impairment loss allowance has been assessed by reference to the PCC</w:t>
      </w:r>
      <w:r w:rsidR="005B6F05" w:rsidRPr="00F85E6B">
        <w:rPr>
          <w:rFonts w:ascii="Arial" w:hAnsi="Arial" w:cs="Arial"/>
          <w:sz w:val="22"/>
          <w:szCs w:val="22"/>
        </w:rPr>
        <w:t>’</w:t>
      </w:r>
      <w:r w:rsidRPr="00F85E6B">
        <w:rPr>
          <w:rFonts w:ascii="Arial" w:hAnsi="Arial" w:cs="Arial"/>
          <w:sz w:val="22"/>
          <w:szCs w:val="22"/>
        </w:rPr>
        <w:t>s historic experience of ultimate default across the following categories:</w:t>
      </w:r>
    </w:p>
    <w:p w14:paraId="5C2E1057" w14:textId="77777777" w:rsidR="003B74DA" w:rsidRPr="00F85E6B" w:rsidRDefault="003B74DA" w:rsidP="003B74DA">
      <w:pPr>
        <w:ind w:left="426"/>
        <w:jc w:val="both"/>
        <w:rPr>
          <w:rFonts w:ascii="Arial" w:hAnsi="Arial" w:cs="Arial"/>
          <w:sz w:val="22"/>
          <w:szCs w:val="22"/>
        </w:rPr>
      </w:pPr>
    </w:p>
    <w:p w14:paraId="6E35BD42" w14:textId="43E9E9C7" w:rsidR="003B74DA" w:rsidRPr="00737618" w:rsidRDefault="003B74DA" w:rsidP="004E2882">
      <w:pPr>
        <w:pStyle w:val="ListParagraph"/>
        <w:numPr>
          <w:ilvl w:val="0"/>
          <w:numId w:val="28"/>
        </w:numPr>
        <w:ind w:left="786"/>
        <w:jc w:val="both"/>
        <w:rPr>
          <w:rFonts w:ascii="Arial" w:hAnsi="Arial" w:cs="Arial"/>
        </w:rPr>
      </w:pPr>
      <w:r w:rsidRPr="00737618">
        <w:rPr>
          <w:rFonts w:ascii="Arial" w:hAnsi="Arial" w:cs="Arial"/>
        </w:rPr>
        <w:t xml:space="preserve">Public Sector </w:t>
      </w:r>
      <w:r w:rsidR="005B6F05" w:rsidRPr="00737618">
        <w:rPr>
          <w:rFonts w:ascii="Arial" w:hAnsi="Arial" w:cs="Arial"/>
        </w:rPr>
        <w:t>–</w:t>
      </w:r>
      <w:r w:rsidRPr="00737618">
        <w:rPr>
          <w:rFonts w:ascii="Arial" w:hAnsi="Arial" w:cs="Arial"/>
        </w:rPr>
        <w:t xml:space="preserve"> debt has been excluded from this assessment as there are statutory provisions in place to prevent default;</w:t>
      </w:r>
    </w:p>
    <w:p w14:paraId="1EAA7D26" w14:textId="650E8185" w:rsidR="003B74DA" w:rsidRPr="00B824FC" w:rsidRDefault="003B74DA" w:rsidP="004E2882">
      <w:pPr>
        <w:pStyle w:val="ListParagraph"/>
        <w:numPr>
          <w:ilvl w:val="0"/>
          <w:numId w:val="28"/>
        </w:numPr>
        <w:ind w:left="786"/>
        <w:jc w:val="both"/>
        <w:rPr>
          <w:rFonts w:ascii="Arial" w:hAnsi="Arial" w:cs="Arial"/>
        </w:rPr>
      </w:pPr>
      <w:r w:rsidRPr="00B824FC">
        <w:rPr>
          <w:rFonts w:ascii="Arial" w:hAnsi="Arial" w:cs="Arial"/>
        </w:rPr>
        <w:t>Football – whilst</w:t>
      </w:r>
      <w:r w:rsidR="00DC2030">
        <w:rPr>
          <w:rFonts w:ascii="Arial" w:hAnsi="Arial" w:cs="Arial"/>
        </w:rPr>
        <w:t xml:space="preserve"> </w:t>
      </w:r>
      <w:r w:rsidRPr="00B824FC">
        <w:rPr>
          <w:rFonts w:ascii="Arial" w:hAnsi="Arial" w:cs="Arial"/>
        </w:rPr>
        <w:t xml:space="preserve">a </w:t>
      </w:r>
      <w:r w:rsidR="00204FC1" w:rsidRPr="00B824FC">
        <w:rPr>
          <w:rFonts w:ascii="Arial" w:hAnsi="Arial" w:cs="Arial"/>
        </w:rPr>
        <w:t>three-year</w:t>
      </w:r>
      <w:r w:rsidRPr="00B824FC">
        <w:rPr>
          <w:rFonts w:ascii="Arial" w:hAnsi="Arial" w:cs="Arial"/>
        </w:rPr>
        <w:t xml:space="preserve"> average of £</w:t>
      </w:r>
      <w:r w:rsidR="00610B0E" w:rsidRPr="00B824FC">
        <w:rPr>
          <w:rFonts w:ascii="Arial" w:hAnsi="Arial" w:cs="Arial"/>
        </w:rPr>
        <w:t>1</w:t>
      </w:r>
      <w:r w:rsidR="00C1068C" w:rsidRPr="00B824FC">
        <w:rPr>
          <w:rFonts w:ascii="Arial" w:hAnsi="Arial" w:cs="Arial"/>
        </w:rPr>
        <w:t>4</w:t>
      </w:r>
      <w:r w:rsidRPr="00B824FC">
        <w:rPr>
          <w:rFonts w:ascii="Arial" w:hAnsi="Arial" w:cs="Arial"/>
        </w:rPr>
        <w:t>k has been identified as being credit impaired, the amount of debt ultimately written off over that period is nil hence no impairment allowance is considered necessary;</w:t>
      </w:r>
    </w:p>
    <w:p w14:paraId="0D8FCB23" w14:textId="2F2E7249" w:rsidR="003B74DA" w:rsidRPr="00B824FC" w:rsidRDefault="003B74DA" w:rsidP="004E2882">
      <w:pPr>
        <w:pStyle w:val="ListParagraph"/>
        <w:numPr>
          <w:ilvl w:val="0"/>
          <w:numId w:val="28"/>
        </w:numPr>
        <w:ind w:left="786"/>
        <w:jc w:val="both"/>
        <w:rPr>
          <w:rFonts w:ascii="Arial" w:hAnsi="Arial" w:cs="Arial"/>
        </w:rPr>
      </w:pPr>
      <w:r w:rsidRPr="00B824FC">
        <w:rPr>
          <w:rFonts w:ascii="Arial" w:hAnsi="Arial" w:cs="Arial"/>
        </w:rPr>
        <w:t>Individual legal, court costs awarded – the value of debt in default, excluding the cases where successful instalments are being collected, amounts to £</w:t>
      </w:r>
      <w:r w:rsidR="00F8389A">
        <w:rPr>
          <w:rFonts w:ascii="Arial" w:hAnsi="Arial" w:cs="Arial"/>
        </w:rPr>
        <w:t>37</w:t>
      </w:r>
      <w:r w:rsidR="004264A3" w:rsidRPr="00B824FC">
        <w:rPr>
          <w:rFonts w:ascii="Arial" w:hAnsi="Arial" w:cs="Arial"/>
        </w:rPr>
        <w:t xml:space="preserve">k </w:t>
      </w:r>
      <w:r w:rsidRPr="00B824FC">
        <w:rPr>
          <w:rFonts w:ascii="Arial" w:hAnsi="Arial" w:cs="Arial"/>
        </w:rPr>
        <w:t xml:space="preserve">at 31 March </w:t>
      </w:r>
      <w:r w:rsidR="004264A3" w:rsidRPr="00B824FC">
        <w:rPr>
          <w:rFonts w:ascii="Arial" w:hAnsi="Arial" w:cs="Arial"/>
        </w:rPr>
        <w:t>202</w:t>
      </w:r>
      <w:r w:rsidR="00B824FC" w:rsidRPr="00B824FC">
        <w:rPr>
          <w:rFonts w:ascii="Arial" w:hAnsi="Arial" w:cs="Arial"/>
        </w:rPr>
        <w:t>5</w:t>
      </w:r>
      <w:r w:rsidRPr="00B824FC">
        <w:rPr>
          <w:rFonts w:ascii="Arial" w:hAnsi="Arial" w:cs="Arial"/>
        </w:rPr>
        <w:t xml:space="preserve">. Provision has been made to 100% of this debt. </w:t>
      </w:r>
    </w:p>
    <w:p w14:paraId="6070B742" w14:textId="23E3279F" w:rsidR="003B74DA" w:rsidRPr="00B824FC" w:rsidRDefault="003B74DA" w:rsidP="004E2882">
      <w:pPr>
        <w:pStyle w:val="ListParagraph"/>
        <w:numPr>
          <w:ilvl w:val="0"/>
          <w:numId w:val="28"/>
        </w:numPr>
        <w:ind w:left="786"/>
        <w:jc w:val="both"/>
        <w:rPr>
          <w:rFonts w:ascii="Arial" w:hAnsi="Arial" w:cs="Arial"/>
        </w:rPr>
      </w:pPr>
      <w:r w:rsidRPr="00B824FC">
        <w:rPr>
          <w:rFonts w:ascii="Arial" w:hAnsi="Arial" w:cs="Arial"/>
        </w:rPr>
        <w:t>Private Sector and Individual debt –</w:t>
      </w:r>
      <w:r w:rsidR="00306F1C" w:rsidRPr="00B824FC">
        <w:rPr>
          <w:rFonts w:ascii="Arial" w:hAnsi="Arial" w:cs="Arial"/>
        </w:rPr>
        <w:t xml:space="preserve"> </w:t>
      </w:r>
      <w:r w:rsidRPr="00B824FC">
        <w:rPr>
          <w:rFonts w:ascii="Arial" w:hAnsi="Arial" w:cs="Arial"/>
        </w:rPr>
        <w:t xml:space="preserve">the expected requirement for loss allowance </w:t>
      </w:r>
      <w:r w:rsidR="00306F1C" w:rsidRPr="00B824FC">
        <w:rPr>
          <w:rFonts w:ascii="Arial" w:hAnsi="Arial" w:cs="Arial"/>
        </w:rPr>
        <w:t>has been assessed at £</w:t>
      </w:r>
      <w:r w:rsidR="00F8389A">
        <w:rPr>
          <w:rFonts w:ascii="Arial" w:hAnsi="Arial" w:cs="Arial"/>
        </w:rPr>
        <w:t>52</w:t>
      </w:r>
      <w:r w:rsidR="00306F1C" w:rsidRPr="00B824FC">
        <w:rPr>
          <w:rFonts w:ascii="Arial" w:hAnsi="Arial" w:cs="Arial"/>
        </w:rPr>
        <w:t>k</w:t>
      </w:r>
      <w:r w:rsidRPr="00B824FC">
        <w:rPr>
          <w:rFonts w:ascii="Arial" w:hAnsi="Arial" w:cs="Arial"/>
        </w:rPr>
        <w:t>.</w:t>
      </w:r>
      <w:r w:rsidR="00306F1C" w:rsidRPr="00B824FC">
        <w:rPr>
          <w:rFonts w:ascii="Arial" w:hAnsi="Arial" w:cs="Arial"/>
        </w:rPr>
        <w:t xml:space="preserve"> Provision has been made to 100% of this debt</w:t>
      </w:r>
      <w:bookmarkEnd w:id="25"/>
      <w:r w:rsidR="00306F1C" w:rsidRPr="00B824FC">
        <w:rPr>
          <w:rFonts w:ascii="Arial" w:hAnsi="Arial" w:cs="Arial"/>
        </w:rPr>
        <w:t>.</w:t>
      </w:r>
    </w:p>
    <w:bookmarkEnd w:id="26"/>
    <w:p w14:paraId="4DF75A7D" w14:textId="01D729D5" w:rsidR="003B74DA" w:rsidRPr="00FA74DD" w:rsidRDefault="003B74DA" w:rsidP="003B74DA">
      <w:pPr>
        <w:ind w:left="426"/>
        <w:rPr>
          <w:rFonts w:ascii="Arial" w:hAnsi="Arial" w:cs="Arial"/>
          <w:b/>
          <w:i/>
          <w:color w:val="0000FF"/>
          <w:sz w:val="22"/>
          <w:szCs w:val="22"/>
        </w:rPr>
      </w:pPr>
      <w:r w:rsidRPr="00FA74DD">
        <w:rPr>
          <w:rFonts w:ascii="Arial" w:hAnsi="Arial" w:cs="Arial"/>
          <w:b/>
          <w:sz w:val="22"/>
          <w:szCs w:val="22"/>
        </w:rPr>
        <w:t xml:space="preserve">Liquidity Risk </w:t>
      </w:r>
    </w:p>
    <w:p w14:paraId="255759FC" w14:textId="77777777" w:rsidR="003B74DA" w:rsidRPr="00FA74DD" w:rsidRDefault="003B74DA" w:rsidP="003B74DA">
      <w:pPr>
        <w:ind w:firstLine="720"/>
        <w:rPr>
          <w:b/>
          <w:sz w:val="22"/>
          <w:szCs w:val="22"/>
        </w:rPr>
      </w:pPr>
    </w:p>
    <w:p w14:paraId="2323D398" w14:textId="77777777" w:rsidR="003B74DA" w:rsidRPr="00FA74DD" w:rsidRDefault="003B74DA" w:rsidP="003B74DA">
      <w:pPr>
        <w:ind w:left="426"/>
        <w:jc w:val="both"/>
        <w:rPr>
          <w:rFonts w:ascii="Arial" w:hAnsi="Arial" w:cs="Arial"/>
          <w:sz w:val="22"/>
          <w:szCs w:val="22"/>
        </w:rPr>
      </w:pPr>
      <w:r w:rsidRPr="00FA74DD">
        <w:rPr>
          <w:rFonts w:ascii="Arial" w:hAnsi="Arial" w:cs="Arial"/>
          <w:sz w:val="22"/>
          <w:szCs w:val="22"/>
        </w:rPr>
        <w:t>Liquidity risk is the danger that, at any time, we will have insufficient funds in our bank account to make the payments necessary to meet our financial obligations. We must manage our financial liabilities and assets in such a way as to mitigate this risk.</w:t>
      </w:r>
    </w:p>
    <w:p w14:paraId="307926CA" w14:textId="77777777" w:rsidR="003B74DA" w:rsidRPr="00FA74DD" w:rsidRDefault="003B74DA" w:rsidP="003B74DA">
      <w:pPr>
        <w:ind w:left="426"/>
        <w:jc w:val="both"/>
        <w:rPr>
          <w:rFonts w:ascii="Arial" w:hAnsi="Arial" w:cs="Arial"/>
          <w:sz w:val="22"/>
          <w:szCs w:val="22"/>
        </w:rPr>
      </w:pPr>
    </w:p>
    <w:p w14:paraId="32D1F28B" w14:textId="71BEE917" w:rsidR="003B74DA" w:rsidRPr="00FA74DD" w:rsidRDefault="003B74DA" w:rsidP="003B74DA">
      <w:pPr>
        <w:ind w:left="426"/>
        <w:jc w:val="both"/>
        <w:rPr>
          <w:rFonts w:ascii="Arial" w:hAnsi="Arial" w:cs="Arial"/>
          <w:sz w:val="22"/>
          <w:szCs w:val="22"/>
        </w:rPr>
      </w:pPr>
      <w:r w:rsidRPr="00FA74DD">
        <w:rPr>
          <w:rFonts w:ascii="Arial" w:hAnsi="Arial" w:cs="Arial"/>
          <w:sz w:val="22"/>
          <w:szCs w:val="22"/>
        </w:rPr>
        <w:t xml:space="preserve">In managing our financial liabilities, we seek to achieve a maturity pattern of our borrowings which will ensure that there are no heavy concentrations of maturities in any one year. In fact, the risk is more of a price risk than a liquidity risk as we can always secure replacement loans from the PWLB or other market </w:t>
      </w:r>
      <w:r w:rsidR="00105039" w:rsidRPr="00FA74DD">
        <w:rPr>
          <w:rFonts w:ascii="Arial" w:hAnsi="Arial" w:cs="Arial"/>
          <w:sz w:val="22"/>
          <w:szCs w:val="22"/>
        </w:rPr>
        <w:t>sources but</w:t>
      </w:r>
      <w:r w:rsidRPr="00FA74DD">
        <w:rPr>
          <w:rFonts w:ascii="Arial" w:hAnsi="Arial" w:cs="Arial"/>
          <w:sz w:val="22"/>
          <w:szCs w:val="22"/>
        </w:rPr>
        <w:t xml:space="preserve"> would not want to replace too large a proportion of our loans at a time of high interest rates.</w:t>
      </w:r>
    </w:p>
    <w:p w14:paraId="3B528C33" w14:textId="77777777" w:rsidR="003B74DA" w:rsidRPr="00FA74DD" w:rsidRDefault="003B74DA" w:rsidP="003B74DA">
      <w:pPr>
        <w:ind w:left="426"/>
        <w:jc w:val="both"/>
        <w:rPr>
          <w:rFonts w:ascii="Arial" w:hAnsi="Arial" w:cs="Arial"/>
          <w:sz w:val="22"/>
          <w:szCs w:val="22"/>
        </w:rPr>
      </w:pPr>
    </w:p>
    <w:p w14:paraId="71C0A41B" w14:textId="094EA7AE" w:rsidR="005C3693" w:rsidRPr="00FA74DD" w:rsidRDefault="003B74DA" w:rsidP="00022A89">
      <w:pPr>
        <w:ind w:left="426"/>
        <w:jc w:val="both"/>
        <w:rPr>
          <w:rFonts w:ascii="Arial" w:hAnsi="Arial" w:cs="Arial"/>
          <w:sz w:val="22"/>
          <w:szCs w:val="22"/>
        </w:rPr>
      </w:pPr>
      <w:r w:rsidRPr="00FA74DD">
        <w:rPr>
          <w:rFonts w:ascii="Arial" w:hAnsi="Arial" w:cs="Arial"/>
          <w:sz w:val="22"/>
          <w:szCs w:val="22"/>
        </w:rPr>
        <w:t>The maturity profile of our debt is shown in the table below. This illustrates the spread of maturities into the future and how we have avoided the need for too much debt to be replaced in any one year.</w:t>
      </w:r>
    </w:p>
    <w:p w14:paraId="31DE856A" w14:textId="77777777" w:rsidR="003B74DA" w:rsidRPr="00645FC2" w:rsidRDefault="003B74DA" w:rsidP="003B74DA">
      <w:pPr>
        <w:jc w:val="both"/>
        <w:rPr>
          <w:rFonts w:asciiTheme="minorHAnsi" w:eastAsia="Arial Unicode MS" w:hAnsiTheme="minorHAnsi" w:cs="Arial Unicode MS"/>
          <w:highlight w:val="yellow"/>
        </w:rPr>
      </w:pPr>
    </w:p>
    <w:tbl>
      <w:tblPr>
        <w:tblW w:w="8160" w:type="dxa"/>
        <w:tblInd w:w="452" w:type="dxa"/>
        <w:tblLook w:val="04A0" w:firstRow="1" w:lastRow="0" w:firstColumn="1" w:lastColumn="0" w:noHBand="0" w:noVBand="1"/>
      </w:tblPr>
      <w:tblGrid>
        <w:gridCol w:w="5320"/>
        <w:gridCol w:w="1600"/>
        <w:gridCol w:w="1240"/>
      </w:tblGrid>
      <w:tr w:rsidR="005C3693" w:rsidRPr="00645FC2" w14:paraId="017A221B" w14:textId="77777777" w:rsidTr="005C3693">
        <w:trPr>
          <w:trHeight w:val="300"/>
        </w:trPr>
        <w:tc>
          <w:tcPr>
            <w:tcW w:w="5320" w:type="dxa"/>
            <w:tcBorders>
              <w:top w:val="single" w:sz="8" w:space="0" w:color="auto"/>
              <w:left w:val="single" w:sz="8" w:space="0" w:color="auto"/>
              <w:bottom w:val="nil"/>
              <w:right w:val="single" w:sz="4" w:space="0" w:color="auto"/>
            </w:tcBorders>
            <w:shd w:val="clear" w:color="000000" w:fill="D9D9D9"/>
            <w:vAlign w:val="center"/>
            <w:hideMark/>
          </w:tcPr>
          <w:p w14:paraId="5E7FA5EF" w14:textId="6B5362BA" w:rsidR="005C3693" w:rsidRPr="005E2F77" w:rsidRDefault="005C3693" w:rsidP="005C3693">
            <w:pPr>
              <w:jc w:val="both"/>
              <w:rPr>
                <w:rFonts w:ascii="Arial" w:hAnsi="Arial" w:cs="Arial"/>
                <w:b/>
                <w:color w:val="000000"/>
                <w:sz w:val="22"/>
                <w:szCs w:val="22"/>
              </w:rPr>
            </w:pPr>
            <w:r w:rsidRPr="00240148">
              <w:rPr>
                <w:rFonts w:ascii="Arial" w:hAnsi="Arial" w:cs="Arial"/>
                <w:color w:val="000000"/>
                <w:sz w:val="22"/>
                <w:szCs w:val="22"/>
              </w:rPr>
              <w:t> </w:t>
            </w:r>
            <w:r w:rsidR="0041356E">
              <w:rPr>
                <w:rFonts w:ascii="Arial" w:hAnsi="Arial" w:cs="Arial"/>
                <w:b/>
                <w:bCs/>
                <w:color w:val="000000"/>
                <w:sz w:val="22"/>
                <w:szCs w:val="22"/>
              </w:rPr>
              <w:t>PCC GROUP/PCC</w:t>
            </w:r>
          </w:p>
        </w:tc>
        <w:tc>
          <w:tcPr>
            <w:tcW w:w="1600" w:type="dxa"/>
            <w:tcBorders>
              <w:top w:val="single" w:sz="8" w:space="0" w:color="auto"/>
              <w:left w:val="single" w:sz="4" w:space="0" w:color="auto"/>
              <w:bottom w:val="nil"/>
              <w:right w:val="single" w:sz="8" w:space="0" w:color="auto"/>
            </w:tcBorders>
            <w:vAlign w:val="center"/>
            <w:hideMark/>
          </w:tcPr>
          <w:p w14:paraId="620D9F42" w14:textId="32D2128D" w:rsidR="005C3693" w:rsidRPr="00240148" w:rsidRDefault="00C37E7F" w:rsidP="005C3693">
            <w:pPr>
              <w:jc w:val="right"/>
              <w:rPr>
                <w:rFonts w:ascii="Arial" w:hAnsi="Arial" w:cs="Arial"/>
                <w:b/>
                <w:bCs/>
                <w:color w:val="000000"/>
                <w:sz w:val="22"/>
                <w:szCs w:val="22"/>
              </w:rPr>
            </w:pPr>
            <w:r>
              <w:rPr>
                <w:rFonts w:ascii="Arial" w:hAnsi="Arial" w:cs="Arial"/>
                <w:b/>
                <w:bCs/>
                <w:color w:val="000000"/>
                <w:sz w:val="22"/>
                <w:szCs w:val="22"/>
              </w:rPr>
              <w:t>2023/24</w:t>
            </w:r>
          </w:p>
        </w:tc>
        <w:tc>
          <w:tcPr>
            <w:tcW w:w="1240" w:type="dxa"/>
            <w:tcBorders>
              <w:top w:val="single" w:sz="8" w:space="0" w:color="auto"/>
              <w:left w:val="nil"/>
              <w:bottom w:val="nil"/>
              <w:right w:val="single" w:sz="8" w:space="0" w:color="auto"/>
            </w:tcBorders>
            <w:shd w:val="clear" w:color="000000" w:fill="D9D9D9"/>
            <w:vAlign w:val="center"/>
            <w:hideMark/>
          </w:tcPr>
          <w:p w14:paraId="3FA39439" w14:textId="36CFCE53" w:rsidR="005C3693" w:rsidRPr="00240148" w:rsidRDefault="00C37E7F" w:rsidP="005C3693">
            <w:pPr>
              <w:jc w:val="right"/>
              <w:rPr>
                <w:rFonts w:ascii="Arial" w:hAnsi="Arial" w:cs="Arial"/>
                <w:b/>
                <w:bCs/>
                <w:color w:val="000000"/>
                <w:sz w:val="22"/>
                <w:szCs w:val="22"/>
              </w:rPr>
            </w:pPr>
            <w:r>
              <w:rPr>
                <w:rFonts w:ascii="Arial" w:hAnsi="Arial" w:cs="Arial"/>
                <w:b/>
                <w:bCs/>
                <w:color w:val="000000"/>
                <w:sz w:val="22"/>
                <w:szCs w:val="22"/>
              </w:rPr>
              <w:t>2024/25</w:t>
            </w:r>
          </w:p>
        </w:tc>
      </w:tr>
      <w:tr w:rsidR="005C3693" w:rsidRPr="00645FC2" w14:paraId="3A8F2F7A" w14:textId="77777777" w:rsidTr="00240148">
        <w:trPr>
          <w:trHeight w:val="300"/>
        </w:trPr>
        <w:tc>
          <w:tcPr>
            <w:tcW w:w="5320" w:type="dxa"/>
            <w:tcBorders>
              <w:top w:val="nil"/>
              <w:left w:val="single" w:sz="8" w:space="0" w:color="auto"/>
              <w:bottom w:val="nil"/>
              <w:right w:val="single" w:sz="4" w:space="0" w:color="auto"/>
            </w:tcBorders>
            <w:shd w:val="clear" w:color="000000" w:fill="D9D9D9"/>
            <w:vAlign w:val="center"/>
            <w:hideMark/>
          </w:tcPr>
          <w:p w14:paraId="457B1FA7" w14:textId="77777777" w:rsidR="005C3693" w:rsidRPr="00240148" w:rsidRDefault="005C3693" w:rsidP="005C3693">
            <w:pPr>
              <w:jc w:val="both"/>
              <w:rPr>
                <w:rFonts w:ascii="Arial" w:hAnsi="Arial" w:cs="Arial"/>
                <w:color w:val="000000"/>
                <w:sz w:val="22"/>
                <w:szCs w:val="22"/>
              </w:rPr>
            </w:pPr>
            <w:r w:rsidRPr="00240148">
              <w:rPr>
                <w:rFonts w:ascii="Arial" w:hAnsi="Arial" w:cs="Arial"/>
                <w:color w:val="000000"/>
                <w:sz w:val="22"/>
                <w:szCs w:val="22"/>
              </w:rPr>
              <w:t> </w:t>
            </w:r>
          </w:p>
        </w:tc>
        <w:tc>
          <w:tcPr>
            <w:tcW w:w="1600" w:type="dxa"/>
            <w:tcBorders>
              <w:top w:val="nil"/>
              <w:left w:val="single" w:sz="4" w:space="0" w:color="auto"/>
              <w:bottom w:val="nil"/>
              <w:right w:val="single" w:sz="8" w:space="0" w:color="auto"/>
            </w:tcBorders>
            <w:vAlign w:val="center"/>
            <w:hideMark/>
          </w:tcPr>
          <w:p w14:paraId="1F7A2C34" w14:textId="59A013AA" w:rsidR="005C3693" w:rsidRPr="00240148" w:rsidRDefault="005C3693" w:rsidP="005C3693">
            <w:pPr>
              <w:jc w:val="right"/>
              <w:rPr>
                <w:rFonts w:ascii="Arial" w:hAnsi="Arial" w:cs="Arial"/>
                <w:b/>
                <w:bCs/>
                <w:color w:val="000000"/>
                <w:sz w:val="22"/>
                <w:szCs w:val="22"/>
              </w:rPr>
            </w:pPr>
            <w:r w:rsidRPr="00240148">
              <w:rPr>
                <w:rFonts w:ascii="Arial" w:hAnsi="Arial" w:cs="Arial"/>
                <w:b/>
                <w:bCs/>
                <w:color w:val="000000"/>
                <w:sz w:val="22"/>
                <w:szCs w:val="22"/>
              </w:rPr>
              <w:t>£000</w:t>
            </w:r>
          </w:p>
        </w:tc>
        <w:tc>
          <w:tcPr>
            <w:tcW w:w="1240" w:type="dxa"/>
            <w:tcBorders>
              <w:top w:val="nil"/>
              <w:left w:val="nil"/>
              <w:right w:val="single" w:sz="8" w:space="0" w:color="auto"/>
            </w:tcBorders>
            <w:shd w:val="clear" w:color="000000" w:fill="D9D9D9"/>
            <w:vAlign w:val="center"/>
            <w:hideMark/>
          </w:tcPr>
          <w:p w14:paraId="2CFE805D" w14:textId="65C986B4" w:rsidR="005C3693" w:rsidRPr="00240148" w:rsidRDefault="005C3693" w:rsidP="005C3693">
            <w:pPr>
              <w:jc w:val="right"/>
              <w:rPr>
                <w:rFonts w:ascii="Arial" w:hAnsi="Arial" w:cs="Arial"/>
                <w:b/>
                <w:bCs/>
                <w:color w:val="000000"/>
                <w:sz w:val="22"/>
                <w:szCs w:val="22"/>
              </w:rPr>
            </w:pPr>
            <w:r w:rsidRPr="00240148">
              <w:rPr>
                <w:rFonts w:ascii="Arial" w:hAnsi="Arial" w:cs="Arial"/>
                <w:b/>
                <w:bCs/>
                <w:color w:val="000000"/>
                <w:sz w:val="22"/>
                <w:szCs w:val="22"/>
              </w:rPr>
              <w:t>£000</w:t>
            </w:r>
          </w:p>
        </w:tc>
      </w:tr>
      <w:tr w:rsidR="000A7258" w:rsidRPr="00645FC2" w14:paraId="10A92E8C" w14:textId="77777777" w:rsidTr="00B27992">
        <w:trPr>
          <w:trHeight w:val="315"/>
        </w:trPr>
        <w:tc>
          <w:tcPr>
            <w:tcW w:w="5320" w:type="dxa"/>
            <w:tcBorders>
              <w:top w:val="nil"/>
              <w:left w:val="single" w:sz="8" w:space="0" w:color="auto"/>
              <w:bottom w:val="nil"/>
              <w:right w:val="nil"/>
            </w:tcBorders>
            <w:shd w:val="clear" w:color="000000" w:fill="D9D9D9"/>
            <w:vAlign w:val="center"/>
            <w:hideMark/>
          </w:tcPr>
          <w:p w14:paraId="221D1DEF" w14:textId="77777777" w:rsidR="000A7258" w:rsidRPr="00240148" w:rsidRDefault="000A7258" w:rsidP="000A7258">
            <w:pPr>
              <w:jc w:val="both"/>
              <w:rPr>
                <w:rFonts w:ascii="Arial" w:hAnsi="Arial" w:cs="Arial"/>
                <w:color w:val="000000"/>
                <w:sz w:val="22"/>
                <w:szCs w:val="22"/>
              </w:rPr>
            </w:pPr>
            <w:r w:rsidRPr="00240148">
              <w:rPr>
                <w:rFonts w:ascii="Arial" w:hAnsi="Arial" w:cs="Arial"/>
                <w:color w:val="000000"/>
                <w:sz w:val="22"/>
                <w:szCs w:val="22"/>
              </w:rPr>
              <w:t>Under 1 year</w:t>
            </w:r>
          </w:p>
        </w:tc>
        <w:tc>
          <w:tcPr>
            <w:tcW w:w="1600" w:type="dxa"/>
            <w:tcBorders>
              <w:top w:val="nil"/>
              <w:left w:val="single" w:sz="4" w:space="0" w:color="auto"/>
              <w:bottom w:val="nil"/>
              <w:right w:val="single" w:sz="8" w:space="0" w:color="auto"/>
            </w:tcBorders>
            <w:vAlign w:val="center"/>
            <w:hideMark/>
          </w:tcPr>
          <w:p w14:paraId="52121FA8" w14:textId="3263FB59"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46,497 </w:t>
            </w:r>
          </w:p>
        </w:tc>
        <w:tc>
          <w:tcPr>
            <w:tcW w:w="1240" w:type="dxa"/>
            <w:tcBorders>
              <w:top w:val="nil"/>
              <w:left w:val="nil"/>
              <w:bottom w:val="nil"/>
              <w:right w:val="single" w:sz="8" w:space="0" w:color="auto"/>
            </w:tcBorders>
            <w:shd w:val="clear" w:color="000000" w:fill="D9D9D9"/>
            <w:vAlign w:val="center"/>
            <w:hideMark/>
          </w:tcPr>
          <w:p w14:paraId="1C5554F6" w14:textId="4B846932"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61,475 </w:t>
            </w:r>
          </w:p>
        </w:tc>
      </w:tr>
      <w:tr w:rsidR="000A7258" w:rsidRPr="00645FC2" w14:paraId="6A41CA9B" w14:textId="77777777" w:rsidTr="00B27992">
        <w:trPr>
          <w:trHeight w:val="315"/>
        </w:trPr>
        <w:tc>
          <w:tcPr>
            <w:tcW w:w="5320" w:type="dxa"/>
            <w:tcBorders>
              <w:top w:val="nil"/>
              <w:left w:val="single" w:sz="8" w:space="0" w:color="auto"/>
              <w:bottom w:val="nil"/>
              <w:right w:val="nil"/>
            </w:tcBorders>
            <w:shd w:val="clear" w:color="000000" w:fill="D9D9D9"/>
            <w:vAlign w:val="center"/>
            <w:hideMark/>
          </w:tcPr>
          <w:p w14:paraId="456B67C8" w14:textId="77777777" w:rsidR="000A7258" w:rsidRPr="00240148" w:rsidRDefault="000A7258" w:rsidP="000A7258">
            <w:pPr>
              <w:jc w:val="both"/>
              <w:rPr>
                <w:rFonts w:ascii="Arial" w:hAnsi="Arial" w:cs="Arial"/>
                <w:b/>
                <w:bCs/>
                <w:color w:val="000000"/>
                <w:sz w:val="22"/>
                <w:szCs w:val="22"/>
              </w:rPr>
            </w:pPr>
            <w:r w:rsidRPr="00240148">
              <w:rPr>
                <w:rFonts w:ascii="Arial" w:hAnsi="Arial" w:cs="Arial"/>
                <w:b/>
                <w:bCs/>
                <w:color w:val="000000"/>
                <w:sz w:val="22"/>
                <w:szCs w:val="22"/>
              </w:rPr>
              <w:t>Total short-term borrowing</w:t>
            </w:r>
          </w:p>
        </w:tc>
        <w:tc>
          <w:tcPr>
            <w:tcW w:w="1600" w:type="dxa"/>
            <w:tcBorders>
              <w:top w:val="single" w:sz="8" w:space="0" w:color="auto"/>
              <w:left w:val="single" w:sz="4" w:space="0" w:color="auto"/>
              <w:bottom w:val="single" w:sz="8" w:space="0" w:color="auto"/>
              <w:right w:val="single" w:sz="8" w:space="0" w:color="auto"/>
            </w:tcBorders>
            <w:vAlign w:val="center"/>
            <w:hideMark/>
          </w:tcPr>
          <w:p w14:paraId="447942F7" w14:textId="790DB49D" w:rsidR="000A7258" w:rsidRPr="00645FC2" w:rsidRDefault="000A7258" w:rsidP="000A7258">
            <w:pPr>
              <w:jc w:val="right"/>
              <w:rPr>
                <w:rFonts w:ascii="Arial" w:hAnsi="Arial" w:cs="Arial"/>
                <w:b/>
                <w:bCs/>
                <w:color w:val="000000"/>
                <w:sz w:val="22"/>
                <w:szCs w:val="22"/>
                <w:highlight w:val="yellow"/>
              </w:rPr>
            </w:pPr>
            <w:r>
              <w:rPr>
                <w:rFonts w:ascii="Arial" w:hAnsi="Arial" w:cs="Arial"/>
                <w:b/>
                <w:bCs/>
                <w:color w:val="000000"/>
                <w:sz w:val="22"/>
                <w:szCs w:val="22"/>
              </w:rPr>
              <w:t xml:space="preserve">46,497 </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14:paraId="7B0AD95D" w14:textId="599D854D" w:rsidR="000A7258" w:rsidRPr="00645FC2" w:rsidRDefault="000A7258" w:rsidP="000A7258">
            <w:pPr>
              <w:jc w:val="right"/>
              <w:rPr>
                <w:rFonts w:ascii="Arial" w:hAnsi="Arial" w:cs="Arial"/>
                <w:b/>
                <w:bCs/>
                <w:color w:val="000000"/>
                <w:sz w:val="22"/>
                <w:szCs w:val="22"/>
                <w:highlight w:val="yellow"/>
              </w:rPr>
            </w:pPr>
            <w:r>
              <w:rPr>
                <w:rFonts w:ascii="Arial" w:hAnsi="Arial" w:cs="Arial"/>
                <w:b/>
                <w:bCs/>
                <w:color w:val="000000"/>
                <w:sz w:val="22"/>
                <w:szCs w:val="22"/>
              </w:rPr>
              <w:t xml:space="preserve">61,475 </w:t>
            </w:r>
          </w:p>
        </w:tc>
      </w:tr>
      <w:tr w:rsidR="000A7258" w:rsidRPr="00645FC2" w14:paraId="24256512" w14:textId="77777777" w:rsidTr="00B27992">
        <w:trPr>
          <w:trHeight w:val="300"/>
        </w:trPr>
        <w:tc>
          <w:tcPr>
            <w:tcW w:w="5320" w:type="dxa"/>
            <w:tcBorders>
              <w:top w:val="nil"/>
              <w:left w:val="single" w:sz="8" w:space="0" w:color="auto"/>
              <w:bottom w:val="nil"/>
              <w:right w:val="nil"/>
            </w:tcBorders>
            <w:shd w:val="clear" w:color="000000" w:fill="D9D9D9"/>
            <w:vAlign w:val="center"/>
            <w:hideMark/>
          </w:tcPr>
          <w:p w14:paraId="79068607" w14:textId="77777777" w:rsidR="000A7258" w:rsidRPr="00240148" w:rsidRDefault="000A7258" w:rsidP="000A7258">
            <w:pPr>
              <w:rPr>
                <w:color w:val="000000"/>
              </w:rPr>
            </w:pPr>
            <w:r w:rsidRPr="00240148">
              <w:rPr>
                <w:color w:val="000000"/>
              </w:rPr>
              <w:t> </w:t>
            </w:r>
          </w:p>
        </w:tc>
        <w:tc>
          <w:tcPr>
            <w:tcW w:w="1600" w:type="dxa"/>
            <w:tcBorders>
              <w:top w:val="nil"/>
              <w:left w:val="single" w:sz="4" w:space="0" w:color="auto"/>
              <w:bottom w:val="nil"/>
              <w:right w:val="single" w:sz="8" w:space="0" w:color="auto"/>
            </w:tcBorders>
            <w:vAlign w:val="center"/>
            <w:hideMark/>
          </w:tcPr>
          <w:p w14:paraId="0A50C610" w14:textId="5A16A8CE" w:rsidR="000A7258" w:rsidRPr="00645FC2" w:rsidRDefault="000A7258" w:rsidP="000A7258">
            <w:pPr>
              <w:rPr>
                <w:color w:val="000000"/>
                <w:highlight w:val="yellow"/>
              </w:rPr>
            </w:pPr>
            <w:r>
              <w:rPr>
                <w:rFonts w:ascii="Arial" w:hAnsi="Arial" w:cs="Arial"/>
                <w:b/>
                <w:bCs/>
                <w:color w:val="000000"/>
                <w:sz w:val="22"/>
                <w:szCs w:val="22"/>
              </w:rPr>
              <w:t> </w:t>
            </w:r>
          </w:p>
        </w:tc>
        <w:tc>
          <w:tcPr>
            <w:tcW w:w="1240" w:type="dxa"/>
            <w:tcBorders>
              <w:top w:val="nil"/>
              <w:left w:val="nil"/>
              <w:bottom w:val="nil"/>
              <w:right w:val="single" w:sz="8" w:space="0" w:color="auto"/>
            </w:tcBorders>
            <w:shd w:val="clear" w:color="000000" w:fill="D9D9D9"/>
            <w:vAlign w:val="center"/>
            <w:hideMark/>
          </w:tcPr>
          <w:p w14:paraId="57CB0FAE" w14:textId="77A91DED" w:rsidR="000A7258" w:rsidRPr="00645FC2" w:rsidRDefault="000A7258" w:rsidP="000A7258">
            <w:pPr>
              <w:jc w:val="right"/>
              <w:rPr>
                <w:rFonts w:ascii="Arial" w:hAnsi="Arial" w:cs="Arial"/>
                <w:b/>
                <w:bCs/>
                <w:color w:val="000000"/>
                <w:sz w:val="22"/>
                <w:szCs w:val="22"/>
                <w:highlight w:val="yellow"/>
              </w:rPr>
            </w:pPr>
            <w:r>
              <w:rPr>
                <w:rFonts w:ascii="Arial" w:hAnsi="Arial" w:cs="Arial"/>
                <w:b/>
                <w:bCs/>
                <w:color w:val="000000"/>
                <w:sz w:val="22"/>
                <w:szCs w:val="22"/>
              </w:rPr>
              <w:t> </w:t>
            </w:r>
          </w:p>
        </w:tc>
      </w:tr>
      <w:tr w:rsidR="000A7258" w:rsidRPr="00645FC2" w14:paraId="28B55209" w14:textId="77777777" w:rsidTr="00B27992">
        <w:trPr>
          <w:trHeight w:val="300"/>
        </w:trPr>
        <w:tc>
          <w:tcPr>
            <w:tcW w:w="5320" w:type="dxa"/>
            <w:tcBorders>
              <w:top w:val="nil"/>
              <w:left w:val="single" w:sz="8" w:space="0" w:color="auto"/>
              <w:bottom w:val="nil"/>
              <w:right w:val="nil"/>
            </w:tcBorders>
            <w:shd w:val="clear" w:color="000000" w:fill="D9D9D9"/>
            <w:vAlign w:val="center"/>
            <w:hideMark/>
          </w:tcPr>
          <w:p w14:paraId="49A33BBB" w14:textId="77777777" w:rsidR="000A7258" w:rsidRPr="00240148" w:rsidRDefault="000A7258" w:rsidP="000A7258">
            <w:pPr>
              <w:jc w:val="both"/>
              <w:rPr>
                <w:rFonts w:ascii="Arial" w:hAnsi="Arial" w:cs="Arial"/>
                <w:color w:val="000000"/>
                <w:sz w:val="22"/>
                <w:szCs w:val="22"/>
              </w:rPr>
            </w:pPr>
            <w:r w:rsidRPr="00240148">
              <w:rPr>
                <w:rFonts w:ascii="Arial" w:hAnsi="Arial" w:cs="Arial"/>
                <w:color w:val="000000"/>
                <w:sz w:val="22"/>
                <w:szCs w:val="22"/>
              </w:rPr>
              <w:t>Maturing in 1 to 2 years</w:t>
            </w:r>
          </w:p>
        </w:tc>
        <w:tc>
          <w:tcPr>
            <w:tcW w:w="1600" w:type="dxa"/>
            <w:tcBorders>
              <w:top w:val="nil"/>
              <w:left w:val="single" w:sz="4" w:space="0" w:color="auto"/>
              <w:bottom w:val="nil"/>
              <w:right w:val="single" w:sz="8" w:space="0" w:color="auto"/>
            </w:tcBorders>
            <w:vAlign w:val="center"/>
            <w:hideMark/>
          </w:tcPr>
          <w:p w14:paraId="163746C2" w14:textId="45279EA6"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6,475 </w:t>
            </w:r>
          </w:p>
        </w:tc>
        <w:tc>
          <w:tcPr>
            <w:tcW w:w="1240" w:type="dxa"/>
            <w:tcBorders>
              <w:top w:val="nil"/>
              <w:left w:val="nil"/>
              <w:bottom w:val="nil"/>
              <w:right w:val="single" w:sz="8" w:space="0" w:color="auto"/>
            </w:tcBorders>
            <w:shd w:val="clear" w:color="000000" w:fill="D9D9D9"/>
            <w:vAlign w:val="center"/>
            <w:hideMark/>
          </w:tcPr>
          <w:p w14:paraId="61A24170" w14:textId="1E8FCB2C"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975 </w:t>
            </w:r>
          </w:p>
        </w:tc>
      </w:tr>
      <w:tr w:rsidR="000A7258" w:rsidRPr="00645FC2" w14:paraId="0A6C490F" w14:textId="77777777" w:rsidTr="00B27992">
        <w:trPr>
          <w:trHeight w:val="300"/>
        </w:trPr>
        <w:tc>
          <w:tcPr>
            <w:tcW w:w="5320" w:type="dxa"/>
            <w:tcBorders>
              <w:top w:val="nil"/>
              <w:left w:val="single" w:sz="8" w:space="0" w:color="auto"/>
              <w:bottom w:val="nil"/>
              <w:right w:val="nil"/>
            </w:tcBorders>
            <w:shd w:val="clear" w:color="000000" w:fill="D9D9D9"/>
            <w:vAlign w:val="center"/>
            <w:hideMark/>
          </w:tcPr>
          <w:p w14:paraId="4F18EFC5" w14:textId="77777777" w:rsidR="000A7258" w:rsidRPr="00240148" w:rsidRDefault="000A7258" w:rsidP="000A7258">
            <w:pPr>
              <w:jc w:val="both"/>
              <w:rPr>
                <w:rFonts w:ascii="Arial" w:hAnsi="Arial" w:cs="Arial"/>
                <w:color w:val="000000"/>
                <w:sz w:val="22"/>
                <w:szCs w:val="22"/>
              </w:rPr>
            </w:pPr>
            <w:r w:rsidRPr="00240148">
              <w:rPr>
                <w:rFonts w:ascii="Arial" w:hAnsi="Arial" w:cs="Arial"/>
                <w:color w:val="000000"/>
                <w:sz w:val="22"/>
                <w:szCs w:val="22"/>
              </w:rPr>
              <w:t>Maturing in over 2 but less than 5 years</w:t>
            </w:r>
          </w:p>
        </w:tc>
        <w:tc>
          <w:tcPr>
            <w:tcW w:w="1600" w:type="dxa"/>
            <w:tcBorders>
              <w:top w:val="nil"/>
              <w:left w:val="single" w:sz="4" w:space="0" w:color="auto"/>
              <w:bottom w:val="nil"/>
              <w:right w:val="single" w:sz="8" w:space="0" w:color="auto"/>
            </w:tcBorders>
            <w:vAlign w:val="center"/>
            <w:hideMark/>
          </w:tcPr>
          <w:p w14:paraId="0AB343DE" w14:textId="7FB0D6C6"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11,125 </w:t>
            </w:r>
          </w:p>
        </w:tc>
        <w:tc>
          <w:tcPr>
            <w:tcW w:w="1240" w:type="dxa"/>
            <w:tcBorders>
              <w:top w:val="nil"/>
              <w:left w:val="nil"/>
              <w:bottom w:val="nil"/>
              <w:right w:val="single" w:sz="8" w:space="0" w:color="auto"/>
            </w:tcBorders>
            <w:shd w:val="clear" w:color="000000" w:fill="D9D9D9"/>
            <w:vAlign w:val="center"/>
            <w:hideMark/>
          </w:tcPr>
          <w:p w14:paraId="1A3F5353" w14:textId="6AA946CE"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10,225 </w:t>
            </w:r>
          </w:p>
        </w:tc>
      </w:tr>
      <w:tr w:rsidR="000A7258" w:rsidRPr="00645FC2" w14:paraId="66325863" w14:textId="77777777" w:rsidTr="00B27992">
        <w:trPr>
          <w:trHeight w:val="300"/>
        </w:trPr>
        <w:tc>
          <w:tcPr>
            <w:tcW w:w="5320" w:type="dxa"/>
            <w:tcBorders>
              <w:top w:val="nil"/>
              <w:left w:val="single" w:sz="8" w:space="0" w:color="auto"/>
              <w:bottom w:val="nil"/>
              <w:right w:val="nil"/>
            </w:tcBorders>
            <w:shd w:val="clear" w:color="000000" w:fill="D9D9D9"/>
            <w:vAlign w:val="center"/>
            <w:hideMark/>
          </w:tcPr>
          <w:p w14:paraId="773B76DF" w14:textId="77777777" w:rsidR="000A7258" w:rsidRPr="00240148" w:rsidRDefault="000A7258" w:rsidP="000A7258">
            <w:pPr>
              <w:jc w:val="both"/>
              <w:rPr>
                <w:rFonts w:ascii="Arial" w:hAnsi="Arial" w:cs="Arial"/>
                <w:color w:val="000000"/>
                <w:sz w:val="22"/>
                <w:szCs w:val="22"/>
              </w:rPr>
            </w:pPr>
            <w:r w:rsidRPr="00240148">
              <w:rPr>
                <w:rFonts w:ascii="Arial" w:hAnsi="Arial" w:cs="Arial"/>
                <w:color w:val="000000"/>
                <w:sz w:val="22"/>
                <w:szCs w:val="22"/>
              </w:rPr>
              <w:t>Maturing in over 5 but less than 10 years</w:t>
            </w:r>
          </w:p>
        </w:tc>
        <w:tc>
          <w:tcPr>
            <w:tcW w:w="1600" w:type="dxa"/>
            <w:tcBorders>
              <w:top w:val="nil"/>
              <w:left w:val="single" w:sz="4" w:space="0" w:color="auto"/>
              <w:bottom w:val="nil"/>
              <w:right w:val="single" w:sz="8" w:space="0" w:color="auto"/>
            </w:tcBorders>
            <w:vAlign w:val="center"/>
            <w:hideMark/>
          </w:tcPr>
          <w:p w14:paraId="3F4C5295" w14:textId="475B1E68"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12,375 </w:t>
            </w:r>
          </w:p>
        </w:tc>
        <w:tc>
          <w:tcPr>
            <w:tcW w:w="1240" w:type="dxa"/>
            <w:tcBorders>
              <w:top w:val="nil"/>
              <w:left w:val="nil"/>
              <w:bottom w:val="nil"/>
              <w:right w:val="single" w:sz="8" w:space="0" w:color="auto"/>
            </w:tcBorders>
            <w:shd w:val="clear" w:color="000000" w:fill="D9D9D9"/>
            <w:vAlign w:val="center"/>
            <w:hideMark/>
          </w:tcPr>
          <w:p w14:paraId="6E08E47C" w14:textId="6BFF4936"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14,375 </w:t>
            </w:r>
          </w:p>
        </w:tc>
      </w:tr>
      <w:tr w:rsidR="000A7258" w:rsidRPr="00645FC2" w14:paraId="53105254" w14:textId="77777777" w:rsidTr="00B27992">
        <w:trPr>
          <w:trHeight w:val="315"/>
        </w:trPr>
        <w:tc>
          <w:tcPr>
            <w:tcW w:w="5320" w:type="dxa"/>
            <w:tcBorders>
              <w:top w:val="nil"/>
              <w:left w:val="single" w:sz="8" w:space="0" w:color="auto"/>
              <w:bottom w:val="nil"/>
              <w:right w:val="nil"/>
            </w:tcBorders>
            <w:shd w:val="clear" w:color="000000" w:fill="D9D9D9"/>
            <w:vAlign w:val="center"/>
            <w:hideMark/>
          </w:tcPr>
          <w:p w14:paraId="3475CB2C" w14:textId="77777777" w:rsidR="000A7258" w:rsidRPr="00240148" w:rsidRDefault="000A7258" w:rsidP="000A7258">
            <w:pPr>
              <w:jc w:val="both"/>
              <w:rPr>
                <w:rFonts w:ascii="Arial" w:hAnsi="Arial" w:cs="Arial"/>
                <w:color w:val="000000"/>
                <w:sz w:val="22"/>
                <w:szCs w:val="22"/>
              </w:rPr>
            </w:pPr>
            <w:r w:rsidRPr="00240148">
              <w:rPr>
                <w:rFonts w:ascii="Arial" w:hAnsi="Arial" w:cs="Arial"/>
                <w:color w:val="000000"/>
                <w:sz w:val="22"/>
                <w:szCs w:val="22"/>
              </w:rPr>
              <w:t>Maturing in more than 10 years</w:t>
            </w:r>
          </w:p>
        </w:tc>
        <w:tc>
          <w:tcPr>
            <w:tcW w:w="1600" w:type="dxa"/>
            <w:tcBorders>
              <w:top w:val="nil"/>
              <w:left w:val="single" w:sz="4" w:space="0" w:color="auto"/>
              <w:bottom w:val="nil"/>
              <w:right w:val="single" w:sz="8" w:space="0" w:color="auto"/>
            </w:tcBorders>
            <w:vAlign w:val="center"/>
            <w:hideMark/>
          </w:tcPr>
          <w:p w14:paraId="26001E78" w14:textId="5D808574"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15,913 </w:t>
            </w:r>
          </w:p>
        </w:tc>
        <w:tc>
          <w:tcPr>
            <w:tcW w:w="1240" w:type="dxa"/>
            <w:tcBorders>
              <w:top w:val="nil"/>
              <w:left w:val="nil"/>
              <w:bottom w:val="nil"/>
              <w:right w:val="single" w:sz="8" w:space="0" w:color="auto"/>
            </w:tcBorders>
            <w:shd w:val="clear" w:color="000000" w:fill="D9D9D9"/>
            <w:vAlign w:val="center"/>
            <w:hideMark/>
          </w:tcPr>
          <w:p w14:paraId="6D9DA002" w14:textId="4CA68C48" w:rsidR="000A7258" w:rsidRPr="00645FC2" w:rsidRDefault="000A7258" w:rsidP="000A7258">
            <w:pPr>
              <w:jc w:val="right"/>
              <w:rPr>
                <w:rFonts w:ascii="Arial" w:hAnsi="Arial" w:cs="Arial"/>
                <w:color w:val="000000"/>
                <w:sz w:val="22"/>
                <w:szCs w:val="22"/>
                <w:highlight w:val="yellow"/>
              </w:rPr>
            </w:pPr>
            <w:r>
              <w:rPr>
                <w:rFonts w:ascii="Arial" w:hAnsi="Arial" w:cs="Arial"/>
                <w:color w:val="000000"/>
                <w:sz w:val="22"/>
                <w:szCs w:val="22"/>
              </w:rPr>
              <w:t xml:space="preserve">13,838 </w:t>
            </w:r>
          </w:p>
        </w:tc>
      </w:tr>
      <w:tr w:rsidR="000A7258" w:rsidRPr="00645FC2" w14:paraId="40465702" w14:textId="77777777" w:rsidTr="00B27992">
        <w:trPr>
          <w:trHeight w:val="315"/>
        </w:trPr>
        <w:tc>
          <w:tcPr>
            <w:tcW w:w="5320" w:type="dxa"/>
            <w:tcBorders>
              <w:top w:val="nil"/>
              <w:left w:val="single" w:sz="8" w:space="0" w:color="auto"/>
              <w:bottom w:val="nil"/>
              <w:right w:val="single" w:sz="4" w:space="0" w:color="auto"/>
            </w:tcBorders>
            <w:shd w:val="clear" w:color="000000" w:fill="D9D9D9"/>
            <w:vAlign w:val="center"/>
            <w:hideMark/>
          </w:tcPr>
          <w:p w14:paraId="3433460B" w14:textId="77777777" w:rsidR="000A7258" w:rsidRPr="00240148" w:rsidRDefault="000A7258" w:rsidP="000A7258">
            <w:pPr>
              <w:jc w:val="both"/>
              <w:rPr>
                <w:rFonts w:ascii="Arial" w:hAnsi="Arial" w:cs="Arial"/>
                <w:b/>
                <w:bCs/>
                <w:color w:val="000000"/>
                <w:sz w:val="22"/>
                <w:szCs w:val="22"/>
              </w:rPr>
            </w:pPr>
            <w:r w:rsidRPr="00240148">
              <w:rPr>
                <w:rFonts w:ascii="Arial" w:hAnsi="Arial" w:cs="Arial"/>
                <w:b/>
                <w:bCs/>
                <w:color w:val="000000"/>
                <w:sz w:val="22"/>
                <w:szCs w:val="22"/>
              </w:rPr>
              <w:t>Total long-term borrowing</w:t>
            </w:r>
          </w:p>
        </w:tc>
        <w:tc>
          <w:tcPr>
            <w:tcW w:w="1600" w:type="dxa"/>
            <w:tcBorders>
              <w:top w:val="single" w:sz="8" w:space="0" w:color="auto"/>
              <w:left w:val="single" w:sz="4" w:space="0" w:color="auto"/>
              <w:bottom w:val="single" w:sz="8" w:space="0" w:color="auto"/>
              <w:right w:val="single" w:sz="8" w:space="0" w:color="auto"/>
            </w:tcBorders>
            <w:vAlign w:val="center"/>
            <w:hideMark/>
          </w:tcPr>
          <w:p w14:paraId="2E12F28F" w14:textId="7C760368" w:rsidR="000A7258" w:rsidRPr="00645FC2" w:rsidRDefault="000A7258" w:rsidP="000A7258">
            <w:pPr>
              <w:jc w:val="right"/>
              <w:rPr>
                <w:rFonts w:ascii="Arial" w:hAnsi="Arial" w:cs="Arial"/>
                <w:b/>
                <w:bCs/>
                <w:color w:val="000000"/>
                <w:sz w:val="22"/>
                <w:szCs w:val="22"/>
                <w:highlight w:val="yellow"/>
              </w:rPr>
            </w:pPr>
            <w:r>
              <w:rPr>
                <w:rFonts w:ascii="Arial" w:hAnsi="Arial" w:cs="Arial"/>
                <w:b/>
                <w:bCs/>
                <w:color w:val="000000"/>
                <w:sz w:val="22"/>
                <w:szCs w:val="22"/>
              </w:rPr>
              <w:t xml:space="preserve">45,888 </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14:paraId="27F01445" w14:textId="0B12E2B8" w:rsidR="000A7258" w:rsidRPr="00645FC2" w:rsidRDefault="000A7258" w:rsidP="000A7258">
            <w:pPr>
              <w:jc w:val="right"/>
              <w:rPr>
                <w:rFonts w:ascii="Arial" w:hAnsi="Arial" w:cs="Arial"/>
                <w:b/>
                <w:bCs/>
                <w:color w:val="000000"/>
                <w:sz w:val="22"/>
                <w:szCs w:val="22"/>
                <w:highlight w:val="yellow"/>
              </w:rPr>
            </w:pPr>
            <w:r>
              <w:rPr>
                <w:rFonts w:ascii="Arial" w:hAnsi="Arial" w:cs="Arial"/>
                <w:b/>
                <w:bCs/>
                <w:color w:val="000000"/>
                <w:sz w:val="22"/>
                <w:szCs w:val="22"/>
              </w:rPr>
              <w:t xml:space="preserve">39,413 </w:t>
            </w:r>
          </w:p>
        </w:tc>
      </w:tr>
      <w:tr w:rsidR="000A7258" w:rsidRPr="00645FC2" w14:paraId="6F336BDF" w14:textId="77777777" w:rsidTr="00B27992">
        <w:trPr>
          <w:trHeight w:val="315"/>
        </w:trPr>
        <w:tc>
          <w:tcPr>
            <w:tcW w:w="5320" w:type="dxa"/>
            <w:tcBorders>
              <w:top w:val="nil"/>
              <w:left w:val="single" w:sz="8" w:space="0" w:color="auto"/>
              <w:bottom w:val="nil"/>
              <w:right w:val="single" w:sz="4" w:space="0" w:color="auto"/>
            </w:tcBorders>
            <w:shd w:val="clear" w:color="000000" w:fill="D9D9D9"/>
            <w:vAlign w:val="center"/>
            <w:hideMark/>
          </w:tcPr>
          <w:p w14:paraId="6584CD8D" w14:textId="77777777" w:rsidR="000A7258" w:rsidRPr="00240148" w:rsidRDefault="000A7258" w:rsidP="000A7258">
            <w:pPr>
              <w:rPr>
                <w:color w:val="000000"/>
              </w:rPr>
            </w:pPr>
            <w:r w:rsidRPr="00240148">
              <w:rPr>
                <w:color w:val="000000"/>
              </w:rPr>
              <w:t> </w:t>
            </w:r>
          </w:p>
        </w:tc>
        <w:tc>
          <w:tcPr>
            <w:tcW w:w="1600" w:type="dxa"/>
            <w:tcBorders>
              <w:top w:val="nil"/>
              <w:left w:val="single" w:sz="4" w:space="0" w:color="auto"/>
              <w:bottom w:val="nil"/>
              <w:right w:val="single" w:sz="8" w:space="0" w:color="auto"/>
            </w:tcBorders>
            <w:vAlign w:val="center"/>
            <w:hideMark/>
          </w:tcPr>
          <w:p w14:paraId="32CE94A8" w14:textId="49DCA27F" w:rsidR="000A7258" w:rsidRPr="00645FC2" w:rsidRDefault="000A7258" w:rsidP="000A7258">
            <w:pPr>
              <w:rPr>
                <w:color w:val="000000"/>
                <w:highlight w:val="yellow"/>
              </w:rPr>
            </w:pPr>
            <w:r>
              <w:rPr>
                <w:rFonts w:ascii="Arial" w:hAnsi="Arial" w:cs="Arial"/>
                <w:b/>
                <w:bCs/>
                <w:color w:val="000000"/>
                <w:sz w:val="22"/>
                <w:szCs w:val="22"/>
              </w:rPr>
              <w:t> </w:t>
            </w:r>
          </w:p>
        </w:tc>
        <w:tc>
          <w:tcPr>
            <w:tcW w:w="1240" w:type="dxa"/>
            <w:tcBorders>
              <w:top w:val="nil"/>
              <w:left w:val="nil"/>
              <w:bottom w:val="nil"/>
              <w:right w:val="single" w:sz="8" w:space="0" w:color="auto"/>
            </w:tcBorders>
            <w:shd w:val="clear" w:color="000000" w:fill="D9D9D9"/>
            <w:vAlign w:val="center"/>
            <w:hideMark/>
          </w:tcPr>
          <w:p w14:paraId="3A29C33A" w14:textId="36473EE1" w:rsidR="000A7258" w:rsidRPr="00645FC2" w:rsidRDefault="000A7258" w:rsidP="000A7258">
            <w:pPr>
              <w:jc w:val="right"/>
              <w:rPr>
                <w:rFonts w:ascii="Arial" w:hAnsi="Arial" w:cs="Arial"/>
                <w:b/>
                <w:bCs/>
                <w:color w:val="000000"/>
                <w:sz w:val="22"/>
                <w:szCs w:val="22"/>
                <w:highlight w:val="yellow"/>
              </w:rPr>
            </w:pPr>
            <w:r>
              <w:rPr>
                <w:rFonts w:ascii="Arial" w:hAnsi="Arial" w:cs="Arial"/>
                <w:b/>
                <w:bCs/>
                <w:color w:val="000000"/>
                <w:sz w:val="22"/>
                <w:szCs w:val="22"/>
              </w:rPr>
              <w:t> </w:t>
            </w:r>
          </w:p>
        </w:tc>
      </w:tr>
      <w:tr w:rsidR="000A7258" w:rsidRPr="00645FC2" w14:paraId="7F224B09" w14:textId="77777777" w:rsidTr="00B27992">
        <w:trPr>
          <w:trHeight w:val="315"/>
        </w:trPr>
        <w:tc>
          <w:tcPr>
            <w:tcW w:w="5320" w:type="dxa"/>
            <w:tcBorders>
              <w:top w:val="nil"/>
              <w:left w:val="single" w:sz="8" w:space="0" w:color="auto"/>
              <w:bottom w:val="single" w:sz="8" w:space="0" w:color="auto"/>
              <w:right w:val="single" w:sz="4" w:space="0" w:color="auto"/>
            </w:tcBorders>
            <w:shd w:val="clear" w:color="000000" w:fill="D9D9D9"/>
            <w:vAlign w:val="center"/>
            <w:hideMark/>
          </w:tcPr>
          <w:p w14:paraId="22BE481E" w14:textId="77777777" w:rsidR="000A7258" w:rsidRPr="00240148" w:rsidRDefault="000A7258" w:rsidP="000A7258">
            <w:pPr>
              <w:jc w:val="both"/>
              <w:rPr>
                <w:rFonts w:ascii="Arial" w:hAnsi="Arial" w:cs="Arial"/>
                <w:b/>
                <w:bCs/>
                <w:color w:val="000000"/>
                <w:sz w:val="22"/>
                <w:szCs w:val="22"/>
              </w:rPr>
            </w:pPr>
            <w:r w:rsidRPr="00240148">
              <w:rPr>
                <w:rFonts w:ascii="Arial" w:hAnsi="Arial" w:cs="Arial"/>
                <w:b/>
                <w:bCs/>
                <w:color w:val="000000"/>
                <w:sz w:val="22"/>
                <w:szCs w:val="22"/>
              </w:rPr>
              <w:t>Total borrowing</w:t>
            </w:r>
          </w:p>
        </w:tc>
        <w:tc>
          <w:tcPr>
            <w:tcW w:w="1600" w:type="dxa"/>
            <w:tcBorders>
              <w:top w:val="single" w:sz="8" w:space="0" w:color="auto"/>
              <w:left w:val="single" w:sz="4" w:space="0" w:color="auto"/>
              <w:bottom w:val="single" w:sz="8" w:space="0" w:color="auto"/>
              <w:right w:val="single" w:sz="8" w:space="0" w:color="auto"/>
            </w:tcBorders>
            <w:vAlign w:val="center"/>
            <w:hideMark/>
          </w:tcPr>
          <w:p w14:paraId="78E17558" w14:textId="70FF579E" w:rsidR="000A7258" w:rsidRPr="00645FC2" w:rsidRDefault="000A7258" w:rsidP="000A7258">
            <w:pPr>
              <w:jc w:val="right"/>
              <w:rPr>
                <w:rFonts w:ascii="Arial" w:hAnsi="Arial" w:cs="Arial"/>
                <w:b/>
                <w:bCs/>
                <w:color w:val="000000"/>
                <w:sz w:val="22"/>
                <w:szCs w:val="22"/>
                <w:highlight w:val="yellow"/>
              </w:rPr>
            </w:pPr>
            <w:r>
              <w:rPr>
                <w:rFonts w:ascii="Arial" w:hAnsi="Arial" w:cs="Arial"/>
                <w:b/>
                <w:bCs/>
                <w:color w:val="000000"/>
                <w:sz w:val="22"/>
                <w:szCs w:val="22"/>
              </w:rPr>
              <w:t xml:space="preserve">92,384 </w:t>
            </w:r>
          </w:p>
        </w:tc>
        <w:tc>
          <w:tcPr>
            <w:tcW w:w="1240" w:type="dxa"/>
            <w:tcBorders>
              <w:top w:val="single" w:sz="8" w:space="0" w:color="auto"/>
              <w:left w:val="nil"/>
              <w:bottom w:val="single" w:sz="8" w:space="0" w:color="auto"/>
              <w:right w:val="single" w:sz="8" w:space="0" w:color="auto"/>
            </w:tcBorders>
            <w:shd w:val="clear" w:color="000000" w:fill="D9D9D9"/>
            <w:vAlign w:val="center"/>
            <w:hideMark/>
          </w:tcPr>
          <w:p w14:paraId="7C5FB7FC" w14:textId="5EB949E2" w:rsidR="000A7258" w:rsidRPr="00645FC2" w:rsidRDefault="000A7258" w:rsidP="000A7258">
            <w:pPr>
              <w:jc w:val="right"/>
              <w:rPr>
                <w:rFonts w:ascii="Arial" w:hAnsi="Arial" w:cs="Arial"/>
                <w:b/>
                <w:bCs/>
                <w:color w:val="000000"/>
                <w:sz w:val="22"/>
                <w:szCs w:val="22"/>
                <w:highlight w:val="yellow"/>
              </w:rPr>
            </w:pPr>
            <w:r>
              <w:rPr>
                <w:rFonts w:ascii="Arial" w:hAnsi="Arial" w:cs="Arial"/>
                <w:b/>
                <w:bCs/>
                <w:color w:val="000000"/>
                <w:sz w:val="22"/>
                <w:szCs w:val="22"/>
              </w:rPr>
              <w:t xml:space="preserve">100,888 </w:t>
            </w:r>
          </w:p>
        </w:tc>
      </w:tr>
    </w:tbl>
    <w:p w14:paraId="64D2F72D" w14:textId="77777777" w:rsidR="003B74DA" w:rsidRPr="00645FC2" w:rsidRDefault="003B74DA" w:rsidP="003B74DA">
      <w:pPr>
        <w:ind w:left="426"/>
        <w:jc w:val="both"/>
        <w:rPr>
          <w:rFonts w:ascii="Arial" w:hAnsi="Arial" w:cs="Arial"/>
          <w:sz w:val="22"/>
          <w:szCs w:val="22"/>
          <w:highlight w:val="yellow"/>
        </w:rPr>
      </w:pPr>
    </w:p>
    <w:p w14:paraId="0C6160E7" w14:textId="29C60AC9" w:rsidR="003B74DA" w:rsidRPr="00B81644" w:rsidRDefault="003B74DA" w:rsidP="003B74DA">
      <w:pPr>
        <w:ind w:left="426"/>
        <w:jc w:val="both"/>
        <w:rPr>
          <w:rFonts w:ascii="Arial" w:hAnsi="Arial" w:cs="Arial"/>
          <w:sz w:val="22"/>
          <w:szCs w:val="22"/>
        </w:rPr>
      </w:pPr>
      <w:r w:rsidRPr="00B81644">
        <w:rPr>
          <w:rFonts w:ascii="Arial" w:hAnsi="Arial" w:cs="Arial"/>
          <w:sz w:val="22"/>
          <w:szCs w:val="22"/>
        </w:rPr>
        <w:t>With our financial assets a significant proportion are recallable at any time. The PCC</w:t>
      </w:r>
      <w:r w:rsidR="005B6F05" w:rsidRPr="00B81644">
        <w:rPr>
          <w:rFonts w:ascii="Arial" w:hAnsi="Arial" w:cs="Arial"/>
          <w:sz w:val="22"/>
          <w:szCs w:val="22"/>
        </w:rPr>
        <w:t>’</w:t>
      </w:r>
      <w:r w:rsidRPr="00B81644">
        <w:rPr>
          <w:rFonts w:ascii="Arial" w:hAnsi="Arial" w:cs="Arial"/>
          <w:sz w:val="22"/>
          <w:szCs w:val="22"/>
        </w:rPr>
        <w:t xml:space="preserve">s CFO meets on a regular basis with the </w:t>
      </w:r>
      <w:r w:rsidR="00B824FC">
        <w:rPr>
          <w:rFonts w:ascii="Arial" w:hAnsi="Arial" w:cs="Arial"/>
          <w:sz w:val="22"/>
          <w:szCs w:val="22"/>
        </w:rPr>
        <w:t>t</w:t>
      </w:r>
      <w:r w:rsidRPr="00B81644">
        <w:rPr>
          <w:rFonts w:ascii="Arial" w:hAnsi="Arial" w:cs="Arial"/>
          <w:sz w:val="22"/>
          <w:szCs w:val="22"/>
        </w:rPr>
        <w:t>reasury management team to discuss cash flow and the appropriate level of balances to keep on call.</w:t>
      </w:r>
    </w:p>
    <w:p w14:paraId="0ECF3272" w14:textId="77777777" w:rsidR="003B74DA" w:rsidRPr="00B81644" w:rsidRDefault="003B74DA" w:rsidP="003B74DA">
      <w:pPr>
        <w:ind w:left="426"/>
        <w:jc w:val="both"/>
        <w:rPr>
          <w:rFonts w:ascii="Arial" w:hAnsi="Arial" w:cs="Arial"/>
          <w:sz w:val="22"/>
          <w:szCs w:val="22"/>
        </w:rPr>
      </w:pPr>
    </w:p>
    <w:p w14:paraId="432C013E" w14:textId="77777777" w:rsidR="00791D75" w:rsidRDefault="00791D75">
      <w:pPr>
        <w:rPr>
          <w:rFonts w:ascii="Arial" w:hAnsi="Arial" w:cs="Arial"/>
          <w:sz w:val="22"/>
          <w:szCs w:val="22"/>
        </w:rPr>
      </w:pPr>
      <w:r>
        <w:rPr>
          <w:rFonts w:ascii="Arial" w:hAnsi="Arial" w:cs="Arial"/>
          <w:sz w:val="22"/>
          <w:szCs w:val="22"/>
        </w:rPr>
        <w:br w:type="page"/>
      </w:r>
    </w:p>
    <w:p w14:paraId="3DCEFF8E" w14:textId="11FD72DB" w:rsidR="003B74DA" w:rsidRPr="00B81644" w:rsidRDefault="003B74DA" w:rsidP="003B74DA">
      <w:pPr>
        <w:ind w:left="426"/>
        <w:jc w:val="both"/>
        <w:rPr>
          <w:rFonts w:ascii="Arial" w:hAnsi="Arial" w:cs="Arial"/>
          <w:sz w:val="22"/>
          <w:szCs w:val="22"/>
        </w:rPr>
      </w:pPr>
      <w:r w:rsidRPr="00B81644">
        <w:rPr>
          <w:rFonts w:ascii="Arial" w:hAnsi="Arial" w:cs="Arial"/>
          <w:sz w:val="22"/>
          <w:szCs w:val="22"/>
        </w:rPr>
        <w:lastRenderedPageBreak/>
        <w:t>The maturity analysis of financial instruments is as follows:</w:t>
      </w:r>
    </w:p>
    <w:p w14:paraId="4D4682F9" w14:textId="77777777" w:rsidR="006927EB" w:rsidRPr="00645FC2" w:rsidRDefault="006927EB" w:rsidP="00340203">
      <w:pPr>
        <w:ind w:left="426"/>
        <w:jc w:val="both"/>
        <w:rPr>
          <w:rFonts w:ascii="Arial" w:hAnsi="Arial" w:cs="Arial"/>
          <w:sz w:val="22"/>
          <w:szCs w:val="22"/>
          <w:highlight w:val="yellow"/>
        </w:rPr>
      </w:pPr>
    </w:p>
    <w:tbl>
      <w:tblPr>
        <w:tblW w:w="10763" w:type="dxa"/>
        <w:tblLook w:val="04A0" w:firstRow="1" w:lastRow="0" w:firstColumn="1" w:lastColumn="0" w:noHBand="0" w:noVBand="1"/>
      </w:tblPr>
      <w:tblGrid>
        <w:gridCol w:w="2977"/>
        <w:gridCol w:w="1231"/>
        <w:gridCol w:w="1349"/>
        <w:gridCol w:w="1345"/>
        <w:gridCol w:w="1231"/>
        <w:gridCol w:w="1349"/>
        <w:gridCol w:w="1281"/>
      </w:tblGrid>
      <w:tr w:rsidR="00B14880" w:rsidRPr="00645FC2" w14:paraId="77CB0E9D" w14:textId="77777777" w:rsidTr="005E2F77">
        <w:trPr>
          <w:trHeight w:val="300"/>
        </w:trPr>
        <w:tc>
          <w:tcPr>
            <w:tcW w:w="2977" w:type="dxa"/>
            <w:vMerge w:val="restart"/>
            <w:tcBorders>
              <w:top w:val="single" w:sz="8" w:space="0" w:color="auto"/>
              <w:left w:val="single" w:sz="8" w:space="0" w:color="auto"/>
              <w:bottom w:val="nil"/>
              <w:right w:val="nil"/>
            </w:tcBorders>
            <w:shd w:val="clear" w:color="000000" w:fill="D9D9D9"/>
            <w:vAlign w:val="center"/>
            <w:hideMark/>
          </w:tcPr>
          <w:p w14:paraId="755D905D" w14:textId="6A1330CF" w:rsidR="00B14880" w:rsidRPr="007F7ED9" w:rsidRDefault="00E9789A" w:rsidP="00B14880">
            <w:pPr>
              <w:rPr>
                <w:rFonts w:ascii="Arial" w:hAnsi="Arial" w:cs="Arial"/>
                <w:b/>
                <w:bCs/>
                <w:color w:val="000000"/>
                <w:sz w:val="22"/>
                <w:szCs w:val="22"/>
              </w:rPr>
            </w:pPr>
            <w:r>
              <w:rPr>
                <w:rFonts w:ascii="Arial" w:hAnsi="Arial" w:cs="Arial"/>
                <w:b/>
                <w:bCs/>
                <w:color w:val="000000"/>
                <w:sz w:val="22"/>
                <w:szCs w:val="22"/>
              </w:rPr>
              <w:t>PCC GROUP/PCC</w:t>
            </w:r>
            <w:r w:rsidRPr="007F7ED9" w:rsidDel="00E9789A">
              <w:rPr>
                <w:rFonts w:ascii="Arial" w:hAnsi="Arial" w:cs="Arial"/>
                <w:b/>
                <w:bCs/>
                <w:color w:val="000000"/>
                <w:sz w:val="22"/>
                <w:szCs w:val="22"/>
              </w:rPr>
              <w:t xml:space="preserve"> </w:t>
            </w:r>
          </w:p>
        </w:tc>
        <w:tc>
          <w:tcPr>
            <w:tcW w:w="3925" w:type="dxa"/>
            <w:gridSpan w:val="3"/>
            <w:tcBorders>
              <w:top w:val="single" w:sz="8" w:space="0" w:color="auto"/>
              <w:left w:val="nil"/>
              <w:bottom w:val="nil"/>
              <w:right w:val="nil"/>
            </w:tcBorders>
            <w:vAlign w:val="center"/>
            <w:hideMark/>
          </w:tcPr>
          <w:p w14:paraId="21783C51" w14:textId="5BF64DA5" w:rsidR="00B14880" w:rsidRPr="007F7ED9" w:rsidRDefault="00B14880" w:rsidP="00B14880">
            <w:pPr>
              <w:jc w:val="center"/>
              <w:rPr>
                <w:rFonts w:ascii="Arial" w:hAnsi="Arial" w:cs="Arial"/>
                <w:b/>
                <w:bCs/>
                <w:color w:val="000000"/>
                <w:sz w:val="22"/>
                <w:szCs w:val="22"/>
              </w:rPr>
            </w:pPr>
            <w:r w:rsidRPr="007F7ED9">
              <w:rPr>
                <w:rFonts w:ascii="Arial" w:hAnsi="Arial" w:cs="Arial"/>
                <w:b/>
                <w:bCs/>
                <w:color w:val="000000"/>
                <w:sz w:val="22"/>
                <w:szCs w:val="22"/>
              </w:rPr>
              <w:t>31-Mar-2</w:t>
            </w:r>
            <w:r w:rsidR="00124A82">
              <w:rPr>
                <w:rFonts w:ascii="Arial" w:hAnsi="Arial" w:cs="Arial"/>
                <w:b/>
                <w:bCs/>
                <w:color w:val="000000"/>
                <w:sz w:val="22"/>
                <w:szCs w:val="22"/>
              </w:rPr>
              <w:t>4</w:t>
            </w:r>
          </w:p>
        </w:tc>
        <w:tc>
          <w:tcPr>
            <w:tcW w:w="3861" w:type="dxa"/>
            <w:gridSpan w:val="3"/>
            <w:tcBorders>
              <w:top w:val="single" w:sz="8" w:space="0" w:color="auto"/>
              <w:left w:val="nil"/>
              <w:bottom w:val="nil"/>
              <w:right w:val="single" w:sz="8" w:space="0" w:color="000000"/>
            </w:tcBorders>
            <w:shd w:val="clear" w:color="000000" w:fill="D9D9D9"/>
            <w:vAlign w:val="center"/>
            <w:hideMark/>
          </w:tcPr>
          <w:p w14:paraId="1CAEC512" w14:textId="09408D72" w:rsidR="00B14880" w:rsidRPr="007F7ED9" w:rsidRDefault="00B14880" w:rsidP="00B14880">
            <w:pPr>
              <w:jc w:val="center"/>
              <w:rPr>
                <w:rFonts w:ascii="Arial" w:hAnsi="Arial" w:cs="Arial"/>
                <w:b/>
                <w:bCs/>
                <w:color w:val="000000"/>
                <w:sz w:val="22"/>
                <w:szCs w:val="22"/>
              </w:rPr>
            </w:pPr>
            <w:r w:rsidRPr="007F7ED9">
              <w:rPr>
                <w:rFonts w:ascii="Arial" w:hAnsi="Arial" w:cs="Arial"/>
                <w:b/>
                <w:bCs/>
                <w:color w:val="000000"/>
                <w:sz w:val="22"/>
                <w:szCs w:val="22"/>
              </w:rPr>
              <w:t>31-Mar-2</w:t>
            </w:r>
            <w:r w:rsidR="00124A82">
              <w:rPr>
                <w:rFonts w:ascii="Arial" w:hAnsi="Arial" w:cs="Arial"/>
                <w:b/>
                <w:bCs/>
                <w:color w:val="000000"/>
                <w:sz w:val="22"/>
                <w:szCs w:val="22"/>
              </w:rPr>
              <w:t>5</w:t>
            </w:r>
          </w:p>
        </w:tc>
      </w:tr>
      <w:tr w:rsidR="00B14880" w:rsidRPr="00645FC2" w14:paraId="336FD431" w14:textId="77777777" w:rsidTr="00B14880">
        <w:trPr>
          <w:trHeight w:val="300"/>
        </w:trPr>
        <w:tc>
          <w:tcPr>
            <w:tcW w:w="2977" w:type="dxa"/>
            <w:vMerge/>
            <w:tcBorders>
              <w:top w:val="single" w:sz="8" w:space="0" w:color="auto"/>
              <w:left w:val="single" w:sz="8" w:space="0" w:color="auto"/>
              <w:bottom w:val="nil"/>
              <w:right w:val="nil"/>
            </w:tcBorders>
            <w:vAlign w:val="center"/>
            <w:hideMark/>
          </w:tcPr>
          <w:p w14:paraId="43FC9D63" w14:textId="77777777" w:rsidR="00B14880" w:rsidRPr="007F7ED9" w:rsidRDefault="00B14880" w:rsidP="00B14880">
            <w:pPr>
              <w:rPr>
                <w:rFonts w:ascii="Arial" w:hAnsi="Arial" w:cs="Arial"/>
                <w:b/>
                <w:bCs/>
                <w:color w:val="000000"/>
                <w:sz w:val="22"/>
                <w:szCs w:val="22"/>
              </w:rPr>
            </w:pPr>
          </w:p>
        </w:tc>
        <w:tc>
          <w:tcPr>
            <w:tcW w:w="1231" w:type="dxa"/>
            <w:tcBorders>
              <w:top w:val="nil"/>
              <w:left w:val="nil"/>
              <w:bottom w:val="nil"/>
              <w:right w:val="nil"/>
            </w:tcBorders>
            <w:vAlign w:val="center"/>
            <w:hideMark/>
          </w:tcPr>
          <w:p w14:paraId="4D2EBEA6"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Liabilities</w:t>
            </w:r>
          </w:p>
        </w:tc>
        <w:tc>
          <w:tcPr>
            <w:tcW w:w="1349" w:type="dxa"/>
            <w:tcBorders>
              <w:top w:val="nil"/>
              <w:left w:val="nil"/>
              <w:bottom w:val="nil"/>
              <w:right w:val="nil"/>
            </w:tcBorders>
            <w:vAlign w:val="center"/>
            <w:hideMark/>
          </w:tcPr>
          <w:p w14:paraId="1554BE6C"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Assets</w:t>
            </w:r>
          </w:p>
        </w:tc>
        <w:tc>
          <w:tcPr>
            <w:tcW w:w="1345" w:type="dxa"/>
            <w:tcBorders>
              <w:top w:val="nil"/>
              <w:left w:val="nil"/>
              <w:bottom w:val="nil"/>
              <w:right w:val="nil"/>
            </w:tcBorders>
            <w:vAlign w:val="center"/>
            <w:hideMark/>
          </w:tcPr>
          <w:p w14:paraId="6F1A0016"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Net</w:t>
            </w:r>
          </w:p>
        </w:tc>
        <w:tc>
          <w:tcPr>
            <w:tcW w:w="1231" w:type="dxa"/>
            <w:tcBorders>
              <w:top w:val="nil"/>
              <w:left w:val="nil"/>
              <w:bottom w:val="nil"/>
              <w:right w:val="nil"/>
            </w:tcBorders>
            <w:shd w:val="clear" w:color="000000" w:fill="D9D9D9"/>
            <w:vAlign w:val="center"/>
            <w:hideMark/>
          </w:tcPr>
          <w:p w14:paraId="53823770"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Liabilities</w:t>
            </w:r>
          </w:p>
        </w:tc>
        <w:tc>
          <w:tcPr>
            <w:tcW w:w="1349" w:type="dxa"/>
            <w:tcBorders>
              <w:top w:val="nil"/>
              <w:left w:val="nil"/>
              <w:bottom w:val="nil"/>
              <w:right w:val="nil"/>
            </w:tcBorders>
            <w:shd w:val="clear" w:color="000000" w:fill="D9D9D9"/>
            <w:vAlign w:val="center"/>
            <w:hideMark/>
          </w:tcPr>
          <w:p w14:paraId="4595AFCF"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Assets</w:t>
            </w:r>
          </w:p>
        </w:tc>
        <w:tc>
          <w:tcPr>
            <w:tcW w:w="1281" w:type="dxa"/>
            <w:tcBorders>
              <w:top w:val="nil"/>
              <w:left w:val="nil"/>
              <w:bottom w:val="nil"/>
              <w:right w:val="single" w:sz="8" w:space="0" w:color="auto"/>
            </w:tcBorders>
            <w:shd w:val="clear" w:color="000000" w:fill="D9D9D9"/>
            <w:vAlign w:val="center"/>
            <w:hideMark/>
          </w:tcPr>
          <w:p w14:paraId="1A867629"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Net</w:t>
            </w:r>
          </w:p>
        </w:tc>
      </w:tr>
      <w:tr w:rsidR="00B14880" w:rsidRPr="00645FC2" w14:paraId="1011DE25" w14:textId="77777777" w:rsidTr="00B14880">
        <w:trPr>
          <w:trHeight w:val="300"/>
        </w:trPr>
        <w:tc>
          <w:tcPr>
            <w:tcW w:w="2977" w:type="dxa"/>
            <w:tcBorders>
              <w:top w:val="nil"/>
              <w:left w:val="single" w:sz="8" w:space="0" w:color="auto"/>
              <w:bottom w:val="nil"/>
              <w:right w:val="nil"/>
            </w:tcBorders>
            <w:shd w:val="clear" w:color="000000" w:fill="D9D9D9"/>
            <w:vAlign w:val="center"/>
            <w:hideMark/>
          </w:tcPr>
          <w:p w14:paraId="642C38B6" w14:textId="04D89ED1" w:rsidR="00B14880" w:rsidRPr="007F7ED9" w:rsidRDefault="00B14880" w:rsidP="00B14880">
            <w:pPr>
              <w:rPr>
                <w:rFonts w:ascii="Arial" w:hAnsi="Arial" w:cs="Arial"/>
                <w:b/>
                <w:bCs/>
                <w:color w:val="000000"/>
                <w:sz w:val="22"/>
                <w:szCs w:val="22"/>
              </w:rPr>
            </w:pPr>
            <w:r w:rsidRPr="007F7ED9">
              <w:rPr>
                <w:rFonts w:ascii="Arial" w:hAnsi="Arial" w:cs="Arial"/>
                <w:b/>
                <w:bCs/>
                <w:color w:val="000000"/>
                <w:sz w:val="22"/>
                <w:szCs w:val="22"/>
              </w:rPr>
              <w:t> </w:t>
            </w:r>
            <w:r w:rsidR="00E9789A" w:rsidRPr="007F7ED9">
              <w:rPr>
                <w:rFonts w:ascii="Arial" w:hAnsi="Arial" w:cs="Arial"/>
                <w:b/>
                <w:bCs/>
                <w:color w:val="000000"/>
                <w:sz w:val="22"/>
                <w:szCs w:val="22"/>
              </w:rPr>
              <w:t>Time to maturity (years)</w:t>
            </w:r>
          </w:p>
        </w:tc>
        <w:tc>
          <w:tcPr>
            <w:tcW w:w="1231" w:type="dxa"/>
            <w:tcBorders>
              <w:top w:val="nil"/>
              <w:left w:val="nil"/>
              <w:bottom w:val="nil"/>
              <w:right w:val="nil"/>
            </w:tcBorders>
            <w:vAlign w:val="center"/>
            <w:hideMark/>
          </w:tcPr>
          <w:p w14:paraId="0F8880F3"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£000</w:t>
            </w:r>
          </w:p>
        </w:tc>
        <w:tc>
          <w:tcPr>
            <w:tcW w:w="1349" w:type="dxa"/>
            <w:tcBorders>
              <w:top w:val="nil"/>
              <w:left w:val="nil"/>
              <w:bottom w:val="nil"/>
              <w:right w:val="nil"/>
            </w:tcBorders>
            <w:vAlign w:val="center"/>
            <w:hideMark/>
          </w:tcPr>
          <w:p w14:paraId="02C7B429"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£000</w:t>
            </w:r>
          </w:p>
        </w:tc>
        <w:tc>
          <w:tcPr>
            <w:tcW w:w="1345" w:type="dxa"/>
            <w:tcBorders>
              <w:top w:val="nil"/>
              <w:left w:val="nil"/>
              <w:bottom w:val="nil"/>
              <w:right w:val="nil"/>
            </w:tcBorders>
            <w:vAlign w:val="center"/>
            <w:hideMark/>
          </w:tcPr>
          <w:p w14:paraId="4257401E"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£000</w:t>
            </w:r>
          </w:p>
        </w:tc>
        <w:tc>
          <w:tcPr>
            <w:tcW w:w="1231" w:type="dxa"/>
            <w:tcBorders>
              <w:top w:val="nil"/>
              <w:left w:val="nil"/>
              <w:bottom w:val="nil"/>
              <w:right w:val="nil"/>
            </w:tcBorders>
            <w:shd w:val="clear" w:color="000000" w:fill="D9D9D9"/>
            <w:vAlign w:val="center"/>
            <w:hideMark/>
          </w:tcPr>
          <w:p w14:paraId="284393B9"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£000</w:t>
            </w:r>
          </w:p>
        </w:tc>
        <w:tc>
          <w:tcPr>
            <w:tcW w:w="1349" w:type="dxa"/>
            <w:tcBorders>
              <w:top w:val="nil"/>
              <w:left w:val="nil"/>
              <w:bottom w:val="nil"/>
              <w:right w:val="nil"/>
            </w:tcBorders>
            <w:shd w:val="clear" w:color="000000" w:fill="D9D9D9"/>
            <w:vAlign w:val="center"/>
            <w:hideMark/>
          </w:tcPr>
          <w:p w14:paraId="4386DC00"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£000</w:t>
            </w:r>
          </w:p>
        </w:tc>
        <w:tc>
          <w:tcPr>
            <w:tcW w:w="1281" w:type="dxa"/>
            <w:tcBorders>
              <w:top w:val="nil"/>
              <w:left w:val="nil"/>
              <w:bottom w:val="nil"/>
              <w:right w:val="single" w:sz="8" w:space="0" w:color="auto"/>
            </w:tcBorders>
            <w:shd w:val="clear" w:color="000000" w:fill="D9D9D9"/>
            <w:vAlign w:val="center"/>
            <w:hideMark/>
          </w:tcPr>
          <w:p w14:paraId="27B2C3E5"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£000</w:t>
            </w:r>
          </w:p>
        </w:tc>
      </w:tr>
      <w:tr w:rsidR="00B14880" w:rsidRPr="00645FC2" w14:paraId="520AD24C" w14:textId="77777777" w:rsidTr="00B14880">
        <w:trPr>
          <w:trHeight w:val="300"/>
        </w:trPr>
        <w:tc>
          <w:tcPr>
            <w:tcW w:w="2977" w:type="dxa"/>
            <w:tcBorders>
              <w:top w:val="nil"/>
              <w:left w:val="single" w:sz="8" w:space="0" w:color="auto"/>
              <w:bottom w:val="nil"/>
              <w:right w:val="nil"/>
            </w:tcBorders>
            <w:shd w:val="clear" w:color="000000" w:fill="D9D9D9"/>
            <w:vAlign w:val="center"/>
            <w:hideMark/>
          </w:tcPr>
          <w:p w14:paraId="1883DC87" w14:textId="77777777" w:rsidR="00B14880" w:rsidRPr="007F7ED9" w:rsidRDefault="00B14880" w:rsidP="00B14880">
            <w:pPr>
              <w:rPr>
                <w:rFonts w:ascii="Arial" w:hAnsi="Arial" w:cs="Arial"/>
                <w:b/>
                <w:bCs/>
                <w:color w:val="000000"/>
                <w:sz w:val="22"/>
                <w:szCs w:val="22"/>
              </w:rPr>
            </w:pPr>
            <w:r w:rsidRPr="007F7ED9">
              <w:rPr>
                <w:rFonts w:ascii="Arial" w:hAnsi="Arial" w:cs="Arial"/>
                <w:b/>
                <w:bCs/>
                <w:color w:val="000000"/>
                <w:sz w:val="22"/>
                <w:szCs w:val="22"/>
              </w:rPr>
              <w:t> </w:t>
            </w:r>
          </w:p>
        </w:tc>
        <w:tc>
          <w:tcPr>
            <w:tcW w:w="1231" w:type="dxa"/>
            <w:tcBorders>
              <w:top w:val="nil"/>
              <w:left w:val="nil"/>
              <w:bottom w:val="nil"/>
              <w:right w:val="nil"/>
            </w:tcBorders>
            <w:vAlign w:val="center"/>
            <w:hideMark/>
          </w:tcPr>
          <w:p w14:paraId="15AFEB88" w14:textId="77777777" w:rsidR="00B14880" w:rsidRPr="007F7ED9" w:rsidRDefault="00B14880" w:rsidP="00B14880">
            <w:pPr>
              <w:rPr>
                <w:rFonts w:ascii="Arial" w:hAnsi="Arial" w:cs="Arial"/>
                <w:b/>
                <w:bCs/>
                <w:color w:val="000000"/>
                <w:sz w:val="22"/>
                <w:szCs w:val="22"/>
              </w:rPr>
            </w:pPr>
          </w:p>
        </w:tc>
        <w:tc>
          <w:tcPr>
            <w:tcW w:w="1349" w:type="dxa"/>
            <w:tcBorders>
              <w:top w:val="nil"/>
              <w:left w:val="nil"/>
              <w:bottom w:val="nil"/>
              <w:right w:val="nil"/>
            </w:tcBorders>
            <w:vAlign w:val="center"/>
            <w:hideMark/>
          </w:tcPr>
          <w:p w14:paraId="18EB74A2" w14:textId="77777777" w:rsidR="00B14880" w:rsidRPr="007F7ED9" w:rsidRDefault="00B14880" w:rsidP="00B14880">
            <w:pPr>
              <w:jc w:val="right"/>
            </w:pPr>
          </w:p>
        </w:tc>
        <w:tc>
          <w:tcPr>
            <w:tcW w:w="1345" w:type="dxa"/>
            <w:tcBorders>
              <w:top w:val="nil"/>
              <w:left w:val="nil"/>
              <w:bottom w:val="nil"/>
              <w:right w:val="nil"/>
            </w:tcBorders>
            <w:vAlign w:val="center"/>
            <w:hideMark/>
          </w:tcPr>
          <w:p w14:paraId="1BE6357C" w14:textId="77777777" w:rsidR="00B14880" w:rsidRPr="007F7ED9" w:rsidRDefault="00B14880" w:rsidP="00B14880">
            <w:pPr>
              <w:jc w:val="right"/>
            </w:pPr>
          </w:p>
        </w:tc>
        <w:tc>
          <w:tcPr>
            <w:tcW w:w="1231" w:type="dxa"/>
            <w:tcBorders>
              <w:top w:val="nil"/>
              <w:left w:val="nil"/>
              <w:bottom w:val="nil"/>
              <w:right w:val="nil"/>
            </w:tcBorders>
            <w:shd w:val="clear" w:color="000000" w:fill="D9D9D9"/>
            <w:vAlign w:val="center"/>
            <w:hideMark/>
          </w:tcPr>
          <w:p w14:paraId="699E8639"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 </w:t>
            </w:r>
          </w:p>
        </w:tc>
        <w:tc>
          <w:tcPr>
            <w:tcW w:w="1349" w:type="dxa"/>
            <w:tcBorders>
              <w:top w:val="nil"/>
              <w:left w:val="nil"/>
              <w:bottom w:val="nil"/>
              <w:right w:val="nil"/>
            </w:tcBorders>
            <w:shd w:val="clear" w:color="000000" w:fill="D9D9D9"/>
            <w:vAlign w:val="center"/>
            <w:hideMark/>
          </w:tcPr>
          <w:p w14:paraId="0190310C"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 </w:t>
            </w:r>
          </w:p>
        </w:tc>
        <w:tc>
          <w:tcPr>
            <w:tcW w:w="1281" w:type="dxa"/>
            <w:tcBorders>
              <w:top w:val="nil"/>
              <w:left w:val="nil"/>
              <w:bottom w:val="nil"/>
              <w:right w:val="single" w:sz="8" w:space="0" w:color="auto"/>
            </w:tcBorders>
            <w:shd w:val="clear" w:color="000000" w:fill="D9D9D9"/>
            <w:vAlign w:val="center"/>
            <w:hideMark/>
          </w:tcPr>
          <w:p w14:paraId="13B641E6" w14:textId="77777777" w:rsidR="00B14880" w:rsidRPr="007F7ED9" w:rsidRDefault="00B14880" w:rsidP="00B14880">
            <w:pPr>
              <w:jc w:val="right"/>
              <w:rPr>
                <w:rFonts w:ascii="Arial" w:hAnsi="Arial" w:cs="Arial"/>
                <w:b/>
                <w:bCs/>
                <w:color w:val="000000"/>
                <w:sz w:val="22"/>
                <w:szCs w:val="22"/>
              </w:rPr>
            </w:pPr>
            <w:r w:rsidRPr="007F7ED9">
              <w:rPr>
                <w:rFonts w:ascii="Arial" w:hAnsi="Arial" w:cs="Arial"/>
                <w:b/>
                <w:bCs/>
                <w:color w:val="000000"/>
                <w:sz w:val="22"/>
                <w:szCs w:val="22"/>
              </w:rPr>
              <w:t> </w:t>
            </w:r>
          </w:p>
        </w:tc>
      </w:tr>
      <w:tr w:rsidR="008A1F18" w:rsidRPr="00645FC2" w14:paraId="2B88DB89" w14:textId="77777777" w:rsidTr="00B14880">
        <w:trPr>
          <w:trHeight w:val="300"/>
        </w:trPr>
        <w:tc>
          <w:tcPr>
            <w:tcW w:w="2977" w:type="dxa"/>
            <w:tcBorders>
              <w:top w:val="nil"/>
              <w:left w:val="single" w:sz="8" w:space="0" w:color="auto"/>
              <w:bottom w:val="nil"/>
              <w:right w:val="nil"/>
            </w:tcBorders>
            <w:shd w:val="clear" w:color="000000" w:fill="D9D9D9"/>
            <w:vAlign w:val="center"/>
            <w:hideMark/>
          </w:tcPr>
          <w:p w14:paraId="0432865E" w14:textId="77777777" w:rsidR="008A1F18" w:rsidRPr="007F7ED9" w:rsidRDefault="008A1F18" w:rsidP="008A1F18">
            <w:pPr>
              <w:rPr>
                <w:rFonts w:ascii="Arial" w:hAnsi="Arial" w:cs="Arial"/>
                <w:color w:val="000000"/>
                <w:sz w:val="22"/>
                <w:szCs w:val="22"/>
              </w:rPr>
            </w:pPr>
            <w:r w:rsidRPr="007F7ED9">
              <w:rPr>
                <w:rFonts w:ascii="Arial" w:hAnsi="Arial" w:cs="Arial"/>
                <w:color w:val="000000"/>
                <w:sz w:val="22"/>
                <w:szCs w:val="22"/>
              </w:rPr>
              <w:t>Not over one</w:t>
            </w:r>
          </w:p>
        </w:tc>
        <w:tc>
          <w:tcPr>
            <w:tcW w:w="1231" w:type="dxa"/>
            <w:tcBorders>
              <w:top w:val="nil"/>
              <w:left w:val="nil"/>
              <w:bottom w:val="nil"/>
              <w:right w:val="nil"/>
            </w:tcBorders>
            <w:vAlign w:val="center"/>
            <w:hideMark/>
          </w:tcPr>
          <w:p w14:paraId="21596A5D" w14:textId="50F28EB7"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46</w:t>
            </w:r>
            <w:r w:rsidRPr="007F7ED9">
              <w:rPr>
                <w:rFonts w:ascii="Arial" w:hAnsi="Arial" w:cs="Arial"/>
                <w:color w:val="000000"/>
                <w:sz w:val="22"/>
                <w:szCs w:val="22"/>
              </w:rPr>
              <w:t>,</w:t>
            </w:r>
            <w:r>
              <w:rPr>
                <w:rFonts w:ascii="Arial" w:hAnsi="Arial" w:cs="Arial"/>
                <w:color w:val="000000"/>
                <w:sz w:val="22"/>
                <w:szCs w:val="22"/>
              </w:rPr>
              <w:t>497</w:t>
            </w:r>
          </w:p>
        </w:tc>
        <w:tc>
          <w:tcPr>
            <w:tcW w:w="1349" w:type="dxa"/>
            <w:tcBorders>
              <w:top w:val="nil"/>
              <w:left w:val="nil"/>
              <w:bottom w:val="nil"/>
              <w:right w:val="nil"/>
            </w:tcBorders>
            <w:vAlign w:val="center"/>
            <w:hideMark/>
          </w:tcPr>
          <w:p w14:paraId="7E523DAF" w14:textId="74C96599" w:rsidR="008A1F18" w:rsidRPr="007F7ED9" w:rsidRDefault="008A1F18" w:rsidP="008A1F18">
            <w:pPr>
              <w:jc w:val="right"/>
              <w:rPr>
                <w:rFonts w:ascii="Arial" w:hAnsi="Arial" w:cs="Arial"/>
                <w:color w:val="000000"/>
                <w:sz w:val="22"/>
                <w:szCs w:val="22"/>
              </w:rPr>
            </w:pPr>
            <w:r w:rsidRPr="007F7ED9">
              <w:rPr>
                <w:rFonts w:ascii="Arial" w:hAnsi="Arial" w:cs="Arial"/>
                <w:color w:val="000000"/>
                <w:sz w:val="22"/>
                <w:szCs w:val="22"/>
              </w:rPr>
              <w:t>(5</w:t>
            </w:r>
            <w:r>
              <w:rPr>
                <w:rFonts w:ascii="Arial" w:hAnsi="Arial" w:cs="Arial"/>
                <w:color w:val="000000"/>
                <w:sz w:val="22"/>
                <w:szCs w:val="22"/>
              </w:rPr>
              <w:t>4</w:t>
            </w:r>
            <w:r w:rsidRPr="007F7ED9">
              <w:rPr>
                <w:rFonts w:ascii="Arial" w:hAnsi="Arial" w:cs="Arial"/>
                <w:color w:val="000000"/>
                <w:sz w:val="22"/>
                <w:szCs w:val="22"/>
              </w:rPr>
              <w:t>,</w:t>
            </w:r>
            <w:r>
              <w:rPr>
                <w:rFonts w:ascii="Arial" w:hAnsi="Arial" w:cs="Arial"/>
                <w:color w:val="000000"/>
                <w:sz w:val="22"/>
                <w:szCs w:val="22"/>
              </w:rPr>
              <w:t>581</w:t>
            </w:r>
            <w:r w:rsidRPr="007F7ED9">
              <w:rPr>
                <w:rFonts w:ascii="Arial" w:hAnsi="Arial" w:cs="Arial"/>
                <w:color w:val="000000"/>
                <w:sz w:val="22"/>
                <w:szCs w:val="22"/>
              </w:rPr>
              <w:t>)</w:t>
            </w:r>
          </w:p>
        </w:tc>
        <w:tc>
          <w:tcPr>
            <w:tcW w:w="1345" w:type="dxa"/>
            <w:tcBorders>
              <w:top w:val="nil"/>
              <w:left w:val="nil"/>
              <w:bottom w:val="nil"/>
              <w:right w:val="single" w:sz="8" w:space="0" w:color="auto"/>
            </w:tcBorders>
            <w:vAlign w:val="center"/>
            <w:hideMark/>
          </w:tcPr>
          <w:p w14:paraId="341562DA" w14:textId="2D8A3500" w:rsidR="008A1F18" w:rsidRPr="007F7ED9" w:rsidRDefault="008A1F18" w:rsidP="008A1F18">
            <w:pPr>
              <w:jc w:val="right"/>
              <w:rPr>
                <w:rFonts w:ascii="Arial" w:hAnsi="Arial" w:cs="Arial"/>
                <w:color w:val="000000"/>
                <w:sz w:val="22"/>
                <w:szCs w:val="22"/>
              </w:rPr>
            </w:pPr>
            <w:r w:rsidRPr="007F7ED9">
              <w:rPr>
                <w:rFonts w:ascii="Arial" w:hAnsi="Arial" w:cs="Arial"/>
                <w:color w:val="000000"/>
                <w:sz w:val="22"/>
                <w:szCs w:val="22"/>
              </w:rPr>
              <w:t>(</w:t>
            </w:r>
            <w:r>
              <w:rPr>
                <w:rFonts w:ascii="Arial" w:hAnsi="Arial" w:cs="Arial"/>
                <w:color w:val="000000"/>
                <w:sz w:val="22"/>
                <w:szCs w:val="22"/>
              </w:rPr>
              <w:t>8</w:t>
            </w:r>
            <w:r w:rsidRPr="007F7ED9">
              <w:rPr>
                <w:rFonts w:ascii="Arial" w:hAnsi="Arial" w:cs="Arial"/>
                <w:color w:val="000000"/>
                <w:sz w:val="22"/>
                <w:szCs w:val="22"/>
              </w:rPr>
              <w:t>,</w:t>
            </w:r>
            <w:r>
              <w:rPr>
                <w:rFonts w:ascii="Arial" w:hAnsi="Arial" w:cs="Arial"/>
                <w:color w:val="000000"/>
                <w:sz w:val="22"/>
                <w:szCs w:val="22"/>
              </w:rPr>
              <w:t>085</w:t>
            </w:r>
            <w:r w:rsidRPr="007F7ED9">
              <w:rPr>
                <w:rFonts w:ascii="Arial" w:hAnsi="Arial" w:cs="Arial"/>
                <w:color w:val="000000"/>
                <w:sz w:val="22"/>
                <w:szCs w:val="22"/>
              </w:rPr>
              <w:t>)</w:t>
            </w:r>
          </w:p>
        </w:tc>
        <w:tc>
          <w:tcPr>
            <w:tcW w:w="1231" w:type="dxa"/>
            <w:tcBorders>
              <w:top w:val="nil"/>
              <w:left w:val="nil"/>
              <w:bottom w:val="nil"/>
              <w:right w:val="nil"/>
            </w:tcBorders>
            <w:shd w:val="clear" w:color="000000" w:fill="D9D9D9"/>
            <w:vAlign w:val="center"/>
            <w:hideMark/>
          </w:tcPr>
          <w:p w14:paraId="337E1DD6" w14:textId="775E3386"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61,475</w:t>
            </w:r>
          </w:p>
        </w:tc>
        <w:tc>
          <w:tcPr>
            <w:tcW w:w="1349" w:type="dxa"/>
            <w:tcBorders>
              <w:top w:val="nil"/>
              <w:left w:val="nil"/>
              <w:bottom w:val="nil"/>
              <w:right w:val="nil"/>
            </w:tcBorders>
            <w:shd w:val="clear" w:color="000000" w:fill="D9D9D9"/>
            <w:vAlign w:val="center"/>
            <w:hideMark/>
          </w:tcPr>
          <w:p w14:paraId="084B7004" w14:textId="2E1EBD93"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(65,892)</w:t>
            </w:r>
          </w:p>
        </w:tc>
        <w:tc>
          <w:tcPr>
            <w:tcW w:w="1281" w:type="dxa"/>
            <w:tcBorders>
              <w:top w:val="nil"/>
              <w:left w:val="nil"/>
              <w:bottom w:val="nil"/>
              <w:right w:val="single" w:sz="8" w:space="0" w:color="auto"/>
            </w:tcBorders>
            <w:shd w:val="clear" w:color="000000" w:fill="D9D9D9"/>
            <w:vAlign w:val="center"/>
            <w:hideMark/>
          </w:tcPr>
          <w:p w14:paraId="5114F1B0" w14:textId="0DBF4A9D"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(4,417)</w:t>
            </w:r>
          </w:p>
        </w:tc>
      </w:tr>
      <w:tr w:rsidR="008A1F18" w:rsidRPr="00645FC2" w14:paraId="3BFF83D3" w14:textId="77777777" w:rsidTr="00B14880">
        <w:trPr>
          <w:trHeight w:val="300"/>
        </w:trPr>
        <w:tc>
          <w:tcPr>
            <w:tcW w:w="2977" w:type="dxa"/>
            <w:tcBorders>
              <w:top w:val="nil"/>
              <w:left w:val="single" w:sz="8" w:space="0" w:color="auto"/>
              <w:bottom w:val="nil"/>
              <w:right w:val="nil"/>
            </w:tcBorders>
            <w:shd w:val="clear" w:color="000000" w:fill="D9D9D9"/>
            <w:vAlign w:val="center"/>
            <w:hideMark/>
          </w:tcPr>
          <w:p w14:paraId="3C5ACE24" w14:textId="77777777" w:rsidR="008A1F18" w:rsidRPr="007F7ED9" w:rsidRDefault="008A1F18" w:rsidP="008A1F18">
            <w:pPr>
              <w:rPr>
                <w:rFonts w:ascii="Arial" w:hAnsi="Arial" w:cs="Arial"/>
                <w:color w:val="000000"/>
                <w:sz w:val="22"/>
                <w:szCs w:val="22"/>
              </w:rPr>
            </w:pPr>
            <w:r w:rsidRPr="007F7ED9">
              <w:rPr>
                <w:rFonts w:ascii="Arial" w:hAnsi="Arial" w:cs="Arial"/>
                <w:color w:val="000000"/>
                <w:sz w:val="22"/>
                <w:szCs w:val="22"/>
              </w:rPr>
              <w:t>Over one but not over two</w:t>
            </w:r>
          </w:p>
        </w:tc>
        <w:tc>
          <w:tcPr>
            <w:tcW w:w="1231" w:type="dxa"/>
            <w:tcBorders>
              <w:top w:val="nil"/>
              <w:left w:val="nil"/>
              <w:bottom w:val="nil"/>
              <w:right w:val="nil"/>
            </w:tcBorders>
            <w:vAlign w:val="center"/>
            <w:hideMark/>
          </w:tcPr>
          <w:p w14:paraId="02A31DD6" w14:textId="41E52D1C"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6</w:t>
            </w:r>
            <w:r w:rsidRPr="007F7ED9">
              <w:rPr>
                <w:rFonts w:ascii="Arial" w:hAnsi="Arial" w:cs="Arial"/>
                <w:color w:val="000000"/>
                <w:sz w:val="22"/>
                <w:szCs w:val="22"/>
              </w:rPr>
              <w:t>,47</w:t>
            </w:r>
            <w:r>
              <w:rPr>
                <w:rFonts w:ascii="Arial" w:hAnsi="Arial" w:cs="Arial"/>
                <w:color w:val="000000"/>
                <w:sz w:val="22"/>
                <w:szCs w:val="22"/>
              </w:rPr>
              <w:t>5</w:t>
            </w:r>
          </w:p>
        </w:tc>
        <w:tc>
          <w:tcPr>
            <w:tcW w:w="1349" w:type="dxa"/>
            <w:tcBorders>
              <w:top w:val="nil"/>
              <w:left w:val="nil"/>
              <w:bottom w:val="nil"/>
              <w:right w:val="nil"/>
            </w:tcBorders>
            <w:vAlign w:val="center"/>
            <w:hideMark/>
          </w:tcPr>
          <w:p w14:paraId="46BC5DA7" w14:textId="6D4B9EA2" w:rsidR="008A1F18" w:rsidRPr="007F7ED9" w:rsidRDefault="008A1F18" w:rsidP="008A1F18">
            <w:pPr>
              <w:jc w:val="right"/>
              <w:rPr>
                <w:rFonts w:ascii="Arial" w:hAnsi="Arial" w:cs="Arial"/>
                <w:color w:val="000000"/>
                <w:sz w:val="22"/>
                <w:szCs w:val="22"/>
              </w:rPr>
            </w:pPr>
          </w:p>
        </w:tc>
        <w:tc>
          <w:tcPr>
            <w:tcW w:w="1345" w:type="dxa"/>
            <w:tcBorders>
              <w:top w:val="nil"/>
              <w:left w:val="nil"/>
              <w:bottom w:val="nil"/>
              <w:right w:val="single" w:sz="8" w:space="0" w:color="auto"/>
            </w:tcBorders>
            <w:vAlign w:val="center"/>
            <w:hideMark/>
          </w:tcPr>
          <w:p w14:paraId="4361B160" w14:textId="3D50262A"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6</w:t>
            </w:r>
            <w:r w:rsidRPr="007F7ED9">
              <w:rPr>
                <w:rFonts w:ascii="Arial" w:hAnsi="Arial" w:cs="Arial"/>
                <w:color w:val="000000"/>
                <w:sz w:val="22"/>
                <w:szCs w:val="22"/>
              </w:rPr>
              <w:t>,47</w:t>
            </w:r>
            <w:r>
              <w:rPr>
                <w:rFonts w:ascii="Arial" w:hAnsi="Arial" w:cs="Arial"/>
                <w:color w:val="000000"/>
                <w:sz w:val="22"/>
                <w:szCs w:val="22"/>
              </w:rPr>
              <w:t>5</w:t>
            </w:r>
          </w:p>
        </w:tc>
        <w:tc>
          <w:tcPr>
            <w:tcW w:w="1231" w:type="dxa"/>
            <w:tcBorders>
              <w:top w:val="nil"/>
              <w:left w:val="nil"/>
              <w:bottom w:val="nil"/>
              <w:right w:val="nil"/>
            </w:tcBorders>
            <w:shd w:val="clear" w:color="000000" w:fill="D9D9D9"/>
            <w:vAlign w:val="center"/>
            <w:hideMark/>
          </w:tcPr>
          <w:p w14:paraId="15DE9B53" w14:textId="14790B17"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975</w:t>
            </w:r>
          </w:p>
        </w:tc>
        <w:tc>
          <w:tcPr>
            <w:tcW w:w="1349" w:type="dxa"/>
            <w:tcBorders>
              <w:top w:val="nil"/>
              <w:left w:val="nil"/>
              <w:bottom w:val="nil"/>
              <w:right w:val="nil"/>
            </w:tcBorders>
            <w:shd w:val="clear" w:color="000000" w:fill="D9D9D9"/>
            <w:vAlign w:val="center"/>
            <w:hideMark/>
          </w:tcPr>
          <w:p w14:paraId="17F984C3" w14:textId="7C09C187"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 </w:t>
            </w:r>
          </w:p>
        </w:tc>
        <w:tc>
          <w:tcPr>
            <w:tcW w:w="1281" w:type="dxa"/>
            <w:tcBorders>
              <w:top w:val="nil"/>
              <w:left w:val="nil"/>
              <w:bottom w:val="nil"/>
              <w:right w:val="single" w:sz="8" w:space="0" w:color="auto"/>
            </w:tcBorders>
            <w:shd w:val="clear" w:color="000000" w:fill="D9D9D9"/>
            <w:vAlign w:val="center"/>
            <w:hideMark/>
          </w:tcPr>
          <w:p w14:paraId="5A66FCDD" w14:textId="7BA00B18"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975</w:t>
            </w:r>
          </w:p>
        </w:tc>
      </w:tr>
      <w:tr w:rsidR="008A1F18" w:rsidRPr="00645FC2" w14:paraId="32309590" w14:textId="77777777" w:rsidTr="00B14880">
        <w:trPr>
          <w:trHeight w:val="300"/>
        </w:trPr>
        <w:tc>
          <w:tcPr>
            <w:tcW w:w="2977" w:type="dxa"/>
            <w:tcBorders>
              <w:top w:val="nil"/>
              <w:left w:val="single" w:sz="8" w:space="0" w:color="auto"/>
              <w:bottom w:val="nil"/>
              <w:right w:val="nil"/>
            </w:tcBorders>
            <w:shd w:val="clear" w:color="000000" w:fill="D9D9D9"/>
            <w:vAlign w:val="center"/>
            <w:hideMark/>
          </w:tcPr>
          <w:p w14:paraId="547111D0" w14:textId="77777777" w:rsidR="008A1F18" w:rsidRPr="007F7ED9" w:rsidRDefault="008A1F18" w:rsidP="008A1F18">
            <w:pPr>
              <w:rPr>
                <w:rFonts w:ascii="Arial" w:hAnsi="Arial" w:cs="Arial"/>
                <w:color w:val="000000"/>
                <w:sz w:val="22"/>
                <w:szCs w:val="22"/>
              </w:rPr>
            </w:pPr>
            <w:r w:rsidRPr="007F7ED9">
              <w:rPr>
                <w:rFonts w:ascii="Arial" w:hAnsi="Arial" w:cs="Arial"/>
                <w:color w:val="000000"/>
                <w:sz w:val="22"/>
                <w:szCs w:val="22"/>
              </w:rPr>
              <w:t>Over two but not over five</w:t>
            </w:r>
          </w:p>
        </w:tc>
        <w:tc>
          <w:tcPr>
            <w:tcW w:w="1231" w:type="dxa"/>
            <w:tcBorders>
              <w:top w:val="nil"/>
              <w:left w:val="nil"/>
              <w:bottom w:val="nil"/>
              <w:right w:val="nil"/>
            </w:tcBorders>
            <w:vAlign w:val="center"/>
            <w:hideMark/>
          </w:tcPr>
          <w:p w14:paraId="10C54270" w14:textId="3B3D8151"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11</w:t>
            </w:r>
            <w:r w:rsidRPr="007F7ED9">
              <w:rPr>
                <w:rFonts w:ascii="Arial" w:hAnsi="Arial" w:cs="Arial"/>
                <w:color w:val="000000"/>
                <w:sz w:val="22"/>
                <w:szCs w:val="22"/>
              </w:rPr>
              <w:t>,</w:t>
            </w:r>
            <w:r>
              <w:rPr>
                <w:rFonts w:ascii="Arial" w:hAnsi="Arial" w:cs="Arial"/>
                <w:color w:val="000000"/>
                <w:sz w:val="22"/>
                <w:szCs w:val="22"/>
              </w:rPr>
              <w:t>1</w:t>
            </w:r>
            <w:r w:rsidRPr="007F7ED9">
              <w:rPr>
                <w:rFonts w:ascii="Arial" w:hAnsi="Arial" w:cs="Arial"/>
                <w:color w:val="000000"/>
                <w:sz w:val="22"/>
                <w:szCs w:val="22"/>
              </w:rPr>
              <w:t>25</w:t>
            </w:r>
          </w:p>
        </w:tc>
        <w:tc>
          <w:tcPr>
            <w:tcW w:w="1349" w:type="dxa"/>
            <w:tcBorders>
              <w:top w:val="nil"/>
              <w:left w:val="nil"/>
              <w:bottom w:val="nil"/>
              <w:right w:val="nil"/>
            </w:tcBorders>
            <w:vAlign w:val="center"/>
            <w:hideMark/>
          </w:tcPr>
          <w:p w14:paraId="7A928F69" w14:textId="09119707" w:rsidR="008A1F18" w:rsidRPr="007F7ED9" w:rsidRDefault="008A1F18" w:rsidP="008A1F18">
            <w:pPr>
              <w:jc w:val="right"/>
              <w:rPr>
                <w:rFonts w:ascii="Arial" w:hAnsi="Arial" w:cs="Arial"/>
                <w:color w:val="000000"/>
                <w:sz w:val="22"/>
                <w:szCs w:val="22"/>
              </w:rPr>
            </w:pPr>
          </w:p>
        </w:tc>
        <w:tc>
          <w:tcPr>
            <w:tcW w:w="1345" w:type="dxa"/>
            <w:tcBorders>
              <w:top w:val="nil"/>
              <w:left w:val="nil"/>
              <w:bottom w:val="nil"/>
              <w:right w:val="single" w:sz="8" w:space="0" w:color="auto"/>
            </w:tcBorders>
            <w:vAlign w:val="center"/>
            <w:hideMark/>
          </w:tcPr>
          <w:p w14:paraId="6394AF58" w14:textId="3B3DB145"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11</w:t>
            </w:r>
            <w:r w:rsidRPr="007F7ED9">
              <w:rPr>
                <w:rFonts w:ascii="Arial" w:hAnsi="Arial" w:cs="Arial"/>
                <w:color w:val="000000"/>
                <w:sz w:val="22"/>
                <w:szCs w:val="22"/>
              </w:rPr>
              <w:t>,</w:t>
            </w:r>
            <w:r>
              <w:rPr>
                <w:rFonts w:ascii="Arial" w:hAnsi="Arial" w:cs="Arial"/>
                <w:color w:val="000000"/>
                <w:sz w:val="22"/>
                <w:szCs w:val="22"/>
              </w:rPr>
              <w:t>1</w:t>
            </w:r>
            <w:r w:rsidRPr="007F7ED9">
              <w:rPr>
                <w:rFonts w:ascii="Arial" w:hAnsi="Arial" w:cs="Arial"/>
                <w:color w:val="000000"/>
                <w:sz w:val="22"/>
                <w:szCs w:val="22"/>
              </w:rPr>
              <w:t>25</w:t>
            </w:r>
          </w:p>
        </w:tc>
        <w:tc>
          <w:tcPr>
            <w:tcW w:w="1231" w:type="dxa"/>
            <w:tcBorders>
              <w:top w:val="nil"/>
              <w:left w:val="nil"/>
              <w:bottom w:val="nil"/>
              <w:right w:val="nil"/>
            </w:tcBorders>
            <w:shd w:val="clear" w:color="000000" w:fill="D9D9D9"/>
            <w:vAlign w:val="center"/>
            <w:hideMark/>
          </w:tcPr>
          <w:p w14:paraId="5A17BB14" w14:textId="50FFD38D"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10,225</w:t>
            </w:r>
          </w:p>
        </w:tc>
        <w:tc>
          <w:tcPr>
            <w:tcW w:w="1349" w:type="dxa"/>
            <w:tcBorders>
              <w:top w:val="nil"/>
              <w:left w:val="nil"/>
              <w:bottom w:val="nil"/>
              <w:right w:val="nil"/>
            </w:tcBorders>
            <w:shd w:val="clear" w:color="000000" w:fill="D9D9D9"/>
            <w:vAlign w:val="center"/>
            <w:hideMark/>
          </w:tcPr>
          <w:p w14:paraId="5B70CE9F" w14:textId="68A016B6"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 </w:t>
            </w:r>
          </w:p>
        </w:tc>
        <w:tc>
          <w:tcPr>
            <w:tcW w:w="1281" w:type="dxa"/>
            <w:tcBorders>
              <w:top w:val="nil"/>
              <w:left w:val="nil"/>
              <w:bottom w:val="nil"/>
              <w:right w:val="single" w:sz="8" w:space="0" w:color="auto"/>
            </w:tcBorders>
            <w:shd w:val="clear" w:color="000000" w:fill="D9D9D9"/>
            <w:vAlign w:val="center"/>
            <w:hideMark/>
          </w:tcPr>
          <w:p w14:paraId="11B39A3B" w14:textId="31A0CB5A"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10,225</w:t>
            </w:r>
          </w:p>
        </w:tc>
      </w:tr>
      <w:tr w:rsidR="008A1F18" w:rsidRPr="00645FC2" w14:paraId="53EE2D78" w14:textId="77777777" w:rsidTr="00B14880">
        <w:trPr>
          <w:trHeight w:val="300"/>
        </w:trPr>
        <w:tc>
          <w:tcPr>
            <w:tcW w:w="2977" w:type="dxa"/>
            <w:tcBorders>
              <w:top w:val="nil"/>
              <w:left w:val="single" w:sz="8" w:space="0" w:color="auto"/>
              <w:bottom w:val="nil"/>
              <w:right w:val="nil"/>
            </w:tcBorders>
            <w:shd w:val="clear" w:color="000000" w:fill="D9D9D9"/>
            <w:vAlign w:val="center"/>
            <w:hideMark/>
          </w:tcPr>
          <w:p w14:paraId="0CE67DC6" w14:textId="77777777" w:rsidR="008A1F18" w:rsidRPr="007F7ED9" w:rsidRDefault="008A1F18" w:rsidP="008A1F18">
            <w:pPr>
              <w:rPr>
                <w:rFonts w:ascii="Arial" w:hAnsi="Arial" w:cs="Arial"/>
                <w:color w:val="000000"/>
                <w:sz w:val="22"/>
                <w:szCs w:val="22"/>
              </w:rPr>
            </w:pPr>
            <w:r w:rsidRPr="007F7ED9">
              <w:rPr>
                <w:rFonts w:ascii="Arial" w:hAnsi="Arial" w:cs="Arial"/>
                <w:color w:val="000000"/>
                <w:sz w:val="22"/>
                <w:szCs w:val="22"/>
              </w:rPr>
              <w:t>Over five but not over 10</w:t>
            </w:r>
          </w:p>
        </w:tc>
        <w:tc>
          <w:tcPr>
            <w:tcW w:w="1231" w:type="dxa"/>
            <w:tcBorders>
              <w:top w:val="nil"/>
              <w:left w:val="nil"/>
              <w:bottom w:val="nil"/>
              <w:right w:val="nil"/>
            </w:tcBorders>
            <w:vAlign w:val="center"/>
            <w:hideMark/>
          </w:tcPr>
          <w:p w14:paraId="0173BAD9" w14:textId="4FE79AEA" w:rsidR="008A1F18" w:rsidRPr="007F7ED9" w:rsidRDefault="008A1F18" w:rsidP="008A1F18">
            <w:pPr>
              <w:jc w:val="right"/>
              <w:rPr>
                <w:rFonts w:ascii="Arial" w:hAnsi="Arial" w:cs="Arial"/>
                <w:color w:val="000000"/>
                <w:sz w:val="22"/>
                <w:szCs w:val="22"/>
              </w:rPr>
            </w:pPr>
            <w:r w:rsidRPr="007F7ED9">
              <w:rPr>
                <w:rFonts w:ascii="Arial" w:hAnsi="Arial" w:cs="Arial"/>
                <w:color w:val="000000"/>
                <w:sz w:val="22"/>
                <w:szCs w:val="22"/>
              </w:rPr>
              <w:t>1</w:t>
            </w:r>
            <w:r>
              <w:rPr>
                <w:rFonts w:ascii="Arial" w:hAnsi="Arial" w:cs="Arial"/>
                <w:color w:val="000000"/>
                <w:sz w:val="22"/>
                <w:szCs w:val="22"/>
              </w:rPr>
              <w:t>2</w:t>
            </w:r>
            <w:r w:rsidRPr="007F7ED9">
              <w:rPr>
                <w:rFonts w:ascii="Arial" w:hAnsi="Arial" w:cs="Arial"/>
                <w:color w:val="000000"/>
                <w:sz w:val="22"/>
                <w:szCs w:val="22"/>
              </w:rPr>
              <w:t>,375</w:t>
            </w:r>
          </w:p>
        </w:tc>
        <w:tc>
          <w:tcPr>
            <w:tcW w:w="1349" w:type="dxa"/>
            <w:tcBorders>
              <w:top w:val="nil"/>
              <w:left w:val="nil"/>
              <w:bottom w:val="nil"/>
              <w:right w:val="nil"/>
            </w:tcBorders>
            <w:vAlign w:val="center"/>
            <w:hideMark/>
          </w:tcPr>
          <w:p w14:paraId="4FD3C6DC" w14:textId="02DBA9DC" w:rsidR="008A1F18" w:rsidRPr="007F7ED9" w:rsidRDefault="008A1F18" w:rsidP="008A1F18">
            <w:pPr>
              <w:jc w:val="right"/>
              <w:rPr>
                <w:rFonts w:ascii="Arial" w:hAnsi="Arial" w:cs="Arial"/>
                <w:color w:val="000000"/>
                <w:sz w:val="22"/>
                <w:szCs w:val="22"/>
              </w:rPr>
            </w:pPr>
          </w:p>
        </w:tc>
        <w:tc>
          <w:tcPr>
            <w:tcW w:w="1345" w:type="dxa"/>
            <w:tcBorders>
              <w:top w:val="nil"/>
              <w:left w:val="nil"/>
              <w:bottom w:val="nil"/>
              <w:right w:val="single" w:sz="8" w:space="0" w:color="auto"/>
            </w:tcBorders>
            <w:vAlign w:val="center"/>
            <w:hideMark/>
          </w:tcPr>
          <w:p w14:paraId="0A80D053" w14:textId="0099914D" w:rsidR="008A1F18" w:rsidRPr="007F7ED9" w:rsidRDefault="008A1F18" w:rsidP="008A1F18">
            <w:pPr>
              <w:jc w:val="right"/>
              <w:rPr>
                <w:rFonts w:ascii="Arial" w:hAnsi="Arial" w:cs="Arial"/>
                <w:color w:val="000000"/>
                <w:sz w:val="22"/>
                <w:szCs w:val="22"/>
              </w:rPr>
            </w:pPr>
            <w:r w:rsidRPr="007F7ED9">
              <w:rPr>
                <w:rFonts w:ascii="Arial" w:hAnsi="Arial" w:cs="Arial"/>
                <w:color w:val="000000"/>
                <w:sz w:val="22"/>
                <w:szCs w:val="22"/>
              </w:rPr>
              <w:t>1</w:t>
            </w:r>
            <w:r>
              <w:rPr>
                <w:rFonts w:ascii="Arial" w:hAnsi="Arial" w:cs="Arial"/>
                <w:color w:val="000000"/>
                <w:sz w:val="22"/>
                <w:szCs w:val="22"/>
              </w:rPr>
              <w:t>2</w:t>
            </w:r>
            <w:r w:rsidRPr="007F7ED9">
              <w:rPr>
                <w:rFonts w:ascii="Arial" w:hAnsi="Arial" w:cs="Arial"/>
                <w:color w:val="000000"/>
                <w:sz w:val="22"/>
                <w:szCs w:val="22"/>
              </w:rPr>
              <w:t>,375</w:t>
            </w:r>
          </w:p>
        </w:tc>
        <w:tc>
          <w:tcPr>
            <w:tcW w:w="1231" w:type="dxa"/>
            <w:tcBorders>
              <w:top w:val="nil"/>
              <w:left w:val="nil"/>
              <w:bottom w:val="nil"/>
              <w:right w:val="nil"/>
            </w:tcBorders>
            <w:shd w:val="clear" w:color="000000" w:fill="D9D9D9"/>
            <w:vAlign w:val="center"/>
            <w:hideMark/>
          </w:tcPr>
          <w:p w14:paraId="0AC4BC66" w14:textId="7B4220B8"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14,375</w:t>
            </w:r>
          </w:p>
        </w:tc>
        <w:tc>
          <w:tcPr>
            <w:tcW w:w="1349" w:type="dxa"/>
            <w:tcBorders>
              <w:top w:val="nil"/>
              <w:left w:val="nil"/>
              <w:bottom w:val="nil"/>
              <w:right w:val="nil"/>
            </w:tcBorders>
            <w:shd w:val="clear" w:color="000000" w:fill="D9D9D9"/>
            <w:vAlign w:val="center"/>
            <w:hideMark/>
          </w:tcPr>
          <w:p w14:paraId="387C4A08" w14:textId="75ECFEDE"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 </w:t>
            </w:r>
          </w:p>
        </w:tc>
        <w:tc>
          <w:tcPr>
            <w:tcW w:w="1281" w:type="dxa"/>
            <w:tcBorders>
              <w:top w:val="nil"/>
              <w:left w:val="nil"/>
              <w:bottom w:val="nil"/>
              <w:right w:val="single" w:sz="8" w:space="0" w:color="auto"/>
            </w:tcBorders>
            <w:shd w:val="clear" w:color="000000" w:fill="D9D9D9"/>
            <w:vAlign w:val="center"/>
            <w:hideMark/>
          </w:tcPr>
          <w:p w14:paraId="1330D87F" w14:textId="697141BB"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14,375</w:t>
            </w:r>
          </w:p>
        </w:tc>
      </w:tr>
      <w:tr w:rsidR="008A1F18" w:rsidRPr="00645FC2" w14:paraId="219F59B9" w14:textId="77777777" w:rsidTr="00B14880">
        <w:trPr>
          <w:trHeight w:val="300"/>
        </w:trPr>
        <w:tc>
          <w:tcPr>
            <w:tcW w:w="2977" w:type="dxa"/>
            <w:tcBorders>
              <w:top w:val="nil"/>
              <w:left w:val="single" w:sz="8" w:space="0" w:color="auto"/>
              <w:bottom w:val="nil"/>
              <w:right w:val="nil"/>
            </w:tcBorders>
            <w:shd w:val="clear" w:color="000000" w:fill="D9D9D9"/>
            <w:vAlign w:val="center"/>
            <w:hideMark/>
          </w:tcPr>
          <w:p w14:paraId="73532A4F" w14:textId="77777777" w:rsidR="008A1F18" w:rsidRPr="007F7ED9" w:rsidRDefault="008A1F18" w:rsidP="008A1F18">
            <w:pPr>
              <w:rPr>
                <w:rFonts w:ascii="Arial" w:hAnsi="Arial" w:cs="Arial"/>
                <w:color w:val="000000"/>
                <w:sz w:val="22"/>
                <w:szCs w:val="22"/>
              </w:rPr>
            </w:pPr>
            <w:r w:rsidRPr="007F7ED9">
              <w:rPr>
                <w:rFonts w:ascii="Arial" w:hAnsi="Arial" w:cs="Arial"/>
                <w:color w:val="000000"/>
                <w:sz w:val="22"/>
                <w:szCs w:val="22"/>
              </w:rPr>
              <w:t>Over 10 but not over 20</w:t>
            </w:r>
          </w:p>
        </w:tc>
        <w:tc>
          <w:tcPr>
            <w:tcW w:w="1231" w:type="dxa"/>
            <w:tcBorders>
              <w:top w:val="nil"/>
              <w:left w:val="nil"/>
              <w:bottom w:val="nil"/>
              <w:right w:val="nil"/>
            </w:tcBorders>
            <w:vAlign w:val="center"/>
            <w:hideMark/>
          </w:tcPr>
          <w:p w14:paraId="588B111C" w14:textId="1A5E81BB"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4</w:t>
            </w:r>
            <w:r w:rsidRPr="007F7ED9">
              <w:rPr>
                <w:rFonts w:ascii="Arial" w:hAnsi="Arial" w:cs="Arial"/>
                <w:color w:val="000000"/>
                <w:sz w:val="22"/>
                <w:szCs w:val="22"/>
              </w:rPr>
              <w:t>,4</w:t>
            </w:r>
            <w:r>
              <w:rPr>
                <w:rFonts w:ascii="Arial" w:hAnsi="Arial" w:cs="Arial"/>
                <w:color w:val="000000"/>
                <w:sz w:val="22"/>
                <w:szCs w:val="22"/>
              </w:rPr>
              <w:t>13</w:t>
            </w:r>
          </w:p>
        </w:tc>
        <w:tc>
          <w:tcPr>
            <w:tcW w:w="1349" w:type="dxa"/>
            <w:tcBorders>
              <w:top w:val="nil"/>
              <w:left w:val="nil"/>
              <w:bottom w:val="nil"/>
              <w:right w:val="nil"/>
            </w:tcBorders>
            <w:vAlign w:val="center"/>
            <w:hideMark/>
          </w:tcPr>
          <w:p w14:paraId="6A1C351D" w14:textId="401006E2" w:rsidR="008A1F18" w:rsidRPr="007F7ED9" w:rsidRDefault="008A1F18" w:rsidP="008A1F18">
            <w:pPr>
              <w:jc w:val="right"/>
              <w:rPr>
                <w:rFonts w:ascii="Arial" w:hAnsi="Arial" w:cs="Arial"/>
                <w:color w:val="000000"/>
                <w:sz w:val="22"/>
                <w:szCs w:val="22"/>
              </w:rPr>
            </w:pPr>
          </w:p>
        </w:tc>
        <w:tc>
          <w:tcPr>
            <w:tcW w:w="1345" w:type="dxa"/>
            <w:tcBorders>
              <w:top w:val="nil"/>
              <w:left w:val="nil"/>
              <w:bottom w:val="nil"/>
              <w:right w:val="single" w:sz="8" w:space="0" w:color="auto"/>
            </w:tcBorders>
            <w:vAlign w:val="center"/>
            <w:hideMark/>
          </w:tcPr>
          <w:p w14:paraId="572E807C" w14:textId="64BA4567"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4</w:t>
            </w:r>
            <w:r w:rsidRPr="007F7ED9">
              <w:rPr>
                <w:rFonts w:ascii="Arial" w:hAnsi="Arial" w:cs="Arial"/>
                <w:color w:val="000000"/>
                <w:sz w:val="22"/>
                <w:szCs w:val="22"/>
              </w:rPr>
              <w:t>,4</w:t>
            </w:r>
            <w:r>
              <w:rPr>
                <w:rFonts w:ascii="Arial" w:hAnsi="Arial" w:cs="Arial"/>
                <w:color w:val="000000"/>
                <w:sz w:val="22"/>
                <w:szCs w:val="22"/>
              </w:rPr>
              <w:t>13</w:t>
            </w:r>
          </w:p>
        </w:tc>
        <w:tc>
          <w:tcPr>
            <w:tcW w:w="1231" w:type="dxa"/>
            <w:tcBorders>
              <w:top w:val="nil"/>
              <w:left w:val="nil"/>
              <w:bottom w:val="nil"/>
              <w:right w:val="nil"/>
            </w:tcBorders>
            <w:shd w:val="clear" w:color="000000" w:fill="D9D9D9"/>
            <w:vAlign w:val="center"/>
            <w:hideMark/>
          </w:tcPr>
          <w:p w14:paraId="2E0404EB" w14:textId="73848161"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2,338</w:t>
            </w:r>
          </w:p>
        </w:tc>
        <w:tc>
          <w:tcPr>
            <w:tcW w:w="1349" w:type="dxa"/>
            <w:tcBorders>
              <w:top w:val="nil"/>
              <w:left w:val="nil"/>
              <w:bottom w:val="nil"/>
              <w:right w:val="nil"/>
            </w:tcBorders>
            <w:shd w:val="clear" w:color="000000" w:fill="D9D9D9"/>
            <w:vAlign w:val="center"/>
            <w:hideMark/>
          </w:tcPr>
          <w:p w14:paraId="6B3D661D" w14:textId="4D50CA87"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 </w:t>
            </w:r>
          </w:p>
        </w:tc>
        <w:tc>
          <w:tcPr>
            <w:tcW w:w="1281" w:type="dxa"/>
            <w:tcBorders>
              <w:top w:val="nil"/>
              <w:left w:val="nil"/>
              <w:bottom w:val="nil"/>
              <w:right w:val="single" w:sz="8" w:space="0" w:color="auto"/>
            </w:tcBorders>
            <w:shd w:val="clear" w:color="000000" w:fill="D9D9D9"/>
            <w:vAlign w:val="center"/>
            <w:hideMark/>
          </w:tcPr>
          <w:p w14:paraId="2D834FF6" w14:textId="6F372836"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2,338</w:t>
            </w:r>
          </w:p>
        </w:tc>
      </w:tr>
      <w:tr w:rsidR="008A1F18" w:rsidRPr="00645FC2" w14:paraId="4B8AC661" w14:textId="77777777" w:rsidTr="00B14880">
        <w:trPr>
          <w:trHeight w:val="315"/>
        </w:trPr>
        <w:tc>
          <w:tcPr>
            <w:tcW w:w="2977" w:type="dxa"/>
            <w:tcBorders>
              <w:top w:val="nil"/>
              <w:left w:val="single" w:sz="8" w:space="0" w:color="auto"/>
              <w:bottom w:val="single" w:sz="8" w:space="0" w:color="auto"/>
              <w:right w:val="nil"/>
            </w:tcBorders>
            <w:shd w:val="clear" w:color="000000" w:fill="D9D9D9"/>
            <w:vAlign w:val="center"/>
            <w:hideMark/>
          </w:tcPr>
          <w:p w14:paraId="7941E160" w14:textId="77777777" w:rsidR="008A1F18" w:rsidRPr="007F7ED9" w:rsidRDefault="008A1F18" w:rsidP="008A1F18">
            <w:pPr>
              <w:rPr>
                <w:rFonts w:ascii="Arial" w:hAnsi="Arial" w:cs="Arial"/>
                <w:color w:val="000000"/>
                <w:sz w:val="22"/>
                <w:szCs w:val="22"/>
              </w:rPr>
            </w:pPr>
            <w:r w:rsidRPr="007F7ED9">
              <w:rPr>
                <w:rFonts w:ascii="Arial" w:hAnsi="Arial" w:cs="Arial"/>
                <w:color w:val="000000"/>
                <w:sz w:val="22"/>
                <w:szCs w:val="22"/>
              </w:rPr>
              <w:t>Over 20 but not over 40</w:t>
            </w:r>
          </w:p>
        </w:tc>
        <w:tc>
          <w:tcPr>
            <w:tcW w:w="1231" w:type="dxa"/>
            <w:tcBorders>
              <w:top w:val="nil"/>
              <w:left w:val="nil"/>
              <w:bottom w:val="single" w:sz="8" w:space="0" w:color="auto"/>
              <w:right w:val="nil"/>
            </w:tcBorders>
            <w:vAlign w:val="center"/>
            <w:hideMark/>
          </w:tcPr>
          <w:p w14:paraId="6F70118A" w14:textId="361A6DED" w:rsidR="008A1F18" w:rsidRPr="007F7ED9" w:rsidRDefault="008A1F18" w:rsidP="008A1F18">
            <w:pPr>
              <w:jc w:val="right"/>
              <w:rPr>
                <w:rFonts w:ascii="Arial" w:hAnsi="Arial" w:cs="Arial"/>
                <w:color w:val="000000"/>
                <w:sz w:val="22"/>
                <w:szCs w:val="22"/>
              </w:rPr>
            </w:pPr>
            <w:r w:rsidRPr="007F7ED9">
              <w:rPr>
                <w:rFonts w:ascii="Arial" w:hAnsi="Arial" w:cs="Arial"/>
                <w:color w:val="000000"/>
                <w:sz w:val="22"/>
                <w:szCs w:val="22"/>
              </w:rPr>
              <w:t>11,500</w:t>
            </w:r>
          </w:p>
        </w:tc>
        <w:tc>
          <w:tcPr>
            <w:tcW w:w="1349" w:type="dxa"/>
            <w:tcBorders>
              <w:top w:val="nil"/>
              <w:left w:val="nil"/>
              <w:bottom w:val="single" w:sz="8" w:space="0" w:color="auto"/>
              <w:right w:val="nil"/>
            </w:tcBorders>
            <w:vAlign w:val="center"/>
            <w:hideMark/>
          </w:tcPr>
          <w:p w14:paraId="395DCA1A" w14:textId="41E4DB27" w:rsidR="008A1F18" w:rsidRPr="007F7ED9" w:rsidRDefault="008A1F18" w:rsidP="008A1F18">
            <w:pPr>
              <w:jc w:val="right"/>
              <w:rPr>
                <w:rFonts w:ascii="Arial" w:hAnsi="Arial" w:cs="Arial"/>
                <w:color w:val="000000"/>
                <w:sz w:val="22"/>
                <w:szCs w:val="22"/>
              </w:rPr>
            </w:pPr>
          </w:p>
        </w:tc>
        <w:tc>
          <w:tcPr>
            <w:tcW w:w="1345" w:type="dxa"/>
            <w:tcBorders>
              <w:top w:val="nil"/>
              <w:left w:val="nil"/>
              <w:bottom w:val="nil"/>
              <w:right w:val="single" w:sz="8" w:space="0" w:color="auto"/>
            </w:tcBorders>
            <w:vAlign w:val="center"/>
            <w:hideMark/>
          </w:tcPr>
          <w:p w14:paraId="5E1F21BB" w14:textId="22A613FC" w:rsidR="008A1F18" w:rsidRPr="007F7ED9" w:rsidRDefault="008A1F18" w:rsidP="008A1F18">
            <w:pPr>
              <w:jc w:val="right"/>
              <w:rPr>
                <w:rFonts w:ascii="Arial" w:hAnsi="Arial" w:cs="Arial"/>
                <w:color w:val="000000"/>
                <w:sz w:val="22"/>
                <w:szCs w:val="22"/>
              </w:rPr>
            </w:pPr>
            <w:r w:rsidRPr="007F7ED9">
              <w:rPr>
                <w:rFonts w:ascii="Arial" w:hAnsi="Arial" w:cs="Arial"/>
                <w:color w:val="000000"/>
                <w:sz w:val="22"/>
                <w:szCs w:val="22"/>
              </w:rPr>
              <w:t>11,500</w:t>
            </w:r>
          </w:p>
        </w:tc>
        <w:tc>
          <w:tcPr>
            <w:tcW w:w="1231" w:type="dxa"/>
            <w:tcBorders>
              <w:top w:val="nil"/>
              <w:left w:val="nil"/>
              <w:bottom w:val="nil"/>
              <w:right w:val="nil"/>
            </w:tcBorders>
            <w:shd w:val="clear" w:color="000000" w:fill="D9D9D9"/>
            <w:vAlign w:val="center"/>
            <w:hideMark/>
          </w:tcPr>
          <w:p w14:paraId="6B5DFE6A" w14:textId="727596BB"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11,500</w:t>
            </w:r>
          </w:p>
        </w:tc>
        <w:tc>
          <w:tcPr>
            <w:tcW w:w="1349" w:type="dxa"/>
            <w:tcBorders>
              <w:top w:val="nil"/>
              <w:left w:val="nil"/>
              <w:bottom w:val="single" w:sz="8" w:space="0" w:color="auto"/>
              <w:right w:val="nil"/>
            </w:tcBorders>
            <w:shd w:val="clear" w:color="000000" w:fill="D9D9D9"/>
            <w:vAlign w:val="center"/>
            <w:hideMark/>
          </w:tcPr>
          <w:p w14:paraId="0FF60F8A" w14:textId="261F395C"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 </w:t>
            </w:r>
          </w:p>
        </w:tc>
        <w:tc>
          <w:tcPr>
            <w:tcW w:w="1281" w:type="dxa"/>
            <w:tcBorders>
              <w:top w:val="nil"/>
              <w:left w:val="nil"/>
              <w:bottom w:val="nil"/>
              <w:right w:val="single" w:sz="8" w:space="0" w:color="auto"/>
            </w:tcBorders>
            <w:shd w:val="clear" w:color="000000" w:fill="D9D9D9"/>
            <w:vAlign w:val="center"/>
            <w:hideMark/>
          </w:tcPr>
          <w:p w14:paraId="6DBECB51" w14:textId="68868B6B" w:rsidR="008A1F18" w:rsidRPr="007F7ED9" w:rsidRDefault="008A1F18" w:rsidP="008A1F18">
            <w:pPr>
              <w:jc w:val="right"/>
              <w:rPr>
                <w:rFonts w:ascii="Arial" w:hAnsi="Arial" w:cs="Arial"/>
                <w:color w:val="000000"/>
                <w:sz w:val="22"/>
                <w:szCs w:val="22"/>
              </w:rPr>
            </w:pPr>
            <w:r>
              <w:rPr>
                <w:rFonts w:ascii="Arial" w:hAnsi="Arial" w:cs="Arial"/>
                <w:color w:val="000000"/>
                <w:sz w:val="22"/>
                <w:szCs w:val="22"/>
              </w:rPr>
              <w:t>11,500</w:t>
            </w:r>
          </w:p>
        </w:tc>
      </w:tr>
      <w:tr w:rsidR="008A1F18" w:rsidRPr="00645FC2" w14:paraId="1DE513BF" w14:textId="77777777" w:rsidTr="004F08DB">
        <w:trPr>
          <w:trHeight w:val="315"/>
        </w:trPr>
        <w:tc>
          <w:tcPr>
            <w:tcW w:w="2977" w:type="dxa"/>
            <w:tcBorders>
              <w:top w:val="nil"/>
              <w:left w:val="single" w:sz="8" w:space="0" w:color="auto"/>
              <w:bottom w:val="single" w:sz="8" w:space="0" w:color="auto"/>
              <w:right w:val="nil"/>
            </w:tcBorders>
            <w:vAlign w:val="center"/>
            <w:hideMark/>
          </w:tcPr>
          <w:p w14:paraId="25E95D11" w14:textId="77777777" w:rsidR="008A1F18" w:rsidRPr="007F7ED9" w:rsidRDefault="008A1F18" w:rsidP="008A1F18">
            <w:pPr>
              <w:rPr>
                <w:rFonts w:ascii="Arial" w:hAnsi="Arial" w:cs="Arial"/>
                <w:b/>
                <w:bCs/>
                <w:color w:val="000000"/>
                <w:sz w:val="22"/>
                <w:szCs w:val="22"/>
              </w:rPr>
            </w:pPr>
            <w:r w:rsidRPr="007F7ED9">
              <w:rPr>
                <w:rFonts w:ascii="Arial" w:hAnsi="Arial" w:cs="Arial"/>
                <w:b/>
                <w:bCs/>
                <w:color w:val="000000"/>
                <w:sz w:val="22"/>
                <w:szCs w:val="22"/>
              </w:rPr>
              <w:t>TOTAL</w:t>
            </w:r>
          </w:p>
        </w:tc>
        <w:tc>
          <w:tcPr>
            <w:tcW w:w="1231" w:type="dxa"/>
            <w:tcBorders>
              <w:top w:val="nil"/>
              <w:left w:val="nil"/>
              <w:bottom w:val="single" w:sz="8" w:space="0" w:color="auto"/>
              <w:right w:val="nil"/>
            </w:tcBorders>
            <w:vAlign w:val="center"/>
            <w:hideMark/>
          </w:tcPr>
          <w:p w14:paraId="04A42940" w14:textId="7C6F7F58" w:rsidR="008A1F18" w:rsidRPr="007F7ED9" w:rsidRDefault="008A1F18" w:rsidP="008A1F18">
            <w:pPr>
              <w:jc w:val="right"/>
              <w:rPr>
                <w:rFonts w:ascii="Arial" w:hAnsi="Arial" w:cs="Arial"/>
                <w:b/>
                <w:bCs/>
                <w:color w:val="000000"/>
                <w:sz w:val="22"/>
                <w:szCs w:val="22"/>
              </w:rPr>
            </w:pPr>
            <w:r w:rsidRPr="007F7ED9">
              <w:rPr>
                <w:rFonts w:ascii="Arial" w:hAnsi="Arial" w:cs="Arial"/>
                <w:b/>
                <w:bCs/>
                <w:color w:val="000000"/>
                <w:sz w:val="22"/>
                <w:szCs w:val="22"/>
              </w:rPr>
              <w:t>9</w:t>
            </w:r>
            <w:r>
              <w:rPr>
                <w:rFonts w:ascii="Arial" w:hAnsi="Arial" w:cs="Arial"/>
                <w:b/>
                <w:bCs/>
                <w:color w:val="000000"/>
                <w:sz w:val="22"/>
                <w:szCs w:val="22"/>
              </w:rPr>
              <w:t>2</w:t>
            </w:r>
            <w:r w:rsidRPr="007F7ED9">
              <w:rPr>
                <w:rFonts w:ascii="Arial" w:hAnsi="Arial" w:cs="Arial"/>
                <w:b/>
                <w:bCs/>
                <w:color w:val="000000"/>
                <w:sz w:val="22"/>
                <w:szCs w:val="22"/>
              </w:rPr>
              <w:t>,</w:t>
            </w:r>
            <w:r>
              <w:rPr>
                <w:rFonts w:ascii="Arial" w:hAnsi="Arial" w:cs="Arial"/>
                <w:b/>
                <w:bCs/>
                <w:color w:val="000000"/>
                <w:sz w:val="22"/>
                <w:szCs w:val="22"/>
              </w:rPr>
              <w:t>384</w:t>
            </w:r>
          </w:p>
        </w:tc>
        <w:tc>
          <w:tcPr>
            <w:tcW w:w="1349" w:type="dxa"/>
            <w:tcBorders>
              <w:top w:val="nil"/>
              <w:left w:val="nil"/>
              <w:bottom w:val="single" w:sz="8" w:space="0" w:color="auto"/>
              <w:right w:val="nil"/>
            </w:tcBorders>
            <w:vAlign w:val="center"/>
            <w:hideMark/>
          </w:tcPr>
          <w:p w14:paraId="28CF2816" w14:textId="2F2C72D1" w:rsidR="008A1F18" w:rsidRPr="007F7ED9" w:rsidRDefault="008A1F18" w:rsidP="008A1F18">
            <w:pPr>
              <w:jc w:val="right"/>
              <w:rPr>
                <w:rFonts w:ascii="Arial" w:hAnsi="Arial" w:cs="Arial"/>
                <w:b/>
                <w:bCs/>
                <w:color w:val="000000"/>
                <w:sz w:val="22"/>
                <w:szCs w:val="22"/>
              </w:rPr>
            </w:pPr>
            <w:r w:rsidRPr="007F7ED9">
              <w:rPr>
                <w:rFonts w:ascii="Arial" w:hAnsi="Arial" w:cs="Arial"/>
                <w:b/>
                <w:bCs/>
                <w:color w:val="000000"/>
                <w:sz w:val="22"/>
                <w:szCs w:val="22"/>
              </w:rPr>
              <w:t>(5</w:t>
            </w:r>
            <w:r>
              <w:rPr>
                <w:rFonts w:ascii="Arial" w:hAnsi="Arial" w:cs="Arial"/>
                <w:b/>
                <w:bCs/>
                <w:color w:val="000000"/>
                <w:sz w:val="22"/>
                <w:szCs w:val="22"/>
              </w:rPr>
              <w:t>4</w:t>
            </w:r>
            <w:r w:rsidRPr="007F7ED9">
              <w:rPr>
                <w:rFonts w:ascii="Arial" w:hAnsi="Arial" w:cs="Arial"/>
                <w:b/>
                <w:bCs/>
                <w:color w:val="000000"/>
                <w:sz w:val="22"/>
                <w:szCs w:val="22"/>
              </w:rPr>
              <w:t>,</w:t>
            </w:r>
            <w:r>
              <w:rPr>
                <w:rFonts w:ascii="Arial" w:hAnsi="Arial" w:cs="Arial"/>
                <w:b/>
                <w:bCs/>
                <w:color w:val="000000"/>
                <w:sz w:val="22"/>
                <w:szCs w:val="22"/>
              </w:rPr>
              <w:t>581</w:t>
            </w:r>
            <w:r w:rsidRPr="007F7ED9">
              <w:rPr>
                <w:rFonts w:ascii="Arial" w:hAnsi="Arial" w:cs="Arial"/>
                <w:b/>
                <w:bCs/>
                <w:color w:val="000000"/>
                <w:sz w:val="22"/>
                <w:szCs w:val="22"/>
              </w:rPr>
              <w:t>)</w:t>
            </w:r>
          </w:p>
        </w:tc>
        <w:tc>
          <w:tcPr>
            <w:tcW w:w="1345" w:type="dxa"/>
            <w:tcBorders>
              <w:top w:val="single" w:sz="8" w:space="0" w:color="auto"/>
              <w:left w:val="nil"/>
              <w:bottom w:val="single" w:sz="8" w:space="0" w:color="auto"/>
              <w:right w:val="nil"/>
            </w:tcBorders>
            <w:vAlign w:val="center"/>
            <w:hideMark/>
          </w:tcPr>
          <w:p w14:paraId="2E41916F" w14:textId="1BD8BEC3" w:rsidR="008A1F18" w:rsidRPr="007F7ED9" w:rsidRDefault="008A1F18" w:rsidP="008A1F18">
            <w:pPr>
              <w:jc w:val="right"/>
              <w:rPr>
                <w:rFonts w:ascii="Arial" w:hAnsi="Arial" w:cs="Arial"/>
                <w:b/>
                <w:bCs/>
                <w:color w:val="000000"/>
                <w:sz w:val="22"/>
                <w:szCs w:val="22"/>
              </w:rPr>
            </w:pPr>
            <w:r w:rsidRPr="007F7ED9">
              <w:rPr>
                <w:rFonts w:ascii="Arial" w:hAnsi="Arial" w:cs="Arial"/>
                <w:b/>
                <w:bCs/>
                <w:color w:val="000000"/>
                <w:sz w:val="22"/>
                <w:szCs w:val="22"/>
              </w:rPr>
              <w:t>3</w:t>
            </w:r>
            <w:r>
              <w:rPr>
                <w:rFonts w:ascii="Arial" w:hAnsi="Arial" w:cs="Arial"/>
                <w:b/>
                <w:bCs/>
                <w:color w:val="000000"/>
                <w:sz w:val="22"/>
                <w:szCs w:val="22"/>
              </w:rPr>
              <w:t>7</w:t>
            </w:r>
            <w:r w:rsidRPr="007F7ED9">
              <w:rPr>
                <w:rFonts w:ascii="Arial" w:hAnsi="Arial" w:cs="Arial"/>
                <w:b/>
                <w:bCs/>
                <w:color w:val="000000"/>
                <w:sz w:val="22"/>
                <w:szCs w:val="22"/>
              </w:rPr>
              <w:t>,</w:t>
            </w:r>
            <w:r>
              <w:rPr>
                <w:rFonts w:ascii="Arial" w:hAnsi="Arial" w:cs="Arial"/>
                <w:b/>
                <w:bCs/>
                <w:color w:val="000000"/>
                <w:sz w:val="22"/>
                <w:szCs w:val="22"/>
              </w:rPr>
              <w:t>803</w:t>
            </w:r>
          </w:p>
        </w:tc>
        <w:tc>
          <w:tcPr>
            <w:tcW w:w="1231" w:type="dxa"/>
            <w:tcBorders>
              <w:top w:val="single" w:sz="8" w:space="0" w:color="auto"/>
              <w:left w:val="nil"/>
              <w:bottom w:val="single" w:sz="8" w:space="0" w:color="auto"/>
              <w:right w:val="nil"/>
            </w:tcBorders>
            <w:shd w:val="clear" w:color="000000" w:fill="D9D9D9"/>
            <w:vAlign w:val="center"/>
            <w:hideMark/>
          </w:tcPr>
          <w:p w14:paraId="24752711" w14:textId="5BEF9835" w:rsidR="008A1F18" w:rsidRPr="007F7ED9" w:rsidRDefault="008A1F18" w:rsidP="008A1F18">
            <w:pPr>
              <w:jc w:val="right"/>
              <w:rPr>
                <w:rFonts w:ascii="Arial" w:hAnsi="Arial" w:cs="Arial"/>
                <w:b/>
                <w:bCs/>
                <w:color w:val="000000"/>
                <w:sz w:val="22"/>
                <w:szCs w:val="22"/>
              </w:rPr>
            </w:pPr>
            <w:r>
              <w:rPr>
                <w:rFonts w:ascii="Arial" w:hAnsi="Arial" w:cs="Arial"/>
                <w:b/>
                <w:bCs/>
                <w:color w:val="000000"/>
                <w:sz w:val="22"/>
                <w:szCs w:val="22"/>
              </w:rPr>
              <w:t>100,888</w:t>
            </w:r>
          </w:p>
        </w:tc>
        <w:tc>
          <w:tcPr>
            <w:tcW w:w="1349" w:type="dxa"/>
            <w:tcBorders>
              <w:top w:val="nil"/>
              <w:left w:val="nil"/>
              <w:bottom w:val="single" w:sz="8" w:space="0" w:color="auto"/>
              <w:right w:val="nil"/>
            </w:tcBorders>
            <w:shd w:val="clear" w:color="000000" w:fill="D9D9D9"/>
            <w:vAlign w:val="center"/>
            <w:hideMark/>
          </w:tcPr>
          <w:p w14:paraId="3D68858D" w14:textId="038390F8" w:rsidR="008A1F18" w:rsidRPr="007F7ED9" w:rsidRDefault="008A1F18" w:rsidP="008A1F18">
            <w:pPr>
              <w:jc w:val="right"/>
              <w:rPr>
                <w:rFonts w:ascii="Arial" w:hAnsi="Arial" w:cs="Arial"/>
                <w:b/>
                <w:bCs/>
                <w:color w:val="000000"/>
                <w:sz w:val="22"/>
                <w:szCs w:val="22"/>
              </w:rPr>
            </w:pPr>
            <w:r>
              <w:rPr>
                <w:rFonts w:ascii="Arial" w:hAnsi="Arial" w:cs="Arial"/>
                <w:b/>
                <w:bCs/>
                <w:color w:val="000000"/>
                <w:sz w:val="22"/>
                <w:szCs w:val="22"/>
              </w:rPr>
              <w:t>(65,892)</w:t>
            </w:r>
          </w:p>
        </w:tc>
        <w:tc>
          <w:tcPr>
            <w:tcW w:w="1281" w:type="dxa"/>
            <w:tcBorders>
              <w:top w:val="single" w:sz="8" w:space="0" w:color="auto"/>
              <w:left w:val="nil"/>
              <w:bottom w:val="single" w:sz="8" w:space="0" w:color="auto"/>
              <w:right w:val="single" w:sz="8" w:space="0" w:color="auto"/>
            </w:tcBorders>
            <w:shd w:val="clear" w:color="000000" w:fill="D9D9D9"/>
            <w:vAlign w:val="center"/>
            <w:hideMark/>
          </w:tcPr>
          <w:p w14:paraId="6DD84BE9" w14:textId="38A6D4D2" w:rsidR="008A1F18" w:rsidRPr="007F7ED9" w:rsidRDefault="008A1F18" w:rsidP="008A1F18">
            <w:pPr>
              <w:jc w:val="right"/>
              <w:rPr>
                <w:rFonts w:ascii="Arial" w:hAnsi="Arial" w:cs="Arial"/>
                <w:b/>
                <w:bCs/>
                <w:color w:val="000000"/>
                <w:sz w:val="22"/>
                <w:szCs w:val="22"/>
              </w:rPr>
            </w:pPr>
            <w:r>
              <w:rPr>
                <w:rFonts w:ascii="Arial" w:hAnsi="Arial" w:cs="Arial"/>
                <w:b/>
                <w:bCs/>
                <w:color w:val="000000"/>
                <w:sz w:val="22"/>
                <w:szCs w:val="22"/>
              </w:rPr>
              <w:t>34,996</w:t>
            </w:r>
          </w:p>
        </w:tc>
      </w:tr>
    </w:tbl>
    <w:p w14:paraId="02D05B7D" w14:textId="77777777" w:rsidR="003B74DA" w:rsidRPr="00645FC2" w:rsidRDefault="003B74DA" w:rsidP="003B74DA">
      <w:pPr>
        <w:ind w:left="426"/>
        <w:jc w:val="both"/>
        <w:rPr>
          <w:rFonts w:ascii="Arial" w:hAnsi="Arial" w:cs="Arial"/>
          <w:sz w:val="22"/>
          <w:szCs w:val="22"/>
          <w:highlight w:val="yellow"/>
        </w:rPr>
      </w:pPr>
    </w:p>
    <w:p w14:paraId="0E5283E2" w14:textId="77777777" w:rsidR="003B74DA" w:rsidRPr="00580B55" w:rsidRDefault="003B74DA" w:rsidP="003B74DA">
      <w:pPr>
        <w:ind w:left="426"/>
        <w:jc w:val="both"/>
        <w:rPr>
          <w:rFonts w:ascii="Arial" w:hAnsi="Arial" w:cs="Arial"/>
          <w:b/>
        </w:rPr>
      </w:pPr>
      <w:r w:rsidRPr="00580B55">
        <w:rPr>
          <w:rFonts w:ascii="Arial" w:hAnsi="Arial" w:cs="Arial"/>
          <w:b/>
        </w:rPr>
        <w:t>Market Risk –Interest Rate Risk</w:t>
      </w:r>
    </w:p>
    <w:p w14:paraId="0E9A34CC" w14:textId="77777777" w:rsidR="003B74DA" w:rsidRPr="00580B55" w:rsidRDefault="003B74DA" w:rsidP="003B74DA">
      <w:pPr>
        <w:ind w:left="720"/>
        <w:jc w:val="both"/>
        <w:rPr>
          <w:b/>
          <w:sz w:val="22"/>
          <w:szCs w:val="22"/>
        </w:rPr>
      </w:pPr>
    </w:p>
    <w:p w14:paraId="4CE8295C" w14:textId="0DB6D8DA" w:rsidR="003B74DA" w:rsidRPr="00580B55" w:rsidRDefault="003B74DA" w:rsidP="003B74DA">
      <w:pPr>
        <w:ind w:left="426"/>
        <w:jc w:val="both"/>
        <w:rPr>
          <w:rFonts w:ascii="Arial" w:hAnsi="Arial" w:cs="Arial"/>
          <w:sz w:val="22"/>
          <w:szCs w:val="22"/>
        </w:rPr>
      </w:pPr>
      <w:r w:rsidRPr="00580B55">
        <w:rPr>
          <w:rFonts w:ascii="Arial" w:hAnsi="Arial" w:cs="Arial"/>
          <w:sz w:val="22"/>
          <w:szCs w:val="22"/>
        </w:rPr>
        <w:t xml:space="preserve">The PCC is exposed to risk in term of </w:t>
      </w:r>
      <w:r w:rsidR="004600D9" w:rsidRPr="00580B55">
        <w:rPr>
          <w:rFonts w:ascii="Arial" w:hAnsi="Arial" w:cs="Arial"/>
          <w:sz w:val="22"/>
          <w:szCs w:val="22"/>
        </w:rPr>
        <w:t>their</w:t>
      </w:r>
      <w:r w:rsidRPr="00580B55">
        <w:rPr>
          <w:rFonts w:ascii="Arial" w:hAnsi="Arial" w:cs="Arial"/>
          <w:sz w:val="22"/>
          <w:szCs w:val="22"/>
        </w:rPr>
        <w:t xml:space="preserve"> exposure to interest rate movements on </w:t>
      </w:r>
      <w:r w:rsidR="004600D9" w:rsidRPr="00580B55">
        <w:rPr>
          <w:rFonts w:ascii="Arial" w:hAnsi="Arial" w:cs="Arial"/>
          <w:sz w:val="22"/>
          <w:szCs w:val="22"/>
        </w:rPr>
        <w:t>their</w:t>
      </w:r>
      <w:r w:rsidRPr="00580B55">
        <w:rPr>
          <w:rFonts w:ascii="Arial" w:hAnsi="Arial" w:cs="Arial"/>
          <w:sz w:val="22"/>
          <w:szCs w:val="22"/>
        </w:rPr>
        <w:t xml:space="preserve"> borrowings and investments. Movements in interest rates have a complex impact on the authority. For </w:t>
      </w:r>
      <w:r w:rsidR="00C4215A" w:rsidRPr="00580B55">
        <w:rPr>
          <w:rFonts w:ascii="Arial" w:hAnsi="Arial" w:cs="Arial"/>
          <w:sz w:val="22"/>
          <w:szCs w:val="22"/>
        </w:rPr>
        <w:t>instance,</w:t>
      </w:r>
      <w:r w:rsidRPr="00580B55">
        <w:rPr>
          <w:rFonts w:ascii="Arial" w:hAnsi="Arial" w:cs="Arial"/>
          <w:sz w:val="22"/>
          <w:szCs w:val="22"/>
        </w:rPr>
        <w:t xml:space="preserve"> a rise </w:t>
      </w:r>
      <w:r w:rsidR="00C4215A" w:rsidRPr="00580B55">
        <w:rPr>
          <w:rFonts w:ascii="Arial" w:hAnsi="Arial" w:cs="Arial"/>
          <w:sz w:val="22"/>
          <w:szCs w:val="22"/>
        </w:rPr>
        <w:t xml:space="preserve">in </w:t>
      </w:r>
      <w:r w:rsidRPr="00580B55">
        <w:rPr>
          <w:rFonts w:ascii="Arial" w:hAnsi="Arial" w:cs="Arial"/>
          <w:sz w:val="22"/>
          <w:szCs w:val="22"/>
        </w:rPr>
        <w:t>interest rates would have the following impact:</w:t>
      </w:r>
    </w:p>
    <w:p w14:paraId="0187918E" w14:textId="77777777" w:rsidR="003B74DA" w:rsidRPr="00580B55" w:rsidRDefault="003B74DA" w:rsidP="003B74DA">
      <w:pPr>
        <w:ind w:left="426"/>
        <w:jc w:val="both"/>
        <w:rPr>
          <w:rFonts w:ascii="Arial" w:hAnsi="Arial" w:cs="Arial"/>
          <w:sz w:val="22"/>
          <w:szCs w:val="22"/>
        </w:rPr>
      </w:pPr>
    </w:p>
    <w:p w14:paraId="48E7B3FA" w14:textId="77777777" w:rsidR="003B74DA" w:rsidRPr="00580B55" w:rsidRDefault="003B74DA" w:rsidP="004E2882">
      <w:pPr>
        <w:pStyle w:val="ListParagraph"/>
        <w:numPr>
          <w:ilvl w:val="0"/>
          <w:numId w:val="29"/>
        </w:numPr>
        <w:jc w:val="both"/>
        <w:rPr>
          <w:rFonts w:eastAsia="Arial Unicode MS" w:cs="Arial Unicode MS"/>
          <w:i/>
          <w:sz w:val="24"/>
          <w:szCs w:val="24"/>
        </w:rPr>
      </w:pPr>
      <w:r w:rsidRPr="00580B55">
        <w:rPr>
          <w:rFonts w:ascii="Arial" w:hAnsi="Arial" w:cs="Arial"/>
        </w:rPr>
        <w:t>Borrowings at variable rates –the interest expense will rise;</w:t>
      </w:r>
    </w:p>
    <w:p w14:paraId="7BF04AEB" w14:textId="77777777" w:rsidR="003B74DA" w:rsidRPr="00580B55" w:rsidRDefault="003B74DA" w:rsidP="004E2882">
      <w:pPr>
        <w:pStyle w:val="ListParagraph"/>
        <w:numPr>
          <w:ilvl w:val="0"/>
          <w:numId w:val="29"/>
        </w:numPr>
        <w:jc w:val="both"/>
        <w:rPr>
          <w:rFonts w:eastAsia="Arial Unicode MS" w:cs="Arial Unicode MS"/>
          <w:i/>
          <w:sz w:val="24"/>
          <w:szCs w:val="24"/>
        </w:rPr>
      </w:pPr>
      <w:r w:rsidRPr="00580B55">
        <w:rPr>
          <w:rFonts w:ascii="Arial" w:hAnsi="Arial" w:cs="Arial"/>
        </w:rPr>
        <w:t>Borrowings at fixed rates-the fair value of liabilities will fall;</w:t>
      </w:r>
    </w:p>
    <w:p w14:paraId="4C772184" w14:textId="77777777" w:rsidR="003B74DA" w:rsidRPr="00580B55" w:rsidRDefault="003B74DA" w:rsidP="004E2882">
      <w:pPr>
        <w:pStyle w:val="ListParagraph"/>
        <w:numPr>
          <w:ilvl w:val="0"/>
          <w:numId w:val="29"/>
        </w:numPr>
        <w:jc w:val="both"/>
        <w:rPr>
          <w:rFonts w:eastAsia="Arial Unicode MS" w:cs="Arial Unicode MS"/>
          <w:i/>
          <w:sz w:val="24"/>
          <w:szCs w:val="24"/>
        </w:rPr>
      </w:pPr>
      <w:r w:rsidRPr="00580B55">
        <w:rPr>
          <w:rFonts w:ascii="Arial" w:hAnsi="Arial" w:cs="Arial"/>
        </w:rPr>
        <w:t>Investments at variable rates – the interest income will rise;</w:t>
      </w:r>
    </w:p>
    <w:p w14:paraId="114DA072" w14:textId="77777777" w:rsidR="003B74DA" w:rsidRPr="00580B55" w:rsidRDefault="003B74DA" w:rsidP="004E2882">
      <w:pPr>
        <w:pStyle w:val="ListParagraph"/>
        <w:numPr>
          <w:ilvl w:val="0"/>
          <w:numId w:val="29"/>
        </w:numPr>
        <w:jc w:val="both"/>
        <w:rPr>
          <w:rFonts w:eastAsia="Arial Unicode MS" w:cs="Arial Unicode MS"/>
          <w:i/>
          <w:sz w:val="24"/>
          <w:szCs w:val="24"/>
        </w:rPr>
      </w:pPr>
      <w:r w:rsidRPr="00580B55">
        <w:rPr>
          <w:rFonts w:ascii="Arial" w:hAnsi="Arial" w:cs="Arial"/>
        </w:rPr>
        <w:t>Investments at fixed rate – the fair value of the assets will fall.</w:t>
      </w:r>
    </w:p>
    <w:p w14:paraId="248432DB" w14:textId="77777777" w:rsidR="003B74DA" w:rsidRPr="00580B55" w:rsidRDefault="003B74DA" w:rsidP="003B74DA">
      <w:pPr>
        <w:ind w:left="426"/>
        <w:jc w:val="both"/>
        <w:rPr>
          <w:rFonts w:ascii="Arial" w:hAnsi="Arial" w:cs="Arial"/>
          <w:sz w:val="22"/>
          <w:szCs w:val="22"/>
        </w:rPr>
      </w:pPr>
      <w:r w:rsidRPr="00580B55">
        <w:rPr>
          <w:rFonts w:ascii="Arial" w:hAnsi="Arial" w:cs="Arial"/>
          <w:sz w:val="22"/>
          <w:szCs w:val="22"/>
        </w:rPr>
        <w:t>Investments are measured at amortised cost and borrowings not carried at fair value, so changes in the fair value will have no impact on the CIES. However, changes in interest payable or receivable on variable rate borrowings and investments will be posted to the Surplus or Deficit on the Provision of Services.</w:t>
      </w:r>
    </w:p>
    <w:p w14:paraId="52CD5966" w14:textId="56D93B16" w:rsidR="008C2377" w:rsidRPr="00645FC2" w:rsidRDefault="008C2377">
      <w:pPr>
        <w:rPr>
          <w:rFonts w:ascii="Arial" w:hAnsi="Arial" w:cs="Arial"/>
          <w:sz w:val="22"/>
          <w:szCs w:val="22"/>
          <w:highlight w:val="yellow"/>
        </w:rPr>
      </w:pPr>
    </w:p>
    <w:p w14:paraId="1498CAF5" w14:textId="2CF0F51A" w:rsidR="003B74DA" w:rsidRDefault="003B74DA" w:rsidP="003B74DA">
      <w:pPr>
        <w:ind w:left="426"/>
        <w:jc w:val="both"/>
        <w:rPr>
          <w:rFonts w:ascii="Arial" w:hAnsi="Arial" w:cs="Arial"/>
          <w:sz w:val="22"/>
          <w:szCs w:val="22"/>
        </w:rPr>
      </w:pPr>
      <w:bookmarkStart w:id="27" w:name="_Hlk75964019"/>
      <w:r w:rsidRPr="00B903C2">
        <w:rPr>
          <w:rFonts w:ascii="Arial" w:hAnsi="Arial" w:cs="Arial"/>
          <w:sz w:val="22"/>
          <w:szCs w:val="22"/>
        </w:rPr>
        <w:t>The Treasury Management Strategy aims to mitigate these risks by setting upper limits on the PCC</w:t>
      </w:r>
      <w:r w:rsidR="005B6F05" w:rsidRPr="00B903C2">
        <w:rPr>
          <w:rFonts w:ascii="Arial" w:hAnsi="Arial" w:cs="Arial"/>
          <w:sz w:val="22"/>
          <w:szCs w:val="22"/>
        </w:rPr>
        <w:t>’</w:t>
      </w:r>
      <w:r w:rsidRPr="00B903C2">
        <w:rPr>
          <w:rFonts w:ascii="Arial" w:hAnsi="Arial" w:cs="Arial"/>
          <w:sz w:val="22"/>
          <w:szCs w:val="22"/>
        </w:rPr>
        <w:t xml:space="preserve">s net exposures to fixed and variable interest rates. </w:t>
      </w:r>
      <w:bookmarkStart w:id="28" w:name="_Hlk44687513"/>
      <w:r w:rsidR="00D83F63" w:rsidRPr="00D83F63">
        <w:rPr>
          <w:rFonts w:ascii="Arial" w:hAnsi="Arial" w:cs="Arial"/>
          <w:sz w:val="22"/>
          <w:szCs w:val="22"/>
        </w:rPr>
        <w:t>At 31 March 2025, £39.4m of net principal borrowed (i.e. borrowing net of investments) was exposed to fixed rates and £42m net principal borrowed (i.e. borrowing net of investments) was exposed to variable rate risk.</w:t>
      </w:r>
      <w:bookmarkEnd w:id="27"/>
    </w:p>
    <w:p w14:paraId="66089D25" w14:textId="77777777" w:rsidR="00D83F63" w:rsidRPr="00B903C2" w:rsidRDefault="00D83F63" w:rsidP="003B74DA">
      <w:pPr>
        <w:ind w:left="426"/>
        <w:jc w:val="both"/>
        <w:rPr>
          <w:rFonts w:ascii="Arial" w:hAnsi="Arial" w:cs="Arial"/>
          <w:sz w:val="22"/>
          <w:szCs w:val="22"/>
        </w:rPr>
      </w:pPr>
    </w:p>
    <w:bookmarkEnd w:id="28"/>
    <w:p w14:paraId="1783317D" w14:textId="445CAE12" w:rsidR="003B74DA" w:rsidRPr="00B903C2" w:rsidRDefault="003B74DA" w:rsidP="009D7304">
      <w:pPr>
        <w:ind w:left="426"/>
        <w:jc w:val="both"/>
      </w:pPr>
      <w:r w:rsidRPr="00B903C2">
        <w:rPr>
          <w:rFonts w:ascii="Arial" w:hAnsi="Arial" w:cs="Arial"/>
          <w:sz w:val="22"/>
          <w:szCs w:val="22"/>
        </w:rPr>
        <w:t>If all interest rates had been 1% higher (with all other variables held constant) the financial effect would be:</w:t>
      </w:r>
    </w:p>
    <w:tbl>
      <w:tblPr>
        <w:tblpPr w:leftFromText="180" w:rightFromText="180" w:vertAnchor="text" w:horzAnchor="page" w:tblpX="1441" w:tblpY="130"/>
        <w:tblW w:w="9123" w:type="dxa"/>
        <w:tblLook w:val="04A0" w:firstRow="1" w:lastRow="0" w:firstColumn="1" w:lastColumn="0" w:noHBand="0" w:noVBand="1"/>
      </w:tblPr>
      <w:tblGrid>
        <w:gridCol w:w="7645"/>
        <w:gridCol w:w="1478"/>
      </w:tblGrid>
      <w:tr w:rsidR="00F23D36" w:rsidRPr="00B903C2" w14:paraId="33CEDB7F" w14:textId="77777777" w:rsidTr="00F23D36">
        <w:trPr>
          <w:trHeight w:val="201"/>
        </w:trPr>
        <w:tc>
          <w:tcPr>
            <w:tcW w:w="7645" w:type="dxa"/>
            <w:tcBorders>
              <w:top w:val="single" w:sz="8" w:space="0" w:color="auto"/>
              <w:left w:val="single" w:sz="8" w:space="0" w:color="auto"/>
              <w:bottom w:val="nil"/>
              <w:right w:val="nil"/>
            </w:tcBorders>
            <w:shd w:val="clear" w:color="000000" w:fill="D9D9D9"/>
            <w:vAlign w:val="center"/>
            <w:hideMark/>
          </w:tcPr>
          <w:p w14:paraId="674469AF" w14:textId="5849BB10" w:rsidR="00F23D36" w:rsidRPr="00B903C2" w:rsidRDefault="0041356E" w:rsidP="00063EA8">
            <w:pPr>
              <w:rPr>
                <w:rFonts w:ascii="Arial" w:hAnsi="Arial" w:cs="Arial"/>
                <w:b/>
                <w:bCs/>
                <w:color w:val="000000"/>
                <w:sz w:val="22"/>
                <w:szCs w:val="22"/>
              </w:rPr>
            </w:pPr>
            <w:r>
              <w:rPr>
                <w:rFonts w:ascii="Arial" w:hAnsi="Arial" w:cs="Arial"/>
                <w:b/>
                <w:bCs/>
                <w:color w:val="000000"/>
                <w:sz w:val="22"/>
                <w:szCs w:val="22"/>
              </w:rPr>
              <w:t>PCC GROUP/PCC</w:t>
            </w:r>
            <w:r w:rsidR="00F23D36" w:rsidRPr="00B903C2">
              <w:rPr>
                <w:rFonts w:ascii="Arial" w:hAnsi="Arial" w:cs="Arial"/>
                <w:b/>
                <w:bCs/>
                <w:color w:val="000000"/>
                <w:sz w:val="22"/>
                <w:szCs w:val="22"/>
              </w:rPr>
              <w:t> </w:t>
            </w:r>
          </w:p>
        </w:tc>
        <w:tc>
          <w:tcPr>
            <w:tcW w:w="1478" w:type="dxa"/>
            <w:tcBorders>
              <w:top w:val="single" w:sz="8" w:space="0" w:color="auto"/>
              <w:left w:val="nil"/>
              <w:bottom w:val="nil"/>
              <w:right w:val="single" w:sz="8" w:space="0" w:color="auto"/>
            </w:tcBorders>
            <w:shd w:val="clear" w:color="000000" w:fill="D9D9D9"/>
            <w:noWrap/>
            <w:vAlign w:val="center"/>
            <w:hideMark/>
          </w:tcPr>
          <w:p w14:paraId="46974214" w14:textId="55C35F9D" w:rsidR="00F23D36" w:rsidRPr="00B903C2" w:rsidRDefault="00F23D36" w:rsidP="00F23D36">
            <w:pPr>
              <w:jc w:val="right"/>
              <w:rPr>
                <w:rFonts w:ascii="Arial" w:hAnsi="Arial" w:cs="Arial"/>
                <w:b/>
                <w:bCs/>
                <w:color w:val="000000"/>
                <w:sz w:val="22"/>
                <w:szCs w:val="22"/>
              </w:rPr>
            </w:pPr>
            <w:r w:rsidRPr="00B903C2">
              <w:rPr>
                <w:rFonts w:ascii="Arial" w:hAnsi="Arial" w:cs="Arial"/>
                <w:b/>
                <w:bCs/>
                <w:color w:val="000000"/>
                <w:sz w:val="22"/>
                <w:szCs w:val="22"/>
              </w:rPr>
              <w:t>31-Mar-2</w:t>
            </w:r>
            <w:r w:rsidR="00124A82">
              <w:rPr>
                <w:rFonts w:ascii="Arial" w:hAnsi="Arial" w:cs="Arial"/>
                <w:b/>
                <w:bCs/>
                <w:color w:val="000000"/>
                <w:sz w:val="22"/>
                <w:szCs w:val="22"/>
              </w:rPr>
              <w:t>5</w:t>
            </w:r>
          </w:p>
        </w:tc>
      </w:tr>
      <w:tr w:rsidR="00F23D36" w:rsidRPr="00B903C2" w14:paraId="22C889D7" w14:textId="77777777" w:rsidTr="00F23D36">
        <w:trPr>
          <w:trHeight w:val="201"/>
        </w:trPr>
        <w:tc>
          <w:tcPr>
            <w:tcW w:w="7645" w:type="dxa"/>
            <w:tcBorders>
              <w:top w:val="nil"/>
              <w:left w:val="single" w:sz="8" w:space="0" w:color="auto"/>
              <w:bottom w:val="nil"/>
              <w:right w:val="nil"/>
            </w:tcBorders>
            <w:shd w:val="clear" w:color="000000" w:fill="D9D9D9"/>
            <w:vAlign w:val="center"/>
            <w:hideMark/>
          </w:tcPr>
          <w:p w14:paraId="21C77600" w14:textId="77777777" w:rsidR="00F23D36" w:rsidRPr="00B903C2" w:rsidRDefault="00F23D36" w:rsidP="00F23D36">
            <w:pPr>
              <w:jc w:val="right"/>
              <w:rPr>
                <w:rFonts w:ascii="Arial" w:hAnsi="Arial" w:cs="Arial"/>
                <w:b/>
                <w:bCs/>
                <w:color w:val="000000"/>
                <w:sz w:val="22"/>
                <w:szCs w:val="22"/>
              </w:rPr>
            </w:pPr>
            <w:r w:rsidRPr="00B903C2">
              <w:rPr>
                <w:rFonts w:ascii="Arial" w:hAnsi="Arial" w:cs="Arial"/>
                <w:b/>
                <w:bCs/>
                <w:color w:val="000000"/>
                <w:sz w:val="22"/>
                <w:szCs w:val="22"/>
              </w:rPr>
              <w:t> </w:t>
            </w:r>
          </w:p>
        </w:tc>
        <w:tc>
          <w:tcPr>
            <w:tcW w:w="1478" w:type="dxa"/>
            <w:tcBorders>
              <w:top w:val="nil"/>
              <w:left w:val="nil"/>
              <w:bottom w:val="nil"/>
              <w:right w:val="single" w:sz="8" w:space="0" w:color="auto"/>
            </w:tcBorders>
            <w:shd w:val="clear" w:color="000000" w:fill="D9D9D9"/>
            <w:vAlign w:val="center"/>
            <w:hideMark/>
          </w:tcPr>
          <w:p w14:paraId="7C068FD3" w14:textId="77777777" w:rsidR="00F23D36" w:rsidRPr="00B903C2" w:rsidRDefault="00F23D36" w:rsidP="00F23D36">
            <w:pPr>
              <w:jc w:val="right"/>
              <w:rPr>
                <w:rFonts w:ascii="Arial" w:hAnsi="Arial" w:cs="Arial"/>
                <w:b/>
                <w:bCs/>
                <w:color w:val="000000"/>
                <w:sz w:val="22"/>
                <w:szCs w:val="22"/>
              </w:rPr>
            </w:pPr>
            <w:r w:rsidRPr="00B903C2">
              <w:rPr>
                <w:rFonts w:ascii="Arial" w:hAnsi="Arial" w:cs="Arial"/>
                <w:b/>
                <w:bCs/>
                <w:color w:val="000000"/>
                <w:sz w:val="22"/>
                <w:szCs w:val="22"/>
              </w:rPr>
              <w:t>£000</w:t>
            </w:r>
          </w:p>
        </w:tc>
      </w:tr>
      <w:tr w:rsidR="008F60E6" w:rsidRPr="00B903C2" w14:paraId="50A6A72F" w14:textId="77777777" w:rsidTr="0066250F">
        <w:trPr>
          <w:trHeight w:val="656"/>
        </w:trPr>
        <w:tc>
          <w:tcPr>
            <w:tcW w:w="7645" w:type="dxa"/>
            <w:tcBorders>
              <w:top w:val="nil"/>
              <w:left w:val="single" w:sz="8" w:space="0" w:color="auto"/>
              <w:right w:val="nil"/>
            </w:tcBorders>
            <w:shd w:val="clear" w:color="000000" w:fill="D9D9D9"/>
            <w:vAlign w:val="center"/>
            <w:hideMark/>
          </w:tcPr>
          <w:p w14:paraId="025CBE13" w14:textId="6FA0E38C" w:rsidR="008F60E6" w:rsidRPr="00B903C2" w:rsidRDefault="008F60E6" w:rsidP="00AD7B36">
            <w:pPr>
              <w:rPr>
                <w:rFonts w:ascii="Arial" w:hAnsi="Arial" w:cs="Arial"/>
                <w:color w:val="000000"/>
                <w:sz w:val="22"/>
                <w:szCs w:val="22"/>
              </w:rPr>
            </w:pPr>
            <w:r w:rsidRPr="00B903C2">
              <w:rPr>
                <w:rFonts w:ascii="Arial" w:hAnsi="Arial" w:cs="Arial"/>
                <w:color w:val="000000"/>
                <w:sz w:val="22"/>
                <w:szCs w:val="22"/>
              </w:rPr>
              <w:t>Increase in interest receivable on variable rate investments</w:t>
            </w:r>
          </w:p>
        </w:tc>
        <w:tc>
          <w:tcPr>
            <w:tcW w:w="1478" w:type="dxa"/>
            <w:tcBorders>
              <w:top w:val="nil"/>
              <w:left w:val="nil"/>
              <w:bottom w:val="single" w:sz="8" w:space="0" w:color="000000"/>
              <w:right w:val="single" w:sz="8" w:space="0" w:color="auto"/>
            </w:tcBorders>
            <w:shd w:val="clear" w:color="000000" w:fill="D9D9D9"/>
            <w:vAlign w:val="center"/>
            <w:hideMark/>
          </w:tcPr>
          <w:p w14:paraId="141C8593" w14:textId="2DD1D348" w:rsidR="008F60E6" w:rsidRPr="00B903C2" w:rsidRDefault="00E3006D" w:rsidP="00340203">
            <w:pPr>
              <w:jc w:val="right"/>
              <w:rPr>
                <w:rFonts w:ascii="Arial" w:hAnsi="Arial" w:cs="Arial"/>
                <w:color w:val="000000"/>
                <w:sz w:val="22"/>
                <w:szCs w:val="22"/>
              </w:rPr>
            </w:pPr>
            <w:r>
              <w:rPr>
                <w:rFonts w:ascii="Arial" w:hAnsi="Arial" w:cs="Arial"/>
                <w:sz w:val="22"/>
                <w:szCs w:val="22"/>
              </w:rPr>
              <w:t>369</w:t>
            </w:r>
          </w:p>
          <w:p w14:paraId="3AF47E86" w14:textId="1F156DA8" w:rsidR="008F60E6" w:rsidRPr="00B903C2" w:rsidRDefault="008F60E6" w:rsidP="00340203">
            <w:pPr>
              <w:jc w:val="right"/>
              <w:rPr>
                <w:rFonts w:ascii="Arial" w:hAnsi="Arial" w:cs="Arial"/>
                <w:color w:val="000000"/>
                <w:sz w:val="22"/>
                <w:szCs w:val="22"/>
              </w:rPr>
            </w:pPr>
          </w:p>
        </w:tc>
      </w:tr>
      <w:tr w:rsidR="00340203" w:rsidRPr="00B903C2" w14:paraId="02145A06" w14:textId="77777777" w:rsidTr="00340203">
        <w:trPr>
          <w:trHeight w:val="403"/>
        </w:trPr>
        <w:tc>
          <w:tcPr>
            <w:tcW w:w="7645" w:type="dxa"/>
            <w:tcBorders>
              <w:top w:val="nil"/>
              <w:left w:val="single" w:sz="8" w:space="0" w:color="auto"/>
              <w:bottom w:val="nil"/>
              <w:right w:val="nil"/>
            </w:tcBorders>
            <w:shd w:val="clear" w:color="000000" w:fill="D9D9D9"/>
            <w:vAlign w:val="center"/>
            <w:hideMark/>
          </w:tcPr>
          <w:p w14:paraId="2EDDA0D9" w14:textId="77777777" w:rsidR="00340203" w:rsidRPr="00B903C2" w:rsidRDefault="00340203" w:rsidP="00340203">
            <w:pPr>
              <w:rPr>
                <w:rFonts w:ascii="Arial" w:hAnsi="Arial" w:cs="Arial"/>
                <w:b/>
                <w:bCs/>
                <w:color w:val="000000"/>
                <w:sz w:val="22"/>
                <w:szCs w:val="22"/>
              </w:rPr>
            </w:pPr>
            <w:r w:rsidRPr="00B903C2">
              <w:rPr>
                <w:rFonts w:ascii="Arial" w:hAnsi="Arial" w:cs="Arial"/>
                <w:b/>
                <w:bCs/>
                <w:color w:val="000000"/>
                <w:sz w:val="22"/>
                <w:szCs w:val="22"/>
              </w:rPr>
              <w:t>Impact on (Surplus) or Deficit on the Provision of Services</w:t>
            </w:r>
          </w:p>
        </w:tc>
        <w:tc>
          <w:tcPr>
            <w:tcW w:w="1478" w:type="dxa"/>
            <w:tcBorders>
              <w:top w:val="nil"/>
              <w:left w:val="nil"/>
              <w:bottom w:val="single" w:sz="8" w:space="0" w:color="auto"/>
              <w:right w:val="single" w:sz="8" w:space="0" w:color="auto"/>
            </w:tcBorders>
            <w:shd w:val="clear" w:color="000000" w:fill="D9D9D9"/>
            <w:vAlign w:val="center"/>
            <w:hideMark/>
          </w:tcPr>
          <w:p w14:paraId="07708113" w14:textId="40E01937" w:rsidR="00340203" w:rsidRPr="00B903C2" w:rsidRDefault="00E3006D" w:rsidP="00340203">
            <w:pPr>
              <w:jc w:val="right"/>
              <w:rPr>
                <w:rFonts w:ascii="Arial" w:hAnsi="Arial" w:cs="Arial"/>
                <w:b/>
                <w:bCs/>
                <w:color w:val="000000"/>
                <w:sz w:val="22"/>
                <w:szCs w:val="22"/>
              </w:rPr>
            </w:pPr>
            <w:r>
              <w:rPr>
                <w:rFonts w:ascii="Arial" w:hAnsi="Arial" w:cs="Arial"/>
                <w:b/>
                <w:bCs/>
                <w:sz w:val="22"/>
                <w:szCs w:val="22"/>
              </w:rPr>
              <w:t>369</w:t>
            </w:r>
          </w:p>
        </w:tc>
      </w:tr>
      <w:tr w:rsidR="00340203" w:rsidRPr="00B903C2" w14:paraId="15BDEFEF" w14:textId="77777777" w:rsidTr="00340203">
        <w:trPr>
          <w:trHeight w:val="68"/>
        </w:trPr>
        <w:tc>
          <w:tcPr>
            <w:tcW w:w="7645" w:type="dxa"/>
            <w:tcBorders>
              <w:top w:val="nil"/>
              <w:left w:val="single" w:sz="8" w:space="0" w:color="auto"/>
              <w:bottom w:val="nil"/>
              <w:right w:val="nil"/>
            </w:tcBorders>
            <w:shd w:val="clear" w:color="000000" w:fill="D9D9D9"/>
            <w:vAlign w:val="center"/>
            <w:hideMark/>
          </w:tcPr>
          <w:p w14:paraId="61CE3A6C" w14:textId="77777777" w:rsidR="00340203" w:rsidRPr="00B903C2" w:rsidRDefault="00340203" w:rsidP="00340203">
            <w:pPr>
              <w:jc w:val="right"/>
              <w:rPr>
                <w:rFonts w:ascii="Arial" w:hAnsi="Arial" w:cs="Arial"/>
                <w:color w:val="000000"/>
                <w:sz w:val="22"/>
                <w:szCs w:val="22"/>
              </w:rPr>
            </w:pPr>
            <w:r w:rsidRPr="00B903C2">
              <w:rPr>
                <w:rFonts w:ascii="Arial" w:hAnsi="Arial" w:cs="Arial"/>
                <w:color w:val="000000"/>
                <w:sz w:val="22"/>
                <w:szCs w:val="22"/>
              </w:rPr>
              <w:t> </w:t>
            </w:r>
          </w:p>
        </w:tc>
        <w:tc>
          <w:tcPr>
            <w:tcW w:w="1478" w:type="dxa"/>
            <w:tcBorders>
              <w:top w:val="nil"/>
              <w:left w:val="nil"/>
              <w:bottom w:val="nil"/>
              <w:right w:val="single" w:sz="8" w:space="0" w:color="auto"/>
            </w:tcBorders>
            <w:shd w:val="clear" w:color="000000" w:fill="D9D9D9"/>
            <w:vAlign w:val="center"/>
            <w:hideMark/>
          </w:tcPr>
          <w:p w14:paraId="3FA41B73" w14:textId="4ACD9BC9" w:rsidR="00340203" w:rsidRPr="00B903C2" w:rsidRDefault="00340203" w:rsidP="00340203">
            <w:pPr>
              <w:jc w:val="right"/>
              <w:rPr>
                <w:rFonts w:ascii="Arial" w:hAnsi="Arial" w:cs="Arial"/>
                <w:color w:val="000000"/>
                <w:sz w:val="22"/>
                <w:szCs w:val="22"/>
              </w:rPr>
            </w:pPr>
          </w:p>
        </w:tc>
      </w:tr>
      <w:tr w:rsidR="00340203" w:rsidRPr="00B903C2" w14:paraId="65BB714D" w14:textId="77777777" w:rsidTr="00340203">
        <w:trPr>
          <w:trHeight w:val="403"/>
        </w:trPr>
        <w:tc>
          <w:tcPr>
            <w:tcW w:w="7645" w:type="dxa"/>
            <w:tcBorders>
              <w:top w:val="nil"/>
              <w:left w:val="single" w:sz="8" w:space="0" w:color="auto"/>
              <w:bottom w:val="single" w:sz="8" w:space="0" w:color="auto"/>
              <w:right w:val="nil"/>
            </w:tcBorders>
            <w:shd w:val="clear" w:color="000000" w:fill="D9D9D9"/>
            <w:vAlign w:val="center"/>
            <w:hideMark/>
          </w:tcPr>
          <w:p w14:paraId="32AA5F8B" w14:textId="77777777" w:rsidR="00340203" w:rsidRPr="00B903C2" w:rsidRDefault="00340203" w:rsidP="00340203">
            <w:pPr>
              <w:rPr>
                <w:rFonts w:ascii="Arial" w:hAnsi="Arial" w:cs="Arial"/>
                <w:color w:val="000000"/>
                <w:sz w:val="22"/>
                <w:szCs w:val="22"/>
              </w:rPr>
            </w:pPr>
            <w:r w:rsidRPr="00B903C2">
              <w:rPr>
                <w:rFonts w:ascii="Arial" w:hAnsi="Arial" w:cs="Arial"/>
                <w:color w:val="000000"/>
                <w:sz w:val="22"/>
                <w:szCs w:val="22"/>
              </w:rPr>
              <w:t>Decrease in fair value of fixed rate borrowing*</w:t>
            </w:r>
          </w:p>
        </w:tc>
        <w:tc>
          <w:tcPr>
            <w:tcW w:w="1478" w:type="dxa"/>
            <w:tcBorders>
              <w:top w:val="nil"/>
              <w:left w:val="nil"/>
              <w:bottom w:val="single" w:sz="8" w:space="0" w:color="auto"/>
              <w:right w:val="single" w:sz="8" w:space="0" w:color="auto"/>
            </w:tcBorders>
            <w:shd w:val="clear" w:color="000000" w:fill="D9D9D9"/>
            <w:vAlign w:val="center"/>
            <w:hideMark/>
          </w:tcPr>
          <w:p w14:paraId="4D20286B" w14:textId="088943FF" w:rsidR="00340203" w:rsidRPr="00B903C2" w:rsidRDefault="00340203" w:rsidP="00340203">
            <w:pPr>
              <w:jc w:val="right"/>
              <w:rPr>
                <w:rFonts w:ascii="Arial" w:hAnsi="Arial" w:cs="Arial"/>
                <w:color w:val="000000"/>
                <w:sz w:val="22"/>
                <w:szCs w:val="22"/>
              </w:rPr>
            </w:pPr>
            <w:r w:rsidRPr="00B903C2">
              <w:rPr>
                <w:rFonts w:ascii="Arial" w:hAnsi="Arial" w:cs="Arial"/>
                <w:sz w:val="22"/>
                <w:szCs w:val="22"/>
              </w:rPr>
              <w:t>(</w:t>
            </w:r>
            <w:r w:rsidR="00657AEB" w:rsidRPr="00B903C2">
              <w:rPr>
                <w:rFonts w:ascii="Arial" w:hAnsi="Arial" w:cs="Arial"/>
                <w:sz w:val="22"/>
                <w:szCs w:val="22"/>
              </w:rPr>
              <w:t>2</w:t>
            </w:r>
            <w:r w:rsidR="009D222A" w:rsidRPr="00B903C2">
              <w:rPr>
                <w:rFonts w:ascii="Arial" w:hAnsi="Arial" w:cs="Arial"/>
                <w:sz w:val="22"/>
                <w:szCs w:val="22"/>
              </w:rPr>
              <w:t>,</w:t>
            </w:r>
            <w:r w:rsidR="00E3006D">
              <w:rPr>
                <w:rFonts w:ascii="Arial" w:hAnsi="Arial" w:cs="Arial"/>
                <w:sz w:val="22"/>
                <w:szCs w:val="22"/>
              </w:rPr>
              <w:t>456</w:t>
            </w:r>
            <w:r w:rsidRPr="00B903C2">
              <w:rPr>
                <w:rFonts w:ascii="Arial" w:hAnsi="Arial" w:cs="Arial"/>
                <w:sz w:val="22"/>
                <w:szCs w:val="22"/>
              </w:rPr>
              <w:t>)</w:t>
            </w:r>
          </w:p>
        </w:tc>
      </w:tr>
    </w:tbl>
    <w:p w14:paraId="113ED96B" w14:textId="77777777" w:rsidR="00F23D36" w:rsidRPr="00B903C2" w:rsidRDefault="003B74DA" w:rsidP="003B74DA">
      <w:pPr>
        <w:jc w:val="both"/>
        <w:rPr>
          <w:rFonts w:ascii="Arial" w:hAnsi="Arial" w:cs="Arial"/>
        </w:rPr>
      </w:pPr>
      <w:r w:rsidRPr="00B903C2">
        <w:rPr>
          <w:rFonts w:ascii="Arial" w:hAnsi="Arial" w:cs="Arial"/>
        </w:rPr>
        <w:tab/>
      </w:r>
    </w:p>
    <w:p w14:paraId="1F0E5810" w14:textId="66777E8D" w:rsidR="003B74DA" w:rsidRPr="00B903C2" w:rsidRDefault="003B74DA" w:rsidP="003B74DA">
      <w:pPr>
        <w:jc w:val="both"/>
        <w:rPr>
          <w:rFonts w:ascii="Arial" w:hAnsi="Arial" w:cs="Arial"/>
        </w:rPr>
      </w:pPr>
    </w:p>
    <w:p w14:paraId="7E75AD44" w14:textId="77777777" w:rsidR="003B74DA" w:rsidRPr="00B903C2" w:rsidRDefault="003B74DA" w:rsidP="003B74DA">
      <w:pPr>
        <w:ind w:firstLine="720"/>
        <w:jc w:val="both"/>
        <w:rPr>
          <w:rFonts w:ascii="Arial" w:hAnsi="Arial" w:cs="Arial"/>
        </w:rPr>
      </w:pPr>
      <w:r w:rsidRPr="00B903C2">
        <w:rPr>
          <w:rFonts w:ascii="Arial" w:hAnsi="Arial" w:cs="Arial"/>
        </w:rPr>
        <w:t>*No impact on CIES</w:t>
      </w:r>
    </w:p>
    <w:p w14:paraId="03850E41" w14:textId="77777777" w:rsidR="003B74DA" w:rsidRPr="00B903C2" w:rsidRDefault="003B74DA" w:rsidP="003B74DA">
      <w:pPr>
        <w:ind w:left="426"/>
        <w:jc w:val="both"/>
        <w:rPr>
          <w:rFonts w:ascii="Arial" w:hAnsi="Arial" w:cs="Arial"/>
          <w:sz w:val="22"/>
          <w:szCs w:val="22"/>
        </w:rPr>
      </w:pPr>
    </w:p>
    <w:p w14:paraId="22809387" w14:textId="507A83CA" w:rsidR="006673F2" w:rsidRDefault="003B74DA" w:rsidP="003B74DA">
      <w:pPr>
        <w:ind w:left="426"/>
        <w:jc w:val="both"/>
        <w:rPr>
          <w:rFonts w:ascii="Arial" w:hAnsi="Arial" w:cs="Arial"/>
          <w:sz w:val="22"/>
          <w:szCs w:val="22"/>
        </w:rPr>
      </w:pPr>
      <w:r w:rsidRPr="00B903C2">
        <w:rPr>
          <w:rFonts w:ascii="Arial" w:hAnsi="Arial" w:cs="Arial"/>
          <w:sz w:val="22"/>
          <w:szCs w:val="22"/>
        </w:rPr>
        <w:t>The approximate impact of a 1% fall in interest rates would be as above but with movements being reversed.</w:t>
      </w:r>
    </w:p>
    <w:p w14:paraId="071EB95F" w14:textId="0448C390" w:rsidR="006673F2" w:rsidRDefault="006673F2">
      <w:pPr>
        <w:rPr>
          <w:rFonts w:ascii="Arial" w:hAnsi="Arial" w:cs="Arial"/>
          <w:sz w:val="22"/>
          <w:szCs w:val="22"/>
        </w:rPr>
      </w:pPr>
    </w:p>
    <w:p w14:paraId="7098A1D0" w14:textId="77777777" w:rsidR="00C006F5" w:rsidRDefault="00C006F5">
      <w:pPr>
        <w:rPr>
          <w:rFonts w:ascii="Arial" w:hAnsi="Arial"/>
          <w:b/>
          <w:sz w:val="22"/>
          <w:szCs w:val="22"/>
        </w:rPr>
      </w:pPr>
      <w:r>
        <w:rPr>
          <w:rFonts w:ascii="Arial" w:hAnsi="Arial"/>
          <w:b/>
          <w:sz w:val="22"/>
          <w:szCs w:val="22"/>
        </w:rPr>
        <w:br w:type="page"/>
      </w:r>
    </w:p>
    <w:p w14:paraId="2D1BE66B" w14:textId="1BC5068A" w:rsidR="003B74DA" w:rsidRPr="009D04CA" w:rsidRDefault="003B74DA" w:rsidP="003B74DA">
      <w:pPr>
        <w:numPr>
          <w:ilvl w:val="0"/>
          <w:numId w:val="1"/>
        </w:numPr>
        <w:tabs>
          <w:tab w:val="clear" w:pos="720"/>
          <w:tab w:val="num" w:pos="426"/>
          <w:tab w:val="right" w:pos="5760"/>
        </w:tabs>
        <w:rPr>
          <w:rFonts w:ascii="Arial" w:hAnsi="Arial"/>
          <w:b/>
          <w:sz w:val="22"/>
          <w:szCs w:val="22"/>
        </w:rPr>
      </w:pPr>
      <w:r w:rsidRPr="009D04CA">
        <w:rPr>
          <w:rFonts w:ascii="Arial" w:hAnsi="Arial"/>
          <w:b/>
          <w:sz w:val="22"/>
          <w:szCs w:val="22"/>
        </w:rPr>
        <w:lastRenderedPageBreak/>
        <w:t xml:space="preserve">Defined Benefit Post-Employment Benefits </w:t>
      </w:r>
    </w:p>
    <w:p w14:paraId="22637489" w14:textId="77777777" w:rsidR="003B74DA" w:rsidRPr="00093BB3" w:rsidRDefault="003B74DA" w:rsidP="003B74DA">
      <w:pPr>
        <w:rPr>
          <w:rFonts w:ascii="Arial" w:hAnsi="Arial"/>
          <w:sz w:val="22"/>
          <w:szCs w:val="22"/>
          <w:highlight w:val="yellow"/>
        </w:rPr>
      </w:pPr>
    </w:p>
    <w:p w14:paraId="3ACCBB18" w14:textId="77777777" w:rsidR="00C67494" w:rsidRPr="00D83F63" w:rsidRDefault="00C67494" w:rsidP="00C67494">
      <w:pPr>
        <w:pStyle w:val="BodyText3"/>
        <w:ind w:left="426"/>
        <w:rPr>
          <w:snapToGrid w:val="0"/>
          <w:color w:val="auto"/>
          <w:sz w:val="22"/>
          <w:szCs w:val="22"/>
          <w:u w:val="single"/>
          <w:lang w:eastAsia="en-US"/>
        </w:rPr>
      </w:pPr>
      <w:r w:rsidRPr="00D83F63">
        <w:rPr>
          <w:snapToGrid w:val="0"/>
          <w:color w:val="auto"/>
          <w:sz w:val="22"/>
          <w:szCs w:val="22"/>
          <w:u w:val="single"/>
          <w:lang w:eastAsia="en-US"/>
        </w:rPr>
        <w:t>Accounting Policies</w:t>
      </w:r>
    </w:p>
    <w:p w14:paraId="5B32489B" w14:textId="77777777" w:rsidR="00C67494" w:rsidRPr="00D83F63" w:rsidRDefault="00C67494" w:rsidP="00C67494">
      <w:pPr>
        <w:pStyle w:val="BodyText3"/>
        <w:ind w:left="426"/>
        <w:rPr>
          <w:snapToGrid w:val="0"/>
          <w:color w:val="auto"/>
          <w:sz w:val="22"/>
          <w:szCs w:val="22"/>
          <w:u w:val="single"/>
          <w:lang w:eastAsia="en-US"/>
        </w:rPr>
      </w:pPr>
    </w:p>
    <w:p w14:paraId="331847B0" w14:textId="77777777" w:rsidR="00C67494" w:rsidRPr="00D83F63" w:rsidRDefault="00C67494" w:rsidP="00C67494">
      <w:pPr>
        <w:ind w:left="426"/>
        <w:jc w:val="both"/>
        <w:rPr>
          <w:rFonts w:ascii="Arial" w:hAnsi="Arial" w:cs="Arial"/>
          <w:sz w:val="22"/>
          <w:szCs w:val="22"/>
        </w:rPr>
      </w:pPr>
      <w:r w:rsidRPr="00D83F63">
        <w:rPr>
          <w:rFonts w:ascii="Arial" w:hAnsi="Arial" w:cs="Arial"/>
          <w:sz w:val="22"/>
          <w:szCs w:val="22"/>
        </w:rPr>
        <w:t xml:space="preserve">Police officers and police staff currently belong to one of four separate pension schemes: </w:t>
      </w:r>
    </w:p>
    <w:p w14:paraId="4582FB8F" w14:textId="77777777" w:rsidR="00C67494" w:rsidRPr="00D83F63" w:rsidRDefault="00C67494" w:rsidP="00C67494">
      <w:pPr>
        <w:ind w:left="426" w:hanging="720"/>
        <w:jc w:val="both"/>
        <w:rPr>
          <w:rFonts w:ascii="Arial" w:hAnsi="Arial" w:cs="Arial"/>
          <w:sz w:val="22"/>
          <w:szCs w:val="22"/>
        </w:rPr>
      </w:pPr>
    </w:p>
    <w:p w14:paraId="4CF987DF" w14:textId="77777777" w:rsidR="00C67494" w:rsidRPr="00D83F63" w:rsidRDefault="00C67494" w:rsidP="004E2882">
      <w:pPr>
        <w:numPr>
          <w:ilvl w:val="0"/>
          <w:numId w:val="23"/>
        </w:numPr>
        <w:autoSpaceDE w:val="0"/>
        <w:autoSpaceDN w:val="0"/>
        <w:adjustRightInd w:val="0"/>
        <w:contextualSpacing/>
        <w:jc w:val="both"/>
        <w:rPr>
          <w:rFonts w:ascii="Arial" w:eastAsia="Arial Unicode MS" w:hAnsi="Arial" w:cs="Arial"/>
          <w:color w:val="000000"/>
          <w:sz w:val="22"/>
          <w:szCs w:val="22"/>
        </w:rPr>
      </w:pPr>
      <w:r w:rsidRPr="00D83F63">
        <w:rPr>
          <w:rFonts w:ascii="Arial" w:eastAsia="Arial Unicode MS" w:hAnsi="Arial" w:cs="Arial"/>
          <w:color w:val="000000"/>
          <w:sz w:val="22"/>
          <w:szCs w:val="22"/>
        </w:rPr>
        <w:t>1987 Police Pension Scheme for Police Officers;</w:t>
      </w:r>
    </w:p>
    <w:p w14:paraId="1BDE5792" w14:textId="77777777" w:rsidR="00C67494" w:rsidRPr="00D83F63" w:rsidRDefault="00C67494" w:rsidP="004E2882">
      <w:pPr>
        <w:numPr>
          <w:ilvl w:val="0"/>
          <w:numId w:val="23"/>
        </w:numPr>
        <w:autoSpaceDE w:val="0"/>
        <w:autoSpaceDN w:val="0"/>
        <w:adjustRightInd w:val="0"/>
        <w:contextualSpacing/>
        <w:jc w:val="both"/>
        <w:rPr>
          <w:rFonts w:ascii="Arial" w:eastAsia="Arial Unicode MS" w:hAnsi="Arial" w:cs="Arial"/>
          <w:color w:val="000000"/>
          <w:sz w:val="22"/>
          <w:szCs w:val="22"/>
        </w:rPr>
      </w:pPr>
      <w:r w:rsidRPr="00D83F63">
        <w:rPr>
          <w:rFonts w:ascii="Arial" w:eastAsia="Arial Unicode MS" w:hAnsi="Arial" w:cs="Arial"/>
          <w:color w:val="000000"/>
          <w:sz w:val="22"/>
          <w:szCs w:val="22"/>
        </w:rPr>
        <w:t>2006 Police Pension Scheme for Police Officers;</w:t>
      </w:r>
    </w:p>
    <w:p w14:paraId="3BD2428C" w14:textId="77777777" w:rsidR="00C67494" w:rsidRPr="00D83F63" w:rsidRDefault="00C67494" w:rsidP="004E2882">
      <w:pPr>
        <w:numPr>
          <w:ilvl w:val="0"/>
          <w:numId w:val="23"/>
        </w:numPr>
        <w:autoSpaceDE w:val="0"/>
        <w:autoSpaceDN w:val="0"/>
        <w:adjustRightInd w:val="0"/>
        <w:contextualSpacing/>
        <w:jc w:val="both"/>
        <w:rPr>
          <w:rFonts w:ascii="Arial" w:eastAsia="Arial Unicode MS" w:hAnsi="Arial" w:cs="Arial"/>
          <w:color w:val="000000"/>
          <w:sz w:val="22"/>
          <w:szCs w:val="22"/>
        </w:rPr>
      </w:pPr>
      <w:r w:rsidRPr="00D83F63">
        <w:rPr>
          <w:rFonts w:ascii="Arial" w:eastAsia="Arial Unicode MS" w:hAnsi="Arial" w:cs="Arial"/>
          <w:color w:val="000000"/>
          <w:sz w:val="22"/>
          <w:szCs w:val="22"/>
        </w:rPr>
        <w:t>2015 Police Pension Scheme for Police Officers;</w:t>
      </w:r>
    </w:p>
    <w:p w14:paraId="0C4FCBC8" w14:textId="77777777" w:rsidR="00C67494" w:rsidRPr="00D83F63" w:rsidRDefault="00C67494" w:rsidP="004E2882">
      <w:pPr>
        <w:numPr>
          <w:ilvl w:val="0"/>
          <w:numId w:val="23"/>
        </w:numPr>
        <w:autoSpaceDE w:val="0"/>
        <w:autoSpaceDN w:val="0"/>
        <w:adjustRightInd w:val="0"/>
        <w:contextualSpacing/>
        <w:jc w:val="both"/>
        <w:rPr>
          <w:rFonts w:ascii="Arial" w:eastAsia="Arial Unicode MS" w:hAnsi="Arial" w:cs="Arial"/>
          <w:color w:val="000000"/>
          <w:sz w:val="22"/>
          <w:szCs w:val="22"/>
        </w:rPr>
      </w:pPr>
      <w:r w:rsidRPr="00D83F63">
        <w:rPr>
          <w:rFonts w:ascii="Arial" w:eastAsia="Arial Unicode MS" w:hAnsi="Arial" w:cs="Arial"/>
          <w:color w:val="000000"/>
          <w:sz w:val="22"/>
          <w:szCs w:val="22"/>
        </w:rPr>
        <w:t xml:space="preserve">Local Government Pensions Scheme for Police Staff </w:t>
      </w:r>
    </w:p>
    <w:p w14:paraId="6C495FBE" w14:textId="77777777" w:rsidR="00C67494" w:rsidRPr="00D83F63" w:rsidRDefault="00C67494" w:rsidP="00C67494">
      <w:pPr>
        <w:autoSpaceDE w:val="0"/>
        <w:autoSpaceDN w:val="0"/>
        <w:adjustRightInd w:val="0"/>
        <w:ind w:left="1287"/>
        <w:contextualSpacing/>
        <w:jc w:val="both"/>
        <w:rPr>
          <w:rFonts w:ascii="Arial" w:eastAsia="Arial Unicode MS" w:hAnsi="Arial" w:cs="Arial"/>
          <w:color w:val="000000"/>
          <w:sz w:val="22"/>
          <w:szCs w:val="22"/>
        </w:rPr>
      </w:pPr>
    </w:p>
    <w:p w14:paraId="55EADCAE" w14:textId="77777777" w:rsidR="00C67494" w:rsidRPr="00D83F63" w:rsidRDefault="00C67494" w:rsidP="00C67494">
      <w:pPr>
        <w:ind w:left="426"/>
        <w:jc w:val="both"/>
        <w:rPr>
          <w:rFonts w:ascii="Arial" w:hAnsi="Arial" w:cs="Arial"/>
          <w:sz w:val="22"/>
          <w:szCs w:val="22"/>
        </w:rPr>
      </w:pPr>
      <w:r w:rsidRPr="00D83F63">
        <w:rPr>
          <w:rFonts w:ascii="Arial" w:hAnsi="Arial" w:cs="Arial"/>
          <w:sz w:val="22"/>
          <w:szCs w:val="22"/>
        </w:rPr>
        <w:t>There are unfunded arrangements for uniformed police officers. They are defined benefit pension arrangements which are governed by statute.</w:t>
      </w:r>
    </w:p>
    <w:p w14:paraId="54DEC580" w14:textId="4E7B9D58" w:rsidR="0061651B" w:rsidRPr="00D83F63" w:rsidRDefault="0061651B">
      <w:pPr>
        <w:rPr>
          <w:rFonts w:ascii="Arial" w:hAnsi="Arial" w:cs="Arial"/>
          <w:sz w:val="22"/>
          <w:szCs w:val="22"/>
        </w:rPr>
      </w:pPr>
    </w:p>
    <w:p w14:paraId="3F0B042F" w14:textId="0685C4E2" w:rsidR="00C67494" w:rsidRPr="00D83F63" w:rsidRDefault="00C67494" w:rsidP="00C67494">
      <w:pPr>
        <w:ind w:left="426"/>
        <w:jc w:val="both"/>
        <w:rPr>
          <w:rFonts w:ascii="Arial" w:hAnsi="Arial" w:cs="Arial"/>
          <w:sz w:val="22"/>
          <w:szCs w:val="22"/>
        </w:rPr>
      </w:pPr>
      <w:r w:rsidRPr="00D83F63">
        <w:rPr>
          <w:rFonts w:ascii="Arial" w:hAnsi="Arial" w:cs="Arial"/>
          <w:sz w:val="22"/>
          <w:szCs w:val="22"/>
        </w:rPr>
        <w:t>The Lancashire County Pension Fund, which is part of the Local Government Pension Scheme (LGPS), applies to Police Staff and is administered by Lancashire County Council. The LGPS is a contributory defined benefit pension arrangement for local authorities and related employers and is governed by statute (principally now the Public Service Pensions Act 2013).  Teachers, police officers and firefighters are not included within the scheme as they come within other national pension schemes.</w:t>
      </w:r>
    </w:p>
    <w:p w14:paraId="24AC6727" w14:textId="77777777" w:rsidR="00C67494" w:rsidRPr="00D83F63" w:rsidRDefault="00C67494" w:rsidP="00C67494">
      <w:pPr>
        <w:ind w:left="426"/>
        <w:jc w:val="both"/>
        <w:rPr>
          <w:rFonts w:ascii="Arial" w:hAnsi="Arial" w:cs="Arial"/>
          <w:sz w:val="22"/>
          <w:szCs w:val="22"/>
        </w:rPr>
      </w:pPr>
    </w:p>
    <w:p w14:paraId="04FE021D" w14:textId="77777777" w:rsidR="00C67494" w:rsidRPr="00D83F63" w:rsidRDefault="00C67494" w:rsidP="00C67494">
      <w:pPr>
        <w:ind w:left="426"/>
        <w:jc w:val="both"/>
        <w:rPr>
          <w:rFonts w:ascii="Arial" w:hAnsi="Arial" w:cs="Arial"/>
          <w:sz w:val="22"/>
          <w:szCs w:val="22"/>
        </w:rPr>
      </w:pPr>
      <w:bookmarkStart w:id="29" w:name="_Hlk42502652"/>
      <w:r w:rsidRPr="00D83F63">
        <w:rPr>
          <w:rFonts w:ascii="Arial" w:hAnsi="Arial" w:cs="Arial"/>
          <w:sz w:val="22"/>
          <w:szCs w:val="22"/>
        </w:rPr>
        <w:t>The Fund is administered in accordance with the following secondary legislation:</w:t>
      </w:r>
    </w:p>
    <w:p w14:paraId="1FA3B5D4" w14:textId="77777777" w:rsidR="00C67494" w:rsidRPr="00D83F63" w:rsidRDefault="00C67494" w:rsidP="00C67494">
      <w:pPr>
        <w:ind w:left="426"/>
        <w:jc w:val="both"/>
        <w:rPr>
          <w:rFonts w:ascii="Arial" w:hAnsi="Arial" w:cs="Arial"/>
          <w:sz w:val="22"/>
          <w:szCs w:val="22"/>
        </w:rPr>
      </w:pPr>
    </w:p>
    <w:p w14:paraId="66834EB2" w14:textId="77777777" w:rsidR="00C67494" w:rsidRPr="00D83F63" w:rsidRDefault="00C67494" w:rsidP="004E2882">
      <w:pPr>
        <w:numPr>
          <w:ilvl w:val="0"/>
          <w:numId w:val="23"/>
        </w:numPr>
        <w:autoSpaceDE w:val="0"/>
        <w:autoSpaceDN w:val="0"/>
        <w:adjustRightInd w:val="0"/>
        <w:contextualSpacing/>
        <w:jc w:val="both"/>
        <w:rPr>
          <w:rFonts w:ascii="Arial" w:eastAsia="Arial Unicode MS" w:hAnsi="Arial" w:cs="Arial"/>
          <w:color w:val="000000"/>
          <w:sz w:val="22"/>
          <w:szCs w:val="22"/>
        </w:rPr>
      </w:pPr>
      <w:bookmarkStart w:id="30" w:name="_Hlk45629450"/>
      <w:r w:rsidRPr="00D83F63">
        <w:rPr>
          <w:rFonts w:ascii="Arial" w:eastAsia="Arial Unicode MS" w:hAnsi="Arial" w:cs="Arial"/>
          <w:color w:val="000000"/>
          <w:sz w:val="22"/>
          <w:szCs w:val="22"/>
        </w:rPr>
        <w:t xml:space="preserve">the Local Government Pension Scheme (Amendment) Regulations 2018 </w:t>
      </w:r>
    </w:p>
    <w:p w14:paraId="566EE3D8" w14:textId="77777777" w:rsidR="00C67494" w:rsidRPr="00D83F63" w:rsidRDefault="00C67494" w:rsidP="004E2882">
      <w:pPr>
        <w:numPr>
          <w:ilvl w:val="0"/>
          <w:numId w:val="23"/>
        </w:numPr>
        <w:autoSpaceDE w:val="0"/>
        <w:autoSpaceDN w:val="0"/>
        <w:adjustRightInd w:val="0"/>
        <w:contextualSpacing/>
        <w:jc w:val="both"/>
        <w:rPr>
          <w:rFonts w:ascii="Arial" w:eastAsia="Arial Unicode MS" w:hAnsi="Arial" w:cs="Arial"/>
          <w:color w:val="000000"/>
          <w:sz w:val="22"/>
          <w:szCs w:val="22"/>
        </w:rPr>
      </w:pPr>
      <w:r w:rsidRPr="00D83F63">
        <w:rPr>
          <w:rFonts w:ascii="Arial" w:eastAsia="Arial Unicode MS" w:hAnsi="Arial" w:cs="Arial"/>
          <w:color w:val="000000"/>
          <w:sz w:val="22"/>
          <w:szCs w:val="22"/>
        </w:rPr>
        <w:t>the Local Government Pension Scheme (Transitional Provisions, Savings and Amendment) Regulations 2014 (as amended)</w:t>
      </w:r>
    </w:p>
    <w:p w14:paraId="7727C5DC" w14:textId="77777777" w:rsidR="00C67494" w:rsidRPr="00D83F63" w:rsidRDefault="00C67494" w:rsidP="004E2882">
      <w:pPr>
        <w:numPr>
          <w:ilvl w:val="0"/>
          <w:numId w:val="23"/>
        </w:numPr>
        <w:autoSpaceDE w:val="0"/>
        <w:autoSpaceDN w:val="0"/>
        <w:adjustRightInd w:val="0"/>
        <w:contextualSpacing/>
        <w:jc w:val="both"/>
        <w:rPr>
          <w:rFonts w:ascii="Arial Unicode MS" w:eastAsia="Arial Unicode MS" w:hAnsi="Arial Unicode MS" w:cs="Arial Unicode MS"/>
          <w:color w:val="000000"/>
          <w:sz w:val="22"/>
          <w:szCs w:val="22"/>
        </w:rPr>
      </w:pPr>
      <w:r w:rsidRPr="00D83F63">
        <w:rPr>
          <w:rFonts w:ascii="Arial" w:eastAsia="Arial Unicode MS" w:hAnsi="Arial" w:cs="Arial"/>
          <w:color w:val="000000"/>
          <w:sz w:val="22"/>
          <w:szCs w:val="22"/>
        </w:rPr>
        <w:t>the Local Government Pension Scheme (Management and Investment of Funds) Regulations 2016</w:t>
      </w:r>
      <w:bookmarkEnd w:id="30"/>
      <w:r w:rsidRPr="00D83F63">
        <w:rPr>
          <w:rFonts w:ascii="Arial Unicode MS" w:eastAsia="Arial Unicode MS" w:hAnsi="Arial Unicode MS" w:cs="Arial Unicode MS"/>
          <w:color w:val="000000"/>
          <w:sz w:val="22"/>
          <w:szCs w:val="22"/>
        </w:rPr>
        <w:t>.</w:t>
      </w:r>
    </w:p>
    <w:bookmarkEnd w:id="29"/>
    <w:p w14:paraId="1F88D9D3" w14:textId="38EF3C25" w:rsidR="0063738B" w:rsidRPr="00093BB3" w:rsidRDefault="0063738B">
      <w:pPr>
        <w:rPr>
          <w:rFonts w:ascii="Arial" w:hAnsi="Arial" w:cs="Arial"/>
          <w:sz w:val="22"/>
          <w:szCs w:val="22"/>
          <w:highlight w:val="yellow"/>
        </w:rPr>
      </w:pPr>
    </w:p>
    <w:p w14:paraId="30260611" w14:textId="768320A9" w:rsidR="00C67494" w:rsidRPr="00D83F63" w:rsidRDefault="00C67494" w:rsidP="00C67494">
      <w:pPr>
        <w:ind w:left="426"/>
        <w:jc w:val="both"/>
        <w:rPr>
          <w:rFonts w:ascii="Arial" w:hAnsi="Arial" w:cs="Arial"/>
          <w:sz w:val="22"/>
          <w:szCs w:val="22"/>
        </w:rPr>
      </w:pPr>
      <w:r w:rsidRPr="00D83F63">
        <w:rPr>
          <w:rFonts w:ascii="Arial" w:hAnsi="Arial" w:cs="Arial"/>
          <w:sz w:val="22"/>
          <w:szCs w:val="22"/>
        </w:rPr>
        <w:t>The Lancashire County Pension Fund is a multi-employer arrangement, under which each employer is responsible for the pension costs, liabilities and funding risks relating to its own employees and former employees.  Each employer’s contributions to the Fund are calculated in accordance with the LGPS Regulations, which require an actuarial valuation to be carried out every three/four years.</w:t>
      </w:r>
    </w:p>
    <w:p w14:paraId="3DC38D0C" w14:textId="77777777" w:rsidR="00C67494" w:rsidRPr="00D83F63" w:rsidRDefault="00C67494" w:rsidP="00C67494">
      <w:pPr>
        <w:ind w:left="426"/>
        <w:jc w:val="both"/>
        <w:rPr>
          <w:rFonts w:ascii="Arial" w:hAnsi="Arial" w:cs="Arial"/>
          <w:sz w:val="22"/>
          <w:szCs w:val="22"/>
        </w:rPr>
      </w:pPr>
    </w:p>
    <w:p w14:paraId="1206DB28" w14:textId="52C2C43D" w:rsidR="00C67494" w:rsidRPr="00093BB3" w:rsidRDefault="00C67494" w:rsidP="00C67494">
      <w:pPr>
        <w:ind w:left="426"/>
        <w:jc w:val="both"/>
        <w:rPr>
          <w:rFonts w:ascii="Arial" w:hAnsi="Arial" w:cs="Arial"/>
          <w:sz w:val="22"/>
          <w:szCs w:val="22"/>
          <w:highlight w:val="yellow"/>
        </w:rPr>
      </w:pPr>
      <w:r w:rsidRPr="00D83F63">
        <w:rPr>
          <w:rFonts w:ascii="Arial" w:hAnsi="Arial" w:cs="Arial"/>
          <w:sz w:val="22"/>
          <w:szCs w:val="22"/>
        </w:rPr>
        <w:t>A full actuarial valuation took place in March 202</w:t>
      </w:r>
      <w:r w:rsidR="00D83F63" w:rsidRPr="00D83F63">
        <w:rPr>
          <w:rFonts w:ascii="Arial" w:hAnsi="Arial" w:cs="Arial"/>
          <w:sz w:val="22"/>
          <w:szCs w:val="22"/>
        </w:rPr>
        <w:t>5</w:t>
      </w:r>
      <w:r w:rsidRPr="00D83F63">
        <w:rPr>
          <w:rFonts w:ascii="Arial" w:hAnsi="Arial" w:cs="Arial"/>
          <w:sz w:val="22"/>
          <w:szCs w:val="22"/>
        </w:rPr>
        <w:t>.</w:t>
      </w:r>
      <w:r w:rsidR="00D83F63" w:rsidRPr="00D83F63">
        <w:rPr>
          <w:rFonts w:ascii="Arial" w:hAnsi="Arial" w:cs="Arial"/>
          <w:sz w:val="22"/>
          <w:szCs w:val="22"/>
        </w:rPr>
        <w:t xml:space="preserve"> </w:t>
      </w:r>
      <w:r w:rsidR="00DC2030" w:rsidRPr="00D83F63">
        <w:rPr>
          <w:rFonts w:ascii="Arial" w:hAnsi="Arial" w:cs="Arial"/>
          <w:sz w:val="22"/>
          <w:szCs w:val="22"/>
        </w:rPr>
        <w:t>However,</w:t>
      </w:r>
      <w:r w:rsidR="00D83F63" w:rsidRPr="00D83F63">
        <w:rPr>
          <w:rFonts w:ascii="Arial" w:hAnsi="Arial" w:cs="Arial"/>
          <w:sz w:val="22"/>
          <w:szCs w:val="22"/>
        </w:rPr>
        <w:t xml:space="preserve"> the results </w:t>
      </w:r>
      <w:r w:rsidR="00C006F5">
        <w:rPr>
          <w:rFonts w:ascii="Arial" w:hAnsi="Arial" w:cs="Arial"/>
          <w:sz w:val="22"/>
          <w:szCs w:val="22"/>
        </w:rPr>
        <w:t xml:space="preserve">are currently being </w:t>
      </w:r>
      <w:r w:rsidR="00DC2030">
        <w:rPr>
          <w:rFonts w:ascii="Arial" w:hAnsi="Arial" w:cs="Arial"/>
          <w:sz w:val="22"/>
          <w:szCs w:val="22"/>
        </w:rPr>
        <w:t>finalised,</w:t>
      </w:r>
      <w:r w:rsidR="00D83F63" w:rsidRPr="00D83F63">
        <w:rPr>
          <w:rFonts w:ascii="Arial" w:hAnsi="Arial" w:cs="Arial"/>
          <w:sz w:val="22"/>
          <w:szCs w:val="22"/>
        </w:rPr>
        <w:t xml:space="preserve"> so the rates shown in this year’s accounts are based on the valuation that </w:t>
      </w:r>
      <w:r w:rsidR="00D83F63" w:rsidRPr="00512513">
        <w:rPr>
          <w:rFonts w:ascii="Arial" w:hAnsi="Arial" w:cs="Arial"/>
          <w:sz w:val="22"/>
          <w:szCs w:val="22"/>
        </w:rPr>
        <w:t>took place in 2022.</w:t>
      </w:r>
    </w:p>
    <w:p w14:paraId="2C12402F" w14:textId="77777777" w:rsidR="00C67494" w:rsidRPr="00093BB3" w:rsidRDefault="00C67494" w:rsidP="00C67494">
      <w:pPr>
        <w:ind w:left="426"/>
        <w:jc w:val="both"/>
        <w:rPr>
          <w:rFonts w:ascii="Arial" w:hAnsi="Arial" w:cs="Arial"/>
          <w:sz w:val="22"/>
          <w:szCs w:val="22"/>
          <w:highlight w:val="yellow"/>
        </w:rPr>
      </w:pPr>
    </w:p>
    <w:p w14:paraId="53351CD2" w14:textId="77777777" w:rsidR="00C67494" w:rsidRPr="00D83F63" w:rsidRDefault="00C67494" w:rsidP="00C67494">
      <w:pPr>
        <w:ind w:left="426"/>
        <w:jc w:val="both"/>
        <w:rPr>
          <w:rFonts w:ascii="Arial" w:hAnsi="Arial" w:cs="Arial"/>
          <w:sz w:val="22"/>
          <w:szCs w:val="22"/>
        </w:rPr>
      </w:pPr>
      <w:r w:rsidRPr="00D83F63">
        <w:rPr>
          <w:rFonts w:ascii="Arial" w:hAnsi="Arial" w:cs="Arial"/>
          <w:sz w:val="22"/>
          <w:szCs w:val="22"/>
        </w:rPr>
        <w:t>The investments of the Fund are managed by external investment managers, including the Local Pensions Partnership (LPP), a joint venture owned, in equal shares, by Lancashire County Council and the London Pension Fund Authority (LPFA).  LPP manages the administration and investment functions on behalf of the two partner authorities.</w:t>
      </w:r>
    </w:p>
    <w:p w14:paraId="379F84A6" w14:textId="77777777" w:rsidR="00C67494" w:rsidRPr="00D83F63" w:rsidRDefault="00C67494" w:rsidP="00C67494">
      <w:pPr>
        <w:pStyle w:val="BodyText3"/>
        <w:ind w:left="426"/>
        <w:jc w:val="both"/>
        <w:rPr>
          <w:rFonts w:cs="Arial"/>
          <w:color w:val="auto"/>
          <w:sz w:val="22"/>
          <w:szCs w:val="22"/>
        </w:rPr>
      </w:pPr>
    </w:p>
    <w:p w14:paraId="7DB09E68" w14:textId="77777777" w:rsidR="00C67494" w:rsidRPr="00D83F63" w:rsidRDefault="00C67494" w:rsidP="00C67494">
      <w:pPr>
        <w:pStyle w:val="BodyText3"/>
        <w:ind w:left="426"/>
        <w:jc w:val="both"/>
        <w:rPr>
          <w:snapToGrid w:val="0"/>
          <w:color w:val="auto"/>
          <w:sz w:val="22"/>
          <w:szCs w:val="22"/>
          <w:lang w:eastAsia="en-US"/>
        </w:rPr>
      </w:pPr>
      <w:r w:rsidRPr="00D83F63">
        <w:rPr>
          <w:rFonts w:cs="Arial"/>
          <w:color w:val="auto"/>
          <w:sz w:val="22"/>
          <w:szCs w:val="22"/>
        </w:rPr>
        <w:t xml:space="preserve">All the schemes provide index linked defined benefits to members (retirement lump sums and pensions), which are earned as employees work for the PCC Group and determined by the individuals pensionable pay and pensionable service.  </w:t>
      </w:r>
      <w:r w:rsidRPr="00D83F63">
        <w:rPr>
          <w:snapToGrid w:val="0"/>
          <w:color w:val="auto"/>
          <w:sz w:val="22"/>
          <w:szCs w:val="22"/>
          <w:lang w:eastAsia="en-US"/>
        </w:rPr>
        <w:t>Details of how the schemes operate can be found on the Local Pensions Partnership website at the link below:</w:t>
      </w:r>
    </w:p>
    <w:p w14:paraId="7BB9EE45" w14:textId="77777777" w:rsidR="00C67494" w:rsidRPr="00093BB3" w:rsidRDefault="00C67494" w:rsidP="00C67494">
      <w:pPr>
        <w:pStyle w:val="BodyText3"/>
        <w:ind w:left="426"/>
        <w:jc w:val="both"/>
        <w:rPr>
          <w:rFonts w:ascii="Times New Roman" w:hAnsi="Times New Roman"/>
          <w:color w:val="0000FF"/>
          <w:sz w:val="20"/>
          <w:highlight w:val="yellow"/>
          <w:u w:val="single"/>
        </w:rPr>
      </w:pPr>
    </w:p>
    <w:p w14:paraId="6292BFD1" w14:textId="62E5FE9F" w:rsidR="00C67494" w:rsidRDefault="00D83F63" w:rsidP="00C67494">
      <w:pPr>
        <w:ind w:left="426"/>
        <w:jc w:val="both"/>
        <w:rPr>
          <w:rFonts w:ascii="Arial" w:hAnsi="Arial" w:cs="Arial"/>
          <w:sz w:val="22"/>
          <w:szCs w:val="22"/>
        </w:rPr>
      </w:pPr>
      <w:r w:rsidRPr="00D83F63">
        <w:rPr>
          <w:rFonts w:ascii="Arial" w:hAnsi="Arial" w:cs="Arial"/>
          <w:sz w:val="22"/>
          <w:szCs w:val="22"/>
        </w:rPr>
        <w:t>https://www.localpensionspartnership.org.uk/</w:t>
      </w:r>
    </w:p>
    <w:p w14:paraId="67E0099B" w14:textId="77777777" w:rsidR="00D83F63" w:rsidRPr="00093BB3" w:rsidRDefault="00D83F63" w:rsidP="00C67494">
      <w:pPr>
        <w:ind w:left="426"/>
        <w:jc w:val="both"/>
        <w:rPr>
          <w:rFonts w:ascii="Arial" w:hAnsi="Arial" w:cs="Arial"/>
          <w:sz w:val="22"/>
          <w:szCs w:val="22"/>
          <w:highlight w:val="yellow"/>
        </w:rPr>
      </w:pPr>
    </w:p>
    <w:p w14:paraId="32D5924A" w14:textId="06BD8E38" w:rsidR="00C67494" w:rsidRPr="00D83F63" w:rsidRDefault="00C67494" w:rsidP="00C67494">
      <w:pPr>
        <w:ind w:left="426"/>
        <w:jc w:val="both"/>
        <w:rPr>
          <w:rFonts w:ascii="Arial" w:hAnsi="Arial" w:cs="Arial"/>
          <w:sz w:val="22"/>
          <w:szCs w:val="22"/>
        </w:rPr>
      </w:pPr>
      <w:r w:rsidRPr="00D83F63">
        <w:rPr>
          <w:rFonts w:ascii="Arial" w:hAnsi="Arial" w:cs="Arial"/>
          <w:sz w:val="22"/>
          <w:szCs w:val="22"/>
        </w:rPr>
        <w:t xml:space="preserve">The Local Government Scheme and the police pension schemes are accounted for as defined benefits schemes, as follows:  </w:t>
      </w:r>
    </w:p>
    <w:p w14:paraId="56615BB2" w14:textId="64FF29BA" w:rsidR="006673F2" w:rsidRPr="00D83F63" w:rsidRDefault="006673F2">
      <w:pPr>
        <w:rPr>
          <w:rFonts w:ascii="Arial" w:hAnsi="Arial" w:cs="Arial"/>
          <w:b/>
          <w:sz w:val="22"/>
          <w:szCs w:val="22"/>
        </w:rPr>
      </w:pPr>
    </w:p>
    <w:p w14:paraId="316A3361" w14:textId="77777777" w:rsidR="00AA6698" w:rsidRDefault="00AA6698">
      <w:pPr>
        <w:rPr>
          <w:rFonts w:ascii="Arial" w:hAnsi="Arial" w:cs="Arial"/>
          <w:b/>
          <w:sz w:val="22"/>
          <w:szCs w:val="22"/>
        </w:rPr>
      </w:pPr>
      <w:r>
        <w:rPr>
          <w:rFonts w:ascii="Arial" w:hAnsi="Arial" w:cs="Arial"/>
          <w:b/>
          <w:sz w:val="22"/>
          <w:szCs w:val="22"/>
        </w:rPr>
        <w:br w:type="page"/>
      </w:r>
    </w:p>
    <w:p w14:paraId="0111C9A1" w14:textId="19AD88EA" w:rsidR="00C67494" w:rsidRPr="00D83F63" w:rsidRDefault="00C67494" w:rsidP="00C67494">
      <w:pPr>
        <w:ind w:left="426"/>
        <w:rPr>
          <w:rFonts w:ascii="Arial" w:hAnsi="Arial" w:cs="Arial"/>
          <w:b/>
          <w:sz w:val="22"/>
          <w:szCs w:val="22"/>
        </w:rPr>
      </w:pPr>
      <w:r w:rsidRPr="00D83F63">
        <w:rPr>
          <w:rFonts w:ascii="Arial" w:hAnsi="Arial" w:cs="Arial"/>
          <w:b/>
          <w:sz w:val="22"/>
          <w:szCs w:val="22"/>
        </w:rPr>
        <w:lastRenderedPageBreak/>
        <w:t>Local Government Scheme:</w:t>
      </w:r>
    </w:p>
    <w:p w14:paraId="2270DEF6" w14:textId="77777777" w:rsidR="00C67494" w:rsidRPr="00D83F63" w:rsidRDefault="00C67494" w:rsidP="00C67494">
      <w:pPr>
        <w:ind w:firstLine="720"/>
        <w:jc w:val="both"/>
        <w:rPr>
          <w:rFonts w:ascii="Arial" w:hAnsi="Arial" w:cs="Arial"/>
          <w:sz w:val="22"/>
          <w:szCs w:val="22"/>
          <w:u w:val="single"/>
        </w:rPr>
      </w:pPr>
    </w:p>
    <w:p w14:paraId="5F26430E" w14:textId="59CD8C93" w:rsidR="00C67494" w:rsidRPr="00924624" w:rsidRDefault="00C67494" w:rsidP="00C67494">
      <w:pPr>
        <w:ind w:left="426"/>
        <w:rPr>
          <w:rFonts w:ascii="Arial" w:hAnsi="Arial" w:cs="Arial"/>
          <w:sz w:val="22"/>
          <w:szCs w:val="22"/>
        </w:rPr>
      </w:pPr>
      <w:r w:rsidRPr="00D83F63">
        <w:rPr>
          <w:rFonts w:ascii="Arial" w:hAnsi="Arial" w:cs="Arial"/>
          <w:sz w:val="22"/>
          <w:szCs w:val="22"/>
        </w:rPr>
        <w:t xml:space="preserve">Police staff, PCSOs and staff of the Office of the PCC are members of the Local Government Pension Scheme, a funded defined benefit scheme, which is managed by Lancashire County Council. The PCC Group paid an employer’s contribution of 15.3% (16.3% reduced to 15.3% to offset surplus funds) for employees of the Chief Constable and 14.3% (16.8% reduced to 14.3% to offset surplus funds) for employees of their Office during </w:t>
      </w:r>
      <w:r w:rsidR="00C37E7F" w:rsidRPr="00D83F63">
        <w:rPr>
          <w:rFonts w:ascii="Arial" w:hAnsi="Arial" w:cs="Arial"/>
          <w:sz w:val="22"/>
          <w:szCs w:val="22"/>
        </w:rPr>
        <w:t>2024/25</w:t>
      </w:r>
      <w:r w:rsidRPr="00D83F63">
        <w:rPr>
          <w:rFonts w:ascii="Arial" w:hAnsi="Arial" w:cs="Arial"/>
          <w:sz w:val="22"/>
          <w:szCs w:val="22"/>
        </w:rPr>
        <w:t>. The Chief Constable contribution for three years (including FY 2</w:t>
      </w:r>
      <w:r w:rsidR="0061651B" w:rsidRPr="00D83F63">
        <w:rPr>
          <w:rFonts w:ascii="Arial" w:hAnsi="Arial" w:cs="Arial"/>
          <w:sz w:val="22"/>
          <w:szCs w:val="22"/>
        </w:rPr>
        <w:t>3</w:t>
      </w:r>
      <w:r w:rsidRPr="00D83F63">
        <w:rPr>
          <w:rFonts w:ascii="Arial" w:hAnsi="Arial" w:cs="Arial"/>
          <w:sz w:val="22"/>
          <w:szCs w:val="22"/>
        </w:rPr>
        <w:t>/2</w:t>
      </w:r>
      <w:r w:rsidR="0061651B" w:rsidRPr="00D83F63">
        <w:rPr>
          <w:rFonts w:ascii="Arial" w:hAnsi="Arial" w:cs="Arial"/>
          <w:sz w:val="22"/>
          <w:szCs w:val="22"/>
        </w:rPr>
        <w:t>4</w:t>
      </w:r>
      <w:r w:rsidRPr="00D83F63">
        <w:rPr>
          <w:rFonts w:ascii="Arial" w:hAnsi="Arial" w:cs="Arial"/>
          <w:sz w:val="22"/>
          <w:szCs w:val="22"/>
        </w:rPr>
        <w:t>) was made upfront at a cost of £</w:t>
      </w:r>
      <w:r w:rsidR="0061651B" w:rsidRPr="00D83F63">
        <w:rPr>
          <w:rFonts w:ascii="Arial" w:hAnsi="Arial" w:cs="Arial"/>
          <w:sz w:val="22"/>
          <w:szCs w:val="22"/>
        </w:rPr>
        <w:t>32.5</w:t>
      </w:r>
      <w:r w:rsidRPr="00D83F63">
        <w:rPr>
          <w:rFonts w:ascii="Arial" w:hAnsi="Arial" w:cs="Arial"/>
          <w:sz w:val="22"/>
          <w:szCs w:val="22"/>
        </w:rPr>
        <w:t xml:space="preserve">m. </w:t>
      </w:r>
      <w:r w:rsidRPr="00924624">
        <w:rPr>
          <w:rFonts w:ascii="Arial" w:hAnsi="Arial" w:cs="Arial"/>
          <w:sz w:val="22"/>
          <w:szCs w:val="22"/>
        </w:rPr>
        <w:t>The upfront payments resulted in interest savings of £1.</w:t>
      </w:r>
      <w:r w:rsidR="0061651B" w:rsidRPr="00924624">
        <w:rPr>
          <w:rFonts w:ascii="Arial" w:hAnsi="Arial" w:cs="Arial"/>
          <w:sz w:val="22"/>
          <w:szCs w:val="22"/>
        </w:rPr>
        <w:t>775</w:t>
      </w:r>
      <w:r w:rsidRPr="00924624">
        <w:rPr>
          <w:rFonts w:ascii="Arial" w:hAnsi="Arial" w:cs="Arial"/>
          <w:sz w:val="22"/>
          <w:szCs w:val="22"/>
        </w:rPr>
        <w:t xml:space="preserve">m </w:t>
      </w:r>
    </w:p>
    <w:p w14:paraId="59E76490" w14:textId="77777777" w:rsidR="00C67494" w:rsidRPr="00093BB3" w:rsidRDefault="00C67494" w:rsidP="00C67494">
      <w:pPr>
        <w:ind w:left="426"/>
        <w:rPr>
          <w:rFonts w:ascii="Arial" w:hAnsi="Arial" w:cs="Arial"/>
          <w:sz w:val="22"/>
          <w:szCs w:val="22"/>
          <w:highlight w:val="yellow"/>
        </w:rPr>
      </w:pPr>
    </w:p>
    <w:p w14:paraId="1D09BCD6" w14:textId="77777777" w:rsidR="00C67494" w:rsidRPr="00D459D2" w:rsidRDefault="00C67494" w:rsidP="00C67494">
      <w:pPr>
        <w:ind w:left="426"/>
        <w:rPr>
          <w:rFonts w:ascii="Arial" w:hAnsi="Arial" w:cs="Arial"/>
          <w:sz w:val="22"/>
          <w:szCs w:val="22"/>
        </w:rPr>
      </w:pPr>
      <w:r w:rsidRPr="00D459D2">
        <w:rPr>
          <w:rFonts w:ascii="Arial" w:hAnsi="Arial" w:cs="Arial"/>
          <w:sz w:val="22"/>
          <w:szCs w:val="22"/>
        </w:rPr>
        <w:t>The liabilities of the Local Government Pension Scheme attributable to the PCC Group are included in the balance sheet on an actuarial basis using the projected unit credit method i.e. an assessment of the future payments that will be made in relation to retirement benefits earned to date by employees, based on assumptions about mortality rates, employee turnover rates and projected earnings for current employees.</w:t>
      </w:r>
    </w:p>
    <w:p w14:paraId="199E0D06" w14:textId="77777777" w:rsidR="00C67494" w:rsidRPr="00093BB3" w:rsidRDefault="00C67494" w:rsidP="00C67494">
      <w:pPr>
        <w:ind w:left="426"/>
        <w:rPr>
          <w:rFonts w:ascii="Arial" w:hAnsi="Arial" w:cs="Arial"/>
          <w:sz w:val="22"/>
          <w:szCs w:val="22"/>
          <w:highlight w:val="yellow"/>
        </w:rPr>
      </w:pPr>
    </w:p>
    <w:p w14:paraId="5F666A42" w14:textId="5F81C354" w:rsidR="00C67494" w:rsidRPr="00D459D2" w:rsidRDefault="00C67494" w:rsidP="00C67494">
      <w:pPr>
        <w:ind w:left="426"/>
        <w:rPr>
          <w:rFonts w:ascii="Arial" w:hAnsi="Arial" w:cs="Arial"/>
          <w:sz w:val="22"/>
          <w:szCs w:val="22"/>
        </w:rPr>
      </w:pPr>
      <w:r w:rsidRPr="00D459D2">
        <w:rPr>
          <w:rFonts w:ascii="Arial" w:hAnsi="Arial" w:cs="Arial"/>
          <w:sz w:val="22"/>
          <w:szCs w:val="22"/>
        </w:rPr>
        <w:t xml:space="preserve">Liabilities are discounted to their value at current prices, using discount rates which vary according to the duration of the employer's liability, with an average of </w:t>
      </w:r>
      <w:r w:rsidR="00D459D2" w:rsidRPr="00D459D2">
        <w:rPr>
          <w:rFonts w:ascii="Arial" w:hAnsi="Arial" w:cs="Arial"/>
          <w:sz w:val="22"/>
          <w:szCs w:val="22"/>
        </w:rPr>
        <w:t>5</w:t>
      </w:r>
      <w:r w:rsidRPr="00D459D2">
        <w:rPr>
          <w:rFonts w:ascii="Arial" w:hAnsi="Arial" w:cs="Arial"/>
          <w:sz w:val="22"/>
          <w:szCs w:val="22"/>
        </w:rPr>
        <w:t>.</w:t>
      </w:r>
      <w:r w:rsidR="0061651B" w:rsidRPr="00D459D2">
        <w:rPr>
          <w:rFonts w:ascii="Arial" w:hAnsi="Arial" w:cs="Arial"/>
          <w:sz w:val="22"/>
          <w:szCs w:val="22"/>
        </w:rPr>
        <w:t>9</w:t>
      </w:r>
      <w:r w:rsidRPr="00D459D2">
        <w:rPr>
          <w:rFonts w:ascii="Arial" w:hAnsi="Arial" w:cs="Arial"/>
          <w:sz w:val="22"/>
          <w:szCs w:val="22"/>
        </w:rPr>
        <w:t xml:space="preserve">% for the staff employed by the PCC and </w:t>
      </w:r>
      <w:r w:rsidR="00D459D2" w:rsidRPr="00D459D2">
        <w:rPr>
          <w:rFonts w:ascii="Arial" w:hAnsi="Arial" w:cs="Arial"/>
          <w:sz w:val="22"/>
          <w:szCs w:val="22"/>
        </w:rPr>
        <w:t xml:space="preserve">5.8% for the staff employed by </w:t>
      </w:r>
      <w:r w:rsidRPr="00D459D2">
        <w:rPr>
          <w:rFonts w:ascii="Arial" w:hAnsi="Arial" w:cs="Arial"/>
          <w:sz w:val="22"/>
          <w:szCs w:val="22"/>
        </w:rPr>
        <w:t>the CC (</w:t>
      </w:r>
      <w:r w:rsidR="0061651B" w:rsidRPr="00D459D2">
        <w:rPr>
          <w:rFonts w:ascii="Arial" w:hAnsi="Arial" w:cs="Arial"/>
          <w:sz w:val="22"/>
          <w:szCs w:val="22"/>
        </w:rPr>
        <w:t>4</w:t>
      </w:r>
      <w:r w:rsidRPr="00D459D2">
        <w:rPr>
          <w:rFonts w:ascii="Arial" w:hAnsi="Arial" w:cs="Arial"/>
          <w:sz w:val="22"/>
          <w:szCs w:val="22"/>
        </w:rPr>
        <w:t>.</w:t>
      </w:r>
      <w:r w:rsidR="00D459D2" w:rsidRPr="00D459D2">
        <w:rPr>
          <w:rFonts w:ascii="Arial" w:hAnsi="Arial" w:cs="Arial"/>
          <w:sz w:val="22"/>
          <w:szCs w:val="22"/>
        </w:rPr>
        <w:t>9</w:t>
      </w:r>
      <w:r w:rsidRPr="00D459D2">
        <w:rPr>
          <w:rFonts w:ascii="Arial" w:hAnsi="Arial" w:cs="Arial"/>
          <w:sz w:val="22"/>
          <w:szCs w:val="22"/>
        </w:rPr>
        <w:t xml:space="preserve">% in </w:t>
      </w:r>
      <w:r w:rsidR="00C37E7F" w:rsidRPr="00D459D2">
        <w:rPr>
          <w:rFonts w:ascii="Arial" w:hAnsi="Arial" w:cs="Arial"/>
          <w:sz w:val="22"/>
          <w:szCs w:val="22"/>
        </w:rPr>
        <w:t>202</w:t>
      </w:r>
      <w:r w:rsidR="00D459D2" w:rsidRPr="00D459D2">
        <w:rPr>
          <w:rFonts w:ascii="Arial" w:hAnsi="Arial" w:cs="Arial"/>
          <w:sz w:val="22"/>
          <w:szCs w:val="22"/>
        </w:rPr>
        <w:t>4</w:t>
      </w:r>
      <w:r w:rsidR="00C37E7F" w:rsidRPr="00D459D2">
        <w:rPr>
          <w:rFonts w:ascii="Arial" w:hAnsi="Arial" w:cs="Arial"/>
          <w:sz w:val="22"/>
          <w:szCs w:val="22"/>
        </w:rPr>
        <w:t>/2</w:t>
      </w:r>
      <w:r w:rsidR="00D459D2" w:rsidRPr="00D459D2">
        <w:rPr>
          <w:rFonts w:ascii="Arial" w:hAnsi="Arial" w:cs="Arial"/>
          <w:sz w:val="22"/>
          <w:szCs w:val="22"/>
        </w:rPr>
        <w:t>5</w:t>
      </w:r>
      <w:r w:rsidRPr="00D459D2">
        <w:rPr>
          <w:rFonts w:ascii="Arial" w:hAnsi="Arial" w:cs="Arial"/>
          <w:sz w:val="22"/>
          <w:szCs w:val="22"/>
        </w:rPr>
        <w:t>), based on the weighted average of “spot yields” on AA rated corporate bonds.</w:t>
      </w:r>
    </w:p>
    <w:p w14:paraId="77073FF6" w14:textId="77777777" w:rsidR="00C67494" w:rsidRPr="00093BB3" w:rsidRDefault="00C67494" w:rsidP="00C67494">
      <w:pPr>
        <w:ind w:left="426"/>
        <w:rPr>
          <w:rFonts w:ascii="Arial" w:hAnsi="Arial" w:cs="Arial"/>
          <w:sz w:val="22"/>
          <w:szCs w:val="22"/>
          <w:highlight w:val="yellow"/>
        </w:rPr>
      </w:pPr>
    </w:p>
    <w:p w14:paraId="6C2DC656" w14:textId="7E6F7EAF" w:rsidR="00C67494" w:rsidRPr="00D459D2" w:rsidRDefault="00C67494" w:rsidP="00C67494">
      <w:pPr>
        <w:ind w:left="426"/>
        <w:rPr>
          <w:rFonts w:ascii="Arial" w:hAnsi="Arial" w:cs="Arial"/>
          <w:sz w:val="22"/>
          <w:szCs w:val="22"/>
        </w:rPr>
      </w:pPr>
      <w:r w:rsidRPr="00D459D2">
        <w:rPr>
          <w:rFonts w:ascii="Arial" w:hAnsi="Arial" w:cs="Arial"/>
          <w:sz w:val="22"/>
          <w:szCs w:val="22"/>
        </w:rPr>
        <w:t xml:space="preserve">The assets of the Local Government Pension Fund attributable to the PCC Group are included in the balance sheet at their fair value. The valuation at fair value has been classified into three levels according to quality and reliability of information used to determine fair values and in line with the fair value hierarchy. Further detail as to how it was determined which assets were included in each level </w:t>
      </w:r>
    </w:p>
    <w:p w14:paraId="331EC8C1" w14:textId="65E98E69" w:rsidR="00C67494" w:rsidRPr="00093BB3" w:rsidRDefault="00C67494" w:rsidP="00C67494">
      <w:pPr>
        <w:ind w:left="426"/>
        <w:rPr>
          <w:rFonts w:ascii="Arial" w:hAnsi="Arial" w:cs="Arial"/>
          <w:b/>
          <w:sz w:val="22"/>
          <w:szCs w:val="22"/>
          <w:highlight w:val="yellow"/>
        </w:rPr>
      </w:pPr>
      <w:r w:rsidRPr="00D459D2">
        <w:rPr>
          <w:rFonts w:ascii="Arial" w:hAnsi="Arial" w:cs="Arial"/>
          <w:sz w:val="22"/>
          <w:szCs w:val="22"/>
        </w:rPr>
        <w:t xml:space="preserve">can be found later in this note </w:t>
      </w:r>
      <w:r w:rsidRPr="001B5D0B">
        <w:rPr>
          <w:rFonts w:ascii="Arial" w:hAnsi="Arial" w:cs="Arial"/>
          <w:sz w:val="22"/>
          <w:szCs w:val="22"/>
        </w:rPr>
        <w:t xml:space="preserve">on Page </w:t>
      </w:r>
      <w:r w:rsidR="00116E27" w:rsidRPr="001B5D0B">
        <w:rPr>
          <w:rFonts w:ascii="Arial" w:hAnsi="Arial" w:cs="Arial"/>
          <w:sz w:val="22"/>
          <w:szCs w:val="22"/>
        </w:rPr>
        <w:t>9</w:t>
      </w:r>
      <w:r w:rsidR="00A36CB0">
        <w:rPr>
          <w:rFonts w:ascii="Arial" w:hAnsi="Arial" w:cs="Arial"/>
          <w:sz w:val="22"/>
          <w:szCs w:val="22"/>
        </w:rPr>
        <w:t>0</w:t>
      </w:r>
      <w:r w:rsidRPr="001B5D0B">
        <w:rPr>
          <w:rFonts w:ascii="Arial" w:hAnsi="Arial" w:cs="Arial"/>
          <w:sz w:val="22"/>
          <w:szCs w:val="22"/>
        </w:rPr>
        <w:t>.</w:t>
      </w:r>
    </w:p>
    <w:p w14:paraId="3F08632A" w14:textId="77777777" w:rsidR="00C67494" w:rsidRPr="00D459D2" w:rsidRDefault="00C67494" w:rsidP="00C67494">
      <w:pPr>
        <w:ind w:left="426"/>
        <w:jc w:val="both"/>
        <w:rPr>
          <w:rFonts w:ascii="Arial" w:hAnsi="Arial" w:cs="Arial"/>
          <w:b/>
          <w:sz w:val="22"/>
          <w:szCs w:val="22"/>
        </w:rPr>
      </w:pPr>
    </w:p>
    <w:p w14:paraId="3FD10DF0" w14:textId="77777777" w:rsidR="00C67494" w:rsidRPr="00D459D2" w:rsidRDefault="00C67494" w:rsidP="00C67494">
      <w:pPr>
        <w:ind w:left="426"/>
        <w:jc w:val="both"/>
        <w:rPr>
          <w:rFonts w:ascii="Arial" w:hAnsi="Arial" w:cs="Arial"/>
          <w:sz w:val="22"/>
          <w:szCs w:val="22"/>
        </w:rPr>
      </w:pPr>
      <w:r w:rsidRPr="00D459D2">
        <w:rPr>
          <w:rFonts w:ascii="Arial" w:hAnsi="Arial" w:cs="Arial"/>
          <w:b/>
          <w:sz w:val="22"/>
          <w:szCs w:val="22"/>
        </w:rPr>
        <w:t>Police Officers</w:t>
      </w:r>
      <w:r w:rsidRPr="00D459D2">
        <w:rPr>
          <w:rFonts w:ascii="Arial" w:hAnsi="Arial" w:cs="Arial"/>
          <w:sz w:val="22"/>
          <w:szCs w:val="22"/>
        </w:rPr>
        <w:t>:</w:t>
      </w:r>
    </w:p>
    <w:p w14:paraId="52107532" w14:textId="77777777" w:rsidR="00C67494" w:rsidRPr="00D459D2" w:rsidRDefault="00C67494" w:rsidP="00C67494">
      <w:pPr>
        <w:ind w:firstLine="720"/>
        <w:jc w:val="both"/>
        <w:rPr>
          <w:rFonts w:ascii="Arial" w:hAnsi="Arial" w:cs="Arial"/>
          <w:sz w:val="22"/>
          <w:szCs w:val="22"/>
          <w:u w:val="single"/>
        </w:rPr>
      </w:pPr>
    </w:p>
    <w:p w14:paraId="5C6CE42A" w14:textId="77777777" w:rsidR="00C67494" w:rsidRPr="00D459D2" w:rsidRDefault="00C67494" w:rsidP="00C67494">
      <w:pPr>
        <w:tabs>
          <w:tab w:val="left" w:pos="9248"/>
        </w:tabs>
        <w:ind w:left="426"/>
        <w:jc w:val="both"/>
        <w:rPr>
          <w:rFonts w:ascii="Arial" w:hAnsi="Arial" w:cs="Arial"/>
          <w:sz w:val="22"/>
          <w:szCs w:val="22"/>
        </w:rPr>
      </w:pPr>
      <w:r w:rsidRPr="00D459D2">
        <w:rPr>
          <w:rFonts w:ascii="Arial" w:hAnsi="Arial" w:cs="Arial"/>
          <w:sz w:val="22"/>
          <w:szCs w:val="22"/>
        </w:rPr>
        <w:t>From April 2015 the 2015 Police Pension Scheme replaced the 1987 and 2006 Police Pension Schemes. Apart from some officers closest to retirement, who are covered by full or tapered transitional provisions, all police officers have moved to the new scheme. The 2015 Police Pension Scheme is a Career Average Revalued Earnings (CARE) scheme and replaces final salary schemes. It is governed by the Police Pensions Regulations 2015 and related regulations in the Public Service Pensions Act 2013.</w:t>
      </w:r>
    </w:p>
    <w:p w14:paraId="587A19C4" w14:textId="77777777" w:rsidR="00C67494" w:rsidRPr="00093BB3" w:rsidRDefault="00C67494" w:rsidP="00C67494">
      <w:pPr>
        <w:tabs>
          <w:tab w:val="left" w:pos="9248"/>
        </w:tabs>
        <w:ind w:left="426"/>
        <w:jc w:val="both"/>
        <w:rPr>
          <w:rFonts w:ascii="Arial" w:hAnsi="Arial" w:cs="Arial"/>
          <w:sz w:val="22"/>
          <w:szCs w:val="22"/>
          <w:highlight w:val="yellow"/>
        </w:rPr>
      </w:pPr>
    </w:p>
    <w:p w14:paraId="74BE397E" w14:textId="70F055DD" w:rsidR="00C67494" w:rsidRPr="004C6968" w:rsidRDefault="00C67494" w:rsidP="00C67494">
      <w:pPr>
        <w:tabs>
          <w:tab w:val="left" w:pos="9248"/>
        </w:tabs>
        <w:ind w:left="426"/>
        <w:jc w:val="both"/>
        <w:rPr>
          <w:rFonts w:ascii="Arial" w:hAnsi="Arial" w:cs="Arial"/>
          <w:sz w:val="22"/>
          <w:szCs w:val="22"/>
        </w:rPr>
      </w:pPr>
      <w:r w:rsidRPr="004C6968">
        <w:rPr>
          <w:rFonts w:ascii="Arial" w:hAnsi="Arial" w:cs="Arial"/>
          <w:sz w:val="22"/>
          <w:szCs w:val="22"/>
        </w:rPr>
        <w:t>All the police officer schemes provide defined benefits to members (retirement lump sums and pensions), which are earned as employees work for the PCC Group. The employers’ contribution for each serving officer is common to both schemes (3</w:t>
      </w:r>
      <w:r w:rsidR="004C6968" w:rsidRPr="004C6968">
        <w:rPr>
          <w:rFonts w:ascii="Arial" w:hAnsi="Arial" w:cs="Arial"/>
          <w:sz w:val="22"/>
          <w:szCs w:val="22"/>
        </w:rPr>
        <w:t>5.3</w:t>
      </w:r>
      <w:r w:rsidRPr="004C6968">
        <w:rPr>
          <w:rFonts w:ascii="Arial" w:hAnsi="Arial" w:cs="Arial"/>
          <w:sz w:val="22"/>
          <w:szCs w:val="22"/>
        </w:rPr>
        <w:t>% of pensionable pay from 1 April 20</w:t>
      </w:r>
      <w:r w:rsidR="004C6968" w:rsidRPr="004C6968">
        <w:rPr>
          <w:rFonts w:ascii="Arial" w:hAnsi="Arial" w:cs="Arial"/>
          <w:sz w:val="22"/>
          <w:szCs w:val="22"/>
        </w:rPr>
        <w:t>24</w:t>
      </w:r>
      <w:r w:rsidRPr="004C6968">
        <w:rPr>
          <w:rFonts w:ascii="Arial" w:hAnsi="Arial" w:cs="Arial"/>
          <w:sz w:val="22"/>
          <w:szCs w:val="22"/>
        </w:rPr>
        <w:t>). This is set nationally and is subject to review. A police pension account was set up on 1 April 2006 which administers all the police pension schemes.</w:t>
      </w:r>
    </w:p>
    <w:p w14:paraId="40B087FE" w14:textId="77777777" w:rsidR="00C67494" w:rsidRPr="004C6968" w:rsidRDefault="00C67494" w:rsidP="00C67494">
      <w:pPr>
        <w:tabs>
          <w:tab w:val="left" w:pos="9248"/>
        </w:tabs>
        <w:ind w:left="426"/>
        <w:jc w:val="both"/>
        <w:rPr>
          <w:rFonts w:ascii="Arial" w:hAnsi="Arial" w:cs="Arial"/>
          <w:sz w:val="22"/>
          <w:szCs w:val="22"/>
        </w:rPr>
      </w:pPr>
    </w:p>
    <w:p w14:paraId="4F5DEBF8" w14:textId="77777777" w:rsidR="00C67494" w:rsidRPr="004C6968" w:rsidRDefault="00C67494" w:rsidP="00C67494">
      <w:pPr>
        <w:tabs>
          <w:tab w:val="left" w:pos="9248"/>
        </w:tabs>
        <w:ind w:left="426"/>
        <w:jc w:val="both"/>
        <w:rPr>
          <w:rFonts w:ascii="Arial" w:hAnsi="Arial" w:cs="Arial"/>
          <w:sz w:val="22"/>
          <w:szCs w:val="22"/>
        </w:rPr>
      </w:pPr>
      <w:r w:rsidRPr="004C6968">
        <w:rPr>
          <w:rFonts w:ascii="Arial" w:hAnsi="Arial" w:cs="Arial"/>
          <w:sz w:val="22"/>
          <w:szCs w:val="22"/>
        </w:rPr>
        <w:t xml:space="preserve">Accrued net pension liabilities have been assessed on an actuarial basis in accordance with IAS19. The net liability and a pensions reserve incorporating both pension schemes have been recognised in the PCC and PCC Group balance sheets, as have entries in the PCC and PCC Group CIES for movements in the asset/liability relating to the defined benefit schemes. Transfers into and out of the schemes, representing joining and leaving police officers are recorded on a cash basis in the police pension account </w:t>
      </w:r>
      <w:proofErr w:type="gramStart"/>
      <w:r w:rsidRPr="004C6968">
        <w:rPr>
          <w:rFonts w:ascii="Arial" w:hAnsi="Arial" w:cs="Arial"/>
          <w:sz w:val="22"/>
          <w:szCs w:val="22"/>
        </w:rPr>
        <w:t>as a result of</w:t>
      </w:r>
      <w:proofErr w:type="gramEnd"/>
      <w:r w:rsidRPr="004C6968">
        <w:rPr>
          <w:rFonts w:ascii="Arial" w:hAnsi="Arial" w:cs="Arial"/>
          <w:sz w:val="22"/>
          <w:szCs w:val="22"/>
        </w:rPr>
        <w:t xml:space="preserve"> the time taken to finalise the sums involved. In accordance with the Police Reform and Social Responsibility Act 2011, the police pension account is administered by the CC for Lancashire Constabulary and is included in both the CC and PCC Group statements of accounts.</w:t>
      </w:r>
    </w:p>
    <w:p w14:paraId="61327AFC" w14:textId="77777777" w:rsidR="00C67494" w:rsidRPr="00093BB3" w:rsidRDefault="00C67494" w:rsidP="00C67494">
      <w:pPr>
        <w:rPr>
          <w:rFonts w:ascii="Arial" w:hAnsi="Arial" w:cs="Arial"/>
          <w:sz w:val="22"/>
          <w:szCs w:val="22"/>
          <w:highlight w:val="yellow"/>
        </w:rPr>
      </w:pPr>
    </w:p>
    <w:p w14:paraId="68A4F2FB" w14:textId="7007B02D" w:rsidR="00C67494" w:rsidRPr="00093BB3" w:rsidRDefault="00C67494" w:rsidP="00C67494">
      <w:pPr>
        <w:tabs>
          <w:tab w:val="left" w:pos="9248"/>
        </w:tabs>
        <w:ind w:left="426"/>
        <w:jc w:val="both"/>
        <w:rPr>
          <w:rFonts w:ascii="Arial" w:hAnsi="Arial" w:cs="Arial"/>
          <w:sz w:val="22"/>
          <w:szCs w:val="22"/>
          <w:highlight w:val="yellow"/>
        </w:rPr>
      </w:pPr>
      <w:r w:rsidRPr="004C6968">
        <w:rPr>
          <w:rFonts w:ascii="Arial" w:hAnsi="Arial" w:cs="Arial"/>
          <w:sz w:val="22"/>
          <w:szCs w:val="22"/>
        </w:rPr>
        <w:t xml:space="preserve">The liabilities of </w:t>
      </w:r>
      <w:proofErr w:type="gramStart"/>
      <w:r w:rsidRPr="004C6968">
        <w:rPr>
          <w:rFonts w:ascii="Arial" w:hAnsi="Arial" w:cs="Arial"/>
          <w:sz w:val="22"/>
          <w:szCs w:val="22"/>
        </w:rPr>
        <w:t>all of</w:t>
      </w:r>
      <w:proofErr w:type="gramEnd"/>
      <w:r w:rsidRPr="004C6968">
        <w:rPr>
          <w:rFonts w:ascii="Arial" w:hAnsi="Arial" w:cs="Arial"/>
          <w:sz w:val="22"/>
          <w:szCs w:val="22"/>
        </w:rPr>
        <w:t xml:space="preserve"> the schemes attributable to the PCC Group are included in the balance sheet on an actuarial basis using the projected unit method i.e. an assessment of the future payments that will be made in relation to retirement benefits earned to date by employees, based on assumptions about mortality rates, employee turnover rates and projections of earnings for current employees.</w:t>
      </w:r>
    </w:p>
    <w:p w14:paraId="1B0A746E" w14:textId="77777777" w:rsidR="00C67494" w:rsidRPr="00093BB3" w:rsidRDefault="00C67494" w:rsidP="00C67494">
      <w:pPr>
        <w:tabs>
          <w:tab w:val="left" w:pos="9248"/>
        </w:tabs>
        <w:ind w:left="426"/>
        <w:jc w:val="both"/>
        <w:rPr>
          <w:rFonts w:ascii="Arial" w:hAnsi="Arial" w:cs="Arial"/>
          <w:sz w:val="22"/>
          <w:szCs w:val="22"/>
          <w:highlight w:val="yellow"/>
        </w:rPr>
      </w:pPr>
    </w:p>
    <w:p w14:paraId="7B21735A" w14:textId="3B80EE9F" w:rsidR="00C67494" w:rsidRPr="004C6968" w:rsidRDefault="00C67494" w:rsidP="00C67494">
      <w:pPr>
        <w:tabs>
          <w:tab w:val="left" w:pos="9248"/>
        </w:tabs>
        <w:ind w:left="426"/>
        <w:jc w:val="both"/>
        <w:rPr>
          <w:rFonts w:ascii="Arial" w:hAnsi="Arial" w:cs="Arial"/>
          <w:sz w:val="22"/>
          <w:szCs w:val="22"/>
        </w:rPr>
      </w:pPr>
      <w:r w:rsidRPr="004C6968">
        <w:rPr>
          <w:rFonts w:ascii="Arial" w:hAnsi="Arial" w:cs="Arial"/>
          <w:sz w:val="22"/>
          <w:szCs w:val="22"/>
        </w:rPr>
        <w:t xml:space="preserve">Liabilities are discounted to their value at current prices, using a discount rate of </w:t>
      </w:r>
      <w:r w:rsidR="004C6968" w:rsidRPr="004C6968">
        <w:rPr>
          <w:rFonts w:ascii="Arial" w:hAnsi="Arial" w:cs="Arial"/>
          <w:sz w:val="22"/>
          <w:szCs w:val="22"/>
        </w:rPr>
        <w:t>5.8</w:t>
      </w:r>
      <w:r w:rsidRPr="004C6968">
        <w:rPr>
          <w:rFonts w:ascii="Arial" w:hAnsi="Arial" w:cs="Arial"/>
          <w:sz w:val="22"/>
          <w:szCs w:val="22"/>
        </w:rPr>
        <w:t>% (</w:t>
      </w:r>
      <w:r w:rsidR="0061651B" w:rsidRPr="004C6968">
        <w:rPr>
          <w:rFonts w:ascii="Arial" w:hAnsi="Arial" w:cs="Arial"/>
          <w:sz w:val="22"/>
          <w:szCs w:val="22"/>
        </w:rPr>
        <w:t>4</w:t>
      </w:r>
      <w:r w:rsidRPr="004C6968">
        <w:rPr>
          <w:rFonts w:ascii="Arial" w:hAnsi="Arial" w:cs="Arial"/>
          <w:sz w:val="22"/>
          <w:szCs w:val="22"/>
        </w:rPr>
        <w:t>.</w:t>
      </w:r>
      <w:r w:rsidR="004C6968" w:rsidRPr="004C6968">
        <w:rPr>
          <w:rFonts w:ascii="Arial" w:hAnsi="Arial" w:cs="Arial"/>
          <w:sz w:val="22"/>
          <w:szCs w:val="22"/>
        </w:rPr>
        <w:t>9</w:t>
      </w:r>
      <w:r w:rsidRPr="004C6968">
        <w:rPr>
          <w:rFonts w:ascii="Arial" w:hAnsi="Arial" w:cs="Arial"/>
          <w:sz w:val="22"/>
          <w:szCs w:val="22"/>
        </w:rPr>
        <w:t xml:space="preserve">% in </w:t>
      </w:r>
      <w:r w:rsidR="00C37E7F" w:rsidRPr="004C6968">
        <w:rPr>
          <w:rFonts w:ascii="Arial" w:hAnsi="Arial" w:cs="Arial"/>
          <w:sz w:val="22"/>
          <w:szCs w:val="22"/>
        </w:rPr>
        <w:t>2023/24</w:t>
      </w:r>
      <w:r w:rsidRPr="004C6968">
        <w:rPr>
          <w:rFonts w:ascii="Arial" w:hAnsi="Arial" w:cs="Arial"/>
          <w:sz w:val="22"/>
          <w:szCs w:val="22"/>
        </w:rPr>
        <w:t>), based on the weighted average of “spot yields” on AA rated corporate bonds.</w:t>
      </w:r>
    </w:p>
    <w:p w14:paraId="4D534A44" w14:textId="77777777" w:rsidR="00C67494" w:rsidRPr="004C6968" w:rsidRDefault="00C67494" w:rsidP="00C67494">
      <w:pPr>
        <w:ind w:left="426"/>
        <w:rPr>
          <w:rFonts w:ascii="Arial" w:hAnsi="Arial" w:cs="Arial"/>
          <w:sz w:val="22"/>
          <w:szCs w:val="22"/>
        </w:rPr>
      </w:pPr>
    </w:p>
    <w:p w14:paraId="0F54F53D" w14:textId="77777777" w:rsidR="00C67494" w:rsidRPr="004C6968" w:rsidRDefault="00C67494" w:rsidP="00C67494">
      <w:pPr>
        <w:ind w:left="426"/>
        <w:rPr>
          <w:rFonts w:ascii="Arial" w:hAnsi="Arial" w:cs="Arial"/>
          <w:b/>
          <w:bCs/>
          <w:sz w:val="22"/>
          <w:szCs w:val="22"/>
        </w:rPr>
      </w:pPr>
      <w:r w:rsidRPr="004C6968">
        <w:rPr>
          <w:rFonts w:ascii="Arial" w:hAnsi="Arial" w:cs="Arial"/>
          <w:b/>
          <w:bCs/>
          <w:sz w:val="22"/>
          <w:szCs w:val="22"/>
        </w:rPr>
        <w:t>Injury Awards:</w:t>
      </w:r>
    </w:p>
    <w:p w14:paraId="4950D32A" w14:textId="77777777" w:rsidR="00C67494" w:rsidRPr="004C6968" w:rsidRDefault="00C67494" w:rsidP="00C67494">
      <w:pPr>
        <w:pStyle w:val="BodyTextIndent"/>
        <w:ind w:left="426" w:firstLine="0"/>
        <w:jc w:val="both"/>
        <w:rPr>
          <w:rFonts w:cs="Arial"/>
          <w:i w:val="0"/>
          <w:sz w:val="22"/>
          <w:szCs w:val="22"/>
        </w:rPr>
      </w:pPr>
    </w:p>
    <w:p w14:paraId="3CC1E054" w14:textId="4C23BCDA" w:rsidR="00C67494" w:rsidRPr="004C6968" w:rsidRDefault="00C67494" w:rsidP="00C67494">
      <w:pPr>
        <w:pStyle w:val="BodyTextIndent"/>
        <w:ind w:left="426" w:firstLine="0"/>
        <w:jc w:val="both"/>
        <w:rPr>
          <w:rFonts w:cs="Arial"/>
          <w:i w:val="0"/>
          <w:sz w:val="22"/>
          <w:szCs w:val="22"/>
        </w:rPr>
      </w:pPr>
      <w:r w:rsidRPr="004C6968">
        <w:rPr>
          <w:rFonts w:cs="Arial"/>
          <w:i w:val="0"/>
          <w:sz w:val="22"/>
          <w:szCs w:val="22"/>
        </w:rPr>
        <w:t xml:space="preserve">Injury awards are paid to police officers under the Police (Injury Benefits) Regulations 2006 and entitlement is dependent on the salary, service </w:t>
      </w:r>
      <w:proofErr w:type="gramStart"/>
      <w:r w:rsidRPr="004C6968">
        <w:rPr>
          <w:rFonts w:cs="Arial"/>
          <w:i w:val="0"/>
          <w:sz w:val="22"/>
          <w:szCs w:val="22"/>
        </w:rPr>
        <w:t>and also</w:t>
      </w:r>
      <w:proofErr w:type="gramEnd"/>
      <w:r w:rsidRPr="004C6968">
        <w:rPr>
          <w:rFonts w:cs="Arial"/>
          <w:i w:val="0"/>
          <w:sz w:val="22"/>
          <w:szCs w:val="22"/>
        </w:rPr>
        <w:t xml:space="preserve"> degree of disablement of the member at the time the injury is incurred. Accordingly, the actuaries have calculated the defined benefit obligation as at 31 March 202</w:t>
      </w:r>
      <w:r w:rsidR="00296C9E">
        <w:rPr>
          <w:rFonts w:cs="Arial"/>
          <w:i w:val="0"/>
          <w:sz w:val="22"/>
          <w:szCs w:val="22"/>
        </w:rPr>
        <w:t>5</w:t>
      </w:r>
      <w:r w:rsidRPr="004C6968">
        <w:rPr>
          <w:rFonts w:cs="Arial"/>
          <w:i w:val="0"/>
          <w:sz w:val="22"/>
          <w:szCs w:val="22"/>
        </w:rPr>
        <w:t xml:space="preserve"> including allowances for the following: </w:t>
      </w:r>
    </w:p>
    <w:p w14:paraId="74C7C9D5" w14:textId="77777777" w:rsidR="00C67494" w:rsidRPr="004C6968" w:rsidRDefault="00C67494" w:rsidP="00C67494">
      <w:pPr>
        <w:pStyle w:val="BodyTextIndent"/>
        <w:ind w:left="426" w:firstLine="0"/>
        <w:jc w:val="both"/>
        <w:rPr>
          <w:rFonts w:cs="Arial"/>
          <w:i w:val="0"/>
          <w:sz w:val="22"/>
          <w:szCs w:val="22"/>
        </w:rPr>
      </w:pPr>
    </w:p>
    <w:p w14:paraId="2F96EFFC" w14:textId="77777777" w:rsidR="00C67494" w:rsidRPr="004C6968" w:rsidRDefault="00C67494" w:rsidP="00C67494">
      <w:pPr>
        <w:pStyle w:val="BodyTextIndent"/>
        <w:numPr>
          <w:ilvl w:val="0"/>
          <w:numId w:val="10"/>
        </w:numPr>
        <w:jc w:val="both"/>
        <w:rPr>
          <w:rFonts w:cs="Arial"/>
          <w:i w:val="0"/>
          <w:sz w:val="22"/>
          <w:szCs w:val="22"/>
        </w:rPr>
      </w:pPr>
      <w:r w:rsidRPr="004C6968">
        <w:rPr>
          <w:rFonts w:cs="Arial"/>
          <w:i w:val="0"/>
          <w:sz w:val="22"/>
          <w:szCs w:val="22"/>
        </w:rPr>
        <w:t xml:space="preserve">the actuarial value of the injury pensions that are currently in payment; </w:t>
      </w:r>
    </w:p>
    <w:p w14:paraId="4C8156E9" w14:textId="64299033" w:rsidR="00C67494" w:rsidRPr="004C6968" w:rsidRDefault="00C67494" w:rsidP="00C67494">
      <w:pPr>
        <w:pStyle w:val="BodyTextIndent"/>
        <w:numPr>
          <w:ilvl w:val="0"/>
          <w:numId w:val="10"/>
        </w:numPr>
        <w:jc w:val="both"/>
        <w:rPr>
          <w:rFonts w:cs="Arial"/>
          <w:i w:val="0"/>
          <w:sz w:val="22"/>
          <w:szCs w:val="22"/>
        </w:rPr>
      </w:pPr>
      <w:r w:rsidRPr="004C6968">
        <w:rPr>
          <w:rFonts w:cs="Arial"/>
          <w:i w:val="0"/>
          <w:sz w:val="22"/>
          <w:szCs w:val="22"/>
        </w:rPr>
        <w:t>advance provision for the part of the injury pensions that are accrued up to 31 March 202</w:t>
      </w:r>
      <w:r w:rsidR="004C6968">
        <w:rPr>
          <w:rFonts w:cs="Arial"/>
          <w:i w:val="0"/>
          <w:sz w:val="22"/>
          <w:szCs w:val="22"/>
        </w:rPr>
        <w:t>5</w:t>
      </w:r>
      <w:r w:rsidRPr="004C6968">
        <w:rPr>
          <w:rFonts w:cs="Arial"/>
          <w:i w:val="0"/>
          <w:sz w:val="22"/>
          <w:szCs w:val="22"/>
        </w:rPr>
        <w:t xml:space="preserve"> and are not yet in payment, for members still in service, in the same way that provision is made for accrued pensions for members still in service for the 1987, 2006 and 2015 schemes.</w:t>
      </w:r>
    </w:p>
    <w:p w14:paraId="18F0039C" w14:textId="77777777" w:rsidR="00C67494" w:rsidRPr="00093BB3" w:rsidRDefault="00C67494" w:rsidP="00C67494">
      <w:pPr>
        <w:pStyle w:val="BodyTextIndent"/>
        <w:ind w:left="1146" w:firstLine="0"/>
        <w:jc w:val="both"/>
        <w:rPr>
          <w:rFonts w:cs="Arial"/>
          <w:i w:val="0"/>
          <w:sz w:val="22"/>
          <w:szCs w:val="22"/>
          <w:highlight w:val="yellow"/>
        </w:rPr>
      </w:pPr>
    </w:p>
    <w:p w14:paraId="4AC73EC7" w14:textId="5CC6CF99" w:rsidR="00C67494" w:rsidRPr="004C6968" w:rsidRDefault="00C67494" w:rsidP="00C67494">
      <w:pPr>
        <w:pStyle w:val="BodyTextIndent"/>
        <w:ind w:left="426" w:firstLine="0"/>
        <w:jc w:val="both"/>
        <w:rPr>
          <w:rFonts w:cs="Arial"/>
          <w:i w:val="0"/>
          <w:sz w:val="22"/>
          <w:szCs w:val="22"/>
        </w:rPr>
      </w:pPr>
      <w:r w:rsidRPr="004C6968">
        <w:rPr>
          <w:rFonts w:cs="Arial"/>
          <w:i w:val="0"/>
          <w:sz w:val="22"/>
          <w:szCs w:val="22"/>
        </w:rPr>
        <w:t xml:space="preserve">In addition, an ongoing "service cost" is also calculated which represents the cost of one year's accrual of injury benefits in relation to members in service. Therefore, in line with the </w:t>
      </w:r>
      <w:r w:rsidR="00C37E7F" w:rsidRPr="004C6968">
        <w:rPr>
          <w:rFonts w:cs="Arial"/>
          <w:i w:val="0"/>
          <w:sz w:val="22"/>
          <w:szCs w:val="22"/>
        </w:rPr>
        <w:t>2024/25</w:t>
      </w:r>
      <w:r w:rsidRPr="004C6968">
        <w:rPr>
          <w:rFonts w:cs="Arial"/>
          <w:i w:val="0"/>
          <w:sz w:val="22"/>
          <w:szCs w:val="22"/>
        </w:rPr>
        <w:t xml:space="preserve"> CIPFA Code of Practice Guidance Notes (Module 6, Para. B72) the assumption that such awards are "not usually subject to the same degree of uncertainty as the measurement of post-employment benefits" has been rebutted and injury awards are therefore accounted for, under IAS 19, in the same manner as the main police pension schemes. Liabilities are included on the PCC Group balance sheet within the pensions' liabilities and shown separately in the notes to the accounts.</w:t>
      </w:r>
    </w:p>
    <w:p w14:paraId="58C04098" w14:textId="77777777" w:rsidR="00C67494" w:rsidRPr="004C6968" w:rsidRDefault="00C67494" w:rsidP="00C67494">
      <w:pPr>
        <w:pStyle w:val="BodyTextIndent"/>
        <w:ind w:left="426" w:firstLine="0"/>
        <w:jc w:val="both"/>
        <w:rPr>
          <w:rFonts w:cs="Arial"/>
          <w:i w:val="0"/>
          <w:sz w:val="22"/>
          <w:szCs w:val="22"/>
        </w:rPr>
      </w:pPr>
    </w:p>
    <w:p w14:paraId="627ADB10" w14:textId="77777777" w:rsidR="00C67494" w:rsidRPr="004C6968" w:rsidRDefault="00C67494" w:rsidP="00C67494">
      <w:pPr>
        <w:spacing w:after="240"/>
        <w:ind w:left="360"/>
        <w:jc w:val="both"/>
        <w:rPr>
          <w:rFonts w:ascii="Arial" w:hAnsi="Arial" w:cs="Arial"/>
          <w:b/>
          <w:sz w:val="22"/>
          <w:szCs w:val="22"/>
        </w:rPr>
      </w:pPr>
      <w:r w:rsidRPr="004C6968">
        <w:rPr>
          <w:rFonts w:ascii="Arial" w:hAnsi="Arial" w:cs="Arial"/>
          <w:sz w:val="22"/>
          <w:szCs w:val="22"/>
        </w:rPr>
        <w:t>The change in the net pension liability must be analysed into the following components:</w:t>
      </w:r>
      <w:r w:rsidRPr="004C6968">
        <w:rPr>
          <w:rFonts w:ascii="Arial" w:hAnsi="Arial" w:cs="Arial"/>
          <w:b/>
          <w:sz w:val="22"/>
          <w:szCs w:val="22"/>
        </w:rPr>
        <w:t xml:space="preserve"> </w:t>
      </w:r>
    </w:p>
    <w:p w14:paraId="1E32D878" w14:textId="77777777" w:rsidR="00C67494" w:rsidRPr="004C6968" w:rsidRDefault="00C67494" w:rsidP="00C67494">
      <w:pPr>
        <w:spacing w:after="240"/>
        <w:ind w:left="360"/>
        <w:jc w:val="both"/>
        <w:rPr>
          <w:rFonts w:ascii="Arial" w:hAnsi="Arial" w:cs="Arial"/>
          <w:sz w:val="22"/>
          <w:szCs w:val="22"/>
        </w:rPr>
      </w:pPr>
      <w:r w:rsidRPr="004C6968">
        <w:rPr>
          <w:rFonts w:ascii="Arial" w:hAnsi="Arial" w:cs="Arial"/>
          <w:sz w:val="22"/>
          <w:szCs w:val="22"/>
        </w:rPr>
        <w:t>Service cost, comprising:</w:t>
      </w:r>
    </w:p>
    <w:p w14:paraId="1FA73D67" w14:textId="77777777" w:rsidR="00C67494" w:rsidRPr="004C6968" w:rsidRDefault="00C67494" w:rsidP="00C67494">
      <w:pPr>
        <w:numPr>
          <w:ilvl w:val="0"/>
          <w:numId w:val="3"/>
        </w:numPr>
        <w:shd w:val="clear" w:color="auto" w:fill="FFFFFF"/>
        <w:tabs>
          <w:tab w:val="clear" w:pos="1440"/>
          <w:tab w:val="num" w:pos="851"/>
        </w:tabs>
        <w:spacing w:before="100" w:beforeAutospacing="1" w:after="100" w:afterAutospacing="1"/>
        <w:ind w:left="851" w:hanging="425"/>
        <w:jc w:val="both"/>
        <w:rPr>
          <w:rFonts w:ascii="Arial" w:hAnsi="Arial" w:cs="Arial"/>
          <w:sz w:val="22"/>
          <w:szCs w:val="22"/>
        </w:rPr>
      </w:pPr>
      <w:r w:rsidRPr="004C6968">
        <w:rPr>
          <w:rFonts w:ascii="Arial" w:hAnsi="Arial" w:cs="Arial"/>
          <w:b/>
          <w:sz w:val="22"/>
          <w:szCs w:val="22"/>
        </w:rPr>
        <w:t xml:space="preserve">current service </w:t>
      </w:r>
      <w:proofErr w:type="gramStart"/>
      <w:r w:rsidRPr="004C6968">
        <w:rPr>
          <w:rFonts w:ascii="Arial" w:hAnsi="Arial" w:cs="Arial"/>
          <w:b/>
          <w:sz w:val="22"/>
          <w:szCs w:val="22"/>
        </w:rPr>
        <w:t>cost</w:t>
      </w:r>
      <w:r w:rsidRPr="004C6968">
        <w:rPr>
          <w:rFonts w:ascii="Arial" w:hAnsi="Arial" w:cs="Arial"/>
          <w:sz w:val="22"/>
          <w:szCs w:val="22"/>
        </w:rPr>
        <w:t>:</w:t>
      </w:r>
      <w:proofErr w:type="gramEnd"/>
      <w:r w:rsidRPr="004C6968">
        <w:rPr>
          <w:rFonts w:ascii="Arial" w:hAnsi="Arial" w:cs="Arial"/>
          <w:sz w:val="22"/>
          <w:szCs w:val="22"/>
        </w:rPr>
        <w:t xml:space="preserve"> represents the future service cost to the employer of one year's accrual of pension benefits for active members, calculated on the actuarial assumptions used at the start of the year for IAS19 purposes. The interest on the service cost is included within the service cost -allocated in the CIES across activity areas;</w:t>
      </w:r>
    </w:p>
    <w:p w14:paraId="6DEB48AB" w14:textId="77777777" w:rsidR="00C67494" w:rsidRPr="004C6968" w:rsidRDefault="00C67494" w:rsidP="00C67494">
      <w:pPr>
        <w:numPr>
          <w:ilvl w:val="0"/>
          <w:numId w:val="3"/>
        </w:numPr>
        <w:shd w:val="clear" w:color="auto" w:fill="FFFFFF"/>
        <w:tabs>
          <w:tab w:val="clear" w:pos="1440"/>
          <w:tab w:val="num" w:pos="851"/>
        </w:tabs>
        <w:spacing w:before="100" w:beforeAutospacing="1" w:after="100" w:afterAutospacing="1"/>
        <w:ind w:left="851" w:hanging="425"/>
        <w:jc w:val="both"/>
        <w:rPr>
          <w:rFonts w:ascii="Arial" w:hAnsi="Arial" w:cs="Arial"/>
          <w:sz w:val="22"/>
          <w:szCs w:val="22"/>
        </w:rPr>
      </w:pPr>
      <w:r w:rsidRPr="004C6968">
        <w:rPr>
          <w:rFonts w:ascii="Arial" w:hAnsi="Arial" w:cs="Arial"/>
          <w:b/>
          <w:sz w:val="22"/>
          <w:szCs w:val="22"/>
        </w:rPr>
        <w:t>past service and curtailments costs</w:t>
      </w:r>
      <w:r w:rsidRPr="004C6968">
        <w:rPr>
          <w:rFonts w:ascii="Arial" w:hAnsi="Arial" w:cs="Arial"/>
          <w:sz w:val="22"/>
          <w:szCs w:val="22"/>
        </w:rPr>
        <w:t>: these are normally the result of increased benefits being awarded in the event of members retiring early during the year. Changes in scheme benefits and any augmentation of benefits for active members would also give rise to past service costs – debited to the surplus or deficit on the provision of services in the CIES as part of non-distributed costs;</w:t>
      </w:r>
    </w:p>
    <w:p w14:paraId="764FC76C" w14:textId="77777777" w:rsidR="00C67494" w:rsidRPr="004C6968" w:rsidRDefault="00C67494" w:rsidP="00C67494">
      <w:pPr>
        <w:numPr>
          <w:ilvl w:val="0"/>
          <w:numId w:val="3"/>
        </w:numPr>
        <w:shd w:val="clear" w:color="auto" w:fill="FFFFFF"/>
        <w:tabs>
          <w:tab w:val="clear" w:pos="1440"/>
          <w:tab w:val="num" w:pos="851"/>
        </w:tabs>
        <w:spacing w:before="100" w:beforeAutospacing="1" w:after="100" w:afterAutospacing="1"/>
        <w:ind w:left="851" w:hanging="425"/>
        <w:jc w:val="both"/>
        <w:rPr>
          <w:rFonts w:ascii="Arial" w:hAnsi="Arial" w:cs="Arial"/>
          <w:b/>
          <w:sz w:val="22"/>
          <w:szCs w:val="22"/>
        </w:rPr>
      </w:pPr>
      <w:r w:rsidRPr="004C6968">
        <w:rPr>
          <w:rFonts w:ascii="Arial" w:hAnsi="Arial" w:cs="Arial"/>
          <w:b/>
          <w:sz w:val="22"/>
          <w:szCs w:val="22"/>
        </w:rPr>
        <w:t>administrative expenses</w:t>
      </w:r>
      <w:r w:rsidRPr="004C6968">
        <w:rPr>
          <w:rFonts w:ascii="Arial" w:hAnsi="Arial" w:cs="Arial"/>
          <w:sz w:val="22"/>
          <w:szCs w:val="22"/>
        </w:rPr>
        <w:t>: these are the costs of running the fund, attributable to the employer, and does not include any investment management expenses which are allowed for under "Re-measurements". These costs are debited to the surplus or deficit on the provision of services in the CIES;</w:t>
      </w:r>
    </w:p>
    <w:p w14:paraId="6DA26B73" w14:textId="77777777" w:rsidR="00C67494" w:rsidRPr="004C6968" w:rsidRDefault="00C67494" w:rsidP="00C67494">
      <w:pPr>
        <w:numPr>
          <w:ilvl w:val="0"/>
          <w:numId w:val="3"/>
        </w:numPr>
        <w:shd w:val="clear" w:color="auto" w:fill="FFFFFF"/>
        <w:tabs>
          <w:tab w:val="clear" w:pos="1440"/>
          <w:tab w:val="num" w:pos="851"/>
        </w:tabs>
        <w:spacing w:before="100" w:beforeAutospacing="1" w:after="100" w:afterAutospacing="1"/>
        <w:ind w:left="851" w:hanging="425"/>
        <w:jc w:val="both"/>
        <w:rPr>
          <w:rFonts w:ascii="Arial" w:hAnsi="Arial" w:cs="Arial"/>
          <w:sz w:val="22"/>
          <w:szCs w:val="22"/>
        </w:rPr>
      </w:pPr>
      <w:r w:rsidRPr="004C6968">
        <w:rPr>
          <w:rFonts w:ascii="Arial" w:hAnsi="Arial" w:cs="Arial"/>
          <w:b/>
          <w:sz w:val="22"/>
          <w:szCs w:val="22"/>
        </w:rPr>
        <w:t>net interest on the net defined benefit liability (asset)</w:t>
      </w:r>
      <w:r w:rsidRPr="004C6968">
        <w:rPr>
          <w:rFonts w:ascii="Arial" w:hAnsi="Arial" w:cs="Arial"/>
          <w:sz w:val="22"/>
          <w:szCs w:val="22"/>
        </w:rPr>
        <w:t>: net interest expense for the PCC Group – the change during the period in the net defined benefit liability (asset) that arise</w:t>
      </w:r>
      <w:r w:rsidRPr="004C6968">
        <w:rPr>
          <w:rFonts w:ascii="Arial" w:hAnsi="Arial" w:cs="Arial"/>
          <w:color w:val="000000"/>
          <w:sz w:val="22"/>
          <w:szCs w:val="22"/>
        </w:rPr>
        <w:t>s</w:t>
      </w:r>
      <w:r w:rsidRPr="004C6968">
        <w:rPr>
          <w:rFonts w:ascii="Arial" w:hAnsi="Arial" w:cs="Arial"/>
          <w:sz w:val="22"/>
          <w:szCs w:val="22"/>
        </w:rPr>
        <w:t xml:space="preserve"> from the passage of time, charged to the financing and investment income and expenditure line of the CIES, This is calculated by applying the discount rate used to measure the defined benefit obligation at the beginning of the period to the net defined benefit liability (asset) at the beginning of the period – taking into account any changes in the net defined benefit liability (asset) during the period as a result of contribution and benefit payments.</w:t>
      </w:r>
    </w:p>
    <w:p w14:paraId="3F38C1E6" w14:textId="77777777" w:rsidR="006C65E3" w:rsidRDefault="006C65E3">
      <w:pPr>
        <w:rPr>
          <w:rFonts w:ascii="Arial" w:hAnsi="Arial" w:cs="Arial"/>
          <w:sz w:val="22"/>
          <w:szCs w:val="22"/>
        </w:rPr>
      </w:pPr>
      <w:r>
        <w:rPr>
          <w:rFonts w:ascii="Arial" w:hAnsi="Arial" w:cs="Arial"/>
          <w:sz w:val="22"/>
          <w:szCs w:val="22"/>
        </w:rPr>
        <w:br w:type="page"/>
      </w:r>
    </w:p>
    <w:p w14:paraId="0B01064E" w14:textId="51A843AA" w:rsidR="00C67494" w:rsidRPr="004C6968" w:rsidRDefault="00C67494" w:rsidP="00C67494">
      <w:pPr>
        <w:shd w:val="clear" w:color="auto" w:fill="FFFFFF"/>
        <w:spacing w:after="100" w:afterAutospacing="1"/>
        <w:ind w:left="426"/>
        <w:jc w:val="both"/>
        <w:rPr>
          <w:rFonts w:ascii="Arial" w:hAnsi="Arial" w:cs="Arial"/>
          <w:sz w:val="22"/>
          <w:szCs w:val="22"/>
        </w:rPr>
      </w:pPr>
      <w:r w:rsidRPr="004C6968">
        <w:rPr>
          <w:rFonts w:ascii="Arial" w:hAnsi="Arial" w:cs="Arial"/>
          <w:sz w:val="22"/>
          <w:szCs w:val="22"/>
        </w:rPr>
        <w:lastRenderedPageBreak/>
        <w:t xml:space="preserve">Re-measurements, the components of which pass through the Other Comprehensive income and expenditure section of the CIES and are made up as follows: </w:t>
      </w:r>
    </w:p>
    <w:p w14:paraId="415B84A0" w14:textId="63CA1997" w:rsidR="00C67494" w:rsidRPr="004C6968" w:rsidRDefault="00C67494" w:rsidP="00C67494">
      <w:pPr>
        <w:numPr>
          <w:ilvl w:val="0"/>
          <w:numId w:val="3"/>
        </w:numPr>
        <w:shd w:val="clear" w:color="auto" w:fill="FFFFFF"/>
        <w:tabs>
          <w:tab w:val="clear" w:pos="1440"/>
          <w:tab w:val="num" w:pos="851"/>
        </w:tabs>
        <w:spacing w:before="100" w:beforeAutospacing="1" w:after="100" w:afterAutospacing="1"/>
        <w:ind w:left="851" w:hanging="425"/>
        <w:jc w:val="both"/>
        <w:rPr>
          <w:rFonts w:ascii="Arial" w:hAnsi="Arial" w:cs="Arial"/>
          <w:sz w:val="22"/>
          <w:szCs w:val="22"/>
          <w:u w:val="single"/>
        </w:rPr>
      </w:pPr>
      <w:r w:rsidRPr="004C6968">
        <w:rPr>
          <w:rFonts w:ascii="Arial" w:hAnsi="Arial" w:cs="Arial"/>
          <w:b/>
          <w:i/>
          <w:sz w:val="22"/>
          <w:szCs w:val="22"/>
        </w:rPr>
        <w:t>Re-measurements (assets)</w:t>
      </w:r>
      <w:r w:rsidRPr="004C6968">
        <w:rPr>
          <w:rFonts w:ascii="Arial" w:hAnsi="Arial" w:cs="Arial"/>
          <w:sz w:val="22"/>
          <w:szCs w:val="22"/>
        </w:rPr>
        <w:t xml:space="preserve"> –these are set out in IAS19 as being the return on assets net of interest on assets, so this reflects the extent to which the investment returns achieved are different from the interest rate used at the start of the year. However, for multi-employer schemes such as LGPS, which do not have asset values which are formally segregated between employers, additional adjustments can arise in the year in which a new set of actuarial valuation results is brought into account for IAS19 purposes. In particular, the approach to calculating the IAS19 assets and liabilities in between full actuarial valuations is approximate in nature. At each valuation, the position is reassessed, with the assets (and liabilities) attributable to each employer being fully recalculated. Following each full actuarial valuation, it can therefore be necessary to put through some adjustments to reflect this recalculation. The adjustment is not explicitly catered for under </w:t>
      </w:r>
      <w:proofErr w:type="gramStart"/>
      <w:r w:rsidRPr="004C6968">
        <w:rPr>
          <w:rFonts w:ascii="Arial" w:hAnsi="Arial" w:cs="Arial"/>
          <w:sz w:val="22"/>
          <w:szCs w:val="22"/>
        </w:rPr>
        <w:t>IAS19</w:t>
      </w:r>
      <w:proofErr w:type="gramEnd"/>
      <w:r w:rsidRPr="004C6968">
        <w:rPr>
          <w:rFonts w:ascii="Arial" w:hAnsi="Arial" w:cs="Arial"/>
          <w:sz w:val="22"/>
          <w:szCs w:val="22"/>
        </w:rPr>
        <w:t xml:space="preserve"> and it has been presented as part of the re-measurement on assets and referred to as "experience gain/loss on assets"; </w:t>
      </w:r>
      <w:bookmarkStart w:id="31" w:name="_Hlk167267339"/>
      <w:r w:rsidRPr="004C6968">
        <w:rPr>
          <w:rFonts w:ascii="Arial" w:hAnsi="Arial" w:cs="Arial"/>
          <w:sz w:val="22"/>
          <w:szCs w:val="22"/>
        </w:rPr>
        <w:t>These have been adjusted in 202</w:t>
      </w:r>
      <w:r w:rsidR="004C6968">
        <w:rPr>
          <w:rFonts w:ascii="Arial" w:hAnsi="Arial" w:cs="Arial"/>
          <w:sz w:val="22"/>
          <w:szCs w:val="22"/>
        </w:rPr>
        <w:t>4</w:t>
      </w:r>
      <w:r w:rsidRPr="004C6968">
        <w:rPr>
          <w:rFonts w:ascii="Arial" w:hAnsi="Arial" w:cs="Arial"/>
          <w:sz w:val="22"/>
          <w:szCs w:val="22"/>
        </w:rPr>
        <w:t>-2</w:t>
      </w:r>
      <w:r w:rsidR="004C6968">
        <w:rPr>
          <w:rFonts w:ascii="Arial" w:hAnsi="Arial" w:cs="Arial"/>
          <w:sz w:val="22"/>
          <w:szCs w:val="22"/>
        </w:rPr>
        <w:t>5</w:t>
      </w:r>
      <w:r w:rsidRPr="004C6968">
        <w:rPr>
          <w:rFonts w:ascii="Arial" w:hAnsi="Arial" w:cs="Arial"/>
          <w:sz w:val="22"/>
          <w:szCs w:val="22"/>
        </w:rPr>
        <w:t xml:space="preserve"> for the impact of the asset ceiling calculations.</w:t>
      </w:r>
    </w:p>
    <w:bookmarkEnd w:id="31"/>
    <w:p w14:paraId="6EFBC0FE" w14:textId="77777777" w:rsidR="00C67494" w:rsidRPr="00693F05" w:rsidRDefault="00C67494" w:rsidP="00C67494">
      <w:pPr>
        <w:shd w:val="clear" w:color="auto" w:fill="FFFFFF"/>
        <w:spacing w:before="100" w:beforeAutospacing="1" w:after="100" w:afterAutospacing="1"/>
        <w:ind w:left="851"/>
        <w:jc w:val="both"/>
        <w:rPr>
          <w:rFonts w:ascii="Arial" w:hAnsi="Arial" w:cs="Arial"/>
          <w:sz w:val="22"/>
          <w:szCs w:val="22"/>
        </w:rPr>
      </w:pPr>
      <w:r w:rsidRPr="00693F05">
        <w:rPr>
          <w:rFonts w:ascii="Arial" w:hAnsi="Arial" w:cs="Arial"/>
          <w:b/>
          <w:i/>
          <w:sz w:val="22"/>
          <w:szCs w:val="22"/>
        </w:rPr>
        <w:t>Re-measurements (liabilities</w:t>
      </w:r>
      <w:r w:rsidRPr="00693F05">
        <w:rPr>
          <w:rFonts w:ascii="Arial" w:hAnsi="Arial" w:cs="Arial"/>
          <w:b/>
          <w:sz w:val="22"/>
          <w:szCs w:val="22"/>
        </w:rPr>
        <w:t>)</w:t>
      </w:r>
      <w:r w:rsidRPr="00693F05">
        <w:rPr>
          <w:rFonts w:ascii="Arial" w:hAnsi="Arial" w:cs="Arial"/>
          <w:sz w:val="22"/>
          <w:szCs w:val="22"/>
        </w:rPr>
        <w:t xml:space="preserve"> –these are subdivided into:</w:t>
      </w:r>
    </w:p>
    <w:p w14:paraId="4B27CC6E" w14:textId="77777777" w:rsidR="00C67494" w:rsidRPr="00693F05" w:rsidRDefault="00C67494" w:rsidP="00C67494">
      <w:pPr>
        <w:spacing w:after="240"/>
        <w:ind w:left="851"/>
        <w:jc w:val="both"/>
        <w:rPr>
          <w:rFonts w:ascii="Arial" w:hAnsi="Arial" w:cs="Arial"/>
          <w:sz w:val="22"/>
          <w:szCs w:val="22"/>
        </w:rPr>
      </w:pPr>
      <w:r w:rsidRPr="00693F05">
        <w:rPr>
          <w:rFonts w:ascii="Arial" w:hAnsi="Arial" w:cs="Arial"/>
          <w:i/>
          <w:sz w:val="22"/>
          <w:szCs w:val="22"/>
        </w:rPr>
        <w:t>Gain/loss on financial assumptions and gain/loss on demographic assumptions</w:t>
      </w:r>
      <w:r w:rsidRPr="00693F05">
        <w:rPr>
          <w:rFonts w:ascii="Arial" w:hAnsi="Arial" w:cs="Arial"/>
          <w:sz w:val="22"/>
          <w:szCs w:val="22"/>
        </w:rPr>
        <w:t xml:space="preserve"> –under the accounting standards the assumptions will normally differ between the start and end of the employer's financial year. Changes in actuarial assumptions show the effect of this difference, calculated at the end of the financial year;</w:t>
      </w:r>
    </w:p>
    <w:p w14:paraId="50DA710D" w14:textId="77777777" w:rsidR="00C67494" w:rsidRPr="00693F05" w:rsidRDefault="00C67494" w:rsidP="00C67494">
      <w:pPr>
        <w:spacing w:after="240"/>
        <w:ind w:left="851"/>
        <w:jc w:val="both"/>
        <w:rPr>
          <w:rFonts w:ascii="Arial" w:hAnsi="Arial" w:cs="Arial"/>
          <w:sz w:val="22"/>
          <w:szCs w:val="22"/>
        </w:rPr>
      </w:pPr>
      <w:r w:rsidRPr="00693F05">
        <w:rPr>
          <w:rFonts w:ascii="Arial" w:hAnsi="Arial" w:cs="Arial"/>
          <w:i/>
          <w:sz w:val="22"/>
          <w:szCs w:val="22"/>
        </w:rPr>
        <w:t>Experience gains/losses on liabilities</w:t>
      </w:r>
      <w:r w:rsidRPr="00693F05">
        <w:rPr>
          <w:rFonts w:ascii="Arial" w:hAnsi="Arial" w:cs="Arial"/>
          <w:sz w:val="22"/>
          <w:szCs w:val="22"/>
        </w:rPr>
        <w:t xml:space="preserve"> –as mentioned earlier, the approach to calculating the IAS19 figures in between full actuarial valuations is approximate in nature. At each triennial valuation, the position is reassessed, with the assets and liabilities attributable to each employer fully recalculated. The adjustment to the liabilities which arises from this recalculation is known as an "experience gain/loss on liabilities". Experience gain/loss on liabilities is normally zero in between full actuarial valuations. </w:t>
      </w:r>
    </w:p>
    <w:p w14:paraId="672FD870" w14:textId="77777777" w:rsidR="00C67494" w:rsidRPr="00693F05" w:rsidRDefault="00C67494" w:rsidP="00C67494">
      <w:pPr>
        <w:shd w:val="clear" w:color="auto" w:fill="FFFFFF"/>
        <w:spacing w:after="100" w:afterAutospacing="1"/>
        <w:ind w:left="426"/>
        <w:jc w:val="both"/>
        <w:rPr>
          <w:rFonts w:ascii="Arial" w:hAnsi="Arial" w:cs="Arial"/>
          <w:sz w:val="22"/>
          <w:szCs w:val="22"/>
        </w:rPr>
      </w:pPr>
      <w:r w:rsidRPr="00693F05">
        <w:rPr>
          <w:rFonts w:ascii="Arial" w:hAnsi="Arial" w:cs="Arial"/>
          <w:sz w:val="22"/>
          <w:szCs w:val="22"/>
        </w:rPr>
        <w:t>Contributions paid to the pension fund – cash paid as employer’s contributions to the pension fund in settlement of liabilities; not accounted for as an expense.  In the case of the police pension scheme, this includes any contribution made by the PCC to meet the deficit on the pension fund.</w:t>
      </w:r>
    </w:p>
    <w:p w14:paraId="318F1CED" w14:textId="77777777" w:rsidR="00C67494" w:rsidRPr="00693F05" w:rsidRDefault="00C67494" w:rsidP="00C67494">
      <w:pPr>
        <w:shd w:val="clear" w:color="auto" w:fill="FFFFFF"/>
        <w:spacing w:after="100" w:afterAutospacing="1"/>
        <w:ind w:left="426"/>
        <w:jc w:val="both"/>
        <w:rPr>
          <w:rFonts w:ascii="Arial" w:hAnsi="Arial" w:cs="Arial"/>
          <w:b/>
          <w:sz w:val="22"/>
          <w:szCs w:val="22"/>
        </w:rPr>
      </w:pPr>
      <w:r w:rsidRPr="00693F05">
        <w:rPr>
          <w:rFonts w:ascii="Arial" w:hAnsi="Arial" w:cs="Arial"/>
          <w:sz w:val="22"/>
          <w:szCs w:val="22"/>
        </w:rPr>
        <w:t>In relation to retirement benefits, statutory provisions require the Police General Fund balance to be charged with the amount payable by the PCC/PCC Group to the pension funds or directly to pensioners in the year, not the amount calculated according to the relevant accounting standards. In the movement in reserves statement, this means that there are appropriations to and from the Pensions Reserve to remove the notional debits and credits for retirement benefits and replace them with debits for the cash paid to the pension fund and pensioners and any such amounts payable to the fund but unpaid at the year-end. The negative balance that arises on the PCC/PCC Group Pensions Reserve thereby measures the beneficial impact to the General Fund of being required to account for retirement benefits based on cash flows rather than as benefits are earned by employees.</w:t>
      </w:r>
    </w:p>
    <w:p w14:paraId="1C4C4860" w14:textId="77777777" w:rsidR="00C67494" w:rsidRPr="00693F05" w:rsidRDefault="00C67494" w:rsidP="00C67494">
      <w:pPr>
        <w:ind w:left="426"/>
        <w:jc w:val="both"/>
        <w:rPr>
          <w:rFonts w:ascii="Arial" w:hAnsi="Arial" w:cs="Arial"/>
          <w:b/>
          <w:sz w:val="22"/>
          <w:szCs w:val="22"/>
        </w:rPr>
      </w:pPr>
      <w:r w:rsidRPr="00693F05">
        <w:rPr>
          <w:rFonts w:ascii="Arial" w:hAnsi="Arial" w:cs="Arial"/>
          <w:b/>
          <w:sz w:val="22"/>
          <w:szCs w:val="22"/>
        </w:rPr>
        <w:t>Governance and Risk Management:</w:t>
      </w:r>
    </w:p>
    <w:p w14:paraId="35813EBA" w14:textId="77777777" w:rsidR="00C67494" w:rsidRPr="00693F05" w:rsidRDefault="00C67494" w:rsidP="00C67494">
      <w:pPr>
        <w:ind w:left="426"/>
        <w:jc w:val="both"/>
        <w:rPr>
          <w:rFonts w:ascii="Arial" w:hAnsi="Arial" w:cs="Arial"/>
          <w:sz w:val="22"/>
          <w:szCs w:val="22"/>
        </w:rPr>
      </w:pPr>
    </w:p>
    <w:p w14:paraId="3A5033B9" w14:textId="77777777" w:rsidR="00C67494" w:rsidRPr="00693F05" w:rsidRDefault="00C67494" w:rsidP="00C67494">
      <w:pPr>
        <w:ind w:left="426"/>
        <w:jc w:val="both"/>
        <w:rPr>
          <w:rFonts w:ascii="Arial" w:hAnsi="Arial" w:cs="Arial"/>
          <w:sz w:val="22"/>
          <w:szCs w:val="22"/>
        </w:rPr>
      </w:pPr>
      <w:r w:rsidRPr="00693F05">
        <w:rPr>
          <w:rFonts w:ascii="Arial" w:hAnsi="Arial" w:cs="Arial"/>
          <w:sz w:val="22"/>
          <w:szCs w:val="22"/>
        </w:rPr>
        <w:t>The liability associated with the employer’s pension arrangements is material to the employer, as is the cash funding required. The details in relation to each arrangement, including the relevant provisions for governance and risk management, are set out below.</w:t>
      </w:r>
    </w:p>
    <w:p w14:paraId="31DD04FE" w14:textId="77777777" w:rsidR="00C67494" w:rsidRPr="00093BB3" w:rsidRDefault="00C67494" w:rsidP="00C67494">
      <w:pPr>
        <w:ind w:left="426"/>
        <w:rPr>
          <w:rFonts w:ascii="Arial" w:hAnsi="Arial" w:cs="Arial"/>
          <w:b/>
          <w:sz w:val="22"/>
          <w:szCs w:val="22"/>
          <w:highlight w:val="yellow"/>
          <w:u w:val="single"/>
        </w:rPr>
      </w:pPr>
    </w:p>
    <w:p w14:paraId="0BF71801" w14:textId="77777777" w:rsidR="006C65E3" w:rsidRDefault="006C65E3">
      <w:pPr>
        <w:rPr>
          <w:rFonts w:ascii="Arial" w:hAnsi="Arial" w:cs="Arial"/>
          <w:b/>
          <w:sz w:val="22"/>
          <w:szCs w:val="22"/>
          <w:u w:val="single"/>
        </w:rPr>
      </w:pPr>
      <w:r>
        <w:rPr>
          <w:rFonts w:ascii="Arial" w:hAnsi="Arial" w:cs="Arial"/>
          <w:b/>
          <w:sz w:val="22"/>
          <w:szCs w:val="22"/>
          <w:u w:val="single"/>
        </w:rPr>
        <w:br w:type="page"/>
      </w:r>
    </w:p>
    <w:p w14:paraId="07155460" w14:textId="7F737908" w:rsidR="00C67494" w:rsidRPr="00693F05" w:rsidRDefault="00C67494" w:rsidP="00C67494">
      <w:pPr>
        <w:ind w:left="426"/>
        <w:rPr>
          <w:rFonts w:ascii="Arial" w:hAnsi="Arial" w:cs="Arial"/>
          <w:b/>
          <w:sz w:val="22"/>
          <w:szCs w:val="22"/>
          <w:u w:val="single"/>
        </w:rPr>
      </w:pPr>
      <w:r w:rsidRPr="00693F05">
        <w:rPr>
          <w:rFonts w:ascii="Arial" w:hAnsi="Arial" w:cs="Arial"/>
          <w:b/>
          <w:sz w:val="22"/>
          <w:szCs w:val="22"/>
          <w:u w:val="single"/>
        </w:rPr>
        <w:lastRenderedPageBreak/>
        <w:t>Lancashire County Pension Fund</w:t>
      </w:r>
    </w:p>
    <w:p w14:paraId="5852A105" w14:textId="77777777" w:rsidR="00C67494" w:rsidRPr="00693F05" w:rsidRDefault="00C67494" w:rsidP="00C67494">
      <w:pPr>
        <w:ind w:left="426"/>
        <w:rPr>
          <w:rFonts w:ascii="Arial" w:hAnsi="Arial" w:cs="Arial"/>
          <w:b/>
          <w:sz w:val="22"/>
          <w:szCs w:val="22"/>
          <w:u w:val="single"/>
        </w:rPr>
      </w:pPr>
    </w:p>
    <w:p w14:paraId="74F814DB"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t>Governance:</w:t>
      </w:r>
    </w:p>
    <w:p w14:paraId="6C44FFCE"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 xml:space="preserve">Management of the Fund is vested in Lancashire County Council as administering authority of the Fund.  Lancashire County Council has appointed a Pension Fund Committee (comprised of a mixture of County Councillors and representatives from other employers) to manage the Fund.  The Committee is assisted by an investment panel which advises the Committee on its investment strategy and risk management provisions. </w:t>
      </w:r>
    </w:p>
    <w:p w14:paraId="2E16718E" w14:textId="77777777" w:rsidR="00C67494" w:rsidRPr="00693F05" w:rsidRDefault="00C67494" w:rsidP="00C67494">
      <w:pPr>
        <w:ind w:left="426"/>
        <w:rPr>
          <w:rFonts w:ascii="Arial" w:hAnsi="Arial" w:cs="Arial"/>
          <w:sz w:val="22"/>
          <w:szCs w:val="22"/>
        </w:rPr>
      </w:pPr>
    </w:p>
    <w:p w14:paraId="2E0F27D5"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t>Funding the liabilities:</w:t>
      </w:r>
    </w:p>
    <w:p w14:paraId="1677E8A7" w14:textId="3206D46A" w:rsidR="00C67494" w:rsidRDefault="00C67494" w:rsidP="00C67494">
      <w:pPr>
        <w:ind w:left="426"/>
        <w:rPr>
          <w:rFonts w:ascii="Arial" w:hAnsi="Arial" w:cs="Arial"/>
          <w:sz w:val="22"/>
          <w:szCs w:val="22"/>
        </w:rPr>
      </w:pPr>
      <w:r w:rsidRPr="00693F05">
        <w:rPr>
          <w:rFonts w:ascii="Arial" w:hAnsi="Arial" w:cs="Arial"/>
          <w:sz w:val="22"/>
          <w:szCs w:val="22"/>
        </w:rPr>
        <w:t xml:space="preserve">Regulations governing the Fund require actuarial valuations to be carried out every three years.  Contributions for each employer are set having regard to their individual circumstances.  The Regulations require the contributions to be set with a view to targeting the Fund’s solvency, and the detailed provisions are set out in the Fund’s Funding strategy statement.  The most recent valuation </w:t>
      </w:r>
      <w:r w:rsidR="00693F05" w:rsidRPr="00693F05">
        <w:rPr>
          <w:rFonts w:ascii="Arial" w:hAnsi="Arial" w:cs="Arial"/>
          <w:sz w:val="22"/>
          <w:szCs w:val="22"/>
        </w:rPr>
        <w:t xml:space="preserve">for which results are available </w:t>
      </w:r>
      <w:r w:rsidRPr="00693F05">
        <w:rPr>
          <w:rFonts w:ascii="Arial" w:hAnsi="Arial" w:cs="Arial"/>
          <w:sz w:val="22"/>
          <w:szCs w:val="22"/>
        </w:rPr>
        <w:t>was carried out as at 31 March 20</w:t>
      </w:r>
      <w:r w:rsidR="00E9789A" w:rsidRPr="00693F05">
        <w:rPr>
          <w:rFonts w:ascii="Arial" w:hAnsi="Arial" w:cs="Arial"/>
          <w:sz w:val="22"/>
          <w:szCs w:val="22"/>
        </w:rPr>
        <w:t>22</w:t>
      </w:r>
      <w:r w:rsidRPr="00693F05">
        <w:rPr>
          <w:rFonts w:ascii="Arial" w:hAnsi="Arial" w:cs="Arial"/>
          <w:sz w:val="22"/>
          <w:szCs w:val="22"/>
        </w:rPr>
        <w:t xml:space="preserve">, which showed that the Fund’s liabilities were covered by the fund’s assets, equivalent of a funding level of 100%. The fund’s employers are paying additional contributions over a period of between 13 and 16 years </w:t>
      </w:r>
      <w:proofErr w:type="gramStart"/>
      <w:r w:rsidRPr="00693F05">
        <w:rPr>
          <w:rFonts w:ascii="Arial" w:hAnsi="Arial" w:cs="Arial"/>
          <w:sz w:val="22"/>
          <w:szCs w:val="22"/>
        </w:rPr>
        <w:t>in order to</w:t>
      </w:r>
      <w:proofErr w:type="gramEnd"/>
      <w:r w:rsidRPr="00693F05">
        <w:rPr>
          <w:rFonts w:ascii="Arial" w:hAnsi="Arial" w:cs="Arial"/>
          <w:sz w:val="22"/>
          <w:szCs w:val="22"/>
        </w:rPr>
        <w:t xml:space="preserve"> meet any shortfall. </w:t>
      </w:r>
    </w:p>
    <w:p w14:paraId="3736094A" w14:textId="77777777" w:rsidR="00693F05" w:rsidRDefault="00693F05" w:rsidP="00C67494">
      <w:pPr>
        <w:ind w:left="426"/>
        <w:rPr>
          <w:rFonts w:ascii="Arial" w:hAnsi="Arial" w:cs="Arial"/>
          <w:sz w:val="22"/>
          <w:szCs w:val="22"/>
        </w:rPr>
      </w:pPr>
    </w:p>
    <w:p w14:paraId="74E33382" w14:textId="3A4A270B" w:rsidR="00693F05" w:rsidRPr="00693F05" w:rsidRDefault="00693F05" w:rsidP="00C67494">
      <w:pPr>
        <w:ind w:left="426"/>
        <w:rPr>
          <w:rFonts w:ascii="Arial" w:hAnsi="Arial" w:cs="Arial"/>
          <w:sz w:val="22"/>
          <w:szCs w:val="22"/>
        </w:rPr>
      </w:pPr>
      <w:r>
        <w:rPr>
          <w:rFonts w:ascii="Arial" w:hAnsi="Arial" w:cs="Arial"/>
          <w:sz w:val="22"/>
          <w:szCs w:val="22"/>
        </w:rPr>
        <w:t xml:space="preserve">A valuation was carried out at 31 March </w:t>
      </w:r>
      <w:r w:rsidR="00204FC1">
        <w:rPr>
          <w:rFonts w:ascii="Arial" w:hAnsi="Arial" w:cs="Arial"/>
          <w:sz w:val="22"/>
          <w:szCs w:val="22"/>
        </w:rPr>
        <w:t>2025,</w:t>
      </w:r>
      <w:r>
        <w:rPr>
          <w:rFonts w:ascii="Arial" w:hAnsi="Arial" w:cs="Arial"/>
          <w:sz w:val="22"/>
          <w:szCs w:val="22"/>
        </w:rPr>
        <w:t xml:space="preserve"> but the results are not expected until Autumn 2025.</w:t>
      </w:r>
    </w:p>
    <w:p w14:paraId="11251315" w14:textId="77777777" w:rsidR="00C67494" w:rsidRPr="00693F05" w:rsidRDefault="00C67494" w:rsidP="00C67494">
      <w:pPr>
        <w:ind w:left="426"/>
        <w:rPr>
          <w:rFonts w:ascii="Arial" w:hAnsi="Arial" w:cs="Arial"/>
          <w:sz w:val="22"/>
          <w:szCs w:val="22"/>
        </w:rPr>
      </w:pPr>
    </w:p>
    <w:p w14:paraId="5659B9E2" w14:textId="77777777" w:rsidR="00C67494" w:rsidRPr="00693F05" w:rsidRDefault="00C67494" w:rsidP="00C67494">
      <w:pPr>
        <w:tabs>
          <w:tab w:val="left" w:pos="426"/>
        </w:tabs>
        <w:ind w:left="426"/>
        <w:rPr>
          <w:rFonts w:ascii="Arial" w:hAnsi="Arial" w:cs="Arial"/>
          <w:sz w:val="22"/>
          <w:szCs w:val="22"/>
        </w:rPr>
      </w:pPr>
      <w:r w:rsidRPr="00693F05">
        <w:rPr>
          <w:rFonts w:ascii="Arial" w:hAnsi="Arial" w:cs="Arial"/>
          <w:sz w:val="22"/>
          <w:szCs w:val="22"/>
        </w:rPr>
        <w:t>The weighted average duration of the PCC Group’s defined benefit obligation is 22 years for staff employed by the CC and 18 years for staff employed by the PCC, measured on the actuarial assumptions used for IAS19 purposes.</w:t>
      </w:r>
    </w:p>
    <w:p w14:paraId="6EE2F494" w14:textId="27EE2E6C" w:rsidR="0061651B" w:rsidRPr="00693F05" w:rsidRDefault="0061651B">
      <w:pPr>
        <w:rPr>
          <w:rFonts w:ascii="Arial" w:hAnsi="Arial" w:cs="Arial"/>
          <w:b/>
          <w:sz w:val="22"/>
          <w:szCs w:val="22"/>
        </w:rPr>
      </w:pPr>
    </w:p>
    <w:p w14:paraId="7F70FC25" w14:textId="1F99EB42" w:rsidR="00C67494" w:rsidRPr="00693F05" w:rsidRDefault="00C67494" w:rsidP="00C67494">
      <w:pPr>
        <w:ind w:left="426"/>
        <w:rPr>
          <w:rFonts w:ascii="Arial" w:hAnsi="Arial" w:cs="Arial"/>
          <w:b/>
          <w:sz w:val="22"/>
          <w:szCs w:val="22"/>
        </w:rPr>
      </w:pPr>
      <w:r w:rsidRPr="00693F05">
        <w:rPr>
          <w:rFonts w:ascii="Arial" w:hAnsi="Arial" w:cs="Arial"/>
          <w:b/>
          <w:sz w:val="22"/>
          <w:szCs w:val="22"/>
        </w:rPr>
        <w:t>Risks and Investment strategy:</w:t>
      </w:r>
    </w:p>
    <w:p w14:paraId="6384D0BA" w14:textId="3E7A90C0" w:rsidR="00C67494" w:rsidRPr="00693F05" w:rsidRDefault="00C67494" w:rsidP="0061651B">
      <w:pPr>
        <w:ind w:left="426"/>
        <w:rPr>
          <w:rFonts w:ascii="Arial" w:hAnsi="Arial" w:cs="Arial"/>
          <w:sz w:val="22"/>
          <w:szCs w:val="22"/>
        </w:rPr>
      </w:pPr>
      <w:r w:rsidRPr="00693F05">
        <w:rPr>
          <w:rFonts w:ascii="Arial" w:hAnsi="Arial" w:cs="Arial"/>
          <w:sz w:val="22"/>
          <w:szCs w:val="22"/>
        </w:rPr>
        <w:t>The Fund’s primary long-term risk is that the Fund’s assets will fall short of its liabilities (i.e. promised benefits payable to members). The aim of investment risk management is to balance the minimisation of the risk of an overall reduction in the value of the Fund with maximising the opportunity for gains across the whole Fund portfolio. The Fund achieves this through asset diversification to reduce exposure to market risk (price risk, currency risk and interest rate risk) and keep credit risk to an acceptable level. In addition, the Fund manages its liquidity risk to ensure there is sufficient liquidity to meet the Fund’s forecast cash flow.</w:t>
      </w:r>
    </w:p>
    <w:p w14:paraId="6B201F64" w14:textId="4353888D" w:rsidR="00040118" w:rsidRDefault="00040118">
      <w:pPr>
        <w:rPr>
          <w:rFonts w:ascii="Arial" w:hAnsi="Arial" w:cs="Arial"/>
          <w:b/>
          <w:sz w:val="22"/>
          <w:szCs w:val="22"/>
        </w:rPr>
      </w:pPr>
    </w:p>
    <w:p w14:paraId="2BBBD0A3" w14:textId="60C11A70" w:rsidR="00C67494" w:rsidRPr="00693F05" w:rsidRDefault="00C67494" w:rsidP="00C67494">
      <w:pPr>
        <w:ind w:left="426"/>
        <w:rPr>
          <w:rFonts w:ascii="Arial" w:hAnsi="Arial" w:cs="Arial"/>
          <w:b/>
          <w:sz w:val="22"/>
          <w:szCs w:val="22"/>
        </w:rPr>
      </w:pPr>
      <w:r w:rsidRPr="00693F05">
        <w:rPr>
          <w:rFonts w:ascii="Arial" w:hAnsi="Arial" w:cs="Arial"/>
          <w:b/>
          <w:sz w:val="22"/>
          <w:szCs w:val="22"/>
        </w:rPr>
        <w:t>Market Risk:</w:t>
      </w:r>
    </w:p>
    <w:p w14:paraId="5F3FD7F4"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Market risk is the risk of loss from fluctuations in equity and commodity prices, interest and foreign exchange rates and credit spreads. To mitigate market risk, the Fund and its investment advisors undertake appropriate monitoring of market conditions and benchmarking analysis.</w:t>
      </w:r>
    </w:p>
    <w:p w14:paraId="2F4C8435" w14:textId="77777777" w:rsidR="00C67494" w:rsidRPr="00693F05" w:rsidRDefault="00C67494" w:rsidP="00C67494">
      <w:pPr>
        <w:rPr>
          <w:rFonts w:ascii="Arial" w:hAnsi="Arial" w:cs="Arial"/>
          <w:b/>
          <w:sz w:val="22"/>
          <w:szCs w:val="22"/>
        </w:rPr>
      </w:pPr>
    </w:p>
    <w:p w14:paraId="2578B38E"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t>Other Price Risk:</w:t>
      </w:r>
    </w:p>
    <w:p w14:paraId="228D214F"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 xml:space="preserve">Other price risk represents the risk that the value of a financial instrument will fluctuate </w:t>
      </w:r>
      <w:proofErr w:type="gramStart"/>
      <w:r w:rsidRPr="00693F05">
        <w:rPr>
          <w:rFonts w:ascii="Arial" w:hAnsi="Arial" w:cs="Arial"/>
          <w:sz w:val="22"/>
          <w:szCs w:val="22"/>
        </w:rPr>
        <w:t>as a result of</w:t>
      </w:r>
      <w:proofErr w:type="gramEnd"/>
      <w:r w:rsidRPr="00693F05">
        <w:rPr>
          <w:rFonts w:ascii="Arial" w:hAnsi="Arial" w:cs="Arial"/>
          <w:sz w:val="22"/>
          <w:szCs w:val="22"/>
        </w:rPr>
        <w:t xml:space="preserve"> changes in market prices (other than those arising from interest rate risk or foreign exchange risk). The Fund’s investment managers mitigate this price risk through diversification. The selection of securities and other financial instruments is monitored by the Fund to ensure it is within limits specified in the fund investment strategy.</w:t>
      </w:r>
    </w:p>
    <w:p w14:paraId="1620F21F" w14:textId="5393F404" w:rsidR="0063738B" w:rsidRPr="00093BB3" w:rsidRDefault="0063738B">
      <w:pPr>
        <w:rPr>
          <w:rFonts w:ascii="Arial" w:hAnsi="Arial" w:cs="Arial"/>
          <w:b/>
          <w:sz w:val="22"/>
          <w:szCs w:val="22"/>
          <w:highlight w:val="yellow"/>
        </w:rPr>
      </w:pPr>
    </w:p>
    <w:p w14:paraId="0BB377D9" w14:textId="1EDCC291" w:rsidR="00C67494" w:rsidRPr="00693F05" w:rsidRDefault="00C67494" w:rsidP="00C67494">
      <w:pPr>
        <w:ind w:left="426"/>
        <w:rPr>
          <w:rFonts w:ascii="Arial" w:hAnsi="Arial" w:cs="Arial"/>
          <w:b/>
          <w:sz w:val="22"/>
          <w:szCs w:val="22"/>
        </w:rPr>
      </w:pPr>
      <w:r w:rsidRPr="00693F05">
        <w:rPr>
          <w:rFonts w:ascii="Arial" w:hAnsi="Arial" w:cs="Arial"/>
          <w:b/>
          <w:sz w:val="22"/>
          <w:szCs w:val="22"/>
        </w:rPr>
        <w:t>Interest Rate Risk:</w:t>
      </w:r>
    </w:p>
    <w:p w14:paraId="7F096A76"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The Fund invests in financial assets for the primary purpose of obtaining a return on investments. These investments are subject to interest rate risks, which represent the risks that the fair value of future cash flow of a financial instrument will fluctuate because of changes in market interest rates. The Fund’s interest rate risk is routinely monitored by the Investment Panel and its investment advisors.</w:t>
      </w:r>
    </w:p>
    <w:p w14:paraId="4CDD99CD" w14:textId="4CE3B135" w:rsidR="00C67494" w:rsidRPr="00693F05" w:rsidRDefault="00C67494" w:rsidP="00C67494">
      <w:pPr>
        <w:rPr>
          <w:rFonts w:ascii="Arial" w:hAnsi="Arial" w:cs="Arial"/>
          <w:b/>
          <w:sz w:val="22"/>
          <w:szCs w:val="22"/>
        </w:rPr>
      </w:pPr>
    </w:p>
    <w:p w14:paraId="6C623C37"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t>Currency risk:</w:t>
      </w:r>
    </w:p>
    <w:p w14:paraId="0FACF5A8"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Currency risk represents the risk that the fair value cash flow of a financial instrument will fluctuate because of changes in foreign exchange rates. The Fund’s currency rate risk is routinely monitored by the Fund and its investment advisors in accordance with the Fund’s risk management strategy.</w:t>
      </w:r>
    </w:p>
    <w:p w14:paraId="7958E241" w14:textId="77777777" w:rsidR="00C67494" w:rsidRPr="00693F05" w:rsidRDefault="00C67494" w:rsidP="00C67494">
      <w:pPr>
        <w:ind w:left="426"/>
        <w:rPr>
          <w:rFonts w:ascii="Arial" w:hAnsi="Arial" w:cs="Arial"/>
          <w:b/>
          <w:sz w:val="22"/>
          <w:szCs w:val="22"/>
        </w:rPr>
      </w:pPr>
    </w:p>
    <w:p w14:paraId="61ECC89A"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lastRenderedPageBreak/>
        <w:t>Credit risk:</w:t>
      </w:r>
    </w:p>
    <w:p w14:paraId="53D8B8DA"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Credit risk represents the risk that the counterparty to a transaction or a financial instrument will fail to discharge an obligation and cause the Fund to incur financial loss. Credit risk is minimised by ensuring that counterparties meet the Fund’s credit criteria. The Fund has also set limits as to the maximum percentage of the deposits placed with any class of financial institution.</w:t>
      </w:r>
    </w:p>
    <w:p w14:paraId="3C38552B" w14:textId="77777777" w:rsidR="00C67494" w:rsidRPr="00693F05" w:rsidRDefault="00C67494" w:rsidP="00C67494">
      <w:pPr>
        <w:ind w:left="426"/>
        <w:rPr>
          <w:rFonts w:ascii="Arial" w:hAnsi="Arial" w:cs="Arial"/>
          <w:sz w:val="22"/>
          <w:szCs w:val="22"/>
        </w:rPr>
      </w:pPr>
    </w:p>
    <w:p w14:paraId="58282185"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t>Liquidity risks:</w:t>
      </w:r>
    </w:p>
    <w:p w14:paraId="169ACF6C"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Liquidity risk represents the risk that the Fund will not be able to meet its financial obligations as they fall due. The Fund therefore takes steps to ensure that there are adequate cash resources to meet its commitments, and the Fund has immediate access to its cash holdings.</w:t>
      </w:r>
    </w:p>
    <w:p w14:paraId="4C142F7C" w14:textId="77777777" w:rsidR="00C67494" w:rsidRPr="00693F05" w:rsidRDefault="00C67494" w:rsidP="00C67494">
      <w:pPr>
        <w:ind w:left="426"/>
        <w:rPr>
          <w:rFonts w:ascii="Arial" w:hAnsi="Arial" w:cs="Arial"/>
          <w:b/>
          <w:sz w:val="22"/>
          <w:szCs w:val="22"/>
        </w:rPr>
      </w:pPr>
    </w:p>
    <w:p w14:paraId="3D6E8C4D"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t>Other risks:</w:t>
      </w:r>
    </w:p>
    <w:p w14:paraId="55094129"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 xml:space="preserve">Actions taken by the government, or changes to European legislation, could result in stronger local funding standards, which could materially affect the employer’s cash flow. </w:t>
      </w:r>
    </w:p>
    <w:p w14:paraId="5F159DE8" w14:textId="77777777" w:rsidR="00C67494" w:rsidRPr="00693F05" w:rsidRDefault="00C67494" w:rsidP="00C67494">
      <w:pPr>
        <w:ind w:left="426"/>
        <w:rPr>
          <w:rFonts w:ascii="Arial" w:hAnsi="Arial" w:cs="Arial"/>
          <w:sz w:val="22"/>
          <w:szCs w:val="22"/>
        </w:rPr>
      </w:pPr>
    </w:p>
    <w:p w14:paraId="5B57A938"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There is a risk that changes in the assumptions (e.g. life expectancy, price inflation, discount rate) could increase the defined benefit obligation and/or the liabilities for actuarial valuation purposes. Other assumptions used to value the defined benefit obligation are also uncertain, although their effect is less material.  The sensitivity analysis included in the notes below indicates the change in the defined benefit obligation for changes in the key assumptions.</w:t>
      </w:r>
    </w:p>
    <w:p w14:paraId="7E2DA5E2" w14:textId="2884E166" w:rsidR="006E384E" w:rsidRPr="00693F05" w:rsidRDefault="006E384E">
      <w:pPr>
        <w:rPr>
          <w:rFonts w:ascii="Arial" w:hAnsi="Arial" w:cs="Arial"/>
          <w:b/>
          <w:sz w:val="22"/>
          <w:szCs w:val="22"/>
        </w:rPr>
      </w:pPr>
    </w:p>
    <w:p w14:paraId="1EDD3C28" w14:textId="514FD1BA" w:rsidR="00C67494" w:rsidRPr="00693F05" w:rsidRDefault="00C67494" w:rsidP="00C67494">
      <w:pPr>
        <w:ind w:left="426"/>
        <w:rPr>
          <w:rFonts w:ascii="Arial" w:hAnsi="Arial" w:cs="Arial"/>
          <w:b/>
          <w:sz w:val="22"/>
          <w:szCs w:val="22"/>
        </w:rPr>
      </w:pPr>
      <w:r w:rsidRPr="00693F05">
        <w:rPr>
          <w:rFonts w:ascii="Arial" w:hAnsi="Arial" w:cs="Arial"/>
          <w:b/>
          <w:sz w:val="22"/>
          <w:szCs w:val="22"/>
        </w:rPr>
        <w:t>Amendments, curtailments and settlements:</w:t>
      </w:r>
    </w:p>
    <w:p w14:paraId="28597CE3"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The provisions of the Fund were amended with effect from 1 April 2014.  For service up to 31 March 2014 benefits were based on salaries when members leave the scheme, whereas for service after that date benefits are based on career average salary.  Further details of the changes are available from the Fund’s administering authority.</w:t>
      </w:r>
    </w:p>
    <w:p w14:paraId="0C18C657" w14:textId="77777777" w:rsidR="00C67494" w:rsidRPr="00693F05" w:rsidRDefault="00C67494" w:rsidP="00C67494">
      <w:pPr>
        <w:ind w:left="426"/>
        <w:rPr>
          <w:rFonts w:ascii="Arial" w:hAnsi="Arial" w:cs="Arial"/>
          <w:sz w:val="22"/>
          <w:szCs w:val="22"/>
        </w:rPr>
      </w:pPr>
    </w:p>
    <w:p w14:paraId="2D7DC216"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Curtailments shown in the accounting figures relate to the cost of providing retirement benefits for members who retire early, to the extent that provision has not already been made for the relevant defined benefit obligations.</w:t>
      </w:r>
    </w:p>
    <w:p w14:paraId="4C8B8E99" w14:textId="77777777" w:rsidR="00C67494" w:rsidRPr="00693F05" w:rsidRDefault="00C67494" w:rsidP="00C67494">
      <w:pPr>
        <w:ind w:left="426"/>
        <w:rPr>
          <w:rFonts w:ascii="Arial" w:hAnsi="Arial" w:cs="Arial"/>
          <w:sz w:val="22"/>
          <w:szCs w:val="22"/>
        </w:rPr>
      </w:pPr>
    </w:p>
    <w:p w14:paraId="20EA5DCC" w14:textId="77777777" w:rsidR="00C67494" w:rsidRPr="00693F05" w:rsidRDefault="00C67494" w:rsidP="00C67494">
      <w:pPr>
        <w:ind w:left="426"/>
        <w:rPr>
          <w:rFonts w:ascii="Arial" w:hAnsi="Arial" w:cs="Arial"/>
          <w:b/>
          <w:sz w:val="22"/>
          <w:szCs w:val="22"/>
          <w:u w:val="single"/>
        </w:rPr>
      </w:pPr>
      <w:r w:rsidRPr="00693F05">
        <w:rPr>
          <w:rFonts w:ascii="Arial" w:hAnsi="Arial" w:cs="Arial"/>
          <w:sz w:val="22"/>
          <w:szCs w:val="22"/>
        </w:rPr>
        <w:t xml:space="preserve">Settlements shown in the accounting figures relate to the admission of new employers into the Fund, and who take on part of the employer’s assets and liabilities </w:t>
      </w:r>
      <w:proofErr w:type="gramStart"/>
      <w:r w:rsidRPr="00693F05">
        <w:rPr>
          <w:rFonts w:ascii="Arial" w:hAnsi="Arial" w:cs="Arial"/>
          <w:sz w:val="22"/>
          <w:szCs w:val="22"/>
        </w:rPr>
        <w:t>as a result of</w:t>
      </w:r>
      <w:proofErr w:type="gramEnd"/>
      <w:r w:rsidRPr="00693F05">
        <w:rPr>
          <w:rFonts w:ascii="Arial" w:hAnsi="Arial" w:cs="Arial"/>
          <w:sz w:val="22"/>
          <w:szCs w:val="22"/>
        </w:rPr>
        <w:t xml:space="preserve"> employing members who have accrued benefits with the employer.</w:t>
      </w:r>
    </w:p>
    <w:p w14:paraId="2BC4B420" w14:textId="6E051A70" w:rsidR="00C67494" w:rsidRPr="00693F05" w:rsidRDefault="00C67494" w:rsidP="00C67494">
      <w:pPr>
        <w:ind w:left="426"/>
        <w:rPr>
          <w:rFonts w:ascii="Arial" w:hAnsi="Arial" w:cs="Arial"/>
          <w:b/>
          <w:sz w:val="22"/>
          <w:szCs w:val="22"/>
          <w:u w:val="single"/>
        </w:rPr>
      </w:pPr>
      <w:r w:rsidRPr="00693F05">
        <w:rPr>
          <w:rFonts w:ascii="Arial" w:hAnsi="Arial" w:cs="Arial"/>
          <w:b/>
          <w:sz w:val="22"/>
          <w:szCs w:val="22"/>
          <w:u w:val="single"/>
        </w:rPr>
        <w:t>Police Pensions Schemes</w:t>
      </w:r>
    </w:p>
    <w:p w14:paraId="343EFFB9" w14:textId="77777777" w:rsidR="00C67494" w:rsidRPr="00693F05" w:rsidRDefault="00C67494" w:rsidP="00C67494">
      <w:pPr>
        <w:ind w:left="426"/>
        <w:rPr>
          <w:rFonts w:ascii="Arial" w:hAnsi="Arial" w:cs="Arial"/>
          <w:sz w:val="22"/>
          <w:szCs w:val="22"/>
        </w:rPr>
      </w:pPr>
    </w:p>
    <w:p w14:paraId="6FE53CB6"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t>Governance:</w:t>
      </w:r>
    </w:p>
    <w:p w14:paraId="48571085"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 xml:space="preserve">These arrangements are managed by the employer, although this essentially involves administering the plan, including managing its cash flows. The requirement to set up Police Pension boards has resulted in the setting up of a </w:t>
      </w:r>
      <w:proofErr w:type="gramStart"/>
      <w:r w:rsidRPr="00693F05">
        <w:rPr>
          <w:rFonts w:ascii="Arial" w:hAnsi="Arial" w:cs="Arial"/>
          <w:sz w:val="22"/>
          <w:szCs w:val="22"/>
        </w:rPr>
        <w:t>North West</w:t>
      </w:r>
      <w:proofErr w:type="gramEnd"/>
      <w:r w:rsidRPr="00693F05">
        <w:rPr>
          <w:rFonts w:ascii="Arial" w:hAnsi="Arial" w:cs="Arial"/>
          <w:sz w:val="22"/>
          <w:szCs w:val="22"/>
        </w:rPr>
        <w:t xml:space="preserve"> region Police Pension board which is administered by the Constabulary. The Board comprises employer representatives as well as representatives of the individual scheme managers and carries out a variety of activities to assess governance arrangements.</w:t>
      </w:r>
    </w:p>
    <w:p w14:paraId="43BDA1F4" w14:textId="2C1ED56D" w:rsidR="0063738B" w:rsidRPr="00093BB3" w:rsidRDefault="0063738B">
      <w:pPr>
        <w:rPr>
          <w:rFonts w:ascii="Arial" w:hAnsi="Arial" w:cs="Arial"/>
          <w:b/>
          <w:sz w:val="22"/>
          <w:szCs w:val="22"/>
          <w:highlight w:val="yellow"/>
        </w:rPr>
      </w:pPr>
    </w:p>
    <w:p w14:paraId="594F6BC0" w14:textId="08F540A5" w:rsidR="00C67494" w:rsidRPr="00FE4BC9" w:rsidRDefault="00C67494" w:rsidP="00C67494">
      <w:pPr>
        <w:ind w:left="426"/>
        <w:rPr>
          <w:rFonts w:ascii="Arial" w:hAnsi="Arial" w:cs="Arial"/>
          <w:b/>
          <w:sz w:val="22"/>
          <w:szCs w:val="22"/>
        </w:rPr>
      </w:pPr>
      <w:r w:rsidRPr="00FE4BC9">
        <w:rPr>
          <w:rFonts w:ascii="Arial" w:hAnsi="Arial" w:cs="Arial"/>
          <w:b/>
          <w:sz w:val="22"/>
          <w:szCs w:val="22"/>
        </w:rPr>
        <w:t>Funding the liabilities:</w:t>
      </w:r>
    </w:p>
    <w:p w14:paraId="56E58C3A" w14:textId="34435368" w:rsidR="00C67494" w:rsidRPr="00693F05" w:rsidRDefault="00C67494" w:rsidP="00C67494">
      <w:pPr>
        <w:tabs>
          <w:tab w:val="left" w:pos="426"/>
        </w:tabs>
        <w:ind w:left="426"/>
        <w:rPr>
          <w:rFonts w:ascii="Arial" w:hAnsi="Arial" w:cs="Arial"/>
          <w:sz w:val="22"/>
          <w:szCs w:val="22"/>
        </w:rPr>
      </w:pPr>
      <w:r w:rsidRPr="00FE4BC9">
        <w:rPr>
          <w:rFonts w:ascii="Arial" w:hAnsi="Arial" w:cs="Arial"/>
          <w:sz w:val="22"/>
          <w:szCs w:val="22"/>
        </w:rPr>
        <w:t xml:space="preserve">Given that the arrangements are unfunded, the contributions payable </w:t>
      </w:r>
      <w:proofErr w:type="gramStart"/>
      <w:r w:rsidRPr="00FE4BC9">
        <w:rPr>
          <w:rFonts w:ascii="Arial" w:hAnsi="Arial" w:cs="Arial"/>
          <w:sz w:val="22"/>
          <w:szCs w:val="22"/>
        </w:rPr>
        <w:t>are</w:t>
      </w:r>
      <w:proofErr w:type="gramEnd"/>
      <w:r w:rsidRPr="00FE4BC9">
        <w:rPr>
          <w:rFonts w:ascii="Arial" w:hAnsi="Arial" w:cs="Arial"/>
          <w:sz w:val="22"/>
          <w:szCs w:val="22"/>
        </w:rPr>
        <w:t xml:space="preserve"> simply those which are sufficient to meet the benefit outgo as and when it arises.  As mentioned above, this benefit outgo is largely underwritten by central government.  The weighted average duration of the liabilities is 20 years in respect of the 1987 scheme, 31 years in respect of the 2006 scheme and 41 years in respect of the 2015 scheme (injury awards have a duration of 24 years), measured on the actuarial assumptions used for IAS19 purposes. </w:t>
      </w:r>
      <w:r w:rsidRPr="00693F05">
        <w:rPr>
          <w:rFonts w:ascii="Arial" w:hAnsi="Arial" w:cs="Arial"/>
          <w:sz w:val="22"/>
          <w:szCs w:val="22"/>
        </w:rPr>
        <w:t>The PCC Group anticipates paying £</w:t>
      </w:r>
      <w:r w:rsidR="006E384E" w:rsidRPr="00693F05">
        <w:rPr>
          <w:rFonts w:ascii="Arial" w:hAnsi="Arial" w:cs="Arial"/>
          <w:sz w:val="22"/>
          <w:szCs w:val="22"/>
        </w:rPr>
        <w:t>1</w:t>
      </w:r>
      <w:r w:rsidR="00693F05" w:rsidRPr="00693F05">
        <w:rPr>
          <w:rFonts w:ascii="Arial" w:hAnsi="Arial" w:cs="Arial"/>
          <w:sz w:val="22"/>
          <w:szCs w:val="22"/>
        </w:rPr>
        <w:t>1</w:t>
      </w:r>
      <w:r w:rsidR="006E384E" w:rsidRPr="00693F05">
        <w:rPr>
          <w:rFonts w:ascii="Arial" w:hAnsi="Arial" w:cs="Arial"/>
          <w:sz w:val="22"/>
          <w:szCs w:val="22"/>
        </w:rPr>
        <w:t>1</w:t>
      </w:r>
      <w:r w:rsidRPr="00693F05">
        <w:rPr>
          <w:rFonts w:ascii="Arial" w:hAnsi="Arial" w:cs="Arial"/>
          <w:sz w:val="22"/>
          <w:szCs w:val="22"/>
        </w:rPr>
        <w:t>.</w:t>
      </w:r>
      <w:r w:rsidR="00693F05" w:rsidRPr="00693F05">
        <w:rPr>
          <w:rFonts w:ascii="Arial" w:hAnsi="Arial" w:cs="Arial"/>
          <w:sz w:val="22"/>
          <w:szCs w:val="22"/>
        </w:rPr>
        <w:t>9</w:t>
      </w:r>
      <w:r w:rsidR="006E384E" w:rsidRPr="00693F05">
        <w:rPr>
          <w:rFonts w:ascii="Arial" w:hAnsi="Arial" w:cs="Arial"/>
          <w:sz w:val="22"/>
          <w:szCs w:val="22"/>
        </w:rPr>
        <w:t>7</w:t>
      </w:r>
      <w:r w:rsidRPr="00693F05">
        <w:rPr>
          <w:rFonts w:ascii="Arial" w:hAnsi="Arial" w:cs="Arial"/>
          <w:sz w:val="22"/>
          <w:szCs w:val="22"/>
        </w:rPr>
        <w:t xml:space="preserve">m contributions to the Police Schemes in </w:t>
      </w:r>
      <w:r w:rsidR="00C37E7F" w:rsidRPr="00693F05">
        <w:rPr>
          <w:rFonts w:ascii="Arial" w:hAnsi="Arial" w:cs="Arial"/>
          <w:sz w:val="22"/>
          <w:szCs w:val="22"/>
        </w:rPr>
        <w:t>202</w:t>
      </w:r>
      <w:r w:rsidR="00693F05">
        <w:rPr>
          <w:rFonts w:ascii="Arial" w:hAnsi="Arial" w:cs="Arial"/>
          <w:sz w:val="22"/>
          <w:szCs w:val="22"/>
        </w:rPr>
        <w:t>5</w:t>
      </w:r>
      <w:r w:rsidR="00C37E7F" w:rsidRPr="00693F05">
        <w:rPr>
          <w:rFonts w:ascii="Arial" w:hAnsi="Arial" w:cs="Arial"/>
          <w:sz w:val="22"/>
          <w:szCs w:val="22"/>
        </w:rPr>
        <w:t>/2</w:t>
      </w:r>
      <w:r w:rsidR="00693F05">
        <w:rPr>
          <w:rFonts w:ascii="Arial" w:hAnsi="Arial" w:cs="Arial"/>
          <w:sz w:val="22"/>
          <w:szCs w:val="22"/>
        </w:rPr>
        <w:t>6</w:t>
      </w:r>
      <w:r w:rsidRPr="00693F05">
        <w:rPr>
          <w:rFonts w:ascii="Arial" w:hAnsi="Arial" w:cs="Arial"/>
          <w:sz w:val="22"/>
          <w:szCs w:val="22"/>
        </w:rPr>
        <w:t>.</w:t>
      </w:r>
    </w:p>
    <w:p w14:paraId="3F4160FE" w14:textId="77777777" w:rsidR="00C67494" w:rsidRPr="00093BB3" w:rsidRDefault="00C67494" w:rsidP="00C67494">
      <w:pPr>
        <w:tabs>
          <w:tab w:val="left" w:pos="426"/>
        </w:tabs>
        <w:ind w:left="426"/>
        <w:rPr>
          <w:rFonts w:ascii="Arial" w:hAnsi="Arial" w:cs="Arial"/>
          <w:sz w:val="22"/>
          <w:szCs w:val="22"/>
          <w:highlight w:val="yellow"/>
        </w:rPr>
      </w:pPr>
    </w:p>
    <w:p w14:paraId="4A32B488"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t>Investment Risks:</w:t>
      </w:r>
    </w:p>
    <w:p w14:paraId="1644B175"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 xml:space="preserve">There are no investment risks in relation to these arrangements, given their unfunded nature.  The greatest single risk is that the government could change the arrangements for meeting part of the benefit outgo, which could increase the employer’s contributions to them. </w:t>
      </w:r>
    </w:p>
    <w:p w14:paraId="64588621" w14:textId="77777777" w:rsidR="00C67494" w:rsidRPr="00693F05" w:rsidRDefault="00C67494" w:rsidP="00C67494">
      <w:pPr>
        <w:ind w:left="426"/>
        <w:rPr>
          <w:rFonts w:ascii="Arial" w:hAnsi="Arial" w:cs="Arial"/>
          <w:sz w:val="22"/>
          <w:szCs w:val="22"/>
        </w:rPr>
      </w:pPr>
    </w:p>
    <w:p w14:paraId="331E9BC5" w14:textId="77777777" w:rsidR="00C67494" w:rsidRPr="00693F05" w:rsidRDefault="00C67494" w:rsidP="00C67494">
      <w:pPr>
        <w:ind w:left="426"/>
        <w:rPr>
          <w:rFonts w:ascii="Arial" w:hAnsi="Arial" w:cs="Arial"/>
          <w:b/>
          <w:sz w:val="22"/>
          <w:szCs w:val="22"/>
        </w:rPr>
      </w:pPr>
      <w:r w:rsidRPr="00693F05">
        <w:rPr>
          <w:rFonts w:ascii="Arial" w:hAnsi="Arial" w:cs="Arial"/>
          <w:b/>
          <w:sz w:val="22"/>
          <w:szCs w:val="22"/>
        </w:rPr>
        <w:lastRenderedPageBreak/>
        <w:t>Other risks:</w:t>
      </w:r>
    </w:p>
    <w:p w14:paraId="384AB11B" w14:textId="77777777" w:rsidR="00C67494" w:rsidRPr="00693F05" w:rsidRDefault="00C67494" w:rsidP="00C67494">
      <w:pPr>
        <w:ind w:left="426"/>
        <w:rPr>
          <w:rFonts w:ascii="Arial" w:hAnsi="Arial" w:cs="Arial"/>
          <w:sz w:val="22"/>
          <w:szCs w:val="22"/>
        </w:rPr>
      </w:pPr>
      <w:r w:rsidRPr="00693F05">
        <w:rPr>
          <w:rFonts w:ascii="Arial" w:hAnsi="Arial" w:cs="Arial"/>
          <w:sz w:val="22"/>
          <w:szCs w:val="22"/>
        </w:rPr>
        <w:t>There is a risk that changes in the assumptions (e.g. life expectancy, price inflation, discount rate) could increase the defined benefit obligation. Other assumptions used to value the defined benefit obligation are also uncertain, although their effect is less material.  The sensitivity analysis above indicates the change in the defined benefit obligation for changes in the key assumptions.</w:t>
      </w:r>
    </w:p>
    <w:p w14:paraId="247918CD" w14:textId="5CFAE754" w:rsidR="006673F2" w:rsidRPr="00093BB3" w:rsidRDefault="006673F2">
      <w:pPr>
        <w:rPr>
          <w:rFonts w:ascii="Arial" w:hAnsi="Arial" w:cs="Arial"/>
          <w:sz w:val="22"/>
          <w:szCs w:val="22"/>
          <w:highlight w:val="yellow"/>
          <w:u w:val="single"/>
        </w:rPr>
      </w:pPr>
    </w:p>
    <w:p w14:paraId="1DF25CB0" w14:textId="77777777" w:rsidR="00D459D2" w:rsidRPr="00D459D2" w:rsidRDefault="00D459D2" w:rsidP="00D459D2">
      <w:pPr>
        <w:ind w:left="426"/>
        <w:jc w:val="both"/>
        <w:rPr>
          <w:rFonts w:ascii="Arial" w:hAnsi="Arial"/>
          <w:b/>
          <w:sz w:val="22"/>
          <w:szCs w:val="22"/>
        </w:rPr>
      </w:pPr>
      <w:r w:rsidRPr="00D459D2">
        <w:rPr>
          <w:rFonts w:ascii="Arial" w:hAnsi="Arial"/>
          <w:b/>
          <w:sz w:val="22"/>
          <w:szCs w:val="22"/>
        </w:rPr>
        <w:t>McCloud Remedy</w:t>
      </w:r>
    </w:p>
    <w:p w14:paraId="75DA8FAB" w14:textId="77777777" w:rsidR="00D459D2" w:rsidRPr="00D459D2" w:rsidRDefault="00D459D2" w:rsidP="00D459D2">
      <w:pPr>
        <w:ind w:left="426"/>
        <w:jc w:val="both"/>
        <w:rPr>
          <w:rFonts w:ascii="Arial" w:hAnsi="Arial"/>
          <w:b/>
          <w:sz w:val="22"/>
          <w:szCs w:val="22"/>
        </w:rPr>
      </w:pPr>
    </w:p>
    <w:p w14:paraId="5CC69B1D" w14:textId="77777777" w:rsidR="00D459D2" w:rsidRPr="00D459D2" w:rsidRDefault="00D459D2" w:rsidP="00D459D2">
      <w:pPr>
        <w:ind w:left="426"/>
        <w:jc w:val="both"/>
        <w:rPr>
          <w:rFonts w:ascii="Arial" w:hAnsi="Arial"/>
          <w:bCs/>
          <w:sz w:val="22"/>
          <w:szCs w:val="22"/>
        </w:rPr>
      </w:pPr>
      <w:r w:rsidRPr="00D459D2">
        <w:rPr>
          <w:rFonts w:ascii="Arial" w:hAnsi="Arial"/>
          <w:bCs/>
          <w:sz w:val="22"/>
          <w:szCs w:val="22"/>
        </w:rPr>
        <w:t xml:space="preserve">The McCloud remedy window ran from 1 April 2015 to 31 March 2022. Eligible members will be able to elect which scheme they wish to receive benefits from for this period. Due to the differing benefits structures, we expect </w:t>
      </w:r>
      <w:proofErr w:type="gramStart"/>
      <w:r w:rsidRPr="00D459D2">
        <w:rPr>
          <w:rFonts w:ascii="Arial" w:hAnsi="Arial"/>
          <w:bCs/>
          <w:sz w:val="22"/>
          <w:szCs w:val="22"/>
        </w:rPr>
        <w:t>the majority of</w:t>
      </w:r>
      <w:proofErr w:type="gramEnd"/>
      <w:r w:rsidRPr="00D459D2">
        <w:rPr>
          <w:rFonts w:ascii="Arial" w:hAnsi="Arial"/>
          <w:bCs/>
          <w:sz w:val="22"/>
          <w:szCs w:val="22"/>
        </w:rPr>
        <w:t xml:space="preserve"> eligible police members to elect to take legacy scheme (1987 Scheme or 2006 Scheme) benefits for the remedy period. </w:t>
      </w:r>
    </w:p>
    <w:p w14:paraId="4A399B73" w14:textId="77777777" w:rsidR="00D459D2" w:rsidRPr="00D459D2" w:rsidRDefault="00D459D2" w:rsidP="00D459D2">
      <w:pPr>
        <w:ind w:left="426"/>
        <w:jc w:val="both"/>
        <w:rPr>
          <w:rFonts w:ascii="Arial" w:hAnsi="Arial"/>
          <w:bCs/>
          <w:sz w:val="22"/>
          <w:szCs w:val="22"/>
        </w:rPr>
      </w:pPr>
    </w:p>
    <w:p w14:paraId="1F0D648B" w14:textId="77777777" w:rsidR="00D459D2" w:rsidRPr="00D459D2" w:rsidRDefault="00D459D2" w:rsidP="00D459D2">
      <w:pPr>
        <w:ind w:left="426"/>
        <w:jc w:val="both"/>
        <w:rPr>
          <w:rFonts w:ascii="Arial" w:hAnsi="Arial"/>
          <w:bCs/>
          <w:sz w:val="22"/>
          <w:szCs w:val="22"/>
        </w:rPr>
      </w:pPr>
      <w:r w:rsidRPr="00D459D2">
        <w:rPr>
          <w:rFonts w:ascii="Arial" w:hAnsi="Arial"/>
          <w:bCs/>
          <w:sz w:val="22"/>
          <w:szCs w:val="22"/>
        </w:rPr>
        <w:t xml:space="preserve">An allowance for McCloud remedy was first included in the 2018/19 disclosures as a past service cost for four years remedy service from 2015-2019. This past service cost was attributed proportionally to the 1987 and 2006 schemes. For subsequent years to 2021/22, an allowance was made in the 2015 service costs for the annual accrual of additional remedy service. </w:t>
      </w:r>
    </w:p>
    <w:p w14:paraId="5FD6F333" w14:textId="77777777" w:rsidR="00D459D2" w:rsidRPr="00D459D2" w:rsidRDefault="00D459D2" w:rsidP="00D459D2">
      <w:pPr>
        <w:ind w:left="426"/>
        <w:jc w:val="both"/>
        <w:rPr>
          <w:rFonts w:ascii="Arial" w:hAnsi="Arial"/>
          <w:bCs/>
          <w:sz w:val="22"/>
          <w:szCs w:val="22"/>
        </w:rPr>
      </w:pPr>
    </w:p>
    <w:p w14:paraId="60BF33B8" w14:textId="2D433D2D" w:rsidR="00C67494" w:rsidRPr="00093BB3" w:rsidRDefault="00D459D2" w:rsidP="00D459D2">
      <w:pPr>
        <w:ind w:left="426"/>
        <w:jc w:val="both"/>
        <w:rPr>
          <w:rFonts w:ascii="Arial" w:hAnsi="Arial" w:cs="Arial"/>
          <w:sz w:val="22"/>
          <w:szCs w:val="22"/>
          <w:highlight w:val="yellow"/>
        </w:rPr>
      </w:pPr>
      <w:r w:rsidRPr="00D459D2">
        <w:rPr>
          <w:rFonts w:ascii="Arial" w:hAnsi="Arial"/>
          <w:bCs/>
          <w:sz w:val="22"/>
          <w:szCs w:val="22"/>
        </w:rPr>
        <w:t>Now that the remedy window is closed, all McCloud related liabilities have moved for eligible members for the period 2019 to 2022 to the associated legacy schemes. This means all McCloud liabilities are held within the legacy scheme where benefits are expected to be paid from</w:t>
      </w:r>
      <w:r w:rsidRPr="00D459D2">
        <w:rPr>
          <w:rFonts w:ascii="Arial" w:hAnsi="Arial"/>
          <w:b/>
          <w:sz w:val="22"/>
          <w:szCs w:val="22"/>
        </w:rPr>
        <w:t xml:space="preserve">. </w:t>
      </w:r>
    </w:p>
    <w:p w14:paraId="223009F0" w14:textId="77777777" w:rsidR="00C67494" w:rsidRPr="00093BB3" w:rsidRDefault="00C67494" w:rsidP="00C67494">
      <w:pPr>
        <w:ind w:left="426"/>
        <w:jc w:val="both"/>
        <w:rPr>
          <w:rFonts w:ascii="Arial" w:hAnsi="Arial" w:cs="Arial"/>
          <w:sz w:val="22"/>
          <w:szCs w:val="22"/>
          <w:highlight w:val="yellow"/>
        </w:rPr>
      </w:pPr>
    </w:p>
    <w:p w14:paraId="27FA0BD7" w14:textId="77777777" w:rsidR="00C67494" w:rsidRDefault="00C67494" w:rsidP="00C67494">
      <w:pPr>
        <w:ind w:left="426"/>
        <w:jc w:val="both"/>
        <w:rPr>
          <w:rFonts w:ascii="Arial" w:hAnsi="Arial" w:cs="Arial"/>
          <w:sz w:val="22"/>
          <w:szCs w:val="22"/>
        </w:rPr>
      </w:pPr>
      <w:r w:rsidRPr="00DD3CD0">
        <w:rPr>
          <w:rFonts w:ascii="Arial" w:hAnsi="Arial" w:cs="Arial"/>
          <w:sz w:val="22"/>
          <w:szCs w:val="22"/>
        </w:rPr>
        <w:t>As a result, there is no underlying change in method/approach to the IAS19 liability estimate. The IAS 19 liability estimate will therefore roll-forward the McCloud impact with a further 1 year of benefits recognised.</w:t>
      </w:r>
    </w:p>
    <w:p w14:paraId="0F014894" w14:textId="6FAB51D8" w:rsidR="00C006F5" w:rsidRDefault="00C006F5">
      <w:pPr>
        <w:rPr>
          <w:rFonts w:ascii="Arial" w:hAnsi="Arial" w:cs="Arial"/>
          <w:b/>
          <w:bCs/>
          <w:sz w:val="22"/>
          <w:szCs w:val="22"/>
          <w:u w:val="single"/>
        </w:rPr>
      </w:pPr>
      <w:bookmarkStart w:id="32" w:name="_Hlk208843484"/>
    </w:p>
    <w:p w14:paraId="633CD5D4" w14:textId="43938FD2" w:rsidR="006854D6" w:rsidRDefault="005B42F3" w:rsidP="00C67494">
      <w:pPr>
        <w:ind w:left="426"/>
        <w:jc w:val="both"/>
        <w:rPr>
          <w:rFonts w:ascii="Arial" w:hAnsi="Arial" w:cs="Arial"/>
          <w:b/>
          <w:bCs/>
          <w:sz w:val="22"/>
          <w:szCs w:val="22"/>
          <w:u w:val="single"/>
        </w:rPr>
      </w:pPr>
      <w:r>
        <w:rPr>
          <w:rFonts w:ascii="Arial" w:hAnsi="Arial" w:cs="Arial"/>
          <w:b/>
          <w:bCs/>
          <w:sz w:val="22"/>
          <w:szCs w:val="22"/>
          <w:u w:val="single"/>
        </w:rPr>
        <w:t>Virgin Media Court Case</w:t>
      </w:r>
    </w:p>
    <w:p w14:paraId="4F9C0267" w14:textId="77777777" w:rsidR="005B42F3" w:rsidRDefault="005B42F3" w:rsidP="00C67494">
      <w:pPr>
        <w:ind w:left="426"/>
        <w:jc w:val="both"/>
        <w:rPr>
          <w:rFonts w:ascii="Arial" w:hAnsi="Arial" w:cs="Arial"/>
          <w:b/>
          <w:bCs/>
          <w:sz w:val="22"/>
          <w:szCs w:val="22"/>
          <w:u w:val="single"/>
        </w:rPr>
      </w:pPr>
    </w:p>
    <w:p w14:paraId="06595377" w14:textId="11909C39" w:rsidR="005B42F3" w:rsidRDefault="005B42F3" w:rsidP="00C67494">
      <w:pPr>
        <w:ind w:left="426"/>
        <w:jc w:val="both"/>
        <w:rPr>
          <w:rFonts w:ascii="Arial" w:hAnsi="Arial" w:cs="Arial"/>
          <w:sz w:val="22"/>
          <w:szCs w:val="22"/>
        </w:rPr>
      </w:pPr>
      <w:r>
        <w:rPr>
          <w:rFonts w:ascii="Arial" w:hAnsi="Arial" w:cs="Arial"/>
          <w:sz w:val="22"/>
          <w:szCs w:val="22"/>
        </w:rPr>
        <w:t xml:space="preserve">In June 2023, a High Court Judgement in the case of Virgin Media vs NTL Pensions Trustees II Limited provided a ruling related to Section 37 of the Pension Scheme Act 1993 and changes to scheme rules. </w:t>
      </w:r>
    </w:p>
    <w:p w14:paraId="4129ED7E" w14:textId="77777777" w:rsidR="005B42F3" w:rsidRDefault="005B42F3" w:rsidP="00C67494">
      <w:pPr>
        <w:ind w:left="426"/>
        <w:jc w:val="both"/>
        <w:rPr>
          <w:rFonts w:ascii="Arial" w:hAnsi="Arial" w:cs="Arial"/>
          <w:sz w:val="22"/>
          <w:szCs w:val="22"/>
        </w:rPr>
      </w:pPr>
    </w:p>
    <w:p w14:paraId="49852518" w14:textId="6355A7D0" w:rsidR="005B42F3" w:rsidRDefault="005B42F3" w:rsidP="00C67494">
      <w:pPr>
        <w:ind w:left="426"/>
        <w:jc w:val="both"/>
        <w:rPr>
          <w:rFonts w:ascii="Arial" w:hAnsi="Arial" w:cs="Arial"/>
          <w:sz w:val="22"/>
          <w:szCs w:val="22"/>
        </w:rPr>
      </w:pPr>
      <w:r>
        <w:rPr>
          <w:rFonts w:ascii="Arial" w:hAnsi="Arial" w:cs="Arial"/>
          <w:sz w:val="22"/>
          <w:szCs w:val="22"/>
        </w:rPr>
        <w:t xml:space="preserve">Here the “scheme” is the </w:t>
      </w:r>
      <w:proofErr w:type="gramStart"/>
      <w:r>
        <w:rPr>
          <w:rFonts w:ascii="Arial" w:hAnsi="Arial" w:cs="Arial"/>
          <w:sz w:val="22"/>
          <w:szCs w:val="22"/>
        </w:rPr>
        <w:t>LGPS as a whole, rather</w:t>
      </w:r>
      <w:proofErr w:type="gramEnd"/>
      <w:r>
        <w:rPr>
          <w:rFonts w:ascii="Arial" w:hAnsi="Arial" w:cs="Arial"/>
          <w:sz w:val="22"/>
          <w:szCs w:val="22"/>
        </w:rPr>
        <w:t xml:space="preserve"> than any specific LGPS Fund. As such any relevant changes and considerations are overseen by Government rather than at individual fund level. The current understanding is that while HM Treasury are still assessing the implications, they believe that any relevant amendments to </w:t>
      </w:r>
      <w:r w:rsidR="004878E3">
        <w:rPr>
          <w:rFonts w:ascii="Arial" w:hAnsi="Arial" w:cs="Arial"/>
          <w:sz w:val="22"/>
          <w:szCs w:val="22"/>
        </w:rPr>
        <w:t>public service schemes would have been made by legislation.</w:t>
      </w:r>
    </w:p>
    <w:p w14:paraId="4C9467E5" w14:textId="77777777" w:rsidR="004878E3" w:rsidRDefault="004878E3" w:rsidP="00C67494">
      <w:pPr>
        <w:ind w:left="426"/>
        <w:jc w:val="both"/>
        <w:rPr>
          <w:rFonts w:ascii="Arial" w:hAnsi="Arial" w:cs="Arial"/>
          <w:sz w:val="22"/>
          <w:szCs w:val="22"/>
        </w:rPr>
      </w:pPr>
    </w:p>
    <w:p w14:paraId="6BD71D99" w14:textId="3FAAC434" w:rsidR="004878E3" w:rsidRDefault="00204FC1" w:rsidP="00C67494">
      <w:pPr>
        <w:ind w:left="426"/>
        <w:jc w:val="both"/>
        <w:rPr>
          <w:rFonts w:ascii="Arial" w:hAnsi="Arial" w:cs="Arial"/>
          <w:sz w:val="22"/>
          <w:szCs w:val="22"/>
        </w:rPr>
      </w:pPr>
      <w:r>
        <w:rPr>
          <w:rFonts w:ascii="Arial" w:hAnsi="Arial" w:cs="Arial"/>
          <w:sz w:val="22"/>
          <w:szCs w:val="22"/>
        </w:rPr>
        <w:t>Therefore,</w:t>
      </w:r>
      <w:r w:rsidR="004878E3">
        <w:rPr>
          <w:rFonts w:ascii="Arial" w:hAnsi="Arial" w:cs="Arial"/>
          <w:sz w:val="22"/>
          <w:szCs w:val="22"/>
        </w:rPr>
        <w:t xml:space="preserve"> their view the general position in public law is that legislation remains valid until it is revoked or repealed by subsequent legislation or, in the case of regulations, specifically declared void by a court.</w:t>
      </w:r>
    </w:p>
    <w:p w14:paraId="78450659" w14:textId="77777777" w:rsidR="004878E3" w:rsidRDefault="004878E3" w:rsidP="00C67494">
      <w:pPr>
        <w:ind w:left="426"/>
        <w:jc w:val="both"/>
        <w:rPr>
          <w:rFonts w:ascii="Arial" w:hAnsi="Arial" w:cs="Arial"/>
          <w:sz w:val="22"/>
          <w:szCs w:val="22"/>
        </w:rPr>
      </w:pPr>
    </w:p>
    <w:p w14:paraId="4846FC7A" w14:textId="34A830A5" w:rsidR="004878E3" w:rsidRPr="005B42F3" w:rsidRDefault="004878E3" w:rsidP="00C67494">
      <w:pPr>
        <w:ind w:left="426"/>
        <w:jc w:val="both"/>
        <w:rPr>
          <w:rFonts w:ascii="Arial" w:hAnsi="Arial" w:cs="Arial"/>
          <w:sz w:val="22"/>
          <w:szCs w:val="22"/>
        </w:rPr>
      </w:pPr>
      <w:r>
        <w:rPr>
          <w:rFonts w:ascii="Arial" w:hAnsi="Arial" w:cs="Arial"/>
          <w:sz w:val="22"/>
          <w:szCs w:val="22"/>
        </w:rPr>
        <w:t xml:space="preserve">Given the uncertainty over the applicability of the ruling for the LGPS, any potential Government response if it is found to apply, and unknown impact on benefits if it were to be confirmed that amendments to the LGPS are required, we have decided in conjunction with our actuary to not </w:t>
      </w:r>
      <w:r w:rsidR="00DC2030">
        <w:rPr>
          <w:rFonts w:ascii="Arial" w:hAnsi="Arial" w:cs="Arial"/>
          <w:sz w:val="22"/>
          <w:szCs w:val="22"/>
        </w:rPr>
        <w:t>make</w:t>
      </w:r>
      <w:r>
        <w:rPr>
          <w:rFonts w:ascii="Arial" w:hAnsi="Arial" w:cs="Arial"/>
          <w:sz w:val="22"/>
          <w:szCs w:val="22"/>
        </w:rPr>
        <w:t xml:space="preserve"> any allowance for the Virgin Media judgement.</w:t>
      </w:r>
    </w:p>
    <w:bookmarkEnd w:id="32"/>
    <w:p w14:paraId="09EDDFC1" w14:textId="77777777" w:rsidR="00C67494" w:rsidRPr="00093BB3" w:rsidRDefault="00C67494" w:rsidP="00C67494">
      <w:pPr>
        <w:ind w:left="426"/>
        <w:jc w:val="both"/>
        <w:rPr>
          <w:rFonts w:ascii="Arial" w:hAnsi="Arial"/>
          <w:sz w:val="22"/>
          <w:szCs w:val="22"/>
          <w:highlight w:val="yellow"/>
        </w:rPr>
      </w:pPr>
    </w:p>
    <w:p w14:paraId="151CB701" w14:textId="77777777" w:rsidR="00C67494" w:rsidRPr="00DD3CD0" w:rsidRDefault="00C67494" w:rsidP="00C67494">
      <w:pPr>
        <w:ind w:left="426"/>
        <w:rPr>
          <w:rFonts w:ascii="Arial" w:hAnsi="Arial"/>
          <w:b/>
          <w:sz w:val="22"/>
          <w:szCs w:val="22"/>
          <w:u w:val="single"/>
        </w:rPr>
      </w:pPr>
      <w:r w:rsidRPr="00DD3CD0">
        <w:rPr>
          <w:rFonts w:ascii="Arial" w:hAnsi="Arial"/>
          <w:b/>
          <w:sz w:val="22"/>
          <w:szCs w:val="22"/>
          <w:u w:val="single"/>
        </w:rPr>
        <w:t>Transactions Relating to Post-Employment Benefits</w:t>
      </w:r>
    </w:p>
    <w:p w14:paraId="09A55A63" w14:textId="77777777" w:rsidR="00C67494" w:rsidRPr="00DD3CD0" w:rsidRDefault="00C67494" w:rsidP="00C67494">
      <w:pPr>
        <w:tabs>
          <w:tab w:val="left" w:pos="426"/>
        </w:tabs>
        <w:ind w:left="426"/>
        <w:rPr>
          <w:rFonts w:ascii="Arial" w:hAnsi="Arial"/>
          <w:sz w:val="22"/>
          <w:szCs w:val="22"/>
        </w:rPr>
      </w:pPr>
    </w:p>
    <w:p w14:paraId="0FA65973" w14:textId="227BA8B0" w:rsidR="003B74DA" w:rsidRPr="00DD3CD0" w:rsidRDefault="00C67494" w:rsidP="009D37E6">
      <w:pPr>
        <w:tabs>
          <w:tab w:val="left" w:pos="426"/>
        </w:tabs>
        <w:ind w:left="426"/>
        <w:jc w:val="both"/>
        <w:rPr>
          <w:rFonts w:ascii="Arial" w:hAnsi="Arial"/>
          <w:sz w:val="22"/>
          <w:szCs w:val="22"/>
        </w:rPr>
        <w:sectPr w:rsidR="003B74DA" w:rsidRPr="00DD3CD0" w:rsidSect="00A00487">
          <w:pgSz w:w="11909" w:h="16834" w:code="9"/>
          <w:pgMar w:top="720" w:right="720" w:bottom="720" w:left="720" w:header="397" w:footer="720" w:gutter="0"/>
          <w:cols w:space="720"/>
          <w:docGrid w:linePitch="272"/>
        </w:sectPr>
      </w:pPr>
      <w:r w:rsidRPr="00DD3CD0">
        <w:rPr>
          <w:rFonts w:ascii="Arial" w:hAnsi="Arial"/>
          <w:sz w:val="22"/>
          <w:szCs w:val="22"/>
        </w:rPr>
        <w:t>We recognise the cost of post-employment/retirement benefits in the reported cost of services when they are earned by the employees, rather than when the benefits are eventually paid as pensions. However, the charge we are required to make against council tax is based on the employers’ contributions payable in the year, so the real cost of post-employment/retirement benefits is reversed out of the PCC Group General Fund via the movement in reserves statement. The following transactions have been made during the year:</w:t>
      </w:r>
    </w:p>
    <w:tbl>
      <w:tblPr>
        <w:tblW w:w="0" w:type="auto"/>
        <w:tblLook w:val="04A0" w:firstRow="1" w:lastRow="0" w:firstColumn="1" w:lastColumn="0" w:noHBand="0" w:noVBand="1"/>
      </w:tblPr>
      <w:tblGrid>
        <w:gridCol w:w="6276"/>
        <w:gridCol w:w="1339"/>
        <w:gridCol w:w="1339"/>
        <w:gridCol w:w="1284"/>
        <w:gridCol w:w="1284"/>
        <w:gridCol w:w="939"/>
        <w:gridCol w:w="939"/>
        <w:gridCol w:w="987"/>
        <w:gridCol w:w="987"/>
      </w:tblGrid>
      <w:tr w:rsidR="00846F0A" w:rsidRPr="00C47FA1" w14:paraId="4843EE59" w14:textId="77777777" w:rsidTr="004F01F6">
        <w:trPr>
          <w:trHeight w:val="555"/>
        </w:trPr>
        <w:tc>
          <w:tcPr>
            <w:tcW w:w="0" w:type="auto"/>
            <w:tcBorders>
              <w:top w:val="single" w:sz="8" w:space="0" w:color="auto"/>
              <w:left w:val="single" w:sz="8" w:space="0" w:color="auto"/>
              <w:bottom w:val="nil"/>
              <w:right w:val="single" w:sz="8" w:space="0" w:color="auto"/>
            </w:tcBorders>
            <w:shd w:val="clear" w:color="000000" w:fill="CCCCCC"/>
            <w:vAlign w:val="center"/>
            <w:hideMark/>
          </w:tcPr>
          <w:p w14:paraId="3A4AB0D3" w14:textId="77777777" w:rsidR="008F22BE" w:rsidRPr="00C47FA1" w:rsidRDefault="008F22BE" w:rsidP="00C47FA1">
            <w:pPr>
              <w:rPr>
                <w:rFonts w:ascii="Arial" w:hAnsi="Arial" w:cs="Arial"/>
                <w:b/>
                <w:bCs/>
                <w:sz w:val="24"/>
                <w:szCs w:val="24"/>
              </w:rPr>
            </w:pPr>
            <w:r w:rsidRPr="00C47FA1">
              <w:rPr>
                <w:rFonts w:ascii="Arial" w:hAnsi="Arial" w:cs="Arial"/>
                <w:b/>
                <w:bCs/>
                <w:sz w:val="24"/>
                <w:szCs w:val="24"/>
              </w:rPr>
              <w:lastRenderedPageBreak/>
              <w:t>P</w:t>
            </w:r>
            <w:r w:rsidRPr="00C47FA1">
              <w:rPr>
                <w:rFonts w:ascii="Arial" w:hAnsi="Arial" w:cs="Arial"/>
                <w:b/>
                <w:bCs/>
                <w:color w:val="000000"/>
                <w:sz w:val="24"/>
                <w:szCs w:val="24"/>
              </w:rPr>
              <w:t>CC GROUP</w:t>
            </w:r>
          </w:p>
        </w:tc>
        <w:tc>
          <w:tcPr>
            <w:tcW w:w="0" w:type="auto"/>
            <w:gridSpan w:val="2"/>
            <w:tcBorders>
              <w:top w:val="single" w:sz="8" w:space="0" w:color="auto"/>
              <w:left w:val="nil"/>
              <w:bottom w:val="single" w:sz="8" w:space="0" w:color="auto"/>
              <w:right w:val="single" w:sz="8" w:space="0" w:color="000000"/>
            </w:tcBorders>
            <w:shd w:val="clear" w:color="000000" w:fill="CCCCCC"/>
            <w:vAlign w:val="center"/>
            <w:hideMark/>
          </w:tcPr>
          <w:p w14:paraId="5E6E6E56" w14:textId="77777777" w:rsidR="008F22BE" w:rsidRPr="00C47FA1" w:rsidRDefault="008F22BE" w:rsidP="00C47FA1">
            <w:pPr>
              <w:jc w:val="center"/>
              <w:rPr>
                <w:rFonts w:ascii="Arial" w:hAnsi="Arial" w:cs="Arial"/>
                <w:b/>
                <w:bCs/>
                <w:color w:val="000000"/>
              </w:rPr>
            </w:pPr>
            <w:r w:rsidRPr="00C47FA1">
              <w:rPr>
                <w:rFonts w:ascii="Arial" w:hAnsi="Arial" w:cs="Arial"/>
                <w:b/>
                <w:bCs/>
                <w:color w:val="000000"/>
              </w:rPr>
              <w:t>Local Government Pension Scheme</w:t>
            </w:r>
          </w:p>
        </w:tc>
        <w:tc>
          <w:tcPr>
            <w:tcW w:w="0" w:type="auto"/>
            <w:gridSpan w:val="2"/>
            <w:tcBorders>
              <w:top w:val="single" w:sz="8" w:space="0" w:color="auto"/>
              <w:left w:val="nil"/>
              <w:bottom w:val="single" w:sz="8" w:space="0" w:color="auto"/>
              <w:right w:val="single" w:sz="8" w:space="0" w:color="000000"/>
            </w:tcBorders>
            <w:shd w:val="clear" w:color="000000" w:fill="CCCCCC"/>
            <w:vAlign w:val="center"/>
            <w:hideMark/>
          </w:tcPr>
          <w:p w14:paraId="4D8BB15B" w14:textId="77777777" w:rsidR="008F22BE" w:rsidRPr="00C47FA1" w:rsidRDefault="008F22BE" w:rsidP="00C47FA1">
            <w:pPr>
              <w:jc w:val="center"/>
              <w:rPr>
                <w:rFonts w:ascii="Arial" w:hAnsi="Arial" w:cs="Arial"/>
                <w:b/>
                <w:bCs/>
                <w:color w:val="000000"/>
              </w:rPr>
            </w:pPr>
            <w:r w:rsidRPr="00C47FA1">
              <w:rPr>
                <w:rFonts w:ascii="Arial" w:hAnsi="Arial" w:cs="Arial"/>
                <w:b/>
                <w:bCs/>
                <w:color w:val="000000"/>
              </w:rPr>
              <w:t>Police Officer Pension Schemes</w:t>
            </w:r>
          </w:p>
        </w:tc>
        <w:tc>
          <w:tcPr>
            <w:tcW w:w="0" w:type="auto"/>
            <w:gridSpan w:val="2"/>
            <w:tcBorders>
              <w:top w:val="single" w:sz="8" w:space="0" w:color="auto"/>
              <w:left w:val="nil"/>
              <w:bottom w:val="single" w:sz="8" w:space="0" w:color="auto"/>
              <w:right w:val="single" w:sz="8" w:space="0" w:color="000000"/>
            </w:tcBorders>
            <w:shd w:val="clear" w:color="000000" w:fill="CCCCCC"/>
            <w:vAlign w:val="center"/>
            <w:hideMark/>
          </w:tcPr>
          <w:p w14:paraId="031FE147" w14:textId="77777777" w:rsidR="008F22BE" w:rsidRPr="00C47FA1" w:rsidRDefault="008F22BE" w:rsidP="00C47FA1">
            <w:pPr>
              <w:jc w:val="center"/>
              <w:rPr>
                <w:rFonts w:ascii="Arial" w:hAnsi="Arial" w:cs="Arial"/>
                <w:b/>
                <w:bCs/>
                <w:color w:val="000000"/>
              </w:rPr>
            </w:pPr>
            <w:r w:rsidRPr="00C47FA1">
              <w:rPr>
                <w:rFonts w:ascii="Arial" w:hAnsi="Arial" w:cs="Arial"/>
                <w:b/>
                <w:bCs/>
                <w:color w:val="000000"/>
              </w:rPr>
              <w:t>Injury Awards</w:t>
            </w:r>
          </w:p>
        </w:tc>
        <w:tc>
          <w:tcPr>
            <w:tcW w:w="0" w:type="auto"/>
            <w:gridSpan w:val="2"/>
            <w:tcBorders>
              <w:top w:val="single" w:sz="8" w:space="0" w:color="auto"/>
              <w:left w:val="nil"/>
              <w:bottom w:val="single" w:sz="8" w:space="0" w:color="auto"/>
              <w:right w:val="single" w:sz="8" w:space="0" w:color="000000"/>
            </w:tcBorders>
            <w:shd w:val="clear" w:color="000000" w:fill="CCCCCC"/>
            <w:vAlign w:val="center"/>
            <w:hideMark/>
          </w:tcPr>
          <w:p w14:paraId="791225E0" w14:textId="77777777" w:rsidR="008F22BE" w:rsidRPr="00C47FA1" w:rsidRDefault="008F22BE" w:rsidP="00C47FA1">
            <w:pPr>
              <w:jc w:val="center"/>
              <w:rPr>
                <w:rFonts w:ascii="Arial" w:hAnsi="Arial" w:cs="Arial"/>
                <w:b/>
                <w:bCs/>
                <w:color w:val="000000"/>
              </w:rPr>
            </w:pPr>
            <w:r w:rsidRPr="00C47FA1">
              <w:rPr>
                <w:rFonts w:ascii="Arial" w:hAnsi="Arial" w:cs="Arial"/>
                <w:b/>
                <w:bCs/>
                <w:color w:val="000000"/>
              </w:rPr>
              <w:t>Total</w:t>
            </w:r>
          </w:p>
        </w:tc>
      </w:tr>
      <w:tr w:rsidR="00846F0A" w:rsidRPr="00C47FA1" w14:paraId="2B55AD41"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711BB35B" w14:textId="77777777" w:rsidR="008F22BE" w:rsidRPr="00C47FA1" w:rsidRDefault="008F22BE" w:rsidP="00C47FA1">
            <w:pPr>
              <w:rPr>
                <w:rFonts w:ascii="Arial" w:hAnsi="Arial" w:cs="Arial"/>
              </w:rPr>
            </w:pPr>
            <w:r w:rsidRPr="00C47FA1">
              <w:rPr>
                <w:rFonts w:ascii="Arial" w:hAnsi="Arial" w:cs="Arial"/>
              </w:rPr>
              <w:t> </w:t>
            </w:r>
          </w:p>
        </w:tc>
        <w:tc>
          <w:tcPr>
            <w:tcW w:w="0" w:type="auto"/>
            <w:tcBorders>
              <w:top w:val="nil"/>
              <w:left w:val="nil"/>
              <w:bottom w:val="nil"/>
              <w:right w:val="nil"/>
            </w:tcBorders>
            <w:shd w:val="clear" w:color="000000" w:fill="FFFFFF"/>
            <w:vAlign w:val="center"/>
            <w:hideMark/>
          </w:tcPr>
          <w:p w14:paraId="4EBCA0E5" w14:textId="0F909424" w:rsidR="008F22BE" w:rsidRPr="00C47FA1" w:rsidRDefault="00C37E7F" w:rsidP="00C47FA1">
            <w:pPr>
              <w:jc w:val="center"/>
              <w:rPr>
                <w:rFonts w:ascii="Arial" w:hAnsi="Arial" w:cs="Arial"/>
                <w:b/>
                <w:bCs/>
                <w:color w:val="000000"/>
              </w:rPr>
            </w:pPr>
            <w:r>
              <w:rPr>
                <w:rFonts w:ascii="Arial" w:hAnsi="Arial" w:cs="Arial"/>
                <w:b/>
                <w:bCs/>
                <w:color w:val="000000"/>
              </w:rPr>
              <w:t>2023/24</w:t>
            </w:r>
          </w:p>
        </w:tc>
        <w:tc>
          <w:tcPr>
            <w:tcW w:w="0" w:type="auto"/>
            <w:tcBorders>
              <w:top w:val="nil"/>
              <w:left w:val="nil"/>
              <w:bottom w:val="nil"/>
              <w:right w:val="single" w:sz="8" w:space="0" w:color="auto"/>
            </w:tcBorders>
            <w:shd w:val="clear" w:color="000000" w:fill="CCCCCC"/>
            <w:vAlign w:val="center"/>
            <w:hideMark/>
          </w:tcPr>
          <w:p w14:paraId="35754E54" w14:textId="2DBC54C8" w:rsidR="008F22BE" w:rsidRPr="00C47FA1" w:rsidRDefault="00C37E7F" w:rsidP="00C47FA1">
            <w:pPr>
              <w:jc w:val="center"/>
              <w:rPr>
                <w:rFonts w:ascii="Arial" w:hAnsi="Arial" w:cs="Arial"/>
                <w:b/>
                <w:bCs/>
              </w:rPr>
            </w:pPr>
            <w:r>
              <w:rPr>
                <w:rFonts w:ascii="Arial" w:hAnsi="Arial" w:cs="Arial"/>
                <w:b/>
                <w:bCs/>
              </w:rPr>
              <w:t>2024/25</w:t>
            </w:r>
          </w:p>
        </w:tc>
        <w:tc>
          <w:tcPr>
            <w:tcW w:w="0" w:type="auto"/>
            <w:tcBorders>
              <w:top w:val="nil"/>
              <w:left w:val="nil"/>
              <w:bottom w:val="nil"/>
              <w:right w:val="nil"/>
            </w:tcBorders>
            <w:shd w:val="clear" w:color="000000" w:fill="FFFFFF"/>
            <w:vAlign w:val="center"/>
            <w:hideMark/>
          </w:tcPr>
          <w:p w14:paraId="704ABDE3" w14:textId="019FCA2D" w:rsidR="008F22BE" w:rsidRPr="00C47FA1" w:rsidRDefault="00C37E7F" w:rsidP="00C47FA1">
            <w:pPr>
              <w:jc w:val="center"/>
              <w:rPr>
                <w:rFonts w:ascii="Arial" w:hAnsi="Arial" w:cs="Arial"/>
                <w:b/>
                <w:bCs/>
                <w:color w:val="000000"/>
              </w:rPr>
            </w:pPr>
            <w:r>
              <w:rPr>
                <w:rFonts w:ascii="Arial" w:hAnsi="Arial" w:cs="Arial"/>
                <w:b/>
                <w:bCs/>
                <w:color w:val="000000"/>
              </w:rPr>
              <w:t>2023/24</w:t>
            </w:r>
          </w:p>
        </w:tc>
        <w:tc>
          <w:tcPr>
            <w:tcW w:w="0" w:type="auto"/>
            <w:tcBorders>
              <w:top w:val="nil"/>
              <w:left w:val="nil"/>
              <w:bottom w:val="nil"/>
              <w:right w:val="single" w:sz="8" w:space="0" w:color="auto"/>
            </w:tcBorders>
            <w:shd w:val="clear" w:color="000000" w:fill="CCCCCC"/>
            <w:vAlign w:val="center"/>
            <w:hideMark/>
          </w:tcPr>
          <w:p w14:paraId="7E639157" w14:textId="6FF08385" w:rsidR="008F22BE" w:rsidRPr="00C47FA1" w:rsidRDefault="00C37E7F" w:rsidP="00C47FA1">
            <w:pPr>
              <w:jc w:val="center"/>
              <w:rPr>
                <w:rFonts w:ascii="Arial" w:hAnsi="Arial" w:cs="Arial"/>
                <w:b/>
                <w:bCs/>
              </w:rPr>
            </w:pPr>
            <w:r>
              <w:rPr>
                <w:rFonts w:ascii="Arial" w:hAnsi="Arial" w:cs="Arial"/>
                <w:b/>
                <w:bCs/>
              </w:rPr>
              <w:t>2024/25</w:t>
            </w:r>
          </w:p>
        </w:tc>
        <w:tc>
          <w:tcPr>
            <w:tcW w:w="0" w:type="auto"/>
            <w:tcBorders>
              <w:top w:val="nil"/>
              <w:left w:val="nil"/>
              <w:bottom w:val="nil"/>
              <w:right w:val="nil"/>
            </w:tcBorders>
            <w:shd w:val="clear" w:color="000000" w:fill="FFFFFF"/>
            <w:vAlign w:val="center"/>
            <w:hideMark/>
          </w:tcPr>
          <w:p w14:paraId="4CCBBBC1" w14:textId="490192AB" w:rsidR="008F22BE" w:rsidRPr="00C47FA1" w:rsidRDefault="00C37E7F" w:rsidP="00C47FA1">
            <w:pPr>
              <w:jc w:val="center"/>
              <w:rPr>
                <w:rFonts w:ascii="Arial" w:hAnsi="Arial" w:cs="Arial"/>
                <w:b/>
                <w:bCs/>
                <w:color w:val="000000"/>
              </w:rPr>
            </w:pPr>
            <w:r>
              <w:rPr>
                <w:rFonts w:ascii="Arial" w:hAnsi="Arial" w:cs="Arial"/>
                <w:b/>
                <w:bCs/>
                <w:color w:val="000000"/>
              </w:rPr>
              <w:t>2023/24</w:t>
            </w:r>
          </w:p>
        </w:tc>
        <w:tc>
          <w:tcPr>
            <w:tcW w:w="0" w:type="auto"/>
            <w:tcBorders>
              <w:top w:val="nil"/>
              <w:left w:val="nil"/>
              <w:bottom w:val="nil"/>
              <w:right w:val="single" w:sz="8" w:space="0" w:color="auto"/>
            </w:tcBorders>
            <w:shd w:val="clear" w:color="000000" w:fill="CCCCCC"/>
            <w:vAlign w:val="center"/>
            <w:hideMark/>
          </w:tcPr>
          <w:p w14:paraId="3EEEAC69" w14:textId="06EE3FA0" w:rsidR="008F22BE" w:rsidRPr="00C47FA1" w:rsidRDefault="00C37E7F" w:rsidP="00C47FA1">
            <w:pPr>
              <w:jc w:val="center"/>
              <w:rPr>
                <w:rFonts w:ascii="Arial" w:hAnsi="Arial" w:cs="Arial"/>
                <w:b/>
                <w:bCs/>
              </w:rPr>
            </w:pPr>
            <w:r>
              <w:rPr>
                <w:rFonts w:ascii="Arial" w:hAnsi="Arial" w:cs="Arial"/>
                <w:b/>
                <w:bCs/>
              </w:rPr>
              <w:t>2024/25</w:t>
            </w:r>
          </w:p>
        </w:tc>
        <w:tc>
          <w:tcPr>
            <w:tcW w:w="0" w:type="auto"/>
            <w:tcBorders>
              <w:top w:val="nil"/>
              <w:left w:val="nil"/>
              <w:bottom w:val="nil"/>
              <w:right w:val="nil"/>
            </w:tcBorders>
            <w:shd w:val="clear" w:color="000000" w:fill="FFFFFF"/>
            <w:vAlign w:val="center"/>
            <w:hideMark/>
          </w:tcPr>
          <w:p w14:paraId="6559150E" w14:textId="19914A3D" w:rsidR="008F22BE" w:rsidRPr="00C47FA1" w:rsidRDefault="00C37E7F" w:rsidP="00C47FA1">
            <w:pPr>
              <w:jc w:val="center"/>
              <w:rPr>
                <w:rFonts w:ascii="Arial" w:hAnsi="Arial" w:cs="Arial"/>
                <w:b/>
                <w:bCs/>
                <w:color w:val="000000"/>
              </w:rPr>
            </w:pPr>
            <w:r>
              <w:rPr>
                <w:rFonts w:ascii="Arial" w:hAnsi="Arial" w:cs="Arial"/>
                <w:b/>
                <w:bCs/>
                <w:color w:val="000000"/>
              </w:rPr>
              <w:t>2023/24</w:t>
            </w:r>
          </w:p>
        </w:tc>
        <w:tc>
          <w:tcPr>
            <w:tcW w:w="0" w:type="auto"/>
            <w:tcBorders>
              <w:top w:val="nil"/>
              <w:left w:val="nil"/>
              <w:bottom w:val="nil"/>
              <w:right w:val="single" w:sz="8" w:space="0" w:color="auto"/>
            </w:tcBorders>
            <w:shd w:val="clear" w:color="000000" w:fill="CCCCCC"/>
            <w:vAlign w:val="center"/>
            <w:hideMark/>
          </w:tcPr>
          <w:p w14:paraId="25899CEB" w14:textId="3ED13FF7" w:rsidR="008F22BE" w:rsidRPr="00C47FA1" w:rsidRDefault="00C37E7F" w:rsidP="00C47FA1">
            <w:pPr>
              <w:jc w:val="center"/>
              <w:rPr>
                <w:rFonts w:ascii="Arial" w:hAnsi="Arial" w:cs="Arial"/>
                <w:b/>
                <w:bCs/>
              </w:rPr>
            </w:pPr>
            <w:r>
              <w:rPr>
                <w:rFonts w:ascii="Arial" w:hAnsi="Arial" w:cs="Arial"/>
                <w:b/>
                <w:bCs/>
              </w:rPr>
              <w:t>2024/25</w:t>
            </w:r>
          </w:p>
        </w:tc>
      </w:tr>
      <w:tr w:rsidR="00846F0A" w:rsidRPr="00C47FA1" w14:paraId="48058391"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10E44DD7" w14:textId="77777777" w:rsidR="008F22BE" w:rsidRPr="00C47FA1" w:rsidRDefault="008F22BE" w:rsidP="00C47FA1">
            <w:pPr>
              <w:rPr>
                <w:rFonts w:ascii="Arial" w:hAnsi="Arial" w:cs="Arial"/>
              </w:rPr>
            </w:pPr>
            <w:r w:rsidRPr="00C47FA1">
              <w:rPr>
                <w:rFonts w:ascii="Arial" w:hAnsi="Arial" w:cs="Arial"/>
              </w:rPr>
              <w:t> </w:t>
            </w:r>
          </w:p>
        </w:tc>
        <w:tc>
          <w:tcPr>
            <w:tcW w:w="0" w:type="auto"/>
            <w:tcBorders>
              <w:top w:val="nil"/>
              <w:left w:val="nil"/>
              <w:bottom w:val="nil"/>
              <w:right w:val="nil"/>
            </w:tcBorders>
            <w:shd w:val="clear" w:color="000000" w:fill="FFFFFF"/>
            <w:vAlign w:val="center"/>
            <w:hideMark/>
          </w:tcPr>
          <w:p w14:paraId="218ADF90" w14:textId="77777777" w:rsidR="008F22BE" w:rsidRPr="00C47FA1" w:rsidRDefault="008F22BE" w:rsidP="00C47FA1">
            <w:pPr>
              <w:jc w:val="center"/>
              <w:rPr>
                <w:rFonts w:ascii="Arial" w:hAnsi="Arial" w:cs="Arial"/>
                <w:b/>
                <w:bCs/>
                <w:color w:val="000000"/>
              </w:rPr>
            </w:pPr>
            <w:r w:rsidRPr="00C47FA1">
              <w:rPr>
                <w:rFonts w:ascii="Arial" w:hAnsi="Arial" w:cs="Arial"/>
                <w:b/>
                <w:bCs/>
                <w:color w:val="000000"/>
              </w:rPr>
              <w:t>£,000</w:t>
            </w:r>
          </w:p>
        </w:tc>
        <w:tc>
          <w:tcPr>
            <w:tcW w:w="0" w:type="auto"/>
            <w:tcBorders>
              <w:top w:val="nil"/>
              <w:left w:val="nil"/>
              <w:bottom w:val="nil"/>
              <w:right w:val="single" w:sz="8" w:space="0" w:color="auto"/>
            </w:tcBorders>
            <w:shd w:val="clear" w:color="000000" w:fill="CCCCCC"/>
            <w:vAlign w:val="center"/>
            <w:hideMark/>
          </w:tcPr>
          <w:p w14:paraId="67AF6277" w14:textId="77777777" w:rsidR="008F22BE" w:rsidRPr="00C47FA1" w:rsidRDefault="008F22BE" w:rsidP="00C47FA1">
            <w:pPr>
              <w:jc w:val="center"/>
              <w:rPr>
                <w:rFonts w:ascii="Arial" w:hAnsi="Arial" w:cs="Arial"/>
                <w:b/>
                <w:bCs/>
              </w:rPr>
            </w:pPr>
            <w:r w:rsidRPr="00C47FA1">
              <w:rPr>
                <w:rFonts w:ascii="Arial" w:hAnsi="Arial" w:cs="Arial"/>
                <w:b/>
                <w:bCs/>
              </w:rPr>
              <w:t>£,000</w:t>
            </w:r>
          </w:p>
        </w:tc>
        <w:tc>
          <w:tcPr>
            <w:tcW w:w="0" w:type="auto"/>
            <w:tcBorders>
              <w:top w:val="nil"/>
              <w:left w:val="nil"/>
              <w:bottom w:val="nil"/>
              <w:right w:val="nil"/>
            </w:tcBorders>
            <w:shd w:val="clear" w:color="000000" w:fill="FFFFFF"/>
            <w:vAlign w:val="center"/>
            <w:hideMark/>
          </w:tcPr>
          <w:p w14:paraId="4E615030" w14:textId="77777777" w:rsidR="008F22BE" w:rsidRPr="00C47FA1" w:rsidRDefault="008F22BE" w:rsidP="00C47FA1">
            <w:pPr>
              <w:jc w:val="center"/>
              <w:rPr>
                <w:rFonts w:ascii="Arial" w:hAnsi="Arial" w:cs="Arial"/>
                <w:b/>
                <w:bCs/>
                <w:color w:val="000000"/>
              </w:rPr>
            </w:pPr>
            <w:r w:rsidRPr="00C47FA1">
              <w:rPr>
                <w:rFonts w:ascii="Arial" w:hAnsi="Arial" w:cs="Arial"/>
                <w:b/>
                <w:bCs/>
                <w:color w:val="000000"/>
              </w:rPr>
              <w:t>£,000</w:t>
            </w:r>
          </w:p>
        </w:tc>
        <w:tc>
          <w:tcPr>
            <w:tcW w:w="0" w:type="auto"/>
            <w:tcBorders>
              <w:top w:val="nil"/>
              <w:left w:val="nil"/>
              <w:bottom w:val="nil"/>
              <w:right w:val="single" w:sz="8" w:space="0" w:color="auto"/>
            </w:tcBorders>
            <w:shd w:val="clear" w:color="000000" w:fill="CCCCCC"/>
            <w:vAlign w:val="center"/>
            <w:hideMark/>
          </w:tcPr>
          <w:p w14:paraId="064E1CEE" w14:textId="77777777" w:rsidR="008F22BE" w:rsidRPr="00C47FA1" w:rsidRDefault="008F22BE" w:rsidP="00C47FA1">
            <w:pPr>
              <w:jc w:val="center"/>
              <w:rPr>
                <w:rFonts w:ascii="Arial" w:hAnsi="Arial" w:cs="Arial"/>
                <w:b/>
                <w:bCs/>
              </w:rPr>
            </w:pPr>
            <w:r w:rsidRPr="00C47FA1">
              <w:rPr>
                <w:rFonts w:ascii="Arial" w:hAnsi="Arial" w:cs="Arial"/>
                <w:b/>
                <w:bCs/>
              </w:rPr>
              <w:t>£,000</w:t>
            </w:r>
          </w:p>
        </w:tc>
        <w:tc>
          <w:tcPr>
            <w:tcW w:w="0" w:type="auto"/>
            <w:tcBorders>
              <w:top w:val="nil"/>
              <w:left w:val="nil"/>
              <w:bottom w:val="nil"/>
              <w:right w:val="nil"/>
            </w:tcBorders>
            <w:shd w:val="clear" w:color="000000" w:fill="FFFFFF"/>
            <w:vAlign w:val="center"/>
            <w:hideMark/>
          </w:tcPr>
          <w:p w14:paraId="7DB8819E" w14:textId="77777777" w:rsidR="008F22BE" w:rsidRPr="00C47FA1" w:rsidRDefault="008F22BE" w:rsidP="00C47FA1">
            <w:pPr>
              <w:jc w:val="center"/>
              <w:rPr>
                <w:rFonts w:ascii="Arial" w:hAnsi="Arial" w:cs="Arial"/>
                <w:b/>
                <w:bCs/>
                <w:color w:val="000000"/>
              </w:rPr>
            </w:pPr>
            <w:r w:rsidRPr="00C47FA1">
              <w:rPr>
                <w:rFonts w:ascii="Arial" w:hAnsi="Arial" w:cs="Arial"/>
                <w:b/>
                <w:bCs/>
                <w:color w:val="000000"/>
              </w:rPr>
              <w:t>£,000</w:t>
            </w:r>
          </w:p>
        </w:tc>
        <w:tc>
          <w:tcPr>
            <w:tcW w:w="0" w:type="auto"/>
            <w:tcBorders>
              <w:top w:val="nil"/>
              <w:left w:val="nil"/>
              <w:bottom w:val="nil"/>
              <w:right w:val="single" w:sz="8" w:space="0" w:color="auto"/>
            </w:tcBorders>
            <w:shd w:val="clear" w:color="000000" w:fill="CCCCCC"/>
            <w:vAlign w:val="center"/>
            <w:hideMark/>
          </w:tcPr>
          <w:p w14:paraId="2A517C37" w14:textId="77777777" w:rsidR="008F22BE" w:rsidRPr="00C47FA1" w:rsidRDefault="008F22BE" w:rsidP="00C47FA1">
            <w:pPr>
              <w:jc w:val="center"/>
              <w:rPr>
                <w:rFonts w:ascii="Arial" w:hAnsi="Arial" w:cs="Arial"/>
                <w:b/>
                <w:bCs/>
              </w:rPr>
            </w:pPr>
            <w:r w:rsidRPr="00C47FA1">
              <w:rPr>
                <w:rFonts w:ascii="Arial" w:hAnsi="Arial" w:cs="Arial"/>
                <w:b/>
                <w:bCs/>
              </w:rPr>
              <w:t>£,000</w:t>
            </w:r>
          </w:p>
        </w:tc>
        <w:tc>
          <w:tcPr>
            <w:tcW w:w="0" w:type="auto"/>
            <w:tcBorders>
              <w:top w:val="nil"/>
              <w:left w:val="nil"/>
              <w:bottom w:val="nil"/>
              <w:right w:val="nil"/>
            </w:tcBorders>
            <w:shd w:val="clear" w:color="000000" w:fill="FFFFFF"/>
            <w:vAlign w:val="center"/>
            <w:hideMark/>
          </w:tcPr>
          <w:p w14:paraId="13172087" w14:textId="77777777" w:rsidR="008F22BE" w:rsidRPr="00C47FA1" w:rsidRDefault="008F22BE" w:rsidP="00C47FA1">
            <w:pPr>
              <w:jc w:val="center"/>
              <w:rPr>
                <w:rFonts w:ascii="Arial" w:hAnsi="Arial" w:cs="Arial"/>
                <w:b/>
                <w:bCs/>
                <w:color w:val="000000"/>
              </w:rPr>
            </w:pPr>
            <w:r w:rsidRPr="00C47FA1">
              <w:rPr>
                <w:rFonts w:ascii="Arial" w:hAnsi="Arial" w:cs="Arial"/>
                <w:b/>
                <w:bCs/>
                <w:color w:val="000000"/>
              </w:rPr>
              <w:t>£,000</w:t>
            </w:r>
          </w:p>
        </w:tc>
        <w:tc>
          <w:tcPr>
            <w:tcW w:w="0" w:type="auto"/>
            <w:tcBorders>
              <w:top w:val="nil"/>
              <w:left w:val="nil"/>
              <w:bottom w:val="nil"/>
              <w:right w:val="single" w:sz="8" w:space="0" w:color="auto"/>
            </w:tcBorders>
            <w:shd w:val="clear" w:color="000000" w:fill="CCCCCC"/>
            <w:vAlign w:val="center"/>
            <w:hideMark/>
          </w:tcPr>
          <w:p w14:paraId="794786A6" w14:textId="77777777" w:rsidR="008F22BE" w:rsidRPr="00C47FA1" w:rsidRDefault="008F22BE" w:rsidP="00C47FA1">
            <w:pPr>
              <w:jc w:val="center"/>
              <w:rPr>
                <w:rFonts w:ascii="Arial" w:hAnsi="Arial" w:cs="Arial"/>
                <w:b/>
                <w:bCs/>
              </w:rPr>
            </w:pPr>
            <w:r w:rsidRPr="00C47FA1">
              <w:rPr>
                <w:rFonts w:ascii="Arial" w:hAnsi="Arial" w:cs="Arial"/>
                <w:b/>
                <w:bCs/>
              </w:rPr>
              <w:t>£,000</w:t>
            </w:r>
          </w:p>
        </w:tc>
      </w:tr>
      <w:tr w:rsidR="00846F0A" w:rsidRPr="00C47FA1" w14:paraId="7C07EDE3"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169535DC" w14:textId="77777777" w:rsidR="008F22BE" w:rsidRPr="006673F2" w:rsidRDefault="008F22BE" w:rsidP="00C47FA1">
            <w:pPr>
              <w:rPr>
                <w:rFonts w:ascii="Arial" w:hAnsi="Arial" w:cs="Arial"/>
                <w:b/>
                <w:bCs/>
                <w:color w:val="000000"/>
                <w:sz w:val="16"/>
                <w:szCs w:val="16"/>
              </w:rPr>
            </w:pPr>
            <w:r w:rsidRPr="006673F2">
              <w:rPr>
                <w:rFonts w:ascii="Arial" w:hAnsi="Arial" w:cs="Arial"/>
                <w:b/>
                <w:bCs/>
                <w:color w:val="000000"/>
                <w:sz w:val="16"/>
                <w:szCs w:val="16"/>
              </w:rPr>
              <w:t>Comprehensive Income and Expenditure Statement (CIES)</w:t>
            </w:r>
          </w:p>
        </w:tc>
        <w:tc>
          <w:tcPr>
            <w:tcW w:w="0" w:type="auto"/>
            <w:tcBorders>
              <w:top w:val="nil"/>
              <w:left w:val="nil"/>
              <w:bottom w:val="nil"/>
              <w:right w:val="nil"/>
            </w:tcBorders>
            <w:shd w:val="clear" w:color="000000" w:fill="FFFFFF"/>
            <w:vAlign w:val="center"/>
            <w:hideMark/>
          </w:tcPr>
          <w:p w14:paraId="753FE6C6" w14:textId="77777777" w:rsidR="008F22BE" w:rsidRPr="006673F2" w:rsidRDefault="008F22BE" w:rsidP="00C47FA1">
            <w:pPr>
              <w:rPr>
                <w:rFonts w:ascii="Arial" w:hAnsi="Arial" w:cs="Arial"/>
                <w:sz w:val="16"/>
                <w:szCs w:val="16"/>
              </w:rPr>
            </w:pPr>
            <w:r w:rsidRPr="006673F2">
              <w:rPr>
                <w:rFonts w:ascii="Arial" w:hAnsi="Arial" w:cs="Arial"/>
                <w:sz w:val="16"/>
                <w:szCs w:val="16"/>
              </w:rPr>
              <w:t> </w:t>
            </w:r>
          </w:p>
        </w:tc>
        <w:tc>
          <w:tcPr>
            <w:tcW w:w="0" w:type="auto"/>
            <w:tcBorders>
              <w:top w:val="nil"/>
              <w:left w:val="nil"/>
              <w:bottom w:val="nil"/>
              <w:right w:val="single" w:sz="8" w:space="0" w:color="auto"/>
            </w:tcBorders>
            <w:shd w:val="clear" w:color="000000" w:fill="CCCCCC"/>
            <w:vAlign w:val="center"/>
            <w:hideMark/>
          </w:tcPr>
          <w:p w14:paraId="2F85406D" w14:textId="77777777" w:rsidR="008F22BE" w:rsidRPr="006673F2" w:rsidRDefault="008F22BE" w:rsidP="00C47FA1">
            <w:pPr>
              <w:rPr>
                <w:rFonts w:ascii="Arial" w:hAnsi="Arial" w:cs="Arial"/>
                <w:sz w:val="16"/>
                <w:szCs w:val="16"/>
              </w:rPr>
            </w:pPr>
            <w:r w:rsidRPr="006673F2">
              <w:rPr>
                <w:rFonts w:ascii="Arial" w:hAnsi="Arial" w:cs="Arial"/>
                <w:sz w:val="16"/>
                <w:szCs w:val="16"/>
              </w:rPr>
              <w:t> </w:t>
            </w:r>
          </w:p>
        </w:tc>
        <w:tc>
          <w:tcPr>
            <w:tcW w:w="0" w:type="auto"/>
            <w:tcBorders>
              <w:top w:val="nil"/>
              <w:left w:val="nil"/>
              <w:bottom w:val="nil"/>
              <w:right w:val="nil"/>
            </w:tcBorders>
            <w:shd w:val="clear" w:color="000000" w:fill="FFFFFF"/>
            <w:vAlign w:val="center"/>
            <w:hideMark/>
          </w:tcPr>
          <w:p w14:paraId="2605713D" w14:textId="77777777" w:rsidR="008F22BE" w:rsidRPr="006673F2" w:rsidRDefault="008F22BE" w:rsidP="00C47FA1">
            <w:pPr>
              <w:rPr>
                <w:rFonts w:ascii="Arial" w:hAnsi="Arial" w:cs="Arial"/>
                <w:sz w:val="16"/>
                <w:szCs w:val="16"/>
              </w:rPr>
            </w:pPr>
            <w:r w:rsidRPr="006673F2">
              <w:rPr>
                <w:rFonts w:ascii="Arial" w:hAnsi="Arial" w:cs="Arial"/>
                <w:sz w:val="16"/>
                <w:szCs w:val="16"/>
              </w:rPr>
              <w:t> </w:t>
            </w:r>
          </w:p>
        </w:tc>
        <w:tc>
          <w:tcPr>
            <w:tcW w:w="0" w:type="auto"/>
            <w:tcBorders>
              <w:top w:val="nil"/>
              <w:left w:val="nil"/>
              <w:bottom w:val="nil"/>
              <w:right w:val="single" w:sz="8" w:space="0" w:color="auto"/>
            </w:tcBorders>
            <w:shd w:val="clear" w:color="000000" w:fill="CCCCCC"/>
            <w:vAlign w:val="center"/>
            <w:hideMark/>
          </w:tcPr>
          <w:p w14:paraId="39D5EA42" w14:textId="77777777" w:rsidR="008F22BE" w:rsidRPr="006673F2" w:rsidRDefault="008F22BE" w:rsidP="00C47FA1">
            <w:pPr>
              <w:rPr>
                <w:rFonts w:ascii="Arial" w:hAnsi="Arial" w:cs="Arial"/>
                <w:sz w:val="16"/>
                <w:szCs w:val="16"/>
              </w:rPr>
            </w:pPr>
            <w:r w:rsidRPr="006673F2">
              <w:rPr>
                <w:rFonts w:ascii="Arial" w:hAnsi="Arial" w:cs="Arial"/>
                <w:sz w:val="16"/>
                <w:szCs w:val="16"/>
              </w:rPr>
              <w:t> </w:t>
            </w:r>
          </w:p>
        </w:tc>
        <w:tc>
          <w:tcPr>
            <w:tcW w:w="0" w:type="auto"/>
            <w:tcBorders>
              <w:top w:val="nil"/>
              <w:left w:val="nil"/>
              <w:bottom w:val="nil"/>
              <w:right w:val="nil"/>
            </w:tcBorders>
            <w:shd w:val="clear" w:color="000000" w:fill="FFFFFF"/>
            <w:vAlign w:val="center"/>
            <w:hideMark/>
          </w:tcPr>
          <w:p w14:paraId="5E88A930" w14:textId="77777777" w:rsidR="008F22BE" w:rsidRPr="006673F2" w:rsidRDefault="008F22BE" w:rsidP="00C47FA1">
            <w:pPr>
              <w:rPr>
                <w:rFonts w:ascii="Arial" w:hAnsi="Arial" w:cs="Arial"/>
                <w:sz w:val="16"/>
                <w:szCs w:val="16"/>
              </w:rPr>
            </w:pPr>
            <w:r w:rsidRPr="006673F2">
              <w:rPr>
                <w:rFonts w:ascii="Arial" w:hAnsi="Arial" w:cs="Arial"/>
                <w:sz w:val="16"/>
                <w:szCs w:val="16"/>
              </w:rPr>
              <w:t> </w:t>
            </w:r>
          </w:p>
        </w:tc>
        <w:tc>
          <w:tcPr>
            <w:tcW w:w="0" w:type="auto"/>
            <w:tcBorders>
              <w:top w:val="nil"/>
              <w:left w:val="nil"/>
              <w:bottom w:val="nil"/>
              <w:right w:val="single" w:sz="8" w:space="0" w:color="auto"/>
            </w:tcBorders>
            <w:shd w:val="clear" w:color="000000" w:fill="CCCCCC"/>
            <w:vAlign w:val="center"/>
            <w:hideMark/>
          </w:tcPr>
          <w:p w14:paraId="3BCF6DA8" w14:textId="77777777" w:rsidR="008F22BE" w:rsidRPr="006673F2" w:rsidRDefault="008F22BE" w:rsidP="00C47FA1">
            <w:pPr>
              <w:rPr>
                <w:rFonts w:ascii="Arial" w:hAnsi="Arial" w:cs="Arial"/>
                <w:sz w:val="16"/>
                <w:szCs w:val="16"/>
              </w:rPr>
            </w:pPr>
            <w:r w:rsidRPr="006673F2">
              <w:rPr>
                <w:rFonts w:ascii="Arial" w:hAnsi="Arial" w:cs="Arial"/>
                <w:sz w:val="16"/>
                <w:szCs w:val="16"/>
              </w:rPr>
              <w:t> </w:t>
            </w:r>
          </w:p>
        </w:tc>
        <w:tc>
          <w:tcPr>
            <w:tcW w:w="0" w:type="auto"/>
            <w:tcBorders>
              <w:top w:val="nil"/>
              <w:left w:val="nil"/>
              <w:bottom w:val="nil"/>
              <w:right w:val="nil"/>
            </w:tcBorders>
            <w:shd w:val="clear" w:color="000000" w:fill="FFFFFF"/>
            <w:vAlign w:val="center"/>
            <w:hideMark/>
          </w:tcPr>
          <w:p w14:paraId="1FAE89FE" w14:textId="77777777" w:rsidR="008F22BE" w:rsidRPr="006673F2" w:rsidRDefault="008F22BE" w:rsidP="00C47FA1">
            <w:pPr>
              <w:rPr>
                <w:rFonts w:ascii="Arial" w:hAnsi="Arial" w:cs="Arial"/>
                <w:sz w:val="16"/>
                <w:szCs w:val="16"/>
              </w:rPr>
            </w:pPr>
            <w:r w:rsidRPr="006673F2">
              <w:rPr>
                <w:rFonts w:ascii="Arial" w:hAnsi="Arial" w:cs="Arial"/>
                <w:sz w:val="16"/>
                <w:szCs w:val="16"/>
              </w:rPr>
              <w:t> </w:t>
            </w:r>
          </w:p>
        </w:tc>
        <w:tc>
          <w:tcPr>
            <w:tcW w:w="0" w:type="auto"/>
            <w:tcBorders>
              <w:top w:val="nil"/>
              <w:left w:val="nil"/>
              <w:bottom w:val="nil"/>
              <w:right w:val="single" w:sz="8" w:space="0" w:color="auto"/>
            </w:tcBorders>
            <w:shd w:val="clear" w:color="000000" w:fill="CCCCCC"/>
            <w:vAlign w:val="center"/>
            <w:hideMark/>
          </w:tcPr>
          <w:p w14:paraId="05F0A573" w14:textId="77777777" w:rsidR="008F22BE" w:rsidRPr="006673F2" w:rsidRDefault="008F22BE" w:rsidP="00C47FA1">
            <w:pPr>
              <w:rPr>
                <w:rFonts w:ascii="Arial" w:hAnsi="Arial" w:cs="Arial"/>
                <w:sz w:val="16"/>
                <w:szCs w:val="16"/>
              </w:rPr>
            </w:pPr>
            <w:r w:rsidRPr="006673F2">
              <w:rPr>
                <w:rFonts w:ascii="Arial" w:hAnsi="Arial" w:cs="Arial"/>
                <w:sz w:val="16"/>
                <w:szCs w:val="16"/>
              </w:rPr>
              <w:t> </w:t>
            </w:r>
          </w:p>
        </w:tc>
      </w:tr>
      <w:tr w:rsidR="00846F0A" w:rsidRPr="00C47FA1" w14:paraId="0E621366"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573E17BF" w14:textId="77777777" w:rsidR="008F22BE" w:rsidRPr="006673F2" w:rsidRDefault="008F22BE" w:rsidP="00C47FA1">
            <w:pPr>
              <w:rPr>
                <w:rFonts w:ascii="Arial" w:hAnsi="Arial" w:cs="Arial"/>
                <w:b/>
                <w:bCs/>
                <w:color w:val="000000"/>
                <w:sz w:val="16"/>
                <w:szCs w:val="16"/>
              </w:rPr>
            </w:pPr>
            <w:r w:rsidRPr="006673F2">
              <w:rPr>
                <w:rFonts w:ascii="Arial" w:hAnsi="Arial" w:cs="Arial"/>
                <w:b/>
                <w:bCs/>
                <w:color w:val="000000"/>
                <w:sz w:val="16"/>
                <w:szCs w:val="16"/>
              </w:rPr>
              <w:t>Cost of Services:</w:t>
            </w:r>
          </w:p>
        </w:tc>
        <w:tc>
          <w:tcPr>
            <w:tcW w:w="0" w:type="auto"/>
            <w:tcBorders>
              <w:top w:val="nil"/>
              <w:left w:val="nil"/>
              <w:bottom w:val="nil"/>
              <w:right w:val="nil"/>
            </w:tcBorders>
            <w:shd w:val="clear" w:color="000000" w:fill="FFFFFF"/>
            <w:vAlign w:val="center"/>
            <w:hideMark/>
          </w:tcPr>
          <w:p w14:paraId="0421E503" w14:textId="77777777" w:rsidR="008F22BE" w:rsidRPr="006B79CE" w:rsidRDefault="008F22BE" w:rsidP="00C47FA1">
            <w:pPr>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235B69C6" w14:textId="77777777" w:rsidR="008F22BE" w:rsidRPr="006B79CE" w:rsidRDefault="008F22BE" w:rsidP="00C47FA1">
            <w:pPr>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04F5A7ED" w14:textId="77777777" w:rsidR="008F22BE" w:rsidRPr="006B79CE" w:rsidRDefault="008F22BE" w:rsidP="00C47FA1">
            <w:pPr>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5F37DE27" w14:textId="77777777" w:rsidR="008F22BE" w:rsidRPr="006B79CE" w:rsidRDefault="008F22BE" w:rsidP="00C47FA1">
            <w:pPr>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7D525AB3" w14:textId="77777777" w:rsidR="008F22BE" w:rsidRPr="006B79CE" w:rsidRDefault="008F22BE" w:rsidP="00C47FA1">
            <w:pPr>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5B6E91BE" w14:textId="77777777" w:rsidR="008F22BE" w:rsidRPr="006B79CE" w:rsidRDefault="008F22BE" w:rsidP="00C47FA1">
            <w:pPr>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3BDA04A9" w14:textId="77777777" w:rsidR="008F22BE" w:rsidRPr="006B79CE" w:rsidRDefault="008F22BE" w:rsidP="00C47FA1">
            <w:pPr>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35F18AAE" w14:textId="77777777" w:rsidR="008F22BE" w:rsidRPr="006B79CE" w:rsidRDefault="008F22BE" w:rsidP="00C47FA1">
            <w:pPr>
              <w:rPr>
                <w:rFonts w:ascii="Arial" w:hAnsi="Arial" w:cs="Arial"/>
                <w:sz w:val="18"/>
                <w:szCs w:val="18"/>
              </w:rPr>
            </w:pPr>
            <w:r w:rsidRPr="006B79CE">
              <w:rPr>
                <w:rFonts w:ascii="Arial" w:hAnsi="Arial" w:cs="Arial"/>
                <w:sz w:val="18"/>
                <w:szCs w:val="18"/>
              </w:rPr>
              <w:t> </w:t>
            </w:r>
          </w:p>
        </w:tc>
      </w:tr>
      <w:tr w:rsidR="006B79CE" w:rsidRPr="00C47FA1" w14:paraId="38AF931C"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638EEFE4" w14:textId="77777777" w:rsidR="006B79CE" w:rsidRPr="006673F2" w:rsidRDefault="006B79CE" w:rsidP="006B79CE">
            <w:pPr>
              <w:ind w:firstLineChars="400" w:firstLine="640"/>
              <w:rPr>
                <w:rFonts w:ascii="Symbol" w:hAnsi="Symbol" w:cs="Arial"/>
                <w:sz w:val="16"/>
                <w:szCs w:val="16"/>
              </w:rPr>
            </w:pPr>
            <w:r w:rsidRPr="006673F2">
              <w:rPr>
                <w:rFonts w:ascii="Symbol" w:hAnsi="Symbol" w:cs="Arial"/>
                <w:sz w:val="16"/>
                <w:szCs w:val="16"/>
              </w:rPr>
              <w:t>·</w:t>
            </w:r>
            <w:r w:rsidRPr="006673F2">
              <w:rPr>
                <w:sz w:val="16"/>
                <w:szCs w:val="16"/>
              </w:rPr>
              <w:t xml:space="preserve">         </w:t>
            </w:r>
            <w:r w:rsidRPr="006673F2">
              <w:rPr>
                <w:rFonts w:ascii="Arial" w:hAnsi="Arial" w:cs="Arial"/>
                <w:color w:val="000000"/>
                <w:sz w:val="16"/>
                <w:szCs w:val="16"/>
              </w:rPr>
              <w:t>Current service cost</w:t>
            </w:r>
          </w:p>
        </w:tc>
        <w:tc>
          <w:tcPr>
            <w:tcW w:w="0" w:type="auto"/>
            <w:tcBorders>
              <w:top w:val="nil"/>
              <w:left w:val="nil"/>
              <w:bottom w:val="nil"/>
              <w:right w:val="nil"/>
            </w:tcBorders>
            <w:shd w:val="clear" w:color="000000" w:fill="FFFFFF"/>
            <w:vAlign w:val="center"/>
            <w:hideMark/>
          </w:tcPr>
          <w:p w14:paraId="7D95F4BC" w14:textId="41BE16E6" w:rsidR="006B79CE" w:rsidRPr="006B79CE" w:rsidRDefault="006B79CE" w:rsidP="006B79CE">
            <w:pPr>
              <w:jc w:val="right"/>
              <w:rPr>
                <w:rFonts w:ascii="Arial" w:hAnsi="Arial" w:cs="Arial"/>
                <w:sz w:val="18"/>
                <w:szCs w:val="18"/>
              </w:rPr>
            </w:pPr>
            <w:r w:rsidRPr="006B79CE">
              <w:rPr>
                <w:rFonts w:ascii="Arial" w:hAnsi="Arial" w:cs="Arial"/>
                <w:sz w:val="18"/>
                <w:szCs w:val="18"/>
              </w:rPr>
              <w:t>11,942</w:t>
            </w:r>
          </w:p>
        </w:tc>
        <w:tc>
          <w:tcPr>
            <w:tcW w:w="0" w:type="auto"/>
            <w:tcBorders>
              <w:top w:val="nil"/>
              <w:left w:val="nil"/>
              <w:bottom w:val="nil"/>
              <w:right w:val="single" w:sz="8" w:space="0" w:color="auto"/>
            </w:tcBorders>
            <w:shd w:val="clear" w:color="000000" w:fill="CCCCCC"/>
            <w:vAlign w:val="center"/>
            <w:hideMark/>
          </w:tcPr>
          <w:p w14:paraId="7CDADA9C" w14:textId="65D4775F" w:rsidR="006B79CE" w:rsidRPr="006B79CE" w:rsidRDefault="006B79CE" w:rsidP="006B79CE">
            <w:pPr>
              <w:jc w:val="right"/>
              <w:rPr>
                <w:rFonts w:ascii="Arial" w:hAnsi="Arial" w:cs="Arial"/>
                <w:sz w:val="18"/>
                <w:szCs w:val="18"/>
              </w:rPr>
            </w:pPr>
            <w:r w:rsidRPr="006B79CE">
              <w:rPr>
                <w:rFonts w:ascii="Arial" w:hAnsi="Arial" w:cs="Arial"/>
                <w:sz w:val="18"/>
                <w:szCs w:val="18"/>
              </w:rPr>
              <w:t>11,718</w:t>
            </w:r>
          </w:p>
        </w:tc>
        <w:tc>
          <w:tcPr>
            <w:tcW w:w="0" w:type="auto"/>
            <w:tcBorders>
              <w:top w:val="nil"/>
              <w:left w:val="nil"/>
              <w:bottom w:val="nil"/>
              <w:right w:val="nil"/>
            </w:tcBorders>
            <w:shd w:val="clear" w:color="000000" w:fill="FFFFFF"/>
            <w:vAlign w:val="center"/>
            <w:hideMark/>
          </w:tcPr>
          <w:p w14:paraId="73019EDC" w14:textId="56A633BD" w:rsidR="006B79CE" w:rsidRPr="006B79CE" w:rsidRDefault="006B79CE" w:rsidP="006B79CE">
            <w:pPr>
              <w:jc w:val="right"/>
              <w:rPr>
                <w:rFonts w:ascii="Arial" w:hAnsi="Arial" w:cs="Arial"/>
                <w:sz w:val="18"/>
                <w:szCs w:val="18"/>
              </w:rPr>
            </w:pPr>
            <w:r w:rsidRPr="006B79CE">
              <w:rPr>
                <w:rFonts w:ascii="Arial" w:hAnsi="Arial" w:cs="Arial"/>
                <w:sz w:val="18"/>
                <w:szCs w:val="18"/>
              </w:rPr>
              <w:t>32,434</w:t>
            </w:r>
          </w:p>
        </w:tc>
        <w:tc>
          <w:tcPr>
            <w:tcW w:w="0" w:type="auto"/>
            <w:tcBorders>
              <w:top w:val="nil"/>
              <w:left w:val="nil"/>
              <w:bottom w:val="nil"/>
              <w:right w:val="single" w:sz="8" w:space="0" w:color="auto"/>
            </w:tcBorders>
            <w:shd w:val="clear" w:color="000000" w:fill="CCCCCC"/>
            <w:vAlign w:val="center"/>
            <w:hideMark/>
          </w:tcPr>
          <w:p w14:paraId="2038586F" w14:textId="0F2527C5" w:rsidR="006B79CE" w:rsidRPr="006B79CE" w:rsidRDefault="006B79CE" w:rsidP="006B79CE">
            <w:pPr>
              <w:jc w:val="right"/>
              <w:rPr>
                <w:rFonts w:ascii="Arial" w:hAnsi="Arial" w:cs="Arial"/>
                <w:sz w:val="18"/>
                <w:szCs w:val="18"/>
              </w:rPr>
            </w:pPr>
            <w:r w:rsidRPr="006B79CE">
              <w:rPr>
                <w:rFonts w:ascii="Arial" w:hAnsi="Arial" w:cs="Arial"/>
                <w:sz w:val="18"/>
                <w:szCs w:val="18"/>
              </w:rPr>
              <w:t>32,983</w:t>
            </w:r>
          </w:p>
        </w:tc>
        <w:tc>
          <w:tcPr>
            <w:tcW w:w="0" w:type="auto"/>
            <w:tcBorders>
              <w:top w:val="nil"/>
              <w:left w:val="nil"/>
              <w:bottom w:val="nil"/>
              <w:right w:val="nil"/>
            </w:tcBorders>
            <w:shd w:val="clear" w:color="000000" w:fill="FFFFFF"/>
            <w:vAlign w:val="center"/>
            <w:hideMark/>
          </w:tcPr>
          <w:p w14:paraId="2CA54D34" w14:textId="57CDA0D7" w:rsidR="006B79CE" w:rsidRPr="006B79CE" w:rsidRDefault="006B79CE" w:rsidP="006B79CE">
            <w:pPr>
              <w:jc w:val="right"/>
              <w:rPr>
                <w:rFonts w:ascii="Arial" w:hAnsi="Arial" w:cs="Arial"/>
                <w:sz w:val="18"/>
                <w:szCs w:val="18"/>
              </w:rPr>
            </w:pPr>
            <w:r w:rsidRPr="006B79CE">
              <w:rPr>
                <w:rFonts w:ascii="Arial" w:hAnsi="Arial" w:cs="Arial"/>
                <w:sz w:val="18"/>
                <w:szCs w:val="18"/>
              </w:rPr>
              <w:t>8,522</w:t>
            </w:r>
          </w:p>
        </w:tc>
        <w:tc>
          <w:tcPr>
            <w:tcW w:w="0" w:type="auto"/>
            <w:tcBorders>
              <w:top w:val="nil"/>
              <w:left w:val="nil"/>
              <w:bottom w:val="nil"/>
              <w:right w:val="single" w:sz="8" w:space="0" w:color="auto"/>
            </w:tcBorders>
            <w:shd w:val="clear" w:color="000000" w:fill="CCCCCC"/>
            <w:vAlign w:val="center"/>
            <w:hideMark/>
          </w:tcPr>
          <w:p w14:paraId="5C8F842D" w14:textId="5DE363BB" w:rsidR="006B79CE" w:rsidRPr="006B79CE" w:rsidRDefault="006B79CE" w:rsidP="006B79CE">
            <w:pPr>
              <w:jc w:val="right"/>
              <w:rPr>
                <w:rFonts w:ascii="Arial" w:hAnsi="Arial" w:cs="Arial"/>
                <w:sz w:val="18"/>
                <w:szCs w:val="18"/>
              </w:rPr>
            </w:pPr>
            <w:r w:rsidRPr="006B79CE">
              <w:rPr>
                <w:rFonts w:ascii="Arial" w:hAnsi="Arial" w:cs="Arial"/>
                <w:sz w:val="18"/>
                <w:szCs w:val="18"/>
              </w:rPr>
              <w:t>8,999</w:t>
            </w:r>
          </w:p>
        </w:tc>
        <w:tc>
          <w:tcPr>
            <w:tcW w:w="0" w:type="auto"/>
            <w:tcBorders>
              <w:top w:val="nil"/>
              <w:left w:val="nil"/>
              <w:bottom w:val="nil"/>
              <w:right w:val="nil"/>
            </w:tcBorders>
            <w:shd w:val="clear" w:color="000000" w:fill="FFFFFF"/>
            <w:vAlign w:val="center"/>
            <w:hideMark/>
          </w:tcPr>
          <w:p w14:paraId="08CEACB6" w14:textId="35687A40" w:rsidR="006B79CE" w:rsidRPr="006B79CE" w:rsidRDefault="006B79CE" w:rsidP="006B79CE">
            <w:pPr>
              <w:jc w:val="right"/>
              <w:rPr>
                <w:rFonts w:ascii="Arial" w:hAnsi="Arial" w:cs="Arial"/>
                <w:sz w:val="18"/>
                <w:szCs w:val="18"/>
              </w:rPr>
            </w:pPr>
            <w:r w:rsidRPr="006B79CE">
              <w:rPr>
                <w:rFonts w:ascii="Arial" w:hAnsi="Arial" w:cs="Arial"/>
                <w:sz w:val="18"/>
                <w:szCs w:val="18"/>
              </w:rPr>
              <w:t>52,898</w:t>
            </w:r>
          </w:p>
        </w:tc>
        <w:tc>
          <w:tcPr>
            <w:tcW w:w="0" w:type="auto"/>
            <w:tcBorders>
              <w:top w:val="nil"/>
              <w:left w:val="nil"/>
              <w:bottom w:val="nil"/>
              <w:right w:val="single" w:sz="8" w:space="0" w:color="auto"/>
            </w:tcBorders>
            <w:shd w:val="clear" w:color="000000" w:fill="CCCCCC"/>
            <w:vAlign w:val="center"/>
            <w:hideMark/>
          </w:tcPr>
          <w:p w14:paraId="7BC466FB" w14:textId="0E67AC19" w:rsidR="006B79CE" w:rsidRPr="006B79CE" w:rsidRDefault="006B79CE" w:rsidP="006B79CE">
            <w:pPr>
              <w:jc w:val="right"/>
              <w:rPr>
                <w:rFonts w:ascii="Arial" w:hAnsi="Arial" w:cs="Arial"/>
                <w:sz w:val="18"/>
                <w:szCs w:val="18"/>
              </w:rPr>
            </w:pPr>
            <w:r w:rsidRPr="006B79CE">
              <w:rPr>
                <w:rFonts w:ascii="Arial" w:hAnsi="Arial" w:cs="Arial"/>
                <w:sz w:val="18"/>
                <w:szCs w:val="18"/>
              </w:rPr>
              <w:t>53,700</w:t>
            </w:r>
          </w:p>
        </w:tc>
      </w:tr>
      <w:tr w:rsidR="006B79CE" w:rsidRPr="00C47FA1" w14:paraId="6B06B5ED"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42AB709D" w14:textId="77777777" w:rsidR="006B79CE" w:rsidRPr="006673F2" w:rsidRDefault="006B79CE" w:rsidP="006B79CE">
            <w:pPr>
              <w:ind w:firstLineChars="400" w:firstLine="640"/>
              <w:rPr>
                <w:rFonts w:ascii="Symbol" w:hAnsi="Symbol" w:cs="Arial"/>
                <w:sz w:val="16"/>
                <w:szCs w:val="16"/>
              </w:rPr>
            </w:pPr>
            <w:r w:rsidRPr="006673F2">
              <w:rPr>
                <w:rFonts w:ascii="Symbol" w:hAnsi="Symbol" w:cs="Arial"/>
                <w:sz w:val="16"/>
                <w:szCs w:val="16"/>
              </w:rPr>
              <w:t>·</w:t>
            </w:r>
            <w:r w:rsidRPr="006673F2">
              <w:rPr>
                <w:sz w:val="16"/>
                <w:szCs w:val="16"/>
              </w:rPr>
              <w:t xml:space="preserve">         </w:t>
            </w:r>
            <w:r w:rsidRPr="006673F2">
              <w:rPr>
                <w:rFonts w:ascii="Arial" w:hAnsi="Arial" w:cs="Arial"/>
                <w:color w:val="000000"/>
                <w:sz w:val="16"/>
                <w:szCs w:val="16"/>
              </w:rPr>
              <w:t>Past service/Curtailment costs</w:t>
            </w:r>
          </w:p>
        </w:tc>
        <w:tc>
          <w:tcPr>
            <w:tcW w:w="0" w:type="auto"/>
            <w:tcBorders>
              <w:top w:val="nil"/>
              <w:left w:val="nil"/>
              <w:bottom w:val="nil"/>
              <w:right w:val="nil"/>
            </w:tcBorders>
            <w:shd w:val="clear" w:color="000000" w:fill="FFFFFF"/>
            <w:vAlign w:val="center"/>
            <w:hideMark/>
          </w:tcPr>
          <w:p w14:paraId="460C0FE6" w14:textId="58F43D83" w:rsidR="006B79CE" w:rsidRPr="006B79CE" w:rsidRDefault="006B79CE" w:rsidP="006B79CE">
            <w:pPr>
              <w:jc w:val="right"/>
              <w:rPr>
                <w:rFonts w:ascii="Arial" w:hAnsi="Arial" w:cs="Arial"/>
                <w:sz w:val="18"/>
                <w:szCs w:val="18"/>
              </w:rPr>
            </w:pPr>
            <w:r w:rsidRPr="006B79CE">
              <w:rPr>
                <w:rFonts w:ascii="Arial" w:hAnsi="Arial" w:cs="Arial"/>
                <w:sz w:val="18"/>
                <w:szCs w:val="18"/>
              </w:rPr>
              <w:t>88</w:t>
            </w:r>
          </w:p>
        </w:tc>
        <w:tc>
          <w:tcPr>
            <w:tcW w:w="0" w:type="auto"/>
            <w:tcBorders>
              <w:top w:val="nil"/>
              <w:left w:val="nil"/>
              <w:bottom w:val="nil"/>
              <w:right w:val="single" w:sz="8" w:space="0" w:color="auto"/>
            </w:tcBorders>
            <w:shd w:val="clear" w:color="000000" w:fill="CCCCCC"/>
            <w:vAlign w:val="center"/>
            <w:hideMark/>
          </w:tcPr>
          <w:p w14:paraId="57CAD4BA" w14:textId="145A1EEB" w:rsidR="006B79CE" w:rsidRPr="006B79CE" w:rsidRDefault="006B79CE" w:rsidP="006B79CE">
            <w:pPr>
              <w:jc w:val="right"/>
              <w:rPr>
                <w:rFonts w:ascii="Arial" w:hAnsi="Arial" w:cs="Arial"/>
                <w:sz w:val="18"/>
                <w:szCs w:val="18"/>
              </w:rPr>
            </w:pPr>
            <w:r w:rsidRPr="006B79CE">
              <w:rPr>
                <w:rFonts w:ascii="Arial" w:hAnsi="Arial" w:cs="Arial"/>
                <w:sz w:val="18"/>
                <w:szCs w:val="18"/>
              </w:rPr>
              <w:t>447</w:t>
            </w:r>
          </w:p>
        </w:tc>
        <w:tc>
          <w:tcPr>
            <w:tcW w:w="0" w:type="auto"/>
            <w:tcBorders>
              <w:top w:val="nil"/>
              <w:left w:val="nil"/>
              <w:bottom w:val="nil"/>
              <w:right w:val="nil"/>
            </w:tcBorders>
            <w:shd w:val="clear" w:color="000000" w:fill="FFFFFF"/>
            <w:vAlign w:val="center"/>
            <w:hideMark/>
          </w:tcPr>
          <w:p w14:paraId="1B4FCC2C"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single" w:sz="8" w:space="0" w:color="auto"/>
            </w:tcBorders>
            <w:shd w:val="clear" w:color="000000" w:fill="CCCCCC"/>
            <w:vAlign w:val="center"/>
            <w:hideMark/>
          </w:tcPr>
          <w:p w14:paraId="5F587D56" w14:textId="2C7801A3"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60CD45C6"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single" w:sz="8" w:space="0" w:color="auto"/>
            </w:tcBorders>
            <w:shd w:val="clear" w:color="000000" w:fill="CCCCCC"/>
            <w:vAlign w:val="center"/>
            <w:hideMark/>
          </w:tcPr>
          <w:p w14:paraId="3DFAAE99" w14:textId="7F5B547C"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5508EC1D" w14:textId="5C1D31CA" w:rsidR="006B79CE" w:rsidRPr="006B79CE" w:rsidRDefault="006B79CE" w:rsidP="006B79CE">
            <w:pPr>
              <w:jc w:val="right"/>
              <w:rPr>
                <w:rFonts w:ascii="Arial" w:hAnsi="Arial" w:cs="Arial"/>
                <w:sz w:val="18"/>
                <w:szCs w:val="18"/>
              </w:rPr>
            </w:pPr>
            <w:r w:rsidRPr="006B79CE">
              <w:rPr>
                <w:rFonts w:ascii="Arial" w:hAnsi="Arial" w:cs="Arial"/>
                <w:sz w:val="18"/>
                <w:szCs w:val="18"/>
              </w:rPr>
              <w:t>88</w:t>
            </w:r>
          </w:p>
        </w:tc>
        <w:tc>
          <w:tcPr>
            <w:tcW w:w="0" w:type="auto"/>
            <w:tcBorders>
              <w:top w:val="nil"/>
              <w:left w:val="nil"/>
              <w:bottom w:val="nil"/>
              <w:right w:val="single" w:sz="8" w:space="0" w:color="auto"/>
            </w:tcBorders>
            <w:shd w:val="clear" w:color="000000" w:fill="CCCCCC"/>
            <w:vAlign w:val="center"/>
            <w:hideMark/>
          </w:tcPr>
          <w:p w14:paraId="5256E7C8" w14:textId="0D0DE546" w:rsidR="006B79CE" w:rsidRPr="006B79CE" w:rsidRDefault="006B79CE" w:rsidP="006B79CE">
            <w:pPr>
              <w:jc w:val="right"/>
              <w:rPr>
                <w:rFonts w:ascii="Arial" w:hAnsi="Arial" w:cs="Arial"/>
                <w:sz w:val="18"/>
                <w:szCs w:val="18"/>
              </w:rPr>
            </w:pPr>
            <w:r w:rsidRPr="006B79CE">
              <w:rPr>
                <w:rFonts w:ascii="Arial" w:hAnsi="Arial" w:cs="Arial"/>
                <w:sz w:val="18"/>
                <w:szCs w:val="18"/>
              </w:rPr>
              <w:t>447</w:t>
            </w:r>
          </w:p>
        </w:tc>
      </w:tr>
      <w:tr w:rsidR="006B79CE" w:rsidRPr="00C47FA1" w14:paraId="60D90606"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7B7E2FDE" w14:textId="77777777" w:rsidR="006B79CE" w:rsidRPr="006673F2" w:rsidRDefault="006B79CE" w:rsidP="006B79CE">
            <w:pPr>
              <w:ind w:firstLineChars="400" w:firstLine="640"/>
              <w:rPr>
                <w:rFonts w:ascii="Symbol" w:hAnsi="Symbol" w:cs="Arial"/>
                <w:sz w:val="16"/>
                <w:szCs w:val="16"/>
              </w:rPr>
            </w:pPr>
            <w:r w:rsidRPr="006673F2">
              <w:rPr>
                <w:rFonts w:ascii="Symbol" w:hAnsi="Symbol" w:cs="Arial"/>
                <w:sz w:val="16"/>
                <w:szCs w:val="16"/>
              </w:rPr>
              <w:t>·</w:t>
            </w:r>
            <w:r w:rsidRPr="006673F2">
              <w:rPr>
                <w:sz w:val="16"/>
                <w:szCs w:val="16"/>
              </w:rPr>
              <w:t xml:space="preserve">         </w:t>
            </w:r>
            <w:r w:rsidRPr="006673F2">
              <w:rPr>
                <w:rFonts w:ascii="Arial" w:hAnsi="Arial" w:cs="Arial"/>
                <w:color w:val="000000"/>
                <w:sz w:val="16"/>
                <w:szCs w:val="16"/>
              </w:rPr>
              <w:t>Admin. Expenses</w:t>
            </w:r>
          </w:p>
        </w:tc>
        <w:tc>
          <w:tcPr>
            <w:tcW w:w="0" w:type="auto"/>
            <w:tcBorders>
              <w:top w:val="nil"/>
              <w:left w:val="nil"/>
              <w:bottom w:val="nil"/>
              <w:right w:val="nil"/>
            </w:tcBorders>
            <w:shd w:val="clear" w:color="000000" w:fill="FFFFFF"/>
            <w:vAlign w:val="center"/>
            <w:hideMark/>
          </w:tcPr>
          <w:p w14:paraId="32FF51B5" w14:textId="757A104D" w:rsidR="006B79CE" w:rsidRPr="006B79CE" w:rsidRDefault="006B79CE" w:rsidP="006B79CE">
            <w:pPr>
              <w:jc w:val="right"/>
              <w:rPr>
                <w:rFonts w:ascii="Arial" w:hAnsi="Arial" w:cs="Arial"/>
                <w:sz w:val="18"/>
                <w:szCs w:val="18"/>
              </w:rPr>
            </w:pPr>
            <w:r w:rsidRPr="006B79CE">
              <w:rPr>
                <w:rFonts w:ascii="Arial" w:hAnsi="Arial" w:cs="Arial"/>
                <w:sz w:val="18"/>
                <w:szCs w:val="18"/>
              </w:rPr>
              <w:t>437</w:t>
            </w:r>
          </w:p>
        </w:tc>
        <w:tc>
          <w:tcPr>
            <w:tcW w:w="0" w:type="auto"/>
            <w:tcBorders>
              <w:top w:val="nil"/>
              <w:left w:val="nil"/>
              <w:bottom w:val="nil"/>
              <w:right w:val="single" w:sz="8" w:space="0" w:color="auto"/>
            </w:tcBorders>
            <w:shd w:val="clear" w:color="000000" w:fill="CCCCCC"/>
            <w:vAlign w:val="center"/>
            <w:hideMark/>
          </w:tcPr>
          <w:p w14:paraId="07EE628D" w14:textId="7F440EF7" w:rsidR="006B79CE" w:rsidRPr="006B79CE" w:rsidRDefault="006B79CE" w:rsidP="006B79CE">
            <w:pPr>
              <w:jc w:val="right"/>
              <w:rPr>
                <w:rFonts w:ascii="Arial" w:hAnsi="Arial" w:cs="Arial"/>
                <w:sz w:val="18"/>
                <w:szCs w:val="18"/>
              </w:rPr>
            </w:pPr>
            <w:r w:rsidRPr="006B79CE">
              <w:rPr>
                <w:rFonts w:ascii="Arial" w:hAnsi="Arial" w:cs="Arial"/>
                <w:sz w:val="18"/>
                <w:szCs w:val="18"/>
              </w:rPr>
              <w:t>468</w:t>
            </w:r>
          </w:p>
        </w:tc>
        <w:tc>
          <w:tcPr>
            <w:tcW w:w="0" w:type="auto"/>
            <w:tcBorders>
              <w:top w:val="nil"/>
              <w:left w:val="nil"/>
              <w:bottom w:val="nil"/>
              <w:right w:val="nil"/>
            </w:tcBorders>
            <w:shd w:val="clear" w:color="000000" w:fill="FFFFFF"/>
            <w:vAlign w:val="center"/>
            <w:hideMark/>
          </w:tcPr>
          <w:p w14:paraId="5F476DDF"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single" w:sz="8" w:space="0" w:color="auto"/>
            </w:tcBorders>
            <w:shd w:val="clear" w:color="000000" w:fill="CCCCCC"/>
            <w:vAlign w:val="center"/>
            <w:hideMark/>
          </w:tcPr>
          <w:p w14:paraId="524EFC1F" w14:textId="428999B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3B2B119F"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single" w:sz="8" w:space="0" w:color="auto"/>
            </w:tcBorders>
            <w:shd w:val="clear" w:color="000000" w:fill="CCCCCC"/>
            <w:vAlign w:val="center"/>
            <w:hideMark/>
          </w:tcPr>
          <w:p w14:paraId="7E4FCADD" w14:textId="3DDF3891"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562672C6" w14:textId="4ED6DF5D" w:rsidR="006B79CE" w:rsidRPr="006B79CE" w:rsidRDefault="006B79CE" w:rsidP="006B79CE">
            <w:pPr>
              <w:jc w:val="right"/>
              <w:rPr>
                <w:rFonts w:ascii="Arial" w:hAnsi="Arial" w:cs="Arial"/>
                <w:sz w:val="18"/>
                <w:szCs w:val="18"/>
              </w:rPr>
            </w:pPr>
            <w:r w:rsidRPr="006B79CE">
              <w:rPr>
                <w:rFonts w:ascii="Arial" w:hAnsi="Arial" w:cs="Arial"/>
                <w:sz w:val="18"/>
                <w:szCs w:val="18"/>
              </w:rPr>
              <w:t>437</w:t>
            </w:r>
          </w:p>
        </w:tc>
        <w:tc>
          <w:tcPr>
            <w:tcW w:w="0" w:type="auto"/>
            <w:tcBorders>
              <w:top w:val="nil"/>
              <w:left w:val="nil"/>
              <w:bottom w:val="nil"/>
              <w:right w:val="single" w:sz="8" w:space="0" w:color="auto"/>
            </w:tcBorders>
            <w:shd w:val="clear" w:color="000000" w:fill="CCCCCC"/>
            <w:vAlign w:val="center"/>
            <w:hideMark/>
          </w:tcPr>
          <w:p w14:paraId="1C0E04C0" w14:textId="40A1B3DC" w:rsidR="006B79CE" w:rsidRPr="006B79CE" w:rsidRDefault="006B79CE" w:rsidP="006B79CE">
            <w:pPr>
              <w:jc w:val="right"/>
              <w:rPr>
                <w:rFonts w:ascii="Arial" w:hAnsi="Arial" w:cs="Arial"/>
                <w:sz w:val="18"/>
                <w:szCs w:val="18"/>
              </w:rPr>
            </w:pPr>
            <w:r w:rsidRPr="006B79CE">
              <w:rPr>
                <w:rFonts w:ascii="Arial" w:hAnsi="Arial" w:cs="Arial"/>
                <w:sz w:val="18"/>
                <w:szCs w:val="18"/>
              </w:rPr>
              <w:t>468</w:t>
            </w:r>
          </w:p>
        </w:tc>
      </w:tr>
      <w:tr w:rsidR="006B79CE" w:rsidRPr="00C47FA1" w14:paraId="0E05924B"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00C910F1" w14:textId="77777777" w:rsidR="006B79CE" w:rsidRPr="006673F2" w:rsidRDefault="006B79CE" w:rsidP="006B79CE">
            <w:pPr>
              <w:rPr>
                <w:rFonts w:ascii="Arial" w:hAnsi="Arial" w:cs="Arial"/>
                <w:b/>
                <w:bCs/>
                <w:color w:val="000000"/>
                <w:sz w:val="16"/>
                <w:szCs w:val="16"/>
              </w:rPr>
            </w:pPr>
            <w:r w:rsidRPr="006673F2">
              <w:rPr>
                <w:rFonts w:ascii="Arial" w:hAnsi="Arial" w:cs="Arial"/>
                <w:b/>
                <w:bCs/>
                <w:color w:val="000000"/>
                <w:sz w:val="16"/>
                <w:szCs w:val="16"/>
              </w:rPr>
              <w:t>Financing and Investment Income and Expenditure</w:t>
            </w:r>
            <w:r w:rsidRPr="006673F2">
              <w:rPr>
                <w:rFonts w:ascii="Arial" w:hAnsi="Arial" w:cs="Arial"/>
                <w:b/>
                <w:bCs/>
                <w:i/>
                <w:iCs/>
                <w:color w:val="000000"/>
                <w:sz w:val="16"/>
                <w:szCs w:val="16"/>
              </w:rPr>
              <w:t>:</w:t>
            </w:r>
          </w:p>
        </w:tc>
        <w:tc>
          <w:tcPr>
            <w:tcW w:w="0" w:type="auto"/>
            <w:tcBorders>
              <w:top w:val="nil"/>
              <w:left w:val="nil"/>
              <w:bottom w:val="nil"/>
              <w:right w:val="nil"/>
            </w:tcBorders>
            <w:shd w:val="clear" w:color="000000" w:fill="FFFFFF"/>
            <w:vAlign w:val="center"/>
            <w:hideMark/>
          </w:tcPr>
          <w:p w14:paraId="3C9B8B39"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3638E0DA" w14:textId="0256DCD2"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nil"/>
            </w:tcBorders>
            <w:shd w:val="clear" w:color="000000" w:fill="FFFFFF"/>
            <w:vAlign w:val="center"/>
            <w:hideMark/>
          </w:tcPr>
          <w:p w14:paraId="3F16D3A7" w14:textId="77777777"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single" w:sz="8" w:space="0" w:color="auto"/>
            </w:tcBorders>
            <w:shd w:val="clear" w:color="000000" w:fill="CCCCCC"/>
            <w:vAlign w:val="center"/>
            <w:hideMark/>
          </w:tcPr>
          <w:p w14:paraId="69C279F1" w14:textId="6CF497C7"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nil"/>
            </w:tcBorders>
            <w:shd w:val="clear" w:color="000000" w:fill="FFFFFF"/>
            <w:vAlign w:val="center"/>
            <w:hideMark/>
          </w:tcPr>
          <w:p w14:paraId="64CD0F4E" w14:textId="77777777"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single" w:sz="8" w:space="0" w:color="auto"/>
            </w:tcBorders>
            <w:shd w:val="clear" w:color="000000" w:fill="CCCCCC"/>
            <w:vAlign w:val="center"/>
            <w:hideMark/>
          </w:tcPr>
          <w:p w14:paraId="29D10DBC" w14:textId="3F4F2C21"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nil"/>
            </w:tcBorders>
            <w:shd w:val="clear" w:color="000000" w:fill="FFFFFF"/>
            <w:vAlign w:val="center"/>
            <w:hideMark/>
          </w:tcPr>
          <w:p w14:paraId="5408BC70" w14:textId="56565F60"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single" w:sz="8" w:space="0" w:color="auto"/>
            </w:tcBorders>
            <w:shd w:val="clear" w:color="000000" w:fill="CCCCCC"/>
            <w:vAlign w:val="center"/>
            <w:hideMark/>
          </w:tcPr>
          <w:p w14:paraId="6E31F80A" w14:textId="737333B6"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r>
      <w:tr w:rsidR="006B79CE" w:rsidRPr="00C47FA1" w14:paraId="5C22C5B4" w14:textId="77777777" w:rsidTr="004F01F6">
        <w:trPr>
          <w:trHeight w:val="315"/>
        </w:trPr>
        <w:tc>
          <w:tcPr>
            <w:tcW w:w="0" w:type="auto"/>
            <w:tcBorders>
              <w:top w:val="nil"/>
              <w:left w:val="single" w:sz="8" w:space="0" w:color="auto"/>
              <w:bottom w:val="nil"/>
              <w:right w:val="single" w:sz="8" w:space="0" w:color="auto"/>
            </w:tcBorders>
            <w:shd w:val="clear" w:color="000000" w:fill="CCCCCC"/>
            <w:vAlign w:val="center"/>
            <w:hideMark/>
          </w:tcPr>
          <w:p w14:paraId="06CA0810" w14:textId="77777777" w:rsidR="006B79CE" w:rsidRPr="006673F2" w:rsidRDefault="006B79CE" w:rsidP="006B79CE">
            <w:pPr>
              <w:ind w:firstLineChars="400" w:firstLine="640"/>
              <w:rPr>
                <w:rFonts w:ascii="Symbol" w:hAnsi="Symbol" w:cs="Arial"/>
                <w:sz w:val="16"/>
                <w:szCs w:val="16"/>
              </w:rPr>
            </w:pPr>
            <w:r w:rsidRPr="006673F2">
              <w:rPr>
                <w:rFonts w:ascii="Symbol" w:hAnsi="Symbol" w:cs="Arial"/>
                <w:sz w:val="16"/>
                <w:szCs w:val="16"/>
              </w:rPr>
              <w:t>·</w:t>
            </w:r>
            <w:r w:rsidRPr="006673F2">
              <w:rPr>
                <w:sz w:val="16"/>
                <w:szCs w:val="16"/>
              </w:rPr>
              <w:t xml:space="preserve">         </w:t>
            </w:r>
            <w:r w:rsidRPr="006673F2">
              <w:rPr>
                <w:rFonts w:ascii="Arial" w:hAnsi="Arial" w:cs="Arial"/>
                <w:color w:val="000000"/>
                <w:sz w:val="16"/>
                <w:szCs w:val="16"/>
              </w:rPr>
              <w:t>Net Interest expense</w:t>
            </w:r>
          </w:p>
        </w:tc>
        <w:tc>
          <w:tcPr>
            <w:tcW w:w="0" w:type="auto"/>
            <w:tcBorders>
              <w:top w:val="nil"/>
              <w:left w:val="nil"/>
              <w:bottom w:val="nil"/>
              <w:right w:val="nil"/>
            </w:tcBorders>
            <w:shd w:val="clear" w:color="000000" w:fill="FFFFFF"/>
            <w:vAlign w:val="center"/>
            <w:hideMark/>
          </w:tcPr>
          <w:p w14:paraId="0FA405DD" w14:textId="72CE2E29" w:rsidR="006B79CE" w:rsidRPr="006B79CE" w:rsidRDefault="006B79CE" w:rsidP="006B79CE">
            <w:pPr>
              <w:jc w:val="right"/>
              <w:rPr>
                <w:rFonts w:ascii="Arial" w:hAnsi="Arial" w:cs="Arial"/>
                <w:sz w:val="18"/>
                <w:szCs w:val="18"/>
              </w:rPr>
            </w:pPr>
            <w:r w:rsidRPr="006B79CE">
              <w:rPr>
                <w:rFonts w:ascii="Arial" w:hAnsi="Arial" w:cs="Arial"/>
                <w:sz w:val="18"/>
                <w:szCs w:val="18"/>
              </w:rPr>
              <w:t>(1,459)</w:t>
            </w:r>
          </w:p>
        </w:tc>
        <w:tc>
          <w:tcPr>
            <w:tcW w:w="0" w:type="auto"/>
            <w:tcBorders>
              <w:top w:val="nil"/>
              <w:left w:val="nil"/>
              <w:bottom w:val="nil"/>
              <w:right w:val="single" w:sz="8" w:space="0" w:color="auto"/>
            </w:tcBorders>
            <w:shd w:val="clear" w:color="000000" w:fill="CCCCCC"/>
            <w:vAlign w:val="center"/>
            <w:hideMark/>
          </w:tcPr>
          <w:p w14:paraId="22819DAB" w14:textId="23D784A3" w:rsidR="006B79CE" w:rsidRPr="006B79CE" w:rsidRDefault="006B79CE" w:rsidP="006B79CE">
            <w:pPr>
              <w:jc w:val="right"/>
              <w:rPr>
                <w:rFonts w:ascii="Arial" w:hAnsi="Arial" w:cs="Arial"/>
                <w:sz w:val="18"/>
                <w:szCs w:val="18"/>
              </w:rPr>
            </w:pPr>
            <w:r w:rsidRPr="006B79CE">
              <w:rPr>
                <w:rFonts w:ascii="Arial" w:hAnsi="Arial" w:cs="Arial"/>
                <w:sz w:val="18"/>
                <w:szCs w:val="18"/>
              </w:rPr>
              <w:t>(22)</w:t>
            </w:r>
          </w:p>
        </w:tc>
        <w:tc>
          <w:tcPr>
            <w:tcW w:w="0" w:type="auto"/>
            <w:tcBorders>
              <w:top w:val="nil"/>
              <w:left w:val="nil"/>
              <w:bottom w:val="nil"/>
              <w:right w:val="nil"/>
            </w:tcBorders>
            <w:shd w:val="clear" w:color="000000" w:fill="FFFFFF"/>
            <w:vAlign w:val="center"/>
            <w:hideMark/>
          </w:tcPr>
          <w:p w14:paraId="618A6D4E" w14:textId="08A1E16D" w:rsidR="006B79CE" w:rsidRPr="006B79CE" w:rsidRDefault="006B79CE" w:rsidP="006B79CE">
            <w:pPr>
              <w:jc w:val="right"/>
              <w:rPr>
                <w:rFonts w:ascii="Arial" w:hAnsi="Arial" w:cs="Arial"/>
                <w:sz w:val="18"/>
                <w:szCs w:val="18"/>
              </w:rPr>
            </w:pPr>
            <w:r w:rsidRPr="006B79CE">
              <w:rPr>
                <w:rFonts w:ascii="Arial" w:hAnsi="Arial" w:cs="Arial"/>
                <w:sz w:val="18"/>
                <w:szCs w:val="18"/>
              </w:rPr>
              <w:t>127,260</w:t>
            </w:r>
          </w:p>
        </w:tc>
        <w:tc>
          <w:tcPr>
            <w:tcW w:w="0" w:type="auto"/>
            <w:tcBorders>
              <w:top w:val="nil"/>
              <w:left w:val="nil"/>
              <w:bottom w:val="nil"/>
              <w:right w:val="single" w:sz="8" w:space="0" w:color="auto"/>
            </w:tcBorders>
            <w:shd w:val="clear" w:color="000000" w:fill="CCCCCC"/>
            <w:vAlign w:val="center"/>
            <w:hideMark/>
          </w:tcPr>
          <w:p w14:paraId="16902E6B" w14:textId="1DAD4F78" w:rsidR="006B79CE" w:rsidRPr="006B79CE" w:rsidRDefault="006B79CE" w:rsidP="006B79CE">
            <w:pPr>
              <w:jc w:val="right"/>
              <w:rPr>
                <w:rFonts w:ascii="Arial" w:hAnsi="Arial" w:cs="Arial"/>
                <w:sz w:val="18"/>
                <w:szCs w:val="18"/>
              </w:rPr>
            </w:pPr>
            <w:r w:rsidRPr="006B79CE">
              <w:rPr>
                <w:rFonts w:ascii="Arial" w:hAnsi="Arial" w:cs="Arial"/>
                <w:sz w:val="18"/>
                <w:szCs w:val="18"/>
              </w:rPr>
              <w:t>128,514</w:t>
            </w:r>
          </w:p>
        </w:tc>
        <w:tc>
          <w:tcPr>
            <w:tcW w:w="0" w:type="auto"/>
            <w:tcBorders>
              <w:top w:val="nil"/>
              <w:left w:val="nil"/>
              <w:bottom w:val="nil"/>
              <w:right w:val="nil"/>
            </w:tcBorders>
            <w:shd w:val="clear" w:color="000000" w:fill="FFFFFF"/>
            <w:vAlign w:val="center"/>
            <w:hideMark/>
          </w:tcPr>
          <w:p w14:paraId="3451739F" w14:textId="3CDD9E98" w:rsidR="006B79CE" w:rsidRPr="006B79CE" w:rsidRDefault="006B79CE" w:rsidP="006B79CE">
            <w:pPr>
              <w:jc w:val="right"/>
              <w:rPr>
                <w:rFonts w:ascii="Arial" w:hAnsi="Arial" w:cs="Arial"/>
                <w:sz w:val="18"/>
                <w:szCs w:val="18"/>
              </w:rPr>
            </w:pPr>
            <w:r w:rsidRPr="006B79CE">
              <w:rPr>
                <w:rFonts w:ascii="Arial" w:hAnsi="Arial" w:cs="Arial"/>
                <w:sz w:val="18"/>
                <w:szCs w:val="18"/>
              </w:rPr>
              <w:t>7,929</w:t>
            </w:r>
          </w:p>
        </w:tc>
        <w:tc>
          <w:tcPr>
            <w:tcW w:w="0" w:type="auto"/>
            <w:tcBorders>
              <w:top w:val="nil"/>
              <w:left w:val="nil"/>
              <w:bottom w:val="nil"/>
              <w:right w:val="single" w:sz="8" w:space="0" w:color="auto"/>
            </w:tcBorders>
            <w:shd w:val="clear" w:color="000000" w:fill="CCCCCC"/>
            <w:vAlign w:val="center"/>
            <w:hideMark/>
          </w:tcPr>
          <w:p w14:paraId="33CD6FCE" w14:textId="0F9376E6" w:rsidR="006B79CE" w:rsidRPr="006B79CE" w:rsidRDefault="006B79CE" w:rsidP="006B79CE">
            <w:pPr>
              <w:jc w:val="right"/>
              <w:rPr>
                <w:rFonts w:ascii="Arial" w:hAnsi="Arial" w:cs="Arial"/>
                <w:sz w:val="18"/>
                <w:szCs w:val="18"/>
              </w:rPr>
            </w:pPr>
            <w:r w:rsidRPr="006B79CE">
              <w:rPr>
                <w:rFonts w:ascii="Arial" w:hAnsi="Arial" w:cs="Arial"/>
                <w:sz w:val="18"/>
                <w:szCs w:val="18"/>
              </w:rPr>
              <w:t>8,399</w:t>
            </w:r>
          </w:p>
        </w:tc>
        <w:tc>
          <w:tcPr>
            <w:tcW w:w="0" w:type="auto"/>
            <w:tcBorders>
              <w:top w:val="nil"/>
              <w:left w:val="nil"/>
              <w:bottom w:val="nil"/>
              <w:right w:val="nil"/>
            </w:tcBorders>
            <w:shd w:val="clear" w:color="000000" w:fill="FFFFFF"/>
            <w:vAlign w:val="center"/>
            <w:hideMark/>
          </w:tcPr>
          <w:p w14:paraId="6B4711E4" w14:textId="2DC482E3" w:rsidR="006B79CE" w:rsidRPr="006B79CE" w:rsidRDefault="006B79CE" w:rsidP="006B79CE">
            <w:pPr>
              <w:jc w:val="right"/>
              <w:rPr>
                <w:rFonts w:ascii="Arial" w:hAnsi="Arial" w:cs="Arial"/>
                <w:sz w:val="18"/>
                <w:szCs w:val="18"/>
              </w:rPr>
            </w:pPr>
            <w:r w:rsidRPr="006B79CE">
              <w:rPr>
                <w:rFonts w:ascii="Arial" w:hAnsi="Arial" w:cs="Arial"/>
                <w:sz w:val="18"/>
                <w:szCs w:val="18"/>
              </w:rPr>
              <w:t>133,730</w:t>
            </w:r>
          </w:p>
        </w:tc>
        <w:tc>
          <w:tcPr>
            <w:tcW w:w="0" w:type="auto"/>
            <w:tcBorders>
              <w:top w:val="nil"/>
              <w:left w:val="nil"/>
              <w:bottom w:val="nil"/>
              <w:right w:val="single" w:sz="8" w:space="0" w:color="auto"/>
            </w:tcBorders>
            <w:shd w:val="clear" w:color="000000" w:fill="CCCCCC"/>
            <w:vAlign w:val="center"/>
            <w:hideMark/>
          </w:tcPr>
          <w:p w14:paraId="208652CA" w14:textId="2E0E2471" w:rsidR="006B79CE" w:rsidRPr="006B79CE" w:rsidRDefault="006B79CE" w:rsidP="006B79CE">
            <w:pPr>
              <w:jc w:val="right"/>
              <w:rPr>
                <w:rFonts w:ascii="Arial" w:hAnsi="Arial" w:cs="Arial"/>
                <w:sz w:val="18"/>
                <w:szCs w:val="18"/>
              </w:rPr>
            </w:pPr>
            <w:r w:rsidRPr="006B79CE">
              <w:rPr>
                <w:rFonts w:ascii="Arial" w:hAnsi="Arial" w:cs="Arial"/>
                <w:sz w:val="18"/>
                <w:szCs w:val="18"/>
              </w:rPr>
              <w:t>136,891</w:t>
            </w:r>
          </w:p>
        </w:tc>
      </w:tr>
      <w:tr w:rsidR="006B79CE" w:rsidRPr="00C47FA1" w14:paraId="6E1E212C" w14:textId="77777777" w:rsidTr="004F01F6">
        <w:trPr>
          <w:trHeight w:val="300"/>
        </w:trPr>
        <w:tc>
          <w:tcPr>
            <w:tcW w:w="0" w:type="auto"/>
            <w:vMerge w:val="restart"/>
            <w:tcBorders>
              <w:top w:val="nil"/>
              <w:left w:val="single" w:sz="8" w:space="0" w:color="auto"/>
              <w:bottom w:val="nil"/>
              <w:right w:val="single" w:sz="8" w:space="0" w:color="auto"/>
            </w:tcBorders>
            <w:shd w:val="clear" w:color="000000" w:fill="CCCCCC"/>
            <w:vAlign w:val="center"/>
            <w:hideMark/>
          </w:tcPr>
          <w:p w14:paraId="3D077EAE" w14:textId="77777777" w:rsidR="006B79CE" w:rsidRPr="006673F2" w:rsidRDefault="006B79CE" w:rsidP="006B79CE">
            <w:pPr>
              <w:rPr>
                <w:rFonts w:ascii="Arial" w:hAnsi="Arial" w:cs="Arial"/>
                <w:b/>
                <w:bCs/>
                <w:color w:val="000000"/>
                <w:sz w:val="16"/>
                <w:szCs w:val="16"/>
              </w:rPr>
            </w:pPr>
            <w:r w:rsidRPr="006673F2">
              <w:rPr>
                <w:rFonts w:ascii="Arial" w:hAnsi="Arial" w:cs="Arial"/>
                <w:b/>
                <w:bCs/>
                <w:color w:val="000000"/>
                <w:sz w:val="16"/>
                <w:szCs w:val="16"/>
              </w:rPr>
              <w:t>Total Post-Employment Benefits Charged to the surplus/deficit on Provision of Services in the CIES</w:t>
            </w:r>
          </w:p>
        </w:tc>
        <w:tc>
          <w:tcPr>
            <w:tcW w:w="0" w:type="auto"/>
            <w:vMerge w:val="restart"/>
            <w:tcBorders>
              <w:top w:val="single" w:sz="8" w:space="0" w:color="auto"/>
              <w:left w:val="nil"/>
              <w:bottom w:val="nil"/>
              <w:right w:val="nil"/>
            </w:tcBorders>
            <w:shd w:val="clear" w:color="000000" w:fill="FFFFFF"/>
            <w:vAlign w:val="center"/>
            <w:hideMark/>
          </w:tcPr>
          <w:p w14:paraId="6393AF74" w14:textId="5CF160CB"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11,008</w:t>
            </w:r>
          </w:p>
        </w:tc>
        <w:tc>
          <w:tcPr>
            <w:tcW w:w="0" w:type="auto"/>
            <w:vMerge w:val="restart"/>
            <w:tcBorders>
              <w:top w:val="single" w:sz="8" w:space="0" w:color="auto"/>
              <w:left w:val="nil"/>
              <w:bottom w:val="nil"/>
              <w:right w:val="single" w:sz="8" w:space="0" w:color="auto"/>
            </w:tcBorders>
            <w:shd w:val="clear" w:color="000000" w:fill="CCCCCC"/>
            <w:vAlign w:val="center"/>
            <w:hideMark/>
          </w:tcPr>
          <w:p w14:paraId="33BED19A" w14:textId="3A58D615"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12,611</w:t>
            </w:r>
          </w:p>
        </w:tc>
        <w:tc>
          <w:tcPr>
            <w:tcW w:w="0" w:type="auto"/>
            <w:vMerge w:val="restart"/>
            <w:tcBorders>
              <w:top w:val="single" w:sz="8" w:space="0" w:color="auto"/>
              <w:left w:val="nil"/>
              <w:bottom w:val="nil"/>
              <w:right w:val="nil"/>
            </w:tcBorders>
            <w:shd w:val="clear" w:color="000000" w:fill="FFFFFF"/>
            <w:vAlign w:val="center"/>
            <w:hideMark/>
          </w:tcPr>
          <w:p w14:paraId="3A7BE054" w14:textId="4C5DE235"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159,694</w:t>
            </w:r>
          </w:p>
        </w:tc>
        <w:tc>
          <w:tcPr>
            <w:tcW w:w="0" w:type="auto"/>
            <w:vMerge w:val="restart"/>
            <w:tcBorders>
              <w:top w:val="single" w:sz="8" w:space="0" w:color="auto"/>
              <w:left w:val="nil"/>
              <w:bottom w:val="nil"/>
              <w:right w:val="single" w:sz="8" w:space="0" w:color="auto"/>
            </w:tcBorders>
            <w:shd w:val="clear" w:color="000000" w:fill="CCCCCC"/>
            <w:vAlign w:val="center"/>
            <w:hideMark/>
          </w:tcPr>
          <w:p w14:paraId="3D59D91F" w14:textId="37300035"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161,497</w:t>
            </w:r>
          </w:p>
        </w:tc>
        <w:tc>
          <w:tcPr>
            <w:tcW w:w="0" w:type="auto"/>
            <w:vMerge w:val="restart"/>
            <w:tcBorders>
              <w:top w:val="single" w:sz="8" w:space="0" w:color="auto"/>
              <w:left w:val="nil"/>
              <w:bottom w:val="nil"/>
              <w:right w:val="nil"/>
            </w:tcBorders>
            <w:shd w:val="clear" w:color="000000" w:fill="FFFFFF"/>
            <w:vAlign w:val="center"/>
            <w:hideMark/>
          </w:tcPr>
          <w:p w14:paraId="3AEB559A" w14:textId="78E1D5F3"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16,451</w:t>
            </w:r>
          </w:p>
        </w:tc>
        <w:tc>
          <w:tcPr>
            <w:tcW w:w="0" w:type="auto"/>
            <w:vMerge w:val="restart"/>
            <w:tcBorders>
              <w:top w:val="single" w:sz="8" w:space="0" w:color="auto"/>
              <w:left w:val="nil"/>
              <w:bottom w:val="nil"/>
              <w:right w:val="single" w:sz="8" w:space="0" w:color="auto"/>
            </w:tcBorders>
            <w:shd w:val="clear" w:color="000000" w:fill="CCCCCC"/>
            <w:vAlign w:val="center"/>
            <w:hideMark/>
          </w:tcPr>
          <w:p w14:paraId="713FB887" w14:textId="21F3617D"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17,398</w:t>
            </w:r>
          </w:p>
        </w:tc>
        <w:tc>
          <w:tcPr>
            <w:tcW w:w="0" w:type="auto"/>
            <w:vMerge w:val="restart"/>
            <w:tcBorders>
              <w:top w:val="single" w:sz="8" w:space="0" w:color="auto"/>
              <w:left w:val="nil"/>
              <w:bottom w:val="nil"/>
              <w:right w:val="nil"/>
            </w:tcBorders>
            <w:shd w:val="clear" w:color="000000" w:fill="FFFFFF"/>
            <w:vAlign w:val="center"/>
            <w:hideMark/>
          </w:tcPr>
          <w:p w14:paraId="34970D1A" w14:textId="41833C53"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187,153</w:t>
            </w:r>
          </w:p>
        </w:tc>
        <w:tc>
          <w:tcPr>
            <w:tcW w:w="0" w:type="auto"/>
            <w:vMerge w:val="restart"/>
            <w:tcBorders>
              <w:top w:val="single" w:sz="8" w:space="0" w:color="auto"/>
              <w:left w:val="nil"/>
              <w:bottom w:val="nil"/>
              <w:right w:val="single" w:sz="8" w:space="0" w:color="auto"/>
            </w:tcBorders>
            <w:shd w:val="clear" w:color="000000" w:fill="CCCCCC"/>
            <w:vAlign w:val="center"/>
            <w:hideMark/>
          </w:tcPr>
          <w:p w14:paraId="21DE743E" w14:textId="557612F9"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191,506</w:t>
            </w:r>
          </w:p>
        </w:tc>
      </w:tr>
      <w:tr w:rsidR="00846F0A" w:rsidRPr="00C47FA1" w14:paraId="153322B5" w14:textId="77777777" w:rsidTr="004F01F6">
        <w:trPr>
          <w:trHeight w:val="300"/>
        </w:trPr>
        <w:tc>
          <w:tcPr>
            <w:tcW w:w="0" w:type="auto"/>
            <w:vMerge/>
            <w:tcBorders>
              <w:top w:val="nil"/>
              <w:left w:val="single" w:sz="8" w:space="0" w:color="auto"/>
              <w:bottom w:val="nil"/>
              <w:right w:val="single" w:sz="8" w:space="0" w:color="auto"/>
            </w:tcBorders>
            <w:vAlign w:val="center"/>
            <w:hideMark/>
          </w:tcPr>
          <w:p w14:paraId="14EB8D19" w14:textId="77777777" w:rsidR="008F22BE" w:rsidRPr="006673F2" w:rsidRDefault="008F22BE" w:rsidP="00C47FA1">
            <w:pPr>
              <w:rPr>
                <w:rFonts w:ascii="Arial" w:hAnsi="Arial" w:cs="Arial"/>
                <w:b/>
                <w:bCs/>
                <w:color w:val="000000"/>
                <w:sz w:val="16"/>
                <w:szCs w:val="16"/>
              </w:rPr>
            </w:pPr>
          </w:p>
        </w:tc>
        <w:tc>
          <w:tcPr>
            <w:tcW w:w="0" w:type="auto"/>
            <w:vMerge/>
            <w:tcBorders>
              <w:top w:val="single" w:sz="8" w:space="0" w:color="auto"/>
              <w:left w:val="nil"/>
              <w:bottom w:val="nil"/>
              <w:right w:val="nil"/>
            </w:tcBorders>
            <w:vAlign w:val="center"/>
            <w:hideMark/>
          </w:tcPr>
          <w:p w14:paraId="2B90B227"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single" w:sz="8" w:space="0" w:color="auto"/>
            </w:tcBorders>
            <w:vAlign w:val="center"/>
            <w:hideMark/>
          </w:tcPr>
          <w:p w14:paraId="690F533D"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nil"/>
            </w:tcBorders>
            <w:vAlign w:val="center"/>
            <w:hideMark/>
          </w:tcPr>
          <w:p w14:paraId="0BF93988"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single" w:sz="8" w:space="0" w:color="auto"/>
            </w:tcBorders>
            <w:vAlign w:val="center"/>
            <w:hideMark/>
          </w:tcPr>
          <w:p w14:paraId="7320DF3C"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nil"/>
            </w:tcBorders>
            <w:vAlign w:val="center"/>
            <w:hideMark/>
          </w:tcPr>
          <w:p w14:paraId="4F20EFEA"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single" w:sz="8" w:space="0" w:color="auto"/>
            </w:tcBorders>
            <w:vAlign w:val="center"/>
            <w:hideMark/>
          </w:tcPr>
          <w:p w14:paraId="3DA0CC3C"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nil"/>
            </w:tcBorders>
            <w:vAlign w:val="center"/>
            <w:hideMark/>
          </w:tcPr>
          <w:p w14:paraId="5CC7E6AC"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single" w:sz="8" w:space="0" w:color="auto"/>
            </w:tcBorders>
            <w:vAlign w:val="center"/>
            <w:hideMark/>
          </w:tcPr>
          <w:p w14:paraId="7BE93C42" w14:textId="77777777" w:rsidR="008F22BE" w:rsidRPr="006B79CE" w:rsidRDefault="008F22BE" w:rsidP="00C47FA1">
            <w:pPr>
              <w:rPr>
                <w:rFonts w:ascii="Arial" w:hAnsi="Arial" w:cs="Arial"/>
                <w:b/>
                <w:bCs/>
                <w:sz w:val="18"/>
                <w:szCs w:val="18"/>
              </w:rPr>
            </w:pPr>
          </w:p>
        </w:tc>
      </w:tr>
      <w:tr w:rsidR="00846F0A" w:rsidRPr="00C47FA1" w14:paraId="04AF08C0" w14:textId="77777777" w:rsidTr="004F01F6">
        <w:trPr>
          <w:trHeight w:val="300"/>
        </w:trPr>
        <w:tc>
          <w:tcPr>
            <w:tcW w:w="0" w:type="auto"/>
            <w:vMerge/>
            <w:tcBorders>
              <w:top w:val="nil"/>
              <w:left w:val="single" w:sz="8" w:space="0" w:color="auto"/>
              <w:bottom w:val="nil"/>
              <w:right w:val="single" w:sz="8" w:space="0" w:color="auto"/>
            </w:tcBorders>
            <w:vAlign w:val="center"/>
            <w:hideMark/>
          </w:tcPr>
          <w:p w14:paraId="65C740EF" w14:textId="77777777" w:rsidR="008F22BE" w:rsidRPr="006673F2" w:rsidRDefault="008F22BE" w:rsidP="00C47FA1">
            <w:pPr>
              <w:rPr>
                <w:rFonts w:ascii="Arial" w:hAnsi="Arial" w:cs="Arial"/>
                <w:b/>
                <w:bCs/>
                <w:color w:val="000000"/>
                <w:sz w:val="16"/>
                <w:szCs w:val="16"/>
              </w:rPr>
            </w:pPr>
          </w:p>
        </w:tc>
        <w:tc>
          <w:tcPr>
            <w:tcW w:w="0" w:type="auto"/>
            <w:vMerge/>
            <w:tcBorders>
              <w:top w:val="single" w:sz="8" w:space="0" w:color="auto"/>
              <w:left w:val="nil"/>
              <w:bottom w:val="nil"/>
              <w:right w:val="nil"/>
            </w:tcBorders>
            <w:vAlign w:val="center"/>
            <w:hideMark/>
          </w:tcPr>
          <w:p w14:paraId="28130018"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single" w:sz="8" w:space="0" w:color="auto"/>
            </w:tcBorders>
            <w:vAlign w:val="center"/>
            <w:hideMark/>
          </w:tcPr>
          <w:p w14:paraId="7BF76870"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nil"/>
            </w:tcBorders>
            <w:vAlign w:val="center"/>
            <w:hideMark/>
          </w:tcPr>
          <w:p w14:paraId="5D6E9B14"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single" w:sz="8" w:space="0" w:color="auto"/>
            </w:tcBorders>
            <w:vAlign w:val="center"/>
            <w:hideMark/>
          </w:tcPr>
          <w:p w14:paraId="77403AFC"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nil"/>
            </w:tcBorders>
            <w:vAlign w:val="center"/>
            <w:hideMark/>
          </w:tcPr>
          <w:p w14:paraId="7623C4E3"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single" w:sz="8" w:space="0" w:color="auto"/>
            </w:tcBorders>
            <w:vAlign w:val="center"/>
            <w:hideMark/>
          </w:tcPr>
          <w:p w14:paraId="554535AB"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nil"/>
            </w:tcBorders>
            <w:vAlign w:val="center"/>
            <w:hideMark/>
          </w:tcPr>
          <w:p w14:paraId="5B28CF0A" w14:textId="77777777" w:rsidR="008F22BE" w:rsidRPr="006B79CE" w:rsidRDefault="008F22BE" w:rsidP="00C47FA1">
            <w:pPr>
              <w:rPr>
                <w:rFonts w:ascii="Arial" w:hAnsi="Arial" w:cs="Arial"/>
                <w:b/>
                <w:bCs/>
                <w:sz w:val="18"/>
                <w:szCs w:val="18"/>
              </w:rPr>
            </w:pPr>
          </w:p>
        </w:tc>
        <w:tc>
          <w:tcPr>
            <w:tcW w:w="0" w:type="auto"/>
            <w:vMerge/>
            <w:tcBorders>
              <w:top w:val="single" w:sz="8" w:space="0" w:color="auto"/>
              <w:left w:val="nil"/>
              <w:bottom w:val="nil"/>
              <w:right w:val="single" w:sz="8" w:space="0" w:color="auto"/>
            </w:tcBorders>
            <w:vAlign w:val="center"/>
            <w:hideMark/>
          </w:tcPr>
          <w:p w14:paraId="479B9E61" w14:textId="77777777" w:rsidR="008F22BE" w:rsidRPr="006B79CE" w:rsidRDefault="008F22BE" w:rsidP="00C47FA1">
            <w:pPr>
              <w:rPr>
                <w:rFonts w:ascii="Arial" w:hAnsi="Arial" w:cs="Arial"/>
                <w:b/>
                <w:bCs/>
                <w:sz w:val="18"/>
                <w:szCs w:val="18"/>
              </w:rPr>
            </w:pPr>
          </w:p>
        </w:tc>
      </w:tr>
      <w:tr w:rsidR="00846F0A" w:rsidRPr="00C47FA1" w14:paraId="5E724E04" w14:textId="77777777" w:rsidTr="004F01F6">
        <w:trPr>
          <w:trHeight w:val="510"/>
        </w:trPr>
        <w:tc>
          <w:tcPr>
            <w:tcW w:w="0" w:type="auto"/>
            <w:tcBorders>
              <w:top w:val="nil"/>
              <w:left w:val="single" w:sz="8" w:space="0" w:color="auto"/>
              <w:bottom w:val="nil"/>
              <w:right w:val="single" w:sz="8" w:space="0" w:color="auto"/>
            </w:tcBorders>
            <w:shd w:val="clear" w:color="000000" w:fill="CCCCCC"/>
            <w:vAlign w:val="center"/>
            <w:hideMark/>
          </w:tcPr>
          <w:p w14:paraId="49EF626D" w14:textId="77777777" w:rsidR="008F22BE" w:rsidRPr="006673F2" w:rsidRDefault="008F22BE" w:rsidP="00C47FA1">
            <w:pPr>
              <w:rPr>
                <w:rFonts w:ascii="Arial" w:hAnsi="Arial" w:cs="Arial"/>
                <w:b/>
                <w:bCs/>
                <w:color w:val="000000"/>
                <w:sz w:val="16"/>
                <w:szCs w:val="16"/>
              </w:rPr>
            </w:pPr>
            <w:r w:rsidRPr="006673F2">
              <w:rPr>
                <w:rFonts w:ascii="Arial" w:hAnsi="Arial" w:cs="Arial"/>
                <w:b/>
                <w:bCs/>
                <w:color w:val="000000"/>
                <w:sz w:val="16"/>
                <w:szCs w:val="16"/>
              </w:rPr>
              <w:t>Other Post Employment Benefit charged to the Comprehensive Income and Expenditure Statement:</w:t>
            </w:r>
          </w:p>
        </w:tc>
        <w:tc>
          <w:tcPr>
            <w:tcW w:w="0" w:type="auto"/>
            <w:vMerge w:val="restart"/>
            <w:tcBorders>
              <w:top w:val="nil"/>
              <w:left w:val="nil"/>
              <w:bottom w:val="nil"/>
              <w:right w:val="nil"/>
            </w:tcBorders>
            <w:shd w:val="clear" w:color="000000" w:fill="FFFFFF"/>
            <w:vAlign w:val="center"/>
            <w:hideMark/>
          </w:tcPr>
          <w:p w14:paraId="7F9FBDAB"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vMerge w:val="restart"/>
            <w:tcBorders>
              <w:top w:val="nil"/>
              <w:left w:val="nil"/>
              <w:bottom w:val="nil"/>
              <w:right w:val="single" w:sz="8" w:space="0" w:color="auto"/>
            </w:tcBorders>
            <w:shd w:val="clear" w:color="000000" w:fill="CCCCCC"/>
            <w:vAlign w:val="center"/>
            <w:hideMark/>
          </w:tcPr>
          <w:p w14:paraId="2E3C53AA"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vMerge w:val="restart"/>
            <w:tcBorders>
              <w:top w:val="nil"/>
              <w:left w:val="nil"/>
              <w:bottom w:val="nil"/>
              <w:right w:val="nil"/>
            </w:tcBorders>
            <w:shd w:val="clear" w:color="000000" w:fill="FFFFFF"/>
            <w:vAlign w:val="center"/>
            <w:hideMark/>
          </w:tcPr>
          <w:p w14:paraId="5B62750D"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vMerge w:val="restart"/>
            <w:tcBorders>
              <w:top w:val="nil"/>
              <w:left w:val="nil"/>
              <w:bottom w:val="nil"/>
              <w:right w:val="single" w:sz="8" w:space="0" w:color="auto"/>
            </w:tcBorders>
            <w:shd w:val="clear" w:color="000000" w:fill="CCCCCC"/>
            <w:vAlign w:val="center"/>
            <w:hideMark/>
          </w:tcPr>
          <w:p w14:paraId="6B315AD2"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vMerge w:val="restart"/>
            <w:tcBorders>
              <w:top w:val="nil"/>
              <w:left w:val="nil"/>
              <w:bottom w:val="nil"/>
              <w:right w:val="nil"/>
            </w:tcBorders>
            <w:shd w:val="clear" w:color="000000" w:fill="FFFFFF"/>
            <w:vAlign w:val="center"/>
            <w:hideMark/>
          </w:tcPr>
          <w:p w14:paraId="5F762818"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vMerge w:val="restart"/>
            <w:tcBorders>
              <w:top w:val="nil"/>
              <w:left w:val="nil"/>
              <w:bottom w:val="nil"/>
              <w:right w:val="single" w:sz="8" w:space="0" w:color="auto"/>
            </w:tcBorders>
            <w:shd w:val="clear" w:color="000000" w:fill="CCCCCC"/>
            <w:vAlign w:val="center"/>
            <w:hideMark/>
          </w:tcPr>
          <w:p w14:paraId="52ECF9A8"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vMerge w:val="restart"/>
            <w:tcBorders>
              <w:top w:val="nil"/>
              <w:left w:val="nil"/>
              <w:bottom w:val="nil"/>
              <w:right w:val="nil"/>
            </w:tcBorders>
            <w:shd w:val="clear" w:color="000000" w:fill="FFFFFF"/>
            <w:vAlign w:val="center"/>
            <w:hideMark/>
          </w:tcPr>
          <w:p w14:paraId="6832932C"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vMerge w:val="restart"/>
            <w:tcBorders>
              <w:top w:val="nil"/>
              <w:left w:val="nil"/>
              <w:bottom w:val="nil"/>
              <w:right w:val="single" w:sz="8" w:space="0" w:color="auto"/>
            </w:tcBorders>
            <w:shd w:val="clear" w:color="000000" w:fill="CCCCCC"/>
            <w:vAlign w:val="center"/>
            <w:hideMark/>
          </w:tcPr>
          <w:p w14:paraId="7744E376"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r>
      <w:tr w:rsidR="00846F0A" w:rsidRPr="00C47FA1" w14:paraId="18900F39"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6227CC83" w14:textId="77777777" w:rsidR="008F22BE" w:rsidRPr="006673F2" w:rsidRDefault="008F22BE" w:rsidP="00C47FA1">
            <w:pPr>
              <w:rPr>
                <w:rFonts w:ascii="Arial" w:hAnsi="Arial" w:cs="Arial"/>
                <w:b/>
                <w:bCs/>
                <w:color w:val="000000"/>
                <w:sz w:val="16"/>
                <w:szCs w:val="16"/>
              </w:rPr>
            </w:pPr>
            <w:r w:rsidRPr="006673F2">
              <w:rPr>
                <w:rFonts w:ascii="Arial" w:hAnsi="Arial" w:cs="Arial"/>
                <w:b/>
                <w:bCs/>
                <w:color w:val="000000"/>
                <w:sz w:val="16"/>
                <w:szCs w:val="16"/>
              </w:rPr>
              <w:t>Re-measurement of the net defined benefit liability, comprising:</w:t>
            </w:r>
          </w:p>
        </w:tc>
        <w:tc>
          <w:tcPr>
            <w:tcW w:w="0" w:type="auto"/>
            <w:vMerge/>
            <w:tcBorders>
              <w:top w:val="nil"/>
              <w:left w:val="nil"/>
              <w:bottom w:val="nil"/>
              <w:right w:val="nil"/>
            </w:tcBorders>
            <w:vAlign w:val="center"/>
            <w:hideMark/>
          </w:tcPr>
          <w:p w14:paraId="2BDDAE5C" w14:textId="77777777" w:rsidR="008F22BE" w:rsidRPr="006B79CE" w:rsidRDefault="008F22BE" w:rsidP="00C47FA1">
            <w:pPr>
              <w:rPr>
                <w:rFonts w:ascii="Arial" w:hAnsi="Arial" w:cs="Arial"/>
                <w:b/>
                <w:bCs/>
                <w:sz w:val="18"/>
                <w:szCs w:val="18"/>
              </w:rPr>
            </w:pPr>
          </w:p>
        </w:tc>
        <w:tc>
          <w:tcPr>
            <w:tcW w:w="0" w:type="auto"/>
            <w:vMerge/>
            <w:tcBorders>
              <w:top w:val="nil"/>
              <w:left w:val="nil"/>
              <w:bottom w:val="nil"/>
              <w:right w:val="single" w:sz="8" w:space="0" w:color="auto"/>
            </w:tcBorders>
            <w:vAlign w:val="center"/>
            <w:hideMark/>
          </w:tcPr>
          <w:p w14:paraId="7276C10E" w14:textId="77777777" w:rsidR="008F22BE" w:rsidRPr="006B79CE" w:rsidRDefault="008F22BE" w:rsidP="00C47FA1">
            <w:pPr>
              <w:rPr>
                <w:rFonts w:ascii="Arial" w:hAnsi="Arial" w:cs="Arial"/>
                <w:b/>
                <w:bCs/>
                <w:sz w:val="18"/>
                <w:szCs w:val="18"/>
              </w:rPr>
            </w:pPr>
          </w:p>
        </w:tc>
        <w:tc>
          <w:tcPr>
            <w:tcW w:w="0" w:type="auto"/>
            <w:vMerge/>
            <w:tcBorders>
              <w:top w:val="nil"/>
              <w:left w:val="nil"/>
              <w:bottom w:val="nil"/>
              <w:right w:val="nil"/>
            </w:tcBorders>
            <w:vAlign w:val="center"/>
            <w:hideMark/>
          </w:tcPr>
          <w:p w14:paraId="50D93AC9" w14:textId="77777777" w:rsidR="008F22BE" w:rsidRPr="006B79CE" w:rsidRDefault="008F22BE" w:rsidP="00C47FA1">
            <w:pPr>
              <w:rPr>
                <w:rFonts w:ascii="Arial" w:hAnsi="Arial" w:cs="Arial"/>
                <w:b/>
                <w:bCs/>
                <w:sz w:val="18"/>
                <w:szCs w:val="18"/>
              </w:rPr>
            </w:pPr>
          </w:p>
        </w:tc>
        <w:tc>
          <w:tcPr>
            <w:tcW w:w="0" w:type="auto"/>
            <w:vMerge/>
            <w:tcBorders>
              <w:top w:val="nil"/>
              <w:left w:val="nil"/>
              <w:bottom w:val="nil"/>
              <w:right w:val="single" w:sz="8" w:space="0" w:color="auto"/>
            </w:tcBorders>
            <w:vAlign w:val="center"/>
            <w:hideMark/>
          </w:tcPr>
          <w:p w14:paraId="38B0FEDF" w14:textId="77777777" w:rsidR="008F22BE" w:rsidRPr="006B79CE" w:rsidRDefault="008F22BE" w:rsidP="00C47FA1">
            <w:pPr>
              <w:rPr>
                <w:rFonts w:ascii="Arial" w:hAnsi="Arial" w:cs="Arial"/>
                <w:b/>
                <w:bCs/>
                <w:sz w:val="18"/>
                <w:szCs w:val="18"/>
              </w:rPr>
            </w:pPr>
          </w:p>
        </w:tc>
        <w:tc>
          <w:tcPr>
            <w:tcW w:w="0" w:type="auto"/>
            <w:vMerge/>
            <w:tcBorders>
              <w:top w:val="nil"/>
              <w:left w:val="nil"/>
              <w:bottom w:val="nil"/>
              <w:right w:val="nil"/>
            </w:tcBorders>
            <w:vAlign w:val="center"/>
            <w:hideMark/>
          </w:tcPr>
          <w:p w14:paraId="792E8048" w14:textId="77777777" w:rsidR="008F22BE" w:rsidRPr="006B79CE" w:rsidRDefault="008F22BE" w:rsidP="00C47FA1">
            <w:pPr>
              <w:rPr>
                <w:rFonts w:ascii="Arial" w:hAnsi="Arial" w:cs="Arial"/>
                <w:b/>
                <w:bCs/>
                <w:sz w:val="18"/>
                <w:szCs w:val="18"/>
              </w:rPr>
            </w:pPr>
          </w:p>
        </w:tc>
        <w:tc>
          <w:tcPr>
            <w:tcW w:w="0" w:type="auto"/>
            <w:vMerge/>
            <w:tcBorders>
              <w:top w:val="nil"/>
              <w:left w:val="nil"/>
              <w:bottom w:val="nil"/>
              <w:right w:val="single" w:sz="8" w:space="0" w:color="auto"/>
            </w:tcBorders>
            <w:vAlign w:val="center"/>
            <w:hideMark/>
          </w:tcPr>
          <w:p w14:paraId="07FC511B" w14:textId="77777777" w:rsidR="008F22BE" w:rsidRPr="006B79CE" w:rsidRDefault="008F22BE" w:rsidP="00C47FA1">
            <w:pPr>
              <w:rPr>
                <w:rFonts w:ascii="Arial" w:hAnsi="Arial" w:cs="Arial"/>
                <w:b/>
                <w:bCs/>
                <w:sz w:val="18"/>
                <w:szCs w:val="18"/>
              </w:rPr>
            </w:pPr>
          </w:p>
        </w:tc>
        <w:tc>
          <w:tcPr>
            <w:tcW w:w="0" w:type="auto"/>
            <w:vMerge/>
            <w:tcBorders>
              <w:top w:val="nil"/>
              <w:left w:val="nil"/>
              <w:bottom w:val="nil"/>
              <w:right w:val="nil"/>
            </w:tcBorders>
            <w:vAlign w:val="center"/>
            <w:hideMark/>
          </w:tcPr>
          <w:p w14:paraId="75C03187" w14:textId="77777777" w:rsidR="008F22BE" w:rsidRPr="006B79CE" w:rsidRDefault="008F22BE" w:rsidP="00C47FA1">
            <w:pPr>
              <w:rPr>
                <w:rFonts w:ascii="Arial" w:hAnsi="Arial" w:cs="Arial"/>
                <w:b/>
                <w:bCs/>
                <w:sz w:val="18"/>
                <w:szCs w:val="18"/>
              </w:rPr>
            </w:pPr>
          </w:p>
        </w:tc>
        <w:tc>
          <w:tcPr>
            <w:tcW w:w="0" w:type="auto"/>
            <w:vMerge/>
            <w:tcBorders>
              <w:top w:val="nil"/>
              <w:left w:val="nil"/>
              <w:bottom w:val="nil"/>
              <w:right w:val="single" w:sz="8" w:space="0" w:color="auto"/>
            </w:tcBorders>
            <w:vAlign w:val="center"/>
            <w:hideMark/>
          </w:tcPr>
          <w:p w14:paraId="6938F523" w14:textId="77777777" w:rsidR="008F22BE" w:rsidRPr="006B79CE" w:rsidRDefault="008F22BE" w:rsidP="00C47FA1">
            <w:pPr>
              <w:rPr>
                <w:rFonts w:ascii="Arial" w:hAnsi="Arial" w:cs="Arial"/>
                <w:b/>
                <w:bCs/>
                <w:sz w:val="18"/>
                <w:szCs w:val="18"/>
              </w:rPr>
            </w:pPr>
          </w:p>
        </w:tc>
      </w:tr>
      <w:tr w:rsidR="006B79CE" w:rsidRPr="00C47FA1" w14:paraId="589A1BC3"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69A4B91F" w14:textId="77777777" w:rsidR="006B79CE" w:rsidRPr="006673F2" w:rsidRDefault="006B79CE" w:rsidP="006B79CE">
            <w:pPr>
              <w:ind w:firstLineChars="400" w:firstLine="640"/>
              <w:rPr>
                <w:rFonts w:ascii="Symbol" w:hAnsi="Symbol" w:cs="Arial"/>
                <w:sz w:val="16"/>
                <w:szCs w:val="16"/>
              </w:rPr>
            </w:pPr>
            <w:r w:rsidRPr="006673F2">
              <w:rPr>
                <w:rFonts w:ascii="Symbol" w:hAnsi="Symbol" w:cs="Arial"/>
                <w:sz w:val="16"/>
                <w:szCs w:val="16"/>
              </w:rPr>
              <w:t>·</w:t>
            </w:r>
            <w:r w:rsidRPr="006673F2">
              <w:rPr>
                <w:sz w:val="16"/>
                <w:szCs w:val="16"/>
              </w:rPr>
              <w:t xml:space="preserve">         </w:t>
            </w:r>
            <w:r w:rsidRPr="006673F2">
              <w:rPr>
                <w:rFonts w:ascii="Arial" w:hAnsi="Arial" w:cs="Arial"/>
                <w:color w:val="000000"/>
                <w:sz w:val="16"/>
                <w:szCs w:val="16"/>
              </w:rPr>
              <w:t>Re-measurements (assets)</w:t>
            </w:r>
          </w:p>
        </w:tc>
        <w:tc>
          <w:tcPr>
            <w:tcW w:w="0" w:type="auto"/>
            <w:tcBorders>
              <w:top w:val="nil"/>
              <w:left w:val="nil"/>
              <w:bottom w:val="nil"/>
              <w:right w:val="nil"/>
            </w:tcBorders>
            <w:shd w:val="clear" w:color="000000" w:fill="FFFFFF"/>
            <w:vAlign w:val="center"/>
            <w:hideMark/>
          </w:tcPr>
          <w:p w14:paraId="6F5EDC09" w14:textId="59408DBE" w:rsidR="006B79CE" w:rsidRPr="006B79CE" w:rsidRDefault="006B79CE" w:rsidP="006B79CE">
            <w:pPr>
              <w:jc w:val="right"/>
              <w:rPr>
                <w:rFonts w:ascii="Arial" w:hAnsi="Arial" w:cs="Arial"/>
                <w:sz w:val="18"/>
                <w:szCs w:val="18"/>
              </w:rPr>
            </w:pPr>
            <w:r w:rsidRPr="006B79CE">
              <w:rPr>
                <w:rFonts w:ascii="Arial" w:hAnsi="Arial" w:cs="Arial"/>
                <w:sz w:val="18"/>
                <w:szCs w:val="18"/>
              </w:rPr>
              <w:t>(19,749)</w:t>
            </w:r>
          </w:p>
        </w:tc>
        <w:tc>
          <w:tcPr>
            <w:tcW w:w="0" w:type="auto"/>
            <w:tcBorders>
              <w:top w:val="nil"/>
              <w:left w:val="nil"/>
              <w:bottom w:val="nil"/>
              <w:right w:val="single" w:sz="8" w:space="0" w:color="auto"/>
            </w:tcBorders>
            <w:shd w:val="clear" w:color="000000" w:fill="CCCCCC"/>
            <w:vAlign w:val="center"/>
            <w:hideMark/>
          </w:tcPr>
          <w:p w14:paraId="252C3630" w14:textId="4FA1EE39" w:rsidR="006B79CE" w:rsidRPr="006B79CE" w:rsidRDefault="006B79CE" w:rsidP="006B79CE">
            <w:pPr>
              <w:jc w:val="right"/>
              <w:rPr>
                <w:rFonts w:ascii="Arial" w:hAnsi="Arial" w:cs="Arial"/>
                <w:sz w:val="18"/>
                <w:szCs w:val="18"/>
              </w:rPr>
            </w:pPr>
            <w:r w:rsidRPr="006B79CE">
              <w:rPr>
                <w:rFonts w:ascii="Arial" w:hAnsi="Arial" w:cs="Arial"/>
                <w:sz w:val="18"/>
                <w:szCs w:val="18"/>
              </w:rPr>
              <w:t>9,253</w:t>
            </w:r>
          </w:p>
        </w:tc>
        <w:tc>
          <w:tcPr>
            <w:tcW w:w="0" w:type="auto"/>
            <w:tcBorders>
              <w:top w:val="nil"/>
              <w:left w:val="nil"/>
              <w:bottom w:val="nil"/>
              <w:right w:val="nil"/>
            </w:tcBorders>
            <w:shd w:val="clear" w:color="000000" w:fill="FFFFFF"/>
            <w:vAlign w:val="center"/>
            <w:hideMark/>
          </w:tcPr>
          <w:p w14:paraId="2C279F16"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single" w:sz="8" w:space="0" w:color="auto"/>
            </w:tcBorders>
            <w:shd w:val="clear" w:color="000000" w:fill="CCCCCC"/>
            <w:vAlign w:val="center"/>
            <w:hideMark/>
          </w:tcPr>
          <w:p w14:paraId="070EEC0F" w14:textId="4E3135E6"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62829F7D"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single" w:sz="8" w:space="0" w:color="auto"/>
            </w:tcBorders>
            <w:shd w:val="clear" w:color="000000" w:fill="CCCCCC"/>
            <w:vAlign w:val="center"/>
            <w:hideMark/>
          </w:tcPr>
          <w:p w14:paraId="482D6669" w14:textId="2D915844"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10BEA87C" w14:textId="4147B491" w:rsidR="006B79CE" w:rsidRPr="006B79CE" w:rsidRDefault="006B79CE" w:rsidP="006B79CE">
            <w:pPr>
              <w:jc w:val="right"/>
              <w:rPr>
                <w:rFonts w:ascii="Arial" w:hAnsi="Arial" w:cs="Arial"/>
                <w:sz w:val="18"/>
                <w:szCs w:val="18"/>
              </w:rPr>
            </w:pPr>
            <w:r w:rsidRPr="006B79CE">
              <w:rPr>
                <w:rFonts w:ascii="Arial" w:hAnsi="Arial" w:cs="Arial"/>
                <w:sz w:val="18"/>
                <w:szCs w:val="18"/>
              </w:rPr>
              <w:t>(19,749)</w:t>
            </w:r>
          </w:p>
        </w:tc>
        <w:tc>
          <w:tcPr>
            <w:tcW w:w="0" w:type="auto"/>
            <w:tcBorders>
              <w:top w:val="nil"/>
              <w:left w:val="nil"/>
              <w:bottom w:val="nil"/>
              <w:right w:val="single" w:sz="8" w:space="0" w:color="auto"/>
            </w:tcBorders>
            <w:shd w:val="clear" w:color="000000" w:fill="CCCCCC"/>
            <w:vAlign w:val="center"/>
            <w:hideMark/>
          </w:tcPr>
          <w:p w14:paraId="7D524475" w14:textId="795CE1D8" w:rsidR="006B79CE" w:rsidRPr="006B79CE" w:rsidRDefault="006B79CE" w:rsidP="006B79CE">
            <w:pPr>
              <w:jc w:val="right"/>
              <w:rPr>
                <w:rFonts w:ascii="Arial" w:hAnsi="Arial" w:cs="Arial"/>
                <w:sz w:val="18"/>
                <w:szCs w:val="18"/>
              </w:rPr>
            </w:pPr>
            <w:r w:rsidRPr="006B79CE">
              <w:rPr>
                <w:rFonts w:ascii="Arial" w:hAnsi="Arial" w:cs="Arial"/>
                <w:sz w:val="18"/>
                <w:szCs w:val="18"/>
              </w:rPr>
              <w:t>9,253</w:t>
            </w:r>
          </w:p>
        </w:tc>
      </w:tr>
      <w:tr w:rsidR="006B79CE" w:rsidRPr="00C47FA1" w14:paraId="57049B2B"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2B27ED72" w14:textId="77777777" w:rsidR="006B79CE" w:rsidRPr="006673F2" w:rsidRDefault="006B79CE" w:rsidP="006B79CE">
            <w:pPr>
              <w:ind w:firstLineChars="400" w:firstLine="640"/>
              <w:rPr>
                <w:rFonts w:ascii="Symbol" w:hAnsi="Symbol" w:cs="Arial"/>
                <w:sz w:val="16"/>
                <w:szCs w:val="16"/>
              </w:rPr>
            </w:pPr>
            <w:r w:rsidRPr="006673F2">
              <w:rPr>
                <w:rFonts w:ascii="Symbol" w:hAnsi="Symbol" w:cs="Arial"/>
                <w:sz w:val="16"/>
                <w:szCs w:val="16"/>
              </w:rPr>
              <w:t>·</w:t>
            </w:r>
            <w:r w:rsidRPr="006673F2">
              <w:rPr>
                <w:sz w:val="16"/>
                <w:szCs w:val="16"/>
              </w:rPr>
              <w:t xml:space="preserve">         </w:t>
            </w:r>
            <w:r w:rsidRPr="006673F2">
              <w:rPr>
                <w:rFonts w:ascii="Arial" w:hAnsi="Arial" w:cs="Arial"/>
                <w:color w:val="000000"/>
                <w:sz w:val="16"/>
                <w:szCs w:val="16"/>
              </w:rPr>
              <w:t>Experience (gains)/losses on Liabilities</w:t>
            </w:r>
          </w:p>
        </w:tc>
        <w:tc>
          <w:tcPr>
            <w:tcW w:w="0" w:type="auto"/>
            <w:tcBorders>
              <w:top w:val="nil"/>
              <w:left w:val="nil"/>
              <w:bottom w:val="nil"/>
              <w:right w:val="nil"/>
            </w:tcBorders>
            <w:shd w:val="clear" w:color="000000" w:fill="FFFFFF"/>
            <w:vAlign w:val="center"/>
            <w:hideMark/>
          </w:tcPr>
          <w:p w14:paraId="35CCED94" w14:textId="13AA2B01" w:rsidR="006B79CE" w:rsidRPr="006B79CE" w:rsidRDefault="006B79CE" w:rsidP="006B79CE">
            <w:pPr>
              <w:jc w:val="right"/>
              <w:rPr>
                <w:rFonts w:ascii="Arial" w:hAnsi="Arial" w:cs="Arial"/>
                <w:sz w:val="18"/>
                <w:szCs w:val="18"/>
              </w:rPr>
            </w:pPr>
            <w:r w:rsidRPr="006B79CE">
              <w:rPr>
                <w:rFonts w:ascii="Arial" w:hAnsi="Arial" w:cs="Arial"/>
                <w:sz w:val="18"/>
                <w:szCs w:val="18"/>
              </w:rPr>
              <w:t>3,348</w:t>
            </w:r>
          </w:p>
        </w:tc>
        <w:tc>
          <w:tcPr>
            <w:tcW w:w="0" w:type="auto"/>
            <w:tcBorders>
              <w:top w:val="nil"/>
              <w:left w:val="nil"/>
              <w:bottom w:val="nil"/>
              <w:right w:val="single" w:sz="8" w:space="0" w:color="auto"/>
            </w:tcBorders>
            <w:shd w:val="clear" w:color="000000" w:fill="CCCCCC"/>
            <w:vAlign w:val="center"/>
            <w:hideMark/>
          </w:tcPr>
          <w:p w14:paraId="11C32554" w14:textId="42798B77" w:rsidR="006B79CE" w:rsidRPr="006B79CE" w:rsidRDefault="006B79CE" w:rsidP="006B79CE">
            <w:pPr>
              <w:jc w:val="right"/>
              <w:rPr>
                <w:rFonts w:ascii="Arial" w:hAnsi="Arial" w:cs="Arial"/>
                <w:sz w:val="18"/>
                <w:szCs w:val="18"/>
              </w:rPr>
            </w:pPr>
            <w:r w:rsidRPr="006B79CE">
              <w:rPr>
                <w:rFonts w:ascii="Arial" w:hAnsi="Arial" w:cs="Arial"/>
                <w:sz w:val="18"/>
                <w:szCs w:val="18"/>
              </w:rPr>
              <w:t>(136)</w:t>
            </w:r>
          </w:p>
        </w:tc>
        <w:tc>
          <w:tcPr>
            <w:tcW w:w="0" w:type="auto"/>
            <w:tcBorders>
              <w:top w:val="nil"/>
              <w:left w:val="nil"/>
              <w:bottom w:val="nil"/>
              <w:right w:val="nil"/>
            </w:tcBorders>
            <w:shd w:val="clear" w:color="000000" w:fill="FFFFFF"/>
            <w:vAlign w:val="center"/>
            <w:hideMark/>
          </w:tcPr>
          <w:p w14:paraId="067BC3D6" w14:textId="232203D1" w:rsidR="006B79CE" w:rsidRPr="006B79CE" w:rsidRDefault="006B79CE" w:rsidP="006B79CE">
            <w:pPr>
              <w:jc w:val="right"/>
              <w:rPr>
                <w:rFonts w:ascii="Arial" w:hAnsi="Arial" w:cs="Arial"/>
                <w:sz w:val="18"/>
                <w:szCs w:val="18"/>
              </w:rPr>
            </w:pPr>
            <w:r w:rsidRPr="006B79CE">
              <w:rPr>
                <w:rFonts w:ascii="Arial" w:hAnsi="Arial" w:cs="Arial"/>
                <w:sz w:val="18"/>
                <w:szCs w:val="18"/>
              </w:rPr>
              <w:t>16,451</w:t>
            </w:r>
          </w:p>
        </w:tc>
        <w:tc>
          <w:tcPr>
            <w:tcW w:w="0" w:type="auto"/>
            <w:tcBorders>
              <w:top w:val="nil"/>
              <w:left w:val="nil"/>
              <w:bottom w:val="nil"/>
              <w:right w:val="single" w:sz="8" w:space="0" w:color="auto"/>
            </w:tcBorders>
            <w:shd w:val="clear" w:color="000000" w:fill="CCCCCC"/>
            <w:vAlign w:val="center"/>
            <w:hideMark/>
          </w:tcPr>
          <w:p w14:paraId="5514A4AF" w14:textId="46AE2C00" w:rsidR="006B79CE" w:rsidRPr="006B79CE" w:rsidRDefault="006B79CE" w:rsidP="006B79CE">
            <w:pPr>
              <w:jc w:val="right"/>
              <w:rPr>
                <w:rFonts w:ascii="Arial" w:hAnsi="Arial" w:cs="Arial"/>
                <w:sz w:val="18"/>
                <w:szCs w:val="18"/>
              </w:rPr>
            </w:pPr>
            <w:r w:rsidRPr="006B79CE">
              <w:rPr>
                <w:rFonts w:ascii="Arial" w:hAnsi="Arial" w:cs="Arial"/>
                <w:sz w:val="18"/>
                <w:szCs w:val="18"/>
              </w:rPr>
              <w:t>(1,535)</w:t>
            </w:r>
          </w:p>
        </w:tc>
        <w:tc>
          <w:tcPr>
            <w:tcW w:w="0" w:type="auto"/>
            <w:tcBorders>
              <w:top w:val="nil"/>
              <w:left w:val="nil"/>
              <w:bottom w:val="nil"/>
              <w:right w:val="nil"/>
            </w:tcBorders>
            <w:shd w:val="clear" w:color="000000" w:fill="FFFFFF"/>
            <w:vAlign w:val="center"/>
            <w:hideMark/>
          </w:tcPr>
          <w:p w14:paraId="13FEB368" w14:textId="7A322D7C" w:rsidR="006B79CE" w:rsidRPr="006B79CE" w:rsidRDefault="006B79CE" w:rsidP="006B79CE">
            <w:pPr>
              <w:jc w:val="right"/>
              <w:rPr>
                <w:rFonts w:ascii="Arial" w:hAnsi="Arial" w:cs="Arial"/>
                <w:sz w:val="18"/>
                <w:szCs w:val="18"/>
              </w:rPr>
            </w:pPr>
            <w:r w:rsidRPr="006B79CE">
              <w:rPr>
                <w:rFonts w:ascii="Arial" w:hAnsi="Arial" w:cs="Arial"/>
                <w:sz w:val="18"/>
                <w:szCs w:val="18"/>
              </w:rPr>
              <w:t>636</w:t>
            </w:r>
          </w:p>
        </w:tc>
        <w:tc>
          <w:tcPr>
            <w:tcW w:w="0" w:type="auto"/>
            <w:tcBorders>
              <w:top w:val="nil"/>
              <w:left w:val="nil"/>
              <w:bottom w:val="nil"/>
              <w:right w:val="single" w:sz="8" w:space="0" w:color="auto"/>
            </w:tcBorders>
            <w:shd w:val="clear" w:color="000000" w:fill="CCCCCC"/>
            <w:vAlign w:val="center"/>
            <w:hideMark/>
          </w:tcPr>
          <w:p w14:paraId="2D354A7D" w14:textId="16C85193" w:rsidR="006B79CE" w:rsidRPr="006B79CE" w:rsidRDefault="006B79CE" w:rsidP="006B79CE">
            <w:pPr>
              <w:jc w:val="right"/>
              <w:rPr>
                <w:rFonts w:ascii="Arial" w:hAnsi="Arial" w:cs="Arial"/>
                <w:sz w:val="18"/>
                <w:szCs w:val="18"/>
              </w:rPr>
            </w:pPr>
            <w:r w:rsidRPr="006B79CE">
              <w:rPr>
                <w:rFonts w:ascii="Arial" w:hAnsi="Arial" w:cs="Arial"/>
                <w:sz w:val="18"/>
                <w:szCs w:val="18"/>
              </w:rPr>
              <w:t>(117)</w:t>
            </w:r>
          </w:p>
        </w:tc>
        <w:tc>
          <w:tcPr>
            <w:tcW w:w="0" w:type="auto"/>
            <w:tcBorders>
              <w:top w:val="nil"/>
              <w:left w:val="nil"/>
              <w:bottom w:val="nil"/>
              <w:right w:val="nil"/>
            </w:tcBorders>
            <w:shd w:val="clear" w:color="000000" w:fill="FFFFFF"/>
            <w:vAlign w:val="center"/>
            <w:hideMark/>
          </w:tcPr>
          <w:p w14:paraId="70776F9B" w14:textId="4B48FB9E" w:rsidR="006B79CE" w:rsidRPr="006B79CE" w:rsidRDefault="006B79CE" w:rsidP="006B79CE">
            <w:pPr>
              <w:jc w:val="right"/>
              <w:rPr>
                <w:rFonts w:ascii="Arial" w:hAnsi="Arial" w:cs="Arial"/>
                <w:sz w:val="18"/>
                <w:szCs w:val="18"/>
              </w:rPr>
            </w:pPr>
            <w:r w:rsidRPr="006B79CE">
              <w:rPr>
                <w:rFonts w:ascii="Arial" w:hAnsi="Arial" w:cs="Arial"/>
                <w:sz w:val="18"/>
                <w:szCs w:val="18"/>
              </w:rPr>
              <w:t>20,435</w:t>
            </w:r>
          </w:p>
        </w:tc>
        <w:tc>
          <w:tcPr>
            <w:tcW w:w="0" w:type="auto"/>
            <w:tcBorders>
              <w:top w:val="nil"/>
              <w:left w:val="nil"/>
              <w:bottom w:val="nil"/>
              <w:right w:val="single" w:sz="8" w:space="0" w:color="auto"/>
            </w:tcBorders>
            <w:shd w:val="clear" w:color="000000" w:fill="CCCCCC"/>
            <w:vAlign w:val="center"/>
            <w:hideMark/>
          </w:tcPr>
          <w:p w14:paraId="3101711D" w14:textId="6F2FA35E" w:rsidR="006B79CE" w:rsidRPr="006B79CE" w:rsidRDefault="006B79CE" w:rsidP="006B79CE">
            <w:pPr>
              <w:jc w:val="right"/>
              <w:rPr>
                <w:rFonts w:ascii="Arial" w:hAnsi="Arial" w:cs="Arial"/>
                <w:sz w:val="18"/>
                <w:szCs w:val="18"/>
              </w:rPr>
            </w:pPr>
            <w:r w:rsidRPr="006B79CE">
              <w:rPr>
                <w:rFonts w:ascii="Arial" w:hAnsi="Arial" w:cs="Arial"/>
                <w:sz w:val="18"/>
                <w:szCs w:val="18"/>
              </w:rPr>
              <w:t>(1,788)</w:t>
            </w:r>
          </w:p>
        </w:tc>
      </w:tr>
      <w:tr w:rsidR="006B79CE" w:rsidRPr="00C47FA1" w14:paraId="0952F53A"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66C19A4F" w14:textId="77777777" w:rsidR="006B79CE" w:rsidRPr="006673F2" w:rsidRDefault="006B79CE" w:rsidP="006B79CE">
            <w:pPr>
              <w:ind w:firstLineChars="400" w:firstLine="640"/>
              <w:rPr>
                <w:rFonts w:ascii="Symbol" w:hAnsi="Symbol" w:cs="Arial"/>
                <w:sz w:val="16"/>
                <w:szCs w:val="16"/>
              </w:rPr>
            </w:pPr>
            <w:r w:rsidRPr="006673F2">
              <w:rPr>
                <w:rFonts w:ascii="Symbol" w:hAnsi="Symbol" w:cs="Arial"/>
                <w:sz w:val="16"/>
                <w:szCs w:val="16"/>
              </w:rPr>
              <w:t>·</w:t>
            </w:r>
            <w:r w:rsidRPr="006673F2">
              <w:rPr>
                <w:sz w:val="16"/>
                <w:szCs w:val="16"/>
              </w:rPr>
              <w:t xml:space="preserve">         </w:t>
            </w:r>
            <w:r w:rsidRPr="006673F2">
              <w:rPr>
                <w:rFonts w:ascii="Arial" w:hAnsi="Arial" w:cs="Arial"/>
                <w:color w:val="000000"/>
                <w:sz w:val="16"/>
                <w:szCs w:val="16"/>
              </w:rPr>
              <w:t>(Gains)/losses on demographic assumptions</w:t>
            </w:r>
          </w:p>
        </w:tc>
        <w:tc>
          <w:tcPr>
            <w:tcW w:w="0" w:type="auto"/>
            <w:tcBorders>
              <w:top w:val="nil"/>
              <w:left w:val="nil"/>
              <w:bottom w:val="nil"/>
              <w:right w:val="nil"/>
            </w:tcBorders>
            <w:shd w:val="clear" w:color="000000" w:fill="FFFFFF"/>
            <w:vAlign w:val="center"/>
            <w:hideMark/>
          </w:tcPr>
          <w:p w14:paraId="2C49B2CD" w14:textId="0104B706" w:rsidR="006B79CE" w:rsidRPr="006B79CE" w:rsidRDefault="006B79CE" w:rsidP="006B79CE">
            <w:pPr>
              <w:jc w:val="right"/>
              <w:rPr>
                <w:rFonts w:ascii="Arial" w:hAnsi="Arial" w:cs="Arial"/>
                <w:sz w:val="18"/>
                <w:szCs w:val="18"/>
              </w:rPr>
            </w:pPr>
            <w:r w:rsidRPr="006B79CE">
              <w:rPr>
                <w:rFonts w:ascii="Arial" w:hAnsi="Arial" w:cs="Arial"/>
                <w:sz w:val="18"/>
                <w:szCs w:val="18"/>
              </w:rPr>
              <w:t>(5,656)</w:t>
            </w:r>
          </w:p>
        </w:tc>
        <w:tc>
          <w:tcPr>
            <w:tcW w:w="0" w:type="auto"/>
            <w:tcBorders>
              <w:top w:val="nil"/>
              <w:left w:val="nil"/>
              <w:bottom w:val="nil"/>
              <w:right w:val="single" w:sz="8" w:space="0" w:color="auto"/>
            </w:tcBorders>
            <w:shd w:val="clear" w:color="000000" w:fill="CCCCCC"/>
            <w:vAlign w:val="center"/>
            <w:hideMark/>
          </w:tcPr>
          <w:p w14:paraId="225D1DBE" w14:textId="23AF8C0F" w:rsidR="006B79CE" w:rsidRPr="006B79CE" w:rsidRDefault="006B79CE" w:rsidP="006B79CE">
            <w:pPr>
              <w:jc w:val="right"/>
              <w:rPr>
                <w:rFonts w:ascii="Arial" w:hAnsi="Arial" w:cs="Arial"/>
                <w:sz w:val="18"/>
                <w:szCs w:val="18"/>
              </w:rPr>
            </w:pPr>
            <w:r w:rsidRPr="006B79CE">
              <w:rPr>
                <w:rFonts w:ascii="Arial" w:hAnsi="Arial" w:cs="Arial"/>
                <w:sz w:val="18"/>
                <w:szCs w:val="18"/>
              </w:rPr>
              <w:t>(1,278)</w:t>
            </w:r>
          </w:p>
        </w:tc>
        <w:tc>
          <w:tcPr>
            <w:tcW w:w="0" w:type="auto"/>
            <w:tcBorders>
              <w:top w:val="nil"/>
              <w:left w:val="nil"/>
              <w:bottom w:val="nil"/>
              <w:right w:val="nil"/>
            </w:tcBorders>
            <w:shd w:val="clear" w:color="000000" w:fill="FFFFFF"/>
            <w:vAlign w:val="center"/>
            <w:hideMark/>
          </w:tcPr>
          <w:p w14:paraId="694ACF7F" w14:textId="7C8411E3" w:rsidR="006B79CE" w:rsidRPr="006B79CE" w:rsidRDefault="006B79CE" w:rsidP="006B79CE">
            <w:pPr>
              <w:jc w:val="right"/>
              <w:rPr>
                <w:rFonts w:ascii="Arial" w:hAnsi="Arial" w:cs="Arial"/>
                <w:sz w:val="18"/>
                <w:szCs w:val="18"/>
              </w:rPr>
            </w:pPr>
            <w:r w:rsidRPr="006B79CE">
              <w:rPr>
                <w:rFonts w:ascii="Arial" w:hAnsi="Arial" w:cs="Arial"/>
                <w:sz w:val="18"/>
                <w:szCs w:val="18"/>
              </w:rPr>
              <w:t>(53,558)</w:t>
            </w:r>
          </w:p>
        </w:tc>
        <w:tc>
          <w:tcPr>
            <w:tcW w:w="0" w:type="auto"/>
            <w:tcBorders>
              <w:top w:val="nil"/>
              <w:left w:val="nil"/>
              <w:bottom w:val="nil"/>
              <w:right w:val="single" w:sz="8" w:space="0" w:color="auto"/>
            </w:tcBorders>
            <w:shd w:val="clear" w:color="000000" w:fill="CCCCCC"/>
            <w:vAlign w:val="center"/>
            <w:hideMark/>
          </w:tcPr>
          <w:p w14:paraId="7607344B" w14:textId="3EC37C5E" w:rsidR="006B79CE" w:rsidRPr="006B79CE" w:rsidRDefault="006B79CE" w:rsidP="006B79CE">
            <w:pPr>
              <w:jc w:val="right"/>
              <w:rPr>
                <w:rFonts w:ascii="Arial" w:hAnsi="Arial" w:cs="Arial"/>
                <w:sz w:val="18"/>
                <w:szCs w:val="18"/>
              </w:rPr>
            </w:pPr>
            <w:r w:rsidRPr="006B79CE">
              <w:rPr>
                <w:rFonts w:ascii="Arial" w:hAnsi="Arial" w:cs="Arial"/>
                <w:sz w:val="18"/>
                <w:szCs w:val="18"/>
              </w:rPr>
              <w:t>(4,311)</w:t>
            </w:r>
          </w:p>
        </w:tc>
        <w:tc>
          <w:tcPr>
            <w:tcW w:w="0" w:type="auto"/>
            <w:tcBorders>
              <w:top w:val="nil"/>
              <w:left w:val="nil"/>
              <w:bottom w:val="nil"/>
              <w:right w:val="nil"/>
            </w:tcBorders>
            <w:shd w:val="clear" w:color="000000" w:fill="FFFFFF"/>
            <w:vAlign w:val="center"/>
            <w:hideMark/>
          </w:tcPr>
          <w:p w14:paraId="0D6E1670" w14:textId="77BCF945" w:rsidR="006B79CE" w:rsidRPr="006B79CE" w:rsidRDefault="006B79CE" w:rsidP="006B79CE">
            <w:pPr>
              <w:jc w:val="right"/>
              <w:rPr>
                <w:rFonts w:ascii="Arial" w:hAnsi="Arial" w:cs="Arial"/>
                <w:sz w:val="18"/>
                <w:szCs w:val="18"/>
              </w:rPr>
            </w:pPr>
            <w:r w:rsidRPr="006B79CE">
              <w:rPr>
                <w:rFonts w:ascii="Arial" w:hAnsi="Arial" w:cs="Arial"/>
                <w:sz w:val="18"/>
                <w:szCs w:val="18"/>
              </w:rPr>
              <w:t>(3,200)</w:t>
            </w:r>
          </w:p>
        </w:tc>
        <w:tc>
          <w:tcPr>
            <w:tcW w:w="0" w:type="auto"/>
            <w:tcBorders>
              <w:top w:val="nil"/>
              <w:left w:val="nil"/>
              <w:bottom w:val="nil"/>
              <w:right w:val="single" w:sz="8" w:space="0" w:color="auto"/>
            </w:tcBorders>
            <w:shd w:val="clear" w:color="000000" w:fill="CCCCCC"/>
            <w:vAlign w:val="center"/>
            <w:hideMark/>
          </w:tcPr>
          <w:p w14:paraId="535F7D76" w14:textId="549F32DB" w:rsidR="006B79CE" w:rsidRPr="006B79CE" w:rsidRDefault="006B79CE" w:rsidP="006B79CE">
            <w:pPr>
              <w:jc w:val="right"/>
              <w:rPr>
                <w:rFonts w:ascii="Arial" w:hAnsi="Arial" w:cs="Arial"/>
                <w:sz w:val="18"/>
                <w:szCs w:val="18"/>
              </w:rPr>
            </w:pPr>
            <w:r w:rsidRPr="006B79CE">
              <w:rPr>
                <w:rFonts w:ascii="Arial" w:hAnsi="Arial" w:cs="Arial"/>
                <w:sz w:val="18"/>
                <w:szCs w:val="18"/>
              </w:rPr>
              <w:t>(373)</w:t>
            </w:r>
          </w:p>
        </w:tc>
        <w:tc>
          <w:tcPr>
            <w:tcW w:w="0" w:type="auto"/>
            <w:tcBorders>
              <w:top w:val="nil"/>
              <w:left w:val="nil"/>
              <w:bottom w:val="nil"/>
              <w:right w:val="nil"/>
            </w:tcBorders>
            <w:shd w:val="clear" w:color="000000" w:fill="FFFFFF"/>
            <w:vAlign w:val="center"/>
            <w:hideMark/>
          </w:tcPr>
          <w:p w14:paraId="115CE93E" w14:textId="35804991" w:rsidR="006B79CE" w:rsidRPr="006B79CE" w:rsidRDefault="006B79CE" w:rsidP="006B79CE">
            <w:pPr>
              <w:jc w:val="right"/>
              <w:rPr>
                <w:rFonts w:ascii="Arial" w:hAnsi="Arial" w:cs="Arial"/>
                <w:sz w:val="18"/>
                <w:szCs w:val="18"/>
              </w:rPr>
            </w:pPr>
            <w:r w:rsidRPr="006B79CE">
              <w:rPr>
                <w:rFonts w:ascii="Arial" w:hAnsi="Arial" w:cs="Arial"/>
                <w:sz w:val="18"/>
                <w:szCs w:val="18"/>
              </w:rPr>
              <w:t>(62,414)</w:t>
            </w:r>
          </w:p>
        </w:tc>
        <w:tc>
          <w:tcPr>
            <w:tcW w:w="0" w:type="auto"/>
            <w:tcBorders>
              <w:top w:val="nil"/>
              <w:left w:val="nil"/>
              <w:bottom w:val="nil"/>
              <w:right w:val="single" w:sz="8" w:space="0" w:color="auto"/>
            </w:tcBorders>
            <w:shd w:val="clear" w:color="000000" w:fill="CCCCCC"/>
            <w:vAlign w:val="center"/>
            <w:hideMark/>
          </w:tcPr>
          <w:p w14:paraId="346CAD0A" w14:textId="0C04DDB1" w:rsidR="006B79CE" w:rsidRPr="006B79CE" w:rsidRDefault="006B79CE" w:rsidP="006B79CE">
            <w:pPr>
              <w:jc w:val="right"/>
              <w:rPr>
                <w:rFonts w:ascii="Arial" w:hAnsi="Arial" w:cs="Arial"/>
                <w:sz w:val="18"/>
                <w:szCs w:val="18"/>
              </w:rPr>
            </w:pPr>
            <w:r w:rsidRPr="006B79CE">
              <w:rPr>
                <w:rFonts w:ascii="Arial" w:hAnsi="Arial" w:cs="Arial"/>
                <w:sz w:val="18"/>
                <w:szCs w:val="18"/>
              </w:rPr>
              <w:t>(5,962)</w:t>
            </w:r>
          </w:p>
        </w:tc>
      </w:tr>
      <w:tr w:rsidR="006B79CE" w:rsidRPr="00C47FA1" w14:paraId="395E07D9"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4E9665C5" w14:textId="77777777" w:rsidR="006B79CE" w:rsidRPr="006673F2" w:rsidRDefault="006B79CE" w:rsidP="006B79CE">
            <w:pPr>
              <w:ind w:firstLineChars="400" w:firstLine="640"/>
              <w:rPr>
                <w:rFonts w:ascii="Symbol" w:hAnsi="Symbol" w:cs="Arial"/>
                <w:sz w:val="16"/>
                <w:szCs w:val="16"/>
              </w:rPr>
            </w:pPr>
            <w:r w:rsidRPr="006673F2">
              <w:rPr>
                <w:rFonts w:ascii="Symbol" w:hAnsi="Symbol" w:cs="Arial"/>
                <w:sz w:val="16"/>
                <w:szCs w:val="16"/>
              </w:rPr>
              <w:t>·</w:t>
            </w:r>
            <w:r w:rsidRPr="006673F2">
              <w:rPr>
                <w:sz w:val="16"/>
                <w:szCs w:val="16"/>
              </w:rPr>
              <w:t xml:space="preserve">         </w:t>
            </w:r>
            <w:r w:rsidRPr="006673F2">
              <w:rPr>
                <w:rFonts w:ascii="Arial" w:hAnsi="Arial" w:cs="Arial"/>
                <w:color w:val="000000"/>
                <w:sz w:val="16"/>
                <w:szCs w:val="16"/>
              </w:rPr>
              <w:t>Actuarial (gains)/losses arising on changes in financial assumptions</w:t>
            </w:r>
          </w:p>
        </w:tc>
        <w:tc>
          <w:tcPr>
            <w:tcW w:w="0" w:type="auto"/>
            <w:tcBorders>
              <w:top w:val="nil"/>
              <w:left w:val="nil"/>
              <w:bottom w:val="nil"/>
              <w:right w:val="nil"/>
            </w:tcBorders>
            <w:shd w:val="clear" w:color="000000" w:fill="FFFFFF"/>
            <w:vAlign w:val="center"/>
            <w:hideMark/>
          </w:tcPr>
          <w:p w14:paraId="7ACB1D24" w14:textId="7F5C75A6" w:rsidR="006B79CE" w:rsidRPr="006B79CE" w:rsidRDefault="006B79CE" w:rsidP="006B79CE">
            <w:pPr>
              <w:jc w:val="right"/>
              <w:rPr>
                <w:rFonts w:ascii="Arial" w:hAnsi="Arial" w:cs="Arial"/>
                <w:sz w:val="18"/>
                <w:szCs w:val="18"/>
              </w:rPr>
            </w:pPr>
            <w:r w:rsidRPr="006B79CE">
              <w:rPr>
                <w:rFonts w:ascii="Arial" w:hAnsi="Arial" w:cs="Arial"/>
                <w:sz w:val="18"/>
                <w:szCs w:val="18"/>
              </w:rPr>
              <w:t>(17,301)</w:t>
            </w:r>
          </w:p>
        </w:tc>
        <w:tc>
          <w:tcPr>
            <w:tcW w:w="0" w:type="auto"/>
            <w:tcBorders>
              <w:top w:val="nil"/>
              <w:left w:val="nil"/>
              <w:bottom w:val="nil"/>
              <w:right w:val="single" w:sz="8" w:space="0" w:color="auto"/>
            </w:tcBorders>
            <w:shd w:val="clear" w:color="000000" w:fill="CCCCCC"/>
            <w:vAlign w:val="center"/>
            <w:hideMark/>
          </w:tcPr>
          <w:p w14:paraId="5D29E177" w14:textId="3F66F5F8" w:rsidR="006B79CE" w:rsidRPr="006B79CE" w:rsidRDefault="006B79CE" w:rsidP="006B79CE">
            <w:pPr>
              <w:jc w:val="right"/>
              <w:rPr>
                <w:rFonts w:ascii="Arial" w:hAnsi="Arial" w:cs="Arial"/>
                <w:sz w:val="18"/>
                <w:szCs w:val="18"/>
              </w:rPr>
            </w:pPr>
            <w:r w:rsidRPr="006B79CE">
              <w:rPr>
                <w:rFonts w:ascii="Arial" w:hAnsi="Arial" w:cs="Arial"/>
                <w:sz w:val="18"/>
                <w:szCs w:val="18"/>
              </w:rPr>
              <w:t>(77,666)</w:t>
            </w:r>
          </w:p>
        </w:tc>
        <w:tc>
          <w:tcPr>
            <w:tcW w:w="0" w:type="auto"/>
            <w:tcBorders>
              <w:top w:val="nil"/>
              <w:left w:val="nil"/>
              <w:bottom w:val="nil"/>
              <w:right w:val="nil"/>
            </w:tcBorders>
            <w:shd w:val="clear" w:color="000000" w:fill="FFFFFF"/>
            <w:vAlign w:val="center"/>
            <w:hideMark/>
          </w:tcPr>
          <w:p w14:paraId="2ABB87F2" w14:textId="7A6527C3" w:rsidR="006B79CE" w:rsidRPr="006B79CE" w:rsidRDefault="006B79CE" w:rsidP="006B79CE">
            <w:pPr>
              <w:jc w:val="right"/>
              <w:rPr>
                <w:rFonts w:ascii="Arial" w:hAnsi="Arial" w:cs="Arial"/>
                <w:sz w:val="18"/>
                <w:szCs w:val="18"/>
              </w:rPr>
            </w:pPr>
            <w:r w:rsidRPr="006B79CE">
              <w:rPr>
                <w:rFonts w:ascii="Arial" w:hAnsi="Arial" w:cs="Arial"/>
                <w:sz w:val="18"/>
                <w:szCs w:val="18"/>
              </w:rPr>
              <w:t>(45,137)</w:t>
            </w:r>
          </w:p>
        </w:tc>
        <w:tc>
          <w:tcPr>
            <w:tcW w:w="0" w:type="auto"/>
            <w:tcBorders>
              <w:top w:val="nil"/>
              <w:left w:val="nil"/>
              <w:bottom w:val="nil"/>
              <w:right w:val="single" w:sz="8" w:space="0" w:color="auto"/>
            </w:tcBorders>
            <w:shd w:val="clear" w:color="000000" w:fill="CCCCCC"/>
            <w:vAlign w:val="center"/>
            <w:hideMark/>
          </w:tcPr>
          <w:p w14:paraId="775B1019" w14:textId="0F2DC53A" w:rsidR="006B79CE" w:rsidRPr="006B79CE" w:rsidRDefault="006B79CE" w:rsidP="006B79CE">
            <w:pPr>
              <w:jc w:val="right"/>
              <w:rPr>
                <w:rFonts w:ascii="Arial" w:hAnsi="Arial" w:cs="Arial"/>
                <w:sz w:val="18"/>
                <w:szCs w:val="18"/>
              </w:rPr>
            </w:pPr>
            <w:r w:rsidRPr="006B79CE">
              <w:rPr>
                <w:rFonts w:ascii="Arial" w:hAnsi="Arial" w:cs="Arial"/>
                <w:sz w:val="18"/>
                <w:szCs w:val="18"/>
              </w:rPr>
              <w:t>(392,468)</w:t>
            </w:r>
          </w:p>
        </w:tc>
        <w:tc>
          <w:tcPr>
            <w:tcW w:w="0" w:type="auto"/>
            <w:tcBorders>
              <w:top w:val="nil"/>
              <w:left w:val="nil"/>
              <w:bottom w:val="nil"/>
              <w:right w:val="nil"/>
            </w:tcBorders>
            <w:shd w:val="clear" w:color="000000" w:fill="FFFFFF"/>
            <w:vAlign w:val="center"/>
            <w:hideMark/>
          </w:tcPr>
          <w:p w14:paraId="7B859054" w14:textId="4D535DEA" w:rsidR="006B79CE" w:rsidRPr="006B79CE" w:rsidRDefault="006B79CE" w:rsidP="006B79CE">
            <w:pPr>
              <w:jc w:val="right"/>
              <w:rPr>
                <w:rFonts w:ascii="Arial" w:hAnsi="Arial" w:cs="Arial"/>
                <w:sz w:val="18"/>
                <w:szCs w:val="18"/>
              </w:rPr>
            </w:pPr>
            <w:r w:rsidRPr="006B79CE">
              <w:rPr>
                <w:rFonts w:ascii="Arial" w:hAnsi="Arial" w:cs="Arial"/>
                <w:sz w:val="18"/>
                <w:szCs w:val="18"/>
              </w:rPr>
              <w:t>(3,344)</w:t>
            </w:r>
          </w:p>
        </w:tc>
        <w:tc>
          <w:tcPr>
            <w:tcW w:w="0" w:type="auto"/>
            <w:tcBorders>
              <w:top w:val="nil"/>
              <w:left w:val="nil"/>
              <w:bottom w:val="nil"/>
              <w:right w:val="single" w:sz="8" w:space="0" w:color="auto"/>
            </w:tcBorders>
            <w:shd w:val="clear" w:color="000000" w:fill="CCCCCC"/>
            <w:vAlign w:val="center"/>
            <w:hideMark/>
          </w:tcPr>
          <w:p w14:paraId="4DFEF375" w14:textId="0D028D6E" w:rsidR="006B79CE" w:rsidRPr="006B79CE" w:rsidRDefault="006B79CE" w:rsidP="006B79CE">
            <w:pPr>
              <w:jc w:val="right"/>
              <w:rPr>
                <w:rFonts w:ascii="Arial" w:hAnsi="Arial" w:cs="Arial"/>
                <w:sz w:val="18"/>
                <w:szCs w:val="18"/>
              </w:rPr>
            </w:pPr>
            <w:r w:rsidRPr="006B79CE">
              <w:rPr>
                <w:rFonts w:ascii="Arial" w:hAnsi="Arial" w:cs="Arial"/>
                <w:sz w:val="18"/>
                <w:szCs w:val="18"/>
              </w:rPr>
              <w:t>(29,599)</w:t>
            </w:r>
          </w:p>
        </w:tc>
        <w:tc>
          <w:tcPr>
            <w:tcW w:w="0" w:type="auto"/>
            <w:tcBorders>
              <w:top w:val="nil"/>
              <w:left w:val="nil"/>
              <w:bottom w:val="nil"/>
              <w:right w:val="nil"/>
            </w:tcBorders>
            <w:shd w:val="clear" w:color="000000" w:fill="FFFFFF"/>
            <w:vAlign w:val="center"/>
            <w:hideMark/>
          </w:tcPr>
          <w:p w14:paraId="48CE9C9B" w14:textId="1572D77D" w:rsidR="006B79CE" w:rsidRPr="006B79CE" w:rsidRDefault="006B79CE" w:rsidP="006B79CE">
            <w:pPr>
              <w:jc w:val="right"/>
              <w:rPr>
                <w:rFonts w:ascii="Arial" w:hAnsi="Arial" w:cs="Arial"/>
                <w:sz w:val="18"/>
                <w:szCs w:val="18"/>
              </w:rPr>
            </w:pPr>
            <w:r w:rsidRPr="006B79CE">
              <w:rPr>
                <w:rFonts w:ascii="Arial" w:hAnsi="Arial" w:cs="Arial"/>
                <w:sz w:val="18"/>
                <w:szCs w:val="18"/>
              </w:rPr>
              <w:t>(65,782)</w:t>
            </w:r>
          </w:p>
        </w:tc>
        <w:tc>
          <w:tcPr>
            <w:tcW w:w="0" w:type="auto"/>
            <w:tcBorders>
              <w:top w:val="nil"/>
              <w:left w:val="nil"/>
              <w:bottom w:val="nil"/>
              <w:right w:val="single" w:sz="8" w:space="0" w:color="auto"/>
            </w:tcBorders>
            <w:shd w:val="clear" w:color="000000" w:fill="CCCCCC"/>
            <w:vAlign w:val="center"/>
            <w:hideMark/>
          </w:tcPr>
          <w:p w14:paraId="395ABCA0" w14:textId="32D29560" w:rsidR="006B79CE" w:rsidRPr="006B79CE" w:rsidRDefault="006B79CE" w:rsidP="006B79CE">
            <w:pPr>
              <w:jc w:val="right"/>
              <w:rPr>
                <w:rFonts w:ascii="Arial" w:hAnsi="Arial" w:cs="Arial"/>
                <w:sz w:val="18"/>
                <w:szCs w:val="18"/>
              </w:rPr>
            </w:pPr>
            <w:r w:rsidRPr="006B79CE">
              <w:rPr>
                <w:rFonts w:ascii="Arial" w:hAnsi="Arial" w:cs="Arial"/>
                <w:sz w:val="18"/>
                <w:szCs w:val="18"/>
              </w:rPr>
              <w:t>(499,733)</w:t>
            </w:r>
          </w:p>
        </w:tc>
      </w:tr>
      <w:tr w:rsidR="006B79CE" w:rsidRPr="00C47FA1" w14:paraId="1F8A9703" w14:textId="77777777">
        <w:trPr>
          <w:trHeight w:val="315"/>
        </w:trPr>
        <w:tc>
          <w:tcPr>
            <w:tcW w:w="0" w:type="auto"/>
            <w:tcBorders>
              <w:top w:val="nil"/>
              <w:left w:val="single" w:sz="8" w:space="0" w:color="auto"/>
              <w:bottom w:val="nil"/>
              <w:right w:val="single" w:sz="8" w:space="0" w:color="auto"/>
            </w:tcBorders>
            <w:shd w:val="clear" w:color="000000" w:fill="CCCCCC"/>
            <w:vAlign w:val="center"/>
          </w:tcPr>
          <w:p w14:paraId="5FDCB839" w14:textId="27F8DC86" w:rsidR="006B79CE" w:rsidRPr="006673F2" w:rsidRDefault="006B79CE" w:rsidP="006B79CE">
            <w:pPr>
              <w:rPr>
                <w:rFonts w:ascii="Arial" w:hAnsi="Arial" w:cs="Arial"/>
                <w:b/>
                <w:bCs/>
                <w:color w:val="000000"/>
                <w:sz w:val="16"/>
                <w:szCs w:val="16"/>
              </w:rPr>
            </w:pPr>
            <w:r w:rsidRPr="006673F2">
              <w:rPr>
                <w:rFonts w:ascii="Arial" w:hAnsi="Arial" w:cs="Arial"/>
                <w:b/>
                <w:bCs/>
                <w:color w:val="000000"/>
                <w:sz w:val="16"/>
                <w:szCs w:val="16"/>
              </w:rPr>
              <w:t>Historical Adjustment</w:t>
            </w:r>
          </w:p>
        </w:tc>
        <w:tc>
          <w:tcPr>
            <w:tcW w:w="0" w:type="auto"/>
            <w:tcBorders>
              <w:top w:val="nil"/>
              <w:left w:val="nil"/>
              <w:bottom w:val="nil"/>
              <w:right w:val="nil"/>
            </w:tcBorders>
            <w:shd w:val="clear" w:color="000000" w:fill="FFFFFF"/>
            <w:vAlign w:val="center"/>
          </w:tcPr>
          <w:p w14:paraId="31944A69" w14:textId="58C02D7C" w:rsidR="006B79CE" w:rsidRPr="006B79CE" w:rsidRDefault="006B79CE" w:rsidP="006B79CE">
            <w:pPr>
              <w:jc w:val="right"/>
              <w:rPr>
                <w:rFonts w:ascii="Arial" w:hAnsi="Arial" w:cs="Arial"/>
                <w:sz w:val="18"/>
                <w:szCs w:val="18"/>
              </w:rPr>
            </w:pPr>
          </w:p>
        </w:tc>
        <w:tc>
          <w:tcPr>
            <w:tcW w:w="0" w:type="auto"/>
            <w:tcBorders>
              <w:top w:val="nil"/>
              <w:left w:val="nil"/>
              <w:bottom w:val="nil"/>
              <w:right w:val="single" w:sz="8" w:space="0" w:color="auto"/>
            </w:tcBorders>
            <w:shd w:val="clear" w:color="000000" w:fill="CCCCCC"/>
            <w:vAlign w:val="center"/>
          </w:tcPr>
          <w:p w14:paraId="20F7609C" w14:textId="6BF71078"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right w:val="nil"/>
            </w:tcBorders>
            <w:shd w:val="clear" w:color="000000" w:fill="FFFFFF"/>
            <w:vAlign w:val="center"/>
          </w:tcPr>
          <w:p w14:paraId="4D41F891" w14:textId="77777777" w:rsidR="006B79CE" w:rsidRPr="006B79CE" w:rsidRDefault="006B79CE" w:rsidP="006B79CE">
            <w:pPr>
              <w:jc w:val="right"/>
              <w:rPr>
                <w:rFonts w:ascii="Arial" w:hAnsi="Arial" w:cs="Arial"/>
                <w:sz w:val="18"/>
                <w:szCs w:val="18"/>
              </w:rPr>
            </w:pPr>
          </w:p>
        </w:tc>
        <w:tc>
          <w:tcPr>
            <w:tcW w:w="0" w:type="auto"/>
            <w:tcBorders>
              <w:top w:val="nil"/>
              <w:left w:val="nil"/>
              <w:bottom w:val="nil"/>
              <w:right w:val="single" w:sz="8" w:space="0" w:color="auto"/>
            </w:tcBorders>
            <w:shd w:val="clear" w:color="000000" w:fill="CCCCCC"/>
            <w:vAlign w:val="center"/>
          </w:tcPr>
          <w:p w14:paraId="76E9BFD8" w14:textId="69F3FA0A"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right w:val="nil"/>
            </w:tcBorders>
            <w:shd w:val="clear" w:color="000000" w:fill="FFFFFF"/>
            <w:vAlign w:val="center"/>
          </w:tcPr>
          <w:p w14:paraId="0071B443" w14:textId="77777777" w:rsidR="006B79CE" w:rsidRPr="006B79CE" w:rsidRDefault="006B79CE" w:rsidP="006B79CE">
            <w:pPr>
              <w:jc w:val="right"/>
              <w:rPr>
                <w:rFonts w:ascii="Arial" w:hAnsi="Arial" w:cs="Arial"/>
                <w:sz w:val="18"/>
                <w:szCs w:val="18"/>
              </w:rPr>
            </w:pPr>
          </w:p>
        </w:tc>
        <w:tc>
          <w:tcPr>
            <w:tcW w:w="0" w:type="auto"/>
            <w:tcBorders>
              <w:top w:val="nil"/>
              <w:left w:val="nil"/>
              <w:bottom w:val="nil"/>
              <w:right w:val="single" w:sz="8" w:space="0" w:color="auto"/>
            </w:tcBorders>
            <w:shd w:val="clear" w:color="000000" w:fill="CCCCCC"/>
            <w:vAlign w:val="center"/>
          </w:tcPr>
          <w:p w14:paraId="251D2C4F" w14:textId="35F87CD1"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nil"/>
            </w:tcBorders>
            <w:shd w:val="clear" w:color="000000" w:fill="FFFFFF"/>
            <w:vAlign w:val="center"/>
          </w:tcPr>
          <w:p w14:paraId="6B398E7E" w14:textId="1D93F9E5" w:rsidR="006B79CE" w:rsidRPr="006B79CE" w:rsidRDefault="006B79CE" w:rsidP="006B79CE">
            <w:pPr>
              <w:jc w:val="right"/>
              <w:rPr>
                <w:rFonts w:ascii="Arial" w:hAnsi="Arial" w:cs="Arial"/>
                <w:sz w:val="18"/>
                <w:szCs w:val="18"/>
              </w:rPr>
            </w:pPr>
          </w:p>
        </w:tc>
        <w:tc>
          <w:tcPr>
            <w:tcW w:w="0" w:type="auto"/>
            <w:tcBorders>
              <w:top w:val="nil"/>
              <w:left w:val="nil"/>
              <w:bottom w:val="nil"/>
              <w:right w:val="single" w:sz="8" w:space="0" w:color="auto"/>
            </w:tcBorders>
            <w:shd w:val="clear" w:color="000000" w:fill="CCCCCC"/>
            <w:vAlign w:val="center"/>
          </w:tcPr>
          <w:p w14:paraId="1A1C5B2B" w14:textId="53B947E9"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r>
      <w:tr w:rsidR="006B79CE" w:rsidRPr="00C47FA1" w14:paraId="63303C23" w14:textId="77777777" w:rsidTr="004F01F6">
        <w:trPr>
          <w:trHeight w:val="315"/>
        </w:trPr>
        <w:tc>
          <w:tcPr>
            <w:tcW w:w="0" w:type="auto"/>
            <w:tcBorders>
              <w:top w:val="nil"/>
              <w:left w:val="single" w:sz="8" w:space="0" w:color="auto"/>
              <w:bottom w:val="nil"/>
              <w:right w:val="single" w:sz="8" w:space="0" w:color="auto"/>
            </w:tcBorders>
            <w:shd w:val="clear" w:color="000000" w:fill="CCCCCC"/>
            <w:vAlign w:val="center"/>
            <w:hideMark/>
          </w:tcPr>
          <w:p w14:paraId="675FF2CF" w14:textId="22BE0711" w:rsidR="006B79CE" w:rsidRPr="006673F2" w:rsidRDefault="006B79CE" w:rsidP="006B79CE">
            <w:pPr>
              <w:rPr>
                <w:rFonts w:ascii="Arial" w:hAnsi="Arial" w:cs="Arial"/>
                <w:b/>
                <w:bCs/>
                <w:color w:val="000000"/>
                <w:sz w:val="16"/>
                <w:szCs w:val="16"/>
              </w:rPr>
            </w:pPr>
            <w:r w:rsidRPr="006673F2">
              <w:rPr>
                <w:rFonts w:ascii="Arial" w:hAnsi="Arial" w:cs="Arial"/>
                <w:b/>
                <w:bCs/>
                <w:color w:val="000000"/>
                <w:sz w:val="16"/>
                <w:szCs w:val="16"/>
              </w:rPr>
              <w:t>Impact of Asset Ceiling (net of Interest)</w:t>
            </w:r>
          </w:p>
        </w:tc>
        <w:tc>
          <w:tcPr>
            <w:tcW w:w="0" w:type="auto"/>
            <w:tcBorders>
              <w:top w:val="nil"/>
              <w:left w:val="nil"/>
              <w:bottom w:val="nil"/>
              <w:right w:val="nil"/>
            </w:tcBorders>
            <w:shd w:val="clear" w:color="000000" w:fill="FFFFFF"/>
            <w:vAlign w:val="center"/>
            <w:hideMark/>
          </w:tcPr>
          <w:p w14:paraId="66F2ED60" w14:textId="6E169B1C" w:rsidR="006B79CE" w:rsidRPr="006B79CE" w:rsidRDefault="006B79CE" w:rsidP="006B79CE">
            <w:pPr>
              <w:jc w:val="right"/>
              <w:rPr>
                <w:rFonts w:ascii="Arial" w:hAnsi="Arial" w:cs="Arial"/>
                <w:sz w:val="18"/>
                <w:szCs w:val="18"/>
              </w:rPr>
            </w:pPr>
            <w:r w:rsidRPr="006B79CE">
              <w:rPr>
                <w:rFonts w:ascii="Arial" w:hAnsi="Arial" w:cs="Arial"/>
                <w:sz w:val="18"/>
                <w:szCs w:val="18"/>
              </w:rPr>
              <w:t>61,037</w:t>
            </w:r>
          </w:p>
        </w:tc>
        <w:tc>
          <w:tcPr>
            <w:tcW w:w="0" w:type="auto"/>
            <w:tcBorders>
              <w:top w:val="nil"/>
              <w:left w:val="nil"/>
              <w:bottom w:val="single" w:sz="8" w:space="0" w:color="auto"/>
              <w:right w:val="single" w:sz="8" w:space="0" w:color="auto"/>
            </w:tcBorders>
            <w:shd w:val="clear" w:color="000000" w:fill="CCCCCC"/>
            <w:vAlign w:val="center"/>
            <w:hideMark/>
          </w:tcPr>
          <w:p w14:paraId="10897796" w14:textId="0B4939DD" w:rsidR="006B79CE" w:rsidRPr="006B79CE" w:rsidRDefault="006B79CE" w:rsidP="006B79CE">
            <w:pPr>
              <w:jc w:val="right"/>
              <w:rPr>
                <w:rFonts w:ascii="Arial" w:hAnsi="Arial" w:cs="Arial"/>
                <w:sz w:val="18"/>
                <w:szCs w:val="18"/>
              </w:rPr>
            </w:pPr>
            <w:r w:rsidRPr="006B79CE">
              <w:rPr>
                <w:rFonts w:ascii="Arial" w:hAnsi="Arial" w:cs="Arial"/>
                <w:sz w:val="18"/>
                <w:szCs w:val="18"/>
              </w:rPr>
              <w:t>5</w:t>
            </w:r>
            <w:r w:rsidR="00DE53F8">
              <w:rPr>
                <w:rFonts w:ascii="Arial" w:hAnsi="Arial" w:cs="Arial"/>
                <w:sz w:val="18"/>
                <w:szCs w:val="18"/>
              </w:rPr>
              <w:t>9,891</w:t>
            </w:r>
          </w:p>
        </w:tc>
        <w:tc>
          <w:tcPr>
            <w:tcW w:w="0" w:type="auto"/>
            <w:tcBorders>
              <w:top w:val="nil"/>
              <w:left w:val="nil"/>
              <w:bottom w:val="single" w:sz="8" w:space="0" w:color="auto"/>
              <w:right w:val="nil"/>
            </w:tcBorders>
            <w:shd w:val="clear" w:color="000000" w:fill="FFFFFF"/>
            <w:vAlign w:val="center"/>
            <w:hideMark/>
          </w:tcPr>
          <w:p w14:paraId="04BD64B3"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single" w:sz="8" w:space="0" w:color="auto"/>
              <w:right w:val="single" w:sz="8" w:space="0" w:color="auto"/>
            </w:tcBorders>
            <w:shd w:val="clear" w:color="000000" w:fill="CCCCCC"/>
            <w:vAlign w:val="center"/>
            <w:hideMark/>
          </w:tcPr>
          <w:p w14:paraId="70CCEB22" w14:textId="6A9D853C"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single" w:sz="8" w:space="0" w:color="auto"/>
              <w:right w:val="nil"/>
            </w:tcBorders>
            <w:shd w:val="clear" w:color="000000" w:fill="FFFFFF"/>
            <w:vAlign w:val="center"/>
            <w:hideMark/>
          </w:tcPr>
          <w:p w14:paraId="00657BD4"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single" w:sz="8" w:space="0" w:color="auto"/>
              <w:right w:val="single" w:sz="8" w:space="0" w:color="auto"/>
            </w:tcBorders>
            <w:shd w:val="clear" w:color="000000" w:fill="CCCCCC"/>
            <w:vAlign w:val="center"/>
            <w:hideMark/>
          </w:tcPr>
          <w:p w14:paraId="504C2CE3" w14:textId="6159BF12"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1562D523" w14:textId="125CBAFC" w:rsidR="006B79CE" w:rsidRPr="006B79CE" w:rsidRDefault="006B79CE" w:rsidP="006B79CE">
            <w:pPr>
              <w:jc w:val="right"/>
              <w:rPr>
                <w:rFonts w:ascii="Arial" w:hAnsi="Arial" w:cs="Arial"/>
                <w:sz w:val="18"/>
                <w:szCs w:val="18"/>
              </w:rPr>
            </w:pPr>
            <w:r w:rsidRPr="006B79CE">
              <w:rPr>
                <w:rFonts w:ascii="Arial" w:hAnsi="Arial" w:cs="Arial"/>
                <w:sz w:val="18"/>
                <w:szCs w:val="18"/>
              </w:rPr>
              <w:t>61,037</w:t>
            </w:r>
          </w:p>
        </w:tc>
        <w:tc>
          <w:tcPr>
            <w:tcW w:w="0" w:type="auto"/>
            <w:tcBorders>
              <w:top w:val="nil"/>
              <w:left w:val="nil"/>
              <w:bottom w:val="nil"/>
              <w:right w:val="single" w:sz="8" w:space="0" w:color="auto"/>
            </w:tcBorders>
            <w:shd w:val="clear" w:color="000000" w:fill="CCCCCC"/>
            <w:vAlign w:val="center"/>
            <w:hideMark/>
          </w:tcPr>
          <w:p w14:paraId="0B976B52" w14:textId="08EA9A67" w:rsidR="006B79CE" w:rsidRPr="006B79CE" w:rsidRDefault="006B79CE" w:rsidP="006B79CE">
            <w:pPr>
              <w:jc w:val="right"/>
              <w:rPr>
                <w:rFonts w:ascii="Arial" w:hAnsi="Arial" w:cs="Arial"/>
                <w:sz w:val="18"/>
                <w:szCs w:val="18"/>
              </w:rPr>
            </w:pPr>
            <w:r w:rsidRPr="006B79CE">
              <w:rPr>
                <w:rFonts w:ascii="Arial" w:hAnsi="Arial" w:cs="Arial"/>
                <w:sz w:val="18"/>
                <w:szCs w:val="18"/>
              </w:rPr>
              <w:t>5</w:t>
            </w:r>
            <w:r w:rsidR="00DE53F8">
              <w:rPr>
                <w:rFonts w:ascii="Arial" w:hAnsi="Arial" w:cs="Arial"/>
                <w:sz w:val="18"/>
                <w:szCs w:val="18"/>
              </w:rPr>
              <w:t>9,891</w:t>
            </w:r>
          </w:p>
        </w:tc>
      </w:tr>
      <w:tr w:rsidR="006B79CE" w:rsidRPr="00C47FA1" w14:paraId="58D36C77" w14:textId="77777777" w:rsidTr="004F01F6">
        <w:trPr>
          <w:trHeight w:val="525"/>
        </w:trPr>
        <w:tc>
          <w:tcPr>
            <w:tcW w:w="0" w:type="auto"/>
            <w:tcBorders>
              <w:top w:val="nil"/>
              <w:left w:val="single" w:sz="8" w:space="0" w:color="auto"/>
              <w:bottom w:val="nil"/>
              <w:right w:val="single" w:sz="8" w:space="0" w:color="auto"/>
            </w:tcBorders>
            <w:shd w:val="clear" w:color="000000" w:fill="CCCCCC"/>
            <w:vAlign w:val="center"/>
            <w:hideMark/>
          </w:tcPr>
          <w:p w14:paraId="4C8004D9" w14:textId="77777777" w:rsidR="006B79CE" w:rsidRPr="006673F2" w:rsidRDefault="006B79CE" w:rsidP="006B79CE">
            <w:pPr>
              <w:rPr>
                <w:rFonts w:ascii="Arial" w:hAnsi="Arial" w:cs="Arial"/>
                <w:b/>
                <w:bCs/>
                <w:color w:val="000000"/>
                <w:sz w:val="16"/>
                <w:szCs w:val="16"/>
              </w:rPr>
            </w:pPr>
            <w:r w:rsidRPr="006673F2">
              <w:rPr>
                <w:rFonts w:ascii="Arial" w:hAnsi="Arial" w:cs="Arial"/>
                <w:b/>
                <w:bCs/>
                <w:color w:val="000000"/>
                <w:sz w:val="16"/>
                <w:szCs w:val="16"/>
              </w:rPr>
              <w:t>Total Post-Employment Benefits Charged to the Comprehensive Income and Expenditure Statement</w:t>
            </w:r>
          </w:p>
        </w:tc>
        <w:tc>
          <w:tcPr>
            <w:tcW w:w="0" w:type="auto"/>
            <w:tcBorders>
              <w:top w:val="single" w:sz="8" w:space="0" w:color="auto"/>
              <w:left w:val="nil"/>
              <w:bottom w:val="single" w:sz="8" w:space="0" w:color="auto"/>
              <w:right w:val="nil"/>
            </w:tcBorders>
            <w:shd w:val="clear" w:color="000000" w:fill="FFFFFF"/>
            <w:vAlign w:val="center"/>
            <w:hideMark/>
          </w:tcPr>
          <w:p w14:paraId="6646D584" w14:textId="170CB0C9"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21,679</w:t>
            </w:r>
          </w:p>
        </w:tc>
        <w:tc>
          <w:tcPr>
            <w:tcW w:w="0" w:type="auto"/>
            <w:tcBorders>
              <w:top w:val="nil"/>
              <w:left w:val="nil"/>
              <w:bottom w:val="single" w:sz="8" w:space="0" w:color="auto"/>
              <w:right w:val="single" w:sz="8" w:space="0" w:color="auto"/>
            </w:tcBorders>
            <w:shd w:val="clear" w:color="000000" w:fill="CCCCCC"/>
            <w:vAlign w:val="center"/>
            <w:hideMark/>
          </w:tcPr>
          <w:p w14:paraId="467A1D3E" w14:textId="2667A89B"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w:t>
            </w:r>
            <w:r w:rsidR="00DE53F8">
              <w:rPr>
                <w:rFonts w:ascii="Arial" w:hAnsi="Arial" w:cs="Arial"/>
                <w:b/>
                <w:bCs/>
                <w:sz w:val="18"/>
                <w:szCs w:val="18"/>
              </w:rPr>
              <w:t>9,936</w:t>
            </w:r>
            <w:r w:rsidRPr="006B79CE">
              <w:rPr>
                <w:rFonts w:ascii="Arial" w:hAnsi="Arial" w:cs="Arial"/>
                <w:b/>
                <w:bCs/>
                <w:sz w:val="18"/>
                <w:szCs w:val="18"/>
              </w:rPr>
              <w:t>)</w:t>
            </w:r>
          </w:p>
        </w:tc>
        <w:tc>
          <w:tcPr>
            <w:tcW w:w="0" w:type="auto"/>
            <w:tcBorders>
              <w:top w:val="nil"/>
              <w:left w:val="nil"/>
              <w:bottom w:val="single" w:sz="8" w:space="0" w:color="auto"/>
              <w:right w:val="nil"/>
            </w:tcBorders>
            <w:shd w:val="clear" w:color="000000" w:fill="FFFFFF"/>
            <w:vAlign w:val="center"/>
            <w:hideMark/>
          </w:tcPr>
          <w:p w14:paraId="55C0A9C4" w14:textId="15F8320C"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(82,244)</w:t>
            </w:r>
          </w:p>
        </w:tc>
        <w:tc>
          <w:tcPr>
            <w:tcW w:w="0" w:type="auto"/>
            <w:tcBorders>
              <w:top w:val="nil"/>
              <w:left w:val="nil"/>
              <w:bottom w:val="single" w:sz="8" w:space="0" w:color="auto"/>
              <w:right w:val="single" w:sz="8" w:space="0" w:color="auto"/>
            </w:tcBorders>
            <w:shd w:val="clear" w:color="000000" w:fill="CCCCCC"/>
            <w:vAlign w:val="center"/>
            <w:hideMark/>
          </w:tcPr>
          <w:p w14:paraId="5B3DA0AA" w14:textId="6D7D9422"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(398,314)</w:t>
            </w:r>
          </w:p>
        </w:tc>
        <w:tc>
          <w:tcPr>
            <w:tcW w:w="0" w:type="auto"/>
            <w:tcBorders>
              <w:top w:val="nil"/>
              <w:left w:val="nil"/>
              <w:bottom w:val="single" w:sz="8" w:space="0" w:color="auto"/>
              <w:right w:val="nil"/>
            </w:tcBorders>
            <w:shd w:val="clear" w:color="000000" w:fill="FFFFFF"/>
            <w:vAlign w:val="center"/>
            <w:hideMark/>
          </w:tcPr>
          <w:p w14:paraId="66497924" w14:textId="33A972E1"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(5,908)</w:t>
            </w:r>
          </w:p>
        </w:tc>
        <w:tc>
          <w:tcPr>
            <w:tcW w:w="0" w:type="auto"/>
            <w:tcBorders>
              <w:top w:val="nil"/>
              <w:left w:val="nil"/>
              <w:bottom w:val="single" w:sz="8" w:space="0" w:color="auto"/>
              <w:right w:val="single" w:sz="8" w:space="0" w:color="auto"/>
            </w:tcBorders>
            <w:shd w:val="clear" w:color="000000" w:fill="CCCCCC"/>
            <w:vAlign w:val="center"/>
            <w:hideMark/>
          </w:tcPr>
          <w:p w14:paraId="2BB93CAF" w14:textId="730B7680"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(30,089)</w:t>
            </w:r>
          </w:p>
        </w:tc>
        <w:tc>
          <w:tcPr>
            <w:tcW w:w="0" w:type="auto"/>
            <w:tcBorders>
              <w:top w:val="single" w:sz="8" w:space="0" w:color="auto"/>
              <w:left w:val="nil"/>
              <w:bottom w:val="single" w:sz="8" w:space="0" w:color="auto"/>
              <w:right w:val="nil"/>
            </w:tcBorders>
            <w:shd w:val="clear" w:color="000000" w:fill="FFFFFF"/>
            <w:vAlign w:val="center"/>
            <w:hideMark/>
          </w:tcPr>
          <w:p w14:paraId="7C59E0E9" w14:textId="5661113C"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(66,473)</w:t>
            </w:r>
          </w:p>
        </w:tc>
        <w:tc>
          <w:tcPr>
            <w:tcW w:w="0" w:type="auto"/>
            <w:tcBorders>
              <w:top w:val="single" w:sz="8" w:space="0" w:color="auto"/>
              <w:left w:val="nil"/>
              <w:bottom w:val="single" w:sz="8" w:space="0" w:color="auto"/>
              <w:right w:val="single" w:sz="8" w:space="0" w:color="auto"/>
            </w:tcBorders>
            <w:shd w:val="clear" w:color="000000" w:fill="CCCCCC"/>
            <w:vAlign w:val="center"/>
            <w:hideMark/>
          </w:tcPr>
          <w:p w14:paraId="1F163498" w14:textId="17D416D2" w:rsidR="006B79CE" w:rsidRPr="006B79CE" w:rsidRDefault="006B79CE" w:rsidP="006B79CE">
            <w:pPr>
              <w:jc w:val="right"/>
              <w:rPr>
                <w:rFonts w:ascii="Arial" w:hAnsi="Arial" w:cs="Arial"/>
                <w:b/>
                <w:bCs/>
                <w:sz w:val="18"/>
                <w:szCs w:val="18"/>
              </w:rPr>
            </w:pPr>
            <w:r w:rsidRPr="006B79CE">
              <w:rPr>
                <w:rFonts w:ascii="Arial" w:hAnsi="Arial" w:cs="Arial"/>
                <w:b/>
                <w:bCs/>
                <w:sz w:val="18"/>
                <w:szCs w:val="18"/>
              </w:rPr>
              <w:t>(4</w:t>
            </w:r>
            <w:r w:rsidR="00DE53F8">
              <w:rPr>
                <w:rFonts w:ascii="Arial" w:hAnsi="Arial" w:cs="Arial"/>
                <w:b/>
                <w:bCs/>
                <w:sz w:val="18"/>
                <w:szCs w:val="18"/>
              </w:rPr>
              <w:t>38</w:t>
            </w:r>
            <w:r w:rsidRPr="006B79CE">
              <w:rPr>
                <w:rFonts w:ascii="Arial" w:hAnsi="Arial" w:cs="Arial"/>
                <w:b/>
                <w:bCs/>
                <w:sz w:val="18"/>
                <w:szCs w:val="18"/>
              </w:rPr>
              <w:t>,</w:t>
            </w:r>
            <w:r w:rsidR="00DE53F8">
              <w:rPr>
                <w:rFonts w:ascii="Arial" w:hAnsi="Arial" w:cs="Arial"/>
                <w:b/>
                <w:bCs/>
                <w:sz w:val="18"/>
                <w:szCs w:val="18"/>
              </w:rPr>
              <w:t>339</w:t>
            </w:r>
            <w:r w:rsidRPr="006B79CE">
              <w:rPr>
                <w:rFonts w:ascii="Arial" w:hAnsi="Arial" w:cs="Arial"/>
                <w:b/>
                <w:bCs/>
                <w:sz w:val="18"/>
                <w:szCs w:val="18"/>
              </w:rPr>
              <w:t>)</w:t>
            </w:r>
          </w:p>
        </w:tc>
      </w:tr>
      <w:tr w:rsidR="00846F0A" w:rsidRPr="00C47FA1" w14:paraId="42BF13F9"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41F50166" w14:textId="77777777" w:rsidR="008F22BE" w:rsidRPr="006673F2" w:rsidRDefault="008F22BE" w:rsidP="00C47FA1">
            <w:pPr>
              <w:rPr>
                <w:rFonts w:ascii="Arial" w:hAnsi="Arial" w:cs="Arial"/>
                <w:b/>
                <w:bCs/>
                <w:color w:val="000000"/>
                <w:sz w:val="16"/>
                <w:szCs w:val="16"/>
              </w:rPr>
            </w:pPr>
            <w:r w:rsidRPr="006673F2">
              <w:rPr>
                <w:rFonts w:ascii="Arial" w:hAnsi="Arial" w:cs="Arial"/>
                <w:b/>
                <w:bCs/>
                <w:color w:val="000000"/>
                <w:sz w:val="16"/>
                <w:szCs w:val="16"/>
              </w:rPr>
              <w:t>Movement in Reserves Statement</w:t>
            </w:r>
          </w:p>
        </w:tc>
        <w:tc>
          <w:tcPr>
            <w:tcW w:w="0" w:type="auto"/>
            <w:tcBorders>
              <w:top w:val="nil"/>
              <w:left w:val="nil"/>
              <w:bottom w:val="nil"/>
              <w:right w:val="nil"/>
            </w:tcBorders>
            <w:shd w:val="clear" w:color="000000" w:fill="FFFFFF"/>
            <w:vAlign w:val="center"/>
            <w:hideMark/>
          </w:tcPr>
          <w:p w14:paraId="6F437CAB"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single" w:sz="8" w:space="0" w:color="auto"/>
            </w:tcBorders>
            <w:shd w:val="clear" w:color="000000" w:fill="CCCCCC"/>
            <w:vAlign w:val="center"/>
            <w:hideMark/>
          </w:tcPr>
          <w:p w14:paraId="0B12AB6E"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nil"/>
            </w:tcBorders>
            <w:shd w:val="clear" w:color="000000" w:fill="FFFFFF"/>
            <w:vAlign w:val="center"/>
            <w:hideMark/>
          </w:tcPr>
          <w:p w14:paraId="66473F73"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single" w:sz="8" w:space="0" w:color="auto"/>
            </w:tcBorders>
            <w:shd w:val="clear" w:color="000000" w:fill="CCCCCC"/>
            <w:vAlign w:val="center"/>
            <w:hideMark/>
          </w:tcPr>
          <w:p w14:paraId="565A0A39"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nil"/>
            </w:tcBorders>
            <w:shd w:val="clear" w:color="000000" w:fill="FFFFFF"/>
            <w:vAlign w:val="center"/>
            <w:hideMark/>
          </w:tcPr>
          <w:p w14:paraId="574718AD"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single" w:sz="8" w:space="0" w:color="auto"/>
            </w:tcBorders>
            <w:shd w:val="clear" w:color="000000" w:fill="CCCCCC"/>
            <w:vAlign w:val="center"/>
            <w:hideMark/>
          </w:tcPr>
          <w:p w14:paraId="5D8A9B3C"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nil"/>
            </w:tcBorders>
            <w:shd w:val="clear" w:color="000000" w:fill="FFFFFF"/>
            <w:vAlign w:val="center"/>
            <w:hideMark/>
          </w:tcPr>
          <w:p w14:paraId="29722656"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c>
          <w:tcPr>
            <w:tcW w:w="0" w:type="auto"/>
            <w:tcBorders>
              <w:top w:val="nil"/>
              <w:left w:val="nil"/>
              <w:bottom w:val="nil"/>
              <w:right w:val="single" w:sz="8" w:space="0" w:color="auto"/>
            </w:tcBorders>
            <w:shd w:val="clear" w:color="000000" w:fill="CCCCCC"/>
            <w:vAlign w:val="center"/>
            <w:hideMark/>
          </w:tcPr>
          <w:p w14:paraId="1B358D68" w14:textId="77777777" w:rsidR="008F22BE" w:rsidRPr="006B79CE" w:rsidRDefault="008F22BE" w:rsidP="00C47FA1">
            <w:pPr>
              <w:jc w:val="right"/>
              <w:rPr>
                <w:rFonts w:ascii="Arial" w:hAnsi="Arial" w:cs="Arial"/>
                <w:b/>
                <w:bCs/>
                <w:sz w:val="18"/>
                <w:szCs w:val="18"/>
              </w:rPr>
            </w:pPr>
            <w:r w:rsidRPr="006B79CE">
              <w:rPr>
                <w:rFonts w:ascii="Arial" w:hAnsi="Arial" w:cs="Arial"/>
                <w:b/>
                <w:bCs/>
                <w:sz w:val="18"/>
                <w:szCs w:val="18"/>
              </w:rPr>
              <w:t> </w:t>
            </w:r>
          </w:p>
        </w:tc>
      </w:tr>
      <w:tr w:rsidR="006B79CE" w:rsidRPr="00C47FA1" w14:paraId="7EFB8306" w14:textId="77777777" w:rsidTr="004F01F6">
        <w:trPr>
          <w:trHeight w:val="675"/>
        </w:trPr>
        <w:tc>
          <w:tcPr>
            <w:tcW w:w="0" w:type="auto"/>
            <w:tcBorders>
              <w:top w:val="nil"/>
              <w:left w:val="single" w:sz="8" w:space="0" w:color="auto"/>
              <w:bottom w:val="nil"/>
              <w:right w:val="single" w:sz="8" w:space="0" w:color="auto"/>
            </w:tcBorders>
            <w:shd w:val="clear" w:color="000000" w:fill="CCCCCC"/>
            <w:vAlign w:val="center"/>
            <w:hideMark/>
          </w:tcPr>
          <w:p w14:paraId="376E114C" w14:textId="77777777" w:rsidR="006B79CE" w:rsidRPr="006673F2" w:rsidRDefault="006B79CE" w:rsidP="006B79CE">
            <w:pPr>
              <w:rPr>
                <w:rFonts w:ascii="Arial" w:hAnsi="Arial" w:cs="Arial"/>
                <w:color w:val="000000"/>
                <w:sz w:val="16"/>
                <w:szCs w:val="16"/>
              </w:rPr>
            </w:pPr>
            <w:r w:rsidRPr="006673F2">
              <w:rPr>
                <w:rFonts w:ascii="Arial" w:hAnsi="Arial" w:cs="Arial"/>
                <w:color w:val="000000"/>
                <w:sz w:val="16"/>
                <w:szCs w:val="16"/>
              </w:rPr>
              <w:t>Reversal of net charges made to the (Surplus)/Deficit on the Provision of Services for post-employment benefits by IAS19 in accordance with the Code</w:t>
            </w:r>
          </w:p>
        </w:tc>
        <w:tc>
          <w:tcPr>
            <w:tcW w:w="0" w:type="auto"/>
            <w:tcBorders>
              <w:top w:val="nil"/>
              <w:left w:val="nil"/>
              <w:bottom w:val="nil"/>
              <w:right w:val="nil"/>
            </w:tcBorders>
            <w:shd w:val="clear" w:color="000000" w:fill="FFFFFF"/>
            <w:vAlign w:val="center"/>
            <w:hideMark/>
          </w:tcPr>
          <w:p w14:paraId="149A6249" w14:textId="5C17AEF8" w:rsidR="006B79CE" w:rsidRPr="006B79CE" w:rsidRDefault="006B79CE" w:rsidP="006B79CE">
            <w:pPr>
              <w:jc w:val="right"/>
              <w:rPr>
                <w:rFonts w:ascii="Arial" w:hAnsi="Arial" w:cs="Arial"/>
                <w:sz w:val="18"/>
                <w:szCs w:val="18"/>
              </w:rPr>
            </w:pPr>
            <w:r w:rsidRPr="006B79CE">
              <w:rPr>
                <w:rFonts w:ascii="Arial" w:hAnsi="Arial" w:cs="Arial"/>
                <w:sz w:val="18"/>
                <w:szCs w:val="18"/>
              </w:rPr>
              <w:t>(11,098)</w:t>
            </w:r>
          </w:p>
        </w:tc>
        <w:tc>
          <w:tcPr>
            <w:tcW w:w="0" w:type="auto"/>
            <w:tcBorders>
              <w:top w:val="nil"/>
              <w:left w:val="nil"/>
              <w:bottom w:val="nil"/>
              <w:right w:val="single" w:sz="8" w:space="0" w:color="auto"/>
            </w:tcBorders>
            <w:shd w:val="clear" w:color="000000" w:fill="CCCCCC"/>
            <w:vAlign w:val="center"/>
            <w:hideMark/>
          </w:tcPr>
          <w:p w14:paraId="01B93D8D" w14:textId="63596E23" w:rsidR="006B79CE" w:rsidRPr="006B79CE" w:rsidRDefault="006B79CE" w:rsidP="006B79CE">
            <w:pPr>
              <w:jc w:val="right"/>
              <w:rPr>
                <w:rFonts w:ascii="Arial" w:hAnsi="Arial" w:cs="Arial"/>
                <w:sz w:val="18"/>
                <w:szCs w:val="18"/>
              </w:rPr>
            </w:pPr>
            <w:r w:rsidRPr="006B79CE">
              <w:rPr>
                <w:rFonts w:ascii="Arial" w:hAnsi="Arial" w:cs="Arial"/>
                <w:sz w:val="18"/>
                <w:szCs w:val="18"/>
              </w:rPr>
              <w:t>(12,611)</w:t>
            </w:r>
          </w:p>
        </w:tc>
        <w:tc>
          <w:tcPr>
            <w:tcW w:w="0" w:type="auto"/>
            <w:tcBorders>
              <w:top w:val="nil"/>
              <w:left w:val="nil"/>
              <w:bottom w:val="nil"/>
              <w:right w:val="nil"/>
            </w:tcBorders>
            <w:shd w:val="clear" w:color="000000" w:fill="FFFFFF"/>
            <w:vAlign w:val="center"/>
            <w:hideMark/>
          </w:tcPr>
          <w:p w14:paraId="3A7AF216" w14:textId="37CD886A" w:rsidR="006B79CE" w:rsidRPr="006B79CE" w:rsidRDefault="006B79CE" w:rsidP="006B79CE">
            <w:pPr>
              <w:jc w:val="right"/>
              <w:rPr>
                <w:rFonts w:ascii="Arial" w:hAnsi="Arial" w:cs="Arial"/>
                <w:sz w:val="18"/>
                <w:szCs w:val="18"/>
              </w:rPr>
            </w:pPr>
            <w:r w:rsidRPr="006B79CE">
              <w:rPr>
                <w:rFonts w:ascii="Arial" w:hAnsi="Arial" w:cs="Arial"/>
                <w:sz w:val="18"/>
                <w:szCs w:val="18"/>
              </w:rPr>
              <w:t>(159,694)</w:t>
            </w:r>
          </w:p>
        </w:tc>
        <w:tc>
          <w:tcPr>
            <w:tcW w:w="0" w:type="auto"/>
            <w:tcBorders>
              <w:top w:val="nil"/>
              <w:left w:val="nil"/>
              <w:bottom w:val="nil"/>
              <w:right w:val="single" w:sz="8" w:space="0" w:color="auto"/>
            </w:tcBorders>
            <w:shd w:val="clear" w:color="000000" w:fill="CCCCCC"/>
            <w:vAlign w:val="center"/>
            <w:hideMark/>
          </w:tcPr>
          <w:p w14:paraId="19A601C0" w14:textId="46775CDF" w:rsidR="006B79CE" w:rsidRPr="006B79CE" w:rsidRDefault="006B79CE" w:rsidP="006B79CE">
            <w:pPr>
              <w:jc w:val="right"/>
              <w:rPr>
                <w:rFonts w:ascii="Arial" w:hAnsi="Arial" w:cs="Arial"/>
                <w:sz w:val="18"/>
                <w:szCs w:val="18"/>
              </w:rPr>
            </w:pPr>
            <w:r w:rsidRPr="006B79CE">
              <w:rPr>
                <w:rFonts w:ascii="Arial" w:hAnsi="Arial" w:cs="Arial"/>
                <w:sz w:val="18"/>
                <w:szCs w:val="18"/>
              </w:rPr>
              <w:t>(161,497)</w:t>
            </w:r>
          </w:p>
        </w:tc>
        <w:tc>
          <w:tcPr>
            <w:tcW w:w="0" w:type="auto"/>
            <w:tcBorders>
              <w:top w:val="nil"/>
              <w:left w:val="nil"/>
              <w:bottom w:val="nil"/>
              <w:right w:val="nil"/>
            </w:tcBorders>
            <w:shd w:val="clear" w:color="000000" w:fill="FFFFFF"/>
            <w:vAlign w:val="center"/>
            <w:hideMark/>
          </w:tcPr>
          <w:p w14:paraId="109DDF5F" w14:textId="4057DD5C" w:rsidR="006B79CE" w:rsidRPr="006B79CE" w:rsidRDefault="006B79CE" w:rsidP="006B79CE">
            <w:pPr>
              <w:jc w:val="right"/>
              <w:rPr>
                <w:rFonts w:ascii="Arial" w:hAnsi="Arial" w:cs="Arial"/>
                <w:sz w:val="18"/>
                <w:szCs w:val="18"/>
              </w:rPr>
            </w:pPr>
            <w:r w:rsidRPr="006B79CE">
              <w:rPr>
                <w:rFonts w:ascii="Arial" w:hAnsi="Arial" w:cs="Arial"/>
                <w:sz w:val="18"/>
                <w:szCs w:val="18"/>
              </w:rPr>
              <w:t>(16,451)</w:t>
            </w:r>
          </w:p>
        </w:tc>
        <w:tc>
          <w:tcPr>
            <w:tcW w:w="0" w:type="auto"/>
            <w:tcBorders>
              <w:top w:val="nil"/>
              <w:left w:val="nil"/>
              <w:bottom w:val="nil"/>
              <w:right w:val="single" w:sz="8" w:space="0" w:color="auto"/>
            </w:tcBorders>
            <w:shd w:val="clear" w:color="000000" w:fill="CCCCCC"/>
            <w:vAlign w:val="center"/>
            <w:hideMark/>
          </w:tcPr>
          <w:p w14:paraId="138EF0F8" w14:textId="1A964045" w:rsidR="006B79CE" w:rsidRPr="006B79CE" w:rsidRDefault="006B79CE" w:rsidP="006B79CE">
            <w:pPr>
              <w:jc w:val="right"/>
              <w:rPr>
                <w:rFonts w:ascii="Arial" w:hAnsi="Arial" w:cs="Arial"/>
                <w:sz w:val="18"/>
                <w:szCs w:val="18"/>
              </w:rPr>
            </w:pPr>
            <w:r w:rsidRPr="006B79CE">
              <w:rPr>
                <w:rFonts w:ascii="Arial" w:hAnsi="Arial" w:cs="Arial"/>
                <w:sz w:val="18"/>
                <w:szCs w:val="18"/>
              </w:rPr>
              <w:t>(17,398)</w:t>
            </w:r>
          </w:p>
        </w:tc>
        <w:tc>
          <w:tcPr>
            <w:tcW w:w="0" w:type="auto"/>
            <w:tcBorders>
              <w:top w:val="nil"/>
              <w:left w:val="nil"/>
              <w:bottom w:val="nil"/>
              <w:right w:val="nil"/>
            </w:tcBorders>
            <w:shd w:val="clear" w:color="000000" w:fill="FFFFFF"/>
            <w:vAlign w:val="center"/>
            <w:hideMark/>
          </w:tcPr>
          <w:p w14:paraId="6DBF0912" w14:textId="03C24DCF" w:rsidR="006B79CE" w:rsidRPr="006B79CE" w:rsidRDefault="006B79CE" w:rsidP="006B79CE">
            <w:pPr>
              <w:jc w:val="right"/>
              <w:rPr>
                <w:rFonts w:ascii="Arial" w:hAnsi="Arial" w:cs="Arial"/>
                <w:sz w:val="18"/>
                <w:szCs w:val="18"/>
              </w:rPr>
            </w:pPr>
            <w:r w:rsidRPr="006B79CE">
              <w:rPr>
                <w:rFonts w:ascii="Arial" w:hAnsi="Arial" w:cs="Arial"/>
                <w:sz w:val="18"/>
                <w:szCs w:val="18"/>
              </w:rPr>
              <w:t>(187,153)</w:t>
            </w:r>
          </w:p>
        </w:tc>
        <w:tc>
          <w:tcPr>
            <w:tcW w:w="0" w:type="auto"/>
            <w:tcBorders>
              <w:top w:val="nil"/>
              <w:left w:val="nil"/>
              <w:bottom w:val="nil"/>
              <w:right w:val="single" w:sz="8" w:space="0" w:color="auto"/>
            </w:tcBorders>
            <w:shd w:val="clear" w:color="000000" w:fill="CCCCCC"/>
            <w:vAlign w:val="center"/>
            <w:hideMark/>
          </w:tcPr>
          <w:p w14:paraId="54CBF378" w14:textId="447E7F21" w:rsidR="006B79CE" w:rsidRPr="006B79CE" w:rsidRDefault="006B79CE" w:rsidP="006B79CE">
            <w:pPr>
              <w:jc w:val="right"/>
              <w:rPr>
                <w:rFonts w:ascii="Arial" w:hAnsi="Arial" w:cs="Arial"/>
                <w:sz w:val="18"/>
                <w:szCs w:val="18"/>
              </w:rPr>
            </w:pPr>
            <w:r w:rsidRPr="006B79CE">
              <w:rPr>
                <w:rFonts w:ascii="Arial" w:hAnsi="Arial" w:cs="Arial"/>
                <w:sz w:val="18"/>
                <w:szCs w:val="18"/>
              </w:rPr>
              <w:t>(191,506)</w:t>
            </w:r>
          </w:p>
        </w:tc>
      </w:tr>
      <w:tr w:rsidR="006B79CE" w:rsidRPr="00C47FA1" w14:paraId="229BBE2B"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11DE7A8A" w14:textId="77777777" w:rsidR="006B79CE" w:rsidRPr="006673F2" w:rsidRDefault="006B79CE" w:rsidP="006B79CE">
            <w:pPr>
              <w:rPr>
                <w:rFonts w:ascii="Arial" w:hAnsi="Arial" w:cs="Arial"/>
                <w:b/>
                <w:bCs/>
                <w:color w:val="000000"/>
                <w:sz w:val="16"/>
                <w:szCs w:val="16"/>
              </w:rPr>
            </w:pPr>
            <w:r w:rsidRPr="006673F2">
              <w:rPr>
                <w:rFonts w:ascii="Arial" w:hAnsi="Arial" w:cs="Arial"/>
                <w:b/>
                <w:bCs/>
                <w:color w:val="000000"/>
                <w:sz w:val="16"/>
                <w:szCs w:val="16"/>
              </w:rPr>
              <w:t>Actual amount charged against the General Fund Balance for pensions in the year:</w:t>
            </w:r>
          </w:p>
        </w:tc>
        <w:tc>
          <w:tcPr>
            <w:tcW w:w="0" w:type="auto"/>
            <w:tcBorders>
              <w:top w:val="nil"/>
              <w:left w:val="nil"/>
              <w:bottom w:val="nil"/>
              <w:right w:val="nil"/>
            </w:tcBorders>
            <w:shd w:val="clear" w:color="000000" w:fill="FFFFFF"/>
            <w:vAlign w:val="center"/>
            <w:hideMark/>
          </w:tcPr>
          <w:p w14:paraId="1F0FAF44"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37C380D8" w14:textId="3E413AC0"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6232C0B3"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501771E3" w14:textId="703BA6EA"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2E78E9A8"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6FA8A3DA" w14:textId="6D9E8C5C"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nil"/>
            </w:tcBorders>
            <w:shd w:val="clear" w:color="000000" w:fill="FFFFFF"/>
            <w:vAlign w:val="center"/>
            <w:hideMark/>
          </w:tcPr>
          <w:p w14:paraId="33A2C986"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c>
          <w:tcPr>
            <w:tcW w:w="0" w:type="auto"/>
            <w:tcBorders>
              <w:top w:val="nil"/>
              <w:left w:val="nil"/>
              <w:bottom w:val="nil"/>
              <w:right w:val="single" w:sz="8" w:space="0" w:color="auto"/>
            </w:tcBorders>
            <w:shd w:val="clear" w:color="000000" w:fill="CCCCCC"/>
            <w:vAlign w:val="center"/>
            <w:hideMark/>
          </w:tcPr>
          <w:p w14:paraId="0719DFBE" w14:textId="7E590986" w:rsidR="006B79CE" w:rsidRPr="006B79CE" w:rsidRDefault="006B79CE" w:rsidP="006B79CE">
            <w:pPr>
              <w:jc w:val="right"/>
              <w:rPr>
                <w:rFonts w:ascii="Arial" w:hAnsi="Arial" w:cs="Arial"/>
                <w:sz w:val="18"/>
                <w:szCs w:val="18"/>
              </w:rPr>
            </w:pPr>
            <w:r w:rsidRPr="006B79CE">
              <w:rPr>
                <w:rFonts w:ascii="Arial" w:hAnsi="Arial" w:cs="Arial"/>
                <w:sz w:val="18"/>
                <w:szCs w:val="18"/>
              </w:rPr>
              <w:t> </w:t>
            </w:r>
          </w:p>
        </w:tc>
      </w:tr>
      <w:tr w:rsidR="006B79CE" w:rsidRPr="00C47FA1" w14:paraId="571D88DF" w14:textId="77777777" w:rsidTr="004F01F6">
        <w:trPr>
          <w:trHeight w:val="300"/>
        </w:trPr>
        <w:tc>
          <w:tcPr>
            <w:tcW w:w="0" w:type="auto"/>
            <w:tcBorders>
              <w:top w:val="nil"/>
              <w:left w:val="single" w:sz="8" w:space="0" w:color="auto"/>
              <w:bottom w:val="nil"/>
              <w:right w:val="single" w:sz="8" w:space="0" w:color="auto"/>
            </w:tcBorders>
            <w:shd w:val="clear" w:color="000000" w:fill="CCCCCC"/>
            <w:vAlign w:val="center"/>
            <w:hideMark/>
          </w:tcPr>
          <w:p w14:paraId="4BDB2FAB" w14:textId="77777777" w:rsidR="006B79CE" w:rsidRPr="00C47FA1" w:rsidRDefault="006B79CE" w:rsidP="006B79CE">
            <w:pPr>
              <w:ind w:firstLineChars="400" w:firstLine="800"/>
              <w:rPr>
                <w:rFonts w:ascii="Symbol" w:hAnsi="Symbol" w:cs="Arial"/>
              </w:rPr>
            </w:pPr>
            <w:r w:rsidRPr="00C47FA1">
              <w:rPr>
                <w:rFonts w:ascii="Symbol" w:hAnsi="Symbol" w:cs="Arial"/>
              </w:rPr>
              <w:t>·</w:t>
            </w:r>
            <w:r w:rsidRPr="00C47FA1">
              <w:rPr>
                <w:sz w:val="14"/>
                <w:szCs w:val="14"/>
              </w:rPr>
              <w:t xml:space="preserve">         </w:t>
            </w:r>
            <w:r w:rsidRPr="00C47FA1">
              <w:rPr>
                <w:rFonts w:ascii="Arial" w:hAnsi="Arial" w:cs="Arial"/>
                <w:color w:val="000000"/>
              </w:rPr>
              <w:t>Employers’ contributions payable to scheme</w:t>
            </w:r>
          </w:p>
        </w:tc>
        <w:tc>
          <w:tcPr>
            <w:tcW w:w="0" w:type="auto"/>
            <w:tcBorders>
              <w:top w:val="nil"/>
              <w:left w:val="nil"/>
              <w:bottom w:val="nil"/>
              <w:right w:val="nil"/>
            </w:tcBorders>
            <w:shd w:val="clear" w:color="000000" w:fill="FFFFFF"/>
            <w:vAlign w:val="center"/>
            <w:hideMark/>
          </w:tcPr>
          <w:p w14:paraId="32C087DE" w14:textId="7C90A2DB" w:rsidR="006B79CE" w:rsidRPr="006B79CE" w:rsidRDefault="006B79CE" w:rsidP="006B79CE">
            <w:pPr>
              <w:jc w:val="right"/>
              <w:rPr>
                <w:rFonts w:ascii="Arial" w:hAnsi="Arial" w:cs="Arial"/>
                <w:sz w:val="18"/>
                <w:szCs w:val="18"/>
              </w:rPr>
            </w:pPr>
            <w:r w:rsidRPr="006B79CE">
              <w:rPr>
                <w:rFonts w:ascii="Arial" w:hAnsi="Arial" w:cs="Arial"/>
                <w:sz w:val="18"/>
                <w:szCs w:val="18"/>
              </w:rPr>
              <w:t>10,808</w:t>
            </w:r>
          </w:p>
        </w:tc>
        <w:tc>
          <w:tcPr>
            <w:tcW w:w="0" w:type="auto"/>
            <w:tcBorders>
              <w:top w:val="nil"/>
              <w:left w:val="nil"/>
              <w:bottom w:val="nil"/>
              <w:right w:val="single" w:sz="8" w:space="0" w:color="auto"/>
            </w:tcBorders>
            <w:shd w:val="clear" w:color="000000" w:fill="CCCCCC"/>
            <w:vAlign w:val="center"/>
            <w:hideMark/>
          </w:tcPr>
          <w:p w14:paraId="1F2913D6" w14:textId="780CA6B2" w:rsidR="006B79CE" w:rsidRPr="006B79CE" w:rsidRDefault="006B79CE" w:rsidP="006B79CE">
            <w:pPr>
              <w:jc w:val="right"/>
              <w:rPr>
                <w:rFonts w:ascii="Arial" w:hAnsi="Arial" w:cs="Arial"/>
                <w:sz w:val="18"/>
                <w:szCs w:val="18"/>
              </w:rPr>
            </w:pPr>
            <w:r w:rsidRPr="006B79CE">
              <w:rPr>
                <w:rFonts w:ascii="Arial" w:hAnsi="Arial" w:cs="Arial"/>
                <w:sz w:val="18"/>
                <w:szCs w:val="18"/>
              </w:rPr>
              <w:t>11,727</w:t>
            </w:r>
          </w:p>
        </w:tc>
        <w:tc>
          <w:tcPr>
            <w:tcW w:w="0" w:type="auto"/>
            <w:tcBorders>
              <w:top w:val="nil"/>
              <w:left w:val="nil"/>
              <w:bottom w:val="nil"/>
              <w:right w:val="nil"/>
            </w:tcBorders>
            <w:shd w:val="clear" w:color="000000" w:fill="FFFFFF"/>
            <w:vAlign w:val="center"/>
            <w:hideMark/>
          </w:tcPr>
          <w:p w14:paraId="05EAB776" w14:textId="44556C2B" w:rsidR="006B79CE" w:rsidRPr="006B79CE" w:rsidRDefault="006B79CE" w:rsidP="006B79CE">
            <w:pPr>
              <w:jc w:val="right"/>
              <w:rPr>
                <w:rFonts w:ascii="Arial" w:hAnsi="Arial" w:cs="Arial"/>
                <w:sz w:val="18"/>
                <w:szCs w:val="18"/>
              </w:rPr>
            </w:pPr>
            <w:r w:rsidRPr="006B79CE">
              <w:rPr>
                <w:rFonts w:ascii="Arial" w:hAnsi="Arial" w:cs="Arial"/>
                <w:sz w:val="18"/>
                <w:szCs w:val="18"/>
              </w:rPr>
              <w:t>100,865</w:t>
            </w:r>
          </w:p>
        </w:tc>
        <w:tc>
          <w:tcPr>
            <w:tcW w:w="0" w:type="auto"/>
            <w:tcBorders>
              <w:top w:val="nil"/>
              <w:left w:val="nil"/>
              <w:bottom w:val="nil"/>
              <w:right w:val="single" w:sz="8" w:space="0" w:color="auto"/>
            </w:tcBorders>
            <w:shd w:val="clear" w:color="000000" w:fill="CCCCCC"/>
            <w:vAlign w:val="center"/>
            <w:hideMark/>
          </w:tcPr>
          <w:p w14:paraId="188CDE9F" w14:textId="20B96943" w:rsidR="006B79CE" w:rsidRPr="006B79CE" w:rsidRDefault="006B79CE" w:rsidP="006B79CE">
            <w:pPr>
              <w:jc w:val="right"/>
              <w:rPr>
                <w:rFonts w:ascii="Arial" w:hAnsi="Arial" w:cs="Arial"/>
                <w:sz w:val="18"/>
                <w:szCs w:val="18"/>
              </w:rPr>
            </w:pPr>
            <w:r w:rsidRPr="006B79CE">
              <w:rPr>
                <w:rFonts w:ascii="Arial" w:hAnsi="Arial" w:cs="Arial"/>
                <w:sz w:val="18"/>
                <w:szCs w:val="18"/>
              </w:rPr>
              <w:t>108,115</w:t>
            </w:r>
          </w:p>
        </w:tc>
        <w:tc>
          <w:tcPr>
            <w:tcW w:w="0" w:type="auto"/>
            <w:tcBorders>
              <w:top w:val="nil"/>
              <w:left w:val="nil"/>
              <w:bottom w:val="nil"/>
              <w:right w:val="nil"/>
            </w:tcBorders>
            <w:shd w:val="clear" w:color="000000" w:fill="FFFFFF"/>
            <w:vAlign w:val="center"/>
            <w:hideMark/>
          </w:tcPr>
          <w:p w14:paraId="6F452871"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single" w:sz="8" w:space="0" w:color="auto"/>
            </w:tcBorders>
            <w:shd w:val="clear" w:color="000000" w:fill="CCCCCC"/>
            <w:vAlign w:val="center"/>
            <w:hideMark/>
          </w:tcPr>
          <w:p w14:paraId="4B2D571C" w14:textId="7FEFA3E8"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nil"/>
              <w:right w:val="nil"/>
            </w:tcBorders>
            <w:shd w:val="clear" w:color="000000" w:fill="FFFFFF"/>
            <w:vAlign w:val="center"/>
            <w:hideMark/>
          </w:tcPr>
          <w:p w14:paraId="2573A1EB" w14:textId="5FC09B99" w:rsidR="006B79CE" w:rsidRPr="006B79CE" w:rsidRDefault="006B79CE" w:rsidP="006B79CE">
            <w:pPr>
              <w:jc w:val="right"/>
              <w:rPr>
                <w:rFonts w:ascii="Arial" w:hAnsi="Arial" w:cs="Arial"/>
                <w:sz w:val="18"/>
                <w:szCs w:val="18"/>
              </w:rPr>
            </w:pPr>
            <w:r w:rsidRPr="006B79CE">
              <w:rPr>
                <w:rFonts w:ascii="Arial" w:hAnsi="Arial" w:cs="Arial"/>
                <w:sz w:val="18"/>
                <w:szCs w:val="18"/>
              </w:rPr>
              <w:t>111,674</w:t>
            </w:r>
          </w:p>
        </w:tc>
        <w:tc>
          <w:tcPr>
            <w:tcW w:w="0" w:type="auto"/>
            <w:tcBorders>
              <w:top w:val="nil"/>
              <w:left w:val="nil"/>
              <w:bottom w:val="nil"/>
              <w:right w:val="single" w:sz="8" w:space="0" w:color="auto"/>
            </w:tcBorders>
            <w:shd w:val="clear" w:color="000000" w:fill="CCCCCC"/>
            <w:vAlign w:val="center"/>
            <w:hideMark/>
          </w:tcPr>
          <w:p w14:paraId="6017788E" w14:textId="0564A8AD" w:rsidR="006B79CE" w:rsidRPr="006B79CE" w:rsidRDefault="006B79CE" w:rsidP="006B79CE">
            <w:pPr>
              <w:jc w:val="right"/>
              <w:rPr>
                <w:rFonts w:ascii="Arial" w:hAnsi="Arial" w:cs="Arial"/>
                <w:sz w:val="18"/>
                <w:szCs w:val="18"/>
              </w:rPr>
            </w:pPr>
            <w:r w:rsidRPr="006B79CE">
              <w:rPr>
                <w:rFonts w:ascii="Arial" w:hAnsi="Arial" w:cs="Arial"/>
                <w:sz w:val="18"/>
                <w:szCs w:val="18"/>
              </w:rPr>
              <w:t>119,842</w:t>
            </w:r>
          </w:p>
        </w:tc>
      </w:tr>
      <w:tr w:rsidR="006B79CE" w:rsidRPr="00C47FA1" w14:paraId="5871BDBA" w14:textId="77777777" w:rsidTr="004F01F6">
        <w:trPr>
          <w:trHeight w:val="315"/>
        </w:trPr>
        <w:tc>
          <w:tcPr>
            <w:tcW w:w="0" w:type="auto"/>
            <w:tcBorders>
              <w:top w:val="nil"/>
              <w:left w:val="single" w:sz="8" w:space="0" w:color="auto"/>
              <w:bottom w:val="single" w:sz="8" w:space="0" w:color="auto"/>
              <w:right w:val="single" w:sz="8" w:space="0" w:color="auto"/>
            </w:tcBorders>
            <w:shd w:val="clear" w:color="000000" w:fill="CCCCCC"/>
            <w:vAlign w:val="center"/>
            <w:hideMark/>
          </w:tcPr>
          <w:p w14:paraId="2318A80F" w14:textId="77777777" w:rsidR="006B79CE" w:rsidRPr="00C47FA1" w:rsidRDefault="006B79CE" w:rsidP="006B79CE">
            <w:pPr>
              <w:ind w:firstLineChars="400" w:firstLine="800"/>
              <w:rPr>
                <w:rFonts w:ascii="Symbol" w:hAnsi="Symbol" w:cs="Arial"/>
              </w:rPr>
            </w:pPr>
            <w:r w:rsidRPr="00C47FA1">
              <w:rPr>
                <w:rFonts w:ascii="Symbol" w:hAnsi="Symbol" w:cs="Arial"/>
              </w:rPr>
              <w:t>·</w:t>
            </w:r>
            <w:r w:rsidRPr="00C47FA1">
              <w:rPr>
                <w:sz w:val="14"/>
                <w:szCs w:val="14"/>
              </w:rPr>
              <w:t xml:space="preserve">         </w:t>
            </w:r>
            <w:r w:rsidRPr="00C47FA1">
              <w:rPr>
                <w:rFonts w:ascii="Arial" w:hAnsi="Arial" w:cs="Arial"/>
                <w:color w:val="000000"/>
              </w:rPr>
              <w:t xml:space="preserve">Retirement benefits paid to pensioners </w:t>
            </w:r>
          </w:p>
        </w:tc>
        <w:tc>
          <w:tcPr>
            <w:tcW w:w="0" w:type="auto"/>
            <w:tcBorders>
              <w:top w:val="nil"/>
              <w:left w:val="nil"/>
              <w:bottom w:val="single" w:sz="8" w:space="0" w:color="auto"/>
              <w:right w:val="nil"/>
            </w:tcBorders>
            <w:shd w:val="clear" w:color="000000" w:fill="FFFFFF"/>
            <w:vAlign w:val="center"/>
            <w:hideMark/>
          </w:tcPr>
          <w:p w14:paraId="03F40126"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single" w:sz="8" w:space="0" w:color="auto"/>
              <w:right w:val="single" w:sz="8" w:space="0" w:color="auto"/>
            </w:tcBorders>
            <w:shd w:val="clear" w:color="000000" w:fill="CCCCCC"/>
            <w:vAlign w:val="center"/>
            <w:hideMark/>
          </w:tcPr>
          <w:p w14:paraId="42DCBD09" w14:textId="4AF2D28E"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single" w:sz="8" w:space="0" w:color="auto"/>
              <w:right w:val="nil"/>
            </w:tcBorders>
            <w:shd w:val="clear" w:color="000000" w:fill="FFFFFF"/>
            <w:vAlign w:val="center"/>
            <w:hideMark/>
          </w:tcPr>
          <w:p w14:paraId="294CDEE2" w14:textId="77777777"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single" w:sz="8" w:space="0" w:color="auto"/>
              <w:right w:val="single" w:sz="8" w:space="0" w:color="auto"/>
            </w:tcBorders>
            <w:shd w:val="clear" w:color="000000" w:fill="CCCCCC"/>
            <w:vAlign w:val="center"/>
            <w:hideMark/>
          </w:tcPr>
          <w:p w14:paraId="050F4B10" w14:textId="40FC366A" w:rsidR="006B79CE" w:rsidRPr="006B79CE" w:rsidRDefault="006B79CE" w:rsidP="006B79CE">
            <w:pPr>
              <w:jc w:val="right"/>
              <w:rPr>
                <w:rFonts w:ascii="Arial" w:hAnsi="Arial" w:cs="Arial"/>
                <w:sz w:val="18"/>
                <w:szCs w:val="18"/>
              </w:rPr>
            </w:pPr>
            <w:r w:rsidRPr="006B79CE">
              <w:rPr>
                <w:rFonts w:ascii="Arial" w:hAnsi="Arial" w:cs="Arial"/>
                <w:sz w:val="18"/>
                <w:szCs w:val="18"/>
              </w:rPr>
              <w:t>0</w:t>
            </w:r>
          </w:p>
        </w:tc>
        <w:tc>
          <w:tcPr>
            <w:tcW w:w="0" w:type="auto"/>
            <w:tcBorders>
              <w:top w:val="nil"/>
              <w:left w:val="nil"/>
              <w:bottom w:val="single" w:sz="8" w:space="0" w:color="auto"/>
              <w:right w:val="nil"/>
            </w:tcBorders>
            <w:shd w:val="clear" w:color="000000" w:fill="FFFFFF"/>
            <w:vAlign w:val="center"/>
            <w:hideMark/>
          </w:tcPr>
          <w:p w14:paraId="36BF58D0" w14:textId="4B96FC85" w:rsidR="006B79CE" w:rsidRPr="006B79CE" w:rsidRDefault="006B79CE" w:rsidP="006B79CE">
            <w:pPr>
              <w:jc w:val="right"/>
              <w:rPr>
                <w:rFonts w:ascii="Arial" w:hAnsi="Arial" w:cs="Arial"/>
                <w:sz w:val="18"/>
                <w:szCs w:val="18"/>
              </w:rPr>
            </w:pPr>
            <w:r w:rsidRPr="006B79CE">
              <w:rPr>
                <w:rFonts w:ascii="Arial" w:hAnsi="Arial" w:cs="Arial"/>
                <w:sz w:val="18"/>
                <w:szCs w:val="18"/>
              </w:rPr>
              <w:t>4,289</w:t>
            </w:r>
          </w:p>
        </w:tc>
        <w:tc>
          <w:tcPr>
            <w:tcW w:w="0" w:type="auto"/>
            <w:tcBorders>
              <w:top w:val="nil"/>
              <w:left w:val="nil"/>
              <w:bottom w:val="single" w:sz="8" w:space="0" w:color="auto"/>
              <w:right w:val="single" w:sz="8" w:space="0" w:color="auto"/>
            </w:tcBorders>
            <w:shd w:val="clear" w:color="000000" w:fill="CCCCCC"/>
            <w:vAlign w:val="center"/>
            <w:hideMark/>
          </w:tcPr>
          <w:p w14:paraId="65BEFFA6" w14:textId="0D7A1C86" w:rsidR="006B79CE" w:rsidRPr="006B79CE" w:rsidRDefault="006B79CE" w:rsidP="006B79CE">
            <w:pPr>
              <w:jc w:val="right"/>
              <w:rPr>
                <w:rFonts w:ascii="Arial" w:hAnsi="Arial" w:cs="Arial"/>
                <w:sz w:val="18"/>
                <w:szCs w:val="18"/>
              </w:rPr>
            </w:pPr>
            <w:r w:rsidRPr="006B79CE">
              <w:rPr>
                <w:rFonts w:ascii="Arial" w:hAnsi="Arial" w:cs="Arial"/>
                <w:sz w:val="18"/>
                <w:szCs w:val="18"/>
              </w:rPr>
              <w:t>4,469</w:t>
            </w:r>
          </w:p>
        </w:tc>
        <w:tc>
          <w:tcPr>
            <w:tcW w:w="0" w:type="auto"/>
            <w:tcBorders>
              <w:top w:val="nil"/>
              <w:left w:val="nil"/>
              <w:bottom w:val="single" w:sz="8" w:space="0" w:color="auto"/>
              <w:right w:val="nil"/>
            </w:tcBorders>
            <w:shd w:val="clear" w:color="000000" w:fill="FFFFFF"/>
            <w:vAlign w:val="center"/>
            <w:hideMark/>
          </w:tcPr>
          <w:p w14:paraId="6B626635" w14:textId="0F32F38B" w:rsidR="006B79CE" w:rsidRPr="006B79CE" w:rsidRDefault="006B79CE" w:rsidP="006B79CE">
            <w:pPr>
              <w:jc w:val="right"/>
              <w:rPr>
                <w:rFonts w:ascii="Arial" w:hAnsi="Arial" w:cs="Arial"/>
                <w:sz w:val="18"/>
                <w:szCs w:val="18"/>
              </w:rPr>
            </w:pPr>
            <w:r w:rsidRPr="006B79CE">
              <w:rPr>
                <w:rFonts w:ascii="Arial" w:hAnsi="Arial" w:cs="Arial"/>
                <w:sz w:val="18"/>
                <w:szCs w:val="18"/>
              </w:rPr>
              <w:t>4,289</w:t>
            </w:r>
          </w:p>
        </w:tc>
        <w:tc>
          <w:tcPr>
            <w:tcW w:w="0" w:type="auto"/>
            <w:tcBorders>
              <w:top w:val="nil"/>
              <w:left w:val="nil"/>
              <w:bottom w:val="single" w:sz="8" w:space="0" w:color="auto"/>
              <w:right w:val="single" w:sz="8" w:space="0" w:color="auto"/>
            </w:tcBorders>
            <w:shd w:val="clear" w:color="000000" w:fill="CCCCCC"/>
            <w:vAlign w:val="center"/>
            <w:hideMark/>
          </w:tcPr>
          <w:p w14:paraId="38F7F677" w14:textId="1AA04AEB" w:rsidR="006B79CE" w:rsidRPr="006B79CE" w:rsidRDefault="006B79CE" w:rsidP="006B79CE">
            <w:pPr>
              <w:jc w:val="right"/>
              <w:rPr>
                <w:rFonts w:ascii="Arial" w:hAnsi="Arial" w:cs="Arial"/>
                <w:sz w:val="18"/>
                <w:szCs w:val="18"/>
              </w:rPr>
            </w:pPr>
            <w:r w:rsidRPr="006B79CE">
              <w:rPr>
                <w:rFonts w:ascii="Arial" w:hAnsi="Arial" w:cs="Arial"/>
                <w:sz w:val="18"/>
                <w:szCs w:val="18"/>
              </w:rPr>
              <w:t>4,469</w:t>
            </w:r>
          </w:p>
        </w:tc>
      </w:tr>
    </w:tbl>
    <w:p w14:paraId="29F51EAE" w14:textId="5509E9F6" w:rsidR="003B74DA" w:rsidRPr="00C47FA1" w:rsidRDefault="003B74DA" w:rsidP="00023E94">
      <w:pPr>
        <w:tabs>
          <w:tab w:val="left" w:pos="720"/>
          <w:tab w:val="right" w:pos="5760"/>
        </w:tabs>
        <w:ind w:left="426"/>
        <w:rPr>
          <w:rFonts w:ascii="Arial" w:hAnsi="Arial"/>
          <w:sz w:val="22"/>
          <w:szCs w:val="22"/>
        </w:rPr>
      </w:pPr>
      <w:r w:rsidRPr="00C47FA1">
        <w:rPr>
          <w:rFonts w:ascii="Arial" w:hAnsi="Arial"/>
          <w:sz w:val="22"/>
          <w:szCs w:val="22"/>
        </w:rPr>
        <w:lastRenderedPageBreak/>
        <w:t>A further breakdown of the LGPS scheme is shown below, which identifies those costs reflected individually in the PCC and CC financial statements.</w:t>
      </w:r>
    </w:p>
    <w:tbl>
      <w:tblPr>
        <w:tblW w:w="15627" w:type="dxa"/>
        <w:tblInd w:w="-10" w:type="dxa"/>
        <w:tblLook w:val="04A0" w:firstRow="1" w:lastRow="0" w:firstColumn="1" w:lastColumn="0" w:noHBand="0" w:noVBand="1"/>
      </w:tblPr>
      <w:tblGrid>
        <w:gridCol w:w="8222"/>
        <w:gridCol w:w="992"/>
        <w:gridCol w:w="1134"/>
        <w:gridCol w:w="1276"/>
        <w:gridCol w:w="1417"/>
        <w:gridCol w:w="1243"/>
        <w:gridCol w:w="1343"/>
      </w:tblGrid>
      <w:tr w:rsidR="00F64B0D" w:rsidRPr="00F64B0D" w14:paraId="28CBE851" w14:textId="77777777" w:rsidTr="00FD22A3">
        <w:trPr>
          <w:trHeight w:val="315"/>
        </w:trPr>
        <w:tc>
          <w:tcPr>
            <w:tcW w:w="8222" w:type="dxa"/>
            <w:tcBorders>
              <w:top w:val="single" w:sz="8" w:space="0" w:color="auto"/>
              <w:left w:val="single" w:sz="8" w:space="0" w:color="auto"/>
              <w:bottom w:val="nil"/>
              <w:right w:val="nil"/>
            </w:tcBorders>
            <w:shd w:val="clear" w:color="000000" w:fill="CCCCCC"/>
            <w:vAlign w:val="center"/>
            <w:hideMark/>
          </w:tcPr>
          <w:p w14:paraId="783C8577" w14:textId="77777777" w:rsidR="00F64B0D" w:rsidRPr="00F64B0D" w:rsidRDefault="00F64B0D" w:rsidP="00F64B0D">
            <w:pPr>
              <w:rPr>
                <w:rFonts w:ascii="Arial" w:hAnsi="Arial" w:cs="Arial"/>
              </w:rPr>
            </w:pPr>
            <w:r w:rsidRPr="00F64B0D">
              <w:rPr>
                <w:rFonts w:ascii="Arial" w:hAnsi="Arial" w:cs="Arial"/>
              </w:rPr>
              <w:t> </w:t>
            </w:r>
          </w:p>
        </w:tc>
        <w:tc>
          <w:tcPr>
            <w:tcW w:w="2126" w:type="dxa"/>
            <w:gridSpan w:val="2"/>
            <w:tcBorders>
              <w:top w:val="single" w:sz="8" w:space="0" w:color="auto"/>
              <w:left w:val="single" w:sz="8" w:space="0" w:color="auto"/>
              <w:bottom w:val="single" w:sz="8" w:space="0" w:color="auto"/>
              <w:right w:val="single" w:sz="8" w:space="0" w:color="000000"/>
            </w:tcBorders>
            <w:shd w:val="clear" w:color="000000" w:fill="CCCCCC"/>
            <w:vAlign w:val="center"/>
            <w:hideMark/>
          </w:tcPr>
          <w:p w14:paraId="44D92E27"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PCC</w:t>
            </w:r>
          </w:p>
        </w:tc>
        <w:tc>
          <w:tcPr>
            <w:tcW w:w="2693" w:type="dxa"/>
            <w:gridSpan w:val="2"/>
            <w:tcBorders>
              <w:top w:val="single" w:sz="8" w:space="0" w:color="auto"/>
              <w:left w:val="nil"/>
              <w:bottom w:val="single" w:sz="8" w:space="0" w:color="auto"/>
              <w:right w:val="single" w:sz="8" w:space="0" w:color="000000"/>
            </w:tcBorders>
            <w:shd w:val="clear" w:color="000000" w:fill="CCCCCC"/>
            <w:vAlign w:val="center"/>
            <w:hideMark/>
          </w:tcPr>
          <w:p w14:paraId="5ACC629C"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CC</w:t>
            </w:r>
          </w:p>
        </w:tc>
        <w:tc>
          <w:tcPr>
            <w:tcW w:w="2586" w:type="dxa"/>
            <w:gridSpan w:val="2"/>
            <w:tcBorders>
              <w:top w:val="single" w:sz="8" w:space="0" w:color="auto"/>
              <w:left w:val="nil"/>
              <w:bottom w:val="single" w:sz="8" w:space="0" w:color="auto"/>
              <w:right w:val="single" w:sz="8" w:space="0" w:color="000000"/>
            </w:tcBorders>
            <w:shd w:val="clear" w:color="000000" w:fill="CCCCCC"/>
            <w:vAlign w:val="center"/>
            <w:hideMark/>
          </w:tcPr>
          <w:p w14:paraId="6DEFEFB5"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Total</w:t>
            </w:r>
          </w:p>
        </w:tc>
      </w:tr>
      <w:tr w:rsidR="00966C9B" w:rsidRPr="00F64B0D" w14:paraId="15027E24"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319C451E" w14:textId="77777777" w:rsidR="00F64B0D" w:rsidRPr="00F64B0D" w:rsidRDefault="00F64B0D" w:rsidP="00F64B0D">
            <w:pPr>
              <w:rPr>
                <w:rFonts w:ascii="Arial" w:hAnsi="Arial" w:cs="Arial"/>
                <w:b/>
                <w:bCs/>
              </w:rPr>
            </w:pPr>
            <w:r w:rsidRPr="00F64B0D">
              <w:rPr>
                <w:rFonts w:ascii="Arial" w:hAnsi="Arial" w:cs="Arial"/>
                <w:b/>
                <w:bCs/>
              </w:rPr>
              <w:t> </w:t>
            </w:r>
          </w:p>
        </w:tc>
        <w:tc>
          <w:tcPr>
            <w:tcW w:w="992" w:type="dxa"/>
            <w:tcBorders>
              <w:top w:val="nil"/>
              <w:left w:val="single" w:sz="8" w:space="0" w:color="auto"/>
              <w:bottom w:val="nil"/>
              <w:right w:val="nil"/>
            </w:tcBorders>
            <w:shd w:val="clear" w:color="000000" w:fill="FFFFFF"/>
            <w:vAlign w:val="center"/>
            <w:hideMark/>
          </w:tcPr>
          <w:p w14:paraId="531453A2" w14:textId="3C155B00" w:rsidR="00F64B0D" w:rsidRPr="00F64B0D" w:rsidRDefault="00C37E7F" w:rsidP="00F64B0D">
            <w:pPr>
              <w:jc w:val="right"/>
              <w:rPr>
                <w:rFonts w:ascii="Arial" w:hAnsi="Arial" w:cs="Arial"/>
                <w:b/>
                <w:bCs/>
                <w:color w:val="000000"/>
              </w:rPr>
            </w:pPr>
            <w:r>
              <w:rPr>
                <w:rFonts w:ascii="Arial" w:hAnsi="Arial" w:cs="Arial"/>
                <w:b/>
                <w:bCs/>
                <w:color w:val="000000"/>
              </w:rPr>
              <w:t>2023/24</w:t>
            </w:r>
          </w:p>
        </w:tc>
        <w:tc>
          <w:tcPr>
            <w:tcW w:w="1134" w:type="dxa"/>
            <w:tcBorders>
              <w:top w:val="nil"/>
              <w:left w:val="nil"/>
              <w:bottom w:val="nil"/>
              <w:right w:val="single" w:sz="8" w:space="0" w:color="auto"/>
            </w:tcBorders>
            <w:shd w:val="clear" w:color="000000" w:fill="CCCCCC"/>
            <w:vAlign w:val="center"/>
            <w:hideMark/>
          </w:tcPr>
          <w:p w14:paraId="4DD94F7C" w14:textId="2F7A0E21" w:rsidR="00F64B0D" w:rsidRPr="00F64B0D" w:rsidRDefault="00C37E7F" w:rsidP="00F64B0D">
            <w:pPr>
              <w:jc w:val="right"/>
              <w:rPr>
                <w:rFonts w:ascii="Arial" w:hAnsi="Arial" w:cs="Arial"/>
                <w:b/>
                <w:bCs/>
              </w:rPr>
            </w:pPr>
            <w:r>
              <w:rPr>
                <w:rFonts w:ascii="Arial" w:hAnsi="Arial" w:cs="Arial"/>
                <w:b/>
                <w:bCs/>
              </w:rPr>
              <w:t>2024/25</w:t>
            </w:r>
          </w:p>
        </w:tc>
        <w:tc>
          <w:tcPr>
            <w:tcW w:w="1276" w:type="dxa"/>
            <w:tcBorders>
              <w:top w:val="nil"/>
              <w:left w:val="nil"/>
              <w:bottom w:val="nil"/>
              <w:right w:val="nil"/>
            </w:tcBorders>
            <w:shd w:val="clear" w:color="000000" w:fill="FFFFFF"/>
            <w:vAlign w:val="center"/>
            <w:hideMark/>
          </w:tcPr>
          <w:p w14:paraId="24CB1586" w14:textId="2C6BD881" w:rsidR="00F64B0D" w:rsidRPr="00F64B0D" w:rsidRDefault="00C37E7F" w:rsidP="00F64B0D">
            <w:pPr>
              <w:jc w:val="right"/>
              <w:rPr>
                <w:rFonts w:ascii="Arial" w:hAnsi="Arial" w:cs="Arial"/>
                <w:b/>
                <w:bCs/>
                <w:color w:val="000000"/>
              </w:rPr>
            </w:pPr>
            <w:r>
              <w:rPr>
                <w:rFonts w:ascii="Arial" w:hAnsi="Arial" w:cs="Arial"/>
                <w:b/>
                <w:bCs/>
                <w:color w:val="000000"/>
              </w:rPr>
              <w:t>2023/24</w:t>
            </w:r>
          </w:p>
        </w:tc>
        <w:tc>
          <w:tcPr>
            <w:tcW w:w="1417" w:type="dxa"/>
            <w:tcBorders>
              <w:top w:val="nil"/>
              <w:left w:val="nil"/>
              <w:bottom w:val="nil"/>
              <w:right w:val="single" w:sz="8" w:space="0" w:color="auto"/>
            </w:tcBorders>
            <w:shd w:val="clear" w:color="000000" w:fill="CCCCCC"/>
            <w:vAlign w:val="center"/>
            <w:hideMark/>
          </w:tcPr>
          <w:p w14:paraId="1E05887A" w14:textId="68976334" w:rsidR="00F64B0D" w:rsidRPr="00F64B0D" w:rsidRDefault="00C37E7F" w:rsidP="00F64B0D">
            <w:pPr>
              <w:jc w:val="right"/>
              <w:rPr>
                <w:rFonts w:ascii="Arial" w:hAnsi="Arial" w:cs="Arial"/>
                <w:b/>
                <w:bCs/>
              </w:rPr>
            </w:pPr>
            <w:r>
              <w:rPr>
                <w:rFonts w:ascii="Arial" w:hAnsi="Arial" w:cs="Arial"/>
                <w:b/>
                <w:bCs/>
              </w:rPr>
              <w:t>2024/25</w:t>
            </w:r>
          </w:p>
        </w:tc>
        <w:tc>
          <w:tcPr>
            <w:tcW w:w="1243" w:type="dxa"/>
            <w:tcBorders>
              <w:top w:val="nil"/>
              <w:left w:val="nil"/>
              <w:bottom w:val="nil"/>
              <w:right w:val="nil"/>
            </w:tcBorders>
            <w:shd w:val="clear" w:color="000000" w:fill="FFFFFF"/>
            <w:vAlign w:val="center"/>
            <w:hideMark/>
          </w:tcPr>
          <w:p w14:paraId="55517F25" w14:textId="615E7541" w:rsidR="00F64B0D" w:rsidRPr="00F64B0D" w:rsidRDefault="00C37E7F" w:rsidP="00F64B0D">
            <w:pPr>
              <w:jc w:val="right"/>
              <w:rPr>
                <w:rFonts w:ascii="Arial" w:hAnsi="Arial" w:cs="Arial"/>
                <w:b/>
                <w:bCs/>
                <w:color w:val="000000"/>
              </w:rPr>
            </w:pPr>
            <w:r>
              <w:rPr>
                <w:rFonts w:ascii="Arial" w:hAnsi="Arial" w:cs="Arial"/>
                <w:b/>
                <w:bCs/>
                <w:color w:val="000000"/>
              </w:rPr>
              <w:t>2023/24</w:t>
            </w:r>
          </w:p>
        </w:tc>
        <w:tc>
          <w:tcPr>
            <w:tcW w:w="1343" w:type="dxa"/>
            <w:tcBorders>
              <w:top w:val="nil"/>
              <w:left w:val="nil"/>
              <w:bottom w:val="nil"/>
              <w:right w:val="single" w:sz="8" w:space="0" w:color="auto"/>
            </w:tcBorders>
            <w:shd w:val="clear" w:color="000000" w:fill="CCCCCC"/>
            <w:vAlign w:val="center"/>
            <w:hideMark/>
          </w:tcPr>
          <w:p w14:paraId="32878B94" w14:textId="47076C26" w:rsidR="00F64B0D" w:rsidRPr="00F64B0D" w:rsidRDefault="00C37E7F" w:rsidP="00F64B0D">
            <w:pPr>
              <w:jc w:val="right"/>
              <w:rPr>
                <w:rFonts w:ascii="Arial" w:hAnsi="Arial" w:cs="Arial"/>
                <w:b/>
                <w:bCs/>
              </w:rPr>
            </w:pPr>
            <w:r>
              <w:rPr>
                <w:rFonts w:ascii="Arial" w:hAnsi="Arial" w:cs="Arial"/>
                <w:b/>
                <w:bCs/>
              </w:rPr>
              <w:t>2024/25</w:t>
            </w:r>
          </w:p>
        </w:tc>
      </w:tr>
      <w:tr w:rsidR="00966C9B" w:rsidRPr="00F64B0D" w14:paraId="2002EC53"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1BADE899" w14:textId="77777777" w:rsidR="00F64B0D" w:rsidRPr="00F64B0D" w:rsidRDefault="00F64B0D" w:rsidP="00F64B0D">
            <w:pPr>
              <w:rPr>
                <w:rFonts w:ascii="Arial" w:hAnsi="Arial" w:cs="Arial"/>
                <w:b/>
                <w:bCs/>
              </w:rPr>
            </w:pPr>
            <w:r w:rsidRPr="00F64B0D">
              <w:rPr>
                <w:rFonts w:ascii="Arial" w:hAnsi="Arial" w:cs="Arial"/>
                <w:b/>
                <w:bCs/>
              </w:rPr>
              <w:t> </w:t>
            </w:r>
          </w:p>
        </w:tc>
        <w:tc>
          <w:tcPr>
            <w:tcW w:w="992" w:type="dxa"/>
            <w:tcBorders>
              <w:top w:val="nil"/>
              <w:left w:val="single" w:sz="8" w:space="0" w:color="auto"/>
              <w:bottom w:val="nil"/>
              <w:right w:val="nil"/>
            </w:tcBorders>
            <w:shd w:val="clear" w:color="000000" w:fill="FFFFFF"/>
            <w:vAlign w:val="center"/>
            <w:hideMark/>
          </w:tcPr>
          <w:p w14:paraId="79C0EDED" w14:textId="77777777" w:rsidR="00F64B0D" w:rsidRPr="00F64B0D" w:rsidRDefault="00F64B0D" w:rsidP="00F64B0D">
            <w:pPr>
              <w:jc w:val="right"/>
              <w:rPr>
                <w:rFonts w:ascii="Arial" w:hAnsi="Arial" w:cs="Arial"/>
                <w:b/>
                <w:bCs/>
                <w:color w:val="000000"/>
              </w:rPr>
            </w:pPr>
            <w:r w:rsidRPr="00F64B0D">
              <w:rPr>
                <w:rFonts w:ascii="Arial" w:hAnsi="Arial" w:cs="Arial"/>
                <w:b/>
                <w:bCs/>
                <w:color w:val="000000"/>
              </w:rPr>
              <w:t>£,000</w:t>
            </w:r>
          </w:p>
        </w:tc>
        <w:tc>
          <w:tcPr>
            <w:tcW w:w="1134" w:type="dxa"/>
            <w:tcBorders>
              <w:top w:val="nil"/>
              <w:left w:val="nil"/>
              <w:bottom w:val="nil"/>
              <w:right w:val="single" w:sz="8" w:space="0" w:color="auto"/>
            </w:tcBorders>
            <w:shd w:val="clear" w:color="000000" w:fill="CCCCCC"/>
            <w:vAlign w:val="center"/>
            <w:hideMark/>
          </w:tcPr>
          <w:p w14:paraId="79748DB6" w14:textId="77777777" w:rsidR="00F64B0D" w:rsidRPr="00F64B0D" w:rsidRDefault="00F64B0D" w:rsidP="00F64B0D">
            <w:pPr>
              <w:jc w:val="right"/>
              <w:rPr>
                <w:rFonts w:ascii="Arial" w:hAnsi="Arial" w:cs="Arial"/>
                <w:b/>
                <w:bCs/>
              </w:rPr>
            </w:pPr>
            <w:r w:rsidRPr="00F64B0D">
              <w:rPr>
                <w:rFonts w:ascii="Arial" w:hAnsi="Arial" w:cs="Arial"/>
                <w:b/>
                <w:bCs/>
              </w:rPr>
              <w:t>£,000</w:t>
            </w:r>
          </w:p>
        </w:tc>
        <w:tc>
          <w:tcPr>
            <w:tcW w:w="1276" w:type="dxa"/>
            <w:tcBorders>
              <w:top w:val="nil"/>
              <w:left w:val="nil"/>
              <w:bottom w:val="nil"/>
              <w:right w:val="nil"/>
            </w:tcBorders>
            <w:shd w:val="clear" w:color="000000" w:fill="FFFFFF"/>
            <w:vAlign w:val="center"/>
            <w:hideMark/>
          </w:tcPr>
          <w:p w14:paraId="076D7F9F" w14:textId="77777777" w:rsidR="00F64B0D" w:rsidRPr="00F64B0D" w:rsidRDefault="00F64B0D" w:rsidP="00F64B0D">
            <w:pPr>
              <w:jc w:val="right"/>
              <w:rPr>
                <w:rFonts w:ascii="Arial" w:hAnsi="Arial" w:cs="Arial"/>
                <w:b/>
                <w:bCs/>
                <w:color w:val="000000"/>
              </w:rPr>
            </w:pPr>
            <w:r w:rsidRPr="00F64B0D">
              <w:rPr>
                <w:rFonts w:ascii="Arial" w:hAnsi="Arial" w:cs="Arial"/>
                <w:b/>
                <w:bCs/>
                <w:color w:val="000000"/>
              </w:rPr>
              <w:t>£,000</w:t>
            </w:r>
          </w:p>
        </w:tc>
        <w:tc>
          <w:tcPr>
            <w:tcW w:w="1417" w:type="dxa"/>
            <w:tcBorders>
              <w:top w:val="nil"/>
              <w:left w:val="nil"/>
              <w:bottom w:val="nil"/>
              <w:right w:val="single" w:sz="8" w:space="0" w:color="auto"/>
            </w:tcBorders>
            <w:shd w:val="clear" w:color="000000" w:fill="CCCCCC"/>
            <w:vAlign w:val="center"/>
            <w:hideMark/>
          </w:tcPr>
          <w:p w14:paraId="0EC5BE06" w14:textId="77777777" w:rsidR="00F64B0D" w:rsidRPr="00F64B0D" w:rsidRDefault="00F64B0D" w:rsidP="00F64B0D">
            <w:pPr>
              <w:jc w:val="right"/>
              <w:rPr>
                <w:rFonts w:ascii="Arial" w:hAnsi="Arial" w:cs="Arial"/>
                <w:b/>
                <w:bCs/>
              </w:rPr>
            </w:pPr>
            <w:r w:rsidRPr="00F64B0D">
              <w:rPr>
                <w:rFonts w:ascii="Arial" w:hAnsi="Arial" w:cs="Arial"/>
                <w:b/>
                <w:bCs/>
              </w:rPr>
              <w:t>£,000</w:t>
            </w:r>
          </w:p>
        </w:tc>
        <w:tc>
          <w:tcPr>
            <w:tcW w:w="1243" w:type="dxa"/>
            <w:tcBorders>
              <w:top w:val="nil"/>
              <w:left w:val="nil"/>
              <w:bottom w:val="nil"/>
              <w:right w:val="nil"/>
            </w:tcBorders>
            <w:shd w:val="clear" w:color="000000" w:fill="FFFFFF"/>
            <w:vAlign w:val="center"/>
            <w:hideMark/>
          </w:tcPr>
          <w:p w14:paraId="531795B0" w14:textId="77777777" w:rsidR="00F64B0D" w:rsidRPr="00F64B0D" w:rsidRDefault="00F64B0D" w:rsidP="00F64B0D">
            <w:pPr>
              <w:jc w:val="right"/>
              <w:rPr>
                <w:rFonts w:ascii="Arial" w:hAnsi="Arial" w:cs="Arial"/>
                <w:b/>
                <w:bCs/>
                <w:color w:val="000000"/>
              </w:rPr>
            </w:pPr>
            <w:r w:rsidRPr="00F64B0D">
              <w:rPr>
                <w:rFonts w:ascii="Arial" w:hAnsi="Arial" w:cs="Arial"/>
                <w:b/>
                <w:bCs/>
                <w:color w:val="000000"/>
              </w:rPr>
              <w:t>£,000</w:t>
            </w:r>
          </w:p>
        </w:tc>
        <w:tc>
          <w:tcPr>
            <w:tcW w:w="1343" w:type="dxa"/>
            <w:tcBorders>
              <w:top w:val="nil"/>
              <w:left w:val="nil"/>
              <w:bottom w:val="nil"/>
              <w:right w:val="single" w:sz="8" w:space="0" w:color="auto"/>
            </w:tcBorders>
            <w:shd w:val="clear" w:color="000000" w:fill="CCCCCC"/>
            <w:vAlign w:val="center"/>
            <w:hideMark/>
          </w:tcPr>
          <w:p w14:paraId="4AD672E7" w14:textId="77777777" w:rsidR="00F64B0D" w:rsidRPr="00F64B0D" w:rsidRDefault="00F64B0D" w:rsidP="00F64B0D">
            <w:pPr>
              <w:jc w:val="right"/>
              <w:rPr>
                <w:rFonts w:ascii="Arial" w:hAnsi="Arial" w:cs="Arial"/>
                <w:b/>
                <w:bCs/>
              </w:rPr>
            </w:pPr>
            <w:r w:rsidRPr="00F64B0D">
              <w:rPr>
                <w:rFonts w:ascii="Arial" w:hAnsi="Arial" w:cs="Arial"/>
                <w:b/>
                <w:bCs/>
              </w:rPr>
              <w:t>£,000</w:t>
            </w:r>
          </w:p>
        </w:tc>
      </w:tr>
      <w:tr w:rsidR="00966C9B" w:rsidRPr="00F64B0D" w14:paraId="63F300ED"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2B30EEEA" w14:textId="77777777" w:rsidR="00F64B0D" w:rsidRPr="00F64B0D" w:rsidRDefault="00F64B0D" w:rsidP="00F64B0D">
            <w:pPr>
              <w:rPr>
                <w:rFonts w:ascii="Arial" w:hAnsi="Arial" w:cs="Arial"/>
                <w:b/>
                <w:bCs/>
                <w:color w:val="000000"/>
              </w:rPr>
            </w:pPr>
            <w:r w:rsidRPr="00F64B0D">
              <w:rPr>
                <w:rFonts w:ascii="Arial" w:hAnsi="Arial" w:cs="Arial"/>
                <w:b/>
                <w:bCs/>
                <w:color w:val="000000"/>
              </w:rPr>
              <w:t>Comprehensive Income and Expenditure Statement</w:t>
            </w:r>
          </w:p>
        </w:tc>
        <w:tc>
          <w:tcPr>
            <w:tcW w:w="992" w:type="dxa"/>
            <w:tcBorders>
              <w:top w:val="nil"/>
              <w:left w:val="single" w:sz="8" w:space="0" w:color="auto"/>
              <w:bottom w:val="nil"/>
              <w:right w:val="nil"/>
            </w:tcBorders>
            <w:shd w:val="clear" w:color="000000" w:fill="FFFFFF"/>
            <w:vAlign w:val="center"/>
            <w:hideMark/>
          </w:tcPr>
          <w:p w14:paraId="0F4A5AC8" w14:textId="77777777" w:rsidR="00F64B0D" w:rsidRPr="00F64B0D" w:rsidRDefault="00F64B0D" w:rsidP="00F64B0D">
            <w:pPr>
              <w:rPr>
                <w:rFonts w:ascii="Arial" w:hAnsi="Arial" w:cs="Arial"/>
              </w:rPr>
            </w:pPr>
            <w:r w:rsidRPr="00F64B0D">
              <w:rPr>
                <w:rFonts w:ascii="Arial" w:hAnsi="Arial" w:cs="Arial"/>
              </w:rPr>
              <w:t> </w:t>
            </w:r>
          </w:p>
        </w:tc>
        <w:tc>
          <w:tcPr>
            <w:tcW w:w="1134" w:type="dxa"/>
            <w:tcBorders>
              <w:top w:val="nil"/>
              <w:left w:val="nil"/>
              <w:bottom w:val="nil"/>
              <w:right w:val="single" w:sz="8" w:space="0" w:color="auto"/>
            </w:tcBorders>
            <w:shd w:val="clear" w:color="000000" w:fill="CCCCCC"/>
            <w:vAlign w:val="center"/>
            <w:hideMark/>
          </w:tcPr>
          <w:p w14:paraId="328960FB" w14:textId="77777777" w:rsidR="00F64B0D" w:rsidRPr="00F64B0D" w:rsidRDefault="00F64B0D" w:rsidP="00F64B0D">
            <w:pPr>
              <w:rPr>
                <w:rFonts w:ascii="Arial" w:hAnsi="Arial" w:cs="Arial"/>
              </w:rPr>
            </w:pPr>
            <w:r w:rsidRPr="00F64B0D">
              <w:rPr>
                <w:rFonts w:ascii="Arial" w:hAnsi="Arial" w:cs="Arial"/>
              </w:rPr>
              <w:t> </w:t>
            </w:r>
          </w:p>
        </w:tc>
        <w:tc>
          <w:tcPr>
            <w:tcW w:w="1276" w:type="dxa"/>
            <w:tcBorders>
              <w:top w:val="nil"/>
              <w:left w:val="nil"/>
              <w:bottom w:val="nil"/>
              <w:right w:val="nil"/>
            </w:tcBorders>
            <w:shd w:val="clear" w:color="000000" w:fill="FFFFFF"/>
            <w:vAlign w:val="center"/>
            <w:hideMark/>
          </w:tcPr>
          <w:p w14:paraId="5B5A4B1C" w14:textId="77777777" w:rsidR="00F64B0D" w:rsidRPr="00F64B0D" w:rsidRDefault="00F64B0D" w:rsidP="00F64B0D">
            <w:pPr>
              <w:rPr>
                <w:rFonts w:ascii="Arial" w:hAnsi="Arial" w:cs="Arial"/>
              </w:rPr>
            </w:pPr>
            <w:r w:rsidRPr="00F64B0D">
              <w:rPr>
                <w:rFonts w:ascii="Arial" w:hAnsi="Arial" w:cs="Arial"/>
              </w:rPr>
              <w:t> </w:t>
            </w:r>
          </w:p>
        </w:tc>
        <w:tc>
          <w:tcPr>
            <w:tcW w:w="1417" w:type="dxa"/>
            <w:tcBorders>
              <w:top w:val="nil"/>
              <w:left w:val="nil"/>
              <w:bottom w:val="nil"/>
              <w:right w:val="single" w:sz="8" w:space="0" w:color="auto"/>
            </w:tcBorders>
            <w:shd w:val="clear" w:color="000000" w:fill="CCCCCC"/>
            <w:vAlign w:val="center"/>
            <w:hideMark/>
          </w:tcPr>
          <w:p w14:paraId="3200476A" w14:textId="77777777" w:rsidR="00F64B0D" w:rsidRPr="00F64B0D" w:rsidRDefault="00F64B0D" w:rsidP="00F64B0D">
            <w:pPr>
              <w:rPr>
                <w:rFonts w:ascii="Arial" w:hAnsi="Arial" w:cs="Arial"/>
              </w:rPr>
            </w:pPr>
            <w:r w:rsidRPr="00F64B0D">
              <w:rPr>
                <w:rFonts w:ascii="Arial" w:hAnsi="Arial" w:cs="Arial"/>
              </w:rPr>
              <w:t> </w:t>
            </w:r>
          </w:p>
        </w:tc>
        <w:tc>
          <w:tcPr>
            <w:tcW w:w="1243" w:type="dxa"/>
            <w:tcBorders>
              <w:top w:val="nil"/>
              <w:left w:val="nil"/>
              <w:bottom w:val="nil"/>
              <w:right w:val="nil"/>
            </w:tcBorders>
            <w:shd w:val="clear" w:color="000000" w:fill="FFFFFF"/>
            <w:vAlign w:val="center"/>
            <w:hideMark/>
          </w:tcPr>
          <w:p w14:paraId="4FC089F8" w14:textId="77777777" w:rsidR="00F64B0D" w:rsidRPr="00F64B0D" w:rsidRDefault="00F64B0D" w:rsidP="00F64B0D">
            <w:pPr>
              <w:rPr>
                <w:rFonts w:ascii="Arial" w:hAnsi="Arial" w:cs="Arial"/>
              </w:rPr>
            </w:pPr>
            <w:r w:rsidRPr="00F64B0D">
              <w:rPr>
                <w:rFonts w:ascii="Arial" w:hAnsi="Arial" w:cs="Arial"/>
              </w:rPr>
              <w:t> </w:t>
            </w:r>
          </w:p>
        </w:tc>
        <w:tc>
          <w:tcPr>
            <w:tcW w:w="1343" w:type="dxa"/>
            <w:tcBorders>
              <w:top w:val="nil"/>
              <w:left w:val="nil"/>
              <w:bottom w:val="nil"/>
              <w:right w:val="single" w:sz="8" w:space="0" w:color="auto"/>
            </w:tcBorders>
            <w:shd w:val="clear" w:color="000000" w:fill="CCCCCC"/>
            <w:vAlign w:val="center"/>
            <w:hideMark/>
          </w:tcPr>
          <w:p w14:paraId="2879CE7B" w14:textId="77777777" w:rsidR="00F64B0D" w:rsidRPr="00F64B0D" w:rsidRDefault="00F64B0D" w:rsidP="00F64B0D">
            <w:pPr>
              <w:rPr>
                <w:rFonts w:ascii="Arial" w:hAnsi="Arial" w:cs="Arial"/>
              </w:rPr>
            </w:pPr>
            <w:r w:rsidRPr="00F64B0D">
              <w:rPr>
                <w:rFonts w:ascii="Arial" w:hAnsi="Arial" w:cs="Arial"/>
              </w:rPr>
              <w:t> </w:t>
            </w:r>
          </w:p>
        </w:tc>
      </w:tr>
      <w:tr w:rsidR="00966C9B" w:rsidRPr="00F64B0D" w14:paraId="2A046443"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7C775F6F" w14:textId="77777777" w:rsidR="00F64B0D" w:rsidRPr="00F64B0D" w:rsidRDefault="00F64B0D" w:rsidP="00063EA8">
            <w:pPr>
              <w:rPr>
                <w:rFonts w:ascii="Arial" w:hAnsi="Arial" w:cs="Arial"/>
                <w:b/>
                <w:bCs/>
                <w:color w:val="000000"/>
              </w:rPr>
            </w:pPr>
            <w:r w:rsidRPr="00F64B0D">
              <w:rPr>
                <w:rFonts w:ascii="Arial" w:hAnsi="Arial" w:cs="Arial"/>
                <w:b/>
                <w:bCs/>
                <w:color w:val="000000"/>
              </w:rPr>
              <w:t>Cost of Services:</w:t>
            </w:r>
          </w:p>
        </w:tc>
        <w:tc>
          <w:tcPr>
            <w:tcW w:w="992" w:type="dxa"/>
            <w:tcBorders>
              <w:top w:val="nil"/>
              <w:left w:val="single" w:sz="8" w:space="0" w:color="auto"/>
              <w:bottom w:val="nil"/>
              <w:right w:val="nil"/>
            </w:tcBorders>
            <w:shd w:val="clear" w:color="000000" w:fill="FFFFFF"/>
            <w:vAlign w:val="center"/>
            <w:hideMark/>
          </w:tcPr>
          <w:p w14:paraId="0A950F47" w14:textId="77777777" w:rsidR="00F64B0D" w:rsidRPr="00F64B0D" w:rsidRDefault="00F64B0D" w:rsidP="00F64B0D">
            <w:pPr>
              <w:rPr>
                <w:rFonts w:ascii="Arial" w:hAnsi="Arial" w:cs="Arial"/>
              </w:rPr>
            </w:pPr>
            <w:r w:rsidRPr="00F64B0D">
              <w:rPr>
                <w:rFonts w:ascii="Arial" w:hAnsi="Arial" w:cs="Arial"/>
              </w:rPr>
              <w:t> </w:t>
            </w:r>
          </w:p>
        </w:tc>
        <w:tc>
          <w:tcPr>
            <w:tcW w:w="1134" w:type="dxa"/>
            <w:tcBorders>
              <w:top w:val="nil"/>
              <w:left w:val="nil"/>
              <w:bottom w:val="nil"/>
              <w:right w:val="single" w:sz="8" w:space="0" w:color="auto"/>
            </w:tcBorders>
            <w:shd w:val="clear" w:color="000000" w:fill="CCCCCC"/>
            <w:vAlign w:val="center"/>
            <w:hideMark/>
          </w:tcPr>
          <w:p w14:paraId="1377C447" w14:textId="77777777" w:rsidR="00F64B0D" w:rsidRPr="00F64B0D" w:rsidRDefault="00F64B0D" w:rsidP="00F64B0D">
            <w:pPr>
              <w:rPr>
                <w:rFonts w:ascii="Arial" w:hAnsi="Arial" w:cs="Arial"/>
              </w:rPr>
            </w:pPr>
            <w:r w:rsidRPr="00F64B0D">
              <w:rPr>
                <w:rFonts w:ascii="Arial" w:hAnsi="Arial" w:cs="Arial"/>
              </w:rPr>
              <w:t> </w:t>
            </w:r>
          </w:p>
        </w:tc>
        <w:tc>
          <w:tcPr>
            <w:tcW w:w="1276" w:type="dxa"/>
            <w:tcBorders>
              <w:top w:val="nil"/>
              <w:left w:val="nil"/>
              <w:bottom w:val="nil"/>
              <w:right w:val="nil"/>
            </w:tcBorders>
            <w:shd w:val="clear" w:color="000000" w:fill="FFFFFF"/>
            <w:vAlign w:val="center"/>
            <w:hideMark/>
          </w:tcPr>
          <w:p w14:paraId="74B19515" w14:textId="77777777" w:rsidR="00F64B0D" w:rsidRPr="00F64B0D" w:rsidRDefault="00F64B0D" w:rsidP="00F64B0D">
            <w:pPr>
              <w:rPr>
                <w:rFonts w:ascii="Arial" w:hAnsi="Arial" w:cs="Arial"/>
              </w:rPr>
            </w:pPr>
            <w:r w:rsidRPr="00F64B0D">
              <w:rPr>
                <w:rFonts w:ascii="Arial" w:hAnsi="Arial" w:cs="Arial"/>
              </w:rPr>
              <w:t> </w:t>
            </w:r>
          </w:p>
        </w:tc>
        <w:tc>
          <w:tcPr>
            <w:tcW w:w="1417" w:type="dxa"/>
            <w:tcBorders>
              <w:top w:val="nil"/>
              <w:left w:val="nil"/>
              <w:bottom w:val="nil"/>
              <w:right w:val="single" w:sz="8" w:space="0" w:color="auto"/>
            </w:tcBorders>
            <w:shd w:val="clear" w:color="000000" w:fill="CCCCCC"/>
            <w:vAlign w:val="center"/>
            <w:hideMark/>
          </w:tcPr>
          <w:p w14:paraId="5BB136CC" w14:textId="77777777" w:rsidR="00F64B0D" w:rsidRPr="00F64B0D" w:rsidRDefault="00F64B0D" w:rsidP="00F64B0D">
            <w:pPr>
              <w:rPr>
                <w:rFonts w:ascii="Arial" w:hAnsi="Arial" w:cs="Arial"/>
              </w:rPr>
            </w:pPr>
            <w:r w:rsidRPr="00F64B0D">
              <w:rPr>
                <w:rFonts w:ascii="Arial" w:hAnsi="Arial" w:cs="Arial"/>
              </w:rPr>
              <w:t> </w:t>
            </w:r>
          </w:p>
        </w:tc>
        <w:tc>
          <w:tcPr>
            <w:tcW w:w="1243" w:type="dxa"/>
            <w:tcBorders>
              <w:top w:val="nil"/>
              <w:left w:val="nil"/>
              <w:bottom w:val="nil"/>
              <w:right w:val="nil"/>
            </w:tcBorders>
            <w:shd w:val="clear" w:color="000000" w:fill="FFFFFF"/>
            <w:vAlign w:val="center"/>
            <w:hideMark/>
          </w:tcPr>
          <w:p w14:paraId="389006CD" w14:textId="77777777" w:rsidR="00F64B0D" w:rsidRPr="00F64B0D" w:rsidRDefault="00F64B0D" w:rsidP="00F64B0D">
            <w:pPr>
              <w:rPr>
                <w:rFonts w:ascii="Arial" w:hAnsi="Arial" w:cs="Arial"/>
              </w:rPr>
            </w:pPr>
            <w:r w:rsidRPr="00F64B0D">
              <w:rPr>
                <w:rFonts w:ascii="Arial" w:hAnsi="Arial" w:cs="Arial"/>
              </w:rPr>
              <w:t> </w:t>
            </w:r>
          </w:p>
        </w:tc>
        <w:tc>
          <w:tcPr>
            <w:tcW w:w="1343" w:type="dxa"/>
            <w:tcBorders>
              <w:top w:val="nil"/>
              <w:left w:val="nil"/>
              <w:bottom w:val="nil"/>
              <w:right w:val="single" w:sz="8" w:space="0" w:color="auto"/>
            </w:tcBorders>
            <w:shd w:val="clear" w:color="000000" w:fill="CCCCCC"/>
            <w:vAlign w:val="center"/>
            <w:hideMark/>
          </w:tcPr>
          <w:p w14:paraId="0861C662" w14:textId="77777777" w:rsidR="00F64B0D" w:rsidRPr="00F64B0D" w:rsidRDefault="00F64B0D" w:rsidP="00F64B0D">
            <w:pPr>
              <w:rPr>
                <w:rFonts w:ascii="Arial" w:hAnsi="Arial" w:cs="Arial"/>
              </w:rPr>
            </w:pPr>
            <w:r w:rsidRPr="00F64B0D">
              <w:rPr>
                <w:rFonts w:ascii="Arial" w:hAnsi="Arial" w:cs="Arial"/>
              </w:rPr>
              <w:t> </w:t>
            </w:r>
          </w:p>
        </w:tc>
      </w:tr>
      <w:tr w:rsidR="005F269E" w:rsidRPr="00F64B0D" w14:paraId="78046E3E"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05871CD5" w14:textId="77777777" w:rsidR="005F269E" w:rsidRPr="00F64B0D" w:rsidRDefault="005F269E" w:rsidP="005F269E">
            <w:pPr>
              <w:rPr>
                <w:rFonts w:ascii="Symbol" w:hAnsi="Symbol" w:cs="Arial"/>
              </w:rPr>
            </w:pPr>
            <w:r w:rsidRPr="00F64B0D">
              <w:rPr>
                <w:rFonts w:ascii="Symbol" w:hAnsi="Symbol" w:cs="Arial"/>
              </w:rPr>
              <w:t>·</w:t>
            </w:r>
            <w:r w:rsidRPr="00F64B0D">
              <w:rPr>
                <w:sz w:val="14"/>
                <w:szCs w:val="14"/>
              </w:rPr>
              <w:t xml:space="preserve">         </w:t>
            </w:r>
            <w:r w:rsidRPr="00F64B0D">
              <w:rPr>
                <w:rFonts w:ascii="Arial" w:hAnsi="Arial" w:cs="Arial"/>
                <w:color w:val="000000"/>
              </w:rPr>
              <w:t>Current Service Cost</w:t>
            </w:r>
          </w:p>
        </w:tc>
        <w:tc>
          <w:tcPr>
            <w:tcW w:w="992" w:type="dxa"/>
            <w:tcBorders>
              <w:top w:val="nil"/>
              <w:left w:val="single" w:sz="8" w:space="0" w:color="auto"/>
              <w:bottom w:val="nil"/>
              <w:right w:val="nil"/>
            </w:tcBorders>
            <w:shd w:val="clear" w:color="000000" w:fill="FFFFFF"/>
            <w:vAlign w:val="center"/>
            <w:hideMark/>
          </w:tcPr>
          <w:p w14:paraId="2B69DD97" w14:textId="0F7AE479" w:rsidR="005F269E" w:rsidRPr="00F64B0D" w:rsidRDefault="005F269E" w:rsidP="005F269E">
            <w:pPr>
              <w:jc w:val="right"/>
              <w:rPr>
                <w:rFonts w:ascii="Arial" w:hAnsi="Arial" w:cs="Arial"/>
              </w:rPr>
            </w:pPr>
            <w:r>
              <w:rPr>
                <w:rFonts w:ascii="Arial" w:hAnsi="Arial" w:cs="Arial"/>
              </w:rPr>
              <w:t>130</w:t>
            </w:r>
          </w:p>
        </w:tc>
        <w:tc>
          <w:tcPr>
            <w:tcW w:w="1134" w:type="dxa"/>
            <w:tcBorders>
              <w:top w:val="nil"/>
              <w:left w:val="nil"/>
              <w:bottom w:val="nil"/>
              <w:right w:val="single" w:sz="8" w:space="0" w:color="auto"/>
            </w:tcBorders>
            <w:shd w:val="clear" w:color="000000" w:fill="CCCCCC"/>
            <w:vAlign w:val="center"/>
            <w:hideMark/>
          </w:tcPr>
          <w:p w14:paraId="1766A4E7" w14:textId="140BAAD3" w:rsidR="005F269E" w:rsidRPr="00F64B0D" w:rsidRDefault="005F269E" w:rsidP="005F269E">
            <w:pPr>
              <w:jc w:val="right"/>
              <w:rPr>
                <w:rFonts w:ascii="Arial" w:hAnsi="Arial" w:cs="Arial"/>
              </w:rPr>
            </w:pPr>
            <w:r>
              <w:rPr>
                <w:rFonts w:ascii="Arial" w:hAnsi="Arial" w:cs="Arial"/>
              </w:rPr>
              <w:t>129</w:t>
            </w:r>
          </w:p>
        </w:tc>
        <w:tc>
          <w:tcPr>
            <w:tcW w:w="1276" w:type="dxa"/>
            <w:tcBorders>
              <w:top w:val="nil"/>
              <w:left w:val="nil"/>
              <w:bottom w:val="nil"/>
              <w:right w:val="nil"/>
            </w:tcBorders>
            <w:shd w:val="clear" w:color="000000" w:fill="FFFFFF"/>
            <w:vAlign w:val="center"/>
            <w:hideMark/>
          </w:tcPr>
          <w:p w14:paraId="57D0EA7D" w14:textId="76ACCE1C" w:rsidR="005F269E" w:rsidRPr="00F64B0D" w:rsidRDefault="005F269E" w:rsidP="005F269E">
            <w:pPr>
              <w:jc w:val="right"/>
              <w:rPr>
                <w:rFonts w:ascii="Arial" w:hAnsi="Arial" w:cs="Arial"/>
              </w:rPr>
            </w:pPr>
            <w:r>
              <w:rPr>
                <w:rFonts w:ascii="Arial" w:hAnsi="Arial" w:cs="Arial"/>
              </w:rPr>
              <w:t>11,812</w:t>
            </w:r>
          </w:p>
        </w:tc>
        <w:tc>
          <w:tcPr>
            <w:tcW w:w="1417" w:type="dxa"/>
            <w:tcBorders>
              <w:top w:val="nil"/>
              <w:left w:val="nil"/>
              <w:bottom w:val="nil"/>
              <w:right w:val="single" w:sz="8" w:space="0" w:color="auto"/>
            </w:tcBorders>
            <w:shd w:val="clear" w:color="000000" w:fill="CCCCCC"/>
            <w:vAlign w:val="center"/>
            <w:hideMark/>
          </w:tcPr>
          <w:p w14:paraId="04C09C93" w14:textId="12CC5664" w:rsidR="005F269E" w:rsidRPr="00F64B0D" w:rsidRDefault="005F269E" w:rsidP="005F269E">
            <w:pPr>
              <w:jc w:val="right"/>
              <w:rPr>
                <w:rFonts w:ascii="Arial" w:hAnsi="Arial" w:cs="Arial"/>
              </w:rPr>
            </w:pPr>
            <w:r>
              <w:rPr>
                <w:rFonts w:ascii="Arial" w:hAnsi="Arial" w:cs="Arial"/>
              </w:rPr>
              <w:t>11,589</w:t>
            </w:r>
          </w:p>
        </w:tc>
        <w:tc>
          <w:tcPr>
            <w:tcW w:w="1243" w:type="dxa"/>
            <w:tcBorders>
              <w:top w:val="nil"/>
              <w:left w:val="nil"/>
              <w:bottom w:val="nil"/>
              <w:right w:val="nil"/>
            </w:tcBorders>
            <w:shd w:val="clear" w:color="000000" w:fill="FFFFFF"/>
            <w:vAlign w:val="center"/>
            <w:hideMark/>
          </w:tcPr>
          <w:p w14:paraId="6C435ABD" w14:textId="6C26F0B3" w:rsidR="005F269E" w:rsidRPr="00F64B0D" w:rsidRDefault="005F269E" w:rsidP="005F269E">
            <w:pPr>
              <w:jc w:val="right"/>
              <w:rPr>
                <w:rFonts w:ascii="Arial" w:hAnsi="Arial" w:cs="Arial"/>
              </w:rPr>
            </w:pPr>
            <w:r>
              <w:rPr>
                <w:rFonts w:ascii="Arial" w:hAnsi="Arial" w:cs="Arial"/>
              </w:rPr>
              <w:t>11</w:t>
            </w:r>
            <w:r w:rsidRPr="00F64B0D">
              <w:rPr>
                <w:rFonts w:ascii="Arial" w:hAnsi="Arial" w:cs="Arial"/>
              </w:rPr>
              <w:t>,</w:t>
            </w:r>
            <w:r>
              <w:rPr>
                <w:rFonts w:ascii="Arial" w:hAnsi="Arial" w:cs="Arial"/>
              </w:rPr>
              <w:t>942</w:t>
            </w:r>
          </w:p>
        </w:tc>
        <w:tc>
          <w:tcPr>
            <w:tcW w:w="1343" w:type="dxa"/>
            <w:tcBorders>
              <w:top w:val="nil"/>
              <w:left w:val="nil"/>
              <w:bottom w:val="nil"/>
              <w:right w:val="single" w:sz="8" w:space="0" w:color="auto"/>
            </w:tcBorders>
            <w:shd w:val="clear" w:color="000000" w:fill="CCCCCC"/>
            <w:vAlign w:val="center"/>
            <w:hideMark/>
          </w:tcPr>
          <w:p w14:paraId="6EFCEC5C" w14:textId="7C993D97" w:rsidR="005F269E" w:rsidRPr="00F64B0D" w:rsidRDefault="005F269E" w:rsidP="005F269E">
            <w:pPr>
              <w:jc w:val="right"/>
              <w:rPr>
                <w:rFonts w:ascii="Arial" w:hAnsi="Arial" w:cs="Arial"/>
              </w:rPr>
            </w:pPr>
            <w:r>
              <w:rPr>
                <w:rFonts w:ascii="Arial" w:hAnsi="Arial" w:cs="Arial"/>
              </w:rPr>
              <w:t>11,718</w:t>
            </w:r>
          </w:p>
        </w:tc>
      </w:tr>
      <w:tr w:rsidR="005F269E" w:rsidRPr="00F64B0D" w14:paraId="232E2A35"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5D064538" w14:textId="77777777" w:rsidR="005F269E" w:rsidRPr="00F64B0D" w:rsidRDefault="005F269E" w:rsidP="005F269E">
            <w:pPr>
              <w:rPr>
                <w:rFonts w:ascii="Symbol" w:hAnsi="Symbol" w:cs="Arial"/>
              </w:rPr>
            </w:pPr>
            <w:r w:rsidRPr="00F64B0D">
              <w:rPr>
                <w:rFonts w:ascii="Symbol" w:hAnsi="Symbol" w:cs="Arial"/>
              </w:rPr>
              <w:t>·</w:t>
            </w:r>
            <w:r w:rsidRPr="00F64B0D">
              <w:rPr>
                <w:sz w:val="14"/>
                <w:szCs w:val="14"/>
              </w:rPr>
              <w:t xml:space="preserve">         </w:t>
            </w:r>
            <w:r w:rsidRPr="00F64B0D">
              <w:rPr>
                <w:rFonts w:ascii="Arial" w:hAnsi="Arial" w:cs="Arial"/>
                <w:color w:val="000000"/>
              </w:rPr>
              <w:t>Past Service/Curtailment costs</w:t>
            </w:r>
          </w:p>
        </w:tc>
        <w:tc>
          <w:tcPr>
            <w:tcW w:w="992" w:type="dxa"/>
            <w:tcBorders>
              <w:top w:val="nil"/>
              <w:left w:val="single" w:sz="8" w:space="0" w:color="auto"/>
              <w:bottom w:val="nil"/>
              <w:right w:val="nil"/>
            </w:tcBorders>
            <w:shd w:val="clear" w:color="000000" w:fill="FFFFFF"/>
            <w:vAlign w:val="center"/>
            <w:hideMark/>
          </w:tcPr>
          <w:p w14:paraId="549A698E" w14:textId="05EB2292" w:rsidR="005F269E" w:rsidRPr="00F64B0D" w:rsidRDefault="005F269E" w:rsidP="005F269E">
            <w:pPr>
              <w:jc w:val="right"/>
              <w:rPr>
                <w:rFonts w:ascii="Arial" w:hAnsi="Arial" w:cs="Arial"/>
              </w:rPr>
            </w:pPr>
            <w:r>
              <w:rPr>
                <w:rFonts w:ascii="Arial" w:hAnsi="Arial" w:cs="Arial"/>
              </w:rPr>
              <w:t>0</w:t>
            </w:r>
          </w:p>
        </w:tc>
        <w:tc>
          <w:tcPr>
            <w:tcW w:w="1134" w:type="dxa"/>
            <w:tcBorders>
              <w:top w:val="nil"/>
              <w:left w:val="nil"/>
              <w:bottom w:val="nil"/>
              <w:right w:val="single" w:sz="8" w:space="0" w:color="auto"/>
            </w:tcBorders>
            <w:shd w:val="clear" w:color="000000" w:fill="CCCCCC"/>
            <w:vAlign w:val="center"/>
            <w:hideMark/>
          </w:tcPr>
          <w:p w14:paraId="42D06239" w14:textId="40ED6609" w:rsidR="005F269E" w:rsidRPr="00F64B0D" w:rsidRDefault="005F269E" w:rsidP="005F269E">
            <w:pPr>
              <w:jc w:val="right"/>
              <w:rPr>
                <w:rFonts w:ascii="Arial" w:hAnsi="Arial" w:cs="Arial"/>
              </w:rPr>
            </w:pPr>
            <w:r>
              <w:rPr>
                <w:rFonts w:ascii="Arial" w:hAnsi="Arial" w:cs="Arial"/>
              </w:rPr>
              <w:t>372</w:t>
            </w:r>
          </w:p>
        </w:tc>
        <w:tc>
          <w:tcPr>
            <w:tcW w:w="1276" w:type="dxa"/>
            <w:tcBorders>
              <w:top w:val="nil"/>
              <w:left w:val="nil"/>
              <w:bottom w:val="nil"/>
              <w:right w:val="nil"/>
            </w:tcBorders>
            <w:shd w:val="clear" w:color="000000" w:fill="FFFFFF"/>
            <w:vAlign w:val="center"/>
            <w:hideMark/>
          </w:tcPr>
          <w:p w14:paraId="4F55054A" w14:textId="591D0698" w:rsidR="005F269E" w:rsidRPr="00F64B0D" w:rsidRDefault="005F269E" w:rsidP="005F269E">
            <w:pPr>
              <w:jc w:val="right"/>
              <w:rPr>
                <w:rFonts w:ascii="Arial" w:hAnsi="Arial" w:cs="Arial"/>
              </w:rPr>
            </w:pPr>
            <w:r>
              <w:rPr>
                <w:rFonts w:ascii="Arial" w:hAnsi="Arial" w:cs="Arial"/>
              </w:rPr>
              <w:t>88</w:t>
            </w:r>
          </w:p>
        </w:tc>
        <w:tc>
          <w:tcPr>
            <w:tcW w:w="1417" w:type="dxa"/>
            <w:tcBorders>
              <w:top w:val="nil"/>
              <w:left w:val="nil"/>
              <w:bottom w:val="nil"/>
              <w:right w:val="single" w:sz="8" w:space="0" w:color="auto"/>
            </w:tcBorders>
            <w:shd w:val="clear" w:color="000000" w:fill="CCCCCC"/>
            <w:vAlign w:val="center"/>
            <w:hideMark/>
          </w:tcPr>
          <w:p w14:paraId="0BB8C6E5" w14:textId="58DF80F9" w:rsidR="005F269E" w:rsidRPr="00F64B0D" w:rsidRDefault="005F269E" w:rsidP="005F269E">
            <w:pPr>
              <w:jc w:val="right"/>
              <w:rPr>
                <w:rFonts w:ascii="Arial" w:hAnsi="Arial" w:cs="Arial"/>
              </w:rPr>
            </w:pPr>
            <w:r>
              <w:rPr>
                <w:rFonts w:ascii="Arial" w:hAnsi="Arial" w:cs="Arial"/>
              </w:rPr>
              <w:t>75</w:t>
            </w:r>
          </w:p>
        </w:tc>
        <w:tc>
          <w:tcPr>
            <w:tcW w:w="1243" w:type="dxa"/>
            <w:tcBorders>
              <w:top w:val="nil"/>
              <w:left w:val="nil"/>
              <w:bottom w:val="nil"/>
              <w:right w:val="nil"/>
            </w:tcBorders>
            <w:shd w:val="clear" w:color="000000" w:fill="FFFFFF"/>
            <w:vAlign w:val="center"/>
            <w:hideMark/>
          </w:tcPr>
          <w:p w14:paraId="4AB2FEF4" w14:textId="1985587F" w:rsidR="005F269E" w:rsidRPr="00F64B0D" w:rsidRDefault="005F269E" w:rsidP="005F269E">
            <w:pPr>
              <w:jc w:val="right"/>
              <w:rPr>
                <w:rFonts w:ascii="Arial" w:hAnsi="Arial" w:cs="Arial"/>
              </w:rPr>
            </w:pPr>
            <w:r>
              <w:rPr>
                <w:rFonts w:ascii="Arial" w:hAnsi="Arial" w:cs="Arial"/>
              </w:rPr>
              <w:t>8</w:t>
            </w:r>
            <w:r w:rsidRPr="00F64B0D">
              <w:rPr>
                <w:rFonts w:ascii="Arial" w:hAnsi="Arial" w:cs="Arial"/>
              </w:rPr>
              <w:t>8</w:t>
            </w:r>
          </w:p>
        </w:tc>
        <w:tc>
          <w:tcPr>
            <w:tcW w:w="1343" w:type="dxa"/>
            <w:tcBorders>
              <w:top w:val="nil"/>
              <w:left w:val="nil"/>
              <w:bottom w:val="nil"/>
              <w:right w:val="single" w:sz="8" w:space="0" w:color="auto"/>
            </w:tcBorders>
            <w:shd w:val="clear" w:color="000000" w:fill="CCCCCC"/>
            <w:vAlign w:val="center"/>
            <w:hideMark/>
          </w:tcPr>
          <w:p w14:paraId="4FEBC695" w14:textId="39859BAE" w:rsidR="005F269E" w:rsidRPr="00F64B0D" w:rsidRDefault="005F269E" w:rsidP="005F269E">
            <w:pPr>
              <w:jc w:val="right"/>
              <w:rPr>
                <w:rFonts w:ascii="Arial" w:hAnsi="Arial" w:cs="Arial"/>
              </w:rPr>
            </w:pPr>
            <w:r>
              <w:rPr>
                <w:rFonts w:ascii="Arial" w:hAnsi="Arial" w:cs="Arial"/>
              </w:rPr>
              <w:t>447</w:t>
            </w:r>
          </w:p>
        </w:tc>
      </w:tr>
      <w:tr w:rsidR="005F269E" w:rsidRPr="00F64B0D" w14:paraId="4BCE3FFC"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3D15F232" w14:textId="77777777" w:rsidR="005F269E" w:rsidRPr="00F64B0D" w:rsidRDefault="005F269E" w:rsidP="005F269E">
            <w:pPr>
              <w:rPr>
                <w:rFonts w:ascii="Symbol" w:hAnsi="Symbol" w:cs="Arial"/>
              </w:rPr>
            </w:pPr>
            <w:r w:rsidRPr="00F64B0D">
              <w:rPr>
                <w:rFonts w:ascii="Symbol" w:hAnsi="Symbol" w:cs="Arial"/>
              </w:rPr>
              <w:t>·</w:t>
            </w:r>
            <w:r w:rsidRPr="00F64B0D">
              <w:rPr>
                <w:sz w:val="14"/>
                <w:szCs w:val="14"/>
              </w:rPr>
              <w:t xml:space="preserve">         </w:t>
            </w:r>
            <w:r w:rsidRPr="00F64B0D">
              <w:rPr>
                <w:rFonts w:ascii="Arial" w:hAnsi="Arial" w:cs="Arial"/>
                <w:color w:val="000000"/>
              </w:rPr>
              <w:t>Admin expenses</w:t>
            </w:r>
          </w:p>
        </w:tc>
        <w:tc>
          <w:tcPr>
            <w:tcW w:w="992" w:type="dxa"/>
            <w:tcBorders>
              <w:top w:val="nil"/>
              <w:left w:val="single" w:sz="8" w:space="0" w:color="auto"/>
              <w:bottom w:val="nil"/>
              <w:right w:val="nil"/>
            </w:tcBorders>
            <w:shd w:val="clear" w:color="000000" w:fill="FFFFFF"/>
            <w:vAlign w:val="center"/>
            <w:hideMark/>
          </w:tcPr>
          <w:p w14:paraId="0DF931D2" w14:textId="340413C4" w:rsidR="005F269E" w:rsidRPr="00F64B0D" w:rsidRDefault="005F269E" w:rsidP="005F269E">
            <w:pPr>
              <w:jc w:val="right"/>
              <w:rPr>
                <w:rFonts w:ascii="Arial" w:hAnsi="Arial" w:cs="Arial"/>
              </w:rPr>
            </w:pPr>
            <w:r>
              <w:rPr>
                <w:rFonts w:ascii="Arial" w:hAnsi="Arial" w:cs="Arial"/>
              </w:rPr>
              <w:t>5</w:t>
            </w:r>
          </w:p>
        </w:tc>
        <w:tc>
          <w:tcPr>
            <w:tcW w:w="1134" w:type="dxa"/>
            <w:tcBorders>
              <w:top w:val="nil"/>
              <w:left w:val="nil"/>
              <w:bottom w:val="nil"/>
              <w:right w:val="single" w:sz="8" w:space="0" w:color="auto"/>
            </w:tcBorders>
            <w:shd w:val="clear" w:color="000000" w:fill="CCCCCC"/>
            <w:vAlign w:val="center"/>
            <w:hideMark/>
          </w:tcPr>
          <w:p w14:paraId="2BF90DF9" w14:textId="63D4DCF6" w:rsidR="005F269E" w:rsidRPr="00F64B0D" w:rsidRDefault="005F269E" w:rsidP="005F269E">
            <w:pPr>
              <w:jc w:val="right"/>
              <w:rPr>
                <w:rFonts w:ascii="Arial" w:hAnsi="Arial" w:cs="Arial"/>
              </w:rPr>
            </w:pPr>
            <w:r>
              <w:rPr>
                <w:rFonts w:ascii="Arial" w:hAnsi="Arial" w:cs="Arial"/>
              </w:rPr>
              <w:t>5</w:t>
            </w:r>
          </w:p>
        </w:tc>
        <w:tc>
          <w:tcPr>
            <w:tcW w:w="1276" w:type="dxa"/>
            <w:tcBorders>
              <w:top w:val="nil"/>
              <w:left w:val="nil"/>
              <w:bottom w:val="nil"/>
              <w:right w:val="nil"/>
            </w:tcBorders>
            <w:shd w:val="clear" w:color="000000" w:fill="FFFFFF"/>
            <w:vAlign w:val="center"/>
            <w:hideMark/>
          </w:tcPr>
          <w:p w14:paraId="0C99C447" w14:textId="2107338F" w:rsidR="005F269E" w:rsidRPr="00F64B0D" w:rsidRDefault="005F269E" w:rsidP="005F269E">
            <w:pPr>
              <w:jc w:val="right"/>
              <w:rPr>
                <w:rFonts w:ascii="Arial" w:hAnsi="Arial" w:cs="Arial"/>
              </w:rPr>
            </w:pPr>
            <w:r w:rsidRPr="00F64B0D">
              <w:rPr>
                <w:rFonts w:ascii="Arial" w:hAnsi="Arial" w:cs="Arial"/>
              </w:rPr>
              <w:t>4</w:t>
            </w:r>
            <w:r>
              <w:rPr>
                <w:rFonts w:ascii="Arial" w:hAnsi="Arial" w:cs="Arial"/>
              </w:rPr>
              <w:t>32</w:t>
            </w:r>
          </w:p>
        </w:tc>
        <w:tc>
          <w:tcPr>
            <w:tcW w:w="1417" w:type="dxa"/>
            <w:tcBorders>
              <w:top w:val="nil"/>
              <w:left w:val="nil"/>
              <w:bottom w:val="nil"/>
              <w:right w:val="single" w:sz="8" w:space="0" w:color="auto"/>
            </w:tcBorders>
            <w:shd w:val="clear" w:color="000000" w:fill="CCCCCC"/>
            <w:vAlign w:val="center"/>
            <w:hideMark/>
          </w:tcPr>
          <w:p w14:paraId="020BA1D4" w14:textId="36F37E02" w:rsidR="005F269E" w:rsidRPr="00F64B0D" w:rsidRDefault="005F269E" w:rsidP="005F269E">
            <w:pPr>
              <w:jc w:val="right"/>
              <w:rPr>
                <w:rFonts w:ascii="Arial" w:hAnsi="Arial" w:cs="Arial"/>
              </w:rPr>
            </w:pPr>
            <w:r>
              <w:rPr>
                <w:rFonts w:ascii="Arial" w:hAnsi="Arial" w:cs="Arial"/>
              </w:rPr>
              <w:t>463</w:t>
            </w:r>
          </w:p>
        </w:tc>
        <w:tc>
          <w:tcPr>
            <w:tcW w:w="1243" w:type="dxa"/>
            <w:tcBorders>
              <w:top w:val="nil"/>
              <w:left w:val="nil"/>
              <w:bottom w:val="nil"/>
              <w:right w:val="nil"/>
            </w:tcBorders>
            <w:shd w:val="clear" w:color="000000" w:fill="FFFFFF"/>
            <w:vAlign w:val="center"/>
            <w:hideMark/>
          </w:tcPr>
          <w:p w14:paraId="134BE0D0" w14:textId="5130E786" w:rsidR="005F269E" w:rsidRPr="00F64B0D" w:rsidRDefault="005F269E" w:rsidP="005F269E">
            <w:pPr>
              <w:jc w:val="right"/>
              <w:rPr>
                <w:rFonts w:ascii="Arial" w:hAnsi="Arial" w:cs="Arial"/>
              </w:rPr>
            </w:pPr>
            <w:r w:rsidRPr="00F64B0D">
              <w:rPr>
                <w:rFonts w:ascii="Arial" w:hAnsi="Arial" w:cs="Arial"/>
              </w:rPr>
              <w:t>4</w:t>
            </w:r>
            <w:r>
              <w:rPr>
                <w:rFonts w:ascii="Arial" w:hAnsi="Arial" w:cs="Arial"/>
              </w:rPr>
              <w:t>3</w:t>
            </w:r>
            <w:r w:rsidRPr="00F64B0D">
              <w:rPr>
                <w:rFonts w:ascii="Arial" w:hAnsi="Arial" w:cs="Arial"/>
              </w:rPr>
              <w:t>7</w:t>
            </w:r>
          </w:p>
        </w:tc>
        <w:tc>
          <w:tcPr>
            <w:tcW w:w="1343" w:type="dxa"/>
            <w:tcBorders>
              <w:top w:val="nil"/>
              <w:left w:val="nil"/>
              <w:bottom w:val="nil"/>
              <w:right w:val="single" w:sz="8" w:space="0" w:color="auto"/>
            </w:tcBorders>
            <w:shd w:val="clear" w:color="000000" w:fill="CCCCCC"/>
            <w:vAlign w:val="center"/>
            <w:hideMark/>
          </w:tcPr>
          <w:p w14:paraId="60FC5824" w14:textId="2DE25C7F" w:rsidR="005F269E" w:rsidRPr="00F64B0D" w:rsidRDefault="005F269E" w:rsidP="005F269E">
            <w:pPr>
              <w:jc w:val="right"/>
              <w:rPr>
                <w:rFonts w:ascii="Arial" w:hAnsi="Arial" w:cs="Arial"/>
              </w:rPr>
            </w:pPr>
            <w:r>
              <w:rPr>
                <w:rFonts w:ascii="Arial" w:hAnsi="Arial" w:cs="Arial"/>
              </w:rPr>
              <w:t>468</w:t>
            </w:r>
          </w:p>
        </w:tc>
      </w:tr>
      <w:tr w:rsidR="005F269E" w:rsidRPr="00F64B0D" w14:paraId="17F39DA6"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42797765" w14:textId="77777777" w:rsidR="005F269E" w:rsidRPr="00F64B0D" w:rsidRDefault="005F269E" w:rsidP="005F269E">
            <w:pPr>
              <w:rPr>
                <w:rFonts w:ascii="Arial" w:hAnsi="Arial" w:cs="Arial"/>
                <w:b/>
                <w:bCs/>
                <w:color w:val="000000"/>
              </w:rPr>
            </w:pPr>
            <w:r w:rsidRPr="00F64B0D">
              <w:rPr>
                <w:rFonts w:ascii="Arial" w:hAnsi="Arial" w:cs="Arial"/>
                <w:b/>
                <w:bCs/>
                <w:color w:val="000000"/>
              </w:rPr>
              <w:t>Financing and Investment Income and Expenditure</w:t>
            </w:r>
            <w:r w:rsidRPr="00F64B0D">
              <w:rPr>
                <w:rFonts w:ascii="Arial" w:hAnsi="Arial" w:cs="Arial"/>
                <w:b/>
                <w:bCs/>
                <w:i/>
                <w:iCs/>
                <w:color w:val="000000"/>
              </w:rPr>
              <w:t>:</w:t>
            </w:r>
          </w:p>
        </w:tc>
        <w:tc>
          <w:tcPr>
            <w:tcW w:w="992" w:type="dxa"/>
            <w:tcBorders>
              <w:top w:val="nil"/>
              <w:left w:val="single" w:sz="8" w:space="0" w:color="auto"/>
              <w:bottom w:val="nil"/>
              <w:right w:val="nil"/>
            </w:tcBorders>
            <w:shd w:val="clear" w:color="000000" w:fill="FFFFFF"/>
            <w:vAlign w:val="center"/>
            <w:hideMark/>
          </w:tcPr>
          <w:p w14:paraId="48E63728" w14:textId="1B770A04" w:rsidR="005F269E" w:rsidRPr="00F64B0D" w:rsidRDefault="005F269E" w:rsidP="005F269E">
            <w:pPr>
              <w:jc w:val="right"/>
              <w:rPr>
                <w:rFonts w:ascii="Arial" w:hAnsi="Arial" w:cs="Arial"/>
              </w:rPr>
            </w:pPr>
          </w:p>
        </w:tc>
        <w:tc>
          <w:tcPr>
            <w:tcW w:w="1134" w:type="dxa"/>
            <w:tcBorders>
              <w:top w:val="nil"/>
              <w:left w:val="nil"/>
              <w:bottom w:val="nil"/>
              <w:right w:val="single" w:sz="8" w:space="0" w:color="auto"/>
            </w:tcBorders>
            <w:shd w:val="clear" w:color="000000" w:fill="CCCCCC"/>
            <w:vAlign w:val="center"/>
            <w:hideMark/>
          </w:tcPr>
          <w:p w14:paraId="42DECEBA" w14:textId="0E41C73C" w:rsidR="005F269E" w:rsidRPr="00F64B0D" w:rsidRDefault="005F269E" w:rsidP="005F269E">
            <w:pPr>
              <w:jc w:val="right"/>
              <w:rPr>
                <w:rFonts w:ascii="Arial" w:hAnsi="Arial" w:cs="Arial"/>
              </w:rPr>
            </w:pPr>
            <w:r>
              <w:rPr>
                <w:rFonts w:ascii="Arial" w:hAnsi="Arial" w:cs="Arial"/>
              </w:rPr>
              <w:t> </w:t>
            </w:r>
          </w:p>
        </w:tc>
        <w:tc>
          <w:tcPr>
            <w:tcW w:w="1276" w:type="dxa"/>
            <w:tcBorders>
              <w:top w:val="nil"/>
              <w:left w:val="nil"/>
              <w:bottom w:val="nil"/>
              <w:right w:val="nil"/>
            </w:tcBorders>
            <w:shd w:val="clear" w:color="000000" w:fill="FFFFFF"/>
            <w:vAlign w:val="center"/>
            <w:hideMark/>
          </w:tcPr>
          <w:p w14:paraId="78AD7D33" w14:textId="2C51BC6F" w:rsidR="005F269E" w:rsidRPr="00F64B0D" w:rsidRDefault="005F269E" w:rsidP="005F269E">
            <w:pPr>
              <w:jc w:val="right"/>
              <w:rPr>
                <w:rFonts w:ascii="Arial" w:hAnsi="Arial" w:cs="Arial"/>
              </w:rPr>
            </w:pPr>
          </w:p>
        </w:tc>
        <w:tc>
          <w:tcPr>
            <w:tcW w:w="1417" w:type="dxa"/>
            <w:tcBorders>
              <w:top w:val="nil"/>
              <w:left w:val="nil"/>
              <w:bottom w:val="nil"/>
              <w:right w:val="single" w:sz="8" w:space="0" w:color="auto"/>
            </w:tcBorders>
            <w:shd w:val="clear" w:color="000000" w:fill="CCCCCC"/>
            <w:vAlign w:val="center"/>
            <w:hideMark/>
          </w:tcPr>
          <w:p w14:paraId="32A9003E" w14:textId="4B4EA48A" w:rsidR="005F269E" w:rsidRPr="00F64B0D" w:rsidRDefault="005F269E" w:rsidP="005F269E">
            <w:pPr>
              <w:jc w:val="right"/>
              <w:rPr>
                <w:rFonts w:ascii="Arial" w:hAnsi="Arial" w:cs="Arial"/>
              </w:rPr>
            </w:pPr>
            <w:r>
              <w:rPr>
                <w:rFonts w:ascii="Arial" w:hAnsi="Arial" w:cs="Arial"/>
              </w:rPr>
              <w:t> </w:t>
            </w:r>
          </w:p>
        </w:tc>
        <w:tc>
          <w:tcPr>
            <w:tcW w:w="1243" w:type="dxa"/>
            <w:tcBorders>
              <w:top w:val="nil"/>
              <w:left w:val="nil"/>
              <w:bottom w:val="nil"/>
              <w:right w:val="nil"/>
            </w:tcBorders>
            <w:shd w:val="clear" w:color="000000" w:fill="FFFFFF"/>
            <w:vAlign w:val="center"/>
            <w:hideMark/>
          </w:tcPr>
          <w:p w14:paraId="187B27F6" w14:textId="5C2ED5B2" w:rsidR="005F269E" w:rsidRPr="00F64B0D" w:rsidRDefault="005F269E" w:rsidP="005F269E">
            <w:pPr>
              <w:jc w:val="right"/>
              <w:rPr>
                <w:rFonts w:ascii="Arial" w:hAnsi="Arial" w:cs="Arial"/>
              </w:rPr>
            </w:pPr>
          </w:p>
        </w:tc>
        <w:tc>
          <w:tcPr>
            <w:tcW w:w="1343" w:type="dxa"/>
            <w:tcBorders>
              <w:top w:val="nil"/>
              <w:left w:val="nil"/>
              <w:bottom w:val="nil"/>
              <w:right w:val="single" w:sz="8" w:space="0" w:color="auto"/>
            </w:tcBorders>
            <w:shd w:val="clear" w:color="000000" w:fill="CCCCCC"/>
            <w:vAlign w:val="center"/>
            <w:hideMark/>
          </w:tcPr>
          <w:p w14:paraId="47B8CF40" w14:textId="77A2BAB5" w:rsidR="005F269E" w:rsidRPr="00F64B0D" w:rsidRDefault="005F269E" w:rsidP="005F269E">
            <w:pPr>
              <w:jc w:val="right"/>
              <w:rPr>
                <w:rFonts w:ascii="Arial" w:hAnsi="Arial" w:cs="Arial"/>
              </w:rPr>
            </w:pPr>
            <w:r>
              <w:rPr>
                <w:rFonts w:ascii="Arial" w:hAnsi="Arial" w:cs="Arial"/>
              </w:rPr>
              <w:t> </w:t>
            </w:r>
          </w:p>
        </w:tc>
      </w:tr>
      <w:tr w:rsidR="005F269E" w:rsidRPr="00F64B0D" w14:paraId="7EE86F2E" w14:textId="77777777" w:rsidTr="00FD22A3">
        <w:trPr>
          <w:trHeight w:val="315"/>
        </w:trPr>
        <w:tc>
          <w:tcPr>
            <w:tcW w:w="8222" w:type="dxa"/>
            <w:tcBorders>
              <w:top w:val="nil"/>
              <w:left w:val="single" w:sz="8" w:space="0" w:color="auto"/>
              <w:bottom w:val="nil"/>
              <w:right w:val="nil"/>
            </w:tcBorders>
            <w:shd w:val="clear" w:color="000000" w:fill="CCCCCC"/>
            <w:vAlign w:val="center"/>
            <w:hideMark/>
          </w:tcPr>
          <w:p w14:paraId="77F3A325" w14:textId="77777777" w:rsidR="005F269E" w:rsidRPr="00F64B0D" w:rsidRDefault="005F269E" w:rsidP="005F269E">
            <w:pPr>
              <w:rPr>
                <w:rFonts w:ascii="Symbol" w:hAnsi="Symbol" w:cs="Arial"/>
              </w:rPr>
            </w:pPr>
            <w:r w:rsidRPr="00F64B0D">
              <w:rPr>
                <w:rFonts w:ascii="Symbol" w:hAnsi="Symbol" w:cs="Arial"/>
              </w:rPr>
              <w:t>·</w:t>
            </w:r>
            <w:r w:rsidRPr="00F64B0D">
              <w:rPr>
                <w:sz w:val="14"/>
                <w:szCs w:val="14"/>
              </w:rPr>
              <w:t xml:space="preserve">         </w:t>
            </w:r>
            <w:r w:rsidRPr="00F64B0D">
              <w:rPr>
                <w:rFonts w:ascii="Arial" w:hAnsi="Arial" w:cs="Arial"/>
                <w:color w:val="000000"/>
              </w:rPr>
              <w:t>Net interest expense</w:t>
            </w:r>
          </w:p>
        </w:tc>
        <w:tc>
          <w:tcPr>
            <w:tcW w:w="992" w:type="dxa"/>
            <w:tcBorders>
              <w:top w:val="nil"/>
              <w:left w:val="single" w:sz="8" w:space="0" w:color="auto"/>
              <w:bottom w:val="nil"/>
              <w:right w:val="nil"/>
            </w:tcBorders>
            <w:shd w:val="clear" w:color="000000" w:fill="FFFFFF"/>
            <w:vAlign w:val="center"/>
            <w:hideMark/>
          </w:tcPr>
          <w:p w14:paraId="58C6CB56" w14:textId="34606BE9" w:rsidR="005F269E" w:rsidRPr="00F64B0D" w:rsidRDefault="005F269E" w:rsidP="005F269E">
            <w:pPr>
              <w:jc w:val="right"/>
              <w:rPr>
                <w:rFonts w:ascii="Arial" w:hAnsi="Arial" w:cs="Arial"/>
              </w:rPr>
            </w:pPr>
            <w:r>
              <w:rPr>
                <w:rFonts w:ascii="Arial" w:hAnsi="Arial" w:cs="Arial"/>
              </w:rPr>
              <w:t>(12)</w:t>
            </w:r>
          </w:p>
        </w:tc>
        <w:tc>
          <w:tcPr>
            <w:tcW w:w="1134" w:type="dxa"/>
            <w:tcBorders>
              <w:top w:val="nil"/>
              <w:left w:val="nil"/>
              <w:bottom w:val="nil"/>
              <w:right w:val="single" w:sz="8" w:space="0" w:color="auto"/>
            </w:tcBorders>
            <w:shd w:val="clear" w:color="000000" w:fill="CCCCCC"/>
            <w:vAlign w:val="center"/>
            <w:hideMark/>
          </w:tcPr>
          <w:p w14:paraId="5D7376AF" w14:textId="642262DC" w:rsidR="005F269E" w:rsidRPr="00F64B0D" w:rsidRDefault="005F269E" w:rsidP="005F269E">
            <w:pPr>
              <w:jc w:val="right"/>
              <w:rPr>
                <w:rFonts w:ascii="Arial" w:hAnsi="Arial" w:cs="Arial"/>
              </w:rPr>
            </w:pPr>
            <w:r>
              <w:rPr>
                <w:rFonts w:ascii="Arial" w:hAnsi="Arial" w:cs="Arial"/>
              </w:rPr>
              <w:t>(119)</w:t>
            </w:r>
          </w:p>
        </w:tc>
        <w:tc>
          <w:tcPr>
            <w:tcW w:w="1276" w:type="dxa"/>
            <w:tcBorders>
              <w:top w:val="nil"/>
              <w:left w:val="nil"/>
              <w:bottom w:val="nil"/>
              <w:right w:val="nil"/>
            </w:tcBorders>
            <w:shd w:val="clear" w:color="000000" w:fill="FFFFFF"/>
            <w:vAlign w:val="center"/>
            <w:hideMark/>
          </w:tcPr>
          <w:p w14:paraId="319D0C9D" w14:textId="50AC7D4D" w:rsidR="005F269E" w:rsidRPr="00F64B0D" w:rsidRDefault="005F269E" w:rsidP="005F269E">
            <w:pPr>
              <w:jc w:val="right"/>
              <w:rPr>
                <w:rFonts w:ascii="Arial" w:hAnsi="Arial" w:cs="Arial"/>
              </w:rPr>
            </w:pPr>
            <w:r>
              <w:rPr>
                <w:rFonts w:ascii="Arial" w:hAnsi="Arial" w:cs="Arial"/>
              </w:rPr>
              <w:t>(1,447)</w:t>
            </w:r>
          </w:p>
        </w:tc>
        <w:tc>
          <w:tcPr>
            <w:tcW w:w="1417" w:type="dxa"/>
            <w:tcBorders>
              <w:top w:val="nil"/>
              <w:left w:val="nil"/>
              <w:bottom w:val="nil"/>
              <w:right w:val="single" w:sz="8" w:space="0" w:color="auto"/>
            </w:tcBorders>
            <w:shd w:val="clear" w:color="000000" w:fill="CCCCCC"/>
            <w:vAlign w:val="center"/>
            <w:hideMark/>
          </w:tcPr>
          <w:p w14:paraId="70F9B23B" w14:textId="7E92D63A" w:rsidR="005F269E" w:rsidRPr="00F64B0D" w:rsidRDefault="005F269E" w:rsidP="005F269E">
            <w:pPr>
              <w:jc w:val="right"/>
              <w:rPr>
                <w:rFonts w:ascii="Arial" w:hAnsi="Arial" w:cs="Arial"/>
              </w:rPr>
            </w:pPr>
            <w:r>
              <w:rPr>
                <w:rFonts w:ascii="Arial" w:hAnsi="Arial" w:cs="Arial"/>
              </w:rPr>
              <w:t>97</w:t>
            </w:r>
          </w:p>
        </w:tc>
        <w:tc>
          <w:tcPr>
            <w:tcW w:w="1243" w:type="dxa"/>
            <w:tcBorders>
              <w:top w:val="nil"/>
              <w:left w:val="nil"/>
              <w:bottom w:val="nil"/>
              <w:right w:val="nil"/>
            </w:tcBorders>
            <w:shd w:val="clear" w:color="000000" w:fill="FFFFFF"/>
            <w:vAlign w:val="center"/>
            <w:hideMark/>
          </w:tcPr>
          <w:p w14:paraId="36378169" w14:textId="23E6ACC4" w:rsidR="005F269E" w:rsidRPr="00F64B0D" w:rsidRDefault="005F269E" w:rsidP="005F269E">
            <w:pPr>
              <w:jc w:val="right"/>
              <w:rPr>
                <w:rFonts w:ascii="Arial" w:hAnsi="Arial" w:cs="Arial"/>
              </w:rPr>
            </w:pPr>
            <w:r>
              <w:rPr>
                <w:rFonts w:ascii="Arial" w:hAnsi="Arial" w:cs="Arial"/>
              </w:rPr>
              <w:t>(1,459)</w:t>
            </w:r>
          </w:p>
        </w:tc>
        <w:tc>
          <w:tcPr>
            <w:tcW w:w="1343" w:type="dxa"/>
            <w:tcBorders>
              <w:top w:val="nil"/>
              <w:left w:val="nil"/>
              <w:bottom w:val="nil"/>
              <w:right w:val="single" w:sz="8" w:space="0" w:color="auto"/>
            </w:tcBorders>
            <w:shd w:val="clear" w:color="000000" w:fill="CCCCCC"/>
            <w:vAlign w:val="center"/>
            <w:hideMark/>
          </w:tcPr>
          <w:p w14:paraId="0A6C7C47" w14:textId="4515FA18" w:rsidR="005F269E" w:rsidRPr="00F64B0D" w:rsidRDefault="005F269E" w:rsidP="005F269E">
            <w:pPr>
              <w:jc w:val="right"/>
              <w:rPr>
                <w:rFonts w:ascii="Arial" w:hAnsi="Arial" w:cs="Arial"/>
              </w:rPr>
            </w:pPr>
            <w:r>
              <w:rPr>
                <w:rFonts w:ascii="Arial" w:hAnsi="Arial" w:cs="Arial"/>
              </w:rPr>
              <w:t>(22)</w:t>
            </w:r>
          </w:p>
        </w:tc>
      </w:tr>
      <w:tr w:rsidR="005F269E" w:rsidRPr="00F64B0D" w14:paraId="5009F4C6" w14:textId="77777777" w:rsidTr="00FD22A3">
        <w:trPr>
          <w:trHeight w:val="511"/>
        </w:trPr>
        <w:tc>
          <w:tcPr>
            <w:tcW w:w="8222" w:type="dxa"/>
            <w:tcBorders>
              <w:top w:val="nil"/>
              <w:left w:val="single" w:sz="8" w:space="0" w:color="auto"/>
              <w:bottom w:val="nil"/>
              <w:right w:val="nil"/>
            </w:tcBorders>
            <w:shd w:val="clear" w:color="000000" w:fill="CCCCCC"/>
            <w:vAlign w:val="center"/>
            <w:hideMark/>
          </w:tcPr>
          <w:p w14:paraId="35FE2B2D" w14:textId="77777777" w:rsidR="005F269E" w:rsidRPr="00F64B0D" w:rsidRDefault="005F269E" w:rsidP="005F269E">
            <w:pPr>
              <w:rPr>
                <w:rFonts w:ascii="Arial" w:hAnsi="Arial" w:cs="Arial"/>
                <w:b/>
                <w:bCs/>
                <w:color w:val="000000"/>
              </w:rPr>
            </w:pPr>
            <w:r w:rsidRPr="00F64B0D">
              <w:rPr>
                <w:rFonts w:ascii="Arial" w:hAnsi="Arial" w:cs="Arial"/>
                <w:b/>
                <w:bCs/>
                <w:color w:val="000000"/>
              </w:rPr>
              <w:t>Total Post- Employment Benefits Charged to the surplus/deficit on Provision of Services in the CIES</w:t>
            </w:r>
          </w:p>
        </w:tc>
        <w:tc>
          <w:tcPr>
            <w:tcW w:w="992" w:type="dxa"/>
            <w:tcBorders>
              <w:top w:val="single" w:sz="8" w:space="0" w:color="auto"/>
              <w:left w:val="single" w:sz="8" w:space="0" w:color="auto"/>
              <w:bottom w:val="nil"/>
              <w:right w:val="nil"/>
            </w:tcBorders>
            <w:shd w:val="clear" w:color="000000" w:fill="FFFFFF"/>
            <w:vAlign w:val="center"/>
            <w:hideMark/>
          </w:tcPr>
          <w:p w14:paraId="72CB33BD" w14:textId="23764975" w:rsidR="005F269E" w:rsidRPr="00F64B0D" w:rsidRDefault="005F269E" w:rsidP="005F269E">
            <w:pPr>
              <w:jc w:val="right"/>
              <w:rPr>
                <w:rFonts w:ascii="Arial" w:hAnsi="Arial" w:cs="Arial"/>
                <w:b/>
                <w:bCs/>
              </w:rPr>
            </w:pPr>
            <w:r>
              <w:rPr>
                <w:rFonts w:ascii="Arial" w:hAnsi="Arial" w:cs="Arial"/>
                <w:b/>
                <w:bCs/>
              </w:rPr>
              <w:t>123</w:t>
            </w:r>
          </w:p>
        </w:tc>
        <w:tc>
          <w:tcPr>
            <w:tcW w:w="1134" w:type="dxa"/>
            <w:tcBorders>
              <w:top w:val="single" w:sz="8" w:space="0" w:color="auto"/>
              <w:left w:val="nil"/>
              <w:bottom w:val="nil"/>
              <w:right w:val="single" w:sz="8" w:space="0" w:color="auto"/>
            </w:tcBorders>
            <w:shd w:val="clear" w:color="000000" w:fill="CCCCCC"/>
            <w:vAlign w:val="center"/>
            <w:hideMark/>
          </w:tcPr>
          <w:p w14:paraId="788CC40E" w14:textId="69AC0CCD" w:rsidR="005F269E" w:rsidRPr="00F64B0D" w:rsidRDefault="005F269E" w:rsidP="005F269E">
            <w:pPr>
              <w:jc w:val="right"/>
              <w:rPr>
                <w:rFonts w:ascii="Arial" w:hAnsi="Arial" w:cs="Arial"/>
                <w:b/>
                <w:bCs/>
              </w:rPr>
            </w:pPr>
            <w:r>
              <w:rPr>
                <w:rFonts w:ascii="Arial" w:hAnsi="Arial" w:cs="Arial"/>
                <w:b/>
                <w:bCs/>
              </w:rPr>
              <w:t>387</w:t>
            </w:r>
          </w:p>
        </w:tc>
        <w:tc>
          <w:tcPr>
            <w:tcW w:w="1276" w:type="dxa"/>
            <w:tcBorders>
              <w:top w:val="single" w:sz="8" w:space="0" w:color="auto"/>
              <w:left w:val="nil"/>
              <w:bottom w:val="nil"/>
              <w:right w:val="nil"/>
            </w:tcBorders>
            <w:shd w:val="clear" w:color="000000" w:fill="FFFFFF"/>
            <w:vAlign w:val="center"/>
            <w:hideMark/>
          </w:tcPr>
          <w:p w14:paraId="4B4A4A97" w14:textId="7690D09E" w:rsidR="005F269E" w:rsidRPr="00F64B0D" w:rsidRDefault="005F269E" w:rsidP="005F269E">
            <w:pPr>
              <w:jc w:val="right"/>
              <w:rPr>
                <w:rFonts w:ascii="Arial" w:hAnsi="Arial" w:cs="Arial"/>
                <w:b/>
                <w:bCs/>
              </w:rPr>
            </w:pPr>
            <w:r>
              <w:rPr>
                <w:rFonts w:ascii="Arial" w:hAnsi="Arial" w:cs="Arial"/>
                <w:b/>
                <w:bCs/>
              </w:rPr>
              <w:t>10</w:t>
            </w:r>
            <w:r w:rsidRPr="00F64B0D">
              <w:rPr>
                <w:rFonts w:ascii="Arial" w:hAnsi="Arial" w:cs="Arial"/>
                <w:b/>
                <w:bCs/>
              </w:rPr>
              <w:t>,</w:t>
            </w:r>
            <w:r>
              <w:rPr>
                <w:rFonts w:ascii="Arial" w:hAnsi="Arial" w:cs="Arial"/>
                <w:b/>
                <w:bCs/>
              </w:rPr>
              <w:t>88</w:t>
            </w:r>
            <w:r w:rsidRPr="00F64B0D">
              <w:rPr>
                <w:rFonts w:ascii="Arial" w:hAnsi="Arial" w:cs="Arial"/>
                <w:b/>
                <w:bCs/>
              </w:rPr>
              <w:t>5</w:t>
            </w:r>
          </w:p>
        </w:tc>
        <w:tc>
          <w:tcPr>
            <w:tcW w:w="1417" w:type="dxa"/>
            <w:tcBorders>
              <w:top w:val="single" w:sz="8" w:space="0" w:color="auto"/>
              <w:left w:val="nil"/>
              <w:bottom w:val="nil"/>
              <w:right w:val="single" w:sz="8" w:space="0" w:color="auto"/>
            </w:tcBorders>
            <w:shd w:val="clear" w:color="000000" w:fill="CCCCCC"/>
            <w:vAlign w:val="center"/>
            <w:hideMark/>
          </w:tcPr>
          <w:p w14:paraId="7C1C6648" w14:textId="1B7B79B7" w:rsidR="005F269E" w:rsidRPr="00F64B0D" w:rsidRDefault="005F269E" w:rsidP="005F269E">
            <w:pPr>
              <w:jc w:val="right"/>
              <w:rPr>
                <w:rFonts w:ascii="Arial" w:hAnsi="Arial" w:cs="Arial"/>
                <w:b/>
                <w:bCs/>
              </w:rPr>
            </w:pPr>
            <w:r>
              <w:rPr>
                <w:rFonts w:ascii="Arial" w:hAnsi="Arial" w:cs="Arial"/>
                <w:b/>
                <w:bCs/>
              </w:rPr>
              <w:t>12,224</w:t>
            </w:r>
          </w:p>
        </w:tc>
        <w:tc>
          <w:tcPr>
            <w:tcW w:w="1243" w:type="dxa"/>
            <w:tcBorders>
              <w:top w:val="single" w:sz="8" w:space="0" w:color="auto"/>
              <w:left w:val="nil"/>
              <w:bottom w:val="nil"/>
              <w:right w:val="nil"/>
            </w:tcBorders>
            <w:shd w:val="clear" w:color="000000" w:fill="FFFFFF"/>
            <w:vAlign w:val="center"/>
            <w:hideMark/>
          </w:tcPr>
          <w:p w14:paraId="688CD9C8" w14:textId="6CB0DDA0" w:rsidR="005F269E" w:rsidRPr="00F64B0D" w:rsidRDefault="005F269E" w:rsidP="005F269E">
            <w:pPr>
              <w:jc w:val="right"/>
              <w:rPr>
                <w:rFonts w:ascii="Arial" w:hAnsi="Arial" w:cs="Arial"/>
                <w:b/>
                <w:bCs/>
              </w:rPr>
            </w:pPr>
            <w:r>
              <w:rPr>
                <w:rFonts w:ascii="Arial" w:hAnsi="Arial" w:cs="Arial"/>
                <w:b/>
                <w:bCs/>
              </w:rPr>
              <w:t>11</w:t>
            </w:r>
            <w:r w:rsidRPr="00F64B0D">
              <w:rPr>
                <w:rFonts w:ascii="Arial" w:hAnsi="Arial" w:cs="Arial"/>
                <w:b/>
                <w:bCs/>
              </w:rPr>
              <w:t>,</w:t>
            </w:r>
            <w:r>
              <w:rPr>
                <w:rFonts w:ascii="Arial" w:hAnsi="Arial" w:cs="Arial"/>
                <w:b/>
                <w:bCs/>
              </w:rPr>
              <w:t>008</w:t>
            </w:r>
          </w:p>
        </w:tc>
        <w:tc>
          <w:tcPr>
            <w:tcW w:w="1343" w:type="dxa"/>
            <w:tcBorders>
              <w:top w:val="single" w:sz="8" w:space="0" w:color="auto"/>
              <w:left w:val="nil"/>
              <w:bottom w:val="nil"/>
              <w:right w:val="single" w:sz="8" w:space="0" w:color="auto"/>
            </w:tcBorders>
            <w:shd w:val="clear" w:color="000000" w:fill="CCCCCC"/>
            <w:vAlign w:val="center"/>
            <w:hideMark/>
          </w:tcPr>
          <w:p w14:paraId="7E8BB0C8" w14:textId="5E429A79" w:rsidR="005F269E" w:rsidRPr="00F64B0D" w:rsidRDefault="005F269E" w:rsidP="005F269E">
            <w:pPr>
              <w:jc w:val="right"/>
              <w:rPr>
                <w:rFonts w:ascii="Arial" w:hAnsi="Arial" w:cs="Arial"/>
                <w:b/>
                <w:bCs/>
              </w:rPr>
            </w:pPr>
            <w:r>
              <w:rPr>
                <w:rFonts w:ascii="Arial" w:hAnsi="Arial" w:cs="Arial"/>
                <w:b/>
                <w:bCs/>
              </w:rPr>
              <w:t>12,611</w:t>
            </w:r>
          </w:p>
        </w:tc>
      </w:tr>
      <w:tr w:rsidR="00966C9B" w:rsidRPr="00F64B0D" w14:paraId="710DEA7B"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29001D2F" w14:textId="77777777" w:rsidR="00F64B0D" w:rsidRPr="00F64B0D" w:rsidRDefault="00F64B0D" w:rsidP="00F64B0D">
            <w:pPr>
              <w:rPr>
                <w:rFonts w:ascii="Arial" w:hAnsi="Arial" w:cs="Arial"/>
                <w:b/>
                <w:bCs/>
              </w:rPr>
            </w:pPr>
            <w:r w:rsidRPr="00F64B0D">
              <w:rPr>
                <w:rFonts w:ascii="Arial" w:hAnsi="Arial" w:cs="Arial"/>
                <w:b/>
                <w:bCs/>
              </w:rPr>
              <w:t> </w:t>
            </w:r>
          </w:p>
        </w:tc>
        <w:tc>
          <w:tcPr>
            <w:tcW w:w="992" w:type="dxa"/>
            <w:tcBorders>
              <w:top w:val="nil"/>
              <w:left w:val="single" w:sz="8" w:space="0" w:color="auto"/>
              <w:bottom w:val="nil"/>
              <w:right w:val="nil"/>
            </w:tcBorders>
            <w:shd w:val="clear" w:color="000000" w:fill="FFFFFF"/>
            <w:vAlign w:val="center"/>
            <w:hideMark/>
          </w:tcPr>
          <w:p w14:paraId="046C51F8" w14:textId="77777777" w:rsidR="00F64B0D" w:rsidRPr="00F64B0D" w:rsidRDefault="00F64B0D" w:rsidP="00F64B0D">
            <w:pPr>
              <w:jc w:val="right"/>
              <w:rPr>
                <w:rFonts w:ascii="Arial" w:hAnsi="Arial" w:cs="Arial"/>
              </w:rPr>
            </w:pPr>
            <w:r w:rsidRPr="00F64B0D">
              <w:rPr>
                <w:rFonts w:ascii="Arial" w:hAnsi="Arial" w:cs="Arial"/>
              </w:rPr>
              <w:t> </w:t>
            </w:r>
          </w:p>
        </w:tc>
        <w:tc>
          <w:tcPr>
            <w:tcW w:w="1134" w:type="dxa"/>
            <w:tcBorders>
              <w:top w:val="nil"/>
              <w:left w:val="nil"/>
              <w:bottom w:val="nil"/>
              <w:right w:val="single" w:sz="8" w:space="0" w:color="auto"/>
            </w:tcBorders>
            <w:shd w:val="clear" w:color="000000" w:fill="CCCCCC"/>
            <w:vAlign w:val="center"/>
            <w:hideMark/>
          </w:tcPr>
          <w:p w14:paraId="4A914BEB" w14:textId="77777777" w:rsidR="00F64B0D" w:rsidRPr="00F64B0D" w:rsidRDefault="00F64B0D" w:rsidP="00F64B0D">
            <w:pPr>
              <w:jc w:val="right"/>
              <w:rPr>
                <w:rFonts w:ascii="Arial" w:hAnsi="Arial" w:cs="Arial"/>
              </w:rPr>
            </w:pPr>
            <w:r w:rsidRPr="00F64B0D">
              <w:rPr>
                <w:rFonts w:ascii="Arial" w:hAnsi="Arial" w:cs="Arial"/>
              </w:rPr>
              <w:t> </w:t>
            </w:r>
          </w:p>
        </w:tc>
        <w:tc>
          <w:tcPr>
            <w:tcW w:w="1276" w:type="dxa"/>
            <w:tcBorders>
              <w:top w:val="nil"/>
              <w:left w:val="nil"/>
              <w:bottom w:val="nil"/>
              <w:right w:val="nil"/>
            </w:tcBorders>
            <w:shd w:val="clear" w:color="000000" w:fill="FFFFFF"/>
            <w:vAlign w:val="center"/>
            <w:hideMark/>
          </w:tcPr>
          <w:p w14:paraId="431A5262" w14:textId="77777777" w:rsidR="00F64B0D" w:rsidRPr="00F64B0D" w:rsidRDefault="00F64B0D" w:rsidP="00F64B0D">
            <w:pPr>
              <w:jc w:val="right"/>
              <w:rPr>
                <w:rFonts w:ascii="Arial" w:hAnsi="Arial" w:cs="Arial"/>
              </w:rPr>
            </w:pPr>
            <w:r w:rsidRPr="00F64B0D">
              <w:rPr>
                <w:rFonts w:ascii="Arial" w:hAnsi="Arial" w:cs="Arial"/>
              </w:rPr>
              <w:t> </w:t>
            </w:r>
          </w:p>
        </w:tc>
        <w:tc>
          <w:tcPr>
            <w:tcW w:w="1417" w:type="dxa"/>
            <w:tcBorders>
              <w:top w:val="nil"/>
              <w:left w:val="nil"/>
              <w:bottom w:val="nil"/>
              <w:right w:val="single" w:sz="8" w:space="0" w:color="auto"/>
            </w:tcBorders>
            <w:shd w:val="clear" w:color="000000" w:fill="CCCCCC"/>
            <w:vAlign w:val="center"/>
            <w:hideMark/>
          </w:tcPr>
          <w:p w14:paraId="63D75589" w14:textId="77777777" w:rsidR="00F64B0D" w:rsidRPr="00F64B0D" w:rsidRDefault="00F64B0D" w:rsidP="00F64B0D">
            <w:pPr>
              <w:jc w:val="right"/>
              <w:rPr>
                <w:rFonts w:ascii="Arial" w:hAnsi="Arial" w:cs="Arial"/>
              </w:rPr>
            </w:pPr>
            <w:r w:rsidRPr="00F64B0D">
              <w:rPr>
                <w:rFonts w:ascii="Arial" w:hAnsi="Arial" w:cs="Arial"/>
              </w:rPr>
              <w:t> </w:t>
            </w:r>
          </w:p>
        </w:tc>
        <w:tc>
          <w:tcPr>
            <w:tcW w:w="1243" w:type="dxa"/>
            <w:tcBorders>
              <w:top w:val="nil"/>
              <w:left w:val="nil"/>
              <w:bottom w:val="nil"/>
              <w:right w:val="nil"/>
            </w:tcBorders>
            <w:shd w:val="clear" w:color="000000" w:fill="FFFFFF"/>
            <w:vAlign w:val="center"/>
            <w:hideMark/>
          </w:tcPr>
          <w:p w14:paraId="56F9641A" w14:textId="77777777" w:rsidR="00F64B0D" w:rsidRPr="00F64B0D" w:rsidRDefault="00F64B0D" w:rsidP="00F64B0D">
            <w:pPr>
              <w:jc w:val="right"/>
              <w:rPr>
                <w:rFonts w:ascii="Arial" w:hAnsi="Arial" w:cs="Arial"/>
              </w:rPr>
            </w:pPr>
            <w:r w:rsidRPr="00F64B0D">
              <w:rPr>
                <w:rFonts w:ascii="Arial" w:hAnsi="Arial" w:cs="Arial"/>
              </w:rPr>
              <w:t> </w:t>
            </w:r>
          </w:p>
        </w:tc>
        <w:tc>
          <w:tcPr>
            <w:tcW w:w="1343" w:type="dxa"/>
            <w:tcBorders>
              <w:top w:val="nil"/>
              <w:left w:val="nil"/>
              <w:bottom w:val="nil"/>
              <w:right w:val="single" w:sz="8" w:space="0" w:color="auto"/>
            </w:tcBorders>
            <w:shd w:val="clear" w:color="000000" w:fill="CCCCCC"/>
            <w:vAlign w:val="center"/>
            <w:hideMark/>
          </w:tcPr>
          <w:p w14:paraId="38821289" w14:textId="77777777" w:rsidR="00F64B0D" w:rsidRPr="00F64B0D" w:rsidRDefault="00F64B0D" w:rsidP="00F64B0D">
            <w:pPr>
              <w:jc w:val="right"/>
              <w:rPr>
                <w:rFonts w:ascii="Arial" w:hAnsi="Arial" w:cs="Arial"/>
              </w:rPr>
            </w:pPr>
            <w:r w:rsidRPr="00F64B0D">
              <w:rPr>
                <w:rFonts w:ascii="Arial" w:hAnsi="Arial" w:cs="Arial"/>
              </w:rPr>
              <w:t> </w:t>
            </w:r>
          </w:p>
        </w:tc>
      </w:tr>
      <w:tr w:rsidR="00966C9B" w:rsidRPr="00F64B0D" w14:paraId="2176DAB9" w14:textId="77777777" w:rsidTr="00FD22A3">
        <w:trPr>
          <w:trHeight w:val="511"/>
        </w:trPr>
        <w:tc>
          <w:tcPr>
            <w:tcW w:w="8222" w:type="dxa"/>
            <w:tcBorders>
              <w:top w:val="nil"/>
              <w:left w:val="single" w:sz="8" w:space="0" w:color="auto"/>
              <w:bottom w:val="nil"/>
              <w:right w:val="nil"/>
            </w:tcBorders>
            <w:shd w:val="clear" w:color="000000" w:fill="CCCCCC"/>
            <w:vAlign w:val="center"/>
            <w:hideMark/>
          </w:tcPr>
          <w:p w14:paraId="3DE97349" w14:textId="77777777" w:rsidR="00F64B0D" w:rsidRPr="00F64B0D" w:rsidRDefault="00F64B0D" w:rsidP="00F64B0D">
            <w:pPr>
              <w:rPr>
                <w:rFonts w:ascii="Arial" w:hAnsi="Arial" w:cs="Arial"/>
                <w:b/>
                <w:bCs/>
                <w:color w:val="000000"/>
              </w:rPr>
            </w:pPr>
            <w:r w:rsidRPr="00F64B0D">
              <w:rPr>
                <w:rFonts w:ascii="Arial" w:hAnsi="Arial" w:cs="Arial"/>
                <w:b/>
                <w:bCs/>
                <w:color w:val="000000"/>
              </w:rPr>
              <w:t>Other Post Employment Benefit charged to the Comprehensive Income and Expenditure Statement</w:t>
            </w:r>
          </w:p>
        </w:tc>
        <w:tc>
          <w:tcPr>
            <w:tcW w:w="992" w:type="dxa"/>
            <w:tcBorders>
              <w:top w:val="nil"/>
              <w:left w:val="single" w:sz="8" w:space="0" w:color="auto"/>
              <w:bottom w:val="nil"/>
              <w:right w:val="nil"/>
            </w:tcBorders>
            <w:shd w:val="clear" w:color="000000" w:fill="FFFFFF"/>
            <w:vAlign w:val="center"/>
            <w:hideMark/>
          </w:tcPr>
          <w:p w14:paraId="3FF88213" w14:textId="77777777" w:rsidR="00F64B0D" w:rsidRPr="00F64B0D" w:rsidRDefault="00F64B0D" w:rsidP="00F64B0D">
            <w:pPr>
              <w:jc w:val="right"/>
              <w:rPr>
                <w:rFonts w:ascii="Arial" w:hAnsi="Arial" w:cs="Arial"/>
              </w:rPr>
            </w:pPr>
            <w:r w:rsidRPr="00F64B0D">
              <w:rPr>
                <w:rFonts w:ascii="Arial" w:hAnsi="Arial" w:cs="Arial"/>
              </w:rPr>
              <w:t> </w:t>
            </w:r>
          </w:p>
        </w:tc>
        <w:tc>
          <w:tcPr>
            <w:tcW w:w="1134" w:type="dxa"/>
            <w:tcBorders>
              <w:top w:val="nil"/>
              <w:left w:val="nil"/>
              <w:bottom w:val="nil"/>
              <w:right w:val="single" w:sz="8" w:space="0" w:color="auto"/>
            </w:tcBorders>
            <w:shd w:val="clear" w:color="000000" w:fill="CCCCCC"/>
            <w:vAlign w:val="center"/>
            <w:hideMark/>
          </w:tcPr>
          <w:p w14:paraId="3BA2E27A" w14:textId="77777777" w:rsidR="00F64B0D" w:rsidRPr="00F64B0D" w:rsidRDefault="00F64B0D" w:rsidP="00F64B0D">
            <w:pPr>
              <w:jc w:val="right"/>
              <w:rPr>
                <w:rFonts w:ascii="Arial" w:hAnsi="Arial" w:cs="Arial"/>
              </w:rPr>
            </w:pPr>
            <w:r w:rsidRPr="00F64B0D">
              <w:rPr>
                <w:rFonts w:ascii="Arial" w:hAnsi="Arial" w:cs="Arial"/>
              </w:rPr>
              <w:t> </w:t>
            </w:r>
          </w:p>
        </w:tc>
        <w:tc>
          <w:tcPr>
            <w:tcW w:w="1276" w:type="dxa"/>
            <w:tcBorders>
              <w:top w:val="nil"/>
              <w:left w:val="nil"/>
              <w:bottom w:val="nil"/>
              <w:right w:val="nil"/>
            </w:tcBorders>
            <w:shd w:val="clear" w:color="000000" w:fill="FFFFFF"/>
            <w:vAlign w:val="center"/>
            <w:hideMark/>
          </w:tcPr>
          <w:p w14:paraId="72D73869" w14:textId="77777777" w:rsidR="00F64B0D" w:rsidRPr="00F64B0D" w:rsidRDefault="00F64B0D" w:rsidP="00F64B0D">
            <w:pPr>
              <w:jc w:val="right"/>
              <w:rPr>
                <w:rFonts w:ascii="Arial" w:hAnsi="Arial" w:cs="Arial"/>
              </w:rPr>
            </w:pPr>
            <w:r w:rsidRPr="00F64B0D">
              <w:rPr>
                <w:rFonts w:ascii="Arial" w:hAnsi="Arial" w:cs="Arial"/>
              </w:rPr>
              <w:t> </w:t>
            </w:r>
          </w:p>
        </w:tc>
        <w:tc>
          <w:tcPr>
            <w:tcW w:w="1417" w:type="dxa"/>
            <w:tcBorders>
              <w:top w:val="nil"/>
              <w:left w:val="nil"/>
              <w:bottom w:val="nil"/>
              <w:right w:val="single" w:sz="8" w:space="0" w:color="auto"/>
            </w:tcBorders>
            <w:shd w:val="clear" w:color="000000" w:fill="CCCCCC"/>
            <w:vAlign w:val="center"/>
            <w:hideMark/>
          </w:tcPr>
          <w:p w14:paraId="459C0908" w14:textId="77777777" w:rsidR="00F64B0D" w:rsidRPr="00F64B0D" w:rsidRDefault="00F64B0D" w:rsidP="00F64B0D">
            <w:pPr>
              <w:jc w:val="right"/>
              <w:rPr>
                <w:rFonts w:ascii="Arial" w:hAnsi="Arial" w:cs="Arial"/>
              </w:rPr>
            </w:pPr>
            <w:r w:rsidRPr="00F64B0D">
              <w:rPr>
                <w:rFonts w:ascii="Arial" w:hAnsi="Arial" w:cs="Arial"/>
              </w:rPr>
              <w:t> </w:t>
            </w:r>
          </w:p>
        </w:tc>
        <w:tc>
          <w:tcPr>
            <w:tcW w:w="1243" w:type="dxa"/>
            <w:tcBorders>
              <w:top w:val="nil"/>
              <w:left w:val="nil"/>
              <w:bottom w:val="nil"/>
              <w:right w:val="nil"/>
            </w:tcBorders>
            <w:shd w:val="clear" w:color="000000" w:fill="FFFFFF"/>
            <w:vAlign w:val="center"/>
            <w:hideMark/>
          </w:tcPr>
          <w:p w14:paraId="0E135F89" w14:textId="77777777" w:rsidR="00F64B0D" w:rsidRPr="00F64B0D" w:rsidRDefault="00F64B0D" w:rsidP="00F64B0D">
            <w:pPr>
              <w:jc w:val="right"/>
              <w:rPr>
                <w:rFonts w:ascii="Arial" w:hAnsi="Arial" w:cs="Arial"/>
              </w:rPr>
            </w:pPr>
            <w:r w:rsidRPr="00F64B0D">
              <w:rPr>
                <w:rFonts w:ascii="Arial" w:hAnsi="Arial" w:cs="Arial"/>
              </w:rPr>
              <w:t> </w:t>
            </w:r>
          </w:p>
        </w:tc>
        <w:tc>
          <w:tcPr>
            <w:tcW w:w="1343" w:type="dxa"/>
            <w:tcBorders>
              <w:top w:val="nil"/>
              <w:left w:val="nil"/>
              <w:bottom w:val="nil"/>
              <w:right w:val="single" w:sz="8" w:space="0" w:color="auto"/>
            </w:tcBorders>
            <w:shd w:val="clear" w:color="000000" w:fill="CCCCCC"/>
            <w:vAlign w:val="center"/>
            <w:hideMark/>
          </w:tcPr>
          <w:p w14:paraId="1844C644" w14:textId="77777777" w:rsidR="00F64B0D" w:rsidRPr="00F64B0D" w:rsidRDefault="00F64B0D" w:rsidP="00F64B0D">
            <w:pPr>
              <w:jc w:val="right"/>
              <w:rPr>
                <w:rFonts w:ascii="Arial" w:hAnsi="Arial" w:cs="Arial"/>
              </w:rPr>
            </w:pPr>
            <w:r w:rsidRPr="00F64B0D">
              <w:rPr>
                <w:rFonts w:ascii="Arial" w:hAnsi="Arial" w:cs="Arial"/>
              </w:rPr>
              <w:t> </w:t>
            </w:r>
          </w:p>
        </w:tc>
      </w:tr>
      <w:tr w:rsidR="00A02571" w:rsidRPr="00F64B0D" w14:paraId="3878184F"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67B1B1A3" w14:textId="77777777" w:rsidR="00A02571" w:rsidRPr="00F64B0D" w:rsidRDefault="00A02571" w:rsidP="00A02571">
            <w:pPr>
              <w:rPr>
                <w:rFonts w:ascii="Symbol" w:hAnsi="Symbol" w:cs="Arial"/>
              </w:rPr>
            </w:pPr>
            <w:r w:rsidRPr="00F64B0D">
              <w:rPr>
                <w:rFonts w:ascii="Symbol" w:hAnsi="Symbol" w:cs="Arial"/>
              </w:rPr>
              <w:t>·</w:t>
            </w:r>
            <w:r w:rsidRPr="00F64B0D">
              <w:rPr>
                <w:sz w:val="14"/>
                <w:szCs w:val="14"/>
              </w:rPr>
              <w:t xml:space="preserve">         </w:t>
            </w:r>
            <w:r w:rsidRPr="00F64B0D">
              <w:rPr>
                <w:rFonts w:ascii="Arial" w:hAnsi="Arial" w:cs="Arial"/>
                <w:color w:val="000000"/>
              </w:rPr>
              <w:t>Re-measurements (assets)</w:t>
            </w:r>
          </w:p>
        </w:tc>
        <w:tc>
          <w:tcPr>
            <w:tcW w:w="992" w:type="dxa"/>
            <w:tcBorders>
              <w:top w:val="nil"/>
              <w:left w:val="single" w:sz="8" w:space="0" w:color="auto"/>
              <w:bottom w:val="nil"/>
              <w:right w:val="nil"/>
            </w:tcBorders>
            <w:shd w:val="clear" w:color="000000" w:fill="FFFFFF"/>
            <w:vAlign w:val="center"/>
            <w:hideMark/>
          </w:tcPr>
          <w:p w14:paraId="26F8B087" w14:textId="65CA5D6C" w:rsidR="00A02571" w:rsidRPr="00F64B0D" w:rsidRDefault="00A02571" w:rsidP="00A02571">
            <w:pPr>
              <w:jc w:val="right"/>
              <w:rPr>
                <w:rFonts w:ascii="Arial" w:hAnsi="Arial" w:cs="Arial"/>
              </w:rPr>
            </w:pPr>
            <w:r w:rsidRPr="00F64B0D">
              <w:rPr>
                <w:rFonts w:ascii="Arial" w:hAnsi="Arial" w:cs="Arial"/>
              </w:rPr>
              <w:t>(</w:t>
            </w:r>
            <w:r>
              <w:rPr>
                <w:rFonts w:ascii="Arial" w:hAnsi="Arial" w:cs="Arial"/>
              </w:rPr>
              <w:t>302</w:t>
            </w:r>
            <w:r w:rsidRPr="00F64B0D">
              <w:rPr>
                <w:rFonts w:ascii="Arial" w:hAnsi="Arial" w:cs="Arial"/>
              </w:rPr>
              <w:t>)</w:t>
            </w:r>
          </w:p>
        </w:tc>
        <w:tc>
          <w:tcPr>
            <w:tcW w:w="1134" w:type="dxa"/>
            <w:tcBorders>
              <w:top w:val="nil"/>
              <w:left w:val="nil"/>
              <w:bottom w:val="nil"/>
              <w:right w:val="single" w:sz="8" w:space="0" w:color="auto"/>
            </w:tcBorders>
            <w:shd w:val="clear" w:color="000000" w:fill="CCCCCC"/>
            <w:vAlign w:val="center"/>
            <w:hideMark/>
          </w:tcPr>
          <w:p w14:paraId="2D98FD9E" w14:textId="51498DBA" w:rsidR="00A02571" w:rsidRPr="00F64B0D" w:rsidRDefault="00A02571" w:rsidP="00A02571">
            <w:pPr>
              <w:jc w:val="right"/>
              <w:rPr>
                <w:rFonts w:ascii="Arial" w:hAnsi="Arial" w:cs="Arial"/>
              </w:rPr>
            </w:pPr>
            <w:r>
              <w:rPr>
                <w:rFonts w:ascii="Arial" w:hAnsi="Arial" w:cs="Arial"/>
              </w:rPr>
              <w:t>143</w:t>
            </w:r>
          </w:p>
        </w:tc>
        <w:tc>
          <w:tcPr>
            <w:tcW w:w="1276" w:type="dxa"/>
            <w:tcBorders>
              <w:top w:val="nil"/>
              <w:left w:val="nil"/>
              <w:bottom w:val="nil"/>
              <w:right w:val="nil"/>
            </w:tcBorders>
            <w:shd w:val="clear" w:color="000000" w:fill="FFFFFF"/>
            <w:vAlign w:val="center"/>
            <w:hideMark/>
          </w:tcPr>
          <w:p w14:paraId="61465051" w14:textId="27CB03F7" w:rsidR="00A02571" w:rsidRPr="00F64B0D" w:rsidRDefault="00A02571" w:rsidP="00A02571">
            <w:pPr>
              <w:jc w:val="right"/>
              <w:rPr>
                <w:rFonts w:ascii="Arial" w:hAnsi="Arial" w:cs="Arial"/>
              </w:rPr>
            </w:pPr>
            <w:r w:rsidRPr="00F64B0D">
              <w:rPr>
                <w:rFonts w:ascii="Arial" w:hAnsi="Arial" w:cs="Arial"/>
              </w:rPr>
              <w:t>(1</w:t>
            </w:r>
            <w:r>
              <w:rPr>
                <w:rFonts w:ascii="Arial" w:hAnsi="Arial" w:cs="Arial"/>
              </w:rPr>
              <w:t>9</w:t>
            </w:r>
            <w:r w:rsidRPr="00F64B0D">
              <w:rPr>
                <w:rFonts w:ascii="Arial" w:hAnsi="Arial" w:cs="Arial"/>
              </w:rPr>
              <w:t>,</w:t>
            </w:r>
            <w:r>
              <w:rPr>
                <w:rFonts w:ascii="Arial" w:hAnsi="Arial" w:cs="Arial"/>
              </w:rPr>
              <w:t>447</w:t>
            </w:r>
            <w:r w:rsidRPr="00F64B0D">
              <w:rPr>
                <w:rFonts w:ascii="Arial" w:hAnsi="Arial" w:cs="Arial"/>
              </w:rPr>
              <w:t>)</w:t>
            </w:r>
          </w:p>
        </w:tc>
        <w:tc>
          <w:tcPr>
            <w:tcW w:w="1417" w:type="dxa"/>
            <w:tcBorders>
              <w:top w:val="nil"/>
              <w:left w:val="nil"/>
              <w:bottom w:val="nil"/>
              <w:right w:val="single" w:sz="8" w:space="0" w:color="auto"/>
            </w:tcBorders>
            <w:shd w:val="clear" w:color="000000" w:fill="CCCCCC"/>
            <w:vAlign w:val="center"/>
            <w:hideMark/>
          </w:tcPr>
          <w:p w14:paraId="61841CEC" w14:textId="29CE6ED7" w:rsidR="00A02571" w:rsidRPr="00F64B0D" w:rsidRDefault="00A02571" w:rsidP="00A02571">
            <w:pPr>
              <w:jc w:val="right"/>
              <w:rPr>
                <w:rFonts w:ascii="Arial" w:hAnsi="Arial" w:cs="Arial"/>
              </w:rPr>
            </w:pPr>
            <w:r>
              <w:rPr>
                <w:rFonts w:ascii="Arial" w:hAnsi="Arial" w:cs="Arial"/>
              </w:rPr>
              <w:t>9,110</w:t>
            </w:r>
          </w:p>
        </w:tc>
        <w:tc>
          <w:tcPr>
            <w:tcW w:w="1243" w:type="dxa"/>
            <w:tcBorders>
              <w:top w:val="nil"/>
              <w:left w:val="nil"/>
              <w:bottom w:val="nil"/>
              <w:right w:val="nil"/>
            </w:tcBorders>
            <w:shd w:val="clear" w:color="000000" w:fill="FFFFFF"/>
            <w:vAlign w:val="center"/>
            <w:hideMark/>
          </w:tcPr>
          <w:p w14:paraId="24568059" w14:textId="4C22DBF3" w:rsidR="00A02571" w:rsidRPr="00F64B0D" w:rsidRDefault="00A02571" w:rsidP="00A02571">
            <w:pPr>
              <w:jc w:val="right"/>
              <w:rPr>
                <w:rFonts w:ascii="Arial" w:hAnsi="Arial" w:cs="Arial"/>
              </w:rPr>
            </w:pPr>
            <w:r w:rsidRPr="00F64B0D">
              <w:rPr>
                <w:rFonts w:ascii="Arial" w:hAnsi="Arial" w:cs="Arial"/>
              </w:rPr>
              <w:t>(19</w:t>
            </w:r>
            <w:r>
              <w:rPr>
                <w:rFonts w:ascii="Arial" w:hAnsi="Arial" w:cs="Arial"/>
              </w:rPr>
              <w:t>,7</w:t>
            </w:r>
            <w:r w:rsidRPr="00F64B0D">
              <w:rPr>
                <w:rFonts w:ascii="Arial" w:hAnsi="Arial" w:cs="Arial"/>
              </w:rPr>
              <w:t>4</w:t>
            </w:r>
            <w:r>
              <w:rPr>
                <w:rFonts w:ascii="Arial" w:hAnsi="Arial" w:cs="Arial"/>
              </w:rPr>
              <w:t>9</w:t>
            </w:r>
            <w:r w:rsidRPr="00F64B0D">
              <w:rPr>
                <w:rFonts w:ascii="Arial" w:hAnsi="Arial" w:cs="Arial"/>
              </w:rPr>
              <w:t>)</w:t>
            </w:r>
          </w:p>
        </w:tc>
        <w:tc>
          <w:tcPr>
            <w:tcW w:w="1343" w:type="dxa"/>
            <w:tcBorders>
              <w:top w:val="nil"/>
              <w:left w:val="nil"/>
              <w:bottom w:val="nil"/>
              <w:right w:val="single" w:sz="8" w:space="0" w:color="auto"/>
            </w:tcBorders>
            <w:shd w:val="clear" w:color="000000" w:fill="CCCCCC"/>
            <w:vAlign w:val="center"/>
            <w:hideMark/>
          </w:tcPr>
          <w:p w14:paraId="25869E6A" w14:textId="03EFA32B" w:rsidR="00A02571" w:rsidRPr="00F64B0D" w:rsidRDefault="00A02571" w:rsidP="00A02571">
            <w:pPr>
              <w:jc w:val="right"/>
              <w:rPr>
                <w:rFonts w:ascii="Arial" w:hAnsi="Arial" w:cs="Arial"/>
              </w:rPr>
            </w:pPr>
            <w:r>
              <w:rPr>
                <w:rFonts w:ascii="Arial" w:hAnsi="Arial" w:cs="Arial"/>
              </w:rPr>
              <w:t>9,253</w:t>
            </w:r>
          </w:p>
        </w:tc>
      </w:tr>
      <w:tr w:rsidR="00A02571" w:rsidRPr="00F64B0D" w14:paraId="090AACEA"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72495355" w14:textId="77777777" w:rsidR="00A02571" w:rsidRPr="00F64B0D" w:rsidRDefault="00A02571" w:rsidP="00A02571">
            <w:pPr>
              <w:rPr>
                <w:rFonts w:ascii="Symbol" w:hAnsi="Symbol" w:cs="Arial"/>
              </w:rPr>
            </w:pPr>
            <w:r w:rsidRPr="00F64B0D">
              <w:rPr>
                <w:rFonts w:ascii="Symbol" w:hAnsi="Symbol" w:cs="Arial"/>
              </w:rPr>
              <w:t>·</w:t>
            </w:r>
            <w:r w:rsidRPr="00F64B0D">
              <w:rPr>
                <w:sz w:val="14"/>
                <w:szCs w:val="14"/>
              </w:rPr>
              <w:t xml:space="preserve">         </w:t>
            </w:r>
            <w:r w:rsidRPr="00F64B0D">
              <w:rPr>
                <w:rFonts w:ascii="Arial" w:hAnsi="Arial" w:cs="Arial"/>
                <w:color w:val="000000"/>
              </w:rPr>
              <w:t>Experience (gains)/losses on Liabilities</w:t>
            </w:r>
          </w:p>
        </w:tc>
        <w:tc>
          <w:tcPr>
            <w:tcW w:w="992" w:type="dxa"/>
            <w:tcBorders>
              <w:top w:val="nil"/>
              <w:left w:val="single" w:sz="8" w:space="0" w:color="auto"/>
              <w:bottom w:val="nil"/>
              <w:right w:val="nil"/>
            </w:tcBorders>
            <w:shd w:val="clear" w:color="000000" w:fill="FFFFFF"/>
            <w:vAlign w:val="center"/>
            <w:hideMark/>
          </w:tcPr>
          <w:p w14:paraId="020ECC68" w14:textId="6E7434B7" w:rsidR="00A02571" w:rsidRPr="00F64B0D" w:rsidRDefault="00A02571" w:rsidP="00A02571">
            <w:pPr>
              <w:jc w:val="right"/>
              <w:rPr>
                <w:rFonts w:ascii="Arial" w:hAnsi="Arial" w:cs="Arial"/>
              </w:rPr>
            </w:pPr>
            <w:r>
              <w:rPr>
                <w:rFonts w:ascii="Arial" w:hAnsi="Arial" w:cs="Arial"/>
              </w:rPr>
              <w:t>43</w:t>
            </w:r>
          </w:p>
        </w:tc>
        <w:tc>
          <w:tcPr>
            <w:tcW w:w="1134" w:type="dxa"/>
            <w:tcBorders>
              <w:top w:val="nil"/>
              <w:left w:val="nil"/>
              <w:bottom w:val="nil"/>
              <w:right w:val="single" w:sz="8" w:space="0" w:color="auto"/>
            </w:tcBorders>
            <w:shd w:val="clear" w:color="000000" w:fill="CCCCCC"/>
            <w:vAlign w:val="center"/>
            <w:hideMark/>
          </w:tcPr>
          <w:p w14:paraId="0CC4743F" w14:textId="58AC2701" w:rsidR="00A02571" w:rsidRPr="00F64B0D" w:rsidRDefault="00A02571" w:rsidP="00A02571">
            <w:pPr>
              <w:jc w:val="right"/>
              <w:rPr>
                <w:rFonts w:ascii="Arial" w:hAnsi="Arial" w:cs="Arial"/>
              </w:rPr>
            </w:pPr>
            <w:r>
              <w:rPr>
                <w:rFonts w:ascii="Arial" w:hAnsi="Arial" w:cs="Arial"/>
              </w:rPr>
              <w:t>(6)</w:t>
            </w:r>
          </w:p>
        </w:tc>
        <w:tc>
          <w:tcPr>
            <w:tcW w:w="1276" w:type="dxa"/>
            <w:tcBorders>
              <w:top w:val="nil"/>
              <w:left w:val="nil"/>
              <w:bottom w:val="nil"/>
              <w:right w:val="nil"/>
            </w:tcBorders>
            <w:shd w:val="clear" w:color="000000" w:fill="FFFFFF"/>
            <w:vAlign w:val="center"/>
            <w:hideMark/>
          </w:tcPr>
          <w:p w14:paraId="67AC4CC9" w14:textId="15735CE8" w:rsidR="00A02571" w:rsidRPr="00F64B0D" w:rsidRDefault="00A02571" w:rsidP="00A02571">
            <w:pPr>
              <w:jc w:val="right"/>
              <w:rPr>
                <w:rFonts w:ascii="Arial" w:hAnsi="Arial" w:cs="Arial"/>
              </w:rPr>
            </w:pPr>
            <w:r>
              <w:rPr>
                <w:rFonts w:ascii="Arial" w:hAnsi="Arial" w:cs="Arial"/>
              </w:rPr>
              <w:t>3</w:t>
            </w:r>
            <w:r w:rsidRPr="00F64B0D">
              <w:rPr>
                <w:rFonts w:ascii="Arial" w:hAnsi="Arial" w:cs="Arial"/>
              </w:rPr>
              <w:t>,</w:t>
            </w:r>
            <w:r>
              <w:rPr>
                <w:rFonts w:ascii="Arial" w:hAnsi="Arial" w:cs="Arial"/>
              </w:rPr>
              <w:t>305</w:t>
            </w:r>
          </w:p>
        </w:tc>
        <w:tc>
          <w:tcPr>
            <w:tcW w:w="1417" w:type="dxa"/>
            <w:tcBorders>
              <w:top w:val="nil"/>
              <w:left w:val="nil"/>
              <w:bottom w:val="nil"/>
              <w:right w:val="single" w:sz="8" w:space="0" w:color="auto"/>
            </w:tcBorders>
            <w:shd w:val="clear" w:color="000000" w:fill="CCCCCC"/>
            <w:vAlign w:val="center"/>
            <w:hideMark/>
          </w:tcPr>
          <w:p w14:paraId="580A98D2" w14:textId="77779F8C" w:rsidR="00A02571" w:rsidRPr="00F64B0D" w:rsidRDefault="00A02571" w:rsidP="00A02571">
            <w:pPr>
              <w:jc w:val="right"/>
              <w:rPr>
                <w:rFonts w:ascii="Arial" w:hAnsi="Arial" w:cs="Arial"/>
              </w:rPr>
            </w:pPr>
            <w:r>
              <w:rPr>
                <w:rFonts w:ascii="Arial" w:hAnsi="Arial" w:cs="Arial"/>
              </w:rPr>
              <w:t>(130)</w:t>
            </w:r>
          </w:p>
        </w:tc>
        <w:tc>
          <w:tcPr>
            <w:tcW w:w="1243" w:type="dxa"/>
            <w:tcBorders>
              <w:top w:val="nil"/>
              <w:left w:val="nil"/>
              <w:bottom w:val="nil"/>
              <w:right w:val="nil"/>
            </w:tcBorders>
            <w:shd w:val="clear" w:color="000000" w:fill="FFFFFF"/>
            <w:vAlign w:val="center"/>
            <w:hideMark/>
          </w:tcPr>
          <w:p w14:paraId="29958ABB" w14:textId="0975EE37" w:rsidR="00A02571" w:rsidRPr="00F64B0D" w:rsidRDefault="00A02571" w:rsidP="00A02571">
            <w:pPr>
              <w:jc w:val="right"/>
              <w:rPr>
                <w:rFonts w:ascii="Arial" w:hAnsi="Arial" w:cs="Arial"/>
              </w:rPr>
            </w:pPr>
            <w:r>
              <w:rPr>
                <w:rFonts w:ascii="Arial" w:hAnsi="Arial" w:cs="Arial"/>
              </w:rPr>
              <w:t>3</w:t>
            </w:r>
            <w:r w:rsidRPr="00F64B0D">
              <w:rPr>
                <w:rFonts w:ascii="Arial" w:hAnsi="Arial" w:cs="Arial"/>
              </w:rPr>
              <w:t>,</w:t>
            </w:r>
            <w:r>
              <w:rPr>
                <w:rFonts w:ascii="Arial" w:hAnsi="Arial" w:cs="Arial"/>
              </w:rPr>
              <w:t>348</w:t>
            </w:r>
          </w:p>
        </w:tc>
        <w:tc>
          <w:tcPr>
            <w:tcW w:w="1343" w:type="dxa"/>
            <w:tcBorders>
              <w:top w:val="nil"/>
              <w:left w:val="nil"/>
              <w:bottom w:val="nil"/>
              <w:right w:val="single" w:sz="8" w:space="0" w:color="auto"/>
            </w:tcBorders>
            <w:shd w:val="clear" w:color="000000" w:fill="CCCCCC"/>
            <w:vAlign w:val="center"/>
            <w:hideMark/>
          </w:tcPr>
          <w:p w14:paraId="68F7E4A0" w14:textId="66716EBA" w:rsidR="00A02571" w:rsidRPr="00F64B0D" w:rsidRDefault="00A02571" w:rsidP="00A02571">
            <w:pPr>
              <w:jc w:val="right"/>
              <w:rPr>
                <w:rFonts w:ascii="Arial" w:hAnsi="Arial" w:cs="Arial"/>
              </w:rPr>
            </w:pPr>
            <w:r>
              <w:rPr>
                <w:rFonts w:ascii="Arial" w:hAnsi="Arial" w:cs="Arial"/>
              </w:rPr>
              <w:t>(136)</w:t>
            </w:r>
          </w:p>
        </w:tc>
      </w:tr>
      <w:tr w:rsidR="00A02571" w:rsidRPr="00F64B0D" w14:paraId="79AF5053" w14:textId="77777777" w:rsidTr="00FD22A3">
        <w:trPr>
          <w:trHeight w:val="511"/>
        </w:trPr>
        <w:tc>
          <w:tcPr>
            <w:tcW w:w="8222" w:type="dxa"/>
            <w:tcBorders>
              <w:top w:val="nil"/>
              <w:left w:val="single" w:sz="8" w:space="0" w:color="auto"/>
              <w:bottom w:val="nil"/>
              <w:right w:val="nil"/>
            </w:tcBorders>
            <w:shd w:val="clear" w:color="000000" w:fill="CCCCCC"/>
            <w:vAlign w:val="center"/>
            <w:hideMark/>
          </w:tcPr>
          <w:p w14:paraId="799837DD" w14:textId="77777777" w:rsidR="00A02571" w:rsidRPr="00F64B0D" w:rsidRDefault="00A02571" w:rsidP="00A02571">
            <w:pPr>
              <w:rPr>
                <w:rFonts w:ascii="Symbol" w:hAnsi="Symbol" w:cs="Arial"/>
              </w:rPr>
            </w:pPr>
            <w:r w:rsidRPr="00F64B0D">
              <w:rPr>
                <w:rFonts w:ascii="Symbol" w:hAnsi="Symbol" w:cs="Arial"/>
              </w:rPr>
              <w:t>·</w:t>
            </w:r>
            <w:r w:rsidRPr="00F64B0D">
              <w:rPr>
                <w:sz w:val="14"/>
                <w:szCs w:val="14"/>
              </w:rPr>
              <w:t xml:space="preserve">         </w:t>
            </w:r>
            <w:r w:rsidRPr="00F64B0D">
              <w:rPr>
                <w:rFonts w:ascii="Arial" w:hAnsi="Arial" w:cs="Arial"/>
                <w:color w:val="000000"/>
              </w:rPr>
              <w:t>Actuarial (gains)/losses arising on changes in demographic assumptions</w:t>
            </w:r>
          </w:p>
        </w:tc>
        <w:tc>
          <w:tcPr>
            <w:tcW w:w="992" w:type="dxa"/>
            <w:tcBorders>
              <w:top w:val="nil"/>
              <w:left w:val="single" w:sz="8" w:space="0" w:color="auto"/>
              <w:bottom w:val="nil"/>
              <w:right w:val="nil"/>
            </w:tcBorders>
            <w:shd w:val="clear" w:color="000000" w:fill="FFFFFF"/>
            <w:vAlign w:val="center"/>
            <w:hideMark/>
          </w:tcPr>
          <w:p w14:paraId="5FA41597" w14:textId="7D0957F9" w:rsidR="00A02571" w:rsidRPr="00F64B0D" w:rsidRDefault="00A02571" w:rsidP="00A02571">
            <w:pPr>
              <w:jc w:val="right"/>
              <w:rPr>
                <w:rFonts w:ascii="Arial" w:hAnsi="Arial" w:cs="Arial"/>
              </w:rPr>
            </w:pPr>
            <w:r>
              <w:rPr>
                <w:rFonts w:ascii="Arial" w:hAnsi="Arial" w:cs="Arial"/>
              </w:rPr>
              <w:t>(86)</w:t>
            </w:r>
          </w:p>
        </w:tc>
        <w:tc>
          <w:tcPr>
            <w:tcW w:w="1134" w:type="dxa"/>
            <w:tcBorders>
              <w:top w:val="nil"/>
              <w:left w:val="nil"/>
              <w:bottom w:val="nil"/>
              <w:right w:val="single" w:sz="8" w:space="0" w:color="auto"/>
            </w:tcBorders>
            <w:shd w:val="clear" w:color="000000" w:fill="CCCCCC"/>
            <w:vAlign w:val="center"/>
            <w:hideMark/>
          </w:tcPr>
          <w:p w14:paraId="34DD28E2" w14:textId="2DE5BA03" w:rsidR="00A02571" w:rsidRPr="00F64B0D" w:rsidRDefault="00A02571" w:rsidP="00A02571">
            <w:pPr>
              <w:jc w:val="right"/>
              <w:rPr>
                <w:rFonts w:ascii="Arial" w:hAnsi="Arial" w:cs="Arial"/>
              </w:rPr>
            </w:pPr>
            <w:r>
              <w:rPr>
                <w:rFonts w:ascii="Arial" w:hAnsi="Arial" w:cs="Arial"/>
              </w:rPr>
              <w:t>(19)</w:t>
            </w:r>
          </w:p>
        </w:tc>
        <w:tc>
          <w:tcPr>
            <w:tcW w:w="1276" w:type="dxa"/>
            <w:tcBorders>
              <w:top w:val="nil"/>
              <w:left w:val="nil"/>
              <w:bottom w:val="nil"/>
              <w:right w:val="nil"/>
            </w:tcBorders>
            <w:shd w:val="clear" w:color="000000" w:fill="FFFFFF"/>
            <w:vAlign w:val="center"/>
            <w:hideMark/>
          </w:tcPr>
          <w:p w14:paraId="23763694" w14:textId="5FE5DEBD" w:rsidR="00A02571" w:rsidRPr="00F64B0D" w:rsidRDefault="00A02571" w:rsidP="00A02571">
            <w:pPr>
              <w:jc w:val="right"/>
              <w:rPr>
                <w:rFonts w:ascii="Arial" w:hAnsi="Arial" w:cs="Arial"/>
              </w:rPr>
            </w:pPr>
            <w:r>
              <w:rPr>
                <w:rFonts w:ascii="Arial" w:hAnsi="Arial" w:cs="Arial"/>
              </w:rPr>
              <w:t>(5.57</w:t>
            </w:r>
            <w:r w:rsidRPr="00F64B0D">
              <w:rPr>
                <w:rFonts w:ascii="Arial" w:hAnsi="Arial" w:cs="Arial"/>
              </w:rPr>
              <w:t>0</w:t>
            </w:r>
            <w:r>
              <w:rPr>
                <w:rFonts w:ascii="Arial" w:hAnsi="Arial" w:cs="Arial"/>
              </w:rPr>
              <w:t>)</w:t>
            </w:r>
          </w:p>
        </w:tc>
        <w:tc>
          <w:tcPr>
            <w:tcW w:w="1417" w:type="dxa"/>
            <w:tcBorders>
              <w:top w:val="nil"/>
              <w:left w:val="nil"/>
              <w:bottom w:val="nil"/>
              <w:right w:val="single" w:sz="8" w:space="0" w:color="auto"/>
            </w:tcBorders>
            <w:shd w:val="clear" w:color="000000" w:fill="CCCCCC"/>
            <w:vAlign w:val="center"/>
            <w:hideMark/>
          </w:tcPr>
          <w:p w14:paraId="09188264" w14:textId="40BBB4C4" w:rsidR="00A02571" w:rsidRPr="00F64B0D" w:rsidRDefault="00A02571" w:rsidP="00A02571">
            <w:pPr>
              <w:jc w:val="right"/>
              <w:rPr>
                <w:rFonts w:ascii="Arial" w:hAnsi="Arial" w:cs="Arial"/>
              </w:rPr>
            </w:pPr>
            <w:r>
              <w:rPr>
                <w:rFonts w:ascii="Arial" w:hAnsi="Arial" w:cs="Arial"/>
              </w:rPr>
              <w:t>(1,259)</w:t>
            </w:r>
          </w:p>
        </w:tc>
        <w:tc>
          <w:tcPr>
            <w:tcW w:w="1243" w:type="dxa"/>
            <w:tcBorders>
              <w:top w:val="nil"/>
              <w:left w:val="nil"/>
              <w:bottom w:val="nil"/>
              <w:right w:val="nil"/>
            </w:tcBorders>
            <w:shd w:val="clear" w:color="000000" w:fill="FFFFFF"/>
            <w:vAlign w:val="center"/>
            <w:hideMark/>
          </w:tcPr>
          <w:p w14:paraId="0C4EF9C4" w14:textId="5580D4FF" w:rsidR="00A02571" w:rsidRPr="00F64B0D" w:rsidRDefault="00A02571" w:rsidP="00A02571">
            <w:pPr>
              <w:jc w:val="right"/>
              <w:rPr>
                <w:rFonts w:ascii="Arial" w:hAnsi="Arial" w:cs="Arial"/>
              </w:rPr>
            </w:pPr>
            <w:r>
              <w:rPr>
                <w:rFonts w:ascii="Arial" w:hAnsi="Arial" w:cs="Arial"/>
              </w:rPr>
              <w:t>(5,656)</w:t>
            </w:r>
          </w:p>
        </w:tc>
        <w:tc>
          <w:tcPr>
            <w:tcW w:w="1343" w:type="dxa"/>
            <w:tcBorders>
              <w:top w:val="nil"/>
              <w:left w:val="nil"/>
              <w:bottom w:val="nil"/>
              <w:right w:val="single" w:sz="8" w:space="0" w:color="auto"/>
            </w:tcBorders>
            <w:shd w:val="clear" w:color="000000" w:fill="CCCCCC"/>
            <w:vAlign w:val="center"/>
            <w:hideMark/>
          </w:tcPr>
          <w:p w14:paraId="4CD099F6" w14:textId="48ED03E7" w:rsidR="00A02571" w:rsidRPr="00F64B0D" w:rsidRDefault="00A02571" w:rsidP="00A02571">
            <w:pPr>
              <w:jc w:val="right"/>
              <w:rPr>
                <w:rFonts w:ascii="Arial" w:hAnsi="Arial" w:cs="Arial"/>
              </w:rPr>
            </w:pPr>
            <w:r>
              <w:rPr>
                <w:rFonts w:ascii="Arial" w:hAnsi="Arial" w:cs="Arial"/>
              </w:rPr>
              <w:t>(1,278)</w:t>
            </w:r>
          </w:p>
        </w:tc>
      </w:tr>
      <w:tr w:rsidR="00A02571" w:rsidRPr="00F64B0D" w14:paraId="5A9A5C92" w14:textId="77777777" w:rsidTr="00FD22A3">
        <w:trPr>
          <w:trHeight w:val="511"/>
        </w:trPr>
        <w:tc>
          <w:tcPr>
            <w:tcW w:w="8222" w:type="dxa"/>
            <w:tcBorders>
              <w:top w:val="nil"/>
              <w:left w:val="single" w:sz="8" w:space="0" w:color="auto"/>
              <w:bottom w:val="nil"/>
              <w:right w:val="nil"/>
            </w:tcBorders>
            <w:shd w:val="clear" w:color="000000" w:fill="CCCCCC"/>
            <w:vAlign w:val="center"/>
            <w:hideMark/>
          </w:tcPr>
          <w:p w14:paraId="55A977D0" w14:textId="77777777" w:rsidR="00A02571" w:rsidRPr="00F64B0D" w:rsidRDefault="00A02571" w:rsidP="00A02571">
            <w:pPr>
              <w:rPr>
                <w:rFonts w:ascii="Symbol" w:hAnsi="Symbol" w:cs="Arial"/>
              </w:rPr>
            </w:pPr>
            <w:r w:rsidRPr="00F64B0D">
              <w:rPr>
                <w:rFonts w:ascii="Symbol" w:hAnsi="Symbol" w:cs="Arial"/>
              </w:rPr>
              <w:t>·</w:t>
            </w:r>
            <w:r w:rsidRPr="00F64B0D">
              <w:rPr>
                <w:sz w:val="14"/>
                <w:szCs w:val="14"/>
              </w:rPr>
              <w:t xml:space="preserve">         </w:t>
            </w:r>
            <w:r w:rsidRPr="00F64B0D">
              <w:rPr>
                <w:rFonts w:ascii="Arial" w:hAnsi="Arial" w:cs="Arial"/>
                <w:color w:val="000000"/>
              </w:rPr>
              <w:t>Actuarial (gains)/losses arising on changes in financial assumptions</w:t>
            </w:r>
          </w:p>
        </w:tc>
        <w:tc>
          <w:tcPr>
            <w:tcW w:w="992" w:type="dxa"/>
            <w:tcBorders>
              <w:top w:val="nil"/>
              <w:left w:val="single" w:sz="8" w:space="0" w:color="auto"/>
              <w:bottom w:val="nil"/>
              <w:right w:val="nil"/>
            </w:tcBorders>
            <w:shd w:val="clear" w:color="000000" w:fill="FFFFFF"/>
            <w:vAlign w:val="center"/>
            <w:hideMark/>
          </w:tcPr>
          <w:p w14:paraId="6166438C" w14:textId="3F648658" w:rsidR="00A02571" w:rsidRPr="00F64B0D" w:rsidRDefault="00A02571" w:rsidP="00A02571">
            <w:pPr>
              <w:jc w:val="right"/>
              <w:rPr>
                <w:rFonts w:ascii="Arial" w:hAnsi="Arial" w:cs="Arial"/>
              </w:rPr>
            </w:pPr>
            <w:r w:rsidRPr="00F64B0D">
              <w:rPr>
                <w:rFonts w:ascii="Arial" w:hAnsi="Arial" w:cs="Arial"/>
              </w:rPr>
              <w:t>(</w:t>
            </w:r>
            <w:r>
              <w:rPr>
                <w:rFonts w:ascii="Arial" w:hAnsi="Arial" w:cs="Arial"/>
              </w:rPr>
              <w:t>115</w:t>
            </w:r>
            <w:r w:rsidRPr="00F64B0D">
              <w:rPr>
                <w:rFonts w:ascii="Arial" w:hAnsi="Arial" w:cs="Arial"/>
              </w:rPr>
              <w:t>)</w:t>
            </w:r>
          </w:p>
        </w:tc>
        <w:tc>
          <w:tcPr>
            <w:tcW w:w="1134" w:type="dxa"/>
            <w:tcBorders>
              <w:top w:val="nil"/>
              <w:left w:val="nil"/>
              <w:bottom w:val="nil"/>
              <w:right w:val="single" w:sz="8" w:space="0" w:color="auto"/>
            </w:tcBorders>
            <w:shd w:val="clear" w:color="000000" w:fill="CCCCCC"/>
            <w:vAlign w:val="center"/>
            <w:hideMark/>
          </w:tcPr>
          <w:p w14:paraId="2B3A3BA9" w14:textId="5043760C" w:rsidR="00A02571" w:rsidRPr="00F64B0D" w:rsidRDefault="00A02571" w:rsidP="00A02571">
            <w:pPr>
              <w:jc w:val="right"/>
              <w:rPr>
                <w:rFonts w:ascii="Arial" w:hAnsi="Arial" w:cs="Arial"/>
              </w:rPr>
            </w:pPr>
            <w:r>
              <w:rPr>
                <w:rFonts w:ascii="Arial" w:hAnsi="Arial" w:cs="Arial"/>
              </w:rPr>
              <w:t>(1,004)</w:t>
            </w:r>
          </w:p>
        </w:tc>
        <w:tc>
          <w:tcPr>
            <w:tcW w:w="1276" w:type="dxa"/>
            <w:tcBorders>
              <w:top w:val="nil"/>
              <w:left w:val="nil"/>
              <w:bottom w:val="nil"/>
              <w:right w:val="nil"/>
            </w:tcBorders>
            <w:shd w:val="clear" w:color="000000" w:fill="FFFFFF"/>
            <w:vAlign w:val="center"/>
            <w:hideMark/>
          </w:tcPr>
          <w:p w14:paraId="740F8826" w14:textId="09F43CCF" w:rsidR="00A02571" w:rsidRPr="00F64B0D" w:rsidRDefault="00A02571" w:rsidP="00A02571">
            <w:pPr>
              <w:jc w:val="right"/>
              <w:rPr>
                <w:rFonts w:ascii="Arial" w:hAnsi="Arial" w:cs="Arial"/>
              </w:rPr>
            </w:pPr>
            <w:r w:rsidRPr="00F64B0D">
              <w:rPr>
                <w:rFonts w:ascii="Arial" w:hAnsi="Arial" w:cs="Arial"/>
              </w:rPr>
              <w:t>(</w:t>
            </w:r>
            <w:r>
              <w:rPr>
                <w:rFonts w:ascii="Arial" w:hAnsi="Arial" w:cs="Arial"/>
              </w:rPr>
              <w:t>17</w:t>
            </w:r>
            <w:r w:rsidRPr="00F64B0D">
              <w:rPr>
                <w:rFonts w:ascii="Arial" w:hAnsi="Arial" w:cs="Arial"/>
              </w:rPr>
              <w:t>,</w:t>
            </w:r>
            <w:r>
              <w:rPr>
                <w:rFonts w:ascii="Arial" w:hAnsi="Arial" w:cs="Arial"/>
              </w:rPr>
              <w:t>186</w:t>
            </w:r>
            <w:r w:rsidRPr="00F64B0D">
              <w:rPr>
                <w:rFonts w:ascii="Arial" w:hAnsi="Arial" w:cs="Arial"/>
              </w:rPr>
              <w:t>)</w:t>
            </w:r>
          </w:p>
        </w:tc>
        <w:tc>
          <w:tcPr>
            <w:tcW w:w="1417" w:type="dxa"/>
            <w:tcBorders>
              <w:top w:val="nil"/>
              <w:left w:val="nil"/>
              <w:bottom w:val="nil"/>
              <w:right w:val="single" w:sz="8" w:space="0" w:color="auto"/>
            </w:tcBorders>
            <w:shd w:val="clear" w:color="000000" w:fill="CCCCCC"/>
            <w:vAlign w:val="center"/>
            <w:hideMark/>
          </w:tcPr>
          <w:p w14:paraId="12E71E22" w14:textId="70592997" w:rsidR="00A02571" w:rsidRPr="00F64B0D" w:rsidRDefault="00A02571" w:rsidP="00A02571">
            <w:pPr>
              <w:jc w:val="right"/>
              <w:rPr>
                <w:rFonts w:ascii="Arial" w:hAnsi="Arial" w:cs="Arial"/>
              </w:rPr>
            </w:pPr>
            <w:r>
              <w:rPr>
                <w:rFonts w:ascii="Arial" w:hAnsi="Arial" w:cs="Arial"/>
              </w:rPr>
              <w:t>(76,662)</w:t>
            </w:r>
          </w:p>
        </w:tc>
        <w:tc>
          <w:tcPr>
            <w:tcW w:w="1243" w:type="dxa"/>
            <w:tcBorders>
              <w:top w:val="nil"/>
              <w:left w:val="nil"/>
              <w:bottom w:val="nil"/>
              <w:right w:val="nil"/>
            </w:tcBorders>
            <w:shd w:val="clear" w:color="000000" w:fill="FFFFFF"/>
            <w:vAlign w:val="center"/>
            <w:hideMark/>
          </w:tcPr>
          <w:p w14:paraId="477BA96F" w14:textId="4EA46FB1" w:rsidR="00A02571" w:rsidRPr="00F64B0D" w:rsidRDefault="00A02571" w:rsidP="00A02571">
            <w:pPr>
              <w:jc w:val="right"/>
              <w:rPr>
                <w:rFonts w:ascii="Arial" w:hAnsi="Arial" w:cs="Arial"/>
              </w:rPr>
            </w:pPr>
            <w:r w:rsidRPr="00F64B0D">
              <w:rPr>
                <w:rFonts w:ascii="Arial" w:hAnsi="Arial" w:cs="Arial"/>
              </w:rPr>
              <w:t>(</w:t>
            </w:r>
            <w:r>
              <w:rPr>
                <w:rFonts w:ascii="Arial" w:hAnsi="Arial" w:cs="Arial"/>
              </w:rPr>
              <w:t>17</w:t>
            </w:r>
            <w:r w:rsidRPr="00F64B0D">
              <w:rPr>
                <w:rFonts w:ascii="Arial" w:hAnsi="Arial" w:cs="Arial"/>
              </w:rPr>
              <w:t>,</w:t>
            </w:r>
            <w:r>
              <w:rPr>
                <w:rFonts w:ascii="Arial" w:hAnsi="Arial" w:cs="Arial"/>
              </w:rPr>
              <w:t>301</w:t>
            </w:r>
            <w:r w:rsidRPr="00F64B0D">
              <w:rPr>
                <w:rFonts w:ascii="Arial" w:hAnsi="Arial" w:cs="Arial"/>
              </w:rPr>
              <w:t>)</w:t>
            </w:r>
          </w:p>
        </w:tc>
        <w:tc>
          <w:tcPr>
            <w:tcW w:w="1343" w:type="dxa"/>
            <w:tcBorders>
              <w:top w:val="nil"/>
              <w:left w:val="nil"/>
              <w:bottom w:val="nil"/>
              <w:right w:val="single" w:sz="8" w:space="0" w:color="auto"/>
            </w:tcBorders>
            <w:shd w:val="clear" w:color="000000" w:fill="CCCCCC"/>
            <w:vAlign w:val="center"/>
            <w:hideMark/>
          </w:tcPr>
          <w:p w14:paraId="6E1FF22B" w14:textId="03A24028" w:rsidR="00A02571" w:rsidRPr="00F64B0D" w:rsidRDefault="00A02571" w:rsidP="00A02571">
            <w:pPr>
              <w:jc w:val="right"/>
              <w:rPr>
                <w:rFonts w:ascii="Arial" w:hAnsi="Arial" w:cs="Arial"/>
              </w:rPr>
            </w:pPr>
            <w:r>
              <w:rPr>
                <w:rFonts w:ascii="Arial" w:hAnsi="Arial" w:cs="Arial"/>
              </w:rPr>
              <w:t>(77,666)</w:t>
            </w:r>
          </w:p>
        </w:tc>
      </w:tr>
      <w:tr w:rsidR="00A02571" w:rsidRPr="00F64B0D" w14:paraId="5EA43306" w14:textId="77777777" w:rsidTr="00FD22A3">
        <w:trPr>
          <w:trHeight w:val="300"/>
        </w:trPr>
        <w:tc>
          <w:tcPr>
            <w:tcW w:w="8222" w:type="dxa"/>
            <w:tcBorders>
              <w:top w:val="nil"/>
              <w:left w:val="single" w:sz="8" w:space="0" w:color="auto"/>
              <w:bottom w:val="nil"/>
              <w:right w:val="nil"/>
            </w:tcBorders>
            <w:shd w:val="clear" w:color="000000" w:fill="CCCCCC"/>
            <w:vAlign w:val="center"/>
            <w:hideMark/>
          </w:tcPr>
          <w:p w14:paraId="6EDE3E1A" w14:textId="77777777" w:rsidR="00A02571" w:rsidRPr="00F64B0D" w:rsidRDefault="00A02571" w:rsidP="00A02571">
            <w:pPr>
              <w:rPr>
                <w:rFonts w:ascii="Arial" w:hAnsi="Arial" w:cs="Arial"/>
                <w:color w:val="000000"/>
              </w:rPr>
            </w:pPr>
            <w:r w:rsidRPr="00F64B0D">
              <w:rPr>
                <w:rFonts w:ascii="Arial" w:hAnsi="Arial" w:cs="Arial"/>
                <w:color w:val="000000"/>
              </w:rPr>
              <w:t>Historical Adjustment</w:t>
            </w:r>
          </w:p>
        </w:tc>
        <w:tc>
          <w:tcPr>
            <w:tcW w:w="992" w:type="dxa"/>
            <w:tcBorders>
              <w:top w:val="nil"/>
              <w:left w:val="single" w:sz="8" w:space="0" w:color="auto"/>
              <w:bottom w:val="nil"/>
              <w:right w:val="nil"/>
            </w:tcBorders>
            <w:shd w:val="clear" w:color="000000" w:fill="FFFFFF"/>
            <w:vAlign w:val="center"/>
            <w:hideMark/>
          </w:tcPr>
          <w:p w14:paraId="5F016F51" w14:textId="0E82C380" w:rsidR="00A02571" w:rsidRPr="00F64B0D" w:rsidRDefault="00A02571" w:rsidP="00A02571">
            <w:pPr>
              <w:jc w:val="right"/>
              <w:rPr>
                <w:rFonts w:ascii="Arial" w:hAnsi="Arial" w:cs="Arial"/>
              </w:rPr>
            </w:pPr>
          </w:p>
        </w:tc>
        <w:tc>
          <w:tcPr>
            <w:tcW w:w="1134" w:type="dxa"/>
            <w:tcBorders>
              <w:top w:val="nil"/>
              <w:left w:val="nil"/>
              <w:bottom w:val="nil"/>
              <w:right w:val="single" w:sz="8" w:space="0" w:color="auto"/>
            </w:tcBorders>
            <w:shd w:val="clear" w:color="000000" w:fill="CCCCCC"/>
            <w:vAlign w:val="center"/>
            <w:hideMark/>
          </w:tcPr>
          <w:p w14:paraId="55186AA3" w14:textId="7C2E4705" w:rsidR="00A02571" w:rsidRPr="00F64B0D" w:rsidRDefault="00A02571" w:rsidP="00A02571">
            <w:pPr>
              <w:jc w:val="right"/>
              <w:rPr>
                <w:rFonts w:ascii="Arial" w:hAnsi="Arial" w:cs="Arial"/>
              </w:rPr>
            </w:pPr>
            <w:r>
              <w:rPr>
                <w:rFonts w:ascii="Arial" w:hAnsi="Arial" w:cs="Arial"/>
              </w:rPr>
              <w:t> </w:t>
            </w:r>
          </w:p>
        </w:tc>
        <w:tc>
          <w:tcPr>
            <w:tcW w:w="1276" w:type="dxa"/>
            <w:tcBorders>
              <w:top w:val="nil"/>
              <w:left w:val="nil"/>
              <w:bottom w:val="nil"/>
              <w:right w:val="nil"/>
            </w:tcBorders>
            <w:shd w:val="clear" w:color="000000" w:fill="FFFFFF"/>
            <w:vAlign w:val="center"/>
            <w:hideMark/>
          </w:tcPr>
          <w:p w14:paraId="24BFE4DB" w14:textId="7934EACF" w:rsidR="00A02571" w:rsidRPr="00F64B0D" w:rsidRDefault="00A02571" w:rsidP="00A02571">
            <w:pPr>
              <w:jc w:val="right"/>
              <w:rPr>
                <w:rFonts w:ascii="Arial" w:hAnsi="Arial" w:cs="Arial"/>
              </w:rPr>
            </w:pPr>
          </w:p>
        </w:tc>
        <w:tc>
          <w:tcPr>
            <w:tcW w:w="1417" w:type="dxa"/>
            <w:tcBorders>
              <w:top w:val="nil"/>
              <w:left w:val="nil"/>
              <w:bottom w:val="nil"/>
              <w:right w:val="single" w:sz="8" w:space="0" w:color="auto"/>
            </w:tcBorders>
            <w:shd w:val="clear" w:color="000000" w:fill="CCCCCC"/>
            <w:vAlign w:val="center"/>
            <w:hideMark/>
          </w:tcPr>
          <w:p w14:paraId="70BB5FC6" w14:textId="5DBD26C5" w:rsidR="00A02571" w:rsidRPr="00F64B0D" w:rsidRDefault="00A02571" w:rsidP="00A02571">
            <w:pPr>
              <w:jc w:val="right"/>
              <w:rPr>
                <w:rFonts w:ascii="Arial" w:hAnsi="Arial" w:cs="Arial"/>
              </w:rPr>
            </w:pPr>
            <w:r>
              <w:rPr>
                <w:rFonts w:ascii="Arial" w:hAnsi="Arial" w:cs="Arial"/>
              </w:rPr>
              <w:t> </w:t>
            </w:r>
          </w:p>
        </w:tc>
        <w:tc>
          <w:tcPr>
            <w:tcW w:w="1243" w:type="dxa"/>
            <w:tcBorders>
              <w:top w:val="nil"/>
              <w:left w:val="nil"/>
              <w:bottom w:val="nil"/>
              <w:right w:val="nil"/>
            </w:tcBorders>
            <w:shd w:val="clear" w:color="000000" w:fill="FFFFFF"/>
            <w:vAlign w:val="center"/>
            <w:hideMark/>
          </w:tcPr>
          <w:p w14:paraId="5F56344D" w14:textId="3789A127" w:rsidR="00A02571" w:rsidRPr="00F64B0D" w:rsidRDefault="00A02571" w:rsidP="00A02571">
            <w:pPr>
              <w:jc w:val="right"/>
              <w:rPr>
                <w:rFonts w:ascii="Arial" w:hAnsi="Arial" w:cs="Arial"/>
              </w:rPr>
            </w:pPr>
          </w:p>
        </w:tc>
        <w:tc>
          <w:tcPr>
            <w:tcW w:w="1343" w:type="dxa"/>
            <w:tcBorders>
              <w:top w:val="nil"/>
              <w:left w:val="nil"/>
              <w:bottom w:val="nil"/>
              <w:right w:val="single" w:sz="8" w:space="0" w:color="auto"/>
            </w:tcBorders>
            <w:shd w:val="clear" w:color="000000" w:fill="CCCCCC"/>
            <w:vAlign w:val="center"/>
            <w:hideMark/>
          </w:tcPr>
          <w:p w14:paraId="0921541B" w14:textId="1D2F8E26" w:rsidR="00A02571" w:rsidRPr="00F64B0D" w:rsidRDefault="00A02571" w:rsidP="00A02571">
            <w:pPr>
              <w:jc w:val="right"/>
              <w:rPr>
                <w:rFonts w:ascii="Arial" w:hAnsi="Arial" w:cs="Arial"/>
              </w:rPr>
            </w:pPr>
            <w:r>
              <w:rPr>
                <w:rFonts w:ascii="Arial" w:hAnsi="Arial" w:cs="Arial"/>
              </w:rPr>
              <w:t> </w:t>
            </w:r>
          </w:p>
        </w:tc>
      </w:tr>
      <w:tr w:rsidR="00A02571" w:rsidRPr="00F64B0D" w14:paraId="20C0FA36" w14:textId="77777777" w:rsidTr="00FD22A3">
        <w:trPr>
          <w:trHeight w:val="315"/>
        </w:trPr>
        <w:tc>
          <w:tcPr>
            <w:tcW w:w="8222" w:type="dxa"/>
            <w:tcBorders>
              <w:top w:val="nil"/>
              <w:left w:val="single" w:sz="8" w:space="0" w:color="auto"/>
              <w:bottom w:val="nil"/>
              <w:right w:val="nil"/>
            </w:tcBorders>
            <w:shd w:val="clear" w:color="000000" w:fill="CCCCCC"/>
            <w:vAlign w:val="center"/>
            <w:hideMark/>
          </w:tcPr>
          <w:p w14:paraId="5C465541" w14:textId="77777777" w:rsidR="00A02571" w:rsidRPr="00F64B0D" w:rsidRDefault="00A02571" w:rsidP="00A02571">
            <w:pPr>
              <w:rPr>
                <w:rFonts w:ascii="Arial" w:hAnsi="Arial" w:cs="Arial"/>
                <w:b/>
                <w:bCs/>
                <w:color w:val="000000"/>
              </w:rPr>
            </w:pPr>
            <w:r w:rsidRPr="00F64B0D">
              <w:rPr>
                <w:rFonts w:ascii="Arial" w:hAnsi="Arial" w:cs="Arial"/>
                <w:b/>
                <w:bCs/>
                <w:color w:val="000000"/>
              </w:rPr>
              <w:t>Impact of Asset Ceiling</w:t>
            </w:r>
          </w:p>
        </w:tc>
        <w:tc>
          <w:tcPr>
            <w:tcW w:w="992" w:type="dxa"/>
            <w:tcBorders>
              <w:top w:val="nil"/>
              <w:left w:val="single" w:sz="8" w:space="0" w:color="auto"/>
              <w:bottom w:val="nil"/>
              <w:right w:val="nil"/>
            </w:tcBorders>
            <w:shd w:val="clear" w:color="000000" w:fill="FFFFFF"/>
            <w:vAlign w:val="center"/>
            <w:hideMark/>
          </w:tcPr>
          <w:p w14:paraId="114183EB" w14:textId="2D365E46" w:rsidR="00A02571" w:rsidRPr="00F64B0D" w:rsidRDefault="00A02571" w:rsidP="00A02571">
            <w:pPr>
              <w:jc w:val="right"/>
              <w:rPr>
                <w:rFonts w:ascii="Arial" w:hAnsi="Arial" w:cs="Arial"/>
              </w:rPr>
            </w:pPr>
            <w:r>
              <w:rPr>
                <w:rFonts w:ascii="Arial" w:hAnsi="Arial" w:cs="Arial"/>
              </w:rPr>
              <w:t>605</w:t>
            </w:r>
          </w:p>
        </w:tc>
        <w:tc>
          <w:tcPr>
            <w:tcW w:w="1134" w:type="dxa"/>
            <w:tcBorders>
              <w:top w:val="nil"/>
              <w:left w:val="nil"/>
              <w:bottom w:val="single" w:sz="8" w:space="0" w:color="auto"/>
              <w:right w:val="single" w:sz="8" w:space="0" w:color="auto"/>
            </w:tcBorders>
            <w:shd w:val="clear" w:color="000000" w:fill="CCCCCC"/>
            <w:vAlign w:val="center"/>
            <w:hideMark/>
          </w:tcPr>
          <w:p w14:paraId="196E9807" w14:textId="2FB028AE" w:rsidR="00A02571" w:rsidRPr="00F64B0D" w:rsidRDefault="00DE368D" w:rsidP="00A02571">
            <w:pPr>
              <w:jc w:val="right"/>
              <w:rPr>
                <w:rFonts w:ascii="Arial" w:hAnsi="Arial" w:cs="Arial"/>
              </w:rPr>
            </w:pPr>
            <w:r>
              <w:rPr>
                <w:rFonts w:ascii="Arial" w:hAnsi="Arial" w:cs="Arial"/>
              </w:rPr>
              <w:t>2,520</w:t>
            </w:r>
          </w:p>
        </w:tc>
        <w:tc>
          <w:tcPr>
            <w:tcW w:w="1276" w:type="dxa"/>
            <w:tcBorders>
              <w:top w:val="nil"/>
              <w:left w:val="nil"/>
              <w:bottom w:val="nil"/>
              <w:right w:val="nil"/>
            </w:tcBorders>
            <w:shd w:val="clear" w:color="000000" w:fill="FFFFFF"/>
            <w:vAlign w:val="center"/>
            <w:hideMark/>
          </w:tcPr>
          <w:p w14:paraId="42CB0D39" w14:textId="6A6D8DDD" w:rsidR="00A02571" w:rsidRPr="00F64B0D" w:rsidRDefault="00A02571" w:rsidP="00A02571">
            <w:pPr>
              <w:jc w:val="right"/>
              <w:rPr>
                <w:rFonts w:ascii="Arial" w:hAnsi="Arial" w:cs="Arial"/>
              </w:rPr>
            </w:pPr>
            <w:r>
              <w:rPr>
                <w:rFonts w:ascii="Arial" w:hAnsi="Arial" w:cs="Arial"/>
              </w:rPr>
              <w:t>60</w:t>
            </w:r>
            <w:r w:rsidRPr="00F64B0D">
              <w:rPr>
                <w:rFonts w:ascii="Arial" w:hAnsi="Arial" w:cs="Arial"/>
              </w:rPr>
              <w:t>,</w:t>
            </w:r>
            <w:r>
              <w:rPr>
                <w:rFonts w:ascii="Arial" w:hAnsi="Arial" w:cs="Arial"/>
              </w:rPr>
              <w:t>432</w:t>
            </w:r>
          </w:p>
        </w:tc>
        <w:tc>
          <w:tcPr>
            <w:tcW w:w="1417" w:type="dxa"/>
            <w:tcBorders>
              <w:top w:val="nil"/>
              <w:left w:val="nil"/>
              <w:bottom w:val="single" w:sz="8" w:space="0" w:color="auto"/>
              <w:right w:val="single" w:sz="8" w:space="0" w:color="auto"/>
            </w:tcBorders>
            <w:shd w:val="clear" w:color="000000" w:fill="CCCCCC"/>
            <w:vAlign w:val="center"/>
            <w:hideMark/>
          </w:tcPr>
          <w:p w14:paraId="02C724E5" w14:textId="5C681DBC" w:rsidR="00A02571" w:rsidRPr="00F64B0D" w:rsidRDefault="00A02571" w:rsidP="00A02571">
            <w:pPr>
              <w:jc w:val="right"/>
              <w:rPr>
                <w:rFonts w:ascii="Arial" w:hAnsi="Arial" w:cs="Arial"/>
              </w:rPr>
            </w:pPr>
            <w:r>
              <w:rPr>
                <w:rFonts w:ascii="Arial" w:hAnsi="Arial" w:cs="Arial"/>
              </w:rPr>
              <w:t>56,766</w:t>
            </w:r>
          </w:p>
        </w:tc>
        <w:tc>
          <w:tcPr>
            <w:tcW w:w="1243" w:type="dxa"/>
            <w:tcBorders>
              <w:top w:val="nil"/>
              <w:left w:val="nil"/>
              <w:bottom w:val="nil"/>
              <w:right w:val="nil"/>
            </w:tcBorders>
            <w:shd w:val="clear" w:color="000000" w:fill="FFFFFF"/>
            <w:vAlign w:val="center"/>
            <w:hideMark/>
          </w:tcPr>
          <w:p w14:paraId="2CDF08DC" w14:textId="589F970C" w:rsidR="00A02571" w:rsidRPr="00F64B0D" w:rsidRDefault="00A02571" w:rsidP="00A02571">
            <w:pPr>
              <w:jc w:val="right"/>
              <w:rPr>
                <w:rFonts w:ascii="Arial" w:hAnsi="Arial" w:cs="Arial"/>
              </w:rPr>
            </w:pPr>
            <w:r w:rsidRPr="00F64B0D">
              <w:rPr>
                <w:rFonts w:ascii="Arial" w:hAnsi="Arial" w:cs="Arial"/>
              </w:rPr>
              <w:t>6</w:t>
            </w:r>
            <w:r>
              <w:rPr>
                <w:rFonts w:ascii="Arial" w:hAnsi="Arial" w:cs="Arial"/>
              </w:rPr>
              <w:t>1</w:t>
            </w:r>
            <w:r w:rsidRPr="00F64B0D">
              <w:rPr>
                <w:rFonts w:ascii="Arial" w:hAnsi="Arial" w:cs="Arial"/>
              </w:rPr>
              <w:t>,</w:t>
            </w:r>
            <w:r>
              <w:rPr>
                <w:rFonts w:ascii="Arial" w:hAnsi="Arial" w:cs="Arial"/>
              </w:rPr>
              <w:t>037</w:t>
            </w:r>
          </w:p>
        </w:tc>
        <w:tc>
          <w:tcPr>
            <w:tcW w:w="1343" w:type="dxa"/>
            <w:tcBorders>
              <w:top w:val="nil"/>
              <w:left w:val="nil"/>
              <w:bottom w:val="nil"/>
              <w:right w:val="single" w:sz="8" w:space="0" w:color="auto"/>
            </w:tcBorders>
            <w:shd w:val="clear" w:color="000000" w:fill="CCCCCC"/>
            <w:vAlign w:val="center"/>
            <w:hideMark/>
          </w:tcPr>
          <w:p w14:paraId="0363A516" w14:textId="603D8F57" w:rsidR="00A02571" w:rsidRPr="00F64B0D" w:rsidRDefault="00A02571" w:rsidP="00A02571">
            <w:pPr>
              <w:jc w:val="right"/>
              <w:rPr>
                <w:rFonts w:ascii="Arial" w:hAnsi="Arial" w:cs="Arial"/>
              </w:rPr>
            </w:pPr>
            <w:r>
              <w:rPr>
                <w:rFonts w:ascii="Arial" w:hAnsi="Arial" w:cs="Arial"/>
              </w:rPr>
              <w:t>5</w:t>
            </w:r>
            <w:r w:rsidR="00DE53F8">
              <w:rPr>
                <w:rFonts w:ascii="Arial" w:hAnsi="Arial" w:cs="Arial"/>
              </w:rPr>
              <w:t>9</w:t>
            </w:r>
            <w:r>
              <w:rPr>
                <w:rFonts w:ascii="Arial" w:hAnsi="Arial" w:cs="Arial"/>
              </w:rPr>
              <w:t>,3</w:t>
            </w:r>
            <w:r w:rsidR="00DE53F8">
              <w:rPr>
                <w:rFonts w:ascii="Arial" w:hAnsi="Arial" w:cs="Arial"/>
              </w:rPr>
              <w:t>37</w:t>
            </w:r>
          </w:p>
        </w:tc>
      </w:tr>
      <w:tr w:rsidR="00A02571" w:rsidRPr="00F64B0D" w14:paraId="532BF19C" w14:textId="77777777" w:rsidTr="00FD22A3">
        <w:trPr>
          <w:trHeight w:val="526"/>
        </w:trPr>
        <w:tc>
          <w:tcPr>
            <w:tcW w:w="8222" w:type="dxa"/>
            <w:tcBorders>
              <w:top w:val="nil"/>
              <w:left w:val="single" w:sz="8" w:space="0" w:color="auto"/>
              <w:bottom w:val="nil"/>
              <w:right w:val="nil"/>
            </w:tcBorders>
            <w:shd w:val="clear" w:color="000000" w:fill="CCCCCC"/>
            <w:vAlign w:val="center"/>
            <w:hideMark/>
          </w:tcPr>
          <w:p w14:paraId="264BAC75" w14:textId="77777777" w:rsidR="00A02571" w:rsidRPr="00F64B0D" w:rsidRDefault="00A02571" w:rsidP="00A02571">
            <w:pPr>
              <w:rPr>
                <w:rFonts w:ascii="Arial" w:hAnsi="Arial" w:cs="Arial"/>
                <w:b/>
                <w:bCs/>
                <w:color w:val="000000"/>
              </w:rPr>
            </w:pPr>
            <w:r w:rsidRPr="00F64B0D">
              <w:rPr>
                <w:rFonts w:ascii="Arial" w:hAnsi="Arial" w:cs="Arial"/>
                <w:b/>
                <w:bCs/>
                <w:color w:val="000000"/>
              </w:rPr>
              <w:t>Total Post-Employment Benefits Charged to the Comprehensive Income and Expenditure Statement</w:t>
            </w:r>
          </w:p>
        </w:tc>
        <w:tc>
          <w:tcPr>
            <w:tcW w:w="992" w:type="dxa"/>
            <w:tcBorders>
              <w:top w:val="single" w:sz="8" w:space="0" w:color="auto"/>
              <w:left w:val="single" w:sz="8" w:space="0" w:color="auto"/>
              <w:bottom w:val="single" w:sz="8" w:space="0" w:color="auto"/>
              <w:right w:val="nil"/>
            </w:tcBorders>
            <w:shd w:val="clear" w:color="000000" w:fill="FFFFFF"/>
            <w:vAlign w:val="center"/>
            <w:hideMark/>
          </w:tcPr>
          <w:p w14:paraId="4023B8E1" w14:textId="47DAB849" w:rsidR="00A02571" w:rsidRPr="00F64B0D" w:rsidRDefault="00A02571" w:rsidP="00A02571">
            <w:pPr>
              <w:jc w:val="right"/>
              <w:rPr>
                <w:rFonts w:ascii="Arial" w:hAnsi="Arial" w:cs="Arial"/>
                <w:b/>
                <w:bCs/>
              </w:rPr>
            </w:pPr>
            <w:r>
              <w:rPr>
                <w:rFonts w:ascii="Arial" w:hAnsi="Arial" w:cs="Arial"/>
                <w:b/>
                <w:bCs/>
              </w:rPr>
              <w:t>145</w:t>
            </w:r>
          </w:p>
        </w:tc>
        <w:tc>
          <w:tcPr>
            <w:tcW w:w="1134" w:type="dxa"/>
            <w:tcBorders>
              <w:top w:val="nil"/>
              <w:left w:val="nil"/>
              <w:bottom w:val="single" w:sz="8" w:space="0" w:color="auto"/>
              <w:right w:val="single" w:sz="8" w:space="0" w:color="auto"/>
            </w:tcBorders>
            <w:shd w:val="clear" w:color="000000" w:fill="CCCCCC"/>
            <w:vAlign w:val="center"/>
            <w:hideMark/>
          </w:tcPr>
          <w:p w14:paraId="3578684E" w14:textId="7509DF74" w:rsidR="00A02571" w:rsidRPr="00F64B0D" w:rsidRDefault="00DE53F8" w:rsidP="00A02571">
            <w:pPr>
              <w:jc w:val="right"/>
              <w:rPr>
                <w:rFonts w:ascii="Arial" w:hAnsi="Arial" w:cs="Arial"/>
                <w:b/>
                <w:bCs/>
              </w:rPr>
            </w:pPr>
            <w:r>
              <w:rPr>
                <w:rFonts w:ascii="Arial" w:hAnsi="Arial" w:cs="Arial"/>
                <w:b/>
                <w:bCs/>
              </w:rPr>
              <w:t>1,634</w:t>
            </w:r>
          </w:p>
        </w:tc>
        <w:tc>
          <w:tcPr>
            <w:tcW w:w="1276" w:type="dxa"/>
            <w:tcBorders>
              <w:top w:val="single" w:sz="8" w:space="0" w:color="auto"/>
              <w:left w:val="nil"/>
              <w:bottom w:val="single" w:sz="8" w:space="0" w:color="auto"/>
              <w:right w:val="nil"/>
            </w:tcBorders>
            <w:shd w:val="clear" w:color="000000" w:fill="FFFFFF"/>
            <w:vAlign w:val="center"/>
            <w:hideMark/>
          </w:tcPr>
          <w:p w14:paraId="674646A2" w14:textId="2726C628" w:rsidR="00A02571" w:rsidRPr="00F64B0D" w:rsidRDefault="00A02571" w:rsidP="00A02571">
            <w:pPr>
              <w:jc w:val="right"/>
              <w:rPr>
                <w:rFonts w:ascii="Arial" w:hAnsi="Arial" w:cs="Arial"/>
                <w:b/>
                <w:bCs/>
              </w:rPr>
            </w:pPr>
            <w:r>
              <w:rPr>
                <w:rFonts w:ascii="Arial" w:hAnsi="Arial" w:cs="Arial"/>
                <w:b/>
                <w:bCs/>
              </w:rPr>
              <w:t>21</w:t>
            </w:r>
            <w:r w:rsidRPr="00F64B0D">
              <w:rPr>
                <w:rFonts w:ascii="Arial" w:hAnsi="Arial" w:cs="Arial"/>
                <w:b/>
                <w:bCs/>
              </w:rPr>
              <w:t>,</w:t>
            </w:r>
            <w:r>
              <w:rPr>
                <w:rFonts w:ascii="Arial" w:hAnsi="Arial" w:cs="Arial"/>
                <w:b/>
                <w:bCs/>
              </w:rPr>
              <w:t>53</w:t>
            </w:r>
            <w:r w:rsidRPr="00F64B0D">
              <w:rPr>
                <w:rFonts w:ascii="Arial" w:hAnsi="Arial" w:cs="Arial"/>
                <w:b/>
                <w:bCs/>
              </w:rPr>
              <w:t>4</w:t>
            </w:r>
          </w:p>
        </w:tc>
        <w:tc>
          <w:tcPr>
            <w:tcW w:w="1417" w:type="dxa"/>
            <w:tcBorders>
              <w:top w:val="nil"/>
              <w:left w:val="nil"/>
              <w:bottom w:val="single" w:sz="8" w:space="0" w:color="auto"/>
              <w:right w:val="single" w:sz="8" w:space="0" w:color="auto"/>
            </w:tcBorders>
            <w:shd w:val="clear" w:color="000000" w:fill="CCCCCC"/>
            <w:vAlign w:val="center"/>
            <w:hideMark/>
          </w:tcPr>
          <w:p w14:paraId="0E10ADF0" w14:textId="223AF2E4" w:rsidR="00A02571" w:rsidRPr="00F64B0D" w:rsidRDefault="00A02571" w:rsidP="00A02571">
            <w:pPr>
              <w:jc w:val="right"/>
              <w:rPr>
                <w:rFonts w:ascii="Arial" w:hAnsi="Arial" w:cs="Arial"/>
                <w:b/>
                <w:bCs/>
              </w:rPr>
            </w:pPr>
            <w:r>
              <w:rPr>
                <w:rFonts w:ascii="Arial" w:hAnsi="Arial" w:cs="Arial"/>
                <w:b/>
                <w:bCs/>
              </w:rPr>
              <w:t>(12,175)</w:t>
            </w:r>
          </w:p>
        </w:tc>
        <w:tc>
          <w:tcPr>
            <w:tcW w:w="1243" w:type="dxa"/>
            <w:tcBorders>
              <w:top w:val="single" w:sz="8" w:space="0" w:color="auto"/>
              <w:left w:val="nil"/>
              <w:bottom w:val="single" w:sz="8" w:space="0" w:color="auto"/>
              <w:right w:val="nil"/>
            </w:tcBorders>
            <w:shd w:val="clear" w:color="000000" w:fill="FFFFFF"/>
            <w:vAlign w:val="center"/>
            <w:hideMark/>
          </w:tcPr>
          <w:p w14:paraId="30ED980C" w14:textId="37150932" w:rsidR="00A02571" w:rsidRPr="00F64B0D" w:rsidRDefault="00A02571" w:rsidP="00A02571">
            <w:pPr>
              <w:jc w:val="right"/>
              <w:rPr>
                <w:rFonts w:ascii="Arial" w:hAnsi="Arial" w:cs="Arial"/>
                <w:b/>
                <w:bCs/>
              </w:rPr>
            </w:pPr>
            <w:r>
              <w:rPr>
                <w:rFonts w:ascii="Arial" w:hAnsi="Arial" w:cs="Arial"/>
                <w:b/>
                <w:bCs/>
              </w:rPr>
              <w:t>21,679</w:t>
            </w:r>
          </w:p>
        </w:tc>
        <w:tc>
          <w:tcPr>
            <w:tcW w:w="1343" w:type="dxa"/>
            <w:tcBorders>
              <w:top w:val="single" w:sz="8" w:space="0" w:color="auto"/>
              <w:left w:val="nil"/>
              <w:bottom w:val="single" w:sz="8" w:space="0" w:color="auto"/>
              <w:right w:val="single" w:sz="8" w:space="0" w:color="auto"/>
            </w:tcBorders>
            <w:shd w:val="clear" w:color="000000" w:fill="CCCCCC"/>
            <w:vAlign w:val="center"/>
            <w:hideMark/>
          </w:tcPr>
          <w:p w14:paraId="25EEBF41" w14:textId="20F4CB0B" w:rsidR="00A02571" w:rsidRPr="00F64B0D" w:rsidRDefault="00A02571" w:rsidP="00A02571">
            <w:pPr>
              <w:jc w:val="right"/>
              <w:rPr>
                <w:rFonts w:ascii="Arial" w:hAnsi="Arial" w:cs="Arial"/>
                <w:b/>
                <w:bCs/>
              </w:rPr>
            </w:pPr>
            <w:r>
              <w:rPr>
                <w:rFonts w:ascii="Arial" w:hAnsi="Arial" w:cs="Arial"/>
                <w:b/>
                <w:bCs/>
              </w:rPr>
              <w:t>(</w:t>
            </w:r>
            <w:r w:rsidR="00DE53F8">
              <w:rPr>
                <w:rFonts w:ascii="Arial" w:hAnsi="Arial" w:cs="Arial"/>
                <w:b/>
                <w:bCs/>
              </w:rPr>
              <w:t>10,490</w:t>
            </w:r>
            <w:r>
              <w:rPr>
                <w:rFonts w:ascii="Arial" w:hAnsi="Arial" w:cs="Arial"/>
                <w:b/>
                <w:bCs/>
              </w:rPr>
              <w:t>)</w:t>
            </w:r>
          </w:p>
        </w:tc>
      </w:tr>
      <w:tr w:rsidR="00966C9B" w:rsidRPr="00F64B0D" w14:paraId="7C858CB5" w14:textId="77777777" w:rsidTr="00FD22A3">
        <w:trPr>
          <w:trHeight w:val="300"/>
        </w:trPr>
        <w:tc>
          <w:tcPr>
            <w:tcW w:w="8222" w:type="dxa"/>
            <w:vMerge w:val="restart"/>
            <w:tcBorders>
              <w:top w:val="nil"/>
              <w:left w:val="single" w:sz="8" w:space="0" w:color="auto"/>
              <w:bottom w:val="nil"/>
              <w:right w:val="nil"/>
            </w:tcBorders>
            <w:shd w:val="clear" w:color="000000" w:fill="CCCCCC"/>
            <w:vAlign w:val="center"/>
            <w:hideMark/>
          </w:tcPr>
          <w:p w14:paraId="3C3EA942" w14:textId="77777777" w:rsidR="00F64B0D" w:rsidRPr="00F64B0D" w:rsidRDefault="00F64B0D" w:rsidP="00F64B0D">
            <w:pPr>
              <w:rPr>
                <w:rFonts w:ascii="Arial" w:hAnsi="Arial" w:cs="Arial"/>
                <w:b/>
                <w:bCs/>
                <w:color w:val="000000"/>
              </w:rPr>
            </w:pPr>
            <w:r w:rsidRPr="00F64B0D">
              <w:rPr>
                <w:rFonts w:ascii="Arial" w:hAnsi="Arial" w:cs="Arial"/>
                <w:b/>
                <w:bCs/>
                <w:color w:val="000000"/>
              </w:rPr>
              <w:t>Statement of Movement in the General Fund Balance:</w:t>
            </w:r>
          </w:p>
        </w:tc>
        <w:tc>
          <w:tcPr>
            <w:tcW w:w="992" w:type="dxa"/>
            <w:vMerge w:val="restart"/>
            <w:tcBorders>
              <w:top w:val="nil"/>
              <w:left w:val="single" w:sz="8" w:space="0" w:color="auto"/>
              <w:bottom w:val="nil"/>
              <w:right w:val="nil"/>
            </w:tcBorders>
            <w:shd w:val="clear" w:color="000000" w:fill="FFFFFF"/>
            <w:vAlign w:val="center"/>
            <w:hideMark/>
          </w:tcPr>
          <w:p w14:paraId="4AF029A2" w14:textId="77777777" w:rsidR="00F64B0D" w:rsidRPr="00FD22A3" w:rsidRDefault="00F64B0D" w:rsidP="00F64B0D">
            <w:pPr>
              <w:jc w:val="right"/>
              <w:rPr>
                <w:rFonts w:ascii="Arial" w:hAnsi="Arial" w:cs="Arial"/>
                <w:sz w:val="8"/>
                <w:szCs w:val="8"/>
              </w:rPr>
            </w:pPr>
            <w:r w:rsidRPr="00FD22A3">
              <w:rPr>
                <w:rFonts w:ascii="Arial" w:hAnsi="Arial" w:cs="Arial"/>
                <w:sz w:val="8"/>
                <w:szCs w:val="8"/>
              </w:rPr>
              <w:t> </w:t>
            </w:r>
          </w:p>
        </w:tc>
        <w:tc>
          <w:tcPr>
            <w:tcW w:w="1134" w:type="dxa"/>
            <w:vMerge w:val="restart"/>
            <w:tcBorders>
              <w:top w:val="nil"/>
              <w:left w:val="nil"/>
              <w:bottom w:val="nil"/>
              <w:right w:val="single" w:sz="8" w:space="0" w:color="auto"/>
            </w:tcBorders>
            <w:shd w:val="clear" w:color="000000" w:fill="CCCCCC"/>
            <w:vAlign w:val="center"/>
            <w:hideMark/>
          </w:tcPr>
          <w:p w14:paraId="7A7A11D3" w14:textId="77777777" w:rsidR="00F64B0D" w:rsidRPr="00FD22A3" w:rsidRDefault="00F64B0D" w:rsidP="00F64B0D">
            <w:pPr>
              <w:jc w:val="right"/>
              <w:rPr>
                <w:rFonts w:ascii="Arial" w:hAnsi="Arial" w:cs="Arial"/>
                <w:sz w:val="8"/>
                <w:szCs w:val="8"/>
              </w:rPr>
            </w:pPr>
            <w:r w:rsidRPr="00FD22A3">
              <w:rPr>
                <w:rFonts w:ascii="Arial" w:hAnsi="Arial" w:cs="Arial"/>
                <w:sz w:val="8"/>
                <w:szCs w:val="8"/>
              </w:rPr>
              <w:t> </w:t>
            </w:r>
          </w:p>
        </w:tc>
        <w:tc>
          <w:tcPr>
            <w:tcW w:w="1276" w:type="dxa"/>
            <w:vMerge w:val="restart"/>
            <w:tcBorders>
              <w:top w:val="nil"/>
              <w:left w:val="single" w:sz="8" w:space="0" w:color="auto"/>
              <w:bottom w:val="nil"/>
              <w:right w:val="nil"/>
            </w:tcBorders>
            <w:shd w:val="clear" w:color="000000" w:fill="FFFFFF"/>
            <w:vAlign w:val="center"/>
            <w:hideMark/>
          </w:tcPr>
          <w:p w14:paraId="380AD406" w14:textId="77777777" w:rsidR="00F64B0D" w:rsidRPr="00FD22A3" w:rsidRDefault="00F64B0D" w:rsidP="00F64B0D">
            <w:pPr>
              <w:jc w:val="right"/>
              <w:rPr>
                <w:rFonts w:ascii="Arial" w:hAnsi="Arial" w:cs="Arial"/>
                <w:sz w:val="8"/>
                <w:szCs w:val="8"/>
              </w:rPr>
            </w:pPr>
            <w:r w:rsidRPr="00FD22A3">
              <w:rPr>
                <w:rFonts w:ascii="Arial" w:hAnsi="Arial" w:cs="Arial"/>
                <w:sz w:val="8"/>
                <w:szCs w:val="8"/>
              </w:rPr>
              <w:t> </w:t>
            </w:r>
          </w:p>
        </w:tc>
        <w:tc>
          <w:tcPr>
            <w:tcW w:w="1417" w:type="dxa"/>
            <w:vMerge w:val="restart"/>
            <w:tcBorders>
              <w:top w:val="nil"/>
              <w:left w:val="nil"/>
              <w:bottom w:val="nil"/>
              <w:right w:val="single" w:sz="8" w:space="0" w:color="auto"/>
            </w:tcBorders>
            <w:shd w:val="clear" w:color="000000" w:fill="CCCCCC"/>
            <w:vAlign w:val="center"/>
            <w:hideMark/>
          </w:tcPr>
          <w:p w14:paraId="1274B423" w14:textId="77777777" w:rsidR="00F64B0D" w:rsidRPr="00FD22A3" w:rsidRDefault="00F64B0D" w:rsidP="00F64B0D">
            <w:pPr>
              <w:jc w:val="right"/>
              <w:rPr>
                <w:rFonts w:ascii="Arial" w:hAnsi="Arial" w:cs="Arial"/>
                <w:sz w:val="8"/>
                <w:szCs w:val="8"/>
              </w:rPr>
            </w:pPr>
            <w:r w:rsidRPr="00FD22A3">
              <w:rPr>
                <w:rFonts w:ascii="Arial" w:hAnsi="Arial" w:cs="Arial"/>
                <w:sz w:val="8"/>
                <w:szCs w:val="8"/>
              </w:rPr>
              <w:t> </w:t>
            </w:r>
          </w:p>
        </w:tc>
        <w:tc>
          <w:tcPr>
            <w:tcW w:w="1243" w:type="dxa"/>
            <w:vMerge w:val="restart"/>
            <w:tcBorders>
              <w:top w:val="nil"/>
              <w:left w:val="single" w:sz="8" w:space="0" w:color="auto"/>
              <w:bottom w:val="nil"/>
              <w:right w:val="nil"/>
            </w:tcBorders>
            <w:shd w:val="clear" w:color="000000" w:fill="FFFFFF"/>
            <w:vAlign w:val="center"/>
            <w:hideMark/>
          </w:tcPr>
          <w:p w14:paraId="222F60E8" w14:textId="77777777" w:rsidR="00F64B0D" w:rsidRPr="00FD22A3" w:rsidRDefault="00F64B0D" w:rsidP="00F64B0D">
            <w:pPr>
              <w:jc w:val="right"/>
              <w:rPr>
                <w:rFonts w:ascii="Arial" w:hAnsi="Arial" w:cs="Arial"/>
                <w:sz w:val="8"/>
                <w:szCs w:val="8"/>
              </w:rPr>
            </w:pPr>
            <w:r w:rsidRPr="00FD22A3">
              <w:rPr>
                <w:rFonts w:ascii="Arial" w:hAnsi="Arial" w:cs="Arial"/>
                <w:sz w:val="8"/>
                <w:szCs w:val="8"/>
              </w:rPr>
              <w:t> </w:t>
            </w:r>
          </w:p>
        </w:tc>
        <w:tc>
          <w:tcPr>
            <w:tcW w:w="1343" w:type="dxa"/>
            <w:vMerge w:val="restart"/>
            <w:tcBorders>
              <w:top w:val="nil"/>
              <w:left w:val="nil"/>
              <w:bottom w:val="nil"/>
              <w:right w:val="single" w:sz="8" w:space="0" w:color="auto"/>
            </w:tcBorders>
            <w:shd w:val="clear" w:color="000000" w:fill="CCCCCC"/>
            <w:vAlign w:val="center"/>
            <w:hideMark/>
          </w:tcPr>
          <w:p w14:paraId="0EA574FB" w14:textId="77777777" w:rsidR="00F64B0D" w:rsidRPr="00FD22A3" w:rsidRDefault="00F64B0D" w:rsidP="00F64B0D">
            <w:pPr>
              <w:jc w:val="right"/>
              <w:rPr>
                <w:rFonts w:ascii="Arial" w:hAnsi="Arial" w:cs="Arial"/>
                <w:sz w:val="8"/>
                <w:szCs w:val="8"/>
              </w:rPr>
            </w:pPr>
            <w:r w:rsidRPr="00FD22A3">
              <w:rPr>
                <w:rFonts w:ascii="Arial" w:hAnsi="Arial" w:cs="Arial"/>
                <w:sz w:val="8"/>
                <w:szCs w:val="8"/>
              </w:rPr>
              <w:t> </w:t>
            </w:r>
          </w:p>
        </w:tc>
      </w:tr>
      <w:tr w:rsidR="00966C9B" w:rsidRPr="00F64B0D" w14:paraId="1D3AB4BA" w14:textId="77777777" w:rsidTr="00FD22A3">
        <w:trPr>
          <w:trHeight w:val="230"/>
        </w:trPr>
        <w:tc>
          <w:tcPr>
            <w:tcW w:w="8222" w:type="dxa"/>
            <w:vMerge/>
            <w:tcBorders>
              <w:top w:val="nil"/>
              <w:left w:val="single" w:sz="8" w:space="0" w:color="auto"/>
              <w:bottom w:val="nil"/>
              <w:right w:val="nil"/>
            </w:tcBorders>
            <w:vAlign w:val="center"/>
            <w:hideMark/>
          </w:tcPr>
          <w:p w14:paraId="2A73FF8E" w14:textId="77777777" w:rsidR="00966C9B" w:rsidRPr="00F64B0D" w:rsidRDefault="00966C9B" w:rsidP="00F64B0D">
            <w:pPr>
              <w:rPr>
                <w:rFonts w:ascii="Arial" w:hAnsi="Arial" w:cs="Arial"/>
                <w:b/>
                <w:bCs/>
                <w:color w:val="000000"/>
              </w:rPr>
            </w:pPr>
          </w:p>
        </w:tc>
        <w:tc>
          <w:tcPr>
            <w:tcW w:w="992" w:type="dxa"/>
            <w:vMerge/>
            <w:tcBorders>
              <w:top w:val="nil"/>
              <w:left w:val="single" w:sz="8" w:space="0" w:color="auto"/>
              <w:bottom w:val="nil"/>
              <w:right w:val="nil"/>
            </w:tcBorders>
            <w:vAlign w:val="center"/>
            <w:hideMark/>
          </w:tcPr>
          <w:p w14:paraId="3F1FB18B" w14:textId="77777777" w:rsidR="00966C9B" w:rsidRPr="00F64B0D" w:rsidRDefault="00966C9B" w:rsidP="00F64B0D">
            <w:pPr>
              <w:rPr>
                <w:rFonts w:ascii="Arial" w:hAnsi="Arial" w:cs="Arial"/>
              </w:rPr>
            </w:pPr>
          </w:p>
        </w:tc>
        <w:tc>
          <w:tcPr>
            <w:tcW w:w="1134" w:type="dxa"/>
            <w:vMerge/>
            <w:tcBorders>
              <w:top w:val="nil"/>
              <w:left w:val="nil"/>
              <w:bottom w:val="nil"/>
              <w:right w:val="single" w:sz="8" w:space="0" w:color="auto"/>
            </w:tcBorders>
            <w:vAlign w:val="center"/>
            <w:hideMark/>
          </w:tcPr>
          <w:p w14:paraId="3DEAFBDC" w14:textId="77777777" w:rsidR="00966C9B" w:rsidRPr="00F64B0D" w:rsidRDefault="00966C9B" w:rsidP="00F64B0D">
            <w:pPr>
              <w:rPr>
                <w:rFonts w:ascii="Arial" w:hAnsi="Arial" w:cs="Arial"/>
              </w:rPr>
            </w:pPr>
          </w:p>
        </w:tc>
        <w:tc>
          <w:tcPr>
            <w:tcW w:w="1276" w:type="dxa"/>
            <w:vMerge/>
            <w:tcBorders>
              <w:top w:val="nil"/>
              <w:left w:val="single" w:sz="8" w:space="0" w:color="auto"/>
              <w:bottom w:val="nil"/>
              <w:right w:val="nil"/>
            </w:tcBorders>
            <w:vAlign w:val="center"/>
            <w:hideMark/>
          </w:tcPr>
          <w:p w14:paraId="7ACD0301" w14:textId="77777777" w:rsidR="00966C9B" w:rsidRPr="00F64B0D" w:rsidRDefault="00966C9B" w:rsidP="00F64B0D">
            <w:pPr>
              <w:rPr>
                <w:rFonts w:ascii="Arial" w:hAnsi="Arial" w:cs="Arial"/>
              </w:rPr>
            </w:pPr>
          </w:p>
        </w:tc>
        <w:tc>
          <w:tcPr>
            <w:tcW w:w="1417" w:type="dxa"/>
            <w:vMerge/>
            <w:tcBorders>
              <w:top w:val="nil"/>
              <w:left w:val="nil"/>
              <w:bottom w:val="nil"/>
              <w:right w:val="single" w:sz="8" w:space="0" w:color="auto"/>
            </w:tcBorders>
            <w:vAlign w:val="center"/>
            <w:hideMark/>
          </w:tcPr>
          <w:p w14:paraId="25F946A2" w14:textId="77777777" w:rsidR="00966C9B" w:rsidRPr="00F64B0D" w:rsidRDefault="00966C9B" w:rsidP="00F64B0D">
            <w:pPr>
              <w:rPr>
                <w:rFonts w:ascii="Arial" w:hAnsi="Arial" w:cs="Arial"/>
              </w:rPr>
            </w:pPr>
          </w:p>
        </w:tc>
        <w:tc>
          <w:tcPr>
            <w:tcW w:w="1243" w:type="dxa"/>
            <w:vMerge/>
            <w:tcBorders>
              <w:top w:val="nil"/>
              <w:left w:val="single" w:sz="8" w:space="0" w:color="auto"/>
              <w:bottom w:val="nil"/>
              <w:right w:val="nil"/>
            </w:tcBorders>
            <w:vAlign w:val="center"/>
            <w:hideMark/>
          </w:tcPr>
          <w:p w14:paraId="671785B2" w14:textId="77777777" w:rsidR="00966C9B" w:rsidRPr="00F64B0D" w:rsidRDefault="00966C9B" w:rsidP="00F64B0D">
            <w:pPr>
              <w:rPr>
                <w:rFonts w:ascii="Arial" w:hAnsi="Arial" w:cs="Arial"/>
              </w:rPr>
            </w:pPr>
          </w:p>
        </w:tc>
        <w:tc>
          <w:tcPr>
            <w:tcW w:w="1343" w:type="dxa"/>
            <w:vMerge/>
            <w:tcBorders>
              <w:top w:val="nil"/>
              <w:left w:val="nil"/>
              <w:bottom w:val="nil"/>
              <w:right w:val="single" w:sz="8" w:space="0" w:color="auto"/>
            </w:tcBorders>
            <w:vAlign w:val="center"/>
            <w:hideMark/>
          </w:tcPr>
          <w:p w14:paraId="0C70FD7F" w14:textId="77777777" w:rsidR="00966C9B" w:rsidRPr="00F64B0D" w:rsidRDefault="00966C9B" w:rsidP="00F64B0D">
            <w:pPr>
              <w:rPr>
                <w:rFonts w:ascii="Arial" w:hAnsi="Arial" w:cs="Arial"/>
              </w:rPr>
            </w:pPr>
          </w:p>
        </w:tc>
      </w:tr>
      <w:tr w:rsidR="00A02571" w:rsidRPr="00F64B0D" w14:paraId="3CFAC84F" w14:textId="77777777" w:rsidTr="00FD22A3">
        <w:trPr>
          <w:trHeight w:val="510"/>
        </w:trPr>
        <w:tc>
          <w:tcPr>
            <w:tcW w:w="8222" w:type="dxa"/>
            <w:tcBorders>
              <w:top w:val="nil"/>
              <w:left w:val="single" w:sz="8" w:space="0" w:color="auto"/>
              <w:bottom w:val="nil"/>
              <w:right w:val="nil"/>
            </w:tcBorders>
            <w:shd w:val="clear" w:color="000000" w:fill="CCCCCC"/>
            <w:vAlign w:val="center"/>
            <w:hideMark/>
          </w:tcPr>
          <w:p w14:paraId="70340FEB" w14:textId="77777777" w:rsidR="00A02571" w:rsidRPr="00F64B0D" w:rsidRDefault="00A02571" w:rsidP="00A02571">
            <w:pPr>
              <w:rPr>
                <w:rFonts w:ascii="Arial" w:hAnsi="Arial" w:cs="Arial"/>
                <w:color w:val="000000"/>
              </w:rPr>
            </w:pPr>
            <w:r w:rsidRPr="00F64B0D">
              <w:rPr>
                <w:rFonts w:ascii="Arial" w:hAnsi="Arial" w:cs="Arial"/>
                <w:color w:val="000000"/>
              </w:rPr>
              <w:t>Reversal of net charges made to the (Surplus)/Deficit on the Provision of Services for post-employment benefits by IAS19 in accordance with the Code</w:t>
            </w:r>
          </w:p>
        </w:tc>
        <w:tc>
          <w:tcPr>
            <w:tcW w:w="992" w:type="dxa"/>
            <w:tcBorders>
              <w:top w:val="nil"/>
              <w:left w:val="single" w:sz="8" w:space="0" w:color="auto"/>
              <w:bottom w:val="nil"/>
              <w:right w:val="nil"/>
            </w:tcBorders>
            <w:shd w:val="clear" w:color="000000" w:fill="FFFFFF"/>
            <w:vAlign w:val="center"/>
            <w:hideMark/>
          </w:tcPr>
          <w:p w14:paraId="1853AE19" w14:textId="2F35228D" w:rsidR="00A02571" w:rsidRPr="00F64B0D" w:rsidRDefault="00A02571" w:rsidP="00A02571">
            <w:pPr>
              <w:jc w:val="right"/>
              <w:rPr>
                <w:rFonts w:ascii="Arial" w:hAnsi="Arial" w:cs="Arial"/>
              </w:rPr>
            </w:pPr>
            <w:r w:rsidRPr="00F64B0D">
              <w:rPr>
                <w:rFonts w:ascii="Arial" w:hAnsi="Arial" w:cs="Arial"/>
              </w:rPr>
              <w:t>(</w:t>
            </w:r>
            <w:r>
              <w:rPr>
                <w:rFonts w:ascii="Arial" w:hAnsi="Arial" w:cs="Arial"/>
              </w:rPr>
              <w:t>123</w:t>
            </w:r>
            <w:r w:rsidRPr="00F64B0D">
              <w:rPr>
                <w:rFonts w:ascii="Arial" w:hAnsi="Arial" w:cs="Arial"/>
              </w:rPr>
              <w:t>)</w:t>
            </w:r>
          </w:p>
        </w:tc>
        <w:tc>
          <w:tcPr>
            <w:tcW w:w="1134" w:type="dxa"/>
            <w:tcBorders>
              <w:top w:val="nil"/>
              <w:left w:val="nil"/>
              <w:bottom w:val="nil"/>
              <w:right w:val="single" w:sz="8" w:space="0" w:color="auto"/>
            </w:tcBorders>
            <w:shd w:val="clear" w:color="000000" w:fill="CCCCCC"/>
            <w:vAlign w:val="center"/>
            <w:hideMark/>
          </w:tcPr>
          <w:p w14:paraId="5D4AB525" w14:textId="44652B70" w:rsidR="00A02571" w:rsidRPr="00F64B0D" w:rsidRDefault="00A02571" w:rsidP="00A02571">
            <w:pPr>
              <w:jc w:val="right"/>
              <w:rPr>
                <w:rFonts w:ascii="Arial" w:hAnsi="Arial" w:cs="Arial"/>
              </w:rPr>
            </w:pPr>
            <w:r>
              <w:rPr>
                <w:rFonts w:ascii="Arial" w:hAnsi="Arial" w:cs="Arial"/>
              </w:rPr>
              <w:t>(387)</w:t>
            </w:r>
          </w:p>
        </w:tc>
        <w:tc>
          <w:tcPr>
            <w:tcW w:w="1276" w:type="dxa"/>
            <w:tcBorders>
              <w:top w:val="nil"/>
              <w:left w:val="nil"/>
              <w:bottom w:val="nil"/>
              <w:right w:val="nil"/>
            </w:tcBorders>
            <w:shd w:val="clear" w:color="000000" w:fill="FFFFFF"/>
            <w:vAlign w:val="center"/>
            <w:hideMark/>
          </w:tcPr>
          <w:p w14:paraId="161431E6" w14:textId="16405F31" w:rsidR="00A02571" w:rsidRPr="00F64B0D" w:rsidRDefault="00A02571" w:rsidP="00A02571">
            <w:pPr>
              <w:jc w:val="right"/>
              <w:rPr>
                <w:rFonts w:ascii="Arial" w:hAnsi="Arial" w:cs="Arial"/>
              </w:rPr>
            </w:pPr>
            <w:r w:rsidRPr="00F64B0D">
              <w:rPr>
                <w:rFonts w:ascii="Arial" w:hAnsi="Arial" w:cs="Arial"/>
              </w:rPr>
              <w:t>(</w:t>
            </w:r>
            <w:r>
              <w:rPr>
                <w:rFonts w:ascii="Arial" w:hAnsi="Arial" w:cs="Arial"/>
              </w:rPr>
              <w:t>10</w:t>
            </w:r>
            <w:r w:rsidRPr="00F64B0D">
              <w:rPr>
                <w:rFonts w:ascii="Arial" w:hAnsi="Arial" w:cs="Arial"/>
              </w:rPr>
              <w:t>,</w:t>
            </w:r>
            <w:r>
              <w:rPr>
                <w:rFonts w:ascii="Arial" w:hAnsi="Arial" w:cs="Arial"/>
              </w:rPr>
              <w:t>885</w:t>
            </w:r>
            <w:r w:rsidRPr="00F64B0D">
              <w:rPr>
                <w:rFonts w:ascii="Arial" w:hAnsi="Arial" w:cs="Arial"/>
              </w:rPr>
              <w:t>)</w:t>
            </w:r>
          </w:p>
        </w:tc>
        <w:tc>
          <w:tcPr>
            <w:tcW w:w="1417" w:type="dxa"/>
            <w:tcBorders>
              <w:top w:val="nil"/>
              <w:left w:val="nil"/>
              <w:bottom w:val="nil"/>
              <w:right w:val="single" w:sz="8" w:space="0" w:color="auto"/>
            </w:tcBorders>
            <w:shd w:val="clear" w:color="000000" w:fill="CCCCCC"/>
            <w:vAlign w:val="center"/>
            <w:hideMark/>
          </w:tcPr>
          <w:p w14:paraId="1FCAF5C9" w14:textId="7D9E5005" w:rsidR="00A02571" w:rsidRPr="00F64B0D" w:rsidRDefault="00A02571" w:rsidP="00A02571">
            <w:pPr>
              <w:jc w:val="right"/>
              <w:rPr>
                <w:rFonts w:ascii="Arial" w:hAnsi="Arial" w:cs="Arial"/>
              </w:rPr>
            </w:pPr>
            <w:r>
              <w:rPr>
                <w:rFonts w:ascii="Arial" w:hAnsi="Arial" w:cs="Arial"/>
              </w:rPr>
              <w:t>(12,224)</w:t>
            </w:r>
          </w:p>
        </w:tc>
        <w:tc>
          <w:tcPr>
            <w:tcW w:w="1243" w:type="dxa"/>
            <w:tcBorders>
              <w:top w:val="nil"/>
              <w:left w:val="nil"/>
              <w:bottom w:val="nil"/>
              <w:right w:val="nil"/>
            </w:tcBorders>
            <w:shd w:val="clear" w:color="000000" w:fill="FFFFFF"/>
            <w:vAlign w:val="center"/>
            <w:hideMark/>
          </w:tcPr>
          <w:p w14:paraId="4843E075" w14:textId="2E6ADF39" w:rsidR="00A02571" w:rsidRPr="00F64B0D" w:rsidRDefault="00A02571" w:rsidP="00A02571">
            <w:pPr>
              <w:jc w:val="right"/>
              <w:rPr>
                <w:rFonts w:ascii="Arial" w:hAnsi="Arial" w:cs="Arial"/>
              </w:rPr>
            </w:pPr>
            <w:r w:rsidRPr="00F64B0D">
              <w:rPr>
                <w:rFonts w:ascii="Arial" w:hAnsi="Arial" w:cs="Arial"/>
              </w:rPr>
              <w:t>(</w:t>
            </w:r>
            <w:r>
              <w:rPr>
                <w:rFonts w:ascii="Arial" w:hAnsi="Arial" w:cs="Arial"/>
              </w:rPr>
              <w:t>11</w:t>
            </w:r>
            <w:r w:rsidRPr="00F64B0D">
              <w:rPr>
                <w:rFonts w:ascii="Arial" w:hAnsi="Arial" w:cs="Arial"/>
              </w:rPr>
              <w:t>,</w:t>
            </w:r>
            <w:r>
              <w:rPr>
                <w:rFonts w:ascii="Arial" w:hAnsi="Arial" w:cs="Arial"/>
              </w:rPr>
              <w:t>00</w:t>
            </w:r>
            <w:r w:rsidRPr="00F64B0D">
              <w:rPr>
                <w:rFonts w:ascii="Arial" w:hAnsi="Arial" w:cs="Arial"/>
              </w:rPr>
              <w:t>8)</w:t>
            </w:r>
          </w:p>
        </w:tc>
        <w:tc>
          <w:tcPr>
            <w:tcW w:w="1343" w:type="dxa"/>
            <w:tcBorders>
              <w:top w:val="nil"/>
              <w:left w:val="nil"/>
              <w:bottom w:val="nil"/>
              <w:right w:val="single" w:sz="8" w:space="0" w:color="auto"/>
            </w:tcBorders>
            <w:shd w:val="clear" w:color="000000" w:fill="CCCCCC"/>
            <w:vAlign w:val="center"/>
            <w:hideMark/>
          </w:tcPr>
          <w:p w14:paraId="6F06CA6F" w14:textId="6AFBA05C" w:rsidR="00A02571" w:rsidRPr="00F64B0D" w:rsidRDefault="00A02571" w:rsidP="00A02571">
            <w:pPr>
              <w:jc w:val="right"/>
              <w:rPr>
                <w:rFonts w:ascii="Arial" w:hAnsi="Arial" w:cs="Arial"/>
              </w:rPr>
            </w:pPr>
            <w:r>
              <w:rPr>
                <w:rFonts w:ascii="Arial" w:hAnsi="Arial" w:cs="Arial"/>
              </w:rPr>
              <w:t>(12,611)</w:t>
            </w:r>
          </w:p>
        </w:tc>
      </w:tr>
      <w:tr w:rsidR="00A02571" w:rsidRPr="00F64B0D" w14:paraId="54A33F64" w14:textId="77777777" w:rsidTr="00FD22A3">
        <w:trPr>
          <w:trHeight w:val="511"/>
        </w:trPr>
        <w:tc>
          <w:tcPr>
            <w:tcW w:w="8222" w:type="dxa"/>
            <w:tcBorders>
              <w:top w:val="nil"/>
              <w:left w:val="single" w:sz="8" w:space="0" w:color="auto"/>
              <w:bottom w:val="nil"/>
              <w:right w:val="nil"/>
            </w:tcBorders>
            <w:shd w:val="clear" w:color="000000" w:fill="CCCCCC"/>
            <w:vAlign w:val="center"/>
            <w:hideMark/>
          </w:tcPr>
          <w:p w14:paraId="7BE35D08" w14:textId="77777777" w:rsidR="00A02571" w:rsidRPr="00F64B0D" w:rsidRDefault="00A02571" w:rsidP="00A02571">
            <w:pPr>
              <w:rPr>
                <w:rFonts w:ascii="Arial" w:hAnsi="Arial" w:cs="Arial"/>
                <w:b/>
                <w:bCs/>
                <w:color w:val="000000"/>
              </w:rPr>
            </w:pPr>
            <w:r w:rsidRPr="00F64B0D">
              <w:rPr>
                <w:rFonts w:ascii="Arial" w:hAnsi="Arial" w:cs="Arial"/>
                <w:b/>
                <w:bCs/>
                <w:color w:val="000000"/>
              </w:rPr>
              <w:t>Actual amount charged against the General Fund Balance for pensions in the year:</w:t>
            </w:r>
          </w:p>
        </w:tc>
        <w:tc>
          <w:tcPr>
            <w:tcW w:w="992" w:type="dxa"/>
            <w:tcBorders>
              <w:top w:val="nil"/>
              <w:left w:val="single" w:sz="8" w:space="0" w:color="auto"/>
              <w:bottom w:val="nil"/>
              <w:right w:val="nil"/>
            </w:tcBorders>
            <w:shd w:val="clear" w:color="000000" w:fill="FFFFFF"/>
            <w:vAlign w:val="center"/>
            <w:hideMark/>
          </w:tcPr>
          <w:p w14:paraId="5C74F00B" w14:textId="77777777" w:rsidR="00A02571" w:rsidRPr="00F64B0D" w:rsidRDefault="00A02571" w:rsidP="00A02571">
            <w:pPr>
              <w:jc w:val="right"/>
              <w:rPr>
                <w:rFonts w:ascii="Arial" w:hAnsi="Arial" w:cs="Arial"/>
              </w:rPr>
            </w:pPr>
            <w:r w:rsidRPr="00F64B0D">
              <w:rPr>
                <w:rFonts w:ascii="Arial" w:hAnsi="Arial" w:cs="Arial"/>
              </w:rPr>
              <w:t> </w:t>
            </w:r>
          </w:p>
        </w:tc>
        <w:tc>
          <w:tcPr>
            <w:tcW w:w="1134" w:type="dxa"/>
            <w:tcBorders>
              <w:top w:val="nil"/>
              <w:left w:val="nil"/>
              <w:bottom w:val="nil"/>
              <w:right w:val="single" w:sz="8" w:space="0" w:color="auto"/>
            </w:tcBorders>
            <w:shd w:val="clear" w:color="000000" w:fill="CCCCCC"/>
            <w:vAlign w:val="center"/>
            <w:hideMark/>
          </w:tcPr>
          <w:p w14:paraId="0D29C4D2" w14:textId="55329D4C" w:rsidR="00A02571" w:rsidRPr="00F64B0D" w:rsidRDefault="00A02571" w:rsidP="00A02571">
            <w:pPr>
              <w:jc w:val="right"/>
              <w:rPr>
                <w:rFonts w:ascii="Arial" w:hAnsi="Arial" w:cs="Arial"/>
              </w:rPr>
            </w:pPr>
            <w:r>
              <w:rPr>
                <w:rFonts w:ascii="Arial" w:hAnsi="Arial" w:cs="Arial"/>
              </w:rPr>
              <w:t> </w:t>
            </w:r>
          </w:p>
        </w:tc>
        <w:tc>
          <w:tcPr>
            <w:tcW w:w="1276" w:type="dxa"/>
            <w:tcBorders>
              <w:top w:val="nil"/>
              <w:left w:val="nil"/>
              <w:bottom w:val="nil"/>
              <w:right w:val="nil"/>
            </w:tcBorders>
            <w:shd w:val="clear" w:color="000000" w:fill="FFFFFF"/>
            <w:vAlign w:val="center"/>
            <w:hideMark/>
          </w:tcPr>
          <w:p w14:paraId="16705235" w14:textId="77777777" w:rsidR="00A02571" w:rsidRPr="00F64B0D" w:rsidRDefault="00A02571" w:rsidP="00A02571">
            <w:pPr>
              <w:jc w:val="right"/>
              <w:rPr>
                <w:rFonts w:ascii="Arial" w:hAnsi="Arial" w:cs="Arial"/>
              </w:rPr>
            </w:pPr>
            <w:r w:rsidRPr="00F64B0D">
              <w:rPr>
                <w:rFonts w:ascii="Arial" w:hAnsi="Arial" w:cs="Arial"/>
              </w:rPr>
              <w:t> </w:t>
            </w:r>
          </w:p>
        </w:tc>
        <w:tc>
          <w:tcPr>
            <w:tcW w:w="1417" w:type="dxa"/>
            <w:tcBorders>
              <w:top w:val="nil"/>
              <w:left w:val="nil"/>
              <w:bottom w:val="nil"/>
              <w:right w:val="single" w:sz="8" w:space="0" w:color="auto"/>
            </w:tcBorders>
            <w:shd w:val="clear" w:color="000000" w:fill="CCCCCC"/>
            <w:vAlign w:val="center"/>
            <w:hideMark/>
          </w:tcPr>
          <w:p w14:paraId="6E0E6B48" w14:textId="29C13A65" w:rsidR="00A02571" w:rsidRPr="00F64B0D" w:rsidRDefault="00A02571" w:rsidP="00A02571">
            <w:pPr>
              <w:jc w:val="right"/>
              <w:rPr>
                <w:rFonts w:ascii="Arial" w:hAnsi="Arial" w:cs="Arial"/>
              </w:rPr>
            </w:pPr>
            <w:r>
              <w:rPr>
                <w:rFonts w:ascii="Arial" w:hAnsi="Arial" w:cs="Arial"/>
              </w:rPr>
              <w:t> </w:t>
            </w:r>
          </w:p>
        </w:tc>
        <w:tc>
          <w:tcPr>
            <w:tcW w:w="1243" w:type="dxa"/>
            <w:tcBorders>
              <w:top w:val="nil"/>
              <w:left w:val="nil"/>
              <w:bottom w:val="nil"/>
              <w:right w:val="nil"/>
            </w:tcBorders>
            <w:shd w:val="clear" w:color="000000" w:fill="FFFFFF"/>
            <w:vAlign w:val="center"/>
            <w:hideMark/>
          </w:tcPr>
          <w:p w14:paraId="3A36938E" w14:textId="77777777" w:rsidR="00A02571" w:rsidRPr="00F64B0D" w:rsidRDefault="00A02571" w:rsidP="00A02571">
            <w:pPr>
              <w:jc w:val="right"/>
              <w:rPr>
                <w:rFonts w:ascii="Arial" w:hAnsi="Arial" w:cs="Arial"/>
              </w:rPr>
            </w:pPr>
            <w:r w:rsidRPr="00F64B0D">
              <w:rPr>
                <w:rFonts w:ascii="Arial" w:hAnsi="Arial" w:cs="Arial"/>
              </w:rPr>
              <w:t> </w:t>
            </w:r>
          </w:p>
        </w:tc>
        <w:tc>
          <w:tcPr>
            <w:tcW w:w="1343" w:type="dxa"/>
            <w:tcBorders>
              <w:top w:val="nil"/>
              <w:left w:val="nil"/>
              <w:bottom w:val="nil"/>
              <w:right w:val="single" w:sz="8" w:space="0" w:color="auto"/>
            </w:tcBorders>
            <w:shd w:val="clear" w:color="000000" w:fill="CCCCCC"/>
            <w:vAlign w:val="center"/>
            <w:hideMark/>
          </w:tcPr>
          <w:p w14:paraId="5AC785BA" w14:textId="10E54234" w:rsidR="00A02571" w:rsidRPr="00F64B0D" w:rsidRDefault="00A02571" w:rsidP="00A02571">
            <w:pPr>
              <w:jc w:val="right"/>
              <w:rPr>
                <w:rFonts w:ascii="Arial" w:hAnsi="Arial" w:cs="Arial"/>
              </w:rPr>
            </w:pPr>
            <w:r>
              <w:rPr>
                <w:rFonts w:ascii="Arial" w:hAnsi="Arial" w:cs="Arial"/>
              </w:rPr>
              <w:t> </w:t>
            </w:r>
          </w:p>
        </w:tc>
      </w:tr>
      <w:tr w:rsidR="00A02571" w:rsidRPr="00F64B0D" w14:paraId="1DD2CC93" w14:textId="77777777" w:rsidTr="00FD22A3">
        <w:trPr>
          <w:trHeight w:val="315"/>
        </w:trPr>
        <w:tc>
          <w:tcPr>
            <w:tcW w:w="8222" w:type="dxa"/>
            <w:tcBorders>
              <w:top w:val="nil"/>
              <w:left w:val="single" w:sz="8" w:space="0" w:color="auto"/>
              <w:bottom w:val="single" w:sz="8" w:space="0" w:color="auto"/>
              <w:right w:val="nil"/>
            </w:tcBorders>
            <w:shd w:val="clear" w:color="000000" w:fill="CCCCCC"/>
            <w:vAlign w:val="center"/>
            <w:hideMark/>
          </w:tcPr>
          <w:p w14:paraId="15C3C66F" w14:textId="77777777" w:rsidR="00A02571" w:rsidRPr="00F64B0D" w:rsidRDefault="00A02571" w:rsidP="00A02571">
            <w:pPr>
              <w:rPr>
                <w:rFonts w:ascii="Arial" w:hAnsi="Arial" w:cs="Arial"/>
                <w:color w:val="000000"/>
              </w:rPr>
            </w:pPr>
            <w:r w:rsidRPr="00F64B0D">
              <w:rPr>
                <w:rFonts w:ascii="Arial" w:hAnsi="Arial" w:cs="Arial"/>
                <w:color w:val="000000"/>
              </w:rPr>
              <w:t>Employers’ contributions payable to scheme</w:t>
            </w:r>
          </w:p>
        </w:tc>
        <w:tc>
          <w:tcPr>
            <w:tcW w:w="992" w:type="dxa"/>
            <w:tcBorders>
              <w:top w:val="nil"/>
              <w:left w:val="single" w:sz="8" w:space="0" w:color="auto"/>
              <w:bottom w:val="single" w:sz="8" w:space="0" w:color="auto"/>
              <w:right w:val="nil"/>
            </w:tcBorders>
            <w:shd w:val="clear" w:color="000000" w:fill="FFFFFF"/>
            <w:vAlign w:val="center"/>
            <w:hideMark/>
          </w:tcPr>
          <w:p w14:paraId="12A04168" w14:textId="2ADCD417" w:rsidR="00A02571" w:rsidRPr="00F64B0D" w:rsidRDefault="00A02571" w:rsidP="00A02571">
            <w:pPr>
              <w:jc w:val="right"/>
              <w:rPr>
                <w:rFonts w:ascii="Arial" w:hAnsi="Arial" w:cs="Arial"/>
              </w:rPr>
            </w:pPr>
            <w:r w:rsidRPr="00F64B0D">
              <w:rPr>
                <w:rFonts w:ascii="Arial" w:hAnsi="Arial" w:cs="Arial"/>
              </w:rPr>
              <w:t>10</w:t>
            </w:r>
            <w:r>
              <w:rPr>
                <w:rFonts w:ascii="Arial" w:hAnsi="Arial" w:cs="Arial"/>
              </w:rPr>
              <w:t>2</w:t>
            </w:r>
          </w:p>
        </w:tc>
        <w:tc>
          <w:tcPr>
            <w:tcW w:w="1134" w:type="dxa"/>
            <w:tcBorders>
              <w:top w:val="nil"/>
              <w:left w:val="nil"/>
              <w:bottom w:val="single" w:sz="8" w:space="0" w:color="auto"/>
              <w:right w:val="single" w:sz="8" w:space="0" w:color="auto"/>
            </w:tcBorders>
            <w:shd w:val="clear" w:color="000000" w:fill="CCCCCC"/>
            <w:vAlign w:val="center"/>
            <w:hideMark/>
          </w:tcPr>
          <w:p w14:paraId="28F9E549" w14:textId="7588CE71" w:rsidR="00A02571" w:rsidRPr="00F64B0D" w:rsidRDefault="00A02571" w:rsidP="00A02571">
            <w:pPr>
              <w:jc w:val="right"/>
              <w:rPr>
                <w:rFonts w:ascii="Arial" w:hAnsi="Arial" w:cs="Arial"/>
              </w:rPr>
            </w:pPr>
            <w:r>
              <w:rPr>
                <w:rFonts w:ascii="Arial" w:hAnsi="Arial" w:cs="Arial"/>
              </w:rPr>
              <w:t>496</w:t>
            </w:r>
          </w:p>
        </w:tc>
        <w:tc>
          <w:tcPr>
            <w:tcW w:w="1276" w:type="dxa"/>
            <w:tcBorders>
              <w:top w:val="nil"/>
              <w:left w:val="nil"/>
              <w:bottom w:val="single" w:sz="8" w:space="0" w:color="auto"/>
              <w:right w:val="nil"/>
            </w:tcBorders>
            <w:shd w:val="clear" w:color="000000" w:fill="FFFFFF"/>
            <w:vAlign w:val="center"/>
            <w:hideMark/>
          </w:tcPr>
          <w:p w14:paraId="15DDE555" w14:textId="1D45EF55" w:rsidR="00A02571" w:rsidRPr="00F64B0D" w:rsidRDefault="00A02571" w:rsidP="00A02571">
            <w:pPr>
              <w:jc w:val="right"/>
              <w:rPr>
                <w:rFonts w:ascii="Arial" w:hAnsi="Arial" w:cs="Arial"/>
              </w:rPr>
            </w:pPr>
            <w:r>
              <w:rPr>
                <w:rFonts w:ascii="Arial" w:hAnsi="Arial" w:cs="Arial"/>
              </w:rPr>
              <w:t>10</w:t>
            </w:r>
            <w:r w:rsidRPr="00F64B0D">
              <w:rPr>
                <w:rFonts w:ascii="Arial" w:hAnsi="Arial" w:cs="Arial"/>
              </w:rPr>
              <w:t>,</w:t>
            </w:r>
            <w:r>
              <w:rPr>
                <w:rFonts w:ascii="Arial" w:hAnsi="Arial" w:cs="Arial"/>
              </w:rPr>
              <w:t>706</w:t>
            </w:r>
          </w:p>
        </w:tc>
        <w:tc>
          <w:tcPr>
            <w:tcW w:w="1417" w:type="dxa"/>
            <w:tcBorders>
              <w:top w:val="nil"/>
              <w:left w:val="nil"/>
              <w:bottom w:val="single" w:sz="8" w:space="0" w:color="auto"/>
              <w:right w:val="single" w:sz="8" w:space="0" w:color="auto"/>
            </w:tcBorders>
            <w:shd w:val="clear" w:color="000000" w:fill="CCCCCC"/>
            <w:vAlign w:val="center"/>
            <w:hideMark/>
          </w:tcPr>
          <w:p w14:paraId="7CB3B01D" w14:textId="510E76A8" w:rsidR="00A02571" w:rsidRPr="00F64B0D" w:rsidRDefault="00A02571" w:rsidP="00A02571">
            <w:pPr>
              <w:jc w:val="right"/>
              <w:rPr>
                <w:rFonts w:ascii="Arial" w:hAnsi="Arial" w:cs="Arial"/>
              </w:rPr>
            </w:pPr>
            <w:r>
              <w:rPr>
                <w:rFonts w:ascii="Arial" w:hAnsi="Arial" w:cs="Arial"/>
              </w:rPr>
              <w:t>11,231</w:t>
            </w:r>
          </w:p>
        </w:tc>
        <w:tc>
          <w:tcPr>
            <w:tcW w:w="1243" w:type="dxa"/>
            <w:tcBorders>
              <w:top w:val="nil"/>
              <w:left w:val="nil"/>
              <w:bottom w:val="single" w:sz="8" w:space="0" w:color="auto"/>
              <w:right w:val="nil"/>
            </w:tcBorders>
            <w:shd w:val="clear" w:color="000000" w:fill="FFFFFF"/>
            <w:vAlign w:val="center"/>
            <w:hideMark/>
          </w:tcPr>
          <w:p w14:paraId="14783842" w14:textId="2B84E9DD" w:rsidR="00A02571" w:rsidRPr="00F64B0D" w:rsidRDefault="00A02571" w:rsidP="00A02571">
            <w:pPr>
              <w:jc w:val="right"/>
              <w:rPr>
                <w:rFonts w:ascii="Arial" w:hAnsi="Arial" w:cs="Arial"/>
              </w:rPr>
            </w:pPr>
            <w:r>
              <w:rPr>
                <w:rFonts w:ascii="Arial" w:hAnsi="Arial" w:cs="Arial"/>
              </w:rPr>
              <w:t>10</w:t>
            </w:r>
            <w:r w:rsidRPr="00F64B0D">
              <w:rPr>
                <w:rFonts w:ascii="Arial" w:hAnsi="Arial" w:cs="Arial"/>
              </w:rPr>
              <w:t>,</w:t>
            </w:r>
            <w:r>
              <w:rPr>
                <w:rFonts w:ascii="Arial" w:hAnsi="Arial" w:cs="Arial"/>
              </w:rPr>
              <w:t>8</w:t>
            </w:r>
            <w:r w:rsidRPr="00F64B0D">
              <w:rPr>
                <w:rFonts w:ascii="Arial" w:hAnsi="Arial" w:cs="Arial"/>
              </w:rPr>
              <w:t>0</w:t>
            </w:r>
            <w:r>
              <w:rPr>
                <w:rFonts w:ascii="Arial" w:hAnsi="Arial" w:cs="Arial"/>
              </w:rPr>
              <w:t>8</w:t>
            </w:r>
          </w:p>
        </w:tc>
        <w:tc>
          <w:tcPr>
            <w:tcW w:w="1343" w:type="dxa"/>
            <w:tcBorders>
              <w:top w:val="nil"/>
              <w:left w:val="nil"/>
              <w:bottom w:val="single" w:sz="8" w:space="0" w:color="auto"/>
              <w:right w:val="single" w:sz="8" w:space="0" w:color="auto"/>
            </w:tcBorders>
            <w:shd w:val="clear" w:color="000000" w:fill="CCCCCC"/>
            <w:vAlign w:val="center"/>
            <w:hideMark/>
          </w:tcPr>
          <w:p w14:paraId="6312E8DB" w14:textId="433A3A72" w:rsidR="00A02571" w:rsidRPr="00F64B0D" w:rsidRDefault="00A02571" w:rsidP="00A02571">
            <w:pPr>
              <w:jc w:val="right"/>
              <w:rPr>
                <w:rFonts w:ascii="Arial" w:hAnsi="Arial" w:cs="Arial"/>
              </w:rPr>
            </w:pPr>
            <w:r>
              <w:rPr>
                <w:rFonts w:ascii="Arial" w:hAnsi="Arial" w:cs="Arial"/>
              </w:rPr>
              <w:t>11,727</w:t>
            </w:r>
          </w:p>
        </w:tc>
      </w:tr>
    </w:tbl>
    <w:p w14:paraId="47F5546D" w14:textId="77777777" w:rsidR="00E66148" w:rsidRPr="00645FC2" w:rsidRDefault="00E66148" w:rsidP="0066250F">
      <w:pPr>
        <w:rPr>
          <w:rFonts w:ascii="Arial" w:hAnsi="Arial" w:cs="Arial"/>
          <w:b/>
          <w:sz w:val="22"/>
          <w:szCs w:val="22"/>
          <w:highlight w:val="yellow"/>
        </w:rPr>
      </w:pPr>
    </w:p>
    <w:p w14:paraId="6AB3C931" w14:textId="7F67B0C4" w:rsidR="00023E94" w:rsidRPr="00C47FA1" w:rsidRDefault="003B74DA" w:rsidP="0066250F">
      <w:pPr>
        <w:rPr>
          <w:rFonts w:ascii="Arial" w:hAnsi="Arial" w:cs="Arial"/>
          <w:b/>
          <w:sz w:val="22"/>
          <w:szCs w:val="22"/>
        </w:rPr>
      </w:pPr>
      <w:r w:rsidRPr="00C47FA1">
        <w:rPr>
          <w:rFonts w:ascii="Arial" w:hAnsi="Arial" w:cs="Arial"/>
          <w:b/>
          <w:sz w:val="22"/>
          <w:szCs w:val="22"/>
        </w:rPr>
        <w:t>Pensions Assets and Liabilities Recognised in the Balance Sheet</w:t>
      </w:r>
    </w:p>
    <w:tbl>
      <w:tblPr>
        <w:tblW w:w="15866" w:type="dxa"/>
        <w:tblLook w:val="04A0" w:firstRow="1" w:lastRow="0" w:firstColumn="1" w:lastColumn="0" w:noHBand="0" w:noVBand="1"/>
      </w:tblPr>
      <w:tblGrid>
        <w:gridCol w:w="4810"/>
        <w:gridCol w:w="1701"/>
        <w:gridCol w:w="1276"/>
        <w:gridCol w:w="1417"/>
        <w:gridCol w:w="1418"/>
        <w:gridCol w:w="1134"/>
        <w:gridCol w:w="1275"/>
        <w:gridCol w:w="1276"/>
        <w:gridCol w:w="1559"/>
      </w:tblGrid>
      <w:tr w:rsidR="007F19F0" w:rsidRPr="00F64B0D" w14:paraId="5428C5E4" w14:textId="77777777" w:rsidTr="00063EA8">
        <w:trPr>
          <w:trHeight w:val="510"/>
        </w:trPr>
        <w:tc>
          <w:tcPr>
            <w:tcW w:w="4810" w:type="dxa"/>
            <w:tcBorders>
              <w:top w:val="single" w:sz="8" w:space="0" w:color="auto"/>
              <w:left w:val="single" w:sz="8" w:space="0" w:color="auto"/>
              <w:bottom w:val="nil"/>
              <w:right w:val="nil"/>
            </w:tcBorders>
            <w:shd w:val="clear" w:color="000000" w:fill="CCCCCC"/>
            <w:vAlign w:val="center"/>
            <w:hideMark/>
          </w:tcPr>
          <w:p w14:paraId="571EA4BA" w14:textId="77777777" w:rsidR="00F64B0D" w:rsidRPr="00F64B0D" w:rsidRDefault="00F64B0D" w:rsidP="00F64B0D">
            <w:pPr>
              <w:rPr>
                <w:rFonts w:ascii="Arial" w:hAnsi="Arial" w:cs="Arial"/>
              </w:rPr>
            </w:pPr>
            <w:r w:rsidRPr="00F64B0D">
              <w:rPr>
                <w:rFonts w:ascii="Arial" w:hAnsi="Arial" w:cs="Arial"/>
              </w:rPr>
              <w:t> </w:t>
            </w:r>
          </w:p>
        </w:tc>
        <w:tc>
          <w:tcPr>
            <w:tcW w:w="2977" w:type="dxa"/>
            <w:gridSpan w:val="2"/>
            <w:tcBorders>
              <w:top w:val="single" w:sz="8" w:space="0" w:color="auto"/>
              <w:left w:val="single" w:sz="8" w:space="0" w:color="auto"/>
              <w:bottom w:val="nil"/>
              <w:right w:val="single" w:sz="8" w:space="0" w:color="000000"/>
            </w:tcBorders>
            <w:shd w:val="clear" w:color="000000" w:fill="CCCCCC"/>
            <w:vAlign w:val="center"/>
            <w:hideMark/>
          </w:tcPr>
          <w:p w14:paraId="4DA2684F"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Local Govt Pension Scheme</w:t>
            </w:r>
          </w:p>
        </w:tc>
        <w:tc>
          <w:tcPr>
            <w:tcW w:w="2835" w:type="dxa"/>
            <w:gridSpan w:val="2"/>
            <w:tcBorders>
              <w:top w:val="single" w:sz="8" w:space="0" w:color="auto"/>
              <w:left w:val="nil"/>
              <w:bottom w:val="nil"/>
              <w:right w:val="single" w:sz="8" w:space="0" w:color="000000"/>
            </w:tcBorders>
            <w:shd w:val="clear" w:color="000000" w:fill="CCCCCC"/>
            <w:vAlign w:val="center"/>
            <w:hideMark/>
          </w:tcPr>
          <w:p w14:paraId="6A887863"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Police Pension Schemes</w:t>
            </w:r>
          </w:p>
        </w:tc>
        <w:tc>
          <w:tcPr>
            <w:tcW w:w="2409" w:type="dxa"/>
            <w:gridSpan w:val="2"/>
            <w:tcBorders>
              <w:top w:val="single" w:sz="8" w:space="0" w:color="auto"/>
              <w:left w:val="nil"/>
              <w:bottom w:val="nil"/>
              <w:right w:val="single" w:sz="8" w:space="0" w:color="000000"/>
            </w:tcBorders>
            <w:shd w:val="clear" w:color="000000" w:fill="CCCCCC"/>
            <w:vAlign w:val="center"/>
            <w:hideMark/>
          </w:tcPr>
          <w:p w14:paraId="107F5811"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Injury Awards</w:t>
            </w:r>
          </w:p>
        </w:tc>
        <w:tc>
          <w:tcPr>
            <w:tcW w:w="2835" w:type="dxa"/>
            <w:gridSpan w:val="2"/>
            <w:tcBorders>
              <w:top w:val="single" w:sz="8" w:space="0" w:color="auto"/>
              <w:left w:val="nil"/>
              <w:bottom w:val="nil"/>
              <w:right w:val="single" w:sz="8" w:space="0" w:color="000000"/>
            </w:tcBorders>
            <w:shd w:val="clear" w:color="000000" w:fill="D9D9D9"/>
            <w:vAlign w:val="center"/>
            <w:hideMark/>
          </w:tcPr>
          <w:p w14:paraId="00623F73"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Total</w:t>
            </w:r>
          </w:p>
        </w:tc>
      </w:tr>
      <w:tr w:rsidR="007F19F0" w:rsidRPr="00F64B0D" w14:paraId="702135AA" w14:textId="77777777" w:rsidTr="00ED1DDA">
        <w:trPr>
          <w:trHeight w:val="300"/>
        </w:trPr>
        <w:tc>
          <w:tcPr>
            <w:tcW w:w="4810" w:type="dxa"/>
            <w:tcBorders>
              <w:top w:val="nil"/>
              <w:left w:val="single" w:sz="8" w:space="0" w:color="auto"/>
              <w:bottom w:val="nil"/>
              <w:right w:val="nil"/>
            </w:tcBorders>
            <w:shd w:val="clear" w:color="000000" w:fill="CCCCCC"/>
            <w:vAlign w:val="center"/>
            <w:hideMark/>
          </w:tcPr>
          <w:p w14:paraId="3B3C8EA0" w14:textId="77777777" w:rsidR="00F64B0D" w:rsidRPr="00F64B0D" w:rsidRDefault="00F64B0D" w:rsidP="00F64B0D">
            <w:pPr>
              <w:rPr>
                <w:rFonts w:ascii="Arial" w:hAnsi="Arial" w:cs="Arial"/>
              </w:rPr>
            </w:pPr>
            <w:r w:rsidRPr="00F64B0D">
              <w:rPr>
                <w:rFonts w:ascii="Arial" w:hAnsi="Arial" w:cs="Arial"/>
              </w:rPr>
              <w:t> </w:t>
            </w:r>
          </w:p>
        </w:tc>
        <w:tc>
          <w:tcPr>
            <w:tcW w:w="1701" w:type="dxa"/>
            <w:tcBorders>
              <w:top w:val="nil"/>
              <w:left w:val="single" w:sz="8" w:space="0" w:color="auto"/>
              <w:bottom w:val="nil"/>
              <w:right w:val="nil"/>
            </w:tcBorders>
            <w:shd w:val="clear" w:color="000000" w:fill="FFFFFF"/>
            <w:vAlign w:val="center"/>
            <w:hideMark/>
          </w:tcPr>
          <w:p w14:paraId="1D386D57" w14:textId="3F38F5FE" w:rsidR="00F64B0D" w:rsidRPr="00F64B0D" w:rsidRDefault="00F64B0D" w:rsidP="00F64B0D">
            <w:pPr>
              <w:jc w:val="right"/>
              <w:rPr>
                <w:rFonts w:ascii="Arial" w:hAnsi="Arial" w:cs="Arial"/>
                <w:b/>
                <w:bCs/>
                <w:color w:val="000000"/>
              </w:rPr>
            </w:pPr>
            <w:r w:rsidRPr="00F64B0D">
              <w:rPr>
                <w:rFonts w:ascii="Arial" w:hAnsi="Arial" w:cs="Arial"/>
                <w:b/>
                <w:bCs/>
                <w:color w:val="000000"/>
              </w:rPr>
              <w:t>31-Mar-2</w:t>
            </w:r>
            <w:r w:rsidR="00846F0A">
              <w:rPr>
                <w:rFonts w:ascii="Arial" w:hAnsi="Arial" w:cs="Arial"/>
                <w:b/>
                <w:bCs/>
                <w:color w:val="000000"/>
              </w:rPr>
              <w:t>4</w:t>
            </w:r>
          </w:p>
        </w:tc>
        <w:tc>
          <w:tcPr>
            <w:tcW w:w="1276" w:type="dxa"/>
            <w:tcBorders>
              <w:top w:val="nil"/>
              <w:left w:val="nil"/>
              <w:bottom w:val="nil"/>
              <w:right w:val="single" w:sz="8" w:space="0" w:color="auto"/>
            </w:tcBorders>
            <w:shd w:val="clear" w:color="000000" w:fill="CCCCCC"/>
            <w:vAlign w:val="center"/>
            <w:hideMark/>
          </w:tcPr>
          <w:p w14:paraId="18C75496" w14:textId="7874C79A" w:rsidR="00F64B0D" w:rsidRPr="00F64B0D" w:rsidRDefault="00F64B0D" w:rsidP="00F64B0D">
            <w:pPr>
              <w:jc w:val="right"/>
              <w:rPr>
                <w:rFonts w:ascii="Arial" w:hAnsi="Arial" w:cs="Arial"/>
                <w:b/>
                <w:bCs/>
              </w:rPr>
            </w:pPr>
            <w:r w:rsidRPr="00F64B0D">
              <w:rPr>
                <w:rFonts w:ascii="Arial" w:hAnsi="Arial" w:cs="Arial"/>
                <w:b/>
                <w:bCs/>
              </w:rPr>
              <w:t>31-Mar-2</w:t>
            </w:r>
            <w:r w:rsidR="00846F0A">
              <w:rPr>
                <w:rFonts w:ascii="Arial" w:hAnsi="Arial" w:cs="Arial"/>
                <w:b/>
                <w:bCs/>
              </w:rPr>
              <w:t>5</w:t>
            </w:r>
          </w:p>
        </w:tc>
        <w:tc>
          <w:tcPr>
            <w:tcW w:w="1417" w:type="dxa"/>
            <w:tcBorders>
              <w:top w:val="nil"/>
              <w:left w:val="nil"/>
              <w:bottom w:val="nil"/>
              <w:right w:val="nil"/>
            </w:tcBorders>
            <w:shd w:val="clear" w:color="000000" w:fill="FFFFFF"/>
            <w:vAlign w:val="center"/>
            <w:hideMark/>
          </w:tcPr>
          <w:p w14:paraId="3204B7E3" w14:textId="14C13224" w:rsidR="00F64B0D" w:rsidRPr="00F64B0D" w:rsidRDefault="00F64B0D" w:rsidP="00F64B0D">
            <w:pPr>
              <w:jc w:val="right"/>
              <w:rPr>
                <w:rFonts w:ascii="Arial" w:hAnsi="Arial" w:cs="Arial"/>
                <w:b/>
                <w:bCs/>
                <w:color w:val="000000"/>
              </w:rPr>
            </w:pPr>
            <w:r w:rsidRPr="00F64B0D">
              <w:rPr>
                <w:rFonts w:ascii="Arial" w:hAnsi="Arial" w:cs="Arial"/>
                <w:b/>
                <w:bCs/>
                <w:color w:val="000000"/>
              </w:rPr>
              <w:t>31-Mar-2</w:t>
            </w:r>
            <w:r w:rsidR="00846F0A">
              <w:rPr>
                <w:rFonts w:ascii="Arial" w:hAnsi="Arial" w:cs="Arial"/>
                <w:b/>
                <w:bCs/>
                <w:color w:val="000000"/>
              </w:rPr>
              <w:t>4</w:t>
            </w:r>
          </w:p>
        </w:tc>
        <w:tc>
          <w:tcPr>
            <w:tcW w:w="1418" w:type="dxa"/>
            <w:tcBorders>
              <w:top w:val="nil"/>
              <w:left w:val="nil"/>
              <w:bottom w:val="nil"/>
              <w:right w:val="single" w:sz="8" w:space="0" w:color="auto"/>
            </w:tcBorders>
            <w:shd w:val="clear" w:color="000000" w:fill="CCCCCC"/>
            <w:vAlign w:val="center"/>
            <w:hideMark/>
          </w:tcPr>
          <w:p w14:paraId="7A0F5E8C" w14:textId="5B5DB913" w:rsidR="00F64B0D" w:rsidRPr="00F64B0D" w:rsidRDefault="00F64B0D" w:rsidP="00F64B0D">
            <w:pPr>
              <w:jc w:val="right"/>
              <w:rPr>
                <w:rFonts w:ascii="Arial" w:hAnsi="Arial" w:cs="Arial"/>
                <w:b/>
                <w:bCs/>
              </w:rPr>
            </w:pPr>
            <w:r w:rsidRPr="00F64B0D">
              <w:rPr>
                <w:rFonts w:ascii="Arial" w:hAnsi="Arial" w:cs="Arial"/>
                <w:b/>
                <w:bCs/>
              </w:rPr>
              <w:t>31-Mar-2</w:t>
            </w:r>
            <w:r w:rsidR="00846F0A">
              <w:rPr>
                <w:rFonts w:ascii="Arial" w:hAnsi="Arial" w:cs="Arial"/>
                <w:b/>
                <w:bCs/>
              </w:rPr>
              <w:t>5</w:t>
            </w:r>
          </w:p>
        </w:tc>
        <w:tc>
          <w:tcPr>
            <w:tcW w:w="1134" w:type="dxa"/>
            <w:tcBorders>
              <w:top w:val="nil"/>
              <w:left w:val="nil"/>
              <w:bottom w:val="nil"/>
              <w:right w:val="nil"/>
            </w:tcBorders>
            <w:shd w:val="clear" w:color="000000" w:fill="FFFFFF"/>
            <w:vAlign w:val="center"/>
            <w:hideMark/>
          </w:tcPr>
          <w:p w14:paraId="3AAB0DF5" w14:textId="3E2E5F40" w:rsidR="00F64B0D" w:rsidRPr="00F64B0D" w:rsidRDefault="00F64B0D" w:rsidP="00F64B0D">
            <w:pPr>
              <w:jc w:val="right"/>
              <w:rPr>
                <w:rFonts w:ascii="Arial" w:hAnsi="Arial" w:cs="Arial"/>
                <w:b/>
                <w:bCs/>
                <w:color w:val="000000"/>
              </w:rPr>
            </w:pPr>
            <w:r w:rsidRPr="00F64B0D">
              <w:rPr>
                <w:rFonts w:ascii="Arial" w:hAnsi="Arial" w:cs="Arial"/>
                <w:b/>
                <w:bCs/>
                <w:color w:val="000000"/>
              </w:rPr>
              <w:t>31-Mar-2</w:t>
            </w:r>
            <w:r w:rsidR="00846F0A">
              <w:rPr>
                <w:rFonts w:ascii="Arial" w:hAnsi="Arial" w:cs="Arial"/>
                <w:b/>
                <w:bCs/>
                <w:color w:val="000000"/>
              </w:rPr>
              <w:t>4</w:t>
            </w:r>
          </w:p>
        </w:tc>
        <w:tc>
          <w:tcPr>
            <w:tcW w:w="1275" w:type="dxa"/>
            <w:tcBorders>
              <w:top w:val="nil"/>
              <w:left w:val="nil"/>
              <w:bottom w:val="nil"/>
              <w:right w:val="single" w:sz="8" w:space="0" w:color="auto"/>
            </w:tcBorders>
            <w:shd w:val="clear" w:color="000000" w:fill="CCCCCC"/>
            <w:vAlign w:val="center"/>
            <w:hideMark/>
          </w:tcPr>
          <w:p w14:paraId="4F433576" w14:textId="352D17AD" w:rsidR="00F64B0D" w:rsidRPr="00F64B0D" w:rsidRDefault="00F64B0D" w:rsidP="00F64B0D">
            <w:pPr>
              <w:jc w:val="right"/>
              <w:rPr>
                <w:rFonts w:ascii="Arial" w:hAnsi="Arial" w:cs="Arial"/>
                <w:b/>
                <w:bCs/>
              </w:rPr>
            </w:pPr>
            <w:r w:rsidRPr="00F64B0D">
              <w:rPr>
                <w:rFonts w:ascii="Arial" w:hAnsi="Arial" w:cs="Arial"/>
                <w:b/>
                <w:bCs/>
              </w:rPr>
              <w:t>31-Mar-2</w:t>
            </w:r>
            <w:r w:rsidR="00846F0A">
              <w:rPr>
                <w:rFonts w:ascii="Arial" w:hAnsi="Arial" w:cs="Arial"/>
                <w:b/>
                <w:bCs/>
              </w:rPr>
              <w:t>5</w:t>
            </w:r>
          </w:p>
        </w:tc>
        <w:tc>
          <w:tcPr>
            <w:tcW w:w="1276" w:type="dxa"/>
            <w:tcBorders>
              <w:top w:val="nil"/>
              <w:left w:val="nil"/>
              <w:bottom w:val="nil"/>
              <w:right w:val="nil"/>
            </w:tcBorders>
            <w:shd w:val="clear" w:color="000000" w:fill="FFFFFF"/>
            <w:vAlign w:val="center"/>
            <w:hideMark/>
          </w:tcPr>
          <w:p w14:paraId="6066D851" w14:textId="6CEF0F83" w:rsidR="00F64B0D" w:rsidRPr="00F64B0D" w:rsidRDefault="00F64B0D" w:rsidP="00F64B0D">
            <w:pPr>
              <w:jc w:val="right"/>
              <w:rPr>
                <w:rFonts w:ascii="Arial" w:hAnsi="Arial" w:cs="Arial"/>
                <w:b/>
                <w:bCs/>
                <w:color w:val="000000"/>
              </w:rPr>
            </w:pPr>
            <w:r w:rsidRPr="00F64B0D">
              <w:rPr>
                <w:rFonts w:ascii="Arial" w:hAnsi="Arial" w:cs="Arial"/>
                <w:b/>
                <w:bCs/>
                <w:color w:val="000000"/>
              </w:rPr>
              <w:t>31-Mar-2</w:t>
            </w:r>
            <w:r w:rsidR="00846F0A">
              <w:rPr>
                <w:rFonts w:ascii="Arial" w:hAnsi="Arial" w:cs="Arial"/>
                <w:b/>
                <w:bCs/>
                <w:color w:val="000000"/>
              </w:rPr>
              <w:t>4</w:t>
            </w:r>
          </w:p>
        </w:tc>
        <w:tc>
          <w:tcPr>
            <w:tcW w:w="1559" w:type="dxa"/>
            <w:tcBorders>
              <w:top w:val="nil"/>
              <w:left w:val="nil"/>
              <w:bottom w:val="nil"/>
              <w:right w:val="single" w:sz="8" w:space="0" w:color="auto"/>
            </w:tcBorders>
            <w:shd w:val="clear" w:color="000000" w:fill="CCCCCC"/>
            <w:vAlign w:val="center"/>
            <w:hideMark/>
          </w:tcPr>
          <w:p w14:paraId="64857D35" w14:textId="033332C6" w:rsidR="00F64B0D" w:rsidRPr="00F64B0D" w:rsidRDefault="00F64B0D" w:rsidP="00F64B0D">
            <w:pPr>
              <w:jc w:val="right"/>
              <w:rPr>
                <w:rFonts w:ascii="Arial" w:hAnsi="Arial" w:cs="Arial"/>
                <w:b/>
                <w:bCs/>
              </w:rPr>
            </w:pPr>
            <w:r w:rsidRPr="00F64B0D">
              <w:rPr>
                <w:rFonts w:ascii="Arial" w:hAnsi="Arial" w:cs="Arial"/>
                <w:b/>
                <w:bCs/>
              </w:rPr>
              <w:t>31-Mar-2</w:t>
            </w:r>
            <w:r w:rsidR="00846F0A">
              <w:rPr>
                <w:rFonts w:ascii="Arial" w:hAnsi="Arial" w:cs="Arial"/>
                <w:b/>
                <w:bCs/>
              </w:rPr>
              <w:t>5</w:t>
            </w:r>
          </w:p>
        </w:tc>
      </w:tr>
      <w:tr w:rsidR="007F19F0" w:rsidRPr="00F64B0D" w14:paraId="02F8A01F" w14:textId="77777777" w:rsidTr="00ED1DDA">
        <w:trPr>
          <w:trHeight w:val="315"/>
        </w:trPr>
        <w:tc>
          <w:tcPr>
            <w:tcW w:w="4810" w:type="dxa"/>
            <w:tcBorders>
              <w:top w:val="nil"/>
              <w:left w:val="single" w:sz="8" w:space="0" w:color="auto"/>
              <w:bottom w:val="nil"/>
              <w:right w:val="nil"/>
            </w:tcBorders>
            <w:shd w:val="clear" w:color="000000" w:fill="CCCCCC"/>
            <w:vAlign w:val="center"/>
            <w:hideMark/>
          </w:tcPr>
          <w:p w14:paraId="4514ABAD" w14:textId="77777777" w:rsidR="00F64B0D" w:rsidRPr="00F64B0D" w:rsidRDefault="00F64B0D" w:rsidP="00F64B0D">
            <w:pPr>
              <w:rPr>
                <w:rFonts w:ascii="Arial" w:hAnsi="Arial" w:cs="Arial"/>
                <w:b/>
                <w:bCs/>
                <w:color w:val="000000"/>
                <w:sz w:val="24"/>
                <w:szCs w:val="24"/>
              </w:rPr>
            </w:pPr>
            <w:r w:rsidRPr="00F64B0D">
              <w:rPr>
                <w:rFonts w:ascii="Arial" w:hAnsi="Arial" w:cs="Arial"/>
                <w:b/>
                <w:bCs/>
                <w:color w:val="000000"/>
                <w:sz w:val="24"/>
                <w:szCs w:val="24"/>
              </w:rPr>
              <w:t>PCC GROUP</w:t>
            </w:r>
          </w:p>
        </w:tc>
        <w:tc>
          <w:tcPr>
            <w:tcW w:w="1701" w:type="dxa"/>
            <w:tcBorders>
              <w:top w:val="nil"/>
              <w:left w:val="single" w:sz="8" w:space="0" w:color="auto"/>
              <w:bottom w:val="nil"/>
              <w:right w:val="nil"/>
            </w:tcBorders>
            <w:shd w:val="clear" w:color="000000" w:fill="FFFFFF"/>
            <w:vAlign w:val="center"/>
            <w:hideMark/>
          </w:tcPr>
          <w:p w14:paraId="450ADB7F" w14:textId="77777777" w:rsidR="00F64B0D" w:rsidRPr="00F64B0D" w:rsidRDefault="00F64B0D" w:rsidP="00F64B0D">
            <w:pPr>
              <w:jc w:val="right"/>
              <w:rPr>
                <w:rFonts w:ascii="Arial" w:hAnsi="Arial" w:cs="Arial"/>
                <w:b/>
                <w:bCs/>
                <w:color w:val="000000"/>
              </w:rPr>
            </w:pPr>
            <w:r w:rsidRPr="00F64B0D">
              <w:rPr>
                <w:rFonts w:ascii="Arial" w:hAnsi="Arial" w:cs="Arial"/>
                <w:b/>
                <w:bCs/>
                <w:color w:val="000000"/>
              </w:rPr>
              <w:t>£,000</w:t>
            </w:r>
          </w:p>
        </w:tc>
        <w:tc>
          <w:tcPr>
            <w:tcW w:w="1276" w:type="dxa"/>
            <w:tcBorders>
              <w:top w:val="nil"/>
              <w:left w:val="nil"/>
              <w:bottom w:val="nil"/>
              <w:right w:val="single" w:sz="8" w:space="0" w:color="auto"/>
            </w:tcBorders>
            <w:shd w:val="clear" w:color="000000" w:fill="CCCCCC"/>
            <w:vAlign w:val="center"/>
            <w:hideMark/>
          </w:tcPr>
          <w:p w14:paraId="4C937432" w14:textId="77777777" w:rsidR="00F64B0D" w:rsidRPr="00F64B0D" w:rsidRDefault="00F64B0D" w:rsidP="00F64B0D">
            <w:pPr>
              <w:jc w:val="right"/>
              <w:rPr>
                <w:rFonts w:ascii="Arial" w:hAnsi="Arial" w:cs="Arial"/>
                <w:b/>
                <w:bCs/>
              </w:rPr>
            </w:pPr>
            <w:r w:rsidRPr="00F64B0D">
              <w:rPr>
                <w:rFonts w:ascii="Arial" w:hAnsi="Arial" w:cs="Arial"/>
                <w:b/>
                <w:bCs/>
              </w:rPr>
              <w:t>£,000</w:t>
            </w:r>
          </w:p>
        </w:tc>
        <w:tc>
          <w:tcPr>
            <w:tcW w:w="1417" w:type="dxa"/>
            <w:tcBorders>
              <w:top w:val="nil"/>
              <w:left w:val="nil"/>
              <w:bottom w:val="nil"/>
              <w:right w:val="nil"/>
            </w:tcBorders>
            <w:shd w:val="clear" w:color="000000" w:fill="FFFFFF"/>
            <w:vAlign w:val="center"/>
            <w:hideMark/>
          </w:tcPr>
          <w:p w14:paraId="4FDD92EE" w14:textId="77777777" w:rsidR="00F64B0D" w:rsidRPr="00F64B0D" w:rsidRDefault="00F64B0D" w:rsidP="00F64B0D">
            <w:pPr>
              <w:jc w:val="right"/>
              <w:rPr>
                <w:rFonts w:ascii="Arial" w:hAnsi="Arial" w:cs="Arial"/>
                <w:b/>
                <w:bCs/>
                <w:color w:val="000000"/>
              </w:rPr>
            </w:pPr>
            <w:r w:rsidRPr="00F64B0D">
              <w:rPr>
                <w:rFonts w:ascii="Arial" w:hAnsi="Arial" w:cs="Arial"/>
                <w:b/>
                <w:bCs/>
                <w:color w:val="000000"/>
              </w:rPr>
              <w:t>£,000</w:t>
            </w:r>
          </w:p>
        </w:tc>
        <w:tc>
          <w:tcPr>
            <w:tcW w:w="1418" w:type="dxa"/>
            <w:tcBorders>
              <w:top w:val="nil"/>
              <w:left w:val="nil"/>
              <w:bottom w:val="nil"/>
              <w:right w:val="single" w:sz="8" w:space="0" w:color="auto"/>
            </w:tcBorders>
            <w:shd w:val="clear" w:color="000000" w:fill="CCCCCC"/>
            <w:vAlign w:val="center"/>
            <w:hideMark/>
          </w:tcPr>
          <w:p w14:paraId="025A9C77" w14:textId="77777777" w:rsidR="00F64B0D" w:rsidRPr="00F64B0D" w:rsidRDefault="00F64B0D" w:rsidP="00F64B0D">
            <w:pPr>
              <w:jc w:val="right"/>
              <w:rPr>
                <w:rFonts w:ascii="Arial" w:hAnsi="Arial" w:cs="Arial"/>
                <w:b/>
                <w:bCs/>
              </w:rPr>
            </w:pPr>
            <w:r w:rsidRPr="00F64B0D">
              <w:rPr>
                <w:rFonts w:ascii="Arial" w:hAnsi="Arial" w:cs="Arial"/>
                <w:b/>
                <w:bCs/>
              </w:rPr>
              <w:t>£,000</w:t>
            </w:r>
          </w:p>
        </w:tc>
        <w:tc>
          <w:tcPr>
            <w:tcW w:w="1134" w:type="dxa"/>
            <w:tcBorders>
              <w:top w:val="nil"/>
              <w:left w:val="nil"/>
              <w:bottom w:val="nil"/>
              <w:right w:val="nil"/>
            </w:tcBorders>
            <w:shd w:val="clear" w:color="000000" w:fill="FFFFFF"/>
            <w:vAlign w:val="center"/>
            <w:hideMark/>
          </w:tcPr>
          <w:p w14:paraId="69313933" w14:textId="77777777" w:rsidR="00F64B0D" w:rsidRPr="00F64B0D" w:rsidRDefault="00F64B0D" w:rsidP="00F64B0D">
            <w:pPr>
              <w:jc w:val="right"/>
              <w:rPr>
                <w:rFonts w:ascii="Arial" w:hAnsi="Arial" w:cs="Arial"/>
                <w:b/>
                <w:bCs/>
                <w:color w:val="000000"/>
              </w:rPr>
            </w:pPr>
            <w:r w:rsidRPr="00F64B0D">
              <w:rPr>
                <w:rFonts w:ascii="Arial" w:hAnsi="Arial" w:cs="Arial"/>
                <w:b/>
                <w:bCs/>
                <w:color w:val="000000"/>
              </w:rPr>
              <w:t>£,000</w:t>
            </w:r>
          </w:p>
        </w:tc>
        <w:tc>
          <w:tcPr>
            <w:tcW w:w="1275" w:type="dxa"/>
            <w:tcBorders>
              <w:top w:val="nil"/>
              <w:left w:val="nil"/>
              <w:bottom w:val="nil"/>
              <w:right w:val="single" w:sz="8" w:space="0" w:color="auto"/>
            </w:tcBorders>
            <w:shd w:val="clear" w:color="000000" w:fill="CCCCCC"/>
            <w:vAlign w:val="center"/>
            <w:hideMark/>
          </w:tcPr>
          <w:p w14:paraId="206C4DAC" w14:textId="77777777" w:rsidR="00F64B0D" w:rsidRPr="00F64B0D" w:rsidRDefault="00F64B0D" w:rsidP="00F64B0D">
            <w:pPr>
              <w:jc w:val="right"/>
              <w:rPr>
                <w:rFonts w:ascii="Arial" w:hAnsi="Arial" w:cs="Arial"/>
                <w:b/>
                <w:bCs/>
              </w:rPr>
            </w:pPr>
            <w:r w:rsidRPr="00F64B0D">
              <w:rPr>
                <w:rFonts w:ascii="Arial" w:hAnsi="Arial" w:cs="Arial"/>
                <w:b/>
                <w:bCs/>
              </w:rPr>
              <w:t>£,000</w:t>
            </w:r>
          </w:p>
        </w:tc>
        <w:tc>
          <w:tcPr>
            <w:tcW w:w="1276" w:type="dxa"/>
            <w:tcBorders>
              <w:top w:val="nil"/>
              <w:left w:val="nil"/>
              <w:bottom w:val="nil"/>
              <w:right w:val="nil"/>
            </w:tcBorders>
            <w:shd w:val="clear" w:color="000000" w:fill="FFFFFF"/>
            <w:vAlign w:val="center"/>
            <w:hideMark/>
          </w:tcPr>
          <w:p w14:paraId="75EC786D" w14:textId="77777777" w:rsidR="00F64B0D" w:rsidRPr="00F64B0D" w:rsidRDefault="00F64B0D" w:rsidP="00F64B0D">
            <w:pPr>
              <w:jc w:val="right"/>
              <w:rPr>
                <w:rFonts w:ascii="Arial" w:hAnsi="Arial" w:cs="Arial"/>
                <w:b/>
                <w:bCs/>
                <w:color w:val="000000"/>
              </w:rPr>
            </w:pPr>
            <w:r w:rsidRPr="00F64B0D">
              <w:rPr>
                <w:rFonts w:ascii="Arial" w:hAnsi="Arial" w:cs="Arial"/>
                <w:b/>
                <w:bCs/>
                <w:color w:val="000000"/>
              </w:rPr>
              <w:t>£,000</w:t>
            </w:r>
          </w:p>
        </w:tc>
        <w:tc>
          <w:tcPr>
            <w:tcW w:w="1559" w:type="dxa"/>
            <w:tcBorders>
              <w:top w:val="nil"/>
              <w:left w:val="nil"/>
              <w:bottom w:val="nil"/>
              <w:right w:val="single" w:sz="8" w:space="0" w:color="auto"/>
            </w:tcBorders>
            <w:shd w:val="clear" w:color="000000" w:fill="CCCCCC"/>
            <w:vAlign w:val="center"/>
            <w:hideMark/>
          </w:tcPr>
          <w:p w14:paraId="0BD4EF9A" w14:textId="77777777" w:rsidR="00F64B0D" w:rsidRPr="00F64B0D" w:rsidRDefault="00F64B0D" w:rsidP="00F64B0D">
            <w:pPr>
              <w:jc w:val="right"/>
              <w:rPr>
                <w:rFonts w:ascii="Arial" w:hAnsi="Arial" w:cs="Arial"/>
                <w:b/>
                <w:bCs/>
              </w:rPr>
            </w:pPr>
            <w:r w:rsidRPr="00F64B0D">
              <w:rPr>
                <w:rFonts w:ascii="Arial" w:hAnsi="Arial" w:cs="Arial"/>
                <w:b/>
                <w:bCs/>
              </w:rPr>
              <w:t>£,000</w:t>
            </w:r>
          </w:p>
        </w:tc>
      </w:tr>
      <w:tr w:rsidR="007F19F0" w:rsidRPr="00F64B0D" w14:paraId="2B2676CF" w14:textId="77777777" w:rsidTr="00ED1DDA">
        <w:trPr>
          <w:trHeight w:val="300"/>
        </w:trPr>
        <w:tc>
          <w:tcPr>
            <w:tcW w:w="4810" w:type="dxa"/>
            <w:tcBorders>
              <w:top w:val="nil"/>
              <w:left w:val="single" w:sz="8" w:space="0" w:color="auto"/>
              <w:bottom w:val="nil"/>
              <w:right w:val="nil"/>
            </w:tcBorders>
            <w:shd w:val="clear" w:color="000000" w:fill="CCCCCC"/>
            <w:vAlign w:val="center"/>
            <w:hideMark/>
          </w:tcPr>
          <w:p w14:paraId="17236915" w14:textId="77777777" w:rsidR="00F64B0D" w:rsidRPr="00F64B0D" w:rsidRDefault="00F64B0D" w:rsidP="00F64B0D">
            <w:pPr>
              <w:rPr>
                <w:rFonts w:ascii="Arial" w:hAnsi="Arial" w:cs="Arial"/>
                <w:b/>
                <w:bCs/>
              </w:rPr>
            </w:pPr>
            <w:r w:rsidRPr="00F64B0D">
              <w:rPr>
                <w:rFonts w:ascii="Arial" w:hAnsi="Arial" w:cs="Arial"/>
                <w:b/>
                <w:bCs/>
              </w:rPr>
              <w:t> </w:t>
            </w:r>
          </w:p>
        </w:tc>
        <w:tc>
          <w:tcPr>
            <w:tcW w:w="1701" w:type="dxa"/>
            <w:tcBorders>
              <w:top w:val="nil"/>
              <w:left w:val="single" w:sz="8" w:space="0" w:color="auto"/>
              <w:bottom w:val="nil"/>
              <w:right w:val="nil"/>
            </w:tcBorders>
            <w:shd w:val="clear" w:color="000000" w:fill="FFFFFF"/>
            <w:vAlign w:val="center"/>
            <w:hideMark/>
          </w:tcPr>
          <w:p w14:paraId="4482F75D" w14:textId="77777777" w:rsidR="00F64B0D" w:rsidRPr="00F64B0D" w:rsidRDefault="00F64B0D" w:rsidP="00F64B0D">
            <w:pPr>
              <w:rPr>
                <w:rFonts w:ascii="Arial" w:hAnsi="Arial" w:cs="Arial"/>
              </w:rPr>
            </w:pPr>
            <w:r w:rsidRPr="00F64B0D">
              <w:rPr>
                <w:rFonts w:ascii="Arial" w:hAnsi="Arial" w:cs="Arial"/>
              </w:rPr>
              <w:t> </w:t>
            </w:r>
          </w:p>
        </w:tc>
        <w:tc>
          <w:tcPr>
            <w:tcW w:w="1276" w:type="dxa"/>
            <w:tcBorders>
              <w:top w:val="nil"/>
              <w:left w:val="nil"/>
              <w:bottom w:val="nil"/>
              <w:right w:val="single" w:sz="8" w:space="0" w:color="auto"/>
            </w:tcBorders>
            <w:shd w:val="clear" w:color="000000" w:fill="CCCCCC"/>
            <w:vAlign w:val="center"/>
            <w:hideMark/>
          </w:tcPr>
          <w:p w14:paraId="6F58861F" w14:textId="77777777" w:rsidR="00F64B0D" w:rsidRPr="00F64B0D" w:rsidRDefault="00F64B0D" w:rsidP="00F64B0D">
            <w:pPr>
              <w:rPr>
                <w:rFonts w:ascii="Arial" w:hAnsi="Arial" w:cs="Arial"/>
              </w:rPr>
            </w:pPr>
            <w:r w:rsidRPr="00F64B0D">
              <w:rPr>
                <w:rFonts w:ascii="Arial" w:hAnsi="Arial" w:cs="Arial"/>
              </w:rPr>
              <w:t> </w:t>
            </w:r>
          </w:p>
        </w:tc>
        <w:tc>
          <w:tcPr>
            <w:tcW w:w="1417" w:type="dxa"/>
            <w:tcBorders>
              <w:top w:val="nil"/>
              <w:left w:val="nil"/>
              <w:bottom w:val="nil"/>
              <w:right w:val="nil"/>
            </w:tcBorders>
            <w:shd w:val="clear" w:color="000000" w:fill="FFFFFF"/>
            <w:vAlign w:val="center"/>
            <w:hideMark/>
          </w:tcPr>
          <w:p w14:paraId="321E3D36" w14:textId="77777777" w:rsidR="00F64B0D" w:rsidRPr="00F64B0D" w:rsidRDefault="00F64B0D" w:rsidP="00F64B0D">
            <w:pPr>
              <w:rPr>
                <w:rFonts w:ascii="Arial" w:hAnsi="Arial" w:cs="Arial"/>
              </w:rPr>
            </w:pPr>
            <w:r w:rsidRPr="00F64B0D">
              <w:rPr>
                <w:rFonts w:ascii="Arial" w:hAnsi="Arial" w:cs="Arial"/>
              </w:rPr>
              <w:t> </w:t>
            </w:r>
          </w:p>
        </w:tc>
        <w:tc>
          <w:tcPr>
            <w:tcW w:w="1418" w:type="dxa"/>
            <w:tcBorders>
              <w:top w:val="nil"/>
              <w:left w:val="nil"/>
              <w:bottom w:val="nil"/>
              <w:right w:val="single" w:sz="8" w:space="0" w:color="auto"/>
            </w:tcBorders>
            <w:shd w:val="clear" w:color="000000" w:fill="CCCCCC"/>
            <w:vAlign w:val="center"/>
            <w:hideMark/>
          </w:tcPr>
          <w:p w14:paraId="4D1F1476" w14:textId="77777777" w:rsidR="00F64B0D" w:rsidRPr="00F64B0D" w:rsidRDefault="00F64B0D" w:rsidP="00F64B0D">
            <w:pPr>
              <w:rPr>
                <w:rFonts w:ascii="Arial" w:hAnsi="Arial" w:cs="Arial"/>
              </w:rPr>
            </w:pPr>
            <w:r w:rsidRPr="00F64B0D">
              <w:rPr>
                <w:rFonts w:ascii="Arial" w:hAnsi="Arial" w:cs="Arial"/>
              </w:rPr>
              <w:t> </w:t>
            </w:r>
          </w:p>
        </w:tc>
        <w:tc>
          <w:tcPr>
            <w:tcW w:w="1134" w:type="dxa"/>
            <w:tcBorders>
              <w:top w:val="nil"/>
              <w:left w:val="nil"/>
              <w:bottom w:val="nil"/>
              <w:right w:val="nil"/>
            </w:tcBorders>
            <w:shd w:val="clear" w:color="000000" w:fill="FFFFFF"/>
            <w:vAlign w:val="center"/>
            <w:hideMark/>
          </w:tcPr>
          <w:p w14:paraId="3C60D686" w14:textId="77777777" w:rsidR="00F64B0D" w:rsidRPr="00F64B0D" w:rsidRDefault="00F64B0D" w:rsidP="00F64B0D">
            <w:pPr>
              <w:rPr>
                <w:rFonts w:ascii="Arial" w:hAnsi="Arial" w:cs="Arial"/>
              </w:rPr>
            </w:pPr>
            <w:r w:rsidRPr="00F64B0D">
              <w:rPr>
                <w:rFonts w:ascii="Arial" w:hAnsi="Arial" w:cs="Arial"/>
              </w:rPr>
              <w:t> </w:t>
            </w:r>
          </w:p>
        </w:tc>
        <w:tc>
          <w:tcPr>
            <w:tcW w:w="1275" w:type="dxa"/>
            <w:tcBorders>
              <w:top w:val="nil"/>
              <w:left w:val="nil"/>
              <w:bottom w:val="nil"/>
              <w:right w:val="single" w:sz="8" w:space="0" w:color="auto"/>
            </w:tcBorders>
            <w:shd w:val="clear" w:color="000000" w:fill="CCCCCC"/>
            <w:vAlign w:val="center"/>
            <w:hideMark/>
          </w:tcPr>
          <w:p w14:paraId="6A129C7B" w14:textId="77777777" w:rsidR="00F64B0D" w:rsidRPr="00F64B0D" w:rsidRDefault="00F64B0D" w:rsidP="00F64B0D">
            <w:pPr>
              <w:rPr>
                <w:rFonts w:ascii="Arial" w:hAnsi="Arial" w:cs="Arial"/>
              </w:rPr>
            </w:pPr>
            <w:r w:rsidRPr="00F64B0D">
              <w:rPr>
                <w:rFonts w:ascii="Arial" w:hAnsi="Arial" w:cs="Arial"/>
              </w:rPr>
              <w:t> </w:t>
            </w:r>
          </w:p>
        </w:tc>
        <w:tc>
          <w:tcPr>
            <w:tcW w:w="1276" w:type="dxa"/>
            <w:tcBorders>
              <w:top w:val="nil"/>
              <w:left w:val="nil"/>
              <w:bottom w:val="nil"/>
              <w:right w:val="nil"/>
            </w:tcBorders>
            <w:shd w:val="clear" w:color="000000" w:fill="FFFFFF"/>
            <w:vAlign w:val="center"/>
            <w:hideMark/>
          </w:tcPr>
          <w:p w14:paraId="670A17A9" w14:textId="77777777" w:rsidR="00F64B0D" w:rsidRPr="00F64B0D" w:rsidRDefault="00F64B0D" w:rsidP="00F64B0D">
            <w:pPr>
              <w:rPr>
                <w:rFonts w:ascii="Arial" w:hAnsi="Arial" w:cs="Arial"/>
              </w:rPr>
            </w:pPr>
            <w:r w:rsidRPr="00F64B0D">
              <w:rPr>
                <w:rFonts w:ascii="Arial" w:hAnsi="Arial" w:cs="Arial"/>
              </w:rPr>
              <w:t> </w:t>
            </w:r>
          </w:p>
        </w:tc>
        <w:tc>
          <w:tcPr>
            <w:tcW w:w="1559" w:type="dxa"/>
            <w:tcBorders>
              <w:top w:val="nil"/>
              <w:left w:val="nil"/>
              <w:bottom w:val="nil"/>
              <w:right w:val="single" w:sz="8" w:space="0" w:color="auto"/>
            </w:tcBorders>
            <w:shd w:val="clear" w:color="000000" w:fill="CCCCCC"/>
            <w:vAlign w:val="center"/>
            <w:hideMark/>
          </w:tcPr>
          <w:p w14:paraId="093AADB4" w14:textId="77777777" w:rsidR="00F64B0D" w:rsidRPr="00F64B0D" w:rsidRDefault="00F64B0D" w:rsidP="00F64B0D">
            <w:pPr>
              <w:rPr>
                <w:rFonts w:ascii="Arial" w:hAnsi="Arial" w:cs="Arial"/>
              </w:rPr>
            </w:pPr>
            <w:r w:rsidRPr="00F64B0D">
              <w:rPr>
                <w:rFonts w:ascii="Arial" w:hAnsi="Arial" w:cs="Arial"/>
              </w:rPr>
              <w:t> </w:t>
            </w:r>
          </w:p>
        </w:tc>
      </w:tr>
      <w:tr w:rsidR="00AB2584" w:rsidRPr="00F64B0D" w14:paraId="1986CCA9" w14:textId="77777777">
        <w:trPr>
          <w:trHeight w:val="300"/>
        </w:trPr>
        <w:tc>
          <w:tcPr>
            <w:tcW w:w="4810" w:type="dxa"/>
            <w:tcBorders>
              <w:top w:val="nil"/>
              <w:left w:val="single" w:sz="8" w:space="0" w:color="auto"/>
              <w:bottom w:val="nil"/>
              <w:right w:val="nil"/>
            </w:tcBorders>
            <w:shd w:val="clear" w:color="000000" w:fill="CCCCCC"/>
            <w:vAlign w:val="center"/>
            <w:hideMark/>
          </w:tcPr>
          <w:p w14:paraId="7DA8A150" w14:textId="170AF96F" w:rsidR="00AB2584" w:rsidRPr="00F64B0D" w:rsidRDefault="00AB2584" w:rsidP="00AB2584">
            <w:pPr>
              <w:rPr>
                <w:rFonts w:ascii="Arial" w:hAnsi="Arial" w:cs="Arial"/>
                <w:b/>
                <w:bCs/>
                <w:color w:val="000000"/>
              </w:rPr>
            </w:pPr>
            <w:r>
              <w:rPr>
                <w:rFonts w:ascii="Arial" w:hAnsi="Arial" w:cs="Arial"/>
                <w:b/>
                <w:bCs/>
                <w:color w:val="000000"/>
              </w:rPr>
              <w:t>Present value of the defined benefit obligation</w:t>
            </w:r>
          </w:p>
        </w:tc>
        <w:tc>
          <w:tcPr>
            <w:tcW w:w="1701" w:type="dxa"/>
            <w:tcBorders>
              <w:top w:val="nil"/>
              <w:left w:val="single" w:sz="8" w:space="0" w:color="auto"/>
              <w:bottom w:val="nil"/>
              <w:right w:val="nil"/>
            </w:tcBorders>
            <w:shd w:val="clear" w:color="000000" w:fill="FFFFFF"/>
            <w:vAlign w:val="center"/>
            <w:hideMark/>
          </w:tcPr>
          <w:p w14:paraId="49416A28" w14:textId="4B8D01FC" w:rsidR="00AB2584" w:rsidRPr="00F64B0D" w:rsidRDefault="00AB2584" w:rsidP="00AB2584">
            <w:pPr>
              <w:jc w:val="right"/>
              <w:rPr>
                <w:rFonts w:ascii="Arial" w:hAnsi="Arial" w:cs="Arial"/>
                <w:sz w:val="18"/>
                <w:szCs w:val="18"/>
              </w:rPr>
            </w:pPr>
            <w:r>
              <w:rPr>
                <w:rFonts w:ascii="Arial" w:hAnsi="Arial" w:cs="Arial"/>
                <w:sz w:val="18"/>
                <w:szCs w:val="18"/>
              </w:rPr>
              <w:t>(444,483)</w:t>
            </w:r>
          </w:p>
        </w:tc>
        <w:tc>
          <w:tcPr>
            <w:tcW w:w="1276" w:type="dxa"/>
            <w:tcBorders>
              <w:top w:val="nil"/>
              <w:left w:val="nil"/>
              <w:bottom w:val="nil"/>
              <w:right w:val="single" w:sz="8" w:space="0" w:color="auto"/>
            </w:tcBorders>
            <w:shd w:val="clear" w:color="000000" w:fill="CCCCCC"/>
            <w:vAlign w:val="center"/>
            <w:hideMark/>
          </w:tcPr>
          <w:p w14:paraId="6D92502D" w14:textId="2A117BB5" w:rsidR="00AB2584" w:rsidRPr="00063EA8" w:rsidRDefault="00AB2584" w:rsidP="00AB2584">
            <w:pPr>
              <w:jc w:val="right"/>
              <w:rPr>
                <w:rFonts w:ascii="Arial" w:hAnsi="Arial" w:cs="Arial"/>
                <w:sz w:val="18"/>
                <w:szCs w:val="18"/>
              </w:rPr>
            </w:pPr>
            <w:r>
              <w:rPr>
                <w:rFonts w:ascii="Arial" w:hAnsi="Arial" w:cs="Arial"/>
                <w:sz w:val="18"/>
                <w:szCs w:val="18"/>
              </w:rPr>
              <w:t>(387,936)</w:t>
            </w:r>
          </w:p>
        </w:tc>
        <w:tc>
          <w:tcPr>
            <w:tcW w:w="1417" w:type="dxa"/>
            <w:tcBorders>
              <w:top w:val="nil"/>
              <w:left w:val="single" w:sz="8" w:space="0" w:color="auto"/>
              <w:bottom w:val="nil"/>
              <w:right w:val="nil"/>
            </w:tcBorders>
            <w:shd w:val="clear" w:color="000000" w:fill="FFFFFF"/>
            <w:vAlign w:val="center"/>
            <w:hideMark/>
          </w:tcPr>
          <w:p w14:paraId="211AD1C6" w14:textId="30A43147" w:rsidR="00AB2584" w:rsidRPr="00F64B0D" w:rsidRDefault="00AB2584" w:rsidP="00AB2584">
            <w:pPr>
              <w:jc w:val="right"/>
              <w:rPr>
                <w:rFonts w:ascii="Arial" w:hAnsi="Arial" w:cs="Arial"/>
                <w:sz w:val="18"/>
                <w:szCs w:val="18"/>
              </w:rPr>
            </w:pPr>
            <w:r>
              <w:rPr>
                <w:rFonts w:ascii="Arial" w:hAnsi="Arial" w:cs="Arial"/>
                <w:sz w:val="18"/>
                <w:szCs w:val="18"/>
              </w:rPr>
              <w:t>(2,676,325)</w:t>
            </w:r>
          </w:p>
        </w:tc>
        <w:tc>
          <w:tcPr>
            <w:tcW w:w="1418" w:type="dxa"/>
            <w:tcBorders>
              <w:top w:val="nil"/>
              <w:left w:val="nil"/>
              <w:bottom w:val="nil"/>
              <w:right w:val="single" w:sz="8" w:space="0" w:color="auto"/>
            </w:tcBorders>
            <w:shd w:val="clear" w:color="000000" w:fill="CCCCCC"/>
            <w:vAlign w:val="center"/>
            <w:hideMark/>
          </w:tcPr>
          <w:p w14:paraId="1CEE637C" w14:textId="64229F40" w:rsidR="00AB2584" w:rsidRPr="00F64B0D" w:rsidRDefault="00AB2584" w:rsidP="00AB2584">
            <w:pPr>
              <w:jc w:val="right"/>
              <w:rPr>
                <w:rFonts w:ascii="Arial" w:hAnsi="Arial" w:cs="Arial"/>
                <w:sz w:val="18"/>
                <w:szCs w:val="18"/>
              </w:rPr>
            </w:pPr>
            <w:r>
              <w:rPr>
                <w:rFonts w:ascii="Arial" w:hAnsi="Arial" w:cs="Arial"/>
                <w:sz w:val="18"/>
                <w:szCs w:val="18"/>
              </w:rPr>
              <w:t>(2,331,393)</w:t>
            </w:r>
          </w:p>
        </w:tc>
        <w:tc>
          <w:tcPr>
            <w:tcW w:w="1134" w:type="dxa"/>
            <w:tcBorders>
              <w:top w:val="nil"/>
              <w:left w:val="nil"/>
              <w:bottom w:val="nil"/>
              <w:right w:val="nil"/>
            </w:tcBorders>
            <w:shd w:val="clear" w:color="000000" w:fill="FFFFFF"/>
            <w:vAlign w:val="center"/>
            <w:hideMark/>
          </w:tcPr>
          <w:p w14:paraId="006B5BA0" w14:textId="1969472E" w:rsidR="00AB2584" w:rsidRPr="00F64B0D" w:rsidRDefault="00AB2584" w:rsidP="00AB2584">
            <w:pPr>
              <w:jc w:val="right"/>
              <w:rPr>
                <w:rFonts w:ascii="Arial" w:hAnsi="Arial" w:cs="Arial"/>
                <w:sz w:val="18"/>
                <w:szCs w:val="18"/>
              </w:rPr>
            </w:pPr>
            <w:r>
              <w:rPr>
                <w:rFonts w:ascii="Arial" w:hAnsi="Arial" w:cs="Arial"/>
                <w:sz w:val="18"/>
                <w:szCs w:val="18"/>
              </w:rPr>
              <w:t>(173,554)</w:t>
            </w:r>
          </w:p>
        </w:tc>
        <w:tc>
          <w:tcPr>
            <w:tcW w:w="1275" w:type="dxa"/>
            <w:tcBorders>
              <w:top w:val="nil"/>
              <w:left w:val="nil"/>
              <w:bottom w:val="nil"/>
              <w:right w:val="single" w:sz="8" w:space="0" w:color="auto"/>
            </w:tcBorders>
            <w:shd w:val="clear" w:color="000000" w:fill="CCCCCC"/>
            <w:vAlign w:val="center"/>
            <w:hideMark/>
          </w:tcPr>
          <w:p w14:paraId="31A6B8DB" w14:textId="03E0CB8E" w:rsidR="00AB2584" w:rsidRPr="00F64B0D" w:rsidRDefault="00AB2584" w:rsidP="00AB2584">
            <w:pPr>
              <w:jc w:val="right"/>
              <w:rPr>
                <w:rFonts w:ascii="Arial" w:hAnsi="Arial" w:cs="Arial"/>
                <w:sz w:val="18"/>
                <w:szCs w:val="18"/>
              </w:rPr>
            </w:pPr>
            <w:r>
              <w:rPr>
                <w:rFonts w:ascii="Arial" w:hAnsi="Arial" w:cs="Arial"/>
                <w:sz w:val="18"/>
                <w:szCs w:val="18"/>
              </w:rPr>
              <w:t>(156,395)</w:t>
            </w:r>
          </w:p>
        </w:tc>
        <w:tc>
          <w:tcPr>
            <w:tcW w:w="1276" w:type="dxa"/>
            <w:tcBorders>
              <w:top w:val="nil"/>
              <w:left w:val="nil"/>
              <w:bottom w:val="nil"/>
              <w:right w:val="nil"/>
            </w:tcBorders>
            <w:shd w:val="clear" w:color="000000" w:fill="FFFFFF"/>
            <w:vAlign w:val="center"/>
            <w:hideMark/>
          </w:tcPr>
          <w:p w14:paraId="640E7815" w14:textId="79DF3446" w:rsidR="00AB2584" w:rsidRPr="00F64B0D" w:rsidRDefault="00AB2584" w:rsidP="00AB2584">
            <w:pPr>
              <w:jc w:val="right"/>
              <w:rPr>
                <w:rFonts w:ascii="Arial" w:hAnsi="Arial" w:cs="Arial"/>
                <w:b/>
                <w:bCs/>
                <w:sz w:val="18"/>
                <w:szCs w:val="18"/>
              </w:rPr>
            </w:pPr>
            <w:r>
              <w:rPr>
                <w:rFonts w:ascii="Arial" w:hAnsi="Arial" w:cs="Arial"/>
                <w:b/>
                <w:bCs/>
                <w:sz w:val="18"/>
                <w:szCs w:val="18"/>
              </w:rPr>
              <w:t>(3,294,362)</w:t>
            </w:r>
          </w:p>
        </w:tc>
        <w:tc>
          <w:tcPr>
            <w:tcW w:w="1559" w:type="dxa"/>
            <w:tcBorders>
              <w:top w:val="nil"/>
              <w:left w:val="nil"/>
              <w:bottom w:val="nil"/>
              <w:right w:val="single" w:sz="8" w:space="0" w:color="auto"/>
            </w:tcBorders>
            <w:shd w:val="clear" w:color="000000" w:fill="CCCCCC"/>
            <w:vAlign w:val="center"/>
            <w:hideMark/>
          </w:tcPr>
          <w:p w14:paraId="1A21B0C2" w14:textId="3141BF3E" w:rsidR="00AB2584" w:rsidRPr="00F64B0D" w:rsidRDefault="00AB2584" w:rsidP="00AB2584">
            <w:pPr>
              <w:jc w:val="right"/>
              <w:rPr>
                <w:rFonts w:ascii="Arial" w:hAnsi="Arial" w:cs="Arial"/>
                <w:b/>
                <w:bCs/>
                <w:sz w:val="18"/>
                <w:szCs w:val="18"/>
              </w:rPr>
            </w:pPr>
            <w:r>
              <w:rPr>
                <w:rFonts w:ascii="Arial" w:hAnsi="Arial" w:cs="Arial"/>
                <w:b/>
                <w:bCs/>
                <w:sz w:val="18"/>
                <w:szCs w:val="18"/>
              </w:rPr>
              <w:t>(2,875,724)</w:t>
            </w:r>
          </w:p>
        </w:tc>
      </w:tr>
      <w:tr w:rsidR="00AB2584" w:rsidRPr="00F64B0D" w14:paraId="0E40E0C7" w14:textId="77777777">
        <w:trPr>
          <w:trHeight w:val="300"/>
        </w:trPr>
        <w:tc>
          <w:tcPr>
            <w:tcW w:w="4810" w:type="dxa"/>
            <w:tcBorders>
              <w:top w:val="nil"/>
              <w:left w:val="single" w:sz="8" w:space="0" w:color="auto"/>
              <w:bottom w:val="nil"/>
              <w:right w:val="nil"/>
            </w:tcBorders>
            <w:shd w:val="clear" w:color="000000" w:fill="CCCCCC"/>
            <w:vAlign w:val="center"/>
            <w:hideMark/>
          </w:tcPr>
          <w:p w14:paraId="63661C20" w14:textId="1A7E3409" w:rsidR="00AB2584" w:rsidRPr="00F64B0D" w:rsidRDefault="00AB2584" w:rsidP="00AB2584">
            <w:pPr>
              <w:rPr>
                <w:rFonts w:ascii="Arial" w:hAnsi="Arial" w:cs="Arial"/>
                <w:b/>
                <w:bCs/>
                <w:color w:val="000000"/>
              </w:rPr>
            </w:pPr>
            <w:r>
              <w:rPr>
                <w:rFonts w:ascii="Arial" w:hAnsi="Arial" w:cs="Arial"/>
                <w:b/>
                <w:bCs/>
                <w:color w:val="000000"/>
              </w:rPr>
              <w:t>Impact of Asset Ceiling</w:t>
            </w:r>
          </w:p>
        </w:tc>
        <w:tc>
          <w:tcPr>
            <w:tcW w:w="1701" w:type="dxa"/>
            <w:tcBorders>
              <w:top w:val="nil"/>
              <w:left w:val="single" w:sz="8" w:space="0" w:color="auto"/>
              <w:bottom w:val="nil"/>
              <w:right w:val="nil"/>
            </w:tcBorders>
            <w:shd w:val="clear" w:color="000000" w:fill="FFFFFF"/>
            <w:vAlign w:val="center"/>
            <w:hideMark/>
          </w:tcPr>
          <w:p w14:paraId="5F51E252" w14:textId="49E5A84D" w:rsidR="00AB2584" w:rsidRPr="00F64B0D" w:rsidRDefault="00AB2584" w:rsidP="00AB2584">
            <w:pPr>
              <w:jc w:val="right"/>
              <w:rPr>
                <w:rFonts w:ascii="Arial" w:hAnsi="Arial" w:cs="Arial"/>
                <w:sz w:val="18"/>
                <w:szCs w:val="18"/>
              </w:rPr>
            </w:pPr>
            <w:r>
              <w:rPr>
                <w:rFonts w:ascii="Arial" w:hAnsi="Arial" w:cs="Arial"/>
                <w:sz w:val="18"/>
                <w:szCs w:val="18"/>
              </w:rPr>
              <w:t>(157,401)</w:t>
            </w:r>
          </w:p>
        </w:tc>
        <w:tc>
          <w:tcPr>
            <w:tcW w:w="1276" w:type="dxa"/>
            <w:tcBorders>
              <w:top w:val="nil"/>
              <w:left w:val="nil"/>
              <w:bottom w:val="nil"/>
              <w:right w:val="single" w:sz="8" w:space="0" w:color="auto"/>
            </w:tcBorders>
            <w:shd w:val="clear" w:color="000000" w:fill="CCCCCC"/>
            <w:vAlign w:val="center"/>
            <w:hideMark/>
          </w:tcPr>
          <w:p w14:paraId="636456CD" w14:textId="7C1E5BB7" w:rsidR="00AB2584" w:rsidRPr="00063EA8" w:rsidRDefault="00AB2584" w:rsidP="00AB2584">
            <w:pPr>
              <w:jc w:val="right"/>
              <w:rPr>
                <w:rFonts w:ascii="Arial" w:hAnsi="Arial" w:cs="Arial"/>
                <w:sz w:val="18"/>
                <w:szCs w:val="18"/>
              </w:rPr>
            </w:pPr>
            <w:r>
              <w:rPr>
                <w:rFonts w:ascii="Arial" w:hAnsi="Arial" w:cs="Arial"/>
                <w:sz w:val="18"/>
                <w:szCs w:val="18"/>
              </w:rPr>
              <w:t>(219,750)</w:t>
            </w:r>
          </w:p>
        </w:tc>
        <w:tc>
          <w:tcPr>
            <w:tcW w:w="1417" w:type="dxa"/>
            <w:tcBorders>
              <w:top w:val="nil"/>
              <w:left w:val="single" w:sz="8" w:space="0" w:color="auto"/>
              <w:bottom w:val="nil"/>
              <w:right w:val="nil"/>
            </w:tcBorders>
            <w:shd w:val="clear" w:color="000000" w:fill="FFFFFF"/>
            <w:vAlign w:val="center"/>
            <w:hideMark/>
          </w:tcPr>
          <w:p w14:paraId="1B62EFB6" w14:textId="71BE535D"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single" w:sz="8" w:space="0" w:color="auto"/>
            </w:tcBorders>
            <w:shd w:val="clear" w:color="000000" w:fill="CCCCCC"/>
            <w:vAlign w:val="center"/>
            <w:hideMark/>
          </w:tcPr>
          <w:p w14:paraId="3D92C88C" w14:textId="31F7FBFC"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FF"/>
            <w:vAlign w:val="center"/>
            <w:hideMark/>
          </w:tcPr>
          <w:p w14:paraId="43247BE0" w14:textId="15681CC9"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single" w:sz="8" w:space="0" w:color="auto"/>
            </w:tcBorders>
            <w:shd w:val="clear" w:color="000000" w:fill="CCCCCC"/>
            <w:vAlign w:val="center"/>
            <w:hideMark/>
          </w:tcPr>
          <w:p w14:paraId="69B1121F" w14:textId="0D7B5F64" w:rsidR="00AB2584" w:rsidRPr="00F64B0D" w:rsidRDefault="00AB2584" w:rsidP="00AB2584">
            <w:pPr>
              <w:jc w:val="right"/>
              <w:rPr>
                <w:rFonts w:ascii="Arial" w:hAnsi="Arial" w:cs="Arial"/>
                <w:sz w:val="18"/>
                <w:szCs w:val="18"/>
              </w:rPr>
            </w:pPr>
            <w:r>
              <w:rPr>
                <w:rFonts w:ascii="Arial" w:hAnsi="Arial" w:cs="Arial"/>
                <w:sz w:val="18"/>
                <w:szCs w:val="18"/>
              </w:rPr>
              <w:t> </w:t>
            </w:r>
            <w:r w:rsidR="00292FB9">
              <w:rPr>
                <w:rFonts w:ascii="Arial" w:hAnsi="Arial" w:cs="Arial"/>
                <w:sz w:val="18"/>
                <w:szCs w:val="18"/>
              </w:rPr>
              <w:t>0</w:t>
            </w:r>
          </w:p>
        </w:tc>
        <w:tc>
          <w:tcPr>
            <w:tcW w:w="1276" w:type="dxa"/>
            <w:tcBorders>
              <w:top w:val="nil"/>
              <w:left w:val="nil"/>
              <w:bottom w:val="nil"/>
              <w:right w:val="nil"/>
            </w:tcBorders>
            <w:shd w:val="clear" w:color="000000" w:fill="FFFFFF"/>
            <w:vAlign w:val="center"/>
            <w:hideMark/>
          </w:tcPr>
          <w:p w14:paraId="49110F9F" w14:textId="1469BAB4" w:rsidR="00AB2584" w:rsidRPr="00F64B0D" w:rsidRDefault="00AB2584" w:rsidP="00AB2584">
            <w:pPr>
              <w:jc w:val="right"/>
              <w:rPr>
                <w:rFonts w:ascii="Arial" w:hAnsi="Arial" w:cs="Arial"/>
                <w:b/>
                <w:bCs/>
                <w:sz w:val="18"/>
                <w:szCs w:val="18"/>
              </w:rPr>
            </w:pPr>
            <w:r>
              <w:rPr>
                <w:rFonts w:ascii="Arial" w:hAnsi="Arial" w:cs="Arial"/>
                <w:b/>
                <w:bCs/>
                <w:sz w:val="18"/>
                <w:szCs w:val="18"/>
              </w:rPr>
              <w:t>(157,401)</w:t>
            </w:r>
          </w:p>
        </w:tc>
        <w:tc>
          <w:tcPr>
            <w:tcW w:w="1559" w:type="dxa"/>
            <w:tcBorders>
              <w:top w:val="nil"/>
              <w:left w:val="nil"/>
              <w:bottom w:val="nil"/>
              <w:right w:val="single" w:sz="8" w:space="0" w:color="auto"/>
            </w:tcBorders>
            <w:shd w:val="clear" w:color="000000" w:fill="CCCCCC"/>
            <w:vAlign w:val="center"/>
            <w:hideMark/>
          </w:tcPr>
          <w:p w14:paraId="2E9110DE" w14:textId="36244B74" w:rsidR="00AB2584" w:rsidRPr="00F64B0D" w:rsidRDefault="00AB2584" w:rsidP="00AB2584">
            <w:pPr>
              <w:jc w:val="right"/>
              <w:rPr>
                <w:rFonts w:ascii="Arial" w:hAnsi="Arial" w:cs="Arial"/>
                <w:b/>
                <w:bCs/>
                <w:sz w:val="18"/>
                <w:szCs w:val="18"/>
              </w:rPr>
            </w:pPr>
            <w:r>
              <w:rPr>
                <w:rFonts w:ascii="Arial" w:hAnsi="Arial" w:cs="Arial"/>
                <w:b/>
                <w:bCs/>
                <w:sz w:val="18"/>
                <w:szCs w:val="18"/>
              </w:rPr>
              <w:t>(219,750)</w:t>
            </w:r>
          </w:p>
        </w:tc>
      </w:tr>
      <w:tr w:rsidR="00AB2584" w:rsidRPr="00F64B0D" w14:paraId="270D0E00" w14:textId="77777777">
        <w:trPr>
          <w:trHeight w:val="300"/>
        </w:trPr>
        <w:tc>
          <w:tcPr>
            <w:tcW w:w="4810" w:type="dxa"/>
            <w:tcBorders>
              <w:top w:val="nil"/>
              <w:left w:val="single" w:sz="8" w:space="0" w:color="auto"/>
              <w:bottom w:val="nil"/>
              <w:right w:val="nil"/>
            </w:tcBorders>
            <w:shd w:val="clear" w:color="000000" w:fill="CCCCCC"/>
            <w:vAlign w:val="center"/>
            <w:hideMark/>
          </w:tcPr>
          <w:p w14:paraId="69FBFABF" w14:textId="1BABE062" w:rsidR="00AB2584" w:rsidRPr="00F64B0D" w:rsidRDefault="00AB2584" w:rsidP="00AB2584">
            <w:pPr>
              <w:rPr>
                <w:rFonts w:ascii="Arial" w:hAnsi="Arial" w:cs="Arial"/>
                <w:b/>
                <w:bCs/>
                <w:color w:val="000000"/>
              </w:rPr>
            </w:pPr>
            <w:r>
              <w:rPr>
                <w:rFonts w:ascii="Arial" w:hAnsi="Arial" w:cs="Arial"/>
                <w:b/>
                <w:bCs/>
                <w:color w:val="000000"/>
              </w:rPr>
              <w:t>Interest on surplus above asset ceiling</w:t>
            </w:r>
          </w:p>
        </w:tc>
        <w:tc>
          <w:tcPr>
            <w:tcW w:w="1701" w:type="dxa"/>
            <w:tcBorders>
              <w:top w:val="nil"/>
              <w:left w:val="single" w:sz="8" w:space="0" w:color="auto"/>
              <w:bottom w:val="nil"/>
              <w:right w:val="nil"/>
            </w:tcBorders>
            <w:shd w:val="clear" w:color="000000" w:fill="FFFFFF"/>
            <w:vAlign w:val="center"/>
            <w:hideMark/>
          </w:tcPr>
          <w:p w14:paraId="02CF6408" w14:textId="42A5EC56" w:rsidR="00AB2584" w:rsidRPr="00F64B0D" w:rsidRDefault="00AB2584" w:rsidP="00AB2584">
            <w:pPr>
              <w:jc w:val="right"/>
              <w:rPr>
                <w:rFonts w:ascii="Arial" w:hAnsi="Arial" w:cs="Arial"/>
                <w:sz w:val="18"/>
                <w:szCs w:val="18"/>
              </w:rPr>
            </w:pPr>
            <w:r>
              <w:rPr>
                <w:rFonts w:ascii="Arial" w:hAnsi="Arial" w:cs="Arial"/>
                <w:sz w:val="18"/>
                <w:szCs w:val="18"/>
              </w:rPr>
              <w:t>(4,626)</w:t>
            </w:r>
          </w:p>
        </w:tc>
        <w:tc>
          <w:tcPr>
            <w:tcW w:w="1276" w:type="dxa"/>
            <w:tcBorders>
              <w:top w:val="nil"/>
              <w:left w:val="nil"/>
              <w:bottom w:val="nil"/>
              <w:right w:val="single" w:sz="8" w:space="0" w:color="auto"/>
            </w:tcBorders>
            <w:shd w:val="clear" w:color="000000" w:fill="CCCCCC"/>
            <w:vAlign w:val="center"/>
            <w:hideMark/>
          </w:tcPr>
          <w:p w14:paraId="693D36EF" w14:textId="2AE90419" w:rsidR="00AB2584" w:rsidRPr="00063EA8" w:rsidRDefault="00AB2584" w:rsidP="00AB2584">
            <w:pPr>
              <w:jc w:val="right"/>
              <w:rPr>
                <w:rFonts w:ascii="Arial" w:hAnsi="Arial" w:cs="Arial"/>
                <w:sz w:val="18"/>
                <w:szCs w:val="18"/>
              </w:rPr>
            </w:pPr>
            <w:r>
              <w:rPr>
                <w:rFonts w:ascii="Arial" w:hAnsi="Arial" w:cs="Arial"/>
                <w:sz w:val="18"/>
                <w:szCs w:val="18"/>
              </w:rPr>
              <w:t>(7,833)</w:t>
            </w:r>
          </w:p>
        </w:tc>
        <w:tc>
          <w:tcPr>
            <w:tcW w:w="1417" w:type="dxa"/>
            <w:tcBorders>
              <w:top w:val="nil"/>
              <w:left w:val="single" w:sz="8" w:space="0" w:color="auto"/>
              <w:bottom w:val="nil"/>
              <w:right w:val="nil"/>
            </w:tcBorders>
            <w:shd w:val="clear" w:color="000000" w:fill="FFFFFF"/>
            <w:vAlign w:val="center"/>
            <w:hideMark/>
          </w:tcPr>
          <w:p w14:paraId="6C715939" w14:textId="48A26373"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single" w:sz="8" w:space="0" w:color="auto"/>
            </w:tcBorders>
            <w:shd w:val="clear" w:color="000000" w:fill="CCCCCC"/>
            <w:vAlign w:val="center"/>
            <w:hideMark/>
          </w:tcPr>
          <w:p w14:paraId="5378CDDA" w14:textId="3E6BE804" w:rsidR="00AB2584" w:rsidRPr="00F64B0D" w:rsidRDefault="00AB2584" w:rsidP="00AB2584">
            <w:pPr>
              <w:jc w:val="right"/>
              <w:rPr>
                <w:rFonts w:ascii="Arial" w:hAnsi="Arial" w:cs="Arial"/>
                <w:sz w:val="18"/>
                <w:szCs w:val="18"/>
              </w:rPr>
            </w:pPr>
            <w:r>
              <w:rPr>
                <w:rFonts w:ascii="Arial" w:hAnsi="Arial" w:cs="Arial"/>
                <w:sz w:val="18"/>
                <w:szCs w:val="18"/>
              </w:rPr>
              <w:t> </w:t>
            </w:r>
            <w:r w:rsidR="00292FB9">
              <w:rPr>
                <w:rFonts w:ascii="Arial" w:hAnsi="Arial" w:cs="Arial"/>
                <w:sz w:val="18"/>
                <w:szCs w:val="18"/>
              </w:rPr>
              <w:t>0</w:t>
            </w:r>
          </w:p>
        </w:tc>
        <w:tc>
          <w:tcPr>
            <w:tcW w:w="1134" w:type="dxa"/>
            <w:tcBorders>
              <w:top w:val="nil"/>
              <w:left w:val="nil"/>
              <w:bottom w:val="nil"/>
              <w:right w:val="nil"/>
            </w:tcBorders>
            <w:shd w:val="clear" w:color="000000" w:fill="FFFFFF"/>
            <w:vAlign w:val="center"/>
            <w:hideMark/>
          </w:tcPr>
          <w:p w14:paraId="5C7DFEA2" w14:textId="7716AF9B"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single" w:sz="8" w:space="0" w:color="auto"/>
            </w:tcBorders>
            <w:shd w:val="clear" w:color="000000" w:fill="CCCCCC"/>
            <w:vAlign w:val="center"/>
            <w:hideMark/>
          </w:tcPr>
          <w:p w14:paraId="689E6FE8" w14:textId="0103E52B" w:rsidR="00AB2584" w:rsidRPr="00F64B0D" w:rsidRDefault="00AB2584" w:rsidP="00AB2584">
            <w:pPr>
              <w:jc w:val="right"/>
              <w:rPr>
                <w:rFonts w:ascii="Arial" w:hAnsi="Arial" w:cs="Arial"/>
                <w:sz w:val="18"/>
                <w:szCs w:val="18"/>
              </w:rPr>
            </w:pPr>
            <w:r>
              <w:rPr>
                <w:rFonts w:ascii="Arial" w:hAnsi="Arial" w:cs="Arial"/>
                <w:sz w:val="18"/>
                <w:szCs w:val="18"/>
              </w:rPr>
              <w:t> </w:t>
            </w:r>
            <w:r w:rsidR="00292FB9">
              <w:rPr>
                <w:rFonts w:ascii="Arial" w:hAnsi="Arial" w:cs="Arial"/>
                <w:sz w:val="18"/>
                <w:szCs w:val="18"/>
              </w:rPr>
              <w:t>0</w:t>
            </w:r>
          </w:p>
        </w:tc>
        <w:tc>
          <w:tcPr>
            <w:tcW w:w="1276" w:type="dxa"/>
            <w:tcBorders>
              <w:top w:val="nil"/>
              <w:left w:val="nil"/>
              <w:bottom w:val="nil"/>
              <w:right w:val="nil"/>
            </w:tcBorders>
            <w:shd w:val="clear" w:color="000000" w:fill="FFFFFF"/>
            <w:vAlign w:val="center"/>
            <w:hideMark/>
          </w:tcPr>
          <w:p w14:paraId="2137F611" w14:textId="1CB7454D" w:rsidR="00AB2584" w:rsidRPr="00F64B0D" w:rsidRDefault="00AB2584" w:rsidP="00AB2584">
            <w:pPr>
              <w:jc w:val="right"/>
              <w:rPr>
                <w:rFonts w:ascii="Arial" w:hAnsi="Arial" w:cs="Arial"/>
                <w:b/>
                <w:bCs/>
                <w:sz w:val="18"/>
                <w:szCs w:val="18"/>
              </w:rPr>
            </w:pPr>
            <w:r>
              <w:rPr>
                <w:rFonts w:ascii="Arial" w:hAnsi="Arial" w:cs="Arial"/>
                <w:b/>
                <w:bCs/>
                <w:sz w:val="18"/>
                <w:szCs w:val="18"/>
              </w:rPr>
              <w:t>(4,626)</w:t>
            </w:r>
          </w:p>
        </w:tc>
        <w:tc>
          <w:tcPr>
            <w:tcW w:w="1559" w:type="dxa"/>
            <w:tcBorders>
              <w:top w:val="nil"/>
              <w:left w:val="nil"/>
              <w:bottom w:val="nil"/>
              <w:right w:val="single" w:sz="8" w:space="0" w:color="auto"/>
            </w:tcBorders>
            <w:shd w:val="clear" w:color="000000" w:fill="CCCCCC"/>
            <w:vAlign w:val="center"/>
            <w:hideMark/>
          </w:tcPr>
          <w:p w14:paraId="7AE7BB65" w14:textId="609CA5C6" w:rsidR="00AB2584" w:rsidRPr="00F64B0D" w:rsidRDefault="00AB2584" w:rsidP="00AB2584">
            <w:pPr>
              <w:jc w:val="right"/>
              <w:rPr>
                <w:rFonts w:ascii="Arial" w:hAnsi="Arial" w:cs="Arial"/>
                <w:b/>
                <w:bCs/>
                <w:sz w:val="18"/>
                <w:szCs w:val="18"/>
              </w:rPr>
            </w:pPr>
            <w:r>
              <w:rPr>
                <w:rFonts w:ascii="Arial" w:hAnsi="Arial" w:cs="Arial"/>
                <w:b/>
                <w:bCs/>
                <w:sz w:val="18"/>
                <w:szCs w:val="18"/>
              </w:rPr>
              <w:t>(7,833)</w:t>
            </w:r>
          </w:p>
        </w:tc>
      </w:tr>
      <w:tr w:rsidR="00AB2584" w:rsidRPr="00F64B0D" w14:paraId="4961B8EB" w14:textId="77777777">
        <w:trPr>
          <w:trHeight w:val="450"/>
        </w:trPr>
        <w:tc>
          <w:tcPr>
            <w:tcW w:w="4810" w:type="dxa"/>
            <w:tcBorders>
              <w:top w:val="nil"/>
              <w:left w:val="single" w:sz="8" w:space="0" w:color="auto"/>
              <w:bottom w:val="nil"/>
              <w:right w:val="nil"/>
            </w:tcBorders>
            <w:shd w:val="clear" w:color="000000" w:fill="CCCCCC"/>
            <w:vAlign w:val="center"/>
            <w:hideMark/>
          </w:tcPr>
          <w:p w14:paraId="3ADED6AA" w14:textId="1A4B1B72" w:rsidR="00AB2584" w:rsidRPr="00F64B0D" w:rsidRDefault="00AB2584" w:rsidP="00AB2584">
            <w:pPr>
              <w:rPr>
                <w:rFonts w:ascii="Arial" w:hAnsi="Arial" w:cs="Arial"/>
                <w:b/>
                <w:bCs/>
                <w:color w:val="000000"/>
              </w:rPr>
            </w:pPr>
            <w:r>
              <w:rPr>
                <w:rFonts w:ascii="Arial" w:hAnsi="Arial" w:cs="Arial"/>
                <w:b/>
                <w:bCs/>
                <w:color w:val="000000"/>
              </w:rPr>
              <w:t>Fair value of plan assets</w:t>
            </w:r>
          </w:p>
        </w:tc>
        <w:tc>
          <w:tcPr>
            <w:tcW w:w="1701" w:type="dxa"/>
            <w:tcBorders>
              <w:top w:val="nil"/>
              <w:left w:val="single" w:sz="8" w:space="0" w:color="auto"/>
              <w:bottom w:val="nil"/>
              <w:right w:val="nil"/>
            </w:tcBorders>
            <w:shd w:val="clear" w:color="000000" w:fill="FFFFFF"/>
            <w:vAlign w:val="center"/>
            <w:hideMark/>
          </w:tcPr>
          <w:p w14:paraId="11DE083C" w14:textId="1F5E0312" w:rsidR="00AB2584" w:rsidRPr="00F64B0D" w:rsidRDefault="00AB2584" w:rsidP="00AB2584">
            <w:pPr>
              <w:jc w:val="right"/>
              <w:rPr>
                <w:rFonts w:ascii="Arial" w:hAnsi="Arial" w:cs="Arial"/>
                <w:sz w:val="18"/>
                <w:szCs w:val="18"/>
              </w:rPr>
            </w:pPr>
            <w:r>
              <w:rPr>
                <w:rFonts w:ascii="Arial" w:hAnsi="Arial" w:cs="Arial"/>
                <w:sz w:val="18"/>
                <w:szCs w:val="18"/>
              </w:rPr>
              <w:t>604,412</w:t>
            </w:r>
          </w:p>
        </w:tc>
        <w:tc>
          <w:tcPr>
            <w:tcW w:w="1276" w:type="dxa"/>
            <w:tcBorders>
              <w:top w:val="nil"/>
              <w:left w:val="nil"/>
              <w:bottom w:val="nil"/>
              <w:right w:val="single" w:sz="8" w:space="0" w:color="auto"/>
            </w:tcBorders>
            <w:shd w:val="clear" w:color="000000" w:fill="CCCCCC"/>
            <w:vAlign w:val="center"/>
            <w:hideMark/>
          </w:tcPr>
          <w:p w14:paraId="0DEE9C6C" w14:textId="13A300F0" w:rsidR="00AB2584" w:rsidRPr="00F64B0D" w:rsidRDefault="00AB2584" w:rsidP="00AB2584">
            <w:pPr>
              <w:jc w:val="right"/>
              <w:rPr>
                <w:rFonts w:ascii="Arial" w:hAnsi="Arial" w:cs="Arial"/>
                <w:sz w:val="18"/>
                <w:szCs w:val="18"/>
              </w:rPr>
            </w:pPr>
            <w:r>
              <w:rPr>
                <w:rFonts w:ascii="Arial" w:hAnsi="Arial" w:cs="Arial"/>
                <w:sz w:val="18"/>
                <w:szCs w:val="18"/>
              </w:rPr>
              <w:t>613,</w:t>
            </w:r>
            <w:r w:rsidR="007F4828">
              <w:rPr>
                <w:rFonts w:ascii="Arial" w:hAnsi="Arial" w:cs="Arial"/>
                <w:sz w:val="18"/>
                <w:szCs w:val="18"/>
              </w:rPr>
              <w:t>701</w:t>
            </w:r>
          </w:p>
        </w:tc>
        <w:tc>
          <w:tcPr>
            <w:tcW w:w="1417" w:type="dxa"/>
            <w:tcBorders>
              <w:top w:val="nil"/>
              <w:left w:val="single" w:sz="8" w:space="0" w:color="auto"/>
              <w:bottom w:val="nil"/>
              <w:right w:val="nil"/>
            </w:tcBorders>
            <w:shd w:val="clear" w:color="000000" w:fill="FFFFFF"/>
            <w:vAlign w:val="center"/>
            <w:hideMark/>
          </w:tcPr>
          <w:p w14:paraId="15F39EAC" w14:textId="6A75F832"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418" w:type="dxa"/>
            <w:tcBorders>
              <w:top w:val="nil"/>
              <w:left w:val="nil"/>
              <w:bottom w:val="nil"/>
              <w:right w:val="single" w:sz="8" w:space="0" w:color="auto"/>
            </w:tcBorders>
            <w:shd w:val="clear" w:color="000000" w:fill="CCCCCC"/>
            <w:vAlign w:val="center"/>
            <w:hideMark/>
          </w:tcPr>
          <w:p w14:paraId="3E1AF23E" w14:textId="2EE214E5"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134" w:type="dxa"/>
            <w:tcBorders>
              <w:top w:val="nil"/>
              <w:left w:val="nil"/>
              <w:bottom w:val="nil"/>
              <w:right w:val="nil"/>
            </w:tcBorders>
            <w:shd w:val="clear" w:color="000000" w:fill="FFFFFF"/>
            <w:vAlign w:val="center"/>
            <w:hideMark/>
          </w:tcPr>
          <w:p w14:paraId="2ACC127C" w14:textId="205C91A2"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single" w:sz="8" w:space="0" w:color="auto"/>
            </w:tcBorders>
            <w:shd w:val="clear" w:color="000000" w:fill="CCCCCC"/>
            <w:vAlign w:val="center"/>
            <w:hideMark/>
          </w:tcPr>
          <w:p w14:paraId="71EDF057" w14:textId="63A41015" w:rsidR="00AB2584" w:rsidRPr="00F64B0D" w:rsidRDefault="00AB2584" w:rsidP="00AB2584">
            <w:pPr>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000000" w:fill="FFFFFF"/>
            <w:vAlign w:val="center"/>
            <w:hideMark/>
          </w:tcPr>
          <w:p w14:paraId="502A3CE1" w14:textId="1DC4A51C" w:rsidR="00AB2584" w:rsidRPr="00F64B0D" w:rsidRDefault="00AB2584" w:rsidP="00AB2584">
            <w:pPr>
              <w:jc w:val="right"/>
              <w:rPr>
                <w:rFonts w:ascii="Arial" w:hAnsi="Arial" w:cs="Arial"/>
                <w:b/>
                <w:bCs/>
                <w:sz w:val="18"/>
                <w:szCs w:val="18"/>
              </w:rPr>
            </w:pPr>
            <w:r>
              <w:rPr>
                <w:rFonts w:ascii="Arial" w:hAnsi="Arial" w:cs="Arial"/>
                <w:b/>
                <w:bCs/>
                <w:sz w:val="18"/>
                <w:szCs w:val="18"/>
              </w:rPr>
              <w:t>604,412</w:t>
            </w:r>
          </w:p>
        </w:tc>
        <w:tc>
          <w:tcPr>
            <w:tcW w:w="1559" w:type="dxa"/>
            <w:tcBorders>
              <w:top w:val="nil"/>
              <w:left w:val="nil"/>
              <w:bottom w:val="nil"/>
              <w:right w:val="single" w:sz="8" w:space="0" w:color="auto"/>
            </w:tcBorders>
            <w:shd w:val="clear" w:color="000000" w:fill="CCCCCC"/>
            <w:vAlign w:val="center"/>
            <w:hideMark/>
          </w:tcPr>
          <w:p w14:paraId="7F6E6691" w14:textId="75BC79BE" w:rsidR="00AB2584" w:rsidRPr="00F64B0D" w:rsidRDefault="00AB2584" w:rsidP="00AB2584">
            <w:pPr>
              <w:jc w:val="right"/>
              <w:rPr>
                <w:rFonts w:ascii="Arial" w:hAnsi="Arial" w:cs="Arial"/>
                <w:b/>
                <w:bCs/>
                <w:sz w:val="18"/>
                <w:szCs w:val="18"/>
              </w:rPr>
            </w:pPr>
            <w:r>
              <w:rPr>
                <w:rFonts w:ascii="Arial" w:hAnsi="Arial" w:cs="Arial"/>
                <w:b/>
                <w:bCs/>
                <w:sz w:val="18"/>
                <w:szCs w:val="18"/>
              </w:rPr>
              <w:t>613,</w:t>
            </w:r>
            <w:r w:rsidR="00595255">
              <w:rPr>
                <w:rFonts w:ascii="Arial" w:hAnsi="Arial" w:cs="Arial"/>
                <w:b/>
                <w:bCs/>
                <w:sz w:val="18"/>
                <w:szCs w:val="18"/>
              </w:rPr>
              <w:t>701</w:t>
            </w:r>
          </w:p>
        </w:tc>
      </w:tr>
      <w:tr w:rsidR="00AB2584" w:rsidRPr="00F64B0D" w14:paraId="0E02CCD8" w14:textId="77777777">
        <w:trPr>
          <w:trHeight w:val="315"/>
        </w:trPr>
        <w:tc>
          <w:tcPr>
            <w:tcW w:w="4810" w:type="dxa"/>
            <w:tcBorders>
              <w:top w:val="nil"/>
              <w:left w:val="single" w:sz="8" w:space="0" w:color="auto"/>
              <w:bottom w:val="single" w:sz="8" w:space="0" w:color="auto"/>
              <w:right w:val="nil"/>
            </w:tcBorders>
            <w:shd w:val="clear" w:color="000000" w:fill="CCCCCC"/>
            <w:vAlign w:val="center"/>
            <w:hideMark/>
          </w:tcPr>
          <w:p w14:paraId="44FFED1B" w14:textId="13D70E1F" w:rsidR="00AB2584" w:rsidRPr="00F64B0D" w:rsidRDefault="00AB2584" w:rsidP="00AB2584">
            <w:pPr>
              <w:rPr>
                <w:rFonts w:ascii="Arial" w:hAnsi="Arial" w:cs="Arial"/>
                <w:b/>
                <w:bCs/>
                <w:color w:val="000000"/>
              </w:rPr>
            </w:pPr>
            <w:r>
              <w:rPr>
                <w:rFonts w:ascii="Arial" w:hAnsi="Arial" w:cs="Arial"/>
                <w:b/>
                <w:bCs/>
                <w:color w:val="000000"/>
              </w:rPr>
              <w:t>Net liability arising from defined benefit obligation</w:t>
            </w:r>
          </w:p>
        </w:tc>
        <w:tc>
          <w:tcPr>
            <w:tcW w:w="1701" w:type="dxa"/>
            <w:tcBorders>
              <w:top w:val="single" w:sz="8" w:space="0" w:color="auto"/>
              <w:left w:val="single" w:sz="8" w:space="0" w:color="auto"/>
              <w:bottom w:val="single" w:sz="8" w:space="0" w:color="auto"/>
              <w:right w:val="nil"/>
            </w:tcBorders>
            <w:shd w:val="clear" w:color="000000" w:fill="FFFFFF"/>
            <w:vAlign w:val="center"/>
            <w:hideMark/>
          </w:tcPr>
          <w:p w14:paraId="29380791" w14:textId="09073934" w:rsidR="00AB2584" w:rsidRPr="00F64B0D" w:rsidRDefault="00E53EAA" w:rsidP="00AB2584">
            <w:pPr>
              <w:jc w:val="right"/>
              <w:rPr>
                <w:rFonts w:ascii="Arial" w:hAnsi="Arial" w:cs="Arial"/>
                <w:b/>
                <w:bCs/>
                <w:sz w:val="18"/>
                <w:szCs w:val="18"/>
              </w:rPr>
            </w:pPr>
            <w:r>
              <w:rPr>
                <w:rFonts w:ascii="Arial" w:hAnsi="Arial" w:cs="Arial"/>
                <w:b/>
                <w:bCs/>
                <w:sz w:val="18"/>
                <w:szCs w:val="18"/>
              </w:rPr>
              <w:t>(2,098)</w:t>
            </w:r>
          </w:p>
        </w:tc>
        <w:tc>
          <w:tcPr>
            <w:tcW w:w="1276" w:type="dxa"/>
            <w:tcBorders>
              <w:top w:val="single" w:sz="8" w:space="0" w:color="auto"/>
              <w:left w:val="nil"/>
              <w:bottom w:val="single" w:sz="8" w:space="0" w:color="auto"/>
              <w:right w:val="single" w:sz="8" w:space="0" w:color="auto"/>
            </w:tcBorders>
            <w:shd w:val="clear" w:color="000000" w:fill="CCCCCC"/>
            <w:vAlign w:val="center"/>
            <w:hideMark/>
          </w:tcPr>
          <w:p w14:paraId="65870896" w14:textId="1C5F07FE" w:rsidR="00AB2584" w:rsidRPr="00F64B0D" w:rsidRDefault="00AB2584" w:rsidP="00AB2584">
            <w:pPr>
              <w:jc w:val="right"/>
              <w:rPr>
                <w:rFonts w:ascii="Arial" w:hAnsi="Arial" w:cs="Arial"/>
                <w:b/>
                <w:bCs/>
                <w:sz w:val="18"/>
                <w:szCs w:val="18"/>
              </w:rPr>
            </w:pPr>
            <w:r>
              <w:rPr>
                <w:rFonts w:ascii="Arial" w:hAnsi="Arial" w:cs="Arial"/>
                <w:b/>
                <w:bCs/>
                <w:sz w:val="18"/>
                <w:szCs w:val="18"/>
              </w:rPr>
              <w:t>(1,</w:t>
            </w:r>
            <w:r w:rsidR="00595255">
              <w:rPr>
                <w:rFonts w:ascii="Arial" w:hAnsi="Arial" w:cs="Arial"/>
                <w:b/>
                <w:bCs/>
                <w:sz w:val="18"/>
                <w:szCs w:val="18"/>
              </w:rPr>
              <w:t>817</w:t>
            </w:r>
            <w:r>
              <w:rPr>
                <w:rFonts w:ascii="Arial" w:hAnsi="Arial" w:cs="Arial"/>
                <w:b/>
                <w:bCs/>
                <w:sz w:val="18"/>
                <w:szCs w:val="18"/>
              </w:rPr>
              <w:t>)</w:t>
            </w:r>
          </w:p>
        </w:tc>
        <w:tc>
          <w:tcPr>
            <w:tcW w:w="1417" w:type="dxa"/>
            <w:tcBorders>
              <w:top w:val="single" w:sz="8" w:space="0" w:color="auto"/>
              <w:left w:val="single" w:sz="8" w:space="0" w:color="auto"/>
              <w:bottom w:val="single" w:sz="8" w:space="0" w:color="auto"/>
              <w:right w:val="nil"/>
            </w:tcBorders>
            <w:shd w:val="clear" w:color="000000" w:fill="FFFFFF"/>
            <w:vAlign w:val="center"/>
            <w:hideMark/>
          </w:tcPr>
          <w:p w14:paraId="08614434" w14:textId="02400974" w:rsidR="00AB2584" w:rsidRPr="00F64B0D" w:rsidRDefault="00AB2584" w:rsidP="00AB2584">
            <w:pPr>
              <w:jc w:val="right"/>
              <w:rPr>
                <w:rFonts w:ascii="Arial" w:hAnsi="Arial" w:cs="Arial"/>
                <w:b/>
                <w:bCs/>
                <w:sz w:val="18"/>
                <w:szCs w:val="18"/>
              </w:rPr>
            </w:pPr>
            <w:r>
              <w:rPr>
                <w:rFonts w:ascii="Arial" w:hAnsi="Arial" w:cs="Arial"/>
                <w:b/>
                <w:bCs/>
                <w:sz w:val="18"/>
                <w:szCs w:val="18"/>
              </w:rPr>
              <w:t>(2,676,325)</w:t>
            </w:r>
          </w:p>
        </w:tc>
        <w:tc>
          <w:tcPr>
            <w:tcW w:w="1418" w:type="dxa"/>
            <w:tcBorders>
              <w:top w:val="single" w:sz="8" w:space="0" w:color="auto"/>
              <w:left w:val="nil"/>
              <w:bottom w:val="single" w:sz="8" w:space="0" w:color="auto"/>
              <w:right w:val="single" w:sz="8" w:space="0" w:color="auto"/>
            </w:tcBorders>
            <w:shd w:val="clear" w:color="000000" w:fill="CCCCCC"/>
            <w:vAlign w:val="center"/>
            <w:hideMark/>
          </w:tcPr>
          <w:p w14:paraId="16822CF9" w14:textId="30A0141B" w:rsidR="00AB2584" w:rsidRPr="00F64B0D" w:rsidRDefault="00AB2584" w:rsidP="00AB2584">
            <w:pPr>
              <w:jc w:val="right"/>
              <w:rPr>
                <w:rFonts w:ascii="Arial" w:hAnsi="Arial" w:cs="Arial"/>
                <w:b/>
                <w:bCs/>
                <w:sz w:val="18"/>
                <w:szCs w:val="18"/>
              </w:rPr>
            </w:pPr>
            <w:r>
              <w:rPr>
                <w:rFonts w:ascii="Arial" w:hAnsi="Arial" w:cs="Arial"/>
                <w:b/>
                <w:bCs/>
                <w:sz w:val="18"/>
                <w:szCs w:val="18"/>
              </w:rPr>
              <w:t>(2,331,393)</w:t>
            </w:r>
          </w:p>
        </w:tc>
        <w:tc>
          <w:tcPr>
            <w:tcW w:w="1134" w:type="dxa"/>
            <w:tcBorders>
              <w:top w:val="single" w:sz="8" w:space="0" w:color="auto"/>
              <w:left w:val="nil"/>
              <w:bottom w:val="single" w:sz="8" w:space="0" w:color="auto"/>
              <w:right w:val="nil"/>
            </w:tcBorders>
            <w:shd w:val="clear" w:color="000000" w:fill="FFFFFF"/>
            <w:vAlign w:val="center"/>
            <w:hideMark/>
          </w:tcPr>
          <w:p w14:paraId="1B041B22" w14:textId="3802F646" w:rsidR="00AB2584" w:rsidRPr="00F64B0D" w:rsidRDefault="00AB2584" w:rsidP="00AB2584">
            <w:pPr>
              <w:jc w:val="right"/>
              <w:rPr>
                <w:rFonts w:ascii="Arial" w:hAnsi="Arial" w:cs="Arial"/>
                <w:b/>
                <w:bCs/>
                <w:sz w:val="18"/>
                <w:szCs w:val="18"/>
              </w:rPr>
            </w:pPr>
            <w:r>
              <w:rPr>
                <w:rFonts w:ascii="Arial" w:hAnsi="Arial" w:cs="Arial"/>
                <w:b/>
                <w:bCs/>
                <w:sz w:val="18"/>
                <w:szCs w:val="18"/>
              </w:rPr>
              <w:t>(173,554)</w:t>
            </w:r>
          </w:p>
        </w:tc>
        <w:tc>
          <w:tcPr>
            <w:tcW w:w="1275" w:type="dxa"/>
            <w:tcBorders>
              <w:top w:val="single" w:sz="8" w:space="0" w:color="auto"/>
              <w:left w:val="nil"/>
              <w:bottom w:val="single" w:sz="8" w:space="0" w:color="auto"/>
              <w:right w:val="single" w:sz="8" w:space="0" w:color="auto"/>
            </w:tcBorders>
            <w:shd w:val="clear" w:color="000000" w:fill="CCCCCC"/>
            <w:vAlign w:val="center"/>
            <w:hideMark/>
          </w:tcPr>
          <w:p w14:paraId="0791B68E" w14:textId="1D55EAC6" w:rsidR="00AB2584" w:rsidRPr="00F64B0D" w:rsidRDefault="00AB2584" w:rsidP="00AB2584">
            <w:pPr>
              <w:jc w:val="right"/>
              <w:rPr>
                <w:rFonts w:ascii="Arial" w:hAnsi="Arial" w:cs="Arial"/>
                <w:b/>
                <w:bCs/>
                <w:sz w:val="18"/>
                <w:szCs w:val="18"/>
              </w:rPr>
            </w:pPr>
            <w:r>
              <w:rPr>
                <w:rFonts w:ascii="Arial" w:hAnsi="Arial" w:cs="Arial"/>
                <w:b/>
                <w:bCs/>
                <w:sz w:val="18"/>
                <w:szCs w:val="18"/>
              </w:rPr>
              <w:t>(156,395)</w:t>
            </w:r>
          </w:p>
        </w:tc>
        <w:tc>
          <w:tcPr>
            <w:tcW w:w="1276" w:type="dxa"/>
            <w:tcBorders>
              <w:top w:val="single" w:sz="8" w:space="0" w:color="auto"/>
              <w:left w:val="nil"/>
              <w:bottom w:val="single" w:sz="8" w:space="0" w:color="auto"/>
              <w:right w:val="nil"/>
            </w:tcBorders>
            <w:shd w:val="clear" w:color="000000" w:fill="FFFFFF"/>
            <w:vAlign w:val="center"/>
            <w:hideMark/>
          </w:tcPr>
          <w:p w14:paraId="7C1518D5" w14:textId="404E5E22" w:rsidR="00AB2584" w:rsidRPr="00F64B0D" w:rsidRDefault="00AB2584" w:rsidP="00AB2584">
            <w:pPr>
              <w:jc w:val="right"/>
              <w:rPr>
                <w:rFonts w:ascii="Arial" w:hAnsi="Arial" w:cs="Arial"/>
                <w:b/>
                <w:bCs/>
                <w:sz w:val="18"/>
                <w:szCs w:val="18"/>
              </w:rPr>
            </w:pPr>
            <w:r>
              <w:rPr>
                <w:rFonts w:ascii="Arial" w:hAnsi="Arial" w:cs="Arial"/>
                <w:b/>
                <w:bCs/>
                <w:sz w:val="18"/>
                <w:szCs w:val="18"/>
              </w:rPr>
              <w:t>(2,8</w:t>
            </w:r>
            <w:r w:rsidR="00595255">
              <w:rPr>
                <w:rFonts w:ascii="Arial" w:hAnsi="Arial" w:cs="Arial"/>
                <w:b/>
                <w:bCs/>
                <w:sz w:val="18"/>
                <w:szCs w:val="18"/>
              </w:rPr>
              <w:t>51</w:t>
            </w:r>
            <w:r>
              <w:rPr>
                <w:rFonts w:ascii="Arial" w:hAnsi="Arial" w:cs="Arial"/>
                <w:b/>
                <w:bCs/>
                <w:sz w:val="18"/>
                <w:szCs w:val="18"/>
              </w:rPr>
              <w:t>,</w:t>
            </w:r>
            <w:r w:rsidR="00595255">
              <w:rPr>
                <w:rFonts w:ascii="Arial" w:hAnsi="Arial" w:cs="Arial"/>
                <w:b/>
                <w:bCs/>
                <w:sz w:val="18"/>
                <w:szCs w:val="18"/>
              </w:rPr>
              <w:t>978</w:t>
            </w:r>
            <w:r>
              <w:rPr>
                <w:rFonts w:ascii="Arial" w:hAnsi="Arial" w:cs="Arial"/>
                <w:b/>
                <w:bCs/>
                <w:sz w:val="18"/>
                <w:szCs w:val="18"/>
              </w:rPr>
              <w:t>)</w:t>
            </w:r>
          </w:p>
        </w:tc>
        <w:tc>
          <w:tcPr>
            <w:tcW w:w="1559" w:type="dxa"/>
            <w:tcBorders>
              <w:top w:val="single" w:sz="8" w:space="0" w:color="auto"/>
              <w:left w:val="nil"/>
              <w:bottom w:val="single" w:sz="8" w:space="0" w:color="auto"/>
              <w:right w:val="single" w:sz="8" w:space="0" w:color="auto"/>
            </w:tcBorders>
            <w:shd w:val="clear" w:color="000000" w:fill="CCCCCC"/>
            <w:vAlign w:val="center"/>
            <w:hideMark/>
          </w:tcPr>
          <w:p w14:paraId="5066ACDF" w14:textId="38A98DB8" w:rsidR="00AB2584" w:rsidRPr="00F64B0D" w:rsidRDefault="00AB2584" w:rsidP="00AB2584">
            <w:pPr>
              <w:jc w:val="right"/>
              <w:rPr>
                <w:rFonts w:ascii="Arial" w:hAnsi="Arial" w:cs="Arial"/>
                <w:b/>
                <w:bCs/>
                <w:sz w:val="18"/>
                <w:szCs w:val="18"/>
              </w:rPr>
            </w:pPr>
            <w:r>
              <w:rPr>
                <w:rFonts w:ascii="Arial" w:hAnsi="Arial" w:cs="Arial"/>
                <w:b/>
                <w:bCs/>
                <w:sz w:val="18"/>
                <w:szCs w:val="18"/>
              </w:rPr>
              <w:t>(2,489,</w:t>
            </w:r>
            <w:r w:rsidR="00595255">
              <w:rPr>
                <w:rFonts w:ascii="Arial" w:hAnsi="Arial" w:cs="Arial"/>
                <w:b/>
                <w:bCs/>
                <w:sz w:val="18"/>
                <w:szCs w:val="18"/>
              </w:rPr>
              <w:t>606</w:t>
            </w:r>
            <w:r>
              <w:rPr>
                <w:rFonts w:ascii="Arial" w:hAnsi="Arial" w:cs="Arial"/>
                <w:b/>
                <w:bCs/>
                <w:sz w:val="18"/>
                <w:szCs w:val="18"/>
              </w:rPr>
              <w:t>)</w:t>
            </w:r>
          </w:p>
        </w:tc>
      </w:tr>
    </w:tbl>
    <w:p w14:paraId="44177138" w14:textId="367386B5" w:rsidR="00417B13" w:rsidRDefault="00417B13" w:rsidP="0066250F">
      <w:pPr>
        <w:rPr>
          <w:rFonts w:ascii="Arial" w:hAnsi="Arial" w:cs="Arial"/>
          <w:b/>
          <w:sz w:val="22"/>
          <w:szCs w:val="22"/>
          <w:highlight w:val="yellow"/>
        </w:rPr>
      </w:pPr>
    </w:p>
    <w:p w14:paraId="0903B156" w14:textId="77777777" w:rsidR="00417B13" w:rsidRDefault="00417B13">
      <w:pPr>
        <w:rPr>
          <w:rFonts w:ascii="Arial" w:hAnsi="Arial" w:cs="Arial"/>
          <w:b/>
          <w:sz w:val="22"/>
          <w:szCs w:val="22"/>
          <w:highlight w:val="yellow"/>
        </w:rPr>
      </w:pPr>
      <w:r>
        <w:rPr>
          <w:rFonts w:ascii="Arial" w:hAnsi="Arial" w:cs="Arial"/>
          <w:b/>
          <w:sz w:val="22"/>
          <w:szCs w:val="22"/>
          <w:highlight w:val="yellow"/>
        </w:rPr>
        <w:br w:type="page"/>
      </w:r>
    </w:p>
    <w:p w14:paraId="19C50593" w14:textId="77777777" w:rsidR="006C0D6D" w:rsidRPr="00645FC2" w:rsidRDefault="006C0D6D" w:rsidP="0066250F">
      <w:pPr>
        <w:rPr>
          <w:rFonts w:ascii="Arial" w:hAnsi="Arial" w:cs="Arial"/>
          <w:b/>
          <w:sz w:val="22"/>
          <w:szCs w:val="22"/>
          <w:highlight w:val="yellow"/>
        </w:rPr>
      </w:pPr>
    </w:p>
    <w:tbl>
      <w:tblPr>
        <w:tblW w:w="8380" w:type="dxa"/>
        <w:tblLook w:val="04A0" w:firstRow="1" w:lastRow="0" w:firstColumn="1" w:lastColumn="0" w:noHBand="0" w:noVBand="1"/>
      </w:tblPr>
      <w:tblGrid>
        <w:gridCol w:w="5680"/>
        <w:gridCol w:w="1520"/>
        <w:gridCol w:w="1180"/>
      </w:tblGrid>
      <w:tr w:rsidR="00F64B0D" w:rsidRPr="00F64B0D" w14:paraId="231D492E" w14:textId="77777777" w:rsidTr="00F64B0D">
        <w:trPr>
          <w:trHeight w:val="600"/>
        </w:trPr>
        <w:tc>
          <w:tcPr>
            <w:tcW w:w="5680" w:type="dxa"/>
            <w:tcBorders>
              <w:top w:val="single" w:sz="8" w:space="0" w:color="auto"/>
              <w:left w:val="single" w:sz="8" w:space="0" w:color="auto"/>
              <w:bottom w:val="nil"/>
              <w:right w:val="nil"/>
            </w:tcBorders>
            <w:shd w:val="clear" w:color="000000" w:fill="CCCCCC"/>
            <w:vAlign w:val="center"/>
            <w:hideMark/>
          </w:tcPr>
          <w:p w14:paraId="7D914B6E" w14:textId="77777777" w:rsidR="00F64B0D" w:rsidRPr="00F64B0D" w:rsidRDefault="00F64B0D" w:rsidP="00F64B0D">
            <w:pPr>
              <w:rPr>
                <w:rFonts w:ascii="Arial" w:hAnsi="Arial" w:cs="Arial"/>
              </w:rPr>
            </w:pPr>
            <w:r w:rsidRPr="00F64B0D">
              <w:rPr>
                <w:rFonts w:ascii="Arial" w:hAnsi="Arial" w:cs="Arial"/>
              </w:rPr>
              <w:t> </w:t>
            </w:r>
          </w:p>
        </w:tc>
        <w:tc>
          <w:tcPr>
            <w:tcW w:w="2700" w:type="dxa"/>
            <w:gridSpan w:val="2"/>
            <w:tcBorders>
              <w:top w:val="single" w:sz="8" w:space="0" w:color="auto"/>
              <w:left w:val="nil"/>
              <w:bottom w:val="nil"/>
              <w:right w:val="single" w:sz="8" w:space="0" w:color="000000"/>
            </w:tcBorders>
            <w:shd w:val="clear" w:color="000000" w:fill="CCCCCC"/>
            <w:vAlign w:val="center"/>
            <w:hideMark/>
          </w:tcPr>
          <w:p w14:paraId="4A07AA4E"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Local Govt Pension Scheme</w:t>
            </w:r>
          </w:p>
        </w:tc>
      </w:tr>
      <w:tr w:rsidR="00F64B0D" w:rsidRPr="00F64B0D" w14:paraId="5FE3F3AD" w14:textId="77777777" w:rsidTr="00F64B0D">
        <w:trPr>
          <w:trHeight w:val="300"/>
        </w:trPr>
        <w:tc>
          <w:tcPr>
            <w:tcW w:w="5680" w:type="dxa"/>
            <w:tcBorders>
              <w:top w:val="nil"/>
              <w:left w:val="single" w:sz="8" w:space="0" w:color="auto"/>
              <w:bottom w:val="nil"/>
              <w:right w:val="nil"/>
            </w:tcBorders>
            <w:shd w:val="clear" w:color="000000" w:fill="CCCCCC"/>
            <w:vAlign w:val="center"/>
            <w:hideMark/>
          </w:tcPr>
          <w:p w14:paraId="358D3132" w14:textId="77777777" w:rsidR="00F64B0D" w:rsidRPr="00F64B0D" w:rsidRDefault="00F64B0D" w:rsidP="00F64B0D">
            <w:pPr>
              <w:rPr>
                <w:rFonts w:ascii="Arial" w:hAnsi="Arial" w:cs="Arial"/>
              </w:rPr>
            </w:pPr>
            <w:r w:rsidRPr="00F64B0D">
              <w:rPr>
                <w:rFonts w:ascii="Arial" w:hAnsi="Arial" w:cs="Arial"/>
              </w:rPr>
              <w:t> </w:t>
            </w:r>
          </w:p>
        </w:tc>
        <w:tc>
          <w:tcPr>
            <w:tcW w:w="1520" w:type="dxa"/>
            <w:tcBorders>
              <w:top w:val="nil"/>
              <w:left w:val="nil"/>
              <w:bottom w:val="nil"/>
              <w:right w:val="nil"/>
            </w:tcBorders>
            <w:shd w:val="clear" w:color="000000" w:fill="FFFFFF"/>
            <w:vAlign w:val="center"/>
            <w:hideMark/>
          </w:tcPr>
          <w:p w14:paraId="04A50995" w14:textId="1F7CD762" w:rsidR="00F64B0D" w:rsidRPr="00F64B0D" w:rsidRDefault="00F64B0D" w:rsidP="00F64B0D">
            <w:pPr>
              <w:jc w:val="right"/>
              <w:rPr>
                <w:rFonts w:ascii="Arial" w:hAnsi="Arial" w:cs="Arial"/>
                <w:b/>
                <w:bCs/>
                <w:color w:val="000000"/>
              </w:rPr>
            </w:pPr>
            <w:r w:rsidRPr="00F64B0D">
              <w:rPr>
                <w:rFonts w:ascii="Arial" w:hAnsi="Arial" w:cs="Arial"/>
                <w:b/>
                <w:bCs/>
                <w:color w:val="000000"/>
              </w:rPr>
              <w:t>31-Mar-2</w:t>
            </w:r>
            <w:r w:rsidR="007F19F0">
              <w:rPr>
                <w:rFonts w:ascii="Arial" w:hAnsi="Arial" w:cs="Arial"/>
                <w:b/>
                <w:bCs/>
                <w:color w:val="000000"/>
              </w:rPr>
              <w:t>4</w:t>
            </w:r>
          </w:p>
        </w:tc>
        <w:tc>
          <w:tcPr>
            <w:tcW w:w="1180" w:type="dxa"/>
            <w:tcBorders>
              <w:top w:val="nil"/>
              <w:left w:val="nil"/>
              <w:bottom w:val="nil"/>
              <w:right w:val="single" w:sz="8" w:space="0" w:color="auto"/>
            </w:tcBorders>
            <w:shd w:val="clear" w:color="000000" w:fill="CCCCCC"/>
            <w:vAlign w:val="center"/>
            <w:hideMark/>
          </w:tcPr>
          <w:p w14:paraId="4A6D585E" w14:textId="5431F762" w:rsidR="00F64B0D" w:rsidRPr="00F64B0D" w:rsidRDefault="00F64B0D" w:rsidP="00F64B0D">
            <w:pPr>
              <w:jc w:val="right"/>
              <w:rPr>
                <w:rFonts w:ascii="Arial" w:hAnsi="Arial" w:cs="Arial"/>
                <w:b/>
                <w:bCs/>
              </w:rPr>
            </w:pPr>
            <w:r w:rsidRPr="00F64B0D">
              <w:rPr>
                <w:rFonts w:ascii="Arial" w:hAnsi="Arial" w:cs="Arial"/>
                <w:b/>
                <w:bCs/>
              </w:rPr>
              <w:t>31-Mar-2</w:t>
            </w:r>
            <w:r w:rsidR="007F19F0">
              <w:rPr>
                <w:rFonts w:ascii="Arial" w:hAnsi="Arial" w:cs="Arial"/>
                <w:b/>
                <w:bCs/>
              </w:rPr>
              <w:t>5</w:t>
            </w:r>
          </w:p>
        </w:tc>
      </w:tr>
      <w:tr w:rsidR="00F64B0D" w:rsidRPr="00F64B0D" w14:paraId="5BDEBCD0" w14:textId="77777777" w:rsidTr="00F64B0D">
        <w:trPr>
          <w:trHeight w:val="300"/>
        </w:trPr>
        <w:tc>
          <w:tcPr>
            <w:tcW w:w="5680" w:type="dxa"/>
            <w:tcBorders>
              <w:top w:val="nil"/>
              <w:left w:val="single" w:sz="8" w:space="0" w:color="auto"/>
              <w:bottom w:val="nil"/>
              <w:right w:val="nil"/>
            </w:tcBorders>
            <w:shd w:val="clear" w:color="000000" w:fill="CCCCCC"/>
            <w:vAlign w:val="center"/>
            <w:hideMark/>
          </w:tcPr>
          <w:p w14:paraId="47081268" w14:textId="77777777" w:rsidR="00F64B0D" w:rsidRPr="00F64B0D" w:rsidRDefault="00F64B0D" w:rsidP="00F64B0D">
            <w:pPr>
              <w:rPr>
                <w:rFonts w:ascii="Arial" w:hAnsi="Arial" w:cs="Arial"/>
              </w:rPr>
            </w:pPr>
            <w:r w:rsidRPr="00F64B0D">
              <w:rPr>
                <w:rFonts w:ascii="Arial" w:hAnsi="Arial" w:cs="Arial"/>
              </w:rPr>
              <w:t> </w:t>
            </w:r>
          </w:p>
        </w:tc>
        <w:tc>
          <w:tcPr>
            <w:tcW w:w="1520" w:type="dxa"/>
            <w:tcBorders>
              <w:top w:val="nil"/>
              <w:left w:val="nil"/>
              <w:bottom w:val="nil"/>
              <w:right w:val="nil"/>
            </w:tcBorders>
            <w:shd w:val="clear" w:color="000000" w:fill="FFFFFF"/>
            <w:vAlign w:val="center"/>
            <w:hideMark/>
          </w:tcPr>
          <w:p w14:paraId="1BB70277" w14:textId="77777777" w:rsidR="00F64B0D" w:rsidRPr="00F64B0D" w:rsidRDefault="00F64B0D" w:rsidP="00F64B0D">
            <w:pPr>
              <w:jc w:val="center"/>
              <w:rPr>
                <w:rFonts w:ascii="Arial" w:hAnsi="Arial" w:cs="Arial"/>
                <w:b/>
                <w:bCs/>
                <w:color w:val="000000"/>
              </w:rPr>
            </w:pPr>
            <w:r w:rsidRPr="00F64B0D">
              <w:rPr>
                <w:rFonts w:ascii="Arial" w:hAnsi="Arial" w:cs="Arial"/>
                <w:b/>
                <w:bCs/>
                <w:color w:val="000000"/>
              </w:rPr>
              <w:t>£,000</w:t>
            </w:r>
          </w:p>
        </w:tc>
        <w:tc>
          <w:tcPr>
            <w:tcW w:w="1180" w:type="dxa"/>
            <w:tcBorders>
              <w:top w:val="nil"/>
              <w:left w:val="nil"/>
              <w:bottom w:val="nil"/>
              <w:right w:val="single" w:sz="8" w:space="0" w:color="auto"/>
            </w:tcBorders>
            <w:shd w:val="clear" w:color="000000" w:fill="CCCCCC"/>
            <w:vAlign w:val="center"/>
            <w:hideMark/>
          </w:tcPr>
          <w:p w14:paraId="56E64B2C" w14:textId="77777777" w:rsidR="00F64B0D" w:rsidRPr="00F64B0D" w:rsidRDefault="00F64B0D" w:rsidP="00F64B0D">
            <w:pPr>
              <w:jc w:val="right"/>
              <w:rPr>
                <w:rFonts w:ascii="Arial" w:hAnsi="Arial" w:cs="Arial"/>
                <w:b/>
                <w:bCs/>
              </w:rPr>
            </w:pPr>
            <w:r w:rsidRPr="00F64B0D">
              <w:rPr>
                <w:rFonts w:ascii="Arial" w:hAnsi="Arial" w:cs="Arial"/>
                <w:b/>
                <w:bCs/>
              </w:rPr>
              <w:t>£,000</w:t>
            </w:r>
          </w:p>
        </w:tc>
      </w:tr>
      <w:tr w:rsidR="00F64B0D" w:rsidRPr="00F64B0D" w14:paraId="2AAE2B00" w14:textId="77777777" w:rsidTr="00F64B0D">
        <w:trPr>
          <w:trHeight w:val="315"/>
        </w:trPr>
        <w:tc>
          <w:tcPr>
            <w:tcW w:w="5680" w:type="dxa"/>
            <w:tcBorders>
              <w:top w:val="nil"/>
              <w:left w:val="single" w:sz="8" w:space="0" w:color="auto"/>
              <w:bottom w:val="nil"/>
              <w:right w:val="nil"/>
            </w:tcBorders>
            <w:shd w:val="clear" w:color="000000" w:fill="CCCCCC"/>
            <w:vAlign w:val="center"/>
            <w:hideMark/>
          </w:tcPr>
          <w:p w14:paraId="0AFE4BA3" w14:textId="77777777" w:rsidR="00F64B0D" w:rsidRPr="00F64B0D" w:rsidRDefault="00F64B0D" w:rsidP="00F64B0D">
            <w:pPr>
              <w:rPr>
                <w:rFonts w:ascii="Arial" w:hAnsi="Arial" w:cs="Arial"/>
                <w:b/>
                <w:bCs/>
                <w:color w:val="000000"/>
                <w:sz w:val="24"/>
                <w:szCs w:val="24"/>
              </w:rPr>
            </w:pPr>
            <w:r w:rsidRPr="00F64B0D">
              <w:rPr>
                <w:rFonts w:ascii="Arial" w:hAnsi="Arial" w:cs="Arial"/>
                <w:b/>
                <w:bCs/>
                <w:color w:val="000000"/>
                <w:sz w:val="24"/>
                <w:szCs w:val="24"/>
              </w:rPr>
              <w:t>SINGLE ENTITY PCC</w:t>
            </w:r>
          </w:p>
        </w:tc>
        <w:tc>
          <w:tcPr>
            <w:tcW w:w="1520" w:type="dxa"/>
            <w:tcBorders>
              <w:top w:val="nil"/>
              <w:left w:val="nil"/>
              <w:bottom w:val="nil"/>
              <w:right w:val="nil"/>
            </w:tcBorders>
            <w:shd w:val="clear" w:color="000000" w:fill="FFFFFF"/>
            <w:vAlign w:val="center"/>
            <w:hideMark/>
          </w:tcPr>
          <w:p w14:paraId="58A8580C" w14:textId="77777777" w:rsidR="00F64B0D" w:rsidRPr="00F64B0D" w:rsidRDefault="00F64B0D" w:rsidP="00F64B0D">
            <w:pPr>
              <w:rPr>
                <w:rFonts w:ascii="Arial" w:hAnsi="Arial" w:cs="Arial"/>
                <w:b/>
                <w:bCs/>
                <w:color w:val="000000"/>
                <w:sz w:val="24"/>
                <w:szCs w:val="24"/>
              </w:rPr>
            </w:pPr>
            <w:r w:rsidRPr="00F64B0D">
              <w:rPr>
                <w:rFonts w:ascii="Arial" w:hAnsi="Arial" w:cs="Arial"/>
                <w:b/>
                <w:bCs/>
                <w:color w:val="000000"/>
                <w:sz w:val="24"/>
                <w:szCs w:val="24"/>
              </w:rPr>
              <w:t> </w:t>
            </w:r>
          </w:p>
        </w:tc>
        <w:tc>
          <w:tcPr>
            <w:tcW w:w="1180" w:type="dxa"/>
            <w:tcBorders>
              <w:top w:val="nil"/>
              <w:left w:val="nil"/>
              <w:bottom w:val="nil"/>
              <w:right w:val="single" w:sz="8" w:space="0" w:color="auto"/>
            </w:tcBorders>
            <w:shd w:val="clear" w:color="000000" w:fill="CCCCCC"/>
            <w:vAlign w:val="center"/>
            <w:hideMark/>
          </w:tcPr>
          <w:p w14:paraId="4D46A82A" w14:textId="77777777" w:rsidR="00F64B0D" w:rsidRPr="00F64B0D" w:rsidRDefault="00F64B0D" w:rsidP="00F64B0D">
            <w:pPr>
              <w:rPr>
                <w:rFonts w:ascii="Arial" w:hAnsi="Arial" w:cs="Arial"/>
                <w:b/>
                <w:bCs/>
                <w:sz w:val="24"/>
                <w:szCs w:val="24"/>
              </w:rPr>
            </w:pPr>
            <w:r w:rsidRPr="00F64B0D">
              <w:rPr>
                <w:rFonts w:ascii="Arial" w:hAnsi="Arial" w:cs="Arial"/>
                <w:b/>
                <w:bCs/>
                <w:sz w:val="24"/>
                <w:szCs w:val="24"/>
              </w:rPr>
              <w:t> </w:t>
            </w:r>
          </w:p>
        </w:tc>
      </w:tr>
      <w:tr w:rsidR="00C06C10" w:rsidRPr="00F64B0D" w14:paraId="5AB780A6" w14:textId="77777777">
        <w:trPr>
          <w:trHeight w:val="300"/>
        </w:trPr>
        <w:tc>
          <w:tcPr>
            <w:tcW w:w="5680" w:type="dxa"/>
            <w:tcBorders>
              <w:top w:val="nil"/>
              <w:left w:val="single" w:sz="8" w:space="0" w:color="auto"/>
              <w:bottom w:val="nil"/>
              <w:right w:val="nil"/>
            </w:tcBorders>
            <w:shd w:val="clear" w:color="000000" w:fill="CCCCCC"/>
            <w:vAlign w:val="center"/>
            <w:hideMark/>
          </w:tcPr>
          <w:p w14:paraId="76B46D5F" w14:textId="224D54F2" w:rsidR="00C06C10" w:rsidRPr="00F64B0D" w:rsidRDefault="00C06C10" w:rsidP="00C06C10">
            <w:pPr>
              <w:rPr>
                <w:rFonts w:ascii="Arial" w:hAnsi="Arial" w:cs="Arial"/>
                <w:b/>
                <w:bCs/>
                <w:color w:val="000000"/>
              </w:rPr>
            </w:pPr>
            <w:r>
              <w:rPr>
                <w:rFonts w:ascii="Arial" w:hAnsi="Arial" w:cs="Arial"/>
                <w:b/>
                <w:bCs/>
                <w:color w:val="000000"/>
              </w:rPr>
              <w:t xml:space="preserve">Present value of the defined benefit obligation </w:t>
            </w:r>
          </w:p>
        </w:tc>
        <w:tc>
          <w:tcPr>
            <w:tcW w:w="1520" w:type="dxa"/>
            <w:tcBorders>
              <w:top w:val="nil"/>
              <w:left w:val="nil"/>
              <w:bottom w:val="nil"/>
              <w:right w:val="nil"/>
            </w:tcBorders>
            <w:shd w:val="clear" w:color="000000" w:fill="FFFFFF"/>
            <w:vAlign w:val="center"/>
            <w:hideMark/>
          </w:tcPr>
          <w:p w14:paraId="02D4D591" w14:textId="727B5ACC" w:rsidR="00C06C10" w:rsidRPr="007F19F0" w:rsidRDefault="00C06C10" w:rsidP="00C06C10">
            <w:pPr>
              <w:jc w:val="right"/>
              <w:rPr>
                <w:rFonts w:ascii="Arial" w:hAnsi="Arial" w:cs="Arial"/>
              </w:rPr>
            </w:pPr>
            <w:r>
              <w:rPr>
                <w:rFonts w:ascii="Arial" w:hAnsi="Arial" w:cs="Arial"/>
                <w:sz w:val="18"/>
                <w:szCs w:val="18"/>
              </w:rPr>
              <w:t>(7,040)</w:t>
            </w:r>
          </w:p>
        </w:tc>
        <w:tc>
          <w:tcPr>
            <w:tcW w:w="1180" w:type="dxa"/>
            <w:tcBorders>
              <w:top w:val="nil"/>
              <w:left w:val="nil"/>
              <w:bottom w:val="nil"/>
              <w:right w:val="single" w:sz="8" w:space="0" w:color="auto"/>
            </w:tcBorders>
            <w:shd w:val="clear" w:color="000000" w:fill="CCCCCC"/>
            <w:vAlign w:val="center"/>
            <w:hideMark/>
          </w:tcPr>
          <w:p w14:paraId="3A11DF7D" w14:textId="0CD31827" w:rsidR="00C06C10" w:rsidRPr="00F64B0D" w:rsidRDefault="00C06C10" w:rsidP="00C06C10">
            <w:pPr>
              <w:jc w:val="right"/>
              <w:rPr>
                <w:rFonts w:ascii="Arial" w:hAnsi="Arial" w:cs="Arial"/>
              </w:rPr>
            </w:pPr>
            <w:r>
              <w:rPr>
                <w:rFonts w:ascii="Arial" w:hAnsi="Arial" w:cs="Arial"/>
              </w:rPr>
              <w:t>(6,401)</w:t>
            </w:r>
          </w:p>
        </w:tc>
      </w:tr>
      <w:tr w:rsidR="00C06C10" w:rsidRPr="00F64B0D" w14:paraId="031487F8" w14:textId="77777777">
        <w:trPr>
          <w:trHeight w:val="300"/>
        </w:trPr>
        <w:tc>
          <w:tcPr>
            <w:tcW w:w="5680" w:type="dxa"/>
            <w:tcBorders>
              <w:top w:val="nil"/>
              <w:left w:val="single" w:sz="8" w:space="0" w:color="auto"/>
              <w:bottom w:val="nil"/>
              <w:right w:val="nil"/>
            </w:tcBorders>
            <w:shd w:val="clear" w:color="000000" w:fill="CCCCCC"/>
            <w:vAlign w:val="center"/>
            <w:hideMark/>
          </w:tcPr>
          <w:p w14:paraId="4CCF40A9" w14:textId="067AF147" w:rsidR="00C06C10" w:rsidRPr="00F64B0D" w:rsidRDefault="00C06C10" w:rsidP="00C06C10">
            <w:pPr>
              <w:rPr>
                <w:rFonts w:ascii="Arial" w:hAnsi="Arial" w:cs="Arial"/>
                <w:b/>
                <w:bCs/>
                <w:color w:val="000000"/>
              </w:rPr>
            </w:pPr>
            <w:r>
              <w:rPr>
                <w:rFonts w:ascii="Arial" w:hAnsi="Arial" w:cs="Arial"/>
                <w:b/>
                <w:bCs/>
                <w:color w:val="000000"/>
              </w:rPr>
              <w:t>Impact of Asset Ceiling</w:t>
            </w:r>
          </w:p>
        </w:tc>
        <w:tc>
          <w:tcPr>
            <w:tcW w:w="1520" w:type="dxa"/>
            <w:tcBorders>
              <w:top w:val="nil"/>
              <w:left w:val="nil"/>
              <w:bottom w:val="nil"/>
              <w:right w:val="nil"/>
            </w:tcBorders>
            <w:shd w:val="clear" w:color="000000" w:fill="FFFFFF"/>
            <w:vAlign w:val="center"/>
            <w:hideMark/>
          </w:tcPr>
          <w:p w14:paraId="45F083DD" w14:textId="1552D142" w:rsidR="00C06C10" w:rsidRPr="007F19F0" w:rsidRDefault="00C06C10" w:rsidP="00C06C10">
            <w:pPr>
              <w:jc w:val="right"/>
              <w:rPr>
                <w:rFonts w:ascii="Arial" w:hAnsi="Arial" w:cs="Arial"/>
              </w:rPr>
            </w:pPr>
            <w:r>
              <w:rPr>
                <w:rFonts w:ascii="Arial" w:hAnsi="Arial" w:cs="Arial"/>
                <w:sz w:val="18"/>
                <w:szCs w:val="18"/>
              </w:rPr>
              <w:t>(2,145)</w:t>
            </w:r>
          </w:p>
        </w:tc>
        <w:tc>
          <w:tcPr>
            <w:tcW w:w="1180" w:type="dxa"/>
            <w:tcBorders>
              <w:top w:val="nil"/>
              <w:left w:val="nil"/>
              <w:bottom w:val="nil"/>
              <w:right w:val="single" w:sz="8" w:space="0" w:color="auto"/>
            </w:tcBorders>
            <w:shd w:val="clear" w:color="000000" w:fill="CCCCCC"/>
            <w:vAlign w:val="center"/>
            <w:hideMark/>
          </w:tcPr>
          <w:p w14:paraId="36FF816A" w14:textId="21DE9BF9" w:rsidR="00C06C10" w:rsidRPr="00F64B0D" w:rsidRDefault="00C06C10" w:rsidP="00C06C10">
            <w:pPr>
              <w:jc w:val="right"/>
              <w:rPr>
                <w:rFonts w:ascii="Arial" w:hAnsi="Arial" w:cs="Arial"/>
              </w:rPr>
            </w:pPr>
            <w:r>
              <w:rPr>
                <w:rFonts w:ascii="Arial" w:hAnsi="Arial" w:cs="Arial"/>
              </w:rPr>
              <w:t>(3,125)</w:t>
            </w:r>
          </w:p>
        </w:tc>
      </w:tr>
      <w:tr w:rsidR="00C06C10" w:rsidRPr="00F64B0D" w14:paraId="1F279A0D" w14:textId="77777777">
        <w:trPr>
          <w:trHeight w:val="300"/>
        </w:trPr>
        <w:tc>
          <w:tcPr>
            <w:tcW w:w="5680" w:type="dxa"/>
            <w:tcBorders>
              <w:top w:val="nil"/>
              <w:left w:val="single" w:sz="8" w:space="0" w:color="auto"/>
              <w:bottom w:val="nil"/>
              <w:right w:val="nil"/>
            </w:tcBorders>
            <w:shd w:val="clear" w:color="000000" w:fill="CCCCCC"/>
            <w:vAlign w:val="center"/>
            <w:hideMark/>
          </w:tcPr>
          <w:p w14:paraId="45B0DB02" w14:textId="0465214B" w:rsidR="00C06C10" w:rsidRPr="00F64B0D" w:rsidRDefault="00C06C10" w:rsidP="00C06C10">
            <w:pPr>
              <w:rPr>
                <w:rFonts w:ascii="Arial" w:hAnsi="Arial" w:cs="Arial"/>
                <w:b/>
                <w:bCs/>
                <w:color w:val="000000"/>
              </w:rPr>
            </w:pPr>
            <w:r>
              <w:rPr>
                <w:rFonts w:ascii="Arial" w:hAnsi="Arial" w:cs="Arial"/>
                <w:b/>
                <w:bCs/>
                <w:color w:val="000000"/>
              </w:rPr>
              <w:t>Interest on surplus above asset ceiling</w:t>
            </w:r>
          </w:p>
        </w:tc>
        <w:tc>
          <w:tcPr>
            <w:tcW w:w="1520" w:type="dxa"/>
            <w:tcBorders>
              <w:top w:val="nil"/>
              <w:left w:val="nil"/>
              <w:bottom w:val="nil"/>
              <w:right w:val="nil"/>
            </w:tcBorders>
            <w:shd w:val="clear" w:color="000000" w:fill="FFFFFF"/>
            <w:vAlign w:val="center"/>
            <w:hideMark/>
          </w:tcPr>
          <w:p w14:paraId="2CCEB21F" w14:textId="3CA05F7B" w:rsidR="00C06C10" w:rsidRPr="007F19F0" w:rsidRDefault="00C06C10" w:rsidP="00C06C10">
            <w:pPr>
              <w:jc w:val="right"/>
              <w:rPr>
                <w:rFonts w:ascii="Arial" w:hAnsi="Arial" w:cs="Arial"/>
              </w:rPr>
            </w:pPr>
            <w:r>
              <w:rPr>
                <w:rFonts w:ascii="Arial" w:hAnsi="Arial" w:cs="Arial"/>
                <w:sz w:val="18"/>
                <w:szCs w:val="18"/>
              </w:rPr>
              <w:t>(74)</w:t>
            </w:r>
          </w:p>
        </w:tc>
        <w:tc>
          <w:tcPr>
            <w:tcW w:w="1180" w:type="dxa"/>
            <w:tcBorders>
              <w:top w:val="nil"/>
              <w:left w:val="nil"/>
              <w:bottom w:val="nil"/>
              <w:right w:val="single" w:sz="8" w:space="0" w:color="auto"/>
            </w:tcBorders>
            <w:shd w:val="clear" w:color="000000" w:fill="CCCCCC"/>
            <w:vAlign w:val="center"/>
            <w:hideMark/>
          </w:tcPr>
          <w:p w14:paraId="10942A4E" w14:textId="7D2A0F1B" w:rsidR="00C06C10" w:rsidRPr="00F64B0D" w:rsidRDefault="00C06C10" w:rsidP="00C06C10">
            <w:pPr>
              <w:jc w:val="right"/>
              <w:rPr>
                <w:rFonts w:ascii="Arial" w:hAnsi="Arial" w:cs="Arial"/>
              </w:rPr>
            </w:pPr>
            <w:r>
              <w:rPr>
                <w:rFonts w:ascii="Arial" w:hAnsi="Arial" w:cs="Arial"/>
              </w:rPr>
              <w:t>0</w:t>
            </w:r>
          </w:p>
        </w:tc>
      </w:tr>
      <w:tr w:rsidR="00C06C10" w:rsidRPr="00F64B0D" w14:paraId="14C54895" w14:textId="77777777">
        <w:trPr>
          <w:trHeight w:val="315"/>
        </w:trPr>
        <w:tc>
          <w:tcPr>
            <w:tcW w:w="5680" w:type="dxa"/>
            <w:tcBorders>
              <w:top w:val="nil"/>
              <w:left w:val="single" w:sz="8" w:space="0" w:color="auto"/>
              <w:bottom w:val="nil"/>
              <w:right w:val="nil"/>
            </w:tcBorders>
            <w:shd w:val="clear" w:color="000000" w:fill="CCCCCC"/>
            <w:vAlign w:val="center"/>
            <w:hideMark/>
          </w:tcPr>
          <w:p w14:paraId="4D4DA28A" w14:textId="795687E8" w:rsidR="00C06C10" w:rsidRPr="00F64B0D" w:rsidRDefault="00C06C10" w:rsidP="00C06C10">
            <w:pPr>
              <w:rPr>
                <w:rFonts w:ascii="Arial" w:hAnsi="Arial" w:cs="Arial"/>
                <w:b/>
                <w:bCs/>
                <w:color w:val="000000"/>
              </w:rPr>
            </w:pPr>
            <w:r>
              <w:rPr>
                <w:rFonts w:ascii="Arial" w:hAnsi="Arial" w:cs="Arial"/>
                <w:b/>
                <w:bCs/>
                <w:color w:val="000000"/>
              </w:rPr>
              <w:t>Fair value of plan assets</w:t>
            </w:r>
          </w:p>
        </w:tc>
        <w:tc>
          <w:tcPr>
            <w:tcW w:w="1520" w:type="dxa"/>
            <w:tcBorders>
              <w:top w:val="nil"/>
              <w:left w:val="nil"/>
              <w:bottom w:val="nil"/>
              <w:right w:val="nil"/>
            </w:tcBorders>
            <w:shd w:val="clear" w:color="000000" w:fill="FFFFFF"/>
            <w:vAlign w:val="center"/>
            <w:hideMark/>
          </w:tcPr>
          <w:p w14:paraId="36615C5A" w14:textId="7115C669" w:rsidR="00C06C10" w:rsidRPr="007F19F0" w:rsidRDefault="00C06C10" w:rsidP="00C06C10">
            <w:pPr>
              <w:jc w:val="right"/>
              <w:rPr>
                <w:rFonts w:ascii="Arial" w:hAnsi="Arial" w:cs="Arial"/>
              </w:rPr>
            </w:pPr>
            <w:r>
              <w:rPr>
                <w:rFonts w:ascii="Arial" w:hAnsi="Arial" w:cs="Arial"/>
                <w:sz w:val="18"/>
                <w:szCs w:val="18"/>
              </w:rPr>
              <w:t>9,259</w:t>
            </w:r>
          </w:p>
        </w:tc>
        <w:tc>
          <w:tcPr>
            <w:tcW w:w="1180" w:type="dxa"/>
            <w:tcBorders>
              <w:top w:val="nil"/>
              <w:left w:val="nil"/>
              <w:bottom w:val="nil"/>
              <w:right w:val="single" w:sz="8" w:space="0" w:color="auto"/>
            </w:tcBorders>
            <w:shd w:val="clear" w:color="000000" w:fill="CCCCCC"/>
            <w:vAlign w:val="center"/>
            <w:hideMark/>
          </w:tcPr>
          <w:p w14:paraId="5020C8D4" w14:textId="4E689949" w:rsidR="00C06C10" w:rsidRPr="00F64B0D" w:rsidRDefault="00C06C10" w:rsidP="00C06C10">
            <w:pPr>
              <w:jc w:val="right"/>
              <w:rPr>
                <w:rFonts w:ascii="Arial" w:hAnsi="Arial" w:cs="Arial"/>
              </w:rPr>
            </w:pPr>
            <w:r>
              <w:rPr>
                <w:rFonts w:ascii="Arial" w:hAnsi="Arial" w:cs="Arial"/>
              </w:rPr>
              <w:t>9,526</w:t>
            </w:r>
          </w:p>
        </w:tc>
      </w:tr>
      <w:tr w:rsidR="00C06C10" w:rsidRPr="00F64B0D" w14:paraId="5E389DFA" w14:textId="77777777" w:rsidTr="00F64B0D">
        <w:trPr>
          <w:trHeight w:val="315"/>
        </w:trPr>
        <w:tc>
          <w:tcPr>
            <w:tcW w:w="5680" w:type="dxa"/>
            <w:tcBorders>
              <w:top w:val="nil"/>
              <w:left w:val="single" w:sz="8" w:space="0" w:color="auto"/>
              <w:bottom w:val="single" w:sz="8" w:space="0" w:color="auto"/>
              <w:right w:val="nil"/>
            </w:tcBorders>
            <w:shd w:val="clear" w:color="000000" w:fill="CCCCCC"/>
            <w:vAlign w:val="center"/>
            <w:hideMark/>
          </w:tcPr>
          <w:p w14:paraId="6F7E2E41" w14:textId="6A5D2344" w:rsidR="00C06C10" w:rsidRPr="00F64B0D" w:rsidRDefault="00C06C10" w:rsidP="00C06C10">
            <w:pPr>
              <w:rPr>
                <w:rFonts w:ascii="Arial" w:hAnsi="Arial" w:cs="Arial"/>
                <w:b/>
                <w:bCs/>
                <w:color w:val="000000"/>
              </w:rPr>
            </w:pPr>
            <w:r>
              <w:rPr>
                <w:rFonts w:ascii="Arial" w:hAnsi="Arial" w:cs="Arial"/>
                <w:b/>
                <w:bCs/>
                <w:color w:val="000000"/>
              </w:rPr>
              <w:t>Net liability arising from defined benefit obligation</w:t>
            </w:r>
          </w:p>
        </w:tc>
        <w:tc>
          <w:tcPr>
            <w:tcW w:w="1520" w:type="dxa"/>
            <w:tcBorders>
              <w:top w:val="single" w:sz="8" w:space="0" w:color="auto"/>
              <w:left w:val="nil"/>
              <w:bottom w:val="single" w:sz="8" w:space="0" w:color="auto"/>
              <w:right w:val="nil"/>
            </w:tcBorders>
            <w:shd w:val="clear" w:color="000000" w:fill="FFFFFF"/>
            <w:vAlign w:val="center"/>
            <w:hideMark/>
          </w:tcPr>
          <w:p w14:paraId="56C1614F" w14:textId="5FD4D705" w:rsidR="00C06C10" w:rsidRPr="00F64B0D" w:rsidRDefault="00595255" w:rsidP="00C06C10">
            <w:pPr>
              <w:jc w:val="right"/>
              <w:rPr>
                <w:rFonts w:ascii="Arial" w:hAnsi="Arial" w:cs="Arial"/>
                <w:b/>
                <w:bCs/>
              </w:rPr>
            </w:pPr>
            <w:r>
              <w:rPr>
                <w:rFonts w:ascii="Arial" w:hAnsi="Arial" w:cs="Arial"/>
                <w:b/>
                <w:bCs/>
              </w:rPr>
              <w:t>0</w:t>
            </w:r>
          </w:p>
        </w:tc>
        <w:tc>
          <w:tcPr>
            <w:tcW w:w="1180" w:type="dxa"/>
            <w:tcBorders>
              <w:top w:val="single" w:sz="8" w:space="0" w:color="auto"/>
              <w:left w:val="nil"/>
              <w:bottom w:val="single" w:sz="8" w:space="0" w:color="auto"/>
              <w:right w:val="single" w:sz="8" w:space="0" w:color="auto"/>
            </w:tcBorders>
            <w:shd w:val="clear" w:color="000000" w:fill="CCCCCC"/>
            <w:vAlign w:val="center"/>
            <w:hideMark/>
          </w:tcPr>
          <w:p w14:paraId="53BEEA8A" w14:textId="231258EC" w:rsidR="00C06C10" w:rsidRPr="00F64B0D" w:rsidRDefault="00C06C10" w:rsidP="00C06C10">
            <w:pPr>
              <w:jc w:val="right"/>
              <w:rPr>
                <w:rFonts w:ascii="Arial" w:hAnsi="Arial" w:cs="Arial"/>
                <w:b/>
                <w:bCs/>
              </w:rPr>
            </w:pPr>
            <w:r>
              <w:rPr>
                <w:rFonts w:ascii="Arial" w:hAnsi="Arial" w:cs="Arial"/>
                <w:b/>
                <w:bCs/>
              </w:rPr>
              <w:t>0</w:t>
            </w:r>
          </w:p>
        </w:tc>
      </w:tr>
    </w:tbl>
    <w:p w14:paraId="315E03B0" w14:textId="77777777" w:rsidR="006C0D6D" w:rsidRPr="00645FC2" w:rsidRDefault="006C0D6D" w:rsidP="00EA5AE4">
      <w:pPr>
        <w:pStyle w:val="BodyText"/>
        <w:jc w:val="both"/>
        <w:rPr>
          <w:i w:val="0"/>
          <w:sz w:val="22"/>
          <w:szCs w:val="22"/>
          <w:highlight w:val="yellow"/>
        </w:rPr>
      </w:pPr>
    </w:p>
    <w:p w14:paraId="552A870C" w14:textId="55ED5E20" w:rsidR="00F64B0D" w:rsidRDefault="00F64B0D" w:rsidP="00F64B0D">
      <w:pPr>
        <w:pStyle w:val="BodyText"/>
        <w:jc w:val="both"/>
        <w:rPr>
          <w:i w:val="0"/>
          <w:sz w:val="22"/>
          <w:szCs w:val="22"/>
        </w:rPr>
      </w:pPr>
      <w:bookmarkStart w:id="33" w:name="_Hlk183448151"/>
      <w:r w:rsidRPr="00995E5A">
        <w:rPr>
          <w:i w:val="0"/>
          <w:sz w:val="22"/>
          <w:szCs w:val="22"/>
        </w:rPr>
        <w:t xml:space="preserve">The liabilities show the underlying commitments that the PCC Group has in the long run to fund retirement benefits, both in respect of the staff of the Office of the PCC </w:t>
      </w:r>
      <w:r>
        <w:rPr>
          <w:i w:val="0"/>
          <w:sz w:val="22"/>
          <w:szCs w:val="22"/>
        </w:rPr>
        <w:t xml:space="preserve">(£0m) </w:t>
      </w:r>
      <w:r w:rsidRPr="00995E5A">
        <w:rPr>
          <w:i w:val="0"/>
          <w:sz w:val="22"/>
          <w:szCs w:val="22"/>
        </w:rPr>
        <w:t>and the police officers and staff under the direction of the CC (£</w:t>
      </w:r>
      <w:r w:rsidRPr="009D7304">
        <w:rPr>
          <w:i w:val="0"/>
          <w:sz w:val="22"/>
          <w:szCs w:val="22"/>
        </w:rPr>
        <w:t>2</w:t>
      </w:r>
      <w:r>
        <w:rPr>
          <w:i w:val="0"/>
          <w:sz w:val="22"/>
          <w:szCs w:val="22"/>
        </w:rPr>
        <w:t>,</w:t>
      </w:r>
      <w:r w:rsidR="00EA36A4">
        <w:rPr>
          <w:i w:val="0"/>
          <w:sz w:val="22"/>
          <w:szCs w:val="22"/>
        </w:rPr>
        <w:t>489</w:t>
      </w:r>
      <w:r w:rsidRPr="00995E5A">
        <w:rPr>
          <w:i w:val="0"/>
          <w:sz w:val="22"/>
          <w:szCs w:val="22"/>
        </w:rPr>
        <w:t>m)</w:t>
      </w:r>
    </w:p>
    <w:p w14:paraId="5B8BB578" w14:textId="77777777" w:rsidR="00F64B0D" w:rsidRPr="00995E5A" w:rsidRDefault="00F64B0D" w:rsidP="00F64B0D">
      <w:pPr>
        <w:pStyle w:val="BodyText"/>
        <w:jc w:val="both"/>
        <w:rPr>
          <w:i w:val="0"/>
          <w:sz w:val="22"/>
          <w:szCs w:val="22"/>
        </w:rPr>
      </w:pPr>
    </w:p>
    <w:p w14:paraId="19BD9BD5" w14:textId="02EA3F2D" w:rsidR="00F64B0D" w:rsidRDefault="00F64B0D" w:rsidP="00F64B0D">
      <w:pPr>
        <w:pStyle w:val="BodyText"/>
        <w:jc w:val="both"/>
        <w:rPr>
          <w:i w:val="0"/>
          <w:sz w:val="22"/>
          <w:szCs w:val="22"/>
        </w:rPr>
      </w:pPr>
      <w:bookmarkStart w:id="34" w:name="_Hlk183448263"/>
      <w:r w:rsidRPr="000862ED">
        <w:rPr>
          <w:i w:val="0"/>
          <w:sz w:val="22"/>
          <w:szCs w:val="22"/>
        </w:rPr>
        <w:t>The total liability of £</w:t>
      </w:r>
      <w:r w:rsidRPr="009D7304">
        <w:rPr>
          <w:i w:val="0"/>
          <w:sz w:val="22"/>
          <w:szCs w:val="22"/>
        </w:rPr>
        <w:t>2</w:t>
      </w:r>
      <w:r>
        <w:rPr>
          <w:i w:val="0"/>
          <w:sz w:val="22"/>
          <w:szCs w:val="22"/>
        </w:rPr>
        <w:t>,</w:t>
      </w:r>
      <w:r w:rsidR="005C65BE">
        <w:rPr>
          <w:i w:val="0"/>
          <w:sz w:val="22"/>
          <w:szCs w:val="22"/>
        </w:rPr>
        <w:t>489</w:t>
      </w:r>
      <w:r w:rsidRPr="000862ED">
        <w:rPr>
          <w:i w:val="0"/>
          <w:sz w:val="22"/>
          <w:szCs w:val="22"/>
        </w:rPr>
        <w:t xml:space="preserve">m has a considerable impact on the net worth of the PCC Group as recorded in the balance sheets, resulting in a net liability </w:t>
      </w:r>
      <w:r w:rsidR="00EF38E6">
        <w:rPr>
          <w:i w:val="0"/>
          <w:sz w:val="22"/>
          <w:szCs w:val="22"/>
        </w:rPr>
        <w:t>for the Group as at 31</w:t>
      </w:r>
      <w:r w:rsidR="00EF38E6" w:rsidRPr="004D5349">
        <w:rPr>
          <w:i w:val="0"/>
          <w:sz w:val="22"/>
          <w:szCs w:val="22"/>
          <w:vertAlign w:val="superscript"/>
        </w:rPr>
        <w:t>st</w:t>
      </w:r>
      <w:r w:rsidR="00EF38E6">
        <w:rPr>
          <w:i w:val="0"/>
          <w:sz w:val="22"/>
          <w:szCs w:val="22"/>
        </w:rPr>
        <w:t xml:space="preserve"> March </w:t>
      </w:r>
      <w:r w:rsidRPr="000862ED">
        <w:rPr>
          <w:i w:val="0"/>
          <w:sz w:val="22"/>
          <w:szCs w:val="22"/>
        </w:rPr>
        <w:t>of £2</w:t>
      </w:r>
      <w:r>
        <w:rPr>
          <w:i w:val="0"/>
          <w:sz w:val="22"/>
          <w:szCs w:val="22"/>
        </w:rPr>
        <w:t>,</w:t>
      </w:r>
      <w:r w:rsidR="00AD25A6">
        <w:rPr>
          <w:i w:val="0"/>
          <w:sz w:val="22"/>
          <w:szCs w:val="22"/>
        </w:rPr>
        <w:t>3</w:t>
      </w:r>
      <w:r w:rsidR="000B02A9">
        <w:rPr>
          <w:i w:val="0"/>
          <w:sz w:val="22"/>
          <w:szCs w:val="22"/>
        </w:rPr>
        <w:t>04</w:t>
      </w:r>
      <w:r w:rsidRPr="000862ED">
        <w:rPr>
          <w:i w:val="0"/>
          <w:sz w:val="22"/>
          <w:szCs w:val="22"/>
        </w:rPr>
        <w:t>m.</w:t>
      </w:r>
    </w:p>
    <w:p w14:paraId="1A0FE8B0" w14:textId="77777777" w:rsidR="00F64B0D" w:rsidRPr="000862ED" w:rsidRDefault="00F64B0D" w:rsidP="00F64B0D">
      <w:pPr>
        <w:pStyle w:val="BodyText"/>
        <w:jc w:val="both"/>
        <w:rPr>
          <w:i w:val="0"/>
          <w:sz w:val="22"/>
          <w:szCs w:val="22"/>
        </w:rPr>
      </w:pPr>
      <w:r w:rsidRPr="000862ED">
        <w:rPr>
          <w:i w:val="0"/>
          <w:sz w:val="22"/>
          <w:szCs w:val="22"/>
        </w:rPr>
        <w:t xml:space="preserve">  </w:t>
      </w:r>
    </w:p>
    <w:bookmarkEnd w:id="33"/>
    <w:bookmarkEnd w:id="34"/>
    <w:p w14:paraId="1BF87C77" w14:textId="25191778" w:rsidR="003B74DA" w:rsidRPr="00DC7DD8" w:rsidRDefault="003B74DA" w:rsidP="00E06648">
      <w:pPr>
        <w:pStyle w:val="BodyText"/>
        <w:jc w:val="both"/>
        <w:rPr>
          <w:i w:val="0"/>
          <w:sz w:val="22"/>
          <w:szCs w:val="22"/>
        </w:rPr>
      </w:pPr>
      <w:r w:rsidRPr="00DC7DD8">
        <w:rPr>
          <w:i w:val="0"/>
          <w:sz w:val="22"/>
          <w:szCs w:val="22"/>
        </w:rPr>
        <w:t xml:space="preserve">  However, statutory arrangements for funding the liability mean that the financial position remains healthy:</w:t>
      </w:r>
    </w:p>
    <w:p w14:paraId="14A00D19" w14:textId="18D97E77" w:rsidR="003B74DA" w:rsidRPr="00DC7DD8" w:rsidRDefault="003B74DA" w:rsidP="00995E5A">
      <w:pPr>
        <w:pStyle w:val="BodyText"/>
        <w:numPr>
          <w:ilvl w:val="0"/>
          <w:numId w:val="2"/>
        </w:numPr>
        <w:tabs>
          <w:tab w:val="clear" w:pos="720"/>
          <w:tab w:val="num" w:pos="786"/>
        </w:tabs>
        <w:ind w:left="786"/>
        <w:jc w:val="both"/>
        <w:rPr>
          <w:i w:val="0"/>
          <w:sz w:val="22"/>
          <w:szCs w:val="22"/>
        </w:rPr>
        <w:sectPr w:rsidR="003B74DA" w:rsidRPr="00DC7DD8" w:rsidSect="00CD2558">
          <w:headerReference w:type="even" r:id="rId75"/>
          <w:headerReference w:type="default" r:id="rId76"/>
          <w:headerReference w:type="first" r:id="rId77"/>
          <w:pgSz w:w="16834" w:h="11909" w:orient="landscape" w:code="9"/>
          <w:pgMar w:top="720" w:right="720" w:bottom="720" w:left="720" w:header="397" w:footer="720" w:gutter="0"/>
          <w:cols w:space="720"/>
          <w:docGrid w:linePitch="272"/>
        </w:sectPr>
      </w:pPr>
      <w:r w:rsidRPr="00DC7DD8">
        <w:rPr>
          <w:i w:val="0"/>
          <w:sz w:val="22"/>
          <w:szCs w:val="22"/>
        </w:rPr>
        <w:t xml:space="preserve">Finance is only required to be raised to cover police pensions and injury awards when the pensions are actually paid. </w:t>
      </w:r>
    </w:p>
    <w:p w14:paraId="399EF157" w14:textId="34C6B2DA" w:rsidR="008D7C57" w:rsidRPr="004D5349" w:rsidRDefault="008D7C57" w:rsidP="004D5349">
      <w:pPr>
        <w:tabs>
          <w:tab w:val="left" w:pos="426"/>
        </w:tabs>
        <w:rPr>
          <w:rFonts w:ascii="Arial" w:hAnsi="Arial"/>
          <w:b/>
          <w:sz w:val="24"/>
        </w:rPr>
      </w:pPr>
      <w:r>
        <w:rPr>
          <w:rFonts w:ascii="Arial" w:hAnsi="Arial"/>
          <w:b/>
          <w:sz w:val="24"/>
          <w:u w:val="single"/>
        </w:rPr>
        <w:lastRenderedPageBreak/>
        <w:t>Reconciliation of the Asset Ceiling</w:t>
      </w:r>
    </w:p>
    <w:p w14:paraId="26B5294E" w14:textId="308D7DF3" w:rsidR="008D7C57" w:rsidRDefault="008D7C57" w:rsidP="003B74DA">
      <w:pPr>
        <w:tabs>
          <w:tab w:val="left" w:pos="426"/>
        </w:tabs>
        <w:ind w:left="426"/>
        <w:rPr>
          <w:rFonts w:ascii="Arial" w:hAnsi="Arial"/>
          <w:b/>
          <w:sz w:val="24"/>
          <w:u w:val="single"/>
        </w:rPr>
      </w:pPr>
    </w:p>
    <w:tbl>
      <w:tblPr>
        <w:tblW w:w="8720" w:type="dxa"/>
        <w:tblLook w:val="04A0" w:firstRow="1" w:lastRow="0" w:firstColumn="1" w:lastColumn="0" w:noHBand="0" w:noVBand="1"/>
      </w:tblPr>
      <w:tblGrid>
        <w:gridCol w:w="5480"/>
        <w:gridCol w:w="1460"/>
        <w:gridCol w:w="1780"/>
      </w:tblGrid>
      <w:tr w:rsidR="008D7C57" w:rsidRPr="008D7C57" w14:paraId="0CE5B8C7" w14:textId="77777777" w:rsidTr="008D7C57">
        <w:trPr>
          <w:trHeight w:val="600"/>
        </w:trPr>
        <w:tc>
          <w:tcPr>
            <w:tcW w:w="5480" w:type="dxa"/>
            <w:tcBorders>
              <w:top w:val="single" w:sz="8" w:space="0" w:color="auto"/>
              <w:left w:val="single" w:sz="8" w:space="0" w:color="auto"/>
              <w:bottom w:val="nil"/>
              <w:right w:val="nil"/>
            </w:tcBorders>
            <w:shd w:val="clear" w:color="000000" w:fill="CCCCCC"/>
            <w:vAlign w:val="center"/>
            <w:hideMark/>
          </w:tcPr>
          <w:p w14:paraId="05628023" w14:textId="77777777" w:rsidR="008D7C57" w:rsidRPr="008D7C57" w:rsidRDefault="008D7C57" w:rsidP="008D7C57">
            <w:pPr>
              <w:rPr>
                <w:rFonts w:ascii="Arial" w:hAnsi="Arial" w:cs="Arial"/>
              </w:rPr>
            </w:pPr>
            <w:r w:rsidRPr="008D7C57">
              <w:rPr>
                <w:rFonts w:ascii="Arial" w:hAnsi="Arial" w:cs="Arial"/>
              </w:rPr>
              <w:t> </w:t>
            </w:r>
          </w:p>
        </w:tc>
        <w:tc>
          <w:tcPr>
            <w:tcW w:w="3240" w:type="dxa"/>
            <w:gridSpan w:val="2"/>
            <w:tcBorders>
              <w:top w:val="single" w:sz="8" w:space="0" w:color="auto"/>
              <w:left w:val="nil"/>
              <w:bottom w:val="nil"/>
              <w:right w:val="single" w:sz="8" w:space="0" w:color="000000"/>
            </w:tcBorders>
            <w:shd w:val="clear" w:color="000000" w:fill="CCCCCC"/>
            <w:vAlign w:val="center"/>
            <w:hideMark/>
          </w:tcPr>
          <w:p w14:paraId="2EDA6F1F" w14:textId="77777777" w:rsidR="008D7C57" w:rsidRPr="008D7C57" w:rsidRDefault="008D7C57" w:rsidP="008D7C57">
            <w:pPr>
              <w:jc w:val="center"/>
              <w:rPr>
                <w:rFonts w:ascii="Arial" w:hAnsi="Arial" w:cs="Arial"/>
                <w:b/>
                <w:bCs/>
                <w:color w:val="000000"/>
              </w:rPr>
            </w:pPr>
            <w:r w:rsidRPr="008D7C57">
              <w:rPr>
                <w:rFonts w:ascii="Arial" w:hAnsi="Arial" w:cs="Arial"/>
                <w:b/>
                <w:bCs/>
                <w:color w:val="000000"/>
              </w:rPr>
              <w:t>Local Govt Pension Scheme</w:t>
            </w:r>
          </w:p>
        </w:tc>
      </w:tr>
      <w:tr w:rsidR="008D7C57" w:rsidRPr="008D7C57" w14:paraId="1F60F135" w14:textId="77777777" w:rsidTr="008D7C57">
        <w:trPr>
          <w:trHeight w:val="310"/>
        </w:trPr>
        <w:tc>
          <w:tcPr>
            <w:tcW w:w="5480" w:type="dxa"/>
            <w:tcBorders>
              <w:top w:val="nil"/>
              <w:left w:val="single" w:sz="8" w:space="0" w:color="auto"/>
              <w:bottom w:val="nil"/>
              <w:right w:val="nil"/>
            </w:tcBorders>
            <w:shd w:val="clear" w:color="000000" w:fill="CCCCCC"/>
            <w:vAlign w:val="center"/>
            <w:hideMark/>
          </w:tcPr>
          <w:p w14:paraId="63EE6CD4" w14:textId="77777777" w:rsidR="008D7C57" w:rsidRPr="008D7C57" w:rsidRDefault="008D7C57" w:rsidP="008D7C57">
            <w:pPr>
              <w:rPr>
                <w:rFonts w:ascii="Arial" w:hAnsi="Arial" w:cs="Arial"/>
              </w:rPr>
            </w:pPr>
            <w:r w:rsidRPr="008D7C57">
              <w:rPr>
                <w:rFonts w:ascii="Arial" w:hAnsi="Arial" w:cs="Arial"/>
              </w:rPr>
              <w:t> </w:t>
            </w:r>
          </w:p>
        </w:tc>
        <w:tc>
          <w:tcPr>
            <w:tcW w:w="1460" w:type="dxa"/>
            <w:tcBorders>
              <w:top w:val="nil"/>
              <w:left w:val="nil"/>
              <w:bottom w:val="nil"/>
              <w:right w:val="nil"/>
            </w:tcBorders>
            <w:shd w:val="clear" w:color="000000" w:fill="FFFFFF"/>
            <w:vAlign w:val="center"/>
            <w:hideMark/>
          </w:tcPr>
          <w:p w14:paraId="4CD1E63E" w14:textId="77777777" w:rsidR="008D7C57" w:rsidRPr="008D7C57" w:rsidRDefault="008D7C57" w:rsidP="008D7C57">
            <w:pPr>
              <w:jc w:val="right"/>
              <w:rPr>
                <w:rFonts w:ascii="Arial" w:hAnsi="Arial" w:cs="Arial"/>
                <w:b/>
                <w:bCs/>
                <w:color w:val="000000"/>
              </w:rPr>
            </w:pPr>
            <w:r w:rsidRPr="008D7C57">
              <w:rPr>
                <w:rFonts w:ascii="Arial" w:hAnsi="Arial" w:cs="Arial"/>
                <w:b/>
                <w:bCs/>
                <w:color w:val="000000"/>
              </w:rPr>
              <w:t>31-Mar-24</w:t>
            </w:r>
          </w:p>
        </w:tc>
        <w:tc>
          <w:tcPr>
            <w:tcW w:w="1780" w:type="dxa"/>
            <w:tcBorders>
              <w:top w:val="nil"/>
              <w:left w:val="nil"/>
              <w:bottom w:val="nil"/>
              <w:right w:val="single" w:sz="8" w:space="0" w:color="auto"/>
            </w:tcBorders>
            <w:shd w:val="clear" w:color="000000" w:fill="CCCCCC"/>
            <w:vAlign w:val="center"/>
            <w:hideMark/>
          </w:tcPr>
          <w:p w14:paraId="2B7AC193" w14:textId="77777777" w:rsidR="008D7C57" w:rsidRPr="008D7C57" w:rsidRDefault="008D7C57" w:rsidP="008D7C57">
            <w:pPr>
              <w:jc w:val="right"/>
              <w:rPr>
                <w:rFonts w:ascii="Arial" w:hAnsi="Arial" w:cs="Arial"/>
                <w:b/>
                <w:bCs/>
              </w:rPr>
            </w:pPr>
            <w:r w:rsidRPr="008D7C57">
              <w:rPr>
                <w:rFonts w:ascii="Arial" w:hAnsi="Arial" w:cs="Arial"/>
                <w:b/>
                <w:bCs/>
              </w:rPr>
              <w:t>31-Mar-25</w:t>
            </w:r>
          </w:p>
        </w:tc>
      </w:tr>
      <w:tr w:rsidR="008D7C57" w:rsidRPr="008D7C57" w14:paraId="7A3C6F1B" w14:textId="77777777" w:rsidTr="008D7C57">
        <w:trPr>
          <w:trHeight w:val="310"/>
        </w:trPr>
        <w:tc>
          <w:tcPr>
            <w:tcW w:w="5480" w:type="dxa"/>
            <w:tcBorders>
              <w:top w:val="nil"/>
              <w:left w:val="single" w:sz="8" w:space="0" w:color="auto"/>
              <w:bottom w:val="nil"/>
              <w:right w:val="nil"/>
            </w:tcBorders>
            <w:shd w:val="clear" w:color="000000" w:fill="CCCCCC"/>
            <w:vAlign w:val="center"/>
            <w:hideMark/>
          </w:tcPr>
          <w:p w14:paraId="651238B2" w14:textId="77777777" w:rsidR="008D7C57" w:rsidRPr="008D7C57" w:rsidRDefault="008D7C57" w:rsidP="008D7C57">
            <w:pPr>
              <w:rPr>
                <w:rFonts w:ascii="Arial" w:hAnsi="Arial" w:cs="Arial"/>
                <w:b/>
                <w:bCs/>
                <w:color w:val="000000"/>
                <w:sz w:val="24"/>
                <w:szCs w:val="24"/>
              </w:rPr>
            </w:pPr>
            <w:r w:rsidRPr="008D7C57">
              <w:rPr>
                <w:rFonts w:ascii="Arial" w:hAnsi="Arial" w:cs="Arial"/>
                <w:b/>
                <w:bCs/>
                <w:color w:val="000000"/>
                <w:sz w:val="24"/>
                <w:szCs w:val="24"/>
              </w:rPr>
              <w:t>PCC GROUP</w:t>
            </w:r>
          </w:p>
        </w:tc>
        <w:tc>
          <w:tcPr>
            <w:tcW w:w="1460" w:type="dxa"/>
            <w:tcBorders>
              <w:top w:val="nil"/>
              <w:left w:val="nil"/>
              <w:bottom w:val="nil"/>
              <w:right w:val="nil"/>
            </w:tcBorders>
            <w:shd w:val="clear" w:color="000000" w:fill="FFFFFF"/>
            <w:vAlign w:val="center"/>
            <w:hideMark/>
          </w:tcPr>
          <w:p w14:paraId="0715F895" w14:textId="77777777" w:rsidR="008D7C57" w:rsidRPr="008D7C57" w:rsidRDefault="008D7C57" w:rsidP="008D7C57">
            <w:pPr>
              <w:jc w:val="center"/>
              <w:rPr>
                <w:rFonts w:ascii="Arial" w:hAnsi="Arial" w:cs="Arial"/>
                <w:b/>
                <w:bCs/>
                <w:color w:val="000000"/>
              </w:rPr>
            </w:pPr>
            <w:r w:rsidRPr="008D7C57">
              <w:rPr>
                <w:rFonts w:ascii="Arial" w:hAnsi="Arial" w:cs="Arial"/>
                <w:b/>
                <w:bCs/>
                <w:color w:val="000000"/>
              </w:rPr>
              <w:t>£,000</w:t>
            </w:r>
          </w:p>
        </w:tc>
        <w:tc>
          <w:tcPr>
            <w:tcW w:w="1780" w:type="dxa"/>
            <w:tcBorders>
              <w:top w:val="nil"/>
              <w:left w:val="nil"/>
              <w:bottom w:val="nil"/>
              <w:right w:val="single" w:sz="8" w:space="0" w:color="auto"/>
            </w:tcBorders>
            <w:shd w:val="clear" w:color="000000" w:fill="CCCCCC"/>
            <w:vAlign w:val="center"/>
            <w:hideMark/>
          </w:tcPr>
          <w:p w14:paraId="70EE1F87" w14:textId="77777777" w:rsidR="008D7C57" w:rsidRPr="008D7C57" w:rsidRDefault="008D7C57" w:rsidP="008D7C57">
            <w:pPr>
              <w:jc w:val="right"/>
              <w:rPr>
                <w:rFonts w:ascii="Arial" w:hAnsi="Arial" w:cs="Arial"/>
                <w:b/>
                <w:bCs/>
              </w:rPr>
            </w:pPr>
            <w:r w:rsidRPr="008D7C57">
              <w:rPr>
                <w:rFonts w:ascii="Arial" w:hAnsi="Arial" w:cs="Arial"/>
                <w:b/>
                <w:bCs/>
              </w:rPr>
              <w:t>£,000</w:t>
            </w:r>
          </w:p>
        </w:tc>
      </w:tr>
      <w:tr w:rsidR="008D7C57" w:rsidRPr="008D7C57" w14:paraId="488E628F" w14:textId="77777777" w:rsidTr="008D7C57">
        <w:trPr>
          <w:trHeight w:val="310"/>
        </w:trPr>
        <w:tc>
          <w:tcPr>
            <w:tcW w:w="5480" w:type="dxa"/>
            <w:tcBorders>
              <w:top w:val="nil"/>
              <w:left w:val="single" w:sz="8" w:space="0" w:color="auto"/>
              <w:bottom w:val="nil"/>
              <w:right w:val="nil"/>
            </w:tcBorders>
            <w:shd w:val="clear" w:color="000000" w:fill="CCCCCC"/>
            <w:vAlign w:val="center"/>
            <w:hideMark/>
          </w:tcPr>
          <w:p w14:paraId="7B7F62C1" w14:textId="77777777" w:rsidR="008D7C57" w:rsidRPr="008D7C57" w:rsidRDefault="008D7C57" w:rsidP="008D7C57">
            <w:pPr>
              <w:rPr>
                <w:rFonts w:ascii="Arial" w:hAnsi="Arial" w:cs="Arial"/>
                <w:b/>
                <w:bCs/>
                <w:color w:val="000000"/>
              </w:rPr>
            </w:pPr>
            <w:r w:rsidRPr="008D7C57">
              <w:rPr>
                <w:rFonts w:ascii="Arial" w:hAnsi="Arial" w:cs="Arial"/>
                <w:b/>
                <w:bCs/>
                <w:color w:val="000000"/>
              </w:rPr>
              <w:t>Asset Ceiling Impact at start of year</w:t>
            </w:r>
          </w:p>
        </w:tc>
        <w:tc>
          <w:tcPr>
            <w:tcW w:w="1460" w:type="dxa"/>
            <w:tcBorders>
              <w:top w:val="nil"/>
              <w:left w:val="nil"/>
              <w:bottom w:val="nil"/>
              <w:right w:val="nil"/>
            </w:tcBorders>
            <w:shd w:val="clear" w:color="000000" w:fill="FFFFFF"/>
            <w:vAlign w:val="center"/>
            <w:hideMark/>
          </w:tcPr>
          <w:p w14:paraId="60FC815E" w14:textId="77777777" w:rsidR="008D7C57" w:rsidRPr="008D7C57" w:rsidRDefault="008D7C57" w:rsidP="008D7C57">
            <w:pPr>
              <w:jc w:val="right"/>
              <w:rPr>
                <w:rFonts w:ascii="Arial" w:hAnsi="Arial" w:cs="Arial"/>
                <w:sz w:val="18"/>
                <w:szCs w:val="18"/>
              </w:rPr>
            </w:pPr>
            <w:r w:rsidRPr="008D7C57">
              <w:rPr>
                <w:rFonts w:ascii="Arial" w:hAnsi="Arial" w:cs="Arial"/>
                <w:sz w:val="18"/>
                <w:szCs w:val="18"/>
              </w:rPr>
              <w:t>(94,824)</w:t>
            </w:r>
          </w:p>
        </w:tc>
        <w:tc>
          <w:tcPr>
            <w:tcW w:w="1780" w:type="dxa"/>
            <w:tcBorders>
              <w:top w:val="nil"/>
              <w:left w:val="nil"/>
              <w:bottom w:val="nil"/>
              <w:right w:val="single" w:sz="8" w:space="0" w:color="auto"/>
            </w:tcBorders>
            <w:shd w:val="clear" w:color="000000" w:fill="CCCCCC"/>
            <w:vAlign w:val="center"/>
            <w:hideMark/>
          </w:tcPr>
          <w:p w14:paraId="51FBEBB5" w14:textId="77777777" w:rsidR="008D7C57" w:rsidRPr="008D7C57" w:rsidRDefault="008D7C57" w:rsidP="008D7C57">
            <w:pPr>
              <w:jc w:val="right"/>
              <w:rPr>
                <w:rFonts w:ascii="Arial" w:hAnsi="Arial" w:cs="Arial"/>
              </w:rPr>
            </w:pPr>
            <w:r w:rsidRPr="008D7C57">
              <w:rPr>
                <w:rFonts w:ascii="Arial" w:hAnsi="Arial" w:cs="Arial"/>
              </w:rPr>
              <w:t>(159,808)</w:t>
            </w:r>
          </w:p>
        </w:tc>
      </w:tr>
      <w:tr w:rsidR="00595255" w:rsidRPr="008D7C57" w14:paraId="0922E535" w14:textId="77777777" w:rsidTr="008D7C57">
        <w:trPr>
          <w:trHeight w:val="310"/>
        </w:trPr>
        <w:tc>
          <w:tcPr>
            <w:tcW w:w="5480" w:type="dxa"/>
            <w:tcBorders>
              <w:top w:val="nil"/>
              <w:left w:val="single" w:sz="8" w:space="0" w:color="auto"/>
              <w:bottom w:val="nil"/>
              <w:right w:val="nil"/>
            </w:tcBorders>
            <w:shd w:val="clear" w:color="000000" w:fill="CCCCCC"/>
            <w:vAlign w:val="center"/>
          </w:tcPr>
          <w:p w14:paraId="0550FAE3" w14:textId="5B160F27" w:rsidR="00595255" w:rsidRPr="008D7C57" w:rsidRDefault="00595255" w:rsidP="008D7C57">
            <w:pPr>
              <w:rPr>
                <w:rFonts w:ascii="Arial" w:hAnsi="Arial" w:cs="Arial"/>
                <w:b/>
                <w:bCs/>
                <w:color w:val="000000"/>
              </w:rPr>
            </w:pPr>
            <w:r>
              <w:rPr>
                <w:rFonts w:ascii="Arial" w:hAnsi="Arial" w:cs="Arial"/>
                <w:b/>
                <w:bCs/>
                <w:color w:val="000000"/>
              </w:rPr>
              <w:t>Amendment</w:t>
            </w:r>
          </w:p>
        </w:tc>
        <w:tc>
          <w:tcPr>
            <w:tcW w:w="1460" w:type="dxa"/>
            <w:tcBorders>
              <w:top w:val="nil"/>
              <w:left w:val="nil"/>
              <w:bottom w:val="nil"/>
              <w:right w:val="nil"/>
            </w:tcBorders>
            <w:shd w:val="clear" w:color="000000" w:fill="FFFFFF"/>
            <w:vAlign w:val="center"/>
          </w:tcPr>
          <w:p w14:paraId="0EB58513" w14:textId="785035CA" w:rsidR="00595255" w:rsidRPr="008D7C57" w:rsidRDefault="00595255" w:rsidP="008D7C57">
            <w:pPr>
              <w:jc w:val="right"/>
              <w:rPr>
                <w:rFonts w:ascii="Arial" w:hAnsi="Arial" w:cs="Arial"/>
                <w:sz w:val="18"/>
                <w:szCs w:val="18"/>
              </w:rPr>
            </w:pPr>
            <w:r>
              <w:rPr>
                <w:rFonts w:ascii="Arial" w:hAnsi="Arial" w:cs="Arial"/>
                <w:sz w:val="18"/>
                <w:szCs w:val="18"/>
              </w:rPr>
              <w:t>0</w:t>
            </w:r>
          </w:p>
        </w:tc>
        <w:tc>
          <w:tcPr>
            <w:tcW w:w="1780" w:type="dxa"/>
            <w:tcBorders>
              <w:top w:val="nil"/>
              <w:left w:val="nil"/>
              <w:bottom w:val="nil"/>
              <w:right w:val="single" w:sz="8" w:space="0" w:color="auto"/>
            </w:tcBorders>
            <w:shd w:val="clear" w:color="000000" w:fill="CCCCCC"/>
            <w:vAlign w:val="center"/>
          </w:tcPr>
          <w:p w14:paraId="64BEDCA0" w14:textId="242ADB4E" w:rsidR="00595255" w:rsidRPr="008D7C57" w:rsidRDefault="00595255" w:rsidP="008D7C57">
            <w:pPr>
              <w:jc w:val="right"/>
              <w:rPr>
                <w:rFonts w:ascii="Arial" w:hAnsi="Arial" w:cs="Arial"/>
              </w:rPr>
            </w:pPr>
            <w:r>
              <w:rPr>
                <w:rFonts w:ascii="Arial" w:hAnsi="Arial" w:cs="Arial"/>
              </w:rPr>
              <w:t>2,168</w:t>
            </w:r>
          </w:p>
        </w:tc>
      </w:tr>
      <w:tr w:rsidR="00595255" w:rsidRPr="008D7C57" w14:paraId="119186BF" w14:textId="77777777" w:rsidTr="008D7C57">
        <w:trPr>
          <w:trHeight w:val="310"/>
        </w:trPr>
        <w:tc>
          <w:tcPr>
            <w:tcW w:w="5480" w:type="dxa"/>
            <w:tcBorders>
              <w:top w:val="nil"/>
              <w:left w:val="single" w:sz="8" w:space="0" w:color="auto"/>
              <w:bottom w:val="nil"/>
              <w:right w:val="nil"/>
            </w:tcBorders>
            <w:shd w:val="clear" w:color="000000" w:fill="CCCCCC"/>
            <w:vAlign w:val="center"/>
          </w:tcPr>
          <w:p w14:paraId="1ABFD821" w14:textId="29A45C39" w:rsidR="00595255" w:rsidRPr="008D7C57" w:rsidRDefault="00595255" w:rsidP="008D7C57">
            <w:pPr>
              <w:rPr>
                <w:rFonts w:ascii="Arial" w:hAnsi="Arial" w:cs="Arial"/>
                <w:b/>
                <w:bCs/>
                <w:color w:val="000000"/>
              </w:rPr>
            </w:pPr>
            <w:r>
              <w:rPr>
                <w:rFonts w:ascii="Arial" w:hAnsi="Arial" w:cs="Arial"/>
                <w:b/>
                <w:bCs/>
                <w:color w:val="000000"/>
              </w:rPr>
              <w:t>Revised Asset Ceiling Impact at start of year</w:t>
            </w:r>
          </w:p>
        </w:tc>
        <w:tc>
          <w:tcPr>
            <w:tcW w:w="1460" w:type="dxa"/>
            <w:tcBorders>
              <w:top w:val="nil"/>
              <w:left w:val="nil"/>
              <w:bottom w:val="nil"/>
              <w:right w:val="nil"/>
            </w:tcBorders>
            <w:shd w:val="clear" w:color="000000" w:fill="FFFFFF"/>
            <w:vAlign w:val="center"/>
          </w:tcPr>
          <w:p w14:paraId="4CD33477" w14:textId="4586C57F" w:rsidR="00595255" w:rsidRPr="008D7C57" w:rsidRDefault="00595255" w:rsidP="008D7C57">
            <w:pPr>
              <w:jc w:val="right"/>
              <w:rPr>
                <w:rFonts w:ascii="Arial" w:hAnsi="Arial" w:cs="Arial"/>
                <w:sz w:val="18"/>
                <w:szCs w:val="18"/>
              </w:rPr>
            </w:pPr>
            <w:r>
              <w:rPr>
                <w:rFonts w:ascii="Arial" w:hAnsi="Arial" w:cs="Arial"/>
                <w:sz w:val="18"/>
                <w:szCs w:val="18"/>
              </w:rPr>
              <w:t>(94,824)</w:t>
            </w:r>
          </w:p>
        </w:tc>
        <w:tc>
          <w:tcPr>
            <w:tcW w:w="1780" w:type="dxa"/>
            <w:tcBorders>
              <w:top w:val="nil"/>
              <w:left w:val="nil"/>
              <w:bottom w:val="nil"/>
              <w:right w:val="single" w:sz="8" w:space="0" w:color="auto"/>
            </w:tcBorders>
            <w:shd w:val="clear" w:color="000000" w:fill="CCCCCC"/>
            <w:vAlign w:val="center"/>
          </w:tcPr>
          <w:p w14:paraId="5D90A833" w14:textId="3C847494" w:rsidR="00595255" w:rsidRPr="008D7C57" w:rsidRDefault="009C1CE2" w:rsidP="008D7C57">
            <w:pPr>
              <w:jc w:val="right"/>
              <w:rPr>
                <w:rFonts w:ascii="Arial" w:hAnsi="Arial" w:cs="Arial"/>
              </w:rPr>
            </w:pPr>
            <w:r>
              <w:rPr>
                <w:rFonts w:ascii="Arial" w:hAnsi="Arial" w:cs="Arial"/>
              </w:rPr>
              <w:t>(158,859)</w:t>
            </w:r>
          </w:p>
        </w:tc>
      </w:tr>
      <w:tr w:rsidR="008D7C57" w:rsidRPr="008D7C57" w14:paraId="32BFAEDE" w14:textId="77777777" w:rsidTr="008D7C57">
        <w:trPr>
          <w:trHeight w:val="310"/>
        </w:trPr>
        <w:tc>
          <w:tcPr>
            <w:tcW w:w="5480" w:type="dxa"/>
            <w:tcBorders>
              <w:top w:val="nil"/>
              <w:left w:val="single" w:sz="8" w:space="0" w:color="auto"/>
              <w:bottom w:val="nil"/>
              <w:right w:val="nil"/>
            </w:tcBorders>
            <w:shd w:val="clear" w:color="000000" w:fill="CCCCCC"/>
            <w:vAlign w:val="center"/>
            <w:hideMark/>
          </w:tcPr>
          <w:p w14:paraId="1967DFB1" w14:textId="77777777" w:rsidR="008D7C57" w:rsidRPr="008D7C57" w:rsidRDefault="008D7C57" w:rsidP="008D7C57">
            <w:pPr>
              <w:rPr>
                <w:rFonts w:ascii="Arial" w:hAnsi="Arial" w:cs="Arial"/>
                <w:b/>
                <w:bCs/>
                <w:color w:val="000000"/>
              </w:rPr>
            </w:pPr>
            <w:r w:rsidRPr="008D7C57">
              <w:rPr>
                <w:rFonts w:ascii="Arial" w:hAnsi="Arial" w:cs="Arial"/>
                <w:b/>
                <w:bCs/>
                <w:color w:val="000000"/>
              </w:rPr>
              <w:t>Interest on surplus above asset ceiling</w:t>
            </w:r>
          </w:p>
        </w:tc>
        <w:tc>
          <w:tcPr>
            <w:tcW w:w="1460" w:type="dxa"/>
            <w:tcBorders>
              <w:top w:val="nil"/>
              <w:left w:val="nil"/>
              <w:bottom w:val="nil"/>
              <w:right w:val="nil"/>
            </w:tcBorders>
            <w:shd w:val="clear" w:color="000000" w:fill="FFFFFF"/>
            <w:vAlign w:val="center"/>
            <w:hideMark/>
          </w:tcPr>
          <w:p w14:paraId="40FD57AD" w14:textId="77777777" w:rsidR="008D7C57" w:rsidRPr="008D7C57" w:rsidRDefault="008D7C57" w:rsidP="008D7C57">
            <w:pPr>
              <w:jc w:val="right"/>
              <w:rPr>
                <w:rFonts w:ascii="Arial" w:hAnsi="Arial" w:cs="Arial"/>
                <w:sz w:val="18"/>
                <w:szCs w:val="18"/>
              </w:rPr>
            </w:pPr>
            <w:r w:rsidRPr="008D7C57">
              <w:rPr>
                <w:rFonts w:ascii="Arial" w:hAnsi="Arial" w:cs="Arial"/>
                <w:sz w:val="18"/>
                <w:szCs w:val="18"/>
              </w:rPr>
              <w:t>(4,552)</w:t>
            </w:r>
          </w:p>
        </w:tc>
        <w:tc>
          <w:tcPr>
            <w:tcW w:w="1780" w:type="dxa"/>
            <w:tcBorders>
              <w:top w:val="nil"/>
              <w:left w:val="nil"/>
              <w:bottom w:val="nil"/>
              <w:right w:val="single" w:sz="8" w:space="0" w:color="auto"/>
            </w:tcBorders>
            <w:shd w:val="clear" w:color="000000" w:fill="CCCCCC"/>
            <w:vAlign w:val="center"/>
            <w:hideMark/>
          </w:tcPr>
          <w:p w14:paraId="52196189" w14:textId="77777777" w:rsidR="008D7C57" w:rsidRPr="008D7C57" w:rsidRDefault="008D7C57" w:rsidP="008D7C57">
            <w:pPr>
              <w:jc w:val="right"/>
              <w:rPr>
                <w:rFonts w:ascii="Arial" w:hAnsi="Arial" w:cs="Arial"/>
              </w:rPr>
            </w:pPr>
            <w:r w:rsidRPr="008D7C57">
              <w:rPr>
                <w:rFonts w:ascii="Arial" w:hAnsi="Arial" w:cs="Arial"/>
              </w:rPr>
              <w:t>(7,833)</w:t>
            </w:r>
          </w:p>
        </w:tc>
      </w:tr>
      <w:tr w:rsidR="008D7C57" w:rsidRPr="008D7C57" w14:paraId="0771DEE0" w14:textId="77777777" w:rsidTr="008D7C57">
        <w:trPr>
          <w:trHeight w:val="320"/>
        </w:trPr>
        <w:tc>
          <w:tcPr>
            <w:tcW w:w="5480" w:type="dxa"/>
            <w:tcBorders>
              <w:top w:val="nil"/>
              <w:left w:val="single" w:sz="8" w:space="0" w:color="auto"/>
              <w:bottom w:val="nil"/>
              <w:right w:val="nil"/>
            </w:tcBorders>
            <w:shd w:val="clear" w:color="000000" w:fill="CCCCCC"/>
            <w:vAlign w:val="center"/>
            <w:hideMark/>
          </w:tcPr>
          <w:p w14:paraId="7EA45C47" w14:textId="77777777" w:rsidR="008D7C57" w:rsidRPr="008D7C57" w:rsidRDefault="008D7C57" w:rsidP="008D7C57">
            <w:pPr>
              <w:rPr>
                <w:rFonts w:ascii="Arial" w:hAnsi="Arial" w:cs="Arial"/>
                <w:b/>
                <w:bCs/>
                <w:color w:val="000000"/>
              </w:rPr>
            </w:pPr>
            <w:r w:rsidRPr="008D7C57">
              <w:rPr>
                <w:rFonts w:ascii="Arial" w:hAnsi="Arial" w:cs="Arial"/>
                <w:b/>
                <w:bCs/>
                <w:color w:val="000000"/>
              </w:rPr>
              <w:t>Change in Asset Ceiling net of interest</w:t>
            </w:r>
          </w:p>
        </w:tc>
        <w:tc>
          <w:tcPr>
            <w:tcW w:w="1460" w:type="dxa"/>
            <w:tcBorders>
              <w:top w:val="nil"/>
              <w:left w:val="nil"/>
              <w:bottom w:val="nil"/>
              <w:right w:val="nil"/>
            </w:tcBorders>
            <w:shd w:val="clear" w:color="000000" w:fill="FFFFFF"/>
            <w:vAlign w:val="center"/>
            <w:hideMark/>
          </w:tcPr>
          <w:p w14:paraId="027503A3" w14:textId="77777777" w:rsidR="008D7C57" w:rsidRPr="008D7C57" w:rsidRDefault="008D7C57" w:rsidP="008D7C57">
            <w:pPr>
              <w:jc w:val="right"/>
              <w:rPr>
                <w:rFonts w:ascii="Arial" w:hAnsi="Arial" w:cs="Arial"/>
                <w:sz w:val="18"/>
                <w:szCs w:val="18"/>
              </w:rPr>
            </w:pPr>
            <w:r w:rsidRPr="008D7C57">
              <w:rPr>
                <w:rFonts w:ascii="Arial" w:hAnsi="Arial" w:cs="Arial"/>
                <w:sz w:val="18"/>
                <w:szCs w:val="18"/>
              </w:rPr>
              <w:t>(60,432)</w:t>
            </w:r>
          </w:p>
        </w:tc>
        <w:tc>
          <w:tcPr>
            <w:tcW w:w="1780" w:type="dxa"/>
            <w:tcBorders>
              <w:top w:val="nil"/>
              <w:left w:val="nil"/>
              <w:bottom w:val="nil"/>
              <w:right w:val="single" w:sz="8" w:space="0" w:color="auto"/>
            </w:tcBorders>
            <w:shd w:val="clear" w:color="000000" w:fill="CCCCCC"/>
            <w:vAlign w:val="center"/>
            <w:hideMark/>
          </w:tcPr>
          <w:p w14:paraId="5E1930CC" w14:textId="030B8BDD" w:rsidR="008D7C57" w:rsidRPr="008D7C57" w:rsidRDefault="008D7C57" w:rsidP="008D7C57">
            <w:pPr>
              <w:jc w:val="right"/>
              <w:rPr>
                <w:rFonts w:ascii="Arial" w:hAnsi="Arial" w:cs="Arial"/>
              </w:rPr>
            </w:pPr>
            <w:r w:rsidRPr="008D7C57">
              <w:rPr>
                <w:rFonts w:ascii="Arial" w:hAnsi="Arial" w:cs="Arial"/>
              </w:rPr>
              <w:t>(59,</w:t>
            </w:r>
            <w:r w:rsidR="009C1CE2">
              <w:rPr>
                <w:rFonts w:ascii="Arial" w:hAnsi="Arial" w:cs="Arial"/>
              </w:rPr>
              <w:t>891</w:t>
            </w:r>
            <w:r w:rsidRPr="008D7C57">
              <w:rPr>
                <w:rFonts w:ascii="Arial" w:hAnsi="Arial" w:cs="Arial"/>
              </w:rPr>
              <w:t>)</w:t>
            </w:r>
          </w:p>
        </w:tc>
      </w:tr>
      <w:tr w:rsidR="008D7C57" w:rsidRPr="008D7C57" w14:paraId="3AACA2BA" w14:textId="77777777" w:rsidTr="008D7C57">
        <w:trPr>
          <w:trHeight w:val="320"/>
        </w:trPr>
        <w:tc>
          <w:tcPr>
            <w:tcW w:w="5480" w:type="dxa"/>
            <w:tcBorders>
              <w:top w:val="nil"/>
              <w:left w:val="single" w:sz="8" w:space="0" w:color="auto"/>
              <w:bottom w:val="single" w:sz="8" w:space="0" w:color="auto"/>
              <w:right w:val="nil"/>
            </w:tcBorders>
            <w:shd w:val="clear" w:color="000000" w:fill="CCCCCC"/>
            <w:vAlign w:val="center"/>
            <w:hideMark/>
          </w:tcPr>
          <w:p w14:paraId="367FFCE9" w14:textId="77777777" w:rsidR="008D7C57" w:rsidRPr="008D7C57" w:rsidRDefault="008D7C57" w:rsidP="008D7C57">
            <w:pPr>
              <w:rPr>
                <w:rFonts w:ascii="Arial" w:hAnsi="Arial" w:cs="Arial"/>
                <w:b/>
                <w:bCs/>
                <w:color w:val="000000"/>
              </w:rPr>
            </w:pPr>
            <w:r w:rsidRPr="008D7C57">
              <w:rPr>
                <w:rFonts w:ascii="Arial" w:hAnsi="Arial" w:cs="Arial"/>
                <w:b/>
                <w:bCs/>
                <w:color w:val="000000"/>
              </w:rPr>
              <w:t>Asset Ceiling Impact at end of year</w:t>
            </w:r>
          </w:p>
        </w:tc>
        <w:tc>
          <w:tcPr>
            <w:tcW w:w="1460" w:type="dxa"/>
            <w:tcBorders>
              <w:top w:val="single" w:sz="8" w:space="0" w:color="auto"/>
              <w:left w:val="nil"/>
              <w:bottom w:val="single" w:sz="8" w:space="0" w:color="auto"/>
              <w:right w:val="nil"/>
            </w:tcBorders>
            <w:shd w:val="clear" w:color="000000" w:fill="FFFFFF"/>
            <w:vAlign w:val="center"/>
            <w:hideMark/>
          </w:tcPr>
          <w:p w14:paraId="67163FB3" w14:textId="77777777" w:rsidR="008D7C57" w:rsidRPr="008D7C57" w:rsidRDefault="008D7C57" w:rsidP="008D7C57">
            <w:pPr>
              <w:jc w:val="right"/>
              <w:rPr>
                <w:rFonts w:ascii="Arial" w:hAnsi="Arial" w:cs="Arial"/>
                <w:b/>
                <w:bCs/>
              </w:rPr>
            </w:pPr>
            <w:r w:rsidRPr="008D7C57">
              <w:rPr>
                <w:rFonts w:ascii="Arial" w:hAnsi="Arial" w:cs="Arial"/>
                <w:b/>
                <w:bCs/>
              </w:rPr>
              <w:t>(159,808)</w:t>
            </w:r>
          </w:p>
        </w:tc>
        <w:tc>
          <w:tcPr>
            <w:tcW w:w="1780" w:type="dxa"/>
            <w:tcBorders>
              <w:top w:val="single" w:sz="8" w:space="0" w:color="auto"/>
              <w:left w:val="nil"/>
              <w:bottom w:val="single" w:sz="8" w:space="0" w:color="auto"/>
              <w:right w:val="single" w:sz="8" w:space="0" w:color="auto"/>
            </w:tcBorders>
            <w:shd w:val="clear" w:color="000000" w:fill="CCCCCC"/>
            <w:vAlign w:val="center"/>
            <w:hideMark/>
          </w:tcPr>
          <w:p w14:paraId="5B9693B0" w14:textId="77777777" w:rsidR="008D7C57" w:rsidRPr="008D7C57" w:rsidRDefault="008D7C57" w:rsidP="008D7C57">
            <w:pPr>
              <w:jc w:val="right"/>
              <w:rPr>
                <w:rFonts w:ascii="Arial" w:hAnsi="Arial" w:cs="Arial"/>
                <w:b/>
                <w:bCs/>
              </w:rPr>
            </w:pPr>
            <w:r w:rsidRPr="008D7C57">
              <w:rPr>
                <w:rFonts w:ascii="Arial" w:hAnsi="Arial" w:cs="Arial"/>
                <w:b/>
                <w:bCs/>
              </w:rPr>
              <w:t>(227,583)</w:t>
            </w:r>
          </w:p>
        </w:tc>
      </w:tr>
    </w:tbl>
    <w:p w14:paraId="6EB499DE" w14:textId="77777777" w:rsidR="008D7C57" w:rsidRDefault="008D7C57" w:rsidP="008D7C57">
      <w:pPr>
        <w:tabs>
          <w:tab w:val="left" w:pos="426"/>
        </w:tabs>
        <w:rPr>
          <w:rFonts w:ascii="Arial" w:hAnsi="Arial"/>
          <w:b/>
          <w:sz w:val="24"/>
          <w:u w:val="single"/>
        </w:rPr>
      </w:pPr>
    </w:p>
    <w:tbl>
      <w:tblPr>
        <w:tblW w:w="8720" w:type="dxa"/>
        <w:tblLook w:val="04A0" w:firstRow="1" w:lastRow="0" w:firstColumn="1" w:lastColumn="0" w:noHBand="0" w:noVBand="1"/>
      </w:tblPr>
      <w:tblGrid>
        <w:gridCol w:w="5480"/>
        <w:gridCol w:w="1460"/>
        <w:gridCol w:w="1780"/>
      </w:tblGrid>
      <w:tr w:rsidR="00A16347" w:rsidRPr="00A16347" w14:paraId="3D3984AE" w14:textId="77777777" w:rsidTr="00A16347">
        <w:trPr>
          <w:trHeight w:val="600"/>
        </w:trPr>
        <w:tc>
          <w:tcPr>
            <w:tcW w:w="5480" w:type="dxa"/>
            <w:tcBorders>
              <w:top w:val="single" w:sz="8" w:space="0" w:color="auto"/>
              <w:left w:val="single" w:sz="8" w:space="0" w:color="auto"/>
              <w:bottom w:val="nil"/>
              <w:right w:val="nil"/>
            </w:tcBorders>
            <w:shd w:val="clear" w:color="000000" w:fill="CCCCCC"/>
            <w:vAlign w:val="center"/>
            <w:hideMark/>
          </w:tcPr>
          <w:p w14:paraId="6CA48C49" w14:textId="77777777" w:rsidR="00A16347" w:rsidRPr="00A16347" w:rsidRDefault="00A16347" w:rsidP="00A16347">
            <w:pPr>
              <w:rPr>
                <w:rFonts w:ascii="Arial" w:hAnsi="Arial" w:cs="Arial"/>
              </w:rPr>
            </w:pPr>
            <w:r w:rsidRPr="00A16347">
              <w:rPr>
                <w:rFonts w:ascii="Arial" w:hAnsi="Arial" w:cs="Arial"/>
              </w:rPr>
              <w:t> </w:t>
            </w:r>
          </w:p>
        </w:tc>
        <w:tc>
          <w:tcPr>
            <w:tcW w:w="3240" w:type="dxa"/>
            <w:gridSpan w:val="2"/>
            <w:tcBorders>
              <w:top w:val="single" w:sz="8" w:space="0" w:color="auto"/>
              <w:left w:val="nil"/>
              <w:bottom w:val="nil"/>
              <w:right w:val="single" w:sz="8" w:space="0" w:color="000000"/>
            </w:tcBorders>
            <w:shd w:val="clear" w:color="000000" w:fill="CCCCCC"/>
            <w:vAlign w:val="center"/>
            <w:hideMark/>
          </w:tcPr>
          <w:p w14:paraId="7FA6CDFE" w14:textId="77777777" w:rsidR="00A16347" w:rsidRPr="00A16347" w:rsidRDefault="00A16347" w:rsidP="00A16347">
            <w:pPr>
              <w:jc w:val="center"/>
              <w:rPr>
                <w:rFonts w:ascii="Arial" w:hAnsi="Arial" w:cs="Arial"/>
                <w:b/>
                <w:bCs/>
                <w:color w:val="000000"/>
              </w:rPr>
            </w:pPr>
            <w:r w:rsidRPr="00A16347">
              <w:rPr>
                <w:rFonts w:ascii="Arial" w:hAnsi="Arial" w:cs="Arial"/>
                <w:b/>
                <w:bCs/>
                <w:color w:val="000000"/>
              </w:rPr>
              <w:t>Local Govt Pension Scheme</w:t>
            </w:r>
          </w:p>
        </w:tc>
      </w:tr>
      <w:tr w:rsidR="00A16347" w:rsidRPr="00A16347" w14:paraId="79F419E2" w14:textId="77777777" w:rsidTr="00A16347">
        <w:trPr>
          <w:trHeight w:val="310"/>
        </w:trPr>
        <w:tc>
          <w:tcPr>
            <w:tcW w:w="5480" w:type="dxa"/>
            <w:tcBorders>
              <w:top w:val="nil"/>
              <w:left w:val="single" w:sz="8" w:space="0" w:color="auto"/>
              <w:bottom w:val="nil"/>
              <w:right w:val="nil"/>
            </w:tcBorders>
            <w:shd w:val="clear" w:color="000000" w:fill="CCCCCC"/>
            <w:vAlign w:val="center"/>
            <w:hideMark/>
          </w:tcPr>
          <w:p w14:paraId="62A3E758" w14:textId="77777777" w:rsidR="00A16347" w:rsidRPr="00A16347" w:rsidRDefault="00A16347" w:rsidP="00A16347">
            <w:pPr>
              <w:rPr>
                <w:rFonts w:ascii="Arial" w:hAnsi="Arial" w:cs="Arial"/>
              </w:rPr>
            </w:pPr>
            <w:r w:rsidRPr="00A16347">
              <w:rPr>
                <w:rFonts w:ascii="Arial" w:hAnsi="Arial" w:cs="Arial"/>
              </w:rPr>
              <w:t> </w:t>
            </w:r>
          </w:p>
        </w:tc>
        <w:tc>
          <w:tcPr>
            <w:tcW w:w="1460" w:type="dxa"/>
            <w:tcBorders>
              <w:top w:val="nil"/>
              <w:left w:val="nil"/>
              <w:bottom w:val="nil"/>
              <w:right w:val="nil"/>
            </w:tcBorders>
            <w:shd w:val="clear" w:color="000000" w:fill="FFFFFF"/>
            <w:vAlign w:val="center"/>
            <w:hideMark/>
          </w:tcPr>
          <w:p w14:paraId="44EEF688" w14:textId="77777777" w:rsidR="00A16347" w:rsidRPr="00A16347" w:rsidRDefault="00A16347" w:rsidP="00A16347">
            <w:pPr>
              <w:jc w:val="right"/>
              <w:rPr>
                <w:rFonts w:ascii="Arial" w:hAnsi="Arial" w:cs="Arial"/>
                <w:b/>
                <w:bCs/>
                <w:color w:val="000000"/>
              </w:rPr>
            </w:pPr>
            <w:r w:rsidRPr="00A16347">
              <w:rPr>
                <w:rFonts w:ascii="Arial" w:hAnsi="Arial" w:cs="Arial"/>
                <w:b/>
                <w:bCs/>
                <w:color w:val="000000"/>
              </w:rPr>
              <w:t>31-Mar-24</w:t>
            </w:r>
          </w:p>
        </w:tc>
        <w:tc>
          <w:tcPr>
            <w:tcW w:w="1780" w:type="dxa"/>
            <w:tcBorders>
              <w:top w:val="nil"/>
              <w:left w:val="nil"/>
              <w:bottom w:val="nil"/>
              <w:right w:val="single" w:sz="8" w:space="0" w:color="auto"/>
            </w:tcBorders>
            <w:shd w:val="clear" w:color="000000" w:fill="CCCCCC"/>
            <w:vAlign w:val="center"/>
            <w:hideMark/>
          </w:tcPr>
          <w:p w14:paraId="1E7497E6" w14:textId="77777777" w:rsidR="00A16347" w:rsidRPr="00A16347" w:rsidRDefault="00A16347" w:rsidP="00A16347">
            <w:pPr>
              <w:jc w:val="right"/>
              <w:rPr>
                <w:rFonts w:ascii="Arial" w:hAnsi="Arial" w:cs="Arial"/>
                <w:b/>
                <w:bCs/>
              </w:rPr>
            </w:pPr>
            <w:r w:rsidRPr="00A16347">
              <w:rPr>
                <w:rFonts w:ascii="Arial" w:hAnsi="Arial" w:cs="Arial"/>
                <w:b/>
                <w:bCs/>
              </w:rPr>
              <w:t>31-Mar-25</w:t>
            </w:r>
          </w:p>
        </w:tc>
      </w:tr>
      <w:tr w:rsidR="00A16347" w:rsidRPr="00A16347" w14:paraId="2EBFCDE8" w14:textId="77777777" w:rsidTr="00A16347">
        <w:trPr>
          <w:trHeight w:val="310"/>
        </w:trPr>
        <w:tc>
          <w:tcPr>
            <w:tcW w:w="5480" w:type="dxa"/>
            <w:tcBorders>
              <w:top w:val="nil"/>
              <w:left w:val="single" w:sz="8" w:space="0" w:color="auto"/>
              <w:bottom w:val="nil"/>
              <w:right w:val="nil"/>
            </w:tcBorders>
            <w:shd w:val="clear" w:color="000000" w:fill="CCCCCC"/>
            <w:vAlign w:val="center"/>
            <w:hideMark/>
          </w:tcPr>
          <w:p w14:paraId="2491F04F" w14:textId="77777777" w:rsidR="00A16347" w:rsidRPr="00A16347" w:rsidRDefault="00A16347" w:rsidP="00A16347">
            <w:pPr>
              <w:rPr>
                <w:rFonts w:ascii="Arial" w:hAnsi="Arial" w:cs="Arial"/>
                <w:b/>
                <w:bCs/>
                <w:color w:val="000000"/>
                <w:sz w:val="24"/>
                <w:szCs w:val="24"/>
              </w:rPr>
            </w:pPr>
            <w:r w:rsidRPr="00A16347">
              <w:rPr>
                <w:rFonts w:ascii="Arial" w:hAnsi="Arial" w:cs="Arial"/>
                <w:b/>
                <w:bCs/>
                <w:color w:val="000000"/>
                <w:sz w:val="24"/>
                <w:szCs w:val="24"/>
              </w:rPr>
              <w:t>SINGLE ENTITY PCC</w:t>
            </w:r>
          </w:p>
        </w:tc>
        <w:tc>
          <w:tcPr>
            <w:tcW w:w="1460" w:type="dxa"/>
            <w:tcBorders>
              <w:top w:val="nil"/>
              <w:left w:val="nil"/>
              <w:bottom w:val="nil"/>
              <w:right w:val="nil"/>
            </w:tcBorders>
            <w:shd w:val="clear" w:color="000000" w:fill="FFFFFF"/>
            <w:vAlign w:val="center"/>
            <w:hideMark/>
          </w:tcPr>
          <w:p w14:paraId="0DBCCE42" w14:textId="77777777" w:rsidR="00A16347" w:rsidRPr="00A16347" w:rsidRDefault="00A16347" w:rsidP="00A16347">
            <w:pPr>
              <w:jc w:val="center"/>
              <w:rPr>
                <w:rFonts w:ascii="Arial" w:hAnsi="Arial" w:cs="Arial"/>
                <w:b/>
                <w:bCs/>
                <w:color w:val="000000"/>
              </w:rPr>
            </w:pPr>
            <w:r w:rsidRPr="00A16347">
              <w:rPr>
                <w:rFonts w:ascii="Arial" w:hAnsi="Arial" w:cs="Arial"/>
                <w:b/>
                <w:bCs/>
                <w:color w:val="000000"/>
              </w:rPr>
              <w:t>£,000</w:t>
            </w:r>
          </w:p>
        </w:tc>
        <w:tc>
          <w:tcPr>
            <w:tcW w:w="1780" w:type="dxa"/>
            <w:tcBorders>
              <w:top w:val="nil"/>
              <w:left w:val="nil"/>
              <w:bottom w:val="nil"/>
              <w:right w:val="single" w:sz="8" w:space="0" w:color="auto"/>
            </w:tcBorders>
            <w:shd w:val="clear" w:color="000000" w:fill="CCCCCC"/>
            <w:vAlign w:val="center"/>
            <w:hideMark/>
          </w:tcPr>
          <w:p w14:paraId="1F417F5D" w14:textId="77777777" w:rsidR="00A16347" w:rsidRPr="00A16347" w:rsidRDefault="00A16347" w:rsidP="00A16347">
            <w:pPr>
              <w:jc w:val="right"/>
              <w:rPr>
                <w:rFonts w:ascii="Arial" w:hAnsi="Arial" w:cs="Arial"/>
                <w:b/>
                <w:bCs/>
              </w:rPr>
            </w:pPr>
            <w:r w:rsidRPr="00A16347">
              <w:rPr>
                <w:rFonts w:ascii="Arial" w:hAnsi="Arial" w:cs="Arial"/>
                <w:b/>
                <w:bCs/>
              </w:rPr>
              <w:t>£,000</w:t>
            </w:r>
          </w:p>
        </w:tc>
      </w:tr>
      <w:tr w:rsidR="00A16347" w:rsidRPr="00A16347" w14:paraId="499FF009" w14:textId="77777777" w:rsidTr="00A16347">
        <w:trPr>
          <w:trHeight w:val="310"/>
        </w:trPr>
        <w:tc>
          <w:tcPr>
            <w:tcW w:w="5480" w:type="dxa"/>
            <w:tcBorders>
              <w:top w:val="nil"/>
              <w:left w:val="single" w:sz="8" w:space="0" w:color="auto"/>
              <w:bottom w:val="nil"/>
              <w:right w:val="nil"/>
            </w:tcBorders>
            <w:shd w:val="clear" w:color="000000" w:fill="CCCCCC"/>
            <w:vAlign w:val="center"/>
            <w:hideMark/>
          </w:tcPr>
          <w:p w14:paraId="0F4AFCD3" w14:textId="77777777" w:rsidR="00A16347" w:rsidRPr="00A16347" w:rsidRDefault="00A16347" w:rsidP="00A16347">
            <w:pPr>
              <w:rPr>
                <w:rFonts w:ascii="Arial" w:hAnsi="Arial" w:cs="Arial"/>
                <w:b/>
                <w:bCs/>
                <w:color w:val="000000"/>
              </w:rPr>
            </w:pPr>
            <w:r w:rsidRPr="00A16347">
              <w:rPr>
                <w:rFonts w:ascii="Arial" w:hAnsi="Arial" w:cs="Arial"/>
                <w:b/>
                <w:bCs/>
                <w:color w:val="000000"/>
              </w:rPr>
              <w:t>Asset Ceiling Impact at start of year</w:t>
            </w:r>
          </w:p>
        </w:tc>
        <w:tc>
          <w:tcPr>
            <w:tcW w:w="1460" w:type="dxa"/>
            <w:tcBorders>
              <w:top w:val="nil"/>
              <w:left w:val="nil"/>
              <w:bottom w:val="nil"/>
              <w:right w:val="nil"/>
            </w:tcBorders>
            <w:shd w:val="clear" w:color="000000" w:fill="FFFFFF"/>
            <w:vAlign w:val="center"/>
            <w:hideMark/>
          </w:tcPr>
          <w:p w14:paraId="4AD1DF54" w14:textId="77777777" w:rsidR="00A16347" w:rsidRPr="00A16347" w:rsidRDefault="00A16347" w:rsidP="00A16347">
            <w:pPr>
              <w:jc w:val="right"/>
              <w:rPr>
                <w:rFonts w:ascii="Arial" w:hAnsi="Arial" w:cs="Arial"/>
                <w:sz w:val="18"/>
                <w:szCs w:val="18"/>
              </w:rPr>
            </w:pPr>
            <w:r w:rsidRPr="00A16347">
              <w:rPr>
                <w:rFonts w:ascii="Arial" w:hAnsi="Arial" w:cs="Arial"/>
                <w:sz w:val="18"/>
                <w:szCs w:val="18"/>
              </w:rPr>
              <w:t>(2,145)</w:t>
            </w:r>
          </w:p>
        </w:tc>
        <w:tc>
          <w:tcPr>
            <w:tcW w:w="1780" w:type="dxa"/>
            <w:tcBorders>
              <w:top w:val="nil"/>
              <w:left w:val="nil"/>
              <w:bottom w:val="nil"/>
              <w:right w:val="single" w:sz="8" w:space="0" w:color="auto"/>
            </w:tcBorders>
            <w:shd w:val="clear" w:color="000000" w:fill="CCCCCC"/>
            <w:vAlign w:val="center"/>
            <w:hideMark/>
          </w:tcPr>
          <w:p w14:paraId="70716797" w14:textId="77777777" w:rsidR="00A16347" w:rsidRPr="00A16347" w:rsidRDefault="00A16347" w:rsidP="00A16347">
            <w:pPr>
              <w:jc w:val="right"/>
              <w:rPr>
                <w:rFonts w:ascii="Arial" w:hAnsi="Arial" w:cs="Arial"/>
              </w:rPr>
            </w:pPr>
            <w:r w:rsidRPr="00A16347">
              <w:rPr>
                <w:rFonts w:ascii="Arial" w:hAnsi="Arial" w:cs="Arial"/>
              </w:rPr>
              <w:t>(2,219)</w:t>
            </w:r>
          </w:p>
        </w:tc>
      </w:tr>
      <w:tr w:rsidR="00A16347" w:rsidRPr="00A16347" w14:paraId="6689DC37" w14:textId="77777777" w:rsidTr="00A16347">
        <w:trPr>
          <w:trHeight w:val="310"/>
        </w:trPr>
        <w:tc>
          <w:tcPr>
            <w:tcW w:w="5480" w:type="dxa"/>
            <w:tcBorders>
              <w:top w:val="nil"/>
              <w:left w:val="single" w:sz="8" w:space="0" w:color="auto"/>
              <w:bottom w:val="nil"/>
              <w:right w:val="nil"/>
            </w:tcBorders>
            <w:shd w:val="clear" w:color="000000" w:fill="CCCCCC"/>
            <w:vAlign w:val="center"/>
            <w:hideMark/>
          </w:tcPr>
          <w:p w14:paraId="17C85D91" w14:textId="77777777" w:rsidR="00A16347" w:rsidRPr="00A16347" w:rsidRDefault="00A16347" w:rsidP="00A16347">
            <w:pPr>
              <w:rPr>
                <w:rFonts w:ascii="Arial" w:hAnsi="Arial" w:cs="Arial"/>
                <w:b/>
                <w:bCs/>
                <w:color w:val="000000"/>
              </w:rPr>
            </w:pPr>
            <w:r w:rsidRPr="00A16347">
              <w:rPr>
                <w:rFonts w:ascii="Arial" w:hAnsi="Arial" w:cs="Arial"/>
                <w:b/>
                <w:bCs/>
                <w:color w:val="000000"/>
              </w:rPr>
              <w:t xml:space="preserve">Amendment </w:t>
            </w:r>
          </w:p>
        </w:tc>
        <w:tc>
          <w:tcPr>
            <w:tcW w:w="1460" w:type="dxa"/>
            <w:tcBorders>
              <w:top w:val="nil"/>
              <w:left w:val="nil"/>
              <w:bottom w:val="nil"/>
              <w:right w:val="nil"/>
            </w:tcBorders>
            <w:shd w:val="clear" w:color="000000" w:fill="FFFFFF"/>
            <w:vAlign w:val="center"/>
            <w:hideMark/>
          </w:tcPr>
          <w:p w14:paraId="7CBA4469" w14:textId="77777777" w:rsidR="00A16347" w:rsidRPr="00A16347" w:rsidRDefault="00A16347" w:rsidP="00A16347">
            <w:pPr>
              <w:jc w:val="right"/>
              <w:rPr>
                <w:rFonts w:ascii="Arial" w:hAnsi="Arial" w:cs="Arial"/>
                <w:sz w:val="18"/>
                <w:szCs w:val="18"/>
              </w:rPr>
            </w:pPr>
            <w:r w:rsidRPr="00A16347">
              <w:rPr>
                <w:rFonts w:ascii="Arial" w:hAnsi="Arial" w:cs="Arial"/>
                <w:sz w:val="18"/>
                <w:szCs w:val="18"/>
              </w:rPr>
              <w:t> </w:t>
            </w:r>
          </w:p>
        </w:tc>
        <w:tc>
          <w:tcPr>
            <w:tcW w:w="1780" w:type="dxa"/>
            <w:tcBorders>
              <w:top w:val="nil"/>
              <w:left w:val="nil"/>
              <w:bottom w:val="nil"/>
              <w:right w:val="single" w:sz="8" w:space="0" w:color="auto"/>
            </w:tcBorders>
            <w:shd w:val="clear" w:color="000000" w:fill="CCCCCC"/>
            <w:vAlign w:val="center"/>
            <w:hideMark/>
          </w:tcPr>
          <w:p w14:paraId="10DF6DF4" w14:textId="77777777" w:rsidR="00A16347" w:rsidRPr="00A16347" w:rsidRDefault="00A16347" w:rsidP="00A16347">
            <w:pPr>
              <w:jc w:val="right"/>
              <w:rPr>
                <w:rFonts w:ascii="Arial" w:hAnsi="Arial" w:cs="Arial"/>
              </w:rPr>
            </w:pPr>
            <w:r w:rsidRPr="00A16347">
              <w:rPr>
                <w:rFonts w:ascii="Arial" w:hAnsi="Arial" w:cs="Arial"/>
              </w:rPr>
              <w:t>2,219</w:t>
            </w:r>
          </w:p>
        </w:tc>
      </w:tr>
      <w:tr w:rsidR="00A16347" w:rsidRPr="00A16347" w14:paraId="020ECDC4" w14:textId="77777777" w:rsidTr="00A16347">
        <w:trPr>
          <w:trHeight w:val="310"/>
        </w:trPr>
        <w:tc>
          <w:tcPr>
            <w:tcW w:w="5480" w:type="dxa"/>
            <w:tcBorders>
              <w:top w:val="nil"/>
              <w:left w:val="single" w:sz="8" w:space="0" w:color="auto"/>
              <w:bottom w:val="nil"/>
              <w:right w:val="nil"/>
            </w:tcBorders>
            <w:shd w:val="clear" w:color="000000" w:fill="CCCCCC"/>
            <w:vAlign w:val="center"/>
            <w:hideMark/>
          </w:tcPr>
          <w:p w14:paraId="51D21B1F" w14:textId="5F771D72" w:rsidR="00A16347" w:rsidRPr="00A16347" w:rsidRDefault="00A16347" w:rsidP="00A16347">
            <w:pPr>
              <w:rPr>
                <w:rFonts w:ascii="Arial" w:hAnsi="Arial" w:cs="Arial"/>
                <w:b/>
                <w:bCs/>
                <w:color w:val="000000"/>
              </w:rPr>
            </w:pPr>
            <w:r w:rsidRPr="00A16347">
              <w:rPr>
                <w:rFonts w:ascii="Arial" w:hAnsi="Arial" w:cs="Arial"/>
                <w:b/>
                <w:bCs/>
                <w:color w:val="000000"/>
              </w:rPr>
              <w:t xml:space="preserve">Revised Opening </w:t>
            </w:r>
            <w:r w:rsidR="00DC2030" w:rsidRPr="00A16347">
              <w:rPr>
                <w:rFonts w:ascii="Arial" w:hAnsi="Arial" w:cs="Arial"/>
                <w:b/>
                <w:bCs/>
                <w:color w:val="000000"/>
              </w:rPr>
              <w:t>Balance</w:t>
            </w:r>
          </w:p>
        </w:tc>
        <w:tc>
          <w:tcPr>
            <w:tcW w:w="1460" w:type="dxa"/>
            <w:tcBorders>
              <w:top w:val="nil"/>
              <w:left w:val="nil"/>
              <w:bottom w:val="nil"/>
              <w:right w:val="nil"/>
            </w:tcBorders>
            <w:shd w:val="clear" w:color="000000" w:fill="FFFFFF"/>
            <w:vAlign w:val="center"/>
            <w:hideMark/>
          </w:tcPr>
          <w:p w14:paraId="046758BF" w14:textId="77777777" w:rsidR="00A16347" w:rsidRPr="00A16347" w:rsidRDefault="00A16347" w:rsidP="00A16347">
            <w:pPr>
              <w:jc w:val="right"/>
              <w:rPr>
                <w:rFonts w:ascii="Arial" w:hAnsi="Arial" w:cs="Arial"/>
                <w:sz w:val="18"/>
                <w:szCs w:val="18"/>
              </w:rPr>
            </w:pPr>
            <w:r w:rsidRPr="00A16347">
              <w:rPr>
                <w:rFonts w:ascii="Arial" w:hAnsi="Arial" w:cs="Arial"/>
                <w:sz w:val="18"/>
                <w:szCs w:val="18"/>
              </w:rPr>
              <w:t>(2,145)</w:t>
            </w:r>
          </w:p>
        </w:tc>
        <w:tc>
          <w:tcPr>
            <w:tcW w:w="1780" w:type="dxa"/>
            <w:tcBorders>
              <w:top w:val="nil"/>
              <w:left w:val="nil"/>
              <w:bottom w:val="nil"/>
              <w:right w:val="single" w:sz="8" w:space="0" w:color="auto"/>
            </w:tcBorders>
            <w:shd w:val="clear" w:color="000000" w:fill="CCCCCC"/>
            <w:vAlign w:val="center"/>
            <w:hideMark/>
          </w:tcPr>
          <w:p w14:paraId="0BC43AC2" w14:textId="77777777" w:rsidR="00A16347" w:rsidRPr="00A16347" w:rsidRDefault="00A16347" w:rsidP="00A16347">
            <w:pPr>
              <w:jc w:val="right"/>
              <w:rPr>
                <w:rFonts w:ascii="Arial" w:hAnsi="Arial" w:cs="Arial"/>
              </w:rPr>
            </w:pPr>
            <w:r w:rsidRPr="00A16347">
              <w:rPr>
                <w:rFonts w:ascii="Arial" w:hAnsi="Arial" w:cs="Arial"/>
              </w:rPr>
              <w:t>0</w:t>
            </w:r>
          </w:p>
        </w:tc>
      </w:tr>
      <w:tr w:rsidR="00A16347" w:rsidRPr="00A16347" w14:paraId="1DD57B01" w14:textId="77777777" w:rsidTr="00A16347">
        <w:trPr>
          <w:trHeight w:val="310"/>
        </w:trPr>
        <w:tc>
          <w:tcPr>
            <w:tcW w:w="5480" w:type="dxa"/>
            <w:tcBorders>
              <w:top w:val="nil"/>
              <w:left w:val="single" w:sz="8" w:space="0" w:color="auto"/>
              <w:bottom w:val="nil"/>
              <w:right w:val="nil"/>
            </w:tcBorders>
            <w:shd w:val="clear" w:color="000000" w:fill="CCCCCC"/>
            <w:vAlign w:val="center"/>
            <w:hideMark/>
          </w:tcPr>
          <w:p w14:paraId="0CF88EE7" w14:textId="77777777" w:rsidR="00A16347" w:rsidRPr="00A16347" w:rsidRDefault="00A16347" w:rsidP="00A16347">
            <w:pPr>
              <w:rPr>
                <w:rFonts w:ascii="Arial" w:hAnsi="Arial" w:cs="Arial"/>
                <w:b/>
                <w:bCs/>
                <w:color w:val="000000"/>
              </w:rPr>
            </w:pPr>
            <w:r w:rsidRPr="00A16347">
              <w:rPr>
                <w:rFonts w:ascii="Arial" w:hAnsi="Arial" w:cs="Arial"/>
                <w:b/>
                <w:bCs/>
                <w:color w:val="000000"/>
              </w:rPr>
              <w:t>Interest on surplus above asset ceiling</w:t>
            </w:r>
          </w:p>
        </w:tc>
        <w:tc>
          <w:tcPr>
            <w:tcW w:w="1460" w:type="dxa"/>
            <w:tcBorders>
              <w:top w:val="nil"/>
              <w:left w:val="nil"/>
              <w:bottom w:val="nil"/>
              <w:right w:val="nil"/>
            </w:tcBorders>
            <w:shd w:val="clear" w:color="000000" w:fill="FFFFFF"/>
            <w:vAlign w:val="center"/>
            <w:hideMark/>
          </w:tcPr>
          <w:p w14:paraId="368EFE53" w14:textId="77777777" w:rsidR="00A16347" w:rsidRPr="00A16347" w:rsidRDefault="00A16347" w:rsidP="00A16347">
            <w:pPr>
              <w:jc w:val="right"/>
              <w:rPr>
                <w:rFonts w:ascii="Arial" w:hAnsi="Arial" w:cs="Arial"/>
                <w:sz w:val="18"/>
                <w:szCs w:val="18"/>
              </w:rPr>
            </w:pPr>
            <w:r w:rsidRPr="00A16347">
              <w:rPr>
                <w:rFonts w:ascii="Arial" w:hAnsi="Arial" w:cs="Arial"/>
                <w:sz w:val="18"/>
                <w:szCs w:val="18"/>
              </w:rPr>
              <w:t>(74)</w:t>
            </w:r>
          </w:p>
        </w:tc>
        <w:tc>
          <w:tcPr>
            <w:tcW w:w="1780" w:type="dxa"/>
            <w:tcBorders>
              <w:top w:val="nil"/>
              <w:left w:val="nil"/>
              <w:bottom w:val="nil"/>
              <w:right w:val="single" w:sz="8" w:space="0" w:color="auto"/>
            </w:tcBorders>
            <w:shd w:val="clear" w:color="000000" w:fill="CCCCCC"/>
            <w:vAlign w:val="center"/>
            <w:hideMark/>
          </w:tcPr>
          <w:p w14:paraId="26BF8EC9" w14:textId="77777777" w:rsidR="00A16347" w:rsidRPr="00A16347" w:rsidRDefault="00A16347" w:rsidP="00A16347">
            <w:pPr>
              <w:jc w:val="right"/>
              <w:rPr>
                <w:rFonts w:ascii="Arial" w:hAnsi="Arial" w:cs="Arial"/>
              </w:rPr>
            </w:pPr>
            <w:r w:rsidRPr="00A16347">
              <w:rPr>
                <w:rFonts w:ascii="Arial" w:hAnsi="Arial" w:cs="Arial"/>
              </w:rPr>
              <w:t>0</w:t>
            </w:r>
          </w:p>
        </w:tc>
      </w:tr>
      <w:tr w:rsidR="00A16347" w:rsidRPr="00A16347" w14:paraId="75298385" w14:textId="77777777" w:rsidTr="00A16347">
        <w:trPr>
          <w:trHeight w:val="320"/>
        </w:trPr>
        <w:tc>
          <w:tcPr>
            <w:tcW w:w="5480" w:type="dxa"/>
            <w:tcBorders>
              <w:top w:val="nil"/>
              <w:left w:val="single" w:sz="8" w:space="0" w:color="auto"/>
              <w:bottom w:val="nil"/>
              <w:right w:val="nil"/>
            </w:tcBorders>
            <w:shd w:val="clear" w:color="000000" w:fill="CCCCCC"/>
            <w:vAlign w:val="center"/>
            <w:hideMark/>
          </w:tcPr>
          <w:p w14:paraId="21DCA1DE" w14:textId="77777777" w:rsidR="00A16347" w:rsidRPr="00A16347" w:rsidRDefault="00A16347" w:rsidP="00A16347">
            <w:pPr>
              <w:rPr>
                <w:rFonts w:ascii="Arial" w:hAnsi="Arial" w:cs="Arial"/>
                <w:b/>
                <w:bCs/>
                <w:color w:val="000000"/>
              </w:rPr>
            </w:pPr>
            <w:r w:rsidRPr="00A16347">
              <w:rPr>
                <w:rFonts w:ascii="Arial" w:hAnsi="Arial" w:cs="Arial"/>
                <w:b/>
                <w:bCs/>
                <w:color w:val="000000"/>
              </w:rPr>
              <w:t>Change in Asset Ceiling net of interest</w:t>
            </w:r>
          </w:p>
        </w:tc>
        <w:tc>
          <w:tcPr>
            <w:tcW w:w="1460" w:type="dxa"/>
            <w:tcBorders>
              <w:top w:val="nil"/>
              <w:left w:val="nil"/>
              <w:bottom w:val="nil"/>
              <w:right w:val="nil"/>
            </w:tcBorders>
            <w:shd w:val="clear" w:color="000000" w:fill="FFFFFF"/>
            <w:vAlign w:val="center"/>
            <w:hideMark/>
          </w:tcPr>
          <w:p w14:paraId="283A8696" w14:textId="77777777" w:rsidR="00A16347" w:rsidRPr="00A16347" w:rsidRDefault="00A16347" w:rsidP="00A16347">
            <w:pPr>
              <w:jc w:val="right"/>
              <w:rPr>
                <w:rFonts w:ascii="Arial" w:hAnsi="Arial" w:cs="Arial"/>
                <w:sz w:val="18"/>
                <w:szCs w:val="18"/>
              </w:rPr>
            </w:pPr>
            <w:r w:rsidRPr="00A16347">
              <w:rPr>
                <w:rFonts w:ascii="Arial" w:hAnsi="Arial" w:cs="Arial"/>
                <w:sz w:val="18"/>
                <w:szCs w:val="18"/>
              </w:rPr>
              <w:t> </w:t>
            </w:r>
          </w:p>
        </w:tc>
        <w:tc>
          <w:tcPr>
            <w:tcW w:w="1780" w:type="dxa"/>
            <w:tcBorders>
              <w:top w:val="nil"/>
              <w:left w:val="nil"/>
              <w:bottom w:val="nil"/>
              <w:right w:val="single" w:sz="8" w:space="0" w:color="auto"/>
            </w:tcBorders>
            <w:shd w:val="clear" w:color="000000" w:fill="CCCCCC"/>
            <w:vAlign w:val="center"/>
            <w:hideMark/>
          </w:tcPr>
          <w:p w14:paraId="6849E029" w14:textId="77777777" w:rsidR="00A16347" w:rsidRPr="00A16347" w:rsidRDefault="00A16347" w:rsidP="00A16347">
            <w:pPr>
              <w:jc w:val="right"/>
              <w:rPr>
                <w:rFonts w:ascii="Arial" w:hAnsi="Arial" w:cs="Arial"/>
              </w:rPr>
            </w:pPr>
            <w:r w:rsidRPr="00A16347">
              <w:rPr>
                <w:rFonts w:ascii="Arial" w:hAnsi="Arial" w:cs="Arial"/>
              </w:rPr>
              <w:t>(3,125)</w:t>
            </w:r>
          </w:p>
        </w:tc>
      </w:tr>
      <w:tr w:rsidR="00A16347" w:rsidRPr="00A16347" w14:paraId="667BC63F" w14:textId="77777777" w:rsidTr="00A16347">
        <w:trPr>
          <w:trHeight w:val="320"/>
        </w:trPr>
        <w:tc>
          <w:tcPr>
            <w:tcW w:w="5480" w:type="dxa"/>
            <w:tcBorders>
              <w:top w:val="nil"/>
              <w:left w:val="single" w:sz="8" w:space="0" w:color="auto"/>
              <w:bottom w:val="single" w:sz="8" w:space="0" w:color="auto"/>
              <w:right w:val="nil"/>
            </w:tcBorders>
            <w:shd w:val="clear" w:color="000000" w:fill="CCCCCC"/>
            <w:vAlign w:val="center"/>
            <w:hideMark/>
          </w:tcPr>
          <w:p w14:paraId="54A78478" w14:textId="77777777" w:rsidR="00A16347" w:rsidRPr="00A16347" w:rsidRDefault="00A16347" w:rsidP="00A16347">
            <w:pPr>
              <w:rPr>
                <w:rFonts w:ascii="Arial" w:hAnsi="Arial" w:cs="Arial"/>
                <w:b/>
                <w:bCs/>
                <w:color w:val="000000"/>
              </w:rPr>
            </w:pPr>
            <w:r w:rsidRPr="00A16347">
              <w:rPr>
                <w:rFonts w:ascii="Arial" w:hAnsi="Arial" w:cs="Arial"/>
                <w:b/>
                <w:bCs/>
                <w:color w:val="000000"/>
              </w:rPr>
              <w:t>Asset Ceiling Impact at end of year</w:t>
            </w:r>
          </w:p>
        </w:tc>
        <w:tc>
          <w:tcPr>
            <w:tcW w:w="1460" w:type="dxa"/>
            <w:tcBorders>
              <w:top w:val="single" w:sz="8" w:space="0" w:color="auto"/>
              <w:left w:val="nil"/>
              <w:bottom w:val="single" w:sz="8" w:space="0" w:color="auto"/>
              <w:right w:val="nil"/>
            </w:tcBorders>
            <w:shd w:val="clear" w:color="000000" w:fill="FFFFFF"/>
            <w:vAlign w:val="center"/>
            <w:hideMark/>
          </w:tcPr>
          <w:p w14:paraId="3991D2E0" w14:textId="77777777" w:rsidR="00A16347" w:rsidRPr="00A16347" w:rsidRDefault="00A16347" w:rsidP="00A16347">
            <w:pPr>
              <w:jc w:val="right"/>
              <w:rPr>
                <w:rFonts w:ascii="Arial" w:hAnsi="Arial" w:cs="Arial"/>
                <w:b/>
                <w:bCs/>
              </w:rPr>
            </w:pPr>
            <w:r w:rsidRPr="00A16347">
              <w:rPr>
                <w:rFonts w:ascii="Arial" w:hAnsi="Arial" w:cs="Arial"/>
                <w:b/>
                <w:bCs/>
              </w:rPr>
              <w:t>(2,219)</w:t>
            </w:r>
          </w:p>
        </w:tc>
        <w:tc>
          <w:tcPr>
            <w:tcW w:w="1780" w:type="dxa"/>
            <w:tcBorders>
              <w:top w:val="single" w:sz="8" w:space="0" w:color="auto"/>
              <w:left w:val="nil"/>
              <w:bottom w:val="single" w:sz="8" w:space="0" w:color="auto"/>
              <w:right w:val="single" w:sz="8" w:space="0" w:color="auto"/>
            </w:tcBorders>
            <w:shd w:val="clear" w:color="000000" w:fill="CCCCCC"/>
            <w:vAlign w:val="center"/>
            <w:hideMark/>
          </w:tcPr>
          <w:p w14:paraId="2A53A8B4" w14:textId="687E03C0" w:rsidR="00A16347" w:rsidRPr="00A16347" w:rsidRDefault="00A16347" w:rsidP="00A16347">
            <w:pPr>
              <w:jc w:val="right"/>
              <w:rPr>
                <w:rFonts w:ascii="Arial" w:hAnsi="Arial" w:cs="Arial"/>
                <w:b/>
                <w:bCs/>
              </w:rPr>
            </w:pPr>
            <w:r w:rsidRPr="00A16347">
              <w:rPr>
                <w:rFonts w:ascii="Arial" w:hAnsi="Arial" w:cs="Arial"/>
                <w:b/>
                <w:bCs/>
              </w:rPr>
              <w:t>(3,12</w:t>
            </w:r>
            <w:r w:rsidR="009C1CE2">
              <w:rPr>
                <w:rFonts w:ascii="Arial" w:hAnsi="Arial" w:cs="Arial"/>
                <w:b/>
                <w:bCs/>
              </w:rPr>
              <w:t>5</w:t>
            </w:r>
            <w:r w:rsidRPr="00A16347">
              <w:rPr>
                <w:rFonts w:ascii="Arial" w:hAnsi="Arial" w:cs="Arial"/>
                <w:b/>
                <w:bCs/>
              </w:rPr>
              <w:t>)</w:t>
            </w:r>
          </w:p>
        </w:tc>
      </w:tr>
    </w:tbl>
    <w:p w14:paraId="67CD70B5" w14:textId="77777777" w:rsidR="008D7C57" w:rsidRDefault="008D7C57" w:rsidP="008D7C57">
      <w:pPr>
        <w:tabs>
          <w:tab w:val="left" w:pos="426"/>
        </w:tabs>
        <w:rPr>
          <w:rFonts w:ascii="Arial" w:hAnsi="Arial"/>
          <w:b/>
          <w:sz w:val="24"/>
          <w:u w:val="single"/>
        </w:rPr>
      </w:pPr>
    </w:p>
    <w:p w14:paraId="764B1F0C" w14:textId="77777777" w:rsidR="008D7C57" w:rsidRDefault="008D7C57" w:rsidP="003B74DA">
      <w:pPr>
        <w:tabs>
          <w:tab w:val="left" w:pos="426"/>
        </w:tabs>
        <w:ind w:left="426"/>
        <w:rPr>
          <w:rFonts w:ascii="Arial" w:hAnsi="Arial"/>
          <w:b/>
          <w:sz w:val="24"/>
          <w:u w:val="single"/>
        </w:rPr>
      </w:pPr>
    </w:p>
    <w:p w14:paraId="7AF1A343" w14:textId="77777777" w:rsidR="009C1CE2" w:rsidRDefault="009C1CE2">
      <w:pPr>
        <w:rPr>
          <w:rFonts w:ascii="Arial" w:hAnsi="Arial"/>
          <w:b/>
          <w:sz w:val="24"/>
          <w:u w:val="single"/>
        </w:rPr>
      </w:pPr>
      <w:r>
        <w:rPr>
          <w:rFonts w:ascii="Arial" w:hAnsi="Arial"/>
          <w:b/>
          <w:sz w:val="24"/>
          <w:u w:val="single"/>
        </w:rPr>
        <w:br w:type="page"/>
      </w:r>
    </w:p>
    <w:p w14:paraId="5B232DF4" w14:textId="4562D0D0" w:rsidR="003B74DA" w:rsidRPr="00DC7DD8" w:rsidRDefault="003B74DA" w:rsidP="003B74DA">
      <w:pPr>
        <w:tabs>
          <w:tab w:val="left" w:pos="426"/>
        </w:tabs>
        <w:ind w:left="426"/>
        <w:rPr>
          <w:rFonts w:ascii="Arial" w:hAnsi="Arial"/>
          <w:b/>
          <w:sz w:val="24"/>
        </w:rPr>
      </w:pPr>
      <w:r w:rsidRPr="00DC7DD8">
        <w:rPr>
          <w:rFonts w:ascii="Arial" w:hAnsi="Arial"/>
          <w:b/>
          <w:sz w:val="24"/>
          <w:u w:val="single"/>
        </w:rPr>
        <w:lastRenderedPageBreak/>
        <w:t>Assets and Liabilities in Relation to Post-employment Benefits</w:t>
      </w:r>
      <w:r w:rsidRPr="00DC7DD8">
        <w:rPr>
          <w:rFonts w:ascii="Arial" w:hAnsi="Arial"/>
          <w:b/>
          <w:sz w:val="24"/>
        </w:rPr>
        <w:t xml:space="preserve"> </w:t>
      </w:r>
    </w:p>
    <w:p w14:paraId="6FA6DA7B" w14:textId="77777777" w:rsidR="003B74DA" w:rsidRPr="00DC7DD8" w:rsidRDefault="003B74DA" w:rsidP="003B74DA">
      <w:pPr>
        <w:tabs>
          <w:tab w:val="left" w:pos="426"/>
        </w:tabs>
        <w:ind w:left="426"/>
        <w:rPr>
          <w:rFonts w:ascii="Arial" w:hAnsi="Arial"/>
          <w:sz w:val="24"/>
        </w:rPr>
      </w:pPr>
    </w:p>
    <w:p w14:paraId="6F188FA6" w14:textId="77777777" w:rsidR="003B74DA" w:rsidRPr="00645FC2" w:rsidRDefault="003B74DA" w:rsidP="003B74DA">
      <w:pPr>
        <w:tabs>
          <w:tab w:val="left" w:pos="426"/>
        </w:tabs>
        <w:ind w:left="426"/>
        <w:rPr>
          <w:rFonts w:ascii="Arial" w:hAnsi="Arial"/>
          <w:sz w:val="24"/>
          <w:highlight w:val="yellow"/>
        </w:rPr>
      </w:pPr>
      <w:r w:rsidRPr="00DC7DD8">
        <w:rPr>
          <w:rFonts w:ascii="Arial" w:hAnsi="Arial"/>
          <w:b/>
          <w:sz w:val="24"/>
        </w:rPr>
        <w:t>Reconciliation of the present value of the scheme liabilities</w:t>
      </w:r>
      <w:r w:rsidRPr="00DC7DD8">
        <w:rPr>
          <w:rFonts w:ascii="Arial" w:hAnsi="Arial"/>
          <w:sz w:val="24"/>
        </w:rPr>
        <w:t>:</w:t>
      </w:r>
    </w:p>
    <w:p w14:paraId="1C4BD3F6" w14:textId="77777777" w:rsidR="003B74DA" w:rsidRPr="00645FC2" w:rsidRDefault="003B74DA" w:rsidP="003B74DA">
      <w:pPr>
        <w:tabs>
          <w:tab w:val="left" w:pos="426"/>
        </w:tabs>
        <w:ind w:left="426"/>
        <w:rPr>
          <w:rFonts w:ascii="Arial" w:hAnsi="Arial"/>
          <w:sz w:val="24"/>
          <w:highlight w:val="yellow"/>
        </w:rPr>
      </w:pPr>
    </w:p>
    <w:tbl>
      <w:tblPr>
        <w:tblW w:w="10780" w:type="dxa"/>
        <w:tblLook w:val="04A0" w:firstRow="1" w:lastRow="0" w:firstColumn="1" w:lastColumn="0" w:noHBand="0" w:noVBand="1"/>
      </w:tblPr>
      <w:tblGrid>
        <w:gridCol w:w="3392"/>
        <w:gridCol w:w="1134"/>
        <w:gridCol w:w="1276"/>
        <w:gridCol w:w="1420"/>
        <w:gridCol w:w="1412"/>
        <w:gridCol w:w="1073"/>
        <w:gridCol w:w="1073"/>
      </w:tblGrid>
      <w:tr w:rsidR="007F19F0" w:rsidRPr="00AD25A6" w14:paraId="1A784C6E" w14:textId="77777777" w:rsidTr="00966C9B">
        <w:trPr>
          <w:trHeight w:val="300"/>
        </w:trPr>
        <w:tc>
          <w:tcPr>
            <w:tcW w:w="3392" w:type="dxa"/>
            <w:vMerge w:val="restart"/>
            <w:tcBorders>
              <w:top w:val="single" w:sz="8" w:space="0" w:color="auto"/>
              <w:left w:val="single" w:sz="8" w:space="0" w:color="auto"/>
              <w:bottom w:val="nil"/>
              <w:right w:val="nil"/>
            </w:tcBorders>
            <w:shd w:val="clear" w:color="000000" w:fill="CCCCCC"/>
            <w:vAlign w:val="center"/>
            <w:hideMark/>
          </w:tcPr>
          <w:p w14:paraId="19E17E7D" w14:textId="77777777" w:rsidR="00AD25A6" w:rsidRPr="00AD25A6" w:rsidRDefault="00AD25A6" w:rsidP="00AD25A6">
            <w:pPr>
              <w:rPr>
                <w:rFonts w:ascii="Arial" w:hAnsi="Arial" w:cs="Arial"/>
              </w:rPr>
            </w:pPr>
            <w:r w:rsidRPr="00AD25A6">
              <w:rPr>
                <w:rFonts w:ascii="Arial" w:hAnsi="Arial" w:cs="Arial"/>
              </w:rPr>
              <w:t> </w:t>
            </w:r>
          </w:p>
        </w:tc>
        <w:tc>
          <w:tcPr>
            <w:tcW w:w="1134" w:type="dxa"/>
            <w:tcBorders>
              <w:top w:val="single" w:sz="8" w:space="0" w:color="auto"/>
              <w:left w:val="nil"/>
              <w:bottom w:val="nil"/>
              <w:right w:val="nil"/>
            </w:tcBorders>
            <w:shd w:val="clear" w:color="000000" w:fill="CCCCCC"/>
            <w:vAlign w:val="center"/>
            <w:hideMark/>
          </w:tcPr>
          <w:p w14:paraId="7ABE4A50" w14:textId="77777777" w:rsidR="00AD25A6" w:rsidRPr="00AD25A6" w:rsidRDefault="00AD25A6" w:rsidP="00AD25A6">
            <w:pPr>
              <w:rPr>
                <w:rFonts w:ascii="Arial" w:hAnsi="Arial" w:cs="Arial"/>
              </w:rPr>
            </w:pPr>
            <w:r w:rsidRPr="00AD25A6">
              <w:rPr>
                <w:rFonts w:ascii="Arial" w:hAnsi="Arial" w:cs="Arial"/>
              </w:rPr>
              <w:t> </w:t>
            </w:r>
          </w:p>
        </w:tc>
        <w:tc>
          <w:tcPr>
            <w:tcW w:w="1276" w:type="dxa"/>
            <w:tcBorders>
              <w:top w:val="single" w:sz="8" w:space="0" w:color="auto"/>
              <w:left w:val="nil"/>
              <w:bottom w:val="nil"/>
              <w:right w:val="nil"/>
            </w:tcBorders>
            <w:shd w:val="clear" w:color="000000" w:fill="CCCCCC"/>
            <w:vAlign w:val="center"/>
            <w:hideMark/>
          </w:tcPr>
          <w:p w14:paraId="7135D526" w14:textId="77777777" w:rsidR="00AD25A6" w:rsidRPr="00AD25A6" w:rsidRDefault="00AD25A6" w:rsidP="00AD25A6">
            <w:pPr>
              <w:rPr>
                <w:rFonts w:ascii="Arial" w:hAnsi="Arial" w:cs="Arial"/>
              </w:rPr>
            </w:pPr>
            <w:r w:rsidRPr="00AD25A6">
              <w:rPr>
                <w:rFonts w:ascii="Arial" w:hAnsi="Arial" w:cs="Arial"/>
              </w:rPr>
              <w:t> </w:t>
            </w:r>
          </w:p>
        </w:tc>
        <w:tc>
          <w:tcPr>
            <w:tcW w:w="3905" w:type="dxa"/>
            <w:gridSpan w:val="3"/>
            <w:tcBorders>
              <w:top w:val="single" w:sz="8" w:space="0" w:color="auto"/>
              <w:left w:val="nil"/>
              <w:bottom w:val="nil"/>
              <w:right w:val="nil"/>
            </w:tcBorders>
            <w:shd w:val="clear" w:color="000000" w:fill="CCCCCC"/>
            <w:noWrap/>
            <w:vAlign w:val="center"/>
            <w:hideMark/>
          </w:tcPr>
          <w:p w14:paraId="393EF6D6" w14:textId="77777777" w:rsidR="00AD25A6" w:rsidRPr="00AD25A6" w:rsidRDefault="00AD25A6" w:rsidP="00AD25A6">
            <w:pPr>
              <w:rPr>
                <w:rFonts w:ascii="Arial" w:hAnsi="Arial" w:cs="Arial"/>
                <w:b/>
                <w:bCs/>
                <w:color w:val="000000"/>
              </w:rPr>
            </w:pPr>
            <w:r w:rsidRPr="00AD25A6">
              <w:rPr>
                <w:rFonts w:ascii="Arial" w:hAnsi="Arial" w:cs="Arial"/>
                <w:b/>
                <w:bCs/>
                <w:color w:val="000000"/>
              </w:rPr>
              <w:t>Funded Liabilities: Local Govt Pension Scheme</w:t>
            </w:r>
          </w:p>
        </w:tc>
        <w:tc>
          <w:tcPr>
            <w:tcW w:w="1073" w:type="dxa"/>
            <w:tcBorders>
              <w:top w:val="single" w:sz="8" w:space="0" w:color="auto"/>
              <w:left w:val="nil"/>
              <w:bottom w:val="nil"/>
              <w:right w:val="single" w:sz="8" w:space="0" w:color="auto"/>
            </w:tcBorders>
            <w:shd w:val="clear" w:color="000000" w:fill="CCCCCC"/>
            <w:noWrap/>
            <w:vAlign w:val="center"/>
            <w:hideMark/>
          </w:tcPr>
          <w:p w14:paraId="3F90361A" w14:textId="77777777" w:rsidR="00AD25A6" w:rsidRPr="00AD25A6" w:rsidRDefault="00AD25A6" w:rsidP="00AD25A6">
            <w:pPr>
              <w:rPr>
                <w:rFonts w:ascii="Arial" w:hAnsi="Arial" w:cs="Arial"/>
                <w:b/>
                <w:bCs/>
              </w:rPr>
            </w:pPr>
            <w:r w:rsidRPr="00AD25A6">
              <w:rPr>
                <w:rFonts w:ascii="Arial" w:hAnsi="Arial" w:cs="Arial"/>
                <w:b/>
                <w:bCs/>
              </w:rPr>
              <w:t> </w:t>
            </w:r>
          </w:p>
        </w:tc>
      </w:tr>
      <w:tr w:rsidR="007F19F0" w:rsidRPr="00AD25A6" w14:paraId="6C7478B7" w14:textId="77777777" w:rsidTr="00966C9B">
        <w:trPr>
          <w:trHeight w:val="315"/>
        </w:trPr>
        <w:tc>
          <w:tcPr>
            <w:tcW w:w="3392" w:type="dxa"/>
            <w:vMerge/>
            <w:tcBorders>
              <w:top w:val="single" w:sz="8" w:space="0" w:color="auto"/>
              <w:left w:val="single" w:sz="8" w:space="0" w:color="auto"/>
              <w:bottom w:val="nil"/>
              <w:right w:val="nil"/>
            </w:tcBorders>
            <w:vAlign w:val="center"/>
            <w:hideMark/>
          </w:tcPr>
          <w:p w14:paraId="1418C84B" w14:textId="77777777" w:rsidR="00AD25A6" w:rsidRPr="00AD25A6" w:rsidRDefault="00AD25A6" w:rsidP="00AD25A6">
            <w:pPr>
              <w:rPr>
                <w:rFonts w:ascii="Arial" w:hAnsi="Arial" w:cs="Arial"/>
              </w:rPr>
            </w:pPr>
          </w:p>
        </w:tc>
        <w:tc>
          <w:tcPr>
            <w:tcW w:w="1134" w:type="dxa"/>
            <w:tcBorders>
              <w:top w:val="nil"/>
              <w:left w:val="nil"/>
              <w:bottom w:val="nil"/>
              <w:right w:val="nil"/>
            </w:tcBorders>
            <w:shd w:val="clear" w:color="000000" w:fill="CCCCCC"/>
            <w:vAlign w:val="center"/>
            <w:hideMark/>
          </w:tcPr>
          <w:p w14:paraId="15C89ECB" w14:textId="77777777" w:rsidR="00AD25A6" w:rsidRPr="00AD25A6" w:rsidRDefault="00AD25A6" w:rsidP="00AD25A6">
            <w:pPr>
              <w:rPr>
                <w:rFonts w:ascii="Arial" w:hAnsi="Arial" w:cs="Arial"/>
              </w:rPr>
            </w:pPr>
            <w:r w:rsidRPr="00AD25A6">
              <w:rPr>
                <w:rFonts w:ascii="Arial" w:hAnsi="Arial" w:cs="Arial"/>
              </w:rPr>
              <w:t> </w:t>
            </w:r>
          </w:p>
        </w:tc>
        <w:tc>
          <w:tcPr>
            <w:tcW w:w="1276" w:type="dxa"/>
            <w:tcBorders>
              <w:top w:val="nil"/>
              <w:left w:val="nil"/>
              <w:bottom w:val="nil"/>
              <w:right w:val="nil"/>
            </w:tcBorders>
            <w:shd w:val="clear" w:color="000000" w:fill="CCCCCC"/>
            <w:vAlign w:val="center"/>
            <w:hideMark/>
          </w:tcPr>
          <w:p w14:paraId="4C809867" w14:textId="77777777" w:rsidR="00AD25A6" w:rsidRPr="00AD25A6" w:rsidRDefault="00AD25A6" w:rsidP="00AD25A6">
            <w:pPr>
              <w:rPr>
                <w:rFonts w:ascii="Arial" w:hAnsi="Arial" w:cs="Arial"/>
              </w:rPr>
            </w:pPr>
            <w:r w:rsidRPr="00AD25A6">
              <w:rPr>
                <w:rFonts w:ascii="Arial" w:hAnsi="Arial" w:cs="Arial"/>
              </w:rPr>
              <w:t> </w:t>
            </w:r>
          </w:p>
        </w:tc>
        <w:tc>
          <w:tcPr>
            <w:tcW w:w="1420" w:type="dxa"/>
            <w:tcBorders>
              <w:top w:val="nil"/>
              <w:left w:val="nil"/>
              <w:bottom w:val="nil"/>
              <w:right w:val="nil"/>
            </w:tcBorders>
            <w:shd w:val="clear" w:color="000000" w:fill="CCCCCC"/>
            <w:vAlign w:val="center"/>
            <w:hideMark/>
          </w:tcPr>
          <w:p w14:paraId="7C638C45" w14:textId="77777777" w:rsidR="00AD25A6" w:rsidRPr="00AD25A6" w:rsidRDefault="00AD25A6" w:rsidP="00AD25A6">
            <w:pPr>
              <w:rPr>
                <w:rFonts w:ascii="Arial" w:hAnsi="Arial" w:cs="Arial"/>
                <w:b/>
                <w:bCs/>
                <w:color w:val="000000"/>
              </w:rPr>
            </w:pPr>
            <w:r w:rsidRPr="00AD25A6">
              <w:rPr>
                <w:rFonts w:ascii="Arial" w:hAnsi="Arial" w:cs="Arial"/>
                <w:b/>
                <w:bCs/>
                <w:color w:val="000000"/>
              </w:rPr>
              <w:t> </w:t>
            </w:r>
          </w:p>
        </w:tc>
        <w:tc>
          <w:tcPr>
            <w:tcW w:w="1412" w:type="dxa"/>
            <w:tcBorders>
              <w:top w:val="nil"/>
              <w:left w:val="nil"/>
              <w:bottom w:val="nil"/>
              <w:right w:val="nil"/>
            </w:tcBorders>
            <w:shd w:val="clear" w:color="000000" w:fill="CCCCCC"/>
            <w:vAlign w:val="center"/>
            <w:hideMark/>
          </w:tcPr>
          <w:p w14:paraId="12091FA4" w14:textId="77777777" w:rsidR="00AD25A6" w:rsidRPr="00AD25A6" w:rsidRDefault="00AD25A6" w:rsidP="00AD25A6">
            <w:pPr>
              <w:rPr>
                <w:rFonts w:ascii="Arial" w:hAnsi="Arial" w:cs="Arial"/>
                <w:b/>
                <w:bCs/>
              </w:rPr>
            </w:pPr>
            <w:r w:rsidRPr="00AD25A6">
              <w:rPr>
                <w:rFonts w:ascii="Arial" w:hAnsi="Arial" w:cs="Arial"/>
                <w:b/>
                <w:bCs/>
              </w:rPr>
              <w:t> </w:t>
            </w:r>
          </w:p>
        </w:tc>
        <w:tc>
          <w:tcPr>
            <w:tcW w:w="1073" w:type="dxa"/>
            <w:tcBorders>
              <w:top w:val="nil"/>
              <w:left w:val="nil"/>
              <w:bottom w:val="nil"/>
              <w:right w:val="nil"/>
            </w:tcBorders>
            <w:shd w:val="clear" w:color="000000" w:fill="CCCCCC"/>
            <w:vAlign w:val="center"/>
            <w:hideMark/>
          </w:tcPr>
          <w:p w14:paraId="030F91B3" w14:textId="77777777" w:rsidR="00AD25A6" w:rsidRPr="00AD25A6" w:rsidRDefault="00AD25A6" w:rsidP="00AD25A6">
            <w:pPr>
              <w:rPr>
                <w:rFonts w:ascii="Arial" w:hAnsi="Arial" w:cs="Arial"/>
                <w:b/>
                <w:bCs/>
                <w:color w:val="000000"/>
              </w:rPr>
            </w:pPr>
            <w:r w:rsidRPr="00AD25A6">
              <w:rPr>
                <w:rFonts w:ascii="Arial" w:hAnsi="Arial" w:cs="Arial"/>
                <w:b/>
                <w:bCs/>
                <w:color w:val="000000"/>
              </w:rPr>
              <w:t> </w:t>
            </w:r>
          </w:p>
        </w:tc>
        <w:tc>
          <w:tcPr>
            <w:tcW w:w="1073" w:type="dxa"/>
            <w:tcBorders>
              <w:top w:val="nil"/>
              <w:left w:val="nil"/>
              <w:bottom w:val="nil"/>
              <w:right w:val="single" w:sz="8" w:space="0" w:color="auto"/>
            </w:tcBorders>
            <w:shd w:val="clear" w:color="000000" w:fill="CCCCCC"/>
            <w:vAlign w:val="center"/>
            <w:hideMark/>
          </w:tcPr>
          <w:p w14:paraId="07553F92" w14:textId="77777777" w:rsidR="00AD25A6" w:rsidRPr="00AD25A6" w:rsidRDefault="00AD25A6" w:rsidP="00AD25A6">
            <w:pPr>
              <w:rPr>
                <w:rFonts w:ascii="Arial" w:hAnsi="Arial" w:cs="Arial"/>
                <w:b/>
                <w:bCs/>
              </w:rPr>
            </w:pPr>
            <w:r w:rsidRPr="00AD25A6">
              <w:rPr>
                <w:rFonts w:ascii="Arial" w:hAnsi="Arial" w:cs="Arial"/>
                <w:b/>
                <w:bCs/>
              </w:rPr>
              <w:t> </w:t>
            </w:r>
          </w:p>
        </w:tc>
      </w:tr>
      <w:tr w:rsidR="007F19F0" w:rsidRPr="00AD25A6" w14:paraId="372D9633" w14:textId="77777777" w:rsidTr="00063EA8">
        <w:trPr>
          <w:trHeight w:val="300"/>
        </w:trPr>
        <w:tc>
          <w:tcPr>
            <w:tcW w:w="3392" w:type="dxa"/>
            <w:tcBorders>
              <w:top w:val="nil"/>
              <w:left w:val="single" w:sz="8" w:space="0" w:color="auto"/>
              <w:bottom w:val="nil"/>
              <w:right w:val="nil"/>
            </w:tcBorders>
            <w:shd w:val="clear" w:color="000000" w:fill="CCCCCC"/>
            <w:vAlign w:val="center"/>
            <w:hideMark/>
          </w:tcPr>
          <w:p w14:paraId="4B47E98D" w14:textId="77777777" w:rsidR="00AD25A6" w:rsidRPr="00AD25A6" w:rsidRDefault="00AD25A6" w:rsidP="00AD25A6">
            <w:pPr>
              <w:rPr>
                <w:rFonts w:ascii="Arial" w:hAnsi="Arial" w:cs="Arial"/>
              </w:rPr>
            </w:pPr>
            <w:r w:rsidRPr="00AD25A6">
              <w:rPr>
                <w:rFonts w:ascii="Arial" w:hAnsi="Arial" w:cs="Arial"/>
              </w:rPr>
              <w:t> </w:t>
            </w:r>
          </w:p>
        </w:tc>
        <w:tc>
          <w:tcPr>
            <w:tcW w:w="2410" w:type="dxa"/>
            <w:gridSpan w:val="2"/>
            <w:tcBorders>
              <w:top w:val="single" w:sz="8" w:space="0" w:color="auto"/>
              <w:left w:val="single" w:sz="8" w:space="0" w:color="auto"/>
              <w:bottom w:val="nil"/>
              <w:right w:val="single" w:sz="8" w:space="0" w:color="000000"/>
            </w:tcBorders>
            <w:shd w:val="clear" w:color="000000" w:fill="CCCCCC"/>
            <w:vAlign w:val="center"/>
            <w:hideMark/>
          </w:tcPr>
          <w:p w14:paraId="20D79221"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PCC GROUP</w:t>
            </w:r>
          </w:p>
        </w:tc>
        <w:tc>
          <w:tcPr>
            <w:tcW w:w="2832" w:type="dxa"/>
            <w:gridSpan w:val="2"/>
            <w:tcBorders>
              <w:top w:val="single" w:sz="8" w:space="0" w:color="auto"/>
              <w:left w:val="nil"/>
              <w:bottom w:val="nil"/>
              <w:right w:val="single" w:sz="8" w:space="0" w:color="000000"/>
            </w:tcBorders>
            <w:shd w:val="clear" w:color="000000" w:fill="CCCCCC"/>
            <w:vAlign w:val="center"/>
            <w:hideMark/>
          </w:tcPr>
          <w:p w14:paraId="090DAF8B"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PCC</w:t>
            </w:r>
          </w:p>
        </w:tc>
        <w:tc>
          <w:tcPr>
            <w:tcW w:w="2146" w:type="dxa"/>
            <w:gridSpan w:val="2"/>
            <w:tcBorders>
              <w:top w:val="single" w:sz="8" w:space="0" w:color="auto"/>
              <w:left w:val="nil"/>
              <w:bottom w:val="nil"/>
              <w:right w:val="single" w:sz="8" w:space="0" w:color="000000"/>
            </w:tcBorders>
            <w:shd w:val="clear" w:color="000000" w:fill="CCCCCC"/>
            <w:vAlign w:val="center"/>
            <w:hideMark/>
          </w:tcPr>
          <w:p w14:paraId="6D1419C5"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CC</w:t>
            </w:r>
          </w:p>
        </w:tc>
      </w:tr>
      <w:tr w:rsidR="007F19F0" w:rsidRPr="00AD25A6" w14:paraId="1E957050" w14:textId="77777777" w:rsidTr="00063EA8">
        <w:trPr>
          <w:trHeight w:val="300"/>
        </w:trPr>
        <w:tc>
          <w:tcPr>
            <w:tcW w:w="3392" w:type="dxa"/>
            <w:tcBorders>
              <w:top w:val="nil"/>
              <w:left w:val="single" w:sz="8" w:space="0" w:color="auto"/>
              <w:bottom w:val="nil"/>
              <w:right w:val="nil"/>
            </w:tcBorders>
            <w:shd w:val="clear" w:color="000000" w:fill="CCCCCC"/>
            <w:vAlign w:val="center"/>
            <w:hideMark/>
          </w:tcPr>
          <w:p w14:paraId="6AE7F146" w14:textId="77777777" w:rsidR="00AD25A6" w:rsidRPr="00AD25A6" w:rsidRDefault="00AD25A6" w:rsidP="00AD25A6">
            <w:pPr>
              <w:rPr>
                <w:rFonts w:ascii="Arial" w:hAnsi="Arial" w:cs="Arial"/>
              </w:rPr>
            </w:pPr>
            <w:r w:rsidRPr="00AD25A6">
              <w:rPr>
                <w:rFonts w:ascii="Arial" w:hAnsi="Arial" w:cs="Arial"/>
              </w:rPr>
              <w:t> </w:t>
            </w:r>
          </w:p>
        </w:tc>
        <w:tc>
          <w:tcPr>
            <w:tcW w:w="1134" w:type="dxa"/>
            <w:tcBorders>
              <w:top w:val="nil"/>
              <w:left w:val="single" w:sz="8" w:space="0" w:color="auto"/>
              <w:bottom w:val="nil"/>
              <w:right w:val="nil"/>
            </w:tcBorders>
            <w:shd w:val="clear" w:color="000000" w:fill="FFFFFF"/>
            <w:vAlign w:val="center"/>
            <w:hideMark/>
          </w:tcPr>
          <w:p w14:paraId="5F2006F5" w14:textId="499DD0EA"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1276" w:type="dxa"/>
            <w:tcBorders>
              <w:top w:val="nil"/>
              <w:left w:val="nil"/>
              <w:bottom w:val="nil"/>
              <w:right w:val="single" w:sz="8" w:space="0" w:color="auto"/>
            </w:tcBorders>
            <w:shd w:val="clear" w:color="000000" w:fill="CCCCCC"/>
            <w:vAlign w:val="center"/>
            <w:hideMark/>
          </w:tcPr>
          <w:p w14:paraId="6AB7E102" w14:textId="0791F9E8" w:rsidR="00AD25A6" w:rsidRPr="00AD25A6" w:rsidRDefault="00C37E7F" w:rsidP="00AD25A6">
            <w:pPr>
              <w:jc w:val="center"/>
              <w:rPr>
                <w:rFonts w:ascii="Arial" w:hAnsi="Arial" w:cs="Arial"/>
                <w:b/>
                <w:bCs/>
              </w:rPr>
            </w:pPr>
            <w:r>
              <w:rPr>
                <w:rFonts w:ascii="Arial" w:hAnsi="Arial" w:cs="Arial"/>
                <w:b/>
                <w:bCs/>
              </w:rPr>
              <w:t>2024/25</w:t>
            </w:r>
          </w:p>
        </w:tc>
        <w:tc>
          <w:tcPr>
            <w:tcW w:w="1420" w:type="dxa"/>
            <w:tcBorders>
              <w:top w:val="nil"/>
              <w:left w:val="nil"/>
              <w:bottom w:val="nil"/>
              <w:right w:val="nil"/>
            </w:tcBorders>
            <w:shd w:val="clear" w:color="000000" w:fill="FFFFFF"/>
            <w:vAlign w:val="center"/>
            <w:hideMark/>
          </w:tcPr>
          <w:p w14:paraId="2B3FFB2B" w14:textId="15C43FC9"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1412" w:type="dxa"/>
            <w:tcBorders>
              <w:top w:val="nil"/>
              <w:left w:val="nil"/>
              <w:bottom w:val="nil"/>
              <w:right w:val="single" w:sz="8" w:space="0" w:color="auto"/>
            </w:tcBorders>
            <w:shd w:val="clear" w:color="000000" w:fill="CCCCCC"/>
            <w:vAlign w:val="center"/>
            <w:hideMark/>
          </w:tcPr>
          <w:p w14:paraId="50937A9C" w14:textId="0552ADD6" w:rsidR="00AD25A6" w:rsidRPr="00AD25A6" w:rsidRDefault="00C37E7F" w:rsidP="00AD25A6">
            <w:pPr>
              <w:jc w:val="center"/>
              <w:rPr>
                <w:rFonts w:ascii="Arial" w:hAnsi="Arial" w:cs="Arial"/>
                <w:b/>
                <w:bCs/>
              </w:rPr>
            </w:pPr>
            <w:r>
              <w:rPr>
                <w:rFonts w:ascii="Arial" w:hAnsi="Arial" w:cs="Arial"/>
                <w:b/>
                <w:bCs/>
              </w:rPr>
              <w:t>2024/25</w:t>
            </w:r>
          </w:p>
        </w:tc>
        <w:tc>
          <w:tcPr>
            <w:tcW w:w="1073" w:type="dxa"/>
            <w:tcBorders>
              <w:top w:val="nil"/>
              <w:left w:val="nil"/>
              <w:bottom w:val="nil"/>
              <w:right w:val="nil"/>
            </w:tcBorders>
            <w:shd w:val="clear" w:color="000000" w:fill="FFFFFF"/>
            <w:vAlign w:val="center"/>
            <w:hideMark/>
          </w:tcPr>
          <w:p w14:paraId="44D39248" w14:textId="514FC557"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1073" w:type="dxa"/>
            <w:tcBorders>
              <w:top w:val="nil"/>
              <w:left w:val="nil"/>
              <w:bottom w:val="nil"/>
              <w:right w:val="single" w:sz="8" w:space="0" w:color="auto"/>
            </w:tcBorders>
            <w:shd w:val="clear" w:color="000000" w:fill="CCCCCC"/>
            <w:vAlign w:val="center"/>
            <w:hideMark/>
          </w:tcPr>
          <w:p w14:paraId="039FA54F" w14:textId="680A292F" w:rsidR="00AD25A6" w:rsidRPr="00AD25A6" w:rsidRDefault="00C37E7F" w:rsidP="00AD25A6">
            <w:pPr>
              <w:jc w:val="center"/>
              <w:rPr>
                <w:rFonts w:ascii="Arial" w:hAnsi="Arial" w:cs="Arial"/>
                <w:b/>
                <w:bCs/>
              </w:rPr>
            </w:pPr>
            <w:r>
              <w:rPr>
                <w:rFonts w:ascii="Arial" w:hAnsi="Arial" w:cs="Arial"/>
                <w:b/>
                <w:bCs/>
              </w:rPr>
              <w:t>2024/25</w:t>
            </w:r>
          </w:p>
        </w:tc>
      </w:tr>
      <w:tr w:rsidR="007F19F0" w:rsidRPr="00AD25A6" w14:paraId="499AAB72" w14:textId="77777777" w:rsidTr="00063EA8">
        <w:trPr>
          <w:trHeight w:val="300"/>
        </w:trPr>
        <w:tc>
          <w:tcPr>
            <w:tcW w:w="3392" w:type="dxa"/>
            <w:tcBorders>
              <w:top w:val="nil"/>
              <w:left w:val="single" w:sz="8" w:space="0" w:color="auto"/>
              <w:bottom w:val="nil"/>
              <w:right w:val="nil"/>
            </w:tcBorders>
            <w:shd w:val="clear" w:color="000000" w:fill="CCCCCC"/>
            <w:vAlign w:val="center"/>
            <w:hideMark/>
          </w:tcPr>
          <w:p w14:paraId="660271C5" w14:textId="77777777" w:rsidR="00AD25A6" w:rsidRPr="00AD25A6" w:rsidRDefault="00AD25A6" w:rsidP="00AD25A6">
            <w:pPr>
              <w:rPr>
                <w:rFonts w:ascii="Arial" w:hAnsi="Arial" w:cs="Arial"/>
              </w:rPr>
            </w:pPr>
            <w:r w:rsidRPr="00AD25A6">
              <w:rPr>
                <w:rFonts w:ascii="Arial" w:hAnsi="Arial" w:cs="Arial"/>
              </w:rPr>
              <w:t> </w:t>
            </w:r>
          </w:p>
        </w:tc>
        <w:tc>
          <w:tcPr>
            <w:tcW w:w="1134" w:type="dxa"/>
            <w:tcBorders>
              <w:top w:val="nil"/>
              <w:left w:val="single" w:sz="8" w:space="0" w:color="auto"/>
              <w:bottom w:val="nil"/>
              <w:right w:val="nil"/>
            </w:tcBorders>
            <w:shd w:val="clear" w:color="000000" w:fill="FFFFFF"/>
            <w:vAlign w:val="center"/>
            <w:hideMark/>
          </w:tcPr>
          <w:p w14:paraId="06D38210"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276" w:type="dxa"/>
            <w:tcBorders>
              <w:top w:val="nil"/>
              <w:left w:val="nil"/>
              <w:bottom w:val="nil"/>
              <w:right w:val="single" w:sz="8" w:space="0" w:color="auto"/>
            </w:tcBorders>
            <w:shd w:val="clear" w:color="000000" w:fill="CCCCCC"/>
            <w:vAlign w:val="center"/>
            <w:hideMark/>
          </w:tcPr>
          <w:p w14:paraId="7B315E13"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420" w:type="dxa"/>
            <w:tcBorders>
              <w:top w:val="nil"/>
              <w:left w:val="nil"/>
              <w:bottom w:val="nil"/>
              <w:right w:val="nil"/>
            </w:tcBorders>
            <w:shd w:val="clear" w:color="000000" w:fill="FFFFFF"/>
            <w:vAlign w:val="center"/>
            <w:hideMark/>
          </w:tcPr>
          <w:p w14:paraId="2FF2FCEF"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412" w:type="dxa"/>
            <w:tcBorders>
              <w:top w:val="nil"/>
              <w:left w:val="nil"/>
              <w:bottom w:val="nil"/>
              <w:right w:val="single" w:sz="8" w:space="0" w:color="auto"/>
            </w:tcBorders>
            <w:shd w:val="clear" w:color="000000" w:fill="CCCCCC"/>
            <w:vAlign w:val="center"/>
            <w:hideMark/>
          </w:tcPr>
          <w:p w14:paraId="17DE2462"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073" w:type="dxa"/>
            <w:tcBorders>
              <w:top w:val="nil"/>
              <w:left w:val="nil"/>
              <w:bottom w:val="nil"/>
              <w:right w:val="nil"/>
            </w:tcBorders>
            <w:shd w:val="clear" w:color="000000" w:fill="FFFFFF"/>
            <w:vAlign w:val="center"/>
            <w:hideMark/>
          </w:tcPr>
          <w:p w14:paraId="402688FC"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073" w:type="dxa"/>
            <w:tcBorders>
              <w:top w:val="nil"/>
              <w:left w:val="nil"/>
              <w:bottom w:val="nil"/>
              <w:right w:val="single" w:sz="8" w:space="0" w:color="auto"/>
            </w:tcBorders>
            <w:shd w:val="clear" w:color="000000" w:fill="CCCCCC"/>
            <w:vAlign w:val="center"/>
            <w:hideMark/>
          </w:tcPr>
          <w:p w14:paraId="21620D08" w14:textId="77777777" w:rsidR="00AD25A6" w:rsidRPr="00AD25A6" w:rsidRDefault="00AD25A6" w:rsidP="00AD25A6">
            <w:pPr>
              <w:jc w:val="center"/>
              <w:rPr>
                <w:rFonts w:ascii="Arial" w:hAnsi="Arial" w:cs="Arial"/>
                <w:b/>
                <w:bCs/>
              </w:rPr>
            </w:pPr>
            <w:r w:rsidRPr="00AD25A6">
              <w:rPr>
                <w:rFonts w:ascii="Arial" w:hAnsi="Arial" w:cs="Arial"/>
                <w:b/>
                <w:bCs/>
              </w:rPr>
              <w:t> </w:t>
            </w:r>
          </w:p>
        </w:tc>
      </w:tr>
      <w:tr w:rsidR="007F19F0" w:rsidRPr="00AD25A6" w14:paraId="4EE30DE0" w14:textId="77777777" w:rsidTr="00063EA8">
        <w:trPr>
          <w:trHeight w:val="312"/>
        </w:trPr>
        <w:tc>
          <w:tcPr>
            <w:tcW w:w="3392" w:type="dxa"/>
            <w:tcBorders>
              <w:top w:val="nil"/>
              <w:left w:val="single" w:sz="8" w:space="0" w:color="auto"/>
              <w:bottom w:val="nil"/>
              <w:right w:val="nil"/>
            </w:tcBorders>
            <w:shd w:val="clear" w:color="000000" w:fill="CCCCCC"/>
            <w:vAlign w:val="center"/>
            <w:hideMark/>
          </w:tcPr>
          <w:p w14:paraId="4DB00F74" w14:textId="77777777" w:rsidR="00AD25A6" w:rsidRPr="00AD25A6" w:rsidRDefault="00AD25A6" w:rsidP="00AD25A6">
            <w:pPr>
              <w:rPr>
                <w:rFonts w:ascii="Arial" w:hAnsi="Arial" w:cs="Arial"/>
              </w:rPr>
            </w:pPr>
            <w:r w:rsidRPr="00AD25A6">
              <w:rPr>
                <w:rFonts w:ascii="Arial" w:hAnsi="Arial" w:cs="Arial"/>
              </w:rPr>
              <w:t> </w:t>
            </w:r>
          </w:p>
        </w:tc>
        <w:tc>
          <w:tcPr>
            <w:tcW w:w="1134" w:type="dxa"/>
            <w:tcBorders>
              <w:top w:val="nil"/>
              <w:left w:val="single" w:sz="8" w:space="0" w:color="auto"/>
              <w:bottom w:val="nil"/>
              <w:right w:val="nil"/>
            </w:tcBorders>
            <w:shd w:val="clear" w:color="000000" w:fill="FFFFFF"/>
            <w:vAlign w:val="center"/>
            <w:hideMark/>
          </w:tcPr>
          <w:p w14:paraId="764DA337"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1276" w:type="dxa"/>
            <w:tcBorders>
              <w:top w:val="nil"/>
              <w:left w:val="nil"/>
              <w:bottom w:val="nil"/>
              <w:right w:val="single" w:sz="8" w:space="0" w:color="auto"/>
            </w:tcBorders>
            <w:shd w:val="clear" w:color="000000" w:fill="CCCCCC"/>
            <w:vAlign w:val="center"/>
            <w:hideMark/>
          </w:tcPr>
          <w:p w14:paraId="1B7B592A" w14:textId="77777777" w:rsidR="00AD25A6" w:rsidRPr="00AD25A6" w:rsidRDefault="00AD25A6" w:rsidP="00AD25A6">
            <w:pPr>
              <w:jc w:val="center"/>
              <w:rPr>
                <w:rFonts w:ascii="Arial" w:hAnsi="Arial" w:cs="Arial"/>
                <w:b/>
                <w:bCs/>
              </w:rPr>
            </w:pPr>
            <w:r w:rsidRPr="00AD25A6">
              <w:rPr>
                <w:rFonts w:ascii="Arial" w:hAnsi="Arial" w:cs="Arial"/>
                <w:b/>
                <w:bCs/>
              </w:rPr>
              <w:t>£,000</w:t>
            </w:r>
          </w:p>
        </w:tc>
        <w:tc>
          <w:tcPr>
            <w:tcW w:w="1420" w:type="dxa"/>
            <w:tcBorders>
              <w:top w:val="nil"/>
              <w:left w:val="nil"/>
              <w:bottom w:val="nil"/>
              <w:right w:val="nil"/>
            </w:tcBorders>
            <w:shd w:val="clear" w:color="000000" w:fill="FFFFFF"/>
            <w:vAlign w:val="center"/>
            <w:hideMark/>
          </w:tcPr>
          <w:p w14:paraId="66184E30"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1412" w:type="dxa"/>
            <w:tcBorders>
              <w:top w:val="nil"/>
              <w:left w:val="nil"/>
              <w:bottom w:val="nil"/>
              <w:right w:val="single" w:sz="8" w:space="0" w:color="auto"/>
            </w:tcBorders>
            <w:shd w:val="clear" w:color="000000" w:fill="CCCCCC"/>
            <w:vAlign w:val="center"/>
            <w:hideMark/>
          </w:tcPr>
          <w:p w14:paraId="4D7C6E8A" w14:textId="77777777" w:rsidR="00AD25A6" w:rsidRPr="00AD25A6" w:rsidRDefault="00AD25A6" w:rsidP="00AD25A6">
            <w:pPr>
              <w:jc w:val="center"/>
              <w:rPr>
                <w:rFonts w:ascii="Arial" w:hAnsi="Arial" w:cs="Arial"/>
                <w:b/>
                <w:bCs/>
              </w:rPr>
            </w:pPr>
            <w:r w:rsidRPr="00AD25A6">
              <w:rPr>
                <w:rFonts w:ascii="Arial" w:hAnsi="Arial" w:cs="Arial"/>
                <w:b/>
                <w:bCs/>
              </w:rPr>
              <w:t>£,000</w:t>
            </w:r>
          </w:p>
        </w:tc>
        <w:tc>
          <w:tcPr>
            <w:tcW w:w="1073" w:type="dxa"/>
            <w:tcBorders>
              <w:top w:val="nil"/>
              <w:left w:val="nil"/>
              <w:bottom w:val="nil"/>
              <w:right w:val="nil"/>
            </w:tcBorders>
            <w:shd w:val="clear" w:color="000000" w:fill="FFFFFF"/>
            <w:vAlign w:val="center"/>
            <w:hideMark/>
          </w:tcPr>
          <w:p w14:paraId="39A97B93"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1073" w:type="dxa"/>
            <w:tcBorders>
              <w:top w:val="nil"/>
              <w:left w:val="nil"/>
              <w:bottom w:val="nil"/>
              <w:right w:val="single" w:sz="8" w:space="0" w:color="auto"/>
            </w:tcBorders>
            <w:shd w:val="clear" w:color="000000" w:fill="CCCCCC"/>
            <w:vAlign w:val="center"/>
            <w:hideMark/>
          </w:tcPr>
          <w:p w14:paraId="35F68F45" w14:textId="77777777" w:rsidR="00AD25A6" w:rsidRPr="00AD25A6" w:rsidRDefault="00AD25A6" w:rsidP="00AD25A6">
            <w:pPr>
              <w:jc w:val="center"/>
              <w:rPr>
                <w:rFonts w:ascii="Arial" w:hAnsi="Arial" w:cs="Arial"/>
                <w:b/>
                <w:bCs/>
              </w:rPr>
            </w:pPr>
            <w:r w:rsidRPr="00AD25A6">
              <w:rPr>
                <w:rFonts w:ascii="Arial" w:hAnsi="Arial" w:cs="Arial"/>
                <w:b/>
                <w:bCs/>
              </w:rPr>
              <w:t>£,000</w:t>
            </w:r>
          </w:p>
        </w:tc>
      </w:tr>
      <w:tr w:rsidR="007F19F0" w:rsidRPr="00AD25A6" w14:paraId="50FF701C" w14:textId="77777777" w:rsidTr="007F19F0">
        <w:trPr>
          <w:trHeight w:val="300"/>
        </w:trPr>
        <w:tc>
          <w:tcPr>
            <w:tcW w:w="3392" w:type="dxa"/>
            <w:tcBorders>
              <w:top w:val="nil"/>
              <w:left w:val="single" w:sz="8" w:space="0" w:color="auto"/>
              <w:bottom w:val="nil"/>
              <w:right w:val="nil"/>
            </w:tcBorders>
            <w:shd w:val="clear" w:color="000000" w:fill="CCCCCC"/>
            <w:vAlign w:val="center"/>
            <w:hideMark/>
          </w:tcPr>
          <w:p w14:paraId="779832F9" w14:textId="77777777" w:rsidR="00AD25A6" w:rsidRPr="00AD25A6" w:rsidRDefault="00AD25A6" w:rsidP="00AD25A6">
            <w:pPr>
              <w:rPr>
                <w:rFonts w:ascii="Arial" w:hAnsi="Arial" w:cs="Arial"/>
              </w:rPr>
            </w:pPr>
            <w:r w:rsidRPr="00AD25A6">
              <w:rPr>
                <w:rFonts w:ascii="Arial" w:hAnsi="Arial" w:cs="Arial"/>
              </w:rPr>
              <w:t> </w:t>
            </w:r>
          </w:p>
        </w:tc>
        <w:tc>
          <w:tcPr>
            <w:tcW w:w="1134" w:type="dxa"/>
            <w:tcBorders>
              <w:top w:val="nil"/>
              <w:left w:val="single" w:sz="8" w:space="0" w:color="auto"/>
              <w:bottom w:val="nil"/>
              <w:right w:val="nil"/>
            </w:tcBorders>
            <w:shd w:val="clear" w:color="000000" w:fill="FFFFFF"/>
            <w:vAlign w:val="center"/>
            <w:hideMark/>
          </w:tcPr>
          <w:p w14:paraId="24E86A2D" w14:textId="77777777" w:rsidR="00AD25A6" w:rsidRPr="00AD25A6" w:rsidRDefault="00AD25A6" w:rsidP="00AD25A6">
            <w:pPr>
              <w:rPr>
                <w:rFonts w:ascii="Arial" w:hAnsi="Arial" w:cs="Arial"/>
              </w:rPr>
            </w:pPr>
            <w:r w:rsidRPr="00AD25A6">
              <w:rPr>
                <w:rFonts w:ascii="Arial" w:hAnsi="Arial" w:cs="Arial"/>
              </w:rPr>
              <w:t> </w:t>
            </w:r>
          </w:p>
        </w:tc>
        <w:tc>
          <w:tcPr>
            <w:tcW w:w="1276" w:type="dxa"/>
            <w:tcBorders>
              <w:top w:val="nil"/>
              <w:left w:val="nil"/>
              <w:bottom w:val="nil"/>
              <w:right w:val="single" w:sz="8" w:space="0" w:color="auto"/>
            </w:tcBorders>
            <w:shd w:val="clear" w:color="000000" w:fill="CCCCCC"/>
            <w:vAlign w:val="center"/>
            <w:hideMark/>
          </w:tcPr>
          <w:p w14:paraId="033E1399" w14:textId="77777777" w:rsidR="00AD25A6" w:rsidRPr="00AD25A6" w:rsidRDefault="00AD25A6" w:rsidP="00AD25A6">
            <w:pPr>
              <w:rPr>
                <w:rFonts w:ascii="Arial" w:hAnsi="Arial" w:cs="Arial"/>
              </w:rPr>
            </w:pPr>
            <w:r w:rsidRPr="00AD25A6">
              <w:rPr>
                <w:rFonts w:ascii="Arial" w:hAnsi="Arial" w:cs="Arial"/>
              </w:rPr>
              <w:t> </w:t>
            </w:r>
          </w:p>
        </w:tc>
        <w:tc>
          <w:tcPr>
            <w:tcW w:w="1420" w:type="dxa"/>
            <w:tcBorders>
              <w:top w:val="nil"/>
              <w:left w:val="nil"/>
              <w:bottom w:val="nil"/>
              <w:right w:val="nil"/>
            </w:tcBorders>
            <w:shd w:val="clear" w:color="000000" w:fill="FFFFFF"/>
            <w:vAlign w:val="center"/>
            <w:hideMark/>
          </w:tcPr>
          <w:p w14:paraId="7F82807D" w14:textId="77777777" w:rsidR="00AD25A6" w:rsidRPr="00AD25A6" w:rsidRDefault="00AD25A6" w:rsidP="00AD25A6">
            <w:pPr>
              <w:rPr>
                <w:rFonts w:ascii="Arial" w:hAnsi="Arial" w:cs="Arial"/>
              </w:rPr>
            </w:pPr>
            <w:r w:rsidRPr="00AD25A6">
              <w:rPr>
                <w:rFonts w:ascii="Arial" w:hAnsi="Arial" w:cs="Arial"/>
              </w:rPr>
              <w:t> </w:t>
            </w:r>
          </w:p>
        </w:tc>
        <w:tc>
          <w:tcPr>
            <w:tcW w:w="1412" w:type="dxa"/>
            <w:tcBorders>
              <w:top w:val="nil"/>
              <w:left w:val="nil"/>
              <w:bottom w:val="nil"/>
              <w:right w:val="single" w:sz="8" w:space="0" w:color="auto"/>
            </w:tcBorders>
            <w:shd w:val="clear" w:color="000000" w:fill="CCCCCC"/>
            <w:vAlign w:val="center"/>
            <w:hideMark/>
          </w:tcPr>
          <w:p w14:paraId="4C88262F" w14:textId="77777777" w:rsidR="00AD25A6" w:rsidRPr="00AD25A6" w:rsidRDefault="00AD25A6" w:rsidP="00AD25A6">
            <w:pPr>
              <w:rPr>
                <w:rFonts w:ascii="Arial" w:hAnsi="Arial" w:cs="Arial"/>
              </w:rPr>
            </w:pPr>
            <w:r w:rsidRPr="00AD25A6">
              <w:rPr>
                <w:rFonts w:ascii="Arial" w:hAnsi="Arial" w:cs="Arial"/>
              </w:rPr>
              <w:t> </w:t>
            </w:r>
          </w:p>
        </w:tc>
        <w:tc>
          <w:tcPr>
            <w:tcW w:w="1073" w:type="dxa"/>
            <w:tcBorders>
              <w:top w:val="nil"/>
              <w:left w:val="nil"/>
              <w:bottom w:val="nil"/>
              <w:right w:val="nil"/>
            </w:tcBorders>
            <w:shd w:val="clear" w:color="auto" w:fill="FFFFFF" w:themeFill="background1"/>
            <w:vAlign w:val="center"/>
            <w:hideMark/>
          </w:tcPr>
          <w:p w14:paraId="1E2DC3B3" w14:textId="77777777" w:rsidR="00AD25A6" w:rsidRPr="00AD25A6" w:rsidRDefault="00AD25A6" w:rsidP="00AD25A6">
            <w:pPr>
              <w:rPr>
                <w:rFonts w:ascii="Arial" w:hAnsi="Arial" w:cs="Arial"/>
              </w:rPr>
            </w:pPr>
            <w:r w:rsidRPr="00AD25A6">
              <w:rPr>
                <w:rFonts w:ascii="Arial" w:hAnsi="Arial" w:cs="Arial"/>
              </w:rPr>
              <w:t> </w:t>
            </w:r>
          </w:p>
        </w:tc>
        <w:tc>
          <w:tcPr>
            <w:tcW w:w="1073" w:type="dxa"/>
            <w:tcBorders>
              <w:top w:val="nil"/>
              <w:left w:val="nil"/>
              <w:bottom w:val="nil"/>
              <w:right w:val="single" w:sz="8" w:space="0" w:color="auto"/>
            </w:tcBorders>
            <w:shd w:val="clear" w:color="000000" w:fill="CCCCCC"/>
            <w:vAlign w:val="center"/>
            <w:hideMark/>
          </w:tcPr>
          <w:p w14:paraId="5CB96FB6" w14:textId="77777777" w:rsidR="00AD25A6" w:rsidRPr="00AD25A6" w:rsidRDefault="00AD25A6" w:rsidP="00AD25A6">
            <w:pPr>
              <w:rPr>
                <w:rFonts w:ascii="Arial" w:hAnsi="Arial" w:cs="Arial"/>
              </w:rPr>
            </w:pPr>
            <w:r w:rsidRPr="00AD25A6">
              <w:rPr>
                <w:rFonts w:ascii="Arial" w:hAnsi="Arial" w:cs="Arial"/>
              </w:rPr>
              <w:t> </w:t>
            </w:r>
          </w:p>
        </w:tc>
      </w:tr>
      <w:tr w:rsidR="008F6790" w:rsidRPr="00AD25A6" w14:paraId="3479EF19" w14:textId="77777777" w:rsidTr="007F19F0">
        <w:trPr>
          <w:trHeight w:val="300"/>
        </w:trPr>
        <w:tc>
          <w:tcPr>
            <w:tcW w:w="3392" w:type="dxa"/>
            <w:tcBorders>
              <w:top w:val="nil"/>
              <w:left w:val="single" w:sz="8" w:space="0" w:color="auto"/>
              <w:bottom w:val="nil"/>
              <w:right w:val="nil"/>
            </w:tcBorders>
            <w:shd w:val="clear" w:color="000000" w:fill="CCCCCC"/>
            <w:vAlign w:val="center"/>
            <w:hideMark/>
          </w:tcPr>
          <w:p w14:paraId="727CB796" w14:textId="77777777" w:rsidR="008F6790" w:rsidRPr="00AD25A6" w:rsidRDefault="008F6790" w:rsidP="008F6790">
            <w:pPr>
              <w:jc w:val="right"/>
              <w:rPr>
                <w:rFonts w:ascii="Arial" w:hAnsi="Arial" w:cs="Arial"/>
                <w:b/>
                <w:bCs/>
                <w:color w:val="000000"/>
              </w:rPr>
            </w:pPr>
            <w:r w:rsidRPr="00AD25A6">
              <w:rPr>
                <w:rFonts w:ascii="Arial" w:hAnsi="Arial" w:cs="Arial"/>
                <w:b/>
                <w:bCs/>
                <w:color w:val="000000"/>
              </w:rPr>
              <w:t>01-Apr</w:t>
            </w:r>
          </w:p>
        </w:tc>
        <w:tc>
          <w:tcPr>
            <w:tcW w:w="1134" w:type="dxa"/>
            <w:tcBorders>
              <w:top w:val="nil"/>
              <w:left w:val="single" w:sz="8" w:space="0" w:color="auto"/>
              <w:bottom w:val="nil"/>
              <w:right w:val="nil"/>
            </w:tcBorders>
            <w:shd w:val="clear" w:color="000000" w:fill="FFFFFF"/>
            <w:vAlign w:val="center"/>
            <w:hideMark/>
          </w:tcPr>
          <w:p w14:paraId="359BF865" w14:textId="60BF5E25"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444,604</w:t>
            </w:r>
            <w:r w:rsidRPr="00AD25A6">
              <w:rPr>
                <w:rFonts w:ascii="Arial" w:hAnsi="Arial" w:cs="Arial"/>
                <w:b/>
                <w:bCs/>
              </w:rPr>
              <w:t>)</w:t>
            </w:r>
          </w:p>
        </w:tc>
        <w:tc>
          <w:tcPr>
            <w:tcW w:w="1276" w:type="dxa"/>
            <w:tcBorders>
              <w:top w:val="nil"/>
              <w:left w:val="nil"/>
              <w:bottom w:val="nil"/>
              <w:right w:val="single" w:sz="8" w:space="0" w:color="auto"/>
            </w:tcBorders>
            <w:shd w:val="clear" w:color="000000" w:fill="CCCCCC"/>
            <w:vAlign w:val="center"/>
            <w:hideMark/>
          </w:tcPr>
          <w:p w14:paraId="3B94FAC1" w14:textId="0D14E162" w:rsidR="008F6790" w:rsidRPr="00AD25A6" w:rsidRDefault="008F6790" w:rsidP="008F6790">
            <w:pPr>
              <w:jc w:val="right"/>
              <w:rPr>
                <w:rFonts w:ascii="Arial" w:hAnsi="Arial" w:cs="Arial"/>
                <w:b/>
                <w:bCs/>
              </w:rPr>
            </w:pPr>
            <w:r>
              <w:rPr>
                <w:rFonts w:ascii="Arial" w:hAnsi="Arial" w:cs="Arial"/>
                <w:b/>
                <w:bCs/>
              </w:rPr>
              <w:t>(444,482)</w:t>
            </w:r>
          </w:p>
        </w:tc>
        <w:tc>
          <w:tcPr>
            <w:tcW w:w="1420" w:type="dxa"/>
            <w:tcBorders>
              <w:top w:val="nil"/>
              <w:left w:val="nil"/>
              <w:bottom w:val="nil"/>
              <w:right w:val="nil"/>
            </w:tcBorders>
            <w:shd w:val="clear" w:color="000000" w:fill="FFFFFF"/>
            <w:vAlign w:val="center"/>
            <w:hideMark/>
          </w:tcPr>
          <w:p w14:paraId="5D64A391" w14:textId="4F0050F0"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6</w:t>
            </w:r>
            <w:r w:rsidRPr="00AD25A6">
              <w:rPr>
                <w:rFonts w:ascii="Arial" w:hAnsi="Arial" w:cs="Arial"/>
                <w:b/>
                <w:bCs/>
              </w:rPr>
              <w:t>,</w:t>
            </w:r>
            <w:r>
              <w:rPr>
                <w:rFonts w:ascii="Arial" w:hAnsi="Arial" w:cs="Arial"/>
                <w:b/>
                <w:bCs/>
              </w:rPr>
              <w:t>824</w:t>
            </w:r>
            <w:r w:rsidRPr="00AD25A6">
              <w:rPr>
                <w:rFonts w:ascii="Arial" w:hAnsi="Arial" w:cs="Arial"/>
                <w:b/>
                <w:bCs/>
              </w:rPr>
              <w:t>)</w:t>
            </w:r>
          </w:p>
        </w:tc>
        <w:tc>
          <w:tcPr>
            <w:tcW w:w="1412" w:type="dxa"/>
            <w:tcBorders>
              <w:top w:val="nil"/>
              <w:left w:val="nil"/>
              <w:bottom w:val="nil"/>
              <w:right w:val="single" w:sz="8" w:space="0" w:color="auto"/>
            </w:tcBorders>
            <w:shd w:val="clear" w:color="000000" w:fill="CCCCCC"/>
            <w:vAlign w:val="center"/>
            <w:hideMark/>
          </w:tcPr>
          <w:p w14:paraId="78E3C944" w14:textId="0C236E94" w:rsidR="008F6790" w:rsidRPr="00AD25A6" w:rsidRDefault="008F6790" w:rsidP="008F6790">
            <w:pPr>
              <w:jc w:val="right"/>
              <w:rPr>
                <w:rFonts w:ascii="Arial" w:hAnsi="Arial" w:cs="Arial"/>
                <w:b/>
                <w:bCs/>
              </w:rPr>
            </w:pPr>
            <w:r>
              <w:rPr>
                <w:rFonts w:ascii="Arial" w:hAnsi="Arial" w:cs="Arial"/>
                <w:b/>
                <w:bCs/>
              </w:rPr>
              <w:t>(7,040)</w:t>
            </w:r>
          </w:p>
        </w:tc>
        <w:tc>
          <w:tcPr>
            <w:tcW w:w="1073" w:type="dxa"/>
            <w:tcBorders>
              <w:top w:val="nil"/>
              <w:left w:val="nil"/>
              <w:bottom w:val="nil"/>
              <w:right w:val="single" w:sz="8" w:space="0" w:color="auto"/>
            </w:tcBorders>
            <w:shd w:val="clear" w:color="auto" w:fill="FFFFFF" w:themeFill="background1"/>
            <w:vAlign w:val="center"/>
            <w:hideMark/>
          </w:tcPr>
          <w:p w14:paraId="55AD1C81" w14:textId="05139620" w:rsidR="008F6790" w:rsidRPr="007F19F0" w:rsidRDefault="008F6790" w:rsidP="008F6790">
            <w:pPr>
              <w:jc w:val="right"/>
              <w:rPr>
                <w:rFonts w:ascii="Arial" w:hAnsi="Arial" w:cs="Arial"/>
                <w:b/>
                <w:bCs/>
              </w:rPr>
            </w:pPr>
            <w:r w:rsidRPr="007F19F0">
              <w:rPr>
                <w:rFonts w:ascii="Arial" w:hAnsi="Arial" w:cs="Arial"/>
                <w:b/>
                <w:bCs/>
              </w:rPr>
              <w:t>(437,780)</w:t>
            </w:r>
          </w:p>
        </w:tc>
        <w:tc>
          <w:tcPr>
            <w:tcW w:w="1073" w:type="dxa"/>
            <w:tcBorders>
              <w:top w:val="nil"/>
              <w:left w:val="nil"/>
              <w:bottom w:val="nil"/>
              <w:right w:val="single" w:sz="8" w:space="0" w:color="auto"/>
            </w:tcBorders>
            <w:shd w:val="clear" w:color="000000" w:fill="CCCCCC"/>
            <w:vAlign w:val="center"/>
            <w:hideMark/>
          </w:tcPr>
          <w:p w14:paraId="6D2B62CB" w14:textId="546D4D70" w:rsidR="008F6790" w:rsidRPr="00AD25A6" w:rsidRDefault="008F6790" w:rsidP="008F6790">
            <w:pPr>
              <w:jc w:val="right"/>
              <w:rPr>
                <w:rFonts w:ascii="Arial" w:hAnsi="Arial" w:cs="Arial"/>
                <w:b/>
                <w:bCs/>
              </w:rPr>
            </w:pPr>
            <w:r>
              <w:rPr>
                <w:rFonts w:ascii="Arial" w:hAnsi="Arial" w:cs="Arial"/>
                <w:b/>
                <w:bCs/>
              </w:rPr>
              <w:t>(437,442)</w:t>
            </w:r>
          </w:p>
        </w:tc>
      </w:tr>
      <w:tr w:rsidR="008F6790" w:rsidRPr="00AD25A6" w14:paraId="7BA74353" w14:textId="77777777" w:rsidTr="007F19F0">
        <w:trPr>
          <w:trHeight w:val="300"/>
        </w:trPr>
        <w:tc>
          <w:tcPr>
            <w:tcW w:w="3392" w:type="dxa"/>
            <w:tcBorders>
              <w:top w:val="nil"/>
              <w:left w:val="single" w:sz="8" w:space="0" w:color="auto"/>
              <w:bottom w:val="nil"/>
              <w:right w:val="nil"/>
            </w:tcBorders>
            <w:shd w:val="clear" w:color="000000" w:fill="CCCCCC"/>
            <w:vAlign w:val="center"/>
            <w:hideMark/>
          </w:tcPr>
          <w:p w14:paraId="44D6548B" w14:textId="77777777" w:rsidR="008F6790" w:rsidRPr="00AD25A6" w:rsidRDefault="008F6790" w:rsidP="008F6790">
            <w:pPr>
              <w:rPr>
                <w:rFonts w:ascii="Arial" w:hAnsi="Arial" w:cs="Arial"/>
                <w:color w:val="000000"/>
              </w:rPr>
            </w:pPr>
            <w:r w:rsidRPr="00AD25A6">
              <w:rPr>
                <w:rFonts w:ascii="Arial" w:hAnsi="Arial" w:cs="Arial"/>
                <w:color w:val="000000"/>
              </w:rPr>
              <w:t>Current Service Costs</w:t>
            </w:r>
          </w:p>
        </w:tc>
        <w:tc>
          <w:tcPr>
            <w:tcW w:w="1134" w:type="dxa"/>
            <w:tcBorders>
              <w:top w:val="nil"/>
              <w:left w:val="single" w:sz="8" w:space="0" w:color="auto"/>
              <w:bottom w:val="nil"/>
              <w:right w:val="nil"/>
            </w:tcBorders>
            <w:shd w:val="clear" w:color="000000" w:fill="FFFFFF"/>
            <w:vAlign w:val="center"/>
            <w:hideMark/>
          </w:tcPr>
          <w:p w14:paraId="6D7636C1" w14:textId="395B4CFD"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11,942</w:t>
            </w:r>
            <w:r w:rsidRPr="00AD25A6">
              <w:rPr>
                <w:rFonts w:ascii="Arial" w:hAnsi="Arial" w:cs="Arial"/>
                <w:b/>
                <w:bCs/>
              </w:rPr>
              <w:t>)</w:t>
            </w:r>
          </w:p>
        </w:tc>
        <w:tc>
          <w:tcPr>
            <w:tcW w:w="1276" w:type="dxa"/>
            <w:tcBorders>
              <w:top w:val="nil"/>
              <w:left w:val="nil"/>
              <w:bottom w:val="nil"/>
              <w:right w:val="single" w:sz="8" w:space="0" w:color="auto"/>
            </w:tcBorders>
            <w:shd w:val="clear" w:color="000000" w:fill="CCCCCC"/>
            <w:vAlign w:val="center"/>
            <w:hideMark/>
          </w:tcPr>
          <w:p w14:paraId="6B1F7748" w14:textId="1164C5E4" w:rsidR="008F6790" w:rsidRPr="00AD25A6" w:rsidRDefault="008F6790" w:rsidP="008F6790">
            <w:pPr>
              <w:jc w:val="right"/>
              <w:rPr>
                <w:rFonts w:ascii="Arial" w:hAnsi="Arial" w:cs="Arial"/>
              </w:rPr>
            </w:pPr>
            <w:r>
              <w:rPr>
                <w:rFonts w:ascii="Arial" w:hAnsi="Arial" w:cs="Arial"/>
              </w:rPr>
              <w:t>(11,718)</w:t>
            </w:r>
          </w:p>
        </w:tc>
        <w:tc>
          <w:tcPr>
            <w:tcW w:w="1420" w:type="dxa"/>
            <w:tcBorders>
              <w:top w:val="nil"/>
              <w:left w:val="nil"/>
              <w:bottom w:val="nil"/>
              <w:right w:val="nil"/>
            </w:tcBorders>
            <w:shd w:val="clear" w:color="000000" w:fill="FFFFFF"/>
            <w:vAlign w:val="center"/>
            <w:hideMark/>
          </w:tcPr>
          <w:p w14:paraId="312FF806" w14:textId="4820B2B5"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130</w:t>
            </w:r>
            <w:r w:rsidRPr="00AD25A6">
              <w:rPr>
                <w:rFonts w:ascii="Arial" w:hAnsi="Arial" w:cs="Arial"/>
                <w:b/>
                <w:bCs/>
              </w:rPr>
              <w:t>)</w:t>
            </w:r>
          </w:p>
        </w:tc>
        <w:tc>
          <w:tcPr>
            <w:tcW w:w="1412" w:type="dxa"/>
            <w:tcBorders>
              <w:top w:val="nil"/>
              <w:left w:val="nil"/>
              <w:bottom w:val="nil"/>
              <w:right w:val="single" w:sz="8" w:space="0" w:color="auto"/>
            </w:tcBorders>
            <w:shd w:val="clear" w:color="000000" w:fill="CCCCCC"/>
            <w:vAlign w:val="center"/>
            <w:hideMark/>
          </w:tcPr>
          <w:p w14:paraId="184AC331" w14:textId="69990FE1" w:rsidR="008F6790" w:rsidRPr="00AD25A6" w:rsidRDefault="008F6790" w:rsidP="008F6790">
            <w:pPr>
              <w:jc w:val="right"/>
              <w:rPr>
                <w:rFonts w:ascii="Arial" w:hAnsi="Arial" w:cs="Arial"/>
              </w:rPr>
            </w:pPr>
            <w:r>
              <w:rPr>
                <w:rFonts w:ascii="Arial" w:hAnsi="Arial" w:cs="Arial"/>
              </w:rPr>
              <w:t>(129)</w:t>
            </w:r>
          </w:p>
        </w:tc>
        <w:tc>
          <w:tcPr>
            <w:tcW w:w="1073" w:type="dxa"/>
            <w:tcBorders>
              <w:top w:val="nil"/>
              <w:left w:val="nil"/>
              <w:bottom w:val="nil"/>
              <w:right w:val="single" w:sz="8" w:space="0" w:color="auto"/>
            </w:tcBorders>
            <w:shd w:val="clear" w:color="auto" w:fill="FFFFFF" w:themeFill="background1"/>
            <w:vAlign w:val="center"/>
            <w:hideMark/>
          </w:tcPr>
          <w:p w14:paraId="072EED72" w14:textId="634F681B" w:rsidR="008F6790" w:rsidRPr="007F19F0" w:rsidRDefault="008F6790" w:rsidP="008F6790">
            <w:pPr>
              <w:jc w:val="right"/>
              <w:rPr>
                <w:rFonts w:ascii="Arial" w:hAnsi="Arial" w:cs="Arial"/>
                <w:b/>
                <w:bCs/>
              </w:rPr>
            </w:pPr>
            <w:r w:rsidRPr="007F19F0">
              <w:rPr>
                <w:rFonts w:ascii="Arial" w:hAnsi="Arial" w:cs="Arial"/>
              </w:rPr>
              <w:t>(11,812)</w:t>
            </w:r>
          </w:p>
        </w:tc>
        <w:tc>
          <w:tcPr>
            <w:tcW w:w="1073" w:type="dxa"/>
            <w:tcBorders>
              <w:top w:val="nil"/>
              <w:left w:val="nil"/>
              <w:bottom w:val="nil"/>
              <w:right w:val="single" w:sz="8" w:space="0" w:color="auto"/>
            </w:tcBorders>
            <w:shd w:val="clear" w:color="000000" w:fill="CCCCCC"/>
            <w:vAlign w:val="center"/>
            <w:hideMark/>
          </w:tcPr>
          <w:p w14:paraId="2E57DC32" w14:textId="4C97F950" w:rsidR="008F6790" w:rsidRPr="00AD25A6" w:rsidRDefault="008F6790" w:rsidP="008F6790">
            <w:pPr>
              <w:jc w:val="right"/>
              <w:rPr>
                <w:rFonts w:ascii="Arial" w:hAnsi="Arial" w:cs="Arial"/>
              </w:rPr>
            </w:pPr>
            <w:r>
              <w:rPr>
                <w:rFonts w:ascii="Arial" w:hAnsi="Arial" w:cs="Arial"/>
              </w:rPr>
              <w:t>(11,589)</w:t>
            </w:r>
          </w:p>
        </w:tc>
      </w:tr>
      <w:tr w:rsidR="008F6790" w:rsidRPr="00AD25A6" w14:paraId="36C70D07" w14:textId="77777777" w:rsidTr="007F19F0">
        <w:trPr>
          <w:trHeight w:val="300"/>
        </w:trPr>
        <w:tc>
          <w:tcPr>
            <w:tcW w:w="3392" w:type="dxa"/>
            <w:tcBorders>
              <w:top w:val="nil"/>
              <w:left w:val="single" w:sz="8" w:space="0" w:color="auto"/>
              <w:bottom w:val="nil"/>
              <w:right w:val="nil"/>
            </w:tcBorders>
            <w:shd w:val="clear" w:color="000000" w:fill="CCCCCC"/>
            <w:vAlign w:val="center"/>
            <w:hideMark/>
          </w:tcPr>
          <w:p w14:paraId="5ACECD33" w14:textId="77777777" w:rsidR="008F6790" w:rsidRPr="00AD25A6" w:rsidRDefault="008F6790" w:rsidP="008F6790">
            <w:pPr>
              <w:rPr>
                <w:rFonts w:ascii="Arial" w:hAnsi="Arial" w:cs="Arial"/>
                <w:color w:val="000000"/>
              </w:rPr>
            </w:pPr>
            <w:r w:rsidRPr="00AD25A6">
              <w:rPr>
                <w:rFonts w:ascii="Arial" w:hAnsi="Arial" w:cs="Arial"/>
                <w:color w:val="000000"/>
              </w:rPr>
              <w:t>Interest on pensions liabilities</w:t>
            </w:r>
          </w:p>
        </w:tc>
        <w:tc>
          <w:tcPr>
            <w:tcW w:w="1134" w:type="dxa"/>
            <w:tcBorders>
              <w:top w:val="nil"/>
              <w:left w:val="single" w:sz="8" w:space="0" w:color="auto"/>
              <w:bottom w:val="nil"/>
              <w:right w:val="nil"/>
            </w:tcBorders>
            <w:shd w:val="clear" w:color="000000" w:fill="FFFFFF"/>
            <w:vAlign w:val="center"/>
            <w:hideMark/>
          </w:tcPr>
          <w:p w14:paraId="4AA2F5B8" w14:textId="4F8ED165"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21</w:t>
            </w:r>
            <w:r w:rsidRPr="00AD25A6">
              <w:rPr>
                <w:rFonts w:ascii="Arial" w:hAnsi="Arial" w:cs="Arial"/>
                <w:b/>
                <w:bCs/>
              </w:rPr>
              <w:t>,</w:t>
            </w:r>
            <w:r>
              <w:rPr>
                <w:rFonts w:ascii="Arial" w:hAnsi="Arial" w:cs="Arial"/>
                <w:b/>
                <w:bCs/>
              </w:rPr>
              <w:t>015</w:t>
            </w:r>
            <w:r w:rsidRPr="00AD25A6">
              <w:rPr>
                <w:rFonts w:ascii="Arial" w:hAnsi="Arial" w:cs="Arial"/>
                <w:b/>
                <w:bCs/>
              </w:rPr>
              <w:t>)</w:t>
            </w:r>
          </w:p>
        </w:tc>
        <w:tc>
          <w:tcPr>
            <w:tcW w:w="1276" w:type="dxa"/>
            <w:tcBorders>
              <w:top w:val="nil"/>
              <w:left w:val="nil"/>
              <w:bottom w:val="nil"/>
              <w:right w:val="single" w:sz="8" w:space="0" w:color="auto"/>
            </w:tcBorders>
            <w:shd w:val="clear" w:color="000000" w:fill="CCCCCC"/>
            <w:vAlign w:val="center"/>
            <w:hideMark/>
          </w:tcPr>
          <w:p w14:paraId="68B965AA" w14:textId="7AE1BB24" w:rsidR="008F6790" w:rsidRPr="00AD25A6" w:rsidRDefault="008F6790" w:rsidP="008F6790">
            <w:pPr>
              <w:jc w:val="right"/>
              <w:rPr>
                <w:rFonts w:ascii="Arial" w:hAnsi="Arial" w:cs="Arial"/>
              </w:rPr>
            </w:pPr>
            <w:r>
              <w:rPr>
                <w:rFonts w:ascii="Arial" w:hAnsi="Arial" w:cs="Arial"/>
              </w:rPr>
              <w:t>(21,506)</w:t>
            </w:r>
          </w:p>
        </w:tc>
        <w:tc>
          <w:tcPr>
            <w:tcW w:w="1420" w:type="dxa"/>
            <w:tcBorders>
              <w:top w:val="nil"/>
              <w:left w:val="nil"/>
              <w:bottom w:val="nil"/>
              <w:right w:val="nil"/>
            </w:tcBorders>
            <w:shd w:val="clear" w:color="000000" w:fill="FFFFFF"/>
            <w:vAlign w:val="center"/>
            <w:hideMark/>
          </w:tcPr>
          <w:p w14:paraId="2B7E1216" w14:textId="1D586FE7"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326</w:t>
            </w:r>
            <w:r w:rsidRPr="00AD25A6">
              <w:rPr>
                <w:rFonts w:ascii="Arial" w:hAnsi="Arial" w:cs="Arial"/>
                <w:b/>
                <w:bCs/>
              </w:rPr>
              <w:t>)</w:t>
            </w:r>
          </w:p>
        </w:tc>
        <w:tc>
          <w:tcPr>
            <w:tcW w:w="1412" w:type="dxa"/>
            <w:tcBorders>
              <w:top w:val="nil"/>
              <w:left w:val="nil"/>
              <w:bottom w:val="nil"/>
              <w:right w:val="single" w:sz="8" w:space="0" w:color="auto"/>
            </w:tcBorders>
            <w:shd w:val="clear" w:color="000000" w:fill="CCCCCC"/>
            <w:vAlign w:val="center"/>
            <w:hideMark/>
          </w:tcPr>
          <w:p w14:paraId="1E889BFA" w14:textId="00BC1D75" w:rsidR="008F6790" w:rsidRPr="00AD25A6" w:rsidRDefault="008F6790" w:rsidP="008F6790">
            <w:pPr>
              <w:jc w:val="right"/>
              <w:rPr>
                <w:rFonts w:ascii="Arial" w:hAnsi="Arial" w:cs="Arial"/>
              </w:rPr>
            </w:pPr>
            <w:r>
              <w:rPr>
                <w:rFonts w:ascii="Arial" w:hAnsi="Arial" w:cs="Arial"/>
              </w:rPr>
              <w:t>(334)</w:t>
            </w:r>
          </w:p>
        </w:tc>
        <w:tc>
          <w:tcPr>
            <w:tcW w:w="1073" w:type="dxa"/>
            <w:tcBorders>
              <w:top w:val="nil"/>
              <w:left w:val="nil"/>
              <w:bottom w:val="nil"/>
              <w:right w:val="single" w:sz="8" w:space="0" w:color="auto"/>
            </w:tcBorders>
            <w:shd w:val="clear" w:color="auto" w:fill="FFFFFF" w:themeFill="background1"/>
            <w:vAlign w:val="center"/>
            <w:hideMark/>
          </w:tcPr>
          <w:p w14:paraId="79D49252" w14:textId="25CBCF6F" w:rsidR="008F6790" w:rsidRPr="007F19F0" w:rsidRDefault="008F6790" w:rsidP="008F6790">
            <w:pPr>
              <w:jc w:val="right"/>
              <w:rPr>
                <w:rFonts w:ascii="Arial" w:hAnsi="Arial" w:cs="Arial"/>
                <w:b/>
                <w:bCs/>
              </w:rPr>
            </w:pPr>
            <w:r w:rsidRPr="007F19F0">
              <w:rPr>
                <w:rFonts w:ascii="Arial" w:hAnsi="Arial" w:cs="Arial"/>
              </w:rPr>
              <w:t>(20,689)</w:t>
            </w:r>
          </w:p>
        </w:tc>
        <w:tc>
          <w:tcPr>
            <w:tcW w:w="1073" w:type="dxa"/>
            <w:tcBorders>
              <w:top w:val="nil"/>
              <w:left w:val="nil"/>
              <w:bottom w:val="nil"/>
              <w:right w:val="single" w:sz="8" w:space="0" w:color="auto"/>
            </w:tcBorders>
            <w:shd w:val="clear" w:color="000000" w:fill="CCCCCC"/>
            <w:vAlign w:val="center"/>
            <w:hideMark/>
          </w:tcPr>
          <w:p w14:paraId="6AFE3F16" w14:textId="4282218F" w:rsidR="008F6790" w:rsidRPr="00AD25A6" w:rsidRDefault="008F6790" w:rsidP="008F6790">
            <w:pPr>
              <w:jc w:val="right"/>
              <w:rPr>
                <w:rFonts w:ascii="Arial" w:hAnsi="Arial" w:cs="Arial"/>
              </w:rPr>
            </w:pPr>
            <w:r>
              <w:rPr>
                <w:rFonts w:ascii="Arial" w:hAnsi="Arial" w:cs="Arial"/>
              </w:rPr>
              <w:t>(21,172)</w:t>
            </w:r>
          </w:p>
        </w:tc>
      </w:tr>
      <w:tr w:rsidR="008F6790" w:rsidRPr="00AD25A6" w14:paraId="4D19FBFB" w14:textId="77777777" w:rsidTr="007F19F0">
        <w:trPr>
          <w:trHeight w:val="300"/>
        </w:trPr>
        <w:tc>
          <w:tcPr>
            <w:tcW w:w="3392" w:type="dxa"/>
            <w:tcBorders>
              <w:top w:val="nil"/>
              <w:left w:val="single" w:sz="8" w:space="0" w:color="auto"/>
              <w:bottom w:val="nil"/>
              <w:right w:val="nil"/>
            </w:tcBorders>
            <w:shd w:val="clear" w:color="000000" w:fill="CCCCCC"/>
            <w:vAlign w:val="center"/>
            <w:hideMark/>
          </w:tcPr>
          <w:p w14:paraId="0D4B9DE3" w14:textId="77777777" w:rsidR="008F6790" w:rsidRPr="00AD25A6" w:rsidRDefault="008F6790" w:rsidP="008F6790">
            <w:pPr>
              <w:rPr>
                <w:rFonts w:ascii="Arial" w:hAnsi="Arial" w:cs="Arial"/>
                <w:color w:val="000000"/>
              </w:rPr>
            </w:pPr>
            <w:r w:rsidRPr="00AD25A6">
              <w:rPr>
                <w:rFonts w:ascii="Arial" w:hAnsi="Arial" w:cs="Arial"/>
                <w:color w:val="000000"/>
              </w:rPr>
              <w:t>Contributions by scheme participants</w:t>
            </w:r>
          </w:p>
        </w:tc>
        <w:tc>
          <w:tcPr>
            <w:tcW w:w="1134" w:type="dxa"/>
            <w:tcBorders>
              <w:top w:val="nil"/>
              <w:left w:val="single" w:sz="8" w:space="0" w:color="auto"/>
              <w:bottom w:val="nil"/>
              <w:right w:val="nil"/>
            </w:tcBorders>
            <w:shd w:val="clear" w:color="000000" w:fill="FFFFFF"/>
            <w:vAlign w:val="center"/>
            <w:hideMark/>
          </w:tcPr>
          <w:p w14:paraId="28F4C6DD" w14:textId="2C8EB1A1" w:rsidR="008F6790" w:rsidRPr="00AD25A6" w:rsidRDefault="008F6790" w:rsidP="008F6790">
            <w:pPr>
              <w:jc w:val="right"/>
              <w:rPr>
                <w:rFonts w:ascii="Arial" w:hAnsi="Arial" w:cs="Arial"/>
                <w:b/>
                <w:bCs/>
              </w:rPr>
            </w:pPr>
            <w:r w:rsidRPr="00AD25A6">
              <w:rPr>
                <w:rFonts w:ascii="Arial" w:hAnsi="Arial" w:cs="Arial"/>
                <w:b/>
                <w:bCs/>
              </w:rPr>
              <w:t>(4,</w:t>
            </w:r>
            <w:r>
              <w:rPr>
                <w:rFonts w:ascii="Arial" w:hAnsi="Arial" w:cs="Arial"/>
                <w:b/>
                <w:bCs/>
              </w:rPr>
              <w:t>663</w:t>
            </w:r>
            <w:r w:rsidRPr="00AD25A6">
              <w:rPr>
                <w:rFonts w:ascii="Arial" w:hAnsi="Arial" w:cs="Arial"/>
                <w:b/>
                <w:bCs/>
              </w:rPr>
              <w:t>)</w:t>
            </w:r>
          </w:p>
        </w:tc>
        <w:tc>
          <w:tcPr>
            <w:tcW w:w="1276" w:type="dxa"/>
            <w:tcBorders>
              <w:top w:val="nil"/>
              <w:left w:val="nil"/>
              <w:bottom w:val="nil"/>
              <w:right w:val="single" w:sz="8" w:space="0" w:color="auto"/>
            </w:tcBorders>
            <w:shd w:val="clear" w:color="000000" w:fill="CCCCCC"/>
            <w:vAlign w:val="center"/>
            <w:hideMark/>
          </w:tcPr>
          <w:p w14:paraId="517DC501" w14:textId="503500C0" w:rsidR="008F6790" w:rsidRPr="00AD25A6" w:rsidRDefault="008F6790" w:rsidP="008F6790">
            <w:pPr>
              <w:jc w:val="right"/>
              <w:rPr>
                <w:rFonts w:ascii="Arial" w:hAnsi="Arial" w:cs="Arial"/>
              </w:rPr>
            </w:pPr>
            <w:r>
              <w:rPr>
                <w:rFonts w:ascii="Arial" w:hAnsi="Arial" w:cs="Arial"/>
              </w:rPr>
              <w:t>(4,932)</w:t>
            </w:r>
          </w:p>
        </w:tc>
        <w:tc>
          <w:tcPr>
            <w:tcW w:w="1420" w:type="dxa"/>
            <w:tcBorders>
              <w:top w:val="nil"/>
              <w:left w:val="nil"/>
              <w:bottom w:val="nil"/>
              <w:right w:val="nil"/>
            </w:tcBorders>
            <w:shd w:val="clear" w:color="000000" w:fill="FFFFFF"/>
            <w:vAlign w:val="center"/>
            <w:hideMark/>
          </w:tcPr>
          <w:p w14:paraId="60FBA475" w14:textId="6B7806F4"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62</w:t>
            </w:r>
            <w:r w:rsidRPr="00AD25A6">
              <w:rPr>
                <w:rFonts w:ascii="Arial" w:hAnsi="Arial" w:cs="Arial"/>
                <w:b/>
                <w:bCs/>
              </w:rPr>
              <w:t>)</w:t>
            </w:r>
          </w:p>
        </w:tc>
        <w:tc>
          <w:tcPr>
            <w:tcW w:w="1412" w:type="dxa"/>
            <w:tcBorders>
              <w:top w:val="nil"/>
              <w:left w:val="nil"/>
              <w:bottom w:val="nil"/>
              <w:right w:val="single" w:sz="8" w:space="0" w:color="auto"/>
            </w:tcBorders>
            <w:shd w:val="clear" w:color="000000" w:fill="CCCCCC"/>
            <w:vAlign w:val="center"/>
            <w:hideMark/>
          </w:tcPr>
          <w:p w14:paraId="30E10854" w14:textId="087934F7" w:rsidR="008F6790" w:rsidRPr="00AD25A6" w:rsidRDefault="008F6790" w:rsidP="008F6790">
            <w:pPr>
              <w:jc w:val="right"/>
              <w:rPr>
                <w:rFonts w:ascii="Arial" w:hAnsi="Arial" w:cs="Arial"/>
              </w:rPr>
            </w:pPr>
            <w:r>
              <w:rPr>
                <w:rFonts w:ascii="Arial" w:hAnsi="Arial" w:cs="Arial"/>
              </w:rPr>
              <w:t>(67)</w:t>
            </w:r>
          </w:p>
        </w:tc>
        <w:tc>
          <w:tcPr>
            <w:tcW w:w="1073" w:type="dxa"/>
            <w:tcBorders>
              <w:top w:val="nil"/>
              <w:left w:val="nil"/>
              <w:bottom w:val="nil"/>
              <w:right w:val="single" w:sz="8" w:space="0" w:color="auto"/>
            </w:tcBorders>
            <w:shd w:val="clear" w:color="auto" w:fill="FFFFFF" w:themeFill="background1"/>
            <w:vAlign w:val="center"/>
            <w:hideMark/>
          </w:tcPr>
          <w:p w14:paraId="4409409A" w14:textId="65EAEAE6" w:rsidR="008F6790" w:rsidRPr="007F19F0" w:rsidRDefault="008F6790" w:rsidP="008F6790">
            <w:pPr>
              <w:jc w:val="right"/>
              <w:rPr>
                <w:rFonts w:ascii="Arial" w:hAnsi="Arial" w:cs="Arial"/>
                <w:b/>
                <w:bCs/>
              </w:rPr>
            </w:pPr>
            <w:r w:rsidRPr="007F19F0">
              <w:rPr>
                <w:rFonts w:ascii="Arial" w:hAnsi="Arial" w:cs="Arial"/>
              </w:rPr>
              <w:t>(4,601)</w:t>
            </w:r>
          </w:p>
        </w:tc>
        <w:tc>
          <w:tcPr>
            <w:tcW w:w="1073" w:type="dxa"/>
            <w:tcBorders>
              <w:top w:val="nil"/>
              <w:left w:val="nil"/>
              <w:bottom w:val="nil"/>
              <w:right w:val="single" w:sz="8" w:space="0" w:color="auto"/>
            </w:tcBorders>
            <w:shd w:val="clear" w:color="000000" w:fill="CCCCCC"/>
            <w:vAlign w:val="center"/>
            <w:hideMark/>
          </w:tcPr>
          <w:p w14:paraId="320035BA" w14:textId="773BC4D8" w:rsidR="008F6790" w:rsidRPr="00AD25A6" w:rsidRDefault="008F6790" w:rsidP="008F6790">
            <w:pPr>
              <w:jc w:val="right"/>
              <w:rPr>
                <w:rFonts w:ascii="Arial" w:hAnsi="Arial" w:cs="Arial"/>
              </w:rPr>
            </w:pPr>
            <w:r>
              <w:rPr>
                <w:rFonts w:ascii="Arial" w:hAnsi="Arial" w:cs="Arial"/>
              </w:rPr>
              <w:t>(4,865)</w:t>
            </w:r>
          </w:p>
        </w:tc>
      </w:tr>
      <w:tr w:rsidR="008F6790" w:rsidRPr="00AD25A6" w14:paraId="0FC6C30D" w14:textId="77777777" w:rsidTr="007F19F0">
        <w:trPr>
          <w:trHeight w:val="601"/>
        </w:trPr>
        <w:tc>
          <w:tcPr>
            <w:tcW w:w="3392" w:type="dxa"/>
            <w:tcBorders>
              <w:top w:val="nil"/>
              <w:left w:val="single" w:sz="8" w:space="0" w:color="auto"/>
              <w:bottom w:val="nil"/>
              <w:right w:val="nil"/>
            </w:tcBorders>
            <w:shd w:val="clear" w:color="000000" w:fill="CCCCCC"/>
            <w:vAlign w:val="center"/>
            <w:hideMark/>
          </w:tcPr>
          <w:p w14:paraId="78E4BD19" w14:textId="77777777" w:rsidR="008F6790" w:rsidRPr="00AD25A6" w:rsidRDefault="008F6790" w:rsidP="008F6790">
            <w:pPr>
              <w:rPr>
                <w:rFonts w:ascii="Arial" w:hAnsi="Arial" w:cs="Arial"/>
                <w:color w:val="000000"/>
              </w:rPr>
            </w:pPr>
            <w:r w:rsidRPr="00AD25A6">
              <w:rPr>
                <w:rFonts w:ascii="Arial" w:hAnsi="Arial" w:cs="Arial"/>
                <w:color w:val="000000"/>
              </w:rPr>
              <w:t>Actuarial losses –changes in demographic assumptions</w:t>
            </w:r>
          </w:p>
        </w:tc>
        <w:tc>
          <w:tcPr>
            <w:tcW w:w="1134" w:type="dxa"/>
            <w:tcBorders>
              <w:top w:val="nil"/>
              <w:left w:val="single" w:sz="8" w:space="0" w:color="auto"/>
              <w:bottom w:val="nil"/>
              <w:right w:val="nil"/>
            </w:tcBorders>
            <w:shd w:val="clear" w:color="000000" w:fill="FFFFFF"/>
            <w:vAlign w:val="center"/>
            <w:hideMark/>
          </w:tcPr>
          <w:p w14:paraId="7A375E04" w14:textId="5220D8F2" w:rsidR="008F6790" w:rsidRPr="00AD25A6" w:rsidRDefault="008F6790" w:rsidP="008F6790">
            <w:pPr>
              <w:jc w:val="right"/>
              <w:rPr>
                <w:rFonts w:ascii="Arial" w:hAnsi="Arial" w:cs="Arial"/>
                <w:b/>
                <w:bCs/>
              </w:rPr>
            </w:pPr>
            <w:r>
              <w:rPr>
                <w:rFonts w:ascii="Arial" w:hAnsi="Arial" w:cs="Arial"/>
                <w:b/>
                <w:bCs/>
              </w:rPr>
              <w:t>5,656</w:t>
            </w:r>
          </w:p>
        </w:tc>
        <w:tc>
          <w:tcPr>
            <w:tcW w:w="1276" w:type="dxa"/>
            <w:tcBorders>
              <w:top w:val="nil"/>
              <w:left w:val="nil"/>
              <w:bottom w:val="nil"/>
              <w:right w:val="single" w:sz="8" w:space="0" w:color="auto"/>
            </w:tcBorders>
            <w:shd w:val="clear" w:color="000000" w:fill="CCCCCC"/>
            <w:vAlign w:val="center"/>
            <w:hideMark/>
          </w:tcPr>
          <w:p w14:paraId="391EBC0F" w14:textId="4416F765" w:rsidR="008F6790" w:rsidRPr="00AD25A6" w:rsidRDefault="008F6790" w:rsidP="008F6790">
            <w:pPr>
              <w:jc w:val="right"/>
              <w:rPr>
                <w:rFonts w:ascii="Arial" w:hAnsi="Arial" w:cs="Arial"/>
              </w:rPr>
            </w:pPr>
            <w:r>
              <w:rPr>
                <w:rFonts w:ascii="Arial" w:hAnsi="Arial" w:cs="Arial"/>
              </w:rPr>
              <w:t>1,278</w:t>
            </w:r>
          </w:p>
        </w:tc>
        <w:tc>
          <w:tcPr>
            <w:tcW w:w="1420" w:type="dxa"/>
            <w:tcBorders>
              <w:top w:val="nil"/>
              <w:left w:val="nil"/>
              <w:bottom w:val="nil"/>
              <w:right w:val="nil"/>
            </w:tcBorders>
            <w:shd w:val="clear" w:color="000000" w:fill="FFFFFF"/>
            <w:vAlign w:val="center"/>
            <w:hideMark/>
          </w:tcPr>
          <w:p w14:paraId="6B2167FC" w14:textId="78EB903F" w:rsidR="008F6790" w:rsidRPr="00AD25A6" w:rsidRDefault="008F6790" w:rsidP="008F6790">
            <w:pPr>
              <w:jc w:val="right"/>
              <w:rPr>
                <w:rFonts w:ascii="Arial" w:hAnsi="Arial" w:cs="Arial"/>
                <w:b/>
                <w:bCs/>
              </w:rPr>
            </w:pPr>
            <w:r>
              <w:rPr>
                <w:rFonts w:ascii="Arial" w:hAnsi="Arial" w:cs="Arial"/>
                <w:b/>
                <w:bCs/>
              </w:rPr>
              <w:t>86</w:t>
            </w:r>
          </w:p>
        </w:tc>
        <w:tc>
          <w:tcPr>
            <w:tcW w:w="1412" w:type="dxa"/>
            <w:tcBorders>
              <w:top w:val="nil"/>
              <w:left w:val="nil"/>
              <w:bottom w:val="nil"/>
              <w:right w:val="single" w:sz="8" w:space="0" w:color="auto"/>
            </w:tcBorders>
            <w:shd w:val="clear" w:color="000000" w:fill="CCCCCC"/>
            <w:vAlign w:val="center"/>
            <w:hideMark/>
          </w:tcPr>
          <w:p w14:paraId="7B9F14E5" w14:textId="4DBC1C54" w:rsidR="008F6790" w:rsidRPr="00AD25A6" w:rsidRDefault="008F6790" w:rsidP="008F6790">
            <w:pPr>
              <w:jc w:val="right"/>
              <w:rPr>
                <w:rFonts w:ascii="Arial" w:hAnsi="Arial" w:cs="Arial"/>
              </w:rPr>
            </w:pPr>
            <w:r>
              <w:rPr>
                <w:rFonts w:ascii="Arial" w:hAnsi="Arial" w:cs="Arial"/>
              </w:rPr>
              <w:t>19</w:t>
            </w:r>
          </w:p>
        </w:tc>
        <w:tc>
          <w:tcPr>
            <w:tcW w:w="1073" w:type="dxa"/>
            <w:tcBorders>
              <w:top w:val="nil"/>
              <w:left w:val="nil"/>
              <w:bottom w:val="nil"/>
              <w:right w:val="single" w:sz="8" w:space="0" w:color="auto"/>
            </w:tcBorders>
            <w:shd w:val="clear" w:color="auto" w:fill="FFFFFF" w:themeFill="background1"/>
            <w:vAlign w:val="center"/>
            <w:hideMark/>
          </w:tcPr>
          <w:p w14:paraId="20F19A31" w14:textId="111D9AF6" w:rsidR="008F6790" w:rsidRPr="007F19F0" w:rsidRDefault="008F6790" w:rsidP="008F6790">
            <w:pPr>
              <w:jc w:val="right"/>
              <w:rPr>
                <w:rFonts w:ascii="Arial" w:hAnsi="Arial" w:cs="Arial"/>
                <w:b/>
                <w:bCs/>
              </w:rPr>
            </w:pPr>
            <w:r w:rsidRPr="007F19F0">
              <w:rPr>
                <w:rFonts w:ascii="Arial" w:hAnsi="Arial" w:cs="Arial"/>
              </w:rPr>
              <w:t>5,570</w:t>
            </w:r>
          </w:p>
        </w:tc>
        <w:tc>
          <w:tcPr>
            <w:tcW w:w="1073" w:type="dxa"/>
            <w:tcBorders>
              <w:top w:val="nil"/>
              <w:left w:val="nil"/>
              <w:bottom w:val="nil"/>
              <w:right w:val="single" w:sz="8" w:space="0" w:color="auto"/>
            </w:tcBorders>
            <w:shd w:val="clear" w:color="000000" w:fill="CCCCCC"/>
            <w:vAlign w:val="center"/>
            <w:hideMark/>
          </w:tcPr>
          <w:p w14:paraId="6FB50D29" w14:textId="2F3F6D5B" w:rsidR="008F6790" w:rsidRPr="00AD25A6" w:rsidRDefault="008F6790" w:rsidP="008F6790">
            <w:pPr>
              <w:jc w:val="right"/>
              <w:rPr>
                <w:rFonts w:ascii="Arial" w:hAnsi="Arial" w:cs="Arial"/>
              </w:rPr>
            </w:pPr>
            <w:r>
              <w:rPr>
                <w:rFonts w:ascii="Arial" w:hAnsi="Arial" w:cs="Arial"/>
              </w:rPr>
              <w:t>1,259</w:t>
            </w:r>
          </w:p>
        </w:tc>
      </w:tr>
      <w:tr w:rsidR="008F6790" w:rsidRPr="00AD25A6" w14:paraId="1E51D6FB" w14:textId="77777777" w:rsidTr="007F19F0">
        <w:trPr>
          <w:trHeight w:val="601"/>
        </w:trPr>
        <w:tc>
          <w:tcPr>
            <w:tcW w:w="3392" w:type="dxa"/>
            <w:tcBorders>
              <w:top w:val="nil"/>
              <w:left w:val="single" w:sz="8" w:space="0" w:color="auto"/>
              <w:bottom w:val="nil"/>
              <w:right w:val="nil"/>
            </w:tcBorders>
            <w:shd w:val="clear" w:color="000000" w:fill="CCCCCC"/>
            <w:vAlign w:val="center"/>
            <w:hideMark/>
          </w:tcPr>
          <w:p w14:paraId="57358597" w14:textId="77777777" w:rsidR="008F6790" w:rsidRPr="00AD25A6" w:rsidRDefault="008F6790" w:rsidP="008F6790">
            <w:pPr>
              <w:rPr>
                <w:rFonts w:ascii="Arial" w:hAnsi="Arial" w:cs="Arial"/>
                <w:color w:val="000000"/>
              </w:rPr>
            </w:pPr>
            <w:r w:rsidRPr="00AD25A6">
              <w:rPr>
                <w:rFonts w:ascii="Arial" w:hAnsi="Arial" w:cs="Arial"/>
                <w:color w:val="000000"/>
              </w:rPr>
              <w:t>Actuarial (gains)/losses –changes in financial assumptions</w:t>
            </w:r>
          </w:p>
        </w:tc>
        <w:tc>
          <w:tcPr>
            <w:tcW w:w="1134" w:type="dxa"/>
            <w:tcBorders>
              <w:top w:val="nil"/>
              <w:left w:val="single" w:sz="8" w:space="0" w:color="auto"/>
              <w:bottom w:val="nil"/>
              <w:right w:val="nil"/>
            </w:tcBorders>
            <w:shd w:val="clear" w:color="000000" w:fill="FFFFFF"/>
            <w:vAlign w:val="center"/>
            <w:hideMark/>
          </w:tcPr>
          <w:p w14:paraId="3B52D0B7" w14:textId="4C71878B" w:rsidR="008F6790" w:rsidRPr="00AD25A6" w:rsidRDefault="008F6790" w:rsidP="008F6790">
            <w:pPr>
              <w:jc w:val="right"/>
              <w:rPr>
                <w:rFonts w:ascii="Arial" w:hAnsi="Arial" w:cs="Arial"/>
                <w:b/>
                <w:bCs/>
              </w:rPr>
            </w:pPr>
            <w:r>
              <w:rPr>
                <w:rFonts w:ascii="Arial" w:hAnsi="Arial" w:cs="Arial"/>
                <w:b/>
                <w:bCs/>
              </w:rPr>
              <w:t>17</w:t>
            </w:r>
            <w:r w:rsidRPr="00AD25A6">
              <w:rPr>
                <w:rFonts w:ascii="Arial" w:hAnsi="Arial" w:cs="Arial"/>
                <w:b/>
                <w:bCs/>
              </w:rPr>
              <w:t>,</w:t>
            </w:r>
            <w:r>
              <w:rPr>
                <w:rFonts w:ascii="Arial" w:hAnsi="Arial" w:cs="Arial"/>
                <w:b/>
                <w:bCs/>
              </w:rPr>
              <w:t>301</w:t>
            </w:r>
          </w:p>
        </w:tc>
        <w:tc>
          <w:tcPr>
            <w:tcW w:w="1276" w:type="dxa"/>
            <w:tcBorders>
              <w:top w:val="nil"/>
              <w:left w:val="nil"/>
              <w:bottom w:val="nil"/>
              <w:right w:val="single" w:sz="8" w:space="0" w:color="auto"/>
            </w:tcBorders>
            <w:shd w:val="clear" w:color="000000" w:fill="CCCCCC"/>
            <w:vAlign w:val="center"/>
            <w:hideMark/>
          </w:tcPr>
          <w:p w14:paraId="731DD4AB" w14:textId="4EDA50CB" w:rsidR="008F6790" w:rsidRPr="00AD25A6" w:rsidRDefault="008F6790" w:rsidP="008F6790">
            <w:pPr>
              <w:jc w:val="right"/>
              <w:rPr>
                <w:rFonts w:ascii="Arial" w:hAnsi="Arial" w:cs="Arial"/>
              </w:rPr>
            </w:pPr>
            <w:r>
              <w:rPr>
                <w:rFonts w:ascii="Arial" w:hAnsi="Arial" w:cs="Arial"/>
              </w:rPr>
              <w:t>77,666</w:t>
            </w:r>
          </w:p>
        </w:tc>
        <w:tc>
          <w:tcPr>
            <w:tcW w:w="1420" w:type="dxa"/>
            <w:tcBorders>
              <w:top w:val="nil"/>
              <w:left w:val="nil"/>
              <w:bottom w:val="nil"/>
              <w:right w:val="nil"/>
            </w:tcBorders>
            <w:shd w:val="clear" w:color="000000" w:fill="FFFFFF"/>
            <w:vAlign w:val="center"/>
            <w:hideMark/>
          </w:tcPr>
          <w:p w14:paraId="5A749C4E" w14:textId="46CCBF50" w:rsidR="008F6790" w:rsidRPr="00AD25A6" w:rsidRDefault="008F6790" w:rsidP="008F6790">
            <w:pPr>
              <w:jc w:val="right"/>
              <w:rPr>
                <w:rFonts w:ascii="Arial" w:hAnsi="Arial" w:cs="Arial"/>
                <w:b/>
                <w:bCs/>
              </w:rPr>
            </w:pPr>
            <w:r>
              <w:rPr>
                <w:rFonts w:ascii="Arial" w:hAnsi="Arial" w:cs="Arial"/>
                <w:b/>
                <w:bCs/>
              </w:rPr>
              <w:t>115</w:t>
            </w:r>
          </w:p>
        </w:tc>
        <w:tc>
          <w:tcPr>
            <w:tcW w:w="1412" w:type="dxa"/>
            <w:tcBorders>
              <w:top w:val="nil"/>
              <w:left w:val="nil"/>
              <w:bottom w:val="nil"/>
              <w:right w:val="single" w:sz="8" w:space="0" w:color="auto"/>
            </w:tcBorders>
            <w:shd w:val="clear" w:color="000000" w:fill="CCCCCC"/>
            <w:vAlign w:val="center"/>
            <w:hideMark/>
          </w:tcPr>
          <w:p w14:paraId="469D43A9" w14:textId="079DFD80" w:rsidR="008F6790" w:rsidRPr="00AD25A6" w:rsidRDefault="008F6790" w:rsidP="008F6790">
            <w:pPr>
              <w:jc w:val="right"/>
              <w:rPr>
                <w:rFonts w:ascii="Arial" w:hAnsi="Arial" w:cs="Arial"/>
              </w:rPr>
            </w:pPr>
            <w:r>
              <w:rPr>
                <w:rFonts w:ascii="Arial" w:hAnsi="Arial" w:cs="Arial"/>
              </w:rPr>
              <w:t>1,004</w:t>
            </w:r>
          </w:p>
        </w:tc>
        <w:tc>
          <w:tcPr>
            <w:tcW w:w="1073" w:type="dxa"/>
            <w:tcBorders>
              <w:top w:val="nil"/>
              <w:left w:val="nil"/>
              <w:bottom w:val="nil"/>
              <w:right w:val="single" w:sz="8" w:space="0" w:color="auto"/>
            </w:tcBorders>
            <w:shd w:val="clear" w:color="auto" w:fill="FFFFFF" w:themeFill="background1"/>
            <w:vAlign w:val="center"/>
            <w:hideMark/>
          </w:tcPr>
          <w:p w14:paraId="1A3996BE" w14:textId="0B52D7EC" w:rsidR="008F6790" w:rsidRPr="007F19F0" w:rsidRDefault="008F6790" w:rsidP="008F6790">
            <w:pPr>
              <w:jc w:val="right"/>
              <w:rPr>
                <w:rFonts w:ascii="Arial" w:hAnsi="Arial" w:cs="Arial"/>
                <w:b/>
                <w:bCs/>
              </w:rPr>
            </w:pPr>
            <w:r w:rsidRPr="007F19F0">
              <w:rPr>
                <w:rFonts w:ascii="Arial" w:hAnsi="Arial" w:cs="Arial"/>
              </w:rPr>
              <w:t>17,186</w:t>
            </w:r>
          </w:p>
        </w:tc>
        <w:tc>
          <w:tcPr>
            <w:tcW w:w="1073" w:type="dxa"/>
            <w:tcBorders>
              <w:top w:val="nil"/>
              <w:left w:val="nil"/>
              <w:bottom w:val="nil"/>
              <w:right w:val="single" w:sz="8" w:space="0" w:color="auto"/>
            </w:tcBorders>
            <w:shd w:val="clear" w:color="000000" w:fill="CCCCCC"/>
            <w:vAlign w:val="center"/>
            <w:hideMark/>
          </w:tcPr>
          <w:p w14:paraId="2E58C387" w14:textId="1E14F16A" w:rsidR="008F6790" w:rsidRPr="00AD25A6" w:rsidRDefault="008F6790" w:rsidP="008F6790">
            <w:pPr>
              <w:jc w:val="right"/>
              <w:rPr>
                <w:rFonts w:ascii="Arial" w:hAnsi="Arial" w:cs="Arial"/>
              </w:rPr>
            </w:pPr>
            <w:r>
              <w:rPr>
                <w:rFonts w:ascii="Arial" w:hAnsi="Arial" w:cs="Arial"/>
              </w:rPr>
              <w:t>76,662</w:t>
            </w:r>
          </w:p>
        </w:tc>
      </w:tr>
      <w:tr w:rsidR="008F6790" w:rsidRPr="00AD25A6" w14:paraId="70EA5BF6" w14:textId="77777777" w:rsidTr="007F19F0">
        <w:trPr>
          <w:trHeight w:val="300"/>
        </w:trPr>
        <w:tc>
          <w:tcPr>
            <w:tcW w:w="3392" w:type="dxa"/>
            <w:tcBorders>
              <w:top w:val="nil"/>
              <w:left w:val="single" w:sz="8" w:space="0" w:color="auto"/>
              <w:bottom w:val="nil"/>
              <w:right w:val="nil"/>
            </w:tcBorders>
            <w:shd w:val="clear" w:color="000000" w:fill="CCCCCC"/>
            <w:vAlign w:val="center"/>
            <w:hideMark/>
          </w:tcPr>
          <w:p w14:paraId="44B112DB" w14:textId="77777777" w:rsidR="008F6790" w:rsidRPr="00AD25A6" w:rsidRDefault="008F6790" w:rsidP="008F6790">
            <w:pPr>
              <w:rPr>
                <w:rFonts w:ascii="Arial" w:hAnsi="Arial" w:cs="Arial"/>
                <w:color w:val="000000"/>
              </w:rPr>
            </w:pPr>
            <w:r w:rsidRPr="00AD25A6">
              <w:rPr>
                <w:rFonts w:ascii="Arial" w:hAnsi="Arial" w:cs="Arial"/>
                <w:color w:val="000000"/>
              </w:rPr>
              <w:t>Experience (gains)/losses on liabilities</w:t>
            </w:r>
          </w:p>
        </w:tc>
        <w:tc>
          <w:tcPr>
            <w:tcW w:w="1134" w:type="dxa"/>
            <w:tcBorders>
              <w:top w:val="nil"/>
              <w:left w:val="single" w:sz="8" w:space="0" w:color="auto"/>
              <w:bottom w:val="nil"/>
              <w:right w:val="nil"/>
            </w:tcBorders>
            <w:shd w:val="clear" w:color="000000" w:fill="FFFFFF"/>
            <w:vAlign w:val="center"/>
            <w:hideMark/>
          </w:tcPr>
          <w:p w14:paraId="582D33D3" w14:textId="52F0F41C"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3</w:t>
            </w:r>
            <w:r w:rsidRPr="00AD25A6">
              <w:rPr>
                <w:rFonts w:ascii="Arial" w:hAnsi="Arial" w:cs="Arial"/>
                <w:b/>
                <w:bCs/>
              </w:rPr>
              <w:t>,</w:t>
            </w:r>
            <w:r>
              <w:rPr>
                <w:rFonts w:ascii="Arial" w:hAnsi="Arial" w:cs="Arial"/>
                <w:b/>
                <w:bCs/>
              </w:rPr>
              <w:t>348</w:t>
            </w:r>
            <w:r w:rsidRPr="00AD25A6">
              <w:rPr>
                <w:rFonts w:ascii="Arial" w:hAnsi="Arial" w:cs="Arial"/>
                <w:b/>
                <w:bCs/>
              </w:rPr>
              <w:t>)</w:t>
            </w:r>
          </w:p>
        </w:tc>
        <w:tc>
          <w:tcPr>
            <w:tcW w:w="1276" w:type="dxa"/>
            <w:tcBorders>
              <w:top w:val="nil"/>
              <w:left w:val="nil"/>
              <w:bottom w:val="nil"/>
              <w:right w:val="single" w:sz="8" w:space="0" w:color="auto"/>
            </w:tcBorders>
            <w:shd w:val="clear" w:color="000000" w:fill="CCCCCC"/>
            <w:vAlign w:val="center"/>
            <w:hideMark/>
          </w:tcPr>
          <w:p w14:paraId="5929FE71" w14:textId="2DF97D00" w:rsidR="008F6790" w:rsidRPr="00AD25A6" w:rsidRDefault="008F6790" w:rsidP="008F6790">
            <w:pPr>
              <w:jc w:val="right"/>
              <w:rPr>
                <w:rFonts w:ascii="Arial" w:hAnsi="Arial" w:cs="Arial"/>
              </w:rPr>
            </w:pPr>
            <w:r>
              <w:rPr>
                <w:rFonts w:ascii="Arial" w:hAnsi="Arial" w:cs="Arial"/>
              </w:rPr>
              <w:t>136</w:t>
            </w:r>
          </w:p>
        </w:tc>
        <w:tc>
          <w:tcPr>
            <w:tcW w:w="1420" w:type="dxa"/>
            <w:tcBorders>
              <w:top w:val="nil"/>
              <w:left w:val="nil"/>
              <w:bottom w:val="nil"/>
              <w:right w:val="nil"/>
            </w:tcBorders>
            <w:shd w:val="clear" w:color="000000" w:fill="FFFFFF"/>
            <w:vAlign w:val="center"/>
            <w:hideMark/>
          </w:tcPr>
          <w:p w14:paraId="3B131842" w14:textId="7E66CAD3"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43</w:t>
            </w:r>
            <w:r w:rsidRPr="00AD25A6">
              <w:rPr>
                <w:rFonts w:ascii="Arial" w:hAnsi="Arial" w:cs="Arial"/>
                <w:b/>
                <w:bCs/>
              </w:rPr>
              <w:t>)</w:t>
            </w:r>
          </w:p>
        </w:tc>
        <w:tc>
          <w:tcPr>
            <w:tcW w:w="1412" w:type="dxa"/>
            <w:tcBorders>
              <w:top w:val="nil"/>
              <w:left w:val="nil"/>
              <w:bottom w:val="nil"/>
              <w:right w:val="single" w:sz="8" w:space="0" w:color="auto"/>
            </w:tcBorders>
            <w:shd w:val="clear" w:color="000000" w:fill="CCCCCC"/>
            <w:vAlign w:val="center"/>
            <w:hideMark/>
          </w:tcPr>
          <w:p w14:paraId="66966255" w14:textId="14BF3673" w:rsidR="008F6790" w:rsidRPr="00AD25A6" w:rsidRDefault="008F6790" w:rsidP="008F6790">
            <w:pPr>
              <w:jc w:val="right"/>
              <w:rPr>
                <w:rFonts w:ascii="Arial" w:hAnsi="Arial" w:cs="Arial"/>
              </w:rPr>
            </w:pPr>
            <w:r>
              <w:rPr>
                <w:rFonts w:ascii="Arial" w:hAnsi="Arial" w:cs="Arial"/>
              </w:rPr>
              <w:t>6</w:t>
            </w:r>
          </w:p>
        </w:tc>
        <w:tc>
          <w:tcPr>
            <w:tcW w:w="1073" w:type="dxa"/>
            <w:tcBorders>
              <w:top w:val="nil"/>
              <w:left w:val="nil"/>
              <w:bottom w:val="nil"/>
              <w:right w:val="single" w:sz="8" w:space="0" w:color="auto"/>
            </w:tcBorders>
            <w:shd w:val="clear" w:color="auto" w:fill="FFFFFF" w:themeFill="background1"/>
            <w:vAlign w:val="center"/>
            <w:hideMark/>
          </w:tcPr>
          <w:p w14:paraId="32474639" w14:textId="13D4056C" w:rsidR="008F6790" w:rsidRPr="007F19F0" w:rsidRDefault="008F6790" w:rsidP="008F6790">
            <w:pPr>
              <w:jc w:val="right"/>
              <w:rPr>
                <w:rFonts w:ascii="Arial" w:hAnsi="Arial" w:cs="Arial"/>
                <w:b/>
                <w:bCs/>
              </w:rPr>
            </w:pPr>
            <w:r w:rsidRPr="007F19F0">
              <w:rPr>
                <w:rFonts w:ascii="Arial" w:hAnsi="Arial" w:cs="Arial"/>
              </w:rPr>
              <w:t>(3,305)</w:t>
            </w:r>
          </w:p>
        </w:tc>
        <w:tc>
          <w:tcPr>
            <w:tcW w:w="1073" w:type="dxa"/>
            <w:tcBorders>
              <w:top w:val="nil"/>
              <w:left w:val="nil"/>
              <w:bottom w:val="nil"/>
              <w:right w:val="single" w:sz="8" w:space="0" w:color="auto"/>
            </w:tcBorders>
            <w:shd w:val="clear" w:color="000000" w:fill="CCCCCC"/>
            <w:vAlign w:val="center"/>
            <w:hideMark/>
          </w:tcPr>
          <w:p w14:paraId="735DCF65" w14:textId="19276BA8" w:rsidR="008F6790" w:rsidRPr="00AD25A6" w:rsidRDefault="008F6790" w:rsidP="008F6790">
            <w:pPr>
              <w:jc w:val="right"/>
              <w:rPr>
                <w:rFonts w:ascii="Arial" w:hAnsi="Arial" w:cs="Arial"/>
              </w:rPr>
            </w:pPr>
            <w:r>
              <w:rPr>
                <w:rFonts w:ascii="Arial" w:hAnsi="Arial" w:cs="Arial"/>
              </w:rPr>
              <w:t>130</w:t>
            </w:r>
          </w:p>
        </w:tc>
      </w:tr>
      <w:tr w:rsidR="008F6790" w:rsidRPr="00AD25A6" w14:paraId="7F3F05D4" w14:textId="77777777" w:rsidTr="007F19F0">
        <w:trPr>
          <w:trHeight w:val="300"/>
        </w:trPr>
        <w:tc>
          <w:tcPr>
            <w:tcW w:w="3392" w:type="dxa"/>
            <w:tcBorders>
              <w:top w:val="nil"/>
              <w:left w:val="single" w:sz="8" w:space="0" w:color="auto"/>
              <w:bottom w:val="nil"/>
              <w:right w:val="nil"/>
            </w:tcBorders>
            <w:shd w:val="clear" w:color="000000" w:fill="CCCCCC"/>
            <w:vAlign w:val="center"/>
            <w:hideMark/>
          </w:tcPr>
          <w:p w14:paraId="69D6D963" w14:textId="77777777" w:rsidR="008F6790" w:rsidRPr="00AD25A6" w:rsidRDefault="008F6790" w:rsidP="008F6790">
            <w:pPr>
              <w:rPr>
                <w:rFonts w:ascii="Arial" w:hAnsi="Arial" w:cs="Arial"/>
                <w:color w:val="000000"/>
              </w:rPr>
            </w:pPr>
            <w:r w:rsidRPr="00AD25A6">
              <w:rPr>
                <w:rFonts w:ascii="Arial" w:hAnsi="Arial" w:cs="Arial"/>
                <w:color w:val="000000"/>
              </w:rPr>
              <w:t>Benefits paid</w:t>
            </w:r>
          </w:p>
        </w:tc>
        <w:tc>
          <w:tcPr>
            <w:tcW w:w="1134" w:type="dxa"/>
            <w:tcBorders>
              <w:top w:val="nil"/>
              <w:left w:val="single" w:sz="8" w:space="0" w:color="auto"/>
              <w:bottom w:val="nil"/>
              <w:right w:val="nil"/>
            </w:tcBorders>
            <w:shd w:val="clear" w:color="000000" w:fill="FFFFFF"/>
            <w:vAlign w:val="center"/>
            <w:hideMark/>
          </w:tcPr>
          <w:p w14:paraId="725E8FE4" w14:textId="066E3BE7" w:rsidR="008F6790" w:rsidRPr="00AD25A6" w:rsidRDefault="008F6790" w:rsidP="008F6790">
            <w:pPr>
              <w:jc w:val="right"/>
              <w:rPr>
                <w:rFonts w:ascii="Arial" w:hAnsi="Arial" w:cs="Arial"/>
                <w:b/>
                <w:bCs/>
              </w:rPr>
            </w:pPr>
            <w:r w:rsidRPr="00AD25A6">
              <w:rPr>
                <w:rFonts w:ascii="Arial" w:hAnsi="Arial" w:cs="Arial"/>
                <w:b/>
                <w:bCs/>
              </w:rPr>
              <w:t>1</w:t>
            </w:r>
            <w:r>
              <w:rPr>
                <w:rFonts w:ascii="Arial" w:hAnsi="Arial" w:cs="Arial"/>
                <w:b/>
                <w:bCs/>
              </w:rPr>
              <w:t>8</w:t>
            </w:r>
            <w:r w:rsidRPr="00AD25A6">
              <w:rPr>
                <w:rFonts w:ascii="Arial" w:hAnsi="Arial" w:cs="Arial"/>
                <w:b/>
                <w:bCs/>
              </w:rPr>
              <w:t>,</w:t>
            </w:r>
            <w:r>
              <w:rPr>
                <w:rFonts w:ascii="Arial" w:hAnsi="Arial" w:cs="Arial"/>
                <w:b/>
                <w:bCs/>
              </w:rPr>
              <w:t>221</w:t>
            </w:r>
          </w:p>
        </w:tc>
        <w:tc>
          <w:tcPr>
            <w:tcW w:w="1276" w:type="dxa"/>
            <w:tcBorders>
              <w:top w:val="nil"/>
              <w:left w:val="nil"/>
              <w:bottom w:val="nil"/>
              <w:right w:val="single" w:sz="8" w:space="0" w:color="auto"/>
            </w:tcBorders>
            <w:shd w:val="clear" w:color="000000" w:fill="CCCCCC"/>
            <w:vAlign w:val="center"/>
            <w:hideMark/>
          </w:tcPr>
          <w:p w14:paraId="30C3115E" w14:textId="61B340E0" w:rsidR="008F6790" w:rsidRPr="00AD25A6" w:rsidRDefault="008F6790" w:rsidP="008F6790">
            <w:pPr>
              <w:jc w:val="right"/>
              <w:rPr>
                <w:rFonts w:ascii="Arial" w:hAnsi="Arial" w:cs="Arial"/>
              </w:rPr>
            </w:pPr>
            <w:r>
              <w:rPr>
                <w:rFonts w:ascii="Arial" w:hAnsi="Arial" w:cs="Arial"/>
              </w:rPr>
              <w:t>16,070</w:t>
            </w:r>
          </w:p>
        </w:tc>
        <w:tc>
          <w:tcPr>
            <w:tcW w:w="1420" w:type="dxa"/>
            <w:tcBorders>
              <w:top w:val="nil"/>
              <w:left w:val="nil"/>
              <w:bottom w:val="nil"/>
              <w:right w:val="nil"/>
            </w:tcBorders>
            <w:shd w:val="clear" w:color="000000" w:fill="FFFFFF"/>
            <w:vAlign w:val="center"/>
            <w:hideMark/>
          </w:tcPr>
          <w:p w14:paraId="467E2095" w14:textId="732BF207" w:rsidR="008F6790" w:rsidRPr="00AD25A6" w:rsidRDefault="008F6790" w:rsidP="008F6790">
            <w:pPr>
              <w:jc w:val="right"/>
              <w:rPr>
                <w:rFonts w:ascii="Arial" w:hAnsi="Arial" w:cs="Arial"/>
                <w:b/>
                <w:bCs/>
              </w:rPr>
            </w:pPr>
            <w:r>
              <w:rPr>
                <w:rFonts w:ascii="Arial" w:hAnsi="Arial" w:cs="Arial"/>
                <w:b/>
                <w:bCs/>
              </w:rPr>
              <w:t>1</w:t>
            </w:r>
            <w:r w:rsidRPr="00AD25A6">
              <w:rPr>
                <w:rFonts w:ascii="Arial" w:hAnsi="Arial" w:cs="Arial"/>
                <w:b/>
                <w:bCs/>
              </w:rPr>
              <w:t>44</w:t>
            </w:r>
          </w:p>
        </w:tc>
        <w:tc>
          <w:tcPr>
            <w:tcW w:w="1412" w:type="dxa"/>
            <w:tcBorders>
              <w:top w:val="nil"/>
              <w:left w:val="nil"/>
              <w:bottom w:val="nil"/>
              <w:right w:val="single" w:sz="8" w:space="0" w:color="auto"/>
            </w:tcBorders>
            <w:shd w:val="clear" w:color="000000" w:fill="CCCCCC"/>
            <w:vAlign w:val="center"/>
            <w:hideMark/>
          </w:tcPr>
          <w:p w14:paraId="6FB4E15F" w14:textId="276111EA" w:rsidR="008F6790" w:rsidRPr="00AD25A6" w:rsidRDefault="008F6790" w:rsidP="008F6790">
            <w:pPr>
              <w:jc w:val="right"/>
              <w:rPr>
                <w:rFonts w:ascii="Arial" w:hAnsi="Arial" w:cs="Arial"/>
              </w:rPr>
            </w:pPr>
            <w:r>
              <w:rPr>
                <w:rFonts w:ascii="Arial" w:hAnsi="Arial" w:cs="Arial"/>
              </w:rPr>
              <w:t>512</w:t>
            </w:r>
          </w:p>
        </w:tc>
        <w:tc>
          <w:tcPr>
            <w:tcW w:w="1073" w:type="dxa"/>
            <w:tcBorders>
              <w:top w:val="nil"/>
              <w:left w:val="nil"/>
              <w:bottom w:val="nil"/>
              <w:right w:val="single" w:sz="8" w:space="0" w:color="auto"/>
            </w:tcBorders>
            <w:shd w:val="clear" w:color="auto" w:fill="FFFFFF" w:themeFill="background1"/>
            <w:vAlign w:val="center"/>
            <w:hideMark/>
          </w:tcPr>
          <w:p w14:paraId="0936F346" w14:textId="12E7F875" w:rsidR="008F6790" w:rsidRPr="007F19F0" w:rsidRDefault="008F6790" w:rsidP="008F6790">
            <w:pPr>
              <w:jc w:val="right"/>
              <w:rPr>
                <w:rFonts w:ascii="Arial" w:hAnsi="Arial" w:cs="Arial"/>
                <w:b/>
                <w:bCs/>
              </w:rPr>
            </w:pPr>
            <w:r w:rsidRPr="007F19F0">
              <w:rPr>
                <w:rFonts w:ascii="Arial" w:hAnsi="Arial" w:cs="Arial"/>
              </w:rPr>
              <w:t>18,077</w:t>
            </w:r>
          </w:p>
        </w:tc>
        <w:tc>
          <w:tcPr>
            <w:tcW w:w="1073" w:type="dxa"/>
            <w:tcBorders>
              <w:top w:val="nil"/>
              <w:left w:val="nil"/>
              <w:bottom w:val="nil"/>
              <w:right w:val="single" w:sz="8" w:space="0" w:color="auto"/>
            </w:tcBorders>
            <w:shd w:val="clear" w:color="000000" w:fill="CCCCCC"/>
            <w:vAlign w:val="center"/>
            <w:hideMark/>
          </w:tcPr>
          <w:p w14:paraId="1C1F7E5A" w14:textId="48A6F248" w:rsidR="008F6790" w:rsidRPr="00AD25A6" w:rsidRDefault="008F6790" w:rsidP="008F6790">
            <w:pPr>
              <w:jc w:val="right"/>
              <w:rPr>
                <w:rFonts w:ascii="Arial" w:hAnsi="Arial" w:cs="Arial"/>
              </w:rPr>
            </w:pPr>
            <w:r>
              <w:rPr>
                <w:rFonts w:ascii="Arial" w:hAnsi="Arial" w:cs="Arial"/>
              </w:rPr>
              <w:t>15,558</w:t>
            </w:r>
          </w:p>
        </w:tc>
      </w:tr>
      <w:tr w:rsidR="008F6790" w:rsidRPr="00AD25A6" w14:paraId="5C9111FF" w14:textId="77777777" w:rsidTr="007F19F0">
        <w:trPr>
          <w:trHeight w:val="315"/>
        </w:trPr>
        <w:tc>
          <w:tcPr>
            <w:tcW w:w="3392" w:type="dxa"/>
            <w:tcBorders>
              <w:top w:val="nil"/>
              <w:left w:val="single" w:sz="8" w:space="0" w:color="auto"/>
              <w:bottom w:val="nil"/>
              <w:right w:val="nil"/>
            </w:tcBorders>
            <w:shd w:val="clear" w:color="000000" w:fill="CCCCCC"/>
            <w:vAlign w:val="center"/>
            <w:hideMark/>
          </w:tcPr>
          <w:p w14:paraId="2FCF8CA1" w14:textId="77777777" w:rsidR="008F6790" w:rsidRPr="00AD25A6" w:rsidRDefault="008F6790" w:rsidP="008F6790">
            <w:pPr>
              <w:rPr>
                <w:rFonts w:ascii="Arial" w:hAnsi="Arial" w:cs="Arial"/>
                <w:color w:val="000000"/>
              </w:rPr>
            </w:pPr>
            <w:r w:rsidRPr="00AD25A6">
              <w:rPr>
                <w:rFonts w:ascii="Arial" w:hAnsi="Arial" w:cs="Arial"/>
                <w:color w:val="000000"/>
              </w:rPr>
              <w:t>Past Service/Curtailment Costs</w:t>
            </w:r>
          </w:p>
        </w:tc>
        <w:tc>
          <w:tcPr>
            <w:tcW w:w="1134" w:type="dxa"/>
            <w:tcBorders>
              <w:top w:val="nil"/>
              <w:left w:val="single" w:sz="8" w:space="0" w:color="auto"/>
              <w:bottom w:val="nil"/>
              <w:right w:val="nil"/>
            </w:tcBorders>
            <w:shd w:val="clear" w:color="000000" w:fill="FFFFFF"/>
            <w:vAlign w:val="center"/>
            <w:hideMark/>
          </w:tcPr>
          <w:p w14:paraId="4852C4A5" w14:textId="74BB50DE"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8</w:t>
            </w:r>
            <w:r w:rsidRPr="00AD25A6">
              <w:rPr>
                <w:rFonts w:ascii="Arial" w:hAnsi="Arial" w:cs="Arial"/>
                <w:b/>
                <w:bCs/>
              </w:rPr>
              <w:t>8)</w:t>
            </w:r>
          </w:p>
        </w:tc>
        <w:tc>
          <w:tcPr>
            <w:tcW w:w="1276" w:type="dxa"/>
            <w:tcBorders>
              <w:top w:val="nil"/>
              <w:left w:val="nil"/>
              <w:bottom w:val="nil"/>
              <w:right w:val="single" w:sz="8" w:space="0" w:color="auto"/>
            </w:tcBorders>
            <w:shd w:val="clear" w:color="000000" w:fill="CCCCCC"/>
            <w:vAlign w:val="center"/>
            <w:hideMark/>
          </w:tcPr>
          <w:p w14:paraId="2A4EC4B6" w14:textId="2BBA042E" w:rsidR="008F6790" w:rsidRPr="00AD25A6" w:rsidRDefault="008F6790" w:rsidP="008F6790">
            <w:pPr>
              <w:jc w:val="right"/>
              <w:rPr>
                <w:rFonts w:ascii="Arial" w:hAnsi="Arial" w:cs="Arial"/>
              </w:rPr>
            </w:pPr>
            <w:r>
              <w:rPr>
                <w:rFonts w:ascii="Arial" w:hAnsi="Arial" w:cs="Arial"/>
              </w:rPr>
              <w:t>(447)</w:t>
            </w:r>
          </w:p>
        </w:tc>
        <w:tc>
          <w:tcPr>
            <w:tcW w:w="1420" w:type="dxa"/>
            <w:tcBorders>
              <w:top w:val="nil"/>
              <w:left w:val="nil"/>
              <w:bottom w:val="nil"/>
              <w:right w:val="nil"/>
            </w:tcBorders>
            <w:shd w:val="clear" w:color="000000" w:fill="FFFFFF"/>
            <w:vAlign w:val="center"/>
            <w:hideMark/>
          </w:tcPr>
          <w:p w14:paraId="2ADD3AA2" w14:textId="26080A09" w:rsidR="008F6790" w:rsidRPr="00AD25A6" w:rsidRDefault="008F6790" w:rsidP="008F6790">
            <w:pPr>
              <w:jc w:val="right"/>
              <w:rPr>
                <w:rFonts w:ascii="Arial" w:hAnsi="Arial" w:cs="Arial"/>
                <w:b/>
                <w:bCs/>
              </w:rPr>
            </w:pPr>
            <w:r>
              <w:rPr>
                <w:rFonts w:ascii="Arial" w:hAnsi="Arial" w:cs="Arial"/>
                <w:b/>
                <w:bCs/>
              </w:rPr>
              <w:t>0</w:t>
            </w:r>
          </w:p>
        </w:tc>
        <w:tc>
          <w:tcPr>
            <w:tcW w:w="1412" w:type="dxa"/>
            <w:tcBorders>
              <w:top w:val="nil"/>
              <w:left w:val="nil"/>
              <w:bottom w:val="nil"/>
              <w:right w:val="single" w:sz="8" w:space="0" w:color="auto"/>
            </w:tcBorders>
            <w:shd w:val="clear" w:color="000000" w:fill="CCCCCC"/>
            <w:vAlign w:val="center"/>
            <w:hideMark/>
          </w:tcPr>
          <w:p w14:paraId="041F1B64" w14:textId="58A7F8F2" w:rsidR="008F6790" w:rsidRPr="00AD25A6" w:rsidRDefault="008F6790" w:rsidP="008F6790">
            <w:pPr>
              <w:jc w:val="right"/>
              <w:rPr>
                <w:rFonts w:ascii="Arial" w:hAnsi="Arial" w:cs="Arial"/>
              </w:rPr>
            </w:pPr>
            <w:r>
              <w:rPr>
                <w:rFonts w:ascii="Arial" w:hAnsi="Arial" w:cs="Arial"/>
              </w:rPr>
              <w:t>(372)</w:t>
            </w:r>
          </w:p>
        </w:tc>
        <w:tc>
          <w:tcPr>
            <w:tcW w:w="1073" w:type="dxa"/>
            <w:tcBorders>
              <w:top w:val="nil"/>
              <w:left w:val="nil"/>
              <w:bottom w:val="nil"/>
              <w:right w:val="single" w:sz="8" w:space="0" w:color="auto"/>
            </w:tcBorders>
            <w:shd w:val="clear" w:color="auto" w:fill="FFFFFF" w:themeFill="background1"/>
            <w:vAlign w:val="center"/>
            <w:hideMark/>
          </w:tcPr>
          <w:p w14:paraId="386A8A32" w14:textId="12944818" w:rsidR="008F6790" w:rsidRPr="007F19F0" w:rsidRDefault="008F6790" w:rsidP="008F6790">
            <w:pPr>
              <w:jc w:val="right"/>
              <w:rPr>
                <w:rFonts w:ascii="Arial" w:hAnsi="Arial" w:cs="Arial"/>
                <w:b/>
                <w:bCs/>
              </w:rPr>
            </w:pPr>
            <w:r w:rsidRPr="007F19F0">
              <w:rPr>
                <w:rFonts w:ascii="Arial" w:hAnsi="Arial" w:cs="Arial"/>
              </w:rPr>
              <w:t>(88)</w:t>
            </w:r>
          </w:p>
        </w:tc>
        <w:tc>
          <w:tcPr>
            <w:tcW w:w="1073" w:type="dxa"/>
            <w:tcBorders>
              <w:top w:val="nil"/>
              <w:left w:val="nil"/>
              <w:bottom w:val="nil"/>
              <w:right w:val="single" w:sz="8" w:space="0" w:color="auto"/>
            </w:tcBorders>
            <w:shd w:val="clear" w:color="000000" w:fill="CCCCCC"/>
            <w:vAlign w:val="center"/>
            <w:hideMark/>
          </w:tcPr>
          <w:p w14:paraId="6A4462D9" w14:textId="50F54792" w:rsidR="008F6790" w:rsidRPr="00AD25A6" w:rsidRDefault="008F6790" w:rsidP="008F6790">
            <w:pPr>
              <w:jc w:val="right"/>
              <w:rPr>
                <w:rFonts w:ascii="Arial" w:hAnsi="Arial" w:cs="Arial"/>
              </w:rPr>
            </w:pPr>
            <w:r>
              <w:rPr>
                <w:rFonts w:ascii="Arial" w:hAnsi="Arial" w:cs="Arial"/>
              </w:rPr>
              <w:t>(75)</w:t>
            </w:r>
          </w:p>
        </w:tc>
      </w:tr>
      <w:tr w:rsidR="008F6790" w:rsidRPr="00AD25A6" w14:paraId="697BB043" w14:textId="77777777" w:rsidTr="007F19F0">
        <w:trPr>
          <w:trHeight w:val="315"/>
        </w:trPr>
        <w:tc>
          <w:tcPr>
            <w:tcW w:w="3392" w:type="dxa"/>
            <w:tcBorders>
              <w:top w:val="nil"/>
              <w:left w:val="single" w:sz="8" w:space="0" w:color="auto"/>
              <w:bottom w:val="single" w:sz="8" w:space="0" w:color="auto"/>
              <w:right w:val="nil"/>
            </w:tcBorders>
            <w:shd w:val="clear" w:color="000000" w:fill="CCCCCC"/>
            <w:vAlign w:val="center"/>
            <w:hideMark/>
          </w:tcPr>
          <w:p w14:paraId="446C4472" w14:textId="77777777" w:rsidR="008F6790" w:rsidRPr="00AD25A6" w:rsidRDefault="008F6790" w:rsidP="008F6790">
            <w:pPr>
              <w:jc w:val="right"/>
              <w:rPr>
                <w:rFonts w:ascii="Arial" w:hAnsi="Arial" w:cs="Arial"/>
                <w:b/>
                <w:bCs/>
                <w:color w:val="000000"/>
              </w:rPr>
            </w:pPr>
            <w:r w:rsidRPr="00AD25A6">
              <w:rPr>
                <w:rFonts w:ascii="Arial" w:hAnsi="Arial" w:cs="Arial"/>
                <w:b/>
                <w:bCs/>
                <w:color w:val="000000"/>
              </w:rPr>
              <w:t>31-Mar</w:t>
            </w:r>
          </w:p>
        </w:tc>
        <w:tc>
          <w:tcPr>
            <w:tcW w:w="1134" w:type="dxa"/>
            <w:tcBorders>
              <w:top w:val="single" w:sz="8" w:space="0" w:color="auto"/>
              <w:left w:val="single" w:sz="8" w:space="0" w:color="auto"/>
              <w:bottom w:val="single" w:sz="8" w:space="0" w:color="auto"/>
              <w:right w:val="nil"/>
            </w:tcBorders>
            <w:shd w:val="clear" w:color="000000" w:fill="FFFFFF"/>
            <w:vAlign w:val="center"/>
            <w:hideMark/>
          </w:tcPr>
          <w:p w14:paraId="088A96F8" w14:textId="65BF3165" w:rsidR="008F6790" w:rsidRPr="00AD25A6" w:rsidRDefault="008F6790" w:rsidP="008F6790">
            <w:pPr>
              <w:jc w:val="right"/>
              <w:rPr>
                <w:rFonts w:ascii="Arial" w:hAnsi="Arial" w:cs="Arial"/>
                <w:b/>
                <w:bCs/>
              </w:rPr>
            </w:pPr>
            <w:r w:rsidRPr="00AD25A6">
              <w:rPr>
                <w:rFonts w:ascii="Arial" w:hAnsi="Arial" w:cs="Arial"/>
                <w:b/>
                <w:bCs/>
              </w:rPr>
              <w:t>(444,</w:t>
            </w:r>
            <w:r>
              <w:rPr>
                <w:rFonts w:ascii="Arial" w:hAnsi="Arial" w:cs="Arial"/>
                <w:b/>
                <w:bCs/>
              </w:rPr>
              <w:t>482</w:t>
            </w:r>
            <w:r w:rsidRPr="00AD25A6">
              <w:rPr>
                <w:rFonts w:ascii="Arial" w:hAnsi="Arial" w:cs="Arial"/>
                <w:b/>
                <w:bCs/>
              </w:rPr>
              <w:t>)</w:t>
            </w:r>
          </w:p>
        </w:tc>
        <w:tc>
          <w:tcPr>
            <w:tcW w:w="1276" w:type="dxa"/>
            <w:tcBorders>
              <w:top w:val="single" w:sz="8" w:space="0" w:color="auto"/>
              <w:left w:val="nil"/>
              <w:bottom w:val="single" w:sz="8" w:space="0" w:color="auto"/>
              <w:right w:val="single" w:sz="8" w:space="0" w:color="auto"/>
            </w:tcBorders>
            <w:shd w:val="clear" w:color="000000" w:fill="CCCCCC"/>
            <w:vAlign w:val="center"/>
            <w:hideMark/>
          </w:tcPr>
          <w:p w14:paraId="47CE5B7F" w14:textId="0169EC1A" w:rsidR="008F6790" w:rsidRPr="00AD25A6" w:rsidRDefault="008F6790" w:rsidP="008F6790">
            <w:pPr>
              <w:jc w:val="right"/>
              <w:rPr>
                <w:rFonts w:ascii="Arial" w:hAnsi="Arial" w:cs="Arial"/>
                <w:b/>
                <w:bCs/>
              </w:rPr>
            </w:pPr>
            <w:r>
              <w:rPr>
                <w:rFonts w:ascii="Arial" w:hAnsi="Arial" w:cs="Arial"/>
                <w:b/>
                <w:bCs/>
              </w:rPr>
              <w:t>(387,935)</w:t>
            </w:r>
          </w:p>
        </w:tc>
        <w:tc>
          <w:tcPr>
            <w:tcW w:w="1420" w:type="dxa"/>
            <w:tcBorders>
              <w:top w:val="single" w:sz="8" w:space="0" w:color="auto"/>
              <w:left w:val="nil"/>
              <w:bottom w:val="single" w:sz="8" w:space="0" w:color="auto"/>
              <w:right w:val="nil"/>
            </w:tcBorders>
            <w:shd w:val="clear" w:color="000000" w:fill="FFFFFF"/>
            <w:vAlign w:val="center"/>
            <w:hideMark/>
          </w:tcPr>
          <w:p w14:paraId="5298E1D7" w14:textId="7D600A95" w:rsidR="008F6790" w:rsidRPr="00AD25A6" w:rsidRDefault="008F6790" w:rsidP="008F6790">
            <w:pPr>
              <w:jc w:val="right"/>
              <w:rPr>
                <w:rFonts w:ascii="Arial" w:hAnsi="Arial" w:cs="Arial"/>
                <w:b/>
                <w:bCs/>
              </w:rPr>
            </w:pPr>
            <w:r w:rsidRPr="00AD25A6">
              <w:rPr>
                <w:rFonts w:ascii="Arial" w:hAnsi="Arial" w:cs="Arial"/>
                <w:b/>
                <w:bCs/>
              </w:rPr>
              <w:t>(</w:t>
            </w:r>
            <w:r>
              <w:rPr>
                <w:rFonts w:ascii="Arial" w:hAnsi="Arial" w:cs="Arial"/>
                <w:b/>
                <w:bCs/>
              </w:rPr>
              <w:t>7,040</w:t>
            </w:r>
            <w:r w:rsidRPr="00AD25A6">
              <w:rPr>
                <w:rFonts w:ascii="Arial" w:hAnsi="Arial" w:cs="Arial"/>
                <w:b/>
                <w:bCs/>
              </w:rPr>
              <w:t>)</w:t>
            </w:r>
          </w:p>
        </w:tc>
        <w:tc>
          <w:tcPr>
            <w:tcW w:w="1412" w:type="dxa"/>
            <w:tcBorders>
              <w:top w:val="single" w:sz="8" w:space="0" w:color="auto"/>
              <w:left w:val="nil"/>
              <w:bottom w:val="single" w:sz="8" w:space="0" w:color="auto"/>
              <w:right w:val="single" w:sz="8" w:space="0" w:color="auto"/>
            </w:tcBorders>
            <w:shd w:val="clear" w:color="000000" w:fill="CCCCCC"/>
            <w:vAlign w:val="center"/>
            <w:hideMark/>
          </w:tcPr>
          <w:p w14:paraId="4E1CD29E" w14:textId="709BACFE" w:rsidR="008F6790" w:rsidRPr="00AD25A6" w:rsidRDefault="008F6790" w:rsidP="008F6790">
            <w:pPr>
              <w:jc w:val="right"/>
              <w:rPr>
                <w:rFonts w:ascii="Arial" w:hAnsi="Arial" w:cs="Arial"/>
                <w:b/>
                <w:bCs/>
              </w:rPr>
            </w:pPr>
            <w:r>
              <w:rPr>
                <w:rFonts w:ascii="Arial" w:hAnsi="Arial" w:cs="Arial"/>
                <w:b/>
                <w:bCs/>
              </w:rPr>
              <w:t>(6,401)</w:t>
            </w:r>
          </w:p>
        </w:tc>
        <w:tc>
          <w:tcPr>
            <w:tcW w:w="1073" w:type="dxa"/>
            <w:tcBorders>
              <w:top w:val="single" w:sz="8" w:space="0" w:color="auto"/>
              <w:left w:val="nil"/>
              <w:bottom w:val="single" w:sz="8" w:space="0" w:color="auto"/>
              <w:right w:val="single" w:sz="8" w:space="0" w:color="auto"/>
            </w:tcBorders>
            <w:shd w:val="clear" w:color="auto" w:fill="FFFFFF" w:themeFill="background1"/>
            <w:vAlign w:val="center"/>
            <w:hideMark/>
          </w:tcPr>
          <w:p w14:paraId="42C8C540" w14:textId="23A2CAEA" w:rsidR="008F6790" w:rsidRPr="007F19F0" w:rsidRDefault="008F6790" w:rsidP="008F6790">
            <w:pPr>
              <w:jc w:val="right"/>
              <w:rPr>
                <w:rFonts w:ascii="Arial" w:hAnsi="Arial" w:cs="Arial"/>
                <w:b/>
                <w:bCs/>
              </w:rPr>
            </w:pPr>
            <w:r w:rsidRPr="007F19F0">
              <w:rPr>
                <w:rFonts w:ascii="Arial" w:hAnsi="Arial" w:cs="Arial"/>
                <w:b/>
                <w:bCs/>
              </w:rPr>
              <w:t>(437,442)</w:t>
            </w:r>
          </w:p>
        </w:tc>
        <w:tc>
          <w:tcPr>
            <w:tcW w:w="1073" w:type="dxa"/>
            <w:tcBorders>
              <w:top w:val="single" w:sz="8" w:space="0" w:color="auto"/>
              <w:left w:val="nil"/>
              <w:bottom w:val="single" w:sz="8" w:space="0" w:color="auto"/>
              <w:right w:val="single" w:sz="8" w:space="0" w:color="auto"/>
            </w:tcBorders>
            <w:shd w:val="clear" w:color="000000" w:fill="CCCCCC"/>
            <w:vAlign w:val="center"/>
            <w:hideMark/>
          </w:tcPr>
          <w:p w14:paraId="2B43F787" w14:textId="40EB91EE" w:rsidR="008F6790" w:rsidRPr="00AD25A6" w:rsidRDefault="008F6790" w:rsidP="008F6790">
            <w:pPr>
              <w:jc w:val="right"/>
              <w:rPr>
                <w:rFonts w:ascii="Arial" w:hAnsi="Arial" w:cs="Arial"/>
                <w:b/>
                <w:bCs/>
              </w:rPr>
            </w:pPr>
            <w:r>
              <w:rPr>
                <w:rFonts w:ascii="Arial" w:hAnsi="Arial" w:cs="Arial"/>
                <w:b/>
                <w:bCs/>
              </w:rPr>
              <w:t>(381,534)</w:t>
            </w:r>
          </w:p>
        </w:tc>
      </w:tr>
    </w:tbl>
    <w:p w14:paraId="7A3B975B" w14:textId="77777777" w:rsidR="003B74DA" w:rsidRPr="00645FC2" w:rsidRDefault="003B74DA" w:rsidP="003B74DA">
      <w:pPr>
        <w:tabs>
          <w:tab w:val="left" w:pos="426"/>
        </w:tabs>
        <w:ind w:left="426"/>
        <w:rPr>
          <w:rFonts w:ascii="Arial" w:hAnsi="Arial"/>
          <w:i/>
          <w:color w:val="FF0000"/>
          <w:sz w:val="24"/>
          <w:highlight w:val="yellow"/>
        </w:rPr>
      </w:pPr>
    </w:p>
    <w:tbl>
      <w:tblPr>
        <w:tblW w:w="10905" w:type="dxa"/>
        <w:tblLook w:val="04A0" w:firstRow="1" w:lastRow="0" w:firstColumn="1" w:lastColumn="0" w:noHBand="0" w:noVBand="1"/>
      </w:tblPr>
      <w:tblGrid>
        <w:gridCol w:w="5506"/>
        <w:gridCol w:w="1508"/>
        <w:gridCol w:w="1239"/>
        <w:gridCol w:w="1579"/>
        <w:gridCol w:w="1073"/>
      </w:tblGrid>
      <w:tr w:rsidR="007F19F0" w:rsidRPr="00AD25A6" w14:paraId="633B482B" w14:textId="77777777" w:rsidTr="00B80126">
        <w:trPr>
          <w:trHeight w:val="300"/>
        </w:trPr>
        <w:tc>
          <w:tcPr>
            <w:tcW w:w="5506" w:type="dxa"/>
            <w:tcBorders>
              <w:top w:val="single" w:sz="8" w:space="0" w:color="auto"/>
              <w:left w:val="single" w:sz="8" w:space="0" w:color="auto"/>
              <w:bottom w:val="nil"/>
              <w:right w:val="nil"/>
            </w:tcBorders>
            <w:shd w:val="clear" w:color="000000" w:fill="CCCCCC"/>
            <w:vAlign w:val="center"/>
            <w:hideMark/>
          </w:tcPr>
          <w:p w14:paraId="0F46D05E" w14:textId="77777777" w:rsidR="00AD25A6" w:rsidRPr="00AD25A6" w:rsidRDefault="00AD25A6" w:rsidP="00AD25A6">
            <w:pPr>
              <w:rPr>
                <w:rFonts w:ascii="Arial" w:hAnsi="Arial" w:cs="Arial"/>
              </w:rPr>
            </w:pPr>
            <w:r w:rsidRPr="00AD25A6">
              <w:rPr>
                <w:rFonts w:ascii="Arial" w:hAnsi="Arial" w:cs="Arial"/>
              </w:rPr>
              <w:t> </w:t>
            </w:r>
          </w:p>
        </w:tc>
        <w:tc>
          <w:tcPr>
            <w:tcW w:w="5399" w:type="dxa"/>
            <w:gridSpan w:val="4"/>
            <w:tcBorders>
              <w:top w:val="single" w:sz="8" w:space="0" w:color="auto"/>
              <w:left w:val="nil"/>
              <w:bottom w:val="single" w:sz="8" w:space="0" w:color="auto"/>
              <w:right w:val="single" w:sz="8" w:space="0" w:color="000000"/>
            </w:tcBorders>
            <w:shd w:val="clear" w:color="000000" w:fill="CCCCCC"/>
            <w:vAlign w:val="center"/>
            <w:hideMark/>
          </w:tcPr>
          <w:p w14:paraId="2AB4555B"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 xml:space="preserve">Unfunded Liabilities - PCC GROUP </w:t>
            </w:r>
          </w:p>
        </w:tc>
      </w:tr>
      <w:tr w:rsidR="007F19F0" w:rsidRPr="00AD25A6" w14:paraId="44226855" w14:textId="77777777" w:rsidTr="00B80126">
        <w:trPr>
          <w:trHeight w:val="510"/>
        </w:trPr>
        <w:tc>
          <w:tcPr>
            <w:tcW w:w="5506" w:type="dxa"/>
            <w:tcBorders>
              <w:top w:val="nil"/>
              <w:left w:val="single" w:sz="8" w:space="0" w:color="auto"/>
              <w:bottom w:val="nil"/>
              <w:right w:val="nil"/>
            </w:tcBorders>
            <w:shd w:val="clear" w:color="000000" w:fill="CCCCCC"/>
            <w:vAlign w:val="center"/>
            <w:hideMark/>
          </w:tcPr>
          <w:p w14:paraId="744C77BA" w14:textId="77777777" w:rsidR="00AD25A6" w:rsidRPr="00AD25A6" w:rsidRDefault="00AD25A6" w:rsidP="00AD25A6">
            <w:pPr>
              <w:rPr>
                <w:rFonts w:ascii="Arial" w:hAnsi="Arial" w:cs="Arial"/>
              </w:rPr>
            </w:pPr>
            <w:r w:rsidRPr="00AD25A6">
              <w:rPr>
                <w:rFonts w:ascii="Arial" w:hAnsi="Arial" w:cs="Arial"/>
              </w:rPr>
              <w:t> </w:t>
            </w:r>
          </w:p>
        </w:tc>
        <w:tc>
          <w:tcPr>
            <w:tcW w:w="2747" w:type="dxa"/>
            <w:gridSpan w:val="2"/>
            <w:tcBorders>
              <w:top w:val="single" w:sz="8" w:space="0" w:color="auto"/>
              <w:left w:val="single" w:sz="8" w:space="0" w:color="auto"/>
              <w:bottom w:val="nil"/>
              <w:right w:val="single" w:sz="8" w:space="0" w:color="000000"/>
            </w:tcBorders>
            <w:shd w:val="clear" w:color="000000" w:fill="CCCCCC"/>
            <w:vAlign w:val="center"/>
            <w:hideMark/>
          </w:tcPr>
          <w:p w14:paraId="349A202B"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Police Pension Schemes</w:t>
            </w:r>
          </w:p>
        </w:tc>
        <w:tc>
          <w:tcPr>
            <w:tcW w:w="2652" w:type="dxa"/>
            <w:gridSpan w:val="2"/>
            <w:tcBorders>
              <w:top w:val="single" w:sz="8" w:space="0" w:color="auto"/>
              <w:left w:val="nil"/>
              <w:bottom w:val="nil"/>
              <w:right w:val="single" w:sz="8" w:space="0" w:color="000000"/>
            </w:tcBorders>
            <w:shd w:val="clear" w:color="000000" w:fill="CCCCCC"/>
            <w:vAlign w:val="center"/>
            <w:hideMark/>
          </w:tcPr>
          <w:p w14:paraId="17D0E65E"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Injury Benefits</w:t>
            </w:r>
          </w:p>
        </w:tc>
      </w:tr>
      <w:tr w:rsidR="007F19F0" w:rsidRPr="00AD25A6" w14:paraId="7792F950"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770969F4" w14:textId="77777777" w:rsidR="00AD25A6" w:rsidRPr="00AD25A6" w:rsidRDefault="00AD25A6" w:rsidP="00AD25A6">
            <w:pPr>
              <w:rPr>
                <w:rFonts w:ascii="Arial" w:hAnsi="Arial" w:cs="Arial"/>
              </w:rPr>
            </w:pPr>
            <w:r w:rsidRPr="00AD25A6">
              <w:rPr>
                <w:rFonts w:ascii="Arial" w:hAnsi="Arial" w:cs="Arial"/>
              </w:rPr>
              <w:t> </w:t>
            </w:r>
          </w:p>
        </w:tc>
        <w:tc>
          <w:tcPr>
            <w:tcW w:w="1508" w:type="dxa"/>
            <w:tcBorders>
              <w:top w:val="nil"/>
              <w:left w:val="single" w:sz="8" w:space="0" w:color="auto"/>
              <w:bottom w:val="nil"/>
              <w:right w:val="nil"/>
            </w:tcBorders>
            <w:shd w:val="clear" w:color="000000" w:fill="FFFFFF"/>
            <w:vAlign w:val="center"/>
            <w:hideMark/>
          </w:tcPr>
          <w:p w14:paraId="3F32B71E" w14:textId="033000BE"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1239" w:type="dxa"/>
            <w:tcBorders>
              <w:top w:val="nil"/>
              <w:left w:val="nil"/>
              <w:bottom w:val="nil"/>
              <w:right w:val="single" w:sz="8" w:space="0" w:color="auto"/>
            </w:tcBorders>
            <w:shd w:val="clear" w:color="000000" w:fill="CCCCCC"/>
            <w:vAlign w:val="center"/>
            <w:hideMark/>
          </w:tcPr>
          <w:p w14:paraId="17A7CEF2" w14:textId="2F7D8548" w:rsidR="00AD25A6" w:rsidRPr="00AD25A6" w:rsidRDefault="00C37E7F" w:rsidP="00AD25A6">
            <w:pPr>
              <w:jc w:val="center"/>
              <w:rPr>
                <w:rFonts w:ascii="Arial" w:hAnsi="Arial" w:cs="Arial"/>
                <w:b/>
                <w:bCs/>
              </w:rPr>
            </w:pPr>
            <w:r>
              <w:rPr>
                <w:rFonts w:ascii="Arial" w:hAnsi="Arial" w:cs="Arial"/>
                <w:b/>
                <w:bCs/>
              </w:rPr>
              <w:t>2024/25</w:t>
            </w:r>
          </w:p>
        </w:tc>
        <w:tc>
          <w:tcPr>
            <w:tcW w:w="1579" w:type="dxa"/>
            <w:tcBorders>
              <w:top w:val="nil"/>
              <w:left w:val="nil"/>
              <w:bottom w:val="nil"/>
              <w:right w:val="nil"/>
            </w:tcBorders>
            <w:shd w:val="clear" w:color="000000" w:fill="FFFFFF"/>
            <w:vAlign w:val="center"/>
            <w:hideMark/>
          </w:tcPr>
          <w:p w14:paraId="1BBAD39D" w14:textId="089761CC"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1073" w:type="dxa"/>
            <w:tcBorders>
              <w:top w:val="nil"/>
              <w:left w:val="nil"/>
              <w:bottom w:val="nil"/>
              <w:right w:val="single" w:sz="8" w:space="0" w:color="auto"/>
            </w:tcBorders>
            <w:shd w:val="clear" w:color="000000" w:fill="CCCCCC"/>
            <w:vAlign w:val="center"/>
            <w:hideMark/>
          </w:tcPr>
          <w:p w14:paraId="6954DC44" w14:textId="215B531C" w:rsidR="00AD25A6" w:rsidRPr="00AD25A6" w:rsidRDefault="00C37E7F" w:rsidP="00AD25A6">
            <w:pPr>
              <w:jc w:val="center"/>
              <w:rPr>
                <w:rFonts w:ascii="Arial" w:hAnsi="Arial" w:cs="Arial"/>
                <w:b/>
                <w:bCs/>
              </w:rPr>
            </w:pPr>
            <w:r>
              <w:rPr>
                <w:rFonts w:ascii="Arial" w:hAnsi="Arial" w:cs="Arial"/>
                <w:b/>
                <w:bCs/>
              </w:rPr>
              <w:t>2024/25</w:t>
            </w:r>
          </w:p>
        </w:tc>
      </w:tr>
      <w:tr w:rsidR="007F19F0" w:rsidRPr="00AD25A6" w14:paraId="6C55A8E7"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5C735F62" w14:textId="77777777" w:rsidR="00AD25A6" w:rsidRPr="00AD25A6" w:rsidRDefault="00AD25A6" w:rsidP="00AD25A6">
            <w:pPr>
              <w:rPr>
                <w:rFonts w:ascii="Arial" w:hAnsi="Arial" w:cs="Arial"/>
              </w:rPr>
            </w:pPr>
            <w:r w:rsidRPr="00AD25A6">
              <w:rPr>
                <w:rFonts w:ascii="Arial" w:hAnsi="Arial" w:cs="Arial"/>
              </w:rPr>
              <w:t> </w:t>
            </w:r>
          </w:p>
        </w:tc>
        <w:tc>
          <w:tcPr>
            <w:tcW w:w="1508" w:type="dxa"/>
            <w:tcBorders>
              <w:top w:val="nil"/>
              <w:left w:val="single" w:sz="8" w:space="0" w:color="auto"/>
              <w:bottom w:val="nil"/>
              <w:right w:val="nil"/>
            </w:tcBorders>
            <w:shd w:val="clear" w:color="000000" w:fill="FFFFFF"/>
            <w:vAlign w:val="center"/>
            <w:hideMark/>
          </w:tcPr>
          <w:p w14:paraId="511F0D0A"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239" w:type="dxa"/>
            <w:tcBorders>
              <w:top w:val="nil"/>
              <w:left w:val="nil"/>
              <w:bottom w:val="nil"/>
              <w:right w:val="single" w:sz="8" w:space="0" w:color="auto"/>
            </w:tcBorders>
            <w:shd w:val="clear" w:color="000000" w:fill="CCCCCC"/>
            <w:vAlign w:val="center"/>
            <w:hideMark/>
          </w:tcPr>
          <w:p w14:paraId="2F441BB0"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579" w:type="dxa"/>
            <w:tcBorders>
              <w:top w:val="nil"/>
              <w:left w:val="nil"/>
              <w:bottom w:val="nil"/>
              <w:right w:val="nil"/>
            </w:tcBorders>
            <w:shd w:val="clear" w:color="000000" w:fill="FFFFFF"/>
            <w:vAlign w:val="center"/>
            <w:hideMark/>
          </w:tcPr>
          <w:p w14:paraId="62E70DB8"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073" w:type="dxa"/>
            <w:tcBorders>
              <w:top w:val="nil"/>
              <w:left w:val="nil"/>
              <w:bottom w:val="nil"/>
              <w:right w:val="single" w:sz="8" w:space="0" w:color="auto"/>
            </w:tcBorders>
            <w:shd w:val="clear" w:color="000000" w:fill="CCCCCC"/>
            <w:vAlign w:val="center"/>
            <w:hideMark/>
          </w:tcPr>
          <w:p w14:paraId="5506436E" w14:textId="77777777" w:rsidR="00AD25A6" w:rsidRPr="00AD25A6" w:rsidRDefault="00AD25A6" w:rsidP="00AD25A6">
            <w:pPr>
              <w:jc w:val="center"/>
              <w:rPr>
                <w:rFonts w:ascii="Arial" w:hAnsi="Arial" w:cs="Arial"/>
                <w:b/>
                <w:bCs/>
              </w:rPr>
            </w:pPr>
            <w:r w:rsidRPr="00AD25A6">
              <w:rPr>
                <w:rFonts w:ascii="Arial" w:hAnsi="Arial" w:cs="Arial"/>
                <w:b/>
                <w:bCs/>
              </w:rPr>
              <w:t> </w:t>
            </w:r>
          </w:p>
        </w:tc>
      </w:tr>
      <w:tr w:rsidR="007F19F0" w:rsidRPr="00AD25A6" w14:paraId="0C231EFA"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2D3D8CDF" w14:textId="77777777" w:rsidR="00AD25A6" w:rsidRPr="00AD25A6" w:rsidRDefault="00AD25A6" w:rsidP="00AD25A6">
            <w:pPr>
              <w:rPr>
                <w:rFonts w:ascii="Arial" w:hAnsi="Arial" w:cs="Arial"/>
              </w:rPr>
            </w:pPr>
            <w:r w:rsidRPr="00AD25A6">
              <w:rPr>
                <w:rFonts w:ascii="Arial" w:hAnsi="Arial" w:cs="Arial"/>
              </w:rPr>
              <w:t> </w:t>
            </w:r>
          </w:p>
        </w:tc>
        <w:tc>
          <w:tcPr>
            <w:tcW w:w="1508" w:type="dxa"/>
            <w:tcBorders>
              <w:top w:val="nil"/>
              <w:left w:val="single" w:sz="8" w:space="0" w:color="auto"/>
              <w:bottom w:val="nil"/>
              <w:right w:val="nil"/>
            </w:tcBorders>
            <w:shd w:val="clear" w:color="000000" w:fill="FFFFFF"/>
            <w:vAlign w:val="center"/>
            <w:hideMark/>
          </w:tcPr>
          <w:p w14:paraId="2D5210AB"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1239" w:type="dxa"/>
            <w:tcBorders>
              <w:top w:val="nil"/>
              <w:left w:val="nil"/>
              <w:bottom w:val="nil"/>
              <w:right w:val="single" w:sz="8" w:space="0" w:color="auto"/>
            </w:tcBorders>
            <w:shd w:val="clear" w:color="000000" w:fill="CCCCCC"/>
            <w:vAlign w:val="center"/>
            <w:hideMark/>
          </w:tcPr>
          <w:p w14:paraId="405638CD" w14:textId="77777777" w:rsidR="00AD25A6" w:rsidRPr="00AD25A6" w:rsidRDefault="00AD25A6" w:rsidP="00AD25A6">
            <w:pPr>
              <w:jc w:val="center"/>
              <w:rPr>
                <w:rFonts w:ascii="Arial" w:hAnsi="Arial" w:cs="Arial"/>
                <w:b/>
                <w:bCs/>
              </w:rPr>
            </w:pPr>
            <w:r w:rsidRPr="00AD25A6">
              <w:rPr>
                <w:rFonts w:ascii="Arial" w:hAnsi="Arial" w:cs="Arial"/>
                <w:b/>
                <w:bCs/>
              </w:rPr>
              <w:t>£,000</w:t>
            </w:r>
          </w:p>
        </w:tc>
        <w:tc>
          <w:tcPr>
            <w:tcW w:w="1579" w:type="dxa"/>
            <w:tcBorders>
              <w:top w:val="nil"/>
              <w:left w:val="nil"/>
              <w:bottom w:val="nil"/>
              <w:right w:val="nil"/>
            </w:tcBorders>
            <w:shd w:val="clear" w:color="000000" w:fill="FFFFFF"/>
            <w:vAlign w:val="center"/>
            <w:hideMark/>
          </w:tcPr>
          <w:p w14:paraId="46CDF1A8"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1073" w:type="dxa"/>
            <w:tcBorders>
              <w:top w:val="nil"/>
              <w:left w:val="nil"/>
              <w:bottom w:val="nil"/>
              <w:right w:val="single" w:sz="8" w:space="0" w:color="auto"/>
            </w:tcBorders>
            <w:shd w:val="clear" w:color="000000" w:fill="CCCCCC"/>
            <w:vAlign w:val="center"/>
            <w:hideMark/>
          </w:tcPr>
          <w:p w14:paraId="65BC840F" w14:textId="77777777" w:rsidR="00AD25A6" w:rsidRPr="00AD25A6" w:rsidRDefault="00AD25A6" w:rsidP="00AD25A6">
            <w:pPr>
              <w:jc w:val="center"/>
              <w:rPr>
                <w:rFonts w:ascii="Arial" w:hAnsi="Arial" w:cs="Arial"/>
                <w:b/>
                <w:bCs/>
              </w:rPr>
            </w:pPr>
            <w:r w:rsidRPr="00AD25A6">
              <w:rPr>
                <w:rFonts w:ascii="Arial" w:hAnsi="Arial" w:cs="Arial"/>
                <w:b/>
                <w:bCs/>
              </w:rPr>
              <w:t>£,000</w:t>
            </w:r>
          </w:p>
        </w:tc>
      </w:tr>
      <w:tr w:rsidR="007F19F0" w:rsidRPr="00AD25A6" w14:paraId="2CA178DF"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3A680309" w14:textId="77777777" w:rsidR="00AD25A6" w:rsidRPr="00AD25A6" w:rsidRDefault="00AD25A6" w:rsidP="00AD25A6">
            <w:pPr>
              <w:rPr>
                <w:rFonts w:ascii="Arial" w:hAnsi="Arial" w:cs="Arial"/>
              </w:rPr>
            </w:pPr>
            <w:r w:rsidRPr="00AD25A6">
              <w:rPr>
                <w:rFonts w:ascii="Arial" w:hAnsi="Arial" w:cs="Arial"/>
              </w:rPr>
              <w:t> </w:t>
            </w:r>
          </w:p>
        </w:tc>
        <w:tc>
          <w:tcPr>
            <w:tcW w:w="1508" w:type="dxa"/>
            <w:tcBorders>
              <w:top w:val="nil"/>
              <w:left w:val="single" w:sz="8" w:space="0" w:color="auto"/>
              <w:bottom w:val="nil"/>
              <w:right w:val="nil"/>
            </w:tcBorders>
            <w:shd w:val="clear" w:color="000000" w:fill="FFFFFF"/>
            <w:vAlign w:val="center"/>
            <w:hideMark/>
          </w:tcPr>
          <w:p w14:paraId="43493C2C" w14:textId="77777777" w:rsidR="00AD25A6" w:rsidRPr="00AD25A6" w:rsidRDefault="00AD25A6" w:rsidP="00AD25A6">
            <w:pPr>
              <w:rPr>
                <w:rFonts w:ascii="Arial" w:hAnsi="Arial" w:cs="Arial"/>
              </w:rPr>
            </w:pPr>
            <w:r w:rsidRPr="00AD25A6">
              <w:rPr>
                <w:rFonts w:ascii="Arial" w:hAnsi="Arial" w:cs="Arial"/>
              </w:rPr>
              <w:t> </w:t>
            </w:r>
          </w:p>
        </w:tc>
        <w:tc>
          <w:tcPr>
            <w:tcW w:w="1239" w:type="dxa"/>
            <w:tcBorders>
              <w:top w:val="nil"/>
              <w:left w:val="nil"/>
              <w:bottom w:val="nil"/>
              <w:right w:val="single" w:sz="8" w:space="0" w:color="auto"/>
            </w:tcBorders>
            <w:shd w:val="clear" w:color="000000" w:fill="CCCCCC"/>
            <w:vAlign w:val="center"/>
            <w:hideMark/>
          </w:tcPr>
          <w:p w14:paraId="6B963DE5" w14:textId="77777777" w:rsidR="00AD25A6" w:rsidRPr="00AD25A6" w:rsidRDefault="00AD25A6" w:rsidP="00AD25A6">
            <w:pPr>
              <w:rPr>
                <w:rFonts w:ascii="Arial" w:hAnsi="Arial" w:cs="Arial"/>
              </w:rPr>
            </w:pPr>
            <w:r w:rsidRPr="00AD25A6">
              <w:rPr>
                <w:rFonts w:ascii="Arial" w:hAnsi="Arial" w:cs="Arial"/>
              </w:rPr>
              <w:t> </w:t>
            </w:r>
          </w:p>
        </w:tc>
        <w:tc>
          <w:tcPr>
            <w:tcW w:w="1579" w:type="dxa"/>
            <w:tcBorders>
              <w:top w:val="nil"/>
              <w:left w:val="nil"/>
              <w:bottom w:val="nil"/>
              <w:right w:val="nil"/>
            </w:tcBorders>
            <w:shd w:val="clear" w:color="000000" w:fill="FFFFFF"/>
            <w:vAlign w:val="center"/>
            <w:hideMark/>
          </w:tcPr>
          <w:p w14:paraId="7DD17931" w14:textId="77777777" w:rsidR="00AD25A6" w:rsidRPr="00AD25A6" w:rsidRDefault="00AD25A6" w:rsidP="00AD25A6">
            <w:pPr>
              <w:rPr>
                <w:rFonts w:ascii="Arial" w:hAnsi="Arial" w:cs="Arial"/>
              </w:rPr>
            </w:pPr>
            <w:r w:rsidRPr="00AD25A6">
              <w:rPr>
                <w:rFonts w:ascii="Arial" w:hAnsi="Arial" w:cs="Arial"/>
              </w:rPr>
              <w:t> </w:t>
            </w:r>
          </w:p>
        </w:tc>
        <w:tc>
          <w:tcPr>
            <w:tcW w:w="1073" w:type="dxa"/>
            <w:tcBorders>
              <w:top w:val="nil"/>
              <w:left w:val="nil"/>
              <w:bottom w:val="nil"/>
              <w:right w:val="single" w:sz="8" w:space="0" w:color="auto"/>
            </w:tcBorders>
            <w:shd w:val="clear" w:color="000000" w:fill="CCCCCC"/>
            <w:vAlign w:val="center"/>
            <w:hideMark/>
          </w:tcPr>
          <w:p w14:paraId="68234881" w14:textId="77777777" w:rsidR="00AD25A6" w:rsidRPr="00AD25A6" w:rsidRDefault="00AD25A6" w:rsidP="00AD25A6">
            <w:pPr>
              <w:rPr>
                <w:rFonts w:ascii="Arial" w:hAnsi="Arial" w:cs="Arial"/>
              </w:rPr>
            </w:pPr>
            <w:r w:rsidRPr="00AD25A6">
              <w:rPr>
                <w:rFonts w:ascii="Arial" w:hAnsi="Arial" w:cs="Arial"/>
              </w:rPr>
              <w:t> </w:t>
            </w:r>
          </w:p>
        </w:tc>
      </w:tr>
      <w:tr w:rsidR="00B80126" w:rsidRPr="00AD25A6" w14:paraId="56810641"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49A6CE17" w14:textId="77777777" w:rsidR="00B80126" w:rsidRPr="00AD25A6" w:rsidRDefault="00B80126" w:rsidP="00B80126">
            <w:pPr>
              <w:jc w:val="right"/>
              <w:rPr>
                <w:rFonts w:ascii="Arial" w:hAnsi="Arial" w:cs="Arial"/>
                <w:b/>
                <w:bCs/>
                <w:color w:val="000000"/>
              </w:rPr>
            </w:pPr>
            <w:r w:rsidRPr="00AD25A6">
              <w:rPr>
                <w:rFonts w:ascii="Arial" w:hAnsi="Arial" w:cs="Arial"/>
                <w:b/>
                <w:bCs/>
                <w:color w:val="000000"/>
              </w:rPr>
              <w:t>01-Apr</w:t>
            </w:r>
          </w:p>
        </w:tc>
        <w:tc>
          <w:tcPr>
            <w:tcW w:w="1508" w:type="dxa"/>
            <w:tcBorders>
              <w:top w:val="nil"/>
              <w:left w:val="single" w:sz="8" w:space="0" w:color="auto"/>
              <w:bottom w:val="nil"/>
              <w:right w:val="nil"/>
            </w:tcBorders>
            <w:shd w:val="clear" w:color="000000" w:fill="FFFFFF"/>
            <w:vAlign w:val="center"/>
            <w:hideMark/>
          </w:tcPr>
          <w:p w14:paraId="1F3D2259" w14:textId="6BF4E0F4" w:rsidR="00B80126" w:rsidRPr="00AD25A6" w:rsidRDefault="00B80126" w:rsidP="00B80126">
            <w:pPr>
              <w:jc w:val="right"/>
              <w:rPr>
                <w:rFonts w:ascii="Arial" w:hAnsi="Arial" w:cs="Arial"/>
                <w:b/>
                <w:bCs/>
                <w:color w:val="000000"/>
              </w:rPr>
            </w:pPr>
            <w:r w:rsidRPr="00AD25A6">
              <w:rPr>
                <w:rFonts w:ascii="Arial" w:hAnsi="Arial" w:cs="Arial"/>
                <w:b/>
                <w:bCs/>
                <w:color w:val="000000"/>
              </w:rPr>
              <w:t>(</w:t>
            </w:r>
            <w:r>
              <w:rPr>
                <w:rFonts w:ascii="Arial" w:hAnsi="Arial" w:cs="Arial"/>
                <w:b/>
                <w:bCs/>
                <w:color w:val="000000"/>
              </w:rPr>
              <w:t>2</w:t>
            </w:r>
            <w:r w:rsidRPr="00AD25A6">
              <w:rPr>
                <w:rFonts w:ascii="Arial" w:hAnsi="Arial" w:cs="Arial"/>
                <w:b/>
                <w:bCs/>
                <w:color w:val="000000"/>
              </w:rPr>
              <w:t>,</w:t>
            </w:r>
            <w:r>
              <w:rPr>
                <w:rFonts w:ascii="Arial" w:hAnsi="Arial" w:cs="Arial"/>
                <w:b/>
                <w:bCs/>
                <w:color w:val="000000"/>
              </w:rPr>
              <w:t>699</w:t>
            </w:r>
            <w:r w:rsidRPr="00AD25A6">
              <w:rPr>
                <w:rFonts w:ascii="Arial" w:hAnsi="Arial" w:cs="Arial"/>
                <w:b/>
                <w:bCs/>
                <w:color w:val="000000"/>
              </w:rPr>
              <w:t>,</w:t>
            </w:r>
            <w:r>
              <w:rPr>
                <w:rFonts w:ascii="Arial" w:hAnsi="Arial" w:cs="Arial"/>
                <w:b/>
                <w:bCs/>
                <w:color w:val="000000"/>
              </w:rPr>
              <w:t>434</w:t>
            </w:r>
            <w:r w:rsidRPr="00AD25A6">
              <w:rPr>
                <w:rFonts w:ascii="Arial" w:hAnsi="Arial" w:cs="Arial"/>
                <w:b/>
                <w:bCs/>
                <w:color w:val="000000"/>
              </w:rPr>
              <w:t>)</w:t>
            </w:r>
          </w:p>
        </w:tc>
        <w:tc>
          <w:tcPr>
            <w:tcW w:w="1239" w:type="dxa"/>
            <w:tcBorders>
              <w:top w:val="nil"/>
              <w:left w:val="nil"/>
              <w:bottom w:val="nil"/>
              <w:right w:val="single" w:sz="8" w:space="0" w:color="auto"/>
            </w:tcBorders>
            <w:shd w:val="clear" w:color="000000" w:fill="CCCCCC"/>
            <w:vAlign w:val="center"/>
            <w:hideMark/>
          </w:tcPr>
          <w:p w14:paraId="075B6995" w14:textId="4FB699E5" w:rsidR="00B80126" w:rsidRPr="00AD25A6" w:rsidRDefault="00B80126" w:rsidP="00B80126">
            <w:pPr>
              <w:jc w:val="right"/>
              <w:rPr>
                <w:rFonts w:ascii="Arial" w:hAnsi="Arial" w:cs="Arial"/>
                <w:b/>
                <w:bCs/>
              </w:rPr>
            </w:pPr>
            <w:r>
              <w:rPr>
                <w:rFonts w:ascii="Arial" w:hAnsi="Arial" w:cs="Arial"/>
                <w:b/>
                <w:bCs/>
              </w:rPr>
              <w:t>(2,676,325)</w:t>
            </w:r>
          </w:p>
        </w:tc>
        <w:tc>
          <w:tcPr>
            <w:tcW w:w="1579" w:type="dxa"/>
            <w:tcBorders>
              <w:top w:val="nil"/>
              <w:left w:val="nil"/>
              <w:bottom w:val="nil"/>
              <w:right w:val="nil"/>
            </w:tcBorders>
            <w:shd w:val="clear" w:color="000000" w:fill="FFFFFF"/>
            <w:vAlign w:val="center"/>
            <w:hideMark/>
          </w:tcPr>
          <w:p w14:paraId="58EE23E9" w14:textId="50BDD759" w:rsidR="00B80126" w:rsidRPr="00AD25A6" w:rsidRDefault="00B80126" w:rsidP="00B80126">
            <w:pPr>
              <w:jc w:val="right"/>
              <w:rPr>
                <w:rFonts w:ascii="Arial" w:hAnsi="Arial" w:cs="Arial"/>
                <w:b/>
                <w:bCs/>
                <w:color w:val="000000"/>
              </w:rPr>
            </w:pPr>
            <w:r w:rsidRPr="00AD25A6">
              <w:rPr>
                <w:rFonts w:ascii="Arial" w:hAnsi="Arial" w:cs="Arial"/>
                <w:b/>
                <w:bCs/>
                <w:color w:val="000000"/>
              </w:rPr>
              <w:t>(</w:t>
            </w:r>
            <w:r>
              <w:rPr>
                <w:rFonts w:ascii="Arial" w:hAnsi="Arial" w:cs="Arial"/>
                <w:b/>
                <w:bCs/>
                <w:color w:val="000000"/>
              </w:rPr>
              <w:t>167</w:t>
            </w:r>
            <w:r w:rsidRPr="00AD25A6">
              <w:rPr>
                <w:rFonts w:ascii="Arial" w:hAnsi="Arial" w:cs="Arial"/>
                <w:b/>
                <w:bCs/>
                <w:color w:val="000000"/>
              </w:rPr>
              <w:t>,</w:t>
            </w:r>
            <w:r>
              <w:rPr>
                <w:rFonts w:ascii="Arial" w:hAnsi="Arial" w:cs="Arial"/>
                <w:b/>
                <w:bCs/>
                <w:color w:val="000000"/>
              </w:rPr>
              <w:t>300</w:t>
            </w:r>
            <w:r w:rsidRPr="00AD25A6">
              <w:rPr>
                <w:rFonts w:ascii="Arial" w:hAnsi="Arial" w:cs="Arial"/>
                <w:b/>
                <w:bCs/>
                <w:color w:val="000000"/>
              </w:rPr>
              <w:t>)</w:t>
            </w:r>
          </w:p>
        </w:tc>
        <w:tc>
          <w:tcPr>
            <w:tcW w:w="1073" w:type="dxa"/>
            <w:tcBorders>
              <w:top w:val="nil"/>
              <w:left w:val="nil"/>
              <w:bottom w:val="nil"/>
              <w:right w:val="single" w:sz="8" w:space="0" w:color="auto"/>
            </w:tcBorders>
            <w:shd w:val="clear" w:color="000000" w:fill="CCCCCC"/>
            <w:vAlign w:val="center"/>
            <w:hideMark/>
          </w:tcPr>
          <w:p w14:paraId="42E496FB" w14:textId="5CE89E5F" w:rsidR="00B80126" w:rsidRPr="00AD25A6" w:rsidRDefault="00B80126" w:rsidP="00B80126">
            <w:pPr>
              <w:jc w:val="right"/>
              <w:rPr>
                <w:rFonts w:ascii="Arial" w:hAnsi="Arial" w:cs="Arial"/>
                <w:b/>
                <w:bCs/>
              </w:rPr>
            </w:pPr>
            <w:r>
              <w:rPr>
                <w:rFonts w:ascii="Arial" w:hAnsi="Arial" w:cs="Arial"/>
                <w:b/>
                <w:bCs/>
              </w:rPr>
              <w:t>(173,554)</w:t>
            </w:r>
          </w:p>
        </w:tc>
      </w:tr>
      <w:tr w:rsidR="00B80126" w:rsidRPr="00AD25A6" w14:paraId="6AD22D02"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2ED9DB1C" w14:textId="77777777" w:rsidR="00B80126" w:rsidRPr="00AD25A6" w:rsidRDefault="00B80126" w:rsidP="00B80126">
            <w:pPr>
              <w:rPr>
                <w:rFonts w:ascii="Arial" w:hAnsi="Arial" w:cs="Arial"/>
                <w:color w:val="000000"/>
              </w:rPr>
            </w:pPr>
            <w:r w:rsidRPr="00AD25A6">
              <w:rPr>
                <w:rFonts w:ascii="Arial" w:hAnsi="Arial" w:cs="Arial"/>
                <w:color w:val="000000"/>
              </w:rPr>
              <w:t>Historical Actuarial Adjustment</w:t>
            </w:r>
          </w:p>
        </w:tc>
        <w:tc>
          <w:tcPr>
            <w:tcW w:w="1508" w:type="dxa"/>
            <w:tcBorders>
              <w:top w:val="nil"/>
              <w:left w:val="single" w:sz="8" w:space="0" w:color="auto"/>
              <w:bottom w:val="nil"/>
              <w:right w:val="nil"/>
            </w:tcBorders>
            <w:shd w:val="clear" w:color="000000" w:fill="FFFFFF"/>
            <w:vAlign w:val="center"/>
            <w:hideMark/>
          </w:tcPr>
          <w:p w14:paraId="76B77F6F" w14:textId="2D0DB5CB" w:rsidR="00B80126" w:rsidRPr="00AD25A6" w:rsidRDefault="00B80126" w:rsidP="00B80126">
            <w:pPr>
              <w:jc w:val="right"/>
              <w:rPr>
                <w:rFonts w:ascii="Arial" w:hAnsi="Arial" w:cs="Arial"/>
                <w:color w:val="000000"/>
              </w:rPr>
            </w:pPr>
            <w:r>
              <w:rPr>
                <w:rFonts w:ascii="Arial" w:hAnsi="Arial" w:cs="Arial"/>
                <w:color w:val="000000"/>
              </w:rPr>
              <w:t>(307)</w:t>
            </w:r>
            <w:r w:rsidRPr="00AD25A6">
              <w:rPr>
                <w:rFonts w:ascii="Arial" w:hAnsi="Arial" w:cs="Arial"/>
                <w:color w:val="000000"/>
              </w:rPr>
              <w:t> </w:t>
            </w:r>
          </w:p>
        </w:tc>
        <w:tc>
          <w:tcPr>
            <w:tcW w:w="1239" w:type="dxa"/>
            <w:tcBorders>
              <w:top w:val="nil"/>
              <w:left w:val="nil"/>
              <w:bottom w:val="nil"/>
              <w:right w:val="single" w:sz="8" w:space="0" w:color="auto"/>
            </w:tcBorders>
            <w:shd w:val="clear" w:color="000000" w:fill="CCCCCC"/>
            <w:vAlign w:val="center"/>
            <w:hideMark/>
          </w:tcPr>
          <w:p w14:paraId="78A0C35A" w14:textId="09B77B18" w:rsidR="00B80126" w:rsidRPr="00AD25A6" w:rsidRDefault="00B80126" w:rsidP="00B80126">
            <w:pPr>
              <w:jc w:val="right"/>
              <w:rPr>
                <w:rFonts w:ascii="Arial" w:hAnsi="Arial" w:cs="Arial"/>
              </w:rPr>
            </w:pPr>
            <w:r>
              <w:rPr>
                <w:rFonts w:ascii="Arial" w:hAnsi="Arial" w:cs="Arial"/>
              </w:rPr>
              <w:t> </w:t>
            </w:r>
          </w:p>
        </w:tc>
        <w:tc>
          <w:tcPr>
            <w:tcW w:w="1579" w:type="dxa"/>
            <w:tcBorders>
              <w:top w:val="nil"/>
              <w:left w:val="nil"/>
              <w:bottom w:val="nil"/>
              <w:right w:val="nil"/>
            </w:tcBorders>
            <w:shd w:val="clear" w:color="000000" w:fill="FFFFFF"/>
            <w:vAlign w:val="center"/>
            <w:hideMark/>
          </w:tcPr>
          <w:p w14:paraId="4A73419D" w14:textId="77777777" w:rsidR="00B80126" w:rsidRPr="00AD25A6" w:rsidRDefault="00B80126" w:rsidP="00B80126">
            <w:pPr>
              <w:jc w:val="right"/>
              <w:rPr>
                <w:rFonts w:ascii="Arial" w:hAnsi="Arial" w:cs="Arial"/>
                <w:b/>
                <w:bCs/>
                <w:color w:val="000000"/>
              </w:rPr>
            </w:pPr>
            <w:r w:rsidRPr="00AD25A6">
              <w:rPr>
                <w:rFonts w:ascii="Arial" w:hAnsi="Arial" w:cs="Arial"/>
                <w:b/>
                <w:bCs/>
                <w:color w:val="000000"/>
              </w:rPr>
              <w:t> </w:t>
            </w:r>
          </w:p>
        </w:tc>
        <w:tc>
          <w:tcPr>
            <w:tcW w:w="1073" w:type="dxa"/>
            <w:tcBorders>
              <w:top w:val="nil"/>
              <w:left w:val="nil"/>
              <w:bottom w:val="nil"/>
              <w:right w:val="single" w:sz="8" w:space="0" w:color="auto"/>
            </w:tcBorders>
            <w:shd w:val="clear" w:color="000000" w:fill="CCCCCC"/>
            <w:vAlign w:val="center"/>
            <w:hideMark/>
          </w:tcPr>
          <w:p w14:paraId="42A90FDB" w14:textId="0B14D3A5" w:rsidR="00B80126" w:rsidRPr="00AD25A6" w:rsidRDefault="00B80126" w:rsidP="00B80126">
            <w:pPr>
              <w:jc w:val="right"/>
              <w:rPr>
                <w:rFonts w:ascii="Arial" w:hAnsi="Arial" w:cs="Arial"/>
              </w:rPr>
            </w:pPr>
            <w:r>
              <w:rPr>
                <w:rFonts w:ascii="Arial" w:hAnsi="Arial" w:cs="Arial"/>
              </w:rPr>
              <w:t> </w:t>
            </w:r>
          </w:p>
        </w:tc>
      </w:tr>
      <w:tr w:rsidR="00B80126" w:rsidRPr="00AD25A6" w14:paraId="2F35A1A7"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1C158783" w14:textId="77777777" w:rsidR="00B80126" w:rsidRPr="00AD25A6" w:rsidRDefault="00B80126" w:rsidP="00B80126">
            <w:pPr>
              <w:rPr>
                <w:rFonts w:ascii="Arial" w:hAnsi="Arial" w:cs="Arial"/>
                <w:color w:val="000000"/>
              </w:rPr>
            </w:pPr>
            <w:r w:rsidRPr="00AD25A6">
              <w:rPr>
                <w:rFonts w:ascii="Arial" w:hAnsi="Arial" w:cs="Arial"/>
                <w:color w:val="000000"/>
              </w:rPr>
              <w:t>Current Service Costs</w:t>
            </w:r>
          </w:p>
        </w:tc>
        <w:tc>
          <w:tcPr>
            <w:tcW w:w="1508" w:type="dxa"/>
            <w:tcBorders>
              <w:top w:val="nil"/>
              <w:left w:val="single" w:sz="8" w:space="0" w:color="auto"/>
              <w:bottom w:val="nil"/>
              <w:right w:val="nil"/>
            </w:tcBorders>
            <w:shd w:val="clear" w:color="000000" w:fill="FFFFFF"/>
            <w:vAlign w:val="center"/>
            <w:hideMark/>
          </w:tcPr>
          <w:p w14:paraId="00FC61B8" w14:textId="0481FEEF" w:rsidR="00B80126" w:rsidRPr="00AD25A6" w:rsidRDefault="00B80126" w:rsidP="00B80126">
            <w:pPr>
              <w:jc w:val="right"/>
              <w:rPr>
                <w:rFonts w:ascii="Arial" w:hAnsi="Arial" w:cs="Arial"/>
                <w:color w:val="000000"/>
              </w:rPr>
            </w:pPr>
            <w:r w:rsidRPr="00AD25A6">
              <w:rPr>
                <w:rFonts w:ascii="Arial" w:hAnsi="Arial" w:cs="Arial"/>
                <w:color w:val="000000"/>
              </w:rPr>
              <w:t>(</w:t>
            </w:r>
            <w:r>
              <w:rPr>
                <w:rFonts w:ascii="Arial" w:hAnsi="Arial" w:cs="Arial"/>
                <w:color w:val="000000"/>
              </w:rPr>
              <w:t>32</w:t>
            </w:r>
            <w:r w:rsidRPr="00AD25A6">
              <w:rPr>
                <w:rFonts w:ascii="Arial" w:hAnsi="Arial" w:cs="Arial"/>
                <w:color w:val="000000"/>
              </w:rPr>
              <w:t>,</w:t>
            </w:r>
            <w:r>
              <w:rPr>
                <w:rFonts w:ascii="Arial" w:hAnsi="Arial" w:cs="Arial"/>
                <w:color w:val="000000"/>
              </w:rPr>
              <w:t>434</w:t>
            </w:r>
            <w:r w:rsidRPr="00AD25A6">
              <w:rPr>
                <w:rFonts w:ascii="Arial" w:hAnsi="Arial" w:cs="Arial"/>
                <w:color w:val="000000"/>
              </w:rPr>
              <w:t>)</w:t>
            </w:r>
          </w:p>
        </w:tc>
        <w:tc>
          <w:tcPr>
            <w:tcW w:w="1239" w:type="dxa"/>
            <w:tcBorders>
              <w:top w:val="nil"/>
              <w:left w:val="nil"/>
              <w:bottom w:val="nil"/>
              <w:right w:val="single" w:sz="8" w:space="0" w:color="auto"/>
            </w:tcBorders>
            <w:shd w:val="clear" w:color="000000" w:fill="CCCCCC"/>
            <w:vAlign w:val="center"/>
            <w:hideMark/>
          </w:tcPr>
          <w:p w14:paraId="6D3D7B00" w14:textId="395145E0" w:rsidR="00B80126" w:rsidRPr="00AD25A6" w:rsidRDefault="00B80126" w:rsidP="00B80126">
            <w:pPr>
              <w:jc w:val="right"/>
              <w:rPr>
                <w:rFonts w:ascii="Arial" w:hAnsi="Arial" w:cs="Arial"/>
              </w:rPr>
            </w:pPr>
            <w:r>
              <w:rPr>
                <w:rFonts w:ascii="Arial" w:hAnsi="Arial" w:cs="Arial"/>
              </w:rPr>
              <w:t>(32,983)</w:t>
            </w:r>
          </w:p>
        </w:tc>
        <w:tc>
          <w:tcPr>
            <w:tcW w:w="1579" w:type="dxa"/>
            <w:tcBorders>
              <w:top w:val="nil"/>
              <w:left w:val="nil"/>
              <w:bottom w:val="nil"/>
              <w:right w:val="nil"/>
            </w:tcBorders>
            <w:shd w:val="clear" w:color="000000" w:fill="FFFFFF"/>
            <w:vAlign w:val="center"/>
            <w:hideMark/>
          </w:tcPr>
          <w:p w14:paraId="6AA4A0D1" w14:textId="5715CEA7" w:rsidR="00B80126" w:rsidRPr="00AD25A6" w:rsidRDefault="00B80126" w:rsidP="00B80126">
            <w:pPr>
              <w:jc w:val="right"/>
              <w:rPr>
                <w:rFonts w:ascii="Arial" w:hAnsi="Arial" w:cs="Arial"/>
                <w:color w:val="000000"/>
              </w:rPr>
            </w:pPr>
            <w:r w:rsidRPr="00AD25A6">
              <w:rPr>
                <w:rFonts w:ascii="Arial" w:hAnsi="Arial" w:cs="Arial"/>
                <w:color w:val="000000"/>
              </w:rPr>
              <w:t>(</w:t>
            </w:r>
            <w:r>
              <w:rPr>
                <w:rFonts w:ascii="Arial" w:hAnsi="Arial" w:cs="Arial"/>
                <w:color w:val="000000"/>
              </w:rPr>
              <w:t>8</w:t>
            </w:r>
            <w:r w:rsidRPr="00AD25A6">
              <w:rPr>
                <w:rFonts w:ascii="Arial" w:hAnsi="Arial" w:cs="Arial"/>
                <w:color w:val="000000"/>
              </w:rPr>
              <w:t>,</w:t>
            </w:r>
            <w:r>
              <w:rPr>
                <w:rFonts w:ascii="Arial" w:hAnsi="Arial" w:cs="Arial"/>
                <w:color w:val="000000"/>
              </w:rPr>
              <w:t>522</w:t>
            </w:r>
            <w:r w:rsidRPr="00AD25A6">
              <w:rPr>
                <w:rFonts w:ascii="Arial" w:hAnsi="Arial" w:cs="Arial"/>
                <w:color w:val="000000"/>
              </w:rPr>
              <w:t>)</w:t>
            </w:r>
          </w:p>
        </w:tc>
        <w:tc>
          <w:tcPr>
            <w:tcW w:w="1073" w:type="dxa"/>
            <w:tcBorders>
              <w:top w:val="nil"/>
              <w:left w:val="nil"/>
              <w:bottom w:val="nil"/>
              <w:right w:val="single" w:sz="8" w:space="0" w:color="auto"/>
            </w:tcBorders>
            <w:shd w:val="clear" w:color="000000" w:fill="CCCCCC"/>
            <w:vAlign w:val="center"/>
            <w:hideMark/>
          </w:tcPr>
          <w:p w14:paraId="48BA5402" w14:textId="085443E8" w:rsidR="00B80126" w:rsidRPr="00AD25A6" w:rsidRDefault="00B80126" w:rsidP="00B80126">
            <w:pPr>
              <w:jc w:val="right"/>
              <w:rPr>
                <w:rFonts w:ascii="Arial" w:hAnsi="Arial" w:cs="Arial"/>
              </w:rPr>
            </w:pPr>
            <w:r>
              <w:rPr>
                <w:rFonts w:ascii="Arial" w:hAnsi="Arial" w:cs="Arial"/>
              </w:rPr>
              <w:t>(8,999)</w:t>
            </w:r>
          </w:p>
        </w:tc>
      </w:tr>
      <w:tr w:rsidR="00B80126" w:rsidRPr="00AD25A6" w14:paraId="55562E06"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37873DBD" w14:textId="77777777" w:rsidR="00B80126" w:rsidRPr="00AD25A6" w:rsidRDefault="00B80126" w:rsidP="00B80126">
            <w:pPr>
              <w:rPr>
                <w:rFonts w:ascii="Arial" w:hAnsi="Arial" w:cs="Arial"/>
                <w:color w:val="000000"/>
              </w:rPr>
            </w:pPr>
            <w:r w:rsidRPr="00AD25A6">
              <w:rPr>
                <w:rFonts w:ascii="Arial" w:hAnsi="Arial" w:cs="Arial"/>
                <w:color w:val="000000"/>
              </w:rPr>
              <w:t>Past Service costs</w:t>
            </w:r>
          </w:p>
        </w:tc>
        <w:tc>
          <w:tcPr>
            <w:tcW w:w="1508" w:type="dxa"/>
            <w:tcBorders>
              <w:top w:val="nil"/>
              <w:left w:val="single" w:sz="8" w:space="0" w:color="auto"/>
              <w:bottom w:val="nil"/>
              <w:right w:val="nil"/>
            </w:tcBorders>
            <w:shd w:val="clear" w:color="000000" w:fill="FFFFFF"/>
            <w:vAlign w:val="center"/>
            <w:hideMark/>
          </w:tcPr>
          <w:p w14:paraId="5A584CBB" w14:textId="77777777" w:rsidR="00B80126" w:rsidRPr="00AD25A6" w:rsidRDefault="00B80126" w:rsidP="00B80126">
            <w:pPr>
              <w:jc w:val="right"/>
              <w:rPr>
                <w:rFonts w:ascii="Arial" w:hAnsi="Arial" w:cs="Arial"/>
                <w:color w:val="000000"/>
              </w:rPr>
            </w:pPr>
            <w:r w:rsidRPr="00AD25A6">
              <w:rPr>
                <w:rFonts w:ascii="Arial" w:hAnsi="Arial" w:cs="Arial"/>
                <w:color w:val="000000"/>
              </w:rPr>
              <w:t>0</w:t>
            </w:r>
          </w:p>
        </w:tc>
        <w:tc>
          <w:tcPr>
            <w:tcW w:w="1239" w:type="dxa"/>
            <w:tcBorders>
              <w:top w:val="nil"/>
              <w:left w:val="nil"/>
              <w:bottom w:val="nil"/>
              <w:right w:val="single" w:sz="8" w:space="0" w:color="auto"/>
            </w:tcBorders>
            <w:shd w:val="clear" w:color="000000" w:fill="CCCCCC"/>
            <w:vAlign w:val="center"/>
            <w:hideMark/>
          </w:tcPr>
          <w:p w14:paraId="0884904F" w14:textId="5C0CAAB6" w:rsidR="00B80126" w:rsidRPr="00AD25A6" w:rsidRDefault="00B80126" w:rsidP="00B80126">
            <w:pPr>
              <w:jc w:val="right"/>
              <w:rPr>
                <w:rFonts w:ascii="Arial" w:hAnsi="Arial" w:cs="Arial"/>
              </w:rPr>
            </w:pPr>
            <w:r>
              <w:rPr>
                <w:rFonts w:ascii="Arial" w:hAnsi="Arial" w:cs="Arial"/>
              </w:rPr>
              <w:t>0</w:t>
            </w:r>
          </w:p>
        </w:tc>
        <w:tc>
          <w:tcPr>
            <w:tcW w:w="1579" w:type="dxa"/>
            <w:tcBorders>
              <w:top w:val="nil"/>
              <w:left w:val="nil"/>
              <w:bottom w:val="nil"/>
              <w:right w:val="nil"/>
            </w:tcBorders>
            <w:shd w:val="clear" w:color="000000" w:fill="FFFFFF"/>
            <w:vAlign w:val="center"/>
            <w:hideMark/>
          </w:tcPr>
          <w:p w14:paraId="60A0C92A" w14:textId="77777777" w:rsidR="00B80126" w:rsidRPr="00AD25A6" w:rsidRDefault="00B80126" w:rsidP="00B80126">
            <w:pPr>
              <w:jc w:val="right"/>
              <w:rPr>
                <w:rFonts w:ascii="Arial" w:hAnsi="Arial" w:cs="Arial"/>
                <w:color w:val="000000"/>
              </w:rPr>
            </w:pPr>
            <w:r w:rsidRPr="00AD25A6">
              <w:rPr>
                <w:rFonts w:ascii="Arial" w:hAnsi="Arial" w:cs="Arial"/>
                <w:color w:val="000000"/>
              </w:rPr>
              <w:t>0</w:t>
            </w:r>
          </w:p>
        </w:tc>
        <w:tc>
          <w:tcPr>
            <w:tcW w:w="1073" w:type="dxa"/>
            <w:tcBorders>
              <w:top w:val="nil"/>
              <w:left w:val="nil"/>
              <w:bottom w:val="nil"/>
              <w:right w:val="single" w:sz="8" w:space="0" w:color="auto"/>
            </w:tcBorders>
            <w:shd w:val="clear" w:color="000000" w:fill="CCCCCC"/>
            <w:vAlign w:val="center"/>
            <w:hideMark/>
          </w:tcPr>
          <w:p w14:paraId="13523F61" w14:textId="42E2C376" w:rsidR="00B80126" w:rsidRPr="00AD25A6" w:rsidRDefault="00B80126" w:rsidP="00B80126">
            <w:pPr>
              <w:jc w:val="right"/>
              <w:rPr>
                <w:rFonts w:ascii="Arial" w:hAnsi="Arial" w:cs="Arial"/>
              </w:rPr>
            </w:pPr>
            <w:r>
              <w:rPr>
                <w:rFonts w:ascii="Arial" w:hAnsi="Arial" w:cs="Arial"/>
              </w:rPr>
              <w:t>0</w:t>
            </w:r>
          </w:p>
        </w:tc>
      </w:tr>
      <w:tr w:rsidR="00B80126" w:rsidRPr="00AD25A6" w14:paraId="0BD87862"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66308873" w14:textId="77777777" w:rsidR="00B80126" w:rsidRPr="00AD25A6" w:rsidRDefault="00B80126" w:rsidP="00B80126">
            <w:pPr>
              <w:rPr>
                <w:rFonts w:ascii="Arial" w:hAnsi="Arial" w:cs="Arial"/>
                <w:color w:val="000000"/>
              </w:rPr>
            </w:pPr>
            <w:r w:rsidRPr="00AD25A6">
              <w:rPr>
                <w:rFonts w:ascii="Arial" w:hAnsi="Arial" w:cs="Arial"/>
                <w:color w:val="000000"/>
              </w:rPr>
              <w:t>Interest on pensions liabilities</w:t>
            </w:r>
          </w:p>
        </w:tc>
        <w:tc>
          <w:tcPr>
            <w:tcW w:w="1508" w:type="dxa"/>
            <w:tcBorders>
              <w:top w:val="nil"/>
              <w:left w:val="single" w:sz="8" w:space="0" w:color="auto"/>
              <w:bottom w:val="nil"/>
              <w:right w:val="nil"/>
            </w:tcBorders>
            <w:shd w:val="clear" w:color="000000" w:fill="FFFFFF"/>
            <w:vAlign w:val="center"/>
            <w:hideMark/>
          </w:tcPr>
          <w:p w14:paraId="6EEF8FAC" w14:textId="1FA15423" w:rsidR="00B80126" w:rsidRPr="00AD25A6" w:rsidRDefault="00B80126" w:rsidP="00B80126">
            <w:pPr>
              <w:jc w:val="right"/>
              <w:rPr>
                <w:rFonts w:ascii="Arial" w:hAnsi="Arial" w:cs="Arial"/>
                <w:color w:val="000000"/>
              </w:rPr>
            </w:pPr>
            <w:r w:rsidRPr="00AD25A6">
              <w:rPr>
                <w:rFonts w:ascii="Arial" w:hAnsi="Arial" w:cs="Arial"/>
                <w:color w:val="000000"/>
              </w:rPr>
              <w:t>(1</w:t>
            </w:r>
            <w:r>
              <w:rPr>
                <w:rFonts w:ascii="Arial" w:hAnsi="Arial" w:cs="Arial"/>
                <w:color w:val="000000"/>
              </w:rPr>
              <w:t>27</w:t>
            </w:r>
            <w:r w:rsidRPr="00AD25A6">
              <w:rPr>
                <w:rFonts w:ascii="Arial" w:hAnsi="Arial" w:cs="Arial"/>
                <w:color w:val="000000"/>
              </w:rPr>
              <w:t>,</w:t>
            </w:r>
            <w:r>
              <w:rPr>
                <w:rFonts w:ascii="Arial" w:hAnsi="Arial" w:cs="Arial"/>
                <w:color w:val="000000"/>
              </w:rPr>
              <w:t>260</w:t>
            </w:r>
            <w:r w:rsidRPr="00AD25A6">
              <w:rPr>
                <w:rFonts w:ascii="Arial" w:hAnsi="Arial" w:cs="Arial"/>
                <w:color w:val="000000"/>
              </w:rPr>
              <w:t>)</w:t>
            </w:r>
          </w:p>
        </w:tc>
        <w:tc>
          <w:tcPr>
            <w:tcW w:w="1239" w:type="dxa"/>
            <w:tcBorders>
              <w:top w:val="nil"/>
              <w:left w:val="nil"/>
              <w:bottom w:val="nil"/>
              <w:right w:val="single" w:sz="8" w:space="0" w:color="auto"/>
            </w:tcBorders>
            <w:shd w:val="clear" w:color="000000" w:fill="CCCCCC"/>
            <w:vAlign w:val="center"/>
            <w:hideMark/>
          </w:tcPr>
          <w:p w14:paraId="7767A8E6" w14:textId="62598B1B" w:rsidR="00B80126" w:rsidRPr="00AD25A6" w:rsidRDefault="00B80126" w:rsidP="00B80126">
            <w:pPr>
              <w:jc w:val="right"/>
              <w:rPr>
                <w:rFonts w:ascii="Arial" w:hAnsi="Arial" w:cs="Arial"/>
              </w:rPr>
            </w:pPr>
            <w:r>
              <w:rPr>
                <w:rFonts w:ascii="Arial" w:hAnsi="Arial" w:cs="Arial"/>
              </w:rPr>
              <w:t>(128,514)</w:t>
            </w:r>
          </w:p>
        </w:tc>
        <w:tc>
          <w:tcPr>
            <w:tcW w:w="1579" w:type="dxa"/>
            <w:tcBorders>
              <w:top w:val="nil"/>
              <w:left w:val="nil"/>
              <w:bottom w:val="nil"/>
              <w:right w:val="nil"/>
            </w:tcBorders>
            <w:shd w:val="clear" w:color="000000" w:fill="FFFFFF"/>
            <w:vAlign w:val="center"/>
            <w:hideMark/>
          </w:tcPr>
          <w:p w14:paraId="5EC783A7" w14:textId="6E400659" w:rsidR="00B80126" w:rsidRPr="00AD25A6" w:rsidRDefault="00B80126" w:rsidP="00B80126">
            <w:pPr>
              <w:jc w:val="right"/>
              <w:rPr>
                <w:rFonts w:ascii="Arial" w:hAnsi="Arial" w:cs="Arial"/>
                <w:color w:val="000000"/>
              </w:rPr>
            </w:pPr>
            <w:r w:rsidRPr="00AD25A6">
              <w:rPr>
                <w:rFonts w:ascii="Arial" w:hAnsi="Arial" w:cs="Arial"/>
                <w:color w:val="000000"/>
              </w:rPr>
              <w:t>(7,9</w:t>
            </w:r>
            <w:r>
              <w:rPr>
                <w:rFonts w:ascii="Arial" w:hAnsi="Arial" w:cs="Arial"/>
                <w:color w:val="000000"/>
              </w:rPr>
              <w:t>29</w:t>
            </w:r>
            <w:r w:rsidRPr="00AD25A6">
              <w:rPr>
                <w:rFonts w:ascii="Arial" w:hAnsi="Arial" w:cs="Arial"/>
                <w:color w:val="000000"/>
              </w:rPr>
              <w:t>)</w:t>
            </w:r>
          </w:p>
        </w:tc>
        <w:tc>
          <w:tcPr>
            <w:tcW w:w="1073" w:type="dxa"/>
            <w:tcBorders>
              <w:top w:val="nil"/>
              <w:left w:val="nil"/>
              <w:bottom w:val="nil"/>
              <w:right w:val="single" w:sz="8" w:space="0" w:color="auto"/>
            </w:tcBorders>
            <w:shd w:val="clear" w:color="000000" w:fill="CCCCCC"/>
            <w:vAlign w:val="center"/>
            <w:hideMark/>
          </w:tcPr>
          <w:p w14:paraId="27128080" w14:textId="66D946CA" w:rsidR="00B80126" w:rsidRPr="00AD25A6" w:rsidRDefault="00B80126" w:rsidP="00B80126">
            <w:pPr>
              <w:jc w:val="right"/>
              <w:rPr>
                <w:rFonts w:ascii="Arial" w:hAnsi="Arial" w:cs="Arial"/>
              </w:rPr>
            </w:pPr>
            <w:r>
              <w:rPr>
                <w:rFonts w:ascii="Arial" w:hAnsi="Arial" w:cs="Arial"/>
              </w:rPr>
              <w:t>(8,399)</w:t>
            </w:r>
          </w:p>
        </w:tc>
      </w:tr>
      <w:tr w:rsidR="00B80126" w:rsidRPr="00AD25A6" w14:paraId="03B3E796"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0A8EFED4" w14:textId="77777777" w:rsidR="00B80126" w:rsidRPr="00AD25A6" w:rsidRDefault="00B80126" w:rsidP="00B80126">
            <w:pPr>
              <w:rPr>
                <w:rFonts w:ascii="Arial" w:hAnsi="Arial" w:cs="Arial"/>
                <w:color w:val="000000"/>
              </w:rPr>
            </w:pPr>
            <w:r w:rsidRPr="00AD25A6">
              <w:rPr>
                <w:rFonts w:ascii="Arial" w:hAnsi="Arial" w:cs="Arial"/>
                <w:color w:val="000000"/>
              </w:rPr>
              <w:t>Contributions by scheme participants</w:t>
            </w:r>
          </w:p>
        </w:tc>
        <w:tc>
          <w:tcPr>
            <w:tcW w:w="1508" w:type="dxa"/>
            <w:tcBorders>
              <w:top w:val="nil"/>
              <w:left w:val="single" w:sz="8" w:space="0" w:color="auto"/>
              <w:bottom w:val="nil"/>
              <w:right w:val="nil"/>
            </w:tcBorders>
            <w:shd w:val="clear" w:color="000000" w:fill="FFFFFF"/>
            <w:vAlign w:val="center"/>
            <w:hideMark/>
          </w:tcPr>
          <w:p w14:paraId="2AD2B979" w14:textId="6757D68E" w:rsidR="00B80126" w:rsidRPr="00AD25A6" w:rsidRDefault="00B80126" w:rsidP="00B80126">
            <w:pPr>
              <w:jc w:val="right"/>
              <w:rPr>
                <w:rFonts w:ascii="Arial" w:hAnsi="Arial" w:cs="Arial"/>
                <w:color w:val="000000"/>
              </w:rPr>
            </w:pPr>
            <w:r w:rsidRPr="00AD25A6">
              <w:rPr>
                <w:rFonts w:ascii="Arial" w:hAnsi="Arial" w:cs="Arial"/>
                <w:color w:val="000000"/>
              </w:rPr>
              <w:t>(1</w:t>
            </w:r>
            <w:r>
              <w:rPr>
                <w:rFonts w:ascii="Arial" w:hAnsi="Arial" w:cs="Arial"/>
                <w:color w:val="000000"/>
              </w:rPr>
              <w:t>8</w:t>
            </w:r>
            <w:r w:rsidRPr="00AD25A6">
              <w:rPr>
                <w:rFonts w:ascii="Arial" w:hAnsi="Arial" w:cs="Arial"/>
                <w:color w:val="000000"/>
              </w:rPr>
              <w:t>,</w:t>
            </w:r>
            <w:r>
              <w:rPr>
                <w:rFonts w:ascii="Arial" w:hAnsi="Arial" w:cs="Arial"/>
                <w:color w:val="000000"/>
              </w:rPr>
              <w:t>77</w:t>
            </w:r>
            <w:r w:rsidRPr="00AD25A6">
              <w:rPr>
                <w:rFonts w:ascii="Arial" w:hAnsi="Arial" w:cs="Arial"/>
                <w:color w:val="000000"/>
              </w:rPr>
              <w:t>8)</w:t>
            </w:r>
          </w:p>
        </w:tc>
        <w:tc>
          <w:tcPr>
            <w:tcW w:w="1239" w:type="dxa"/>
            <w:tcBorders>
              <w:top w:val="nil"/>
              <w:left w:val="nil"/>
              <w:bottom w:val="nil"/>
              <w:right w:val="single" w:sz="8" w:space="0" w:color="auto"/>
            </w:tcBorders>
            <w:shd w:val="clear" w:color="000000" w:fill="CCCCCC"/>
            <w:vAlign w:val="center"/>
            <w:hideMark/>
          </w:tcPr>
          <w:p w14:paraId="7122221C" w14:textId="7E13E4DE" w:rsidR="00B80126" w:rsidRPr="00AD25A6" w:rsidRDefault="00B80126" w:rsidP="00B80126">
            <w:pPr>
              <w:jc w:val="right"/>
              <w:rPr>
                <w:rFonts w:ascii="Arial" w:hAnsi="Arial" w:cs="Arial"/>
              </w:rPr>
            </w:pPr>
            <w:r>
              <w:rPr>
                <w:rFonts w:ascii="Arial" w:hAnsi="Arial" w:cs="Arial"/>
              </w:rPr>
              <w:t>(18,449)</w:t>
            </w:r>
          </w:p>
        </w:tc>
        <w:tc>
          <w:tcPr>
            <w:tcW w:w="1579" w:type="dxa"/>
            <w:tcBorders>
              <w:top w:val="nil"/>
              <w:left w:val="nil"/>
              <w:bottom w:val="nil"/>
              <w:right w:val="nil"/>
            </w:tcBorders>
            <w:shd w:val="clear" w:color="000000" w:fill="FFFFFF"/>
            <w:vAlign w:val="center"/>
            <w:hideMark/>
          </w:tcPr>
          <w:p w14:paraId="45836D21" w14:textId="77777777" w:rsidR="00B80126" w:rsidRPr="00AD25A6" w:rsidRDefault="00B80126" w:rsidP="00B80126">
            <w:pPr>
              <w:jc w:val="right"/>
              <w:rPr>
                <w:rFonts w:ascii="Arial" w:hAnsi="Arial" w:cs="Arial"/>
                <w:color w:val="000000"/>
              </w:rPr>
            </w:pPr>
            <w:r w:rsidRPr="00AD25A6">
              <w:rPr>
                <w:rFonts w:ascii="Arial" w:hAnsi="Arial" w:cs="Arial"/>
                <w:color w:val="000000"/>
              </w:rPr>
              <w:t>0</w:t>
            </w:r>
          </w:p>
        </w:tc>
        <w:tc>
          <w:tcPr>
            <w:tcW w:w="1073" w:type="dxa"/>
            <w:tcBorders>
              <w:top w:val="nil"/>
              <w:left w:val="nil"/>
              <w:bottom w:val="nil"/>
              <w:right w:val="single" w:sz="8" w:space="0" w:color="auto"/>
            </w:tcBorders>
            <w:shd w:val="clear" w:color="000000" w:fill="CCCCCC"/>
            <w:vAlign w:val="center"/>
            <w:hideMark/>
          </w:tcPr>
          <w:p w14:paraId="5DFE66A0" w14:textId="45040558" w:rsidR="00B80126" w:rsidRPr="00AD25A6" w:rsidRDefault="00B80126" w:rsidP="00B80126">
            <w:pPr>
              <w:jc w:val="right"/>
              <w:rPr>
                <w:rFonts w:ascii="Arial" w:hAnsi="Arial" w:cs="Arial"/>
              </w:rPr>
            </w:pPr>
            <w:r>
              <w:rPr>
                <w:rFonts w:ascii="Arial" w:hAnsi="Arial" w:cs="Arial"/>
              </w:rPr>
              <w:t>0</w:t>
            </w:r>
          </w:p>
        </w:tc>
      </w:tr>
      <w:tr w:rsidR="00B80126" w:rsidRPr="00AD25A6" w14:paraId="786414F3"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27C828B4" w14:textId="77777777" w:rsidR="00B80126" w:rsidRPr="00AD25A6" w:rsidRDefault="00B80126" w:rsidP="00B80126">
            <w:pPr>
              <w:rPr>
                <w:rFonts w:ascii="Arial" w:hAnsi="Arial" w:cs="Arial"/>
                <w:color w:val="000000"/>
              </w:rPr>
            </w:pPr>
            <w:r w:rsidRPr="00AD25A6">
              <w:rPr>
                <w:rFonts w:ascii="Arial" w:hAnsi="Arial" w:cs="Arial"/>
                <w:color w:val="000000"/>
              </w:rPr>
              <w:t>Experience (gains)/losses on liabilities</w:t>
            </w:r>
          </w:p>
        </w:tc>
        <w:tc>
          <w:tcPr>
            <w:tcW w:w="1508" w:type="dxa"/>
            <w:tcBorders>
              <w:top w:val="nil"/>
              <w:left w:val="single" w:sz="8" w:space="0" w:color="auto"/>
              <w:bottom w:val="nil"/>
              <w:right w:val="nil"/>
            </w:tcBorders>
            <w:shd w:val="clear" w:color="000000" w:fill="FFFFFF"/>
            <w:vAlign w:val="center"/>
            <w:hideMark/>
          </w:tcPr>
          <w:p w14:paraId="44CE589B" w14:textId="29B06EB3" w:rsidR="00B80126" w:rsidRPr="00AD25A6" w:rsidRDefault="00B80126" w:rsidP="00B80126">
            <w:pPr>
              <w:jc w:val="right"/>
              <w:rPr>
                <w:rFonts w:ascii="Arial" w:hAnsi="Arial" w:cs="Arial"/>
                <w:color w:val="000000"/>
              </w:rPr>
            </w:pPr>
            <w:r w:rsidRPr="00AD25A6">
              <w:rPr>
                <w:rFonts w:ascii="Arial" w:hAnsi="Arial" w:cs="Arial"/>
                <w:color w:val="000000"/>
              </w:rPr>
              <w:t>(</w:t>
            </w:r>
            <w:r>
              <w:rPr>
                <w:rFonts w:ascii="Arial" w:hAnsi="Arial" w:cs="Arial"/>
                <w:color w:val="000000"/>
              </w:rPr>
              <w:t>16</w:t>
            </w:r>
            <w:r w:rsidRPr="00AD25A6">
              <w:rPr>
                <w:rFonts w:ascii="Arial" w:hAnsi="Arial" w:cs="Arial"/>
                <w:color w:val="000000"/>
              </w:rPr>
              <w:t>,</w:t>
            </w:r>
            <w:r>
              <w:rPr>
                <w:rFonts w:ascii="Arial" w:hAnsi="Arial" w:cs="Arial"/>
                <w:color w:val="000000"/>
              </w:rPr>
              <w:t>451</w:t>
            </w:r>
            <w:r w:rsidRPr="00AD25A6">
              <w:rPr>
                <w:rFonts w:ascii="Arial" w:hAnsi="Arial" w:cs="Arial"/>
                <w:color w:val="000000"/>
              </w:rPr>
              <w:t>)</w:t>
            </w:r>
          </w:p>
        </w:tc>
        <w:tc>
          <w:tcPr>
            <w:tcW w:w="1239" w:type="dxa"/>
            <w:tcBorders>
              <w:top w:val="nil"/>
              <w:left w:val="nil"/>
              <w:bottom w:val="nil"/>
              <w:right w:val="single" w:sz="8" w:space="0" w:color="auto"/>
            </w:tcBorders>
            <w:shd w:val="clear" w:color="000000" w:fill="CCCCCC"/>
            <w:vAlign w:val="center"/>
            <w:hideMark/>
          </w:tcPr>
          <w:p w14:paraId="3B2A1CA2" w14:textId="1F1516D4" w:rsidR="00B80126" w:rsidRPr="00AD25A6" w:rsidRDefault="00B80126" w:rsidP="00B80126">
            <w:pPr>
              <w:jc w:val="right"/>
              <w:rPr>
                <w:rFonts w:ascii="Arial" w:hAnsi="Arial" w:cs="Arial"/>
              </w:rPr>
            </w:pPr>
            <w:r>
              <w:rPr>
                <w:rFonts w:ascii="Arial" w:hAnsi="Arial" w:cs="Arial"/>
              </w:rPr>
              <w:t>1,535</w:t>
            </w:r>
          </w:p>
        </w:tc>
        <w:tc>
          <w:tcPr>
            <w:tcW w:w="1579" w:type="dxa"/>
            <w:tcBorders>
              <w:top w:val="nil"/>
              <w:left w:val="nil"/>
              <w:bottom w:val="nil"/>
              <w:right w:val="nil"/>
            </w:tcBorders>
            <w:shd w:val="clear" w:color="000000" w:fill="FFFFFF"/>
            <w:vAlign w:val="center"/>
            <w:hideMark/>
          </w:tcPr>
          <w:p w14:paraId="59994306" w14:textId="6B5ACF85" w:rsidR="00B80126" w:rsidRPr="00AD25A6" w:rsidRDefault="00B80126" w:rsidP="00B80126">
            <w:pPr>
              <w:jc w:val="right"/>
              <w:rPr>
                <w:rFonts w:ascii="Arial" w:hAnsi="Arial" w:cs="Arial"/>
                <w:color w:val="000000"/>
              </w:rPr>
            </w:pPr>
            <w:r w:rsidRPr="00AD25A6">
              <w:rPr>
                <w:rFonts w:ascii="Arial" w:hAnsi="Arial" w:cs="Arial"/>
                <w:color w:val="000000"/>
              </w:rPr>
              <w:t>(</w:t>
            </w:r>
            <w:r>
              <w:rPr>
                <w:rFonts w:ascii="Arial" w:hAnsi="Arial" w:cs="Arial"/>
                <w:color w:val="000000"/>
              </w:rPr>
              <w:t>63</w:t>
            </w:r>
            <w:r w:rsidRPr="00AD25A6">
              <w:rPr>
                <w:rFonts w:ascii="Arial" w:hAnsi="Arial" w:cs="Arial"/>
                <w:color w:val="000000"/>
              </w:rPr>
              <w:t>6)</w:t>
            </w:r>
          </w:p>
        </w:tc>
        <w:tc>
          <w:tcPr>
            <w:tcW w:w="1073" w:type="dxa"/>
            <w:tcBorders>
              <w:top w:val="nil"/>
              <w:left w:val="nil"/>
              <w:bottom w:val="nil"/>
              <w:right w:val="single" w:sz="8" w:space="0" w:color="auto"/>
            </w:tcBorders>
            <w:shd w:val="clear" w:color="000000" w:fill="CCCCCC"/>
            <w:vAlign w:val="center"/>
            <w:hideMark/>
          </w:tcPr>
          <w:p w14:paraId="67AD24A7" w14:textId="31E75EDC" w:rsidR="00B80126" w:rsidRPr="00AD25A6" w:rsidRDefault="00B80126" w:rsidP="00B80126">
            <w:pPr>
              <w:jc w:val="right"/>
              <w:rPr>
                <w:rFonts w:ascii="Arial" w:hAnsi="Arial" w:cs="Arial"/>
              </w:rPr>
            </w:pPr>
            <w:r>
              <w:rPr>
                <w:rFonts w:ascii="Arial" w:hAnsi="Arial" w:cs="Arial"/>
              </w:rPr>
              <w:t>117</w:t>
            </w:r>
          </w:p>
        </w:tc>
      </w:tr>
      <w:tr w:rsidR="00B80126" w:rsidRPr="00AD25A6" w14:paraId="7886430F"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328498E7" w14:textId="77777777" w:rsidR="00B80126" w:rsidRPr="00AD25A6" w:rsidRDefault="00B80126" w:rsidP="00B80126">
            <w:pPr>
              <w:rPr>
                <w:rFonts w:ascii="Arial" w:hAnsi="Arial" w:cs="Arial"/>
                <w:color w:val="000000"/>
              </w:rPr>
            </w:pPr>
            <w:r w:rsidRPr="00AD25A6">
              <w:rPr>
                <w:rFonts w:ascii="Arial" w:hAnsi="Arial" w:cs="Arial"/>
                <w:color w:val="000000"/>
              </w:rPr>
              <w:t>Actuarial gains –changes in demographic assumptions</w:t>
            </w:r>
          </w:p>
        </w:tc>
        <w:tc>
          <w:tcPr>
            <w:tcW w:w="1508" w:type="dxa"/>
            <w:tcBorders>
              <w:top w:val="nil"/>
              <w:left w:val="single" w:sz="8" w:space="0" w:color="auto"/>
              <w:bottom w:val="nil"/>
              <w:right w:val="nil"/>
            </w:tcBorders>
            <w:shd w:val="clear" w:color="000000" w:fill="FFFFFF"/>
            <w:vAlign w:val="center"/>
            <w:hideMark/>
          </w:tcPr>
          <w:p w14:paraId="23EA9BAE" w14:textId="130528E2" w:rsidR="00B80126" w:rsidRPr="00AD25A6" w:rsidRDefault="00B80126" w:rsidP="00B80126">
            <w:pPr>
              <w:jc w:val="right"/>
              <w:rPr>
                <w:rFonts w:ascii="Arial" w:hAnsi="Arial" w:cs="Arial"/>
                <w:color w:val="000000"/>
              </w:rPr>
            </w:pPr>
            <w:r>
              <w:rPr>
                <w:rFonts w:ascii="Arial" w:hAnsi="Arial" w:cs="Arial"/>
                <w:color w:val="000000"/>
              </w:rPr>
              <w:t>53</w:t>
            </w:r>
            <w:r w:rsidRPr="00AD25A6">
              <w:rPr>
                <w:rFonts w:ascii="Arial" w:hAnsi="Arial" w:cs="Arial"/>
                <w:color w:val="000000"/>
              </w:rPr>
              <w:t>,</w:t>
            </w:r>
            <w:r>
              <w:rPr>
                <w:rFonts w:ascii="Arial" w:hAnsi="Arial" w:cs="Arial"/>
                <w:color w:val="000000"/>
              </w:rPr>
              <w:t>558</w:t>
            </w:r>
          </w:p>
        </w:tc>
        <w:tc>
          <w:tcPr>
            <w:tcW w:w="1239" w:type="dxa"/>
            <w:tcBorders>
              <w:top w:val="nil"/>
              <w:left w:val="nil"/>
              <w:bottom w:val="nil"/>
              <w:right w:val="single" w:sz="8" w:space="0" w:color="auto"/>
            </w:tcBorders>
            <w:shd w:val="clear" w:color="000000" w:fill="CCCCCC"/>
            <w:vAlign w:val="center"/>
            <w:hideMark/>
          </w:tcPr>
          <w:p w14:paraId="7A6319CE" w14:textId="78B25C9F" w:rsidR="00B80126" w:rsidRPr="00AD25A6" w:rsidRDefault="00B80126" w:rsidP="00B80126">
            <w:pPr>
              <w:jc w:val="right"/>
              <w:rPr>
                <w:rFonts w:ascii="Arial" w:hAnsi="Arial" w:cs="Arial"/>
              </w:rPr>
            </w:pPr>
            <w:r>
              <w:rPr>
                <w:rFonts w:ascii="Arial" w:hAnsi="Arial" w:cs="Arial"/>
              </w:rPr>
              <w:t>4,311</w:t>
            </w:r>
          </w:p>
        </w:tc>
        <w:tc>
          <w:tcPr>
            <w:tcW w:w="1579" w:type="dxa"/>
            <w:tcBorders>
              <w:top w:val="nil"/>
              <w:left w:val="nil"/>
              <w:bottom w:val="nil"/>
              <w:right w:val="nil"/>
            </w:tcBorders>
            <w:shd w:val="clear" w:color="000000" w:fill="FFFFFF"/>
            <w:vAlign w:val="center"/>
            <w:hideMark/>
          </w:tcPr>
          <w:p w14:paraId="46E1EB7F" w14:textId="109A4585" w:rsidR="00B80126" w:rsidRPr="00AD25A6" w:rsidRDefault="00B80126" w:rsidP="00B80126">
            <w:pPr>
              <w:jc w:val="right"/>
              <w:rPr>
                <w:rFonts w:ascii="Arial" w:hAnsi="Arial" w:cs="Arial"/>
                <w:color w:val="000000"/>
              </w:rPr>
            </w:pPr>
            <w:r>
              <w:rPr>
                <w:rFonts w:ascii="Arial" w:hAnsi="Arial" w:cs="Arial"/>
                <w:color w:val="000000"/>
              </w:rPr>
              <w:t>3,200</w:t>
            </w:r>
          </w:p>
        </w:tc>
        <w:tc>
          <w:tcPr>
            <w:tcW w:w="1073" w:type="dxa"/>
            <w:tcBorders>
              <w:top w:val="nil"/>
              <w:left w:val="nil"/>
              <w:bottom w:val="nil"/>
              <w:right w:val="single" w:sz="8" w:space="0" w:color="auto"/>
            </w:tcBorders>
            <w:shd w:val="clear" w:color="000000" w:fill="CCCCCC"/>
            <w:vAlign w:val="center"/>
            <w:hideMark/>
          </w:tcPr>
          <w:p w14:paraId="6414441F" w14:textId="6493F72C" w:rsidR="00B80126" w:rsidRPr="00AD25A6" w:rsidRDefault="00B80126" w:rsidP="00B80126">
            <w:pPr>
              <w:jc w:val="right"/>
              <w:rPr>
                <w:rFonts w:ascii="Arial" w:hAnsi="Arial" w:cs="Arial"/>
              </w:rPr>
            </w:pPr>
            <w:r>
              <w:rPr>
                <w:rFonts w:ascii="Arial" w:hAnsi="Arial" w:cs="Arial"/>
              </w:rPr>
              <w:t>373</w:t>
            </w:r>
          </w:p>
        </w:tc>
      </w:tr>
      <w:tr w:rsidR="00B80126" w:rsidRPr="00AD25A6" w14:paraId="0A66B1D7" w14:textId="77777777" w:rsidTr="00B80126">
        <w:trPr>
          <w:trHeight w:val="300"/>
        </w:trPr>
        <w:tc>
          <w:tcPr>
            <w:tcW w:w="5506" w:type="dxa"/>
            <w:tcBorders>
              <w:top w:val="nil"/>
              <w:left w:val="single" w:sz="8" w:space="0" w:color="auto"/>
              <w:bottom w:val="nil"/>
              <w:right w:val="nil"/>
            </w:tcBorders>
            <w:shd w:val="clear" w:color="000000" w:fill="CCCCCC"/>
            <w:vAlign w:val="center"/>
            <w:hideMark/>
          </w:tcPr>
          <w:p w14:paraId="51C78292" w14:textId="77777777" w:rsidR="00B80126" w:rsidRPr="00AD25A6" w:rsidRDefault="00B80126" w:rsidP="00B80126">
            <w:pPr>
              <w:rPr>
                <w:rFonts w:ascii="Arial" w:hAnsi="Arial" w:cs="Arial"/>
                <w:color w:val="000000"/>
              </w:rPr>
            </w:pPr>
            <w:r w:rsidRPr="00AD25A6">
              <w:rPr>
                <w:rFonts w:ascii="Arial" w:hAnsi="Arial" w:cs="Arial"/>
                <w:color w:val="000000"/>
              </w:rPr>
              <w:t>Actuarial (gains)/losses –changes in financial assumptions</w:t>
            </w:r>
          </w:p>
        </w:tc>
        <w:tc>
          <w:tcPr>
            <w:tcW w:w="1508" w:type="dxa"/>
            <w:tcBorders>
              <w:top w:val="nil"/>
              <w:left w:val="single" w:sz="8" w:space="0" w:color="auto"/>
              <w:bottom w:val="nil"/>
              <w:right w:val="nil"/>
            </w:tcBorders>
            <w:shd w:val="clear" w:color="000000" w:fill="FFFFFF"/>
            <w:vAlign w:val="center"/>
            <w:hideMark/>
          </w:tcPr>
          <w:p w14:paraId="6DE8F912" w14:textId="09E79038" w:rsidR="00B80126" w:rsidRPr="00AD25A6" w:rsidRDefault="00B80126" w:rsidP="00B80126">
            <w:pPr>
              <w:jc w:val="right"/>
              <w:rPr>
                <w:rFonts w:ascii="Arial" w:hAnsi="Arial" w:cs="Arial"/>
                <w:color w:val="000000"/>
              </w:rPr>
            </w:pPr>
            <w:r w:rsidRPr="00AD25A6">
              <w:rPr>
                <w:rFonts w:ascii="Arial" w:hAnsi="Arial" w:cs="Arial"/>
                <w:color w:val="000000"/>
              </w:rPr>
              <w:t>45,</w:t>
            </w:r>
            <w:r>
              <w:rPr>
                <w:rFonts w:ascii="Arial" w:hAnsi="Arial" w:cs="Arial"/>
                <w:color w:val="000000"/>
              </w:rPr>
              <w:t>1</w:t>
            </w:r>
            <w:r w:rsidRPr="00AD25A6">
              <w:rPr>
                <w:rFonts w:ascii="Arial" w:hAnsi="Arial" w:cs="Arial"/>
                <w:color w:val="000000"/>
              </w:rPr>
              <w:t>37</w:t>
            </w:r>
          </w:p>
        </w:tc>
        <w:tc>
          <w:tcPr>
            <w:tcW w:w="1239" w:type="dxa"/>
            <w:tcBorders>
              <w:top w:val="nil"/>
              <w:left w:val="nil"/>
              <w:bottom w:val="nil"/>
              <w:right w:val="single" w:sz="8" w:space="0" w:color="auto"/>
            </w:tcBorders>
            <w:shd w:val="clear" w:color="000000" w:fill="CCCCCC"/>
            <w:vAlign w:val="center"/>
            <w:hideMark/>
          </w:tcPr>
          <w:p w14:paraId="1DA8262C" w14:textId="03176CDC" w:rsidR="00B80126" w:rsidRPr="00AD25A6" w:rsidRDefault="00B80126" w:rsidP="00B80126">
            <w:pPr>
              <w:jc w:val="right"/>
              <w:rPr>
                <w:rFonts w:ascii="Arial" w:hAnsi="Arial" w:cs="Arial"/>
              </w:rPr>
            </w:pPr>
            <w:r>
              <w:rPr>
                <w:rFonts w:ascii="Arial" w:hAnsi="Arial" w:cs="Arial"/>
              </w:rPr>
              <w:t>392,468</w:t>
            </w:r>
          </w:p>
        </w:tc>
        <w:tc>
          <w:tcPr>
            <w:tcW w:w="1579" w:type="dxa"/>
            <w:tcBorders>
              <w:top w:val="nil"/>
              <w:left w:val="nil"/>
              <w:bottom w:val="nil"/>
              <w:right w:val="nil"/>
            </w:tcBorders>
            <w:shd w:val="clear" w:color="000000" w:fill="FFFFFF"/>
            <w:vAlign w:val="center"/>
            <w:hideMark/>
          </w:tcPr>
          <w:p w14:paraId="56CD188F" w14:textId="02BB68C1" w:rsidR="00B80126" w:rsidRPr="00AD25A6" w:rsidRDefault="00B80126" w:rsidP="00B80126">
            <w:pPr>
              <w:jc w:val="right"/>
              <w:rPr>
                <w:rFonts w:ascii="Arial" w:hAnsi="Arial" w:cs="Arial"/>
                <w:color w:val="000000"/>
              </w:rPr>
            </w:pPr>
            <w:r>
              <w:rPr>
                <w:rFonts w:ascii="Arial" w:hAnsi="Arial" w:cs="Arial"/>
                <w:color w:val="000000"/>
              </w:rPr>
              <w:t>3</w:t>
            </w:r>
            <w:r w:rsidRPr="00AD25A6">
              <w:rPr>
                <w:rFonts w:ascii="Arial" w:hAnsi="Arial" w:cs="Arial"/>
                <w:color w:val="000000"/>
              </w:rPr>
              <w:t>,3</w:t>
            </w:r>
            <w:r>
              <w:rPr>
                <w:rFonts w:ascii="Arial" w:hAnsi="Arial" w:cs="Arial"/>
                <w:color w:val="000000"/>
              </w:rPr>
              <w:t>44</w:t>
            </w:r>
          </w:p>
        </w:tc>
        <w:tc>
          <w:tcPr>
            <w:tcW w:w="1073" w:type="dxa"/>
            <w:tcBorders>
              <w:top w:val="nil"/>
              <w:left w:val="nil"/>
              <w:bottom w:val="nil"/>
              <w:right w:val="single" w:sz="8" w:space="0" w:color="auto"/>
            </w:tcBorders>
            <w:shd w:val="clear" w:color="000000" w:fill="CCCCCC"/>
            <w:vAlign w:val="center"/>
            <w:hideMark/>
          </w:tcPr>
          <w:p w14:paraId="15341718" w14:textId="53E91C8C" w:rsidR="00B80126" w:rsidRPr="00AD25A6" w:rsidRDefault="00B80126" w:rsidP="00B80126">
            <w:pPr>
              <w:jc w:val="right"/>
              <w:rPr>
                <w:rFonts w:ascii="Arial" w:hAnsi="Arial" w:cs="Arial"/>
              </w:rPr>
            </w:pPr>
            <w:r>
              <w:rPr>
                <w:rFonts w:ascii="Arial" w:hAnsi="Arial" w:cs="Arial"/>
              </w:rPr>
              <w:t>29,599</w:t>
            </w:r>
          </w:p>
        </w:tc>
      </w:tr>
      <w:tr w:rsidR="00B80126" w:rsidRPr="00AD25A6" w14:paraId="122E9210" w14:textId="77777777" w:rsidTr="00B80126">
        <w:trPr>
          <w:trHeight w:val="315"/>
        </w:trPr>
        <w:tc>
          <w:tcPr>
            <w:tcW w:w="5506" w:type="dxa"/>
            <w:tcBorders>
              <w:top w:val="nil"/>
              <w:left w:val="single" w:sz="8" w:space="0" w:color="auto"/>
              <w:bottom w:val="nil"/>
              <w:right w:val="nil"/>
            </w:tcBorders>
            <w:shd w:val="clear" w:color="000000" w:fill="CCCCCC"/>
            <w:vAlign w:val="center"/>
            <w:hideMark/>
          </w:tcPr>
          <w:p w14:paraId="20C12879" w14:textId="77777777" w:rsidR="00B80126" w:rsidRPr="00AD25A6" w:rsidRDefault="00B80126" w:rsidP="00B80126">
            <w:pPr>
              <w:rPr>
                <w:rFonts w:ascii="Arial" w:hAnsi="Arial" w:cs="Arial"/>
                <w:color w:val="000000"/>
              </w:rPr>
            </w:pPr>
            <w:r w:rsidRPr="00AD25A6">
              <w:rPr>
                <w:rFonts w:ascii="Arial" w:hAnsi="Arial" w:cs="Arial"/>
                <w:color w:val="000000"/>
              </w:rPr>
              <w:t>Benefits paid</w:t>
            </w:r>
          </w:p>
        </w:tc>
        <w:tc>
          <w:tcPr>
            <w:tcW w:w="1508" w:type="dxa"/>
            <w:tcBorders>
              <w:top w:val="nil"/>
              <w:left w:val="single" w:sz="8" w:space="0" w:color="auto"/>
              <w:bottom w:val="nil"/>
              <w:right w:val="nil"/>
            </w:tcBorders>
            <w:shd w:val="clear" w:color="000000" w:fill="FFFFFF"/>
            <w:vAlign w:val="center"/>
            <w:hideMark/>
          </w:tcPr>
          <w:p w14:paraId="2D3A799B" w14:textId="4DC661C0" w:rsidR="00B80126" w:rsidRPr="00AD25A6" w:rsidRDefault="00B80126" w:rsidP="00B80126">
            <w:pPr>
              <w:jc w:val="right"/>
              <w:rPr>
                <w:rFonts w:ascii="Arial" w:hAnsi="Arial" w:cs="Arial"/>
                <w:color w:val="000000"/>
              </w:rPr>
            </w:pPr>
            <w:r w:rsidRPr="00AD25A6">
              <w:rPr>
                <w:rFonts w:ascii="Arial" w:hAnsi="Arial" w:cs="Arial"/>
                <w:color w:val="000000"/>
              </w:rPr>
              <w:t>1</w:t>
            </w:r>
            <w:r>
              <w:rPr>
                <w:rFonts w:ascii="Arial" w:hAnsi="Arial" w:cs="Arial"/>
                <w:color w:val="000000"/>
              </w:rPr>
              <w:t>19</w:t>
            </w:r>
            <w:r w:rsidRPr="00AD25A6">
              <w:rPr>
                <w:rFonts w:ascii="Arial" w:hAnsi="Arial" w:cs="Arial"/>
                <w:color w:val="000000"/>
              </w:rPr>
              <w:t>,</w:t>
            </w:r>
            <w:r>
              <w:rPr>
                <w:rFonts w:ascii="Arial" w:hAnsi="Arial" w:cs="Arial"/>
                <w:color w:val="000000"/>
              </w:rPr>
              <w:t>644</w:t>
            </w:r>
          </w:p>
        </w:tc>
        <w:tc>
          <w:tcPr>
            <w:tcW w:w="1239" w:type="dxa"/>
            <w:tcBorders>
              <w:top w:val="nil"/>
              <w:left w:val="nil"/>
              <w:bottom w:val="single" w:sz="8" w:space="0" w:color="auto"/>
              <w:right w:val="single" w:sz="8" w:space="0" w:color="auto"/>
            </w:tcBorders>
            <w:shd w:val="clear" w:color="000000" w:fill="CCCCCC"/>
            <w:vAlign w:val="center"/>
            <w:hideMark/>
          </w:tcPr>
          <w:p w14:paraId="37580C5F" w14:textId="0F76F73F" w:rsidR="00B80126" w:rsidRPr="00AD25A6" w:rsidRDefault="00B80126" w:rsidP="00B80126">
            <w:pPr>
              <w:jc w:val="right"/>
              <w:rPr>
                <w:rFonts w:ascii="Arial" w:hAnsi="Arial" w:cs="Arial"/>
              </w:rPr>
            </w:pPr>
            <w:r>
              <w:rPr>
                <w:rFonts w:ascii="Arial" w:hAnsi="Arial" w:cs="Arial"/>
              </w:rPr>
              <w:t>126,564</w:t>
            </w:r>
          </w:p>
        </w:tc>
        <w:tc>
          <w:tcPr>
            <w:tcW w:w="1579" w:type="dxa"/>
            <w:tcBorders>
              <w:top w:val="nil"/>
              <w:left w:val="nil"/>
              <w:bottom w:val="nil"/>
              <w:right w:val="nil"/>
            </w:tcBorders>
            <w:shd w:val="clear" w:color="000000" w:fill="FFFFFF"/>
            <w:vAlign w:val="center"/>
            <w:hideMark/>
          </w:tcPr>
          <w:p w14:paraId="47DF62EA" w14:textId="02BC395B" w:rsidR="00B80126" w:rsidRPr="00AD25A6" w:rsidRDefault="00B80126" w:rsidP="00B80126">
            <w:pPr>
              <w:jc w:val="right"/>
              <w:rPr>
                <w:rFonts w:ascii="Arial" w:hAnsi="Arial" w:cs="Arial"/>
                <w:color w:val="000000"/>
              </w:rPr>
            </w:pPr>
            <w:r>
              <w:rPr>
                <w:rFonts w:ascii="Arial" w:hAnsi="Arial" w:cs="Arial"/>
                <w:color w:val="000000"/>
              </w:rPr>
              <w:t>4,289</w:t>
            </w:r>
          </w:p>
        </w:tc>
        <w:tc>
          <w:tcPr>
            <w:tcW w:w="1073" w:type="dxa"/>
            <w:tcBorders>
              <w:top w:val="nil"/>
              <w:left w:val="nil"/>
              <w:bottom w:val="single" w:sz="8" w:space="0" w:color="auto"/>
              <w:right w:val="single" w:sz="8" w:space="0" w:color="auto"/>
            </w:tcBorders>
            <w:shd w:val="clear" w:color="000000" w:fill="CCCCCC"/>
            <w:vAlign w:val="center"/>
            <w:hideMark/>
          </w:tcPr>
          <w:p w14:paraId="5FE29302" w14:textId="5AF02C75" w:rsidR="00B80126" w:rsidRPr="00AD25A6" w:rsidRDefault="00B80126" w:rsidP="00B80126">
            <w:pPr>
              <w:jc w:val="right"/>
              <w:rPr>
                <w:rFonts w:ascii="Arial" w:hAnsi="Arial" w:cs="Arial"/>
              </w:rPr>
            </w:pPr>
            <w:r>
              <w:rPr>
                <w:rFonts w:ascii="Arial" w:hAnsi="Arial" w:cs="Arial"/>
              </w:rPr>
              <w:t>4,469</w:t>
            </w:r>
          </w:p>
        </w:tc>
      </w:tr>
      <w:tr w:rsidR="00B80126" w:rsidRPr="00AD25A6" w14:paraId="3696B4AD" w14:textId="77777777" w:rsidTr="00B80126">
        <w:trPr>
          <w:trHeight w:val="315"/>
        </w:trPr>
        <w:tc>
          <w:tcPr>
            <w:tcW w:w="5506" w:type="dxa"/>
            <w:tcBorders>
              <w:top w:val="nil"/>
              <w:left w:val="single" w:sz="8" w:space="0" w:color="auto"/>
              <w:bottom w:val="single" w:sz="8" w:space="0" w:color="auto"/>
              <w:right w:val="nil"/>
            </w:tcBorders>
            <w:shd w:val="clear" w:color="000000" w:fill="CCCCCC"/>
            <w:vAlign w:val="center"/>
            <w:hideMark/>
          </w:tcPr>
          <w:p w14:paraId="1FA63D97" w14:textId="77777777" w:rsidR="00B80126" w:rsidRPr="00AD25A6" w:rsidRDefault="00B80126" w:rsidP="00B80126">
            <w:pPr>
              <w:jc w:val="right"/>
              <w:rPr>
                <w:rFonts w:ascii="Arial" w:hAnsi="Arial" w:cs="Arial"/>
                <w:b/>
                <w:bCs/>
                <w:color w:val="000000"/>
              </w:rPr>
            </w:pPr>
            <w:r w:rsidRPr="00AD25A6">
              <w:rPr>
                <w:rFonts w:ascii="Arial" w:hAnsi="Arial" w:cs="Arial"/>
                <w:b/>
                <w:bCs/>
                <w:color w:val="000000"/>
              </w:rPr>
              <w:t>31-Mar</w:t>
            </w:r>
          </w:p>
        </w:tc>
        <w:tc>
          <w:tcPr>
            <w:tcW w:w="1508" w:type="dxa"/>
            <w:tcBorders>
              <w:top w:val="single" w:sz="8" w:space="0" w:color="auto"/>
              <w:left w:val="single" w:sz="8" w:space="0" w:color="auto"/>
              <w:bottom w:val="single" w:sz="8" w:space="0" w:color="auto"/>
              <w:right w:val="nil"/>
            </w:tcBorders>
            <w:shd w:val="clear" w:color="000000" w:fill="FFFFFF"/>
            <w:vAlign w:val="center"/>
            <w:hideMark/>
          </w:tcPr>
          <w:p w14:paraId="47959229" w14:textId="6EBAA76A" w:rsidR="00B80126" w:rsidRPr="00AD25A6" w:rsidRDefault="00B80126" w:rsidP="00B80126">
            <w:pPr>
              <w:jc w:val="right"/>
              <w:rPr>
                <w:rFonts w:ascii="Arial" w:hAnsi="Arial" w:cs="Arial"/>
                <w:b/>
                <w:bCs/>
              </w:rPr>
            </w:pPr>
            <w:r w:rsidRPr="00AD25A6">
              <w:rPr>
                <w:rFonts w:ascii="Arial" w:hAnsi="Arial" w:cs="Arial"/>
                <w:b/>
                <w:bCs/>
              </w:rPr>
              <w:t>(2,6</w:t>
            </w:r>
            <w:r>
              <w:rPr>
                <w:rFonts w:ascii="Arial" w:hAnsi="Arial" w:cs="Arial"/>
                <w:b/>
                <w:bCs/>
              </w:rPr>
              <w:t>76</w:t>
            </w:r>
            <w:r w:rsidRPr="00AD25A6">
              <w:rPr>
                <w:rFonts w:ascii="Arial" w:hAnsi="Arial" w:cs="Arial"/>
                <w:b/>
                <w:bCs/>
              </w:rPr>
              <w:t>,3</w:t>
            </w:r>
            <w:r>
              <w:rPr>
                <w:rFonts w:ascii="Arial" w:hAnsi="Arial" w:cs="Arial"/>
                <w:b/>
                <w:bCs/>
              </w:rPr>
              <w:t>25</w:t>
            </w:r>
            <w:r w:rsidRPr="00AD25A6">
              <w:rPr>
                <w:rFonts w:ascii="Arial" w:hAnsi="Arial" w:cs="Arial"/>
                <w:b/>
                <w:bCs/>
              </w:rPr>
              <w:t>)</w:t>
            </w:r>
          </w:p>
        </w:tc>
        <w:tc>
          <w:tcPr>
            <w:tcW w:w="1239" w:type="dxa"/>
            <w:tcBorders>
              <w:top w:val="nil"/>
              <w:left w:val="nil"/>
              <w:bottom w:val="single" w:sz="8" w:space="0" w:color="auto"/>
              <w:right w:val="single" w:sz="8" w:space="0" w:color="auto"/>
            </w:tcBorders>
            <w:shd w:val="clear" w:color="000000" w:fill="CCCCCC"/>
            <w:vAlign w:val="center"/>
            <w:hideMark/>
          </w:tcPr>
          <w:p w14:paraId="50151399" w14:textId="0073FF9A" w:rsidR="00B80126" w:rsidRPr="00AD25A6" w:rsidRDefault="00B80126" w:rsidP="00B80126">
            <w:pPr>
              <w:jc w:val="right"/>
              <w:rPr>
                <w:rFonts w:ascii="Arial" w:hAnsi="Arial" w:cs="Arial"/>
                <w:b/>
                <w:bCs/>
              </w:rPr>
            </w:pPr>
            <w:r>
              <w:rPr>
                <w:rFonts w:ascii="Arial" w:hAnsi="Arial" w:cs="Arial"/>
                <w:b/>
                <w:bCs/>
              </w:rPr>
              <w:t>(2,331,393)</w:t>
            </w:r>
          </w:p>
        </w:tc>
        <w:tc>
          <w:tcPr>
            <w:tcW w:w="1579" w:type="dxa"/>
            <w:tcBorders>
              <w:top w:val="single" w:sz="8" w:space="0" w:color="auto"/>
              <w:left w:val="nil"/>
              <w:bottom w:val="single" w:sz="8" w:space="0" w:color="auto"/>
              <w:right w:val="nil"/>
            </w:tcBorders>
            <w:shd w:val="clear" w:color="000000" w:fill="FFFFFF"/>
            <w:vAlign w:val="center"/>
            <w:hideMark/>
          </w:tcPr>
          <w:p w14:paraId="539DB337" w14:textId="0DE0C628" w:rsidR="00B80126" w:rsidRPr="00AD25A6" w:rsidRDefault="00B80126" w:rsidP="00B80126">
            <w:pPr>
              <w:jc w:val="right"/>
              <w:rPr>
                <w:rFonts w:ascii="Arial" w:hAnsi="Arial" w:cs="Arial"/>
                <w:b/>
                <w:bCs/>
              </w:rPr>
            </w:pPr>
            <w:r w:rsidRPr="00AD25A6">
              <w:rPr>
                <w:rFonts w:ascii="Arial" w:hAnsi="Arial" w:cs="Arial"/>
                <w:b/>
                <w:bCs/>
              </w:rPr>
              <w:t>(17</w:t>
            </w:r>
            <w:r>
              <w:rPr>
                <w:rFonts w:ascii="Arial" w:hAnsi="Arial" w:cs="Arial"/>
                <w:b/>
                <w:bCs/>
              </w:rPr>
              <w:t>3</w:t>
            </w:r>
            <w:r w:rsidRPr="00AD25A6">
              <w:rPr>
                <w:rFonts w:ascii="Arial" w:hAnsi="Arial" w:cs="Arial"/>
                <w:b/>
                <w:bCs/>
              </w:rPr>
              <w:t>,</w:t>
            </w:r>
            <w:r>
              <w:rPr>
                <w:rFonts w:ascii="Arial" w:hAnsi="Arial" w:cs="Arial"/>
                <w:b/>
                <w:bCs/>
              </w:rPr>
              <w:t>554</w:t>
            </w:r>
            <w:r w:rsidRPr="00AD25A6">
              <w:rPr>
                <w:rFonts w:ascii="Arial" w:hAnsi="Arial" w:cs="Arial"/>
                <w:b/>
                <w:bCs/>
              </w:rPr>
              <w:t>)</w:t>
            </w:r>
          </w:p>
        </w:tc>
        <w:tc>
          <w:tcPr>
            <w:tcW w:w="1073" w:type="dxa"/>
            <w:tcBorders>
              <w:top w:val="nil"/>
              <w:left w:val="nil"/>
              <w:bottom w:val="single" w:sz="8" w:space="0" w:color="auto"/>
              <w:right w:val="single" w:sz="8" w:space="0" w:color="auto"/>
            </w:tcBorders>
            <w:shd w:val="clear" w:color="000000" w:fill="CCCCCC"/>
            <w:vAlign w:val="center"/>
            <w:hideMark/>
          </w:tcPr>
          <w:p w14:paraId="63F12EA1" w14:textId="424F3019" w:rsidR="00B80126" w:rsidRPr="00AD25A6" w:rsidRDefault="00B80126" w:rsidP="00B80126">
            <w:pPr>
              <w:jc w:val="right"/>
              <w:rPr>
                <w:rFonts w:ascii="Arial" w:hAnsi="Arial" w:cs="Arial"/>
                <w:b/>
                <w:bCs/>
              </w:rPr>
            </w:pPr>
            <w:r>
              <w:rPr>
                <w:rFonts w:ascii="Arial" w:hAnsi="Arial" w:cs="Arial"/>
                <w:b/>
                <w:bCs/>
              </w:rPr>
              <w:t>(156,39</w:t>
            </w:r>
            <w:r w:rsidR="00A63664">
              <w:rPr>
                <w:rFonts w:ascii="Arial" w:hAnsi="Arial" w:cs="Arial"/>
                <w:b/>
                <w:bCs/>
              </w:rPr>
              <w:t>5</w:t>
            </w:r>
            <w:r>
              <w:rPr>
                <w:rFonts w:ascii="Arial" w:hAnsi="Arial" w:cs="Arial"/>
                <w:b/>
                <w:bCs/>
              </w:rPr>
              <w:t>)</w:t>
            </w:r>
          </w:p>
        </w:tc>
      </w:tr>
    </w:tbl>
    <w:p w14:paraId="1D80CF3B" w14:textId="77777777" w:rsidR="003B74DA" w:rsidRPr="00645FC2" w:rsidRDefault="003B74DA" w:rsidP="003B74DA">
      <w:pPr>
        <w:tabs>
          <w:tab w:val="left" w:pos="426"/>
        </w:tabs>
        <w:ind w:left="426"/>
        <w:rPr>
          <w:rFonts w:ascii="Arial" w:hAnsi="Arial"/>
          <w:iCs/>
          <w:color w:val="FF0000"/>
          <w:sz w:val="24"/>
          <w:highlight w:val="yellow"/>
        </w:rPr>
      </w:pPr>
    </w:p>
    <w:p w14:paraId="719AC6AC" w14:textId="77777777" w:rsidR="003B74DA" w:rsidRPr="00E66B2D" w:rsidRDefault="003B74DA" w:rsidP="003B74DA">
      <w:pPr>
        <w:tabs>
          <w:tab w:val="left" w:pos="426"/>
        </w:tabs>
        <w:ind w:left="426"/>
        <w:rPr>
          <w:rFonts w:ascii="Arial" w:hAnsi="Arial"/>
          <w:sz w:val="22"/>
          <w:szCs w:val="22"/>
        </w:rPr>
      </w:pPr>
      <w:r w:rsidRPr="00E66B2D">
        <w:rPr>
          <w:rFonts w:ascii="Arial" w:hAnsi="Arial"/>
          <w:sz w:val="22"/>
          <w:szCs w:val="22"/>
        </w:rPr>
        <w:t xml:space="preserve">NB: All the unfunded liabilities relate to police officers who are/were under the direction and control of the CC. </w:t>
      </w:r>
    </w:p>
    <w:p w14:paraId="59C4B62F" w14:textId="78314ED4" w:rsidR="00D64C21" w:rsidRPr="00E66B2D" w:rsidRDefault="00D64C21">
      <w:pPr>
        <w:rPr>
          <w:rFonts w:ascii="Arial" w:hAnsi="Arial"/>
          <w:sz w:val="22"/>
          <w:szCs w:val="22"/>
        </w:rPr>
      </w:pPr>
    </w:p>
    <w:p w14:paraId="2DB099B4" w14:textId="79F483E0" w:rsidR="003B74DA" w:rsidRPr="00E66B2D" w:rsidRDefault="003B74DA" w:rsidP="00063EA8">
      <w:pPr>
        <w:rPr>
          <w:rFonts w:ascii="Arial" w:hAnsi="Arial"/>
          <w:b/>
          <w:sz w:val="24"/>
        </w:rPr>
      </w:pPr>
      <w:r w:rsidRPr="00E66B2D">
        <w:rPr>
          <w:rFonts w:ascii="Arial" w:hAnsi="Arial"/>
          <w:b/>
          <w:sz w:val="24"/>
        </w:rPr>
        <w:lastRenderedPageBreak/>
        <w:t>Reconciliation of the fair value of the scheme assets:</w:t>
      </w:r>
    </w:p>
    <w:p w14:paraId="75199B07" w14:textId="77777777" w:rsidR="003B74DA" w:rsidRPr="00E66B2D" w:rsidRDefault="003B74DA" w:rsidP="003B74DA">
      <w:pPr>
        <w:tabs>
          <w:tab w:val="left" w:pos="426"/>
        </w:tabs>
        <w:ind w:left="426"/>
        <w:rPr>
          <w:rFonts w:ascii="Arial" w:hAnsi="Arial"/>
          <w:b/>
          <w:sz w:val="24"/>
        </w:rPr>
      </w:pPr>
    </w:p>
    <w:tbl>
      <w:tblPr>
        <w:tblW w:w="10724" w:type="dxa"/>
        <w:tblLook w:val="04A0" w:firstRow="1" w:lastRow="0" w:firstColumn="1" w:lastColumn="0" w:noHBand="0" w:noVBand="1"/>
      </w:tblPr>
      <w:tblGrid>
        <w:gridCol w:w="3824"/>
        <w:gridCol w:w="1103"/>
        <w:gridCol w:w="961"/>
        <w:gridCol w:w="1151"/>
        <w:gridCol w:w="1253"/>
        <w:gridCol w:w="1471"/>
        <w:gridCol w:w="961"/>
      </w:tblGrid>
      <w:tr w:rsidR="007F19F0" w:rsidRPr="00AD25A6" w14:paraId="3AB5C33D" w14:textId="77777777" w:rsidTr="009E500D">
        <w:trPr>
          <w:trHeight w:val="301"/>
        </w:trPr>
        <w:tc>
          <w:tcPr>
            <w:tcW w:w="3824" w:type="dxa"/>
            <w:vMerge w:val="restart"/>
            <w:tcBorders>
              <w:top w:val="single" w:sz="8" w:space="0" w:color="auto"/>
              <w:left w:val="single" w:sz="8" w:space="0" w:color="auto"/>
              <w:bottom w:val="nil"/>
              <w:right w:val="nil"/>
            </w:tcBorders>
            <w:shd w:val="clear" w:color="000000" w:fill="CCCCCC"/>
            <w:vAlign w:val="center"/>
            <w:hideMark/>
          </w:tcPr>
          <w:p w14:paraId="40D80A01" w14:textId="77777777" w:rsidR="00AD25A6" w:rsidRPr="00AD25A6" w:rsidRDefault="00AD25A6" w:rsidP="00AD25A6">
            <w:pPr>
              <w:rPr>
                <w:rFonts w:ascii="Arial" w:hAnsi="Arial" w:cs="Arial"/>
              </w:rPr>
            </w:pPr>
            <w:r w:rsidRPr="00AD25A6">
              <w:rPr>
                <w:rFonts w:ascii="Arial" w:hAnsi="Arial" w:cs="Arial"/>
              </w:rPr>
              <w:t> </w:t>
            </w:r>
          </w:p>
        </w:tc>
        <w:tc>
          <w:tcPr>
            <w:tcW w:w="6900" w:type="dxa"/>
            <w:gridSpan w:val="6"/>
            <w:tcBorders>
              <w:top w:val="single" w:sz="8" w:space="0" w:color="auto"/>
              <w:left w:val="nil"/>
              <w:bottom w:val="nil"/>
              <w:right w:val="single" w:sz="8" w:space="0" w:color="000000"/>
            </w:tcBorders>
            <w:shd w:val="clear" w:color="000000" w:fill="CCCCCC"/>
            <w:vAlign w:val="center"/>
            <w:hideMark/>
          </w:tcPr>
          <w:p w14:paraId="3B049ADC"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Funded Scheme –Local Government Pension Scheme</w:t>
            </w:r>
          </w:p>
        </w:tc>
      </w:tr>
      <w:tr w:rsidR="007F19F0" w:rsidRPr="00AD25A6" w14:paraId="3F68F8D8" w14:textId="77777777" w:rsidTr="009E500D">
        <w:trPr>
          <w:trHeight w:val="316"/>
        </w:trPr>
        <w:tc>
          <w:tcPr>
            <w:tcW w:w="3824" w:type="dxa"/>
            <w:vMerge/>
            <w:tcBorders>
              <w:top w:val="single" w:sz="8" w:space="0" w:color="auto"/>
              <w:left w:val="single" w:sz="8" w:space="0" w:color="auto"/>
              <w:bottom w:val="nil"/>
              <w:right w:val="nil"/>
            </w:tcBorders>
            <w:vAlign w:val="center"/>
            <w:hideMark/>
          </w:tcPr>
          <w:p w14:paraId="6A0FC26A" w14:textId="77777777" w:rsidR="00AD25A6" w:rsidRPr="00AD25A6" w:rsidRDefault="00AD25A6" w:rsidP="00AD25A6">
            <w:pPr>
              <w:rPr>
                <w:rFonts w:ascii="Arial" w:hAnsi="Arial" w:cs="Arial"/>
              </w:rPr>
            </w:pPr>
          </w:p>
        </w:tc>
        <w:tc>
          <w:tcPr>
            <w:tcW w:w="1103" w:type="dxa"/>
            <w:tcBorders>
              <w:top w:val="nil"/>
              <w:left w:val="nil"/>
              <w:bottom w:val="nil"/>
              <w:right w:val="nil"/>
            </w:tcBorders>
            <w:shd w:val="clear" w:color="000000" w:fill="CCCCCC"/>
            <w:vAlign w:val="center"/>
            <w:hideMark/>
          </w:tcPr>
          <w:p w14:paraId="79A252BE" w14:textId="77777777" w:rsidR="00AD25A6" w:rsidRPr="00AD25A6" w:rsidRDefault="00AD25A6" w:rsidP="00AD25A6">
            <w:pPr>
              <w:rPr>
                <w:rFonts w:ascii="Arial" w:hAnsi="Arial" w:cs="Arial"/>
              </w:rPr>
            </w:pPr>
            <w:r w:rsidRPr="00AD25A6">
              <w:rPr>
                <w:rFonts w:ascii="Arial" w:hAnsi="Arial" w:cs="Arial"/>
              </w:rPr>
              <w:t> </w:t>
            </w:r>
          </w:p>
        </w:tc>
        <w:tc>
          <w:tcPr>
            <w:tcW w:w="961" w:type="dxa"/>
            <w:tcBorders>
              <w:top w:val="nil"/>
              <w:left w:val="nil"/>
              <w:bottom w:val="nil"/>
              <w:right w:val="nil"/>
            </w:tcBorders>
            <w:shd w:val="clear" w:color="000000" w:fill="CCCCCC"/>
            <w:vAlign w:val="center"/>
            <w:hideMark/>
          </w:tcPr>
          <w:p w14:paraId="634D34FD" w14:textId="77777777" w:rsidR="00AD25A6" w:rsidRPr="00AD25A6" w:rsidRDefault="00AD25A6" w:rsidP="00AD25A6">
            <w:pPr>
              <w:rPr>
                <w:rFonts w:ascii="Arial" w:hAnsi="Arial" w:cs="Arial"/>
              </w:rPr>
            </w:pPr>
            <w:r w:rsidRPr="00AD25A6">
              <w:rPr>
                <w:rFonts w:ascii="Arial" w:hAnsi="Arial" w:cs="Arial"/>
              </w:rPr>
              <w:t> </w:t>
            </w:r>
          </w:p>
        </w:tc>
        <w:tc>
          <w:tcPr>
            <w:tcW w:w="1151" w:type="dxa"/>
            <w:tcBorders>
              <w:top w:val="nil"/>
              <w:left w:val="nil"/>
              <w:bottom w:val="nil"/>
              <w:right w:val="nil"/>
            </w:tcBorders>
            <w:shd w:val="clear" w:color="000000" w:fill="CCCCCC"/>
            <w:vAlign w:val="center"/>
            <w:hideMark/>
          </w:tcPr>
          <w:p w14:paraId="23F6B264" w14:textId="77777777" w:rsidR="00AD25A6" w:rsidRPr="00AD25A6" w:rsidRDefault="00AD25A6" w:rsidP="00AD25A6">
            <w:pPr>
              <w:rPr>
                <w:rFonts w:ascii="Arial" w:hAnsi="Arial" w:cs="Arial"/>
                <w:b/>
                <w:bCs/>
                <w:color w:val="000000"/>
              </w:rPr>
            </w:pPr>
            <w:r w:rsidRPr="00AD25A6">
              <w:rPr>
                <w:rFonts w:ascii="Arial" w:hAnsi="Arial" w:cs="Arial"/>
                <w:b/>
                <w:bCs/>
                <w:color w:val="000000"/>
              </w:rPr>
              <w:t> </w:t>
            </w:r>
          </w:p>
        </w:tc>
        <w:tc>
          <w:tcPr>
            <w:tcW w:w="1253" w:type="dxa"/>
            <w:tcBorders>
              <w:top w:val="nil"/>
              <w:left w:val="nil"/>
              <w:bottom w:val="nil"/>
              <w:right w:val="nil"/>
            </w:tcBorders>
            <w:shd w:val="clear" w:color="000000" w:fill="CCCCCC"/>
            <w:vAlign w:val="center"/>
            <w:hideMark/>
          </w:tcPr>
          <w:p w14:paraId="4A26700F" w14:textId="77777777" w:rsidR="00AD25A6" w:rsidRPr="00AD25A6" w:rsidRDefault="00AD25A6" w:rsidP="00AD25A6">
            <w:pPr>
              <w:rPr>
                <w:rFonts w:ascii="Arial" w:hAnsi="Arial" w:cs="Arial"/>
                <w:b/>
                <w:bCs/>
              </w:rPr>
            </w:pPr>
            <w:r w:rsidRPr="00AD25A6">
              <w:rPr>
                <w:rFonts w:ascii="Arial" w:hAnsi="Arial" w:cs="Arial"/>
                <w:b/>
                <w:bCs/>
              </w:rPr>
              <w:t> </w:t>
            </w:r>
          </w:p>
        </w:tc>
        <w:tc>
          <w:tcPr>
            <w:tcW w:w="1471" w:type="dxa"/>
            <w:tcBorders>
              <w:top w:val="nil"/>
              <w:left w:val="nil"/>
              <w:bottom w:val="nil"/>
              <w:right w:val="nil"/>
            </w:tcBorders>
            <w:shd w:val="clear" w:color="000000" w:fill="CCCCCC"/>
            <w:vAlign w:val="center"/>
            <w:hideMark/>
          </w:tcPr>
          <w:p w14:paraId="3FA5BF19" w14:textId="77777777" w:rsidR="00AD25A6" w:rsidRPr="00AD25A6" w:rsidRDefault="00AD25A6" w:rsidP="00AD25A6">
            <w:pPr>
              <w:rPr>
                <w:rFonts w:ascii="Arial" w:hAnsi="Arial" w:cs="Arial"/>
                <w:b/>
                <w:bCs/>
                <w:color w:val="000000"/>
              </w:rPr>
            </w:pPr>
            <w:r w:rsidRPr="00AD25A6">
              <w:rPr>
                <w:rFonts w:ascii="Arial" w:hAnsi="Arial" w:cs="Arial"/>
                <w:b/>
                <w:bCs/>
                <w:color w:val="000000"/>
              </w:rPr>
              <w:t> </w:t>
            </w:r>
          </w:p>
        </w:tc>
        <w:tc>
          <w:tcPr>
            <w:tcW w:w="961" w:type="dxa"/>
            <w:tcBorders>
              <w:top w:val="nil"/>
              <w:left w:val="nil"/>
              <w:bottom w:val="nil"/>
              <w:right w:val="single" w:sz="8" w:space="0" w:color="auto"/>
            </w:tcBorders>
            <w:shd w:val="clear" w:color="000000" w:fill="CCCCCC"/>
            <w:vAlign w:val="center"/>
            <w:hideMark/>
          </w:tcPr>
          <w:p w14:paraId="54A0FF24" w14:textId="77777777" w:rsidR="00AD25A6" w:rsidRPr="00AD25A6" w:rsidRDefault="00AD25A6" w:rsidP="00AD25A6">
            <w:pPr>
              <w:rPr>
                <w:rFonts w:ascii="Arial" w:hAnsi="Arial" w:cs="Arial"/>
                <w:b/>
                <w:bCs/>
              </w:rPr>
            </w:pPr>
            <w:r w:rsidRPr="00AD25A6">
              <w:rPr>
                <w:rFonts w:ascii="Arial" w:hAnsi="Arial" w:cs="Arial"/>
                <w:b/>
                <w:bCs/>
              </w:rPr>
              <w:t> </w:t>
            </w:r>
          </w:p>
        </w:tc>
      </w:tr>
      <w:tr w:rsidR="007F19F0" w:rsidRPr="00AD25A6" w14:paraId="5A53A8EF"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391F5E78" w14:textId="77777777" w:rsidR="00AD25A6" w:rsidRPr="00AD25A6" w:rsidRDefault="00AD25A6" w:rsidP="00AD25A6">
            <w:pPr>
              <w:rPr>
                <w:rFonts w:ascii="Arial" w:hAnsi="Arial" w:cs="Arial"/>
              </w:rPr>
            </w:pPr>
            <w:bookmarkStart w:id="35" w:name="RANGE!A132"/>
            <w:r w:rsidRPr="00AD25A6">
              <w:rPr>
                <w:rFonts w:ascii="Arial" w:hAnsi="Arial" w:cs="Arial"/>
              </w:rPr>
              <w:t> </w:t>
            </w:r>
            <w:bookmarkEnd w:id="35"/>
          </w:p>
        </w:tc>
        <w:tc>
          <w:tcPr>
            <w:tcW w:w="2064" w:type="dxa"/>
            <w:gridSpan w:val="2"/>
            <w:tcBorders>
              <w:top w:val="single" w:sz="8" w:space="0" w:color="auto"/>
              <w:left w:val="single" w:sz="8" w:space="0" w:color="auto"/>
              <w:bottom w:val="nil"/>
              <w:right w:val="single" w:sz="8" w:space="0" w:color="000000"/>
            </w:tcBorders>
            <w:shd w:val="clear" w:color="000000" w:fill="CCCCCC"/>
            <w:vAlign w:val="center"/>
            <w:hideMark/>
          </w:tcPr>
          <w:p w14:paraId="0377FFEF"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PCC GROUP</w:t>
            </w:r>
          </w:p>
        </w:tc>
        <w:tc>
          <w:tcPr>
            <w:tcW w:w="2404" w:type="dxa"/>
            <w:gridSpan w:val="2"/>
            <w:tcBorders>
              <w:top w:val="single" w:sz="8" w:space="0" w:color="auto"/>
              <w:left w:val="nil"/>
              <w:bottom w:val="nil"/>
              <w:right w:val="single" w:sz="8" w:space="0" w:color="000000"/>
            </w:tcBorders>
            <w:shd w:val="clear" w:color="000000" w:fill="CCCCCC"/>
            <w:vAlign w:val="center"/>
            <w:hideMark/>
          </w:tcPr>
          <w:p w14:paraId="2DA21B3D"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PCC</w:t>
            </w:r>
          </w:p>
        </w:tc>
        <w:tc>
          <w:tcPr>
            <w:tcW w:w="2432" w:type="dxa"/>
            <w:gridSpan w:val="2"/>
            <w:tcBorders>
              <w:top w:val="single" w:sz="8" w:space="0" w:color="auto"/>
              <w:left w:val="nil"/>
              <w:bottom w:val="nil"/>
              <w:right w:val="single" w:sz="8" w:space="0" w:color="000000"/>
            </w:tcBorders>
            <w:shd w:val="clear" w:color="000000" w:fill="CCCCCC"/>
            <w:vAlign w:val="center"/>
            <w:hideMark/>
          </w:tcPr>
          <w:p w14:paraId="3EFBBB77"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CC</w:t>
            </w:r>
          </w:p>
        </w:tc>
      </w:tr>
      <w:tr w:rsidR="007F19F0" w:rsidRPr="00AD25A6" w14:paraId="38E0866E"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5684B775" w14:textId="77777777" w:rsidR="00AD25A6" w:rsidRPr="00AD25A6" w:rsidRDefault="00AD25A6" w:rsidP="00AD25A6">
            <w:pPr>
              <w:rPr>
                <w:rFonts w:ascii="Arial" w:hAnsi="Arial" w:cs="Arial"/>
              </w:rPr>
            </w:pPr>
            <w:bookmarkStart w:id="36" w:name="RANGE!A133"/>
            <w:r w:rsidRPr="00AD25A6">
              <w:rPr>
                <w:rFonts w:ascii="Arial" w:hAnsi="Arial" w:cs="Arial"/>
              </w:rPr>
              <w:t> </w:t>
            </w:r>
            <w:bookmarkEnd w:id="36"/>
          </w:p>
        </w:tc>
        <w:tc>
          <w:tcPr>
            <w:tcW w:w="1103" w:type="dxa"/>
            <w:tcBorders>
              <w:top w:val="nil"/>
              <w:left w:val="single" w:sz="8" w:space="0" w:color="auto"/>
              <w:bottom w:val="nil"/>
              <w:right w:val="nil"/>
            </w:tcBorders>
            <w:shd w:val="clear" w:color="000000" w:fill="FFFFFF"/>
            <w:vAlign w:val="center"/>
            <w:hideMark/>
          </w:tcPr>
          <w:p w14:paraId="3C7EED27" w14:textId="44B17BC3"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961" w:type="dxa"/>
            <w:tcBorders>
              <w:top w:val="nil"/>
              <w:left w:val="nil"/>
              <w:bottom w:val="nil"/>
              <w:right w:val="single" w:sz="8" w:space="0" w:color="auto"/>
            </w:tcBorders>
            <w:shd w:val="clear" w:color="000000" w:fill="CCCCCC"/>
            <w:vAlign w:val="center"/>
            <w:hideMark/>
          </w:tcPr>
          <w:p w14:paraId="6C5CCF5A" w14:textId="7D83FF7D" w:rsidR="00AD25A6" w:rsidRPr="00AD25A6" w:rsidRDefault="00C37E7F" w:rsidP="00AD25A6">
            <w:pPr>
              <w:jc w:val="center"/>
              <w:rPr>
                <w:rFonts w:ascii="Arial" w:hAnsi="Arial" w:cs="Arial"/>
                <w:b/>
                <w:bCs/>
              </w:rPr>
            </w:pPr>
            <w:r>
              <w:rPr>
                <w:rFonts w:ascii="Arial" w:hAnsi="Arial" w:cs="Arial"/>
                <w:b/>
                <w:bCs/>
              </w:rPr>
              <w:t>2024/25</w:t>
            </w:r>
          </w:p>
        </w:tc>
        <w:tc>
          <w:tcPr>
            <w:tcW w:w="1151" w:type="dxa"/>
            <w:tcBorders>
              <w:top w:val="nil"/>
              <w:left w:val="nil"/>
              <w:bottom w:val="nil"/>
              <w:right w:val="nil"/>
            </w:tcBorders>
            <w:shd w:val="clear" w:color="000000" w:fill="FFFFFF"/>
            <w:vAlign w:val="center"/>
            <w:hideMark/>
          </w:tcPr>
          <w:p w14:paraId="3F8B95E6" w14:textId="73D9A6AA"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1253" w:type="dxa"/>
            <w:tcBorders>
              <w:top w:val="nil"/>
              <w:left w:val="nil"/>
              <w:bottom w:val="nil"/>
              <w:right w:val="single" w:sz="8" w:space="0" w:color="auto"/>
            </w:tcBorders>
            <w:shd w:val="clear" w:color="000000" w:fill="CCCCCC"/>
            <w:vAlign w:val="center"/>
            <w:hideMark/>
          </w:tcPr>
          <w:p w14:paraId="6902691A" w14:textId="6C1441A0" w:rsidR="00AD25A6" w:rsidRPr="00AD25A6" w:rsidRDefault="00C37E7F" w:rsidP="00AD25A6">
            <w:pPr>
              <w:jc w:val="center"/>
              <w:rPr>
                <w:rFonts w:ascii="Arial" w:hAnsi="Arial" w:cs="Arial"/>
                <w:b/>
                <w:bCs/>
              </w:rPr>
            </w:pPr>
            <w:r>
              <w:rPr>
                <w:rFonts w:ascii="Arial" w:hAnsi="Arial" w:cs="Arial"/>
                <w:b/>
                <w:bCs/>
              </w:rPr>
              <w:t>2024/25</w:t>
            </w:r>
          </w:p>
        </w:tc>
        <w:tc>
          <w:tcPr>
            <w:tcW w:w="1471" w:type="dxa"/>
            <w:tcBorders>
              <w:top w:val="nil"/>
              <w:left w:val="nil"/>
              <w:bottom w:val="nil"/>
              <w:right w:val="nil"/>
            </w:tcBorders>
            <w:shd w:val="clear" w:color="000000" w:fill="FFFFFF"/>
            <w:vAlign w:val="center"/>
            <w:hideMark/>
          </w:tcPr>
          <w:p w14:paraId="1C86EE67" w14:textId="2D5C5C7F"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961" w:type="dxa"/>
            <w:tcBorders>
              <w:top w:val="nil"/>
              <w:left w:val="nil"/>
              <w:bottom w:val="nil"/>
              <w:right w:val="single" w:sz="8" w:space="0" w:color="auto"/>
            </w:tcBorders>
            <w:shd w:val="clear" w:color="000000" w:fill="CCCCCC"/>
            <w:vAlign w:val="center"/>
            <w:hideMark/>
          </w:tcPr>
          <w:p w14:paraId="7F74A4BB" w14:textId="40D94219" w:rsidR="00AD25A6" w:rsidRPr="00AD25A6" w:rsidRDefault="00C37E7F" w:rsidP="00AD25A6">
            <w:pPr>
              <w:jc w:val="center"/>
              <w:rPr>
                <w:rFonts w:ascii="Arial" w:hAnsi="Arial" w:cs="Arial"/>
                <w:b/>
                <w:bCs/>
              </w:rPr>
            </w:pPr>
            <w:r>
              <w:rPr>
                <w:rFonts w:ascii="Arial" w:hAnsi="Arial" w:cs="Arial"/>
                <w:b/>
                <w:bCs/>
              </w:rPr>
              <w:t>2024/25</w:t>
            </w:r>
          </w:p>
        </w:tc>
      </w:tr>
      <w:tr w:rsidR="007F19F0" w:rsidRPr="00AD25A6" w14:paraId="0114279C"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18920467" w14:textId="77777777" w:rsidR="00AD25A6" w:rsidRPr="00AD25A6" w:rsidRDefault="00AD25A6" w:rsidP="00AD25A6">
            <w:pPr>
              <w:rPr>
                <w:rFonts w:ascii="Arial" w:hAnsi="Arial" w:cs="Arial"/>
              </w:rPr>
            </w:pPr>
            <w:r w:rsidRPr="00AD25A6">
              <w:rPr>
                <w:rFonts w:ascii="Arial" w:hAnsi="Arial" w:cs="Arial"/>
              </w:rPr>
              <w:t> </w:t>
            </w:r>
          </w:p>
        </w:tc>
        <w:tc>
          <w:tcPr>
            <w:tcW w:w="1103" w:type="dxa"/>
            <w:tcBorders>
              <w:top w:val="nil"/>
              <w:left w:val="single" w:sz="8" w:space="0" w:color="auto"/>
              <w:bottom w:val="nil"/>
              <w:right w:val="nil"/>
            </w:tcBorders>
            <w:shd w:val="clear" w:color="000000" w:fill="FFFFFF"/>
            <w:vAlign w:val="center"/>
            <w:hideMark/>
          </w:tcPr>
          <w:p w14:paraId="34BFA01C"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961" w:type="dxa"/>
            <w:tcBorders>
              <w:top w:val="nil"/>
              <w:left w:val="nil"/>
              <w:bottom w:val="nil"/>
              <w:right w:val="single" w:sz="8" w:space="0" w:color="auto"/>
            </w:tcBorders>
            <w:shd w:val="clear" w:color="000000" w:fill="CCCCCC"/>
            <w:vAlign w:val="center"/>
            <w:hideMark/>
          </w:tcPr>
          <w:p w14:paraId="366E30F5"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151" w:type="dxa"/>
            <w:tcBorders>
              <w:top w:val="nil"/>
              <w:left w:val="nil"/>
              <w:bottom w:val="nil"/>
              <w:right w:val="nil"/>
            </w:tcBorders>
            <w:shd w:val="clear" w:color="000000" w:fill="FFFFFF"/>
            <w:vAlign w:val="center"/>
            <w:hideMark/>
          </w:tcPr>
          <w:p w14:paraId="3C58F83A"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253" w:type="dxa"/>
            <w:tcBorders>
              <w:top w:val="nil"/>
              <w:left w:val="nil"/>
              <w:bottom w:val="nil"/>
              <w:right w:val="single" w:sz="8" w:space="0" w:color="auto"/>
            </w:tcBorders>
            <w:shd w:val="clear" w:color="000000" w:fill="CCCCCC"/>
            <w:vAlign w:val="center"/>
            <w:hideMark/>
          </w:tcPr>
          <w:p w14:paraId="3C379F03"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471" w:type="dxa"/>
            <w:tcBorders>
              <w:top w:val="nil"/>
              <w:left w:val="nil"/>
              <w:bottom w:val="nil"/>
              <w:right w:val="nil"/>
            </w:tcBorders>
            <w:shd w:val="clear" w:color="000000" w:fill="FFFFFF"/>
            <w:vAlign w:val="center"/>
            <w:hideMark/>
          </w:tcPr>
          <w:p w14:paraId="3CDC1D0B"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961" w:type="dxa"/>
            <w:tcBorders>
              <w:top w:val="nil"/>
              <w:left w:val="nil"/>
              <w:bottom w:val="nil"/>
              <w:right w:val="single" w:sz="8" w:space="0" w:color="auto"/>
            </w:tcBorders>
            <w:shd w:val="clear" w:color="000000" w:fill="CCCCCC"/>
            <w:vAlign w:val="center"/>
            <w:hideMark/>
          </w:tcPr>
          <w:p w14:paraId="6352F880" w14:textId="77777777" w:rsidR="00AD25A6" w:rsidRPr="00AD25A6" w:rsidRDefault="00AD25A6" w:rsidP="00AD25A6">
            <w:pPr>
              <w:jc w:val="center"/>
              <w:rPr>
                <w:rFonts w:ascii="Arial" w:hAnsi="Arial" w:cs="Arial"/>
                <w:b/>
                <w:bCs/>
              </w:rPr>
            </w:pPr>
            <w:r w:rsidRPr="00AD25A6">
              <w:rPr>
                <w:rFonts w:ascii="Arial" w:hAnsi="Arial" w:cs="Arial"/>
                <w:b/>
                <w:bCs/>
              </w:rPr>
              <w:t> </w:t>
            </w:r>
          </w:p>
        </w:tc>
      </w:tr>
      <w:tr w:rsidR="007F19F0" w:rsidRPr="00AD25A6" w14:paraId="153C1EE2"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7D404EBB" w14:textId="77777777" w:rsidR="00AD25A6" w:rsidRPr="00AD25A6" w:rsidRDefault="00AD25A6" w:rsidP="00AD25A6">
            <w:pPr>
              <w:rPr>
                <w:rFonts w:ascii="Arial" w:hAnsi="Arial" w:cs="Arial"/>
              </w:rPr>
            </w:pPr>
            <w:r w:rsidRPr="00AD25A6">
              <w:rPr>
                <w:rFonts w:ascii="Arial" w:hAnsi="Arial" w:cs="Arial"/>
              </w:rPr>
              <w:t> </w:t>
            </w:r>
          </w:p>
        </w:tc>
        <w:tc>
          <w:tcPr>
            <w:tcW w:w="1103" w:type="dxa"/>
            <w:tcBorders>
              <w:top w:val="nil"/>
              <w:left w:val="single" w:sz="8" w:space="0" w:color="auto"/>
              <w:bottom w:val="nil"/>
              <w:right w:val="nil"/>
            </w:tcBorders>
            <w:shd w:val="clear" w:color="000000" w:fill="FFFFFF"/>
            <w:vAlign w:val="center"/>
            <w:hideMark/>
          </w:tcPr>
          <w:p w14:paraId="27194B94"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961" w:type="dxa"/>
            <w:tcBorders>
              <w:top w:val="nil"/>
              <w:left w:val="nil"/>
              <w:bottom w:val="nil"/>
              <w:right w:val="single" w:sz="8" w:space="0" w:color="auto"/>
            </w:tcBorders>
            <w:shd w:val="clear" w:color="000000" w:fill="CCCCCC"/>
            <w:vAlign w:val="center"/>
            <w:hideMark/>
          </w:tcPr>
          <w:p w14:paraId="10754483" w14:textId="77777777" w:rsidR="00AD25A6" w:rsidRPr="00AD25A6" w:rsidRDefault="00AD25A6" w:rsidP="00AD25A6">
            <w:pPr>
              <w:jc w:val="center"/>
              <w:rPr>
                <w:rFonts w:ascii="Arial" w:hAnsi="Arial" w:cs="Arial"/>
                <w:b/>
                <w:bCs/>
              </w:rPr>
            </w:pPr>
            <w:r w:rsidRPr="00AD25A6">
              <w:rPr>
                <w:rFonts w:ascii="Arial" w:hAnsi="Arial" w:cs="Arial"/>
                <w:b/>
                <w:bCs/>
              </w:rPr>
              <w:t>£,000</w:t>
            </w:r>
          </w:p>
        </w:tc>
        <w:tc>
          <w:tcPr>
            <w:tcW w:w="1151" w:type="dxa"/>
            <w:tcBorders>
              <w:top w:val="nil"/>
              <w:left w:val="nil"/>
              <w:bottom w:val="nil"/>
              <w:right w:val="nil"/>
            </w:tcBorders>
            <w:shd w:val="clear" w:color="000000" w:fill="FFFFFF"/>
            <w:vAlign w:val="center"/>
            <w:hideMark/>
          </w:tcPr>
          <w:p w14:paraId="7DD1FD99"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1253" w:type="dxa"/>
            <w:tcBorders>
              <w:top w:val="nil"/>
              <w:left w:val="nil"/>
              <w:bottom w:val="nil"/>
              <w:right w:val="single" w:sz="8" w:space="0" w:color="auto"/>
            </w:tcBorders>
            <w:shd w:val="clear" w:color="000000" w:fill="CCCCCC"/>
            <w:vAlign w:val="center"/>
            <w:hideMark/>
          </w:tcPr>
          <w:p w14:paraId="7BFAD6A2" w14:textId="77777777" w:rsidR="00AD25A6" w:rsidRPr="00AD25A6" w:rsidRDefault="00AD25A6" w:rsidP="00AD25A6">
            <w:pPr>
              <w:jc w:val="center"/>
              <w:rPr>
                <w:rFonts w:ascii="Arial" w:hAnsi="Arial" w:cs="Arial"/>
                <w:b/>
                <w:bCs/>
              </w:rPr>
            </w:pPr>
            <w:r w:rsidRPr="00AD25A6">
              <w:rPr>
                <w:rFonts w:ascii="Arial" w:hAnsi="Arial" w:cs="Arial"/>
                <w:b/>
                <w:bCs/>
              </w:rPr>
              <w:t>£,000</w:t>
            </w:r>
          </w:p>
        </w:tc>
        <w:tc>
          <w:tcPr>
            <w:tcW w:w="1471" w:type="dxa"/>
            <w:tcBorders>
              <w:top w:val="nil"/>
              <w:left w:val="nil"/>
              <w:bottom w:val="nil"/>
              <w:right w:val="nil"/>
            </w:tcBorders>
            <w:shd w:val="clear" w:color="000000" w:fill="FFFFFF"/>
            <w:vAlign w:val="center"/>
            <w:hideMark/>
          </w:tcPr>
          <w:p w14:paraId="6108EF06"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961" w:type="dxa"/>
            <w:tcBorders>
              <w:top w:val="nil"/>
              <w:left w:val="nil"/>
              <w:bottom w:val="nil"/>
              <w:right w:val="single" w:sz="8" w:space="0" w:color="auto"/>
            </w:tcBorders>
            <w:shd w:val="clear" w:color="000000" w:fill="CCCCCC"/>
            <w:vAlign w:val="center"/>
            <w:hideMark/>
          </w:tcPr>
          <w:p w14:paraId="2EC6A1DB" w14:textId="77777777" w:rsidR="00AD25A6" w:rsidRPr="00AD25A6" w:rsidRDefault="00AD25A6" w:rsidP="00AD25A6">
            <w:pPr>
              <w:jc w:val="center"/>
              <w:rPr>
                <w:rFonts w:ascii="Arial" w:hAnsi="Arial" w:cs="Arial"/>
                <w:b/>
                <w:bCs/>
              </w:rPr>
            </w:pPr>
            <w:r w:rsidRPr="00AD25A6">
              <w:rPr>
                <w:rFonts w:ascii="Arial" w:hAnsi="Arial" w:cs="Arial"/>
                <w:b/>
                <w:bCs/>
              </w:rPr>
              <w:t>£,000</w:t>
            </w:r>
          </w:p>
        </w:tc>
      </w:tr>
      <w:tr w:rsidR="007F19F0" w:rsidRPr="00AD25A6" w14:paraId="5A563C3F"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3E799327" w14:textId="77777777" w:rsidR="00AD25A6" w:rsidRPr="00AD25A6" w:rsidRDefault="00AD25A6" w:rsidP="00AD25A6">
            <w:pPr>
              <w:rPr>
                <w:rFonts w:ascii="Arial" w:hAnsi="Arial" w:cs="Arial"/>
              </w:rPr>
            </w:pPr>
            <w:r w:rsidRPr="00AD25A6">
              <w:rPr>
                <w:rFonts w:ascii="Arial" w:hAnsi="Arial" w:cs="Arial"/>
              </w:rPr>
              <w:t> </w:t>
            </w:r>
          </w:p>
        </w:tc>
        <w:tc>
          <w:tcPr>
            <w:tcW w:w="1103" w:type="dxa"/>
            <w:tcBorders>
              <w:top w:val="nil"/>
              <w:left w:val="single" w:sz="8" w:space="0" w:color="auto"/>
              <w:bottom w:val="nil"/>
              <w:right w:val="nil"/>
            </w:tcBorders>
            <w:shd w:val="clear" w:color="000000" w:fill="FFFFFF"/>
            <w:vAlign w:val="center"/>
            <w:hideMark/>
          </w:tcPr>
          <w:p w14:paraId="590F0AD8" w14:textId="77777777" w:rsidR="00AD25A6" w:rsidRPr="00AD25A6" w:rsidRDefault="00AD25A6" w:rsidP="00AD25A6">
            <w:pPr>
              <w:rPr>
                <w:rFonts w:ascii="Arial" w:hAnsi="Arial" w:cs="Arial"/>
              </w:rPr>
            </w:pPr>
            <w:r w:rsidRPr="00AD25A6">
              <w:rPr>
                <w:rFonts w:ascii="Arial" w:hAnsi="Arial" w:cs="Arial"/>
              </w:rPr>
              <w:t> </w:t>
            </w:r>
          </w:p>
        </w:tc>
        <w:tc>
          <w:tcPr>
            <w:tcW w:w="961" w:type="dxa"/>
            <w:tcBorders>
              <w:top w:val="nil"/>
              <w:left w:val="nil"/>
              <w:bottom w:val="nil"/>
              <w:right w:val="single" w:sz="8" w:space="0" w:color="auto"/>
            </w:tcBorders>
            <w:shd w:val="clear" w:color="000000" w:fill="CCCCCC"/>
            <w:vAlign w:val="center"/>
            <w:hideMark/>
          </w:tcPr>
          <w:p w14:paraId="311FEBD8" w14:textId="77777777" w:rsidR="00AD25A6" w:rsidRPr="00AD25A6" w:rsidRDefault="00AD25A6" w:rsidP="00AD25A6">
            <w:pPr>
              <w:rPr>
                <w:rFonts w:ascii="Arial" w:hAnsi="Arial" w:cs="Arial"/>
              </w:rPr>
            </w:pPr>
            <w:r w:rsidRPr="00AD25A6">
              <w:rPr>
                <w:rFonts w:ascii="Arial" w:hAnsi="Arial" w:cs="Arial"/>
              </w:rPr>
              <w:t> </w:t>
            </w:r>
          </w:p>
        </w:tc>
        <w:tc>
          <w:tcPr>
            <w:tcW w:w="1151" w:type="dxa"/>
            <w:tcBorders>
              <w:top w:val="nil"/>
              <w:left w:val="nil"/>
              <w:bottom w:val="nil"/>
              <w:right w:val="nil"/>
            </w:tcBorders>
            <w:shd w:val="clear" w:color="000000" w:fill="FFFFFF"/>
            <w:vAlign w:val="center"/>
            <w:hideMark/>
          </w:tcPr>
          <w:p w14:paraId="30A77C1C" w14:textId="77777777" w:rsidR="00AD25A6" w:rsidRPr="00AD25A6" w:rsidRDefault="00AD25A6" w:rsidP="00AD25A6">
            <w:pPr>
              <w:rPr>
                <w:rFonts w:ascii="Arial" w:hAnsi="Arial" w:cs="Arial"/>
              </w:rPr>
            </w:pPr>
            <w:r w:rsidRPr="00AD25A6">
              <w:rPr>
                <w:rFonts w:ascii="Arial" w:hAnsi="Arial" w:cs="Arial"/>
              </w:rPr>
              <w:t> </w:t>
            </w:r>
          </w:p>
        </w:tc>
        <w:tc>
          <w:tcPr>
            <w:tcW w:w="1253" w:type="dxa"/>
            <w:tcBorders>
              <w:top w:val="nil"/>
              <w:left w:val="nil"/>
              <w:bottom w:val="nil"/>
              <w:right w:val="single" w:sz="8" w:space="0" w:color="auto"/>
            </w:tcBorders>
            <w:shd w:val="clear" w:color="000000" w:fill="CCCCCC"/>
            <w:vAlign w:val="center"/>
            <w:hideMark/>
          </w:tcPr>
          <w:p w14:paraId="24511252" w14:textId="77777777" w:rsidR="00AD25A6" w:rsidRPr="00AD25A6" w:rsidRDefault="00AD25A6" w:rsidP="00AD25A6">
            <w:pPr>
              <w:rPr>
                <w:rFonts w:ascii="Arial" w:hAnsi="Arial" w:cs="Arial"/>
              </w:rPr>
            </w:pPr>
            <w:r w:rsidRPr="00AD25A6">
              <w:rPr>
                <w:rFonts w:ascii="Arial" w:hAnsi="Arial" w:cs="Arial"/>
              </w:rPr>
              <w:t> </w:t>
            </w:r>
          </w:p>
        </w:tc>
        <w:tc>
          <w:tcPr>
            <w:tcW w:w="1471" w:type="dxa"/>
            <w:tcBorders>
              <w:top w:val="nil"/>
              <w:left w:val="nil"/>
              <w:bottom w:val="nil"/>
              <w:right w:val="nil"/>
            </w:tcBorders>
            <w:shd w:val="clear" w:color="000000" w:fill="FFFFFF"/>
            <w:vAlign w:val="center"/>
            <w:hideMark/>
          </w:tcPr>
          <w:p w14:paraId="55388697" w14:textId="77777777" w:rsidR="00AD25A6" w:rsidRPr="00AD25A6" w:rsidRDefault="00AD25A6" w:rsidP="00AD25A6">
            <w:pPr>
              <w:rPr>
                <w:rFonts w:ascii="Arial" w:hAnsi="Arial" w:cs="Arial"/>
              </w:rPr>
            </w:pPr>
            <w:r w:rsidRPr="00AD25A6">
              <w:rPr>
                <w:rFonts w:ascii="Arial" w:hAnsi="Arial" w:cs="Arial"/>
              </w:rPr>
              <w:t> </w:t>
            </w:r>
          </w:p>
        </w:tc>
        <w:tc>
          <w:tcPr>
            <w:tcW w:w="961" w:type="dxa"/>
            <w:tcBorders>
              <w:top w:val="nil"/>
              <w:left w:val="nil"/>
              <w:bottom w:val="nil"/>
              <w:right w:val="single" w:sz="8" w:space="0" w:color="auto"/>
            </w:tcBorders>
            <w:shd w:val="clear" w:color="000000" w:fill="CCCCCC"/>
            <w:vAlign w:val="center"/>
            <w:hideMark/>
          </w:tcPr>
          <w:p w14:paraId="74902E89" w14:textId="77777777" w:rsidR="00AD25A6" w:rsidRPr="00AD25A6" w:rsidRDefault="00AD25A6" w:rsidP="00AD25A6">
            <w:pPr>
              <w:rPr>
                <w:rFonts w:ascii="Arial" w:hAnsi="Arial" w:cs="Arial"/>
              </w:rPr>
            </w:pPr>
            <w:r w:rsidRPr="00AD25A6">
              <w:rPr>
                <w:rFonts w:ascii="Arial" w:hAnsi="Arial" w:cs="Arial"/>
              </w:rPr>
              <w:t> </w:t>
            </w:r>
          </w:p>
        </w:tc>
      </w:tr>
      <w:tr w:rsidR="00B13E74" w:rsidRPr="00AD25A6" w14:paraId="04CA30AD"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39522E1B" w14:textId="77777777" w:rsidR="00B13E74" w:rsidRPr="00AD25A6" w:rsidRDefault="00B13E74" w:rsidP="00B13E74">
            <w:pPr>
              <w:jc w:val="right"/>
              <w:rPr>
                <w:rFonts w:ascii="Arial" w:hAnsi="Arial" w:cs="Arial"/>
                <w:b/>
                <w:bCs/>
                <w:color w:val="000000"/>
              </w:rPr>
            </w:pPr>
            <w:r w:rsidRPr="00AD25A6">
              <w:rPr>
                <w:rFonts w:ascii="Arial" w:hAnsi="Arial" w:cs="Arial"/>
                <w:b/>
                <w:bCs/>
                <w:color w:val="000000"/>
              </w:rPr>
              <w:t>01-Apr</w:t>
            </w:r>
          </w:p>
        </w:tc>
        <w:tc>
          <w:tcPr>
            <w:tcW w:w="1103" w:type="dxa"/>
            <w:tcBorders>
              <w:top w:val="nil"/>
              <w:left w:val="single" w:sz="8" w:space="0" w:color="auto"/>
              <w:bottom w:val="nil"/>
              <w:right w:val="nil"/>
            </w:tcBorders>
            <w:shd w:val="clear" w:color="000000" w:fill="FFFFFF"/>
            <w:vAlign w:val="center"/>
            <w:hideMark/>
          </w:tcPr>
          <w:p w14:paraId="20BF86E5" w14:textId="0019BC65" w:rsidR="00B13E74" w:rsidRPr="00AD25A6" w:rsidRDefault="00B13E74" w:rsidP="00B13E74">
            <w:pPr>
              <w:jc w:val="right"/>
              <w:rPr>
                <w:rFonts w:ascii="Arial" w:hAnsi="Arial" w:cs="Arial"/>
                <w:b/>
                <w:bCs/>
              </w:rPr>
            </w:pPr>
            <w:r w:rsidRPr="00AD25A6">
              <w:rPr>
                <w:rFonts w:ascii="Arial" w:hAnsi="Arial" w:cs="Arial"/>
                <w:b/>
                <w:bCs/>
              </w:rPr>
              <w:t>53</w:t>
            </w:r>
            <w:r>
              <w:rPr>
                <w:rFonts w:ascii="Arial" w:hAnsi="Arial" w:cs="Arial"/>
                <w:b/>
                <w:bCs/>
              </w:rPr>
              <w:t>8</w:t>
            </w:r>
            <w:r w:rsidRPr="00AD25A6">
              <w:rPr>
                <w:rFonts w:ascii="Arial" w:hAnsi="Arial" w:cs="Arial"/>
                <w:b/>
                <w:bCs/>
              </w:rPr>
              <w:t>,</w:t>
            </w:r>
            <w:r>
              <w:rPr>
                <w:rFonts w:ascii="Arial" w:hAnsi="Arial" w:cs="Arial"/>
                <w:b/>
                <w:bCs/>
              </w:rPr>
              <w:t>678</w:t>
            </w:r>
          </w:p>
        </w:tc>
        <w:tc>
          <w:tcPr>
            <w:tcW w:w="961" w:type="dxa"/>
            <w:tcBorders>
              <w:top w:val="nil"/>
              <w:left w:val="nil"/>
              <w:bottom w:val="nil"/>
              <w:right w:val="single" w:sz="8" w:space="0" w:color="auto"/>
            </w:tcBorders>
            <w:shd w:val="clear" w:color="000000" w:fill="CCCCCC"/>
            <w:vAlign w:val="center"/>
            <w:hideMark/>
          </w:tcPr>
          <w:p w14:paraId="6EA6C4CC" w14:textId="41A94B11" w:rsidR="00B13E74" w:rsidRPr="00AD25A6" w:rsidRDefault="00B13E74" w:rsidP="00B13E74">
            <w:pPr>
              <w:jc w:val="right"/>
              <w:rPr>
                <w:rFonts w:ascii="Arial" w:hAnsi="Arial" w:cs="Arial"/>
                <w:b/>
                <w:bCs/>
              </w:rPr>
            </w:pPr>
            <w:r>
              <w:rPr>
                <w:rFonts w:ascii="Arial" w:hAnsi="Arial" w:cs="Arial"/>
                <w:b/>
                <w:bCs/>
              </w:rPr>
              <w:t>604,412</w:t>
            </w:r>
          </w:p>
        </w:tc>
        <w:tc>
          <w:tcPr>
            <w:tcW w:w="1151" w:type="dxa"/>
            <w:tcBorders>
              <w:top w:val="nil"/>
              <w:left w:val="nil"/>
              <w:bottom w:val="nil"/>
              <w:right w:val="nil"/>
            </w:tcBorders>
            <w:shd w:val="clear" w:color="000000" w:fill="FFFFFF"/>
            <w:vAlign w:val="center"/>
            <w:hideMark/>
          </w:tcPr>
          <w:p w14:paraId="0ED8BC80" w14:textId="345ECE82" w:rsidR="00B13E74" w:rsidRPr="00AD25A6" w:rsidRDefault="00B13E74" w:rsidP="00B13E74">
            <w:pPr>
              <w:jc w:val="right"/>
              <w:rPr>
                <w:rFonts w:ascii="Arial" w:hAnsi="Arial" w:cs="Arial"/>
                <w:b/>
                <w:bCs/>
              </w:rPr>
            </w:pPr>
            <w:r w:rsidRPr="00AD25A6">
              <w:rPr>
                <w:rFonts w:ascii="Arial" w:hAnsi="Arial" w:cs="Arial"/>
                <w:b/>
                <w:bCs/>
              </w:rPr>
              <w:t>8,</w:t>
            </w:r>
            <w:r>
              <w:rPr>
                <w:rFonts w:ascii="Arial" w:hAnsi="Arial" w:cs="Arial"/>
                <w:b/>
                <w:bCs/>
              </w:rPr>
              <w:t>364</w:t>
            </w:r>
          </w:p>
        </w:tc>
        <w:tc>
          <w:tcPr>
            <w:tcW w:w="1253" w:type="dxa"/>
            <w:tcBorders>
              <w:top w:val="nil"/>
              <w:left w:val="nil"/>
              <w:bottom w:val="nil"/>
              <w:right w:val="single" w:sz="8" w:space="0" w:color="auto"/>
            </w:tcBorders>
            <w:shd w:val="clear" w:color="000000" w:fill="CCCCCC"/>
            <w:vAlign w:val="center"/>
            <w:hideMark/>
          </w:tcPr>
          <w:p w14:paraId="2BC42DAD" w14:textId="0AD236BD" w:rsidR="00B13E74" w:rsidRPr="00AD25A6" w:rsidRDefault="00B13E74" w:rsidP="00B13E74">
            <w:pPr>
              <w:jc w:val="right"/>
              <w:rPr>
                <w:rFonts w:ascii="Arial" w:hAnsi="Arial" w:cs="Arial"/>
                <w:b/>
                <w:bCs/>
              </w:rPr>
            </w:pPr>
            <w:r>
              <w:rPr>
                <w:rFonts w:ascii="Arial" w:hAnsi="Arial" w:cs="Arial"/>
                <w:b/>
                <w:bCs/>
              </w:rPr>
              <w:t>9,259</w:t>
            </w:r>
          </w:p>
        </w:tc>
        <w:tc>
          <w:tcPr>
            <w:tcW w:w="1471" w:type="dxa"/>
            <w:tcBorders>
              <w:top w:val="nil"/>
              <w:left w:val="nil"/>
              <w:bottom w:val="nil"/>
              <w:right w:val="nil"/>
            </w:tcBorders>
            <w:shd w:val="clear" w:color="000000" w:fill="FFFFFF"/>
            <w:vAlign w:val="center"/>
            <w:hideMark/>
          </w:tcPr>
          <w:p w14:paraId="20192203" w14:textId="373371A4" w:rsidR="00B13E74" w:rsidRPr="00AD25A6" w:rsidRDefault="00B13E74" w:rsidP="00B13E74">
            <w:pPr>
              <w:jc w:val="right"/>
              <w:rPr>
                <w:rFonts w:ascii="Arial" w:hAnsi="Arial" w:cs="Arial"/>
                <w:b/>
                <w:bCs/>
              </w:rPr>
            </w:pPr>
            <w:r w:rsidRPr="00AD25A6">
              <w:rPr>
                <w:rFonts w:ascii="Arial" w:hAnsi="Arial" w:cs="Arial"/>
                <w:b/>
                <w:bCs/>
              </w:rPr>
              <w:t>5</w:t>
            </w:r>
            <w:r>
              <w:rPr>
                <w:rFonts w:ascii="Arial" w:hAnsi="Arial" w:cs="Arial"/>
                <w:b/>
                <w:bCs/>
              </w:rPr>
              <w:t>30</w:t>
            </w:r>
            <w:r w:rsidRPr="00AD25A6">
              <w:rPr>
                <w:rFonts w:ascii="Arial" w:hAnsi="Arial" w:cs="Arial"/>
                <w:b/>
                <w:bCs/>
              </w:rPr>
              <w:t>,</w:t>
            </w:r>
            <w:r>
              <w:rPr>
                <w:rFonts w:ascii="Arial" w:hAnsi="Arial" w:cs="Arial"/>
                <w:b/>
                <w:bCs/>
              </w:rPr>
              <w:t>31</w:t>
            </w:r>
            <w:r w:rsidRPr="00AD25A6">
              <w:rPr>
                <w:rFonts w:ascii="Arial" w:hAnsi="Arial" w:cs="Arial"/>
                <w:b/>
                <w:bCs/>
              </w:rPr>
              <w:t>4</w:t>
            </w:r>
          </w:p>
        </w:tc>
        <w:tc>
          <w:tcPr>
            <w:tcW w:w="961" w:type="dxa"/>
            <w:tcBorders>
              <w:top w:val="nil"/>
              <w:left w:val="nil"/>
              <w:bottom w:val="nil"/>
              <w:right w:val="single" w:sz="8" w:space="0" w:color="auto"/>
            </w:tcBorders>
            <w:shd w:val="clear" w:color="000000" w:fill="CCCCCC"/>
            <w:vAlign w:val="center"/>
            <w:hideMark/>
          </w:tcPr>
          <w:p w14:paraId="7F3A9099" w14:textId="6A32DCC2" w:rsidR="00B13E74" w:rsidRPr="00AD25A6" w:rsidRDefault="00B13E74" w:rsidP="00B13E74">
            <w:pPr>
              <w:jc w:val="right"/>
              <w:rPr>
                <w:rFonts w:ascii="Arial" w:hAnsi="Arial" w:cs="Arial"/>
                <w:b/>
                <w:bCs/>
              </w:rPr>
            </w:pPr>
            <w:r>
              <w:rPr>
                <w:rFonts w:ascii="Arial" w:hAnsi="Arial" w:cs="Arial"/>
                <w:b/>
                <w:bCs/>
              </w:rPr>
              <w:t>595,153</w:t>
            </w:r>
          </w:p>
        </w:tc>
      </w:tr>
      <w:tr w:rsidR="00B13E74" w:rsidRPr="00AD25A6" w14:paraId="5760DCF0"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55B0109F" w14:textId="77777777" w:rsidR="00B13E74" w:rsidRPr="00AD25A6" w:rsidRDefault="00B13E74" w:rsidP="00B13E74">
            <w:pPr>
              <w:rPr>
                <w:rFonts w:ascii="Arial" w:hAnsi="Arial" w:cs="Arial"/>
                <w:color w:val="000000"/>
              </w:rPr>
            </w:pPr>
            <w:r w:rsidRPr="00AD25A6">
              <w:rPr>
                <w:rFonts w:ascii="Arial" w:hAnsi="Arial" w:cs="Arial"/>
                <w:color w:val="000000"/>
              </w:rPr>
              <w:t>Interest on plan assets</w:t>
            </w:r>
          </w:p>
        </w:tc>
        <w:tc>
          <w:tcPr>
            <w:tcW w:w="1103" w:type="dxa"/>
            <w:tcBorders>
              <w:top w:val="nil"/>
              <w:left w:val="single" w:sz="8" w:space="0" w:color="auto"/>
              <w:bottom w:val="nil"/>
              <w:right w:val="nil"/>
            </w:tcBorders>
            <w:shd w:val="clear" w:color="000000" w:fill="FFFFFF"/>
            <w:vAlign w:val="center"/>
            <w:hideMark/>
          </w:tcPr>
          <w:p w14:paraId="5E7A9534" w14:textId="0B29EBC0" w:rsidR="00B13E74" w:rsidRPr="00AD25A6" w:rsidRDefault="00B13E74" w:rsidP="00B13E74">
            <w:pPr>
              <w:jc w:val="right"/>
              <w:rPr>
                <w:rFonts w:ascii="Arial" w:hAnsi="Arial" w:cs="Arial"/>
              </w:rPr>
            </w:pPr>
            <w:r>
              <w:rPr>
                <w:rFonts w:ascii="Arial" w:hAnsi="Arial" w:cs="Arial"/>
              </w:rPr>
              <w:t>27</w:t>
            </w:r>
            <w:r w:rsidRPr="00AD25A6">
              <w:rPr>
                <w:rFonts w:ascii="Arial" w:hAnsi="Arial" w:cs="Arial"/>
              </w:rPr>
              <w:t>,</w:t>
            </w:r>
            <w:r>
              <w:rPr>
                <w:rFonts w:ascii="Arial" w:hAnsi="Arial" w:cs="Arial"/>
              </w:rPr>
              <w:t>100</w:t>
            </w:r>
          </w:p>
        </w:tc>
        <w:tc>
          <w:tcPr>
            <w:tcW w:w="961" w:type="dxa"/>
            <w:tcBorders>
              <w:top w:val="nil"/>
              <w:left w:val="nil"/>
              <w:bottom w:val="nil"/>
              <w:right w:val="single" w:sz="8" w:space="0" w:color="auto"/>
            </w:tcBorders>
            <w:shd w:val="clear" w:color="000000" w:fill="CCCCCC"/>
            <w:vAlign w:val="center"/>
            <w:hideMark/>
          </w:tcPr>
          <w:p w14:paraId="1FBAC5E2" w14:textId="3B038475" w:rsidR="00B13E74" w:rsidRPr="00AD25A6" w:rsidRDefault="00B13E74" w:rsidP="00B13E74">
            <w:pPr>
              <w:jc w:val="right"/>
              <w:rPr>
                <w:rFonts w:ascii="Arial" w:hAnsi="Arial" w:cs="Arial"/>
              </w:rPr>
            </w:pPr>
            <w:r>
              <w:rPr>
                <w:rFonts w:ascii="Arial" w:hAnsi="Arial" w:cs="Arial"/>
              </w:rPr>
              <w:t>29,361</w:t>
            </w:r>
          </w:p>
        </w:tc>
        <w:tc>
          <w:tcPr>
            <w:tcW w:w="1151" w:type="dxa"/>
            <w:tcBorders>
              <w:top w:val="nil"/>
              <w:left w:val="nil"/>
              <w:bottom w:val="nil"/>
              <w:right w:val="nil"/>
            </w:tcBorders>
            <w:shd w:val="clear" w:color="000000" w:fill="FFFFFF"/>
            <w:vAlign w:val="center"/>
            <w:hideMark/>
          </w:tcPr>
          <w:p w14:paraId="5B462858" w14:textId="75225A88" w:rsidR="00B13E74" w:rsidRPr="00AD25A6" w:rsidRDefault="00B13E74" w:rsidP="00B13E74">
            <w:pPr>
              <w:jc w:val="right"/>
              <w:rPr>
                <w:rFonts w:ascii="Arial" w:hAnsi="Arial" w:cs="Arial"/>
                <w:b/>
                <w:bCs/>
              </w:rPr>
            </w:pPr>
            <w:r>
              <w:rPr>
                <w:rFonts w:ascii="Arial" w:hAnsi="Arial" w:cs="Arial"/>
                <w:b/>
                <w:bCs/>
              </w:rPr>
              <w:t>41</w:t>
            </w:r>
            <w:r w:rsidRPr="00AD25A6">
              <w:rPr>
                <w:rFonts w:ascii="Arial" w:hAnsi="Arial" w:cs="Arial"/>
                <w:b/>
                <w:bCs/>
              </w:rPr>
              <w:t>2</w:t>
            </w:r>
          </w:p>
        </w:tc>
        <w:tc>
          <w:tcPr>
            <w:tcW w:w="1253" w:type="dxa"/>
            <w:tcBorders>
              <w:top w:val="nil"/>
              <w:left w:val="nil"/>
              <w:bottom w:val="nil"/>
              <w:right w:val="single" w:sz="8" w:space="0" w:color="auto"/>
            </w:tcBorders>
            <w:shd w:val="clear" w:color="000000" w:fill="CCCCCC"/>
            <w:vAlign w:val="center"/>
            <w:hideMark/>
          </w:tcPr>
          <w:p w14:paraId="2D86AF7B" w14:textId="17FEF4E0" w:rsidR="00B13E74" w:rsidRPr="00AD25A6" w:rsidRDefault="00B13E74" w:rsidP="00B13E74">
            <w:pPr>
              <w:jc w:val="right"/>
              <w:rPr>
                <w:rFonts w:ascii="Arial" w:hAnsi="Arial" w:cs="Arial"/>
              </w:rPr>
            </w:pPr>
            <w:r>
              <w:rPr>
                <w:rFonts w:ascii="Arial" w:hAnsi="Arial" w:cs="Arial"/>
              </w:rPr>
              <w:t>453</w:t>
            </w:r>
          </w:p>
        </w:tc>
        <w:tc>
          <w:tcPr>
            <w:tcW w:w="1471" w:type="dxa"/>
            <w:tcBorders>
              <w:top w:val="nil"/>
              <w:left w:val="nil"/>
              <w:bottom w:val="nil"/>
              <w:right w:val="nil"/>
            </w:tcBorders>
            <w:shd w:val="clear" w:color="000000" w:fill="FFFFFF"/>
            <w:vAlign w:val="center"/>
            <w:hideMark/>
          </w:tcPr>
          <w:p w14:paraId="2306D0A9" w14:textId="1607B3CA" w:rsidR="00B13E74" w:rsidRPr="00AD25A6" w:rsidRDefault="00B13E74" w:rsidP="00B13E74">
            <w:pPr>
              <w:jc w:val="right"/>
              <w:rPr>
                <w:rFonts w:ascii="Arial" w:hAnsi="Arial" w:cs="Arial"/>
                <w:b/>
                <w:bCs/>
              </w:rPr>
            </w:pPr>
            <w:r>
              <w:rPr>
                <w:rFonts w:ascii="Arial" w:hAnsi="Arial" w:cs="Arial"/>
                <w:b/>
                <w:bCs/>
              </w:rPr>
              <w:t>26</w:t>
            </w:r>
            <w:r w:rsidRPr="00AD25A6">
              <w:rPr>
                <w:rFonts w:ascii="Arial" w:hAnsi="Arial" w:cs="Arial"/>
                <w:b/>
                <w:bCs/>
              </w:rPr>
              <w:t>,</w:t>
            </w:r>
            <w:r>
              <w:rPr>
                <w:rFonts w:ascii="Arial" w:hAnsi="Arial" w:cs="Arial"/>
                <w:b/>
                <w:bCs/>
              </w:rPr>
              <w:t>688</w:t>
            </w:r>
          </w:p>
        </w:tc>
        <w:tc>
          <w:tcPr>
            <w:tcW w:w="961" w:type="dxa"/>
            <w:tcBorders>
              <w:top w:val="nil"/>
              <w:left w:val="nil"/>
              <w:bottom w:val="nil"/>
              <w:right w:val="single" w:sz="8" w:space="0" w:color="auto"/>
            </w:tcBorders>
            <w:shd w:val="clear" w:color="000000" w:fill="CCCCCC"/>
            <w:vAlign w:val="center"/>
            <w:hideMark/>
          </w:tcPr>
          <w:p w14:paraId="577FA81A" w14:textId="4D179A79" w:rsidR="00B13E74" w:rsidRPr="00AD25A6" w:rsidRDefault="00B13E74" w:rsidP="00B13E74">
            <w:pPr>
              <w:jc w:val="right"/>
              <w:rPr>
                <w:rFonts w:ascii="Arial" w:hAnsi="Arial" w:cs="Arial"/>
              </w:rPr>
            </w:pPr>
            <w:r>
              <w:rPr>
                <w:rFonts w:ascii="Arial" w:hAnsi="Arial" w:cs="Arial"/>
              </w:rPr>
              <w:t>28,908</w:t>
            </w:r>
          </w:p>
        </w:tc>
      </w:tr>
      <w:tr w:rsidR="00B13E74" w:rsidRPr="00AD25A6" w14:paraId="30EEF46D"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3A08C7D1" w14:textId="77777777" w:rsidR="00B13E74" w:rsidRPr="00AD25A6" w:rsidRDefault="00B13E74" w:rsidP="00B13E74">
            <w:pPr>
              <w:rPr>
                <w:rFonts w:ascii="Arial" w:hAnsi="Arial" w:cs="Arial"/>
                <w:color w:val="000000"/>
              </w:rPr>
            </w:pPr>
            <w:r w:rsidRPr="00AD25A6">
              <w:rPr>
                <w:rFonts w:ascii="Arial" w:hAnsi="Arial" w:cs="Arial"/>
                <w:color w:val="000000"/>
              </w:rPr>
              <w:t>Admin expenses</w:t>
            </w:r>
          </w:p>
        </w:tc>
        <w:tc>
          <w:tcPr>
            <w:tcW w:w="1103" w:type="dxa"/>
            <w:tcBorders>
              <w:top w:val="nil"/>
              <w:left w:val="single" w:sz="8" w:space="0" w:color="auto"/>
              <w:bottom w:val="nil"/>
              <w:right w:val="nil"/>
            </w:tcBorders>
            <w:shd w:val="clear" w:color="000000" w:fill="FFFFFF"/>
            <w:vAlign w:val="center"/>
            <w:hideMark/>
          </w:tcPr>
          <w:p w14:paraId="7DE67497" w14:textId="2BCD0305" w:rsidR="00B13E74" w:rsidRPr="00AD25A6" w:rsidRDefault="00B13E74" w:rsidP="00B13E74">
            <w:pPr>
              <w:jc w:val="right"/>
              <w:rPr>
                <w:rFonts w:ascii="Arial" w:hAnsi="Arial" w:cs="Arial"/>
              </w:rPr>
            </w:pPr>
            <w:r w:rsidRPr="00AD25A6">
              <w:rPr>
                <w:rFonts w:ascii="Arial" w:hAnsi="Arial" w:cs="Arial"/>
              </w:rPr>
              <w:t>(4</w:t>
            </w:r>
            <w:r>
              <w:rPr>
                <w:rFonts w:ascii="Arial" w:hAnsi="Arial" w:cs="Arial"/>
              </w:rPr>
              <w:t>3</w:t>
            </w:r>
            <w:r w:rsidRPr="00AD25A6">
              <w:rPr>
                <w:rFonts w:ascii="Arial" w:hAnsi="Arial" w:cs="Arial"/>
              </w:rPr>
              <w:t>7)</w:t>
            </w:r>
          </w:p>
        </w:tc>
        <w:tc>
          <w:tcPr>
            <w:tcW w:w="961" w:type="dxa"/>
            <w:tcBorders>
              <w:top w:val="nil"/>
              <w:left w:val="nil"/>
              <w:bottom w:val="nil"/>
              <w:right w:val="single" w:sz="8" w:space="0" w:color="auto"/>
            </w:tcBorders>
            <w:shd w:val="clear" w:color="000000" w:fill="CCCCCC"/>
            <w:vAlign w:val="center"/>
            <w:hideMark/>
          </w:tcPr>
          <w:p w14:paraId="0D13B2A1" w14:textId="61C3C131" w:rsidR="00B13E74" w:rsidRPr="00AD25A6" w:rsidRDefault="00B13E74" w:rsidP="00B13E74">
            <w:pPr>
              <w:jc w:val="right"/>
              <w:rPr>
                <w:rFonts w:ascii="Arial" w:hAnsi="Arial" w:cs="Arial"/>
              </w:rPr>
            </w:pPr>
            <w:r>
              <w:rPr>
                <w:rFonts w:ascii="Arial" w:hAnsi="Arial" w:cs="Arial"/>
              </w:rPr>
              <w:t>(468)</w:t>
            </w:r>
          </w:p>
        </w:tc>
        <w:tc>
          <w:tcPr>
            <w:tcW w:w="1151" w:type="dxa"/>
            <w:tcBorders>
              <w:top w:val="nil"/>
              <w:left w:val="nil"/>
              <w:bottom w:val="nil"/>
              <w:right w:val="nil"/>
            </w:tcBorders>
            <w:shd w:val="clear" w:color="000000" w:fill="FFFFFF"/>
            <w:vAlign w:val="center"/>
            <w:hideMark/>
          </w:tcPr>
          <w:p w14:paraId="47B88203" w14:textId="6326AFA9" w:rsidR="00B13E74" w:rsidRPr="00AD25A6" w:rsidRDefault="00B13E74" w:rsidP="00B13E74">
            <w:pPr>
              <w:jc w:val="right"/>
              <w:rPr>
                <w:rFonts w:ascii="Arial" w:hAnsi="Arial" w:cs="Arial"/>
                <w:b/>
                <w:bCs/>
              </w:rPr>
            </w:pPr>
            <w:r w:rsidRPr="00AD25A6">
              <w:rPr>
                <w:rFonts w:ascii="Arial" w:hAnsi="Arial" w:cs="Arial"/>
                <w:b/>
                <w:bCs/>
              </w:rPr>
              <w:t>(</w:t>
            </w:r>
            <w:r>
              <w:rPr>
                <w:rFonts w:ascii="Arial" w:hAnsi="Arial" w:cs="Arial"/>
                <w:b/>
                <w:bCs/>
              </w:rPr>
              <w:t>5</w:t>
            </w:r>
            <w:r w:rsidRPr="00AD25A6">
              <w:rPr>
                <w:rFonts w:ascii="Arial" w:hAnsi="Arial" w:cs="Arial"/>
                <w:b/>
                <w:bCs/>
              </w:rPr>
              <w:t>)</w:t>
            </w:r>
          </w:p>
        </w:tc>
        <w:tc>
          <w:tcPr>
            <w:tcW w:w="1253" w:type="dxa"/>
            <w:tcBorders>
              <w:top w:val="nil"/>
              <w:left w:val="nil"/>
              <w:bottom w:val="nil"/>
              <w:right w:val="single" w:sz="8" w:space="0" w:color="auto"/>
            </w:tcBorders>
            <w:shd w:val="clear" w:color="000000" w:fill="CCCCCC"/>
            <w:vAlign w:val="center"/>
            <w:hideMark/>
          </w:tcPr>
          <w:p w14:paraId="0C60776C" w14:textId="7A5C7736" w:rsidR="00B13E74" w:rsidRPr="00AD25A6" w:rsidRDefault="00B13E74" w:rsidP="00B13E74">
            <w:pPr>
              <w:jc w:val="right"/>
              <w:rPr>
                <w:rFonts w:ascii="Arial" w:hAnsi="Arial" w:cs="Arial"/>
              </w:rPr>
            </w:pPr>
            <w:r>
              <w:rPr>
                <w:rFonts w:ascii="Arial" w:hAnsi="Arial" w:cs="Arial"/>
              </w:rPr>
              <w:t>(5)</w:t>
            </w:r>
          </w:p>
        </w:tc>
        <w:tc>
          <w:tcPr>
            <w:tcW w:w="1471" w:type="dxa"/>
            <w:tcBorders>
              <w:top w:val="nil"/>
              <w:left w:val="nil"/>
              <w:bottom w:val="nil"/>
              <w:right w:val="nil"/>
            </w:tcBorders>
            <w:shd w:val="clear" w:color="000000" w:fill="FFFFFF"/>
            <w:vAlign w:val="center"/>
            <w:hideMark/>
          </w:tcPr>
          <w:p w14:paraId="6BD224E7" w14:textId="61B87902" w:rsidR="00B13E74" w:rsidRPr="00AD25A6" w:rsidRDefault="00B13E74" w:rsidP="00B13E74">
            <w:pPr>
              <w:jc w:val="right"/>
              <w:rPr>
                <w:rFonts w:ascii="Arial" w:hAnsi="Arial" w:cs="Arial"/>
                <w:b/>
                <w:bCs/>
              </w:rPr>
            </w:pPr>
            <w:r w:rsidRPr="00AD25A6">
              <w:rPr>
                <w:rFonts w:ascii="Arial" w:hAnsi="Arial" w:cs="Arial"/>
                <w:b/>
                <w:bCs/>
              </w:rPr>
              <w:t>(43</w:t>
            </w:r>
            <w:r>
              <w:rPr>
                <w:rFonts w:ascii="Arial" w:hAnsi="Arial" w:cs="Arial"/>
                <w:b/>
                <w:bCs/>
              </w:rPr>
              <w:t>2</w:t>
            </w:r>
            <w:r w:rsidRPr="00AD25A6">
              <w:rPr>
                <w:rFonts w:ascii="Arial" w:hAnsi="Arial" w:cs="Arial"/>
                <w:b/>
                <w:bCs/>
              </w:rPr>
              <w:t>)</w:t>
            </w:r>
          </w:p>
        </w:tc>
        <w:tc>
          <w:tcPr>
            <w:tcW w:w="961" w:type="dxa"/>
            <w:tcBorders>
              <w:top w:val="nil"/>
              <w:left w:val="nil"/>
              <w:bottom w:val="nil"/>
              <w:right w:val="single" w:sz="8" w:space="0" w:color="auto"/>
            </w:tcBorders>
            <w:shd w:val="clear" w:color="000000" w:fill="CCCCCC"/>
            <w:vAlign w:val="center"/>
            <w:hideMark/>
          </w:tcPr>
          <w:p w14:paraId="77DE945F" w14:textId="69CB9290" w:rsidR="00B13E74" w:rsidRPr="00AD25A6" w:rsidRDefault="00B13E74" w:rsidP="00B13E74">
            <w:pPr>
              <w:jc w:val="right"/>
              <w:rPr>
                <w:rFonts w:ascii="Arial" w:hAnsi="Arial" w:cs="Arial"/>
              </w:rPr>
            </w:pPr>
            <w:r>
              <w:rPr>
                <w:rFonts w:ascii="Arial" w:hAnsi="Arial" w:cs="Arial"/>
              </w:rPr>
              <w:t>(463)</w:t>
            </w:r>
          </w:p>
        </w:tc>
      </w:tr>
      <w:tr w:rsidR="00B13E74" w:rsidRPr="00AD25A6" w14:paraId="75201597"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5A23D36F" w14:textId="77777777" w:rsidR="00B13E74" w:rsidRPr="00AD25A6" w:rsidRDefault="00B13E74" w:rsidP="00B13E74">
            <w:pPr>
              <w:rPr>
                <w:rFonts w:ascii="Arial" w:hAnsi="Arial" w:cs="Arial"/>
                <w:color w:val="000000"/>
              </w:rPr>
            </w:pPr>
            <w:r w:rsidRPr="00AD25A6">
              <w:rPr>
                <w:rFonts w:ascii="Arial" w:hAnsi="Arial" w:cs="Arial"/>
                <w:color w:val="000000"/>
              </w:rPr>
              <w:t>Employer contributions</w:t>
            </w:r>
          </w:p>
        </w:tc>
        <w:tc>
          <w:tcPr>
            <w:tcW w:w="1103" w:type="dxa"/>
            <w:tcBorders>
              <w:top w:val="nil"/>
              <w:left w:val="single" w:sz="8" w:space="0" w:color="auto"/>
              <w:bottom w:val="nil"/>
              <w:right w:val="nil"/>
            </w:tcBorders>
            <w:shd w:val="clear" w:color="000000" w:fill="FFFFFF"/>
            <w:vAlign w:val="center"/>
            <w:hideMark/>
          </w:tcPr>
          <w:p w14:paraId="2B73415C" w14:textId="4B880B23" w:rsidR="00B13E74" w:rsidRPr="00AD25A6" w:rsidRDefault="00B13E74" w:rsidP="00B13E74">
            <w:pPr>
              <w:jc w:val="right"/>
              <w:rPr>
                <w:rFonts w:ascii="Arial" w:hAnsi="Arial" w:cs="Arial"/>
              </w:rPr>
            </w:pPr>
            <w:r>
              <w:rPr>
                <w:rFonts w:ascii="Arial" w:hAnsi="Arial" w:cs="Arial"/>
              </w:rPr>
              <w:t>32,880</w:t>
            </w:r>
          </w:p>
        </w:tc>
        <w:tc>
          <w:tcPr>
            <w:tcW w:w="961" w:type="dxa"/>
            <w:tcBorders>
              <w:top w:val="nil"/>
              <w:left w:val="nil"/>
              <w:bottom w:val="nil"/>
              <w:right w:val="single" w:sz="8" w:space="0" w:color="auto"/>
            </w:tcBorders>
            <w:shd w:val="clear" w:color="000000" w:fill="CCCCCC"/>
            <w:vAlign w:val="center"/>
            <w:hideMark/>
          </w:tcPr>
          <w:p w14:paraId="7F9F3FCF" w14:textId="128E5323" w:rsidR="00B13E74" w:rsidRPr="00AD25A6" w:rsidRDefault="00B13E74" w:rsidP="00B13E74">
            <w:pPr>
              <w:jc w:val="right"/>
              <w:rPr>
                <w:rFonts w:ascii="Arial" w:hAnsi="Arial" w:cs="Arial"/>
              </w:rPr>
            </w:pPr>
            <w:r>
              <w:rPr>
                <w:rFonts w:ascii="Arial" w:hAnsi="Arial" w:cs="Arial"/>
              </w:rPr>
              <w:t>7</w:t>
            </w:r>
            <w:r w:rsidR="00EA2292">
              <w:rPr>
                <w:rFonts w:ascii="Arial" w:hAnsi="Arial" w:cs="Arial"/>
              </w:rPr>
              <w:t>88</w:t>
            </w:r>
          </w:p>
        </w:tc>
        <w:tc>
          <w:tcPr>
            <w:tcW w:w="1151" w:type="dxa"/>
            <w:tcBorders>
              <w:top w:val="nil"/>
              <w:left w:val="nil"/>
              <w:bottom w:val="nil"/>
              <w:right w:val="nil"/>
            </w:tcBorders>
            <w:shd w:val="clear" w:color="000000" w:fill="FFFFFF"/>
            <w:vAlign w:val="center"/>
            <w:hideMark/>
          </w:tcPr>
          <w:p w14:paraId="1B5FDCCA" w14:textId="27E37EBC" w:rsidR="00B13E74" w:rsidRPr="00AD25A6" w:rsidRDefault="00B13E74" w:rsidP="00B13E74">
            <w:pPr>
              <w:jc w:val="right"/>
              <w:rPr>
                <w:rFonts w:ascii="Arial" w:hAnsi="Arial" w:cs="Arial"/>
                <w:b/>
                <w:bCs/>
              </w:rPr>
            </w:pPr>
            <w:r>
              <w:rPr>
                <w:rFonts w:ascii="Arial" w:hAnsi="Arial" w:cs="Arial"/>
                <w:b/>
                <w:bCs/>
              </w:rPr>
              <w:t>268</w:t>
            </w:r>
          </w:p>
        </w:tc>
        <w:tc>
          <w:tcPr>
            <w:tcW w:w="1253" w:type="dxa"/>
            <w:tcBorders>
              <w:top w:val="nil"/>
              <w:left w:val="nil"/>
              <w:bottom w:val="nil"/>
              <w:right w:val="single" w:sz="8" w:space="0" w:color="auto"/>
            </w:tcBorders>
            <w:shd w:val="clear" w:color="000000" w:fill="CCCCCC"/>
            <w:vAlign w:val="center"/>
            <w:hideMark/>
          </w:tcPr>
          <w:p w14:paraId="47A5FD23" w14:textId="3318AF96" w:rsidR="00B13E74" w:rsidRPr="00AD25A6" w:rsidRDefault="00B13E74" w:rsidP="00B13E74">
            <w:pPr>
              <w:jc w:val="right"/>
              <w:rPr>
                <w:rFonts w:ascii="Arial" w:hAnsi="Arial" w:cs="Arial"/>
              </w:rPr>
            </w:pPr>
            <w:r>
              <w:rPr>
                <w:rFonts w:ascii="Arial" w:hAnsi="Arial" w:cs="Arial"/>
              </w:rPr>
              <w:t>407</w:t>
            </w:r>
          </w:p>
        </w:tc>
        <w:tc>
          <w:tcPr>
            <w:tcW w:w="1471" w:type="dxa"/>
            <w:tcBorders>
              <w:top w:val="nil"/>
              <w:left w:val="nil"/>
              <w:bottom w:val="nil"/>
              <w:right w:val="nil"/>
            </w:tcBorders>
            <w:shd w:val="clear" w:color="000000" w:fill="FFFFFF"/>
            <w:vAlign w:val="center"/>
            <w:hideMark/>
          </w:tcPr>
          <w:p w14:paraId="45ECF3B1" w14:textId="68553E2A" w:rsidR="00B13E74" w:rsidRPr="00AD25A6" w:rsidRDefault="00B13E74" w:rsidP="00B13E74">
            <w:pPr>
              <w:jc w:val="right"/>
              <w:rPr>
                <w:rFonts w:ascii="Arial" w:hAnsi="Arial" w:cs="Arial"/>
                <w:b/>
                <w:bCs/>
              </w:rPr>
            </w:pPr>
            <w:r>
              <w:rPr>
                <w:rFonts w:ascii="Arial" w:hAnsi="Arial" w:cs="Arial"/>
                <w:b/>
                <w:bCs/>
              </w:rPr>
              <w:t>32,612</w:t>
            </w:r>
          </w:p>
        </w:tc>
        <w:tc>
          <w:tcPr>
            <w:tcW w:w="961" w:type="dxa"/>
            <w:tcBorders>
              <w:top w:val="nil"/>
              <w:left w:val="nil"/>
              <w:bottom w:val="nil"/>
              <w:right w:val="single" w:sz="8" w:space="0" w:color="auto"/>
            </w:tcBorders>
            <w:shd w:val="clear" w:color="000000" w:fill="CCCCCC"/>
            <w:vAlign w:val="center"/>
            <w:hideMark/>
          </w:tcPr>
          <w:p w14:paraId="2E4DAE2F" w14:textId="63EF58B0" w:rsidR="00B13E74" w:rsidRPr="00AD25A6" w:rsidRDefault="00B13E74" w:rsidP="00B13E74">
            <w:pPr>
              <w:jc w:val="right"/>
              <w:rPr>
                <w:rFonts w:ascii="Arial" w:hAnsi="Arial" w:cs="Arial"/>
              </w:rPr>
            </w:pPr>
            <w:r>
              <w:rPr>
                <w:rFonts w:ascii="Arial" w:hAnsi="Arial" w:cs="Arial"/>
              </w:rPr>
              <w:t>3</w:t>
            </w:r>
            <w:r w:rsidR="00EA2292">
              <w:rPr>
                <w:rFonts w:ascii="Arial" w:hAnsi="Arial" w:cs="Arial"/>
              </w:rPr>
              <w:t>81</w:t>
            </w:r>
          </w:p>
        </w:tc>
      </w:tr>
      <w:tr w:rsidR="00B13E74" w:rsidRPr="00AD25A6" w14:paraId="67A0C926"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6AE93DDC" w14:textId="77777777" w:rsidR="00B13E74" w:rsidRPr="00AD25A6" w:rsidRDefault="00B13E74" w:rsidP="00B13E74">
            <w:pPr>
              <w:rPr>
                <w:rFonts w:ascii="Arial" w:hAnsi="Arial" w:cs="Arial"/>
                <w:color w:val="000000"/>
              </w:rPr>
            </w:pPr>
            <w:r w:rsidRPr="00AD25A6">
              <w:rPr>
                <w:rFonts w:ascii="Arial" w:hAnsi="Arial" w:cs="Arial"/>
                <w:color w:val="000000"/>
              </w:rPr>
              <w:t>Contributions by scheme participants</w:t>
            </w:r>
          </w:p>
        </w:tc>
        <w:tc>
          <w:tcPr>
            <w:tcW w:w="1103" w:type="dxa"/>
            <w:tcBorders>
              <w:top w:val="nil"/>
              <w:left w:val="single" w:sz="8" w:space="0" w:color="auto"/>
              <w:bottom w:val="nil"/>
              <w:right w:val="nil"/>
            </w:tcBorders>
            <w:shd w:val="clear" w:color="000000" w:fill="FFFFFF"/>
            <w:vAlign w:val="center"/>
            <w:hideMark/>
          </w:tcPr>
          <w:p w14:paraId="10F71271" w14:textId="3B52F8F6" w:rsidR="00B13E74" w:rsidRPr="00AD25A6" w:rsidRDefault="00B13E74" w:rsidP="00B13E74">
            <w:pPr>
              <w:jc w:val="right"/>
              <w:rPr>
                <w:rFonts w:ascii="Arial" w:hAnsi="Arial" w:cs="Arial"/>
              </w:rPr>
            </w:pPr>
            <w:r w:rsidRPr="00AD25A6">
              <w:rPr>
                <w:rFonts w:ascii="Arial" w:hAnsi="Arial" w:cs="Arial"/>
              </w:rPr>
              <w:t>4,</w:t>
            </w:r>
            <w:r>
              <w:rPr>
                <w:rFonts w:ascii="Arial" w:hAnsi="Arial" w:cs="Arial"/>
              </w:rPr>
              <w:t>663</w:t>
            </w:r>
          </w:p>
        </w:tc>
        <w:tc>
          <w:tcPr>
            <w:tcW w:w="961" w:type="dxa"/>
            <w:tcBorders>
              <w:top w:val="nil"/>
              <w:left w:val="nil"/>
              <w:bottom w:val="nil"/>
              <w:right w:val="single" w:sz="8" w:space="0" w:color="auto"/>
            </w:tcBorders>
            <w:shd w:val="clear" w:color="000000" w:fill="CCCCCC"/>
            <w:vAlign w:val="center"/>
            <w:hideMark/>
          </w:tcPr>
          <w:p w14:paraId="718B33B8" w14:textId="46526199" w:rsidR="00B13E74" w:rsidRPr="00AD25A6" w:rsidRDefault="00B13E74" w:rsidP="00B13E74">
            <w:pPr>
              <w:jc w:val="right"/>
              <w:rPr>
                <w:rFonts w:ascii="Arial" w:hAnsi="Arial" w:cs="Arial"/>
              </w:rPr>
            </w:pPr>
            <w:r>
              <w:rPr>
                <w:rFonts w:ascii="Arial" w:hAnsi="Arial" w:cs="Arial"/>
              </w:rPr>
              <w:t>4,932</w:t>
            </w:r>
          </w:p>
        </w:tc>
        <w:tc>
          <w:tcPr>
            <w:tcW w:w="1151" w:type="dxa"/>
            <w:tcBorders>
              <w:top w:val="nil"/>
              <w:left w:val="nil"/>
              <w:bottom w:val="nil"/>
              <w:right w:val="nil"/>
            </w:tcBorders>
            <w:shd w:val="clear" w:color="000000" w:fill="FFFFFF"/>
            <w:vAlign w:val="center"/>
            <w:hideMark/>
          </w:tcPr>
          <w:p w14:paraId="044BFC4E" w14:textId="0A9FE213" w:rsidR="00B13E74" w:rsidRPr="00AD25A6" w:rsidRDefault="00B13E74" w:rsidP="00B13E74">
            <w:pPr>
              <w:jc w:val="right"/>
              <w:rPr>
                <w:rFonts w:ascii="Arial" w:hAnsi="Arial" w:cs="Arial"/>
                <w:b/>
                <w:bCs/>
              </w:rPr>
            </w:pPr>
            <w:r>
              <w:rPr>
                <w:rFonts w:ascii="Arial" w:hAnsi="Arial" w:cs="Arial"/>
                <w:b/>
                <w:bCs/>
              </w:rPr>
              <w:t>62</w:t>
            </w:r>
          </w:p>
        </w:tc>
        <w:tc>
          <w:tcPr>
            <w:tcW w:w="1253" w:type="dxa"/>
            <w:tcBorders>
              <w:top w:val="nil"/>
              <w:left w:val="nil"/>
              <w:bottom w:val="nil"/>
              <w:right w:val="single" w:sz="8" w:space="0" w:color="auto"/>
            </w:tcBorders>
            <w:shd w:val="clear" w:color="000000" w:fill="CCCCCC"/>
            <w:vAlign w:val="center"/>
            <w:hideMark/>
          </w:tcPr>
          <w:p w14:paraId="721AE385" w14:textId="1BA2B495" w:rsidR="00B13E74" w:rsidRPr="00AD25A6" w:rsidRDefault="00B13E74" w:rsidP="00B13E74">
            <w:pPr>
              <w:jc w:val="right"/>
              <w:rPr>
                <w:rFonts w:ascii="Arial" w:hAnsi="Arial" w:cs="Arial"/>
              </w:rPr>
            </w:pPr>
            <w:r>
              <w:rPr>
                <w:rFonts w:ascii="Arial" w:hAnsi="Arial" w:cs="Arial"/>
              </w:rPr>
              <w:t>67</w:t>
            </w:r>
          </w:p>
        </w:tc>
        <w:tc>
          <w:tcPr>
            <w:tcW w:w="1471" w:type="dxa"/>
            <w:tcBorders>
              <w:top w:val="nil"/>
              <w:left w:val="nil"/>
              <w:bottom w:val="nil"/>
              <w:right w:val="nil"/>
            </w:tcBorders>
            <w:shd w:val="clear" w:color="000000" w:fill="FFFFFF"/>
            <w:vAlign w:val="center"/>
            <w:hideMark/>
          </w:tcPr>
          <w:p w14:paraId="0C976572" w14:textId="51F58DDC" w:rsidR="00B13E74" w:rsidRPr="00AD25A6" w:rsidRDefault="00B13E74" w:rsidP="00B13E74">
            <w:pPr>
              <w:jc w:val="right"/>
              <w:rPr>
                <w:rFonts w:ascii="Arial" w:hAnsi="Arial" w:cs="Arial"/>
                <w:b/>
                <w:bCs/>
              </w:rPr>
            </w:pPr>
            <w:r w:rsidRPr="00AD25A6">
              <w:rPr>
                <w:rFonts w:ascii="Arial" w:hAnsi="Arial" w:cs="Arial"/>
                <w:b/>
                <w:bCs/>
              </w:rPr>
              <w:t>4,</w:t>
            </w:r>
            <w:r>
              <w:rPr>
                <w:rFonts w:ascii="Arial" w:hAnsi="Arial" w:cs="Arial"/>
                <w:b/>
                <w:bCs/>
              </w:rPr>
              <w:t>601</w:t>
            </w:r>
          </w:p>
        </w:tc>
        <w:tc>
          <w:tcPr>
            <w:tcW w:w="961" w:type="dxa"/>
            <w:tcBorders>
              <w:top w:val="nil"/>
              <w:left w:val="nil"/>
              <w:bottom w:val="nil"/>
              <w:right w:val="single" w:sz="8" w:space="0" w:color="auto"/>
            </w:tcBorders>
            <w:shd w:val="clear" w:color="000000" w:fill="CCCCCC"/>
            <w:vAlign w:val="center"/>
            <w:hideMark/>
          </w:tcPr>
          <w:p w14:paraId="271B9145" w14:textId="38999079" w:rsidR="00B13E74" w:rsidRPr="00AD25A6" w:rsidRDefault="00B13E74" w:rsidP="00B13E74">
            <w:pPr>
              <w:jc w:val="right"/>
              <w:rPr>
                <w:rFonts w:ascii="Arial" w:hAnsi="Arial" w:cs="Arial"/>
              </w:rPr>
            </w:pPr>
            <w:r>
              <w:rPr>
                <w:rFonts w:ascii="Arial" w:hAnsi="Arial" w:cs="Arial"/>
              </w:rPr>
              <w:t>4,865</w:t>
            </w:r>
          </w:p>
        </w:tc>
      </w:tr>
      <w:tr w:rsidR="00B13E74" w:rsidRPr="00AD25A6" w14:paraId="36956D68" w14:textId="77777777" w:rsidTr="009E500D">
        <w:trPr>
          <w:trHeight w:val="301"/>
        </w:trPr>
        <w:tc>
          <w:tcPr>
            <w:tcW w:w="3824" w:type="dxa"/>
            <w:tcBorders>
              <w:top w:val="nil"/>
              <w:left w:val="single" w:sz="8" w:space="0" w:color="auto"/>
              <w:bottom w:val="nil"/>
              <w:right w:val="nil"/>
            </w:tcBorders>
            <w:shd w:val="clear" w:color="000000" w:fill="CCCCCC"/>
            <w:vAlign w:val="center"/>
            <w:hideMark/>
          </w:tcPr>
          <w:p w14:paraId="1E51A2C7" w14:textId="77777777" w:rsidR="00B13E74" w:rsidRPr="00AD25A6" w:rsidRDefault="00B13E74" w:rsidP="00B13E74">
            <w:pPr>
              <w:rPr>
                <w:rFonts w:ascii="Arial" w:hAnsi="Arial" w:cs="Arial"/>
                <w:color w:val="000000"/>
              </w:rPr>
            </w:pPr>
            <w:r w:rsidRPr="00AD25A6">
              <w:rPr>
                <w:rFonts w:ascii="Arial" w:hAnsi="Arial" w:cs="Arial"/>
                <w:color w:val="000000"/>
              </w:rPr>
              <w:t>Re-measurements (assets)</w:t>
            </w:r>
          </w:p>
        </w:tc>
        <w:tc>
          <w:tcPr>
            <w:tcW w:w="1103" w:type="dxa"/>
            <w:tcBorders>
              <w:top w:val="nil"/>
              <w:left w:val="single" w:sz="8" w:space="0" w:color="auto"/>
              <w:bottom w:val="nil"/>
              <w:right w:val="nil"/>
            </w:tcBorders>
            <w:shd w:val="clear" w:color="000000" w:fill="FFFFFF"/>
            <w:vAlign w:val="center"/>
            <w:hideMark/>
          </w:tcPr>
          <w:p w14:paraId="3CDE7C51" w14:textId="29599C0E" w:rsidR="00B13E74" w:rsidRPr="00AD25A6" w:rsidRDefault="00B13E74" w:rsidP="00B13E74">
            <w:pPr>
              <w:jc w:val="right"/>
              <w:rPr>
                <w:rFonts w:ascii="Arial" w:hAnsi="Arial" w:cs="Arial"/>
              </w:rPr>
            </w:pPr>
            <w:r w:rsidRPr="00AD25A6">
              <w:rPr>
                <w:rFonts w:ascii="Arial" w:hAnsi="Arial" w:cs="Arial"/>
              </w:rPr>
              <w:t>1</w:t>
            </w:r>
            <w:r>
              <w:rPr>
                <w:rFonts w:ascii="Arial" w:hAnsi="Arial" w:cs="Arial"/>
              </w:rPr>
              <w:t>9</w:t>
            </w:r>
            <w:r w:rsidRPr="00AD25A6">
              <w:rPr>
                <w:rFonts w:ascii="Arial" w:hAnsi="Arial" w:cs="Arial"/>
              </w:rPr>
              <w:t>,</w:t>
            </w:r>
            <w:r>
              <w:rPr>
                <w:rFonts w:ascii="Arial" w:hAnsi="Arial" w:cs="Arial"/>
              </w:rPr>
              <w:t>74</w:t>
            </w:r>
            <w:r w:rsidRPr="00AD25A6">
              <w:rPr>
                <w:rFonts w:ascii="Arial" w:hAnsi="Arial" w:cs="Arial"/>
              </w:rPr>
              <w:t>9</w:t>
            </w:r>
          </w:p>
        </w:tc>
        <w:tc>
          <w:tcPr>
            <w:tcW w:w="961" w:type="dxa"/>
            <w:tcBorders>
              <w:top w:val="nil"/>
              <w:left w:val="nil"/>
              <w:bottom w:val="nil"/>
              <w:right w:val="single" w:sz="8" w:space="0" w:color="auto"/>
            </w:tcBorders>
            <w:shd w:val="clear" w:color="000000" w:fill="CCCCCC"/>
            <w:vAlign w:val="center"/>
            <w:hideMark/>
          </w:tcPr>
          <w:p w14:paraId="3E5408F7" w14:textId="2BA14F8D" w:rsidR="00B13E74" w:rsidRPr="00AD25A6" w:rsidRDefault="00B13E74" w:rsidP="00B13E74">
            <w:pPr>
              <w:jc w:val="right"/>
              <w:rPr>
                <w:rFonts w:ascii="Arial" w:hAnsi="Arial" w:cs="Arial"/>
              </w:rPr>
            </w:pPr>
            <w:r>
              <w:rPr>
                <w:rFonts w:ascii="Arial" w:hAnsi="Arial" w:cs="Arial"/>
              </w:rPr>
              <w:t>(9,253)</w:t>
            </w:r>
          </w:p>
        </w:tc>
        <w:tc>
          <w:tcPr>
            <w:tcW w:w="1151" w:type="dxa"/>
            <w:tcBorders>
              <w:top w:val="nil"/>
              <w:left w:val="nil"/>
              <w:bottom w:val="nil"/>
              <w:right w:val="nil"/>
            </w:tcBorders>
            <w:shd w:val="clear" w:color="000000" w:fill="FFFFFF"/>
            <w:vAlign w:val="center"/>
            <w:hideMark/>
          </w:tcPr>
          <w:p w14:paraId="38E8C7E5" w14:textId="127790A7" w:rsidR="00B13E74" w:rsidRPr="00AD25A6" w:rsidRDefault="00B13E74" w:rsidP="00B13E74">
            <w:pPr>
              <w:jc w:val="right"/>
              <w:rPr>
                <w:rFonts w:ascii="Arial" w:hAnsi="Arial" w:cs="Arial"/>
                <w:b/>
                <w:bCs/>
              </w:rPr>
            </w:pPr>
            <w:r>
              <w:rPr>
                <w:rFonts w:ascii="Arial" w:hAnsi="Arial" w:cs="Arial"/>
                <w:b/>
                <w:bCs/>
              </w:rPr>
              <w:t>30</w:t>
            </w:r>
            <w:r w:rsidRPr="00AD25A6">
              <w:rPr>
                <w:rFonts w:ascii="Arial" w:hAnsi="Arial" w:cs="Arial"/>
                <w:b/>
                <w:bCs/>
              </w:rPr>
              <w:t>2</w:t>
            </w:r>
          </w:p>
        </w:tc>
        <w:tc>
          <w:tcPr>
            <w:tcW w:w="1253" w:type="dxa"/>
            <w:tcBorders>
              <w:top w:val="nil"/>
              <w:left w:val="nil"/>
              <w:bottom w:val="nil"/>
              <w:right w:val="single" w:sz="8" w:space="0" w:color="auto"/>
            </w:tcBorders>
            <w:shd w:val="clear" w:color="000000" w:fill="CCCCCC"/>
            <w:vAlign w:val="center"/>
            <w:hideMark/>
          </w:tcPr>
          <w:p w14:paraId="55495FB3" w14:textId="4A11ADE2" w:rsidR="00B13E74" w:rsidRPr="00AD25A6" w:rsidRDefault="00B13E74" w:rsidP="00B13E74">
            <w:pPr>
              <w:jc w:val="right"/>
              <w:rPr>
                <w:rFonts w:ascii="Arial" w:hAnsi="Arial" w:cs="Arial"/>
              </w:rPr>
            </w:pPr>
            <w:r>
              <w:rPr>
                <w:rFonts w:ascii="Arial" w:hAnsi="Arial" w:cs="Arial"/>
              </w:rPr>
              <w:t>(143)</w:t>
            </w:r>
          </w:p>
        </w:tc>
        <w:tc>
          <w:tcPr>
            <w:tcW w:w="1471" w:type="dxa"/>
            <w:tcBorders>
              <w:top w:val="nil"/>
              <w:left w:val="nil"/>
              <w:bottom w:val="nil"/>
              <w:right w:val="nil"/>
            </w:tcBorders>
            <w:shd w:val="clear" w:color="000000" w:fill="FFFFFF"/>
            <w:vAlign w:val="center"/>
            <w:hideMark/>
          </w:tcPr>
          <w:p w14:paraId="7AE9491D" w14:textId="49E7DE77" w:rsidR="00B13E74" w:rsidRPr="00AD25A6" w:rsidRDefault="00B13E74" w:rsidP="00B13E74">
            <w:pPr>
              <w:jc w:val="right"/>
              <w:rPr>
                <w:rFonts w:ascii="Arial" w:hAnsi="Arial" w:cs="Arial"/>
                <w:b/>
                <w:bCs/>
              </w:rPr>
            </w:pPr>
            <w:r w:rsidRPr="00AD25A6">
              <w:rPr>
                <w:rFonts w:ascii="Arial" w:hAnsi="Arial" w:cs="Arial"/>
                <w:b/>
                <w:bCs/>
              </w:rPr>
              <w:t>1</w:t>
            </w:r>
            <w:r>
              <w:rPr>
                <w:rFonts w:ascii="Arial" w:hAnsi="Arial" w:cs="Arial"/>
                <w:b/>
                <w:bCs/>
              </w:rPr>
              <w:t>9</w:t>
            </w:r>
            <w:r w:rsidRPr="00AD25A6">
              <w:rPr>
                <w:rFonts w:ascii="Arial" w:hAnsi="Arial" w:cs="Arial"/>
                <w:b/>
                <w:bCs/>
              </w:rPr>
              <w:t>,</w:t>
            </w:r>
            <w:r>
              <w:rPr>
                <w:rFonts w:ascii="Arial" w:hAnsi="Arial" w:cs="Arial"/>
                <w:b/>
                <w:bCs/>
              </w:rPr>
              <w:t>447</w:t>
            </w:r>
          </w:p>
        </w:tc>
        <w:tc>
          <w:tcPr>
            <w:tcW w:w="961" w:type="dxa"/>
            <w:tcBorders>
              <w:top w:val="nil"/>
              <w:left w:val="nil"/>
              <w:bottom w:val="nil"/>
              <w:right w:val="single" w:sz="8" w:space="0" w:color="auto"/>
            </w:tcBorders>
            <w:shd w:val="clear" w:color="000000" w:fill="CCCCCC"/>
            <w:vAlign w:val="center"/>
            <w:hideMark/>
          </w:tcPr>
          <w:p w14:paraId="62A6DDBC" w14:textId="4ECD0011" w:rsidR="00B13E74" w:rsidRPr="00AD25A6" w:rsidRDefault="00B13E74" w:rsidP="00B13E74">
            <w:pPr>
              <w:jc w:val="right"/>
              <w:rPr>
                <w:rFonts w:ascii="Arial" w:hAnsi="Arial" w:cs="Arial"/>
              </w:rPr>
            </w:pPr>
            <w:r>
              <w:rPr>
                <w:rFonts w:ascii="Arial" w:hAnsi="Arial" w:cs="Arial"/>
              </w:rPr>
              <w:t>(9,110)</w:t>
            </w:r>
          </w:p>
        </w:tc>
      </w:tr>
      <w:tr w:rsidR="00B13E74" w:rsidRPr="00AD25A6" w14:paraId="4C0C6B69" w14:textId="77777777" w:rsidTr="009E500D">
        <w:trPr>
          <w:trHeight w:val="331"/>
        </w:trPr>
        <w:tc>
          <w:tcPr>
            <w:tcW w:w="3824" w:type="dxa"/>
            <w:tcBorders>
              <w:top w:val="nil"/>
              <w:left w:val="single" w:sz="8" w:space="0" w:color="auto"/>
              <w:bottom w:val="nil"/>
              <w:right w:val="nil"/>
            </w:tcBorders>
            <w:shd w:val="clear" w:color="000000" w:fill="CCCCCC"/>
            <w:vAlign w:val="center"/>
            <w:hideMark/>
          </w:tcPr>
          <w:p w14:paraId="1D930F24" w14:textId="77777777" w:rsidR="00B13E74" w:rsidRPr="00AD25A6" w:rsidRDefault="00B13E74" w:rsidP="00B13E74">
            <w:pPr>
              <w:rPr>
                <w:rFonts w:ascii="Arial" w:hAnsi="Arial" w:cs="Arial"/>
                <w:color w:val="000000"/>
              </w:rPr>
            </w:pPr>
            <w:r w:rsidRPr="00AD25A6">
              <w:rPr>
                <w:rFonts w:ascii="Arial" w:hAnsi="Arial" w:cs="Arial"/>
                <w:color w:val="000000"/>
              </w:rPr>
              <w:t>Benefits paid</w:t>
            </w:r>
          </w:p>
        </w:tc>
        <w:tc>
          <w:tcPr>
            <w:tcW w:w="1103" w:type="dxa"/>
            <w:tcBorders>
              <w:top w:val="nil"/>
              <w:left w:val="single" w:sz="8" w:space="0" w:color="auto"/>
              <w:bottom w:val="nil"/>
              <w:right w:val="nil"/>
            </w:tcBorders>
            <w:shd w:val="clear" w:color="000000" w:fill="FFFFFF"/>
            <w:vAlign w:val="center"/>
            <w:hideMark/>
          </w:tcPr>
          <w:p w14:paraId="2DB8A22F" w14:textId="22A2A6AF" w:rsidR="00B13E74" w:rsidRPr="00AD25A6" w:rsidRDefault="00B13E74" w:rsidP="00B13E74">
            <w:pPr>
              <w:jc w:val="right"/>
              <w:rPr>
                <w:rFonts w:ascii="Arial" w:hAnsi="Arial" w:cs="Arial"/>
              </w:rPr>
            </w:pPr>
            <w:r w:rsidRPr="00AD25A6">
              <w:rPr>
                <w:rFonts w:ascii="Arial" w:hAnsi="Arial" w:cs="Arial"/>
              </w:rPr>
              <w:t>(1</w:t>
            </w:r>
            <w:r>
              <w:rPr>
                <w:rFonts w:ascii="Arial" w:hAnsi="Arial" w:cs="Arial"/>
              </w:rPr>
              <w:t>8</w:t>
            </w:r>
            <w:r w:rsidRPr="00AD25A6">
              <w:rPr>
                <w:rFonts w:ascii="Arial" w:hAnsi="Arial" w:cs="Arial"/>
              </w:rPr>
              <w:t>,2</w:t>
            </w:r>
            <w:r>
              <w:rPr>
                <w:rFonts w:ascii="Arial" w:hAnsi="Arial" w:cs="Arial"/>
              </w:rPr>
              <w:t>21</w:t>
            </w:r>
            <w:r w:rsidRPr="00AD25A6">
              <w:rPr>
                <w:rFonts w:ascii="Arial" w:hAnsi="Arial" w:cs="Arial"/>
              </w:rPr>
              <w:t>)</w:t>
            </w:r>
          </w:p>
        </w:tc>
        <w:tc>
          <w:tcPr>
            <w:tcW w:w="961" w:type="dxa"/>
            <w:tcBorders>
              <w:top w:val="nil"/>
              <w:left w:val="nil"/>
              <w:bottom w:val="nil"/>
              <w:right w:val="single" w:sz="8" w:space="0" w:color="auto"/>
            </w:tcBorders>
            <w:shd w:val="clear" w:color="000000" w:fill="CCCCCC"/>
            <w:vAlign w:val="center"/>
            <w:hideMark/>
          </w:tcPr>
          <w:p w14:paraId="1F32B134" w14:textId="469027F1" w:rsidR="00B13E74" w:rsidRPr="00AD25A6" w:rsidRDefault="00B13E74" w:rsidP="00B13E74">
            <w:pPr>
              <w:jc w:val="right"/>
              <w:rPr>
                <w:rFonts w:ascii="Arial" w:hAnsi="Arial" w:cs="Arial"/>
              </w:rPr>
            </w:pPr>
            <w:r>
              <w:rPr>
                <w:rFonts w:ascii="Arial" w:hAnsi="Arial" w:cs="Arial"/>
              </w:rPr>
              <w:t>(16,070)</w:t>
            </w:r>
          </w:p>
        </w:tc>
        <w:tc>
          <w:tcPr>
            <w:tcW w:w="1151" w:type="dxa"/>
            <w:tcBorders>
              <w:top w:val="nil"/>
              <w:left w:val="nil"/>
              <w:bottom w:val="nil"/>
              <w:right w:val="nil"/>
            </w:tcBorders>
            <w:shd w:val="clear" w:color="000000" w:fill="FFFFFF"/>
            <w:vAlign w:val="center"/>
            <w:hideMark/>
          </w:tcPr>
          <w:p w14:paraId="76C4E058" w14:textId="4802EE8F" w:rsidR="00B13E74" w:rsidRPr="00AD25A6" w:rsidRDefault="00B13E74" w:rsidP="00B13E74">
            <w:pPr>
              <w:jc w:val="right"/>
              <w:rPr>
                <w:rFonts w:ascii="Arial" w:hAnsi="Arial" w:cs="Arial"/>
                <w:b/>
                <w:bCs/>
              </w:rPr>
            </w:pPr>
            <w:r w:rsidRPr="00AD25A6">
              <w:rPr>
                <w:rFonts w:ascii="Arial" w:hAnsi="Arial" w:cs="Arial"/>
                <w:b/>
                <w:bCs/>
              </w:rPr>
              <w:t>(</w:t>
            </w:r>
            <w:r>
              <w:rPr>
                <w:rFonts w:ascii="Arial" w:hAnsi="Arial" w:cs="Arial"/>
                <w:b/>
                <w:bCs/>
              </w:rPr>
              <w:t>1</w:t>
            </w:r>
            <w:r w:rsidRPr="00AD25A6">
              <w:rPr>
                <w:rFonts w:ascii="Arial" w:hAnsi="Arial" w:cs="Arial"/>
                <w:b/>
                <w:bCs/>
              </w:rPr>
              <w:t>44)</w:t>
            </w:r>
          </w:p>
        </w:tc>
        <w:tc>
          <w:tcPr>
            <w:tcW w:w="1253" w:type="dxa"/>
            <w:tcBorders>
              <w:top w:val="nil"/>
              <w:left w:val="nil"/>
              <w:bottom w:val="single" w:sz="8" w:space="0" w:color="auto"/>
              <w:right w:val="single" w:sz="8" w:space="0" w:color="auto"/>
            </w:tcBorders>
            <w:shd w:val="clear" w:color="000000" w:fill="CCCCCC"/>
            <w:vAlign w:val="center"/>
            <w:hideMark/>
          </w:tcPr>
          <w:p w14:paraId="79DF829B" w14:textId="30E1EB40" w:rsidR="00B13E74" w:rsidRPr="00AD25A6" w:rsidRDefault="00B13E74" w:rsidP="00B13E74">
            <w:pPr>
              <w:jc w:val="right"/>
              <w:rPr>
                <w:rFonts w:ascii="Arial" w:hAnsi="Arial" w:cs="Arial"/>
              </w:rPr>
            </w:pPr>
            <w:r>
              <w:rPr>
                <w:rFonts w:ascii="Arial" w:hAnsi="Arial" w:cs="Arial"/>
              </w:rPr>
              <w:t>(512)</w:t>
            </w:r>
          </w:p>
        </w:tc>
        <w:tc>
          <w:tcPr>
            <w:tcW w:w="1471" w:type="dxa"/>
            <w:tcBorders>
              <w:top w:val="nil"/>
              <w:left w:val="nil"/>
              <w:bottom w:val="nil"/>
              <w:right w:val="nil"/>
            </w:tcBorders>
            <w:shd w:val="clear" w:color="000000" w:fill="FFFFFF"/>
            <w:vAlign w:val="center"/>
            <w:hideMark/>
          </w:tcPr>
          <w:p w14:paraId="0EA27138" w14:textId="4D2C346C" w:rsidR="00B13E74" w:rsidRPr="00AD25A6" w:rsidRDefault="00B13E74" w:rsidP="00B13E74">
            <w:pPr>
              <w:jc w:val="right"/>
              <w:rPr>
                <w:rFonts w:ascii="Arial" w:hAnsi="Arial" w:cs="Arial"/>
                <w:b/>
                <w:bCs/>
              </w:rPr>
            </w:pPr>
            <w:r w:rsidRPr="00AD25A6">
              <w:rPr>
                <w:rFonts w:ascii="Arial" w:hAnsi="Arial" w:cs="Arial"/>
                <w:b/>
                <w:bCs/>
              </w:rPr>
              <w:t>(1</w:t>
            </w:r>
            <w:r>
              <w:rPr>
                <w:rFonts w:ascii="Arial" w:hAnsi="Arial" w:cs="Arial"/>
                <w:b/>
                <w:bCs/>
              </w:rPr>
              <w:t>8</w:t>
            </w:r>
            <w:r w:rsidRPr="00AD25A6">
              <w:rPr>
                <w:rFonts w:ascii="Arial" w:hAnsi="Arial" w:cs="Arial"/>
                <w:b/>
                <w:bCs/>
              </w:rPr>
              <w:t>,</w:t>
            </w:r>
            <w:r>
              <w:rPr>
                <w:rFonts w:ascii="Arial" w:hAnsi="Arial" w:cs="Arial"/>
                <w:b/>
                <w:bCs/>
              </w:rPr>
              <w:t>07</w:t>
            </w:r>
            <w:r w:rsidRPr="00AD25A6">
              <w:rPr>
                <w:rFonts w:ascii="Arial" w:hAnsi="Arial" w:cs="Arial"/>
                <w:b/>
                <w:bCs/>
              </w:rPr>
              <w:t>7)</w:t>
            </w:r>
          </w:p>
        </w:tc>
        <w:tc>
          <w:tcPr>
            <w:tcW w:w="961" w:type="dxa"/>
            <w:tcBorders>
              <w:top w:val="nil"/>
              <w:left w:val="nil"/>
              <w:bottom w:val="single" w:sz="8" w:space="0" w:color="auto"/>
              <w:right w:val="single" w:sz="8" w:space="0" w:color="auto"/>
            </w:tcBorders>
            <w:shd w:val="clear" w:color="000000" w:fill="CCCCCC"/>
            <w:vAlign w:val="center"/>
            <w:hideMark/>
          </w:tcPr>
          <w:p w14:paraId="08DE1D08" w14:textId="6F378AB6" w:rsidR="00B13E74" w:rsidRPr="00AD25A6" w:rsidRDefault="00B13E74" w:rsidP="00B13E74">
            <w:pPr>
              <w:jc w:val="right"/>
              <w:rPr>
                <w:rFonts w:ascii="Arial" w:hAnsi="Arial" w:cs="Arial"/>
              </w:rPr>
            </w:pPr>
            <w:r>
              <w:rPr>
                <w:rFonts w:ascii="Arial" w:hAnsi="Arial" w:cs="Arial"/>
              </w:rPr>
              <w:t>(15,558)</w:t>
            </w:r>
          </w:p>
        </w:tc>
      </w:tr>
      <w:tr w:rsidR="00B13E74" w:rsidRPr="00AD25A6" w14:paraId="4BADFC28" w14:textId="77777777" w:rsidTr="009E500D">
        <w:trPr>
          <w:trHeight w:val="316"/>
        </w:trPr>
        <w:tc>
          <w:tcPr>
            <w:tcW w:w="3824" w:type="dxa"/>
            <w:tcBorders>
              <w:top w:val="nil"/>
              <w:left w:val="single" w:sz="8" w:space="0" w:color="auto"/>
              <w:bottom w:val="single" w:sz="8" w:space="0" w:color="auto"/>
              <w:right w:val="nil"/>
            </w:tcBorders>
            <w:shd w:val="clear" w:color="000000" w:fill="CCCCCC"/>
            <w:vAlign w:val="center"/>
            <w:hideMark/>
          </w:tcPr>
          <w:p w14:paraId="13817B21" w14:textId="77777777" w:rsidR="00B13E74" w:rsidRPr="00AD25A6" w:rsidRDefault="00B13E74" w:rsidP="00B13E74">
            <w:pPr>
              <w:jc w:val="right"/>
              <w:rPr>
                <w:rFonts w:ascii="Arial" w:hAnsi="Arial" w:cs="Arial"/>
                <w:b/>
                <w:bCs/>
                <w:color w:val="000000"/>
              </w:rPr>
            </w:pPr>
            <w:r w:rsidRPr="00AD25A6">
              <w:rPr>
                <w:rFonts w:ascii="Arial" w:hAnsi="Arial" w:cs="Arial"/>
                <w:b/>
                <w:bCs/>
                <w:color w:val="000000"/>
              </w:rPr>
              <w:t>31-Mar</w:t>
            </w:r>
          </w:p>
        </w:tc>
        <w:tc>
          <w:tcPr>
            <w:tcW w:w="1103" w:type="dxa"/>
            <w:tcBorders>
              <w:top w:val="single" w:sz="8" w:space="0" w:color="auto"/>
              <w:left w:val="single" w:sz="8" w:space="0" w:color="auto"/>
              <w:bottom w:val="single" w:sz="8" w:space="0" w:color="auto"/>
              <w:right w:val="nil"/>
            </w:tcBorders>
            <w:shd w:val="clear" w:color="000000" w:fill="FFFFFF"/>
            <w:vAlign w:val="center"/>
            <w:hideMark/>
          </w:tcPr>
          <w:p w14:paraId="695D6E9D" w14:textId="6CF4DB05" w:rsidR="00B13E74" w:rsidRPr="00AD25A6" w:rsidRDefault="00B13E74" w:rsidP="00B13E74">
            <w:pPr>
              <w:jc w:val="right"/>
              <w:rPr>
                <w:rFonts w:ascii="Arial" w:hAnsi="Arial" w:cs="Arial"/>
                <w:b/>
                <w:bCs/>
              </w:rPr>
            </w:pPr>
            <w:r>
              <w:rPr>
                <w:rFonts w:ascii="Arial" w:hAnsi="Arial" w:cs="Arial"/>
                <w:b/>
                <w:bCs/>
              </w:rPr>
              <w:t>604</w:t>
            </w:r>
            <w:r w:rsidRPr="00AD25A6">
              <w:rPr>
                <w:rFonts w:ascii="Arial" w:hAnsi="Arial" w:cs="Arial"/>
                <w:b/>
                <w:bCs/>
              </w:rPr>
              <w:t>,</w:t>
            </w:r>
            <w:r>
              <w:rPr>
                <w:rFonts w:ascii="Arial" w:hAnsi="Arial" w:cs="Arial"/>
                <w:b/>
                <w:bCs/>
              </w:rPr>
              <w:t>412</w:t>
            </w:r>
          </w:p>
        </w:tc>
        <w:tc>
          <w:tcPr>
            <w:tcW w:w="961" w:type="dxa"/>
            <w:tcBorders>
              <w:top w:val="single" w:sz="8" w:space="0" w:color="auto"/>
              <w:left w:val="nil"/>
              <w:bottom w:val="single" w:sz="8" w:space="0" w:color="auto"/>
              <w:right w:val="single" w:sz="8" w:space="0" w:color="auto"/>
            </w:tcBorders>
            <w:shd w:val="clear" w:color="000000" w:fill="CCCCCC"/>
            <w:vAlign w:val="center"/>
            <w:hideMark/>
          </w:tcPr>
          <w:p w14:paraId="40695DC5" w14:textId="4F58E3D0" w:rsidR="00B13E74" w:rsidRPr="00AD25A6" w:rsidRDefault="00B13E74" w:rsidP="00B13E74">
            <w:pPr>
              <w:jc w:val="right"/>
              <w:rPr>
                <w:rFonts w:ascii="Arial" w:hAnsi="Arial" w:cs="Arial"/>
                <w:b/>
                <w:bCs/>
              </w:rPr>
            </w:pPr>
            <w:r>
              <w:rPr>
                <w:rFonts w:ascii="Arial" w:hAnsi="Arial" w:cs="Arial"/>
                <w:b/>
                <w:bCs/>
              </w:rPr>
              <w:t>613,</w:t>
            </w:r>
            <w:r w:rsidR="00EA2292">
              <w:rPr>
                <w:rFonts w:ascii="Arial" w:hAnsi="Arial" w:cs="Arial"/>
                <w:b/>
                <w:bCs/>
              </w:rPr>
              <w:t>702</w:t>
            </w:r>
          </w:p>
        </w:tc>
        <w:tc>
          <w:tcPr>
            <w:tcW w:w="1151" w:type="dxa"/>
            <w:tcBorders>
              <w:top w:val="single" w:sz="8" w:space="0" w:color="auto"/>
              <w:left w:val="nil"/>
              <w:bottom w:val="single" w:sz="8" w:space="0" w:color="auto"/>
              <w:right w:val="nil"/>
            </w:tcBorders>
            <w:shd w:val="clear" w:color="000000" w:fill="FFFFFF"/>
            <w:vAlign w:val="center"/>
            <w:hideMark/>
          </w:tcPr>
          <w:p w14:paraId="253F1527" w14:textId="2D077D99" w:rsidR="00B13E74" w:rsidRPr="00AD25A6" w:rsidRDefault="00B13E74" w:rsidP="00B13E74">
            <w:pPr>
              <w:jc w:val="right"/>
              <w:rPr>
                <w:rFonts w:ascii="Arial" w:hAnsi="Arial" w:cs="Arial"/>
                <w:b/>
                <w:bCs/>
              </w:rPr>
            </w:pPr>
            <w:r>
              <w:rPr>
                <w:rFonts w:ascii="Arial" w:hAnsi="Arial" w:cs="Arial"/>
                <w:b/>
                <w:bCs/>
              </w:rPr>
              <w:t>9</w:t>
            </w:r>
            <w:r w:rsidRPr="00AD25A6">
              <w:rPr>
                <w:rFonts w:ascii="Arial" w:hAnsi="Arial" w:cs="Arial"/>
                <w:b/>
                <w:bCs/>
              </w:rPr>
              <w:t>,</w:t>
            </w:r>
            <w:r>
              <w:rPr>
                <w:rFonts w:ascii="Arial" w:hAnsi="Arial" w:cs="Arial"/>
                <w:b/>
                <w:bCs/>
              </w:rPr>
              <w:t>259</w:t>
            </w:r>
          </w:p>
        </w:tc>
        <w:tc>
          <w:tcPr>
            <w:tcW w:w="1253" w:type="dxa"/>
            <w:tcBorders>
              <w:top w:val="nil"/>
              <w:left w:val="nil"/>
              <w:bottom w:val="single" w:sz="8" w:space="0" w:color="auto"/>
              <w:right w:val="single" w:sz="8" w:space="0" w:color="auto"/>
            </w:tcBorders>
            <w:shd w:val="clear" w:color="000000" w:fill="CCCCCC"/>
            <w:vAlign w:val="center"/>
            <w:hideMark/>
          </w:tcPr>
          <w:p w14:paraId="001B30B2" w14:textId="47BE3573" w:rsidR="00B13E74" w:rsidRPr="00AD25A6" w:rsidRDefault="00B13E74" w:rsidP="00B13E74">
            <w:pPr>
              <w:jc w:val="right"/>
              <w:rPr>
                <w:rFonts w:ascii="Arial" w:hAnsi="Arial" w:cs="Arial"/>
                <w:b/>
                <w:bCs/>
              </w:rPr>
            </w:pPr>
            <w:r>
              <w:rPr>
                <w:rFonts w:ascii="Arial" w:hAnsi="Arial" w:cs="Arial"/>
                <w:b/>
                <w:bCs/>
              </w:rPr>
              <w:t>9,526</w:t>
            </w:r>
          </w:p>
        </w:tc>
        <w:tc>
          <w:tcPr>
            <w:tcW w:w="1471" w:type="dxa"/>
            <w:tcBorders>
              <w:top w:val="single" w:sz="8" w:space="0" w:color="auto"/>
              <w:left w:val="nil"/>
              <w:bottom w:val="single" w:sz="8" w:space="0" w:color="auto"/>
              <w:right w:val="nil"/>
            </w:tcBorders>
            <w:shd w:val="clear" w:color="000000" w:fill="FFFFFF"/>
            <w:vAlign w:val="center"/>
            <w:hideMark/>
          </w:tcPr>
          <w:p w14:paraId="2E27C0A2" w14:textId="58385681" w:rsidR="00B13E74" w:rsidRPr="00AD25A6" w:rsidRDefault="00B13E74" w:rsidP="00B13E74">
            <w:pPr>
              <w:jc w:val="right"/>
              <w:rPr>
                <w:rFonts w:ascii="Arial" w:hAnsi="Arial" w:cs="Arial"/>
                <w:b/>
                <w:bCs/>
              </w:rPr>
            </w:pPr>
            <w:r w:rsidRPr="00AD25A6">
              <w:rPr>
                <w:rFonts w:ascii="Arial" w:hAnsi="Arial" w:cs="Arial"/>
                <w:b/>
                <w:bCs/>
              </w:rPr>
              <w:t>5</w:t>
            </w:r>
            <w:r>
              <w:rPr>
                <w:rFonts w:ascii="Arial" w:hAnsi="Arial" w:cs="Arial"/>
                <w:b/>
                <w:bCs/>
              </w:rPr>
              <w:t>95</w:t>
            </w:r>
            <w:r w:rsidRPr="00AD25A6">
              <w:rPr>
                <w:rFonts w:ascii="Arial" w:hAnsi="Arial" w:cs="Arial"/>
                <w:b/>
                <w:bCs/>
              </w:rPr>
              <w:t>,</w:t>
            </w:r>
            <w:r>
              <w:rPr>
                <w:rFonts w:ascii="Arial" w:hAnsi="Arial" w:cs="Arial"/>
                <w:b/>
                <w:bCs/>
              </w:rPr>
              <w:t>153</w:t>
            </w:r>
          </w:p>
        </w:tc>
        <w:tc>
          <w:tcPr>
            <w:tcW w:w="961" w:type="dxa"/>
            <w:tcBorders>
              <w:top w:val="nil"/>
              <w:left w:val="nil"/>
              <w:bottom w:val="single" w:sz="8" w:space="0" w:color="auto"/>
              <w:right w:val="single" w:sz="8" w:space="0" w:color="auto"/>
            </w:tcBorders>
            <w:shd w:val="clear" w:color="000000" w:fill="CCCCCC"/>
            <w:vAlign w:val="center"/>
            <w:hideMark/>
          </w:tcPr>
          <w:p w14:paraId="4615C186" w14:textId="477A31FB" w:rsidR="00B13E74" w:rsidRPr="00AD25A6" w:rsidRDefault="00B13E74" w:rsidP="00B13E74">
            <w:pPr>
              <w:jc w:val="right"/>
              <w:rPr>
                <w:rFonts w:ascii="Arial" w:hAnsi="Arial" w:cs="Arial"/>
                <w:b/>
                <w:bCs/>
              </w:rPr>
            </w:pPr>
            <w:r>
              <w:rPr>
                <w:rFonts w:ascii="Arial" w:hAnsi="Arial" w:cs="Arial"/>
                <w:b/>
                <w:bCs/>
              </w:rPr>
              <w:t>604,1</w:t>
            </w:r>
            <w:r w:rsidR="00EA2292">
              <w:rPr>
                <w:rFonts w:ascii="Arial" w:hAnsi="Arial" w:cs="Arial"/>
                <w:b/>
                <w:bCs/>
              </w:rPr>
              <w:t>76</w:t>
            </w:r>
          </w:p>
        </w:tc>
      </w:tr>
    </w:tbl>
    <w:p w14:paraId="03D491DB" w14:textId="23112A2B" w:rsidR="00CA413A" w:rsidRDefault="00CA413A">
      <w:pPr>
        <w:rPr>
          <w:rFonts w:ascii="Arial" w:hAnsi="Arial"/>
          <w:sz w:val="22"/>
          <w:szCs w:val="22"/>
          <w:highlight w:val="yellow"/>
        </w:rPr>
      </w:pPr>
    </w:p>
    <w:tbl>
      <w:tblPr>
        <w:tblW w:w="10679" w:type="dxa"/>
        <w:tblLook w:val="04A0" w:firstRow="1" w:lastRow="0" w:firstColumn="1" w:lastColumn="0" w:noHBand="0" w:noVBand="1"/>
      </w:tblPr>
      <w:tblGrid>
        <w:gridCol w:w="5167"/>
        <w:gridCol w:w="1382"/>
        <w:gridCol w:w="1074"/>
        <w:gridCol w:w="1455"/>
        <w:gridCol w:w="1601"/>
      </w:tblGrid>
      <w:tr w:rsidR="00AD25A6" w:rsidRPr="00AD25A6" w14:paraId="369D319B" w14:textId="77777777" w:rsidTr="00063EA8">
        <w:trPr>
          <w:trHeight w:val="301"/>
        </w:trPr>
        <w:tc>
          <w:tcPr>
            <w:tcW w:w="5167" w:type="dxa"/>
            <w:tcBorders>
              <w:top w:val="single" w:sz="8" w:space="0" w:color="auto"/>
              <w:left w:val="single" w:sz="8" w:space="0" w:color="auto"/>
              <w:bottom w:val="nil"/>
              <w:right w:val="nil"/>
            </w:tcBorders>
            <w:shd w:val="clear" w:color="000000" w:fill="CCCCCC"/>
            <w:vAlign w:val="center"/>
            <w:hideMark/>
          </w:tcPr>
          <w:p w14:paraId="443DD1FF" w14:textId="77777777" w:rsidR="00AD25A6" w:rsidRPr="00AD25A6" w:rsidRDefault="00AD25A6" w:rsidP="00AD25A6">
            <w:pPr>
              <w:rPr>
                <w:rFonts w:ascii="Arial" w:hAnsi="Arial" w:cs="Arial"/>
              </w:rPr>
            </w:pPr>
            <w:r w:rsidRPr="00AD25A6">
              <w:rPr>
                <w:rFonts w:ascii="Arial" w:hAnsi="Arial" w:cs="Arial"/>
              </w:rPr>
              <w:t> </w:t>
            </w:r>
          </w:p>
        </w:tc>
        <w:tc>
          <w:tcPr>
            <w:tcW w:w="5512" w:type="dxa"/>
            <w:gridSpan w:val="4"/>
            <w:tcBorders>
              <w:top w:val="single" w:sz="8" w:space="0" w:color="auto"/>
              <w:left w:val="nil"/>
              <w:bottom w:val="single" w:sz="8" w:space="0" w:color="auto"/>
              <w:right w:val="single" w:sz="8" w:space="0" w:color="000000"/>
            </w:tcBorders>
            <w:shd w:val="clear" w:color="000000" w:fill="CCCCCC"/>
            <w:vAlign w:val="center"/>
            <w:hideMark/>
          </w:tcPr>
          <w:p w14:paraId="12ADF503"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Unfunded Schemes –PCC Group</w:t>
            </w:r>
          </w:p>
        </w:tc>
      </w:tr>
      <w:tr w:rsidR="00AD25A6" w:rsidRPr="00AD25A6" w14:paraId="3C5DAE86" w14:textId="77777777" w:rsidTr="00063EA8">
        <w:trPr>
          <w:trHeight w:val="648"/>
        </w:trPr>
        <w:tc>
          <w:tcPr>
            <w:tcW w:w="5167" w:type="dxa"/>
            <w:tcBorders>
              <w:top w:val="nil"/>
              <w:left w:val="single" w:sz="8" w:space="0" w:color="auto"/>
              <w:bottom w:val="nil"/>
              <w:right w:val="nil"/>
            </w:tcBorders>
            <w:shd w:val="clear" w:color="000000" w:fill="CCCCCC"/>
            <w:vAlign w:val="center"/>
            <w:hideMark/>
          </w:tcPr>
          <w:p w14:paraId="4784E605" w14:textId="77777777" w:rsidR="00AD25A6" w:rsidRPr="00AD25A6" w:rsidRDefault="00AD25A6" w:rsidP="00AD25A6">
            <w:pPr>
              <w:rPr>
                <w:rFonts w:ascii="Arial" w:hAnsi="Arial" w:cs="Arial"/>
              </w:rPr>
            </w:pPr>
            <w:r w:rsidRPr="00AD25A6">
              <w:rPr>
                <w:rFonts w:ascii="Arial" w:hAnsi="Arial" w:cs="Arial"/>
              </w:rPr>
              <w:t> </w:t>
            </w:r>
          </w:p>
        </w:tc>
        <w:tc>
          <w:tcPr>
            <w:tcW w:w="2456" w:type="dxa"/>
            <w:gridSpan w:val="2"/>
            <w:tcBorders>
              <w:top w:val="single" w:sz="8" w:space="0" w:color="auto"/>
              <w:left w:val="single" w:sz="8" w:space="0" w:color="auto"/>
              <w:bottom w:val="nil"/>
              <w:right w:val="single" w:sz="8" w:space="0" w:color="000000"/>
            </w:tcBorders>
            <w:shd w:val="clear" w:color="000000" w:fill="CCCCCC"/>
            <w:vAlign w:val="center"/>
            <w:hideMark/>
          </w:tcPr>
          <w:p w14:paraId="50791812"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Police Pension Schemes</w:t>
            </w:r>
          </w:p>
        </w:tc>
        <w:tc>
          <w:tcPr>
            <w:tcW w:w="3056" w:type="dxa"/>
            <w:gridSpan w:val="2"/>
            <w:tcBorders>
              <w:top w:val="single" w:sz="8" w:space="0" w:color="auto"/>
              <w:left w:val="nil"/>
              <w:bottom w:val="nil"/>
              <w:right w:val="single" w:sz="8" w:space="0" w:color="000000"/>
            </w:tcBorders>
            <w:shd w:val="clear" w:color="000000" w:fill="CCCCCC"/>
            <w:vAlign w:val="center"/>
            <w:hideMark/>
          </w:tcPr>
          <w:p w14:paraId="509D449A"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Injury Benefits</w:t>
            </w:r>
          </w:p>
        </w:tc>
      </w:tr>
      <w:tr w:rsidR="00AD25A6" w:rsidRPr="00AD25A6" w14:paraId="1CEC0F6A" w14:textId="77777777" w:rsidTr="009436E7">
        <w:trPr>
          <w:trHeight w:val="301"/>
        </w:trPr>
        <w:tc>
          <w:tcPr>
            <w:tcW w:w="5167" w:type="dxa"/>
            <w:tcBorders>
              <w:top w:val="nil"/>
              <w:left w:val="single" w:sz="8" w:space="0" w:color="auto"/>
              <w:bottom w:val="nil"/>
              <w:right w:val="nil"/>
            </w:tcBorders>
            <w:shd w:val="clear" w:color="000000" w:fill="CCCCCC"/>
            <w:vAlign w:val="center"/>
            <w:hideMark/>
          </w:tcPr>
          <w:p w14:paraId="70FD17B4" w14:textId="77777777" w:rsidR="00AD25A6" w:rsidRPr="00AD25A6" w:rsidRDefault="00AD25A6" w:rsidP="00AD25A6">
            <w:pPr>
              <w:rPr>
                <w:rFonts w:ascii="Arial" w:hAnsi="Arial" w:cs="Arial"/>
              </w:rPr>
            </w:pPr>
            <w:r w:rsidRPr="00AD25A6">
              <w:rPr>
                <w:rFonts w:ascii="Arial" w:hAnsi="Arial" w:cs="Arial"/>
              </w:rPr>
              <w:t> </w:t>
            </w:r>
          </w:p>
        </w:tc>
        <w:tc>
          <w:tcPr>
            <w:tcW w:w="1382" w:type="dxa"/>
            <w:tcBorders>
              <w:top w:val="nil"/>
              <w:left w:val="single" w:sz="8" w:space="0" w:color="auto"/>
              <w:bottom w:val="nil"/>
              <w:right w:val="nil"/>
            </w:tcBorders>
            <w:shd w:val="clear" w:color="000000" w:fill="FFFFFF"/>
            <w:vAlign w:val="center"/>
            <w:hideMark/>
          </w:tcPr>
          <w:p w14:paraId="38834A1B" w14:textId="22CB3F6D"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1074" w:type="dxa"/>
            <w:tcBorders>
              <w:top w:val="nil"/>
              <w:left w:val="nil"/>
              <w:bottom w:val="nil"/>
              <w:right w:val="single" w:sz="8" w:space="0" w:color="auto"/>
            </w:tcBorders>
            <w:shd w:val="clear" w:color="000000" w:fill="CCCCCC"/>
            <w:vAlign w:val="center"/>
            <w:hideMark/>
          </w:tcPr>
          <w:p w14:paraId="1FBEAF13" w14:textId="7324EFC7" w:rsidR="00AD25A6" w:rsidRPr="00AD25A6" w:rsidRDefault="00C37E7F" w:rsidP="00AD25A6">
            <w:pPr>
              <w:jc w:val="center"/>
              <w:rPr>
                <w:rFonts w:ascii="Arial" w:hAnsi="Arial" w:cs="Arial"/>
                <w:b/>
                <w:bCs/>
              </w:rPr>
            </w:pPr>
            <w:r>
              <w:rPr>
                <w:rFonts w:ascii="Arial" w:hAnsi="Arial" w:cs="Arial"/>
                <w:b/>
                <w:bCs/>
              </w:rPr>
              <w:t>2024/25</w:t>
            </w:r>
          </w:p>
        </w:tc>
        <w:tc>
          <w:tcPr>
            <w:tcW w:w="1455" w:type="dxa"/>
            <w:tcBorders>
              <w:top w:val="nil"/>
              <w:left w:val="nil"/>
              <w:bottom w:val="nil"/>
              <w:right w:val="nil"/>
            </w:tcBorders>
            <w:shd w:val="clear" w:color="000000" w:fill="FFFFFF"/>
            <w:vAlign w:val="center"/>
            <w:hideMark/>
          </w:tcPr>
          <w:p w14:paraId="714F2765" w14:textId="259614BB" w:rsidR="00AD25A6" w:rsidRPr="00AD25A6" w:rsidRDefault="00C37E7F" w:rsidP="00AD25A6">
            <w:pPr>
              <w:jc w:val="center"/>
              <w:rPr>
                <w:rFonts w:ascii="Arial" w:hAnsi="Arial" w:cs="Arial"/>
                <w:b/>
                <w:bCs/>
                <w:color w:val="000000"/>
              </w:rPr>
            </w:pPr>
            <w:r>
              <w:rPr>
                <w:rFonts w:ascii="Arial" w:hAnsi="Arial" w:cs="Arial"/>
                <w:b/>
                <w:bCs/>
                <w:color w:val="000000"/>
              </w:rPr>
              <w:t>2023/24</w:t>
            </w:r>
          </w:p>
        </w:tc>
        <w:tc>
          <w:tcPr>
            <w:tcW w:w="1601" w:type="dxa"/>
            <w:tcBorders>
              <w:top w:val="nil"/>
              <w:left w:val="nil"/>
              <w:bottom w:val="nil"/>
              <w:right w:val="single" w:sz="8" w:space="0" w:color="auto"/>
            </w:tcBorders>
            <w:shd w:val="clear" w:color="000000" w:fill="CCCCCC"/>
            <w:vAlign w:val="center"/>
            <w:hideMark/>
          </w:tcPr>
          <w:p w14:paraId="04A73014" w14:textId="4FD74721" w:rsidR="00AD25A6" w:rsidRPr="00AD25A6" w:rsidRDefault="00C37E7F" w:rsidP="00AD25A6">
            <w:pPr>
              <w:jc w:val="center"/>
              <w:rPr>
                <w:rFonts w:ascii="Arial" w:hAnsi="Arial" w:cs="Arial"/>
                <w:b/>
                <w:bCs/>
              </w:rPr>
            </w:pPr>
            <w:r>
              <w:rPr>
                <w:rFonts w:ascii="Arial" w:hAnsi="Arial" w:cs="Arial"/>
                <w:b/>
                <w:bCs/>
              </w:rPr>
              <w:t>2024/25</w:t>
            </w:r>
          </w:p>
        </w:tc>
      </w:tr>
      <w:tr w:rsidR="00AD25A6" w:rsidRPr="00AD25A6" w14:paraId="44E924F3" w14:textId="77777777" w:rsidTr="009436E7">
        <w:trPr>
          <w:trHeight w:val="301"/>
        </w:trPr>
        <w:tc>
          <w:tcPr>
            <w:tcW w:w="5167" w:type="dxa"/>
            <w:tcBorders>
              <w:top w:val="nil"/>
              <w:left w:val="single" w:sz="8" w:space="0" w:color="auto"/>
              <w:bottom w:val="nil"/>
              <w:right w:val="nil"/>
            </w:tcBorders>
            <w:shd w:val="clear" w:color="000000" w:fill="CCCCCC"/>
            <w:vAlign w:val="center"/>
            <w:hideMark/>
          </w:tcPr>
          <w:p w14:paraId="27180610" w14:textId="77777777" w:rsidR="00AD25A6" w:rsidRPr="00AD25A6" w:rsidRDefault="00AD25A6" w:rsidP="00AD25A6">
            <w:pPr>
              <w:rPr>
                <w:rFonts w:ascii="Arial" w:hAnsi="Arial" w:cs="Arial"/>
              </w:rPr>
            </w:pPr>
            <w:r w:rsidRPr="00AD25A6">
              <w:rPr>
                <w:rFonts w:ascii="Arial" w:hAnsi="Arial" w:cs="Arial"/>
              </w:rPr>
              <w:t> </w:t>
            </w:r>
          </w:p>
        </w:tc>
        <w:tc>
          <w:tcPr>
            <w:tcW w:w="1382" w:type="dxa"/>
            <w:tcBorders>
              <w:top w:val="nil"/>
              <w:left w:val="single" w:sz="8" w:space="0" w:color="auto"/>
              <w:bottom w:val="nil"/>
              <w:right w:val="nil"/>
            </w:tcBorders>
            <w:shd w:val="clear" w:color="000000" w:fill="FFFFFF"/>
            <w:vAlign w:val="center"/>
            <w:hideMark/>
          </w:tcPr>
          <w:p w14:paraId="5FAD6243"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074" w:type="dxa"/>
            <w:tcBorders>
              <w:top w:val="nil"/>
              <w:left w:val="nil"/>
              <w:bottom w:val="nil"/>
              <w:right w:val="single" w:sz="8" w:space="0" w:color="auto"/>
            </w:tcBorders>
            <w:shd w:val="clear" w:color="000000" w:fill="CCCCCC"/>
            <w:vAlign w:val="center"/>
            <w:hideMark/>
          </w:tcPr>
          <w:p w14:paraId="199F8500"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455" w:type="dxa"/>
            <w:tcBorders>
              <w:top w:val="nil"/>
              <w:left w:val="nil"/>
              <w:bottom w:val="nil"/>
              <w:right w:val="nil"/>
            </w:tcBorders>
            <w:shd w:val="clear" w:color="000000" w:fill="FFFFFF"/>
            <w:vAlign w:val="center"/>
            <w:hideMark/>
          </w:tcPr>
          <w:p w14:paraId="17BE109E" w14:textId="77777777" w:rsidR="00AD25A6" w:rsidRPr="00AD25A6" w:rsidRDefault="00AD25A6" w:rsidP="00AD25A6">
            <w:pPr>
              <w:jc w:val="center"/>
              <w:rPr>
                <w:rFonts w:ascii="Arial" w:hAnsi="Arial" w:cs="Arial"/>
                <w:b/>
                <w:bCs/>
              </w:rPr>
            </w:pPr>
            <w:r w:rsidRPr="00AD25A6">
              <w:rPr>
                <w:rFonts w:ascii="Arial" w:hAnsi="Arial" w:cs="Arial"/>
                <w:b/>
                <w:bCs/>
              </w:rPr>
              <w:t> </w:t>
            </w:r>
          </w:p>
        </w:tc>
        <w:tc>
          <w:tcPr>
            <w:tcW w:w="1601" w:type="dxa"/>
            <w:tcBorders>
              <w:top w:val="nil"/>
              <w:left w:val="nil"/>
              <w:bottom w:val="nil"/>
              <w:right w:val="single" w:sz="8" w:space="0" w:color="auto"/>
            </w:tcBorders>
            <w:shd w:val="clear" w:color="000000" w:fill="CCCCCC"/>
            <w:vAlign w:val="center"/>
            <w:hideMark/>
          </w:tcPr>
          <w:p w14:paraId="7190390A" w14:textId="77777777" w:rsidR="00AD25A6" w:rsidRPr="00AD25A6" w:rsidRDefault="00AD25A6" w:rsidP="00AD25A6">
            <w:pPr>
              <w:jc w:val="center"/>
              <w:rPr>
                <w:rFonts w:ascii="Arial" w:hAnsi="Arial" w:cs="Arial"/>
                <w:b/>
                <w:bCs/>
              </w:rPr>
            </w:pPr>
            <w:r w:rsidRPr="00AD25A6">
              <w:rPr>
                <w:rFonts w:ascii="Arial" w:hAnsi="Arial" w:cs="Arial"/>
                <w:b/>
                <w:bCs/>
              </w:rPr>
              <w:t> </w:t>
            </w:r>
          </w:p>
        </w:tc>
      </w:tr>
      <w:tr w:rsidR="00AD25A6" w:rsidRPr="00AD25A6" w14:paraId="37EC334E" w14:textId="77777777" w:rsidTr="009436E7">
        <w:trPr>
          <w:trHeight w:val="301"/>
        </w:trPr>
        <w:tc>
          <w:tcPr>
            <w:tcW w:w="5167" w:type="dxa"/>
            <w:tcBorders>
              <w:top w:val="nil"/>
              <w:left w:val="single" w:sz="8" w:space="0" w:color="auto"/>
              <w:bottom w:val="nil"/>
              <w:right w:val="nil"/>
            </w:tcBorders>
            <w:shd w:val="clear" w:color="000000" w:fill="CCCCCC"/>
            <w:vAlign w:val="center"/>
            <w:hideMark/>
          </w:tcPr>
          <w:p w14:paraId="3F3B62E8" w14:textId="77777777" w:rsidR="00AD25A6" w:rsidRPr="00AD25A6" w:rsidRDefault="00AD25A6" w:rsidP="00AD25A6">
            <w:pPr>
              <w:rPr>
                <w:rFonts w:ascii="Arial" w:hAnsi="Arial" w:cs="Arial"/>
              </w:rPr>
            </w:pPr>
            <w:r w:rsidRPr="00AD25A6">
              <w:rPr>
                <w:rFonts w:ascii="Arial" w:hAnsi="Arial" w:cs="Arial"/>
              </w:rPr>
              <w:t> </w:t>
            </w:r>
          </w:p>
        </w:tc>
        <w:tc>
          <w:tcPr>
            <w:tcW w:w="1382" w:type="dxa"/>
            <w:tcBorders>
              <w:top w:val="nil"/>
              <w:left w:val="single" w:sz="8" w:space="0" w:color="auto"/>
              <w:bottom w:val="nil"/>
              <w:right w:val="nil"/>
            </w:tcBorders>
            <w:shd w:val="clear" w:color="000000" w:fill="FFFFFF"/>
            <w:vAlign w:val="center"/>
            <w:hideMark/>
          </w:tcPr>
          <w:p w14:paraId="644E35F2"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1074" w:type="dxa"/>
            <w:tcBorders>
              <w:top w:val="nil"/>
              <w:left w:val="nil"/>
              <w:bottom w:val="nil"/>
              <w:right w:val="single" w:sz="8" w:space="0" w:color="auto"/>
            </w:tcBorders>
            <w:shd w:val="clear" w:color="000000" w:fill="CCCCCC"/>
            <w:vAlign w:val="center"/>
            <w:hideMark/>
          </w:tcPr>
          <w:p w14:paraId="277872B0" w14:textId="77777777" w:rsidR="00AD25A6" w:rsidRPr="00AD25A6" w:rsidRDefault="00AD25A6" w:rsidP="00AD25A6">
            <w:pPr>
              <w:jc w:val="center"/>
              <w:rPr>
                <w:rFonts w:ascii="Arial" w:hAnsi="Arial" w:cs="Arial"/>
                <w:b/>
                <w:bCs/>
              </w:rPr>
            </w:pPr>
            <w:r w:rsidRPr="00AD25A6">
              <w:rPr>
                <w:rFonts w:ascii="Arial" w:hAnsi="Arial" w:cs="Arial"/>
                <w:b/>
                <w:bCs/>
              </w:rPr>
              <w:t>£,000</w:t>
            </w:r>
          </w:p>
        </w:tc>
        <w:tc>
          <w:tcPr>
            <w:tcW w:w="1455" w:type="dxa"/>
            <w:tcBorders>
              <w:top w:val="nil"/>
              <w:left w:val="nil"/>
              <w:bottom w:val="nil"/>
              <w:right w:val="nil"/>
            </w:tcBorders>
            <w:shd w:val="clear" w:color="000000" w:fill="FFFFFF"/>
            <w:vAlign w:val="center"/>
            <w:hideMark/>
          </w:tcPr>
          <w:p w14:paraId="52D48162" w14:textId="77777777" w:rsidR="00AD25A6" w:rsidRPr="00AD25A6" w:rsidRDefault="00AD25A6" w:rsidP="00AD25A6">
            <w:pPr>
              <w:jc w:val="center"/>
              <w:rPr>
                <w:rFonts w:ascii="Arial" w:hAnsi="Arial" w:cs="Arial"/>
                <w:b/>
                <w:bCs/>
                <w:color w:val="000000"/>
              </w:rPr>
            </w:pPr>
            <w:r w:rsidRPr="00AD25A6">
              <w:rPr>
                <w:rFonts w:ascii="Arial" w:hAnsi="Arial" w:cs="Arial"/>
                <w:b/>
                <w:bCs/>
                <w:color w:val="000000"/>
              </w:rPr>
              <w:t>£,000</w:t>
            </w:r>
          </w:p>
        </w:tc>
        <w:tc>
          <w:tcPr>
            <w:tcW w:w="1601" w:type="dxa"/>
            <w:tcBorders>
              <w:top w:val="nil"/>
              <w:left w:val="nil"/>
              <w:bottom w:val="nil"/>
              <w:right w:val="single" w:sz="8" w:space="0" w:color="auto"/>
            </w:tcBorders>
            <w:shd w:val="clear" w:color="000000" w:fill="CCCCCC"/>
            <w:vAlign w:val="center"/>
            <w:hideMark/>
          </w:tcPr>
          <w:p w14:paraId="3D747653" w14:textId="77777777" w:rsidR="00AD25A6" w:rsidRPr="00AD25A6" w:rsidRDefault="00AD25A6" w:rsidP="00AD25A6">
            <w:pPr>
              <w:jc w:val="center"/>
              <w:rPr>
                <w:rFonts w:ascii="Arial" w:hAnsi="Arial" w:cs="Arial"/>
                <w:b/>
                <w:bCs/>
              </w:rPr>
            </w:pPr>
            <w:r w:rsidRPr="00AD25A6">
              <w:rPr>
                <w:rFonts w:ascii="Arial" w:hAnsi="Arial" w:cs="Arial"/>
                <w:b/>
                <w:bCs/>
              </w:rPr>
              <w:t>£,000</w:t>
            </w:r>
          </w:p>
        </w:tc>
      </w:tr>
      <w:tr w:rsidR="00AD25A6" w:rsidRPr="00AD25A6" w14:paraId="38DB1144" w14:textId="77777777" w:rsidTr="009436E7">
        <w:trPr>
          <w:trHeight w:val="301"/>
        </w:trPr>
        <w:tc>
          <w:tcPr>
            <w:tcW w:w="5167" w:type="dxa"/>
            <w:tcBorders>
              <w:top w:val="nil"/>
              <w:left w:val="single" w:sz="8" w:space="0" w:color="auto"/>
              <w:bottom w:val="nil"/>
              <w:right w:val="nil"/>
            </w:tcBorders>
            <w:shd w:val="clear" w:color="000000" w:fill="CCCCCC"/>
            <w:vAlign w:val="center"/>
            <w:hideMark/>
          </w:tcPr>
          <w:p w14:paraId="7B79196A" w14:textId="77777777" w:rsidR="00AD25A6" w:rsidRPr="00AD25A6" w:rsidRDefault="00AD25A6" w:rsidP="00AD25A6">
            <w:pPr>
              <w:rPr>
                <w:rFonts w:ascii="Arial" w:hAnsi="Arial" w:cs="Arial"/>
              </w:rPr>
            </w:pPr>
            <w:r w:rsidRPr="00AD25A6">
              <w:rPr>
                <w:rFonts w:ascii="Arial" w:hAnsi="Arial" w:cs="Arial"/>
              </w:rPr>
              <w:t> </w:t>
            </w:r>
          </w:p>
        </w:tc>
        <w:tc>
          <w:tcPr>
            <w:tcW w:w="1382" w:type="dxa"/>
            <w:tcBorders>
              <w:top w:val="nil"/>
              <w:left w:val="single" w:sz="8" w:space="0" w:color="auto"/>
              <w:bottom w:val="nil"/>
              <w:right w:val="nil"/>
            </w:tcBorders>
            <w:shd w:val="clear" w:color="000000" w:fill="FFFFFF"/>
            <w:vAlign w:val="center"/>
            <w:hideMark/>
          </w:tcPr>
          <w:p w14:paraId="6FD0EECB" w14:textId="77777777" w:rsidR="00AD25A6" w:rsidRPr="00AD25A6" w:rsidRDefault="00AD25A6" w:rsidP="00AD25A6">
            <w:pPr>
              <w:rPr>
                <w:rFonts w:ascii="Arial" w:hAnsi="Arial" w:cs="Arial"/>
              </w:rPr>
            </w:pPr>
            <w:r w:rsidRPr="00AD25A6">
              <w:rPr>
                <w:rFonts w:ascii="Arial" w:hAnsi="Arial" w:cs="Arial"/>
              </w:rPr>
              <w:t> </w:t>
            </w:r>
          </w:p>
        </w:tc>
        <w:tc>
          <w:tcPr>
            <w:tcW w:w="1074" w:type="dxa"/>
            <w:tcBorders>
              <w:top w:val="nil"/>
              <w:left w:val="nil"/>
              <w:bottom w:val="nil"/>
              <w:right w:val="single" w:sz="8" w:space="0" w:color="auto"/>
            </w:tcBorders>
            <w:shd w:val="clear" w:color="000000" w:fill="CCCCCC"/>
            <w:vAlign w:val="center"/>
            <w:hideMark/>
          </w:tcPr>
          <w:p w14:paraId="3D65C22E" w14:textId="77777777" w:rsidR="00AD25A6" w:rsidRPr="00AD25A6" w:rsidRDefault="00AD25A6" w:rsidP="00AD25A6">
            <w:pPr>
              <w:rPr>
                <w:rFonts w:ascii="Arial" w:hAnsi="Arial" w:cs="Arial"/>
              </w:rPr>
            </w:pPr>
            <w:r w:rsidRPr="00AD25A6">
              <w:rPr>
                <w:rFonts w:ascii="Arial" w:hAnsi="Arial" w:cs="Arial"/>
              </w:rPr>
              <w:t> </w:t>
            </w:r>
          </w:p>
        </w:tc>
        <w:tc>
          <w:tcPr>
            <w:tcW w:w="1455" w:type="dxa"/>
            <w:tcBorders>
              <w:top w:val="nil"/>
              <w:left w:val="nil"/>
              <w:bottom w:val="nil"/>
              <w:right w:val="nil"/>
            </w:tcBorders>
            <w:shd w:val="clear" w:color="000000" w:fill="FFFFFF"/>
            <w:vAlign w:val="center"/>
            <w:hideMark/>
          </w:tcPr>
          <w:p w14:paraId="03D72FDD" w14:textId="77777777" w:rsidR="00AD25A6" w:rsidRPr="00AD25A6" w:rsidRDefault="00AD25A6" w:rsidP="00AD25A6">
            <w:pPr>
              <w:rPr>
                <w:rFonts w:ascii="Arial" w:hAnsi="Arial" w:cs="Arial"/>
              </w:rPr>
            </w:pPr>
            <w:r w:rsidRPr="00AD25A6">
              <w:rPr>
                <w:rFonts w:ascii="Arial" w:hAnsi="Arial" w:cs="Arial"/>
              </w:rPr>
              <w:t> </w:t>
            </w:r>
          </w:p>
        </w:tc>
        <w:tc>
          <w:tcPr>
            <w:tcW w:w="1601" w:type="dxa"/>
            <w:tcBorders>
              <w:top w:val="nil"/>
              <w:left w:val="nil"/>
              <w:bottom w:val="nil"/>
              <w:right w:val="single" w:sz="8" w:space="0" w:color="auto"/>
            </w:tcBorders>
            <w:shd w:val="clear" w:color="000000" w:fill="CCCCCC"/>
            <w:vAlign w:val="center"/>
            <w:hideMark/>
          </w:tcPr>
          <w:p w14:paraId="7153D9E5" w14:textId="77777777" w:rsidR="00AD25A6" w:rsidRPr="00AD25A6" w:rsidRDefault="00AD25A6" w:rsidP="00AD25A6">
            <w:pPr>
              <w:rPr>
                <w:rFonts w:ascii="Arial" w:hAnsi="Arial" w:cs="Arial"/>
              </w:rPr>
            </w:pPr>
            <w:r w:rsidRPr="00AD25A6">
              <w:rPr>
                <w:rFonts w:ascii="Arial" w:hAnsi="Arial" w:cs="Arial"/>
              </w:rPr>
              <w:t> </w:t>
            </w:r>
          </w:p>
        </w:tc>
      </w:tr>
      <w:tr w:rsidR="00AD25A6" w:rsidRPr="00AD25A6" w14:paraId="6A6F6F75" w14:textId="77777777" w:rsidTr="009436E7">
        <w:trPr>
          <w:trHeight w:val="301"/>
        </w:trPr>
        <w:tc>
          <w:tcPr>
            <w:tcW w:w="5167" w:type="dxa"/>
            <w:tcBorders>
              <w:top w:val="nil"/>
              <w:left w:val="single" w:sz="8" w:space="0" w:color="auto"/>
              <w:bottom w:val="nil"/>
              <w:right w:val="nil"/>
            </w:tcBorders>
            <w:shd w:val="clear" w:color="000000" w:fill="CCCCCC"/>
            <w:vAlign w:val="center"/>
            <w:hideMark/>
          </w:tcPr>
          <w:p w14:paraId="473226E8" w14:textId="77777777" w:rsidR="00AD25A6" w:rsidRPr="00AD25A6" w:rsidRDefault="00AD25A6" w:rsidP="00AD25A6">
            <w:pPr>
              <w:jc w:val="right"/>
              <w:rPr>
                <w:rFonts w:ascii="Arial" w:hAnsi="Arial" w:cs="Arial"/>
                <w:b/>
                <w:bCs/>
                <w:color w:val="000000"/>
              </w:rPr>
            </w:pPr>
            <w:r w:rsidRPr="00AD25A6">
              <w:rPr>
                <w:rFonts w:ascii="Arial" w:hAnsi="Arial" w:cs="Arial"/>
                <w:b/>
                <w:bCs/>
                <w:color w:val="000000"/>
              </w:rPr>
              <w:t>01-Apr</w:t>
            </w:r>
          </w:p>
        </w:tc>
        <w:tc>
          <w:tcPr>
            <w:tcW w:w="1382" w:type="dxa"/>
            <w:tcBorders>
              <w:top w:val="nil"/>
              <w:left w:val="single" w:sz="8" w:space="0" w:color="auto"/>
              <w:bottom w:val="nil"/>
              <w:right w:val="nil"/>
            </w:tcBorders>
            <w:shd w:val="clear" w:color="000000" w:fill="FFFFFF"/>
            <w:vAlign w:val="center"/>
            <w:hideMark/>
          </w:tcPr>
          <w:p w14:paraId="6A0B7DE0" w14:textId="77777777" w:rsidR="00AD25A6" w:rsidRPr="00AD25A6" w:rsidRDefault="00AD25A6" w:rsidP="00AD25A6">
            <w:pPr>
              <w:jc w:val="right"/>
              <w:rPr>
                <w:rFonts w:ascii="Arial" w:hAnsi="Arial" w:cs="Arial"/>
                <w:color w:val="000000"/>
              </w:rPr>
            </w:pPr>
            <w:r w:rsidRPr="00AD25A6">
              <w:rPr>
                <w:rFonts w:ascii="Arial" w:hAnsi="Arial" w:cs="Arial"/>
                <w:color w:val="000000"/>
              </w:rPr>
              <w:t>0</w:t>
            </w:r>
          </w:p>
        </w:tc>
        <w:tc>
          <w:tcPr>
            <w:tcW w:w="1074" w:type="dxa"/>
            <w:tcBorders>
              <w:top w:val="nil"/>
              <w:left w:val="nil"/>
              <w:bottom w:val="nil"/>
              <w:right w:val="single" w:sz="8" w:space="0" w:color="auto"/>
            </w:tcBorders>
            <w:shd w:val="clear" w:color="000000" w:fill="CCCCCC"/>
            <w:vAlign w:val="center"/>
            <w:hideMark/>
          </w:tcPr>
          <w:p w14:paraId="55E8F448" w14:textId="77777777" w:rsidR="00AD25A6" w:rsidRPr="00AD25A6" w:rsidRDefault="00AD25A6" w:rsidP="00AD25A6">
            <w:pPr>
              <w:jc w:val="right"/>
              <w:rPr>
                <w:rFonts w:ascii="Arial" w:hAnsi="Arial" w:cs="Arial"/>
                <w:b/>
                <w:bCs/>
              </w:rPr>
            </w:pPr>
            <w:r w:rsidRPr="00AD25A6">
              <w:rPr>
                <w:rFonts w:ascii="Arial" w:hAnsi="Arial" w:cs="Arial"/>
                <w:b/>
                <w:bCs/>
              </w:rPr>
              <w:t>0</w:t>
            </w:r>
          </w:p>
        </w:tc>
        <w:tc>
          <w:tcPr>
            <w:tcW w:w="1455" w:type="dxa"/>
            <w:tcBorders>
              <w:top w:val="nil"/>
              <w:left w:val="nil"/>
              <w:bottom w:val="nil"/>
              <w:right w:val="nil"/>
            </w:tcBorders>
            <w:shd w:val="clear" w:color="000000" w:fill="FFFFFF"/>
            <w:vAlign w:val="center"/>
            <w:hideMark/>
          </w:tcPr>
          <w:p w14:paraId="64F05C4D" w14:textId="77777777" w:rsidR="00AD25A6" w:rsidRPr="00AD25A6" w:rsidRDefault="00AD25A6" w:rsidP="00AD25A6">
            <w:pPr>
              <w:jc w:val="right"/>
              <w:rPr>
                <w:rFonts w:ascii="Arial" w:hAnsi="Arial" w:cs="Arial"/>
                <w:color w:val="000000"/>
              </w:rPr>
            </w:pPr>
            <w:r w:rsidRPr="00AD25A6">
              <w:rPr>
                <w:rFonts w:ascii="Arial" w:hAnsi="Arial" w:cs="Arial"/>
                <w:color w:val="000000"/>
              </w:rPr>
              <w:t>0</w:t>
            </w:r>
          </w:p>
        </w:tc>
        <w:tc>
          <w:tcPr>
            <w:tcW w:w="1601" w:type="dxa"/>
            <w:tcBorders>
              <w:top w:val="nil"/>
              <w:left w:val="nil"/>
              <w:bottom w:val="nil"/>
              <w:right w:val="single" w:sz="8" w:space="0" w:color="auto"/>
            </w:tcBorders>
            <w:shd w:val="clear" w:color="000000" w:fill="CCCCCC"/>
            <w:vAlign w:val="center"/>
            <w:hideMark/>
          </w:tcPr>
          <w:p w14:paraId="7411D042" w14:textId="77777777" w:rsidR="00AD25A6" w:rsidRPr="00AD25A6" w:rsidRDefault="00AD25A6" w:rsidP="00AD25A6">
            <w:pPr>
              <w:jc w:val="right"/>
              <w:rPr>
                <w:rFonts w:ascii="Arial" w:hAnsi="Arial" w:cs="Arial"/>
                <w:b/>
                <w:bCs/>
              </w:rPr>
            </w:pPr>
            <w:r w:rsidRPr="00AD25A6">
              <w:rPr>
                <w:rFonts w:ascii="Arial" w:hAnsi="Arial" w:cs="Arial"/>
                <w:b/>
                <w:bCs/>
              </w:rPr>
              <w:t>0</w:t>
            </w:r>
          </w:p>
        </w:tc>
      </w:tr>
      <w:tr w:rsidR="009436E7" w:rsidRPr="00AD25A6" w14:paraId="58E57701" w14:textId="77777777" w:rsidTr="009436E7">
        <w:trPr>
          <w:trHeight w:val="301"/>
        </w:trPr>
        <w:tc>
          <w:tcPr>
            <w:tcW w:w="5167" w:type="dxa"/>
            <w:tcBorders>
              <w:top w:val="nil"/>
              <w:left w:val="single" w:sz="8" w:space="0" w:color="auto"/>
              <w:bottom w:val="nil"/>
              <w:right w:val="nil"/>
            </w:tcBorders>
            <w:shd w:val="clear" w:color="000000" w:fill="CCCCCC"/>
            <w:vAlign w:val="center"/>
            <w:hideMark/>
          </w:tcPr>
          <w:p w14:paraId="5013C288" w14:textId="77777777" w:rsidR="009436E7" w:rsidRPr="00AD25A6" w:rsidRDefault="009436E7" w:rsidP="009436E7">
            <w:pPr>
              <w:rPr>
                <w:rFonts w:ascii="Arial" w:hAnsi="Arial" w:cs="Arial"/>
                <w:color w:val="000000"/>
              </w:rPr>
            </w:pPr>
            <w:r w:rsidRPr="00AD25A6">
              <w:rPr>
                <w:rFonts w:ascii="Arial" w:hAnsi="Arial" w:cs="Arial"/>
                <w:color w:val="000000"/>
              </w:rPr>
              <w:t>Employer contributions</w:t>
            </w:r>
          </w:p>
        </w:tc>
        <w:tc>
          <w:tcPr>
            <w:tcW w:w="1382" w:type="dxa"/>
            <w:tcBorders>
              <w:top w:val="nil"/>
              <w:left w:val="single" w:sz="8" w:space="0" w:color="auto"/>
              <w:bottom w:val="nil"/>
              <w:right w:val="nil"/>
            </w:tcBorders>
            <w:shd w:val="clear" w:color="000000" w:fill="FFFFFF"/>
            <w:vAlign w:val="center"/>
            <w:hideMark/>
          </w:tcPr>
          <w:p w14:paraId="211AABE2" w14:textId="7EF533EA" w:rsidR="009436E7" w:rsidRPr="00AD25A6" w:rsidRDefault="009436E7" w:rsidP="009436E7">
            <w:pPr>
              <w:jc w:val="right"/>
              <w:rPr>
                <w:rFonts w:ascii="Arial" w:hAnsi="Arial" w:cs="Arial"/>
                <w:color w:val="000000"/>
              </w:rPr>
            </w:pPr>
            <w:r>
              <w:rPr>
                <w:rFonts w:ascii="Arial" w:hAnsi="Arial" w:cs="Arial"/>
                <w:color w:val="000000"/>
              </w:rPr>
              <w:t>100</w:t>
            </w:r>
            <w:r w:rsidRPr="00AD25A6">
              <w:rPr>
                <w:rFonts w:ascii="Arial" w:hAnsi="Arial" w:cs="Arial"/>
                <w:color w:val="000000"/>
              </w:rPr>
              <w:t>,8</w:t>
            </w:r>
            <w:r>
              <w:rPr>
                <w:rFonts w:ascii="Arial" w:hAnsi="Arial" w:cs="Arial"/>
                <w:color w:val="000000"/>
              </w:rPr>
              <w:t>66</w:t>
            </w:r>
          </w:p>
        </w:tc>
        <w:tc>
          <w:tcPr>
            <w:tcW w:w="1074" w:type="dxa"/>
            <w:tcBorders>
              <w:top w:val="nil"/>
              <w:left w:val="nil"/>
              <w:bottom w:val="nil"/>
              <w:right w:val="single" w:sz="8" w:space="0" w:color="auto"/>
            </w:tcBorders>
            <w:shd w:val="clear" w:color="000000" w:fill="CCCCCC"/>
            <w:vAlign w:val="center"/>
            <w:hideMark/>
          </w:tcPr>
          <w:p w14:paraId="1740B3BA" w14:textId="2D99CA51" w:rsidR="009436E7" w:rsidRPr="00AD25A6" w:rsidRDefault="009436E7" w:rsidP="009436E7">
            <w:pPr>
              <w:jc w:val="right"/>
              <w:rPr>
                <w:rFonts w:ascii="Arial" w:hAnsi="Arial" w:cs="Arial"/>
              </w:rPr>
            </w:pPr>
            <w:r>
              <w:rPr>
                <w:rFonts w:ascii="Arial" w:hAnsi="Arial" w:cs="Arial"/>
              </w:rPr>
              <w:t>108,115</w:t>
            </w:r>
          </w:p>
        </w:tc>
        <w:tc>
          <w:tcPr>
            <w:tcW w:w="1455" w:type="dxa"/>
            <w:tcBorders>
              <w:top w:val="nil"/>
              <w:left w:val="nil"/>
              <w:bottom w:val="nil"/>
              <w:right w:val="nil"/>
            </w:tcBorders>
            <w:shd w:val="clear" w:color="000000" w:fill="FFFFFF"/>
            <w:vAlign w:val="center"/>
            <w:hideMark/>
          </w:tcPr>
          <w:p w14:paraId="283BAA02" w14:textId="1CEA9A0D" w:rsidR="009436E7" w:rsidRPr="00AD25A6" w:rsidRDefault="009436E7" w:rsidP="009436E7">
            <w:pPr>
              <w:jc w:val="right"/>
              <w:rPr>
                <w:rFonts w:ascii="Arial" w:hAnsi="Arial" w:cs="Arial"/>
                <w:color w:val="000000"/>
              </w:rPr>
            </w:pPr>
            <w:r>
              <w:rPr>
                <w:rFonts w:ascii="Arial" w:hAnsi="Arial" w:cs="Arial"/>
                <w:color w:val="000000"/>
              </w:rPr>
              <w:t>4</w:t>
            </w:r>
            <w:r w:rsidRPr="00AD25A6">
              <w:rPr>
                <w:rFonts w:ascii="Arial" w:hAnsi="Arial" w:cs="Arial"/>
                <w:color w:val="000000"/>
              </w:rPr>
              <w:t>,</w:t>
            </w:r>
            <w:r>
              <w:rPr>
                <w:rFonts w:ascii="Arial" w:hAnsi="Arial" w:cs="Arial"/>
                <w:color w:val="000000"/>
              </w:rPr>
              <w:t>289</w:t>
            </w:r>
          </w:p>
        </w:tc>
        <w:tc>
          <w:tcPr>
            <w:tcW w:w="1601" w:type="dxa"/>
            <w:tcBorders>
              <w:top w:val="nil"/>
              <w:left w:val="nil"/>
              <w:bottom w:val="nil"/>
              <w:right w:val="single" w:sz="8" w:space="0" w:color="auto"/>
            </w:tcBorders>
            <w:shd w:val="clear" w:color="000000" w:fill="CCCCCC"/>
            <w:vAlign w:val="center"/>
            <w:hideMark/>
          </w:tcPr>
          <w:p w14:paraId="13F5D47D" w14:textId="5342F2CB" w:rsidR="009436E7" w:rsidRPr="00AD25A6" w:rsidRDefault="009436E7" w:rsidP="009436E7">
            <w:pPr>
              <w:jc w:val="right"/>
              <w:rPr>
                <w:rFonts w:ascii="Arial" w:hAnsi="Arial" w:cs="Arial"/>
              </w:rPr>
            </w:pPr>
            <w:r>
              <w:rPr>
                <w:rFonts w:ascii="Arial" w:hAnsi="Arial" w:cs="Arial"/>
              </w:rPr>
              <w:t>4,469</w:t>
            </w:r>
          </w:p>
        </w:tc>
      </w:tr>
      <w:tr w:rsidR="009436E7" w:rsidRPr="00AD25A6" w14:paraId="4CF7F8E9" w14:textId="77777777" w:rsidTr="009436E7">
        <w:trPr>
          <w:trHeight w:val="301"/>
        </w:trPr>
        <w:tc>
          <w:tcPr>
            <w:tcW w:w="5167" w:type="dxa"/>
            <w:tcBorders>
              <w:top w:val="nil"/>
              <w:left w:val="single" w:sz="8" w:space="0" w:color="auto"/>
              <w:bottom w:val="nil"/>
              <w:right w:val="nil"/>
            </w:tcBorders>
            <w:shd w:val="clear" w:color="000000" w:fill="CCCCCC"/>
            <w:vAlign w:val="center"/>
            <w:hideMark/>
          </w:tcPr>
          <w:p w14:paraId="76135905" w14:textId="77777777" w:rsidR="009436E7" w:rsidRPr="00AD25A6" w:rsidRDefault="009436E7" w:rsidP="009436E7">
            <w:pPr>
              <w:rPr>
                <w:rFonts w:ascii="Arial" w:hAnsi="Arial" w:cs="Arial"/>
                <w:color w:val="000000"/>
              </w:rPr>
            </w:pPr>
            <w:r w:rsidRPr="00AD25A6">
              <w:rPr>
                <w:rFonts w:ascii="Arial" w:hAnsi="Arial" w:cs="Arial"/>
                <w:color w:val="000000"/>
              </w:rPr>
              <w:t>Contributions by scheme participants</w:t>
            </w:r>
          </w:p>
        </w:tc>
        <w:tc>
          <w:tcPr>
            <w:tcW w:w="1382" w:type="dxa"/>
            <w:tcBorders>
              <w:top w:val="nil"/>
              <w:left w:val="single" w:sz="8" w:space="0" w:color="auto"/>
              <w:bottom w:val="nil"/>
              <w:right w:val="nil"/>
            </w:tcBorders>
            <w:shd w:val="clear" w:color="000000" w:fill="FFFFFF"/>
            <w:vAlign w:val="center"/>
            <w:hideMark/>
          </w:tcPr>
          <w:p w14:paraId="5F4B1817" w14:textId="6224A185" w:rsidR="009436E7" w:rsidRPr="00AD25A6" w:rsidRDefault="009436E7" w:rsidP="009436E7">
            <w:pPr>
              <w:jc w:val="right"/>
              <w:rPr>
                <w:rFonts w:ascii="Arial" w:hAnsi="Arial" w:cs="Arial"/>
                <w:color w:val="000000"/>
              </w:rPr>
            </w:pPr>
            <w:r w:rsidRPr="00AD25A6">
              <w:rPr>
                <w:rFonts w:ascii="Arial" w:hAnsi="Arial" w:cs="Arial"/>
                <w:color w:val="000000"/>
              </w:rPr>
              <w:t>1</w:t>
            </w:r>
            <w:r>
              <w:rPr>
                <w:rFonts w:ascii="Arial" w:hAnsi="Arial" w:cs="Arial"/>
                <w:color w:val="000000"/>
              </w:rPr>
              <w:t>8</w:t>
            </w:r>
            <w:r w:rsidRPr="00AD25A6">
              <w:rPr>
                <w:rFonts w:ascii="Arial" w:hAnsi="Arial" w:cs="Arial"/>
                <w:color w:val="000000"/>
              </w:rPr>
              <w:t>,</w:t>
            </w:r>
            <w:r>
              <w:rPr>
                <w:rFonts w:ascii="Arial" w:hAnsi="Arial" w:cs="Arial"/>
                <w:color w:val="000000"/>
              </w:rPr>
              <w:t>778</w:t>
            </w:r>
          </w:p>
        </w:tc>
        <w:tc>
          <w:tcPr>
            <w:tcW w:w="1074" w:type="dxa"/>
            <w:tcBorders>
              <w:top w:val="nil"/>
              <w:left w:val="nil"/>
              <w:bottom w:val="nil"/>
              <w:right w:val="single" w:sz="8" w:space="0" w:color="auto"/>
            </w:tcBorders>
            <w:shd w:val="clear" w:color="000000" w:fill="CCCCCC"/>
            <w:vAlign w:val="center"/>
            <w:hideMark/>
          </w:tcPr>
          <w:p w14:paraId="5EE80D2F" w14:textId="335BCAC0" w:rsidR="009436E7" w:rsidRPr="00AD25A6" w:rsidRDefault="009436E7" w:rsidP="009436E7">
            <w:pPr>
              <w:jc w:val="right"/>
              <w:rPr>
                <w:rFonts w:ascii="Arial" w:hAnsi="Arial" w:cs="Arial"/>
              </w:rPr>
            </w:pPr>
            <w:r>
              <w:rPr>
                <w:rFonts w:ascii="Arial" w:hAnsi="Arial" w:cs="Arial"/>
              </w:rPr>
              <w:t>18,449</w:t>
            </w:r>
          </w:p>
        </w:tc>
        <w:tc>
          <w:tcPr>
            <w:tcW w:w="1455" w:type="dxa"/>
            <w:tcBorders>
              <w:top w:val="nil"/>
              <w:left w:val="nil"/>
              <w:bottom w:val="nil"/>
              <w:right w:val="nil"/>
            </w:tcBorders>
            <w:shd w:val="clear" w:color="000000" w:fill="FFFFFF"/>
            <w:vAlign w:val="center"/>
            <w:hideMark/>
          </w:tcPr>
          <w:p w14:paraId="074EB452" w14:textId="77777777" w:rsidR="009436E7" w:rsidRPr="00AD25A6" w:rsidRDefault="009436E7" w:rsidP="009436E7">
            <w:pPr>
              <w:jc w:val="right"/>
              <w:rPr>
                <w:rFonts w:ascii="Arial" w:hAnsi="Arial" w:cs="Arial"/>
                <w:color w:val="000000"/>
              </w:rPr>
            </w:pPr>
            <w:r w:rsidRPr="00AD25A6">
              <w:rPr>
                <w:rFonts w:ascii="Arial" w:hAnsi="Arial" w:cs="Arial"/>
                <w:color w:val="000000"/>
              </w:rPr>
              <w:t>0</w:t>
            </w:r>
          </w:p>
        </w:tc>
        <w:tc>
          <w:tcPr>
            <w:tcW w:w="1601" w:type="dxa"/>
            <w:tcBorders>
              <w:top w:val="nil"/>
              <w:left w:val="nil"/>
              <w:bottom w:val="nil"/>
              <w:right w:val="single" w:sz="8" w:space="0" w:color="auto"/>
            </w:tcBorders>
            <w:shd w:val="clear" w:color="000000" w:fill="CCCCCC"/>
            <w:vAlign w:val="center"/>
            <w:hideMark/>
          </w:tcPr>
          <w:p w14:paraId="71686502" w14:textId="43BA57FA" w:rsidR="009436E7" w:rsidRPr="00AD25A6" w:rsidRDefault="009436E7" w:rsidP="009436E7">
            <w:pPr>
              <w:jc w:val="right"/>
              <w:rPr>
                <w:rFonts w:ascii="Arial" w:hAnsi="Arial" w:cs="Arial"/>
              </w:rPr>
            </w:pPr>
            <w:r>
              <w:rPr>
                <w:rFonts w:ascii="Arial" w:hAnsi="Arial" w:cs="Arial"/>
              </w:rPr>
              <w:t>0</w:t>
            </w:r>
          </w:p>
        </w:tc>
      </w:tr>
      <w:tr w:rsidR="009436E7" w:rsidRPr="00AD25A6" w14:paraId="0C93EA25" w14:textId="77777777" w:rsidTr="009436E7">
        <w:trPr>
          <w:trHeight w:val="316"/>
        </w:trPr>
        <w:tc>
          <w:tcPr>
            <w:tcW w:w="5167" w:type="dxa"/>
            <w:tcBorders>
              <w:top w:val="nil"/>
              <w:left w:val="single" w:sz="8" w:space="0" w:color="auto"/>
              <w:bottom w:val="nil"/>
              <w:right w:val="nil"/>
            </w:tcBorders>
            <w:shd w:val="clear" w:color="000000" w:fill="CCCCCC"/>
            <w:vAlign w:val="center"/>
            <w:hideMark/>
          </w:tcPr>
          <w:p w14:paraId="6014CDCC" w14:textId="77777777" w:rsidR="009436E7" w:rsidRPr="00AD25A6" w:rsidRDefault="009436E7" w:rsidP="009436E7">
            <w:pPr>
              <w:rPr>
                <w:rFonts w:ascii="Arial" w:hAnsi="Arial" w:cs="Arial"/>
                <w:color w:val="000000"/>
              </w:rPr>
            </w:pPr>
            <w:r w:rsidRPr="00AD25A6">
              <w:rPr>
                <w:rFonts w:ascii="Arial" w:hAnsi="Arial" w:cs="Arial"/>
                <w:color w:val="000000"/>
              </w:rPr>
              <w:t>Benefits paid</w:t>
            </w:r>
          </w:p>
        </w:tc>
        <w:tc>
          <w:tcPr>
            <w:tcW w:w="1382" w:type="dxa"/>
            <w:tcBorders>
              <w:top w:val="nil"/>
              <w:left w:val="single" w:sz="8" w:space="0" w:color="auto"/>
              <w:bottom w:val="nil"/>
              <w:right w:val="nil"/>
            </w:tcBorders>
            <w:shd w:val="clear" w:color="000000" w:fill="FFFFFF"/>
            <w:vAlign w:val="center"/>
            <w:hideMark/>
          </w:tcPr>
          <w:p w14:paraId="1927EC12" w14:textId="0B7EDB3A" w:rsidR="009436E7" w:rsidRPr="00AD25A6" w:rsidRDefault="009436E7" w:rsidP="009436E7">
            <w:pPr>
              <w:jc w:val="right"/>
              <w:rPr>
                <w:rFonts w:ascii="Arial" w:hAnsi="Arial" w:cs="Arial"/>
                <w:color w:val="000000"/>
              </w:rPr>
            </w:pPr>
            <w:r w:rsidRPr="00AD25A6">
              <w:rPr>
                <w:rFonts w:ascii="Arial" w:hAnsi="Arial" w:cs="Arial"/>
                <w:color w:val="000000"/>
              </w:rPr>
              <w:t>(1</w:t>
            </w:r>
            <w:r>
              <w:rPr>
                <w:rFonts w:ascii="Arial" w:hAnsi="Arial" w:cs="Arial"/>
                <w:color w:val="000000"/>
              </w:rPr>
              <w:t>19</w:t>
            </w:r>
            <w:r w:rsidRPr="00AD25A6">
              <w:rPr>
                <w:rFonts w:ascii="Arial" w:hAnsi="Arial" w:cs="Arial"/>
                <w:color w:val="000000"/>
              </w:rPr>
              <w:t>,</w:t>
            </w:r>
            <w:r>
              <w:rPr>
                <w:rFonts w:ascii="Arial" w:hAnsi="Arial" w:cs="Arial"/>
                <w:color w:val="000000"/>
              </w:rPr>
              <w:t>644</w:t>
            </w:r>
            <w:r w:rsidRPr="00AD25A6">
              <w:rPr>
                <w:rFonts w:ascii="Arial" w:hAnsi="Arial" w:cs="Arial"/>
                <w:color w:val="000000"/>
              </w:rPr>
              <w:t>)</w:t>
            </w:r>
          </w:p>
        </w:tc>
        <w:tc>
          <w:tcPr>
            <w:tcW w:w="1074" w:type="dxa"/>
            <w:tcBorders>
              <w:top w:val="nil"/>
              <w:left w:val="nil"/>
              <w:bottom w:val="single" w:sz="8" w:space="0" w:color="auto"/>
              <w:right w:val="single" w:sz="8" w:space="0" w:color="auto"/>
            </w:tcBorders>
            <w:shd w:val="clear" w:color="000000" w:fill="CCCCCC"/>
            <w:vAlign w:val="center"/>
            <w:hideMark/>
          </w:tcPr>
          <w:p w14:paraId="2B9823AA" w14:textId="74438D32" w:rsidR="009436E7" w:rsidRPr="00AD25A6" w:rsidRDefault="009436E7" w:rsidP="009436E7">
            <w:pPr>
              <w:jc w:val="right"/>
              <w:rPr>
                <w:rFonts w:ascii="Arial" w:hAnsi="Arial" w:cs="Arial"/>
              </w:rPr>
            </w:pPr>
            <w:r>
              <w:rPr>
                <w:rFonts w:ascii="Arial" w:hAnsi="Arial" w:cs="Arial"/>
              </w:rPr>
              <w:t>(126,564)</w:t>
            </w:r>
          </w:p>
        </w:tc>
        <w:tc>
          <w:tcPr>
            <w:tcW w:w="1455" w:type="dxa"/>
            <w:tcBorders>
              <w:top w:val="nil"/>
              <w:left w:val="nil"/>
              <w:bottom w:val="nil"/>
              <w:right w:val="nil"/>
            </w:tcBorders>
            <w:shd w:val="clear" w:color="000000" w:fill="FFFFFF"/>
            <w:vAlign w:val="center"/>
            <w:hideMark/>
          </w:tcPr>
          <w:p w14:paraId="069D0249" w14:textId="01293C86" w:rsidR="009436E7" w:rsidRPr="00AD25A6" w:rsidRDefault="009436E7" w:rsidP="009436E7">
            <w:pPr>
              <w:jc w:val="right"/>
              <w:rPr>
                <w:rFonts w:ascii="Arial" w:hAnsi="Arial" w:cs="Arial"/>
                <w:color w:val="000000"/>
              </w:rPr>
            </w:pPr>
            <w:r w:rsidRPr="00AD25A6">
              <w:rPr>
                <w:rFonts w:ascii="Arial" w:hAnsi="Arial" w:cs="Arial"/>
                <w:color w:val="000000"/>
              </w:rPr>
              <w:t>(</w:t>
            </w:r>
            <w:r>
              <w:rPr>
                <w:rFonts w:ascii="Arial" w:hAnsi="Arial" w:cs="Arial"/>
                <w:color w:val="000000"/>
              </w:rPr>
              <w:t>4</w:t>
            </w:r>
            <w:r w:rsidRPr="00AD25A6">
              <w:rPr>
                <w:rFonts w:ascii="Arial" w:hAnsi="Arial" w:cs="Arial"/>
                <w:color w:val="000000"/>
              </w:rPr>
              <w:t>,</w:t>
            </w:r>
            <w:r>
              <w:rPr>
                <w:rFonts w:ascii="Arial" w:hAnsi="Arial" w:cs="Arial"/>
                <w:color w:val="000000"/>
              </w:rPr>
              <w:t>289</w:t>
            </w:r>
            <w:r w:rsidRPr="00AD25A6">
              <w:rPr>
                <w:rFonts w:ascii="Arial" w:hAnsi="Arial" w:cs="Arial"/>
                <w:color w:val="000000"/>
              </w:rPr>
              <w:t>)</w:t>
            </w:r>
          </w:p>
        </w:tc>
        <w:tc>
          <w:tcPr>
            <w:tcW w:w="1601" w:type="dxa"/>
            <w:tcBorders>
              <w:top w:val="nil"/>
              <w:left w:val="nil"/>
              <w:bottom w:val="single" w:sz="8" w:space="0" w:color="auto"/>
              <w:right w:val="single" w:sz="8" w:space="0" w:color="auto"/>
            </w:tcBorders>
            <w:shd w:val="clear" w:color="000000" w:fill="CCCCCC"/>
            <w:vAlign w:val="center"/>
            <w:hideMark/>
          </w:tcPr>
          <w:p w14:paraId="506D4F9C" w14:textId="1F5D46F8" w:rsidR="009436E7" w:rsidRPr="00AD25A6" w:rsidRDefault="009436E7" w:rsidP="009436E7">
            <w:pPr>
              <w:jc w:val="right"/>
              <w:rPr>
                <w:rFonts w:ascii="Arial" w:hAnsi="Arial" w:cs="Arial"/>
              </w:rPr>
            </w:pPr>
            <w:r>
              <w:rPr>
                <w:rFonts w:ascii="Arial" w:hAnsi="Arial" w:cs="Arial"/>
              </w:rPr>
              <w:t>(4,469)</w:t>
            </w:r>
          </w:p>
        </w:tc>
      </w:tr>
      <w:tr w:rsidR="00AD25A6" w:rsidRPr="00AD25A6" w14:paraId="3DAEA2E8" w14:textId="77777777" w:rsidTr="009436E7">
        <w:trPr>
          <w:trHeight w:val="316"/>
        </w:trPr>
        <w:tc>
          <w:tcPr>
            <w:tcW w:w="5167" w:type="dxa"/>
            <w:tcBorders>
              <w:top w:val="nil"/>
              <w:left w:val="single" w:sz="8" w:space="0" w:color="auto"/>
              <w:bottom w:val="single" w:sz="8" w:space="0" w:color="auto"/>
              <w:right w:val="nil"/>
            </w:tcBorders>
            <w:shd w:val="clear" w:color="000000" w:fill="CCCCCC"/>
            <w:vAlign w:val="center"/>
            <w:hideMark/>
          </w:tcPr>
          <w:p w14:paraId="218A3215" w14:textId="77777777" w:rsidR="00AD25A6" w:rsidRPr="00AD25A6" w:rsidRDefault="00AD25A6" w:rsidP="00AD25A6">
            <w:pPr>
              <w:jc w:val="right"/>
              <w:rPr>
                <w:rFonts w:ascii="Arial" w:hAnsi="Arial" w:cs="Arial"/>
                <w:b/>
                <w:bCs/>
                <w:color w:val="000000"/>
              </w:rPr>
            </w:pPr>
            <w:r w:rsidRPr="00AD25A6">
              <w:rPr>
                <w:rFonts w:ascii="Arial" w:hAnsi="Arial" w:cs="Arial"/>
                <w:b/>
                <w:bCs/>
                <w:color w:val="000000"/>
              </w:rPr>
              <w:t>31-Mar</w:t>
            </w:r>
          </w:p>
        </w:tc>
        <w:tc>
          <w:tcPr>
            <w:tcW w:w="1382" w:type="dxa"/>
            <w:tcBorders>
              <w:top w:val="single" w:sz="8" w:space="0" w:color="auto"/>
              <w:left w:val="single" w:sz="8" w:space="0" w:color="auto"/>
              <w:bottom w:val="single" w:sz="8" w:space="0" w:color="auto"/>
              <w:right w:val="nil"/>
            </w:tcBorders>
            <w:shd w:val="clear" w:color="000000" w:fill="FFFFFF"/>
            <w:vAlign w:val="center"/>
            <w:hideMark/>
          </w:tcPr>
          <w:p w14:paraId="4DB022A6" w14:textId="77777777" w:rsidR="00AD25A6" w:rsidRPr="00AD25A6" w:rsidRDefault="00AD25A6" w:rsidP="00AD25A6">
            <w:pPr>
              <w:jc w:val="right"/>
              <w:rPr>
                <w:rFonts w:ascii="Arial" w:hAnsi="Arial" w:cs="Arial"/>
                <w:b/>
                <w:bCs/>
                <w:color w:val="000000"/>
              </w:rPr>
            </w:pPr>
            <w:r w:rsidRPr="00AD25A6">
              <w:rPr>
                <w:rFonts w:ascii="Arial" w:hAnsi="Arial" w:cs="Arial"/>
                <w:b/>
                <w:bCs/>
                <w:color w:val="000000"/>
              </w:rPr>
              <w:t>0</w:t>
            </w:r>
          </w:p>
        </w:tc>
        <w:tc>
          <w:tcPr>
            <w:tcW w:w="1074" w:type="dxa"/>
            <w:tcBorders>
              <w:top w:val="nil"/>
              <w:left w:val="nil"/>
              <w:bottom w:val="single" w:sz="8" w:space="0" w:color="auto"/>
              <w:right w:val="single" w:sz="8" w:space="0" w:color="auto"/>
            </w:tcBorders>
            <w:shd w:val="clear" w:color="000000" w:fill="CCCCCC"/>
            <w:vAlign w:val="center"/>
            <w:hideMark/>
          </w:tcPr>
          <w:p w14:paraId="792E1E08" w14:textId="77777777" w:rsidR="00AD25A6" w:rsidRPr="00AD25A6" w:rsidRDefault="00AD25A6" w:rsidP="00AD25A6">
            <w:pPr>
              <w:jc w:val="right"/>
              <w:rPr>
                <w:rFonts w:ascii="Arial" w:hAnsi="Arial" w:cs="Arial"/>
                <w:b/>
                <w:bCs/>
              </w:rPr>
            </w:pPr>
            <w:r w:rsidRPr="00AD25A6">
              <w:rPr>
                <w:rFonts w:ascii="Arial" w:hAnsi="Arial" w:cs="Arial"/>
                <w:b/>
                <w:bCs/>
              </w:rPr>
              <w:t>0</w:t>
            </w:r>
          </w:p>
        </w:tc>
        <w:tc>
          <w:tcPr>
            <w:tcW w:w="1455" w:type="dxa"/>
            <w:tcBorders>
              <w:top w:val="single" w:sz="8" w:space="0" w:color="auto"/>
              <w:left w:val="nil"/>
              <w:bottom w:val="single" w:sz="8" w:space="0" w:color="auto"/>
              <w:right w:val="nil"/>
            </w:tcBorders>
            <w:shd w:val="clear" w:color="000000" w:fill="FFFFFF"/>
            <w:vAlign w:val="center"/>
            <w:hideMark/>
          </w:tcPr>
          <w:p w14:paraId="7943100A" w14:textId="77777777" w:rsidR="00AD25A6" w:rsidRPr="00AD25A6" w:rsidRDefault="00AD25A6" w:rsidP="00AD25A6">
            <w:pPr>
              <w:jc w:val="right"/>
              <w:rPr>
                <w:rFonts w:ascii="Arial" w:hAnsi="Arial" w:cs="Arial"/>
                <w:b/>
                <w:bCs/>
                <w:color w:val="000000"/>
              </w:rPr>
            </w:pPr>
            <w:r w:rsidRPr="00AD25A6">
              <w:rPr>
                <w:rFonts w:ascii="Arial" w:hAnsi="Arial" w:cs="Arial"/>
                <w:b/>
                <w:bCs/>
                <w:color w:val="000000"/>
              </w:rPr>
              <w:t>0</w:t>
            </w:r>
          </w:p>
        </w:tc>
        <w:tc>
          <w:tcPr>
            <w:tcW w:w="1601" w:type="dxa"/>
            <w:tcBorders>
              <w:top w:val="nil"/>
              <w:left w:val="nil"/>
              <w:bottom w:val="single" w:sz="8" w:space="0" w:color="auto"/>
              <w:right w:val="single" w:sz="8" w:space="0" w:color="auto"/>
            </w:tcBorders>
            <w:shd w:val="clear" w:color="000000" w:fill="CCCCCC"/>
            <w:vAlign w:val="center"/>
            <w:hideMark/>
          </w:tcPr>
          <w:p w14:paraId="1CCB48A5" w14:textId="77777777" w:rsidR="00AD25A6" w:rsidRPr="00AD25A6" w:rsidRDefault="00AD25A6" w:rsidP="00AD25A6">
            <w:pPr>
              <w:jc w:val="right"/>
              <w:rPr>
                <w:rFonts w:ascii="Arial" w:hAnsi="Arial" w:cs="Arial"/>
                <w:b/>
                <w:bCs/>
              </w:rPr>
            </w:pPr>
            <w:r w:rsidRPr="00AD25A6">
              <w:rPr>
                <w:rFonts w:ascii="Arial" w:hAnsi="Arial" w:cs="Arial"/>
                <w:b/>
                <w:bCs/>
              </w:rPr>
              <w:t>0</w:t>
            </w:r>
          </w:p>
        </w:tc>
      </w:tr>
    </w:tbl>
    <w:p w14:paraId="0DB7FB56" w14:textId="77777777" w:rsidR="003B74DA" w:rsidRPr="00645FC2" w:rsidRDefault="003B74DA" w:rsidP="00735D9D">
      <w:pPr>
        <w:tabs>
          <w:tab w:val="left" w:pos="426"/>
        </w:tabs>
        <w:rPr>
          <w:rFonts w:ascii="Arial" w:hAnsi="Arial"/>
          <w:sz w:val="22"/>
          <w:szCs w:val="22"/>
          <w:highlight w:val="yellow"/>
        </w:rPr>
      </w:pPr>
    </w:p>
    <w:p w14:paraId="53AB73FE" w14:textId="77777777" w:rsidR="009C1CE2" w:rsidRDefault="009C1CE2">
      <w:pPr>
        <w:rPr>
          <w:rFonts w:ascii="Arial" w:hAnsi="Arial" w:cs="Arial"/>
          <w:b/>
          <w:sz w:val="22"/>
          <w:szCs w:val="22"/>
        </w:rPr>
      </w:pPr>
      <w:r>
        <w:rPr>
          <w:rFonts w:ascii="Arial" w:hAnsi="Arial" w:cs="Arial"/>
          <w:b/>
          <w:sz w:val="22"/>
          <w:szCs w:val="22"/>
        </w:rPr>
        <w:br w:type="page"/>
      </w:r>
    </w:p>
    <w:p w14:paraId="761C6948" w14:textId="648B6B97" w:rsidR="003B74DA" w:rsidRPr="00E66B2D" w:rsidRDefault="003B74DA" w:rsidP="004D5349">
      <w:pPr>
        <w:rPr>
          <w:rFonts w:ascii="Arial" w:hAnsi="Arial" w:cs="Arial"/>
          <w:b/>
          <w:sz w:val="22"/>
          <w:szCs w:val="22"/>
        </w:rPr>
      </w:pPr>
      <w:r w:rsidRPr="00E66B2D">
        <w:rPr>
          <w:rFonts w:ascii="Arial" w:hAnsi="Arial" w:cs="Arial"/>
          <w:b/>
          <w:sz w:val="22"/>
          <w:szCs w:val="22"/>
        </w:rPr>
        <w:lastRenderedPageBreak/>
        <w:t>Local Government Pension Scheme assets for the PCC Group comprised:</w:t>
      </w:r>
    </w:p>
    <w:p w14:paraId="2D97EC82" w14:textId="77777777" w:rsidR="00735D9D" w:rsidRPr="00645FC2" w:rsidRDefault="00735D9D" w:rsidP="003B74DA">
      <w:pPr>
        <w:tabs>
          <w:tab w:val="left" w:pos="426"/>
        </w:tabs>
        <w:ind w:left="426"/>
        <w:rPr>
          <w:rFonts w:ascii="Arial" w:hAnsi="Arial" w:cs="Arial"/>
          <w:b/>
          <w:sz w:val="22"/>
          <w:szCs w:val="22"/>
          <w:highlight w:val="yellow"/>
        </w:rPr>
      </w:pPr>
    </w:p>
    <w:tbl>
      <w:tblPr>
        <w:tblW w:w="9800" w:type="dxa"/>
        <w:tblLook w:val="04A0" w:firstRow="1" w:lastRow="0" w:firstColumn="1" w:lastColumn="0" w:noHBand="0" w:noVBand="1"/>
      </w:tblPr>
      <w:tblGrid>
        <w:gridCol w:w="3820"/>
        <w:gridCol w:w="1260"/>
        <w:gridCol w:w="1180"/>
        <w:gridCol w:w="1160"/>
        <w:gridCol w:w="1180"/>
        <w:gridCol w:w="1200"/>
      </w:tblGrid>
      <w:tr w:rsidR="002D7752" w:rsidRPr="00E66B2D" w14:paraId="265ABBCE" w14:textId="77777777" w:rsidTr="00E66B2D">
        <w:trPr>
          <w:trHeight w:val="600"/>
        </w:trPr>
        <w:tc>
          <w:tcPr>
            <w:tcW w:w="3820" w:type="dxa"/>
            <w:tcBorders>
              <w:top w:val="single" w:sz="8" w:space="0" w:color="auto"/>
              <w:left w:val="single" w:sz="8" w:space="0" w:color="auto"/>
              <w:bottom w:val="nil"/>
              <w:right w:val="nil"/>
            </w:tcBorders>
            <w:shd w:val="clear" w:color="000000" w:fill="CCCCCC"/>
            <w:vAlign w:val="center"/>
            <w:hideMark/>
          </w:tcPr>
          <w:p w14:paraId="35C92660" w14:textId="77777777" w:rsidR="00E66B2D" w:rsidRPr="00E66B2D" w:rsidRDefault="00E66B2D" w:rsidP="00E66B2D">
            <w:pPr>
              <w:rPr>
                <w:rFonts w:ascii="Arial" w:hAnsi="Arial" w:cs="Arial"/>
                <w:sz w:val="22"/>
                <w:szCs w:val="22"/>
              </w:rPr>
            </w:pPr>
            <w:bookmarkStart w:id="37" w:name="RANGE!A170"/>
            <w:r w:rsidRPr="00E66B2D">
              <w:rPr>
                <w:rFonts w:ascii="Arial" w:hAnsi="Arial" w:cs="Arial"/>
                <w:sz w:val="22"/>
                <w:szCs w:val="22"/>
              </w:rPr>
              <w:t> </w:t>
            </w:r>
            <w:bookmarkEnd w:id="37"/>
          </w:p>
        </w:tc>
        <w:tc>
          <w:tcPr>
            <w:tcW w:w="1260" w:type="dxa"/>
            <w:tcBorders>
              <w:top w:val="single" w:sz="8" w:space="0" w:color="auto"/>
              <w:left w:val="nil"/>
              <w:bottom w:val="nil"/>
              <w:right w:val="nil"/>
            </w:tcBorders>
            <w:shd w:val="clear" w:color="000000" w:fill="CCCCCC"/>
            <w:vAlign w:val="center"/>
            <w:hideMark/>
          </w:tcPr>
          <w:p w14:paraId="00D2003A" w14:textId="77777777" w:rsidR="00E66B2D" w:rsidRPr="00E66B2D" w:rsidRDefault="00E66B2D" w:rsidP="00E66B2D">
            <w:pPr>
              <w:rPr>
                <w:rFonts w:ascii="Arial" w:hAnsi="Arial" w:cs="Arial"/>
                <w:sz w:val="22"/>
                <w:szCs w:val="22"/>
              </w:rPr>
            </w:pPr>
            <w:r w:rsidRPr="00E66B2D">
              <w:rPr>
                <w:rFonts w:ascii="Arial" w:hAnsi="Arial" w:cs="Arial"/>
                <w:sz w:val="22"/>
                <w:szCs w:val="22"/>
              </w:rPr>
              <w:t> </w:t>
            </w:r>
          </w:p>
        </w:tc>
        <w:tc>
          <w:tcPr>
            <w:tcW w:w="1180" w:type="dxa"/>
            <w:tcBorders>
              <w:top w:val="single" w:sz="8" w:space="0" w:color="auto"/>
              <w:left w:val="nil"/>
              <w:bottom w:val="nil"/>
              <w:right w:val="nil"/>
            </w:tcBorders>
            <w:shd w:val="clear" w:color="000000" w:fill="CCCCCC"/>
            <w:vAlign w:val="center"/>
            <w:hideMark/>
          </w:tcPr>
          <w:p w14:paraId="135F7243" w14:textId="77777777" w:rsidR="00E66B2D" w:rsidRPr="00E66B2D" w:rsidRDefault="00E66B2D" w:rsidP="00E66B2D">
            <w:pPr>
              <w:rPr>
                <w:rFonts w:ascii="Arial" w:hAnsi="Arial" w:cs="Arial"/>
                <w:sz w:val="22"/>
                <w:szCs w:val="22"/>
              </w:rPr>
            </w:pPr>
            <w:r w:rsidRPr="00E66B2D">
              <w:rPr>
                <w:rFonts w:ascii="Arial" w:hAnsi="Arial" w:cs="Arial"/>
                <w:sz w:val="22"/>
                <w:szCs w:val="22"/>
              </w:rPr>
              <w:t> </w:t>
            </w:r>
          </w:p>
        </w:tc>
        <w:tc>
          <w:tcPr>
            <w:tcW w:w="1160" w:type="dxa"/>
            <w:tcBorders>
              <w:top w:val="single" w:sz="8" w:space="0" w:color="auto"/>
              <w:left w:val="nil"/>
              <w:bottom w:val="nil"/>
              <w:right w:val="nil"/>
            </w:tcBorders>
            <w:shd w:val="clear" w:color="000000" w:fill="CCCCCC"/>
            <w:vAlign w:val="center"/>
            <w:hideMark/>
          </w:tcPr>
          <w:p w14:paraId="4FAF28DD"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Fair Value Input Level</w:t>
            </w:r>
          </w:p>
        </w:tc>
        <w:tc>
          <w:tcPr>
            <w:tcW w:w="1180" w:type="dxa"/>
            <w:tcBorders>
              <w:top w:val="single" w:sz="8" w:space="0" w:color="auto"/>
              <w:left w:val="nil"/>
              <w:bottom w:val="nil"/>
              <w:right w:val="nil"/>
            </w:tcBorders>
            <w:shd w:val="clear" w:color="000000" w:fill="FFFFFF"/>
            <w:vAlign w:val="center"/>
            <w:hideMark/>
          </w:tcPr>
          <w:p w14:paraId="0DBF984B" w14:textId="199E5EE4"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31</w:t>
            </w:r>
            <w:r w:rsidR="005402CE">
              <w:rPr>
                <w:rFonts w:ascii="Arial" w:hAnsi="Arial" w:cs="Arial"/>
                <w:b/>
                <w:bCs/>
                <w:sz w:val="22"/>
                <w:szCs w:val="22"/>
              </w:rPr>
              <w:t>/03/</w:t>
            </w:r>
            <w:r w:rsidRPr="00E66B2D">
              <w:rPr>
                <w:rFonts w:ascii="Arial" w:hAnsi="Arial" w:cs="Arial"/>
                <w:b/>
                <w:bCs/>
                <w:sz w:val="22"/>
                <w:szCs w:val="22"/>
              </w:rPr>
              <w:t>2</w:t>
            </w:r>
            <w:r w:rsidR="002D7752">
              <w:rPr>
                <w:rFonts w:ascii="Arial" w:hAnsi="Arial" w:cs="Arial"/>
                <w:b/>
                <w:bCs/>
                <w:sz w:val="22"/>
                <w:szCs w:val="22"/>
              </w:rPr>
              <w:t>4</w:t>
            </w:r>
          </w:p>
        </w:tc>
        <w:tc>
          <w:tcPr>
            <w:tcW w:w="1200" w:type="dxa"/>
            <w:tcBorders>
              <w:top w:val="single" w:sz="8" w:space="0" w:color="auto"/>
              <w:left w:val="nil"/>
              <w:bottom w:val="nil"/>
              <w:right w:val="single" w:sz="8" w:space="0" w:color="auto"/>
            </w:tcBorders>
            <w:shd w:val="clear" w:color="000000" w:fill="CCCCCC"/>
            <w:vAlign w:val="center"/>
            <w:hideMark/>
          </w:tcPr>
          <w:p w14:paraId="0A42238E" w14:textId="093A8659" w:rsidR="00E66B2D" w:rsidRPr="00E66B2D" w:rsidRDefault="005402CE" w:rsidP="00E66B2D">
            <w:pPr>
              <w:jc w:val="right"/>
              <w:rPr>
                <w:rFonts w:ascii="Arial" w:hAnsi="Arial" w:cs="Arial"/>
                <w:b/>
                <w:bCs/>
                <w:color w:val="000000"/>
                <w:sz w:val="22"/>
                <w:szCs w:val="22"/>
              </w:rPr>
            </w:pPr>
            <w:r>
              <w:rPr>
                <w:rFonts w:ascii="Arial" w:hAnsi="Arial" w:cs="Arial"/>
                <w:b/>
                <w:bCs/>
                <w:color w:val="000000"/>
                <w:sz w:val="22"/>
                <w:szCs w:val="22"/>
              </w:rPr>
              <w:t>31/03/25</w:t>
            </w:r>
          </w:p>
        </w:tc>
      </w:tr>
      <w:tr w:rsidR="002D7752" w:rsidRPr="00E66B2D" w14:paraId="26CDB6F9"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01E390AD" w14:textId="77777777" w:rsidR="00E66B2D" w:rsidRPr="00E66B2D" w:rsidRDefault="00E66B2D" w:rsidP="00E66B2D">
            <w:pPr>
              <w:rPr>
                <w:rFonts w:ascii="Arial" w:hAnsi="Arial" w:cs="Arial"/>
                <w:sz w:val="22"/>
                <w:szCs w:val="22"/>
              </w:rPr>
            </w:pPr>
            <w:r w:rsidRPr="00E66B2D">
              <w:rPr>
                <w:rFonts w:ascii="Arial" w:hAnsi="Arial" w:cs="Arial"/>
                <w:sz w:val="22"/>
                <w:szCs w:val="22"/>
              </w:rPr>
              <w:t> </w:t>
            </w:r>
          </w:p>
        </w:tc>
        <w:tc>
          <w:tcPr>
            <w:tcW w:w="1260" w:type="dxa"/>
            <w:tcBorders>
              <w:top w:val="nil"/>
              <w:left w:val="nil"/>
              <w:bottom w:val="nil"/>
              <w:right w:val="nil"/>
            </w:tcBorders>
            <w:shd w:val="clear" w:color="000000" w:fill="CCCCCC"/>
            <w:vAlign w:val="center"/>
            <w:hideMark/>
          </w:tcPr>
          <w:p w14:paraId="1231F13A" w14:textId="77777777" w:rsidR="00E66B2D" w:rsidRPr="00E66B2D" w:rsidRDefault="00E66B2D" w:rsidP="00E66B2D">
            <w:pPr>
              <w:rPr>
                <w:rFonts w:ascii="Arial" w:hAnsi="Arial" w:cs="Arial"/>
                <w:sz w:val="22"/>
                <w:szCs w:val="22"/>
              </w:rPr>
            </w:pPr>
            <w:r w:rsidRPr="00E66B2D">
              <w:rPr>
                <w:rFonts w:ascii="Arial" w:hAnsi="Arial" w:cs="Arial"/>
                <w:sz w:val="22"/>
                <w:szCs w:val="22"/>
              </w:rPr>
              <w:t> </w:t>
            </w:r>
          </w:p>
        </w:tc>
        <w:tc>
          <w:tcPr>
            <w:tcW w:w="1180" w:type="dxa"/>
            <w:tcBorders>
              <w:top w:val="nil"/>
              <w:left w:val="nil"/>
              <w:bottom w:val="nil"/>
              <w:right w:val="nil"/>
            </w:tcBorders>
            <w:shd w:val="clear" w:color="000000" w:fill="CCCCCC"/>
            <w:vAlign w:val="center"/>
            <w:hideMark/>
          </w:tcPr>
          <w:p w14:paraId="20FFF047" w14:textId="77777777" w:rsidR="00E66B2D" w:rsidRPr="00E66B2D" w:rsidRDefault="00E66B2D" w:rsidP="00E66B2D">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15B192BC" w14:textId="77777777" w:rsidR="00E66B2D" w:rsidRPr="00E66B2D" w:rsidRDefault="00E66B2D" w:rsidP="00E66B2D">
            <w:pPr>
              <w:jc w:val="right"/>
              <w:rPr>
                <w:rFonts w:ascii="Arial" w:hAnsi="Arial" w:cs="Arial"/>
                <w:color w:val="000000"/>
                <w:sz w:val="18"/>
                <w:szCs w:val="18"/>
              </w:rPr>
            </w:pPr>
            <w:r w:rsidRPr="00E66B2D">
              <w:rPr>
                <w:rFonts w:ascii="Arial" w:hAnsi="Arial" w:cs="Arial"/>
                <w:color w:val="000000"/>
                <w:sz w:val="18"/>
                <w:szCs w:val="18"/>
              </w:rPr>
              <w:t>(if relevant)</w:t>
            </w:r>
          </w:p>
        </w:tc>
        <w:tc>
          <w:tcPr>
            <w:tcW w:w="1180" w:type="dxa"/>
            <w:tcBorders>
              <w:top w:val="nil"/>
              <w:left w:val="nil"/>
              <w:bottom w:val="nil"/>
              <w:right w:val="nil"/>
            </w:tcBorders>
            <w:shd w:val="clear" w:color="000000" w:fill="FFFFFF"/>
            <w:vAlign w:val="center"/>
            <w:hideMark/>
          </w:tcPr>
          <w:p w14:paraId="5856FFF3"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£,000</w:t>
            </w:r>
          </w:p>
        </w:tc>
        <w:tc>
          <w:tcPr>
            <w:tcW w:w="1200" w:type="dxa"/>
            <w:tcBorders>
              <w:top w:val="nil"/>
              <w:left w:val="nil"/>
              <w:bottom w:val="nil"/>
              <w:right w:val="single" w:sz="8" w:space="0" w:color="auto"/>
            </w:tcBorders>
            <w:shd w:val="clear" w:color="000000" w:fill="CCCCCC"/>
            <w:vAlign w:val="center"/>
            <w:hideMark/>
          </w:tcPr>
          <w:p w14:paraId="1CA5FC53"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£,000</w:t>
            </w:r>
          </w:p>
        </w:tc>
      </w:tr>
      <w:tr w:rsidR="002D7752" w:rsidRPr="00E66B2D" w14:paraId="57827713"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3CF1387D" w14:textId="77777777" w:rsidR="00E66B2D" w:rsidRPr="00E66B2D" w:rsidRDefault="00E66B2D" w:rsidP="00E66B2D">
            <w:pPr>
              <w:rPr>
                <w:rFonts w:ascii="Arial" w:hAnsi="Arial" w:cs="Arial"/>
                <w:b/>
                <w:bCs/>
                <w:sz w:val="22"/>
                <w:szCs w:val="22"/>
              </w:rPr>
            </w:pPr>
            <w:r w:rsidRPr="00E66B2D">
              <w:rPr>
                <w:rFonts w:ascii="Arial" w:hAnsi="Arial" w:cs="Arial"/>
                <w:b/>
                <w:bCs/>
                <w:sz w:val="22"/>
                <w:szCs w:val="22"/>
              </w:rPr>
              <w:t> </w:t>
            </w:r>
          </w:p>
        </w:tc>
        <w:tc>
          <w:tcPr>
            <w:tcW w:w="1260" w:type="dxa"/>
            <w:tcBorders>
              <w:top w:val="nil"/>
              <w:left w:val="nil"/>
              <w:bottom w:val="nil"/>
              <w:right w:val="nil"/>
            </w:tcBorders>
            <w:shd w:val="clear" w:color="000000" w:fill="CCCCCC"/>
            <w:vAlign w:val="center"/>
            <w:hideMark/>
          </w:tcPr>
          <w:p w14:paraId="0D10D893" w14:textId="77777777" w:rsidR="00E66B2D" w:rsidRPr="00E66B2D" w:rsidRDefault="00E66B2D" w:rsidP="00E66B2D">
            <w:pP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CCCCCC"/>
            <w:vAlign w:val="center"/>
            <w:hideMark/>
          </w:tcPr>
          <w:p w14:paraId="5A51259D" w14:textId="77777777" w:rsidR="00E66B2D" w:rsidRPr="00E66B2D" w:rsidRDefault="00E66B2D" w:rsidP="00E66B2D">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761CEA4C"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4E5565E3" w14:textId="77777777" w:rsidR="00E66B2D" w:rsidRPr="00E66B2D" w:rsidRDefault="00E66B2D" w:rsidP="00E66B2D">
            <w:pPr>
              <w:jc w:val="center"/>
              <w:rPr>
                <w:rFonts w:ascii="Arial" w:hAnsi="Arial" w:cs="Arial"/>
                <w:b/>
                <w:bCs/>
                <w:sz w:val="22"/>
                <w:szCs w:val="22"/>
              </w:rPr>
            </w:pPr>
            <w:r w:rsidRPr="00E66B2D">
              <w:rPr>
                <w:rFonts w:ascii="Arial" w:hAnsi="Arial" w:cs="Arial"/>
                <w:b/>
                <w:bCs/>
                <w:sz w:val="22"/>
                <w:szCs w:val="22"/>
              </w:rPr>
              <w:t> </w:t>
            </w:r>
          </w:p>
        </w:tc>
        <w:tc>
          <w:tcPr>
            <w:tcW w:w="1200" w:type="dxa"/>
            <w:tcBorders>
              <w:top w:val="nil"/>
              <w:left w:val="nil"/>
              <w:bottom w:val="nil"/>
              <w:right w:val="single" w:sz="8" w:space="0" w:color="auto"/>
            </w:tcBorders>
            <w:shd w:val="clear" w:color="000000" w:fill="CCCCCC"/>
            <w:vAlign w:val="center"/>
            <w:hideMark/>
          </w:tcPr>
          <w:p w14:paraId="3D328E1B" w14:textId="77777777" w:rsidR="00E66B2D" w:rsidRPr="00E66B2D" w:rsidRDefault="00E66B2D" w:rsidP="00E66B2D">
            <w:pPr>
              <w:jc w:val="center"/>
              <w:rPr>
                <w:rFonts w:ascii="Arial" w:hAnsi="Arial" w:cs="Arial"/>
                <w:b/>
                <w:bCs/>
                <w:sz w:val="22"/>
                <w:szCs w:val="22"/>
              </w:rPr>
            </w:pPr>
            <w:r w:rsidRPr="00E66B2D">
              <w:rPr>
                <w:rFonts w:ascii="Arial" w:hAnsi="Arial" w:cs="Arial"/>
                <w:b/>
                <w:bCs/>
                <w:sz w:val="22"/>
                <w:szCs w:val="22"/>
              </w:rPr>
              <w:t> </w:t>
            </w:r>
          </w:p>
        </w:tc>
      </w:tr>
      <w:tr w:rsidR="009436E7" w:rsidRPr="00E66B2D" w14:paraId="521057B7"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431F08DE"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Cash and Cash Equivalents</w:t>
            </w:r>
          </w:p>
        </w:tc>
        <w:tc>
          <w:tcPr>
            <w:tcW w:w="1260" w:type="dxa"/>
            <w:tcBorders>
              <w:top w:val="nil"/>
              <w:left w:val="nil"/>
              <w:bottom w:val="nil"/>
              <w:right w:val="nil"/>
            </w:tcBorders>
            <w:shd w:val="clear" w:color="000000" w:fill="CCCCCC"/>
            <w:vAlign w:val="center"/>
            <w:hideMark/>
          </w:tcPr>
          <w:p w14:paraId="18A3F4E2"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64F63979"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5507B9B6" w14:textId="77777777" w:rsidR="009436E7" w:rsidRPr="00E66B2D" w:rsidRDefault="009436E7" w:rsidP="009436E7">
            <w:pPr>
              <w:jc w:val="right"/>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246C6465" w14:textId="75ADF3CE" w:rsidR="009436E7" w:rsidRPr="00E66B2D" w:rsidRDefault="009436E7" w:rsidP="009436E7">
            <w:pPr>
              <w:jc w:val="right"/>
              <w:rPr>
                <w:rFonts w:ascii="Arial" w:hAnsi="Arial" w:cs="Arial"/>
                <w:b/>
                <w:bCs/>
                <w:sz w:val="22"/>
                <w:szCs w:val="22"/>
              </w:rPr>
            </w:pPr>
            <w:r>
              <w:rPr>
                <w:rFonts w:ascii="Arial" w:hAnsi="Arial" w:cs="Arial"/>
                <w:b/>
                <w:bCs/>
                <w:sz w:val="22"/>
                <w:szCs w:val="22"/>
              </w:rPr>
              <w:t>11</w:t>
            </w:r>
            <w:r w:rsidRPr="00E66B2D">
              <w:rPr>
                <w:rFonts w:ascii="Arial" w:hAnsi="Arial" w:cs="Arial"/>
                <w:b/>
                <w:bCs/>
                <w:sz w:val="22"/>
                <w:szCs w:val="22"/>
              </w:rPr>
              <w:t>,</w:t>
            </w:r>
            <w:r>
              <w:rPr>
                <w:rFonts w:ascii="Arial" w:hAnsi="Arial" w:cs="Arial"/>
                <w:b/>
                <w:bCs/>
                <w:sz w:val="22"/>
                <w:szCs w:val="22"/>
              </w:rPr>
              <w:t>17</w:t>
            </w:r>
            <w:r w:rsidR="005402CE">
              <w:rPr>
                <w:rFonts w:ascii="Arial" w:hAnsi="Arial" w:cs="Arial"/>
                <w:b/>
                <w:bCs/>
                <w:sz w:val="22"/>
                <w:szCs w:val="22"/>
              </w:rPr>
              <w:t>5</w:t>
            </w:r>
          </w:p>
        </w:tc>
        <w:tc>
          <w:tcPr>
            <w:tcW w:w="1200" w:type="dxa"/>
            <w:tcBorders>
              <w:top w:val="nil"/>
              <w:left w:val="nil"/>
              <w:bottom w:val="nil"/>
              <w:right w:val="single" w:sz="8" w:space="0" w:color="auto"/>
            </w:tcBorders>
            <w:shd w:val="clear" w:color="000000" w:fill="CCCCCC"/>
            <w:vAlign w:val="center"/>
            <w:hideMark/>
          </w:tcPr>
          <w:p w14:paraId="6D543208" w14:textId="1B396438" w:rsidR="009436E7" w:rsidRPr="00E66B2D" w:rsidRDefault="009436E7" w:rsidP="009436E7">
            <w:pPr>
              <w:jc w:val="right"/>
              <w:rPr>
                <w:rFonts w:ascii="Arial" w:hAnsi="Arial" w:cs="Arial"/>
                <w:b/>
                <w:bCs/>
                <w:sz w:val="22"/>
                <w:szCs w:val="22"/>
              </w:rPr>
            </w:pPr>
            <w:r>
              <w:rPr>
                <w:rFonts w:ascii="Arial" w:hAnsi="Arial" w:cs="Arial"/>
                <w:b/>
                <w:bCs/>
                <w:sz w:val="22"/>
                <w:szCs w:val="22"/>
              </w:rPr>
              <w:t>9,103</w:t>
            </w:r>
          </w:p>
        </w:tc>
      </w:tr>
      <w:tr w:rsidR="009436E7" w:rsidRPr="00E66B2D" w14:paraId="0AAF9266"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5801D63B"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Equities</w:t>
            </w:r>
          </w:p>
        </w:tc>
        <w:tc>
          <w:tcPr>
            <w:tcW w:w="1260" w:type="dxa"/>
            <w:tcBorders>
              <w:top w:val="nil"/>
              <w:left w:val="nil"/>
              <w:bottom w:val="nil"/>
              <w:right w:val="nil"/>
            </w:tcBorders>
            <w:shd w:val="clear" w:color="000000" w:fill="CCCCCC"/>
            <w:vAlign w:val="center"/>
            <w:hideMark/>
          </w:tcPr>
          <w:p w14:paraId="59846B9A"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4820C870"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2CB65432" w14:textId="77777777" w:rsidR="009436E7" w:rsidRPr="00E66B2D" w:rsidRDefault="009436E7" w:rsidP="009436E7">
            <w:pPr>
              <w:jc w:val="right"/>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69C8BE08" w14:textId="4ADC1213" w:rsidR="009436E7" w:rsidRPr="00E66B2D" w:rsidRDefault="009436E7" w:rsidP="009436E7">
            <w:pPr>
              <w:jc w:val="right"/>
              <w:rPr>
                <w:rFonts w:ascii="Arial" w:hAnsi="Arial" w:cs="Arial"/>
                <w:b/>
                <w:bCs/>
                <w:sz w:val="22"/>
                <w:szCs w:val="22"/>
              </w:rPr>
            </w:pPr>
            <w:r w:rsidRPr="00E66B2D">
              <w:rPr>
                <w:rFonts w:ascii="Arial" w:hAnsi="Arial" w:cs="Arial"/>
                <w:b/>
                <w:bCs/>
                <w:sz w:val="22"/>
                <w:szCs w:val="22"/>
              </w:rPr>
              <w:t>6</w:t>
            </w:r>
            <w:r>
              <w:rPr>
                <w:rFonts w:ascii="Arial" w:hAnsi="Arial" w:cs="Arial"/>
                <w:b/>
                <w:bCs/>
                <w:sz w:val="22"/>
                <w:szCs w:val="22"/>
              </w:rPr>
              <w:t>64</w:t>
            </w:r>
          </w:p>
        </w:tc>
        <w:tc>
          <w:tcPr>
            <w:tcW w:w="1200" w:type="dxa"/>
            <w:tcBorders>
              <w:top w:val="nil"/>
              <w:left w:val="nil"/>
              <w:bottom w:val="nil"/>
              <w:right w:val="single" w:sz="8" w:space="0" w:color="auto"/>
            </w:tcBorders>
            <w:shd w:val="clear" w:color="000000" w:fill="CCCCCC"/>
            <w:vAlign w:val="center"/>
            <w:hideMark/>
          </w:tcPr>
          <w:p w14:paraId="552F17C4" w14:textId="6FB596DA" w:rsidR="009436E7" w:rsidRPr="00E66B2D" w:rsidRDefault="009436E7" w:rsidP="009436E7">
            <w:pPr>
              <w:jc w:val="right"/>
              <w:rPr>
                <w:rFonts w:ascii="Arial" w:hAnsi="Arial" w:cs="Arial"/>
                <w:b/>
                <w:bCs/>
                <w:sz w:val="22"/>
                <w:szCs w:val="22"/>
              </w:rPr>
            </w:pPr>
            <w:r>
              <w:rPr>
                <w:rFonts w:ascii="Arial" w:hAnsi="Arial" w:cs="Arial"/>
                <w:b/>
                <w:bCs/>
                <w:sz w:val="22"/>
                <w:szCs w:val="22"/>
              </w:rPr>
              <w:t>614</w:t>
            </w:r>
          </w:p>
        </w:tc>
      </w:tr>
      <w:tr w:rsidR="009436E7" w:rsidRPr="00E66B2D" w14:paraId="2C7724C3"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0C8FFE84"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60" w:type="dxa"/>
            <w:tcBorders>
              <w:top w:val="nil"/>
              <w:left w:val="nil"/>
              <w:bottom w:val="nil"/>
              <w:right w:val="nil"/>
            </w:tcBorders>
            <w:shd w:val="clear" w:color="000000" w:fill="CCCCCC"/>
            <w:vAlign w:val="center"/>
            <w:hideMark/>
          </w:tcPr>
          <w:p w14:paraId="0B23CEEB"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80" w:type="dxa"/>
            <w:tcBorders>
              <w:top w:val="nil"/>
              <w:left w:val="nil"/>
              <w:bottom w:val="nil"/>
              <w:right w:val="nil"/>
            </w:tcBorders>
            <w:shd w:val="clear" w:color="000000" w:fill="CCCCCC"/>
            <w:vAlign w:val="center"/>
            <w:hideMark/>
          </w:tcPr>
          <w:p w14:paraId="77C5D35A"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7B4A168F" w14:textId="77777777" w:rsidR="009436E7" w:rsidRPr="00E66B2D" w:rsidRDefault="009436E7" w:rsidP="009436E7">
            <w:pPr>
              <w:jc w:val="right"/>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64505752"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7932C9DD" w14:textId="711B4329" w:rsidR="009436E7" w:rsidRPr="00E66B2D" w:rsidRDefault="009436E7" w:rsidP="009436E7">
            <w:pPr>
              <w:rPr>
                <w:rFonts w:ascii="Arial" w:hAnsi="Arial" w:cs="Arial"/>
                <w:b/>
                <w:bCs/>
                <w:sz w:val="22"/>
                <w:szCs w:val="22"/>
              </w:rPr>
            </w:pPr>
            <w:r>
              <w:rPr>
                <w:rFonts w:ascii="Arial" w:hAnsi="Arial" w:cs="Arial"/>
                <w:b/>
                <w:bCs/>
                <w:sz w:val="22"/>
                <w:szCs w:val="22"/>
              </w:rPr>
              <w:t> </w:t>
            </w:r>
          </w:p>
        </w:tc>
      </w:tr>
      <w:tr w:rsidR="009436E7" w:rsidRPr="00E66B2D" w14:paraId="13C2244C"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71CA21E1"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Bonds</w:t>
            </w:r>
          </w:p>
        </w:tc>
        <w:tc>
          <w:tcPr>
            <w:tcW w:w="1260" w:type="dxa"/>
            <w:tcBorders>
              <w:top w:val="nil"/>
              <w:left w:val="nil"/>
              <w:bottom w:val="nil"/>
              <w:right w:val="nil"/>
            </w:tcBorders>
            <w:shd w:val="clear" w:color="000000" w:fill="CCCCCC"/>
            <w:vAlign w:val="center"/>
            <w:hideMark/>
          </w:tcPr>
          <w:p w14:paraId="7282BB28"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1C52E8A4"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33B39FD7"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0D07C0CB"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7D7BDC5F" w14:textId="342AFF36" w:rsidR="009436E7" w:rsidRPr="00E66B2D" w:rsidRDefault="009436E7" w:rsidP="009436E7">
            <w:pPr>
              <w:rPr>
                <w:rFonts w:ascii="Arial" w:hAnsi="Arial" w:cs="Arial"/>
                <w:b/>
                <w:bCs/>
                <w:sz w:val="22"/>
                <w:szCs w:val="22"/>
              </w:rPr>
            </w:pPr>
            <w:r>
              <w:rPr>
                <w:rFonts w:ascii="Arial" w:hAnsi="Arial" w:cs="Arial"/>
                <w:b/>
                <w:bCs/>
                <w:sz w:val="22"/>
                <w:szCs w:val="22"/>
              </w:rPr>
              <w:t> </w:t>
            </w:r>
          </w:p>
        </w:tc>
      </w:tr>
      <w:tr w:rsidR="009436E7" w:rsidRPr="00E66B2D" w14:paraId="415402D3"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19F72DC9" w14:textId="77777777" w:rsidR="009436E7" w:rsidRPr="00E66B2D" w:rsidRDefault="009436E7" w:rsidP="009436E7">
            <w:pPr>
              <w:rPr>
                <w:rFonts w:ascii="Arial" w:hAnsi="Arial" w:cs="Arial"/>
                <w:color w:val="000000"/>
                <w:sz w:val="22"/>
                <w:szCs w:val="22"/>
                <w:u w:val="single"/>
              </w:rPr>
            </w:pPr>
            <w:r w:rsidRPr="00E66B2D">
              <w:rPr>
                <w:rFonts w:ascii="Arial" w:hAnsi="Arial" w:cs="Arial"/>
                <w:color w:val="000000"/>
                <w:sz w:val="22"/>
                <w:szCs w:val="22"/>
                <w:u w:val="single"/>
              </w:rPr>
              <w:t>By Sector</w:t>
            </w:r>
          </w:p>
        </w:tc>
        <w:tc>
          <w:tcPr>
            <w:tcW w:w="1260" w:type="dxa"/>
            <w:tcBorders>
              <w:top w:val="nil"/>
              <w:left w:val="nil"/>
              <w:bottom w:val="nil"/>
              <w:right w:val="nil"/>
            </w:tcBorders>
            <w:shd w:val="clear" w:color="000000" w:fill="CCCCCC"/>
            <w:vAlign w:val="center"/>
            <w:hideMark/>
          </w:tcPr>
          <w:p w14:paraId="3AA43802" w14:textId="77777777" w:rsidR="009436E7" w:rsidRPr="00E66B2D" w:rsidRDefault="009436E7" w:rsidP="009436E7">
            <w:pPr>
              <w:rPr>
                <w:rFonts w:ascii="Arial" w:hAnsi="Arial" w:cs="Arial"/>
                <w:color w:val="000000"/>
                <w:sz w:val="22"/>
                <w:szCs w:val="22"/>
                <w:u w:val="single"/>
              </w:rPr>
            </w:pPr>
            <w:r w:rsidRPr="00E66B2D">
              <w:rPr>
                <w:rFonts w:ascii="Arial" w:hAnsi="Arial" w:cs="Arial"/>
                <w:color w:val="000000"/>
                <w:sz w:val="22"/>
                <w:szCs w:val="22"/>
                <w:u w:val="single"/>
              </w:rPr>
              <w:t> </w:t>
            </w:r>
          </w:p>
        </w:tc>
        <w:tc>
          <w:tcPr>
            <w:tcW w:w="1180" w:type="dxa"/>
            <w:tcBorders>
              <w:top w:val="nil"/>
              <w:left w:val="nil"/>
              <w:bottom w:val="nil"/>
              <w:right w:val="nil"/>
            </w:tcBorders>
            <w:shd w:val="clear" w:color="000000" w:fill="CCCCCC"/>
            <w:vAlign w:val="center"/>
            <w:hideMark/>
          </w:tcPr>
          <w:p w14:paraId="49058336" w14:textId="77777777" w:rsidR="009436E7" w:rsidRPr="00E66B2D" w:rsidRDefault="009436E7" w:rsidP="009436E7">
            <w:pPr>
              <w:rPr>
                <w:rFonts w:ascii="Arial" w:hAnsi="Arial" w:cs="Arial"/>
                <w:sz w:val="22"/>
                <w:szCs w:val="22"/>
                <w:u w:val="single"/>
              </w:rPr>
            </w:pPr>
            <w:r w:rsidRPr="00E66B2D">
              <w:rPr>
                <w:rFonts w:ascii="Arial" w:hAnsi="Arial" w:cs="Arial"/>
                <w:sz w:val="22"/>
                <w:szCs w:val="22"/>
                <w:u w:val="single"/>
              </w:rPr>
              <w:t> </w:t>
            </w:r>
          </w:p>
        </w:tc>
        <w:tc>
          <w:tcPr>
            <w:tcW w:w="1160" w:type="dxa"/>
            <w:tcBorders>
              <w:top w:val="nil"/>
              <w:left w:val="nil"/>
              <w:bottom w:val="nil"/>
              <w:right w:val="nil"/>
            </w:tcBorders>
            <w:shd w:val="clear" w:color="000000" w:fill="CCCCCC"/>
            <w:vAlign w:val="center"/>
            <w:hideMark/>
          </w:tcPr>
          <w:p w14:paraId="73878A54"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31D29EF2"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78286913" w14:textId="02B03C3D" w:rsidR="009436E7" w:rsidRPr="00E66B2D" w:rsidRDefault="009436E7" w:rsidP="009436E7">
            <w:pPr>
              <w:rPr>
                <w:rFonts w:ascii="Arial" w:hAnsi="Arial" w:cs="Arial"/>
                <w:b/>
                <w:bCs/>
                <w:sz w:val="22"/>
                <w:szCs w:val="22"/>
              </w:rPr>
            </w:pPr>
            <w:r>
              <w:rPr>
                <w:rFonts w:ascii="Arial" w:hAnsi="Arial" w:cs="Arial"/>
                <w:b/>
                <w:bCs/>
                <w:sz w:val="22"/>
                <w:szCs w:val="22"/>
              </w:rPr>
              <w:t> </w:t>
            </w:r>
          </w:p>
        </w:tc>
      </w:tr>
      <w:tr w:rsidR="009436E7" w:rsidRPr="00E66B2D" w14:paraId="70C3693B"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4EFD3B7B"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Corporate</w:t>
            </w:r>
          </w:p>
        </w:tc>
        <w:tc>
          <w:tcPr>
            <w:tcW w:w="1260" w:type="dxa"/>
            <w:tcBorders>
              <w:top w:val="nil"/>
              <w:left w:val="nil"/>
              <w:bottom w:val="nil"/>
              <w:right w:val="nil"/>
            </w:tcBorders>
            <w:shd w:val="clear" w:color="000000" w:fill="CCCCCC"/>
            <w:vAlign w:val="center"/>
            <w:hideMark/>
          </w:tcPr>
          <w:p w14:paraId="63DFCDED"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1BEBDAB0"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42314065" w14:textId="25908AB6"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1 / 2</w:t>
            </w:r>
          </w:p>
        </w:tc>
        <w:tc>
          <w:tcPr>
            <w:tcW w:w="1180" w:type="dxa"/>
            <w:tcBorders>
              <w:top w:val="nil"/>
              <w:left w:val="nil"/>
              <w:bottom w:val="nil"/>
              <w:right w:val="nil"/>
            </w:tcBorders>
            <w:shd w:val="clear" w:color="000000" w:fill="FFFFFF"/>
            <w:vAlign w:val="center"/>
            <w:hideMark/>
          </w:tcPr>
          <w:p w14:paraId="76802DD7" w14:textId="2510F946" w:rsidR="009436E7" w:rsidRPr="00E66B2D" w:rsidRDefault="009436E7" w:rsidP="009436E7">
            <w:pPr>
              <w:jc w:val="right"/>
              <w:rPr>
                <w:rFonts w:ascii="Arial" w:hAnsi="Arial" w:cs="Arial"/>
                <w:sz w:val="22"/>
                <w:szCs w:val="22"/>
              </w:rPr>
            </w:pPr>
            <w:r>
              <w:rPr>
                <w:rFonts w:ascii="Arial" w:hAnsi="Arial" w:cs="Arial"/>
                <w:sz w:val="22"/>
                <w:szCs w:val="22"/>
              </w:rPr>
              <w:t>481</w:t>
            </w:r>
          </w:p>
        </w:tc>
        <w:tc>
          <w:tcPr>
            <w:tcW w:w="1200" w:type="dxa"/>
            <w:tcBorders>
              <w:top w:val="nil"/>
              <w:left w:val="nil"/>
              <w:bottom w:val="nil"/>
              <w:right w:val="single" w:sz="8" w:space="0" w:color="auto"/>
            </w:tcBorders>
            <w:shd w:val="clear" w:color="000000" w:fill="CCCCCC"/>
            <w:vAlign w:val="center"/>
            <w:hideMark/>
          </w:tcPr>
          <w:p w14:paraId="2E6B986D" w14:textId="2ED71CCD" w:rsidR="009436E7" w:rsidRPr="00E66B2D" w:rsidRDefault="009436E7" w:rsidP="009436E7">
            <w:pPr>
              <w:jc w:val="right"/>
              <w:rPr>
                <w:rFonts w:ascii="Arial" w:hAnsi="Arial" w:cs="Arial"/>
                <w:sz w:val="22"/>
                <w:szCs w:val="22"/>
              </w:rPr>
            </w:pPr>
            <w:r>
              <w:rPr>
                <w:rFonts w:ascii="Arial" w:hAnsi="Arial" w:cs="Arial"/>
                <w:sz w:val="22"/>
                <w:szCs w:val="22"/>
              </w:rPr>
              <w:t>614</w:t>
            </w:r>
          </w:p>
        </w:tc>
      </w:tr>
      <w:tr w:rsidR="009436E7" w:rsidRPr="00E66B2D" w14:paraId="2C9D4DBB"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13A90242"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UK index-linked</w:t>
            </w:r>
          </w:p>
        </w:tc>
        <w:tc>
          <w:tcPr>
            <w:tcW w:w="1260" w:type="dxa"/>
            <w:tcBorders>
              <w:top w:val="nil"/>
              <w:left w:val="nil"/>
              <w:bottom w:val="nil"/>
              <w:right w:val="nil"/>
            </w:tcBorders>
            <w:shd w:val="clear" w:color="000000" w:fill="CCCCCC"/>
            <w:vAlign w:val="center"/>
            <w:hideMark/>
          </w:tcPr>
          <w:p w14:paraId="55C86156"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034B0566"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701AD5C5" w14:textId="77777777"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3</w:t>
            </w:r>
          </w:p>
        </w:tc>
        <w:tc>
          <w:tcPr>
            <w:tcW w:w="1180" w:type="dxa"/>
            <w:tcBorders>
              <w:top w:val="nil"/>
              <w:left w:val="nil"/>
              <w:bottom w:val="nil"/>
              <w:right w:val="nil"/>
            </w:tcBorders>
            <w:shd w:val="clear" w:color="000000" w:fill="FFFFFF"/>
            <w:vAlign w:val="center"/>
            <w:hideMark/>
          </w:tcPr>
          <w:p w14:paraId="5087DDDB" w14:textId="77777777" w:rsidR="009436E7" w:rsidRPr="00E66B2D" w:rsidRDefault="009436E7" w:rsidP="009436E7">
            <w:pPr>
              <w:jc w:val="right"/>
              <w:rPr>
                <w:rFonts w:ascii="Arial" w:hAnsi="Arial" w:cs="Arial"/>
                <w:sz w:val="22"/>
                <w:szCs w:val="22"/>
              </w:rPr>
            </w:pPr>
            <w:r w:rsidRPr="00E66B2D">
              <w:rPr>
                <w:rFonts w:ascii="Arial" w:hAnsi="Arial" w:cs="Arial"/>
                <w:sz w:val="22"/>
                <w:szCs w:val="22"/>
              </w:rPr>
              <w:t>0</w:t>
            </w:r>
          </w:p>
        </w:tc>
        <w:tc>
          <w:tcPr>
            <w:tcW w:w="1200" w:type="dxa"/>
            <w:tcBorders>
              <w:top w:val="nil"/>
              <w:left w:val="nil"/>
              <w:bottom w:val="nil"/>
              <w:right w:val="single" w:sz="8" w:space="0" w:color="auto"/>
            </w:tcBorders>
            <w:shd w:val="clear" w:color="000000" w:fill="CCCCCC"/>
            <w:vAlign w:val="center"/>
            <w:hideMark/>
          </w:tcPr>
          <w:p w14:paraId="0756EBB6" w14:textId="6AB7056A" w:rsidR="009436E7" w:rsidRPr="00E66B2D" w:rsidRDefault="009436E7" w:rsidP="009436E7">
            <w:pPr>
              <w:jc w:val="right"/>
              <w:rPr>
                <w:rFonts w:ascii="Arial" w:hAnsi="Arial" w:cs="Arial"/>
                <w:sz w:val="22"/>
                <w:szCs w:val="22"/>
              </w:rPr>
            </w:pPr>
            <w:r>
              <w:rPr>
                <w:rFonts w:ascii="Arial" w:hAnsi="Arial" w:cs="Arial"/>
                <w:sz w:val="22"/>
                <w:szCs w:val="22"/>
              </w:rPr>
              <w:t>0</w:t>
            </w:r>
          </w:p>
        </w:tc>
      </w:tr>
      <w:tr w:rsidR="009436E7" w:rsidRPr="00E66B2D" w14:paraId="314E6807" w14:textId="77777777" w:rsidTr="00E66B2D">
        <w:trPr>
          <w:trHeight w:val="315"/>
        </w:trPr>
        <w:tc>
          <w:tcPr>
            <w:tcW w:w="3820" w:type="dxa"/>
            <w:tcBorders>
              <w:top w:val="nil"/>
              <w:left w:val="single" w:sz="8" w:space="0" w:color="auto"/>
              <w:bottom w:val="nil"/>
              <w:right w:val="nil"/>
            </w:tcBorders>
            <w:shd w:val="clear" w:color="000000" w:fill="CCCCCC"/>
            <w:vAlign w:val="center"/>
            <w:hideMark/>
          </w:tcPr>
          <w:p w14:paraId="29BBC3A5"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Sub-Total Bonds</w:t>
            </w:r>
          </w:p>
        </w:tc>
        <w:tc>
          <w:tcPr>
            <w:tcW w:w="1260" w:type="dxa"/>
            <w:tcBorders>
              <w:top w:val="nil"/>
              <w:left w:val="nil"/>
              <w:bottom w:val="nil"/>
              <w:right w:val="nil"/>
            </w:tcBorders>
            <w:shd w:val="clear" w:color="000000" w:fill="CCCCCC"/>
            <w:vAlign w:val="center"/>
            <w:hideMark/>
          </w:tcPr>
          <w:p w14:paraId="234D5A13"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6985492A"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3954CE4A"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057AB44B" w14:textId="04D3E131" w:rsidR="009436E7" w:rsidRPr="00E66B2D" w:rsidRDefault="009436E7" w:rsidP="009436E7">
            <w:pPr>
              <w:jc w:val="right"/>
              <w:rPr>
                <w:rFonts w:ascii="Arial" w:hAnsi="Arial" w:cs="Arial"/>
                <w:b/>
                <w:bCs/>
                <w:sz w:val="22"/>
                <w:szCs w:val="22"/>
              </w:rPr>
            </w:pPr>
            <w:r>
              <w:rPr>
                <w:rFonts w:ascii="Arial" w:hAnsi="Arial" w:cs="Arial"/>
                <w:b/>
                <w:bCs/>
                <w:sz w:val="22"/>
                <w:szCs w:val="22"/>
              </w:rPr>
              <w:t>481</w:t>
            </w:r>
          </w:p>
        </w:tc>
        <w:tc>
          <w:tcPr>
            <w:tcW w:w="1200" w:type="dxa"/>
            <w:tcBorders>
              <w:top w:val="nil"/>
              <w:left w:val="nil"/>
              <w:bottom w:val="nil"/>
              <w:right w:val="single" w:sz="8" w:space="0" w:color="auto"/>
            </w:tcBorders>
            <w:shd w:val="clear" w:color="000000" w:fill="CCCCCC"/>
            <w:vAlign w:val="center"/>
            <w:hideMark/>
          </w:tcPr>
          <w:p w14:paraId="4F6358B1" w14:textId="60B30901" w:rsidR="009436E7" w:rsidRPr="00E66B2D" w:rsidRDefault="009436E7" w:rsidP="009436E7">
            <w:pPr>
              <w:jc w:val="right"/>
              <w:rPr>
                <w:rFonts w:ascii="Arial" w:hAnsi="Arial" w:cs="Arial"/>
                <w:b/>
                <w:bCs/>
                <w:sz w:val="22"/>
                <w:szCs w:val="22"/>
              </w:rPr>
            </w:pPr>
            <w:r>
              <w:rPr>
                <w:rFonts w:ascii="Arial" w:hAnsi="Arial" w:cs="Arial"/>
                <w:b/>
                <w:bCs/>
                <w:sz w:val="22"/>
                <w:szCs w:val="22"/>
              </w:rPr>
              <w:t>614</w:t>
            </w:r>
          </w:p>
        </w:tc>
      </w:tr>
      <w:tr w:rsidR="009436E7" w:rsidRPr="00E66B2D" w14:paraId="118BB80F"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27F99356"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60" w:type="dxa"/>
            <w:tcBorders>
              <w:top w:val="nil"/>
              <w:left w:val="nil"/>
              <w:bottom w:val="nil"/>
              <w:right w:val="nil"/>
            </w:tcBorders>
            <w:shd w:val="clear" w:color="000000" w:fill="CCCCCC"/>
            <w:vAlign w:val="center"/>
            <w:hideMark/>
          </w:tcPr>
          <w:p w14:paraId="2C9605F6"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80" w:type="dxa"/>
            <w:tcBorders>
              <w:top w:val="nil"/>
              <w:left w:val="nil"/>
              <w:bottom w:val="nil"/>
              <w:right w:val="nil"/>
            </w:tcBorders>
            <w:shd w:val="clear" w:color="000000" w:fill="CCCCCC"/>
            <w:vAlign w:val="center"/>
            <w:hideMark/>
          </w:tcPr>
          <w:p w14:paraId="126F7F4B"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5A731A50"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0CC56680"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0BFA0482" w14:textId="30BF2E23" w:rsidR="009436E7" w:rsidRPr="00E66B2D" w:rsidRDefault="009436E7" w:rsidP="009436E7">
            <w:pPr>
              <w:rPr>
                <w:rFonts w:ascii="Arial" w:hAnsi="Arial" w:cs="Arial"/>
                <w:sz w:val="22"/>
                <w:szCs w:val="22"/>
              </w:rPr>
            </w:pPr>
            <w:r>
              <w:rPr>
                <w:rFonts w:ascii="Arial" w:hAnsi="Arial" w:cs="Arial"/>
                <w:sz w:val="22"/>
                <w:szCs w:val="22"/>
              </w:rPr>
              <w:t> </w:t>
            </w:r>
          </w:p>
        </w:tc>
      </w:tr>
      <w:tr w:rsidR="009436E7" w:rsidRPr="00E66B2D" w14:paraId="200D9542"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3820E035"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Property</w:t>
            </w:r>
          </w:p>
        </w:tc>
        <w:tc>
          <w:tcPr>
            <w:tcW w:w="1260" w:type="dxa"/>
            <w:tcBorders>
              <w:top w:val="nil"/>
              <w:left w:val="nil"/>
              <w:bottom w:val="nil"/>
              <w:right w:val="nil"/>
            </w:tcBorders>
            <w:shd w:val="clear" w:color="000000" w:fill="CCCCCC"/>
            <w:vAlign w:val="center"/>
            <w:hideMark/>
          </w:tcPr>
          <w:p w14:paraId="6046130A"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7B5552E7"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135A53D1"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0B4E41FC"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544617D8" w14:textId="5CAC56E3" w:rsidR="009436E7" w:rsidRPr="00E66B2D" w:rsidRDefault="009436E7" w:rsidP="009436E7">
            <w:pPr>
              <w:rPr>
                <w:rFonts w:ascii="Arial" w:hAnsi="Arial" w:cs="Arial"/>
                <w:sz w:val="22"/>
                <w:szCs w:val="22"/>
              </w:rPr>
            </w:pPr>
            <w:r>
              <w:rPr>
                <w:rFonts w:ascii="Arial" w:hAnsi="Arial" w:cs="Arial"/>
                <w:sz w:val="22"/>
                <w:szCs w:val="22"/>
              </w:rPr>
              <w:t> </w:t>
            </w:r>
          </w:p>
        </w:tc>
      </w:tr>
      <w:tr w:rsidR="009436E7" w:rsidRPr="00E66B2D" w14:paraId="199A33E4"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4423CC02" w14:textId="77777777" w:rsidR="009436E7" w:rsidRPr="00E66B2D" w:rsidRDefault="009436E7" w:rsidP="009436E7">
            <w:pPr>
              <w:rPr>
                <w:rFonts w:ascii="Arial" w:hAnsi="Arial" w:cs="Arial"/>
                <w:color w:val="000000"/>
                <w:sz w:val="22"/>
                <w:szCs w:val="22"/>
                <w:u w:val="single"/>
              </w:rPr>
            </w:pPr>
            <w:r w:rsidRPr="00E66B2D">
              <w:rPr>
                <w:rFonts w:ascii="Arial" w:hAnsi="Arial" w:cs="Arial"/>
                <w:color w:val="000000"/>
                <w:sz w:val="22"/>
                <w:szCs w:val="22"/>
                <w:u w:val="single"/>
              </w:rPr>
              <w:t>By Type</w:t>
            </w:r>
          </w:p>
        </w:tc>
        <w:tc>
          <w:tcPr>
            <w:tcW w:w="1260" w:type="dxa"/>
            <w:tcBorders>
              <w:top w:val="nil"/>
              <w:left w:val="nil"/>
              <w:bottom w:val="nil"/>
              <w:right w:val="nil"/>
            </w:tcBorders>
            <w:shd w:val="clear" w:color="000000" w:fill="CCCCCC"/>
            <w:vAlign w:val="center"/>
            <w:hideMark/>
          </w:tcPr>
          <w:p w14:paraId="2C564A0F" w14:textId="77777777" w:rsidR="009436E7" w:rsidRPr="00E66B2D" w:rsidRDefault="009436E7" w:rsidP="009436E7">
            <w:pPr>
              <w:rPr>
                <w:rFonts w:ascii="Arial" w:hAnsi="Arial" w:cs="Arial"/>
                <w:color w:val="000000"/>
                <w:sz w:val="22"/>
                <w:szCs w:val="22"/>
                <w:u w:val="single"/>
              </w:rPr>
            </w:pPr>
            <w:r w:rsidRPr="00E66B2D">
              <w:rPr>
                <w:rFonts w:ascii="Arial" w:hAnsi="Arial" w:cs="Arial"/>
                <w:color w:val="000000"/>
                <w:sz w:val="22"/>
                <w:szCs w:val="22"/>
                <w:u w:val="single"/>
              </w:rPr>
              <w:t> </w:t>
            </w:r>
          </w:p>
        </w:tc>
        <w:tc>
          <w:tcPr>
            <w:tcW w:w="1180" w:type="dxa"/>
            <w:tcBorders>
              <w:top w:val="nil"/>
              <w:left w:val="nil"/>
              <w:bottom w:val="nil"/>
              <w:right w:val="nil"/>
            </w:tcBorders>
            <w:shd w:val="clear" w:color="000000" w:fill="CCCCCC"/>
            <w:vAlign w:val="center"/>
            <w:hideMark/>
          </w:tcPr>
          <w:p w14:paraId="0563F96B" w14:textId="77777777" w:rsidR="009436E7" w:rsidRPr="00E66B2D" w:rsidRDefault="009436E7" w:rsidP="009436E7">
            <w:pPr>
              <w:rPr>
                <w:rFonts w:ascii="Arial" w:hAnsi="Arial" w:cs="Arial"/>
                <w:sz w:val="22"/>
                <w:szCs w:val="22"/>
                <w:u w:val="single"/>
              </w:rPr>
            </w:pPr>
            <w:r w:rsidRPr="00E66B2D">
              <w:rPr>
                <w:rFonts w:ascii="Arial" w:hAnsi="Arial" w:cs="Arial"/>
                <w:sz w:val="22"/>
                <w:szCs w:val="22"/>
                <w:u w:val="single"/>
              </w:rPr>
              <w:t> </w:t>
            </w:r>
          </w:p>
        </w:tc>
        <w:tc>
          <w:tcPr>
            <w:tcW w:w="1160" w:type="dxa"/>
            <w:tcBorders>
              <w:top w:val="nil"/>
              <w:left w:val="nil"/>
              <w:bottom w:val="nil"/>
              <w:right w:val="nil"/>
            </w:tcBorders>
            <w:shd w:val="clear" w:color="000000" w:fill="CCCCCC"/>
            <w:vAlign w:val="center"/>
            <w:hideMark/>
          </w:tcPr>
          <w:p w14:paraId="67643AC9"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0B3024B6"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50FD1EFA" w14:textId="1AC0B86A" w:rsidR="009436E7" w:rsidRPr="00E66B2D" w:rsidRDefault="009436E7" w:rsidP="009436E7">
            <w:pPr>
              <w:rPr>
                <w:rFonts w:ascii="Arial" w:hAnsi="Arial" w:cs="Arial"/>
                <w:sz w:val="22"/>
                <w:szCs w:val="22"/>
              </w:rPr>
            </w:pPr>
            <w:r>
              <w:rPr>
                <w:rFonts w:ascii="Arial" w:hAnsi="Arial" w:cs="Arial"/>
                <w:sz w:val="22"/>
                <w:szCs w:val="22"/>
              </w:rPr>
              <w:t> </w:t>
            </w:r>
          </w:p>
        </w:tc>
      </w:tr>
      <w:tr w:rsidR="009436E7" w:rsidRPr="00E66B2D" w14:paraId="19FD2252"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4BC567DA"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xml:space="preserve">Retail </w:t>
            </w:r>
          </w:p>
        </w:tc>
        <w:tc>
          <w:tcPr>
            <w:tcW w:w="1260" w:type="dxa"/>
            <w:tcBorders>
              <w:top w:val="nil"/>
              <w:left w:val="nil"/>
              <w:bottom w:val="nil"/>
              <w:right w:val="nil"/>
            </w:tcBorders>
            <w:shd w:val="clear" w:color="000000" w:fill="CCCCCC"/>
            <w:vAlign w:val="center"/>
            <w:hideMark/>
          </w:tcPr>
          <w:p w14:paraId="6F2DEE9C"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5027BD66"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1F99CD18" w14:textId="77777777"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2</w:t>
            </w:r>
          </w:p>
        </w:tc>
        <w:tc>
          <w:tcPr>
            <w:tcW w:w="1180" w:type="dxa"/>
            <w:tcBorders>
              <w:top w:val="nil"/>
              <w:left w:val="nil"/>
              <w:bottom w:val="nil"/>
              <w:right w:val="nil"/>
            </w:tcBorders>
            <w:shd w:val="clear" w:color="000000" w:fill="FFFFFF"/>
            <w:vAlign w:val="center"/>
            <w:hideMark/>
          </w:tcPr>
          <w:p w14:paraId="6A5DDFCB" w14:textId="23A19916" w:rsidR="009436E7" w:rsidRPr="00E66B2D" w:rsidRDefault="009436E7" w:rsidP="009436E7">
            <w:pPr>
              <w:jc w:val="right"/>
              <w:rPr>
                <w:rFonts w:ascii="Arial" w:hAnsi="Arial" w:cs="Arial"/>
                <w:sz w:val="22"/>
                <w:szCs w:val="22"/>
              </w:rPr>
            </w:pPr>
            <w:r>
              <w:rPr>
                <w:rFonts w:ascii="Arial" w:hAnsi="Arial" w:cs="Arial"/>
                <w:sz w:val="22"/>
                <w:szCs w:val="22"/>
              </w:rPr>
              <w:t>2,024</w:t>
            </w:r>
          </w:p>
        </w:tc>
        <w:tc>
          <w:tcPr>
            <w:tcW w:w="1200" w:type="dxa"/>
            <w:tcBorders>
              <w:top w:val="nil"/>
              <w:left w:val="nil"/>
              <w:bottom w:val="nil"/>
              <w:right w:val="single" w:sz="8" w:space="0" w:color="auto"/>
            </w:tcBorders>
            <w:shd w:val="clear" w:color="000000" w:fill="CCCCCC"/>
            <w:vAlign w:val="center"/>
            <w:hideMark/>
          </w:tcPr>
          <w:p w14:paraId="2E5F52ED" w14:textId="44230AFC" w:rsidR="009436E7" w:rsidRPr="00E66B2D" w:rsidRDefault="009436E7" w:rsidP="009436E7">
            <w:pPr>
              <w:jc w:val="right"/>
              <w:rPr>
                <w:rFonts w:ascii="Arial" w:hAnsi="Arial" w:cs="Arial"/>
                <w:sz w:val="22"/>
                <w:szCs w:val="22"/>
              </w:rPr>
            </w:pPr>
            <w:r>
              <w:rPr>
                <w:rFonts w:ascii="Arial" w:hAnsi="Arial" w:cs="Arial"/>
                <w:sz w:val="22"/>
                <w:szCs w:val="22"/>
              </w:rPr>
              <w:t>1,227</w:t>
            </w:r>
          </w:p>
        </w:tc>
      </w:tr>
      <w:tr w:rsidR="009436E7" w:rsidRPr="00E66B2D" w14:paraId="056FDADD"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1F1A5D90"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Commercial</w:t>
            </w:r>
          </w:p>
        </w:tc>
        <w:tc>
          <w:tcPr>
            <w:tcW w:w="1260" w:type="dxa"/>
            <w:tcBorders>
              <w:top w:val="nil"/>
              <w:left w:val="nil"/>
              <w:bottom w:val="nil"/>
              <w:right w:val="nil"/>
            </w:tcBorders>
            <w:shd w:val="clear" w:color="000000" w:fill="CCCCCC"/>
            <w:vAlign w:val="center"/>
            <w:hideMark/>
          </w:tcPr>
          <w:p w14:paraId="51841283"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52C70414"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37F460F6" w14:textId="77777777"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2</w:t>
            </w:r>
          </w:p>
        </w:tc>
        <w:tc>
          <w:tcPr>
            <w:tcW w:w="1180" w:type="dxa"/>
            <w:tcBorders>
              <w:top w:val="nil"/>
              <w:left w:val="nil"/>
              <w:bottom w:val="nil"/>
              <w:right w:val="nil"/>
            </w:tcBorders>
            <w:shd w:val="clear" w:color="000000" w:fill="FFFFFF"/>
            <w:vAlign w:val="center"/>
            <w:hideMark/>
          </w:tcPr>
          <w:p w14:paraId="35389436" w14:textId="5EE38AF1" w:rsidR="009436E7" w:rsidRPr="00E66B2D" w:rsidRDefault="009436E7" w:rsidP="009436E7">
            <w:pPr>
              <w:jc w:val="right"/>
              <w:rPr>
                <w:rFonts w:ascii="Arial" w:hAnsi="Arial" w:cs="Arial"/>
                <w:sz w:val="22"/>
                <w:szCs w:val="22"/>
              </w:rPr>
            </w:pPr>
            <w:r>
              <w:rPr>
                <w:rFonts w:ascii="Arial" w:hAnsi="Arial" w:cs="Arial"/>
                <w:sz w:val="22"/>
                <w:szCs w:val="22"/>
              </w:rPr>
              <w:t>5,744</w:t>
            </w:r>
          </w:p>
        </w:tc>
        <w:tc>
          <w:tcPr>
            <w:tcW w:w="1200" w:type="dxa"/>
            <w:tcBorders>
              <w:top w:val="nil"/>
              <w:left w:val="nil"/>
              <w:bottom w:val="nil"/>
              <w:right w:val="single" w:sz="8" w:space="0" w:color="auto"/>
            </w:tcBorders>
            <w:shd w:val="clear" w:color="000000" w:fill="CCCCCC"/>
            <w:vAlign w:val="center"/>
            <w:hideMark/>
          </w:tcPr>
          <w:p w14:paraId="569AA319" w14:textId="5571F676" w:rsidR="009436E7" w:rsidRPr="00E66B2D" w:rsidRDefault="009436E7" w:rsidP="009436E7">
            <w:pPr>
              <w:jc w:val="right"/>
              <w:rPr>
                <w:rFonts w:ascii="Arial" w:hAnsi="Arial" w:cs="Arial"/>
                <w:sz w:val="22"/>
                <w:szCs w:val="22"/>
              </w:rPr>
            </w:pPr>
            <w:r>
              <w:rPr>
                <w:rFonts w:ascii="Arial" w:hAnsi="Arial" w:cs="Arial"/>
                <w:sz w:val="22"/>
                <w:szCs w:val="22"/>
              </w:rPr>
              <w:t>6,136</w:t>
            </w:r>
          </w:p>
        </w:tc>
      </w:tr>
      <w:tr w:rsidR="009436E7" w:rsidRPr="00E66B2D" w14:paraId="5E36AE89" w14:textId="77777777" w:rsidTr="00E66B2D">
        <w:trPr>
          <w:trHeight w:val="315"/>
        </w:trPr>
        <w:tc>
          <w:tcPr>
            <w:tcW w:w="3820" w:type="dxa"/>
            <w:tcBorders>
              <w:top w:val="nil"/>
              <w:left w:val="single" w:sz="8" w:space="0" w:color="auto"/>
              <w:bottom w:val="nil"/>
              <w:right w:val="nil"/>
            </w:tcBorders>
            <w:shd w:val="clear" w:color="000000" w:fill="CCCCCC"/>
            <w:vAlign w:val="center"/>
            <w:hideMark/>
          </w:tcPr>
          <w:p w14:paraId="2F2C0F87"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Sub-Total Property</w:t>
            </w:r>
          </w:p>
        </w:tc>
        <w:tc>
          <w:tcPr>
            <w:tcW w:w="1260" w:type="dxa"/>
            <w:tcBorders>
              <w:top w:val="nil"/>
              <w:left w:val="nil"/>
              <w:bottom w:val="nil"/>
              <w:right w:val="nil"/>
            </w:tcBorders>
            <w:shd w:val="clear" w:color="000000" w:fill="CCCCCC"/>
            <w:vAlign w:val="center"/>
            <w:hideMark/>
          </w:tcPr>
          <w:p w14:paraId="485C6D35"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1CD668D1"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687FD63E"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0B4AEAD5" w14:textId="65599CBB" w:rsidR="009436E7" w:rsidRPr="00E66B2D" w:rsidRDefault="009436E7" w:rsidP="009436E7">
            <w:pPr>
              <w:jc w:val="right"/>
              <w:rPr>
                <w:rFonts w:ascii="Arial" w:hAnsi="Arial" w:cs="Arial"/>
                <w:b/>
                <w:bCs/>
                <w:sz w:val="22"/>
                <w:szCs w:val="22"/>
              </w:rPr>
            </w:pPr>
            <w:r>
              <w:rPr>
                <w:rFonts w:ascii="Arial" w:hAnsi="Arial" w:cs="Arial"/>
                <w:b/>
                <w:bCs/>
                <w:sz w:val="22"/>
                <w:szCs w:val="22"/>
              </w:rPr>
              <w:t>7,768</w:t>
            </w:r>
          </w:p>
        </w:tc>
        <w:tc>
          <w:tcPr>
            <w:tcW w:w="1200" w:type="dxa"/>
            <w:tcBorders>
              <w:top w:val="nil"/>
              <w:left w:val="nil"/>
              <w:bottom w:val="nil"/>
              <w:right w:val="single" w:sz="8" w:space="0" w:color="auto"/>
            </w:tcBorders>
            <w:shd w:val="clear" w:color="000000" w:fill="CCCCCC"/>
            <w:vAlign w:val="center"/>
            <w:hideMark/>
          </w:tcPr>
          <w:p w14:paraId="541FACD8" w14:textId="41DAB02A" w:rsidR="009436E7" w:rsidRPr="00E66B2D" w:rsidRDefault="009436E7" w:rsidP="009436E7">
            <w:pPr>
              <w:jc w:val="right"/>
              <w:rPr>
                <w:rFonts w:ascii="Arial" w:hAnsi="Arial" w:cs="Arial"/>
                <w:b/>
                <w:bCs/>
                <w:sz w:val="22"/>
                <w:szCs w:val="22"/>
              </w:rPr>
            </w:pPr>
            <w:r>
              <w:rPr>
                <w:rFonts w:ascii="Arial" w:hAnsi="Arial" w:cs="Arial"/>
                <w:b/>
                <w:bCs/>
                <w:sz w:val="22"/>
                <w:szCs w:val="22"/>
              </w:rPr>
              <w:t>7,363</w:t>
            </w:r>
          </w:p>
        </w:tc>
      </w:tr>
      <w:tr w:rsidR="009436E7" w:rsidRPr="00E66B2D" w14:paraId="30DA55CF"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72D2B654"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60" w:type="dxa"/>
            <w:tcBorders>
              <w:top w:val="nil"/>
              <w:left w:val="nil"/>
              <w:bottom w:val="nil"/>
              <w:right w:val="nil"/>
            </w:tcBorders>
            <w:shd w:val="clear" w:color="000000" w:fill="CCCCCC"/>
            <w:vAlign w:val="center"/>
            <w:hideMark/>
          </w:tcPr>
          <w:p w14:paraId="18A99853"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80" w:type="dxa"/>
            <w:tcBorders>
              <w:top w:val="nil"/>
              <w:left w:val="nil"/>
              <w:bottom w:val="nil"/>
              <w:right w:val="nil"/>
            </w:tcBorders>
            <w:shd w:val="clear" w:color="000000" w:fill="CCCCCC"/>
            <w:vAlign w:val="center"/>
            <w:hideMark/>
          </w:tcPr>
          <w:p w14:paraId="3D455988"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288884C8"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185AC659"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6D780811" w14:textId="42F31D10" w:rsidR="009436E7" w:rsidRPr="00E66B2D" w:rsidRDefault="009436E7" w:rsidP="009436E7">
            <w:pPr>
              <w:rPr>
                <w:rFonts w:ascii="Arial" w:hAnsi="Arial" w:cs="Arial"/>
                <w:sz w:val="22"/>
                <w:szCs w:val="22"/>
              </w:rPr>
            </w:pPr>
            <w:r>
              <w:rPr>
                <w:rFonts w:ascii="Arial" w:hAnsi="Arial" w:cs="Arial"/>
                <w:sz w:val="22"/>
                <w:szCs w:val="22"/>
              </w:rPr>
              <w:t> </w:t>
            </w:r>
          </w:p>
        </w:tc>
      </w:tr>
      <w:tr w:rsidR="009436E7" w:rsidRPr="00E66B2D" w14:paraId="5CAB2018"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431AB3C0"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Private Equity</w:t>
            </w:r>
          </w:p>
        </w:tc>
        <w:tc>
          <w:tcPr>
            <w:tcW w:w="1260" w:type="dxa"/>
            <w:tcBorders>
              <w:top w:val="nil"/>
              <w:left w:val="nil"/>
              <w:bottom w:val="nil"/>
              <w:right w:val="nil"/>
            </w:tcBorders>
            <w:shd w:val="clear" w:color="000000" w:fill="CCCCCC"/>
            <w:vAlign w:val="center"/>
            <w:hideMark/>
          </w:tcPr>
          <w:p w14:paraId="726EA683"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19F6E0A9"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2F156A9E"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63A80437"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3FB6A37F" w14:textId="62350D45" w:rsidR="009436E7" w:rsidRPr="00E66B2D" w:rsidRDefault="009436E7" w:rsidP="009436E7">
            <w:pPr>
              <w:rPr>
                <w:rFonts w:ascii="Arial" w:hAnsi="Arial" w:cs="Arial"/>
                <w:sz w:val="22"/>
                <w:szCs w:val="22"/>
              </w:rPr>
            </w:pPr>
            <w:r>
              <w:rPr>
                <w:rFonts w:ascii="Arial" w:hAnsi="Arial" w:cs="Arial"/>
                <w:sz w:val="22"/>
                <w:szCs w:val="22"/>
              </w:rPr>
              <w:t> </w:t>
            </w:r>
          </w:p>
        </w:tc>
      </w:tr>
      <w:tr w:rsidR="009436E7" w:rsidRPr="00E66B2D" w14:paraId="227F8B9C"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2BFB1435"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Overseas</w:t>
            </w:r>
          </w:p>
        </w:tc>
        <w:tc>
          <w:tcPr>
            <w:tcW w:w="1260" w:type="dxa"/>
            <w:tcBorders>
              <w:top w:val="nil"/>
              <w:left w:val="nil"/>
              <w:bottom w:val="nil"/>
              <w:right w:val="nil"/>
            </w:tcBorders>
            <w:shd w:val="clear" w:color="000000" w:fill="CCCCCC"/>
            <w:vAlign w:val="center"/>
            <w:hideMark/>
          </w:tcPr>
          <w:p w14:paraId="5A4306C6"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5867CBBF"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210034DB" w14:textId="77777777"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3</w:t>
            </w:r>
          </w:p>
        </w:tc>
        <w:tc>
          <w:tcPr>
            <w:tcW w:w="1180" w:type="dxa"/>
            <w:tcBorders>
              <w:top w:val="nil"/>
              <w:left w:val="nil"/>
              <w:bottom w:val="nil"/>
              <w:right w:val="nil"/>
            </w:tcBorders>
            <w:shd w:val="clear" w:color="000000" w:fill="FFFFFF"/>
            <w:vAlign w:val="center"/>
            <w:hideMark/>
          </w:tcPr>
          <w:p w14:paraId="1FF88090" w14:textId="1D43D1AC" w:rsidR="009436E7" w:rsidRPr="00E66B2D" w:rsidRDefault="009436E7" w:rsidP="009436E7">
            <w:pPr>
              <w:jc w:val="right"/>
              <w:rPr>
                <w:rFonts w:ascii="Arial" w:hAnsi="Arial" w:cs="Arial"/>
                <w:sz w:val="22"/>
                <w:szCs w:val="22"/>
              </w:rPr>
            </w:pPr>
            <w:r w:rsidRPr="00E66B2D">
              <w:rPr>
                <w:rFonts w:ascii="Arial" w:hAnsi="Arial" w:cs="Arial"/>
                <w:sz w:val="22"/>
                <w:szCs w:val="22"/>
              </w:rPr>
              <w:t>35,</w:t>
            </w:r>
            <w:r>
              <w:rPr>
                <w:rFonts w:ascii="Arial" w:hAnsi="Arial" w:cs="Arial"/>
                <w:sz w:val="22"/>
                <w:szCs w:val="22"/>
              </w:rPr>
              <w:t>72</w:t>
            </w:r>
            <w:r w:rsidR="005402CE">
              <w:rPr>
                <w:rFonts w:ascii="Arial" w:hAnsi="Arial" w:cs="Arial"/>
                <w:sz w:val="22"/>
                <w:szCs w:val="22"/>
              </w:rPr>
              <w:t>8</w:t>
            </w:r>
          </w:p>
        </w:tc>
        <w:tc>
          <w:tcPr>
            <w:tcW w:w="1200" w:type="dxa"/>
            <w:tcBorders>
              <w:top w:val="nil"/>
              <w:left w:val="nil"/>
              <w:bottom w:val="nil"/>
              <w:right w:val="single" w:sz="8" w:space="0" w:color="auto"/>
            </w:tcBorders>
            <w:shd w:val="clear" w:color="000000" w:fill="CCCCCC"/>
            <w:vAlign w:val="center"/>
            <w:hideMark/>
          </w:tcPr>
          <w:p w14:paraId="1B68E756" w14:textId="612F4A95" w:rsidR="009436E7" w:rsidRPr="00E66B2D" w:rsidRDefault="009436E7" w:rsidP="009436E7">
            <w:pPr>
              <w:jc w:val="right"/>
              <w:rPr>
                <w:rFonts w:ascii="Arial" w:hAnsi="Arial" w:cs="Arial"/>
                <w:sz w:val="22"/>
                <w:szCs w:val="22"/>
              </w:rPr>
            </w:pPr>
            <w:r>
              <w:rPr>
                <w:rFonts w:ascii="Arial" w:hAnsi="Arial" w:cs="Arial"/>
                <w:sz w:val="22"/>
                <w:szCs w:val="22"/>
              </w:rPr>
              <w:t>37,713</w:t>
            </w:r>
          </w:p>
        </w:tc>
      </w:tr>
      <w:tr w:rsidR="009436E7" w:rsidRPr="00E66B2D" w14:paraId="0F82C35A" w14:textId="77777777" w:rsidTr="00E66B2D">
        <w:trPr>
          <w:trHeight w:val="315"/>
        </w:trPr>
        <w:tc>
          <w:tcPr>
            <w:tcW w:w="3820" w:type="dxa"/>
            <w:tcBorders>
              <w:top w:val="nil"/>
              <w:left w:val="single" w:sz="8" w:space="0" w:color="auto"/>
              <w:bottom w:val="nil"/>
              <w:right w:val="nil"/>
            </w:tcBorders>
            <w:shd w:val="clear" w:color="000000" w:fill="CCCCCC"/>
            <w:vAlign w:val="center"/>
            <w:hideMark/>
          </w:tcPr>
          <w:p w14:paraId="121BB073"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Sub-Total Private Equity</w:t>
            </w:r>
          </w:p>
        </w:tc>
        <w:tc>
          <w:tcPr>
            <w:tcW w:w="1260" w:type="dxa"/>
            <w:tcBorders>
              <w:top w:val="nil"/>
              <w:left w:val="nil"/>
              <w:bottom w:val="nil"/>
              <w:right w:val="nil"/>
            </w:tcBorders>
            <w:shd w:val="clear" w:color="000000" w:fill="CCCCCC"/>
            <w:vAlign w:val="center"/>
            <w:hideMark/>
          </w:tcPr>
          <w:p w14:paraId="4B4CD7E9"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5E03DEF5"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558D4A9F"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2874AC00" w14:textId="2D2E692E" w:rsidR="009436E7" w:rsidRPr="00E66B2D" w:rsidRDefault="009436E7" w:rsidP="009436E7">
            <w:pPr>
              <w:jc w:val="right"/>
              <w:rPr>
                <w:rFonts w:ascii="Arial" w:hAnsi="Arial" w:cs="Arial"/>
                <w:b/>
                <w:bCs/>
                <w:sz w:val="22"/>
                <w:szCs w:val="22"/>
              </w:rPr>
            </w:pPr>
            <w:r w:rsidRPr="00E66B2D">
              <w:rPr>
                <w:rFonts w:ascii="Arial" w:hAnsi="Arial" w:cs="Arial"/>
                <w:b/>
                <w:bCs/>
                <w:sz w:val="22"/>
                <w:szCs w:val="22"/>
              </w:rPr>
              <w:t>35,</w:t>
            </w:r>
            <w:r>
              <w:rPr>
                <w:rFonts w:ascii="Arial" w:hAnsi="Arial" w:cs="Arial"/>
                <w:b/>
                <w:bCs/>
                <w:sz w:val="22"/>
                <w:szCs w:val="22"/>
              </w:rPr>
              <w:t>72</w:t>
            </w:r>
            <w:r w:rsidR="005402CE">
              <w:rPr>
                <w:rFonts w:ascii="Arial" w:hAnsi="Arial" w:cs="Arial"/>
                <w:b/>
                <w:bCs/>
                <w:sz w:val="22"/>
                <w:szCs w:val="22"/>
              </w:rPr>
              <w:t>8</w:t>
            </w:r>
          </w:p>
        </w:tc>
        <w:tc>
          <w:tcPr>
            <w:tcW w:w="1200" w:type="dxa"/>
            <w:tcBorders>
              <w:top w:val="nil"/>
              <w:left w:val="nil"/>
              <w:bottom w:val="nil"/>
              <w:right w:val="single" w:sz="8" w:space="0" w:color="auto"/>
            </w:tcBorders>
            <w:shd w:val="clear" w:color="000000" w:fill="CCCCCC"/>
            <w:vAlign w:val="center"/>
            <w:hideMark/>
          </w:tcPr>
          <w:p w14:paraId="1EF7479B" w14:textId="221638F8" w:rsidR="009436E7" w:rsidRPr="00E66B2D" w:rsidRDefault="009436E7" w:rsidP="009436E7">
            <w:pPr>
              <w:jc w:val="right"/>
              <w:rPr>
                <w:rFonts w:ascii="Arial" w:hAnsi="Arial" w:cs="Arial"/>
                <w:b/>
                <w:bCs/>
                <w:sz w:val="22"/>
                <w:szCs w:val="22"/>
              </w:rPr>
            </w:pPr>
            <w:r>
              <w:rPr>
                <w:rFonts w:ascii="Arial" w:hAnsi="Arial" w:cs="Arial"/>
                <w:b/>
                <w:bCs/>
                <w:sz w:val="22"/>
                <w:szCs w:val="22"/>
              </w:rPr>
              <w:t>37,713</w:t>
            </w:r>
          </w:p>
        </w:tc>
      </w:tr>
      <w:tr w:rsidR="009436E7" w:rsidRPr="00E66B2D" w14:paraId="63D19B0D"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268D1675"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60" w:type="dxa"/>
            <w:tcBorders>
              <w:top w:val="nil"/>
              <w:left w:val="nil"/>
              <w:bottom w:val="nil"/>
              <w:right w:val="nil"/>
            </w:tcBorders>
            <w:shd w:val="clear" w:color="000000" w:fill="CCCCCC"/>
            <w:vAlign w:val="center"/>
            <w:hideMark/>
          </w:tcPr>
          <w:p w14:paraId="0DA35A47"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80" w:type="dxa"/>
            <w:tcBorders>
              <w:top w:val="nil"/>
              <w:left w:val="nil"/>
              <w:bottom w:val="nil"/>
              <w:right w:val="nil"/>
            </w:tcBorders>
            <w:shd w:val="clear" w:color="000000" w:fill="CCCCCC"/>
            <w:vAlign w:val="center"/>
            <w:hideMark/>
          </w:tcPr>
          <w:p w14:paraId="4ECB0C1E"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5E9CA8D3"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3B057CE5"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5C9539A7" w14:textId="57985F89" w:rsidR="009436E7" w:rsidRPr="00E66B2D" w:rsidRDefault="009436E7" w:rsidP="009436E7">
            <w:pPr>
              <w:rPr>
                <w:rFonts w:ascii="Arial" w:hAnsi="Arial" w:cs="Arial"/>
                <w:sz w:val="22"/>
                <w:szCs w:val="22"/>
              </w:rPr>
            </w:pPr>
            <w:r>
              <w:rPr>
                <w:rFonts w:ascii="Arial" w:hAnsi="Arial" w:cs="Arial"/>
                <w:sz w:val="22"/>
                <w:szCs w:val="22"/>
              </w:rPr>
              <w:t> </w:t>
            </w:r>
          </w:p>
        </w:tc>
      </w:tr>
      <w:tr w:rsidR="009436E7" w:rsidRPr="00E66B2D" w14:paraId="037042A0"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7B362453"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Other Investment Funds</w:t>
            </w:r>
          </w:p>
        </w:tc>
        <w:tc>
          <w:tcPr>
            <w:tcW w:w="1260" w:type="dxa"/>
            <w:tcBorders>
              <w:top w:val="nil"/>
              <w:left w:val="nil"/>
              <w:bottom w:val="nil"/>
              <w:right w:val="nil"/>
            </w:tcBorders>
            <w:shd w:val="clear" w:color="000000" w:fill="CCCCCC"/>
            <w:vAlign w:val="center"/>
            <w:hideMark/>
          </w:tcPr>
          <w:p w14:paraId="671C85DA"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4C47E638"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7D57CD01"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2C609753"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109A1DA7" w14:textId="11C33716" w:rsidR="009436E7" w:rsidRPr="00E66B2D" w:rsidRDefault="009436E7" w:rsidP="009436E7">
            <w:pPr>
              <w:rPr>
                <w:rFonts w:ascii="Arial" w:hAnsi="Arial" w:cs="Arial"/>
                <w:sz w:val="22"/>
                <w:szCs w:val="22"/>
              </w:rPr>
            </w:pPr>
            <w:r>
              <w:rPr>
                <w:rFonts w:ascii="Arial" w:hAnsi="Arial" w:cs="Arial"/>
                <w:sz w:val="22"/>
                <w:szCs w:val="22"/>
              </w:rPr>
              <w:t> </w:t>
            </w:r>
          </w:p>
        </w:tc>
      </w:tr>
      <w:tr w:rsidR="009436E7" w:rsidRPr="00E66B2D" w14:paraId="38F05FFB"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04B89506"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Overseas Pooled Equity</w:t>
            </w:r>
          </w:p>
        </w:tc>
        <w:tc>
          <w:tcPr>
            <w:tcW w:w="1260" w:type="dxa"/>
            <w:tcBorders>
              <w:top w:val="nil"/>
              <w:left w:val="nil"/>
              <w:bottom w:val="nil"/>
              <w:right w:val="nil"/>
            </w:tcBorders>
            <w:shd w:val="clear" w:color="000000" w:fill="CCCCCC"/>
            <w:vAlign w:val="center"/>
            <w:hideMark/>
          </w:tcPr>
          <w:p w14:paraId="3839B0B1"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183C41E8"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5AB91F52" w14:textId="676D63E6" w:rsidR="009436E7" w:rsidRPr="00E66B2D" w:rsidRDefault="00687C66" w:rsidP="009436E7">
            <w:pPr>
              <w:jc w:val="center"/>
              <w:rPr>
                <w:rFonts w:ascii="Arial" w:hAnsi="Arial" w:cs="Arial"/>
                <w:color w:val="000000"/>
                <w:sz w:val="22"/>
                <w:szCs w:val="22"/>
              </w:rPr>
            </w:pPr>
            <w:r>
              <w:rPr>
                <w:rFonts w:ascii="Arial" w:hAnsi="Arial" w:cs="Arial"/>
                <w:color w:val="000000"/>
                <w:sz w:val="22"/>
                <w:szCs w:val="22"/>
              </w:rPr>
              <w:t>2/3</w:t>
            </w:r>
          </w:p>
        </w:tc>
        <w:tc>
          <w:tcPr>
            <w:tcW w:w="1180" w:type="dxa"/>
            <w:tcBorders>
              <w:top w:val="nil"/>
              <w:left w:val="nil"/>
              <w:bottom w:val="nil"/>
              <w:right w:val="nil"/>
            </w:tcBorders>
            <w:shd w:val="clear" w:color="000000" w:fill="FFFFFF"/>
            <w:vAlign w:val="center"/>
            <w:hideMark/>
          </w:tcPr>
          <w:p w14:paraId="0AF375EB" w14:textId="0F5DBC3C" w:rsidR="009436E7" w:rsidRPr="00E66B2D" w:rsidRDefault="009436E7" w:rsidP="009436E7">
            <w:pPr>
              <w:jc w:val="right"/>
              <w:rPr>
                <w:rFonts w:ascii="Arial" w:hAnsi="Arial" w:cs="Arial"/>
                <w:sz w:val="22"/>
                <w:szCs w:val="22"/>
              </w:rPr>
            </w:pPr>
            <w:r w:rsidRPr="00E66B2D">
              <w:rPr>
                <w:rFonts w:ascii="Arial" w:hAnsi="Arial" w:cs="Arial"/>
                <w:sz w:val="22"/>
                <w:szCs w:val="22"/>
              </w:rPr>
              <w:t>2</w:t>
            </w:r>
            <w:r>
              <w:rPr>
                <w:rFonts w:ascii="Arial" w:hAnsi="Arial" w:cs="Arial"/>
                <w:sz w:val="22"/>
                <w:szCs w:val="22"/>
              </w:rPr>
              <w:t>84</w:t>
            </w:r>
            <w:r w:rsidRPr="00E66B2D">
              <w:rPr>
                <w:rFonts w:ascii="Arial" w:hAnsi="Arial" w:cs="Arial"/>
                <w:sz w:val="22"/>
                <w:szCs w:val="22"/>
              </w:rPr>
              <w:t>,</w:t>
            </w:r>
            <w:r>
              <w:rPr>
                <w:rFonts w:ascii="Arial" w:hAnsi="Arial" w:cs="Arial"/>
                <w:sz w:val="22"/>
                <w:szCs w:val="22"/>
              </w:rPr>
              <w:t>7</w:t>
            </w:r>
            <w:r w:rsidR="005402CE">
              <w:rPr>
                <w:rFonts w:ascii="Arial" w:hAnsi="Arial" w:cs="Arial"/>
                <w:sz w:val="22"/>
                <w:szCs w:val="22"/>
              </w:rPr>
              <w:t>83</w:t>
            </w:r>
          </w:p>
        </w:tc>
        <w:tc>
          <w:tcPr>
            <w:tcW w:w="1200" w:type="dxa"/>
            <w:tcBorders>
              <w:top w:val="nil"/>
              <w:left w:val="nil"/>
              <w:bottom w:val="nil"/>
              <w:right w:val="single" w:sz="8" w:space="0" w:color="auto"/>
            </w:tcBorders>
            <w:shd w:val="clear" w:color="000000" w:fill="CCCCCC"/>
            <w:vAlign w:val="center"/>
            <w:hideMark/>
          </w:tcPr>
          <w:p w14:paraId="38FF65C7" w14:textId="6C758A92" w:rsidR="009436E7" w:rsidRPr="00E66B2D" w:rsidRDefault="009436E7" w:rsidP="009436E7">
            <w:pPr>
              <w:jc w:val="right"/>
              <w:rPr>
                <w:rFonts w:ascii="Arial" w:hAnsi="Arial" w:cs="Arial"/>
                <w:sz w:val="22"/>
                <w:szCs w:val="22"/>
              </w:rPr>
            </w:pPr>
            <w:r>
              <w:rPr>
                <w:rFonts w:ascii="Arial" w:hAnsi="Arial" w:cs="Arial"/>
                <w:sz w:val="22"/>
                <w:szCs w:val="22"/>
              </w:rPr>
              <w:t>303,071</w:t>
            </w:r>
          </w:p>
        </w:tc>
      </w:tr>
      <w:tr w:rsidR="009436E7" w:rsidRPr="00E66B2D" w14:paraId="6059D1A4"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789EEE1B"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UK Pooled Equity</w:t>
            </w:r>
          </w:p>
        </w:tc>
        <w:tc>
          <w:tcPr>
            <w:tcW w:w="1260" w:type="dxa"/>
            <w:tcBorders>
              <w:top w:val="nil"/>
              <w:left w:val="nil"/>
              <w:bottom w:val="nil"/>
              <w:right w:val="nil"/>
            </w:tcBorders>
            <w:shd w:val="clear" w:color="000000" w:fill="CCCCCC"/>
            <w:vAlign w:val="center"/>
            <w:hideMark/>
          </w:tcPr>
          <w:p w14:paraId="04217E6B"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13FB850C"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332BDD59" w14:textId="738DC5F1" w:rsidR="009436E7" w:rsidRPr="00E66B2D" w:rsidRDefault="00687C66" w:rsidP="009436E7">
            <w:pPr>
              <w:jc w:val="center"/>
              <w:rPr>
                <w:rFonts w:ascii="Arial" w:hAnsi="Arial" w:cs="Arial"/>
                <w:color w:val="000000"/>
                <w:sz w:val="22"/>
                <w:szCs w:val="22"/>
              </w:rPr>
            </w:pPr>
            <w:r>
              <w:rPr>
                <w:rFonts w:ascii="Arial" w:hAnsi="Arial" w:cs="Arial"/>
                <w:color w:val="000000"/>
                <w:sz w:val="22"/>
                <w:szCs w:val="22"/>
              </w:rPr>
              <w:t>2/3</w:t>
            </w:r>
          </w:p>
        </w:tc>
        <w:tc>
          <w:tcPr>
            <w:tcW w:w="1180" w:type="dxa"/>
            <w:tcBorders>
              <w:top w:val="nil"/>
              <w:left w:val="nil"/>
              <w:bottom w:val="nil"/>
              <w:right w:val="nil"/>
            </w:tcBorders>
            <w:shd w:val="clear" w:color="000000" w:fill="FFFFFF"/>
            <w:vAlign w:val="center"/>
            <w:hideMark/>
          </w:tcPr>
          <w:p w14:paraId="34D77DD1" w14:textId="314767C0" w:rsidR="009436E7" w:rsidRPr="00E66B2D" w:rsidRDefault="009436E7" w:rsidP="009436E7">
            <w:pPr>
              <w:jc w:val="right"/>
              <w:rPr>
                <w:rFonts w:ascii="Arial" w:hAnsi="Arial" w:cs="Arial"/>
                <w:sz w:val="22"/>
                <w:szCs w:val="22"/>
              </w:rPr>
            </w:pPr>
            <w:r>
              <w:rPr>
                <w:rFonts w:ascii="Arial" w:hAnsi="Arial" w:cs="Arial"/>
                <w:sz w:val="22"/>
                <w:szCs w:val="22"/>
              </w:rPr>
              <w:t>1,82</w:t>
            </w:r>
            <w:r w:rsidR="005402CE">
              <w:rPr>
                <w:rFonts w:ascii="Arial" w:hAnsi="Arial" w:cs="Arial"/>
                <w:sz w:val="22"/>
                <w:szCs w:val="22"/>
              </w:rPr>
              <w:t>9</w:t>
            </w:r>
          </w:p>
        </w:tc>
        <w:tc>
          <w:tcPr>
            <w:tcW w:w="1200" w:type="dxa"/>
            <w:tcBorders>
              <w:top w:val="nil"/>
              <w:left w:val="nil"/>
              <w:bottom w:val="nil"/>
              <w:right w:val="single" w:sz="8" w:space="0" w:color="auto"/>
            </w:tcBorders>
            <w:shd w:val="clear" w:color="000000" w:fill="CCCCCC"/>
            <w:vAlign w:val="center"/>
            <w:hideMark/>
          </w:tcPr>
          <w:p w14:paraId="4A0296A3" w14:textId="082E0077" w:rsidR="009436E7" w:rsidRPr="00E66B2D" w:rsidRDefault="009436E7" w:rsidP="009436E7">
            <w:pPr>
              <w:jc w:val="right"/>
              <w:rPr>
                <w:rFonts w:ascii="Arial" w:hAnsi="Arial" w:cs="Arial"/>
                <w:sz w:val="22"/>
                <w:szCs w:val="22"/>
              </w:rPr>
            </w:pPr>
            <w:r>
              <w:rPr>
                <w:rFonts w:ascii="Arial" w:hAnsi="Arial" w:cs="Arial"/>
                <w:sz w:val="22"/>
                <w:szCs w:val="22"/>
              </w:rPr>
              <w:t>8</w:t>
            </w:r>
          </w:p>
        </w:tc>
      </w:tr>
      <w:tr w:rsidR="009436E7" w:rsidRPr="00E66B2D" w14:paraId="06534C49"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70CC6607"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UK Private Equity</w:t>
            </w:r>
          </w:p>
        </w:tc>
        <w:tc>
          <w:tcPr>
            <w:tcW w:w="1260" w:type="dxa"/>
            <w:tcBorders>
              <w:top w:val="nil"/>
              <w:left w:val="nil"/>
              <w:bottom w:val="nil"/>
              <w:right w:val="nil"/>
            </w:tcBorders>
            <w:shd w:val="clear" w:color="000000" w:fill="CCCCCC"/>
            <w:vAlign w:val="center"/>
            <w:hideMark/>
          </w:tcPr>
          <w:p w14:paraId="6C73187F"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167FA704"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3A370711" w14:textId="6A9E6ED4" w:rsidR="009436E7" w:rsidRPr="00E66B2D" w:rsidRDefault="00687C66" w:rsidP="009436E7">
            <w:pPr>
              <w:jc w:val="center"/>
              <w:rPr>
                <w:rFonts w:ascii="Arial" w:hAnsi="Arial" w:cs="Arial"/>
                <w:color w:val="000000"/>
                <w:sz w:val="22"/>
                <w:szCs w:val="22"/>
              </w:rPr>
            </w:pPr>
            <w:r>
              <w:rPr>
                <w:rFonts w:ascii="Arial" w:hAnsi="Arial" w:cs="Arial"/>
                <w:color w:val="000000"/>
                <w:sz w:val="22"/>
                <w:szCs w:val="22"/>
              </w:rPr>
              <w:t>2/3</w:t>
            </w:r>
          </w:p>
        </w:tc>
        <w:tc>
          <w:tcPr>
            <w:tcW w:w="1180" w:type="dxa"/>
            <w:tcBorders>
              <w:top w:val="nil"/>
              <w:left w:val="nil"/>
              <w:bottom w:val="nil"/>
              <w:right w:val="nil"/>
            </w:tcBorders>
            <w:shd w:val="clear" w:color="000000" w:fill="FFFFFF"/>
            <w:vAlign w:val="center"/>
            <w:hideMark/>
          </w:tcPr>
          <w:p w14:paraId="6C16DD02" w14:textId="3EC63721" w:rsidR="009436E7" w:rsidRPr="00E66B2D" w:rsidRDefault="009436E7" w:rsidP="009436E7">
            <w:pPr>
              <w:jc w:val="right"/>
              <w:rPr>
                <w:rFonts w:ascii="Arial" w:hAnsi="Arial" w:cs="Arial"/>
                <w:sz w:val="22"/>
                <w:szCs w:val="22"/>
              </w:rPr>
            </w:pPr>
            <w:r w:rsidRPr="00E66B2D">
              <w:rPr>
                <w:rFonts w:ascii="Arial" w:hAnsi="Arial" w:cs="Arial"/>
                <w:sz w:val="22"/>
                <w:szCs w:val="22"/>
              </w:rPr>
              <w:t>9,</w:t>
            </w:r>
            <w:r>
              <w:rPr>
                <w:rFonts w:ascii="Arial" w:hAnsi="Arial" w:cs="Arial"/>
                <w:sz w:val="22"/>
                <w:szCs w:val="22"/>
              </w:rPr>
              <w:t>78</w:t>
            </w:r>
            <w:r w:rsidR="005402CE">
              <w:rPr>
                <w:rFonts w:ascii="Arial" w:hAnsi="Arial" w:cs="Arial"/>
                <w:sz w:val="22"/>
                <w:szCs w:val="22"/>
              </w:rPr>
              <w:t>8</w:t>
            </w:r>
          </w:p>
        </w:tc>
        <w:tc>
          <w:tcPr>
            <w:tcW w:w="1200" w:type="dxa"/>
            <w:tcBorders>
              <w:top w:val="nil"/>
              <w:left w:val="nil"/>
              <w:bottom w:val="nil"/>
              <w:right w:val="single" w:sz="8" w:space="0" w:color="auto"/>
            </w:tcBorders>
            <w:shd w:val="clear" w:color="000000" w:fill="CCCCCC"/>
            <w:vAlign w:val="center"/>
            <w:hideMark/>
          </w:tcPr>
          <w:p w14:paraId="44297AA8" w14:textId="604B10E3" w:rsidR="009436E7" w:rsidRPr="00E66B2D" w:rsidRDefault="009436E7" w:rsidP="009436E7">
            <w:pPr>
              <w:jc w:val="right"/>
              <w:rPr>
                <w:rFonts w:ascii="Arial" w:hAnsi="Arial" w:cs="Arial"/>
                <w:sz w:val="22"/>
                <w:szCs w:val="22"/>
              </w:rPr>
            </w:pPr>
            <w:r>
              <w:rPr>
                <w:rFonts w:ascii="Arial" w:hAnsi="Arial" w:cs="Arial"/>
                <w:sz w:val="22"/>
                <w:szCs w:val="22"/>
              </w:rPr>
              <w:t>0</w:t>
            </w:r>
          </w:p>
        </w:tc>
      </w:tr>
      <w:tr w:rsidR="009436E7" w:rsidRPr="00E66B2D" w14:paraId="7B6F8D6E"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44A24A69"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Pooled Fixed Income</w:t>
            </w:r>
          </w:p>
        </w:tc>
        <w:tc>
          <w:tcPr>
            <w:tcW w:w="1260" w:type="dxa"/>
            <w:tcBorders>
              <w:top w:val="nil"/>
              <w:left w:val="nil"/>
              <w:bottom w:val="nil"/>
              <w:right w:val="nil"/>
            </w:tcBorders>
            <w:shd w:val="clear" w:color="000000" w:fill="CCCCCC"/>
            <w:vAlign w:val="center"/>
            <w:hideMark/>
          </w:tcPr>
          <w:p w14:paraId="210D7956"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1CF48DE5"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6CF43FC3" w14:textId="77777777"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1</w:t>
            </w:r>
          </w:p>
        </w:tc>
        <w:tc>
          <w:tcPr>
            <w:tcW w:w="1180" w:type="dxa"/>
            <w:tcBorders>
              <w:top w:val="nil"/>
              <w:left w:val="nil"/>
              <w:bottom w:val="nil"/>
              <w:right w:val="nil"/>
            </w:tcBorders>
            <w:shd w:val="clear" w:color="000000" w:fill="FFFFFF"/>
            <w:vAlign w:val="center"/>
            <w:hideMark/>
          </w:tcPr>
          <w:p w14:paraId="713F172B" w14:textId="3F96D274" w:rsidR="009436E7" w:rsidRPr="00E66B2D" w:rsidRDefault="009436E7" w:rsidP="009436E7">
            <w:pPr>
              <w:jc w:val="right"/>
              <w:rPr>
                <w:rFonts w:ascii="Arial" w:hAnsi="Arial" w:cs="Arial"/>
                <w:sz w:val="22"/>
                <w:szCs w:val="22"/>
              </w:rPr>
            </w:pPr>
            <w:r>
              <w:rPr>
                <w:rFonts w:ascii="Arial" w:hAnsi="Arial" w:cs="Arial"/>
                <w:sz w:val="22"/>
                <w:szCs w:val="22"/>
              </w:rPr>
              <w:t>23</w:t>
            </w:r>
            <w:r w:rsidRPr="00E66B2D">
              <w:rPr>
                <w:rFonts w:ascii="Arial" w:hAnsi="Arial" w:cs="Arial"/>
                <w:sz w:val="22"/>
                <w:szCs w:val="22"/>
              </w:rPr>
              <w:t>,</w:t>
            </w:r>
            <w:r>
              <w:rPr>
                <w:rFonts w:ascii="Arial" w:hAnsi="Arial" w:cs="Arial"/>
                <w:sz w:val="22"/>
                <w:szCs w:val="22"/>
              </w:rPr>
              <w:t>34</w:t>
            </w:r>
            <w:r w:rsidR="005402CE">
              <w:rPr>
                <w:rFonts w:ascii="Arial" w:hAnsi="Arial" w:cs="Arial"/>
                <w:sz w:val="22"/>
                <w:szCs w:val="22"/>
              </w:rPr>
              <w:t>3</w:t>
            </w:r>
          </w:p>
        </w:tc>
        <w:tc>
          <w:tcPr>
            <w:tcW w:w="1200" w:type="dxa"/>
            <w:tcBorders>
              <w:top w:val="nil"/>
              <w:left w:val="nil"/>
              <w:bottom w:val="nil"/>
              <w:right w:val="single" w:sz="8" w:space="0" w:color="auto"/>
            </w:tcBorders>
            <w:shd w:val="clear" w:color="000000" w:fill="CCCCCC"/>
            <w:vAlign w:val="center"/>
            <w:hideMark/>
          </w:tcPr>
          <w:p w14:paraId="1C68CC3A" w14:textId="6AFCFC84" w:rsidR="009436E7" w:rsidRPr="00E66B2D" w:rsidRDefault="009436E7" w:rsidP="009436E7">
            <w:pPr>
              <w:jc w:val="right"/>
              <w:rPr>
                <w:rFonts w:ascii="Arial" w:hAnsi="Arial" w:cs="Arial"/>
                <w:sz w:val="22"/>
                <w:szCs w:val="22"/>
              </w:rPr>
            </w:pPr>
            <w:r>
              <w:rPr>
                <w:rFonts w:ascii="Arial" w:hAnsi="Arial" w:cs="Arial"/>
                <w:sz w:val="22"/>
                <w:szCs w:val="22"/>
              </w:rPr>
              <w:t>33,104</w:t>
            </w:r>
          </w:p>
        </w:tc>
      </w:tr>
      <w:tr w:rsidR="009436E7" w:rsidRPr="00E66B2D" w14:paraId="0CB19081"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0191B64B"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Credit Funds</w:t>
            </w:r>
          </w:p>
        </w:tc>
        <w:tc>
          <w:tcPr>
            <w:tcW w:w="1260" w:type="dxa"/>
            <w:tcBorders>
              <w:top w:val="nil"/>
              <w:left w:val="nil"/>
              <w:bottom w:val="nil"/>
              <w:right w:val="nil"/>
            </w:tcBorders>
            <w:shd w:val="clear" w:color="000000" w:fill="CCCCCC"/>
            <w:vAlign w:val="center"/>
            <w:hideMark/>
          </w:tcPr>
          <w:p w14:paraId="4E0AFC24"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1677C0F5"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0B3227B6" w14:textId="77777777"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3</w:t>
            </w:r>
          </w:p>
        </w:tc>
        <w:tc>
          <w:tcPr>
            <w:tcW w:w="1180" w:type="dxa"/>
            <w:tcBorders>
              <w:top w:val="nil"/>
              <w:left w:val="nil"/>
              <w:bottom w:val="nil"/>
              <w:right w:val="nil"/>
            </w:tcBorders>
            <w:shd w:val="clear" w:color="000000" w:fill="FFFFFF"/>
            <w:vAlign w:val="center"/>
            <w:hideMark/>
          </w:tcPr>
          <w:p w14:paraId="1E2A2725" w14:textId="7DFB9113" w:rsidR="009436E7" w:rsidRPr="00E66B2D" w:rsidRDefault="009436E7" w:rsidP="009436E7">
            <w:pPr>
              <w:jc w:val="right"/>
              <w:rPr>
                <w:rFonts w:ascii="Arial" w:hAnsi="Arial" w:cs="Arial"/>
                <w:sz w:val="22"/>
                <w:szCs w:val="22"/>
              </w:rPr>
            </w:pPr>
            <w:r w:rsidRPr="00E66B2D">
              <w:rPr>
                <w:rFonts w:ascii="Arial" w:hAnsi="Arial" w:cs="Arial"/>
                <w:sz w:val="22"/>
                <w:szCs w:val="22"/>
              </w:rPr>
              <w:t>8</w:t>
            </w:r>
            <w:r>
              <w:rPr>
                <w:rFonts w:ascii="Arial" w:hAnsi="Arial" w:cs="Arial"/>
                <w:sz w:val="22"/>
                <w:szCs w:val="22"/>
              </w:rPr>
              <w:t>9</w:t>
            </w:r>
            <w:r w:rsidRPr="00E66B2D">
              <w:rPr>
                <w:rFonts w:ascii="Arial" w:hAnsi="Arial" w:cs="Arial"/>
                <w:sz w:val="22"/>
                <w:szCs w:val="22"/>
              </w:rPr>
              <w:t>,</w:t>
            </w:r>
            <w:r>
              <w:rPr>
                <w:rFonts w:ascii="Arial" w:hAnsi="Arial" w:cs="Arial"/>
                <w:sz w:val="22"/>
                <w:szCs w:val="22"/>
              </w:rPr>
              <w:t>3</w:t>
            </w:r>
            <w:r w:rsidR="005402CE">
              <w:rPr>
                <w:rFonts w:ascii="Arial" w:hAnsi="Arial" w:cs="Arial"/>
                <w:sz w:val="22"/>
                <w:szCs w:val="22"/>
              </w:rPr>
              <w:t>83</w:t>
            </w:r>
          </w:p>
        </w:tc>
        <w:tc>
          <w:tcPr>
            <w:tcW w:w="1200" w:type="dxa"/>
            <w:tcBorders>
              <w:top w:val="nil"/>
              <w:left w:val="nil"/>
              <w:bottom w:val="nil"/>
              <w:right w:val="single" w:sz="8" w:space="0" w:color="auto"/>
            </w:tcBorders>
            <w:shd w:val="clear" w:color="000000" w:fill="CCCCCC"/>
            <w:vAlign w:val="center"/>
            <w:hideMark/>
          </w:tcPr>
          <w:p w14:paraId="522C687E" w14:textId="1BE6B079" w:rsidR="009436E7" w:rsidRPr="00E66B2D" w:rsidRDefault="009436E7" w:rsidP="009436E7">
            <w:pPr>
              <w:jc w:val="right"/>
              <w:rPr>
                <w:rFonts w:ascii="Arial" w:hAnsi="Arial" w:cs="Arial"/>
                <w:sz w:val="22"/>
                <w:szCs w:val="22"/>
              </w:rPr>
            </w:pPr>
            <w:r>
              <w:rPr>
                <w:rFonts w:ascii="Arial" w:hAnsi="Arial" w:cs="Arial"/>
                <w:sz w:val="22"/>
                <w:szCs w:val="22"/>
              </w:rPr>
              <w:t>98,579</w:t>
            </w:r>
          </w:p>
        </w:tc>
      </w:tr>
      <w:tr w:rsidR="009436E7" w:rsidRPr="00E66B2D" w14:paraId="0E259B23"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13015977"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Infrastructure</w:t>
            </w:r>
          </w:p>
        </w:tc>
        <w:tc>
          <w:tcPr>
            <w:tcW w:w="1260" w:type="dxa"/>
            <w:tcBorders>
              <w:top w:val="nil"/>
              <w:left w:val="nil"/>
              <w:bottom w:val="nil"/>
              <w:right w:val="nil"/>
            </w:tcBorders>
            <w:shd w:val="clear" w:color="000000" w:fill="CCCCCC"/>
            <w:vAlign w:val="center"/>
            <w:hideMark/>
          </w:tcPr>
          <w:p w14:paraId="35D1F157"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5224588B"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5765A057" w14:textId="77777777"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3</w:t>
            </w:r>
          </w:p>
        </w:tc>
        <w:tc>
          <w:tcPr>
            <w:tcW w:w="1180" w:type="dxa"/>
            <w:tcBorders>
              <w:top w:val="nil"/>
              <w:left w:val="nil"/>
              <w:bottom w:val="nil"/>
              <w:right w:val="nil"/>
            </w:tcBorders>
            <w:shd w:val="clear" w:color="000000" w:fill="FFFFFF"/>
            <w:vAlign w:val="center"/>
            <w:hideMark/>
          </w:tcPr>
          <w:p w14:paraId="70C50D42" w14:textId="756FC476" w:rsidR="009436E7" w:rsidRPr="00E66B2D" w:rsidRDefault="009436E7" w:rsidP="009436E7">
            <w:pPr>
              <w:jc w:val="right"/>
              <w:rPr>
                <w:rFonts w:ascii="Arial" w:hAnsi="Arial" w:cs="Arial"/>
                <w:sz w:val="22"/>
                <w:szCs w:val="22"/>
              </w:rPr>
            </w:pPr>
            <w:r>
              <w:rPr>
                <w:rFonts w:ascii="Arial" w:hAnsi="Arial" w:cs="Arial"/>
                <w:sz w:val="22"/>
                <w:szCs w:val="22"/>
              </w:rPr>
              <w:t>91</w:t>
            </w:r>
            <w:r w:rsidRPr="00E66B2D">
              <w:rPr>
                <w:rFonts w:ascii="Arial" w:hAnsi="Arial" w:cs="Arial"/>
                <w:sz w:val="22"/>
                <w:szCs w:val="22"/>
              </w:rPr>
              <w:t>,</w:t>
            </w:r>
            <w:r w:rsidR="005402CE">
              <w:rPr>
                <w:rFonts w:ascii="Arial" w:hAnsi="Arial" w:cs="Arial"/>
                <w:sz w:val="22"/>
                <w:szCs w:val="22"/>
              </w:rPr>
              <w:t>405</w:t>
            </w:r>
          </w:p>
        </w:tc>
        <w:tc>
          <w:tcPr>
            <w:tcW w:w="1200" w:type="dxa"/>
            <w:tcBorders>
              <w:top w:val="nil"/>
              <w:left w:val="nil"/>
              <w:bottom w:val="nil"/>
              <w:right w:val="single" w:sz="8" w:space="0" w:color="auto"/>
            </w:tcBorders>
            <w:shd w:val="clear" w:color="000000" w:fill="CCCCCC"/>
            <w:vAlign w:val="center"/>
            <w:hideMark/>
          </w:tcPr>
          <w:p w14:paraId="529A8D25" w14:textId="14603E12" w:rsidR="009436E7" w:rsidRPr="00E66B2D" w:rsidRDefault="009436E7" w:rsidP="009436E7">
            <w:pPr>
              <w:jc w:val="right"/>
              <w:rPr>
                <w:rFonts w:ascii="Arial" w:hAnsi="Arial" w:cs="Arial"/>
                <w:sz w:val="22"/>
                <w:szCs w:val="22"/>
              </w:rPr>
            </w:pPr>
            <w:r>
              <w:rPr>
                <w:rFonts w:ascii="Arial" w:hAnsi="Arial" w:cs="Arial"/>
                <w:sz w:val="22"/>
                <w:szCs w:val="22"/>
              </w:rPr>
              <w:t>81,541</w:t>
            </w:r>
          </w:p>
        </w:tc>
      </w:tr>
      <w:tr w:rsidR="009436E7" w:rsidRPr="00E66B2D" w14:paraId="7A4C028A"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53BD4742"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Property</w:t>
            </w:r>
          </w:p>
        </w:tc>
        <w:tc>
          <w:tcPr>
            <w:tcW w:w="1260" w:type="dxa"/>
            <w:tcBorders>
              <w:top w:val="nil"/>
              <w:left w:val="nil"/>
              <w:bottom w:val="nil"/>
              <w:right w:val="nil"/>
            </w:tcBorders>
            <w:shd w:val="clear" w:color="000000" w:fill="CCCCCC"/>
            <w:vAlign w:val="center"/>
            <w:hideMark/>
          </w:tcPr>
          <w:p w14:paraId="1F639C00" w14:textId="77777777" w:rsidR="009436E7" w:rsidRPr="00E66B2D" w:rsidRDefault="009436E7" w:rsidP="009436E7">
            <w:pPr>
              <w:rPr>
                <w:rFonts w:ascii="Arial" w:hAnsi="Arial" w:cs="Arial"/>
                <w:color w:val="000000"/>
                <w:sz w:val="22"/>
                <w:szCs w:val="22"/>
              </w:rPr>
            </w:pPr>
            <w:r w:rsidRPr="00E66B2D">
              <w:rPr>
                <w:rFonts w:ascii="Arial" w:hAnsi="Arial" w:cs="Arial"/>
                <w:color w:val="000000"/>
                <w:sz w:val="22"/>
                <w:szCs w:val="22"/>
              </w:rPr>
              <w:t> </w:t>
            </w:r>
          </w:p>
        </w:tc>
        <w:tc>
          <w:tcPr>
            <w:tcW w:w="1180" w:type="dxa"/>
            <w:tcBorders>
              <w:top w:val="nil"/>
              <w:left w:val="nil"/>
              <w:bottom w:val="nil"/>
              <w:right w:val="nil"/>
            </w:tcBorders>
            <w:shd w:val="clear" w:color="000000" w:fill="CCCCCC"/>
            <w:vAlign w:val="center"/>
            <w:hideMark/>
          </w:tcPr>
          <w:p w14:paraId="4B646A7D"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665629FB" w14:textId="77777777" w:rsidR="009436E7" w:rsidRPr="00E66B2D" w:rsidRDefault="009436E7" w:rsidP="009436E7">
            <w:pPr>
              <w:jc w:val="center"/>
              <w:rPr>
                <w:rFonts w:ascii="Arial" w:hAnsi="Arial" w:cs="Arial"/>
                <w:color w:val="000000"/>
                <w:sz w:val="22"/>
                <w:szCs w:val="22"/>
              </w:rPr>
            </w:pPr>
            <w:r w:rsidRPr="00E66B2D">
              <w:rPr>
                <w:rFonts w:ascii="Arial" w:hAnsi="Arial" w:cs="Arial"/>
                <w:color w:val="000000"/>
                <w:sz w:val="22"/>
                <w:szCs w:val="22"/>
              </w:rPr>
              <w:t>3</w:t>
            </w:r>
          </w:p>
        </w:tc>
        <w:tc>
          <w:tcPr>
            <w:tcW w:w="1180" w:type="dxa"/>
            <w:tcBorders>
              <w:top w:val="nil"/>
              <w:left w:val="nil"/>
              <w:bottom w:val="nil"/>
              <w:right w:val="nil"/>
            </w:tcBorders>
            <w:shd w:val="clear" w:color="000000" w:fill="FFFFFF"/>
            <w:vAlign w:val="center"/>
            <w:hideMark/>
          </w:tcPr>
          <w:p w14:paraId="12956398" w14:textId="7698A763" w:rsidR="009436E7" w:rsidRPr="00E66B2D" w:rsidRDefault="009436E7" w:rsidP="009436E7">
            <w:pPr>
              <w:jc w:val="right"/>
              <w:rPr>
                <w:rFonts w:ascii="Arial" w:hAnsi="Arial" w:cs="Arial"/>
                <w:sz w:val="22"/>
                <w:szCs w:val="22"/>
              </w:rPr>
            </w:pPr>
            <w:r w:rsidRPr="00E66B2D">
              <w:rPr>
                <w:rFonts w:ascii="Arial" w:hAnsi="Arial" w:cs="Arial"/>
                <w:sz w:val="22"/>
                <w:szCs w:val="22"/>
              </w:rPr>
              <w:t>4</w:t>
            </w:r>
            <w:r>
              <w:rPr>
                <w:rFonts w:ascii="Arial" w:hAnsi="Arial" w:cs="Arial"/>
                <w:sz w:val="22"/>
                <w:szCs w:val="22"/>
              </w:rPr>
              <w:t>8</w:t>
            </w:r>
            <w:r w:rsidRPr="00E66B2D">
              <w:rPr>
                <w:rFonts w:ascii="Arial" w:hAnsi="Arial" w:cs="Arial"/>
                <w:sz w:val="22"/>
                <w:szCs w:val="22"/>
              </w:rPr>
              <w:t>,</w:t>
            </w:r>
            <w:r>
              <w:rPr>
                <w:rFonts w:ascii="Arial" w:hAnsi="Arial" w:cs="Arial"/>
                <w:sz w:val="22"/>
                <w:szCs w:val="22"/>
              </w:rPr>
              <w:t>06</w:t>
            </w:r>
            <w:r w:rsidR="005402CE">
              <w:rPr>
                <w:rFonts w:ascii="Arial" w:hAnsi="Arial" w:cs="Arial"/>
                <w:sz w:val="22"/>
                <w:szCs w:val="22"/>
              </w:rPr>
              <w:t>4</w:t>
            </w:r>
          </w:p>
        </w:tc>
        <w:tc>
          <w:tcPr>
            <w:tcW w:w="1200" w:type="dxa"/>
            <w:tcBorders>
              <w:top w:val="nil"/>
              <w:left w:val="nil"/>
              <w:bottom w:val="nil"/>
              <w:right w:val="single" w:sz="8" w:space="0" w:color="auto"/>
            </w:tcBorders>
            <w:shd w:val="clear" w:color="000000" w:fill="CCCCCC"/>
            <w:vAlign w:val="center"/>
            <w:hideMark/>
          </w:tcPr>
          <w:p w14:paraId="081A76CB" w14:textId="0BE5FBAD" w:rsidR="009436E7" w:rsidRPr="00E66B2D" w:rsidRDefault="009436E7" w:rsidP="009436E7">
            <w:pPr>
              <w:jc w:val="right"/>
              <w:rPr>
                <w:rFonts w:ascii="Arial" w:hAnsi="Arial" w:cs="Arial"/>
                <w:sz w:val="22"/>
                <w:szCs w:val="22"/>
              </w:rPr>
            </w:pPr>
            <w:r>
              <w:rPr>
                <w:rFonts w:ascii="Arial" w:hAnsi="Arial" w:cs="Arial"/>
                <w:sz w:val="22"/>
                <w:szCs w:val="22"/>
              </w:rPr>
              <w:t>41,923</w:t>
            </w:r>
          </w:p>
        </w:tc>
      </w:tr>
      <w:tr w:rsidR="009436E7" w:rsidRPr="00E66B2D" w14:paraId="2C958245" w14:textId="77777777" w:rsidTr="00E66B2D">
        <w:trPr>
          <w:trHeight w:val="315"/>
        </w:trPr>
        <w:tc>
          <w:tcPr>
            <w:tcW w:w="3820" w:type="dxa"/>
            <w:tcBorders>
              <w:top w:val="nil"/>
              <w:left w:val="single" w:sz="8" w:space="0" w:color="auto"/>
              <w:bottom w:val="nil"/>
              <w:right w:val="nil"/>
            </w:tcBorders>
            <w:shd w:val="clear" w:color="000000" w:fill="CCCCCC"/>
            <w:vAlign w:val="center"/>
            <w:hideMark/>
          </w:tcPr>
          <w:p w14:paraId="510A5C32"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Sub-Total Other Investment Funds</w:t>
            </w:r>
          </w:p>
        </w:tc>
        <w:tc>
          <w:tcPr>
            <w:tcW w:w="1260" w:type="dxa"/>
            <w:tcBorders>
              <w:top w:val="nil"/>
              <w:left w:val="nil"/>
              <w:bottom w:val="nil"/>
              <w:right w:val="nil"/>
            </w:tcBorders>
            <w:shd w:val="clear" w:color="000000" w:fill="CCCCCC"/>
            <w:vAlign w:val="center"/>
            <w:hideMark/>
          </w:tcPr>
          <w:p w14:paraId="157FD1F1"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nil"/>
              <w:right w:val="nil"/>
            </w:tcBorders>
            <w:shd w:val="clear" w:color="000000" w:fill="CCCCCC"/>
            <w:vAlign w:val="center"/>
            <w:hideMark/>
          </w:tcPr>
          <w:p w14:paraId="63A5D3FB"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nil"/>
              <w:right w:val="nil"/>
            </w:tcBorders>
            <w:shd w:val="clear" w:color="000000" w:fill="CCCCCC"/>
            <w:vAlign w:val="center"/>
            <w:hideMark/>
          </w:tcPr>
          <w:p w14:paraId="6BC21E52"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11121D56" w14:textId="4963990A" w:rsidR="009436E7" w:rsidRPr="00E66B2D" w:rsidRDefault="009436E7" w:rsidP="009436E7">
            <w:pPr>
              <w:jc w:val="right"/>
              <w:rPr>
                <w:rFonts w:ascii="Arial" w:hAnsi="Arial" w:cs="Arial"/>
                <w:b/>
                <w:bCs/>
                <w:sz w:val="22"/>
                <w:szCs w:val="22"/>
              </w:rPr>
            </w:pPr>
            <w:r>
              <w:rPr>
                <w:rFonts w:ascii="Arial" w:hAnsi="Arial" w:cs="Arial"/>
                <w:b/>
                <w:bCs/>
                <w:sz w:val="22"/>
                <w:szCs w:val="22"/>
              </w:rPr>
              <w:t>5</w:t>
            </w:r>
            <w:r w:rsidRPr="00E66B2D">
              <w:rPr>
                <w:rFonts w:ascii="Arial" w:hAnsi="Arial" w:cs="Arial"/>
                <w:b/>
                <w:bCs/>
                <w:sz w:val="22"/>
                <w:szCs w:val="22"/>
              </w:rPr>
              <w:t>48,</w:t>
            </w:r>
            <w:r>
              <w:rPr>
                <w:rFonts w:ascii="Arial" w:hAnsi="Arial" w:cs="Arial"/>
                <w:b/>
                <w:bCs/>
                <w:sz w:val="22"/>
                <w:szCs w:val="22"/>
              </w:rPr>
              <w:t>5</w:t>
            </w:r>
            <w:r w:rsidR="005402CE">
              <w:rPr>
                <w:rFonts w:ascii="Arial" w:hAnsi="Arial" w:cs="Arial"/>
                <w:b/>
                <w:bCs/>
                <w:sz w:val="22"/>
                <w:szCs w:val="22"/>
              </w:rPr>
              <w:t>95</w:t>
            </w:r>
          </w:p>
        </w:tc>
        <w:tc>
          <w:tcPr>
            <w:tcW w:w="1200" w:type="dxa"/>
            <w:tcBorders>
              <w:top w:val="nil"/>
              <w:left w:val="nil"/>
              <w:bottom w:val="nil"/>
              <w:right w:val="single" w:sz="8" w:space="0" w:color="auto"/>
            </w:tcBorders>
            <w:shd w:val="clear" w:color="000000" w:fill="CCCCCC"/>
            <w:vAlign w:val="center"/>
            <w:hideMark/>
          </w:tcPr>
          <w:p w14:paraId="7EFC354B" w14:textId="1A273BCF" w:rsidR="009436E7" w:rsidRPr="00E66B2D" w:rsidRDefault="009436E7" w:rsidP="009436E7">
            <w:pPr>
              <w:jc w:val="right"/>
              <w:rPr>
                <w:rFonts w:ascii="Arial" w:hAnsi="Arial" w:cs="Arial"/>
                <w:b/>
                <w:bCs/>
                <w:sz w:val="22"/>
                <w:szCs w:val="22"/>
              </w:rPr>
            </w:pPr>
            <w:r>
              <w:rPr>
                <w:rFonts w:ascii="Arial" w:hAnsi="Arial" w:cs="Arial"/>
                <w:b/>
                <w:bCs/>
                <w:sz w:val="22"/>
                <w:szCs w:val="22"/>
              </w:rPr>
              <w:t>558,226</w:t>
            </w:r>
          </w:p>
        </w:tc>
      </w:tr>
      <w:tr w:rsidR="009436E7" w:rsidRPr="00E66B2D" w14:paraId="4043ABF7" w14:textId="77777777" w:rsidTr="00E66B2D">
        <w:trPr>
          <w:trHeight w:val="300"/>
        </w:trPr>
        <w:tc>
          <w:tcPr>
            <w:tcW w:w="3820" w:type="dxa"/>
            <w:tcBorders>
              <w:top w:val="nil"/>
              <w:left w:val="single" w:sz="8" w:space="0" w:color="auto"/>
              <w:bottom w:val="nil"/>
              <w:right w:val="nil"/>
            </w:tcBorders>
            <w:shd w:val="clear" w:color="000000" w:fill="CCCCCC"/>
            <w:vAlign w:val="center"/>
            <w:hideMark/>
          </w:tcPr>
          <w:p w14:paraId="7EB36D00"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260" w:type="dxa"/>
            <w:tcBorders>
              <w:top w:val="nil"/>
              <w:left w:val="nil"/>
              <w:bottom w:val="nil"/>
              <w:right w:val="nil"/>
            </w:tcBorders>
            <w:shd w:val="clear" w:color="000000" w:fill="CCCCCC"/>
            <w:vAlign w:val="center"/>
            <w:hideMark/>
          </w:tcPr>
          <w:p w14:paraId="44699455"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80" w:type="dxa"/>
            <w:tcBorders>
              <w:top w:val="nil"/>
              <w:left w:val="nil"/>
              <w:bottom w:val="nil"/>
              <w:right w:val="nil"/>
            </w:tcBorders>
            <w:shd w:val="clear" w:color="000000" w:fill="CCCCCC"/>
            <w:vAlign w:val="center"/>
            <w:hideMark/>
          </w:tcPr>
          <w:p w14:paraId="216C5A1F" w14:textId="77777777" w:rsidR="009436E7" w:rsidRPr="00E66B2D" w:rsidRDefault="009436E7" w:rsidP="009436E7">
            <w:pPr>
              <w:rPr>
                <w:rFonts w:ascii="Arial" w:hAnsi="Arial" w:cs="Arial"/>
                <w:sz w:val="22"/>
                <w:szCs w:val="22"/>
              </w:rPr>
            </w:pPr>
            <w:r w:rsidRPr="00E66B2D">
              <w:rPr>
                <w:rFonts w:ascii="Arial" w:hAnsi="Arial" w:cs="Arial"/>
                <w:sz w:val="22"/>
                <w:szCs w:val="22"/>
              </w:rPr>
              <w:t> </w:t>
            </w:r>
          </w:p>
        </w:tc>
        <w:tc>
          <w:tcPr>
            <w:tcW w:w="1160" w:type="dxa"/>
            <w:tcBorders>
              <w:top w:val="nil"/>
              <w:left w:val="nil"/>
              <w:bottom w:val="nil"/>
              <w:right w:val="nil"/>
            </w:tcBorders>
            <w:shd w:val="clear" w:color="000000" w:fill="CCCCCC"/>
            <w:vAlign w:val="center"/>
            <w:hideMark/>
          </w:tcPr>
          <w:p w14:paraId="54CA178D"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nil"/>
              <w:right w:val="nil"/>
            </w:tcBorders>
            <w:shd w:val="clear" w:color="000000" w:fill="FFFFFF"/>
            <w:vAlign w:val="center"/>
            <w:hideMark/>
          </w:tcPr>
          <w:p w14:paraId="67F65037" w14:textId="77777777" w:rsidR="009436E7" w:rsidRPr="00E66B2D" w:rsidRDefault="009436E7" w:rsidP="009436E7">
            <w:pPr>
              <w:jc w:val="center"/>
              <w:rPr>
                <w:rFonts w:ascii="Arial" w:hAnsi="Arial" w:cs="Arial"/>
                <w:sz w:val="22"/>
                <w:szCs w:val="22"/>
              </w:rPr>
            </w:pPr>
            <w:r w:rsidRPr="00E66B2D">
              <w:rPr>
                <w:rFonts w:ascii="Arial" w:hAnsi="Arial" w:cs="Arial"/>
                <w:sz w:val="22"/>
                <w:szCs w:val="22"/>
              </w:rPr>
              <w:t> </w:t>
            </w:r>
          </w:p>
        </w:tc>
        <w:tc>
          <w:tcPr>
            <w:tcW w:w="1200" w:type="dxa"/>
            <w:tcBorders>
              <w:top w:val="nil"/>
              <w:left w:val="nil"/>
              <w:bottom w:val="nil"/>
              <w:right w:val="single" w:sz="8" w:space="0" w:color="auto"/>
            </w:tcBorders>
            <w:shd w:val="clear" w:color="000000" w:fill="CCCCCC"/>
            <w:vAlign w:val="center"/>
            <w:hideMark/>
          </w:tcPr>
          <w:p w14:paraId="6F703F92" w14:textId="003E3547" w:rsidR="009436E7" w:rsidRPr="00E66B2D" w:rsidRDefault="009436E7" w:rsidP="009436E7">
            <w:pPr>
              <w:jc w:val="center"/>
              <w:rPr>
                <w:rFonts w:ascii="Arial" w:hAnsi="Arial" w:cs="Arial"/>
                <w:sz w:val="22"/>
                <w:szCs w:val="22"/>
              </w:rPr>
            </w:pPr>
            <w:r>
              <w:rPr>
                <w:rFonts w:ascii="Arial" w:hAnsi="Arial" w:cs="Arial"/>
                <w:sz w:val="22"/>
                <w:szCs w:val="22"/>
              </w:rPr>
              <w:t> </w:t>
            </w:r>
          </w:p>
        </w:tc>
      </w:tr>
      <w:tr w:rsidR="009436E7" w:rsidRPr="00E66B2D" w14:paraId="7B1DAFF3" w14:textId="77777777" w:rsidTr="00E66B2D">
        <w:trPr>
          <w:trHeight w:val="315"/>
        </w:trPr>
        <w:tc>
          <w:tcPr>
            <w:tcW w:w="3820" w:type="dxa"/>
            <w:tcBorders>
              <w:top w:val="nil"/>
              <w:left w:val="single" w:sz="8" w:space="0" w:color="auto"/>
              <w:bottom w:val="single" w:sz="8" w:space="0" w:color="auto"/>
              <w:right w:val="nil"/>
            </w:tcBorders>
            <w:shd w:val="clear" w:color="000000" w:fill="CCCCCC"/>
            <w:vAlign w:val="center"/>
            <w:hideMark/>
          </w:tcPr>
          <w:p w14:paraId="7F28FA2B"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TOTAL ASSETS*</w:t>
            </w:r>
          </w:p>
        </w:tc>
        <w:tc>
          <w:tcPr>
            <w:tcW w:w="1260" w:type="dxa"/>
            <w:tcBorders>
              <w:top w:val="nil"/>
              <w:left w:val="nil"/>
              <w:bottom w:val="single" w:sz="8" w:space="0" w:color="auto"/>
              <w:right w:val="nil"/>
            </w:tcBorders>
            <w:shd w:val="clear" w:color="000000" w:fill="CCCCCC"/>
            <w:vAlign w:val="center"/>
            <w:hideMark/>
          </w:tcPr>
          <w:p w14:paraId="621242D9" w14:textId="77777777" w:rsidR="009436E7" w:rsidRPr="00E66B2D" w:rsidRDefault="009436E7" w:rsidP="009436E7">
            <w:pPr>
              <w:rPr>
                <w:rFonts w:ascii="Arial" w:hAnsi="Arial" w:cs="Arial"/>
                <w:b/>
                <w:bCs/>
                <w:color w:val="000000"/>
                <w:sz w:val="22"/>
                <w:szCs w:val="22"/>
              </w:rPr>
            </w:pPr>
            <w:r w:rsidRPr="00E66B2D">
              <w:rPr>
                <w:rFonts w:ascii="Arial" w:hAnsi="Arial" w:cs="Arial"/>
                <w:b/>
                <w:bCs/>
                <w:color w:val="000000"/>
                <w:sz w:val="22"/>
                <w:szCs w:val="22"/>
              </w:rPr>
              <w:t> </w:t>
            </w:r>
          </w:p>
        </w:tc>
        <w:tc>
          <w:tcPr>
            <w:tcW w:w="1180" w:type="dxa"/>
            <w:tcBorders>
              <w:top w:val="nil"/>
              <w:left w:val="nil"/>
              <w:bottom w:val="single" w:sz="8" w:space="0" w:color="auto"/>
              <w:right w:val="nil"/>
            </w:tcBorders>
            <w:shd w:val="clear" w:color="000000" w:fill="CCCCCC"/>
            <w:vAlign w:val="center"/>
            <w:hideMark/>
          </w:tcPr>
          <w:p w14:paraId="719B6927" w14:textId="77777777" w:rsidR="009436E7" w:rsidRPr="00E66B2D" w:rsidRDefault="009436E7" w:rsidP="009436E7">
            <w:pPr>
              <w:rPr>
                <w:rFonts w:ascii="Arial" w:hAnsi="Arial" w:cs="Arial"/>
                <w:b/>
                <w:bCs/>
                <w:sz w:val="22"/>
                <w:szCs w:val="22"/>
              </w:rPr>
            </w:pPr>
            <w:r w:rsidRPr="00E66B2D">
              <w:rPr>
                <w:rFonts w:ascii="Arial" w:hAnsi="Arial" w:cs="Arial"/>
                <w:b/>
                <w:bCs/>
                <w:sz w:val="22"/>
                <w:szCs w:val="22"/>
              </w:rPr>
              <w:t> </w:t>
            </w:r>
          </w:p>
        </w:tc>
        <w:tc>
          <w:tcPr>
            <w:tcW w:w="1160" w:type="dxa"/>
            <w:tcBorders>
              <w:top w:val="nil"/>
              <w:left w:val="nil"/>
              <w:bottom w:val="single" w:sz="8" w:space="0" w:color="auto"/>
              <w:right w:val="nil"/>
            </w:tcBorders>
            <w:shd w:val="clear" w:color="000000" w:fill="CCCCCC"/>
            <w:vAlign w:val="center"/>
            <w:hideMark/>
          </w:tcPr>
          <w:p w14:paraId="721DF3B4" w14:textId="77777777" w:rsidR="009436E7" w:rsidRPr="00E66B2D" w:rsidRDefault="009436E7" w:rsidP="009436E7">
            <w:pPr>
              <w:jc w:val="center"/>
              <w:rPr>
                <w:rFonts w:ascii="Arial" w:hAnsi="Arial" w:cs="Arial"/>
                <w:b/>
                <w:bCs/>
                <w:sz w:val="22"/>
                <w:szCs w:val="22"/>
              </w:rPr>
            </w:pPr>
            <w:r w:rsidRPr="00E66B2D">
              <w:rPr>
                <w:rFonts w:ascii="Arial" w:hAnsi="Arial" w:cs="Arial"/>
                <w:b/>
                <w:bCs/>
                <w:sz w:val="22"/>
                <w:szCs w:val="22"/>
              </w:rPr>
              <w:t> </w:t>
            </w:r>
          </w:p>
        </w:tc>
        <w:tc>
          <w:tcPr>
            <w:tcW w:w="1180" w:type="dxa"/>
            <w:tcBorders>
              <w:top w:val="nil"/>
              <w:left w:val="nil"/>
              <w:bottom w:val="single" w:sz="8" w:space="0" w:color="auto"/>
              <w:right w:val="nil"/>
            </w:tcBorders>
            <w:shd w:val="clear" w:color="000000" w:fill="FFFFFF"/>
            <w:vAlign w:val="center"/>
            <w:hideMark/>
          </w:tcPr>
          <w:p w14:paraId="021B2805" w14:textId="7EA50E5C" w:rsidR="009436E7" w:rsidRPr="00E66B2D" w:rsidRDefault="009436E7" w:rsidP="009436E7">
            <w:pPr>
              <w:jc w:val="right"/>
              <w:rPr>
                <w:rFonts w:ascii="Arial" w:hAnsi="Arial" w:cs="Arial"/>
                <w:b/>
                <w:bCs/>
                <w:sz w:val="22"/>
                <w:szCs w:val="22"/>
              </w:rPr>
            </w:pPr>
            <w:r>
              <w:rPr>
                <w:rFonts w:ascii="Arial" w:hAnsi="Arial" w:cs="Arial"/>
                <w:b/>
                <w:bCs/>
                <w:sz w:val="22"/>
                <w:szCs w:val="22"/>
              </w:rPr>
              <w:t>604</w:t>
            </w:r>
            <w:r w:rsidRPr="00E66B2D">
              <w:rPr>
                <w:rFonts w:ascii="Arial" w:hAnsi="Arial" w:cs="Arial"/>
                <w:b/>
                <w:bCs/>
                <w:sz w:val="22"/>
                <w:szCs w:val="22"/>
              </w:rPr>
              <w:t>,</w:t>
            </w:r>
            <w:r w:rsidR="005402CE">
              <w:rPr>
                <w:rFonts w:ascii="Arial" w:hAnsi="Arial" w:cs="Arial"/>
                <w:b/>
                <w:bCs/>
                <w:sz w:val="22"/>
                <w:szCs w:val="22"/>
              </w:rPr>
              <w:t>411</w:t>
            </w:r>
          </w:p>
        </w:tc>
        <w:tc>
          <w:tcPr>
            <w:tcW w:w="1200" w:type="dxa"/>
            <w:tcBorders>
              <w:top w:val="nil"/>
              <w:left w:val="nil"/>
              <w:bottom w:val="single" w:sz="8" w:space="0" w:color="auto"/>
              <w:right w:val="single" w:sz="8" w:space="0" w:color="auto"/>
            </w:tcBorders>
            <w:shd w:val="clear" w:color="000000" w:fill="CCCCCC"/>
            <w:vAlign w:val="center"/>
            <w:hideMark/>
          </w:tcPr>
          <w:p w14:paraId="66DB0362" w14:textId="101E7BA5" w:rsidR="009436E7" w:rsidRPr="00E66B2D" w:rsidRDefault="009436E7" w:rsidP="009436E7">
            <w:pPr>
              <w:jc w:val="right"/>
              <w:rPr>
                <w:rFonts w:ascii="Arial" w:hAnsi="Arial" w:cs="Arial"/>
                <w:b/>
                <w:bCs/>
                <w:sz w:val="22"/>
                <w:szCs w:val="22"/>
              </w:rPr>
            </w:pPr>
            <w:r>
              <w:rPr>
                <w:rFonts w:ascii="Arial" w:hAnsi="Arial" w:cs="Arial"/>
                <w:b/>
                <w:bCs/>
                <w:sz w:val="22"/>
                <w:szCs w:val="22"/>
              </w:rPr>
              <w:t>613,633</w:t>
            </w:r>
          </w:p>
        </w:tc>
      </w:tr>
    </w:tbl>
    <w:p w14:paraId="3AFFD3C9" w14:textId="77777777" w:rsidR="003B74DA" w:rsidRPr="00645FC2" w:rsidRDefault="003B74DA" w:rsidP="003B74DA">
      <w:pPr>
        <w:tabs>
          <w:tab w:val="left" w:pos="426"/>
        </w:tabs>
        <w:ind w:left="426"/>
        <w:rPr>
          <w:rFonts w:ascii="Arial" w:hAnsi="Arial" w:cs="Arial"/>
          <w:b/>
          <w:sz w:val="22"/>
          <w:szCs w:val="22"/>
          <w:highlight w:val="yellow"/>
        </w:rPr>
      </w:pPr>
    </w:p>
    <w:p w14:paraId="57A853DC" w14:textId="2A6D3141" w:rsidR="003B74DA" w:rsidRDefault="00735D9D" w:rsidP="003B74DA">
      <w:pPr>
        <w:tabs>
          <w:tab w:val="left" w:pos="426"/>
        </w:tabs>
        <w:ind w:left="426"/>
        <w:rPr>
          <w:rFonts w:ascii="Arial" w:hAnsi="Arial"/>
          <w:sz w:val="22"/>
          <w:szCs w:val="22"/>
        </w:rPr>
      </w:pPr>
      <w:r w:rsidRPr="00E66B2D">
        <w:rPr>
          <w:rFonts w:ascii="Arial" w:hAnsi="Arial"/>
          <w:sz w:val="22"/>
          <w:szCs w:val="22"/>
        </w:rPr>
        <w:t>*At 31 March 202</w:t>
      </w:r>
      <w:r w:rsidR="005402CE">
        <w:rPr>
          <w:rFonts w:ascii="Arial" w:hAnsi="Arial"/>
          <w:sz w:val="22"/>
          <w:szCs w:val="22"/>
        </w:rPr>
        <w:t>5</w:t>
      </w:r>
      <w:r w:rsidRPr="00E66B2D">
        <w:rPr>
          <w:rFonts w:ascii="Arial" w:hAnsi="Arial"/>
          <w:sz w:val="22"/>
          <w:szCs w:val="22"/>
        </w:rPr>
        <w:t xml:space="preserve"> the share of these assets that relate to staff of the Office of the PCC are £</w:t>
      </w:r>
      <w:r w:rsidR="00E66B2D" w:rsidRPr="00E66B2D">
        <w:rPr>
          <w:rFonts w:ascii="Arial" w:hAnsi="Arial"/>
          <w:sz w:val="22"/>
          <w:szCs w:val="22"/>
        </w:rPr>
        <w:t>9.</w:t>
      </w:r>
      <w:r w:rsidR="008405B5">
        <w:rPr>
          <w:rFonts w:ascii="Arial" w:hAnsi="Arial"/>
          <w:sz w:val="22"/>
          <w:szCs w:val="22"/>
        </w:rPr>
        <w:t>526</w:t>
      </w:r>
      <w:r w:rsidRPr="00E66B2D">
        <w:rPr>
          <w:rFonts w:ascii="Arial" w:hAnsi="Arial"/>
          <w:sz w:val="22"/>
          <w:szCs w:val="22"/>
        </w:rPr>
        <w:t>m (£</w:t>
      </w:r>
      <w:r w:rsidR="00395693">
        <w:rPr>
          <w:rFonts w:ascii="Arial" w:hAnsi="Arial"/>
          <w:sz w:val="22"/>
          <w:szCs w:val="22"/>
        </w:rPr>
        <w:t>9</w:t>
      </w:r>
      <w:r w:rsidRPr="00E66B2D">
        <w:rPr>
          <w:rFonts w:ascii="Arial" w:hAnsi="Arial"/>
          <w:sz w:val="22"/>
          <w:szCs w:val="22"/>
        </w:rPr>
        <w:t>.</w:t>
      </w:r>
      <w:r w:rsidR="00395693">
        <w:rPr>
          <w:rFonts w:ascii="Arial" w:hAnsi="Arial"/>
          <w:sz w:val="22"/>
          <w:szCs w:val="22"/>
        </w:rPr>
        <w:t>259</w:t>
      </w:r>
      <w:r w:rsidRPr="00E66B2D">
        <w:rPr>
          <w:rFonts w:ascii="Arial" w:hAnsi="Arial"/>
          <w:sz w:val="22"/>
          <w:szCs w:val="22"/>
        </w:rPr>
        <w:t>m at 31 March 202</w:t>
      </w:r>
      <w:r w:rsidR="005402CE">
        <w:rPr>
          <w:rFonts w:ascii="Arial" w:hAnsi="Arial"/>
          <w:sz w:val="22"/>
          <w:szCs w:val="22"/>
        </w:rPr>
        <w:t>4</w:t>
      </w:r>
      <w:r w:rsidR="00841D40" w:rsidRPr="00E66B2D">
        <w:rPr>
          <w:rFonts w:ascii="Arial" w:hAnsi="Arial"/>
          <w:sz w:val="22"/>
          <w:szCs w:val="22"/>
        </w:rPr>
        <w:t>)</w:t>
      </w:r>
    </w:p>
    <w:p w14:paraId="2A83540B" w14:textId="77777777" w:rsidR="00AD229F" w:rsidRDefault="00AD229F" w:rsidP="003B74DA">
      <w:pPr>
        <w:tabs>
          <w:tab w:val="left" w:pos="426"/>
        </w:tabs>
        <w:ind w:left="426"/>
        <w:rPr>
          <w:rFonts w:ascii="Arial" w:hAnsi="Arial"/>
          <w:sz w:val="22"/>
          <w:szCs w:val="22"/>
        </w:rPr>
      </w:pPr>
    </w:p>
    <w:p w14:paraId="17D68124" w14:textId="773A343C" w:rsidR="00AD229F" w:rsidRPr="00E66B2D" w:rsidRDefault="00AD229F" w:rsidP="003B74DA">
      <w:pPr>
        <w:tabs>
          <w:tab w:val="left" w:pos="426"/>
        </w:tabs>
        <w:ind w:left="426"/>
        <w:rPr>
          <w:rFonts w:ascii="Arial" w:hAnsi="Arial"/>
          <w:sz w:val="22"/>
          <w:szCs w:val="22"/>
        </w:rPr>
      </w:pPr>
    </w:p>
    <w:p w14:paraId="2D9E5A96" w14:textId="77777777" w:rsidR="00735D9D" w:rsidRPr="00645FC2" w:rsidRDefault="00735D9D" w:rsidP="003B74DA">
      <w:pPr>
        <w:tabs>
          <w:tab w:val="left" w:pos="426"/>
        </w:tabs>
        <w:ind w:left="426"/>
        <w:rPr>
          <w:rFonts w:ascii="Arial" w:hAnsi="Arial"/>
          <w:b/>
          <w:sz w:val="24"/>
          <w:highlight w:val="yellow"/>
        </w:rPr>
      </w:pPr>
    </w:p>
    <w:p w14:paraId="4B230834" w14:textId="77777777" w:rsidR="00E66B2D" w:rsidRDefault="00E66B2D">
      <w:pPr>
        <w:rPr>
          <w:rFonts w:ascii="Arial" w:eastAsia="Calibri" w:hAnsi="Arial" w:cs="Helvetica-Light"/>
          <w:b/>
          <w:color w:val="000000"/>
          <w:sz w:val="22"/>
          <w:szCs w:val="22"/>
        </w:rPr>
      </w:pPr>
      <w:r>
        <w:rPr>
          <w:rFonts w:ascii="Arial" w:eastAsia="Calibri" w:hAnsi="Arial" w:cs="Helvetica-Light"/>
          <w:b/>
          <w:color w:val="000000"/>
          <w:sz w:val="22"/>
          <w:szCs w:val="22"/>
        </w:rPr>
        <w:br w:type="page"/>
      </w:r>
    </w:p>
    <w:p w14:paraId="6FA611B6" w14:textId="48DC6BDE" w:rsidR="003B74DA" w:rsidRPr="00E626B4" w:rsidRDefault="003B74DA" w:rsidP="003B74DA">
      <w:pPr>
        <w:jc w:val="both"/>
        <w:rPr>
          <w:rFonts w:ascii="Arial" w:eastAsia="Calibri" w:hAnsi="Arial" w:cs="Helvetica-Light"/>
          <w:b/>
          <w:color w:val="000000"/>
          <w:sz w:val="22"/>
          <w:szCs w:val="22"/>
        </w:rPr>
      </w:pPr>
      <w:r w:rsidRPr="00E626B4">
        <w:rPr>
          <w:rFonts w:ascii="Arial" w:eastAsia="Calibri" w:hAnsi="Arial" w:cs="Helvetica-Light"/>
          <w:b/>
          <w:color w:val="000000"/>
          <w:sz w:val="22"/>
          <w:szCs w:val="22"/>
        </w:rPr>
        <w:lastRenderedPageBreak/>
        <w:t>Allocation into Fair Value Hierarchy</w:t>
      </w:r>
    </w:p>
    <w:p w14:paraId="51025772" w14:textId="77777777" w:rsidR="003B74DA" w:rsidRPr="00E626B4" w:rsidRDefault="003B74DA" w:rsidP="003B74DA">
      <w:pPr>
        <w:jc w:val="both"/>
        <w:rPr>
          <w:rFonts w:ascii="Arial" w:eastAsia="Calibri" w:hAnsi="Arial" w:cs="Helvetica-Light"/>
          <w:b/>
          <w:color w:val="000000"/>
          <w:sz w:val="22"/>
          <w:szCs w:val="22"/>
        </w:rPr>
      </w:pPr>
    </w:p>
    <w:p w14:paraId="61E192A5" w14:textId="77777777" w:rsidR="003B74DA" w:rsidRPr="00E626B4" w:rsidRDefault="003B74DA" w:rsidP="003B74DA">
      <w:pPr>
        <w:jc w:val="both"/>
        <w:rPr>
          <w:rFonts w:ascii="Arial" w:eastAsia="Calibri" w:hAnsi="Arial" w:cs="Helvetica-Light"/>
          <w:b/>
          <w:color w:val="000000"/>
          <w:sz w:val="22"/>
          <w:szCs w:val="22"/>
        </w:rPr>
      </w:pPr>
      <w:r w:rsidRPr="00E626B4">
        <w:rPr>
          <w:rFonts w:ascii="Arial" w:eastAsia="Calibri" w:hAnsi="Arial" w:cs="Helvetica-Light"/>
          <w:b/>
          <w:color w:val="000000"/>
          <w:sz w:val="22"/>
          <w:szCs w:val="22"/>
        </w:rPr>
        <w:t>Level 1</w:t>
      </w:r>
    </w:p>
    <w:p w14:paraId="25C3A2CD" w14:textId="77777777" w:rsidR="003B74DA" w:rsidRPr="00E626B4" w:rsidRDefault="003B74DA" w:rsidP="003B74DA">
      <w:pPr>
        <w:jc w:val="both"/>
        <w:rPr>
          <w:rFonts w:ascii="Arial" w:eastAsia="Calibri" w:hAnsi="Arial" w:cs="Helvetica-Light"/>
          <w:color w:val="000000"/>
          <w:sz w:val="22"/>
          <w:szCs w:val="22"/>
        </w:rPr>
      </w:pPr>
      <w:r w:rsidRPr="00E626B4">
        <w:rPr>
          <w:rFonts w:ascii="Arial" w:eastAsia="Calibri" w:hAnsi="Arial" w:cs="Helvetica-Light"/>
          <w:color w:val="000000"/>
          <w:sz w:val="22"/>
          <w:szCs w:val="22"/>
        </w:rPr>
        <w:t>Level 1 fair value measurements are those derived from unadjusted quoted prices in active markets for identical assets or liabilities.  Examples include quoted equity investments, unit trusts, UK pooled fixed income funds, overseas pooled fixed income funds, UK and overseas quoted fixed interest securities.  Listed investments are shown at bid prices.  The bid value of the investment is based on the bid market quotation of the relevant stock exchange.</w:t>
      </w:r>
    </w:p>
    <w:p w14:paraId="5D496AA9" w14:textId="77777777" w:rsidR="003B74DA" w:rsidRPr="00E626B4" w:rsidRDefault="003B74DA" w:rsidP="0066250F">
      <w:pPr>
        <w:jc w:val="both"/>
        <w:rPr>
          <w:rFonts w:ascii="Arial" w:eastAsia="Calibri" w:hAnsi="Arial" w:cs="Helvetica-Light"/>
          <w:color w:val="000000"/>
          <w:sz w:val="22"/>
          <w:szCs w:val="22"/>
        </w:rPr>
      </w:pPr>
    </w:p>
    <w:p w14:paraId="648DCD94" w14:textId="21D68A41" w:rsidR="003B74DA" w:rsidRPr="00E626B4" w:rsidRDefault="003B74DA" w:rsidP="0066250F">
      <w:pPr>
        <w:rPr>
          <w:rFonts w:ascii="Arial" w:eastAsia="Calibri" w:hAnsi="Arial" w:cs="Helvetica-Light"/>
          <w:b/>
          <w:color w:val="000000"/>
          <w:sz w:val="22"/>
          <w:szCs w:val="22"/>
        </w:rPr>
      </w:pPr>
      <w:r w:rsidRPr="00E626B4">
        <w:rPr>
          <w:rFonts w:ascii="Arial" w:eastAsia="Calibri" w:hAnsi="Arial" w:cs="Helvetica-Light"/>
          <w:b/>
          <w:color w:val="000000"/>
          <w:sz w:val="22"/>
          <w:szCs w:val="22"/>
        </w:rPr>
        <w:t>Level 2</w:t>
      </w:r>
    </w:p>
    <w:p w14:paraId="2F148E18" w14:textId="77777777" w:rsidR="003B74DA" w:rsidRPr="00E626B4" w:rsidRDefault="003B74DA" w:rsidP="003B74DA">
      <w:pPr>
        <w:jc w:val="both"/>
        <w:rPr>
          <w:rFonts w:ascii="Arial" w:eastAsia="Calibri" w:hAnsi="Arial" w:cs="Helvetica-Light"/>
          <w:color w:val="000000"/>
          <w:sz w:val="22"/>
          <w:szCs w:val="22"/>
        </w:rPr>
      </w:pPr>
      <w:r w:rsidRPr="00E626B4">
        <w:rPr>
          <w:rFonts w:ascii="Arial" w:eastAsia="Calibri" w:hAnsi="Arial" w:cs="Helvetica-Light"/>
          <w:color w:val="000000"/>
          <w:sz w:val="22"/>
          <w:szCs w:val="22"/>
        </w:rPr>
        <w:t xml:space="preserve">Level 2 investments are those where quoted market prices are not available, for example where an instrument is traded in a market that is not considered to be </w:t>
      </w:r>
      <w:proofErr w:type="gramStart"/>
      <w:r w:rsidRPr="00E626B4">
        <w:rPr>
          <w:rFonts w:ascii="Arial" w:eastAsia="Calibri" w:hAnsi="Arial" w:cs="Helvetica-Light"/>
          <w:color w:val="000000"/>
          <w:sz w:val="22"/>
          <w:szCs w:val="22"/>
        </w:rPr>
        <w:t>active</w:t>
      </w:r>
      <w:proofErr w:type="gramEnd"/>
      <w:r w:rsidRPr="00E626B4">
        <w:rPr>
          <w:rFonts w:ascii="Arial" w:eastAsia="Calibri" w:hAnsi="Arial" w:cs="Helvetica-Light"/>
          <w:color w:val="000000"/>
          <w:sz w:val="22"/>
          <w:szCs w:val="22"/>
        </w:rPr>
        <w:t xml:space="preserve"> or valuation techniques are used to determine fair value and where these techniques use inputs that are based significantly on observable market data. Such instruments include bonds secured on affordable housing assets.  The technique for valuing these assets is independently verified.</w:t>
      </w:r>
    </w:p>
    <w:p w14:paraId="429BF4B4" w14:textId="77777777" w:rsidR="003B74DA" w:rsidRPr="00E626B4" w:rsidRDefault="003B74DA" w:rsidP="003B74DA">
      <w:pPr>
        <w:ind w:left="720"/>
        <w:jc w:val="both"/>
        <w:rPr>
          <w:rFonts w:ascii="Arial" w:eastAsia="Calibri" w:hAnsi="Arial" w:cs="Helvetica-Light"/>
          <w:color w:val="000000"/>
          <w:sz w:val="22"/>
          <w:szCs w:val="22"/>
        </w:rPr>
      </w:pPr>
    </w:p>
    <w:p w14:paraId="740769E4" w14:textId="34A99025" w:rsidR="003B74DA" w:rsidRPr="00E626B4" w:rsidRDefault="003B74DA" w:rsidP="003B74DA">
      <w:pPr>
        <w:jc w:val="both"/>
        <w:rPr>
          <w:rFonts w:ascii="Arial" w:eastAsia="Calibri" w:hAnsi="Arial" w:cs="Helvetica-Light"/>
          <w:color w:val="000000"/>
          <w:sz w:val="22"/>
          <w:szCs w:val="22"/>
        </w:rPr>
      </w:pPr>
      <w:r w:rsidRPr="00E626B4">
        <w:rPr>
          <w:rFonts w:ascii="Arial" w:eastAsia="Calibri" w:hAnsi="Arial" w:cs="Helvetica-Light"/>
          <w:color w:val="000000"/>
          <w:sz w:val="22"/>
          <w:szCs w:val="22"/>
        </w:rPr>
        <w:t>The bonds secured on affordable housing assets are based on long term expectations of interest rates, inflation and credit spreads in the housing association sector.</w:t>
      </w:r>
    </w:p>
    <w:p w14:paraId="680BA817" w14:textId="77777777" w:rsidR="004302AC" w:rsidRPr="00E626B4" w:rsidRDefault="004302AC" w:rsidP="003B74DA">
      <w:pPr>
        <w:jc w:val="both"/>
        <w:rPr>
          <w:rFonts w:ascii="Arial" w:eastAsia="Calibri" w:hAnsi="Arial" w:cs="Helvetica-Light"/>
          <w:color w:val="000000"/>
          <w:sz w:val="22"/>
          <w:szCs w:val="22"/>
        </w:rPr>
      </w:pPr>
    </w:p>
    <w:p w14:paraId="70E8681F" w14:textId="7272236E" w:rsidR="004302AC" w:rsidRPr="00E626B4" w:rsidRDefault="004302AC" w:rsidP="004302AC">
      <w:pPr>
        <w:jc w:val="both"/>
        <w:rPr>
          <w:rFonts w:ascii="Arial" w:eastAsia="Calibri" w:hAnsi="Arial" w:cs="Helvetica-Light"/>
          <w:color w:val="000000"/>
          <w:sz w:val="22"/>
          <w:szCs w:val="22"/>
        </w:rPr>
      </w:pPr>
      <w:bookmarkStart w:id="38" w:name="_Hlk45784390"/>
      <w:r w:rsidRPr="00E626B4">
        <w:rPr>
          <w:rFonts w:ascii="Arial" w:eastAsia="Calibri" w:hAnsi="Arial" w:cs="Helvetica-Light"/>
          <w:color w:val="000000"/>
          <w:sz w:val="22"/>
          <w:szCs w:val="22"/>
        </w:rPr>
        <w:t>The valuation of directly held properties is carried out by independent valuers, Avison Young on an individual property basis rather than as a portfolio, by qualified surveyors and in accordance with the RICS Professional Standards, Global and UK, RICS Valuation – Professional Standards – 2017.</w:t>
      </w:r>
      <w:bookmarkEnd w:id="38"/>
    </w:p>
    <w:p w14:paraId="1FC61D23" w14:textId="77777777" w:rsidR="00396A5B" w:rsidRPr="00E626B4" w:rsidRDefault="00396A5B" w:rsidP="004302AC">
      <w:pPr>
        <w:jc w:val="both"/>
        <w:rPr>
          <w:rFonts w:ascii="Arial" w:eastAsia="Calibri" w:hAnsi="Arial" w:cs="Helvetica-Light"/>
          <w:color w:val="000000"/>
          <w:sz w:val="22"/>
          <w:szCs w:val="22"/>
        </w:rPr>
      </w:pPr>
    </w:p>
    <w:p w14:paraId="61C718A9" w14:textId="77777777" w:rsidR="003B74DA" w:rsidRPr="00E626B4" w:rsidRDefault="003B74DA" w:rsidP="003B74DA">
      <w:pPr>
        <w:jc w:val="both"/>
        <w:rPr>
          <w:rFonts w:ascii="Arial" w:eastAsia="Calibri" w:hAnsi="Arial" w:cs="Helvetica-Light"/>
          <w:b/>
          <w:color w:val="000000"/>
          <w:sz w:val="22"/>
          <w:szCs w:val="22"/>
        </w:rPr>
      </w:pPr>
      <w:r w:rsidRPr="00E626B4">
        <w:rPr>
          <w:rFonts w:ascii="Arial" w:eastAsia="Calibri" w:hAnsi="Arial" w:cs="Helvetica-Light"/>
          <w:b/>
          <w:color w:val="000000"/>
          <w:sz w:val="22"/>
          <w:szCs w:val="22"/>
        </w:rPr>
        <w:t>Level 3</w:t>
      </w:r>
    </w:p>
    <w:p w14:paraId="2E09E3A9" w14:textId="1246EE29" w:rsidR="003B74DA" w:rsidRPr="00E626B4" w:rsidRDefault="003B74DA" w:rsidP="003B74DA">
      <w:pPr>
        <w:jc w:val="both"/>
        <w:rPr>
          <w:rFonts w:ascii="Arial" w:eastAsia="Calibri" w:hAnsi="Arial" w:cs="Helvetica-Light"/>
          <w:color w:val="000000"/>
          <w:sz w:val="22"/>
          <w:szCs w:val="22"/>
        </w:rPr>
      </w:pPr>
      <w:r w:rsidRPr="00E626B4">
        <w:rPr>
          <w:rFonts w:ascii="Arial" w:eastAsia="Calibri" w:hAnsi="Arial" w:cs="Helvetica-Light"/>
          <w:color w:val="000000"/>
          <w:sz w:val="22"/>
          <w:szCs w:val="22"/>
        </w:rPr>
        <w:t>Level 3 portfolios are those where at least one input which could have a significant effect on the instrument's valuation is not based on observable market data.  Such instruments include internally managed overseas equity funds, overseas quoted fixed income investments, pooled UK fixed income investments, private equity, infrastructure and indirect overseas property investments, which are valued using various valuation techniques that require significant management judgement in determining appropriate assumptions, including earnings, public market comparatives and estimated future cash flows.</w:t>
      </w:r>
    </w:p>
    <w:p w14:paraId="2D3D84A4" w14:textId="0C71EA87" w:rsidR="004302AC" w:rsidRPr="00E626B4" w:rsidRDefault="004302AC" w:rsidP="004302AC">
      <w:pPr>
        <w:rPr>
          <w:rFonts w:ascii="Arial" w:eastAsia="Calibri" w:hAnsi="Arial" w:cs="Helvetica-Light"/>
          <w:color w:val="000000"/>
          <w:sz w:val="22"/>
          <w:szCs w:val="22"/>
        </w:rPr>
      </w:pPr>
      <w:bookmarkStart w:id="39" w:name="_Hlk45531017"/>
    </w:p>
    <w:p w14:paraId="71D42547" w14:textId="6F7A2CFE" w:rsidR="003B74DA" w:rsidRPr="00E626B4" w:rsidRDefault="003B74DA" w:rsidP="003B74DA">
      <w:pPr>
        <w:jc w:val="both"/>
        <w:rPr>
          <w:rFonts w:ascii="Arial" w:eastAsia="Calibri" w:hAnsi="Arial" w:cs="Helvetica-Light"/>
          <w:color w:val="000000"/>
          <w:sz w:val="22"/>
          <w:szCs w:val="22"/>
        </w:rPr>
      </w:pPr>
      <w:bookmarkStart w:id="40" w:name="_Hlk45784466"/>
      <w:r w:rsidRPr="00E626B4">
        <w:rPr>
          <w:rFonts w:ascii="Arial" w:eastAsia="Calibri" w:hAnsi="Arial" w:cs="Helvetica-Light"/>
          <w:color w:val="000000"/>
          <w:sz w:val="22"/>
          <w:szCs w:val="22"/>
        </w:rPr>
        <w:t>The values of the investment in private equity and infrastructure are based on valuations provided to the private equity and infrastructure funds in which Lancashire County Pension Fund has invested.  These valuations are prepared in accordance with the International Private Equity and Venture Capital Valuation Guidelines or equivalent, which follow the valuation principles of IFRS and US GAAP.  Valuations are performed annually mainly, and at the end of December.  Cash flow adjustments are used to roll forward the valuations to 31 March as appropriate.</w:t>
      </w:r>
    </w:p>
    <w:p w14:paraId="72A70183" w14:textId="77777777" w:rsidR="003B74DA" w:rsidRPr="00E626B4" w:rsidRDefault="003B74DA" w:rsidP="003B74DA">
      <w:pPr>
        <w:jc w:val="both"/>
        <w:rPr>
          <w:rFonts w:ascii="Arial" w:eastAsia="Calibri" w:hAnsi="Arial" w:cs="Helvetica-Light"/>
          <w:color w:val="000000"/>
          <w:sz w:val="22"/>
          <w:szCs w:val="22"/>
        </w:rPr>
      </w:pPr>
    </w:p>
    <w:p w14:paraId="5B44A076" w14:textId="1D40FAE9" w:rsidR="003B74DA" w:rsidRPr="00E626B4" w:rsidRDefault="0054094D" w:rsidP="003B74DA">
      <w:pPr>
        <w:jc w:val="both"/>
        <w:rPr>
          <w:rFonts w:ascii="Arial" w:eastAsia="Calibri" w:hAnsi="Arial" w:cs="Helvetica-Light"/>
          <w:color w:val="000000"/>
          <w:sz w:val="22"/>
          <w:szCs w:val="22"/>
        </w:rPr>
      </w:pPr>
      <w:r w:rsidRPr="00E626B4">
        <w:rPr>
          <w:rFonts w:ascii="Arial" w:eastAsia="Calibri" w:hAnsi="Arial" w:cs="Helvetica-Light"/>
          <w:color w:val="000000"/>
          <w:sz w:val="22"/>
          <w:szCs w:val="22"/>
        </w:rPr>
        <w:t xml:space="preserve">Indirect properties are valued at the current open market value as defined by the RICS Appraisal and Valuation Standards. These investments are not publicly listed and as such there is a degree of estimation involved in the valuation.  </w:t>
      </w:r>
      <w:bookmarkEnd w:id="39"/>
      <w:bookmarkEnd w:id="40"/>
    </w:p>
    <w:p w14:paraId="60E68087" w14:textId="77777777" w:rsidR="00DC7B53" w:rsidRPr="00E626B4" w:rsidRDefault="00DC7B53" w:rsidP="003B74DA">
      <w:pPr>
        <w:jc w:val="both"/>
        <w:rPr>
          <w:rFonts w:ascii="Arial" w:eastAsia="Calibri" w:hAnsi="Arial" w:cs="Helvetica-Light"/>
          <w:color w:val="000000"/>
          <w:sz w:val="22"/>
          <w:szCs w:val="22"/>
          <w:u w:val="single"/>
        </w:rPr>
      </w:pPr>
    </w:p>
    <w:p w14:paraId="72CCB19F" w14:textId="77777777" w:rsidR="003B74DA" w:rsidRPr="00E626B4" w:rsidRDefault="003B74DA" w:rsidP="003B74DA">
      <w:pPr>
        <w:jc w:val="both"/>
        <w:rPr>
          <w:rFonts w:ascii="Arial" w:eastAsia="Calibri" w:hAnsi="Arial" w:cs="Helvetica-Light"/>
          <w:b/>
          <w:color w:val="000000"/>
          <w:sz w:val="22"/>
          <w:szCs w:val="22"/>
        </w:rPr>
      </w:pPr>
      <w:bookmarkStart w:id="41" w:name="_Hlk45203596"/>
      <w:r w:rsidRPr="00E626B4">
        <w:rPr>
          <w:rFonts w:ascii="Arial" w:eastAsia="Calibri" w:hAnsi="Arial" w:cs="Helvetica-Light"/>
          <w:b/>
          <w:color w:val="000000"/>
          <w:sz w:val="22"/>
          <w:szCs w:val="22"/>
        </w:rPr>
        <w:t>Property Funds</w:t>
      </w:r>
    </w:p>
    <w:p w14:paraId="31C70A0A" w14:textId="35E8E492" w:rsidR="003B74DA" w:rsidRPr="00E626B4" w:rsidRDefault="004302AC" w:rsidP="003B74DA">
      <w:pPr>
        <w:jc w:val="both"/>
        <w:rPr>
          <w:rFonts w:ascii="Arial" w:eastAsia="Calibri" w:hAnsi="Arial" w:cs="Helvetica-Light"/>
          <w:color w:val="000000"/>
          <w:sz w:val="22"/>
          <w:szCs w:val="22"/>
        </w:rPr>
      </w:pPr>
      <w:bookmarkStart w:id="42" w:name="_Hlk45784508"/>
      <w:r w:rsidRPr="00E626B4">
        <w:rPr>
          <w:rFonts w:ascii="Arial" w:eastAsia="Calibri" w:hAnsi="Arial" w:cs="Helvetica-Light"/>
          <w:color w:val="000000"/>
          <w:sz w:val="22"/>
          <w:szCs w:val="22"/>
        </w:rPr>
        <w:t>The properties were valued at open market value at 31 March 20</w:t>
      </w:r>
      <w:r w:rsidR="00E626B4" w:rsidRPr="00E626B4">
        <w:rPr>
          <w:rFonts w:ascii="Arial" w:eastAsia="Calibri" w:hAnsi="Arial" w:cs="Helvetica-Light"/>
          <w:color w:val="000000"/>
          <w:sz w:val="22"/>
          <w:szCs w:val="22"/>
        </w:rPr>
        <w:t>24</w:t>
      </w:r>
      <w:r w:rsidRPr="00E626B4">
        <w:rPr>
          <w:rFonts w:ascii="Arial" w:eastAsia="Calibri" w:hAnsi="Arial" w:cs="Helvetica-Light"/>
          <w:color w:val="000000"/>
          <w:sz w:val="22"/>
          <w:szCs w:val="22"/>
        </w:rPr>
        <w:t xml:space="preserve"> by independent property valuers Avison Young in accordance with the Royal Institute of Chartered Surveyors' Valuation Global Standards 2017 (the Red Book).  </w:t>
      </w:r>
      <w:bookmarkEnd w:id="42"/>
    </w:p>
    <w:bookmarkEnd w:id="41"/>
    <w:p w14:paraId="3BD8DD0D" w14:textId="77777777" w:rsidR="003B74DA" w:rsidRPr="00E626B4" w:rsidRDefault="003B74DA" w:rsidP="003B74DA">
      <w:pPr>
        <w:jc w:val="both"/>
        <w:rPr>
          <w:rFonts w:ascii="Arial" w:eastAsia="Calibri" w:hAnsi="Arial" w:cs="Helvetica-Light"/>
          <w:color w:val="000000"/>
          <w:sz w:val="22"/>
          <w:szCs w:val="22"/>
        </w:rPr>
      </w:pPr>
    </w:p>
    <w:p w14:paraId="09A51724" w14:textId="77777777" w:rsidR="003B74DA" w:rsidRPr="00E626B4" w:rsidRDefault="003B74DA" w:rsidP="003B74DA">
      <w:pPr>
        <w:jc w:val="both"/>
        <w:rPr>
          <w:rFonts w:ascii="Arial" w:hAnsi="Arial" w:cs="Arial"/>
          <w:b/>
          <w:bCs/>
          <w:sz w:val="22"/>
          <w:szCs w:val="22"/>
        </w:rPr>
      </w:pPr>
      <w:r w:rsidRPr="00E626B4">
        <w:rPr>
          <w:rFonts w:ascii="Arial" w:hAnsi="Arial" w:cs="Arial"/>
          <w:b/>
          <w:bCs/>
          <w:sz w:val="22"/>
          <w:szCs w:val="22"/>
        </w:rPr>
        <w:t>Cash and cash equivalents</w:t>
      </w:r>
    </w:p>
    <w:p w14:paraId="1D756445" w14:textId="77777777" w:rsidR="003B74DA" w:rsidRPr="00E626B4" w:rsidRDefault="003B74DA" w:rsidP="003B74DA">
      <w:pPr>
        <w:tabs>
          <w:tab w:val="left" w:pos="567"/>
        </w:tabs>
        <w:jc w:val="both"/>
        <w:rPr>
          <w:rFonts w:ascii="Arial" w:eastAsia="Calibri" w:hAnsi="Arial" w:cs="Helvetica-Light"/>
          <w:color w:val="000000"/>
          <w:sz w:val="22"/>
          <w:szCs w:val="22"/>
        </w:rPr>
      </w:pPr>
      <w:r w:rsidRPr="00E626B4">
        <w:rPr>
          <w:rFonts w:ascii="Arial" w:eastAsia="Calibri" w:hAnsi="Arial" w:cs="Helvetica-Light"/>
          <w:color w:val="000000"/>
          <w:sz w:val="22"/>
          <w:szCs w:val="22"/>
        </w:rPr>
        <w:t xml:space="preserve">Cash comprises of cash in hand and on demand deposits and includes amounts held by the Fund's external managers. Cash equivalents are short-term, highly liquid investments that are readily convertible to known amounts of cash and that are subject to minimal risk of changes in value. </w:t>
      </w:r>
    </w:p>
    <w:p w14:paraId="3B947AA4" w14:textId="77777777" w:rsidR="003B74DA" w:rsidRPr="00645FC2" w:rsidRDefault="003B74DA" w:rsidP="003B74DA">
      <w:pPr>
        <w:tabs>
          <w:tab w:val="left" w:pos="426"/>
        </w:tabs>
        <w:ind w:left="426"/>
        <w:jc w:val="both"/>
        <w:rPr>
          <w:rFonts w:ascii="Arial" w:hAnsi="Arial"/>
          <w:b/>
          <w:sz w:val="24"/>
          <w:highlight w:val="yellow"/>
        </w:rPr>
      </w:pPr>
    </w:p>
    <w:p w14:paraId="2F4A285B" w14:textId="77777777" w:rsidR="003B74DA" w:rsidRPr="00645FC2" w:rsidRDefault="003B74DA" w:rsidP="003B74DA">
      <w:pPr>
        <w:tabs>
          <w:tab w:val="left" w:pos="426"/>
        </w:tabs>
        <w:ind w:left="426"/>
        <w:jc w:val="both"/>
        <w:rPr>
          <w:rFonts w:ascii="Arial" w:hAnsi="Arial"/>
          <w:b/>
          <w:sz w:val="24"/>
          <w:highlight w:val="yellow"/>
        </w:rPr>
        <w:sectPr w:rsidR="003B74DA" w:rsidRPr="00645FC2" w:rsidSect="00CD2558">
          <w:headerReference w:type="even" r:id="rId78"/>
          <w:headerReference w:type="default" r:id="rId79"/>
          <w:headerReference w:type="first" r:id="rId80"/>
          <w:pgSz w:w="11909" w:h="16834" w:code="9"/>
          <w:pgMar w:top="720" w:right="720" w:bottom="720" w:left="720" w:header="397" w:footer="720" w:gutter="0"/>
          <w:cols w:space="720"/>
          <w:docGrid w:linePitch="272"/>
        </w:sectPr>
      </w:pPr>
    </w:p>
    <w:p w14:paraId="4AFAE6A0" w14:textId="77777777" w:rsidR="003B74DA" w:rsidRPr="00E626B4" w:rsidRDefault="003B74DA" w:rsidP="003B74DA">
      <w:pPr>
        <w:pStyle w:val="BodyText"/>
        <w:ind w:left="426"/>
        <w:rPr>
          <w:i w:val="0"/>
          <w:sz w:val="22"/>
          <w:szCs w:val="22"/>
        </w:rPr>
      </w:pPr>
      <w:r w:rsidRPr="00E626B4">
        <w:rPr>
          <w:i w:val="0"/>
          <w:sz w:val="22"/>
          <w:szCs w:val="22"/>
          <w:u w:val="single"/>
        </w:rPr>
        <w:lastRenderedPageBreak/>
        <w:t>Basis for Estimating Assets and Liabilities</w:t>
      </w:r>
    </w:p>
    <w:p w14:paraId="166E717A" w14:textId="77777777" w:rsidR="003B74DA" w:rsidRPr="00E626B4" w:rsidRDefault="003B74DA" w:rsidP="003B74DA">
      <w:pPr>
        <w:pStyle w:val="BodyText"/>
        <w:ind w:left="426"/>
        <w:rPr>
          <w:i w:val="0"/>
          <w:sz w:val="22"/>
          <w:szCs w:val="22"/>
        </w:rPr>
      </w:pPr>
    </w:p>
    <w:p w14:paraId="060072EF" w14:textId="5EA817FE" w:rsidR="003B74DA" w:rsidRPr="00E626B4" w:rsidRDefault="003B74DA" w:rsidP="00735D9D">
      <w:pPr>
        <w:pStyle w:val="BodyText"/>
        <w:ind w:left="426"/>
        <w:jc w:val="both"/>
        <w:rPr>
          <w:i w:val="0"/>
          <w:sz w:val="22"/>
          <w:szCs w:val="22"/>
        </w:rPr>
      </w:pPr>
      <w:r w:rsidRPr="00E626B4">
        <w:rPr>
          <w:i w:val="0"/>
          <w:sz w:val="22"/>
          <w:szCs w:val="22"/>
        </w:rPr>
        <w:t>Liabilities have been assessed on an actuarial basis using the projected unit credit method, an estimate of the pensions that will be payable in future years dependent on the assumptions about mortality rates, salary levels etc. The police schemes, injury benefits and the Local Government Pension Fund liabilities have been assessed by Mercer</w:t>
      </w:r>
      <w:r w:rsidR="00380600">
        <w:rPr>
          <w:i w:val="0"/>
          <w:sz w:val="22"/>
          <w:szCs w:val="22"/>
        </w:rPr>
        <w:t xml:space="preserve"> Limited</w:t>
      </w:r>
      <w:r w:rsidRPr="00E626B4">
        <w:rPr>
          <w:i w:val="0"/>
          <w:sz w:val="22"/>
          <w:szCs w:val="22"/>
        </w:rPr>
        <w:t>, an independent firm of actuaries, estimates being based on the last full valuations of the schemes. The principal assumptions used by the actuary have been:</w:t>
      </w:r>
    </w:p>
    <w:p w14:paraId="06C40B02" w14:textId="29E7031A" w:rsidR="00735D9D" w:rsidRPr="00645FC2" w:rsidRDefault="00735D9D" w:rsidP="00735D9D">
      <w:pPr>
        <w:pStyle w:val="BodyText"/>
        <w:ind w:left="426"/>
        <w:jc w:val="both"/>
        <w:rPr>
          <w:i w:val="0"/>
          <w:sz w:val="22"/>
          <w:szCs w:val="22"/>
          <w:highlight w:val="yellow"/>
        </w:rPr>
      </w:pPr>
    </w:p>
    <w:tbl>
      <w:tblPr>
        <w:tblW w:w="9038" w:type="dxa"/>
        <w:tblLook w:val="04A0" w:firstRow="1" w:lastRow="0" w:firstColumn="1" w:lastColumn="0" w:noHBand="0" w:noVBand="1"/>
      </w:tblPr>
      <w:tblGrid>
        <w:gridCol w:w="4314"/>
        <w:gridCol w:w="1242"/>
        <w:gridCol w:w="1167"/>
        <w:gridCol w:w="1148"/>
        <w:gridCol w:w="1167"/>
      </w:tblGrid>
      <w:tr w:rsidR="00DE0F6A" w:rsidRPr="00E66B2D" w14:paraId="40C3A57F" w14:textId="77777777" w:rsidTr="00DE0F6A">
        <w:trPr>
          <w:trHeight w:val="315"/>
        </w:trPr>
        <w:tc>
          <w:tcPr>
            <w:tcW w:w="4314" w:type="dxa"/>
            <w:tcBorders>
              <w:top w:val="single" w:sz="8" w:space="0" w:color="auto"/>
              <w:left w:val="single" w:sz="8" w:space="0" w:color="auto"/>
              <w:bottom w:val="nil"/>
              <w:right w:val="single" w:sz="8" w:space="0" w:color="auto"/>
            </w:tcBorders>
            <w:shd w:val="clear" w:color="000000" w:fill="CCCCCC"/>
            <w:vAlign w:val="center"/>
            <w:hideMark/>
          </w:tcPr>
          <w:p w14:paraId="01BF1D94" w14:textId="77777777" w:rsidR="00DE0F6A" w:rsidRPr="00E66B2D" w:rsidRDefault="00DE0F6A" w:rsidP="00E66B2D">
            <w:pPr>
              <w:rPr>
                <w:rFonts w:ascii="Arial" w:hAnsi="Arial" w:cs="Arial"/>
              </w:rPr>
            </w:pPr>
            <w:r w:rsidRPr="00E66B2D">
              <w:rPr>
                <w:rFonts w:ascii="Arial" w:hAnsi="Arial" w:cs="Arial"/>
              </w:rPr>
              <w:t> </w:t>
            </w:r>
          </w:p>
        </w:tc>
        <w:tc>
          <w:tcPr>
            <w:tcW w:w="4724" w:type="dxa"/>
            <w:gridSpan w:val="4"/>
            <w:tcBorders>
              <w:top w:val="single" w:sz="8" w:space="0" w:color="auto"/>
              <w:left w:val="nil"/>
              <w:bottom w:val="single" w:sz="8" w:space="0" w:color="auto"/>
              <w:right w:val="single" w:sz="8" w:space="0" w:color="000000"/>
            </w:tcBorders>
            <w:shd w:val="clear" w:color="000000" w:fill="CCCCCC"/>
            <w:vAlign w:val="center"/>
            <w:hideMark/>
          </w:tcPr>
          <w:p w14:paraId="1BDE788E" w14:textId="77777777" w:rsidR="00DE0F6A" w:rsidRPr="00E66B2D" w:rsidRDefault="00DE0F6A" w:rsidP="00E66B2D">
            <w:pPr>
              <w:jc w:val="center"/>
              <w:rPr>
                <w:rFonts w:ascii="Arial" w:hAnsi="Arial" w:cs="Arial"/>
                <w:b/>
                <w:bCs/>
                <w:color w:val="000000"/>
              </w:rPr>
            </w:pPr>
            <w:r w:rsidRPr="00E66B2D">
              <w:rPr>
                <w:rFonts w:ascii="Arial" w:hAnsi="Arial" w:cs="Arial"/>
                <w:b/>
                <w:bCs/>
                <w:color w:val="000000"/>
              </w:rPr>
              <w:t>Local Govt. Pension Scheme</w:t>
            </w:r>
          </w:p>
        </w:tc>
      </w:tr>
      <w:tr w:rsidR="00DE0F6A" w:rsidRPr="00E66B2D" w14:paraId="6D3DF1C8" w14:textId="77777777" w:rsidTr="00DE0F6A">
        <w:trPr>
          <w:trHeight w:val="315"/>
        </w:trPr>
        <w:tc>
          <w:tcPr>
            <w:tcW w:w="4314" w:type="dxa"/>
            <w:tcBorders>
              <w:top w:val="single" w:sz="8" w:space="0" w:color="auto"/>
              <w:left w:val="single" w:sz="8" w:space="0" w:color="auto"/>
              <w:bottom w:val="nil"/>
              <w:right w:val="single" w:sz="8" w:space="0" w:color="auto"/>
            </w:tcBorders>
            <w:shd w:val="clear" w:color="000000" w:fill="FFFFFF"/>
            <w:vAlign w:val="center"/>
            <w:hideMark/>
          </w:tcPr>
          <w:p w14:paraId="2CB0D5AD" w14:textId="77777777" w:rsidR="00DE0F6A" w:rsidRPr="00E66B2D" w:rsidRDefault="00DE0F6A" w:rsidP="00E66B2D">
            <w:pPr>
              <w:rPr>
                <w:rFonts w:ascii="Arial" w:hAnsi="Arial" w:cs="Arial"/>
              </w:rPr>
            </w:pPr>
            <w:r w:rsidRPr="00E66B2D">
              <w:rPr>
                <w:rFonts w:ascii="Arial" w:hAnsi="Arial" w:cs="Arial"/>
              </w:rPr>
              <w:t> </w:t>
            </w:r>
          </w:p>
        </w:tc>
        <w:tc>
          <w:tcPr>
            <w:tcW w:w="2409" w:type="dxa"/>
            <w:gridSpan w:val="2"/>
            <w:tcBorders>
              <w:top w:val="single" w:sz="8" w:space="0" w:color="auto"/>
              <w:left w:val="nil"/>
              <w:bottom w:val="single" w:sz="8" w:space="0" w:color="auto"/>
              <w:right w:val="nil"/>
            </w:tcBorders>
            <w:shd w:val="clear" w:color="000000" w:fill="CCCCCC"/>
            <w:vAlign w:val="center"/>
            <w:hideMark/>
          </w:tcPr>
          <w:p w14:paraId="17020DD7" w14:textId="77777777" w:rsidR="00DE0F6A" w:rsidRPr="00E66B2D" w:rsidRDefault="00DE0F6A" w:rsidP="00E66B2D">
            <w:pPr>
              <w:jc w:val="center"/>
              <w:rPr>
                <w:rFonts w:ascii="Arial" w:hAnsi="Arial" w:cs="Arial"/>
                <w:b/>
                <w:bCs/>
                <w:color w:val="000000"/>
              </w:rPr>
            </w:pPr>
            <w:r w:rsidRPr="00E66B2D">
              <w:rPr>
                <w:rFonts w:ascii="Arial" w:hAnsi="Arial" w:cs="Arial"/>
                <w:b/>
                <w:bCs/>
                <w:color w:val="000000"/>
              </w:rPr>
              <w:t>PCC staff</w:t>
            </w:r>
          </w:p>
        </w:tc>
        <w:tc>
          <w:tcPr>
            <w:tcW w:w="2315" w:type="dxa"/>
            <w:gridSpan w:val="2"/>
            <w:tcBorders>
              <w:top w:val="single" w:sz="8" w:space="0" w:color="auto"/>
              <w:left w:val="nil"/>
              <w:bottom w:val="single" w:sz="8" w:space="0" w:color="auto"/>
              <w:right w:val="single" w:sz="8" w:space="0" w:color="000000"/>
            </w:tcBorders>
            <w:shd w:val="clear" w:color="000000" w:fill="CCCCCC"/>
            <w:vAlign w:val="center"/>
            <w:hideMark/>
          </w:tcPr>
          <w:p w14:paraId="44D9A93A" w14:textId="77777777" w:rsidR="00DE0F6A" w:rsidRPr="00E66B2D" w:rsidRDefault="00DE0F6A" w:rsidP="00E66B2D">
            <w:pPr>
              <w:jc w:val="center"/>
              <w:rPr>
                <w:rFonts w:ascii="Arial" w:hAnsi="Arial" w:cs="Arial"/>
                <w:b/>
                <w:bCs/>
                <w:color w:val="000000"/>
              </w:rPr>
            </w:pPr>
            <w:r w:rsidRPr="00E66B2D">
              <w:rPr>
                <w:rFonts w:ascii="Arial" w:hAnsi="Arial" w:cs="Arial"/>
                <w:b/>
                <w:bCs/>
                <w:color w:val="000000"/>
              </w:rPr>
              <w:t>CC Staff</w:t>
            </w:r>
          </w:p>
        </w:tc>
      </w:tr>
      <w:tr w:rsidR="00DE0F6A" w:rsidRPr="00E66B2D" w14:paraId="08CDB170" w14:textId="77777777" w:rsidTr="00DE0F6A">
        <w:trPr>
          <w:trHeight w:val="300"/>
        </w:trPr>
        <w:tc>
          <w:tcPr>
            <w:tcW w:w="4314" w:type="dxa"/>
            <w:vMerge w:val="restart"/>
            <w:tcBorders>
              <w:top w:val="nil"/>
              <w:left w:val="single" w:sz="8" w:space="0" w:color="auto"/>
              <w:bottom w:val="nil"/>
              <w:right w:val="single" w:sz="8" w:space="0" w:color="auto"/>
            </w:tcBorders>
            <w:shd w:val="clear" w:color="000000" w:fill="FFFFFF"/>
            <w:vAlign w:val="center"/>
            <w:hideMark/>
          </w:tcPr>
          <w:p w14:paraId="7C716C14" w14:textId="77777777" w:rsidR="00DE0F6A" w:rsidRPr="00E66B2D" w:rsidRDefault="00DE0F6A" w:rsidP="00E66B2D">
            <w:pPr>
              <w:rPr>
                <w:rFonts w:ascii="Arial" w:hAnsi="Arial" w:cs="Arial"/>
              </w:rPr>
            </w:pPr>
            <w:r w:rsidRPr="00E66B2D">
              <w:rPr>
                <w:rFonts w:ascii="Arial" w:hAnsi="Arial" w:cs="Arial"/>
              </w:rPr>
              <w:t> </w:t>
            </w:r>
          </w:p>
        </w:tc>
        <w:tc>
          <w:tcPr>
            <w:tcW w:w="1242" w:type="dxa"/>
            <w:vMerge w:val="restart"/>
            <w:tcBorders>
              <w:top w:val="nil"/>
              <w:left w:val="single" w:sz="8" w:space="0" w:color="auto"/>
              <w:bottom w:val="nil"/>
              <w:right w:val="nil"/>
            </w:tcBorders>
            <w:shd w:val="clear" w:color="000000" w:fill="FFFFFF"/>
            <w:vAlign w:val="center"/>
            <w:hideMark/>
          </w:tcPr>
          <w:p w14:paraId="264C4729" w14:textId="40E8EBF4" w:rsidR="00DE0F6A" w:rsidRPr="00E66B2D" w:rsidRDefault="00DE0F6A" w:rsidP="00E66B2D">
            <w:pPr>
              <w:jc w:val="center"/>
              <w:rPr>
                <w:rFonts w:ascii="Arial" w:hAnsi="Arial" w:cs="Arial"/>
                <w:b/>
                <w:bCs/>
                <w:color w:val="000000"/>
              </w:rPr>
            </w:pPr>
            <w:r>
              <w:rPr>
                <w:rFonts w:ascii="Arial" w:hAnsi="Arial" w:cs="Arial"/>
                <w:b/>
                <w:bCs/>
                <w:color w:val="000000"/>
              </w:rPr>
              <w:t>2023/24</w:t>
            </w:r>
          </w:p>
        </w:tc>
        <w:tc>
          <w:tcPr>
            <w:tcW w:w="1167" w:type="dxa"/>
            <w:vMerge w:val="restart"/>
            <w:tcBorders>
              <w:top w:val="nil"/>
              <w:left w:val="nil"/>
              <w:bottom w:val="nil"/>
              <w:right w:val="nil"/>
            </w:tcBorders>
            <w:shd w:val="clear" w:color="000000" w:fill="CCCCCC"/>
            <w:vAlign w:val="center"/>
            <w:hideMark/>
          </w:tcPr>
          <w:p w14:paraId="5752A82A" w14:textId="302DF28C" w:rsidR="00DE0F6A" w:rsidRPr="00E66B2D" w:rsidRDefault="00DE0F6A" w:rsidP="00E66B2D">
            <w:pPr>
              <w:jc w:val="center"/>
              <w:rPr>
                <w:rFonts w:ascii="Arial" w:hAnsi="Arial" w:cs="Arial"/>
                <w:b/>
                <w:bCs/>
              </w:rPr>
            </w:pPr>
            <w:r>
              <w:rPr>
                <w:rFonts w:ascii="Arial" w:hAnsi="Arial" w:cs="Arial"/>
                <w:b/>
                <w:bCs/>
              </w:rPr>
              <w:t>2024/25</w:t>
            </w:r>
          </w:p>
        </w:tc>
        <w:tc>
          <w:tcPr>
            <w:tcW w:w="1148" w:type="dxa"/>
            <w:vMerge w:val="restart"/>
            <w:tcBorders>
              <w:top w:val="nil"/>
              <w:left w:val="nil"/>
              <w:bottom w:val="nil"/>
              <w:right w:val="nil"/>
            </w:tcBorders>
            <w:shd w:val="clear" w:color="000000" w:fill="FFFFFF"/>
            <w:vAlign w:val="center"/>
            <w:hideMark/>
          </w:tcPr>
          <w:p w14:paraId="190A3CE9" w14:textId="12FA87B0" w:rsidR="00DE0F6A" w:rsidRPr="00E66B2D" w:rsidRDefault="00DE0F6A" w:rsidP="00E66B2D">
            <w:pPr>
              <w:jc w:val="center"/>
              <w:rPr>
                <w:rFonts w:ascii="Arial" w:hAnsi="Arial" w:cs="Arial"/>
                <w:b/>
                <w:bCs/>
                <w:color w:val="000000"/>
              </w:rPr>
            </w:pPr>
            <w:r>
              <w:rPr>
                <w:rFonts w:ascii="Arial" w:hAnsi="Arial" w:cs="Arial"/>
                <w:b/>
                <w:bCs/>
                <w:color w:val="000000"/>
              </w:rPr>
              <w:t>2023/24</w:t>
            </w:r>
          </w:p>
        </w:tc>
        <w:tc>
          <w:tcPr>
            <w:tcW w:w="1167" w:type="dxa"/>
            <w:vMerge w:val="restart"/>
            <w:tcBorders>
              <w:top w:val="nil"/>
              <w:left w:val="nil"/>
              <w:bottom w:val="nil"/>
              <w:right w:val="single" w:sz="8" w:space="0" w:color="auto"/>
            </w:tcBorders>
            <w:shd w:val="clear" w:color="000000" w:fill="CCCCCC"/>
            <w:vAlign w:val="center"/>
            <w:hideMark/>
          </w:tcPr>
          <w:p w14:paraId="38CF6E78" w14:textId="47848345" w:rsidR="00DE0F6A" w:rsidRPr="00E66B2D" w:rsidRDefault="00DE0F6A" w:rsidP="00E66B2D">
            <w:pPr>
              <w:jc w:val="center"/>
              <w:rPr>
                <w:rFonts w:ascii="Arial" w:hAnsi="Arial" w:cs="Arial"/>
                <w:b/>
                <w:bCs/>
              </w:rPr>
            </w:pPr>
            <w:r>
              <w:rPr>
                <w:rFonts w:ascii="Arial" w:hAnsi="Arial" w:cs="Arial"/>
                <w:b/>
                <w:bCs/>
              </w:rPr>
              <w:t>2024/25</w:t>
            </w:r>
          </w:p>
        </w:tc>
      </w:tr>
      <w:tr w:rsidR="00DE0F6A" w:rsidRPr="00E66B2D" w14:paraId="54D9BA58" w14:textId="77777777" w:rsidTr="00DE0F6A">
        <w:trPr>
          <w:trHeight w:val="300"/>
        </w:trPr>
        <w:tc>
          <w:tcPr>
            <w:tcW w:w="4314" w:type="dxa"/>
            <w:vMerge/>
            <w:tcBorders>
              <w:top w:val="nil"/>
              <w:left w:val="single" w:sz="8" w:space="0" w:color="auto"/>
              <w:bottom w:val="nil"/>
              <w:right w:val="single" w:sz="8" w:space="0" w:color="auto"/>
            </w:tcBorders>
            <w:vAlign w:val="center"/>
            <w:hideMark/>
          </w:tcPr>
          <w:p w14:paraId="561CBFDF" w14:textId="77777777" w:rsidR="00DE0F6A" w:rsidRPr="00E66B2D" w:rsidRDefault="00DE0F6A" w:rsidP="00E66B2D">
            <w:pPr>
              <w:rPr>
                <w:rFonts w:ascii="Arial" w:hAnsi="Arial" w:cs="Arial"/>
              </w:rPr>
            </w:pPr>
          </w:p>
        </w:tc>
        <w:tc>
          <w:tcPr>
            <w:tcW w:w="1242" w:type="dxa"/>
            <w:vMerge/>
            <w:tcBorders>
              <w:top w:val="nil"/>
              <w:left w:val="single" w:sz="8" w:space="0" w:color="auto"/>
              <w:bottom w:val="nil"/>
              <w:right w:val="nil"/>
            </w:tcBorders>
            <w:vAlign w:val="center"/>
            <w:hideMark/>
          </w:tcPr>
          <w:p w14:paraId="27F9B1F8" w14:textId="77777777" w:rsidR="00DE0F6A" w:rsidRPr="00E66B2D" w:rsidRDefault="00DE0F6A" w:rsidP="00E66B2D">
            <w:pPr>
              <w:rPr>
                <w:rFonts w:ascii="Arial" w:hAnsi="Arial" w:cs="Arial"/>
                <w:b/>
                <w:bCs/>
                <w:color w:val="000000"/>
              </w:rPr>
            </w:pPr>
          </w:p>
        </w:tc>
        <w:tc>
          <w:tcPr>
            <w:tcW w:w="1167" w:type="dxa"/>
            <w:vMerge/>
            <w:tcBorders>
              <w:top w:val="nil"/>
              <w:left w:val="nil"/>
              <w:bottom w:val="nil"/>
              <w:right w:val="nil"/>
            </w:tcBorders>
            <w:vAlign w:val="center"/>
            <w:hideMark/>
          </w:tcPr>
          <w:p w14:paraId="312D3669" w14:textId="77777777" w:rsidR="00DE0F6A" w:rsidRPr="00E66B2D" w:rsidRDefault="00DE0F6A" w:rsidP="00E66B2D">
            <w:pPr>
              <w:rPr>
                <w:rFonts w:ascii="Arial" w:hAnsi="Arial" w:cs="Arial"/>
                <w:b/>
                <w:bCs/>
              </w:rPr>
            </w:pPr>
          </w:p>
        </w:tc>
        <w:tc>
          <w:tcPr>
            <w:tcW w:w="1148" w:type="dxa"/>
            <w:vMerge/>
            <w:tcBorders>
              <w:top w:val="nil"/>
              <w:left w:val="nil"/>
              <w:bottom w:val="nil"/>
              <w:right w:val="nil"/>
            </w:tcBorders>
            <w:vAlign w:val="center"/>
            <w:hideMark/>
          </w:tcPr>
          <w:p w14:paraId="2E8D2047" w14:textId="77777777" w:rsidR="00DE0F6A" w:rsidRPr="00E66B2D" w:rsidRDefault="00DE0F6A" w:rsidP="00E66B2D">
            <w:pPr>
              <w:rPr>
                <w:rFonts w:ascii="Arial" w:hAnsi="Arial" w:cs="Arial"/>
                <w:b/>
                <w:bCs/>
                <w:color w:val="000000"/>
              </w:rPr>
            </w:pPr>
          </w:p>
        </w:tc>
        <w:tc>
          <w:tcPr>
            <w:tcW w:w="1167" w:type="dxa"/>
            <w:vMerge/>
            <w:tcBorders>
              <w:top w:val="nil"/>
              <w:left w:val="nil"/>
              <w:bottom w:val="nil"/>
              <w:right w:val="single" w:sz="8" w:space="0" w:color="auto"/>
            </w:tcBorders>
            <w:vAlign w:val="center"/>
            <w:hideMark/>
          </w:tcPr>
          <w:p w14:paraId="771C1E3A" w14:textId="77777777" w:rsidR="00DE0F6A" w:rsidRPr="00E66B2D" w:rsidRDefault="00DE0F6A" w:rsidP="00E66B2D">
            <w:pPr>
              <w:rPr>
                <w:rFonts w:ascii="Arial" w:hAnsi="Arial" w:cs="Arial"/>
                <w:b/>
                <w:bCs/>
              </w:rPr>
            </w:pPr>
          </w:p>
        </w:tc>
      </w:tr>
      <w:tr w:rsidR="00DE0F6A" w:rsidRPr="00E66B2D" w14:paraId="4EE4BA80"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3FCEA121" w14:textId="77777777" w:rsidR="00DE0F6A" w:rsidRPr="00E66B2D" w:rsidRDefault="00DE0F6A" w:rsidP="00E66B2D">
            <w:pPr>
              <w:rPr>
                <w:rFonts w:ascii="Arial" w:hAnsi="Arial" w:cs="Arial"/>
              </w:rPr>
            </w:pPr>
            <w:r w:rsidRPr="00E66B2D">
              <w:rPr>
                <w:rFonts w:ascii="Arial" w:hAnsi="Arial" w:cs="Arial"/>
              </w:rPr>
              <w:t>Mortality assumptions:</w:t>
            </w:r>
          </w:p>
        </w:tc>
        <w:tc>
          <w:tcPr>
            <w:tcW w:w="1242" w:type="dxa"/>
            <w:tcBorders>
              <w:top w:val="nil"/>
              <w:left w:val="nil"/>
              <w:bottom w:val="nil"/>
              <w:right w:val="nil"/>
            </w:tcBorders>
            <w:shd w:val="clear" w:color="000000" w:fill="FFFFFF"/>
            <w:vAlign w:val="center"/>
            <w:hideMark/>
          </w:tcPr>
          <w:p w14:paraId="75083CB0" w14:textId="77777777" w:rsidR="00DE0F6A" w:rsidRPr="00E66B2D" w:rsidRDefault="00DE0F6A" w:rsidP="00E66B2D">
            <w:pPr>
              <w:rPr>
                <w:rFonts w:ascii="Arial" w:hAnsi="Arial" w:cs="Arial"/>
              </w:rPr>
            </w:pPr>
            <w:r w:rsidRPr="00E66B2D">
              <w:rPr>
                <w:rFonts w:ascii="Arial" w:hAnsi="Arial" w:cs="Arial"/>
              </w:rPr>
              <w:t> </w:t>
            </w:r>
          </w:p>
        </w:tc>
        <w:tc>
          <w:tcPr>
            <w:tcW w:w="1167" w:type="dxa"/>
            <w:tcBorders>
              <w:top w:val="nil"/>
              <w:left w:val="nil"/>
              <w:bottom w:val="nil"/>
              <w:right w:val="nil"/>
            </w:tcBorders>
            <w:shd w:val="clear" w:color="000000" w:fill="CCCCCC"/>
            <w:vAlign w:val="center"/>
            <w:hideMark/>
          </w:tcPr>
          <w:p w14:paraId="580D13A3" w14:textId="77777777" w:rsidR="00DE0F6A" w:rsidRPr="00E66B2D" w:rsidRDefault="00DE0F6A" w:rsidP="00E66B2D">
            <w:pPr>
              <w:rPr>
                <w:rFonts w:ascii="Arial" w:hAnsi="Arial" w:cs="Arial"/>
              </w:rPr>
            </w:pPr>
            <w:r w:rsidRPr="00E66B2D">
              <w:rPr>
                <w:rFonts w:ascii="Arial" w:hAnsi="Arial" w:cs="Arial"/>
              </w:rPr>
              <w:t> </w:t>
            </w:r>
          </w:p>
        </w:tc>
        <w:tc>
          <w:tcPr>
            <w:tcW w:w="1148" w:type="dxa"/>
            <w:tcBorders>
              <w:top w:val="nil"/>
              <w:left w:val="nil"/>
              <w:bottom w:val="nil"/>
              <w:right w:val="nil"/>
            </w:tcBorders>
            <w:shd w:val="clear" w:color="000000" w:fill="FFFFFF"/>
            <w:vAlign w:val="center"/>
            <w:hideMark/>
          </w:tcPr>
          <w:p w14:paraId="08B73D0B" w14:textId="77777777" w:rsidR="00DE0F6A" w:rsidRPr="00E66B2D" w:rsidRDefault="00DE0F6A" w:rsidP="00E66B2D">
            <w:pPr>
              <w:rPr>
                <w:rFonts w:ascii="Arial" w:hAnsi="Arial" w:cs="Arial"/>
              </w:rPr>
            </w:pPr>
            <w:r w:rsidRPr="00E66B2D">
              <w:rPr>
                <w:rFonts w:ascii="Arial" w:hAnsi="Arial" w:cs="Arial"/>
              </w:rPr>
              <w:t> </w:t>
            </w:r>
          </w:p>
        </w:tc>
        <w:tc>
          <w:tcPr>
            <w:tcW w:w="1167" w:type="dxa"/>
            <w:tcBorders>
              <w:top w:val="nil"/>
              <w:left w:val="nil"/>
              <w:bottom w:val="nil"/>
              <w:right w:val="single" w:sz="8" w:space="0" w:color="auto"/>
            </w:tcBorders>
            <w:shd w:val="clear" w:color="000000" w:fill="CCCCCC"/>
            <w:vAlign w:val="center"/>
            <w:hideMark/>
          </w:tcPr>
          <w:p w14:paraId="78AD86E4" w14:textId="77777777" w:rsidR="00DE0F6A" w:rsidRPr="00E66B2D" w:rsidRDefault="00DE0F6A" w:rsidP="00E66B2D">
            <w:pPr>
              <w:rPr>
                <w:rFonts w:ascii="Arial" w:hAnsi="Arial" w:cs="Arial"/>
              </w:rPr>
            </w:pPr>
            <w:r w:rsidRPr="00E66B2D">
              <w:rPr>
                <w:rFonts w:ascii="Arial" w:hAnsi="Arial" w:cs="Arial"/>
              </w:rPr>
              <w:t> </w:t>
            </w:r>
          </w:p>
        </w:tc>
      </w:tr>
      <w:tr w:rsidR="00DE0F6A" w:rsidRPr="00E66B2D" w14:paraId="15F9AECF"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37D3ABCC" w14:textId="77777777" w:rsidR="00DE0F6A" w:rsidRPr="00E66B2D" w:rsidRDefault="00DE0F6A" w:rsidP="00E66B2D">
            <w:pPr>
              <w:rPr>
                <w:rFonts w:ascii="Arial" w:hAnsi="Arial" w:cs="Arial"/>
              </w:rPr>
            </w:pPr>
            <w:r w:rsidRPr="00E66B2D">
              <w:rPr>
                <w:rFonts w:ascii="Arial" w:hAnsi="Arial" w:cs="Arial"/>
              </w:rPr>
              <w:t>Longevity at 65 for current pensioners (LGPS):</w:t>
            </w:r>
          </w:p>
        </w:tc>
        <w:tc>
          <w:tcPr>
            <w:tcW w:w="1242" w:type="dxa"/>
            <w:tcBorders>
              <w:top w:val="nil"/>
              <w:left w:val="nil"/>
              <w:bottom w:val="nil"/>
              <w:right w:val="nil"/>
            </w:tcBorders>
            <w:shd w:val="clear" w:color="000000" w:fill="FFFFFF"/>
            <w:vAlign w:val="center"/>
            <w:hideMark/>
          </w:tcPr>
          <w:p w14:paraId="4E728F25" w14:textId="77777777" w:rsidR="00DE0F6A" w:rsidRPr="00E66B2D" w:rsidRDefault="00DE0F6A" w:rsidP="00E66B2D">
            <w:pPr>
              <w:rPr>
                <w:rFonts w:ascii="Arial" w:hAnsi="Arial" w:cs="Arial"/>
              </w:rPr>
            </w:pPr>
            <w:r w:rsidRPr="00E66B2D">
              <w:rPr>
                <w:rFonts w:ascii="Arial" w:hAnsi="Arial" w:cs="Arial"/>
              </w:rPr>
              <w:t> </w:t>
            </w:r>
          </w:p>
        </w:tc>
        <w:tc>
          <w:tcPr>
            <w:tcW w:w="1167" w:type="dxa"/>
            <w:tcBorders>
              <w:top w:val="nil"/>
              <w:left w:val="nil"/>
              <w:bottom w:val="nil"/>
              <w:right w:val="nil"/>
            </w:tcBorders>
            <w:shd w:val="clear" w:color="000000" w:fill="CCCCCC"/>
            <w:vAlign w:val="center"/>
            <w:hideMark/>
          </w:tcPr>
          <w:p w14:paraId="1BEA56B6" w14:textId="77777777" w:rsidR="00DE0F6A" w:rsidRPr="00E66B2D" w:rsidRDefault="00DE0F6A" w:rsidP="00E66B2D">
            <w:pPr>
              <w:rPr>
                <w:rFonts w:ascii="Arial" w:hAnsi="Arial" w:cs="Arial"/>
              </w:rPr>
            </w:pPr>
            <w:r w:rsidRPr="00E66B2D">
              <w:rPr>
                <w:rFonts w:ascii="Arial" w:hAnsi="Arial" w:cs="Arial"/>
              </w:rPr>
              <w:t> </w:t>
            </w:r>
          </w:p>
        </w:tc>
        <w:tc>
          <w:tcPr>
            <w:tcW w:w="1148" w:type="dxa"/>
            <w:tcBorders>
              <w:top w:val="nil"/>
              <w:left w:val="nil"/>
              <w:bottom w:val="nil"/>
              <w:right w:val="nil"/>
            </w:tcBorders>
            <w:shd w:val="clear" w:color="000000" w:fill="FFFFFF"/>
            <w:vAlign w:val="center"/>
            <w:hideMark/>
          </w:tcPr>
          <w:p w14:paraId="080D368C" w14:textId="77777777" w:rsidR="00DE0F6A" w:rsidRPr="00E66B2D" w:rsidRDefault="00DE0F6A" w:rsidP="00E66B2D">
            <w:pPr>
              <w:rPr>
                <w:rFonts w:ascii="Arial" w:hAnsi="Arial" w:cs="Arial"/>
              </w:rPr>
            </w:pPr>
            <w:r w:rsidRPr="00E66B2D">
              <w:rPr>
                <w:rFonts w:ascii="Arial" w:hAnsi="Arial" w:cs="Arial"/>
              </w:rPr>
              <w:t> </w:t>
            </w:r>
          </w:p>
        </w:tc>
        <w:tc>
          <w:tcPr>
            <w:tcW w:w="1167" w:type="dxa"/>
            <w:tcBorders>
              <w:top w:val="nil"/>
              <w:left w:val="nil"/>
              <w:bottom w:val="nil"/>
              <w:right w:val="single" w:sz="8" w:space="0" w:color="auto"/>
            </w:tcBorders>
            <w:shd w:val="clear" w:color="000000" w:fill="CCCCCC"/>
            <w:vAlign w:val="center"/>
            <w:hideMark/>
          </w:tcPr>
          <w:p w14:paraId="7DF255B3" w14:textId="77777777" w:rsidR="00DE0F6A" w:rsidRPr="00E66B2D" w:rsidRDefault="00DE0F6A" w:rsidP="00E66B2D">
            <w:pPr>
              <w:rPr>
                <w:rFonts w:ascii="Arial" w:hAnsi="Arial" w:cs="Arial"/>
              </w:rPr>
            </w:pPr>
            <w:r w:rsidRPr="00E66B2D">
              <w:rPr>
                <w:rFonts w:ascii="Arial" w:hAnsi="Arial" w:cs="Arial"/>
              </w:rPr>
              <w:t> </w:t>
            </w:r>
          </w:p>
        </w:tc>
      </w:tr>
      <w:tr w:rsidR="00DE0F6A" w:rsidRPr="00E66B2D" w14:paraId="749B98E8"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26B3F280" w14:textId="77777777" w:rsidR="00DE0F6A" w:rsidRPr="00E66B2D" w:rsidRDefault="00DE0F6A" w:rsidP="008405B5">
            <w:pPr>
              <w:rPr>
                <w:rFonts w:ascii="Arial" w:hAnsi="Arial" w:cs="Arial"/>
              </w:rPr>
            </w:pPr>
            <w:r w:rsidRPr="00E66B2D">
              <w:rPr>
                <w:rFonts w:ascii="Arial" w:hAnsi="Arial" w:cs="Arial"/>
              </w:rPr>
              <w:t xml:space="preserve">      Men</w:t>
            </w:r>
          </w:p>
        </w:tc>
        <w:tc>
          <w:tcPr>
            <w:tcW w:w="1242" w:type="dxa"/>
            <w:tcBorders>
              <w:top w:val="nil"/>
              <w:left w:val="single" w:sz="8" w:space="0" w:color="auto"/>
              <w:bottom w:val="nil"/>
              <w:right w:val="nil"/>
            </w:tcBorders>
            <w:shd w:val="clear" w:color="000000" w:fill="FFFFFF"/>
            <w:vAlign w:val="center"/>
            <w:hideMark/>
          </w:tcPr>
          <w:p w14:paraId="606ACDEC" w14:textId="79F24254" w:rsidR="00DE0F6A" w:rsidRPr="00E66B2D" w:rsidRDefault="00DE0F6A" w:rsidP="008405B5">
            <w:pPr>
              <w:jc w:val="center"/>
              <w:rPr>
                <w:rFonts w:ascii="Arial" w:hAnsi="Arial" w:cs="Arial"/>
              </w:rPr>
            </w:pPr>
            <w:r>
              <w:rPr>
                <w:rFonts w:ascii="Arial" w:hAnsi="Arial" w:cs="Arial"/>
              </w:rPr>
              <w:t>21.1</w:t>
            </w:r>
          </w:p>
        </w:tc>
        <w:tc>
          <w:tcPr>
            <w:tcW w:w="1167" w:type="dxa"/>
            <w:tcBorders>
              <w:top w:val="nil"/>
              <w:left w:val="nil"/>
              <w:bottom w:val="nil"/>
              <w:right w:val="nil"/>
            </w:tcBorders>
            <w:shd w:val="clear" w:color="000000" w:fill="CCCCCC"/>
            <w:vAlign w:val="center"/>
            <w:hideMark/>
          </w:tcPr>
          <w:p w14:paraId="7C6AC420" w14:textId="170F5B86" w:rsidR="00DE0F6A" w:rsidRPr="00E66B2D" w:rsidRDefault="00DE0F6A" w:rsidP="008405B5">
            <w:pPr>
              <w:jc w:val="center"/>
              <w:rPr>
                <w:rFonts w:ascii="Arial" w:hAnsi="Arial" w:cs="Arial"/>
              </w:rPr>
            </w:pPr>
            <w:r>
              <w:rPr>
                <w:rFonts w:ascii="Arial" w:hAnsi="Arial" w:cs="Arial"/>
              </w:rPr>
              <w:t>21.1</w:t>
            </w:r>
          </w:p>
        </w:tc>
        <w:tc>
          <w:tcPr>
            <w:tcW w:w="1148" w:type="dxa"/>
            <w:tcBorders>
              <w:top w:val="nil"/>
              <w:left w:val="nil"/>
              <w:bottom w:val="nil"/>
              <w:right w:val="nil"/>
            </w:tcBorders>
            <w:shd w:val="clear" w:color="000000" w:fill="FFFFFF"/>
            <w:vAlign w:val="center"/>
            <w:hideMark/>
          </w:tcPr>
          <w:p w14:paraId="26F30752" w14:textId="2A2B083B" w:rsidR="00DE0F6A" w:rsidRPr="00E66B2D" w:rsidRDefault="00DE0F6A" w:rsidP="008405B5">
            <w:pPr>
              <w:jc w:val="center"/>
              <w:rPr>
                <w:rFonts w:ascii="Arial" w:hAnsi="Arial" w:cs="Arial"/>
              </w:rPr>
            </w:pPr>
            <w:r>
              <w:rPr>
                <w:rFonts w:ascii="Arial" w:hAnsi="Arial" w:cs="Arial"/>
              </w:rPr>
              <w:t>21.1</w:t>
            </w:r>
          </w:p>
        </w:tc>
        <w:tc>
          <w:tcPr>
            <w:tcW w:w="1167" w:type="dxa"/>
            <w:tcBorders>
              <w:top w:val="nil"/>
              <w:left w:val="nil"/>
              <w:bottom w:val="nil"/>
              <w:right w:val="single" w:sz="8" w:space="0" w:color="auto"/>
            </w:tcBorders>
            <w:shd w:val="clear" w:color="000000" w:fill="CCCCCC"/>
            <w:vAlign w:val="center"/>
            <w:hideMark/>
          </w:tcPr>
          <w:p w14:paraId="546CACD4" w14:textId="0029E40D" w:rsidR="00DE0F6A" w:rsidRPr="00E66B2D" w:rsidRDefault="00DE0F6A" w:rsidP="008405B5">
            <w:pPr>
              <w:jc w:val="center"/>
              <w:rPr>
                <w:rFonts w:ascii="Arial" w:hAnsi="Arial" w:cs="Arial"/>
              </w:rPr>
            </w:pPr>
            <w:r>
              <w:rPr>
                <w:rFonts w:ascii="Arial" w:hAnsi="Arial" w:cs="Arial"/>
              </w:rPr>
              <w:t>21.1</w:t>
            </w:r>
          </w:p>
        </w:tc>
      </w:tr>
      <w:tr w:rsidR="00DE0F6A" w:rsidRPr="00E66B2D" w14:paraId="64EF05E1"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1045E7E2" w14:textId="77777777" w:rsidR="00DE0F6A" w:rsidRPr="00E66B2D" w:rsidRDefault="00DE0F6A" w:rsidP="008405B5">
            <w:pPr>
              <w:rPr>
                <w:rFonts w:ascii="Arial" w:hAnsi="Arial" w:cs="Arial"/>
              </w:rPr>
            </w:pPr>
            <w:r w:rsidRPr="00E66B2D">
              <w:rPr>
                <w:rFonts w:ascii="Arial" w:hAnsi="Arial" w:cs="Arial"/>
              </w:rPr>
              <w:t xml:space="preserve">      Women</w:t>
            </w:r>
          </w:p>
        </w:tc>
        <w:tc>
          <w:tcPr>
            <w:tcW w:w="1242" w:type="dxa"/>
            <w:tcBorders>
              <w:top w:val="nil"/>
              <w:left w:val="single" w:sz="8" w:space="0" w:color="auto"/>
              <w:bottom w:val="nil"/>
              <w:right w:val="nil"/>
            </w:tcBorders>
            <w:shd w:val="clear" w:color="000000" w:fill="FFFFFF"/>
            <w:vAlign w:val="center"/>
            <w:hideMark/>
          </w:tcPr>
          <w:p w14:paraId="64DD7648" w14:textId="438287E3" w:rsidR="00DE0F6A" w:rsidRPr="00E66B2D" w:rsidRDefault="00DE0F6A" w:rsidP="008405B5">
            <w:pPr>
              <w:jc w:val="center"/>
              <w:rPr>
                <w:rFonts w:ascii="Arial" w:hAnsi="Arial" w:cs="Arial"/>
              </w:rPr>
            </w:pPr>
            <w:r>
              <w:rPr>
                <w:rFonts w:ascii="Arial" w:hAnsi="Arial" w:cs="Arial"/>
              </w:rPr>
              <w:t>23.5</w:t>
            </w:r>
          </w:p>
        </w:tc>
        <w:tc>
          <w:tcPr>
            <w:tcW w:w="1167" w:type="dxa"/>
            <w:tcBorders>
              <w:top w:val="nil"/>
              <w:left w:val="nil"/>
              <w:bottom w:val="nil"/>
              <w:right w:val="nil"/>
            </w:tcBorders>
            <w:shd w:val="clear" w:color="000000" w:fill="CCCCCC"/>
            <w:vAlign w:val="center"/>
            <w:hideMark/>
          </w:tcPr>
          <w:p w14:paraId="1F0F964E" w14:textId="06659C17" w:rsidR="00DE0F6A" w:rsidRPr="00E66B2D" w:rsidRDefault="00DE0F6A" w:rsidP="008405B5">
            <w:pPr>
              <w:jc w:val="center"/>
              <w:rPr>
                <w:rFonts w:ascii="Arial" w:hAnsi="Arial" w:cs="Arial"/>
              </w:rPr>
            </w:pPr>
            <w:r>
              <w:rPr>
                <w:rFonts w:ascii="Arial" w:hAnsi="Arial" w:cs="Arial"/>
              </w:rPr>
              <w:t>23.6</w:t>
            </w:r>
          </w:p>
        </w:tc>
        <w:tc>
          <w:tcPr>
            <w:tcW w:w="1148" w:type="dxa"/>
            <w:tcBorders>
              <w:top w:val="nil"/>
              <w:left w:val="nil"/>
              <w:bottom w:val="nil"/>
              <w:right w:val="nil"/>
            </w:tcBorders>
            <w:shd w:val="clear" w:color="000000" w:fill="FFFFFF"/>
            <w:vAlign w:val="center"/>
            <w:hideMark/>
          </w:tcPr>
          <w:p w14:paraId="3405E243" w14:textId="4658B492" w:rsidR="00DE0F6A" w:rsidRPr="00E66B2D" w:rsidRDefault="00DE0F6A" w:rsidP="008405B5">
            <w:pPr>
              <w:jc w:val="center"/>
              <w:rPr>
                <w:rFonts w:ascii="Arial" w:hAnsi="Arial" w:cs="Arial"/>
              </w:rPr>
            </w:pPr>
            <w:r>
              <w:rPr>
                <w:rFonts w:ascii="Arial" w:hAnsi="Arial" w:cs="Arial"/>
              </w:rPr>
              <w:t>23.5</w:t>
            </w:r>
          </w:p>
        </w:tc>
        <w:tc>
          <w:tcPr>
            <w:tcW w:w="1167" w:type="dxa"/>
            <w:tcBorders>
              <w:top w:val="nil"/>
              <w:left w:val="nil"/>
              <w:bottom w:val="nil"/>
              <w:right w:val="single" w:sz="8" w:space="0" w:color="auto"/>
            </w:tcBorders>
            <w:shd w:val="clear" w:color="000000" w:fill="CCCCCC"/>
            <w:vAlign w:val="center"/>
            <w:hideMark/>
          </w:tcPr>
          <w:p w14:paraId="60C5F975" w14:textId="21ABCF13" w:rsidR="00DE0F6A" w:rsidRPr="00E66B2D" w:rsidRDefault="00DE0F6A" w:rsidP="008405B5">
            <w:pPr>
              <w:jc w:val="center"/>
              <w:rPr>
                <w:rFonts w:ascii="Arial" w:hAnsi="Arial" w:cs="Arial"/>
              </w:rPr>
            </w:pPr>
            <w:r>
              <w:rPr>
                <w:rFonts w:ascii="Arial" w:hAnsi="Arial" w:cs="Arial"/>
              </w:rPr>
              <w:t>23.6</w:t>
            </w:r>
          </w:p>
        </w:tc>
      </w:tr>
      <w:tr w:rsidR="00DE0F6A" w:rsidRPr="00E66B2D" w14:paraId="53A642F7"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40C165B9" w14:textId="77777777" w:rsidR="00DE0F6A" w:rsidRPr="00E66B2D" w:rsidRDefault="00DE0F6A" w:rsidP="008405B5">
            <w:pPr>
              <w:rPr>
                <w:rFonts w:ascii="Arial" w:hAnsi="Arial" w:cs="Arial"/>
              </w:rPr>
            </w:pPr>
            <w:r w:rsidRPr="00E66B2D">
              <w:rPr>
                <w:rFonts w:ascii="Arial" w:hAnsi="Arial" w:cs="Arial"/>
              </w:rPr>
              <w:t>Longevity at 65 for future pensioners (LGPS):</w:t>
            </w:r>
          </w:p>
        </w:tc>
        <w:tc>
          <w:tcPr>
            <w:tcW w:w="1242" w:type="dxa"/>
            <w:tcBorders>
              <w:top w:val="nil"/>
              <w:left w:val="single" w:sz="8" w:space="0" w:color="auto"/>
              <w:bottom w:val="nil"/>
              <w:right w:val="nil"/>
            </w:tcBorders>
            <w:shd w:val="clear" w:color="000000" w:fill="FFFFFF"/>
            <w:vAlign w:val="center"/>
            <w:hideMark/>
          </w:tcPr>
          <w:p w14:paraId="56685401" w14:textId="79C2C111" w:rsidR="00DE0F6A" w:rsidRPr="00E66B2D" w:rsidRDefault="00DE0F6A" w:rsidP="008405B5">
            <w:pPr>
              <w:jc w:val="center"/>
              <w:rPr>
                <w:rFonts w:ascii="Arial" w:hAnsi="Arial" w:cs="Arial"/>
              </w:rPr>
            </w:pPr>
            <w:r>
              <w:rPr>
                <w:rFonts w:ascii="Arial" w:hAnsi="Arial" w:cs="Arial"/>
              </w:rPr>
              <w:t> </w:t>
            </w:r>
          </w:p>
        </w:tc>
        <w:tc>
          <w:tcPr>
            <w:tcW w:w="1167" w:type="dxa"/>
            <w:tcBorders>
              <w:top w:val="nil"/>
              <w:left w:val="nil"/>
              <w:bottom w:val="nil"/>
              <w:right w:val="nil"/>
            </w:tcBorders>
            <w:shd w:val="clear" w:color="000000" w:fill="CCCCCC"/>
            <w:vAlign w:val="center"/>
            <w:hideMark/>
          </w:tcPr>
          <w:p w14:paraId="7B6B967B" w14:textId="20209DB7" w:rsidR="00DE0F6A" w:rsidRPr="00E66B2D" w:rsidRDefault="00DE0F6A" w:rsidP="008405B5">
            <w:pPr>
              <w:jc w:val="center"/>
              <w:rPr>
                <w:rFonts w:ascii="Arial" w:hAnsi="Arial" w:cs="Arial"/>
              </w:rPr>
            </w:pPr>
            <w:r>
              <w:rPr>
                <w:rFonts w:ascii="Arial" w:hAnsi="Arial" w:cs="Arial"/>
              </w:rPr>
              <w:t> </w:t>
            </w:r>
          </w:p>
        </w:tc>
        <w:tc>
          <w:tcPr>
            <w:tcW w:w="1148" w:type="dxa"/>
            <w:tcBorders>
              <w:top w:val="nil"/>
              <w:left w:val="nil"/>
              <w:bottom w:val="nil"/>
              <w:right w:val="nil"/>
            </w:tcBorders>
            <w:shd w:val="clear" w:color="000000" w:fill="FFFFFF"/>
            <w:vAlign w:val="center"/>
            <w:hideMark/>
          </w:tcPr>
          <w:p w14:paraId="6978F101" w14:textId="5ED1A5F1" w:rsidR="00DE0F6A" w:rsidRPr="00E66B2D" w:rsidRDefault="00DE0F6A" w:rsidP="008405B5">
            <w:pPr>
              <w:jc w:val="center"/>
              <w:rPr>
                <w:rFonts w:ascii="Arial" w:hAnsi="Arial" w:cs="Arial"/>
              </w:rPr>
            </w:pPr>
            <w:r>
              <w:rPr>
                <w:rFonts w:ascii="Arial" w:hAnsi="Arial" w:cs="Arial"/>
              </w:rPr>
              <w:t> </w:t>
            </w:r>
          </w:p>
        </w:tc>
        <w:tc>
          <w:tcPr>
            <w:tcW w:w="1167" w:type="dxa"/>
            <w:tcBorders>
              <w:top w:val="nil"/>
              <w:left w:val="nil"/>
              <w:bottom w:val="nil"/>
              <w:right w:val="single" w:sz="8" w:space="0" w:color="auto"/>
            </w:tcBorders>
            <w:shd w:val="clear" w:color="000000" w:fill="CCCCCC"/>
            <w:vAlign w:val="center"/>
            <w:hideMark/>
          </w:tcPr>
          <w:p w14:paraId="5FC2AB2C" w14:textId="15657138" w:rsidR="00DE0F6A" w:rsidRPr="00E66B2D" w:rsidRDefault="00DE0F6A" w:rsidP="008405B5">
            <w:pPr>
              <w:jc w:val="center"/>
              <w:rPr>
                <w:rFonts w:ascii="Arial" w:hAnsi="Arial" w:cs="Arial"/>
              </w:rPr>
            </w:pPr>
            <w:r>
              <w:rPr>
                <w:rFonts w:ascii="Arial" w:hAnsi="Arial" w:cs="Arial"/>
              </w:rPr>
              <w:t> </w:t>
            </w:r>
          </w:p>
        </w:tc>
      </w:tr>
      <w:tr w:rsidR="00DE0F6A" w:rsidRPr="00E66B2D" w14:paraId="079FA54F"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2C63EEB9" w14:textId="77777777" w:rsidR="00DE0F6A" w:rsidRPr="00E66B2D" w:rsidRDefault="00DE0F6A" w:rsidP="008405B5">
            <w:pPr>
              <w:rPr>
                <w:rFonts w:ascii="Arial" w:hAnsi="Arial" w:cs="Arial"/>
              </w:rPr>
            </w:pPr>
            <w:r w:rsidRPr="00E66B2D">
              <w:rPr>
                <w:rFonts w:ascii="Arial" w:hAnsi="Arial" w:cs="Arial"/>
              </w:rPr>
              <w:t xml:space="preserve">      Men</w:t>
            </w:r>
          </w:p>
        </w:tc>
        <w:tc>
          <w:tcPr>
            <w:tcW w:w="1242" w:type="dxa"/>
            <w:tcBorders>
              <w:top w:val="nil"/>
              <w:left w:val="single" w:sz="8" w:space="0" w:color="auto"/>
              <w:bottom w:val="nil"/>
              <w:right w:val="nil"/>
            </w:tcBorders>
            <w:shd w:val="clear" w:color="000000" w:fill="FFFFFF"/>
            <w:vAlign w:val="center"/>
            <w:hideMark/>
          </w:tcPr>
          <w:p w14:paraId="10CA05C1" w14:textId="13667D0F" w:rsidR="00DE0F6A" w:rsidRPr="00E66B2D" w:rsidRDefault="00DE0F6A" w:rsidP="008405B5">
            <w:pPr>
              <w:jc w:val="center"/>
              <w:rPr>
                <w:rFonts w:ascii="Arial" w:hAnsi="Arial" w:cs="Arial"/>
              </w:rPr>
            </w:pPr>
            <w:r>
              <w:rPr>
                <w:rFonts w:ascii="Arial" w:hAnsi="Arial" w:cs="Arial"/>
              </w:rPr>
              <w:t>22.4</w:t>
            </w:r>
          </w:p>
        </w:tc>
        <w:tc>
          <w:tcPr>
            <w:tcW w:w="1167" w:type="dxa"/>
            <w:tcBorders>
              <w:top w:val="nil"/>
              <w:left w:val="nil"/>
              <w:bottom w:val="nil"/>
              <w:right w:val="nil"/>
            </w:tcBorders>
            <w:shd w:val="clear" w:color="000000" w:fill="CCCCCC"/>
            <w:vAlign w:val="center"/>
            <w:hideMark/>
          </w:tcPr>
          <w:p w14:paraId="314B68B9" w14:textId="51AA14FE" w:rsidR="00DE0F6A" w:rsidRPr="00E66B2D" w:rsidRDefault="00DE0F6A" w:rsidP="008405B5">
            <w:pPr>
              <w:jc w:val="center"/>
              <w:rPr>
                <w:rFonts w:ascii="Arial" w:hAnsi="Arial" w:cs="Arial"/>
              </w:rPr>
            </w:pPr>
            <w:r>
              <w:rPr>
                <w:rFonts w:ascii="Arial" w:hAnsi="Arial" w:cs="Arial"/>
              </w:rPr>
              <w:t>22.3</w:t>
            </w:r>
          </w:p>
        </w:tc>
        <w:tc>
          <w:tcPr>
            <w:tcW w:w="1148" w:type="dxa"/>
            <w:tcBorders>
              <w:top w:val="nil"/>
              <w:left w:val="nil"/>
              <w:bottom w:val="nil"/>
              <w:right w:val="nil"/>
            </w:tcBorders>
            <w:shd w:val="clear" w:color="000000" w:fill="FFFFFF"/>
            <w:vAlign w:val="center"/>
            <w:hideMark/>
          </w:tcPr>
          <w:p w14:paraId="34FD501C" w14:textId="25ED67F8" w:rsidR="00DE0F6A" w:rsidRPr="00E66B2D" w:rsidRDefault="00DE0F6A" w:rsidP="008405B5">
            <w:pPr>
              <w:jc w:val="center"/>
              <w:rPr>
                <w:rFonts w:ascii="Arial" w:hAnsi="Arial" w:cs="Arial"/>
              </w:rPr>
            </w:pPr>
            <w:r>
              <w:rPr>
                <w:rFonts w:ascii="Arial" w:hAnsi="Arial" w:cs="Arial"/>
              </w:rPr>
              <w:t>22.4</w:t>
            </w:r>
          </w:p>
        </w:tc>
        <w:tc>
          <w:tcPr>
            <w:tcW w:w="1167" w:type="dxa"/>
            <w:tcBorders>
              <w:top w:val="nil"/>
              <w:left w:val="nil"/>
              <w:bottom w:val="nil"/>
              <w:right w:val="single" w:sz="8" w:space="0" w:color="auto"/>
            </w:tcBorders>
            <w:shd w:val="clear" w:color="000000" w:fill="CCCCCC"/>
            <w:vAlign w:val="center"/>
            <w:hideMark/>
          </w:tcPr>
          <w:p w14:paraId="74F6FFE9" w14:textId="4AFCFE00" w:rsidR="00DE0F6A" w:rsidRPr="00E66B2D" w:rsidRDefault="00DE0F6A" w:rsidP="008405B5">
            <w:pPr>
              <w:jc w:val="center"/>
              <w:rPr>
                <w:rFonts w:ascii="Arial" w:hAnsi="Arial" w:cs="Arial"/>
              </w:rPr>
            </w:pPr>
            <w:r>
              <w:rPr>
                <w:rFonts w:ascii="Arial" w:hAnsi="Arial" w:cs="Arial"/>
              </w:rPr>
              <w:t>22.3</w:t>
            </w:r>
          </w:p>
        </w:tc>
      </w:tr>
      <w:tr w:rsidR="00DE0F6A" w:rsidRPr="00E66B2D" w14:paraId="28E0F0C9"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1295837F" w14:textId="77777777" w:rsidR="00DE0F6A" w:rsidRPr="00E66B2D" w:rsidRDefault="00DE0F6A" w:rsidP="008405B5">
            <w:pPr>
              <w:rPr>
                <w:rFonts w:ascii="Arial" w:hAnsi="Arial" w:cs="Arial"/>
              </w:rPr>
            </w:pPr>
            <w:r w:rsidRPr="00E66B2D">
              <w:rPr>
                <w:rFonts w:ascii="Arial" w:hAnsi="Arial" w:cs="Arial"/>
              </w:rPr>
              <w:t xml:space="preserve">      Women</w:t>
            </w:r>
          </w:p>
        </w:tc>
        <w:tc>
          <w:tcPr>
            <w:tcW w:w="1242" w:type="dxa"/>
            <w:tcBorders>
              <w:top w:val="nil"/>
              <w:left w:val="single" w:sz="8" w:space="0" w:color="auto"/>
              <w:bottom w:val="nil"/>
              <w:right w:val="nil"/>
            </w:tcBorders>
            <w:shd w:val="clear" w:color="000000" w:fill="FFFFFF"/>
            <w:vAlign w:val="center"/>
            <w:hideMark/>
          </w:tcPr>
          <w:p w14:paraId="0CE250AB" w14:textId="02064378" w:rsidR="00DE0F6A" w:rsidRPr="00E66B2D" w:rsidRDefault="00DE0F6A" w:rsidP="008405B5">
            <w:pPr>
              <w:jc w:val="center"/>
              <w:rPr>
                <w:rFonts w:ascii="Arial" w:hAnsi="Arial" w:cs="Arial"/>
              </w:rPr>
            </w:pPr>
            <w:r>
              <w:rPr>
                <w:rFonts w:ascii="Arial" w:hAnsi="Arial" w:cs="Arial"/>
              </w:rPr>
              <w:t>25.3</w:t>
            </w:r>
          </w:p>
        </w:tc>
        <w:tc>
          <w:tcPr>
            <w:tcW w:w="1167" w:type="dxa"/>
            <w:tcBorders>
              <w:top w:val="nil"/>
              <w:left w:val="nil"/>
              <w:bottom w:val="nil"/>
              <w:right w:val="nil"/>
            </w:tcBorders>
            <w:shd w:val="clear" w:color="000000" w:fill="CCCCCC"/>
            <w:vAlign w:val="center"/>
            <w:hideMark/>
          </w:tcPr>
          <w:p w14:paraId="613D6611" w14:textId="38066167" w:rsidR="00DE0F6A" w:rsidRPr="00E66B2D" w:rsidRDefault="00DE0F6A" w:rsidP="008405B5">
            <w:pPr>
              <w:jc w:val="center"/>
              <w:rPr>
                <w:rFonts w:ascii="Arial" w:hAnsi="Arial" w:cs="Arial"/>
              </w:rPr>
            </w:pPr>
            <w:r>
              <w:rPr>
                <w:rFonts w:ascii="Arial" w:hAnsi="Arial" w:cs="Arial"/>
              </w:rPr>
              <w:t>25.4</w:t>
            </w:r>
          </w:p>
        </w:tc>
        <w:tc>
          <w:tcPr>
            <w:tcW w:w="1148" w:type="dxa"/>
            <w:tcBorders>
              <w:top w:val="nil"/>
              <w:left w:val="nil"/>
              <w:bottom w:val="nil"/>
              <w:right w:val="nil"/>
            </w:tcBorders>
            <w:shd w:val="clear" w:color="000000" w:fill="FFFFFF"/>
            <w:vAlign w:val="center"/>
            <w:hideMark/>
          </w:tcPr>
          <w:p w14:paraId="0B8191FD" w14:textId="36A79C9C" w:rsidR="00DE0F6A" w:rsidRPr="00E66B2D" w:rsidRDefault="00DE0F6A" w:rsidP="008405B5">
            <w:pPr>
              <w:jc w:val="center"/>
              <w:rPr>
                <w:rFonts w:ascii="Arial" w:hAnsi="Arial" w:cs="Arial"/>
              </w:rPr>
            </w:pPr>
            <w:r>
              <w:rPr>
                <w:rFonts w:ascii="Arial" w:hAnsi="Arial" w:cs="Arial"/>
              </w:rPr>
              <w:t>25.3</w:t>
            </w:r>
          </w:p>
        </w:tc>
        <w:tc>
          <w:tcPr>
            <w:tcW w:w="1167" w:type="dxa"/>
            <w:tcBorders>
              <w:top w:val="nil"/>
              <w:left w:val="nil"/>
              <w:bottom w:val="nil"/>
              <w:right w:val="single" w:sz="8" w:space="0" w:color="auto"/>
            </w:tcBorders>
            <w:shd w:val="clear" w:color="000000" w:fill="CCCCCC"/>
            <w:vAlign w:val="center"/>
            <w:hideMark/>
          </w:tcPr>
          <w:p w14:paraId="04CA5B66" w14:textId="620FF3C1" w:rsidR="00DE0F6A" w:rsidRPr="00E66B2D" w:rsidRDefault="00DE0F6A" w:rsidP="008405B5">
            <w:pPr>
              <w:jc w:val="center"/>
              <w:rPr>
                <w:rFonts w:ascii="Arial" w:hAnsi="Arial" w:cs="Arial"/>
              </w:rPr>
            </w:pPr>
            <w:r>
              <w:rPr>
                <w:rFonts w:ascii="Arial" w:hAnsi="Arial" w:cs="Arial"/>
              </w:rPr>
              <w:t>25.4</w:t>
            </w:r>
          </w:p>
        </w:tc>
      </w:tr>
      <w:tr w:rsidR="00DE0F6A" w:rsidRPr="00E66B2D" w14:paraId="7476BEEE"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5882258F" w14:textId="77777777" w:rsidR="00DE0F6A" w:rsidRPr="00E66B2D" w:rsidRDefault="00DE0F6A" w:rsidP="008405B5">
            <w:pPr>
              <w:rPr>
                <w:rFonts w:ascii="Arial" w:hAnsi="Arial" w:cs="Arial"/>
              </w:rPr>
            </w:pPr>
            <w:r w:rsidRPr="00E66B2D">
              <w:rPr>
                <w:rFonts w:ascii="Arial" w:hAnsi="Arial" w:cs="Arial"/>
              </w:rPr>
              <w:t>Rate of inflation: CPI</w:t>
            </w:r>
          </w:p>
        </w:tc>
        <w:tc>
          <w:tcPr>
            <w:tcW w:w="1242" w:type="dxa"/>
            <w:tcBorders>
              <w:top w:val="nil"/>
              <w:left w:val="single" w:sz="8" w:space="0" w:color="auto"/>
              <w:bottom w:val="nil"/>
              <w:right w:val="nil"/>
            </w:tcBorders>
            <w:shd w:val="clear" w:color="000000" w:fill="FFFFFF"/>
            <w:vAlign w:val="center"/>
            <w:hideMark/>
          </w:tcPr>
          <w:p w14:paraId="13E7D749" w14:textId="408B472A" w:rsidR="00DE0F6A" w:rsidRPr="00E66B2D" w:rsidRDefault="00DE0F6A" w:rsidP="008405B5">
            <w:pPr>
              <w:jc w:val="center"/>
              <w:rPr>
                <w:rFonts w:ascii="Arial" w:hAnsi="Arial" w:cs="Arial"/>
              </w:rPr>
            </w:pPr>
            <w:r>
              <w:rPr>
                <w:rFonts w:ascii="Arial" w:hAnsi="Arial" w:cs="Arial"/>
              </w:rPr>
              <w:t>2.70%</w:t>
            </w:r>
          </w:p>
        </w:tc>
        <w:tc>
          <w:tcPr>
            <w:tcW w:w="1167" w:type="dxa"/>
            <w:tcBorders>
              <w:top w:val="nil"/>
              <w:left w:val="nil"/>
              <w:bottom w:val="nil"/>
              <w:right w:val="nil"/>
            </w:tcBorders>
            <w:shd w:val="clear" w:color="000000" w:fill="CCCCCC"/>
            <w:vAlign w:val="center"/>
            <w:hideMark/>
          </w:tcPr>
          <w:p w14:paraId="403ADA6B" w14:textId="40E730A9" w:rsidR="00DE0F6A" w:rsidRPr="00E66B2D" w:rsidRDefault="00DE0F6A" w:rsidP="008405B5">
            <w:pPr>
              <w:jc w:val="center"/>
              <w:rPr>
                <w:rFonts w:ascii="Arial" w:hAnsi="Arial" w:cs="Arial"/>
              </w:rPr>
            </w:pPr>
            <w:r>
              <w:rPr>
                <w:rFonts w:ascii="Arial" w:hAnsi="Arial" w:cs="Arial"/>
              </w:rPr>
              <w:t>2.60%</w:t>
            </w:r>
          </w:p>
        </w:tc>
        <w:tc>
          <w:tcPr>
            <w:tcW w:w="1148" w:type="dxa"/>
            <w:tcBorders>
              <w:top w:val="nil"/>
              <w:left w:val="nil"/>
              <w:bottom w:val="nil"/>
              <w:right w:val="nil"/>
            </w:tcBorders>
            <w:shd w:val="clear" w:color="000000" w:fill="FFFFFF"/>
            <w:vAlign w:val="center"/>
            <w:hideMark/>
          </w:tcPr>
          <w:p w14:paraId="2CDA1EFA" w14:textId="17BEEB27" w:rsidR="00DE0F6A" w:rsidRPr="00E66B2D" w:rsidRDefault="00DE0F6A" w:rsidP="008405B5">
            <w:pPr>
              <w:jc w:val="center"/>
              <w:rPr>
                <w:rFonts w:ascii="Arial" w:hAnsi="Arial" w:cs="Arial"/>
              </w:rPr>
            </w:pPr>
            <w:r>
              <w:rPr>
                <w:rFonts w:ascii="Arial" w:hAnsi="Arial" w:cs="Arial"/>
              </w:rPr>
              <w:t>2.60%</w:t>
            </w:r>
          </w:p>
        </w:tc>
        <w:tc>
          <w:tcPr>
            <w:tcW w:w="1167" w:type="dxa"/>
            <w:tcBorders>
              <w:top w:val="nil"/>
              <w:left w:val="nil"/>
              <w:bottom w:val="nil"/>
              <w:right w:val="single" w:sz="8" w:space="0" w:color="auto"/>
            </w:tcBorders>
            <w:shd w:val="clear" w:color="000000" w:fill="CCCCCC"/>
            <w:vAlign w:val="center"/>
            <w:hideMark/>
          </w:tcPr>
          <w:p w14:paraId="46E32A12" w14:textId="1E798107" w:rsidR="00DE0F6A" w:rsidRPr="00E66B2D" w:rsidRDefault="00DE0F6A" w:rsidP="008405B5">
            <w:pPr>
              <w:jc w:val="center"/>
              <w:rPr>
                <w:rFonts w:ascii="Arial" w:hAnsi="Arial" w:cs="Arial"/>
              </w:rPr>
            </w:pPr>
            <w:r>
              <w:rPr>
                <w:rFonts w:ascii="Arial" w:hAnsi="Arial" w:cs="Arial"/>
              </w:rPr>
              <w:t>2.60%</w:t>
            </w:r>
          </w:p>
        </w:tc>
      </w:tr>
      <w:tr w:rsidR="00DE0F6A" w:rsidRPr="00E66B2D" w14:paraId="244938F1"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0A87B2D7" w14:textId="77777777" w:rsidR="00DE0F6A" w:rsidRPr="00E66B2D" w:rsidRDefault="00DE0F6A" w:rsidP="008405B5">
            <w:pPr>
              <w:rPr>
                <w:rFonts w:ascii="Arial" w:hAnsi="Arial" w:cs="Arial"/>
              </w:rPr>
            </w:pPr>
            <w:r w:rsidRPr="00E66B2D">
              <w:rPr>
                <w:rFonts w:ascii="Arial" w:hAnsi="Arial" w:cs="Arial"/>
              </w:rPr>
              <w:t>Rate of increase in salaries</w:t>
            </w:r>
          </w:p>
        </w:tc>
        <w:tc>
          <w:tcPr>
            <w:tcW w:w="1242" w:type="dxa"/>
            <w:tcBorders>
              <w:top w:val="nil"/>
              <w:left w:val="single" w:sz="8" w:space="0" w:color="auto"/>
              <w:bottom w:val="nil"/>
              <w:right w:val="nil"/>
            </w:tcBorders>
            <w:shd w:val="clear" w:color="000000" w:fill="FFFFFF"/>
            <w:vAlign w:val="center"/>
            <w:hideMark/>
          </w:tcPr>
          <w:p w14:paraId="12E497AF" w14:textId="5BAA5178" w:rsidR="00DE0F6A" w:rsidRPr="00E66B2D" w:rsidRDefault="00DE0F6A" w:rsidP="008405B5">
            <w:pPr>
              <w:jc w:val="center"/>
              <w:rPr>
                <w:rFonts w:ascii="Arial" w:hAnsi="Arial" w:cs="Arial"/>
              </w:rPr>
            </w:pPr>
            <w:r>
              <w:rPr>
                <w:rFonts w:ascii="Arial" w:hAnsi="Arial" w:cs="Arial"/>
              </w:rPr>
              <w:t>4.10%</w:t>
            </w:r>
          </w:p>
        </w:tc>
        <w:tc>
          <w:tcPr>
            <w:tcW w:w="1167" w:type="dxa"/>
            <w:tcBorders>
              <w:top w:val="nil"/>
              <w:left w:val="nil"/>
              <w:bottom w:val="nil"/>
              <w:right w:val="nil"/>
            </w:tcBorders>
            <w:shd w:val="clear" w:color="000000" w:fill="CCCCCC"/>
            <w:vAlign w:val="center"/>
            <w:hideMark/>
          </w:tcPr>
          <w:p w14:paraId="669BC32D" w14:textId="2DC615E3" w:rsidR="00DE0F6A" w:rsidRPr="00E66B2D" w:rsidRDefault="00DE0F6A" w:rsidP="008405B5">
            <w:pPr>
              <w:jc w:val="center"/>
              <w:rPr>
                <w:rFonts w:ascii="Arial" w:hAnsi="Arial" w:cs="Arial"/>
              </w:rPr>
            </w:pPr>
            <w:r>
              <w:rPr>
                <w:rFonts w:ascii="Arial" w:hAnsi="Arial" w:cs="Arial"/>
              </w:rPr>
              <w:t>4.10%</w:t>
            </w:r>
          </w:p>
        </w:tc>
        <w:tc>
          <w:tcPr>
            <w:tcW w:w="1148" w:type="dxa"/>
            <w:tcBorders>
              <w:top w:val="nil"/>
              <w:left w:val="nil"/>
              <w:bottom w:val="nil"/>
              <w:right w:val="nil"/>
            </w:tcBorders>
            <w:shd w:val="clear" w:color="000000" w:fill="FFFFFF"/>
            <w:vAlign w:val="center"/>
            <w:hideMark/>
          </w:tcPr>
          <w:p w14:paraId="009B94CE" w14:textId="46772366" w:rsidR="00DE0F6A" w:rsidRPr="00E66B2D" w:rsidRDefault="00DE0F6A" w:rsidP="008405B5">
            <w:pPr>
              <w:jc w:val="center"/>
              <w:rPr>
                <w:rFonts w:ascii="Arial" w:hAnsi="Arial" w:cs="Arial"/>
              </w:rPr>
            </w:pPr>
            <w:r>
              <w:rPr>
                <w:rFonts w:ascii="Arial" w:hAnsi="Arial" w:cs="Arial"/>
              </w:rPr>
              <w:t>4.10%</w:t>
            </w:r>
          </w:p>
        </w:tc>
        <w:tc>
          <w:tcPr>
            <w:tcW w:w="1167" w:type="dxa"/>
            <w:tcBorders>
              <w:top w:val="nil"/>
              <w:left w:val="nil"/>
              <w:bottom w:val="nil"/>
              <w:right w:val="single" w:sz="8" w:space="0" w:color="auto"/>
            </w:tcBorders>
            <w:shd w:val="clear" w:color="000000" w:fill="CCCCCC"/>
            <w:vAlign w:val="center"/>
            <w:hideMark/>
          </w:tcPr>
          <w:p w14:paraId="6BA8552F" w14:textId="082B087A" w:rsidR="00DE0F6A" w:rsidRPr="00E66B2D" w:rsidRDefault="00DE0F6A" w:rsidP="008405B5">
            <w:pPr>
              <w:jc w:val="center"/>
              <w:rPr>
                <w:rFonts w:ascii="Arial" w:hAnsi="Arial" w:cs="Arial"/>
              </w:rPr>
            </w:pPr>
            <w:r>
              <w:rPr>
                <w:rFonts w:ascii="Arial" w:hAnsi="Arial" w:cs="Arial"/>
              </w:rPr>
              <w:t>4.10%</w:t>
            </w:r>
          </w:p>
        </w:tc>
      </w:tr>
      <w:tr w:rsidR="00DE0F6A" w:rsidRPr="00E66B2D" w14:paraId="4C9CB1B0" w14:textId="77777777" w:rsidTr="00DE0F6A">
        <w:trPr>
          <w:trHeight w:val="300"/>
        </w:trPr>
        <w:tc>
          <w:tcPr>
            <w:tcW w:w="4314" w:type="dxa"/>
            <w:tcBorders>
              <w:top w:val="nil"/>
              <w:left w:val="single" w:sz="8" w:space="0" w:color="auto"/>
              <w:bottom w:val="nil"/>
              <w:right w:val="single" w:sz="8" w:space="0" w:color="auto"/>
            </w:tcBorders>
            <w:shd w:val="clear" w:color="000000" w:fill="FFFFFF"/>
            <w:vAlign w:val="center"/>
            <w:hideMark/>
          </w:tcPr>
          <w:p w14:paraId="281A4414" w14:textId="77777777" w:rsidR="00DE0F6A" w:rsidRPr="00E66B2D" w:rsidRDefault="00DE0F6A" w:rsidP="008405B5">
            <w:pPr>
              <w:rPr>
                <w:rFonts w:ascii="Arial" w:hAnsi="Arial" w:cs="Arial"/>
              </w:rPr>
            </w:pPr>
            <w:r w:rsidRPr="00E66B2D">
              <w:rPr>
                <w:rFonts w:ascii="Arial" w:hAnsi="Arial" w:cs="Arial"/>
              </w:rPr>
              <w:t>Rate of increase in pensions</w:t>
            </w:r>
          </w:p>
        </w:tc>
        <w:tc>
          <w:tcPr>
            <w:tcW w:w="1242" w:type="dxa"/>
            <w:tcBorders>
              <w:top w:val="nil"/>
              <w:left w:val="single" w:sz="8" w:space="0" w:color="auto"/>
              <w:bottom w:val="nil"/>
              <w:right w:val="nil"/>
            </w:tcBorders>
            <w:shd w:val="clear" w:color="000000" w:fill="FFFFFF"/>
            <w:vAlign w:val="center"/>
            <w:hideMark/>
          </w:tcPr>
          <w:p w14:paraId="12B27488" w14:textId="368DAD34" w:rsidR="00DE0F6A" w:rsidRPr="00E66B2D" w:rsidRDefault="00DE0F6A" w:rsidP="008405B5">
            <w:pPr>
              <w:jc w:val="center"/>
              <w:rPr>
                <w:rFonts w:ascii="Arial" w:hAnsi="Arial" w:cs="Arial"/>
              </w:rPr>
            </w:pPr>
            <w:r>
              <w:rPr>
                <w:rFonts w:ascii="Arial" w:hAnsi="Arial" w:cs="Arial"/>
              </w:rPr>
              <w:t>2.80%</w:t>
            </w:r>
          </w:p>
        </w:tc>
        <w:tc>
          <w:tcPr>
            <w:tcW w:w="1167" w:type="dxa"/>
            <w:tcBorders>
              <w:top w:val="nil"/>
              <w:left w:val="nil"/>
              <w:bottom w:val="nil"/>
              <w:right w:val="nil"/>
            </w:tcBorders>
            <w:shd w:val="clear" w:color="000000" w:fill="CCCCCC"/>
            <w:vAlign w:val="center"/>
            <w:hideMark/>
          </w:tcPr>
          <w:p w14:paraId="632D40E6" w14:textId="014CD3C0" w:rsidR="00DE0F6A" w:rsidRPr="00E66B2D" w:rsidRDefault="00DE0F6A" w:rsidP="008405B5">
            <w:pPr>
              <w:jc w:val="center"/>
              <w:rPr>
                <w:rFonts w:ascii="Arial" w:hAnsi="Arial" w:cs="Arial"/>
              </w:rPr>
            </w:pPr>
            <w:r>
              <w:rPr>
                <w:rFonts w:ascii="Arial" w:hAnsi="Arial" w:cs="Arial"/>
              </w:rPr>
              <w:t>2.70%</w:t>
            </w:r>
          </w:p>
        </w:tc>
        <w:tc>
          <w:tcPr>
            <w:tcW w:w="1148" w:type="dxa"/>
            <w:tcBorders>
              <w:top w:val="nil"/>
              <w:left w:val="nil"/>
              <w:bottom w:val="nil"/>
              <w:right w:val="nil"/>
            </w:tcBorders>
            <w:shd w:val="clear" w:color="000000" w:fill="FFFFFF"/>
            <w:vAlign w:val="center"/>
            <w:hideMark/>
          </w:tcPr>
          <w:p w14:paraId="5A1F99EF" w14:textId="4A9429FC" w:rsidR="00DE0F6A" w:rsidRPr="00E66B2D" w:rsidRDefault="00DE0F6A" w:rsidP="008405B5">
            <w:pPr>
              <w:jc w:val="center"/>
              <w:rPr>
                <w:rFonts w:ascii="Arial" w:hAnsi="Arial" w:cs="Arial"/>
              </w:rPr>
            </w:pPr>
            <w:r>
              <w:rPr>
                <w:rFonts w:ascii="Arial" w:hAnsi="Arial" w:cs="Arial"/>
              </w:rPr>
              <w:t>2.70%</w:t>
            </w:r>
          </w:p>
        </w:tc>
        <w:tc>
          <w:tcPr>
            <w:tcW w:w="1167" w:type="dxa"/>
            <w:tcBorders>
              <w:top w:val="nil"/>
              <w:left w:val="nil"/>
              <w:bottom w:val="nil"/>
              <w:right w:val="single" w:sz="8" w:space="0" w:color="auto"/>
            </w:tcBorders>
            <w:shd w:val="clear" w:color="000000" w:fill="CCCCCC"/>
            <w:vAlign w:val="center"/>
            <w:hideMark/>
          </w:tcPr>
          <w:p w14:paraId="096152A0" w14:textId="09264D77" w:rsidR="00DE0F6A" w:rsidRPr="00E66B2D" w:rsidRDefault="00DE0F6A" w:rsidP="008405B5">
            <w:pPr>
              <w:jc w:val="center"/>
              <w:rPr>
                <w:rFonts w:ascii="Arial" w:hAnsi="Arial" w:cs="Arial"/>
              </w:rPr>
            </w:pPr>
            <w:r>
              <w:rPr>
                <w:rFonts w:ascii="Arial" w:hAnsi="Arial" w:cs="Arial"/>
              </w:rPr>
              <w:t>2.70%</w:t>
            </w:r>
          </w:p>
        </w:tc>
      </w:tr>
      <w:tr w:rsidR="00DE0F6A" w:rsidRPr="00E66B2D" w14:paraId="3C97EF6C" w14:textId="77777777" w:rsidTr="00DE0F6A">
        <w:trPr>
          <w:trHeight w:val="315"/>
        </w:trPr>
        <w:tc>
          <w:tcPr>
            <w:tcW w:w="4314" w:type="dxa"/>
            <w:tcBorders>
              <w:top w:val="nil"/>
              <w:left w:val="single" w:sz="8" w:space="0" w:color="auto"/>
              <w:bottom w:val="single" w:sz="8" w:space="0" w:color="auto"/>
              <w:right w:val="single" w:sz="8" w:space="0" w:color="auto"/>
            </w:tcBorders>
            <w:shd w:val="clear" w:color="000000" w:fill="FFFFFF"/>
            <w:vAlign w:val="center"/>
            <w:hideMark/>
          </w:tcPr>
          <w:p w14:paraId="32598D5F" w14:textId="77777777" w:rsidR="00DE0F6A" w:rsidRPr="00E66B2D" w:rsidRDefault="00DE0F6A" w:rsidP="008405B5">
            <w:pPr>
              <w:rPr>
                <w:rFonts w:ascii="Arial" w:hAnsi="Arial" w:cs="Arial"/>
              </w:rPr>
            </w:pPr>
            <w:r w:rsidRPr="00E66B2D">
              <w:rPr>
                <w:rFonts w:ascii="Arial" w:hAnsi="Arial" w:cs="Arial"/>
              </w:rPr>
              <w:t>Rate for discounting scheme liabilities</w:t>
            </w:r>
          </w:p>
        </w:tc>
        <w:tc>
          <w:tcPr>
            <w:tcW w:w="1242" w:type="dxa"/>
            <w:tcBorders>
              <w:top w:val="nil"/>
              <w:left w:val="single" w:sz="8" w:space="0" w:color="auto"/>
              <w:bottom w:val="single" w:sz="8" w:space="0" w:color="auto"/>
              <w:right w:val="nil"/>
            </w:tcBorders>
            <w:shd w:val="clear" w:color="000000" w:fill="FFFFFF"/>
            <w:vAlign w:val="center"/>
            <w:hideMark/>
          </w:tcPr>
          <w:p w14:paraId="30914696" w14:textId="67ADFF2A" w:rsidR="00DE0F6A" w:rsidRPr="00E66B2D" w:rsidRDefault="00DE0F6A" w:rsidP="008405B5">
            <w:pPr>
              <w:jc w:val="center"/>
              <w:rPr>
                <w:rFonts w:ascii="Arial" w:hAnsi="Arial" w:cs="Arial"/>
              </w:rPr>
            </w:pPr>
            <w:r>
              <w:rPr>
                <w:rFonts w:ascii="Arial" w:hAnsi="Arial" w:cs="Arial"/>
              </w:rPr>
              <w:t>4.90%</w:t>
            </w:r>
          </w:p>
        </w:tc>
        <w:tc>
          <w:tcPr>
            <w:tcW w:w="1167" w:type="dxa"/>
            <w:tcBorders>
              <w:top w:val="nil"/>
              <w:left w:val="nil"/>
              <w:bottom w:val="single" w:sz="8" w:space="0" w:color="auto"/>
              <w:right w:val="nil"/>
            </w:tcBorders>
            <w:shd w:val="clear" w:color="000000" w:fill="CCCCCC"/>
            <w:vAlign w:val="center"/>
            <w:hideMark/>
          </w:tcPr>
          <w:p w14:paraId="504DB07F" w14:textId="682F240F" w:rsidR="00DE0F6A" w:rsidRPr="00E66B2D" w:rsidRDefault="00DE0F6A" w:rsidP="008405B5">
            <w:pPr>
              <w:jc w:val="center"/>
              <w:rPr>
                <w:rFonts w:ascii="Arial" w:hAnsi="Arial" w:cs="Arial"/>
              </w:rPr>
            </w:pPr>
            <w:r>
              <w:rPr>
                <w:rFonts w:ascii="Arial" w:hAnsi="Arial" w:cs="Arial"/>
              </w:rPr>
              <w:t>5.80%</w:t>
            </w:r>
          </w:p>
        </w:tc>
        <w:tc>
          <w:tcPr>
            <w:tcW w:w="1148" w:type="dxa"/>
            <w:tcBorders>
              <w:top w:val="nil"/>
              <w:left w:val="nil"/>
              <w:bottom w:val="single" w:sz="8" w:space="0" w:color="auto"/>
              <w:right w:val="nil"/>
            </w:tcBorders>
            <w:shd w:val="clear" w:color="000000" w:fill="FFFFFF"/>
            <w:vAlign w:val="center"/>
            <w:hideMark/>
          </w:tcPr>
          <w:p w14:paraId="4F78E754" w14:textId="287BCC88" w:rsidR="00DE0F6A" w:rsidRPr="00E66B2D" w:rsidRDefault="00DE0F6A" w:rsidP="008405B5">
            <w:pPr>
              <w:jc w:val="center"/>
              <w:rPr>
                <w:rFonts w:ascii="Arial" w:hAnsi="Arial" w:cs="Arial"/>
              </w:rPr>
            </w:pPr>
            <w:r>
              <w:rPr>
                <w:rFonts w:ascii="Arial" w:hAnsi="Arial" w:cs="Arial"/>
              </w:rPr>
              <w:t>4.90%</w:t>
            </w:r>
          </w:p>
        </w:tc>
        <w:tc>
          <w:tcPr>
            <w:tcW w:w="1167" w:type="dxa"/>
            <w:tcBorders>
              <w:top w:val="nil"/>
              <w:left w:val="nil"/>
              <w:bottom w:val="single" w:sz="8" w:space="0" w:color="auto"/>
              <w:right w:val="single" w:sz="8" w:space="0" w:color="auto"/>
            </w:tcBorders>
            <w:shd w:val="clear" w:color="000000" w:fill="CCCCCC"/>
            <w:vAlign w:val="center"/>
            <w:hideMark/>
          </w:tcPr>
          <w:p w14:paraId="6C4F70A2" w14:textId="4769612E" w:rsidR="00DE0F6A" w:rsidRPr="00E66B2D" w:rsidRDefault="00DE0F6A" w:rsidP="008405B5">
            <w:pPr>
              <w:jc w:val="center"/>
              <w:rPr>
                <w:rFonts w:ascii="Arial" w:hAnsi="Arial" w:cs="Arial"/>
              </w:rPr>
            </w:pPr>
            <w:r>
              <w:rPr>
                <w:rFonts w:ascii="Arial" w:hAnsi="Arial" w:cs="Arial"/>
              </w:rPr>
              <w:t>5.90%</w:t>
            </w:r>
          </w:p>
        </w:tc>
      </w:tr>
    </w:tbl>
    <w:p w14:paraId="1E6EB8D7" w14:textId="77777777" w:rsidR="00735D9D" w:rsidRPr="00645FC2" w:rsidRDefault="00735D9D" w:rsidP="00735D9D">
      <w:pPr>
        <w:pStyle w:val="BodyText"/>
        <w:ind w:left="426"/>
        <w:jc w:val="both"/>
        <w:rPr>
          <w:i w:val="0"/>
          <w:strike/>
          <w:sz w:val="22"/>
          <w:szCs w:val="22"/>
          <w:highlight w:val="yellow"/>
        </w:rPr>
      </w:pPr>
    </w:p>
    <w:p w14:paraId="45E28805" w14:textId="59234017" w:rsidR="009D37E6" w:rsidRPr="00645FC2" w:rsidRDefault="009D37E6">
      <w:pPr>
        <w:rPr>
          <w:rFonts w:ascii="Arial" w:hAnsi="Arial"/>
          <w:snapToGrid w:val="0"/>
          <w:sz w:val="22"/>
          <w:szCs w:val="22"/>
          <w:highlight w:val="yellow"/>
          <w:u w:val="single"/>
          <w:lang w:eastAsia="en-US"/>
        </w:rPr>
      </w:pPr>
      <w:r w:rsidRPr="00645FC2">
        <w:rPr>
          <w:rFonts w:ascii="Arial" w:hAnsi="Arial"/>
          <w:snapToGrid w:val="0"/>
          <w:sz w:val="22"/>
          <w:szCs w:val="22"/>
          <w:highlight w:val="yellow"/>
          <w:u w:val="single"/>
          <w:lang w:eastAsia="en-US"/>
        </w:rPr>
        <w:br w:type="page"/>
      </w:r>
    </w:p>
    <w:p w14:paraId="385EA333" w14:textId="77777777" w:rsidR="00D25C78" w:rsidRPr="00645FC2" w:rsidRDefault="00D25C78" w:rsidP="00D25C78">
      <w:pPr>
        <w:rPr>
          <w:rFonts w:ascii="Arial" w:hAnsi="Arial"/>
          <w:snapToGrid w:val="0"/>
          <w:sz w:val="22"/>
          <w:szCs w:val="22"/>
          <w:highlight w:val="yellow"/>
          <w:u w:val="single"/>
          <w:lang w:eastAsia="en-US"/>
        </w:rPr>
      </w:pPr>
    </w:p>
    <w:tbl>
      <w:tblPr>
        <w:tblW w:w="13958" w:type="dxa"/>
        <w:tblLayout w:type="fixed"/>
        <w:tblLook w:val="04A0" w:firstRow="1" w:lastRow="0" w:firstColumn="1" w:lastColumn="0" w:noHBand="0" w:noVBand="1"/>
      </w:tblPr>
      <w:tblGrid>
        <w:gridCol w:w="4348"/>
        <w:gridCol w:w="1246"/>
        <w:gridCol w:w="1170"/>
        <w:gridCol w:w="1151"/>
        <w:gridCol w:w="1170"/>
        <w:gridCol w:w="1189"/>
        <w:gridCol w:w="1074"/>
        <w:gridCol w:w="1305"/>
        <w:gridCol w:w="1305"/>
      </w:tblGrid>
      <w:tr w:rsidR="008B0FB8" w:rsidRPr="00E66B2D" w14:paraId="12DA2013" w14:textId="77777777" w:rsidTr="008B0FB8">
        <w:trPr>
          <w:trHeight w:val="510"/>
        </w:trPr>
        <w:tc>
          <w:tcPr>
            <w:tcW w:w="4348" w:type="dxa"/>
            <w:tcBorders>
              <w:top w:val="single" w:sz="8" w:space="0" w:color="auto"/>
              <w:left w:val="single" w:sz="8" w:space="0" w:color="auto"/>
              <w:bottom w:val="nil"/>
              <w:right w:val="nil"/>
            </w:tcBorders>
            <w:vAlign w:val="center"/>
            <w:hideMark/>
          </w:tcPr>
          <w:p w14:paraId="2E517660" w14:textId="77777777" w:rsidR="008B0FB8" w:rsidRPr="00E66B2D" w:rsidRDefault="008B0FB8" w:rsidP="00E66B2D">
            <w:pPr>
              <w:rPr>
                <w:rFonts w:ascii="Arial" w:hAnsi="Arial" w:cs="Arial"/>
              </w:rPr>
            </w:pPr>
            <w:r w:rsidRPr="00E66B2D">
              <w:rPr>
                <w:rFonts w:ascii="Arial" w:hAnsi="Arial" w:cs="Arial"/>
              </w:rPr>
              <w:t> </w:t>
            </w:r>
          </w:p>
        </w:tc>
        <w:tc>
          <w:tcPr>
            <w:tcW w:w="2416" w:type="dxa"/>
            <w:gridSpan w:val="2"/>
            <w:tcBorders>
              <w:top w:val="single" w:sz="8" w:space="0" w:color="auto"/>
              <w:left w:val="single" w:sz="8" w:space="0" w:color="auto"/>
              <w:bottom w:val="single" w:sz="8" w:space="0" w:color="auto"/>
              <w:right w:val="single" w:sz="8" w:space="0" w:color="000000"/>
            </w:tcBorders>
            <w:shd w:val="clear" w:color="000000" w:fill="CCCCCC"/>
            <w:vAlign w:val="center"/>
            <w:hideMark/>
          </w:tcPr>
          <w:p w14:paraId="06371027" w14:textId="77777777" w:rsidR="008B0FB8" w:rsidRPr="00E66B2D" w:rsidRDefault="008B0FB8" w:rsidP="00E66B2D">
            <w:pPr>
              <w:jc w:val="center"/>
              <w:rPr>
                <w:rFonts w:ascii="Arial" w:hAnsi="Arial" w:cs="Arial"/>
                <w:b/>
                <w:bCs/>
                <w:color w:val="000000"/>
              </w:rPr>
            </w:pPr>
            <w:r w:rsidRPr="00E66B2D">
              <w:rPr>
                <w:rFonts w:ascii="Arial" w:hAnsi="Arial" w:cs="Arial"/>
                <w:b/>
                <w:bCs/>
                <w:color w:val="000000"/>
              </w:rPr>
              <w:t>Police Officers 1987 Scheme</w:t>
            </w:r>
          </w:p>
        </w:tc>
        <w:tc>
          <w:tcPr>
            <w:tcW w:w="2321" w:type="dxa"/>
            <w:gridSpan w:val="2"/>
            <w:tcBorders>
              <w:top w:val="single" w:sz="8" w:space="0" w:color="auto"/>
              <w:left w:val="nil"/>
              <w:bottom w:val="single" w:sz="8" w:space="0" w:color="auto"/>
              <w:right w:val="single" w:sz="8" w:space="0" w:color="000000"/>
            </w:tcBorders>
            <w:shd w:val="clear" w:color="000000" w:fill="CCCCCC"/>
            <w:vAlign w:val="center"/>
            <w:hideMark/>
          </w:tcPr>
          <w:p w14:paraId="09736264" w14:textId="77777777" w:rsidR="008B0FB8" w:rsidRPr="00E66B2D" w:rsidRDefault="008B0FB8" w:rsidP="00E66B2D">
            <w:pPr>
              <w:jc w:val="center"/>
              <w:rPr>
                <w:rFonts w:ascii="Arial" w:hAnsi="Arial" w:cs="Arial"/>
                <w:b/>
                <w:bCs/>
                <w:color w:val="000000"/>
              </w:rPr>
            </w:pPr>
            <w:r w:rsidRPr="00E66B2D">
              <w:rPr>
                <w:rFonts w:ascii="Arial" w:hAnsi="Arial" w:cs="Arial"/>
                <w:b/>
                <w:bCs/>
                <w:color w:val="000000"/>
              </w:rPr>
              <w:t>Police Officers 2006 Scheme</w:t>
            </w:r>
          </w:p>
        </w:tc>
        <w:tc>
          <w:tcPr>
            <w:tcW w:w="2263" w:type="dxa"/>
            <w:gridSpan w:val="2"/>
            <w:tcBorders>
              <w:top w:val="single" w:sz="8" w:space="0" w:color="auto"/>
              <w:left w:val="nil"/>
              <w:bottom w:val="single" w:sz="8" w:space="0" w:color="auto"/>
              <w:right w:val="single" w:sz="8" w:space="0" w:color="000000"/>
            </w:tcBorders>
            <w:shd w:val="clear" w:color="000000" w:fill="CCCCCC"/>
            <w:vAlign w:val="center"/>
            <w:hideMark/>
          </w:tcPr>
          <w:p w14:paraId="2A924EFA" w14:textId="77777777" w:rsidR="008B0FB8" w:rsidRPr="00E66B2D" w:rsidRDefault="008B0FB8" w:rsidP="00E66B2D">
            <w:pPr>
              <w:jc w:val="center"/>
              <w:rPr>
                <w:rFonts w:ascii="Arial" w:hAnsi="Arial" w:cs="Arial"/>
                <w:b/>
                <w:bCs/>
                <w:color w:val="000000"/>
              </w:rPr>
            </w:pPr>
            <w:r w:rsidRPr="00E66B2D">
              <w:rPr>
                <w:rFonts w:ascii="Arial" w:hAnsi="Arial" w:cs="Arial"/>
                <w:b/>
                <w:bCs/>
                <w:color w:val="000000"/>
              </w:rPr>
              <w:t>Police Officers 2015 Scheme</w:t>
            </w:r>
          </w:p>
        </w:tc>
        <w:tc>
          <w:tcPr>
            <w:tcW w:w="2610" w:type="dxa"/>
            <w:gridSpan w:val="2"/>
            <w:tcBorders>
              <w:top w:val="single" w:sz="8" w:space="0" w:color="auto"/>
              <w:left w:val="nil"/>
              <w:bottom w:val="single" w:sz="8" w:space="0" w:color="auto"/>
              <w:right w:val="single" w:sz="8" w:space="0" w:color="000000"/>
            </w:tcBorders>
            <w:shd w:val="clear" w:color="000000" w:fill="CCCCCC"/>
            <w:vAlign w:val="center"/>
            <w:hideMark/>
          </w:tcPr>
          <w:p w14:paraId="49EC8C96" w14:textId="77777777" w:rsidR="008B0FB8" w:rsidRPr="00E66B2D" w:rsidRDefault="008B0FB8" w:rsidP="00E66B2D">
            <w:pPr>
              <w:jc w:val="center"/>
              <w:rPr>
                <w:rFonts w:ascii="Arial" w:hAnsi="Arial" w:cs="Arial"/>
                <w:b/>
                <w:bCs/>
                <w:color w:val="000000"/>
              </w:rPr>
            </w:pPr>
            <w:r w:rsidRPr="00E66B2D">
              <w:rPr>
                <w:rFonts w:ascii="Arial" w:hAnsi="Arial" w:cs="Arial"/>
                <w:b/>
                <w:bCs/>
                <w:color w:val="000000"/>
              </w:rPr>
              <w:t>Injury Awards</w:t>
            </w:r>
          </w:p>
        </w:tc>
      </w:tr>
      <w:tr w:rsidR="008B0FB8" w:rsidRPr="00E66B2D" w14:paraId="6A081A85" w14:textId="77777777" w:rsidTr="008B0FB8">
        <w:trPr>
          <w:trHeight w:val="300"/>
        </w:trPr>
        <w:tc>
          <w:tcPr>
            <w:tcW w:w="4348" w:type="dxa"/>
            <w:vMerge w:val="restart"/>
            <w:tcBorders>
              <w:top w:val="single" w:sz="8" w:space="0" w:color="auto"/>
              <w:left w:val="single" w:sz="8" w:space="0" w:color="auto"/>
              <w:bottom w:val="nil"/>
              <w:right w:val="nil"/>
            </w:tcBorders>
            <w:shd w:val="clear" w:color="000000" w:fill="FFFFFF"/>
            <w:vAlign w:val="center"/>
            <w:hideMark/>
          </w:tcPr>
          <w:p w14:paraId="550D3A9D" w14:textId="77777777" w:rsidR="008B0FB8" w:rsidRPr="00E66B2D" w:rsidRDefault="008B0FB8" w:rsidP="00E66B2D">
            <w:pPr>
              <w:rPr>
                <w:rFonts w:ascii="Arial" w:hAnsi="Arial" w:cs="Arial"/>
              </w:rPr>
            </w:pPr>
            <w:r w:rsidRPr="00E66B2D">
              <w:rPr>
                <w:rFonts w:ascii="Arial" w:hAnsi="Arial" w:cs="Arial"/>
              </w:rPr>
              <w:t> </w:t>
            </w:r>
          </w:p>
        </w:tc>
        <w:tc>
          <w:tcPr>
            <w:tcW w:w="1246" w:type="dxa"/>
            <w:vMerge w:val="restart"/>
            <w:tcBorders>
              <w:top w:val="nil"/>
              <w:left w:val="single" w:sz="8" w:space="0" w:color="auto"/>
              <w:bottom w:val="nil"/>
              <w:right w:val="nil"/>
            </w:tcBorders>
            <w:shd w:val="clear" w:color="000000" w:fill="FFFFFF"/>
            <w:vAlign w:val="center"/>
            <w:hideMark/>
          </w:tcPr>
          <w:p w14:paraId="778E7E56" w14:textId="5A0C9F5A" w:rsidR="008B0FB8" w:rsidRPr="00E66B2D" w:rsidRDefault="008B0FB8" w:rsidP="00E66B2D">
            <w:pPr>
              <w:jc w:val="center"/>
              <w:rPr>
                <w:rFonts w:ascii="Arial" w:hAnsi="Arial" w:cs="Arial"/>
                <w:b/>
                <w:bCs/>
                <w:color w:val="000000"/>
              </w:rPr>
            </w:pPr>
            <w:r>
              <w:rPr>
                <w:rFonts w:ascii="Arial" w:hAnsi="Arial" w:cs="Arial"/>
                <w:b/>
                <w:bCs/>
                <w:color w:val="000000"/>
              </w:rPr>
              <w:t>2023/24</w:t>
            </w:r>
          </w:p>
        </w:tc>
        <w:tc>
          <w:tcPr>
            <w:tcW w:w="1170" w:type="dxa"/>
            <w:vMerge w:val="restart"/>
            <w:tcBorders>
              <w:top w:val="nil"/>
              <w:left w:val="nil"/>
              <w:bottom w:val="nil"/>
              <w:right w:val="single" w:sz="8" w:space="0" w:color="auto"/>
            </w:tcBorders>
            <w:shd w:val="clear" w:color="000000" w:fill="CCCCCC"/>
            <w:vAlign w:val="center"/>
            <w:hideMark/>
          </w:tcPr>
          <w:p w14:paraId="30919943" w14:textId="1EC84693" w:rsidR="008B0FB8" w:rsidRPr="00E66B2D" w:rsidRDefault="008B0FB8" w:rsidP="00E66B2D">
            <w:pPr>
              <w:jc w:val="center"/>
              <w:rPr>
                <w:rFonts w:ascii="Arial" w:hAnsi="Arial" w:cs="Arial"/>
                <w:b/>
                <w:bCs/>
              </w:rPr>
            </w:pPr>
            <w:r>
              <w:rPr>
                <w:rFonts w:ascii="Arial" w:hAnsi="Arial" w:cs="Arial"/>
                <w:b/>
                <w:bCs/>
              </w:rPr>
              <w:t>2024/25</w:t>
            </w:r>
          </w:p>
        </w:tc>
        <w:tc>
          <w:tcPr>
            <w:tcW w:w="1151" w:type="dxa"/>
            <w:vMerge w:val="restart"/>
            <w:tcBorders>
              <w:top w:val="nil"/>
              <w:left w:val="nil"/>
              <w:bottom w:val="nil"/>
              <w:right w:val="nil"/>
            </w:tcBorders>
            <w:shd w:val="clear" w:color="000000" w:fill="FFFFFF"/>
            <w:vAlign w:val="center"/>
            <w:hideMark/>
          </w:tcPr>
          <w:p w14:paraId="5CB16818" w14:textId="04661B90" w:rsidR="008B0FB8" w:rsidRPr="00E66B2D" w:rsidRDefault="008B0FB8" w:rsidP="00E66B2D">
            <w:pPr>
              <w:jc w:val="center"/>
              <w:rPr>
                <w:rFonts w:ascii="Arial" w:hAnsi="Arial" w:cs="Arial"/>
                <w:b/>
                <w:bCs/>
                <w:color w:val="000000"/>
              </w:rPr>
            </w:pPr>
            <w:r>
              <w:rPr>
                <w:rFonts w:ascii="Arial" w:hAnsi="Arial" w:cs="Arial"/>
                <w:b/>
                <w:bCs/>
                <w:color w:val="000000"/>
              </w:rPr>
              <w:t>2023/24</w:t>
            </w:r>
          </w:p>
        </w:tc>
        <w:tc>
          <w:tcPr>
            <w:tcW w:w="1170" w:type="dxa"/>
            <w:vMerge w:val="restart"/>
            <w:tcBorders>
              <w:top w:val="nil"/>
              <w:left w:val="nil"/>
              <w:bottom w:val="nil"/>
              <w:right w:val="single" w:sz="8" w:space="0" w:color="auto"/>
            </w:tcBorders>
            <w:shd w:val="clear" w:color="000000" w:fill="CCCCCC"/>
            <w:vAlign w:val="center"/>
            <w:hideMark/>
          </w:tcPr>
          <w:p w14:paraId="1CF348DF" w14:textId="5FC24C7E" w:rsidR="008B0FB8" w:rsidRPr="00E66B2D" w:rsidRDefault="008B0FB8" w:rsidP="00E66B2D">
            <w:pPr>
              <w:jc w:val="center"/>
              <w:rPr>
                <w:rFonts w:ascii="Arial" w:hAnsi="Arial" w:cs="Arial"/>
                <w:b/>
                <w:bCs/>
              </w:rPr>
            </w:pPr>
            <w:r>
              <w:rPr>
                <w:rFonts w:ascii="Arial" w:hAnsi="Arial" w:cs="Arial"/>
                <w:b/>
                <w:bCs/>
              </w:rPr>
              <w:t>2024/25</w:t>
            </w:r>
          </w:p>
        </w:tc>
        <w:tc>
          <w:tcPr>
            <w:tcW w:w="1189" w:type="dxa"/>
            <w:vMerge w:val="restart"/>
            <w:tcBorders>
              <w:top w:val="nil"/>
              <w:left w:val="nil"/>
              <w:bottom w:val="nil"/>
              <w:right w:val="nil"/>
            </w:tcBorders>
            <w:shd w:val="clear" w:color="000000" w:fill="FFFFFF"/>
            <w:vAlign w:val="center"/>
            <w:hideMark/>
          </w:tcPr>
          <w:p w14:paraId="3C3F58EC" w14:textId="0A0380E2" w:rsidR="008B0FB8" w:rsidRPr="00E66B2D" w:rsidRDefault="008B0FB8" w:rsidP="00E66B2D">
            <w:pPr>
              <w:jc w:val="center"/>
              <w:rPr>
                <w:rFonts w:ascii="Arial" w:hAnsi="Arial" w:cs="Arial"/>
                <w:b/>
                <w:bCs/>
                <w:color w:val="000000"/>
              </w:rPr>
            </w:pPr>
            <w:r>
              <w:rPr>
                <w:rFonts w:ascii="Arial" w:hAnsi="Arial" w:cs="Arial"/>
                <w:b/>
                <w:bCs/>
                <w:color w:val="000000"/>
              </w:rPr>
              <w:t>2023/24</w:t>
            </w:r>
          </w:p>
        </w:tc>
        <w:tc>
          <w:tcPr>
            <w:tcW w:w="1074" w:type="dxa"/>
            <w:vMerge w:val="restart"/>
            <w:tcBorders>
              <w:top w:val="nil"/>
              <w:left w:val="nil"/>
              <w:bottom w:val="nil"/>
              <w:right w:val="single" w:sz="8" w:space="0" w:color="auto"/>
            </w:tcBorders>
            <w:shd w:val="clear" w:color="000000" w:fill="CCCCCC"/>
            <w:vAlign w:val="center"/>
            <w:hideMark/>
          </w:tcPr>
          <w:p w14:paraId="65431B44" w14:textId="064CB7B4" w:rsidR="008B0FB8" w:rsidRPr="00E66B2D" w:rsidRDefault="008B0FB8" w:rsidP="00E66B2D">
            <w:pPr>
              <w:jc w:val="center"/>
              <w:rPr>
                <w:rFonts w:ascii="Arial" w:hAnsi="Arial" w:cs="Arial"/>
                <w:b/>
                <w:bCs/>
              </w:rPr>
            </w:pPr>
            <w:r>
              <w:rPr>
                <w:rFonts w:ascii="Arial" w:hAnsi="Arial" w:cs="Arial"/>
                <w:b/>
                <w:bCs/>
              </w:rPr>
              <w:t>2024/25</w:t>
            </w:r>
          </w:p>
        </w:tc>
        <w:tc>
          <w:tcPr>
            <w:tcW w:w="1305" w:type="dxa"/>
            <w:vMerge w:val="restart"/>
            <w:tcBorders>
              <w:top w:val="nil"/>
              <w:left w:val="nil"/>
              <w:bottom w:val="nil"/>
              <w:right w:val="nil"/>
            </w:tcBorders>
            <w:shd w:val="clear" w:color="000000" w:fill="FFFFFF"/>
            <w:vAlign w:val="center"/>
            <w:hideMark/>
          </w:tcPr>
          <w:p w14:paraId="5A79EF1F" w14:textId="58265D2D" w:rsidR="008B0FB8" w:rsidRPr="00E66B2D" w:rsidRDefault="008B0FB8" w:rsidP="00E66B2D">
            <w:pPr>
              <w:jc w:val="center"/>
              <w:rPr>
                <w:rFonts w:ascii="Arial" w:hAnsi="Arial" w:cs="Arial"/>
                <w:b/>
                <w:bCs/>
                <w:color w:val="000000"/>
              </w:rPr>
            </w:pPr>
            <w:r>
              <w:rPr>
                <w:rFonts w:ascii="Arial" w:hAnsi="Arial" w:cs="Arial"/>
                <w:b/>
                <w:bCs/>
                <w:color w:val="000000"/>
              </w:rPr>
              <w:t>2023/24</w:t>
            </w:r>
          </w:p>
        </w:tc>
        <w:tc>
          <w:tcPr>
            <w:tcW w:w="1305" w:type="dxa"/>
            <w:vMerge w:val="restart"/>
            <w:tcBorders>
              <w:top w:val="nil"/>
              <w:left w:val="nil"/>
              <w:bottom w:val="nil"/>
              <w:right w:val="single" w:sz="8" w:space="0" w:color="auto"/>
            </w:tcBorders>
            <w:shd w:val="clear" w:color="000000" w:fill="CCCCCC"/>
            <w:vAlign w:val="center"/>
            <w:hideMark/>
          </w:tcPr>
          <w:p w14:paraId="12D755ED" w14:textId="7B4AF7BF" w:rsidR="008B0FB8" w:rsidRPr="00E66B2D" w:rsidRDefault="008B0FB8" w:rsidP="00E66B2D">
            <w:pPr>
              <w:jc w:val="center"/>
              <w:rPr>
                <w:rFonts w:ascii="Arial" w:hAnsi="Arial" w:cs="Arial"/>
                <w:b/>
                <w:bCs/>
              </w:rPr>
            </w:pPr>
            <w:r>
              <w:rPr>
                <w:rFonts w:ascii="Arial" w:hAnsi="Arial" w:cs="Arial"/>
                <w:b/>
                <w:bCs/>
              </w:rPr>
              <w:t>2024/25</w:t>
            </w:r>
          </w:p>
        </w:tc>
      </w:tr>
      <w:tr w:rsidR="008B0FB8" w:rsidRPr="00E66B2D" w14:paraId="17C635B2" w14:textId="77777777" w:rsidTr="008B0FB8">
        <w:trPr>
          <w:trHeight w:val="300"/>
        </w:trPr>
        <w:tc>
          <w:tcPr>
            <w:tcW w:w="4348" w:type="dxa"/>
            <w:vMerge/>
            <w:tcBorders>
              <w:top w:val="single" w:sz="8" w:space="0" w:color="auto"/>
              <w:left w:val="single" w:sz="8" w:space="0" w:color="auto"/>
              <w:bottom w:val="nil"/>
              <w:right w:val="nil"/>
            </w:tcBorders>
            <w:vAlign w:val="center"/>
            <w:hideMark/>
          </w:tcPr>
          <w:p w14:paraId="53EE4DB6" w14:textId="77777777" w:rsidR="008B0FB8" w:rsidRPr="00E66B2D" w:rsidRDefault="008B0FB8" w:rsidP="00E66B2D">
            <w:pPr>
              <w:rPr>
                <w:rFonts w:ascii="Arial" w:hAnsi="Arial" w:cs="Arial"/>
              </w:rPr>
            </w:pPr>
          </w:p>
        </w:tc>
        <w:tc>
          <w:tcPr>
            <w:tcW w:w="1246" w:type="dxa"/>
            <w:vMerge/>
            <w:tcBorders>
              <w:top w:val="nil"/>
              <w:left w:val="single" w:sz="8" w:space="0" w:color="auto"/>
              <w:bottom w:val="nil"/>
              <w:right w:val="nil"/>
            </w:tcBorders>
            <w:vAlign w:val="center"/>
            <w:hideMark/>
          </w:tcPr>
          <w:p w14:paraId="78282072" w14:textId="77777777" w:rsidR="008B0FB8" w:rsidRPr="00E66B2D" w:rsidRDefault="008B0FB8" w:rsidP="00E66B2D">
            <w:pPr>
              <w:rPr>
                <w:rFonts w:ascii="Arial" w:hAnsi="Arial" w:cs="Arial"/>
                <w:b/>
                <w:bCs/>
                <w:color w:val="000000"/>
              </w:rPr>
            </w:pPr>
          </w:p>
        </w:tc>
        <w:tc>
          <w:tcPr>
            <w:tcW w:w="1170" w:type="dxa"/>
            <w:vMerge/>
            <w:tcBorders>
              <w:top w:val="nil"/>
              <w:left w:val="nil"/>
              <w:bottom w:val="nil"/>
              <w:right w:val="single" w:sz="8" w:space="0" w:color="auto"/>
            </w:tcBorders>
            <w:vAlign w:val="center"/>
            <w:hideMark/>
          </w:tcPr>
          <w:p w14:paraId="3671B3BE" w14:textId="77777777" w:rsidR="008B0FB8" w:rsidRPr="00E66B2D" w:rsidRDefault="008B0FB8" w:rsidP="00E66B2D">
            <w:pPr>
              <w:rPr>
                <w:rFonts w:ascii="Arial" w:hAnsi="Arial" w:cs="Arial"/>
                <w:b/>
                <w:bCs/>
              </w:rPr>
            </w:pPr>
          </w:p>
        </w:tc>
        <w:tc>
          <w:tcPr>
            <w:tcW w:w="1151" w:type="dxa"/>
            <w:vMerge/>
            <w:tcBorders>
              <w:top w:val="nil"/>
              <w:left w:val="nil"/>
              <w:bottom w:val="nil"/>
              <w:right w:val="nil"/>
            </w:tcBorders>
            <w:vAlign w:val="center"/>
            <w:hideMark/>
          </w:tcPr>
          <w:p w14:paraId="43096374" w14:textId="77777777" w:rsidR="008B0FB8" w:rsidRPr="00E66B2D" w:rsidRDefault="008B0FB8" w:rsidP="00E66B2D">
            <w:pPr>
              <w:rPr>
                <w:rFonts w:ascii="Arial" w:hAnsi="Arial" w:cs="Arial"/>
                <w:b/>
                <w:bCs/>
                <w:color w:val="000000"/>
              </w:rPr>
            </w:pPr>
          </w:p>
        </w:tc>
        <w:tc>
          <w:tcPr>
            <w:tcW w:w="1170" w:type="dxa"/>
            <w:vMerge/>
            <w:tcBorders>
              <w:top w:val="nil"/>
              <w:left w:val="nil"/>
              <w:bottom w:val="nil"/>
              <w:right w:val="single" w:sz="8" w:space="0" w:color="auto"/>
            </w:tcBorders>
            <w:vAlign w:val="center"/>
            <w:hideMark/>
          </w:tcPr>
          <w:p w14:paraId="5A393467" w14:textId="77777777" w:rsidR="008B0FB8" w:rsidRPr="00E66B2D" w:rsidRDefault="008B0FB8" w:rsidP="00E66B2D">
            <w:pPr>
              <w:rPr>
                <w:rFonts w:ascii="Arial" w:hAnsi="Arial" w:cs="Arial"/>
                <w:b/>
                <w:bCs/>
              </w:rPr>
            </w:pPr>
          </w:p>
        </w:tc>
        <w:tc>
          <w:tcPr>
            <w:tcW w:w="1189" w:type="dxa"/>
            <w:vMerge/>
            <w:tcBorders>
              <w:top w:val="nil"/>
              <w:left w:val="nil"/>
              <w:bottom w:val="nil"/>
              <w:right w:val="nil"/>
            </w:tcBorders>
            <w:vAlign w:val="center"/>
            <w:hideMark/>
          </w:tcPr>
          <w:p w14:paraId="5F9C3666" w14:textId="77777777" w:rsidR="008B0FB8" w:rsidRPr="00E66B2D" w:rsidRDefault="008B0FB8" w:rsidP="00E66B2D">
            <w:pPr>
              <w:rPr>
                <w:rFonts w:ascii="Arial" w:hAnsi="Arial" w:cs="Arial"/>
                <w:b/>
                <w:bCs/>
                <w:color w:val="000000"/>
              </w:rPr>
            </w:pPr>
          </w:p>
        </w:tc>
        <w:tc>
          <w:tcPr>
            <w:tcW w:w="1074" w:type="dxa"/>
            <w:vMerge/>
            <w:tcBorders>
              <w:top w:val="nil"/>
              <w:left w:val="nil"/>
              <w:bottom w:val="nil"/>
              <w:right w:val="single" w:sz="8" w:space="0" w:color="auto"/>
            </w:tcBorders>
            <w:vAlign w:val="center"/>
            <w:hideMark/>
          </w:tcPr>
          <w:p w14:paraId="06DFBEE0" w14:textId="77777777" w:rsidR="008B0FB8" w:rsidRPr="00E66B2D" w:rsidRDefault="008B0FB8" w:rsidP="00E66B2D">
            <w:pPr>
              <w:rPr>
                <w:rFonts w:ascii="Arial" w:hAnsi="Arial" w:cs="Arial"/>
                <w:b/>
                <w:bCs/>
              </w:rPr>
            </w:pPr>
          </w:p>
        </w:tc>
        <w:tc>
          <w:tcPr>
            <w:tcW w:w="1305" w:type="dxa"/>
            <w:vMerge/>
            <w:tcBorders>
              <w:top w:val="nil"/>
              <w:left w:val="nil"/>
              <w:bottom w:val="nil"/>
              <w:right w:val="nil"/>
            </w:tcBorders>
            <w:vAlign w:val="center"/>
            <w:hideMark/>
          </w:tcPr>
          <w:p w14:paraId="50AA465B" w14:textId="77777777" w:rsidR="008B0FB8" w:rsidRPr="00E66B2D" w:rsidRDefault="008B0FB8" w:rsidP="00E66B2D">
            <w:pPr>
              <w:rPr>
                <w:rFonts w:ascii="Arial" w:hAnsi="Arial" w:cs="Arial"/>
                <w:b/>
                <w:bCs/>
                <w:color w:val="000000"/>
              </w:rPr>
            </w:pPr>
          </w:p>
        </w:tc>
        <w:tc>
          <w:tcPr>
            <w:tcW w:w="1305" w:type="dxa"/>
            <w:vMerge/>
            <w:tcBorders>
              <w:top w:val="nil"/>
              <w:left w:val="nil"/>
              <w:bottom w:val="nil"/>
              <w:right w:val="single" w:sz="8" w:space="0" w:color="auto"/>
            </w:tcBorders>
            <w:vAlign w:val="center"/>
            <w:hideMark/>
          </w:tcPr>
          <w:p w14:paraId="2F59E6A1" w14:textId="77777777" w:rsidR="008B0FB8" w:rsidRPr="00E66B2D" w:rsidRDefault="008B0FB8" w:rsidP="00E66B2D">
            <w:pPr>
              <w:rPr>
                <w:rFonts w:ascii="Arial" w:hAnsi="Arial" w:cs="Arial"/>
                <w:b/>
                <w:bCs/>
              </w:rPr>
            </w:pPr>
          </w:p>
        </w:tc>
      </w:tr>
      <w:tr w:rsidR="008B0FB8" w:rsidRPr="00E66B2D" w14:paraId="5421970B"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2A06A689" w14:textId="77777777" w:rsidR="008B0FB8" w:rsidRPr="00E66B2D" w:rsidRDefault="008B0FB8" w:rsidP="00E66B2D">
            <w:pPr>
              <w:rPr>
                <w:rFonts w:ascii="Arial" w:hAnsi="Arial" w:cs="Arial"/>
              </w:rPr>
            </w:pPr>
            <w:r w:rsidRPr="00E66B2D">
              <w:rPr>
                <w:rFonts w:ascii="Arial" w:hAnsi="Arial" w:cs="Arial"/>
              </w:rPr>
              <w:t>Longevity at 60 for current pensioners:</w:t>
            </w:r>
          </w:p>
        </w:tc>
        <w:tc>
          <w:tcPr>
            <w:tcW w:w="1246" w:type="dxa"/>
            <w:tcBorders>
              <w:top w:val="nil"/>
              <w:left w:val="single" w:sz="8" w:space="0" w:color="auto"/>
              <w:bottom w:val="nil"/>
              <w:right w:val="nil"/>
            </w:tcBorders>
            <w:shd w:val="clear" w:color="000000" w:fill="FFFFFF"/>
            <w:vAlign w:val="center"/>
            <w:hideMark/>
          </w:tcPr>
          <w:p w14:paraId="5C2FAA70" w14:textId="77777777" w:rsidR="008B0FB8" w:rsidRPr="00E66B2D" w:rsidRDefault="008B0FB8" w:rsidP="00E66B2D">
            <w:pPr>
              <w:rPr>
                <w:rFonts w:ascii="Arial" w:hAnsi="Arial" w:cs="Arial"/>
              </w:rPr>
            </w:pPr>
            <w:r w:rsidRPr="00E66B2D">
              <w:rPr>
                <w:rFonts w:ascii="Arial" w:hAnsi="Arial" w:cs="Arial"/>
              </w:rPr>
              <w:t> </w:t>
            </w:r>
          </w:p>
        </w:tc>
        <w:tc>
          <w:tcPr>
            <w:tcW w:w="1170" w:type="dxa"/>
            <w:tcBorders>
              <w:top w:val="nil"/>
              <w:left w:val="nil"/>
              <w:bottom w:val="nil"/>
              <w:right w:val="single" w:sz="8" w:space="0" w:color="auto"/>
            </w:tcBorders>
            <w:shd w:val="clear" w:color="000000" w:fill="CCCCCC"/>
            <w:vAlign w:val="center"/>
            <w:hideMark/>
          </w:tcPr>
          <w:p w14:paraId="2BAA6E45" w14:textId="77777777" w:rsidR="008B0FB8" w:rsidRPr="00E66B2D" w:rsidRDefault="008B0FB8" w:rsidP="00E66B2D">
            <w:pPr>
              <w:rPr>
                <w:rFonts w:ascii="Arial" w:hAnsi="Arial" w:cs="Arial"/>
              </w:rPr>
            </w:pPr>
            <w:r w:rsidRPr="00E66B2D">
              <w:rPr>
                <w:rFonts w:ascii="Arial" w:hAnsi="Arial" w:cs="Arial"/>
              </w:rPr>
              <w:t> </w:t>
            </w:r>
          </w:p>
        </w:tc>
        <w:tc>
          <w:tcPr>
            <w:tcW w:w="1151" w:type="dxa"/>
            <w:tcBorders>
              <w:top w:val="nil"/>
              <w:left w:val="nil"/>
              <w:bottom w:val="nil"/>
              <w:right w:val="nil"/>
            </w:tcBorders>
            <w:shd w:val="clear" w:color="000000" w:fill="FFFFFF"/>
            <w:vAlign w:val="center"/>
            <w:hideMark/>
          </w:tcPr>
          <w:p w14:paraId="44550FE7" w14:textId="77777777" w:rsidR="008B0FB8" w:rsidRPr="00E66B2D" w:rsidRDefault="008B0FB8" w:rsidP="00E66B2D">
            <w:pPr>
              <w:jc w:val="center"/>
              <w:rPr>
                <w:rFonts w:ascii="Arial" w:hAnsi="Arial" w:cs="Arial"/>
                <w:b/>
                <w:bCs/>
                <w:i/>
                <w:iCs/>
              </w:rPr>
            </w:pPr>
            <w:r w:rsidRPr="00E66B2D">
              <w:rPr>
                <w:rFonts w:ascii="Arial" w:hAnsi="Arial" w:cs="Arial"/>
                <w:b/>
                <w:bCs/>
                <w:i/>
                <w:iCs/>
              </w:rPr>
              <w:t> </w:t>
            </w:r>
          </w:p>
        </w:tc>
        <w:tc>
          <w:tcPr>
            <w:tcW w:w="1170" w:type="dxa"/>
            <w:tcBorders>
              <w:top w:val="nil"/>
              <w:left w:val="nil"/>
              <w:bottom w:val="nil"/>
              <w:right w:val="single" w:sz="8" w:space="0" w:color="auto"/>
            </w:tcBorders>
            <w:shd w:val="clear" w:color="000000" w:fill="CCCCCC"/>
            <w:vAlign w:val="center"/>
            <w:hideMark/>
          </w:tcPr>
          <w:p w14:paraId="0E4FEBA9" w14:textId="77777777" w:rsidR="008B0FB8" w:rsidRPr="00E66B2D" w:rsidRDefault="008B0FB8" w:rsidP="00E66B2D">
            <w:pPr>
              <w:jc w:val="center"/>
              <w:rPr>
                <w:rFonts w:ascii="Arial" w:hAnsi="Arial" w:cs="Arial"/>
                <w:b/>
                <w:bCs/>
                <w:i/>
                <w:iCs/>
              </w:rPr>
            </w:pPr>
            <w:r w:rsidRPr="00E66B2D">
              <w:rPr>
                <w:rFonts w:ascii="Arial" w:hAnsi="Arial" w:cs="Arial"/>
                <w:b/>
                <w:bCs/>
                <w:i/>
                <w:iCs/>
              </w:rPr>
              <w:t> </w:t>
            </w:r>
          </w:p>
        </w:tc>
        <w:tc>
          <w:tcPr>
            <w:tcW w:w="1189" w:type="dxa"/>
            <w:tcBorders>
              <w:top w:val="nil"/>
              <w:left w:val="nil"/>
              <w:bottom w:val="nil"/>
              <w:right w:val="nil"/>
            </w:tcBorders>
            <w:shd w:val="clear" w:color="000000" w:fill="FFFFFF"/>
            <w:vAlign w:val="center"/>
            <w:hideMark/>
          </w:tcPr>
          <w:p w14:paraId="2B106499" w14:textId="77777777" w:rsidR="008B0FB8" w:rsidRPr="00E66B2D" w:rsidRDefault="008B0FB8" w:rsidP="00E66B2D">
            <w:pPr>
              <w:rPr>
                <w:rFonts w:ascii="Arial" w:hAnsi="Arial" w:cs="Arial"/>
              </w:rPr>
            </w:pPr>
            <w:r w:rsidRPr="00E66B2D">
              <w:rPr>
                <w:rFonts w:ascii="Arial" w:hAnsi="Arial" w:cs="Arial"/>
              </w:rPr>
              <w:t> </w:t>
            </w:r>
          </w:p>
        </w:tc>
        <w:tc>
          <w:tcPr>
            <w:tcW w:w="1074" w:type="dxa"/>
            <w:tcBorders>
              <w:top w:val="nil"/>
              <w:left w:val="nil"/>
              <w:bottom w:val="nil"/>
              <w:right w:val="single" w:sz="8" w:space="0" w:color="auto"/>
            </w:tcBorders>
            <w:shd w:val="clear" w:color="000000" w:fill="CCCCCC"/>
            <w:vAlign w:val="center"/>
            <w:hideMark/>
          </w:tcPr>
          <w:p w14:paraId="2EF00FE2" w14:textId="77777777" w:rsidR="008B0FB8" w:rsidRPr="00E66B2D" w:rsidRDefault="008B0FB8" w:rsidP="00E66B2D">
            <w:pPr>
              <w:rPr>
                <w:rFonts w:ascii="Arial" w:hAnsi="Arial" w:cs="Arial"/>
              </w:rPr>
            </w:pPr>
            <w:r w:rsidRPr="00E66B2D">
              <w:rPr>
                <w:rFonts w:ascii="Arial" w:hAnsi="Arial" w:cs="Arial"/>
              </w:rPr>
              <w:t> </w:t>
            </w:r>
          </w:p>
        </w:tc>
        <w:tc>
          <w:tcPr>
            <w:tcW w:w="1305" w:type="dxa"/>
            <w:tcBorders>
              <w:top w:val="nil"/>
              <w:left w:val="nil"/>
              <w:bottom w:val="nil"/>
              <w:right w:val="nil"/>
            </w:tcBorders>
            <w:shd w:val="clear" w:color="000000" w:fill="FFFFFF"/>
            <w:vAlign w:val="center"/>
            <w:hideMark/>
          </w:tcPr>
          <w:p w14:paraId="4A9E23D2" w14:textId="77777777" w:rsidR="008B0FB8" w:rsidRPr="00E66B2D" w:rsidRDefault="008B0FB8" w:rsidP="00E66B2D">
            <w:pPr>
              <w:rPr>
                <w:rFonts w:ascii="Arial" w:hAnsi="Arial" w:cs="Arial"/>
              </w:rPr>
            </w:pPr>
            <w:r w:rsidRPr="00E66B2D">
              <w:rPr>
                <w:rFonts w:ascii="Arial" w:hAnsi="Arial" w:cs="Arial"/>
              </w:rPr>
              <w:t> </w:t>
            </w:r>
          </w:p>
        </w:tc>
        <w:tc>
          <w:tcPr>
            <w:tcW w:w="1305" w:type="dxa"/>
            <w:tcBorders>
              <w:top w:val="nil"/>
              <w:left w:val="nil"/>
              <w:bottom w:val="nil"/>
              <w:right w:val="single" w:sz="8" w:space="0" w:color="auto"/>
            </w:tcBorders>
            <w:shd w:val="clear" w:color="000000" w:fill="CCCCCC"/>
            <w:vAlign w:val="center"/>
            <w:hideMark/>
          </w:tcPr>
          <w:p w14:paraId="2FD11D83" w14:textId="77777777" w:rsidR="008B0FB8" w:rsidRPr="00E66B2D" w:rsidRDefault="008B0FB8" w:rsidP="00E66B2D">
            <w:pPr>
              <w:rPr>
                <w:rFonts w:ascii="Arial" w:hAnsi="Arial" w:cs="Arial"/>
              </w:rPr>
            </w:pPr>
            <w:r w:rsidRPr="00E66B2D">
              <w:rPr>
                <w:rFonts w:ascii="Arial" w:hAnsi="Arial" w:cs="Arial"/>
              </w:rPr>
              <w:t> </w:t>
            </w:r>
          </w:p>
        </w:tc>
      </w:tr>
      <w:tr w:rsidR="008B0FB8" w:rsidRPr="00E66B2D" w14:paraId="63843D20"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27AC6866" w14:textId="77777777" w:rsidR="008B0FB8" w:rsidRPr="00E66B2D" w:rsidRDefault="008B0FB8" w:rsidP="008B0FB8">
            <w:pPr>
              <w:rPr>
                <w:rFonts w:ascii="Arial" w:hAnsi="Arial" w:cs="Arial"/>
              </w:rPr>
            </w:pPr>
            <w:r w:rsidRPr="00E66B2D">
              <w:rPr>
                <w:rFonts w:ascii="Arial" w:hAnsi="Arial" w:cs="Arial"/>
              </w:rPr>
              <w:t xml:space="preserve">      Men</w:t>
            </w:r>
          </w:p>
        </w:tc>
        <w:tc>
          <w:tcPr>
            <w:tcW w:w="1246" w:type="dxa"/>
            <w:tcBorders>
              <w:top w:val="nil"/>
              <w:left w:val="single" w:sz="8" w:space="0" w:color="auto"/>
              <w:bottom w:val="nil"/>
              <w:right w:val="nil"/>
            </w:tcBorders>
            <w:shd w:val="clear" w:color="000000" w:fill="FFFFFF"/>
            <w:vAlign w:val="center"/>
            <w:hideMark/>
          </w:tcPr>
          <w:p w14:paraId="1C2DDE02" w14:textId="7188BB7D" w:rsidR="008B0FB8" w:rsidRPr="00E66B2D" w:rsidRDefault="008B0FB8" w:rsidP="008B0FB8">
            <w:pPr>
              <w:jc w:val="center"/>
              <w:rPr>
                <w:rFonts w:ascii="Arial" w:hAnsi="Arial" w:cs="Arial"/>
              </w:rPr>
            </w:pPr>
            <w:r>
              <w:rPr>
                <w:rFonts w:ascii="Arial" w:hAnsi="Arial" w:cs="Arial"/>
              </w:rPr>
              <w:t>26.1</w:t>
            </w:r>
          </w:p>
        </w:tc>
        <w:tc>
          <w:tcPr>
            <w:tcW w:w="1170" w:type="dxa"/>
            <w:tcBorders>
              <w:top w:val="nil"/>
              <w:left w:val="nil"/>
              <w:bottom w:val="nil"/>
              <w:right w:val="single" w:sz="8" w:space="0" w:color="auto"/>
            </w:tcBorders>
            <w:shd w:val="clear" w:color="000000" w:fill="CCCCCC"/>
            <w:vAlign w:val="center"/>
            <w:hideMark/>
          </w:tcPr>
          <w:p w14:paraId="26AABB1C" w14:textId="45BD6775" w:rsidR="008B0FB8" w:rsidRPr="00E66B2D" w:rsidRDefault="008B0FB8" w:rsidP="008B0FB8">
            <w:pPr>
              <w:jc w:val="center"/>
              <w:rPr>
                <w:rFonts w:ascii="Arial" w:hAnsi="Arial" w:cs="Arial"/>
              </w:rPr>
            </w:pPr>
            <w:r>
              <w:rPr>
                <w:rFonts w:ascii="Arial" w:hAnsi="Arial" w:cs="Arial"/>
              </w:rPr>
              <w:t>26.1</w:t>
            </w:r>
          </w:p>
        </w:tc>
        <w:tc>
          <w:tcPr>
            <w:tcW w:w="1151" w:type="dxa"/>
            <w:tcBorders>
              <w:top w:val="nil"/>
              <w:left w:val="nil"/>
              <w:bottom w:val="nil"/>
              <w:right w:val="nil"/>
            </w:tcBorders>
            <w:shd w:val="clear" w:color="000000" w:fill="FFFFFF"/>
            <w:vAlign w:val="center"/>
            <w:hideMark/>
          </w:tcPr>
          <w:p w14:paraId="7ED8E67A" w14:textId="65B2EEAF" w:rsidR="008B0FB8" w:rsidRPr="00E66B2D" w:rsidRDefault="008B0FB8" w:rsidP="008B0FB8">
            <w:pPr>
              <w:jc w:val="center"/>
              <w:rPr>
                <w:rFonts w:ascii="Arial" w:hAnsi="Arial" w:cs="Arial"/>
              </w:rPr>
            </w:pPr>
            <w:r>
              <w:rPr>
                <w:rFonts w:ascii="Arial" w:hAnsi="Arial" w:cs="Arial"/>
              </w:rPr>
              <w:t>26.1</w:t>
            </w:r>
          </w:p>
        </w:tc>
        <w:tc>
          <w:tcPr>
            <w:tcW w:w="1170" w:type="dxa"/>
            <w:tcBorders>
              <w:top w:val="nil"/>
              <w:left w:val="nil"/>
              <w:bottom w:val="nil"/>
              <w:right w:val="single" w:sz="8" w:space="0" w:color="auto"/>
            </w:tcBorders>
            <w:shd w:val="clear" w:color="000000" w:fill="CCCCCC"/>
            <w:vAlign w:val="center"/>
            <w:hideMark/>
          </w:tcPr>
          <w:p w14:paraId="620ED732" w14:textId="4DFF6EE4" w:rsidR="008B0FB8" w:rsidRPr="00E66B2D" w:rsidRDefault="008B0FB8" w:rsidP="008B0FB8">
            <w:pPr>
              <w:jc w:val="center"/>
              <w:rPr>
                <w:rFonts w:ascii="Arial" w:hAnsi="Arial" w:cs="Arial"/>
              </w:rPr>
            </w:pPr>
            <w:r>
              <w:rPr>
                <w:rFonts w:ascii="Arial" w:hAnsi="Arial" w:cs="Arial"/>
              </w:rPr>
              <w:t>26.1</w:t>
            </w:r>
          </w:p>
        </w:tc>
        <w:tc>
          <w:tcPr>
            <w:tcW w:w="1189" w:type="dxa"/>
            <w:tcBorders>
              <w:top w:val="nil"/>
              <w:left w:val="nil"/>
              <w:bottom w:val="nil"/>
              <w:right w:val="nil"/>
            </w:tcBorders>
            <w:shd w:val="clear" w:color="000000" w:fill="FFFFFF"/>
            <w:vAlign w:val="center"/>
            <w:hideMark/>
          </w:tcPr>
          <w:p w14:paraId="6E62832F" w14:textId="58CA2CF9" w:rsidR="008B0FB8" w:rsidRPr="00E66B2D" w:rsidRDefault="008B0FB8" w:rsidP="008B0FB8">
            <w:pPr>
              <w:jc w:val="center"/>
              <w:rPr>
                <w:rFonts w:ascii="Arial" w:hAnsi="Arial" w:cs="Arial"/>
              </w:rPr>
            </w:pPr>
            <w:r>
              <w:rPr>
                <w:rFonts w:ascii="Arial" w:hAnsi="Arial" w:cs="Arial"/>
              </w:rPr>
              <w:t>26.1</w:t>
            </w:r>
          </w:p>
        </w:tc>
        <w:tc>
          <w:tcPr>
            <w:tcW w:w="1074" w:type="dxa"/>
            <w:tcBorders>
              <w:top w:val="nil"/>
              <w:left w:val="nil"/>
              <w:bottom w:val="nil"/>
              <w:right w:val="single" w:sz="8" w:space="0" w:color="auto"/>
            </w:tcBorders>
            <w:shd w:val="clear" w:color="000000" w:fill="CCCCCC"/>
            <w:vAlign w:val="center"/>
            <w:hideMark/>
          </w:tcPr>
          <w:p w14:paraId="544FA31A" w14:textId="3F4F7A8B" w:rsidR="008B0FB8" w:rsidRPr="00E66B2D" w:rsidRDefault="008B0FB8" w:rsidP="008B0FB8">
            <w:pPr>
              <w:jc w:val="center"/>
              <w:rPr>
                <w:rFonts w:ascii="Arial" w:hAnsi="Arial" w:cs="Arial"/>
              </w:rPr>
            </w:pPr>
            <w:r>
              <w:rPr>
                <w:rFonts w:ascii="Arial" w:hAnsi="Arial" w:cs="Arial"/>
              </w:rPr>
              <w:t>26.1</w:t>
            </w:r>
          </w:p>
        </w:tc>
        <w:tc>
          <w:tcPr>
            <w:tcW w:w="1305" w:type="dxa"/>
            <w:tcBorders>
              <w:top w:val="nil"/>
              <w:left w:val="nil"/>
              <w:bottom w:val="nil"/>
              <w:right w:val="nil"/>
            </w:tcBorders>
            <w:shd w:val="clear" w:color="000000" w:fill="FFFFFF"/>
            <w:vAlign w:val="center"/>
            <w:hideMark/>
          </w:tcPr>
          <w:p w14:paraId="0E30EE32" w14:textId="5F800AF4" w:rsidR="008B0FB8" w:rsidRPr="00E66B2D" w:rsidRDefault="008B0FB8" w:rsidP="008B0FB8">
            <w:pPr>
              <w:jc w:val="center"/>
              <w:rPr>
                <w:rFonts w:ascii="Arial" w:hAnsi="Arial" w:cs="Arial"/>
              </w:rPr>
            </w:pPr>
            <w:r>
              <w:rPr>
                <w:rFonts w:ascii="Arial" w:hAnsi="Arial" w:cs="Arial"/>
              </w:rPr>
              <w:t>23.6</w:t>
            </w:r>
          </w:p>
        </w:tc>
        <w:tc>
          <w:tcPr>
            <w:tcW w:w="1305" w:type="dxa"/>
            <w:tcBorders>
              <w:top w:val="nil"/>
              <w:left w:val="nil"/>
              <w:bottom w:val="nil"/>
              <w:right w:val="single" w:sz="8" w:space="0" w:color="auto"/>
            </w:tcBorders>
            <w:shd w:val="clear" w:color="000000" w:fill="CCCCCC"/>
            <w:vAlign w:val="center"/>
            <w:hideMark/>
          </w:tcPr>
          <w:p w14:paraId="062EAE2A" w14:textId="4ED78CE4" w:rsidR="008B0FB8" w:rsidRPr="00E66B2D" w:rsidRDefault="008B0FB8" w:rsidP="008B0FB8">
            <w:pPr>
              <w:jc w:val="center"/>
              <w:rPr>
                <w:rFonts w:ascii="Arial" w:hAnsi="Arial" w:cs="Arial"/>
              </w:rPr>
            </w:pPr>
            <w:r>
              <w:rPr>
                <w:rFonts w:ascii="Arial" w:hAnsi="Arial" w:cs="Arial"/>
              </w:rPr>
              <w:t>23.5</w:t>
            </w:r>
          </w:p>
        </w:tc>
      </w:tr>
      <w:tr w:rsidR="008B0FB8" w:rsidRPr="00E66B2D" w14:paraId="3F95485D"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6329E371" w14:textId="77777777" w:rsidR="008B0FB8" w:rsidRPr="00E66B2D" w:rsidRDefault="008B0FB8" w:rsidP="008B0FB8">
            <w:pPr>
              <w:rPr>
                <w:rFonts w:ascii="Arial" w:hAnsi="Arial" w:cs="Arial"/>
              </w:rPr>
            </w:pPr>
            <w:r w:rsidRPr="00E66B2D">
              <w:rPr>
                <w:rFonts w:ascii="Arial" w:hAnsi="Arial" w:cs="Arial"/>
              </w:rPr>
              <w:t xml:space="preserve">      Women</w:t>
            </w:r>
          </w:p>
        </w:tc>
        <w:tc>
          <w:tcPr>
            <w:tcW w:w="1246" w:type="dxa"/>
            <w:tcBorders>
              <w:top w:val="nil"/>
              <w:left w:val="single" w:sz="8" w:space="0" w:color="auto"/>
              <w:bottom w:val="nil"/>
              <w:right w:val="nil"/>
            </w:tcBorders>
            <w:shd w:val="clear" w:color="000000" w:fill="FFFFFF"/>
            <w:vAlign w:val="center"/>
            <w:hideMark/>
          </w:tcPr>
          <w:p w14:paraId="590758B1" w14:textId="76AA8C6A" w:rsidR="008B0FB8" w:rsidRPr="00E66B2D" w:rsidRDefault="008B0FB8" w:rsidP="008B0FB8">
            <w:pPr>
              <w:jc w:val="center"/>
              <w:rPr>
                <w:rFonts w:ascii="Arial" w:hAnsi="Arial" w:cs="Arial"/>
              </w:rPr>
            </w:pPr>
            <w:r>
              <w:rPr>
                <w:rFonts w:ascii="Arial" w:hAnsi="Arial" w:cs="Arial"/>
              </w:rPr>
              <w:t>28.5</w:t>
            </w:r>
          </w:p>
        </w:tc>
        <w:tc>
          <w:tcPr>
            <w:tcW w:w="1170" w:type="dxa"/>
            <w:tcBorders>
              <w:top w:val="nil"/>
              <w:left w:val="nil"/>
              <w:bottom w:val="nil"/>
              <w:right w:val="single" w:sz="8" w:space="0" w:color="auto"/>
            </w:tcBorders>
            <w:shd w:val="clear" w:color="000000" w:fill="CCCCCC"/>
            <w:vAlign w:val="center"/>
            <w:hideMark/>
          </w:tcPr>
          <w:p w14:paraId="09E254B2" w14:textId="4722C1B0" w:rsidR="008B0FB8" w:rsidRPr="00E66B2D" w:rsidRDefault="008B0FB8" w:rsidP="008B0FB8">
            <w:pPr>
              <w:jc w:val="center"/>
              <w:rPr>
                <w:rFonts w:ascii="Arial" w:hAnsi="Arial" w:cs="Arial"/>
              </w:rPr>
            </w:pPr>
            <w:r>
              <w:rPr>
                <w:rFonts w:ascii="Arial" w:hAnsi="Arial" w:cs="Arial"/>
              </w:rPr>
              <w:t>28.6</w:t>
            </w:r>
          </w:p>
        </w:tc>
        <w:tc>
          <w:tcPr>
            <w:tcW w:w="1151" w:type="dxa"/>
            <w:tcBorders>
              <w:top w:val="nil"/>
              <w:left w:val="nil"/>
              <w:bottom w:val="nil"/>
              <w:right w:val="nil"/>
            </w:tcBorders>
            <w:shd w:val="clear" w:color="000000" w:fill="FFFFFF"/>
            <w:vAlign w:val="center"/>
            <w:hideMark/>
          </w:tcPr>
          <w:p w14:paraId="4AD7F4B3" w14:textId="4F55E30E" w:rsidR="008B0FB8" w:rsidRPr="00E66B2D" w:rsidRDefault="008B0FB8" w:rsidP="008B0FB8">
            <w:pPr>
              <w:jc w:val="center"/>
              <w:rPr>
                <w:rFonts w:ascii="Arial" w:hAnsi="Arial" w:cs="Arial"/>
              </w:rPr>
            </w:pPr>
            <w:r>
              <w:rPr>
                <w:rFonts w:ascii="Arial" w:hAnsi="Arial" w:cs="Arial"/>
              </w:rPr>
              <w:t>28.5</w:t>
            </w:r>
          </w:p>
        </w:tc>
        <w:tc>
          <w:tcPr>
            <w:tcW w:w="1170" w:type="dxa"/>
            <w:tcBorders>
              <w:top w:val="nil"/>
              <w:left w:val="nil"/>
              <w:bottom w:val="nil"/>
              <w:right w:val="single" w:sz="8" w:space="0" w:color="auto"/>
            </w:tcBorders>
            <w:shd w:val="clear" w:color="000000" w:fill="CCCCCC"/>
            <w:vAlign w:val="center"/>
            <w:hideMark/>
          </w:tcPr>
          <w:p w14:paraId="59D34E2B" w14:textId="395F45F3" w:rsidR="008B0FB8" w:rsidRPr="00E66B2D" w:rsidRDefault="008B0FB8" w:rsidP="008B0FB8">
            <w:pPr>
              <w:jc w:val="center"/>
              <w:rPr>
                <w:rFonts w:ascii="Arial" w:hAnsi="Arial" w:cs="Arial"/>
              </w:rPr>
            </w:pPr>
            <w:r>
              <w:rPr>
                <w:rFonts w:ascii="Arial" w:hAnsi="Arial" w:cs="Arial"/>
              </w:rPr>
              <w:t>28.6</w:t>
            </w:r>
          </w:p>
        </w:tc>
        <w:tc>
          <w:tcPr>
            <w:tcW w:w="1189" w:type="dxa"/>
            <w:tcBorders>
              <w:top w:val="nil"/>
              <w:left w:val="nil"/>
              <w:bottom w:val="nil"/>
              <w:right w:val="nil"/>
            </w:tcBorders>
            <w:shd w:val="clear" w:color="000000" w:fill="FFFFFF"/>
            <w:vAlign w:val="center"/>
            <w:hideMark/>
          </w:tcPr>
          <w:p w14:paraId="1A6AAAFB" w14:textId="2709E5E0" w:rsidR="008B0FB8" w:rsidRPr="00E66B2D" w:rsidRDefault="008B0FB8" w:rsidP="008B0FB8">
            <w:pPr>
              <w:jc w:val="center"/>
              <w:rPr>
                <w:rFonts w:ascii="Arial" w:hAnsi="Arial" w:cs="Arial"/>
              </w:rPr>
            </w:pPr>
            <w:r>
              <w:rPr>
                <w:rFonts w:ascii="Arial" w:hAnsi="Arial" w:cs="Arial"/>
              </w:rPr>
              <w:t>28.5</w:t>
            </w:r>
          </w:p>
        </w:tc>
        <w:tc>
          <w:tcPr>
            <w:tcW w:w="1074" w:type="dxa"/>
            <w:tcBorders>
              <w:top w:val="nil"/>
              <w:left w:val="nil"/>
              <w:bottom w:val="nil"/>
              <w:right w:val="single" w:sz="8" w:space="0" w:color="auto"/>
            </w:tcBorders>
            <w:shd w:val="clear" w:color="000000" w:fill="CCCCCC"/>
            <w:vAlign w:val="center"/>
            <w:hideMark/>
          </w:tcPr>
          <w:p w14:paraId="092E0D1E" w14:textId="2DD2255A" w:rsidR="008B0FB8" w:rsidRPr="00E66B2D" w:rsidRDefault="008B0FB8" w:rsidP="008B0FB8">
            <w:pPr>
              <w:jc w:val="center"/>
              <w:rPr>
                <w:rFonts w:ascii="Arial" w:hAnsi="Arial" w:cs="Arial"/>
              </w:rPr>
            </w:pPr>
            <w:r>
              <w:rPr>
                <w:rFonts w:ascii="Arial" w:hAnsi="Arial" w:cs="Arial"/>
              </w:rPr>
              <w:t>28.6</w:t>
            </w:r>
          </w:p>
        </w:tc>
        <w:tc>
          <w:tcPr>
            <w:tcW w:w="1305" w:type="dxa"/>
            <w:tcBorders>
              <w:top w:val="nil"/>
              <w:left w:val="nil"/>
              <w:bottom w:val="nil"/>
              <w:right w:val="nil"/>
            </w:tcBorders>
            <w:shd w:val="clear" w:color="000000" w:fill="FFFFFF"/>
            <w:vAlign w:val="center"/>
            <w:hideMark/>
          </w:tcPr>
          <w:p w14:paraId="46B9F8A3" w14:textId="1708C178" w:rsidR="008B0FB8" w:rsidRPr="00E66B2D" w:rsidRDefault="008B0FB8" w:rsidP="008B0FB8">
            <w:pPr>
              <w:jc w:val="center"/>
              <w:rPr>
                <w:rFonts w:ascii="Arial" w:hAnsi="Arial" w:cs="Arial"/>
              </w:rPr>
            </w:pPr>
            <w:r>
              <w:rPr>
                <w:rFonts w:ascii="Arial" w:hAnsi="Arial" w:cs="Arial"/>
              </w:rPr>
              <w:t>26.4</w:t>
            </w:r>
          </w:p>
        </w:tc>
        <w:tc>
          <w:tcPr>
            <w:tcW w:w="1305" w:type="dxa"/>
            <w:tcBorders>
              <w:top w:val="nil"/>
              <w:left w:val="nil"/>
              <w:bottom w:val="nil"/>
              <w:right w:val="single" w:sz="8" w:space="0" w:color="auto"/>
            </w:tcBorders>
            <w:shd w:val="clear" w:color="000000" w:fill="CCCCCC"/>
            <w:vAlign w:val="center"/>
            <w:hideMark/>
          </w:tcPr>
          <w:p w14:paraId="67845CA7" w14:textId="11883DD0" w:rsidR="008B0FB8" w:rsidRPr="00E66B2D" w:rsidRDefault="008B0FB8" w:rsidP="008B0FB8">
            <w:pPr>
              <w:jc w:val="center"/>
              <w:rPr>
                <w:rFonts w:ascii="Arial" w:hAnsi="Arial" w:cs="Arial"/>
              </w:rPr>
            </w:pPr>
            <w:r>
              <w:rPr>
                <w:rFonts w:ascii="Arial" w:hAnsi="Arial" w:cs="Arial"/>
              </w:rPr>
              <w:t>26.4</w:t>
            </w:r>
          </w:p>
        </w:tc>
      </w:tr>
      <w:tr w:rsidR="008B0FB8" w:rsidRPr="00E66B2D" w14:paraId="29F1C3AC"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5D060062" w14:textId="77777777" w:rsidR="008B0FB8" w:rsidRPr="00E66B2D" w:rsidRDefault="008B0FB8" w:rsidP="008B0FB8">
            <w:pPr>
              <w:rPr>
                <w:rFonts w:ascii="Arial" w:hAnsi="Arial" w:cs="Arial"/>
              </w:rPr>
            </w:pPr>
            <w:r w:rsidRPr="00E66B2D">
              <w:rPr>
                <w:rFonts w:ascii="Arial" w:hAnsi="Arial" w:cs="Arial"/>
              </w:rPr>
              <w:t> </w:t>
            </w:r>
          </w:p>
        </w:tc>
        <w:tc>
          <w:tcPr>
            <w:tcW w:w="1246" w:type="dxa"/>
            <w:tcBorders>
              <w:top w:val="nil"/>
              <w:left w:val="single" w:sz="8" w:space="0" w:color="auto"/>
              <w:bottom w:val="nil"/>
              <w:right w:val="nil"/>
            </w:tcBorders>
            <w:shd w:val="clear" w:color="000000" w:fill="FFFFFF"/>
            <w:vAlign w:val="center"/>
            <w:hideMark/>
          </w:tcPr>
          <w:p w14:paraId="4A499F52" w14:textId="5B7A9DE3" w:rsidR="008B0FB8" w:rsidRPr="00E66B2D" w:rsidRDefault="008B0FB8" w:rsidP="008B0FB8">
            <w:pPr>
              <w:rPr>
                <w:rFonts w:ascii="Arial" w:hAnsi="Arial" w:cs="Arial"/>
              </w:rPr>
            </w:pPr>
            <w:r>
              <w:rPr>
                <w:rFonts w:ascii="Arial" w:hAnsi="Arial" w:cs="Arial"/>
              </w:rPr>
              <w:t> </w:t>
            </w:r>
          </w:p>
        </w:tc>
        <w:tc>
          <w:tcPr>
            <w:tcW w:w="1170" w:type="dxa"/>
            <w:tcBorders>
              <w:top w:val="nil"/>
              <w:left w:val="nil"/>
              <w:bottom w:val="nil"/>
              <w:right w:val="single" w:sz="8" w:space="0" w:color="auto"/>
            </w:tcBorders>
            <w:shd w:val="clear" w:color="000000" w:fill="CCCCCC"/>
            <w:vAlign w:val="center"/>
            <w:hideMark/>
          </w:tcPr>
          <w:p w14:paraId="0571DFF7" w14:textId="6D7D9EC8" w:rsidR="008B0FB8" w:rsidRPr="00E66B2D" w:rsidRDefault="008B0FB8" w:rsidP="008B0FB8">
            <w:pPr>
              <w:rPr>
                <w:rFonts w:ascii="Arial" w:hAnsi="Arial" w:cs="Arial"/>
              </w:rPr>
            </w:pPr>
            <w:r>
              <w:rPr>
                <w:rFonts w:ascii="Arial" w:hAnsi="Arial" w:cs="Arial"/>
              </w:rPr>
              <w:t> </w:t>
            </w:r>
          </w:p>
        </w:tc>
        <w:tc>
          <w:tcPr>
            <w:tcW w:w="1151" w:type="dxa"/>
            <w:tcBorders>
              <w:top w:val="nil"/>
              <w:left w:val="nil"/>
              <w:bottom w:val="nil"/>
              <w:right w:val="nil"/>
            </w:tcBorders>
            <w:shd w:val="clear" w:color="000000" w:fill="FFFFFF"/>
            <w:vAlign w:val="center"/>
            <w:hideMark/>
          </w:tcPr>
          <w:p w14:paraId="7CA9ABAB" w14:textId="6D1E2680" w:rsidR="008B0FB8" w:rsidRPr="00E66B2D" w:rsidRDefault="008B0FB8" w:rsidP="008B0FB8">
            <w:pPr>
              <w:rPr>
                <w:rFonts w:ascii="Arial" w:hAnsi="Arial" w:cs="Arial"/>
              </w:rPr>
            </w:pPr>
            <w:r>
              <w:rPr>
                <w:rFonts w:ascii="Arial" w:hAnsi="Arial" w:cs="Arial"/>
              </w:rPr>
              <w:t> </w:t>
            </w:r>
          </w:p>
        </w:tc>
        <w:tc>
          <w:tcPr>
            <w:tcW w:w="1170" w:type="dxa"/>
            <w:tcBorders>
              <w:top w:val="nil"/>
              <w:left w:val="nil"/>
              <w:bottom w:val="nil"/>
              <w:right w:val="single" w:sz="8" w:space="0" w:color="auto"/>
            </w:tcBorders>
            <w:shd w:val="clear" w:color="000000" w:fill="CCCCCC"/>
            <w:vAlign w:val="center"/>
            <w:hideMark/>
          </w:tcPr>
          <w:p w14:paraId="142BAE05" w14:textId="03C589F8" w:rsidR="008B0FB8" w:rsidRPr="00E66B2D" w:rsidRDefault="008B0FB8" w:rsidP="008B0FB8">
            <w:pPr>
              <w:rPr>
                <w:rFonts w:ascii="Arial" w:hAnsi="Arial" w:cs="Arial"/>
              </w:rPr>
            </w:pPr>
            <w:r>
              <w:rPr>
                <w:rFonts w:ascii="Arial" w:hAnsi="Arial" w:cs="Arial"/>
              </w:rPr>
              <w:t> </w:t>
            </w:r>
          </w:p>
        </w:tc>
        <w:tc>
          <w:tcPr>
            <w:tcW w:w="1189" w:type="dxa"/>
            <w:tcBorders>
              <w:top w:val="nil"/>
              <w:left w:val="nil"/>
              <w:bottom w:val="nil"/>
              <w:right w:val="nil"/>
            </w:tcBorders>
            <w:shd w:val="clear" w:color="000000" w:fill="FFFFFF"/>
            <w:vAlign w:val="center"/>
            <w:hideMark/>
          </w:tcPr>
          <w:p w14:paraId="6ABFA2B2" w14:textId="65E1317E" w:rsidR="008B0FB8" w:rsidRPr="00E66B2D" w:rsidRDefault="008B0FB8" w:rsidP="008B0FB8">
            <w:pPr>
              <w:rPr>
                <w:rFonts w:ascii="Arial" w:hAnsi="Arial" w:cs="Arial"/>
              </w:rPr>
            </w:pPr>
            <w:r>
              <w:rPr>
                <w:rFonts w:ascii="Arial" w:hAnsi="Arial" w:cs="Arial"/>
              </w:rPr>
              <w:t> </w:t>
            </w:r>
          </w:p>
        </w:tc>
        <w:tc>
          <w:tcPr>
            <w:tcW w:w="1074" w:type="dxa"/>
            <w:tcBorders>
              <w:top w:val="nil"/>
              <w:left w:val="nil"/>
              <w:bottom w:val="nil"/>
              <w:right w:val="single" w:sz="8" w:space="0" w:color="auto"/>
            </w:tcBorders>
            <w:shd w:val="clear" w:color="000000" w:fill="CCCCCC"/>
            <w:vAlign w:val="center"/>
            <w:hideMark/>
          </w:tcPr>
          <w:p w14:paraId="54D17F4C" w14:textId="7EF2E0F2" w:rsidR="008B0FB8" w:rsidRPr="00E66B2D" w:rsidRDefault="008B0FB8" w:rsidP="008B0FB8">
            <w:pPr>
              <w:rPr>
                <w:rFonts w:ascii="Arial" w:hAnsi="Arial" w:cs="Arial"/>
              </w:rPr>
            </w:pPr>
            <w:r>
              <w:rPr>
                <w:rFonts w:ascii="Arial" w:hAnsi="Arial" w:cs="Arial"/>
              </w:rPr>
              <w:t> </w:t>
            </w:r>
          </w:p>
        </w:tc>
        <w:tc>
          <w:tcPr>
            <w:tcW w:w="1305" w:type="dxa"/>
            <w:tcBorders>
              <w:top w:val="nil"/>
              <w:left w:val="nil"/>
              <w:bottom w:val="nil"/>
              <w:right w:val="nil"/>
            </w:tcBorders>
            <w:shd w:val="clear" w:color="000000" w:fill="FFFFFF"/>
            <w:vAlign w:val="center"/>
            <w:hideMark/>
          </w:tcPr>
          <w:p w14:paraId="040D7163" w14:textId="684C02C7" w:rsidR="008B0FB8" w:rsidRPr="00E66B2D" w:rsidRDefault="008B0FB8" w:rsidP="008B0FB8">
            <w:pPr>
              <w:rPr>
                <w:rFonts w:ascii="Arial" w:hAnsi="Arial" w:cs="Arial"/>
              </w:rPr>
            </w:pPr>
            <w:r>
              <w:rPr>
                <w:rFonts w:ascii="Arial" w:hAnsi="Arial" w:cs="Arial"/>
              </w:rPr>
              <w:t> </w:t>
            </w:r>
          </w:p>
        </w:tc>
        <w:tc>
          <w:tcPr>
            <w:tcW w:w="1305" w:type="dxa"/>
            <w:tcBorders>
              <w:top w:val="nil"/>
              <w:left w:val="nil"/>
              <w:bottom w:val="nil"/>
              <w:right w:val="single" w:sz="8" w:space="0" w:color="auto"/>
            </w:tcBorders>
            <w:shd w:val="clear" w:color="000000" w:fill="CCCCCC"/>
            <w:vAlign w:val="center"/>
            <w:hideMark/>
          </w:tcPr>
          <w:p w14:paraId="12C3903A" w14:textId="52836702" w:rsidR="008B0FB8" w:rsidRPr="00E66B2D" w:rsidRDefault="008B0FB8" w:rsidP="008B0FB8">
            <w:pPr>
              <w:rPr>
                <w:rFonts w:ascii="Arial" w:hAnsi="Arial" w:cs="Arial"/>
              </w:rPr>
            </w:pPr>
            <w:r>
              <w:rPr>
                <w:rFonts w:ascii="Arial" w:hAnsi="Arial" w:cs="Arial"/>
              </w:rPr>
              <w:t> </w:t>
            </w:r>
          </w:p>
        </w:tc>
      </w:tr>
      <w:tr w:rsidR="008B0FB8" w:rsidRPr="00E66B2D" w14:paraId="17F08C8A"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3AEC7321" w14:textId="77777777" w:rsidR="008B0FB8" w:rsidRPr="00E66B2D" w:rsidRDefault="008B0FB8" w:rsidP="008B0FB8">
            <w:pPr>
              <w:rPr>
                <w:rFonts w:ascii="Arial" w:hAnsi="Arial" w:cs="Arial"/>
              </w:rPr>
            </w:pPr>
            <w:r w:rsidRPr="00E66B2D">
              <w:rPr>
                <w:rFonts w:ascii="Arial" w:hAnsi="Arial" w:cs="Arial"/>
              </w:rPr>
              <w:t>Longevity at 60 for future pensioners:</w:t>
            </w:r>
          </w:p>
        </w:tc>
        <w:tc>
          <w:tcPr>
            <w:tcW w:w="1246" w:type="dxa"/>
            <w:tcBorders>
              <w:top w:val="nil"/>
              <w:left w:val="single" w:sz="8" w:space="0" w:color="auto"/>
              <w:bottom w:val="nil"/>
              <w:right w:val="nil"/>
            </w:tcBorders>
            <w:shd w:val="clear" w:color="000000" w:fill="FFFFFF"/>
            <w:vAlign w:val="center"/>
            <w:hideMark/>
          </w:tcPr>
          <w:p w14:paraId="1C098412" w14:textId="0959871E" w:rsidR="008B0FB8" w:rsidRPr="00E66B2D" w:rsidRDefault="008B0FB8" w:rsidP="008B0FB8">
            <w:pPr>
              <w:jc w:val="center"/>
              <w:rPr>
                <w:rFonts w:ascii="Arial" w:hAnsi="Arial" w:cs="Arial"/>
              </w:rPr>
            </w:pPr>
            <w:r>
              <w:rPr>
                <w:rFonts w:ascii="Arial" w:hAnsi="Arial" w:cs="Arial"/>
              </w:rPr>
              <w:t> </w:t>
            </w:r>
          </w:p>
        </w:tc>
        <w:tc>
          <w:tcPr>
            <w:tcW w:w="1170" w:type="dxa"/>
            <w:tcBorders>
              <w:top w:val="nil"/>
              <w:left w:val="nil"/>
              <w:bottom w:val="nil"/>
              <w:right w:val="single" w:sz="8" w:space="0" w:color="auto"/>
            </w:tcBorders>
            <w:shd w:val="clear" w:color="000000" w:fill="CCCCCC"/>
            <w:vAlign w:val="center"/>
            <w:hideMark/>
          </w:tcPr>
          <w:p w14:paraId="341C5A2A" w14:textId="25D38806" w:rsidR="008B0FB8" w:rsidRPr="00E66B2D" w:rsidRDefault="008B0FB8" w:rsidP="008B0FB8">
            <w:pPr>
              <w:jc w:val="center"/>
              <w:rPr>
                <w:rFonts w:ascii="Arial" w:hAnsi="Arial" w:cs="Arial"/>
              </w:rPr>
            </w:pPr>
            <w:r>
              <w:rPr>
                <w:rFonts w:ascii="Arial" w:hAnsi="Arial" w:cs="Arial"/>
              </w:rPr>
              <w:t> </w:t>
            </w:r>
          </w:p>
        </w:tc>
        <w:tc>
          <w:tcPr>
            <w:tcW w:w="1151" w:type="dxa"/>
            <w:tcBorders>
              <w:top w:val="nil"/>
              <w:left w:val="nil"/>
              <w:bottom w:val="nil"/>
              <w:right w:val="nil"/>
            </w:tcBorders>
            <w:shd w:val="clear" w:color="000000" w:fill="FFFFFF"/>
            <w:vAlign w:val="center"/>
            <w:hideMark/>
          </w:tcPr>
          <w:p w14:paraId="3EBBDCDE" w14:textId="4E410E0D" w:rsidR="008B0FB8" w:rsidRPr="00E66B2D" w:rsidRDefault="008B0FB8" w:rsidP="008B0FB8">
            <w:pPr>
              <w:jc w:val="center"/>
              <w:rPr>
                <w:rFonts w:ascii="Arial" w:hAnsi="Arial" w:cs="Arial"/>
              </w:rPr>
            </w:pPr>
            <w:r>
              <w:rPr>
                <w:rFonts w:ascii="Arial" w:hAnsi="Arial" w:cs="Arial"/>
              </w:rPr>
              <w:t> </w:t>
            </w:r>
          </w:p>
        </w:tc>
        <w:tc>
          <w:tcPr>
            <w:tcW w:w="1170" w:type="dxa"/>
            <w:tcBorders>
              <w:top w:val="nil"/>
              <w:left w:val="nil"/>
              <w:bottom w:val="nil"/>
              <w:right w:val="single" w:sz="8" w:space="0" w:color="auto"/>
            </w:tcBorders>
            <w:shd w:val="clear" w:color="000000" w:fill="CCCCCC"/>
            <w:vAlign w:val="center"/>
            <w:hideMark/>
          </w:tcPr>
          <w:p w14:paraId="481501CC" w14:textId="0C991B76" w:rsidR="008B0FB8" w:rsidRPr="00E66B2D" w:rsidRDefault="008B0FB8" w:rsidP="008B0FB8">
            <w:pPr>
              <w:jc w:val="center"/>
              <w:rPr>
                <w:rFonts w:ascii="Arial" w:hAnsi="Arial" w:cs="Arial"/>
              </w:rPr>
            </w:pPr>
            <w:r>
              <w:rPr>
                <w:rFonts w:ascii="Arial" w:hAnsi="Arial" w:cs="Arial"/>
              </w:rPr>
              <w:t> </w:t>
            </w:r>
          </w:p>
        </w:tc>
        <w:tc>
          <w:tcPr>
            <w:tcW w:w="1189" w:type="dxa"/>
            <w:tcBorders>
              <w:top w:val="nil"/>
              <w:left w:val="nil"/>
              <w:bottom w:val="nil"/>
              <w:right w:val="nil"/>
            </w:tcBorders>
            <w:shd w:val="clear" w:color="000000" w:fill="FFFFFF"/>
            <w:vAlign w:val="center"/>
            <w:hideMark/>
          </w:tcPr>
          <w:p w14:paraId="68F2BE15" w14:textId="0B251F83" w:rsidR="008B0FB8" w:rsidRPr="00E66B2D" w:rsidRDefault="008B0FB8" w:rsidP="008B0FB8">
            <w:pPr>
              <w:jc w:val="center"/>
              <w:rPr>
                <w:rFonts w:ascii="Arial" w:hAnsi="Arial" w:cs="Arial"/>
              </w:rPr>
            </w:pPr>
            <w:r>
              <w:rPr>
                <w:rFonts w:ascii="Arial" w:hAnsi="Arial" w:cs="Arial"/>
              </w:rPr>
              <w:t> </w:t>
            </w:r>
          </w:p>
        </w:tc>
        <w:tc>
          <w:tcPr>
            <w:tcW w:w="1074" w:type="dxa"/>
            <w:tcBorders>
              <w:top w:val="nil"/>
              <w:left w:val="nil"/>
              <w:bottom w:val="nil"/>
              <w:right w:val="single" w:sz="8" w:space="0" w:color="auto"/>
            </w:tcBorders>
            <w:shd w:val="clear" w:color="000000" w:fill="CCCCCC"/>
            <w:vAlign w:val="center"/>
            <w:hideMark/>
          </w:tcPr>
          <w:p w14:paraId="437316B4" w14:textId="0DDE9A0C" w:rsidR="008B0FB8" w:rsidRPr="00E66B2D" w:rsidRDefault="008B0FB8" w:rsidP="008B0FB8">
            <w:pPr>
              <w:jc w:val="center"/>
              <w:rPr>
                <w:rFonts w:ascii="Arial" w:hAnsi="Arial" w:cs="Arial"/>
              </w:rPr>
            </w:pPr>
            <w:r>
              <w:rPr>
                <w:rFonts w:ascii="Arial" w:hAnsi="Arial" w:cs="Arial"/>
              </w:rPr>
              <w:t> </w:t>
            </w:r>
          </w:p>
        </w:tc>
        <w:tc>
          <w:tcPr>
            <w:tcW w:w="1305" w:type="dxa"/>
            <w:tcBorders>
              <w:top w:val="nil"/>
              <w:left w:val="nil"/>
              <w:bottom w:val="nil"/>
              <w:right w:val="nil"/>
            </w:tcBorders>
            <w:shd w:val="clear" w:color="000000" w:fill="FFFFFF"/>
            <w:vAlign w:val="center"/>
            <w:hideMark/>
          </w:tcPr>
          <w:p w14:paraId="313AC086" w14:textId="3725D787" w:rsidR="008B0FB8" w:rsidRPr="00E66B2D" w:rsidRDefault="008B0FB8" w:rsidP="008B0FB8">
            <w:pPr>
              <w:jc w:val="center"/>
              <w:rPr>
                <w:rFonts w:ascii="Arial" w:hAnsi="Arial" w:cs="Arial"/>
              </w:rPr>
            </w:pPr>
            <w:r>
              <w:rPr>
                <w:rFonts w:ascii="Arial" w:hAnsi="Arial" w:cs="Arial"/>
              </w:rPr>
              <w:t> </w:t>
            </w:r>
          </w:p>
        </w:tc>
        <w:tc>
          <w:tcPr>
            <w:tcW w:w="1305" w:type="dxa"/>
            <w:tcBorders>
              <w:top w:val="nil"/>
              <w:left w:val="nil"/>
              <w:bottom w:val="nil"/>
              <w:right w:val="single" w:sz="8" w:space="0" w:color="auto"/>
            </w:tcBorders>
            <w:shd w:val="clear" w:color="000000" w:fill="CCCCCC"/>
            <w:vAlign w:val="center"/>
            <w:hideMark/>
          </w:tcPr>
          <w:p w14:paraId="35F892F2" w14:textId="040369A2" w:rsidR="008B0FB8" w:rsidRPr="00E66B2D" w:rsidRDefault="008B0FB8" w:rsidP="008B0FB8">
            <w:pPr>
              <w:jc w:val="center"/>
              <w:rPr>
                <w:rFonts w:ascii="Arial" w:hAnsi="Arial" w:cs="Arial"/>
              </w:rPr>
            </w:pPr>
            <w:r>
              <w:rPr>
                <w:rFonts w:ascii="Arial" w:hAnsi="Arial" w:cs="Arial"/>
              </w:rPr>
              <w:t> </w:t>
            </w:r>
          </w:p>
        </w:tc>
      </w:tr>
      <w:tr w:rsidR="008B0FB8" w:rsidRPr="00E66B2D" w14:paraId="6671708A" w14:textId="77777777" w:rsidTr="008B0FB8">
        <w:trPr>
          <w:trHeight w:val="315"/>
        </w:trPr>
        <w:tc>
          <w:tcPr>
            <w:tcW w:w="4348" w:type="dxa"/>
            <w:tcBorders>
              <w:top w:val="nil"/>
              <w:left w:val="single" w:sz="8" w:space="0" w:color="auto"/>
              <w:bottom w:val="nil"/>
              <w:right w:val="nil"/>
            </w:tcBorders>
            <w:shd w:val="clear" w:color="000000" w:fill="FFFFFF"/>
            <w:vAlign w:val="center"/>
            <w:hideMark/>
          </w:tcPr>
          <w:p w14:paraId="024C4195" w14:textId="77777777" w:rsidR="008B0FB8" w:rsidRPr="00E66B2D" w:rsidRDefault="008B0FB8" w:rsidP="008B0FB8">
            <w:pPr>
              <w:rPr>
                <w:rFonts w:ascii="Arial" w:hAnsi="Arial" w:cs="Arial"/>
              </w:rPr>
            </w:pPr>
            <w:r w:rsidRPr="00E66B2D">
              <w:rPr>
                <w:rFonts w:ascii="Arial" w:hAnsi="Arial" w:cs="Arial"/>
              </w:rPr>
              <w:t xml:space="preserve">      Men</w:t>
            </w:r>
          </w:p>
        </w:tc>
        <w:tc>
          <w:tcPr>
            <w:tcW w:w="1246" w:type="dxa"/>
            <w:tcBorders>
              <w:top w:val="nil"/>
              <w:left w:val="single" w:sz="8" w:space="0" w:color="auto"/>
              <w:bottom w:val="nil"/>
              <w:right w:val="nil"/>
            </w:tcBorders>
            <w:shd w:val="clear" w:color="000000" w:fill="FFFFFF"/>
            <w:vAlign w:val="center"/>
            <w:hideMark/>
          </w:tcPr>
          <w:p w14:paraId="427CB47D" w14:textId="75022044" w:rsidR="008B0FB8" w:rsidRPr="00E66B2D" w:rsidRDefault="008B0FB8" w:rsidP="008B0FB8">
            <w:pPr>
              <w:jc w:val="center"/>
              <w:rPr>
                <w:rFonts w:ascii="Arial" w:hAnsi="Arial" w:cs="Arial"/>
              </w:rPr>
            </w:pPr>
            <w:r>
              <w:rPr>
                <w:rFonts w:ascii="Arial" w:hAnsi="Arial" w:cs="Arial"/>
              </w:rPr>
              <w:t>28</w:t>
            </w:r>
          </w:p>
        </w:tc>
        <w:tc>
          <w:tcPr>
            <w:tcW w:w="1170" w:type="dxa"/>
            <w:tcBorders>
              <w:top w:val="nil"/>
              <w:left w:val="nil"/>
              <w:bottom w:val="nil"/>
              <w:right w:val="single" w:sz="8" w:space="0" w:color="auto"/>
            </w:tcBorders>
            <w:shd w:val="clear" w:color="000000" w:fill="CCCCCC"/>
            <w:vAlign w:val="center"/>
            <w:hideMark/>
          </w:tcPr>
          <w:p w14:paraId="45250491" w14:textId="31246757" w:rsidR="008B0FB8" w:rsidRPr="00E66B2D" w:rsidRDefault="008B0FB8" w:rsidP="008B0FB8">
            <w:pPr>
              <w:jc w:val="center"/>
              <w:rPr>
                <w:rFonts w:ascii="Arial" w:hAnsi="Arial" w:cs="Arial"/>
              </w:rPr>
            </w:pPr>
            <w:r>
              <w:rPr>
                <w:rFonts w:ascii="Arial" w:hAnsi="Arial" w:cs="Arial"/>
              </w:rPr>
              <w:t>28</w:t>
            </w:r>
          </w:p>
        </w:tc>
        <w:tc>
          <w:tcPr>
            <w:tcW w:w="1151" w:type="dxa"/>
            <w:tcBorders>
              <w:top w:val="nil"/>
              <w:left w:val="nil"/>
              <w:bottom w:val="nil"/>
              <w:right w:val="nil"/>
            </w:tcBorders>
            <w:shd w:val="clear" w:color="000000" w:fill="FFFFFF"/>
            <w:vAlign w:val="center"/>
            <w:hideMark/>
          </w:tcPr>
          <w:p w14:paraId="382D0166" w14:textId="199DBFAD" w:rsidR="008B0FB8" w:rsidRPr="00E66B2D" w:rsidRDefault="008B0FB8" w:rsidP="008B0FB8">
            <w:pPr>
              <w:jc w:val="center"/>
              <w:rPr>
                <w:rFonts w:ascii="Arial" w:hAnsi="Arial" w:cs="Arial"/>
              </w:rPr>
            </w:pPr>
            <w:r>
              <w:rPr>
                <w:rFonts w:ascii="Arial" w:hAnsi="Arial" w:cs="Arial"/>
              </w:rPr>
              <w:t>28</w:t>
            </w:r>
          </w:p>
        </w:tc>
        <w:tc>
          <w:tcPr>
            <w:tcW w:w="1170" w:type="dxa"/>
            <w:tcBorders>
              <w:top w:val="nil"/>
              <w:left w:val="nil"/>
              <w:bottom w:val="nil"/>
              <w:right w:val="single" w:sz="8" w:space="0" w:color="auto"/>
            </w:tcBorders>
            <w:shd w:val="clear" w:color="000000" w:fill="CCCCCC"/>
            <w:vAlign w:val="center"/>
            <w:hideMark/>
          </w:tcPr>
          <w:p w14:paraId="319B6DEA" w14:textId="48888FC5" w:rsidR="008B0FB8" w:rsidRPr="00E66B2D" w:rsidRDefault="008B0FB8" w:rsidP="008B0FB8">
            <w:pPr>
              <w:jc w:val="center"/>
              <w:rPr>
                <w:rFonts w:ascii="Arial" w:hAnsi="Arial" w:cs="Arial"/>
              </w:rPr>
            </w:pPr>
            <w:r>
              <w:rPr>
                <w:rFonts w:ascii="Arial" w:hAnsi="Arial" w:cs="Arial"/>
              </w:rPr>
              <w:t>28</w:t>
            </w:r>
          </w:p>
        </w:tc>
        <w:tc>
          <w:tcPr>
            <w:tcW w:w="1189" w:type="dxa"/>
            <w:tcBorders>
              <w:top w:val="nil"/>
              <w:left w:val="nil"/>
              <w:bottom w:val="nil"/>
              <w:right w:val="nil"/>
            </w:tcBorders>
            <w:shd w:val="clear" w:color="000000" w:fill="FFFFFF"/>
            <w:vAlign w:val="center"/>
            <w:hideMark/>
          </w:tcPr>
          <w:p w14:paraId="32D464E7" w14:textId="3C18126A" w:rsidR="008B0FB8" w:rsidRPr="00E66B2D" w:rsidRDefault="008B0FB8" w:rsidP="008B0FB8">
            <w:pPr>
              <w:jc w:val="center"/>
              <w:rPr>
                <w:rFonts w:ascii="Arial" w:hAnsi="Arial" w:cs="Arial"/>
              </w:rPr>
            </w:pPr>
            <w:r>
              <w:rPr>
                <w:rFonts w:ascii="Arial" w:hAnsi="Arial" w:cs="Arial"/>
              </w:rPr>
              <w:t>28</w:t>
            </w:r>
          </w:p>
        </w:tc>
        <w:tc>
          <w:tcPr>
            <w:tcW w:w="1074" w:type="dxa"/>
            <w:tcBorders>
              <w:top w:val="nil"/>
              <w:left w:val="nil"/>
              <w:bottom w:val="nil"/>
              <w:right w:val="single" w:sz="8" w:space="0" w:color="auto"/>
            </w:tcBorders>
            <w:shd w:val="clear" w:color="000000" w:fill="CCCCCC"/>
            <w:vAlign w:val="center"/>
            <w:hideMark/>
          </w:tcPr>
          <w:p w14:paraId="192FC2EB" w14:textId="1BD3484C" w:rsidR="008B0FB8" w:rsidRPr="00E66B2D" w:rsidRDefault="008B0FB8" w:rsidP="008B0FB8">
            <w:pPr>
              <w:jc w:val="center"/>
              <w:rPr>
                <w:rFonts w:ascii="Arial" w:hAnsi="Arial" w:cs="Arial"/>
              </w:rPr>
            </w:pPr>
            <w:r>
              <w:rPr>
                <w:rFonts w:ascii="Arial" w:hAnsi="Arial" w:cs="Arial"/>
              </w:rPr>
              <w:t>28</w:t>
            </w:r>
          </w:p>
        </w:tc>
        <w:tc>
          <w:tcPr>
            <w:tcW w:w="1305" w:type="dxa"/>
            <w:tcBorders>
              <w:top w:val="nil"/>
              <w:left w:val="nil"/>
              <w:bottom w:val="nil"/>
              <w:right w:val="nil"/>
            </w:tcBorders>
            <w:shd w:val="clear" w:color="000000" w:fill="FFFFFF"/>
            <w:vAlign w:val="center"/>
            <w:hideMark/>
          </w:tcPr>
          <w:p w14:paraId="58557268" w14:textId="16BB6FD6" w:rsidR="008B0FB8" w:rsidRPr="00E66B2D" w:rsidRDefault="008B0FB8" w:rsidP="008B0FB8">
            <w:pPr>
              <w:jc w:val="center"/>
              <w:rPr>
                <w:rFonts w:ascii="Arial" w:hAnsi="Arial" w:cs="Arial"/>
              </w:rPr>
            </w:pPr>
            <w:r>
              <w:rPr>
                <w:rFonts w:ascii="Arial" w:hAnsi="Arial" w:cs="Arial"/>
              </w:rPr>
              <w:t>25.7</w:t>
            </w:r>
          </w:p>
        </w:tc>
        <w:tc>
          <w:tcPr>
            <w:tcW w:w="1305" w:type="dxa"/>
            <w:tcBorders>
              <w:top w:val="nil"/>
              <w:left w:val="nil"/>
              <w:bottom w:val="nil"/>
              <w:right w:val="single" w:sz="8" w:space="0" w:color="auto"/>
            </w:tcBorders>
            <w:shd w:val="clear" w:color="000000" w:fill="CCCCCC"/>
            <w:vAlign w:val="center"/>
            <w:hideMark/>
          </w:tcPr>
          <w:p w14:paraId="6112F318" w14:textId="2E8821EB" w:rsidR="008B0FB8" w:rsidRPr="00E66B2D" w:rsidRDefault="008B0FB8" w:rsidP="008B0FB8">
            <w:pPr>
              <w:jc w:val="center"/>
              <w:rPr>
                <w:rFonts w:ascii="Arial" w:hAnsi="Arial" w:cs="Arial"/>
              </w:rPr>
            </w:pPr>
            <w:r>
              <w:rPr>
                <w:rFonts w:ascii="Arial" w:hAnsi="Arial" w:cs="Arial"/>
              </w:rPr>
              <w:t>25.7</w:t>
            </w:r>
          </w:p>
        </w:tc>
      </w:tr>
      <w:tr w:rsidR="008B0FB8" w:rsidRPr="00E66B2D" w14:paraId="6FD0C77B"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28F738A6" w14:textId="77777777" w:rsidR="008B0FB8" w:rsidRPr="00E66B2D" w:rsidRDefault="008B0FB8" w:rsidP="008B0FB8">
            <w:pPr>
              <w:rPr>
                <w:rFonts w:ascii="Arial" w:hAnsi="Arial" w:cs="Arial"/>
              </w:rPr>
            </w:pPr>
            <w:r w:rsidRPr="00E66B2D">
              <w:rPr>
                <w:rFonts w:ascii="Arial" w:hAnsi="Arial" w:cs="Arial"/>
              </w:rPr>
              <w:t xml:space="preserve">      Women</w:t>
            </w:r>
          </w:p>
        </w:tc>
        <w:tc>
          <w:tcPr>
            <w:tcW w:w="1246" w:type="dxa"/>
            <w:tcBorders>
              <w:top w:val="nil"/>
              <w:left w:val="single" w:sz="8" w:space="0" w:color="auto"/>
              <w:bottom w:val="nil"/>
              <w:right w:val="nil"/>
            </w:tcBorders>
            <w:shd w:val="clear" w:color="000000" w:fill="FFFFFF"/>
            <w:vAlign w:val="center"/>
            <w:hideMark/>
          </w:tcPr>
          <w:p w14:paraId="2F44FBF7" w14:textId="429E49D6" w:rsidR="008B0FB8" w:rsidRPr="00E66B2D" w:rsidRDefault="008B0FB8" w:rsidP="008B0FB8">
            <w:pPr>
              <w:jc w:val="center"/>
              <w:rPr>
                <w:rFonts w:ascii="Arial" w:hAnsi="Arial" w:cs="Arial"/>
              </w:rPr>
            </w:pPr>
            <w:r>
              <w:rPr>
                <w:rFonts w:ascii="Arial" w:hAnsi="Arial" w:cs="Arial"/>
              </w:rPr>
              <w:t>30.3</w:t>
            </w:r>
          </w:p>
        </w:tc>
        <w:tc>
          <w:tcPr>
            <w:tcW w:w="1170" w:type="dxa"/>
            <w:tcBorders>
              <w:top w:val="nil"/>
              <w:left w:val="nil"/>
              <w:bottom w:val="nil"/>
              <w:right w:val="single" w:sz="8" w:space="0" w:color="auto"/>
            </w:tcBorders>
            <w:shd w:val="clear" w:color="000000" w:fill="CCCCCC"/>
            <w:vAlign w:val="center"/>
            <w:hideMark/>
          </w:tcPr>
          <w:p w14:paraId="04830D66" w14:textId="48689FF2" w:rsidR="008B0FB8" w:rsidRPr="00E66B2D" w:rsidRDefault="008B0FB8" w:rsidP="008B0FB8">
            <w:pPr>
              <w:jc w:val="center"/>
              <w:rPr>
                <w:rFonts w:ascii="Arial" w:hAnsi="Arial" w:cs="Arial"/>
              </w:rPr>
            </w:pPr>
            <w:r>
              <w:rPr>
                <w:rFonts w:ascii="Arial" w:hAnsi="Arial" w:cs="Arial"/>
              </w:rPr>
              <w:t>30.3</w:t>
            </w:r>
          </w:p>
        </w:tc>
        <w:tc>
          <w:tcPr>
            <w:tcW w:w="1151" w:type="dxa"/>
            <w:tcBorders>
              <w:top w:val="nil"/>
              <w:left w:val="nil"/>
              <w:bottom w:val="nil"/>
              <w:right w:val="nil"/>
            </w:tcBorders>
            <w:shd w:val="clear" w:color="000000" w:fill="FFFFFF"/>
            <w:vAlign w:val="center"/>
            <w:hideMark/>
          </w:tcPr>
          <w:p w14:paraId="32A5AD4A" w14:textId="7DE2C8C6" w:rsidR="008B0FB8" w:rsidRPr="00E66B2D" w:rsidRDefault="008B0FB8" w:rsidP="008B0FB8">
            <w:pPr>
              <w:jc w:val="center"/>
              <w:rPr>
                <w:rFonts w:ascii="Arial" w:hAnsi="Arial" w:cs="Arial"/>
              </w:rPr>
            </w:pPr>
            <w:r>
              <w:rPr>
                <w:rFonts w:ascii="Arial" w:hAnsi="Arial" w:cs="Arial"/>
              </w:rPr>
              <w:t>30.3</w:t>
            </w:r>
          </w:p>
        </w:tc>
        <w:tc>
          <w:tcPr>
            <w:tcW w:w="1170" w:type="dxa"/>
            <w:tcBorders>
              <w:top w:val="nil"/>
              <w:left w:val="nil"/>
              <w:bottom w:val="nil"/>
              <w:right w:val="single" w:sz="8" w:space="0" w:color="auto"/>
            </w:tcBorders>
            <w:shd w:val="clear" w:color="000000" w:fill="CCCCCC"/>
            <w:vAlign w:val="center"/>
            <w:hideMark/>
          </w:tcPr>
          <w:p w14:paraId="18F5C24F" w14:textId="4C83A614" w:rsidR="008B0FB8" w:rsidRPr="00E66B2D" w:rsidRDefault="008B0FB8" w:rsidP="008B0FB8">
            <w:pPr>
              <w:jc w:val="center"/>
              <w:rPr>
                <w:rFonts w:ascii="Arial" w:hAnsi="Arial" w:cs="Arial"/>
              </w:rPr>
            </w:pPr>
            <w:r>
              <w:rPr>
                <w:rFonts w:ascii="Arial" w:hAnsi="Arial" w:cs="Arial"/>
              </w:rPr>
              <w:t>30,3</w:t>
            </w:r>
          </w:p>
        </w:tc>
        <w:tc>
          <w:tcPr>
            <w:tcW w:w="1189" w:type="dxa"/>
            <w:tcBorders>
              <w:top w:val="nil"/>
              <w:left w:val="nil"/>
              <w:bottom w:val="nil"/>
              <w:right w:val="nil"/>
            </w:tcBorders>
            <w:shd w:val="clear" w:color="000000" w:fill="FFFFFF"/>
            <w:vAlign w:val="center"/>
            <w:hideMark/>
          </w:tcPr>
          <w:p w14:paraId="272BFCAF" w14:textId="6BE2551C" w:rsidR="008B0FB8" w:rsidRPr="00E66B2D" w:rsidRDefault="008B0FB8" w:rsidP="008B0FB8">
            <w:pPr>
              <w:jc w:val="center"/>
              <w:rPr>
                <w:rFonts w:ascii="Arial" w:hAnsi="Arial" w:cs="Arial"/>
              </w:rPr>
            </w:pPr>
            <w:r>
              <w:rPr>
                <w:rFonts w:ascii="Arial" w:hAnsi="Arial" w:cs="Arial"/>
              </w:rPr>
              <w:t>30.3</w:t>
            </w:r>
          </w:p>
        </w:tc>
        <w:tc>
          <w:tcPr>
            <w:tcW w:w="1074" w:type="dxa"/>
            <w:tcBorders>
              <w:top w:val="nil"/>
              <w:left w:val="nil"/>
              <w:bottom w:val="nil"/>
              <w:right w:val="single" w:sz="8" w:space="0" w:color="auto"/>
            </w:tcBorders>
            <w:shd w:val="clear" w:color="000000" w:fill="CCCCCC"/>
            <w:vAlign w:val="center"/>
            <w:hideMark/>
          </w:tcPr>
          <w:p w14:paraId="5D8990F3" w14:textId="353F2701" w:rsidR="008B0FB8" w:rsidRPr="00E66B2D" w:rsidRDefault="008B0FB8" w:rsidP="008B0FB8">
            <w:pPr>
              <w:jc w:val="center"/>
              <w:rPr>
                <w:rFonts w:ascii="Arial" w:hAnsi="Arial" w:cs="Arial"/>
              </w:rPr>
            </w:pPr>
            <w:r>
              <w:rPr>
                <w:rFonts w:ascii="Arial" w:hAnsi="Arial" w:cs="Arial"/>
              </w:rPr>
              <w:t>30.3</w:t>
            </w:r>
          </w:p>
        </w:tc>
        <w:tc>
          <w:tcPr>
            <w:tcW w:w="1305" w:type="dxa"/>
            <w:tcBorders>
              <w:top w:val="nil"/>
              <w:left w:val="nil"/>
              <w:bottom w:val="nil"/>
              <w:right w:val="nil"/>
            </w:tcBorders>
            <w:shd w:val="clear" w:color="000000" w:fill="FFFFFF"/>
            <w:vAlign w:val="center"/>
            <w:hideMark/>
          </w:tcPr>
          <w:p w14:paraId="018AB025" w14:textId="62037485" w:rsidR="008B0FB8" w:rsidRPr="00E66B2D" w:rsidRDefault="008B0FB8" w:rsidP="008B0FB8">
            <w:pPr>
              <w:jc w:val="center"/>
              <w:rPr>
                <w:rFonts w:ascii="Arial" w:hAnsi="Arial" w:cs="Arial"/>
              </w:rPr>
            </w:pPr>
            <w:r>
              <w:rPr>
                <w:rFonts w:ascii="Arial" w:hAnsi="Arial" w:cs="Arial"/>
              </w:rPr>
              <w:t>28.3</w:t>
            </w:r>
          </w:p>
        </w:tc>
        <w:tc>
          <w:tcPr>
            <w:tcW w:w="1305" w:type="dxa"/>
            <w:tcBorders>
              <w:top w:val="nil"/>
              <w:left w:val="nil"/>
              <w:bottom w:val="nil"/>
              <w:right w:val="single" w:sz="8" w:space="0" w:color="auto"/>
            </w:tcBorders>
            <w:shd w:val="clear" w:color="000000" w:fill="CCCCCC"/>
            <w:vAlign w:val="center"/>
            <w:hideMark/>
          </w:tcPr>
          <w:p w14:paraId="40942434" w14:textId="652A3C7B" w:rsidR="008B0FB8" w:rsidRPr="00E66B2D" w:rsidRDefault="008B0FB8" w:rsidP="008B0FB8">
            <w:pPr>
              <w:jc w:val="center"/>
              <w:rPr>
                <w:rFonts w:ascii="Arial" w:hAnsi="Arial" w:cs="Arial"/>
              </w:rPr>
            </w:pPr>
            <w:r>
              <w:rPr>
                <w:rFonts w:ascii="Arial" w:hAnsi="Arial" w:cs="Arial"/>
              </w:rPr>
              <w:t>28.4</w:t>
            </w:r>
          </w:p>
        </w:tc>
      </w:tr>
      <w:tr w:rsidR="008B0FB8" w:rsidRPr="00E66B2D" w14:paraId="6237F241"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3781BD69" w14:textId="77777777" w:rsidR="008B0FB8" w:rsidRPr="00E66B2D" w:rsidRDefault="008B0FB8" w:rsidP="008B0FB8">
            <w:pPr>
              <w:rPr>
                <w:rFonts w:ascii="Arial" w:hAnsi="Arial" w:cs="Arial"/>
              </w:rPr>
            </w:pPr>
            <w:r w:rsidRPr="00E66B2D">
              <w:rPr>
                <w:rFonts w:ascii="Arial" w:hAnsi="Arial" w:cs="Arial"/>
              </w:rPr>
              <w:t>Rate of inflation: CPI</w:t>
            </w:r>
          </w:p>
        </w:tc>
        <w:tc>
          <w:tcPr>
            <w:tcW w:w="1246" w:type="dxa"/>
            <w:tcBorders>
              <w:top w:val="nil"/>
              <w:left w:val="single" w:sz="8" w:space="0" w:color="auto"/>
              <w:bottom w:val="nil"/>
              <w:right w:val="nil"/>
            </w:tcBorders>
            <w:shd w:val="clear" w:color="000000" w:fill="FFFFFF"/>
            <w:vAlign w:val="center"/>
            <w:hideMark/>
          </w:tcPr>
          <w:p w14:paraId="074C2536" w14:textId="7CA5B333" w:rsidR="008B0FB8" w:rsidRPr="00E66B2D" w:rsidRDefault="008B0FB8" w:rsidP="008B0FB8">
            <w:pPr>
              <w:jc w:val="center"/>
              <w:rPr>
                <w:rFonts w:ascii="Arial" w:hAnsi="Arial" w:cs="Arial"/>
              </w:rPr>
            </w:pPr>
            <w:r>
              <w:rPr>
                <w:rFonts w:ascii="Arial" w:hAnsi="Arial" w:cs="Arial"/>
              </w:rPr>
              <w:t>2.70%</w:t>
            </w:r>
          </w:p>
        </w:tc>
        <w:tc>
          <w:tcPr>
            <w:tcW w:w="1170" w:type="dxa"/>
            <w:tcBorders>
              <w:top w:val="nil"/>
              <w:left w:val="nil"/>
              <w:bottom w:val="nil"/>
              <w:right w:val="single" w:sz="8" w:space="0" w:color="auto"/>
            </w:tcBorders>
            <w:shd w:val="clear" w:color="000000" w:fill="CCCCCC"/>
            <w:vAlign w:val="center"/>
            <w:hideMark/>
          </w:tcPr>
          <w:p w14:paraId="0F3C47B6" w14:textId="40DF6683" w:rsidR="008B0FB8" w:rsidRPr="00E66B2D" w:rsidRDefault="008B0FB8" w:rsidP="008B0FB8">
            <w:pPr>
              <w:jc w:val="center"/>
              <w:rPr>
                <w:rFonts w:ascii="Arial" w:hAnsi="Arial" w:cs="Arial"/>
              </w:rPr>
            </w:pPr>
            <w:r>
              <w:rPr>
                <w:rFonts w:ascii="Arial" w:hAnsi="Arial" w:cs="Arial"/>
              </w:rPr>
              <w:t>2.60%</w:t>
            </w:r>
          </w:p>
        </w:tc>
        <w:tc>
          <w:tcPr>
            <w:tcW w:w="1151" w:type="dxa"/>
            <w:tcBorders>
              <w:top w:val="nil"/>
              <w:left w:val="nil"/>
              <w:bottom w:val="nil"/>
              <w:right w:val="nil"/>
            </w:tcBorders>
            <w:shd w:val="clear" w:color="000000" w:fill="FFFFFF"/>
            <w:vAlign w:val="center"/>
            <w:hideMark/>
          </w:tcPr>
          <w:p w14:paraId="1697C259" w14:textId="410C052F" w:rsidR="008B0FB8" w:rsidRPr="00E66B2D" w:rsidRDefault="008B0FB8" w:rsidP="008B0FB8">
            <w:pPr>
              <w:jc w:val="center"/>
              <w:rPr>
                <w:rFonts w:ascii="Arial" w:hAnsi="Arial" w:cs="Arial"/>
              </w:rPr>
            </w:pPr>
            <w:r>
              <w:rPr>
                <w:rFonts w:ascii="Arial" w:hAnsi="Arial" w:cs="Arial"/>
              </w:rPr>
              <w:t>2.70%</w:t>
            </w:r>
          </w:p>
        </w:tc>
        <w:tc>
          <w:tcPr>
            <w:tcW w:w="1170" w:type="dxa"/>
            <w:tcBorders>
              <w:top w:val="nil"/>
              <w:left w:val="nil"/>
              <w:bottom w:val="nil"/>
              <w:right w:val="single" w:sz="8" w:space="0" w:color="auto"/>
            </w:tcBorders>
            <w:shd w:val="clear" w:color="000000" w:fill="CCCCCC"/>
            <w:vAlign w:val="center"/>
            <w:hideMark/>
          </w:tcPr>
          <w:p w14:paraId="570790C5" w14:textId="11546FD7" w:rsidR="008B0FB8" w:rsidRPr="00E66B2D" w:rsidRDefault="008B0FB8" w:rsidP="008B0FB8">
            <w:pPr>
              <w:jc w:val="center"/>
              <w:rPr>
                <w:rFonts w:ascii="Arial" w:hAnsi="Arial" w:cs="Arial"/>
              </w:rPr>
            </w:pPr>
            <w:r>
              <w:rPr>
                <w:rFonts w:ascii="Arial" w:hAnsi="Arial" w:cs="Arial"/>
              </w:rPr>
              <w:t>2.60%</w:t>
            </w:r>
          </w:p>
        </w:tc>
        <w:tc>
          <w:tcPr>
            <w:tcW w:w="1189" w:type="dxa"/>
            <w:tcBorders>
              <w:top w:val="nil"/>
              <w:left w:val="nil"/>
              <w:bottom w:val="nil"/>
              <w:right w:val="nil"/>
            </w:tcBorders>
            <w:shd w:val="clear" w:color="000000" w:fill="FFFFFF"/>
            <w:vAlign w:val="center"/>
            <w:hideMark/>
          </w:tcPr>
          <w:p w14:paraId="5849B77F" w14:textId="6813261C" w:rsidR="008B0FB8" w:rsidRPr="00E66B2D" w:rsidRDefault="008B0FB8" w:rsidP="008B0FB8">
            <w:pPr>
              <w:jc w:val="center"/>
              <w:rPr>
                <w:rFonts w:ascii="Arial" w:hAnsi="Arial" w:cs="Arial"/>
              </w:rPr>
            </w:pPr>
            <w:r>
              <w:rPr>
                <w:rFonts w:ascii="Arial" w:hAnsi="Arial" w:cs="Arial"/>
              </w:rPr>
              <w:t>2.70%</w:t>
            </w:r>
          </w:p>
        </w:tc>
        <w:tc>
          <w:tcPr>
            <w:tcW w:w="1074" w:type="dxa"/>
            <w:tcBorders>
              <w:top w:val="nil"/>
              <w:left w:val="nil"/>
              <w:bottom w:val="nil"/>
              <w:right w:val="single" w:sz="8" w:space="0" w:color="auto"/>
            </w:tcBorders>
            <w:shd w:val="clear" w:color="000000" w:fill="CCCCCC"/>
            <w:vAlign w:val="center"/>
            <w:hideMark/>
          </w:tcPr>
          <w:p w14:paraId="1F116C7D" w14:textId="2DA4652D" w:rsidR="008B0FB8" w:rsidRPr="00E66B2D" w:rsidRDefault="008B0FB8" w:rsidP="008B0FB8">
            <w:pPr>
              <w:jc w:val="center"/>
              <w:rPr>
                <w:rFonts w:ascii="Arial" w:hAnsi="Arial" w:cs="Arial"/>
              </w:rPr>
            </w:pPr>
            <w:r>
              <w:rPr>
                <w:rFonts w:ascii="Arial" w:hAnsi="Arial" w:cs="Arial"/>
              </w:rPr>
              <w:t>2.60%</w:t>
            </w:r>
          </w:p>
        </w:tc>
        <w:tc>
          <w:tcPr>
            <w:tcW w:w="1305" w:type="dxa"/>
            <w:tcBorders>
              <w:top w:val="nil"/>
              <w:left w:val="nil"/>
              <w:bottom w:val="nil"/>
              <w:right w:val="nil"/>
            </w:tcBorders>
            <w:shd w:val="clear" w:color="000000" w:fill="FFFFFF"/>
            <w:vAlign w:val="center"/>
            <w:hideMark/>
          </w:tcPr>
          <w:p w14:paraId="7A7BB9B8" w14:textId="65D4713C" w:rsidR="008B0FB8" w:rsidRPr="00E66B2D" w:rsidRDefault="008B0FB8" w:rsidP="008B0FB8">
            <w:pPr>
              <w:jc w:val="center"/>
              <w:rPr>
                <w:rFonts w:ascii="Arial" w:hAnsi="Arial" w:cs="Arial"/>
              </w:rPr>
            </w:pPr>
            <w:r>
              <w:rPr>
                <w:rFonts w:ascii="Arial" w:hAnsi="Arial" w:cs="Arial"/>
              </w:rPr>
              <w:t>2.70%</w:t>
            </w:r>
          </w:p>
        </w:tc>
        <w:tc>
          <w:tcPr>
            <w:tcW w:w="1305" w:type="dxa"/>
            <w:tcBorders>
              <w:top w:val="nil"/>
              <w:left w:val="nil"/>
              <w:bottom w:val="nil"/>
              <w:right w:val="single" w:sz="8" w:space="0" w:color="auto"/>
            </w:tcBorders>
            <w:shd w:val="clear" w:color="000000" w:fill="CCCCCC"/>
            <w:vAlign w:val="center"/>
            <w:hideMark/>
          </w:tcPr>
          <w:p w14:paraId="7790BE87" w14:textId="4B12890F" w:rsidR="008B0FB8" w:rsidRPr="00E66B2D" w:rsidRDefault="008B0FB8" w:rsidP="008B0FB8">
            <w:pPr>
              <w:jc w:val="center"/>
              <w:rPr>
                <w:rFonts w:ascii="Arial" w:hAnsi="Arial" w:cs="Arial"/>
              </w:rPr>
            </w:pPr>
            <w:r>
              <w:rPr>
                <w:rFonts w:ascii="Arial" w:hAnsi="Arial" w:cs="Arial"/>
              </w:rPr>
              <w:t>2.60%</w:t>
            </w:r>
          </w:p>
        </w:tc>
      </w:tr>
      <w:tr w:rsidR="008B0FB8" w:rsidRPr="00E66B2D" w14:paraId="3788338F"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175599F5" w14:textId="77777777" w:rsidR="008B0FB8" w:rsidRPr="00E66B2D" w:rsidRDefault="008B0FB8" w:rsidP="008B0FB8">
            <w:pPr>
              <w:rPr>
                <w:rFonts w:ascii="Arial" w:hAnsi="Arial" w:cs="Arial"/>
              </w:rPr>
            </w:pPr>
            <w:r w:rsidRPr="00E66B2D">
              <w:rPr>
                <w:rFonts w:ascii="Arial" w:hAnsi="Arial" w:cs="Arial"/>
              </w:rPr>
              <w:t>Rate of increase in salaries</w:t>
            </w:r>
          </w:p>
        </w:tc>
        <w:tc>
          <w:tcPr>
            <w:tcW w:w="1246" w:type="dxa"/>
            <w:tcBorders>
              <w:top w:val="nil"/>
              <w:left w:val="single" w:sz="8" w:space="0" w:color="auto"/>
              <w:bottom w:val="nil"/>
              <w:right w:val="nil"/>
            </w:tcBorders>
            <w:shd w:val="clear" w:color="000000" w:fill="FFFFFF"/>
            <w:vAlign w:val="center"/>
            <w:hideMark/>
          </w:tcPr>
          <w:p w14:paraId="4A000686" w14:textId="03F9DA33" w:rsidR="008B0FB8" w:rsidRPr="00E66B2D" w:rsidRDefault="008B0FB8" w:rsidP="008B0FB8">
            <w:pPr>
              <w:jc w:val="center"/>
              <w:rPr>
                <w:rFonts w:ascii="Arial" w:hAnsi="Arial" w:cs="Arial"/>
              </w:rPr>
            </w:pPr>
            <w:r>
              <w:rPr>
                <w:rFonts w:ascii="Arial" w:hAnsi="Arial" w:cs="Arial"/>
              </w:rPr>
              <w:t>4.20%</w:t>
            </w:r>
          </w:p>
        </w:tc>
        <w:tc>
          <w:tcPr>
            <w:tcW w:w="1170" w:type="dxa"/>
            <w:tcBorders>
              <w:top w:val="nil"/>
              <w:left w:val="nil"/>
              <w:bottom w:val="nil"/>
              <w:right w:val="single" w:sz="8" w:space="0" w:color="auto"/>
            </w:tcBorders>
            <w:shd w:val="clear" w:color="000000" w:fill="CCCCCC"/>
            <w:vAlign w:val="center"/>
            <w:hideMark/>
          </w:tcPr>
          <w:p w14:paraId="7E071732" w14:textId="2FA530CC" w:rsidR="008B0FB8" w:rsidRPr="00E66B2D" w:rsidRDefault="008B0FB8" w:rsidP="008B0FB8">
            <w:pPr>
              <w:jc w:val="center"/>
              <w:rPr>
                <w:rFonts w:ascii="Arial" w:hAnsi="Arial" w:cs="Arial"/>
              </w:rPr>
            </w:pPr>
            <w:r>
              <w:rPr>
                <w:rFonts w:ascii="Arial" w:hAnsi="Arial" w:cs="Arial"/>
              </w:rPr>
              <w:t>4.10%</w:t>
            </w:r>
          </w:p>
        </w:tc>
        <w:tc>
          <w:tcPr>
            <w:tcW w:w="1151" w:type="dxa"/>
            <w:tcBorders>
              <w:top w:val="nil"/>
              <w:left w:val="nil"/>
              <w:bottom w:val="nil"/>
              <w:right w:val="nil"/>
            </w:tcBorders>
            <w:shd w:val="clear" w:color="000000" w:fill="FFFFFF"/>
            <w:vAlign w:val="center"/>
            <w:hideMark/>
          </w:tcPr>
          <w:p w14:paraId="7111D52B" w14:textId="186091EF" w:rsidR="008B0FB8" w:rsidRPr="00E66B2D" w:rsidRDefault="008B0FB8" w:rsidP="008B0FB8">
            <w:pPr>
              <w:jc w:val="center"/>
              <w:rPr>
                <w:rFonts w:ascii="Arial" w:hAnsi="Arial" w:cs="Arial"/>
              </w:rPr>
            </w:pPr>
            <w:r>
              <w:rPr>
                <w:rFonts w:ascii="Arial" w:hAnsi="Arial" w:cs="Arial"/>
              </w:rPr>
              <w:t>4.20%</w:t>
            </w:r>
          </w:p>
        </w:tc>
        <w:tc>
          <w:tcPr>
            <w:tcW w:w="1170" w:type="dxa"/>
            <w:tcBorders>
              <w:top w:val="nil"/>
              <w:left w:val="nil"/>
              <w:bottom w:val="nil"/>
              <w:right w:val="single" w:sz="8" w:space="0" w:color="auto"/>
            </w:tcBorders>
            <w:shd w:val="clear" w:color="000000" w:fill="CCCCCC"/>
            <w:vAlign w:val="center"/>
            <w:hideMark/>
          </w:tcPr>
          <w:p w14:paraId="542BC423" w14:textId="51B87465" w:rsidR="008B0FB8" w:rsidRPr="00E66B2D" w:rsidRDefault="008B0FB8" w:rsidP="008B0FB8">
            <w:pPr>
              <w:jc w:val="center"/>
              <w:rPr>
                <w:rFonts w:ascii="Arial" w:hAnsi="Arial" w:cs="Arial"/>
              </w:rPr>
            </w:pPr>
            <w:r>
              <w:rPr>
                <w:rFonts w:ascii="Arial" w:hAnsi="Arial" w:cs="Arial"/>
              </w:rPr>
              <w:t>4.10%</w:t>
            </w:r>
          </w:p>
        </w:tc>
        <w:tc>
          <w:tcPr>
            <w:tcW w:w="1189" w:type="dxa"/>
            <w:tcBorders>
              <w:top w:val="nil"/>
              <w:left w:val="nil"/>
              <w:bottom w:val="nil"/>
              <w:right w:val="nil"/>
            </w:tcBorders>
            <w:shd w:val="clear" w:color="000000" w:fill="FFFFFF"/>
            <w:vAlign w:val="center"/>
            <w:hideMark/>
          </w:tcPr>
          <w:p w14:paraId="2E1053C0" w14:textId="028EEC07" w:rsidR="008B0FB8" w:rsidRPr="00E66B2D" w:rsidRDefault="008B0FB8" w:rsidP="008B0FB8">
            <w:pPr>
              <w:jc w:val="center"/>
              <w:rPr>
                <w:rFonts w:ascii="Arial" w:hAnsi="Arial" w:cs="Arial"/>
                <w:color w:val="000000"/>
              </w:rPr>
            </w:pPr>
            <w:r>
              <w:rPr>
                <w:rFonts w:ascii="Arial" w:hAnsi="Arial" w:cs="Arial"/>
                <w:color w:val="000000"/>
              </w:rPr>
              <w:t>n/a</w:t>
            </w:r>
          </w:p>
        </w:tc>
        <w:tc>
          <w:tcPr>
            <w:tcW w:w="1074" w:type="dxa"/>
            <w:tcBorders>
              <w:top w:val="nil"/>
              <w:left w:val="nil"/>
              <w:bottom w:val="nil"/>
              <w:right w:val="single" w:sz="8" w:space="0" w:color="auto"/>
            </w:tcBorders>
            <w:shd w:val="clear" w:color="000000" w:fill="CCCCCC"/>
            <w:vAlign w:val="center"/>
            <w:hideMark/>
          </w:tcPr>
          <w:p w14:paraId="4369A8D8" w14:textId="1164BB7F" w:rsidR="008B0FB8" w:rsidRPr="00E66B2D" w:rsidRDefault="008B0FB8" w:rsidP="008B0FB8">
            <w:pPr>
              <w:jc w:val="center"/>
              <w:rPr>
                <w:rFonts w:ascii="Arial" w:hAnsi="Arial" w:cs="Arial"/>
              </w:rPr>
            </w:pPr>
            <w:r>
              <w:rPr>
                <w:rFonts w:ascii="Arial" w:hAnsi="Arial" w:cs="Arial"/>
              </w:rPr>
              <w:t>n/a</w:t>
            </w:r>
          </w:p>
        </w:tc>
        <w:tc>
          <w:tcPr>
            <w:tcW w:w="1305" w:type="dxa"/>
            <w:tcBorders>
              <w:top w:val="nil"/>
              <w:left w:val="nil"/>
              <w:bottom w:val="nil"/>
              <w:right w:val="nil"/>
            </w:tcBorders>
            <w:shd w:val="clear" w:color="000000" w:fill="FFFFFF"/>
            <w:vAlign w:val="center"/>
            <w:hideMark/>
          </w:tcPr>
          <w:p w14:paraId="477F33DF" w14:textId="398158F4" w:rsidR="008B0FB8" w:rsidRPr="00E66B2D" w:rsidRDefault="008B0FB8" w:rsidP="008B0FB8">
            <w:pPr>
              <w:jc w:val="center"/>
              <w:rPr>
                <w:rFonts w:ascii="Arial" w:hAnsi="Arial" w:cs="Arial"/>
              </w:rPr>
            </w:pPr>
            <w:r>
              <w:rPr>
                <w:rFonts w:ascii="Arial" w:hAnsi="Arial" w:cs="Arial"/>
              </w:rPr>
              <w:t>4.20%</w:t>
            </w:r>
          </w:p>
        </w:tc>
        <w:tc>
          <w:tcPr>
            <w:tcW w:w="1305" w:type="dxa"/>
            <w:tcBorders>
              <w:top w:val="nil"/>
              <w:left w:val="nil"/>
              <w:bottom w:val="nil"/>
              <w:right w:val="single" w:sz="8" w:space="0" w:color="auto"/>
            </w:tcBorders>
            <w:shd w:val="clear" w:color="000000" w:fill="CCCCCC"/>
            <w:vAlign w:val="center"/>
            <w:hideMark/>
          </w:tcPr>
          <w:p w14:paraId="75F5BDD6" w14:textId="1E0CFD97" w:rsidR="008B0FB8" w:rsidRPr="00E66B2D" w:rsidRDefault="008B0FB8" w:rsidP="008B0FB8">
            <w:pPr>
              <w:jc w:val="center"/>
              <w:rPr>
                <w:rFonts w:ascii="Arial" w:hAnsi="Arial" w:cs="Arial"/>
              </w:rPr>
            </w:pPr>
            <w:r>
              <w:rPr>
                <w:rFonts w:ascii="Arial" w:hAnsi="Arial" w:cs="Arial"/>
              </w:rPr>
              <w:t>4.10%</w:t>
            </w:r>
          </w:p>
        </w:tc>
      </w:tr>
      <w:tr w:rsidR="008B0FB8" w:rsidRPr="00E66B2D" w14:paraId="1D676175"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7F2ED0E2" w14:textId="77777777" w:rsidR="008B0FB8" w:rsidRPr="00E66B2D" w:rsidRDefault="008B0FB8" w:rsidP="008B0FB8">
            <w:pPr>
              <w:rPr>
                <w:rFonts w:ascii="Arial" w:hAnsi="Arial" w:cs="Arial"/>
              </w:rPr>
            </w:pPr>
            <w:r w:rsidRPr="00E66B2D">
              <w:rPr>
                <w:rFonts w:ascii="Arial" w:hAnsi="Arial" w:cs="Arial"/>
              </w:rPr>
              <w:t>Rate of increase in pensions</w:t>
            </w:r>
          </w:p>
        </w:tc>
        <w:tc>
          <w:tcPr>
            <w:tcW w:w="1246" w:type="dxa"/>
            <w:tcBorders>
              <w:top w:val="nil"/>
              <w:left w:val="single" w:sz="8" w:space="0" w:color="auto"/>
              <w:bottom w:val="nil"/>
              <w:right w:val="nil"/>
            </w:tcBorders>
            <w:shd w:val="clear" w:color="000000" w:fill="FFFFFF"/>
            <w:vAlign w:val="center"/>
            <w:hideMark/>
          </w:tcPr>
          <w:p w14:paraId="4210696F" w14:textId="2B426AEF" w:rsidR="008B0FB8" w:rsidRPr="00E66B2D" w:rsidRDefault="008B0FB8" w:rsidP="008B0FB8">
            <w:pPr>
              <w:jc w:val="center"/>
              <w:rPr>
                <w:rFonts w:ascii="Arial" w:hAnsi="Arial" w:cs="Arial"/>
              </w:rPr>
            </w:pPr>
            <w:r>
              <w:rPr>
                <w:rFonts w:ascii="Arial" w:hAnsi="Arial" w:cs="Arial"/>
              </w:rPr>
              <w:t>2.80%</w:t>
            </w:r>
          </w:p>
        </w:tc>
        <w:tc>
          <w:tcPr>
            <w:tcW w:w="1170" w:type="dxa"/>
            <w:tcBorders>
              <w:top w:val="nil"/>
              <w:left w:val="nil"/>
              <w:bottom w:val="nil"/>
              <w:right w:val="single" w:sz="8" w:space="0" w:color="auto"/>
            </w:tcBorders>
            <w:shd w:val="clear" w:color="000000" w:fill="CCCCCC"/>
            <w:vAlign w:val="center"/>
            <w:hideMark/>
          </w:tcPr>
          <w:p w14:paraId="0AA9A091" w14:textId="4A0FCC16" w:rsidR="008B0FB8" w:rsidRPr="00E66B2D" w:rsidRDefault="008B0FB8" w:rsidP="008B0FB8">
            <w:pPr>
              <w:jc w:val="center"/>
              <w:rPr>
                <w:rFonts w:ascii="Arial" w:hAnsi="Arial" w:cs="Arial"/>
              </w:rPr>
            </w:pPr>
            <w:r>
              <w:rPr>
                <w:rFonts w:ascii="Arial" w:hAnsi="Arial" w:cs="Arial"/>
              </w:rPr>
              <w:t>2.70%</w:t>
            </w:r>
          </w:p>
        </w:tc>
        <w:tc>
          <w:tcPr>
            <w:tcW w:w="1151" w:type="dxa"/>
            <w:tcBorders>
              <w:top w:val="nil"/>
              <w:left w:val="nil"/>
              <w:bottom w:val="nil"/>
              <w:right w:val="nil"/>
            </w:tcBorders>
            <w:shd w:val="clear" w:color="000000" w:fill="FFFFFF"/>
            <w:vAlign w:val="center"/>
            <w:hideMark/>
          </w:tcPr>
          <w:p w14:paraId="28819AF7" w14:textId="58B6A39F" w:rsidR="008B0FB8" w:rsidRPr="00E66B2D" w:rsidRDefault="008B0FB8" w:rsidP="008B0FB8">
            <w:pPr>
              <w:jc w:val="center"/>
              <w:rPr>
                <w:rFonts w:ascii="Arial" w:hAnsi="Arial" w:cs="Arial"/>
              </w:rPr>
            </w:pPr>
            <w:r>
              <w:rPr>
                <w:rFonts w:ascii="Arial" w:hAnsi="Arial" w:cs="Arial"/>
              </w:rPr>
              <w:t>2.80%</w:t>
            </w:r>
          </w:p>
        </w:tc>
        <w:tc>
          <w:tcPr>
            <w:tcW w:w="1170" w:type="dxa"/>
            <w:tcBorders>
              <w:top w:val="nil"/>
              <w:left w:val="nil"/>
              <w:bottom w:val="nil"/>
              <w:right w:val="single" w:sz="8" w:space="0" w:color="auto"/>
            </w:tcBorders>
            <w:shd w:val="clear" w:color="000000" w:fill="CCCCCC"/>
            <w:vAlign w:val="center"/>
            <w:hideMark/>
          </w:tcPr>
          <w:p w14:paraId="0F22C9BA" w14:textId="0385BDC2" w:rsidR="008B0FB8" w:rsidRPr="00E66B2D" w:rsidRDefault="008B0FB8" w:rsidP="008B0FB8">
            <w:pPr>
              <w:jc w:val="center"/>
              <w:rPr>
                <w:rFonts w:ascii="Arial" w:hAnsi="Arial" w:cs="Arial"/>
              </w:rPr>
            </w:pPr>
            <w:r>
              <w:rPr>
                <w:rFonts w:ascii="Arial" w:hAnsi="Arial" w:cs="Arial"/>
              </w:rPr>
              <w:t>2.70%</w:t>
            </w:r>
          </w:p>
        </w:tc>
        <w:tc>
          <w:tcPr>
            <w:tcW w:w="1189" w:type="dxa"/>
            <w:tcBorders>
              <w:top w:val="nil"/>
              <w:left w:val="nil"/>
              <w:bottom w:val="nil"/>
              <w:right w:val="nil"/>
            </w:tcBorders>
            <w:shd w:val="clear" w:color="000000" w:fill="FFFFFF"/>
            <w:vAlign w:val="center"/>
            <w:hideMark/>
          </w:tcPr>
          <w:p w14:paraId="44A1AFCC" w14:textId="329EBBDD" w:rsidR="008B0FB8" w:rsidRPr="00E66B2D" w:rsidRDefault="008B0FB8" w:rsidP="008B0FB8">
            <w:pPr>
              <w:jc w:val="center"/>
              <w:rPr>
                <w:rFonts w:ascii="Arial" w:hAnsi="Arial" w:cs="Arial"/>
              </w:rPr>
            </w:pPr>
            <w:r>
              <w:rPr>
                <w:rFonts w:ascii="Arial" w:hAnsi="Arial" w:cs="Arial"/>
              </w:rPr>
              <w:t>2.80%</w:t>
            </w:r>
          </w:p>
        </w:tc>
        <w:tc>
          <w:tcPr>
            <w:tcW w:w="1074" w:type="dxa"/>
            <w:tcBorders>
              <w:top w:val="nil"/>
              <w:left w:val="nil"/>
              <w:bottom w:val="nil"/>
              <w:right w:val="single" w:sz="8" w:space="0" w:color="auto"/>
            </w:tcBorders>
            <w:shd w:val="clear" w:color="000000" w:fill="CCCCCC"/>
            <w:vAlign w:val="center"/>
            <w:hideMark/>
          </w:tcPr>
          <w:p w14:paraId="09E20D0A" w14:textId="3D8FF2FA" w:rsidR="008B0FB8" w:rsidRPr="00E66B2D" w:rsidRDefault="008B0FB8" w:rsidP="008B0FB8">
            <w:pPr>
              <w:jc w:val="center"/>
              <w:rPr>
                <w:rFonts w:ascii="Arial" w:hAnsi="Arial" w:cs="Arial"/>
              </w:rPr>
            </w:pPr>
            <w:r>
              <w:rPr>
                <w:rFonts w:ascii="Arial" w:hAnsi="Arial" w:cs="Arial"/>
              </w:rPr>
              <w:t>2.70%</w:t>
            </w:r>
          </w:p>
        </w:tc>
        <w:tc>
          <w:tcPr>
            <w:tcW w:w="1305" w:type="dxa"/>
            <w:tcBorders>
              <w:top w:val="nil"/>
              <w:left w:val="nil"/>
              <w:bottom w:val="nil"/>
              <w:right w:val="nil"/>
            </w:tcBorders>
            <w:shd w:val="clear" w:color="000000" w:fill="FFFFFF"/>
            <w:vAlign w:val="center"/>
            <w:hideMark/>
          </w:tcPr>
          <w:p w14:paraId="401AE9A3" w14:textId="1AC05C51" w:rsidR="008B0FB8" w:rsidRPr="00E66B2D" w:rsidRDefault="008B0FB8" w:rsidP="008B0FB8">
            <w:pPr>
              <w:jc w:val="center"/>
              <w:rPr>
                <w:rFonts w:ascii="Arial" w:hAnsi="Arial" w:cs="Arial"/>
              </w:rPr>
            </w:pPr>
            <w:r>
              <w:rPr>
                <w:rFonts w:ascii="Arial" w:hAnsi="Arial" w:cs="Arial"/>
              </w:rPr>
              <w:t>2.80%</w:t>
            </w:r>
          </w:p>
        </w:tc>
        <w:tc>
          <w:tcPr>
            <w:tcW w:w="1305" w:type="dxa"/>
            <w:tcBorders>
              <w:top w:val="nil"/>
              <w:left w:val="nil"/>
              <w:bottom w:val="nil"/>
              <w:right w:val="single" w:sz="8" w:space="0" w:color="auto"/>
            </w:tcBorders>
            <w:shd w:val="clear" w:color="000000" w:fill="CCCCCC"/>
            <w:vAlign w:val="center"/>
            <w:hideMark/>
          </w:tcPr>
          <w:p w14:paraId="6381E41C" w14:textId="4B802E81" w:rsidR="008B0FB8" w:rsidRPr="00E66B2D" w:rsidRDefault="008B0FB8" w:rsidP="008B0FB8">
            <w:pPr>
              <w:jc w:val="center"/>
              <w:rPr>
                <w:rFonts w:ascii="Arial" w:hAnsi="Arial" w:cs="Arial"/>
              </w:rPr>
            </w:pPr>
            <w:r>
              <w:rPr>
                <w:rFonts w:ascii="Arial" w:hAnsi="Arial" w:cs="Arial"/>
              </w:rPr>
              <w:t>2.70%</w:t>
            </w:r>
          </w:p>
        </w:tc>
      </w:tr>
      <w:tr w:rsidR="008B0FB8" w:rsidRPr="00E66B2D" w14:paraId="052BA7E6" w14:textId="77777777" w:rsidTr="008B0FB8">
        <w:trPr>
          <w:trHeight w:val="300"/>
        </w:trPr>
        <w:tc>
          <w:tcPr>
            <w:tcW w:w="4348" w:type="dxa"/>
            <w:tcBorders>
              <w:top w:val="nil"/>
              <w:left w:val="single" w:sz="8" w:space="0" w:color="auto"/>
              <w:bottom w:val="nil"/>
              <w:right w:val="nil"/>
            </w:tcBorders>
            <w:shd w:val="clear" w:color="000000" w:fill="FFFFFF"/>
            <w:vAlign w:val="center"/>
            <w:hideMark/>
          </w:tcPr>
          <w:p w14:paraId="22129262" w14:textId="77777777" w:rsidR="008B0FB8" w:rsidRPr="00E66B2D" w:rsidRDefault="008B0FB8" w:rsidP="008B0FB8">
            <w:pPr>
              <w:rPr>
                <w:rFonts w:ascii="Arial" w:hAnsi="Arial" w:cs="Arial"/>
              </w:rPr>
            </w:pPr>
            <w:r w:rsidRPr="00E66B2D">
              <w:rPr>
                <w:rFonts w:ascii="Arial" w:hAnsi="Arial" w:cs="Arial"/>
              </w:rPr>
              <w:t>Rate of revaluation of CARE pensions</w:t>
            </w:r>
          </w:p>
        </w:tc>
        <w:tc>
          <w:tcPr>
            <w:tcW w:w="1246" w:type="dxa"/>
            <w:tcBorders>
              <w:top w:val="nil"/>
              <w:left w:val="single" w:sz="8" w:space="0" w:color="auto"/>
              <w:bottom w:val="nil"/>
              <w:right w:val="nil"/>
            </w:tcBorders>
            <w:shd w:val="clear" w:color="000000" w:fill="FFFFFF"/>
            <w:vAlign w:val="center"/>
            <w:hideMark/>
          </w:tcPr>
          <w:p w14:paraId="3D867B04" w14:textId="78AE1A67" w:rsidR="008B0FB8" w:rsidRPr="00E66B2D" w:rsidRDefault="008B0FB8" w:rsidP="008B0FB8">
            <w:pPr>
              <w:jc w:val="center"/>
              <w:rPr>
                <w:rFonts w:ascii="Arial" w:hAnsi="Arial" w:cs="Arial"/>
                <w:color w:val="000000"/>
              </w:rPr>
            </w:pPr>
            <w:r>
              <w:rPr>
                <w:rFonts w:ascii="Arial" w:hAnsi="Arial" w:cs="Arial"/>
                <w:color w:val="000000"/>
              </w:rPr>
              <w:t>n/a</w:t>
            </w:r>
          </w:p>
        </w:tc>
        <w:tc>
          <w:tcPr>
            <w:tcW w:w="1170" w:type="dxa"/>
            <w:tcBorders>
              <w:top w:val="nil"/>
              <w:left w:val="nil"/>
              <w:bottom w:val="nil"/>
              <w:right w:val="single" w:sz="8" w:space="0" w:color="auto"/>
            </w:tcBorders>
            <w:shd w:val="clear" w:color="000000" w:fill="CCCCCC"/>
            <w:vAlign w:val="center"/>
            <w:hideMark/>
          </w:tcPr>
          <w:p w14:paraId="6B2A11E1" w14:textId="5D899A7D" w:rsidR="008B0FB8" w:rsidRPr="00E66B2D" w:rsidRDefault="008B0FB8" w:rsidP="008B0FB8">
            <w:pPr>
              <w:jc w:val="center"/>
              <w:rPr>
                <w:rFonts w:ascii="Arial" w:hAnsi="Arial" w:cs="Arial"/>
              </w:rPr>
            </w:pPr>
            <w:r>
              <w:rPr>
                <w:rFonts w:ascii="Arial" w:hAnsi="Arial" w:cs="Arial"/>
              </w:rPr>
              <w:t>n/a</w:t>
            </w:r>
          </w:p>
        </w:tc>
        <w:tc>
          <w:tcPr>
            <w:tcW w:w="1151" w:type="dxa"/>
            <w:tcBorders>
              <w:top w:val="nil"/>
              <w:left w:val="nil"/>
              <w:bottom w:val="nil"/>
              <w:right w:val="nil"/>
            </w:tcBorders>
            <w:shd w:val="clear" w:color="000000" w:fill="FFFFFF"/>
            <w:vAlign w:val="center"/>
            <w:hideMark/>
          </w:tcPr>
          <w:p w14:paraId="47FCE53D" w14:textId="1657B22C" w:rsidR="008B0FB8" w:rsidRPr="00E66B2D" w:rsidRDefault="008B0FB8" w:rsidP="008B0FB8">
            <w:pPr>
              <w:jc w:val="center"/>
              <w:rPr>
                <w:rFonts w:ascii="Arial" w:hAnsi="Arial" w:cs="Arial"/>
                <w:color w:val="000000"/>
              </w:rPr>
            </w:pPr>
            <w:r>
              <w:rPr>
                <w:rFonts w:ascii="Arial" w:hAnsi="Arial" w:cs="Arial"/>
                <w:color w:val="000000"/>
              </w:rPr>
              <w:t>n/a</w:t>
            </w:r>
          </w:p>
        </w:tc>
        <w:tc>
          <w:tcPr>
            <w:tcW w:w="1170" w:type="dxa"/>
            <w:tcBorders>
              <w:top w:val="nil"/>
              <w:left w:val="nil"/>
              <w:bottom w:val="nil"/>
              <w:right w:val="single" w:sz="8" w:space="0" w:color="auto"/>
            </w:tcBorders>
            <w:shd w:val="clear" w:color="000000" w:fill="CCCCCC"/>
            <w:vAlign w:val="center"/>
            <w:hideMark/>
          </w:tcPr>
          <w:p w14:paraId="4BF342C8" w14:textId="653FBBC6" w:rsidR="008B0FB8" w:rsidRPr="00E66B2D" w:rsidRDefault="008B0FB8" w:rsidP="008B0FB8">
            <w:pPr>
              <w:jc w:val="center"/>
              <w:rPr>
                <w:rFonts w:ascii="Arial" w:hAnsi="Arial" w:cs="Arial"/>
              </w:rPr>
            </w:pPr>
            <w:r>
              <w:rPr>
                <w:rFonts w:ascii="Arial" w:hAnsi="Arial" w:cs="Arial"/>
              </w:rPr>
              <w:t>n/a</w:t>
            </w:r>
          </w:p>
        </w:tc>
        <w:tc>
          <w:tcPr>
            <w:tcW w:w="1189" w:type="dxa"/>
            <w:tcBorders>
              <w:top w:val="nil"/>
              <w:left w:val="nil"/>
              <w:bottom w:val="nil"/>
              <w:right w:val="nil"/>
            </w:tcBorders>
            <w:shd w:val="clear" w:color="000000" w:fill="FFFFFF"/>
            <w:vAlign w:val="center"/>
            <w:hideMark/>
          </w:tcPr>
          <w:p w14:paraId="4E55C287" w14:textId="5CF75E45" w:rsidR="008B0FB8" w:rsidRPr="00E66B2D" w:rsidRDefault="008B0FB8" w:rsidP="008B0FB8">
            <w:pPr>
              <w:jc w:val="center"/>
              <w:rPr>
                <w:rFonts w:ascii="Arial" w:hAnsi="Arial" w:cs="Arial"/>
              </w:rPr>
            </w:pPr>
            <w:r>
              <w:rPr>
                <w:rFonts w:ascii="Arial" w:hAnsi="Arial" w:cs="Arial"/>
              </w:rPr>
              <w:t>3.95%</w:t>
            </w:r>
          </w:p>
        </w:tc>
        <w:tc>
          <w:tcPr>
            <w:tcW w:w="1074" w:type="dxa"/>
            <w:tcBorders>
              <w:top w:val="nil"/>
              <w:left w:val="nil"/>
              <w:bottom w:val="nil"/>
              <w:right w:val="single" w:sz="8" w:space="0" w:color="auto"/>
            </w:tcBorders>
            <w:shd w:val="clear" w:color="000000" w:fill="CCCCCC"/>
            <w:vAlign w:val="center"/>
            <w:hideMark/>
          </w:tcPr>
          <w:p w14:paraId="4B14A702" w14:textId="23ED98DF" w:rsidR="008B0FB8" w:rsidRPr="00E66B2D" w:rsidRDefault="008B0FB8" w:rsidP="008B0FB8">
            <w:pPr>
              <w:jc w:val="center"/>
              <w:rPr>
                <w:rFonts w:ascii="Arial" w:hAnsi="Arial" w:cs="Arial"/>
              </w:rPr>
            </w:pPr>
            <w:r>
              <w:rPr>
                <w:rFonts w:ascii="Arial" w:hAnsi="Arial" w:cs="Arial"/>
              </w:rPr>
              <w:t>3.85%</w:t>
            </w:r>
          </w:p>
        </w:tc>
        <w:tc>
          <w:tcPr>
            <w:tcW w:w="1305" w:type="dxa"/>
            <w:tcBorders>
              <w:top w:val="nil"/>
              <w:left w:val="nil"/>
              <w:bottom w:val="nil"/>
              <w:right w:val="nil"/>
            </w:tcBorders>
            <w:shd w:val="clear" w:color="000000" w:fill="FFFFFF"/>
            <w:vAlign w:val="center"/>
            <w:hideMark/>
          </w:tcPr>
          <w:p w14:paraId="7257DC21" w14:textId="5A80466D" w:rsidR="008B0FB8" w:rsidRPr="00E66B2D" w:rsidRDefault="008B0FB8" w:rsidP="008B0FB8">
            <w:pPr>
              <w:jc w:val="center"/>
              <w:rPr>
                <w:rFonts w:ascii="Arial" w:hAnsi="Arial" w:cs="Arial"/>
                <w:color w:val="000000"/>
              </w:rPr>
            </w:pPr>
            <w:r>
              <w:rPr>
                <w:rFonts w:ascii="Arial" w:hAnsi="Arial" w:cs="Arial"/>
                <w:color w:val="000000"/>
              </w:rPr>
              <w:t>n/a</w:t>
            </w:r>
          </w:p>
        </w:tc>
        <w:tc>
          <w:tcPr>
            <w:tcW w:w="1305" w:type="dxa"/>
            <w:tcBorders>
              <w:top w:val="nil"/>
              <w:left w:val="nil"/>
              <w:bottom w:val="nil"/>
              <w:right w:val="single" w:sz="8" w:space="0" w:color="auto"/>
            </w:tcBorders>
            <w:shd w:val="clear" w:color="000000" w:fill="CCCCCC"/>
            <w:vAlign w:val="center"/>
            <w:hideMark/>
          </w:tcPr>
          <w:p w14:paraId="2FA4C71D" w14:textId="46CE9B15" w:rsidR="008B0FB8" w:rsidRPr="00E66B2D" w:rsidRDefault="008B0FB8" w:rsidP="008B0FB8">
            <w:pPr>
              <w:jc w:val="center"/>
              <w:rPr>
                <w:rFonts w:ascii="Arial" w:hAnsi="Arial" w:cs="Arial"/>
              </w:rPr>
            </w:pPr>
            <w:r>
              <w:rPr>
                <w:rFonts w:ascii="Arial" w:hAnsi="Arial" w:cs="Arial"/>
              </w:rPr>
              <w:t>n/a</w:t>
            </w:r>
          </w:p>
        </w:tc>
      </w:tr>
      <w:tr w:rsidR="008B0FB8" w:rsidRPr="00E66B2D" w14:paraId="677C0804" w14:textId="77777777" w:rsidTr="008B0FB8">
        <w:trPr>
          <w:trHeight w:val="315"/>
        </w:trPr>
        <w:tc>
          <w:tcPr>
            <w:tcW w:w="4348" w:type="dxa"/>
            <w:tcBorders>
              <w:top w:val="nil"/>
              <w:left w:val="single" w:sz="8" w:space="0" w:color="auto"/>
              <w:bottom w:val="single" w:sz="8" w:space="0" w:color="auto"/>
              <w:right w:val="nil"/>
            </w:tcBorders>
            <w:shd w:val="clear" w:color="000000" w:fill="FFFFFF"/>
            <w:vAlign w:val="center"/>
            <w:hideMark/>
          </w:tcPr>
          <w:p w14:paraId="76D4C5FE" w14:textId="77777777" w:rsidR="008B0FB8" w:rsidRPr="00E66B2D" w:rsidRDefault="008B0FB8" w:rsidP="008B0FB8">
            <w:pPr>
              <w:rPr>
                <w:rFonts w:ascii="Arial" w:hAnsi="Arial" w:cs="Arial"/>
              </w:rPr>
            </w:pPr>
            <w:r w:rsidRPr="00E66B2D">
              <w:rPr>
                <w:rFonts w:ascii="Arial" w:hAnsi="Arial" w:cs="Arial"/>
              </w:rPr>
              <w:t>Rate for discounting scheme liabilities</w:t>
            </w:r>
          </w:p>
        </w:tc>
        <w:tc>
          <w:tcPr>
            <w:tcW w:w="1246" w:type="dxa"/>
            <w:tcBorders>
              <w:top w:val="nil"/>
              <w:left w:val="single" w:sz="8" w:space="0" w:color="auto"/>
              <w:bottom w:val="single" w:sz="8" w:space="0" w:color="auto"/>
              <w:right w:val="nil"/>
            </w:tcBorders>
            <w:shd w:val="clear" w:color="000000" w:fill="FFFFFF"/>
            <w:vAlign w:val="center"/>
            <w:hideMark/>
          </w:tcPr>
          <w:p w14:paraId="5BBC9E41" w14:textId="1615DBC4" w:rsidR="008B0FB8" w:rsidRPr="00E66B2D" w:rsidRDefault="008B0FB8" w:rsidP="008B0FB8">
            <w:pPr>
              <w:jc w:val="center"/>
              <w:rPr>
                <w:rFonts w:ascii="Arial" w:hAnsi="Arial" w:cs="Arial"/>
              </w:rPr>
            </w:pPr>
            <w:r>
              <w:rPr>
                <w:rFonts w:ascii="Arial" w:hAnsi="Arial" w:cs="Arial"/>
              </w:rPr>
              <w:t>4.90%</w:t>
            </w:r>
          </w:p>
        </w:tc>
        <w:tc>
          <w:tcPr>
            <w:tcW w:w="1170" w:type="dxa"/>
            <w:tcBorders>
              <w:top w:val="nil"/>
              <w:left w:val="nil"/>
              <w:bottom w:val="single" w:sz="8" w:space="0" w:color="auto"/>
              <w:right w:val="single" w:sz="8" w:space="0" w:color="auto"/>
            </w:tcBorders>
            <w:shd w:val="clear" w:color="000000" w:fill="CCCCCC"/>
            <w:vAlign w:val="center"/>
            <w:hideMark/>
          </w:tcPr>
          <w:p w14:paraId="6E0FFC8D" w14:textId="1B4EAFB5" w:rsidR="008B0FB8" w:rsidRPr="00E66B2D" w:rsidRDefault="008B0FB8" w:rsidP="008B0FB8">
            <w:pPr>
              <w:jc w:val="center"/>
              <w:rPr>
                <w:rFonts w:ascii="Arial" w:hAnsi="Arial" w:cs="Arial"/>
              </w:rPr>
            </w:pPr>
            <w:r>
              <w:rPr>
                <w:rFonts w:ascii="Arial" w:hAnsi="Arial" w:cs="Arial"/>
              </w:rPr>
              <w:t>5.80%</w:t>
            </w:r>
          </w:p>
        </w:tc>
        <w:tc>
          <w:tcPr>
            <w:tcW w:w="1151" w:type="dxa"/>
            <w:tcBorders>
              <w:top w:val="nil"/>
              <w:left w:val="nil"/>
              <w:bottom w:val="single" w:sz="8" w:space="0" w:color="auto"/>
              <w:right w:val="nil"/>
            </w:tcBorders>
            <w:shd w:val="clear" w:color="000000" w:fill="FFFFFF"/>
            <w:vAlign w:val="center"/>
            <w:hideMark/>
          </w:tcPr>
          <w:p w14:paraId="76589E5D" w14:textId="7C9FE2AB" w:rsidR="008B0FB8" w:rsidRPr="00E66B2D" w:rsidRDefault="008B0FB8" w:rsidP="008B0FB8">
            <w:pPr>
              <w:jc w:val="center"/>
              <w:rPr>
                <w:rFonts w:ascii="Arial" w:hAnsi="Arial" w:cs="Arial"/>
              </w:rPr>
            </w:pPr>
            <w:r>
              <w:rPr>
                <w:rFonts w:ascii="Arial" w:hAnsi="Arial" w:cs="Arial"/>
              </w:rPr>
              <w:t>4.90%</w:t>
            </w:r>
          </w:p>
        </w:tc>
        <w:tc>
          <w:tcPr>
            <w:tcW w:w="1170" w:type="dxa"/>
            <w:tcBorders>
              <w:top w:val="nil"/>
              <w:left w:val="nil"/>
              <w:bottom w:val="single" w:sz="8" w:space="0" w:color="auto"/>
              <w:right w:val="single" w:sz="8" w:space="0" w:color="auto"/>
            </w:tcBorders>
            <w:shd w:val="clear" w:color="000000" w:fill="CCCCCC"/>
            <w:vAlign w:val="center"/>
            <w:hideMark/>
          </w:tcPr>
          <w:p w14:paraId="40C03A6A" w14:textId="355AD2DE" w:rsidR="008B0FB8" w:rsidRPr="00E66B2D" w:rsidRDefault="008B0FB8" w:rsidP="008B0FB8">
            <w:pPr>
              <w:jc w:val="center"/>
              <w:rPr>
                <w:rFonts w:ascii="Arial" w:hAnsi="Arial" w:cs="Arial"/>
              </w:rPr>
            </w:pPr>
            <w:r>
              <w:rPr>
                <w:rFonts w:ascii="Arial" w:hAnsi="Arial" w:cs="Arial"/>
              </w:rPr>
              <w:t>5.80%</w:t>
            </w:r>
          </w:p>
        </w:tc>
        <w:tc>
          <w:tcPr>
            <w:tcW w:w="1189" w:type="dxa"/>
            <w:tcBorders>
              <w:top w:val="nil"/>
              <w:left w:val="nil"/>
              <w:bottom w:val="single" w:sz="8" w:space="0" w:color="auto"/>
              <w:right w:val="nil"/>
            </w:tcBorders>
            <w:shd w:val="clear" w:color="000000" w:fill="FFFFFF"/>
            <w:vAlign w:val="center"/>
            <w:hideMark/>
          </w:tcPr>
          <w:p w14:paraId="298DCC40" w14:textId="6EB6A2BB" w:rsidR="008B0FB8" w:rsidRPr="00E66B2D" w:rsidRDefault="008B0FB8" w:rsidP="008B0FB8">
            <w:pPr>
              <w:jc w:val="center"/>
              <w:rPr>
                <w:rFonts w:ascii="Arial" w:hAnsi="Arial" w:cs="Arial"/>
              </w:rPr>
            </w:pPr>
            <w:r>
              <w:rPr>
                <w:rFonts w:ascii="Arial" w:hAnsi="Arial" w:cs="Arial"/>
              </w:rPr>
              <w:t>4.90%</w:t>
            </w:r>
          </w:p>
        </w:tc>
        <w:tc>
          <w:tcPr>
            <w:tcW w:w="1074" w:type="dxa"/>
            <w:tcBorders>
              <w:top w:val="nil"/>
              <w:left w:val="nil"/>
              <w:bottom w:val="single" w:sz="8" w:space="0" w:color="auto"/>
              <w:right w:val="single" w:sz="8" w:space="0" w:color="auto"/>
            </w:tcBorders>
            <w:shd w:val="clear" w:color="000000" w:fill="CCCCCC"/>
            <w:vAlign w:val="center"/>
            <w:hideMark/>
          </w:tcPr>
          <w:p w14:paraId="3FE181A0" w14:textId="30583669" w:rsidR="008B0FB8" w:rsidRPr="00E66B2D" w:rsidRDefault="008B0FB8" w:rsidP="008B0FB8">
            <w:pPr>
              <w:jc w:val="center"/>
              <w:rPr>
                <w:rFonts w:ascii="Arial" w:hAnsi="Arial" w:cs="Arial"/>
              </w:rPr>
            </w:pPr>
            <w:r>
              <w:rPr>
                <w:rFonts w:ascii="Arial" w:hAnsi="Arial" w:cs="Arial"/>
              </w:rPr>
              <w:t>5.80%</w:t>
            </w:r>
          </w:p>
        </w:tc>
        <w:tc>
          <w:tcPr>
            <w:tcW w:w="1305" w:type="dxa"/>
            <w:tcBorders>
              <w:top w:val="nil"/>
              <w:left w:val="nil"/>
              <w:bottom w:val="single" w:sz="8" w:space="0" w:color="auto"/>
              <w:right w:val="nil"/>
            </w:tcBorders>
            <w:shd w:val="clear" w:color="000000" w:fill="FFFFFF"/>
            <w:vAlign w:val="center"/>
            <w:hideMark/>
          </w:tcPr>
          <w:p w14:paraId="4936B0D0" w14:textId="1279D4B9" w:rsidR="008B0FB8" w:rsidRPr="00E66B2D" w:rsidRDefault="008B0FB8" w:rsidP="008B0FB8">
            <w:pPr>
              <w:jc w:val="center"/>
              <w:rPr>
                <w:rFonts w:ascii="Arial" w:hAnsi="Arial" w:cs="Arial"/>
              </w:rPr>
            </w:pPr>
            <w:r>
              <w:rPr>
                <w:rFonts w:ascii="Arial" w:hAnsi="Arial" w:cs="Arial"/>
              </w:rPr>
              <w:t>4.90%</w:t>
            </w:r>
          </w:p>
        </w:tc>
        <w:tc>
          <w:tcPr>
            <w:tcW w:w="1305" w:type="dxa"/>
            <w:tcBorders>
              <w:top w:val="nil"/>
              <w:left w:val="nil"/>
              <w:bottom w:val="single" w:sz="8" w:space="0" w:color="auto"/>
              <w:right w:val="single" w:sz="8" w:space="0" w:color="auto"/>
            </w:tcBorders>
            <w:shd w:val="clear" w:color="000000" w:fill="CCCCCC"/>
            <w:vAlign w:val="center"/>
            <w:hideMark/>
          </w:tcPr>
          <w:p w14:paraId="522A05A9" w14:textId="16A54B49" w:rsidR="008B0FB8" w:rsidRPr="00E66B2D" w:rsidRDefault="008B0FB8" w:rsidP="008B0FB8">
            <w:pPr>
              <w:jc w:val="center"/>
              <w:rPr>
                <w:rFonts w:ascii="Arial" w:hAnsi="Arial" w:cs="Arial"/>
              </w:rPr>
            </w:pPr>
            <w:r>
              <w:rPr>
                <w:rFonts w:ascii="Arial" w:hAnsi="Arial" w:cs="Arial"/>
              </w:rPr>
              <w:t>5.80%</w:t>
            </w:r>
          </w:p>
        </w:tc>
      </w:tr>
    </w:tbl>
    <w:p w14:paraId="0F8558C9" w14:textId="77777777" w:rsidR="00D25C78" w:rsidRPr="00645FC2" w:rsidRDefault="00D25C78" w:rsidP="00D25C78">
      <w:pPr>
        <w:rPr>
          <w:highlight w:val="yellow"/>
          <w:lang w:eastAsia="en-US"/>
        </w:rPr>
      </w:pPr>
    </w:p>
    <w:p w14:paraId="20A9431C" w14:textId="77777777" w:rsidR="009D37E6" w:rsidRPr="00645FC2" w:rsidRDefault="009D37E6" w:rsidP="00D25C78">
      <w:pPr>
        <w:rPr>
          <w:highlight w:val="yellow"/>
          <w:lang w:eastAsia="en-US"/>
        </w:rPr>
      </w:pPr>
    </w:p>
    <w:p w14:paraId="0D583ED0" w14:textId="77777777" w:rsidR="009D37E6" w:rsidRPr="00645FC2" w:rsidRDefault="009D37E6" w:rsidP="00D25C78">
      <w:pPr>
        <w:rPr>
          <w:highlight w:val="yellow"/>
          <w:lang w:eastAsia="en-US"/>
        </w:rPr>
      </w:pPr>
    </w:p>
    <w:p w14:paraId="64DA2B71" w14:textId="18804EB5" w:rsidR="009D37E6" w:rsidRPr="00645FC2" w:rsidRDefault="009D37E6" w:rsidP="00D25C78">
      <w:pPr>
        <w:rPr>
          <w:highlight w:val="yellow"/>
          <w:lang w:eastAsia="en-US"/>
        </w:rPr>
        <w:sectPr w:rsidR="009D37E6" w:rsidRPr="00645FC2" w:rsidSect="00CD2558">
          <w:headerReference w:type="even" r:id="rId81"/>
          <w:headerReference w:type="default" r:id="rId82"/>
          <w:headerReference w:type="first" r:id="rId83"/>
          <w:pgSz w:w="16834" w:h="11909" w:orient="landscape" w:code="9"/>
          <w:pgMar w:top="720" w:right="720" w:bottom="720" w:left="720" w:header="397" w:footer="720" w:gutter="0"/>
          <w:cols w:space="720"/>
          <w:docGrid w:linePitch="272"/>
        </w:sectPr>
      </w:pPr>
    </w:p>
    <w:p w14:paraId="20C188C9" w14:textId="77777777" w:rsidR="003B74DA" w:rsidRPr="00E66B2D" w:rsidRDefault="003B74DA" w:rsidP="00D25C78">
      <w:pPr>
        <w:jc w:val="both"/>
        <w:rPr>
          <w:rFonts w:ascii="Arial" w:hAnsi="Arial" w:cs="Arial"/>
          <w:sz w:val="22"/>
          <w:szCs w:val="22"/>
        </w:rPr>
      </w:pPr>
      <w:r w:rsidRPr="00E66B2D">
        <w:rPr>
          <w:rFonts w:ascii="Arial" w:hAnsi="Arial"/>
          <w:sz w:val="22"/>
          <w:szCs w:val="22"/>
        </w:rPr>
        <w:lastRenderedPageBreak/>
        <w:t xml:space="preserve">The estimation of the defined benefit obligations is sensitive to the actuarial assumptions set out in the table above. </w:t>
      </w:r>
      <w:r w:rsidRPr="00E66B2D">
        <w:rPr>
          <w:rFonts w:ascii="Arial" w:hAnsi="Arial" w:cs="Arial"/>
          <w:sz w:val="22"/>
          <w:szCs w:val="22"/>
        </w:rPr>
        <w:t xml:space="preserve">The methods used to carry out the sensitivity analyses presented in the notes below for the material assumptions are the same as those the employer has used previously. The calculations alter the relevant assumption by the amount specified, whilst </w:t>
      </w:r>
      <w:proofErr w:type="gramStart"/>
      <w:r w:rsidRPr="00E66B2D">
        <w:rPr>
          <w:rFonts w:ascii="Arial" w:hAnsi="Arial" w:cs="Arial"/>
          <w:sz w:val="22"/>
          <w:szCs w:val="22"/>
        </w:rPr>
        <w:t>assuming that</w:t>
      </w:r>
      <w:proofErr w:type="gramEnd"/>
      <w:r w:rsidRPr="00E66B2D">
        <w:rPr>
          <w:rFonts w:ascii="Arial" w:hAnsi="Arial" w:cs="Arial"/>
          <w:sz w:val="22"/>
          <w:szCs w:val="22"/>
        </w:rPr>
        <w:t xml:space="preserve"> all other variables remain the same. This approach is not necessarily realistic, since some assumptions are related for example, if the scenario is to show the effect if inflation is higher than expected, it might be reasonable to expect that nominal yields on corporate bonds will increase also. However, it enables the reader to isolate one effect from another. </w:t>
      </w:r>
    </w:p>
    <w:p w14:paraId="3BA94EBA" w14:textId="77777777" w:rsidR="003B74DA" w:rsidRPr="00E66B2D" w:rsidRDefault="003B74DA" w:rsidP="003B74DA">
      <w:pPr>
        <w:ind w:left="426"/>
        <w:jc w:val="both"/>
        <w:rPr>
          <w:rFonts w:ascii="Arial" w:hAnsi="Arial" w:cs="Arial"/>
          <w:sz w:val="22"/>
          <w:szCs w:val="22"/>
        </w:rPr>
      </w:pPr>
    </w:p>
    <w:p w14:paraId="693E08E3" w14:textId="77777777" w:rsidR="003B74DA" w:rsidRPr="00E66B2D" w:rsidRDefault="003B74DA" w:rsidP="003B74DA">
      <w:pPr>
        <w:tabs>
          <w:tab w:val="left" w:pos="426"/>
        </w:tabs>
        <w:ind w:left="426"/>
        <w:jc w:val="both"/>
        <w:rPr>
          <w:rFonts w:ascii="Arial" w:hAnsi="Arial"/>
          <w:sz w:val="22"/>
          <w:szCs w:val="22"/>
        </w:rPr>
      </w:pPr>
      <w:r w:rsidRPr="00E66B2D">
        <w:rPr>
          <w:rFonts w:ascii="Arial" w:hAnsi="Arial"/>
          <w:sz w:val="22"/>
          <w:szCs w:val="22"/>
        </w:rPr>
        <w:t>Local Government Pension Scheme (PCC &amp; PCC Group):</w:t>
      </w:r>
    </w:p>
    <w:p w14:paraId="0BE7EC12" w14:textId="77777777" w:rsidR="003B74DA" w:rsidRPr="00645FC2" w:rsidRDefault="003B74DA" w:rsidP="003B74DA">
      <w:pPr>
        <w:tabs>
          <w:tab w:val="left" w:pos="426"/>
        </w:tabs>
        <w:ind w:left="426"/>
        <w:rPr>
          <w:rFonts w:ascii="Arial" w:hAnsi="Arial"/>
          <w:sz w:val="22"/>
          <w:szCs w:val="22"/>
          <w:highlight w:val="yellow"/>
        </w:rPr>
      </w:pPr>
    </w:p>
    <w:tbl>
      <w:tblPr>
        <w:tblW w:w="10860" w:type="dxa"/>
        <w:tblLook w:val="04A0" w:firstRow="1" w:lastRow="0" w:firstColumn="1" w:lastColumn="0" w:noHBand="0" w:noVBand="1"/>
      </w:tblPr>
      <w:tblGrid>
        <w:gridCol w:w="4535"/>
        <w:gridCol w:w="1514"/>
        <w:gridCol w:w="1488"/>
        <w:gridCol w:w="1588"/>
        <w:gridCol w:w="1735"/>
      </w:tblGrid>
      <w:tr w:rsidR="00E66B2D" w:rsidRPr="00E66B2D" w14:paraId="63E0255B" w14:textId="77777777" w:rsidTr="008B0FB8">
        <w:trPr>
          <w:trHeight w:val="600"/>
        </w:trPr>
        <w:tc>
          <w:tcPr>
            <w:tcW w:w="4535" w:type="dxa"/>
            <w:tcBorders>
              <w:top w:val="single" w:sz="8" w:space="0" w:color="auto"/>
              <w:left w:val="single" w:sz="8" w:space="0" w:color="auto"/>
              <w:bottom w:val="nil"/>
              <w:right w:val="single" w:sz="8" w:space="0" w:color="auto"/>
            </w:tcBorders>
            <w:shd w:val="clear" w:color="000000" w:fill="BFBFBF"/>
            <w:vAlign w:val="center"/>
            <w:hideMark/>
          </w:tcPr>
          <w:p w14:paraId="78ED4983"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6325" w:type="dxa"/>
            <w:gridSpan w:val="4"/>
            <w:tcBorders>
              <w:top w:val="single" w:sz="8" w:space="0" w:color="auto"/>
              <w:left w:val="nil"/>
              <w:bottom w:val="single" w:sz="8" w:space="0" w:color="auto"/>
              <w:right w:val="single" w:sz="8" w:space="0" w:color="000000"/>
            </w:tcBorders>
            <w:shd w:val="clear" w:color="000000" w:fill="BFBFBF"/>
            <w:vAlign w:val="center"/>
            <w:hideMark/>
          </w:tcPr>
          <w:p w14:paraId="422A17CF" w14:textId="77777777" w:rsidR="00E66B2D" w:rsidRPr="00E66B2D" w:rsidRDefault="00E66B2D" w:rsidP="00E66B2D">
            <w:pPr>
              <w:jc w:val="center"/>
              <w:rPr>
                <w:rFonts w:ascii="Arial" w:hAnsi="Arial" w:cs="Arial"/>
                <w:b/>
                <w:bCs/>
                <w:color w:val="000000"/>
                <w:sz w:val="22"/>
                <w:szCs w:val="22"/>
              </w:rPr>
            </w:pPr>
            <w:r w:rsidRPr="00E66B2D">
              <w:rPr>
                <w:rFonts w:ascii="Arial" w:hAnsi="Arial" w:cs="Arial"/>
                <w:b/>
                <w:bCs/>
                <w:color w:val="000000"/>
                <w:sz w:val="22"/>
                <w:szCs w:val="22"/>
              </w:rPr>
              <w:t>Impact on the Defined Benefit Obligation in the Scheme</w:t>
            </w:r>
          </w:p>
        </w:tc>
      </w:tr>
      <w:tr w:rsidR="00E66B2D" w:rsidRPr="00E66B2D" w14:paraId="72958504" w14:textId="77777777" w:rsidTr="008B0FB8">
        <w:trPr>
          <w:trHeight w:val="330"/>
        </w:trPr>
        <w:tc>
          <w:tcPr>
            <w:tcW w:w="4535" w:type="dxa"/>
            <w:tcBorders>
              <w:top w:val="nil"/>
              <w:left w:val="single" w:sz="8" w:space="0" w:color="auto"/>
              <w:bottom w:val="nil"/>
              <w:right w:val="single" w:sz="8" w:space="0" w:color="auto"/>
            </w:tcBorders>
            <w:shd w:val="clear" w:color="000000" w:fill="BFBFBF"/>
            <w:vAlign w:val="center"/>
            <w:hideMark/>
          </w:tcPr>
          <w:p w14:paraId="29060700"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3002" w:type="dxa"/>
            <w:gridSpan w:val="2"/>
            <w:tcBorders>
              <w:top w:val="single" w:sz="8" w:space="0" w:color="auto"/>
              <w:left w:val="nil"/>
              <w:bottom w:val="single" w:sz="8" w:space="0" w:color="auto"/>
              <w:right w:val="single" w:sz="8" w:space="0" w:color="000000"/>
            </w:tcBorders>
            <w:shd w:val="clear" w:color="000000" w:fill="BFBFBF"/>
            <w:vAlign w:val="bottom"/>
            <w:hideMark/>
          </w:tcPr>
          <w:p w14:paraId="674756E6" w14:textId="77777777" w:rsidR="00E66B2D" w:rsidRPr="00E66B2D" w:rsidRDefault="00E66B2D" w:rsidP="00E66B2D">
            <w:pPr>
              <w:jc w:val="center"/>
              <w:rPr>
                <w:rFonts w:ascii="Arial" w:hAnsi="Arial" w:cs="Arial"/>
                <w:b/>
                <w:bCs/>
                <w:color w:val="000000"/>
                <w:sz w:val="22"/>
                <w:szCs w:val="22"/>
              </w:rPr>
            </w:pPr>
            <w:r w:rsidRPr="00E66B2D">
              <w:rPr>
                <w:rFonts w:ascii="Arial" w:hAnsi="Arial" w:cs="Arial"/>
                <w:b/>
                <w:bCs/>
                <w:color w:val="000000"/>
                <w:sz w:val="22"/>
                <w:szCs w:val="22"/>
              </w:rPr>
              <w:t>PCC Group</w:t>
            </w:r>
          </w:p>
        </w:tc>
        <w:tc>
          <w:tcPr>
            <w:tcW w:w="3323" w:type="dxa"/>
            <w:gridSpan w:val="2"/>
            <w:tcBorders>
              <w:top w:val="single" w:sz="8" w:space="0" w:color="auto"/>
              <w:left w:val="nil"/>
              <w:bottom w:val="single" w:sz="8" w:space="0" w:color="auto"/>
              <w:right w:val="single" w:sz="8" w:space="0" w:color="000000"/>
            </w:tcBorders>
            <w:shd w:val="clear" w:color="000000" w:fill="BFBFBF"/>
            <w:vAlign w:val="center"/>
            <w:hideMark/>
          </w:tcPr>
          <w:p w14:paraId="36DDB5D5" w14:textId="77777777" w:rsidR="00E66B2D" w:rsidRPr="00E66B2D" w:rsidRDefault="00E66B2D" w:rsidP="00E66B2D">
            <w:pPr>
              <w:jc w:val="center"/>
              <w:rPr>
                <w:rFonts w:ascii="Arial" w:hAnsi="Arial" w:cs="Arial"/>
                <w:b/>
                <w:bCs/>
                <w:color w:val="000000"/>
                <w:sz w:val="22"/>
                <w:szCs w:val="22"/>
              </w:rPr>
            </w:pPr>
            <w:r w:rsidRPr="00E66B2D">
              <w:rPr>
                <w:rFonts w:ascii="Arial" w:hAnsi="Arial" w:cs="Arial"/>
                <w:b/>
                <w:bCs/>
                <w:color w:val="000000"/>
                <w:sz w:val="22"/>
                <w:szCs w:val="22"/>
              </w:rPr>
              <w:t>Single Entity PCC</w:t>
            </w:r>
          </w:p>
        </w:tc>
      </w:tr>
      <w:tr w:rsidR="00E66B2D" w:rsidRPr="00E66B2D" w14:paraId="13DA6001" w14:textId="77777777" w:rsidTr="008B0FB8">
        <w:trPr>
          <w:trHeight w:val="600"/>
        </w:trPr>
        <w:tc>
          <w:tcPr>
            <w:tcW w:w="4535" w:type="dxa"/>
            <w:tcBorders>
              <w:top w:val="nil"/>
              <w:left w:val="single" w:sz="8" w:space="0" w:color="auto"/>
              <w:bottom w:val="nil"/>
              <w:right w:val="single" w:sz="8" w:space="0" w:color="auto"/>
            </w:tcBorders>
            <w:shd w:val="clear" w:color="000000" w:fill="BFBFBF"/>
            <w:vAlign w:val="center"/>
            <w:hideMark/>
          </w:tcPr>
          <w:p w14:paraId="6D1CE615"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514" w:type="dxa"/>
            <w:tcBorders>
              <w:top w:val="nil"/>
              <w:left w:val="nil"/>
              <w:bottom w:val="nil"/>
              <w:right w:val="single" w:sz="8" w:space="0" w:color="auto"/>
            </w:tcBorders>
            <w:shd w:val="clear" w:color="000000" w:fill="BFBFBF"/>
            <w:vAlign w:val="center"/>
            <w:hideMark/>
          </w:tcPr>
          <w:p w14:paraId="08B3A8BF"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Increase in Assumption</w:t>
            </w:r>
          </w:p>
        </w:tc>
        <w:tc>
          <w:tcPr>
            <w:tcW w:w="1488" w:type="dxa"/>
            <w:tcBorders>
              <w:top w:val="nil"/>
              <w:left w:val="nil"/>
              <w:bottom w:val="nil"/>
              <w:right w:val="single" w:sz="8" w:space="0" w:color="auto"/>
            </w:tcBorders>
            <w:shd w:val="clear" w:color="000000" w:fill="BFBFBF"/>
            <w:vAlign w:val="center"/>
            <w:hideMark/>
          </w:tcPr>
          <w:p w14:paraId="6F5D5743"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Decrease in Assumption</w:t>
            </w:r>
          </w:p>
        </w:tc>
        <w:tc>
          <w:tcPr>
            <w:tcW w:w="1588" w:type="dxa"/>
            <w:tcBorders>
              <w:top w:val="nil"/>
              <w:left w:val="nil"/>
              <w:bottom w:val="nil"/>
              <w:right w:val="single" w:sz="8" w:space="0" w:color="auto"/>
            </w:tcBorders>
            <w:shd w:val="clear" w:color="000000" w:fill="BFBFBF"/>
            <w:vAlign w:val="center"/>
            <w:hideMark/>
          </w:tcPr>
          <w:p w14:paraId="6AE9A82A"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Increase in Assumption</w:t>
            </w:r>
          </w:p>
        </w:tc>
        <w:tc>
          <w:tcPr>
            <w:tcW w:w="1735" w:type="dxa"/>
            <w:tcBorders>
              <w:top w:val="nil"/>
              <w:left w:val="nil"/>
              <w:bottom w:val="nil"/>
              <w:right w:val="single" w:sz="8" w:space="0" w:color="auto"/>
            </w:tcBorders>
            <w:shd w:val="clear" w:color="000000" w:fill="BFBFBF"/>
            <w:vAlign w:val="center"/>
            <w:hideMark/>
          </w:tcPr>
          <w:p w14:paraId="20E532CB"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Decrease in Assumption</w:t>
            </w:r>
          </w:p>
        </w:tc>
      </w:tr>
      <w:tr w:rsidR="00E66B2D" w:rsidRPr="00E66B2D" w14:paraId="16E3ADC5" w14:textId="77777777" w:rsidTr="008B0FB8">
        <w:trPr>
          <w:trHeight w:val="300"/>
        </w:trPr>
        <w:tc>
          <w:tcPr>
            <w:tcW w:w="4535" w:type="dxa"/>
            <w:tcBorders>
              <w:top w:val="nil"/>
              <w:left w:val="single" w:sz="8" w:space="0" w:color="auto"/>
              <w:bottom w:val="nil"/>
              <w:right w:val="single" w:sz="8" w:space="0" w:color="auto"/>
            </w:tcBorders>
            <w:shd w:val="clear" w:color="000000" w:fill="BFBFBF"/>
            <w:vAlign w:val="center"/>
            <w:hideMark/>
          </w:tcPr>
          <w:p w14:paraId="3BA1BA10"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514" w:type="dxa"/>
            <w:tcBorders>
              <w:top w:val="nil"/>
              <w:left w:val="nil"/>
              <w:bottom w:val="nil"/>
              <w:right w:val="single" w:sz="8" w:space="0" w:color="auto"/>
            </w:tcBorders>
            <w:shd w:val="clear" w:color="000000" w:fill="BFBFBF"/>
            <w:vAlign w:val="center"/>
            <w:hideMark/>
          </w:tcPr>
          <w:p w14:paraId="466BDE64"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£,000</w:t>
            </w:r>
          </w:p>
        </w:tc>
        <w:tc>
          <w:tcPr>
            <w:tcW w:w="1488" w:type="dxa"/>
            <w:tcBorders>
              <w:top w:val="nil"/>
              <w:left w:val="nil"/>
              <w:bottom w:val="nil"/>
              <w:right w:val="single" w:sz="8" w:space="0" w:color="auto"/>
            </w:tcBorders>
            <w:shd w:val="clear" w:color="000000" w:fill="BFBFBF"/>
            <w:vAlign w:val="center"/>
            <w:hideMark/>
          </w:tcPr>
          <w:p w14:paraId="333F6F5B"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£,000</w:t>
            </w:r>
          </w:p>
        </w:tc>
        <w:tc>
          <w:tcPr>
            <w:tcW w:w="1588" w:type="dxa"/>
            <w:tcBorders>
              <w:top w:val="nil"/>
              <w:left w:val="nil"/>
              <w:bottom w:val="nil"/>
              <w:right w:val="single" w:sz="8" w:space="0" w:color="auto"/>
            </w:tcBorders>
            <w:shd w:val="clear" w:color="000000" w:fill="BFBFBF"/>
            <w:vAlign w:val="center"/>
            <w:hideMark/>
          </w:tcPr>
          <w:p w14:paraId="239FC569"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£,000</w:t>
            </w:r>
          </w:p>
        </w:tc>
        <w:tc>
          <w:tcPr>
            <w:tcW w:w="1735" w:type="dxa"/>
            <w:tcBorders>
              <w:top w:val="nil"/>
              <w:left w:val="nil"/>
              <w:bottom w:val="nil"/>
              <w:right w:val="single" w:sz="8" w:space="0" w:color="auto"/>
            </w:tcBorders>
            <w:shd w:val="clear" w:color="000000" w:fill="BFBFBF"/>
            <w:vAlign w:val="center"/>
            <w:hideMark/>
          </w:tcPr>
          <w:p w14:paraId="43650E55"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£,000</w:t>
            </w:r>
          </w:p>
        </w:tc>
      </w:tr>
      <w:tr w:rsidR="00E66B2D" w:rsidRPr="00E66B2D" w14:paraId="7B1EE860" w14:textId="77777777" w:rsidTr="008B0FB8">
        <w:trPr>
          <w:trHeight w:val="300"/>
        </w:trPr>
        <w:tc>
          <w:tcPr>
            <w:tcW w:w="4535" w:type="dxa"/>
            <w:tcBorders>
              <w:top w:val="nil"/>
              <w:left w:val="single" w:sz="8" w:space="0" w:color="auto"/>
              <w:bottom w:val="nil"/>
              <w:right w:val="single" w:sz="8" w:space="0" w:color="auto"/>
            </w:tcBorders>
            <w:shd w:val="clear" w:color="000000" w:fill="BFBFBF"/>
            <w:vAlign w:val="center"/>
            <w:hideMark/>
          </w:tcPr>
          <w:p w14:paraId="378E1EB5" w14:textId="77777777" w:rsidR="00E66B2D" w:rsidRPr="00E66B2D" w:rsidRDefault="00E66B2D" w:rsidP="00E66B2D">
            <w:pPr>
              <w:rPr>
                <w:rFonts w:ascii="Arial" w:hAnsi="Arial" w:cs="Arial"/>
                <w:sz w:val="22"/>
                <w:szCs w:val="22"/>
              </w:rPr>
            </w:pPr>
            <w:r w:rsidRPr="00E66B2D">
              <w:rPr>
                <w:rFonts w:ascii="Arial" w:hAnsi="Arial" w:cs="Arial"/>
                <w:sz w:val="22"/>
                <w:szCs w:val="22"/>
              </w:rPr>
              <w:t> </w:t>
            </w:r>
          </w:p>
        </w:tc>
        <w:tc>
          <w:tcPr>
            <w:tcW w:w="1514" w:type="dxa"/>
            <w:tcBorders>
              <w:top w:val="nil"/>
              <w:left w:val="nil"/>
              <w:bottom w:val="nil"/>
              <w:right w:val="single" w:sz="8" w:space="0" w:color="auto"/>
            </w:tcBorders>
            <w:shd w:val="clear" w:color="000000" w:fill="BFBFBF"/>
            <w:vAlign w:val="center"/>
            <w:hideMark/>
          </w:tcPr>
          <w:p w14:paraId="623CCBCF"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488" w:type="dxa"/>
            <w:tcBorders>
              <w:top w:val="nil"/>
              <w:left w:val="nil"/>
              <w:bottom w:val="nil"/>
              <w:right w:val="single" w:sz="8" w:space="0" w:color="auto"/>
            </w:tcBorders>
            <w:shd w:val="clear" w:color="000000" w:fill="BFBFBF"/>
            <w:vAlign w:val="center"/>
            <w:hideMark/>
          </w:tcPr>
          <w:p w14:paraId="5163BE08"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588" w:type="dxa"/>
            <w:tcBorders>
              <w:top w:val="nil"/>
              <w:left w:val="nil"/>
              <w:bottom w:val="nil"/>
              <w:right w:val="single" w:sz="8" w:space="0" w:color="auto"/>
            </w:tcBorders>
            <w:shd w:val="clear" w:color="000000" w:fill="BFBFBF"/>
            <w:vAlign w:val="center"/>
            <w:hideMark/>
          </w:tcPr>
          <w:p w14:paraId="7A7E2014"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735" w:type="dxa"/>
            <w:tcBorders>
              <w:top w:val="nil"/>
              <w:left w:val="nil"/>
              <w:bottom w:val="nil"/>
              <w:right w:val="single" w:sz="8" w:space="0" w:color="auto"/>
            </w:tcBorders>
            <w:shd w:val="clear" w:color="000000" w:fill="BFBFBF"/>
            <w:vAlign w:val="center"/>
            <w:hideMark/>
          </w:tcPr>
          <w:p w14:paraId="53A1A40A"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r>
      <w:tr w:rsidR="008B0FB8" w:rsidRPr="00E66B2D" w14:paraId="7DB83D50" w14:textId="77777777" w:rsidTr="008B0FB8">
        <w:trPr>
          <w:trHeight w:val="300"/>
        </w:trPr>
        <w:tc>
          <w:tcPr>
            <w:tcW w:w="4535" w:type="dxa"/>
            <w:tcBorders>
              <w:top w:val="nil"/>
              <w:left w:val="single" w:sz="8" w:space="0" w:color="auto"/>
              <w:bottom w:val="nil"/>
              <w:right w:val="single" w:sz="8" w:space="0" w:color="auto"/>
            </w:tcBorders>
            <w:shd w:val="clear" w:color="000000" w:fill="BFBFBF"/>
            <w:vAlign w:val="center"/>
            <w:hideMark/>
          </w:tcPr>
          <w:p w14:paraId="6BC5956C" w14:textId="77777777" w:rsidR="008B0FB8" w:rsidRPr="00E66B2D" w:rsidRDefault="008B0FB8" w:rsidP="008B0FB8">
            <w:pPr>
              <w:rPr>
                <w:rFonts w:ascii="Arial" w:hAnsi="Arial" w:cs="Arial"/>
                <w:color w:val="000000"/>
                <w:sz w:val="22"/>
                <w:szCs w:val="22"/>
              </w:rPr>
            </w:pPr>
            <w:r w:rsidRPr="00E66B2D">
              <w:rPr>
                <w:rFonts w:ascii="Arial" w:hAnsi="Arial" w:cs="Arial"/>
                <w:color w:val="000000"/>
                <w:sz w:val="22"/>
                <w:szCs w:val="22"/>
              </w:rPr>
              <w:t>Longevity (increase or decrease in 1 year)</w:t>
            </w:r>
          </w:p>
        </w:tc>
        <w:tc>
          <w:tcPr>
            <w:tcW w:w="1514" w:type="dxa"/>
            <w:tcBorders>
              <w:top w:val="nil"/>
              <w:left w:val="nil"/>
              <w:bottom w:val="nil"/>
              <w:right w:val="single" w:sz="8" w:space="0" w:color="auto"/>
            </w:tcBorders>
            <w:shd w:val="clear" w:color="000000" w:fill="BFBFBF"/>
            <w:vAlign w:val="center"/>
            <w:hideMark/>
          </w:tcPr>
          <w:p w14:paraId="16023577" w14:textId="0B8C599D" w:rsidR="008B0FB8" w:rsidRPr="00E66B2D" w:rsidRDefault="008B0FB8" w:rsidP="008B0FB8">
            <w:pPr>
              <w:jc w:val="right"/>
              <w:rPr>
                <w:rFonts w:ascii="Arial" w:hAnsi="Arial" w:cs="Arial"/>
                <w:sz w:val="22"/>
                <w:szCs w:val="22"/>
              </w:rPr>
            </w:pPr>
            <w:r>
              <w:rPr>
                <w:rFonts w:ascii="Arial" w:hAnsi="Arial" w:cs="Arial"/>
                <w:sz w:val="22"/>
                <w:szCs w:val="22"/>
              </w:rPr>
              <w:t>7,629</w:t>
            </w:r>
          </w:p>
        </w:tc>
        <w:tc>
          <w:tcPr>
            <w:tcW w:w="1488" w:type="dxa"/>
            <w:tcBorders>
              <w:top w:val="nil"/>
              <w:left w:val="nil"/>
              <w:bottom w:val="nil"/>
              <w:right w:val="single" w:sz="8" w:space="0" w:color="auto"/>
            </w:tcBorders>
            <w:shd w:val="clear" w:color="000000" w:fill="BFBFBF"/>
            <w:vAlign w:val="center"/>
            <w:hideMark/>
          </w:tcPr>
          <w:p w14:paraId="6DC9D8FD" w14:textId="70E2E2B2" w:rsidR="008B0FB8" w:rsidRPr="00E66B2D" w:rsidRDefault="008B0FB8" w:rsidP="008B0FB8">
            <w:pPr>
              <w:jc w:val="right"/>
              <w:rPr>
                <w:rFonts w:ascii="Arial" w:hAnsi="Arial" w:cs="Arial"/>
                <w:sz w:val="22"/>
                <w:szCs w:val="22"/>
              </w:rPr>
            </w:pPr>
            <w:r>
              <w:rPr>
                <w:rFonts w:ascii="Arial" w:hAnsi="Arial" w:cs="Arial"/>
                <w:sz w:val="22"/>
                <w:szCs w:val="22"/>
              </w:rPr>
              <w:t>(7,629)</w:t>
            </w:r>
          </w:p>
        </w:tc>
        <w:tc>
          <w:tcPr>
            <w:tcW w:w="1588" w:type="dxa"/>
            <w:tcBorders>
              <w:top w:val="nil"/>
              <w:left w:val="nil"/>
              <w:bottom w:val="nil"/>
              <w:right w:val="single" w:sz="8" w:space="0" w:color="auto"/>
            </w:tcBorders>
            <w:shd w:val="clear" w:color="000000" w:fill="BFBFBF"/>
            <w:vAlign w:val="center"/>
            <w:hideMark/>
          </w:tcPr>
          <w:p w14:paraId="73965C0A" w14:textId="19EF88EC" w:rsidR="008B0FB8" w:rsidRPr="00E66B2D" w:rsidRDefault="008B0FB8" w:rsidP="008B0FB8">
            <w:pPr>
              <w:jc w:val="right"/>
              <w:rPr>
                <w:rFonts w:ascii="Arial" w:hAnsi="Arial" w:cs="Arial"/>
                <w:sz w:val="22"/>
                <w:szCs w:val="22"/>
              </w:rPr>
            </w:pPr>
            <w:r>
              <w:rPr>
                <w:rFonts w:ascii="Arial" w:hAnsi="Arial" w:cs="Arial"/>
                <w:sz w:val="22"/>
                <w:szCs w:val="22"/>
              </w:rPr>
              <w:t>124</w:t>
            </w:r>
          </w:p>
        </w:tc>
        <w:tc>
          <w:tcPr>
            <w:tcW w:w="1735" w:type="dxa"/>
            <w:tcBorders>
              <w:top w:val="nil"/>
              <w:left w:val="nil"/>
              <w:bottom w:val="nil"/>
              <w:right w:val="single" w:sz="8" w:space="0" w:color="auto"/>
            </w:tcBorders>
            <w:shd w:val="clear" w:color="000000" w:fill="BFBFBF"/>
            <w:vAlign w:val="center"/>
            <w:hideMark/>
          </w:tcPr>
          <w:p w14:paraId="6A55EED4" w14:textId="4CC6E48D" w:rsidR="008B0FB8" w:rsidRPr="00E66B2D" w:rsidRDefault="008B0FB8" w:rsidP="008B0FB8">
            <w:pPr>
              <w:jc w:val="right"/>
              <w:rPr>
                <w:rFonts w:ascii="Arial" w:hAnsi="Arial" w:cs="Arial"/>
                <w:sz w:val="22"/>
                <w:szCs w:val="22"/>
              </w:rPr>
            </w:pPr>
            <w:r>
              <w:rPr>
                <w:rFonts w:ascii="Arial" w:hAnsi="Arial" w:cs="Arial"/>
                <w:sz w:val="22"/>
                <w:szCs w:val="22"/>
              </w:rPr>
              <w:t>(124)</w:t>
            </w:r>
          </w:p>
        </w:tc>
      </w:tr>
      <w:tr w:rsidR="008B0FB8" w:rsidRPr="00E66B2D" w14:paraId="0A8D03C8" w14:textId="77777777" w:rsidTr="008B0FB8">
        <w:trPr>
          <w:trHeight w:val="300"/>
        </w:trPr>
        <w:tc>
          <w:tcPr>
            <w:tcW w:w="4535" w:type="dxa"/>
            <w:tcBorders>
              <w:top w:val="nil"/>
              <w:left w:val="single" w:sz="8" w:space="0" w:color="auto"/>
              <w:bottom w:val="nil"/>
              <w:right w:val="single" w:sz="8" w:space="0" w:color="auto"/>
            </w:tcBorders>
            <w:shd w:val="clear" w:color="000000" w:fill="BFBFBF"/>
            <w:vAlign w:val="center"/>
            <w:hideMark/>
          </w:tcPr>
          <w:p w14:paraId="20152166" w14:textId="77777777" w:rsidR="008B0FB8" w:rsidRPr="00E66B2D" w:rsidRDefault="008B0FB8" w:rsidP="008B0FB8">
            <w:pPr>
              <w:rPr>
                <w:rFonts w:ascii="Arial" w:hAnsi="Arial" w:cs="Arial"/>
                <w:color w:val="000000"/>
                <w:sz w:val="22"/>
                <w:szCs w:val="22"/>
              </w:rPr>
            </w:pPr>
            <w:r w:rsidRPr="00E66B2D">
              <w:rPr>
                <w:rFonts w:ascii="Arial" w:hAnsi="Arial" w:cs="Arial"/>
                <w:color w:val="000000"/>
                <w:sz w:val="22"/>
                <w:szCs w:val="22"/>
              </w:rPr>
              <w:t>Rate of inflation (increase or decrease by 1%)</w:t>
            </w:r>
          </w:p>
        </w:tc>
        <w:tc>
          <w:tcPr>
            <w:tcW w:w="1514" w:type="dxa"/>
            <w:tcBorders>
              <w:top w:val="nil"/>
              <w:left w:val="nil"/>
              <w:bottom w:val="nil"/>
              <w:right w:val="single" w:sz="8" w:space="0" w:color="auto"/>
            </w:tcBorders>
            <w:shd w:val="clear" w:color="000000" w:fill="BFBFBF"/>
            <w:vAlign w:val="center"/>
            <w:hideMark/>
          </w:tcPr>
          <w:p w14:paraId="65AEF8EE" w14:textId="3FAA2201" w:rsidR="008B0FB8" w:rsidRPr="00E66B2D" w:rsidRDefault="008B0FB8" w:rsidP="008B0FB8">
            <w:pPr>
              <w:jc w:val="right"/>
              <w:rPr>
                <w:rFonts w:ascii="Arial" w:hAnsi="Arial" w:cs="Arial"/>
                <w:sz w:val="22"/>
                <w:szCs w:val="22"/>
              </w:rPr>
            </w:pPr>
            <w:r>
              <w:rPr>
                <w:rFonts w:ascii="Arial" w:hAnsi="Arial" w:cs="Arial"/>
                <w:sz w:val="22"/>
                <w:szCs w:val="22"/>
              </w:rPr>
              <w:t>67,676</w:t>
            </w:r>
          </w:p>
        </w:tc>
        <w:tc>
          <w:tcPr>
            <w:tcW w:w="1488" w:type="dxa"/>
            <w:tcBorders>
              <w:top w:val="nil"/>
              <w:left w:val="nil"/>
              <w:bottom w:val="nil"/>
              <w:right w:val="single" w:sz="8" w:space="0" w:color="auto"/>
            </w:tcBorders>
            <w:shd w:val="clear" w:color="000000" w:fill="BFBFBF"/>
            <w:vAlign w:val="center"/>
            <w:hideMark/>
          </w:tcPr>
          <w:p w14:paraId="0490A91E" w14:textId="5495D661" w:rsidR="008B0FB8" w:rsidRPr="00E66B2D" w:rsidRDefault="008B0FB8" w:rsidP="008B0FB8">
            <w:pPr>
              <w:jc w:val="right"/>
              <w:rPr>
                <w:rFonts w:ascii="Arial" w:hAnsi="Arial" w:cs="Arial"/>
                <w:sz w:val="22"/>
                <w:szCs w:val="22"/>
              </w:rPr>
            </w:pPr>
            <w:r>
              <w:rPr>
                <w:rFonts w:ascii="Arial" w:hAnsi="Arial" w:cs="Arial"/>
                <w:sz w:val="22"/>
                <w:szCs w:val="22"/>
              </w:rPr>
              <w:t>(67,676)</w:t>
            </w:r>
          </w:p>
        </w:tc>
        <w:tc>
          <w:tcPr>
            <w:tcW w:w="1588" w:type="dxa"/>
            <w:tcBorders>
              <w:top w:val="nil"/>
              <w:left w:val="nil"/>
              <w:bottom w:val="nil"/>
              <w:right w:val="single" w:sz="8" w:space="0" w:color="auto"/>
            </w:tcBorders>
            <w:shd w:val="clear" w:color="000000" w:fill="BFBFBF"/>
            <w:vAlign w:val="center"/>
            <w:hideMark/>
          </w:tcPr>
          <w:p w14:paraId="3CB49188" w14:textId="36C81468" w:rsidR="008B0FB8" w:rsidRPr="00E66B2D" w:rsidRDefault="008B0FB8" w:rsidP="008B0FB8">
            <w:pPr>
              <w:jc w:val="right"/>
              <w:rPr>
                <w:rFonts w:ascii="Arial" w:hAnsi="Arial" w:cs="Arial"/>
                <w:sz w:val="22"/>
                <w:szCs w:val="22"/>
              </w:rPr>
            </w:pPr>
            <w:r>
              <w:rPr>
                <w:rFonts w:ascii="Arial" w:hAnsi="Arial" w:cs="Arial"/>
                <w:sz w:val="22"/>
                <w:szCs w:val="22"/>
              </w:rPr>
              <w:t>940</w:t>
            </w:r>
          </w:p>
        </w:tc>
        <w:tc>
          <w:tcPr>
            <w:tcW w:w="1735" w:type="dxa"/>
            <w:tcBorders>
              <w:top w:val="nil"/>
              <w:left w:val="nil"/>
              <w:bottom w:val="nil"/>
              <w:right w:val="single" w:sz="8" w:space="0" w:color="auto"/>
            </w:tcBorders>
            <w:shd w:val="clear" w:color="000000" w:fill="BFBFBF"/>
            <w:vAlign w:val="center"/>
            <w:hideMark/>
          </w:tcPr>
          <w:p w14:paraId="763FD9A2" w14:textId="4F1FD6DA" w:rsidR="008B0FB8" w:rsidRPr="00E66B2D" w:rsidRDefault="008B0FB8" w:rsidP="008B0FB8">
            <w:pPr>
              <w:jc w:val="right"/>
              <w:rPr>
                <w:rFonts w:ascii="Arial" w:hAnsi="Arial" w:cs="Arial"/>
                <w:sz w:val="22"/>
                <w:szCs w:val="22"/>
              </w:rPr>
            </w:pPr>
            <w:r>
              <w:rPr>
                <w:rFonts w:ascii="Arial" w:hAnsi="Arial" w:cs="Arial"/>
                <w:sz w:val="22"/>
                <w:szCs w:val="22"/>
              </w:rPr>
              <w:t>(940)</w:t>
            </w:r>
          </w:p>
        </w:tc>
      </w:tr>
      <w:tr w:rsidR="008B0FB8" w:rsidRPr="00E66B2D" w14:paraId="0615A05F" w14:textId="77777777" w:rsidTr="008B0FB8">
        <w:trPr>
          <w:trHeight w:val="600"/>
        </w:trPr>
        <w:tc>
          <w:tcPr>
            <w:tcW w:w="4535" w:type="dxa"/>
            <w:tcBorders>
              <w:top w:val="nil"/>
              <w:left w:val="single" w:sz="8" w:space="0" w:color="auto"/>
              <w:bottom w:val="nil"/>
              <w:right w:val="single" w:sz="8" w:space="0" w:color="auto"/>
            </w:tcBorders>
            <w:shd w:val="clear" w:color="000000" w:fill="BFBFBF"/>
            <w:vAlign w:val="center"/>
            <w:hideMark/>
          </w:tcPr>
          <w:p w14:paraId="5ED6C0BC" w14:textId="77777777" w:rsidR="008B0FB8" w:rsidRPr="00E66B2D" w:rsidRDefault="008B0FB8" w:rsidP="008B0FB8">
            <w:pPr>
              <w:rPr>
                <w:rFonts w:ascii="Arial" w:hAnsi="Arial" w:cs="Arial"/>
                <w:color w:val="000000"/>
                <w:sz w:val="22"/>
                <w:szCs w:val="22"/>
              </w:rPr>
            </w:pPr>
            <w:r w:rsidRPr="00E66B2D">
              <w:rPr>
                <w:rFonts w:ascii="Arial" w:hAnsi="Arial" w:cs="Arial"/>
                <w:color w:val="000000"/>
                <w:sz w:val="22"/>
                <w:szCs w:val="22"/>
              </w:rPr>
              <w:t>Rate for discounting scheme liabilities (increase or decrease by 1%)</w:t>
            </w:r>
          </w:p>
        </w:tc>
        <w:tc>
          <w:tcPr>
            <w:tcW w:w="1514" w:type="dxa"/>
            <w:tcBorders>
              <w:top w:val="nil"/>
              <w:left w:val="nil"/>
              <w:bottom w:val="nil"/>
              <w:right w:val="single" w:sz="8" w:space="0" w:color="auto"/>
            </w:tcBorders>
            <w:shd w:val="clear" w:color="000000" w:fill="BFBFBF"/>
            <w:vAlign w:val="center"/>
            <w:hideMark/>
          </w:tcPr>
          <w:p w14:paraId="6FACC529" w14:textId="46F095CA" w:rsidR="008B0FB8" w:rsidRPr="00E66B2D" w:rsidRDefault="00886AE4" w:rsidP="008B0FB8">
            <w:pPr>
              <w:jc w:val="right"/>
              <w:rPr>
                <w:rFonts w:ascii="Arial" w:hAnsi="Arial" w:cs="Arial"/>
                <w:sz w:val="22"/>
                <w:szCs w:val="22"/>
              </w:rPr>
            </w:pPr>
            <w:r>
              <w:rPr>
                <w:rFonts w:ascii="Arial" w:hAnsi="Arial" w:cs="Arial"/>
                <w:sz w:val="22"/>
                <w:szCs w:val="22"/>
              </w:rPr>
              <w:t>(</w:t>
            </w:r>
            <w:r w:rsidR="008B0FB8">
              <w:rPr>
                <w:rFonts w:ascii="Arial" w:hAnsi="Arial" w:cs="Arial"/>
                <w:sz w:val="22"/>
                <w:szCs w:val="22"/>
              </w:rPr>
              <w:t>63,490</w:t>
            </w:r>
            <w:r>
              <w:rPr>
                <w:rFonts w:ascii="Arial" w:hAnsi="Arial" w:cs="Arial"/>
                <w:sz w:val="22"/>
                <w:szCs w:val="22"/>
              </w:rPr>
              <w:t>)</w:t>
            </w:r>
          </w:p>
        </w:tc>
        <w:tc>
          <w:tcPr>
            <w:tcW w:w="1488" w:type="dxa"/>
            <w:tcBorders>
              <w:top w:val="nil"/>
              <w:left w:val="nil"/>
              <w:bottom w:val="nil"/>
              <w:right w:val="single" w:sz="8" w:space="0" w:color="auto"/>
            </w:tcBorders>
            <w:shd w:val="clear" w:color="000000" w:fill="BFBFBF"/>
            <w:vAlign w:val="center"/>
            <w:hideMark/>
          </w:tcPr>
          <w:p w14:paraId="5214A011" w14:textId="5B0C0A37" w:rsidR="008B0FB8" w:rsidRPr="00E66B2D" w:rsidRDefault="008B0FB8" w:rsidP="008B0FB8">
            <w:pPr>
              <w:jc w:val="right"/>
              <w:rPr>
                <w:rFonts w:ascii="Arial" w:hAnsi="Arial" w:cs="Arial"/>
                <w:sz w:val="22"/>
                <w:szCs w:val="22"/>
              </w:rPr>
            </w:pPr>
            <w:r>
              <w:rPr>
                <w:rFonts w:ascii="Arial" w:hAnsi="Arial" w:cs="Arial"/>
                <w:sz w:val="22"/>
                <w:szCs w:val="22"/>
              </w:rPr>
              <w:t>63,490</w:t>
            </w:r>
          </w:p>
        </w:tc>
        <w:tc>
          <w:tcPr>
            <w:tcW w:w="1588" w:type="dxa"/>
            <w:tcBorders>
              <w:top w:val="nil"/>
              <w:left w:val="nil"/>
              <w:bottom w:val="nil"/>
              <w:right w:val="single" w:sz="8" w:space="0" w:color="auto"/>
            </w:tcBorders>
            <w:shd w:val="clear" w:color="000000" w:fill="BFBFBF"/>
            <w:vAlign w:val="center"/>
            <w:hideMark/>
          </w:tcPr>
          <w:p w14:paraId="7C4D94D9" w14:textId="6DC72EBA" w:rsidR="008B0FB8" w:rsidRPr="00E66B2D" w:rsidRDefault="00886AE4" w:rsidP="008B0FB8">
            <w:pPr>
              <w:jc w:val="right"/>
              <w:rPr>
                <w:rFonts w:ascii="Arial" w:hAnsi="Arial" w:cs="Arial"/>
                <w:sz w:val="22"/>
                <w:szCs w:val="22"/>
              </w:rPr>
            </w:pPr>
            <w:r>
              <w:rPr>
                <w:rFonts w:ascii="Arial" w:hAnsi="Arial" w:cs="Arial"/>
                <w:sz w:val="22"/>
                <w:szCs w:val="22"/>
              </w:rPr>
              <w:t>(</w:t>
            </w:r>
            <w:r w:rsidR="008B0FB8">
              <w:rPr>
                <w:rFonts w:ascii="Arial" w:hAnsi="Arial" w:cs="Arial"/>
                <w:sz w:val="22"/>
                <w:szCs w:val="22"/>
              </w:rPr>
              <w:t>890</w:t>
            </w:r>
            <w:r>
              <w:rPr>
                <w:rFonts w:ascii="Arial" w:hAnsi="Arial" w:cs="Arial"/>
                <w:sz w:val="22"/>
                <w:szCs w:val="22"/>
              </w:rPr>
              <w:t>)</w:t>
            </w:r>
          </w:p>
        </w:tc>
        <w:tc>
          <w:tcPr>
            <w:tcW w:w="1735" w:type="dxa"/>
            <w:tcBorders>
              <w:top w:val="nil"/>
              <w:left w:val="nil"/>
              <w:bottom w:val="nil"/>
              <w:right w:val="single" w:sz="8" w:space="0" w:color="auto"/>
            </w:tcBorders>
            <w:shd w:val="clear" w:color="000000" w:fill="BFBFBF"/>
            <w:vAlign w:val="center"/>
            <w:hideMark/>
          </w:tcPr>
          <w:p w14:paraId="47543F85" w14:textId="3B214883" w:rsidR="008B0FB8" w:rsidRPr="00E66B2D" w:rsidRDefault="008B0FB8" w:rsidP="008B0FB8">
            <w:pPr>
              <w:jc w:val="right"/>
              <w:rPr>
                <w:rFonts w:ascii="Arial" w:hAnsi="Arial" w:cs="Arial"/>
                <w:sz w:val="22"/>
                <w:szCs w:val="22"/>
              </w:rPr>
            </w:pPr>
            <w:r>
              <w:rPr>
                <w:rFonts w:ascii="Arial" w:hAnsi="Arial" w:cs="Arial"/>
                <w:sz w:val="22"/>
                <w:szCs w:val="22"/>
              </w:rPr>
              <w:t>890</w:t>
            </w:r>
          </w:p>
        </w:tc>
      </w:tr>
      <w:tr w:rsidR="008B0FB8" w:rsidRPr="00E66B2D" w14:paraId="6F2008C7" w14:textId="77777777" w:rsidTr="008B0FB8">
        <w:trPr>
          <w:trHeight w:val="600"/>
        </w:trPr>
        <w:tc>
          <w:tcPr>
            <w:tcW w:w="4535" w:type="dxa"/>
            <w:tcBorders>
              <w:top w:val="nil"/>
              <w:left w:val="single" w:sz="8" w:space="0" w:color="auto"/>
              <w:bottom w:val="nil"/>
              <w:right w:val="single" w:sz="8" w:space="0" w:color="auto"/>
            </w:tcBorders>
            <w:shd w:val="clear" w:color="000000" w:fill="BFBFBF"/>
            <w:vAlign w:val="center"/>
            <w:hideMark/>
          </w:tcPr>
          <w:p w14:paraId="06B601D4" w14:textId="77777777" w:rsidR="008B0FB8" w:rsidRPr="00E66B2D" w:rsidRDefault="008B0FB8" w:rsidP="008B0FB8">
            <w:pPr>
              <w:rPr>
                <w:rFonts w:ascii="Arial" w:hAnsi="Arial" w:cs="Arial"/>
                <w:color w:val="000000"/>
                <w:sz w:val="22"/>
                <w:szCs w:val="22"/>
              </w:rPr>
            </w:pPr>
            <w:r w:rsidRPr="00E66B2D">
              <w:rPr>
                <w:rFonts w:ascii="Arial" w:hAnsi="Arial" w:cs="Arial"/>
                <w:color w:val="000000"/>
                <w:sz w:val="22"/>
                <w:szCs w:val="22"/>
              </w:rPr>
              <w:t>Rate of increase in salaries (increase or decrease by 1%)</w:t>
            </w:r>
          </w:p>
        </w:tc>
        <w:tc>
          <w:tcPr>
            <w:tcW w:w="1514" w:type="dxa"/>
            <w:tcBorders>
              <w:top w:val="nil"/>
              <w:left w:val="nil"/>
              <w:bottom w:val="nil"/>
              <w:right w:val="single" w:sz="8" w:space="0" w:color="auto"/>
            </w:tcBorders>
            <w:shd w:val="clear" w:color="000000" w:fill="BFBFBF"/>
            <w:vAlign w:val="center"/>
            <w:hideMark/>
          </w:tcPr>
          <w:p w14:paraId="0F70E707" w14:textId="2D8A7645" w:rsidR="008B0FB8" w:rsidRPr="00E66B2D" w:rsidRDefault="008B0FB8" w:rsidP="008B0FB8">
            <w:pPr>
              <w:jc w:val="right"/>
              <w:rPr>
                <w:rFonts w:ascii="Arial" w:hAnsi="Arial" w:cs="Arial"/>
                <w:sz w:val="22"/>
                <w:szCs w:val="22"/>
              </w:rPr>
            </w:pPr>
            <w:r>
              <w:rPr>
                <w:rFonts w:ascii="Arial" w:hAnsi="Arial" w:cs="Arial"/>
                <w:sz w:val="22"/>
                <w:szCs w:val="22"/>
              </w:rPr>
              <w:t>13,768</w:t>
            </w:r>
          </w:p>
        </w:tc>
        <w:tc>
          <w:tcPr>
            <w:tcW w:w="1488" w:type="dxa"/>
            <w:tcBorders>
              <w:top w:val="nil"/>
              <w:left w:val="nil"/>
              <w:bottom w:val="nil"/>
              <w:right w:val="single" w:sz="8" w:space="0" w:color="auto"/>
            </w:tcBorders>
            <w:shd w:val="clear" w:color="000000" w:fill="BFBFBF"/>
            <w:vAlign w:val="center"/>
            <w:hideMark/>
          </w:tcPr>
          <w:p w14:paraId="795BB62E" w14:textId="650454D1" w:rsidR="008B0FB8" w:rsidRPr="00E66B2D" w:rsidRDefault="008B0FB8" w:rsidP="008B0FB8">
            <w:pPr>
              <w:jc w:val="right"/>
              <w:rPr>
                <w:rFonts w:ascii="Arial" w:hAnsi="Arial" w:cs="Arial"/>
                <w:sz w:val="22"/>
                <w:szCs w:val="22"/>
              </w:rPr>
            </w:pPr>
            <w:r>
              <w:rPr>
                <w:rFonts w:ascii="Arial" w:hAnsi="Arial" w:cs="Arial"/>
                <w:sz w:val="22"/>
                <w:szCs w:val="22"/>
              </w:rPr>
              <w:t>(13,768)</w:t>
            </w:r>
          </w:p>
        </w:tc>
        <w:tc>
          <w:tcPr>
            <w:tcW w:w="1588" w:type="dxa"/>
            <w:tcBorders>
              <w:top w:val="nil"/>
              <w:left w:val="nil"/>
              <w:bottom w:val="nil"/>
              <w:right w:val="single" w:sz="8" w:space="0" w:color="auto"/>
            </w:tcBorders>
            <w:shd w:val="clear" w:color="000000" w:fill="BFBFBF"/>
            <w:vAlign w:val="center"/>
            <w:hideMark/>
          </w:tcPr>
          <w:p w14:paraId="4E68FD38" w14:textId="127AC3DA" w:rsidR="008B0FB8" w:rsidRPr="00E66B2D" w:rsidRDefault="008B0FB8" w:rsidP="008B0FB8">
            <w:pPr>
              <w:jc w:val="right"/>
              <w:rPr>
                <w:rFonts w:ascii="Arial" w:hAnsi="Arial" w:cs="Arial"/>
                <w:sz w:val="22"/>
                <w:szCs w:val="22"/>
              </w:rPr>
            </w:pPr>
            <w:r>
              <w:rPr>
                <w:rFonts w:ascii="Arial" w:hAnsi="Arial" w:cs="Arial"/>
                <w:sz w:val="22"/>
                <w:szCs w:val="22"/>
              </w:rPr>
              <w:t>228</w:t>
            </w:r>
          </w:p>
        </w:tc>
        <w:tc>
          <w:tcPr>
            <w:tcW w:w="1735" w:type="dxa"/>
            <w:tcBorders>
              <w:top w:val="nil"/>
              <w:left w:val="nil"/>
              <w:bottom w:val="nil"/>
              <w:right w:val="single" w:sz="8" w:space="0" w:color="auto"/>
            </w:tcBorders>
            <w:shd w:val="clear" w:color="000000" w:fill="BFBFBF"/>
            <w:vAlign w:val="center"/>
            <w:hideMark/>
          </w:tcPr>
          <w:p w14:paraId="2CC72696" w14:textId="01998B5B" w:rsidR="008B0FB8" w:rsidRPr="00E66B2D" w:rsidRDefault="008B0FB8" w:rsidP="008B0FB8">
            <w:pPr>
              <w:jc w:val="right"/>
              <w:rPr>
                <w:rFonts w:ascii="Arial" w:hAnsi="Arial" w:cs="Arial"/>
                <w:sz w:val="22"/>
                <w:szCs w:val="22"/>
              </w:rPr>
            </w:pPr>
            <w:r>
              <w:rPr>
                <w:rFonts w:ascii="Arial" w:hAnsi="Arial" w:cs="Arial"/>
                <w:sz w:val="22"/>
                <w:szCs w:val="22"/>
              </w:rPr>
              <w:t>(228)</w:t>
            </w:r>
          </w:p>
        </w:tc>
      </w:tr>
      <w:tr w:rsidR="008B0FB8" w:rsidRPr="00E66B2D" w14:paraId="480162E2" w14:textId="77777777" w:rsidTr="008B0FB8">
        <w:trPr>
          <w:trHeight w:val="600"/>
        </w:trPr>
        <w:tc>
          <w:tcPr>
            <w:tcW w:w="4535" w:type="dxa"/>
            <w:tcBorders>
              <w:top w:val="nil"/>
              <w:left w:val="single" w:sz="8" w:space="0" w:color="auto"/>
              <w:bottom w:val="single" w:sz="8" w:space="0" w:color="auto"/>
              <w:right w:val="single" w:sz="8" w:space="0" w:color="auto"/>
            </w:tcBorders>
            <w:shd w:val="clear" w:color="000000" w:fill="BFBFBF"/>
            <w:vAlign w:val="center"/>
            <w:hideMark/>
          </w:tcPr>
          <w:p w14:paraId="3AFDB4A7" w14:textId="77777777" w:rsidR="008B0FB8" w:rsidRPr="00E66B2D" w:rsidRDefault="008B0FB8" w:rsidP="008B0FB8">
            <w:pPr>
              <w:rPr>
                <w:rFonts w:ascii="Arial" w:hAnsi="Arial" w:cs="Arial"/>
                <w:color w:val="000000"/>
                <w:sz w:val="22"/>
                <w:szCs w:val="22"/>
              </w:rPr>
            </w:pPr>
            <w:r w:rsidRPr="00E66B2D">
              <w:rPr>
                <w:rFonts w:ascii="Arial" w:hAnsi="Arial" w:cs="Arial"/>
                <w:color w:val="000000"/>
                <w:sz w:val="22"/>
                <w:szCs w:val="22"/>
              </w:rPr>
              <w:t>Rate of change in investment returns (increase or decrease by 1%)</w:t>
            </w:r>
          </w:p>
        </w:tc>
        <w:tc>
          <w:tcPr>
            <w:tcW w:w="1514" w:type="dxa"/>
            <w:tcBorders>
              <w:top w:val="nil"/>
              <w:left w:val="nil"/>
              <w:bottom w:val="single" w:sz="8" w:space="0" w:color="auto"/>
              <w:right w:val="single" w:sz="8" w:space="0" w:color="auto"/>
            </w:tcBorders>
            <w:shd w:val="clear" w:color="000000" w:fill="BFBFBF"/>
            <w:vAlign w:val="center"/>
            <w:hideMark/>
          </w:tcPr>
          <w:p w14:paraId="320835F9" w14:textId="4D290923" w:rsidR="008B0FB8" w:rsidRPr="00E66B2D" w:rsidRDefault="008B0FB8" w:rsidP="008B0FB8">
            <w:pPr>
              <w:jc w:val="right"/>
              <w:rPr>
                <w:rFonts w:ascii="Arial" w:hAnsi="Arial" w:cs="Arial"/>
                <w:sz w:val="22"/>
                <w:szCs w:val="22"/>
              </w:rPr>
            </w:pPr>
            <w:r>
              <w:rPr>
                <w:rFonts w:ascii="Arial" w:hAnsi="Arial" w:cs="Arial"/>
                <w:sz w:val="22"/>
                <w:szCs w:val="22"/>
              </w:rPr>
              <w:t>6,084</w:t>
            </w:r>
          </w:p>
        </w:tc>
        <w:tc>
          <w:tcPr>
            <w:tcW w:w="1488" w:type="dxa"/>
            <w:tcBorders>
              <w:top w:val="nil"/>
              <w:left w:val="nil"/>
              <w:bottom w:val="single" w:sz="8" w:space="0" w:color="auto"/>
              <w:right w:val="single" w:sz="8" w:space="0" w:color="auto"/>
            </w:tcBorders>
            <w:shd w:val="clear" w:color="000000" w:fill="BFBFBF"/>
            <w:vAlign w:val="center"/>
            <w:hideMark/>
          </w:tcPr>
          <w:p w14:paraId="000B59FE" w14:textId="3B803B76" w:rsidR="008B0FB8" w:rsidRPr="00E66B2D" w:rsidRDefault="009C1CE2" w:rsidP="008B0FB8">
            <w:pPr>
              <w:jc w:val="right"/>
              <w:rPr>
                <w:rFonts w:ascii="Arial" w:hAnsi="Arial" w:cs="Arial"/>
                <w:sz w:val="22"/>
                <w:szCs w:val="22"/>
              </w:rPr>
            </w:pPr>
            <w:r>
              <w:rPr>
                <w:rFonts w:ascii="Arial" w:hAnsi="Arial" w:cs="Arial"/>
                <w:sz w:val="22"/>
                <w:szCs w:val="22"/>
              </w:rPr>
              <w:t>(</w:t>
            </w:r>
            <w:r w:rsidR="008B0FB8">
              <w:rPr>
                <w:rFonts w:ascii="Arial" w:hAnsi="Arial" w:cs="Arial"/>
                <w:sz w:val="22"/>
                <w:szCs w:val="22"/>
              </w:rPr>
              <w:t>6,084</w:t>
            </w:r>
            <w:r>
              <w:rPr>
                <w:rFonts w:ascii="Arial" w:hAnsi="Arial" w:cs="Arial"/>
                <w:sz w:val="22"/>
                <w:szCs w:val="22"/>
              </w:rPr>
              <w:t>)</w:t>
            </w:r>
          </w:p>
        </w:tc>
        <w:tc>
          <w:tcPr>
            <w:tcW w:w="1588" w:type="dxa"/>
            <w:tcBorders>
              <w:top w:val="nil"/>
              <w:left w:val="nil"/>
              <w:bottom w:val="single" w:sz="8" w:space="0" w:color="auto"/>
              <w:right w:val="single" w:sz="8" w:space="0" w:color="auto"/>
            </w:tcBorders>
            <w:shd w:val="clear" w:color="000000" w:fill="BFBFBF"/>
            <w:vAlign w:val="center"/>
            <w:hideMark/>
          </w:tcPr>
          <w:p w14:paraId="4E881228" w14:textId="644DFC34" w:rsidR="008B0FB8" w:rsidRPr="00E66B2D" w:rsidRDefault="008B0FB8" w:rsidP="008B0FB8">
            <w:pPr>
              <w:jc w:val="right"/>
              <w:rPr>
                <w:rFonts w:ascii="Arial" w:hAnsi="Arial" w:cs="Arial"/>
                <w:sz w:val="22"/>
                <w:szCs w:val="22"/>
              </w:rPr>
            </w:pPr>
            <w:r>
              <w:rPr>
                <w:rFonts w:ascii="Arial" w:hAnsi="Arial" w:cs="Arial"/>
                <w:sz w:val="22"/>
                <w:szCs w:val="22"/>
              </w:rPr>
              <w:t>95</w:t>
            </w:r>
          </w:p>
        </w:tc>
        <w:tc>
          <w:tcPr>
            <w:tcW w:w="1735" w:type="dxa"/>
            <w:tcBorders>
              <w:top w:val="nil"/>
              <w:left w:val="nil"/>
              <w:bottom w:val="single" w:sz="8" w:space="0" w:color="auto"/>
              <w:right w:val="single" w:sz="8" w:space="0" w:color="auto"/>
            </w:tcBorders>
            <w:shd w:val="clear" w:color="000000" w:fill="BFBFBF"/>
            <w:vAlign w:val="center"/>
            <w:hideMark/>
          </w:tcPr>
          <w:p w14:paraId="552D5ACE" w14:textId="5AD14165" w:rsidR="008B0FB8" w:rsidRPr="00E66B2D" w:rsidRDefault="009C1CE2" w:rsidP="008B0FB8">
            <w:pPr>
              <w:jc w:val="right"/>
              <w:rPr>
                <w:rFonts w:ascii="Arial" w:hAnsi="Arial" w:cs="Arial"/>
                <w:sz w:val="22"/>
                <w:szCs w:val="22"/>
              </w:rPr>
            </w:pPr>
            <w:r>
              <w:rPr>
                <w:rFonts w:ascii="Arial" w:hAnsi="Arial" w:cs="Arial"/>
                <w:sz w:val="22"/>
                <w:szCs w:val="22"/>
              </w:rPr>
              <w:t>(</w:t>
            </w:r>
            <w:r w:rsidR="008B0FB8">
              <w:rPr>
                <w:rFonts w:ascii="Arial" w:hAnsi="Arial" w:cs="Arial"/>
                <w:sz w:val="22"/>
                <w:szCs w:val="22"/>
              </w:rPr>
              <w:t>95</w:t>
            </w:r>
            <w:r>
              <w:rPr>
                <w:rFonts w:ascii="Arial" w:hAnsi="Arial" w:cs="Arial"/>
                <w:sz w:val="22"/>
                <w:szCs w:val="22"/>
              </w:rPr>
              <w:t>)</w:t>
            </w:r>
          </w:p>
        </w:tc>
      </w:tr>
    </w:tbl>
    <w:p w14:paraId="44941C2A" w14:textId="77777777" w:rsidR="003B74DA" w:rsidRPr="00645FC2" w:rsidRDefault="003B74DA" w:rsidP="003B74DA">
      <w:pPr>
        <w:tabs>
          <w:tab w:val="left" w:pos="426"/>
        </w:tabs>
        <w:ind w:left="426"/>
        <w:rPr>
          <w:rFonts w:ascii="Arial" w:hAnsi="Arial"/>
          <w:sz w:val="22"/>
          <w:szCs w:val="22"/>
          <w:highlight w:val="yellow"/>
        </w:rPr>
      </w:pPr>
    </w:p>
    <w:p w14:paraId="5E6A72E4" w14:textId="3BAF85EA" w:rsidR="003B74DA" w:rsidRPr="00E626B4" w:rsidRDefault="003B74DA" w:rsidP="003B74DA">
      <w:pPr>
        <w:tabs>
          <w:tab w:val="left" w:pos="426"/>
        </w:tabs>
        <w:ind w:left="426"/>
        <w:rPr>
          <w:rFonts w:ascii="Arial" w:hAnsi="Arial"/>
          <w:sz w:val="22"/>
          <w:szCs w:val="22"/>
        </w:rPr>
      </w:pPr>
      <w:r w:rsidRPr="00E626B4">
        <w:rPr>
          <w:rFonts w:ascii="Arial" w:hAnsi="Arial"/>
          <w:sz w:val="22"/>
          <w:szCs w:val="22"/>
        </w:rPr>
        <w:t>Police officer pension schemes and injury benefits (PCC Group only – all pension obligations relate to officers employed by the CC):</w:t>
      </w:r>
    </w:p>
    <w:p w14:paraId="34C66D52" w14:textId="77777777" w:rsidR="003B74DA" w:rsidRPr="00E626B4" w:rsidRDefault="003B74DA" w:rsidP="003B74DA">
      <w:pPr>
        <w:tabs>
          <w:tab w:val="left" w:pos="426"/>
        </w:tabs>
        <w:ind w:left="426"/>
        <w:rPr>
          <w:rFonts w:ascii="Arial" w:hAnsi="Arial"/>
          <w:sz w:val="22"/>
          <w:szCs w:val="22"/>
        </w:rPr>
      </w:pPr>
    </w:p>
    <w:p w14:paraId="179BDE1B" w14:textId="77777777" w:rsidR="00FA3C6E" w:rsidRPr="00645FC2" w:rsidRDefault="00FA3C6E" w:rsidP="00FA3C6E">
      <w:pPr>
        <w:tabs>
          <w:tab w:val="right" w:pos="5760"/>
        </w:tabs>
        <w:ind w:left="426"/>
        <w:rPr>
          <w:rFonts w:ascii="Arial" w:hAnsi="Arial"/>
          <w:b/>
          <w:sz w:val="22"/>
          <w:szCs w:val="22"/>
          <w:highlight w:val="yellow"/>
        </w:rPr>
      </w:pPr>
    </w:p>
    <w:tbl>
      <w:tblPr>
        <w:tblW w:w="10860" w:type="dxa"/>
        <w:tblLook w:val="04A0" w:firstRow="1" w:lastRow="0" w:firstColumn="1" w:lastColumn="0" w:noHBand="0" w:noVBand="1"/>
      </w:tblPr>
      <w:tblGrid>
        <w:gridCol w:w="4535"/>
        <w:gridCol w:w="1514"/>
        <w:gridCol w:w="1488"/>
        <w:gridCol w:w="1588"/>
        <w:gridCol w:w="1735"/>
      </w:tblGrid>
      <w:tr w:rsidR="00E66B2D" w:rsidRPr="00E66B2D" w14:paraId="7AC77E62" w14:textId="77777777" w:rsidTr="00DE422F">
        <w:trPr>
          <w:trHeight w:val="600"/>
        </w:trPr>
        <w:tc>
          <w:tcPr>
            <w:tcW w:w="4535" w:type="dxa"/>
            <w:tcBorders>
              <w:top w:val="single" w:sz="8" w:space="0" w:color="auto"/>
              <w:left w:val="single" w:sz="8" w:space="0" w:color="auto"/>
              <w:bottom w:val="nil"/>
              <w:right w:val="single" w:sz="8" w:space="0" w:color="auto"/>
            </w:tcBorders>
            <w:shd w:val="clear" w:color="000000" w:fill="BFBFBF"/>
            <w:vAlign w:val="center"/>
            <w:hideMark/>
          </w:tcPr>
          <w:p w14:paraId="1FB8777C"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6325" w:type="dxa"/>
            <w:gridSpan w:val="4"/>
            <w:tcBorders>
              <w:top w:val="single" w:sz="8" w:space="0" w:color="auto"/>
              <w:left w:val="nil"/>
              <w:bottom w:val="single" w:sz="8" w:space="0" w:color="auto"/>
              <w:right w:val="single" w:sz="8" w:space="0" w:color="000000"/>
            </w:tcBorders>
            <w:shd w:val="clear" w:color="000000" w:fill="BFBFBF"/>
            <w:vAlign w:val="center"/>
            <w:hideMark/>
          </w:tcPr>
          <w:p w14:paraId="02CC82ED" w14:textId="77777777" w:rsidR="00E66B2D" w:rsidRPr="00E66B2D" w:rsidRDefault="00E66B2D" w:rsidP="00E66B2D">
            <w:pPr>
              <w:jc w:val="center"/>
              <w:rPr>
                <w:rFonts w:ascii="Arial" w:hAnsi="Arial" w:cs="Arial"/>
                <w:b/>
                <w:bCs/>
                <w:color w:val="000000"/>
                <w:sz w:val="22"/>
                <w:szCs w:val="22"/>
              </w:rPr>
            </w:pPr>
            <w:r w:rsidRPr="00E66B2D">
              <w:rPr>
                <w:rFonts w:ascii="Arial" w:hAnsi="Arial" w:cs="Arial"/>
                <w:b/>
                <w:bCs/>
                <w:color w:val="000000"/>
                <w:sz w:val="22"/>
                <w:szCs w:val="22"/>
              </w:rPr>
              <w:t>Impact on the Defined Benefit Obligation in the Scheme</w:t>
            </w:r>
          </w:p>
        </w:tc>
      </w:tr>
      <w:tr w:rsidR="00E66B2D" w:rsidRPr="00E66B2D" w14:paraId="0B9B053F" w14:textId="77777777" w:rsidTr="00DE422F">
        <w:trPr>
          <w:trHeight w:val="315"/>
        </w:trPr>
        <w:tc>
          <w:tcPr>
            <w:tcW w:w="4535" w:type="dxa"/>
            <w:tcBorders>
              <w:top w:val="nil"/>
              <w:left w:val="single" w:sz="8" w:space="0" w:color="auto"/>
              <w:bottom w:val="nil"/>
              <w:right w:val="single" w:sz="8" w:space="0" w:color="auto"/>
            </w:tcBorders>
            <w:shd w:val="clear" w:color="000000" w:fill="BFBFBF"/>
            <w:vAlign w:val="center"/>
            <w:hideMark/>
          </w:tcPr>
          <w:p w14:paraId="52486FF6"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3002" w:type="dxa"/>
            <w:gridSpan w:val="2"/>
            <w:tcBorders>
              <w:top w:val="single" w:sz="8" w:space="0" w:color="auto"/>
              <w:left w:val="nil"/>
              <w:bottom w:val="single" w:sz="8" w:space="0" w:color="auto"/>
              <w:right w:val="nil"/>
            </w:tcBorders>
            <w:shd w:val="clear" w:color="000000" w:fill="BFBFBF"/>
            <w:vAlign w:val="center"/>
            <w:hideMark/>
          </w:tcPr>
          <w:p w14:paraId="3FFC1299" w14:textId="77777777" w:rsidR="00E66B2D" w:rsidRPr="00E66B2D" w:rsidRDefault="00E66B2D" w:rsidP="00E66B2D">
            <w:pPr>
              <w:jc w:val="center"/>
              <w:rPr>
                <w:rFonts w:ascii="Arial" w:hAnsi="Arial" w:cs="Arial"/>
                <w:b/>
                <w:bCs/>
                <w:color w:val="000000"/>
                <w:sz w:val="22"/>
                <w:szCs w:val="22"/>
              </w:rPr>
            </w:pPr>
            <w:r w:rsidRPr="00E66B2D">
              <w:rPr>
                <w:rFonts w:ascii="Arial" w:hAnsi="Arial" w:cs="Arial"/>
                <w:b/>
                <w:bCs/>
                <w:color w:val="000000"/>
                <w:sz w:val="22"/>
                <w:szCs w:val="22"/>
              </w:rPr>
              <w:t>Police Pension Schemes</w:t>
            </w:r>
          </w:p>
        </w:tc>
        <w:tc>
          <w:tcPr>
            <w:tcW w:w="3323" w:type="dxa"/>
            <w:gridSpan w:val="2"/>
            <w:tcBorders>
              <w:top w:val="single" w:sz="8" w:space="0" w:color="auto"/>
              <w:left w:val="single" w:sz="8" w:space="0" w:color="auto"/>
              <w:bottom w:val="single" w:sz="8" w:space="0" w:color="auto"/>
              <w:right w:val="single" w:sz="8" w:space="0" w:color="000000"/>
            </w:tcBorders>
            <w:shd w:val="clear" w:color="000000" w:fill="BFBFBF"/>
            <w:vAlign w:val="center"/>
            <w:hideMark/>
          </w:tcPr>
          <w:p w14:paraId="44625671" w14:textId="77777777" w:rsidR="00E66B2D" w:rsidRPr="00E66B2D" w:rsidRDefault="00E66B2D" w:rsidP="00E66B2D">
            <w:pPr>
              <w:jc w:val="center"/>
              <w:rPr>
                <w:rFonts w:ascii="Arial" w:hAnsi="Arial" w:cs="Arial"/>
                <w:b/>
                <w:bCs/>
                <w:color w:val="000000"/>
                <w:sz w:val="22"/>
                <w:szCs w:val="22"/>
              </w:rPr>
            </w:pPr>
            <w:r w:rsidRPr="00E66B2D">
              <w:rPr>
                <w:rFonts w:ascii="Arial" w:hAnsi="Arial" w:cs="Arial"/>
                <w:b/>
                <w:bCs/>
                <w:color w:val="000000"/>
                <w:sz w:val="22"/>
                <w:szCs w:val="22"/>
              </w:rPr>
              <w:t>Injury Benefits</w:t>
            </w:r>
          </w:p>
        </w:tc>
      </w:tr>
      <w:tr w:rsidR="00E66B2D" w:rsidRPr="00E66B2D" w14:paraId="743B711C" w14:textId="77777777" w:rsidTr="00DE422F">
        <w:trPr>
          <w:trHeight w:val="600"/>
        </w:trPr>
        <w:tc>
          <w:tcPr>
            <w:tcW w:w="4535" w:type="dxa"/>
            <w:tcBorders>
              <w:top w:val="nil"/>
              <w:left w:val="single" w:sz="8" w:space="0" w:color="auto"/>
              <w:bottom w:val="nil"/>
              <w:right w:val="single" w:sz="8" w:space="0" w:color="auto"/>
            </w:tcBorders>
            <w:shd w:val="clear" w:color="000000" w:fill="BFBFBF"/>
            <w:vAlign w:val="center"/>
            <w:hideMark/>
          </w:tcPr>
          <w:p w14:paraId="5524ED58"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514" w:type="dxa"/>
            <w:tcBorders>
              <w:top w:val="nil"/>
              <w:left w:val="nil"/>
              <w:bottom w:val="nil"/>
              <w:right w:val="single" w:sz="8" w:space="0" w:color="auto"/>
            </w:tcBorders>
            <w:shd w:val="clear" w:color="000000" w:fill="BFBFBF"/>
            <w:vAlign w:val="center"/>
            <w:hideMark/>
          </w:tcPr>
          <w:p w14:paraId="04B2304C"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Increase in Assumption</w:t>
            </w:r>
          </w:p>
        </w:tc>
        <w:tc>
          <w:tcPr>
            <w:tcW w:w="1488" w:type="dxa"/>
            <w:tcBorders>
              <w:top w:val="nil"/>
              <w:left w:val="nil"/>
              <w:bottom w:val="nil"/>
              <w:right w:val="single" w:sz="8" w:space="0" w:color="auto"/>
            </w:tcBorders>
            <w:shd w:val="clear" w:color="000000" w:fill="BFBFBF"/>
            <w:vAlign w:val="center"/>
            <w:hideMark/>
          </w:tcPr>
          <w:p w14:paraId="42F39998"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Decrease in Assumption</w:t>
            </w:r>
          </w:p>
        </w:tc>
        <w:tc>
          <w:tcPr>
            <w:tcW w:w="1588" w:type="dxa"/>
            <w:tcBorders>
              <w:top w:val="nil"/>
              <w:left w:val="nil"/>
              <w:bottom w:val="nil"/>
              <w:right w:val="single" w:sz="8" w:space="0" w:color="auto"/>
            </w:tcBorders>
            <w:shd w:val="clear" w:color="000000" w:fill="BFBFBF"/>
            <w:vAlign w:val="center"/>
            <w:hideMark/>
          </w:tcPr>
          <w:p w14:paraId="165828B9"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Increase in Assumption</w:t>
            </w:r>
          </w:p>
        </w:tc>
        <w:tc>
          <w:tcPr>
            <w:tcW w:w="1735" w:type="dxa"/>
            <w:tcBorders>
              <w:top w:val="nil"/>
              <w:left w:val="nil"/>
              <w:bottom w:val="nil"/>
              <w:right w:val="single" w:sz="8" w:space="0" w:color="auto"/>
            </w:tcBorders>
            <w:shd w:val="clear" w:color="000000" w:fill="BFBFBF"/>
            <w:vAlign w:val="center"/>
            <w:hideMark/>
          </w:tcPr>
          <w:p w14:paraId="4F1F0624"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Decrease in Assumption</w:t>
            </w:r>
          </w:p>
        </w:tc>
      </w:tr>
      <w:tr w:rsidR="00E66B2D" w:rsidRPr="00E66B2D" w14:paraId="7E8F265C" w14:textId="77777777" w:rsidTr="00DE422F">
        <w:trPr>
          <w:trHeight w:val="300"/>
        </w:trPr>
        <w:tc>
          <w:tcPr>
            <w:tcW w:w="4535" w:type="dxa"/>
            <w:tcBorders>
              <w:top w:val="nil"/>
              <w:left w:val="single" w:sz="8" w:space="0" w:color="auto"/>
              <w:bottom w:val="nil"/>
              <w:right w:val="single" w:sz="8" w:space="0" w:color="auto"/>
            </w:tcBorders>
            <w:shd w:val="clear" w:color="000000" w:fill="BFBFBF"/>
            <w:vAlign w:val="center"/>
            <w:hideMark/>
          </w:tcPr>
          <w:p w14:paraId="276F3DCD"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514" w:type="dxa"/>
            <w:tcBorders>
              <w:top w:val="nil"/>
              <w:left w:val="nil"/>
              <w:bottom w:val="nil"/>
              <w:right w:val="single" w:sz="8" w:space="0" w:color="auto"/>
            </w:tcBorders>
            <w:shd w:val="clear" w:color="000000" w:fill="BFBFBF"/>
            <w:vAlign w:val="center"/>
            <w:hideMark/>
          </w:tcPr>
          <w:p w14:paraId="71A2BA69"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£,000</w:t>
            </w:r>
          </w:p>
        </w:tc>
        <w:tc>
          <w:tcPr>
            <w:tcW w:w="1488" w:type="dxa"/>
            <w:tcBorders>
              <w:top w:val="nil"/>
              <w:left w:val="nil"/>
              <w:bottom w:val="nil"/>
              <w:right w:val="single" w:sz="8" w:space="0" w:color="auto"/>
            </w:tcBorders>
            <w:shd w:val="clear" w:color="000000" w:fill="BFBFBF"/>
            <w:vAlign w:val="center"/>
            <w:hideMark/>
          </w:tcPr>
          <w:p w14:paraId="0AD63F4A"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£,000</w:t>
            </w:r>
          </w:p>
        </w:tc>
        <w:tc>
          <w:tcPr>
            <w:tcW w:w="1588" w:type="dxa"/>
            <w:tcBorders>
              <w:top w:val="nil"/>
              <w:left w:val="nil"/>
              <w:bottom w:val="nil"/>
              <w:right w:val="single" w:sz="8" w:space="0" w:color="auto"/>
            </w:tcBorders>
            <w:shd w:val="clear" w:color="000000" w:fill="BFBFBF"/>
            <w:vAlign w:val="center"/>
            <w:hideMark/>
          </w:tcPr>
          <w:p w14:paraId="5846B826" w14:textId="77777777" w:rsidR="00E66B2D" w:rsidRPr="00E66B2D" w:rsidRDefault="00E66B2D" w:rsidP="00E66B2D">
            <w:pPr>
              <w:jc w:val="right"/>
              <w:rPr>
                <w:rFonts w:ascii="Arial" w:hAnsi="Arial" w:cs="Arial"/>
                <w:b/>
                <w:bCs/>
                <w:color w:val="000000"/>
                <w:sz w:val="22"/>
                <w:szCs w:val="22"/>
              </w:rPr>
            </w:pPr>
            <w:r w:rsidRPr="00E66B2D">
              <w:rPr>
                <w:rFonts w:ascii="Arial" w:hAnsi="Arial" w:cs="Arial"/>
                <w:b/>
                <w:bCs/>
                <w:color w:val="000000"/>
                <w:sz w:val="22"/>
                <w:szCs w:val="22"/>
              </w:rPr>
              <w:t>£,000</w:t>
            </w:r>
          </w:p>
        </w:tc>
        <w:tc>
          <w:tcPr>
            <w:tcW w:w="1735" w:type="dxa"/>
            <w:tcBorders>
              <w:top w:val="nil"/>
              <w:left w:val="nil"/>
              <w:bottom w:val="nil"/>
              <w:right w:val="single" w:sz="8" w:space="0" w:color="auto"/>
            </w:tcBorders>
            <w:shd w:val="clear" w:color="000000" w:fill="BFBFBF"/>
            <w:vAlign w:val="center"/>
            <w:hideMark/>
          </w:tcPr>
          <w:p w14:paraId="2C136179" w14:textId="77777777" w:rsidR="00E66B2D" w:rsidRPr="00E66B2D" w:rsidRDefault="00E66B2D" w:rsidP="00E66B2D">
            <w:pPr>
              <w:jc w:val="right"/>
              <w:rPr>
                <w:rFonts w:ascii="Arial" w:hAnsi="Arial" w:cs="Arial"/>
                <w:b/>
                <w:bCs/>
                <w:sz w:val="22"/>
                <w:szCs w:val="22"/>
              </w:rPr>
            </w:pPr>
            <w:r w:rsidRPr="00E66B2D">
              <w:rPr>
                <w:rFonts w:ascii="Arial" w:hAnsi="Arial" w:cs="Arial"/>
                <w:b/>
                <w:bCs/>
                <w:sz w:val="22"/>
                <w:szCs w:val="22"/>
              </w:rPr>
              <w:t>£,000</w:t>
            </w:r>
          </w:p>
        </w:tc>
      </w:tr>
      <w:tr w:rsidR="00E66B2D" w:rsidRPr="00E66B2D" w14:paraId="3200AE2C" w14:textId="77777777" w:rsidTr="00DE422F">
        <w:trPr>
          <w:trHeight w:val="300"/>
        </w:trPr>
        <w:tc>
          <w:tcPr>
            <w:tcW w:w="4535" w:type="dxa"/>
            <w:tcBorders>
              <w:top w:val="nil"/>
              <w:left w:val="single" w:sz="8" w:space="0" w:color="auto"/>
              <w:bottom w:val="nil"/>
              <w:right w:val="single" w:sz="8" w:space="0" w:color="auto"/>
            </w:tcBorders>
            <w:shd w:val="clear" w:color="000000" w:fill="BFBFBF"/>
            <w:vAlign w:val="center"/>
            <w:hideMark/>
          </w:tcPr>
          <w:p w14:paraId="54BF9B98" w14:textId="77777777" w:rsidR="00E66B2D" w:rsidRPr="00E66B2D" w:rsidRDefault="00E66B2D" w:rsidP="00E66B2D">
            <w:pPr>
              <w:rPr>
                <w:rFonts w:ascii="Arial" w:hAnsi="Arial" w:cs="Arial"/>
                <w:sz w:val="22"/>
                <w:szCs w:val="22"/>
              </w:rPr>
            </w:pPr>
            <w:r w:rsidRPr="00E66B2D">
              <w:rPr>
                <w:rFonts w:ascii="Arial" w:hAnsi="Arial" w:cs="Arial"/>
                <w:sz w:val="22"/>
                <w:szCs w:val="22"/>
              </w:rPr>
              <w:t> </w:t>
            </w:r>
          </w:p>
        </w:tc>
        <w:tc>
          <w:tcPr>
            <w:tcW w:w="1514" w:type="dxa"/>
            <w:tcBorders>
              <w:top w:val="nil"/>
              <w:left w:val="nil"/>
              <w:bottom w:val="nil"/>
              <w:right w:val="single" w:sz="8" w:space="0" w:color="auto"/>
            </w:tcBorders>
            <w:shd w:val="clear" w:color="000000" w:fill="BFBFBF"/>
            <w:vAlign w:val="center"/>
            <w:hideMark/>
          </w:tcPr>
          <w:p w14:paraId="55C0FFF1"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488" w:type="dxa"/>
            <w:tcBorders>
              <w:top w:val="nil"/>
              <w:left w:val="nil"/>
              <w:bottom w:val="nil"/>
              <w:right w:val="single" w:sz="8" w:space="0" w:color="auto"/>
            </w:tcBorders>
            <w:shd w:val="clear" w:color="000000" w:fill="BFBFBF"/>
            <w:vAlign w:val="center"/>
            <w:hideMark/>
          </w:tcPr>
          <w:p w14:paraId="6827A5B4"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588" w:type="dxa"/>
            <w:tcBorders>
              <w:top w:val="nil"/>
              <w:left w:val="nil"/>
              <w:bottom w:val="nil"/>
              <w:right w:val="single" w:sz="8" w:space="0" w:color="auto"/>
            </w:tcBorders>
            <w:shd w:val="clear" w:color="000000" w:fill="BFBFBF"/>
            <w:vAlign w:val="center"/>
            <w:hideMark/>
          </w:tcPr>
          <w:p w14:paraId="540CCC79"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c>
          <w:tcPr>
            <w:tcW w:w="1735" w:type="dxa"/>
            <w:tcBorders>
              <w:top w:val="nil"/>
              <w:left w:val="nil"/>
              <w:bottom w:val="nil"/>
              <w:right w:val="single" w:sz="8" w:space="0" w:color="auto"/>
            </w:tcBorders>
            <w:shd w:val="clear" w:color="000000" w:fill="BFBFBF"/>
            <w:vAlign w:val="center"/>
            <w:hideMark/>
          </w:tcPr>
          <w:p w14:paraId="0A0D0EE2" w14:textId="77777777" w:rsidR="00E66B2D" w:rsidRPr="00E66B2D" w:rsidRDefault="00E66B2D" w:rsidP="00E66B2D">
            <w:pPr>
              <w:rPr>
                <w:rFonts w:ascii="Arial" w:hAnsi="Arial" w:cs="Arial"/>
                <w:sz w:val="24"/>
                <w:szCs w:val="24"/>
              </w:rPr>
            </w:pPr>
            <w:r w:rsidRPr="00E66B2D">
              <w:rPr>
                <w:rFonts w:ascii="Arial" w:hAnsi="Arial" w:cs="Arial"/>
                <w:sz w:val="24"/>
                <w:szCs w:val="24"/>
              </w:rPr>
              <w:t> </w:t>
            </w:r>
          </w:p>
        </w:tc>
      </w:tr>
      <w:tr w:rsidR="00DE422F" w:rsidRPr="00E66B2D" w14:paraId="6511B34A" w14:textId="77777777" w:rsidTr="00DE422F">
        <w:trPr>
          <w:trHeight w:val="300"/>
        </w:trPr>
        <w:tc>
          <w:tcPr>
            <w:tcW w:w="4535" w:type="dxa"/>
            <w:tcBorders>
              <w:top w:val="nil"/>
              <w:left w:val="single" w:sz="8" w:space="0" w:color="auto"/>
              <w:bottom w:val="nil"/>
              <w:right w:val="single" w:sz="8" w:space="0" w:color="auto"/>
            </w:tcBorders>
            <w:shd w:val="clear" w:color="000000" w:fill="BFBFBF"/>
            <w:vAlign w:val="center"/>
            <w:hideMark/>
          </w:tcPr>
          <w:p w14:paraId="5F269F0E" w14:textId="77777777" w:rsidR="00DE422F" w:rsidRPr="00E66B2D" w:rsidRDefault="00DE422F" w:rsidP="00DE422F">
            <w:pPr>
              <w:rPr>
                <w:rFonts w:ascii="Arial" w:hAnsi="Arial" w:cs="Arial"/>
                <w:color w:val="000000"/>
                <w:sz w:val="22"/>
                <w:szCs w:val="22"/>
              </w:rPr>
            </w:pPr>
            <w:r w:rsidRPr="00E66B2D">
              <w:rPr>
                <w:rFonts w:ascii="Arial" w:hAnsi="Arial" w:cs="Arial"/>
                <w:color w:val="000000"/>
                <w:sz w:val="22"/>
                <w:szCs w:val="22"/>
              </w:rPr>
              <w:t>Longevity (increase or decrease in 1 year)</w:t>
            </w:r>
          </w:p>
        </w:tc>
        <w:tc>
          <w:tcPr>
            <w:tcW w:w="1514" w:type="dxa"/>
            <w:tcBorders>
              <w:top w:val="nil"/>
              <w:left w:val="single" w:sz="8" w:space="0" w:color="auto"/>
              <w:bottom w:val="nil"/>
              <w:right w:val="single" w:sz="8" w:space="0" w:color="auto"/>
            </w:tcBorders>
            <w:shd w:val="clear" w:color="000000" w:fill="BFBFBF"/>
            <w:vAlign w:val="center"/>
            <w:hideMark/>
          </w:tcPr>
          <w:p w14:paraId="67B0CA74" w14:textId="20A2836C" w:rsidR="00DE422F" w:rsidRPr="00E66B2D" w:rsidRDefault="00DE422F" w:rsidP="00DE422F">
            <w:pPr>
              <w:jc w:val="right"/>
              <w:rPr>
                <w:rFonts w:ascii="Arial" w:hAnsi="Arial" w:cs="Arial"/>
                <w:sz w:val="22"/>
                <w:szCs w:val="22"/>
              </w:rPr>
            </w:pPr>
            <w:r>
              <w:rPr>
                <w:rFonts w:ascii="Arial" w:hAnsi="Arial" w:cs="Arial"/>
                <w:sz w:val="22"/>
                <w:szCs w:val="22"/>
              </w:rPr>
              <w:t>43,027</w:t>
            </w:r>
          </w:p>
        </w:tc>
        <w:tc>
          <w:tcPr>
            <w:tcW w:w="1488" w:type="dxa"/>
            <w:tcBorders>
              <w:top w:val="nil"/>
              <w:left w:val="nil"/>
              <w:bottom w:val="nil"/>
              <w:right w:val="single" w:sz="8" w:space="0" w:color="auto"/>
            </w:tcBorders>
            <w:shd w:val="clear" w:color="000000" w:fill="BFBFBF"/>
            <w:vAlign w:val="center"/>
            <w:hideMark/>
          </w:tcPr>
          <w:p w14:paraId="0453B357" w14:textId="1892C97C" w:rsidR="00DE422F" w:rsidRPr="00E66B2D" w:rsidRDefault="00DE422F" w:rsidP="00DE422F">
            <w:pPr>
              <w:jc w:val="right"/>
              <w:rPr>
                <w:rFonts w:ascii="Arial" w:hAnsi="Arial" w:cs="Arial"/>
                <w:sz w:val="22"/>
                <w:szCs w:val="22"/>
              </w:rPr>
            </w:pPr>
            <w:r>
              <w:rPr>
                <w:rFonts w:ascii="Arial" w:hAnsi="Arial" w:cs="Arial"/>
                <w:sz w:val="22"/>
                <w:szCs w:val="22"/>
              </w:rPr>
              <w:t>(43,027)</w:t>
            </w:r>
          </w:p>
        </w:tc>
        <w:tc>
          <w:tcPr>
            <w:tcW w:w="1588" w:type="dxa"/>
            <w:tcBorders>
              <w:top w:val="nil"/>
              <w:left w:val="nil"/>
              <w:bottom w:val="nil"/>
              <w:right w:val="single" w:sz="8" w:space="0" w:color="auto"/>
            </w:tcBorders>
            <w:shd w:val="clear" w:color="000000" w:fill="BFBFBF"/>
            <w:vAlign w:val="center"/>
            <w:hideMark/>
          </w:tcPr>
          <w:p w14:paraId="1A13B300" w14:textId="3EA15383" w:rsidR="00DE422F" w:rsidRPr="00E66B2D" w:rsidRDefault="00DE422F" w:rsidP="00DE422F">
            <w:pPr>
              <w:jc w:val="right"/>
              <w:rPr>
                <w:rFonts w:ascii="Arial" w:hAnsi="Arial" w:cs="Arial"/>
                <w:sz w:val="22"/>
                <w:szCs w:val="22"/>
              </w:rPr>
            </w:pPr>
            <w:r>
              <w:rPr>
                <w:rFonts w:ascii="Arial" w:hAnsi="Arial" w:cs="Arial"/>
                <w:sz w:val="22"/>
                <w:szCs w:val="22"/>
              </w:rPr>
              <w:t>2,729</w:t>
            </w:r>
          </w:p>
        </w:tc>
        <w:tc>
          <w:tcPr>
            <w:tcW w:w="1735" w:type="dxa"/>
            <w:tcBorders>
              <w:top w:val="nil"/>
              <w:left w:val="nil"/>
              <w:bottom w:val="nil"/>
              <w:right w:val="single" w:sz="8" w:space="0" w:color="auto"/>
            </w:tcBorders>
            <w:shd w:val="clear" w:color="000000" w:fill="BFBFBF"/>
            <w:vAlign w:val="center"/>
            <w:hideMark/>
          </w:tcPr>
          <w:p w14:paraId="00C6C8CB" w14:textId="79A7A3F4" w:rsidR="00DE422F" w:rsidRPr="00E66B2D" w:rsidRDefault="00DE422F" w:rsidP="00DE422F">
            <w:pPr>
              <w:jc w:val="right"/>
              <w:rPr>
                <w:rFonts w:ascii="Arial" w:hAnsi="Arial" w:cs="Arial"/>
                <w:sz w:val="22"/>
                <w:szCs w:val="22"/>
              </w:rPr>
            </w:pPr>
            <w:r>
              <w:rPr>
                <w:rFonts w:ascii="Arial" w:hAnsi="Arial" w:cs="Arial"/>
                <w:sz w:val="22"/>
                <w:szCs w:val="22"/>
              </w:rPr>
              <w:t>(2,729)</w:t>
            </w:r>
          </w:p>
        </w:tc>
      </w:tr>
      <w:tr w:rsidR="00DE422F" w:rsidRPr="00E66B2D" w14:paraId="69E24512" w14:textId="77777777" w:rsidTr="00DE422F">
        <w:trPr>
          <w:trHeight w:val="300"/>
        </w:trPr>
        <w:tc>
          <w:tcPr>
            <w:tcW w:w="4535" w:type="dxa"/>
            <w:tcBorders>
              <w:top w:val="nil"/>
              <w:left w:val="single" w:sz="8" w:space="0" w:color="auto"/>
              <w:bottom w:val="nil"/>
              <w:right w:val="single" w:sz="8" w:space="0" w:color="auto"/>
            </w:tcBorders>
            <w:shd w:val="clear" w:color="000000" w:fill="BFBFBF"/>
            <w:vAlign w:val="center"/>
            <w:hideMark/>
          </w:tcPr>
          <w:p w14:paraId="731809C7" w14:textId="77777777" w:rsidR="00DE422F" w:rsidRPr="00E66B2D" w:rsidRDefault="00DE422F" w:rsidP="00DE422F">
            <w:pPr>
              <w:rPr>
                <w:rFonts w:ascii="Arial" w:hAnsi="Arial" w:cs="Arial"/>
                <w:color w:val="000000"/>
                <w:sz w:val="22"/>
                <w:szCs w:val="22"/>
              </w:rPr>
            </w:pPr>
            <w:r w:rsidRPr="00E66B2D">
              <w:rPr>
                <w:rFonts w:ascii="Arial" w:hAnsi="Arial" w:cs="Arial"/>
                <w:color w:val="000000"/>
                <w:sz w:val="22"/>
                <w:szCs w:val="22"/>
              </w:rPr>
              <w:t>Rate of inflation (increase or decrease by 1%)</w:t>
            </w:r>
          </w:p>
        </w:tc>
        <w:tc>
          <w:tcPr>
            <w:tcW w:w="1514" w:type="dxa"/>
            <w:tcBorders>
              <w:top w:val="nil"/>
              <w:left w:val="single" w:sz="8" w:space="0" w:color="auto"/>
              <w:bottom w:val="nil"/>
              <w:right w:val="single" w:sz="8" w:space="0" w:color="auto"/>
            </w:tcBorders>
            <w:shd w:val="clear" w:color="000000" w:fill="BFBFBF"/>
            <w:vAlign w:val="center"/>
            <w:hideMark/>
          </w:tcPr>
          <w:p w14:paraId="7C3C122C" w14:textId="39B8BB7E" w:rsidR="00DE422F" w:rsidRPr="00E66B2D" w:rsidRDefault="00DE422F" w:rsidP="00DE422F">
            <w:pPr>
              <w:jc w:val="right"/>
              <w:rPr>
                <w:rFonts w:ascii="Arial" w:hAnsi="Arial" w:cs="Arial"/>
                <w:sz w:val="22"/>
                <w:szCs w:val="22"/>
              </w:rPr>
            </w:pPr>
            <w:r>
              <w:rPr>
                <w:rFonts w:ascii="Arial" w:hAnsi="Arial" w:cs="Arial"/>
                <w:sz w:val="22"/>
                <w:szCs w:val="22"/>
              </w:rPr>
              <w:t>390,696</w:t>
            </w:r>
          </w:p>
        </w:tc>
        <w:tc>
          <w:tcPr>
            <w:tcW w:w="1488" w:type="dxa"/>
            <w:tcBorders>
              <w:top w:val="nil"/>
              <w:left w:val="nil"/>
              <w:bottom w:val="nil"/>
              <w:right w:val="single" w:sz="8" w:space="0" w:color="auto"/>
            </w:tcBorders>
            <w:shd w:val="clear" w:color="000000" w:fill="BFBFBF"/>
            <w:vAlign w:val="center"/>
            <w:hideMark/>
          </w:tcPr>
          <w:p w14:paraId="27921DFE" w14:textId="6519B41C" w:rsidR="00DE422F" w:rsidRPr="00E66B2D" w:rsidRDefault="00DE422F" w:rsidP="00DE422F">
            <w:pPr>
              <w:jc w:val="right"/>
              <w:rPr>
                <w:rFonts w:ascii="Arial" w:hAnsi="Arial" w:cs="Arial"/>
                <w:sz w:val="22"/>
                <w:szCs w:val="22"/>
              </w:rPr>
            </w:pPr>
            <w:r>
              <w:rPr>
                <w:rFonts w:ascii="Arial" w:hAnsi="Arial" w:cs="Arial"/>
                <w:sz w:val="22"/>
                <w:szCs w:val="22"/>
              </w:rPr>
              <w:t>(390,696)</w:t>
            </w:r>
          </w:p>
        </w:tc>
        <w:tc>
          <w:tcPr>
            <w:tcW w:w="1588" w:type="dxa"/>
            <w:tcBorders>
              <w:top w:val="nil"/>
              <w:left w:val="nil"/>
              <w:bottom w:val="nil"/>
              <w:right w:val="single" w:sz="8" w:space="0" w:color="auto"/>
            </w:tcBorders>
            <w:shd w:val="clear" w:color="000000" w:fill="BFBFBF"/>
            <w:vAlign w:val="center"/>
            <w:hideMark/>
          </w:tcPr>
          <w:p w14:paraId="2B95646E" w14:textId="220A12E1" w:rsidR="00DE422F" w:rsidRPr="00E66B2D" w:rsidRDefault="00DE422F" w:rsidP="00DE422F">
            <w:pPr>
              <w:jc w:val="right"/>
              <w:rPr>
                <w:rFonts w:ascii="Arial" w:hAnsi="Arial" w:cs="Arial"/>
                <w:sz w:val="22"/>
                <w:szCs w:val="22"/>
              </w:rPr>
            </w:pPr>
            <w:r>
              <w:rPr>
                <w:rFonts w:ascii="Arial" w:hAnsi="Arial" w:cs="Arial"/>
                <w:sz w:val="22"/>
                <w:szCs w:val="22"/>
              </w:rPr>
              <w:t>29,408</w:t>
            </w:r>
          </w:p>
        </w:tc>
        <w:tc>
          <w:tcPr>
            <w:tcW w:w="1735" w:type="dxa"/>
            <w:tcBorders>
              <w:top w:val="nil"/>
              <w:left w:val="nil"/>
              <w:bottom w:val="nil"/>
              <w:right w:val="single" w:sz="8" w:space="0" w:color="auto"/>
            </w:tcBorders>
            <w:shd w:val="clear" w:color="000000" w:fill="BFBFBF"/>
            <w:vAlign w:val="center"/>
            <w:hideMark/>
          </w:tcPr>
          <w:p w14:paraId="1D3A8A8F" w14:textId="7ADFD8C8" w:rsidR="00DE422F" w:rsidRPr="00E66B2D" w:rsidRDefault="00DE422F" w:rsidP="00DE422F">
            <w:pPr>
              <w:jc w:val="right"/>
              <w:rPr>
                <w:rFonts w:ascii="Arial" w:hAnsi="Arial" w:cs="Arial"/>
                <w:sz w:val="22"/>
                <w:szCs w:val="22"/>
              </w:rPr>
            </w:pPr>
            <w:r>
              <w:rPr>
                <w:rFonts w:ascii="Arial" w:hAnsi="Arial" w:cs="Arial"/>
                <w:sz w:val="22"/>
                <w:szCs w:val="22"/>
              </w:rPr>
              <w:t>(29,408)</w:t>
            </w:r>
          </w:p>
        </w:tc>
      </w:tr>
      <w:tr w:rsidR="00DE422F" w:rsidRPr="00E66B2D" w14:paraId="2DAA8512" w14:textId="77777777" w:rsidTr="00DE422F">
        <w:trPr>
          <w:trHeight w:val="600"/>
        </w:trPr>
        <w:tc>
          <w:tcPr>
            <w:tcW w:w="4535" w:type="dxa"/>
            <w:tcBorders>
              <w:top w:val="nil"/>
              <w:left w:val="single" w:sz="8" w:space="0" w:color="auto"/>
              <w:bottom w:val="nil"/>
              <w:right w:val="single" w:sz="8" w:space="0" w:color="auto"/>
            </w:tcBorders>
            <w:shd w:val="clear" w:color="000000" w:fill="BFBFBF"/>
            <w:vAlign w:val="center"/>
            <w:hideMark/>
          </w:tcPr>
          <w:p w14:paraId="2880BB6D" w14:textId="77777777" w:rsidR="00DE422F" w:rsidRPr="00E66B2D" w:rsidRDefault="00DE422F" w:rsidP="00DE422F">
            <w:pPr>
              <w:rPr>
                <w:rFonts w:ascii="Arial" w:hAnsi="Arial" w:cs="Arial"/>
                <w:color w:val="000000"/>
                <w:sz w:val="22"/>
                <w:szCs w:val="22"/>
              </w:rPr>
            </w:pPr>
            <w:r w:rsidRPr="00E66B2D">
              <w:rPr>
                <w:rFonts w:ascii="Arial" w:hAnsi="Arial" w:cs="Arial"/>
                <w:color w:val="000000"/>
                <w:sz w:val="22"/>
                <w:szCs w:val="22"/>
              </w:rPr>
              <w:t>Rate for discounting scheme liabilities (increase or decrease by 1%)</w:t>
            </w:r>
          </w:p>
        </w:tc>
        <w:tc>
          <w:tcPr>
            <w:tcW w:w="1514" w:type="dxa"/>
            <w:tcBorders>
              <w:top w:val="nil"/>
              <w:left w:val="single" w:sz="8" w:space="0" w:color="auto"/>
              <w:bottom w:val="nil"/>
              <w:right w:val="single" w:sz="8" w:space="0" w:color="auto"/>
            </w:tcBorders>
            <w:shd w:val="clear" w:color="000000" w:fill="BFBFBF"/>
            <w:vAlign w:val="center"/>
            <w:hideMark/>
          </w:tcPr>
          <w:p w14:paraId="6DA3100C" w14:textId="12A75007" w:rsidR="00DE422F" w:rsidRPr="00E66B2D" w:rsidRDefault="00886AE4" w:rsidP="00DE422F">
            <w:pPr>
              <w:jc w:val="right"/>
              <w:rPr>
                <w:rFonts w:ascii="Arial" w:hAnsi="Arial" w:cs="Arial"/>
                <w:sz w:val="22"/>
                <w:szCs w:val="22"/>
              </w:rPr>
            </w:pPr>
            <w:r>
              <w:rPr>
                <w:rFonts w:ascii="Arial" w:hAnsi="Arial" w:cs="Arial"/>
                <w:sz w:val="22"/>
                <w:szCs w:val="22"/>
              </w:rPr>
              <w:t>(</w:t>
            </w:r>
            <w:r w:rsidR="00DE422F">
              <w:rPr>
                <w:rFonts w:ascii="Arial" w:hAnsi="Arial" w:cs="Arial"/>
                <w:sz w:val="22"/>
                <w:szCs w:val="22"/>
              </w:rPr>
              <w:t>3</w:t>
            </w:r>
            <w:r w:rsidR="00770F95">
              <w:rPr>
                <w:rFonts w:ascii="Arial" w:hAnsi="Arial" w:cs="Arial"/>
                <w:sz w:val="22"/>
                <w:szCs w:val="22"/>
              </w:rPr>
              <w:t>44,832</w:t>
            </w:r>
            <w:r>
              <w:rPr>
                <w:rFonts w:ascii="Arial" w:hAnsi="Arial" w:cs="Arial"/>
                <w:sz w:val="22"/>
                <w:szCs w:val="22"/>
              </w:rPr>
              <w:t>)</w:t>
            </w:r>
          </w:p>
        </w:tc>
        <w:tc>
          <w:tcPr>
            <w:tcW w:w="1488" w:type="dxa"/>
            <w:tcBorders>
              <w:top w:val="nil"/>
              <w:left w:val="nil"/>
              <w:bottom w:val="nil"/>
              <w:right w:val="single" w:sz="8" w:space="0" w:color="auto"/>
            </w:tcBorders>
            <w:shd w:val="clear" w:color="000000" w:fill="BFBFBF"/>
            <w:vAlign w:val="center"/>
            <w:hideMark/>
          </w:tcPr>
          <w:p w14:paraId="23AB9931" w14:textId="5EEE16F5" w:rsidR="00DE422F" w:rsidRPr="00E66B2D" w:rsidRDefault="00DE422F" w:rsidP="00DE422F">
            <w:pPr>
              <w:jc w:val="right"/>
              <w:rPr>
                <w:rFonts w:ascii="Arial" w:hAnsi="Arial" w:cs="Arial"/>
                <w:sz w:val="22"/>
                <w:szCs w:val="22"/>
              </w:rPr>
            </w:pPr>
            <w:r>
              <w:rPr>
                <w:rFonts w:ascii="Arial" w:hAnsi="Arial" w:cs="Arial"/>
                <w:sz w:val="22"/>
                <w:szCs w:val="22"/>
              </w:rPr>
              <w:t>3</w:t>
            </w:r>
            <w:r w:rsidR="00770F95">
              <w:rPr>
                <w:rFonts w:ascii="Arial" w:hAnsi="Arial" w:cs="Arial"/>
                <w:sz w:val="22"/>
                <w:szCs w:val="22"/>
              </w:rPr>
              <w:t>44</w:t>
            </w:r>
            <w:r>
              <w:rPr>
                <w:rFonts w:ascii="Arial" w:hAnsi="Arial" w:cs="Arial"/>
                <w:sz w:val="22"/>
                <w:szCs w:val="22"/>
              </w:rPr>
              <w:t>,</w:t>
            </w:r>
            <w:r w:rsidR="00770F95">
              <w:rPr>
                <w:rFonts w:ascii="Arial" w:hAnsi="Arial" w:cs="Arial"/>
                <w:sz w:val="22"/>
                <w:szCs w:val="22"/>
              </w:rPr>
              <w:t>832</w:t>
            </w:r>
          </w:p>
        </w:tc>
        <w:tc>
          <w:tcPr>
            <w:tcW w:w="1588" w:type="dxa"/>
            <w:tcBorders>
              <w:top w:val="nil"/>
              <w:left w:val="nil"/>
              <w:bottom w:val="nil"/>
              <w:right w:val="single" w:sz="8" w:space="0" w:color="auto"/>
            </w:tcBorders>
            <w:shd w:val="clear" w:color="000000" w:fill="BFBFBF"/>
            <w:vAlign w:val="center"/>
            <w:hideMark/>
          </w:tcPr>
          <w:p w14:paraId="0920B7F5" w14:textId="4045C47E" w:rsidR="00DE422F" w:rsidRPr="00E66B2D" w:rsidRDefault="00886AE4" w:rsidP="00DE422F">
            <w:pPr>
              <w:jc w:val="right"/>
              <w:rPr>
                <w:rFonts w:ascii="Arial" w:hAnsi="Arial" w:cs="Arial"/>
                <w:sz w:val="22"/>
                <w:szCs w:val="22"/>
              </w:rPr>
            </w:pPr>
            <w:r>
              <w:rPr>
                <w:rFonts w:ascii="Arial" w:hAnsi="Arial" w:cs="Arial"/>
                <w:sz w:val="22"/>
                <w:szCs w:val="22"/>
              </w:rPr>
              <w:t>(</w:t>
            </w:r>
            <w:r w:rsidR="00DE422F">
              <w:rPr>
                <w:rFonts w:ascii="Arial" w:hAnsi="Arial" w:cs="Arial"/>
                <w:sz w:val="22"/>
                <w:szCs w:val="22"/>
              </w:rPr>
              <w:t>25,966</w:t>
            </w:r>
            <w:r>
              <w:rPr>
                <w:rFonts w:ascii="Arial" w:hAnsi="Arial" w:cs="Arial"/>
                <w:sz w:val="22"/>
                <w:szCs w:val="22"/>
              </w:rPr>
              <w:t>)</w:t>
            </w:r>
          </w:p>
        </w:tc>
        <w:tc>
          <w:tcPr>
            <w:tcW w:w="1735" w:type="dxa"/>
            <w:tcBorders>
              <w:top w:val="nil"/>
              <w:left w:val="nil"/>
              <w:bottom w:val="nil"/>
              <w:right w:val="single" w:sz="8" w:space="0" w:color="auto"/>
            </w:tcBorders>
            <w:shd w:val="clear" w:color="000000" w:fill="BFBFBF"/>
            <w:vAlign w:val="center"/>
            <w:hideMark/>
          </w:tcPr>
          <w:p w14:paraId="473DEC99" w14:textId="7E1C9426" w:rsidR="00DE422F" w:rsidRPr="00E66B2D" w:rsidRDefault="00DE422F" w:rsidP="00DE422F">
            <w:pPr>
              <w:jc w:val="right"/>
              <w:rPr>
                <w:rFonts w:ascii="Arial" w:hAnsi="Arial" w:cs="Arial"/>
                <w:sz w:val="22"/>
                <w:szCs w:val="22"/>
              </w:rPr>
            </w:pPr>
            <w:r>
              <w:rPr>
                <w:rFonts w:ascii="Arial" w:hAnsi="Arial" w:cs="Arial"/>
                <w:sz w:val="22"/>
                <w:szCs w:val="22"/>
              </w:rPr>
              <w:t>25,966</w:t>
            </w:r>
          </w:p>
        </w:tc>
      </w:tr>
      <w:tr w:rsidR="00DE422F" w:rsidRPr="00E66B2D" w14:paraId="55971DA0" w14:textId="77777777" w:rsidTr="00DE422F">
        <w:trPr>
          <w:trHeight w:val="315"/>
        </w:trPr>
        <w:tc>
          <w:tcPr>
            <w:tcW w:w="4535" w:type="dxa"/>
            <w:tcBorders>
              <w:top w:val="nil"/>
              <w:left w:val="single" w:sz="8" w:space="0" w:color="auto"/>
              <w:bottom w:val="single" w:sz="8" w:space="0" w:color="auto"/>
              <w:right w:val="single" w:sz="8" w:space="0" w:color="auto"/>
            </w:tcBorders>
            <w:shd w:val="clear" w:color="000000" w:fill="BFBFBF"/>
            <w:vAlign w:val="center"/>
            <w:hideMark/>
          </w:tcPr>
          <w:p w14:paraId="01BFD511" w14:textId="77777777" w:rsidR="00DE422F" w:rsidRPr="00E66B2D" w:rsidRDefault="00DE422F" w:rsidP="00DE422F">
            <w:pPr>
              <w:rPr>
                <w:rFonts w:ascii="Arial" w:hAnsi="Arial" w:cs="Arial"/>
                <w:color w:val="000000"/>
                <w:sz w:val="22"/>
                <w:szCs w:val="22"/>
              </w:rPr>
            </w:pPr>
            <w:r w:rsidRPr="00E66B2D">
              <w:rPr>
                <w:rFonts w:ascii="Arial" w:hAnsi="Arial" w:cs="Arial"/>
                <w:color w:val="000000"/>
                <w:sz w:val="22"/>
                <w:szCs w:val="22"/>
              </w:rPr>
              <w:t>Rate of increase in salaries (increase or decrease by 1%)</w:t>
            </w:r>
          </w:p>
        </w:tc>
        <w:tc>
          <w:tcPr>
            <w:tcW w:w="1514" w:type="dxa"/>
            <w:tcBorders>
              <w:top w:val="nil"/>
              <w:left w:val="single" w:sz="8" w:space="0" w:color="auto"/>
              <w:bottom w:val="single" w:sz="8" w:space="0" w:color="auto"/>
              <w:right w:val="single" w:sz="8" w:space="0" w:color="auto"/>
            </w:tcBorders>
            <w:shd w:val="clear" w:color="000000" w:fill="BFBFBF"/>
            <w:vAlign w:val="center"/>
            <w:hideMark/>
          </w:tcPr>
          <w:p w14:paraId="375D9244" w14:textId="20302567" w:rsidR="00DE422F" w:rsidRPr="00E66B2D" w:rsidRDefault="00DE422F" w:rsidP="00DE422F">
            <w:pPr>
              <w:jc w:val="right"/>
              <w:rPr>
                <w:rFonts w:ascii="Arial" w:hAnsi="Arial" w:cs="Arial"/>
                <w:sz w:val="22"/>
                <w:szCs w:val="22"/>
              </w:rPr>
            </w:pPr>
            <w:r>
              <w:rPr>
                <w:rFonts w:ascii="Arial" w:hAnsi="Arial" w:cs="Arial"/>
                <w:sz w:val="22"/>
                <w:szCs w:val="22"/>
              </w:rPr>
              <w:t>74,984</w:t>
            </w:r>
          </w:p>
        </w:tc>
        <w:tc>
          <w:tcPr>
            <w:tcW w:w="1488" w:type="dxa"/>
            <w:tcBorders>
              <w:top w:val="nil"/>
              <w:left w:val="nil"/>
              <w:bottom w:val="single" w:sz="8" w:space="0" w:color="auto"/>
              <w:right w:val="single" w:sz="8" w:space="0" w:color="auto"/>
            </w:tcBorders>
            <w:shd w:val="clear" w:color="000000" w:fill="BFBFBF"/>
            <w:vAlign w:val="center"/>
            <w:hideMark/>
          </w:tcPr>
          <w:p w14:paraId="1BC1112D" w14:textId="10B94587" w:rsidR="00DE422F" w:rsidRPr="00E66B2D" w:rsidRDefault="00DE422F" w:rsidP="00DE422F">
            <w:pPr>
              <w:jc w:val="right"/>
              <w:rPr>
                <w:rFonts w:ascii="Arial" w:hAnsi="Arial" w:cs="Arial"/>
                <w:sz w:val="22"/>
                <w:szCs w:val="22"/>
              </w:rPr>
            </w:pPr>
            <w:r>
              <w:rPr>
                <w:rFonts w:ascii="Arial" w:hAnsi="Arial" w:cs="Arial"/>
                <w:sz w:val="22"/>
                <w:szCs w:val="22"/>
              </w:rPr>
              <w:t>(74,984)</w:t>
            </w:r>
          </w:p>
        </w:tc>
        <w:tc>
          <w:tcPr>
            <w:tcW w:w="1588" w:type="dxa"/>
            <w:tcBorders>
              <w:top w:val="nil"/>
              <w:left w:val="nil"/>
              <w:bottom w:val="single" w:sz="8" w:space="0" w:color="auto"/>
              <w:right w:val="single" w:sz="8" w:space="0" w:color="auto"/>
            </w:tcBorders>
            <w:shd w:val="clear" w:color="000000" w:fill="BFBFBF"/>
            <w:vAlign w:val="center"/>
            <w:hideMark/>
          </w:tcPr>
          <w:p w14:paraId="58BCA6FD" w14:textId="3CB3EFEC" w:rsidR="00DE422F" w:rsidRPr="00E66B2D" w:rsidRDefault="00DE422F" w:rsidP="00DE422F">
            <w:pPr>
              <w:jc w:val="right"/>
              <w:rPr>
                <w:rFonts w:ascii="Arial" w:hAnsi="Arial" w:cs="Arial"/>
                <w:sz w:val="22"/>
                <w:szCs w:val="22"/>
              </w:rPr>
            </w:pPr>
            <w:r>
              <w:rPr>
                <w:rFonts w:ascii="Arial" w:hAnsi="Arial" w:cs="Arial"/>
                <w:sz w:val="22"/>
                <w:szCs w:val="22"/>
              </w:rPr>
              <w:t>21,864</w:t>
            </w:r>
          </w:p>
        </w:tc>
        <w:tc>
          <w:tcPr>
            <w:tcW w:w="1735" w:type="dxa"/>
            <w:tcBorders>
              <w:top w:val="nil"/>
              <w:left w:val="nil"/>
              <w:bottom w:val="single" w:sz="8" w:space="0" w:color="auto"/>
              <w:right w:val="single" w:sz="8" w:space="0" w:color="auto"/>
            </w:tcBorders>
            <w:shd w:val="clear" w:color="000000" w:fill="BFBFBF"/>
            <w:vAlign w:val="center"/>
            <w:hideMark/>
          </w:tcPr>
          <w:p w14:paraId="585F283A" w14:textId="73FDCCEB" w:rsidR="00DE422F" w:rsidRPr="00E66B2D" w:rsidRDefault="00DE422F" w:rsidP="00DE422F">
            <w:pPr>
              <w:jc w:val="right"/>
              <w:rPr>
                <w:rFonts w:ascii="Arial" w:hAnsi="Arial" w:cs="Arial"/>
                <w:sz w:val="22"/>
                <w:szCs w:val="22"/>
              </w:rPr>
            </w:pPr>
            <w:r>
              <w:rPr>
                <w:rFonts w:ascii="Arial" w:hAnsi="Arial" w:cs="Arial"/>
                <w:sz w:val="22"/>
                <w:szCs w:val="22"/>
              </w:rPr>
              <w:t>(21,864)</w:t>
            </w:r>
          </w:p>
        </w:tc>
      </w:tr>
    </w:tbl>
    <w:p w14:paraId="51A4649C" w14:textId="77777777" w:rsidR="00FA3C6E" w:rsidRPr="00645FC2" w:rsidRDefault="00FA3C6E" w:rsidP="00FA3C6E">
      <w:pPr>
        <w:tabs>
          <w:tab w:val="right" w:pos="5760"/>
        </w:tabs>
        <w:ind w:left="426"/>
        <w:rPr>
          <w:rFonts w:ascii="Arial" w:hAnsi="Arial"/>
          <w:i/>
          <w:sz w:val="22"/>
          <w:szCs w:val="22"/>
          <w:highlight w:val="yellow"/>
        </w:rPr>
        <w:sectPr w:rsidR="00FA3C6E" w:rsidRPr="00645FC2" w:rsidSect="00CD2558">
          <w:headerReference w:type="even" r:id="rId84"/>
          <w:headerReference w:type="default" r:id="rId85"/>
          <w:headerReference w:type="first" r:id="rId86"/>
          <w:pgSz w:w="11909" w:h="16834" w:code="9"/>
          <w:pgMar w:top="720" w:right="720" w:bottom="720" w:left="720" w:header="397" w:footer="720" w:gutter="0"/>
          <w:cols w:space="720"/>
          <w:docGrid w:linePitch="272"/>
        </w:sectPr>
      </w:pPr>
    </w:p>
    <w:p w14:paraId="27006C34" w14:textId="77777777" w:rsidR="00FA3C6E" w:rsidRPr="00DE0BF6" w:rsidRDefault="00FA3C6E" w:rsidP="00FA3C6E">
      <w:pPr>
        <w:numPr>
          <w:ilvl w:val="0"/>
          <w:numId w:val="1"/>
        </w:numPr>
        <w:tabs>
          <w:tab w:val="clear" w:pos="720"/>
          <w:tab w:val="num" w:pos="426"/>
          <w:tab w:val="right" w:pos="5760"/>
        </w:tabs>
        <w:rPr>
          <w:rFonts w:ascii="Arial" w:hAnsi="Arial"/>
          <w:sz w:val="22"/>
          <w:szCs w:val="22"/>
        </w:rPr>
      </w:pPr>
      <w:r>
        <w:rPr>
          <w:rFonts w:ascii="Arial" w:hAnsi="Arial"/>
          <w:b/>
          <w:sz w:val="22"/>
          <w:szCs w:val="22"/>
        </w:rPr>
        <w:lastRenderedPageBreak/>
        <w:t>Rel</w:t>
      </w:r>
      <w:r w:rsidRPr="00DE0BF6">
        <w:rPr>
          <w:rFonts w:ascii="Arial" w:hAnsi="Arial"/>
          <w:b/>
          <w:sz w:val="22"/>
          <w:szCs w:val="22"/>
        </w:rPr>
        <w:t>ated Parties</w:t>
      </w:r>
    </w:p>
    <w:p w14:paraId="5643CC0C" w14:textId="77777777" w:rsidR="00FA3C6E" w:rsidRPr="00DE0BF6" w:rsidRDefault="00FA3C6E" w:rsidP="00FA3C6E">
      <w:pPr>
        <w:tabs>
          <w:tab w:val="right" w:pos="5760"/>
        </w:tabs>
        <w:ind w:left="720"/>
        <w:rPr>
          <w:rFonts w:ascii="Arial" w:hAnsi="Arial"/>
          <w:b/>
          <w:sz w:val="22"/>
          <w:szCs w:val="22"/>
        </w:rPr>
      </w:pPr>
    </w:p>
    <w:p w14:paraId="01F7DB4E" w14:textId="77777777" w:rsidR="00FA3C6E" w:rsidRPr="00DE0BF6" w:rsidRDefault="00FA3C6E" w:rsidP="00FA3C6E">
      <w:pPr>
        <w:ind w:left="426"/>
        <w:jc w:val="both"/>
        <w:rPr>
          <w:rFonts w:ascii="Arial" w:hAnsi="Arial"/>
          <w:sz w:val="22"/>
          <w:szCs w:val="22"/>
        </w:rPr>
      </w:pPr>
      <w:r w:rsidRPr="00DE0BF6">
        <w:rPr>
          <w:rFonts w:ascii="Arial" w:hAnsi="Arial"/>
          <w:sz w:val="22"/>
          <w:szCs w:val="22"/>
        </w:rPr>
        <w:t>The PCC Group</w:t>
      </w:r>
      <w:r>
        <w:rPr>
          <w:rFonts w:ascii="Arial" w:hAnsi="Arial"/>
          <w:sz w:val="22"/>
          <w:szCs w:val="22"/>
        </w:rPr>
        <w:t xml:space="preserve"> </w:t>
      </w:r>
      <w:r w:rsidRPr="00DE0BF6">
        <w:rPr>
          <w:rFonts w:ascii="Arial" w:hAnsi="Arial"/>
          <w:sz w:val="22"/>
          <w:szCs w:val="22"/>
        </w:rPr>
        <w:t>is required to disclose material transactions with related parties – bodies or individuals that have the potential to control or influence the Group or to be controlled or influenced by the Group. Disclosure of these transactions allows readers to assess the extent to which the Group might have been constrained in its ability to operate independently or might have secured the ability to limit another party's ability to bargain freely with the Group.</w:t>
      </w:r>
    </w:p>
    <w:p w14:paraId="1CA4E4E1" w14:textId="77777777" w:rsidR="00FA3C6E" w:rsidRPr="00DE0BF6" w:rsidRDefault="00FA3C6E" w:rsidP="00FA3C6E">
      <w:pPr>
        <w:ind w:left="426"/>
        <w:jc w:val="both"/>
        <w:rPr>
          <w:rFonts w:ascii="Arial" w:hAnsi="Arial"/>
          <w:sz w:val="22"/>
          <w:szCs w:val="22"/>
        </w:rPr>
      </w:pPr>
    </w:p>
    <w:p w14:paraId="7CED3F4A" w14:textId="77777777" w:rsidR="00FA3C6E" w:rsidRPr="00B04319" w:rsidRDefault="00FA3C6E" w:rsidP="00FA3C6E">
      <w:pPr>
        <w:ind w:left="426"/>
        <w:jc w:val="both"/>
        <w:rPr>
          <w:rFonts w:ascii="Arial" w:hAnsi="Arial"/>
          <w:sz w:val="22"/>
          <w:szCs w:val="22"/>
        </w:rPr>
      </w:pPr>
      <w:r w:rsidRPr="00DE0BF6">
        <w:rPr>
          <w:rFonts w:ascii="Arial" w:hAnsi="Arial"/>
          <w:sz w:val="22"/>
          <w:szCs w:val="22"/>
        </w:rPr>
        <w:t xml:space="preserve">Central government has effective control over the general operations of the Group: it is responsible for providing the statutory framework within which the Group operates, provides </w:t>
      </w:r>
      <w:proofErr w:type="gramStart"/>
      <w:r w:rsidRPr="00DE0BF6">
        <w:rPr>
          <w:rFonts w:ascii="Arial" w:hAnsi="Arial"/>
          <w:sz w:val="22"/>
          <w:szCs w:val="22"/>
        </w:rPr>
        <w:t>the majority of</w:t>
      </w:r>
      <w:proofErr w:type="gramEnd"/>
      <w:r w:rsidRPr="00DE0BF6">
        <w:rPr>
          <w:rFonts w:ascii="Arial" w:hAnsi="Arial"/>
          <w:sz w:val="22"/>
          <w:szCs w:val="22"/>
        </w:rPr>
        <w:t xml:space="preserve"> its funding in the form of grants and </w:t>
      </w:r>
      <w:r w:rsidRPr="00B04319">
        <w:rPr>
          <w:rFonts w:ascii="Arial" w:hAnsi="Arial"/>
          <w:sz w:val="22"/>
          <w:szCs w:val="22"/>
        </w:rPr>
        <w:t xml:space="preserve">prescribes the terms of many of the transactions that the Group has with other parties.  Details of transactions with government departments are set out in the subjective analysis </w:t>
      </w:r>
      <w:r w:rsidRPr="00BD2170">
        <w:rPr>
          <w:rFonts w:ascii="Arial" w:hAnsi="Arial"/>
          <w:sz w:val="22"/>
          <w:szCs w:val="22"/>
        </w:rPr>
        <w:t xml:space="preserve">in </w:t>
      </w:r>
      <w:r w:rsidRPr="00656A71">
        <w:rPr>
          <w:rFonts w:ascii="Arial" w:hAnsi="Arial"/>
          <w:sz w:val="22"/>
          <w:szCs w:val="22"/>
        </w:rPr>
        <w:t>Note 2 (Expenditure and income analysed by nature) and further analysis in Note 14 (Grant Income).</w:t>
      </w:r>
      <w:r w:rsidRPr="00B04319">
        <w:rPr>
          <w:rFonts w:ascii="Arial" w:hAnsi="Arial"/>
          <w:sz w:val="22"/>
          <w:szCs w:val="22"/>
        </w:rPr>
        <w:t xml:space="preserve"> </w:t>
      </w:r>
    </w:p>
    <w:p w14:paraId="34A1E987" w14:textId="77777777" w:rsidR="00FA3C6E" w:rsidRPr="00DE0BF6" w:rsidRDefault="00FA3C6E" w:rsidP="00FA3C6E">
      <w:pPr>
        <w:ind w:left="720"/>
        <w:jc w:val="both"/>
        <w:rPr>
          <w:rFonts w:ascii="Arial" w:hAnsi="Arial"/>
          <w:sz w:val="22"/>
          <w:szCs w:val="22"/>
        </w:rPr>
      </w:pPr>
    </w:p>
    <w:p w14:paraId="4288AC65" w14:textId="77777777" w:rsidR="00FA3C6E" w:rsidRPr="00DE0BF6" w:rsidRDefault="00FA3C6E" w:rsidP="00FA3C6E">
      <w:pPr>
        <w:ind w:left="426"/>
        <w:jc w:val="both"/>
        <w:rPr>
          <w:rFonts w:ascii="Arial" w:hAnsi="Arial"/>
          <w:sz w:val="22"/>
          <w:szCs w:val="22"/>
        </w:rPr>
      </w:pPr>
      <w:r w:rsidRPr="00DE0BF6">
        <w:rPr>
          <w:rFonts w:ascii="Arial" w:hAnsi="Arial"/>
          <w:sz w:val="22"/>
          <w:szCs w:val="22"/>
        </w:rPr>
        <w:t xml:space="preserve">The </w:t>
      </w:r>
      <w:r>
        <w:rPr>
          <w:rFonts w:ascii="Arial" w:hAnsi="Arial"/>
          <w:sz w:val="22"/>
          <w:szCs w:val="22"/>
        </w:rPr>
        <w:t>PC</w:t>
      </w:r>
      <w:r w:rsidRPr="00DE0BF6">
        <w:rPr>
          <w:rFonts w:ascii="Arial" w:hAnsi="Arial"/>
          <w:sz w:val="22"/>
          <w:szCs w:val="22"/>
        </w:rPr>
        <w:t xml:space="preserve">C has direct control over the Group’s finances and is responsible for setting the Police and Crime Plan.  </w:t>
      </w:r>
      <w:r w:rsidRPr="004F68D5">
        <w:rPr>
          <w:rFonts w:ascii="Arial" w:hAnsi="Arial"/>
          <w:sz w:val="22"/>
          <w:szCs w:val="22"/>
        </w:rPr>
        <w:t>The C</w:t>
      </w:r>
      <w:r>
        <w:rPr>
          <w:rFonts w:ascii="Arial" w:hAnsi="Arial"/>
          <w:sz w:val="22"/>
          <w:szCs w:val="22"/>
        </w:rPr>
        <w:t>C</w:t>
      </w:r>
      <w:r w:rsidRPr="004F68D5">
        <w:rPr>
          <w:rFonts w:ascii="Arial" w:hAnsi="Arial"/>
          <w:sz w:val="22"/>
          <w:szCs w:val="22"/>
        </w:rPr>
        <w:t xml:space="preserve"> retains operational independence and operates within the budget set by the PCC, to deliver the aims and objectives set out in the Police and Crime Plan.  Section 28 of the Police Reform and Social Responsibility </w:t>
      </w:r>
      <w:r w:rsidRPr="00DE0BF6">
        <w:rPr>
          <w:rFonts w:ascii="Arial" w:hAnsi="Arial"/>
          <w:sz w:val="22"/>
          <w:szCs w:val="22"/>
        </w:rPr>
        <w:t xml:space="preserve">Act 2011 requires that the local authorities covered by the police area must establish a Police and Crime Panel (PCP) for that area.  The PCP scrutinises the decisions of the </w:t>
      </w:r>
      <w:r>
        <w:rPr>
          <w:rFonts w:ascii="Arial" w:hAnsi="Arial"/>
          <w:sz w:val="22"/>
          <w:szCs w:val="22"/>
        </w:rPr>
        <w:t>PC</w:t>
      </w:r>
      <w:r w:rsidRPr="00DE0BF6">
        <w:rPr>
          <w:rFonts w:ascii="Arial" w:hAnsi="Arial"/>
          <w:sz w:val="22"/>
          <w:szCs w:val="22"/>
        </w:rPr>
        <w:t>C</w:t>
      </w:r>
      <w:r>
        <w:rPr>
          <w:rFonts w:ascii="Arial" w:hAnsi="Arial"/>
          <w:sz w:val="22"/>
          <w:szCs w:val="22"/>
        </w:rPr>
        <w:t xml:space="preserve">, </w:t>
      </w:r>
      <w:r w:rsidRPr="00DE0BF6">
        <w:rPr>
          <w:rFonts w:ascii="Arial" w:hAnsi="Arial"/>
          <w:sz w:val="22"/>
          <w:szCs w:val="22"/>
        </w:rPr>
        <w:t xml:space="preserve">reviews the Police and Crime Plan and has a right of veto over the precept.  </w:t>
      </w:r>
    </w:p>
    <w:p w14:paraId="104A7C0E" w14:textId="77777777" w:rsidR="00FA3C6E" w:rsidRPr="00DE0BF6" w:rsidRDefault="00FA3C6E" w:rsidP="00FA3C6E">
      <w:pPr>
        <w:ind w:left="426"/>
        <w:jc w:val="both"/>
        <w:rPr>
          <w:rFonts w:ascii="Arial" w:hAnsi="Arial"/>
          <w:b/>
          <w:sz w:val="22"/>
          <w:szCs w:val="22"/>
        </w:rPr>
      </w:pPr>
    </w:p>
    <w:p w14:paraId="1485E501" w14:textId="77777777" w:rsidR="00FA3C6E" w:rsidRPr="00DE0BF6" w:rsidRDefault="00FA3C6E" w:rsidP="00FA3C6E">
      <w:pPr>
        <w:ind w:left="426"/>
        <w:jc w:val="both"/>
        <w:rPr>
          <w:rFonts w:ascii="Arial" w:hAnsi="Arial"/>
          <w:sz w:val="22"/>
          <w:szCs w:val="22"/>
        </w:rPr>
      </w:pPr>
      <w:r w:rsidRPr="00F73CD2">
        <w:rPr>
          <w:rFonts w:ascii="Arial" w:hAnsi="Arial"/>
          <w:sz w:val="22"/>
          <w:szCs w:val="22"/>
        </w:rPr>
        <w:t xml:space="preserve">A survey of the related party interests of the PCC, CC and members of both senior management teams and </w:t>
      </w:r>
      <w:r w:rsidRPr="00BD2170">
        <w:rPr>
          <w:rFonts w:ascii="Arial" w:hAnsi="Arial"/>
          <w:sz w:val="22"/>
          <w:szCs w:val="22"/>
        </w:rPr>
        <w:t>their immediate family members was carried out in preparing the Statement of Accounts</w:t>
      </w:r>
      <w:r w:rsidRPr="00D83858">
        <w:rPr>
          <w:rFonts w:ascii="Arial" w:hAnsi="Arial"/>
          <w:sz w:val="22"/>
          <w:szCs w:val="22"/>
        </w:rPr>
        <w:t xml:space="preserve">. </w:t>
      </w:r>
      <w:r w:rsidRPr="006F2A01">
        <w:rPr>
          <w:rFonts w:ascii="Arial" w:hAnsi="Arial"/>
          <w:sz w:val="22"/>
          <w:szCs w:val="22"/>
        </w:rPr>
        <w:t>No material related party interests were disclosed.</w:t>
      </w:r>
    </w:p>
    <w:p w14:paraId="6FAF0883" w14:textId="77777777" w:rsidR="00FA3C6E" w:rsidRPr="00DE0BF6" w:rsidRDefault="00FA3C6E" w:rsidP="00FA3C6E">
      <w:pPr>
        <w:ind w:left="720"/>
        <w:rPr>
          <w:rFonts w:ascii="Arial" w:hAnsi="Arial"/>
          <w:sz w:val="22"/>
          <w:szCs w:val="22"/>
        </w:rPr>
      </w:pPr>
    </w:p>
    <w:p w14:paraId="1517223B" w14:textId="77777777" w:rsidR="00FA3C6E" w:rsidRPr="009676DE" w:rsidRDefault="00FA3C6E" w:rsidP="00FA3C6E">
      <w:pPr>
        <w:numPr>
          <w:ilvl w:val="0"/>
          <w:numId w:val="1"/>
        </w:numPr>
        <w:tabs>
          <w:tab w:val="clear" w:pos="720"/>
          <w:tab w:val="num" w:pos="426"/>
          <w:tab w:val="right" w:pos="5760"/>
        </w:tabs>
        <w:rPr>
          <w:rFonts w:ascii="Arial" w:hAnsi="Arial"/>
          <w:b/>
          <w:sz w:val="22"/>
          <w:szCs w:val="22"/>
        </w:rPr>
      </w:pPr>
      <w:r w:rsidRPr="009676DE">
        <w:rPr>
          <w:rFonts w:ascii="Arial" w:hAnsi="Arial"/>
          <w:b/>
          <w:sz w:val="22"/>
          <w:szCs w:val="22"/>
        </w:rPr>
        <w:t xml:space="preserve">External Audit Costs </w:t>
      </w:r>
    </w:p>
    <w:p w14:paraId="3388E237" w14:textId="77777777" w:rsidR="00FA3C6E" w:rsidRPr="009676DE" w:rsidRDefault="00FA3C6E" w:rsidP="00FA3C6E">
      <w:pPr>
        <w:rPr>
          <w:rFonts w:ascii="Arial" w:hAnsi="Arial"/>
          <w:sz w:val="22"/>
          <w:szCs w:val="22"/>
        </w:rPr>
      </w:pPr>
    </w:p>
    <w:p w14:paraId="255B14F9" w14:textId="164CA205" w:rsidR="00FA3C6E" w:rsidRPr="009676DE" w:rsidRDefault="00FA3C6E" w:rsidP="00FA3C6E">
      <w:pPr>
        <w:ind w:left="426"/>
        <w:rPr>
          <w:rFonts w:ascii="Arial" w:hAnsi="Arial"/>
          <w:sz w:val="22"/>
          <w:szCs w:val="22"/>
        </w:rPr>
      </w:pPr>
      <w:r w:rsidRPr="009676DE">
        <w:rPr>
          <w:rFonts w:ascii="Arial" w:hAnsi="Arial"/>
          <w:sz w:val="22"/>
          <w:szCs w:val="22"/>
        </w:rPr>
        <w:t xml:space="preserve">In </w:t>
      </w:r>
      <w:r w:rsidR="00C37E7F">
        <w:rPr>
          <w:rFonts w:ascii="Arial" w:hAnsi="Arial"/>
          <w:sz w:val="22"/>
          <w:szCs w:val="22"/>
        </w:rPr>
        <w:t>2024/25</w:t>
      </w:r>
      <w:r w:rsidRPr="009676DE">
        <w:rPr>
          <w:rFonts w:ascii="Arial" w:hAnsi="Arial"/>
          <w:sz w:val="22"/>
          <w:szCs w:val="22"/>
        </w:rPr>
        <w:t xml:space="preserve"> the PCC Group incurred the following fees relating to external audit. </w:t>
      </w:r>
    </w:p>
    <w:p w14:paraId="725EA1A0" w14:textId="77777777" w:rsidR="00E764DC" w:rsidRPr="009676DE" w:rsidRDefault="00E764DC" w:rsidP="00FA3C6E">
      <w:pPr>
        <w:ind w:left="426"/>
        <w:rPr>
          <w:rFonts w:ascii="Arial" w:hAnsi="Arial"/>
          <w:i/>
          <w:color w:val="0000FF"/>
          <w:sz w:val="22"/>
          <w:szCs w:val="22"/>
        </w:rPr>
      </w:pPr>
    </w:p>
    <w:tbl>
      <w:tblPr>
        <w:tblW w:w="10555" w:type="dxa"/>
        <w:tblLook w:val="04A0" w:firstRow="1" w:lastRow="0" w:firstColumn="1" w:lastColumn="0" w:noHBand="0" w:noVBand="1"/>
      </w:tblPr>
      <w:tblGrid>
        <w:gridCol w:w="8207"/>
        <w:gridCol w:w="1174"/>
        <w:gridCol w:w="1174"/>
      </w:tblGrid>
      <w:tr w:rsidR="0004156D" w:rsidRPr="009676DE" w14:paraId="6C768AA9" w14:textId="77777777" w:rsidTr="009D7304">
        <w:trPr>
          <w:trHeight w:val="370"/>
        </w:trPr>
        <w:tc>
          <w:tcPr>
            <w:tcW w:w="8207" w:type="dxa"/>
            <w:tcBorders>
              <w:top w:val="single" w:sz="8" w:space="0" w:color="auto"/>
              <w:left w:val="single" w:sz="8" w:space="0" w:color="auto"/>
              <w:bottom w:val="nil"/>
              <w:right w:val="nil"/>
            </w:tcBorders>
            <w:shd w:val="clear" w:color="000000" w:fill="D0CECE"/>
            <w:noWrap/>
            <w:vAlign w:val="bottom"/>
            <w:hideMark/>
          </w:tcPr>
          <w:p w14:paraId="25F51C1F" w14:textId="15446566" w:rsidR="0004156D" w:rsidRPr="009676DE" w:rsidRDefault="0004156D" w:rsidP="0004156D">
            <w:pPr>
              <w:rPr>
                <w:rFonts w:ascii="Arial" w:hAnsi="Arial" w:cs="Arial"/>
                <w:b/>
                <w:bCs/>
                <w:color w:val="000000"/>
                <w:sz w:val="22"/>
                <w:szCs w:val="22"/>
              </w:rPr>
            </w:pPr>
            <w:r w:rsidRPr="009676DE">
              <w:rPr>
                <w:rFonts w:ascii="Arial" w:hAnsi="Arial" w:cs="Arial"/>
                <w:b/>
                <w:bCs/>
                <w:color w:val="000000"/>
                <w:sz w:val="22"/>
                <w:szCs w:val="22"/>
              </w:rPr>
              <w:t> </w:t>
            </w:r>
          </w:p>
        </w:tc>
        <w:tc>
          <w:tcPr>
            <w:tcW w:w="1174" w:type="dxa"/>
            <w:tcBorders>
              <w:top w:val="single" w:sz="8" w:space="0" w:color="auto"/>
              <w:left w:val="nil"/>
              <w:bottom w:val="nil"/>
              <w:right w:val="nil"/>
            </w:tcBorders>
            <w:vAlign w:val="center"/>
          </w:tcPr>
          <w:p w14:paraId="7BD3FE0D" w14:textId="47562B6B" w:rsidR="0004156D" w:rsidRPr="009676DE" w:rsidRDefault="00C37E7F" w:rsidP="0004156D">
            <w:pPr>
              <w:jc w:val="center"/>
              <w:rPr>
                <w:rFonts w:ascii="Arial" w:hAnsi="Arial" w:cs="Arial"/>
                <w:b/>
                <w:bCs/>
                <w:color w:val="000000"/>
                <w:sz w:val="22"/>
                <w:szCs w:val="22"/>
              </w:rPr>
            </w:pPr>
            <w:r>
              <w:rPr>
                <w:rFonts w:ascii="Arial" w:hAnsi="Arial" w:cs="Arial"/>
                <w:b/>
                <w:bCs/>
                <w:color w:val="000000"/>
                <w:sz w:val="22"/>
                <w:szCs w:val="22"/>
              </w:rPr>
              <w:t>2023/24</w:t>
            </w:r>
          </w:p>
        </w:tc>
        <w:tc>
          <w:tcPr>
            <w:tcW w:w="1174" w:type="dxa"/>
            <w:tcBorders>
              <w:top w:val="single" w:sz="8" w:space="0" w:color="auto"/>
              <w:left w:val="nil"/>
              <w:bottom w:val="nil"/>
              <w:right w:val="single" w:sz="8" w:space="0" w:color="auto"/>
            </w:tcBorders>
            <w:shd w:val="clear" w:color="000000" w:fill="CCCCCC"/>
            <w:vAlign w:val="center"/>
            <w:hideMark/>
          </w:tcPr>
          <w:p w14:paraId="4744A81A" w14:textId="61F1A67E" w:rsidR="0004156D" w:rsidRPr="009676DE" w:rsidRDefault="00C37E7F" w:rsidP="0004156D">
            <w:pPr>
              <w:jc w:val="center"/>
              <w:rPr>
                <w:rFonts w:ascii="Arial" w:hAnsi="Arial" w:cs="Arial"/>
                <w:b/>
                <w:bCs/>
                <w:color w:val="000000"/>
                <w:sz w:val="22"/>
                <w:szCs w:val="22"/>
              </w:rPr>
            </w:pPr>
            <w:r>
              <w:rPr>
                <w:rFonts w:ascii="Arial" w:hAnsi="Arial" w:cs="Arial"/>
                <w:b/>
                <w:bCs/>
                <w:color w:val="000000"/>
                <w:sz w:val="22"/>
                <w:szCs w:val="22"/>
              </w:rPr>
              <w:t>2024/25</w:t>
            </w:r>
          </w:p>
        </w:tc>
      </w:tr>
      <w:tr w:rsidR="0004156D" w:rsidRPr="009676DE" w14:paraId="4DD0D79B" w14:textId="77777777" w:rsidTr="009D7304">
        <w:trPr>
          <w:trHeight w:val="370"/>
        </w:trPr>
        <w:tc>
          <w:tcPr>
            <w:tcW w:w="8207" w:type="dxa"/>
            <w:tcBorders>
              <w:top w:val="nil"/>
              <w:left w:val="single" w:sz="8" w:space="0" w:color="auto"/>
              <w:bottom w:val="nil"/>
              <w:right w:val="nil"/>
            </w:tcBorders>
            <w:shd w:val="clear" w:color="000000" w:fill="CCCCCC"/>
            <w:vAlign w:val="center"/>
            <w:hideMark/>
          </w:tcPr>
          <w:p w14:paraId="1AB25B00" w14:textId="6F914E1D" w:rsidR="0004156D" w:rsidRPr="009676DE" w:rsidRDefault="0004156D" w:rsidP="0004156D">
            <w:pPr>
              <w:rPr>
                <w:rFonts w:ascii="Arial" w:hAnsi="Arial" w:cs="Arial"/>
                <w:color w:val="000000"/>
                <w:sz w:val="22"/>
                <w:szCs w:val="22"/>
              </w:rPr>
            </w:pPr>
            <w:r w:rsidRPr="009676DE">
              <w:rPr>
                <w:rFonts w:ascii="Arial" w:hAnsi="Arial" w:cs="Arial"/>
                <w:color w:val="000000"/>
                <w:sz w:val="22"/>
                <w:szCs w:val="22"/>
              </w:rPr>
              <w:t> </w:t>
            </w:r>
          </w:p>
        </w:tc>
        <w:tc>
          <w:tcPr>
            <w:tcW w:w="1174" w:type="dxa"/>
            <w:tcBorders>
              <w:top w:val="nil"/>
              <w:left w:val="nil"/>
              <w:bottom w:val="nil"/>
              <w:right w:val="nil"/>
            </w:tcBorders>
            <w:vAlign w:val="center"/>
          </w:tcPr>
          <w:p w14:paraId="64D91566" w14:textId="15045C7B" w:rsidR="0004156D" w:rsidRPr="009676DE" w:rsidRDefault="0004156D" w:rsidP="0004156D">
            <w:pPr>
              <w:jc w:val="center"/>
              <w:rPr>
                <w:rFonts w:ascii="Arial" w:hAnsi="Arial" w:cs="Arial"/>
                <w:b/>
                <w:bCs/>
                <w:color w:val="000000"/>
                <w:sz w:val="22"/>
                <w:szCs w:val="22"/>
              </w:rPr>
            </w:pPr>
            <w:r w:rsidRPr="009676DE">
              <w:rPr>
                <w:rFonts w:ascii="Arial" w:hAnsi="Arial" w:cs="Arial"/>
                <w:b/>
                <w:bCs/>
                <w:color w:val="000000"/>
                <w:sz w:val="22"/>
                <w:szCs w:val="22"/>
              </w:rPr>
              <w:t>£000</w:t>
            </w:r>
          </w:p>
        </w:tc>
        <w:tc>
          <w:tcPr>
            <w:tcW w:w="1174" w:type="dxa"/>
            <w:tcBorders>
              <w:top w:val="nil"/>
              <w:left w:val="nil"/>
              <w:bottom w:val="nil"/>
              <w:right w:val="single" w:sz="8" w:space="0" w:color="auto"/>
            </w:tcBorders>
            <w:shd w:val="clear" w:color="000000" w:fill="CCCCCC"/>
            <w:vAlign w:val="center"/>
            <w:hideMark/>
          </w:tcPr>
          <w:p w14:paraId="4759CE2A" w14:textId="7022B3EF" w:rsidR="0004156D" w:rsidRPr="009676DE" w:rsidRDefault="0004156D" w:rsidP="0004156D">
            <w:pPr>
              <w:jc w:val="center"/>
              <w:rPr>
                <w:rFonts w:ascii="Arial" w:hAnsi="Arial" w:cs="Arial"/>
                <w:b/>
                <w:bCs/>
                <w:color w:val="000000"/>
                <w:sz w:val="22"/>
                <w:szCs w:val="22"/>
              </w:rPr>
            </w:pPr>
            <w:r w:rsidRPr="009676DE">
              <w:rPr>
                <w:rFonts w:ascii="Arial" w:hAnsi="Arial" w:cs="Arial"/>
                <w:b/>
                <w:bCs/>
                <w:color w:val="000000"/>
                <w:sz w:val="22"/>
                <w:szCs w:val="22"/>
              </w:rPr>
              <w:t>£000</w:t>
            </w:r>
          </w:p>
        </w:tc>
      </w:tr>
      <w:tr w:rsidR="0004156D" w:rsidRPr="009676DE" w14:paraId="53A13E41" w14:textId="77777777" w:rsidTr="009D7304">
        <w:trPr>
          <w:trHeight w:val="1111"/>
        </w:trPr>
        <w:tc>
          <w:tcPr>
            <w:tcW w:w="8207" w:type="dxa"/>
            <w:tcBorders>
              <w:top w:val="nil"/>
              <w:left w:val="single" w:sz="8" w:space="0" w:color="auto"/>
              <w:bottom w:val="nil"/>
              <w:right w:val="nil"/>
            </w:tcBorders>
            <w:shd w:val="clear" w:color="000000" w:fill="CCCCCC"/>
            <w:vAlign w:val="center"/>
            <w:hideMark/>
          </w:tcPr>
          <w:p w14:paraId="5FEC379D" w14:textId="71D92ED7" w:rsidR="0004156D" w:rsidRPr="009676DE" w:rsidRDefault="0004156D" w:rsidP="0004156D">
            <w:pPr>
              <w:rPr>
                <w:rFonts w:ascii="Arial" w:hAnsi="Arial" w:cs="Arial"/>
                <w:color w:val="000000"/>
                <w:sz w:val="23"/>
                <w:szCs w:val="23"/>
              </w:rPr>
            </w:pPr>
            <w:r w:rsidRPr="009676DE">
              <w:rPr>
                <w:rFonts w:ascii="Arial" w:hAnsi="Arial" w:cs="Arial"/>
                <w:color w:val="000000"/>
                <w:sz w:val="23"/>
                <w:szCs w:val="23"/>
              </w:rPr>
              <w:t xml:space="preserve">Fees payable to Grant Thornton UK LLP, auditors appointed under the Local Audit and Accountability Act 2014, </w:t>
            </w:r>
            <w:proofErr w:type="gramStart"/>
            <w:r w:rsidRPr="009676DE">
              <w:rPr>
                <w:rFonts w:ascii="Arial" w:hAnsi="Arial" w:cs="Arial"/>
                <w:color w:val="000000"/>
                <w:sz w:val="23"/>
                <w:szCs w:val="23"/>
              </w:rPr>
              <w:t>with regard to</w:t>
            </w:r>
            <w:proofErr w:type="gramEnd"/>
            <w:r w:rsidRPr="009676DE">
              <w:rPr>
                <w:rFonts w:ascii="Arial" w:hAnsi="Arial" w:cs="Arial"/>
                <w:color w:val="000000"/>
                <w:sz w:val="23"/>
                <w:szCs w:val="23"/>
              </w:rPr>
              <w:t xml:space="preserve"> external audit services carried out under the C</w:t>
            </w:r>
            <w:r w:rsidRPr="009676DE">
              <w:rPr>
                <w:rFonts w:ascii="Arial" w:hAnsi="Arial" w:cs="Arial"/>
                <w:i/>
                <w:iCs/>
                <w:color w:val="000000"/>
                <w:sz w:val="23"/>
                <w:szCs w:val="23"/>
              </w:rPr>
              <w:t xml:space="preserve">ode of Audit Practice </w:t>
            </w:r>
            <w:r w:rsidRPr="009676DE">
              <w:rPr>
                <w:rFonts w:ascii="Arial" w:hAnsi="Arial" w:cs="Arial"/>
                <w:color w:val="000000"/>
                <w:sz w:val="23"/>
                <w:szCs w:val="23"/>
              </w:rPr>
              <w:t>prepared by the Comptroller and Auditor General in accordance with s19 of the Local Audit and Accountability Act 2014</w:t>
            </w:r>
          </w:p>
        </w:tc>
        <w:tc>
          <w:tcPr>
            <w:tcW w:w="1174" w:type="dxa"/>
            <w:tcBorders>
              <w:top w:val="nil"/>
              <w:left w:val="nil"/>
              <w:bottom w:val="nil"/>
              <w:right w:val="nil"/>
            </w:tcBorders>
            <w:vAlign w:val="center"/>
          </w:tcPr>
          <w:p w14:paraId="41460444" w14:textId="241B8B4D" w:rsidR="0004156D" w:rsidRPr="009676DE" w:rsidRDefault="002D7752" w:rsidP="0004156D">
            <w:pPr>
              <w:jc w:val="right"/>
              <w:rPr>
                <w:rFonts w:ascii="Arial" w:hAnsi="Arial" w:cs="Arial"/>
                <w:color w:val="000000"/>
                <w:sz w:val="22"/>
                <w:szCs w:val="22"/>
              </w:rPr>
            </w:pPr>
            <w:r>
              <w:rPr>
                <w:rFonts w:ascii="Arial" w:hAnsi="Arial" w:cs="Arial"/>
                <w:color w:val="000000"/>
                <w:sz w:val="22"/>
                <w:szCs w:val="22"/>
              </w:rPr>
              <w:t>153</w:t>
            </w:r>
            <w:r w:rsidR="003C528B" w:rsidRPr="009676DE">
              <w:rPr>
                <w:rFonts w:ascii="Arial" w:hAnsi="Arial" w:cs="Arial"/>
                <w:color w:val="000000"/>
                <w:sz w:val="22"/>
                <w:szCs w:val="22"/>
              </w:rPr>
              <w:t xml:space="preserve"> </w:t>
            </w:r>
          </w:p>
        </w:tc>
        <w:tc>
          <w:tcPr>
            <w:tcW w:w="1174" w:type="dxa"/>
            <w:tcBorders>
              <w:top w:val="nil"/>
              <w:left w:val="nil"/>
              <w:bottom w:val="nil"/>
              <w:right w:val="single" w:sz="8" w:space="0" w:color="auto"/>
            </w:tcBorders>
            <w:shd w:val="clear" w:color="000000" w:fill="CCCCCC"/>
            <w:vAlign w:val="center"/>
            <w:hideMark/>
          </w:tcPr>
          <w:p w14:paraId="041E67DE" w14:textId="0D341C33" w:rsidR="0004156D" w:rsidRPr="009676DE" w:rsidRDefault="00703CF9" w:rsidP="0004156D">
            <w:pPr>
              <w:jc w:val="right"/>
              <w:rPr>
                <w:rFonts w:ascii="Arial" w:hAnsi="Arial" w:cs="Arial"/>
                <w:color w:val="000000"/>
                <w:sz w:val="22"/>
                <w:szCs w:val="22"/>
              </w:rPr>
            </w:pPr>
            <w:r>
              <w:rPr>
                <w:rFonts w:ascii="Arial" w:hAnsi="Arial" w:cs="Arial"/>
                <w:color w:val="000000"/>
                <w:sz w:val="22"/>
                <w:szCs w:val="22"/>
              </w:rPr>
              <w:t>222</w:t>
            </w:r>
            <w:r w:rsidRPr="009676DE">
              <w:rPr>
                <w:rFonts w:ascii="Arial" w:hAnsi="Arial" w:cs="Arial"/>
                <w:color w:val="000000"/>
                <w:sz w:val="22"/>
                <w:szCs w:val="22"/>
              </w:rPr>
              <w:t xml:space="preserve"> </w:t>
            </w:r>
          </w:p>
        </w:tc>
      </w:tr>
      <w:tr w:rsidR="0004156D" w:rsidRPr="009676DE" w14:paraId="65CAF9B4" w14:textId="77777777" w:rsidTr="009D7304">
        <w:trPr>
          <w:trHeight w:val="388"/>
        </w:trPr>
        <w:tc>
          <w:tcPr>
            <w:tcW w:w="8207" w:type="dxa"/>
            <w:tcBorders>
              <w:top w:val="nil"/>
              <w:left w:val="single" w:sz="8" w:space="0" w:color="auto"/>
              <w:bottom w:val="single" w:sz="8" w:space="0" w:color="auto"/>
              <w:right w:val="nil"/>
            </w:tcBorders>
            <w:shd w:val="clear" w:color="000000" w:fill="CCCCCC"/>
            <w:vAlign w:val="center"/>
            <w:hideMark/>
          </w:tcPr>
          <w:p w14:paraId="6BDE276A" w14:textId="5551A9DF" w:rsidR="0004156D" w:rsidRPr="009676DE" w:rsidRDefault="0004156D" w:rsidP="0004156D">
            <w:pPr>
              <w:rPr>
                <w:rFonts w:ascii="Arial" w:hAnsi="Arial" w:cs="Arial"/>
                <w:b/>
                <w:bCs/>
                <w:color w:val="000000"/>
                <w:sz w:val="22"/>
                <w:szCs w:val="22"/>
              </w:rPr>
            </w:pPr>
            <w:r w:rsidRPr="009676DE">
              <w:rPr>
                <w:rFonts w:ascii="Arial" w:hAnsi="Arial" w:cs="Arial"/>
                <w:b/>
                <w:bCs/>
                <w:color w:val="000000"/>
                <w:sz w:val="22"/>
                <w:szCs w:val="22"/>
              </w:rPr>
              <w:t>Total Costs</w:t>
            </w:r>
          </w:p>
        </w:tc>
        <w:tc>
          <w:tcPr>
            <w:tcW w:w="1174" w:type="dxa"/>
            <w:tcBorders>
              <w:top w:val="single" w:sz="8" w:space="0" w:color="auto"/>
              <w:left w:val="nil"/>
              <w:bottom w:val="single" w:sz="8" w:space="0" w:color="auto"/>
              <w:right w:val="nil"/>
            </w:tcBorders>
            <w:vAlign w:val="center"/>
          </w:tcPr>
          <w:p w14:paraId="4B3428CE" w14:textId="708E4CB7" w:rsidR="0004156D" w:rsidRPr="009676DE" w:rsidRDefault="002D7752" w:rsidP="0004156D">
            <w:pPr>
              <w:jc w:val="right"/>
              <w:rPr>
                <w:rFonts w:ascii="Arial" w:hAnsi="Arial" w:cs="Arial"/>
                <w:b/>
                <w:bCs/>
                <w:color w:val="000000"/>
                <w:sz w:val="22"/>
                <w:szCs w:val="22"/>
              </w:rPr>
            </w:pPr>
            <w:r>
              <w:rPr>
                <w:rFonts w:ascii="Arial" w:hAnsi="Arial" w:cs="Arial"/>
                <w:b/>
                <w:bCs/>
                <w:color w:val="000000"/>
                <w:sz w:val="22"/>
                <w:szCs w:val="22"/>
              </w:rPr>
              <w:t>153</w:t>
            </w:r>
            <w:r w:rsidR="0004156D" w:rsidRPr="009676DE">
              <w:rPr>
                <w:rFonts w:ascii="Arial" w:hAnsi="Arial" w:cs="Arial"/>
                <w:b/>
                <w:bCs/>
                <w:color w:val="000000"/>
                <w:sz w:val="22"/>
                <w:szCs w:val="22"/>
              </w:rPr>
              <w:t xml:space="preserve"> </w:t>
            </w:r>
          </w:p>
        </w:tc>
        <w:tc>
          <w:tcPr>
            <w:tcW w:w="1174" w:type="dxa"/>
            <w:tcBorders>
              <w:top w:val="single" w:sz="8" w:space="0" w:color="auto"/>
              <w:left w:val="nil"/>
              <w:bottom w:val="single" w:sz="8" w:space="0" w:color="auto"/>
              <w:right w:val="single" w:sz="8" w:space="0" w:color="auto"/>
            </w:tcBorders>
            <w:shd w:val="clear" w:color="000000" w:fill="CCCCCC"/>
            <w:vAlign w:val="center"/>
            <w:hideMark/>
          </w:tcPr>
          <w:p w14:paraId="449B0B9D" w14:textId="32B4D96A" w:rsidR="0004156D" w:rsidRPr="009676DE" w:rsidRDefault="00703CF9" w:rsidP="0004156D">
            <w:pPr>
              <w:jc w:val="right"/>
              <w:rPr>
                <w:rFonts w:ascii="Arial" w:hAnsi="Arial" w:cs="Arial"/>
                <w:b/>
                <w:bCs/>
                <w:color w:val="000000"/>
                <w:sz w:val="22"/>
                <w:szCs w:val="22"/>
              </w:rPr>
            </w:pPr>
            <w:r>
              <w:rPr>
                <w:rFonts w:ascii="Arial" w:hAnsi="Arial" w:cs="Arial"/>
                <w:b/>
                <w:bCs/>
                <w:color w:val="000000"/>
                <w:sz w:val="22"/>
                <w:szCs w:val="22"/>
              </w:rPr>
              <w:t>222</w:t>
            </w:r>
            <w:r w:rsidRPr="009676DE">
              <w:rPr>
                <w:rFonts w:ascii="Arial" w:hAnsi="Arial" w:cs="Arial"/>
                <w:b/>
                <w:bCs/>
                <w:color w:val="000000"/>
                <w:sz w:val="22"/>
                <w:szCs w:val="22"/>
              </w:rPr>
              <w:t xml:space="preserve"> </w:t>
            </w:r>
          </w:p>
        </w:tc>
      </w:tr>
    </w:tbl>
    <w:p w14:paraId="372A3D4B" w14:textId="77777777" w:rsidR="00FA3C6E" w:rsidRPr="009676DE" w:rsidRDefault="00FA3C6E" w:rsidP="00FA3C6E">
      <w:pPr>
        <w:tabs>
          <w:tab w:val="right" w:pos="5760"/>
        </w:tabs>
        <w:rPr>
          <w:rFonts w:ascii="Arial" w:hAnsi="Arial"/>
          <w:b/>
          <w:sz w:val="22"/>
          <w:szCs w:val="22"/>
        </w:rPr>
      </w:pPr>
    </w:p>
    <w:p w14:paraId="1DD51AA2" w14:textId="70E2B4D1" w:rsidR="0004156D" w:rsidRDefault="0004156D" w:rsidP="00571E28">
      <w:pPr>
        <w:ind w:left="426"/>
        <w:jc w:val="both"/>
        <w:rPr>
          <w:rFonts w:ascii="Arial" w:hAnsi="Arial"/>
          <w:sz w:val="22"/>
          <w:szCs w:val="22"/>
        </w:rPr>
      </w:pPr>
      <w:r w:rsidRPr="009676DE">
        <w:rPr>
          <w:rFonts w:ascii="Arial" w:hAnsi="Arial"/>
          <w:sz w:val="22"/>
          <w:szCs w:val="22"/>
        </w:rPr>
        <w:t>Separate charges were made to the PCC and CC, the CC share was £</w:t>
      </w:r>
      <w:r w:rsidR="008357F6">
        <w:rPr>
          <w:rFonts w:ascii="Arial" w:hAnsi="Arial"/>
          <w:sz w:val="22"/>
          <w:szCs w:val="22"/>
        </w:rPr>
        <w:t>7</w:t>
      </w:r>
      <w:r w:rsidR="00703CF9">
        <w:rPr>
          <w:rFonts w:ascii="Arial" w:hAnsi="Arial"/>
          <w:sz w:val="22"/>
          <w:szCs w:val="22"/>
        </w:rPr>
        <w:t>9</w:t>
      </w:r>
      <w:r w:rsidR="00A24C57" w:rsidRPr="009676DE">
        <w:rPr>
          <w:rFonts w:ascii="Arial" w:hAnsi="Arial"/>
          <w:sz w:val="22"/>
          <w:szCs w:val="22"/>
        </w:rPr>
        <w:t>.</w:t>
      </w:r>
      <w:r w:rsidR="00703CF9">
        <w:rPr>
          <w:rFonts w:ascii="Arial" w:hAnsi="Arial"/>
          <w:sz w:val="22"/>
          <w:szCs w:val="22"/>
        </w:rPr>
        <w:t>1</w:t>
      </w:r>
      <w:r w:rsidR="00A24C57" w:rsidRPr="009676DE">
        <w:rPr>
          <w:rFonts w:ascii="Arial" w:hAnsi="Arial"/>
          <w:sz w:val="22"/>
          <w:szCs w:val="22"/>
        </w:rPr>
        <w:t>k</w:t>
      </w:r>
      <w:r w:rsidRPr="009676DE">
        <w:rPr>
          <w:rFonts w:ascii="Arial" w:hAnsi="Arial"/>
          <w:sz w:val="22"/>
          <w:szCs w:val="22"/>
        </w:rPr>
        <w:t xml:space="preserve"> with the balance falling on the PCC</w:t>
      </w:r>
      <w:r w:rsidR="00717F20">
        <w:rPr>
          <w:rFonts w:ascii="Arial" w:hAnsi="Arial"/>
          <w:sz w:val="22"/>
          <w:szCs w:val="22"/>
        </w:rPr>
        <w:t>, for 2</w:t>
      </w:r>
      <w:r w:rsidR="00E47D5D">
        <w:rPr>
          <w:rFonts w:ascii="Arial" w:hAnsi="Arial"/>
          <w:sz w:val="22"/>
          <w:szCs w:val="22"/>
        </w:rPr>
        <w:t>3</w:t>
      </w:r>
      <w:r w:rsidR="00717F20">
        <w:rPr>
          <w:rFonts w:ascii="Arial" w:hAnsi="Arial"/>
          <w:sz w:val="22"/>
          <w:szCs w:val="22"/>
        </w:rPr>
        <w:t>/2</w:t>
      </w:r>
      <w:r w:rsidR="00E47D5D">
        <w:rPr>
          <w:rFonts w:ascii="Arial" w:hAnsi="Arial"/>
          <w:sz w:val="22"/>
          <w:szCs w:val="22"/>
        </w:rPr>
        <w:t>4</w:t>
      </w:r>
      <w:r w:rsidR="00717F20">
        <w:rPr>
          <w:rFonts w:ascii="Arial" w:hAnsi="Arial"/>
          <w:sz w:val="22"/>
          <w:szCs w:val="22"/>
        </w:rPr>
        <w:t xml:space="preserve"> this was £</w:t>
      </w:r>
      <w:r w:rsidR="00C1142A">
        <w:rPr>
          <w:rFonts w:ascii="Arial" w:hAnsi="Arial"/>
          <w:sz w:val="22"/>
          <w:szCs w:val="22"/>
        </w:rPr>
        <w:t>56</w:t>
      </w:r>
      <w:r w:rsidR="00717F20">
        <w:rPr>
          <w:rFonts w:ascii="Arial" w:hAnsi="Arial"/>
          <w:sz w:val="22"/>
          <w:szCs w:val="22"/>
        </w:rPr>
        <w:t>.</w:t>
      </w:r>
      <w:r w:rsidR="00C1142A">
        <w:rPr>
          <w:rFonts w:ascii="Arial" w:hAnsi="Arial"/>
          <w:sz w:val="22"/>
          <w:szCs w:val="22"/>
        </w:rPr>
        <w:t>3</w:t>
      </w:r>
      <w:r w:rsidR="00717F20">
        <w:rPr>
          <w:rFonts w:ascii="Arial" w:hAnsi="Arial"/>
          <w:sz w:val="22"/>
          <w:szCs w:val="22"/>
        </w:rPr>
        <w:t>k</w:t>
      </w:r>
      <w:r w:rsidR="00B96378">
        <w:rPr>
          <w:rFonts w:ascii="Arial" w:hAnsi="Arial"/>
          <w:sz w:val="22"/>
          <w:szCs w:val="22"/>
        </w:rPr>
        <w:t>.</w:t>
      </w:r>
    </w:p>
    <w:p w14:paraId="20B58397" w14:textId="77777777" w:rsidR="00B96378" w:rsidRDefault="00B96378" w:rsidP="00571E28">
      <w:pPr>
        <w:ind w:left="426"/>
        <w:jc w:val="both"/>
        <w:rPr>
          <w:rFonts w:ascii="Arial" w:hAnsi="Arial"/>
          <w:sz w:val="22"/>
          <w:szCs w:val="22"/>
        </w:rPr>
      </w:pPr>
    </w:p>
    <w:p w14:paraId="26EBFC26" w14:textId="00256F95" w:rsidR="00B96378" w:rsidRDefault="00494460" w:rsidP="00AA2471">
      <w:pPr>
        <w:ind w:left="426"/>
        <w:jc w:val="both"/>
        <w:rPr>
          <w:rFonts w:ascii="Arial" w:hAnsi="Arial"/>
          <w:sz w:val="22"/>
          <w:szCs w:val="22"/>
        </w:rPr>
      </w:pPr>
      <w:r>
        <w:rPr>
          <w:rFonts w:ascii="Arial" w:hAnsi="Arial"/>
          <w:sz w:val="22"/>
          <w:szCs w:val="22"/>
        </w:rPr>
        <w:t xml:space="preserve">The </w:t>
      </w:r>
      <w:r w:rsidR="003C68B4">
        <w:rPr>
          <w:rFonts w:ascii="Arial" w:hAnsi="Arial"/>
          <w:sz w:val="22"/>
          <w:szCs w:val="22"/>
        </w:rPr>
        <w:t xml:space="preserve">fees </w:t>
      </w:r>
      <w:r>
        <w:rPr>
          <w:rFonts w:ascii="Arial" w:hAnsi="Arial"/>
          <w:sz w:val="22"/>
          <w:szCs w:val="22"/>
        </w:rPr>
        <w:t xml:space="preserve">outlined above </w:t>
      </w:r>
      <w:r w:rsidR="00DC2030">
        <w:rPr>
          <w:rFonts w:ascii="Arial" w:hAnsi="Arial"/>
          <w:sz w:val="22"/>
          <w:szCs w:val="22"/>
        </w:rPr>
        <w:t>include additional</w:t>
      </w:r>
      <w:r w:rsidR="00CE0160">
        <w:rPr>
          <w:rFonts w:ascii="Arial" w:hAnsi="Arial"/>
          <w:sz w:val="22"/>
          <w:szCs w:val="22"/>
        </w:rPr>
        <w:t xml:space="preserve"> fees approved by the PSAA for prior year a</w:t>
      </w:r>
      <w:r>
        <w:rPr>
          <w:rFonts w:ascii="Arial" w:hAnsi="Arial"/>
          <w:sz w:val="22"/>
          <w:szCs w:val="22"/>
        </w:rPr>
        <w:t>udits</w:t>
      </w:r>
      <w:r w:rsidR="00CE0160">
        <w:rPr>
          <w:rFonts w:ascii="Arial" w:hAnsi="Arial"/>
          <w:sz w:val="22"/>
          <w:szCs w:val="22"/>
        </w:rPr>
        <w:t xml:space="preserve"> as </w:t>
      </w:r>
      <w:r>
        <w:rPr>
          <w:rFonts w:ascii="Arial" w:hAnsi="Arial"/>
          <w:sz w:val="22"/>
          <w:szCs w:val="22"/>
        </w:rPr>
        <w:t xml:space="preserve">outlined </w:t>
      </w:r>
      <w:r w:rsidR="00DC2030">
        <w:rPr>
          <w:rFonts w:ascii="Arial" w:hAnsi="Arial"/>
          <w:sz w:val="22"/>
          <w:szCs w:val="22"/>
        </w:rPr>
        <w:t>in</w:t>
      </w:r>
      <w:r w:rsidR="00CE0160">
        <w:rPr>
          <w:rFonts w:ascii="Arial" w:hAnsi="Arial"/>
          <w:sz w:val="22"/>
          <w:szCs w:val="22"/>
        </w:rPr>
        <w:t xml:space="preserve"> the </w:t>
      </w:r>
      <w:r w:rsidR="00F0127B">
        <w:rPr>
          <w:rFonts w:ascii="Arial" w:hAnsi="Arial"/>
          <w:sz w:val="22"/>
          <w:szCs w:val="22"/>
        </w:rPr>
        <w:t>table below for each organisation:</w:t>
      </w:r>
    </w:p>
    <w:p w14:paraId="339112BF" w14:textId="77777777" w:rsidR="00F0127B" w:rsidRDefault="00F0127B" w:rsidP="00AA2471">
      <w:pPr>
        <w:ind w:left="426"/>
        <w:jc w:val="both"/>
        <w:rPr>
          <w:rFonts w:ascii="Arial" w:hAnsi="Arial"/>
          <w:sz w:val="22"/>
          <w:szCs w:val="22"/>
        </w:rPr>
      </w:pPr>
    </w:p>
    <w:tbl>
      <w:tblPr>
        <w:tblW w:w="9203" w:type="dxa"/>
        <w:tblLook w:val="04A0" w:firstRow="1" w:lastRow="0" w:firstColumn="1" w:lastColumn="0" w:noHBand="0" w:noVBand="1"/>
      </w:tblPr>
      <w:tblGrid>
        <w:gridCol w:w="4952"/>
        <w:gridCol w:w="1417"/>
        <w:gridCol w:w="1417"/>
        <w:gridCol w:w="1417"/>
      </w:tblGrid>
      <w:tr w:rsidR="006E26F1" w:rsidRPr="009676DE" w14:paraId="6A83513F" w14:textId="34ACCECC" w:rsidTr="00744D72">
        <w:trPr>
          <w:trHeight w:val="423"/>
        </w:trPr>
        <w:tc>
          <w:tcPr>
            <w:tcW w:w="4952" w:type="dxa"/>
            <w:tcBorders>
              <w:top w:val="single" w:sz="8" w:space="0" w:color="auto"/>
              <w:left w:val="single" w:sz="8" w:space="0" w:color="auto"/>
              <w:bottom w:val="nil"/>
              <w:right w:val="nil"/>
            </w:tcBorders>
            <w:shd w:val="clear" w:color="000000" w:fill="D0CECE"/>
            <w:noWrap/>
            <w:vAlign w:val="bottom"/>
            <w:hideMark/>
          </w:tcPr>
          <w:p w14:paraId="3EBC34EF" w14:textId="724F336D" w:rsidR="00F73699" w:rsidRPr="009676DE" w:rsidRDefault="00F73699">
            <w:pPr>
              <w:rPr>
                <w:rFonts w:ascii="Arial" w:hAnsi="Arial" w:cs="Arial"/>
                <w:b/>
                <w:bCs/>
                <w:color w:val="000000"/>
                <w:sz w:val="22"/>
                <w:szCs w:val="22"/>
              </w:rPr>
            </w:pPr>
            <w:r w:rsidRPr="009676DE">
              <w:rPr>
                <w:rFonts w:ascii="Arial" w:hAnsi="Arial" w:cs="Arial"/>
                <w:b/>
                <w:bCs/>
                <w:color w:val="000000"/>
                <w:sz w:val="22"/>
                <w:szCs w:val="22"/>
              </w:rPr>
              <w:t> </w:t>
            </w:r>
            <w:r>
              <w:rPr>
                <w:rFonts w:ascii="Arial" w:hAnsi="Arial" w:cs="Arial"/>
                <w:b/>
                <w:bCs/>
                <w:color w:val="000000"/>
                <w:sz w:val="22"/>
                <w:szCs w:val="22"/>
              </w:rPr>
              <w:t>Accounts</w:t>
            </w:r>
            <w:r w:rsidR="00980D33">
              <w:rPr>
                <w:rFonts w:ascii="Arial" w:hAnsi="Arial" w:cs="Arial"/>
                <w:b/>
                <w:bCs/>
                <w:color w:val="000000"/>
                <w:sz w:val="22"/>
                <w:szCs w:val="22"/>
              </w:rPr>
              <w:t>’</w:t>
            </w:r>
            <w:r>
              <w:rPr>
                <w:rFonts w:ascii="Arial" w:hAnsi="Arial" w:cs="Arial"/>
                <w:b/>
                <w:bCs/>
                <w:color w:val="000000"/>
                <w:sz w:val="22"/>
                <w:szCs w:val="22"/>
              </w:rPr>
              <w:t xml:space="preserve"> year audited</w:t>
            </w:r>
          </w:p>
        </w:tc>
        <w:tc>
          <w:tcPr>
            <w:tcW w:w="1417" w:type="dxa"/>
            <w:tcBorders>
              <w:top w:val="single" w:sz="8" w:space="0" w:color="auto"/>
              <w:left w:val="nil"/>
              <w:bottom w:val="nil"/>
              <w:right w:val="single" w:sz="4" w:space="0" w:color="auto"/>
            </w:tcBorders>
            <w:vAlign w:val="center"/>
          </w:tcPr>
          <w:p w14:paraId="55477C3B" w14:textId="6AABDD9F" w:rsidR="00F73699" w:rsidRPr="009676DE" w:rsidRDefault="00F73699">
            <w:pPr>
              <w:jc w:val="center"/>
              <w:rPr>
                <w:rFonts w:ascii="Arial" w:hAnsi="Arial" w:cs="Arial"/>
                <w:b/>
                <w:bCs/>
                <w:color w:val="000000"/>
                <w:sz w:val="22"/>
                <w:szCs w:val="22"/>
              </w:rPr>
            </w:pPr>
            <w:r>
              <w:rPr>
                <w:rFonts w:ascii="Arial" w:hAnsi="Arial" w:cs="Arial"/>
                <w:b/>
                <w:bCs/>
                <w:color w:val="000000"/>
                <w:sz w:val="22"/>
                <w:szCs w:val="22"/>
              </w:rPr>
              <w:t>CC</w:t>
            </w:r>
          </w:p>
        </w:tc>
        <w:tc>
          <w:tcPr>
            <w:tcW w:w="1417" w:type="dxa"/>
            <w:tcBorders>
              <w:top w:val="single" w:sz="4" w:space="0" w:color="auto"/>
              <w:left w:val="single" w:sz="4" w:space="0" w:color="auto"/>
              <w:bottom w:val="nil"/>
              <w:right w:val="single" w:sz="4" w:space="0" w:color="auto"/>
            </w:tcBorders>
            <w:vAlign w:val="center"/>
            <w:hideMark/>
          </w:tcPr>
          <w:p w14:paraId="3275C13F" w14:textId="4504F85C" w:rsidR="00F73699" w:rsidRPr="009676DE" w:rsidRDefault="00F73699">
            <w:pPr>
              <w:jc w:val="center"/>
              <w:rPr>
                <w:rFonts w:ascii="Arial" w:hAnsi="Arial" w:cs="Arial"/>
                <w:b/>
                <w:bCs/>
                <w:color w:val="000000"/>
                <w:sz w:val="22"/>
                <w:szCs w:val="22"/>
              </w:rPr>
            </w:pPr>
            <w:r>
              <w:rPr>
                <w:rFonts w:ascii="Arial" w:hAnsi="Arial" w:cs="Arial"/>
                <w:b/>
                <w:bCs/>
                <w:color w:val="000000"/>
                <w:sz w:val="22"/>
                <w:szCs w:val="22"/>
              </w:rPr>
              <w:t>PCC</w:t>
            </w:r>
          </w:p>
        </w:tc>
        <w:tc>
          <w:tcPr>
            <w:tcW w:w="1417" w:type="dxa"/>
            <w:tcBorders>
              <w:top w:val="single" w:sz="4" w:space="0" w:color="auto"/>
              <w:left w:val="single" w:sz="4" w:space="0" w:color="auto"/>
              <w:right w:val="single" w:sz="4" w:space="0" w:color="auto"/>
            </w:tcBorders>
            <w:vAlign w:val="center"/>
          </w:tcPr>
          <w:p w14:paraId="648645B1" w14:textId="36B4222B" w:rsidR="00F73699" w:rsidRDefault="00F73699" w:rsidP="00F73699">
            <w:pPr>
              <w:jc w:val="center"/>
              <w:rPr>
                <w:rFonts w:ascii="Arial" w:hAnsi="Arial" w:cs="Arial"/>
                <w:b/>
                <w:bCs/>
                <w:color w:val="000000"/>
                <w:sz w:val="22"/>
                <w:szCs w:val="22"/>
              </w:rPr>
            </w:pPr>
            <w:r>
              <w:rPr>
                <w:rFonts w:ascii="Arial" w:hAnsi="Arial" w:cs="Arial"/>
                <w:b/>
                <w:bCs/>
                <w:color w:val="000000"/>
                <w:sz w:val="22"/>
                <w:szCs w:val="22"/>
              </w:rPr>
              <w:t xml:space="preserve">PCC </w:t>
            </w:r>
            <w:r w:rsidR="006E26F1">
              <w:rPr>
                <w:rFonts w:ascii="Arial" w:hAnsi="Arial" w:cs="Arial"/>
                <w:b/>
                <w:bCs/>
                <w:color w:val="000000"/>
                <w:sz w:val="22"/>
                <w:szCs w:val="22"/>
              </w:rPr>
              <w:t>G</w:t>
            </w:r>
            <w:r>
              <w:rPr>
                <w:rFonts w:ascii="Arial" w:hAnsi="Arial" w:cs="Arial"/>
                <w:b/>
                <w:bCs/>
                <w:color w:val="000000"/>
                <w:sz w:val="22"/>
                <w:szCs w:val="22"/>
              </w:rPr>
              <w:t>roup</w:t>
            </w:r>
          </w:p>
        </w:tc>
      </w:tr>
      <w:tr w:rsidR="006E26F1" w:rsidRPr="009676DE" w14:paraId="34751B8F" w14:textId="77777777" w:rsidTr="00744D72">
        <w:trPr>
          <w:trHeight w:val="366"/>
        </w:trPr>
        <w:tc>
          <w:tcPr>
            <w:tcW w:w="4952" w:type="dxa"/>
            <w:tcBorders>
              <w:top w:val="nil"/>
              <w:left w:val="single" w:sz="8" w:space="0" w:color="auto"/>
              <w:bottom w:val="nil"/>
              <w:right w:val="nil"/>
            </w:tcBorders>
            <w:shd w:val="clear" w:color="000000" w:fill="CCCCCC"/>
            <w:vAlign w:val="center"/>
            <w:hideMark/>
          </w:tcPr>
          <w:p w14:paraId="4AD0C30A" w14:textId="77777777" w:rsidR="00F73699" w:rsidRPr="009676DE" w:rsidRDefault="00F73699" w:rsidP="00F73699">
            <w:pPr>
              <w:rPr>
                <w:rFonts w:ascii="Arial" w:hAnsi="Arial" w:cs="Arial"/>
                <w:color w:val="000000"/>
                <w:sz w:val="22"/>
                <w:szCs w:val="22"/>
              </w:rPr>
            </w:pPr>
            <w:r w:rsidRPr="009676DE">
              <w:rPr>
                <w:rFonts w:ascii="Arial" w:hAnsi="Arial" w:cs="Arial"/>
                <w:color w:val="000000"/>
                <w:sz w:val="22"/>
                <w:szCs w:val="22"/>
              </w:rPr>
              <w:t> </w:t>
            </w:r>
          </w:p>
        </w:tc>
        <w:tc>
          <w:tcPr>
            <w:tcW w:w="1417" w:type="dxa"/>
            <w:tcBorders>
              <w:top w:val="nil"/>
              <w:left w:val="nil"/>
              <w:bottom w:val="nil"/>
              <w:right w:val="single" w:sz="4" w:space="0" w:color="auto"/>
            </w:tcBorders>
            <w:vAlign w:val="center"/>
          </w:tcPr>
          <w:p w14:paraId="45D738B7" w14:textId="77777777" w:rsidR="00F73699" w:rsidRPr="009676DE" w:rsidRDefault="00F73699" w:rsidP="00F73699">
            <w:pPr>
              <w:jc w:val="center"/>
              <w:rPr>
                <w:rFonts w:ascii="Arial" w:hAnsi="Arial" w:cs="Arial"/>
                <w:b/>
                <w:bCs/>
                <w:color w:val="000000"/>
                <w:sz w:val="22"/>
                <w:szCs w:val="22"/>
              </w:rPr>
            </w:pPr>
            <w:r w:rsidRPr="009676DE">
              <w:rPr>
                <w:rFonts w:ascii="Arial" w:hAnsi="Arial" w:cs="Arial"/>
                <w:b/>
                <w:bCs/>
                <w:color w:val="000000"/>
                <w:sz w:val="22"/>
                <w:szCs w:val="22"/>
              </w:rPr>
              <w:t>£000</w:t>
            </w:r>
          </w:p>
        </w:tc>
        <w:tc>
          <w:tcPr>
            <w:tcW w:w="1417" w:type="dxa"/>
            <w:tcBorders>
              <w:top w:val="nil"/>
              <w:left w:val="single" w:sz="4" w:space="0" w:color="auto"/>
              <w:bottom w:val="nil"/>
              <w:right w:val="single" w:sz="4" w:space="0" w:color="auto"/>
            </w:tcBorders>
            <w:vAlign w:val="center"/>
            <w:hideMark/>
          </w:tcPr>
          <w:p w14:paraId="6CA79567" w14:textId="77777777" w:rsidR="00F73699" w:rsidRPr="009676DE" w:rsidRDefault="00F73699" w:rsidP="00F73699">
            <w:pPr>
              <w:jc w:val="center"/>
              <w:rPr>
                <w:rFonts w:ascii="Arial" w:hAnsi="Arial" w:cs="Arial"/>
                <w:b/>
                <w:bCs/>
                <w:color w:val="000000"/>
                <w:sz w:val="22"/>
                <w:szCs w:val="22"/>
              </w:rPr>
            </w:pPr>
            <w:r w:rsidRPr="009676DE">
              <w:rPr>
                <w:rFonts w:ascii="Arial" w:hAnsi="Arial" w:cs="Arial"/>
                <w:b/>
                <w:bCs/>
                <w:color w:val="000000"/>
                <w:sz w:val="22"/>
                <w:szCs w:val="22"/>
              </w:rPr>
              <w:t>£000</w:t>
            </w:r>
          </w:p>
        </w:tc>
        <w:tc>
          <w:tcPr>
            <w:tcW w:w="1417" w:type="dxa"/>
            <w:tcBorders>
              <w:left w:val="single" w:sz="4" w:space="0" w:color="auto"/>
              <w:right w:val="single" w:sz="4" w:space="0" w:color="auto"/>
            </w:tcBorders>
            <w:vAlign w:val="center"/>
          </w:tcPr>
          <w:p w14:paraId="01C2FB8A" w14:textId="29FAB6CE" w:rsidR="00F73699" w:rsidRPr="009676DE" w:rsidRDefault="00F73699" w:rsidP="00744D72">
            <w:pPr>
              <w:jc w:val="right"/>
              <w:rPr>
                <w:rFonts w:ascii="Arial" w:hAnsi="Arial" w:cs="Arial"/>
                <w:b/>
                <w:bCs/>
                <w:color w:val="000000"/>
                <w:sz w:val="22"/>
                <w:szCs w:val="22"/>
              </w:rPr>
            </w:pPr>
            <w:r w:rsidRPr="009676DE">
              <w:rPr>
                <w:rFonts w:ascii="Arial" w:hAnsi="Arial" w:cs="Arial"/>
                <w:b/>
                <w:bCs/>
                <w:color w:val="000000"/>
                <w:sz w:val="22"/>
                <w:szCs w:val="22"/>
              </w:rPr>
              <w:t>£000</w:t>
            </w:r>
          </w:p>
        </w:tc>
      </w:tr>
      <w:tr w:rsidR="006E26F1" w:rsidRPr="009676DE" w14:paraId="44935F25" w14:textId="12FF21DA" w:rsidTr="00744D72">
        <w:trPr>
          <w:trHeight w:val="244"/>
        </w:trPr>
        <w:tc>
          <w:tcPr>
            <w:tcW w:w="4952" w:type="dxa"/>
            <w:tcBorders>
              <w:top w:val="nil"/>
              <w:left w:val="single" w:sz="8" w:space="0" w:color="auto"/>
              <w:bottom w:val="nil"/>
              <w:right w:val="nil"/>
            </w:tcBorders>
            <w:shd w:val="clear" w:color="000000" w:fill="CCCCCC"/>
            <w:vAlign w:val="center"/>
            <w:hideMark/>
          </w:tcPr>
          <w:p w14:paraId="5BC52C57" w14:textId="50F6C984" w:rsidR="00F73699" w:rsidRPr="009676DE" w:rsidRDefault="00F73699" w:rsidP="00F73699">
            <w:pPr>
              <w:rPr>
                <w:rFonts w:ascii="Arial" w:hAnsi="Arial" w:cs="Arial"/>
                <w:color w:val="000000"/>
                <w:sz w:val="23"/>
                <w:szCs w:val="23"/>
              </w:rPr>
            </w:pPr>
            <w:r>
              <w:rPr>
                <w:rFonts w:ascii="Arial" w:hAnsi="Arial" w:cs="Arial"/>
                <w:color w:val="000000"/>
                <w:sz w:val="23"/>
                <w:szCs w:val="23"/>
              </w:rPr>
              <w:t>2022/23</w:t>
            </w:r>
          </w:p>
        </w:tc>
        <w:tc>
          <w:tcPr>
            <w:tcW w:w="1417" w:type="dxa"/>
            <w:tcBorders>
              <w:top w:val="nil"/>
              <w:left w:val="nil"/>
              <w:bottom w:val="nil"/>
              <w:right w:val="single" w:sz="4" w:space="0" w:color="auto"/>
            </w:tcBorders>
            <w:vAlign w:val="center"/>
          </w:tcPr>
          <w:p w14:paraId="3642FB05" w14:textId="37268555" w:rsidR="00F73699" w:rsidRPr="009676DE" w:rsidRDefault="00F73699" w:rsidP="00F73699">
            <w:pPr>
              <w:jc w:val="right"/>
              <w:rPr>
                <w:rFonts w:ascii="Arial" w:hAnsi="Arial" w:cs="Arial"/>
                <w:color w:val="000000"/>
                <w:sz w:val="22"/>
                <w:szCs w:val="22"/>
              </w:rPr>
            </w:pPr>
            <w:r>
              <w:rPr>
                <w:rFonts w:ascii="Arial" w:hAnsi="Arial" w:cs="Arial"/>
                <w:color w:val="000000"/>
                <w:sz w:val="22"/>
                <w:szCs w:val="22"/>
              </w:rPr>
              <w:t>11</w:t>
            </w:r>
            <w:r w:rsidRPr="009676DE">
              <w:rPr>
                <w:rFonts w:ascii="Arial" w:hAnsi="Arial" w:cs="Arial"/>
                <w:color w:val="000000"/>
                <w:sz w:val="22"/>
                <w:szCs w:val="22"/>
              </w:rPr>
              <w:t xml:space="preserve"> </w:t>
            </w:r>
          </w:p>
        </w:tc>
        <w:tc>
          <w:tcPr>
            <w:tcW w:w="1417" w:type="dxa"/>
            <w:tcBorders>
              <w:top w:val="nil"/>
              <w:left w:val="single" w:sz="4" w:space="0" w:color="auto"/>
              <w:bottom w:val="nil"/>
              <w:right w:val="single" w:sz="4" w:space="0" w:color="auto"/>
            </w:tcBorders>
            <w:vAlign w:val="center"/>
            <w:hideMark/>
          </w:tcPr>
          <w:p w14:paraId="42A4BA7F" w14:textId="684CF4A0" w:rsidR="00F73699" w:rsidRPr="009676DE" w:rsidRDefault="00F73699" w:rsidP="00F73699">
            <w:pPr>
              <w:jc w:val="right"/>
              <w:rPr>
                <w:rFonts w:ascii="Arial" w:hAnsi="Arial" w:cs="Arial"/>
                <w:color w:val="000000"/>
                <w:sz w:val="22"/>
                <w:szCs w:val="22"/>
              </w:rPr>
            </w:pPr>
            <w:r>
              <w:rPr>
                <w:rFonts w:ascii="Arial" w:hAnsi="Arial" w:cs="Arial"/>
                <w:color w:val="000000"/>
                <w:sz w:val="22"/>
                <w:szCs w:val="22"/>
              </w:rPr>
              <w:t>23</w:t>
            </w:r>
            <w:r w:rsidRPr="009676DE">
              <w:rPr>
                <w:rFonts w:ascii="Arial" w:hAnsi="Arial" w:cs="Arial"/>
                <w:color w:val="000000"/>
                <w:sz w:val="22"/>
                <w:szCs w:val="22"/>
              </w:rPr>
              <w:t xml:space="preserve"> </w:t>
            </w:r>
          </w:p>
        </w:tc>
        <w:tc>
          <w:tcPr>
            <w:tcW w:w="1417" w:type="dxa"/>
            <w:tcBorders>
              <w:left w:val="single" w:sz="4" w:space="0" w:color="auto"/>
              <w:right w:val="single" w:sz="4" w:space="0" w:color="auto"/>
            </w:tcBorders>
            <w:vAlign w:val="center"/>
          </w:tcPr>
          <w:p w14:paraId="60C265EF" w14:textId="56C75868" w:rsidR="00F73699" w:rsidRDefault="00F73699" w:rsidP="00F73699">
            <w:pPr>
              <w:jc w:val="right"/>
              <w:rPr>
                <w:rFonts w:ascii="Arial" w:hAnsi="Arial" w:cs="Arial"/>
                <w:color w:val="000000"/>
                <w:sz w:val="22"/>
                <w:szCs w:val="22"/>
              </w:rPr>
            </w:pPr>
            <w:r>
              <w:rPr>
                <w:rFonts w:ascii="Arial" w:hAnsi="Arial" w:cs="Arial"/>
                <w:color w:val="000000"/>
                <w:sz w:val="22"/>
                <w:szCs w:val="22"/>
              </w:rPr>
              <w:t>34</w:t>
            </w:r>
          </w:p>
        </w:tc>
      </w:tr>
      <w:tr w:rsidR="006E26F1" w:rsidRPr="009676DE" w14:paraId="440E5BF9" w14:textId="743251BC" w:rsidTr="00744D72">
        <w:trPr>
          <w:trHeight w:val="244"/>
        </w:trPr>
        <w:tc>
          <w:tcPr>
            <w:tcW w:w="4952" w:type="dxa"/>
            <w:tcBorders>
              <w:top w:val="nil"/>
              <w:left w:val="single" w:sz="8" w:space="0" w:color="auto"/>
              <w:bottom w:val="nil"/>
              <w:right w:val="nil"/>
            </w:tcBorders>
            <w:shd w:val="clear" w:color="000000" w:fill="CCCCCC"/>
            <w:vAlign w:val="center"/>
          </w:tcPr>
          <w:p w14:paraId="70429772" w14:textId="20761FC0" w:rsidR="00F73699" w:rsidRDefault="00F73699" w:rsidP="00F73699">
            <w:pPr>
              <w:rPr>
                <w:rFonts w:ascii="Arial" w:hAnsi="Arial" w:cs="Arial"/>
                <w:color w:val="000000"/>
                <w:sz w:val="23"/>
                <w:szCs w:val="23"/>
              </w:rPr>
            </w:pPr>
            <w:r>
              <w:rPr>
                <w:rFonts w:ascii="Arial" w:hAnsi="Arial" w:cs="Arial"/>
                <w:color w:val="000000"/>
                <w:sz w:val="23"/>
                <w:szCs w:val="23"/>
              </w:rPr>
              <w:t>2023/24</w:t>
            </w:r>
          </w:p>
        </w:tc>
        <w:tc>
          <w:tcPr>
            <w:tcW w:w="1417" w:type="dxa"/>
            <w:tcBorders>
              <w:top w:val="nil"/>
              <w:left w:val="nil"/>
              <w:bottom w:val="nil"/>
              <w:right w:val="single" w:sz="4" w:space="0" w:color="auto"/>
            </w:tcBorders>
            <w:vAlign w:val="center"/>
          </w:tcPr>
          <w:p w14:paraId="45B8D724" w14:textId="5BD5DBBA" w:rsidR="00F73699" w:rsidRDefault="00F73699" w:rsidP="00F73699">
            <w:pPr>
              <w:jc w:val="right"/>
              <w:rPr>
                <w:rFonts w:ascii="Arial" w:hAnsi="Arial" w:cs="Arial"/>
                <w:color w:val="000000"/>
                <w:sz w:val="22"/>
                <w:szCs w:val="22"/>
              </w:rPr>
            </w:pPr>
            <w:r>
              <w:rPr>
                <w:rFonts w:ascii="Arial" w:hAnsi="Arial" w:cs="Arial"/>
                <w:color w:val="000000"/>
                <w:sz w:val="22"/>
                <w:szCs w:val="22"/>
              </w:rPr>
              <w:t>5</w:t>
            </w:r>
          </w:p>
        </w:tc>
        <w:tc>
          <w:tcPr>
            <w:tcW w:w="1417" w:type="dxa"/>
            <w:tcBorders>
              <w:top w:val="nil"/>
              <w:left w:val="single" w:sz="4" w:space="0" w:color="auto"/>
              <w:bottom w:val="nil"/>
              <w:right w:val="single" w:sz="4" w:space="0" w:color="auto"/>
            </w:tcBorders>
            <w:vAlign w:val="center"/>
          </w:tcPr>
          <w:p w14:paraId="5F225B1D" w14:textId="643AEAAE" w:rsidR="00F73699" w:rsidRDefault="00F73699" w:rsidP="00F73699">
            <w:pPr>
              <w:jc w:val="right"/>
              <w:rPr>
                <w:rFonts w:ascii="Arial" w:hAnsi="Arial" w:cs="Arial"/>
                <w:color w:val="000000"/>
                <w:sz w:val="22"/>
                <w:szCs w:val="22"/>
              </w:rPr>
            </w:pPr>
            <w:r>
              <w:rPr>
                <w:rFonts w:ascii="Arial" w:hAnsi="Arial" w:cs="Arial"/>
                <w:color w:val="000000"/>
                <w:sz w:val="22"/>
                <w:szCs w:val="22"/>
              </w:rPr>
              <w:t>13</w:t>
            </w:r>
          </w:p>
        </w:tc>
        <w:tc>
          <w:tcPr>
            <w:tcW w:w="1417" w:type="dxa"/>
            <w:tcBorders>
              <w:left w:val="single" w:sz="4" w:space="0" w:color="auto"/>
              <w:bottom w:val="single" w:sz="4" w:space="0" w:color="auto"/>
              <w:right w:val="single" w:sz="4" w:space="0" w:color="auto"/>
            </w:tcBorders>
            <w:vAlign w:val="center"/>
          </w:tcPr>
          <w:p w14:paraId="49769BAC" w14:textId="2727B685" w:rsidR="00F73699" w:rsidRDefault="00F73699" w:rsidP="00F73699">
            <w:pPr>
              <w:jc w:val="right"/>
              <w:rPr>
                <w:rFonts w:ascii="Arial" w:hAnsi="Arial" w:cs="Arial"/>
                <w:color w:val="000000"/>
                <w:sz w:val="22"/>
                <w:szCs w:val="22"/>
              </w:rPr>
            </w:pPr>
            <w:r>
              <w:rPr>
                <w:rFonts w:ascii="Arial" w:hAnsi="Arial" w:cs="Arial"/>
                <w:color w:val="000000"/>
                <w:sz w:val="22"/>
                <w:szCs w:val="22"/>
              </w:rPr>
              <w:t>1</w:t>
            </w:r>
            <w:r w:rsidR="006E26F1">
              <w:rPr>
                <w:rFonts w:ascii="Arial" w:hAnsi="Arial" w:cs="Arial"/>
                <w:color w:val="000000"/>
                <w:sz w:val="22"/>
                <w:szCs w:val="22"/>
              </w:rPr>
              <w:t>8</w:t>
            </w:r>
          </w:p>
        </w:tc>
      </w:tr>
      <w:tr w:rsidR="006E26F1" w:rsidRPr="009676DE" w14:paraId="56E52AC3" w14:textId="77777777" w:rsidTr="00744D72">
        <w:trPr>
          <w:trHeight w:val="384"/>
        </w:trPr>
        <w:tc>
          <w:tcPr>
            <w:tcW w:w="4952" w:type="dxa"/>
            <w:tcBorders>
              <w:top w:val="nil"/>
              <w:left w:val="single" w:sz="8" w:space="0" w:color="auto"/>
              <w:bottom w:val="single" w:sz="8" w:space="0" w:color="auto"/>
              <w:right w:val="nil"/>
            </w:tcBorders>
            <w:shd w:val="clear" w:color="000000" w:fill="CCCCCC"/>
            <w:vAlign w:val="center"/>
            <w:hideMark/>
          </w:tcPr>
          <w:p w14:paraId="64B5F371" w14:textId="77777777" w:rsidR="00F73699" w:rsidRPr="009676DE" w:rsidRDefault="00F73699" w:rsidP="00F73699">
            <w:pPr>
              <w:rPr>
                <w:rFonts w:ascii="Arial" w:hAnsi="Arial" w:cs="Arial"/>
                <w:b/>
                <w:bCs/>
                <w:color w:val="000000"/>
                <w:sz w:val="22"/>
                <w:szCs w:val="22"/>
              </w:rPr>
            </w:pPr>
            <w:r w:rsidRPr="009676DE">
              <w:rPr>
                <w:rFonts w:ascii="Arial" w:hAnsi="Arial" w:cs="Arial"/>
                <w:b/>
                <w:bCs/>
                <w:color w:val="000000"/>
                <w:sz w:val="22"/>
                <w:szCs w:val="22"/>
              </w:rPr>
              <w:t>Total Costs</w:t>
            </w:r>
          </w:p>
        </w:tc>
        <w:tc>
          <w:tcPr>
            <w:tcW w:w="1417" w:type="dxa"/>
            <w:tcBorders>
              <w:top w:val="single" w:sz="8" w:space="0" w:color="auto"/>
              <w:left w:val="nil"/>
              <w:bottom w:val="single" w:sz="8" w:space="0" w:color="auto"/>
              <w:right w:val="single" w:sz="4" w:space="0" w:color="auto"/>
            </w:tcBorders>
            <w:vAlign w:val="center"/>
          </w:tcPr>
          <w:p w14:paraId="3349308F" w14:textId="0DA83586" w:rsidR="00F73699" w:rsidRPr="009676DE" w:rsidRDefault="00F73699" w:rsidP="00F73699">
            <w:pPr>
              <w:jc w:val="right"/>
              <w:rPr>
                <w:rFonts w:ascii="Arial" w:hAnsi="Arial" w:cs="Arial"/>
                <w:b/>
                <w:bCs/>
                <w:color w:val="000000"/>
                <w:sz w:val="22"/>
                <w:szCs w:val="22"/>
              </w:rPr>
            </w:pPr>
            <w:r>
              <w:rPr>
                <w:rFonts w:ascii="Arial" w:hAnsi="Arial" w:cs="Arial"/>
                <w:b/>
                <w:bCs/>
                <w:color w:val="000000"/>
                <w:sz w:val="22"/>
                <w:szCs w:val="22"/>
              </w:rPr>
              <w:t>16</w:t>
            </w:r>
            <w:r w:rsidRPr="009676DE">
              <w:rPr>
                <w:rFonts w:ascii="Arial" w:hAnsi="Arial" w:cs="Arial"/>
                <w:b/>
                <w:bCs/>
                <w:color w:val="000000"/>
                <w:sz w:val="22"/>
                <w:szCs w:val="22"/>
              </w:rPr>
              <w:t xml:space="preserve"> </w:t>
            </w:r>
          </w:p>
        </w:tc>
        <w:tc>
          <w:tcPr>
            <w:tcW w:w="1417" w:type="dxa"/>
            <w:tcBorders>
              <w:top w:val="single" w:sz="8" w:space="0" w:color="auto"/>
              <w:left w:val="single" w:sz="4" w:space="0" w:color="auto"/>
              <w:bottom w:val="single" w:sz="4" w:space="0" w:color="auto"/>
              <w:right w:val="single" w:sz="4" w:space="0" w:color="auto"/>
            </w:tcBorders>
            <w:vAlign w:val="center"/>
            <w:hideMark/>
          </w:tcPr>
          <w:p w14:paraId="19D8B71E" w14:textId="077644B4" w:rsidR="00F73699" w:rsidRPr="009676DE" w:rsidRDefault="00F73699" w:rsidP="00F73699">
            <w:pPr>
              <w:jc w:val="right"/>
              <w:rPr>
                <w:rFonts w:ascii="Arial" w:hAnsi="Arial" w:cs="Arial"/>
                <w:b/>
                <w:bCs/>
                <w:color w:val="000000"/>
                <w:sz w:val="22"/>
                <w:szCs w:val="22"/>
              </w:rPr>
            </w:pPr>
            <w:r>
              <w:rPr>
                <w:rFonts w:ascii="Arial" w:hAnsi="Arial" w:cs="Arial"/>
                <w:b/>
                <w:bCs/>
                <w:color w:val="000000"/>
                <w:sz w:val="22"/>
                <w:szCs w:val="22"/>
              </w:rPr>
              <w:t>36</w:t>
            </w:r>
            <w:r w:rsidRPr="009676DE">
              <w:rPr>
                <w:rFonts w:ascii="Arial" w:hAnsi="Arial" w:cs="Arial"/>
                <w:b/>
                <w:bCs/>
                <w:color w:val="000000"/>
                <w:sz w:val="22"/>
                <w:szCs w:val="22"/>
              </w:rPr>
              <w:t xml:space="preserve"> </w:t>
            </w:r>
          </w:p>
        </w:tc>
        <w:tc>
          <w:tcPr>
            <w:tcW w:w="1417" w:type="dxa"/>
            <w:tcBorders>
              <w:top w:val="single" w:sz="4" w:space="0" w:color="auto"/>
              <w:left w:val="single" w:sz="4" w:space="0" w:color="auto"/>
              <w:bottom w:val="single" w:sz="4" w:space="0" w:color="auto"/>
              <w:right w:val="single" w:sz="4" w:space="0" w:color="auto"/>
            </w:tcBorders>
            <w:vAlign w:val="center"/>
          </w:tcPr>
          <w:p w14:paraId="022285E7" w14:textId="5BB5571B" w:rsidR="00F73699" w:rsidRDefault="00F73699" w:rsidP="00F73699">
            <w:pPr>
              <w:jc w:val="right"/>
              <w:rPr>
                <w:rFonts w:ascii="Arial" w:hAnsi="Arial" w:cs="Arial"/>
                <w:b/>
                <w:bCs/>
                <w:color w:val="000000"/>
                <w:sz w:val="22"/>
                <w:szCs w:val="22"/>
              </w:rPr>
            </w:pPr>
            <w:r>
              <w:rPr>
                <w:rFonts w:ascii="Arial" w:hAnsi="Arial" w:cs="Arial"/>
                <w:b/>
                <w:bCs/>
                <w:color w:val="000000"/>
                <w:sz w:val="22"/>
                <w:szCs w:val="22"/>
              </w:rPr>
              <w:t>52</w:t>
            </w:r>
          </w:p>
        </w:tc>
      </w:tr>
    </w:tbl>
    <w:p w14:paraId="74896A84" w14:textId="77777777" w:rsidR="00F0127B" w:rsidRPr="00571E28" w:rsidRDefault="00F0127B" w:rsidP="00AA2471">
      <w:pPr>
        <w:ind w:left="426"/>
        <w:jc w:val="both"/>
        <w:rPr>
          <w:rFonts w:ascii="Arial" w:hAnsi="Arial"/>
          <w:sz w:val="22"/>
          <w:szCs w:val="22"/>
        </w:rPr>
      </w:pPr>
    </w:p>
    <w:p w14:paraId="3B27CA5F" w14:textId="77777777" w:rsidR="00417B13" w:rsidRDefault="00417B13">
      <w:pPr>
        <w:rPr>
          <w:rFonts w:ascii="Arial" w:hAnsi="Arial"/>
          <w:b/>
          <w:sz w:val="22"/>
          <w:szCs w:val="22"/>
        </w:rPr>
      </w:pPr>
      <w:r>
        <w:rPr>
          <w:rFonts w:ascii="Arial" w:hAnsi="Arial"/>
          <w:b/>
          <w:sz w:val="22"/>
          <w:szCs w:val="22"/>
        </w:rPr>
        <w:br w:type="page"/>
      </w:r>
    </w:p>
    <w:p w14:paraId="0ABDD9E7" w14:textId="18562074" w:rsidR="00FA3C6E" w:rsidRPr="00287896" w:rsidRDefault="00FA3C6E" w:rsidP="00FA3C6E">
      <w:pPr>
        <w:numPr>
          <w:ilvl w:val="0"/>
          <w:numId w:val="1"/>
        </w:numPr>
        <w:tabs>
          <w:tab w:val="clear" w:pos="720"/>
          <w:tab w:val="num" w:pos="426"/>
          <w:tab w:val="right" w:pos="5760"/>
        </w:tabs>
        <w:jc w:val="both"/>
        <w:rPr>
          <w:rFonts w:ascii="Arial" w:hAnsi="Arial"/>
          <w:b/>
          <w:sz w:val="22"/>
          <w:szCs w:val="22"/>
        </w:rPr>
      </w:pPr>
      <w:r w:rsidRPr="00287896">
        <w:rPr>
          <w:rFonts w:ascii="Arial" w:hAnsi="Arial"/>
          <w:b/>
          <w:sz w:val="22"/>
          <w:szCs w:val="22"/>
        </w:rPr>
        <w:lastRenderedPageBreak/>
        <w:t xml:space="preserve">Contingent Liabilities </w:t>
      </w:r>
    </w:p>
    <w:p w14:paraId="305D39BA" w14:textId="77777777" w:rsidR="00FA3C6E" w:rsidRPr="00287896" w:rsidRDefault="00FA3C6E" w:rsidP="00FA3C6E">
      <w:pPr>
        <w:tabs>
          <w:tab w:val="right" w:pos="5760"/>
        </w:tabs>
        <w:ind w:left="720"/>
        <w:jc w:val="both"/>
        <w:rPr>
          <w:rFonts w:ascii="Arial" w:hAnsi="Arial"/>
          <w:b/>
          <w:sz w:val="22"/>
          <w:szCs w:val="22"/>
        </w:rPr>
      </w:pPr>
    </w:p>
    <w:p w14:paraId="037C6100" w14:textId="5FAFC42B" w:rsidR="00FA3C6E" w:rsidRPr="007D1DE0" w:rsidRDefault="00FA3C6E" w:rsidP="00FA3C6E">
      <w:pPr>
        <w:tabs>
          <w:tab w:val="left" w:pos="426"/>
        </w:tabs>
        <w:ind w:left="426"/>
        <w:jc w:val="both"/>
        <w:rPr>
          <w:rFonts w:ascii="Arial" w:hAnsi="Arial"/>
          <w:sz w:val="22"/>
          <w:szCs w:val="22"/>
        </w:rPr>
      </w:pPr>
      <w:r w:rsidRPr="007D1DE0">
        <w:rPr>
          <w:rFonts w:ascii="Arial" w:hAnsi="Arial"/>
          <w:sz w:val="22"/>
          <w:szCs w:val="22"/>
        </w:rPr>
        <w:t xml:space="preserve">A contingent liability arises where an event has taken place that gives the PCC/PCC Group a possible obligation whose existence will only be confirmed by the occurrence or otherwise of uncertain future events not wholly within the control of the PCC/PCC Group. Contingent liabilities also arise in circumstances where a provision would otherwise be made but either it is not probable that the outflow of resources will be </w:t>
      </w:r>
      <w:r w:rsidR="00105039" w:rsidRPr="007D1DE0">
        <w:rPr>
          <w:rFonts w:ascii="Arial" w:hAnsi="Arial"/>
          <w:sz w:val="22"/>
          <w:szCs w:val="22"/>
        </w:rPr>
        <w:t>required,</w:t>
      </w:r>
      <w:r w:rsidRPr="007D1DE0">
        <w:rPr>
          <w:rFonts w:ascii="Arial" w:hAnsi="Arial"/>
          <w:sz w:val="22"/>
          <w:szCs w:val="22"/>
        </w:rPr>
        <w:t xml:space="preserve"> or the amount of the obligation cannot be measured reliably. </w:t>
      </w:r>
    </w:p>
    <w:p w14:paraId="55A1FAF7" w14:textId="77777777" w:rsidR="00FA3C6E" w:rsidRPr="007D1DE0" w:rsidRDefault="00FA3C6E" w:rsidP="00FA3C6E">
      <w:pPr>
        <w:tabs>
          <w:tab w:val="left" w:pos="426"/>
        </w:tabs>
        <w:ind w:left="426"/>
        <w:jc w:val="both"/>
        <w:rPr>
          <w:rFonts w:ascii="Arial" w:hAnsi="Arial"/>
          <w:sz w:val="22"/>
          <w:szCs w:val="22"/>
        </w:rPr>
      </w:pPr>
    </w:p>
    <w:p w14:paraId="0391EBAC" w14:textId="566827E6" w:rsidR="00FA3C6E" w:rsidRPr="007D1DE0" w:rsidRDefault="00FA3C6E" w:rsidP="00FA3C6E">
      <w:pPr>
        <w:tabs>
          <w:tab w:val="left" w:pos="426"/>
        </w:tabs>
        <w:ind w:left="426"/>
        <w:jc w:val="both"/>
        <w:rPr>
          <w:rFonts w:ascii="Arial" w:hAnsi="Arial"/>
          <w:sz w:val="22"/>
          <w:szCs w:val="22"/>
        </w:rPr>
      </w:pPr>
      <w:r w:rsidRPr="007D1DE0">
        <w:rPr>
          <w:rFonts w:ascii="Arial" w:hAnsi="Arial"/>
          <w:sz w:val="22"/>
          <w:szCs w:val="22"/>
        </w:rPr>
        <w:t xml:space="preserve">As the PCC holds all usable reserves and is the responsible body for assets and liabilities, any contingent assets or liabilities will be recorded within </w:t>
      </w:r>
      <w:r w:rsidR="004600D9" w:rsidRPr="007D1DE0">
        <w:rPr>
          <w:rFonts w:ascii="Arial" w:hAnsi="Arial"/>
          <w:sz w:val="22"/>
          <w:szCs w:val="22"/>
        </w:rPr>
        <w:t xml:space="preserve">their </w:t>
      </w:r>
      <w:r w:rsidRPr="007D1DE0">
        <w:rPr>
          <w:rFonts w:ascii="Arial" w:hAnsi="Arial"/>
          <w:sz w:val="22"/>
          <w:szCs w:val="22"/>
        </w:rPr>
        <w:t>accounts. Contingent assets and liabilities are not recognised in the Balance Sheet but disclosed in a note to the accounts.</w:t>
      </w:r>
    </w:p>
    <w:p w14:paraId="100AE361" w14:textId="77777777" w:rsidR="00FA3C6E" w:rsidRPr="007D1DE0" w:rsidRDefault="00FA3C6E" w:rsidP="00FA3C6E">
      <w:pPr>
        <w:tabs>
          <w:tab w:val="left" w:pos="426"/>
        </w:tabs>
        <w:ind w:left="426"/>
        <w:jc w:val="both"/>
        <w:rPr>
          <w:rFonts w:ascii="Arial" w:hAnsi="Arial"/>
          <w:sz w:val="22"/>
          <w:szCs w:val="22"/>
        </w:rPr>
      </w:pPr>
    </w:p>
    <w:p w14:paraId="0B535F35" w14:textId="4B6C6FD4" w:rsidR="003B74DA" w:rsidRPr="007D1DE0" w:rsidRDefault="007D1DE0" w:rsidP="003B74DA">
      <w:pPr>
        <w:tabs>
          <w:tab w:val="right" w:pos="5760"/>
        </w:tabs>
        <w:ind w:left="426"/>
        <w:rPr>
          <w:rFonts w:ascii="Arial" w:hAnsi="Arial"/>
          <w:iCs/>
          <w:sz w:val="22"/>
          <w:szCs w:val="22"/>
          <w:highlight w:val="yellow"/>
        </w:rPr>
        <w:sectPr w:rsidR="003B74DA" w:rsidRPr="007D1DE0" w:rsidSect="00CD2558">
          <w:pgSz w:w="11909" w:h="16834" w:code="9"/>
          <w:pgMar w:top="720" w:right="720" w:bottom="720" w:left="720" w:header="397" w:footer="720" w:gutter="0"/>
          <w:cols w:space="720"/>
          <w:docGrid w:linePitch="272"/>
        </w:sectPr>
      </w:pPr>
      <w:r w:rsidRPr="007D1DE0">
        <w:rPr>
          <w:rFonts w:ascii="Arial" w:hAnsi="Arial"/>
          <w:i/>
          <w:sz w:val="22"/>
          <w:szCs w:val="22"/>
        </w:rPr>
        <w:tab/>
      </w:r>
      <w:r w:rsidRPr="007D1DE0">
        <w:rPr>
          <w:rFonts w:ascii="Arial" w:hAnsi="Arial"/>
          <w:iCs/>
          <w:sz w:val="22"/>
          <w:szCs w:val="22"/>
        </w:rPr>
        <w:t xml:space="preserve">In respect of the McCloud Pension case, claimants have lodged claims for compensation under two active sets of litigation, Aarons and </w:t>
      </w:r>
      <w:proofErr w:type="spellStart"/>
      <w:r w:rsidRPr="007D1DE0">
        <w:rPr>
          <w:rFonts w:ascii="Arial" w:hAnsi="Arial"/>
          <w:iCs/>
          <w:sz w:val="22"/>
          <w:szCs w:val="22"/>
        </w:rPr>
        <w:t>Penningtons</w:t>
      </w:r>
      <w:proofErr w:type="spellEnd"/>
      <w:r w:rsidRPr="007D1DE0">
        <w:rPr>
          <w:rFonts w:ascii="Arial" w:hAnsi="Arial"/>
          <w:iCs/>
          <w:sz w:val="22"/>
          <w:szCs w:val="22"/>
        </w:rPr>
        <w:t>. Government Legal Department settled the injury to feelings claims for Aarons on behalf of Chief Officers without seeking any financial contributions.  Pecuniary loss claims have been stayed until the remedy is bought into force from 1 October 2023. The settlement of the injury to feelings claims for Aarons sets a helpful precedent, therefore no liability in respect of compensation claims is recognised in these accounts.  A</w:t>
      </w:r>
      <w:r>
        <w:rPr>
          <w:rFonts w:ascii="Arial" w:hAnsi="Arial"/>
          <w:iCs/>
          <w:sz w:val="22"/>
          <w:szCs w:val="22"/>
        </w:rPr>
        <w:t xml:space="preserve">t present </w:t>
      </w:r>
      <w:r w:rsidRPr="007D1DE0">
        <w:rPr>
          <w:rFonts w:ascii="Arial" w:hAnsi="Arial"/>
          <w:iCs/>
          <w:sz w:val="22"/>
          <w:szCs w:val="22"/>
        </w:rPr>
        <w:t xml:space="preserve">it is not possible to reliably estimate the extent or likelihood of </w:t>
      </w:r>
      <w:proofErr w:type="spellStart"/>
      <w:r w:rsidRPr="007D1DE0">
        <w:rPr>
          <w:rFonts w:ascii="Arial" w:hAnsi="Arial"/>
          <w:iCs/>
          <w:sz w:val="22"/>
          <w:szCs w:val="22"/>
        </w:rPr>
        <w:t>Penningtons</w:t>
      </w:r>
      <w:proofErr w:type="spellEnd"/>
      <w:r w:rsidRPr="007D1DE0">
        <w:rPr>
          <w:rFonts w:ascii="Arial" w:hAnsi="Arial"/>
          <w:iCs/>
          <w:sz w:val="22"/>
          <w:szCs w:val="22"/>
        </w:rPr>
        <w:t xml:space="preserve"> claims being successful, and therefore no liability in respect of compensation claims is recognised in these accounts.</w:t>
      </w:r>
    </w:p>
    <w:p w14:paraId="18AFA515" w14:textId="34537A8B" w:rsidR="003B74DA" w:rsidRPr="00805034" w:rsidRDefault="003B74DA" w:rsidP="00FA3C6E">
      <w:pPr>
        <w:jc w:val="center"/>
        <w:rPr>
          <w:rFonts w:ascii="Arial" w:hAnsi="Arial"/>
          <w:b/>
          <w:sz w:val="28"/>
        </w:rPr>
      </w:pPr>
      <w:r w:rsidRPr="00805034">
        <w:rPr>
          <w:rFonts w:ascii="Arial" w:hAnsi="Arial"/>
          <w:b/>
          <w:sz w:val="28"/>
        </w:rPr>
        <w:lastRenderedPageBreak/>
        <w:t>OTHER SIGNIFICANT ACCOUNTING POLICIES</w:t>
      </w:r>
    </w:p>
    <w:p w14:paraId="255CDBDD" w14:textId="77777777" w:rsidR="003B74DA" w:rsidRPr="00805034" w:rsidRDefault="003B74DA" w:rsidP="003B74DA">
      <w:pPr>
        <w:ind w:left="720" w:hanging="720"/>
        <w:rPr>
          <w:rFonts w:ascii="Arial" w:hAnsi="Arial"/>
        </w:rPr>
      </w:pPr>
    </w:p>
    <w:p w14:paraId="766B80D4" w14:textId="77777777" w:rsidR="003B74DA" w:rsidRPr="00805034" w:rsidRDefault="003B74DA" w:rsidP="003B74DA">
      <w:pPr>
        <w:ind w:left="720" w:hanging="720"/>
        <w:rPr>
          <w:rFonts w:ascii="Arial" w:hAnsi="Arial"/>
        </w:rPr>
      </w:pPr>
    </w:p>
    <w:p w14:paraId="153A332A" w14:textId="77777777" w:rsidR="003B74DA" w:rsidRPr="00805034" w:rsidRDefault="003B74DA" w:rsidP="003B74DA">
      <w:pPr>
        <w:numPr>
          <w:ilvl w:val="0"/>
          <w:numId w:val="4"/>
        </w:numPr>
        <w:ind w:left="1247"/>
        <w:rPr>
          <w:rFonts w:ascii="Arial" w:hAnsi="Arial" w:cs="Arial"/>
          <w:b/>
          <w:sz w:val="22"/>
          <w:szCs w:val="22"/>
        </w:rPr>
      </w:pPr>
      <w:r w:rsidRPr="00805034">
        <w:rPr>
          <w:rFonts w:ascii="Arial" w:hAnsi="Arial" w:cs="Arial"/>
          <w:b/>
          <w:sz w:val="22"/>
          <w:szCs w:val="22"/>
        </w:rPr>
        <w:t>General</w:t>
      </w:r>
    </w:p>
    <w:p w14:paraId="74C98655" w14:textId="77777777" w:rsidR="003B74DA" w:rsidRPr="00805034" w:rsidRDefault="003B74DA" w:rsidP="003B74DA">
      <w:pPr>
        <w:ind w:left="720" w:hanging="720"/>
        <w:rPr>
          <w:rFonts w:ascii="Arial" w:hAnsi="Arial" w:cs="Arial"/>
          <w:sz w:val="22"/>
          <w:szCs w:val="22"/>
        </w:rPr>
      </w:pPr>
    </w:p>
    <w:p w14:paraId="72334DEE" w14:textId="77777777" w:rsidR="003B74DA" w:rsidRPr="00805034" w:rsidRDefault="003B74DA" w:rsidP="003B74DA">
      <w:pPr>
        <w:ind w:left="426"/>
        <w:jc w:val="both"/>
        <w:rPr>
          <w:rFonts w:ascii="Arial" w:hAnsi="Arial" w:cs="Arial"/>
          <w:sz w:val="22"/>
          <w:szCs w:val="22"/>
        </w:rPr>
      </w:pPr>
      <w:r w:rsidRPr="00805034">
        <w:rPr>
          <w:rFonts w:ascii="Arial" w:hAnsi="Arial" w:cs="Arial"/>
          <w:sz w:val="22"/>
          <w:szCs w:val="22"/>
        </w:rPr>
        <w:t>These financial statements have been prepared in accordance with the Code of Practice on Local Authority Accounting in the United Kingdom (the Code) issued by the Chartered Institute of Public Finance and Accountancy (CIPFA) and the Accounts and Audit Regulations 2015. The accounting policies contained in the Code apply International Financial Reporting Standards (IFRS) as adapted for the public sector by the International Public Sector Accounting Standards (IPSAS).</w:t>
      </w:r>
    </w:p>
    <w:p w14:paraId="3541A8C2" w14:textId="77777777" w:rsidR="003B74DA" w:rsidRPr="00805034" w:rsidRDefault="003B74DA" w:rsidP="003B74DA">
      <w:pPr>
        <w:ind w:left="426"/>
        <w:jc w:val="both"/>
        <w:rPr>
          <w:rFonts w:ascii="Arial" w:hAnsi="Arial" w:cs="Arial"/>
          <w:sz w:val="22"/>
          <w:szCs w:val="22"/>
        </w:rPr>
      </w:pPr>
    </w:p>
    <w:p w14:paraId="32F3F9B6" w14:textId="735CD457" w:rsidR="003B74DA" w:rsidRPr="00805034" w:rsidRDefault="003B74DA" w:rsidP="003B74DA">
      <w:pPr>
        <w:ind w:left="426"/>
        <w:jc w:val="both"/>
        <w:rPr>
          <w:rFonts w:ascii="Arial" w:hAnsi="Arial" w:cs="Arial"/>
          <w:sz w:val="22"/>
          <w:szCs w:val="22"/>
        </w:rPr>
      </w:pPr>
      <w:r w:rsidRPr="00805034">
        <w:rPr>
          <w:rFonts w:ascii="Arial" w:hAnsi="Arial" w:cs="Arial"/>
          <w:sz w:val="22"/>
          <w:szCs w:val="22"/>
        </w:rPr>
        <w:t xml:space="preserve">Following the passing of the Police Reform and Social Responsibility Act 2011, Lancashire Police Authority was replaced with two ‘corporations sole’, the PCC and the CC. Both bodies are required to prepare separate Statements of Accounts. The Financial Statements included here represent the accounts for the PCC as a single entity </w:t>
      </w:r>
      <w:proofErr w:type="gramStart"/>
      <w:r w:rsidRPr="00805034">
        <w:rPr>
          <w:rFonts w:ascii="Arial" w:hAnsi="Arial" w:cs="Arial"/>
          <w:sz w:val="22"/>
          <w:szCs w:val="22"/>
        </w:rPr>
        <w:t>and also</w:t>
      </w:r>
      <w:proofErr w:type="gramEnd"/>
      <w:r w:rsidRPr="00805034">
        <w:rPr>
          <w:rFonts w:ascii="Arial" w:hAnsi="Arial" w:cs="Arial"/>
          <w:sz w:val="22"/>
          <w:szCs w:val="22"/>
        </w:rPr>
        <w:t xml:space="preserve"> the PCC Group. The financial statements cover the 12 months to 31 March 20</w:t>
      </w:r>
      <w:r w:rsidR="000A170F" w:rsidRPr="00805034">
        <w:rPr>
          <w:rFonts w:ascii="Arial" w:hAnsi="Arial" w:cs="Arial"/>
          <w:sz w:val="22"/>
          <w:szCs w:val="22"/>
        </w:rPr>
        <w:t>2</w:t>
      </w:r>
      <w:r w:rsidR="007D1DE0">
        <w:rPr>
          <w:rFonts w:ascii="Arial" w:hAnsi="Arial" w:cs="Arial"/>
          <w:sz w:val="22"/>
          <w:szCs w:val="22"/>
        </w:rPr>
        <w:t>5</w:t>
      </w:r>
      <w:r w:rsidRPr="00805034">
        <w:rPr>
          <w:rFonts w:ascii="Arial" w:hAnsi="Arial" w:cs="Arial"/>
          <w:sz w:val="22"/>
          <w:szCs w:val="22"/>
        </w:rPr>
        <w:t xml:space="preserve">. </w:t>
      </w:r>
    </w:p>
    <w:p w14:paraId="54BF8FC9" w14:textId="77777777" w:rsidR="003B74DA" w:rsidRPr="00805034" w:rsidRDefault="003B74DA" w:rsidP="003B74DA">
      <w:pPr>
        <w:ind w:left="426"/>
        <w:jc w:val="both"/>
        <w:rPr>
          <w:rFonts w:ascii="Arial" w:hAnsi="Arial" w:cs="Arial"/>
          <w:sz w:val="22"/>
          <w:szCs w:val="22"/>
        </w:rPr>
      </w:pPr>
    </w:p>
    <w:p w14:paraId="53FBF599" w14:textId="18CAF678" w:rsidR="003B74DA" w:rsidRPr="00805034" w:rsidRDefault="003B74DA" w:rsidP="003B74DA">
      <w:pPr>
        <w:ind w:left="426"/>
        <w:jc w:val="both"/>
        <w:rPr>
          <w:rFonts w:ascii="Arial" w:hAnsi="Arial" w:cs="Arial"/>
          <w:sz w:val="22"/>
          <w:szCs w:val="22"/>
        </w:rPr>
      </w:pPr>
      <w:r w:rsidRPr="00805034">
        <w:rPr>
          <w:rFonts w:ascii="Arial" w:hAnsi="Arial" w:cs="Arial"/>
          <w:sz w:val="22"/>
          <w:szCs w:val="22"/>
        </w:rPr>
        <w:t>The term ‘Group’ is used to indicate consolidated transactions and policies of the PCC and the CC for the year ended 31 March 20</w:t>
      </w:r>
      <w:r w:rsidR="000A170F" w:rsidRPr="00805034">
        <w:rPr>
          <w:rFonts w:ascii="Arial" w:hAnsi="Arial" w:cs="Arial"/>
          <w:sz w:val="22"/>
          <w:szCs w:val="22"/>
        </w:rPr>
        <w:t>2</w:t>
      </w:r>
      <w:r w:rsidR="007D1DE0">
        <w:rPr>
          <w:rFonts w:ascii="Arial" w:hAnsi="Arial" w:cs="Arial"/>
          <w:sz w:val="22"/>
          <w:szCs w:val="22"/>
        </w:rPr>
        <w:t>5</w:t>
      </w:r>
      <w:r w:rsidRPr="00805034">
        <w:rPr>
          <w:rFonts w:ascii="Arial" w:hAnsi="Arial" w:cs="Arial"/>
          <w:sz w:val="22"/>
          <w:szCs w:val="22"/>
        </w:rPr>
        <w:t>. The identification of the PCC as the holding organisation and the requirements to produce Group accounts stems from the powers and responsibilities of the PCC under the Police Reform and Social Responsibility Act 2011.</w:t>
      </w:r>
    </w:p>
    <w:p w14:paraId="0409D7C9" w14:textId="77777777" w:rsidR="003B74DA" w:rsidRPr="00805034" w:rsidRDefault="003B74DA" w:rsidP="003B74DA">
      <w:pPr>
        <w:ind w:left="426"/>
        <w:jc w:val="both"/>
        <w:rPr>
          <w:rFonts w:ascii="Arial" w:hAnsi="Arial" w:cs="Arial"/>
          <w:sz w:val="22"/>
          <w:szCs w:val="22"/>
        </w:rPr>
      </w:pPr>
    </w:p>
    <w:p w14:paraId="08A7EE66" w14:textId="77777777" w:rsidR="003B74DA" w:rsidRPr="00805034" w:rsidRDefault="003B74DA" w:rsidP="003B74DA">
      <w:pPr>
        <w:ind w:left="426"/>
        <w:jc w:val="both"/>
        <w:rPr>
          <w:rFonts w:ascii="Arial" w:hAnsi="Arial" w:cs="Arial"/>
          <w:sz w:val="22"/>
          <w:szCs w:val="22"/>
        </w:rPr>
      </w:pPr>
      <w:r w:rsidRPr="00805034">
        <w:rPr>
          <w:rFonts w:ascii="Arial" w:hAnsi="Arial" w:cs="Arial"/>
          <w:sz w:val="22"/>
          <w:szCs w:val="22"/>
        </w:rPr>
        <w:t xml:space="preserve">The PCC Group and the PCC have adopted consistent accounting policies, which are detailed below. </w:t>
      </w:r>
    </w:p>
    <w:p w14:paraId="2D717142" w14:textId="77777777" w:rsidR="003B74DA" w:rsidRPr="00805034" w:rsidRDefault="003B74DA" w:rsidP="003B74DA">
      <w:pPr>
        <w:ind w:left="426"/>
        <w:jc w:val="both"/>
        <w:rPr>
          <w:rFonts w:ascii="Arial" w:hAnsi="Arial" w:cs="Arial"/>
          <w:sz w:val="22"/>
          <w:szCs w:val="22"/>
        </w:rPr>
      </w:pPr>
    </w:p>
    <w:p w14:paraId="7412BF46" w14:textId="77777777" w:rsidR="003B74DA" w:rsidRPr="00805034" w:rsidRDefault="003B74DA" w:rsidP="003B74DA">
      <w:pPr>
        <w:ind w:left="426"/>
        <w:jc w:val="both"/>
        <w:rPr>
          <w:rFonts w:ascii="Arial" w:hAnsi="Arial" w:cs="Arial"/>
          <w:sz w:val="22"/>
          <w:szCs w:val="22"/>
        </w:rPr>
      </w:pPr>
      <w:r w:rsidRPr="00805034">
        <w:rPr>
          <w:rFonts w:ascii="Arial" w:hAnsi="Arial" w:cs="Arial"/>
          <w:sz w:val="22"/>
          <w:szCs w:val="22"/>
        </w:rPr>
        <w:t xml:space="preserve">The accounts have been prepared on a going concern basis using an historic cost accounting convention modified to account for the revaluation of certain categories of non-current assets. </w:t>
      </w:r>
    </w:p>
    <w:p w14:paraId="0E40D984" w14:textId="77777777" w:rsidR="003B74DA" w:rsidRPr="00805034" w:rsidRDefault="003B74DA" w:rsidP="003B74DA">
      <w:pPr>
        <w:ind w:left="426"/>
        <w:jc w:val="both"/>
        <w:rPr>
          <w:rFonts w:ascii="Arial" w:hAnsi="Arial" w:cs="Arial"/>
          <w:sz w:val="22"/>
          <w:szCs w:val="22"/>
        </w:rPr>
      </w:pPr>
    </w:p>
    <w:p w14:paraId="68E564CF" w14:textId="77777777" w:rsidR="003B74DA" w:rsidRPr="00805034" w:rsidRDefault="003B74DA" w:rsidP="003B74DA">
      <w:pPr>
        <w:ind w:left="426"/>
        <w:jc w:val="both"/>
        <w:rPr>
          <w:rFonts w:ascii="Arial" w:hAnsi="Arial" w:cs="Arial"/>
          <w:sz w:val="22"/>
          <w:szCs w:val="22"/>
        </w:rPr>
      </w:pPr>
      <w:r w:rsidRPr="00805034">
        <w:rPr>
          <w:rFonts w:ascii="Arial" w:hAnsi="Arial" w:cs="Arial"/>
          <w:sz w:val="22"/>
          <w:szCs w:val="22"/>
        </w:rPr>
        <w:t>Notes relating to specific items in the financial statements include corresponding accounting policies. The accounting policies below relate to policies with no accompanying note.</w:t>
      </w:r>
    </w:p>
    <w:p w14:paraId="43593A75" w14:textId="77777777" w:rsidR="003B74DA" w:rsidRPr="00805034" w:rsidRDefault="003B74DA" w:rsidP="003B74DA">
      <w:pPr>
        <w:jc w:val="both"/>
        <w:rPr>
          <w:rFonts w:ascii="Arial" w:hAnsi="Arial" w:cs="Arial"/>
          <w:b/>
          <w:sz w:val="22"/>
          <w:szCs w:val="22"/>
        </w:rPr>
      </w:pPr>
    </w:p>
    <w:p w14:paraId="51246B80" w14:textId="77777777" w:rsidR="003B74DA" w:rsidRPr="00805034" w:rsidRDefault="003B74DA" w:rsidP="003B74DA">
      <w:pPr>
        <w:numPr>
          <w:ilvl w:val="0"/>
          <w:numId w:val="4"/>
        </w:numPr>
        <w:ind w:left="1247"/>
        <w:jc w:val="both"/>
        <w:rPr>
          <w:rFonts w:ascii="Arial" w:hAnsi="Arial" w:cs="Arial"/>
          <w:b/>
          <w:sz w:val="22"/>
          <w:szCs w:val="22"/>
        </w:rPr>
      </w:pPr>
      <w:r w:rsidRPr="00805034">
        <w:rPr>
          <w:rFonts w:ascii="Arial" w:hAnsi="Arial" w:cs="Arial"/>
          <w:b/>
          <w:sz w:val="22"/>
          <w:szCs w:val="22"/>
        </w:rPr>
        <w:t>Accruals of Income and Expenditure</w:t>
      </w:r>
    </w:p>
    <w:p w14:paraId="7D3CF4E6" w14:textId="77777777" w:rsidR="003B74DA" w:rsidRPr="00805034" w:rsidRDefault="003B74DA" w:rsidP="003B74DA">
      <w:pPr>
        <w:ind w:left="426"/>
        <w:jc w:val="both"/>
        <w:rPr>
          <w:rFonts w:ascii="Arial" w:hAnsi="Arial" w:cs="Arial"/>
          <w:sz w:val="22"/>
          <w:szCs w:val="22"/>
        </w:rPr>
      </w:pPr>
    </w:p>
    <w:p w14:paraId="268C0EDF" w14:textId="77777777" w:rsidR="003B74DA" w:rsidRPr="00805034" w:rsidRDefault="003B74DA" w:rsidP="003B74DA">
      <w:pPr>
        <w:ind w:left="426"/>
        <w:jc w:val="both"/>
        <w:rPr>
          <w:rFonts w:ascii="Arial" w:hAnsi="Arial" w:cs="Arial"/>
          <w:sz w:val="22"/>
          <w:szCs w:val="22"/>
        </w:rPr>
      </w:pPr>
      <w:r w:rsidRPr="00805034">
        <w:rPr>
          <w:rFonts w:ascii="Arial" w:hAnsi="Arial" w:cs="Arial"/>
          <w:sz w:val="22"/>
          <w:szCs w:val="22"/>
        </w:rPr>
        <w:t>Revenue from contracts with service recipients is recognised when (or as) the goods or services are transferred to the service recipient in accordance with performance obligations in the contract.</w:t>
      </w:r>
    </w:p>
    <w:p w14:paraId="66234977" w14:textId="77777777" w:rsidR="003B74DA" w:rsidRPr="00805034" w:rsidRDefault="003B74DA" w:rsidP="003B74DA">
      <w:pPr>
        <w:ind w:left="426"/>
        <w:jc w:val="both"/>
        <w:rPr>
          <w:rFonts w:ascii="Arial" w:hAnsi="Arial" w:cs="Arial"/>
          <w:sz w:val="22"/>
          <w:szCs w:val="22"/>
        </w:rPr>
      </w:pPr>
    </w:p>
    <w:p w14:paraId="72C64CDE" w14:textId="1E137AB2" w:rsidR="003B74DA" w:rsidRPr="00805034" w:rsidRDefault="003B74DA" w:rsidP="003B74DA">
      <w:pPr>
        <w:ind w:left="426"/>
        <w:jc w:val="both"/>
        <w:rPr>
          <w:rFonts w:ascii="Arial" w:hAnsi="Arial" w:cs="Arial"/>
          <w:sz w:val="22"/>
          <w:szCs w:val="22"/>
        </w:rPr>
      </w:pPr>
      <w:r w:rsidRPr="00805034">
        <w:rPr>
          <w:rFonts w:ascii="Arial" w:hAnsi="Arial" w:cs="Arial"/>
          <w:sz w:val="22"/>
          <w:szCs w:val="22"/>
        </w:rPr>
        <w:t>Supplies are recorded as expenditure when they are consumed –</w:t>
      </w:r>
      <w:r w:rsidR="00411660" w:rsidRPr="00805034">
        <w:rPr>
          <w:rFonts w:ascii="Arial" w:hAnsi="Arial" w:cs="Arial"/>
          <w:sz w:val="22"/>
          <w:szCs w:val="22"/>
        </w:rPr>
        <w:t xml:space="preserve"> </w:t>
      </w:r>
      <w:r w:rsidRPr="00805034">
        <w:rPr>
          <w:rFonts w:ascii="Arial" w:hAnsi="Arial" w:cs="Arial"/>
          <w:sz w:val="22"/>
          <w:szCs w:val="22"/>
        </w:rPr>
        <w:t>where there is a gap between the date supplies are received and their consumption they are carried as inventories on the balance sheet.</w:t>
      </w:r>
    </w:p>
    <w:p w14:paraId="3C7FDD68" w14:textId="77777777" w:rsidR="003B74DA" w:rsidRPr="00805034" w:rsidRDefault="003B74DA" w:rsidP="003B74DA">
      <w:pPr>
        <w:ind w:left="426"/>
        <w:jc w:val="both"/>
        <w:rPr>
          <w:rFonts w:ascii="Arial" w:hAnsi="Arial" w:cs="Arial"/>
          <w:sz w:val="22"/>
          <w:szCs w:val="22"/>
        </w:rPr>
      </w:pPr>
    </w:p>
    <w:p w14:paraId="105DA2E5" w14:textId="77777777" w:rsidR="003B74DA" w:rsidRPr="00805034" w:rsidRDefault="003B74DA" w:rsidP="003B74DA">
      <w:pPr>
        <w:ind w:left="426"/>
        <w:jc w:val="both"/>
        <w:rPr>
          <w:rFonts w:ascii="Arial" w:hAnsi="Arial" w:cs="Arial"/>
          <w:sz w:val="22"/>
          <w:szCs w:val="22"/>
        </w:rPr>
      </w:pPr>
      <w:r w:rsidRPr="00805034">
        <w:rPr>
          <w:rFonts w:ascii="Arial" w:hAnsi="Arial" w:cs="Arial"/>
          <w:sz w:val="22"/>
          <w:szCs w:val="22"/>
        </w:rPr>
        <w:t>Expenses in respect of services received (including services provided by employees) are recorded as expenditure when the services are received rather than when payments are made.</w:t>
      </w:r>
    </w:p>
    <w:p w14:paraId="733EE2EF" w14:textId="77777777" w:rsidR="003B74DA" w:rsidRPr="00805034" w:rsidRDefault="003B74DA" w:rsidP="003B74DA">
      <w:pPr>
        <w:ind w:left="426"/>
        <w:jc w:val="both"/>
        <w:rPr>
          <w:rFonts w:ascii="Arial" w:hAnsi="Arial" w:cs="Arial"/>
          <w:sz w:val="22"/>
          <w:szCs w:val="22"/>
        </w:rPr>
      </w:pPr>
    </w:p>
    <w:p w14:paraId="4E94F06C" w14:textId="730274FB" w:rsidR="003B74DA" w:rsidRPr="00805034" w:rsidRDefault="003B74DA" w:rsidP="003B74DA">
      <w:pPr>
        <w:ind w:left="426"/>
        <w:jc w:val="both"/>
        <w:rPr>
          <w:rFonts w:ascii="Arial" w:hAnsi="Arial" w:cs="Arial"/>
          <w:sz w:val="22"/>
          <w:szCs w:val="22"/>
        </w:rPr>
      </w:pPr>
      <w:r w:rsidRPr="00805034">
        <w:rPr>
          <w:rFonts w:ascii="Arial" w:hAnsi="Arial" w:cs="Arial"/>
          <w:sz w:val="22"/>
          <w:szCs w:val="22"/>
        </w:rPr>
        <w:t xml:space="preserve">Interest receivable on investments is accounted for as income </w:t>
      </w:r>
      <w:r w:rsidR="00105039" w:rsidRPr="00805034">
        <w:rPr>
          <w:rFonts w:ascii="Arial" w:hAnsi="Arial" w:cs="Arial"/>
          <w:sz w:val="22"/>
          <w:szCs w:val="22"/>
        </w:rPr>
        <w:t>based on</w:t>
      </w:r>
      <w:r w:rsidRPr="00805034">
        <w:rPr>
          <w:rFonts w:ascii="Arial" w:hAnsi="Arial" w:cs="Arial"/>
          <w:sz w:val="22"/>
          <w:szCs w:val="22"/>
        </w:rPr>
        <w:t xml:space="preserve"> the effective interest rate for the relevant financial instrument rather than the cash flows fixed or determined by the contract.</w:t>
      </w:r>
    </w:p>
    <w:p w14:paraId="42D833FA" w14:textId="77777777" w:rsidR="003B74DA" w:rsidRPr="00805034" w:rsidRDefault="003B74DA" w:rsidP="003B74DA">
      <w:pPr>
        <w:ind w:left="426"/>
        <w:jc w:val="both"/>
        <w:rPr>
          <w:rFonts w:ascii="Arial" w:hAnsi="Arial" w:cs="Arial"/>
          <w:sz w:val="22"/>
          <w:szCs w:val="22"/>
        </w:rPr>
      </w:pPr>
    </w:p>
    <w:p w14:paraId="77B80CEB" w14:textId="77777777" w:rsidR="000A170F" w:rsidRPr="00805034" w:rsidRDefault="000A170F">
      <w:pPr>
        <w:rPr>
          <w:rFonts w:ascii="Arial" w:hAnsi="Arial" w:cs="Arial"/>
          <w:sz w:val="22"/>
          <w:szCs w:val="22"/>
        </w:rPr>
      </w:pPr>
      <w:r w:rsidRPr="00805034">
        <w:rPr>
          <w:rFonts w:ascii="Arial" w:hAnsi="Arial" w:cs="Arial"/>
          <w:sz w:val="22"/>
          <w:szCs w:val="22"/>
        </w:rPr>
        <w:br w:type="page"/>
      </w:r>
    </w:p>
    <w:p w14:paraId="7B4EE85D" w14:textId="1377D877" w:rsidR="003B74DA" w:rsidRPr="00805034" w:rsidRDefault="003B74DA" w:rsidP="003B74DA">
      <w:pPr>
        <w:ind w:left="426"/>
        <w:jc w:val="both"/>
        <w:rPr>
          <w:rFonts w:ascii="Arial" w:hAnsi="Arial" w:cs="Arial"/>
          <w:sz w:val="22"/>
          <w:szCs w:val="22"/>
        </w:rPr>
      </w:pPr>
      <w:r w:rsidRPr="00805034">
        <w:rPr>
          <w:rFonts w:ascii="Arial" w:hAnsi="Arial" w:cs="Arial"/>
          <w:sz w:val="22"/>
          <w:szCs w:val="22"/>
        </w:rPr>
        <w:lastRenderedPageBreak/>
        <w:t>Where revenue or expenditure has been recognised but cash has not been received or paid, a debtor or creditor for the relevant amount is recorded in the balance sheet.  Where debts may not be settled, the balance of debtors is written down and, where material, a charge made to revenue for the income that might not be collected.</w:t>
      </w:r>
    </w:p>
    <w:p w14:paraId="1D35433B" w14:textId="77777777" w:rsidR="003B74DA" w:rsidRPr="00805034" w:rsidRDefault="003B74DA" w:rsidP="003B74DA">
      <w:pPr>
        <w:ind w:left="426"/>
        <w:jc w:val="both"/>
        <w:rPr>
          <w:rFonts w:ascii="Arial" w:hAnsi="Arial" w:cs="Arial"/>
          <w:sz w:val="22"/>
          <w:szCs w:val="22"/>
        </w:rPr>
      </w:pPr>
    </w:p>
    <w:p w14:paraId="1F60E343" w14:textId="77777777" w:rsidR="003B74DA" w:rsidRPr="00805034" w:rsidRDefault="003B74DA" w:rsidP="003B74DA">
      <w:pPr>
        <w:ind w:left="426"/>
        <w:jc w:val="both"/>
        <w:rPr>
          <w:rFonts w:ascii="Arial" w:hAnsi="Arial" w:cs="Arial"/>
          <w:sz w:val="22"/>
          <w:szCs w:val="22"/>
        </w:rPr>
      </w:pPr>
      <w:r w:rsidRPr="00805034">
        <w:rPr>
          <w:rFonts w:ascii="Arial" w:hAnsi="Arial" w:cs="Arial"/>
          <w:sz w:val="22"/>
          <w:szCs w:val="22"/>
        </w:rPr>
        <w:t xml:space="preserve">Whilst all expenditure is paid for by the PCC, including the salaries of police officers and police staff, the actual recognition in the respective accounts of the PCC and CC is based on economic benefit and service delivery. </w:t>
      </w:r>
    </w:p>
    <w:p w14:paraId="62FB36FD" w14:textId="77777777" w:rsidR="003B74DA" w:rsidRPr="00805034" w:rsidRDefault="003B74DA" w:rsidP="003B74DA">
      <w:pPr>
        <w:ind w:left="426"/>
        <w:jc w:val="both"/>
        <w:rPr>
          <w:rFonts w:ascii="Arial" w:hAnsi="Arial" w:cs="Arial"/>
          <w:sz w:val="22"/>
          <w:szCs w:val="22"/>
        </w:rPr>
      </w:pPr>
    </w:p>
    <w:p w14:paraId="5A7963D9" w14:textId="77777777" w:rsidR="003B74DA" w:rsidRPr="00805034" w:rsidRDefault="003B74DA" w:rsidP="003B74DA">
      <w:pPr>
        <w:ind w:left="426"/>
        <w:jc w:val="both"/>
        <w:rPr>
          <w:rFonts w:ascii="Arial" w:hAnsi="Arial" w:cs="Arial"/>
          <w:sz w:val="22"/>
          <w:szCs w:val="22"/>
        </w:rPr>
      </w:pPr>
    </w:p>
    <w:p w14:paraId="7DF850CC" w14:textId="77777777" w:rsidR="003B74DA" w:rsidRPr="00805034" w:rsidRDefault="003B74DA" w:rsidP="003B74DA">
      <w:pPr>
        <w:numPr>
          <w:ilvl w:val="0"/>
          <w:numId w:val="4"/>
        </w:numPr>
        <w:ind w:left="1247"/>
        <w:jc w:val="both"/>
        <w:rPr>
          <w:rFonts w:cs="Arial"/>
          <w:sz w:val="22"/>
          <w:szCs w:val="22"/>
        </w:rPr>
      </w:pPr>
      <w:r w:rsidRPr="00805034">
        <w:rPr>
          <w:rFonts w:ascii="Arial" w:hAnsi="Arial" w:cs="Arial"/>
          <w:b/>
          <w:sz w:val="22"/>
          <w:szCs w:val="22"/>
        </w:rPr>
        <w:t>Fair Value Measurement</w:t>
      </w:r>
    </w:p>
    <w:p w14:paraId="3A40A190" w14:textId="77777777" w:rsidR="003B74DA" w:rsidRPr="00805034" w:rsidRDefault="003B74DA" w:rsidP="003B74DA">
      <w:pPr>
        <w:jc w:val="both"/>
        <w:rPr>
          <w:rFonts w:cs="Arial"/>
          <w:b/>
          <w:sz w:val="22"/>
          <w:szCs w:val="22"/>
        </w:rPr>
      </w:pPr>
    </w:p>
    <w:p w14:paraId="5C82EA1A" w14:textId="5D7662CD" w:rsidR="003B74DA" w:rsidRPr="00805034" w:rsidRDefault="003B74DA" w:rsidP="003B74DA">
      <w:pPr>
        <w:ind w:left="426" w:right="-331"/>
        <w:jc w:val="both"/>
        <w:rPr>
          <w:rFonts w:cs="Arial"/>
          <w:sz w:val="22"/>
          <w:szCs w:val="22"/>
        </w:rPr>
      </w:pPr>
      <w:r w:rsidRPr="00805034">
        <w:rPr>
          <w:rFonts w:ascii="Arial" w:hAnsi="Arial" w:cs="Arial"/>
          <w:sz w:val="22"/>
          <w:szCs w:val="22"/>
        </w:rPr>
        <w:t xml:space="preserve">The PCC measures some of </w:t>
      </w:r>
      <w:r w:rsidR="004600D9" w:rsidRPr="00805034">
        <w:rPr>
          <w:rFonts w:ascii="Arial" w:hAnsi="Arial" w:cs="Arial"/>
          <w:sz w:val="22"/>
          <w:szCs w:val="22"/>
        </w:rPr>
        <w:t>their</w:t>
      </w:r>
      <w:r w:rsidRPr="00805034">
        <w:rPr>
          <w:rFonts w:ascii="Arial" w:hAnsi="Arial" w:cs="Arial"/>
          <w:sz w:val="22"/>
          <w:szCs w:val="22"/>
        </w:rPr>
        <w:t xml:space="preserve"> non-financial assets such as surplus assets and investment assets at fair value at each reporting date. Fair value is the price that would be received to sell an asset or paid to transfer a liability between market participants at the measurement date. The fair value measurement assumes that the transaction to sell the asset or transfer the liability takes place either:</w:t>
      </w:r>
    </w:p>
    <w:p w14:paraId="255BCAA7" w14:textId="77777777" w:rsidR="003B74DA" w:rsidRPr="00805034" w:rsidRDefault="003B74DA" w:rsidP="004E2882">
      <w:pPr>
        <w:pStyle w:val="ListParagraph"/>
        <w:numPr>
          <w:ilvl w:val="0"/>
          <w:numId w:val="18"/>
        </w:numPr>
        <w:ind w:right="-331"/>
        <w:jc w:val="both"/>
        <w:rPr>
          <w:rFonts w:cs="Arial"/>
        </w:rPr>
      </w:pPr>
      <w:r w:rsidRPr="00805034">
        <w:rPr>
          <w:rFonts w:ascii="Arial" w:hAnsi="Arial" w:cs="Arial"/>
        </w:rPr>
        <w:t>in the principal market for the asset or liability, or</w:t>
      </w:r>
    </w:p>
    <w:p w14:paraId="4D7A2F06" w14:textId="77777777" w:rsidR="003B74DA" w:rsidRPr="00805034" w:rsidRDefault="003B74DA" w:rsidP="004E2882">
      <w:pPr>
        <w:pStyle w:val="ListParagraph"/>
        <w:numPr>
          <w:ilvl w:val="0"/>
          <w:numId w:val="18"/>
        </w:numPr>
        <w:ind w:right="-331"/>
        <w:jc w:val="both"/>
        <w:rPr>
          <w:rFonts w:cs="Arial"/>
        </w:rPr>
      </w:pPr>
      <w:r w:rsidRPr="00805034">
        <w:rPr>
          <w:rFonts w:ascii="Arial" w:hAnsi="Arial" w:cs="Arial"/>
        </w:rPr>
        <w:t>in the absence of a principal market, in the most advantageous market for the asset or liability.</w:t>
      </w:r>
    </w:p>
    <w:p w14:paraId="636AE885" w14:textId="6043FB9F" w:rsidR="003B74DA" w:rsidRPr="00805034" w:rsidRDefault="003B74DA" w:rsidP="003B74DA">
      <w:pPr>
        <w:ind w:left="426" w:right="-331"/>
        <w:jc w:val="both"/>
        <w:rPr>
          <w:rFonts w:cs="Arial"/>
          <w:sz w:val="22"/>
          <w:szCs w:val="22"/>
        </w:rPr>
      </w:pPr>
      <w:r w:rsidRPr="00805034">
        <w:rPr>
          <w:rFonts w:ascii="Arial" w:hAnsi="Arial" w:cs="Arial"/>
          <w:sz w:val="22"/>
          <w:szCs w:val="22"/>
        </w:rPr>
        <w:t xml:space="preserve">The PCC measures the fair value of an asset or liability using the assumptions that market participants would use when pricing the asset or liability, </w:t>
      </w:r>
      <w:r w:rsidR="00105039" w:rsidRPr="00805034">
        <w:rPr>
          <w:rFonts w:ascii="Arial" w:hAnsi="Arial" w:cs="Arial"/>
          <w:sz w:val="22"/>
          <w:szCs w:val="22"/>
        </w:rPr>
        <w:t>if</w:t>
      </w:r>
      <w:r w:rsidRPr="00805034">
        <w:rPr>
          <w:rFonts w:ascii="Arial" w:hAnsi="Arial" w:cs="Arial"/>
          <w:sz w:val="22"/>
          <w:szCs w:val="22"/>
        </w:rPr>
        <w:t xml:space="preserve"> market participants act in their best interest.</w:t>
      </w:r>
    </w:p>
    <w:p w14:paraId="17673360" w14:textId="77777777" w:rsidR="003B74DA" w:rsidRPr="00805034" w:rsidRDefault="003B74DA" w:rsidP="003B74DA">
      <w:pPr>
        <w:ind w:left="426" w:right="-331"/>
        <w:jc w:val="both"/>
        <w:rPr>
          <w:rFonts w:cs="Arial"/>
          <w:sz w:val="22"/>
          <w:szCs w:val="22"/>
        </w:rPr>
      </w:pPr>
    </w:p>
    <w:p w14:paraId="6D2AA36B" w14:textId="39932E44" w:rsidR="003B74DA" w:rsidRPr="00805034" w:rsidRDefault="003B74DA" w:rsidP="003B74DA">
      <w:pPr>
        <w:ind w:left="426" w:right="-331"/>
        <w:jc w:val="both"/>
        <w:rPr>
          <w:rFonts w:cs="Arial"/>
          <w:sz w:val="22"/>
          <w:szCs w:val="22"/>
        </w:rPr>
      </w:pPr>
      <w:r w:rsidRPr="00805034">
        <w:rPr>
          <w:rFonts w:ascii="Arial" w:hAnsi="Arial" w:cs="Arial"/>
          <w:sz w:val="22"/>
          <w:szCs w:val="22"/>
        </w:rPr>
        <w:t xml:space="preserve">When measuring the fair value of a non-financial asset, the authority </w:t>
      </w:r>
      <w:r w:rsidR="00D44C80" w:rsidRPr="00805034">
        <w:rPr>
          <w:rFonts w:ascii="Arial" w:hAnsi="Arial" w:cs="Arial"/>
          <w:sz w:val="22"/>
          <w:szCs w:val="22"/>
        </w:rPr>
        <w:t>considers</w:t>
      </w:r>
      <w:r w:rsidRPr="00805034">
        <w:rPr>
          <w:rFonts w:ascii="Arial" w:hAnsi="Arial" w:cs="Arial"/>
          <w:sz w:val="22"/>
          <w:szCs w:val="22"/>
        </w:rPr>
        <w:t xml:space="preserve"> a market participant</w:t>
      </w:r>
      <w:r w:rsidR="000A170F" w:rsidRPr="00805034">
        <w:rPr>
          <w:rFonts w:ascii="Arial" w:hAnsi="Arial" w:cs="Arial"/>
          <w:sz w:val="22"/>
          <w:szCs w:val="22"/>
        </w:rPr>
        <w:t>’</w:t>
      </w:r>
      <w:r w:rsidRPr="00805034">
        <w:rPr>
          <w:rFonts w:ascii="Arial" w:hAnsi="Arial" w:cs="Arial"/>
          <w:sz w:val="22"/>
          <w:szCs w:val="22"/>
        </w:rPr>
        <w:t>s ability to generate economic benefits by using the asset in its highest and best use or by selling it to another market participant that would use the asset in its highest and best use.</w:t>
      </w:r>
    </w:p>
    <w:p w14:paraId="17CC2CE5" w14:textId="77777777" w:rsidR="003B74DA" w:rsidRPr="00805034" w:rsidRDefault="003B74DA" w:rsidP="003B74DA">
      <w:pPr>
        <w:ind w:left="426" w:right="-331"/>
        <w:jc w:val="both"/>
        <w:rPr>
          <w:rFonts w:cs="Arial"/>
          <w:sz w:val="22"/>
          <w:szCs w:val="22"/>
        </w:rPr>
      </w:pPr>
    </w:p>
    <w:p w14:paraId="0EE30BC3" w14:textId="77777777" w:rsidR="003B74DA" w:rsidRPr="00805034" w:rsidRDefault="003B74DA" w:rsidP="003B74DA">
      <w:pPr>
        <w:ind w:left="426" w:right="-331"/>
        <w:jc w:val="both"/>
        <w:rPr>
          <w:rFonts w:cs="Arial"/>
          <w:sz w:val="22"/>
          <w:szCs w:val="22"/>
        </w:rPr>
      </w:pPr>
      <w:r w:rsidRPr="00805034">
        <w:rPr>
          <w:rFonts w:ascii="Arial" w:hAnsi="Arial" w:cs="Arial"/>
          <w:sz w:val="22"/>
          <w:szCs w:val="22"/>
        </w:rPr>
        <w:t>The PCC uses valuation techniques that are appropriate in the circumstances and for which sufficient data is available, maximising the use of relevant observable inputs and minimising the use of unobservable inputs.</w:t>
      </w:r>
    </w:p>
    <w:p w14:paraId="3746DEA7" w14:textId="77777777" w:rsidR="003B74DA" w:rsidRPr="00805034" w:rsidRDefault="003B74DA" w:rsidP="003B74DA">
      <w:pPr>
        <w:ind w:left="426" w:right="-331"/>
        <w:jc w:val="both"/>
        <w:rPr>
          <w:rFonts w:cs="Arial"/>
          <w:sz w:val="22"/>
          <w:szCs w:val="22"/>
        </w:rPr>
      </w:pPr>
    </w:p>
    <w:p w14:paraId="34D889F4" w14:textId="77777777" w:rsidR="003B74DA" w:rsidRPr="00805034" w:rsidRDefault="003B74DA" w:rsidP="003B74DA">
      <w:pPr>
        <w:ind w:left="426" w:right="-331"/>
        <w:jc w:val="both"/>
        <w:rPr>
          <w:rFonts w:cs="Arial"/>
          <w:sz w:val="22"/>
          <w:szCs w:val="22"/>
        </w:rPr>
      </w:pPr>
      <w:r w:rsidRPr="00805034">
        <w:rPr>
          <w:rFonts w:ascii="Arial" w:hAnsi="Arial" w:cs="Arial"/>
          <w:sz w:val="22"/>
          <w:szCs w:val="22"/>
        </w:rPr>
        <w:t>Inputs to the valuation techniques in respect of assets and liabilities for which fair value is measured or disclosed in the PCC group financial statements are categorised within the fair value hierarchy, as follows:</w:t>
      </w:r>
    </w:p>
    <w:p w14:paraId="723134F2" w14:textId="77777777" w:rsidR="003B74DA" w:rsidRPr="00805034" w:rsidRDefault="003B74DA" w:rsidP="004E2882">
      <w:pPr>
        <w:pStyle w:val="ListParagraph"/>
        <w:numPr>
          <w:ilvl w:val="0"/>
          <w:numId w:val="19"/>
        </w:numPr>
        <w:ind w:right="-331"/>
        <w:jc w:val="both"/>
        <w:rPr>
          <w:rFonts w:cs="Arial"/>
        </w:rPr>
      </w:pPr>
      <w:r w:rsidRPr="00805034">
        <w:rPr>
          <w:rFonts w:ascii="Arial" w:hAnsi="Arial" w:cs="Arial"/>
        </w:rPr>
        <w:t>Level 1 – quoted prices (unadjusted) in active markets for identical assets or liabilities that the PCC can assess at the measurement date;</w:t>
      </w:r>
    </w:p>
    <w:p w14:paraId="64C929EA" w14:textId="77777777" w:rsidR="003B74DA" w:rsidRPr="00805034" w:rsidRDefault="003B74DA" w:rsidP="004E2882">
      <w:pPr>
        <w:pStyle w:val="ListParagraph"/>
        <w:numPr>
          <w:ilvl w:val="0"/>
          <w:numId w:val="19"/>
        </w:numPr>
        <w:ind w:right="-331"/>
        <w:jc w:val="both"/>
        <w:rPr>
          <w:rFonts w:cs="Arial"/>
        </w:rPr>
      </w:pPr>
      <w:r w:rsidRPr="00805034">
        <w:rPr>
          <w:rFonts w:ascii="Arial" w:hAnsi="Arial" w:cs="Arial"/>
        </w:rPr>
        <w:t>Level 2 – inputs other than quoted price included within Level 1 that are observable for the asset or liability, either directly or indirectly;</w:t>
      </w:r>
    </w:p>
    <w:p w14:paraId="1459D58B" w14:textId="77777777" w:rsidR="003B74DA" w:rsidRPr="00805034" w:rsidRDefault="003B74DA" w:rsidP="004E2882">
      <w:pPr>
        <w:pStyle w:val="ListParagraph"/>
        <w:numPr>
          <w:ilvl w:val="0"/>
          <w:numId w:val="19"/>
        </w:numPr>
        <w:ind w:right="-331"/>
        <w:jc w:val="both"/>
        <w:rPr>
          <w:rFonts w:cs="Arial"/>
          <w:i/>
        </w:rPr>
      </w:pPr>
      <w:r w:rsidRPr="00805034">
        <w:rPr>
          <w:rFonts w:ascii="Arial" w:hAnsi="Arial" w:cs="Arial"/>
        </w:rPr>
        <w:t>Level 3 – unobservable inputs for the asset or liability.</w:t>
      </w:r>
    </w:p>
    <w:p w14:paraId="5561FFAD" w14:textId="77777777" w:rsidR="003B74DA" w:rsidRPr="00805034" w:rsidRDefault="003B74DA" w:rsidP="003B74DA">
      <w:pPr>
        <w:pStyle w:val="BodyTextIndent"/>
        <w:ind w:left="397" w:firstLine="0"/>
        <w:jc w:val="both"/>
        <w:rPr>
          <w:rFonts w:cs="Arial"/>
          <w:i w:val="0"/>
          <w:sz w:val="22"/>
          <w:szCs w:val="22"/>
        </w:rPr>
      </w:pPr>
    </w:p>
    <w:p w14:paraId="2B9A62F2" w14:textId="77777777" w:rsidR="003B74DA" w:rsidRPr="00805034" w:rsidRDefault="003B74DA" w:rsidP="003B74DA">
      <w:pPr>
        <w:numPr>
          <w:ilvl w:val="0"/>
          <w:numId w:val="4"/>
        </w:numPr>
        <w:ind w:left="1247"/>
        <w:jc w:val="both"/>
        <w:rPr>
          <w:rFonts w:ascii="Arial" w:hAnsi="Arial" w:cs="Arial"/>
          <w:b/>
          <w:sz w:val="22"/>
          <w:szCs w:val="22"/>
        </w:rPr>
      </w:pPr>
      <w:r w:rsidRPr="00805034">
        <w:rPr>
          <w:rFonts w:ascii="Arial" w:hAnsi="Arial" w:cs="Arial"/>
          <w:b/>
          <w:sz w:val="22"/>
          <w:szCs w:val="22"/>
        </w:rPr>
        <w:t>Working Capital</w:t>
      </w:r>
    </w:p>
    <w:p w14:paraId="5CD2A23F" w14:textId="77777777" w:rsidR="003B74DA" w:rsidRPr="00805034" w:rsidRDefault="003B74DA" w:rsidP="003B74DA">
      <w:pPr>
        <w:ind w:left="426" w:right="-331"/>
        <w:jc w:val="both"/>
        <w:rPr>
          <w:rFonts w:ascii="Arial" w:hAnsi="Arial" w:cs="Arial"/>
          <w:sz w:val="22"/>
          <w:szCs w:val="22"/>
        </w:rPr>
      </w:pPr>
    </w:p>
    <w:p w14:paraId="17A73DE8" w14:textId="19EEBDDD" w:rsidR="003B74DA" w:rsidRPr="00805034" w:rsidRDefault="003B74DA" w:rsidP="003B74DA">
      <w:pPr>
        <w:ind w:left="426" w:right="-331"/>
        <w:jc w:val="both"/>
        <w:rPr>
          <w:rFonts w:ascii="Arial" w:hAnsi="Arial" w:cs="Arial"/>
          <w:b/>
          <w:sz w:val="22"/>
          <w:szCs w:val="22"/>
        </w:rPr>
      </w:pPr>
      <w:r w:rsidRPr="00805034">
        <w:rPr>
          <w:rFonts w:ascii="Arial" w:hAnsi="Arial" w:cs="Arial"/>
          <w:sz w:val="22"/>
          <w:szCs w:val="22"/>
        </w:rPr>
        <w:t xml:space="preserve">The PCC has the responsibility for managing financial relationships with third parties and has legal responsibility for discharging the contractual terms and conditions of suppliers. All payments are made and income received by the PCC, with no cash transactions taking place in the name of the CC. Hence all working capital balances are retained on the PCC balance sheet </w:t>
      </w:r>
      <w:r w:rsidR="00105039" w:rsidRPr="00805034">
        <w:rPr>
          <w:rFonts w:ascii="Arial" w:hAnsi="Arial" w:cs="Arial"/>
          <w:sz w:val="22"/>
          <w:szCs w:val="22"/>
        </w:rPr>
        <w:t>except for</w:t>
      </w:r>
      <w:r w:rsidRPr="00805034">
        <w:rPr>
          <w:rFonts w:ascii="Arial" w:hAnsi="Arial" w:cs="Arial"/>
          <w:sz w:val="22"/>
          <w:szCs w:val="22"/>
        </w:rPr>
        <w:t xml:space="preserve"> employee related creditors which are recognised in the first instance in the CC balance sheet but are funded by either unusable reserves or a </w:t>
      </w:r>
      <w:proofErr w:type="gramStart"/>
      <w:r w:rsidRPr="00805034">
        <w:rPr>
          <w:rFonts w:ascii="Arial" w:hAnsi="Arial" w:cs="Arial"/>
          <w:sz w:val="22"/>
          <w:szCs w:val="22"/>
        </w:rPr>
        <w:t>short term</w:t>
      </w:r>
      <w:proofErr w:type="gramEnd"/>
      <w:r w:rsidRPr="00805034">
        <w:rPr>
          <w:rFonts w:ascii="Arial" w:hAnsi="Arial" w:cs="Arial"/>
          <w:sz w:val="22"/>
          <w:szCs w:val="22"/>
        </w:rPr>
        <w:t xml:space="preserve"> debtor with the PCC</w:t>
      </w:r>
      <w:r w:rsidRPr="00805034">
        <w:rPr>
          <w:rFonts w:ascii="Arial" w:hAnsi="Arial" w:cs="Arial"/>
          <w:b/>
          <w:sz w:val="22"/>
          <w:szCs w:val="22"/>
        </w:rPr>
        <w:t xml:space="preserve">. </w:t>
      </w:r>
    </w:p>
    <w:p w14:paraId="05FE99CB" w14:textId="77777777" w:rsidR="003B74DA" w:rsidRPr="00805034" w:rsidRDefault="003B74DA" w:rsidP="003B74DA">
      <w:pPr>
        <w:ind w:left="426" w:right="-331"/>
        <w:jc w:val="both"/>
        <w:rPr>
          <w:rFonts w:ascii="Arial" w:hAnsi="Arial" w:cs="Arial"/>
          <w:b/>
          <w:sz w:val="22"/>
          <w:szCs w:val="22"/>
        </w:rPr>
      </w:pPr>
    </w:p>
    <w:p w14:paraId="46EACC88" w14:textId="77777777" w:rsidR="003B74DA" w:rsidRPr="00805034" w:rsidRDefault="003B74DA" w:rsidP="003B74DA">
      <w:pPr>
        <w:numPr>
          <w:ilvl w:val="0"/>
          <w:numId w:val="4"/>
        </w:numPr>
        <w:ind w:left="1247"/>
        <w:jc w:val="both"/>
        <w:rPr>
          <w:rFonts w:ascii="Arial" w:hAnsi="Arial" w:cs="Arial"/>
          <w:b/>
          <w:sz w:val="22"/>
          <w:szCs w:val="22"/>
        </w:rPr>
      </w:pPr>
      <w:r w:rsidRPr="00805034">
        <w:rPr>
          <w:rFonts w:ascii="Arial" w:hAnsi="Arial" w:cs="Arial"/>
          <w:b/>
          <w:sz w:val="22"/>
          <w:szCs w:val="22"/>
        </w:rPr>
        <w:lastRenderedPageBreak/>
        <w:t>PCC Funding of the Chief Constable's Expenditure</w:t>
      </w:r>
    </w:p>
    <w:p w14:paraId="38B55DC4" w14:textId="77777777" w:rsidR="003B74DA" w:rsidRPr="00805034" w:rsidRDefault="003B74DA" w:rsidP="003B74DA">
      <w:pPr>
        <w:jc w:val="both"/>
        <w:rPr>
          <w:rFonts w:ascii="Arial" w:hAnsi="Arial" w:cs="Arial"/>
          <w:b/>
          <w:i/>
          <w:color w:val="FF0000"/>
          <w:sz w:val="22"/>
          <w:szCs w:val="22"/>
        </w:rPr>
      </w:pPr>
    </w:p>
    <w:p w14:paraId="20DAF24F" w14:textId="3B9416BD" w:rsidR="003B74DA" w:rsidRPr="00805034" w:rsidRDefault="003B74DA" w:rsidP="003B74DA">
      <w:pPr>
        <w:ind w:left="426" w:right="-331"/>
        <w:jc w:val="both"/>
        <w:rPr>
          <w:rFonts w:cs="Arial"/>
          <w:sz w:val="22"/>
          <w:szCs w:val="22"/>
        </w:rPr>
      </w:pPr>
      <w:r w:rsidRPr="00805034">
        <w:rPr>
          <w:rFonts w:ascii="Arial" w:hAnsi="Arial" w:cs="Arial"/>
          <w:sz w:val="22"/>
          <w:szCs w:val="22"/>
        </w:rPr>
        <w:t xml:space="preserve">As the Chief Constable has no resources with which to fulfil </w:t>
      </w:r>
      <w:r w:rsidR="004600D9" w:rsidRPr="00805034">
        <w:rPr>
          <w:rFonts w:ascii="Arial" w:hAnsi="Arial" w:cs="Arial"/>
          <w:sz w:val="22"/>
          <w:szCs w:val="22"/>
        </w:rPr>
        <w:t>their</w:t>
      </w:r>
      <w:r w:rsidRPr="00805034">
        <w:rPr>
          <w:rFonts w:ascii="Arial" w:hAnsi="Arial" w:cs="Arial"/>
          <w:sz w:val="22"/>
          <w:szCs w:val="22"/>
        </w:rPr>
        <w:t xml:space="preserve"> devolved responsibilities to provide a policing service, the expenditure is funded by the PCC. The PCC’s funding of the CC’s expenditure takes the form of ‘intragroup funding’ and is shown as income in the CC’s CIES and expenditure in the PCC’s CIES. The intragroup transactions are accounted for on an accruals basis and are eliminated on consolidation in the Group financial statements. There is no actual transfer of cash involved in this transaction as all the resources belong to the PCC</w:t>
      </w:r>
    </w:p>
    <w:p w14:paraId="0A8E8CD4" w14:textId="77777777" w:rsidR="003B74DA" w:rsidRPr="00805034" w:rsidRDefault="003B74DA" w:rsidP="003B74DA">
      <w:pPr>
        <w:pStyle w:val="BodyTextIndent"/>
        <w:ind w:left="397" w:firstLine="0"/>
        <w:jc w:val="both"/>
        <w:rPr>
          <w:rFonts w:cs="Arial"/>
          <w:i w:val="0"/>
          <w:sz w:val="22"/>
          <w:szCs w:val="22"/>
        </w:rPr>
      </w:pPr>
    </w:p>
    <w:p w14:paraId="19BD6979" w14:textId="77777777" w:rsidR="003B74DA" w:rsidRPr="00805034" w:rsidRDefault="003B74DA" w:rsidP="003B74DA">
      <w:pPr>
        <w:numPr>
          <w:ilvl w:val="0"/>
          <w:numId w:val="4"/>
        </w:numPr>
        <w:jc w:val="both"/>
        <w:rPr>
          <w:rFonts w:ascii="Arial" w:hAnsi="Arial" w:cs="Arial"/>
          <w:b/>
          <w:sz w:val="22"/>
          <w:szCs w:val="22"/>
        </w:rPr>
      </w:pPr>
      <w:r w:rsidRPr="00805034">
        <w:rPr>
          <w:rFonts w:ascii="Arial" w:hAnsi="Arial" w:cs="Arial"/>
          <w:b/>
          <w:sz w:val="22"/>
          <w:szCs w:val="22"/>
        </w:rPr>
        <w:t>VAT</w:t>
      </w:r>
    </w:p>
    <w:p w14:paraId="1284133D" w14:textId="77777777" w:rsidR="003B74DA" w:rsidRPr="00805034" w:rsidRDefault="003B74DA" w:rsidP="003B74DA">
      <w:pPr>
        <w:ind w:left="1146"/>
        <w:jc w:val="both"/>
        <w:rPr>
          <w:rFonts w:ascii="Arial" w:hAnsi="Arial" w:cs="Arial"/>
          <w:b/>
          <w:sz w:val="22"/>
          <w:szCs w:val="22"/>
        </w:rPr>
      </w:pPr>
    </w:p>
    <w:p w14:paraId="6FE2BB30" w14:textId="77777777" w:rsidR="003B74DA" w:rsidRPr="00805034" w:rsidRDefault="003B74DA" w:rsidP="003B74DA">
      <w:pPr>
        <w:spacing w:after="240"/>
        <w:ind w:left="426"/>
        <w:jc w:val="both"/>
        <w:rPr>
          <w:rFonts w:ascii="Arial" w:hAnsi="Arial" w:cs="Arial"/>
          <w:sz w:val="22"/>
          <w:szCs w:val="22"/>
        </w:rPr>
      </w:pPr>
      <w:r w:rsidRPr="00805034">
        <w:rPr>
          <w:rFonts w:ascii="Arial" w:hAnsi="Arial" w:cs="Arial"/>
          <w:sz w:val="22"/>
          <w:szCs w:val="22"/>
        </w:rPr>
        <w:t>VAT payable is included as an expense only to the extent that it is not recoverable from Her Majesty's Revenue and Customs. VAT receivable is excluded from income.</w:t>
      </w:r>
    </w:p>
    <w:p w14:paraId="68340AD5" w14:textId="77777777" w:rsidR="003B74DA" w:rsidRPr="00805034" w:rsidRDefault="003B74DA" w:rsidP="003B74DA">
      <w:pPr>
        <w:ind w:left="567" w:hanging="567"/>
        <w:jc w:val="both"/>
        <w:rPr>
          <w:rFonts w:ascii="Arial" w:hAnsi="Arial" w:cs="Arial"/>
          <w:sz w:val="22"/>
          <w:szCs w:val="22"/>
        </w:rPr>
      </w:pPr>
    </w:p>
    <w:p w14:paraId="2F908AE3" w14:textId="77777777" w:rsidR="003B74DA" w:rsidRPr="00805034" w:rsidRDefault="003B74DA" w:rsidP="003B74DA">
      <w:pPr>
        <w:numPr>
          <w:ilvl w:val="0"/>
          <w:numId w:val="4"/>
        </w:numPr>
        <w:jc w:val="both"/>
        <w:rPr>
          <w:rFonts w:ascii="Arial" w:hAnsi="Arial" w:cs="Arial"/>
          <w:b/>
          <w:sz w:val="22"/>
          <w:szCs w:val="22"/>
        </w:rPr>
      </w:pPr>
      <w:bookmarkStart w:id="43" w:name="_Hlk45277729"/>
      <w:r w:rsidRPr="00805034">
        <w:rPr>
          <w:rFonts w:ascii="Arial" w:hAnsi="Arial" w:cs="Arial"/>
          <w:b/>
          <w:sz w:val="22"/>
          <w:szCs w:val="22"/>
        </w:rPr>
        <w:t>Overheads and Support Services</w:t>
      </w:r>
    </w:p>
    <w:p w14:paraId="572CE375" w14:textId="77777777" w:rsidR="003B74DA" w:rsidRPr="00805034" w:rsidRDefault="003B74DA" w:rsidP="003B74DA">
      <w:pPr>
        <w:ind w:left="1146"/>
        <w:jc w:val="both"/>
        <w:rPr>
          <w:rFonts w:ascii="Arial" w:hAnsi="Arial" w:cs="Arial"/>
          <w:b/>
          <w:sz w:val="22"/>
          <w:szCs w:val="22"/>
        </w:rPr>
      </w:pPr>
    </w:p>
    <w:p w14:paraId="701ED3CC" w14:textId="77777777" w:rsidR="003B74DA" w:rsidRPr="00805034" w:rsidRDefault="003B74DA" w:rsidP="003B74DA">
      <w:pPr>
        <w:spacing w:after="240"/>
        <w:ind w:left="426"/>
        <w:jc w:val="both"/>
        <w:rPr>
          <w:rFonts w:ascii="Arial" w:hAnsi="Arial" w:cs="Arial"/>
          <w:sz w:val="22"/>
          <w:szCs w:val="22"/>
        </w:rPr>
      </w:pPr>
      <w:r w:rsidRPr="00805034">
        <w:rPr>
          <w:rFonts w:ascii="Arial" w:hAnsi="Arial" w:cs="Arial"/>
          <w:sz w:val="22"/>
          <w:szCs w:val="22"/>
        </w:rPr>
        <w:t xml:space="preserve">Overhead budgets are held as separate budgets and reported to management in the same way as operational budget with no ultimate re-apportionment across operating segments. </w:t>
      </w:r>
    </w:p>
    <w:bookmarkEnd w:id="43"/>
    <w:p w14:paraId="69B02035" w14:textId="77777777" w:rsidR="003B74DA" w:rsidRPr="00805034" w:rsidRDefault="003B74DA" w:rsidP="003B74DA">
      <w:pPr>
        <w:jc w:val="both"/>
        <w:rPr>
          <w:rFonts w:ascii="Arial" w:hAnsi="Arial" w:cs="Arial"/>
          <w:sz w:val="22"/>
          <w:szCs w:val="22"/>
        </w:rPr>
      </w:pPr>
    </w:p>
    <w:p w14:paraId="21109B1F" w14:textId="03F2A597" w:rsidR="003B578C" w:rsidRPr="00805034" w:rsidRDefault="003B578C" w:rsidP="003B578C">
      <w:pPr>
        <w:pStyle w:val="Default"/>
        <w:numPr>
          <w:ilvl w:val="0"/>
          <w:numId w:val="4"/>
        </w:numPr>
        <w:rPr>
          <w:rFonts w:ascii="Arial" w:hAnsi="Arial" w:cs="Arial"/>
          <w:b/>
          <w:bCs/>
          <w:sz w:val="22"/>
          <w:szCs w:val="22"/>
        </w:rPr>
      </w:pPr>
      <w:r w:rsidRPr="00805034">
        <w:rPr>
          <w:rFonts w:ascii="Arial" w:hAnsi="Arial" w:cs="Arial"/>
          <w:b/>
          <w:bCs/>
          <w:sz w:val="22"/>
          <w:szCs w:val="22"/>
        </w:rPr>
        <w:t xml:space="preserve">Financial assets </w:t>
      </w:r>
    </w:p>
    <w:p w14:paraId="0EC74C61" w14:textId="77777777" w:rsidR="003B578C" w:rsidRPr="00805034" w:rsidRDefault="003B578C" w:rsidP="009B4908">
      <w:pPr>
        <w:pStyle w:val="Default"/>
        <w:ind w:left="1146"/>
        <w:rPr>
          <w:rFonts w:ascii="Arial" w:hAnsi="Arial" w:cs="Arial"/>
          <w:sz w:val="22"/>
          <w:szCs w:val="22"/>
        </w:rPr>
      </w:pPr>
    </w:p>
    <w:p w14:paraId="151BBD35" w14:textId="54F23FD8"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Financial assets are classified based on the business model for holding the financial assets and their expected cash flow characteristics. </w:t>
      </w:r>
    </w:p>
    <w:p w14:paraId="6C88378E" w14:textId="77777777" w:rsidR="003B578C" w:rsidRPr="00805034" w:rsidRDefault="003B578C" w:rsidP="003B578C">
      <w:pPr>
        <w:autoSpaceDE w:val="0"/>
        <w:autoSpaceDN w:val="0"/>
        <w:adjustRightInd w:val="0"/>
        <w:rPr>
          <w:rFonts w:ascii="Arial" w:hAnsi="Arial" w:cs="Arial"/>
          <w:color w:val="000000"/>
          <w:sz w:val="22"/>
          <w:szCs w:val="22"/>
        </w:rPr>
      </w:pPr>
    </w:p>
    <w:p w14:paraId="64365A47" w14:textId="77777777"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Financial assets are classified into one of three categories: </w:t>
      </w:r>
    </w:p>
    <w:p w14:paraId="597E41C1" w14:textId="77777777" w:rsidR="003B578C" w:rsidRPr="00805034" w:rsidRDefault="003B578C" w:rsidP="003B578C">
      <w:pPr>
        <w:autoSpaceDE w:val="0"/>
        <w:autoSpaceDN w:val="0"/>
        <w:adjustRightInd w:val="0"/>
        <w:rPr>
          <w:rFonts w:ascii="Arial" w:hAnsi="Arial" w:cs="Arial"/>
          <w:color w:val="000000"/>
          <w:sz w:val="22"/>
          <w:szCs w:val="22"/>
        </w:rPr>
      </w:pPr>
    </w:p>
    <w:p w14:paraId="14324AF2" w14:textId="72474D17" w:rsidR="003B578C" w:rsidRPr="00805034" w:rsidRDefault="003B578C" w:rsidP="006F1E90">
      <w:pPr>
        <w:autoSpaceDE w:val="0"/>
        <w:autoSpaceDN w:val="0"/>
        <w:adjustRightInd w:val="0"/>
        <w:ind w:left="426"/>
        <w:rPr>
          <w:rFonts w:ascii="Arial" w:hAnsi="Arial" w:cs="Arial"/>
          <w:i/>
          <w:iCs/>
          <w:color w:val="000000"/>
          <w:sz w:val="22"/>
          <w:szCs w:val="22"/>
        </w:rPr>
      </w:pPr>
      <w:r w:rsidRPr="00805034">
        <w:rPr>
          <w:rFonts w:ascii="Arial" w:hAnsi="Arial" w:cs="Arial"/>
          <w:i/>
          <w:iCs/>
          <w:color w:val="000000"/>
          <w:sz w:val="22"/>
          <w:szCs w:val="22"/>
        </w:rPr>
        <w:t xml:space="preserve">Financial assets measured at amortised cost </w:t>
      </w:r>
    </w:p>
    <w:p w14:paraId="3465705B" w14:textId="77777777" w:rsidR="00C27FC7" w:rsidRPr="00805034" w:rsidRDefault="00C27FC7" w:rsidP="003B578C">
      <w:pPr>
        <w:autoSpaceDE w:val="0"/>
        <w:autoSpaceDN w:val="0"/>
        <w:adjustRightInd w:val="0"/>
        <w:rPr>
          <w:rFonts w:ascii="Arial" w:hAnsi="Arial" w:cs="Arial"/>
          <w:i/>
          <w:iCs/>
          <w:color w:val="000000"/>
          <w:sz w:val="22"/>
          <w:szCs w:val="22"/>
        </w:rPr>
      </w:pPr>
    </w:p>
    <w:p w14:paraId="1939CEA2" w14:textId="77777777"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Where the PCC’s </w:t>
      </w:r>
      <w:bookmarkStart w:id="44" w:name="_Hlk57621964"/>
      <w:r w:rsidRPr="00805034">
        <w:rPr>
          <w:rFonts w:ascii="Arial" w:hAnsi="Arial" w:cs="Arial"/>
          <w:color w:val="000000"/>
          <w:sz w:val="22"/>
          <w:szCs w:val="22"/>
        </w:rPr>
        <w:t>business model is to hold investments to collect contractual cash flows</w:t>
      </w:r>
      <w:bookmarkEnd w:id="44"/>
      <w:r w:rsidRPr="00805034">
        <w:rPr>
          <w:rFonts w:ascii="Arial" w:hAnsi="Arial" w:cs="Arial"/>
          <w:color w:val="000000"/>
          <w:sz w:val="22"/>
          <w:szCs w:val="22"/>
        </w:rPr>
        <w:t>, the financial assets are classified as amortised cost.</w:t>
      </w:r>
    </w:p>
    <w:p w14:paraId="6871EC58" w14:textId="2F8B9758" w:rsidR="003B578C" w:rsidRPr="00805034" w:rsidRDefault="003B578C" w:rsidP="003B578C">
      <w:pPr>
        <w:autoSpaceDE w:val="0"/>
        <w:autoSpaceDN w:val="0"/>
        <w:adjustRightInd w:val="0"/>
        <w:rPr>
          <w:rFonts w:ascii="Arial" w:hAnsi="Arial" w:cs="Arial"/>
          <w:color w:val="000000"/>
          <w:sz w:val="22"/>
          <w:szCs w:val="22"/>
        </w:rPr>
      </w:pPr>
      <w:r w:rsidRPr="00805034">
        <w:rPr>
          <w:rFonts w:ascii="Arial" w:hAnsi="Arial" w:cs="Arial"/>
          <w:color w:val="000000"/>
          <w:sz w:val="22"/>
          <w:szCs w:val="22"/>
        </w:rPr>
        <w:t xml:space="preserve"> </w:t>
      </w:r>
    </w:p>
    <w:p w14:paraId="7584E247" w14:textId="77777777"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The contractual terms of the financial asset give rise on specified dates to cash flows that are solely payments of principal and interest on the principal amount outstanding. </w:t>
      </w:r>
    </w:p>
    <w:p w14:paraId="223C96C4" w14:textId="77777777" w:rsidR="003B578C" w:rsidRPr="00805034" w:rsidRDefault="003B578C" w:rsidP="003B578C">
      <w:pPr>
        <w:autoSpaceDE w:val="0"/>
        <w:autoSpaceDN w:val="0"/>
        <w:adjustRightInd w:val="0"/>
        <w:rPr>
          <w:rFonts w:ascii="Arial" w:hAnsi="Arial" w:cs="Arial"/>
          <w:color w:val="000000"/>
          <w:sz w:val="22"/>
          <w:szCs w:val="22"/>
        </w:rPr>
      </w:pPr>
    </w:p>
    <w:p w14:paraId="05E9B6BB" w14:textId="59B8D126"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They are initially measured at fair value and are subsequently measured at their amortised cost. </w:t>
      </w:r>
    </w:p>
    <w:p w14:paraId="430E5F79" w14:textId="77777777" w:rsidR="003B578C" w:rsidRPr="00805034" w:rsidRDefault="003B578C" w:rsidP="003B578C">
      <w:pPr>
        <w:autoSpaceDE w:val="0"/>
        <w:autoSpaceDN w:val="0"/>
        <w:adjustRightInd w:val="0"/>
        <w:rPr>
          <w:rFonts w:ascii="Arial" w:hAnsi="Arial" w:cs="Arial"/>
          <w:color w:val="000000"/>
          <w:sz w:val="22"/>
          <w:szCs w:val="22"/>
        </w:rPr>
      </w:pPr>
    </w:p>
    <w:p w14:paraId="330D1C11" w14:textId="2B18DDE0" w:rsidR="00C27FC7"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Annual credits to the financing and investment income and expenditure line in the comprehensive income and expenditure statement for interest receivable are based on the carrying amount of the asset multiplied by the effective rate of interest for the instrument. For </w:t>
      </w:r>
      <w:proofErr w:type="gramStart"/>
      <w:r w:rsidR="00C27FC7" w:rsidRPr="00805034">
        <w:rPr>
          <w:rFonts w:ascii="Arial" w:hAnsi="Arial" w:cs="Arial"/>
          <w:color w:val="000000"/>
          <w:sz w:val="22"/>
          <w:szCs w:val="22"/>
        </w:rPr>
        <w:t>all</w:t>
      </w:r>
      <w:r w:rsidRPr="00805034">
        <w:rPr>
          <w:rFonts w:ascii="Arial" w:hAnsi="Arial" w:cs="Arial"/>
          <w:color w:val="000000"/>
          <w:sz w:val="22"/>
          <w:szCs w:val="22"/>
        </w:rPr>
        <w:t xml:space="preserve"> of</w:t>
      </w:r>
      <w:proofErr w:type="gramEnd"/>
      <w:r w:rsidRPr="00805034">
        <w:rPr>
          <w:rFonts w:ascii="Arial" w:hAnsi="Arial" w:cs="Arial"/>
          <w:color w:val="000000"/>
          <w:sz w:val="22"/>
          <w:szCs w:val="22"/>
        </w:rPr>
        <w:t xml:space="preserve"> the financial assets held by the PCC, this means that the amount presented in the balance sheet is the outstanding principal receivable plus accrued interest. </w:t>
      </w:r>
    </w:p>
    <w:p w14:paraId="7404AF6A" w14:textId="77777777" w:rsidR="000B2D59" w:rsidRPr="00805034" w:rsidRDefault="000B2D59" w:rsidP="006F1E90">
      <w:pPr>
        <w:autoSpaceDE w:val="0"/>
        <w:autoSpaceDN w:val="0"/>
        <w:adjustRightInd w:val="0"/>
        <w:ind w:left="426"/>
        <w:rPr>
          <w:rFonts w:ascii="Arial" w:hAnsi="Arial" w:cs="Arial"/>
          <w:color w:val="000000"/>
          <w:sz w:val="22"/>
          <w:szCs w:val="22"/>
        </w:rPr>
      </w:pPr>
    </w:p>
    <w:p w14:paraId="7213DE00" w14:textId="16A78103"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Interest credited to the comprehensive income and expenditure statement is the amount receivable for the year in the loan agreement. </w:t>
      </w:r>
    </w:p>
    <w:p w14:paraId="60CEA8F7" w14:textId="77777777" w:rsidR="00C27FC7" w:rsidRPr="00805034" w:rsidRDefault="00C27FC7" w:rsidP="003B578C">
      <w:pPr>
        <w:autoSpaceDE w:val="0"/>
        <w:autoSpaceDN w:val="0"/>
        <w:adjustRightInd w:val="0"/>
        <w:rPr>
          <w:rFonts w:ascii="Arial" w:hAnsi="Arial" w:cs="Arial"/>
          <w:color w:val="000000"/>
          <w:sz w:val="22"/>
          <w:szCs w:val="22"/>
        </w:rPr>
      </w:pPr>
    </w:p>
    <w:p w14:paraId="7F389D6F" w14:textId="18FA9910"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There is no recognition of gains or losses on fair value until reclassification or de-recognition of the asset. Any gains or losses that arise on the de-recognition of the asset are charged to the financing and investment income and expenditure line in the comprehensive income and expenditure statement. </w:t>
      </w:r>
    </w:p>
    <w:p w14:paraId="39FC99D8" w14:textId="19717056" w:rsidR="003B578C" w:rsidRPr="00805034" w:rsidRDefault="003B578C" w:rsidP="006F1E90">
      <w:pPr>
        <w:autoSpaceDE w:val="0"/>
        <w:autoSpaceDN w:val="0"/>
        <w:adjustRightInd w:val="0"/>
        <w:ind w:left="426"/>
        <w:rPr>
          <w:rFonts w:ascii="Arial" w:hAnsi="Arial" w:cs="Arial"/>
          <w:i/>
          <w:iCs/>
          <w:color w:val="000000"/>
          <w:sz w:val="22"/>
          <w:szCs w:val="22"/>
        </w:rPr>
      </w:pPr>
      <w:r w:rsidRPr="00805034">
        <w:rPr>
          <w:rFonts w:ascii="Arial" w:hAnsi="Arial" w:cs="Arial"/>
          <w:i/>
          <w:iCs/>
          <w:color w:val="000000"/>
          <w:sz w:val="22"/>
          <w:szCs w:val="22"/>
        </w:rPr>
        <w:lastRenderedPageBreak/>
        <w:t xml:space="preserve">Financial assets measured at fair value through other comprehensive income (FVOCI) </w:t>
      </w:r>
    </w:p>
    <w:p w14:paraId="160F9E74" w14:textId="77777777" w:rsidR="003B578C" w:rsidRPr="00805034" w:rsidRDefault="003B578C" w:rsidP="006F1E90">
      <w:pPr>
        <w:autoSpaceDE w:val="0"/>
        <w:autoSpaceDN w:val="0"/>
        <w:adjustRightInd w:val="0"/>
        <w:ind w:left="426"/>
        <w:rPr>
          <w:rFonts w:ascii="Arial" w:hAnsi="Arial" w:cs="Arial"/>
          <w:color w:val="000000"/>
          <w:sz w:val="22"/>
          <w:szCs w:val="22"/>
        </w:rPr>
      </w:pPr>
    </w:p>
    <w:p w14:paraId="242DA3C9" w14:textId="076BB052" w:rsidR="003B578C" w:rsidRPr="00805034" w:rsidRDefault="00C27FC7"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Any a</w:t>
      </w:r>
      <w:r w:rsidR="003B578C" w:rsidRPr="00805034">
        <w:rPr>
          <w:rFonts w:ascii="Arial" w:hAnsi="Arial" w:cs="Arial"/>
          <w:color w:val="000000"/>
          <w:sz w:val="22"/>
          <w:szCs w:val="22"/>
        </w:rPr>
        <w:t xml:space="preserve">ssets </w:t>
      </w:r>
      <w:r w:rsidRPr="00805034">
        <w:rPr>
          <w:rFonts w:ascii="Arial" w:hAnsi="Arial" w:cs="Arial"/>
          <w:color w:val="000000"/>
          <w:sz w:val="22"/>
          <w:szCs w:val="22"/>
        </w:rPr>
        <w:t xml:space="preserve">held </w:t>
      </w:r>
      <w:r w:rsidR="003B578C" w:rsidRPr="00805034">
        <w:rPr>
          <w:rFonts w:ascii="Arial" w:hAnsi="Arial" w:cs="Arial"/>
          <w:color w:val="000000"/>
          <w:sz w:val="22"/>
          <w:szCs w:val="22"/>
        </w:rPr>
        <w:t xml:space="preserve">in this category are held with the objective of collecting contractual cash flows and selling assets </w:t>
      </w:r>
      <w:proofErr w:type="gramStart"/>
      <w:r w:rsidR="003B578C" w:rsidRPr="00805034">
        <w:rPr>
          <w:rFonts w:ascii="Arial" w:hAnsi="Arial" w:cs="Arial"/>
          <w:color w:val="000000"/>
          <w:sz w:val="22"/>
          <w:szCs w:val="22"/>
        </w:rPr>
        <w:t>in order to</w:t>
      </w:r>
      <w:proofErr w:type="gramEnd"/>
      <w:r w:rsidR="003B578C" w:rsidRPr="00805034">
        <w:rPr>
          <w:rFonts w:ascii="Arial" w:hAnsi="Arial" w:cs="Arial"/>
          <w:color w:val="000000"/>
          <w:sz w:val="22"/>
          <w:szCs w:val="22"/>
        </w:rPr>
        <w:t xml:space="preserve"> meet long term investment requirements while ensuring the PCC is not subject to a high degree of credit risk. These assets would be measured and carried at fair value. </w:t>
      </w:r>
    </w:p>
    <w:p w14:paraId="0F250F59" w14:textId="77777777" w:rsidR="003B578C" w:rsidRPr="00805034" w:rsidRDefault="003B578C" w:rsidP="006F1E90">
      <w:pPr>
        <w:autoSpaceDE w:val="0"/>
        <w:autoSpaceDN w:val="0"/>
        <w:adjustRightInd w:val="0"/>
        <w:ind w:left="426"/>
        <w:rPr>
          <w:rFonts w:ascii="Arial" w:hAnsi="Arial" w:cs="Arial"/>
          <w:color w:val="000000"/>
          <w:sz w:val="22"/>
          <w:szCs w:val="22"/>
        </w:rPr>
      </w:pPr>
    </w:p>
    <w:p w14:paraId="2AA6CA50" w14:textId="05F124FF"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Interest is recognised in the comprehensive income and expenditure statement on the same basis as for amortised cost financial assets, as described above. </w:t>
      </w:r>
    </w:p>
    <w:p w14:paraId="45619D7F" w14:textId="77777777" w:rsidR="003B578C" w:rsidRPr="00805034" w:rsidRDefault="003B578C" w:rsidP="006F1E90">
      <w:pPr>
        <w:autoSpaceDE w:val="0"/>
        <w:autoSpaceDN w:val="0"/>
        <w:adjustRightInd w:val="0"/>
        <w:ind w:left="426"/>
        <w:rPr>
          <w:rFonts w:ascii="Arial" w:hAnsi="Arial" w:cs="Arial"/>
          <w:color w:val="000000"/>
          <w:sz w:val="22"/>
          <w:szCs w:val="22"/>
        </w:rPr>
      </w:pPr>
    </w:p>
    <w:p w14:paraId="5BAC268B" w14:textId="3E194D2D"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All gains or losses due to changes in the fair value of the assets (both realised and unrealised) are charged to the other comprehensive income and expenditure line in the comprehensive income and expenditure statement and balanced by an entry in the financial </w:t>
      </w:r>
      <w:r w:rsidR="00DC2030" w:rsidRPr="00805034">
        <w:rPr>
          <w:rFonts w:ascii="Arial" w:hAnsi="Arial" w:cs="Arial"/>
          <w:color w:val="000000"/>
          <w:sz w:val="22"/>
          <w:szCs w:val="22"/>
        </w:rPr>
        <w:t>instruments’</w:t>
      </w:r>
      <w:r w:rsidRPr="00805034">
        <w:rPr>
          <w:rFonts w:ascii="Arial" w:hAnsi="Arial" w:cs="Arial"/>
          <w:color w:val="000000"/>
          <w:sz w:val="22"/>
          <w:szCs w:val="22"/>
        </w:rPr>
        <w:t xml:space="preserve"> revaluation reserve. </w:t>
      </w:r>
    </w:p>
    <w:p w14:paraId="5E66EE3E" w14:textId="77777777" w:rsidR="003B578C" w:rsidRPr="00805034" w:rsidRDefault="003B578C" w:rsidP="006F1E90">
      <w:pPr>
        <w:autoSpaceDE w:val="0"/>
        <w:autoSpaceDN w:val="0"/>
        <w:adjustRightInd w:val="0"/>
        <w:ind w:left="426"/>
        <w:rPr>
          <w:rFonts w:ascii="Arial" w:hAnsi="Arial" w:cs="Arial"/>
          <w:color w:val="000000"/>
          <w:sz w:val="22"/>
          <w:szCs w:val="22"/>
        </w:rPr>
      </w:pPr>
    </w:p>
    <w:p w14:paraId="764F8746" w14:textId="1F00B9CF" w:rsidR="003B578C" w:rsidRPr="00805034" w:rsidRDefault="003B578C" w:rsidP="006F1E90">
      <w:pPr>
        <w:autoSpaceDE w:val="0"/>
        <w:autoSpaceDN w:val="0"/>
        <w:adjustRightInd w:val="0"/>
        <w:ind w:left="426"/>
        <w:rPr>
          <w:rFonts w:ascii="Arial" w:hAnsi="Arial" w:cs="Arial"/>
          <w:color w:val="000000"/>
          <w:sz w:val="22"/>
          <w:szCs w:val="22"/>
        </w:rPr>
      </w:pPr>
      <w:r w:rsidRPr="00805034">
        <w:rPr>
          <w:rFonts w:ascii="Arial" w:hAnsi="Arial" w:cs="Arial"/>
          <w:color w:val="000000"/>
          <w:sz w:val="22"/>
          <w:szCs w:val="22"/>
        </w:rPr>
        <w:t xml:space="preserve">Any gains or losses that arise on the de-recognition of the asset are charged to the financing and investment income and expenditure line in the comprehensive income and expenditure statement, along with any accumulated gains or losses previously recognised in the financial </w:t>
      </w:r>
      <w:r w:rsidR="00DC2030" w:rsidRPr="00805034">
        <w:rPr>
          <w:rFonts w:ascii="Arial" w:hAnsi="Arial" w:cs="Arial"/>
          <w:color w:val="000000"/>
          <w:sz w:val="22"/>
          <w:szCs w:val="22"/>
        </w:rPr>
        <w:t>instruments’</w:t>
      </w:r>
      <w:r w:rsidRPr="00805034">
        <w:rPr>
          <w:rFonts w:ascii="Arial" w:hAnsi="Arial" w:cs="Arial"/>
          <w:color w:val="000000"/>
          <w:sz w:val="22"/>
          <w:szCs w:val="22"/>
        </w:rPr>
        <w:t xml:space="preserve"> revaluation reserve. </w:t>
      </w:r>
    </w:p>
    <w:p w14:paraId="6A9D0C9A" w14:textId="77777777" w:rsidR="003B578C" w:rsidRPr="00805034" w:rsidRDefault="003B578C" w:rsidP="006F1E90">
      <w:pPr>
        <w:autoSpaceDE w:val="0"/>
        <w:autoSpaceDN w:val="0"/>
        <w:adjustRightInd w:val="0"/>
        <w:ind w:left="426"/>
        <w:rPr>
          <w:rFonts w:ascii="Arial" w:hAnsi="Arial" w:cs="Arial"/>
          <w:color w:val="000000"/>
          <w:sz w:val="22"/>
          <w:szCs w:val="22"/>
        </w:rPr>
      </w:pPr>
    </w:p>
    <w:p w14:paraId="64056E08" w14:textId="77777777" w:rsidR="003B578C" w:rsidRPr="00805034" w:rsidRDefault="003B578C" w:rsidP="006F1E90">
      <w:pPr>
        <w:autoSpaceDE w:val="0"/>
        <w:autoSpaceDN w:val="0"/>
        <w:adjustRightInd w:val="0"/>
        <w:ind w:left="426"/>
        <w:rPr>
          <w:rFonts w:ascii="Arial" w:hAnsi="Arial" w:cs="Arial"/>
          <w:i/>
          <w:iCs/>
          <w:color w:val="000000"/>
          <w:sz w:val="22"/>
          <w:szCs w:val="22"/>
        </w:rPr>
      </w:pPr>
      <w:r w:rsidRPr="00805034">
        <w:rPr>
          <w:rFonts w:ascii="Arial" w:hAnsi="Arial" w:cs="Arial"/>
          <w:i/>
          <w:iCs/>
          <w:color w:val="000000"/>
          <w:sz w:val="22"/>
          <w:szCs w:val="22"/>
        </w:rPr>
        <w:t xml:space="preserve">Financial assets measured at fair value through profit of loss (FVPL) </w:t>
      </w:r>
    </w:p>
    <w:p w14:paraId="045F0326" w14:textId="77777777" w:rsidR="003B578C" w:rsidRPr="00805034" w:rsidRDefault="003B578C" w:rsidP="006F1E90">
      <w:pPr>
        <w:ind w:left="426" w:right="-331"/>
        <w:jc w:val="both"/>
        <w:rPr>
          <w:rFonts w:ascii="Arial" w:hAnsi="Arial" w:cs="Arial"/>
          <w:i/>
          <w:iCs/>
          <w:color w:val="000000"/>
          <w:sz w:val="22"/>
          <w:szCs w:val="22"/>
        </w:rPr>
      </w:pPr>
    </w:p>
    <w:p w14:paraId="3F77E63C" w14:textId="3788562E" w:rsidR="003B74DA" w:rsidRPr="00645FC2" w:rsidRDefault="003B578C" w:rsidP="006F1E90">
      <w:pPr>
        <w:ind w:left="426" w:right="-331"/>
        <w:jc w:val="both"/>
        <w:rPr>
          <w:rFonts w:ascii="Arial" w:hAnsi="Arial" w:cs="Arial"/>
          <w:sz w:val="22"/>
          <w:szCs w:val="22"/>
          <w:highlight w:val="yellow"/>
        </w:rPr>
        <w:sectPr w:rsidR="003B74DA" w:rsidRPr="00645FC2" w:rsidSect="00A00487">
          <w:headerReference w:type="even" r:id="rId87"/>
          <w:headerReference w:type="default" r:id="rId88"/>
          <w:headerReference w:type="first" r:id="rId89"/>
          <w:pgSz w:w="11906" w:h="16838" w:code="9"/>
          <w:pgMar w:top="1440" w:right="1440" w:bottom="1440" w:left="1440" w:header="340" w:footer="510" w:gutter="0"/>
          <w:cols w:space="720"/>
          <w:docGrid w:linePitch="272"/>
        </w:sectPr>
      </w:pPr>
      <w:r w:rsidRPr="00805034">
        <w:rPr>
          <w:rFonts w:ascii="Arial" w:hAnsi="Arial" w:cs="Arial"/>
          <w:color w:val="000000"/>
          <w:sz w:val="22"/>
          <w:szCs w:val="22"/>
        </w:rPr>
        <w:t>These assets are measured and carried at fair value.</w:t>
      </w:r>
    </w:p>
    <w:p w14:paraId="75C87478" w14:textId="77777777" w:rsidR="003B74DA" w:rsidRPr="00287896" w:rsidRDefault="003B74DA" w:rsidP="003B74DA">
      <w:pPr>
        <w:tabs>
          <w:tab w:val="left" w:pos="426"/>
          <w:tab w:val="right" w:pos="5760"/>
        </w:tabs>
        <w:ind w:left="426"/>
        <w:jc w:val="both"/>
        <w:rPr>
          <w:rFonts w:ascii="Arial" w:hAnsi="Arial"/>
          <w:b/>
          <w:sz w:val="22"/>
          <w:szCs w:val="22"/>
        </w:rPr>
      </w:pPr>
      <w:r w:rsidRPr="00287896">
        <w:rPr>
          <w:rFonts w:ascii="Arial" w:hAnsi="Arial"/>
          <w:b/>
          <w:sz w:val="22"/>
          <w:szCs w:val="22"/>
        </w:rPr>
        <w:lastRenderedPageBreak/>
        <w:t>POLICE PENSION ACCOUNT</w:t>
      </w:r>
    </w:p>
    <w:p w14:paraId="26291648" w14:textId="77777777" w:rsidR="003B74DA" w:rsidRPr="00287896" w:rsidRDefault="003B74DA" w:rsidP="003B74DA">
      <w:pPr>
        <w:tabs>
          <w:tab w:val="left" w:pos="426"/>
          <w:tab w:val="right" w:pos="5760"/>
        </w:tabs>
        <w:ind w:left="426"/>
        <w:jc w:val="both"/>
        <w:rPr>
          <w:rFonts w:ascii="Arial" w:hAnsi="Arial"/>
          <w:sz w:val="22"/>
          <w:szCs w:val="22"/>
        </w:rPr>
      </w:pPr>
    </w:p>
    <w:p w14:paraId="11489735" w14:textId="2D5801A9" w:rsidR="003B74DA" w:rsidRPr="00287896" w:rsidRDefault="003B74DA" w:rsidP="003B74DA">
      <w:pPr>
        <w:tabs>
          <w:tab w:val="left" w:pos="426"/>
          <w:tab w:val="right" w:pos="5760"/>
        </w:tabs>
        <w:ind w:left="426"/>
        <w:jc w:val="both"/>
        <w:rPr>
          <w:rFonts w:ascii="Arial" w:hAnsi="Arial"/>
          <w:sz w:val="22"/>
          <w:szCs w:val="22"/>
        </w:rPr>
        <w:sectPr w:rsidR="003B74DA" w:rsidRPr="00287896" w:rsidSect="00A00487">
          <w:headerReference w:type="even" r:id="rId90"/>
          <w:headerReference w:type="default" r:id="rId91"/>
          <w:headerReference w:type="first" r:id="rId92"/>
          <w:pgSz w:w="11906" w:h="16838" w:code="9"/>
          <w:pgMar w:top="1440" w:right="1440" w:bottom="1440" w:left="1440" w:header="340" w:footer="510" w:gutter="0"/>
          <w:cols w:space="720"/>
          <w:docGrid w:linePitch="272"/>
        </w:sectPr>
      </w:pPr>
      <w:r w:rsidRPr="00287896">
        <w:rPr>
          <w:rFonts w:ascii="Arial" w:hAnsi="Arial"/>
          <w:sz w:val="22"/>
          <w:szCs w:val="22"/>
        </w:rPr>
        <w:t>The CC administers the Police Pension Fund Account (the Account) on behalf of the PCC, in accordance with the Police Reform and Social Responsibility Act 2011. Amounts debited and credited to the Account are specified by legislation, the Police Pension Fund Regulations 2007 [Statutory Instrument 2007 No 1932], (the Regulations). During the year all payments and receipts are made to and from the Police Fund, which is held by the PCC. This statement shows the income and expenditure for each of the 1987, the 2006 and the 2015 Police Pension Schemes.</w:t>
      </w:r>
    </w:p>
    <w:p w14:paraId="3C2A526B" w14:textId="77777777" w:rsidR="00CD4AF7" w:rsidRPr="00645FC2" w:rsidRDefault="00CD4AF7" w:rsidP="00CD4AF7">
      <w:pPr>
        <w:rPr>
          <w:highlight w:val="yellow"/>
        </w:rPr>
      </w:pPr>
    </w:p>
    <w:tbl>
      <w:tblPr>
        <w:tblW w:w="14660" w:type="dxa"/>
        <w:tblLook w:val="04A0" w:firstRow="1" w:lastRow="0" w:firstColumn="1" w:lastColumn="0" w:noHBand="0" w:noVBand="1"/>
      </w:tblPr>
      <w:tblGrid>
        <w:gridCol w:w="2500"/>
        <w:gridCol w:w="2200"/>
        <w:gridCol w:w="1440"/>
        <w:gridCol w:w="1200"/>
        <w:gridCol w:w="1260"/>
        <w:gridCol w:w="1260"/>
        <w:gridCol w:w="1200"/>
        <w:gridCol w:w="1200"/>
        <w:gridCol w:w="1200"/>
        <w:gridCol w:w="1200"/>
      </w:tblGrid>
      <w:tr w:rsidR="002D7752" w:rsidRPr="00287896" w14:paraId="651F8659" w14:textId="77777777" w:rsidTr="00307AF0">
        <w:trPr>
          <w:trHeight w:val="300"/>
        </w:trPr>
        <w:tc>
          <w:tcPr>
            <w:tcW w:w="2500" w:type="dxa"/>
            <w:tcBorders>
              <w:top w:val="single" w:sz="8" w:space="0" w:color="auto"/>
              <w:left w:val="single" w:sz="8" w:space="0" w:color="auto"/>
              <w:bottom w:val="nil"/>
              <w:right w:val="nil"/>
            </w:tcBorders>
            <w:shd w:val="clear" w:color="000000" w:fill="CCCCCC"/>
            <w:vAlign w:val="center"/>
            <w:hideMark/>
          </w:tcPr>
          <w:p w14:paraId="145D2B0A"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xml:space="preserve">POLICE PENSIONS ACCOUNT </w:t>
            </w:r>
          </w:p>
        </w:tc>
        <w:tc>
          <w:tcPr>
            <w:tcW w:w="2200" w:type="dxa"/>
            <w:tcBorders>
              <w:top w:val="single" w:sz="8" w:space="0" w:color="auto"/>
              <w:left w:val="nil"/>
              <w:bottom w:val="nil"/>
              <w:right w:val="single" w:sz="8" w:space="0" w:color="auto"/>
            </w:tcBorders>
            <w:shd w:val="clear" w:color="000000" w:fill="CCCCCC"/>
            <w:vAlign w:val="center"/>
            <w:hideMark/>
          </w:tcPr>
          <w:p w14:paraId="5548D22F" w14:textId="77777777" w:rsidR="002D7752" w:rsidRPr="00287896" w:rsidRDefault="002D7752" w:rsidP="002D7752">
            <w:pPr>
              <w:jc w:val="center"/>
              <w:rPr>
                <w:rFonts w:ascii="Arial" w:hAnsi="Arial" w:cs="Arial"/>
                <w:b/>
                <w:bCs/>
                <w:sz w:val="16"/>
                <w:szCs w:val="16"/>
              </w:rPr>
            </w:pPr>
            <w:r w:rsidRPr="00287896">
              <w:rPr>
                <w:rFonts w:ascii="Arial" w:hAnsi="Arial" w:cs="Arial"/>
                <w:b/>
                <w:bCs/>
                <w:sz w:val="16"/>
                <w:szCs w:val="16"/>
              </w:rPr>
              <w:t> </w:t>
            </w:r>
          </w:p>
        </w:tc>
        <w:tc>
          <w:tcPr>
            <w:tcW w:w="5160" w:type="dxa"/>
            <w:gridSpan w:val="4"/>
            <w:tcBorders>
              <w:top w:val="single" w:sz="8" w:space="0" w:color="auto"/>
              <w:left w:val="single" w:sz="8" w:space="0" w:color="auto"/>
              <w:bottom w:val="nil"/>
              <w:right w:val="single" w:sz="8" w:space="0" w:color="000000"/>
            </w:tcBorders>
            <w:shd w:val="clear" w:color="auto" w:fill="FFFFFF" w:themeFill="background1"/>
            <w:vAlign w:val="center"/>
            <w:hideMark/>
          </w:tcPr>
          <w:p w14:paraId="65B42DB6" w14:textId="78B697FC" w:rsidR="002D7752" w:rsidRPr="00287896" w:rsidRDefault="002D7752" w:rsidP="002D7752">
            <w:pPr>
              <w:jc w:val="center"/>
              <w:rPr>
                <w:rFonts w:ascii="Arial" w:hAnsi="Arial" w:cs="Arial"/>
                <w:b/>
                <w:bCs/>
                <w:color w:val="000000"/>
                <w:sz w:val="16"/>
                <w:szCs w:val="16"/>
              </w:rPr>
            </w:pPr>
            <w:r>
              <w:rPr>
                <w:rFonts w:ascii="Arial" w:hAnsi="Arial" w:cs="Arial"/>
                <w:b/>
                <w:bCs/>
                <w:color w:val="000000"/>
                <w:sz w:val="16"/>
                <w:szCs w:val="16"/>
              </w:rPr>
              <w:t>202</w:t>
            </w:r>
            <w:r w:rsidR="00CA39B2">
              <w:rPr>
                <w:rFonts w:ascii="Arial" w:hAnsi="Arial" w:cs="Arial"/>
                <w:b/>
                <w:bCs/>
                <w:color w:val="000000"/>
                <w:sz w:val="16"/>
                <w:szCs w:val="16"/>
              </w:rPr>
              <w:t>3</w:t>
            </w:r>
            <w:r>
              <w:rPr>
                <w:rFonts w:ascii="Arial" w:hAnsi="Arial" w:cs="Arial"/>
                <w:b/>
                <w:bCs/>
                <w:color w:val="000000"/>
                <w:sz w:val="16"/>
                <w:szCs w:val="16"/>
              </w:rPr>
              <w:t>/2</w:t>
            </w:r>
            <w:r w:rsidR="00CA39B2">
              <w:rPr>
                <w:rFonts w:ascii="Arial" w:hAnsi="Arial" w:cs="Arial"/>
                <w:b/>
                <w:bCs/>
                <w:color w:val="000000"/>
                <w:sz w:val="16"/>
                <w:szCs w:val="16"/>
              </w:rPr>
              <w:t>4</w:t>
            </w:r>
          </w:p>
        </w:tc>
        <w:tc>
          <w:tcPr>
            <w:tcW w:w="4800" w:type="dxa"/>
            <w:gridSpan w:val="4"/>
            <w:tcBorders>
              <w:top w:val="single" w:sz="8" w:space="0" w:color="auto"/>
              <w:left w:val="nil"/>
              <w:bottom w:val="nil"/>
              <w:right w:val="single" w:sz="8" w:space="0" w:color="000000"/>
            </w:tcBorders>
            <w:shd w:val="clear" w:color="000000" w:fill="CCCCCC"/>
            <w:vAlign w:val="center"/>
            <w:hideMark/>
          </w:tcPr>
          <w:p w14:paraId="4C4A9AC0" w14:textId="76B6BAE1" w:rsidR="002D7752" w:rsidRPr="00287896" w:rsidRDefault="002D7752" w:rsidP="002D7752">
            <w:pPr>
              <w:jc w:val="center"/>
              <w:rPr>
                <w:rFonts w:ascii="Arial" w:hAnsi="Arial" w:cs="Arial"/>
                <w:b/>
                <w:bCs/>
                <w:color w:val="000000"/>
                <w:sz w:val="16"/>
                <w:szCs w:val="16"/>
              </w:rPr>
            </w:pPr>
            <w:r>
              <w:rPr>
                <w:rFonts w:ascii="Arial" w:hAnsi="Arial" w:cs="Arial"/>
                <w:b/>
                <w:bCs/>
                <w:color w:val="000000"/>
                <w:sz w:val="16"/>
                <w:szCs w:val="16"/>
              </w:rPr>
              <w:t>2024/25</w:t>
            </w:r>
          </w:p>
        </w:tc>
      </w:tr>
      <w:tr w:rsidR="006307C3" w:rsidRPr="00287896" w14:paraId="0D09D782" w14:textId="77777777" w:rsidTr="00307AF0">
        <w:trPr>
          <w:trHeight w:val="300"/>
        </w:trPr>
        <w:tc>
          <w:tcPr>
            <w:tcW w:w="2500" w:type="dxa"/>
            <w:tcBorders>
              <w:top w:val="nil"/>
              <w:left w:val="single" w:sz="8" w:space="0" w:color="auto"/>
              <w:bottom w:val="nil"/>
              <w:right w:val="nil"/>
            </w:tcBorders>
            <w:shd w:val="clear" w:color="000000" w:fill="CCCCCC"/>
            <w:vAlign w:val="center"/>
            <w:hideMark/>
          </w:tcPr>
          <w:p w14:paraId="0571F2EE"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2200" w:type="dxa"/>
            <w:tcBorders>
              <w:top w:val="nil"/>
              <w:left w:val="nil"/>
              <w:bottom w:val="nil"/>
              <w:right w:val="single" w:sz="8" w:space="0" w:color="auto"/>
            </w:tcBorders>
            <w:shd w:val="clear" w:color="000000" w:fill="CCCCCC"/>
            <w:vAlign w:val="center"/>
            <w:hideMark/>
          </w:tcPr>
          <w:p w14:paraId="7F814BD4"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NOTES</w:t>
            </w:r>
          </w:p>
        </w:tc>
        <w:tc>
          <w:tcPr>
            <w:tcW w:w="1440" w:type="dxa"/>
            <w:tcBorders>
              <w:top w:val="nil"/>
              <w:left w:val="single" w:sz="8" w:space="0" w:color="auto"/>
              <w:bottom w:val="nil"/>
              <w:right w:val="nil"/>
            </w:tcBorders>
            <w:shd w:val="clear" w:color="auto" w:fill="FFFFFF" w:themeFill="background1"/>
            <w:vAlign w:val="center"/>
            <w:hideMark/>
          </w:tcPr>
          <w:p w14:paraId="1E470D23" w14:textId="18C74B3E"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1987 scheme</w:t>
            </w:r>
          </w:p>
        </w:tc>
        <w:tc>
          <w:tcPr>
            <w:tcW w:w="1200" w:type="dxa"/>
            <w:tcBorders>
              <w:top w:val="nil"/>
              <w:left w:val="nil"/>
              <w:bottom w:val="nil"/>
              <w:right w:val="nil"/>
            </w:tcBorders>
            <w:vAlign w:val="center"/>
            <w:hideMark/>
          </w:tcPr>
          <w:p w14:paraId="26CFBAC7" w14:textId="0FF18E6B" w:rsidR="002D7752" w:rsidRPr="00287896" w:rsidRDefault="00CA39B2" w:rsidP="002D7752">
            <w:pPr>
              <w:jc w:val="center"/>
              <w:rPr>
                <w:rFonts w:ascii="Arial" w:hAnsi="Arial" w:cs="Arial"/>
                <w:b/>
                <w:bCs/>
                <w:color w:val="000000"/>
                <w:sz w:val="16"/>
                <w:szCs w:val="16"/>
              </w:rPr>
            </w:pPr>
            <w:r>
              <w:rPr>
                <w:rFonts w:ascii="Arial" w:hAnsi="Arial" w:cs="Arial"/>
                <w:b/>
                <w:bCs/>
                <w:color w:val="000000"/>
                <w:sz w:val="16"/>
                <w:szCs w:val="16"/>
              </w:rPr>
              <w:t>2006</w:t>
            </w:r>
            <w:r w:rsidR="002D7752" w:rsidRPr="00287896">
              <w:rPr>
                <w:rFonts w:ascii="Arial" w:hAnsi="Arial" w:cs="Arial"/>
                <w:b/>
                <w:bCs/>
                <w:color w:val="000000"/>
                <w:sz w:val="16"/>
                <w:szCs w:val="16"/>
              </w:rPr>
              <w:t xml:space="preserve"> scheme</w:t>
            </w:r>
          </w:p>
        </w:tc>
        <w:tc>
          <w:tcPr>
            <w:tcW w:w="1260" w:type="dxa"/>
            <w:tcBorders>
              <w:top w:val="nil"/>
              <w:left w:val="nil"/>
              <w:bottom w:val="nil"/>
              <w:right w:val="nil"/>
            </w:tcBorders>
            <w:vAlign w:val="center"/>
            <w:hideMark/>
          </w:tcPr>
          <w:p w14:paraId="0A3D2D94" w14:textId="40F159B1" w:rsidR="002D7752" w:rsidRPr="00287896" w:rsidRDefault="00CA39B2" w:rsidP="002D7752">
            <w:pPr>
              <w:jc w:val="center"/>
              <w:rPr>
                <w:rFonts w:ascii="Arial" w:hAnsi="Arial" w:cs="Arial"/>
                <w:b/>
                <w:bCs/>
                <w:color w:val="000000"/>
                <w:sz w:val="16"/>
                <w:szCs w:val="16"/>
              </w:rPr>
            </w:pPr>
            <w:r>
              <w:rPr>
                <w:rFonts w:ascii="Arial" w:hAnsi="Arial" w:cs="Arial"/>
                <w:b/>
                <w:bCs/>
                <w:color w:val="000000"/>
                <w:sz w:val="16"/>
                <w:szCs w:val="16"/>
              </w:rPr>
              <w:t>2015</w:t>
            </w:r>
            <w:r w:rsidR="002D7752" w:rsidRPr="00287896">
              <w:rPr>
                <w:rFonts w:ascii="Arial" w:hAnsi="Arial" w:cs="Arial"/>
                <w:b/>
                <w:bCs/>
                <w:color w:val="000000"/>
                <w:sz w:val="16"/>
                <w:szCs w:val="16"/>
              </w:rPr>
              <w:t xml:space="preserve"> scheme</w:t>
            </w:r>
          </w:p>
        </w:tc>
        <w:tc>
          <w:tcPr>
            <w:tcW w:w="1260" w:type="dxa"/>
            <w:tcBorders>
              <w:top w:val="nil"/>
              <w:left w:val="nil"/>
              <w:bottom w:val="nil"/>
              <w:right w:val="single" w:sz="8" w:space="0" w:color="auto"/>
            </w:tcBorders>
            <w:shd w:val="clear" w:color="000000" w:fill="FFFFFF"/>
            <w:vAlign w:val="center"/>
            <w:hideMark/>
          </w:tcPr>
          <w:p w14:paraId="680A2C9A"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Total</w:t>
            </w:r>
          </w:p>
        </w:tc>
        <w:tc>
          <w:tcPr>
            <w:tcW w:w="1200" w:type="dxa"/>
            <w:tcBorders>
              <w:top w:val="nil"/>
              <w:left w:val="nil"/>
              <w:bottom w:val="nil"/>
              <w:right w:val="nil"/>
            </w:tcBorders>
            <w:shd w:val="clear" w:color="000000" w:fill="CCCCCC"/>
            <w:vAlign w:val="center"/>
            <w:hideMark/>
          </w:tcPr>
          <w:p w14:paraId="695E05BB"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1987 scheme</w:t>
            </w:r>
          </w:p>
        </w:tc>
        <w:tc>
          <w:tcPr>
            <w:tcW w:w="1200" w:type="dxa"/>
            <w:tcBorders>
              <w:top w:val="nil"/>
              <w:left w:val="nil"/>
              <w:bottom w:val="nil"/>
              <w:right w:val="nil"/>
            </w:tcBorders>
            <w:shd w:val="clear" w:color="000000" w:fill="CCCCCC"/>
            <w:vAlign w:val="center"/>
            <w:hideMark/>
          </w:tcPr>
          <w:p w14:paraId="570EC574"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2006 scheme</w:t>
            </w:r>
          </w:p>
        </w:tc>
        <w:tc>
          <w:tcPr>
            <w:tcW w:w="1200" w:type="dxa"/>
            <w:tcBorders>
              <w:top w:val="nil"/>
              <w:left w:val="nil"/>
              <w:bottom w:val="nil"/>
              <w:right w:val="nil"/>
            </w:tcBorders>
            <w:shd w:val="clear" w:color="000000" w:fill="CCCCCC"/>
            <w:vAlign w:val="center"/>
            <w:hideMark/>
          </w:tcPr>
          <w:p w14:paraId="6CB9C9E8"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2015 scheme</w:t>
            </w:r>
          </w:p>
        </w:tc>
        <w:tc>
          <w:tcPr>
            <w:tcW w:w="1200" w:type="dxa"/>
            <w:tcBorders>
              <w:top w:val="nil"/>
              <w:left w:val="nil"/>
              <w:bottom w:val="nil"/>
              <w:right w:val="single" w:sz="8" w:space="0" w:color="auto"/>
            </w:tcBorders>
            <w:shd w:val="clear" w:color="000000" w:fill="CCCCCC"/>
            <w:vAlign w:val="center"/>
            <w:hideMark/>
          </w:tcPr>
          <w:p w14:paraId="2E83B029"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Total</w:t>
            </w:r>
          </w:p>
        </w:tc>
      </w:tr>
      <w:tr w:rsidR="006307C3" w:rsidRPr="00287896" w14:paraId="49C2241B" w14:textId="77777777" w:rsidTr="00307AF0">
        <w:trPr>
          <w:trHeight w:val="300"/>
        </w:trPr>
        <w:tc>
          <w:tcPr>
            <w:tcW w:w="2500" w:type="dxa"/>
            <w:tcBorders>
              <w:top w:val="nil"/>
              <w:left w:val="single" w:sz="8" w:space="0" w:color="auto"/>
              <w:bottom w:val="nil"/>
              <w:right w:val="nil"/>
            </w:tcBorders>
            <w:shd w:val="clear" w:color="000000" w:fill="CCCCCC"/>
            <w:vAlign w:val="center"/>
            <w:hideMark/>
          </w:tcPr>
          <w:p w14:paraId="4D9D5C0F"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2200" w:type="dxa"/>
            <w:tcBorders>
              <w:top w:val="nil"/>
              <w:left w:val="nil"/>
              <w:bottom w:val="nil"/>
              <w:right w:val="single" w:sz="8" w:space="0" w:color="auto"/>
            </w:tcBorders>
            <w:shd w:val="clear" w:color="000000" w:fill="CCCCCC"/>
            <w:vAlign w:val="center"/>
            <w:hideMark/>
          </w:tcPr>
          <w:p w14:paraId="28E19061" w14:textId="77777777" w:rsidR="002D7752" w:rsidRPr="00287896" w:rsidRDefault="002D7752" w:rsidP="002D7752">
            <w:pPr>
              <w:jc w:val="center"/>
              <w:rPr>
                <w:rFonts w:ascii="Arial" w:hAnsi="Arial" w:cs="Arial"/>
                <w:b/>
                <w:bCs/>
                <w:sz w:val="16"/>
                <w:szCs w:val="16"/>
              </w:rPr>
            </w:pPr>
            <w:r w:rsidRPr="00287896">
              <w:rPr>
                <w:rFonts w:ascii="Arial" w:hAnsi="Arial" w:cs="Arial"/>
                <w:b/>
                <w:bCs/>
                <w:sz w:val="16"/>
                <w:szCs w:val="16"/>
              </w:rPr>
              <w:t> </w:t>
            </w:r>
          </w:p>
        </w:tc>
        <w:tc>
          <w:tcPr>
            <w:tcW w:w="1440" w:type="dxa"/>
            <w:tcBorders>
              <w:top w:val="nil"/>
              <w:left w:val="single" w:sz="8" w:space="0" w:color="auto"/>
              <w:bottom w:val="nil"/>
              <w:right w:val="nil"/>
            </w:tcBorders>
            <w:shd w:val="clear" w:color="auto" w:fill="FFFFFF" w:themeFill="background1"/>
            <w:vAlign w:val="center"/>
            <w:hideMark/>
          </w:tcPr>
          <w:p w14:paraId="706CA669" w14:textId="4312699A"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£,000</w:t>
            </w:r>
          </w:p>
        </w:tc>
        <w:tc>
          <w:tcPr>
            <w:tcW w:w="1200" w:type="dxa"/>
            <w:tcBorders>
              <w:top w:val="nil"/>
              <w:left w:val="nil"/>
              <w:bottom w:val="nil"/>
              <w:right w:val="nil"/>
            </w:tcBorders>
            <w:vAlign w:val="center"/>
            <w:hideMark/>
          </w:tcPr>
          <w:p w14:paraId="13390DCC" w14:textId="5D4AF774"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£,000</w:t>
            </w:r>
          </w:p>
        </w:tc>
        <w:tc>
          <w:tcPr>
            <w:tcW w:w="1260" w:type="dxa"/>
            <w:tcBorders>
              <w:top w:val="nil"/>
              <w:left w:val="nil"/>
              <w:bottom w:val="nil"/>
              <w:right w:val="nil"/>
            </w:tcBorders>
            <w:vAlign w:val="center"/>
            <w:hideMark/>
          </w:tcPr>
          <w:p w14:paraId="0ED30422" w14:textId="6C2FB673"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£,000</w:t>
            </w:r>
          </w:p>
        </w:tc>
        <w:tc>
          <w:tcPr>
            <w:tcW w:w="1260" w:type="dxa"/>
            <w:tcBorders>
              <w:top w:val="nil"/>
              <w:left w:val="nil"/>
              <w:bottom w:val="nil"/>
              <w:right w:val="single" w:sz="8" w:space="0" w:color="auto"/>
            </w:tcBorders>
            <w:shd w:val="clear" w:color="000000" w:fill="FFFFFF"/>
            <w:vAlign w:val="center"/>
            <w:hideMark/>
          </w:tcPr>
          <w:p w14:paraId="50524898"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£,000</w:t>
            </w:r>
          </w:p>
        </w:tc>
        <w:tc>
          <w:tcPr>
            <w:tcW w:w="1200" w:type="dxa"/>
            <w:tcBorders>
              <w:top w:val="nil"/>
              <w:left w:val="nil"/>
              <w:bottom w:val="nil"/>
              <w:right w:val="nil"/>
            </w:tcBorders>
            <w:shd w:val="clear" w:color="000000" w:fill="CCCCCC"/>
            <w:vAlign w:val="center"/>
            <w:hideMark/>
          </w:tcPr>
          <w:p w14:paraId="7FB7CA8E"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£,000</w:t>
            </w:r>
          </w:p>
        </w:tc>
        <w:tc>
          <w:tcPr>
            <w:tcW w:w="1200" w:type="dxa"/>
            <w:tcBorders>
              <w:top w:val="nil"/>
              <w:left w:val="nil"/>
              <w:bottom w:val="nil"/>
              <w:right w:val="nil"/>
            </w:tcBorders>
            <w:shd w:val="clear" w:color="000000" w:fill="CCCCCC"/>
            <w:vAlign w:val="center"/>
            <w:hideMark/>
          </w:tcPr>
          <w:p w14:paraId="48E29389"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£,000</w:t>
            </w:r>
          </w:p>
        </w:tc>
        <w:tc>
          <w:tcPr>
            <w:tcW w:w="1200" w:type="dxa"/>
            <w:tcBorders>
              <w:top w:val="nil"/>
              <w:left w:val="nil"/>
              <w:bottom w:val="nil"/>
              <w:right w:val="nil"/>
            </w:tcBorders>
            <w:shd w:val="clear" w:color="000000" w:fill="CCCCCC"/>
            <w:vAlign w:val="center"/>
            <w:hideMark/>
          </w:tcPr>
          <w:p w14:paraId="3742C29D"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£,000</w:t>
            </w:r>
          </w:p>
        </w:tc>
        <w:tc>
          <w:tcPr>
            <w:tcW w:w="1200" w:type="dxa"/>
            <w:tcBorders>
              <w:top w:val="nil"/>
              <w:left w:val="nil"/>
              <w:bottom w:val="nil"/>
              <w:right w:val="single" w:sz="8" w:space="0" w:color="auto"/>
            </w:tcBorders>
            <w:shd w:val="clear" w:color="000000" w:fill="CCCCCC"/>
            <w:vAlign w:val="center"/>
            <w:hideMark/>
          </w:tcPr>
          <w:p w14:paraId="1730E4B1" w14:textId="77777777" w:rsidR="002D7752" w:rsidRPr="00287896" w:rsidRDefault="002D7752" w:rsidP="002D7752">
            <w:pPr>
              <w:jc w:val="center"/>
              <w:rPr>
                <w:rFonts w:ascii="Arial" w:hAnsi="Arial" w:cs="Arial"/>
                <w:b/>
                <w:bCs/>
                <w:color w:val="000000"/>
                <w:sz w:val="16"/>
                <w:szCs w:val="16"/>
              </w:rPr>
            </w:pPr>
            <w:r w:rsidRPr="00287896">
              <w:rPr>
                <w:rFonts w:ascii="Arial" w:hAnsi="Arial" w:cs="Arial"/>
                <w:b/>
                <w:bCs/>
                <w:color w:val="000000"/>
                <w:sz w:val="16"/>
                <w:szCs w:val="16"/>
              </w:rPr>
              <w:t>£,000</w:t>
            </w:r>
          </w:p>
        </w:tc>
      </w:tr>
      <w:tr w:rsidR="006307C3" w:rsidRPr="00287896" w14:paraId="553FB88C" w14:textId="77777777" w:rsidTr="00307AF0">
        <w:trPr>
          <w:trHeight w:val="240"/>
        </w:trPr>
        <w:tc>
          <w:tcPr>
            <w:tcW w:w="2500" w:type="dxa"/>
            <w:tcBorders>
              <w:top w:val="nil"/>
              <w:left w:val="single" w:sz="8" w:space="0" w:color="auto"/>
              <w:bottom w:val="nil"/>
              <w:right w:val="nil"/>
            </w:tcBorders>
            <w:shd w:val="clear" w:color="000000" w:fill="CCCCCC"/>
            <w:vAlign w:val="center"/>
            <w:hideMark/>
          </w:tcPr>
          <w:p w14:paraId="37EFF66D" w14:textId="77777777" w:rsidR="002D7752" w:rsidRPr="00287896" w:rsidRDefault="002D7752" w:rsidP="002D7752">
            <w:pPr>
              <w:rPr>
                <w:rFonts w:ascii="Arial" w:hAnsi="Arial" w:cs="Arial"/>
                <w:b/>
                <w:bCs/>
                <w:color w:val="000000"/>
                <w:sz w:val="16"/>
                <w:szCs w:val="16"/>
              </w:rPr>
            </w:pPr>
            <w:r w:rsidRPr="00287896">
              <w:rPr>
                <w:rFonts w:ascii="Arial" w:hAnsi="Arial" w:cs="Arial"/>
                <w:b/>
                <w:bCs/>
                <w:color w:val="000000"/>
                <w:sz w:val="16"/>
                <w:szCs w:val="16"/>
              </w:rPr>
              <w:t>Contributions receivable</w:t>
            </w:r>
          </w:p>
        </w:tc>
        <w:tc>
          <w:tcPr>
            <w:tcW w:w="2200" w:type="dxa"/>
            <w:tcBorders>
              <w:top w:val="nil"/>
              <w:left w:val="nil"/>
              <w:bottom w:val="nil"/>
              <w:right w:val="single" w:sz="8" w:space="0" w:color="auto"/>
            </w:tcBorders>
            <w:shd w:val="clear" w:color="000000" w:fill="CCCCCC"/>
            <w:vAlign w:val="center"/>
            <w:hideMark/>
          </w:tcPr>
          <w:p w14:paraId="0BCD8C8B"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1440" w:type="dxa"/>
            <w:tcBorders>
              <w:top w:val="nil"/>
              <w:left w:val="single" w:sz="8" w:space="0" w:color="auto"/>
              <w:bottom w:val="nil"/>
              <w:right w:val="nil"/>
            </w:tcBorders>
            <w:shd w:val="clear" w:color="auto" w:fill="FFFFFF" w:themeFill="background1"/>
            <w:vAlign w:val="center"/>
            <w:hideMark/>
          </w:tcPr>
          <w:p w14:paraId="679554E9" w14:textId="6345C75D"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1200" w:type="dxa"/>
            <w:tcBorders>
              <w:top w:val="nil"/>
              <w:left w:val="nil"/>
              <w:bottom w:val="nil"/>
              <w:right w:val="nil"/>
            </w:tcBorders>
            <w:vAlign w:val="center"/>
            <w:hideMark/>
          </w:tcPr>
          <w:p w14:paraId="66E7531F" w14:textId="56CD02D3"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1260" w:type="dxa"/>
            <w:tcBorders>
              <w:top w:val="nil"/>
              <w:left w:val="nil"/>
              <w:bottom w:val="nil"/>
              <w:right w:val="nil"/>
            </w:tcBorders>
            <w:vAlign w:val="center"/>
            <w:hideMark/>
          </w:tcPr>
          <w:p w14:paraId="536CBC5B" w14:textId="653CD584"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1260" w:type="dxa"/>
            <w:tcBorders>
              <w:top w:val="nil"/>
              <w:left w:val="nil"/>
              <w:bottom w:val="nil"/>
              <w:right w:val="single" w:sz="8" w:space="0" w:color="auto"/>
            </w:tcBorders>
            <w:shd w:val="clear" w:color="000000" w:fill="FFFFFF"/>
            <w:vAlign w:val="center"/>
            <w:hideMark/>
          </w:tcPr>
          <w:p w14:paraId="0D82BEB6"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1200" w:type="dxa"/>
            <w:tcBorders>
              <w:top w:val="nil"/>
              <w:left w:val="nil"/>
              <w:bottom w:val="nil"/>
              <w:right w:val="nil"/>
            </w:tcBorders>
            <w:shd w:val="clear" w:color="000000" w:fill="CCCCCC"/>
            <w:vAlign w:val="center"/>
            <w:hideMark/>
          </w:tcPr>
          <w:p w14:paraId="6BDB02D0"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1200" w:type="dxa"/>
            <w:tcBorders>
              <w:top w:val="nil"/>
              <w:left w:val="nil"/>
              <w:bottom w:val="nil"/>
              <w:right w:val="nil"/>
            </w:tcBorders>
            <w:shd w:val="clear" w:color="000000" w:fill="CCCCCC"/>
            <w:vAlign w:val="center"/>
            <w:hideMark/>
          </w:tcPr>
          <w:p w14:paraId="4C07D654"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1200" w:type="dxa"/>
            <w:tcBorders>
              <w:top w:val="nil"/>
              <w:left w:val="nil"/>
              <w:bottom w:val="nil"/>
              <w:right w:val="nil"/>
            </w:tcBorders>
            <w:shd w:val="clear" w:color="000000" w:fill="CCCCCC"/>
            <w:vAlign w:val="center"/>
            <w:hideMark/>
          </w:tcPr>
          <w:p w14:paraId="63B63C97"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c>
          <w:tcPr>
            <w:tcW w:w="1200" w:type="dxa"/>
            <w:tcBorders>
              <w:top w:val="nil"/>
              <w:left w:val="nil"/>
              <w:bottom w:val="nil"/>
              <w:right w:val="single" w:sz="8" w:space="0" w:color="auto"/>
            </w:tcBorders>
            <w:shd w:val="clear" w:color="000000" w:fill="CCCCCC"/>
            <w:vAlign w:val="center"/>
            <w:hideMark/>
          </w:tcPr>
          <w:p w14:paraId="613F5228" w14:textId="77777777" w:rsidR="002D7752" w:rsidRPr="00287896" w:rsidRDefault="002D7752" w:rsidP="002D7752">
            <w:pPr>
              <w:rPr>
                <w:rFonts w:ascii="Arial" w:hAnsi="Arial" w:cs="Arial"/>
                <w:b/>
                <w:bCs/>
                <w:sz w:val="16"/>
                <w:szCs w:val="16"/>
              </w:rPr>
            </w:pPr>
            <w:r w:rsidRPr="00287896">
              <w:rPr>
                <w:rFonts w:ascii="Arial" w:hAnsi="Arial" w:cs="Arial"/>
                <w:b/>
                <w:bCs/>
                <w:sz w:val="16"/>
                <w:szCs w:val="16"/>
              </w:rPr>
              <w:t> </w:t>
            </w:r>
          </w:p>
        </w:tc>
      </w:tr>
      <w:tr w:rsidR="00307AF0" w:rsidRPr="00287896" w14:paraId="30D26E12" w14:textId="77777777">
        <w:trPr>
          <w:trHeight w:val="300"/>
        </w:trPr>
        <w:tc>
          <w:tcPr>
            <w:tcW w:w="2500" w:type="dxa"/>
            <w:tcBorders>
              <w:top w:val="nil"/>
              <w:left w:val="single" w:sz="8" w:space="0" w:color="auto"/>
              <w:bottom w:val="nil"/>
              <w:right w:val="nil"/>
            </w:tcBorders>
            <w:shd w:val="clear" w:color="000000" w:fill="CCCCCC"/>
            <w:vAlign w:val="center"/>
            <w:hideMark/>
          </w:tcPr>
          <w:p w14:paraId="0897C1E8"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Employer contributions</w:t>
            </w:r>
          </w:p>
        </w:tc>
        <w:tc>
          <w:tcPr>
            <w:tcW w:w="2200" w:type="dxa"/>
            <w:tcBorders>
              <w:top w:val="nil"/>
              <w:left w:val="nil"/>
              <w:bottom w:val="nil"/>
              <w:right w:val="nil"/>
            </w:tcBorders>
            <w:shd w:val="clear" w:color="000000" w:fill="CCCCCC"/>
            <w:vAlign w:val="center"/>
            <w:hideMark/>
          </w:tcPr>
          <w:p w14:paraId="40F69C1A" w14:textId="77777777" w:rsidR="00307AF0" w:rsidRPr="00287896" w:rsidRDefault="00307AF0" w:rsidP="00307AF0">
            <w:pPr>
              <w:jc w:val="center"/>
              <w:rPr>
                <w:rFonts w:ascii="Arial" w:hAnsi="Arial" w:cs="Arial"/>
                <w:color w:val="000000"/>
                <w:sz w:val="16"/>
                <w:szCs w:val="16"/>
              </w:rPr>
            </w:pPr>
            <w:r w:rsidRPr="00287896">
              <w:rPr>
                <w:rFonts w:ascii="Arial" w:hAnsi="Arial" w:cs="Arial"/>
                <w:color w:val="000000"/>
                <w:sz w:val="16"/>
                <w:szCs w:val="16"/>
              </w:rPr>
              <w:t>3</w:t>
            </w:r>
          </w:p>
        </w:tc>
        <w:tc>
          <w:tcPr>
            <w:tcW w:w="1440" w:type="dxa"/>
            <w:tcBorders>
              <w:top w:val="nil"/>
              <w:left w:val="single" w:sz="8" w:space="0" w:color="auto"/>
              <w:bottom w:val="nil"/>
              <w:right w:val="nil"/>
            </w:tcBorders>
            <w:shd w:val="clear" w:color="000000" w:fill="FFFFFF"/>
            <w:vAlign w:val="center"/>
            <w:hideMark/>
          </w:tcPr>
          <w:p w14:paraId="4FCF5B79" w14:textId="4819C939"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FFFFFF"/>
            <w:vAlign w:val="center"/>
            <w:hideMark/>
          </w:tcPr>
          <w:p w14:paraId="60F51C7A" w14:textId="3D8AD8B3"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60" w:type="dxa"/>
            <w:tcBorders>
              <w:top w:val="nil"/>
              <w:left w:val="nil"/>
              <w:bottom w:val="nil"/>
              <w:right w:val="nil"/>
            </w:tcBorders>
            <w:shd w:val="clear" w:color="000000" w:fill="FFFFFF"/>
            <w:vAlign w:val="center"/>
            <w:hideMark/>
          </w:tcPr>
          <w:p w14:paraId="36526743" w14:textId="59B1D244" w:rsidR="00307AF0" w:rsidRPr="00287896" w:rsidRDefault="00307AF0" w:rsidP="00307AF0">
            <w:pPr>
              <w:jc w:val="right"/>
              <w:rPr>
                <w:rFonts w:ascii="Arial" w:hAnsi="Arial" w:cs="Arial"/>
                <w:sz w:val="16"/>
                <w:szCs w:val="16"/>
              </w:rPr>
            </w:pPr>
            <w:r>
              <w:rPr>
                <w:rFonts w:ascii="Arial" w:hAnsi="Arial" w:cs="Arial"/>
                <w:sz w:val="16"/>
                <w:szCs w:val="16"/>
              </w:rPr>
              <w:t>(43,486)</w:t>
            </w:r>
          </w:p>
        </w:tc>
        <w:tc>
          <w:tcPr>
            <w:tcW w:w="1260" w:type="dxa"/>
            <w:tcBorders>
              <w:top w:val="nil"/>
              <w:left w:val="nil"/>
              <w:bottom w:val="nil"/>
              <w:right w:val="single" w:sz="8" w:space="0" w:color="auto"/>
            </w:tcBorders>
            <w:shd w:val="clear" w:color="000000" w:fill="FFFFFF"/>
            <w:vAlign w:val="center"/>
            <w:hideMark/>
          </w:tcPr>
          <w:p w14:paraId="1250413F" w14:textId="40AFA9A7" w:rsidR="00307AF0" w:rsidRPr="00287896" w:rsidRDefault="00307AF0" w:rsidP="00307AF0">
            <w:pPr>
              <w:jc w:val="right"/>
              <w:rPr>
                <w:rFonts w:ascii="Arial" w:hAnsi="Arial" w:cs="Arial"/>
                <w:b/>
                <w:bCs/>
                <w:sz w:val="16"/>
                <w:szCs w:val="16"/>
              </w:rPr>
            </w:pPr>
            <w:r>
              <w:rPr>
                <w:rFonts w:ascii="Arial" w:hAnsi="Arial" w:cs="Arial"/>
                <w:b/>
                <w:bCs/>
                <w:sz w:val="16"/>
                <w:szCs w:val="16"/>
              </w:rPr>
              <w:t>(43,486)</w:t>
            </w:r>
          </w:p>
        </w:tc>
        <w:tc>
          <w:tcPr>
            <w:tcW w:w="1200" w:type="dxa"/>
            <w:tcBorders>
              <w:top w:val="nil"/>
              <w:left w:val="nil"/>
              <w:bottom w:val="nil"/>
              <w:right w:val="nil"/>
            </w:tcBorders>
            <w:shd w:val="clear" w:color="000000" w:fill="CCCCCC"/>
            <w:vAlign w:val="center"/>
            <w:hideMark/>
          </w:tcPr>
          <w:p w14:paraId="2BE3C170" w14:textId="2549BB21"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CCCCCC"/>
            <w:vAlign w:val="center"/>
            <w:hideMark/>
          </w:tcPr>
          <w:p w14:paraId="5B80BE54" w14:textId="4B7F5950"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CCCCCC"/>
            <w:vAlign w:val="center"/>
            <w:hideMark/>
          </w:tcPr>
          <w:p w14:paraId="751271C8" w14:textId="57D8B580" w:rsidR="00307AF0" w:rsidRPr="00287896" w:rsidRDefault="00307AF0" w:rsidP="00307AF0">
            <w:pPr>
              <w:jc w:val="right"/>
              <w:rPr>
                <w:rFonts w:ascii="Arial" w:hAnsi="Arial" w:cs="Arial"/>
                <w:sz w:val="16"/>
                <w:szCs w:val="16"/>
              </w:rPr>
            </w:pPr>
            <w:r>
              <w:rPr>
                <w:rFonts w:ascii="Arial" w:hAnsi="Arial" w:cs="Arial"/>
                <w:sz w:val="16"/>
                <w:szCs w:val="16"/>
              </w:rPr>
              <w:t>(51,982)</w:t>
            </w:r>
          </w:p>
        </w:tc>
        <w:tc>
          <w:tcPr>
            <w:tcW w:w="1200" w:type="dxa"/>
            <w:tcBorders>
              <w:top w:val="nil"/>
              <w:left w:val="nil"/>
              <w:bottom w:val="nil"/>
              <w:right w:val="single" w:sz="8" w:space="0" w:color="auto"/>
            </w:tcBorders>
            <w:shd w:val="clear" w:color="000000" w:fill="CCCCCC"/>
            <w:vAlign w:val="center"/>
            <w:hideMark/>
          </w:tcPr>
          <w:p w14:paraId="5FA3FA9E" w14:textId="398E5673" w:rsidR="00307AF0" w:rsidRPr="00287896" w:rsidRDefault="00307AF0" w:rsidP="00307AF0">
            <w:pPr>
              <w:jc w:val="right"/>
              <w:rPr>
                <w:rFonts w:ascii="Arial" w:hAnsi="Arial" w:cs="Arial"/>
                <w:b/>
                <w:bCs/>
                <w:sz w:val="16"/>
                <w:szCs w:val="16"/>
              </w:rPr>
            </w:pPr>
            <w:r>
              <w:rPr>
                <w:rFonts w:ascii="Arial" w:hAnsi="Arial" w:cs="Arial"/>
                <w:b/>
                <w:bCs/>
                <w:sz w:val="16"/>
                <w:szCs w:val="16"/>
              </w:rPr>
              <w:t>(51,982)</w:t>
            </w:r>
          </w:p>
        </w:tc>
      </w:tr>
      <w:tr w:rsidR="00307AF0" w:rsidRPr="00287896" w14:paraId="4E129837" w14:textId="77777777" w:rsidTr="00307AF0">
        <w:trPr>
          <w:trHeight w:val="315"/>
        </w:trPr>
        <w:tc>
          <w:tcPr>
            <w:tcW w:w="2500" w:type="dxa"/>
            <w:tcBorders>
              <w:top w:val="nil"/>
              <w:left w:val="single" w:sz="8" w:space="0" w:color="auto"/>
              <w:bottom w:val="nil"/>
              <w:right w:val="nil"/>
            </w:tcBorders>
            <w:shd w:val="clear" w:color="000000" w:fill="CCCCCC"/>
            <w:vAlign w:val="center"/>
            <w:hideMark/>
          </w:tcPr>
          <w:p w14:paraId="13D566E2"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 xml:space="preserve"> </w:t>
            </w:r>
            <w:r w:rsidRPr="00287896">
              <w:rPr>
                <w:rFonts w:ascii="Arial" w:hAnsi="Arial" w:cs="Arial"/>
                <w:color w:val="000000"/>
                <w:sz w:val="16"/>
                <w:szCs w:val="16"/>
              </w:rPr>
              <w:t>Early Retirements</w:t>
            </w:r>
          </w:p>
        </w:tc>
        <w:tc>
          <w:tcPr>
            <w:tcW w:w="2200" w:type="dxa"/>
            <w:tcBorders>
              <w:top w:val="nil"/>
              <w:left w:val="nil"/>
              <w:bottom w:val="nil"/>
              <w:right w:val="nil"/>
            </w:tcBorders>
            <w:shd w:val="clear" w:color="000000" w:fill="CCCCCC"/>
            <w:vAlign w:val="center"/>
            <w:hideMark/>
          </w:tcPr>
          <w:p w14:paraId="7CD8A45F" w14:textId="77777777" w:rsidR="00307AF0" w:rsidRPr="00287896" w:rsidRDefault="00307AF0" w:rsidP="00307AF0">
            <w:pPr>
              <w:jc w:val="right"/>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single" w:sz="8" w:space="0" w:color="auto"/>
              <w:right w:val="nil"/>
            </w:tcBorders>
            <w:shd w:val="clear" w:color="000000" w:fill="FFFFFF"/>
            <w:vAlign w:val="center"/>
            <w:hideMark/>
          </w:tcPr>
          <w:p w14:paraId="1E26BA2A" w14:textId="5B6CF1B5" w:rsidR="00307AF0" w:rsidRPr="00287896" w:rsidRDefault="00307AF0" w:rsidP="00307AF0">
            <w:pPr>
              <w:jc w:val="right"/>
              <w:rPr>
                <w:rFonts w:ascii="Arial" w:hAnsi="Arial" w:cs="Arial"/>
                <w:sz w:val="16"/>
                <w:szCs w:val="16"/>
              </w:rPr>
            </w:pPr>
            <w:r>
              <w:rPr>
                <w:rFonts w:ascii="Arial" w:hAnsi="Arial" w:cs="Arial"/>
                <w:sz w:val="16"/>
                <w:szCs w:val="16"/>
              </w:rPr>
              <w:t>(759)</w:t>
            </w:r>
          </w:p>
        </w:tc>
        <w:tc>
          <w:tcPr>
            <w:tcW w:w="1200" w:type="dxa"/>
            <w:tcBorders>
              <w:top w:val="nil"/>
              <w:left w:val="nil"/>
              <w:bottom w:val="single" w:sz="8" w:space="0" w:color="auto"/>
              <w:right w:val="nil"/>
            </w:tcBorders>
            <w:shd w:val="clear" w:color="000000" w:fill="FFFFFF"/>
            <w:vAlign w:val="center"/>
            <w:hideMark/>
          </w:tcPr>
          <w:p w14:paraId="4EC0953B" w14:textId="70DB1B6F" w:rsidR="00307AF0" w:rsidRPr="00287896" w:rsidRDefault="00307AF0" w:rsidP="00307AF0">
            <w:pPr>
              <w:jc w:val="right"/>
              <w:rPr>
                <w:rFonts w:ascii="Arial" w:hAnsi="Arial" w:cs="Arial"/>
                <w:sz w:val="16"/>
                <w:szCs w:val="16"/>
              </w:rPr>
            </w:pPr>
            <w:r>
              <w:rPr>
                <w:rFonts w:ascii="Arial" w:hAnsi="Arial" w:cs="Arial"/>
                <w:sz w:val="16"/>
                <w:szCs w:val="16"/>
              </w:rPr>
              <w:t>(322)</w:t>
            </w:r>
          </w:p>
        </w:tc>
        <w:tc>
          <w:tcPr>
            <w:tcW w:w="1260" w:type="dxa"/>
            <w:tcBorders>
              <w:top w:val="nil"/>
              <w:left w:val="nil"/>
              <w:bottom w:val="single" w:sz="8" w:space="0" w:color="auto"/>
              <w:right w:val="nil"/>
            </w:tcBorders>
            <w:shd w:val="clear" w:color="000000" w:fill="FFFFFF"/>
            <w:vAlign w:val="center"/>
            <w:hideMark/>
          </w:tcPr>
          <w:p w14:paraId="4D29C635" w14:textId="5E52A083" w:rsidR="00307AF0" w:rsidRPr="00287896" w:rsidRDefault="00307AF0" w:rsidP="00307AF0">
            <w:pPr>
              <w:jc w:val="right"/>
              <w:rPr>
                <w:rFonts w:ascii="Arial" w:hAnsi="Arial" w:cs="Arial"/>
                <w:sz w:val="16"/>
                <w:szCs w:val="16"/>
              </w:rPr>
            </w:pPr>
            <w:r>
              <w:rPr>
                <w:rFonts w:ascii="Arial" w:hAnsi="Arial" w:cs="Arial"/>
                <w:sz w:val="16"/>
                <w:szCs w:val="16"/>
              </w:rPr>
              <w:t>(309)</w:t>
            </w:r>
          </w:p>
        </w:tc>
        <w:tc>
          <w:tcPr>
            <w:tcW w:w="1260" w:type="dxa"/>
            <w:tcBorders>
              <w:top w:val="nil"/>
              <w:left w:val="nil"/>
              <w:bottom w:val="nil"/>
              <w:right w:val="single" w:sz="8" w:space="0" w:color="auto"/>
            </w:tcBorders>
            <w:shd w:val="clear" w:color="000000" w:fill="FFFFFF"/>
            <w:vAlign w:val="center"/>
            <w:hideMark/>
          </w:tcPr>
          <w:p w14:paraId="56A5CDEC" w14:textId="3B840A96" w:rsidR="00307AF0" w:rsidRPr="00287896" w:rsidRDefault="00307AF0" w:rsidP="00307AF0">
            <w:pPr>
              <w:jc w:val="right"/>
              <w:rPr>
                <w:rFonts w:ascii="Arial" w:hAnsi="Arial" w:cs="Arial"/>
                <w:b/>
                <w:bCs/>
                <w:sz w:val="16"/>
                <w:szCs w:val="16"/>
              </w:rPr>
            </w:pPr>
            <w:r>
              <w:rPr>
                <w:rFonts w:ascii="Arial" w:hAnsi="Arial" w:cs="Arial"/>
                <w:b/>
                <w:bCs/>
                <w:sz w:val="16"/>
                <w:szCs w:val="16"/>
              </w:rPr>
              <w:t>(1,390)</w:t>
            </w:r>
          </w:p>
        </w:tc>
        <w:tc>
          <w:tcPr>
            <w:tcW w:w="1200" w:type="dxa"/>
            <w:tcBorders>
              <w:top w:val="nil"/>
              <w:left w:val="nil"/>
              <w:bottom w:val="single" w:sz="8" w:space="0" w:color="auto"/>
              <w:right w:val="nil"/>
            </w:tcBorders>
            <w:shd w:val="clear" w:color="000000" w:fill="CCCCCC"/>
            <w:vAlign w:val="center"/>
            <w:hideMark/>
          </w:tcPr>
          <w:p w14:paraId="31D9BB70" w14:textId="5E197338" w:rsidR="00307AF0" w:rsidRPr="00287896" w:rsidRDefault="00307AF0" w:rsidP="00307AF0">
            <w:pPr>
              <w:jc w:val="right"/>
              <w:rPr>
                <w:rFonts w:ascii="Arial" w:hAnsi="Arial" w:cs="Arial"/>
                <w:sz w:val="16"/>
                <w:szCs w:val="16"/>
              </w:rPr>
            </w:pPr>
            <w:r>
              <w:rPr>
                <w:rFonts w:ascii="Arial" w:hAnsi="Arial" w:cs="Arial"/>
                <w:sz w:val="16"/>
                <w:szCs w:val="16"/>
              </w:rPr>
              <w:t>(629)</w:t>
            </w:r>
          </w:p>
        </w:tc>
        <w:tc>
          <w:tcPr>
            <w:tcW w:w="1200" w:type="dxa"/>
            <w:tcBorders>
              <w:top w:val="nil"/>
              <w:left w:val="nil"/>
              <w:bottom w:val="nil"/>
              <w:right w:val="nil"/>
            </w:tcBorders>
            <w:shd w:val="clear" w:color="000000" w:fill="CCCCCC"/>
            <w:vAlign w:val="center"/>
            <w:hideMark/>
          </w:tcPr>
          <w:p w14:paraId="08F89653" w14:textId="127FC6A3" w:rsidR="00307AF0" w:rsidRPr="00287896" w:rsidRDefault="00307AF0" w:rsidP="00307AF0">
            <w:pPr>
              <w:jc w:val="right"/>
              <w:rPr>
                <w:rFonts w:ascii="Arial" w:hAnsi="Arial" w:cs="Arial"/>
                <w:sz w:val="16"/>
                <w:szCs w:val="16"/>
              </w:rPr>
            </w:pPr>
            <w:r>
              <w:rPr>
                <w:rFonts w:ascii="Arial" w:hAnsi="Arial" w:cs="Arial"/>
                <w:sz w:val="16"/>
                <w:szCs w:val="16"/>
              </w:rPr>
              <w:t>(268)</w:t>
            </w:r>
          </w:p>
        </w:tc>
        <w:tc>
          <w:tcPr>
            <w:tcW w:w="1200" w:type="dxa"/>
            <w:tcBorders>
              <w:top w:val="nil"/>
              <w:left w:val="nil"/>
              <w:bottom w:val="nil"/>
              <w:right w:val="nil"/>
            </w:tcBorders>
            <w:shd w:val="clear" w:color="000000" w:fill="CCCCCC"/>
            <w:vAlign w:val="center"/>
            <w:hideMark/>
          </w:tcPr>
          <w:p w14:paraId="43ABB170" w14:textId="105A48AC" w:rsidR="00307AF0" w:rsidRPr="00287896" w:rsidRDefault="00307AF0" w:rsidP="00307AF0">
            <w:pPr>
              <w:jc w:val="right"/>
              <w:rPr>
                <w:rFonts w:ascii="Arial" w:hAnsi="Arial" w:cs="Arial"/>
                <w:sz w:val="16"/>
                <w:szCs w:val="16"/>
              </w:rPr>
            </w:pPr>
            <w:r>
              <w:rPr>
                <w:rFonts w:ascii="Arial" w:hAnsi="Arial" w:cs="Arial"/>
                <w:sz w:val="16"/>
                <w:szCs w:val="16"/>
              </w:rPr>
              <w:t>(434)</w:t>
            </w:r>
          </w:p>
        </w:tc>
        <w:tc>
          <w:tcPr>
            <w:tcW w:w="1200" w:type="dxa"/>
            <w:tcBorders>
              <w:top w:val="nil"/>
              <w:left w:val="nil"/>
              <w:bottom w:val="nil"/>
              <w:right w:val="single" w:sz="8" w:space="0" w:color="auto"/>
            </w:tcBorders>
            <w:shd w:val="clear" w:color="000000" w:fill="CCCCCC"/>
            <w:vAlign w:val="center"/>
            <w:hideMark/>
          </w:tcPr>
          <w:p w14:paraId="2CC2F3E0" w14:textId="6787A55E" w:rsidR="00307AF0" w:rsidRPr="00287896" w:rsidRDefault="00307AF0" w:rsidP="00307AF0">
            <w:pPr>
              <w:jc w:val="right"/>
              <w:rPr>
                <w:rFonts w:ascii="Arial" w:hAnsi="Arial" w:cs="Arial"/>
                <w:b/>
                <w:bCs/>
                <w:sz w:val="16"/>
                <w:szCs w:val="16"/>
              </w:rPr>
            </w:pPr>
            <w:r>
              <w:rPr>
                <w:rFonts w:ascii="Arial" w:hAnsi="Arial" w:cs="Arial"/>
                <w:b/>
                <w:bCs/>
                <w:sz w:val="16"/>
                <w:szCs w:val="16"/>
              </w:rPr>
              <w:t>(1,330)</w:t>
            </w:r>
          </w:p>
        </w:tc>
      </w:tr>
      <w:tr w:rsidR="00307AF0" w:rsidRPr="00287896" w14:paraId="47111BE7" w14:textId="77777777" w:rsidTr="00307AF0">
        <w:trPr>
          <w:trHeight w:val="300"/>
        </w:trPr>
        <w:tc>
          <w:tcPr>
            <w:tcW w:w="2500" w:type="dxa"/>
            <w:tcBorders>
              <w:top w:val="nil"/>
              <w:left w:val="single" w:sz="8" w:space="0" w:color="auto"/>
              <w:bottom w:val="nil"/>
              <w:right w:val="nil"/>
            </w:tcBorders>
            <w:shd w:val="clear" w:color="000000" w:fill="CCCCCC"/>
            <w:vAlign w:val="center"/>
            <w:hideMark/>
          </w:tcPr>
          <w:p w14:paraId="3A664687" w14:textId="77777777" w:rsidR="00307AF0" w:rsidRPr="00287896" w:rsidRDefault="00307AF0" w:rsidP="00307AF0">
            <w:pPr>
              <w:rPr>
                <w:rFonts w:ascii="Arial" w:hAnsi="Arial" w:cs="Arial"/>
                <w:b/>
                <w:bCs/>
                <w:sz w:val="16"/>
                <w:szCs w:val="16"/>
              </w:rPr>
            </w:pPr>
            <w:r w:rsidRPr="00287896">
              <w:rPr>
                <w:rFonts w:ascii="Arial" w:hAnsi="Arial" w:cs="Arial"/>
                <w:b/>
                <w:bCs/>
                <w:sz w:val="16"/>
                <w:szCs w:val="16"/>
              </w:rPr>
              <w:t> </w:t>
            </w:r>
          </w:p>
        </w:tc>
        <w:tc>
          <w:tcPr>
            <w:tcW w:w="2200" w:type="dxa"/>
            <w:tcBorders>
              <w:top w:val="nil"/>
              <w:left w:val="nil"/>
              <w:bottom w:val="nil"/>
              <w:right w:val="nil"/>
            </w:tcBorders>
            <w:shd w:val="clear" w:color="000000" w:fill="CCCCCC"/>
            <w:vAlign w:val="center"/>
            <w:hideMark/>
          </w:tcPr>
          <w:p w14:paraId="00AC8D00" w14:textId="77777777" w:rsidR="00307AF0" w:rsidRPr="00287896" w:rsidRDefault="00307AF0" w:rsidP="00307AF0">
            <w:pPr>
              <w:jc w:val="right"/>
              <w:rPr>
                <w:rFonts w:ascii="Arial" w:hAnsi="Arial" w:cs="Arial"/>
                <w:b/>
                <w:bCs/>
                <w:sz w:val="16"/>
                <w:szCs w:val="16"/>
              </w:rPr>
            </w:pPr>
            <w:r w:rsidRPr="00287896">
              <w:rPr>
                <w:rFonts w:ascii="Arial" w:hAnsi="Arial" w:cs="Arial"/>
                <w:b/>
                <w:bCs/>
                <w:sz w:val="16"/>
                <w:szCs w:val="16"/>
              </w:rPr>
              <w:t> </w:t>
            </w:r>
          </w:p>
        </w:tc>
        <w:tc>
          <w:tcPr>
            <w:tcW w:w="1440" w:type="dxa"/>
            <w:tcBorders>
              <w:top w:val="nil"/>
              <w:left w:val="single" w:sz="8" w:space="0" w:color="auto"/>
              <w:bottom w:val="nil"/>
              <w:right w:val="nil"/>
            </w:tcBorders>
            <w:shd w:val="clear" w:color="000000" w:fill="FFFFFF"/>
            <w:vAlign w:val="center"/>
            <w:hideMark/>
          </w:tcPr>
          <w:p w14:paraId="76A9F850" w14:textId="01C921E8" w:rsidR="00307AF0" w:rsidRPr="00287896" w:rsidRDefault="00307AF0" w:rsidP="00307AF0">
            <w:pPr>
              <w:jc w:val="right"/>
              <w:rPr>
                <w:rFonts w:ascii="Arial" w:hAnsi="Arial" w:cs="Arial"/>
                <w:b/>
                <w:bCs/>
                <w:sz w:val="16"/>
                <w:szCs w:val="16"/>
              </w:rPr>
            </w:pPr>
            <w:r>
              <w:rPr>
                <w:rFonts w:ascii="Arial" w:hAnsi="Arial" w:cs="Arial"/>
                <w:b/>
                <w:bCs/>
                <w:sz w:val="16"/>
                <w:szCs w:val="16"/>
              </w:rPr>
              <w:t>(759)</w:t>
            </w:r>
          </w:p>
        </w:tc>
        <w:tc>
          <w:tcPr>
            <w:tcW w:w="1200" w:type="dxa"/>
            <w:tcBorders>
              <w:top w:val="nil"/>
              <w:left w:val="nil"/>
              <w:bottom w:val="nil"/>
              <w:right w:val="nil"/>
            </w:tcBorders>
            <w:shd w:val="clear" w:color="000000" w:fill="FFFFFF"/>
            <w:vAlign w:val="center"/>
            <w:hideMark/>
          </w:tcPr>
          <w:p w14:paraId="71A8018F" w14:textId="0ACD02FB" w:rsidR="00307AF0" w:rsidRPr="00287896" w:rsidRDefault="00307AF0" w:rsidP="00307AF0">
            <w:pPr>
              <w:jc w:val="right"/>
              <w:rPr>
                <w:rFonts w:ascii="Arial" w:hAnsi="Arial" w:cs="Arial"/>
                <w:b/>
                <w:bCs/>
                <w:sz w:val="16"/>
                <w:szCs w:val="16"/>
              </w:rPr>
            </w:pPr>
            <w:r>
              <w:rPr>
                <w:rFonts w:ascii="Arial" w:hAnsi="Arial" w:cs="Arial"/>
                <w:b/>
                <w:bCs/>
                <w:sz w:val="16"/>
                <w:szCs w:val="16"/>
              </w:rPr>
              <w:t>(322)</w:t>
            </w:r>
          </w:p>
        </w:tc>
        <w:tc>
          <w:tcPr>
            <w:tcW w:w="1260" w:type="dxa"/>
            <w:tcBorders>
              <w:top w:val="nil"/>
              <w:left w:val="nil"/>
              <w:bottom w:val="nil"/>
              <w:right w:val="nil"/>
            </w:tcBorders>
            <w:shd w:val="clear" w:color="000000" w:fill="FFFFFF"/>
            <w:vAlign w:val="center"/>
            <w:hideMark/>
          </w:tcPr>
          <w:p w14:paraId="5550B0ED" w14:textId="496A13CC" w:rsidR="00307AF0" w:rsidRPr="00287896" w:rsidRDefault="00307AF0" w:rsidP="00307AF0">
            <w:pPr>
              <w:jc w:val="right"/>
              <w:rPr>
                <w:rFonts w:ascii="Arial" w:hAnsi="Arial" w:cs="Arial"/>
                <w:b/>
                <w:bCs/>
                <w:sz w:val="16"/>
                <w:szCs w:val="16"/>
              </w:rPr>
            </w:pPr>
            <w:r>
              <w:rPr>
                <w:rFonts w:ascii="Arial" w:hAnsi="Arial" w:cs="Arial"/>
                <w:b/>
                <w:bCs/>
                <w:sz w:val="16"/>
                <w:szCs w:val="16"/>
              </w:rPr>
              <w:t>(43,795)</w:t>
            </w:r>
          </w:p>
        </w:tc>
        <w:tc>
          <w:tcPr>
            <w:tcW w:w="1260" w:type="dxa"/>
            <w:tcBorders>
              <w:top w:val="single" w:sz="8" w:space="0" w:color="auto"/>
              <w:left w:val="nil"/>
              <w:bottom w:val="nil"/>
              <w:right w:val="single" w:sz="4" w:space="0" w:color="auto"/>
            </w:tcBorders>
            <w:shd w:val="clear" w:color="000000" w:fill="FFFFFF"/>
            <w:vAlign w:val="center"/>
            <w:hideMark/>
          </w:tcPr>
          <w:p w14:paraId="13A0562F" w14:textId="0D1206FD" w:rsidR="00307AF0" w:rsidRPr="00287896" w:rsidRDefault="00307AF0" w:rsidP="00307AF0">
            <w:pPr>
              <w:jc w:val="right"/>
              <w:rPr>
                <w:rFonts w:ascii="Arial" w:hAnsi="Arial" w:cs="Arial"/>
                <w:b/>
                <w:bCs/>
                <w:sz w:val="16"/>
                <w:szCs w:val="16"/>
              </w:rPr>
            </w:pPr>
            <w:r>
              <w:rPr>
                <w:rFonts w:ascii="Arial" w:hAnsi="Arial" w:cs="Arial"/>
                <w:b/>
                <w:bCs/>
                <w:sz w:val="16"/>
                <w:szCs w:val="16"/>
              </w:rPr>
              <w:t>(44,875)</w:t>
            </w:r>
          </w:p>
        </w:tc>
        <w:tc>
          <w:tcPr>
            <w:tcW w:w="1200" w:type="dxa"/>
            <w:tcBorders>
              <w:top w:val="single" w:sz="8" w:space="0" w:color="auto"/>
              <w:left w:val="single" w:sz="4" w:space="0" w:color="auto"/>
              <w:bottom w:val="nil"/>
              <w:right w:val="nil"/>
            </w:tcBorders>
            <w:shd w:val="clear" w:color="auto" w:fill="CCCCCC"/>
            <w:vAlign w:val="center"/>
            <w:hideMark/>
          </w:tcPr>
          <w:p w14:paraId="0916F3A3" w14:textId="0A8130BA" w:rsidR="00307AF0" w:rsidRPr="00287896" w:rsidRDefault="00307AF0" w:rsidP="00307AF0">
            <w:pPr>
              <w:jc w:val="right"/>
              <w:rPr>
                <w:rFonts w:ascii="Arial" w:hAnsi="Arial" w:cs="Arial"/>
                <w:b/>
                <w:bCs/>
                <w:sz w:val="16"/>
                <w:szCs w:val="16"/>
              </w:rPr>
            </w:pPr>
            <w:r>
              <w:rPr>
                <w:rFonts w:ascii="Arial" w:hAnsi="Arial" w:cs="Arial"/>
                <w:b/>
                <w:bCs/>
                <w:sz w:val="16"/>
                <w:szCs w:val="16"/>
              </w:rPr>
              <w:t>(629)</w:t>
            </w:r>
          </w:p>
        </w:tc>
        <w:tc>
          <w:tcPr>
            <w:tcW w:w="1200" w:type="dxa"/>
            <w:tcBorders>
              <w:top w:val="single" w:sz="8" w:space="0" w:color="auto"/>
              <w:left w:val="nil"/>
              <w:bottom w:val="nil"/>
              <w:right w:val="nil"/>
            </w:tcBorders>
            <w:shd w:val="clear" w:color="000000" w:fill="CCCCCC"/>
            <w:vAlign w:val="center"/>
            <w:hideMark/>
          </w:tcPr>
          <w:p w14:paraId="508D6E49" w14:textId="70991CB7" w:rsidR="00307AF0" w:rsidRPr="00287896" w:rsidRDefault="00307AF0" w:rsidP="00307AF0">
            <w:pPr>
              <w:jc w:val="right"/>
              <w:rPr>
                <w:rFonts w:ascii="Arial" w:hAnsi="Arial" w:cs="Arial"/>
                <w:b/>
                <w:bCs/>
                <w:sz w:val="16"/>
                <w:szCs w:val="16"/>
              </w:rPr>
            </w:pPr>
            <w:r>
              <w:rPr>
                <w:rFonts w:ascii="Arial" w:hAnsi="Arial" w:cs="Arial"/>
                <w:b/>
                <w:bCs/>
                <w:sz w:val="16"/>
                <w:szCs w:val="16"/>
              </w:rPr>
              <w:t>(268)</w:t>
            </w:r>
          </w:p>
        </w:tc>
        <w:tc>
          <w:tcPr>
            <w:tcW w:w="1200" w:type="dxa"/>
            <w:tcBorders>
              <w:top w:val="single" w:sz="8" w:space="0" w:color="auto"/>
              <w:left w:val="nil"/>
              <w:bottom w:val="nil"/>
              <w:right w:val="nil"/>
            </w:tcBorders>
            <w:shd w:val="clear" w:color="000000" w:fill="CCCCCC"/>
            <w:vAlign w:val="center"/>
            <w:hideMark/>
          </w:tcPr>
          <w:p w14:paraId="5CCCB797" w14:textId="4D909107" w:rsidR="00307AF0" w:rsidRPr="00287896" w:rsidRDefault="00307AF0" w:rsidP="00307AF0">
            <w:pPr>
              <w:jc w:val="right"/>
              <w:rPr>
                <w:rFonts w:ascii="Arial" w:hAnsi="Arial" w:cs="Arial"/>
                <w:b/>
                <w:bCs/>
                <w:sz w:val="16"/>
                <w:szCs w:val="16"/>
              </w:rPr>
            </w:pPr>
            <w:r>
              <w:rPr>
                <w:rFonts w:ascii="Arial" w:hAnsi="Arial" w:cs="Arial"/>
                <w:b/>
                <w:bCs/>
                <w:sz w:val="16"/>
                <w:szCs w:val="16"/>
              </w:rPr>
              <w:t>(52,415)</w:t>
            </w:r>
          </w:p>
        </w:tc>
        <w:tc>
          <w:tcPr>
            <w:tcW w:w="1200" w:type="dxa"/>
            <w:tcBorders>
              <w:top w:val="single" w:sz="8" w:space="0" w:color="auto"/>
              <w:left w:val="nil"/>
              <w:bottom w:val="nil"/>
              <w:right w:val="single" w:sz="8" w:space="0" w:color="auto"/>
            </w:tcBorders>
            <w:shd w:val="clear" w:color="000000" w:fill="CCCCCC"/>
            <w:vAlign w:val="center"/>
            <w:hideMark/>
          </w:tcPr>
          <w:p w14:paraId="34AC0A3A" w14:textId="530E236A" w:rsidR="00307AF0" w:rsidRPr="00287896" w:rsidRDefault="00307AF0" w:rsidP="00307AF0">
            <w:pPr>
              <w:jc w:val="right"/>
              <w:rPr>
                <w:rFonts w:ascii="Arial" w:hAnsi="Arial" w:cs="Arial"/>
                <w:b/>
                <w:bCs/>
                <w:sz w:val="16"/>
                <w:szCs w:val="16"/>
              </w:rPr>
            </w:pPr>
            <w:r>
              <w:rPr>
                <w:rFonts w:ascii="Arial" w:hAnsi="Arial" w:cs="Arial"/>
                <w:b/>
                <w:bCs/>
                <w:sz w:val="16"/>
                <w:szCs w:val="16"/>
              </w:rPr>
              <w:t>(53,312)</w:t>
            </w:r>
          </w:p>
        </w:tc>
      </w:tr>
      <w:tr w:rsidR="00307AF0" w:rsidRPr="00287896" w14:paraId="640D4CCE" w14:textId="77777777" w:rsidTr="009338D4">
        <w:trPr>
          <w:trHeight w:val="240"/>
        </w:trPr>
        <w:tc>
          <w:tcPr>
            <w:tcW w:w="2500" w:type="dxa"/>
            <w:tcBorders>
              <w:top w:val="nil"/>
              <w:left w:val="single" w:sz="8" w:space="0" w:color="auto"/>
              <w:bottom w:val="nil"/>
              <w:right w:val="nil"/>
            </w:tcBorders>
            <w:shd w:val="clear" w:color="000000" w:fill="CCCCCC"/>
            <w:vAlign w:val="center"/>
            <w:hideMark/>
          </w:tcPr>
          <w:p w14:paraId="766835AC"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Officer Contributions</w:t>
            </w:r>
          </w:p>
        </w:tc>
        <w:tc>
          <w:tcPr>
            <w:tcW w:w="2200" w:type="dxa"/>
            <w:tcBorders>
              <w:top w:val="nil"/>
              <w:left w:val="nil"/>
              <w:bottom w:val="nil"/>
              <w:right w:val="nil"/>
            </w:tcBorders>
            <w:shd w:val="clear" w:color="000000" w:fill="CCCCCC"/>
            <w:vAlign w:val="center"/>
            <w:hideMark/>
          </w:tcPr>
          <w:p w14:paraId="16DFEFA3" w14:textId="77777777" w:rsidR="00307AF0" w:rsidRPr="00287896" w:rsidRDefault="00307AF0" w:rsidP="00307AF0">
            <w:pPr>
              <w:jc w:val="right"/>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single" w:sz="8" w:space="0" w:color="auto"/>
              <w:right w:val="nil"/>
            </w:tcBorders>
            <w:shd w:val="clear" w:color="000000" w:fill="FFFFFF"/>
            <w:vAlign w:val="center"/>
            <w:hideMark/>
          </w:tcPr>
          <w:p w14:paraId="27F90646" w14:textId="7D87F64D" w:rsidR="00307AF0" w:rsidRPr="00287896" w:rsidRDefault="00307AF0" w:rsidP="00307AF0">
            <w:pPr>
              <w:jc w:val="right"/>
              <w:rPr>
                <w:rFonts w:ascii="Arial" w:hAnsi="Arial" w:cs="Arial"/>
                <w:sz w:val="16"/>
                <w:szCs w:val="16"/>
              </w:rPr>
            </w:pPr>
            <w:r>
              <w:rPr>
                <w:rFonts w:ascii="Arial" w:hAnsi="Arial" w:cs="Arial"/>
                <w:sz w:val="16"/>
                <w:szCs w:val="16"/>
              </w:rPr>
              <w:t>(47)</w:t>
            </w:r>
          </w:p>
        </w:tc>
        <w:tc>
          <w:tcPr>
            <w:tcW w:w="1200" w:type="dxa"/>
            <w:tcBorders>
              <w:top w:val="nil"/>
              <w:left w:val="nil"/>
              <w:bottom w:val="single" w:sz="8" w:space="0" w:color="auto"/>
              <w:right w:val="nil"/>
            </w:tcBorders>
            <w:shd w:val="clear" w:color="000000" w:fill="FFFFFF"/>
            <w:vAlign w:val="center"/>
            <w:hideMark/>
          </w:tcPr>
          <w:p w14:paraId="17727EE7" w14:textId="0ECCDB12" w:rsidR="00307AF0" w:rsidRPr="00287896" w:rsidRDefault="00307AF0" w:rsidP="00307AF0">
            <w:pPr>
              <w:jc w:val="right"/>
              <w:rPr>
                <w:rFonts w:ascii="Arial" w:hAnsi="Arial" w:cs="Arial"/>
                <w:sz w:val="16"/>
                <w:szCs w:val="16"/>
              </w:rPr>
            </w:pPr>
            <w:r>
              <w:rPr>
                <w:rFonts w:ascii="Arial" w:hAnsi="Arial" w:cs="Arial"/>
                <w:sz w:val="16"/>
                <w:szCs w:val="16"/>
              </w:rPr>
              <w:t>(4)</w:t>
            </w:r>
          </w:p>
        </w:tc>
        <w:tc>
          <w:tcPr>
            <w:tcW w:w="1260" w:type="dxa"/>
            <w:tcBorders>
              <w:top w:val="nil"/>
              <w:left w:val="nil"/>
              <w:bottom w:val="single" w:sz="8" w:space="0" w:color="auto"/>
              <w:right w:val="nil"/>
            </w:tcBorders>
            <w:shd w:val="clear" w:color="000000" w:fill="FFFFFF"/>
            <w:vAlign w:val="center"/>
            <w:hideMark/>
          </w:tcPr>
          <w:p w14:paraId="1E7B24BC" w14:textId="7AE30587" w:rsidR="00307AF0" w:rsidRPr="00287896" w:rsidRDefault="00307AF0" w:rsidP="00307AF0">
            <w:pPr>
              <w:jc w:val="right"/>
              <w:rPr>
                <w:rFonts w:ascii="Arial" w:hAnsi="Arial" w:cs="Arial"/>
                <w:sz w:val="16"/>
                <w:szCs w:val="16"/>
              </w:rPr>
            </w:pPr>
            <w:r>
              <w:rPr>
                <w:rFonts w:ascii="Arial" w:hAnsi="Arial" w:cs="Arial"/>
                <w:sz w:val="16"/>
                <w:szCs w:val="16"/>
              </w:rPr>
              <w:t>(18,778)</w:t>
            </w:r>
          </w:p>
        </w:tc>
        <w:tc>
          <w:tcPr>
            <w:tcW w:w="1260" w:type="dxa"/>
            <w:tcBorders>
              <w:top w:val="nil"/>
              <w:left w:val="nil"/>
              <w:bottom w:val="single" w:sz="8" w:space="0" w:color="auto"/>
              <w:right w:val="single" w:sz="4" w:space="0" w:color="auto"/>
            </w:tcBorders>
            <w:shd w:val="clear" w:color="000000" w:fill="FFFFFF"/>
            <w:vAlign w:val="center"/>
            <w:hideMark/>
          </w:tcPr>
          <w:p w14:paraId="753CF857" w14:textId="34091F05" w:rsidR="00307AF0" w:rsidRPr="00287896" w:rsidRDefault="00307AF0" w:rsidP="00307AF0">
            <w:pPr>
              <w:jc w:val="right"/>
              <w:rPr>
                <w:rFonts w:ascii="Arial" w:hAnsi="Arial" w:cs="Arial"/>
                <w:b/>
                <w:bCs/>
                <w:sz w:val="16"/>
                <w:szCs w:val="16"/>
              </w:rPr>
            </w:pPr>
            <w:r>
              <w:rPr>
                <w:rFonts w:ascii="Arial" w:hAnsi="Arial" w:cs="Arial"/>
                <w:b/>
                <w:bCs/>
                <w:sz w:val="16"/>
                <w:szCs w:val="16"/>
              </w:rPr>
              <w:t>(18,829)</w:t>
            </w:r>
          </w:p>
        </w:tc>
        <w:tc>
          <w:tcPr>
            <w:tcW w:w="1200" w:type="dxa"/>
            <w:tcBorders>
              <w:top w:val="nil"/>
              <w:left w:val="single" w:sz="4" w:space="0" w:color="auto"/>
              <w:bottom w:val="single" w:sz="8" w:space="0" w:color="auto"/>
              <w:right w:val="nil"/>
            </w:tcBorders>
            <w:shd w:val="clear" w:color="auto" w:fill="CCCCCC"/>
            <w:vAlign w:val="center"/>
            <w:hideMark/>
          </w:tcPr>
          <w:p w14:paraId="3F101CB7" w14:textId="2B93EDCF" w:rsidR="00307AF0" w:rsidRPr="00287896" w:rsidRDefault="00307AF0" w:rsidP="00307AF0">
            <w:pPr>
              <w:jc w:val="right"/>
              <w:rPr>
                <w:rFonts w:ascii="Arial" w:hAnsi="Arial" w:cs="Arial"/>
                <w:sz w:val="16"/>
                <w:szCs w:val="16"/>
              </w:rPr>
            </w:pPr>
            <w:r>
              <w:rPr>
                <w:rFonts w:ascii="Arial" w:hAnsi="Arial" w:cs="Arial"/>
                <w:sz w:val="16"/>
                <w:szCs w:val="16"/>
              </w:rPr>
              <w:t>(346)</w:t>
            </w:r>
          </w:p>
        </w:tc>
        <w:tc>
          <w:tcPr>
            <w:tcW w:w="1200" w:type="dxa"/>
            <w:tcBorders>
              <w:top w:val="nil"/>
              <w:left w:val="nil"/>
              <w:bottom w:val="single" w:sz="8" w:space="0" w:color="auto"/>
              <w:right w:val="nil"/>
            </w:tcBorders>
            <w:shd w:val="clear" w:color="000000" w:fill="CCCCCC"/>
            <w:vAlign w:val="center"/>
            <w:hideMark/>
          </w:tcPr>
          <w:p w14:paraId="682A5CBD" w14:textId="3AB84604"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single" w:sz="8" w:space="0" w:color="auto"/>
              <w:right w:val="nil"/>
            </w:tcBorders>
            <w:shd w:val="clear" w:color="000000" w:fill="CCCCCC"/>
            <w:vAlign w:val="center"/>
            <w:hideMark/>
          </w:tcPr>
          <w:p w14:paraId="3C34AAB5" w14:textId="4D7856C8" w:rsidR="00307AF0" w:rsidRPr="00287896" w:rsidRDefault="00307AF0" w:rsidP="00307AF0">
            <w:pPr>
              <w:jc w:val="right"/>
              <w:rPr>
                <w:rFonts w:ascii="Arial" w:hAnsi="Arial" w:cs="Arial"/>
                <w:sz w:val="16"/>
                <w:szCs w:val="16"/>
              </w:rPr>
            </w:pPr>
            <w:r>
              <w:rPr>
                <w:rFonts w:ascii="Arial" w:hAnsi="Arial" w:cs="Arial"/>
                <w:sz w:val="16"/>
                <w:szCs w:val="16"/>
              </w:rPr>
              <w:t>(19,830)</w:t>
            </w:r>
          </w:p>
        </w:tc>
        <w:tc>
          <w:tcPr>
            <w:tcW w:w="1200" w:type="dxa"/>
            <w:tcBorders>
              <w:top w:val="nil"/>
              <w:left w:val="nil"/>
              <w:bottom w:val="single" w:sz="8" w:space="0" w:color="auto"/>
              <w:right w:val="single" w:sz="8" w:space="0" w:color="auto"/>
            </w:tcBorders>
            <w:shd w:val="clear" w:color="000000" w:fill="CCCCCC"/>
            <w:vAlign w:val="center"/>
            <w:hideMark/>
          </w:tcPr>
          <w:p w14:paraId="4B85B8BF" w14:textId="29E4E909" w:rsidR="00307AF0" w:rsidRPr="00287896" w:rsidRDefault="00307AF0" w:rsidP="00307AF0">
            <w:pPr>
              <w:jc w:val="right"/>
              <w:rPr>
                <w:rFonts w:ascii="Arial" w:hAnsi="Arial" w:cs="Arial"/>
                <w:b/>
                <w:bCs/>
                <w:sz w:val="16"/>
                <w:szCs w:val="16"/>
              </w:rPr>
            </w:pPr>
            <w:r>
              <w:rPr>
                <w:rFonts w:ascii="Arial" w:hAnsi="Arial" w:cs="Arial"/>
                <w:b/>
                <w:bCs/>
                <w:sz w:val="16"/>
                <w:szCs w:val="16"/>
              </w:rPr>
              <w:t>(20,176)</w:t>
            </w:r>
          </w:p>
        </w:tc>
      </w:tr>
      <w:tr w:rsidR="009338D4" w:rsidRPr="00287896" w14:paraId="47ED801C" w14:textId="77777777" w:rsidTr="009338D4">
        <w:trPr>
          <w:trHeight w:val="240"/>
        </w:trPr>
        <w:tc>
          <w:tcPr>
            <w:tcW w:w="4700" w:type="dxa"/>
            <w:gridSpan w:val="2"/>
            <w:tcBorders>
              <w:top w:val="nil"/>
              <w:left w:val="single" w:sz="8" w:space="0" w:color="auto"/>
              <w:bottom w:val="nil"/>
              <w:right w:val="single" w:sz="8" w:space="0" w:color="auto"/>
            </w:tcBorders>
            <w:shd w:val="clear" w:color="000000" w:fill="CCCCCC"/>
            <w:vAlign w:val="center"/>
            <w:hideMark/>
          </w:tcPr>
          <w:p w14:paraId="6D48575F"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Total Contributions Receivable</w:t>
            </w:r>
          </w:p>
        </w:tc>
        <w:tc>
          <w:tcPr>
            <w:tcW w:w="1440" w:type="dxa"/>
            <w:tcBorders>
              <w:top w:val="single" w:sz="8" w:space="0" w:color="auto"/>
              <w:left w:val="single" w:sz="8" w:space="0" w:color="auto"/>
              <w:bottom w:val="nil"/>
            </w:tcBorders>
            <w:shd w:val="clear" w:color="auto" w:fill="FFFFFF" w:themeFill="background1"/>
            <w:vAlign w:val="center"/>
            <w:hideMark/>
          </w:tcPr>
          <w:p w14:paraId="0B4CBDDE" w14:textId="77777777" w:rsidR="00307AF0" w:rsidRPr="00287896" w:rsidRDefault="00307AF0" w:rsidP="00307AF0">
            <w:pPr>
              <w:jc w:val="right"/>
              <w:rPr>
                <w:rFonts w:ascii="Arial" w:hAnsi="Arial" w:cs="Arial"/>
                <w:b/>
                <w:bCs/>
                <w:sz w:val="16"/>
                <w:szCs w:val="16"/>
              </w:rPr>
            </w:pPr>
            <w:r w:rsidRPr="00287896">
              <w:rPr>
                <w:rFonts w:ascii="Arial" w:hAnsi="Arial" w:cs="Arial"/>
                <w:b/>
                <w:bCs/>
                <w:sz w:val="16"/>
                <w:szCs w:val="16"/>
              </w:rPr>
              <w:t>(1,876)</w:t>
            </w:r>
          </w:p>
        </w:tc>
        <w:tc>
          <w:tcPr>
            <w:tcW w:w="1200" w:type="dxa"/>
            <w:tcBorders>
              <w:top w:val="nil"/>
              <w:left w:val="nil"/>
              <w:bottom w:val="nil"/>
              <w:right w:val="nil"/>
            </w:tcBorders>
            <w:shd w:val="clear" w:color="000000" w:fill="FFFFFF"/>
            <w:vAlign w:val="center"/>
            <w:hideMark/>
          </w:tcPr>
          <w:p w14:paraId="1A1CA5EC" w14:textId="42C5A74C" w:rsidR="00307AF0" w:rsidRPr="00287896" w:rsidRDefault="00307AF0" w:rsidP="00307AF0">
            <w:pPr>
              <w:jc w:val="right"/>
              <w:rPr>
                <w:rFonts w:ascii="Arial" w:hAnsi="Arial" w:cs="Arial"/>
                <w:b/>
                <w:bCs/>
                <w:sz w:val="16"/>
                <w:szCs w:val="16"/>
              </w:rPr>
            </w:pPr>
            <w:r>
              <w:rPr>
                <w:rFonts w:ascii="Arial" w:hAnsi="Arial" w:cs="Arial"/>
                <w:b/>
                <w:bCs/>
                <w:sz w:val="16"/>
                <w:szCs w:val="16"/>
              </w:rPr>
              <w:t>(805)</w:t>
            </w:r>
          </w:p>
        </w:tc>
        <w:tc>
          <w:tcPr>
            <w:tcW w:w="1260" w:type="dxa"/>
            <w:tcBorders>
              <w:top w:val="nil"/>
              <w:left w:val="nil"/>
              <w:bottom w:val="nil"/>
              <w:right w:val="nil"/>
            </w:tcBorders>
            <w:shd w:val="clear" w:color="000000" w:fill="FFFFFF"/>
            <w:vAlign w:val="center"/>
            <w:hideMark/>
          </w:tcPr>
          <w:p w14:paraId="58161205" w14:textId="7EEE1004" w:rsidR="00307AF0" w:rsidRPr="00287896" w:rsidRDefault="00307AF0" w:rsidP="00307AF0">
            <w:pPr>
              <w:jc w:val="right"/>
              <w:rPr>
                <w:rFonts w:ascii="Arial" w:hAnsi="Arial" w:cs="Arial"/>
                <w:b/>
                <w:bCs/>
                <w:sz w:val="16"/>
                <w:szCs w:val="16"/>
              </w:rPr>
            </w:pPr>
            <w:r>
              <w:rPr>
                <w:rFonts w:ascii="Arial" w:hAnsi="Arial" w:cs="Arial"/>
                <w:b/>
                <w:bCs/>
                <w:sz w:val="16"/>
                <w:szCs w:val="16"/>
              </w:rPr>
              <w:t>(326)</w:t>
            </w:r>
          </w:p>
        </w:tc>
        <w:tc>
          <w:tcPr>
            <w:tcW w:w="1260" w:type="dxa"/>
            <w:tcBorders>
              <w:top w:val="nil"/>
              <w:left w:val="nil"/>
              <w:bottom w:val="nil"/>
              <w:right w:val="single" w:sz="8" w:space="0" w:color="auto"/>
            </w:tcBorders>
            <w:shd w:val="clear" w:color="000000" w:fill="FFFFFF"/>
            <w:vAlign w:val="center"/>
            <w:hideMark/>
          </w:tcPr>
          <w:p w14:paraId="61BE2800" w14:textId="4B84C670" w:rsidR="00307AF0" w:rsidRPr="00287896" w:rsidRDefault="00307AF0" w:rsidP="00307AF0">
            <w:pPr>
              <w:jc w:val="right"/>
              <w:rPr>
                <w:rFonts w:ascii="Arial" w:hAnsi="Arial" w:cs="Arial"/>
                <w:b/>
                <w:bCs/>
                <w:sz w:val="16"/>
                <w:szCs w:val="16"/>
              </w:rPr>
            </w:pPr>
            <w:r>
              <w:rPr>
                <w:rFonts w:ascii="Arial" w:hAnsi="Arial" w:cs="Arial"/>
                <w:b/>
                <w:bCs/>
                <w:sz w:val="16"/>
                <w:szCs w:val="16"/>
              </w:rPr>
              <w:t>(62,573)</w:t>
            </w:r>
          </w:p>
        </w:tc>
        <w:tc>
          <w:tcPr>
            <w:tcW w:w="1200" w:type="dxa"/>
            <w:tcBorders>
              <w:top w:val="single" w:sz="8" w:space="0" w:color="auto"/>
              <w:left w:val="single" w:sz="8" w:space="0" w:color="auto"/>
              <w:bottom w:val="nil"/>
            </w:tcBorders>
            <w:shd w:val="clear" w:color="auto" w:fill="CCCCCC"/>
            <w:vAlign w:val="center"/>
            <w:hideMark/>
          </w:tcPr>
          <w:p w14:paraId="57116E33" w14:textId="6621FF6E" w:rsidR="00307AF0" w:rsidRPr="00287896" w:rsidRDefault="00307AF0" w:rsidP="00307AF0">
            <w:pPr>
              <w:jc w:val="right"/>
              <w:rPr>
                <w:rFonts w:ascii="Arial" w:hAnsi="Arial" w:cs="Arial"/>
                <w:b/>
                <w:bCs/>
                <w:sz w:val="16"/>
                <w:szCs w:val="16"/>
              </w:rPr>
            </w:pPr>
            <w:r>
              <w:rPr>
                <w:rFonts w:ascii="Arial" w:hAnsi="Arial" w:cs="Arial"/>
                <w:b/>
                <w:bCs/>
                <w:sz w:val="16"/>
                <w:szCs w:val="16"/>
              </w:rPr>
              <w:t>(63,704)</w:t>
            </w:r>
          </w:p>
        </w:tc>
        <w:tc>
          <w:tcPr>
            <w:tcW w:w="1200" w:type="dxa"/>
            <w:tcBorders>
              <w:top w:val="single" w:sz="8" w:space="0" w:color="auto"/>
              <w:bottom w:val="nil"/>
              <w:right w:val="nil"/>
            </w:tcBorders>
            <w:shd w:val="clear" w:color="000000" w:fill="CCCCCC"/>
            <w:vAlign w:val="center"/>
            <w:hideMark/>
          </w:tcPr>
          <w:p w14:paraId="52BD9170" w14:textId="5BCCF1FA" w:rsidR="00307AF0" w:rsidRPr="00287896" w:rsidRDefault="00307AF0" w:rsidP="00307AF0">
            <w:pPr>
              <w:jc w:val="right"/>
              <w:rPr>
                <w:rFonts w:ascii="Arial" w:hAnsi="Arial" w:cs="Arial"/>
                <w:b/>
                <w:bCs/>
                <w:sz w:val="16"/>
                <w:szCs w:val="16"/>
              </w:rPr>
            </w:pPr>
            <w:r>
              <w:rPr>
                <w:rFonts w:ascii="Arial" w:hAnsi="Arial" w:cs="Arial"/>
                <w:b/>
                <w:bCs/>
                <w:sz w:val="16"/>
                <w:szCs w:val="16"/>
              </w:rPr>
              <w:t>(976)</w:t>
            </w:r>
          </w:p>
        </w:tc>
        <w:tc>
          <w:tcPr>
            <w:tcW w:w="1200" w:type="dxa"/>
            <w:tcBorders>
              <w:top w:val="nil"/>
              <w:left w:val="nil"/>
              <w:bottom w:val="nil"/>
              <w:right w:val="nil"/>
            </w:tcBorders>
            <w:shd w:val="clear" w:color="000000" w:fill="CCCCCC"/>
            <w:vAlign w:val="center"/>
            <w:hideMark/>
          </w:tcPr>
          <w:p w14:paraId="4D8159A4" w14:textId="285C68F4" w:rsidR="00307AF0" w:rsidRPr="00287896" w:rsidRDefault="00307AF0" w:rsidP="00307AF0">
            <w:pPr>
              <w:jc w:val="right"/>
              <w:rPr>
                <w:rFonts w:ascii="Arial" w:hAnsi="Arial" w:cs="Arial"/>
                <w:b/>
                <w:bCs/>
                <w:sz w:val="16"/>
                <w:szCs w:val="16"/>
              </w:rPr>
            </w:pPr>
            <w:r>
              <w:rPr>
                <w:rFonts w:ascii="Arial" w:hAnsi="Arial" w:cs="Arial"/>
                <w:b/>
                <w:bCs/>
                <w:sz w:val="16"/>
                <w:szCs w:val="16"/>
              </w:rPr>
              <w:t>(268)</w:t>
            </w:r>
          </w:p>
        </w:tc>
        <w:tc>
          <w:tcPr>
            <w:tcW w:w="1200" w:type="dxa"/>
            <w:tcBorders>
              <w:top w:val="nil"/>
              <w:left w:val="nil"/>
              <w:bottom w:val="nil"/>
              <w:right w:val="single" w:sz="8" w:space="0" w:color="auto"/>
            </w:tcBorders>
            <w:shd w:val="clear" w:color="000000" w:fill="CCCCCC"/>
            <w:vAlign w:val="center"/>
            <w:hideMark/>
          </w:tcPr>
          <w:p w14:paraId="7658CE41" w14:textId="4E4D8218" w:rsidR="00307AF0" w:rsidRPr="00287896" w:rsidRDefault="00307AF0" w:rsidP="00307AF0">
            <w:pPr>
              <w:jc w:val="right"/>
              <w:rPr>
                <w:rFonts w:ascii="Arial" w:hAnsi="Arial" w:cs="Arial"/>
                <w:b/>
                <w:bCs/>
                <w:sz w:val="16"/>
                <w:szCs w:val="16"/>
              </w:rPr>
            </w:pPr>
            <w:r>
              <w:rPr>
                <w:rFonts w:ascii="Arial" w:hAnsi="Arial" w:cs="Arial"/>
                <w:b/>
                <w:bCs/>
                <w:sz w:val="16"/>
                <w:szCs w:val="16"/>
              </w:rPr>
              <w:t>(72,245)</w:t>
            </w:r>
          </w:p>
        </w:tc>
      </w:tr>
      <w:tr w:rsidR="00307AF0" w:rsidRPr="00287896" w14:paraId="03F824B7" w14:textId="77777777" w:rsidTr="009338D4">
        <w:trPr>
          <w:trHeight w:val="240"/>
        </w:trPr>
        <w:tc>
          <w:tcPr>
            <w:tcW w:w="2500" w:type="dxa"/>
            <w:tcBorders>
              <w:top w:val="nil"/>
              <w:left w:val="single" w:sz="8" w:space="0" w:color="auto"/>
              <w:bottom w:val="nil"/>
              <w:right w:val="nil"/>
            </w:tcBorders>
            <w:shd w:val="clear" w:color="000000" w:fill="CCCCCC"/>
            <w:vAlign w:val="center"/>
            <w:hideMark/>
          </w:tcPr>
          <w:p w14:paraId="7D588C9B"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 xml:space="preserve">Transfers In </w:t>
            </w:r>
          </w:p>
        </w:tc>
        <w:tc>
          <w:tcPr>
            <w:tcW w:w="2200" w:type="dxa"/>
            <w:tcBorders>
              <w:top w:val="nil"/>
              <w:left w:val="nil"/>
              <w:bottom w:val="nil"/>
              <w:right w:val="nil"/>
            </w:tcBorders>
            <w:shd w:val="clear" w:color="000000" w:fill="CCCCCC"/>
            <w:vAlign w:val="center"/>
            <w:hideMark/>
          </w:tcPr>
          <w:p w14:paraId="49171FBA" w14:textId="77777777" w:rsidR="00307AF0" w:rsidRPr="00287896" w:rsidRDefault="00307AF0" w:rsidP="00307AF0">
            <w:pPr>
              <w:jc w:val="right"/>
              <w:rPr>
                <w:rFonts w:ascii="Arial" w:hAnsi="Arial" w:cs="Arial"/>
                <w:b/>
                <w:bCs/>
                <w:sz w:val="16"/>
                <w:szCs w:val="16"/>
              </w:rPr>
            </w:pPr>
            <w:r w:rsidRPr="00287896">
              <w:rPr>
                <w:rFonts w:ascii="Arial" w:hAnsi="Arial" w:cs="Arial"/>
                <w:b/>
                <w:bCs/>
                <w:sz w:val="16"/>
                <w:szCs w:val="16"/>
              </w:rPr>
              <w:t> </w:t>
            </w:r>
          </w:p>
        </w:tc>
        <w:tc>
          <w:tcPr>
            <w:tcW w:w="1440" w:type="dxa"/>
            <w:tcBorders>
              <w:top w:val="nil"/>
              <w:left w:val="single" w:sz="8" w:space="0" w:color="auto"/>
              <w:bottom w:val="nil"/>
              <w:right w:val="nil"/>
            </w:tcBorders>
            <w:shd w:val="clear" w:color="000000" w:fill="FFFFFF"/>
            <w:vAlign w:val="center"/>
            <w:hideMark/>
          </w:tcPr>
          <w:p w14:paraId="17290182" w14:textId="1486287C"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FFFFFF"/>
            <w:vAlign w:val="center"/>
            <w:hideMark/>
          </w:tcPr>
          <w:p w14:paraId="1B2B9106" w14:textId="1B8FB068"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60" w:type="dxa"/>
            <w:tcBorders>
              <w:top w:val="nil"/>
              <w:left w:val="nil"/>
              <w:bottom w:val="nil"/>
              <w:right w:val="nil"/>
            </w:tcBorders>
            <w:shd w:val="clear" w:color="000000" w:fill="FFFFFF"/>
            <w:vAlign w:val="center"/>
            <w:hideMark/>
          </w:tcPr>
          <w:p w14:paraId="716760E1" w14:textId="3039678C" w:rsidR="00307AF0" w:rsidRPr="00287896" w:rsidRDefault="00307AF0" w:rsidP="00307AF0">
            <w:pPr>
              <w:jc w:val="right"/>
              <w:rPr>
                <w:rFonts w:ascii="Arial" w:hAnsi="Arial" w:cs="Arial"/>
                <w:sz w:val="16"/>
                <w:szCs w:val="16"/>
              </w:rPr>
            </w:pPr>
            <w:r>
              <w:rPr>
                <w:rFonts w:ascii="Arial" w:hAnsi="Arial" w:cs="Arial"/>
                <w:sz w:val="16"/>
                <w:szCs w:val="16"/>
              </w:rPr>
              <w:t>(288)</w:t>
            </w:r>
          </w:p>
        </w:tc>
        <w:tc>
          <w:tcPr>
            <w:tcW w:w="1260" w:type="dxa"/>
            <w:tcBorders>
              <w:top w:val="nil"/>
              <w:left w:val="nil"/>
              <w:bottom w:val="nil"/>
              <w:right w:val="single" w:sz="8" w:space="0" w:color="auto"/>
            </w:tcBorders>
            <w:shd w:val="clear" w:color="000000" w:fill="FFFFFF"/>
            <w:vAlign w:val="center"/>
            <w:hideMark/>
          </w:tcPr>
          <w:p w14:paraId="25FC7F71" w14:textId="0FA82E80" w:rsidR="00307AF0" w:rsidRPr="00287896" w:rsidRDefault="00307AF0" w:rsidP="00307AF0">
            <w:pPr>
              <w:jc w:val="right"/>
              <w:rPr>
                <w:rFonts w:ascii="Arial" w:hAnsi="Arial" w:cs="Arial"/>
                <w:b/>
                <w:bCs/>
                <w:sz w:val="16"/>
                <w:szCs w:val="16"/>
              </w:rPr>
            </w:pPr>
            <w:r>
              <w:rPr>
                <w:rFonts w:ascii="Arial" w:hAnsi="Arial" w:cs="Arial"/>
                <w:b/>
                <w:bCs/>
                <w:sz w:val="16"/>
                <w:szCs w:val="16"/>
              </w:rPr>
              <w:t>(288)</w:t>
            </w:r>
          </w:p>
        </w:tc>
        <w:tc>
          <w:tcPr>
            <w:tcW w:w="1200" w:type="dxa"/>
            <w:tcBorders>
              <w:top w:val="nil"/>
              <w:left w:val="single" w:sz="8" w:space="0" w:color="auto"/>
              <w:bottom w:val="nil"/>
            </w:tcBorders>
            <w:shd w:val="clear" w:color="auto" w:fill="CCCCCC"/>
            <w:vAlign w:val="center"/>
            <w:hideMark/>
          </w:tcPr>
          <w:p w14:paraId="62B1D483" w14:textId="796B5543"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bottom w:val="nil"/>
              <w:right w:val="nil"/>
            </w:tcBorders>
            <w:shd w:val="clear" w:color="000000" w:fill="CCCCCC"/>
            <w:vAlign w:val="center"/>
            <w:hideMark/>
          </w:tcPr>
          <w:p w14:paraId="5B3283D9" w14:textId="5CFFF9DC"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nil"/>
              <w:right w:val="nil"/>
            </w:tcBorders>
            <w:shd w:val="clear" w:color="000000" w:fill="CCCCCC"/>
            <w:vAlign w:val="center"/>
            <w:hideMark/>
          </w:tcPr>
          <w:p w14:paraId="3BF90901" w14:textId="12C3690D" w:rsidR="00307AF0" w:rsidRPr="00287896" w:rsidRDefault="00307AF0" w:rsidP="00307AF0">
            <w:pPr>
              <w:jc w:val="right"/>
              <w:rPr>
                <w:rFonts w:ascii="Arial" w:hAnsi="Arial" w:cs="Arial"/>
                <w:b/>
                <w:bCs/>
                <w:sz w:val="16"/>
                <w:szCs w:val="16"/>
              </w:rPr>
            </w:pPr>
            <w:r>
              <w:rPr>
                <w:rFonts w:ascii="Arial" w:hAnsi="Arial" w:cs="Arial"/>
                <w:b/>
                <w:bCs/>
                <w:sz w:val="16"/>
                <w:szCs w:val="16"/>
              </w:rPr>
              <w:t>(539)</w:t>
            </w:r>
          </w:p>
        </w:tc>
        <w:tc>
          <w:tcPr>
            <w:tcW w:w="1200" w:type="dxa"/>
            <w:tcBorders>
              <w:top w:val="nil"/>
              <w:left w:val="nil"/>
              <w:bottom w:val="nil"/>
              <w:right w:val="single" w:sz="8" w:space="0" w:color="auto"/>
            </w:tcBorders>
            <w:shd w:val="clear" w:color="000000" w:fill="CCCCCC"/>
            <w:vAlign w:val="center"/>
            <w:hideMark/>
          </w:tcPr>
          <w:p w14:paraId="5BDB37CA" w14:textId="763BEFD2" w:rsidR="00307AF0" w:rsidRPr="00287896" w:rsidRDefault="00307AF0" w:rsidP="00307AF0">
            <w:pPr>
              <w:jc w:val="right"/>
              <w:rPr>
                <w:rFonts w:ascii="Arial" w:hAnsi="Arial" w:cs="Arial"/>
                <w:b/>
                <w:bCs/>
                <w:sz w:val="16"/>
                <w:szCs w:val="16"/>
              </w:rPr>
            </w:pPr>
            <w:r>
              <w:rPr>
                <w:rFonts w:ascii="Arial" w:hAnsi="Arial" w:cs="Arial"/>
                <w:b/>
                <w:bCs/>
                <w:sz w:val="16"/>
                <w:szCs w:val="16"/>
              </w:rPr>
              <w:t>(539)</w:t>
            </w:r>
          </w:p>
        </w:tc>
      </w:tr>
      <w:tr w:rsidR="00307AF0" w:rsidRPr="00287896" w14:paraId="3572C102" w14:textId="77777777" w:rsidTr="009338D4">
        <w:trPr>
          <w:trHeight w:val="300"/>
        </w:trPr>
        <w:tc>
          <w:tcPr>
            <w:tcW w:w="2500" w:type="dxa"/>
            <w:tcBorders>
              <w:top w:val="nil"/>
              <w:left w:val="single" w:sz="8" w:space="0" w:color="auto"/>
              <w:bottom w:val="nil"/>
              <w:right w:val="nil"/>
            </w:tcBorders>
            <w:shd w:val="clear" w:color="000000" w:fill="CCCCCC"/>
            <w:vAlign w:val="center"/>
            <w:hideMark/>
          </w:tcPr>
          <w:p w14:paraId="61A53C46"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Benefits Payable</w:t>
            </w:r>
          </w:p>
        </w:tc>
        <w:tc>
          <w:tcPr>
            <w:tcW w:w="2200" w:type="dxa"/>
            <w:tcBorders>
              <w:top w:val="nil"/>
              <w:left w:val="nil"/>
              <w:bottom w:val="nil"/>
              <w:right w:val="nil"/>
            </w:tcBorders>
            <w:shd w:val="clear" w:color="000000" w:fill="CCCCCC"/>
            <w:vAlign w:val="center"/>
            <w:hideMark/>
          </w:tcPr>
          <w:p w14:paraId="1B062153" w14:textId="77777777" w:rsidR="00307AF0" w:rsidRPr="00287896" w:rsidRDefault="00307AF0" w:rsidP="00307AF0">
            <w:pPr>
              <w:jc w:val="right"/>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nil"/>
              <w:right w:val="nil"/>
            </w:tcBorders>
            <w:shd w:val="clear" w:color="000000" w:fill="FFFFFF"/>
            <w:vAlign w:val="center"/>
            <w:hideMark/>
          </w:tcPr>
          <w:p w14:paraId="5539231A" w14:textId="79487623"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00" w:type="dxa"/>
            <w:tcBorders>
              <w:top w:val="nil"/>
              <w:left w:val="nil"/>
              <w:bottom w:val="nil"/>
              <w:right w:val="nil"/>
            </w:tcBorders>
            <w:shd w:val="clear" w:color="000000" w:fill="FFFFFF"/>
            <w:vAlign w:val="center"/>
            <w:hideMark/>
          </w:tcPr>
          <w:p w14:paraId="0C046DE5" w14:textId="6A0FA938"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60" w:type="dxa"/>
            <w:tcBorders>
              <w:top w:val="nil"/>
              <w:left w:val="nil"/>
              <w:bottom w:val="nil"/>
              <w:right w:val="nil"/>
            </w:tcBorders>
            <w:shd w:val="clear" w:color="000000" w:fill="FFFFFF"/>
            <w:vAlign w:val="center"/>
            <w:hideMark/>
          </w:tcPr>
          <w:p w14:paraId="20F8AEAE" w14:textId="07B9809C"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60" w:type="dxa"/>
            <w:tcBorders>
              <w:top w:val="nil"/>
              <w:left w:val="nil"/>
              <w:bottom w:val="nil"/>
              <w:right w:val="single" w:sz="8" w:space="0" w:color="auto"/>
            </w:tcBorders>
            <w:shd w:val="clear" w:color="000000" w:fill="FFFFFF"/>
            <w:vAlign w:val="center"/>
            <w:hideMark/>
          </w:tcPr>
          <w:p w14:paraId="7F51FD6F" w14:textId="56D54145" w:rsidR="00307AF0" w:rsidRPr="00287896" w:rsidRDefault="00307AF0" w:rsidP="00307AF0">
            <w:pPr>
              <w:jc w:val="right"/>
              <w:rPr>
                <w:rFonts w:ascii="Arial" w:hAnsi="Arial" w:cs="Arial"/>
                <w:b/>
                <w:bCs/>
                <w:sz w:val="16"/>
                <w:szCs w:val="16"/>
              </w:rPr>
            </w:pPr>
            <w:r>
              <w:rPr>
                <w:rFonts w:ascii="Arial" w:hAnsi="Arial" w:cs="Arial"/>
                <w:b/>
                <w:bCs/>
                <w:sz w:val="16"/>
                <w:szCs w:val="16"/>
              </w:rPr>
              <w:t> </w:t>
            </w:r>
          </w:p>
        </w:tc>
        <w:tc>
          <w:tcPr>
            <w:tcW w:w="1200" w:type="dxa"/>
            <w:tcBorders>
              <w:top w:val="nil"/>
              <w:left w:val="single" w:sz="8" w:space="0" w:color="auto"/>
              <w:bottom w:val="nil"/>
            </w:tcBorders>
            <w:shd w:val="clear" w:color="auto" w:fill="CCCCCC"/>
            <w:vAlign w:val="center"/>
            <w:hideMark/>
          </w:tcPr>
          <w:p w14:paraId="07747C52" w14:textId="003799D2"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00" w:type="dxa"/>
            <w:tcBorders>
              <w:top w:val="nil"/>
              <w:bottom w:val="nil"/>
              <w:right w:val="nil"/>
            </w:tcBorders>
            <w:shd w:val="clear" w:color="000000" w:fill="CCCCCC"/>
            <w:vAlign w:val="center"/>
            <w:hideMark/>
          </w:tcPr>
          <w:p w14:paraId="1AD205F8" w14:textId="67453019"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00" w:type="dxa"/>
            <w:tcBorders>
              <w:top w:val="nil"/>
              <w:left w:val="nil"/>
              <w:bottom w:val="nil"/>
              <w:right w:val="nil"/>
            </w:tcBorders>
            <w:shd w:val="clear" w:color="000000" w:fill="CCCCCC"/>
            <w:vAlign w:val="center"/>
            <w:hideMark/>
          </w:tcPr>
          <w:p w14:paraId="063BCD12" w14:textId="64ABE7D0"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00" w:type="dxa"/>
            <w:tcBorders>
              <w:top w:val="nil"/>
              <w:left w:val="nil"/>
              <w:bottom w:val="nil"/>
              <w:right w:val="single" w:sz="8" w:space="0" w:color="auto"/>
            </w:tcBorders>
            <w:shd w:val="clear" w:color="000000" w:fill="CCCCCC"/>
            <w:vAlign w:val="center"/>
            <w:hideMark/>
          </w:tcPr>
          <w:p w14:paraId="3F36D413" w14:textId="52FC12D4" w:rsidR="00307AF0" w:rsidRPr="00287896" w:rsidRDefault="00307AF0" w:rsidP="00307AF0">
            <w:pPr>
              <w:jc w:val="right"/>
              <w:rPr>
                <w:rFonts w:ascii="Arial" w:hAnsi="Arial" w:cs="Arial"/>
                <w:b/>
                <w:bCs/>
                <w:sz w:val="16"/>
                <w:szCs w:val="16"/>
              </w:rPr>
            </w:pPr>
            <w:r>
              <w:rPr>
                <w:rFonts w:ascii="Arial" w:hAnsi="Arial" w:cs="Arial"/>
                <w:b/>
                <w:bCs/>
                <w:sz w:val="16"/>
                <w:szCs w:val="16"/>
              </w:rPr>
              <w:t> </w:t>
            </w:r>
          </w:p>
        </w:tc>
      </w:tr>
      <w:tr w:rsidR="00307AF0" w:rsidRPr="00287896" w14:paraId="50487E2F" w14:textId="77777777" w:rsidTr="00307AF0">
        <w:trPr>
          <w:trHeight w:val="240"/>
        </w:trPr>
        <w:tc>
          <w:tcPr>
            <w:tcW w:w="2500" w:type="dxa"/>
            <w:tcBorders>
              <w:top w:val="nil"/>
              <w:left w:val="single" w:sz="8" w:space="0" w:color="auto"/>
              <w:bottom w:val="nil"/>
              <w:right w:val="nil"/>
            </w:tcBorders>
            <w:shd w:val="clear" w:color="000000" w:fill="CCCCCC"/>
            <w:vAlign w:val="center"/>
            <w:hideMark/>
          </w:tcPr>
          <w:p w14:paraId="0E6336FB"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Pensions</w:t>
            </w:r>
          </w:p>
        </w:tc>
        <w:tc>
          <w:tcPr>
            <w:tcW w:w="2200" w:type="dxa"/>
            <w:tcBorders>
              <w:top w:val="nil"/>
              <w:left w:val="nil"/>
              <w:bottom w:val="nil"/>
              <w:right w:val="nil"/>
            </w:tcBorders>
            <w:shd w:val="clear" w:color="000000" w:fill="CCCCCC"/>
            <w:vAlign w:val="center"/>
            <w:hideMark/>
          </w:tcPr>
          <w:p w14:paraId="0F40F914" w14:textId="77777777" w:rsidR="00307AF0" w:rsidRPr="00287896" w:rsidRDefault="00307AF0" w:rsidP="00307AF0">
            <w:pPr>
              <w:jc w:val="right"/>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nil"/>
              <w:right w:val="nil"/>
            </w:tcBorders>
            <w:shd w:val="clear" w:color="000000" w:fill="FFFFFF"/>
            <w:vAlign w:val="center"/>
            <w:hideMark/>
          </w:tcPr>
          <w:p w14:paraId="4AA02917" w14:textId="4830B50F" w:rsidR="00307AF0" w:rsidRPr="00287896" w:rsidRDefault="00307AF0" w:rsidP="00307AF0">
            <w:pPr>
              <w:jc w:val="right"/>
              <w:rPr>
                <w:rFonts w:ascii="Arial" w:hAnsi="Arial" w:cs="Arial"/>
                <w:sz w:val="16"/>
                <w:szCs w:val="16"/>
              </w:rPr>
            </w:pPr>
            <w:r>
              <w:rPr>
                <w:rFonts w:ascii="Arial" w:hAnsi="Arial" w:cs="Arial"/>
                <w:sz w:val="16"/>
                <w:szCs w:val="16"/>
              </w:rPr>
              <w:t>98,776</w:t>
            </w:r>
          </w:p>
        </w:tc>
        <w:tc>
          <w:tcPr>
            <w:tcW w:w="1200" w:type="dxa"/>
            <w:tcBorders>
              <w:top w:val="nil"/>
              <w:left w:val="nil"/>
              <w:bottom w:val="nil"/>
              <w:right w:val="nil"/>
            </w:tcBorders>
            <w:shd w:val="clear" w:color="000000" w:fill="FFFFFF"/>
            <w:vAlign w:val="center"/>
            <w:hideMark/>
          </w:tcPr>
          <w:p w14:paraId="7D55335D" w14:textId="5D095077" w:rsidR="00307AF0" w:rsidRPr="00287896" w:rsidRDefault="00307AF0" w:rsidP="00307AF0">
            <w:pPr>
              <w:jc w:val="right"/>
              <w:rPr>
                <w:rFonts w:ascii="Arial" w:hAnsi="Arial" w:cs="Arial"/>
                <w:sz w:val="16"/>
                <w:szCs w:val="16"/>
              </w:rPr>
            </w:pPr>
            <w:r>
              <w:rPr>
                <w:rFonts w:ascii="Arial" w:hAnsi="Arial" w:cs="Arial"/>
                <w:sz w:val="16"/>
                <w:szCs w:val="16"/>
              </w:rPr>
              <w:t>206</w:t>
            </w:r>
          </w:p>
        </w:tc>
        <w:tc>
          <w:tcPr>
            <w:tcW w:w="1260" w:type="dxa"/>
            <w:tcBorders>
              <w:top w:val="nil"/>
              <w:left w:val="nil"/>
              <w:bottom w:val="nil"/>
              <w:right w:val="nil"/>
            </w:tcBorders>
            <w:shd w:val="clear" w:color="000000" w:fill="FFFFFF"/>
            <w:vAlign w:val="center"/>
            <w:hideMark/>
          </w:tcPr>
          <w:p w14:paraId="48A07916" w14:textId="230FBEDD" w:rsidR="00307AF0" w:rsidRPr="00287896" w:rsidRDefault="00307AF0" w:rsidP="00307AF0">
            <w:pPr>
              <w:jc w:val="right"/>
              <w:rPr>
                <w:rFonts w:ascii="Arial" w:hAnsi="Arial" w:cs="Arial"/>
                <w:sz w:val="16"/>
                <w:szCs w:val="16"/>
              </w:rPr>
            </w:pPr>
            <w:r>
              <w:rPr>
                <w:rFonts w:ascii="Arial" w:hAnsi="Arial" w:cs="Arial"/>
                <w:sz w:val="16"/>
                <w:szCs w:val="16"/>
              </w:rPr>
              <w:t>1,775</w:t>
            </w:r>
          </w:p>
        </w:tc>
        <w:tc>
          <w:tcPr>
            <w:tcW w:w="1260" w:type="dxa"/>
            <w:tcBorders>
              <w:top w:val="nil"/>
              <w:left w:val="nil"/>
              <w:bottom w:val="nil"/>
              <w:right w:val="single" w:sz="8" w:space="0" w:color="auto"/>
            </w:tcBorders>
            <w:shd w:val="clear" w:color="000000" w:fill="FFFFFF"/>
            <w:vAlign w:val="center"/>
            <w:hideMark/>
          </w:tcPr>
          <w:p w14:paraId="4F521609" w14:textId="332EC637" w:rsidR="00307AF0" w:rsidRPr="00287896" w:rsidRDefault="00307AF0" w:rsidP="00307AF0">
            <w:pPr>
              <w:jc w:val="right"/>
              <w:rPr>
                <w:rFonts w:ascii="Arial" w:hAnsi="Arial" w:cs="Arial"/>
                <w:b/>
                <w:bCs/>
                <w:sz w:val="16"/>
                <w:szCs w:val="16"/>
              </w:rPr>
            </w:pPr>
            <w:r>
              <w:rPr>
                <w:rFonts w:ascii="Arial" w:hAnsi="Arial" w:cs="Arial"/>
                <w:b/>
                <w:bCs/>
                <w:sz w:val="16"/>
                <w:szCs w:val="16"/>
              </w:rPr>
              <w:t>100,757</w:t>
            </w:r>
          </w:p>
        </w:tc>
        <w:tc>
          <w:tcPr>
            <w:tcW w:w="1200" w:type="dxa"/>
            <w:tcBorders>
              <w:top w:val="nil"/>
              <w:left w:val="single" w:sz="8" w:space="0" w:color="auto"/>
              <w:bottom w:val="nil"/>
              <w:right w:val="nil"/>
            </w:tcBorders>
            <w:shd w:val="clear" w:color="auto" w:fill="CCCCCC"/>
            <w:vAlign w:val="center"/>
            <w:hideMark/>
          </w:tcPr>
          <w:p w14:paraId="1B243755" w14:textId="051B9B7B" w:rsidR="00307AF0" w:rsidRPr="00287896" w:rsidRDefault="00307AF0" w:rsidP="00307AF0">
            <w:pPr>
              <w:jc w:val="right"/>
              <w:rPr>
                <w:rFonts w:ascii="Arial" w:hAnsi="Arial" w:cs="Arial"/>
                <w:sz w:val="16"/>
                <w:szCs w:val="16"/>
              </w:rPr>
            </w:pPr>
            <w:r>
              <w:rPr>
                <w:rFonts w:ascii="Arial" w:hAnsi="Arial" w:cs="Arial"/>
                <w:sz w:val="16"/>
                <w:szCs w:val="16"/>
              </w:rPr>
              <w:t>106,003</w:t>
            </w:r>
          </w:p>
        </w:tc>
        <w:tc>
          <w:tcPr>
            <w:tcW w:w="1200" w:type="dxa"/>
            <w:tcBorders>
              <w:top w:val="nil"/>
              <w:left w:val="nil"/>
              <w:bottom w:val="nil"/>
              <w:right w:val="nil"/>
            </w:tcBorders>
            <w:shd w:val="clear" w:color="000000" w:fill="CCCCCC"/>
            <w:vAlign w:val="center"/>
            <w:hideMark/>
          </w:tcPr>
          <w:p w14:paraId="576B661C" w14:textId="1FF127E5" w:rsidR="00307AF0" w:rsidRPr="00287896" w:rsidRDefault="00307AF0" w:rsidP="00307AF0">
            <w:pPr>
              <w:jc w:val="right"/>
              <w:rPr>
                <w:rFonts w:ascii="Arial" w:hAnsi="Arial" w:cs="Arial"/>
                <w:sz w:val="16"/>
                <w:szCs w:val="16"/>
              </w:rPr>
            </w:pPr>
            <w:r>
              <w:rPr>
                <w:rFonts w:ascii="Arial" w:hAnsi="Arial" w:cs="Arial"/>
                <w:sz w:val="16"/>
                <w:szCs w:val="16"/>
              </w:rPr>
              <w:t>312</w:t>
            </w:r>
          </w:p>
        </w:tc>
        <w:tc>
          <w:tcPr>
            <w:tcW w:w="1200" w:type="dxa"/>
            <w:tcBorders>
              <w:top w:val="nil"/>
              <w:left w:val="nil"/>
              <w:bottom w:val="nil"/>
              <w:right w:val="nil"/>
            </w:tcBorders>
            <w:shd w:val="clear" w:color="000000" w:fill="CCCCCC"/>
            <w:vAlign w:val="center"/>
            <w:hideMark/>
          </w:tcPr>
          <w:p w14:paraId="4E391CC8" w14:textId="2CF584CB" w:rsidR="00307AF0" w:rsidRPr="00287896" w:rsidRDefault="00307AF0" w:rsidP="00307AF0">
            <w:pPr>
              <w:jc w:val="right"/>
              <w:rPr>
                <w:rFonts w:ascii="Arial" w:hAnsi="Arial" w:cs="Arial"/>
                <w:sz w:val="16"/>
                <w:szCs w:val="16"/>
              </w:rPr>
            </w:pPr>
            <w:r>
              <w:rPr>
                <w:rFonts w:ascii="Arial" w:hAnsi="Arial" w:cs="Arial"/>
                <w:sz w:val="16"/>
                <w:szCs w:val="16"/>
              </w:rPr>
              <w:t>2,188</w:t>
            </w:r>
          </w:p>
        </w:tc>
        <w:tc>
          <w:tcPr>
            <w:tcW w:w="1200" w:type="dxa"/>
            <w:tcBorders>
              <w:top w:val="nil"/>
              <w:left w:val="nil"/>
              <w:bottom w:val="nil"/>
              <w:right w:val="single" w:sz="8" w:space="0" w:color="auto"/>
            </w:tcBorders>
            <w:shd w:val="clear" w:color="000000" w:fill="CCCCCC"/>
            <w:vAlign w:val="center"/>
            <w:hideMark/>
          </w:tcPr>
          <w:p w14:paraId="001211FB" w14:textId="7140CD70" w:rsidR="00307AF0" w:rsidRPr="00287896" w:rsidRDefault="00307AF0" w:rsidP="00307AF0">
            <w:pPr>
              <w:jc w:val="right"/>
              <w:rPr>
                <w:rFonts w:ascii="Arial" w:hAnsi="Arial" w:cs="Arial"/>
                <w:b/>
                <w:bCs/>
                <w:sz w:val="16"/>
                <w:szCs w:val="16"/>
              </w:rPr>
            </w:pPr>
            <w:r>
              <w:rPr>
                <w:rFonts w:ascii="Arial" w:hAnsi="Arial" w:cs="Arial"/>
                <w:b/>
                <w:bCs/>
                <w:sz w:val="16"/>
                <w:szCs w:val="16"/>
              </w:rPr>
              <w:t>108,503</w:t>
            </w:r>
          </w:p>
        </w:tc>
      </w:tr>
      <w:tr w:rsidR="00307AF0" w:rsidRPr="00287896" w14:paraId="7C51FC71" w14:textId="77777777" w:rsidTr="00307AF0">
        <w:trPr>
          <w:trHeight w:val="450"/>
        </w:trPr>
        <w:tc>
          <w:tcPr>
            <w:tcW w:w="2500" w:type="dxa"/>
            <w:tcBorders>
              <w:top w:val="nil"/>
              <w:left w:val="single" w:sz="8" w:space="0" w:color="auto"/>
              <w:bottom w:val="nil"/>
              <w:right w:val="nil"/>
            </w:tcBorders>
            <w:shd w:val="clear" w:color="000000" w:fill="CCCCCC"/>
            <w:vAlign w:val="center"/>
            <w:hideMark/>
          </w:tcPr>
          <w:p w14:paraId="081DAD2B"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Commutations and lump sum retirement benefits</w:t>
            </w:r>
          </w:p>
        </w:tc>
        <w:tc>
          <w:tcPr>
            <w:tcW w:w="2200" w:type="dxa"/>
            <w:tcBorders>
              <w:top w:val="nil"/>
              <w:left w:val="nil"/>
              <w:bottom w:val="nil"/>
              <w:right w:val="nil"/>
            </w:tcBorders>
            <w:shd w:val="clear" w:color="000000" w:fill="CCCCCC"/>
            <w:vAlign w:val="center"/>
            <w:hideMark/>
          </w:tcPr>
          <w:p w14:paraId="7588EE6F" w14:textId="77777777" w:rsidR="00307AF0" w:rsidRPr="00287896" w:rsidRDefault="00307AF0" w:rsidP="00307AF0">
            <w:pPr>
              <w:jc w:val="center"/>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nil"/>
              <w:right w:val="nil"/>
            </w:tcBorders>
            <w:shd w:val="clear" w:color="000000" w:fill="FFFFFF"/>
            <w:vAlign w:val="center"/>
            <w:hideMark/>
          </w:tcPr>
          <w:p w14:paraId="213011C9" w14:textId="16FEB8BF" w:rsidR="00307AF0" w:rsidRPr="00287896" w:rsidRDefault="00307AF0" w:rsidP="00307AF0">
            <w:pPr>
              <w:jc w:val="right"/>
              <w:rPr>
                <w:rFonts w:ascii="Arial" w:hAnsi="Arial" w:cs="Arial"/>
                <w:sz w:val="16"/>
                <w:szCs w:val="16"/>
              </w:rPr>
            </w:pPr>
            <w:r>
              <w:rPr>
                <w:rFonts w:ascii="Arial" w:hAnsi="Arial" w:cs="Arial"/>
                <w:sz w:val="16"/>
                <w:szCs w:val="16"/>
              </w:rPr>
              <w:t>17,711</w:t>
            </w:r>
          </w:p>
        </w:tc>
        <w:tc>
          <w:tcPr>
            <w:tcW w:w="1200" w:type="dxa"/>
            <w:tcBorders>
              <w:top w:val="nil"/>
              <w:left w:val="nil"/>
              <w:bottom w:val="nil"/>
              <w:right w:val="nil"/>
            </w:tcBorders>
            <w:shd w:val="clear" w:color="000000" w:fill="FFFFFF"/>
            <w:vAlign w:val="center"/>
            <w:hideMark/>
          </w:tcPr>
          <w:p w14:paraId="4C27106E" w14:textId="02A5AA42" w:rsidR="00307AF0" w:rsidRPr="00287896" w:rsidRDefault="00307AF0" w:rsidP="00307AF0">
            <w:pPr>
              <w:jc w:val="right"/>
              <w:rPr>
                <w:rFonts w:ascii="Arial" w:hAnsi="Arial" w:cs="Arial"/>
                <w:sz w:val="16"/>
                <w:szCs w:val="16"/>
              </w:rPr>
            </w:pPr>
            <w:r>
              <w:rPr>
                <w:rFonts w:ascii="Arial" w:hAnsi="Arial" w:cs="Arial"/>
                <w:sz w:val="16"/>
                <w:szCs w:val="16"/>
              </w:rPr>
              <w:t>252</w:t>
            </w:r>
          </w:p>
        </w:tc>
        <w:tc>
          <w:tcPr>
            <w:tcW w:w="1260" w:type="dxa"/>
            <w:tcBorders>
              <w:top w:val="nil"/>
              <w:left w:val="nil"/>
              <w:bottom w:val="nil"/>
              <w:right w:val="nil"/>
            </w:tcBorders>
            <w:shd w:val="clear" w:color="000000" w:fill="FFFFFF"/>
            <w:vAlign w:val="center"/>
            <w:hideMark/>
          </w:tcPr>
          <w:p w14:paraId="11AE1F96" w14:textId="055FE82C" w:rsidR="00307AF0" w:rsidRPr="00287896" w:rsidRDefault="00307AF0" w:rsidP="00307AF0">
            <w:pPr>
              <w:jc w:val="right"/>
              <w:rPr>
                <w:rFonts w:ascii="Arial" w:hAnsi="Arial" w:cs="Arial"/>
                <w:sz w:val="16"/>
                <w:szCs w:val="16"/>
              </w:rPr>
            </w:pPr>
            <w:r>
              <w:rPr>
                <w:rFonts w:ascii="Arial" w:hAnsi="Arial" w:cs="Arial"/>
                <w:sz w:val="16"/>
                <w:szCs w:val="16"/>
              </w:rPr>
              <w:t>570</w:t>
            </w:r>
          </w:p>
        </w:tc>
        <w:tc>
          <w:tcPr>
            <w:tcW w:w="1260" w:type="dxa"/>
            <w:tcBorders>
              <w:top w:val="nil"/>
              <w:left w:val="nil"/>
              <w:bottom w:val="nil"/>
              <w:right w:val="single" w:sz="8" w:space="0" w:color="auto"/>
            </w:tcBorders>
            <w:shd w:val="clear" w:color="000000" w:fill="FFFFFF"/>
            <w:vAlign w:val="center"/>
            <w:hideMark/>
          </w:tcPr>
          <w:p w14:paraId="5FFE65E0" w14:textId="6D22A42D" w:rsidR="00307AF0" w:rsidRPr="00287896" w:rsidRDefault="00307AF0" w:rsidP="00307AF0">
            <w:pPr>
              <w:jc w:val="right"/>
              <w:rPr>
                <w:rFonts w:ascii="Arial" w:hAnsi="Arial" w:cs="Arial"/>
                <w:b/>
                <w:bCs/>
                <w:sz w:val="16"/>
                <w:szCs w:val="16"/>
              </w:rPr>
            </w:pPr>
            <w:r>
              <w:rPr>
                <w:rFonts w:ascii="Arial" w:hAnsi="Arial" w:cs="Arial"/>
                <w:b/>
                <w:bCs/>
                <w:sz w:val="16"/>
                <w:szCs w:val="16"/>
              </w:rPr>
              <w:t>18,533</w:t>
            </w:r>
          </w:p>
        </w:tc>
        <w:tc>
          <w:tcPr>
            <w:tcW w:w="1200" w:type="dxa"/>
            <w:tcBorders>
              <w:top w:val="nil"/>
              <w:left w:val="single" w:sz="8" w:space="0" w:color="auto"/>
              <w:bottom w:val="nil"/>
              <w:right w:val="nil"/>
            </w:tcBorders>
            <w:shd w:val="clear" w:color="auto" w:fill="CCCCCC"/>
            <w:vAlign w:val="center"/>
            <w:hideMark/>
          </w:tcPr>
          <w:p w14:paraId="3D973EE8" w14:textId="7A287240" w:rsidR="00307AF0" w:rsidRPr="00287896" w:rsidRDefault="00307AF0" w:rsidP="00307AF0">
            <w:pPr>
              <w:jc w:val="right"/>
              <w:rPr>
                <w:rFonts w:ascii="Arial" w:hAnsi="Arial" w:cs="Arial"/>
                <w:sz w:val="16"/>
                <w:szCs w:val="16"/>
              </w:rPr>
            </w:pPr>
            <w:r>
              <w:rPr>
                <w:rFonts w:ascii="Arial" w:hAnsi="Arial" w:cs="Arial"/>
                <w:sz w:val="16"/>
                <w:szCs w:val="16"/>
              </w:rPr>
              <w:t>18,687</w:t>
            </w:r>
          </w:p>
        </w:tc>
        <w:tc>
          <w:tcPr>
            <w:tcW w:w="1200" w:type="dxa"/>
            <w:tcBorders>
              <w:top w:val="nil"/>
              <w:left w:val="nil"/>
              <w:bottom w:val="nil"/>
              <w:right w:val="nil"/>
            </w:tcBorders>
            <w:shd w:val="clear" w:color="000000" w:fill="CCCCCC"/>
            <w:vAlign w:val="center"/>
            <w:hideMark/>
          </w:tcPr>
          <w:p w14:paraId="6E551FC6" w14:textId="1D5E56DB" w:rsidR="00307AF0" w:rsidRPr="00287896" w:rsidRDefault="00307AF0" w:rsidP="00307AF0">
            <w:pPr>
              <w:jc w:val="right"/>
              <w:rPr>
                <w:rFonts w:ascii="Arial" w:hAnsi="Arial" w:cs="Arial"/>
                <w:sz w:val="16"/>
                <w:szCs w:val="16"/>
              </w:rPr>
            </w:pPr>
            <w:r>
              <w:rPr>
                <w:rFonts w:ascii="Arial" w:hAnsi="Arial" w:cs="Arial"/>
                <w:sz w:val="16"/>
                <w:szCs w:val="16"/>
              </w:rPr>
              <w:t>278</w:t>
            </w:r>
          </w:p>
        </w:tc>
        <w:tc>
          <w:tcPr>
            <w:tcW w:w="1200" w:type="dxa"/>
            <w:tcBorders>
              <w:top w:val="nil"/>
              <w:left w:val="nil"/>
              <w:bottom w:val="nil"/>
              <w:right w:val="nil"/>
            </w:tcBorders>
            <w:shd w:val="clear" w:color="000000" w:fill="CCCCCC"/>
            <w:vAlign w:val="center"/>
            <w:hideMark/>
          </w:tcPr>
          <w:p w14:paraId="52B0D26F" w14:textId="1FA7CB1C" w:rsidR="00307AF0" w:rsidRPr="00287896" w:rsidRDefault="00307AF0" w:rsidP="00307AF0">
            <w:pPr>
              <w:jc w:val="right"/>
              <w:rPr>
                <w:rFonts w:ascii="Arial" w:hAnsi="Arial" w:cs="Arial"/>
                <w:sz w:val="16"/>
                <w:szCs w:val="16"/>
              </w:rPr>
            </w:pPr>
            <w:r>
              <w:rPr>
                <w:rFonts w:ascii="Arial" w:hAnsi="Arial" w:cs="Arial"/>
                <w:sz w:val="16"/>
                <w:szCs w:val="16"/>
              </w:rPr>
              <w:t>793</w:t>
            </w:r>
          </w:p>
        </w:tc>
        <w:tc>
          <w:tcPr>
            <w:tcW w:w="1200" w:type="dxa"/>
            <w:tcBorders>
              <w:top w:val="nil"/>
              <w:left w:val="nil"/>
              <w:bottom w:val="nil"/>
              <w:right w:val="single" w:sz="8" w:space="0" w:color="auto"/>
            </w:tcBorders>
            <w:shd w:val="clear" w:color="000000" w:fill="CCCCCC"/>
            <w:vAlign w:val="center"/>
            <w:hideMark/>
          </w:tcPr>
          <w:p w14:paraId="6485CE8E" w14:textId="256DE8C0" w:rsidR="00307AF0" w:rsidRPr="00287896" w:rsidRDefault="00307AF0" w:rsidP="00307AF0">
            <w:pPr>
              <w:jc w:val="right"/>
              <w:rPr>
                <w:rFonts w:ascii="Arial" w:hAnsi="Arial" w:cs="Arial"/>
                <w:b/>
                <w:bCs/>
                <w:sz w:val="16"/>
                <w:szCs w:val="16"/>
              </w:rPr>
            </w:pPr>
            <w:r>
              <w:rPr>
                <w:rFonts w:ascii="Arial" w:hAnsi="Arial" w:cs="Arial"/>
                <w:b/>
                <w:bCs/>
                <w:sz w:val="16"/>
                <w:szCs w:val="16"/>
              </w:rPr>
              <w:t>19,757</w:t>
            </w:r>
          </w:p>
        </w:tc>
      </w:tr>
      <w:tr w:rsidR="00307AF0" w:rsidRPr="00287896" w14:paraId="6F3997A2" w14:textId="77777777">
        <w:trPr>
          <w:trHeight w:val="315"/>
        </w:trPr>
        <w:tc>
          <w:tcPr>
            <w:tcW w:w="2500" w:type="dxa"/>
            <w:tcBorders>
              <w:top w:val="nil"/>
              <w:left w:val="single" w:sz="8" w:space="0" w:color="auto"/>
              <w:bottom w:val="nil"/>
              <w:right w:val="nil"/>
            </w:tcBorders>
            <w:shd w:val="clear" w:color="000000" w:fill="CCCCCC"/>
            <w:vAlign w:val="center"/>
            <w:hideMark/>
          </w:tcPr>
          <w:p w14:paraId="704E799A"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Lump sum death benefits</w:t>
            </w:r>
          </w:p>
        </w:tc>
        <w:tc>
          <w:tcPr>
            <w:tcW w:w="2200" w:type="dxa"/>
            <w:tcBorders>
              <w:top w:val="nil"/>
              <w:left w:val="nil"/>
              <w:bottom w:val="nil"/>
              <w:right w:val="nil"/>
            </w:tcBorders>
            <w:shd w:val="clear" w:color="000000" w:fill="CCCCCC"/>
            <w:vAlign w:val="center"/>
            <w:hideMark/>
          </w:tcPr>
          <w:p w14:paraId="0D9C0135" w14:textId="77777777" w:rsidR="00307AF0" w:rsidRPr="00287896" w:rsidRDefault="00307AF0" w:rsidP="00307AF0">
            <w:pPr>
              <w:jc w:val="right"/>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single" w:sz="8" w:space="0" w:color="auto"/>
              <w:right w:val="nil"/>
            </w:tcBorders>
            <w:shd w:val="clear" w:color="000000" w:fill="FFFFFF"/>
            <w:vAlign w:val="center"/>
            <w:hideMark/>
          </w:tcPr>
          <w:p w14:paraId="34E71643" w14:textId="44C607AC" w:rsidR="00307AF0" w:rsidRPr="00287896" w:rsidRDefault="00307AF0" w:rsidP="00307AF0">
            <w:pPr>
              <w:jc w:val="right"/>
              <w:rPr>
                <w:rFonts w:ascii="Arial" w:hAnsi="Arial" w:cs="Arial"/>
                <w:sz w:val="16"/>
                <w:szCs w:val="16"/>
              </w:rPr>
            </w:pPr>
            <w:r>
              <w:rPr>
                <w:rFonts w:ascii="Arial" w:hAnsi="Arial" w:cs="Arial"/>
                <w:sz w:val="16"/>
                <w:szCs w:val="16"/>
              </w:rPr>
              <w:t>8</w:t>
            </w:r>
          </w:p>
        </w:tc>
        <w:tc>
          <w:tcPr>
            <w:tcW w:w="1200" w:type="dxa"/>
            <w:tcBorders>
              <w:top w:val="nil"/>
              <w:left w:val="nil"/>
              <w:bottom w:val="single" w:sz="8" w:space="0" w:color="auto"/>
              <w:right w:val="nil"/>
            </w:tcBorders>
            <w:shd w:val="clear" w:color="000000" w:fill="FFFFFF"/>
            <w:vAlign w:val="center"/>
            <w:hideMark/>
          </w:tcPr>
          <w:p w14:paraId="204DD12C" w14:textId="1D8557FA"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60" w:type="dxa"/>
            <w:tcBorders>
              <w:top w:val="nil"/>
              <w:left w:val="nil"/>
              <w:bottom w:val="single" w:sz="8" w:space="0" w:color="auto"/>
              <w:right w:val="nil"/>
            </w:tcBorders>
            <w:shd w:val="clear" w:color="000000" w:fill="FFFFFF"/>
            <w:vAlign w:val="center"/>
            <w:hideMark/>
          </w:tcPr>
          <w:p w14:paraId="645E4DBD" w14:textId="77BBB7CB" w:rsidR="00307AF0" w:rsidRPr="00287896" w:rsidRDefault="00307AF0" w:rsidP="00307AF0">
            <w:pPr>
              <w:jc w:val="right"/>
              <w:rPr>
                <w:rFonts w:ascii="Arial" w:hAnsi="Arial" w:cs="Arial"/>
                <w:sz w:val="16"/>
                <w:szCs w:val="16"/>
              </w:rPr>
            </w:pPr>
            <w:r>
              <w:rPr>
                <w:rFonts w:ascii="Arial" w:hAnsi="Arial" w:cs="Arial"/>
                <w:sz w:val="16"/>
                <w:szCs w:val="16"/>
              </w:rPr>
              <w:t>508</w:t>
            </w:r>
          </w:p>
        </w:tc>
        <w:tc>
          <w:tcPr>
            <w:tcW w:w="1260" w:type="dxa"/>
            <w:tcBorders>
              <w:top w:val="nil"/>
              <w:left w:val="nil"/>
              <w:bottom w:val="single" w:sz="8" w:space="0" w:color="auto"/>
              <w:right w:val="single" w:sz="8" w:space="0" w:color="auto"/>
            </w:tcBorders>
            <w:shd w:val="clear" w:color="000000" w:fill="FFFFFF"/>
            <w:vAlign w:val="center"/>
            <w:hideMark/>
          </w:tcPr>
          <w:p w14:paraId="10D933D0" w14:textId="0D178CDF" w:rsidR="00307AF0" w:rsidRPr="00287896" w:rsidRDefault="00307AF0" w:rsidP="00307AF0">
            <w:pPr>
              <w:jc w:val="right"/>
              <w:rPr>
                <w:rFonts w:ascii="Arial" w:hAnsi="Arial" w:cs="Arial"/>
                <w:b/>
                <w:bCs/>
                <w:sz w:val="16"/>
                <w:szCs w:val="16"/>
              </w:rPr>
            </w:pPr>
            <w:r>
              <w:rPr>
                <w:rFonts w:ascii="Arial" w:hAnsi="Arial" w:cs="Arial"/>
                <w:b/>
                <w:bCs/>
                <w:sz w:val="16"/>
                <w:szCs w:val="16"/>
              </w:rPr>
              <w:t>516</w:t>
            </w:r>
          </w:p>
        </w:tc>
        <w:tc>
          <w:tcPr>
            <w:tcW w:w="1200" w:type="dxa"/>
            <w:tcBorders>
              <w:top w:val="nil"/>
              <w:left w:val="nil"/>
              <w:bottom w:val="nil"/>
              <w:right w:val="nil"/>
            </w:tcBorders>
            <w:shd w:val="clear" w:color="000000" w:fill="CCCCCC"/>
            <w:vAlign w:val="center"/>
            <w:hideMark/>
          </w:tcPr>
          <w:p w14:paraId="77A57878" w14:textId="7440FBA5"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CCCCCC"/>
            <w:vAlign w:val="center"/>
            <w:hideMark/>
          </w:tcPr>
          <w:p w14:paraId="220B7F7E" w14:textId="14279FAD"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CCCCCC"/>
            <w:vAlign w:val="center"/>
            <w:hideMark/>
          </w:tcPr>
          <w:p w14:paraId="2E26CDD4" w14:textId="6C318CDA" w:rsidR="00307AF0" w:rsidRPr="00287896" w:rsidRDefault="00307AF0" w:rsidP="00307AF0">
            <w:pPr>
              <w:jc w:val="right"/>
              <w:rPr>
                <w:rFonts w:ascii="Arial" w:hAnsi="Arial" w:cs="Arial"/>
                <w:sz w:val="16"/>
                <w:szCs w:val="16"/>
              </w:rPr>
            </w:pPr>
            <w:r>
              <w:rPr>
                <w:rFonts w:ascii="Arial" w:hAnsi="Arial" w:cs="Arial"/>
                <w:sz w:val="16"/>
                <w:szCs w:val="16"/>
              </w:rPr>
              <w:t>282</w:t>
            </w:r>
          </w:p>
        </w:tc>
        <w:tc>
          <w:tcPr>
            <w:tcW w:w="1200" w:type="dxa"/>
            <w:tcBorders>
              <w:top w:val="nil"/>
              <w:left w:val="nil"/>
              <w:bottom w:val="nil"/>
              <w:right w:val="single" w:sz="8" w:space="0" w:color="auto"/>
            </w:tcBorders>
            <w:shd w:val="clear" w:color="000000" w:fill="CCCCCC"/>
            <w:vAlign w:val="center"/>
            <w:hideMark/>
          </w:tcPr>
          <w:p w14:paraId="21B31BAE" w14:textId="3A44893D" w:rsidR="00307AF0" w:rsidRPr="00287896" w:rsidRDefault="00307AF0" w:rsidP="00307AF0">
            <w:pPr>
              <w:jc w:val="right"/>
              <w:rPr>
                <w:rFonts w:ascii="Arial" w:hAnsi="Arial" w:cs="Arial"/>
                <w:b/>
                <w:bCs/>
                <w:sz w:val="16"/>
                <w:szCs w:val="16"/>
              </w:rPr>
            </w:pPr>
            <w:r>
              <w:rPr>
                <w:rFonts w:ascii="Arial" w:hAnsi="Arial" w:cs="Arial"/>
                <w:b/>
                <w:bCs/>
                <w:sz w:val="16"/>
                <w:szCs w:val="16"/>
              </w:rPr>
              <w:t>282</w:t>
            </w:r>
          </w:p>
        </w:tc>
      </w:tr>
      <w:tr w:rsidR="00307AF0" w:rsidRPr="00287896" w14:paraId="73A36209" w14:textId="77777777">
        <w:trPr>
          <w:trHeight w:val="300"/>
        </w:trPr>
        <w:tc>
          <w:tcPr>
            <w:tcW w:w="2500" w:type="dxa"/>
            <w:tcBorders>
              <w:top w:val="nil"/>
              <w:left w:val="single" w:sz="8" w:space="0" w:color="auto"/>
              <w:bottom w:val="nil"/>
              <w:right w:val="nil"/>
            </w:tcBorders>
            <w:shd w:val="clear" w:color="000000" w:fill="CCCCCC"/>
            <w:vAlign w:val="center"/>
            <w:hideMark/>
          </w:tcPr>
          <w:p w14:paraId="0F7B0F40"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Total Benefits Payable</w:t>
            </w:r>
          </w:p>
        </w:tc>
        <w:tc>
          <w:tcPr>
            <w:tcW w:w="2200" w:type="dxa"/>
            <w:tcBorders>
              <w:top w:val="nil"/>
              <w:left w:val="nil"/>
              <w:bottom w:val="nil"/>
              <w:right w:val="nil"/>
            </w:tcBorders>
            <w:shd w:val="clear" w:color="000000" w:fill="CCCCCC"/>
            <w:vAlign w:val="center"/>
            <w:hideMark/>
          </w:tcPr>
          <w:p w14:paraId="7F04C537" w14:textId="77777777" w:rsidR="00307AF0" w:rsidRPr="00287896" w:rsidRDefault="00307AF0" w:rsidP="00307AF0">
            <w:pPr>
              <w:jc w:val="right"/>
              <w:rPr>
                <w:rFonts w:ascii="Arial" w:hAnsi="Arial" w:cs="Arial"/>
                <w:b/>
                <w:bCs/>
                <w:sz w:val="16"/>
                <w:szCs w:val="16"/>
              </w:rPr>
            </w:pPr>
            <w:r w:rsidRPr="00287896">
              <w:rPr>
                <w:rFonts w:ascii="Arial" w:hAnsi="Arial" w:cs="Arial"/>
                <w:b/>
                <w:bCs/>
                <w:sz w:val="16"/>
                <w:szCs w:val="16"/>
              </w:rPr>
              <w:t> </w:t>
            </w:r>
          </w:p>
        </w:tc>
        <w:tc>
          <w:tcPr>
            <w:tcW w:w="1440" w:type="dxa"/>
            <w:tcBorders>
              <w:top w:val="nil"/>
              <w:left w:val="single" w:sz="8" w:space="0" w:color="auto"/>
              <w:bottom w:val="nil"/>
              <w:right w:val="nil"/>
            </w:tcBorders>
            <w:shd w:val="clear" w:color="000000" w:fill="FFFFFF"/>
            <w:vAlign w:val="center"/>
            <w:hideMark/>
          </w:tcPr>
          <w:p w14:paraId="750ECD4F" w14:textId="436B22ED" w:rsidR="00307AF0" w:rsidRPr="00287896" w:rsidRDefault="00307AF0" w:rsidP="00307AF0">
            <w:pPr>
              <w:jc w:val="right"/>
              <w:rPr>
                <w:rFonts w:ascii="Arial" w:hAnsi="Arial" w:cs="Arial"/>
                <w:b/>
                <w:bCs/>
                <w:sz w:val="16"/>
                <w:szCs w:val="16"/>
              </w:rPr>
            </w:pPr>
            <w:r>
              <w:rPr>
                <w:rFonts w:ascii="Arial" w:hAnsi="Arial" w:cs="Arial"/>
                <w:b/>
                <w:bCs/>
                <w:sz w:val="16"/>
                <w:szCs w:val="16"/>
              </w:rPr>
              <w:t>116,495</w:t>
            </w:r>
          </w:p>
        </w:tc>
        <w:tc>
          <w:tcPr>
            <w:tcW w:w="1200" w:type="dxa"/>
            <w:tcBorders>
              <w:top w:val="nil"/>
              <w:left w:val="nil"/>
              <w:bottom w:val="nil"/>
              <w:right w:val="nil"/>
            </w:tcBorders>
            <w:shd w:val="clear" w:color="000000" w:fill="FFFFFF"/>
            <w:vAlign w:val="center"/>
            <w:hideMark/>
          </w:tcPr>
          <w:p w14:paraId="53E73321" w14:textId="0D9D5150" w:rsidR="00307AF0" w:rsidRPr="00287896" w:rsidRDefault="00307AF0" w:rsidP="00307AF0">
            <w:pPr>
              <w:jc w:val="right"/>
              <w:rPr>
                <w:rFonts w:ascii="Arial" w:hAnsi="Arial" w:cs="Arial"/>
                <w:b/>
                <w:bCs/>
                <w:sz w:val="16"/>
                <w:szCs w:val="16"/>
              </w:rPr>
            </w:pPr>
            <w:r>
              <w:rPr>
                <w:rFonts w:ascii="Arial" w:hAnsi="Arial" w:cs="Arial"/>
                <w:b/>
                <w:bCs/>
                <w:sz w:val="16"/>
                <w:szCs w:val="16"/>
              </w:rPr>
              <w:t>459</w:t>
            </w:r>
          </w:p>
        </w:tc>
        <w:tc>
          <w:tcPr>
            <w:tcW w:w="1260" w:type="dxa"/>
            <w:tcBorders>
              <w:top w:val="nil"/>
              <w:left w:val="nil"/>
              <w:bottom w:val="nil"/>
              <w:right w:val="nil"/>
            </w:tcBorders>
            <w:shd w:val="clear" w:color="000000" w:fill="FFFFFF"/>
            <w:vAlign w:val="center"/>
            <w:hideMark/>
          </w:tcPr>
          <w:p w14:paraId="67A15453" w14:textId="6276CC91" w:rsidR="00307AF0" w:rsidRPr="00287896" w:rsidRDefault="00307AF0" w:rsidP="00307AF0">
            <w:pPr>
              <w:jc w:val="right"/>
              <w:rPr>
                <w:rFonts w:ascii="Arial" w:hAnsi="Arial" w:cs="Arial"/>
                <w:b/>
                <w:bCs/>
                <w:sz w:val="16"/>
                <w:szCs w:val="16"/>
              </w:rPr>
            </w:pPr>
            <w:r>
              <w:rPr>
                <w:rFonts w:ascii="Arial" w:hAnsi="Arial" w:cs="Arial"/>
                <w:b/>
                <w:bCs/>
                <w:sz w:val="16"/>
                <w:szCs w:val="16"/>
              </w:rPr>
              <w:t>2,853</w:t>
            </w:r>
          </w:p>
        </w:tc>
        <w:tc>
          <w:tcPr>
            <w:tcW w:w="1260" w:type="dxa"/>
            <w:tcBorders>
              <w:top w:val="nil"/>
              <w:left w:val="nil"/>
              <w:bottom w:val="nil"/>
              <w:right w:val="single" w:sz="8" w:space="0" w:color="auto"/>
            </w:tcBorders>
            <w:shd w:val="clear" w:color="000000" w:fill="FFFFFF"/>
            <w:vAlign w:val="center"/>
            <w:hideMark/>
          </w:tcPr>
          <w:p w14:paraId="332CDE1A" w14:textId="61B68EC0" w:rsidR="00307AF0" w:rsidRPr="00287896" w:rsidRDefault="00307AF0" w:rsidP="00307AF0">
            <w:pPr>
              <w:jc w:val="right"/>
              <w:rPr>
                <w:rFonts w:ascii="Arial" w:hAnsi="Arial" w:cs="Arial"/>
                <w:b/>
                <w:bCs/>
                <w:sz w:val="16"/>
                <w:szCs w:val="16"/>
              </w:rPr>
            </w:pPr>
            <w:r>
              <w:rPr>
                <w:rFonts w:ascii="Arial" w:hAnsi="Arial" w:cs="Arial"/>
                <w:b/>
                <w:bCs/>
                <w:sz w:val="16"/>
                <w:szCs w:val="16"/>
              </w:rPr>
              <w:t>119,80</w:t>
            </w:r>
            <w:r w:rsidR="00380600">
              <w:rPr>
                <w:rFonts w:ascii="Arial" w:hAnsi="Arial" w:cs="Arial"/>
                <w:b/>
                <w:bCs/>
                <w:sz w:val="16"/>
                <w:szCs w:val="16"/>
              </w:rPr>
              <w:t>6</w:t>
            </w:r>
          </w:p>
        </w:tc>
        <w:tc>
          <w:tcPr>
            <w:tcW w:w="1200" w:type="dxa"/>
            <w:tcBorders>
              <w:top w:val="single" w:sz="8" w:space="0" w:color="auto"/>
              <w:left w:val="nil"/>
              <w:bottom w:val="nil"/>
              <w:right w:val="nil"/>
            </w:tcBorders>
            <w:shd w:val="clear" w:color="000000" w:fill="CCCCCC"/>
            <w:vAlign w:val="center"/>
            <w:hideMark/>
          </w:tcPr>
          <w:p w14:paraId="5B515F24" w14:textId="60639026" w:rsidR="00307AF0" w:rsidRPr="00287896" w:rsidRDefault="00307AF0" w:rsidP="00307AF0">
            <w:pPr>
              <w:jc w:val="right"/>
              <w:rPr>
                <w:rFonts w:ascii="Arial" w:hAnsi="Arial" w:cs="Arial"/>
                <w:b/>
                <w:bCs/>
                <w:sz w:val="16"/>
                <w:szCs w:val="16"/>
              </w:rPr>
            </w:pPr>
            <w:r>
              <w:rPr>
                <w:rFonts w:ascii="Arial" w:hAnsi="Arial" w:cs="Arial"/>
                <w:b/>
                <w:bCs/>
                <w:sz w:val="16"/>
                <w:szCs w:val="16"/>
              </w:rPr>
              <w:t>124,689</w:t>
            </w:r>
          </w:p>
        </w:tc>
        <w:tc>
          <w:tcPr>
            <w:tcW w:w="1200" w:type="dxa"/>
            <w:tcBorders>
              <w:top w:val="single" w:sz="8" w:space="0" w:color="auto"/>
              <w:left w:val="nil"/>
              <w:bottom w:val="nil"/>
              <w:right w:val="nil"/>
            </w:tcBorders>
            <w:shd w:val="clear" w:color="000000" w:fill="CCCCCC"/>
            <w:vAlign w:val="center"/>
            <w:hideMark/>
          </w:tcPr>
          <w:p w14:paraId="5BBBBDCB" w14:textId="52140E32" w:rsidR="00307AF0" w:rsidRPr="00287896" w:rsidRDefault="00307AF0" w:rsidP="00307AF0">
            <w:pPr>
              <w:jc w:val="right"/>
              <w:rPr>
                <w:rFonts w:ascii="Arial" w:hAnsi="Arial" w:cs="Arial"/>
                <w:b/>
                <w:bCs/>
                <w:sz w:val="16"/>
                <w:szCs w:val="16"/>
              </w:rPr>
            </w:pPr>
            <w:r>
              <w:rPr>
                <w:rFonts w:ascii="Arial" w:hAnsi="Arial" w:cs="Arial"/>
                <w:b/>
                <w:bCs/>
                <w:sz w:val="16"/>
                <w:szCs w:val="16"/>
              </w:rPr>
              <w:t>589</w:t>
            </w:r>
          </w:p>
        </w:tc>
        <w:tc>
          <w:tcPr>
            <w:tcW w:w="1200" w:type="dxa"/>
            <w:tcBorders>
              <w:top w:val="single" w:sz="8" w:space="0" w:color="auto"/>
              <w:left w:val="nil"/>
              <w:bottom w:val="nil"/>
              <w:right w:val="nil"/>
            </w:tcBorders>
            <w:shd w:val="clear" w:color="000000" w:fill="CCCCCC"/>
            <w:vAlign w:val="center"/>
            <w:hideMark/>
          </w:tcPr>
          <w:p w14:paraId="4C6D0D28" w14:textId="2C78814A" w:rsidR="00307AF0" w:rsidRPr="00287896" w:rsidRDefault="00307AF0" w:rsidP="00307AF0">
            <w:pPr>
              <w:jc w:val="right"/>
              <w:rPr>
                <w:rFonts w:ascii="Arial" w:hAnsi="Arial" w:cs="Arial"/>
                <w:b/>
                <w:bCs/>
                <w:sz w:val="16"/>
                <w:szCs w:val="16"/>
              </w:rPr>
            </w:pPr>
            <w:r>
              <w:rPr>
                <w:rFonts w:ascii="Arial" w:hAnsi="Arial" w:cs="Arial"/>
                <w:b/>
                <w:bCs/>
                <w:sz w:val="16"/>
                <w:szCs w:val="16"/>
              </w:rPr>
              <w:t>3,264</w:t>
            </w:r>
          </w:p>
        </w:tc>
        <w:tc>
          <w:tcPr>
            <w:tcW w:w="1200" w:type="dxa"/>
            <w:tcBorders>
              <w:top w:val="single" w:sz="8" w:space="0" w:color="auto"/>
              <w:left w:val="nil"/>
              <w:bottom w:val="nil"/>
              <w:right w:val="single" w:sz="8" w:space="0" w:color="auto"/>
            </w:tcBorders>
            <w:shd w:val="clear" w:color="000000" w:fill="CCCCCC"/>
            <w:vAlign w:val="center"/>
            <w:hideMark/>
          </w:tcPr>
          <w:p w14:paraId="0E9E8D67" w14:textId="204C8FC7" w:rsidR="00307AF0" w:rsidRPr="00287896" w:rsidRDefault="00307AF0" w:rsidP="00307AF0">
            <w:pPr>
              <w:jc w:val="right"/>
              <w:rPr>
                <w:rFonts w:ascii="Arial" w:hAnsi="Arial" w:cs="Arial"/>
                <w:b/>
                <w:bCs/>
                <w:sz w:val="16"/>
                <w:szCs w:val="16"/>
              </w:rPr>
            </w:pPr>
            <w:r>
              <w:rPr>
                <w:rFonts w:ascii="Arial" w:hAnsi="Arial" w:cs="Arial"/>
                <w:b/>
                <w:bCs/>
                <w:sz w:val="16"/>
                <w:szCs w:val="16"/>
              </w:rPr>
              <w:t>128,542</w:t>
            </w:r>
          </w:p>
        </w:tc>
      </w:tr>
      <w:tr w:rsidR="00307AF0" w:rsidRPr="00287896" w14:paraId="025D568B" w14:textId="77777777">
        <w:trPr>
          <w:trHeight w:val="450"/>
        </w:trPr>
        <w:tc>
          <w:tcPr>
            <w:tcW w:w="2500" w:type="dxa"/>
            <w:tcBorders>
              <w:top w:val="nil"/>
              <w:left w:val="single" w:sz="8" w:space="0" w:color="auto"/>
              <w:bottom w:val="nil"/>
              <w:right w:val="nil"/>
            </w:tcBorders>
            <w:shd w:val="clear" w:color="000000" w:fill="CCCCCC"/>
            <w:vAlign w:val="center"/>
            <w:hideMark/>
          </w:tcPr>
          <w:p w14:paraId="5DF4E742"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Payments on Account of Leavers</w:t>
            </w:r>
          </w:p>
        </w:tc>
        <w:tc>
          <w:tcPr>
            <w:tcW w:w="2200" w:type="dxa"/>
            <w:tcBorders>
              <w:top w:val="nil"/>
              <w:left w:val="nil"/>
              <w:bottom w:val="nil"/>
              <w:right w:val="nil"/>
            </w:tcBorders>
            <w:shd w:val="clear" w:color="000000" w:fill="CCCCCC"/>
            <w:vAlign w:val="center"/>
            <w:hideMark/>
          </w:tcPr>
          <w:p w14:paraId="1758AFB6" w14:textId="77777777" w:rsidR="00307AF0" w:rsidRPr="00287896" w:rsidRDefault="00307AF0" w:rsidP="00307AF0">
            <w:pPr>
              <w:jc w:val="right"/>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nil"/>
              <w:right w:val="nil"/>
            </w:tcBorders>
            <w:shd w:val="clear" w:color="000000" w:fill="FFFFFF"/>
            <w:vAlign w:val="center"/>
            <w:hideMark/>
          </w:tcPr>
          <w:p w14:paraId="40599FB3" w14:textId="610BF58F"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00" w:type="dxa"/>
            <w:tcBorders>
              <w:top w:val="nil"/>
              <w:left w:val="nil"/>
              <w:bottom w:val="nil"/>
              <w:right w:val="nil"/>
            </w:tcBorders>
            <w:shd w:val="clear" w:color="000000" w:fill="FFFFFF"/>
            <w:vAlign w:val="center"/>
            <w:hideMark/>
          </w:tcPr>
          <w:p w14:paraId="495073EA" w14:textId="5EE039E1"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60" w:type="dxa"/>
            <w:tcBorders>
              <w:top w:val="nil"/>
              <w:left w:val="nil"/>
              <w:bottom w:val="nil"/>
              <w:right w:val="nil"/>
            </w:tcBorders>
            <w:shd w:val="clear" w:color="000000" w:fill="FFFFFF"/>
            <w:vAlign w:val="center"/>
            <w:hideMark/>
          </w:tcPr>
          <w:p w14:paraId="2E7BA257" w14:textId="77AEFFA7"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60" w:type="dxa"/>
            <w:tcBorders>
              <w:top w:val="nil"/>
              <w:left w:val="nil"/>
              <w:bottom w:val="nil"/>
              <w:right w:val="single" w:sz="8" w:space="0" w:color="auto"/>
            </w:tcBorders>
            <w:shd w:val="clear" w:color="000000" w:fill="FFFFFF"/>
            <w:vAlign w:val="center"/>
            <w:hideMark/>
          </w:tcPr>
          <w:p w14:paraId="580F9E46" w14:textId="08522459" w:rsidR="00307AF0" w:rsidRPr="00287896" w:rsidRDefault="00307AF0" w:rsidP="00307AF0">
            <w:pPr>
              <w:jc w:val="right"/>
              <w:rPr>
                <w:rFonts w:ascii="Arial" w:hAnsi="Arial" w:cs="Arial"/>
                <w:b/>
                <w:bCs/>
                <w:sz w:val="16"/>
                <w:szCs w:val="16"/>
              </w:rPr>
            </w:pPr>
            <w:r>
              <w:rPr>
                <w:rFonts w:ascii="Arial" w:hAnsi="Arial" w:cs="Arial"/>
                <w:b/>
                <w:bCs/>
                <w:sz w:val="16"/>
                <w:szCs w:val="16"/>
              </w:rPr>
              <w:t> </w:t>
            </w:r>
          </w:p>
        </w:tc>
        <w:tc>
          <w:tcPr>
            <w:tcW w:w="1200" w:type="dxa"/>
            <w:tcBorders>
              <w:top w:val="nil"/>
              <w:left w:val="nil"/>
              <w:bottom w:val="nil"/>
              <w:right w:val="nil"/>
            </w:tcBorders>
            <w:shd w:val="clear" w:color="000000" w:fill="CCCCCC"/>
            <w:vAlign w:val="center"/>
            <w:hideMark/>
          </w:tcPr>
          <w:p w14:paraId="6A37C5E2" w14:textId="5BDDEACA"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00" w:type="dxa"/>
            <w:tcBorders>
              <w:top w:val="nil"/>
              <w:left w:val="nil"/>
              <w:bottom w:val="nil"/>
              <w:right w:val="nil"/>
            </w:tcBorders>
            <w:shd w:val="clear" w:color="000000" w:fill="CCCCCC"/>
            <w:vAlign w:val="center"/>
            <w:hideMark/>
          </w:tcPr>
          <w:p w14:paraId="78AF62DD" w14:textId="701899B1"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00" w:type="dxa"/>
            <w:tcBorders>
              <w:top w:val="nil"/>
              <w:left w:val="nil"/>
              <w:bottom w:val="nil"/>
              <w:right w:val="nil"/>
            </w:tcBorders>
            <w:shd w:val="clear" w:color="000000" w:fill="CCCCCC"/>
            <w:vAlign w:val="center"/>
            <w:hideMark/>
          </w:tcPr>
          <w:p w14:paraId="7B70AA79" w14:textId="27C20B57" w:rsidR="00307AF0" w:rsidRPr="00287896" w:rsidRDefault="00307AF0" w:rsidP="00307AF0">
            <w:pPr>
              <w:jc w:val="right"/>
              <w:rPr>
                <w:rFonts w:ascii="Arial" w:hAnsi="Arial" w:cs="Arial"/>
                <w:sz w:val="16"/>
                <w:szCs w:val="16"/>
              </w:rPr>
            </w:pPr>
            <w:r>
              <w:rPr>
                <w:rFonts w:ascii="Arial" w:hAnsi="Arial" w:cs="Arial"/>
                <w:sz w:val="16"/>
                <w:szCs w:val="16"/>
              </w:rPr>
              <w:t> </w:t>
            </w:r>
          </w:p>
        </w:tc>
        <w:tc>
          <w:tcPr>
            <w:tcW w:w="1200" w:type="dxa"/>
            <w:tcBorders>
              <w:top w:val="nil"/>
              <w:left w:val="nil"/>
              <w:bottom w:val="nil"/>
              <w:right w:val="single" w:sz="8" w:space="0" w:color="auto"/>
            </w:tcBorders>
            <w:shd w:val="clear" w:color="000000" w:fill="CCCCCC"/>
            <w:vAlign w:val="center"/>
            <w:hideMark/>
          </w:tcPr>
          <w:p w14:paraId="2C48DD44" w14:textId="753334D0" w:rsidR="00307AF0" w:rsidRPr="00287896" w:rsidRDefault="00307AF0" w:rsidP="00307AF0">
            <w:pPr>
              <w:jc w:val="right"/>
              <w:rPr>
                <w:rFonts w:ascii="Arial" w:hAnsi="Arial" w:cs="Arial"/>
                <w:b/>
                <w:bCs/>
                <w:sz w:val="16"/>
                <w:szCs w:val="16"/>
              </w:rPr>
            </w:pPr>
            <w:r>
              <w:rPr>
                <w:rFonts w:ascii="Arial" w:hAnsi="Arial" w:cs="Arial"/>
                <w:b/>
                <w:bCs/>
                <w:sz w:val="16"/>
                <w:szCs w:val="16"/>
              </w:rPr>
              <w:t> </w:t>
            </w:r>
          </w:p>
        </w:tc>
      </w:tr>
      <w:tr w:rsidR="00307AF0" w:rsidRPr="00287896" w14:paraId="219ED011" w14:textId="77777777">
        <w:trPr>
          <w:trHeight w:val="240"/>
        </w:trPr>
        <w:tc>
          <w:tcPr>
            <w:tcW w:w="2500" w:type="dxa"/>
            <w:tcBorders>
              <w:top w:val="nil"/>
              <w:left w:val="single" w:sz="8" w:space="0" w:color="auto"/>
              <w:bottom w:val="nil"/>
              <w:right w:val="nil"/>
            </w:tcBorders>
            <w:shd w:val="clear" w:color="000000" w:fill="CCCCCC"/>
            <w:vAlign w:val="center"/>
            <w:hideMark/>
          </w:tcPr>
          <w:p w14:paraId="51CDC7FE"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Transfer values out</w:t>
            </w:r>
          </w:p>
        </w:tc>
        <w:tc>
          <w:tcPr>
            <w:tcW w:w="2200" w:type="dxa"/>
            <w:tcBorders>
              <w:top w:val="nil"/>
              <w:left w:val="nil"/>
              <w:bottom w:val="nil"/>
              <w:right w:val="nil"/>
            </w:tcBorders>
            <w:shd w:val="clear" w:color="000000" w:fill="CCCCCC"/>
            <w:vAlign w:val="center"/>
            <w:hideMark/>
          </w:tcPr>
          <w:p w14:paraId="5E7E4FA3" w14:textId="77777777" w:rsidR="00307AF0" w:rsidRPr="00287896" w:rsidRDefault="00307AF0" w:rsidP="00307AF0">
            <w:pPr>
              <w:jc w:val="right"/>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nil"/>
              <w:right w:val="nil"/>
            </w:tcBorders>
            <w:shd w:val="clear" w:color="000000" w:fill="FFFFFF"/>
            <w:vAlign w:val="center"/>
            <w:hideMark/>
          </w:tcPr>
          <w:p w14:paraId="2EC2146E" w14:textId="26F066CC"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FFFFFF"/>
            <w:vAlign w:val="center"/>
            <w:hideMark/>
          </w:tcPr>
          <w:p w14:paraId="66968F3C" w14:textId="11382FDC"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60" w:type="dxa"/>
            <w:tcBorders>
              <w:top w:val="nil"/>
              <w:left w:val="nil"/>
              <w:bottom w:val="nil"/>
              <w:right w:val="nil"/>
            </w:tcBorders>
            <w:shd w:val="clear" w:color="000000" w:fill="FFFFFF"/>
            <w:vAlign w:val="center"/>
            <w:hideMark/>
          </w:tcPr>
          <w:p w14:paraId="3901D161" w14:textId="56B674C1"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60" w:type="dxa"/>
            <w:tcBorders>
              <w:top w:val="nil"/>
              <w:left w:val="nil"/>
              <w:bottom w:val="nil"/>
              <w:right w:val="single" w:sz="8" w:space="0" w:color="auto"/>
            </w:tcBorders>
            <w:shd w:val="clear" w:color="000000" w:fill="FFFFFF"/>
            <w:vAlign w:val="center"/>
            <w:hideMark/>
          </w:tcPr>
          <w:p w14:paraId="15CA5540" w14:textId="042D2889"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nil"/>
              <w:right w:val="nil"/>
            </w:tcBorders>
            <w:shd w:val="clear" w:color="000000" w:fill="CCCCCC"/>
            <w:vAlign w:val="center"/>
            <w:hideMark/>
          </w:tcPr>
          <w:p w14:paraId="0E353804" w14:textId="5D53FD9F"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CCCCCC"/>
            <w:vAlign w:val="center"/>
            <w:hideMark/>
          </w:tcPr>
          <w:p w14:paraId="2AB2BB09" w14:textId="7962EFA0"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CCCCCC"/>
            <w:vAlign w:val="center"/>
            <w:hideMark/>
          </w:tcPr>
          <w:p w14:paraId="25BE09FC" w14:textId="1DA56E33"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single" w:sz="8" w:space="0" w:color="auto"/>
            </w:tcBorders>
            <w:shd w:val="clear" w:color="000000" w:fill="CCCCCC"/>
            <w:vAlign w:val="center"/>
            <w:hideMark/>
          </w:tcPr>
          <w:p w14:paraId="0691C77E" w14:textId="7118F3DA"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r>
      <w:tr w:rsidR="00307AF0" w:rsidRPr="00287896" w14:paraId="499F6012" w14:textId="77777777">
        <w:trPr>
          <w:trHeight w:val="240"/>
        </w:trPr>
        <w:tc>
          <w:tcPr>
            <w:tcW w:w="2500" w:type="dxa"/>
            <w:tcBorders>
              <w:top w:val="nil"/>
              <w:left w:val="single" w:sz="8" w:space="0" w:color="auto"/>
              <w:bottom w:val="nil"/>
              <w:right w:val="nil"/>
            </w:tcBorders>
            <w:shd w:val="clear" w:color="000000" w:fill="CCCCCC"/>
            <w:vAlign w:val="center"/>
            <w:hideMark/>
          </w:tcPr>
          <w:p w14:paraId="64A0E4DB"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Refund of contributions</w:t>
            </w:r>
          </w:p>
        </w:tc>
        <w:tc>
          <w:tcPr>
            <w:tcW w:w="2200" w:type="dxa"/>
            <w:tcBorders>
              <w:top w:val="nil"/>
              <w:left w:val="nil"/>
              <w:bottom w:val="nil"/>
              <w:right w:val="nil"/>
            </w:tcBorders>
            <w:shd w:val="clear" w:color="000000" w:fill="CCCCCC"/>
            <w:vAlign w:val="center"/>
            <w:hideMark/>
          </w:tcPr>
          <w:p w14:paraId="0B7886BE" w14:textId="77777777" w:rsidR="00307AF0" w:rsidRPr="00287896" w:rsidRDefault="00307AF0" w:rsidP="00307AF0">
            <w:pPr>
              <w:jc w:val="right"/>
              <w:rPr>
                <w:rFonts w:ascii="Arial" w:hAnsi="Arial" w:cs="Arial"/>
                <w:sz w:val="16"/>
                <w:szCs w:val="16"/>
              </w:rPr>
            </w:pPr>
            <w:r w:rsidRPr="00287896">
              <w:rPr>
                <w:rFonts w:ascii="Arial" w:hAnsi="Arial" w:cs="Arial"/>
                <w:sz w:val="16"/>
                <w:szCs w:val="16"/>
              </w:rPr>
              <w:t> </w:t>
            </w:r>
          </w:p>
        </w:tc>
        <w:tc>
          <w:tcPr>
            <w:tcW w:w="1440" w:type="dxa"/>
            <w:tcBorders>
              <w:top w:val="nil"/>
              <w:left w:val="single" w:sz="8" w:space="0" w:color="auto"/>
              <w:bottom w:val="single" w:sz="8" w:space="0" w:color="auto"/>
              <w:right w:val="nil"/>
            </w:tcBorders>
            <w:shd w:val="clear" w:color="000000" w:fill="FFFFFF"/>
            <w:vAlign w:val="center"/>
            <w:hideMark/>
          </w:tcPr>
          <w:p w14:paraId="29D5F10E" w14:textId="46105071"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single" w:sz="8" w:space="0" w:color="auto"/>
              <w:right w:val="nil"/>
            </w:tcBorders>
            <w:shd w:val="clear" w:color="000000" w:fill="FFFFFF"/>
            <w:vAlign w:val="center"/>
            <w:hideMark/>
          </w:tcPr>
          <w:p w14:paraId="0F8D6B3F" w14:textId="1DA0DF3D"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60" w:type="dxa"/>
            <w:tcBorders>
              <w:top w:val="nil"/>
              <w:left w:val="nil"/>
              <w:bottom w:val="single" w:sz="8" w:space="0" w:color="auto"/>
              <w:right w:val="nil"/>
            </w:tcBorders>
            <w:shd w:val="clear" w:color="000000" w:fill="FFFFFF"/>
            <w:vAlign w:val="center"/>
            <w:hideMark/>
          </w:tcPr>
          <w:p w14:paraId="3F581C77" w14:textId="18667719" w:rsidR="00307AF0" w:rsidRPr="00287896" w:rsidRDefault="00307AF0" w:rsidP="00307AF0">
            <w:pPr>
              <w:jc w:val="right"/>
              <w:rPr>
                <w:rFonts w:ascii="Arial" w:hAnsi="Arial" w:cs="Arial"/>
                <w:sz w:val="16"/>
                <w:szCs w:val="16"/>
              </w:rPr>
            </w:pPr>
            <w:r>
              <w:rPr>
                <w:rFonts w:ascii="Arial" w:hAnsi="Arial" w:cs="Arial"/>
                <w:sz w:val="16"/>
                <w:szCs w:val="16"/>
              </w:rPr>
              <w:t>176</w:t>
            </w:r>
          </w:p>
        </w:tc>
        <w:tc>
          <w:tcPr>
            <w:tcW w:w="1260" w:type="dxa"/>
            <w:tcBorders>
              <w:top w:val="nil"/>
              <w:left w:val="nil"/>
              <w:bottom w:val="single" w:sz="8" w:space="0" w:color="auto"/>
              <w:right w:val="single" w:sz="8" w:space="0" w:color="auto"/>
            </w:tcBorders>
            <w:shd w:val="clear" w:color="000000" w:fill="FFFFFF"/>
            <w:vAlign w:val="center"/>
            <w:hideMark/>
          </w:tcPr>
          <w:p w14:paraId="3248CD22" w14:textId="792ACF0C" w:rsidR="00307AF0" w:rsidRPr="00287896" w:rsidRDefault="00307AF0" w:rsidP="00307AF0">
            <w:pPr>
              <w:jc w:val="right"/>
              <w:rPr>
                <w:rFonts w:ascii="Arial" w:hAnsi="Arial" w:cs="Arial"/>
                <w:b/>
                <w:bCs/>
                <w:sz w:val="16"/>
                <w:szCs w:val="16"/>
              </w:rPr>
            </w:pPr>
            <w:r>
              <w:rPr>
                <w:rFonts w:ascii="Arial" w:hAnsi="Arial" w:cs="Arial"/>
                <w:b/>
                <w:bCs/>
                <w:sz w:val="16"/>
                <w:szCs w:val="16"/>
              </w:rPr>
              <w:t>176</w:t>
            </w:r>
          </w:p>
        </w:tc>
        <w:tc>
          <w:tcPr>
            <w:tcW w:w="1200" w:type="dxa"/>
            <w:tcBorders>
              <w:top w:val="nil"/>
              <w:left w:val="nil"/>
              <w:bottom w:val="nil"/>
              <w:right w:val="nil"/>
            </w:tcBorders>
            <w:shd w:val="clear" w:color="000000" w:fill="CCCCCC"/>
            <w:vAlign w:val="center"/>
            <w:hideMark/>
          </w:tcPr>
          <w:p w14:paraId="2DF26B44" w14:textId="50738679"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CCCCCC"/>
            <w:vAlign w:val="center"/>
            <w:hideMark/>
          </w:tcPr>
          <w:p w14:paraId="4809E858" w14:textId="7D73473A"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CCCCCC"/>
            <w:vAlign w:val="center"/>
            <w:hideMark/>
          </w:tcPr>
          <w:p w14:paraId="3F234D3D" w14:textId="3C776ED6" w:rsidR="00307AF0" w:rsidRPr="00287896" w:rsidRDefault="00307AF0" w:rsidP="00307AF0">
            <w:pPr>
              <w:jc w:val="right"/>
              <w:rPr>
                <w:rFonts w:ascii="Arial" w:hAnsi="Arial" w:cs="Arial"/>
                <w:sz w:val="16"/>
                <w:szCs w:val="16"/>
              </w:rPr>
            </w:pPr>
            <w:r>
              <w:rPr>
                <w:rFonts w:ascii="Arial" w:hAnsi="Arial" w:cs="Arial"/>
                <w:sz w:val="16"/>
                <w:szCs w:val="16"/>
              </w:rPr>
              <w:t>289</w:t>
            </w:r>
          </w:p>
        </w:tc>
        <w:tc>
          <w:tcPr>
            <w:tcW w:w="1200" w:type="dxa"/>
            <w:tcBorders>
              <w:top w:val="nil"/>
              <w:left w:val="nil"/>
              <w:bottom w:val="nil"/>
              <w:right w:val="single" w:sz="8" w:space="0" w:color="auto"/>
            </w:tcBorders>
            <w:shd w:val="clear" w:color="000000" w:fill="CCCCCC"/>
            <w:vAlign w:val="center"/>
            <w:hideMark/>
          </w:tcPr>
          <w:p w14:paraId="4856EBC2" w14:textId="5A6F2409" w:rsidR="00307AF0" w:rsidRPr="00287896" w:rsidRDefault="00307AF0" w:rsidP="00307AF0">
            <w:pPr>
              <w:jc w:val="right"/>
              <w:rPr>
                <w:rFonts w:ascii="Arial" w:hAnsi="Arial" w:cs="Arial"/>
                <w:b/>
                <w:bCs/>
                <w:sz w:val="16"/>
                <w:szCs w:val="16"/>
              </w:rPr>
            </w:pPr>
            <w:r>
              <w:rPr>
                <w:rFonts w:ascii="Arial" w:hAnsi="Arial" w:cs="Arial"/>
                <w:b/>
                <w:bCs/>
                <w:sz w:val="16"/>
                <w:szCs w:val="16"/>
              </w:rPr>
              <w:t>289</w:t>
            </w:r>
          </w:p>
        </w:tc>
      </w:tr>
      <w:tr w:rsidR="00307AF0" w:rsidRPr="00287896" w14:paraId="25450514" w14:textId="77777777">
        <w:trPr>
          <w:trHeight w:val="465"/>
        </w:trPr>
        <w:tc>
          <w:tcPr>
            <w:tcW w:w="2500" w:type="dxa"/>
            <w:tcBorders>
              <w:top w:val="nil"/>
              <w:left w:val="single" w:sz="8" w:space="0" w:color="auto"/>
              <w:bottom w:val="nil"/>
              <w:right w:val="nil"/>
            </w:tcBorders>
            <w:shd w:val="clear" w:color="000000" w:fill="CCCCCC"/>
            <w:vAlign w:val="center"/>
            <w:hideMark/>
          </w:tcPr>
          <w:p w14:paraId="02357047"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Total Payments on Account of Leavers</w:t>
            </w:r>
          </w:p>
        </w:tc>
        <w:tc>
          <w:tcPr>
            <w:tcW w:w="2200" w:type="dxa"/>
            <w:tcBorders>
              <w:top w:val="nil"/>
              <w:left w:val="nil"/>
              <w:bottom w:val="nil"/>
              <w:right w:val="nil"/>
            </w:tcBorders>
            <w:shd w:val="clear" w:color="000000" w:fill="CCCCCC"/>
            <w:vAlign w:val="center"/>
            <w:hideMark/>
          </w:tcPr>
          <w:p w14:paraId="5721102F" w14:textId="77777777" w:rsidR="00307AF0" w:rsidRPr="00287896" w:rsidRDefault="00307AF0" w:rsidP="00307AF0">
            <w:pPr>
              <w:jc w:val="right"/>
              <w:rPr>
                <w:rFonts w:ascii="Arial" w:hAnsi="Arial" w:cs="Arial"/>
                <w:b/>
                <w:bCs/>
                <w:sz w:val="16"/>
                <w:szCs w:val="16"/>
              </w:rPr>
            </w:pPr>
            <w:r w:rsidRPr="00287896">
              <w:rPr>
                <w:rFonts w:ascii="Arial" w:hAnsi="Arial" w:cs="Arial"/>
                <w:b/>
                <w:bCs/>
                <w:sz w:val="16"/>
                <w:szCs w:val="16"/>
              </w:rPr>
              <w:t> </w:t>
            </w:r>
          </w:p>
        </w:tc>
        <w:tc>
          <w:tcPr>
            <w:tcW w:w="1440" w:type="dxa"/>
            <w:tcBorders>
              <w:top w:val="nil"/>
              <w:left w:val="single" w:sz="8" w:space="0" w:color="auto"/>
              <w:bottom w:val="nil"/>
              <w:right w:val="nil"/>
            </w:tcBorders>
            <w:shd w:val="clear" w:color="000000" w:fill="FFFFFF"/>
            <w:vAlign w:val="center"/>
            <w:hideMark/>
          </w:tcPr>
          <w:p w14:paraId="2A76C45A" w14:textId="790F8765"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nil"/>
              <w:right w:val="nil"/>
            </w:tcBorders>
            <w:shd w:val="clear" w:color="000000" w:fill="FFFFFF"/>
            <w:vAlign w:val="center"/>
            <w:hideMark/>
          </w:tcPr>
          <w:p w14:paraId="2957830B" w14:textId="5F9CECEF"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60" w:type="dxa"/>
            <w:tcBorders>
              <w:top w:val="nil"/>
              <w:left w:val="nil"/>
              <w:bottom w:val="nil"/>
              <w:right w:val="nil"/>
            </w:tcBorders>
            <w:shd w:val="clear" w:color="000000" w:fill="FFFFFF"/>
            <w:vAlign w:val="center"/>
            <w:hideMark/>
          </w:tcPr>
          <w:p w14:paraId="1D4B0860" w14:textId="3994CA7C" w:rsidR="00307AF0" w:rsidRPr="00287896" w:rsidRDefault="00307AF0" w:rsidP="00307AF0">
            <w:pPr>
              <w:jc w:val="right"/>
              <w:rPr>
                <w:rFonts w:ascii="Arial" w:hAnsi="Arial" w:cs="Arial"/>
                <w:b/>
                <w:bCs/>
                <w:sz w:val="16"/>
                <w:szCs w:val="16"/>
              </w:rPr>
            </w:pPr>
            <w:r>
              <w:rPr>
                <w:rFonts w:ascii="Arial" w:hAnsi="Arial" w:cs="Arial"/>
                <w:b/>
                <w:bCs/>
                <w:sz w:val="16"/>
                <w:szCs w:val="16"/>
              </w:rPr>
              <w:t>176</w:t>
            </w:r>
          </w:p>
        </w:tc>
        <w:tc>
          <w:tcPr>
            <w:tcW w:w="1260" w:type="dxa"/>
            <w:tcBorders>
              <w:top w:val="nil"/>
              <w:left w:val="nil"/>
              <w:bottom w:val="nil"/>
              <w:right w:val="single" w:sz="8" w:space="0" w:color="auto"/>
            </w:tcBorders>
            <w:shd w:val="clear" w:color="000000" w:fill="FFFFFF"/>
            <w:vAlign w:val="center"/>
            <w:hideMark/>
          </w:tcPr>
          <w:p w14:paraId="628D1A5F" w14:textId="64D9C686" w:rsidR="00307AF0" w:rsidRPr="00287896" w:rsidRDefault="00307AF0" w:rsidP="00307AF0">
            <w:pPr>
              <w:jc w:val="right"/>
              <w:rPr>
                <w:rFonts w:ascii="Arial" w:hAnsi="Arial" w:cs="Arial"/>
                <w:b/>
                <w:bCs/>
                <w:sz w:val="16"/>
                <w:szCs w:val="16"/>
              </w:rPr>
            </w:pPr>
            <w:r>
              <w:rPr>
                <w:rFonts w:ascii="Arial" w:hAnsi="Arial" w:cs="Arial"/>
                <w:b/>
                <w:bCs/>
                <w:sz w:val="16"/>
                <w:szCs w:val="16"/>
              </w:rPr>
              <w:t>176</w:t>
            </w:r>
          </w:p>
        </w:tc>
        <w:tc>
          <w:tcPr>
            <w:tcW w:w="1200" w:type="dxa"/>
            <w:tcBorders>
              <w:top w:val="single" w:sz="8" w:space="0" w:color="auto"/>
              <w:left w:val="nil"/>
              <w:bottom w:val="nil"/>
              <w:right w:val="nil"/>
            </w:tcBorders>
            <w:shd w:val="clear" w:color="000000" w:fill="CCCCCC"/>
            <w:vAlign w:val="center"/>
            <w:hideMark/>
          </w:tcPr>
          <w:p w14:paraId="5A39A3FF" w14:textId="0B5EB76E"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single" w:sz="8" w:space="0" w:color="auto"/>
              <w:left w:val="nil"/>
              <w:bottom w:val="nil"/>
              <w:right w:val="nil"/>
            </w:tcBorders>
            <w:shd w:val="clear" w:color="000000" w:fill="CCCCCC"/>
            <w:vAlign w:val="center"/>
            <w:hideMark/>
          </w:tcPr>
          <w:p w14:paraId="705566A5" w14:textId="2CA34270"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single" w:sz="8" w:space="0" w:color="auto"/>
              <w:left w:val="nil"/>
              <w:bottom w:val="nil"/>
              <w:right w:val="nil"/>
            </w:tcBorders>
            <w:shd w:val="clear" w:color="000000" w:fill="CCCCCC"/>
            <w:vAlign w:val="center"/>
            <w:hideMark/>
          </w:tcPr>
          <w:p w14:paraId="174FAF32" w14:textId="2D105642" w:rsidR="00307AF0" w:rsidRPr="00287896" w:rsidRDefault="00307AF0" w:rsidP="00307AF0">
            <w:pPr>
              <w:jc w:val="right"/>
              <w:rPr>
                <w:rFonts w:ascii="Arial" w:hAnsi="Arial" w:cs="Arial"/>
                <w:b/>
                <w:bCs/>
                <w:sz w:val="16"/>
                <w:szCs w:val="16"/>
              </w:rPr>
            </w:pPr>
            <w:r>
              <w:rPr>
                <w:rFonts w:ascii="Arial" w:hAnsi="Arial" w:cs="Arial"/>
                <w:b/>
                <w:bCs/>
                <w:sz w:val="16"/>
                <w:szCs w:val="16"/>
              </w:rPr>
              <w:t>289</w:t>
            </w:r>
          </w:p>
        </w:tc>
        <w:tc>
          <w:tcPr>
            <w:tcW w:w="1200" w:type="dxa"/>
            <w:tcBorders>
              <w:top w:val="single" w:sz="8" w:space="0" w:color="auto"/>
              <w:left w:val="nil"/>
              <w:bottom w:val="nil"/>
              <w:right w:val="single" w:sz="8" w:space="0" w:color="auto"/>
            </w:tcBorders>
            <w:shd w:val="clear" w:color="000000" w:fill="CCCCCC"/>
            <w:vAlign w:val="center"/>
            <w:hideMark/>
          </w:tcPr>
          <w:p w14:paraId="6700D054" w14:textId="6D80B616" w:rsidR="00307AF0" w:rsidRPr="00287896" w:rsidRDefault="00307AF0" w:rsidP="00307AF0">
            <w:pPr>
              <w:jc w:val="right"/>
              <w:rPr>
                <w:rFonts w:ascii="Arial" w:hAnsi="Arial" w:cs="Arial"/>
                <w:b/>
                <w:bCs/>
                <w:sz w:val="16"/>
                <w:szCs w:val="16"/>
              </w:rPr>
            </w:pPr>
            <w:r>
              <w:rPr>
                <w:rFonts w:ascii="Arial" w:hAnsi="Arial" w:cs="Arial"/>
                <w:b/>
                <w:bCs/>
                <w:sz w:val="16"/>
                <w:szCs w:val="16"/>
              </w:rPr>
              <w:t>289</w:t>
            </w:r>
          </w:p>
        </w:tc>
      </w:tr>
      <w:tr w:rsidR="00307AF0" w:rsidRPr="00287896" w14:paraId="69CE8845" w14:textId="77777777">
        <w:trPr>
          <w:trHeight w:val="900"/>
        </w:trPr>
        <w:tc>
          <w:tcPr>
            <w:tcW w:w="2500" w:type="dxa"/>
            <w:tcBorders>
              <w:top w:val="nil"/>
              <w:left w:val="single" w:sz="8" w:space="0" w:color="auto"/>
              <w:bottom w:val="nil"/>
              <w:right w:val="nil"/>
            </w:tcBorders>
            <w:shd w:val="clear" w:color="000000" w:fill="CCCCCC"/>
            <w:vAlign w:val="center"/>
            <w:hideMark/>
          </w:tcPr>
          <w:p w14:paraId="63E08C95"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Net amount payable/(receivable) for the year contribution from Police Fund</w:t>
            </w:r>
          </w:p>
        </w:tc>
        <w:tc>
          <w:tcPr>
            <w:tcW w:w="2200" w:type="dxa"/>
            <w:tcBorders>
              <w:top w:val="nil"/>
              <w:left w:val="nil"/>
              <w:bottom w:val="nil"/>
              <w:right w:val="nil"/>
            </w:tcBorders>
            <w:shd w:val="clear" w:color="000000" w:fill="CCCCCC"/>
            <w:vAlign w:val="center"/>
            <w:hideMark/>
          </w:tcPr>
          <w:p w14:paraId="387E1270" w14:textId="77777777" w:rsidR="00307AF0" w:rsidRPr="00287896" w:rsidRDefault="00307AF0" w:rsidP="00307AF0">
            <w:pPr>
              <w:jc w:val="right"/>
              <w:rPr>
                <w:rFonts w:ascii="Arial" w:hAnsi="Arial" w:cs="Arial"/>
                <w:b/>
                <w:bCs/>
                <w:sz w:val="16"/>
                <w:szCs w:val="16"/>
              </w:rPr>
            </w:pPr>
            <w:r w:rsidRPr="00287896">
              <w:rPr>
                <w:rFonts w:ascii="Arial" w:hAnsi="Arial" w:cs="Arial"/>
                <w:b/>
                <w:bCs/>
                <w:sz w:val="16"/>
                <w:szCs w:val="16"/>
              </w:rPr>
              <w:t> </w:t>
            </w:r>
          </w:p>
        </w:tc>
        <w:tc>
          <w:tcPr>
            <w:tcW w:w="1440" w:type="dxa"/>
            <w:tcBorders>
              <w:top w:val="single" w:sz="8" w:space="0" w:color="auto"/>
              <w:left w:val="single" w:sz="8" w:space="0" w:color="auto"/>
              <w:bottom w:val="nil"/>
              <w:right w:val="nil"/>
            </w:tcBorders>
            <w:shd w:val="clear" w:color="000000" w:fill="FFFFFF"/>
            <w:vAlign w:val="center"/>
            <w:hideMark/>
          </w:tcPr>
          <w:p w14:paraId="57961227" w14:textId="2510F95C" w:rsidR="00307AF0" w:rsidRPr="00287896" w:rsidRDefault="00307AF0" w:rsidP="00307AF0">
            <w:pPr>
              <w:jc w:val="right"/>
              <w:rPr>
                <w:rFonts w:ascii="Arial" w:hAnsi="Arial" w:cs="Arial"/>
                <w:b/>
                <w:bCs/>
                <w:sz w:val="16"/>
                <w:szCs w:val="16"/>
              </w:rPr>
            </w:pPr>
            <w:r>
              <w:rPr>
                <w:rFonts w:ascii="Arial" w:hAnsi="Arial" w:cs="Arial"/>
                <w:b/>
                <w:bCs/>
                <w:sz w:val="16"/>
                <w:szCs w:val="16"/>
              </w:rPr>
              <w:t>115,689</w:t>
            </w:r>
          </w:p>
        </w:tc>
        <w:tc>
          <w:tcPr>
            <w:tcW w:w="1200" w:type="dxa"/>
            <w:tcBorders>
              <w:top w:val="single" w:sz="8" w:space="0" w:color="auto"/>
              <w:left w:val="nil"/>
              <w:bottom w:val="nil"/>
              <w:right w:val="nil"/>
            </w:tcBorders>
            <w:shd w:val="clear" w:color="000000" w:fill="FFFFFF"/>
            <w:vAlign w:val="center"/>
            <w:hideMark/>
          </w:tcPr>
          <w:p w14:paraId="3343363D" w14:textId="4E1C36AC" w:rsidR="00307AF0" w:rsidRPr="00287896" w:rsidRDefault="00307AF0" w:rsidP="00307AF0">
            <w:pPr>
              <w:jc w:val="right"/>
              <w:rPr>
                <w:rFonts w:ascii="Arial" w:hAnsi="Arial" w:cs="Arial"/>
                <w:b/>
                <w:bCs/>
                <w:sz w:val="16"/>
                <w:szCs w:val="16"/>
              </w:rPr>
            </w:pPr>
            <w:r>
              <w:rPr>
                <w:rFonts w:ascii="Arial" w:hAnsi="Arial" w:cs="Arial"/>
                <w:b/>
                <w:bCs/>
                <w:sz w:val="16"/>
                <w:szCs w:val="16"/>
              </w:rPr>
              <w:t>133</w:t>
            </w:r>
          </w:p>
        </w:tc>
        <w:tc>
          <w:tcPr>
            <w:tcW w:w="1260" w:type="dxa"/>
            <w:tcBorders>
              <w:top w:val="single" w:sz="8" w:space="0" w:color="auto"/>
              <w:left w:val="nil"/>
              <w:bottom w:val="nil"/>
              <w:right w:val="nil"/>
            </w:tcBorders>
            <w:shd w:val="clear" w:color="000000" w:fill="FFFFFF"/>
            <w:vAlign w:val="center"/>
            <w:hideMark/>
          </w:tcPr>
          <w:p w14:paraId="3484945C" w14:textId="249E1692" w:rsidR="00307AF0" w:rsidRPr="00287896" w:rsidRDefault="00307AF0" w:rsidP="00307AF0">
            <w:pPr>
              <w:jc w:val="right"/>
              <w:rPr>
                <w:rFonts w:ascii="Arial" w:hAnsi="Arial" w:cs="Arial"/>
                <w:b/>
                <w:bCs/>
                <w:sz w:val="16"/>
                <w:szCs w:val="16"/>
              </w:rPr>
            </w:pPr>
            <w:r>
              <w:rPr>
                <w:rFonts w:ascii="Arial" w:hAnsi="Arial" w:cs="Arial"/>
                <w:b/>
                <w:bCs/>
                <w:sz w:val="16"/>
                <w:szCs w:val="16"/>
              </w:rPr>
              <w:t>(59,832)</w:t>
            </w:r>
          </w:p>
        </w:tc>
        <w:tc>
          <w:tcPr>
            <w:tcW w:w="1260" w:type="dxa"/>
            <w:tcBorders>
              <w:top w:val="single" w:sz="8" w:space="0" w:color="auto"/>
              <w:left w:val="nil"/>
              <w:bottom w:val="nil"/>
              <w:right w:val="single" w:sz="8" w:space="0" w:color="auto"/>
            </w:tcBorders>
            <w:shd w:val="clear" w:color="000000" w:fill="FFFFFF"/>
            <w:vAlign w:val="center"/>
            <w:hideMark/>
          </w:tcPr>
          <w:p w14:paraId="5D3C4ADD" w14:textId="7A5E941A" w:rsidR="00307AF0" w:rsidRPr="00287896" w:rsidRDefault="00307AF0" w:rsidP="00307AF0">
            <w:pPr>
              <w:jc w:val="right"/>
              <w:rPr>
                <w:rFonts w:ascii="Arial" w:hAnsi="Arial" w:cs="Arial"/>
                <w:b/>
                <w:bCs/>
                <w:sz w:val="16"/>
                <w:szCs w:val="16"/>
              </w:rPr>
            </w:pPr>
            <w:r>
              <w:rPr>
                <w:rFonts w:ascii="Arial" w:hAnsi="Arial" w:cs="Arial"/>
                <w:b/>
                <w:bCs/>
                <w:sz w:val="16"/>
                <w:szCs w:val="16"/>
              </w:rPr>
              <w:t>55,991</w:t>
            </w:r>
          </w:p>
        </w:tc>
        <w:tc>
          <w:tcPr>
            <w:tcW w:w="1200" w:type="dxa"/>
            <w:tcBorders>
              <w:top w:val="single" w:sz="8" w:space="0" w:color="auto"/>
              <w:left w:val="nil"/>
              <w:bottom w:val="nil"/>
              <w:right w:val="nil"/>
            </w:tcBorders>
            <w:shd w:val="clear" w:color="000000" w:fill="CCCCCC"/>
            <w:vAlign w:val="center"/>
            <w:hideMark/>
          </w:tcPr>
          <w:p w14:paraId="6D10D806" w14:textId="465CD096" w:rsidR="00307AF0" w:rsidRPr="00287896" w:rsidRDefault="00307AF0" w:rsidP="00307AF0">
            <w:pPr>
              <w:jc w:val="right"/>
              <w:rPr>
                <w:rFonts w:ascii="Arial" w:hAnsi="Arial" w:cs="Arial"/>
                <w:b/>
                <w:bCs/>
                <w:sz w:val="16"/>
                <w:szCs w:val="16"/>
              </w:rPr>
            </w:pPr>
            <w:r>
              <w:rPr>
                <w:rFonts w:ascii="Arial" w:hAnsi="Arial" w:cs="Arial"/>
                <w:b/>
                <w:bCs/>
                <w:sz w:val="16"/>
                <w:szCs w:val="16"/>
              </w:rPr>
              <w:t>123,714</w:t>
            </w:r>
          </w:p>
        </w:tc>
        <w:tc>
          <w:tcPr>
            <w:tcW w:w="1200" w:type="dxa"/>
            <w:tcBorders>
              <w:top w:val="single" w:sz="8" w:space="0" w:color="auto"/>
              <w:left w:val="nil"/>
              <w:bottom w:val="nil"/>
              <w:right w:val="nil"/>
            </w:tcBorders>
            <w:shd w:val="clear" w:color="000000" w:fill="CCCCCC"/>
            <w:vAlign w:val="center"/>
            <w:hideMark/>
          </w:tcPr>
          <w:p w14:paraId="3A3C52EB" w14:textId="28AE4FE0" w:rsidR="00307AF0" w:rsidRPr="00287896" w:rsidRDefault="00307AF0" w:rsidP="00307AF0">
            <w:pPr>
              <w:jc w:val="right"/>
              <w:rPr>
                <w:rFonts w:ascii="Arial" w:hAnsi="Arial" w:cs="Arial"/>
                <w:b/>
                <w:bCs/>
                <w:sz w:val="16"/>
                <w:szCs w:val="16"/>
              </w:rPr>
            </w:pPr>
            <w:r>
              <w:rPr>
                <w:rFonts w:ascii="Arial" w:hAnsi="Arial" w:cs="Arial"/>
                <w:b/>
                <w:bCs/>
                <w:sz w:val="16"/>
                <w:szCs w:val="16"/>
              </w:rPr>
              <w:t>322</w:t>
            </w:r>
          </w:p>
        </w:tc>
        <w:tc>
          <w:tcPr>
            <w:tcW w:w="1200" w:type="dxa"/>
            <w:tcBorders>
              <w:top w:val="single" w:sz="8" w:space="0" w:color="auto"/>
              <w:left w:val="nil"/>
              <w:bottom w:val="nil"/>
              <w:right w:val="nil"/>
            </w:tcBorders>
            <w:shd w:val="clear" w:color="000000" w:fill="CCCCCC"/>
            <w:vAlign w:val="center"/>
            <w:hideMark/>
          </w:tcPr>
          <w:p w14:paraId="3745DB36" w14:textId="6B93B43E" w:rsidR="00307AF0" w:rsidRPr="00287896" w:rsidRDefault="00307AF0" w:rsidP="00307AF0">
            <w:pPr>
              <w:jc w:val="right"/>
              <w:rPr>
                <w:rFonts w:ascii="Arial" w:hAnsi="Arial" w:cs="Arial"/>
                <w:b/>
                <w:bCs/>
                <w:sz w:val="16"/>
                <w:szCs w:val="16"/>
              </w:rPr>
            </w:pPr>
            <w:r>
              <w:rPr>
                <w:rFonts w:ascii="Arial" w:hAnsi="Arial" w:cs="Arial"/>
                <w:b/>
                <w:bCs/>
                <w:sz w:val="16"/>
                <w:szCs w:val="16"/>
              </w:rPr>
              <w:t>(69,232)</w:t>
            </w:r>
          </w:p>
        </w:tc>
        <w:tc>
          <w:tcPr>
            <w:tcW w:w="1200" w:type="dxa"/>
            <w:tcBorders>
              <w:top w:val="single" w:sz="8" w:space="0" w:color="auto"/>
              <w:left w:val="nil"/>
              <w:bottom w:val="nil"/>
              <w:right w:val="single" w:sz="8" w:space="0" w:color="auto"/>
            </w:tcBorders>
            <w:shd w:val="clear" w:color="000000" w:fill="CCCCCC"/>
            <w:vAlign w:val="center"/>
            <w:hideMark/>
          </w:tcPr>
          <w:p w14:paraId="0DF7784B" w14:textId="0FFD289D" w:rsidR="00307AF0" w:rsidRPr="00287896" w:rsidRDefault="00307AF0" w:rsidP="00307AF0">
            <w:pPr>
              <w:jc w:val="right"/>
              <w:rPr>
                <w:rFonts w:ascii="Arial" w:hAnsi="Arial" w:cs="Arial"/>
                <w:b/>
                <w:bCs/>
                <w:sz w:val="16"/>
                <w:szCs w:val="16"/>
              </w:rPr>
            </w:pPr>
            <w:r>
              <w:rPr>
                <w:rFonts w:ascii="Arial" w:hAnsi="Arial" w:cs="Arial"/>
                <w:b/>
                <w:bCs/>
                <w:sz w:val="16"/>
                <w:szCs w:val="16"/>
              </w:rPr>
              <w:t>54,803</w:t>
            </w:r>
          </w:p>
        </w:tc>
      </w:tr>
      <w:tr w:rsidR="00307AF0" w:rsidRPr="00287896" w14:paraId="657EB308" w14:textId="77777777">
        <w:trPr>
          <w:trHeight w:val="450"/>
        </w:trPr>
        <w:tc>
          <w:tcPr>
            <w:tcW w:w="2500" w:type="dxa"/>
            <w:tcBorders>
              <w:top w:val="nil"/>
              <w:left w:val="single" w:sz="8" w:space="0" w:color="auto"/>
              <w:bottom w:val="nil"/>
              <w:right w:val="nil"/>
            </w:tcBorders>
            <w:shd w:val="clear" w:color="000000" w:fill="CCCCCC"/>
            <w:vAlign w:val="center"/>
            <w:hideMark/>
          </w:tcPr>
          <w:p w14:paraId="334EB3A8"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Contribution from the Police Fund not met by Home Office grant</w:t>
            </w:r>
          </w:p>
        </w:tc>
        <w:tc>
          <w:tcPr>
            <w:tcW w:w="2200" w:type="dxa"/>
            <w:tcBorders>
              <w:top w:val="nil"/>
              <w:left w:val="nil"/>
              <w:bottom w:val="nil"/>
              <w:right w:val="nil"/>
            </w:tcBorders>
            <w:shd w:val="clear" w:color="000000" w:fill="CCCCCC"/>
            <w:vAlign w:val="center"/>
            <w:hideMark/>
          </w:tcPr>
          <w:p w14:paraId="6D4EFFC8" w14:textId="77777777" w:rsidR="00307AF0" w:rsidRPr="00287896" w:rsidRDefault="00307AF0" w:rsidP="00307AF0">
            <w:pPr>
              <w:jc w:val="center"/>
              <w:rPr>
                <w:rFonts w:ascii="Arial" w:hAnsi="Arial" w:cs="Arial"/>
                <w:b/>
                <w:bCs/>
                <w:color w:val="000000"/>
                <w:sz w:val="16"/>
                <w:szCs w:val="16"/>
              </w:rPr>
            </w:pPr>
            <w:r w:rsidRPr="00287896">
              <w:rPr>
                <w:rFonts w:ascii="Arial" w:hAnsi="Arial" w:cs="Arial"/>
                <w:b/>
                <w:bCs/>
                <w:color w:val="000000"/>
                <w:sz w:val="16"/>
                <w:szCs w:val="16"/>
              </w:rPr>
              <w:t>2</w:t>
            </w:r>
          </w:p>
        </w:tc>
        <w:tc>
          <w:tcPr>
            <w:tcW w:w="1440" w:type="dxa"/>
            <w:tcBorders>
              <w:top w:val="nil"/>
              <w:left w:val="single" w:sz="8" w:space="0" w:color="auto"/>
              <w:bottom w:val="nil"/>
              <w:right w:val="nil"/>
            </w:tcBorders>
            <w:shd w:val="clear" w:color="000000" w:fill="FFFFFF"/>
            <w:vAlign w:val="center"/>
            <w:hideMark/>
          </w:tcPr>
          <w:p w14:paraId="0AB78E00" w14:textId="25993D19"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00" w:type="dxa"/>
            <w:tcBorders>
              <w:top w:val="nil"/>
              <w:left w:val="nil"/>
              <w:bottom w:val="nil"/>
              <w:right w:val="nil"/>
            </w:tcBorders>
            <w:shd w:val="clear" w:color="000000" w:fill="FFFFFF"/>
            <w:vAlign w:val="center"/>
            <w:hideMark/>
          </w:tcPr>
          <w:p w14:paraId="3ECF50AB" w14:textId="0E9D6961"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60" w:type="dxa"/>
            <w:tcBorders>
              <w:top w:val="nil"/>
              <w:left w:val="nil"/>
              <w:bottom w:val="nil"/>
              <w:right w:val="nil"/>
            </w:tcBorders>
            <w:shd w:val="clear" w:color="000000" w:fill="FFFFFF"/>
            <w:vAlign w:val="center"/>
            <w:hideMark/>
          </w:tcPr>
          <w:p w14:paraId="32569294" w14:textId="065C4ECC" w:rsidR="00307AF0" w:rsidRPr="00287896" w:rsidRDefault="00307AF0" w:rsidP="00307AF0">
            <w:pPr>
              <w:jc w:val="right"/>
              <w:rPr>
                <w:rFonts w:ascii="Arial" w:hAnsi="Arial" w:cs="Arial"/>
                <w:sz w:val="16"/>
                <w:szCs w:val="16"/>
              </w:rPr>
            </w:pPr>
            <w:r>
              <w:rPr>
                <w:rFonts w:ascii="Arial" w:hAnsi="Arial" w:cs="Arial"/>
                <w:sz w:val="16"/>
                <w:szCs w:val="16"/>
              </w:rPr>
              <w:t>0</w:t>
            </w:r>
          </w:p>
        </w:tc>
        <w:tc>
          <w:tcPr>
            <w:tcW w:w="1260" w:type="dxa"/>
            <w:tcBorders>
              <w:top w:val="nil"/>
              <w:left w:val="nil"/>
              <w:bottom w:val="nil"/>
              <w:right w:val="single" w:sz="8" w:space="0" w:color="auto"/>
            </w:tcBorders>
            <w:shd w:val="clear" w:color="000000" w:fill="FFFFFF"/>
            <w:vAlign w:val="center"/>
            <w:hideMark/>
          </w:tcPr>
          <w:p w14:paraId="3E42052B" w14:textId="3BEC3DE1"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nil"/>
              <w:right w:val="nil"/>
            </w:tcBorders>
            <w:shd w:val="clear" w:color="000000" w:fill="CCCCCC"/>
            <w:vAlign w:val="center"/>
            <w:hideMark/>
          </w:tcPr>
          <w:p w14:paraId="05CD0E74" w14:textId="5E7FE145"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nil"/>
              <w:right w:val="nil"/>
            </w:tcBorders>
            <w:shd w:val="clear" w:color="000000" w:fill="CCCCCC"/>
            <w:vAlign w:val="center"/>
            <w:hideMark/>
          </w:tcPr>
          <w:p w14:paraId="26B024BA" w14:textId="617C89B5"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nil"/>
              <w:right w:val="nil"/>
            </w:tcBorders>
            <w:shd w:val="clear" w:color="000000" w:fill="CCCCCC"/>
            <w:vAlign w:val="center"/>
            <w:hideMark/>
          </w:tcPr>
          <w:p w14:paraId="4E7DA9F8" w14:textId="1ADC1B46"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nil"/>
              <w:right w:val="single" w:sz="8" w:space="0" w:color="auto"/>
            </w:tcBorders>
            <w:shd w:val="clear" w:color="000000" w:fill="CCCCCC"/>
            <w:vAlign w:val="center"/>
            <w:hideMark/>
          </w:tcPr>
          <w:p w14:paraId="45EE63FD" w14:textId="1F5F9140"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r>
      <w:tr w:rsidR="00307AF0" w:rsidRPr="00287896" w14:paraId="30984829" w14:textId="77777777">
        <w:trPr>
          <w:trHeight w:val="690"/>
        </w:trPr>
        <w:tc>
          <w:tcPr>
            <w:tcW w:w="2500" w:type="dxa"/>
            <w:tcBorders>
              <w:top w:val="nil"/>
              <w:left w:val="single" w:sz="8" w:space="0" w:color="auto"/>
              <w:bottom w:val="nil"/>
              <w:right w:val="nil"/>
            </w:tcBorders>
            <w:shd w:val="clear" w:color="000000" w:fill="CCCCCC"/>
            <w:vAlign w:val="center"/>
            <w:hideMark/>
          </w:tcPr>
          <w:p w14:paraId="48A716BE" w14:textId="77777777" w:rsidR="00307AF0" w:rsidRPr="00287896" w:rsidRDefault="00307AF0" w:rsidP="00307AF0">
            <w:pPr>
              <w:rPr>
                <w:rFonts w:ascii="Arial" w:hAnsi="Arial" w:cs="Arial"/>
                <w:color w:val="000000"/>
                <w:sz w:val="16"/>
                <w:szCs w:val="16"/>
              </w:rPr>
            </w:pPr>
            <w:r w:rsidRPr="00287896">
              <w:rPr>
                <w:rFonts w:ascii="Arial" w:hAnsi="Arial" w:cs="Arial"/>
                <w:color w:val="000000"/>
                <w:sz w:val="16"/>
                <w:szCs w:val="16"/>
              </w:rPr>
              <w:t>Additional contribution from the Police Fund met by Home Office grant</w:t>
            </w:r>
          </w:p>
        </w:tc>
        <w:tc>
          <w:tcPr>
            <w:tcW w:w="2200" w:type="dxa"/>
            <w:tcBorders>
              <w:top w:val="nil"/>
              <w:left w:val="nil"/>
              <w:bottom w:val="nil"/>
              <w:right w:val="nil"/>
            </w:tcBorders>
            <w:shd w:val="clear" w:color="000000" w:fill="CCCCCC"/>
            <w:vAlign w:val="center"/>
            <w:hideMark/>
          </w:tcPr>
          <w:p w14:paraId="4D2052E3" w14:textId="77777777" w:rsidR="00307AF0" w:rsidRPr="00287896" w:rsidRDefault="00307AF0" w:rsidP="00307AF0">
            <w:pPr>
              <w:jc w:val="right"/>
              <w:rPr>
                <w:rFonts w:ascii="Arial" w:hAnsi="Arial" w:cs="Arial"/>
                <w:b/>
                <w:bCs/>
                <w:sz w:val="16"/>
                <w:szCs w:val="16"/>
              </w:rPr>
            </w:pPr>
            <w:r w:rsidRPr="00287896">
              <w:rPr>
                <w:rFonts w:ascii="Arial" w:hAnsi="Arial" w:cs="Arial"/>
                <w:b/>
                <w:bCs/>
                <w:sz w:val="16"/>
                <w:szCs w:val="16"/>
              </w:rPr>
              <w:t> </w:t>
            </w:r>
          </w:p>
        </w:tc>
        <w:tc>
          <w:tcPr>
            <w:tcW w:w="1440" w:type="dxa"/>
            <w:tcBorders>
              <w:top w:val="nil"/>
              <w:left w:val="single" w:sz="8" w:space="0" w:color="auto"/>
              <w:bottom w:val="single" w:sz="8" w:space="0" w:color="auto"/>
              <w:right w:val="nil"/>
            </w:tcBorders>
            <w:shd w:val="clear" w:color="000000" w:fill="FFFFFF"/>
            <w:vAlign w:val="center"/>
            <w:hideMark/>
          </w:tcPr>
          <w:p w14:paraId="6C189C76" w14:textId="2513558A" w:rsidR="00307AF0" w:rsidRPr="00287896" w:rsidRDefault="00307AF0" w:rsidP="00307AF0">
            <w:pPr>
              <w:jc w:val="right"/>
              <w:rPr>
                <w:rFonts w:ascii="Arial" w:hAnsi="Arial" w:cs="Arial"/>
                <w:sz w:val="16"/>
                <w:szCs w:val="16"/>
              </w:rPr>
            </w:pPr>
            <w:r>
              <w:rPr>
                <w:rFonts w:ascii="Arial" w:hAnsi="Arial" w:cs="Arial"/>
                <w:sz w:val="16"/>
                <w:szCs w:val="16"/>
              </w:rPr>
              <w:t>(115,689)</w:t>
            </w:r>
          </w:p>
        </w:tc>
        <w:tc>
          <w:tcPr>
            <w:tcW w:w="1200" w:type="dxa"/>
            <w:tcBorders>
              <w:top w:val="nil"/>
              <w:left w:val="nil"/>
              <w:bottom w:val="single" w:sz="8" w:space="0" w:color="auto"/>
              <w:right w:val="nil"/>
            </w:tcBorders>
            <w:shd w:val="clear" w:color="000000" w:fill="FFFFFF"/>
            <w:vAlign w:val="center"/>
            <w:hideMark/>
          </w:tcPr>
          <w:p w14:paraId="07375E72" w14:textId="3AC0E801" w:rsidR="00307AF0" w:rsidRPr="00287896" w:rsidRDefault="00307AF0" w:rsidP="00307AF0">
            <w:pPr>
              <w:jc w:val="right"/>
              <w:rPr>
                <w:rFonts w:ascii="Arial" w:hAnsi="Arial" w:cs="Arial"/>
                <w:sz w:val="16"/>
                <w:szCs w:val="16"/>
              </w:rPr>
            </w:pPr>
            <w:r>
              <w:rPr>
                <w:rFonts w:ascii="Arial" w:hAnsi="Arial" w:cs="Arial"/>
                <w:sz w:val="16"/>
                <w:szCs w:val="16"/>
              </w:rPr>
              <w:t>(133)</w:t>
            </w:r>
          </w:p>
        </w:tc>
        <w:tc>
          <w:tcPr>
            <w:tcW w:w="1260" w:type="dxa"/>
            <w:tcBorders>
              <w:top w:val="nil"/>
              <w:left w:val="nil"/>
              <w:bottom w:val="single" w:sz="8" w:space="0" w:color="auto"/>
              <w:right w:val="nil"/>
            </w:tcBorders>
            <w:shd w:val="clear" w:color="000000" w:fill="FFFFFF"/>
            <w:vAlign w:val="center"/>
            <w:hideMark/>
          </w:tcPr>
          <w:p w14:paraId="722EED63" w14:textId="006C5180" w:rsidR="00307AF0" w:rsidRPr="00287896" w:rsidRDefault="00307AF0" w:rsidP="00307AF0">
            <w:pPr>
              <w:jc w:val="right"/>
              <w:rPr>
                <w:rFonts w:ascii="Arial" w:hAnsi="Arial" w:cs="Arial"/>
                <w:sz w:val="16"/>
                <w:szCs w:val="16"/>
              </w:rPr>
            </w:pPr>
            <w:r>
              <w:rPr>
                <w:rFonts w:ascii="Arial" w:hAnsi="Arial" w:cs="Arial"/>
                <w:sz w:val="16"/>
                <w:szCs w:val="16"/>
              </w:rPr>
              <w:t>59,832</w:t>
            </w:r>
          </w:p>
        </w:tc>
        <w:tc>
          <w:tcPr>
            <w:tcW w:w="1260" w:type="dxa"/>
            <w:tcBorders>
              <w:top w:val="nil"/>
              <w:left w:val="nil"/>
              <w:bottom w:val="single" w:sz="8" w:space="0" w:color="auto"/>
              <w:right w:val="single" w:sz="8" w:space="0" w:color="auto"/>
            </w:tcBorders>
            <w:shd w:val="clear" w:color="000000" w:fill="FFFFFF"/>
            <w:vAlign w:val="center"/>
            <w:hideMark/>
          </w:tcPr>
          <w:p w14:paraId="0D55F517" w14:textId="6B78F057" w:rsidR="00307AF0" w:rsidRPr="00287896" w:rsidRDefault="00307AF0" w:rsidP="00307AF0">
            <w:pPr>
              <w:jc w:val="right"/>
              <w:rPr>
                <w:rFonts w:ascii="Arial" w:hAnsi="Arial" w:cs="Arial"/>
                <w:b/>
                <w:bCs/>
                <w:sz w:val="16"/>
                <w:szCs w:val="16"/>
              </w:rPr>
            </w:pPr>
            <w:r>
              <w:rPr>
                <w:rFonts w:ascii="Arial" w:hAnsi="Arial" w:cs="Arial"/>
                <w:b/>
                <w:bCs/>
                <w:sz w:val="16"/>
                <w:szCs w:val="16"/>
              </w:rPr>
              <w:t>(55,991)</w:t>
            </w:r>
          </w:p>
        </w:tc>
        <w:tc>
          <w:tcPr>
            <w:tcW w:w="1200" w:type="dxa"/>
            <w:tcBorders>
              <w:top w:val="nil"/>
              <w:left w:val="nil"/>
              <w:bottom w:val="single" w:sz="8" w:space="0" w:color="auto"/>
              <w:right w:val="nil"/>
            </w:tcBorders>
            <w:shd w:val="clear" w:color="000000" w:fill="CCCCCC"/>
            <w:vAlign w:val="center"/>
            <w:hideMark/>
          </w:tcPr>
          <w:p w14:paraId="35A82C3A" w14:textId="06FFA6B8" w:rsidR="00307AF0" w:rsidRPr="00287896" w:rsidRDefault="00307AF0" w:rsidP="00307AF0">
            <w:pPr>
              <w:jc w:val="right"/>
              <w:rPr>
                <w:rFonts w:ascii="Arial" w:hAnsi="Arial" w:cs="Arial"/>
                <w:b/>
                <w:bCs/>
                <w:sz w:val="16"/>
                <w:szCs w:val="16"/>
              </w:rPr>
            </w:pPr>
            <w:r>
              <w:rPr>
                <w:rFonts w:ascii="Arial" w:hAnsi="Arial" w:cs="Arial"/>
                <w:b/>
                <w:bCs/>
                <w:sz w:val="16"/>
                <w:szCs w:val="16"/>
              </w:rPr>
              <w:t>(123,714)</w:t>
            </w:r>
          </w:p>
        </w:tc>
        <w:tc>
          <w:tcPr>
            <w:tcW w:w="1200" w:type="dxa"/>
            <w:tcBorders>
              <w:top w:val="nil"/>
              <w:left w:val="nil"/>
              <w:bottom w:val="single" w:sz="8" w:space="0" w:color="auto"/>
              <w:right w:val="nil"/>
            </w:tcBorders>
            <w:shd w:val="clear" w:color="000000" w:fill="CCCCCC"/>
            <w:vAlign w:val="center"/>
            <w:hideMark/>
          </w:tcPr>
          <w:p w14:paraId="0FB581BE" w14:textId="089F8863" w:rsidR="00307AF0" w:rsidRPr="00287896" w:rsidRDefault="00307AF0" w:rsidP="00307AF0">
            <w:pPr>
              <w:jc w:val="right"/>
              <w:rPr>
                <w:rFonts w:ascii="Arial" w:hAnsi="Arial" w:cs="Arial"/>
                <w:b/>
                <w:bCs/>
                <w:sz w:val="16"/>
                <w:szCs w:val="16"/>
              </w:rPr>
            </w:pPr>
            <w:r>
              <w:rPr>
                <w:rFonts w:ascii="Arial" w:hAnsi="Arial" w:cs="Arial"/>
                <w:b/>
                <w:bCs/>
                <w:sz w:val="16"/>
                <w:szCs w:val="16"/>
              </w:rPr>
              <w:t>(322)</w:t>
            </w:r>
          </w:p>
        </w:tc>
        <w:tc>
          <w:tcPr>
            <w:tcW w:w="1200" w:type="dxa"/>
            <w:tcBorders>
              <w:top w:val="nil"/>
              <w:left w:val="nil"/>
              <w:bottom w:val="single" w:sz="8" w:space="0" w:color="auto"/>
              <w:right w:val="nil"/>
            </w:tcBorders>
            <w:shd w:val="clear" w:color="000000" w:fill="CCCCCC"/>
            <w:vAlign w:val="center"/>
            <w:hideMark/>
          </w:tcPr>
          <w:p w14:paraId="413F133D" w14:textId="116B9337" w:rsidR="00307AF0" w:rsidRPr="00287896" w:rsidRDefault="00307AF0" w:rsidP="00307AF0">
            <w:pPr>
              <w:jc w:val="right"/>
              <w:rPr>
                <w:rFonts w:ascii="Arial" w:hAnsi="Arial" w:cs="Arial"/>
                <w:b/>
                <w:bCs/>
                <w:sz w:val="16"/>
                <w:szCs w:val="16"/>
              </w:rPr>
            </w:pPr>
            <w:r>
              <w:rPr>
                <w:rFonts w:ascii="Arial" w:hAnsi="Arial" w:cs="Arial"/>
                <w:b/>
                <w:bCs/>
                <w:sz w:val="16"/>
                <w:szCs w:val="16"/>
              </w:rPr>
              <w:t>69,232</w:t>
            </w:r>
          </w:p>
        </w:tc>
        <w:tc>
          <w:tcPr>
            <w:tcW w:w="1200" w:type="dxa"/>
            <w:tcBorders>
              <w:top w:val="nil"/>
              <w:left w:val="nil"/>
              <w:bottom w:val="single" w:sz="8" w:space="0" w:color="auto"/>
              <w:right w:val="single" w:sz="8" w:space="0" w:color="auto"/>
            </w:tcBorders>
            <w:shd w:val="clear" w:color="000000" w:fill="CCCCCC"/>
            <w:vAlign w:val="center"/>
            <w:hideMark/>
          </w:tcPr>
          <w:p w14:paraId="2BD1F45C" w14:textId="534F543E" w:rsidR="00307AF0" w:rsidRPr="00287896" w:rsidRDefault="00307AF0" w:rsidP="00307AF0">
            <w:pPr>
              <w:jc w:val="right"/>
              <w:rPr>
                <w:rFonts w:ascii="Arial" w:hAnsi="Arial" w:cs="Arial"/>
                <w:b/>
                <w:bCs/>
                <w:sz w:val="16"/>
                <w:szCs w:val="16"/>
              </w:rPr>
            </w:pPr>
            <w:r>
              <w:rPr>
                <w:rFonts w:ascii="Arial" w:hAnsi="Arial" w:cs="Arial"/>
                <w:b/>
                <w:bCs/>
                <w:sz w:val="16"/>
                <w:szCs w:val="16"/>
              </w:rPr>
              <w:t>(54,803)</w:t>
            </w:r>
          </w:p>
        </w:tc>
      </w:tr>
      <w:tr w:rsidR="00307AF0" w:rsidRPr="00287896" w14:paraId="674BC474" w14:textId="77777777">
        <w:trPr>
          <w:trHeight w:val="465"/>
        </w:trPr>
        <w:tc>
          <w:tcPr>
            <w:tcW w:w="2500" w:type="dxa"/>
            <w:tcBorders>
              <w:top w:val="nil"/>
              <w:left w:val="single" w:sz="8" w:space="0" w:color="auto"/>
              <w:bottom w:val="single" w:sz="8" w:space="0" w:color="auto"/>
              <w:right w:val="nil"/>
            </w:tcBorders>
            <w:shd w:val="clear" w:color="000000" w:fill="CCCCCC"/>
            <w:vAlign w:val="center"/>
            <w:hideMark/>
          </w:tcPr>
          <w:p w14:paraId="5D152575" w14:textId="77777777" w:rsidR="00307AF0" w:rsidRPr="00287896" w:rsidRDefault="00307AF0" w:rsidP="00307AF0">
            <w:pPr>
              <w:rPr>
                <w:rFonts w:ascii="Arial" w:hAnsi="Arial" w:cs="Arial"/>
                <w:b/>
                <w:bCs/>
                <w:color w:val="000000"/>
                <w:sz w:val="16"/>
                <w:szCs w:val="16"/>
              </w:rPr>
            </w:pPr>
            <w:r w:rsidRPr="00287896">
              <w:rPr>
                <w:rFonts w:ascii="Arial" w:hAnsi="Arial" w:cs="Arial"/>
                <w:b/>
                <w:bCs/>
                <w:color w:val="000000"/>
                <w:sz w:val="16"/>
                <w:szCs w:val="16"/>
              </w:rPr>
              <w:t>Net amount payable/(receivable)</w:t>
            </w:r>
          </w:p>
        </w:tc>
        <w:tc>
          <w:tcPr>
            <w:tcW w:w="2200" w:type="dxa"/>
            <w:tcBorders>
              <w:top w:val="nil"/>
              <w:left w:val="nil"/>
              <w:bottom w:val="single" w:sz="8" w:space="0" w:color="auto"/>
              <w:right w:val="nil"/>
            </w:tcBorders>
            <w:shd w:val="clear" w:color="000000" w:fill="CCCCCC"/>
            <w:vAlign w:val="center"/>
            <w:hideMark/>
          </w:tcPr>
          <w:p w14:paraId="0F4AEE2C" w14:textId="77777777" w:rsidR="00307AF0" w:rsidRPr="00287896" w:rsidRDefault="00307AF0" w:rsidP="00307AF0">
            <w:pPr>
              <w:jc w:val="right"/>
              <w:rPr>
                <w:rFonts w:ascii="Arial" w:hAnsi="Arial" w:cs="Arial"/>
                <w:b/>
                <w:bCs/>
                <w:sz w:val="16"/>
                <w:szCs w:val="16"/>
              </w:rPr>
            </w:pPr>
            <w:r w:rsidRPr="00287896">
              <w:rPr>
                <w:rFonts w:ascii="Arial" w:hAnsi="Arial" w:cs="Arial"/>
                <w:b/>
                <w:bCs/>
                <w:sz w:val="16"/>
                <w:szCs w:val="16"/>
              </w:rPr>
              <w:t> </w:t>
            </w:r>
          </w:p>
        </w:tc>
        <w:tc>
          <w:tcPr>
            <w:tcW w:w="1440" w:type="dxa"/>
            <w:tcBorders>
              <w:top w:val="nil"/>
              <w:left w:val="single" w:sz="8" w:space="0" w:color="auto"/>
              <w:bottom w:val="single" w:sz="8" w:space="0" w:color="auto"/>
              <w:right w:val="nil"/>
            </w:tcBorders>
            <w:shd w:val="clear" w:color="000000" w:fill="FFFFFF"/>
            <w:vAlign w:val="center"/>
            <w:hideMark/>
          </w:tcPr>
          <w:p w14:paraId="489FBA57" w14:textId="65DB5AA4" w:rsidR="00307AF0" w:rsidRPr="00287896" w:rsidRDefault="00307AF0" w:rsidP="00307AF0">
            <w:pPr>
              <w:jc w:val="right"/>
              <w:rPr>
                <w:rFonts w:ascii="Arial" w:hAnsi="Arial" w:cs="Arial"/>
                <w:b/>
                <w:bCs/>
                <w:color w:val="000000"/>
                <w:sz w:val="16"/>
                <w:szCs w:val="16"/>
              </w:rPr>
            </w:pPr>
            <w:r>
              <w:rPr>
                <w:rFonts w:ascii="Arial" w:hAnsi="Arial" w:cs="Arial"/>
                <w:b/>
                <w:bCs/>
                <w:color w:val="000000"/>
                <w:sz w:val="16"/>
                <w:szCs w:val="16"/>
              </w:rPr>
              <w:t>0</w:t>
            </w:r>
          </w:p>
        </w:tc>
        <w:tc>
          <w:tcPr>
            <w:tcW w:w="1200" w:type="dxa"/>
            <w:tcBorders>
              <w:top w:val="nil"/>
              <w:left w:val="nil"/>
              <w:bottom w:val="single" w:sz="8" w:space="0" w:color="auto"/>
              <w:right w:val="nil"/>
            </w:tcBorders>
            <w:shd w:val="clear" w:color="000000" w:fill="FFFFFF"/>
            <w:vAlign w:val="center"/>
            <w:hideMark/>
          </w:tcPr>
          <w:p w14:paraId="32BC89D3" w14:textId="172496D2" w:rsidR="00307AF0" w:rsidRPr="00287896" w:rsidRDefault="00307AF0" w:rsidP="00307AF0">
            <w:pPr>
              <w:jc w:val="right"/>
              <w:rPr>
                <w:rFonts w:ascii="Arial" w:hAnsi="Arial" w:cs="Arial"/>
                <w:b/>
                <w:bCs/>
                <w:color w:val="000000"/>
                <w:sz w:val="16"/>
                <w:szCs w:val="16"/>
              </w:rPr>
            </w:pPr>
            <w:r>
              <w:rPr>
                <w:rFonts w:ascii="Arial" w:hAnsi="Arial" w:cs="Arial"/>
                <w:b/>
                <w:bCs/>
                <w:color w:val="000000"/>
                <w:sz w:val="16"/>
                <w:szCs w:val="16"/>
              </w:rPr>
              <w:t>0</w:t>
            </w:r>
          </w:p>
        </w:tc>
        <w:tc>
          <w:tcPr>
            <w:tcW w:w="1260" w:type="dxa"/>
            <w:tcBorders>
              <w:top w:val="nil"/>
              <w:left w:val="nil"/>
              <w:bottom w:val="single" w:sz="8" w:space="0" w:color="auto"/>
              <w:right w:val="nil"/>
            </w:tcBorders>
            <w:shd w:val="clear" w:color="000000" w:fill="FFFFFF"/>
            <w:vAlign w:val="center"/>
            <w:hideMark/>
          </w:tcPr>
          <w:p w14:paraId="060044EA" w14:textId="235FBB3C" w:rsidR="00307AF0" w:rsidRPr="00287896" w:rsidRDefault="00307AF0" w:rsidP="00307AF0">
            <w:pPr>
              <w:jc w:val="right"/>
              <w:rPr>
                <w:rFonts w:ascii="Arial" w:hAnsi="Arial" w:cs="Arial"/>
                <w:b/>
                <w:bCs/>
                <w:color w:val="000000"/>
                <w:sz w:val="16"/>
                <w:szCs w:val="16"/>
              </w:rPr>
            </w:pPr>
            <w:r>
              <w:rPr>
                <w:rFonts w:ascii="Arial" w:hAnsi="Arial" w:cs="Arial"/>
                <w:b/>
                <w:bCs/>
                <w:color w:val="000000"/>
                <w:sz w:val="16"/>
                <w:szCs w:val="16"/>
              </w:rPr>
              <w:t>0</w:t>
            </w:r>
          </w:p>
        </w:tc>
        <w:tc>
          <w:tcPr>
            <w:tcW w:w="1260" w:type="dxa"/>
            <w:tcBorders>
              <w:top w:val="nil"/>
              <w:left w:val="nil"/>
              <w:bottom w:val="single" w:sz="8" w:space="0" w:color="auto"/>
              <w:right w:val="single" w:sz="8" w:space="0" w:color="auto"/>
            </w:tcBorders>
            <w:shd w:val="clear" w:color="000000" w:fill="FFFFFF"/>
            <w:vAlign w:val="center"/>
            <w:hideMark/>
          </w:tcPr>
          <w:p w14:paraId="53606FA4" w14:textId="27683633" w:rsidR="00307AF0" w:rsidRPr="00287896" w:rsidRDefault="00307AF0" w:rsidP="00307AF0">
            <w:pPr>
              <w:jc w:val="right"/>
              <w:rPr>
                <w:rFonts w:ascii="Arial" w:hAnsi="Arial" w:cs="Arial"/>
                <w:b/>
                <w:bCs/>
                <w:color w:val="000000"/>
                <w:sz w:val="16"/>
                <w:szCs w:val="16"/>
              </w:rPr>
            </w:pPr>
            <w:r>
              <w:rPr>
                <w:rFonts w:ascii="Arial" w:hAnsi="Arial" w:cs="Arial"/>
                <w:b/>
                <w:bCs/>
                <w:color w:val="000000"/>
                <w:sz w:val="16"/>
                <w:szCs w:val="16"/>
              </w:rPr>
              <w:t>0</w:t>
            </w:r>
          </w:p>
        </w:tc>
        <w:tc>
          <w:tcPr>
            <w:tcW w:w="1200" w:type="dxa"/>
            <w:tcBorders>
              <w:top w:val="nil"/>
              <w:left w:val="nil"/>
              <w:bottom w:val="single" w:sz="8" w:space="0" w:color="auto"/>
              <w:right w:val="nil"/>
            </w:tcBorders>
            <w:shd w:val="clear" w:color="000000" w:fill="CCCCCC"/>
            <w:vAlign w:val="center"/>
            <w:hideMark/>
          </w:tcPr>
          <w:p w14:paraId="35A7CDFB" w14:textId="2558E630"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single" w:sz="8" w:space="0" w:color="auto"/>
              <w:right w:val="nil"/>
            </w:tcBorders>
            <w:shd w:val="clear" w:color="000000" w:fill="CCCCCC"/>
            <w:vAlign w:val="center"/>
            <w:hideMark/>
          </w:tcPr>
          <w:p w14:paraId="0195E324" w14:textId="7540BCA4"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single" w:sz="8" w:space="0" w:color="auto"/>
              <w:right w:val="nil"/>
            </w:tcBorders>
            <w:shd w:val="clear" w:color="000000" w:fill="CCCCCC"/>
            <w:vAlign w:val="center"/>
            <w:hideMark/>
          </w:tcPr>
          <w:p w14:paraId="6E377E18" w14:textId="285A2364" w:rsidR="00307AF0" w:rsidRPr="00287896" w:rsidRDefault="00307AF0" w:rsidP="00307AF0">
            <w:pPr>
              <w:jc w:val="right"/>
              <w:rPr>
                <w:rFonts w:ascii="Arial" w:hAnsi="Arial" w:cs="Arial"/>
                <w:b/>
                <w:bCs/>
                <w:sz w:val="16"/>
                <w:szCs w:val="16"/>
              </w:rPr>
            </w:pPr>
            <w:r>
              <w:rPr>
                <w:rFonts w:ascii="Arial" w:hAnsi="Arial" w:cs="Arial"/>
                <w:b/>
                <w:bCs/>
                <w:sz w:val="16"/>
                <w:szCs w:val="16"/>
              </w:rPr>
              <w:t>0</w:t>
            </w:r>
          </w:p>
        </w:tc>
        <w:tc>
          <w:tcPr>
            <w:tcW w:w="1200" w:type="dxa"/>
            <w:tcBorders>
              <w:top w:val="nil"/>
              <w:left w:val="nil"/>
              <w:bottom w:val="single" w:sz="8" w:space="0" w:color="auto"/>
              <w:right w:val="single" w:sz="8" w:space="0" w:color="auto"/>
            </w:tcBorders>
            <w:shd w:val="clear" w:color="000000" w:fill="CCCCCC"/>
            <w:vAlign w:val="center"/>
            <w:hideMark/>
          </w:tcPr>
          <w:p w14:paraId="61ED4A64" w14:textId="6A4C01ED" w:rsidR="00307AF0" w:rsidRPr="00287896" w:rsidRDefault="00307AF0" w:rsidP="00307AF0">
            <w:pPr>
              <w:jc w:val="right"/>
              <w:rPr>
                <w:rFonts w:ascii="Arial" w:hAnsi="Arial" w:cs="Arial"/>
                <w:b/>
                <w:bCs/>
                <w:color w:val="000000"/>
                <w:sz w:val="16"/>
                <w:szCs w:val="16"/>
              </w:rPr>
            </w:pPr>
            <w:r>
              <w:rPr>
                <w:rFonts w:ascii="Arial" w:hAnsi="Arial" w:cs="Arial"/>
                <w:b/>
                <w:bCs/>
                <w:color w:val="000000"/>
                <w:sz w:val="16"/>
                <w:szCs w:val="16"/>
              </w:rPr>
              <w:t>0</w:t>
            </w:r>
          </w:p>
        </w:tc>
      </w:tr>
    </w:tbl>
    <w:p w14:paraId="48391733" w14:textId="26D38AF5" w:rsidR="00CD4AF7" w:rsidRPr="00645FC2" w:rsidRDefault="00CD4AF7" w:rsidP="00CD4AF7">
      <w:pPr>
        <w:rPr>
          <w:highlight w:val="yellow"/>
        </w:rPr>
        <w:sectPr w:rsidR="00CD4AF7" w:rsidRPr="00645FC2" w:rsidSect="00CD2558">
          <w:headerReference w:type="even" r:id="rId93"/>
          <w:headerReference w:type="default" r:id="rId94"/>
          <w:headerReference w:type="first" r:id="rId95"/>
          <w:pgSz w:w="16838" w:h="11906" w:orient="landscape" w:code="9"/>
          <w:pgMar w:top="1440" w:right="1440" w:bottom="1440" w:left="1440" w:header="397" w:footer="567" w:gutter="0"/>
          <w:cols w:space="720"/>
          <w:docGrid w:linePitch="272"/>
        </w:sectPr>
      </w:pPr>
    </w:p>
    <w:p w14:paraId="513BCA15" w14:textId="6EAFCFB4" w:rsidR="003B74DA" w:rsidRPr="00287896" w:rsidRDefault="003B74DA" w:rsidP="003B74DA">
      <w:pPr>
        <w:pStyle w:val="Footer"/>
        <w:tabs>
          <w:tab w:val="clear" w:pos="4153"/>
          <w:tab w:val="clear" w:pos="8306"/>
        </w:tabs>
        <w:rPr>
          <w:b/>
          <w:sz w:val="22"/>
          <w:szCs w:val="22"/>
        </w:rPr>
      </w:pPr>
      <w:r w:rsidRPr="00287896">
        <w:rPr>
          <w:b/>
          <w:sz w:val="22"/>
          <w:szCs w:val="22"/>
        </w:rPr>
        <w:lastRenderedPageBreak/>
        <w:t>NET ASSET STATEMENT</w:t>
      </w:r>
    </w:p>
    <w:p w14:paraId="69C02C5E" w14:textId="77777777" w:rsidR="003403DE" w:rsidRPr="00645FC2" w:rsidRDefault="003403DE" w:rsidP="003B74DA">
      <w:pPr>
        <w:pStyle w:val="Footer"/>
        <w:tabs>
          <w:tab w:val="clear" w:pos="4153"/>
          <w:tab w:val="clear" w:pos="8306"/>
        </w:tabs>
        <w:rPr>
          <w:b/>
          <w:sz w:val="22"/>
          <w:szCs w:val="22"/>
          <w:highlight w:val="yellow"/>
        </w:rPr>
      </w:pPr>
    </w:p>
    <w:tbl>
      <w:tblPr>
        <w:tblW w:w="6140" w:type="dxa"/>
        <w:tblLook w:val="04A0" w:firstRow="1" w:lastRow="0" w:firstColumn="1" w:lastColumn="0" w:noHBand="0" w:noVBand="1"/>
      </w:tblPr>
      <w:tblGrid>
        <w:gridCol w:w="2500"/>
        <w:gridCol w:w="2200"/>
        <w:gridCol w:w="1440"/>
      </w:tblGrid>
      <w:tr w:rsidR="00287896" w:rsidRPr="00287896" w14:paraId="4B5FDFA7" w14:textId="77777777" w:rsidTr="00287896">
        <w:trPr>
          <w:trHeight w:val="300"/>
        </w:trPr>
        <w:tc>
          <w:tcPr>
            <w:tcW w:w="2500" w:type="dxa"/>
            <w:tcBorders>
              <w:top w:val="single" w:sz="8" w:space="0" w:color="auto"/>
              <w:left w:val="single" w:sz="8" w:space="0" w:color="auto"/>
              <w:bottom w:val="nil"/>
              <w:right w:val="nil"/>
            </w:tcBorders>
            <w:shd w:val="clear" w:color="000000" w:fill="auto"/>
            <w:vAlign w:val="center"/>
            <w:hideMark/>
          </w:tcPr>
          <w:p w14:paraId="08FE879F" w14:textId="6EB1E7DB" w:rsidR="00287896" w:rsidRPr="00287896" w:rsidRDefault="00287896" w:rsidP="00287896">
            <w:pPr>
              <w:jc w:val="right"/>
              <w:rPr>
                <w:rFonts w:ascii="Arial" w:hAnsi="Arial" w:cs="Arial"/>
                <w:b/>
                <w:bCs/>
                <w:sz w:val="22"/>
                <w:szCs w:val="22"/>
              </w:rPr>
            </w:pPr>
            <w:r w:rsidRPr="00287896">
              <w:rPr>
                <w:rFonts w:ascii="Arial" w:hAnsi="Arial" w:cs="Arial"/>
                <w:b/>
                <w:bCs/>
                <w:sz w:val="22"/>
                <w:szCs w:val="22"/>
              </w:rPr>
              <w:t>31-Mar-2</w:t>
            </w:r>
            <w:r w:rsidR="002D7752">
              <w:rPr>
                <w:rFonts w:ascii="Arial" w:hAnsi="Arial" w:cs="Arial"/>
                <w:b/>
                <w:bCs/>
                <w:sz w:val="22"/>
                <w:szCs w:val="22"/>
              </w:rPr>
              <w:t>4</w:t>
            </w:r>
          </w:p>
        </w:tc>
        <w:tc>
          <w:tcPr>
            <w:tcW w:w="2200" w:type="dxa"/>
            <w:tcBorders>
              <w:top w:val="single" w:sz="8" w:space="0" w:color="auto"/>
              <w:left w:val="nil"/>
              <w:bottom w:val="nil"/>
              <w:right w:val="nil"/>
            </w:tcBorders>
            <w:shd w:val="clear" w:color="000000" w:fill="CCCCCC"/>
            <w:vAlign w:val="center"/>
            <w:hideMark/>
          </w:tcPr>
          <w:p w14:paraId="27A588B9" w14:textId="77777777" w:rsidR="00287896" w:rsidRPr="00287896" w:rsidRDefault="00287896" w:rsidP="00287896">
            <w:pPr>
              <w:rPr>
                <w:rFonts w:ascii="Arial" w:hAnsi="Arial" w:cs="Arial"/>
                <w:b/>
                <w:bCs/>
                <w:sz w:val="22"/>
                <w:szCs w:val="22"/>
              </w:rPr>
            </w:pPr>
            <w:r w:rsidRPr="00287896">
              <w:rPr>
                <w:rFonts w:ascii="Arial" w:hAnsi="Arial" w:cs="Arial"/>
                <w:b/>
                <w:bCs/>
                <w:sz w:val="22"/>
                <w:szCs w:val="22"/>
              </w:rPr>
              <w:t> </w:t>
            </w:r>
          </w:p>
        </w:tc>
        <w:tc>
          <w:tcPr>
            <w:tcW w:w="1440" w:type="dxa"/>
            <w:tcBorders>
              <w:top w:val="single" w:sz="8" w:space="0" w:color="auto"/>
              <w:left w:val="nil"/>
              <w:bottom w:val="nil"/>
              <w:right w:val="single" w:sz="8" w:space="0" w:color="auto"/>
            </w:tcBorders>
            <w:shd w:val="clear" w:color="000000" w:fill="CCCCCC"/>
            <w:vAlign w:val="center"/>
            <w:hideMark/>
          </w:tcPr>
          <w:p w14:paraId="147AF042" w14:textId="5D3A4E32" w:rsidR="00287896" w:rsidRPr="00287896" w:rsidRDefault="00287896" w:rsidP="00287896">
            <w:pPr>
              <w:jc w:val="right"/>
              <w:rPr>
                <w:rFonts w:ascii="Arial" w:hAnsi="Arial" w:cs="Arial"/>
                <w:b/>
                <w:bCs/>
                <w:color w:val="000000"/>
                <w:sz w:val="22"/>
                <w:szCs w:val="22"/>
              </w:rPr>
            </w:pPr>
            <w:r w:rsidRPr="00287896">
              <w:rPr>
                <w:rFonts w:ascii="Arial" w:hAnsi="Arial" w:cs="Arial"/>
                <w:b/>
                <w:bCs/>
                <w:color w:val="000000"/>
                <w:sz w:val="22"/>
                <w:szCs w:val="22"/>
              </w:rPr>
              <w:t>31-Mar-2</w:t>
            </w:r>
            <w:r w:rsidR="002D7752">
              <w:rPr>
                <w:rFonts w:ascii="Arial" w:hAnsi="Arial" w:cs="Arial"/>
                <w:b/>
                <w:bCs/>
                <w:color w:val="000000"/>
                <w:sz w:val="22"/>
                <w:szCs w:val="22"/>
              </w:rPr>
              <w:t>5</w:t>
            </w:r>
          </w:p>
        </w:tc>
      </w:tr>
      <w:tr w:rsidR="00287896" w:rsidRPr="00287896" w14:paraId="18358CAA" w14:textId="77777777" w:rsidTr="00287896">
        <w:trPr>
          <w:trHeight w:val="300"/>
        </w:trPr>
        <w:tc>
          <w:tcPr>
            <w:tcW w:w="2500" w:type="dxa"/>
            <w:tcBorders>
              <w:top w:val="nil"/>
              <w:left w:val="single" w:sz="8" w:space="0" w:color="auto"/>
              <w:bottom w:val="nil"/>
              <w:right w:val="nil"/>
            </w:tcBorders>
            <w:shd w:val="clear" w:color="000000" w:fill="auto"/>
            <w:vAlign w:val="center"/>
            <w:hideMark/>
          </w:tcPr>
          <w:p w14:paraId="3813F50B" w14:textId="77777777" w:rsidR="00287896" w:rsidRPr="00287896" w:rsidRDefault="00287896" w:rsidP="00287896">
            <w:pPr>
              <w:jc w:val="right"/>
              <w:rPr>
                <w:rFonts w:ascii="Arial" w:hAnsi="Arial" w:cs="Arial"/>
                <w:b/>
                <w:bCs/>
                <w:sz w:val="22"/>
                <w:szCs w:val="22"/>
              </w:rPr>
            </w:pPr>
            <w:r w:rsidRPr="00287896">
              <w:rPr>
                <w:rFonts w:ascii="Arial" w:hAnsi="Arial" w:cs="Arial"/>
                <w:b/>
                <w:bCs/>
                <w:sz w:val="22"/>
                <w:szCs w:val="22"/>
              </w:rPr>
              <w:t>£000</w:t>
            </w:r>
          </w:p>
        </w:tc>
        <w:tc>
          <w:tcPr>
            <w:tcW w:w="2200" w:type="dxa"/>
            <w:tcBorders>
              <w:top w:val="nil"/>
              <w:left w:val="nil"/>
              <w:bottom w:val="nil"/>
              <w:right w:val="nil"/>
            </w:tcBorders>
            <w:shd w:val="clear" w:color="000000" w:fill="CCCCCC"/>
            <w:vAlign w:val="center"/>
            <w:hideMark/>
          </w:tcPr>
          <w:p w14:paraId="70AC65A2" w14:textId="77777777" w:rsidR="00287896" w:rsidRPr="00287896" w:rsidRDefault="00287896" w:rsidP="00287896">
            <w:pPr>
              <w:rPr>
                <w:rFonts w:ascii="Arial" w:hAnsi="Arial" w:cs="Arial"/>
                <w:b/>
                <w:bCs/>
                <w:sz w:val="22"/>
                <w:szCs w:val="22"/>
              </w:rPr>
            </w:pPr>
            <w:r w:rsidRPr="00287896">
              <w:rPr>
                <w:rFonts w:ascii="Arial" w:hAnsi="Arial" w:cs="Arial"/>
                <w:b/>
                <w:bCs/>
                <w:sz w:val="22"/>
                <w:szCs w:val="22"/>
              </w:rPr>
              <w:t> </w:t>
            </w:r>
          </w:p>
        </w:tc>
        <w:tc>
          <w:tcPr>
            <w:tcW w:w="1440" w:type="dxa"/>
            <w:tcBorders>
              <w:top w:val="nil"/>
              <w:left w:val="nil"/>
              <w:bottom w:val="nil"/>
              <w:right w:val="single" w:sz="8" w:space="0" w:color="auto"/>
            </w:tcBorders>
            <w:shd w:val="clear" w:color="000000" w:fill="CCCCCC"/>
            <w:vAlign w:val="center"/>
            <w:hideMark/>
          </w:tcPr>
          <w:p w14:paraId="20C3F25D" w14:textId="77777777" w:rsidR="00287896" w:rsidRPr="00287896" w:rsidRDefault="00287896" w:rsidP="00287896">
            <w:pPr>
              <w:jc w:val="right"/>
              <w:rPr>
                <w:rFonts w:ascii="Arial" w:hAnsi="Arial" w:cs="Arial"/>
                <w:b/>
                <w:bCs/>
                <w:color w:val="000000"/>
                <w:sz w:val="22"/>
                <w:szCs w:val="22"/>
              </w:rPr>
            </w:pPr>
            <w:r w:rsidRPr="00287896">
              <w:rPr>
                <w:rFonts w:ascii="Arial" w:hAnsi="Arial" w:cs="Arial"/>
                <w:b/>
                <w:bCs/>
                <w:color w:val="000000"/>
                <w:sz w:val="22"/>
                <w:szCs w:val="22"/>
              </w:rPr>
              <w:t>£000</w:t>
            </w:r>
          </w:p>
        </w:tc>
      </w:tr>
      <w:tr w:rsidR="00F95307" w:rsidRPr="00583128" w14:paraId="4CBBDC72" w14:textId="77777777" w:rsidTr="00287896">
        <w:trPr>
          <w:trHeight w:val="570"/>
        </w:trPr>
        <w:tc>
          <w:tcPr>
            <w:tcW w:w="2500" w:type="dxa"/>
            <w:tcBorders>
              <w:top w:val="nil"/>
              <w:left w:val="single" w:sz="8" w:space="0" w:color="auto"/>
              <w:bottom w:val="nil"/>
              <w:right w:val="nil"/>
            </w:tcBorders>
            <w:shd w:val="clear" w:color="000000" w:fill="auto"/>
            <w:vAlign w:val="center"/>
            <w:hideMark/>
          </w:tcPr>
          <w:p w14:paraId="5962160C" w14:textId="727667C7" w:rsidR="00F95307" w:rsidRPr="00287896" w:rsidRDefault="00F95307" w:rsidP="00F95307">
            <w:pPr>
              <w:jc w:val="right"/>
              <w:rPr>
                <w:rFonts w:ascii="Arial" w:hAnsi="Arial" w:cs="Arial"/>
                <w:sz w:val="22"/>
                <w:szCs w:val="22"/>
              </w:rPr>
            </w:pPr>
            <w:r w:rsidRPr="00287896">
              <w:rPr>
                <w:rFonts w:ascii="Arial" w:hAnsi="Arial" w:cs="Arial"/>
                <w:sz w:val="22"/>
                <w:szCs w:val="22"/>
              </w:rPr>
              <w:t>(</w:t>
            </w:r>
            <w:r>
              <w:rPr>
                <w:rFonts w:ascii="Arial" w:hAnsi="Arial" w:cs="Arial"/>
                <w:sz w:val="22"/>
                <w:szCs w:val="22"/>
              </w:rPr>
              <w:t>12</w:t>
            </w:r>
            <w:r w:rsidRPr="00287896">
              <w:rPr>
                <w:rFonts w:ascii="Arial" w:hAnsi="Arial" w:cs="Arial"/>
                <w:sz w:val="22"/>
                <w:szCs w:val="22"/>
              </w:rPr>
              <w:t>)</w:t>
            </w:r>
          </w:p>
        </w:tc>
        <w:tc>
          <w:tcPr>
            <w:tcW w:w="2200" w:type="dxa"/>
            <w:tcBorders>
              <w:top w:val="nil"/>
              <w:left w:val="nil"/>
              <w:bottom w:val="nil"/>
              <w:right w:val="nil"/>
            </w:tcBorders>
            <w:shd w:val="clear" w:color="000000" w:fill="CCCCCC"/>
            <w:vAlign w:val="center"/>
            <w:hideMark/>
          </w:tcPr>
          <w:p w14:paraId="22F49E5B" w14:textId="77777777" w:rsidR="00F95307" w:rsidRPr="00287896" w:rsidRDefault="00F95307" w:rsidP="00F95307">
            <w:pPr>
              <w:rPr>
                <w:rFonts w:ascii="Arial" w:hAnsi="Arial" w:cs="Arial"/>
                <w:color w:val="000000"/>
                <w:sz w:val="22"/>
                <w:szCs w:val="22"/>
              </w:rPr>
            </w:pPr>
            <w:r w:rsidRPr="00287896">
              <w:rPr>
                <w:rFonts w:ascii="Arial" w:hAnsi="Arial" w:cs="Arial"/>
                <w:color w:val="000000"/>
                <w:sz w:val="22"/>
                <w:szCs w:val="22"/>
              </w:rPr>
              <w:t>Unpaid pensions benefits</w:t>
            </w:r>
          </w:p>
        </w:tc>
        <w:tc>
          <w:tcPr>
            <w:tcW w:w="1440" w:type="dxa"/>
            <w:tcBorders>
              <w:top w:val="nil"/>
              <w:left w:val="nil"/>
              <w:bottom w:val="nil"/>
              <w:right w:val="single" w:sz="8" w:space="0" w:color="auto"/>
            </w:tcBorders>
            <w:shd w:val="clear" w:color="000000" w:fill="CCCCCC"/>
            <w:vAlign w:val="center"/>
            <w:hideMark/>
          </w:tcPr>
          <w:p w14:paraId="1D6BD44A" w14:textId="361B7679" w:rsidR="00F95307" w:rsidRPr="00583128" w:rsidRDefault="00A025E6" w:rsidP="00F95307">
            <w:pPr>
              <w:jc w:val="right"/>
              <w:rPr>
                <w:rFonts w:ascii="Arial" w:hAnsi="Arial" w:cs="Arial"/>
                <w:sz w:val="22"/>
                <w:szCs w:val="22"/>
              </w:rPr>
            </w:pPr>
            <w:r w:rsidRPr="00583128">
              <w:rPr>
                <w:rFonts w:ascii="Arial" w:hAnsi="Arial" w:cs="Arial"/>
                <w:sz w:val="22"/>
                <w:szCs w:val="22"/>
              </w:rPr>
              <w:t>(11)</w:t>
            </w:r>
          </w:p>
        </w:tc>
      </w:tr>
      <w:tr w:rsidR="00F95307" w:rsidRPr="00583128" w14:paraId="4D4CF52E" w14:textId="77777777" w:rsidTr="00287896">
        <w:trPr>
          <w:trHeight w:val="300"/>
        </w:trPr>
        <w:tc>
          <w:tcPr>
            <w:tcW w:w="2500" w:type="dxa"/>
            <w:tcBorders>
              <w:top w:val="nil"/>
              <w:left w:val="single" w:sz="8" w:space="0" w:color="auto"/>
              <w:bottom w:val="nil"/>
              <w:right w:val="nil"/>
            </w:tcBorders>
            <w:shd w:val="clear" w:color="000000" w:fill="auto"/>
            <w:vAlign w:val="center"/>
            <w:hideMark/>
          </w:tcPr>
          <w:p w14:paraId="5E04D8C7" w14:textId="5ABC9988" w:rsidR="00F95307" w:rsidRPr="00287896" w:rsidRDefault="00F95307" w:rsidP="00F95307">
            <w:pPr>
              <w:jc w:val="right"/>
              <w:rPr>
                <w:rFonts w:ascii="Arial" w:hAnsi="Arial" w:cs="Arial"/>
                <w:sz w:val="22"/>
                <w:szCs w:val="22"/>
              </w:rPr>
            </w:pPr>
            <w:r w:rsidRPr="00287896">
              <w:rPr>
                <w:rFonts w:ascii="Arial" w:hAnsi="Arial" w:cs="Arial"/>
                <w:sz w:val="22"/>
                <w:szCs w:val="22"/>
              </w:rPr>
              <w:t>7,</w:t>
            </w:r>
            <w:r>
              <w:rPr>
                <w:rFonts w:ascii="Arial" w:hAnsi="Arial" w:cs="Arial"/>
                <w:sz w:val="22"/>
                <w:szCs w:val="22"/>
              </w:rPr>
              <w:t>630</w:t>
            </w:r>
          </w:p>
        </w:tc>
        <w:tc>
          <w:tcPr>
            <w:tcW w:w="2200" w:type="dxa"/>
            <w:tcBorders>
              <w:top w:val="nil"/>
              <w:left w:val="nil"/>
              <w:bottom w:val="nil"/>
              <w:right w:val="nil"/>
            </w:tcBorders>
            <w:shd w:val="clear" w:color="000000" w:fill="CCCCCC"/>
            <w:vAlign w:val="center"/>
            <w:hideMark/>
          </w:tcPr>
          <w:p w14:paraId="7AFD428D" w14:textId="77777777" w:rsidR="00F95307" w:rsidRPr="00287896" w:rsidRDefault="00F95307" w:rsidP="00F95307">
            <w:pPr>
              <w:rPr>
                <w:rFonts w:ascii="Arial" w:hAnsi="Arial" w:cs="Arial"/>
                <w:color w:val="000000"/>
                <w:sz w:val="22"/>
                <w:szCs w:val="22"/>
              </w:rPr>
            </w:pPr>
            <w:r w:rsidRPr="00287896">
              <w:rPr>
                <w:rFonts w:ascii="Arial" w:hAnsi="Arial" w:cs="Arial"/>
                <w:color w:val="000000"/>
                <w:sz w:val="22"/>
                <w:szCs w:val="22"/>
              </w:rPr>
              <w:t>Payment in Advance</w:t>
            </w:r>
          </w:p>
        </w:tc>
        <w:tc>
          <w:tcPr>
            <w:tcW w:w="1440" w:type="dxa"/>
            <w:tcBorders>
              <w:top w:val="nil"/>
              <w:left w:val="nil"/>
              <w:bottom w:val="nil"/>
              <w:right w:val="single" w:sz="8" w:space="0" w:color="auto"/>
            </w:tcBorders>
            <w:shd w:val="clear" w:color="000000" w:fill="CCCCCC"/>
            <w:vAlign w:val="center"/>
            <w:hideMark/>
          </w:tcPr>
          <w:p w14:paraId="60EF0984" w14:textId="0503439F" w:rsidR="00F95307" w:rsidRPr="00583128" w:rsidRDefault="00A025E6" w:rsidP="00F95307">
            <w:pPr>
              <w:jc w:val="right"/>
              <w:rPr>
                <w:rFonts w:ascii="Arial" w:hAnsi="Arial" w:cs="Arial"/>
                <w:sz w:val="22"/>
                <w:szCs w:val="22"/>
              </w:rPr>
            </w:pPr>
            <w:r w:rsidRPr="00583128">
              <w:rPr>
                <w:rFonts w:ascii="Arial" w:hAnsi="Arial" w:cs="Arial"/>
                <w:sz w:val="22"/>
                <w:szCs w:val="22"/>
              </w:rPr>
              <w:t>0</w:t>
            </w:r>
          </w:p>
        </w:tc>
      </w:tr>
      <w:tr w:rsidR="00F95307" w:rsidRPr="00583128" w14:paraId="6C79EE46" w14:textId="77777777" w:rsidTr="00287896">
        <w:trPr>
          <w:trHeight w:val="870"/>
        </w:trPr>
        <w:tc>
          <w:tcPr>
            <w:tcW w:w="2500" w:type="dxa"/>
            <w:tcBorders>
              <w:top w:val="nil"/>
              <w:left w:val="single" w:sz="8" w:space="0" w:color="auto"/>
              <w:bottom w:val="single" w:sz="8" w:space="0" w:color="auto"/>
              <w:right w:val="nil"/>
            </w:tcBorders>
            <w:shd w:val="clear" w:color="000000" w:fill="auto"/>
            <w:vAlign w:val="center"/>
            <w:hideMark/>
          </w:tcPr>
          <w:p w14:paraId="1C66B297" w14:textId="6AD82E49" w:rsidR="00F95307" w:rsidRPr="00287896" w:rsidRDefault="00F95307" w:rsidP="00F95307">
            <w:pPr>
              <w:jc w:val="right"/>
              <w:rPr>
                <w:rFonts w:ascii="Arial" w:hAnsi="Arial" w:cs="Arial"/>
                <w:sz w:val="22"/>
                <w:szCs w:val="22"/>
              </w:rPr>
            </w:pPr>
            <w:r w:rsidRPr="00287896">
              <w:rPr>
                <w:rFonts w:ascii="Arial" w:hAnsi="Arial" w:cs="Arial"/>
                <w:sz w:val="22"/>
                <w:szCs w:val="22"/>
              </w:rPr>
              <w:t>(</w:t>
            </w:r>
            <w:r>
              <w:rPr>
                <w:rFonts w:ascii="Arial" w:hAnsi="Arial" w:cs="Arial"/>
                <w:sz w:val="22"/>
                <w:szCs w:val="22"/>
              </w:rPr>
              <w:t>7</w:t>
            </w:r>
            <w:r w:rsidRPr="00287896">
              <w:rPr>
                <w:rFonts w:ascii="Arial" w:hAnsi="Arial" w:cs="Arial"/>
                <w:sz w:val="22"/>
                <w:szCs w:val="22"/>
              </w:rPr>
              <w:t>,6</w:t>
            </w:r>
            <w:r>
              <w:rPr>
                <w:rFonts w:ascii="Arial" w:hAnsi="Arial" w:cs="Arial"/>
                <w:sz w:val="22"/>
                <w:szCs w:val="22"/>
              </w:rPr>
              <w:t>18</w:t>
            </w:r>
            <w:r w:rsidRPr="00287896">
              <w:rPr>
                <w:rFonts w:ascii="Arial" w:hAnsi="Arial" w:cs="Arial"/>
                <w:sz w:val="22"/>
                <w:szCs w:val="22"/>
              </w:rPr>
              <w:t>)</w:t>
            </w:r>
          </w:p>
        </w:tc>
        <w:tc>
          <w:tcPr>
            <w:tcW w:w="2200" w:type="dxa"/>
            <w:tcBorders>
              <w:top w:val="nil"/>
              <w:left w:val="nil"/>
              <w:bottom w:val="nil"/>
              <w:right w:val="nil"/>
            </w:tcBorders>
            <w:shd w:val="clear" w:color="000000" w:fill="CCCCCC"/>
            <w:vAlign w:val="center"/>
            <w:hideMark/>
          </w:tcPr>
          <w:p w14:paraId="2ADE0C45" w14:textId="77777777" w:rsidR="00F95307" w:rsidRPr="00287896" w:rsidRDefault="00F95307" w:rsidP="00F95307">
            <w:pPr>
              <w:rPr>
                <w:rFonts w:ascii="Arial" w:hAnsi="Arial" w:cs="Arial"/>
                <w:color w:val="000000"/>
                <w:sz w:val="22"/>
                <w:szCs w:val="22"/>
              </w:rPr>
            </w:pPr>
            <w:r w:rsidRPr="00287896">
              <w:rPr>
                <w:rFonts w:ascii="Arial" w:hAnsi="Arial" w:cs="Arial"/>
                <w:color w:val="000000"/>
                <w:sz w:val="22"/>
                <w:szCs w:val="22"/>
              </w:rPr>
              <w:t xml:space="preserve">Amounts owed from/(to) PCC's General Fund </w:t>
            </w:r>
          </w:p>
        </w:tc>
        <w:tc>
          <w:tcPr>
            <w:tcW w:w="1440" w:type="dxa"/>
            <w:tcBorders>
              <w:top w:val="nil"/>
              <w:left w:val="nil"/>
              <w:bottom w:val="single" w:sz="8" w:space="0" w:color="auto"/>
              <w:right w:val="single" w:sz="8" w:space="0" w:color="auto"/>
            </w:tcBorders>
            <w:shd w:val="clear" w:color="000000" w:fill="CCCCCC"/>
            <w:vAlign w:val="center"/>
            <w:hideMark/>
          </w:tcPr>
          <w:p w14:paraId="23897C80" w14:textId="5B08B105" w:rsidR="00F95307" w:rsidRPr="00583128" w:rsidRDefault="00F95307" w:rsidP="00F95307">
            <w:pPr>
              <w:jc w:val="right"/>
              <w:rPr>
                <w:rFonts w:ascii="Arial" w:hAnsi="Arial" w:cs="Arial"/>
                <w:sz w:val="22"/>
                <w:szCs w:val="22"/>
              </w:rPr>
            </w:pPr>
            <w:r w:rsidRPr="00583128">
              <w:rPr>
                <w:rFonts w:ascii="Arial" w:hAnsi="Arial" w:cs="Arial"/>
                <w:sz w:val="22"/>
                <w:szCs w:val="22"/>
              </w:rPr>
              <w:t>11</w:t>
            </w:r>
          </w:p>
        </w:tc>
      </w:tr>
      <w:tr w:rsidR="00F95307" w:rsidRPr="00583128" w14:paraId="61EF5F0E" w14:textId="77777777" w:rsidTr="00287896">
        <w:trPr>
          <w:trHeight w:val="315"/>
        </w:trPr>
        <w:tc>
          <w:tcPr>
            <w:tcW w:w="2500" w:type="dxa"/>
            <w:tcBorders>
              <w:top w:val="nil"/>
              <w:left w:val="single" w:sz="8" w:space="0" w:color="auto"/>
              <w:bottom w:val="single" w:sz="8" w:space="0" w:color="auto"/>
              <w:right w:val="nil"/>
            </w:tcBorders>
            <w:shd w:val="clear" w:color="000000" w:fill="auto"/>
            <w:vAlign w:val="center"/>
            <w:hideMark/>
          </w:tcPr>
          <w:p w14:paraId="1CB6E0FA" w14:textId="77777777" w:rsidR="00F95307" w:rsidRPr="00287896" w:rsidRDefault="00F95307" w:rsidP="00F95307">
            <w:pPr>
              <w:jc w:val="right"/>
              <w:rPr>
                <w:rFonts w:ascii="Arial" w:hAnsi="Arial" w:cs="Arial"/>
                <w:b/>
                <w:bCs/>
                <w:sz w:val="22"/>
                <w:szCs w:val="22"/>
              </w:rPr>
            </w:pPr>
            <w:r w:rsidRPr="00287896">
              <w:rPr>
                <w:rFonts w:ascii="Arial" w:hAnsi="Arial" w:cs="Arial"/>
                <w:b/>
                <w:bCs/>
                <w:sz w:val="22"/>
                <w:szCs w:val="22"/>
              </w:rPr>
              <w:t>0</w:t>
            </w:r>
          </w:p>
        </w:tc>
        <w:tc>
          <w:tcPr>
            <w:tcW w:w="2200" w:type="dxa"/>
            <w:tcBorders>
              <w:top w:val="nil"/>
              <w:left w:val="nil"/>
              <w:bottom w:val="single" w:sz="8" w:space="0" w:color="auto"/>
              <w:right w:val="nil"/>
            </w:tcBorders>
            <w:shd w:val="clear" w:color="000000" w:fill="CCCCCC"/>
            <w:vAlign w:val="center"/>
            <w:hideMark/>
          </w:tcPr>
          <w:p w14:paraId="2EE19FE0" w14:textId="77777777" w:rsidR="00F95307" w:rsidRPr="00287896" w:rsidRDefault="00F95307" w:rsidP="00F95307">
            <w:pPr>
              <w:rPr>
                <w:rFonts w:ascii="Arial" w:hAnsi="Arial" w:cs="Arial"/>
                <w:b/>
                <w:bCs/>
                <w:color w:val="000000"/>
                <w:sz w:val="22"/>
                <w:szCs w:val="22"/>
              </w:rPr>
            </w:pPr>
            <w:r w:rsidRPr="00287896">
              <w:rPr>
                <w:rFonts w:ascii="Arial" w:hAnsi="Arial" w:cs="Arial"/>
                <w:b/>
                <w:bCs/>
                <w:color w:val="000000"/>
                <w:sz w:val="22"/>
                <w:szCs w:val="22"/>
              </w:rPr>
              <w:t>Net Assets</w:t>
            </w:r>
          </w:p>
        </w:tc>
        <w:tc>
          <w:tcPr>
            <w:tcW w:w="1440" w:type="dxa"/>
            <w:tcBorders>
              <w:top w:val="nil"/>
              <w:left w:val="nil"/>
              <w:bottom w:val="single" w:sz="8" w:space="0" w:color="auto"/>
              <w:right w:val="single" w:sz="8" w:space="0" w:color="auto"/>
            </w:tcBorders>
            <w:shd w:val="clear" w:color="000000" w:fill="CCCCCC"/>
            <w:vAlign w:val="center"/>
            <w:hideMark/>
          </w:tcPr>
          <w:p w14:paraId="20BF320A" w14:textId="7B38C978" w:rsidR="00F95307" w:rsidRPr="00583128" w:rsidRDefault="00F95307" w:rsidP="00F95307">
            <w:pPr>
              <w:jc w:val="right"/>
              <w:rPr>
                <w:rFonts w:ascii="Arial" w:hAnsi="Arial" w:cs="Arial"/>
                <w:b/>
                <w:bCs/>
                <w:sz w:val="22"/>
                <w:szCs w:val="22"/>
              </w:rPr>
            </w:pPr>
            <w:r w:rsidRPr="00583128">
              <w:rPr>
                <w:rFonts w:ascii="Arial" w:hAnsi="Arial" w:cs="Arial"/>
                <w:b/>
                <w:bCs/>
                <w:sz w:val="22"/>
                <w:szCs w:val="22"/>
              </w:rPr>
              <w:t>0</w:t>
            </w:r>
          </w:p>
        </w:tc>
      </w:tr>
    </w:tbl>
    <w:p w14:paraId="7DC45733" w14:textId="77777777" w:rsidR="003B74DA" w:rsidRPr="00645FC2" w:rsidRDefault="003B74DA" w:rsidP="003B74DA">
      <w:pPr>
        <w:pStyle w:val="Footer"/>
        <w:tabs>
          <w:tab w:val="clear" w:pos="4153"/>
          <w:tab w:val="clear" w:pos="8306"/>
        </w:tabs>
        <w:rPr>
          <w:b/>
          <w:sz w:val="22"/>
          <w:szCs w:val="22"/>
          <w:highlight w:val="yellow"/>
        </w:rPr>
      </w:pPr>
    </w:p>
    <w:p w14:paraId="545F41BC" w14:textId="77777777" w:rsidR="003B74DA" w:rsidRPr="00645FC2" w:rsidRDefault="003B74DA" w:rsidP="003B74DA">
      <w:pPr>
        <w:pStyle w:val="Footer"/>
        <w:tabs>
          <w:tab w:val="clear" w:pos="4153"/>
          <w:tab w:val="clear" w:pos="8306"/>
        </w:tabs>
        <w:rPr>
          <w:b/>
          <w:sz w:val="22"/>
          <w:szCs w:val="22"/>
          <w:highlight w:val="yellow"/>
        </w:rPr>
      </w:pPr>
    </w:p>
    <w:p w14:paraId="6569A96E" w14:textId="77777777" w:rsidR="003B74DA" w:rsidRPr="00287896" w:rsidRDefault="003B74DA" w:rsidP="003B74DA">
      <w:pPr>
        <w:pStyle w:val="Footer"/>
        <w:tabs>
          <w:tab w:val="clear" w:pos="4153"/>
          <w:tab w:val="clear" w:pos="8306"/>
        </w:tabs>
        <w:rPr>
          <w:b/>
          <w:sz w:val="22"/>
          <w:szCs w:val="22"/>
        </w:rPr>
      </w:pPr>
      <w:r w:rsidRPr="00287896">
        <w:rPr>
          <w:b/>
          <w:sz w:val="22"/>
          <w:szCs w:val="22"/>
        </w:rPr>
        <w:t>NOTES TO THE FINANCIAL STATEMENT</w:t>
      </w:r>
    </w:p>
    <w:p w14:paraId="2195BC87" w14:textId="77777777" w:rsidR="003B74DA" w:rsidRPr="00287896" w:rsidRDefault="003B74DA" w:rsidP="003B74DA">
      <w:pPr>
        <w:tabs>
          <w:tab w:val="right" w:pos="5760"/>
        </w:tabs>
        <w:rPr>
          <w:rFonts w:ascii="Arial" w:hAnsi="Arial"/>
          <w:b/>
          <w:sz w:val="22"/>
          <w:szCs w:val="22"/>
        </w:rPr>
      </w:pPr>
    </w:p>
    <w:p w14:paraId="086E392C" w14:textId="77777777" w:rsidR="003B74DA" w:rsidRPr="00287896" w:rsidRDefault="003B74DA" w:rsidP="004E2882">
      <w:pPr>
        <w:numPr>
          <w:ilvl w:val="0"/>
          <w:numId w:val="16"/>
        </w:numPr>
        <w:tabs>
          <w:tab w:val="clear" w:pos="720"/>
          <w:tab w:val="num" w:pos="426"/>
          <w:tab w:val="right" w:pos="5760"/>
        </w:tabs>
        <w:ind w:left="426" w:hanging="568"/>
        <w:rPr>
          <w:rFonts w:ascii="Arial" w:hAnsi="Arial"/>
          <w:b/>
          <w:sz w:val="22"/>
          <w:szCs w:val="22"/>
        </w:rPr>
      </w:pPr>
      <w:r w:rsidRPr="00287896">
        <w:rPr>
          <w:rFonts w:ascii="Arial" w:hAnsi="Arial"/>
          <w:b/>
          <w:sz w:val="22"/>
          <w:szCs w:val="22"/>
        </w:rPr>
        <w:t>Basis of preparation</w:t>
      </w:r>
    </w:p>
    <w:p w14:paraId="07941452" w14:textId="77777777" w:rsidR="003B74DA" w:rsidRPr="00287896" w:rsidRDefault="003B74DA" w:rsidP="003B74DA">
      <w:pPr>
        <w:pStyle w:val="Footer"/>
        <w:tabs>
          <w:tab w:val="clear" w:pos="4153"/>
          <w:tab w:val="clear" w:pos="8306"/>
        </w:tabs>
        <w:rPr>
          <w:b/>
          <w:sz w:val="22"/>
          <w:szCs w:val="22"/>
        </w:rPr>
      </w:pPr>
    </w:p>
    <w:p w14:paraId="56DC3E44" w14:textId="0F2AD308" w:rsidR="003B74DA" w:rsidRPr="00287896" w:rsidRDefault="003B74DA" w:rsidP="003B74DA">
      <w:pPr>
        <w:pStyle w:val="Footer"/>
        <w:tabs>
          <w:tab w:val="clear" w:pos="4153"/>
          <w:tab w:val="clear" w:pos="8306"/>
        </w:tabs>
        <w:ind w:left="426"/>
        <w:jc w:val="both"/>
        <w:rPr>
          <w:sz w:val="22"/>
          <w:szCs w:val="22"/>
        </w:rPr>
      </w:pPr>
      <w:r w:rsidRPr="00287896">
        <w:rPr>
          <w:sz w:val="22"/>
          <w:szCs w:val="22"/>
        </w:rPr>
        <w:t xml:space="preserve">The Police Pension Account combines the accounting transactions of three pension schemes; the 1987 Scheme, which was set up in 1987 and the 2006 Scheme which was created by the Home Office under the Police Pension Regulations 2006 and the most recent 2015 Scheme, established under the Police Pension Regulations </w:t>
      </w:r>
      <w:r w:rsidR="00D44C80" w:rsidRPr="00287896">
        <w:rPr>
          <w:sz w:val="22"/>
          <w:szCs w:val="22"/>
        </w:rPr>
        <w:t>2015.</w:t>
      </w:r>
    </w:p>
    <w:p w14:paraId="5A4DA48C" w14:textId="77777777" w:rsidR="003B74DA" w:rsidRPr="00287896" w:rsidRDefault="003B74DA" w:rsidP="003B74DA">
      <w:pPr>
        <w:pStyle w:val="Footer"/>
        <w:tabs>
          <w:tab w:val="clear" w:pos="4153"/>
          <w:tab w:val="clear" w:pos="8306"/>
        </w:tabs>
        <w:ind w:left="426"/>
        <w:jc w:val="both"/>
        <w:rPr>
          <w:sz w:val="22"/>
          <w:szCs w:val="22"/>
        </w:rPr>
      </w:pPr>
    </w:p>
    <w:p w14:paraId="6FAE73A3" w14:textId="2835FA6E" w:rsidR="003B74DA" w:rsidRPr="00287896" w:rsidRDefault="003B74DA" w:rsidP="003B74DA">
      <w:pPr>
        <w:ind w:left="426"/>
        <w:jc w:val="both"/>
        <w:rPr>
          <w:rFonts w:ascii="Arial" w:hAnsi="Arial" w:cs="Arial"/>
          <w:sz w:val="22"/>
          <w:szCs w:val="22"/>
        </w:rPr>
      </w:pPr>
      <w:r w:rsidRPr="00287896">
        <w:rPr>
          <w:rFonts w:ascii="Arial" w:hAnsi="Arial" w:cs="Arial"/>
          <w:sz w:val="22"/>
          <w:szCs w:val="22"/>
        </w:rPr>
        <w:t xml:space="preserve">From April 2015 the 2015 Police Pension Scheme replaced the 1987 and 2006 Police Pension Schemes. </w:t>
      </w:r>
      <w:r w:rsidR="00105039" w:rsidRPr="00287896">
        <w:rPr>
          <w:rFonts w:ascii="Arial" w:hAnsi="Arial" w:cs="Arial"/>
          <w:sz w:val="22"/>
          <w:szCs w:val="22"/>
        </w:rPr>
        <w:t>Except for</w:t>
      </w:r>
      <w:r w:rsidRPr="00287896">
        <w:rPr>
          <w:rFonts w:ascii="Arial" w:hAnsi="Arial" w:cs="Arial"/>
          <w:sz w:val="22"/>
          <w:szCs w:val="22"/>
        </w:rPr>
        <w:t xml:space="preserve"> some officers closest to retirement, who are covered by full or tapered transitional provisions, all police officers have moved to the new scheme. The 2015 Police Pension Scheme is a Career Average Revalued Earnings (CARE) scheme and replaces final salary schemes. It is governed by the Police Pensions Regulations 2015 and related regulations in the Public Service Pensions Act 2013.</w:t>
      </w:r>
    </w:p>
    <w:p w14:paraId="129719D2" w14:textId="77777777" w:rsidR="003B74DA" w:rsidRPr="00645FC2" w:rsidRDefault="003B74DA" w:rsidP="003B74DA">
      <w:pPr>
        <w:ind w:left="426"/>
        <w:jc w:val="both"/>
        <w:rPr>
          <w:rFonts w:ascii="Arial" w:hAnsi="Arial" w:cs="Arial"/>
          <w:sz w:val="22"/>
          <w:szCs w:val="22"/>
          <w:highlight w:val="yellow"/>
        </w:rPr>
      </w:pPr>
    </w:p>
    <w:p w14:paraId="49C64C74" w14:textId="68F57768" w:rsidR="003B74DA" w:rsidRPr="00DD351E" w:rsidRDefault="003B74DA" w:rsidP="003B74DA">
      <w:pPr>
        <w:pStyle w:val="Footer"/>
        <w:tabs>
          <w:tab w:val="clear" w:pos="4153"/>
          <w:tab w:val="clear" w:pos="8306"/>
        </w:tabs>
        <w:ind w:left="426"/>
        <w:jc w:val="both"/>
        <w:rPr>
          <w:sz w:val="22"/>
          <w:szCs w:val="22"/>
        </w:rPr>
      </w:pPr>
      <w:r w:rsidRPr="00DD351E">
        <w:rPr>
          <w:sz w:val="22"/>
          <w:szCs w:val="22"/>
        </w:rPr>
        <w:t xml:space="preserve">This financial statement has been prepared in accordance with the Police Pension Fund Regulations 2007 (SI 2007 No 1932) and CIPFA Code of Practice </w:t>
      </w:r>
      <w:r w:rsidR="00C37E7F">
        <w:rPr>
          <w:sz w:val="22"/>
          <w:szCs w:val="22"/>
        </w:rPr>
        <w:t>2024/25</w:t>
      </w:r>
      <w:r w:rsidRPr="00DD351E">
        <w:rPr>
          <w:sz w:val="22"/>
          <w:szCs w:val="22"/>
        </w:rPr>
        <w:t xml:space="preserve">. It </w:t>
      </w:r>
      <w:r w:rsidR="00D44C80" w:rsidRPr="00DD351E">
        <w:rPr>
          <w:sz w:val="22"/>
          <w:szCs w:val="22"/>
        </w:rPr>
        <w:t>summarises</w:t>
      </w:r>
      <w:r w:rsidRPr="00DD351E">
        <w:rPr>
          <w:sz w:val="22"/>
          <w:szCs w:val="22"/>
        </w:rPr>
        <w:t xml:space="preserve"> the transactions of the Pension Account. It does not take account of obligations to pay pensions and benefits which fall due after the end of the financial year – these obligations are </w:t>
      </w:r>
      <w:r w:rsidR="00D44C80" w:rsidRPr="00DD351E">
        <w:rPr>
          <w:sz w:val="22"/>
          <w:szCs w:val="22"/>
        </w:rPr>
        <w:t>considered</w:t>
      </w:r>
      <w:r w:rsidRPr="00DD351E">
        <w:rPr>
          <w:sz w:val="22"/>
          <w:szCs w:val="22"/>
        </w:rPr>
        <w:t xml:space="preserve"> by the actuary when valuing the schemes liabilities and are reflected in the CIES and balance sheets of the CC and the PCC Group.</w:t>
      </w:r>
    </w:p>
    <w:p w14:paraId="576FDCB3" w14:textId="77777777" w:rsidR="003B74DA" w:rsidRPr="00645FC2" w:rsidRDefault="003B74DA" w:rsidP="003B74DA">
      <w:pPr>
        <w:pStyle w:val="Footer"/>
        <w:tabs>
          <w:tab w:val="clear" w:pos="4153"/>
          <w:tab w:val="clear" w:pos="8306"/>
        </w:tabs>
        <w:ind w:left="426"/>
        <w:jc w:val="both"/>
        <w:rPr>
          <w:sz w:val="22"/>
          <w:szCs w:val="22"/>
          <w:highlight w:val="yellow"/>
        </w:rPr>
      </w:pPr>
    </w:p>
    <w:p w14:paraId="7972A1B4" w14:textId="193C3973" w:rsidR="003B74DA" w:rsidRPr="001B5D0B" w:rsidRDefault="003B74DA" w:rsidP="003B74DA">
      <w:pPr>
        <w:pStyle w:val="Footer"/>
        <w:tabs>
          <w:tab w:val="clear" w:pos="4153"/>
          <w:tab w:val="clear" w:pos="8306"/>
        </w:tabs>
        <w:ind w:left="426"/>
        <w:jc w:val="both"/>
        <w:rPr>
          <w:sz w:val="22"/>
          <w:szCs w:val="22"/>
        </w:rPr>
      </w:pPr>
      <w:r w:rsidRPr="009A589F">
        <w:rPr>
          <w:sz w:val="22"/>
          <w:szCs w:val="22"/>
        </w:rPr>
        <w:t xml:space="preserve">This statement does not form part of the Statement of Accounts for either the PCC or the CC but has been audited as a separate statement and is covered by the audit opinion on </w:t>
      </w:r>
      <w:r w:rsidRPr="001B5D0B">
        <w:rPr>
          <w:sz w:val="22"/>
          <w:szCs w:val="22"/>
        </w:rPr>
        <w:t xml:space="preserve">Page </w:t>
      </w:r>
      <w:r w:rsidR="006B1950" w:rsidRPr="001B5D0B">
        <w:rPr>
          <w:sz w:val="22"/>
          <w:szCs w:val="22"/>
        </w:rPr>
        <w:t>10</w:t>
      </w:r>
      <w:r w:rsidR="00A36CB0">
        <w:rPr>
          <w:sz w:val="22"/>
          <w:szCs w:val="22"/>
        </w:rPr>
        <w:t>5</w:t>
      </w:r>
      <w:r w:rsidR="00BC5970" w:rsidRPr="001B5D0B">
        <w:rPr>
          <w:sz w:val="22"/>
          <w:szCs w:val="22"/>
        </w:rPr>
        <w:t>.</w:t>
      </w:r>
    </w:p>
    <w:p w14:paraId="3DB27F0F" w14:textId="77777777" w:rsidR="003B74DA" w:rsidRPr="00645FC2" w:rsidRDefault="003B74DA" w:rsidP="003B74DA">
      <w:pPr>
        <w:pStyle w:val="Footer"/>
        <w:tabs>
          <w:tab w:val="clear" w:pos="4153"/>
          <w:tab w:val="clear" w:pos="8306"/>
        </w:tabs>
        <w:ind w:left="426"/>
        <w:jc w:val="both"/>
        <w:rPr>
          <w:sz w:val="22"/>
          <w:szCs w:val="22"/>
          <w:highlight w:val="yellow"/>
        </w:rPr>
      </w:pPr>
    </w:p>
    <w:p w14:paraId="03C14848" w14:textId="1BAD17B7" w:rsidR="003B74DA" w:rsidRPr="000F514B" w:rsidRDefault="003B74DA" w:rsidP="003B74DA">
      <w:pPr>
        <w:pStyle w:val="Footer"/>
        <w:tabs>
          <w:tab w:val="clear" w:pos="4153"/>
          <w:tab w:val="clear" w:pos="8306"/>
        </w:tabs>
        <w:ind w:left="426"/>
        <w:jc w:val="both"/>
        <w:rPr>
          <w:sz w:val="22"/>
          <w:szCs w:val="22"/>
        </w:rPr>
      </w:pPr>
      <w:bookmarkStart w:id="45" w:name="_Hlk42687350"/>
      <w:r w:rsidRPr="000F514B">
        <w:rPr>
          <w:sz w:val="22"/>
          <w:szCs w:val="22"/>
        </w:rPr>
        <w:t xml:space="preserve">All the pension schemes are unfunded and have no investment assets. Benefits payable are funded by contributions from employees and employers (in this instance the PCC) and any difference between benefits payable and contributions receivable is funded by an additional contribution by the PCC from/to the Police General Fund, which, </w:t>
      </w:r>
      <w:r w:rsidR="00CF478F" w:rsidRPr="000F514B">
        <w:rPr>
          <w:sz w:val="22"/>
          <w:szCs w:val="22"/>
        </w:rPr>
        <w:t xml:space="preserve">in </w:t>
      </w:r>
      <w:r w:rsidR="00C37E7F">
        <w:rPr>
          <w:sz w:val="22"/>
          <w:szCs w:val="22"/>
        </w:rPr>
        <w:t>2024/25</w:t>
      </w:r>
      <w:r w:rsidR="00CF478F" w:rsidRPr="000F514B">
        <w:rPr>
          <w:sz w:val="22"/>
          <w:szCs w:val="22"/>
        </w:rPr>
        <w:t xml:space="preserve"> is </w:t>
      </w:r>
      <w:r w:rsidRPr="000F514B">
        <w:rPr>
          <w:sz w:val="22"/>
          <w:szCs w:val="22"/>
        </w:rPr>
        <w:t xml:space="preserve">financed in full by top-up grant from the Home Office. </w:t>
      </w:r>
    </w:p>
    <w:bookmarkEnd w:id="45"/>
    <w:p w14:paraId="28FE9FDD" w14:textId="77777777" w:rsidR="003B74DA" w:rsidRPr="00645FC2" w:rsidRDefault="003B74DA" w:rsidP="003B74DA">
      <w:pPr>
        <w:pStyle w:val="Footer"/>
        <w:tabs>
          <w:tab w:val="clear" w:pos="4153"/>
          <w:tab w:val="clear" w:pos="8306"/>
        </w:tabs>
        <w:ind w:left="426"/>
        <w:jc w:val="both"/>
        <w:rPr>
          <w:sz w:val="22"/>
          <w:szCs w:val="22"/>
          <w:highlight w:val="yellow"/>
        </w:rPr>
      </w:pPr>
    </w:p>
    <w:p w14:paraId="4B47B37B" w14:textId="77777777" w:rsidR="003B74DA" w:rsidRPr="00DD351E" w:rsidRDefault="003B74DA" w:rsidP="004E2882">
      <w:pPr>
        <w:numPr>
          <w:ilvl w:val="0"/>
          <w:numId w:val="16"/>
        </w:numPr>
        <w:tabs>
          <w:tab w:val="clear" w:pos="720"/>
          <w:tab w:val="num" w:pos="426"/>
          <w:tab w:val="right" w:pos="5760"/>
        </w:tabs>
        <w:ind w:left="426" w:hanging="568"/>
        <w:jc w:val="both"/>
        <w:rPr>
          <w:rFonts w:ascii="Arial" w:hAnsi="Arial"/>
          <w:b/>
          <w:sz w:val="22"/>
          <w:szCs w:val="22"/>
        </w:rPr>
      </w:pPr>
      <w:r w:rsidRPr="00DD351E">
        <w:rPr>
          <w:rFonts w:ascii="Arial" w:hAnsi="Arial"/>
          <w:b/>
          <w:sz w:val="22"/>
          <w:szCs w:val="22"/>
        </w:rPr>
        <w:t>Actuarial Valuation</w:t>
      </w:r>
    </w:p>
    <w:p w14:paraId="18BD597E" w14:textId="77777777" w:rsidR="003B74DA" w:rsidRPr="00DD351E" w:rsidRDefault="003B74DA" w:rsidP="003B74DA">
      <w:pPr>
        <w:tabs>
          <w:tab w:val="right" w:pos="5760"/>
        </w:tabs>
        <w:jc w:val="both"/>
        <w:rPr>
          <w:rFonts w:ascii="Arial" w:hAnsi="Arial"/>
          <w:b/>
          <w:sz w:val="22"/>
          <w:szCs w:val="22"/>
        </w:rPr>
      </w:pPr>
    </w:p>
    <w:p w14:paraId="43BCEE8B" w14:textId="514F836E" w:rsidR="00CF478F" w:rsidRPr="00645FC2" w:rsidRDefault="003B74DA" w:rsidP="00BF574B">
      <w:pPr>
        <w:ind w:left="426"/>
        <w:rPr>
          <w:rFonts w:ascii="Arial" w:hAnsi="Arial" w:cs="Arial"/>
          <w:sz w:val="22"/>
          <w:szCs w:val="22"/>
          <w:highlight w:val="yellow"/>
        </w:rPr>
      </w:pPr>
      <w:bookmarkStart w:id="46" w:name="_Hlk42686808"/>
      <w:r w:rsidRPr="007D1DE0">
        <w:rPr>
          <w:rFonts w:ascii="Arial" w:hAnsi="Arial" w:cs="Arial"/>
          <w:sz w:val="22"/>
          <w:szCs w:val="22"/>
        </w:rPr>
        <w:t>From 1 April 20</w:t>
      </w:r>
      <w:r w:rsidR="006A6526" w:rsidRPr="007D1DE0">
        <w:rPr>
          <w:rFonts w:ascii="Arial" w:hAnsi="Arial" w:cs="Arial"/>
          <w:sz w:val="22"/>
          <w:szCs w:val="22"/>
        </w:rPr>
        <w:t>2</w:t>
      </w:r>
      <w:r w:rsidR="007D3954" w:rsidRPr="007D1DE0">
        <w:rPr>
          <w:rFonts w:ascii="Arial" w:hAnsi="Arial" w:cs="Arial"/>
          <w:sz w:val="22"/>
          <w:szCs w:val="22"/>
        </w:rPr>
        <w:t>4</w:t>
      </w:r>
      <w:r w:rsidRPr="007D1DE0">
        <w:rPr>
          <w:rFonts w:ascii="Arial" w:hAnsi="Arial" w:cs="Arial"/>
          <w:sz w:val="22"/>
          <w:szCs w:val="22"/>
        </w:rPr>
        <w:t xml:space="preserve"> the actuarial valuation changed the employer contribution rate </w:t>
      </w:r>
      <w:r w:rsidR="00D44C80" w:rsidRPr="007D1DE0">
        <w:rPr>
          <w:rFonts w:ascii="Arial" w:hAnsi="Arial" w:cs="Arial"/>
          <w:sz w:val="22"/>
          <w:szCs w:val="22"/>
        </w:rPr>
        <w:t xml:space="preserve">from </w:t>
      </w:r>
      <w:r w:rsidR="004A7E36" w:rsidRPr="007D1DE0">
        <w:rPr>
          <w:rFonts w:ascii="Arial" w:hAnsi="Arial" w:cs="Arial"/>
          <w:sz w:val="22"/>
          <w:szCs w:val="22"/>
        </w:rPr>
        <w:t>31</w:t>
      </w:r>
      <w:r w:rsidRPr="007D1DE0">
        <w:rPr>
          <w:rFonts w:ascii="Arial" w:hAnsi="Arial" w:cs="Arial"/>
          <w:sz w:val="22"/>
          <w:szCs w:val="22"/>
        </w:rPr>
        <w:t>%</w:t>
      </w:r>
      <w:r w:rsidR="00CF478F" w:rsidRPr="007D1DE0">
        <w:rPr>
          <w:rFonts w:ascii="Arial" w:hAnsi="Arial" w:cs="Arial"/>
          <w:sz w:val="22"/>
          <w:szCs w:val="22"/>
        </w:rPr>
        <w:t xml:space="preserve"> to 3</w:t>
      </w:r>
      <w:r w:rsidR="004A7E36" w:rsidRPr="007D1DE0">
        <w:rPr>
          <w:rFonts w:ascii="Arial" w:hAnsi="Arial" w:cs="Arial"/>
          <w:sz w:val="22"/>
          <w:szCs w:val="22"/>
        </w:rPr>
        <w:t>5</w:t>
      </w:r>
      <w:r w:rsidR="00CF478F" w:rsidRPr="007D1DE0">
        <w:rPr>
          <w:rFonts w:ascii="Arial" w:hAnsi="Arial" w:cs="Arial"/>
          <w:sz w:val="22"/>
          <w:szCs w:val="22"/>
        </w:rPr>
        <w:t>.</w:t>
      </w:r>
      <w:r w:rsidR="004A7E36" w:rsidRPr="007D1DE0">
        <w:rPr>
          <w:rFonts w:ascii="Arial" w:hAnsi="Arial" w:cs="Arial"/>
          <w:sz w:val="22"/>
          <w:szCs w:val="22"/>
        </w:rPr>
        <w:t>3</w:t>
      </w:r>
      <w:r w:rsidR="00CF478F" w:rsidRPr="007D1DE0">
        <w:rPr>
          <w:rFonts w:ascii="Arial" w:hAnsi="Arial" w:cs="Arial"/>
          <w:sz w:val="22"/>
          <w:szCs w:val="22"/>
        </w:rPr>
        <w:t>%</w:t>
      </w:r>
      <w:r w:rsidRPr="007D1DE0">
        <w:rPr>
          <w:rFonts w:ascii="Arial" w:hAnsi="Arial" w:cs="Arial"/>
          <w:sz w:val="22"/>
          <w:szCs w:val="22"/>
        </w:rPr>
        <w:t xml:space="preserve">. </w:t>
      </w:r>
      <w:r w:rsidR="00CF478F" w:rsidRPr="007D1DE0">
        <w:rPr>
          <w:rFonts w:ascii="Arial" w:hAnsi="Arial" w:cs="Arial"/>
          <w:sz w:val="22"/>
          <w:szCs w:val="22"/>
        </w:rPr>
        <w:t xml:space="preserve">This additional </w:t>
      </w:r>
      <w:r w:rsidR="00942346" w:rsidRPr="007D1DE0">
        <w:rPr>
          <w:rFonts w:ascii="Arial" w:hAnsi="Arial" w:cs="Arial"/>
          <w:sz w:val="22"/>
          <w:szCs w:val="22"/>
        </w:rPr>
        <w:t>contribution</w:t>
      </w:r>
      <w:r w:rsidR="00CF478F" w:rsidRPr="007D1DE0">
        <w:rPr>
          <w:rFonts w:ascii="Arial" w:hAnsi="Arial" w:cs="Arial"/>
          <w:sz w:val="22"/>
          <w:szCs w:val="22"/>
        </w:rPr>
        <w:t xml:space="preserve"> is met by the </w:t>
      </w:r>
      <w:r w:rsidR="00D44C80" w:rsidRPr="007D1DE0">
        <w:rPr>
          <w:rFonts w:ascii="Arial" w:hAnsi="Arial" w:cs="Arial"/>
          <w:sz w:val="22"/>
          <w:szCs w:val="22"/>
        </w:rPr>
        <w:t>Home Office Grant and ad</w:t>
      </w:r>
      <w:r w:rsidR="00CF478F" w:rsidRPr="007D1DE0">
        <w:rPr>
          <w:rFonts w:ascii="Arial" w:hAnsi="Arial" w:cs="Arial"/>
          <w:sz w:val="22"/>
          <w:szCs w:val="22"/>
        </w:rPr>
        <w:t>ditional funding received</w:t>
      </w:r>
      <w:r w:rsidR="00CF478F" w:rsidRPr="00DD351E">
        <w:rPr>
          <w:rFonts w:ascii="Arial" w:hAnsi="Arial" w:cs="Arial"/>
          <w:sz w:val="22"/>
          <w:szCs w:val="22"/>
        </w:rPr>
        <w:t xml:space="preserve"> for Police Pension Costs</w:t>
      </w:r>
      <w:r w:rsidR="00D44C80" w:rsidRPr="00DD351E">
        <w:rPr>
          <w:rFonts w:ascii="Arial" w:hAnsi="Arial" w:cs="Arial"/>
          <w:sz w:val="22"/>
          <w:szCs w:val="22"/>
        </w:rPr>
        <w:t>.</w:t>
      </w:r>
      <w:r w:rsidR="00CF478F" w:rsidRPr="00645FC2">
        <w:rPr>
          <w:rFonts w:ascii="Arial" w:hAnsi="Arial" w:cs="Arial"/>
          <w:sz w:val="22"/>
          <w:szCs w:val="22"/>
          <w:highlight w:val="yellow"/>
        </w:rPr>
        <w:br w:type="page"/>
      </w:r>
      <w:bookmarkEnd w:id="46"/>
    </w:p>
    <w:p w14:paraId="4218242F" w14:textId="77777777" w:rsidR="003B74DA" w:rsidRPr="00645FC2" w:rsidRDefault="003B74DA" w:rsidP="003B74DA">
      <w:pPr>
        <w:pStyle w:val="Footer"/>
        <w:tabs>
          <w:tab w:val="clear" w:pos="4153"/>
          <w:tab w:val="clear" w:pos="8306"/>
        </w:tabs>
        <w:ind w:left="426"/>
        <w:jc w:val="both"/>
        <w:rPr>
          <w:sz w:val="22"/>
          <w:szCs w:val="22"/>
          <w:highlight w:val="yellow"/>
        </w:rPr>
      </w:pPr>
    </w:p>
    <w:p w14:paraId="3331092C" w14:textId="77777777" w:rsidR="003B74DA" w:rsidRPr="00C72B5F" w:rsidRDefault="003B74DA" w:rsidP="004E2882">
      <w:pPr>
        <w:numPr>
          <w:ilvl w:val="0"/>
          <w:numId w:val="16"/>
        </w:numPr>
        <w:tabs>
          <w:tab w:val="clear" w:pos="720"/>
          <w:tab w:val="num" w:pos="426"/>
          <w:tab w:val="right" w:pos="5760"/>
        </w:tabs>
        <w:ind w:left="426" w:hanging="568"/>
        <w:jc w:val="both"/>
        <w:rPr>
          <w:rFonts w:ascii="Arial" w:hAnsi="Arial"/>
          <w:b/>
          <w:sz w:val="22"/>
          <w:szCs w:val="22"/>
        </w:rPr>
      </w:pPr>
      <w:r w:rsidRPr="00C72B5F">
        <w:rPr>
          <w:rFonts w:ascii="Arial" w:hAnsi="Arial"/>
          <w:b/>
          <w:sz w:val="22"/>
          <w:szCs w:val="22"/>
        </w:rPr>
        <w:t>Accounting policies</w:t>
      </w:r>
    </w:p>
    <w:p w14:paraId="7B39BE9D" w14:textId="77777777" w:rsidR="003B74DA" w:rsidRPr="00C72B5F" w:rsidRDefault="003B74DA" w:rsidP="003B74DA">
      <w:pPr>
        <w:tabs>
          <w:tab w:val="right" w:pos="5760"/>
        </w:tabs>
        <w:jc w:val="both"/>
        <w:rPr>
          <w:rFonts w:ascii="Arial" w:hAnsi="Arial"/>
          <w:b/>
          <w:sz w:val="22"/>
          <w:szCs w:val="22"/>
        </w:rPr>
      </w:pPr>
    </w:p>
    <w:p w14:paraId="715280DF" w14:textId="77777777" w:rsidR="003B74DA" w:rsidRPr="00C72B5F" w:rsidRDefault="003B74DA" w:rsidP="003B74DA">
      <w:pPr>
        <w:tabs>
          <w:tab w:val="right" w:pos="5760"/>
        </w:tabs>
        <w:ind w:left="426"/>
        <w:jc w:val="both"/>
        <w:rPr>
          <w:rFonts w:ascii="Arial" w:hAnsi="Arial"/>
          <w:b/>
          <w:sz w:val="22"/>
          <w:szCs w:val="22"/>
        </w:rPr>
      </w:pPr>
      <w:r w:rsidRPr="00C72B5F">
        <w:rPr>
          <w:rFonts w:ascii="Arial" w:hAnsi="Arial"/>
          <w:b/>
          <w:sz w:val="22"/>
          <w:szCs w:val="22"/>
        </w:rPr>
        <w:t>General</w:t>
      </w:r>
    </w:p>
    <w:p w14:paraId="0526E453" w14:textId="77777777" w:rsidR="003B74DA" w:rsidRPr="00C72B5F" w:rsidRDefault="003B74DA" w:rsidP="003B74DA">
      <w:pPr>
        <w:tabs>
          <w:tab w:val="right" w:pos="5760"/>
        </w:tabs>
        <w:jc w:val="both"/>
        <w:rPr>
          <w:rFonts w:ascii="Arial" w:hAnsi="Arial"/>
          <w:b/>
          <w:sz w:val="22"/>
          <w:szCs w:val="22"/>
        </w:rPr>
      </w:pPr>
    </w:p>
    <w:p w14:paraId="4011FAA0" w14:textId="77777777" w:rsidR="003B74DA" w:rsidRPr="00C72B5F" w:rsidRDefault="003B74DA" w:rsidP="003B74DA">
      <w:pPr>
        <w:tabs>
          <w:tab w:val="right" w:pos="5760"/>
        </w:tabs>
        <w:ind w:left="426"/>
        <w:jc w:val="both"/>
        <w:rPr>
          <w:rFonts w:ascii="Arial" w:hAnsi="Arial"/>
          <w:sz w:val="22"/>
          <w:szCs w:val="22"/>
        </w:rPr>
      </w:pPr>
      <w:r w:rsidRPr="00C72B5F">
        <w:rPr>
          <w:rFonts w:ascii="Arial" w:hAnsi="Arial"/>
          <w:sz w:val="22"/>
          <w:szCs w:val="22"/>
        </w:rPr>
        <w:t>The financial statements have been prepared on an accruals basis except for transfers to and from the account and contributions refunded, which are treated on a cash basis.</w:t>
      </w:r>
    </w:p>
    <w:p w14:paraId="0CC8A7FE" w14:textId="77777777" w:rsidR="003B74DA" w:rsidRPr="00645FC2" w:rsidRDefault="003B74DA" w:rsidP="003B74DA">
      <w:pPr>
        <w:tabs>
          <w:tab w:val="right" w:pos="5760"/>
        </w:tabs>
        <w:ind w:left="426"/>
        <w:jc w:val="both"/>
        <w:rPr>
          <w:rFonts w:ascii="Arial" w:hAnsi="Arial"/>
          <w:b/>
          <w:sz w:val="22"/>
          <w:szCs w:val="22"/>
          <w:highlight w:val="yellow"/>
        </w:rPr>
      </w:pPr>
    </w:p>
    <w:p w14:paraId="08E162EA" w14:textId="77777777" w:rsidR="003B74DA" w:rsidRPr="00DD351E" w:rsidRDefault="003B74DA" w:rsidP="003B74DA">
      <w:pPr>
        <w:tabs>
          <w:tab w:val="right" w:pos="5760"/>
        </w:tabs>
        <w:ind w:left="426"/>
        <w:jc w:val="both"/>
        <w:rPr>
          <w:rFonts w:ascii="Arial" w:hAnsi="Arial"/>
          <w:b/>
          <w:sz w:val="22"/>
          <w:szCs w:val="22"/>
        </w:rPr>
      </w:pPr>
      <w:r w:rsidRPr="00DD351E">
        <w:rPr>
          <w:rFonts w:ascii="Arial" w:hAnsi="Arial"/>
          <w:b/>
          <w:sz w:val="22"/>
          <w:szCs w:val="22"/>
        </w:rPr>
        <w:t>Employers’ Contributions</w:t>
      </w:r>
    </w:p>
    <w:p w14:paraId="499C61DB" w14:textId="77777777" w:rsidR="003B74DA" w:rsidRPr="00DD351E" w:rsidRDefault="003B74DA" w:rsidP="003B74DA">
      <w:pPr>
        <w:tabs>
          <w:tab w:val="right" w:pos="5760"/>
        </w:tabs>
        <w:ind w:left="426"/>
        <w:jc w:val="both"/>
        <w:rPr>
          <w:rFonts w:ascii="Arial" w:hAnsi="Arial"/>
          <w:b/>
          <w:sz w:val="22"/>
          <w:szCs w:val="22"/>
        </w:rPr>
      </w:pPr>
    </w:p>
    <w:p w14:paraId="0F62E6E7" w14:textId="0F226D03" w:rsidR="003B74DA" w:rsidRPr="00DD351E" w:rsidRDefault="003B74DA" w:rsidP="003B74DA">
      <w:pPr>
        <w:tabs>
          <w:tab w:val="right" w:pos="5760"/>
        </w:tabs>
        <w:ind w:left="426"/>
        <w:jc w:val="both"/>
        <w:rPr>
          <w:rFonts w:ascii="Arial" w:hAnsi="Arial"/>
          <w:sz w:val="22"/>
          <w:szCs w:val="22"/>
        </w:rPr>
      </w:pPr>
      <w:r w:rsidRPr="00DD351E">
        <w:rPr>
          <w:rFonts w:ascii="Arial" w:hAnsi="Arial"/>
          <w:sz w:val="22"/>
          <w:szCs w:val="22"/>
        </w:rPr>
        <w:t xml:space="preserve">The employers’ contribution rate for all the pension schemes is set nationally, based on a percentage of pensionable pay. The rate is subject to triennial revaluation by the Government Actuary’s </w:t>
      </w:r>
      <w:r w:rsidRPr="007D1DE0">
        <w:rPr>
          <w:rFonts w:ascii="Arial" w:hAnsi="Arial"/>
          <w:sz w:val="22"/>
          <w:szCs w:val="22"/>
        </w:rPr>
        <w:t xml:space="preserve">Department, timed to coincide with the revaluation of the local government pension scheme. The rate for </w:t>
      </w:r>
      <w:r w:rsidR="00C37E7F" w:rsidRPr="007D1DE0">
        <w:rPr>
          <w:rFonts w:ascii="Arial" w:hAnsi="Arial"/>
          <w:sz w:val="22"/>
          <w:szCs w:val="22"/>
        </w:rPr>
        <w:t>2024/25</w:t>
      </w:r>
      <w:r w:rsidRPr="007D1DE0">
        <w:rPr>
          <w:rFonts w:ascii="Arial" w:hAnsi="Arial"/>
          <w:sz w:val="22"/>
          <w:szCs w:val="22"/>
        </w:rPr>
        <w:t xml:space="preserve"> was set at </w:t>
      </w:r>
      <w:r w:rsidR="00CF478F" w:rsidRPr="007D1DE0">
        <w:rPr>
          <w:rFonts w:ascii="Arial" w:hAnsi="Arial"/>
          <w:sz w:val="22"/>
          <w:szCs w:val="22"/>
        </w:rPr>
        <w:t>3</w:t>
      </w:r>
      <w:r w:rsidR="004A7E36" w:rsidRPr="007D1DE0">
        <w:rPr>
          <w:rFonts w:ascii="Arial" w:hAnsi="Arial"/>
          <w:sz w:val="22"/>
          <w:szCs w:val="22"/>
        </w:rPr>
        <w:t>5</w:t>
      </w:r>
      <w:r w:rsidRPr="007D1DE0">
        <w:rPr>
          <w:rFonts w:ascii="Arial" w:hAnsi="Arial"/>
          <w:sz w:val="22"/>
          <w:szCs w:val="22"/>
        </w:rPr>
        <w:t>.</w:t>
      </w:r>
      <w:r w:rsidR="004A7E36" w:rsidRPr="007D1DE0">
        <w:rPr>
          <w:rFonts w:ascii="Arial" w:hAnsi="Arial"/>
          <w:sz w:val="22"/>
          <w:szCs w:val="22"/>
        </w:rPr>
        <w:t>3</w:t>
      </w:r>
      <w:r w:rsidRPr="007D1DE0">
        <w:rPr>
          <w:rFonts w:ascii="Arial" w:hAnsi="Arial"/>
          <w:sz w:val="22"/>
          <w:szCs w:val="22"/>
        </w:rPr>
        <w:t>%.</w:t>
      </w:r>
      <w:r w:rsidRPr="00DD351E">
        <w:rPr>
          <w:rFonts w:ascii="Arial" w:hAnsi="Arial"/>
          <w:sz w:val="22"/>
          <w:szCs w:val="22"/>
        </w:rPr>
        <w:t xml:space="preserve"> </w:t>
      </w:r>
    </w:p>
    <w:p w14:paraId="6040E550" w14:textId="77777777" w:rsidR="003B74DA" w:rsidRPr="00645FC2" w:rsidRDefault="003B74DA" w:rsidP="003B74DA">
      <w:pPr>
        <w:tabs>
          <w:tab w:val="right" w:pos="5760"/>
        </w:tabs>
        <w:ind w:left="426"/>
        <w:jc w:val="both"/>
        <w:rPr>
          <w:rFonts w:ascii="Arial" w:hAnsi="Arial"/>
          <w:sz w:val="22"/>
          <w:szCs w:val="22"/>
          <w:highlight w:val="yellow"/>
        </w:rPr>
      </w:pPr>
    </w:p>
    <w:p w14:paraId="34AA0D26" w14:textId="77777777" w:rsidR="003B74DA" w:rsidRPr="00287896" w:rsidRDefault="003B74DA" w:rsidP="003B74DA">
      <w:pPr>
        <w:tabs>
          <w:tab w:val="right" w:pos="5760"/>
        </w:tabs>
        <w:ind w:left="426"/>
        <w:jc w:val="both"/>
        <w:rPr>
          <w:rFonts w:ascii="Arial" w:hAnsi="Arial"/>
          <w:b/>
          <w:sz w:val="22"/>
          <w:szCs w:val="22"/>
        </w:rPr>
      </w:pPr>
      <w:r w:rsidRPr="00287896">
        <w:rPr>
          <w:rFonts w:ascii="Arial" w:hAnsi="Arial"/>
          <w:b/>
          <w:sz w:val="22"/>
          <w:szCs w:val="22"/>
        </w:rPr>
        <w:t>Employees’ Contributions</w:t>
      </w:r>
    </w:p>
    <w:p w14:paraId="7AC73189" w14:textId="77777777" w:rsidR="003B74DA" w:rsidRPr="00287896" w:rsidRDefault="003B74DA" w:rsidP="003B74DA">
      <w:pPr>
        <w:tabs>
          <w:tab w:val="right" w:pos="5760"/>
        </w:tabs>
        <w:ind w:left="426"/>
        <w:jc w:val="both"/>
        <w:rPr>
          <w:rFonts w:ascii="Arial" w:hAnsi="Arial"/>
          <w:b/>
          <w:sz w:val="22"/>
          <w:szCs w:val="22"/>
        </w:rPr>
      </w:pPr>
    </w:p>
    <w:p w14:paraId="46C44097" w14:textId="53108FCF" w:rsidR="003B74DA" w:rsidRPr="00287896" w:rsidRDefault="003B74DA" w:rsidP="003B74DA">
      <w:pPr>
        <w:tabs>
          <w:tab w:val="right" w:pos="5760"/>
        </w:tabs>
        <w:ind w:left="426"/>
        <w:jc w:val="both"/>
        <w:rPr>
          <w:rFonts w:ascii="Arial" w:hAnsi="Arial"/>
          <w:sz w:val="22"/>
          <w:szCs w:val="22"/>
        </w:rPr>
      </w:pPr>
      <w:r w:rsidRPr="00287896">
        <w:rPr>
          <w:rFonts w:ascii="Arial" w:hAnsi="Arial"/>
          <w:sz w:val="22"/>
          <w:szCs w:val="22"/>
        </w:rPr>
        <w:t>Police officer contributions are deducted from officer salaries.   Contribution rates range between 1</w:t>
      </w:r>
      <w:r w:rsidR="0041639C" w:rsidRPr="00287896">
        <w:rPr>
          <w:rFonts w:ascii="Arial" w:hAnsi="Arial"/>
          <w:sz w:val="22"/>
          <w:szCs w:val="22"/>
        </w:rPr>
        <w:t>2.44</w:t>
      </w:r>
      <w:r w:rsidRPr="00287896">
        <w:rPr>
          <w:rFonts w:ascii="Arial" w:hAnsi="Arial"/>
          <w:sz w:val="22"/>
          <w:szCs w:val="22"/>
        </w:rPr>
        <w:t>% and 1</w:t>
      </w:r>
      <w:r w:rsidR="008D3356" w:rsidRPr="00287896">
        <w:rPr>
          <w:rFonts w:ascii="Arial" w:hAnsi="Arial"/>
          <w:sz w:val="22"/>
          <w:szCs w:val="22"/>
        </w:rPr>
        <w:t>3</w:t>
      </w:r>
      <w:r w:rsidRPr="00287896">
        <w:rPr>
          <w:rFonts w:ascii="Arial" w:hAnsi="Arial"/>
          <w:sz w:val="22"/>
          <w:szCs w:val="22"/>
        </w:rPr>
        <w:t>.</w:t>
      </w:r>
      <w:r w:rsidR="008D3356" w:rsidRPr="00287896">
        <w:rPr>
          <w:rFonts w:ascii="Arial" w:hAnsi="Arial"/>
          <w:sz w:val="22"/>
          <w:szCs w:val="22"/>
        </w:rPr>
        <w:t>78</w:t>
      </w:r>
      <w:r w:rsidRPr="00287896">
        <w:rPr>
          <w:rFonts w:ascii="Arial" w:hAnsi="Arial"/>
          <w:sz w:val="22"/>
          <w:szCs w:val="22"/>
        </w:rPr>
        <w:t xml:space="preserve">% dependent upon on the range the police officer’s salary falls </w:t>
      </w:r>
      <w:r w:rsidR="0065515F" w:rsidRPr="00287896">
        <w:rPr>
          <w:rFonts w:ascii="Arial" w:hAnsi="Arial"/>
          <w:sz w:val="22"/>
          <w:szCs w:val="22"/>
        </w:rPr>
        <w:t>of</w:t>
      </w:r>
      <w:r w:rsidRPr="00287896">
        <w:rPr>
          <w:rFonts w:ascii="Arial" w:hAnsi="Arial"/>
          <w:sz w:val="22"/>
          <w:szCs w:val="22"/>
        </w:rPr>
        <w:t xml:space="preserve"> the 2015 scheme.</w:t>
      </w:r>
    </w:p>
    <w:p w14:paraId="71EEC961" w14:textId="77777777" w:rsidR="003B74DA" w:rsidRPr="00645FC2" w:rsidRDefault="003B74DA" w:rsidP="003B74DA">
      <w:pPr>
        <w:tabs>
          <w:tab w:val="right" w:pos="5760"/>
        </w:tabs>
        <w:ind w:left="426"/>
        <w:jc w:val="both"/>
        <w:rPr>
          <w:rFonts w:ascii="Arial" w:hAnsi="Arial"/>
          <w:color w:val="FF0000"/>
          <w:sz w:val="22"/>
          <w:szCs w:val="22"/>
          <w:highlight w:val="yellow"/>
        </w:rPr>
      </w:pPr>
    </w:p>
    <w:p w14:paraId="70B076FC" w14:textId="77777777" w:rsidR="003B74DA" w:rsidRPr="002751D3" w:rsidRDefault="003B74DA" w:rsidP="004E2882">
      <w:pPr>
        <w:numPr>
          <w:ilvl w:val="0"/>
          <w:numId w:val="16"/>
        </w:numPr>
        <w:tabs>
          <w:tab w:val="clear" w:pos="720"/>
          <w:tab w:val="num" w:pos="426"/>
          <w:tab w:val="right" w:pos="5760"/>
        </w:tabs>
        <w:ind w:left="426" w:hanging="568"/>
        <w:jc w:val="both"/>
        <w:rPr>
          <w:rFonts w:ascii="Arial" w:hAnsi="Arial"/>
          <w:b/>
          <w:sz w:val="22"/>
          <w:szCs w:val="22"/>
        </w:rPr>
      </w:pPr>
      <w:r w:rsidRPr="002751D3">
        <w:rPr>
          <w:rFonts w:ascii="Arial" w:hAnsi="Arial"/>
          <w:b/>
          <w:sz w:val="22"/>
          <w:szCs w:val="22"/>
        </w:rPr>
        <w:t>Net Asset Statement</w:t>
      </w:r>
    </w:p>
    <w:p w14:paraId="3CD19F5A" w14:textId="77777777" w:rsidR="003B74DA" w:rsidRPr="002751D3" w:rsidRDefault="003B74DA" w:rsidP="003B74DA">
      <w:pPr>
        <w:tabs>
          <w:tab w:val="right" w:pos="5760"/>
        </w:tabs>
        <w:jc w:val="both"/>
        <w:rPr>
          <w:rFonts w:ascii="Arial" w:hAnsi="Arial"/>
          <w:b/>
          <w:sz w:val="22"/>
          <w:szCs w:val="22"/>
        </w:rPr>
      </w:pPr>
    </w:p>
    <w:p w14:paraId="50DB18A2" w14:textId="1DDBC9C3" w:rsidR="003B74DA" w:rsidRPr="002751D3" w:rsidRDefault="003B74DA" w:rsidP="003B74DA">
      <w:pPr>
        <w:tabs>
          <w:tab w:val="right" w:pos="5760"/>
        </w:tabs>
        <w:ind w:left="426"/>
        <w:jc w:val="both"/>
        <w:rPr>
          <w:rFonts w:ascii="Arial" w:hAnsi="Arial" w:cs="Arial"/>
          <w:b/>
          <w:caps/>
        </w:rPr>
      </w:pPr>
      <w:r w:rsidRPr="002751D3">
        <w:rPr>
          <w:rFonts w:ascii="Arial" w:hAnsi="Arial"/>
          <w:sz w:val="22"/>
          <w:szCs w:val="22"/>
        </w:rPr>
        <w:t>The net asset statement does not include liability to pay pensions and other benefits after the 31 March 20</w:t>
      </w:r>
      <w:r w:rsidR="00CF478F" w:rsidRPr="002751D3">
        <w:rPr>
          <w:rFonts w:ascii="Arial" w:hAnsi="Arial"/>
          <w:sz w:val="22"/>
          <w:szCs w:val="22"/>
        </w:rPr>
        <w:t>2</w:t>
      </w:r>
      <w:r w:rsidR="007D1DE0">
        <w:rPr>
          <w:rFonts w:ascii="Arial" w:hAnsi="Arial"/>
          <w:sz w:val="22"/>
          <w:szCs w:val="22"/>
        </w:rPr>
        <w:t>5</w:t>
      </w:r>
      <w:r w:rsidR="002751D3" w:rsidRPr="002751D3">
        <w:rPr>
          <w:rFonts w:ascii="Arial" w:hAnsi="Arial"/>
          <w:sz w:val="22"/>
          <w:szCs w:val="22"/>
        </w:rPr>
        <w:t>.</w:t>
      </w:r>
      <w:r w:rsidRPr="002751D3">
        <w:rPr>
          <w:rFonts w:ascii="Arial" w:hAnsi="Arial"/>
          <w:sz w:val="22"/>
          <w:szCs w:val="22"/>
        </w:rPr>
        <w:t xml:space="preserve"> These liabilities remain ultimately with the PCC Group and have been reflected in the CC and PCC Group Balance Sheets. Details of these liabilities can be found in Note </w:t>
      </w:r>
      <w:r w:rsidR="00E678AA">
        <w:rPr>
          <w:rFonts w:ascii="Arial" w:hAnsi="Arial"/>
          <w:sz w:val="22"/>
          <w:szCs w:val="22"/>
        </w:rPr>
        <w:t>30</w:t>
      </w:r>
      <w:r w:rsidRPr="002751D3">
        <w:rPr>
          <w:rFonts w:ascii="Arial" w:hAnsi="Arial"/>
          <w:sz w:val="22"/>
          <w:szCs w:val="22"/>
        </w:rPr>
        <w:t xml:space="preserve"> to the main statement of accounts.</w:t>
      </w:r>
    </w:p>
    <w:p w14:paraId="1F4ABCE8" w14:textId="77777777" w:rsidR="003B74DA" w:rsidRPr="00645FC2" w:rsidRDefault="003B74DA" w:rsidP="0066250F">
      <w:pPr>
        <w:spacing w:after="240"/>
        <w:rPr>
          <w:rFonts w:ascii="Arial" w:hAnsi="Arial" w:cs="Arial"/>
          <w:b/>
          <w:caps/>
          <w:highlight w:val="yellow"/>
        </w:rPr>
      </w:pPr>
    </w:p>
    <w:p w14:paraId="113DC0C3" w14:textId="77777777" w:rsidR="003B74DA" w:rsidRPr="00645FC2" w:rsidRDefault="003B74DA" w:rsidP="0066250F">
      <w:pPr>
        <w:spacing w:after="240"/>
        <w:rPr>
          <w:rFonts w:ascii="Arial" w:hAnsi="Arial" w:cs="Arial"/>
          <w:b/>
          <w:caps/>
          <w:highlight w:val="yellow"/>
        </w:rPr>
        <w:sectPr w:rsidR="003B74DA" w:rsidRPr="00645FC2" w:rsidSect="00CD2558">
          <w:pgSz w:w="11906" w:h="16838" w:code="9"/>
          <w:pgMar w:top="1440" w:right="1440" w:bottom="1440" w:left="1440" w:header="397" w:footer="567" w:gutter="0"/>
          <w:cols w:space="720"/>
          <w:docGrid w:linePitch="272"/>
        </w:sectPr>
      </w:pPr>
    </w:p>
    <w:p w14:paraId="684B72CE" w14:textId="151AF557" w:rsidR="003122A7" w:rsidRPr="003122A7" w:rsidRDefault="003122A7" w:rsidP="003122A7">
      <w:pPr>
        <w:autoSpaceDE w:val="0"/>
        <w:autoSpaceDN w:val="0"/>
        <w:adjustRightInd w:val="0"/>
        <w:rPr>
          <w:rFonts w:ascii="Arial" w:hAnsi="Arial" w:cs="Arial"/>
          <w:color w:val="000000"/>
          <w:sz w:val="26"/>
          <w:szCs w:val="26"/>
        </w:rPr>
      </w:pPr>
      <w:r w:rsidRPr="003122A7">
        <w:rPr>
          <w:rFonts w:ascii="Arial" w:hAnsi="Arial" w:cs="Arial"/>
          <w:color w:val="000000"/>
          <w:sz w:val="26"/>
          <w:szCs w:val="26"/>
        </w:rPr>
        <w:lastRenderedPageBreak/>
        <w:t xml:space="preserve">Independent auditor's report to the Police and Crime Commissioner for Lancashire </w:t>
      </w:r>
    </w:p>
    <w:p w14:paraId="137D5A16" w14:textId="77777777" w:rsidR="003122A7" w:rsidRDefault="003122A7" w:rsidP="003122A7">
      <w:pPr>
        <w:autoSpaceDE w:val="0"/>
        <w:autoSpaceDN w:val="0"/>
        <w:adjustRightInd w:val="0"/>
        <w:rPr>
          <w:rFonts w:ascii="Arial" w:hAnsi="Arial" w:cs="Arial"/>
          <w:b/>
          <w:bCs/>
          <w:color w:val="000000"/>
          <w:sz w:val="23"/>
          <w:szCs w:val="23"/>
        </w:rPr>
      </w:pPr>
    </w:p>
    <w:p w14:paraId="31802D64" w14:textId="202701D0" w:rsidR="003122A7" w:rsidRPr="003122A7" w:rsidRDefault="003122A7" w:rsidP="003122A7">
      <w:pPr>
        <w:autoSpaceDE w:val="0"/>
        <w:autoSpaceDN w:val="0"/>
        <w:adjustRightInd w:val="0"/>
        <w:rPr>
          <w:rFonts w:ascii="Arial" w:hAnsi="Arial" w:cs="Arial"/>
          <w:color w:val="000000"/>
          <w:sz w:val="23"/>
          <w:szCs w:val="23"/>
        </w:rPr>
      </w:pPr>
      <w:r w:rsidRPr="003122A7">
        <w:rPr>
          <w:rFonts w:ascii="Arial" w:hAnsi="Arial" w:cs="Arial"/>
          <w:b/>
          <w:bCs/>
          <w:color w:val="000000"/>
          <w:sz w:val="23"/>
          <w:szCs w:val="23"/>
        </w:rPr>
        <w:t xml:space="preserve">Report on the audit of the financial statements </w:t>
      </w:r>
    </w:p>
    <w:p w14:paraId="523DF0E1" w14:textId="77777777" w:rsidR="003122A7" w:rsidRDefault="003122A7" w:rsidP="003122A7">
      <w:pPr>
        <w:autoSpaceDE w:val="0"/>
        <w:autoSpaceDN w:val="0"/>
        <w:adjustRightInd w:val="0"/>
        <w:rPr>
          <w:rFonts w:ascii="Arial" w:hAnsi="Arial" w:cs="Arial"/>
          <w:b/>
          <w:bCs/>
          <w:color w:val="000000"/>
          <w:sz w:val="18"/>
          <w:szCs w:val="18"/>
        </w:rPr>
      </w:pPr>
    </w:p>
    <w:p w14:paraId="1D5A2607" w14:textId="4AF5C972" w:rsidR="003122A7" w:rsidRDefault="003122A7" w:rsidP="003122A7">
      <w:pPr>
        <w:autoSpaceDE w:val="0"/>
        <w:autoSpaceDN w:val="0"/>
        <w:adjustRightInd w:val="0"/>
        <w:rPr>
          <w:rFonts w:ascii="Arial" w:hAnsi="Arial" w:cs="Arial"/>
          <w:b/>
          <w:bCs/>
          <w:color w:val="000000"/>
          <w:sz w:val="18"/>
          <w:szCs w:val="18"/>
        </w:rPr>
      </w:pPr>
      <w:r w:rsidRPr="003122A7">
        <w:rPr>
          <w:rFonts w:ascii="Arial" w:hAnsi="Arial" w:cs="Arial"/>
          <w:b/>
          <w:bCs/>
          <w:color w:val="000000"/>
          <w:sz w:val="18"/>
          <w:szCs w:val="18"/>
        </w:rPr>
        <w:t xml:space="preserve">Opinion on financial statements </w:t>
      </w:r>
    </w:p>
    <w:p w14:paraId="698752DD" w14:textId="77777777" w:rsidR="00E1307E" w:rsidRPr="003122A7" w:rsidRDefault="00E1307E" w:rsidP="003122A7">
      <w:pPr>
        <w:autoSpaceDE w:val="0"/>
        <w:autoSpaceDN w:val="0"/>
        <w:adjustRightInd w:val="0"/>
        <w:rPr>
          <w:rFonts w:ascii="Arial" w:hAnsi="Arial" w:cs="Arial"/>
          <w:color w:val="000000"/>
          <w:sz w:val="18"/>
          <w:szCs w:val="18"/>
        </w:rPr>
      </w:pPr>
    </w:p>
    <w:p w14:paraId="2671A613"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have audited the financial statements of the Police and Crime Commissioner for Lancashire (the ‘Police and Crime Commissioner’) and its subsidiary the Chief Constable (the ‘group’) for the year ended 31 March 2025, which comprise the PCC Group Comprehensive Income and Expenditure Statement, the PCC Single Entity Comprehensive Income and Expenditure Statement, the PCC Group Movement in Reserves Statement, the PCC Single Entity Movement in Reserves Statement, the PCC Group Balance Sheet, the PCC Single Entity Balance Sheet, the PCC Group Cash Flow Statement, the PCC Single Entity Cash Flow Statement and notes to the financial statements, including material accounting policy information, and include the police pension fund financial statements comprising the Police Pensions Account, Net Asset Statement and notes to the financial statement. The financial reporting framework that has been applied in their preparation is applicable law and the CIPFA/LASAAC Code of Practice on Local Authority Accounting in the United Kingdom 2024/25. </w:t>
      </w:r>
    </w:p>
    <w:p w14:paraId="44EBB3D4" w14:textId="77777777" w:rsidR="003122A7" w:rsidRDefault="003122A7" w:rsidP="003122A7">
      <w:pPr>
        <w:autoSpaceDE w:val="0"/>
        <w:autoSpaceDN w:val="0"/>
        <w:adjustRightInd w:val="0"/>
        <w:rPr>
          <w:rFonts w:ascii="Arial" w:hAnsi="Arial" w:cs="Arial"/>
          <w:color w:val="000000"/>
          <w:sz w:val="18"/>
          <w:szCs w:val="18"/>
        </w:rPr>
      </w:pPr>
    </w:p>
    <w:p w14:paraId="70FCDDF9" w14:textId="2D4ED91B"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In our opinion, the financial statements: </w:t>
      </w:r>
    </w:p>
    <w:p w14:paraId="2FDC86B4" w14:textId="48890329" w:rsidR="003122A7" w:rsidRPr="003122A7" w:rsidRDefault="003122A7" w:rsidP="003122A7">
      <w:pPr>
        <w:numPr>
          <w:ilvl w:val="0"/>
          <w:numId w:val="59"/>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 xml:space="preserve">give a true and fair view of the financial position of the group and of the Police and Crime Commissioner as at 31 March </w:t>
      </w:r>
      <w:r>
        <w:rPr>
          <w:rFonts w:ascii="Arial" w:hAnsi="Arial" w:cs="Arial"/>
          <w:color w:val="000000"/>
          <w:sz w:val="18"/>
          <w:szCs w:val="18"/>
        </w:rPr>
        <w:tab/>
      </w:r>
      <w:r w:rsidRPr="003122A7">
        <w:rPr>
          <w:rFonts w:ascii="Arial" w:hAnsi="Arial" w:cs="Arial"/>
          <w:color w:val="000000"/>
          <w:sz w:val="18"/>
          <w:szCs w:val="18"/>
        </w:rPr>
        <w:t xml:space="preserve">2025 and of the group’s expenditure and income and the Police and Crime Commissioner’s expenditure and income for </w:t>
      </w:r>
      <w:r>
        <w:rPr>
          <w:rFonts w:ascii="Arial" w:hAnsi="Arial" w:cs="Arial"/>
          <w:color w:val="000000"/>
          <w:sz w:val="18"/>
          <w:szCs w:val="18"/>
        </w:rPr>
        <w:tab/>
      </w:r>
      <w:r w:rsidRPr="003122A7">
        <w:rPr>
          <w:rFonts w:ascii="Arial" w:hAnsi="Arial" w:cs="Arial"/>
          <w:color w:val="000000"/>
          <w:sz w:val="18"/>
          <w:szCs w:val="18"/>
        </w:rPr>
        <w:t xml:space="preserve">the year then ended; </w:t>
      </w:r>
    </w:p>
    <w:p w14:paraId="3A287AF0" w14:textId="4B4B0E64" w:rsidR="003122A7" w:rsidRPr="003122A7" w:rsidRDefault="003122A7" w:rsidP="003122A7">
      <w:pPr>
        <w:numPr>
          <w:ilvl w:val="0"/>
          <w:numId w:val="59"/>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 xml:space="preserve">have been properly prepared in accordance with the CIPFA/LASAAC Code of Practice on Local Authority Accounting in </w:t>
      </w:r>
      <w:r>
        <w:rPr>
          <w:rFonts w:ascii="Arial" w:hAnsi="Arial" w:cs="Arial"/>
          <w:color w:val="000000"/>
          <w:sz w:val="18"/>
          <w:szCs w:val="18"/>
        </w:rPr>
        <w:tab/>
      </w:r>
      <w:r w:rsidRPr="003122A7">
        <w:rPr>
          <w:rFonts w:ascii="Arial" w:hAnsi="Arial" w:cs="Arial"/>
          <w:color w:val="000000"/>
          <w:sz w:val="18"/>
          <w:szCs w:val="18"/>
        </w:rPr>
        <w:t xml:space="preserve">the United Kingdom 2024/25; and </w:t>
      </w:r>
    </w:p>
    <w:p w14:paraId="3E0110F8" w14:textId="77777777" w:rsidR="003122A7" w:rsidRPr="003122A7" w:rsidRDefault="003122A7" w:rsidP="003122A7">
      <w:pPr>
        <w:numPr>
          <w:ilvl w:val="0"/>
          <w:numId w:val="59"/>
        </w:num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have been prepared in accordance with the requirements of the Local Audit and Accountability Act 2014. </w:t>
      </w:r>
    </w:p>
    <w:p w14:paraId="49F4D462" w14:textId="77777777" w:rsidR="003122A7" w:rsidRPr="003122A7" w:rsidRDefault="003122A7" w:rsidP="003122A7">
      <w:pPr>
        <w:autoSpaceDE w:val="0"/>
        <w:autoSpaceDN w:val="0"/>
        <w:adjustRightInd w:val="0"/>
        <w:rPr>
          <w:rFonts w:ascii="Arial" w:hAnsi="Arial" w:cs="Arial"/>
          <w:color w:val="000000"/>
          <w:sz w:val="18"/>
          <w:szCs w:val="18"/>
        </w:rPr>
      </w:pPr>
    </w:p>
    <w:p w14:paraId="508488B8"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Basis for opinion </w:t>
      </w:r>
    </w:p>
    <w:p w14:paraId="44490A25" w14:textId="77777777" w:rsidR="00E1307E" w:rsidRDefault="00E1307E" w:rsidP="003122A7">
      <w:pPr>
        <w:autoSpaceDE w:val="0"/>
        <w:autoSpaceDN w:val="0"/>
        <w:adjustRightInd w:val="0"/>
        <w:rPr>
          <w:rFonts w:ascii="Arial" w:hAnsi="Arial" w:cs="Arial"/>
          <w:color w:val="000000"/>
          <w:sz w:val="18"/>
          <w:szCs w:val="18"/>
        </w:rPr>
      </w:pPr>
    </w:p>
    <w:p w14:paraId="077DE1E0" w14:textId="0782E99E"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conducted our audit in accordance with International Standards on Auditing (UK) (ISAs (UK)) and applicable law, as required by the Code of Audit Practice (2024) (“the Code of Audit Practice”) approved by the Comptroller and Auditor General. Our responsibilities under those standards are further described in the ‘Auditor’s responsibilities for the audit of the financial statements’ section of our report. We are independent of the Police and Crime Commissioner and the group in accordance with the ethical requirements that are relevant to our audit of the financial statements in the UK, including the FRC’s Ethical Standard, and we have fulfilled our other ethical responsibilities in accordance with these requirements. We believe that the audit evidence we have obtained is sufficient and appropriate to provide a basis for our opinion. </w:t>
      </w:r>
    </w:p>
    <w:p w14:paraId="7A4D3F04" w14:textId="77777777" w:rsidR="003122A7" w:rsidRDefault="003122A7" w:rsidP="003122A7">
      <w:pPr>
        <w:autoSpaceDE w:val="0"/>
        <w:autoSpaceDN w:val="0"/>
        <w:adjustRightInd w:val="0"/>
        <w:rPr>
          <w:rFonts w:ascii="Arial" w:hAnsi="Arial" w:cs="Arial"/>
          <w:b/>
          <w:bCs/>
          <w:color w:val="000000"/>
          <w:sz w:val="18"/>
          <w:szCs w:val="18"/>
        </w:rPr>
      </w:pPr>
    </w:p>
    <w:p w14:paraId="034EF87D" w14:textId="6E5CD466"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Conclusions relating to going concern </w:t>
      </w:r>
    </w:p>
    <w:p w14:paraId="2C4E1D85" w14:textId="77777777" w:rsidR="00E1307E" w:rsidRDefault="00E1307E" w:rsidP="003122A7">
      <w:pPr>
        <w:autoSpaceDE w:val="0"/>
        <w:autoSpaceDN w:val="0"/>
        <w:adjustRightInd w:val="0"/>
        <w:rPr>
          <w:rFonts w:ascii="Arial" w:hAnsi="Arial" w:cs="Arial"/>
          <w:color w:val="000000"/>
          <w:sz w:val="18"/>
          <w:szCs w:val="18"/>
        </w:rPr>
      </w:pPr>
    </w:p>
    <w:p w14:paraId="079F8A09" w14:textId="41170CAD"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are responsible for concluding on the appropriateness of the Chief Finance Officer’s use of the going concern basis of accounting and, based on the audit evidence obtained, whether a material uncertainty exists related to events or conditions that may cast significant doubt on the Police and Crime Commissioner and group’s ability to continue as a going concern. If we conclude that a material uncertainty exists, we are required to draw attention in our report to the related disclosures in the financial statements or, if such disclosures are inadequate, to modify the auditor’s opinion. Our conclusions are based on the audit evidence obtained up to the date of our report. However, future events or conditions may cause the Police and Crime Commissioner and the group to cease to continue as a going concern. </w:t>
      </w:r>
    </w:p>
    <w:p w14:paraId="6F0DB909" w14:textId="77777777" w:rsidR="003122A7" w:rsidRDefault="003122A7" w:rsidP="003122A7">
      <w:pPr>
        <w:autoSpaceDE w:val="0"/>
        <w:autoSpaceDN w:val="0"/>
        <w:adjustRightInd w:val="0"/>
        <w:rPr>
          <w:rFonts w:ascii="Arial" w:hAnsi="Arial" w:cs="Arial"/>
          <w:color w:val="000000"/>
          <w:sz w:val="18"/>
          <w:szCs w:val="18"/>
        </w:rPr>
      </w:pPr>
    </w:p>
    <w:p w14:paraId="3B36BA12" w14:textId="77777777" w:rsid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In our evaluation of the Chief Finance Officer’s conclusions, and in accordance with the expectation set out within the CIPFA/LASAAC Code of Practice on Local Authority Accounting in the United Kingdom 2024/25 that the Police and Crime Commissioner and group’s financial statements shall be prepared on a going concern basis, we considered the inherent risks associated with the continuation of services provided by the Police and Crime Commissioner and the group. In doing so we had regard to the guidance provided in Practice Note 10 Audit of financial statements and regularity of public sector bodies in the United Kingdom (Revised 2024) on the application of ISA (UK) 570 Going Concern to public sector entities. We assessed the reasonableness of the basis of preparation used by the Police and Crime Commissioner and group and the Police and Crime Commissioner and group’s disclosures over the going concern period. </w:t>
      </w:r>
    </w:p>
    <w:p w14:paraId="692108ED" w14:textId="77777777" w:rsidR="003122A7" w:rsidRDefault="003122A7" w:rsidP="003122A7">
      <w:pPr>
        <w:autoSpaceDE w:val="0"/>
        <w:autoSpaceDN w:val="0"/>
        <w:adjustRightInd w:val="0"/>
        <w:rPr>
          <w:rFonts w:ascii="Arial" w:hAnsi="Arial" w:cs="Arial"/>
          <w:color w:val="000000"/>
          <w:sz w:val="18"/>
          <w:szCs w:val="18"/>
        </w:rPr>
      </w:pPr>
    </w:p>
    <w:p w14:paraId="42958282" w14:textId="3D8D19BC"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In auditing the financial statements, we have concluded that the Chief Finance Officer’s use of the going concern basis of accounting in the preparation of the financial statements is appropriate. </w:t>
      </w:r>
    </w:p>
    <w:p w14:paraId="13222EED" w14:textId="77777777" w:rsidR="003122A7" w:rsidRDefault="003122A7" w:rsidP="003122A7">
      <w:pPr>
        <w:autoSpaceDE w:val="0"/>
        <w:autoSpaceDN w:val="0"/>
        <w:adjustRightInd w:val="0"/>
        <w:rPr>
          <w:rFonts w:ascii="Arial" w:hAnsi="Arial" w:cs="Arial"/>
          <w:color w:val="000000"/>
          <w:sz w:val="18"/>
          <w:szCs w:val="18"/>
        </w:rPr>
      </w:pPr>
    </w:p>
    <w:p w14:paraId="7CBC7ADE" w14:textId="33605ED0"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Based on the work we have performed, we have not identified any material uncertainties relating to events or conditions that, individually or collectively, may cast significant doubt on the Police and Crime Commissioner and the group’s ability to continue as a going concern for a period of at least twelve months from when the financial statements are authorised for issue. </w:t>
      </w:r>
    </w:p>
    <w:p w14:paraId="397A1C9B" w14:textId="77777777" w:rsidR="003122A7" w:rsidRDefault="003122A7" w:rsidP="003122A7">
      <w:pPr>
        <w:autoSpaceDE w:val="0"/>
        <w:autoSpaceDN w:val="0"/>
        <w:adjustRightInd w:val="0"/>
        <w:rPr>
          <w:rFonts w:ascii="Arial" w:hAnsi="Arial" w:cs="Arial"/>
          <w:color w:val="000000"/>
          <w:sz w:val="18"/>
          <w:szCs w:val="18"/>
        </w:rPr>
      </w:pPr>
    </w:p>
    <w:p w14:paraId="65C2A3A9" w14:textId="216EFA04"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Our responsibilities and the responsibilities of the Chief Finance Officer with respect to going concern are described in the relevant sections of this report. </w:t>
      </w:r>
    </w:p>
    <w:p w14:paraId="7E97B921" w14:textId="77777777" w:rsidR="003122A7" w:rsidRDefault="003122A7" w:rsidP="003122A7">
      <w:pPr>
        <w:autoSpaceDE w:val="0"/>
        <w:autoSpaceDN w:val="0"/>
        <w:adjustRightInd w:val="0"/>
        <w:rPr>
          <w:rFonts w:ascii="Arial" w:hAnsi="Arial" w:cs="Arial"/>
          <w:b/>
          <w:bCs/>
          <w:color w:val="000000"/>
          <w:sz w:val="18"/>
          <w:szCs w:val="18"/>
        </w:rPr>
      </w:pPr>
    </w:p>
    <w:p w14:paraId="671F2E9A" w14:textId="77777777" w:rsidR="00E1307E" w:rsidRDefault="00E1307E">
      <w:pPr>
        <w:rPr>
          <w:rFonts w:ascii="Arial" w:hAnsi="Arial" w:cs="Arial"/>
          <w:b/>
          <w:bCs/>
          <w:color w:val="000000"/>
          <w:sz w:val="18"/>
          <w:szCs w:val="18"/>
        </w:rPr>
      </w:pPr>
      <w:r>
        <w:rPr>
          <w:rFonts w:ascii="Arial" w:hAnsi="Arial" w:cs="Arial"/>
          <w:b/>
          <w:bCs/>
          <w:color w:val="000000"/>
          <w:sz w:val="18"/>
          <w:szCs w:val="18"/>
        </w:rPr>
        <w:br w:type="page"/>
      </w:r>
    </w:p>
    <w:p w14:paraId="770D84E6" w14:textId="4BCF3488" w:rsidR="003122A7" w:rsidRDefault="003122A7" w:rsidP="003122A7">
      <w:pPr>
        <w:autoSpaceDE w:val="0"/>
        <w:autoSpaceDN w:val="0"/>
        <w:adjustRightInd w:val="0"/>
        <w:rPr>
          <w:rFonts w:ascii="Arial" w:hAnsi="Arial" w:cs="Arial"/>
          <w:b/>
          <w:bCs/>
          <w:color w:val="000000"/>
          <w:sz w:val="18"/>
          <w:szCs w:val="18"/>
        </w:rPr>
      </w:pPr>
      <w:r w:rsidRPr="003122A7">
        <w:rPr>
          <w:rFonts w:ascii="Arial" w:hAnsi="Arial" w:cs="Arial"/>
          <w:b/>
          <w:bCs/>
          <w:color w:val="000000"/>
          <w:sz w:val="18"/>
          <w:szCs w:val="18"/>
        </w:rPr>
        <w:lastRenderedPageBreak/>
        <w:t xml:space="preserve">Other information </w:t>
      </w:r>
    </w:p>
    <w:p w14:paraId="20B963ED" w14:textId="77777777" w:rsidR="00E1307E" w:rsidRPr="003122A7" w:rsidRDefault="00E1307E" w:rsidP="003122A7">
      <w:pPr>
        <w:autoSpaceDE w:val="0"/>
        <w:autoSpaceDN w:val="0"/>
        <w:adjustRightInd w:val="0"/>
        <w:rPr>
          <w:rFonts w:ascii="Arial" w:hAnsi="Arial" w:cs="Arial"/>
          <w:color w:val="000000"/>
          <w:sz w:val="18"/>
          <w:szCs w:val="18"/>
        </w:rPr>
      </w:pPr>
    </w:p>
    <w:p w14:paraId="5CB06B15"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The other information comprises the information included in the Statement of Accounts, other than the financial statements and our auditor’s report thereon. The Chief Finance Officer’s is responsible for the other information. Our opinion on the financial statements does not cover the other information and, except to the extent otherwise explicitly stated in our report, we do not express any form of assurance conclusion thereon. </w:t>
      </w:r>
    </w:p>
    <w:p w14:paraId="7708E476"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Our responsibility is to read the other information and, in doing so, consider whether the other information is materially inconsistent with the financial statements or our knowledge obtained in the audit or otherwise appears to be materially misstated. If we identify such material inconsistencies or apparent material misstatements, we are required to determine whether there is a material misstatement in the financial statements themselves. If, based on the work we have performed, we conclude that there is a material misstatement of this other information, we are required to report that fact. </w:t>
      </w:r>
    </w:p>
    <w:p w14:paraId="06BF3CA4" w14:textId="77777777" w:rsidR="003122A7" w:rsidRDefault="003122A7" w:rsidP="003122A7">
      <w:pPr>
        <w:autoSpaceDE w:val="0"/>
        <w:autoSpaceDN w:val="0"/>
        <w:adjustRightInd w:val="0"/>
        <w:rPr>
          <w:rFonts w:ascii="Arial" w:hAnsi="Arial" w:cs="Arial"/>
          <w:color w:val="000000"/>
          <w:sz w:val="18"/>
          <w:szCs w:val="18"/>
        </w:rPr>
      </w:pPr>
    </w:p>
    <w:p w14:paraId="2B3168EC" w14:textId="1DA60FF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have nothing to report in this regard. </w:t>
      </w:r>
    </w:p>
    <w:p w14:paraId="424A9297" w14:textId="77777777" w:rsidR="003122A7" w:rsidRDefault="003122A7" w:rsidP="003122A7">
      <w:pPr>
        <w:autoSpaceDE w:val="0"/>
        <w:autoSpaceDN w:val="0"/>
        <w:adjustRightInd w:val="0"/>
        <w:rPr>
          <w:rFonts w:ascii="Arial" w:hAnsi="Arial" w:cs="Arial"/>
          <w:b/>
          <w:bCs/>
          <w:color w:val="000000"/>
          <w:sz w:val="18"/>
          <w:szCs w:val="18"/>
        </w:rPr>
      </w:pPr>
    </w:p>
    <w:p w14:paraId="2192E87F" w14:textId="7186251C"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Other information we are required to report on by exception under the Code of Audit Practice </w:t>
      </w:r>
    </w:p>
    <w:p w14:paraId="147BA0C7" w14:textId="77777777" w:rsidR="00E1307E" w:rsidRDefault="00E1307E" w:rsidP="003122A7">
      <w:pPr>
        <w:autoSpaceDE w:val="0"/>
        <w:autoSpaceDN w:val="0"/>
        <w:adjustRightInd w:val="0"/>
        <w:rPr>
          <w:rFonts w:ascii="Arial" w:hAnsi="Arial" w:cs="Arial"/>
          <w:color w:val="000000"/>
          <w:sz w:val="18"/>
          <w:szCs w:val="18"/>
        </w:rPr>
      </w:pPr>
    </w:p>
    <w:p w14:paraId="1BEE23E9" w14:textId="033B496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Under the Code of Audit Practice published by the National Audit Office in November 2024 on behalf of the Comptroller and Auditor General (the Code of Audit Practice) we are required to consider whether the Annual Governance Statement does not comply with the requirements of the CIPFA/LASAAC Code of Practice on Local Authority Accounting in the United Kingdom 2024/25 or is misleading or inconsistent with the information of which we are aware from our audit. We are not required to consider whether the Annual Governance Statement addresses all risks and controls or that risks are satisfactorily addressed by internal controls. </w:t>
      </w:r>
    </w:p>
    <w:p w14:paraId="4412EB9C" w14:textId="77777777" w:rsidR="003122A7" w:rsidRDefault="003122A7" w:rsidP="003122A7">
      <w:pPr>
        <w:autoSpaceDE w:val="0"/>
        <w:autoSpaceDN w:val="0"/>
        <w:adjustRightInd w:val="0"/>
        <w:rPr>
          <w:rFonts w:ascii="Arial" w:hAnsi="Arial" w:cs="Arial"/>
          <w:color w:val="000000"/>
          <w:sz w:val="18"/>
          <w:szCs w:val="18"/>
        </w:rPr>
      </w:pPr>
    </w:p>
    <w:p w14:paraId="19E457F8" w14:textId="41E6889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have nothing to report in this regard. </w:t>
      </w:r>
    </w:p>
    <w:p w14:paraId="198F2DA0" w14:textId="77777777" w:rsidR="003122A7" w:rsidRDefault="003122A7" w:rsidP="003122A7">
      <w:pPr>
        <w:autoSpaceDE w:val="0"/>
        <w:autoSpaceDN w:val="0"/>
        <w:adjustRightInd w:val="0"/>
        <w:rPr>
          <w:rFonts w:ascii="Arial" w:hAnsi="Arial" w:cs="Arial"/>
          <w:b/>
          <w:bCs/>
          <w:color w:val="000000"/>
          <w:sz w:val="18"/>
          <w:szCs w:val="18"/>
        </w:rPr>
      </w:pPr>
    </w:p>
    <w:p w14:paraId="680F9304" w14:textId="24E5A8F3"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Opinion on other matters required by the Code of Audit Practice </w:t>
      </w:r>
    </w:p>
    <w:p w14:paraId="06993C12" w14:textId="77777777" w:rsidR="00E1307E" w:rsidRDefault="00E1307E" w:rsidP="003122A7">
      <w:pPr>
        <w:autoSpaceDE w:val="0"/>
        <w:autoSpaceDN w:val="0"/>
        <w:adjustRightInd w:val="0"/>
        <w:rPr>
          <w:rFonts w:ascii="Arial" w:hAnsi="Arial" w:cs="Arial"/>
          <w:color w:val="000000"/>
          <w:sz w:val="18"/>
          <w:szCs w:val="18"/>
        </w:rPr>
      </w:pPr>
    </w:p>
    <w:p w14:paraId="3887FD0F" w14:textId="65D3BA26"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In our opinion, based on the work undertaken </w:t>
      </w:r>
      <w:proofErr w:type="gramStart"/>
      <w:r w:rsidRPr="003122A7">
        <w:rPr>
          <w:rFonts w:ascii="Arial" w:hAnsi="Arial" w:cs="Arial"/>
          <w:color w:val="000000"/>
          <w:sz w:val="18"/>
          <w:szCs w:val="18"/>
        </w:rPr>
        <w:t>in the course of</w:t>
      </w:r>
      <w:proofErr w:type="gramEnd"/>
      <w:r w:rsidRPr="003122A7">
        <w:rPr>
          <w:rFonts w:ascii="Arial" w:hAnsi="Arial" w:cs="Arial"/>
          <w:color w:val="000000"/>
          <w:sz w:val="18"/>
          <w:szCs w:val="18"/>
        </w:rPr>
        <w:t xml:space="preserve"> the audit of the financial statements, the other information published together with the financial statements in the Statement of Accounts for the financial year for which the financial statements are prepared is consistent with the financial statements. </w:t>
      </w:r>
    </w:p>
    <w:p w14:paraId="40F91CEE" w14:textId="77777777" w:rsidR="003122A7" w:rsidRDefault="003122A7" w:rsidP="003122A7">
      <w:pPr>
        <w:autoSpaceDE w:val="0"/>
        <w:autoSpaceDN w:val="0"/>
        <w:adjustRightInd w:val="0"/>
        <w:rPr>
          <w:rFonts w:ascii="Arial" w:hAnsi="Arial" w:cs="Arial"/>
          <w:b/>
          <w:bCs/>
          <w:color w:val="000000"/>
          <w:sz w:val="18"/>
          <w:szCs w:val="18"/>
        </w:rPr>
      </w:pPr>
    </w:p>
    <w:p w14:paraId="540404E9" w14:textId="24D60135"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Matters on which we are required to report by exception </w:t>
      </w:r>
    </w:p>
    <w:p w14:paraId="49B69409" w14:textId="77777777" w:rsidR="00E1307E" w:rsidRDefault="00E1307E" w:rsidP="003122A7">
      <w:pPr>
        <w:autoSpaceDE w:val="0"/>
        <w:autoSpaceDN w:val="0"/>
        <w:adjustRightInd w:val="0"/>
        <w:rPr>
          <w:rFonts w:ascii="Arial" w:hAnsi="Arial" w:cs="Arial"/>
          <w:color w:val="000000"/>
          <w:sz w:val="18"/>
          <w:szCs w:val="18"/>
        </w:rPr>
      </w:pPr>
    </w:p>
    <w:p w14:paraId="393D3E07" w14:textId="3FA2201B"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Under the Code of Audit Practice, we are required to report to you if: </w:t>
      </w:r>
      <w:r>
        <w:rPr>
          <w:rFonts w:ascii="Arial" w:hAnsi="Arial" w:cs="Arial"/>
          <w:color w:val="000000"/>
          <w:sz w:val="18"/>
          <w:szCs w:val="18"/>
        </w:rPr>
        <w:tab/>
      </w:r>
    </w:p>
    <w:p w14:paraId="7D817525" w14:textId="263D34AF" w:rsidR="003122A7" w:rsidRPr="003122A7" w:rsidRDefault="003122A7" w:rsidP="003122A7">
      <w:pPr>
        <w:numPr>
          <w:ilvl w:val="0"/>
          <w:numId w:val="60"/>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 xml:space="preserve">we issue a report in the public interest under section 24 of the Local Audit and Accountability Act 2014 </w:t>
      </w:r>
      <w:proofErr w:type="gramStart"/>
      <w:r w:rsidRPr="003122A7">
        <w:rPr>
          <w:rFonts w:ascii="Arial" w:hAnsi="Arial" w:cs="Arial"/>
          <w:color w:val="000000"/>
          <w:sz w:val="18"/>
          <w:szCs w:val="18"/>
        </w:rPr>
        <w:t>in the course of</w:t>
      </w:r>
      <w:proofErr w:type="gramEnd"/>
      <w:r w:rsidRPr="003122A7">
        <w:rPr>
          <w:rFonts w:ascii="Arial" w:hAnsi="Arial" w:cs="Arial"/>
          <w:color w:val="000000"/>
          <w:sz w:val="18"/>
          <w:szCs w:val="18"/>
        </w:rPr>
        <w:t xml:space="preserve">, or </w:t>
      </w:r>
      <w:r>
        <w:rPr>
          <w:rFonts w:ascii="Arial" w:hAnsi="Arial" w:cs="Arial"/>
          <w:color w:val="000000"/>
          <w:sz w:val="18"/>
          <w:szCs w:val="18"/>
        </w:rPr>
        <w:tab/>
      </w:r>
      <w:r w:rsidRPr="003122A7">
        <w:rPr>
          <w:rFonts w:ascii="Arial" w:hAnsi="Arial" w:cs="Arial"/>
          <w:color w:val="000000"/>
          <w:sz w:val="18"/>
          <w:szCs w:val="18"/>
        </w:rPr>
        <w:t xml:space="preserve">at the conclusion of the audit; or </w:t>
      </w:r>
    </w:p>
    <w:p w14:paraId="6A780E24" w14:textId="7362BB0E" w:rsidR="003122A7" w:rsidRPr="003122A7" w:rsidRDefault="003122A7" w:rsidP="003122A7">
      <w:pPr>
        <w:numPr>
          <w:ilvl w:val="0"/>
          <w:numId w:val="60"/>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we make a written recommendation to the Police and Crime Commissioner under section 24 of the Local Audit and</w:t>
      </w:r>
      <w:r>
        <w:rPr>
          <w:rFonts w:ascii="Arial" w:hAnsi="Arial" w:cs="Arial"/>
          <w:color w:val="000000"/>
          <w:sz w:val="18"/>
          <w:szCs w:val="18"/>
        </w:rPr>
        <w:tab/>
      </w:r>
      <w:r>
        <w:rPr>
          <w:rFonts w:ascii="Arial" w:hAnsi="Arial" w:cs="Arial"/>
          <w:color w:val="000000"/>
          <w:sz w:val="18"/>
          <w:szCs w:val="18"/>
        </w:rPr>
        <w:tab/>
      </w:r>
      <w:r w:rsidRPr="003122A7">
        <w:rPr>
          <w:rFonts w:ascii="Arial" w:hAnsi="Arial" w:cs="Arial"/>
          <w:color w:val="000000"/>
          <w:sz w:val="18"/>
          <w:szCs w:val="18"/>
        </w:rPr>
        <w:t xml:space="preserve">Accountability Act 2014 </w:t>
      </w:r>
      <w:proofErr w:type="gramStart"/>
      <w:r w:rsidRPr="003122A7">
        <w:rPr>
          <w:rFonts w:ascii="Arial" w:hAnsi="Arial" w:cs="Arial"/>
          <w:color w:val="000000"/>
          <w:sz w:val="18"/>
          <w:szCs w:val="18"/>
        </w:rPr>
        <w:t>in the course of</w:t>
      </w:r>
      <w:proofErr w:type="gramEnd"/>
      <w:r w:rsidRPr="003122A7">
        <w:rPr>
          <w:rFonts w:ascii="Arial" w:hAnsi="Arial" w:cs="Arial"/>
          <w:color w:val="000000"/>
          <w:sz w:val="18"/>
          <w:szCs w:val="18"/>
        </w:rPr>
        <w:t xml:space="preserve">, or at the conclusion of the audit; or </w:t>
      </w:r>
    </w:p>
    <w:p w14:paraId="1AC3651B" w14:textId="4BA2FD83" w:rsidR="003122A7" w:rsidRPr="003122A7" w:rsidRDefault="003122A7" w:rsidP="003122A7">
      <w:pPr>
        <w:numPr>
          <w:ilvl w:val="0"/>
          <w:numId w:val="60"/>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we make an application to the court for a declaration that an item of account is contrary to law under Section 28 of the</w:t>
      </w:r>
      <w:r>
        <w:rPr>
          <w:rFonts w:ascii="Arial" w:hAnsi="Arial" w:cs="Arial"/>
          <w:color w:val="000000"/>
          <w:sz w:val="18"/>
          <w:szCs w:val="18"/>
        </w:rPr>
        <w:tab/>
      </w:r>
      <w:r>
        <w:rPr>
          <w:rFonts w:ascii="Arial" w:hAnsi="Arial" w:cs="Arial"/>
          <w:color w:val="000000"/>
          <w:sz w:val="18"/>
          <w:szCs w:val="18"/>
        </w:rPr>
        <w:tab/>
      </w:r>
      <w:r w:rsidRPr="003122A7">
        <w:rPr>
          <w:rFonts w:ascii="Arial" w:hAnsi="Arial" w:cs="Arial"/>
          <w:color w:val="000000"/>
          <w:sz w:val="18"/>
          <w:szCs w:val="18"/>
        </w:rPr>
        <w:t xml:space="preserve">Local Audit and Accountability Act 2014 </w:t>
      </w:r>
      <w:proofErr w:type="gramStart"/>
      <w:r w:rsidRPr="003122A7">
        <w:rPr>
          <w:rFonts w:ascii="Arial" w:hAnsi="Arial" w:cs="Arial"/>
          <w:color w:val="000000"/>
          <w:sz w:val="18"/>
          <w:szCs w:val="18"/>
        </w:rPr>
        <w:t>in the course of</w:t>
      </w:r>
      <w:proofErr w:type="gramEnd"/>
      <w:r w:rsidRPr="003122A7">
        <w:rPr>
          <w:rFonts w:ascii="Arial" w:hAnsi="Arial" w:cs="Arial"/>
          <w:color w:val="000000"/>
          <w:sz w:val="18"/>
          <w:szCs w:val="18"/>
        </w:rPr>
        <w:t xml:space="preserve">, or at the conclusion of the audit; or; </w:t>
      </w:r>
    </w:p>
    <w:p w14:paraId="550A711C" w14:textId="4651BA94" w:rsidR="003122A7" w:rsidRPr="003122A7" w:rsidRDefault="003122A7" w:rsidP="003122A7">
      <w:pPr>
        <w:numPr>
          <w:ilvl w:val="0"/>
          <w:numId w:val="60"/>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 xml:space="preserve">we issue an advisory notice under Section 29 of the Local Audit and Accountability Act 2014 </w:t>
      </w:r>
      <w:proofErr w:type="gramStart"/>
      <w:r w:rsidRPr="003122A7">
        <w:rPr>
          <w:rFonts w:ascii="Arial" w:hAnsi="Arial" w:cs="Arial"/>
          <w:color w:val="000000"/>
          <w:sz w:val="18"/>
          <w:szCs w:val="18"/>
        </w:rPr>
        <w:t>in the course of</w:t>
      </w:r>
      <w:proofErr w:type="gramEnd"/>
      <w:r w:rsidRPr="003122A7">
        <w:rPr>
          <w:rFonts w:ascii="Arial" w:hAnsi="Arial" w:cs="Arial"/>
          <w:color w:val="000000"/>
          <w:sz w:val="18"/>
          <w:szCs w:val="18"/>
        </w:rPr>
        <w:t>, or at the</w:t>
      </w:r>
      <w:r>
        <w:rPr>
          <w:rFonts w:ascii="Arial" w:hAnsi="Arial" w:cs="Arial"/>
          <w:color w:val="000000"/>
          <w:sz w:val="18"/>
          <w:szCs w:val="18"/>
        </w:rPr>
        <w:tab/>
      </w:r>
      <w:r w:rsidRPr="003122A7">
        <w:rPr>
          <w:rFonts w:ascii="Arial" w:hAnsi="Arial" w:cs="Arial"/>
          <w:color w:val="000000"/>
          <w:sz w:val="18"/>
          <w:szCs w:val="18"/>
        </w:rPr>
        <w:t xml:space="preserve">conclusion of the audit; or </w:t>
      </w:r>
    </w:p>
    <w:p w14:paraId="0CA210C6" w14:textId="1F78D8B9" w:rsidR="003122A7" w:rsidRPr="003122A7" w:rsidRDefault="003122A7" w:rsidP="003122A7">
      <w:pPr>
        <w:numPr>
          <w:ilvl w:val="0"/>
          <w:numId w:val="60"/>
        </w:num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make an application for judicial review under Section 31 of the Local Audit and Accountability Act 2014, </w:t>
      </w:r>
      <w:proofErr w:type="gramStart"/>
      <w:r w:rsidRPr="003122A7">
        <w:rPr>
          <w:rFonts w:ascii="Arial" w:hAnsi="Arial" w:cs="Arial"/>
          <w:color w:val="000000"/>
          <w:sz w:val="18"/>
          <w:szCs w:val="18"/>
        </w:rPr>
        <w:t>in the course</w:t>
      </w:r>
      <w:r w:rsidR="00C457C9">
        <w:rPr>
          <w:rFonts w:ascii="Arial" w:hAnsi="Arial" w:cs="Arial"/>
          <w:color w:val="000000"/>
          <w:sz w:val="18"/>
          <w:szCs w:val="18"/>
        </w:rPr>
        <w:tab/>
      </w:r>
      <w:r w:rsidRPr="003122A7">
        <w:rPr>
          <w:rFonts w:ascii="Arial" w:hAnsi="Arial" w:cs="Arial"/>
          <w:color w:val="000000"/>
          <w:sz w:val="18"/>
          <w:szCs w:val="18"/>
        </w:rPr>
        <w:t xml:space="preserve"> of</w:t>
      </w:r>
      <w:proofErr w:type="gramEnd"/>
      <w:r w:rsidRPr="003122A7">
        <w:rPr>
          <w:rFonts w:ascii="Arial" w:hAnsi="Arial" w:cs="Arial"/>
          <w:color w:val="000000"/>
          <w:sz w:val="18"/>
          <w:szCs w:val="18"/>
        </w:rPr>
        <w:t xml:space="preserve">, or at the conclusion of the audit. </w:t>
      </w:r>
    </w:p>
    <w:p w14:paraId="406A27FD" w14:textId="77777777" w:rsidR="003122A7" w:rsidRPr="003122A7" w:rsidRDefault="003122A7" w:rsidP="003122A7">
      <w:pPr>
        <w:autoSpaceDE w:val="0"/>
        <w:autoSpaceDN w:val="0"/>
        <w:adjustRightInd w:val="0"/>
        <w:rPr>
          <w:rFonts w:ascii="Arial" w:hAnsi="Arial" w:cs="Arial"/>
          <w:color w:val="000000"/>
          <w:sz w:val="18"/>
          <w:szCs w:val="18"/>
        </w:rPr>
      </w:pPr>
    </w:p>
    <w:p w14:paraId="438CE742"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have nothing to report in respect of the above matters. </w:t>
      </w:r>
    </w:p>
    <w:p w14:paraId="0F909A5C" w14:textId="77777777" w:rsidR="003122A7" w:rsidRPr="003122A7" w:rsidRDefault="003122A7" w:rsidP="003122A7">
      <w:pPr>
        <w:pageBreakBefore/>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lastRenderedPageBreak/>
        <w:t xml:space="preserve">Responsibilities of the Police and Crime Commissioner and the Chief Finance Officer </w:t>
      </w:r>
    </w:p>
    <w:p w14:paraId="20787538" w14:textId="77777777" w:rsidR="00E1307E" w:rsidRDefault="00E1307E" w:rsidP="003122A7">
      <w:pPr>
        <w:autoSpaceDE w:val="0"/>
        <w:autoSpaceDN w:val="0"/>
        <w:adjustRightInd w:val="0"/>
        <w:rPr>
          <w:rFonts w:ascii="Arial" w:hAnsi="Arial" w:cs="Arial"/>
          <w:color w:val="000000"/>
          <w:sz w:val="18"/>
          <w:szCs w:val="18"/>
        </w:rPr>
      </w:pPr>
    </w:p>
    <w:p w14:paraId="397E648F" w14:textId="7C59EA25" w:rsid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As explained more fully in the Statement of Responsibilities, the Police and Crime Commissioner is required to </w:t>
      </w:r>
      <w:proofErr w:type="gramStart"/>
      <w:r w:rsidRPr="003122A7">
        <w:rPr>
          <w:rFonts w:ascii="Arial" w:hAnsi="Arial" w:cs="Arial"/>
          <w:color w:val="000000"/>
          <w:sz w:val="18"/>
          <w:szCs w:val="18"/>
        </w:rPr>
        <w:t>make arrangements</w:t>
      </w:r>
      <w:proofErr w:type="gramEnd"/>
      <w:r w:rsidRPr="003122A7">
        <w:rPr>
          <w:rFonts w:ascii="Arial" w:hAnsi="Arial" w:cs="Arial"/>
          <w:color w:val="000000"/>
          <w:sz w:val="18"/>
          <w:szCs w:val="18"/>
        </w:rPr>
        <w:t xml:space="preserve"> for the proper administration of its financial affairs and to secure that one of its officers has the responsibility for the administration of those affairs. That officer is the Chief Finance Officer. The Chief Finance Officer is responsible for the preparation of the Statement of Accounts, which includes the financial statements, in accordance with proper practices as set out in the CIPFA/LASAAC Code of Practice on Local Authority Accounting in the United Kingdom 2024/25, for being satisfied that they give a true and fair view, and for such internal control as the Chief Finance Officer determines is necessary to enable the preparation of financial statements that are free from material misstatement, whether due to fraud or error. </w:t>
      </w:r>
    </w:p>
    <w:p w14:paraId="05F3E876" w14:textId="77777777" w:rsidR="003122A7" w:rsidRPr="003122A7" w:rsidRDefault="003122A7" w:rsidP="003122A7">
      <w:pPr>
        <w:autoSpaceDE w:val="0"/>
        <w:autoSpaceDN w:val="0"/>
        <w:adjustRightInd w:val="0"/>
        <w:rPr>
          <w:rFonts w:ascii="Arial" w:hAnsi="Arial" w:cs="Arial"/>
          <w:color w:val="000000"/>
          <w:sz w:val="18"/>
          <w:szCs w:val="18"/>
        </w:rPr>
      </w:pPr>
    </w:p>
    <w:p w14:paraId="40E49113"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In preparing the financial statements, the Chief Finance Officer is responsible for assessing the Police and Crime Commissioner’s and the group’s ability to continue as a going concern, disclosing, as applicable, matters related to going concern and using the going concern basis of accounting unless they have been informed by the relevant national body of the intention to dissolve the Police and Crime Commissioner and the group without the transfer of its services to another public sector entity. </w:t>
      </w:r>
    </w:p>
    <w:p w14:paraId="4D5F1050" w14:textId="77777777" w:rsidR="003122A7" w:rsidRDefault="003122A7" w:rsidP="003122A7">
      <w:pPr>
        <w:autoSpaceDE w:val="0"/>
        <w:autoSpaceDN w:val="0"/>
        <w:adjustRightInd w:val="0"/>
        <w:rPr>
          <w:rFonts w:ascii="Arial" w:hAnsi="Arial" w:cs="Arial"/>
          <w:b/>
          <w:bCs/>
          <w:color w:val="000000"/>
          <w:sz w:val="18"/>
          <w:szCs w:val="18"/>
        </w:rPr>
      </w:pPr>
    </w:p>
    <w:p w14:paraId="1B9E588D" w14:textId="7929A2FF"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Auditor’s responsibilities for the audit of the financial statements </w:t>
      </w:r>
    </w:p>
    <w:p w14:paraId="4E819BF0" w14:textId="77777777" w:rsidR="00E1307E" w:rsidRDefault="00E1307E" w:rsidP="003122A7">
      <w:pPr>
        <w:autoSpaceDE w:val="0"/>
        <w:autoSpaceDN w:val="0"/>
        <w:adjustRightInd w:val="0"/>
        <w:rPr>
          <w:rFonts w:ascii="Arial" w:hAnsi="Arial" w:cs="Arial"/>
          <w:color w:val="000000"/>
          <w:sz w:val="18"/>
          <w:szCs w:val="18"/>
        </w:rPr>
      </w:pPr>
    </w:p>
    <w:p w14:paraId="24B7DA1D" w14:textId="4835AED9"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Our objectives are to obtain reasonable assurance about whether the financial statements </w:t>
      </w:r>
      <w:proofErr w:type="gramStart"/>
      <w:r w:rsidRPr="003122A7">
        <w:rPr>
          <w:rFonts w:ascii="Arial" w:hAnsi="Arial" w:cs="Arial"/>
          <w:color w:val="000000"/>
          <w:sz w:val="18"/>
          <w:szCs w:val="18"/>
        </w:rPr>
        <w:t>as a whole are</w:t>
      </w:r>
      <w:proofErr w:type="gramEnd"/>
      <w:r w:rsidRPr="003122A7">
        <w:rPr>
          <w:rFonts w:ascii="Arial" w:hAnsi="Arial" w:cs="Arial"/>
          <w:color w:val="000000"/>
          <w:sz w:val="18"/>
          <w:szCs w:val="18"/>
        </w:rPr>
        <w:t xml:space="preserve"> free from material misstatement, whether due to fraud or error, and to issue an auditor’s report that includes our opinion. Reasonable assurance is a high level of assurance but is not a guarantee that an audit conducted in accordance with ISAs (UK) will always detect a material misstatement when it exists. </w:t>
      </w:r>
    </w:p>
    <w:p w14:paraId="04639B74" w14:textId="77777777" w:rsidR="003122A7" w:rsidRDefault="003122A7" w:rsidP="003122A7">
      <w:pPr>
        <w:autoSpaceDE w:val="0"/>
        <w:autoSpaceDN w:val="0"/>
        <w:adjustRightInd w:val="0"/>
        <w:rPr>
          <w:rFonts w:ascii="Arial" w:hAnsi="Arial" w:cs="Arial"/>
          <w:color w:val="000000"/>
          <w:sz w:val="18"/>
          <w:szCs w:val="18"/>
        </w:rPr>
      </w:pPr>
    </w:p>
    <w:p w14:paraId="3C37498D" w14:textId="5301BAAF"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Misstatements can arise from fraud or error and are considered material if, individually or in the aggregate, they could reasonably be expected to influence the economic decisions of users taken </w:t>
      </w:r>
      <w:proofErr w:type="gramStart"/>
      <w:r w:rsidRPr="003122A7">
        <w:rPr>
          <w:rFonts w:ascii="Arial" w:hAnsi="Arial" w:cs="Arial"/>
          <w:color w:val="000000"/>
          <w:sz w:val="18"/>
          <w:szCs w:val="18"/>
        </w:rPr>
        <w:t>on the basis of</w:t>
      </w:r>
      <w:proofErr w:type="gramEnd"/>
      <w:r w:rsidRPr="003122A7">
        <w:rPr>
          <w:rFonts w:ascii="Arial" w:hAnsi="Arial" w:cs="Arial"/>
          <w:color w:val="000000"/>
          <w:sz w:val="18"/>
          <w:szCs w:val="18"/>
        </w:rPr>
        <w:t xml:space="preserve"> these financial statements. Irregularities, including fraud, are instances of non-compliance with laws and regulations. The extent to which our procedures </w:t>
      </w:r>
      <w:proofErr w:type="gramStart"/>
      <w:r w:rsidRPr="003122A7">
        <w:rPr>
          <w:rFonts w:ascii="Arial" w:hAnsi="Arial" w:cs="Arial"/>
          <w:color w:val="000000"/>
          <w:sz w:val="18"/>
          <w:szCs w:val="18"/>
        </w:rPr>
        <w:t>are capable of detecting</w:t>
      </w:r>
      <w:proofErr w:type="gramEnd"/>
      <w:r w:rsidRPr="003122A7">
        <w:rPr>
          <w:rFonts w:ascii="Arial" w:hAnsi="Arial" w:cs="Arial"/>
          <w:color w:val="000000"/>
          <w:sz w:val="18"/>
          <w:szCs w:val="18"/>
        </w:rPr>
        <w:t xml:space="preserve"> irregularities, including fraud, is detailed below. </w:t>
      </w:r>
    </w:p>
    <w:p w14:paraId="300D76D9" w14:textId="57A184EE" w:rsidR="003122A7" w:rsidRPr="003122A7" w:rsidRDefault="003122A7" w:rsidP="003122A7">
      <w:p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 xml:space="preserve">• </w:t>
      </w:r>
      <w:r>
        <w:rPr>
          <w:rFonts w:ascii="Arial" w:hAnsi="Arial" w:cs="Arial"/>
          <w:color w:val="000000"/>
          <w:sz w:val="18"/>
          <w:szCs w:val="18"/>
        </w:rPr>
        <w:tab/>
      </w:r>
      <w:r w:rsidRPr="003122A7">
        <w:rPr>
          <w:rFonts w:ascii="Arial" w:hAnsi="Arial" w:cs="Arial"/>
          <w:color w:val="000000"/>
          <w:sz w:val="18"/>
          <w:szCs w:val="18"/>
        </w:rPr>
        <w:t>We obtained an understanding of the legal and regulatory frameworks that are applicable to the Police and Crime</w:t>
      </w:r>
      <w:r>
        <w:rPr>
          <w:rFonts w:ascii="Arial" w:hAnsi="Arial" w:cs="Arial"/>
          <w:color w:val="000000"/>
          <w:sz w:val="18"/>
          <w:szCs w:val="18"/>
        </w:rPr>
        <w:tab/>
      </w:r>
      <w:r>
        <w:rPr>
          <w:rFonts w:ascii="Arial" w:hAnsi="Arial" w:cs="Arial"/>
          <w:color w:val="000000"/>
          <w:sz w:val="18"/>
          <w:szCs w:val="18"/>
        </w:rPr>
        <w:tab/>
      </w:r>
      <w:r w:rsidRPr="003122A7">
        <w:rPr>
          <w:rFonts w:ascii="Arial" w:hAnsi="Arial" w:cs="Arial"/>
          <w:color w:val="000000"/>
          <w:sz w:val="18"/>
          <w:szCs w:val="18"/>
        </w:rPr>
        <w:t xml:space="preserve"> Commissioner and the group and determined that the most significant which are directly relevant to specific assertions in</w:t>
      </w:r>
      <w:r>
        <w:rPr>
          <w:rFonts w:ascii="Arial" w:hAnsi="Arial" w:cs="Arial"/>
          <w:color w:val="000000"/>
          <w:sz w:val="18"/>
          <w:szCs w:val="18"/>
        </w:rPr>
        <w:tab/>
      </w:r>
      <w:r w:rsidRPr="003122A7">
        <w:rPr>
          <w:rFonts w:ascii="Arial" w:hAnsi="Arial" w:cs="Arial"/>
          <w:color w:val="000000"/>
          <w:sz w:val="18"/>
          <w:szCs w:val="18"/>
        </w:rPr>
        <w:t xml:space="preserve"> the financial statements are those related to the reporting frameworks (the CIPFA/LASAAC Code of Practice on Local</w:t>
      </w:r>
      <w:r>
        <w:rPr>
          <w:rFonts w:ascii="Arial" w:hAnsi="Arial" w:cs="Arial"/>
          <w:color w:val="000000"/>
          <w:sz w:val="18"/>
          <w:szCs w:val="18"/>
        </w:rPr>
        <w:tab/>
      </w:r>
      <w:r w:rsidRPr="003122A7">
        <w:rPr>
          <w:rFonts w:ascii="Arial" w:hAnsi="Arial" w:cs="Arial"/>
          <w:color w:val="000000"/>
          <w:sz w:val="18"/>
          <w:szCs w:val="18"/>
        </w:rPr>
        <w:t xml:space="preserve"> Authority Accounting in the United Kingdom 2024/25, the Local Audit and Accountability Act 2014, the Accounts and Audit</w:t>
      </w:r>
      <w:r>
        <w:rPr>
          <w:rFonts w:ascii="Arial" w:hAnsi="Arial" w:cs="Arial"/>
          <w:color w:val="000000"/>
          <w:sz w:val="18"/>
          <w:szCs w:val="18"/>
        </w:rPr>
        <w:tab/>
      </w:r>
      <w:r w:rsidRPr="003122A7">
        <w:rPr>
          <w:rFonts w:ascii="Arial" w:hAnsi="Arial" w:cs="Arial"/>
          <w:color w:val="000000"/>
          <w:sz w:val="18"/>
          <w:szCs w:val="18"/>
        </w:rPr>
        <w:t xml:space="preserve"> Regulations 2015, the Accounts and Audit (Amendment) Regulations 2024, the Local Government Act 2003, the Police</w:t>
      </w:r>
      <w:r>
        <w:rPr>
          <w:rFonts w:ascii="Arial" w:hAnsi="Arial" w:cs="Arial"/>
          <w:color w:val="000000"/>
          <w:sz w:val="18"/>
          <w:szCs w:val="18"/>
        </w:rPr>
        <w:tab/>
      </w:r>
      <w:r w:rsidRPr="003122A7">
        <w:rPr>
          <w:rFonts w:ascii="Arial" w:hAnsi="Arial" w:cs="Arial"/>
          <w:color w:val="000000"/>
          <w:sz w:val="18"/>
          <w:szCs w:val="18"/>
        </w:rPr>
        <w:t xml:space="preserve"> Reform and Social Responsibility Act 2011, the Public Service Pensions Act 2013, the Police Pension Fund Regulations</w:t>
      </w:r>
      <w:r>
        <w:rPr>
          <w:rFonts w:ascii="Arial" w:hAnsi="Arial" w:cs="Arial"/>
          <w:color w:val="000000"/>
          <w:sz w:val="18"/>
          <w:szCs w:val="18"/>
        </w:rPr>
        <w:tab/>
      </w:r>
      <w:r w:rsidRPr="003122A7">
        <w:rPr>
          <w:rFonts w:ascii="Arial" w:hAnsi="Arial" w:cs="Arial"/>
          <w:color w:val="000000"/>
          <w:sz w:val="18"/>
          <w:szCs w:val="18"/>
        </w:rPr>
        <w:t xml:space="preserve"> 2006 and the Police Pensions Regulations 2015). </w:t>
      </w:r>
    </w:p>
    <w:p w14:paraId="0F952765" w14:textId="6A757779" w:rsidR="003122A7" w:rsidRPr="003122A7" w:rsidRDefault="003122A7" w:rsidP="003122A7">
      <w:pPr>
        <w:numPr>
          <w:ilvl w:val="0"/>
          <w:numId w:val="61"/>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We enquired of management and the Police and Crime Commissioner concerning the Police and Crime Commissioner</w:t>
      </w:r>
      <w:r>
        <w:rPr>
          <w:rFonts w:ascii="Arial" w:hAnsi="Arial" w:cs="Arial"/>
          <w:color w:val="000000"/>
          <w:sz w:val="18"/>
          <w:szCs w:val="18"/>
        </w:rPr>
        <w:tab/>
      </w:r>
      <w:r w:rsidRPr="003122A7">
        <w:rPr>
          <w:rFonts w:ascii="Arial" w:hAnsi="Arial" w:cs="Arial"/>
          <w:color w:val="000000"/>
          <w:sz w:val="18"/>
          <w:szCs w:val="18"/>
        </w:rPr>
        <w:t xml:space="preserve"> and group’s policies and procedures relating to: </w:t>
      </w:r>
    </w:p>
    <w:p w14:paraId="681508E2" w14:textId="77777777" w:rsidR="003122A7" w:rsidRPr="003122A7" w:rsidRDefault="003122A7" w:rsidP="003122A7">
      <w:pPr>
        <w:numPr>
          <w:ilvl w:val="0"/>
          <w:numId w:val="61"/>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 xml:space="preserve">the identification, evaluation and compliance with laws and regulations; </w:t>
      </w:r>
    </w:p>
    <w:p w14:paraId="0A02B2FA" w14:textId="77777777" w:rsidR="003122A7" w:rsidRPr="003122A7" w:rsidRDefault="003122A7" w:rsidP="003122A7">
      <w:pPr>
        <w:numPr>
          <w:ilvl w:val="0"/>
          <w:numId w:val="61"/>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 xml:space="preserve">the detection and response to the risks of fraud; and </w:t>
      </w:r>
    </w:p>
    <w:p w14:paraId="2498D160" w14:textId="77777777" w:rsidR="003122A7" w:rsidRPr="003122A7" w:rsidRDefault="003122A7" w:rsidP="003122A7">
      <w:pPr>
        <w:numPr>
          <w:ilvl w:val="0"/>
          <w:numId w:val="61"/>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 xml:space="preserve">the establishment of internal controls to mitigate risks related to fraud or non-compliance with laws and regulations. </w:t>
      </w:r>
    </w:p>
    <w:p w14:paraId="15A51E54" w14:textId="4FA44ADF" w:rsidR="003122A7" w:rsidRPr="003122A7" w:rsidRDefault="003122A7" w:rsidP="003122A7">
      <w:pPr>
        <w:numPr>
          <w:ilvl w:val="0"/>
          <w:numId w:val="61"/>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We enquired of management, internal audit and the Police and Crime Commissioner whether they were aware of any</w:t>
      </w:r>
      <w:r>
        <w:rPr>
          <w:rFonts w:ascii="Arial" w:hAnsi="Arial" w:cs="Arial"/>
          <w:color w:val="000000"/>
          <w:sz w:val="18"/>
          <w:szCs w:val="18"/>
        </w:rPr>
        <w:tab/>
      </w:r>
      <w:r>
        <w:rPr>
          <w:rFonts w:ascii="Arial" w:hAnsi="Arial" w:cs="Arial"/>
          <w:color w:val="000000"/>
          <w:sz w:val="18"/>
          <w:szCs w:val="18"/>
        </w:rPr>
        <w:tab/>
      </w:r>
      <w:r w:rsidRPr="003122A7">
        <w:rPr>
          <w:rFonts w:ascii="Arial" w:hAnsi="Arial" w:cs="Arial"/>
          <w:color w:val="000000"/>
          <w:sz w:val="18"/>
          <w:szCs w:val="18"/>
        </w:rPr>
        <w:t xml:space="preserve"> instances of non-compliance with laws and regulations or whether they had any knowledge of actual, suspected or </w:t>
      </w:r>
      <w:r>
        <w:rPr>
          <w:rFonts w:ascii="Arial" w:hAnsi="Arial" w:cs="Arial"/>
          <w:color w:val="000000"/>
          <w:sz w:val="18"/>
          <w:szCs w:val="18"/>
        </w:rPr>
        <w:tab/>
      </w:r>
      <w:r w:rsidRPr="003122A7">
        <w:rPr>
          <w:rFonts w:ascii="Arial" w:hAnsi="Arial" w:cs="Arial"/>
          <w:color w:val="000000"/>
          <w:sz w:val="18"/>
          <w:szCs w:val="18"/>
        </w:rPr>
        <w:t xml:space="preserve">alleged fraud. </w:t>
      </w:r>
    </w:p>
    <w:p w14:paraId="7A8936CE" w14:textId="0779EEF8" w:rsidR="003122A7" w:rsidRDefault="003122A7" w:rsidP="003122A7">
      <w:pPr>
        <w:numPr>
          <w:ilvl w:val="0"/>
          <w:numId w:val="61"/>
        </w:num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assessed the susceptibility of the Police and Crime Commissioner and group’s financial statements to material </w:t>
      </w:r>
      <w:r>
        <w:rPr>
          <w:rFonts w:ascii="Arial" w:hAnsi="Arial" w:cs="Arial"/>
          <w:color w:val="000000"/>
          <w:sz w:val="18"/>
          <w:szCs w:val="18"/>
        </w:rPr>
        <w:tab/>
      </w:r>
      <w:r w:rsidRPr="003122A7">
        <w:rPr>
          <w:rFonts w:ascii="Arial" w:hAnsi="Arial" w:cs="Arial"/>
          <w:color w:val="000000"/>
          <w:sz w:val="18"/>
          <w:szCs w:val="18"/>
        </w:rPr>
        <w:t>misstatement, including how fraud might occur, by evaluating management’s incentives and opportunities for manipulation</w:t>
      </w:r>
      <w:r>
        <w:rPr>
          <w:rFonts w:ascii="Arial" w:hAnsi="Arial" w:cs="Arial"/>
          <w:color w:val="000000"/>
          <w:sz w:val="18"/>
          <w:szCs w:val="18"/>
        </w:rPr>
        <w:tab/>
      </w:r>
      <w:r w:rsidRPr="003122A7">
        <w:rPr>
          <w:rFonts w:ascii="Arial" w:hAnsi="Arial" w:cs="Arial"/>
          <w:color w:val="000000"/>
          <w:sz w:val="18"/>
          <w:szCs w:val="18"/>
        </w:rPr>
        <w:t>of the financial statements. This included the evaluation of the risk of management override of controls. We determined</w:t>
      </w:r>
      <w:r>
        <w:rPr>
          <w:rFonts w:ascii="Arial" w:hAnsi="Arial" w:cs="Arial"/>
          <w:color w:val="000000"/>
          <w:sz w:val="18"/>
          <w:szCs w:val="18"/>
        </w:rPr>
        <w:tab/>
      </w:r>
      <w:r w:rsidRPr="003122A7">
        <w:rPr>
          <w:rFonts w:ascii="Arial" w:hAnsi="Arial" w:cs="Arial"/>
          <w:color w:val="000000"/>
          <w:sz w:val="18"/>
          <w:szCs w:val="18"/>
        </w:rPr>
        <w:t xml:space="preserve">that the principal risks were in relation to management override of controls through inappropriate journal entries. </w:t>
      </w:r>
    </w:p>
    <w:p w14:paraId="05ABC147" w14:textId="77777777" w:rsidR="003122A7" w:rsidRPr="003122A7" w:rsidRDefault="003122A7" w:rsidP="003122A7">
      <w:pPr>
        <w:autoSpaceDE w:val="0"/>
        <w:autoSpaceDN w:val="0"/>
        <w:adjustRightInd w:val="0"/>
        <w:rPr>
          <w:rFonts w:ascii="Arial" w:hAnsi="Arial" w:cs="Arial"/>
          <w:color w:val="000000"/>
          <w:sz w:val="18"/>
          <w:szCs w:val="18"/>
        </w:rPr>
      </w:pPr>
    </w:p>
    <w:p w14:paraId="0AD6FDF6" w14:textId="77777777"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 xml:space="preserve">Our audit procedures involved: </w:t>
      </w:r>
    </w:p>
    <w:p w14:paraId="74D98767" w14:textId="77777777"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 xml:space="preserve">evaluation of the design effectiveness of controls that management has in place to prevent and detect fraud; </w:t>
      </w:r>
    </w:p>
    <w:p w14:paraId="582C6DBB" w14:textId="38FF519F"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 xml:space="preserve">journal entry testing, with a focus on non-routine transactions and journals falling within identified risk criteria </w:t>
      </w:r>
      <w:proofErr w:type="gramStart"/>
      <w:r w:rsidRPr="003122A7">
        <w:rPr>
          <w:rFonts w:ascii="Arial" w:hAnsi="Arial" w:cs="Arial"/>
          <w:color w:val="000000"/>
          <w:sz w:val="18"/>
          <w:szCs w:val="18"/>
        </w:rPr>
        <w:t>including:</w:t>
      </w:r>
      <w:proofErr w:type="gramEnd"/>
      <w:r>
        <w:rPr>
          <w:rFonts w:ascii="Arial" w:hAnsi="Arial" w:cs="Arial"/>
          <w:color w:val="000000"/>
          <w:sz w:val="18"/>
          <w:szCs w:val="18"/>
        </w:rPr>
        <w:tab/>
      </w:r>
      <w:r w:rsidRPr="003122A7">
        <w:rPr>
          <w:rFonts w:ascii="Arial" w:hAnsi="Arial" w:cs="Arial"/>
          <w:color w:val="000000"/>
          <w:sz w:val="18"/>
          <w:szCs w:val="18"/>
        </w:rPr>
        <w:t>journals posted by senior management or users with administrative system access rights, material journals, year-end</w:t>
      </w:r>
      <w:r>
        <w:rPr>
          <w:rFonts w:ascii="Arial" w:hAnsi="Arial" w:cs="Arial"/>
          <w:color w:val="000000"/>
          <w:sz w:val="18"/>
          <w:szCs w:val="18"/>
        </w:rPr>
        <w:tab/>
      </w:r>
      <w:r w:rsidRPr="003122A7">
        <w:rPr>
          <w:rFonts w:ascii="Arial" w:hAnsi="Arial" w:cs="Arial"/>
          <w:color w:val="000000"/>
          <w:sz w:val="18"/>
          <w:szCs w:val="18"/>
        </w:rPr>
        <w:t xml:space="preserve">journals, journals reducing expenditure at the year-end and journals posted </w:t>
      </w:r>
      <w:proofErr w:type="gramStart"/>
      <w:r w:rsidRPr="003122A7">
        <w:rPr>
          <w:rFonts w:ascii="Arial" w:hAnsi="Arial" w:cs="Arial"/>
          <w:color w:val="000000"/>
          <w:sz w:val="18"/>
          <w:szCs w:val="18"/>
        </w:rPr>
        <w:t>in the course of</w:t>
      </w:r>
      <w:proofErr w:type="gramEnd"/>
      <w:r w:rsidRPr="003122A7">
        <w:rPr>
          <w:rFonts w:ascii="Arial" w:hAnsi="Arial" w:cs="Arial"/>
          <w:color w:val="000000"/>
          <w:sz w:val="18"/>
          <w:szCs w:val="18"/>
        </w:rPr>
        <w:t xml:space="preserve"> preparing the financial</w:t>
      </w:r>
      <w:r>
        <w:rPr>
          <w:rFonts w:ascii="Arial" w:hAnsi="Arial" w:cs="Arial"/>
          <w:color w:val="000000"/>
          <w:sz w:val="18"/>
          <w:szCs w:val="18"/>
        </w:rPr>
        <w:tab/>
      </w:r>
      <w:r>
        <w:rPr>
          <w:rFonts w:ascii="Arial" w:hAnsi="Arial" w:cs="Arial"/>
          <w:color w:val="000000"/>
          <w:sz w:val="18"/>
          <w:szCs w:val="18"/>
        </w:rPr>
        <w:tab/>
      </w:r>
      <w:r w:rsidRPr="003122A7">
        <w:rPr>
          <w:rFonts w:ascii="Arial" w:hAnsi="Arial" w:cs="Arial"/>
          <w:color w:val="000000"/>
          <w:sz w:val="18"/>
          <w:szCs w:val="18"/>
        </w:rPr>
        <w:t xml:space="preserve">statements after 31 March 2025; </w:t>
      </w:r>
    </w:p>
    <w:p w14:paraId="3B7A8DC1" w14:textId="176B377E"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challenging assumptions and judgements made by management in its significant accounting estimates in respect of land</w:t>
      </w:r>
      <w:r>
        <w:rPr>
          <w:rFonts w:ascii="Arial" w:hAnsi="Arial" w:cs="Arial"/>
          <w:color w:val="000000"/>
          <w:sz w:val="18"/>
          <w:szCs w:val="18"/>
        </w:rPr>
        <w:tab/>
      </w:r>
      <w:r w:rsidRPr="003122A7">
        <w:rPr>
          <w:rFonts w:ascii="Arial" w:hAnsi="Arial" w:cs="Arial"/>
          <w:color w:val="000000"/>
          <w:sz w:val="18"/>
          <w:szCs w:val="18"/>
        </w:rPr>
        <w:t xml:space="preserve">and buildings valuations and the net pension asset or liability, and </w:t>
      </w:r>
    </w:p>
    <w:p w14:paraId="679CF163" w14:textId="7489E6A0" w:rsidR="00E1307E"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 xml:space="preserve">assessing the extent of compliance with the relevant laws and regulations as part of our procedures on the related </w:t>
      </w:r>
      <w:r>
        <w:rPr>
          <w:rFonts w:ascii="Arial" w:hAnsi="Arial" w:cs="Arial"/>
          <w:color w:val="000000"/>
          <w:sz w:val="18"/>
          <w:szCs w:val="18"/>
        </w:rPr>
        <w:tab/>
      </w:r>
      <w:r w:rsidRPr="003122A7">
        <w:rPr>
          <w:rFonts w:ascii="Arial" w:hAnsi="Arial" w:cs="Arial"/>
          <w:color w:val="000000"/>
          <w:sz w:val="18"/>
          <w:szCs w:val="18"/>
        </w:rPr>
        <w:t xml:space="preserve">financial statement item. </w:t>
      </w:r>
    </w:p>
    <w:p w14:paraId="69617DE9" w14:textId="77777777" w:rsidR="00E1307E" w:rsidRDefault="00E1307E">
      <w:pPr>
        <w:rPr>
          <w:rFonts w:ascii="Arial" w:hAnsi="Arial" w:cs="Arial"/>
          <w:color w:val="000000"/>
          <w:sz w:val="18"/>
          <w:szCs w:val="18"/>
        </w:rPr>
      </w:pPr>
      <w:r>
        <w:rPr>
          <w:rFonts w:ascii="Arial" w:hAnsi="Arial" w:cs="Arial"/>
          <w:color w:val="000000"/>
          <w:sz w:val="18"/>
          <w:szCs w:val="18"/>
        </w:rPr>
        <w:br w:type="page"/>
      </w:r>
    </w:p>
    <w:p w14:paraId="35576351" w14:textId="77777777"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p>
    <w:p w14:paraId="0AE55FB9" w14:textId="6CBF26C9"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These audit procedures were designed to provide reasonable assurance that the financial statements were free from fraud</w:t>
      </w:r>
      <w:r>
        <w:rPr>
          <w:rFonts w:ascii="Arial" w:hAnsi="Arial" w:cs="Arial"/>
          <w:color w:val="000000"/>
          <w:sz w:val="18"/>
          <w:szCs w:val="18"/>
        </w:rPr>
        <w:tab/>
      </w:r>
      <w:r w:rsidRPr="003122A7">
        <w:rPr>
          <w:rFonts w:ascii="Arial" w:hAnsi="Arial" w:cs="Arial"/>
          <w:color w:val="000000"/>
          <w:sz w:val="18"/>
          <w:szCs w:val="18"/>
        </w:rPr>
        <w:t>or error. The risk of not detecting a material misstatement due to fraud is higher than the risk of not detecting one resulting</w:t>
      </w:r>
      <w:r>
        <w:rPr>
          <w:rFonts w:ascii="Arial" w:hAnsi="Arial" w:cs="Arial"/>
          <w:color w:val="000000"/>
          <w:sz w:val="18"/>
          <w:szCs w:val="18"/>
        </w:rPr>
        <w:tab/>
      </w:r>
      <w:r w:rsidRPr="003122A7">
        <w:rPr>
          <w:rFonts w:ascii="Arial" w:hAnsi="Arial" w:cs="Arial"/>
          <w:color w:val="000000"/>
          <w:sz w:val="18"/>
          <w:szCs w:val="18"/>
        </w:rPr>
        <w:t>from error and detecting irregularities that result from fraud is inherently more difficult than detecting those that result from</w:t>
      </w:r>
      <w:r>
        <w:rPr>
          <w:rFonts w:ascii="Arial" w:hAnsi="Arial" w:cs="Arial"/>
          <w:color w:val="000000"/>
          <w:sz w:val="18"/>
          <w:szCs w:val="18"/>
        </w:rPr>
        <w:tab/>
      </w:r>
      <w:r w:rsidRPr="003122A7">
        <w:rPr>
          <w:rFonts w:ascii="Arial" w:hAnsi="Arial" w:cs="Arial"/>
          <w:color w:val="000000"/>
          <w:sz w:val="18"/>
          <w:szCs w:val="18"/>
        </w:rPr>
        <w:t>error, as fraud may involve collusion, deliberate concealment, forgery or intentional misrepresentations. Also, the further</w:t>
      </w:r>
      <w:r>
        <w:rPr>
          <w:rFonts w:ascii="Arial" w:hAnsi="Arial" w:cs="Arial"/>
          <w:color w:val="000000"/>
          <w:sz w:val="18"/>
          <w:szCs w:val="18"/>
        </w:rPr>
        <w:tab/>
      </w:r>
      <w:r w:rsidRPr="003122A7">
        <w:rPr>
          <w:rFonts w:ascii="Arial" w:hAnsi="Arial" w:cs="Arial"/>
          <w:color w:val="000000"/>
          <w:sz w:val="18"/>
          <w:szCs w:val="18"/>
        </w:rPr>
        <w:t xml:space="preserve">removed non-compliance with laws and regulations is from events and transactions reflected in the financial statements, </w:t>
      </w:r>
      <w:r>
        <w:rPr>
          <w:rFonts w:ascii="Arial" w:hAnsi="Arial" w:cs="Arial"/>
          <w:color w:val="000000"/>
          <w:sz w:val="18"/>
          <w:szCs w:val="18"/>
        </w:rPr>
        <w:tab/>
      </w:r>
      <w:r w:rsidRPr="003122A7">
        <w:rPr>
          <w:rFonts w:ascii="Arial" w:hAnsi="Arial" w:cs="Arial"/>
          <w:color w:val="000000"/>
          <w:sz w:val="18"/>
          <w:szCs w:val="18"/>
        </w:rPr>
        <w:t xml:space="preserve">the less likely we would become aware of it. </w:t>
      </w:r>
    </w:p>
    <w:p w14:paraId="1C96003F" w14:textId="4FD8B78C"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We communicated relevant laws and regulations and potential fraud risks to all engagement team members, including</w:t>
      </w:r>
      <w:r>
        <w:rPr>
          <w:rFonts w:ascii="Arial" w:hAnsi="Arial" w:cs="Arial"/>
          <w:color w:val="000000"/>
          <w:sz w:val="18"/>
          <w:szCs w:val="18"/>
        </w:rPr>
        <w:tab/>
      </w:r>
      <w:r w:rsidRPr="003122A7">
        <w:rPr>
          <w:rFonts w:ascii="Arial" w:hAnsi="Arial" w:cs="Arial"/>
          <w:color w:val="000000"/>
          <w:sz w:val="18"/>
          <w:szCs w:val="18"/>
        </w:rPr>
        <w:t>risks relating to management override of controls. We remained alert to any indications of non-compliance with laws and</w:t>
      </w:r>
      <w:r>
        <w:rPr>
          <w:rFonts w:ascii="Arial" w:hAnsi="Arial" w:cs="Arial"/>
          <w:color w:val="000000"/>
          <w:sz w:val="18"/>
          <w:szCs w:val="18"/>
        </w:rPr>
        <w:tab/>
      </w:r>
      <w:r w:rsidRPr="003122A7">
        <w:rPr>
          <w:rFonts w:ascii="Arial" w:hAnsi="Arial" w:cs="Arial"/>
          <w:color w:val="000000"/>
          <w:sz w:val="18"/>
          <w:szCs w:val="18"/>
        </w:rPr>
        <w:t xml:space="preserve">regulations, including fraud, throughout the audit. </w:t>
      </w:r>
    </w:p>
    <w:p w14:paraId="419421AA" w14:textId="3748BF63"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The engagement partner’s assessment of the collective competence and capabilities of the group audit team members</w:t>
      </w:r>
      <w:r>
        <w:rPr>
          <w:rFonts w:ascii="Arial" w:hAnsi="Arial" w:cs="Arial"/>
          <w:color w:val="000000"/>
          <w:sz w:val="18"/>
          <w:szCs w:val="18"/>
        </w:rPr>
        <w:tab/>
      </w:r>
      <w:r w:rsidRPr="003122A7">
        <w:rPr>
          <w:rFonts w:ascii="Arial" w:hAnsi="Arial" w:cs="Arial"/>
          <w:color w:val="000000"/>
          <w:sz w:val="18"/>
          <w:szCs w:val="18"/>
        </w:rPr>
        <w:t xml:space="preserve">included consideration of: </w:t>
      </w:r>
    </w:p>
    <w:p w14:paraId="6ADC5A1C" w14:textId="7CE30ADC" w:rsidR="003122A7" w:rsidRPr="003122A7" w:rsidRDefault="003122A7" w:rsidP="003122A7">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understanding of, and practical experience with audit engagements of a similar nature and complexity through appropriate</w:t>
      </w:r>
      <w:r>
        <w:rPr>
          <w:rFonts w:ascii="Arial" w:hAnsi="Arial" w:cs="Arial"/>
          <w:color w:val="000000"/>
          <w:sz w:val="18"/>
          <w:szCs w:val="18"/>
        </w:rPr>
        <w:tab/>
      </w:r>
      <w:r w:rsidRPr="003122A7">
        <w:rPr>
          <w:rFonts w:ascii="Arial" w:hAnsi="Arial" w:cs="Arial"/>
          <w:color w:val="000000"/>
          <w:sz w:val="18"/>
          <w:szCs w:val="18"/>
        </w:rPr>
        <w:t xml:space="preserve"> training and participation </w:t>
      </w:r>
    </w:p>
    <w:p w14:paraId="39927DEB" w14:textId="77777777" w:rsidR="00C457C9" w:rsidRDefault="003122A7" w:rsidP="00C457C9">
      <w:pPr>
        <w:numPr>
          <w:ilvl w:val="0"/>
          <w:numId w:val="62"/>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 xml:space="preserve">knowledge of the police sector </w:t>
      </w:r>
    </w:p>
    <w:p w14:paraId="38665231" w14:textId="23B3B69B" w:rsidR="003122A7" w:rsidRDefault="003122A7" w:rsidP="00C457C9">
      <w:pPr>
        <w:pStyle w:val="ListParagraph"/>
        <w:numPr>
          <w:ilvl w:val="0"/>
          <w:numId w:val="3"/>
        </w:numPr>
        <w:autoSpaceDE w:val="0"/>
        <w:autoSpaceDN w:val="0"/>
        <w:adjustRightInd w:val="0"/>
        <w:spacing w:after="160"/>
        <w:rPr>
          <w:rFonts w:ascii="Arial" w:hAnsi="Arial" w:cs="Arial"/>
          <w:color w:val="000000"/>
          <w:sz w:val="18"/>
          <w:szCs w:val="18"/>
        </w:rPr>
      </w:pPr>
      <w:r w:rsidRPr="00C457C9">
        <w:rPr>
          <w:rFonts w:ascii="Arial" w:hAnsi="Arial" w:cs="Arial"/>
          <w:color w:val="000000"/>
          <w:sz w:val="18"/>
          <w:szCs w:val="18"/>
        </w:rPr>
        <w:t xml:space="preserve">understanding of the legal and regulatory requirements specific to the Police and Crime Commissioner and group including: the provisions of the applicable legislation </w:t>
      </w:r>
    </w:p>
    <w:p w14:paraId="4CE51B0B" w14:textId="23E13183" w:rsidR="00C457C9" w:rsidRDefault="00C457C9" w:rsidP="00C457C9">
      <w:pPr>
        <w:pStyle w:val="ListParagraph"/>
        <w:numPr>
          <w:ilvl w:val="0"/>
          <w:numId w:val="3"/>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guidance issued by CIPFA/LASAAC and SOLACE</w:t>
      </w:r>
    </w:p>
    <w:p w14:paraId="3F6B6C35" w14:textId="3D4139DA" w:rsidR="00C457C9" w:rsidRDefault="00C457C9" w:rsidP="00C457C9">
      <w:pPr>
        <w:pStyle w:val="ListParagraph"/>
        <w:numPr>
          <w:ilvl w:val="0"/>
          <w:numId w:val="3"/>
        </w:numPr>
        <w:autoSpaceDE w:val="0"/>
        <w:autoSpaceDN w:val="0"/>
        <w:adjustRightInd w:val="0"/>
        <w:spacing w:after="160"/>
        <w:rPr>
          <w:rFonts w:ascii="Arial" w:hAnsi="Arial" w:cs="Arial"/>
          <w:color w:val="000000"/>
          <w:sz w:val="18"/>
          <w:szCs w:val="18"/>
        </w:rPr>
      </w:pPr>
      <w:r w:rsidRPr="003122A7">
        <w:rPr>
          <w:rFonts w:ascii="Arial" w:hAnsi="Arial" w:cs="Arial"/>
          <w:color w:val="000000"/>
          <w:sz w:val="18"/>
          <w:szCs w:val="18"/>
        </w:rPr>
        <w:t>the applicable statutory provisions</w:t>
      </w:r>
    </w:p>
    <w:p w14:paraId="3BCA5E57" w14:textId="343C3B21" w:rsidR="00C457C9" w:rsidRDefault="00C457C9" w:rsidP="00C457C9">
      <w:pPr>
        <w:numPr>
          <w:ilvl w:val="0"/>
          <w:numId w:val="62"/>
        </w:numPr>
        <w:autoSpaceDE w:val="0"/>
        <w:autoSpaceDN w:val="0"/>
        <w:adjustRightInd w:val="0"/>
        <w:spacing w:after="160"/>
        <w:rPr>
          <w:rFonts w:ascii="Arial" w:hAnsi="Arial" w:cs="Arial"/>
          <w:color w:val="000000"/>
          <w:sz w:val="18"/>
          <w:szCs w:val="18"/>
        </w:rPr>
      </w:pPr>
      <w:r>
        <w:rPr>
          <w:rFonts w:ascii="Arial" w:hAnsi="Arial" w:cs="Arial"/>
          <w:color w:val="000000"/>
          <w:sz w:val="18"/>
          <w:szCs w:val="18"/>
        </w:rPr>
        <w:t>In assessing the</w:t>
      </w:r>
      <w:r w:rsidRPr="00C457C9">
        <w:t xml:space="preserve"> </w:t>
      </w:r>
      <w:r w:rsidRPr="00C457C9">
        <w:rPr>
          <w:rFonts w:ascii="Arial" w:hAnsi="Arial" w:cs="Arial"/>
          <w:color w:val="000000"/>
          <w:sz w:val="18"/>
          <w:szCs w:val="18"/>
        </w:rPr>
        <w:t>potential risks of material misstatement, we obtained an understanding of:</w:t>
      </w:r>
      <w:r>
        <w:rPr>
          <w:rFonts w:ascii="Arial" w:hAnsi="Arial" w:cs="Arial"/>
          <w:color w:val="000000"/>
          <w:sz w:val="18"/>
          <w:szCs w:val="18"/>
        </w:rPr>
        <w:t xml:space="preserve"> </w:t>
      </w:r>
    </w:p>
    <w:p w14:paraId="00832110" w14:textId="455AFA6D" w:rsidR="003122A7" w:rsidRPr="003122A7" w:rsidRDefault="00C457C9" w:rsidP="00670669">
      <w:pPr>
        <w:numPr>
          <w:ilvl w:val="7"/>
          <w:numId w:val="62"/>
        </w:numPr>
        <w:autoSpaceDE w:val="0"/>
        <w:autoSpaceDN w:val="0"/>
        <w:adjustRightInd w:val="0"/>
        <w:rPr>
          <w:rFonts w:ascii="Arial" w:hAnsi="Arial" w:cs="Arial"/>
          <w:color w:val="000000"/>
          <w:sz w:val="18"/>
          <w:szCs w:val="18"/>
        </w:rPr>
      </w:pPr>
      <w:r w:rsidRPr="00C457C9">
        <w:rPr>
          <w:rFonts w:ascii="Arial" w:hAnsi="Arial" w:cs="Arial"/>
          <w:color w:val="000000"/>
          <w:sz w:val="18"/>
          <w:szCs w:val="18"/>
        </w:rPr>
        <w:tab/>
        <w:t>-</w:t>
      </w:r>
      <w:r w:rsidRPr="00C457C9">
        <w:rPr>
          <w:rFonts w:ascii="Arial" w:hAnsi="Arial" w:cs="Arial"/>
          <w:color w:val="000000"/>
          <w:sz w:val="18"/>
          <w:szCs w:val="18"/>
        </w:rPr>
        <w:tab/>
      </w:r>
      <w:r w:rsidR="003122A7" w:rsidRPr="003122A7">
        <w:rPr>
          <w:rFonts w:ascii="Arial" w:hAnsi="Arial" w:cs="Arial"/>
          <w:color w:val="000000"/>
          <w:sz w:val="18"/>
          <w:szCs w:val="18"/>
        </w:rPr>
        <w:t>the Police and Crime Commissioner and group’s operations, including the nature of its income and expenditure</w:t>
      </w:r>
      <w:r w:rsidRPr="00C457C9">
        <w:rPr>
          <w:rFonts w:ascii="Arial" w:hAnsi="Arial" w:cs="Arial"/>
          <w:color w:val="000000"/>
          <w:sz w:val="18"/>
          <w:szCs w:val="18"/>
        </w:rPr>
        <w:tab/>
      </w:r>
      <w:r w:rsidRPr="00C457C9">
        <w:rPr>
          <w:rFonts w:ascii="Arial" w:hAnsi="Arial" w:cs="Arial"/>
          <w:color w:val="000000"/>
          <w:sz w:val="18"/>
          <w:szCs w:val="18"/>
        </w:rPr>
        <w:tab/>
      </w:r>
      <w:r w:rsidR="003122A7" w:rsidRPr="003122A7">
        <w:rPr>
          <w:rFonts w:ascii="Arial" w:hAnsi="Arial" w:cs="Arial"/>
          <w:color w:val="000000"/>
          <w:sz w:val="18"/>
          <w:szCs w:val="18"/>
        </w:rPr>
        <w:t>and its services and of its objectives and strategies to understand the classes of transactions, account balances,</w:t>
      </w:r>
      <w:r w:rsidRPr="00C457C9">
        <w:rPr>
          <w:rFonts w:ascii="Arial" w:hAnsi="Arial" w:cs="Arial"/>
          <w:color w:val="000000"/>
          <w:sz w:val="18"/>
          <w:szCs w:val="18"/>
        </w:rPr>
        <w:tab/>
      </w:r>
      <w:r w:rsidRPr="00C457C9">
        <w:rPr>
          <w:rFonts w:ascii="Arial" w:hAnsi="Arial" w:cs="Arial"/>
          <w:color w:val="000000"/>
          <w:sz w:val="18"/>
          <w:szCs w:val="18"/>
        </w:rPr>
        <w:tab/>
      </w:r>
      <w:r w:rsidR="003122A7" w:rsidRPr="003122A7">
        <w:rPr>
          <w:rFonts w:ascii="Arial" w:hAnsi="Arial" w:cs="Arial"/>
          <w:color w:val="000000"/>
          <w:sz w:val="18"/>
          <w:szCs w:val="18"/>
        </w:rPr>
        <w:t>expected financial statement disclosures and business risks that may result in risks of material misstatement.</w:t>
      </w:r>
      <w:r>
        <w:rPr>
          <w:rFonts w:ascii="Arial" w:hAnsi="Arial" w:cs="Arial"/>
          <w:color w:val="000000"/>
          <w:sz w:val="18"/>
          <w:szCs w:val="18"/>
        </w:rPr>
        <w:tab/>
        <w:t>-</w:t>
      </w:r>
      <w:r>
        <w:rPr>
          <w:rFonts w:ascii="Arial" w:hAnsi="Arial" w:cs="Arial"/>
          <w:color w:val="000000"/>
          <w:sz w:val="18"/>
          <w:szCs w:val="18"/>
        </w:rPr>
        <w:tab/>
        <w:t>t</w:t>
      </w:r>
      <w:r w:rsidR="003122A7" w:rsidRPr="003122A7">
        <w:rPr>
          <w:rFonts w:ascii="Arial" w:hAnsi="Arial" w:cs="Arial"/>
          <w:color w:val="000000"/>
          <w:sz w:val="18"/>
          <w:szCs w:val="18"/>
        </w:rPr>
        <w:t>he Police and Crime Commissioner and group's control environment, including the policies and procedures</w:t>
      </w:r>
      <w:r>
        <w:rPr>
          <w:rFonts w:ascii="Arial" w:hAnsi="Arial" w:cs="Arial"/>
          <w:color w:val="000000"/>
          <w:sz w:val="18"/>
          <w:szCs w:val="18"/>
        </w:rPr>
        <w:tab/>
      </w:r>
      <w:r>
        <w:rPr>
          <w:rFonts w:ascii="Arial" w:hAnsi="Arial" w:cs="Arial"/>
          <w:color w:val="000000"/>
          <w:sz w:val="18"/>
          <w:szCs w:val="18"/>
        </w:rPr>
        <w:tab/>
      </w:r>
      <w:r>
        <w:rPr>
          <w:rFonts w:ascii="Arial" w:hAnsi="Arial" w:cs="Arial"/>
          <w:color w:val="000000"/>
          <w:sz w:val="18"/>
          <w:szCs w:val="18"/>
        </w:rPr>
        <w:tab/>
      </w:r>
      <w:r w:rsidR="003122A7" w:rsidRPr="003122A7">
        <w:rPr>
          <w:rFonts w:ascii="Arial" w:hAnsi="Arial" w:cs="Arial"/>
          <w:color w:val="000000"/>
          <w:sz w:val="18"/>
          <w:szCs w:val="18"/>
        </w:rPr>
        <w:t>implemented by the Police and Crime Commissioner and group to ensure compliance with the requirements of</w:t>
      </w:r>
      <w:r>
        <w:rPr>
          <w:rFonts w:ascii="Arial" w:hAnsi="Arial" w:cs="Arial"/>
          <w:color w:val="000000"/>
          <w:sz w:val="18"/>
          <w:szCs w:val="18"/>
        </w:rPr>
        <w:tab/>
      </w:r>
      <w:r>
        <w:rPr>
          <w:rFonts w:ascii="Arial" w:hAnsi="Arial" w:cs="Arial"/>
          <w:color w:val="000000"/>
          <w:sz w:val="18"/>
          <w:szCs w:val="18"/>
        </w:rPr>
        <w:tab/>
      </w:r>
      <w:r w:rsidR="003122A7" w:rsidRPr="003122A7">
        <w:rPr>
          <w:rFonts w:ascii="Arial" w:hAnsi="Arial" w:cs="Arial"/>
          <w:color w:val="000000"/>
          <w:sz w:val="18"/>
          <w:szCs w:val="18"/>
        </w:rPr>
        <w:t xml:space="preserve">the financial reporting framework. </w:t>
      </w:r>
    </w:p>
    <w:p w14:paraId="419804E8" w14:textId="77777777" w:rsidR="003122A7" w:rsidRPr="003122A7" w:rsidRDefault="003122A7" w:rsidP="003122A7">
      <w:pPr>
        <w:autoSpaceDE w:val="0"/>
        <w:autoSpaceDN w:val="0"/>
        <w:adjustRightInd w:val="0"/>
        <w:rPr>
          <w:rFonts w:ascii="Arial" w:hAnsi="Arial" w:cs="Arial"/>
          <w:color w:val="000000"/>
          <w:sz w:val="18"/>
          <w:szCs w:val="18"/>
        </w:rPr>
      </w:pPr>
    </w:p>
    <w:p w14:paraId="00010490"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A further description of our responsibilities for the audit of the financial statements is located on the Financial Reporting Council’s website at: www.frc.org.uk/auditorsresponsibilities. This description forms part of our auditor’s report. </w:t>
      </w:r>
    </w:p>
    <w:p w14:paraId="4218C3CE" w14:textId="77777777" w:rsidR="003122A7" w:rsidRPr="003122A7" w:rsidRDefault="003122A7" w:rsidP="003122A7">
      <w:pPr>
        <w:pageBreakBefore/>
        <w:autoSpaceDE w:val="0"/>
        <w:autoSpaceDN w:val="0"/>
        <w:adjustRightInd w:val="0"/>
        <w:rPr>
          <w:rFonts w:ascii="Arial" w:hAnsi="Arial" w:cs="Arial"/>
          <w:color w:val="000000"/>
          <w:sz w:val="23"/>
          <w:szCs w:val="23"/>
        </w:rPr>
      </w:pPr>
      <w:r w:rsidRPr="003122A7">
        <w:rPr>
          <w:rFonts w:ascii="Arial" w:hAnsi="Arial" w:cs="Arial"/>
          <w:b/>
          <w:bCs/>
          <w:color w:val="000000"/>
          <w:sz w:val="23"/>
          <w:szCs w:val="23"/>
        </w:rPr>
        <w:lastRenderedPageBreak/>
        <w:t xml:space="preserve">Report on other legal and regulatory requirements – the Police and Crime Commissioner’s arrangements for securing economy, efficiency and effectiveness in its use of resources </w:t>
      </w:r>
    </w:p>
    <w:p w14:paraId="73EA9983" w14:textId="77777777" w:rsidR="00C457C9" w:rsidRDefault="00C457C9" w:rsidP="003122A7">
      <w:pPr>
        <w:autoSpaceDE w:val="0"/>
        <w:autoSpaceDN w:val="0"/>
        <w:adjustRightInd w:val="0"/>
        <w:rPr>
          <w:rFonts w:ascii="Arial" w:hAnsi="Arial" w:cs="Arial"/>
          <w:b/>
          <w:bCs/>
          <w:color w:val="000000"/>
          <w:sz w:val="18"/>
          <w:szCs w:val="18"/>
        </w:rPr>
      </w:pPr>
    </w:p>
    <w:p w14:paraId="4B1C9838" w14:textId="02F45EEF"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Matter on which we are required to report by exception – the Police and Crime Commissioner’s arrangements for securing economy, efficiency and effectiveness in its use of resources </w:t>
      </w:r>
    </w:p>
    <w:p w14:paraId="230870A4"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Under the Code of Audit Practice, we are required to report to you if, in our opinion, we have not been able to satisfy ourselves that the Police and Crime Commissioner has made proper arrangements for securing economy, efficiency and effectiveness in its use of resources for the year ended 31 March 2025. </w:t>
      </w:r>
    </w:p>
    <w:p w14:paraId="2BA58BE7" w14:textId="77777777" w:rsidR="00C457C9" w:rsidRDefault="00C457C9" w:rsidP="003122A7">
      <w:pPr>
        <w:autoSpaceDE w:val="0"/>
        <w:autoSpaceDN w:val="0"/>
        <w:adjustRightInd w:val="0"/>
        <w:rPr>
          <w:rFonts w:ascii="Arial" w:hAnsi="Arial" w:cs="Arial"/>
          <w:color w:val="000000"/>
          <w:sz w:val="18"/>
          <w:szCs w:val="18"/>
        </w:rPr>
      </w:pPr>
    </w:p>
    <w:p w14:paraId="15D60452" w14:textId="0A103A9F"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have nothing to report in respect of the above matter. </w:t>
      </w:r>
    </w:p>
    <w:p w14:paraId="3589463B" w14:textId="77777777" w:rsidR="00C457C9" w:rsidRDefault="00C457C9" w:rsidP="003122A7">
      <w:pPr>
        <w:autoSpaceDE w:val="0"/>
        <w:autoSpaceDN w:val="0"/>
        <w:adjustRightInd w:val="0"/>
        <w:rPr>
          <w:rFonts w:ascii="Arial" w:hAnsi="Arial" w:cs="Arial"/>
          <w:b/>
          <w:bCs/>
          <w:color w:val="000000"/>
          <w:sz w:val="18"/>
          <w:szCs w:val="18"/>
        </w:rPr>
      </w:pPr>
    </w:p>
    <w:p w14:paraId="4E706EDE" w14:textId="08F4E1DB"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Responsibilities of the Police and Crime Commissioner </w:t>
      </w:r>
    </w:p>
    <w:p w14:paraId="4A5A1383"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The Police and Crime Commissioner is responsible for putting in place proper arrangements for securing economy, efficiency and effectiveness in its use of resources. </w:t>
      </w:r>
    </w:p>
    <w:p w14:paraId="1FC6D395" w14:textId="77777777" w:rsidR="00C457C9" w:rsidRDefault="00C457C9" w:rsidP="003122A7">
      <w:pPr>
        <w:autoSpaceDE w:val="0"/>
        <w:autoSpaceDN w:val="0"/>
        <w:adjustRightInd w:val="0"/>
        <w:rPr>
          <w:rFonts w:ascii="Arial" w:hAnsi="Arial" w:cs="Arial"/>
          <w:b/>
          <w:bCs/>
          <w:color w:val="000000"/>
          <w:sz w:val="18"/>
          <w:szCs w:val="18"/>
        </w:rPr>
      </w:pPr>
    </w:p>
    <w:p w14:paraId="457834D1" w14:textId="2F8F1935" w:rsidR="00C457C9" w:rsidRDefault="003122A7" w:rsidP="003122A7">
      <w:pPr>
        <w:autoSpaceDE w:val="0"/>
        <w:autoSpaceDN w:val="0"/>
        <w:adjustRightInd w:val="0"/>
        <w:rPr>
          <w:rFonts w:ascii="Arial" w:hAnsi="Arial" w:cs="Arial"/>
          <w:b/>
          <w:bCs/>
          <w:color w:val="000000"/>
          <w:sz w:val="18"/>
          <w:szCs w:val="18"/>
        </w:rPr>
      </w:pPr>
      <w:r w:rsidRPr="003122A7">
        <w:rPr>
          <w:rFonts w:ascii="Arial" w:hAnsi="Arial" w:cs="Arial"/>
          <w:b/>
          <w:bCs/>
          <w:color w:val="000000"/>
          <w:sz w:val="18"/>
          <w:szCs w:val="18"/>
        </w:rPr>
        <w:t xml:space="preserve">Auditor’s responsibilities for the review of the Police and Crime Commissioner’s arrangements for securing economy, </w:t>
      </w:r>
    </w:p>
    <w:p w14:paraId="7CAB72C3" w14:textId="6E581DB2"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efficiency and effectiveness in its use of resources </w:t>
      </w:r>
    </w:p>
    <w:p w14:paraId="585E8B70"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are required under Section 20(1)(c) of the Local Audit and Accountability Act 2014 to be satisfied that the Police and Crime Commissioner has made proper arrangements for securing economy, efficiency and effectiveness in its use of resources. We are not required to consider, nor have we considered, whether all aspects of the Police and Crime Commissioner's arrangements for securing economy, efficiency and effectiveness in its use of resources are operating effectively. </w:t>
      </w:r>
    </w:p>
    <w:p w14:paraId="566523FA" w14:textId="77777777" w:rsidR="00C457C9" w:rsidRDefault="00C457C9" w:rsidP="003122A7">
      <w:pPr>
        <w:autoSpaceDE w:val="0"/>
        <w:autoSpaceDN w:val="0"/>
        <w:adjustRightInd w:val="0"/>
        <w:rPr>
          <w:rFonts w:ascii="Arial" w:hAnsi="Arial" w:cs="Arial"/>
          <w:color w:val="000000"/>
          <w:sz w:val="18"/>
          <w:szCs w:val="18"/>
        </w:rPr>
      </w:pPr>
    </w:p>
    <w:p w14:paraId="3E183768" w14:textId="29AFBFFD" w:rsid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have undertaken our review in accordance with the Code of Audit Practice, having regard to the guidance issued by the Comptroller and Auditor General in November 2024. This guidance sets out the arrangements that fall within the scope of ‘proper arrangements’. When reporting on these arrangements, the Code of Audit Practice requires auditors to structure their commentary on arrangements under three specified reporting criteria: </w:t>
      </w:r>
    </w:p>
    <w:p w14:paraId="3EC22F03" w14:textId="77777777" w:rsidR="00C457C9" w:rsidRPr="003122A7" w:rsidRDefault="00C457C9" w:rsidP="003122A7">
      <w:pPr>
        <w:autoSpaceDE w:val="0"/>
        <w:autoSpaceDN w:val="0"/>
        <w:adjustRightInd w:val="0"/>
        <w:rPr>
          <w:rFonts w:ascii="Arial" w:hAnsi="Arial" w:cs="Arial"/>
          <w:color w:val="000000"/>
          <w:sz w:val="18"/>
          <w:szCs w:val="18"/>
        </w:rPr>
      </w:pPr>
    </w:p>
    <w:p w14:paraId="421263F4" w14:textId="72E6DC69" w:rsidR="003122A7" w:rsidRPr="003122A7" w:rsidRDefault="003122A7" w:rsidP="003122A7">
      <w:pPr>
        <w:numPr>
          <w:ilvl w:val="0"/>
          <w:numId w:val="63"/>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Financial sustainability: how the Police and Crime Commissioner plans and manages its resources to ensure it can</w:t>
      </w:r>
      <w:r w:rsidR="00C457C9">
        <w:rPr>
          <w:rFonts w:ascii="Arial" w:hAnsi="Arial" w:cs="Arial"/>
          <w:color w:val="000000"/>
          <w:sz w:val="18"/>
          <w:szCs w:val="18"/>
        </w:rPr>
        <w:tab/>
      </w:r>
      <w:r w:rsidRPr="003122A7">
        <w:rPr>
          <w:rFonts w:ascii="Arial" w:hAnsi="Arial" w:cs="Arial"/>
          <w:color w:val="000000"/>
          <w:sz w:val="18"/>
          <w:szCs w:val="18"/>
        </w:rPr>
        <w:t xml:space="preserve">continue to deliver its services; </w:t>
      </w:r>
    </w:p>
    <w:p w14:paraId="569152F1" w14:textId="02B4206F" w:rsidR="003122A7" w:rsidRPr="003122A7" w:rsidRDefault="003122A7" w:rsidP="003122A7">
      <w:pPr>
        <w:numPr>
          <w:ilvl w:val="0"/>
          <w:numId w:val="63"/>
        </w:numPr>
        <w:autoSpaceDE w:val="0"/>
        <w:autoSpaceDN w:val="0"/>
        <w:adjustRightInd w:val="0"/>
        <w:spacing w:after="161"/>
        <w:rPr>
          <w:rFonts w:ascii="Arial" w:hAnsi="Arial" w:cs="Arial"/>
          <w:color w:val="000000"/>
          <w:sz w:val="18"/>
          <w:szCs w:val="18"/>
        </w:rPr>
      </w:pPr>
      <w:r w:rsidRPr="003122A7">
        <w:rPr>
          <w:rFonts w:ascii="Arial" w:hAnsi="Arial" w:cs="Arial"/>
          <w:color w:val="000000"/>
          <w:sz w:val="18"/>
          <w:szCs w:val="18"/>
        </w:rPr>
        <w:t>Governance: how the Police and Crime Commissioner ensures that it makes informed decisions and properly manages its</w:t>
      </w:r>
      <w:r w:rsidR="00C457C9">
        <w:rPr>
          <w:rFonts w:ascii="Arial" w:hAnsi="Arial" w:cs="Arial"/>
          <w:color w:val="000000"/>
          <w:sz w:val="18"/>
          <w:szCs w:val="18"/>
        </w:rPr>
        <w:tab/>
      </w:r>
      <w:r w:rsidRPr="003122A7">
        <w:rPr>
          <w:rFonts w:ascii="Arial" w:hAnsi="Arial" w:cs="Arial"/>
          <w:color w:val="000000"/>
          <w:sz w:val="18"/>
          <w:szCs w:val="18"/>
        </w:rPr>
        <w:t xml:space="preserve">risks; and </w:t>
      </w:r>
    </w:p>
    <w:p w14:paraId="2027D672" w14:textId="485F4397" w:rsidR="003122A7" w:rsidRPr="003122A7" w:rsidRDefault="003122A7" w:rsidP="003122A7">
      <w:pPr>
        <w:numPr>
          <w:ilvl w:val="0"/>
          <w:numId w:val="63"/>
        </w:num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Improving economy, efficiency and effectiveness: how the Police and Crime Commissioner </w:t>
      </w:r>
      <w:proofErr w:type="gramStart"/>
      <w:r w:rsidRPr="003122A7">
        <w:rPr>
          <w:rFonts w:ascii="Arial" w:hAnsi="Arial" w:cs="Arial"/>
          <w:color w:val="000000"/>
          <w:sz w:val="18"/>
          <w:szCs w:val="18"/>
        </w:rPr>
        <w:t>uses</w:t>
      </w:r>
      <w:proofErr w:type="gramEnd"/>
      <w:r w:rsidRPr="003122A7">
        <w:rPr>
          <w:rFonts w:ascii="Arial" w:hAnsi="Arial" w:cs="Arial"/>
          <w:color w:val="000000"/>
          <w:sz w:val="18"/>
          <w:szCs w:val="18"/>
        </w:rPr>
        <w:t xml:space="preserve"> information about its</w:t>
      </w:r>
      <w:r w:rsidR="00C457C9">
        <w:rPr>
          <w:rFonts w:ascii="Arial" w:hAnsi="Arial" w:cs="Arial"/>
          <w:color w:val="000000"/>
          <w:sz w:val="18"/>
          <w:szCs w:val="18"/>
        </w:rPr>
        <w:tab/>
      </w:r>
      <w:r w:rsidRPr="003122A7">
        <w:rPr>
          <w:rFonts w:ascii="Arial" w:hAnsi="Arial" w:cs="Arial"/>
          <w:color w:val="000000"/>
          <w:sz w:val="18"/>
          <w:szCs w:val="18"/>
        </w:rPr>
        <w:t xml:space="preserve">costs and performance to improve the way it manages and delivers its services. </w:t>
      </w:r>
    </w:p>
    <w:p w14:paraId="335AA6A9" w14:textId="77777777" w:rsidR="003122A7" w:rsidRPr="003122A7" w:rsidRDefault="003122A7" w:rsidP="003122A7">
      <w:pPr>
        <w:autoSpaceDE w:val="0"/>
        <w:autoSpaceDN w:val="0"/>
        <w:adjustRightInd w:val="0"/>
        <w:rPr>
          <w:rFonts w:ascii="Arial" w:hAnsi="Arial" w:cs="Arial"/>
          <w:color w:val="000000"/>
          <w:sz w:val="18"/>
          <w:szCs w:val="18"/>
        </w:rPr>
      </w:pPr>
    </w:p>
    <w:p w14:paraId="5EC87294" w14:textId="77777777" w:rsidR="00C457C9"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We document our understanding of the arrangements the Police and Crime Commissioner has in place for each of these three specified reporting criteria, gathering sufficient evidence to support our risk assessment and commentary in our Auditor’s Annual Report. In undertaking our work, we consider whether there is evidence to suggest that there are significant weaknesses in arrangements.</w:t>
      </w:r>
    </w:p>
    <w:p w14:paraId="37B873AB" w14:textId="09B0CD81"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 </w:t>
      </w:r>
    </w:p>
    <w:p w14:paraId="3A3A2B88" w14:textId="77777777" w:rsidR="003122A7" w:rsidRPr="003122A7" w:rsidRDefault="003122A7" w:rsidP="003122A7">
      <w:pPr>
        <w:autoSpaceDE w:val="0"/>
        <w:autoSpaceDN w:val="0"/>
        <w:adjustRightInd w:val="0"/>
        <w:rPr>
          <w:rFonts w:ascii="Arial" w:hAnsi="Arial" w:cs="Arial"/>
          <w:color w:val="000000"/>
          <w:sz w:val="23"/>
          <w:szCs w:val="23"/>
        </w:rPr>
      </w:pPr>
      <w:r w:rsidRPr="003122A7">
        <w:rPr>
          <w:rFonts w:ascii="Arial" w:hAnsi="Arial" w:cs="Arial"/>
          <w:b/>
          <w:bCs/>
          <w:color w:val="000000"/>
          <w:sz w:val="23"/>
          <w:szCs w:val="23"/>
        </w:rPr>
        <w:t xml:space="preserve">Report on other legal and regulatory requirements – Delay in certification of completion of the audit </w:t>
      </w:r>
    </w:p>
    <w:p w14:paraId="1EBB8E17" w14:textId="77777777" w:rsidR="00E1307E" w:rsidRDefault="003122A7" w:rsidP="00E1307E">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We cannot formally conclude the audit and issue an audit certificate for the Police and Crime Commissioner for Lancashire for the year ended 31 March 2025 in accordance with the requirements of the Local Audit and Accountability Act 2014 and the Code of Audit Practice until we have received confirmation from the National Audit Office that the audit of the Whole of Government Accounts is complete for the year ended 31 March 2025. We are satisfied that this work does not have a material effect on the financial statements for the year ended 31 March 2025. </w:t>
      </w:r>
    </w:p>
    <w:p w14:paraId="63D10752" w14:textId="77777777" w:rsidR="00E1307E" w:rsidRDefault="00E1307E" w:rsidP="00E1307E">
      <w:pPr>
        <w:autoSpaceDE w:val="0"/>
        <w:autoSpaceDN w:val="0"/>
        <w:adjustRightInd w:val="0"/>
        <w:rPr>
          <w:rFonts w:ascii="Arial" w:hAnsi="Arial" w:cs="Arial"/>
          <w:color w:val="000000"/>
          <w:sz w:val="18"/>
          <w:szCs w:val="18"/>
        </w:rPr>
      </w:pPr>
    </w:p>
    <w:p w14:paraId="2266DF4B" w14:textId="1C46D11D" w:rsidR="003122A7" w:rsidRPr="003122A7" w:rsidRDefault="003122A7" w:rsidP="00E1307E">
      <w:pPr>
        <w:autoSpaceDE w:val="0"/>
        <w:autoSpaceDN w:val="0"/>
        <w:adjustRightInd w:val="0"/>
        <w:rPr>
          <w:rFonts w:ascii="Arial" w:hAnsi="Arial" w:cs="Arial"/>
          <w:color w:val="000000"/>
          <w:sz w:val="18"/>
          <w:szCs w:val="18"/>
        </w:rPr>
      </w:pPr>
      <w:r w:rsidRPr="003122A7">
        <w:rPr>
          <w:rFonts w:ascii="Arial" w:hAnsi="Arial" w:cs="Arial"/>
          <w:b/>
          <w:bCs/>
          <w:color w:val="000000"/>
          <w:sz w:val="18"/>
          <w:szCs w:val="18"/>
        </w:rPr>
        <w:t xml:space="preserve">Use of our report </w:t>
      </w:r>
    </w:p>
    <w:p w14:paraId="1B854859" w14:textId="77777777" w:rsidR="00E1307E" w:rsidRDefault="00E1307E" w:rsidP="003122A7">
      <w:pPr>
        <w:autoSpaceDE w:val="0"/>
        <w:autoSpaceDN w:val="0"/>
        <w:adjustRightInd w:val="0"/>
        <w:rPr>
          <w:rFonts w:ascii="Arial" w:hAnsi="Arial" w:cs="Arial"/>
          <w:color w:val="000000"/>
          <w:sz w:val="18"/>
          <w:szCs w:val="18"/>
        </w:rPr>
      </w:pPr>
    </w:p>
    <w:p w14:paraId="5F911669" w14:textId="6512C10F"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This report is made solely to the Police and Crime Commissioner, as a body, in accordance with Part 5 of the Local Audit and Accountability Act 2014 and as set out in paragraph 85 of the Statement of Responsibilities of Auditors and Audited Bodies published by Public Sector Audit Appointments Limited. Our audit work has been undertaken so that we might state to the Police and Crime Commissioner those matters we are required to state to the Police and Crime Commissioner in an auditor's report and for no other purpose. To the fullest extent permitted by law, we do not accept or assume responsibility to anyone other than the Police and Crime Commissioner as a body, for our audit work, for this report, or for the opinions we have formed. </w:t>
      </w:r>
    </w:p>
    <w:p w14:paraId="5C15B600" w14:textId="77777777" w:rsidR="003122A7" w:rsidRPr="003122A7" w:rsidRDefault="003122A7" w:rsidP="003122A7">
      <w:pPr>
        <w:autoSpaceDE w:val="0"/>
        <w:autoSpaceDN w:val="0"/>
        <w:adjustRightInd w:val="0"/>
        <w:rPr>
          <w:rFonts w:ascii="Brush Script MT" w:hAnsi="Brush Script MT" w:cs="Brush Script MT"/>
          <w:color w:val="000000"/>
          <w:sz w:val="46"/>
          <w:szCs w:val="46"/>
        </w:rPr>
      </w:pPr>
      <w:r w:rsidRPr="003122A7">
        <w:rPr>
          <w:rFonts w:ascii="Brush Script MT" w:hAnsi="Brush Script MT" w:cs="Brush Script MT"/>
          <w:i/>
          <w:iCs/>
          <w:color w:val="000000"/>
          <w:sz w:val="46"/>
          <w:szCs w:val="46"/>
        </w:rPr>
        <w:t xml:space="preserve">Michael Green </w:t>
      </w:r>
    </w:p>
    <w:p w14:paraId="47F40181"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Michael Green, Key Audit Partner </w:t>
      </w:r>
    </w:p>
    <w:p w14:paraId="76EA9417"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for and on behalf of Grant Thornton UK LLP, Local Auditor </w:t>
      </w:r>
    </w:p>
    <w:p w14:paraId="20403B95" w14:textId="77777777" w:rsidR="003122A7" w:rsidRPr="003122A7"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Manchester </w:t>
      </w:r>
    </w:p>
    <w:p w14:paraId="1831FD92" w14:textId="6F290E6A" w:rsidR="005373C8" w:rsidRDefault="003122A7" w:rsidP="003122A7">
      <w:pPr>
        <w:autoSpaceDE w:val="0"/>
        <w:autoSpaceDN w:val="0"/>
        <w:adjustRightInd w:val="0"/>
        <w:rPr>
          <w:rFonts w:ascii="Arial" w:hAnsi="Arial" w:cs="Arial"/>
          <w:color w:val="000000"/>
          <w:sz w:val="18"/>
          <w:szCs w:val="18"/>
        </w:rPr>
      </w:pPr>
      <w:r w:rsidRPr="003122A7">
        <w:rPr>
          <w:rFonts w:ascii="Arial" w:hAnsi="Arial" w:cs="Arial"/>
          <w:color w:val="000000"/>
          <w:sz w:val="18"/>
          <w:szCs w:val="18"/>
        </w:rPr>
        <w:t xml:space="preserve">18 December 2025 </w:t>
      </w:r>
    </w:p>
    <w:p w14:paraId="66D9798D" w14:textId="4FFF84F2" w:rsidR="00E04184" w:rsidRPr="005373C8" w:rsidRDefault="005107E2" w:rsidP="005107E2">
      <w:pPr>
        <w:autoSpaceDE w:val="0"/>
        <w:autoSpaceDN w:val="0"/>
        <w:adjustRightInd w:val="0"/>
        <w:spacing w:after="160"/>
        <w:ind w:left="1440" w:hanging="720"/>
        <w:rPr>
          <w:rFonts w:ascii="Arial" w:hAnsi="Arial" w:cs="Arial"/>
          <w:kern w:val="32"/>
          <w:sz w:val="18"/>
          <w:szCs w:val="18"/>
          <w:lang w:eastAsia="en-US"/>
        </w:rPr>
      </w:pPr>
      <w:r>
        <w:rPr>
          <w:rFonts w:ascii="Arial" w:hAnsi="Arial" w:cs="Arial"/>
          <w:color w:val="000000"/>
          <w:sz w:val="18"/>
          <w:szCs w:val="18"/>
        </w:rPr>
        <w:t>-</w:t>
      </w:r>
      <w:r>
        <w:rPr>
          <w:rFonts w:ascii="Arial" w:hAnsi="Arial" w:cs="Arial"/>
          <w:color w:val="000000"/>
          <w:sz w:val="18"/>
          <w:szCs w:val="18"/>
        </w:rPr>
        <w:tab/>
      </w:r>
      <w:r w:rsidR="005373C8" w:rsidRPr="005373C8">
        <w:rPr>
          <w:rFonts w:ascii="Arial" w:hAnsi="Arial" w:cs="Arial"/>
          <w:color w:val="000000"/>
          <w:sz w:val="18"/>
          <w:szCs w:val="18"/>
        </w:rPr>
        <w:t xml:space="preserve"> </w:t>
      </w:r>
    </w:p>
    <w:p w14:paraId="77D73B88" w14:textId="77777777" w:rsidR="003B74DA" w:rsidRDefault="003B74DA" w:rsidP="003B74DA">
      <w:pPr>
        <w:rPr>
          <w:rFonts w:ascii="Arial" w:hAnsi="Arial" w:cs="Arial"/>
          <w:sz w:val="22"/>
          <w:szCs w:val="24"/>
          <w:lang w:eastAsia="en-US"/>
        </w:rPr>
        <w:sectPr w:rsidR="003B74DA" w:rsidSect="00A00487">
          <w:headerReference w:type="even" r:id="rId96"/>
          <w:headerReference w:type="default" r:id="rId97"/>
          <w:headerReference w:type="first" r:id="rId98"/>
          <w:pgSz w:w="11909" w:h="16834" w:code="9"/>
          <w:pgMar w:top="720" w:right="720" w:bottom="720" w:left="720" w:header="454" w:footer="720" w:gutter="0"/>
          <w:cols w:space="720"/>
          <w:docGrid w:linePitch="272"/>
        </w:sectPr>
      </w:pPr>
    </w:p>
    <w:p w14:paraId="136B77AB" w14:textId="72DDF1CF" w:rsidR="00A35E08" w:rsidRDefault="00A35E08" w:rsidP="00732228">
      <w:pPr>
        <w:pStyle w:val="Body"/>
        <w:spacing w:before="0" w:line="240" w:lineRule="auto"/>
        <w:ind w:left="426" w:right="404" w:firstLine="0"/>
        <w:rPr>
          <w:rFonts w:ascii="Arial" w:hAnsi="Arial" w:cs="Arial"/>
          <w:b/>
          <w:bCs/>
          <w:color w:val="auto"/>
          <w:sz w:val="24"/>
          <w:szCs w:val="24"/>
          <w:lang w:val="en-GB"/>
        </w:rPr>
      </w:pPr>
    </w:p>
    <w:p w14:paraId="79929DF5" w14:textId="58120DB0" w:rsidR="00BC07E6" w:rsidRDefault="00C35404" w:rsidP="00732228">
      <w:pPr>
        <w:ind w:left="426" w:right="404"/>
      </w:pPr>
      <w:r w:rsidRPr="00282FC1">
        <w:rPr>
          <w:rFonts w:ascii="Arial" w:hAnsi="Arial" w:cs="Arial"/>
          <w:b/>
          <w:bCs/>
          <w:noProof/>
          <w:sz w:val="32"/>
          <w:szCs w:val="32"/>
        </w:rPr>
        <w:drawing>
          <wp:anchor distT="0" distB="0" distL="114300" distR="114300" simplePos="0" relativeHeight="251658242" behindDoc="0" locked="0" layoutInCell="1" allowOverlap="1" wp14:anchorId="3CDD6528" wp14:editId="0EE8BFEF">
            <wp:simplePos x="0" y="0"/>
            <wp:positionH relativeFrom="column">
              <wp:posOffset>5008083</wp:posOffset>
            </wp:positionH>
            <wp:positionV relativeFrom="paragraph">
              <wp:posOffset>7354</wp:posOffset>
            </wp:positionV>
            <wp:extent cx="1590675" cy="656590"/>
            <wp:effectExtent l="0" t="0" r="9525" b="0"/>
            <wp:wrapSquare wrapText="bothSides"/>
            <wp:docPr id="5" name="Picture 5" descr="LC Logo high 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C Logo high res"/>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590675" cy="656590"/>
                    </a:xfrm>
                    <a:prstGeom prst="rect">
                      <a:avLst/>
                    </a:prstGeom>
                    <a:noFill/>
                    <a:ln w="9525">
                      <a:noFill/>
                      <a:miter lim="800000"/>
                      <a:headEnd/>
                      <a:tailEnd/>
                    </a:ln>
                  </pic:spPr>
                </pic:pic>
              </a:graphicData>
            </a:graphic>
          </wp:anchor>
        </w:drawing>
      </w:r>
      <w:r w:rsidR="00A55E5E" w:rsidRPr="00BF5C3D">
        <w:rPr>
          <w:rFonts w:ascii="Arial" w:hAnsi="Arial" w:cs="Arial"/>
          <w:noProof/>
          <w:color w:val="1F497D"/>
        </w:rPr>
        <w:drawing>
          <wp:anchor distT="0" distB="0" distL="114300" distR="114300" simplePos="0" relativeHeight="251658243" behindDoc="0" locked="0" layoutInCell="1" allowOverlap="1" wp14:anchorId="5FD29E8D" wp14:editId="7A3D1C30">
            <wp:simplePos x="0" y="0"/>
            <wp:positionH relativeFrom="margin">
              <wp:align>left</wp:align>
            </wp:positionH>
            <wp:positionV relativeFrom="paragraph">
              <wp:posOffset>7163</wp:posOffset>
            </wp:positionV>
            <wp:extent cx="1158240" cy="1135750"/>
            <wp:effectExtent l="0" t="0" r="3810" b="7620"/>
            <wp:wrapSquare wrapText="bothSides"/>
            <wp:docPr id="15728264" name="Picture 15728264" descr="A red and white logo with a flow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red and white logo with a flower&#10;&#10;Description automatically generated"/>
                    <pic:cNvPicPr>
                      <a:picLocks noChangeAspect="1" noChangeArrowheads="1"/>
                    </pic:cNvPicPr>
                  </pic:nvPicPr>
                  <pic:blipFill>
                    <a:blip r:embed="rId100" r:link="rId101" cstate="print">
                      <a:extLst>
                        <a:ext uri="{28A0092B-C50C-407E-A947-70E740481C1C}">
                          <a14:useLocalDpi xmlns:a14="http://schemas.microsoft.com/office/drawing/2010/main" val="0"/>
                        </a:ext>
                      </a:extLst>
                    </a:blip>
                    <a:srcRect/>
                    <a:stretch>
                      <a:fillRect/>
                    </a:stretch>
                  </pic:blipFill>
                  <pic:spPr bwMode="auto">
                    <a:xfrm>
                      <a:off x="0" y="0"/>
                      <a:ext cx="1158240" cy="1135750"/>
                    </a:xfrm>
                    <a:prstGeom prst="rect">
                      <a:avLst/>
                    </a:prstGeom>
                    <a:noFill/>
                    <a:ln>
                      <a:noFill/>
                    </a:ln>
                  </pic:spPr>
                </pic:pic>
              </a:graphicData>
            </a:graphic>
          </wp:anchor>
        </w:drawing>
      </w:r>
    </w:p>
    <w:p w14:paraId="5CB21C37" w14:textId="0A0AB6C3" w:rsidR="00044663" w:rsidRPr="00044663" w:rsidRDefault="00044663" w:rsidP="00A55E5E">
      <w:pPr>
        <w:ind w:left="1440" w:right="404"/>
        <w:jc w:val="right"/>
        <w:textAlignment w:val="baseline"/>
        <w:rPr>
          <w:rFonts w:ascii="Segoe UI" w:hAnsi="Segoe UI" w:cs="Segoe UI"/>
          <w:sz w:val="18"/>
          <w:szCs w:val="18"/>
        </w:rPr>
      </w:pPr>
      <w:r w:rsidRPr="00044663">
        <w:rPr>
          <w:rFonts w:ascii="Calibri" w:hAnsi="Calibri" w:cs="Calibri"/>
        </w:rPr>
        <w:tab/>
      </w:r>
      <w:r w:rsidRPr="00044663">
        <w:rPr>
          <w:rFonts w:ascii="Calibri" w:hAnsi="Calibri" w:cs="Calibri"/>
        </w:rPr>
        <w:tab/>
      </w:r>
      <w:r w:rsidR="001930BA">
        <w:rPr>
          <w:rFonts w:ascii="Calibri" w:hAnsi="Calibri" w:cs="Calibri"/>
        </w:rPr>
        <w:tab/>
      </w:r>
      <w:r w:rsidR="001930BA">
        <w:rPr>
          <w:rFonts w:ascii="Calibri" w:hAnsi="Calibri" w:cs="Calibri"/>
        </w:rPr>
        <w:tab/>
      </w:r>
      <w:r w:rsidRPr="00044663">
        <w:rPr>
          <w:rFonts w:ascii="Calibri" w:hAnsi="Calibri" w:cs="Calibri"/>
        </w:rPr>
        <w:tab/>
      </w:r>
      <w:r w:rsidRPr="00044663">
        <w:rPr>
          <w:rFonts w:ascii="Calibri" w:hAnsi="Calibri" w:cs="Calibri"/>
        </w:rPr>
        <w:tab/>
      </w:r>
      <w:r w:rsidRPr="00044663">
        <w:rPr>
          <w:rFonts w:ascii="Calibri" w:hAnsi="Calibri" w:cs="Calibri"/>
        </w:rPr>
        <w:tab/>
      </w:r>
      <w:r w:rsidRPr="00044663">
        <w:rPr>
          <w:rFonts w:ascii="Calibri" w:hAnsi="Calibri" w:cs="Calibri"/>
        </w:rPr>
        <w:tab/>
      </w:r>
      <w:r w:rsidRPr="00044663">
        <w:rPr>
          <w:rFonts w:ascii="Arial" w:hAnsi="Arial" w:cs="Arial"/>
          <w:sz w:val="32"/>
          <w:szCs w:val="32"/>
        </w:rPr>
        <w:t> </w:t>
      </w:r>
    </w:p>
    <w:p w14:paraId="37F146AB" w14:textId="77777777" w:rsidR="00044663" w:rsidRDefault="00044663" w:rsidP="00732228">
      <w:pPr>
        <w:ind w:left="426" w:right="404"/>
        <w:textAlignment w:val="baseline"/>
        <w:rPr>
          <w:rFonts w:ascii="Arial" w:hAnsi="Arial" w:cs="Arial"/>
          <w:sz w:val="32"/>
          <w:szCs w:val="32"/>
        </w:rPr>
      </w:pPr>
      <w:r w:rsidRPr="00044663">
        <w:rPr>
          <w:rFonts w:ascii="Arial" w:hAnsi="Arial" w:cs="Arial"/>
          <w:sz w:val="32"/>
          <w:szCs w:val="32"/>
        </w:rPr>
        <w:t> </w:t>
      </w:r>
    </w:p>
    <w:p w14:paraId="776C108C" w14:textId="77777777" w:rsidR="00C35404" w:rsidRDefault="00C35404" w:rsidP="00732228">
      <w:pPr>
        <w:ind w:left="426" w:right="404"/>
        <w:textAlignment w:val="baseline"/>
        <w:rPr>
          <w:rFonts w:ascii="Arial" w:hAnsi="Arial" w:cs="Arial"/>
          <w:sz w:val="32"/>
          <w:szCs w:val="32"/>
        </w:rPr>
      </w:pPr>
    </w:p>
    <w:p w14:paraId="3E38B582" w14:textId="77777777" w:rsidR="00C35404" w:rsidRDefault="00C35404" w:rsidP="00732228">
      <w:pPr>
        <w:ind w:left="426" w:right="404"/>
        <w:textAlignment w:val="baseline"/>
        <w:rPr>
          <w:rFonts w:ascii="Arial" w:hAnsi="Arial" w:cs="Arial"/>
          <w:sz w:val="32"/>
          <w:szCs w:val="32"/>
        </w:rPr>
      </w:pPr>
    </w:p>
    <w:p w14:paraId="0559DE70" w14:textId="77777777" w:rsidR="00C35404" w:rsidRPr="00044663" w:rsidRDefault="00C35404" w:rsidP="00732228">
      <w:pPr>
        <w:ind w:left="426" w:right="404"/>
        <w:textAlignment w:val="baseline"/>
        <w:rPr>
          <w:rFonts w:ascii="Segoe UI" w:hAnsi="Segoe UI" w:cs="Segoe UI"/>
          <w:sz w:val="18"/>
          <w:szCs w:val="18"/>
        </w:rPr>
      </w:pPr>
    </w:p>
    <w:p w14:paraId="3E30DC0C" w14:textId="77777777" w:rsidR="00044663" w:rsidRPr="00044663" w:rsidRDefault="00044663" w:rsidP="00C35404">
      <w:pPr>
        <w:ind w:right="404"/>
        <w:textAlignment w:val="baseline"/>
        <w:rPr>
          <w:rFonts w:ascii="Segoe UI" w:hAnsi="Segoe UI" w:cs="Segoe UI"/>
          <w:color w:val="000000"/>
          <w:sz w:val="18"/>
          <w:szCs w:val="18"/>
        </w:rPr>
      </w:pPr>
      <w:r w:rsidRPr="00044663">
        <w:rPr>
          <w:rFonts w:ascii="Arial" w:hAnsi="Arial" w:cs="Arial"/>
          <w:b/>
          <w:bCs/>
          <w:sz w:val="24"/>
          <w:szCs w:val="24"/>
        </w:rPr>
        <w:t>Police and Crime Commissioner for Lancashire</w:t>
      </w:r>
      <w:r w:rsidRPr="00044663">
        <w:rPr>
          <w:rFonts w:ascii="Arial" w:hAnsi="Arial" w:cs="Arial"/>
          <w:sz w:val="24"/>
          <w:szCs w:val="24"/>
        </w:rPr>
        <w:t> </w:t>
      </w:r>
    </w:p>
    <w:p w14:paraId="73768E99" w14:textId="6F5F6EEA" w:rsidR="00044663" w:rsidRPr="00044663" w:rsidRDefault="00044663" w:rsidP="00C35404">
      <w:pPr>
        <w:pBdr>
          <w:bottom w:val="single" w:sz="4" w:space="1" w:color="000000"/>
        </w:pBdr>
        <w:ind w:right="404"/>
        <w:textAlignment w:val="baseline"/>
        <w:rPr>
          <w:rFonts w:ascii="Segoe UI" w:hAnsi="Segoe UI" w:cs="Segoe UI"/>
          <w:color w:val="000000"/>
          <w:sz w:val="18"/>
          <w:szCs w:val="18"/>
        </w:rPr>
      </w:pPr>
      <w:r w:rsidRPr="00044663">
        <w:rPr>
          <w:rFonts w:ascii="Arial" w:hAnsi="Arial" w:cs="Arial"/>
          <w:b/>
          <w:bCs/>
          <w:sz w:val="24"/>
          <w:szCs w:val="24"/>
        </w:rPr>
        <w:t xml:space="preserve">Annual Governance Statement </w:t>
      </w:r>
      <w:r w:rsidR="00C37E7F">
        <w:rPr>
          <w:rFonts w:ascii="Arial" w:hAnsi="Arial" w:cs="Arial"/>
          <w:b/>
          <w:bCs/>
          <w:sz w:val="24"/>
          <w:szCs w:val="24"/>
        </w:rPr>
        <w:t>2024/25</w:t>
      </w:r>
      <w:r w:rsidRPr="00044663">
        <w:rPr>
          <w:rFonts w:ascii="Arial" w:hAnsi="Arial" w:cs="Arial"/>
          <w:sz w:val="24"/>
          <w:szCs w:val="24"/>
        </w:rPr>
        <w:t> </w:t>
      </w:r>
    </w:p>
    <w:p w14:paraId="43D95F39" w14:textId="77777777" w:rsidR="00044663" w:rsidRDefault="00044663" w:rsidP="00732228">
      <w:pPr>
        <w:pStyle w:val="Body"/>
        <w:spacing w:before="0" w:line="240" w:lineRule="auto"/>
        <w:ind w:left="426" w:right="404" w:firstLine="0"/>
        <w:rPr>
          <w:rFonts w:ascii="Arial" w:hAnsi="Arial" w:cs="Arial"/>
          <w:b/>
          <w:bCs/>
          <w:color w:val="auto"/>
          <w:sz w:val="24"/>
          <w:szCs w:val="24"/>
          <w:lang w:val="en-GB"/>
        </w:rPr>
      </w:pPr>
    </w:p>
    <w:p w14:paraId="25B724DA" w14:textId="77777777" w:rsidR="001F6A80" w:rsidRPr="00C11742" w:rsidRDefault="001F6A80" w:rsidP="00C35404">
      <w:pPr>
        <w:pStyle w:val="NoSpacing"/>
        <w:spacing w:after="120"/>
        <w:jc w:val="both"/>
        <w:rPr>
          <w:rFonts w:ascii="Arial" w:hAnsi="Arial" w:cs="Arial"/>
          <w:bCs/>
          <w:sz w:val="24"/>
          <w:szCs w:val="24"/>
        </w:rPr>
      </w:pPr>
      <w:r w:rsidRPr="00C11742">
        <w:rPr>
          <w:rFonts w:ascii="Arial" w:hAnsi="Arial" w:cs="Arial"/>
          <w:bCs/>
          <w:sz w:val="24"/>
          <w:szCs w:val="24"/>
        </w:rPr>
        <w:t xml:space="preserve">This </w:t>
      </w:r>
      <w:r>
        <w:rPr>
          <w:rFonts w:ascii="Arial" w:hAnsi="Arial" w:cs="Arial"/>
          <w:bCs/>
          <w:sz w:val="24"/>
          <w:szCs w:val="24"/>
        </w:rPr>
        <w:t>A</w:t>
      </w:r>
      <w:r w:rsidRPr="00C11742">
        <w:rPr>
          <w:rFonts w:ascii="Arial" w:hAnsi="Arial" w:cs="Arial"/>
          <w:bCs/>
          <w:sz w:val="24"/>
          <w:szCs w:val="24"/>
        </w:rPr>
        <w:t xml:space="preserve">nnual </w:t>
      </w:r>
      <w:r>
        <w:rPr>
          <w:rFonts w:ascii="Arial" w:hAnsi="Arial" w:cs="Arial"/>
          <w:bCs/>
          <w:sz w:val="24"/>
          <w:szCs w:val="24"/>
        </w:rPr>
        <w:t>G</w:t>
      </w:r>
      <w:r w:rsidRPr="00C11742">
        <w:rPr>
          <w:rFonts w:ascii="Arial" w:hAnsi="Arial" w:cs="Arial"/>
          <w:bCs/>
          <w:sz w:val="24"/>
          <w:szCs w:val="24"/>
        </w:rPr>
        <w:t xml:space="preserve">overnance </w:t>
      </w:r>
      <w:r>
        <w:rPr>
          <w:rFonts w:ascii="Arial" w:hAnsi="Arial" w:cs="Arial"/>
          <w:bCs/>
          <w:sz w:val="24"/>
          <w:szCs w:val="24"/>
        </w:rPr>
        <w:t>S</w:t>
      </w:r>
      <w:r w:rsidRPr="00C11742">
        <w:rPr>
          <w:rFonts w:ascii="Arial" w:hAnsi="Arial" w:cs="Arial"/>
          <w:bCs/>
          <w:sz w:val="24"/>
          <w:szCs w:val="24"/>
        </w:rPr>
        <w:t xml:space="preserve">tatement sets out how the Police and Crime Commissioner </w:t>
      </w:r>
      <w:r>
        <w:rPr>
          <w:rFonts w:ascii="Arial" w:hAnsi="Arial" w:cs="Arial"/>
          <w:bCs/>
          <w:sz w:val="24"/>
          <w:szCs w:val="24"/>
        </w:rPr>
        <w:t>(PCC</w:t>
      </w:r>
      <w:proofErr w:type="gramStart"/>
      <w:r>
        <w:rPr>
          <w:rFonts w:ascii="Arial" w:hAnsi="Arial" w:cs="Arial"/>
          <w:bCs/>
          <w:sz w:val="24"/>
          <w:szCs w:val="24"/>
        </w:rPr>
        <w:t>)</w:t>
      </w:r>
      <w:proofErr w:type="gramEnd"/>
      <w:r>
        <w:rPr>
          <w:rFonts w:ascii="Arial" w:hAnsi="Arial" w:cs="Arial"/>
          <w:bCs/>
          <w:sz w:val="24"/>
          <w:szCs w:val="24"/>
        </w:rPr>
        <w:t xml:space="preserve"> </w:t>
      </w:r>
      <w:r w:rsidRPr="00C11742">
        <w:rPr>
          <w:rFonts w:ascii="Arial" w:hAnsi="Arial" w:cs="Arial"/>
          <w:bCs/>
          <w:sz w:val="24"/>
          <w:szCs w:val="24"/>
        </w:rPr>
        <w:t>and Chief Constable</w:t>
      </w:r>
      <w:r>
        <w:rPr>
          <w:rFonts w:ascii="Arial" w:hAnsi="Arial" w:cs="Arial"/>
          <w:bCs/>
          <w:sz w:val="24"/>
          <w:szCs w:val="24"/>
        </w:rPr>
        <w:t xml:space="preserve"> for Lancashire</w:t>
      </w:r>
      <w:r w:rsidRPr="00C11742">
        <w:t xml:space="preserve"> </w:t>
      </w:r>
      <w:r w:rsidRPr="00C11742">
        <w:rPr>
          <w:rFonts w:ascii="Arial" w:hAnsi="Arial" w:cs="Arial"/>
          <w:bCs/>
          <w:sz w:val="24"/>
          <w:szCs w:val="24"/>
        </w:rPr>
        <w:t>have complied with their</w:t>
      </w:r>
      <w:r>
        <w:rPr>
          <w:rFonts w:ascii="Arial" w:hAnsi="Arial" w:cs="Arial"/>
          <w:bCs/>
          <w:sz w:val="24"/>
          <w:szCs w:val="24"/>
        </w:rPr>
        <w:t xml:space="preserve"> </w:t>
      </w:r>
      <w:r w:rsidRPr="00C11742">
        <w:rPr>
          <w:rFonts w:ascii="Arial" w:hAnsi="Arial" w:cs="Arial"/>
          <w:bCs/>
          <w:sz w:val="24"/>
          <w:szCs w:val="24"/>
        </w:rPr>
        <w:t>published corporate governance framework for the year ended 31 March 202</w:t>
      </w:r>
      <w:r>
        <w:rPr>
          <w:rFonts w:ascii="Arial" w:hAnsi="Arial" w:cs="Arial"/>
          <w:bCs/>
          <w:sz w:val="24"/>
          <w:szCs w:val="24"/>
        </w:rPr>
        <w:t>5</w:t>
      </w:r>
      <w:r w:rsidRPr="00C11742">
        <w:rPr>
          <w:rFonts w:ascii="Arial" w:hAnsi="Arial" w:cs="Arial"/>
          <w:bCs/>
          <w:sz w:val="24"/>
          <w:szCs w:val="24"/>
        </w:rPr>
        <w:t>,</w:t>
      </w:r>
      <w:r>
        <w:rPr>
          <w:rFonts w:ascii="Arial" w:hAnsi="Arial" w:cs="Arial"/>
          <w:bCs/>
          <w:sz w:val="24"/>
          <w:szCs w:val="24"/>
        </w:rPr>
        <w:t xml:space="preserve"> </w:t>
      </w:r>
      <w:r w:rsidRPr="00C11742">
        <w:rPr>
          <w:rFonts w:ascii="Arial" w:hAnsi="Arial" w:cs="Arial"/>
          <w:bCs/>
          <w:sz w:val="24"/>
          <w:szCs w:val="24"/>
        </w:rPr>
        <w:t>including plans for the financial year 202</w:t>
      </w:r>
      <w:r>
        <w:rPr>
          <w:rFonts w:ascii="Arial" w:hAnsi="Arial" w:cs="Arial"/>
          <w:bCs/>
          <w:sz w:val="24"/>
          <w:szCs w:val="24"/>
        </w:rPr>
        <w:t>5/26</w:t>
      </w:r>
      <w:r w:rsidRPr="00C11742">
        <w:rPr>
          <w:rFonts w:ascii="Arial" w:hAnsi="Arial" w:cs="Arial"/>
          <w:bCs/>
          <w:sz w:val="24"/>
          <w:szCs w:val="24"/>
        </w:rPr>
        <w:t>.</w:t>
      </w:r>
    </w:p>
    <w:p w14:paraId="7E0D8912" w14:textId="77777777" w:rsidR="001F6A80" w:rsidRDefault="001F6A80" w:rsidP="00C35404">
      <w:pPr>
        <w:pStyle w:val="NoSpacing"/>
        <w:spacing w:after="120"/>
        <w:jc w:val="both"/>
        <w:rPr>
          <w:rFonts w:ascii="Arial" w:hAnsi="Arial" w:cs="Arial"/>
          <w:b/>
          <w:sz w:val="24"/>
          <w:szCs w:val="24"/>
        </w:rPr>
      </w:pPr>
      <w:r>
        <w:rPr>
          <w:rFonts w:ascii="Arial" w:hAnsi="Arial" w:cs="Arial"/>
          <w:b/>
          <w:sz w:val="24"/>
          <w:szCs w:val="24"/>
        </w:rPr>
        <w:t>Scope of Responsibility</w:t>
      </w:r>
    </w:p>
    <w:p w14:paraId="68507B7C" w14:textId="77777777" w:rsidR="001F6A80" w:rsidRPr="003E2D11" w:rsidRDefault="001F6A80" w:rsidP="00C35404">
      <w:pPr>
        <w:autoSpaceDE w:val="0"/>
        <w:autoSpaceDN w:val="0"/>
        <w:adjustRightInd w:val="0"/>
        <w:spacing w:after="120"/>
        <w:jc w:val="both"/>
        <w:rPr>
          <w:rFonts w:ascii="Arial" w:eastAsia="Calibri" w:hAnsi="Arial" w:cs="Arial"/>
          <w:sz w:val="24"/>
          <w:szCs w:val="24"/>
          <w:lang w:val="en-US" w:eastAsia="en-US"/>
        </w:rPr>
      </w:pPr>
      <w:r w:rsidRPr="003E2D11">
        <w:rPr>
          <w:rFonts w:ascii="Arial" w:eastAsia="Calibri" w:hAnsi="Arial" w:cs="Arial"/>
          <w:sz w:val="24"/>
          <w:szCs w:val="24"/>
          <w:lang w:val="en-US" w:eastAsia="en-US"/>
        </w:rPr>
        <w:t>Following the introduction of the Police Reform and Social Responsibility Act 2011 (the 2011 Act), the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PCC and Chief Constable were established on 22 November 2012 as separate legal entities</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w:t>
      </w:r>
      <w:r>
        <w:rPr>
          <w:rFonts w:ascii="Arial" w:eastAsia="Calibri" w:hAnsi="Arial" w:cs="Arial"/>
          <w:sz w:val="24"/>
          <w:szCs w:val="24"/>
          <w:lang w:val="en-US" w:eastAsia="en-US"/>
        </w:rPr>
        <w:t xml:space="preserve">a </w:t>
      </w:r>
      <w:r w:rsidRPr="003E2D11">
        <w:rPr>
          <w:rFonts w:ascii="Arial" w:eastAsia="Calibri" w:hAnsi="Arial" w:cs="Arial"/>
          <w:sz w:val="24"/>
          <w:szCs w:val="24"/>
          <w:lang w:val="en-US" w:eastAsia="en-US"/>
        </w:rPr>
        <w:t>‘corporation sole’). However, the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2011 Act gives PCCs responsibility for the totality of policing within their force area and requires them</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to hold their force Chief Constable to account for the</w:t>
      </w:r>
      <w:r>
        <w:rPr>
          <w:rFonts w:ascii="Arial" w:eastAsia="Calibri" w:hAnsi="Arial" w:cs="Arial"/>
          <w:sz w:val="24"/>
          <w:szCs w:val="24"/>
          <w:lang w:val="en-US" w:eastAsia="en-US"/>
        </w:rPr>
        <w:t xml:space="preserve"> functions of the Chief Constable and those under her direction and control</w:t>
      </w:r>
      <w:r w:rsidRPr="003E2D11">
        <w:rPr>
          <w:rFonts w:ascii="Arial" w:eastAsia="Calibri" w:hAnsi="Arial" w:cs="Arial"/>
          <w:sz w:val="24"/>
          <w:szCs w:val="24"/>
          <w:lang w:val="en-US" w:eastAsia="en-US"/>
        </w:rPr>
        <w:t xml:space="preserve"> operational delivery of policing.</w:t>
      </w:r>
    </w:p>
    <w:p w14:paraId="729E3F4D" w14:textId="77777777" w:rsidR="001F6A80" w:rsidRPr="003E2D11" w:rsidRDefault="001F6A80" w:rsidP="00C35404">
      <w:pPr>
        <w:autoSpaceDE w:val="0"/>
        <w:autoSpaceDN w:val="0"/>
        <w:adjustRightInd w:val="0"/>
        <w:spacing w:after="120"/>
        <w:jc w:val="both"/>
        <w:rPr>
          <w:rFonts w:ascii="Arial" w:eastAsia="Calibri" w:hAnsi="Arial" w:cs="Arial"/>
          <w:sz w:val="24"/>
          <w:szCs w:val="24"/>
          <w:lang w:val="en-US" w:eastAsia="en-US"/>
        </w:rPr>
      </w:pPr>
      <w:r w:rsidRPr="003E2D11">
        <w:rPr>
          <w:rFonts w:ascii="Arial" w:eastAsia="Calibri" w:hAnsi="Arial" w:cs="Arial"/>
          <w:sz w:val="24"/>
          <w:szCs w:val="24"/>
          <w:lang w:val="en-US" w:eastAsia="en-US"/>
        </w:rPr>
        <w:t>Under the 2011 Act, the PCC is the recipient of all funding, including government grant, precept and</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other sources of income related to policing and crime reduction, and all funding for a force must come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via the PCC</w:t>
      </w:r>
      <w:r>
        <w:rPr>
          <w:rFonts w:ascii="Arial" w:eastAsia="Calibri" w:hAnsi="Arial" w:cs="Arial"/>
          <w:sz w:val="24"/>
          <w:szCs w:val="24"/>
          <w:lang w:val="en-US" w:eastAsia="en-US"/>
        </w:rPr>
        <w:t xml:space="preserve"> (unless a specific exemption is in place)</w:t>
      </w:r>
      <w:r w:rsidRPr="003E2D11">
        <w:rPr>
          <w:rFonts w:ascii="Arial" w:eastAsia="Calibri" w:hAnsi="Arial" w:cs="Arial"/>
          <w:sz w:val="24"/>
          <w:szCs w:val="24"/>
          <w:lang w:val="en-US" w:eastAsia="en-US"/>
        </w:rPr>
        <w:t>. How this money is allocated is a matter for the PCC in consultation with the Chief</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Constable, who provides professional advice and recommendations to the PCC. However, the PCC is</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ultimately accountable to the public for the management of the Police Fund.</w:t>
      </w:r>
    </w:p>
    <w:p w14:paraId="3BEF6575" w14:textId="77777777" w:rsidR="001F6A80" w:rsidRPr="003E2D11" w:rsidRDefault="001F6A80" w:rsidP="00C35404">
      <w:pPr>
        <w:autoSpaceDE w:val="0"/>
        <w:autoSpaceDN w:val="0"/>
        <w:adjustRightInd w:val="0"/>
        <w:spacing w:after="120"/>
        <w:jc w:val="both"/>
        <w:rPr>
          <w:rFonts w:ascii="Arial" w:eastAsia="Calibri" w:hAnsi="Arial" w:cs="Arial"/>
          <w:sz w:val="24"/>
          <w:szCs w:val="24"/>
          <w:lang w:val="en-US" w:eastAsia="en-US"/>
        </w:rPr>
      </w:pPr>
      <w:r w:rsidRPr="003E2D11">
        <w:rPr>
          <w:rFonts w:ascii="Arial" w:eastAsia="Calibri" w:hAnsi="Arial" w:cs="Arial"/>
          <w:sz w:val="24"/>
          <w:szCs w:val="24"/>
          <w:lang w:val="en-US" w:eastAsia="en-US"/>
        </w:rPr>
        <w:t>The PCC is responsible for ensuring his business is conducted in accordance with the law and proper</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standards of governance and, consequently, that public money is safeguarded, properly accounted for,</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and used economically, efficiently and effectively in the discharge of his statutory duties and powers.</w:t>
      </w:r>
    </w:p>
    <w:p w14:paraId="6A141656" w14:textId="3B2A9EE3" w:rsidR="001F6A80" w:rsidRPr="003E2D11" w:rsidRDefault="001F6A80" w:rsidP="00C35404">
      <w:pPr>
        <w:autoSpaceDE w:val="0"/>
        <w:autoSpaceDN w:val="0"/>
        <w:adjustRightInd w:val="0"/>
        <w:spacing w:after="120"/>
        <w:jc w:val="both"/>
        <w:rPr>
          <w:rFonts w:ascii="Arial" w:eastAsia="Calibri" w:hAnsi="Arial" w:cs="Arial"/>
          <w:sz w:val="24"/>
          <w:szCs w:val="24"/>
          <w:lang w:val="en-US" w:eastAsia="en-US"/>
        </w:rPr>
      </w:pPr>
      <w:r w:rsidRPr="003E2D11">
        <w:rPr>
          <w:rFonts w:ascii="Arial" w:eastAsia="Calibri" w:hAnsi="Arial" w:cs="Arial"/>
          <w:sz w:val="24"/>
          <w:szCs w:val="24"/>
          <w:lang w:val="en-US" w:eastAsia="en-US"/>
        </w:rPr>
        <w:t>Both the PCC and Chief Constable are required to, and have, appointed chief financial officers who</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each have a fiduciary duty to the local taxpayer for securing the efficient use of public funds. Under the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 xml:space="preserve">Local Government Act 1999 the PCC </w:t>
      </w:r>
      <w:proofErr w:type="gramStart"/>
      <w:r w:rsidRPr="003E2D11">
        <w:rPr>
          <w:rFonts w:ascii="Arial" w:eastAsia="Calibri" w:hAnsi="Arial" w:cs="Arial"/>
          <w:sz w:val="24"/>
          <w:szCs w:val="24"/>
          <w:lang w:val="en-US" w:eastAsia="en-US"/>
        </w:rPr>
        <w:t>makes arrangements</w:t>
      </w:r>
      <w:proofErr w:type="gramEnd"/>
      <w:r w:rsidRPr="003E2D11">
        <w:rPr>
          <w:rFonts w:ascii="Arial" w:eastAsia="Calibri" w:hAnsi="Arial" w:cs="Arial"/>
          <w:sz w:val="24"/>
          <w:szCs w:val="24"/>
          <w:lang w:val="en-US" w:eastAsia="en-US"/>
        </w:rPr>
        <w:t xml:space="preserve"> to secure continuous improvement in the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 xml:space="preserve">way </w:t>
      </w:r>
      <w:r w:rsidR="00DC2030" w:rsidRPr="003E2D11">
        <w:rPr>
          <w:rFonts w:ascii="Arial" w:eastAsia="Calibri" w:hAnsi="Arial" w:cs="Arial"/>
          <w:sz w:val="24"/>
          <w:szCs w:val="24"/>
          <w:lang w:val="en-US" w:eastAsia="en-US"/>
        </w:rPr>
        <w:t>its</w:t>
      </w:r>
      <w:r w:rsidRPr="003E2D11">
        <w:rPr>
          <w:rFonts w:ascii="Arial" w:eastAsia="Calibri" w:hAnsi="Arial" w:cs="Arial"/>
          <w:sz w:val="24"/>
          <w:szCs w:val="24"/>
          <w:lang w:val="en-US" w:eastAsia="en-US"/>
        </w:rPr>
        <w:t xml:space="preserve"> functions are exercised, having regard to a combination of economy, efficiency, and</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effectiveness.</w:t>
      </w:r>
    </w:p>
    <w:p w14:paraId="1FA9E378" w14:textId="77777777" w:rsidR="001F6A80" w:rsidRPr="003E2D11" w:rsidRDefault="001F6A80" w:rsidP="00C35404">
      <w:pPr>
        <w:autoSpaceDE w:val="0"/>
        <w:autoSpaceDN w:val="0"/>
        <w:adjustRightInd w:val="0"/>
        <w:spacing w:after="120"/>
        <w:jc w:val="both"/>
        <w:rPr>
          <w:rFonts w:ascii="Arial" w:eastAsia="Calibri" w:hAnsi="Arial" w:cs="Arial"/>
          <w:sz w:val="24"/>
          <w:szCs w:val="24"/>
          <w:lang w:val="en-US" w:eastAsia="en-US"/>
        </w:rPr>
      </w:pPr>
      <w:r w:rsidRPr="003E2D11">
        <w:rPr>
          <w:rFonts w:ascii="Arial" w:eastAsia="Calibri" w:hAnsi="Arial" w:cs="Arial"/>
          <w:sz w:val="24"/>
          <w:szCs w:val="24"/>
          <w:lang w:val="en-US" w:eastAsia="en-US"/>
        </w:rPr>
        <w:t>In discharging this overall responsibility, the PCC is responsible for putting in place proper</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arrangements for the governance of his affairs and facilitating the exercise of his functions, which</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includes ensuring a sound system of internal control is maintained and that arrangements are in place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for the management of risk. In exercising this responsibility, the PCC places reliance on the Chief</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Constable to support the governance and risk management processes.</w:t>
      </w:r>
    </w:p>
    <w:p w14:paraId="53884098" w14:textId="77777777" w:rsidR="001F6A80" w:rsidRPr="003E2D11" w:rsidRDefault="001F6A80" w:rsidP="00C35404">
      <w:pPr>
        <w:autoSpaceDE w:val="0"/>
        <w:autoSpaceDN w:val="0"/>
        <w:adjustRightInd w:val="0"/>
        <w:spacing w:after="120"/>
        <w:jc w:val="both"/>
        <w:rPr>
          <w:rFonts w:ascii="Arial" w:eastAsia="Calibri" w:hAnsi="Arial" w:cs="Arial"/>
          <w:sz w:val="24"/>
          <w:szCs w:val="24"/>
          <w:lang w:val="en-US" w:eastAsia="en-US"/>
        </w:rPr>
      </w:pPr>
      <w:r w:rsidRPr="003E2D11">
        <w:rPr>
          <w:rFonts w:ascii="Arial" w:eastAsia="Calibri" w:hAnsi="Arial" w:cs="Arial"/>
          <w:sz w:val="24"/>
          <w:szCs w:val="24"/>
          <w:lang w:val="en-US" w:eastAsia="en-US"/>
        </w:rPr>
        <w:t>The Chief Constable is accountable to the law for the exercise of police powers and to the PCC for the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delivery of efficient and effective policing, management of resources and expenditure by the police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force. At all times the Chief Constable, h</w:t>
      </w:r>
      <w:r>
        <w:rPr>
          <w:rFonts w:ascii="Arial" w:eastAsia="Calibri" w:hAnsi="Arial" w:cs="Arial"/>
          <w:sz w:val="24"/>
          <w:szCs w:val="24"/>
          <w:lang w:val="en-US" w:eastAsia="en-US"/>
        </w:rPr>
        <w:t>er</w:t>
      </w:r>
      <w:r w:rsidRPr="003E2D11">
        <w:rPr>
          <w:rFonts w:ascii="Arial" w:eastAsia="Calibri" w:hAnsi="Arial" w:cs="Arial"/>
          <w:sz w:val="24"/>
          <w:szCs w:val="24"/>
          <w:lang w:val="en-US" w:eastAsia="en-US"/>
        </w:rPr>
        <w:t xml:space="preserve"> police officers and staff remain operationally independent</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in the service of the public. In discharging h</w:t>
      </w:r>
      <w:r>
        <w:rPr>
          <w:rFonts w:ascii="Arial" w:eastAsia="Calibri" w:hAnsi="Arial" w:cs="Arial"/>
          <w:sz w:val="24"/>
          <w:szCs w:val="24"/>
          <w:lang w:val="en-US" w:eastAsia="en-US"/>
        </w:rPr>
        <w:t>er</w:t>
      </w:r>
      <w:r w:rsidRPr="003E2D11">
        <w:rPr>
          <w:rFonts w:ascii="Arial" w:eastAsia="Calibri" w:hAnsi="Arial" w:cs="Arial"/>
          <w:sz w:val="24"/>
          <w:szCs w:val="24"/>
          <w:lang w:val="en-US" w:eastAsia="en-US"/>
        </w:rPr>
        <w:t xml:space="preserve"> overall responsibilities, the Chief Constable is responsible</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for establishing and maintaining appropriate risk management processes, governance arrangements</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and ensuring that there is a sound system of internal control which facilitates the effective exercise of</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these functions.</w:t>
      </w:r>
    </w:p>
    <w:p w14:paraId="2D22E46E" w14:textId="77777777" w:rsidR="001F6A80" w:rsidRDefault="001F6A80" w:rsidP="00C35404">
      <w:pPr>
        <w:jc w:val="both"/>
        <w:rPr>
          <w:rFonts w:ascii="Arial" w:eastAsia="Calibri" w:hAnsi="Arial" w:cs="Arial"/>
          <w:sz w:val="24"/>
          <w:szCs w:val="24"/>
          <w:lang w:val="en-US" w:eastAsia="en-US"/>
        </w:rPr>
      </w:pPr>
    </w:p>
    <w:p w14:paraId="2EA2284E" w14:textId="77777777" w:rsidR="001F6A80" w:rsidRDefault="001F6A80" w:rsidP="00C35404">
      <w:pPr>
        <w:autoSpaceDE w:val="0"/>
        <w:autoSpaceDN w:val="0"/>
        <w:adjustRightInd w:val="0"/>
        <w:spacing w:after="120"/>
        <w:jc w:val="both"/>
        <w:rPr>
          <w:rFonts w:ascii="Arial" w:eastAsia="Calibri" w:hAnsi="Arial" w:cs="Arial"/>
          <w:sz w:val="24"/>
          <w:szCs w:val="24"/>
          <w:lang w:val="en-US" w:eastAsia="en-US"/>
        </w:rPr>
      </w:pPr>
      <w:r w:rsidRPr="003E2D11">
        <w:rPr>
          <w:rFonts w:ascii="Arial" w:eastAsia="Calibri" w:hAnsi="Arial" w:cs="Arial"/>
          <w:sz w:val="24"/>
          <w:szCs w:val="24"/>
          <w:lang w:val="en-US" w:eastAsia="en-US"/>
        </w:rPr>
        <w:lastRenderedPageBreak/>
        <w:t>The Policing Protocol Order 2011 requires both the PCC and Chief Constable to abide by the seven</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principles of personal conduct set out in ‘Standards in Public Life: First Report of the Committee on</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Standards in Public Life’ (commonly known as the ‘Nolan Principles’), i.e. ‘Selflessness’, ‘Integrity’,</w:t>
      </w:r>
      <w:r>
        <w:rPr>
          <w:rFonts w:ascii="Arial" w:eastAsia="Calibri" w:hAnsi="Arial" w:cs="Arial"/>
          <w:sz w:val="24"/>
          <w:szCs w:val="24"/>
          <w:lang w:val="en-US" w:eastAsia="en-US"/>
        </w:rPr>
        <w:t xml:space="preserve"> </w:t>
      </w:r>
      <w:r w:rsidRPr="003E2D11">
        <w:rPr>
          <w:rFonts w:ascii="Arial" w:eastAsia="Calibri" w:hAnsi="Arial" w:cs="Arial"/>
          <w:sz w:val="24"/>
          <w:szCs w:val="24"/>
          <w:lang w:val="en-US" w:eastAsia="en-US"/>
        </w:rPr>
        <w:t>‘Objectivity’, ‘Accountability’, ‘Openness’, Honesty’ and ‘Leadership’. The Nolan Principles are incorporated into both the PCC’s Code of Conduct and the College of Policing ‘Code of E</w:t>
      </w:r>
      <w:r>
        <w:rPr>
          <w:rFonts w:ascii="Arial" w:eastAsia="Calibri" w:hAnsi="Arial" w:cs="Arial"/>
          <w:sz w:val="24"/>
          <w:szCs w:val="24"/>
          <w:lang w:val="en-US" w:eastAsia="en-US"/>
        </w:rPr>
        <w:t>thics.</w:t>
      </w:r>
    </w:p>
    <w:p w14:paraId="1DF0F1BC" w14:textId="77777777" w:rsidR="001F6A80" w:rsidRDefault="001F6A80" w:rsidP="00C35404">
      <w:pPr>
        <w:autoSpaceDE w:val="0"/>
        <w:autoSpaceDN w:val="0"/>
        <w:adjustRightInd w:val="0"/>
        <w:spacing w:after="120"/>
        <w:jc w:val="both"/>
        <w:rPr>
          <w:rFonts w:ascii="Arial" w:hAnsi="Arial" w:cs="Arial"/>
          <w:sz w:val="24"/>
          <w:szCs w:val="24"/>
        </w:rPr>
      </w:pPr>
      <w:r>
        <w:rPr>
          <w:rFonts w:ascii="Arial" w:hAnsi="Arial" w:cs="Arial"/>
          <w:sz w:val="24"/>
          <w:szCs w:val="24"/>
        </w:rPr>
        <w:t>A copy of the code of corporate governance is on our website at:</w:t>
      </w:r>
    </w:p>
    <w:p w14:paraId="3F767205" w14:textId="4ABBD450" w:rsidR="001F6A80" w:rsidRDefault="001F6A80" w:rsidP="00C35404">
      <w:pPr>
        <w:autoSpaceDE w:val="0"/>
        <w:autoSpaceDN w:val="0"/>
        <w:adjustRightInd w:val="0"/>
        <w:spacing w:after="120"/>
        <w:jc w:val="both"/>
        <w:rPr>
          <w:rFonts w:ascii="Calibri" w:hAnsi="Calibri" w:cs="Calibri"/>
          <w:sz w:val="22"/>
          <w:szCs w:val="22"/>
          <w:lang w:val="en-US" w:eastAsia="en-US"/>
        </w:rPr>
      </w:pPr>
      <w:r w:rsidRPr="007D1DE0">
        <w:t>https://www.lancashire-pcc.gov.uk/transparency/governance-documents/</w:t>
      </w:r>
      <w:r>
        <w:t xml:space="preserve"> </w:t>
      </w:r>
    </w:p>
    <w:p w14:paraId="3E00F08D" w14:textId="77777777" w:rsidR="001F6A80" w:rsidRDefault="001F6A80" w:rsidP="00C35404">
      <w:pPr>
        <w:pStyle w:val="NoSpacing"/>
        <w:spacing w:after="120"/>
        <w:jc w:val="both"/>
        <w:rPr>
          <w:rFonts w:ascii="Arial" w:hAnsi="Arial" w:cs="Arial"/>
          <w:sz w:val="24"/>
          <w:szCs w:val="24"/>
        </w:rPr>
      </w:pPr>
      <w:r w:rsidRPr="003E2D11">
        <w:rPr>
          <w:rFonts w:ascii="Arial" w:hAnsi="Arial" w:cs="Arial"/>
          <w:sz w:val="24"/>
          <w:szCs w:val="24"/>
        </w:rPr>
        <w:t>This Annual Governance Statement explains how the PCC and Chief Constable have complied with</w:t>
      </w:r>
      <w:r>
        <w:rPr>
          <w:rFonts w:ascii="Arial" w:hAnsi="Arial" w:cs="Arial"/>
          <w:sz w:val="24"/>
          <w:szCs w:val="24"/>
        </w:rPr>
        <w:t xml:space="preserve"> </w:t>
      </w:r>
      <w:r w:rsidRPr="003E2D11">
        <w:rPr>
          <w:rFonts w:ascii="Arial" w:hAnsi="Arial" w:cs="Arial"/>
          <w:sz w:val="24"/>
          <w:szCs w:val="24"/>
        </w:rPr>
        <w:t>the Code</w:t>
      </w:r>
      <w:r>
        <w:rPr>
          <w:rFonts w:ascii="Arial" w:hAnsi="Arial" w:cs="Arial"/>
          <w:sz w:val="24"/>
          <w:szCs w:val="24"/>
        </w:rPr>
        <w:t xml:space="preserve"> of governance</w:t>
      </w:r>
      <w:r w:rsidRPr="003E2D11">
        <w:rPr>
          <w:rFonts w:ascii="Arial" w:hAnsi="Arial" w:cs="Arial"/>
          <w:sz w:val="24"/>
          <w:szCs w:val="24"/>
        </w:rPr>
        <w:t xml:space="preserve"> and the requirements of Regulation 6 of the Accounts and Audit Regulations 2015 to conduct</w:t>
      </w:r>
      <w:r>
        <w:rPr>
          <w:rFonts w:ascii="Arial" w:hAnsi="Arial" w:cs="Arial"/>
          <w:sz w:val="24"/>
          <w:szCs w:val="24"/>
        </w:rPr>
        <w:t xml:space="preserve"> </w:t>
      </w:r>
      <w:r w:rsidRPr="003E2D11">
        <w:rPr>
          <w:rFonts w:ascii="Arial" w:hAnsi="Arial" w:cs="Arial"/>
          <w:sz w:val="24"/>
          <w:szCs w:val="24"/>
        </w:rPr>
        <w:t>a review of the effectiveness of the system of internal control.</w:t>
      </w:r>
    </w:p>
    <w:p w14:paraId="6E87F9A9" w14:textId="77777777" w:rsidR="001F6A80" w:rsidRDefault="001F6A80" w:rsidP="00C35404">
      <w:pPr>
        <w:pStyle w:val="Bodyindent"/>
        <w:tabs>
          <w:tab w:val="left" w:pos="0"/>
        </w:tabs>
        <w:spacing w:before="0" w:after="120" w:line="240" w:lineRule="auto"/>
        <w:ind w:left="0"/>
        <w:jc w:val="both"/>
        <w:rPr>
          <w:rFonts w:ascii="Arial" w:hAnsi="Arial" w:cs="Arial"/>
          <w:sz w:val="24"/>
          <w:szCs w:val="24"/>
          <w:lang w:val="en-GB"/>
        </w:rPr>
      </w:pPr>
      <w:r>
        <w:rPr>
          <w:rFonts w:ascii="Arial" w:hAnsi="Arial" w:cs="Arial"/>
          <w:b/>
          <w:bCs/>
          <w:color w:val="auto"/>
          <w:sz w:val="24"/>
          <w:szCs w:val="24"/>
          <w:lang w:val="en-GB"/>
        </w:rPr>
        <w:t>The purpose of the Governance Framework</w:t>
      </w:r>
    </w:p>
    <w:p w14:paraId="7181AA2C" w14:textId="77777777" w:rsidR="001F6A80" w:rsidRPr="003E2D11" w:rsidRDefault="001F6A80" w:rsidP="00C35404">
      <w:pPr>
        <w:pStyle w:val="NoSpacing"/>
        <w:spacing w:after="120"/>
        <w:jc w:val="both"/>
        <w:rPr>
          <w:rFonts w:ascii="Arial" w:hAnsi="Arial" w:cs="Arial"/>
          <w:sz w:val="24"/>
          <w:szCs w:val="24"/>
        </w:rPr>
      </w:pPr>
      <w:r w:rsidRPr="003E2D11">
        <w:rPr>
          <w:rFonts w:ascii="Arial" w:hAnsi="Arial" w:cs="Arial"/>
          <w:sz w:val="24"/>
          <w:szCs w:val="24"/>
        </w:rPr>
        <w:t>Governance comprises the arrangements put in place to ensure that the intended outcomes for</w:t>
      </w:r>
      <w:r>
        <w:rPr>
          <w:rFonts w:ascii="Arial" w:hAnsi="Arial" w:cs="Arial"/>
          <w:sz w:val="24"/>
          <w:szCs w:val="24"/>
        </w:rPr>
        <w:t xml:space="preserve"> </w:t>
      </w:r>
      <w:r w:rsidRPr="003E2D11">
        <w:rPr>
          <w:rFonts w:ascii="Arial" w:hAnsi="Arial" w:cs="Arial"/>
          <w:sz w:val="24"/>
          <w:szCs w:val="24"/>
        </w:rPr>
        <w:t>stakeholders are defined and achieved. The fundamental function of good governance in the public</w:t>
      </w:r>
      <w:r>
        <w:rPr>
          <w:rFonts w:ascii="Arial" w:hAnsi="Arial" w:cs="Arial"/>
          <w:sz w:val="24"/>
          <w:szCs w:val="24"/>
        </w:rPr>
        <w:t xml:space="preserve"> </w:t>
      </w:r>
      <w:r w:rsidRPr="003E2D11">
        <w:rPr>
          <w:rFonts w:ascii="Arial" w:hAnsi="Arial" w:cs="Arial"/>
          <w:sz w:val="24"/>
          <w:szCs w:val="24"/>
        </w:rPr>
        <w:t>sector is to ensure that statutory entities (in this case, the PCC, and Chief Constable) achieve their</w:t>
      </w:r>
      <w:r>
        <w:rPr>
          <w:rFonts w:ascii="Arial" w:hAnsi="Arial" w:cs="Arial"/>
          <w:sz w:val="24"/>
          <w:szCs w:val="24"/>
        </w:rPr>
        <w:t xml:space="preserve"> </w:t>
      </w:r>
      <w:r w:rsidRPr="003E2D11">
        <w:rPr>
          <w:rFonts w:ascii="Arial" w:hAnsi="Arial" w:cs="Arial"/>
          <w:sz w:val="24"/>
          <w:szCs w:val="24"/>
        </w:rPr>
        <w:t xml:space="preserve">intended outcomes whilst </w:t>
      </w:r>
      <w:proofErr w:type="gramStart"/>
      <w:r w:rsidRPr="003E2D11">
        <w:rPr>
          <w:rFonts w:ascii="Arial" w:hAnsi="Arial" w:cs="Arial"/>
          <w:sz w:val="24"/>
          <w:szCs w:val="24"/>
        </w:rPr>
        <w:t>acting in the public interest at all times</w:t>
      </w:r>
      <w:proofErr w:type="gramEnd"/>
      <w:r w:rsidRPr="003E2D11">
        <w:rPr>
          <w:rFonts w:ascii="Arial" w:hAnsi="Arial" w:cs="Arial"/>
          <w:sz w:val="24"/>
          <w:szCs w:val="24"/>
        </w:rPr>
        <w:t>.</w:t>
      </w:r>
    </w:p>
    <w:p w14:paraId="166A5BD7" w14:textId="3DD8CE61" w:rsidR="001F6A80" w:rsidRPr="003E2D11" w:rsidRDefault="001F6A80" w:rsidP="00C35404">
      <w:pPr>
        <w:pStyle w:val="NoSpacing"/>
        <w:spacing w:after="120"/>
        <w:jc w:val="both"/>
        <w:rPr>
          <w:rFonts w:ascii="Arial" w:hAnsi="Arial" w:cs="Arial"/>
          <w:sz w:val="24"/>
          <w:szCs w:val="24"/>
        </w:rPr>
      </w:pPr>
      <w:r w:rsidRPr="003E2D11">
        <w:rPr>
          <w:rFonts w:ascii="Arial" w:hAnsi="Arial" w:cs="Arial"/>
          <w:sz w:val="24"/>
          <w:szCs w:val="24"/>
        </w:rPr>
        <w:t>The governance framework comprises the systems and processes, and culture and values by which</w:t>
      </w:r>
      <w:r>
        <w:rPr>
          <w:rFonts w:ascii="Arial" w:hAnsi="Arial" w:cs="Arial"/>
          <w:sz w:val="24"/>
          <w:szCs w:val="24"/>
        </w:rPr>
        <w:t xml:space="preserve"> </w:t>
      </w:r>
      <w:r w:rsidRPr="003E2D11">
        <w:rPr>
          <w:rFonts w:ascii="Arial" w:hAnsi="Arial" w:cs="Arial"/>
          <w:sz w:val="24"/>
          <w:szCs w:val="24"/>
        </w:rPr>
        <w:t>the PCC and Chief Constable discharge their responsibilities and through which the police service</w:t>
      </w:r>
      <w:r>
        <w:rPr>
          <w:rFonts w:ascii="Arial" w:hAnsi="Arial" w:cs="Arial"/>
          <w:sz w:val="24"/>
          <w:szCs w:val="24"/>
        </w:rPr>
        <w:t xml:space="preserve"> </w:t>
      </w:r>
      <w:r w:rsidRPr="003E2D11">
        <w:rPr>
          <w:rFonts w:ascii="Arial" w:hAnsi="Arial" w:cs="Arial"/>
          <w:sz w:val="24"/>
          <w:szCs w:val="24"/>
        </w:rPr>
        <w:t xml:space="preserve">accounts to and engages with the community. It enables the PCC to monitor the achievement of </w:t>
      </w:r>
      <w:r w:rsidR="00DC2030" w:rsidRPr="003E2D11">
        <w:rPr>
          <w:rFonts w:ascii="Arial" w:hAnsi="Arial" w:cs="Arial"/>
          <w:sz w:val="24"/>
          <w:szCs w:val="24"/>
        </w:rPr>
        <w:t>its</w:t>
      </w:r>
      <w:r>
        <w:rPr>
          <w:rFonts w:ascii="Arial" w:hAnsi="Arial" w:cs="Arial"/>
          <w:sz w:val="24"/>
          <w:szCs w:val="24"/>
        </w:rPr>
        <w:t xml:space="preserve"> </w:t>
      </w:r>
      <w:r w:rsidRPr="003E2D11">
        <w:rPr>
          <w:rFonts w:ascii="Arial" w:hAnsi="Arial" w:cs="Arial"/>
          <w:sz w:val="24"/>
          <w:szCs w:val="24"/>
        </w:rPr>
        <w:t>strategic objectives and to consider whether these objectives have led to the delivery of appropriate,</w:t>
      </w:r>
      <w:r>
        <w:rPr>
          <w:rFonts w:ascii="Arial" w:hAnsi="Arial" w:cs="Arial"/>
          <w:sz w:val="24"/>
          <w:szCs w:val="24"/>
        </w:rPr>
        <w:t xml:space="preserve"> </w:t>
      </w:r>
      <w:r w:rsidRPr="003E2D11">
        <w:rPr>
          <w:rFonts w:ascii="Arial" w:hAnsi="Arial" w:cs="Arial"/>
          <w:sz w:val="24"/>
          <w:szCs w:val="24"/>
        </w:rPr>
        <w:t>cost-effective services, including achieving value for money.</w:t>
      </w:r>
    </w:p>
    <w:p w14:paraId="23F5B480" w14:textId="77777777" w:rsidR="00292FAF" w:rsidRDefault="001F6A80" w:rsidP="00C35404">
      <w:pPr>
        <w:pStyle w:val="NoSpacing"/>
        <w:spacing w:after="120"/>
        <w:jc w:val="both"/>
        <w:rPr>
          <w:rFonts w:ascii="Arial" w:hAnsi="Arial" w:cs="Arial"/>
          <w:sz w:val="24"/>
          <w:szCs w:val="24"/>
        </w:rPr>
      </w:pPr>
      <w:r w:rsidRPr="003E2D11">
        <w:rPr>
          <w:rFonts w:ascii="Arial" w:hAnsi="Arial" w:cs="Arial"/>
          <w:sz w:val="24"/>
          <w:szCs w:val="24"/>
        </w:rPr>
        <w:t>The system of internal control is a significant part of that framework and is designed to manage risk to</w:t>
      </w:r>
      <w:r>
        <w:rPr>
          <w:rFonts w:ascii="Arial" w:hAnsi="Arial" w:cs="Arial"/>
          <w:sz w:val="24"/>
          <w:szCs w:val="24"/>
        </w:rPr>
        <w:t xml:space="preserve"> </w:t>
      </w:r>
      <w:r w:rsidRPr="003E2D11">
        <w:rPr>
          <w:rFonts w:ascii="Arial" w:hAnsi="Arial" w:cs="Arial"/>
          <w:sz w:val="24"/>
          <w:szCs w:val="24"/>
        </w:rPr>
        <w:t>a reasonable and foreseeable level. It cannot eliminate all risk of failure to achieve policies, aims an</w:t>
      </w:r>
      <w:r>
        <w:rPr>
          <w:rFonts w:ascii="Arial" w:hAnsi="Arial" w:cs="Arial"/>
          <w:sz w:val="24"/>
          <w:szCs w:val="24"/>
        </w:rPr>
        <w:t xml:space="preserve">d </w:t>
      </w:r>
      <w:r w:rsidRPr="003E2D11">
        <w:rPr>
          <w:rFonts w:ascii="Arial" w:hAnsi="Arial" w:cs="Arial"/>
          <w:sz w:val="24"/>
          <w:szCs w:val="24"/>
        </w:rPr>
        <w:t xml:space="preserve">objectives; it can therefore only provide reasonable and not absolute assurance of effectiveness. </w:t>
      </w:r>
      <w:r>
        <w:rPr>
          <w:rFonts w:ascii="Arial" w:hAnsi="Arial" w:cs="Arial"/>
          <w:sz w:val="24"/>
          <w:szCs w:val="24"/>
        </w:rPr>
        <w:t>It</w:t>
      </w:r>
      <w:r w:rsidRPr="003E2D11">
        <w:rPr>
          <w:rFonts w:ascii="Arial" w:hAnsi="Arial" w:cs="Arial"/>
          <w:sz w:val="24"/>
          <w:szCs w:val="24"/>
        </w:rPr>
        <w:t xml:space="preserve"> is based on an ongoing process designed to identify and </w:t>
      </w:r>
      <w:proofErr w:type="spellStart"/>
      <w:r w:rsidRPr="003E2D11">
        <w:rPr>
          <w:rFonts w:ascii="Arial" w:hAnsi="Arial" w:cs="Arial"/>
          <w:sz w:val="24"/>
          <w:szCs w:val="24"/>
        </w:rPr>
        <w:t>prioritise</w:t>
      </w:r>
      <w:proofErr w:type="spellEnd"/>
      <w:r w:rsidRPr="003E2D11">
        <w:rPr>
          <w:rFonts w:ascii="Arial" w:hAnsi="Arial" w:cs="Arial"/>
          <w:sz w:val="24"/>
          <w:szCs w:val="24"/>
        </w:rPr>
        <w:t xml:space="preserve"> the risks</w:t>
      </w:r>
      <w:r>
        <w:rPr>
          <w:rFonts w:ascii="Arial" w:hAnsi="Arial" w:cs="Arial"/>
          <w:sz w:val="24"/>
          <w:szCs w:val="24"/>
        </w:rPr>
        <w:t xml:space="preserve"> </w:t>
      </w:r>
      <w:r w:rsidRPr="003E2D11">
        <w:rPr>
          <w:rFonts w:ascii="Arial" w:hAnsi="Arial" w:cs="Arial"/>
          <w:sz w:val="24"/>
          <w:szCs w:val="24"/>
        </w:rPr>
        <w:t>to the achievement of policies, aims and objectives, to evaluate the likelihood of those risks being</w:t>
      </w:r>
      <w:r>
        <w:rPr>
          <w:rFonts w:ascii="Arial" w:hAnsi="Arial" w:cs="Arial"/>
          <w:sz w:val="24"/>
          <w:szCs w:val="24"/>
        </w:rPr>
        <w:t xml:space="preserve"> </w:t>
      </w:r>
      <w:proofErr w:type="spellStart"/>
      <w:r w:rsidRPr="003E2D11">
        <w:rPr>
          <w:rFonts w:ascii="Arial" w:hAnsi="Arial" w:cs="Arial"/>
          <w:sz w:val="24"/>
          <w:szCs w:val="24"/>
        </w:rPr>
        <w:t>realised</w:t>
      </w:r>
      <w:proofErr w:type="spellEnd"/>
      <w:r w:rsidRPr="003E2D11">
        <w:rPr>
          <w:rFonts w:ascii="Arial" w:hAnsi="Arial" w:cs="Arial"/>
          <w:sz w:val="24"/>
          <w:szCs w:val="24"/>
        </w:rPr>
        <w:t xml:space="preserve"> and the impact should they be </w:t>
      </w:r>
      <w:proofErr w:type="spellStart"/>
      <w:r w:rsidRPr="003E2D11">
        <w:rPr>
          <w:rFonts w:ascii="Arial" w:hAnsi="Arial" w:cs="Arial"/>
          <w:sz w:val="24"/>
          <w:szCs w:val="24"/>
        </w:rPr>
        <w:t>realised</w:t>
      </w:r>
      <w:proofErr w:type="spellEnd"/>
      <w:r w:rsidRPr="003E2D11">
        <w:rPr>
          <w:rFonts w:ascii="Arial" w:hAnsi="Arial" w:cs="Arial"/>
          <w:sz w:val="24"/>
          <w:szCs w:val="24"/>
        </w:rPr>
        <w:t>, and to manage them effectively, efficiently and</w:t>
      </w:r>
      <w:r>
        <w:rPr>
          <w:rFonts w:ascii="Arial" w:hAnsi="Arial" w:cs="Arial"/>
          <w:sz w:val="24"/>
          <w:szCs w:val="24"/>
        </w:rPr>
        <w:t xml:space="preserve"> </w:t>
      </w:r>
      <w:r w:rsidRPr="003E2D11">
        <w:rPr>
          <w:rFonts w:ascii="Arial" w:hAnsi="Arial" w:cs="Arial"/>
          <w:sz w:val="24"/>
          <w:szCs w:val="24"/>
        </w:rPr>
        <w:t>economically.</w:t>
      </w:r>
    </w:p>
    <w:p w14:paraId="27CAC607" w14:textId="64F8482C" w:rsidR="001F6A80" w:rsidRPr="004C77B7" w:rsidRDefault="001F6A80" w:rsidP="00C35404">
      <w:pPr>
        <w:pStyle w:val="NoSpacing"/>
        <w:spacing w:after="120"/>
        <w:jc w:val="both"/>
        <w:rPr>
          <w:rFonts w:ascii="Arial" w:hAnsi="Arial" w:cs="Arial"/>
          <w:b/>
          <w:bCs/>
          <w:sz w:val="24"/>
          <w:szCs w:val="24"/>
          <w:lang w:val="en-GB"/>
        </w:rPr>
      </w:pPr>
      <w:r w:rsidRPr="004C77B7">
        <w:rPr>
          <w:rFonts w:ascii="Arial" w:hAnsi="Arial" w:cs="Arial"/>
          <w:b/>
          <w:bCs/>
          <w:sz w:val="24"/>
          <w:szCs w:val="24"/>
          <w:lang w:val="en-GB"/>
        </w:rPr>
        <w:t>Internal Financial Controls</w:t>
      </w:r>
    </w:p>
    <w:p w14:paraId="291BCCE4" w14:textId="77777777" w:rsidR="001F6A80" w:rsidRPr="004C77B7" w:rsidRDefault="001F6A80" w:rsidP="00C35404">
      <w:pPr>
        <w:pStyle w:val="NoSpacing"/>
        <w:spacing w:after="120"/>
        <w:jc w:val="both"/>
        <w:rPr>
          <w:rFonts w:ascii="Arial" w:hAnsi="Arial" w:cs="Arial"/>
          <w:sz w:val="24"/>
          <w:szCs w:val="24"/>
          <w:lang w:val="en-GB"/>
        </w:rPr>
      </w:pPr>
      <w:r w:rsidRPr="004C77B7">
        <w:rPr>
          <w:rFonts w:ascii="Arial" w:hAnsi="Arial" w:cs="Arial"/>
          <w:sz w:val="24"/>
          <w:szCs w:val="24"/>
          <w:lang w:val="en-GB"/>
        </w:rPr>
        <w:t>Internal financial control systems are in place to minimise the risk of loss and unlawful expenditure and help to deliver value for money.</w:t>
      </w:r>
    </w:p>
    <w:p w14:paraId="2A901235" w14:textId="77777777" w:rsidR="001F6A80" w:rsidRPr="004C77B7" w:rsidRDefault="001F6A80" w:rsidP="00C35404">
      <w:pPr>
        <w:pStyle w:val="NoSpacing"/>
        <w:spacing w:after="120"/>
        <w:jc w:val="both"/>
        <w:rPr>
          <w:rFonts w:ascii="Arial" w:hAnsi="Arial" w:cs="Arial"/>
          <w:sz w:val="24"/>
          <w:szCs w:val="24"/>
          <w:lang w:val="en-GB"/>
        </w:rPr>
      </w:pPr>
      <w:r w:rsidRPr="004C77B7">
        <w:rPr>
          <w:rFonts w:ascii="Arial" w:hAnsi="Arial" w:cs="Arial"/>
          <w:sz w:val="24"/>
          <w:szCs w:val="24"/>
          <w:lang w:val="en-GB"/>
        </w:rPr>
        <w:t>The key documents that set out the internal financial controls are:</w:t>
      </w:r>
    </w:p>
    <w:p w14:paraId="74174AC0" w14:textId="77777777" w:rsidR="001F6A80" w:rsidRPr="004C77B7" w:rsidRDefault="001F6A80" w:rsidP="004E2882">
      <w:pPr>
        <w:pStyle w:val="NoSpacing"/>
        <w:numPr>
          <w:ilvl w:val="0"/>
          <w:numId w:val="44"/>
        </w:numPr>
        <w:spacing w:after="120"/>
        <w:jc w:val="both"/>
        <w:rPr>
          <w:rFonts w:ascii="Arial" w:hAnsi="Arial" w:cs="Arial"/>
          <w:sz w:val="24"/>
          <w:szCs w:val="24"/>
          <w:lang w:val="en-GB"/>
        </w:rPr>
      </w:pPr>
      <w:r w:rsidRPr="004C77B7">
        <w:rPr>
          <w:rFonts w:ascii="Arial" w:hAnsi="Arial" w:cs="Arial"/>
          <w:sz w:val="24"/>
          <w:szCs w:val="24"/>
          <w:lang w:val="en-GB"/>
        </w:rPr>
        <w:t>Financial Regulations – to secure the proper administration of financial affairs</w:t>
      </w:r>
    </w:p>
    <w:p w14:paraId="3C9B9D3D" w14:textId="77777777" w:rsidR="001F6A80" w:rsidRPr="004C77B7" w:rsidRDefault="001F6A80" w:rsidP="004E2882">
      <w:pPr>
        <w:pStyle w:val="NoSpacing"/>
        <w:numPr>
          <w:ilvl w:val="0"/>
          <w:numId w:val="44"/>
        </w:numPr>
        <w:spacing w:after="120"/>
        <w:jc w:val="both"/>
        <w:rPr>
          <w:rFonts w:ascii="Arial" w:hAnsi="Arial" w:cs="Arial"/>
          <w:sz w:val="24"/>
          <w:szCs w:val="24"/>
          <w:lang w:val="en-GB"/>
        </w:rPr>
      </w:pPr>
      <w:r w:rsidRPr="004C77B7">
        <w:rPr>
          <w:rFonts w:ascii="Arial" w:hAnsi="Arial" w:cs="Arial"/>
          <w:sz w:val="24"/>
          <w:szCs w:val="24"/>
          <w:lang w:val="en-GB"/>
        </w:rPr>
        <w:t>Contract Standing Orders - to ensure procedures are followed in respect of contracts for the supply of goods and services</w:t>
      </w:r>
    </w:p>
    <w:p w14:paraId="38EBFFCF" w14:textId="77777777" w:rsidR="001F6A80" w:rsidRPr="004C77B7" w:rsidRDefault="001F6A80" w:rsidP="004E2882">
      <w:pPr>
        <w:pStyle w:val="NoSpacing"/>
        <w:numPr>
          <w:ilvl w:val="0"/>
          <w:numId w:val="44"/>
        </w:numPr>
        <w:spacing w:after="120"/>
        <w:jc w:val="both"/>
        <w:rPr>
          <w:rFonts w:ascii="Arial" w:hAnsi="Arial" w:cs="Arial"/>
          <w:sz w:val="24"/>
          <w:szCs w:val="24"/>
          <w:lang w:val="en-GB"/>
        </w:rPr>
      </w:pPr>
      <w:r w:rsidRPr="004C77B7">
        <w:rPr>
          <w:rFonts w:ascii="Arial" w:hAnsi="Arial" w:cs="Arial"/>
          <w:sz w:val="24"/>
          <w:szCs w:val="24"/>
          <w:lang w:val="en-GB"/>
        </w:rPr>
        <w:t>Scheme of Delegation - to assign authority and responsibility to officers and staff to carry out specific activities or functions</w:t>
      </w:r>
    </w:p>
    <w:p w14:paraId="50C16916" w14:textId="77777777" w:rsidR="001F6A80" w:rsidRPr="004C77B7" w:rsidRDefault="001F6A80" w:rsidP="004E2882">
      <w:pPr>
        <w:pStyle w:val="NoSpacing"/>
        <w:numPr>
          <w:ilvl w:val="0"/>
          <w:numId w:val="44"/>
        </w:numPr>
        <w:spacing w:after="120"/>
        <w:jc w:val="both"/>
        <w:rPr>
          <w:rFonts w:ascii="Arial" w:hAnsi="Arial" w:cs="Arial"/>
          <w:sz w:val="24"/>
          <w:szCs w:val="24"/>
          <w:lang w:val="en-GB"/>
        </w:rPr>
      </w:pPr>
      <w:r w:rsidRPr="004C77B7">
        <w:rPr>
          <w:rFonts w:ascii="Arial" w:hAnsi="Arial" w:cs="Arial"/>
          <w:sz w:val="24"/>
          <w:szCs w:val="24"/>
          <w:lang w:val="en-GB"/>
        </w:rPr>
        <w:t>Financial Instructions – to provide guidance on the operation of specific financial processes.</w:t>
      </w:r>
    </w:p>
    <w:p w14:paraId="26E9565F" w14:textId="77777777" w:rsidR="001F6A80" w:rsidRDefault="001F6A80" w:rsidP="00C35404">
      <w:pPr>
        <w:jc w:val="both"/>
        <w:rPr>
          <w:rFonts w:ascii="Arial" w:hAnsi="Arial" w:cs="Arial"/>
          <w:b/>
          <w:bCs/>
          <w:sz w:val="24"/>
          <w:szCs w:val="24"/>
        </w:rPr>
      </w:pPr>
    </w:p>
    <w:p w14:paraId="60A34B22" w14:textId="77777777" w:rsidR="001F6A80" w:rsidRDefault="001F6A80" w:rsidP="00C35404">
      <w:pPr>
        <w:pStyle w:val="Bodyindent"/>
        <w:tabs>
          <w:tab w:val="left" w:pos="0"/>
        </w:tabs>
        <w:spacing w:before="0" w:after="120" w:line="240" w:lineRule="auto"/>
        <w:ind w:left="0"/>
        <w:jc w:val="both"/>
        <w:rPr>
          <w:rFonts w:ascii="Arial" w:hAnsi="Arial" w:cs="Arial"/>
          <w:sz w:val="24"/>
          <w:szCs w:val="24"/>
          <w:lang w:val="en-GB"/>
        </w:rPr>
      </w:pPr>
      <w:r>
        <w:rPr>
          <w:rFonts w:ascii="Arial" w:hAnsi="Arial" w:cs="Arial"/>
          <w:b/>
          <w:bCs/>
          <w:color w:val="auto"/>
          <w:sz w:val="24"/>
          <w:szCs w:val="24"/>
          <w:lang w:val="en-GB"/>
        </w:rPr>
        <w:t>The Governance Framework</w:t>
      </w:r>
    </w:p>
    <w:p w14:paraId="73864245" w14:textId="77777777" w:rsidR="001F6A80" w:rsidRDefault="001F6A80" w:rsidP="00C35404">
      <w:pPr>
        <w:pStyle w:val="Body"/>
        <w:spacing w:before="0" w:after="120" w:line="240" w:lineRule="auto"/>
        <w:ind w:left="0" w:firstLine="0"/>
        <w:jc w:val="both"/>
        <w:rPr>
          <w:rFonts w:ascii="Arial" w:hAnsi="Arial" w:cs="Arial"/>
          <w:bCs/>
          <w:color w:val="auto"/>
          <w:sz w:val="24"/>
          <w:szCs w:val="24"/>
          <w:lang w:val="en-GB"/>
        </w:rPr>
      </w:pPr>
      <w:r>
        <w:rPr>
          <w:rFonts w:ascii="Arial" w:hAnsi="Arial" w:cs="Arial"/>
          <w:bCs/>
          <w:color w:val="auto"/>
          <w:sz w:val="24"/>
          <w:szCs w:val="24"/>
          <w:lang w:val="en-GB"/>
        </w:rPr>
        <w:t xml:space="preserve">A framework of governance and internal control has been established, comprising the systems and processes, culture and values by which the Office of the Police and Crime Commissioner (OPCC) is directed and controlled </w:t>
      </w:r>
      <w:proofErr w:type="gramStart"/>
      <w:r>
        <w:rPr>
          <w:rFonts w:ascii="Arial" w:hAnsi="Arial" w:cs="Arial"/>
          <w:bCs/>
          <w:color w:val="auto"/>
          <w:sz w:val="24"/>
          <w:szCs w:val="24"/>
          <w:lang w:val="en-GB"/>
        </w:rPr>
        <w:t>in order to</w:t>
      </w:r>
      <w:proofErr w:type="gramEnd"/>
      <w:r>
        <w:rPr>
          <w:rFonts w:ascii="Arial" w:hAnsi="Arial" w:cs="Arial"/>
          <w:bCs/>
          <w:color w:val="auto"/>
          <w:sz w:val="24"/>
          <w:szCs w:val="24"/>
          <w:lang w:val="en-GB"/>
        </w:rPr>
        <w:t xml:space="preserve"> discharge the two primary statutory duties:</w:t>
      </w:r>
    </w:p>
    <w:p w14:paraId="00A958FE" w14:textId="77777777" w:rsidR="001F6A80" w:rsidRDefault="001F6A80" w:rsidP="004E2882">
      <w:pPr>
        <w:pStyle w:val="Body"/>
        <w:numPr>
          <w:ilvl w:val="0"/>
          <w:numId w:val="39"/>
        </w:numPr>
        <w:spacing w:before="0" w:line="240" w:lineRule="auto"/>
        <w:jc w:val="both"/>
        <w:rPr>
          <w:rFonts w:ascii="Arial" w:hAnsi="Arial" w:cs="Arial"/>
          <w:bCs/>
          <w:color w:val="auto"/>
          <w:sz w:val="24"/>
          <w:szCs w:val="24"/>
          <w:lang w:val="en-GB"/>
        </w:rPr>
      </w:pPr>
      <w:r>
        <w:rPr>
          <w:rFonts w:ascii="Arial" w:hAnsi="Arial" w:cs="Arial"/>
          <w:bCs/>
          <w:color w:val="auto"/>
          <w:sz w:val="24"/>
          <w:szCs w:val="24"/>
          <w:lang w:val="en-GB"/>
        </w:rPr>
        <w:t>to secure an effective and efficient local police service; and</w:t>
      </w:r>
    </w:p>
    <w:p w14:paraId="7BC7A890" w14:textId="77777777" w:rsidR="001F6A80" w:rsidRDefault="001F6A80" w:rsidP="004E2882">
      <w:pPr>
        <w:pStyle w:val="Body"/>
        <w:numPr>
          <w:ilvl w:val="0"/>
          <w:numId w:val="39"/>
        </w:numPr>
        <w:spacing w:before="0" w:after="120" w:line="240" w:lineRule="auto"/>
        <w:jc w:val="both"/>
        <w:rPr>
          <w:rFonts w:ascii="Arial" w:hAnsi="Arial" w:cs="Arial"/>
          <w:bCs/>
          <w:color w:val="auto"/>
          <w:sz w:val="24"/>
          <w:szCs w:val="24"/>
          <w:lang w:val="en-GB"/>
        </w:rPr>
      </w:pPr>
      <w:r>
        <w:rPr>
          <w:rFonts w:ascii="Arial" w:hAnsi="Arial" w:cs="Arial"/>
          <w:bCs/>
          <w:color w:val="auto"/>
          <w:sz w:val="24"/>
          <w:szCs w:val="24"/>
          <w:lang w:val="en-GB"/>
        </w:rPr>
        <w:t>to hold the Chief Constable to account for the exercise of her functions and those of officers and staff under her direction and control.</w:t>
      </w:r>
    </w:p>
    <w:p w14:paraId="359AA788" w14:textId="77777777" w:rsidR="001F6A80" w:rsidRDefault="001F6A80" w:rsidP="00C35404">
      <w:pPr>
        <w:jc w:val="both"/>
        <w:rPr>
          <w:rFonts w:ascii="Arial" w:hAnsi="Arial" w:cs="Arial"/>
          <w:bCs/>
          <w:sz w:val="24"/>
          <w:szCs w:val="24"/>
        </w:rPr>
      </w:pPr>
    </w:p>
    <w:p w14:paraId="0919DE28" w14:textId="5404DCF5" w:rsidR="001F6A80" w:rsidRDefault="001F6A80" w:rsidP="00C35404">
      <w:pPr>
        <w:jc w:val="both"/>
        <w:rPr>
          <w:rFonts w:ascii="Arial" w:hAnsi="Arial" w:cs="Arial"/>
          <w:bCs/>
          <w:sz w:val="24"/>
          <w:szCs w:val="24"/>
        </w:rPr>
      </w:pPr>
      <w:r>
        <w:rPr>
          <w:rFonts w:ascii="Arial" w:hAnsi="Arial" w:cs="Arial"/>
          <w:bCs/>
          <w:sz w:val="24"/>
          <w:szCs w:val="24"/>
        </w:rPr>
        <w:t>The system of internal control is a significant part of that framework and is based on an on-going process designed to identify and prioritise the risks to the achievement of the PCC and Chief Constable’s policies, aims and objectives, to evaluate the likelihood of those risks being realised and the impact should they be realised, and to manage them efficiently, effectively and economically. The Chartered Institute for Public Finance and Accountancy (CIPFA) has identified the principles of good governance for public services and those specifically relating to policing services are</w:t>
      </w:r>
      <w:r w:rsidR="00DC2030">
        <w:rPr>
          <w:rFonts w:ascii="Arial" w:hAnsi="Arial" w:cs="Arial"/>
          <w:bCs/>
          <w:sz w:val="24"/>
          <w:szCs w:val="24"/>
        </w:rPr>
        <w:t>:</w:t>
      </w:r>
    </w:p>
    <w:p w14:paraId="406C5E87" w14:textId="77777777" w:rsidR="001F6A80" w:rsidRDefault="001F6A80" w:rsidP="00C35404">
      <w:pPr>
        <w:jc w:val="both"/>
        <w:rPr>
          <w:rFonts w:ascii="Arial" w:hAnsi="Arial" w:cs="Arial"/>
          <w:bCs/>
          <w:sz w:val="24"/>
          <w:szCs w:val="24"/>
        </w:rPr>
      </w:pPr>
    </w:p>
    <w:p w14:paraId="18732B26" w14:textId="77777777" w:rsidR="001F6A80" w:rsidRDefault="001F6A80" w:rsidP="004E2882">
      <w:pPr>
        <w:pStyle w:val="Body"/>
        <w:numPr>
          <w:ilvl w:val="0"/>
          <w:numId w:val="40"/>
        </w:numPr>
        <w:spacing w:before="0" w:after="120" w:line="240" w:lineRule="auto"/>
        <w:jc w:val="both"/>
        <w:rPr>
          <w:rFonts w:ascii="Arial" w:hAnsi="Arial" w:cs="Arial"/>
          <w:bCs/>
          <w:color w:val="auto"/>
          <w:sz w:val="24"/>
          <w:szCs w:val="24"/>
          <w:lang w:val="en-GB"/>
        </w:rPr>
      </w:pPr>
      <w:r>
        <w:rPr>
          <w:rFonts w:ascii="Arial" w:hAnsi="Arial" w:cs="Arial"/>
          <w:bCs/>
          <w:color w:val="auto"/>
          <w:sz w:val="24"/>
          <w:szCs w:val="24"/>
          <w:lang w:val="en-GB"/>
        </w:rPr>
        <w:t>Behaving with integrity, demonstrating strong commitment to ethical values and respecting the rule of law</w:t>
      </w:r>
    </w:p>
    <w:p w14:paraId="154B1CEF" w14:textId="77777777" w:rsidR="001F6A80" w:rsidRDefault="001F6A80" w:rsidP="004E2882">
      <w:pPr>
        <w:pStyle w:val="Body"/>
        <w:numPr>
          <w:ilvl w:val="0"/>
          <w:numId w:val="40"/>
        </w:numPr>
        <w:spacing w:before="0" w:after="120" w:line="240" w:lineRule="auto"/>
        <w:jc w:val="both"/>
        <w:rPr>
          <w:rFonts w:ascii="Arial" w:hAnsi="Arial" w:cs="Arial"/>
          <w:bCs/>
          <w:color w:val="auto"/>
          <w:sz w:val="24"/>
          <w:szCs w:val="24"/>
          <w:lang w:val="en-GB"/>
        </w:rPr>
      </w:pPr>
      <w:r>
        <w:rPr>
          <w:rFonts w:ascii="Arial" w:hAnsi="Arial" w:cs="Arial"/>
          <w:bCs/>
          <w:color w:val="auto"/>
          <w:sz w:val="24"/>
          <w:szCs w:val="24"/>
          <w:lang w:val="en-GB"/>
        </w:rPr>
        <w:t>Ensuring openness and comprehensive stakeholder engagement.</w:t>
      </w:r>
    </w:p>
    <w:p w14:paraId="7DA1C547" w14:textId="77777777" w:rsidR="001F6A80" w:rsidRDefault="001F6A80" w:rsidP="004E2882">
      <w:pPr>
        <w:pStyle w:val="Body"/>
        <w:numPr>
          <w:ilvl w:val="0"/>
          <w:numId w:val="40"/>
        </w:numPr>
        <w:spacing w:before="0" w:after="120" w:line="240" w:lineRule="auto"/>
        <w:jc w:val="both"/>
        <w:rPr>
          <w:rFonts w:ascii="Arial" w:hAnsi="Arial" w:cs="Arial"/>
          <w:bCs/>
          <w:color w:val="auto"/>
          <w:sz w:val="24"/>
          <w:szCs w:val="24"/>
          <w:lang w:val="en-GB"/>
        </w:rPr>
      </w:pPr>
      <w:r>
        <w:rPr>
          <w:rFonts w:ascii="Arial" w:hAnsi="Arial" w:cs="Arial"/>
          <w:bCs/>
          <w:color w:val="auto"/>
          <w:sz w:val="24"/>
          <w:szCs w:val="24"/>
          <w:lang w:val="en-GB"/>
        </w:rPr>
        <w:t>Defining outcomes in terms of sustainable economic, social and environmental benefits.</w:t>
      </w:r>
    </w:p>
    <w:p w14:paraId="421A276F" w14:textId="77777777" w:rsidR="001F6A80" w:rsidRDefault="001F6A80" w:rsidP="004E2882">
      <w:pPr>
        <w:pStyle w:val="Body"/>
        <w:numPr>
          <w:ilvl w:val="0"/>
          <w:numId w:val="40"/>
        </w:numPr>
        <w:spacing w:before="0" w:after="120" w:line="240" w:lineRule="auto"/>
        <w:jc w:val="both"/>
        <w:rPr>
          <w:rFonts w:ascii="Arial" w:hAnsi="Arial" w:cs="Arial"/>
          <w:bCs/>
          <w:color w:val="auto"/>
          <w:sz w:val="24"/>
          <w:szCs w:val="24"/>
          <w:lang w:val="en-GB"/>
        </w:rPr>
      </w:pPr>
      <w:r>
        <w:rPr>
          <w:rFonts w:ascii="Arial" w:hAnsi="Arial" w:cs="Arial"/>
          <w:bCs/>
          <w:color w:val="auto"/>
          <w:sz w:val="24"/>
          <w:szCs w:val="24"/>
          <w:lang w:val="en-GB"/>
        </w:rPr>
        <w:t>Determining the interventions necessary to optimise the achievement of the intended outcomes</w:t>
      </w:r>
    </w:p>
    <w:p w14:paraId="0067A3DF" w14:textId="77777777" w:rsidR="001F6A80" w:rsidRDefault="001F6A80" w:rsidP="004E2882">
      <w:pPr>
        <w:pStyle w:val="Body"/>
        <w:numPr>
          <w:ilvl w:val="0"/>
          <w:numId w:val="40"/>
        </w:numPr>
        <w:spacing w:before="0" w:after="120" w:line="240" w:lineRule="auto"/>
        <w:jc w:val="both"/>
        <w:rPr>
          <w:rFonts w:ascii="Arial" w:hAnsi="Arial" w:cs="Arial"/>
          <w:bCs/>
          <w:color w:val="auto"/>
          <w:sz w:val="24"/>
          <w:szCs w:val="24"/>
          <w:lang w:val="en-GB"/>
        </w:rPr>
      </w:pPr>
      <w:r>
        <w:rPr>
          <w:rFonts w:ascii="Arial" w:hAnsi="Arial" w:cs="Arial"/>
          <w:bCs/>
          <w:color w:val="auto"/>
          <w:sz w:val="24"/>
          <w:szCs w:val="24"/>
          <w:lang w:val="en-GB"/>
        </w:rPr>
        <w:t>Developing the entity’s capacity, including the capability of its leadership and the individuals within it.</w:t>
      </w:r>
    </w:p>
    <w:p w14:paraId="23064D9F" w14:textId="77777777" w:rsidR="001F6A80" w:rsidRDefault="001F6A80" w:rsidP="004E2882">
      <w:pPr>
        <w:pStyle w:val="Body"/>
        <w:numPr>
          <w:ilvl w:val="0"/>
          <w:numId w:val="40"/>
        </w:numPr>
        <w:spacing w:before="0" w:after="120" w:line="240" w:lineRule="auto"/>
        <w:jc w:val="both"/>
        <w:rPr>
          <w:rFonts w:ascii="Arial" w:hAnsi="Arial" w:cs="Arial"/>
          <w:bCs/>
          <w:color w:val="auto"/>
          <w:sz w:val="24"/>
          <w:szCs w:val="24"/>
          <w:lang w:val="en-GB"/>
        </w:rPr>
      </w:pPr>
      <w:r>
        <w:rPr>
          <w:rFonts w:ascii="Arial" w:hAnsi="Arial" w:cs="Arial"/>
          <w:bCs/>
          <w:color w:val="auto"/>
          <w:sz w:val="24"/>
          <w:szCs w:val="24"/>
          <w:lang w:val="en-GB"/>
        </w:rPr>
        <w:t>Managing risks and performance through robust internal control and strong public financial management.</w:t>
      </w:r>
    </w:p>
    <w:p w14:paraId="43DC9BAA" w14:textId="77777777" w:rsidR="001F6A80" w:rsidRDefault="001F6A80" w:rsidP="004E2882">
      <w:pPr>
        <w:pStyle w:val="Body"/>
        <w:numPr>
          <w:ilvl w:val="0"/>
          <w:numId w:val="40"/>
        </w:numPr>
        <w:spacing w:before="0" w:after="120" w:line="240" w:lineRule="auto"/>
        <w:jc w:val="both"/>
        <w:rPr>
          <w:rFonts w:ascii="Arial" w:hAnsi="Arial" w:cs="Arial"/>
          <w:bCs/>
          <w:color w:val="auto"/>
          <w:sz w:val="24"/>
          <w:szCs w:val="24"/>
          <w:lang w:val="en-GB"/>
        </w:rPr>
      </w:pPr>
      <w:r>
        <w:rPr>
          <w:rFonts w:ascii="Arial" w:hAnsi="Arial" w:cs="Arial"/>
          <w:bCs/>
          <w:color w:val="auto"/>
          <w:sz w:val="24"/>
          <w:szCs w:val="24"/>
          <w:lang w:val="en-GB"/>
        </w:rPr>
        <w:t>Implementing good practices in transparency, reporting and audit to deliver effective accountability</w:t>
      </w:r>
    </w:p>
    <w:p w14:paraId="3AC1D4AC" w14:textId="77777777" w:rsidR="007C397D" w:rsidRDefault="007C397D" w:rsidP="00C35404">
      <w:pPr>
        <w:pStyle w:val="Bodyindent"/>
        <w:spacing w:before="0" w:after="160" w:line="240" w:lineRule="auto"/>
        <w:ind w:left="0"/>
        <w:jc w:val="both"/>
        <w:rPr>
          <w:rFonts w:ascii="Arial" w:hAnsi="Arial" w:cs="Arial"/>
          <w:b/>
          <w:bCs/>
          <w:color w:val="auto"/>
          <w:sz w:val="24"/>
          <w:szCs w:val="24"/>
          <w:lang w:val="en-GB"/>
        </w:rPr>
      </w:pPr>
    </w:p>
    <w:p w14:paraId="71F890EB" w14:textId="0AD8D075" w:rsidR="001F6A80" w:rsidRDefault="001F6A80" w:rsidP="00C35404">
      <w:pPr>
        <w:pStyle w:val="Bodyindent"/>
        <w:spacing w:before="0" w:after="160" w:line="240" w:lineRule="auto"/>
        <w:ind w:left="0"/>
        <w:jc w:val="both"/>
        <w:rPr>
          <w:rFonts w:ascii="Arial" w:hAnsi="Arial" w:cs="Arial"/>
          <w:b/>
          <w:bCs/>
          <w:color w:val="auto"/>
          <w:sz w:val="24"/>
          <w:szCs w:val="24"/>
          <w:lang w:val="en-GB"/>
        </w:rPr>
      </w:pPr>
      <w:r>
        <w:rPr>
          <w:rFonts w:ascii="Arial" w:hAnsi="Arial" w:cs="Arial"/>
          <w:b/>
          <w:bCs/>
          <w:color w:val="auto"/>
          <w:sz w:val="24"/>
          <w:szCs w:val="24"/>
          <w:lang w:val="en-GB"/>
        </w:rPr>
        <w:t>Delivering Good Governance Framework</w:t>
      </w:r>
    </w:p>
    <w:p w14:paraId="67DC7A03" w14:textId="77777777" w:rsidR="001F6A80" w:rsidRDefault="001F6A80" w:rsidP="004E2882">
      <w:pPr>
        <w:pStyle w:val="ListParagraph"/>
        <w:numPr>
          <w:ilvl w:val="0"/>
          <w:numId w:val="41"/>
        </w:numPr>
        <w:ind w:left="426"/>
        <w:contextualSpacing w:val="0"/>
        <w:jc w:val="both"/>
        <w:rPr>
          <w:rFonts w:asciiTheme="minorHAnsi" w:hAnsiTheme="minorHAnsi" w:cs="Arial"/>
          <w:b/>
          <w:sz w:val="28"/>
          <w:szCs w:val="28"/>
        </w:rPr>
      </w:pPr>
      <w:r>
        <w:rPr>
          <w:rFonts w:asciiTheme="minorHAnsi" w:hAnsiTheme="minorHAnsi" w:cs="Arial"/>
          <w:b/>
          <w:sz w:val="28"/>
          <w:szCs w:val="28"/>
        </w:rPr>
        <w:t>Behaving with integrity, demonstrating strong commitment to ethical values and respecting the rule of law</w:t>
      </w:r>
    </w:p>
    <w:p w14:paraId="1041A706" w14:textId="77777777" w:rsidR="001F6A80" w:rsidRPr="004264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The PCC and the Chief Constable have developed and approved a ‘Joint Corporate</w:t>
      </w:r>
      <w:r>
        <w:rPr>
          <w:rFonts w:ascii="Arial" w:hAnsi="Arial" w:cs="Arial"/>
          <w:bCs/>
          <w:color w:val="auto"/>
          <w:sz w:val="24"/>
          <w:szCs w:val="24"/>
          <w:lang w:val="en-GB"/>
        </w:rPr>
        <w:t xml:space="preserve"> </w:t>
      </w:r>
      <w:r w:rsidRPr="00426480">
        <w:rPr>
          <w:rFonts w:ascii="Arial" w:hAnsi="Arial" w:cs="Arial"/>
          <w:bCs/>
          <w:color w:val="auto"/>
          <w:sz w:val="24"/>
          <w:szCs w:val="24"/>
          <w:lang w:val="en-GB"/>
        </w:rPr>
        <w:t>Governance Framework’ which clarifies the working relationship between the PCC,</w:t>
      </w:r>
      <w:r>
        <w:rPr>
          <w:rFonts w:ascii="Arial" w:hAnsi="Arial" w:cs="Arial"/>
          <w:bCs/>
          <w:color w:val="auto"/>
          <w:sz w:val="24"/>
          <w:szCs w:val="24"/>
          <w:lang w:val="en-GB"/>
        </w:rPr>
        <w:t xml:space="preserve"> </w:t>
      </w:r>
      <w:r w:rsidRPr="00426480">
        <w:rPr>
          <w:rFonts w:ascii="Arial" w:hAnsi="Arial" w:cs="Arial"/>
          <w:bCs/>
          <w:color w:val="auto"/>
          <w:sz w:val="24"/>
          <w:szCs w:val="24"/>
          <w:lang w:val="en-GB"/>
        </w:rPr>
        <w:t>Chief Constable and their respective staff. This includes the code of corporate governance, the scheme of delegation and financial regulations. The Framework is informed by the requirements of ‘The Good Governance Standard for Public Services’ and is consistent with the seven Nolan Principles of standards in public life.</w:t>
      </w:r>
    </w:p>
    <w:p w14:paraId="41B1542A" w14:textId="0A6C34E7" w:rsidR="001F6A80" w:rsidRPr="004264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 xml:space="preserve">The national police service Code of Ethics sets and defines exemplary standards of behaviour for everyone who works in policing, placing an absolute duty on officers and staff. The Code applies to everyone in </w:t>
      </w:r>
      <w:r w:rsidR="00DC2030" w:rsidRPr="00426480">
        <w:rPr>
          <w:rFonts w:ascii="Arial" w:hAnsi="Arial" w:cs="Arial"/>
          <w:bCs/>
          <w:color w:val="auto"/>
          <w:sz w:val="24"/>
          <w:szCs w:val="24"/>
          <w:lang w:val="en-GB"/>
        </w:rPr>
        <w:t>policing,</w:t>
      </w:r>
      <w:r w:rsidRPr="00426480">
        <w:rPr>
          <w:rFonts w:ascii="Arial" w:hAnsi="Arial" w:cs="Arial"/>
          <w:bCs/>
          <w:color w:val="auto"/>
          <w:sz w:val="24"/>
          <w:szCs w:val="24"/>
          <w:lang w:val="en-GB"/>
        </w:rPr>
        <w:t xml:space="preserve"> officers, staff, volunteers and contractors. It applies both on and off duty. It guides behaviour within the organisation as much as it informs how to deal with those outside.</w:t>
      </w:r>
    </w:p>
    <w:p w14:paraId="4AF6B7EF" w14:textId="77777777" w:rsidR="001F6A80" w:rsidRPr="004264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 xml:space="preserve">Measures are in place to ensure that the PCC, Deputy PCC and employees of the Office of the PCC (OPCC) and </w:t>
      </w:r>
      <w:r>
        <w:rPr>
          <w:rFonts w:ascii="Arial" w:hAnsi="Arial" w:cs="Arial"/>
          <w:bCs/>
          <w:color w:val="auto"/>
          <w:sz w:val="24"/>
          <w:szCs w:val="24"/>
          <w:lang w:val="en-GB"/>
        </w:rPr>
        <w:t xml:space="preserve">Lancashire Constabulary </w:t>
      </w:r>
      <w:r w:rsidRPr="00426480">
        <w:rPr>
          <w:rFonts w:ascii="Arial" w:hAnsi="Arial" w:cs="Arial"/>
          <w:bCs/>
          <w:color w:val="auto"/>
          <w:sz w:val="24"/>
          <w:szCs w:val="24"/>
          <w:lang w:val="en-GB"/>
        </w:rPr>
        <w:t>are not influenced by prejudice, bias or conflicts of interest in dealing with different stakeholders. This includes the Anti-Fraud, Bribery and Corruption Policy and guidance on the acceptance of gifts, loans and hospitality. Notifications of disclosable interests and a register of gifts and hospitability are published on the PCC and the Force websites.</w:t>
      </w:r>
    </w:p>
    <w:p w14:paraId="75FB1C25" w14:textId="77777777" w:rsidR="001F6A80" w:rsidRPr="004264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The PCC and Chief Constable have transparent and accessible arrangements for dealing with complaints received from the public.</w:t>
      </w:r>
    </w:p>
    <w:p w14:paraId="634F84BF" w14:textId="77777777" w:rsidR="00040118" w:rsidRDefault="00040118">
      <w:pPr>
        <w:rPr>
          <w:rFonts w:ascii="Arial" w:hAnsi="Arial" w:cs="Arial"/>
          <w:bCs/>
          <w:sz w:val="24"/>
          <w:szCs w:val="24"/>
        </w:rPr>
      </w:pPr>
      <w:r>
        <w:rPr>
          <w:rFonts w:ascii="Arial" w:hAnsi="Arial" w:cs="Arial"/>
          <w:bCs/>
          <w:sz w:val="24"/>
          <w:szCs w:val="24"/>
        </w:rPr>
        <w:br w:type="page"/>
      </w:r>
    </w:p>
    <w:p w14:paraId="3D73ACDB" w14:textId="28947B6B"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lastRenderedPageBreak/>
        <w:t xml:space="preserve">The Force has a Professional Standards Department (PSD) whose role is to uphold the ethical and professional standards of </w:t>
      </w:r>
      <w:r>
        <w:rPr>
          <w:rFonts w:ascii="Arial" w:hAnsi="Arial" w:cs="Arial"/>
          <w:bCs/>
          <w:color w:val="auto"/>
          <w:sz w:val="24"/>
          <w:szCs w:val="24"/>
          <w:lang w:val="en-GB"/>
        </w:rPr>
        <w:t>Lancashire Constabulary</w:t>
      </w:r>
      <w:r w:rsidRPr="00426480">
        <w:rPr>
          <w:rFonts w:ascii="Arial" w:hAnsi="Arial" w:cs="Arial"/>
          <w:bCs/>
          <w:color w:val="auto"/>
          <w:sz w:val="24"/>
          <w:szCs w:val="24"/>
          <w:lang w:val="en-GB"/>
        </w:rPr>
        <w:t>. PSD manages the application of police misconduct regulations, and the administration of complaints by members of the public against the quality of service they have received from the Force and/or the conduct of police officers and police staff below the rank of Chief</w:t>
      </w:r>
      <w:r>
        <w:rPr>
          <w:rFonts w:ascii="Arial" w:hAnsi="Arial" w:cs="Arial"/>
          <w:bCs/>
          <w:color w:val="auto"/>
          <w:sz w:val="24"/>
          <w:szCs w:val="24"/>
          <w:lang w:val="en-GB"/>
        </w:rPr>
        <w:t xml:space="preserve"> </w:t>
      </w:r>
      <w:r w:rsidRPr="00426480">
        <w:rPr>
          <w:rFonts w:ascii="Arial" w:hAnsi="Arial" w:cs="Arial"/>
          <w:bCs/>
          <w:color w:val="auto"/>
          <w:sz w:val="24"/>
          <w:szCs w:val="24"/>
          <w:lang w:val="en-GB"/>
        </w:rPr>
        <w:t>Constable.</w:t>
      </w:r>
    </w:p>
    <w:p w14:paraId="19BB1950" w14:textId="77777777" w:rsidR="001F6A80" w:rsidRPr="004264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 xml:space="preserve">The PCC has a statutory responsibility to undertake reviews (formerly known as ‘appeals’) of the handling and outcome of complaints made against the Force, where requested by complainants, to improve transparency and accountability on behalf of the public. Furthermore, complaints against the Chief Constable are dealt with by the PCC. The independent </w:t>
      </w:r>
      <w:r>
        <w:rPr>
          <w:rFonts w:ascii="Arial" w:hAnsi="Arial" w:cs="Arial"/>
          <w:bCs/>
          <w:color w:val="auto"/>
          <w:sz w:val="24"/>
          <w:szCs w:val="24"/>
          <w:lang w:val="en-GB"/>
        </w:rPr>
        <w:t>Lancashire</w:t>
      </w:r>
      <w:r w:rsidRPr="00426480">
        <w:rPr>
          <w:rFonts w:ascii="Arial" w:hAnsi="Arial" w:cs="Arial"/>
          <w:bCs/>
          <w:color w:val="auto"/>
          <w:sz w:val="24"/>
          <w:szCs w:val="24"/>
          <w:lang w:val="en-GB"/>
        </w:rPr>
        <w:t xml:space="preserve"> Police and Crime Panel (PCP) handles formal complaints made against the PCC.</w:t>
      </w:r>
    </w:p>
    <w:p w14:paraId="39C6DE0A"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Both the PCC and Chief Constable are required to demonstrate respect for the rule of law and comply with relevant laws and regulations. To that end, both employ in-house legal advisors to provide assurance and guidance upon lawful decision-making.</w:t>
      </w:r>
    </w:p>
    <w:p w14:paraId="1D410684"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The PCC is independent of Force management and operational decision-making, which is the responsibility of the Chief Constable. Established mechanisms and guidance are in place to ensure that the PCC and Chief Constable do not breach or misuse their legal and regulatory powers inadvertently.</w:t>
      </w:r>
    </w:p>
    <w:p w14:paraId="62A3CA78" w14:textId="77777777" w:rsidR="001F6A80" w:rsidRPr="004264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 xml:space="preserve">The PCC and his Deputy are subject to the PCC’s Code of Conduct and Oath of Office, and the Chief Constable (and all other individuals who work in policing) are subject to the College of Policing’s Code of Ethics, both of which are consistent with the Nolan principles. The Chief </w:t>
      </w:r>
      <w:r>
        <w:rPr>
          <w:rFonts w:ascii="Arial" w:hAnsi="Arial" w:cs="Arial"/>
          <w:bCs/>
          <w:color w:val="auto"/>
          <w:sz w:val="24"/>
          <w:szCs w:val="24"/>
          <w:lang w:val="en-GB"/>
        </w:rPr>
        <w:t>Executive</w:t>
      </w:r>
      <w:r w:rsidRPr="00426480">
        <w:rPr>
          <w:rFonts w:ascii="Arial" w:hAnsi="Arial" w:cs="Arial"/>
          <w:bCs/>
          <w:color w:val="auto"/>
          <w:sz w:val="24"/>
          <w:szCs w:val="24"/>
          <w:lang w:val="en-GB"/>
        </w:rPr>
        <w:t xml:space="preserve"> of the OPCC is also the designated statutory Monitoring Officer with responsibility for advising on the legality and appropriateness of the PCC’s actions and decisions.</w:t>
      </w:r>
    </w:p>
    <w:p w14:paraId="409B599A" w14:textId="77777777" w:rsidR="001F6A80" w:rsidRPr="004264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The PCC and Chief Constable create the conditions for all members of the OPCC and Force to be able to discharge their responsibilities in accordance with good practice. Guidance originating from the College of Policing and NPCC is disseminated Force-wide by the Learning and Development Team in People Services and/or the Policing Strategy Unit. Similarly, best practice for PCCs is obtained via the Association of Police and Crime Commissioners (APCC), Association of Policing and Crime Chief Executives (APAC2E) and Police and Crime Commissioners’ Treasurers Society (PACCTS</w:t>
      </w:r>
      <w:proofErr w:type="gramStart"/>
      <w:r w:rsidRPr="00426480">
        <w:rPr>
          <w:rFonts w:ascii="Arial" w:hAnsi="Arial" w:cs="Arial"/>
          <w:bCs/>
          <w:color w:val="auto"/>
          <w:sz w:val="24"/>
          <w:szCs w:val="24"/>
          <w:lang w:val="en-GB"/>
        </w:rPr>
        <w:t>), and</w:t>
      </w:r>
      <w:proofErr w:type="gramEnd"/>
      <w:r w:rsidRPr="00426480">
        <w:rPr>
          <w:rFonts w:ascii="Arial" w:hAnsi="Arial" w:cs="Arial"/>
          <w:bCs/>
          <w:color w:val="auto"/>
          <w:sz w:val="24"/>
          <w:szCs w:val="24"/>
          <w:lang w:val="en-GB"/>
        </w:rPr>
        <w:t xml:space="preserve"> is disseminated amongst the OPCC.</w:t>
      </w:r>
    </w:p>
    <w:p w14:paraId="22C93407" w14:textId="77777777" w:rsidR="001F6A80" w:rsidRPr="00426480" w:rsidRDefault="001F6A80" w:rsidP="00C35404">
      <w:pPr>
        <w:pStyle w:val="Bodyindent"/>
        <w:spacing w:before="0" w:after="120" w:line="240" w:lineRule="auto"/>
        <w:ind w:left="0"/>
        <w:jc w:val="both"/>
        <w:rPr>
          <w:rFonts w:ascii="Arial" w:hAnsi="Arial" w:cs="Arial"/>
          <w:bCs/>
          <w:color w:val="auto"/>
          <w:sz w:val="24"/>
          <w:szCs w:val="24"/>
          <w:lang w:val="en-GB"/>
        </w:rPr>
      </w:pPr>
      <w:r w:rsidRPr="00426480">
        <w:rPr>
          <w:rFonts w:ascii="Arial" w:hAnsi="Arial" w:cs="Arial"/>
          <w:bCs/>
          <w:color w:val="auto"/>
          <w:sz w:val="24"/>
          <w:szCs w:val="24"/>
          <w:lang w:val="en-GB"/>
        </w:rPr>
        <w:t>The Force employs a Force Vetting Manager and team within the Professional Standards Department to ensure compliance with relevant national vetting standards.</w:t>
      </w:r>
    </w:p>
    <w:p w14:paraId="1BDDA42C" w14:textId="77777777" w:rsidR="001F6A80" w:rsidRDefault="001F6A80" w:rsidP="004E2882">
      <w:pPr>
        <w:pStyle w:val="ListParagraph"/>
        <w:numPr>
          <w:ilvl w:val="0"/>
          <w:numId w:val="41"/>
        </w:numPr>
        <w:ind w:left="426"/>
        <w:contextualSpacing w:val="0"/>
        <w:jc w:val="both"/>
        <w:rPr>
          <w:rFonts w:asciiTheme="minorHAnsi" w:hAnsiTheme="minorHAnsi" w:cs="Arial"/>
          <w:b/>
          <w:sz w:val="28"/>
          <w:szCs w:val="28"/>
        </w:rPr>
      </w:pPr>
      <w:r>
        <w:rPr>
          <w:rFonts w:asciiTheme="minorHAnsi" w:hAnsiTheme="minorHAnsi" w:cs="Arial"/>
          <w:b/>
          <w:sz w:val="28"/>
          <w:szCs w:val="28"/>
        </w:rPr>
        <w:t>Ensuring openness and comprehensive stakeholder engagement.</w:t>
      </w:r>
    </w:p>
    <w:p w14:paraId="20EFE53B" w14:textId="77777777" w:rsidR="001F6A80" w:rsidRPr="004F61FD"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 xml:space="preserve">The PCC has a statutory responsibility to consult the Chief Constable and obtain the views of the community and victims of crime about the policing of the Force area, and he must have regard to their views as well as the priorities of responsible authorities within </w:t>
      </w:r>
      <w:r>
        <w:rPr>
          <w:rFonts w:ascii="Arial" w:hAnsi="Arial" w:cs="Arial"/>
          <w:bCs/>
          <w:color w:val="auto"/>
          <w:sz w:val="24"/>
          <w:szCs w:val="24"/>
          <w:lang w:val="en-GB"/>
        </w:rPr>
        <w:t>Lancashire</w:t>
      </w:r>
      <w:r w:rsidRPr="004F61FD">
        <w:rPr>
          <w:rFonts w:ascii="Arial" w:hAnsi="Arial" w:cs="Arial"/>
          <w:bCs/>
          <w:color w:val="auto"/>
          <w:sz w:val="24"/>
          <w:szCs w:val="24"/>
          <w:lang w:val="en-GB"/>
        </w:rPr>
        <w:t xml:space="preserve"> and relevant government bodies before issuing a police and crime plan.</w:t>
      </w:r>
    </w:p>
    <w:p w14:paraId="2E39D995" w14:textId="77777777" w:rsidR="001F6A80" w:rsidRPr="004F61FD"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The Police and Crime Plan must be published by the end of the financial year in which the PCC is elected and, may be reviewed and revised, as necessary and appropriate, to ensure it remains relevant and fit for purpose. In so doing, the PCC is helping to ensure that local policing services address the priorities of local communities and that the Force is being held to account for the way services are delivered to the public.</w:t>
      </w:r>
    </w:p>
    <w:p w14:paraId="7C5CF81A"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The PCC’s ‘Police and Crime Plan 202</w:t>
      </w:r>
      <w:r>
        <w:rPr>
          <w:rFonts w:ascii="Arial" w:hAnsi="Arial" w:cs="Arial"/>
          <w:bCs/>
          <w:color w:val="auto"/>
          <w:sz w:val="24"/>
          <w:szCs w:val="24"/>
          <w:lang w:val="en-GB"/>
        </w:rPr>
        <w:t>4</w:t>
      </w:r>
      <w:r w:rsidRPr="004F61FD">
        <w:rPr>
          <w:rFonts w:ascii="Arial" w:hAnsi="Arial" w:cs="Arial"/>
          <w:bCs/>
          <w:color w:val="auto"/>
          <w:sz w:val="24"/>
          <w:szCs w:val="24"/>
          <w:lang w:val="en-GB"/>
        </w:rPr>
        <w:t>-202</w:t>
      </w:r>
      <w:r>
        <w:rPr>
          <w:rFonts w:ascii="Arial" w:hAnsi="Arial" w:cs="Arial"/>
          <w:bCs/>
          <w:color w:val="auto"/>
          <w:sz w:val="24"/>
          <w:szCs w:val="24"/>
          <w:lang w:val="en-GB"/>
        </w:rPr>
        <w:t>9</w:t>
      </w:r>
      <w:r w:rsidRPr="004F61FD">
        <w:rPr>
          <w:rFonts w:ascii="Arial" w:hAnsi="Arial" w:cs="Arial"/>
          <w:bCs/>
          <w:color w:val="auto"/>
          <w:sz w:val="24"/>
          <w:szCs w:val="24"/>
          <w:lang w:val="en-GB"/>
        </w:rPr>
        <w:t>’ discharges the above duties and sets out his strategic policing and crime reduction priorities and key aims, and how these will be delivered, over the four-year period of his current tenure of office. The delivery of his Plan is supported by the Force’s Strategic Plan</w:t>
      </w:r>
      <w:r>
        <w:rPr>
          <w:rFonts w:ascii="Arial" w:hAnsi="Arial" w:cs="Arial"/>
          <w:bCs/>
          <w:color w:val="auto"/>
          <w:sz w:val="24"/>
          <w:szCs w:val="24"/>
          <w:lang w:val="en-GB"/>
        </w:rPr>
        <w:t xml:space="preserve"> and</w:t>
      </w:r>
      <w:r w:rsidRPr="004F61FD">
        <w:rPr>
          <w:rFonts w:ascii="Arial" w:hAnsi="Arial" w:cs="Arial"/>
          <w:bCs/>
          <w:color w:val="auto"/>
          <w:sz w:val="24"/>
          <w:szCs w:val="24"/>
          <w:lang w:val="en-GB"/>
        </w:rPr>
        <w:t xml:space="preserve"> the corporate Financial Strategy.</w:t>
      </w:r>
    </w:p>
    <w:p w14:paraId="4D15C3B0" w14:textId="77777777" w:rsidR="00040118" w:rsidRDefault="00040118">
      <w:pPr>
        <w:rPr>
          <w:rFonts w:ascii="Arial" w:hAnsi="Arial" w:cs="Arial"/>
          <w:bCs/>
          <w:sz w:val="24"/>
          <w:szCs w:val="24"/>
        </w:rPr>
      </w:pPr>
      <w:r>
        <w:rPr>
          <w:rFonts w:ascii="Arial" w:hAnsi="Arial" w:cs="Arial"/>
          <w:bCs/>
          <w:sz w:val="24"/>
          <w:szCs w:val="24"/>
        </w:rPr>
        <w:br w:type="page"/>
      </w:r>
    </w:p>
    <w:p w14:paraId="15A6E885" w14:textId="7CA47B29" w:rsidR="001F6A80" w:rsidRPr="004F61FD"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lastRenderedPageBreak/>
        <w:t>The</w:t>
      </w:r>
      <w:r>
        <w:rPr>
          <w:rFonts w:ascii="Arial" w:hAnsi="Arial" w:cs="Arial"/>
          <w:bCs/>
          <w:color w:val="auto"/>
          <w:sz w:val="24"/>
          <w:szCs w:val="24"/>
          <w:lang w:val="en-GB"/>
        </w:rPr>
        <w:t xml:space="preserve"> </w:t>
      </w:r>
      <w:r w:rsidRPr="004F61FD">
        <w:rPr>
          <w:rFonts w:ascii="Arial" w:hAnsi="Arial" w:cs="Arial"/>
          <w:bCs/>
          <w:color w:val="auto"/>
          <w:sz w:val="24"/>
          <w:szCs w:val="24"/>
          <w:lang w:val="en-GB"/>
        </w:rPr>
        <w:t xml:space="preserve">Police and Crime Plan </w:t>
      </w:r>
      <w:proofErr w:type="gramStart"/>
      <w:r w:rsidRPr="004F61FD">
        <w:rPr>
          <w:rFonts w:ascii="Arial" w:hAnsi="Arial" w:cs="Arial"/>
          <w:bCs/>
          <w:color w:val="auto"/>
          <w:sz w:val="24"/>
          <w:szCs w:val="24"/>
          <w:lang w:val="en-GB"/>
        </w:rPr>
        <w:t>has</w:t>
      </w:r>
      <w:proofErr w:type="gramEnd"/>
      <w:r w:rsidRPr="004F61FD">
        <w:rPr>
          <w:rFonts w:ascii="Arial" w:hAnsi="Arial" w:cs="Arial"/>
          <w:bCs/>
          <w:color w:val="auto"/>
          <w:sz w:val="24"/>
          <w:szCs w:val="24"/>
          <w:lang w:val="en-GB"/>
        </w:rPr>
        <w:t xml:space="preserve"> due regard to the Strategic Policing Requirement as issued by the Home Secretary and is developed in consultation with the Chief Constable, informed by the views of the local community, victims of crime and the priorities of other key stakeholders.</w:t>
      </w:r>
    </w:p>
    <w:p w14:paraId="3F32FF86" w14:textId="39089EDB" w:rsidR="001F6A80" w:rsidRPr="004F61FD"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 xml:space="preserve">The independent </w:t>
      </w:r>
      <w:r>
        <w:rPr>
          <w:rFonts w:ascii="Arial" w:hAnsi="Arial" w:cs="Arial"/>
          <w:bCs/>
          <w:color w:val="auto"/>
          <w:sz w:val="24"/>
          <w:szCs w:val="24"/>
          <w:lang w:val="en-GB"/>
        </w:rPr>
        <w:t xml:space="preserve">Lancashire </w:t>
      </w:r>
      <w:r w:rsidRPr="004F61FD">
        <w:rPr>
          <w:rFonts w:ascii="Arial" w:hAnsi="Arial" w:cs="Arial"/>
          <w:bCs/>
          <w:color w:val="auto"/>
          <w:sz w:val="24"/>
          <w:szCs w:val="24"/>
          <w:lang w:val="en-GB"/>
        </w:rPr>
        <w:t xml:space="preserve">Police and Crime Panel meets regularly to review and scrutinise the decisions and actions of the PCC and his performance in delivering the priorities and key aims contained in his Police and Crime Plan. It also meets specifically to consider the PCC’s proposed annual council tax precept increase; Police and Crime Plan, Annual Report and any proposed senior appointments to the roles of Deputy PCC, Chief Constable, OPCC Chief </w:t>
      </w:r>
      <w:r>
        <w:rPr>
          <w:rFonts w:ascii="Arial" w:hAnsi="Arial" w:cs="Arial"/>
          <w:bCs/>
          <w:color w:val="auto"/>
          <w:sz w:val="24"/>
          <w:szCs w:val="24"/>
          <w:lang w:val="en-GB"/>
        </w:rPr>
        <w:t>Executive</w:t>
      </w:r>
      <w:r w:rsidRPr="004F61FD">
        <w:rPr>
          <w:rFonts w:ascii="Arial" w:hAnsi="Arial" w:cs="Arial"/>
          <w:bCs/>
          <w:color w:val="auto"/>
          <w:sz w:val="24"/>
          <w:szCs w:val="24"/>
          <w:lang w:val="en-GB"/>
        </w:rPr>
        <w:t xml:space="preserve"> and OPCC Chief Finance Officer.</w:t>
      </w:r>
    </w:p>
    <w:p w14:paraId="22817CEA" w14:textId="77777777" w:rsidR="001F6A80" w:rsidRPr="004F61FD"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Arrangements have been agreed upon and implemented for the PCC to hold the Chief Constable to account for Force performance and compliance with other requirements. These arrangements include a schedule of formal public and private meetings, i.e. regular Accountability</w:t>
      </w:r>
      <w:r>
        <w:rPr>
          <w:rFonts w:ascii="Arial" w:hAnsi="Arial" w:cs="Arial"/>
          <w:bCs/>
          <w:color w:val="auto"/>
          <w:sz w:val="24"/>
          <w:szCs w:val="24"/>
          <w:lang w:val="en-GB"/>
        </w:rPr>
        <w:t xml:space="preserve"> Board</w:t>
      </w:r>
      <w:r w:rsidRPr="004F61FD">
        <w:rPr>
          <w:rFonts w:ascii="Arial" w:hAnsi="Arial" w:cs="Arial"/>
          <w:bCs/>
          <w:color w:val="auto"/>
          <w:sz w:val="24"/>
          <w:szCs w:val="24"/>
          <w:lang w:val="en-GB"/>
        </w:rPr>
        <w:t xml:space="preserve"> Meetings, with the reports and agendas published on the PCC’s website, supplemented by regular informal, private, liaison meetings between the PCC and Chief Constable (in respect of which minutes are taken but not published).</w:t>
      </w:r>
    </w:p>
    <w:p w14:paraId="5CA1F08D" w14:textId="77777777" w:rsidR="001F6A80" w:rsidRPr="004F61FD"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 xml:space="preserve">The </w:t>
      </w:r>
      <w:r>
        <w:rPr>
          <w:rFonts w:ascii="Arial" w:hAnsi="Arial" w:cs="Arial"/>
          <w:bCs/>
          <w:color w:val="auto"/>
          <w:sz w:val="24"/>
          <w:szCs w:val="24"/>
          <w:lang w:val="en-GB"/>
        </w:rPr>
        <w:t xml:space="preserve">Joint </w:t>
      </w:r>
      <w:r w:rsidRPr="005C76CE">
        <w:rPr>
          <w:rFonts w:ascii="Arial" w:hAnsi="Arial" w:cs="Arial"/>
          <w:bCs/>
          <w:color w:val="auto"/>
          <w:sz w:val="24"/>
          <w:szCs w:val="24"/>
          <w:lang w:val="en-GB"/>
        </w:rPr>
        <w:t>Corporate Governance</w:t>
      </w:r>
      <w:r w:rsidRPr="004F61FD">
        <w:rPr>
          <w:rFonts w:ascii="Arial" w:hAnsi="Arial" w:cs="Arial"/>
          <w:bCs/>
          <w:color w:val="auto"/>
          <w:sz w:val="24"/>
          <w:szCs w:val="24"/>
          <w:lang w:val="en-GB"/>
        </w:rPr>
        <w:t xml:space="preserve"> </w:t>
      </w:r>
      <w:r>
        <w:rPr>
          <w:rFonts w:ascii="Arial" w:hAnsi="Arial" w:cs="Arial"/>
          <w:bCs/>
          <w:color w:val="auto"/>
          <w:sz w:val="24"/>
          <w:szCs w:val="24"/>
          <w:lang w:val="en-GB"/>
        </w:rPr>
        <w:t xml:space="preserve">Framework </w:t>
      </w:r>
      <w:r w:rsidRPr="004F61FD">
        <w:rPr>
          <w:rFonts w:ascii="Arial" w:hAnsi="Arial" w:cs="Arial"/>
          <w:bCs/>
          <w:color w:val="auto"/>
          <w:sz w:val="24"/>
          <w:szCs w:val="24"/>
          <w:lang w:val="en-GB"/>
        </w:rPr>
        <w:t>defines the parameters for decision-making, including delegations, financial regulations and contract regulations. The PCC has published his policy statement on decision-making. All formal and significant PCC decisions taken under this policy are published on his website.</w:t>
      </w:r>
    </w:p>
    <w:p w14:paraId="4B963F5E" w14:textId="77777777" w:rsidR="001F6A80" w:rsidRPr="004F61FD"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The PCC proactively publishes information to maintain openness and transparency with the public on this same website; in doing so, he also meets his obligations under the Elected Local Policing Bodies (Specified Information) Order 2011 (as amended) and, as a public authority, under the Freedom of Information Act 2000.</w:t>
      </w:r>
    </w:p>
    <w:p w14:paraId="5E09D36F" w14:textId="77777777" w:rsidR="001F6A80" w:rsidRPr="004F61FD"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The PCC published his 202</w:t>
      </w:r>
      <w:r>
        <w:rPr>
          <w:rFonts w:ascii="Arial" w:hAnsi="Arial" w:cs="Arial"/>
          <w:bCs/>
          <w:color w:val="auto"/>
          <w:sz w:val="24"/>
          <w:szCs w:val="24"/>
          <w:lang w:val="en-GB"/>
        </w:rPr>
        <w:t>4/25</w:t>
      </w:r>
      <w:r w:rsidRPr="004F61FD">
        <w:rPr>
          <w:rFonts w:ascii="Arial" w:hAnsi="Arial" w:cs="Arial"/>
          <w:bCs/>
          <w:color w:val="auto"/>
          <w:sz w:val="24"/>
          <w:szCs w:val="24"/>
          <w:lang w:val="en-GB"/>
        </w:rPr>
        <w:t xml:space="preserve"> Annual Report </w:t>
      </w:r>
      <w:r>
        <w:rPr>
          <w:rFonts w:ascii="Arial" w:hAnsi="Arial" w:cs="Arial"/>
          <w:bCs/>
          <w:color w:val="auto"/>
          <w:sz w:val="24"/>
          <w:szCs w:val="24"/>
          <w:lang w:val="en-GB"/>
        </w:rPr>
        <w:t xml:space="preserve">in </w:t>
      </w:r>
      <w:r w:rsidRPr="004F61FD">
        <w:rPr>
          <w:rFonts w:ascii="Arial" w:hAnsi="Arial" w:cs="Arial"/>
          <w:bCs/>
          <w:color w:val="auto"/>
          <w:sz w:val="24"/>
          <w:szCs w:val="24"/>
          <w:lang w:val="en-GB"/>
        </w:rPr>
        <w:t>Ju</w:t>
      </w:r>
      <w:r>
        <w:rPr>
          <w:rFonts w:ascii="Arial" w:hAnsi="Arial" w:cs="Arial"/>
          <w:bCs/>
          <w:color w:val="auto"/>
          <w:sz w:val="24"/>
          <w:szCs w:val="24"/>
          <w:lang w:val="en-GB"/>
        </w:rPr>
        <w:t>ly</w:t>
      </w:r>
      <w:r w:rsidRPr="004F61FD">
        <w:rPr>
          <w:rFonts w:ascii="Arial" w:hAnsi="Arial" w:cs="Arial"/>
          <w:bCs/>
          <w:color w:val="auto"/>
          <w:sz w:val="24"/>
          <w:szCs w:val="24"/>
          <w:lang w:val="en-GB"/>
        </w:rPr>
        <w:t xml:space="preserve"> 202</w:t>
      </w:r>
      <w:r>
        <w:rPr>
          <w:rFonts w:ascii="Arial" w:hAnsi="Arial" w:cs="Arial"/>
          <w:bCs/>
          <w:color w:val="auto"/>
          <w:sz w:val="24"/>
          <w:szCs w:val="24"/>
          <w:lang w:val="en-GB"/>
        </w:rPr>
        <w:t>5</w:t>
      </w:r>
      <w:r w:rsidRPr="004F61FD">
        <w:rPr>
          <w:rFonts w:ascii="Arial" w:hAnsi="Arial" w:cs="Arial"/>
          <w:bCs/>
          <w:color w:val="auto"/>
          <w:sz w:val="24"/>
          <w:szCs w:val="24"/>
          <w:lang w:val="en-GB"/>
        </w:rPr>
        <w:t>.</w:t>
      </w:r>
    </w:p>
    <w:p w14:paraId="3A0144CF"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4F61FD">
        <w:rPr>
          <w:rFonts w:ascii="Arial" w:hAnsi="Arial" w:cs="Arial"/>
          <w:bCs/>
          <w:color w:val="auto"/>
          <w:sz w:val="24"/>
          <w:szCs w:val="24"/>
          <w:lang w:val="en-GB"/>
        </w:rPr>
        <w:t xml:space="preserve">The Chief Constable has prepared and published the </w:t>
      </w:r>
      <w:r>
        <w:rPr>
          <w:rFonts w:ascii="Arial" w:hAnsi="Arial" w:cs="Arial"/>
          <w:bCs/>
          <w:color w:val="auto"/>
          <w:sz w:val="24"/>
          <w:szCs w:val="24"/>
          <w:lang w:val="en-GB"/>
        </w:rPr>
        <w:t>Lancashire Constabulary</w:t>
      </w:r>
      <w:r w:rsidRPr="004F61FD">
        <w:rPr>
          <w:rFonts w:ascii="Arial" w:hAnsi="Arial" w:cs="Arial"/>
          <w:bCs/>
          <w:color w:val="auto"/>
          <w:sz w:val="24"/>
          <w:szCs w:val="24"/>
          <w:lang w:val="en-GB"/>
        </w:rPr>
        <w:t xml:space="preserve"> Strategic Plan. A performance update on the strategic plan</w:t>
      </w:r>
      <w:r>
        <w:rPr>
          <w:rFonts w:ascii="Arial" w:hAnsi="Arial" w:cs="Arial"/>
          <w:bCs/>
          <w:color w:val="auto"/>
          <w:sz w:val="24"/>
          <w:szCs w:val="24"/>
          <w:lang w:val="en-GB"/>
        </w:rPr>
        <w:t xml:space="preserve"> and delivery against the PCC's Police and Crime Plan priorities</w:t>
      </w:r>
      <w:r w:rsidRPr="004F61FD">
        <w:rPr>
          <w:rFonts w:ascii="Arial" w:hAnsi="Arial" w:cs="Arial"/>
          <w:bCs/>
          <w:color w:val="auto"/>
          <w:sz w:val="24"/>
          <w:szCs w:val="24"/>
          <w:lang w:val="en-GB"/>
        </w:rPr>
        <w:t xml:space="preserve"> is provided to the PCC’s Accountability </w:t>
      </w:r>
      <w:r>
        <w:rPr>
          <w:rFonts w:ascii="Arial" w:hAnsi="Arial" w:cs="Arial"/>
          <w:bCs/>
          <w:color w:val="auto"/>
          <w:sz w:val="24"/>
          <w:szCs w:val="24"/>
          <w:lang w:val="en-GB"/>
        </w:rPr>
        <w:t xml:space="preserve">Board </w:t>
      </w:r>
      <w:r w:rsidRPr="004F61FD">
        <w:rPr>
          <w:rFonts w:ascii="Arial" w:hAnsi="Arial" w:cs="Arial"/>
          <w:bCs/>
          <w:color w:val="auto"/>
          <w:sz w:val="24"/>
          <w:szCs w:val="24"/>
          <w:lang w:val="en-GB"/>
        </w:rPr>
        <w:t>meetings</w:t>
      </w:r>
      <w:r>
        <w:rPr>
          <w:rFonts w:ascii="Arial" w:hAnsi="Arial" w:cs="Arial"/>
          <w:bCs/>
          <w:color w:val="auto"/>
          <w:sz w:val="24"/>
          <w:szCs w:val="24"/>
          <w:lang w:val="en-GB"/>
        </w:rPr>
        <w:t>. The</w:t>
      </w:r>
      <w:r w:rsidRPr="004F61FD">
        <w:rPr>
          <w:rFonts w:ascii="Arial" w:hAnsi="Arial" w:cs="Arial"/>
          <w:bCs/>
          <w:color w:val="auto"/>
          <w:sz w:val="24"/>
          <w:szCs w:val="24"/>
          <w:lang w:val="en-GB"/>
        </w:rPr>
        <w:t xml:space="preserve"> agenda and papers </w:t>
      </w:r>
      <w:r>
        <w:rPr>
          <w:rFonts w:ascii="Arial" w:hAnsi="Arial" w:cs="Arial"/>
          <w:bCs/>
          <w:color w:val="auto"/>
          <w:sz w:val="24"/>
          <w:szCs w:val="24"/>
          <w:lang w:val="en-GB"/>
        </w:rPr>
        <w:t xml:space="preserve">for the Accountability Board </w:t>
      </w:r>
      <w:r w:rsidRPr="004F61FD">
        <w:rPr>
          <w:rFonts w:ascii="Arial" w:hAnsi="Arial" w:cs="Arial"/>
          <w:bCs/>
          <w:color w:val="auto"/>
          <w:sz w:val="24"/>
          <w:szCs w:val="24"/>
          <w:lang w:val="en-GB"/>
        </w:rPr>
        <w:t>are published on the PCC’s website.</w:t>
      </w:r>
    </w:p>
    <w:p w14:paraId="5DB979DC"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Papers, reports, and decisions made by the Commissioner are published on the PCC's website together with consultations and public surveys.</w:t>
      </w:r>
    </w:p>
    <w:p w14:paraId="2F84E3C2"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Papers for meetings of both the Joint Independent Audit Committee and the Joint Independent Ethics Committee are published and available to the public.</w:t>
      </w:r>
    </w:p>
    <w:p w14:paraId="18226677" w14:textId="77777777" w:rsidR="001F6A80" w:rsidRDefault="001F6A80" w:rsidP="00C35404">
      <w:pPr>
        <w:pStyle w:val="Bodyindent"/>
        <w:spacing w:before="0" w:after="120" w:line="240" w:lineRule="auto"/>
        <w:ind w:left="0"/>
        <w:jc w:val="both"/>
        <w:rPr>
          <w:rFonts w:ascii="Arial" w:hAnsi="Arial" w:cs="Arial"/>
          <w:bCs/>
          <w:sz w:val="24"/>
          <w:szCs w:val="24"/>
        </w:rPr>
      </w:pPr>
      <w:r>
        <w:rPr>
          <w:rFonts w:ascii="Arial" w:hAnsi="Arial" w:cs="Arial"/>
          <w:bCs/>
          <w:color w:val="auto"/>
          <w:sz w:val="24"/>
          <w:szCs w:val="24"/>
          <w:lang w:val="en-GB"/>
        </w:rPr>
        <w:t xml:space="preserve">The PCC has a Communication and Engagement Strategy that sets out how he engages with stakeholders, partners and the public, through a combination of collaborative working, representation on boards, stakeholder consultation meetings and attendance at public community events. </w:t>
      </w:r>
    </w:p>
    <w:p w14:paraId="7AC1A6AA" w14:textId="77777777" w:rsidR="001F6A80" w:rsidRDefault="001F6A80" w:rsidP="004E2882">
      <w:pPr>
        <w:pStyle w:val="ListParagraph"/>
        <w:numPr>
          <w:ilvl w:val="0"/>
          <w:numId w:val="41"/>
        </w:numPr>
        <w:ind w:left="426"/>
        <w:contextualSpacing w:val="0"/>
        <w:jc w:val="both"/>
        <w:rPr>
          <w:rFonts w:asciiTheme="minorHAnsi" w:hAnsiTheme="minorHAnsi" w:cs="Arial"/>
          <w:b/>
          <w:sz w:val="28"/>
          <w:szCs w:val="28"/>
        </w:rPr>
      </w:pPr>
      <w:r>
        <w:rPr>
          <w:rFonts w:asciiTheme="minorHAnsi" w:hAnsiTheme="minorHAnsi" w:cs="Arial"/>
          <w:b/>
          <w:sz w:val="28"/>
          <w:szCs w:val="28"/>
        </w:rPr>
        <w:t>Defining outcomes in terms of sustainable, economic, social and environmental outcomes</w:t>
      </w:r>
    </w:p>
    <w:p w14:paraId="7223B3E0"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The PCC publishes a four-year Police and Crime Plan (the Plan) that is reviewed annually. </w:t>
      </w:r>
    </w:p>
    <w:p w14:paraId="5EB89CC6"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This Plan is used to direct the resources of the PCC and Chief Constable. It informs the revenue budget on where resources are most needed and the capital investment programme to identify the priority needs for investment. The PCC has a Medium-term Financial Strategy (MTFS) that covers a rolling four-year period which is reviewed annually. The MTFS ensures that resources are directed to the delivery of the Police and Crime Plan priorities and the Constabulary strategic plan.</w:t>
      </w:r>
    </w:p>
    <w:p w14:paraId="523B6B64" w14:textId="77777777" w:rsidR="00040118" w:rsidRDefault="00040118">
      <w:pPr>
        <w:rPr>
          <w:rFonts w:ascii="Arial" w:hAnsi="Arial" w:cs="Arial"/>
          <w:bCs/>
          <w:sz w:val="24"/>
          <w:szCs w:val="24"/>
        </w:rPr>
      </w:pPr>
      <w:r>
        <w:rPr>
          <w:rFonts w:ascii="Arial" w:hAnsi="Arial" w:cs="Arial"/>
          <w:bCs/>
          <w:sz w:val="24"/>
          <w:szCs w:val="24"/>
        </w:rPr>
        <w:br w:type="page"/>
      </w:r>
    </w:p>
    <w:p w14:paraId="6B633045" w14:textId="583A5E2B" w:rsidR="001F6A80" w:rsidRDefault="001F6A80" w:rsidP="00C35404">
      <w:pPr>
        <w:pStyle w:val="Bodyindent"/>
        <w:spacing w:before="0" w:after="120" w:line="240" w:lineRule="auto"/>
        <w:ind w:left="0"/>
        <w:jc w:val="both"/>
        <w:rPr>
          <w:rFonts w:ascii="Arial" w:hAnsi="Arial" w:cs="Arial"/>
          <w:b/>
          <w:bCs/>
          <w:color w:val="auto"/>
          <w:sz w:val="24"/>
          <w:szCs w:val="24"/>
          <w:lang w:val="en-GB"/>
        </w:rPr>
      </w:pPr>
      <w:r>
        <w:rPr>
          <w:rFonts w:ascii="Arial" w:hAnsi="Arial" w:cs="Arial"/>
          <w:bCs/>
          <w:color w:val="auto"/>
          <w:sz w:val="24"/>
          <w:szCs w:val="24"/>
          <w:lang w:val="en-GB"/>
        </w:rPr>
        <w:lastRenderedPageBreak/>
        <w:t>Capital investment must meet the requirements of the prudential code in that they must be affordable. There are regular reports in compliance with the code during the year.</w:t>
      </w:r>
    </w:p>
    <w:p w14:paraId="573FA6D3" w14:textId="77777777" w:rsidR="001F6A80" w:rsidRDefault="001F6A80" w:rsidP="004E2882">
      <w:pPr>
        <w:pStyle w:val="ListParagraph"/>
        <w:numPr>
          <w:ilvl w:val="0"/>
          <w:numId w:val="41"/>
        </w:numPr>
        <w:ind w:left="426"/>
        <w:contextualSpacing w:val="0"/>
        <w:jc w:val="both"/>
        <w:rPr>
          <w:rFonts w:asciiTheme="minorHAnsi" w:hAnsiTheme="minorHAnsi" w:cs="Arial"/>
          <w:b/>
          <w:sz w:val="28"/>
          <w:szCs w:val="28"/>
        </w:rPr>
      </w:pPr>
      <w:r>
        <w:rPr>
          <w:rFonts w:asciiTheme="minorHAnsi" w:hAnsiTheme="minorHAnsi" w:cs="Arial"/>
          <w:b/>
          <w:sz w:val="28"/>
          <w:szCs w:val="28"/>
        </w:rPr>
        <w:t>Determining the intervention necessary to optimise the achievement of intended outcomes</w:t>
      </w:r>
    </w:p>
    <w:p w14:paraId="3FEFCBE3"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7643F5">
        <w:rPr>
          <w:rFonts w:ascii="Arial" w:hAnsi="Arial" w:cs="Arial"/>
          <w:bCs/>
          <w:color w:val="auto"/>
          <w:sz w:val="24"/>
          <w:szCs w:val="24"/>
          <w:lang w:val="en-GB"/>
        </w:rPr>
        <w:t xml:space="preserve">The Force planning cycle incorporates the annual Force Management Statement, financial plans, workforce plans and the PCC’s Police and Crime Plan to inform the Force’s annual Strategic Plan. Priority activities, measures and intended outcomes are proposed and approved through the Chief </w:t>
      </w:r>
      <w:r>
        <w:rPr>
          <w:rFonts w:ascii="Arial" w:hAnsi="Arial" w:cs="Arial"/>
          <w:bCs/>
          <w:color w:val="auto"/>
          <w:sz w:val="24"/>
          <w:szCs w:val="24"/>
          <w:lang w:val="en-GB"/>
        </w:rPr>
        <w:t>Officer</w:t>
      </w:r>
      <w:r w:rsidRPr="007643F5">
        <w:rPr>
          <w:rFonts w:ascii="Arial" w:hAnsi="Arial" w:cs="Arial"/>
          <w:bCs/>
          <w:color w:val="auto"/>
          <w:sz w:val="24"/>
          <w:szCs w:val="24"/>
          <w:lang w:val="en-GB"/>
        </w:rPr>
        <w:t xml:space="preserve"> Team (C</w:t>
      </w:r>
      <w:r>
        <w:rPr>
          <w:rFonts w:ascii="Arial" w:hAnsi="Arial" w:cs="Arial"/>
          <w:bCs/>
          <w:color w:val="auto"/>
          <w:sz w:val="24"/>
          <w:szCs w:val="24"/>
          <w:lang w:val="en-GB"/>
        </w:rPr>
        <w:t>O</w:t>
      </w:r>
      <w:r w:rsidRPr="007643F5">
        <w:rPr>
          <w:rFonts w:ascii="Arial" w:hAnsi="Arial" w:cs="Arial"/>
          <w:bCs/>
          <w:color w:val="auto"/>
          <w:sz w:val="24"/>
          <w:szCs w:val="24"/>
          <w:lang w:val="en-GB"/>
        </w:rPr>
        <w:t xml:space="preserve">T) and monitored through the service improvement framework and quarterly updates to inform the PCC’s Accountability </w:t>
      </w:r>
      <w:r>
        <w:rPr>
          <w:rFonts w:ascii="Arial" w:hAnsi="Arial" w:cs="Arial"/>
          <w:bCs/>
          <w:color w:val="auto"/>
          <w:sz w:val="24"/>
          <w:szCs w:val="24"/>
          <w:lang w:val="en-GB"/>
        </w:rPr>
        <w:t>Board</w:t>
      </w:r>
      <w:r w:rsidRPr="007643F5">
        <w:rPr>
          <w:rFonts w:ascii="Arial" w:hAnsi="Arial" w:cs="Arial"/>
          <w:bCs/>
          <w:color w:val="auto"/>
          <w:sz w:val="24"/>
          <w:szCs w:val="24"/>
          <w:lang w:val="en-GB"/>
        </w:rPr>
        <w:t>.</w:t>
      </w:r>
    </w:p>
    <w:p w14:paraId="6D6D9822" w14:textId="77777777" w:rsidR="001F6A80" w:rsidRDefault="001F6A80" w:rsidP="00C35404">
      <w:pPr>
        <w:pStyle w:val="Bodyindent"/>
        <w:spacing w:before="0" w:after="120" w:line="240" w:lineRule="auto"/>
        <w:ind w:left="0"/>
        <w:jc w:val="both"/>
      </w:pPr>
      <w:r>
        <w:rPr>
          <w:rFonts w:ascii="Arial" w:hAnsi="Arial" w:cs="Arial"/>
          <w:bCs/>
          <w:color w:val="auto"/>
          <w:sz w:val="24"/>
          <w:szCs w:val="24"/>
          <w:lang w:val="en-GB"/>
        </w:rPr>
        <w:t>All new areas of business require a formal business case to be submitted. These business cases go through an internal approval process within the Constabulary before sign-off by the Chief Constable or PCC depending on the value or public interest.</w:t>
      </w:r>
    </w:p>
    <w:p w14:paraId="207233EF" w14:textId="77777777" w:rsidR="001F6A80" w:rsidRDefault="001F6A80" w:rsidP="00C35404">
      <w:pPr>
        <w:pStyle w:val="Bodyindent"/>
        <w:spacing w:before="0" w:after="120" w:line="240" w:lineRule="auto"/>
        <w:ind w:left="0"/>
        <w:jc w:val="both"/>
        <w:rPr>
          <w:rFonts w:ascii="Arial" w:hAnsi="Arial" w:cs="Arial"/>
          <w:b/>
          <w:bCs/>
          <w:color w:val="auto"/>
          <w:sz w:val="24"/>
          <w:szCs w:val="24"/>
          <w:lang w:val="en-GB"/>
        </w:rPr>
      </w:pPr>
      <w:r>
        <w:rPr>
          <w:rFonts w:ascii="Arial" w:hAnsi="Arial" w:cs="Arial"/>
          <w:bCs/>
          <w:color w:val="auto"/>
          <w:sz w:val="24"/>
          <w:szCs w:val="24"/>
          <w:lang w:val="en-GB"/>
        </w:rPr>
        <w:t>The same is true of business cases relating to regional and national collaborations. The approval process is slightly different in that groups of officers form layers of approval, but the result is the same with the PCC signing off the final business cases.</w:t>
      </w:r>
    </w:p>
    <w:p w14:paraId="583F1ABC" w14:textId="77777777" w:rsidR="001F6A80" w:rsidRDefault="001F6A80" w:rsidP="004E2882">
      <w:pPr>
        <w:pStyle w:val="ListParagraph"/>
        <w:numPr>
          <w:ilvl w:val="0"/>
          <w:numId w:val="41"/>
        </w:numPr>
        <w:ind w:left="426"/>
        <w:contextualSpacing w:val="0"/>
        <w:jc w:val="both"/>
        <w:rPr>
          <w:rFonts w:asciiTheme="minorHAnsi" w:hAnsiTheme="minorHAnsi" w:cs="Arial"/>
          <w:b/>
          <w:sz w:val="28"/>
          <w:szCs w:val="28"/>
        </w:rPr>
      </w:pPr>
      <w:r>
        <w:rPr>
          <w:rFonts w:asciiTheme="minorHAnsi" w:hAnsiTheme="minorHAnsi" w:cs="Arial"/>
          <w:b/>
          <w:sz w:val="28"/>
          <w:szCs w:val="28"/>
        </w:rPr>
        <w:t>Developing capacity and capability</w:t>
      </w:r>
    </w:p>
    <w:p w14:paraId="07F18002" w14:textId="77777777" w:rsidR="001F6A80" w:rsidRPr="00E81988" w:rsidRDefault="001F6A80" w:rsidP="00C35404">
      <w:pPr>
        <w:pStyle w:val="Bodyindent"/>
        <w:spacing w:before="0" w:after="120" w:line="240" w:lineRule="auto"/>
        <w:ind w:left="0"/>
        <w:jc w:val="both"/>
        <w:rPr>
          <w:rFonts w:ascii="Arial" w:hAnsi="Arial" w:cs="Arial"/>
          <w:bCs/>
          <w:color w:val="auto"/>
          <w:sz w:val="24"/>
          <w:szCs w:val="24"/>
          <w:lang w:val="en-GB"/>
        </w:rPr>
      </w:pPr>
      <w:r w:rsidRPr="00E81988">
        <w:rPr>
          <w:rFonts w:ascii="Arial" w:hAnsi="Arial" w:cs="Arial"/>
          <w:bCs/>
          <w:color w:val="auto"/>
          <w:sz w:val="24"/>
          <w:szCs w:val="24"/>
          <w:lang w:val="en-GB"/>
        </w:rPr>
        <w:t xml:space="preserve">The PCC and Chief Constable ensure that their statutory officers have the skills, resources and support necessary to perform effectively in their roles and that these roles are properly understood throughout the organisation. Specialist advice, in areas such as taxation, </w:t>
      </w:r>
      <w:r>
        <w:rPr>
          <w:rFonts w:ascii="Arial" w:hAnsi="Arial" w:cs="Arial"/>
          <w:bCs/>
          <w:color w:val="auto"/>
          <w:sz w:val="24"/>
          <w:szCs w:val="24"/>
          <w:lang w:val="en-GB"/>
        </w:rPr>
        <w:t xml:space="preserve">some </w:t>
      </w:r>
      <w:r w:rsidRPr="00E81988">
        <w:rPr>
          <w:rFonts w:ascii="Arial" w:hAnsi="Arial" w:cs="Arial"/>
          <w:bCs/>
          <w:color w:val="auto"/>
          <w:sz w:val="24"/>
          <w:szCs w:val="24"/>
          <w:lang w:val="en-GB"/>
        </w:rPr>
        <w:t>legal matters and treasury management, is sourced externally, as this is more practical and cost-effective.</w:t>
      </w:r>
    </w:p>
    <w:p w14:paraId="56C87ACE" w14:textId="77777777" w:rsidR="001F6A80" w:rsidRPr="00E81988" w:rsidRDefault="001F6A80" w:rsidP="00C35404">
      <w:pPr>
        <w:pStyle w:val="Bodyindent"/>
        <w:spacing w:before="0" w:after="120" w:line="240" w:lineRule="auto"/>
        <w:ind w:left="0"/>
        <w:jc w:val="both"/>
        <w:rPr>
          <w:rFonts w:ascii="Arial" w:hAnsi="Arial" w:cs="Arial"/>
          <w:bCs/>
          <w:color w:val="auto"/>
          <w:sz w:val="24"/>
          <w:szCs w:val="24"/>
          <w:lang w:val="en-GB"/>
        </w:rPr>
      </w:pPr>
      <w:r w:rsidRPr="00E81988">
        <w:rPr>
          <w:rFonts w:ascii="Arial" w:hAnsi="Arial" w:cs="Arial"/>
          <w:bCs/>
          <w:color w:val="auto"/>
          <w:sz w:val="24"/>
          <w:szCs w:val="24"/>
          <w:lang w:val="en-GB"/>
        </w:rPr>
        <w:t>Chief Officers have clearly defined leadership roles and are responsible for implementing strategy and managing the delivery of services within their respective portfolios.</w:t>
      </w:r>
    </w:p>
    <w:p w14:paraId="641C25DF"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E81988">
        <w:rPr>
          <w:rFonts w:ascii="Arial" w:hAnsi="Arial" w:cs="Arial"/>
          <w:bCs/>
          <w:color w:val="auto"/>
          <w:sz w:val="24"/>
          <w:szCs w:val="24"/>
          <w:lang w:val="en-GB"/>
        </w:rPr>
        <w:t>Officers and staff manage their performance and continuous development through the Performance Development Review framework. An annual assessment of competencies linked to</w:t>
      </w:r>
      <w:r>
        <w:rPr>
          <w:rFonts w:ascii="Arial" w:hAnsi="Arial" w:cs="Arial"/>
          <w:bCs/>
          <w:color w:val="auto"/>
          <w:sz w:val="24"/>
          <w:szCs w:val="24"/>
          <w:lang w:val="en-GB"/>
        </w:rPr>
        <w:t xml:space="preserve"> the Force</w:t>
      </w:r>
      <w:r w:rsidRPr="00E81988">
        <w:rPr>
          <w:rFonts w:ascii="Arial" w:hAnsi="Arial" w:cs="Arial"/>
          <w:bCs/>
          <w:color w:val="auto"/>
          <w:sz w:val="24"/>
          <w:szCs w:val="24"/>
          <w:lang w:val="en-GB"/>
        </w:rPr>
        <w:t xml:space="preserve"> Strategic Plan outcomes is supported by interim reviews and a requirement for officers and staff to undertake Continuous Professional Development. The framework also allows for the management of unsatisfactory performance or attendance where it is identified.</w:t>
      </w:r>
    </w:p>
    <w:p w14:paraId="26E5D193" w14:textId="77777777" w:rsidR="001F6A80" w:rsidRPr="00E81988" w:rsidRDefault="001F6A80" w:rsidP="00C35404">
      <w:pPr>
        <w:pStyle w:val="Bodyindent"/>
        <w:spacing w:before="0" w:after="120" w:line="240" w:lineRule="auto"/>
        <w:ind w:left="0"/>
        <w:jc w:val="both"/>
        <w:rPr>
          <w:rFonts w:ascii="Arial" w:hAnsi="Arial" w:cs="Arial"/>
          <w:bCs/>
          <w:color w:val="auto"/>
          <w:sz w:val="24"/>
          <w:szCs w:val="24"/>
          <w:lang w:val="en-GB"/>
        </w:rPr>
      </w:pPr>
      <w:r w:rsidRPr="00E81988">
        <w:rPr>
          <w:rFonts w:ascii="Arial" w:hAnsi="Arial" w:cs="Arial"/>
          <w:bCs/>
          <w:color w:val="auto"/>
          <w:sz w:val="24"/>
          <w:szCs w:val="24"/>
          <w:lang w:val="en-GB"/>
        </w:rPr>
        <w:t>The Force has a stated Health and Wellbeing Strategy, along with a workforce plan focussed on recruitment, retention and resilience. Progress on becoming increasingly representative of the communities the Force serves is also an area of focus. The Force is committed to being considered an employer of choice.</w:t>
      </w:r>
    </w:p>
    <w:p w14:paraId="59A5CE04" w14:textId="77777777" w:rsidR="001F6A80" w:rsidRPr="00E81988" w:rsidRDefault="001F6A80" w:rsidP="00C35404">
      <w:pPr>
        <w:pStyle w:val="Bodyindent"/>
        <w:spacing w:before="0" w:after="120" w:line="240" w:lineRule="auto"/>
        <w:ind w:left="0"/>
        <w:jc w:val="both"/>
        <w:rPr>
          <w:rFonts w:ascii="Arial" w:hAnsi="Arial" w:cs="Arial"/>
          <w:bCs/>
          <w:color w:val="auto"/>
          <w:sz w:val="24"/>
          <w:szCs w:val="24"/>
          <w:lang w:val="en-GB"/>
        </w:rPr>
      </w:pPr>
      <w:r w:rsidRPr="00E81988">
        <w:rPr>
          <w:rFonts w:ascii="Arial" w:hAnsi="Arial" w:cs="Arial"/>
          <w:bCs/>
          <w:color w:val="auto"/>
          <w:sz w:val="24"/>
          <w:szCs w:val="24"/>
          <w:lang w:val="en-GB"/>
        </w:rPr>
        <w:t>Chief Officers have promoted a learning environment climate focussed on continuous service improvement, recognising the importance of independent and peer review when needed. Integral to this is the identification of lessons learned, recommendations and identified areas for improvement through the end of project / programme closure reports undertaken before transitioning to business as usual, results analysis, individual management reviews, serious case reviews and Her Majesty’s Inspectorate of Constabulary and Fire and Rescue Services (HMICFRS) audit / inspection processes.</w:t>
      </w:r>
    </w:p>
    <w:p w14:paraId="48DD5295" w14:textId="77777777" w:rsidR="001F6A80" w:rsidRPr="00E81988" w:rsidRDefault="001F6A80" w:rsidP="00C35404">
      <w:pPr>
        <w:pStyle w:val="Bodyindent"/>
        <w:spacing w:before="0" w:after="120" w:line="240" w:lineRule="auto"/>
        <w:ind w:left="0"/>
        <w:jc w:val="both"/>
        <w:rPr>
          <w:rFonts w:ascii="Arial" w:hAnsi="Arial" w:cs="Arial"/>
          <w:bCs/>
          <w:color w:val="auto"/>
          <w:sz w:val="24"/>
          <w:szCs w:val="24"/>
          <w:lang w:val="en-GB"/>
        </w:rPr>
      </w:pPr>
      <w:r w:rsidRPr="00E81988">
        <w:rPr>
          <w:rFonts w:ascii="Arial" w:hAnsi="Arial" w:cs="Arial"/>
          <w:bCs/>
          <w:color w:val="auto"/>
          <w:sz w:val="24"/>
          <w:szCs w:val="24"/>
          <w:lang w:val="en-GB"/>
        </w:rPr>
        <w:t>The PCC has implemented a staffing structure within the OPCC to ensure it has the necessary capability and capacity to support him deliver his statutory functions, such as commissioning services for victims and witnesses.</w:t>
      </w:r>
    </w:p>
    <w:p w14:paraId="6DB603E1"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E81988">
        <w:rPr>
          <w:rFonts w:ascii="Arial" w:hAnsi="Arial" w:cs="Arial"/>
          <w:bCs/>
          <w:color w:val="auto"/>
          <w:sz w:val="24"/>
          <w:szCs w:val="24"/>
          <w:lang w:val="en-GB"/>
        </w:rPr>
        <w:t>The PCC is a member of the national Association of Police and Crime Commissioners (APCC). The Chief Constable and h</w:t>
      </w:r>
      <w:r>
        <w:rPr>
          <w:rFonts w:ascii="Arial" w:hAnsi="Arial" w:cs="Arial"/>
          <w:bCs/>
          <w:color w:val="auto"/>
          <w:sz w:val="24"/>
          <w:szCs w:val="24"/>
          <w:lang w:val="en-GB"/>
        </w:rPr>
        <w:t>er</w:t>
      </w:r>
      <w:r w:rsidRPr="00E81988">
        <w:rPr>
          <w:rFonts w:ascii="Arial" w:hAnsi="Arial" w:cs="Arial"/>
          <w:bCs/>
          <w:color w:val="auto"/>
          <w:sz w:val="24"/>
          <w:szCs w:val="24"/>
          <w:lang w:val="en-GB"/>
        </w:rPr>
        <w:t xml:space="preserve"> fellow chief officers are members of the National Police Chiefs’ Council (NPCC).</w:t>
      </w:r>
    </w:p>
    <w:p w14:paraId="7ABFC233" w14:textId="45C7A706" w:rsidR="001F6A80" w:rsidRDefault="001F6A80" w:rsidP="004E2882">
      <w:pPr>
        <w:pStyle w:val="ListParagraph"/>
        <w:numPr>
          <w:ilvl w:val="0"/>
          <w:numId w:val="41"/>
        </w:numPr>
        <w:ind w:left="426"/>
        <w:contextualSpacing w:val="0"/>
        <w:jc w:val="both"/>
        <w:rPr>
          <w:rFonts w:asciiTheme="minorHAnsi" w:hAnsiTheme="minorHAnsi" w:cs="Arial"/>
          <w:b/>
          <w:sz w:val="28"/>
          <w:szCs w:val="28"/>
        </w:rPr>
      </w:pPr>
      <w:r>
        <w:rPr>
          <w:rFonts w:asciiTheme="minorHAnsi" w:hAnsiTheme="minorHAnsi" w:cs="Arial"/>
          <w:b/>
          <w:sz w:val="28"/>
          <w:szCs w:val="28"/>
        </w:rPr>
        <w:lastRenderedPageBreak/>
        <w:t>Managing risks and performance</w:t>
      </w:r>
    </w:p>
    <w:p w14:paraId="298A1B49"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The PCC has an approved governance framework that is reviewed annually to ensure it remains fit for purpose. </w:t>
      </w:r>
    </w:p>
    <w:p w14:paraId="324583A1"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The Joint Independent Audit and Joint Independent Ethics Committees are responsible for enhancing public trust and confidence in the governance of the PCC and Lancashire Constabulary. </w:t>
      </w:r>
    </w:p>
    <w:p w14:paraId="2FD79599"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At the start of each financial year, the PCC and the Constabulary agree a programme of internal and external audit work, which is reported back through the Joint Independent Audit Committee. Minutes of the Committee are published on the PCC website.</w:t>
      </w:r>
    </w:p>
    <w:p w14:paraId="7C92EDD0"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Reporting of performance, both operational and financial, is undertaken on a regular basis and the PCC holds formal meetings to scrutinise performance each quarter. The PCC also meets with the Chief Constable on a regular basis to challenge where performance is slipping.</w:t>
      </w:r>
    </w:p>
    <w:p w14:paraId="2BBA3F99" w14:textId="61513FB4"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The PCC has established a risk management policy and procedures, which cover not only strategic business risks but also significant organisational and operational risks and opportunities.   Strategic level risks are routinely monitored and reviewed through the corporate decision-making process. Controlled risks are documented on a dedicated risk register to ensure appropriate and proportionate monitoring whilst maintaining focus on key issues. The PCC considers risk management in discharging all core functions. The PCC’s strategic risk register is a live </w:t>
      </w:r>
      <w:r w:rsidR="00DC2030">
        <w:rPr>
          <w:rFonts w:ascii="Arial" w:hAnsi="Arial" w:cs="Arial"/>
          <w:bCs/>
          <w:color w:val="auto"/>
          <w:sz w:val="24"/>
          <w:szCs w:val="24"/>
          <w:lang w:val="en-GB"/>
        </w:rPr>
        <w:t>document,</w:t>
      </w:r>
      <w:r>
        <w:rPr>
          <w:rFonts w:ascii="Arial" w:hAnsi="Arial" w:cs="Arial"/>
          <w:bCs/>
          <w:color w:val="auto"/>
          <w:sz w:val="24"/>
          <w:szCs w:val="24"/>
          <w:lang w:val="en-GB"/>
        </w:rPr>
        <w:t xml:space="preserve"> and risks are routinely considered at all key meetings.</w:t>
      </w:r>
    </w:p>
    <w:p w14:paraId="23268DF3" w14:textId="77777777" w:rsidR="001F6A80" w:rsidRDefault="001F6A80" w:rsidP="004E2882">
      <w:pPr>
        <w:pStyle w:val="ListParagraph"/>
        <w:numPr>
          <w:ilvl w:val="0"/>
          <w:numId w:val="41"/>
        </w:numPr>
        <w:ind w:left="426"/>
        <w:contextualSpacing w:val="0"/>
        <w:jc w:val="both"/>
        <w:rPr>
          <w:rFonts w:asciiTheme="minorHAnsi" w:hAnsiTheme="minorHAnsi" w:cs="Arial"/>
          <w:b/>
          <w:sz w:val="28"/>
          <w:szCs w:val="28"/>
        </w:rPr>
      </w:pPr>
      <w:r>
        <w:rPr>
          <w:rFonts w:asciiTheme="minorHAnsi" w:hAnsiTheme="minorHAnsi" w:cs="Arial"/>
          <w:b/>
          <w:sz w:val="28"/>
          <w:szCs w:val="28"/>
        </w:rPr>
        <w:t>Implementing good practices in transparency, reporting and accountability</w:t>
      </w:r>
    </w:p>
    <w:p w14:paraId="1920740E"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All decisions of the PCC are published on the website, together with any supporting information to explain why any </w:t>
      </w:r>
      <w:proofErr w:type="gramStart"/>
      <w:r>
        <w:rPr>
          <w:rFonts w:ascii="Arial" w:hAnsi="Arial" w:cs="Arial"/>
          <w:bCs/>
          <w:color w:val="auto"/>
          <w:sz w:val="24"/>
          <w:szCs w:val="24"/>
          <w:lang w:val="en-GB"/>
        </w:rPr>
        <w:t>particular option</w:t>
      </w:r>
      <w:proofErr w:type="gramEnd"/>
      <w:r>
        <w:rPr>
          <w:rFonts w:ascii="Arial" w:hAnsi="Arial" w:cs="Arial"/>
          <w:bCs/>
          <w:color w:val="auto"/>
          <w:sz w:val="24"/>
          <w:szCs w:val="24"/>
          <w:lang w:val="en-GB"/>
        </w:rPr>
        <w:t xml:space="preserve"> was taken.</w:t>
      </w:r>
    </w:p>
    <w:p w14:paraId="0D10E939"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The Police and Crime Plan together with financial strategies and internal policies are also published and reviewed regularly.</w:t>
      </w:r>
    </w:p>
    <w:p w14:paraId="5CCFE2A8"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The PCC decision-making process requires oversight by </w:t>
      </w:r>
      <w:proofErr w:type="gramStart"/>
      <w:r>
        <w:rPr>
          <w:rFonts w:ascii="Arial" w:hAnsi="Arial" w:cs="Arial"/>
          <w:bCs/>
          <w:color w:val="auto"/>
          <w:sz w:val="24"/>
          <w:szCs w:val="24"/>
          <w:lang w:val="en-GB"/>
        </w:rPr>
        <w:t>both of the statutory</w:t>
      </w:r>
      <w:proofErr w:type="gramEnd"/>
      <w:r>
        <w:rPr>
          <w:rFonts w:ascii="Arial" w:hAnsi="Arial" w:cs="Arial"/>
          <w:bCs/>
          <w:color w:val="auto"/>
          <w:sz w:val="24"/>
          <w:szCs w:val="24"/>
          <w:lang w:val="en-GB"/>
        </w:rPr>
        <w:t xml:space="preserve"> officers (i.e., the Monitoring Officer and PCC Chief Finance Officer).  All decisions made are formally recorded and made available on the PCC's website for public information and scrutiny as appropriate.  </w:t>
      </w:r>
    </w:p>
    <w:p w14:paraId="2E3734A7"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The Police and Crime Panel for Lancashire comprising local authority and other local representatives, maintains a supportive check and balance on the PCC's decisions and activity through the year. Part of the role of the Police and Crime Panel is to approve the Commissioner's budget and precept proposals </w:t>
      </w:r>
      <w:proofErr w:type="gramStart"/>
      <w:r>
        <w:rPr>
          <w:rFonts w:ascii="Arial" w:hAnsi="Arial" w:cs="Arial"/>
          <w:bCs/>
          <w:color w:val="auto"/>
          <w:sz w:val="24"/>
          <w:szCs w:val="24"/>
          <w:lang w:val="en-GB"/>
        </w:rPr>
        <w:t>and also</w:t>
      </w:r>
      <w:proofErr w:type="gramEnd"/>
      <w:r>
        <w:rPr>
          <w:rFonts w:ascii="Arial" w:hAnsi="Arial" w:cs="Arial"/>
          <w:bCs/>
          <w:color w:val="auto"/>
          <w:sz w:val="24"/>
          <w:szCs w:val="24"/>
          <w:lang w:val="en-GB"/>
        </w:rPr>
        <w:t xml:space="preserve"> the Police and Crime Plan.  The Commissioner's statutory requirements in relation to the Police and Crime Panel were met in full for 2024/25.</w:t>
      </w:r>
    </w:p>
    <w:p w14:paraId="16EBBA8B"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The Police and Crime Panel meet regularly to hold the PCC to account for the decisions being taken. The minutes of this public meeting are published on the Blackburn with Darwen Council website.</w:t>
      </w:r>
    </w:p>
    <w:p w14:paraId="6C603219" w14:textId="77777777" w:rsidR="001F6A80" w:rsidRPr="00180954" w:rsidRDefault="001F6A80" w:rsidP="00C35404">
      <w:pPr>
        <w:pStyle w:val="Bodyindent"/>
        <w:spacing w:before="0" w:after="120" w:line="240" w:lineRule="auto"/>
        <w:ind w:left="0"/>
        <w:jc w:val="both"/>
        <w:rPr>
          <w:rFonts w:ascii="Arial" w:hAnsi="Arial" w:cs="Arial"/>
          <w:bCs/>
          <w:color w:val="auto"/>
          <w:sz w:val="24"/>
          <w:szCs w:val="24"/>
          <w:lang w:val="en-GB"/>
        </w:rPr>
      </w:pPr>
      <w:r w:rsidRPr="00180954">
        <w:rPr>
          <w:rFonts w:ascii="Arial" w:hAnsi="Arial" w:cs="Arial"/>
          <w:bCs/>
          <w:color w:val="auto"/>
          <w:sz w:val="24"/>
          <w:szCs w:val="24"/>
          <w:lang w:val="en-GB"/>
        </w:rPr>
        <w:t>The PCC's section 151 Officer ensures that all financial arrangements conform with the requirements set out in the CIPFA statement on the Role of the Chief Financial Officer in Local Government (201</w:t>
      </w:r>
      <w:r>
        <w:rPr>
          <w:rFonts w:ascii="Arial" w:hAnsi="Arial" w:cs="Arial"/>
          <w:bCs/>
          <w:color w:val="auto"/>
          <w:sz w:val="24"/>
          <w:szCs w:val="24"/>
          <w:lang w:val="en-GB"/>
        </w:rPr>
        <w:t>6</w:t>
      </w:r>
      <w:r w:rsidRPr="00180954">
        <w:rPr>
          <w:rFonts w:ascii="Arial" w:hAnsi="Arial" w:cs="Arial"/>
          <w:bCs/>
          <w:color w:val="auto"/>
          <w:sz w:val="24"/>
          <w:szCs w:val="24"/>
          <w:lang w:val="en-GB"/>
        </w:rPr>
        <w:t>) where appropriate and provides appropriate evidence where they do not.</w:t>
      </w:r>
    </w:p>
    <w:p w14:paraId="416ECD7C" w14:textId="77777777" w:rsidR="001F6A80" w:rsidRPr="00180954" w:rsidRDefault="001F6A80" w:rsidP="00C35404">
      <w:pPr>
        <w:pStyle w:val="Bodyindent"/>
        <w:spacing w:before="0" w:after="120" w:line="240" w:lineRule="auto"/>
        <w:ind w:left="0"/>
        <w:jc w:val="both"/>
        <w:rPr>
          <w:rFonts w:ascii="Arial" w:hAnsi="Arial" w:cs="Arial"/>
          <w:bCs/>
          <w:color w:val="auto"/>
          <w:sz w:val="24"/>
          <w:szCs w:val="24"/>
          <w:lang w:val="en-GB"/>
        </w:rPr>
      </w:pPr>
      <w:r w:rsidRPr="00180954">
        <w:rPr>
          <w:rFonts w:ascii="Arial" w:hAnsi="Arial" w:cs="Arial"/>
          <w:bCs/>
          <w:color w:val="auto"/>
          <w:sz w:val="24"/>
          <w:szCs w:val="24"/>
          <w:lang w:val="en-GB"/>
        </w:rPr>
        <w:t>The section 151 officer ensures effective counter fraud and anti-corruption arrangements are in place through a program of training, procedure and review by the internal audit function.</w:t>
      </w:r>
    </w:p>
    <w:p w14:paraId="52CDF72C" w14:textId="77777777" w:rsidR="001F6A80" w:rsidRPr="00180954" w:rsidRDefault="001F6A80" w:rsidP="00C35404">
      <w:pPr>
        <w:pStyle w:val="Bodyindent"/>
        <w:spacing w:before="0" w:after="120" w:line="240" w:lineRule="auto"/>
        <w:ind w:left="0"/>
        <w:jc w:val="both"/>
        <w:rPr>
          <w:rFonts w:ascii="Arial" w:hAnsi="Arial" w:cs="Arial"/>
          <w:bCs/>
          <w:color w:val="auto"/>
          <w:sz w:val="24"/>
          <w:szCs w:val="24"/>
          <w:lang w:val="en-GB"/>
        </w:rPr>
      </w:pPr>
      <w:r w:rsidRPr="00180954">
        <w:rPr>
          <w:rFonts w:ascii="Arial" w:hAnsi="Arial" w:cs="Arial"/>
          <w:bCs/>
          <w:color w:val="auto"/>
          <w:sz w:val="24"/>
          <w:szCs w:val="24"/>
          <w:lang w:val="en-GB"/>
        </w:rPr>
        <w:t xml:space="preserve">The PCC is clear that good governance arrangements must be in place for all partnership arrangements. The proposed governance arrangements are reviewed as part of the decision process undertaken and ultimately signed off by the PCC. This provides the PCC with the necessary assurance that appropriate governance arrangements are in place before any partnership activity can commence. </w:t>
      </w:r>
    </w:p>
    <w:p w14:paraId="518F7BD3" w14:textId="77777777" w:rsidR="00040118" w:rsidRDefault="00040118">
      <w:pPr>
        <w:rPr>
          <w:rFonts w:ascii="Arial" w:hAnsi="Arial" w:cs="Arial"/>
          <w:bCs/>
          <w:sz w:val="24"/>
          <w:szCs w:val="24"/>
        </w:rPr>
      </w:pPr>
      <w:r>
        <w:rPr>
          <w:rFonts w:ascii="Arial" w:hAnsi="Arial" w:cs="Arial"/>
          <w:bCs/>
          <w:sz w:val="24"/>
          <w:szCs w:val="24"/>
        </w:rPr>
        <w:br w:type="page"/>
      </w:r>
    </w:p>
    <w:p w14:paraId="429026C1" w14:textId="0E5E4526"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180954">
        <w:rPr>
          <w:rFonts w:ascii="Arial" w:hAnsi="Arial" w:cs="Arial"/>
          <w:bCs/>
          <w:color w:val="auto"/>
          <w:sz w:val="24"/>
          <w:szCs w:val="24"/>
          <w:lang w:val="en-GB"/>
        </w:rPr>
        <w:lastRenderedPageBreak/>
        <w:t xml:space="preserve">The PCC ensures there are effective arrangements in place for the safe collection, use and sharing of data. </w:t>
      </w:r>
    </w:p>
    <w:p w14:paraId="2F2B96CD" w14:textId="77777777" w:rsidR="001F6A80" w:rsidRDefault="001F6A80" w:rsidP="00C35404">
      <w:pPr>
        <w:spacing w:after="240"/>
        <w:jc w:val="both"/>
        <w:rPr>
          <w:rFonts w:ascii="Arial" w:hAnsi="Arial" w:cs="Arial"/>
          <w:bCs/>
          <w:sz w:val="24"/>
          <w:szCs w:val="24"/>
        </w:rPr>
      </w:pPr>
      <w:r>
        <w:rPr>
          <w:rFonts w:ascii="Arial" w:hAnsi="Arial" w:cs="Arial"/>
          <w:b/>
          <w:bCs/>
          <w:sz w:val="24"/>
          <w:szCs w:val="24"/>
        </w:rPr>
        <w:t>Overall Assurance Summary</w:t>
      </w:r>
    </w:p>
    <w:p w14:paraId="36450466" w14:textId="77777777" w:rsidR="001F6A80" w:rsidRDefault="001F6A80" w:rsidP="00C35404">
      <w:pPr>
        <w:spacing w:after="240"/>
        <w:jc w:val="both"/>
        <w:rPr>
          <w:rFonts w:ascii="Arial" w:hAnsi="Arial" w:cs="Arial"/>
          <w:bCs/>
          <w:sz w:val="24"/>
          <w:szCs w:val="24"/>
        </w:rPr>
      </w:pPr>
      <w:r>
        <w:rPr>
          <w:rFonts w:ascii="Arial" w:hAnsi="Arial" w:cs="Arial"/>
          <w:bCs/>
          <w:sz w:val="24"/>
          <w:szCs w:val="24"/>
        </w:rPr>
        <w:t xml:space="preserve">No system of internal control can provide absolute assurance against material misstatement or loss. </w:t>
      </w:r>
    </w:p>
    <w:p w14:paraId="10C6934D" w14:textId="77777777" w:rsidR="001F6A80" w:rsidRDefault="001F6A80" w:rsidP="00C35404">
      <w:pPr>
        <w:spacing w:after="240"/>
        <w:jc w:val="both"/>
        <w:rPr>
          <w:rFonts w:ascii="Arial" w:hAnsi="Arial" w:cs="Arial"/>
          <w:bCs/>
          <w:sz w:val="24"/>
          <w:szCs w:val="24"/>
        </w:rPr>
      </w:pPr>
      <w:r>
        <w:rPr>
          <w:rFonts w:ascii="Arial" w:hAnsi="Arial" w:cs="Arial"/>
          <w:bCs/>
          <w:sz w:val="24"/>
          <w:szCs w:val="24"/>
        </w:rPr>
        <w:t xml:space="preserve">However, based on the review of the sources of assurance set out in this Statement, we are satisfied that the Police and Crime Commissioner </w:t>
      </w:r>
      <w:proofErr w:type="gramStart"/>
      <w:r>
        <w:rPr>
          <w:rFonts w:ascii="Arial" w:hAnsi="Arial" w:cs="Arial"/>
          <w:bCs/>
          <w:sz w:val="24"/>
          <w:szCs w:val="24"/>
        </w:rPr>
        <w:t>has</w:t>
      </w:r>
      <w:proofErr w:type="gramEnd"/>
      <w:r>
        <w:rPr>
          <w:rFonts w:ascii="Arial" w:hAnsi="Arial" w:cs="Arial"/>
          <w:bCs/>
          <w:sz w:val="24"/>
          <w:szCs w:val="24"/>
        </w:rPr>
        <w:t xml:space="preserve"> in place satisfactory systems of corporate governance and internal control which facilitate the effective exercise of their functions, and which include arrangements for the effective management of risk.</w:t>
      </w:r>
    </w:p>
    <w:p w14:paraId="2D0DA713" w14:textId="77777777" w:rsidR="001F6A80" w:rsidRPr="006E0331" w:rsidRDefault="001F6A80" w:rsidP="00C35404">
      <w:pPr>
        <w:spacing w:after="240"/>
        <w:jc w:val="both"/>
        <w:rPr>
          <w:rFonts w:ascii="Arial" w:hAnsi="Arial" w:cs="Arial"/>
          <w:bCs/>
          <w:sz w:val="24"/>
          <w:szCs w:val="24"/>
        </w:rPr>
      </w:pPr>
      <w:bookmarkStart w:id="47" w:name="_Hlk84577393"/>
      <w:r w:rsidRPr="006E0331">
        <w:rPr>
          <w:rFonts w:ascii="Arial" w:hAnsi="Arial" w:cs="Arial"/>
          <w:bCs/>
          <w:sz w:val="24"/>
          <w:szCs w:val="24"/>
        </w:rPr>
        <w:t>In h</w:t>
      </w:r>
      <w:r>
        <w:rPr>
          <w:rFonts w:ascii="Arial" w:hAnsi="Arial" w:cs="Arial"/>
          <w:bCs/>
          <w:sz w:val="24"/>
          <w:szCs w:val="24"/>
        </w:rPr>
        <w:t>is</w:t>
      </w:r>
      <w:r w:rsidRPr="006E0331">
        <w:rPr>
          <w:rFonts w:ascii="Arial" w:hAnsi="Arial" w:cs="Arial"/>
          <w:bCs/>
          <w:sz w:val="24"/>
          <w:szCs w:val="24"/>
        </w:rPr>
        <w:t xml:space="preserve"> annual report for </w:t>
      </w:r>
      <w:r>
        <w:rPr>
          <w:rFonts w:ascii="Arial" w:hAnsi="Arial" w:cs="Arial"/>
          <w:bCs/>
          <w:sz w:val="24"/>
          <w:szCs w:val="24"/>
        </w:rPr>
        <w:t>2024/25</w:t>
      </w:r>
      <w:r w:rsidRPr="006E0331">
        <w:rPr>
          <w:rFonts w:ascii="Arial" w:hAnsi="Arial" w:cs="Arial"/>
          <w:bCs/>
          <w:sz w:val="24"/>
          <w:szCs w:val="24"/>
        </w:rPr>
        <w:t xml:space="preserve"> the Head of Internal Audit stated that "</w:t>
      </w:r>
      <w:r w:rsidRPr="008A6D88">
        <w:t xml:space="preserve"> </w:t>
      </w:r>
      <w:r w:rsidRPr="008A6D88">
        <w:rPr>
          <w:rFonts w:ascii="Arial" w:hAnsi="Arial" w:cs="Arial"/>
          <w:bCs/>
          <w:sz w:val="24"/>
          <w:szCs w:val="24"/>
        </w:rPr>
        <w:t>Overall, I can provide moderate assurance regarding the adequacy of design and effectiveness in operation of the frameworks of governance, risk management and control of the Chief Constable and the Police and Crime Commissioner.</w:t>
      </w:r>
      <w:r w:rsidRPr="006E0331">
        <w:rPr>
          <w:rFonts w:ascii="Arial" w:hAnsi="Arial" w:cs="Arial"/>
          <w:bCs/>
          <w:sz w:val="24"/>
          <w:szCs w:val="24"/>
        </w:rPr>
        <w:t>".</w:t>
      </w:r>
    </w:p>
    <w:p w14:paraId="7FCF3CEB" w14:textId="77777777" w:rsidR="001F6A80" w:rsidRPr="00180954" w:rsidRDefault="001F6A80" w:rsidP="00C35404">
      <w:pPr>
        <w:spacing w:after="240"/>
        <w:jc w:val="both"/>
        <w:rPr>
          <w:rFonts w:ascii="Arial" w:hAnsi="Arial" w:cs="Arial"/>
          <w:bCs/>
          <w:i/>
          <w:sz w:val="24"/>
          <w:szCs w:val="24"/>
        </w:rPr>
      </w:pPr>
      <w:r w:rsidRPr="006E0331">
        <w:rPr>
          <w:rFonts w:ascii="Arial" w:hAnsi="Arial" w:cs="Arial"/>
          <w:bCs/>
          <w:sz w:val="24"/>
          <w:szCs w:val="24"/>
        </w:rPr>
        <w:t xml:space="preserve">Moderate assurance is defined as </w:t>
      </w:r>
      <w:r w:rsidRPr="006E0331">
        <w:rPr>
          <w:rFonts w:ascii="Arial" w:hAnsi="Arial" w:cs="Arial"/>
          <w:bCs/>
          <w:i/>
          <w:sz w:val="24"/>
          <w:szCs w:val="24"/>
        </w:rPr>
        <w:t>"the framework of control is adequately designed and/ or effectively operated overall, but some action is required to enhance aspects of it and/ or ensure that it is effectively operated throughout the service, system or process."</w:t>
      </w:r>
    </w:p>
    <w:p w14:paraId="4C610C57" w14:textId="77777777" w:rsidR="001F6A80" w:rsidRDefault="001F6A80" w:rsidP="00C35404">
      <w:pPr>
        <w:spacing w:after="240"/>
        <w:jc w:val="both"/>
        <w:rPr>
          <w:rFonts w:ascii="Arial" w:hAnsi="Arial" w:cs="Arial"/>
          <w:bCs/>
          <w:sz w:val="24"/>
          <w:szCs w:val="24"/>
        </w:rPr>
      </w:pPr>
      <w:r w:rsidRPr="00180954">
        <w:rPr>
          <w:rFonts w:ascii="Arial" w:hAnsi="Arial" w:cs="Arial"/>
          <w:bCs/>
          <w:sz w:val="24"/>
          <w:szCs w:val="24"/>
        </w:rPr>
        <w:t>The PCC has been assured that all the actions identified as required by the internal audit review has been implemented or are to be implemented shortly.</w:t>
      </w:r>
    </w:p>
    <w:bookmarkEnd w:id="47"/>
    <w:p w14:paraId="422340F1" w14:textId="77777777" w:rsidR="001F6A80" w:rsidRDefault="001F6A80" w:rsidP="00C35404">
      <w:pPr>
        <w:pStyle w:val="Bodyindent"/>
        <w:spacing w:before="0" w:after="160" w:line="240" w:lineRule="auto"/>
        <w:ind w:left="0"/>
        <w:jc w:val="both"/>
        <w:rPr>
          <w:rFonts w:ascii="Arial" w:hAnsi="Arial" w:cs="Arial"/>
          <w:bCs/>
          <w:color w:val="auto"/>
          <w:sz w:val="24"/>
          <w:szCs w:val="24"/>
          <w:lang w:val="en-GB"/>
        </w:rPr>
      </w:pPr>
      <w:r>
        <w:rPr>
          <w:rFonts w:ascii="Arial" w:hAnsi="Arial" w:cs="Arial"/>
          <w:b/>
          <w:bCs/>
          <w:color w:val="auto"/>
          <w:sz w:val="24"/>
          <w:szCs w:val="24"/>
          <w:lang w:val="en-GB"/>
        </w:rPr>
        <w:t>Review of effectiveness</w:t>
      </w:r>
    </w:p>
    <w:p w14:paraId="5D7F477F"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The PCC has responsibility for conducting, at least annually, a review of the effectiveness of the governance framework, including the system of internal audit and the systems of internal control. The review has been conducted by the Senior Management team and takes account of comments from both internal and external audit and inspectorate reports.</w:t>
      </w:r>
    </w:p>
    <w:p w14:paraId="76E6CD31"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The review involves gathering examples of effective controls, mitigation of risks and the overall efficiency and effectiveness of the organisation.  The evidence gathered is documented in a separate record that is used to support the certificates of assurance signed by each of the chief officer team.</w:t>
      </w:r>
    </w:p>
    <w:p w14:paraId="0F5ACCE3"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Considering all these factors, the PCC, and Constabulary systems of internal control for 2024/25 are considered both satisfactory and effective. </w:t>
      </w:r>
    </w:p>
    <w:p w14:paraId="2972CC26" w14:textId="77777777" w:rsidR="001F6A80" w:rsidRDefault="001F6A80" w:rsidP="00C35404">
      <w:pPr>
        <w:pStyle w:val="Bodyindent"/>
        <w:spacing w:before="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The roles and processes applied in maintaining and reviewing the effectiveness of the governance framework are outlined below:</w:t>
      </w:r>
    </w:p>
    <w:p w14:paraId="340EA3AC" w14:textId="77777777" w:rsidR="001F6A80" w:rsidRDefault="001F6A80" w:rsidP="00C35404">
      <w:pPr>
        <w:pStyle w:val="Bodyindent"/>
        <w:spacing w:before="0" w:line="240" w:lineRule="auto"/>
        <w:ind w:left="0"/>
        <w:jc w:val="both"/>
        <w:rPr>
          <w:rFonts w:ascii="Arial" w:hAnsi="Arial" w:cs="Arial"/>
          <w:b/>
          <w:bCs/>
          <w:sz w:val="24"/>
          <w:szCs w:val="24"/>
        </w:rPr>
      </w:pPr>
    </w:p>
    <w:p w14:paraId="7FA21237" w14:textId="77777777" w:rsidR="001F6A80" w:rsidRDefault="001F6A80" w:rsidP="00C35404">
      <w:pPr>
        <w:pStyle w:val="Bodyindent"/>
        <w:spacing w:before="0" w:after="160" w:line="240" w:lineRule="auto"/>
        <w:ind w:left="0"/>
        <w:jc w:val="both"/>
        <w:rPr>
          <w:rFonts w:ascii="Arial" w:hAnsi="Arial" w:cs="Arial"/>
          <w:b/>
          <w:bCs/>
          <w:color w:val="auto"/>
          <w:sz w:val="24"/>
          <w:szCs w:val="24"/>
          <w:lang w:val="en-GB"/>
        </w:rPr>
      </w:pPr>
      <w:r>
        <w:rPr>
          <w:rFonts w:ascii="Arial" w:hAnsi="Arial" w:cs="Arial"/>
          <w:b/>
          <w:bCs/>
          <w:color w:val="auto"/>
          <w:sz w:val="24"/>
          <w:szCs w:val="24"/>
          <w:lang w:val="en-GB"/>
        </w:rPr>
        <w:t>ENSURING EFFECTIVE GOVERNANCE OF ORGANISATIONAL RISKS</w:t>
      </w:r>
    </w:p>
    <w:p w14:paraId="07A1CF14" w14:textId="77777777" w:rsidR="001F6A80" w:rsidRDefault="001F6A80" w:rsidP="00C35404">
      <w:pPr>
        <w:pStyle w:val="Bodyindent"/>
        <w:spacing w:before="0" w:after="160" w:line="240" w:lineRule="auto"/>
        <w:ind w:left="0"/>
        <w:jc w:val="both"/>
        <w:rPr>
          <w:rFonts w:ascii="Arial" w:hAnsi="Arial" w:cs="Arial"/>
          <w:b/>
          <w:bCs/>
          <w:color w:val="auto"/>
          <w:sz w:val="24"/>
          <w:szCs w:val="24"/>
          <w:lang w:val="en-GB"/>
        </w:rPr>
      </w:pPr>
      <w:r>
        <w:rPr>
          <w:rFonts w:ascii="Arial" w:hAnsi="Arial" w:cs="Arial"/>
          <w:b/>
          <w:bCs/>
          <w:color w:val="auto"/>
          <w:sz w:val="24"/>
          <w:szCs w:val="24"/>
          <w:lang w:val="en-GB"/>
        </w:rPr>
        <w:t>Area for action identified for 2024/25</w:t>
      </w:r>
    </w:p>
    <w:p w14:paraId="6591F8EC" w14:textId="77777777" w:rsidR="001F6A80" w:rsidRDefault="001F6A80" w:rsidP="004E2882">
      <w:pPr>
        <w:pStyle w:val="Bodyindent"/>
        <w:numPr>
          <w:ilvl w:val="0"/>
          <w:numId w:val="42"/>
        </w:numPr>
        <w:spacing w:after="120"/>
        <w:jc w:val="both"/>
        <w:rPr>
          <w:rFonts w:ascii="Arial" w:hAnsi="Arial" w:cs="Arial"/>
          <w:b/>
          <w:bCs/>
          <w:sz w:val="24"/>
          <w:szCs w:val="24"/>
          <w:lang w:val="en-GB"/>
        </w:rPr>
      </w:pPr>
      <w:r>
        <w:rPr>
          <w:rFonts w:ascii="Arial" w:hAnsi="Arial" w:cs="Arial"/>
          <w:b/>
          <w:bCs/>
          <w:sz w:val="24"/>
          <w:szCs w:val="24"/>
          <w:lang w:val="en-GB"/>
        </w:rPr>
        <w:t>Financial Pressures</w:t>
      </w:r>
    </w:p>
    <w:p w14:paraId="2C075A97" w14:textId="3CCFE6D2" w:rsidR="001F6A80" w:rsidRDefault="001F6A80" w:rsidP="00C35404">
      <w:pPr>
        <w:pStyle w:val="Bodyindent"/>
        <w:spacing w:before="0" w:after="120" w:line="240" w:lineRule="auto"/>
        <w:ind w:left="0"/>
        <w:jc w:val="both"/>
        <w:rPr>
          <w:rFonts w:ascii="Arial" w:hAnsi="Arial" w:cs="Arial"/>
          <w:bCs/>
          <w:color w:val="auto"/>
          <w:sz w:val="24"/>
          <w:szCs w:val="24"/>
          <w:lang w:val="en-GB"/>
        </w:rPr>
      </w:pPr>
      <w:bookmarkStart w:id="48" w:name="_Hlk172279459"/>
      <w:r>
        <w:rPr>
          <w:rFonts w:ascii="Arial" w:hAnsi="Arial" w:cs="Arial"/>
          <w:bCs/>
          <w:color w:val="auto"/>
          <w:sz w:val="24"/>
          <w:szCs w:val="24"/>
          <w:lang w:val="en-GB"/>
        </w:rPr>
        <w:t>The commitment to maintain the 'uplift' programme for 20,000 additional officers in 2024/25 was met but it is recognised that this limits the ability for the delivery of savings by the organisation. The additional cost pressures faced in 2024/25 have been managed through</w:t>
      </w:r>
      <w:bookmarkEnd w:id="48"/>
      <w:r>
        <w:rPr>
          <w:rFonts w:ascii="Arial" w:hAnsi="Arial" w:cs="Arial"/>
          <w:bCs/>
          <w:color w:val="auto"/>
          <w:sz w:val="24"/>
          <w:szCs w:val="24"/>
          <w:lang w:val="en-GB"/>
        </w:rPr>
        <w:t xml:space="preserve"> strong financial control through the robust monitoring process that is in </w:t>
      </w:r>
      <w:r w:rsidR="00DC2030">
        <w:rPr>
          <w:rFonts w:ascii="Arial" w:hAnsi="Arial" w:cs="Arial"/>
          <w:bCs/>
          <w:color w:val="auto"/>
          <w:sz w:val="24"/>
          <w:szCs w:val="24"/>
          <w:lang w:val="en-GB"/>
        </w:rPr>
        <w:t>place,</w:t>
      </w:r>
      <w:r>
        <w:rPr>
          <w:rFonts w:ascii="Arial" w:hAnsi="Arial" w:cs="Arial"/>
          <w:bCs/>
          <w:color w:val="auto"/>
          <w:sz w:val="24"/>
          <w:szCs w:val="24"/>
          <w:lang w:val="en-GB"/>
        </w:rPr>
        <w:t xml:space="preserve"> but it is increasingly challenging due to the requirement of the upfit programme.</w:t>
      </w:r>
    </w:p>
    <w:p w14:paraId="312B1911"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The Medium-Term Financial Strategy is constantly under review and refreshed to form a plan to meet future cost pressures.</w:t>
      </w:r>
    </w:p>
    <w:p w14:paraId="5D6D5C38"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p>
    <w:p w14:paraId="4777AF47" w14:textId="77777777" w:rsidR="001F6A80" w:rsidRDefault="001F6A80" w:rsidP="004E2882">
      <w:pPr>
        <w:pStyle w:val="Bodyindent"/>
        <w:numPr>
          <w:ilvl w:val="0"/>
          <w:numId w:val="42"/>
        </w:numPr>
        <w:spacing w:after="120"/>
        <w:jc w:val="both"/>
        <w:rPr>
          <w:rFonts w:ascii="Arial" w:hAnsi="Arial" w:cs="Arial"/>
          <w:b/>
          <w:bCs/>
          <w:sz w:val="24"/>
          <w:szCs w:val="24"/>
          <w:lang w:val="en-GB"/>
        </w:rPr>
      </w:pPr>
      <w:r>
        <w:rPr>
          <w:rFonts w:ascii="Arial" w:hAnsi="Arial" w:cs="Arial"/>
          <w:b/>
          <w:bCs/>
          <w:sz w:val="24"/>
          <w:szCs w:val="24"/>
          <w:lang w:val="en-GB"/>
        </w:rPr>
        <w:lastRenderedPageBreak/>
        <w:t>Increased complexity of Government Funding</w:t>
      </w:r>
    </w:p>
    <w:p w14:paraId="558C15F3" w14:textId="77777777" w:rsidR="001F6A80"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In recent years the Government has provided a series of grant funding streams targeted at specific policy objectives.</w:t>
      </w:r>
    </w:p>
    <w:p w14:paraId="7A32FF57" w14:textId="77777777" w:rsidR="001F6A80"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This funding comes with a significant administrative burden including significant pressure to formulate bids in extremely short timescales and then requiring extensive reporting of outcomes.</w:t>
      </w:r>
    </w:p>
    <w:p w14:paraId="117A944F" w14:textId="77777777" w:rsidR="001F6A80"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The PCC and Constabulary have ensured that the staff involved in securing and monitoring such initiatives have received the required training and resource to identify and secure such funding and deliver the organisations compliance with all relevant grant conditions.</w:t>
      </w:r>
    </w:p>
    <w:p w14:paraId="26985D2A" w14:textId="618144C4" w:rsidR="001F6A80"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 xml:space="preserve">A significant number of specific grants were due to end on 31 March 2025 which meant that </w:t>
      </w:r>
      <w:proofErr w:type="gramStart"/>
      <w:r>
        <w:rPr>
          <w:rFonts w:ascii="Arial" w:hAnsi="Arial" w:cs="Arial"/>
          <w:bCs/>
          <w:sz w:val="24"/>
          <w:szCs w:val="24"/>
          <w:lang w:val="en-GB"/>
        </w:rPr>
        <w:t xml:space="preserve">a large </w:t>
      </w:r>
      <w:r w:rsidR="00FC74D5">
        <w:rPr>
          <w:rFonts w:ascii="Arial" w:hAnsi="Arial" w:cs="Arial"/>
          <w:bCs/>
          <w:sz w:val="24"/>
          <w:szCs w:val="24"/>
          <w:lang w:val="en-GB"/>
        </w:rPr>
        <w:t>n</w:t>
      </w:r>
      <w:r>
        <w:rPr>
          <w:rFonts w:ascii="Arial" w:hAnsi="Arial" w:cs="Arial"/>
          <w:bCs/>
          <w:sz w:val="24"/>
          <w:szCs w:val="24"/>
          <w:lang w:val="en-GB"/>
        </w:rPr>
        <w:t>umber of</w:t>
      </w:r>
      <w:proofErr w:type="gramEnd"/>
      <w:r>
        <w:rPr>
          <w:rFonts w:ascii="Arial" w:hAnsi="Arial" w:cs="Arial"/>
          <w:bCs/>
          <w:sz w:val="24"/>
          <w:szCs w:val="24"/>
          <w:lang w:val="en-GB"/>
        </w:rPr>
        <w:t xml:space="preserve"> service providers needed to plan for the end of their service provision. The uncertainty of future funding being provided means that this has meant large numbers of staff leaving service providers to secure permanent roles disrupting the </w:t>
      </w:r>
      <w:r w:rsidR="00DC2030">
        <w:rPr>
          <w:rFonts w:ascii="Arial" w:hAnsi="Arial" w:cs="Arial"/>
          <w:bCs/>
          <w:sz w:val="24"/>
          <w:szCs w:val="24"/>
          <w:lang w:val="en-GB"/>
        </w:rPr>
        <w:t>number</w:t>
      </w:r>
      <w:r>
        <w:rPr>
          <w:rFonts w:ascii="Arial" w:hAnsi="Arial" w:cs="Arial"/>
          <w:bCs/>
          <w:sz w:val="24"/>
          <w:szCs w:val="24"/>
          <w:lang w:val="en-GB"/>
        </w:rPr>
        <w:t xml:space="preserve"> of services that are available.</w:t>
      </w:r>
    </w:p>
    <w:p w14:paraId="3E3ACC28"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p>
    <w:p w14:paraId="70B6E156" w14:textId="77777777" w:rsidR="001F6A80" w:rsidRPr="00185207"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
          <w:bCs/>
          <w:color w:val="auto"/>
          <w:sz w:val="24"/>
          <w:szCs w:val="24"/>
          <w:lang w:val="en-GB"/>
        </w:rPr>
        <w:t>Areas for Action in 2025/26</w:t>
      </w:r>
    </w:p>
    <w:p w14:paraId="32EF9309" w14:textId="77777777" w:rsidR="001F6A80" w:rsidRDefault="001F6A80" w:rsidP="004E2882">
      <w:pPr>
        <w:pStyle w:val="Bodyindent"/>
        <w:numPr>
          <w:ilvl w:val="0"/>
          <w:numId w:val="43"/>
        </w:numPr>
        <w:spacing w:after="120"/>
        <w:jc w:val="both"/>
        <w:rPr>
          <w:rFonts w:ascii="Arial" w:hAnsi="Arial" w:cs="Arial"/>
          <w:b/>
          <w:bCs/>
          <w:sz w:val="24"/>
          <w:szCs w:val="24"/>
          <w:lang w:val="en-GB"/>
        </w:rPr>
      </w:pPr>
      <w:r>
        <w:rPr>
          <w:rFonts w:ascii="Arial" w:hAnsi="Arial" w:cs="Arial"/>
          <w:b/>
          <w:bCs/>
          <w:sz w:val="24"/>
          <w:szCs w:val="24"/>
          <w:lang w:val="en-GB"/>
        </w:rPr>
        <w:t>Financial Pressures</w:t>
      </w:r>
    </w:p>
    <w:p w14:paraId="2BE87E3D"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sidRPr="00E3637B">
        <w:rPr>
          <w:rFonts w:ascii="Arial" w:hAnsi="Arial" w:cs="Arial"/>
          <w:bCs/>
          <w:color w:val="auto"/>
          <w:sz w:val="24"/>
          <w:szCs w:val="24"/>
          <w:lang w:val="en-GB"/>
        </w:rPr>
        <w:t xml:space="preserve">There is an ongoing pressure to maintain the number of officers delivered through the </w:t>
      </w:r>
      <w:r>
        <w:rPr>
          <w:rFonts w:ascii="Arial" w:hAnsi="Arial" w:cs="Arial"/>
          <w:bCs/>
          <w:color w:val="auto"/>
          <w:sz w:val="24"/>
          <w:szCs w:val="24"/>
          <w:lang w:val="en-GB"/>
        </w:rPr>
        <w:t xml:space="preserve">uplift </w:t>
      </w:r>
      <w:r w:rsidRPr="00E3637B">
        <w:rPr>
          <w:rFonts w:ascii="Arial" w:hAnsi="Arial" w:cs="Arial"/>
          <w:bCs/>
          <w:color w:val="auto"/>
          <w:sz w:val="24"/>
          <w:szCs w:val="24"/>
          <w:lang w:val="en-GB"/>
        </w:rPr>
        <w:t>programme where failure to do so will reduce grant funding.</w:t>
      </w:r>
      <w:r>
        <w:rPr>
          <w:rFonts w:ascii="Arial" w:hAnsi="Arial" w:cs="Arial"/>
          <w:bCs/>
          <w:color w:val="auto"/>
          <w:sz w:val="24"/>
          <w:szCs w:val="24"/>
          <w:lang w:val="en-GB"/>
        </w:rPr>
        <w:t xml:space="preserve"> A further consequence of this requirement is that any savings required from the business cannot be taken from Police Officer pay costs as the number cannot reduce. Police pay is more than 50% of the total budget for the constabulary.</w:t>
      </w:r>
    </w:p>
    <w:p w14:paraId="113FA5F5"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The Neighbourhood Policing Guarantee from central government places the burden of its delivery onto forces. This has come with specific funding but again means that the flexibility in the way resources are used by the PCC and Chief Constable are being constrained making the delivery of savings more difficult.</w:t>
      </w:r>
    </w:p>
    <w:p w14:paraId="51CE5988" w14:textId="77777777" w:rsidR="001F6A80" w:rsidRDefault="001F6A80" w:rsidP="00C35404">
      <w:pPr>
        <w:pStyle w:val="Bodyindent"/>
        <w:spacing w:before="0" w:after="120" w:line="240" w:lineRule="auto"/>
        <w:ind w:left="0"/>
        <w:jc w:val="both"/>
        <w:rPr>
          <w:rFonts w:ascii="Arial" w:hAnsi="Arial" w:cs="Arial"/>
          <w:bCs/>
          <w:color w:val="auto"/>
          <w:sz w:val="24"/>
          <w:szCs w:val="24"/>
          <w:lang w:val="en-GB"/>
        </w:rPr>
      </w:pPr>
      <w:r>
        <w:rPr>
          <w:rFonts w:ascii="Arial" w:hAnsi="Arial" w:cs="Arial"/>
          <w:bCs/>
          <w:color w:val="auto"/>
          <w:sz w:val="24"/>
          <w:szCs w:val="24"/>
          <w:lang w:val="en-GB"/>
        </w:rPr>
        <w:t xml:space="preserve">This places a greater burden on police staff budgets as this is the most significant budget area outside police officer costs. It is inevitable this budget will face an impact if a significant level of savings is required. </w:t>
      </w:r>
    </w:p>
    <w:p w14:paraId="744D92B7" w14:textId="77777777" w:rsidR="001F6A80" w:rsidRDefault="001F6A80" w:rsidP="00C35404">
      <w:pPr>
        <w:pStyle w:val="Bodyindent"/>
        <w:spacing w:after="120"/>
        <w:ind w:left="0"/>
        <w:jc w:val="both"/>
        <w:rPr>
          <w:rFonts w:ascii="Arial" w:hAnsi="Arial" w:cs="Arial"/>
          <w:bCs/>
          <w:sz w:val="24"/>
          <w:szCs w:val="24"/>
          <w:lang w:val="en-GB"/>
        </w:rPr>
      </w:pPr>
      <w:r>
        <w:rPr>
          <w:rFonts w:ascii="Arial" w:hAnsi="Arial" w:cs="Arial"/>
          <w:b/>
          <w:bCs/>
          <w:sz w:val="24"/>
          <w:szCs w:val="24"/>
          <w:lang w:val="en-GB"/>
        </w:rPr>
        <w:t>Action to address:</w:t>
      </w:r>
    </w:p>
    <w:p w14:paraId="5F026E4A" w14:textId="77777777" w:rsidR="001F6A80"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The PCC and Constabulary will continue to examine every opportunity to make savings through improved efficiency and minimise the impact on any staff budget.</w:t>
      </w:r>
    </w:p>
    <w:p w14:paraId="7B4DF7CD" w14:textId="77777777" w:rsidR="001F6A80" w:rsidRDefault="001F6A80" w:rsidP="00C35404">
      <w:pPr>
        <w:pStyle w:val="Bodyindent"/>
        <w:spacing w:after="240"/>
        <w:ind w:left="0"/>
        <w:jc w:val="both"/>
        <w:rPr>
          <w:rFonts w:ascii="Arial" w:hAnsi="Arial" w:cs="Arial"/>
          <w:b/>
          <w:bCs/>
          <w:sz w:val="24"/>
          <w:szCs w:val="24"/>
          <w:lang w:val="en-GB"/>
        </w:rPr>
      </w:pPr>
      <w:r>
        <w:rPr>
          <w:rFonts w:ascii="Arial" w:hAnsi="Arial" w:cs="Arial"/>
          <w:bCs/>
          <w:sz w:val="24"/>
          <w:szCs w:val="24"/>
          <w:lang w:val="en-GB"/>
        </w:rPr>
        <w:t>This will be delivered through the annual 'business planning' process which is well established and has a proven track record in the delivery of savings solutions.</w:t>
      </w:r>
    </w:p>
    <w:p w14:paraId="79287B64" w14:textId="77777777" w:rsidR="001F6A80" w:rsidRDefault="001F6A80" w:rsidP="004E2882">
      <w:pPr>
        <w:pStyle w:val="Bodyindent"/>
        <w:numPr>
          <w:ilvl w:val="0"/>
          <w:numId w:val="43"/>
        </w:numPr>
        <w:spacing w:after="240"/>
        <w:jc w:val="both"/>
        <w:rPr>
          <w:rFonts w:ascii="Arial" w:hAnsi="Arial" w:cs="Arial"/>
          <w:b/>
          <w:bCs/>
          <w:sz w:val="24"/>
          <w:szCs w:val="24"/>
          <w:lang w:val="en-GB"/>
        </w:rPr>
      </w:pPr>
      <w:r>
        <w:rPr>
          <w:rFonts w:ascii="Arial" w:hAnsi="Arial" w:cs="Arial"/>
          <w:b/>
          <w:bCs/>
          <w:sz w:val="24"/>
          <w:szCs w:val="24"/>
          <w:lang w:val="en-GB"/>
        </w:rPr>
        <w:t>Specific grant funding</w:t>
      </w:r>
    </w:p>
    <w:p w14:paraId="2112985A" w14:textId="7A5C3055" w:rsidR="001F6A80" w:rsidRDefault="001F6A80" w:rsidP="00C35404">
      <w:pPr>
        <w:pStyle w:val="Bodyindent"/>
        <w:spacing w:before="0" w:after="120"/>
        <w:ind w:left="0"/>
        <w:jc w:val="both"/>
        <w:rPr>
          <w:rFonts w:ascii="Arial" w:hAnsi="Arial" w:cs="Arial"/>
          <w:bCs/>
          <w:sz w:val="24"/>
          <w:szCs w:val="24"/>
          <w:lang w:val="en-GB"/>
        </w:rPr>
      </w:pPr>
      <w:bookmarkStart w:id="49" w:name="_Hlk143603307"/>
      <w:proofErr w:type="gramStart"/>
      <w:r>
        <w:rPr>
          <w:rFonts w:ascii="Arial" w:hAnsi="Arial" w:cs="Arial"/>
          <w:bCs/>
          <w:sz w:val="24"/>
          <w:szCs w:val="24"/>
          <w:lang w:val="en-GB"/>
        </w:rPr>
        <w:t>A number of</w:t>
      </w:r>
      <w:proofErr w:type="gramEnd"/>
      <w:r>
        <w:rPr>
          <w:rFonts w:ascii="Arial" w:hAnsi="Arial" w:cs="Arial"/>
          <w:bCs/>
          <w:sz w:val="24"/>
          <w:szCs w:val="24"/>
          <w:lang w:val="en-GB"/>
        </w:rPr>
        <w:t xml:space="preserve"> Specific Grants were due to end on 31 March 2025. Late in 2024/25 government confirmed a number would 'roll-over' </w:t>
      </w:r>
      <w:r w:rsidR="00DC2030">
        <w:rPr>
          <w:rFonts w:ascii="Arial" w:hAnsi="Arial" w:cs="Arial"/>
          <w:bCs/>
          <w:sz w:val="24"/>
          <w:szCs w:val="24"/>
          <w:lang w:val="en-GB"/>
        </w:rPr>
        <w:t>into</w:t>
      </w:r>
      <w:r>
        <w:rPr>
          <w:rFonts w:ascii="Arial" w:hAnsi="Arial" w:cs="Arial"/>
          <w:bCs/>
          <w:sz w:val="24"/>
          <w:szCs w:val="24"/>
          <w:lang w:val="en-GB"/>
        </w:rPr>
        <w:t xml:space="preserve"> 2025/26. Whilst additional funding is clearly welcomed the late announcement of these grants meant that </w:t>
      </w:r>
      <w:proofErr w:type="gramStart"/>
      <w:r>
        <w:rPr>
          <w:rFonts w:ascii="Arial" w:hAnsi="Arial" w:cs="Arial"/>
          <w:bCs/>
          <w:sz w:val="24"/>
          <w:szCs w:val="24"/>
          <w:lang w:val="en-GB"/>
        </w:rPr>
        <w:t>a number of</w:t>
      </w:r>
      <w:proofErr w:type="gramEnd"/>
      <w:r>
        <w:rPr>
          <w:rFonts w:ascii="Arial" w:hAnsi="Arial" w:cs="Arial"/>
          <w:bCs/>
          <w:sz w:val="24"/>
          <w:szCs w:val="24"/>
          <w:lang w:val="en-GB"/>
        </w:rPr>
        <w:t xml:space="preserve"> providers had already reduced staffing levels to meet the 31/3/2025 expected end to funding.</w:t>
      </w:r>
    </w:p>
    <w:p w14:paraId="616B7342" w14:textId="77777777" w:rsidR="001F6A80"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This means significant effort is required to maintain services where possible at a time when available provider resources are uncertain.</w:t>
      </w:r>
    </w:p>
    <w:p w14:paraId="72319E83" w14:textId="77777777" w:rsidR="001F6A80"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 xml:space="preserve">These grants have been fundamental to the delivery of </w:t>
      </w:r>
      <w:proofErr w:type="gramStart"/>
      <w:r>
        <w:rPr>
          <w:rFonts w:ascii="Arial" w:hAnsi="Arial" w:cs="Arial"/>
          <w:bCs/>
          <w:sz w:val="24"/>
          <w:szCs w:val="24"/>
          <w:lang w:val="en-GB"/>
        </w:rPr>
        <w:t>a number of</w:t>
      </w:r>
      <w:proofErr w:type="gramEnd"/>
      <w:r>
        <w:rPr>
          <w:rFonts w:ascii="Arial" w:hAnsi="Arial" w:cs="Arial"/>
          <w:bCs/>
          <w:sz w:val="24"/>
          <w:szCs w:val="24"/>
          <w:lang w:val="en-GB"/>
        </w:rPr>
        <w:t xml:space="preserve"> services in recent years and ensuring services can continue is a significant challenge.</w:t>
      </w:r>
      <w:bookmarkEnd w:id="49"/>
    </w:p>
    <w:p w14:paraId="749B0B3C" w14:textId="77777777" w:rsidR="001F6A80" w:rsidRDefault="001F6A80" w:rsidP="00C35404">
      <w:pPr>
        <w:pStyle w:val="Bodyindent"/>
        <w:spacing w:after="120"/>
        <w:ind w:left="0"/>
        <w:jc w:val="both"/>
        <w:rPr>
          <w:rFonts w:ascii="Arial" w:hAnsi="Arial" w:cs="Arial"/>
          <w:bCs/>
          <w:sz w:val="24"/>
          <w:szCs w:val="24"/>
          <w:lang w:val="en-GB"/>
        </w:rPr>
      </w:pPr>
      <w:r>
        <w:rPr>
          <w:rFonts w:ascii="Arial" w:hAnsi="Arial" w:cs="Arial"/>
          <w:b/>
          <w:bCs/>
          <w:sz w:val="24"/>
          <w:szCs w:val="24"/>
          <w:lang w:val="en-GB"/>
        </w:rPr>
        <w:lastRenderedPageBreak/>
        <w:t>Action to address:</w:t>
      </w:r>
    </w:p>
    <w:p w14:paraId="7B0B028A" w14:textId="77777777" w:rsidR="001F6A80"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The PCC will work with providers to give as much certainty as possible about funding and provide such information as early as possible to enable planning and budgeting to take place.</w:t>
      </w:r>
    </w:p>
    <w:p w14:paraId="706D712D" w14:textId="77777777" w:rsidR="001F6A80" w:rsidRPr="0026771A" w:rsidRDefault="001F6A80" w:rsidP="00C35404">
      <w:pPr>
        <w:pStyle w:val="Bodyindent"/>
        <w:spacing w:before="0" w:after="120"/>
        <w:ind w:left="0"/>
        <w:jc w:val="both"/>
        <w:rPr>
          <w:rFonts w:ascii="Arial" w:hAnsi="Arial" w:cs="Arial"/>
          <w:bCs/>
          <w:sz w:val="24"/>
          <w:szCs w:val="24"/>
          <w:lang w:val="en-GB"/>
        </w:rPr>
      </w:pPr>
      <w:r>
        <w:rPr>
          <w:rFonts w:ascii="Arial" w:hAnsi="Arial" w:cs="Arial"/>
          <w:bCs/>
          <w:sz w:val="24"/>
          <w:szCs w:val="24"/>
          <w:lang w:val="en-GB"/>
        </w:rPr>
        <w:t>This will form an integral part of the business planning and budget setting process for 2026/27 and future years.</w:t>
      </w:r>
    </w:p>
    <w:p w14:paraId="3C64A571" w14:textId="77777777" w:rsidR="001F6A80" w:rsidRDefault="001F6A80" w:rsidP="00C35404">
      <w:pPr>
        <w:pStyle w:val="Bodyindent"/>
        <w:ind w:left="0"/>
        <w:jc w:val="both"/>
        <w:rPr>
          <w:rFonts w:ascii="Arial" w:hAnsi="Arial" w:cs="Arial"/>
          <w:bCs/>
          <w:sz w:val="24"/>
          <w:szCs w:val="24"/>
          <w:lang w:val="en-GB"/>
        </w:rPr>
      </w:pPr>
    </w:p>
    <w:p w14:paraId="7C2BB6F7" w14:textId="77777777" w:rsidR="001F6A80" w:rsidRPr="006E0331" w:rsidRDefault="001F6A80" w:rsidP="00C35404">
      <w:pPr>
        <w:jc w:val="both"/>
        <w:rPr>
          <w:rFonts w:ascii="Arial" w:hAnsi="Arial" w:cs="Arial"/>
          <w:b/>
          <w:bCs/>
          <w:sz w:val="24"/>
          <w:szCs w:val="24"/>
        </w:rPr>
      </w:pPr>
      <w:r>
        <w:rPr>
          <w:rFonts w:ascii="Arial" w:hAnsi="Arial" w:cs="Arial"/>
          <w:b/>
          <w:bCs/>
          <w:sz w:val="24"/>
          <w:szCs w:val="24"/>
        </w:rPr>
        <w:t>Significant governance issues</w:t>
      </w:r>
    </w:p>
    <w:p w14:paraId="3417168B" w14:textId="77777777" w:rsidR="001F6A80" w:rsidRPr="006E0331" w:rsidRDefault="001F6A80" w:rsidP="00C35404">
      <w:pPr>
        <w:pStyle w:val="Bodyindent"/>
        <w:ind w:left="0"/>
        <w:jc w:val="both"/>
        <w:rPr>
          <w:rFonts w:ascii="Arial" w:hAnsi="Arial" w:cs="Arial"/>
          <w:bCs/>
          <w:sz w:val="24"/>
          <w:szCs w:val="24"/>
          <w:lang w:val="en-GB"/>
        </w:rPr>
      </w:pPr>
      <w:r w:rsidRPr="006E0331">
        <w:rPr>
          <w:rFonts w:ascii="Arial" w:hAnsi="Arial" w:cs="Arial"/>
          <w:bCs/>
          <w:sz w:val="24"/>
          <w:szCs w:val="24"/>
          <w:lang w:val="en-GB"/>
        </w:rPr>
        <w:t>It should be noted that significant operational issues facing the organisation are not necessarily a</w:t>
      </w:r>
      <w:r>
        <w:rPr>
          <w:rFonts w:ascii="Arial" w:hAnsi="Arial" w:cs="Arial"/>
          <w:bCs/>
          <w:sz w:val="24"/>
          <w:szCs w:val="24"/>
          <w:lang w:val="en-GB"/>
        </w:rPr>
        <w:t xml:space="preserve"> </w:t>
      </w:r>
      <w:r w:rsidRPr="006E0331">
        <w:rPr>
          <w:rFonts w:ascii="Arial" w:hAnsi="Arial" w:cs="Arial"/>
          <w:bCs/>
          <w:sz w:val="24"/>
          <w:szCs w:val="24"/>
          <w:lang w:val="en-GB"/>
        </w:rPr>
        <w:t>result of weaknesses within the internal control and governance framework.</w:t>
      </w:r>
    </w:p>
    <w:p w14:paraId="74C8B33A" w14:textId="77777777" w:rsidR="001F6A80" w:rsidRPr="006E0331" w:rsidRDefault="001F6A80" w:rsidP="00C35404">
      <w:pPr>
        <w:pStyle w:val="Bodyindent"/>
        <w:ind w:left="0"/>
        <w:jc w:val="both"/>
        <w:rPr>
          <w:rFonts w:ascii="Arial" w:hAnsi="Arial" w:cs="Arial"/>
          <w:bCs/>
          <w:sz w:val="24"/>
          <w:szCs w:val="24"/>
          <w:lang w:val="en-GB"/>
        </w:rPr>
      </w:pPr>
      <w:r w:rsidRPr="006E0331">
        <w:rPr>
          <w:rFonts w:ascii="Arial" w:hAnsi="Arial" w:cs="Arial"/>
          <w:bCs/>
          <w:sz w:val="24"/>
          <w:szCs w:val="24"/>
          <w:lang w:val="en-GB"/>
        </w:rPr>
        <w:t xml:space="preserve">There were no significant actual or potential governance issues identified </w:t>
      </w:r>
      <w:r>
        <w:rPr>
          <w:rFonts w:ascii="Arial" w:hAnsi="Arial" w:cs="Arial"/>
          <w:bCs/>
          <w:sz w:val="24"/>
          <w:szCs w:val="24"/>
          <w:lang w:val="en-GB"/>
        </w:rPr>
        <w:t xml:space="preserve">for </w:t>
      </w:r>
      <w:r w:rsidRPr="006E0331">
        <w:rPr>
          <w:rFonts w:ascii="Arial" w:hAnsi="Arial" w:cs="Arial"/>
          <w:bCs/>
          <w:sz w:val="24"/>
          <w:szCs w:val="24"/>
          <w:lang w:val="en-GB"/>
        </w:rPr>
        <w:t>20</w:t>
      </w:r>
      <w:r>
        <w:rPr>
          <w:rFonts w:ascii="Arial" w:hAnsi="Arial" w:cs="Arial"/>
          <w:bCs/>
          <w:sz w:val="24"/>
          <w:szCs w:val="24"/>
          <w:lang w:val="en-GB"/>
        </w:rPr>
        <w:t>24/25</w:t>
      </w:r>
      <w:r w:rsidRPr="006E0331">
        <w:rPr>
          <w:rFonts w:ascii="Arial" w:hAnsi="Arial" w:cs="Arial"/>
          <w:bCs/>
          <w:sz w:val="24"/>
          <w:szCs w:val="24"/>
          <w:lang w:val="en-GB"/>
        </w:rPr>
        <w:t>.</w:t>
      </w:r>
    </w:p>
    <w:p w14:paraId="5290A504" w14:textId="77777777" w:rsidR="001F6A80" w:rsidRPr="006E0331" w:rsidRDefault="001F6A80" w:rsidP="00C35404">
      <w:pPr>
        <w:pStyle w:val="Bodyindent"/>
        <w:ind w:left="0"/>
        <w:jc w:val="both"/>
        <w:rPr>
          <w:rFonts w:ascii="Arial" w:hAnsi="Arial" w:cs="Arial"/>
          <w:bCs/>
          <w:sz w:val="24"/>
          <w:szCs w:val="24"/>
          <w:lang w:val="en-GB"/>
        </w:rPr>
      </w:pPr>
      <w:r w:rsidRPr="006E0331">
        <w:rPr>
          <w:rFonts w:ascii="Arial" w:hAnsi="Arial" w:cs="Arial"/>
          <w:bCs/>
          <w:sz w:val="24"/>
          <w:szCs w:val="24"/>
          <w:lang w:val="en-GB"/>
        </w:rPr>
        <w:t>There are currently no significant actual or potential governance issues identified in respect of</w:t>
      </w:r>
      <w:r>
        <w:rPr>
          <w:rFonts w:ascii="Arial" w:hAnsi="Arial" w:cs="Arial"/>
          <w:bCs/>
          <w:sz w:val="24"/>
          <w:szCs w:val="24"/>
          <w:lang w:val="en-GB"/>
        </w:rPr>
        <w:t xml:space="preserve"> 2024/25</w:t>
      </w:r>
      <w:r w:rsidRPr="006E0331">
        <w:rPr>
          <w:rFonts w:ascii="Arial" w:hAnsi="Arial" w:cs="Arial"/>
          <w:bCs/>
          <w:sz w:val="24"/>
          <w:szCs w:val="24"/>
          <w:lang w:val="en-GB"/>
        </w:rPr>
        <w:t xml:space="preserve"> ‘business as usual’ activities. </w:t>
      </w:r>
      <w:r>
        <w:rPr>
          <w:rFonts w:ascii="Arial" w:hAnsi="Arial" w:cs="Arial"/>
          <w:bCs/>
          <w:sz w:val="24"/>
          <w:szCs w:val="24"/>
          <w:lang w:val="en-GB"/>
        </w:rPr>
        <w:t xml:space="preserve">The PCC </w:t>
      </w:r>
      <w:r w:rsidRPr="006E0331">
        <w:rPr>
          <w:rFonts w:ascii="Arial" w:hAnsi="Arial" w:cs="Arial"/>
          <w:bCs/>
          <w:sz w:val="24"/>
          <w:szCs w:val="24"/>
          <w:lang w:val="en-GB"/>
        </w:rPr>
        <w:t>is satisfied to</w:t>
      </w:r>
      <w:r>
        <w:rPr>
          <w:rFonts w:ascii="Arial" w:hAnsi="Arial" w:cs="Arial"/>
          <w:bCs/>
          <w:sz w:val="24"/>
          <w:szCs w:val="24"/>
          <w:lang w:val="en-GB"/>
        </w:rPr>
        <w:t xml:space="preserve"> </w:t>
      </w:r>
      <w:r w:rsidRPr="006E0331">
        <w:rPr>
          <w:rFonts w:ascii="Arial" w:hAnsi="Arial" w:cs="Arial"/>
          <w:bCs/>
          <w:sz w:val="24"/>
          <w:szCs w:val="24"/>
          <w:lang w:val="en-GB"/>
        </w:rPr>
        <w:t xml:space="preserve">the best of </w:t>
      </w:r>
      <w:r>
        <w:rPr>
          <w:rFonts w:ascii="Arial" w:hAnsi="Arial" w:cs="Arial"/>
          <w:bCs/>
          <w:sz w:val="24"/>
          <w:szCs w:val="24"/>
          <w:lang w:val="en-GB"/>
        </w:rPr>
        <w:t>his</w:t>
      </w:r>
      <w:r w:rsidRPr="006E0331">
        <w:rPr>
          <w:rFonts w:ascii="Arial" w:hAnsi="Arial" w:cs="Arial"/>
          <w:bCs/>
          <w:sz w:val="24"/>
          <w:szCs w:val="24"/>
          <w:lang w:val="en-GB"/>
        </w:rPr>
        <w:t xml:space="preserve"> knowledge that no material breaches of the governance arrangements occurred in</w:t>
      </w:r>
      <w:r>
        <w:rPr>
          <w:rFonts w:ascii="Arial" w:hAnsi="Arial" w:cs="Arial"/>
          <w:bCs/>
          <w:sz w:val="24"/>
          <w:szCs w:val="24"/>
          <w:lang w:val="en-GB"/>
        </w:rPr>
        <w:t xml:space="preserve"> 2024/25</w:t>
      </w:r>
      <w:r w:rsidRPr="006E0331">
        <w:rPr>
          <w:rFonts w:ascii="Arial" w:hAnsi="Arial" w:cs="Arial"/>
          <w:bCs/>
          <w:sz w:val="24"/>
          <w:szCs w:val="24"/>
          <w:lang w:val="en-GB"/>
        </w:rPr>
        <w:t xml:space="preserve"> and there are no significant weaknesses in the internal control and governance</w:t>
      </w:r>
      <w:r>
        <w:rPr>
          <w:rFonts w:ascii="Arial" w:hAnsi="Arial" w:cs="Arial"/>
          <w:bCs/>
          <w:sz w:val="24"/>
          <w:szCs w:val="24"/>
          <w:lang w:val="en-GB"/>
        </w:rPr>
        <w:t xml:space="preserve"> </w:t>
      </w:r>
      <w:r w:rsidRPr="006E0331">
        <w:rPr>
          <w:rFonts w:ascii="Arial" w:hAnsi="Arial" w:cs="Arial"/>
          <w:bCs/>
          <w:sz w:val="24"/>
          <w:szCs w:val="24"/>
          <w:lang w:val="en-GB"/>
        </w:rPr>
        <w:t>environment.</w:t>
      </w:r>
    </w:p>
    <w:p w14:paraId="1217687E" w14:textId="77777777" w:rsidR="001F6A80" w:rsidRDefault="001F6A80" w:rsidP="00C35404">
      <w:pPr>
        <w:jc w:val="both"/>
        <w:rPr>
          <w:rFonts w:ascii="Arial" w:hAnsi="Arial" w:cs="Arial"/>
          <w:bCs/>
          <w:sz w:val="24"/>
          <w:szCs w:val="24"/>
        </w:rPr>
      </w:pPr>
    </w:p>
    <w:p w14:paraId="27105BAD" w14:textId="77777777" w:rsidR="001F6A80" w:rsidRDefault="001F6A80" w:rsidP="00C35404">
      <w:pPr>
        <w:jc w:val="both"/>
      </w:pPr>
      <w:r w:rsidRPr="006E0331">
        <w:rPr>
          <w:rFonts w:ascii="Arial" w:hAnsi="Arial" w:cs="Arial"/>
          <w:bCs/>
          <w:sz w:val="24"/>
          <w:szCs w:val="24"/>
        </w:rPr>
        <w:t>In any event the governance arrangements of the PCC and the Chief Constable will remain under</w:t>
      </w:r>
      <w:r>
        <w:rPr>
          <w:rFonts w:ascii="Arial" w:hAnsi="Arial" w:cs="Arial"/>
          <w:bCs/>
          <w:sz w:val="24"/>
          <w:szCs w:val="24"/>
        </w:rPr>
        <w:t xml:space="preserve"> </w:t>
      </w:r>
      <w:r w:rsidRPr="006E0331">
        <w:rPr>
          <w:rFonts w:ascii="Arial" w:hAnsi="Arial" w:cs="Arial"/>
          <w:bCs/>
          <w:sz w:val="24"/>
          <w:szCs w:val="24"/>
        </w:rPr>
        <w:t>review at least annually over forthcoming financial years.</w:t>
      </w:r>
    </w:p>
    <w:p w14:paraId="45F2F71A" w14:textId="77777777" w:rsidR="00044663" w:rsidRPr="00044663" w:rsidRDefault="00044663" w:rsidP="00732228">
      <w:pPr>
        <w:ind w:left="426" w:right="546"/>
        <w:textAlignment w:val="baseline"/>
        <w:rPr>
          <w:rFonts w:ascii="Segoe UI" w:hAnsi="Segoe UI" w:cs="Segoe UI"/>
          <w:color w:val="000000"/>
          <w:sz w:val="18"/>
          <w:szCs w:val="18"/>
        </w:rPr>
      </w:pPr>
      <w:r w:rsidRPr="00044663">
        <w:rPr>
          <w:rFonts w:ascii="Arial" w:hAnsi="Arial" w:cs="Arial"/>
          <w:color w:val="000000"/>
          <w:sz w:val="24"/>
          <w:szCs w:val="24"/>
        </w:rPr>
        <w:t> </w:t>
      </w:r>
    </w:p>
    <w:tbl>
      <w:tblPr>
        <w:tblW w:w="977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5"/>
        <w:gridCol w:w="5108"/>
      </w:tblGrid>
      <w:tr w:rsidR="00044663" w:rsidRPr="00044663" w14:paraId="58784F94" w14:textId="77777777" w:rsidTr="00732228">
        <w:trPr>
          <w:trHeight w:val="300"/>
        </w:trPr>
        <w:tc>
          <w:tcPr>
            <w:tcW w:w="4665" w:type="dxa"/>
            <w:tcBorders>
              <w:top w:val="single" w:sz="6" w:space="0" w:color="auto"/>
              <w:left w:val="single" w:sz="6" w:space="0" w:color="auto"/>
              <w:bottom w:val="single" w:sz="6" w:space="0" w:color="auto"/>
              <w:right w:val="single" w:sz="6" w:space="0" w:color="auto"/>
            </w:tcBorders>
            <w:hideMark/>
          </w:tcPr>
          <w:p w14:paraId="14FE8946" w14:textId="194E5DCE" w:rsidR="00044663" w:rsidRPr="00BB6BCC" w:rsidRDefault="00BB6BCC" w:rsidP="00BB6BCC">
            <w:pPr>
              <w:rPr>
                <w:rFonts w:ascii="Bradley Hand ITC" w:hAnsi="Bradley Hand ITC"/>
              </w:rPr>
            </w:pPr>
            <w:r>
              <w:rPr>
                <w:rFonts w:ascii="Arial" w:hAnsi="Arial" w:cs="Arial"/>
                <w:b/>
                <w:bCs/>
                <w:sz w:val="24"/>
                <w:szCs w:val="24"/>
              </w:rPr>
              <w:t xml:space="preserve">     </w:t>
            </w:r>
            <w:r w:rsidR="00044663" w:rsidRPr="00044663">
              <w:rPr>
                <w:rFonts w:ascii="Arial" w:hAnsi="Arial" w:cs="Arial"/>
                <w:b/>
                <w:bCs/>
                <w:sz w:val="24"/>
                <w:szCs w:val="24"/>
              </w:rPr>
              <w:t>Signed: </w:t>
            </w:r>
            <w:r w:rsidR="00204FC1" w:rsidRPr="00171C43">
              <w:rPr>
                <w:b/>
                <w:bCs/>
                <w:noProof/>
                <w:sz w:val="24"/>
                <w:szCs w:val="24"/>
              </w:rPr>
              <w:drawing>
                <wp:inline distT="0" distB="0" distL="0" distR="0" wp14:anchorId="6E716E6A" wp14:editId="7B458FCB">
                  <wp:extent cx="2040255" cy="298450"/>
                  <wp:effectExtent l="0" t="0" r="0" b="6350"/>
                  <wp:docPr id="913271474"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8380676" name="Picture 1" descr="A close-up of a signature&#10;&#10;Description automatically generated"/>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46961" cy="299431"/>
                          </a:xfrm>
                          <a:prstGeom prst="rect">
                            <a:avLst/>
                          </a:prstGeom>
                          <a:noFill/>
                          <a:ln>
                            <a:noFill/>
                          </a:ln>
                        </pic:spPr>
                      </pic:pic>
                    </a:graphicData>
                  </a:graphic>
                </wp:inline>
              </w:drawing>
            </w:r>
          </w:p>
        </w:tc>
        <w:tc>
          <w:tcPr>
            <w:tcW w:w="5108" w:type="dxa"/>
            <w:tcBorders>
              <w:top w:val="single" w:sz="6" w:space="0" w:color="auto"/>
              <w:left w:val="single" w:sz="6" w:space="0" w:color="auto"/>
              <w:bottom w:val="single" w:sz="6" w:space="0" w:color="auto"/>
              <w:right w:val="single" w:sz="6" w:space="0" w:color="auto"/>
            </w:tcBorders>
            <w:hideMark/>
          </w:tcPr>
          <w:p w14:paraId="03E4FA55" w14:textId="3DF0E654" w:rsidR="00044663" w:rsidRPr="00044663" w:rsidRDefault="00044663" w:rsidP="00732228">
            <w:pPr>
              <w:ind w:left="426" w:right="546"/>
              <w:textAlignment w:val="baseline"/>
              <w:rPr>
                <w:sz w:val="24"/>
                <w:szCs w:val="24"/>
              </w:rPr>
            </w:pPr>
            <w:r w:rsidRPr="00044663">
              <w:rPr>
                <w:rFonts w:ascii="Arial" w:hAnsi="Arial" w:cs="Arial"/>
                <w:b/>
                <w:bCs/>
                <w:sz w:val="24"/>
                <w:szCs w:val="24"/>
              </w:rPr>
              <w:t>Signed:</w:t>
            </w:r>
            <w:r w:rsidRPr="00044663">
              <w:rPr>
                <w:rFonts w:ascii="Bradley Hand ITC" w:hAnsi="Bradley Hand ITC"/>
              </w:rPr>
              <w:t>  </w:t>
            </w:r>
            <w:r w:rsidR="00204FC1" w:rsidRPr="003725BC">
              <w:rPr>
                <w:noProof/>
              </w:rPr>
              <w:drawing>
                <wp:inline distT="0" distB="0" distL="0" distR="0" wp14:anchorId="5DC1046C" wp14:editId="50D39041">
                  <wp:extent cx="1378800" cy="360000"/>
                  <wp:effectExtent l="0" t="0" r="0" b="2540"/>
                  <wp:docPr id="779086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1378800" cy="360000"/>
                          </a:xfrm>
                          <a:prstGeom prst="rect">
                            <a:avLst/>
                          </a:prstGeom>
                          <a:noFill/>
                          <a:ln>
                            <a:noFill/>
                          </a:ln>
                        </pic:spPr>
                      </pic:pic>
                    </a:graphicData>
                  </a:graphic>
                </wp:inline>
              </w:drawing>
            </w:r>
          </w:p>
          <w:p w14:paraId="02642F54" w14:textId="77777777" w:rsidR="00044663" w:rsidRPr="00044663" w:rsidRDefault="00044663" w:rsidP="00732228">
            <w:pPr>
              <w:ind w:left="426" w:right="546"/>
              <w:textAlignment w:val="baseline"/>
              <w:rPr>
                <w:sz w:val="24"/>
                <w:szCs w:val="24"/>
              </w:rPr>
            </w:pPr>
            <w:r w:rsidRPr="00044663">
              <w:rPr>
                <w:rFonts w:ascii="Arial" w:hAnsi="Arial" w:cs="Arial"/>
                <w:sz w:val="24"/>
                <w:szCs w:val="24"/>
              </w:rPr>
              <w:t> </w:t>
            </w:r>
          </w:p>
        </w:tc>
      </w:tr>
      <w:tr w:rsidR="00044663" w:rsidRPr="00044663" w14:paraId="30BBFA27" w14:textId="77777777" w:rsidTr="00732228">
        <w:trPr>
          <w:trHeight w:val="300"/>
        </w:trPr>
        <w:tc>
          <w:tcPr>
            <w:tcW w:w="4665" w:type="dxa"/>
            <w:tcBorders>
              <w:top w:val="single" w:sz="6" w:space="0" w:color="auto"/>
              <w:left w:val="single" w:sz="6" w:space="0" w:color="auto"/>
              <w:bottom w:val="single" w:sz="6" w:space="0" w:color="auto"/>
              <w:right w:val="single" w:sz="6" w:space="0" w:color="auto"/>
            </w:tcBorders>
            <w:hideMark/>
          </w:tcPr>
          <w:p w14:paraId="1A91C519" w14:textId="77777777" w:rsidR="00044663" w:rsidRPr="00044663" w:rsidRDefault="00044663" w:rsidP="00732228">
            <w:pPr>
              <w:ind w:left="426" w:right="546"/>
              <w:textAlignment w:val="baseline"/>
              <w:rPr>
                <w:sz w:val="24"/>
                <w:szCs w:val="24"/>
              </w:rPr>
            </w:pPr>
            <w:r w:rsidRPr="00044663">
              <w:rPr>
                <w:rFonts w:ascii="Arial" w:hAnsi="Arial" w:cs="Arial"/>
                <w:sz w:val="24"/>
                <w:szCs w:val="24"/>
              </w:rPr>
              <w:t>Clive Grunshaw </w:t>
            </w:r>
          </w:p>
          <w:p w14:paraId="654322E0" w14:textId="77777777" w:rsidR="00044663" w:rsidRPr="00044663" w:rsidRDefault="00044663" w:rsidP="00732228">
            <w:pPr>
              <w:ind w:left="426" w:right="546"/>
              <w:textAlignment w:val="baseline"/>
              <w:rPr>
                <w:sz w:val="24"/>
                <w:szCs w:val="24"/>
              </w:rPr>
            </w:pPr>
            <w:r w:rsidRPr="00044663">
              <w:rPr>
                <w:rFonts w:ascii="Arial" w:hAnsi="Arial" w:cs="Arial"/>
                <w:sz w:val="24"/>
                <w:szCs w:val="24"/>
              </w:rPr>
              <w:t>Police and Crime Commissioner for Lancashire </w:t>
            </w:r>
          </w:p>
        </w:tc>
        <w:tc>
          <w:tcPr>
            <w:tcW w:w="5108" w:type="dxa"/>
            <w:tcBorders>
              <w:top w:val="single" w:sz="6" w:space="0" w:color="auto"/>
              <w:left w:val="single" w:sz="6" w:space="0" w:color="auto"/>
              <w:bottom w:val="single" w:sz="6" w:space="0" w:color="auto"/>
              <w:right w:val="single" w:sz="6" w:space="0" w:color="auto"/>
            </w:tcBorders>
            <w:hideMark/>
          </w:tcPr>
          <w:p w14:paraId="5B9DE090" w14:textId="48852760" w:rsidR="00044663" w:rsidRPr="00BB6BCC" w:rsidRDefault="00BB6BCC" w:rsidP="00732228">
            <w:pPr>
              <w:ind w:left="426" w:right="546"/>
              <w:textAlignment w:val="baseline"/>
              <w:rPr>
                <w:rFonts w:ascii="Arial" w:hAnsi="Arial" w:cs="Arial"/>
                <w:sz w:val="24"/>
                <w:szCs w:val="24"/>
              </w:rPr>
            </w:pPr>
            <w:r>
              <w:rPr>
                <w:rFonts w:ascii="Arial" w:hAnsi="Arial" w:cs="Arial"/>
                <w:sz w:val="24"/>
                <w:szCs w:val="24"/>
              </w:rPr>
              <w:t>Dr Anna Hopkins</w:t>
            </w:r>
          </w:p>
          <w:p w14:paraId="52BCD173" w14:textId="2882383F" w:rsidR="00044663" w:rsidRPr="00044663" w:rsidRDefault="00044663" w:rsidP="00732228">
            <w:pPr>
              <w:ind w:left="426" w:right="546"/>
              <w:textAlignment w:val="baseline"/>
              <w:rPr>
                <w:sz w:val="24"/>
                <w:szCs w:val="24"/>
              </w:rPr>
            </w:pPr>
            <w:r w:rsidRPr="00044663">
              <w:rPr>
                <w:rFonts w:ascii="Arial" w:hAnsi="Arial" w:cs="Arial"/>
                <w:sz w:val="24"/>
                <w:szCs w:val="24"/>
              </w:rPr>
              <w:t>Chief Executive, Office of the Police and Crime Commissioner for Lancashire </w:t>
            </w:r>
          </w:p>
        </w:tc>
      </w:tr>
      <w:tr w:rsidR="00044663" w:rsidRPr="00044663" w14:paraId="203CD839" w14:textId="77777777" w:rsidTr="00732228">
        <w:trPr>
          <w:trHeight w:val="300"/>
        </w:trPr>
        <w:tc>
          <w:tcPr>
            <w:tcW w:w="4665" w:type="dxa"/>
            <w:tcBorders>
              <w:top w:val="single" w:sz="6" w:space="0" w:color="auto"/>
              <w:left w:val="single" w:sz="6" w:space="0" w:color="auto"/>
              <w:bottom w:val="single" w:sz="6" w:space="0" w:color="auto"/>
              <w:right w:val="single" w:sz="6" w:space="0" w:color="auto"/>
            </w:tcBorders>
            <w:hideMark/>
          </w:tcPr>
          <w:p w14:paraId="367867AF" w14:textId="77777777" w:rsidR="00044663" w:rsidRPr="00044663" w:rsidRDefault="00044663" w:rsidP="00732228">
            <w:pPr>
              <w:ind w:left="426" w:right="546"/>
              <w:textAlignment w:val="baseline"/>
              <w:rPr>
                <w:sz w:val="24"/>
                <w:szCs w:val="24"/>
              </w:rPr>
            </w:pPr>
            <w:r w:rsidRPr="00044663">
              <w:rPr>
                <w:rFonts w:ascii="Arial" w:hAnsi="Arial" w:cs="Arial"/>
                <w:sz w:val="24"/>
                <w:szCs w:val="24"/>
              </w:rPr>
              <w:t> </w:t>
            </w:r>
          </w:p>
          <w:p w14:paraId="476F51C6" w14:textId="607B05B2" w:rsidR="00044663" w:rsidRPr="00DD45FC" w:rsidRDefault="00044663" w:rsidP="00E24AB0">
            <w:pPr>
              <w:ind w:left="426" w:right="546"/>
              <w:textAlignment w:val="baseline"/>
              <w:rPr>
                <w:sz w:val="24"/>
                <w:szCs w:val="24"/>
              </w:rPr>
            </w:pPr>
            <w:r w:rsidRPr="00044663">
              <w:rPr>
                <w:rFonts w:ascii="Arial" w:hAnsi="Arial" w:cs="Arial"/>
                <w:b/>
                <w:bCs/>
                <w:sz w:val="24"/>
                <w:szCs w:val="24"/>
              </w:rPr>
              <w:t>Date: </w:t>
            </w:r>
            <w:r w:rsidR="005769BC" w:rsidRPr="00527DA1">
              <w:rPr>
                <w:rFonts w:ascii="Arial" w:hAnsi="Arial" w:cs="Arial"/>
                <w:sz w:val="24"/>
                <w:szCs w:val="24"/>
              </w:rPr>
              <w:t>1</w:t>
            </w:r>
            <w:r w:rsidR="00BF2587">
              <w:rPr>
                <w:rFonts w:ascii="Arial" w:hAnsi="Arial" w:cs="Arial"/>
                <w:sz w:val="24"/>
                <w:szCs w:val="24"/>
              </w:rPr>
              <w:t>8</w:t>
            </w:r>
            <w:r w:rsidR="005769BC" w:rsidRPr="00527DA1">
              <w:rPr>
                <w:rFonts w:ascii="Arial" w:hAnsi="Arial" w:cs="Arial"/>
                <w:sz w:val="24"/>
                <w:szCs w:val="24"/>
              </w:rPr>
              <w:t>th</w:t>
            </w:r>
            <w:r w:rsidR="00E24AB0">
              <w:rPr>
                <w:rFonts w:ascii="Arial" w:hAnsi="Arial" w:cs="Arial"/>
                <w:b/>
                <w:bCs/>
                <w:sz w:val="24"/>
                <w:szCs w:val="24"/>
              </w:rPr>
              <w:t xml:space="preserve"> </w:t>
            </w:r>
            <w:r w:rsidR="00DD45FC">
              <w:rPr>
                <w:rFonts w:ascii="Arial" w:hAnsi="Arial" w:cs="Arial"/>
                <w:sz w:val="24"/>
                <w:szCs w:val="24"/>
              </w:rPr>
              <w:t>December 2025</w:t>
            </w:r>
          </w:p>
        </w:tc>
        <w:tc>
          <w:tcPr>
            <w:tcW w:w="5108" w:type="dxa"/>
            <w:tcBorders>
              <w:top w:val="single" w:sz="6" w:space="0" w:color="auto"/>
              <w:left w:val="single" w:sz="6" w:space="0" w:color="auto"/>
              <w:bottom w:val="single" w:sz="6" w:space="0" w:color="auto"/>
              <w:right w:val="single" w:sz="6" w:space="0" w:color="auto"/>
            </w:tcBorders>
            <w:hideMark/>
          </w:tcPr>
          <w:p w14:paraId="14A0F2FF" w14:textId="77777777" w:rsidR="00044663" w:rsidRPr="00044663" w:rsidRDefault="00044663" w:rsidP="00732228">
            <w:pPr>
              <w:ind w:left="426" w:right="546"/>
              <w:textAlignment w:val="baseline"/>
              <w:rPr>
                <w:sz w:val="24"/>
                <w:szCs w:val="24"/>
              </w:rPr>
            </w:pPr>
            <w:r w:rsidRPr="00044663">
              <w:rPr>
                <w:rFonts w:ascii="Arial" w:hAnsi="Arial" w:cs="Arial"/>
                <w:sz w:val="24"/>
                <w:szCs w:val="24"/>
              </w:rPr>
              <w:t> </w:t>
            </w:r>
          </w:p>
          <w:p w14:paraId="7D96E0D9" w14:textId="2908CF1A" w:rsidR="00044663" w:rsidRPr="00044663" w:rsidRDefault="00044663" w:rsidP="00732228">
            <w:pPr>
              <w:ind w:left="426" w:right="546"/>
              <w:textAlignment w:val="baseline"/>
              <w:rPr>
                <w:sz w:val="24"/>
                <w:szCs w:val="24"/>
              </w:rPr>
            </w:pPr>
            <w:r w:rsidRPr="00044663">
              <w:rPr>
                <w:rFonts w:ascii="Arial" w:hAnsi="Arial" w:cs="Arial"/>
                <w:b/>
                <w:bCs/>
                <w:sz w:val="24"/>
                <w:szCs w:val="24"/>
              </w:rPr>
              <w:t>Date: </w:t>
            </w:r>
            <w:r w:rsidR="00527DA1">
              <w:rPr>
                <w:rFonts w:ascii="Arial" w:hAnsi="Arial" w:cs="Arial"/>
                <w:sz w:val="24"/>
                <w:szCs w:val="24"/>
              </w:rPr>
              <w:t>1</w:t>
            </w:r>
            <w:r w:rsidR="00BF2587">
              <w:rPr>
                <w:rFonts w:ascii="Arial" w:hAnsi="Arial" w:cs="Arial"/>
                <w:sz w:val="24"/>
                <w:szCs w:val="24"/>
              </w:rPr>
              <w:t>8</w:t>
            </w:r>
            <w:r w:rsidR="00527DA1">
              <w:rPr>
                <w:rFonts w:ascii="Arial" w:hAnsi="Arial" w:cs="Arial"/>
                <w:sz w:val="24"/>
                <w:szCs w:val="24"/>
              </w:rPr>
              <w:t>th</w:t>
            </w:r>
            <w:r w:rsidR="00DD45FC">
              <w:rPr>
                <w:rFonts w:ascii="Arial" w:hAnsi="Arial" w:cs="Arial"/>
                <w:sz w:val="24"/>
                <w:szCs w:val="24"/>
              </w:rPr>
              <w:t xml:space="preserve"> December 2025</w:t>
            </w:r>
          </w:p>
        </w:tc>
      </w:tr>
    </w:tbl>
    <w:p w14:paraId="7389782D" w14:textId="77777777" w:rsidR="002A6078" w:rsidRDefault="002A6078" w:rsidP="003B74DA">
      <w:pPr>
        <w:spacing w:after="240"/>
        <w:jc w:val="center"/>
        <w:sectPr w:rsidR="002A6078" w:rsidSect="00CD2558">
          <w:headerReference w:type="even" r:id="rId104"/>
          <w:headerReference w:type="default" r:id="rId105"/>
          <w:headerReference w:type="first" r:id="rId106"/>
          <w:pgSz w:w="11909" w:h="16834" w:code="9"/>
          <w:pgMar w:top="720" w:right="720" w:bottom="720" w:left="720" w:header="454" w:footer="720" w:gutter="0"/>
          <w:cols w:space="720"/>
          <w:docGrid w:linePitch="272"/>
        </w:sectPr>
      </w:pPr>
    </w:p>
    <w:p w14:paraId="4B888727" w14:textId="58BB94EF" w:rsidR="003B74DA" w:rsidRPr="00CB13DC" w:rsidRDefault="003B74DA" w:rsidP="003B74DA">
      <w:pPr>
        <w:spacing w:after="240"/>
        <w:jc w:val="center"/>
        <w:rPr>
          <w:rFonts w:ascii="Arial" w:hAnsi="Arial" w:cs="Arial"/>
          <w:b/>
          <w:caps/>
        </w:rPr>
      </w:pPr>
      <w:r>
        <w:rPr>
          <w:rFonts w:ascii="Arial" w:hAnsi="Arial" w:cs="Arial"/>
          <w:b/>
          <w:caps/>
        </w:rPr>
        <w:lastRenderedPageBreak/>
        <w:t>g</w:t>
      </w:r>
      <w:r w:rsidRPr="00CB13DC">
        <w:rPr>
          <w:rFonts w:ascii="Arial" w:hAnsi="Arial" w:cs="Arial"/>
          <w:b/>
          <w:caps/>
        </w:rPr>
        <w:t>lossary</w:t>
      </w:r>
    </w:p>
    <w:p w14:paraId="4FB5C493" w14:textId="77777777" w:rsidR="003B74DA" w:rsidRPr="00CB13DC" w:rsidRDefault="003B74DA" w:rsidP="003B74DA">
      <w:pPr>
        <w:jc w:val="both"/>
        <w:rPr>
          <w:rFonts w:ascii="Arial" w:hAnsi="Arial" w:cs="Arial"/>
          <w:b/>
        </w:rPr>
      </w:pPr>
      <w:r w:rsidRPr="00CB13DC">
        <w:rPr>
          <w:rFonts w:ascii="Arial" w:hAnsi="Arial" w:cs="Arial"/>
          <w:b/>
        </w:rPr>
        <w:t>Accounting Policies</w:t>
      </w:r>
    </w:p>
    <w:p w14:paraId="0B431A57" w14:textId="77777777" w:rsidR="003B74DA" w:rsidRPr="00CB13DC" w:rsidRDefault="003B74DA" w:rsidP="003B74DA">
      <w:pPr>
        <w:jc w:val="both"/>
        <w:rPr>
          <w:rFonts w:ascii="Arial" w:hAnsi="Arial" w:cs="Arial"/>
        </w:rPr>
      </w:pPr>
      <w:r w:rsidRPr="00CB13DC">
        <w:rPr>
          <w:rFonts w:ascii="Arial" w:hAnsi="Arial" w:cs="Arial"/>
        </w:rPr>
        <w:t>The specific principles, bases, conventions, rules and practices applied by the authority in preparing and presenting financial statements.</w:t>
      </w:r>
    </w:p>
    <w:p w14:paraId="28563467" w14:textId="77777777" w:rsidR="003B74DA" w:rsidRPr="00CB13DC" w:rsidRDefault="003B74DA" w:rsidP="003B74DA">
      <w:pPr>
        <w:jc w:val="both"/>
        <w:rPr>
          <w:rFonts w:ascii="Arial" w:hAnsi="Arial" w:cs="Arial"/>
        </w:rPr>
      </w:pPr>
    </w:p>
    <w:p w14:paraId="0E25211F" w14:textId="77777777" w:rsidR="003B74DA" w:rsidRPr="00CB13DC" w:rsidRDefault="003B74DA" w:rsidP="003B74DA">
      <w:pPr>
        <w:jc w:val="both"/>
        <w:rPr>
          <w:rFonts w:ascii="Arial" w:hAnsi="Arial" w:cs="Arial"/>
          <w:b/>
        </w:rPr>
      </w:pPr>
      <w:r w:rsidRPr="00CB13DC">
        <w:rPr>
          <w:rFonts w:ascii="Arial" w:hAnsi="Arial" w:cs="Arial"/>
          <w:b/>
        </w:rPr>
        <w:t>Accrual</w:t>
      </w:r>
    </w:p>
    <w:p w14:paraId="41746399" w14:textId="77777777" w:rsidR="003B74DA" w:rsidRPr="00CB13DC" w:rsidRDefault="003B74DA" w:rsidP="003B74DA">
      <w:pPr>
        <w:spacing w:after="240"/>
        <w:jc w:val="both"/>
        <w:rPr>
          <w:rFonts w:ascii="Arial" w:hAnsi="Arial" w:cs="Arial"/>
        </w:rPr>
      </w:pPr>
      <w:r w:rsidRPr="00CB13DC">
        <w:rPr>
          <w:rFonts w:ascii="Arial" w:hAnsi="Arial" w:cs="Arial"/>
        </w:rPr>
        <w:t>The concept that income and expenditure are recognised as they are earned or incurred, not as cash is received or paid.</w:t>
      </w:r>
    </w:p>
    <w:p w14:paraId="291DCD69" w14:textId="77777777" w:rsidR="003B74DA" w:rsidRPr="00CB13DC" w:rsidRDefault="003B74DA" w:rsidP="003B74DA">
      <w:pPr>
        <w:jc w:val="both"/>
        <w:rPr>
          <w:rFonts w:ascii="Arial" w:hAnsi="Arial" w:cs="Arial"/>
          <w:b/>
        </w:rPr>
      </w:pPr>
      <w:r w:rsidRPr="00CB13DC">
        <w:rPr>
          <w:rFonts w:ascii="Arial" w:hAnsi="Arial" w:cs="Arial"/>
          <w:b/>
        </w:rPr>
        <w:t>Actuary</w:t>
      </w:r>
    </w:p>
    <w:p w14:paraId="775DED0A" w14:textId="77777777" w:rsidR="003B74DA" w:rsidRPr="00CB13DC" w:rsidRDefault="003B74DA" w:rsidP="003B74DA">
      <w:pPr>
        <w:spacing w:after="240"/>
        <w:jc w:val="both"/>
        <w:rPr>
          <w:rFonts w:ascii="Arial" w:hAnsi="Arial" w:cs="Arial"/>
        </w:rPr>
      </w:pPr>
      <w:r w:rsidRPr="00CB13DC">
        <w:rPr>
          <w:rFonts w:ascii="Arial" w:hAnsi="Arial" w:cs="Arial"/>
        </w:rPr>
        <w:t>An actuary is an expert on pension scheme assets and liabilities. The Local Government Pension Scheme Actuary reassesses the rate of employer contributions to the pension fund every three years.</w:t>
      </w:r>
    </w:p>
    <w:p w14:paraId="695B85CD" w14:textId="77777777" w:rsidR="003B74DA" w:rsidRPr="00CB13DC" w:rsidRDefault="003B74DA" w:rsidP="003B74DA">
      <w:pPr>
        <w:jc w:val="both"/>
        <w:rPr>
          <w:rFonts w:ascii="Arial" w:hAnsi="Arial" w:cs="Arial"/>
          <w:b/>
        </w:rPr>
      </w:pPr>
      <w:r w:rsidRPr="00CB13DC">
        <w:rPr>
          <w:rFonts w:ascii="Arial" w:hAnsi="Arial" w:cs="Arial"/>
          <w:b/>
        </w:rPr>
        <w:t>Actuarial gains and losses</w:t>
      </w:r>
    </w:p>
    <w:p w14:paraId="7728FC56" w14:textId="77777777" w:rsidR="003B74DA" w:rsidRPr="00CB13DC" w:rsidRDefault="003B74DA" w:rsidP="003B74DA">
      <w:pPr>
        <w:spacing w:after="240"/>
        <w:jc w:val="both"/>
        <w:rPr>
          <w:rFonts w:ascii="Arial" w:hAnsi="Arial" w:cs="Arial"/>
        </w:rPr>
      </w:pPr>
      <w:r w:rsidRPr="00CB13DC">
        <w:rPr>
          <w:rFonts w:ascii="Arial" w:hAnsi="Arial" w:cs="Arial"/>
        </w:rPr>
        <w:t xml:space="preserve">A change in pension fund liability </w:t>
      </w:r>
      <w:proofErr w:type="gramStart"/>
      <w:r w:rsidRPr="00CB13DC">
        <w:rPr>
          <w:rFonts w:ascii="Arial" w:hAnsi="Arial" w:cs="Arial"/>
        </w:rPr>
        <w:t>due to the effects</w:t>
      </w:r>
      <w:proofErr w:type="gramEnd"/>
      <w:r w:rsidRPr="00CB13DC">
        <w:rPr>
          <w:rFonts w:ascii="Arial" w:hAnsi="Arial" w:cs="Arial"/>
        </w:rPr>
        <w:t xml:space="preserve"> of differences between the previous actuarial assumptions and what has </w:t>
      </w:r>
      <w:proofErr w:type="gramStart"/>
      <w:r w:rsidRPr="00CB13DC">
        <w:rPr>
          <w:rFonts w:ascii="Arial" w:hAnsi="Arial" w:cs="Arial"/>
        </w:rPr>
        <w:t>actually occurred</w:t>
      </w:r>
      <w:proofErr w:type="gramEnd"/>
      <w:r w:rsidRPr="00CB13DC">
        <w:rPr>
          <w:rFonts w:ascii="Arial" w:hAnsi="Arial" w:cs="Arial"/>
        </w:rPr>
        <w:t xml:space="preserve">.  Outcomes are better or worse than the actuary had predicted or assumed – for example, because the fund’s assets earn more than expected, salaries do not increase as fast as assumed or members retire later than assumed.  </w:t>
      </w:r>
    </w:p>
    <w:p w14:paraId="7A655A89" w14:textId="77777777" w:rsidR="003B74DA" w:rsidRPr="00CB13DC" w:rsidRDefault="003B74DA" w:rsidP="003B74DA">
      <w:pPr>
        <w:jc w:val="both"/>
        <w:rPr>
          <w:rFonts w:ascii="Arial" w:hAnsi="Arial" w:cs="Arial"/>
          <w:b/>
        </w:rPr>
      </w:pPr>
      <w:r w:rsidRPr="00CB13DC">
        <w:rPr>
          <w:rFonts w:ascii="Arial" w:hAnsi="Arial" w:cs="Arial"/>
          <w:b/>
        </w:rPr>
        <w:t>Amortisation</w:t>
      </w:r>
    </w:p>
    <w:p w14:paraId="1D4F3E2C" w14:textId="77777777" w:rsidR="003B74DA" w:rsidRPr="00CB13DC" w:rsidRDefault="003B74DA" w:rsidP="003B74DA">
      <w:pPr>
        <w:spacing w:after="240"/>
        <w:jc w:val="both"/>
        <w:rPr>
          <w:rFonts w:ascii="Arial" w:hAnsi="Arial" w:cs="Arial"/>
        </w:rPr>
      </w:pPr>
      <w:r w:rsidRPr="00CB13DC">
        <w:rPr>
          <w:rFonts w:ascii="Arial" w:hAnsi="Arial" w:cs="Arial"/>
        </w:rPr>
        <w:t xml:space="preserve">An annual charge to the revenue account that spreads the cost of an asset over </w:t>
      </w:r>
      <w:proofErr w:type="gramStart"/>
      <w:r w:rsidRPr="00CB13DC">
        <w:rPr>
          <w:rFonts w:ascii="Arial" w:hAnsi="Arial" w:cs="Arial"/>
        </w:rPr>
        <w:t>a period of time</w:t>
      </w:r>
      <w:proofErr w:type="gramEnd"/>
      <w:r w:rsidRPr="00CB13DC">
        <w:rPr>
          <w:rFonts w:ascii="Arial" w:hAnsi="Arial" w:cs="Arial"/>
        </w:rPr>
        <w:t>.</w:t>
      </w:r>
    </w:p>
    <w:p w14:paraId="0410CFF7" w14:textId="77777777" w:rsidR="003B74DA" w:rsidRPr="00CB13DC" w:rsidRDefault="003B74DA" w:rsidP="003B74DA">
      <w:pPr>
        <w:jc w:val="both"/>
        <w:rPr>
          <w:rFonts w:ascii="Arial" w:hAnsi="Arial" w:cs="Arial"/>
          <w:b/>
        </w:rPr>
      </w:pPr>
      <w:r w:rsidRPr="00CB13DC">
        <w:rPr>
          <w:rFonts w:ascii="Arial" w:hAnsi="Arial" w:cs="Arial"/>
          <w:b/>
        </w:rPr>
        <w:t>Appropriation</w:t>
      </w:r>
    </w:p>
    <w:p w14:paraId="1406F021" w14:textId="77777777" w:rsidR="003B74DA" w:rsidRDefault="003B74DA" w:rsidP="003B74DA">
      <w:pPr>
        <w:jc w:val="both"/>
        <w:rPr>
          <w:rFonts w:ascii="Arial" w:hAnsi="Arial" w:cs="Arial"/>
        </w:rPr>
      </w:pPr>
      <w:r w:rsidRPr="00CB13DC">
        <w:rPr>
          <w:rFonts w:ascii="Arial" w:hAnsi="Arial" w:cs="Arial"/>
        </w:rPr>
        <w:t>A contribution to or from a financial reserve.</w:t>
      </w:r>
    </w:p>
    <w:p w14:paraId="750FC46C" w14:textId="77777777" w:rsidR="00E931C4" w:rsidRDefault="00E931C4" w:rsidP="003B74DA">
      <w:pPr>
        <w:jc w:val="both"/>
        <w:rPr>
          <w:rFonts w:ascii="Arial" w:hAnsi="Arial" w:cs="Arial"/>
        </w:rPr>
      </w:pPr>
    </w:p>
    <w:p w14:paraId="05AD81BB" w14:textId="76CBF88D" w:rsidR="00E931C4" w:rsidRDefault="00E931C4" w:rsidP="003B74DA">
      <w:pPr>
        <w:jc w:val="both"/>
        <w:rPr>
          <w:rFonts w:ascii="Arial" w:hAnsi="Arial" w:cs="Arial"/>
          <w:b/>
          <w:bCs/>
        </w:rPr>
      </w:pPr>
      <w:r>
        <w:rPr>
          <w:rFonts w:ascii="Arial" w:hAnsi="Arial" w:cs="Arial"/>
          <w:b/>
          <w:bCs/>
        </w:rPr>
        <w:t>Asset Ceiling</w:t>
      </w:r>
    </w:p>
    <w:p w14:paraId="418B99BE" w14:textId="77777777" w:rsidR="00E931C4" w:rsidRPr="009D7304" w:rsidRDefault="00E931C4" w:rsidP="00E931C4">
      <w:pPr>
        <w:jc w:val="both"/>
        <w:rPr>
          <w:rFonts w:ascii="Arial" w:hAnsi="Arial" w:cs="Arial"/>
        </w:rPr>
      </w:pPr>
      <w:r w:rsidRPr="009D7304">
        <w:rPr>
          <w:rFonts w:ascii="Arial" w:hAnsi="Arial" w:cs="Arial"/>
        </w:rPr>
        <w:t xml:space="preserve">The asset ceiling is an upper limit on what is allowed to be recognised as a defined benefit asset broadly </w:t>
      </w:r>
    </w:p>
    <w:p w14:paraId="2395D50F" w14:textId="77777777" w:rsidR="00E931C4" w:rsidRPr="009D7304" w:rsidRDefault="00E931C4" w:rsidP="00E931C4">
      <w:pPr>
        <w:jc w:val="both"/>
        <w:rPr>
          <w:rFonts w:ascii="Arial" w:hAnsi="Arial" w:cs="Arial"/>
        </w:rPr>
      </w:pPr>
      <w:r w:rsidRPr="009D7304">
        <w:rPr>
          <w:rFonts w:ascii="Arial" w:hAnsi="Arial" w:cs="Arial"/>
        </w:rPr>
        <w:t xml:space="preserve">depending on whether the employer reporting entity can either get refunds from the outside/’third party’ </w:t>
      </w:r>
    </w:p>
    <w:p w14:paraId="1D8A5EAB" w14:textId="461B5B6B" w:rsidR="00E931C4" w:rsidRPr="00E931C4" w:rsidRDefault="00E931C4" w:rsidP="00E931C4">
      <w:pPr>
        <w:jc w:val="both"/>
        <w:rPr>
          <w:rFonts w:ascii="Arial" w:hAnsi="Arial" w:cs="Arial"/>
        </w:rPr>
      </w:pPr>
      <w:r w:rsidRPr="009D7304">
        <w:rPr>
          <w:rFonts w:ascii="Arial" w:hAnsi="Arial" w:cs="Arial"/>
        </w:rPr>
        <w:t>pension scheme or a reduction in future contributions to the outside/’third party’ pension scheme.</w:t>
      </w:r>
    </w:p>
    <w:p w14:paraId="6936DAB5" w14:textId="77777777" w:rsidR="003B74DA" w:rsidRPr="00CB13DC" w:rsidRDefault="003B74DA" w:rsidP="003B74DA">
      <w:pPr>
        <w:jc w:val="both"/>
        <w:rPr>
          <w:rFonts w:ascii="Arial" w:hAnsi="Arial" w:cs="Arial"/>
        </w:rPr>
      </w:pPr>
    </w:p>
    <w:p w14:paraId="78713ED9" w14:textId="77777777" w:rsidR="003B74DA" w:rsidRDefault="003B74DA" w:rsidP="003B74DA">
      <w:pPr>
        <w:jc w:val="both"/>
        <w:rPr>
          <w:rFonts w:ascii="Arial" w:hAnsi="Arial" w:cs="Arial"/>
          <w:b/>
        </w:rPr>
      </w:pPr>
      <w:r>
        <w:rPr>
          <w:rFonts w:ascii="Arial" w:hAnsi="Arial" w:cs="Arial"/>
          <w:b/>
        </w:rPr>
        <w:t>Assets held for Sale</w:t>
      </w:r>
    </w:p>
    <w:p w14:paraId="2B84F6A8" w14:textId="77777777" w:rsidR="003B74DA" w:rsidRDefault="003B74DA" w:rsidP="003B74DA">
      <w:pPr>
        <w:jc w:val="both"/>
        <w:rPr>
          <w:rFonts w:ascii="Arial" w:hAnsi="Arial" w:cs="Arial"/>
          <w:b/>
        </w:rPr>
      </w:pPr>
      <w:r>
        <w:rPr>
          <w:rFonts w:ascii="Arial" w:hAnsi="Arial" w:cs="Arial"/>
        </w:rPr>
        <w:t>Assets that are no longer needed by the PCC and which he is selling.</w:t>
      </w:r>
    </w:p>
    <w:p w14:paraId="26F74D32" w14:textId="77777777" w:rsidR="003B74DA" w:rsidRDefault="003B74DA" w:rsidP="003B74DA">
      <w:pPr>
        <w:jc w:val="both"/>
        <w:rPr>
          <w:rFonts w:ascii="Arial" w:hAnsi="Arial" w:cs="Arial"/>
          <w:b/>
        </w:rPr>
      </w:pPr>
    </w:p>
    <w:p w14:paraId="7859398C" w14:textId="77777777" w:rsidR="003B74DA" w:rsidRPr="00CB13DC" w:rsidRDefault="003B74DA" w:rsidP="003B74DA">
      <w:pPr>
        <w:jc w:val="both"/>
        <w:rPr>
          <w:rFonts w:ascii="Arial" w:hAnsi="Arial" w:cs="Arial"/>
          <w:b/>
        </w:rPr>
      </w:pPr>
      <w:r w:rsidRPr="00CB13DC">
        <w:rPr>
          <w:rFonts w:ascii="Arial" w:hAnsi="Arial" w:cs="Arial"/>
          <w:b/>
        </w:rPr>
        <w:t>Budget</w:t>
      </w:r>
    </w:p>
    <w:p w14:paraId="1201AD84" w14:textId="5DD574AD" w:rsidR="003B74DA" w:rsidRPr="00CB13DC" w:rsidRDefault="003B74DA" w:rsidP="003B74DA">
      <w:pPr>
        <w:spacing w:after="240"/>
        <w:jc w:val="both"/>
        <w:rPr>
          <w:rFonts w:ascii="Arial" w:hAnsi="Arial" w:cs="Arial"/>
        </w:rPr>
      </w:pPr>
      <w:r w:rsidRPr="00CB13DC">
        <w:rPr>
          <w:rFonts w:ascii="Arial" w:hAnsi="Arial" w:cs="Arial"/>
        </w:rPr>
        <w:t xml:space="preserve">A statement which reflects the </w:t>
      </w:r>
      <w:r>
        <w:rPr>
          <w:rFonts w:ascii="Arial" w:hAnsi="Arial" w:cs="Arial"/>
        </w:rPr>
        <w:t>PCC</w:t>
      </w:r>
      <w:r w:rsidRPr="00CB13DC">
        <w:rPr>
          <w:rFonts w:ascii="Arial" w:hAnsi="Arial" w:cs="Arial"/>
        </w:rPr>
        <w:t xml:space="preserve">’s policies in financial </w:t>
      </w:r>
      <w:r w:rsidR="00105039" w:rsidRPr="00CB13DC">
        <w:rPr>
          <w:rFonts w:ascii="Arial" w:hAnsi="Arial" w:cs="Arial"/>
        </w:rPr>
        <w:t>terms,</w:t>
      </w:r>
      <w:r w:rsidRPr="00CB13DC">
        <w:rPr>
          <w:rFonts w:ascii="Arial" w:hAnsi="Arial" w:cs="Arial"/>
        </w:rPr>
        <w:t xml:space="preserve"> and which sets out its spending plans for a given period.</w:t>
      </w:r>
    </w:p>
    <w:p w14:paraId="656A6BF4" w14:textId="77777777" w:rsidR="003B74DA" w:rsidRPr="00CB13DC" w:rsidRDefault="003B74DA" w:rsidP="003B74DA">
      <w:pPr>
        <w:jc w:val="both"/>
        <w:rPr>
          <w:rFonts w:ascii="Arial" w:hAnsi="Arial" w:cs="Arial"/>
          <w:b/>
        </w:rPr>
      </w:pPr>
      <w:r w:rsidRPr="00CB13DC">
        <w:rPr>
          <w:rFonts w:ascii="Arial" w:hAnsi="Arial" w:cs="Arial"/>
          <w:b/>
        </w:rPr>
        <w:t>Capital assets</w:t>
      </w:r>
    </w:p>
    <w:p w14:paraId="3EBC6906" w14:textId="77777777" w:rsidR="003B74DA" w:rsidRPr="00CB13DC" w:rsidRDefault="003B74DA" w:rsidP="003B74DA">
      <w:pPr>
        <w:jc w:val="both"/>
        <w:rPr>
          <w:rFonts w:ascii="Arial" w:hAnsi="Arial" w:cs="Arial"/>
          <w:b/>
        </w:rPr>
      </w:pPr>
      <w:r w:rsidRPr="00CB13DC">
        <w:rPr>
          <w:rFonts w:ascii="Arial" w:hAnsi="Arial" w:cs="Arial"/>
        </w:rPr>
        <w:t>Assets bought through capital expenditure. They are also known as ‘capital items’ and ‘</w:t>
      </w:r>
      <w:r>
        <w:rPr>
          <w:rFonts w:ascii="Arial" w:hAnsi="Arial" w:cs="Arial"/>
        </w:rPr>
        <w:t>non-current</w:t>
      </w:r>
      <w:r w:rsidRPr="00CB13DC">
        <w:rPr>
          <w:rFonts w:ascii="Arial" w:hAnsi="Arial" w:cs="Arial"/>
        </w:rPr>
        <w:t xml:space="preserve"> assets’.</w:t>
      </w:r>
    </w:p>
    <w:p w14:paraId="5D15EEE8" w14:textId="77777777" w:rsidR="003B74DA" w:rsidRPr="00CB13DC" w:rsidRDefault="003B74DA" w:rsidP="003B74DA">
      <w:pPr>
        <w:jc w:val="both"/>
        <w:rPr>
          <w:rFonts w:ascii="Arial" w:hAnsi="Arial" w:cs="Arial"/>
          <w:b/>
        </w:rPr>
      </w:pPr>
    </w:p>
    <w:p w14:paraId="2D7B316B" w14:textId="77777777" w:rsidR="003B74DA" w:rsidRPr="00CB13DC" w:rsidRDefault="003B74DA" w:rsidP="003B74DA">
      <w:pPr>
        <w:jc w:val="both"/>
        <w:rPr>
          <w:rFonts w:ascii="Arial" w:hAnsi="Arial" w:cs="Arial"/>
          <w:b/>
        </w:rPr>
      </w:pPr>
      <w:r w:rsidRPr="00CB13DC">
        <w:rPr>
          <w:rFonts w:ascii="Arial" w:hAnsi="Arial" w:cs="Arial"/>
          <w:b/>
        </w:rPr>
        <w:t>Capital expenditure</w:t>
      </w:r>
    </w:p>
    <w:p w14:paraId="6A23A85D" w14:textId="77777777" w:rsidR="003B74DA" w:rsidRPr="00CB13DC" w:rsidRDefault="003B74DA" w:rsidP="003B74DA">
      <w:pPr>
        <w:spacing w:after="240"/>
        <w:jc w:val="both"/>
        <w:rPr>
          <w:rFonts w:ascii="Arial" w:hAnsi="Arial" w:cs="Arial"/>
        </w:rPr>
      </w:pPr>
      <w:r w:rsidRPr="00CB13DC">
        <w:rPr>
          <w:rFonts w:ascii="Arial" w:hAnsi="Arial" w:cs="Arial"/>
        </w:rPr>
        <w:t>Spending on buying or improving assets that have a long-term benefit – for example land, buildings and roads. Capital expenditure is also known as ‘capital spending’, ‘capital outlay’ and ‘capital payments’.</w:t>
      </w:r>
    </w:p>
    <w:p w14:paraId="74FEF776" w14:textId="77777777" w:rsidR="003B74DA" w:rsidRPr="00CB13DC" w:rsidRDefault="003B74DA" w:rsidP="003B74DA">
      <w:pPr>
        <w:jc w:val="both"/>
        <w:rPr>
          <w:rFonts w:ascii="Arial" w:hAnsi="Arial" w:cs="Arial"/>
          <w:b/>
        </w:rPr>
      </w:pPr>
      <w:r w:rsidRPr="00CB13DC">
        <w:rPr>
          <w:rFonts w:ascii="Arial" w:hAnsi="Arial" w:cs="Arial"/>
          <w:b/>
        </w:rPr>
        <w:t>Capital grant</w:t>
      </w:r>
    </w:p>
    <w:p w14:paraId="7468577C" w14:textId="77777777" w:rsidR="003B74DA" w:rsidRPr="00CB13DC" w:rsidRDefault="003B74DA" w:rsidP="003B74DA">
      <w:pPr>
        <w:spacing w:after="240"/>
        <w:jc w:val="both"/>
        <w:rPr>
          <w:rFonts w:ascii="Arial" w:hAnsi="Arial" w:cs="Arial"/>
        </w:rPr>
      </w:pPr>
      <w:r w:rsidRPr="00CB13DC">
        <w:rPr>
          <w:rFonts w:ascii="Arial" w:hAnsi="Arial" w:cs="Arial"/>
        </w:rPr>
        <w:t>Money received for capital items (see ‘capital expenditure’ above).</w:t>
      </w:r>
    </w:p>
    <w:p w14:paraId="61F1265B" w14:textId="77777777" w:rsidR="003B74DA" w:rsidRPr="00CB13DC" w:rsidRDefault="003B74DA" w:rsidP="003B74DA">
      <w:pPr>
        <w:jc w:val="both"/>
        <w:rPr>
          <w:rFonts w:ascii="Arial" w:hAnsi="Arial" w:cs="Arial"/>
          <w:b/>
        </w:rPr>
      </w:pPr>
      <w:r w:rsidRPr="00CB13DC">
        <w:rPr>
          <w:rFonts w:ascii="Arial" w:hAnsi="Arial" w:cs="Arial"/>
          <w:b/>
        </w:rPr>
        <w:t>Capital receipts</w:t>
      </w:r>
    </w:p>
    <w:p w14:paraId="7B596A11" w14:textId="77777777" w:rsidR="003B74DA" w:rsidRPr="00CB13DC" w:rsidRDefault="003B74DA" w:rsidP="003B74DA">
      <w:pPr>
        <w:spacing w:after="240"/>
        <w:jc w:val="both"/>
        <w:rPr>
          <w:rFonts w:ascii="Arial" w:hAnsi="Arial" w:cs="Arial"/>
        </w:rPr>
      </w:pPr>
      <w:r w:rsidRPr="00CB13DC">
        <w:rPr>
          <w:rFonts w:ascii="Arial" w:hAnsi="Arial" w:cs="Arial"/>
        </w:rPr>
        <w:t xml:space="preserve">Proceeds received from the sale of capital assets. The proceeds are set aside in the Capital reserve </w:t>
      </w:r>
      <w:proofErr w:type="gramStart"/>
      <w:r w:rsidRPr="00CB13DC">
        <w:rPr>
          <w:rFonts w:ascii="Arial" w:hAnsi="Arial" w:cs="Arial"/>
        </w:rPr>
        <w:t>in order to</w:t>
      </w:r>
      <w:proofErr w:type="gramEnd"/>
      <w:r w:rsidRPr="00CB13DC">
        <w:rPr>
          <w:rFonts w:ascii="Arial" w:hAnsi="Arial" w:cs="Arial"/>
        </w:rPr>
        <w:t xml:space="preserve"> repay the county council’s borrowings or to finance new capital expenditure.</w:t>
      </w:r>
    </w:p>
    <w:p w14:paraId="3046F56E" w14:textId="77777777" w:rsidR="003B74DA" w:rsidRPr="00CB13DC" w:rsidRDefault="003B74DA" w:rsidP="003B74DA">
      <w:pPr>
        <w:jc w:val="both"/>
        <w:rPr>
          <w:rFonts w:ascii="Arial" w:hAnsi="Arial" w:cs="Arial"/>
          <w:b/>
        </w:rPr>
      </w:pPr>
      <w:r w:rsidRPr="00CB13DC">
        <w:rPr>
          <w:rFonts w:ascii="Arial" w:hAnsi="Arial" w:cs="Arial"/>
          <w:b/>
        </w:rPr>
        <w:t>Capital reserves</w:t>
      </w:r>
    </w:p>
    <w:p w14:paraId="2D423C21" w14:textId="77777777" w:rsidR="003B74DA" w:rsidRPr="00CB13DC" w:rsidRDefault="003B74DA" w:rsidP="003B74DA">
      <w:pPr>
        <w:jc w:val="both"/>
        <w:rPr>
          <w:rFonts w:ascii="Arial" w:hAnsi="Arial" w:cs="Arial"/>
        </w:rPr>
      </w:pPr>
      <w:r w:rsidRPr="00CB13DC">
        <w:rPr>
          <w:rFonts w:ascii="Arial" w:hAnsi="Arial" w:cs="Arial"/>
        </w:rPr>
        <w:t>Amounts set aside to support future capital projects.</w:t>
      </w:r>
    </w:p>
    <w:p w14:paraId="6109762F" w14:textId="77777777" w:rsidR="003B74DA" w:rsidRPr="00CB13DC" w:rsidRDefault="003B74DA" w:rsidP="003B74DA">
      <w:pPr>
        <w:jc w:val="both"/>
        <w:rPr>
          <w:rFonts w:ascii="Arial" w:hAnsi="Arial" w:cs="Arial"/>
          <w:b/>
        </w:rPr>
      </w:pPr>
    </w:p>
    <w:p w14:paraId="4307CBC1" w14:textId="77777777" w:rsidR="003B74DA" w:rsidRPr="00CB13DC" w:rsidRDefault="003B74DA" w:rsidP="003B74DA">
      <w:pPr>
        <w:jc w:val="both"/>
        <w:rPr>
          <w:rFonts w:ascii="Arial" w:hAnsi="Arial" w:cs="Arial"/>
          <w:b/>
        </w:rPr>
      </w:pPr>
      <w:r w:rsidRPr="00CB13DC">
        <w:rPr>
          <w:rFonts w:ascii="Arial" w:hAnsi="Arial" w:cs="Arial"/>
          <w:b/>
        </w:rPr>
        <w:t>Cash balance</w:t>
      </w:r>
    </w:p>
    <w:p w14:paraId="1D208D6C" w14:textId="77777777" w:rsidR="003B74DA" w:rsidRPr="00CB13DC" w:rsidRDefault="003B74DA" w:rsidP="003B74DA">
      <w:pPr>
        <w:jc w:val="both"/>
        <w:rPr>
          <w:rFonts w:ascii="Arial" w:hAnsi="Arial" w:cs="Arial"/>
        </w:rPr>
      </w:pPr>
      <w:r w:rsidRPr="00CB13DC">
        <w:rPr>
          <w:rFonts w:ascii="Arial" w:hAnsi="Arial" w:cs="Arial"/>
        </w:rPr>
        <w:t>Cash available to invest on the money market.</w:t>
      </w:r>
    </w:p>
    <w:p w14:paraId="04DE27B4" w14:textId="77777777" w:rsidR="003B74DA" w:rsidRPr="00CB13DC" w:rsidRDefault="003B74DA" w:rsidP="003B74DA">
      <w:pPr>
        <w:jc w:val="both"/>
        <w:rPr>
          <w:rFonts w:ascii="Arial" w:hAnsi="Arial" w:cs="Arial"/>
          <w:b/>
        </w:rPr>
      </w:pPr>
    </w:p>
    <w:p w14:paraId="59A5D218" w14:textId="77777777" w:rsidR="003B74DA" w:rsidRPr="00CB13DC" w:rsidRDefault="003B74DA" w:rsidP="003B74DA">
      <w:pPr>
        <w:jc w:val="both"/>
        <w:rPr>
          <w:rFonts w:ascii="Arial" w:hAnsi="Arial" w:cs="Arial"/>
          <w:b/>
        </w:rPr>
      </w:pPr>
      <w:r w:rsidRPr="00CB13DC">
        <w:rPr>
          <w:rFonts w:ascii="Arial" w:hAnsi="Arial" w:cs="Arial"/>
          <w:b/>
        </w:rPr>
        <w:t>Cash Equivalents</w:t>
      </w:r>
    </w:p>
    <w:p w14:paraId="4979DB47" w14:textId="77777777" w:rsidR="003B74DA" w:rsidRPr="00CB13DC" w:rsidRDefault="003B74DA" w:rsidP="003B74DA">
      <w:pPr>
        <w:jc w:val="both"/>
        <w:rPr>
          <w:rFonts w:ascii="Arial" w:hAnsi="Arial" w:cs="Arial"/>
        </w:rPr>
      </w:pPr>
      <w:r w:rsidRPr="00CB13DC">
        <w:rPr>
          <w:rFonts w:ascii="Arial" w:hAnsi="Arial" w:cs="Arial"/>
        </w:rPr>
        <w:t>Short term (less than 3 months), highly liquid investments that are readily convertible to known amounts of cash and which are subject to an insignificant risk of changes in value.</w:t>
      </w:r>
    </w:p>
    <w:p w14:paraId="62DE1698" w14:textId="77777777" w:rsidR="003B74DA" w:rsidRPr="00CB13DC" w:rsidRDefault="003B74DA" w:rsidP="003B74DA">
      <w:pPr>
        <w:jc w:val="both"/>
        <w:rPr>
          <w:rFonts w:ascii="Arial" w:hAnsi="Arial" w:cs="Arial"/>
        </w:rPr>
      </w:pPr>
    </w:p>
    <w:p w14:paraId="4522654F" w14:textId="77777777" w:rsidR="00836BBD" w:rsidRDefault="00836BBD">
      <w:pPr>
        <w:rPr>
          <w:rFonts w:ascii="Arial" w:hAnsi="Arial" w:cs="Arial"/>
          <w:b/>
        </w:rPr>
      </w:pPr>
      <w:r>
        <w:rPr>
          <w:rFonts w:ascii="Arial" w:hAnsi="Arial" w:cs="Arial"/>
          <w:b/>
        </w:rPr>
        <w:br w:type="page"/>
      </w:r>
    </w:p>
    <w:p w14:paraId="7D15C352" w14:textId="108E7B71" w:rsidR="003B74DA" w:rsidRPr="00CB13DC" w:rsidRDefault="003B74DA" w:rsidP="003B74DA">
      <w:pPr>
        <w:jc w:val="both"/>
        <w:rPr>
          <w:rFonts w:ascii="Arial" w:hAnsi="Arial" w:cs="Arial"/>
          <w:b/>
        </w:rPr>
      </w:pPr>
      <w:r w:rsidRPr="00CB13DC">
        <w:rPr>
          <w:rFonts w:ascii="Arial" w:hAnsi="Arial" w:cs="Arial"/>
          <w:b/>
        </w:rPr>
        <w:lastRenderedPageBreak/>
        <w:t>Cash transactions</w:t>
      </w:r>
    </w:p>
    <w:p w14:paraId="46F31587" w14:textId="77777777" w:rsidR="003B74DA" w:rsidRPr="00CB13DC" w:rsidRDefault="003B74DA" w:rsidP="003B74DA">
      <w:pPr>
        <w:spacing w:after="240"/>
        <w:jc w:val="both"/>
        <w:rPr>
          <w:rFonts w:ascii="Arial" w:hAnsi="Arial" w:cs="Arial"/>
        </w:rPr>
      </w:pPr>
      <w:r w:rsidRPr="00CB13DC">
        <w:rPr>
          <w:rFonts w:ascii="Arial" w:hAnsi="Arial" w:cs="Arial"/>
        </w:rPr>
        <w:t>Cash amounts entering or leaving the accounts – for example, to pay for goods or services, or income from fees and charges.</w:t>
      </w:r>
    </w:p>
    <w:p w14:paraId="768DB5E1" w14:textId="4A08B82E" w:rsidR="003B74DA" w:rsidRPr="00CB13DC" w:rsidRDefault="003B74DA" w:rsidP="009D7304">
      <w:pPr>
        <w:rPr>
          <w:rFonts w:ascii="Arial" w:hAnsi="Arial" w:cs="Arial"/>
          <w:b/>
        </w:rPr>
      </w:pPr>
      <w:r w:rsidRPr="00CB13DC">
        <w:rPr>
          <w:rFonts w:ascii="Arial" w:hAnsi="Arial" w:cs="Arial"/>
          <w:b/>
        </w:rPr>
        <w:t>Change in Accounting Estimate</w:t>
      </w:r>
    </w:p>
    <w:p w14:paraId="358770C6" w14:textId="77777777" w:rsidR="003B74DA" w:rsidRPr="00CB13DC" w:rsidRDefault="003B74DA" w:rsidP="003B74DA">
      <w:pPr>
        <w:jc w:val="both"/>
        <w:rPr>
          <w:rFonts w:ascii="Arial" w:hAnsi="Arial" w:cs="Arial"/>
        </w:rPr>
      </w:pPr>
      <w:r w:rsidRPr="00CB13DC">
        <w:rPr>
          <w:rFonts w:ascii="Arial" w:hAnsi="Arial" w:cs="Arial"/>
        </w:rPr>
        <w:t xml:space="preserve">An adjustment of the carrying amount of an asset or liability that results from an assessment of the present status and future benefits or obligations.  These changes occur </w:t>
      </w:r>
      <w:proofErr w:type="gramStart"/>
      <w:r w:rsidRPr="00CB13DC">
        <w:rPr>
          <w:rFonts w:ascii="Arial" w:hAnsi="Arial" w:cs="Arial"/>
        </w:rPr>
        <w:t>as a result of</w:t>
      </w:r>
      <w:proofErr w:type="gramEnd"/>
      <w:r w:rsidRPr="00CB13DC">
        <w:rPr>
          <w:rFonts w:ascii="Arial" w:hAnsi="Arial" w:cs="Arial"/>
        </w:rPr>
        <w:t xml:space="preserve"> new </w:t>
      </w:r>
      <w:proofErr w:type="gramStart"/>
      <w:r w:rsidRPr="00CB13DC">
        <w:rPr>
          <w:rFonts w:ascii="Arial" w:hAnsi="Arial" w:cs="Arial"/>
        </w:rPr>
        <w:t>information, and</w:t>
      </w:r>
      <w:proofErr w:type="gramEnd"/>
      <w:r w:rsidRPr="00CB13DC">
        <w:rPr>
          <w:rFonts w:ascii="Arial" w:hAnsi="Arial" w:cs="Arial"/>
        </w:rPr>
        <w:t xml:space="preserve"> are not corrections of errors.</w:t>
      </w:r>
    </w:p>
    <w:p w14:paraId="27FE3579" w14:textId="77777777" w:rsidR="003B74DA" w:rsidRPr="00CB13DC" w:rsidRDefault="003B74DA" w:rsidP="003B74DA">
      <w:pPr>
        <w:jc w:val="both"/>
        <w:rPr>
          <w:rFonts w:ascii="Arial" w:hAnsi="Arial" w:cs="Arial"/>
        </w:rPr>
      </w:pPr>
    </w:p>
    <w:p w14:paraId="5E5618C1" w14:textId="77777777" w:rsidR="003B74DA" w:rsidRPr="00CB13DC" w:rsidRDefault="003B74DA" w:rsidP="003B74DA">
      <w:pPr>
        <w:jc w:val="both"/>
        <w:rPr>
          <w:rFonts w:ascii="Arial" w:hAnsi="Arial" w:cs="Arial"/>
          <w:b/>
        </w:rPr>
      </w:pPr>
      <w:r>
        <w:rPr>
          <w:rFonts w:ascii="Arial" w:hAnsi="Arial" w:cs="Arial"/>
          <w:b/>
        </w:rPr>
        <w:t>Non-current</w:t>
      </w:r>
      <w:r w:rsidRPr="00CB13DC">
        <w:rPr>
          <w:rFonts w:ascii="Arial" w:hAnsi="Arial" w:cs="Arial"/>
          <w:b/>
        </w:rPr>
        <w:t xml:space="preserve"> assets</w:t>
      </w:r>
    </w:p>
    <w:p w14:paraId="28008DFD" w14:textId="77777777" w:rsidR="003B74DA" w:rsidRPr="00CB13DC" w:rsidRDefault="003B74DA" w:rsidP="003B74DA">
      <w:pPr>
        <w:spacing w:after="240"/>
        <w:jc w:val="both"/>
        <w:rPr>
          <w:rFonts w:ascii="Arial" w:hAnsi="Arial" w:cs="Arial"/>
        </w:rPr>
      </w:pPr>
      <w:r w:rsidRPr="00CB13DC">
        <w:rPr>
          <w:rFonts w:ascii="Arial" w:hAnsi="Arial" w:cs="Arial"/>
        </w:rPr>
        <w:t>The classes of non</w:t>
      </w:r>
      <w:r>
        <w:rPr>
          <w:rFonts w:ascii="Arial" w:hAnsi="Arial" w:cs="Arial"/>
        </w:rPr>
        <w:t>-</w:t>
      </w:r>
      <w:r w:rsidRPr="00CB13DC">
        <w:rPr>
          <w:rFonts w:ascii="Arial" w:hAnsi="Arial" w:cs="Arial"/>
        </w:rPr>
        <w:t>current assets required to be included in the accounting statements are:</w:t>
      </w:r>
    </w:p>
    <w:p w14:paraId="3853EFA3" w14:textId="77777777" w:rsidR="003B74DA" w:rsidRPr="00CB13DC" w:rsidRDefault="003B74DA" w:rsidP="003B74DA">
      <w:pPr>
        <w:spacing w:after="240"/>
        <w:jc w:val="both"/>
        <w:rPr>
          <w:rFonts w:ascii="Arial" w:hAnsi="Arial" w:cs="Arial"/>
        </w:rPr>
      </w:pPr>
      <w:r>
        <w:rPr>
          <w:rFonts w:ascii="Arial" w:hAnsi="Arial" w:cs="Arial"/>
        </w:rPr>
        <w:t>Property Plant &amp; Equipment</w:t>
      </w:r>
    </w:p>
    <w:p w14:paraId="071D1A0F" w14:textId="77777777" w:rsidR="003B74DA" w:rsidRPr="00CB13DC" w:rsidRDefault="003B74DA" w:rsidP="004E2882">
      <w:pPr>
        <w:numPr>
          <w:ilvl w:val="0"/>
          <w:numId w:val="15"/>
        </w:numPr>
        <w:spacing w:after="240"/>
        <w:jc w:val="both"/>
        <w:rPr>
          <w:rFonts w:ascii="Arial" w:hAnsi="Arial" w:cs="Arial"/>
        </w:rPr>
      </w:pPr>
      <w:r>
        <w:rPr>
          <w:rFonts w:ascii="Arial" w:hAnsi="Arial" w:cs="Arial"/>
        </w:rPr>
        <w:t>L</w:t>
      </w:r>
      <w:r w:rsidRPr="00CB13DC">
        <w:rPr>
          <w:rFonts w:ascii="Arial" w:hAnsi="Arial" w:cs="Arial"/>
        </w:rPr>
        <w:t>and and buildings.</w:t>
      </w:r>
    </w:p>
    <w:p w14:paraId="027D5CC3" w14:textId="77777777" w:rsidR="003B74DA" w:rsidRDefault="003B74DA" w:rsidP="004E2882">
      <w:pPr>
        <w:numPr>
          <w:ilvl w:val="0"/>
          <w:numId w:val="15"/>
        </w:numPr>
        <w:spacing w:after="240"/>
        <w:jc w:val="both"/>
        <w:rPr>
          <w:rFonts w:ascii="Arial" w:hAnsi="Arial" w:cs="Arial"/>
        </w:rPr>
      </w:pPr>
      <w:r w:rsidRPr="00CB13DC">
        <w:rPr>
          <w:rFonts w:ascii="Arial" w:hAnsi="Arial" w:cs="Arial"/>
        </w:rPr>
        <w:t>Vehicles, plant, furniture and equipment.</w:t>
      </w:r>
    </w:p>
    <w:p w14:paraId="1E5C57DE" w14:textId="77777777" w:rsidR="003B74DA" w:rsidRPr="00CB13DC" w:rsidRDefault="003B74DA" w:rsidP="004E2882">
      <w:pPr>
        <w:numPr>
          <w:ilvl w:val="0"/>
          <w:numId w:val="15"/>
        </w:numPr>
        <w:spacing w:after="240"/>
        <w:jc w:val="both"/>
        <w:rPr>
          <w:rFonts w:ascii="Arial" w:hAnsi="Arial" w:cs="Arial"/>
        </w:rPr>
      </w:pPr>
      <w:r>
        <w:rPr>
          <w:rFonts w:ascii="Arial" w:hAnsi="Arial" w:cs="Arial"/>
        </w:rPr>
        <w:t>Assets under construction</w:t>
      </w:r>
    </w:p>
    <w:p w14:paraId="6DA870D5" w14:textId="7FB9ED05" w:rsidR="007921D8" w:rsidRPr="009D7304" w:rsidRDefault="007921D8" w:rsidP="009D7304">
      <w:pPr>
        <w:rPr>
          <w:rFonts w:ascii="Arial" w:hAnsi="Arial" w:cs="Arial"/>
          <w:b/>
          <w:bCs/>
        </w:rPr>
      </w:pPr>
      <w:r w:rsidRPr="009D7304">
        <w:rPr>
          <w:rFonts w:ascii="Arial" w:hAnsi="Arial" w:cs="Arial"/>
          <w:b/>
          <w:bCs/>
        </w:rPr>
        <w:t>CIPFA</w:t>
      </w:r>
    </w:p>
    <w:p w14:paraId="3D524D22" w14:textId="236DE8D3" w:rsidR="003B74DA" w:rsidRDefault="003B74DA" w:rsidP="007921D8">
      <w:pPr>
        <w:rPr>
          <w:rFonts w:ascii="Arial" w:hAnsi="Arial" w:cs="Arial"/>
        </w:rPr>
      </w:pPr>
      <w:r w:rsidRPr="007921D8">
        <w:rPr>
          <w:rFonts w:ascii="Arial" w:hAnsi="Arial" w:cs="Arial"/>
        </w:rPr>
        <w:t>The</w:t>
      </w:r>
      <w:r w:rsidRPr="009D7304">
        <w:rPr>
          <w:rFonts w:ascii="Arial" w:hAnsi="Arial" w:cs="Arial"/>
        </w:rPr>
        <w:t xml:space="preserve"> Chartered Institute of Public Finance and Accountants is the accountancy body which recommends accounting practice for the preparation of local authority accounts.</w:t>
      </w:r>
    </w:p>
    <w:p w14:paraId="1079533F" w14:textId="77777777" w:rsidR="007921D8" w:rsidRPr="009D7304" w:rsidRDefault="007921D8" w:rsidP="009D7304">
      <w:pPr>
        <w:rPr>
          <w:rFonts w:ascii="Arial" w:hAnsi="Arial" w:cs="Arial"/>
        </w:rPr>
      </w:pPr>
    </w:p>
    <w:p w14:paraId="1965D444" w14:textId="77777777" w:rsidR="003B74DA" w:rsidRPr="00CB13DC" w:rsidRDefault="003B74DA" w:rsidP="003B74DA">
      <w:pPr>
        <w:jc w:val="both"/>
        <w:rPr>
          <w:rFonts w:ascii="Arial" w:hAnsi="Arial" w:cs="Arial"/>
          <w:b/>
        </w:rPr>
      </w:pPr>
      <w:r w:rsidRPr="00CB13DC">
        <w:rPr>
          <w:rFonts w:ascii="Arial" w:hAnsi="Arial" w:cs="Arial"/>
          <w:b/>
        </w:rPr>
        <w:t>Contingent liabilities</w:t>
      </w:r>
    </w:p>
    <w:p w14:paraId="728CF00B" w14:textId="7BDDE64E" w:rsidR="003B74DA" w:rsidRPr="00CB13DC" w:rsidRDefault="003B74DA" w:rsidP="003B74DA">
      <w:pPr>
        <w:spacing w:after="240"/>
        <w:jc w:val="both"/>
        <w:rPr>
          <w:rFonts w:ascii="Arial" w:hAnsi="Arial" w:cs="Arial"/>
        </w:rPr>
      </w:pPr>
      <w:r w:rsidRPr="00CB13DC">
        <w:rPr>
          <w:rFonts w:ascii="Arial" w:hAnsi="Arial" w:cs="Arial"/>
        </w:rPr>
        <w:t xml:space="preserve">Liabilities relating to a known set of circumstances which may or may not arise. They can also be liabilities which are likely to </w:t>
      </w:r>
      <w:r w:rsidR="00105039" w:rsidRPr="00CB13DC">
        <w:rPr>
          <w:rFonts w:ascii="Arial" w:hAnsi="Arial" w:cs="Arial"/>
        </w:rPr>
        <w:t>arise,</w:t>
      </w:r>
      <w:r w:rsidRPr="00CB13DC">
        <w:rPr>
          <w:rFonts w:ascii="Arial" w:hAnsi="Arial" w:cs="Arial"/>
        </w:rPr>
        <w:t xml:space="preserve"> but which are very difficult to measure until future developments make things clearer.</w:t>
      </w:r>
    </w:p>
    <w:p w14:paraId="23E1D0CE" w14:textId="77777777" w:rsidR="003B74DA" w:rsidRPr="00CB13DC" w:rsidRDefault="003B74DA" w:rsidP="003B74DA">
      <w:pPr>
        <w:jc w:val="both"/>
        <w:rPr>
          <w:rFonts w:ascii="Arial" w:hAnsi="Arial" w:cs="Arial"/>
          <w:b/>
        </w:rPr>
      </w:pPr>
      <w:r w:rsidRPr="00CB13DC">
        <w:rPr>
          <w:rFonts w:ascii="Arial" w:hAnsi="Arial" w:cs="Arial"/>
          <w:b/>
        </w:rPr>
        <w:t>Corporate governance</w:t>
      </w:r>
    </w:p>
    <w:p w14:paraId="29143D96" w14:textId="77777777" w:rsidR="003B74DA" w:rsidRPr="00CB13DC" w:rsidRDefault="003B74DA" w:rsidP="003B74DA">
      <w:pPr>
        <w:spacing w:after="240"/>
        <w:jc w:val="both"/>
        <w:rPr>
          <w:rFonts w:ascii="Arial" w:hAnsi="Arial" w:cs="Arial"/>
        </w:rPr>
      </w:pPr>
      <w:r w:rsidRPr="00CB13DC">
        <w:rPr>
          <w:rFonts w:ascii="Arial" w:hAnsi="Arial" w:cs="Arial"/>
        </w:rPr>
        <w:t>The authoritative rules and controls in place within an organisation required to promote openness, inclusivity, integrity and accountability.</w:t>
      </w:r>
    </w:p>
    <w:p w14:paraId="088B79AA" w14:textId="77777777" w:rsidR="003B74DA" w:rsidRPr="00CB13DC" w:rsidRDefault="003B74DA" w:rsidP="003B74DA">
      <w:pPr>
        <w:jc w:val="both"/>
        <w:rPr>
          <w:rFonts w:ascii="Arial" w:hAnsi="Arial" w:cs="Arial"/>
          <w:b/>
        </w:rPr>
      </w:pPr>
      <w:r w:rsidRPr="00CB13DC">
        <w:rPr>
          <w:rFonts w:ascii="Arial" w:hAnsi="Arial" w:cs="Arial"/>
          <w:b/>
        </w:rPr>
        <w:t>Council Tax precept</w:t>
      </w:r>
    </w:p>
    <w:p w14:paraId="69C71DE3" w14:textId="77777777" w:rsidR="003B74DA" w:rsidRPr="00CB13DC" w:rsidRDefault="003B74DA" w:rsidP="003B74DA">
      <w:pPr>
        <w:spacing w:after="240"/>
        <w:jc w:val="both"/>
        <w:rPr>
          <w:rFonts w:ascii="Arial" w:hAnsi="Arial" w:cs="Arial"/>
        </w:rPr>
      </w:pPr>
      <w:r w:rsidRPr="00CB13DC">
        <w:rPr>
          <w:rFonts w:ascii="Arial" w:hAnsi="Arial" w:cs="Arial"/>
        </w:rPr>
        <w:t xml:space="preserve">The Council Tax charged by one authority (the precepting authority) which is collected by another authority (the billing authority). The </w:t>
      </w:r>
      <w:r>
        <w:rPr>
          <w:rFonts w:ascii="Arial" w:hAnsi="Arial" w:cs="Arial"/>
        </w:rPr>
        <w:t>PCC</w:t>
      </w:r>
      <w:r w:rsidRPr="00CB13DC">
        <w:rPr>
          <w:rFonts w:ascii="Arial" w:hAnsi="Arial" w:cs="Arial"/>
        </w:rPr>
        <w:t>’s Council Tax income is charged through a precept on the district councils’ collection funds</w:t>
      </w:r>
    </w:p>
    <w:p w14:paraId="16D270F9" w14:textId="77777777" w:rsidR="003B74DA" w:rsidRPr="00CB13DC" w:rsidRDefault="003B74DA" w:rsidP="003B74DA">
      <w:pPr>
        <w:jc w:val="both"/>
        <w:rPr>
          <w:rFonts w:ascii="Arial" w:hAnsi="Arial" w:cs="Arial"/>
          <w:b/>
        </w:rPr>
      </w:pPr>
      <w:r w:rsidRPr="00CB13DC">
        <w:rPr>
          <w:rFonts w:ascii="Arial" w:hAnsi="Arial" w:cs="Arial"/>
          <w:b/>
        </w:rPr>
        <w:t>Creditors</w:t>
      </w:r>
    </w:p>
    <w:p w14:paraId="2244BC54" w14:textId="77777777" w:rsidR="003B74DA" w:rsidRPr="00CB13DC" w:rsidRDefault="003B74DA" w:rsidP="003B74DA">
      <w:pPr>
        <w:spacing w:after="240"/>
        <w:jc w:val="both"/>
        <w:rPr>
          <w:rFonts w:ascii="Arial" w:hAnsi="Arial" w:cs="Arial"/>
        </w:rPr>
      </w:pPr>
      <w:r w:rsidRPr="00CB13DC">
        <w:rPr>
          <w:rFonts w:ascii="Arial" w:hAnsi="Arial" w:cs="Arial"/>
        </w:rPr>
        <w:t xml:space="preserve">Amounts owed by the </w:t>
      </w:r>
      <w:r>
        <w:rPr>
          <w:rFonts w:ascii="Arial" w:hAnsi="Arial" w:cs="Arial"/>
        </w:rPr>
        <w:t>PCC</w:t>
      </w:r>
      <w:r w:rsidRPr="00CB13DC">
        <w:rPr>
          <w:rFonts w:ascii="Arial" w:hAnsi="Arial" w:cs="Arial"/>
        </w:rPr>
        <w:t xml:space="preserve"> for work carried out, goods </w:t>
      </w:r>
      <w:proofErr w:type="gramStart"/>
      <w:r w:rsidRPr="00CB13DC">
        <w:rPr>
          <w:rFonts w:ascii="Arial" w:hAnsi="Arial" w:cs="Arial"/>
        </w:rPr>
        <w:t>received</w:t>
      </w:r>
      <w:proofErr w:type="gramEnd"/>
      <w:r w:rsidRPr="00CB13DC">
        <w:rPr>
          <w:rFonts w:ascii="Arial" w:hAnsi="Arial" w:cs="Arial"/>
        </w:rPr>
        <w:t xml:space="preserve"> or services provided, which had not been paid by the date of the balance sheet.</w:t>
      </w:r>
    </w:p>
    <w:p w14:paraId="41F99B03" w14:textId="77777777" w:rsidR="003B74DA" w:rsidRPr="00CB13DC" w:rsidRDefault="003B74DA" w:rsidP="003B74DA">
      <w:pPr>
        <w:jc w:val="both"/>
        <w:rPr>
          <w:rFonts w:ascii="Arial" w:hAnsi="Arial" w:cs="Arial"/>
          <w:b/>
        </w:rPr>
      </w:pPr>
      <w:r w:rsidRPr="00CB13DC">
        <w:rPr>
          <w:rFonts w:ascii="Arial" w:hAnsi="Arial" w:cs="Arial"/>
          <w:b/>
        </w:rPr>
        <w:t>Current assets and liabilities</w:t>
      </w:r>
    </w:p>
    <w:p w14:paraId="1FBC9A48" w14:textId="77777777" w:rsidR="003B74DA" w:rsidRPr="00CB13DC" w:rsidRDefault="003B74DA" w:rsidP="003B74DA">
      <w:pPr>
        <w:spacing w:after="240"/>
        <w:jc w:val="both"/>
        <w:rPr>
          <w:rFonts w:ascii="Arial" w:hAnsi="Arial" w:cs="Arial"/>
        </w:rPr>
      </w:pPr>
      <w:r w:rsidRPr="00CB13DC">
        <w:rPr>
          <w:rFonts w:ascii="Arial" w:hAnsi="Arial" w:cs="Arial"/>
        </w:rPr>
        <w:t>Current assets are cash, cash equivalents and items that can be readily converted into cash. Current liabilities are items that are due for payment immediately or in the short term.</w:t>
      </w:r>
    </w:p>
    <w:p w14:paraId="21778DFB" w14:textId="77777777" w:rsidR="003B74DA" w:rsidRPr="00CB13DC" w:rsidRDefault="003B74DA" w:rsidP="003B74DA">
      <w:pPr>
        <w:spacing w:after="240"/>
        <w:jc w:val="both"/>
        <w:rPr>
          <w:rFonts w:ascii="Arial" w:hAnsi="Arial" w:cs="Arial"/>
        </w:rPr>
      </w:pPr>
      <w:r w:rsidRPr="00CB13DC">
        <w:rPr>
          <w:rFonts w:ascii="Arial" w:hAnsi="Arial" w:cs="Arial"/>
        </w:rPr>
        <w:t>By convention these items are ordered by reference to the ease that the asset can be converted into cash, and the timescale in which the liability falls due.</w:t>
      </w:r>
    </w:p>
    <w:p w14:paraId="028E9727" w14:textId="77777777" w:rsidR="003B74DA" w:rsidRPr="00CB13DC" w:rsidRDefault="003B74DA" w:rsidP="003B74DA">
      <w:pPr>
        <w:jc w:val="both"/>
        <w:rPr>
          <w:rFonts w:ascii="Arial" w:hAnsi="Arial" w:cs="Arial"/>
          <w:b/>
        </w:rPr>
      </w:pPr>
      <w:r w:rsidRPr="00CB13DC">
        <w:rPr>
          <w:rFonts w:ascii="Arial" w:hAnsi="Arial" w:cs="Arial"/>
          <w:b/>
        </w:rPr>
        <w:t>Current service cost (IAS 19)</w:t>
      </w:r>
    </w:p>
    <w:p w14:paraId="334952CA" w14:textId="77777777" w:rsidR="003B74DA" w:rsidRPr="00CB13DC" w:rsidRDefault="003B74DA" w:rsidP="003B74DA">
      <w:pPr>
        <w:spacing w:after="240"/>
        <w:jc w:val="both"/>
        <w:rPr>
          <w:rFonts w:ascii="Arial" w:hAnsi="Arial" w:cs="Arial"/>
        </w:rPr>
      </w:pPr>
      <w:r w:rsidRPr="00CB13DC">
        <w:rPr>
          <w:rFonts w:ascii="Arial" w:hAnsi="Arial" w:cs="Arial"/>
        </w:rPr>
        <w:t xml:space="preserve">The increase in the </w:t>
      </w:r>
      <w:r>
        <w:rPr>
          <w:rFonts w:ascii="Arial" w:hAnsi="Arial" w:cs="Arial"/>
        </w:rPr>
        <w:t>PCC</w:t>
      </w:r>
      <w:r w:rsidRPr="00CB13DC">
        <w:rPr>
          <w:rFonts w:ascii="Arial" w:hAnsi="Arial" w:cs="Arial"/>
        </w:rPr>
        <w:t xml:space="preserve">’s defined benefit scheme obligation (pension scheme liability) </w:t>
      </w:r>
      <w:proofErr w:type="gramStart"/>
      <w:r w:rsidRPr="00CB13DC">
        <w:rPr>
          <w:rFonts w:ascii="Arial" w:hAnsi="Arial" w:cs="Arial"/>
        </w:rPr>
        <w:t>as a result of</w:t>
      </w:r>
      <w:proofErr w:type="gramEnd"/>
      <w:r w:rsidRPr="00CB13DC">
        <w:rPr>
          <w:rFonts w:ascii="Arial" w:hAnsi="Arial" w:cs="Arial"/>
        </w:rPr>
        <w:t xml:space="preserve"> employees’ service during the current year.</w:t>
      </w:r>
    </w:p>
    <w:p w14:paraId="1EF9DBE4" w14:textId="77777777" w:rsidR="003B74DA" w:rsidRPr="00CB13DC" w:rsidRDefault="003B74DA" w:rsidP="003B74DA">
      <w:pPr>
        <w:jc w:val="both"/>
        <w:rPr>
          <w:rFonts w:ascii="Arial" w:hAnsi="Arial" w:cs="Arial"/>
          <w:b/>
        </w:rPr>
      </w:pPr>
      <w:r w:rsidRPr="00CB13DC">
        <w:rPr>
          <w:rFonts w:ascii="Arial" w:hAnsi="Arial" w:cs="Arial"/>
          <w:b/>
        </w:rPr>
        <w:t>Curtailment cost (IAS 19)</w:t>
      </w:r>
    </w:p>
    <w:p w14:paraId="72756F66" w14:textId="77777777" w:rsidR="003B74DA" w:rsidRDefault="003B74DA" w:rsidP="003B74DA">
      <w:pPr>
        <w:spacing w:after="240"/>
        <w:jc w:val="both"/>
        <w:rPr>
          <w:rFonts w:ascii="Arial" w:hAnsi="Arial" w:cs="Arial"/>
        </w:rPr>
      </w:pPr>
      <w:r w:rsidRPr="00CB13DC">
        <w:rPr>
          <w:rFonts w:ascii="Arial" w:hAnsi="Arial" w:cs="Arial"/>
        </w:rPr>
        <w:t xml:space="preserve">Additional pension scheme liabilities </w:t>
      </w:r>
      <w:proofErr w:type="gramStart"/>
      <w:r w:rsidRPr="00CB13DC">
        <w:rPr>
          <w:rFonts w:ascii="Arial" w:hAnsi="Arial" w:cs="Arial"/>
        </w:rPr>
        <w:t>as a result of</w:t>
      </w:r>
      <w:proofErr w:type="gramEnd"/>
      <w:r w:rsidRPr="00CB13DC">
        <w:rPr>
          <w:rFonts w:ascii="Arial" w:hAnsi="Arial" w:cs="Arial"/>
        </w:rPr>
        <w:t xml:space="preserve"> redundancies and efficiency retirements during the year.</w:t>
      </w:r>
    </w:p>
    <w:p w14:paraId="4D4FA6D6" w14:textId="1AC6D99F" w:rsidR="00836BBD" w:rsidRDefault="003B74DA" w:rsidP="003B74DA">
      <w:pPr>
        <w:spacing w:after="240"/>
        <w:jc w:val="both"/>
        <w:rPr>
          <w:rFonts w:ascii="Arial" w:hAnsi="Arial" w:cs="Arial"/>
        </w:rPr>
      </w:pPr>
      <w:r>
        <w:rPr>
          <w:rFonts w:ascii="Arial" w:hAnsi="Arial" w:cs="Arial"/>
          <w:b/>
        </w:rPr>
        <w:t>Current Value</w:t>
      </w:r>
    </w:p>
    <w:p w14:paraId="089F8A35" w14:textId="5E786F38" w:rsidR="003B74DA" w:rsidRPr="00B94FE0" w:rsidRDefault="003B74DA" w:rsidP="003B74DA">
      <w:pPr>
        <w:spacing w:after="240"/>
        <w:jc w:val="both"/>
        <w:rPr>
          <w:rFonts w:ascii="Arial" w:hAnsi="Arial" w:cs="Arial"/>
        </w:rPr>
      </w:pPr>
      <w:r>
        <w:rPr>
          <w:rFonts w:ascii="Arial" w:hAnsi="Arial" w:cs="Arial"/>
        </w:rPr>
        <w:t>For land and buildings, the amount that would be exchanged for the asset in its existing use.</w:t>
      </w:r>
    </w:p>
    <w:p w14:paraId="6B85D38A" w14:textId="77777777" w:rsidR="003B74DA" w:rsidRPr="00CB13DC" w:rsidRDefault="003B74DA" w:rsidP="003B74DA">
      <w:pPr>
        <w:jc w:val="both"/>
        <w:rPr>
          <w:rFonts w:ascii="Arial" w:hAnsi="Arial" w:cs="Arial"/>
          <w:b/>
        </w:rPr>
      </w:pPr>
      <w:r w:rsidRPr="00CB13DC">
        <w:rPr>
          <w:rFonts w:ascii="Arial" w:hAnsi="Arial" w:cs="Arial"/>
          <w:b/>
        </w:rPr>
        <w:t>Debtors</w:t>
      </w:r>
    </w:p>
    <w:p w14:paraId="08114F7F" w14:textId="77777777" w:rsidR="003B74DA" w:rsidRPr="00CB13DC" w:rsidRDefault="003B74DA" w:rsidP="003B74DA">
      <w:pPr>
        <w:spacing w:after="240"/>
        <w:jc w:val="both"/>
        <w:rPr>
          <w:rFonts w:ascii="Arial" w:hAnsi="Arial" w:cs="Arial"/>
        </w:rPr>
      </w:pPr>
      <w:r w:rsidRPr="00CB13DC">
        <w:rPr>
          <w:rFonts w:ascii="Arial" w:hAnsi="Arial" w:cs="Arial"/>
        </w:rPr>
        <w:t xml:space="preserve">Amounts owed to the </w:t>
      </w:r>
      <w:r>
        <w:rPr>
          <w:rFonts w:ascii="Arial" w:hAnsi="Arial" w:cs="Arial"/>
        </w:rPr>
        <w:t>Authority</w:t>
      </w:r>
      <w:r w:rsidRPr="00CB13DC">
        <w:rPr>
          <w:rFonts w:ascii="Arial" w:hAnsi="Arial" w:cs="Arial"/>
        </w:rPr>
        <w:t xml:space="preserve"> which had not been paid by the date of the balance sheet.</w:t>
      </w:r>
    </w:p>
    <w:p w14:paraId="5F4D4B72" w14:textId="77777777" w:rsidR="00836BBD" w:rsidRDefault="00836BBD">
      <w:pPr>
        <w:rPr>
          <w:rFonts w:ascii="Arial" w:hAnsi="Arial" w:cs="Arial"/>
          <w:b/>
        </w:rPr>
      </w:pPr>
      <w:r>
        <w:rPr>
          <w:rFonts w:ascii="Arial" w:hAnsi="Arial" w:cs="Arial"/>
          <w:b/>
        </w:rPr>
        <w:br w:type="page"/>
      </w:r>
    </w:p>
    <w:p w14:paraId="1B236014" w14:textId="395DD1FB" w:rsidR="003B74DA" w:rsidRPr="00CB13DC" w:rsidRDefault="003B74DA" w:rsidP="003B74DA">
      <w:pPr>
        <w:jc w:val="both"/>
        <w:rPr>
          <w:rFonts w:ascii="Arial" w:hAnsi="Arial" w:cs="Arial"/>
          <w:b/>
        </w:rPr>
      </w:pPr>
      <w:r w:rsidRPr="00CB13DC">
        <w:rPr>
          <w:rFonts w:ascii="Arial" w:hAnsi="Arial" w:cs="Arial"/>
          <w:b/>
        </w:rPr>
        <w:lastRenderedPageBreak/>
        <w:t>Defined Benefit Scheme</w:t>
      </w:r>
    </w:p>
    <w:p w14:paraId="3729A7CC" w14:textId="77777777" w:rsidR="003B74DA" w:rsidRPr="00CB13DC" w:rsidRDefault="003B74DA" w:rsidP="003B74DA">
      <w:pPr>
        <w:spacing w:after="240"/>
        <w:jc w:val="both"/>
        <w:rPr>
          <w:rFonts w:ascii="Arial" w:hAnsi="Arial" w:cs="Arial"/>
        </w:rPr>
      </w:pPr>
      <w:r w:rsidRPr="00CB13DC">
        <w:rPr>
          <w:rFonts w:ascii="Arial" w:hAnsi="Arial" w:cs="Arial"/>
        </w:rPr>
        <w:t>A pension or other retirement benefit scheme other than a defined contribution scheme. Usually, the scheme rules define the benefits independently of the contributions payable, and the benefits are not directly related to the investments of the scheme. The scheme may be funded or unfunded.</w:t>
      </w:r>
    </w:p>
    <w:p w14:paraId="5417105B" w14:textId="77777777" w:rsidR="003B74DA" w:rsidRPr="00CB13DC" w:rsidRDefault="003B74DA" w:rsidP="003B74DA">
      <w:pPr>
        <w:jc w:val="both"/>
        <w:rPr>
          <w:rFonts w:ascii="Arial" w:hAnsi="Arial" w:cs="Arial"/>
          <w:b/>
        </w:rPr>
      </w:pPr>
      <w:r w:rsidRPr="00CB13DC">
        <w:rPr>
          <w:rFonts w:ascii="Arial" w:hAnsi="Arial" w:cs="Arial"/>
          <w:b/>
        </w:rPr>
        <w:t>Depreciation</w:t>
      </w:r>
    </w:p>
    <w:p w14:paraId="13DB4555" w14:textId="77777777" w:rsidR="003B74DA" w:rsidRPr="00CB13DC" w:rsidRDefault="003B74DA" w:rsidP="003B74DA">
      <w:pPr>
        <w:spacing w:after="240"/>
        <w:jc w:val="both"/>
        <w:rPr>
          <w:rFonts w:ascii="Arial" w:hAnsi="Arial" w:cs="Arial"/>
        </w:rPr>
      </w:pPr>
      <w:r w:rsidRPr="00CB13DC">
        <w:rPr>
          <w:rFonts w:ascii="Arial" w:hAnsi="Arial" w:cs="Arial"/>
        </w:rPr>
        <w:t xml:space="preserve">Charges to the income and expenditure account to reflect a decrease in the value of assets </w:t>
      </w:r>
      <w:proofErr w:type="gramStart"/>
      <w:r w:rsidRPr="00CB13DC">
        <w:rPr>
          <w:rFonts w:ascii="Arial" w:hAnsi="Arial" w:cs="Arial"/>
        </w:rPr>
        <w:t>as a result of</w:t>
      </w:r>
      <w:proofErr w:type="gramEnd"/>
      <w:r w:rsidRPr="00CB13DC">
        <w:rPr>
          <w:rFonts w:ascii="Arial" w:hAnsi="Arial" w:cs="Arial"/>
        </w:rPr>
        <w:t xml:space="preserve"> use or ageing.</w:t>
      </w:r>
    </w:p>
    <w:p w14:paraId="5DFF9249" w14:textId="3A4F6542" w:rsidR="003B74DA" w:rsidRPr="00CB13DC" w:rsidRDefault="003B74DA" w:rsidP="003B74DA">
      <w:pPr>
        <w:jc w:val="both"/>
        <w:rPr>
          <w:rFonts w:ascii="Arial" w:hAnsi="Arial" w:cs="Arial"/>
          <w:b/>
        </w:rPr>
      </w:pPr>
      <w:r w:rsidRPr="00CB13DC">
        <w:rPr>
          <w:rFonts w:ascii="Arial" w:hAnsi="Arial" w:cs="Arial"/>
          <w:b/>
        </w:rPr>
        <w:t>Discretionary benefits</w:t>
      </w:r>
    </w:p>
    <w:p w14:paraId="309BF481" w14:textId="77777777" w:rsidR="003B74DA" w:rsidRPr="00CB13DC" w:rsidRDefault="003B74DA" w:rsidP="003B74DA">
      <w:pPr>
        <w:spacing w:after="240"/>
        <w:jc w:val="both"/>
        <w:rPr>
          <w:rFonts w:ascii="Arial" w:hAnsi="Arial" w:cs="Arial"/>
        </w:rPr>
      </w:pPr>
      <w:r w:rsidRPr="00CB13DC">
        <w:rPr>
          <w:rFonts w:ascii="Arial" w:hAnsi="Arial" w:cs="Arial"/>
        </w:rPr>
        <w:t xml:space="preserve">Retirement benefits which the employer has no legal, contractual or constructive obligation to award and are awarded under the </w:t>
      </w:r>
      <w:r>
        <w:rPr>
          <w:rFonts w:ascii="Arial" w:hAnsi="Arial" w:cs="Arial"/>
        </w:rPr>
        <w:t>PCC</w:t>
      </w:r>
      <w:r w:rsidRPr="00CB13DC">
        <w:rPr>
          <w:rFonts w:ascii="Arial" w:hAnsi="Arial" w:cs="Arial"/>
        </w:rPr>
        <w:t>’s discretionary powers.</w:t>
      </w:r>
    </w:p>
    <w:p w14:paraId="69FFC79C" w14:textId="77777777" w:rsidR="003B74DA" w:rsidRPr="00CB13DC" w:rsidRDefault="003B74DA" w:rsidP="003B74DA">
      <w:pPr>
        <w:jc w:val="both"/>
        <w:rPr>
          <w:rFonts w:ascii="Arial" w:hAnsi="Arial" w:cs="Arial"/>
          <w:b/>
        </w:rPr>
      </w:pPr>
      <w:r w:rsidRPr="00CB13DC">
        <w:rPr>
          <w:rFonts w:ascii="Arial" w:hAnsi="Arial" w:cs="Arial"/>
          <w:b/>
        </w:rPr>
        <w:t>Devolved financial management (DFM)</w:t>
      </w:r>
    </w:p>
    <w:p w14:paraId="1499A835" w14:textId="77777777" w:rsidR="003B74DA" w:rsidRPr="00CB13DC" w:rsidRDefault="003B74DA" w:rsidP="003B74DA">
      <w:pPr>
        <w:spacing w:after="240"/>
        <w:jc w:val="both"/>
        <w:rPr>
          <w:rFonts w:ascii="Arial" w:hAnsi="Arial" w:cs="Arial"/>
        </w:rPr>
      </w:pPr>
      <w:r w:rsidRPr="00CB13DC">
        <w:rPr>
          <w:rFonts w:ascii="Arial" w:hAnsi="Arial" w:cs="Arial"/>
        </w:rPr>
        <w:t xml:space="preserve">The </w:t>
      </w:r>
      <w:r>
        <w:rPr>
          <w:rFonts w:ascii="Arial" w:hAnsi="Arial" w:cs="Arial"/>
        </w:rPr>
        <w:t>PCC</w:t>
      </w:r>
      <w:r w:rsidRPr="00CB13DC">
        <w:rPr>
          <w:rFonts w:ascii="Arial" w:hAnsi="Arial" w:cs="Arial"/>
        </w:rPr>
        <w:t>’s budget management system. The budget is managed by those who make the decisions in each area of responsibility (‘accountable officers’).</w:t>
      </w:r>
    </w:p>
    <w:p w14:paraId="65D6A862" w14:textId="77777777" w:rsidR="003B74DA" w:rsidRPr="00CB13DC" w:rsidRDefault="003B74DA" w:rsidP="003B74DA">
      <w:pPr>
        <w:jc w:val="both"/>
        <w:rPr>
          <w:rFonts w:ascii="Arial" w:hAnsi="Arial" w:cs="Arial"/>
          <w:b/>
        </w:rPr>
      </w:pPr>
      <w:r w:rsidRPr="00CB13DC">
        <w:rPr>
          <w:rFonts w:ascii="Arial" w:hAnsi="Arial" w:cs="Arial"/>
          <w:b/>
        </w:rPr>
        <w:t>Employer’s pension contributions</w:t>
      </w:r>
    </w:p>
    <w:p w14:paraId="77069B1A" w14:textId="77777777" w:rsidR="003B74DA" w:rsidRPr="00CB13DC" w:rsidRDefault="003B74DA" w:rsidP="003B74DA">
      <w:pPr>
        <w:spacing w:after="240"/>
        <w:jc w:val="both"/>
        <w:rPr>
          <w:rFonts w:ascii="Arial" w:hAnsi="Arial" w:cs="Arial"/>
        </w:rPr>
      </w:pPr>
      <w:r w:rsidRPr="00CB13DC">
        <w:rPr>
          <w:rFonts w:ascii="Arial" w:hAnsi="Arial" w:cs="Arial"/>
        </w:rPr>
        <w:t xml:space="preserve">Payments to the pension scheme made by the </w:t>
      </w:r>
      <w:r>
        <w:rPr>
          <w:rFonts w:ascii="Arial" w:hAnsi="Arial" w:cs="Arial"/>
        </w:rPr>
        <w:t>Authority</w:t>
      </w:r>
      <w:r w:rsidRPr="00CB13DC">
        <w:rPr>
          <w:rFonts w:ascii="Arial" w:hAnsi="Arial" w:cs="Arial"/>
        </w:rPr>
        <w:t xml:space="preserve"> for current employees.</w:t>
      </w:r>
    </w:p>
    <w:p w14:paraId="53793D0A" w14:textId="77777777" w:rsidR="003B74DA" w:rsidRPr="00CB13DC" w:rsidRDefault="003B74DA" w:rsidP="003B74DA">
      <w:pPr>
        <w:jc w:val="both"/>
        <w:rPr>
          <w:rFonts w:ascii="Arial" w:hAnsi="Arial" w:cs="Arial"/>
          <w:b/>
        </w:rPr>
      </w:pPr>
      <w:r w:rsidRPr="00CB13DC">
        <w:rPr>
          <w:rFonts w:ascii="Arial" w:hAnsi="Arial" w:cs="Arial"/>
          <w:b/>
        </w:rPr>
        <w:t>Expected return on assets (IAS 19)</w:t>
      </w:r>
    </w:p>
    <w:p w14:paraId="6D278791" w14:textId="77777777" w:rsidR="003B74DA" w:rsidRPr="00CB13DC" w:rsidRDefault="003B74DA" w:rsidP="003B74DA">
      <w:pPr>
        <w:spacing w:after="240"/>
        <w:jc w:val="both"/>
        <w:rPr>
          <w:rFonts w:ascii="Arial" w:hAnsi="Arial" w:cs="Arial"/>
        </w:rPr>
      </w:pPr>
      <w:r w:rsidRPr="00CB13DC">
        <w:rPr>
          <w:rFonts w:ascii="Arial" w:hAnsi="Arial" w:cs="Arial"/>
        </w:rPr>
        <w:t>The average rate of return expected on investment assets held by the pension scheme.</w:t>
      </w:r>
    </w:p>
    <w:p w14:paraId="2088A4D6" w14:textId="77777777" w:rsidR="003B74DA" w:rsidRPr="00CB13DC" w:rsidRDefault="003B74DA" w:rsidP="003B74DA">
      <w:pPr>
        <w:jc w:val="both"/>
        <w:rPr>
          <w:rFonts w:ascii="Arial" w:hAnsi="Arial" w:cs="Arial"/>
          <w:b/>
        </w:rPr>
      </w:pPr>
      <w:r w:rsidRPr="00CB13DC">
        <w:rPr>
          <w:rFonts w:ascii="Arial" w:hAnsi="Arial" w:cs="Arial"/>
          <w:b/>
        </w:rPr>
        <w:t>Fair value</w:t>
      </w:r>
    </w:p>
    <w:p w14:paraId="35287398" w14:textId="77777777" w:rsidR="003B74DA" w:rsidRPr="00CB13DC" w:rsidRDefault="003B74DA" w:rsidP="003B74DA">
      <w:pPr>
        <w:spacing w:after="240"/>
        <w:jc w:val="both"/>
        <w:rPr>
          <w:rFonts w:ascii="Arial" w:hAnsi="Arial" w:cs="Arial"/>
        </w:rPr>
      </w:pPr>
      <w:r w:rsidRPr="00CB13DC">
        <w:rPr>
          <w:rFonts w:ascii="Arial" w:hAnsi="Arial" w:cs="Arial"/>
        </w:rPr>
        <w:t xml:space="preserve">Fair value is the </w:t>
      </w:r>
      <w:r>
        <w:rPr>
          <w:rFonts w:ascii="Arial" w:hAnsi="Arial" w:cs="Arial"/>
        </w:rPr>
        <w:t>price that would be received to sell an asset or paid to transfer a liability in an orderly transaction between market participants at the measurement date</w:t>
      </w:r>
      <w:r w:rsidRPr="00CB13DC">
        <w:rPr>
          <w:rFonts w:ascii="Arial" w:hAnsi="Arial" w:cs="Arial"/>
        </w:rPr>
        <w:t>.</w:t>
      </w:r>
    </w:p>
    <w:p w14:paraId="6BE75D7E" w14:textId="77777777" w:rsidR="003B74DA" w:rsidRPr="00CB13DC" w:rsidRDefault="003B74DA" w:rsidP="003B74DA">
      <w:pPr>
        <w:jc w:val="both"/>
        <w:rPr>
          <w:rFonts w:ascii="Arial" w:hAnsi="Arial" w:cs="Arial"/>
          <w:b/>
        </w:rPr>
      </w:pPr>
      <w:r w:rsidRPr="00CB13DC">
        <w:rPr>
          <w:rFonts w:ascii="Arial" w:hAnsi="Arial" w:cs="Arial"/>
          <w:b/>
        </w:rPr>
        <w:t>Financing charges</w:t>
      </w:r>
    </w:p>
    <w:p w14:paraId="25FA8B5C" w14:textId="77777777" w:rsidR="003B74DA" w:rsidRPr="00CB13DC" w:rsidRDefault="003B74DA" w:rsidP="003B74DA">
      <w:pPr>
        <w:spacing w:after="240"/>
        <w:jc w:val="both"/>
        <w:rPr>
          <w:rFonts w:ascii="Arial" w:hAnsi="Arial" w:cs="Arial"/>
        </w:rPr>
      </w:pPr>
      <w:r w:rsidRPr="00CB13DC">
        <w:rPr>
          <w:rFonts w:ascii="Arial" w:hAnsi="Arial" w:cs="Arial"/>
        </w:rPr>
        <w:t xml:space="preserve">Repayments on amounts loaned to the </w:t>
      </w:r>
      <w:r>
        <w:rPr>
          <w:rFonts w:ascii="Arial" w:hAnsi="Arial" w:cs="Arial"/>
        </w:rPr>
        <w:t>PCC</w:t>
      </w:r>
      <w:r w:rsidRPr="00CB13DC">
        <w:rPr>
          <w:rFonts w:ascii="Arial" w:hAnsi="Arial" w:cs="Arial"/>
        </w:rPr>
        <w:t xml:space="preserve"> by external organisations. These charges include interest as well as repayment of the amount borrowed (the ‘principal’).</w:t>
      </w:r>
    </w:p>
    <w:p w14:paraId="17C10125" w14:textId="77777777" w:rsidR="003B74DA" w:rsidRPr="00CB13DC" w:rsidRDefault="003B74DA" w:rsidP="003B74DA">
      <w:pPr>
        <w:spacing w:after="240"/>
        <w:jc w:val="both"/>
        <w:rPr>
          <w:rFonts w:ascii="Arial" w:hAnsi="Arial" w:cs="Arial"/>
          <w:b/>
        </w:rPr>
      </w:pPr>
      <w:r w:rsidRPr="00CB13DC">
        <w:rPr>
          <w:rFonts w:ascii="Arial" w:hAnsi="Arial" w:cs="Arial"/>
          <w:b/>
        </w:rPr>
        <w:t>Financial instrument</w:t>
      </w:r>
    </w:p>
    <w:p w14:paraId="6255AF2C" w14:textId="77777777" w:rsidR="003B74DA" w:rsidRPr="00CB13DC" w:rsidRDefault="003B74DA" w:rsidP="003B74DA">
      <w:pPr>
        <w:spacing w:after="240"/>
        <w:jc w:val="both"/>
        <w:rPr>
          <w:rFonts w:ascii="Arial" w:hAnsi="Arial" w:cs="Arial"/>
        </w:rPr>
      </w:pPr>
      <w:r w:rsidRPr="00CB13DC">
        <w:rPr>
          <w:rFonts w:ascii="Arial" w:hAnsi="Arial" w:cs="Arial"/>
        </w:rPr>
        <w:t>A financial instrument can be a financial asset or a financial liability.  A financial asset is a contract such as an investment or loan representing amounts due to the authority. A financial liability is a contract such as borrowing representing amounts owed by the authority.</w:t>
      </w:r>
    </w:p>
    <w:p w14:paraId="0C2E16CF" w14:textId="77777777" w:rsidR="003B74DA" w:rsidRPr="00CB13DC" w:rsidRDefault="003B74DA" w:rsidP="003B74DA">
      <w:pPr>
        <w:jc w:val="both"/>
        <w:rPr>
          <w:rFonts w:ascii="Arial" w:hAnsi="Arial" w:cs="Arial"/>
          <w:b/>
        </w:rPr>
      </w:pPr>
      <w:r>
        <w:rPr>
          <w:rFonts w:ascii="Arial" w:hAnsi="Arial" w:cs="Arial"/>
          <w:b/>
        </w:rPr>
        <w:t xml:space="preserve">Non-current </w:t>
      </w:r>
      <w:r w:rsidRPr="00CB13DC">
        <w:rPr>
          <w:rFonts w:ascii="Arial" w:hAnsi="Arial" w:cs="Arial"/>
          <w:b/>
        </w:rPr>
        <w:t>assets</w:t>
      </w:r>
    </w:p>
    <w:p w14:paraId="5F2DC549" w14:textId="77777777" w:rsidR="003B74DA" w:rsidRPr="00CB13DC" w:rsidRDefault="003B74DA" w:rsidP="003B74DA">
      <w:pPr>
        <w:spacing w:after="240"/>
        <w:jc w:val="both"/>
        <w:rPr>
          <w:rFonts w:ascii="Arial" w:hAnsi="Arial" w:cs="Arial"/>
        </w:rPr>
      </w:pPr>
      <w:r w:rsidRPr="00CB13DC">
        <w:rPr>
          <w:rFonts w:ascii="Arial" w:hAnsi="Arial" w:cs="Arial"/>
        </w:rPr>
        <w:t>Assets intended to be used for several years – for example, buildings, machinery and vehicles.</w:t>
      </w:r>
    </w:p>
    <w:p w14:paraId="79F6634C" w14:textId="77777777" w:rsidR="003B74DA" w:rsidRPr="00CB13DC" w:rsidRDefault="003B74DA" w:rsidP="003B74DA">
      <w:pPr>
        <w:jc w:val="both"/>
        <w:rPr>
          <w:rFonts w:ascii="Arial" w:hAnsi="Arial" w:cs="Arial"/>
          <w:b/>
        </w:rPr>
      </w:pPr>
      <w:r w:rsidRPr="00CB13DC">
        <w:rPr>
          <w:rFonts w:ascii="Arial" w:hAnsi="Arial" w:cs="Arial"/>
          <w:b/>
        </w:rPr>
        <w:t>General Fund</w:t>
      </w:r>
    </w:p>
    <w:p w14:paraId="7C4C5C62" w14:textId="77777777" w:rsidR="003B74DA" w:rsidRPr="00CB13DC" w:rsidRDefault="003B74DA" w:rsidP="003B74DA">
      <w:pPr>
        <w:spacing w:after="240"/>
        <w:jc w:val="both"/>
        <w:rPr>
          <w:rFonts w:ascii="Arial" w:hAnsi="Arial" w:cs="Arial"/>
          <w:b/>
        </w:rPr>
      </w:pPr>
      <w:r w:rsidRPr="00CB13DC">
        <w:rPr>
          <w:rFonts w:ascii="Arial" w:hAnsi="Arial" w:cs="Arial"/>
        </w:rPr>
        <w:t xml:space="preserve">The main revenue fund used to provide </w:t>
      </w:r>
      <w:r>
        <w:rPr>
          <w:rFonts w:ascii="Arial" w:hAnsi="Arial" w:cs="Arial"/>
        </w:rPr>
        <w:t>police</w:t>
      </w:r>
      <w:r w:rsidRPr="00CB13DC">
        <w:rPr>
          <w:rFonts w:ascii="Arial" w:hAnsi="Arial" w:cs="Arial"/>
        </w:rPr>
        <w:t xml:space="preserve"> services. Income to the fund consists of the precept on the collection funds, government grants and other income.</w:t>
      </w:r>
    </w:p>
    <w:p w14:paraId="18810C85" w14:textId="77777777" w:rsidR="003B74DA" w:rsidRPr="00CB13DC" w:rsidRDefault="003B74DA" w:rsidP="003B74DA">
      <w:pPr>
        <w:jc w:val="both"/>
        <w:rPr>
          <w:rFonts w:ascii="Arial" w:hAnsi="Arial" w:cs="Arial"/>
          <w:b/>
        </w:rPr>
      </w:pPr>
      <w:r w:rsidRPr="00CB13DC">
        <w:rPr>
          <w:rFonts w:ascii="Arial" w:hAnsi="Arial" w:cs="Arial"/>
          <w:b/>
        </w:rPr>
        <w:t>Government grants</w:t>
      </w:r>
    </w:p>
    <w:p w14:paraId="29CA19F8" w14:textId="77777777" w:rsidR="003B74DA" w:rsidRPr="00CB13DC" w:rsidRDefault="003B74DA" w:rsidP="003B74DA">
      <w:pPr>
        <w:spacing w:after="240"/>
        <w:jc w:val="both"/>
        <w:rPr>
          <w:rFonts w:ascii="Arial" w:hAnsi="Arial" w:cs="Arial"/>
        </w:rPr>
      </w:pPr>
      <w:r w:rsidRPr="00CB13DC">
        <w:rPr>
          <w:rFonts w:ascii="Arial" w:hAnsi="Arial" w:cs="Arial"/>
        </w:rPr>
        <w:t>Assistance by government and inter-government agencies and similar bodies, whether local, national or international, in the form of cash or transfers of assets to an authority in return for past or future compliance with certain conditions relating to the activities of the authority.</w:t>
      </w:r>
    </w:p>
    <w:p w14:paraId="4952F5CB" w14:textId="77777777" w:rsidR="003B74DA" w:rsidRPr="00CB13DC" w:rsidRDefault="003B74DA" w:rsidP="003B74DA">
      <w:pPr>
        <w:jc w:val="both"/>
        <w:rPr>
          <w:rFonts w:ascii="Arial" w:hAnsi="Arial" w:cs="Arial"/>
          <w:b/>
        </w:rPr>
      </w:pPr>
      <w:r w:rsidRPr="00CB13DC">
        <w:rPr>
          <w:rFonts w:ascii="Arial" w:hAnsi="Arial" w:cs="Arial"/>
          <w:b/>
        </w:rPr>
        <w:t>Historic cost</w:t>
      </w:r>
    </w:p>
    <w:p w14:paraId="0EAC3727" w14:textId="77777777" w:rsidR="003B74DA" w:rsidRPr="00CB13DC" w:rsidRDefault="003B74DA" w:rsidP="003B74DA">
      <w:pPr>
        <w:jc w:val="both"/>
        <w:rPr>
          <w:rFonts w:ascii="Arial" w:hAnsi="Arial" w:cs="Arial"/>
        </w:rPr>
      </w:pPr>
      <w:r w:rsidRPr="00CB13DC">
        <w:rPr>
          <w:rFonts w:ascii="Arial" w:hAnsi="Arial" w:cs="Arial"/>
        </w:rPr>
        <w:t>The cost of an asset at the time it was bought.</w:t>
      </w:r>
    </w:p>
    <w:p w14:paraId="7FCC94CD" w14:textId="77777777" w:rsidR="003B74DA" w:rsidRPr="00CB13DC" w:rsidRDefault="003B74DA" w:rsidP="003B74DA">
      <w:pPr>
        <w:jc w:val="both"/>
        <w:rPr>
          <w:rFonts w:ascii="Arial" w:hAnsi="Arial" w:cs="Arial"/>
        </w:rPr>
      </w:pPr>
    </w:p>
    <w:p w14:paraId="6675812B" w14:textId="77777777" w:rsidR="003B74DA" w:rsidRPr="00CB13DC" w:rsidRDefault="003B74DA" w:rsidP="003B74DA">
      <w:pPr>
        <w:jc w:val="both"/>
        <w:rPr>
          <w:rFonts w:ascii="Arial" w:hAnsi="Arial" w:cs="Arial"/>
          <w:b/>
        </w:rPr>
      </w:pPr>
      <w:r w:rsidRPr="00CB13DC">
        <w:rPr>
          <w:rFonts w:ascii="Arial" w:hAnsi="Arial" w:cs="Arial"/>
          <w:b/>
        </w:rPr>
        <w:t>Impairment</w:t>
      </w:r>
    </w:p>
    <w:p w14:paraId="44E942D6" w14:textId="77777777" w:rsidR="003B74DA" w:rsidRPr="00CB13DC" w:rsidRDefault="003B74DA" w:rsidP="003B74DA">
      <w:pPr>
        <w:jc w:val="both"/>
        <w:rPr>
          <w:rFonts w:ascii="Arial" w:hAnsi="Arial" w:cs="Arial"/>
        </w:rPr>
      </w:pPr>
      <w:r w:rsidRPr="00CB13DC">
        <w:rPr>
          <w:rFonts w:ascii="Arial" w:hAnsi="Arial" w:cs="Arial"/>
        </w:rPr>
        <w:t>This is where the useful working life of an asset is significantly reduced – for example, because of damage to a piece of equipment or changes in technology which mean that a service can be provided more efficiently in other ways.  When the amount at which the asset is held exceeds the amount the authority could receive for the asset, an impairment loss is recognised.</w:t>
      </w:r>
    </w:p>
    <w:p w14:paraId="43B5DB04" w14:textId="77777777" w:rsidR="003B74DA" w:rsidRDefault="003B74DA" w:rsidP="003B74DA">
      <w:pPr>
        <w:jc w:val="both"/>
        <w:rPr>
          <w:rFonts w:ascii="Arial" w:hAnsi="Arial" w:cs="Arial"/>
          <w:b/>
        </w:rPr>
      </w:pPr>
    </w:p>
    <w:p w14:paraId="32A00909" w14:textId="77777777" w:rsidR="003B74DA" w:rsidRPr="00CB13DC" w:rsidRDefault="003B74DA" w:rsidP="003B74DA">
      <w:pPr>
        <w:jc w:val="both"/>
        <w:rPr>
          <w:rFonts w:ascii="Arial" w:hAnsi="Arial" w:cs="Arial"/>
          <w:b/>
        </w:rPr>
      </w:pPr>
      <w:r w:rsidRPr="00CB13DC">
        <w:rPr>
          <w:rFonts w:ascii="Arial" w:hAnsi="Arial" w:cs="Arial"/>
          <w:b/>
        </w:rPr>
        <w:t>Intangible assets</w:t>
      </w:r>
    </w:p>
    <w:p w14:paraId="40877D47" w14:textId="77777777" w:rsidR="003B74DA" w:rsidRPr="00CB13DC" w:rsidRDefault="003B74DA" w:rsidP="003B74DA">
      <w:pPr>
        <w:spacing w:after="240"/>
        <w:jc w:val="both"/>
        <w:rPr>
          <w:rFonts w:ascii="Arial" w:hAnsi="Arial" w:cs="Arial"/>
        </w:rPr>
      </w:pPr>
      <w:r w:rsidRPr="00CB13DC">
        <w:rPr>
          <w:rFonts w:ascii="Arial" w:hAnsi="Arial" w:cs="Arial"/>
        </w:rPr>
        <w:t xml:space="preserve">Assets which do not have a physical form. Examples include </w:t>
      </w:r>
      <w:r>
        <w:rPr>
          <w:rFonts w:ascii="Arial" w:hAnsi="Arial" w:cs="Arial"/>
        </w:rPr>
        <w:t xml:space="preserve">internally developed systems, </w:t>
      </w:r>
      <w:r w:rsidRPr="00CB13DC">
        <w:rPr>
          <w:rFonts w:ascii="Arial" w:hAnsi="Arial" w:cs="Arial"/>
        </w:rPr>
        <w:t>computer software, brand names, patents and copyrights.</w:t>
      </w:r>
    </w:p>
    <w:p w14:paraId="28DDF2EC" w14:textId="77777777" w:rsidR="003B74DA" w:rsidRPr="00CB13DC" w:rsidRDefault="003B74DA" w:rsidP="003B74DA">
      <w:pPr>
        <w:jc w:val="both"/>
        <w:rPr>
          <w:rFonts w:ascii="Arial" w:hAnsi="Arial" w:cs="Arial"/>
          <w:b/>
        </w:rPr>
      </w:pPr>
      <w:r w:rsidRPr="00CB13DC">
        <w:rPr>
          <w:rFonts w:ascii="Arial" w:hAnsi="Arial" w:cs="Arial"/>
          <w:b/>
        </w:rPr>
        <w:lastRenderedPageBreak/>
        <w:t>Interest cost (pensions)</w:t>
      </w:r>
    </w:p>
    <w:p w14:paraId="65BD1150" w14:textId="77777777" w:rsidR="003B74DA" w:rsidRPr="00CB13DC" w:rsidRDefault="003B74DA" w:rsidP="003B74DA">
      <w:pPr>
        <w:spacing w:after="240"/>
        <w:jc w:val="both"/>
        <w:rPr>
          <w:rFonts w:ascii="Arial" w:hAnsi="Arial" w:cs="Arial"/>
        </w:rPr>
      </w:pPr>
      <w:r w:rsidRPr="00CB13DC">
        <w:rPr>
          <w:rFonts w:ascii="Arial" w:hAnsi="Arial" w:cs="Arial"/>
        </w:rPr>
        <w:t>The expected increase in the value of pension scheme liabilities because benefits are one year closer to being paid.</w:t>
      </w:r>
    </w:p>
    <w:p w14:paraId="214E1224" w14:textId="3F922A2D" w:rsidR="003B74DA" w:rsidRPr="00CB13DC" w:rsidRDefault="003B74DA" w:rsidP="003B74DA">
      <w:pPr>
        <w:jc w:val="both"/>
        <w:rPr>
          <w:rFonts w:ascii="Arial" w:hAnsi="Arial" w:cs="Arial"/>
          <w:b/>
        </w:rPr>
      </w:pPr>
      <w:r>
        <w:rPr>
          <w:rFonts w:ascii="Arial" w:hAnsi="Arial" w:cs="Arial"/>
          <w:b/>
        </w:rPr>
        <w:t>Inventory</w:t>
      </w:r>
    </w:p>
    <w:p w14:paraId="4B1AAE04" w14:textId="77777777" w:rsidR="003B74DA" w:rsidRPr="00CB13DC" w:rsidRDefault="003B74DA" w:rsidP="003B74DA">
      <w:pPr>
        <w:jc w:val="both"/>
        <w:rPr>
          <w:rFonts w:ascii="Arial" w:hAnsi="Arial" w:cs="Arial"/>
        </w:rPr>
      </w:pPr>
      <w:r w:rsidRPr="00CB13DC">
        <w:rPr>
          <w:rFonts w:ascii="Arial" w:hAnsi="Arial" w:cs="Arial"/>
        </w:rPr>
        <w:t>Raw materials and consumable goods bought but not yet used at the end of the accounting period.</w:t>
      </w:r>
    </w:p>
    <w:p w14:paraId="5992BF78" w14:textId="77777777" w:rsidR="003B74DA" w:rsidRPr="00CB13DC" w:rsidRDefault="003B74DA" w:rsidP="003B74DA">
      <w:pPr>
        <w:jc w:val="both"/>
        <w:rPr>
          <w:rFonts w:ascii="Arial" w:hAnsi="Arial" w:cs="Arial"/>
        </w:rPr>
      </w:pPr>
    </w:p>
    <w:p w14:paraId="6DC84DA3" w14:textId="226BE2E3" w:rsidR="003B74DA" w:rsidRPr="00CB13DC" w:rsidRDefault="003B74DA" w:rsidP="003B74DA">
      <w:pPr>
        <w:spacing w:after="240"/>
        <w:jc w:val="both"/>
        <w:rPr>
          <w:rFonts w:ascii="Arial" w:hAnsi="Arial" w:cs="Arial"/>
        </w:rPr>
      </w:pPr>
      <w:r w:rsidRPr="00CB13DC">
        <w:rPr>
          <w:rFonts w:ascii="Arial" w:hAnsi="Arial" w:cs="Arial"/>
          <w:b/>
        </w:rPr>
        <w:t xml:space="preserve">Investing </w:t>
      </w:r>
      <w:r w:rsidRPr="00CB13DC">
        <w:rPr>
          <w:rFonts w:ascii="Arial" w:hAnsi="Arial" w:cs="Arial"/>
        </w:rPr>
        <w:t>The acquisition of and disposal of long</w:t>
      </w:r>
      <w:r w:rsidR="00D25243">
        <w:rPr>
          <w:rFonts w:ascii="Arial" w:hAnsi="Arial" w:cs="Arial"/>
        </w:rPr>
        <w:t>-</w:t>
      </w:r>
      <w:r w:rsidRPr="00CB13DC">
        <w:rPr>
          <w:rFonts w:ascii="Arial" w:hAnsi="Arial" w:cs="Arial"/>
        </w:rPr>
        <w:t>term assets and other investments not included as part of cash equivalents.</w:t>
      </w:r>
    </w:p>
    <w:p w14:paraId="075ADE2A" w14:textId="3294217C" w:rsidR="003B74DA" w:rsidRPr="00CB13DC" w:rsidRDefault="003B74DA" w:rsidP="003B74DA">
      <w:pPr>
        <w:jc w:val="both"/>
        <w:rPr>
          <w:rFonts w:ascii="Arial" w:hAnsi="Arial" w:cs="Arial"/>
          <w:b/>
        </w:rPr>
      </w:pPr>
      <w:r w:rsidRPr="00CB13DC">
        <w:rPr>
          <w:rFonts w:ascii="Arial" w:hAnsi="Arial" w:cs="Arial"/>
          <w:b/>
        </w:rPr>
        <w:t>Investment Property</w:t>
      </w:r>
    </w:p>
    <w:p w14:paraId="44099706" w14:textId="77777777" w:rsidR="003B74DA" w:rsidRDefault="003B74DA" w:rsidP="003B74DA">
      <w:pPr>
        <w:jc w:val="both"/>
        <w:rPr>
          <w:rFonts w:ascii="Arial" w:hAnsi="Arial" w:cs="Arial"/>
        </w:rPr>
      </w:pPr>
      <w:r w:rsidRPr="00CB13DC">
        <w:rPr>
          <w:rFonts w:ascii="Arial" w:hAnsi="Arial" w:cs="Arial"/>
        </w:rPr>
        <w:t>Property which is held solely to earn rentals or for capital appreciation, not as part of service delivery.</w:t>
      </w:r>
    </w:p>
    <w:p w14:paraId="25C33AF1" w14:textId="77777777" w:rsidR="007D1DE0" w:rsidRDefault="007D1DE0" w:rsidP="003B74DA">
      <w:pPr>
        <w:jc w:val="both"/>
        <w:rPr>
          <w:rFonts w:ascii="Arial" w:hAnsi="Arial" w:cs="Arial"/>
        </w:rPr>
      </w:pPr>
    </w:p>
    <w:p w14:paraId="4929925F" w14:textId="15C26755" w:rsidR="007D1DE0" w:rsidRPr="00AD2D75" w:rsidRDefault="007D1DE0" w:rsidP="003B74DA">
      <w:pPr>
        <w:jc w:val="both"/>
        <w:rPr>
          <w:rFonts w:ascii="Arial" w:hAnsi="Arial" w:cs="Arial"/>
          <w:b/>
          <w:bCs/>
        </w:rPr>
      </w:pPr>
      <w:r w:rsidRPr="00AD2D75">
        <w:rPr>
          <w:rFonts w:ascii="Arial" w:hAnsi="Arial" w:cs="Arial"/>
          <w:b/>
          <w:bCs/>
        </w:rPr>
        <w:t>Lease</w:t>
      </w:r>
    </w:p>
    <w:p w14:paraId="56044ECF" w14:textId="1D156379" w:rsidR="00AD2D75" w:rsidRPr="00CB13DC" w:rsidRDefault="00AD2D75" w:rsidP="003B74DA">
      <w:pPr>
        <w:jc w:val="both"/>
        <w:rPr>
          <w:rFonts w:ascii="Arial" w:hAnsi="Arial" w:cs="Arial"/>
        </w:rPr>
      </w:pPr>
      <w:r>
        <w:rPr>
          <w:rFonts w:ascii="Arial" w:hAnsi="Arial" w:cs="Arial"/>
        </w:rPr>
        <w:t>A</w:t>
      </w:r>
      <w:r w:rsidRPr="00AD2D75">
        <w:rPr>
          <w:rFonts w:ascii="Arial" w:hAnsi="Arial" w:cs="Arial"/>
        </w:rPr>
        <w:t xml:space="preserve"> contract, or part of a contract, that conveys the right to use an asset (the underlying asset) for </w:t>
      </w:r>
      <w:proofErr w:type="gramStart"/>
      <w:r w:rsidRPr="00AD2D75">
        <w:rPr>
          <w:rFonts w:ascii="Arial" w:hAnsi="Arial" w:cs="Arial"/>
        </w:rPr>
        <w:t>a period of time</w:t>
      </w:r>
      <w:proofErr w:type="gramEnd"/>
      <w:r w:rsidRPr="00AD2D75">
        <w:rPr>
          <w:rFonts w:ascii="Arial" w:hAnsi="Arial" w:cs="Arial"/>
        </w:rPr>
        <w:t>.</w:t>
      </w:r>
    </w:p>
    <w:p w14:paraId="3EF389A3" w14:textId="77777777" w:rsidR="003B74DA" w:rsidRPr="00CB13DC" w:rsidRDefault="003B74DA" w:rsidP="003B74DA">
      <w:pPr>
        <w:jc w:val="both"/>
        <w:rPr>
          <w:rFonts w:ascii="Arial" w:hAnsi="Arial" w:cs="Arial"/>
        </w:rPr>
      </w:pPr>
    </w:p>
    <w:p w14:paraId="1FF3FE7E" w14:textId="77777777" w:rsidR="003B74DA" w:rsidRPr="00CB13DC" w:rsidRDefault="003B74DA" w:rsidP="003B74DA">
      <w:pPr>
        <w:jc w:val="both"/>
        <w:rPr>
          <w:rFonts w:ascii="Arial" w:hAnsi="Arial" w:cs="Arial"/>
          <w:b/>
        </w:rPr>
      </w:pPr>
      <w:r w:rsidRPr="00CB13DC">
        <w:rPr>
          <w:rFonts w:ascii="Arial" w:hAnsi="Arial" w:cs="Arial"/>
          <w:b/>
        </w:rPr>
        <w:t>Market value</w:t>
      </w:r>
    </w:p>
    <w:p w14:paraId="6E76FE2A" w14:textId="77777777" w:rsidR="003B74DA" w:rsidRPr="00CB13DC" w:rsidRDefault="003B74DA" w:rsidP="003B74DA">
      <w:pPr>
        <w:spacing w:after="240"/>
        <w:jc w:val="both"/>
        <w:rPr>
          <w:rFonts w:ascii="Arial" w:hAnsi="Arial" w:cs="Arial"/>
        </w:rPr>
      </w:pPr>
      <w:r w:rsidRPr="00CB13DC">
        <w:rPr>
          <w:rFonts w:ascii="Arial" w:hAnsi="Arial" w:cs="Arial"/>
        </w:rPr>
        <w:t>The monetary value of an asset as determined by current market conditions at the balance sheet date.</w:t>
      </w:r>
    </w:p>
    <w:p w14:paraId="66017BA7" w14:textId="77777777" w:rsidR="003B74DA" w:rsidRPr="00CB13DC" w:rsidRDefault="003B74DA" w:rsidP="003B74DA">
      <w:pPr>
        <w:jc w:val="both"/>
        <w:rPr>
          <w:rFonts w:ascii="Arial" w:hAnsi="Arial" w:cs="Arial"/>
          <w:b/>
        </w:rPr>
      </w:pPr>
      <w:r w:rsidRPr="00CB13DC">
        <w:rPr>
          <w:rFonts w:ascii="Arial" w:hAnsi="Arial" w:cs="Arial"/>
          <w:b/>
        </w:rPr>
        <w:t>Materiality</w:t>
      </w:r>
    </w:p>
    <w:p w14:paraId="61F1B32C" w14:textId="77777777" w:rsidR="003B74DA" w:rsidRPr="00CB13DC" w:rsidRDefault="003B74DA" w:rsidP="003B74DA">
      <w:pPr>
        <w:spacing w:after="240"/>
        <w:jc w:val="both"/>
        <w:rPr>
          <w:rFonts w:ascii="Arial" w:hAnsi="Arial" w:cs="Arial"/>
        </w:rPr>
      </w:pPr>
      <w:r w:rsidRPr="00CB13DC">
        <w:rPr>
          <w:rFonts w:ascii="Arial" w:hAnsi="Arial" w:cs="Arial"/>
        </w:rPr>
        <w:t>The concept that any omission from or inaccuracy in the statement of accounts should not be so large as to affect the understanding of those statements by a reader.</w:t>
      </w:r>
    </w:p>
    <w:p w14:paraId="10738258" w14:textId="77777777" w:rsidR="003B74DA" w:rsidRPr="00CB13DC" w:rsidRDefault="003B74DA" w:rsidP="003B74DA">
      <w:pPr>
        <w:jc w:val="both"/>
        <w:rPr>
          <w:rFonts w:ascii="Arial" w:hAnsi="Arial" w:cs="Arial"/>
          <w:b/>
        </w:rPr>
      </w:pPr>
      <w:r w:rsidRPr="00CB13DC">
        <w:rPr>
          <w:rFonts w:ascii="Arial" w:hAnsi="Arial" w:cs="Arial"/>
          <w:b/>
        </w:rPr>
        <w:t>Minimum revenue provision</w:t>
      </w:r>
    </w:p>
    <w:p w14:paraId="3A5C17E7" w14:textId="77777777" w:rsidR="003B74DA" w:rsidRPr="00CB13DC" w:rsidRDefault="003B74DA" w:rsidP="003B74DA">
      <w:pPr>
        <w:spacing w:after="240"/>
        <w:jc w:val="both"/>
        <w:rPr>
          <w:rFonts w:ascii="Arial" w:hAnsi="Arial" w:cs="Arial"/>
        </w:rPr>
      </w:pPr>
      <w:r w:rsidRPr="00CB13DC">
        <w:rPr>
          <w:rFonts w:ascii="Arial" w:hAnsi="Arial" w:cs="Arial"/>
        </w:rPr>
        <w:t xml:space="preserve">The minimum amount (as laid down in statute) that the </w:t>
      </w:r>
      <w:r>
        <w:rPr>
          <w:rFonts w:ascii="Arial" w:hAnsi="Arial" w:cs="Arial"/>
        </w:rPr>
        <w:t>PCC</w:t>
      </w:r>
      <w:r w:rsidRPr="00CB13DC">
        <w:rPr>
          <w:rFonts w:ascii="Arial" w:hAnsi="Arial" w:cs="Arial"/>
        </w:rPr>
        <w:t xml:space="preserve"> must charge to the accounts each year </w:t>
      </w:r>
      <w:proofErr w:type="gramStart"/>
      <w:r w:rsidRPr="00CB13DC">
        <w:rPr>
          <w:rFonts w:ascii="Arial" w:hAnsi="Arial" w:cs="Arial"/>
        </w:rPr>
        <w:t>in order to</w:t>
      </w:r>
      <w:proofErr w:type="gramEnd"/>
      <w:r w:rsidRPr="00CB13DC">
        <w:rPr>
          <w:rFonts w:ascii="Arial" w:hAnsi="Arial" w:cs="Arial"/>
        </w:rPr>
        <w:t xml:space="preserve"> meet the costs of repaying amounts borrowed.</w:t>
      </w:r>
    </w:p>
    <w:p w14:paraId="7A0DB9A7" w14:textId="77777777" w:rsidR="003B74DA" w:rsidRPr="00CB13DC" w:rsidRDefault="003B74DA" w:rsidP="003B74DA">
      <w:pPr>
        <w:jc w:val="both"/>
        <w:rPr>
          <w:rFonts w:ascii="Arial" w:hAnsi="Arial" w:cs="Arial"/>
          <w:b/>
        </w:rPr>
      </w:pPr>
      <w:r w:rsidRPr="00CB13DC">
        <w:rPr>
          <w:rFonts w:ascii="Arial" w:hAnsi="Arial" w:cs="Arial"/>
          <w:b/>
        </w:rPr>
        <w:t>Net book value</w:t>
      </w:r>
    </w:p>
    <w:p w14:paraId="7B983978" w14:textId="77777777" w:rsidR="003B74DA" w:rsidRPr="00CB13DC" w:rsidRDefault="003B74DA" w:rsidP="003B74DA">
      <w:pPr>
        <w:spacing w:after="240"/>
        <w:jc w:val="both"/>
        <w:rPr>
          <w:rFonts w:ascii="Arial" w:hAnsi="Arial" w:cs="Arial"/>
        </w:rPr>
      </w:pPr>
      <w:r w:rsidRPr="00CB13DC">
        <w:rPr>
          <w:rFonts w:ascii="Arial" w:hAnsi="Arial" w:cs="Arial"/>
        </w:rPr>
        <w:t>The amount at which fixed assets are included in the balance sheet, i.e. their historical cost or current value less the cumulative amounts provided for depreciation.</w:t>
      </w:r>
    </w:p>
    <w:p w14:paraId="19E1AFE6" w14:textId="77777777" w:rsidR="003B74DA" w:rsidRPr="00CB13DC" w:rsidRDefault="003B74DA" w:rsidP="003B74DA">
      <w:pPr>
        <w:jc w:val="both"/>
        <w:rPr>
          <w:rFonts w:ascii="Arial" w:hAnsi="Arial" w:cs="Arial"/>
          <w:b/>
        </w:rPr>
      </w:pPr>
      <w:r w:rsidRPr="00CB13DC">
        <w:rPr>
          <w:rFonts w:ascii="Arial" w:hAnsi="Arial" w:cs="Arial"/>
          <w:b/>
        </w:rPr>
        <w:t>Net pension liability</w:t>
      </w:r>
    </w:p>
    <w:p w14:paraId="0225D56A" w14:textId="77777777" w:rsidR="003B74DA" w:rsidRPr="00CB13DC" w:rsidRDefault="003B74DA" w:rsidP="003B74DA">
      <w:pPr>
        <w:spacing w:after="240"/>
        <w:jc w:val="both"/>
        <w:rPr>
          <w:rFonts w:ascii="Arial" w:hAnsi="Arial" w:cs="Arial"/>
        </w:rPr>
      </w:pPr>
      <w:r w:rsidRPr="00CB13DC">
        <w:rPr>
          <w:rFonts w:ascii="Arial" w:hAnsi="Arial" w:cs="Arial"/>
        </w:rPr>
        <w:t>The amount the pension scheme will have to pay out in the future, less the value of pension fund assets.</w:t>
      </w:r>
    </w:p>
    <w:p w14:paraId="0078E23C" w14:textId="77777777" w:rsidR="003B74DA" w:rsidRPr="00CB13DC" w:rsidRDefault="003B74DA" w:rsidP="003B74DA">
      <w:pPr>
        <w:jc w:val="both"/>
        <w:rPr>
          <w:rFonts w:ascii="Arial" w:hAnsi="Arial" w:cs="Arial"/>
          <w:b/>
        </w:rPr>
      </w:pPr>
      <w:r w:rsidRPr="00CB13DC">
        <w:rPr>
          <w:rFonts w:ascii="Arial" w:hAnsi="Arial" w:cs="Arial"/>
          <w:b/>
        </w:rPr>
        <w:t>Net realisable value</w:t>
      </w:r>
    </w:p>
    <w:p w14:paraId="388BB70C" w14:textId="77777777" w:rsidR="003B74DA" w:rsidRPr="00CB13DC" w:rsidRDefault="003B74DA" w:rsidP="003B74DA">
      <w:pPr>
        <w:spacing w:after="240"/>
        <w:jc w:val="both"/>
        <w:rPr>
          <w:rFonts w:ascii="Arial" w:hAnsi="Arial" w:cs="Arial"/>
        </w:rPr>
      </w:pPr>
      <w:r w:rsidRPr="00CB13DC">
        <w:rPr>
          <w:rFonts w:ascii="Arial" w:hAnsi="Arial" w:cs="Arial"/>
        </w:rPr>
        <w:t>The amount for which an asset can be sold, less the cost of selling it.</w:t>
      </w:r>
    </w:p>
    <w:p w14:paraId="62FA0804" w14:textId="77777777" w:rsidR="003B74DA" w:rsidRPr="00CB13DC" w:rsidRDefault="003B74DA" w:rsidP="003B74DA">
      <w:pPr>
        <w:spacing w:after="240"/>
        <w:jc w:val="both"/>
        <w:rPr>
          <w:rFonts w:ascii="Arial" w:hAnsi="Arial" w:cs="Arial"/>
          <w:b/>
        </w:rPr>
      </w:pPr>
      <w:r w:rsidRPr="00CB13DC">
        <w:rPr>
          <w:rFonts w:ascii="Arial" w:hAnsi="Arial" w:cs="Arial"/>
          <w:b/>
        </w:rPr>
        <w:t>Nominal value of a financial instrument</w:t>
      </w:r>
    </w:p>
    <w:p w14:paraId="2D12652F" w14:textId="77777777" w:rsidR="003B74DA" w:rsidRPr="00CB13DC" w:rsidRDefault="003B74DA" w:rsidP="003B74DA">
      <w:pPr>
        <w:spacing w:after="240"/>
        <w:jc w:val="both"/>
        <w:rPr>
          <w:rFonts w:ascii="Arial" w:hAnsi="Arial" w:cs="Arial"/>
        </w:rPr>
      </w:pPr>
      <w:r w:rsidRPr="00CB13DC">
        <w:rPr>
          <w:rFonts w:ascii="Arial" w:hAnsi="Arial" w:cs="Arial"/>
        </w:rPr>
        <w:t>The nominal value of a financial instrument is the amount, exclusive of interest, payable or receivable when the instrument matures.</w:t>
      </w:r>
    </w:p>
    <w:p w14:paraId="35C08CD9" w14:textId="77777777" w:rsidR="003B74DA" w:rsidRPr="00CB13DC" w:rsidRDefault="003B74DA" w:rsidP="003B74DA">
      <w:pPr>
        <w:jc w:val="both"/>
        <w:rPr>
          <w:rFonts w:ascii="Arial" w:hAnsi="Arial" w:cs="Arial"/>
          <w:b/>
        </w:rPr>
      </w:pPr>
      <w:r w:rsidRPr="00CB13DC">
        <w:rPr>
          <w:rFonts w:ascii="Arial" w:hAnsi="Arial" w:cs="Arial"/>
          <w:b/>
        </w:rPr>
        <w:t>Non-cash adjustments</w:t>
      </w:r>
    </w:p>
    <w:p w14:paraId="36E83354" w14:textId="77777777" w:rsidR="003B74DA" w:rsidRPr="00CB13DC" w:rsidRDefault="003B74DA" w:rsidP="003B74DA">
      <w:pPr>
        <w:spacing w:after="240"/>
        <w:jc w:val="both"/>
        <w:rPr>
          <w:rFonts w:ascii="Arial" w:hAnsi="Arial" w:cs="Arial"/>
        </w:rPr>
      </w:pPr>
      <w:r w:rsidRPr="00CB13DC">
        <w:rPr>
          <w:rFonts w:ascii="Arial" w:hAnsi="Arial" w:cs="Arial"/>
        </w:rPr>
        <w:t>Changes in debtors’ and creditors’ balances over the year.</w:t>
      </w:r>
    </w:p>
    <w:p w14:paraId="0505F6D6" w14:textId="77777777" w:rsidR="003B74DA" w:rsidRPr="00CB13DC" w:rsidRDefault="003B74DA" w:rsidP="003B74DA">
      <w:pPr>
        <w:jc w:val="both"/>
        <w:rPr>
          <w:rFonts w:ascii="Arial" w:hAnsi="Arial" w:cs="Arial"/>
          <w:b/>
        </w:rPr>
      </w:pPr>
      <w:r w:rsidRPr="00CB13DC">
        <w:rPr>
          <w:rFonts w:ascii="Arial" w:hAnsi="Arial" w:cs="Arial"/>
          <w:b/>
        </w:rPr>
        <w:t>Non-distributed costs</w:t>
      </w:r>
    </w:p>
    <w:p w14:paraId="50DB10A3" w14:textId="77777777" w:rsidR="003B74DA" w:rsidRPr="00CB13DC" w:rsidRDefault="003B74DA" w:rsidP="003B74DA">
      <w:pPr>
        <w:spacing w:after="240"/>
        <w:jc w:val="both"/>
        <w:rPr>
          <w:rFonts w:ascii="Arial" w:hAnsi="Arial" w:cs="Arial"/>
        </w:rPr>
      </w:pPr>
      <w:r w:rsidRPr="00CB13DC">
        <w:rPr>
          <w:rFonts w:ascii="Arial" w:hAnsi="Arial" w:cs="Arial"/>
        </w:rPr>
        <w:t>These are costs that cannot be specifically applied to a service or services and are held centrally, comprising certain pension costs and the costs of unused shares of IT facilities and other assets.</w:t>
      </w:r>
    </w:p>
    <w:p w14:paraId="7F1A0D16" w14:textId="77777777" w:rsidR="003B74DA" w:rsidRPr="00CB13DC" w:rsidRDefault="003B74DA" w:rsidP="003B74DA">
      <w:pPr>
        <w:jc w:val="both"/>
        <w:rPr>
          <w:rFonts w:ascii="Arial" w:hAnsi="Arial" w:cs="Arial"/>
          <w:b/>
        </w:rPr>
      </w:pPr>
      <w:r w:rsidRPr="00CB13DC">
        <w:rPr>
          <w:rFonts w:ascii="Arial" w:hAnsi="Arial" w:cs="Arial"/>
          <w:b/>
        </w:rPr>
        <w:t>Non-operational assets</w:t>
      </w:r>
    </w:p>
    <w:p w14:paraId="2574F6F6" w14:textId="77777777" w:rsidR="003B74DA" w:rsidRPr="00CB13DC" w:rsidRDefault="003B74DA" w:rsidP="003B74DA">
      <w:pPr>
        <w:jc w:val="both"/>
        <w:rPr>
          <w:rFonts w:ascii="Arial" w:hAnsi="Arial" w:cs="Arial"/>
        </w:rPr>
      </w:pPr>
      <w:r w:rsidRPr="00CB13DC">
        <w:rPr>
          <w:rFonts w:ascii="Arial" w:hAnsi="Arial" w:cs="Arial"/>
        </w:rPr>
        <w:t>Assets which are not in use.</w:t>
      </w:r>
    </w:p>
    <w:p w14:paraId="1332F97C" w14:textId="77777777" w:rsidR="003B74DA" w:rsidRPr="00CB13DC" w:rsidRDefault="003B74DA" w:rsidP="003B74DA">
      <w:pPr>
        <w:jc w:val="both"/>
        <w:rPr>
          <w:rFonts w:ascii="Arial" w:hAnsi="Arial" w:cs="Arial"/>
          <w:b/>
        </w:rPr>
      </w:pPr>
    </w:p>
    <w:p w14:paraId="2599D3C7" w14:textId="77777777" w:rsidR="003B74DA" w:rsidRPr="00CB13DC" w:rsidRDefault="003B74DA" w:rsidP="003B74DA">
      <w:pPr>
        <w:jc w:val="both"/>
        <w:rPr>
          <w:rFonts w:ascii="Arial" w:hAnsi="Arial" w:cs="Arial"/>
          <w:b/>
        </w:rPr>
      </w:pPr>
      <w:r w:rsidRPr="00CB13DC">
        <w:rPr>
          <w:rFonts w:ascii="Arial" w:hAnsi="Arial" w:cs="Arial"/>
          <w:b/>
        </w:rPr>
        <w:t>Operating lease</w:t>
      </w:r>
    </w:p>
    <w:p w14:paraId="195E48F2" w14:textId="77777777" w:rsidR="003B74DA" w:rsidRPr="00CB13DC" w:rsidRDefault="003B74DA" w:rsidP="003B74DA">
      <w:pPr>
        <w:spacing w:after="240"/>
        <w:jc w:val="both"/>
        <w:rPr>
          <w:rFonts w:ascii="Arial" w:hAnsi="Arial" w:cs="Arial"/>
        </w:rPr>
      </w:pPr>
      <w:r w:rsidRPr="00CB13DC">
        <w:rPr>
          <w:rFonts w:ascii="Arial" w:hAnsi="Arial" w:cs="Arial"/>
        </w:rPr>
        <w:t xml:space="preserve">A lease where ownership of the goods remains with the company leasing them to the </w:t>
      </w:r>
      <w:r>
        <w:rPr>
          <w:rFonts w:ascii="Arial" w:hAnsi="Arial" w:cs="Arial"/>
        </w:rPr>
        <w:t>PCC</w:t>
      </w:r>
      <w:r w:rsidRPr="00CB13DC">
        <w:rPr>
          <w:rFonts w:ascii="Arial" w:hAnsi="Arial" w:cs="Arial"/>
        </w:rPr>
        <w:t>.</w:t>
      </w:r>
    </w:p>
    <w:p w14:paraId="5121229C" w14:textId="77777777" w:rsidR="003B74DA" w:rsidRPr="00CB13DC" w:rsidRDefault="003B74DA" w:rsidP="003B74DA">
      <w:pPr>
        <w:jc w:val="both"/>
        <w:rPr>
          <w:rFonts w:ascii="Arial" w:hAnsi="Arial" w:cs="Arial"/>
          <w:b/>
        </w:rPr>
      </w:pPr>
      <w:r w:rsidRPr="00CB13DC">
        <w:rPr>
          <w:rFonts w:ascii="Arial" w:hAnsi="Arial" w:cs="Arial"/>
          <w:b/>
        </w:rPr>
        <w:t>Operational assets</w:t>
      </w:r>
    </w:p>
    <w:p w14:paraId="7F39AB6F" w14:textId="77777777" w:rsidR="003B74DA" w:rsidRPr="00CB13DC" w:rsidRDefault="003B74DA" w:rsidP="003B74DA">
      <w:pPr>
        <w:spacing w:after="240"/>
        <w:jc w:val="both"/>
        <w:rPr>
          <w:rFonts w:ascii="Arial" w:hAnsi="Arial" w:cs="Arial"/>
        </w:rPr>
      </w:pPr>
      <w:r w:rsidRPr="00CB13DC">
        <w:rPr>
          <w:rFonts w:ascii="Arial" w:hAnsi="Arial" w:cs="Arial"/>
        </w:rPr>
        <w:t>Assets used for day-to-day activities – for example, land, buildings, furniture and equipment.</w:t>
      </w:r>
    </w:p>
    <w:p w14:paraId="6272CFB0" w14:textId="77777777" w:rsidR="003B74DA" w:rsidRPr="00CB13DC" w:rsidRDefault="003B74DA" w:rsidP="003B74DA">
      <w:pPr>
        <w:jc w:val="both"/>
        <w:rPr>
          <w:rFonts w:ascii="Arial" w:hAnsi="Arial" w:cs="Arial"/>
          <w:b/>
        </w:rPr>
      </w:pPr>
      <w:r w:rsidRPr="00CB13DC">
        <w:rPr>
          <w:rFonts w:ascii="Arial" w:hAnsi="Arial" w:cs="Arial"/>
          <w:b/>
        </w:rPr>
        <w:t>Past service cost or gain (</w:t>
      </w:r>
      <w:r>
        <w:rPr>
          <w:rFonts w:ascii="Arial" w:hAnsi="Arial" w:cs="Arial"/>
          <w:b/>
        </w:rPr>
        <w:t>IAS 19</w:t>
      </w:r>
      <w:r w:rsidRPr="00CB13DC">
        <w:rPr>
          <w:rFonts w:ascii="Arial" w:hAnsi="Arial" w:cs="Arial"/>
          <w:b/>
        </w:rPr>
        <w:t>)</w:t>
      </w:r>
    </w:p>
    <w:p w14:paraId="69967145" w14:textId="77777777" w:rsidR="003B74DA" w:rsidRPr="00CB13DC" w:rsidRDefault="003B74DA" w:rsidP="003B74DA">
      <w:pPr>
        <w:spacing w:after="240"/>
        <w:jc w:val="both"/>
        <w:rPr>
          <w:rFonts w:ascii="Arial" w:hAnsi="Arial" w:cs="Arial"/>
        </w:rPr>
      </w:pPr>
      <w:r w:rsidRPr="00CB13DC">
        <w:rPr>
          <w:rFonts w:ascii="Arial" w:hAnsi="Arial" w:cs="Arial"/>
        </w:rPr>
        <w:t xml:space="preserve">The increase or decrease in pension scheme liabilities </w:t>
      </w:r>
      <w:proofErr w:type="gramStart"/>
      <w:r w:rsidRPr="00CB13DC">
        <w:rPr>
          <w:rFonts w:ascii="Arial" w:hAnsi="Arial" w:cs="Arial"/>
        </w:rPr>
        <w:t>as a result of</w:t>
      </w:r>
      <w:proofErr w:type="gramEnd"/>
      <w:r w:rsidRPr="00CB13DC">
        <w:rPr>
          <w:rFonts w:ascii="Arial" w:hAnsi="Arial" w:cs="Arial"/>
        </w:rPr>
        <w:t xml:space="preserve"> changes to benefits earned in previous years – for example, because of early retirement or changes to pension scheme regulations.</w:t>
      </w:r>
    </w:p>
    <w:p w14:paraId="4B845834" w14:textId="77777777" w:rsidR="003B74DA" w:rsidRPr="00CB13DC" w:rsidRDefault="003B74DA" w:rsidP="003B74DA">
      <w:pPr>
        <w:jc w:val="both"/>
        <w:rPr>
          <w:rFonts w:ascii="Arial" w:hAnsi="Arial" w:cs="Arial"/>
          <w:b/>
        </w:rPr>
      </w:pPr>
      <w:r w:rsidRPr="00CB13DC">
        <w:rPr>
          <w:rFonts w:ascii="Arial" w:hAnsi="Arial" w:cs="Arial"/>
          <w:b/>
        </w:rPr>
        <w:lastRenderedPageBreak/>
        <w:t>Pension enhancements</w:t>
      </w:r>
    </w:p>
    <w:p w14:paraId="2F38B190" w14:textId="77777777" w:rsidR="003B74DA" w:rsidRPr="00CB13DC" w:rsidRDefault="003B74DA" w:rsidP="003B74DA">
      <w:pPr>
        <w:spacing w:after="240"/>
        <w:jc w:val="both"/>
        <w:rPr>
          <w:rFonts w:ascii="Arial" w:hAnsi="Arial" w:cs="Arial"/>
        </w:rPr>
      </w:pPr>
      <w:r w:rsidRPr="00CB13DC">
        <w:rPr>
          <w:rFonts w:ascii="Arial" w:hAnsi="Arial" w:cs="Arial"/>
        </w:rPr>
        <w:t xml:space="preserve">Additional pension benefits (such as added years on early retirement) awarded to scheme members in line with the </w:t>
      </w:r>
      <w:r>
        <w:rPr>
          <w:rFonts w:ascii="Arial" w:hAnsi="Arial" w:cs="Arial"/>
        </w:rPr>
        <w:t>PCC's</w:t>
      </w:r>
      <w:r w:rsidRPr="00CB13DC">
        <w:rPr>
          <w:rFonts w:ascii="Arial" w:hAnsi="Arial" w:cs="Arial"/>
        </w:rPr>
        <w:t xml:space="preserve"> general conditions of employment.</w:t>
      </w:r>
    </w:p>
    <w:p w14:paraId="2D009FA8" w14:textId="77777777" w:rsidR="003B74DA" w:rsidRPr="00CB13DC" w:rsidRDefault="003B74DA" w:rsidP="003B74DA">
      <w:pPr>
        <w:jc w:val="both"/>
        <w:rPr>
          <w:rFonts w:ascii="Arial" w:hAnsi="Arial" w:cs="Arial"/>
          <w:b/>
        </w:rPr>
      </w:pPr>
      <w:r w:rsidRPr="00CB13DC">
        <w:rPr>
          <w:rFonts w:ascii="Arial" w:hAnsi="Arial" w:cs="Arial"/>
          <w:b/>
        </w:rPr>
        <w:t>Principal</w:t>
      </w:r>
    </w:p>
    <w:p w14:paraId="0BF9A84E" w14:textId="77777777" w:rsidR="003B74DA" w:rsidRPr="00CB13DC" w:rsidRDefault="003B74DA" w:rsidP="003B74DA">
      <w:pPr>
        <w:spacing w:after="240"/>
        <w:jc w:val="both"/>
        <w:rPr>
          <w:rFonts w:ascii="Arial" w:hAnsi="Arial" w:cs="Arial"/>
        </w:rPr>
      </w:pPr>
      <w:r w:rsidRPr="00CB13DC">
        <w:rPr>
          <w:rFonts w:ascii="Arial" w:hAnsi="Arial" w:cs="Arial"/>
        </w:rPr>
        <w:t>The amount of money borrowed, not including interest charges.</w:t>
      </w:r>
    </w:p>
    <w:p w14:paraId="1364091F" w14:textId="77777777" w:rsidR="00D64C21" w:rsidRDefault="00D64C21" w:rsidP="003B74DA">
      <w:pPr>
        <w:jc w:val="both"/>
        <w:rPr>
          <w:rFonts w:ascii="Arial" w:hAnsi="Arial" w:cs="Arial"/>
          <w:b/>
        </w:rPr>
      </w:pPr>
    </w:p>
    <w:p w14:paraId="03BA7BA0" w14:textId="24A2C4C9" w:rsidR="003B74DA" w:rsidRPr="00CB13DC" w:rsidRDefault="003B74DA" w:rsidP="003B74DA">
      <w:pPr>
        <w:jc w:val="both"/>
        <w:rPr>
          <w:rFonts w:ascii="Arial" w:hAnsi="Arial" w:cs="Arial"/>
          <w:b/>
        </w:rPr>
      </w:pPr>
      <w:r w:rsidRPr="00CB13DC">
        <w:rPr>
          <w:rFonts w:ascii="Arial" w:hAnsi="Arial" w:cs="Arial"/>
          <w:b/>
        </w:rPr>
        <w:t>Principal repayment of debt</w:t>
      </w:r>
    </w:p>
    <w:p w14:paraId="242560F3" w14:textId="77777777" w:rsidR="003B74DA" w:rsidRPr="00CB13DC" w:rsidRDefault="003B74DA" w:rsidP="003B74DA">
      <w:pPr>
        <w:jc w:val="both"/>
        <w:rPr>
          <w:rFonts w:ascii="Arial" w:hAnsi="Arial" w:cs="Arial"/>
        </w:rPr>
      </w:pPr>
      <w:r w:rsidRPr="00CB13DC">
        <w:rPr>
          <w:rFonts w:ascii="Arial" w:hAnsi="Arial" w:cs="Arial"/>
        </w:rPr>
        <w:t>Re-payment of a loan, not including interest charges.</w:t>
      </w:r>
    </w:p>
    <w:p w14:paraId="49050A1E" w14:textId="77777777" w:rsidR="003B74DA" w:rsidRPr="00CB13DC" w:rsidRDefault="003B74DA" w:rsidP="003B74DA">
      <w:pPr>
        <w:jc w:val="both"/>
        <w:rPr>
          <w:rFonts w:ascii="Arial" w:hAnsi="Arial" w:cs="Arial"/>
          <w:b/>
        </w:rPr>
      </w:pPr>
    </w:p>
    <w:p w14:paraId="6161F172" w14:textId="5E656F3B" w:rsidR="003B74DA" w:rsidRPr="00CB13DC" w:rsidRDefault="003B74DA" w:rsidP="0066250F">
      <w:pPr>
        <w:rPr>
          <w:rFonts w:ascii="Arial" w:hAnsi="Arial" w:cs="Arial"/>
          <w:b/>
        </w:rPr>
      </w:pPr>
      <w:r w:rsidRPr="00CB13DC">
        <w:rPr>
          <w:rFonts w:ascii="Arial" w:hAnsi="Arial" w:cs="Arial"/>
          <w:b/>
        </w:rPr>
        <w:t>Prior period adjustments</w:t>
      </w:r>
    </w:p>
    <w:p w14:paraId="0578865F" w14:textId="77777777" w:rsidR="003B74DA" w:rsidRPr="00CB13DC" w:rsidRDefault="003B74DA" w:rsidP="003B74DA">
      <w:pPr>
        <w:jc w:val="both"/>
        <w:rPr>
          <w:rFonts w:ascii="Arial" w:hAnsi="Arial" w:cs="Arial"/>
        </w:rPr>
      </w:pPr>
      <w:r w:rsidRPr="00CB13DC">
        <w:rPr>
          <w:rFonts w:ascii="Arial" w:hAnsi="Arial" w:cs="Arial"/>
        </w:rPr>
        <w:t>Those material adjustments applicable to prior years arising from changes in accounting policies or from the correction of fundamental errors. A fundamental error is one that is of such significance as to destroy the validity of the financial statements. They do not include normal recurring corrections or adjustments of accounting estimates made in prior years.</w:t>
      </w:r>
    </w:p>
    <w:p w14:paraId="7BC7A9D3" w14:textId="77777777" w:rsidR="003B74DA" w:rsidRPr="00CB13DC" w:rsidRDefault="003B74DA" w:rsidP="003B74DA">
      <w:pPr>
        <w:jc w:val="both"/>
        <w:rPr>
          <w:rFonts w:ascii="Arial" w:hAnsi="Arial" w:cs="Arial"/>
        </w:rPr>
      </w:pPr>
    </w:p>
    <w:p w14:paraId="35CAF026" w14:textId="6E3D6CCB" w:rsidR="003B74DA" w:rsidRPr="00CB13DC" w:rsidRDefault="003B74DA" w:rsidP="003B74DA">
      <w:pPr>
        <w:jc w:val="both"/>
        <w:rPr>
          <w:rFonts w:ascii="Arial" w:hAnsi="Arial" w:cs="Arial"/>
          <w:b/>
        </w:rPr>
      </w:pPr>
      <w:r w:rsidRPr="00CB13DC">
        <w:rPr>
          <w:rFonts w:ascii="Arial" w:hAnsi="Arial" w:cs="Arial"/>
          <w:b/>
        </w:rPr>
        <w:t>Projected unit method (Pensions)</w:t>
      </w:r>
    </w:p>
    <w:p w14:paraId="456BBC3E" w14:textId="77777777" w:rsidR="003B74DA" w:rsidRPr="00CB13DC" w:rsidRDefault="003B74DA" w:rsidP="003B74DA">
      <w:pPr>
        <w:jc w:val="both"/>
        <w:rPr>
          <w:rFonts w:ascii="Arial" w:hAnsi="Arial" w:cs="Arial"/>
        </w:rPr>
      </w:pPr>
      <w:r w:rsidRPr="00CB13DC">
        <w:rPr>
          <w:rFonts w:ascii="Arial" w:hAnsi="Arial" w:cs="Arial"/>
        </w:rPr>
        <w:t>An accrued benefits valuation method in which the scheme liabilities make allowance for the projected earnings. An accrued benefits valuation method is a valuation method in which the scheme liabilities at the valuation date relate to:</w:t>
      </w:r>
    </w:p>
    <w:p w14:paraId="51217994" w14:textId="77777777" w:rsidR="003B74DA" w:rsidRPr="00CB13DC" w:rsidRDefault="003B74DA" w:rsidP="003B74DA">
      <w:pPr>
        <w:jc w:val="both"/>
        <w:rPr>
          <w:rFonts w:ascii="Arial" w:hAnsi="Arial" w:cs="Arial"/>
        </w:rPr>
      </w:pPr>
    </w:p>
    <w:p w14:paraId="0C42018E" w14:textId="77777777" w:rsidR="003B74DA" w:rsidRPr="00CB13DC" w:rsidRDefault="003B74DA" w:rsidP="003B74DA">
      <w:pPr>
        <w:ind w:left="720" w:hanging="720"/>
        <w:jc w:val="both"/>
        <w:rPr>
          <w:rFonts w:ascii="Arial" w:hAnsi="Arial" w:cs="Arial"/>
        </w:rPr>
      </w:pPr>
      <w:r w:rsidRPr="00CB13DC">
        <w:rPr>
          <w:rFonts w:ascii="Arial" w:hAnsi="Arial" w:cs="Arial"/>
        </w:rPr>
        <w:t>(a)</w:t>
      </w:r>
      <w:r w:rsidRPr="00CB13DC">
        <w:rPr>
          <w:rFonts w:ascii="Arial" w:hAnsi="Arial" w:cs="Arial"/>
        </w:rPr>
        <w:tab/>
        <w:t xml:space="preserve">the benefits for pensioners and deferred pensioners (i.e. individuals who have ceased to be active members but are entitled to benefits payable </w:t>
      </w:r>
      <w:proofErr w:type="gramStart"/>
      <w:r w:rsidRPr="00CB13DC">
        <w:rPr>
          <w:rFonts w:ascii="Arial" w:hAnsi="Arial" w:cs="Arial"/>
        </w:rPr>
        <w:t>at a later date</w:t>
      </w:r>
      <w:proofErr w:type="gramEnd"/>
      <w:r w:rsidRPr="00CB13DC">
        <w:rPr>
          <w:rFonts w:ascii="Arial" w:hAnsi="Arial" w:cs="Arial"/>
        </w:rPr>
        <w:t>) and their dependants, allowing where appropriate for future increases, and</w:t>
      </w:r>
    </w:p>
    <w:p w14:paraId="5B424F72" w14:textId="77777777" w:rsidR="003B74DA" w:rsidRPr="00CB13DC" w:rsidRDefault="003B74DA" w:rsidP="003B74DA">
      <w:pPr>
        <w:ind w:left="720" w:hanging="720"/>
        <w:jc w:val="both"/>
        <w:rPr>
          <w:rFonts w:ascii="Arial" w:hAnsi="Arial" w:cs="Arial"/>
        </w:rPr>
      </w:pPr>
    </w:p>
    <w:p w14:paraId="19EE9E5C" w14:textId="77777777" w:rsidR="003B74DA" w:rsidRPr="00CB13DC" w:rsidRDefault="003B74DA" w:rsidP="003B74DA">
      <w:pPr>
        <w:ind w:left="720" w:hanging="720"/>
        <w:jc w:val="both"/>
        <w:rPr>
          <w:rFonts w:ascii="Arial" w:hAnsi="Arial" w:cs="Arial"/>
        </w:rPr>
      </w:pPr>
      <w:r w:rsidRPr="00CB13DC">
        <w:rPr>
          <w:rFonts w:ascii="Arial" w:hAnsi="Arial" w:cs="Arial"/>
        </w:rPr>
        <w:t>(b)</w:t>
      </w:r>
      <w:r w:rsidRPr="00CB13DC">
        <w:rPr>
          <w:rFonts w:ascii="Arial" w:hAnsi="Arial" w:cs="Arial"/>
        </w:rPr>
        <w:tab/>
        <w:t>the accrued benefits for members in service on the valuation date.</w:t>
      </w:r>
    </w:p>
    <w:p w14:paraId="723DF002" w14:textId="77777777" w:rsidR="003B74DA" w:rsidRPr="00CB13DC" w:rsidRDefault="003B74DA" w:rsidP="003B74DA">
      <w:pPr>
        <w:ind w:left="720" w:hanging="720"/>
        <w:jc w:val="both"/>
        <w:rPr>
          <w:rFonts w:ascii="Arial" w:hAnsi="Arial" w:cs="Arial"/>
        </w:rPr>
      </w:pPr>
    </w:p>
    <w:p w14:paraId="4D2D6C98" w14:textId="77777777" w:rsidR="003B74DA" w:rsidRPr="00CB13DC" w:rsidRDefault="003B74DA" w:rsidP="003B74DA">
      <w:pPr>
        <w:jc w:val="both"/>
        <w:rPr>
          <w:rFonts w:ascii="Arial" w:hAnsi="Arial" w:cs="Arial"/>
        </w:rPr>
      </w:pPr>
      <w:r w:rsidRPr="00CB13DC">
        <w:rPr>
          <w:rFonts w:ascii="Arial" w:hAnsi="Arial" w:cs="Arial"/>
        </w:rPr>
        <w:t xml:space="preserve">The accrued benefits are the benefits for service up to a given point in time, whether vested rights or not. </w:t>
      </w:r>
    </w:p>
    <w:p w14:paraId="62ABE466" w14:textId="77777777" w:rsidR="003B74DA" w:rsidRPr="00CB13DC" w:rsidRDefault="003B74DA" w:rsidP="003B74DA">
      <w:pPr>
        <w:jc w:val="both"/>
        <w:rPr>
          <w:rFonts w:ascii="Arial" w:hAnsi="Arial" w:cs="Arial"/>
          <w:b/>
        </w:rPr>
      </w:pPr>
    </w:p>
    <w:p w14:paraId="77660D72" w14:textId="77777777" w:rsidR="003B74DA" w:rsidRPr="00CB13DC" w:rsidRDefault="003B74DA" w:rsidP="003B74DA">
      <w:pPr>
        <w:jc w:val="both"/>
        <w:rPr>
          <w:rFonts w:ascii="Arial" w:hAnsi="Arial" w:cs="Arial"/>
          <w:b/>
        </w:rPr>
      </w:pPr>
      <w:r w:rsidRPr="00CB13DC">
        <w:rPr>
          <w:rFonts w:ascii="Arial" w:hAnsi="Arial" w:cs="Arial"/>
          <w:b/>
        </w:rPr>
        <w:t>Provisions</w:t>
      </w:r>
    </w:p>
    <w:p w14:paraId="211EB9F0" w14:textId="77777777" w:rsidR="003B74DA" w:rsidRPr="00CB13DC" w:rsidRDefault="003B74DA" w:rsidP="003B74DA">
      <w:pPr>
        <w:jc w:val="both"/>
        <w:rPr>
          <w:rFonts w:ascii="Arial" w:hAnsi="Arial" w:cs="Arial"/>
        </w:rPr>
      </w:pPr>
      <w:r w:rsidRPr="00CB13DC">
        <w:rPr>
          <w:rFonts w:ascii="Arial" w:hAnsi="Arial" w:cs="Arial"/>
        </w:rPr>
        <w:t>Funds set aside to cover specific past expenses, where the exact cost or timing is still uncertain.</w:t>
      </w:r>
    </w:p>
    <w:p w14:paraId="32CFF8D7" w14:textId="77777777" w:rsidR="003B74DA" w:rsidRPr="00CB13DC" w:rsidRDefault="003B74DA" w:rsidP="003B74DA">
      <w:pPr>
        <w:jc w:val="both"/>
        <w:rPr>
          <w:rFonts w:ascii="Arial" w:hAnsi="Arial" w:cs="Arial"/>
          <w:b/>
        </w:rPr>
      </w:pPr>
    </w:p>
    <w:p w14:paraId="6F8A22F9" w14:textId="77777777" w:rsidR="003B74DA" w:rsidRPr="00CB13DC" w:rsidRDefault="003B74DA" w:rsidP="003B74DA">
      <w:pPr>
        <w:jc w:val="both"/>
        <w:rPr>
          <w:rFonts w:ascii="Arial" w:hAnsi="Arial" w:cs="Arial"/>
          <w:b/>
        </w:rPr>
      </w:pPr>
      <w:r w:rsidRPr="00CB13DC">
        <w:rPr>
          <w:rFonts w:ascii="Arial" w:hAnsi="Arial" w:cs="Arial"/>
          <w:b/>
        </w:rPr>
        <w:t>Public Works Loan Board (PWLB)</w:t>
      </w:r>
    </w:p>
    <w:p w14:paraId="216CA69E" w14:textId="77777777" w:rsidR="003B74DA" w:rsidRPr="00CB13DC" w:rsidRDefault="003B74DA" w:rsidP="003B74DA">
      <w:pPr>
        <w:spacing w:after="240"/>
        <w:jc w:val="both"/>
        <w:rPr>
          <w:rFonts w:ascii="Arial" w:hAnsi="Arial" w:cs="Arial"/>
        </w:rPr>
      </w:pPr>
      <w:r w:rsidRPr="00CB13DC">
        <w:rPr>
          <w:rFonts w:ascii="Arial" w:hAnsi="Arial" w:cs="Arial"/>
        </w:rPr>
        <w:t>A government agency which provides longer</w:t>
      </w:r>
      <w:r w:rsidRPr="00CB13DC">
        <w:rPr>
          <w:rFonts w:ascii="Arial" w:hAnsi="Arial" w:cs="Arial"/>
        </w:rPr>
        <w:noBreakHyphen/>
        <w:t>term loans to local authorities at interest rates only slightly higher than those at which the government itself can borrow.</w:t>
      </w:r>
    </w:p>
    <w:p w14:paraId="6040AE20" w14:textId="77777777" w:rsidR="003B74DA" w:rsidRPr="00CB13DC" w:rsidRDefault="003B74DA" w:rsidP="003B74DA">
      <w:pPr>
        <w:jc w:val="both"/>
        <w:rPr>
          <w:rFonts w:ascii="Arial" w:hAnsi="Arial" w:cs="Arial"/>
          <w:b/>
        </w:rPr>
      </w:pPr>
      <w:r w:rsidRPr="00CB13DC">
        <w:rPr>
          <w:rFonts w:ascii="Arial" w:hAnsi="Arial" w:cs="Arial"/>
          <w:b/>
        </w:rPr>
        <w:t>Related party</w:t>
      </w:r>
    </w:p>
    <w:p w14:paraId="2C64DA57" w14:textId="77777777" w:rsidR="003B74DA" w:rsidRPr="00CB13DC" w:rsidRDefault="003B74DA" w:rsidP="003B74DA">
      <w:pPr>
        <w:jc w:val="both"/>
        <w:rPr>
          <w:rFonts w:ascii="Arial" w:hAnsi="Arial" w:cs="Arial"/>
        </w:rPr>
      </w:pPr>
      <w:r w:rsidRPr="00CB13DC">
        <w:rPr>
          <w:rFonts w:ascii="Arial" w:hAnsi="Arial" w:cs="Arial"/>
        </w:rPr>
        <w:t>A person or organisation which has influence over another person or organisation.</w:t>
      </w:r>
    </w:p>
    <w:p w14:paraId="341917D8" w14:textId="77777777" w:rsidR="003B74DA" w:rsidRPr="00CB13DC" w:rsidRDefault="003B74DA" w:rsidP="003B74DA">
      <w:pPr>
        <w:jc w:val="both"/>
        <w:rPr>
          <w:rFonts w:ascii="Arial" w:hAnsi="Arial" w:cs="Arial"/>
          <w:b/>
        </w:rPr>
      </w:pPr>
    </w:p>
    <w:p w14:paraId="41B483F3" w14:textId="77777777" w:rsidR="003B74DA" w:rsidRPr="00CB13DC" w:rsidRDefault="003B74DA" w:rsidP="003B74DA">
      <w:pPr>
        <w:jc w:val="both"/>
        <w:rPr>
          <w:rFonts w:ascii="Arial" w:hAnsi="Arial" w:cs="Arial"/>
          <w:b/>
        </w:rPr>
      </w:pPr>
      <w:r w:rsidRPr="00CB13DC">
        <w:rPr>
          <w:rFonts w:ascii="Arial" w:hAnsi="Arial" w:cs="Arial"/>
          <w:b/>
        </w:rPr>
        <w:t>Reserves</w:t>
      </w:r>
    </w:p>
    <w:p w14:paraId="4536C9E2" w14:textId="77777777" w:rsidR="003B74DA" w:rsidRPr="00AD2D75" w:rsidRDefault="003B74DA" w:rsidP="003B74DA">
      <w:pPr>
        <w:spacing w:after="240"/>
        <w:jc w:val="both"/>
        <w:rPr>
          <w:rFonts w:ascii="Arial" w:hAnsi="Arial" w:cs="Arial"/>
          <w:b/>
          <w:bCs/>
        </w:rPr>
      </w:pPr>
      <w:r w:rsidRPr="00CB13DC">
        <w:rPr>
          <w:rFonts w:ascii="Arial" w:hAnsi="Arial" w:cs="Arial"/>
        </w:rPr>
        <w:t xml:space="preserve">Amounts set aside in one year’s accounts which can be spent in later years. Some types of reserve can only be spent if certain conditions </w:t>
      </w:r>
      <w:r w:rsidRPr="00AD2D75">
        <w:rPr>
          <w:rFonts w:ascii="Arial" w:hAnsi="Arial" w:cs="Arial"/>
          <w:b/>
          <w:bCs/>
        </w:rPr>
        <w:t>are met.</w:t>
      </w:r>
    </w:p>
    <w:p w14:paraId="0AC716D6" w14:textId="222FB368" w:rsidR="00AD2D75" w:rsidRDefault="00AD2D75" w:rsidP="003B74DA">
      <w:pPr>
        <w:spacing w:after="240"/>
        <w:jc w:val="both"/>
        <w:rPr>
          <w:rFonts w:ascii="Arial" w:hAnsi="Arial" w:cs="Arial"/>
          <w:b/>
          <w:bCs/>
        </w:rPr>
      </w:pPr>
      <w:r w:rsidRPr="00AD2D75">
        <w:rPr>
          <w:rFonts w:ascii="Arial" w:hAnsi="Arial" w:cs="Arial"/>
          <w:b/>
          <w:bCs/>
        </w:rPr>
        <w:t>Right of Use Asset</w:t>
      </w:r>
    </w:p>
    <w:p w14:paraId="10EF7617" w14:textId="7D5FAB5D" w:rsidR="00AD2D75" w:rsidRDefault="00AD2D75" w:rsidP="003B74DA">
      <w:pPr>
        <w:spacing w:after="240"/>
        <w:jc w:val="both"/>
        <w:rPr>
          <w:rFonts w:ascii="Arial" w:hAnsi="Arial" w:cs="Arial"/>
          <w:b/>
          <w:bCs/>
        </w:rPr>
      </w:pPr>
      <w:r>
        <w:rPr>
          <w:rFonts w:ascii="Arial" w:hAnsi="Arial" w:cs="Arial"/>
        </w:rPr>
        <w:t xml:space="preserve">An </w:t>
      </w:r>
      <w:r w:rsidRPr="00AD2D75">
        <w:rPr>
          <w:rFonts w:ascii="Arial" w:hAnsi="Arial" w:cs="Arial"/>
        </w:rPr>
        <w:t>asset that represents a lessee’s right to use an underlying asset for the lease term.</w:t>
      </w:r>
    </w:p>
    <w:p w14:paraId="61EBBD50" w14:textId="77777777" w:rsidR="003B74DA" w:rsidRPr="00CB13DC" w:rsidRDefault="003B74DA" w:rsidP="003B74DA">
      <w:pPr>
        <w:jc w:val="both"/>
        <w:rPr>
          <w:rFonts w:ascii="Arial" w:hAnsi="Arial" w:cs="Arial"/>
          <w:b/>
        </w:rPr>
      </w:pPr>
      <w:r w:rsidRPr="00CB13DC">
        <w:rPr>
          <w:rFonts w:ascii="Arial" w:hAnsi="Arial" w:cs="Arial"/>
          <w:b/>
        </w:rPr>
        <w:t>Specific grants</w:t>
      </w:r>
    </w:p>
    <w:p w14:paraId="2E573AE0" w14:textId="1FF7A67E" w:rsidR="007009E0" w:rsidRDefault="003B74DA" w:rsidP="003B74DA">
      <w:pPr>
        <w:rPr>
          <w:rFonts w:ascii="Arial" w:hAnsi="Arial" w:cs="Arial"/>
        </w:rPr>
      </w:pPr>
      <w:r w:rsidRPr="00CB13DC">
        <w:rPr>
          <w:rFonts w:ascii="Arial" w:hAnsi="Arial" w:cs="Arial"/>
        </w:rPr>
        <w:t>Government grants f</w:t>
      </w:r>
      <w:r>
        <w:rPr>
          <w:rFonts w:ascii="Arial" w:hAnsi="Arial" w:cs="Arial"/>
        </w:rPr>
        <w:t>or a particular purpose.</w:t>
      </w:r>
    </w:p>
    <w:p w14:paraId="67CC65D9" w14:textId="74015B79" w:rsidR="00CB13DC" w:rsidRPr="007009E0" w:rsidRDefault="00CB13DC" w:rsidP="00BF574B">
      <w:pPr>
        <w:rPr>
          <w:rFonts w:ascii="Arial" w:hAnsi="Arial" w:cs="Arial"/>
        </w:rPr>
      </w:pPr>
    </w:p>
    <w:sectPr w:rsidR="00CB13DC" w:rsidRPr="007009E0" w:rsidSect="00CD2558">
      <w:headerReference w:type="even" r:id="rId107"/>
      <w:headerReference w:type="default" r:id="rId108"/>
      <w:headerReference w:type="first" r:id="rId109"/>
      <w:pgSz w:w="11909" w:h="16834" w:code="9"/>
      <w:pgMar w:top="720" w:right="720" w:bottom="720" w:left="720" w:header="454"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7A8DF" w14:textId="77777777" w:rsidR="00EF2568" w:rsidRDefault="00EF2568">
      <w:r>
        <w:separator/>
      </w:r>
    </w:p>
  </w:endnote>
  <w:endnote w:type="continuationSeparator" w:id="0">
    <w:p w14:paraId="00A2E2D9" w14:textId="77777777" w:rsidR="00EF2568" w:rsidRDefault="00EF2568">
      <w:r>
        <w:continuationSeparator/>
      </w:r>
    </w:p>
  </w:endnote>
  <w:endnote w:type="continuationNotice" w:id="1">
    <w:p w14:paraId="0C51D7E1" w14:textId="77777777" w:rsidR="00EF2568" w:rsidRDefault="00EF25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abon">
    <w:altName w:val="Bell MT"/>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ill Sans MT Pro Medium">
    <w:altName w:val="Calibri"/>
    <w:panose1 w:val="00000000000000000000"/>
    <w:charset w:val="00"/>
    <w:family w:val="swiss"/>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Vodafone L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radley Hand ITC">
    <w:altName w:val="Calibri"/>
    <w:panose1 w:val="03070402050302030203"/>
    <w:charset w:val="00"/>
    <w:family w:val="script"/>
    <w:pitch w:val="variable"/>
    <w:sig w:usb0="00000003" w:usb1="00000000" w:usb2="00000000" w:usb3="00000000" w:csb0="00000001" w:csb1="00000000"/>
  </w:font>
  <w:font w:name="Arial Narrow">
    <w:altName w:val="Arial"/>
    <w:panose1 w:val="020B0606020202030204"/>
    <w:charset w:val="00"/>
    <w:family w:val="swiss"/>
    <w:pitch w:val="variable"/>
    <w:sig w:usb0="00000287" w:usb1="00000800" w:usb2="00000000" w:usb3="00000000" w:csb0="0000009F" w:csb1="00000000"/>
  </w:font>
  <w:font w:name="Aptos Narrow">
    <w:altName w:val="Calibri"/>
    <w:charset w:val="00"/>
    <w:family w:val="swiss"/>
    <w:pitch w:val="variable"/>
    <w:sig w:usb0="20000287" w:usb1="00000003" w:usb2="00000000" w:usb3="00000000" w:csb0="0000019F" w:csb1="00000000"/>
  </w:font>
  <w:font w:name="Wingdings-Regular">
    <w:altName w:val="PMingLiU"/>
    <w:panose1 w:val="00000000000000000000"/>
    <w:charset w:val="88"/>
    <w:family w:val="auto"/>
    <w:notTrueType/>
    <w:pitch w:val="default"/>
    <w:sig w:usb0="00000001" w:usb1="08080000" w:usb2="00000010" w:usb3="00000000" w:csb0="00100000" w:csb1="00000000"/>
  </w:font>
  <w:font w:name="Arial Unicode MS">
    <w:altName w:val="Arial"/>
    <w:panose1 w:val="020B0604020202020204"/>
    <w:charset w:val="00"/>
    <w:family w:val="roman"/>
    <w:pitch w:val="variable"/>
    <w:sig w:usb0="00000003" w:usb1="00000000" w:usb2="00000000" w:usb3="00000000" w:csb0="00000001" w:csb1="00000000"/>
  </w:font>
  <w:font w:name="Helvetica-Light">
    <w:altName w:val="Arial"/>
    <w:panose1 w:val="00000000000000000000"/>
    <w:charset w:val="00"/>
    <w:family w:val="auto"/>
    <w:notTrueType/>
    <w:pitch w:val="default"/>
    <w:sig w:usb0="00000003" w:usb1="00000000" w:usb2="00000000" w:usb3="00000000" w:csb0="00000001" w:csb1="00000000"/>
  </w:font>
  <w:font w:name="Brush Script MT">
    <w:altName w:val="Brush Script"/>
    <w:charset w:val="00"/>
    <w:family w:val="script"/>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6ECC1" w14:textId="77777777" w:rsidR="00200677" w:rsidRDefault="002006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35</w:t>
    </w:r>
    <w:r>
      <w:rPr>
        <w:rStyle w:val="PageNumber"/>
      </w:rPr>
      <w:fldChar w:fldCharType="end"/>
    </w:r>
  </w:p>
  <w:p w14:paraId="7D95A012" w14:textId="77777777" w:rsidR="00200677" w:rsidRDefault="002006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9E172" w14:textId="77777777" w:rsidR="00200677" w:rsidRDefault="00200677">
    <w:pPr>
      <w:pStyle w:val="Footer"/>
      <w:jc w:val="center"/>
    </w:pPr>
    <w: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B021A4" w14:textId="172D693B" w:rsidR="00200677" w:rsidRDefault="00200677">
    <w:pPr>
      <w:pStyle w:val="Footer"/>
      <w:jc w:val="center"/>
    </w:pPr>
  </w:p>
  <w:p w14:paraId="010787F1" w14:textId="77777777" w:rsidR="00200677" w:rsidRDefault="00200677" w:rsidP="004A3E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9CCD" w14:textId="41BE4E0F" w:rsidR="00200677" w:rsidRDefault="00200677">
    <w:pPr>
      <w:pStyle w:val="Footer"/>
      <w:jc w:val="center"/>
    </w:pPr>
  </w:p>
  <w:p w14:paraId="2F314355" w14:textId="77777777" w:rsidR="00200677" w:rsidRPr="00592D83" w:rsidRDefault="00200677" w:rsidP="00592D8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EC4AE" w14:textId="48181752" w:rsidR="00200677" w:rsidRDefault="00E1307E">
    <w:pPr>
      <w:pStyle w:val="Footer"/>
      <w:jc w:val="center"/>
    </w:pPr>
    <w:sdt>
      <w:sdtPr>
        <w:id w:val="-1675723555"/>
        <w:docPartObj>
          <w:docPartGallery w:val="Page Numbers (Bottom of Page)"/>
          <w:docPartUnique/>
        </w:docPartObj>
      </w:sdtPr>
      <w:sdtEndPr>
        <w:rPr>
          <w:noProof/>
        </w:rPr>
      </w:sdtEndPr>
      <w:sdtContent>
        <w:r w:rsidR="00200677">
          <w:fldChar w:fldCharType="begin"/>
        </w:r>
        <w:r w:rsidR="00200677">
          <w:instrText xml:space="preserve"> PAGE   \* MERGEFORMAT </w:instrText>
        </w:r>
        <w:r w:rsidR="00200677">
          <w:fldChar w:fldCharType="separate"/>
        </w:r>
        <w:r w:rsidR="00200677">
          <w:rPr>
            <w:noProof/>
          </w:rPr>
          <w:t>2</w:t>
        </w:r>
        <w:r w:rsidR="00200677">
          <w:rPr>
            <w:noProof/>
          </w:rPr>
          <w:fldChar w:fldCharType="end"/>
        </w:r>
      </w:sdtContent>
    </w:sdt>
  </w:p>
  <w:p w14:paraId="2F494152" w14:textId="33E30500" w:rsidR="00200677" w:rsidRPr="00592D83" w:rsidRDefault="00200677" w:rsidP="00592D83">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01B86" w14:textId="5B6BF19A" w:rsidR="00D64C21" w:rsidRDefault="00E1307E">
    <w:pPr>
      <w:pStyle w:val="Footer"/>
      <w:jc w:val="center"/>
    </w:pPr>
    <w:sdt>
      <w:sdtPr>
        <w:id w:val="-1667705630"/>
        <w:docPartObj>
          <w:docPartGallery w:val="Page Numbers (Bottom of Page)"/>
          <w:docPartUnique/>
        </w:docPartObj>
      </w:sdtPr>
      <w:sdtEndPr>
        <w:rPr>
          <w:noProof/>
        </w:rPr>
      </w:sdtEndPr>
      <w:sdtContent>
        <w:r w:rsidR="00D64C21">
          <w:fldChar w:fldCharType="begin"/>
        </w:r>
        <w:r w:rsidR="00D64C21">
          <w:instrText xml:space="preserve"> PAGE   \* MERGEFORMAT </w:instrText>
        </w:r>
        <w:r w:rsidR="00D64C21">
          <w:fldChar w:fldCharType="separate"/>
        </w:r>
        <w:r w:rsidR="00D64C21">
          <w:rPr>
            <w:noProof/>
          </w:rPr>
          <w:t>2</w:t>
        </w:r>
        <w:r w:rsidR="00D64C21">
          <w:rPr>
            <w:noProof/>
          </w:rPr>
          <w:fldChar w:fldCharType="end"/>
        </w:r>
      </w:sdtContent>
    </w:sdt>
  </w:p>
  <w:p w14:paraId="0C9F8137" w14:textId="43E9F2A1" w:rsidR="00200677" w:rsidRDefault="00200677">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A3FA14" w14:textId="77777777" w:rsidR="00EF2568" w:rsidRDefault="00EF2568">
      <w:r>
        <w:separator/>
      </w:r>
    </w:p>
  </w:footnote>
  <w:footnote w:type="continuationSeparator" w:id="0">
    <w:p w14:paraId="1D771236" w14:textId="77777777" w:rsidR="00EF2568" w:rsidRDefault="00EF2568">
      <w:r>
        <w:continuationSeparator/>
      </w:r>
    </w:p>
  </w:footnote>
  <w:footnote w:type="continuationNotice" w:id="1">
    <w:p w14:paraId="00C0C8CF" w14:textId="77777777" w:rsidR="00EF2568" w:rsidRDefault="00EF256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F53FEA" w14:textId="694D6F7E" w:rsidR="00200677" w:rsidRDefault="001F599C">
    <w:pPr>
      <w:pStyle w:val="Header"/>
    </w:pPr>
    <w:r>
      <w:rPr>
        <w:noProof/>
      </w:rPr>
      <mc:AlternateContent>
        <mc:Choice Requires="wps">
          <w:drawing>
            <wp:anchor distT="0" distB="0" distL="114300" distR="114300" simplePos="0" relativeHeight="251658252" behindDoc="1" locked="0" layoutInCell="0" allowOverlap="1" wp14:anchorId="10109932" wp14:editId="100BDC62">
              <wp:simplePos x="0" y="0"/>
              <wp:positionH relativeFrom="margin">
                <wp:align>center</wp:align>
              </wp:positionH>
              <wp:positionV relativeFrom="margin">
                <wp:align>center</wp:align>
              </wp:positionV>
              <wp:extent cx="5774055" cy="2309495"/>
              <wp:effectExtent l="0" t="1466850" r="0" b="1329055"/>
              <wp:wrapNone/>
              <wp:docPr id="36307925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E0455D8" w14:textId="2699085F" w:rsidR="001F599C" w:rsidRDefault="001F599C" w:rsidP="001F599C">
                          <w:pPr>
                            <w:jc w:val="center"/>
                            <w:rPr>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0109932" id="_x0000_t202" coordsize="21600,21600" o:spt="202" path="m,l,21600r21600,l21600,xe">
              <v:stroke joinstyle="miter"/>
              <v:path gradientshapeok="t" o:connecttype="rect"/>
            </v:shapetype>
            <v:shape id="_x0000_s1027" type="#_x0000_t202" style="position:absolute;margin-left:0;margin-top:0;width:454.65pt;height:181.85pt;rotation:-45;z-index:-25165822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" o:allowincell="f" filled="f" stroked="f">
              <v:stroke joinstyle="round"/>
              <o:lock v:ext="edit" shapetype="t"/>
              <v:textbox style="mso-fit-shape-to-text:t">
                <w:txbxContent>
                  <w:p w14:paraId="1E0455D8" w14:textId="2699085F" w:rsidR="001F599C" w:rsidRDefault="001F599C" w:rsidP="001F599C">
                    <w:pPr>
                      <w:jc w:val="center"/>
                      <w:rPr>
                        <w:color w:val="C0C0C0"/>
                        <w:sz w:val="2"/>
                        <w:szCs w:val="2"/>
                        <w14:textFill>
                          <w14:solidFill>
                            <w14:srgbClr w14:val="C0C0C0">
                              <w14:alpha w14:val="50000"/>
                            </w14:srgbClr>
                          </w14:solidFill>
                        </w14:textFill>
                      </w:rPr>
                    </w:pPr>
                  </w:p>
                </w:txbxContent>
              </v:textbox>
              <w10:wrap anchorx="margin" anchory="margin"/>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14BD0" w14:textId="3D898B99" w:rsidR="00D64C21" w:rsidRDefault="00D64C21">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CC76D" w14:textId="60BD2FF1" w:rsidR="00784E9A" w:rsidRDefault="00200677" w:rsidP="00784E9A">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0AD258A5" w14:textId="3B849BB8" w:rsidR="00200677" w:rsidRDefault="00200677">
    <w:pPr>
      <w:pStyle w:val="Header"/>
      <w:jc w:val="center"/>
      <w:rPr>
        <w:rFonts w:ascii="Calibri" w:hAnsi="Calibri"/>
      </w:rPr>
    </w:pPr>
    <w:r>
      <w:rPr>
        <w:rFonts w:ascii="Calibri" w:hAnsi="Calibri"/>
      </w:rPr>
      <w:t>PCC STATEMENT OF RESPONSIBILITIES</w:t>
    </w:r>
  </w:p>
  <w:p w14:paraId="0FBAA5C7" w14:textId="795C9DC4" w:rsidR="00200677" w:rsidRDefault="00200677"/>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7B68E" w14:textId="0C01D65E" w:rsidR="00D64C21" w:rsidRDefault="00D64C21">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EE90B" w14:textId="737E7C78" w:rsidR="00200677" w:rsidRDefault="00E1307E">
    <w:pPr>
      <w:pStyle w:val="Header"/>
    </w:pPr>
    <w:r>
      <w:rPr>
        <w:noProof/>
      </w:rPr>
      <w:pict w14:anchorId="22660CE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54.65pt;height:181.85pt;rotation:315;z-index:-251658221;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7C534" w14:textId="5679FEE1" w:rsidR="0001126F" w:rsidRPr="007F74DA" w:rsidRDefault="00200677" w:rsidP="0001126F">
    <w:pPr>
      <w:jc w:val="center"/>
      <w:rPr>
        <w:rFonts w:asciiTheme="minorHAnsi" w:hAnsiTheme="minorHAnsi"/>
      </w:rPr>
    </w:pPr>
    <w:r w:rsidRPr="007F74DA">
      <w:rPr>
        <w:rFonts w:asciiTheme="minorHAnsi" w:hAnsiTheme="minorHAnsi"/>
      </w:rPr>
      <w:t xml:space="preserve">POLICE AND CRIME COMMISSIONER FOR LANCASHIRE </w:t>
    </w:r>
    <w:r w:rsidR="00C37E7F">
      <w:rPr>
        <w:rFonts w:asciiTheme="minorHAnsi" w:hAnsiTheme="minorHAnsi"/>
      </w:rPr>
      <w:t>2024/25</w:t>
    </w:r>
  </w:p>
  <w:p w14:paraId="0942EAAF" w14:textId="3B939A04" w:rsidR="00200677" w:rsidRDefault="00200677" w:rsidP="00001851">
    <w:pPr>
      <w:jc w:val="center"/>
      <w:rPr>
        <w:rFonts w:asciiTheme="minorHAnsi" w:hAnsiTheme="minorHAnsi"/>
      </w:rPr>
    </w:pPr>
    <w:r>
      <w:rPr>
        <w:rFonts w:asciiTheme="minorHAnsi" w:hAnsiTheme="minorHAnsi"/>
      </w:rPr>
      <w:t xml:space="preserve">PCC </w:t>
    </w:r>
    <w:r w:rsidRPr="007F74DA">
      <w:rPr>
        <w:rFonts w:asciiTheme="minorHAnsi" w:hAnsiTheme="minorHAnsi"/>
      </w:rPr>
      <w:t>GROUP COMPREHENSIVE INCOME AND EXPENDITURE STATEMENT</w:t>
    </w:r>
  </w:p>
  <w:p w14:paraId="288860A6" w14:textId="2775FCE1" w:rsidR="00200677" w:rsidRPr="007F74DA" w:rsidRDefault="00200677" w:rsidP="00001851">
    <w:pPr>
      <w:jc w:val="center"/>
      <w:rPr>
        <w:rFonts w:asciiTheme="minorHAnsi" w:hAnsiTheme="minorHAnsi"/>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45138" w14:textId="54E515B4" w:rsidR="00200677" w:rsidRDefault="00E1307E">
    <w:pPr>
      <w:pStyle w:val="Header"/>
    </w:pPr>
    <w:r>
      <w:rPr>
        <w:noProof/>
      </w:rPr>
      <w:pict w14:anchorId="0354F4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7" type="#_x0000_t136" style="position:absolute;margin-left:0;margin-top:0;width:454.65pt;height:181.85pt;rotation:315;z-index:-251658223;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B22D93" w14:textId="5DDF0F0E" w:rsidR="00200677" w:rsidRDefault="00E1307E">
    <w:pPr>
      <w:pStyle w:val="Header"/>
    </w:pPr>
    <w:r>
      <w:rPr>
        <w:noProof/>
      </w:rPr>
      <w:pict w14:anchorId="58C848B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1" type="#_x0000_t136" style="position:absolute;margin-left:0;margin-top:0;width:454.65pt;height:181.85pt;rotation:315;z-index:-25165821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223E9" w14:textId="51517A74" w:rsidR="00200677" w:rsidRDefault="00200677" w:rsidP="0098005B">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57584FCD" w14:textId="3D2945F4" w:rsidR="00200677" w:rsidRDefault="00200677" w:rsidP="001D5A56">
    <w:pPr>
      <w:pStyle w:val="Header"/>
      <w:jc w:val="center"/>
      <w:rPr>
        <w:rFonts w:ascii="Calibri" w:hAnsi="Calibri"/>
      </w:rPr>
    </w:pPr>
    <w:r>
      <w:rPr>
        <w:rFonts w:ascii="Calibri" w:hAnsi="Calibri"/>
      </w:rPr>
      <w:t xml:space="preserve">PCC </w:t>
    </w:r>
    <w:r w:rsidRPr="00E14BDD">
      <w:rPr>
        <w:rFonts w:ascii="Calibri" w:hAnsi="Calibri"/>
      </w:rPr>
      <w:t>SINGLE ENTITY</w:t>
    </w:r>
    <w:r>
      <w:rPr>
        <w:rFonts w:ascii="Calibri" w:hAnsi="Calibri"/>
      </w:rPr>
      <w:t xml:space="preserve"> COMPREHENSIVE INCOME AND EXPENDITURE STATEMENT</w:t>
    </w:r>
  </w:p>
  <w:p w14:paraId="72106AF8" w14:textId="2A7EA4C6" w:rsidR="00200677" w:rsidRDefault="00EC0A1D" w:rsidP="001D5A56">
    <w:pPr>
      <w:pStyle w:val="Header"/>
      <w:jc w:val="center"/>
    </w:pPr>
    <w:r>
      <w:rPr>
        <w:noProof/>
      </w:rPr>
      <mc:AlternateContent>
        <mc:Choice Requires="wps">
          <w:drawing>
            <wp:anchor distT="0" distB="0" distL="114300" distR="114300" simplePos="0" relativeHeight="251658243" behindDoc="1" locked="0" layoutInCell="1" allowOverlap="1" wp14:anchorId="3CB5012E" wp14:editId="136CE2CD">
              <wp:simplePos x="0" y="0"/>
              <wp:positionH relativeFrom="margin">
                <wp:posOffset>66675</wp:posOffset>
              </wp:positionH>
              <wp:positionV relativeFrom="paragraph">
                <wp:posOffset>3490596</wp:posOffset>
              </wp:positionV>
              <wp:extent cx="6090920" cy="2209800"/>
              <wp:effectExtent l="0" t="1714500" r="0" b="1714500"/>
              <wp:wrapNone/>
              <wp:docPr id="873402540"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44669B0B" w14:textId="262B8674" w:rsidR="00EC0A1D" w:rsidRPr="004019DE" w:rsidRDefault="00EC0A1D" w:rsidP="00EC0A1D">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B5012E" id="_x0000_t202" coordsize="21600,21600" o:spt="202" path="m,l,21600r21600,l21600,xe">
              <v:stroke joinstyle="miter"/>
              <v:path gradientshapeok="t" o:connecttype="rect"/>
            </v:shapetype>
            <v:shape id="_x0000_s1031" type="#_x0000_t202" style="position:absolute;left:0;text-align:left;margin-left:5.25pt;margin-top:274.85pt;width:479.6pt;height:174pt;rotation:-2769289fd;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" filled="f" stroked="f">
              <v:textbox>
                <w:txbxContent>
                  <w:p w14:paraId="44669B0B" w14:textId="262B8674" w:rsidR="00EC0A1D" w:rsidRPr="004019DE" w:rsidRDefault="00EC0A1D" w:rsidP="00EC0A1D">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0E6FA" w14:textId="2133DE2C" w:rsidR="00200677" w:rsidRDefault="00E1307E">
    <w:pPr>
      <w:pStyle w:val="Header"/>
    </w:pPr>
    <w:r>
      <w:rPr>
        <w:noProof/>
      </w:rPr>
      <w:pict w14:anchorId="3B144C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0" type="#_x0000_t136" style="position:absolute;margin-left:0;margin-top:0;width:454.65pt;height:181.85pt;rotation:315;z-index:-2516582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2FBE7" w14:textId="5E20B985" w:rsidR="00200677" w:rsidRDefault="00E1307E">
    <w:pPr>
      <w:pStyle w:val="Header"/>
    </w:pPr>
    <w:r>
      <w:rPr>
        <w:noProof/>
      </w:rPr>
      <w:pict w14:anchorId="03CE57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7" type="#_x0000_t136" style="position:absolute;margin-left:0;margin-top:0;width:454.65pt;height:181.85pt;rotation:315;z-index:-251658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B8203" w14:textId="5ABB1461" w:rsidR="00200677" w:rsidRDefault="001F599C" w:rsidP="0048454D">
    <w:pPr>
      <w:pStyle w:val="Header"/>
      <w:jc w:val="center"/>
      <w:rPr>
        <w:rFonts w:ascii="Calibri" w:hAnsi="Calibri"/>
      </w:rPr>
    </w:pPr>
    <w:r>
      <w:rPr>
        <w:noProof/>
      </w:rPr>
      <mc:AlternateContent>
        <mc:Choice Requires="wps">
          <w:drawing>
            <wp:anchor distT="0" distB="0" distL="114300" distR="114300" simplePos="0" relativeHeight="251658253" behindDoc="1" locked="0" layoutInCell="0" allowOverlap="1" wp14:anchorId="02D49D9E" wp14:editId="32124F9A">
              <wp:simplePos x="0" y="0"/>
              <wp:positionH relativeFrom="margin">
                <wp:align>center</wp:align>
              </wp:positionH>
              <wp:positionV relativeFrom="margin">
                <wp:align>center</wp:align>
              </wp:positionV>
              <wp:extent cx="5774055" cy="2309495"/>
              <wp:effectExtent l="0" t="1466850" r="0" b="1329055"/>
              <wp:wrapNone/>
              <wp:docPr id="74398685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A2A80B" w14:textId="545B2B6D" w:rsidR="001F599C" w:rsidRDefault="001F599C" w:rsidP="001F599C">
                          <w:pPr>
                            <w:jc w:val="center"/>
                            <w:rPr>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D49D9E" id="_x0000_t202" coordsize="21600,21600" o:spt="202" path="m,l,21600r21600,l21600,xe">
              <v:stroke joinstyle="miter"/>
              <v:path gradientshapeok="t" o:connecttype="rect"/>
            </v:shapetype>
            <v:shape id="Text Box 1" o:spid="_x0000_s1028" type="#_x0000_t202" style="position:absolute;left:0;text-align:left;margin-left:0;margin-top:0;width:454.65pt;height:181.85pt;rotation:-45;z-index:-25165822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" o:allowincell="f" filled="f" stroked="f">
              <v:stroke joinstyle="round"/>
              <o:lock v:ext="edit" shapetype="t"/>
              <v:textbox style="mso-fit-shape-to-text:t">
                <w:txbxContent>
                  <w:p w14:paraId="21A2A80B" w14:textId="545B2B6D" w:rsidR="001F599C" w:rsidRDefault="001F599C" w:rsidP="001F599C">
                    <w:pPr>
                      <w:jc w:val="center"/>
                      <w:rPr>
                        <w:color w:val="C0C0C0"/>
                        <w:sz w:val="2"/>
                        <w:szCs w:val="2"/>
                        <w14:textFill>
                          <w14:solidFill>
                            <w14:srgbClr w14:val="C0C0C0">
                              <w14:alpha w14:val="50000"/>
                            </w14:srgbClr>
                          </w14:solidFill>
                        </w14:textFill>
                      </w:rPr>
                    </w:pPr>
                  </w:p>
                </w:txbxContent>
              </v:textbox>
              <w10:wrap anchorx="margin" anchory="margin"/>
            </v:shape>
          </w:pict>
        </mc:Fallback>
      </mc:AlternateContent>
    </w:r>
    <w:r w:rsidR="00200677">
      <w:rPr>
        <w:rFonts w:ascii="Calibri" w:hAnsi="Calibri"/>
      </w:rPr>
      <w:t>LANCASHIRE POLICE AUTHORITY 2011/12</w:t>
    </w:r>
  </w:p>
  <w:p w14:paraId="4207879A" w14:textId="77777777" w:rsidR="00200677" w:rsidRPr="0048454D" w:rsidRDefault="00200677" w:rsidP="0048454D">
    <w:pPr>
      <w:pStyle w:val="Header"/>
      <w:jc w:val="center"/>
      <w:rPr>
        <w:rFonts w:ascii="Calibri" w:hAnsi="Calibri"/>
      </w:rPr>
    </w:pPr>
    <w:r w:rsidRPr="0048454D">
      <w:rPr>
        <w:rFonts w:ascii="Calibri" w:hAnsi="Calibri"/>
      </w:rPr>
      <w:t>EXPLANATORY FOREWARD</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24D0C" w14:textId="287A0A7F" w:rsidR="00200677" w:rsidRDefault="00200677" w:rsidP="000B074C">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1E82AC17" w14:textId="2CE58BE0" w:rsidR="00200677" w:rsidRDefault="00200677" w:rsidP="000B074C">
    <w:pPr>
      <w:pStyle w:val="Header"/>
      <w:jc w:val="center"/>
    </w:pPr>
    <w:r>
      <w:rPr>
        <w:rFonts w:ascii="Calibri" w:hAnsi="Calibri"/>
      </w:rPr>
      <w:t xml:space="preserve">PCC </w:t>
    </w:r>
    <w:r w:rsidR="007F558F">
      <w:rPr>
        <w:rFonts w:ascii="Calibri" w:hAnsi="Calibri"/>
      </w:rPr>
      <w:t xml:space="preserve">GROUP </w:t>
    </w:r>
    <w:r>
      <w:rPr>
        <w:rFonts w:ascii="Calibri" w:hAnsi="Calibri"/>
      </w:rPr>
      <w:t>MOVEMENT IN RESERVES STATEMENTS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8581D" w14:textId="48116371" w:rsidR="00200677" w:rsidRDefault="00E1307E">
    <w:pPr>
      <w:pStyle w:val="Header"/>
    </w:pPr>
    <w:r>
      <w:rPr>
        <w:noProof/>
      </w:rPr>
      <w:pict w14:anchorId="6F372FE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6" type="#_x0000_t136" style="position:absolute;margin-left:0;margin-top:0;width:454.65pt;height:181.85pt;rotation:315;z-index:-251658217;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8FCD3" w14:textId="77777777" w:rsidR="007F558F" w:rsidRDefault="007F558F" w:rsidP="000B074C">
    <w:pPr>
      <w:pStyle w:val="Header"/>
      <w:jc w:val="center"/>
      <w:rPr>
        <w:rFonts w:ascii="Calibri" w:hAnsi="Calibri"/>
      </w:rPr>
    </w:pPr>
    <w:r>
      <w:rPr>
        <w:rFonts w:ascii="Calibri" w:hAnsi="Calibri"/>
      </w:rPr>
      <w:t>POLICE AND CRIME COMMISSIONER FOR LANCASHIRE 2024/25</w:t>
    </w:r>
  </w:p>
  <w:p w14:paraId="77E80457" w14:textId="77777777" w:rsidR="007F558F" w:rsidRDefault="007F558F" w:rsidP="000B074C">
    <w:pPr>
      <w:pStyle w:val="Header"/>
      <w:jc w:val="center"/>
    </w:pPr>
    <w:r>
      <w:rPr>
        <w:rFonts w:ascii="Calibri" w:hAnsi="Calibri"/>
      </w:rPr>
      <w:t>PCC SINGLE ENTITY MOVEMENT IN RESERVES STATEMENTS</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F67FCD" w14:textId="035079D2" w:rsidR="00200677" w:rsidRDefault="00E1307E">
    <w:pPr>
      <w:pStyle w:val="Header"/>
    </w:pPr>
    <w:r>
      <w:rPr>
        <w:noProof/>
      </w:rPr>
      <w:pict w14:anchorId="4482C11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0" type="#_x0000_t136" style="position:absolute;margin-left:0;margin-top:0;width:454.65pt;height:181.85pt;rotation:315;z-index:-25165821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E1ECB" w14:textId="415E318D" w:rsidR="00200677" w:rsidRDefault="00200677" w:rsidP="000B074C">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5CD0285D" w14:textId="19E6EF42" w:rsidR="00200677" w:rsidRDefault="003B7669" w:rsidP="000B074C">
    <w:pPr>
      <w:pStyle w:val="Header"/>
      <w:jc w:val="center"/>
    </w:pPr>
    <w:r>
      <w:rPr>
        <w:noProof/>
      </w:rPr>
      <mc:AlternateContent>
        <mc:Choice Requires="wps">
          <w:drawing>
            <wp:anchor distT="0" distB="0" distL="114300" distR="114300" simplePos="0" relativeHeight="251658244" behindDoc="1" locked="0" layoutInCell="1" allowOverlap="1" wp14:anchorId="5F3A5502" wp14:editId="0D4927D0">
              <wp:simplePos x="0" y="0"/>
              <wp:positionH relativeFrom="margin">
                <wp:align>left</wp:align>
              </wp:positionH>
              <wp:positionV relativeFrom="paragraph">
                <wp:posOffset>3869690</wp:posOffset>
              </wp:positionV>
              <wp:extent cx="6090920" cy="2209800"/>
              <wp:effectExtent l="0" t="1714500" r="0" b="1714500"/>
              <wp:wrapNone/>
              <wp:docPr id="1294796960"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7C6E6937" w14:textId="53DFB3D0" w:rsidR="003B7669" w:rsidRPr="004019DE" w:rsidRDefault="003B7669" w:rsidP="003B766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3A5502" id="_x0000_t202" coordsize="21600,21600" o:spt="202" path="m,l,21600r21600,l21600,xe">
              <v:stroke joinstyle="miter"/>
              <v:path gradientshapeok="t" o:connecttype="rect"/>
            </v:shapetype>
            <v:shape id="_x0000_s1032" type="#_x0000_t202" style="position:absolute;left:0;text-align:left;margin-left:0;margin-top:304.7pt;width:479.6pt;height:174pt;rotation:-2769289fd;z-index:-2516582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" filled="f" stroked="f">
              <v:textbox>
                <w:txbxContent>
                  <w:p w14:paraId="7C6E6937" w14:textId="53DFB3D0" w:rsidR="003B7669" w:rsidRPr="004019DE" w:rsidRDefault="003B7669" w:rsidP="003B766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r w:rsidR="00200677">
      <w:rPr>
        <w:rFonts w:ascii="Calibri" w:hAnsi="Calibri"/>
      </w:rPr>
      <w:t>PCC GROUP BALANCE SHEET</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ABA59" w14:textId="6CF1622E" w:rsidR="00200677" w:rsidRDefault="00E1307E">
    <w:pPr>
      <w:pStyle w:val="Header"/>
    </w:pPr>
    <w:r>
      <w:rPr>
        <w:noProof/>
      </w:rPr>
      <w:pict w14:anchorId="77B176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9" type="#_x0000_t136" style="position:absolute;margin-left:0;margin-top:0;width:454.65pt;height:181.85pt;rotation:315;z-index:-251658215;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D114A" w14:textId="6AC5B946" w:rsidR="00200677" w:rsidRDefault="00E1307E">
    <w:pPr>
      <w:pStyle w:val="Header"/>
    </w:pPr>
    <w:r>
      <w:rPr>
        <w:noProof/>
      </w:rPr>
      <w:pict w14:anchorId="04082B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3" type="#_x0000_t136" style="position:absolute;margin-left:0;margin-top:0;width:454.65pt;height:181.85pt;rotation:315;z-index:-25165821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2E340" w14:textId="3E61A525" w:rsidR="00200677" w:rsidRDefault="00200677" w:rsidP="000B074C">
    <w:pPr>
      <w:pStyle w:val="Header"/>
      <w:jc w:val="center"/>
      <w:rPr>
        <w:rFonts w:ascii="Calibri" w:hAnsi="Calibri"/>
      </w:rPr>
    </w:pPr>
    <w:r>
      <w:rPr>
        <w:noProof/>
      </w:rPr>
      <mc:AlternateContent>
        <mc:Choice Requires="wps">
          <w:drawing>
            <wp:anchor distT="0" distB="0" distL="114300" distR="114300" simplePos="0" relativeHeight="251658240" behindDoc="1" locked="0" layoutInCell="0" allowOverlap="1" wp14:anchorId="1E1B2124" wp14:editId="7C62E29A">
              <wp:simplePos x="0" y="0"/>
              <wp:positionH relativeFrom="margin">
                <wp:align>center</wp:align>
              </wp:positionH>
              <wp:positionV relativeFrom="margin">
                <wp:align>center</wp:align>
              </wp:positionV>
              <wp:extent cx="5774055" cy="2309495"/>
              <wp:effectExtent l="0" t="1562100" r="0" b="1271905"/>
              <wp:wrapNone/>
              <wp:docPr id="11" name="WordArt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AD46D0E" w14:textId="480210AC" w:rsidR="00200677" w:rsidRDefault="00200677" w:rsidP="00A06690">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1B2124" id="_x0000_t202" coordsize="21600,21600" o:spt="202" path="m,l,21600r21600,l21600,xe">
              <v:stroke joinstyle="miter"/>
              <v:path gradientshapeok="t" o:connecttype="rect"/>
            </v:shapetype>
            <v:shape id="WordArt 55" o:spid="_x0000_s1033" type="#_x0000_t202" style="position:absolute;left:0;text-align:left;margin-left:0;margin-top:0;width:454.65pt;height:181.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" o:allowincell="f" filled="f" stroked="f">
              <v:stroke joinstyle="round"/>
              <o:lock v:ext="edit" shapetype="t"/>
              <v:textbox style="mso-fit-shape-to-text:t">
                <w:txbxContent>
                  <w:p w14:paraId="1AD46D0E" w14:textId="480210AC" w:rsidR="00200677" w:rsidRDefault="00200677" w:rsidP="00A06690">
                    <w:pPr>
                      <w:pStyle w:val="NormalWeb"/>
                      <w:spacing w:before="0" w:beforeAutospacing="0" w:after="0" w:afterAutospacing="0"/>
                      <w:jc w:val="center"/>
                    </w:pPr>
                  </w:p>
                </w:txbxContent>
              </v:textbox>
              <w10:wrap anchorx="margin" anchory="margin"/>
            </v:shape>
          </w:pict>
        </mc:Fallback>
      </mc:AlternateContent>
    </w:r>
    <w:r>
      <w:rPr>
        <w:rFonts w:ascii="Calibri" w:hAnsi="Calibri"/>
      </w:rPr>
      <w:t xml:space="preserve">POLICE AND CRIME COMMISSIONER FOR LANCASHIRE </w:t>
    </w:r>
    <w:r w:rsidR="00C37E7F">
      <w:rPr>
        <w:rFonts w:ascii="Calibri" w:hAnsi="Calibri"/>
      </w:rPr>
      <w:t>2024/25</w:t>
    </w:r>
  </w:p>
  <w:p w14:paraId="69D4FF04" w14:textId="6A45AD9B" w:rsidR="00200677" w:rsidRDefault="003B7669" w:rsidP="000B074C">
    <w:pPr>
      <w:pStyle w:val="Header"/>
      <w:jc w:val="center"/>
    </w:pPr>
    <w:r>
      <w:rPr>
        <w:noProof/>
      </w:rPr>
      <mc:AlternateContent>
        <mc:Choice Requires="wps">
          <w:drawing>
            <wp:anchor distT="0" distB="0" distL="114300" distR="114300" simplePos="0" relativeHeight="251658246" behindDoc="1" locked="0" layoutInCell="1" allowOverlap="1" wp14:anchorId="0467F855" wp14:editId="0589BC5D">
              <wp:simplePos x="0" y="0"/>
              <wp:positionH relativeFrom="margin">
                <wp:align>right</wp:align>
              </wp:positionH>
              <wp:positionV relativeFrom="paragraph">
                <wp:posOffset>3869690</wp:posOffset>
              </wp:positionV>
              <wp:extent cx="6090920" cy="2209800"/>
              <wp:effectExtent l="0" t="1714500" r="0" b="1714500"/>
              <wp:wrapNone/>
              <wp:docPr id="359988671"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7499FAF0" w14:textId="124675B9" w:rsidR="003B7669" w:rsidRPr="004019DE" w:rsidRDefault="003B7669" w:rsidP="003B766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67F855" id="_x0000_s1034" type="#_x0000_t202" style="position:absolute;left:0;text-align:left;margin-left:428.4pt;margin-top:304.7pt;width:479.6pt;height:174pt;rotation:-2769289fd;z-index:-25165823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" filled="f" stroked="f">
              <v:textbox>
                <w:txbxContent>
                  <w:p w14:paraId="7499FAF0" w14:textId="124675B9" w:rsidR="003B7669" w:rsidRPr="004019DE" w:rsidRDefault="003B7669" w:rsidP="003B766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r w:rsidR="00200677">
      <w:rPr>
        <w:rFonts w:ascii="Calibri" w:hAnsi="Calibri"/>
      </w:rPr>
      <w:t>PCC SINGLE ENTITY BALANCE SHEET</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B547B" w14:textId="559FB3E8" w:rsidR="00200677" w:rsidRDefault="00E1307E">
    <w:pPr>
      <w:pStyle w:val="Header"/>
    </w:pPr>
    <w:r>
      <w:rPr>
        <w:noProof/>
      </w:rPr>
      <w:pict w14:anchorId="15B08CC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2" type="#_x0000_t136" style="position:absolute;margin-left:0;margin-top:0;width:454.65pt;height:181.85pt;rotation:315;z-index:-251658213;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87963" w14:textId="58C9D39F" w:rsidR="00200677" w:rsidRDefault="00E1307E">
    <w:pPr>
      <w:pStyle w:val="Header"/>
    </w:pPr>
    <w:r>
      <w:rPr>
        <w:noProof/>
      </w:rPr>
      <w:pict w14:anchorId="0EF57B3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6" type="#_x0000_t136" style="position:absolute;margin-left:0;margin-top:0;width:454.65pt;height:181.85pt;rotation:315;z-index:-25165821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545F34" w14:textId="5E407175" w:rsidR="00200677" w:rsidRPr="00E639E8" w:rsidRDefault="00200677" w:rsidP="0050098F">
    <w:pPr>
      <w:pStyle w:val="Header"/>
      <w:jc w:val="center"/>
      <w:rPr>
        <w:rFonts w:ascii="Arial" w:hAnsi="Arial" w:cs="Arial"/>
        <w:b/>
        <w:sz w:val="24"/>
        <w:szCs w:val="24"/>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111C2" w14:textId="51C84E28" w:rsidR="00200677" w:rsidRDefault="00200677" w:rsidP="000B074C">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2F4302C3" w14:textId="770E4C28" w:rsidR="00200677" w:rsidRPr="00627469" w:rsidRDefault="003B7669" w:rsidP="000B074C">
    <w:pPr>
      <w:pStyle w:val="Header"/>
      <w:jc w:val="center"/>
      <w:rPr>
        <w:rFonts w:ascii="Calibri" w:hAnsi="Calibri"/>
      </w:rPr>
    </w:pPr>
    <w:r>
      <w:rPr>
        <w:noProof/>
      </w:rPr>
      <mc:AlternateContent>
        <mc:Choice Requires="wps">
          <w:drawing>
            <wp:anchor distT="0" distB="0" distL="114300" distR="114300" simplePos="0" relativeHeight="251658293" behindDoc="1" locked="0" layoutInCell="1" allowOverlap="1" wp14:anchorId="130F64BE" wp14:editId="2728149E">
              <wp:simplePos x="0" y="0"/>
              <wp:positionH relativeFrom="margin">
                <wp:align>center</wp:align>
              </wp:positionH>
              <wp:positionV relativeFrom="paragraph">
                <wp:posOffset>3831590</wp:posOffset>
              </wp:positionV>
              <wp:extent cx="6090920" cy="2209800"/>
              <wp:effectExtent l="0" t="1714500" r="0" b="1714500"/>
              <wp:wrapNone/>
              <wp:docPr id="1405879183"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22A93831" w14:textId="341EE884" w:rsidR="003B7669" w:rsidRPr="004019DE" w:rsidRDefault="003B7669" w:rsidP="003B766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0F64BE" id="_x0000_t202" coordsize="21600,21600" o:spt="202" path="m,l,21600r21600,l21600,xe">
              <v:stroke joinstyle="miter"/>
              <v:path gradientshapeok="t" o:connecttype="rect"/>
            </v:shapetype>
            <v:shape id="_x0000_s1035" type="#_x0000_t202" style="position:absolute;left:0;text-align:left;margin-left:0;margin-top:301.7pt;width:479.6pt;height:174pt;rotation:-2769289fd;z-index:-2516581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" filled="f" stroked="f">
              <v:textbox>
                <w:txbxContent>
                  <w:p w14:paraId="22A93831" w14:textId="341EE884" w:rsidR="003B7669" w:rsidRPr="004019DE" w:rsidRDefault="003B7669" w:rsidP="003B766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r w:rsidR="00200677">
      <w:rPr>
        <w:rFonts w:ascii="Calibri" w:hAnsi="Calibri"/>
      </w:rPr>
      <w:t xml:space="preserve"> PCC GROUP CASHFLOW STATEMENT</w: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8B962" w14:textId="430959E1" w:rsidR="00200677" w:rsidRDefault="00E1307E" w:rsidP="008C4145">
    <w:pPr>
      <w:pStyle w:val="Header"/>
      <w:jc w:val="center"/>
      <w:rPr>
        <w:rFonts w:ascii="Calibri" w:hAnsi="Calibri"/>
      </w:rPr>
    </w:pPr>
    <w:r>
      <w:rPr>
        <w:noProof/>
      </w:rPr>
      <w:pict w14:anchorId="13C5A6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5" type="#_x0000_t136" style="position:absolute;left:0;text-align:left;margin-left:0;margin-top:0;width:454.65pt;height:181.85pt;rotation:315;z-index:-251658211;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00677">
      <w:rPr>
        <w:rFonts w:ascii="Calibri" w:hAnsi="Calibri"/>
      </w:rPr>
      <w:t>POLICE AND CRIME COMMISSIONER FOR LANCASHIRE 2012/13</w:t>
    </w:r>
  </w:p>
  <w:p w14:paraId="774CB525" w14:textId="77777777" w:rsidR="00200677" w:rsidRPr="00627469" w:rsidRDefault="00200677" w:rsidP="008C4145">
    <w:pPr>
      <w:pStyle w:val="Header"/>
      <w:jc w:val="center"/>
      <w:rPr>
        <w:rFonts w:ascii="Calibri" w:hAnsi="Calibri"/>
      </w:rPr>
    </w:pPr>
    <w:r>
      <w:rPr>
        <w:rFonts w:ascii="Calibri" w:hAnsi="Calibri"/>
      </w:rPr>
      <w:t>NOTES TO THE ACCOUNTS</w:t>
    </w:r>
  </w:p>
  <w:p w14:paraId="54CE56C2" w14:textId="77777777" w:rsidR="00200677" w:rsidRDefault="002006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2268" w14:textId="07D31932" w:rsidR="00200677" w:rsidRDefault="00E1307E">
    <w:pPr>
      <w:pStyle w:val="Header"/>
    </w:pPr>
    <w:r>
      <w:rPr>
        <w:noProof/>
      </w:rPr>
      <w:pict w14:anchorId="0BD971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9" type="#_x0000_t136" style="position:absolute;margin-left:0;margin-top:0;width:454.65pt;height:181.85pt;rotation:315;z-index:-25165820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177A0" w14:textId="487A412B" w:rsidR="00200677" w:rsidRDefault="00200677" w:rsidP="000B074C">
    <w:pPr>
      <w:pStyle w:val="Header"/>
      <w:jc w:val="center"/>
      <w:rPr>
        <w:rFonts w:ascii="Calibri" w:hAnsi="Calibri"/>
      </w:rPr>
    </w:pPr>
    <w:r>
      <w:rPr>
        <w:noProof/>
      </w:rPr>
      <mc:AlternateContent>
        <mc:Choice Requires="wps">
          <w:drawing>
            <wp:anchor distT="0" distB="0" distL="114300" distR="114300" simplePos="0" relativeHeight="251658241" behindDoc="1" locked="0" layoutInCell="0" allowOverlap="1" wp14:anchorId="69C95BF0" wp14:editId="789C31F7">
              <wp:simplePos x="0" y="0"/>
              <wp:positionH relativeFrom="margin">
                <wp:align>center</wp:align>
              </wp:positionH>
              <wp:positionV relativeFrom="margin">
                <wp:align>center</wp:align>
              </wp:positionV>
              <wp:extent cx="5774055" cy="2309495"/>
              <wp:effectExtent l="0" t="1562100" r="0" b="1271905"/>
              <wp:wrapNone/>
              <wp:docPr id="6" name="WordArt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26883FB" w14:textId="20CACD2C" w:rsidR="00200677" w:rsidRDefault="00200677" w:rsidP="00A06690">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9C95BF0" id="_x0000_t202" coordsize="21600,21600" o:spt="202" path="m,l,21600r21600,l21600,xe">
              <v:stroke joinstyle="miter"/>
              <v:path gradientshapeok="t" o:connecttype="rect"/>
            </v:shapetype>
            <v:shape id="WordArt 56" o:spid="_x0000_s1036" type="#_x0000_t202" style="position:absolute;left:0;text-align:left;margin-left:0;margin-top:0;width:454.65pt;height:181.8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" o:allowincell="f" filled="f" stroked="f">
              <v:stroke joinstyle="round"/>
              <o:lock v:ext="edit" shapetype="t"/>
              <v:textbox style="mso-fit-shape-to-text:t">
                <w:txbxContent>
                  <w:p w14:paraId="626883FB" w14:textId="20CACD2C" w:rsidR="00200677" w:rsidRDefault="00200677" w:rsidP="00A06690">
                    <w:pPr>
                      <w:pStyle w:val="NormalWeb"/>
                      <w:spacing w:before="0" w:beforeAutospacing="0" w:after="0" w:afterAutospacing="0"/>
                      <w:jc w:val="center"/>
                    </w:pPr>
                  </w:p>
                </w:txbxContent>
              </v:textbox>
              <w10:wrap anchorx="margin" anchory="margin"/>
            </v:shape>
          </w:pict>
        </mc:Fallback>
      </mc:AlternateContent>
    </w:r>
    <w:r>
      <w:rPr>
        <w:rFonts w:ascii="Calibri" w:hAnsi="Calibri"/>
      </w:rPr>
      <w:t xml:space="preserve">POLICE AND CRIME COMMISSIONER FOR LANCASHIRE </w:t>
    </w:r>
    <w:r w:rsidR="00C37E7F">
      <w:rPr>
        <w:rFonts w:ascii="Calibri" w:hAnsi="Calibri"/>
      </w:rPr>
      <w:t>2024/25</w:t>
    </w:r>
  </w:p>
  <w:p w14:paraId="18F70CDE" w14:textId="50F9771B" w:rsidR="00200677" w:rsidRPr="00627469" w:rsidRDefault="003B7669" w:rsidP="000B074C">
    <w:pPr>
      <w:pStyle w:val="Header"/>
      <w:jc w:val="center"/>
      <w:rPr>
        <w:rFonts w:ascii="Calibri" w:hAnsi="Calibri"/>
      </w:rPr>
    </w:pPr>
    <w:r>
      <w:rPr>
        <w:noProof/>
      </w:rPr>
      <mc:AlternateContent>
        <mc:Choice Requires="wps">
          <w:drawing>
            <wp:anchor distT="0" distB="0" distL="114300" distR="114300" simplePos="0" relativeHeight="251658294" behindDoc="1" locked="0" layoutInCell="1" allowOverlap="1" wp14:anchorId="619E4DA9" wp14:editId="47ABB8CE">
              <wp:simplePos x="0" y="0"/>
              <wp:positionH relativeFrom="margin">
                <wp:align>center</wp:align>
              </wp:positionH>
              <wp:positionV relativeFrom="paragraph">
                <wp:posOffset>3831590</wp:posOffset>
              </wp:positionV>
              <wp:extent cx="6090920" cy="2209800"/>
              <wp:effectExtent l="0" t="1714500" r="0" b="1714500"/>
              <wp:wrapNone/>
              <wp:docPr id="397762232"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1D32DF2C" w14:textId="1F2DD3D3" w:rsidR="003B7669" w:rsidRPr="004019DE" w:rsidRDefault="003B7669" w:rsidP="003B766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9E4DA9" id="_x0000_s1037" type="#_x0000_t202" style="position:absolute;left:0;text-align:left;margin-left:0;margin-top:301.7pt;width:479.6pt;height:174pt;rotation:-2769289fd;z-index:-25165818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" filled="f" stroked="f">
              <v:textbox>
                <w:txbxContent>
                  <w:p w14:paraId="1D32DF2C" w14:textId="1F2DD3D3" w:rsidR="003B7669" w:rsidRPr="004019DE" w:rsidRDefault="003B7669" w:rsidP="003B766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r w:rsidR="00200677">
      <w:rPr>
        <w:rFonts w:ascii="Calibri" w:hAnsi="Calibri"/>
      </w:rPr>
      <w:t xml:space="preserve"> PCC SINGLE ENTITY CASHFLOW STATEMENT</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112DE" w14:textId="0C6B34BE" w:rsidR="00200677" w:rsidRDefault="00E1307E">
    <w:pPr>
      <w:pStyle w:val="Header"/>
    </w:pPr>
    <w:r>
      <w:rPr>
        <w:noProof/>
      </w:rPr>
      <w:pict w14:anchorId="6A907C2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58" type="#_x0000_t136" style="position:absolute;margin-left:0;margin-top:0;width:454.65pt;height:181.85pt;rotation:315;z-index:-25165820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55905" w14:textId="7A44E59E" w:rsidR="00200677" w:rsidRDefault="00E1307E">
    <w:pPr>
      <w:pStyle w:val="Header"/>
    </w:pPr>
    <w:r>
      <w:rPr>
        <w:noProof/>
      </w:rPr>
      <w:pict w14:anchorId="4DEF25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2" type="#_x0000_t136" style="position:absolute;margin-left:0;margin-top:0;width:454.65pt;height:181.85pt;rotation:315;z-index:-25165820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A2A0A" w14:textId="4029DE00" w:rsidR="00200677" w:rsidRDefault="00200677" w:rsidP="000B074C">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789BB6D1" w14:textId="226472FD" w:rsidR="00200677" w:rsidRPr="00627469" w:rsidRDefault="003A15F9" w:rsidP="000B074C">
    <w:pPr>
      <w:pStyle w:val="Header"/>
      <w:jc w:val="center"/>
      <w:rPr>
        <w:rFonts w:ascii="Calibri" w:hAnsi="Calibri"/>
      </w:rPr>
    </w:pPr>
    <w:r>
      <w:rPr>
        <w:noProof/>
      </w:rPr>
      <mc:AlternateContent>
        <mc:Choice Requires="wps">
          <w:drawing>
            <wp:anchor distT="0" distB="0" distL="114300" distR="114300" simplePos="0" relativeHeight="251658295" behindDoc="1" locked="0" layoutInCell="1" allowOverlap="1" wp14:anchorId="029C0A16" wp14:editId="21DD94A6">
              <wp:simplePos x="0" y="0"/>
              <wp:positionH relativeFrom="margin">
                <wp:align>center</wp:align>
              </wp:positionH>
              <wp:positionV relativeFrom="paragraph">
                <wp:posOffset>3839677</wp:posOffset>
              </wp:positionV>
              <wp:extent cx="6090920" cy="2209800"/>
              <wp:effectExtent l="0" t="1714500" r="0" b="1714500"/>
              <wp:wrapNone/>
              <wp:docPr id="1425561986"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2950F8C5" w14:textId="3C23FA07" w:rsidR="003A15F9" w:rsidRPr="004019DE" w:rsidRDefault="003A15F9" w:rsidP="003A15F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C0A16" id="_x0000_t202" coordsize="21600,21600" o:spt="202" path="m,l,21600r21600,l21600,xe">
              <v:stroke joinstyle="miter"/>
              <v:path gradientshapeok="t" o:connecttype="rect"/>
            </v:shapetype>
            <v:shape id="_x0000_s1038" type="#_x0000_t202" style="position:absolute;left:0;text-align:left;margin-left:0;margin-top:302.35pt;width:479.6pt;height:174pt;rotation:-2769289fd;z-index:-25165818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" filled="f" stroked="f">
              <v:textbox>
                <w:txbxContent>
                  <w:p w14:paraId="2950F8C5" w14:textId="3C23FA07" w:rsidR="003A15F9" w:rsidRPr="004019DE" w:rsidRDefault="003A15F9" w:rsidP="003A15F9">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r w:rsidR="00200677">
      <w:rPr>
        <w:rFonts w:ascii="Calibri" w:hAnsi="Calibri"/>
      </w:rPr>
      <w:t>NOTES TO THE ACCOUNTS</w: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5EE0D" w14:textId="1522FCB2" w:rsidR="00200677" w:rsidRDefault="00E1307E" w:rsidP="0083637D">
    <w:pPr>
      <w:pStyle w:val="Header"/>
      <w:jc w:val="center"/>
      <w:rPr>
        <w:rFonts w:ascii="Calibri" w:hAnsi="Calibri"/>
      </w:rPr>
    </w:pPr>
    <w:r>
      <w:rPr>
        <w:noProof/>
      </w:rPr>
      <w:pict w14:anchorId="4BFC4A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1" type="#_x0000_t136" style="position:absolute;left:0;text-align:left;margin-left:0;margin-top:0;width:454.65pt;height:181.85pt;rotation:315;z-index:-251658207;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00677">
      <w:rPr>
        <w:rFonts w:ascii="Calibri" w:hAnsi="Calibri"/>
      </w:rPr>
      <w:t>POLICE AND CRIME COMMISSIONER FOR LANCASHIRE 2014/15</w:t>
    </w:r>
  </w:p>
  <w:p w14:paraId="473A06D8" w14:textId="77777777" w:rsidR="00200677" w:rsidRPr="00627469" w:rsidRDefault="00200677" w:rsidP="0083637D">
    <w:pPr>
      <w:pStyle w:val="Header"/>
      <w:jc w:val="center"/>
      <w:rPr>
        <w:rFonts w:ascii="Calibri" w:hAnsi="Calibri"/>
      </w:rPr>
    </w:pPr>
    <w:r>
      <w:rPr>
        <w:rFonts w:ascii="Calibri" w:hAnsi="Calibri"/>
      </w:rPr>
      <w:t>NOTES TO THE ACCOUNTS</w:t>
    </w:r>
  </w:p>
  <w:p w14:paraId="18256710" w14:textId="77777777" w:rsidR="00200677" w:rsidRDefault="002006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28CE" w14:textId="44C19689" w:rsidR="005F4DDA" w:rsidRDefault="005F4DDA">
    <w:pPr>
      <w:pStyle w:val="Heade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835CE5" w14:textId="51B8CCE0" w:rsidR="003A15F9" w:rsidRDefault="003A15F9" w:rsidP="00A00487">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0B8F7FBB" w14:textId="17ED6A82" w:rsidR="003A15F9" w:rsidRPr="00627469" w:rsidRDefault="003A15F9" w:rsidP="00A00487">
    <w:pPr>
      <w:pStyle w:val="Header"/>
      <w:tabs>
        <w:tab w:val="center" w:pos="5233"/>
        <w:tab w:val="left" w:pos="7282"/>
      </w:tabs>
      <w:jc w:val="center"/>
      <w:rPr>
        <w:rFonts w:ascii="Calibri" w:hAnsi="Calibri"/>
      </w:rPr>
    </w:pPr>
    <w:r>
      <w:rPr>
        <w:rFonts w:ascii="Calibri" w:hAnsi="Calibri"/>
      </w:rPr>
      <w:t>NOTES TO THE ACCOUNTS</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04C77" w14:textId="4FCDC8B9" w:rsidR="00200677" w:rsidRDefault="00E1307E">
    <w:pPr>
      <w:pStyle w:val="Header"/>
    </w:pPr>
    <w:r>
      <w:rPr>
        <w:noProof/>
      </w:rPr>
      <w:pict w14:anchorId="7336B9A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9" type="#_x0000_t136" style="position:absolute;margin-left:0;margin-top:0;width:454.65pt;height:181.85pt;rotation:315;z-index:-251658225;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88B16" w14:textId="21368CBB" w:rsidR="005F4DDA" w:rsidRDefault="005F4DDA">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4545C" w14:textId="2DB2E1B2" w:rsidR="005F4DDA" w:rsidRDefault="005F4DDA">
    <w:pPr>
      <w:pStyle w:val="Heade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363B" w14:textId="428926F5" w:rsidR="004A5660" w:rsidRDefault="004A5660" w:rsidP="000B074C">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63CC2563" w14:textId="5303B299" w:rsidR="004A5660" w:rsidRPr="00627469" w:rsidRDefault="004A5660" w:rsidP="004A5660">
    <w:pPr>
      <w:pStyle w:val="Header"/>
      <w:tabs>
        <w:tab w:val="center" w:pos="5233"/>
        <w:tab w:val="left" w:pos="7282"/>
      </w:tabs>
      <w:rPr>
        <w:rFonts w:ascii="Calibri" w:hAnsi="Calibri"/>
      </w:rPr>
    </w:pPr>
    <w:r>
      <w:rPr>
        <w:rFonts w:ascii="Calibri" w:hAnsi="Calibri"/>
      </w:rPr>
      <w:tab/>
    </w:r>
    <w:r>
      <w:rPr>
        <w:rFonts w:ascii="Calibri" w:hAnsi="Calibri"/>
      </w:rPr>
      <w:tab/>
      <w:t>NOTES TO THE ACCOUNTS</w:t>
    </w:r>
    <w:r>
      <w:rPr>
        <w:rFonts w:ascii="Calibri" w:hAnsi="Calibri"/>
      </w:rPr>
      <w:tab/>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8761AD" w14:textId="399895AD" w:rsidR="005F4DDA" w:rsidRDefault="005F4DDA">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D0E1" w14:textId="2DE431D1" w:rsidR="005F4DDA" w:rsidRDefault="005F4DDA">
    <w:pPr>
      <w:pStyle w:val="Heade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550BB" w14:textId="2657F7DE" w:rsidR="00D977DC" w:rsidRDefault="00D977DC" w:rsidP="000B074C">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17A6DDF1" w14:textId="0E3701F5" w:rsidR="00D977DC" w:rsidRPr="00627469" w:rsidRDefault="009961B0" w:rsidP="00D977DC">
    <w:pPr>
      <w:pStyle w:val="Header"/>
      <w:tabs>
        <w:tab w:val="center" w:pos="5233"/>
        <w:tab w:val="left" w:pos="7282"/>
      </w:tabs>
      <w:jc w:val="center"/>
      <w:rPr>
        <w:rFonts w:ascii="Calibri" w:hAnsi="Calibri"/>
      </w:rPr>
    </w:pPr>
    <w:r>
      <w:rPr>
        <w:noProof/>
      </w:rPr>
      <mc:AlternateContent>
        <mc:Choice Requires="wps">
          <w:drawing>
            <wp:anchor distT="0" distB="0" distL="114300" distR="114300" simplePos="0" relativeHeight="251658296" behindDoc="1" locked="0" layoutInCell="1" allowOverlap="1" wp14:anchorId="2E940019" wp14:editId="21EBD1BA">
              <wp:simplePos x="0" y="0"/>
              <wp:positionH relativeFrom="margin">
                <wp:align>center</wp:align>
              </wp:positionH>
              <wp:positionV relativeFrom="paragraph">
                <wp:posOffset>2515020</wp:posOffset>
              </wp:positionV>
              <wp:extent cx="6090920" cy="2209800"/>
              <wp:effectExtent l="19050" t="1143000" r="100330" b="1162050"/>
              <wp:wrapNone/>
              <wp:docPr id="738477690" name="Text Box 1"/>
              <wp:cNvGraphicFramePr/>
              <a:graphic xmlns:a="http://schemas.openxmlformats.org/drawingml/2006/main">
                <a:graphicData uri="http://schemas.microsoft.com/office/word/2010/wordprocessingShape">
                  <wps:wsp>
                    <wps:cNvSpPr txBox="1"/>
                    <wps:spPr>
                      <a:xfrm rot="20091182">
                        <a:off x="0" y="0"/>
                        <a:ext cx="6090920" cy="2209800"/>
                      </a:xfrm>
                      <a:prstGeom prst="rect">
                        <a:avLst/>
                      </a:prstGeom>
                      <a:noFill/>
                      <a:ln>
                        <a:noFill/>
                      </a:ln>
                    </wps:spPr>
                    <wps:txbx>
                      <w:txbxContent>
                        <w:p w14:paraId="5A9CA461" w14:textId="2749A3AE" w:rsidR="009961B0" w:rsidRPr="004019DE" w:rsidRDefault="009961B0" w:rsidP="009961B0">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940019" id="_x0000_t202" coordsize="21600,21600" o:spt="202" path="m,l,21600r21600,l21600,xe">
              <v:stroke joinstyle="miter"/>
              <v:path gradientshapeok="t" o:connecttype="rect"/>
            </v:shapetype>
            <v:shape id="_x0000_s1039" type="#_x0000_t202" style="position:absolute;left:0;text-align:left;margin-left:0;margin-top:198.05pt;width:479.6pt;height:174pt;rotation:-1648032fd;z-index:-251658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" filled="f" stroked="f">
              <v:textbox>
                <w:txbxContent>
                  <w:p w14:paraId="5A9CA461" w14:textId="2749A3AE" w:rsidR="009961B0" w:rsidRPr="004019DE" w:rsidRDefault="009961B0" w:rsidP="009961B0">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r w:rsidR="00D977DC">
      <w:rPr>
        <w:rFonts w:ascii="Calibri" w:hAnsi="Calibri"/>
      </w:rPr>
      <w:t>NOTES TO THE ACCOUNTS</w: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2FA23" w14:textId="22A84ECF" w:rsidR="005F4DDA" w:rsidRDefault="005F4DDA">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232306" w14:textId="267E9C14" w:rsidR="00200677" w:rsidRDefault="00E1307E">
    <w:pPr>
      <w:pStyle w:val="Header"/>
    </w:pPr>
    <w:r>
      <w:rPr>
        <w:noProof/>
      </w:rPr>
      <w:pict w14:anchorId="4008C8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5" type="#_x0000_t136" style="position:absolute;margin-left:0;margin-top:0;width:454.65pt;height:181.85pt;rotation:315;z-index:-25165820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4AF6E7" w14:textId="623674FE" w:rsidR="00200677" w:rsidRDefault="00200677" w:rsidP="0083637D">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11EF04AA" w14:textId="77777777" w:rsidR="00200677" w:rsidRPr="00627469" w:rsidRDefault="00200677" w:rsidP="0083637D">
    <w:pPr>
      <w:pStyle w:val="Header"/>
      <w:jc w:val="center"/>
      <w:rPr>
        <w:rFonts w:ascii="Calibri" w:hAnsi="Calibri"/>
      </w:rPr>
    </w:pPr>
    <w:r>
      <w:rPr>
        <w:rFonts w:ascii="Calibri" w:hAnsi="Calibri"/>
      </w:rPr>
      <w:t>NOTES TO THE ACCOUNTS</w:t>
    </w:r>
  </w:p>
  <w:p w14:paraId="1992B445" w14:textId="6AED6B8D" w:rsidR="00200677" w:rsidRDefault="00F557BB">
    <w:pPr>
      <w:pStyle w:val="Header"/>
    </w:pPr>
    <w:r>
      <w:rPr>
        <w:noProof/>
      </w:rPr>
      <mc:AlternateContent>
        <mc:Choice Requires="wps">
          <w:drawing>
            <wp:anchor distT="0" distB="0" distL="114300" distR="114300" simplePos="0" relativeHeight="251658242" behindDoc="1" locked="0" layoutInCell="1" allowOverlap="1" wp14:anchorId="7607D760" wp14:editId="0B5D8057">
              <wp:simplePos x="0" y="0"/>
              <wp:positionH relativeFrom="margin">
                <wp:posOffset>286081</wp:posOffset>
              </wp:positionH>
              <wp:positionV relativeFrom="paragraph">
                <wp:posOffset>3855224</wp:posOffset>
              </wp:positionV>
              <wp:extent cx="6090920" cy="2209800"/>
              <wp:effectExtent l="0" t="1714500" r="0" b="1714500"/>
              <wp:wrapNone/>
              <wp:docPr id="960587547"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79A40887" w14:textId="4F191211" w:rsidR="00F557BB" w:rsidRPr="004019DE" w:rsidRDefault="00F557BB" w:rsidP="00F557BB">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07D760" id="_x0000_t202" coordsize="21600,21600" o:spt="202" path="m,l,21600r21600,l21600,xe">
              <v:stroke joinstyle="miter"/>
              <v:path gradientshapeok="t" o:connecttype="rect"/>
            </v:shapetype>
            <v:shape id="_x0000_s1040" type="#_x0000_t202" style="position:absolute;margin-left:22.55pt;margin-top:303.55pt;width:479.6pt;height:174pt;rotation:-2769289fd;z-index:-25165823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" filled="f" stroked="f">
              <v:textbox>
                <w:txbxContent>
                  <w:p w14:paraId="79A40887" w14:textId="4F191211" w:rsidR="00F557BB" w:rsidRPr="004019DE" w:rsidRDefault="00F557BB" w:rsidP="00F557BB">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C467" w14:textId="17CCCA6E" w:rsidR="00200677" w:rsidRDefault="00E1307E" w:rsidP="002B2A26">
    <w:pPr>
      <w:pStyle w:val="Header"/>
      <w:jc w:val="center"/>
      <w:rPr>
        <w:rFonts w:ascii="Calibri" w:hAnsi="Calibri"/>
      </w:rPr>
    </w:pPr>
    <w:r>
      <w:rPr>
        <w:noProof/>
      </w:rPr>
      <w:pict w14:anchorId="14DCB3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64" type="#_x0000_t136" style="position:absolute;left:0;text-align:left;margin-left:0;margin-top:0;width:454.65pt;height:181.85pt;rotation:315;z-index:-251658205;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00677">
      <w:rPr>
        <w:noProof/>
      </w:rPr>
      <mc:AlternateContent>
        <mc:Choice Requires="wps">
          <w:drawing>
            <wp:anchor distT="0" distB="0" distL="114300" distR="114300" simplePos="0" relativeHeight="251658245" behindDoc="1" locked="0" layoutInCell="0" allowOverlap="1" wp14:anchorId="594D84BD" wp14:editId="4A8904CB">
              <wp:simplePos x="0" y="0"/>
              <wp:positionH relativeFrom="margin">
                <wp:align>center</wp:align>
              </wp:positionH>
              <wp:positionV relativeFrom="margin">
                <wp:align>center</wp:align>
              </wp:positionV>
              <wp:extent cx="5774055" cy="2309495"/>
              <wp:effectExtent l="0" t="1466850" r="0" b="1329055"/>
              <wp:wrapNone/>
              <wp:docPr id="10" name="WordArt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9C227A" w14:textId="0FD6F770" w:rsidR="00200677" w:rsidRDefault="00200677" w:rsidP="00D923EA">
                          <w:pPr>
                            <w:pStyle w:val="NormalWeb"/>
                            <w:spacing w:before="0" w:beforeAutospacing="0" w:after="0" w:afterAutospacing="0"/>
                            <w:jc w:val="cente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94D84BD" id="_x0000_t202" coordsize="21600,21600" o:spt="202" path="m,l,21600r21600,l21600,xe">
              <v:stroke joinstyle="miter"/>
              <v:path gradientshapeok="t" o:connecttype="rect"/>
            </v:shapetype>
            <v:shape id="WordArt 124" o:spid="_x0000_s1041" type="#_x0000_t202" style="position:absolute;left:0;text-align:left;margin-left:0;margin-top:0;width:454.65pt;height:181.8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" o:allowincell="f" filled="f" stroked="f">
              <v:stroke joinstyle="round"/>
              <o:lock v:ext="edit" shapetype="t"/>
              <v:textbox style="mso-fit-shape-to-text:t">
                <w:txbxContent>
                  <w:p w14:paraId="5E9C227A" w14:textId="0FD6F770" w:rsidR="00200677" w:rsidRDefault="00200677" w:rsidP="00D923EA">
                    <w:pPr>
                      <w:pStyle w:val="NormalWeb"/>
                      <w:spacing w:before="0" w:beforeAutospacing="0" w:after="0" w:afterAutospacing="0"/>
                      <w:jc w:val="center"/>
                    </w:pPr>
                  </w:p>
                </w:txbxContent>
              </v:textbox>
              <w10:wrap anchorx="margin" anchory="margin"/>
            </v:shape>
          </w:pict>
        </mc:Fallback>
      </mc:AlternateContent>
    </w:r>
    <w:r w:rsidR="00200677">
      <w:rPr>
        <w:rFonts w:ascii="Calibri" w:hAnsi="Calibri"/>
      </w:rPr>
      <w:t>POLICE AND CRIME COMMISSIONER FOR LANCASHIRE 2014/15</w:t>
    </w:r>
  </w:p>
  <w:p w14:paraId="60C1ABC9" w14:textId="77777777" w:rsidR="00200677" w:rsidRPr="00627469" w:rsidRDefault="00200677" w:rsidP="002B2A26">
    <w:pPr>
      <w:pStyle w:val="Header"/>
      <w:jc w:val="center"/>
      <w:rPr>
        <w:rFonts w:ascii="Calibri" w:hAnsi="Calibri"/>
      </w:rPr>
    </w:pPr>
    <w:r>
      <w:rPr>
        <w:rFonts w:ascii="Calibri" w:hAnsi="Calibri"/>
      </w:rPr>
      <w:t>NOTES TO THE ACCOUNTS</w:t>
    </w:r>
  </w:p>
  <w:p w14:paraId="00E82E57" w14:textId="77777777" w:rsidR="00200677" w:rsidRDefault="002006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FD9CD2" w14:textId="249A4C48" w:rsidR="00200677" w:rsidRDefault="00200677">
    <w:pPr>
      <w:pStyle w:val="Heade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4CBCF" w14:textId="6BEA0F94" w:rsidR="00200677" w:rsidRDefault="00EC79F9">
    <w:pPr>
      <w:pStyle w:val="Header"/>
    </w:pPr>
    <w:r>
      <w:rPr>
        <w:noProof/>
      </w:rPr>
      <mc:AlternateContent>
        <mc:Choice Requires="wps">
          <w:drawing>
            <wp:anchor distT="0" distB="0" distL="114300" distR="114300" simplePos="0" relativeHeight="251658288" behindDoc="1" locked="0" layoutInCell="0" allowOverlap="1" wp14:anchorId="7748EA9B" wp14:editId="59FDCD9C">
              <wp:simplePos x="0" y="0"/>
              <wp:positionH relativeFrom="margin">
                <wp:align>center</wp:align>
              </wp:positionH>
              <wp:positionV relativeFrom="margin">
                <wp:align>center</wp:align>
              </wp:positionV>
              <wp:extent cx="5774055" cy="2309495"/>
              <wp:effectExtent l="0" t="1466850" r="0" b="1329055"/>
              <wp:wrapNone/>
              <wp:docPr id="1268539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85D5BC" w14:textId="44DF2E52" w:rsidR="00EC79F9" w:rsidRDefault="00EC79F9" w:rsidP="00EC79F9">
                          <w:pPr>
                            <w:jc w:val="center"/>
                            <w:rPr>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748EA9B" id="_x0000_t202" coordsize="21600,21600" o:spt="202" path="m,l,21600r21600,l21600,xe">
              <v:stroke joinstyle="miter"/>
              <v:path gradientshapeok="t" o:connecttype="rect"/>
            </v:shapetype>
            <v:shape id="_x0000_s1042" type="#_x0000_t202" style="position:absolute;margin-left:0;margin-top:0;width:454.65pt;height:181.85pt;rotation:-45;z-index:-251658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" o:allowincell="f" filled="f" stroked="f">
              <v:stroke joinstyle="round"/>
              <o:lock v:ext="edit" shapetype="t"/>
              <v:textbox style="mso-fit-shape-to-text:t">
                <w:txbxContent>
                  <w:p w14:paraId="3E85D5BC" w14:textId="44DF2E52" w:rsidR="00EC79F9" w:rsidRDefault="00EC79F9" w:rsidP="00EC79F9">
                    <w:pPr>
                      <w:jc w:val="center"/>
                      <w:rPr>
                        <w:color w:val="C0C0C0"/>
                        <w:sz w:val="2"/>
                        <w:szCs w:val="2"/>
                        <w14:textFill>
                          <w14:solidFill>
                            <w14:srgbClr w14:val="C0C0C0">
                              <w14:alpha w14:val="50000"/>
                            </w14:srgbClr>
                          </w14:solidFill>
                        </w14:textFill>
                      </w:rPr>
                    </w:pPr>
                  </w:p>
                </w:txbxContent>
              </v:textbox>
              <w10:wrap anchorx="margin" anchory="margin"/>
            </v:shape>
          </w:pict>
        </mc:Fallback>
      </mc:AlternateConten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D7C39" w14:textId="0D649189" w:rsidR="00200677" w:rsidRDefault="00200677" w:rsidP="008C4145">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79334CE1" w14:textId="77777777" w:rsidR="00200677" w:rsidRDefault="00200677" w:rsidP="008C4145">
    <w:pPr>
      <w:pStyle w:val="Header"/>
      <w:jc w:val="center"/>
    </w:pPr>
    <w:r>
      <w:rPr>
        <w:rFonts w:ascii="Calibri" w:hAnsi="Calibri"/>
      </w:rPr>
      <w:t>NOTES TO THE ACCOUNTS</w:t>
    </w:r>
  </w:p>
  <w:p w14:paraId="40193A17" w14:textId="762AE5DC" w:rsidR="00200677" w:rsidRDefault="00D1347B">
    <w:pPr>
      <w:pStyle w:val="Header"/>
    </w:pPr>
    <w:r>
      <w:rPr>
        <w:noProof/>
      </w:rPr>
      <mc:AlternateContent>
        <mc:Choice Requires="wps">
          <w:drawing>
            <wp:anchor distT="0" distB="0" distL="114300" distR="114300" simplePos="0" relativeHeight="251658289" behindDoc="1" locked="0" layoutInCell="1" allowOverlap="1" wp14:anchorId="66C13197" wp14:editId="142EDAA0">
              <wp:simplePos x="0" y="0"/>
              <wp:positionH relativeFrom="margin">
                <wp:align>center</wp:align>
              </wp:positionH>
              <wp:positionV relativeFrom="paragraph">
                <wp:posOffset>2489476</wp:posOffset>
              </wp:positionV>
              <wp:extent cx="6090920" cy="2209800"/>
              <wp:effectExtent l="19050" t="1143000" r="100330" b="1162050"/>
              <wp:wrapNone/>
              <wp:docPr id="1644968173" name="Text Box 1"/>
              <wp:cNvGraphicFramePr/>
              <a:graphic xmlns:a="http://schemas.openxmlformats.org/drawingml/2006/main">
                <a:graphicData uri="http://schemas.microsoft.com/office/word/2010/wordprocessingShape">
                  <wps:wsp>
                    <wps:cNvSpPr txBox="1"/>
                    <wps:spPr>
                      <a:xfrm rot="20091182">
                        <a:off x="0" y="0"/>
                        <a:ext cx="6090920" cy="2209800"/>
                      </a:xfrm>
                      <a:prstGeom prst="rect">
                        <a:avLst/>
                      </a:prstGeom>
                      <a:noFill/>
                      <a:ln>
                        <a:noFill/>
                      </a:ln>
                    </wps:spPr>
                    <wps:txbx>
                      <w:txbxContent>
                        <w:p w14:paraId="1FC3635D" w14:textId="4100E731" w:rsidR="00D1347B" w:rsidRPr="004019DE" w:rsidRDefault="00D1347B" w:rsidP="00D1347B">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6C13197" id="_x0000_t202" coordsize="21600,21600" o:spt="202" path="m,l,21600r21600,l21600,xe">
              <v:stroke joinstyle="miter"/>
              <v:path gradientshapeok="t" o:connecttype="rect"/>
            </v:shapetype>
            <v:shape id="_x0000_s1043" type="#_x0000_t202" style="position:absolute;margin-left:0;margin-top:196pt;width:479.6pt;height:174pt;rotation:-1648032fd;z-index:-25165819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" filled="f" stroked="f">
              <v:textbox>
                <w:txbxContent>
                  <w:p w14:paraId="1FC3635D" w14:textId="4100E731" w:rsidR="00D1347B" w:rsidRPr="004019DE" w:rsidRDefault="00D1347B" w:rsidP="00D1347B">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6D90" w14:textId="5E332A49" w:rsidR="00200677" w:rsidRDefault="00EC79F9" w:rsidP="0083637D">
    <w:pPr>
      <w:pStyle w:val="Header"/>
      <w:jc w:val="center"/>
      <w:rPr>
        <w:rFonts w:ascii="Calibri" w:hAnsi="Calibri"/>
      </w:rPr>
    </w:pPr>
    <w:r>
      <w:rPr>
        <w:noProof/>
      </w:rPr>
      <mc:AlternateContent>
        <mc:Choice Requires="wps">
          <w:drawing>
            <wp:anchor distT="0" distB="0" distL="114300" distR="114300" simplePos="0" relativeHeight="251658249" behindDoc="1" locked="0" layoutInCell="0" allowOverlap="1" wp14:anchorId="74FD6820" wp14:editId="52E29869">
              <wp:simplePos x="0" y="0"/>
              <wp:positionH relativeFrom="margin">
                <wp:align>center</wp:align>
              </wp:positionH>
              <wp:positionV relativeFrom="margin">
                <wp:align>center</wp:align>
              </wp:positionV>
              <wp:extent cx="5774055" cy="2309495"/>
              <wp:effectExtent l="0" t="1466850" r="0" b="1329055"/>
              <wp:wrapNone/>
              <wp:docPr id="212575869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35EAF20" w14:textId="5AB20FC0" w:rsidR="00EC79F9" w:rsidRDefault="00EC79F9" w:rsidP="00EC79F9">
                          <w:pPr>
                            <w:jc w:val="center"/>
                            <w:rPr>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74FD6820" id="_x0000_t202" coordsize="21600,21600" o:spt="202" path="m,l,21600r21600,l21600,xe">
              <v:stroke joinstyle="miter"/>
              <v:path gradientshapeok="t" o:connecttype="rect"/>
            </v:shapetype>
            <v:shape id="_x0000_s1044" type="#_x0000_t202" style="position:absolute;left:0;text-align:left;margin-left:0;margin-top:0;width:454.65pt;height:181.85pt;rotation:-45;z-index:-251658231;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" o:allowincell="f" filled="f" stroked="f">
              <v:stroke joinstyle="round"/>
              <o:lock v:ext="edit" shapetype="t"/>
              <v:textbox style="mso-fit-shape-to-text:t">
                <w:txbxContent>
                  <w:p w14:paraId="135EAF20" w14:textId="5AB20FC0" w:rsidR="00EC79F9" w:rsidRDefault="00EC79F9" w:rsidP="00EC79F9">
                    <w:pPr>
                      <w:jc w:val="center"/>
                      <w:rPr>
                        <w:color w:val="C0C0C0"/>
                        <w:sz w:val="2"/>
                        <w:szCs w:val="2"/>
                        <w14:textFill>
                          <w14:solidFill>
                            <w14:srgbClr w14:val="C0C0C0">
                              <w14:alpha w14:val="50000"/>
                            </w14:srgbClr>
                          </w14:solidFill>
                        </w14:textFill>
                      </w:rPr>
                    </w:pPr>
                  </w:p>
                </w:txbxContent>
              </v:textbox>
              <w10:wrap anchorx="margin" anchory="margin"/>
            </v:shape>
          </w:pict>
        </mc:Fallback>
      </mc:AlternateContent>
    </w:r>
    <w:r w:rsidR="00200677">
      <w:rPr>
        <w:rFonts w:ascii="Calibri" w:hAnsi="Calibri"/>
      </w:rPr>
      <w:t>POLICE AND CRIME COMMISSIONER FOR LANCASHIRE 2014/15</w:t>
    </w:r>
  </w:p>
  <w:p w14:paraId="4697E522" w14:textId="77777777" w:rsidR="00200677" w:rsidRPr="00627469" w:rsidRDefault="00200677" w:rsidP="0083637D">
    <w:pPr>
      <w:pStyle w:val="Header"/>
      <w:jc w:val="center"/>
      <w:rPr>
        <w:rFonts w:ascii="Calibri" w:hAnsi="Calibri"/>
      </w:rPr>
    </w:pPr>
    <w:r>
      <w:rPr>
        <w:rFonts w:ascii="Calibri" w:hAnsi="Calibri"/>
      </w:rPr>
      <w:t>NOTES TO THE ACCOUNTS</w:t>
    </w:r>
  </w:p>
  <w:p w14:paraId="4C3E2F8E" w14:textId="77777777" w:rsidR="00200677" w:rsidRDefault="002006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A9B4E" w14:textId="590FB1FC" w:rsidR="00200677" w:rsidRDefault="00E1307E">
    <w:pPr>
      <w:pStyle w:val="Header"/>
    </w:pPr>
    <w:r>
      <w:rPr>
        <w:noProof/>
      </w:rPr>
      <w:pict w14:anchorId="2E7ECE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1" type="#_x0000_t136" style="position:absolute;margin-left:0;margin-top:0;width:454.65pt;height:181.85pt;rotation:315;z-index:-25165820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9096" w14:textId="4A2C0090" w:rsidR="00200677" w:rsidRDefault="00200677" w:rsidP="00591499">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1AF1A4EF" w14:textId="77777777" w:rsidR="00200677" w:rsidRDefault="00200677" w:rsidP="00591499">
    <w:pPr>
      <w:pStyle w:val="Header"/>
      <w:jc w:val="center"/>
    </w:pPr>
    <w:r>
      <w:rPr>
        <w:rFonts w:ascii="Calibri" w:hAnsi="Calibri"/>
      </w:rPr>
      <w:t>NOTES TO THE ACCOUNTS</w:t>
    </w:r>
  </w:p>
  <w:p w14:paraId="43512184" w14:textId="0FA37E82" w:rsidR="00200677" w:rsidRDefault="00200677" w:rsidP="006F2A01">
    <w:pPr>
      <w:spacing w:line="264" w:lineRule="auto"/>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95AE2" w14:textId="662FF67B" w:rsidR="00200677" w:rsidRDefault="00E1307E" w:rsidP="0083637D">
    <w:pPr>
      <w:pStyle w:val="Header"/>
      <w:jc w:val="center"/>
      <w:rPr>
        <w:rFonts w:ascii="Calibri" w:hAnsi="Calibri"/>
      </w:rPr>
    </w:pPr>
    <w:r>
      <w:rPr>
        <w:noProof/>
      </w:rPr>
      <w:pict w14:anchorId="6D3E7F1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0" type="#_x0000_t136" style="position:absolute;left:0;text-align:left;margin-left:0;margin-top:0;width:454.65pt;height:181.85pt;rotation:315;z-index:-251658203;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r w:rsidR="00200677">
      <w:rPr>
        <w:rFonts w:ascii="Calibri" w:hAnsi="Calibri"/>
      </w:rPr>
      <w:t>POLICE AND CRIME COMMISSIONER FOR LANCASHIRE 2014/15</w:t>
    </w:r>
  </w:p>
  <w:p w14:paraId="3AE0660C" w14:textId="77777777" w:rsidR="00200677" w:rsidRPr="00627469" w:rsidRDefault="00200677" w:rsidP="0083637D">
    <w:pPr>
      <w:pStyle w:val="Header"/>
      <w:jc w:val="center"/>
      <w:rPr>
        <w:rFonts w:ascii="Calibri" w:hAnsi="Calibri"/>
      </w:rPr>
    </w:pPr>
    <w:r>
      <w:rPr>
        <w:rFonts w:ascii="Calibri" w:hAnsi="Calibri"/>
      </w:rPr>
      <w:t>NOTES TO THE ACCOUNTS</w:t>
    </w:r>
  </w:p>
  <w:p w14:paraId="4DB79AF2" w14:textId="77777777" w:rsidR="00200677" w:rsidRDefault="002006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3CD54" w14:textId="4EA21B3D" w:rsidR="005F4DDA" w:rsidRDefault="005F4DDA">
    <w:pPr>
      <w:pStyle w:val="Heade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76AB5" w14:textId="3BFBE38E" w:rsidR="0012017B" w:rsidRDefault="0012017B" w:rsidP="00591499">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09257EF8" w14:textId="77777777" w:rsidR="0012017B" w:rsidRDefault="0012017B" w:rsidP="00591499">
    <w:pPr>
      <w:pStyle w:val="Header"/>
      <w:jc w:val="center"/>
    </w:pPr>
    <w:r>
      <w:rPr>
        <w:rFonts w:ascii="Calibri" w:hAnsi="Calibri"/>
      </w:rPr>
      <w:t>NOTES TO THE ACCOUNTS</w:t>
    </w:r>
  </w:p>
  <w:p w14:paraId="7E84A211" w14:textId="31D1EE51" w:rsidR="0012017B" w:rsidRDefault="0012017B" w:rsidP="006F2A01">
    <w:pPr>
      <w:spacing w:line="264" w:lineRule="auto"/>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97646" w14:textId="151E835C" w:rsidR="005F4DDA" w:rsidRDefault="005F4DDA">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89AB2" w14:textId="70AC02F6" w:rsidR="005F4DDA" w:rsidRDefault="005F4DD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85E6C" w14:textId="5609C4BF" w:rsidR="00200677" w:rsidRDefault="00E1307E">
    <w:pPr>
      <w:pStyle w:val="Header"/>
    </w:pPr>
    <w:r>
      <w:rPr>
        <w:noProof/>
      </w:rPr>
      <w:pict w14:anchorId="449585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454.65pt;height:181.85pt;rotation:315;z-index:-25165822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23A31" w14:textId="11FA89A3" w:rsidR="0012017B" w:rsidRDefault="0012017B" w:rsidP="00591499">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147F5A6C" w14:textId="77777777" w:rsidR="0012017B" w:rsidRDefault="0012017B" w:rsidP="00591499">
    <w:pPr>
      <w:pStyle w:val="Header"/>
      <w:jc w:val="center"/>
    </w:pPr>
    <w:r>
      <w:rPr>
        <w:rFonts w:ascii="Calibri" w:hAnsi="Calibri"/>
      </w:rPr>
      <w:t>NOTES TO THE ACCOUNTS</w:t>
    </w:r>
  </w:p>
  <w:p w14:paraId="74BC9502" w14:textId="36D3B7E1" w:rsidR="0012017B" w:rsidRDefault="00BA0813" w:rsidP="006F2A01">
    <w:pPr>
      <w:spacing w:line="264" w:lineRule="auto"/>
    </w:pPr>
    <w:r>
      <w:rPr>
        <w:noProof/>
      </w:rPr>
      <mc:AlternateContent>
        <mc:Choice Requires="wps">
          <w:drawing>
            <wp:anchor distT="0" distB="0" distL="114300" distR="114300" simplePos="0" relativeHeight="251658290" behindDoc="1" locked="0" layoutInCell="1" allowOverlap="1" wp14:anchorId="7341FC17" wp14:editId="6485F567">
              <wp:simplePos x="0" y="0"/>
              <wp:positionH relativeFrom="margin">
                <wp:align>center</wp:align>
              </wp:positionH>
              <wp:positionV relativeFrom="paragraph">
                <wp:posOffset>3676111</wp:posOffset>
              </wp:positionV>
              <wp:extent cx="6090920" cy="2209800"/>
              <wp:effectExtent l="0" t="1714500" r="0" b="1714500"/>
              <wp:wrapNone/>
              <wp:docPr id="806493139"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689BA9F3" w14:textId="7C13277E" w:rsidR="00BA0813" w:rsidRPr="004019DE" w:rsidRDefault="00BA0813" w:rsidP="00BA0813">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41FC17" id="_x0000_t202" coordsize="21600,21600" o:spt="202" path="m,l,21600r21600,l21600,xe">
              <v:stroke joinstyle="miter"/>
              <v:path gradientshapeok="t" o:connecttype="rect"/>
            </v:shapetype>
            <v:shape id="_x0000_s1045" type="#_x0000_t202" style="position:absolute;margin-left:0;margin-top:289.45pt;width:479.6pt;height:174pt;rotation:-2769289fd;z-index:-25165819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" filled="f" stroked="f">
              <v:textbox>
                <w:txbxContent>
                  <w:p w14:paraId="689BA9F3" w14:textId="7C13277E" w:rsidR="00BA0813" w:rsidRPr="004019DE" w:rsidRDefault="00BA0813" w:rsidP="00BA0813">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1953ED" w14:textId="495583BF" w:rsidR="005F4DDA" w:rsidRDefault="005F4DDA">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0BDC6" w14:textId="464448B7" w:rsidR="005F4DDA" w:rsidRDefault="005F4DDA">
    <w:pPr>
      <w:pStyle w:val="Heade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9D693" w14:textId="44A665A1" w:rsidR="00C3147A" w:rsidRDefault="00C3147A" w:rsidP="00591499">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5AA98265" w14:textId="77777777" w:rsidR="00C3147A" w:rsidRDefault="00C3147A" w:rsidP="00591499">
    <w:pPr>
      <w:pStyle w:val="Header"/>
      <w:jc w:val="center"/>
    </w:pPr>
    <w:r>
      <w:rPr>
        <w:rFonts w:ascii="Calibri" w:hAnsi="Calibri"/>
      </w:rPr>
      <w:t>NOTES TO THE ACCOUNTS</w:t>
    </w:r>
  </w:p>
  <w:p w14:paraId="33FC30FD" w14:textId="57208799" w:rsidR="00C3147A" w:rsidRDefault="00F62A80" w:rsidP="006F2A01">
    <w:pPr>
      <w:spacing w:line="264" w:lineRule="auto"/>
    </w:pPr>
    <w:r>
      <w:rPr>
        <w:noProof/>
      </w:rPr>
      <mc:AlternateContent>
        <mc:Choice Requires="wps">
          <w:drawing>
            <wp:anchor distT="0" distB="0" distL="114300" distR="114300" simplePos="0" relativeHeight="251658291" behindDoc="1" locked="0" layoutInCell="1" allowOverlap="1" wp14:anchorId="4E986B79" wp14:editId="022462FD">
              <wp:simplePos x="0" y="0"/>
              <wp:positionH relativeFrom="margin">
                <wp:align>center</wp:align>
              </wp:positionH>
              <wp:positionV relativeFrom="paragraph">
                <wp:posOffset>2101285</wp:posOffset>
              </wp:positionV>
              <wp:extent cx="6090920" cy="2209800"/>
              <wp:effectExtent l="19050" t="1143000" r="100330" b="1162050"/>
              <wp:wrapNone/>
              <wp:docPr id="1066945894" name="Text Box 1"/>
              <wp:cNvGraphicFramePr/>
              <a:graphic xmlns:a="http://schemas.openxmlformats.org/drawingml/2006/main">
                <a:graphicData uri="http://schemas.microsoft.com/office/word/2010/wordprocessingShape">
                  <wps:wsp>
                    <wps:cNvSpPr txBox="1"/>
                    <wps:spPr>
                      <a:xfrm rot="20091182">
                        <a:off x="0" y="0"/>
                        <a:ext cx="6090920" cy="2209800"/>
                      </a:xfrm>
                      <a:prstGeom prst="rect">
                        <a:avLst/>
                      </a:prstGeom>
                      <a:noFill/>
                      <a:ln>
                        <a:noFill/>
                      </a:ln>
                    </wps:spPr>
                    <wps:txbx>
                      <w:txbxContent>
                        <w:p w14:paraId="21D1D7A0" w14:textId="05DEF873" w:rsidR="00F62A80" w:rsidRPr="004019DE" w:rsidRDefault="00F62A80" w:rsidP="00F62A80">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86B79" id="_x0000_t202" coordsize="21600,21600" o:spt="202" path="m,l,21600r21600,l21600,xe">
              <v:stroke joinstyle="miter"/>
              <v:path gradientshapeok="t" o:connecttype="rect"/>
            </v:shapetype>
            <v:shape id="_x0000_s1046" type="#_x0000_t202" style="position:absolute;margin-left:0;margin-top:165.45pt;width:479.6pt;height:174pt;rotation:-1648032fd;z-index:-25165818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" filled="f" stroked="f">
              <v:textbox>
                <w:txbxContent>
                  <w:p w14:paraId="21D1D7A0" w14:textId="05DEF873" w:rsidR="00F62A80" w:rsidRPr="004019DE" w:rsidRDefault="00F62A80" w:rsidP="00F62A80">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0D4D9" w14:textId="537EE5D7" w:rsidR="005F4DDA" w:rsidRDefault="005F4DDA">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E061" w14:textId="0D39B9F1" w:rsidR="005F4DDA" w:rsidRDefault="005F4DDA">
    <w:pPr>
      <w:pStyle w:val="Heade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5068C" w14:textId="7A9F1BAD" w:rsidR="00F62A80" w:rsidRDefault="00F62A80" w:rsidP="00591499">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455910C9" w14:textId="77777777" w:rsidR="00F62A80" w:rsidRDefault="00F62A80" w:rsidP="00591499">
    <w:pPr>
      <w:pStyle w:val="Header"/>
      <w:jc w:val="center"/>
    </w:pPr>
    <w:r>
      <w:rPr>
        <w:rFonts w:ascii="Calibri" w:hAnsi="Calibri"/>
      </w:rPr>
      <w:t>NOTES TO THE ACCOUNTS</w:t>
    </w:r>
  </w:p>
  <w:p w14:paraId="04E5C677" w14:textId="06BF0B9B" w:rsidR="00F62A80" w:rsidRDefault="00F202AA" w:rsidP="006F2A01">
    <w:pPr>
      <w:spacing w:line="264" w:lineRule="auto"/>
    </w:pPr>
    <w:r>
      <w:rPr>
        <w:noProof/>
      </w:rPr>
      <mc:AlternateContent>
        <mc:Choice Requires="wps">
          <w:drawing>
            <wp:anchor distT="0" distB="0" distL="114300" distR="114300" simplePos="0" relativeHeight="251658292" behindDoc="1" locked="0" layoutInCell="1" allowOverlap="1" wp14:anchorId="6A2CEF54" wp14:editId="48F62CF8">
              <wp:simplePos x="0" y="0"/>
              <wp:positionH relativeFrom="margin">
                <wp:align>center</wp:align>
              </wp:positionH>
              <wp:positionV relativeFrom="paragraph">
                <wp:posOffset>3684736</wp:posOffset>
              </wp:positionV>
              <wp:extent cx="6090920" cy="2209800"/>
              <wp:effectExtent l="0" t="1714500" r="0" b="1714500"/>
              <wp:wrapNone/>
              <wp:docPr id="2121798135"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55039D86" w14:textId="55EE0800" w:rsidR="00F202AA" w:rsidRPr="004019DE" w:rsidRDefault="00F202AA" w:rsidP="00F202AA">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A2CEF54" id="_x0000_t202" coordsize="21600,21600" o:spt="202" path="m,l,21600r21600,l21600,xe">
              <v:stroke joinstyle="miter"/>
              <v:path gradientshapeok="t" o:connecttype="rect"/>
            </v:shapetype>
            <v:shape id="_x0000_s1047" type="#_x0000_t202" style="position:absolute;margin-left:0;margin-top:290.15pt;width:479.6pt;height:174pt;rotation:-2769289fd;z-index:-2516581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" filled="f" stroked="f">
              <v:textbox>
                <w:txbxContent>
                  <w:p w14:paraId="55039D86" w14:textId="55EE0800" w:rsidR="00F202AA" w:rsidRPr="004019DE" w:rsidRDefault="00F202AA" w:rsidP="00F202AA">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1DA278" w14:textId="3E95A077" w:rsidR="005F4DDA" w:rsidRDefault="005F4DDA">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7E228" w14:textId="23D9FDD9" w:rsidR="00200677" w:rsidRDefault="00E1307E">
    <w:pPr>
      <w:pStyle w:val="Header"/>
    </w:pPr>
    <w:r>
      <w:rPr>
        <w:noProof/>
      </w:rPr>
      <w:pict w14:anchorId="7666D29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4" type="#_x0000_t136" style="position:absolute;margin-left:0;margin-top:0;width:454.65pt;height:181.85pt;rotation:315;z-index:-25165820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0DCEA" w14:textId="7CEC3C34" w:rsidR="00200677" w:rsidRDefault="00200677" w:rsidP="00591499">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3C07E349" w14:textId="77777777" w:rsidR="00200677" w:rsidRDefault="00200677" w:rsidP="00591499">
    <w:pPr>
      <w:pStyle w:val="Header"/>
      <w:jc w:val="center"/>
    </w:pPr>
    <w:r>
      <w:rPr>
        <w:rFonts w:ascii="Calibri" w:hAnsi="Calibri"/>
      </w:rPr>
      <w:t>OTHER SIGNIFICANT ACCOUNTING POLICIES</w:t>
    </w:r>
  </w:p>
  <w:p w14:paraId="15A73F0A" w14:textId="6D956B8E" w:rsidR="00200677" w:rsidRDefault="00CD4AF7" w:rsidP="006F2A01">
    <w:pPr>
      <w:spacing w:line="264" w:lineRule="auto"/>
    </w:pPr>
    <w:r>
      <w:rPr>
        <w:noProof/>
      </w:rPr>
      <mc:AlternateContent>
        <mc:Choice Requires="wps">
          <w:drawing>
            <wp:anchor distT="0" distB="0" distL="114300" distR="114300" simplePos="0" relativeHeight="251658287" behindDoc="0" locked="0" layoutInCell="1" allowOverlap="1" wp14:anchorId="5815252D" wp14:editId="67459082">
              <wp:simplePos x="0" y="0"/>
              <wp:positionH relativeFrom="margin">
                <wp:align>center</wp:align>
              </wp:positionH>
              <wp:positionV relativeFrom="paragraph">
                <wp:posOffset>3709946</wp:posOffset>
              </wp:positionV>
              <wp:extent cx="6090920" cy="2209800"/>
              <wp:effectExtent l="0" t="1714500" r="0" b="1714500"/>
              <wp:wrapNone/>
              <wp:docPr id="1449804772"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6F075263" w14:textId="27B5D8FE" w:rsidR="00CD4AF7" w:rsidRPr="004019DE" w:rsidRDefault="00CD4AF7" w:rsidP="00CD4AF7">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15252D" id="_x0000_t202" coordsize="21600,21600" o:spt="202" path="m,l,21600r21600,l21600,xe">
              <v:stroke joinstyle="miter"/>
              <v:path gradientshapeok="t" o:connecttype="rect"/>
            </v:shapetype>
            <v:shape id="_x0000_s1048" type="#_x0000_t202" style="position:absolute;margin-left:0;margin-top:292.1pt;width:479.6pt;height:174pt;rotation:-2769289fd;z-index:25165828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" filled="f" stroked="f">
              <v:textbox>
                <w:txbxContent>
                  <w:p w14:paraId="6F075263" w14:textId="27B5D8FE" w:rsidR="00CD4AF7" w:rsidRPr="004019DE" w:rsidRDefault="00CD4AF7" w:rsidP="00CD4AF7">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AB2EC" w14:textId="4DBBE826" w:rsidR="00200677" w:rsidRDefault="001F73BA">
    <w:pPr>
      <w:pStyle w:val="Header"/>
    </w:pPr>
    <w:r>
      <w:rPr>
        <w:noProof/>
      </w:rPr>
      <mc:AlternateContent>
        <mc:Choice Requires="wps">
          <w:drawing>
            <wp:anchor distT="0" distB="0" distL="114300" distR="114300" simplePos="0" relativeHeight="251658248" behindDoc="1" locked="0" layoutInCell="0" allowOverlap="1" wp14:anchorId="5DF57E54" wp14:editId="126F4CD1">
              <wp:simplePos x="0" y="0"/>
              <wp:positionH relativeFrom="margin">
                <wp:align>center</wp:align>
              </wp:positionH>
              <wp:positionV relativeFrom="margin">
                <wp:align>center</wp:align>
              </wp:positionV>
              <wp:extent cx="5774055" cy="2309495"/>
              <wp:effectExtent l="0" t="1466850" r="0" b="1329055"/>
              <wp:wrapNone/>
              <wp:docPr id="14406060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08F6BE" w14:textId="489DC525" w:rsidR="001F73BA" w:rsidRDefault="001F73BA" w:rsidP="001F73BA">
                          <w:pPr>
                            <w:jc w:val="center"/>
                            <w:rPr>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DF57E54" id="_x0000_t202" coordsize="21600,21600" o:spt="202" path="m,l,21600r21600,l21600,xe">
              <v:stroke joinstyle="miter"/>
              <v:path gradientshapeok="t" o:connecttype="rect"/>
            </v:shapetype>
            <v:shape id="Text Box 7" o:spid="_x0000_s1029" type="#_x0000_t202" style="position:absolute;margin-left:0;margin-top:0;width:454.65pt;height:181.85pt;rotation:-45;z-index:-25165823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" o:allowincell="f" filled="f" stroked="f">
              <v:stroke joinstyle="round"/>
              <o:lock v:ext="edit" shapetype="t"/>
              <v:textbox style="mso-fit-shape-to-text:t">
                <w:txbxContent>
                  <w:p w14:paraId="0C08F6BE" w14:textId="489DC525" w:rsidR="001F73BA" w:rsidRDefault="001F73BA" w:rsidP="001F73BA">
                    <w:pPr>
                      <w:jc w:val="center"/>
                      <w:rPr>
                        <w:color w:val="C0C0C0"/>
                        <w:sz w:val="2"/>
                        <w:szCs w:val="2"/>
                        <w14:textFill>
                          <w14:solidFill>
                            <w14:srgbClr w14:val="C0C0C0">
                              <w14:alpha w14:val="50000"/>
                            </w14:srgbClr>
                          </w14:solidFill>
                        </w14:textFill>
                      </w:rPr>
                    </w:pPr>
                  </w:p>
                </w:txbxContent>
              </v:textbox>
              <w10:wrap anchorx="margin" anchory="margin"/>
            </v:shape>
          </w:pict>
        </mc:Fallback>
      </mc:AlternateConten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C1B9DA" w14:textId="44F5C6D7" w:rsidR="00200677" w:rsidRDefault="00E1307E">
    <w:pPr>
      <w:pStyle w:val="Header"/>
    </w:pPr>
    <w:r>
      <w:rPr>
        <w:noProof/>
      </w:rPr>
      <w:pict w14:anchorId="7B58C8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3" type="#_x0000_t136" style="position:absolute;margin-left:0;margin-top:0;width:454.65pt;height:181.85pt;rotation:315;z-index:-251658201;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4F780" w14:textId="498185B9" w:rsidR="00200677" w:rsidRDefault="00E1307E">
    <w:pPr>
      <w:pStyle w:val="Header"/>
    </w:pPr>
    <w:r>
      <w:rPr>
        <w:noProof/>
      </w:rPr>
      <w:pict w14:anchorId="4607BF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7" type="#_x0000_t136" style="position:absolute;margin-left:0;margin-top:0;width:454.65pt;height:181.85pt;rotation:315;z-index:-25165819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29A5E" w14:textId="08F3F2D0" w:rsidR="00200677" w:rsidRDefault="00200677" w:rsidP="008C4145">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4158ED14" w14:textId="77777777" w:rsidR="00200677" w:rsidRDefault="00200677" w:rsidP="009F1D53">
    <w:pPr>
      <w:pStyle w:val="Header"/>
      <w:jc w:val="center"/>
    </w:pPr>
    <w:r>
      <w:rPr>
        <w:rFonts w:ascii="Calibri" w:hAnsi="Calibri"/>
      </w:rPr>
      <w:t>POLICE PENSION ACCOUNT</w:t>
    </w: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EDFD57" w14:textId="0DCE96F2" w:rsidR="00200677" w:rsidRDefault="00E1307E">
    <w:pPr>
      <w:pStyle w:val="Header"/>
    </w:pPr>
    <w:r>
      <w:rPr>
        <w:noProof/>
      </w:rPr>
      <w:pict w14:anchorId="5538AE7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6" type="#_x0000_t136" style="position:absolute;margin-left:0;margin-top:0;width:454.65pt;height:181.85pt;rotation:315;z-index:-251658199;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E1BDD" w14:textId="29D2F2C2" w:rsidR="00200677" w:rsidRDefault="00200677">
    <w:pPr>
      <w:pStyle w:val="Header"/>
    </w:pPr>
    <w:r>
      <w:rPr>
        <w:noProof/>
      </w:rPr>
      <mc:AlternateContent>
        <mc:Choice Requires="wps">
          <w:drawing>
            <wp:anchor distT="0" distB="0" distL="114300" distR="114300" simplePos="0" relativeHeight="251658258" behindDoc="1" locked="0" layoutInCell="0" allowOverlap="1" wp14:anchorId="51C2A50F" wp14:editId="52D24247">
              <wp:simplePos x="0" y="0"/>
              <wp:positionH relativeFrom="margin">
                <wp:align>center</wp:align>
              </wp:positionH>
              <wp:positionV relativeFrom="margin">
                <wp:align>center</wp:align>
              </wp:positionV>
              <wp:extent cx="5774055" cy="2309495"/>
              <wp:effectExtent l="0" t="1466850" r="0" b="132905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71E4D1A" w14:textId="06525ED2" w:rsidR="00200677" w:rsidRDefault="00200677" w:rsidP="003403DE">
                          <w:pPr>
                            <w:jc w:val="center"/>
                            <w:rPr>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1C2A50F" id="_x0000_t202" coordsize="21600,21600" o:spt="202" path="m,l,21600r21600,l21600,xe">
              <v:stroke joinstyle="miter"/>
              <v:path gradientshapeok="t" o:connecttype="rect"/>
            </v:shapetype>
            <v:shape id="Text Box 13" o:spid="_x0000_s1049" type="#_x0000_t202" style="position:absolute;margin-left:0;margin-top:0;width:454.65pt;height:181.85pt;rotation:-45;z-index:-25165822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" o:allowincell="f" filled="f" stroked="f">
              <v:stroke joinstyle="round"/>
              <o:lock v:ext="edit" shapetype="t"/>
              <v:textbox style="mso-fit-shape-to-text:t">
                <w:txbxContent>
                  <w:p w14:paraId="171E4D1A" w14:textId="06525ED2" w:rsidR="00200677" w:rsidRDefault="00200677" w:rsidP="003403DE">
                    <w:pPr>
                      <w:jc w:val="center"/>
                      <w:rPr>
                        <w:color w:val="C0C0C0"/>
                        <w:sz w:val="2"/>
                        <w:szCs w:val="2"/>
                        <w14:textFill>
                          <w14:solidFill>
                            <w14:srgbClr w14:val="C0C0C0">
                              <w14:alpha w14:val="50000"/>
                            </w14:srgbClr>
                          </w14:solidFill>
                        </w14:textFill>
                      </w:rPr>
                    </w:pPr>
                  </w:p>
                </w:txbxContent>
              </v:textbox>
              <w10:wrap anchorx="margin" anchory="margin"/>
            </v:shape>
          </w:pict>
        </mc:Fallback>
      </mc:AlternateConten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EC0CF" w14:textId="1CB7C7C8" w:rsidR="00200677" w:rsidRDefault="00200677" w:rsidP="008C4145">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0C87C2C8" w14:textId="77777777" w:rsidR="00200677" w:rsidRDefault="00200677" w:rsidP="008C4145">
    <w:pPr>
      <w:pStyle w:val="Header"/>
      <w:jc w:val="center"/>
    </w:pPr>
    <w:r>
      <w:rPr>
        <w:rFonts w:ascii="Calibri" w:hAnsi="Calibri"/>
      </w:rPr>
      <w:t>POLICE PENSION ACCOUNT</w:t>
    </w:r>
  </w:p>
  <w:p w14:paraId="4F48369E" w14:textId="409D94A6" w:rsidR="00200677" w:rsidRDefault="00CD4AF7">
    <w:pPr>
      <w:pStyle w:val="Header"/>
    </w:pPr>
    <w:r>
      <w:rPr>
        <w:noProof/>
      </w:rPr>
      <mc:AlternateContent>
        <mc:Choice Requires="wps">
          <w:drawing>
            <wp:anchor distT="0" distB="0" distL="114300" distR="114300" simplePos="0" relativeHeight="251658262" behindDoc="0" locked="0" layoutInCell="1" allowOverlap="1" wp14:anchorId="1424D4D7" wp14:editId="72C5A896">
              <wp:simplePos x="0" y="0"/>
              <wp:positionH relativeFrom="margin">
                <wp:align>right</wp:align>
              </wp:positionH>
              <wp:positionV relativeFrom="paragraph">
                <wp:posOffset>2984445</wp:posOffset>
              </wp:positionV>
              <wp:extent cx="6090920" cy="2209800"/>
              <wp:effectExtent l="0" t="1714500" r="0" b="1714500"/>
              <wp:wrapNone/>
              <wp:docPr id="139903735"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0BB67A0E" w14:textId="210C49E6" w:rsidR="00CD4AF7" w:rsidRPr="004019DE" w:rsidRDefault="00CD4AF7" w:rsidP="00CD4AF7">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24D4D7" id="_x0000_t202" coordsize="21600,21600" o:spt="202" path="m,l,21600r21600,l21600,xe">
              <v:stroke joinstyle="miter"/>
              <v:path gradientshapeok="t" o:connecttype="rect"/>
            </v:shapetype>
            <v:shape id="_x0000_s1050" type="#_x0000_t202" style="position:absolute;margin-left:428.4pt;margin-top:235pt;width:479.6pt;height:174pt;rotation:-2769289fd;z-index:25165826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" filled="f" stroked="f">
              <v:textbox>
                <w:txbxContent>
                  <w:p w14:paraId="0BB67A0E" w14:textId="210C49E6" w:rsidR="00CD4AF7" w:rsidRPr="004019DE" w:rsidRDefault="00CD4AF7" w:rsidP="00CD4AF7">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29784" w14:textId="11B6B88F" w:rsidR="00200677" w:rsidRDefault="00200677">
    <w:pPr>
      <w:pStyle w:val="Header"/>
    </w:pPr>
    <w:r>
      <w:rPr>
        <w:noProof/>
      </w:rPr>
      <mc:AlternateContent>
        <mc:Choice Requires="wps">
          <w:drawing>
            <wp:anchor distT="0" distB="0" distL="114300" distR="114300" simplePos="0" relativeHeight="251658256" behindDoc="1" locked="0" layoutInCell="0" allowOverlap="1" wp14:anchorId="3A00B4CE" wp14:editId="78C5AEDD">
              <wp:simplePos x="0" y="0"/>
              <wp:positionH relativeFrom="margin">
                <wp:align>center</wp:align>
              </wp:positionH>
              <wp:positionV relativeFrom="margin">
                <wp:align>center</wp:align>
              </wp:positionV>
              <wp:extent cx="5774055" cy="2309495"/>
              <wp:effectExtent l="0" t="1466850" r="0" b="132905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4704BFA" w14:textId="6F7BCB74" w:rsidR="00200677" w:rsidRDefault="00200677" w:rsidP="003403DE">
                          <w:pPr>
                            <w:jc w:val="center"/>
                            <w:rPr>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A00B4CE" id="_x0000_t202" coordsize="21600,21600" o:spt="202" path="m,l,21600r21600,l21600,xe">
              <v:stroke joinstyle="miter"/>
              <v:path gradientshapeok="t" o:connecttype="rect"/>
            </v:shapetype>
            <v:shape id="Text Box 9" o:spid="_x0000_s1051" type="#_x0000_t202" style="position:absolute;margin-left:0;margin-top:0;width:454.65pt;height:181.85pt;rotation:-45;z-index:-2516582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" o:allowincell="f" filled="f" stroked="f">
              <v:stroke joinstyle="round"/>
              <o:lock v:ext="edit" shapetype="t"/>
              <v:textbox style="mso-fit-shape-to-text:t">
                <w:txbxContent>
                  <w:p w14:paraId="24704BFA" w14:textId="6F7BCB74" w:rsidR="00200677" w:rsidRDefault="00200677" w:rsidP="003403DE">
                    <w:pPr>
                      <w:jc w:val="center"/>
                      <w:rPr>
                        <w:color w:val="C0C0C0"/>
                        <w:sz w:val="2"/>
                        <w:szCs w:val="2"/>
                        <w14:textFill>
                          <w14:solidFill>
                            <w14:srgbClr w14:val="C0C0C0">
                              <w14:alpha w14:val="50000"/>
                            </w14:srgbClr>
                          </w14:solidFill>
                        </w14:textFill>
                      </w:rPr>
                    </w:pPr>
                  </w:p>
                </w:txbxContent>
              </v:textbox>
              <w10:wrap anchorx="margin" anchory="margin"/>
            </v:shape>
          </w:pict>
        </mc:Fallback>
      </mc:AlternateContent>
    </w: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C33A3" w14:textId="67309BAC" w:rsidR="00200677" w:rsidRDefault="003122A7">
    <w:pPr>
      <w:pStyle w:val="Header"/>
    </w:pPr>
    <w:r>
      <w:rPr>
        <w:noProof/>
      </w:rPr>
      <mc:AlternateContent>
        <mc:Choice Requires="wps">
          <w:drawing>
            <wp:anchor distT="0" distB="0" distL="114300" distR="114300" simplePos="0" relativeHeight="251658284" behindDoc="1" locked="0" layoutInCell="0" allowOverlap="1" wp14:anchorId="0494EB58" wp14:editId="5040F62A">
              <wp:simplePos x="0" y="0"/>
              <wp:positionH relativeFrom="margin">
                <wp:align>center</wp:align>
              </wp:positionH>
              <wp:positionV relativeFrom="margin">
                <wp:align>center</wp:align>
              </wp:positionV>
              <wp:extent cx="5774055" cy="2309495"/>
              <wp:effectExtent l="0" t="1466850" r="0" b="1329055"/>
              <wp:wrapNone/>
              <wp:docPr id="89202213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83187A0" w14:textId="77777777" w:rsidR="003122A7" w:rsidRDefault="003122A7" w:rsidP="003122A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94EB58" id="_x0000_t202" coordsize="21600,21600" o:spt="202" path="m,l,21600r21600,l21600,xe">
              <v:stroke joinstyle="miter"/>
              <v:path gradientshapeok="t" o:connecttype="rect"/>
            </v:shapetype>
            <v:shape id="_x0000_s1052" type="#_x0000_t202" style="position:absolute;margin-left:0;margin-top:0;width:454.65pt;height:181.85pt;rotation:-45;z-index:-2516581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" o:allowincell="f" filled="f" stroked="f">
              <v:stroke joinstyle="round"/>
              <o:lock v:ext="edit" shapetype="t"/>
              <v:textbox style="mso-fit-shape-to-text:t">
                <w:txbxContent>
                  <w:p w14:paraId="683187A0" w14:textId="77777777" w:rsidR="003122A7" w:rsidRDefault="003122A7" w:rsidP="003122A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FB87" w14:textId="7621EBD8" w:rsidR="0001126F" w:rsidRDefault="00200677" w:rsidP="0001126F">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23186748" w14:textId="77777777" w:rsidR="00200677" w:rsidRDefault="00200677" w:rsidP="00096899">
    <w:pPr>
      <w:pStyle w:val="Header"/>
      <w:jc w:val="center"/>
      <w:rPr>
        <w:rFonts w:ascii="Calibri" w:hAnsi="Calibri"/>
      </w:rPr>
    </w:pPr>
    <w:r>
      <w:rPr>
        <w:rFonts w:ascii="Calibri" w:hAnsi="Calibri"/>
      </w:rPr>
      <w:t>AUDITOR'S REPORT</w:t>
    </w:r>
  </w:p>
  <w:p w14:paraId="7A3EEB54" w14:textId="3488CE0E" w:rsidR="00200677" w:rsidRDefault="002006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DB248" w14:textId="56162BD2" w:rsidR="00200677" w:rsidRDefault="003122A7">
    <w:pPr>
      <w:pStyle w:val="Header"/>
    </w:pPr>
    <w:r>
      <w:rPr>
        <w:noProof/>
      </w:rPr>
      <mc:AlternateContent>
        <mc:Choice Requires="wps">
          <w:drawing>
            <wp:anchor distT="0" distB="0" distL="114300" distR="114300" simplePos="0" relativeHeight="251658283" behindDoc="1" locked="0" layoutInCell="0" allowOverlap="1" wp14:anchorId="3486BB12" wp14:editId="13E1BCD6">
              <wp:simplePos x="0" y="0"/>
              <wp:positionH relativeFrom="margin">
                <wp:align>center</wp:align>
              </wp:positionH>
              <wp:positionV relativeFrom="margin">
                <wp:align>center</wp:align>
              </wp:positionV>
              <wp:extent cx="5774055" cy="2309495"/>
              <wp:effectExtent l="0" t="1466850" r="0" b="1329055"/>
              <wp:wrapNone/>
              <wp:docPr id="2978604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9625624" w14:textId="77777777" w:rsidR="003122A7" w:rsidRDefault="003122A7" w:rsidP="003122A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486BB12" id="_x0000_t202" coordsize="21600,21600" o:spt="202" path="m,l,21600r21600,l21600,xe">
              <v:stroke joinstyle="miter"/>
              <v:path gradientshapeok="t" o:connecttype="rect"/>
            </v:shapetype>
            <v:shape id="_x0000_s1053" type="#_x0000_t202" style="position:absolute;margin-left:0;margin-top:0;width:454.65pt;height:181.85pt;rotation:-45;z-index:-25165819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" o:allowincell="f" filled="f" stroked="f">
              <v:stroke joinstyle="round"/>
              <o:lock v:ext="edit" shapetype="t"/>
              <v:textbox style="mso-fit-shape-to-text:t">
                <w:txbxContent>
                  <w:p w14:paraId="29625624" w14:textId="77777777" w:rsidR="003122A7" w:rsidRDefault="003122A7" w:rsidP="003122A7">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EB890" w14:textId="3CC5D179" w:rsidR="00200677" w:rsidRDefault="00200677" w:rsidP="000B074C">
    <w:pPr>
      <w:pStyle w:val="Header"/>
      <w:jc w:val="center"/>
      <w:rPr>
        <w:rFonts w:ascii="Calibri" w:hAnsi="Calibri"/>
      </w:rPr>
    </w:pPr>
    <w:r>
      <w:rPr>
        <w:rFonts w:ascii="Calibri" w:hAnsi="Calibri"/>
      </w:rPr>
      <w:t xml:space="preserve">POLICE AND CRIME COMMISSIONER FOR LANCASHIRE </w:t>
    </w:r>
    <w:r w:rsidR="00C37E7F">
      <w:rPr>
        <w:rFonts w:ascii="Calibri" w:hAnsi="Calibri"/>
      </w:rPr>
      <w:t>2024/25</w:t>
    </w:r>
  </w:p>
  <w:p w14:paraId="105911A3" w14:textId="31425F7E" w:rsidR="00200677" w:rsidRDefault="00A22762" w:rsidP="00961C7C">
    <w:pPr>
      <w:jc w:val="center"/>
    </w:pPr>
    <w:r>
      <w:rPr>
        <w:rFonts w:ascii="Calibri" w:hAnsi="Calibri"/>
      </w:rPr>
      <w:t>N</w:t>
    </w:r>
    <w:r w:rsidR="00200677">
      <w:rPr>
        <w:rFonts w:ascii="Calibri" w:hAnsi="Calibri"/>
      </w:rPr>
      <w:t>ARRATIVE REPORT</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DB8DB" w14:textId="53802638" w:rsidR="00200677" w:rsidRDefault="00E1307E">
    <w:pPr>
      <w:pStyle w:val="Header"/>
    </w:pPr>
    <w:r>
      <w:rPr>
        <w:noProof/>
      </w:rPr>
      <w:pict w14:anchorId="405C99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9" type="#_x0000_t136" style="position:absolute;margin-left:0;margin-top:0;width:454.65pt;height:181.85pt;rotation:315;z-index:-251658194;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03D53" w14:textId="7647080F" w:rsidR="00200677" w:rsidRPr="00F30322" w:rsidRDefault="00200677" w:rsidP="00F30322">
    <w:pPr>
      <w:pStyle w:val="Header"/>
      <w:jc w:val="center"/>
      <w:rPr>
        <w:rFonts w:asciiTheme="minorHAnsi" w:hAnsiTheme="minorHAnsi" w:cs="Arial"/>
      </w:rPr>
    </w:pPr>
    <w:r w:rsidRPr="00F30322">
      <w:rPr>
        <w:rFonts w:asciiTheme="minorHAnsi" w:hAnsiTheme="minorHAnsi" w:cs="Arial"/>
      </w:rPr>
      <w:t xml:space="preserve">POLICE </w:t>
    </w:r>
    <w:r>
      <w:rPr>
        <w:rFonts w:asciiTheme="minorHAnsi" w:hAnsiTheme="minorHAnsi" w:cs="Arial"/>
      </w:rPr>
      <w:t xml:space="preserve">AND CRIME COMMISSIONER </w:t>
    </w:r>
    <w:r w:rsidRPr="00F30322">
      <w:rPr>
        <w:rFonts w:asciiTheme="minorHAnsi" w:hAnsiTheme="minorHAnsi" w:cs="Arial"/>
      </w:rPr>
      <w:t>F</w:t>
    </w:r>
    <w:r>
      <w:rPr>
        <w:rFonts w:asciiTheme="minorHAnsi" w:hAnsiTheme="minorHAnsi" w:cs="Arial"/>
      </w:rPr>
      <w:t>O</w:t>
    </w:r>
    <w:r w:rsidRPr="00F30322">
      <w:rPr>
        <w:rFonts w:asciiTheme="minorHAnsi" w:hAnsiTheme="minorHAnsi" w:cs="Arial"/>
      </w:rPr>
      <w:t xml:space="preserve">R LANCASHIRE </w:t>
    </w:r>
    <w:r w:rsidR="00C37E7F">
      <w:rPr>
        <w:rFonts w:asciiTheme="minorHAnsi" w:hAnsiTheme="minorHAnsi" w:cs="Arial"/>
      </w:rPr>
      <w:t>2024/25</w:t>
    </w:r>
  </w:p>
  <w:p w14:paraId="35E3BF50" w14:textId="2D806E2D" w:rsidR="00200677" w:rsidRDefault="00200677" w:rsidP="00F30322">
    <w:pPr>
      <w:pStyle w:val="Header"/>
      <w:jc w:val="center"/>
      <w:rPr>
        <w:rFonts w:asciiTheme="minorHAnsi" w:hAnsiTheme="minorHAnsi" w:cs="Arial"/>
      </w:rPr>
    </w:pPr>
    <w:r>
      <w:rPr>
        <w:rFonts w:asciiTheme="minorHAnsi" w:hAnsiTheme="minorHAnsi" w:cs="Arial"/>
      </w:rPr>
      <w:t>ANNUAL GOVERNANCE STATEMENT</w:t>
    </w:r>
  </w:p>
  <w:p w14:paraId="5B62530E" w14:textId="330F7131" w:rsidR="00200677" w:rsidRPr="00F30322" w:rsidRDefault="00761DE6" w:rsidP="00F30322">
    <w:pPr>
      <w:pStyle w:val="Header"/>
      <w:jc w:val="center"/>
      <w:rPr>
        <w:rFonts w:asciiTheme="minorHAnsi" w:hAnsiTheme="minorHAnsi" w:cs="Arial"/>
      </w:rPr>
    </w:pPr>
    <w:r>
      <w:rPr>
        <w:noProof/>
      </w:rPr>
      <mc:AlternateContent>
        <mc:Choice Requires="wps">
          <w:drawing>
            <wp:anchor distT="0" distB="0" distL="114300" distR="114300" simplePos="0" relativeHeight="251658250" behindDoc="0" locked="0" layoutInCell="1" allowOverlap="1" wp14:anchorId="1B0A0571" wp14:editId="23E168C5">
              <wp:simplePos x="0" y="0"/>
              <wp:positionH relativeFrom="margin">
                <wp:align>center</wp:align>
              </wp:positionH>
              <wp:positionV relativeFrom="paragraph">
                <wp:posOffset>3784145</wp:posOffset>
              </wp:positionV>
              <wp:extent cx="6090920" cy="2209800"/>
              <wp:effectExtent l="0" t="1714500" r="0" b="1714500"/>
              <wp:wrapNone/>
              <wp:docPr id="806192359"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2E50358C" w14:textId="7B39053E" w:rsidR="00761DE6" w:rsidRPr="004019DE" w:rsidRDefault="00761DE6" w:rsidP="00761DE6">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0A0571" id="_x0000_t202" coordsize="21600,21600" o:spt="202" path="m,l,21600r21600,l21600,xe">
              <v:stroke joinstyle="miter"/>
              <v:path gradientshapeok="t" o:connecttype="rect"/>
            </v:shapetype>
            <v:shape id="_x0000_s1054" type="#_x0000_t202" style="position:absolute;left:0;text-align:left;margin-left:0;margin-top:297.95pt;width:479.6pt;height:174pt;rotation:-2769289fd;z-index:25165825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" filled="f" stroked="f">
              <v:textbox>
                <w:txbxContent>
                  <w:p w14:paraId="2E50358C" w14:textId="7B39053E" w:rsidR="00761DE6" w:rsidRPr="004019DE" w:rsidRDefault="00761DE6" w:rsidP="00761DE6">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A6CEB" w14:textId="0E61A83F" w:rsidR="00200677" w:rsidRDefault="00E1307E">
    <w:pPr>
      <w:pStyle w:val="Header"/>
    </w:pPr>
    <w:r>
      <w:rPr>
        <w:noProof/>
      </w:rPr>
      <w:pict w14:anchorId="79ACF87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88" type="#_x0000_t136" style="position:absolute;margin-left:0;margin-top:0;width:454.65pt;height:181.85pt;rotation:315;z-index:-251658195;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8E5F" w14:textId="788C10DD" w:rsidR="00D64C21" w:rsidRDefault="00D64C21">
    <w:pPr>
      <w:pStyle w:val="Heade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C2DAE" w14:textId="306FD53D" w:rsidR="00200677" w:rsidRPr="00F30322" w:rsidRDefault="00200677" w:rsidP="00F30322">
    <w:pPr>
      <w:pStyle w:val="Header"/>
      <w:jc w:val="center"/>
      <w:rPr>
        <w:rFonts w:asciiTheme="minorHAnsi" w:hAnsiTheme="minorHAnsi" w:cs="Arial"/>
      </w:rPr>
    </w:pPr>
    <w:r w:rsidRPr="00F30322">
      <w:rPr>
        <w:rFonts w:asciiTheme="minorHAnsi" w:hAnsiTheme="minorHAnsi" w:cs="Arial"/>
      </w:rPr>
      <w:t xml:space="preserve">POLICE </w:t>
    </w:r>
    <w:r>
      <w:rPr>
        <w:rFonts w:asciiTheme="minorHAnsi" w:hAnsiTheme="minorHAnsi" w:cs="Arial"/>
      </w:rPr>
      <w:t xml:space="preserve">AND CRIME COMMISSIONER </w:t>
    </w:r>
    <w:r w:rsidRPr="00F30322">
      <w:rPr>
        <w:rFonts w:asciiTheme="minorHAnsi" w:hAnsiTheme="minorHAnsi" w:cs="Arial"/>
      </w:rPr>
      <w:t>F</w:t>
    </w:r>
    <w:r>
      <w:rPr>
        <w:rFonts w:asciiTheme="minorHAnsi" w:hAnsiTheme="minorHAnsi" w:cs="Arial"/>
      </w:rPr>
      <w:t>O</w:t>
    </w:r>
    <w:r w:rsidRPr="00F30322">
      <w:rPr>
        <w:rFonts w:asciiTheme="minorHAnsi" w:hAnsiTheme="minorHAnsi" w:cs="Arial"/>
      </w:rPr>
      <w:t xml:space="preserve">R LANCASHIRE </w:t>
    </w:r>
    <w:r w:rsidR="00C37E7F">
      <w:rPr>
        <w:rFonts w:asciiTheme="minorHAnsi" w:hAnsiTheme="minorHAnsi" w:cs="Arial"/>
      </w:rPr>
      <w:t>2024/25</w:t>
    </w:r>
  </w:p>
  <w:p w14:paraId="78A14DEA" w14:textId="3A8B8571" w:rsidR="00200677" w:rsidRDefault="00200677" w:rsidP="00F30322">
    <w:pPr>
      <w:pStyle w:val="Header"/>
      <w:jc w:val="center"/>
      <w:rPr>
        <w:rFonts w:asciiTheme="minorHAnsi" w:hAnsiTheme="minorHAnsi" w:cs="Arial"/>
      </w:rPr>
    </w:pPr>
    <w:r w:rsidRPr="00F30322">
      <w:rPr>
        <w:rFonts w:asciiTheme="minorHAnsi" w:hAnsiTheme="minorHAnsi" w:cs="Arial"/>
      </w:rPr>
      <w:t>GLOSSARY</w:t>
    </w:r>
  </w:p>
  <w:p w14:paraId="2F2B1344" w14:textId="158B04EA" w:rsidR="00200677" w:rsidRPr="00F30322" w:rsidRDefault="00D03E78" w:rsidP="00F30322">
    <w:pPr>
      <w:pStyle w:val="Header"/>
      <w:jc w:val="center"/>
      <w:rPr>
        <w:rFonts w:asciiTheme="minorHAnsi" w:hAnsiTheme="minorHAnsi" w:cs="Arial"/>
      </w:rPr>
    </w:pPr>
    <w:r>
      <w:rPr>
        <w:noProof/>
      </w:rPr>
      <mc:AlternateContent>
        <mc:Choice Requires="wps">
          <w:drawing>
            <wp:anchor distT="0" distB="0" distL="114300" distR="114300" simplePos="0" relativeHeight="251658251" behindDoc="0" locked="0" layoutInCell="1" allowOverlap="1" wp14:anchorId="09E5DFB5" wp14:editId="197D2529">
              <wp:simplePos x="0" y="0"/>
              <wp:positionH relativeFrom="margin">
                <wp:posOffset>395785</wp:posOffset>
              </wp:positionH>
              <wp:positionV relativeFrom="paragraph">
                <wp:posOffset>3770498</wp:posOffset>
              </wp:positionV>
              <wp:extent cx="6090920" cy="2209800"/>
              <wp:effectExtent l="0" t="1714500" r="0" b="1714500"/>
              <wp:wrapNone/>
              <wp:docPr id="86057670" name="Text Box 1"/>
              <wp:cNvGraphicFramePr/>
              <a:graphic xmlns:a="http://schemas.openxmlformats.org/drawingml/2006/main">
                <a:graphicData uri="http://schemas.microsoft.com/office/word/2010/wordprocessingShape">
                  <wps:wsp>
                    <wps:cNvSpPr txBox="1"/>
                    <wps:spPr>
                      <a:xfrm rot="19064640">
                        <a:off x="0" y="0"/>
                        <a:ext cx="6090920" cy="2209800"/>
                      </a:xfrm>
                      <a:prstGeom prst="rect">
                        <a:avLst/>
                      </a:prstGeom>
                      <a:noFill/>
                      <a:ln>
                        <a:noFill/>
                      </a:ln>
                    </wps:spPr>
                    <wps:txbx>
                      <w:txbxContent>
                        <w:p w14:paraId="37BA1ACA" w14:textId="558B0F23" w:rsidR="00D03E78" w:rsidRPr="004019DE" w:rsidRDefault="00D03E78" w:rsidP="00D03E78">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E5DFB5" id="_x0000_t202" coordsize="21600,21600" o:spt="202" path="m,l,21600r21600,l21600,xe">
              <v:stroke joinstyle="miter"/>
              <v:path gradientshapeok="t" o:connecttype="rect"/>
            </v:shapetype>
            <v:shape id="_x0000_s1055" type="#_x0000_t202" style="position:absolute;left:0;text-align:left;margin-left:31.15pt;margin-top:296.9pt;width:479.6pt;height:174pt;rotation:-2769289fd;z-index:25165825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" filled="f" stroked="f">
              <v:textbox>
                <w:txbxContent>
                  <w:p w14:paraId="37BA1ACA" w14:textId="558B0F23" w:rsidR="00D03E78" w:rsidRPr="004019DE" w:rsidRDefault="00D03E78" w:rsidP="00D03E78">
                    <w:pPr>
                      <w:pStyle w:val="Footer"/>
                      <w:jc w:val="center"/>
                      <w:rPr>
                        <w:color w:val="808080" w:themeColor="background1" w:themeShade="80"/>
                        <w:sz w:val="260"/>
                        <w:szCs w:val="2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textFill>
                          <w14:solidFill>
                            <w14:schemeClr w14:val="bg1">
                              <w14:alpha w14:val="66000"/>
                              <w14:lumMod w14:val="50000"/>
                            </w14:schemeClr>
                          </w14:solidFill>
                        </w14:textFill>
                      </w:rPr>
                    </w:pPr>
                  </w:p>
                </w:txbxContent>
              </v:textbox>
              <w10:wrap anchorx="margin"/>
            </v:shape>
          </w:pict>
        </mc:Fallback>
      </mc:AlternateContent>
    </w: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D9941" w14:textId="1E0D1FDD" w:rsidR="00D64C21" w:rsidRDefault="00D64C21">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DA505" w14:textId="4E6D2F49" w:rsidR="00200677" w:rsidRDefault="001F73BA">
    <w:pPr>
      <w:pStyle w:val="Header"/>
    </w:pPr>
    <w:r>
      <w:rPr>
        <w:noProof/>
      </w:rPr>
      <mc:AlternateContent>
        <mc:Choice Requires="wps">
          <w:drawing>
            <wp:anchor distT="0" distB="0" distL="114300" distR="114300" simplePos="0" relativeHeight="251658247" behindDoc="1" locked="0" layoutInCell="0" allowOverlap="1" wp14:anchorId="04597429" wp14:editId="0384A309">
              <wp:simplePos x="0" y="0"/>
              <wp:positionH relativeFrom="margin">
                <wp:align>center</wp:align>
              </wp:positionH>
              <wp:positionV relativeFrom="margin">
                <wp:align>center</wp:align>
              </wp:positionV>
              <wp:extent cx="5774055" cy="2309495"/>
              <wp:effectExtent l="0" t="1466850" r="0" b="1329055"/>
              <wp:wrapNone/>
              <wp:docPr id="33756950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4055" cy="230949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204774" w14:textId="67A10065" w:rsidR="001F73BA" w:rsidRDefault="001F73BA" w:rsidP="001F73BA">
                          <w:pPr>
                            <w:jc w:val="center"/>
                            <w:rPr>
                              <w:color w:val="C0C0C0"/>
                              <w:sz w:val="2"/>
                              <w:szCs w:val="2"/>
                              <w14:textFill>
                                <w14:solidFill>
                                  <w14:srgbClr w14:val="C0C0C0">
                                    <w14:alpha w14:val="50000"/>
                                  </w14:srgbClr>
                                </w14:solidFill>
                              </w14:textFill>
                            </w:rPr>
                          </w:pP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4597429" id="_x0000_t202" coordsize="21600,21600" o:spt="202" path="m,l,21600r21600,l21600,xe">
              <v:stroke joinstyle="miter"/>
              <v:path gradientshapeok="t" o:connecttype="rect"/>
            </v:shapetype>
            <v:shape id="Text Box 8" o:spid="_x0000_s1030" type="#_x0000_t202" style="position:absolute;margin-left:0;margin-top:0;width:454.65pt;height:181.85pt;rotation:-45;z-index:-251658233;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" o:allowincell="f" filled="f" stroked="f">
              <v:stroke joinstyle="round"/>
              <o:lock v:ext="edit" shapetype="t"/>
              <v:textbox style="mso-fit-shape-to-text:t">
                <w:txbxContent>
                  <w:p w14:paraId="4E204774" w14:textId="67A10065" w:rsidR="001F73BA" w:rsidRDefault="001F73BA" w:rsidP="001F73BA">
                    <w:pPr>
                      <w:jc w:val="center"/>
                      <w:rPr>
                        <w:color w:val="C0C0C0"/>
                        <w:sz w:val="2"/>
                        <w:szCs w:val="2"/>
                        <w14:textFill>
                          <w14:solidFill>
                            <w14:srgbClr w14:val="C0C0C0">
                              <w14:alpha w14:val="50000"/>
                            </w14:srgbClr>
                          </w14:solidFill>
                        </w14:textFill>
                      </w:rPr>
                    </w:pP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4042C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139B93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B4A9D8F9"/>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0CAC7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16700F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03FA8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3FFEC3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FFFFFF82"/>
    <w:multiLevelType w:val="singleLevel"/>
    <w:tmpl w:val="63C4B6E8"/>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BBFC6342"/>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9"/>
    <w:multiLevelType w:val="singleLevel"/>
    <w:tmpl w:val="73E0BD5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E03A73"/>
    <w:multiLevelType w:val="hybridMultilevel"/>
    <w:tmpl w:val="14E033F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1" w15:restartNumberingAfterBreak="0">
    <w:nsid w:val="04527A42"/>
    <w:multiLevelType w:val="hybridMultilevel"/>
    <w:tmpl w:val="3288EF5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64B169F"/>
    <w:multiLevelType w:val="hybridMultilevel"/>
    <w:tmpl w:val="197C05E2"/>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13" w15:restartNumberingAfterBreak="0">
    <w:nsid w:val="0AB72EC3"/>
    <w:multiLevelType w:val="hybridMultilevel"/>
    <w:tmpl w:val="7320EDF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4" w15:restartNumberingAfterBreak="0">
    <w:nsid w:val="0DBF7BD0"/>
    <w:multiLevelType w:val="hybridMultilevel"/>
    <w:tmpl w:val="46F22C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0EC07D4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105123F9"/>
    <w:multiLevelType w:val="hybridMultilevel"/>
    <w:tmpl w:val="64AC93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15:restartNumberingAfterBreak="0">
    <w:nsid w:val="11B725B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1278501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16F15174"/>
    <w:multiLevelType w:val="hybridMultilevel"/>
    <w:tmpl w:val="17A21034"/>
    <w:lvl w:ilvl="0" w:tplc="E29E4476">
      <w:start w:val="1"/>
      <w:numFmt w:val="bullet"/>
      <w:lvlText w:val="•"/>
      <w:lvlJc w:val="left"/>
      <w:pPr>
        <w:ind w:left="283"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F2CE4BCE">
      <w:start w:val="1"/>
      <w:numFmt w:val="bullet"/>
      <w:lvlText w:val="o"/>
      <w:lvlJc w:val="left"/>
      <w:pPr>
        <w:ind w:left="10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AD30C018">
      <w:start w:val="1"/>
      <w:numFmt w:val="bullet"/>
      <w:lvlText w:val="▪"/>
      <w:lvlJc w:val="left"/>
      <w:pPr>
        <w:ind w:left="18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D974CBDC">
      <w:start w:val="1"/>
      <w:numFmt w:val="bullet"/>
      <w:lvlText w:val="•"/>
      <w:lvlJc w:val="left"/>
      <w:pPr>
        <w:ind w:left="25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2A7A12FA">
      <w:start w:val="1"/>
      <w:numFmt w:val="bullet"/>
      <w:lvlText w:val="o"/>
      <w:lvlJc w:val="left"/>
      <w:pPr>
        <w:ind w:left="324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63263728">
      <w:start w:val="1"/>
      <w:numFmt w:val="bullet"/>
      <w:lvlText w:val="▪"/>
      <w:lvlJc w:val="left"/>
      <w:pPr>
        <w:ind w:left="39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7DBC0F82">
      <w:start w:val="1"/>
      <w:numFmt w:val="bullet"/>
      <w:lvlText w:val="•"/>
      <w:lvlJc w:val="left"/>
      <w:pPr>
        <w:ind w:left="46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3BC42964">
      <w:start w:val="1"/>
      <w:numFmt w:val="bullet"/>
      <w:lvlText w:val="o"/>
      <w:lvlJc w:val="left"/>
      <w:pPr>
        <w:ind w:left="54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410E25DA">
      <w:start w:val="1"/>
      <w:numFmt w:val="bullet"/>
      <w:lvlText w:val="▪"/>
      <w:lvlJc w:val="left"/>
      <w:pPr>
        <w:ind w:left="612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20" w15:restartNumberingAfterBreak="0">
    <w:nsid w:val="17986A7F"/>
    <w:multiLevelType w:val="hybridMultilevel"/>
    <w:tmpl w:val="79BCA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90755B8"/>
    <w:multiLevelType w:val="hybridMultilevel"/>
    <w:tmpl w:val="68865C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C2C6E75"/>
    <w:multiLevelType w:val="hybridMultilevel"/>
    <w:tmpl w:val="83C214D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205170F5"/>
    <w:multiLevelType w:val="hybridMultilevel"/>
    <w:tmpl w:val="58483484"/>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24" w15:restartNumberingAfterBreak="0">
    <w:nsid w:val="20991D4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210E4A13"/>
    <w:multiLevelType w:val="hybridMultilevel"/>
    <w:tmpl w:val="17F8C8D4"/>
    <w:lvl w:ilvl="0" w:tplc="08090019">
      <w:start w:val="1"/>
      <w:numFmt w:val="bullet"/>
      <w:lvlText w:val=""/>
      <w:lvlJc w:val="left"/>
      <w:pPr>
        <w:tabs>
          <w:tab w:val="num" w:pos="720"/>
        </w:tabs>
        <w:ind w:left="720"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13E00DA"/>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27" w15:restartNumberingAfterBreak="0">
    <w:nsid w:val="25E62570"/>
    <w:multiLevelType w:val="hybridMultilevel"/>
    <w:tmpl w:val="49DC0EF0"/>
    <w:lvl w:ilvl="0" w:tplc="520C240C">
      <w:numFmt w:val="bullet"/>
      <w:lvlText w:val="-"/>
      <w:lvlJc w:val="left"/>
      <w:pPr>
        <w:ind w:left="521" w:hanging="360"/>
      </w:pPr>
      <w:rPr>
        <w:rFonts w:ascii="Arial" w:eastAsia="Times New Roman" w:hAnsi="Arial" w:cs="Arial" w:hint="default"/>
      </w:rPr>
    </w:lvl>
    <w:lvl w:ilvl="1" w:tplc="08090003" w:tentative="1">
      <w:start w:val="1"/>
      <w:numFmt w:val="bullet"/>
      <w:lvlText w:val="o"/>
      <w:lvlJc w:val="left"/>
      <w:pPr>
        <w:ind w:left="1241" w:hanging="360"/>
      </w:pPr>
      <w:rPr>
        <w:rFonts w:ascii="Courier New" w:hAnsi="Courier New" w:cs="Courier New" w:hint="default"/>
      </w:rPr>
    </w:lvl>
    <w:lvl w:ilvl="2" w:tplc="08090005" w:tentative="1">
      <w:start w:val="1"/>
      <w:numFmt w:val="bullet"/>
      <w:lvlText w:val=""/>
      <w:lvlJc w:val="left"/>
      <w:pPr>
        <w:ind w:left="1961" w:hanging="360"/>
      </w:pPr>
      <w:rPr>
        <w:rFonts w:ascii="Wingdings" w:hAnsi="Wingdings" w:hint="default"/>
      </w:rPr>
    </w:lvl>
    <w:lvl w:ilvl="3" w:tplc="08090001" w:tentative="1">
      <w:start w:val="1"/>
      <w:numFmt w:val="bullet"/>
      <w:lvlText w:val=""/>
      <w:lvlJc w:val="left"/>
      <w:pPr>
        <w:ind w:left="2681" w:hanging="360"/>
      </w:pPr>
      <w:rPr>
        <w:rFonts w:ascii="Symbol" w:hAnsi="Symbol" w:hint="default"/>
      </w:rPr>
    </w:lvl>
    <w:lvl w:ilvl="4" w:tplc="08090003" w:tentative="1">
      <w:start w:val="1"/>
      <w:numFmt w:val="bullet"/>
      <w:lvlText w:val="o"/>
      <w:lvlJc w:val="left"/>
      <w:pPr>
        <w:ind w:left="3401" w:hanging="360"/>
      </w:pPr>
      <w:rPr>
        <w:rFonts w:ascii="Courier New" w:hAnsi="Courier New" w:cs="Courier New" w:hint="default"/>
      </w:rPr>
    </w:lvl>
    <w:lvl w:ilvl="5" w:tplc="08090005" w:tentative="1">
      <w:start w:val="1"/>
      <w:numFmt w:val="bullet"/>
      <w:lvlText w:val=""/>
      <w:lvlJc w:val="left"/>
      <w:pPr>
        <w:ind w:left="4121" w:hanging="360"/>
      </w:pPr>
      <w:rPr>
        <w:rFonts w:ascii="Wingdings" w:hAnsi="Wingdings" w:hint="default"/>
      </w:rPr>
    </w:lvl>
    <w:lvl w:ilvl="6" w:tplc="08090001" w:tentative="1">
      <w:start w:val="1"/>
      <w:numFmt w:val="bullet"/>
      <w:lvlText w:val=""/>
      <w:lvlJc w:val="left"/>
      <w:pPr>
        <w:ind w:left="4841" w:hanging="360"/>
      </w:pPr>
      <w:rPr>
        <w:rFonts w:ascii="Symbol" w:hAnsi="Symbol" w:hint="default"/>
      </w:rPr>
    </w:lvl>
    <w:lvl w:ilvl="7" w:tplc="08090003" w:tentative="1">
      <w:start w:val="1"/>
      <w:numFmt w:val="bullet"/>
      <w:lvlText w:val="o"/>
      <w:lvlJc w:val="left"/>
      <w:pPr>
        <w:ind w:left="5561" w:hanging="360"/>
      </w:pPr>
      <w:rPr>
        <w:rFonts w:ascii="Courier New" w:hAnsi="Courier New" w:cs="Courier New" w:hint="default"/>
      </w:rPr>
    </w:lvl>
    <w:lvl w:ilvl="8" w:tplc="08090005" w:tentative="1">
      <w:start w:val="1"/>
      <w:numFmt w:val="bullet"/>
      <w:lvlText w:val=""/>
      <w:lvlJc w:val="left"/>
      <w:pPr>
        <w:ind w:left="6281" w:hanging="360"/>
      </w:pPr>
      <w:rPr>
        <w:rFonts w:ascii="Wingdings" w:hAnsi="Wingdings" w:hint="default"/>
      </w:rPr>
    </w:lvl>
  </w:abstractNum>
  <w:abstractNum w:abstractNumId="28" w15:restartNumberingAfterBreak="0">
    <w:nsid w:val="26247BBE"/>
    <w:multiLevelType w:val="hybridMultilevel"/>
    <w:tmpl w:val="DFE2958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9" w15:restartNumberingAfterBreak="0">
    <w:nsid w:val="27CF5E13"/>
    <w:multiLevelType w:val="hybridMultilevel"/>
    <w:tmpl w:val="A46660B4"/>
    <w:lvl w:ilvl="0" w:tplc="2D2A2474">
      <w:start w:val="1"/>
      <w:numFmt w:val="bullet"/>
      <w:lvlText w:val="•"/>
      <w:lvlJc w:val="left"/>
      <w:pPr>
        <w:ind w:left="7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D1E4BB58">
      <w:start w:val="1"/>
      <w:numFmt w:val="bullet"/>
      <w:lvlText w:val="o"/>
      <w:lvlJc w:val="left"/>
      <w:pPr>
        <w:ind w:left="144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B1848232">
      <w:start w:val="1"/>
      <w:numFmt w:val="bullet"/>
      <w:lvlText w:val="▪"/>
      <w:lvlJc w:val="left"/>
      <w:pPr>
        <w:ind w:left="21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3E6AFD56">
      <w:start w:val="1"/>
      <w:numFmt w:val="bullet"/>
      <w:lvlText w:val="•"/>
      <w:lvlJc w:val="left"/>
      <w:pPr>
        <w:ind w:left="28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7EB0C552">
      <w:start w:val="1"/>
      <w:numFmt w:val="bullet"/>
      <w:lvlText w:val="o"/>
      <w:lvlJc w:val="left"/>
      <w:pPr>
        <w:ind w:left="36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6B424AF0">
      <w:start w:val="1"/>
      <w:numFmt w:val="bullet"/>
      <w:lvlText w:val="▪"/>
      <w:lvlJc w:val="left"/>
      <w:pPr>
        <w:ind w:left="432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4D507802">
      <w:start w:val="1"/>
      <w:numFmt w:val="bullet"/>
      <w:lvlText w:val="•"/>
      <w:lvlJc w:val="left"/>
      <w:pPr>
        <w:ind w:left="504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493AC10E">
      <w:start w:val="1"/>
      <w:numFmt w:val="bullet"/>
      <w:lvlText w:val="o"/>
      <w:lvlJc w:val="left"/>
      <w:pPr>
        <w:ind w:left="57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C3CE3506">
      <w:start w:val="1"/>
      <w:numFmt w:val="bullet"/>
      <w:lvlText w:val="▪"/>
      <w:lvlJc w:val="left"/>
      <w:pPr>
        <w:ind w:left="64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30" w15:restartNumberingAfterBreak="0">
    <w:nsid w:val="28626212"/>
    <w:multiLevelType w:val="hybridMultilevel"/>
    <w:tmpl w:val="1B26E8C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29987933"/>
    <w:multiLevelType w:val="hybridMultilevel"/>
    <w:tmpl w:val="3FBC75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2BA46E3C"/>
    <w:multiLevelType w:val="hybridMultilevel"/>
    <w:tmpl w:val="A4AAA906"/>
    <w:lvl w:ilvl="0" w:tplc="BE0ECE92">
      <w:start w:val="1"/>
      <w:numFmt w:val="bullet"/>
      <w:lvlText w:val="•"/>
      <w:lvlJc w:val="left"/>
      <w:pPr>
        <w:ind w:left="924"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4C3E511E">
      <w:start w:val="1"/>
      <w:numFmt w:val="bullet"/>
      <w:lvlText w:val="o"/>
      <w:lvlJc w:val="left"/>
      <w:pPr>
        <w:ind w:left="164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49965CB4">
      <w:start w:val="1"/>
      <w:numFmt w:val="bullet"/>
      <w:lvlText w:val="▪"/>
      <w:lvlJc w:val="left"/>
      <w:pPr>
        <w:ind w:left="236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C11000A6">
      <w:start w:val="1"/>
      <w:numFmt w:val="bullet"/>
      <w:lvlText w:val="•"/>
      <w:lvlJc w:val="left"/>
      <w:pPr>
        <w:ind w:left="3086"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54C09C56">
      <w:start w:val="1"/>
      <w:numFmt w:val="bullet"/>
      <w:lvlText w:val="o"/>
      <w:lvlJc w:val="left"/>
      <w:pPr>
        <w:ind w:left="380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31166388">
      <w:start w:val="1"/>
      <w:numFmt w:val="bullet"/>
      <w:lvlText w:val="▪"/>
      <w:lvlJc w:val="left"/>
      <w:pPr>
        <w:ind w:left="452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BABE9A6A">
      <w:start w:val="1"/>
      <w:numFmt w:val="bullet"/>
      <w:lvlText w:val="•"/>
      <w:lvlJc w:val="left"/>
      <w:pPr>
        <w:ind w:left="5246"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75863012">
      <w:start w:val="1"/>
      <w:numFmt w:val="bullet"/>
      <w:lvlText w:val="o"/>
      <w:lvlJc w:val="left"/>
      <w:pPr>
        <w:ind w:left="596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6ABC25E8">
      <w:start w:val="1"/>
      <w:numFmt w:val="bullet"/>
      <w:lvlText w:val="▪"/>
      <w:lvlJc w:val="left"/>
      <w:pPr>
        <w:ind w:left="6686"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33" w15:restartNumberingAfterBreak="0">
    <w:nsid w:val="31ED0C0A"/>
    <w:multiLevelType w:val="hybridMultilevel"/>
    <w:tmpl w:val="0CDC9D7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329A0386"/>
    <w:multiLevelType w:val="hybridMultilevel"/>
    <w:tmpl w:val="C0D401CC"/>
    <w:lvl w:ilvl="0" w:tplc="A4B67BE4">
      <w:start w:val="1"/>
      <w:numFmt w:val="decimal"/>
      <w:lvlText w:val="%1."/>
      <w:lvlJc w:val="left"/>
      <w:pPr>
        <w:tabs>
          <w:tab w:val="num" w:pos="720"/>
        </w:tabs>
        <w:ind w:left="720" w:hanging="720"/>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6552475"/>
    <w:multiLevelType w:val="hybridMultilevel"/>
    <w:tmpl w:val="23863A30"/>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6" w15:restartNumberingAfterBreak="0">
    <w:nsid w:val="3A0F1CF3"/>
    <w:multiLevelType w:val="hybridMultilevel"/>
    <w:tmpl w:val="8E56214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37" w15:restartNumberingAfterBreak="0">
    <w:nsid w:val="3BA85150"/>
    <w:multiLevelType w:val="hybridMultilevel"/>
    <w:tmpl w:val="81AC427A"/>
    <w:lvl w:ilvl="0" w:tplc="08090001">
      <w:start w:val="1"/>
      <w:numFmt w:val="bullet"/>
      <w:lvlText w:val=""/>
      <w:lvlJc w:val="left"/>
      <w:pPr>
        <w:ind w:left="975" w:hanging="360"/>
      </w:pPr>
      <w:rPr>
        <w:rFonts w:ascii="Symbol" w:hAnsi="Symbol" w:hint="default"/>
      </w:rPr>
    </w:lvl>
    <w:lvl w:ilvl="1" w:tplc="08090003" w:tentative="1">
      <w:start w:val="1"/>
      <w:numFmt w:val="bullet"/>
      <w:lvlText w:val="o"/>
      <w:lvlJc w:val="left"/>
      <w:pPr>
        <w:ind w:left="1695" w:hanging="360"/>
      </w:pPr>
      <w:rPr>
        <w:rFonts w:ascii="Courier New" w:hAnsi="Courier New" w:cs="Courier New" w:hint="default"/>
      </w:rPr>
    </w:lvl>
    <w:lvl w:ilvl="2" w:tplc="08090005" w:tentative="1">
      <w:start w:val="1"/>
      <w:numFmt w:val="bullet"/>
      <w:lvlText w:val=""/>
      <w:lvlJc w:val="left"/>
      <w:pPr>
        <w:ind w:left="2415" w:hanging="360"/>
      </w:pPr>
      <w:rPr>
        <w:rFonts w:ascii="Wingdings" w:hAnsi="Wingdings" w:hint="default"/>
      </w:rPr>
    </w:lvl>
    <w:lvl w:ilvl="3" w:tplc="08090001" w:tentative="1">
      <w:start w:val="1"/>
      <w:numFmt w:val="bullet"/>
      <w:lvlText w:val=""/>
      <w:lvlJc w:val="left"/>
      <w:pPr>
        <w:ind w:left="3135" w:hanging="360"/>
      </w:pPr>
      <w:rPr>
        <w:rFonts w:ascii="Symbol" w:hAnsi="Symbol" w:hint="default"/>
      </w:rPr>
    </w:lvl>
    <w:lvl w:ilvl="4" w:tplc="08090003" w:tentative="1">
      <w:start w:val="1"/>
      <w:numFmt w:val="bullet"/>
      <w:lvlText w:val="o"/>
      <w:lvlJc w:val="left"/>
      <w:pPr>
        <w:ind w:left="3855" w:hanging="360"/>
      </w:pPr>
      <w:rPr>
        <w:rFonts w:ascii="Courier New" w:hAnsi="Courier New" w:cs="Courier New" w:hint="default"/>
      </w:rPr>
    </w:lvl>
    <w:lvl w:ilvl="5" w:tplc="08090005" w:tentative="1">
      <w:start w:val="1"/>
      <w:numFmt w:val="bullet"/>
      <w:lvlText w:val=""/>
      <w:lvlJc w:val="left"/>
      <w:pPr>
        <w:ind w:left="4575" w:hanging="360"/>
      </w:pPr>
      <w:rPr>
        <w:rFonts w:ascii="Wingdings" w:hAnsi="Wingdings" w:hint="default"/>
      </w:rPr>
    </w:lvl>
    <w:lvl w:ilvl="6" w:tplc="08090001" w:tentative="1">
      <w:start w:val="1"/>
      <w:numFmt w:val="bullet"/>
      <w:lvlText w:val=""/>
      <w:lvlJc w:val="left"/>
      <w:pPr>
        <w:ind w:left="5295" w:hanging="360"/>
      </w:pPr>
      <w:rPr>
        <w:rFonts w:ascii="Symbol" w:hAnsi="Symbol" w:hint="default"/>
      </w:rPr>
    </w:lvl>
    <w:lvl w:ilvl="7" w:tplc="08090003" w:tentative="1">
      <w:start w:val="1"/>
      <w:numFmt w:val="bullet"/>
      <w:lvlText w:val="o"/>
      <w:lvlJc w:val="left"/>
      <w:pPr>
        <w:ind w:left="6015" w:hanging="360"/>
      </w:pPr>
      <w:rPr>
        <w:rFonts w:ascii="Courier New" w:hAnsi="Courier New" w:cs="Courier New" w:hint="default"/>
      </w:rPr>
    </w:lvl>
    <w:lvl w:ilvl="8" w:tplc="08090005" w:tentative="1">
      <w:start w:val="1"/>
      <w:numFmt w:val="bullet"/>
      <w:lvlText w:val=""/>
      <w:lvlJc w:val="left"/>
      <w:pPr>
        <w:ind w:left="6735" w:hanging="360"/>
      </w:pPr>
      <w:rPr>
        <w:rFonts w:ascii="Wingdings" w:hAnsi="Wingdings" w:hint="default"/>
      </w:rPr>
    </w:lvl>
  </w:abstractNum>
  <w:abstractNum w:abstractNumId="38" w15:restartNumberingAfterBreak="0">
    <w:nsid w:val="3D453640"/>
    <w:multiLevelType w:val="hybridMultilevel"/>
    <w:tmpl w:val="D7FC7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83D0701"/>
    <w:multiLevelType w:val="hybridMultilevel"/>
    <w:tmpl w:val="E214DC7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0" w15:restartNumberingAfterBreak="0">
    <w:nsid w:val="48B92AB5"/>
    <w:multiLevelType w:val="hybridMultilevel"/>
    <w:tmpl w:val="CD048750"/>
    <w:lvl w:ilvl="0" w:tplc="08090001">
      <w:start w:val="1"/>
      <w:numFmt w:val="bullet"/>
      <w:lvlText w:val=""/>
      <w:lvlJc w:val="left"/>
      <w:pPr>
        <w:ind w:left="1245" w:hanging="360"/>
      </w:pPr>
      <w:rPr>
        <w:rFonts w:ascii="Symbol" w:hAnsi="Symbol" w:hint="default"/>
      </w:rPr>
    </w:lvl>
    <w:lvl w:ilvl="1" w:tplc="08090003" w:tentative="1">
      <w:start w:val="1"/>
      <w:numFmt w:val="bullet"/>
      <w:lvlText w:val="o"/>
      <w:lvlJc w:val="left"/>
      <w:pPr>
        <w:ind w:left="1965" w:hanging="360"/>
      </w:pPr>
      <w:rPr>
        <w:rFonts w:ascii="Courier New" w:hAnsi="Courier New" w:cs="Courier New" w:hint="default"/>
      </w:rPr>
    </w:lvl>
    <w:lvl w:ilvl="2" w:tplc="08090005" w:tentative="1">
      <w:start w:val="1"/>
      <w:numFmt w:val="bullet"/>
      <w:lvlText w:val=""/>
      <w:lvlJc w:val="left"/>
      <w:pPr>
        <w:ind w:left="2685" w:hanging="360"/>
      </w:pPr>
      <w:rPr>
        <w:rFonts w:ascii="Wingdings" w:hAnsi="Wingdings" w:hint="default"/>
      </w:rPr>
    </w:lvl>
    <w:lvl w:ilvl="3" w:tplc="08090001" w:tentative="1">
      <w:start w:val="1"/>
      <w:numFmt w:val="bullet"/>
      <w:lvlText w:val=""/>
      <w:lvlJc w:val="left"/>
      <w:pPr>
        <w:ind w:left="3405" w:hanging="360"/>
      </w:pPr>
      <w:rPr>
        <w:rFonts w:ascii="Symbol" w:hAnsi="Symbol" w:hint="default"/>
      </w:rPr>
    </w:lvl>
    <w:lvl w:ilvl="4" w:tplc="08090003" w:tentative="1">
      <w:start w:val="1"/>
      <w:numFmt w:val="bullet"/>
      <w:lvlText w:val="o"/>
      <w:lvlJc w:val="left"/>
      <w:pPr>
        <w:ind w:left="4125" w:hanging="360"/>
      </w:pPr>
      <w:rPr>
        <w:rFonts w:ascii="Courier New" w:hAnsi="Courier New" w:cs="Courier New" w:hint="default"/>
      </w:rPr>
    </w:lvl>
    <w:lvl w:ilvl="5" w:tplc="08090005" w:tentative="1">
      <w:start w:val="1"/>
      <w:numFmt w:val="bullet"/>
      <w:lvlText w:val=""/>
      <w:lvlJc w:val="left"/>
      <w:pPr>
        <w:ind w:left="4845" w:hanging="360"/>
      </w:pPr>
      <w:rPr>
        <w:rFonts w:ascii="Wingdings" w:hAnsi="Wingdings" w:hint="default"/>
      </w:rPr>
    </w:lvl>
    <w:lvl w:ilvl="6" w:tplc="08090001" w:tentative="1">
      <w:start w:val="1"/>
      <w:numFmt w:val="bullet"/>
      <w:lvlText w:val=""/>
      <w:lvlJc w:val="left"/>
      <w:pPr>
        <w:ind w:left="5565" w:hanging="360"/>
      </w:pPr>
      <w:rPr>
        <w:rFonts w:ascii="Symbol" w:hAnsi="Symbol" w:hint="default"/>
      </w:rPr>
    </w:lvl>
    <w:lvl w:ilvl="7" w:tplc="08090003" w:tentative="1">
      <w:start w:val="1"/>
      <w:numFmt w:val="bullet"/>
      <w:lvlText w:val="o"/>
      <w:lvlJc w:val="left"/>
      <w:pPr>
        <w:ind w:left="6285" w:hanging="360"/>
      </w:pPr>
      <w:rPr>
        <w:rFonts w:ascii="Courier New" w:hAnsi="Courier New" w:cs="Courier New" w:hint="default"/>
      </w:rPr>
    </w:lvl>
    <w:lvl w:ilvl="8" w:tplc="08090005" w:tentative="1">
      <w:start w:val="1"/>
      <w:numFmt w:val="bullet"/>
      <w:lvlText w:val=""/>
      <w:lvlJc w:val="left"/>
      <w:pPr>
        <w:ind w:left="7005" w:hanging="360"/>
      </w:pPr>
      <w:rPr>
        <w:rFonts w:ascii="Wingdings" w:hAnsi="Wingdings" w:hint="default"/>
      </w:rPr>
    </w:lvl>
  </w:abstractNum>
  <w:abstractNum w:abstractNumId="41" w15:restartNumberingAfterBreak="0">
    <w:nsid w:val="49422404"/>
    <w:multiLevelType w:val="hybridMultilevel"/>
    <w:tmpl w:val="325EA3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97004C2"/>
    <w:multiLevelType w:val="hybridMultilevel"/>
    <w:tmpl w:val="D2DA7EAE"/>
    <w:lvl w:ilvl="0" w:tplc="3B08323E">
      <w:start w:val="12"/>
      <w:numFmt w:val="bullet"/>
      <w:lvlText w:val="-"/>
      <w:lvlJc w:val="left"/>
      <w:pPr>
        <w:tabs>
          <w:tab w:val="num" w:pos="1440"/>
        </w:tabs>
        <w:ind w:left="1440" w:hanging="360"/>
      </w:pPr>
      <w:rPr>
        <w:rFonts w:ascii="Arial" w:eastAsia="Times New Roman" w:hAnsi="Arial" w:cs="Aria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4B2350B1"/>
    <w:multiLevelType w:val="hybridMultilevel"/>
    <w:tmpl w:val="D8B8AD66"/>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4" w15:restartNumberingAfterBreak="0">
    <w:nsid w:val="4C9F37A6"/>
    <w:multiLevelType w:val="hybridMultilevel"/>
    <w:tmpl w:val="4DE6C9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5" w15:restartNumberingAfterBreak="0">
    <w:nsid w:val="50753D3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55D0675A"/>
    <w:multiLevelType w:val="hybridMultilevel"/>
    <w:tmpl w:val="6B6A317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581B59B6"/>
    <w:multiLevelType w:val="singleLevel"/>
    <w:tmpl w:val="A4B67BE4"/>
    <w:lvl w:ilvl="0">
      <w:start w:val="1"/>
      <w:numFmt w:val="decimal"/>
      <w:lvlText w:val="%1."/>
      <w:lvlJc w:val="left"/>
      <w:pPr>
        <w:tabs>
          <w:tab w:val="num" w:pos="720"/>
        </w:tabs>
        <w:ind w:left="720" w:hanging="720"/>
      </w:pPr>
      <w:rPr>
        <w:rFonts w:hint="default"/>
        <w:b w:val="0"/>
      </w:rPr>
    </w:lvl>
  </w:abstractNum>
  <w:abstractNum w:abstractNumId="48" w15:restartNumberingAfterBreak="0">
    <w:nsid w:val="5C946FBC"/>
    <w:multiLevelType w:val="hybridMultilevel"/>
    <w:tmpl w:val="BF3631F2"/>
    <w:lvl w:ilvl="0" w:tplc="08090001">
      <w:start w:val="1"/>
      <w:numFmt w:val="bullet"/>
      <w:lvlText w:val=""/>
      <w:lvlJc w:val="left"/>
      <w:pPr>
        <w:ind w:left="1117" w:hanging="360"/>
      </w:pPr>
      <w:rPr>
        <w:rFonts w:ascii="Symbol" w:hAnsi="Symbol" w:hint="default"/>
      </w:rPr>
    </w:lvl>
    <w:lvl w:ilvl="1" w:tplc="08090003" w:tentative="1">
      <w:start w:val="1"/>
      <w:numFmt w:val="bullet"/>
      <w:lvlText w:val="o"/>
      <w:lvlJc w:val="left"/>
      <w:pPr>
        <w:ind w:left="1837" w:hanging="360"/>
      </w:pPr>
      <w:rPr>
        <w:rFonts w:ascii="Courier New" w:hAnsi="Courier New" w:cs="Courier New" w:hint="default"/>
      </w:rPr>
    </w:lvl>
    <w:lvl w:ilvl="2" w:tplc="08090005" w:tentative="1">
      <w:start w:val="1"/>
      <w:numFmt w:val="bullet"/>
      <w:lvlText w:val=""/>
      <w:lvlJc w:val="left"/>
      <w:pPr>
        <w:ind w:left="2557" w:hanging="360"/>
      </w:pPr>
      <w:rPr>
        <w:rFonts w:ascii="Wingdings" w:hAnsi="Wingdings" w:hint="default"/>
      </w:rPr>
    </w:lvl>
    <w:lvl w:ilvl="3" w:tplc="08090001" w:tentative="1">
      <w:start w:val="1"/>
      <w:numFmt w:val="bullet"/>
      <w:lvlText w:val=""/>
      <w:lvlJc w:val="left"/>
      <w:pPr>
        <w:ind w:left="3277" w:hanging="360"/>
      </w:pPr>
      <w:rPr>
        <w:rFonts w:ascii="Symbol" w:hAnsi="Symbol" w:hint="default"/>
      </w:rPr>
    </w:lvl>
    <w:lvl w:ilvl="4" w:tplc="08090003" w:tentative="1">
      <w:start w:val="1"/>
      <w:numFmt w:val="bullet"/>
      <w:lvlText w:val="o"/>
      <w:lvlJc w:val="left"/>
      <w:pPr>
        <w:ind w:left="3997" w:hanging="360"/>
      </w:pPr>
      <w:rPr>
        <w:rFonts w:ascii="Courier New" w:hAnsi="Courier New" w:cs="Courier New" w:hint="default"/>
      </w:rPr>
    </w:lvl>
    <w:lvl w:ilvl="5" w:tplc="08090005" w:tentative="1">
      <w:start w:val="1"/>
      <w:numFmt w:val="bullet"/>
      <w:lvlText w:val=""/>
      <w:lvlJc w:val="left"/>
      <w:pPr>
        <w:ind w:left="4717" w:hanging="360"/>
      </w:pPr>
      <w:rPr>
        <w:rFonts w:ascii="Wingdings" w:hAnsi="Wingdings" w:hint="default"/>
      </w:rPr>
    </w:lvl>
    <w:lvl w:ilvl="6" w:tplc="08090001" w:tentative="1">
      <w:start w:val="1"/>
      <w:numFmt w:val="bullet"/>
      <w:lvlText w:val=""/>
      <w:lvlJc w:val="left"/>
      <w:pPr>
        <w:ind w:left="5437" w:hanging="360"/>
      </w:pPr>
      <w:rPr>
        <w:rFonts w:ascii="Symbol" w:hAnsi="Symbol" w:hint="default"/>
      </w:rPr>
    </w:lvl>
    <w:lvl w:ilvl="7" w:tplc="08090003" w:tentative="1">
      <w:start w:val="1"/>
      <w:numFmt w:val="bullet"/>
      <w:lvlText w:val="o"/>
      <w:lvlJc w:val="left"/>
      <w:pPr>
        <w:ind w:left="6157" w:hanging="360"/>
      </w:pPr>
      <w:rPr>
        <w:rFonts w:ascii="Courier New" w:hAnsi="Courier New" w:cs="Courier New" w:hint="default"/>
      </w:rPr>
    </w:lvl>
    <w:lvl w:ilvl="8" w:tplc="08090005" w:tentative="1">
      <w:start w:val="1"/>
      <w:numFmt w:val="bullet"/>
      <w:lvlText w:val=""/>
      <w:lvlJc w:val="left"/>
      <w:pPr>
        <w:ind w:left="6877" w:hanging="360"/>
      </w:pPr>
      <w:rPr>
        <w:rFonts w:ascii="Wingdings" w:hAnsi="Wingdings" w:hint="default"/>
      </w:rPr>
    </w:lvl>
  </w:abstractNum>
  <w:abstractNum w:abstractNumId="49" w15:restartNumberingAfterBreak="0">
    <w:nsid w:val="5F6F6BC6"/>
    <w:multiLevelType w:val="hybridMultilevel"/>
    <w:tmpl w:val="C674C38E"/>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0" w15:restartNumberingAfterBreak="0">
    <w:nsid w:val="635741CA"/>
    <w:multiLevelType w:val="hybridMultilevel"/>
    <w:tmpl w:val="2B363834"/>
    <w:lvl w:ilvl="0" w:tplc="B57CF2F8">
      <w:start w:val="1"/>
      <w:numFmt w:val="bullet"/>
      <w:lvlText w:val="•"/>
      <w:lvlJc w:val="left"/>
      <w:pPr>
        <w:ind w:left="283"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1" w:tplc="CFC65ABA">
      <w:start w:val="1"/>
      <w:numFmt w:val="bullet"/>
      <w:lvlText w:val="o"/>
      <w:lvlJc w:val="left"/>
      <w:pPr>
        <w:ind w:left="108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2" w:tplc="25D49D40">
      <w:start w:val="1"/>
      <w:numFmt w:val="bullet"/>
      <w:lvlText w:val="▪"/>
      <w:lvlJc w:val="left"/>
      <w:pPr>
        <w:ind w:left="18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3" w:tplc="316AFB12">
      <w:start w:val="1"/>
      <w:numFmt w:val="bullet"/>
      <w:lvlText w:val="•"/>
      <w:lvlJc w:val="left"/>
      <w:pPr>
        <w:ind w:left="252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4" w:tplc="6878321C">
      <w:start w:val="1"/>
      <w:numFmt w:val="bullet"/>
      <w:lvlText w:val="o"/>
      <w:lvlJc w:val="left"/>
      <w:pPr>
        <w:ind w:left="324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5" w:tplc="E472873E">
      <w:start w:val="1"/>
      <w:numFmt w:val="bullet"/>
      <w:lvlText w:val="▪"/>
      <w:lvlJc w:val="left"/>
      <w:pPr>
        <w:ind w:left="396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6" w:tplc="CF90871C">
      <w:start w:val="1"/>
      <w:numFmt w:val="bullet"/>
      <w:lvlText w:val="•"/>
      <w:lvlJc w:val="left"/>
      <w:pPr>
        <w:ind w:left="4680" w:firstLine="0"/>
      </w:pPr>
      <w:rPr>
        <w:rFonts w:ascii="Arial" w:eastAsia="Arial" w:hAnsi="Arial" w:cs="Arial"/>
        <w:b w:val="0"/>
        <w:i w:val="0"/>
        <w:strike w:val="0"/>
        <w:dstrike w:val="0"/>
        <w:color w:val="000000"/>
        <w:sz w:val="18"/>
        <w:szCs w:val="18"/>
        <w:u w:val="none" w:color="000000"/>
        <w:effect w:val="none"/>
        <w:bdr w:val="none" w:sz="0" w:space="0" w:color="auto" w:frame="1"/>
        <w:vertAlign w:val="baseline"/>
      </w:rPr>
    </w:lvl>
    <w:lvl w:ilvl="7" w:tplc="E71CB072">
      <w:start w:val="1"/>
      <w:numFmt w:val="bullet"/>
      <w:lvlText w:val="o"/>
      <w:lvlJc w:val="left"/>
      <w:pPr>
        <w:ind w:left="540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lvl w:ilvl="8" w:tplc="965E1502">
      <w:start w:val="1"/>
      <w:numFmt w:val="bullet"/>
      <w:lvlText w:val="▪"/>
      <w:lvlJc w:val="left"/>
      <w:pPr>
        <w:ind w:left="6120" w:firstLine="0"/>
      </w:pPr>
      <w:rPr>
        <w:rFonts w:ascii="Segoe UI Symbol" w:eastAsia="Segoe UI Symbol" w:hAnsi="Segoe UI Symbol" w:cs="Segoe UI Symbol"/>
        <w:b w:val="0"/>
        <w:i w:val="0"/>
        <w:strike w:val="0"/>
        <w:dstrike w:val="0"/>
        <w:color w:val="000000"/>
        <w:sz w:val="18"/>
        <w:szCs w:val="18"/>
        <w:u w:val="none" w:color="000000"/>
        <w:effect w:val="none"/>
        <w:bdr w:val="none" w:sz="0" w:space="0" w:color="auto" w:frame="1"/>
        <w:vertAlign w:val="baseline"/>
      </w:rPr>
    </w:lvl>
  </w:abstractNum>
  <w:abstractNum w:abstractNumId="51" w15:restartNumberingAfterBreak="0">
    <w:nsid w:val="663F5AD8"/>
    <w:multiLevelType w:val="hybridMultilevel"/>
    <w:tmpl w:val="C1D21DA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86A08CE"/>
    <w:multiLevelType w:val="hybridMultilevel"/>
    <w:tmpl w:val="E064E5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CF54CC9"/>
    <w:multiLevelType w:val="hybridMultilevel"/>
    <w:tmpl w:val="7D0222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4" w15:restartNumberingAfterBreak="0">
    <w:nsid w:val="6D6913C1"/>
    <w:multiLevelType w:val="hybridMultilevel"/>
    <w:tmpl w:val="BEC28DE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3025729"/>
    <w:multiLevelType w:val="hybridMultilevel"/>
    <w:tmpl w:val="5D7856DC"/>
    <w:lvl w:ilvl="0" w:tplc="0809001B">
      <w:start w:val="1"/>
      <w:numFmt w:val="lowerRoman"/>
      <w:lvlText w:val="%1."/>
      <w:lvlJc w:val="right"/>
      <w:pPr>
        <w:ind w:left="1146" w:hanging="72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56" w15:restartNumberingAfterBreak="0">
    <w:nsid w:val="741C1A25"/>
    <w:multiLevelType w:val="hybridMultilevel"/>
    <w:tmpl w:val="4FCCC954"/>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57" w15:restartNumberingAfterBreak="0">
    <w:nsid w:val="741E73C6"/>
    <w:multiLevelType w:val="hybridMultilevel"/>
    <w:tmpl w:val="416A01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66B292C"/>
    <w:multiLevelType w:val="hybridMultilevel"/>
    <w:tmpl w:val="6A98CBB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9" w15:restartNumberingAfterBreak="0">
    <w:nsid w:val="7837272F"/>
    <w:multiLevelType w:val="hybridMultilevel"/>
    <w:tmpl w:val="DEB8C78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0" w15:restartNumberingAfterBreak="0">
    <w:nsid w:val="79007A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7E3A5A93"/>
    <w:multiLevelType w:val="hybridMultilevel"/>
    <w:tmpl w:val="E4B0C0EA"/>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62" w15:restartNumberingAfterBreak="0">
    <w:nsid w:val="7E637373"/>
    <w:multiLevelType w:val="hybridMultilevel"/>
    <w:tmpl w:val="850EE08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num w:numId="1" w16cid:durableId="1285116078">
    <w:abstractNumId w:val="47"/>
  </w:num>
  <w:num w:numId="2" w16cid:durableId="502206578">
    <w:abstractNumId w:val="26"/>
  </w:num>
  <w:num w:numId="3" w16cid:durableId="846869641">
    <w:abstractNumId w:val="42"/>
  </w:num>
  <w:num w:numId="4" w16cid:durableId="1106579762">
    <w:abstractNumId w:val="55"/>
  </w:num>
  <w:num w:numId="5" w16cid:durableId="509300675">
    <w:abstractNumId w:val="12"/>
  </w:num>
  <w:num w:numId="6" w16cid:durableId="1764261401">
    <w:abstractNumId w:val="23"/>
  </w:num>
  <w:num w:numId="7" w16cid:durableId="1199902320">
    <w:abstractNumId w:val="37"/>
  </w:num>
  <w:num w:numId="8" w16cid:durableId="379398106">
    <w:abstractNumId w:val="13"/>
  </w:num>
  <w:num w:numId="9" w16cid:durableId="1718625633">
    <w:abstractNumId w:val="62"/>
  </w:num>
  <w:num w:numId="10" w16cid:durableId="1800411494">
    <w:abstractNumId w:val="61"/>
  </w:num>
  <w:num w:numId="11" w16cid:durableId="1146241373">
    <w:abstractNumId w:val="31"/>
  </w:num>
  <w:num w:numId="12" w16cid:durableId="736901451">
    <w:abstractNumId w:val="57"/>
  </w:num>
  <w:num w:numId="13" w16cid:durableId="1147894631">
    <w:abstractNumId w:val="20"/>
  </w:num>
  <w:num w:numId="14" w16cid:durableId="1710033050">
    <w:abstractNumId w:val="40"/>
  </w:num>
  <w:num w:numId="15" w16cid:durableId="1019696484">
    <w:abstractNumId w:val="25"/>
  </w:num>
  <w:num w:numId="16" w16cid:durableId="782574994">
    <w:abstractNumId w:val="34"/>
  </w:num>
  <w:num w:numId="17" w16cid:durableId="995256684">
    <w:abstractNumId w:val="35"/>
  </w:num>
  <w:num w:numId="18" w16cid:durableId="1710453323">
    <w:abstractNumId w:val="39"/>
  </w:num>
  <w:num w:numId="19" w16cid:durableId="879783932">
    <w:abstractNumId w:val="43"/>
  </w:num>
  <w:num w:numId="20" w16cid:durableId="841510961">
    <w:abstractNumId w:val="46"/>
  </w:num>
  <w:num w:numId="21" w16cid:durableId="840433856">
    <w:abstractNumId w:val="58"/>
  </w:num>
  <w:num w:numId="22" w16cid:durableId="228154686">
    <w:abstractNumId w:val="22"/>
  </w:num>
  <w:num w:numId="23" w16cid:durableId="613365593">
    <w:abstractNumId w:val="16"/>
  </w:num>
  <w:num w:numId="24" w16cid:durableId="1658919358">
    <w:abstractNumId w:val="36"/>
  </w:num>
  <w:num w:numId="25" w16cid:durableId="1253973042">
    <w:abstractNumId w:val="59"/>
  </w:num>
  <w:num w:numId="26" w16cid:durableId="730806256">
    <w:abstractNumId w:val="28"/>
  </w:num>
  <w:num w:numId="27" w16cid:durableId="998968682">
    <w:abstractNumId w:val="56"/>
  </w:num>
  <w:num w:numId="28" w16cid:durableId="1901675771">
    <w:abstractNumId w:val="10"/>
  </w:num>
  <w:num w:numId="29" w16cid:durableId="648174319">
    <w:abstractNumId w:val="49"/>
  </w:num>
  <w:num w:numId="30" w16cid:durableId="397554973">
    <w:abstractNumId w:val="9"/>
  </w:num>
  <w:num w:numId="31" w16cid:durableId="786896611">
    <w:abstractNumId w:val="8"/>
  </w:num>
  <w:num w:numId="32" w16cid:durableId="1812669745">
    <w:abstractNumId w:val="7"/>
  </w:num>
  <w:num w:numId="33" w16cid:durableId="526412642">
    <w:abstractNumId w:val="27"/>
  </w:num>
  <w:num w:numId="34" w16cid:durableId="203369086">
    <w:abstractNumId w:val="48"/>
  </w:num>
  <w:num w:numId="35" w16cid:durableId="1221598542">
    <w:abstractNumId w:val="19"/>
  </w:num>
  <w:num w:numId="36" w16cid:durableId="2095201435">
    <w:abstractNumId w:val="50"/>
  </w:num>
  <w:num w:numId="37" w16cid:durableId="415329233">
    <w:abstractNumId w:val="32"/>
  </w:num>
  <w:num w:numId="38" w16cid:durableId="820659809">
    <w:abstractNumId w:val="29"/>
  </w:num>
  <w:num w:numId="39" w16cid:durableId="222643281">
    <w:abstractNumId w:val="38"/>
  </w:num>
  <w:num w:numId="40" w16cid:durableId="51270191">
    <w:abstractNumId w:val="51"/>
    <w:lvlOverride w:ilvl="0">
      <w:startOverride w:val="1"/>
    </w:lvlOverride>
    <w:lvlOverride w:ilvl="1"/>
    <w:lvlOverride w:ilvl="2"/>
    <w:lvlOverride w:ilvl="3"/>
    <w:lvlOverride w:ilvl="4"/>
    <w:lvlOverride w:ilvl="5"/>
    <w:lvlOverride w:ilvl="6"/>
    <w:lvlOverride w:ilvl="7"/>
    <w:lvlOverride w:ilvl="8"/>
  </w:num>
  <w:num w:numId="41" w16cid:durableId="123948654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78133404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625574667">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96719345">
    <w:abstractNumId w:val="44"/>
  </w:num>
  <w:num w:numId="45" w16cid:durableId="432482916">
    <w:abstractNumId w:val="11"/>
  </w:num>
  <w:num w:numId="46" w16cid:durableId="786121139">
    <w:abstractNumId w:val="21"/>
  </w:num>
  <w:num w:numId="47" w16cid:durableId="27224437">
    <w:abstractNumId w:val="30"/>
  </w:num>
  <w:num w:numId="48" w16cid:durableId="2119716579">
    <w:abstractNumId w:val="33"/>
  </w:num>
  <w:num w:numId="49" w16cid:durableId="1832141334">
    <w:abstractNumId w:val="14"/>
  </w:num>
  <w:num w:numId="50" w16cid:durableId="1680346435">
    <w:abstractNumId w:val="53"/>
  </w:num>
  <w:num w:numId="51" w16cid:durableId="250555402">
    <w:abstractNumId w:val="24"/>
  </w:num>
  <w:num w:numId="52" w16cid:durableId="942154987">
    <w:abstractNumId w:val="0"/>
  </w:num>
  <w:num w:numId="53" w16cid:durableId="214002711">
    <w:abstractNumId w:val="3"/>
  </w:num>
  <w:num w:numId="54" w16cid:durableId="61754771">
    <w:abstractNumId w:val="17"/>
  </w:num>
  <w:num w:numId="55" w16cid:durableId="1162693524">
    <w:abstractNumId w:val="60"/>
  </w:num>
  <w:num w:numId="56" w16cid:durableId="1435051042">
    <w:abstractNumId w:val="18"/>
  </w:num>
  <w:num w:numId="57" w16cid:durableId="1447773852">
    <w:abstractNumId w:val="5"/>
  </w:num>
  <w:num w:numId="58" w16cid:durableId="1242719027">
    <w:abstractNumId w:val="4"/>
  </w:num>
  <w:num w:numId="59" w16cid:durableId="386494636">
    <w:abstractNumId w:val="1"/>
  </w:num>
  <w:num w:numId="60" w16cid:durableId="979043332">
    <w:abstractNumId w:val="15"/>
  </w:num>
  <w:num w:numId="61" w16cid:durableId="1243755779">
    <w:abstractNumId w:val="6"/>
  </w:num>
  <w:num w:numId="62" w16cid:durableId="1631477199">
    <w:abstractNumId w:val="2"/>
  </w:num>
  <w:num w:numId="63" w16cid:durableId="139927226">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9AE"/>
    <w:rsid w:val="0000010F"/>
    <w:rsid w:val="00000198"/>
    <w:rsid w:val="000001F5"/>
    <w:rsid w:val="00000823"/>
    <w:rsid w:val="00000920"/>
    <w:rsid w:val="0000162A"/>
    <w:rsid w:val="0000179A"/>
    <w:rsid w:val="00001851"/>
    <w:rsid w:val="00001B6C"/>
    <w:rsid w:val="00002232"/>
    <w:rsid w:val="0000231C"/>
    <w:rsid w:val="0000238F"/>
    <w:rsid w:val="00002638"/>
    <w:rsid w:val="0000274A"/>
    <w:rsid w:val="00002B5B"/>
    <w:rsid w:val="00002BE1"/>
    <w:rsid w:val="0000302F"/>
    <w:rsid w:val="0000354F"/>
    <w:rsid w:val="00003CF8"/>
    <w:rsid w:val="0000490F"/>
    <w:rsid w:val="00004927"/>
    <w:rsid w:val="00004D33"/>
    <w:rsid w:val="000051CC"/>
    <w:rsid w:val="00005385"/>
    <w:rsid w:val="000054A7"/>
    <w:rsid w:val="000055AE"/>
    <w:rsid w:val="00005610"/>
    <w:rsid w:val="00005754"/>
    <w:rsid w:val="00005C30"/>
    <w:rsid w:val="00005C36"/>
    <w:rsid w:val="00005DF3"/>
    <w:rsid w:val="000060F8"/>
    <w:rsid w:val="000062E1"/>
    <w:rsid w:val="000066E6"/>
    <w:rsid w:val="00006888"/>
    <w:rsid w:val="000068FB"/>
    <w:rsid w:val="00006944"/>
    <w:rsid w:val="000069D3"/>
    <w:rsid w:val="00006FC0"/>
    <w:rsid w:val="00007520"/>
    <w:rsid w:val="00010789"/>
    <w:rsid w:val="000107AA"/>
    <w:rsid w:val="00010BEB"/>
    <w:rsid w:val="0001126F"/>
    <w:rsid w:val="00011BCF"/>
    <w:rsid w:val="00011BFE"/>
    <w:rsid w:val="00011DF7"/>
    <w:rsid w:val="00012152"/>
    <w:rsid w:val="000124A1"/>
    <w:rsid w:val="00012B53"/>
    <w:rsid w:val="00012BA5"/>
    <w:rsid w:val="00012F16"/>
    <w:rsid w:val="000133BE"/>
    <w:rsid w:val="0001342A"/>
    <w:rsid w:val="000134FB"/>
    <w:rsid w:val="0001354F"/>
    <w:rsid w:val="0001358D"/>
    <w:rsid w:val="0001371E"/>
    <w:rsid w:val="00013937"/>
    <w:rsid w:val="00013B3E"/>
    <w:rsid w:val="00013C3D"/>
    <w:rsid w:val="00013C7D"/>
    <w:rsid w:val="00013F04"/>
    <w:rsid w:val="00013F2C"/>
    <w:rsid w:val="0001455C"/>
    <w:rsid w:val="00014590"/>
    <w:rsid w:val="0001468B"/>
    <w:rsid w:val="00014A90"/>
    <w:rsid w:val="00014AEB"/>
    <w:rsid w:val="00014D28"/>
    <w:rsid w:val="00015347"/>
    <w:rsid w:val="000155A1"/>
    <w:rsid w:val="00015ABB"/>
    <w:rsid w:val="00015B1A"/>
    <w:rsid w:val="00015CA9"/>
    <w:rsid w:val="00015CDE"/>
    <w:rsid w:val="00015E6A"/>
    <w:rsid w:val="00015FB3"/>
    <w:rsid w:val="00016541"/>
    <w:rsid w:val="00016555"/>
    <w:rsid w:val="00016914"/>
    <w:rsid w:val="00016D4B"/>
    <w:rsid w:val="00016F3B"/>
    <w:rsid w:val="00016FAC"/>
    <w:rsid w:val="00017061"/>
    <w:rsid w:val="00017180"/>
    <w:rsid w:val="0001776B"/>
    <w:rsid w:val="00017DCD"/>
    <w:rsid w:val="00017E6F"/>
    <w:rsid w:val="00017F18"/>
    <w:rsid w:val="00017FFA"/>
    <w:rsid w:val="0002005E"/>
    <w:rsid w:val="000201FD"/>
    <w:rsid w:val="000205EA"/>
    <w:rsid w:val="00020A36"/>
    <w:rsid w:val="00020D42"/>
    <w:rsid w:val="00020F8B"/>
    <w:rsid w:val="00020FAE"/>
    <w:rsid w:val="000213A0"/>
    <w:rsid w:val="000214F3"/>
    <w:rsid w:val="0002198F"/>
    <w:rsid w:val="00021AAE"/>
    <w:rsid w:val="00021C99"/>
    <w:rsid w:val="00022195"/>
    <w:rsid w:val="00022763"/>
    <w:rsid w:val="00022A89"/>
    <w:rsid w:val="00023207"/>
    <w:rsid w:val="000236E7"/>
    <w:rsid w:val="00023754"/>
    <w:rsid w:val="0002375F"/>
    <w:rsid w:val="00023A3A"/>
    <w:rsid w:val="00023A66"/>
    <w:rsid w:val="00023B0A"/>
    <w:rsid w:val="00023BE5"/>
    <w:rsid w:val="00023E8A"/>
    <w:rsid w:val="00023E94"/>
    <w:rsid w:val="000243DF"/>
    <w:rsid w:val="000244B7"/>
    <w:rsid w:val="0002467B"/>
    <w:rsid w:val="00024689"/>
    <w:rsid w:val="00024AB7"/>
    <w:rsid w:val="00024B5E"/>
    <w:rsid w:val="00024EA1"/>
    <w:rsid w:val="0002526A"/>
    <w:rsid w:val="0002536C"/>
    <w:rsid w:val="0002589B"/>
    <w:rsid w:val="00025F1F"/>
    <w:rsid w:val="00026259"/>
    <w:rsid w:val="0002629F"/>
    <w:rsid w:val="00026822"/>
    <w:rsid w:val="000269C6"/>
    <w:rsid w:val="00026A21"/>
    <w:rsid w:val="00026BFE"/>
    <w:rsid w:val="00027555"/>
    <w:rsid w:val="00027633"/>
    <w:rsid w:val="00027BCC"/>
    <w:rsid w:val="00027CEA"/>
    <w:rsid w:val="00027F37"/>
    <w:rsid w:val="00030109"/>
    <w:rsid w:val="000301B9"/>
    <w:rsid w:val="0003091C"/>
    <w:rsid w:val="00030A8B"/>
    <w:rsid w:val="00030FBA"/>
    <w:rsid w:val="0003101B"/>
    <w:rsid w:val="000311B7"/>
    <w:rsid w:val="00031904"/>
    <w:rsid w:val="00031932"/>
    <w:rsid w:val="00031A49"/>
    <w:rsid w:val="00031C60"/>
    <w:rsid w:val="00031F2E"/>
    <w:rsid w:val="00031FCE"/>
    <w:rsid w:val="00032131"/>
    <w:rsid w:val="00032140"/>
    <w:rsid w:val="0003225B"/>
    <w:rsid w:val="000324F4"/>
    <w:rsid w:val="0003287E"/>
    <w:rsid w:val="00032BEC"/>
    <w:rsid w:val="00032F2E"/>
    <w:rsid w:val="0003360A"/>
    <w:rsid w:val="0003381D"/>
    <w:rsid w:val="00033A65"/>
    <w:rsid w:val="00034C69"/>
    <w:rsid w:val="00034C91"/>
    <w:rsid w:val="00034CF7"/>
    <w:rsid w:val="00034E24"/>
    <w:rsid w:val="000358E4"/>
    <w:rsid w:val="000359B7"/>
    <w:rsid w:val="00035BDC"/>
    <w:rsid w:val="00035DFD"/>
    <w:rsid w:val="00035EB9"/>
    <w:rsid w:val="00036430"/>
    <w:rsid w:val="000364D7"/>
    <w:rsid w:val="0003699F"/>
    <w:rsid w:val="00036A74"/>
    <w:rsid w:val="00036B4C"/>
    <w:rsid w:val="00036C31"/>
    <w:rsid w:val="00036E13"/>
    <w:rsid w:val="000370B6"/>
    <w:rsid w:val="000370CC"/>
    <w:rsid w:val="0003721F"/>
    <w:rsid w:val="00037337"/>
    <w:rsid w:val="00037547"/>
    <w:rsid w:val="00037E79"/>
    <w:rsid w:val="00037F8F"/>
    <w:rsid w:val="00040118"/>
    <w:rsid w:val="000401C0"/>
    <w:rsid w:val="000405FE"/>
    <w:rsid w:val="00040A8A"/>
    <w:rsid w:val="00040C0B"/>
    <w:rsid w:val="00040F62"/>
    <w:rsid w:val="00041280"/>
    <w:rsid w:val="00041479"/>
    <w:rsid w:val="0004156D"/>
    <w:rsid w:val="0004164F"/>
    <w:rsid w:val="000416E6"/>
    <w:rsid w:val="00041AE4"/>
    <w:rsid w:val="00041BA5"/>
    <w:rsid w:val="00041BCD"/>
    <w:rsid w:val="00041D1F"/>
    <w:rsid w:val="0004205B"/>
    <w:rsid w:val="0004229A"/>
    <w:rsid w:val="00042A0D"/>
    <w:rsid w:val="00042D18"/>
    <w:rsid w:val="00043011"/>
    <w:rsid w:val="000436E6"/>
    <w:rsid w:val="00043BEE"/>
    <w:rsid w:val="00043D14"/>
    <w:rsid w:val="00044393"/>
    <w:rsid w:val="00044663"/>
    <w:rsid w:val="0004467E"/>
    <w:rsid w:val="000446FC"/>
    <w:rsid w:val="00044868"/>
    <w:rsid w:val="00044E02"/>
    <w:rsid w:val="00044F9C"/>
    <w:rsid w:val="0004547C"/>
    <w:rsid w:val="00045594"/>
    <w:rsid w:val="000456E6"/>
    <w:rsid w:val="000458D2"/>
    <w:rsid w:val="00045919"/>
    <w:rsid w:val="00045FA8"/>
    <w:rsid w:val="00046006"/>
    <w:rsid w:val="0004645D"/>
    <w:rsid w:val="00046504"/>
    <w:rsid w:val="00046BC1"/>
    <w:rsid w:val="00046DB1"/>
    <w:rsid w:val="00046DC0"/>
    <w:rsid w:val="00047138"/>
    <w:rsid w:val="0004719D"/>
    <w:rsid w:val="000473C2"/>
    <w:rsid w:val="00047581"/>
    <w:rsid w:val="000476E6"/>
    <w:rsid w:val="000500BB"/>
    <w:rsid w:val="000506C1"/>
    <w:rsid w:val="00050770"/>
    <w:rsid w:val="00050837"/>
    <w:rsid w:val="000508FC"/>
    <w:rsid w:val="00050BD9"/>
    <w:rsid w:val="00050CD2"/>
    <w:rsid w:val="0005144F"/>
    <w:rsid w:val="0005231B"/>
    <w:rsid w:val="000526C1"/>
    <w:rsid w:val="00052A84"/>
    <w:rsid w:val="00052C06"/>
    <w:rsid w:val="00052CE3"/>
    <w:rsid w:val="00052CFA"/>
    <w:rsid w:val="00052FCC"/>
    <w:rsid w:val="00053047"/>
    <w:rsid w:val="00053095"/>
    <w:rsid w:val="00053177"/>
    <w:rsid w:val="0005343D"/>
    <w:rsid w:val="000534CD"/>
    <w:rsid w:val="00053502"/>
    <w:rsid w:val="000535BE"/>
    <w:rsid w:val="000535F7"/>
    <w:rsid w:val="00053624"/>
    <w:rsid w:val="000539AE"/>
    <w:rsid w:val="00053D51"/>
    <w:rsid w:val="00053D59"/>
    <w:rsid w:val="00053DC2"/>
    <w:rsid w:val="0005421E"/>
    <w:rsid w:val="00054283"/>
    <w:rsid w:val="000546A8"/>
    <w:rsid w:val="000547B6"/>
    <w:rsid w:val="0005485B"/>
    <w:rsid w:val="00054B20"/>
    <w:rsid w:val="00054ED2"/>
    <w:rsid w:val="0005513D"/>
    <w:rsid w:val="0005519E"/>
    <w:rsid w:val="00055A2F"/>
    <w:rsid w:val="00055B62"/>
    <w:rsid w:val="00055D39"/>
    <w:rsid w:val="0005602A"/>
    <w:rsid w:val="000560B2"/>
    <w:rsid w:val="000562C2"/>
    <w:rsid w:val="000563E9"/>
    <w:rsid w:val="000567B6"/>
    <w:rsid w:val="000569D7"/>
    <w:rsid w:val="00056A6E"/>
    <w:rsid w:val="00056B4B"/>
    <w:rsid w:val="00056C03"/>
    <w:rsid w:val="00056E11"/>
    <w:rsid w:val="00056F21"/>
    <w:rsid w:val="00057057"/>
    <w:rsid w:val="00057978"/>
    <w:rsid w:val="00057A63"/>
    <w:rsid w:val="00057AC4"/>
    <w:rsid w:val="00057DCF"/>
    <w:rsid w:val="00057FAB"/>
    <w:rsid w:val="000608B0"/>
    <w:rsid w:val="00060996"/>
    <w:rsid w:val="00060CE3"/>
    <w:rsid w:val="00060E0F"/>
    <w:rsid w:val="00060E89"/>
    <w:rsid w:val="00060ED8"/>
    <w:rsid w:val="0006110B"/>
    <w:rsid w:val="00061180"/>
    <w:rsid w:val="000612B7"/>
    <w:rsid w:val="0006136C"/>
    <w:rsid w:val="00061B2A"/>
    <w:rsid w:val="00061E17"/>
    <w:rsid w:val="00061E45"/>
    <w:rsid w:val="000620BD"/>
    <w:rsid w:val="00062295"/>
    <w:rsid w:val="000623B4"/>
    <w:rsid w:val="00062658"/>
    <w:rsid w:val="0006288B"/>
    <w:rsid w:val="00062DE3"/>
    <w:rsid w:val="0006343B"/>
    <w:rsid w:val="00063936"/>
    <w:rsid w:val="00063B6E"/>
    <w:rsid w:val="00063D11"/>
    <w:rsid w:val="00063EA8"/>
    <w:rsid w:val="000642E2"/>
    <w:rsid w:val="000642F0"/>
    <w:rsid w:val="000644B2"/>
    <w:rsid w:val="00064A15"/>
    <w:rsid w:val="00064D9D"/>
    <w:rsid w:val="00064F1C"/>
    <w:rsid w:val="00064F89"/>
    <w:rsid w:val="00065054"/>
    <w:rsid w:val="00065142"/>
    <w:rsid w:val="000651DF"/>
    <w:rsid w:val="00065654"/>
    <w:rsid w:val="000656C3"/>
    <w:rsid w:val="000656D5"/>
    <w:rsid w:val="000658CC"/>
    <w:rsid w:val="00066126"/>
    <w:rsid w:val="000662F2"/>
    <w:rsid w:val="00066419"/>
    <w:rsid w:val="0006684D"/>
    <w:rsid w:val="000668C1"/>
    <w:rsid w:val="0006694F"/>
    <w:rsid w:val="00066A6B"/>
    <w:rsid w:val="00066DF3"/>
    <w:rsid w:val="00066E00"/>
    <w:rsid w:val="000671BC"/>
    <w:rsid w:val="00067362"/>
    <w:rsid w:val="000676E5"/>
    <w:rsid w:val="000677EE"/>
    <w:rsid w:val="000678B9"/>
    <w:rsid w:val="00067E8A"/>
    <w:rsid w:val="00067F10"/>
    <w:rsid w:val="00067F73"/>
    <w:rsid w:val="00070036"/>
    <w:rsid w:val="000701B3"/>
    <w:rsid w:val="000701E7"/>
    <w:rsid w:val="000702D0"/>
    <w:rsid w:val="000708AB"/>
    <w:rsid w:val="00070C41"/>
    <w:rsid w:val="00070E51"/>
    <w:rsid w:val="00070F63"/>
    <w:rsid w:val="00071448"/>
    <w:rsid w:val="0007163E"/>
    <w:rsid w:val="0007170C"/>
    <w:rsid w:val="00071C17"/>
    <w:rsid w:val="00071D4D"/>
    <w:rsid w:val="00072024"/>
    <w:rsid w:val="00072033"/>
    <w:rsid w:val="000721B0"/>
    <w:rsid w:val="000723AA"/>
    <w:rsid w:val="000724CD"/>
    <w:rsid w:val="0007254C"/>
    <w:rsid w:val="00072710"/>
    <w:rsid w:val="00072919"/>
    <w:rsid w:val="00072C23"/>
    <w:rsid w:val="00073007"/>
    <w:rsid w:val="00073074"/>
    <w:rsid w:val="000732DB"/>
    <w:rsid w:val="000739AF"/>
    <w:rsid w:val="00073AEF"/>
    <w:rsid w:val="00074090"/>
    <w:rsid w:val="000741DE"/>
    <w:rsid w:val="0007438D"/>
    <w:rsid w:val="00074448"/>
    <w:rsid w:val="0007459E"/>
    <w:rsid w:val="0007469E"/>
    <w:rsid w:val="000747A9"/>
    <w:rsid w:val="00074954"/>
    <w:rsid w:val="00074F62"/>
    <w:rsid w:val="0007552F"/>
    <w:rsid w:val="00075805"/>
    <w:rsid w:val="00075E4F"/>
    <w:rsid w:val="00075F6F"/>
    <w:rsid w:val="000762DD"/>
    <w:rsid w:val="00076374"/>
    <w:rsid w:val="00076759"/>
    <w:rsid w:val="00076998"/>
    <w:rsid w:val="00076A18"/>
    <w:rsid w:val="00076BB4"/>
    <w:rsid w:val="00076CAB"/>
    <w:rsid w:val="00076D8A"/>
    <w:rsid w:val="00077603"/>
    <w:rsid w:val="00077739"/>
    <w:rsid w:val="000778CC"/>
    <w:rsid w:val="00077C2F"/>
    <w:rsid w:val="00077FAF"/>
    <w:rsid w:val="00080034"/>
    <w:rsid w:val="000806DA"/>
    <w:rsid w:val="000809D3"/>
    <w:rsid w:val="00080B83"/>
    <w:rsid w:val="00080F08"/>
    <w:rsid w:val="0008105E"/>
    <w:rsid w:val="000815A3"/>
    <w:rsid w:val="00081738"/>
    <w:rsid w:val="00081897"/>
    <w:rsid w:val="000819E3"/>
    <w:rsid w:val="00081E47"/>
    <w:rsid w:val="00081E4F"/>
    <w:rsid w:val="00081EC2"/>
    <w:rsid w:val="00081F8D"/>
    <w:rsid w:val="00082C74"/>
    <w:rsid w:val="00082F5E"/>
    <w:rsid w:val="00083027"/>
    <w:rsid w:val="00083BF4"/>
    <w:rsid w:val="000841FC"/>
    <w:rsid w:val="0008469C"/>
    <w:rsid w:val="000848F6"/>
    <w:rsid w:val="00084E2C"/>
    <w:rsid w:val="0008529B"/>
    <w:rsid w:val="000852CB"/>
    <w:rsid w:val="000853DB"/>
    <w:rsid w:val="000857C2"/>
    <w:rsid w:val="000857D9"/>
    <w:rsid w:val="000857E5"/>
    <w:rsid w:val="00085AFF"/>
    <w:rsid w:val="000862ED"/>
    <w:rsid w:val="00086469"/>
    <w:rsid w:val="000866CC"/>
    <w:rsid w:val="000868A6"/>
    <w:rsid w:val="00086D98"/>
    <w:rsid w:val="00086F76"/>
    <w:rsid w:val="00086F9C"/>
    <w:rsid w:val="00087107"/>
    <w:rsid w:val="000874ED"/>
    <w:rsid w:val="00087645"/>
    <w:rsid w:val="0008787F"/>
    <w:rsid w:val="00087C1C"/>
    <w:rsid w:val="00087E06"/>
    <w:rsid w:val="00090B92"/>
    <w:rsid w:val="00090EDB"/>
    <w:rsid w:val="0009176C"/>
    <w:rsid w:val="00091ABB"/>
    <w:rsid w:val="00091AFD"/>
    <w:rsid w:val="00091D72"/>
    <w:rsid w:val="00091E4E"/>
    <w:rsid w:val="00091F65"/>
    <w:rsid w:val="00092125"/>
    <w:rsid w:val="0009220B"/>
    <w:rsid w:val="00092394"/>
    <w:rsid w:val="00092531"/>
    <w:rsid w:val="00092969"/>
    <w:rsid w:val="00092999"/>
    <w:rsid w:val="00092FB7"/>
    <w:rsid w:val="000933EE"/>
    <w:rsid w:val="000934DC"/>
    <w:rsid w:val="0009352E"/>
    <w:rsid w:val="000935D1"/>
    <w:rsid w:val="00093782"/>
    <w:rsid w:val="000937A7"/>
    <w:rsid w:val="00093BB3"/>
    <w:rsid w:val="00093BEA"/>
    <w:rsid w:val="00093C9A"/>
    <w:rsid w:val="00094188"/>
    <w:rsid w:val="000944AA"/>
    <w:rsid w:val="00094539"/>
    <w:rsid w:val="0009476A"/>
    <w:rsid w:val="000947E9"/>
    <w:rsid w:val="00094B24"/>
    <w:rsid w:val="00094CFF"/>
    <w:rsid w:val="0009542D"/>
    <w:rsid w:val="00095514"/>
    <w:rsid w:val="00095B02"/>
    <w:rsid w:val="00095BB8"/>
    <w:rsid w:val="00095C18"/>
    <w:rsid w:val="00095C72"/>
    <w:rsid w:val="00095EDD"/>
    <w:rsid w:val="0009624B"/>
    <w:rsid w:val="000964EC"/>
    <w:rsid w:val="00096534"/>
    <w:rsid w:val="0009671C"/>
    <w:rsid w:val="00096739"/>
    <w:rsid w:val="00096899"/>
    <w:rsid w:val="00096A89"/>
    <w:rsid w:val="00096DB5"/>
    <w:rsid w:val="0009744C"/>
    <w:rsid w:val="0009768C"/>
    <w:rsid w:val="000978D9"/>
    <w:rsid w:val="00097B22"/>
    <w:rsid w:val="00097B79"/>
    <w:rsid w:val="00097DB7"/>
    <w:rsid w:val="000A0418"/>
    <w:rsid w:val="000A0CB5"/>
    <w:rsid w:val="000A0F55"/>
    <w:rsid w:val="000A1520"/>
    <w:rsid w:val="000A170F"/>
    <w:rsid w:val="000A1935"/>
    <w:rsid w:val="000A1B68"/>
    <w:rsid w:val="000A1BE1"/>
    <w:rsid w:val="000A1F21"/>
    <w:rsid w:val="000A2486"/>
    <w:rsid w:val="000A24F9"/>
    <w:rsid w:val="000A26FA"/>
    <w:rsid w:val="000A279F"/>
    <w:rsid w:val="000A2F0F"/>
    <w:rsid w:val="000A3008"/>
    <w:rsid w:val="000A309E"/>
    <w:rsid w:val="000A329A"/>
    <w:rsid w:val="000A33ED"/>
    <w:rsid w:val="000A34AF"/>
    <w:rsid w:val="000A36C6"/>
    <w:rsid w:val="000A38B5"/>
    <w:rsid w:val="000A3CFA"/>
    <w:rsid w:val="000A4514"/>
    <w:rsid w:val="000A454C"/>
    <w:rsid w:val="000A4552"/>
    <w:rsid w:val="000A4664"/>
    <w:rsid w:val="000A4A68"/>
    <w:rsid w:val="000A4AA4"/>
    <w:rsid w:val="000A4F7F"/>
    <w:rsid w:val="000A5067"/>
    <w:rsid w:val="000A549D"/>
    <w:rsid w:val="000A5CB1"/>
    <w:rsid w:val="000A5FFC"/>
    <w:rsid w:val="000A603F"/>
    <w:rsid w:val="000A6523"/>
    <w:rsid w:val="000A6942"/>
    <w:rsid w:val="000A69DB"/>
    <w:rsid w:val="000A6B2D"/>
    <w:rsid w:val="000A71E6"/>
    <w:rsid w:val="000A7258"/>
    <w:rsid w:val="000A7369"/>
    <w:rsid w:val="000A7606"/>
    <w:rsid w:val="000A7703"/>
    <w:rsid w:val="000A79E0"/>
    <w:rsid w:val="000A7DD1"/>
    <w:rsid w:val="000A7E54"/>
    <w:rsid w:val="000B00DB"/>
    <w:rsid w:val="000B0147"/>
    <w:rsid w:val="000B02A9"/>
    <w:rsid w:val="000B02FB"/>
    <w:rsid w:val="000B04FE"/>
    <w:rsid w:val="000B074C"/>
    <w:rsid w:val="000B087D"/>
    <w:rsid w:val="000B0AC4"/>
    <w:rsid w:val="000B0C01"/>
    <w:rsid w:val="000B0F35"/>
    <w:rsid w:val="000B143E"/>
    <w:rsid w:val="000B16EF"/>
    <w:rsid w:val="000B180B"/>
    <w:rsid w:val="000B1982"/>
    <w:rsid w:val="000B1E23"/>
    <w:rsid w:val="000B210A"/>
    <w:rsid w:val="000B2511"/>
    <w:rsid w:val="000B266F"/>
    <w:rsid w:val="000B29F7"/>
    <w:rsid w:val="000B2A0D"/>
    <w:rsid w:val="000B2D59"/>
    <w:rsid w:val="000B3097"/>
    <w:rsid w:val="000B370B"/>
    <w:rsid w:val="000B3748"/>
    <w:rsid w:val="000B38F7"/>
    <w:rsid w:val="000B3DB4"/>
    <w:rsid w:val="000B3EA0"/>
    <w:rsid w:val="000B401D"/>
    <w:rsid w:val="000B41CC"/>
    <w:rsid w:val="000B45EA"/>
    <w:rsid w:val="000B4686"/>
    <w:rsid w:val="000B46AF"/>
    <w:rsid w:val="000B4974"/>
    <w:rsid w:val="000B4B5B"/>
    <w:rsid w:val="000B4CF7"/>
    <w:rsid w:val="000B4D3A"/>
    <w:rsid w:val="000B4E45"/>
    <w:rsid w:val="000B4E97"/>
    <w:rsid w:val="000B5126"/>
    <w:rsid w:val="000B54FA"/>
    <w:rsid w:val="000B5B7E"/>
    <w:rsid w:val="000B5C92"/>
    <w:rsid w:val="000B632F"/>
    <w:rsid w:val="000B6406"/>
    <w:rsid w:val="000B67F5"/>
    <w:rsid w:val="000B6CF7"/>
    <w:rsid w:val="000B7317"/>
    <w:rsid w:val="000B75A7"/>
    <w:rsid w:val="000B75B1"/>
    <w:rsid w:val="000B7755"/>
    <w:rsid w:val="000B7954"/>
    <w:rsid w:val="000B7BD1"/>
    <w:rsid w:val="000B7E91"/>
    <w:rsid w:val="000C007F"/>
    <w:rsid w:val="000C029A"/>
    <w:rsid w:val="000C08BB"/>
    <w:rsid w:val="000C093B"/>
    <w:rsid w:val="000C0B0A"/>
    <w:rsid w:val="000C1185"/>
    <w:rsid w:val="000C1281"/>
    <w:rsid w:val="000C129C"/>
    <w:rsid w:val="000C16A4"/>
    <w:rsid w:val="000C17BA"/>
    <w:rsid w:val="000C1B29"/>
    <w:rsid w:val="000C1C7B"/>
    <w:rsid w:val="000C1FCB"/>
    <w:rsid w:val="000C2085"/>
    <w:rsid w:val="000C21C0"/>
    <w:rsid w:val="000C2215"/>
    <w:rsid w:val="000C23F3"/>
    <w:rsid w:val="000C27A8"/>
    <w:rsid w:val="000C2BEB"/>
    <w:rsid w:val="000C2F13"/>
    <w:rsid w:val="000C2FB5"/>
    <w:rsid w:val="000C2FB8"/>
    <w:rsid w:val="000C306C"/>
    <w:rsid w:val="000C321B"/>
    <w:rsid w:val="000C330B"/>
    <w:rsid w:val="000C3342"/>
    <w:rsid w:val="000C3686"/>
    <w:rsid w:val="000C3A5C"/>
    <w:rsid w:val="000C3D48"/>
    <w:rsid w:val="000C3E68"/>
    <w:rsid w:val="000C3EAA"/>
    <w:rsid w:val="000C418A"/>
    <w:rsid w:val="000C4405"/>
    <w:rsid w:val="000C46B2"/>
    <w:rsid w:val="000C4C6D"/>
    <w:rsid w:val="000C4FD7"/>
    <w:rsid w:val="000C52B4"/>
    <w:rsid w:val="000C53F8"/>
    <w:rsid w:val="000C5E9B"/>
    <w:rsid w:val="000C5FB0"/>
    <w:rsid w:val="000C637E"/>
    <w:rsid w:val="000C65F8"/>
    <w:rsid w:val="000C6926"/>
    <w:rsid w:val="000C6C13"/>
    <w:rsid w:val="000C6C38"/>
    <w:rsid w:val="000C6D40"/>
    <w:rsid w:val="000C700B"/>
    <w:rsid w:val="000C753A"/>
    <w:rsid w:val="000C77DF"/>
    <w:rsid w:val="000C7E4D"/>
    <w:rsid w:val="000C7E86"/>
    <w:rsid w:val="000D01B4"/>
    <w:rsid w:val="000D02F2"/>
    <w:rsid w:val="000D04B9"/>
    <w:rsid w:val="000D0580"/>
    <w:rsid w:val="000D0595"/>
    <w:rsid w:val="000D0736"/>
    <w:rsid w:val="000D0985"/>
    <w:rsid w:val="000D0B7A"/>
    <w:rsid w:val="000D0D44"/>
    <w:rsid w:val="000D0EA6"/>
    <w:rsid w:val="000D1036"/>
    <w:rsid w:val="000D14B7"/>
    <w:rsid w:val="000D154E"/>
    <w:rsid w:val="000D1B66"/>
    <w:rsid w:val="000D1B9F"/>
    <w:rsid w:val="000D1BEA"/>
    <w:rsid w:val="000D2274"/>
    <w:rsid w:val="000D2396"/>
    <w:rsid w:val="000D2447"/>
    <w:rsid w:val="000D2872"/>
    <w:rsid w:val="000D28AC"/>
    <w:rsid w:val="000D2D1E"/>
    <w:rsid w:val="000D2D3D"/>
    <w:rsid w:val="000D2F25"/>
    <w:rsid w:val="000D30B9"/>
    <w:rsid w:val="000D32DC"/>
    <w:rsid w:val="000D33B3"/>
    <w:rsid w:val="000D344E"/>
    <w:rsid w:val="000D41C9"/>
    <w:rsid w:val="000D42CE"/>
    <w:rsid w:val="000D4334"/>
    <w:rsid w:val="000D43B9"/>
    <w:rsid w:val="000D4FA5"/>
    <w:rsid w:val="000D53D0"/>
    <w:rsid w:val="000D55DA"/>
    <w:rsid w:val="000D5653"/>
    <w:rsid w:val="000D592D"/>
    <w:rsid w:val="000D5982"/>
    <w:rsid w:val="000D5CC6"/>
    <w:rsid w:val="000D5F15"/>
    <w:rsid w:val="000D6100"/>
    <w:rsid w:val="000D6268"/>
    <w:rsid w:val="000D6711"/>
    <w:rsid w:val="000D7469"/>
    <w:rsid w:val="000D7764"/>
    <w:rsid w:val="000D7C4C"/>
    <w:rsid w:val="000D7C73"/>
    <w:rsid w:val="000E00CE"/>
    <w:rsid w:val="000E00E2"/>
    <w:rsid w:val="000E01CB"/>
    <w:rsid w:val="000E04FC"/>
    <w:rsid w:val="000E087E"/>
    <w:rsid w:val="000E0F21"/>
    <w:rsid w:val="000E155F"/>
    <w:rsid w:val="000E18AE"/>
    <w:rsid w:val="000E197B"/>
    <w:rsid w:val="000E1B57"/>
    <w:rsid w:val="000E1BCB"/>
    <w:rsid w:val="000E1FDC"/>
    <w:rsid w:val="000E232D"/>
    <w:rsid w:val="000E2437"/>
    <w:rsid w:val="000E2934"/>
    <w:rsid w:val="000E2A1D"/>
    <w:rsid w:val="000E3015"/>
    <w:rsid w:val="000E3320"/>
    <w:rsid w:val="000E3821"/>
    <w:rsid w:val="000E3828"/>
    <w:rsid w:val="000E3BAF"/>
    <w:rsid w:val="000E3E49"/>
    <w:rsid w:val="000E4220"/>
    <w:rsid w:val="000E4313"/>
    <w:rsid w:val="000E4ACD"/>
    <w:rsid w:val="000E4AD9"/>
    <w:rsid w:val="000E5068"/>
    <w:rsid w:val="000E50CB"/>
    <w:rsid w:val="000E59E5"/>
    <w:rsid w:val="000E613F"/>
    <w:rsid w:val="000E6718"/>
    <w:rsid w:val="000E6960"/>
    <w:rsid w:val="000E697A"/>
    <w:rsid w:val="000E6BFA"/>
    <w:rsid w:val="000E6C42"/>
    <w:rsid w:val="000E6CC2"/>
    <w:rsid w:val="000E6EA3"/>
    <w:rsid w:val="000E7437"/>
    <w:rsid w:val="000E7836"/>
    <w:rsid w:val="000F020A"/>
    <w:rsid w:val="000F026A"/>
    <w:rsid w:val="000F03A8"/>
    <w:rsid w:val="000F041B"/>
    <w:rsid w:val="000F097B"/>
    <w:rsid w:val="000F0A27"/>
    <w:rsid w:val="000F0B00"/>
    <w:rsid w:val="000F0CC5"/>
    <w:rsid w:val="000F15B6"/>
    <w:rsid w:val="000F1A19"/>
    <w:rsid w:val="000F1A52"/>
    <w:rsid w:val="000F1C06"/>
    <w:rsid w:val="000F1D7F"/>
    <w:rsid w:val="000F26CF"/>
    <w:rsid w:val="000F2829"/>
    <w:rsid w:val="000F2B74"/>
    <w:rsid w:val="000F2C61"/>
    <w:rsid w:val="000F3230"/>
    <w:rsid w:val="000F335B"/>
    <w:rsid w:val="000F3387"/>
    <w:rsid w:val="000F3B8B"/>
    <w:rsid w:val="000F402B"/>
    <w:rsid w:val="000F4340"/>
    <w:rsid w:val="000F4472"/>
    <w:rsid w:val="000F4743"/>
    <w:rsid w:val="000F4991"/>
    <w:rsid w:val="000F4A68"/>
    <w:rsid w:val="000F4C6D"/>
    <w:rsid w:val="000F4D2C"/>
    <w:rsid w:val="000F514B"/>
    <w:rsid w:val="000F51C7"/>
    <w:rsid w:val="000F575C"/>
    <w:rsid w:val="000F58A6"/>
    <w:rsid w:val="000F5934"/>
    <w:rsid w:val="000F5A66"/>
    <w:rsid w:val="000F5F63"/>
    <w:rsid w:val="000F5FA3"/>
    <w:rsid w:val="000F689C"/>
    <w:rsid w:val="000F68D5"/>
    <w:rsid w:val="000F6B2D"/>
    <w:rsid w:val="000F6BE3"/>
    <w:rsid w:val="000F6C4E"/>
    <w:rsid w:val="000F6D1A"/>
    <w:rsid w:val="000F6E12"/>
    <w:rsid w:val="000F7164"/>
    <w:rsid w:val="000F7286"/>
    <w:rsid w:val="000F7972"/>
    <w:rsid w:val="000F799C"/>
    <w:rsid w:val="000F7A34"/>
    <w:rsid w:val="00100594"/>
    <w:rsid w:val="001007FB"/>
    <w:rsid w:val="00100877"/>
    <w:rsid w:val="00100911"/>
    <w:rsid w:val="00101059"/>
    <w:rsid w:val="00101511"/>
    <w:rsid w:val="00101531"/>
    <w:rsid w:val="00101725"/>
    <w:rsid w:val="00101C3E"/>
    <w:rsid w:val="001020DC"/>
    <w:rsid w:val="00102195"/>
    <w:rsid w:val="001027E6"/>
    <w:rsid w:val="00102BB8"/>
    <w:rsid w:val="00103325"/>
    <w:rsid w:val="00103376"/>
    <w:rsid w:val="00103695"/>
    <w:rsid w:val="0010389D"/>
    <w:rsid w:val="001038F9"/>
    <w:rsid w:val="00103901"/>
    <w:rsid w:val="0010394F"/>
    <w:rsid w:val="001039E9"/>
    <w:rsid w:val="00104126"/>
    <w:rsid w:val="001046E1"/>
    <w:rsid w:val="00104BD2"/>
    <w:rsid w:val="00104D59"/>
    <w:rsid w:val="00104E63"/>
    <w:rsid w:val="00105039"/>
    <w:rsid w:val="0010530D"/>
    <w:rsid w:val="001053EE"/>
    <w:rsid w:val="0010553F"/>
    <w:rsid w:val="00105FA2"/>
    <w:rsid w:val="001061F9"/>
    <w:rsid w:val="001066C3"/>
    <w:rsid w:val="00106BE2"/>
    <w:rsid w:val="00106C6C"/>
    <w:rsid w:val="00106CC1"/>
    <w:rsid w:val="00107161"/>
    <w:rsid w:val="00107251"/>
    <w:rsid w:val="0010728A"/>
    <w:rsid w:val="001072EC"/>
    <w:rsid w:val="00107358"/>
    <w:rsid w:val="001077D5"/>
    <w:rsid w:val="00107BC5"/>
    <w:rsid w:val="00107CC9"/>
    <w:rsid w:val="00107ECB"/>
    <w:rsid w:val="00110368"/>
    <w:rsid w:val="00110472"/>
    <w:rsid w:val="0011098A"/>
    <w:rsid w:val="001112A8"/>
    <w:rsid w:val="0011130B"/>
    <w:rsid w:val="00112385"/>
    <w:rsid w:val="001131C0"/>
    <w:rsid w:val="00113506"/>
    <w:rsid w:val="001135C5"/>
    <w:rsid w:val="0011378B"/>
    <w:rsid w:val="00113A60"/>
    <w:rsid w:val="00113D0C"/>
    <w:rsid w:val="00113D6C"/>
    <w:rsid w:val="00113FF7"/>
    <w:rsid w:val="00114533"/>
    <w:rsid w:val="00114905"/>
    <w:rsid w:val="00114F65"/>
    <w:rsid w:val="0011507E"/>
    <w:rsid w:val="00115532"/>
    <w:rsid w:val="00115B51"/>
    <w:rsid w:val="00115D14"/>
    <w:rsid w:val="001160D6"/>
    <w:rsid w:val="001161AB"/>
    <w:rsid w:val="0011622E"/>
    <w:rsid w:val="00116320"/>
    <w:rsid w:val="0011676A"/>
    <w:rsid w:val="00116879"/>
    <w:rsid w:val="00116981"/>
    <w:rsid w:val="00116A44"/>
    <w:rsid w:val="00116D93"/>
    <w:rsid w:val="00116E27"/>
    <w:rsid w:val="00116F83"/>
    <w:rsid w:val="001174D9"/>
    <w:rsid w:val="0011775D"/>
    <w:rsid w:val="001177EC"/>
    <w:rsid w:val="00117BD2"/>
    <w:rsid w:val="00117DC8"/>
    <w:rsid w:val="0012017B"/>
    <w:rsid w:val="001201AC"/>
    <w:rsid w:val="001202EA"/>
    <w:rsid w:val="00120904"/>
    <w:rsid w:val="00120EE6"/>
    <w:rsid w:val="001214EA"/>
    <w:rsid w:val="00121A2D"/>
    <w:rsid w:val="00121AD4"/>
    <w:rsid w:val="00121B51"/>
    <w:rsid w:val="00121D3B"/>
    <w:rsid w:val="00121E4D"/>
    <w:rsid w:val="0012203E"/>
    <w:rsid w:val="0012209F"/>
    <w:rsid w:val="0012235F"/>
    <w:rsid w:val="0012276F"/>
    <w:rsid w:val="001227F4"/>
    <w:rsid w:val="00122CBF"/>
    <w:rsid w:val="00122EF3"/>
    <w:rsid w:val="00123003"/>
    <w:rsid w:val="0012338F"/>
    <w:rsid w:val="00123390"/>
    <w:rsid w:val="00123447"/>
    <w:rsid w:val="00123A90"/>
    <w:rsid w:val="00123B41"/>
    <w:rsid w:val="00124323"/>
    <w:rsid w:val="001243F9"/>
    <w:rsid w:val="0012475A"/>
    <w:rsid w:val="00124A82"/>
    <w:rsid w:val="00124C28"/>
    <w:rsid w:val="00124CC4"/>
    <w:rsid w:val="00124DF2"/>
    <w:rsid w:val="00124FDF"/>
    <w:rsid w:val="00125095"/>
    <w:rsid w:val="001256BF"/>
    <w:rsid w:val="00125B9B"/>
    <w:rsid w:val="00126146"/>
    <w:rsid w:val="001261E9"/>
    <w:rsid w:val="00126275"/>
    <w:rsid w:val="001262A3"/>
    <w:rsid w:val="001263E2"/>
    <w:rsid w:val="00126546"/>
    <w:rsid w:val="00126DB1"/>
    <w:rsid w:val="001278D5"/>
    <w:rsid w:val="0013000B"/>
    <w:rsid w:val="00130433"/>
    <w:rsid w:val="0013055D"/>
    <w:rsid w:val="001309ED"/>
    <w:rsid w:val="00130AA2"/>
    <w:rsid w:val="00130CA3"/>
    <w:rsid w:val="001315C4"/>
    <w:rsid w:val="00131724"/>
    <w:rsid w:val="0013194C"/>
    <w:rsid w:val="00131B06"/>
    <w:rsid w:val="00131BB1"/>
    <w:rsid w:val="00131BDC"/>
    <w:rsid w:val="001321EF"/>
    <w:rsid w:val="00132762"/>
    <w:rsid w:val="0013278C"/>
    <w:rsid w:val="001328BB"/>
    <w:rsid w:val="001331F8"/>
    <w:rsid w:val="001333E1"/>
    <w:rsid w:val="001336B3"/>
    <w:rsid w:val="00133949"/>
    <w:rsid w:val="00133CF8"/>
    <w:rsid w:val="001341CE"/>
    <w:rsid w:val="0013436A"/>
    <w:rsid w:val="0013458D"/>
    <w:rsid w:val="00134D46"/>
    <w:rsid w:val="001351A4"/>
    <w:rsid w:val="0013526A"/>
    <w:rsid w:val="001357E3"/>
    <w:rsid w:val="0013621D"/>
    <w:rsid w:val="00136DFD"/>
    <w:rsid w:val="00136F8E"/>
    <w:rsid w:val="001370E5"/>
    <w:rsid w:val="00137435"/>
    <w:rsid w:val="001377EA"/>
    <w:rsid w:val="00137838"/>
    <w:rsid w:val="0013783F"/>
    <w:rsid w:val="00137B05"/>
    <w:rsid w:val="00137BA8"/>
    <w:rsid w:val="00140488"/>
    <w:rsid w:val="001404A3"/>
    <w:rsid w:val="00140573"/>
    <w:rsid w:val="00140849"/>
    <w:rsid w:val="00140883"/>
    <w:rsid w:val="00140C68"/>
    <w:rsid w:val="00140EB7"/>
    <w:rsid w:val="00141105"/>
    <w:rsid w:val="00141192"/>
    <w:rsid w:val="001412EA"/>
    <w:rsid w:val="001418A2"/>
    <w:rsid w:val="00141D4C"/>
    <w:rsid w:val="00142232"/>
    <w:rsid w:val="00142433"/>
    <w:rsid w:val="001424CE"/>
    <w:rsid w:val="0014255E"/>
    <w:rsid w:val="00142560"/>
    <w:rsid w:val="001429B2"/>
    <w:rsid w:val="00142C66"/>
    <w:rsid w:val="0014309E"/>
    <w:rsid w:val="001430DA"/>
    <w:rsid w:val="00143937"/>
    <w:rsid w:val="00143B33"/>
    <w:rsid w:val="00143B74"/>
    <w:rsid w:val="00143B92"/>
    <w:rsid w:val="00143EA0"/>
    <w:rsid w:val="001442C8"/>
    <w:rsid w:val="00144CBA"/>
    <w:rsid w:val="00144E7C"/>
    <w:rsid w:val="00144FBA"/>
    <w:rsid w:val="00144FDA"/>
    <w:rsid w:val="00145403"/>
    <w:rsid w:val="001454C7"/>
    <w:rsid w:val="00145A35"/>
    <w:rsid w:val="00145ACA"/>
    <w:rsid w:val="00145D17"/>
    <w:rsid w:val="00145E62"/>
    <w:rsid w:val="00146178"/>
    <w:rsid w:val="0014651F"/>
    <w:rsid w:val="0014690B"/>
    <w:rsid w:val="0014699E"/>
    <w:rsid w:val="00146CCD"/>
    <w:rsid w:val="00146F69"/>
    <w:rsid w:val="00147033"/>
    <w:rsid w:val="00147254"/>
    <w:rsid w:val="0014788D"/>
    <w:rsid w:val="001478B5"/>
    <w:rsid w:val="0014796F"/>
    <w:rsid w:val="00147977"/>
    <w:rsid w:val="001501D5"/>
    <w:rsid w:val="00150325"/>
    <w:rsid w:val="00150716"/>
    <w:rsid w:val="00151008"/>
    <w:rsid w:val="00151287"/>
    <w:rsid w:val="001517C0"/>
    <w:rsid w:val="00151963"/>
    <w:rsid w:val="00151E62"/>
    <w:rsid w:val="0015235E"/>
    <w:rsid w:val="00152544"/>
    <w:rsid w:val="001528F8"/>
    <w:rsid w:val="00153067"/>
    <w:rsid w:val="001530A6"/>
    <w:rsid w:val="001530D7"/>
    <w:rsid w:val="00153210"/>
    <w:rsid w:val="0015323F"/>
    <w:rsid w:val="0015337A"/>
    <w:rsid w:val="00153750"/>
    <w:rsid w:val="00153884"/>
    <w:rsid w:val="00153955"/>
    <w:rsid w:val="00153A69"/>
    <w:rsid w:val="00153ACB"/>
    <w:rsid w:val="00153D7F"/>
    <w:rsid w:val="00153E17"/>
    <w:rsid w:val="00155061"/>
    <w:rsid w:val="001550AE"/>
    <w:rsid w:val="00155200"/>
    <w:rsid w:val="0015559E"/>
    <w:rsid w:val="001556ED"/>
    <w:rsid w:val="0015589D"/>
    <w:rsid w:val="00155AF9"/>
    <w:rsid w:val="00155B32"/>
    <w:rsid w:val="00155BDB"/>
    <w:rsid w:val="0015622C"/>
    <w:rsid w:val="00156379"/>
    <w:rsid w:val="001565B3"/>
    <w:rsid w:val="001565F3"/>
    <w:rsid w:val="0015663A"/>
    <w:rsid w:val="00156B26"/>
    <w:rsid w:val="00156CE9"/>
    <w:rsid w:val="00156DF1"/>
    <w:rsid w:val="00156DF8"/>
    <w:rsid w:val="001572D7"/>
    <w:rsid w:val="00157498"/>
    <w:rsid w:val="00157746"/>
    <w:rsid w:val="0015778A"/>
    <w:rsid w:val="0015786A"/>
    <w:rsid w:val="00157D51"/>
    <w:rsid w:val="0016028A"/>
    <w:rsid w:val="00160C12"/>
    <w:rsid w:val="001611F5"/>
    <w:rsid w:val="00161285"/>
    <w:rsid w:val="0016137A"/>
    <w:rsid w:val="00161465"/>
    <w:rsid w:val="00161491"/>
    <w:rsid w:val="00161522"/>
    <w:rsid w:val="001617B6"/>
    <w:rsid w:val="001618B2"/>
    <w:rsid w:val="00161ECF"/>
    <w:rsid w:val="00162041"/>
    <w:rsid w:val="00162381"/>
    <w:rsid w:val="0016249B"/>
    <w:rsid w:val="001633EB"/>
    <w:rsid w:val="001634E5"/>
    <w:rsid w:val="0016373C"/>
    <w:rsid w:val="00163F9D"/>
    <w:rsid w:val="00164070"/>
    <w:rsid w:val="00164088"/>
    <w:rsid w:val="001643DC"/>
    <w:rsid w:val="001644F3"/>
    <w:rsid w:val="00164995"/>
    <w:rsid w:val="00164BB7"/>
    <w:rsid w:val="00164C77"/>
    <w:rsid w:val="001650AB"/>
    <w:rsid w:val="00165108"/>
    <w:rsid w:val="0016515A"/>
    <w:rsid w:val="001658E9"/>
    <w:rsid w:val="00165F09"/>
    <w:rsid w:val="00165F78"/>
    <w:rsid w:val="001660E8"/>
    <w:rsid w:val="0016644B"/>
    <w:rsid w:val="0016682E"/>
    <w:rsid w:val="00166AAC"/>
    <w:rsid w:val="00166BEB"/>
    <w:rsid w:val="00166C8D"/>
    <w:rsid w:val="00166C9C"/>
    <w:rsid w:val="00166DE1"/>
    <w:rsid w:val="00167036"/>
    <w:rsid w:val="001671C9"/>
    <w:rsid w:val="0016738C"/>
    <w:rsid w:val="00167445"/>
    <w:rsid w:val="00167585"/>
    <w:rsid w:val="001675A1"/>
    <w:rsid w:val="00167A19"/>
    <w:rsid w:val="00167BD9"/>
    <w:rsid w:val="0017003E"/>
    <w:rsid w:val="0017036C"/>
    <w:rsid w:val="001706DD"/>
    <w:rsid w:val="00170871"/>
    <w:rsid w:val="00170A65"/>
    <w:rsid w:val="00170AA0"/>
    <w:rsid w:val="00170B8D"/>
    <w:rsid w:val="00170C32"/>
    <w:rsid w:val="00170FF1"/>
    <w:rsid w:val="00171201"/>
    <w:rsid w:val="00171358"/>
    <w:rsid w:val="00171A3B"/>
    <w:rsid w:val="00171CDD"/>
    <w:rsid w:val="00171D86"/>
    <w:rsid w:val="00172027"/>
    <w:rsid w:val="001724B3"/>
    <w:rsid w:val="00172E1F"/>
    <w:rsid w:val="00172E65"/>
    <w:rsid w:val="00172F67"/>
    <w:rsid w:val="00173609"/>
    <w:rsid w:val="00173712"/>
    <w:rsid w:val="001737EB"/>
    <w:rsid w:val="00173B2E"/>
    <w:rsid w:val="0017406F"/>
    <w:rsid w:val="00174594"/>
    <w:rsid w:val="00174629"/>
    <w:rsid w:val="00174A73"/>
    <w:rsid w:val="00174D9C"/>
    <w:rsid w:val="00175505"/>
    <w:rsid w:val="00175901"/>
    <w:rsid w:val="001762C9"/>
    <w:rsid w:val="00176348"/>
    <w:rsid w:val="001768C6"/>
    <w:rsid w:val="001768DA"/>
    <w:rsid w:val="00176DD2"/>
    <w:rsid w:val="001770CD"/>
    <w:rsid w:val="00177184"/>
    <w:rsid w:val="001772B7"/>
    <w:rsid w:val="00177455"/>
    <w:rsid w:val="001774C4"/>
    <w:rsid w:val="00177500"/>
    <w:rsid w:val="001776F7"/>
    <w:rsid w:val="001779DB"/>
    <w:rsid w:val="001779FE"/>
    <w:rsid w:val="00177E03"/>
    <w:rsid w:val="00177EA5"/>
    <w:rsid w:val="0018014E"/>
    <w:rsid w:val="00180954"/>
    <w:rsid w:val="00180FE7"/>
    <w:rsid w:val="00181155"/>
    <w:rsid w:val="001812B4"/>
    <w:rsid w:val="001813B0"/>
    <w:rsid w:val="001813E6"/>
    <w:rsid w:val="001814D4"/>
    <w:rsid w:val="001819D0"/>
    <w:rsid w:val="00181A21"/>
    <w:rsid w:val="00181BBD"/>
    <w:rsid w:val="001821B4"/>
    <w:rsid w:val="00182730"/>
    <w:rsid w:val="00182746"/>
    <w:rsid w:val="0018298B"/>
    <w:rsid w:val="00182A5F"/>
    <w:rsid w:val="00183096"/>
    <w:rsid w:val="00183314"/>
    <w:rsid w:val="0018375D"/>
    <w:rsid w:val="00183ACA"/>
    <w:rsid w:val="00183D0A"/>
    <w:rsid w:val="00183D10"/>
    <w:rsid w:val="0018413E"/>
    <w:rsid w:val="0018433B"/>
    <w:rsid w:val="001843D7"/>
    <w:rsid w:val="00184CD6"/>
    <w:rsid w:val="00184E75"/>
    <w:rsid w:val="0018545D"/>
    <w:rsid w:val="00185491"/>
    <w:rsid w:val="00185710"/>
    <w:rsid w:val="00185762"/>
    <w:rsid w:val="00185833"/>
    <w:rsid w:val="00185AE8"/>
    <w:rsid w:val="00185C71"/>
    <w:rsid w:val="00185E65"/>
    <w:rsid w:val="00185EE9"/>
    <w:rsid w:val="00186039"/>
    <w:rsid w:val="001861F6"/>
    <w:rsid w:val="001864D6"/>
    <w:rsid w:val="001867B3"/>
    <w:rsid w:val="00186A61"/>
    <w:rsid w:val="00186B39"/>
    <w:rsid w:val="00186BC9"/>
    <w:rsid w:val="00186E3E"/>
    <w:rsid w:val="00186FDB"/>
    <w:rsid w:val="001870D7"/>
    <w:rsid w:val="00187140"/>
    <w:rsid w:val="00187580"/>
    <w:rsid w:val="00187680"/>
    <w:rsid w:val="001877F1"/>
    <w:rsid w:val="00187867"/>
    <w:rsid w:val="00187BEA"/>
    <w:rsid w:val="00187D34"/>
    <w:rsid w:val="00187E05"/>
    <w:rsid w:val="001904CA"/>
    <w:rsid w:val="00190B79"/>
    <w:rsid w:val="00190CA3"/>
    <w:rsid w:val="00190CE3"/>
    <w:rsid w:val="00190E45"/>
    <w:rsid w:val="00190FC7"/>
    <w:rsid w:val="001915C4"/>
    <w:rsid w:val="0019163E"/>
    <w:rsid w:val="001916E4"/>
    <w:rsid w:val="00191A0B"/>
    <w:rsid w:val="00191A88"/>
    <w:rsid w:val="00191B6F"/>
    <w:rsid w:val="00191E68"/>
    <w:rsid w:val="00192078"/>
    <w:rsid w:val="001925B3"/>
    <w:rsid w:val="001926E1"/>
    <w:rsid w:val="00192CE2"/>
    <w:rsid w:val="00192ED5"/>
    <w:rsid w:val="00192FEF"/>
    <w:rsid w:val="001930A6"/>
    <w:rsid w:val="001930BA"/>
    <w:rsid w:val="00193276"/>
    <w:rsid w:val="001935A0"/>
    <w:rsid w:val="00193AB1"/>
    <w:rsid w:val="00193D1D"/>
    <w:rsid w:val="00193DC6"/>
    <w:rsid w:val="001946B0"/>
    <w:rsid w:val="0019491E"/>
    <w:rsid w:val="00194974"/>
    <w:rsid w:val="00194E0F"/>
    <w:rsid w:val="0019525F"/>
    <w:rsid w:val="00195549"/>
    <w:rsid w:val="00195C51"/>
    <w:rsid w:val="00195FE5"/>
    <w:rsid w:val="00196628"/>
    <w:rsid w:val="001966A6"/>
    <w:rsid w:val="001967E6"/>
    <w:rsid w:val="00196A79"/>
    <w:rsid w:val="00196C3F"/>
    <w:rsid w:val="00196D6C"/>
    <w:rsid w:val="001970D3"/>
    <w:rsid w:val="001971DE"/>
    <w:rsid w:val="00197431"/>
    <w:rsid w:val="00197876"/>
    <w:rsid w:val="00197DCA"/>
    <w:rsid w:val="00197DFE"/>
    <w:rsid w:val="00197E54"/>
    <w:rsid w:val="001A01A4"/>
    <w:rsid w:val="001A039E"/>
    <w:rsid w:val="001A04B4"/>
    <w:rsid w:val="001A06A5"/>
    <w:rsid w:val="001A0BA7"/>
    <w:rsid w:val="001A1081"/>
    <w:rsid w:val="001A1A6B"/>
    <w:rsid w:val="001A1E42"/>
    <w:rsid w:val="001A1EBE"/>
    <w:rsid w:val="001A208B"/>
    <w:rsid w:val="001A22C1"/>
    <w:rsid w:val="001A26D3"/>
    <w:rsid w:val="001A29A4"/>
    <w:rsid w:val="001A2BBA"/>
    <w:rsid w:val="001A2C00"/>
    <w:rsid w:val="001A30B0"/>
    <w:rsid w:val="001A326C"/>
    <w:rsid w:val="001A37F4"/>
    <w:rsid w:val="001A4C76"/>
    <w:rsid w:val="001A4C8A"/>
    <w:rsid w:val="001A52C1"/>
    <w:rsid w:val="001A569F"/>
    <w:rsid w:val="001A579B"/>
    <w:rsid w:val="001A57CC"/>
    <w:rsid w:val="001A5F53"/>
    <w:rsid w:val="001A685C"/>
    <w:rsid w:val="001A6E27"/>
    <w:rsid w:val="001A6EB1"/>
    <w:rsid w:val="001A6ECC"/>
    <w:rsid w:val="001A710F"/>
    <w:rsid w:val="001A72F9"/>
    <w:rsid w:val="001A73B7"/>
    <w:rsid w:val="001A7788"/>
    <w:rsid w:val="001A7C5D"/>
    <w:rsid w:val="001A7CAC"/>
    <w:rsid w:val="001A7ED0"/>
    <w:rsid w:val="001B096B"/>
    <w:rsid w:val="001B0D02"/>
    <w:rsid w:val="001B1523"/>
    <w:rsid w:val="001B19FB"/>
    <w:rsid w:val="001B1A20"/>
    <w:rsid w:val="001B1A6A"/>
    <w:rsid w:val="001B1B12"/>
    <w:rsid w:val="001B2327"/>
    <w:rsid w:val="001B27EF"/>
    <w:rsid w:val="001B2985"/>
    <w:rsid w:val="001B2A76"/>
    <w:rsid w:val="001B2AB4"/>
    <w:rsid w:val="001B2ABA"/>
    <w:rsid w:val="001B2C42"/>
    <w:rsid w:val="001B310A"/>
    <w:rsid w:val="001B31B8"/>
    <w:rsid w:val="001B3DB5"/>
    <w:rsid w:val="001B4006"/>
    <w:rsid w:val="001B41C8"/>
    <w:rsid w:val="001B4301"/>
    <w:rsid w:val="001B442B"/>
    <w:rsid w:val="001B4767"/>
    <w:rsid w:val="001B4A3B"/>
    <w:rsid w:val="001B4A6C"/>
    <w:rsid w:val="001B4C37"/>
    <w:rsid w:val="001B5197"/>
    <w:rsid w:val="001B571D"/>
    <w:rsid w:val="001B59A0"/>
    <w:rsid w:val="001B5D0B"/>
    <w:rsid w:val="001B6001"/>
    <w:rsid w:val="001B6127"/>
    <w:rsid w:val="001B630D"/>
    <w:rsid w:val="001B640A"/>
    <w:rsid w:val="001B6DAB"/>
    <w:rsid w:val="001B6E3C"/>
    <w:rsid w:val="001B6EA5"/>
    <w:rsid w:val="001B6F61"/>
    <w:rsid w:val="001B73E7"/>
    <w:rsid w:val="001B768F"/>
    <w:rsid w:val="001B781D"/>
    <w:rsid w:val="001C091E"/>
    <w:rsid w:val="001C0D36"/>
    <w:rsid w:val="001C1115"/>
    <w:rsid w:val="001C134D"/>
    <w:rsid w:val="001C194D"/>
    <w:rsid w:val="001C19C3"/>
    <w:rsid w:val="001C1B27"/>
    <w:rsid w:val="001C1B7C"/>
    <w:rsid w:val="001C2009"/>
    <w:rsid w:val="001C2304"/>
    <w:rsid w:val="001C2343"/>
    <w:rsid w:val="001C2E06"/>
    <w:rsid w:val="001C2E21"/>
    <w:rsid w:val="001C310E"/>
    <w:rsid w:val="001C32FC"/>
    <w:rsid w:val="001C34B6"/>
    <w:rsid w:val="001C37B4"/>
    <w:rsid w:val="001C3C53"/>
    <w:rsid w:val="001C4373"/>
    <w:rsid w:val="001C4BD3"/>
    <w:rsid w:val="001C4ED2"/>
    <w:rsid w:val="001C51DB"/>
    <w:rsid w:val="001C5357"/>
    <w:rsid w:val="001C53C2"/>
    <w:rsid w:val="001C5846"/>
    <w:rsid w:val="001C59E9"/>
    <w:rsid w:val="001C6107"/>
    <w:rsid w:val="001C62FE"/>
    <w:rsid w:val="001C6411"/>
    <w:rsid w:val="001C64C3"/>
    <w:rsid w:val="001C64EA"/>
    <w:rsid w:val="001C6DD0"/>
    <w:rsid w:val="001C6E74"/>
    <w:rsid w:val="001C72A1"/>
    <w:rsid w:val="001C747D"/>
    <w:rsid w:val="001C759D"/>
    <w:rsid w:val="001C7927"/>
    <w:rsid w:val="001C7B23"/>
    <w:rsid w:val="001C7D0B"/>
    <w:rsid w:val="001D004A"/>
    <w:rsid w:val="001D0222"/>
    <w:rsid w:val="001D024C"/>
    <w:rsid w:val="001D05B1"/>
    <w:rsid w:val="001D0A4B"/>
    <w:rsid w:val="001D0C06"/>
    <w:rsid w:val="001D118E"/>
    <w:rsid w:val="001D153C"/>
    <w:rsid w:val="001D16A0"/>
    <w:rsid w:val="001D16CF"/>
    <w:rsid w:val="001D1897"/>
    <w:rsid w:val="001D1D4D"/>
    <w:rsid w:val="001D1ED7"/>
    <w:rsid w:val="001D1F72"/>
    <w:rsid w:val="001D1F97"/>
    <w:rsid w:val="001D2252"/>
    <w:rsid w:val="001D2368"/>
    <w:rsid w:val="001D2472"/>
    <w:rsid w:val="001D335A"/>
    <w:rsid w:val="001D34BD"/>
    <w:rsid w:val="001D3720"/>
    <w:rsid w:val="001D3B33"/>
    <w:rsid w:val="001D3DB6"/>
    <w:rsid w:val="001D3DE6"/>
    <w:rsid w:val="001D3EB5"/>
    <w:rsid w:val="001D40A2"/>
    <w:rsid w:val="001D461E"/>
    <w:rsid w:val="001D465D"/>
    <w:rsid w:val="001D4790"/>
    <w:rsid w:val="001D4FAC"/>
    <w:rsid w:val="001D50C9"/>
    <w:rsid w:val="001D531D"/>
    <w:rsid w:val="001D5357"/>
    <w:rsid w:val="001D546F"/>
    <w:rsid w:val="001D568F"/>
    <w:rsid w:val="001D5A56"/>
    <w:rsid w:val="001D5B53"/>
    <w:rsid w:val="001D5D37"/>
    <w:rsid w:val="001D5E55"/>
    <w:rsid w:val="001D5F48"/>
    <w:rsid w:val="001D6074"/>
    <w:rsid w:val="001D6796"/>
    <w:rsid w:val="001D690C"/>
    <w:rsid w:val="001D6B79"/>
    <w:rsid w:val="001D70D0"/>
    <w:rsid w:val="001D717F"/>
    <w:rsid w:val="001D735F"/>
    <w:rsid w:val="001D750E"/>
    <w:rsid w:val="001D7B1C"/>
    <w:rsid w:val="001D7C23"/>
    <w:rsid w:val="001D7D73"/>
    <w:rsid w:val="001D7EF8"/>
    <w:rsid w:val="001E0003"/>
    <w:rsid w:val="001E012B"/>
    <w:rsid w:val="001E052C"/>
    <w:rsid w:val="001E052E"/>
    <w:rsid w:val="001E068F"/>
    <w:rsid w:val="001E0ED4"/>
    <w:rsid w:val="001E1375"/>
    <w:rsid w:val="001E166C"/>
    <w:rsid w:val="001E1ED8"/>
    <w:rsid w:val="001E20E3"/>
    <w:rsid w:val="001E2768"/>
    <w:rsid w:val="001E29CC"/>
    <w:rsid w:val="001E2B8A"/>
    <w:rsid w:val="001E3041"/>
    <w:rsid w:val="001E3C1A"/>
    <w:rsid w:val="001E3E47"/>
    <w:rsid w:val="001E3F65"/>
    <w:rsid w:val="001E40DF"/>
    <w:rsid w:val="001E412F"/>
    <w:rsid w:val="001E475C"/>
    <w:rsid w:val="001E4962"/>
    <w:rsid w:val="001E4B49"/>
    <w:rsid w:val="001E4BFA"/>
    <w:rsid w:val="001E4D58"/>
    <w:rsid w:val="001E4EE9"/>
    <w:rsid w:val="001E4FE7"/>
    <w:rsid w:val="001E55FD"/>
    <w:rsid w:val="001E5740"/>
    <w:rsid w:val="001E57BA"/>
    <w:rsid w:val="001E5DDE"/>
    <w:rsid w:val="001E5EF2"/>
    <w:rsid w:val="001E601B"/>
    <w:rsid w:val="001E6302"/>
    <w:rsid w:val="001E6361"/>
    <w:rsid w:val="001E6365"/>
    <w:rsid w:val="001E697F"/>
    <w:rsid w:val="001E7229"/>
    <w:rsid w:val="001E73EE"/>
    <w:rsid w:val="001E76EE"/>
    <w:rsid w:val="001E79B0"/>
    <w:rsid w:val="001E7A1A"/>
    <w:rsid w:val="001F007F"/>
    <w:rsid w:val="001F0135"/>
    <w:rsid w:val="001F0467"/>
    <w:rsid w:val="001F0846"/>
    <w:rsid w:val="001F0DF4"/>
    <w:rsid w:val="001F1329"/>
    <w:rsid w:val="001F14C9"/>
    <w:rsid w:val="001F18C8"/>
    <w:rsid w:val="001F1BD6"/>
    <w:rsid w:val="001F1E53"/>
    <w:rsid w:val="001F2277"/>
    <w:rsid w:val="001F2352"/>
    <w:rsid w:val="001F2772"/>
    <w:rsid w:val="001F29B9"/>
    <w:rsid w:val="001F2C4C"/>
    <w:rsid w:val="001F35CC"/>
    <w:rsid w:val="001F3B10"/>
    <w:rsid w:val="001F43E8"/>
    <w:rsid w:val="001F45F6"/>
    <w:rsid w:val="001F4FF6"/>
    <w:rsid w:val="001F531B"/>
    <w:rsid w:val="001F54AA"/>
    <w:rsid w:val="001F54D7"/>
    <w:rsid w:val="001F599C"/>
    <w:rsid w:val="001F5EA3"/>
    <w:rsid w:val="001F62C5"/>
    <w:rsid w:val="001F6405"/>
    <w:rsid w:val="001F65FF"/>
    <w:rsid w:val="001F66E1"/>
    <w:rsid w:val="001F6A80"/>
    <w:rsid w:val="001F6FF0"/>
    <w:rsid w:val="001F73BA"/>
    <w:rsid w:val="001F7538"/>
    <w:rsid w:val="001F75D8"/>
    <w:rsid w:val="001F7698"/>
    <w:rsid w:val="001F7D79"/>
    <w:rsid w:val="001F7EA9"/>
    <w:rsid w:val="001F7EF1"/>
    <w:rsid w:val="001F7FE7"/>
    <w:rsid w:val="002002E0"/>
    <w:rsid w:val="002003DA"/>
    <w:rsid w:val="00200604"/>
    <w:rsid w:val="00200677"/>
    <w:rsid w:val="00200A8D"/>
    <w:rsid w:val="00200CFF"/>
    <w:rsid w:val="00200D23"/>
    <w:rsid w:val="00201297"/>
    <w:rsid w:val="002014D3"/>
    <w:rsid w:val="002016FA"/>
    <w:rsid w:val="002018F6"/>
    <w:rsid w:val="00201AE4"/>
    <w:rsid w:val="00202127"/>
    <w:rsid w:val="0020222D"/>
    <w:rsid w:val="00202542"/>
    <w:rsid w:val="00202618"/>
    <w:rsid w:val="0020261B"/>
    <w:rsid w:val="00202D2E"/>
    <w:rsid w:val="00202E79"/>
    <w:rsid w:val="0020324A"/>
    <w:rsid w:val="002036F6"/>
    <w:rsid w:val="0020378E"/>
    <w:rsid w:val="00203B45"/>
    <w:rsid w:val="00203B7A"/>
    <w:rsid w:val="00203D00"/>
    <w:rsid w:val="00203F30"/>
    <w:rsid w:val="002041C7"/>
    <w:rsid w:val="00204516"/>
    <w:rsid w:val="0020453D"/>
    <w:rsid w:val="002046D7"/>
    <w:rsid w:val="00204A3A"/>
    <w:rsid w:val="00204D91"/>
    <w:rsid w:val="00204FC1"/>
    <w:rsid w:val="00205114"/>
    <w:rsid w:val="00205A99"/>
    <w:rsid w:val="00205E2A"/>
    <w:rsid w:val="00205E8C"/>
    <w:rsid w:val="00205EC5"/>
    <w:rsid w:val="002064FE"/>
    <w:rsid w:val="00206853"/>
    <w:rsid w:val="0020692C"/>
    <w:rsid w:val="00206C2C"/>
    <w:rsid w:val="00207009"/>
    <w:rsid w:val="00207299"/>
    <w:rsid w:val="00207BC1"/>
    <w:rsid w:val="00207BD2"/>
    <w:rsid w:val="002101FE"/>
    <w:rsid w:val="0021068A"/>
    <w:rsid w:val="0021070C"/>
    <w:rsid w:val="00210B7A"/>
    <w:rsid w:val="00210DF0"/>
    <w:rsid w:val="00211226"/>
    <w:rsid w:val="002115EB"/>
    <w:rsid w:val="002118BE"/>
    <w:rsid w:val="00211ABB"/>
    <w:rsid w:val="00211B80"/>
    <w:rsid w:val="00211E6A"/>
    <w:rsid w:val="00211F6D"/>
    <w:rsid w:val="00212253"/>
    <w:rsid w:val="002122E8"/>
    <w:rsid w:val="00212ACF"/>
    <w:rsid w:val="00212D8F"/>
    <w:rsid w:val="00212E46"/>
    <w:rsid w:val="0021341C"/>
    <w:rsid w:val="00213739"/>
    <w:rsid w:val="00213E69"/>
    <w:rsid w:val="002142B5"/>
    <w:rsid w:val="002142FB"/>
    <w:rsid w:val="00214621"/>
    <w:rsid w:val="0021496D"/>
    <w:rsid w:val="00214A8C"/>
    <w:rsid w:val="00214B68"/>
    <w:rsid w:val="00214CC4"/>
    <w:rsid w:val="00214DC9"/>
    <w:rsid w:val="00214E1D"/>
    <w:rsid w:val="00214E2F"/>
    <w:rsid w:val="00214F5E"/>
    <w:rsid w:val="00215287"/>
    <w:rsid w:val="0021533D"/>
    <w:rsid w:val="00215423"/>
    <w:rsid w:val="002155F9"/>
    <w:rsid w:val="00215CE7"/>
    <w:rsid w:val="00215DB4"/>
    <w:rsid w:val="00216641"/>
    <w:rsid w:val="002166FE"/>
    <w:rsid w:val="00216798"/>
    <w:rsid w:val="00216B73"/>
    <w:rsid w:val="00216B80"/>
    <w:rsid w:val="00216FFD"/>
    <w:rsid w:val="00217218"/>
    <w:rsid w:val="0021742A"/>
    <w:rsid w:val="0021757B"/>
    <w:rsid w:val="00220534"/>
    <w:rsid w:val="00220550"/>
    <w:rsid w:val="00220740"/>
    <w:rsid w:val="00220C82"/>
    <w:rsid w:val="00220E48"/>
    <w:rsid w:val="002215AB"/>
    <w:rsid w:val="00221BF3"/>
    <w:rsid w:val="00221C32"/>
    <w:rsid w:val="00221F5C"/>
    <w:rsid w:val="0022204F"/>
    <w:rsid w:val="00222220"/>
    <w:rsid w:val="002226B3"/>
    <w:rsid w:val="002226DE"/>
    <w:rsid w:val="00222B8B"/>
    <w:rsid w:val="00222DEA"/>
    <w:rsid w:val="0022308E"/>
    <w:rsid w:val="0022349F"/>
    <w:rsid w:val="0022350B"/>
    <w:rsid w:val="002235E0"/>
    <w:rsid w:val="002235E8"/>
    <w:rsid w:val="0022389C"/>
    <w:rsid w:val="00223B57"/>
    <w:rsid w:val="00224070"/>
    <w:rsid w:val="002242C9"/>
    <w:rsid w:val="00224738"/>
    <w:rsid w:val="00224A6D"/>
    <w:rsid w:val="00224B0D"/>
    <w:rsid w:val="00224D37"/>
    <w:rsid w:val="00224F50"/>
    <w:rsid w:val="00225212"/>
    <w:rsid w:val="002253EE"/>
    <w:rsid w:val="0022544F"/>
    <w:rsid w:val="002255DA"/>
    <w:rsid w:val="00225A21"/>
    <w:rsid w:val="0022624F"/>
    <w:rsid w:val="002263F0"/>
    <w:rsid w:val="002265F7"/>
    <w:rsid w:val="00226873"/>
    <w:rsid w:val="002268D0"/>
    <w:rsid w:val="00226A7B"/>
    <w:rsid w:val="002276D7"/>
    <w:rsid w:val="00227C15"/>
    <w:rsid w:val="002302E6"/>
    <w:rsid w:val="002304AD"/>
    <w:rsid w:val="00230694"/>
    <w:rsid w:val="002306E4"/>
    <w:rsid w:val="00230C3B"/>
    <w:rsid w:val="002311C8"/>
    <w:rsid w:val="0023151C"/>
    <w:rsid w:val="002315C8"/>
    <w:rsid w:val="002319FB"/>
    <w:rsid w:val="00231CCB"/>
    <w:rsid w:val="00231CE6"/>
    <w:rsid w:val="00231E0F"/>
    <w:rsid w:val="0023248C"/>
    <w:rsid w:val="002324BF"/>
    <w:rsid w:val="002327D1"/>
    <w:rsid w:val="00232841"/>
    <w:rsid w:val="00232B1D"/>
    <w:rsid w:val="00232BA6"/>
    <w:rsid w:val="00232D2F"/>
    <w:rsid w:val="00233209"/>
    <w:rsid w:val="0023323C"/>
    <w:rsid w:val="002332B7"/>
    <w:rsid w:val="0023341A"/>
    <w:rsid w:val="002337CD"/>
    <w:rsid w:val="002337FA"/>
    <w:rsid w:val="002338B0"/>
    <w:rsid w:val="00233A2E"/>
    <w:rsid w:val="00234060"/>
    <w:rsid w:val="0023421A"/>
    <w:rsid w:val="0023448A"/>
    <w:rsid w:val="002344E6"/>
    <w:rsid w:val="0023462E"/>
    <w:rsid w:val="002348DD"/>
    <w:rsid w:val="00234C59"/>
    <w:rsid w:val="0023506C"/>
    <w:rsid w:val="002350BB"/>
    <w:rsid w:val="0023534E"/>
    <w:rsid w:val="0023541B"/>
    <w:rsid w:val="00235472"/>
    <w:rsid w:val="002356A4"/>
    <w:rsid w:val="00235955"/>
    <w:rsid w:val="00235D45"/>
    <w:rsid w:val="00235E16"/>
    <w:rsid w:val="0023609E"/>
    <w:rsid w:val="002362FC"/>
    <w:rsid w:val="002363FB"/>
    <w:rsid w:val="00236541"/>
    <w:rsid w:val="002365F6"/>
    <w:rsid w:val="00236984"/>
    <w:rsid w:val="00236BD0"/>
    <w:rsid w:val="00236EDF"/>
    <w:rsid w:val="0023711F"/>
    <w:rsid w:val="00237135"/>
    <w:rsid w:val="002371C7"/>
    <w:rsid w:val="00237E49"/>
    <w:rsid w:val="00237F29"/>
    <w:rsid w:val="00237F64"/>
    <w:rsid w:val="00240030"/>
    <w:rsid w:val="002400AE"/>
    <w:rsid w:val="002400E2"/>
    <w:rsid w:val="00240148"/>
    <w:rsid w:val="0024037F"/>
    <w:rsid w:val="00240A37"/>
    <w:rsid w:val="00240E7C"/>
    <w:rsid w:val="002411EE"/>
    <w:rsid w:val="00241310"/>
    <w:rsid w:val="00241A6A"/>
    <w:rsid w:val="00241ACA"/>
    <w:rsid w:val="00241D06"/>
    <w:rsid w:val="00242193"/>
    <w:rsid w:val="002425DC"/>
    <w:rsid w:val="00242E8D"/>
    <w:rsid w:val="00242F03"/>
    <w:rsid w:val="002438E5"/>
    <w:rsid w:val="00243AE7"/>
    <w:rsid w:val="00243C67"/>
    <w:rsid w:val="00243E2B"/>
    <w:rsid w:val="00243FAB"/>
    <w:rsid w:val="002441A4"/>
    <w:rsid w:val="00244590"/>
    <w:rsid w:val="00244711"/>
    <w:rsid w:val="002447D0"/>
    <w:rsid w:val="00244C37"/>
    <w:rsid w:val="00244F42"/>
    <w:rsid w:val="0024502D"/>
    <w:rsid w:val="00245069"/>
    <w:rsid w:val="00245337"/>
    <w:rsid w:val="00245F4C"/>
    <w:rsid w:val="0024607C"/>
    <w:rsid w:val="002467D6"/>
    <w:rsid w:val="002469FA"/>
    <w:rsid w:val="00246A23"/>
    <w:rsid w:val="00246C69"/>
    <w:rsid w:val="00247198"/>
    <w:rsid w:val="00250BF4"/>
    <w:rsid w:val="00250C47"/>
    <w:rsid w:val="00250EA0"/>
    <w:rsid w:val="00251162"/>
    <w:rsid w:val="00251172"/>
    <w:rsid w:val="002512DD"/>
    <w:rsid w:val="00251571"/>
    <w:rsid w:val="0025264A"/>
    <w:rsid w:val="002527D1"/>
    <w:rsid w:val="00252829"/>
    <w:rsid w:val="00252CBE"/>
    <w:rsid w:val="00252CD3"/>
    <w:rsid w:val="0025349A"/>
    <w:rsid w:val="002536AB"/>
    <w:rsid w:val="0025375E"/>
    <w:rsid w:val="00254ADC"/>
    <w:rsid w:val="00255018"/>
    <w:rsid w:val="00255047"/>
    <w:rsid w:val="00255138"/>
    <w:rsid w:val="00255836"/>
    <w:rsid w:val="00255AA7"/>
    <w:rsid w:val="00255B16"/>
    <w:rsid w:val="00255BFA"/>
    <w:rsid w:val="0025631D"/>
    <w:rsid w:val="00256B4E"/>
    <w:rsid w:val="00256D64"/>
    <w:rsid w:val="00256F41"/>
    <w:rsid w:val="00256F42"/>
    <w:rsid w:val="00257057"/>
    <w:rsid w:val="002571B4"/>
    <w:rsid w:val="002578CB"/>
    <w:rsid w:val="00257920"/>
    <w:rsid w:val="00260398"/>
    <w:rsid w:val="00260405"/>
    <w:rsid w:val="00260592"/>
    <w:rsid w:val="00260998"/>
    <w:rsid w:val="00260A44"/>
    <w:rsid w:val="00260B68"/>
    <w:rsid w:val="00261330"/>
    <w:rsid w:val="002613E5"/>
    <w:rsid w:val="00261445"/>
    <w:rsid w:val="00261C67"/>
    <w:rsid w:val="00261D8A"/>
    <w:rsid w:val="00261F3F"/>
    <w:rsid w:val="002620F9"/>
    <w:rsid w:val="0026228D"/>
    <w:rsid w:val="00262336"/>
    <w:rsid w:val="002625AC"/>
    <w:rsid w:val="00262861"/>
    <w:rsid w:val="002629EC"/>
    <w:rsid w:val="00262AAF"/>
    <w:rsid w:val="0026350C"/>
    <w:rsid w:val="00263AA1"/>
    <w:rsid w:val="00264250"/>
    <w:rsid w:val="00264EEC"/>
    <w:rsid w:val="00264FC5"/>
    <w:rsid w:val="00265210"/>
    <w:rsid w:val="00265249"/>
    <w:rsid w:val="002654B8"/>
    <w:rsid w:val="002655E1"/>
    <w:rsid w:val="002659AD"/>
    <w:rsid w:val="00265D57"/>
    <w:rsid w:val="00265FB2"/>
    <w:rsid w:val="00266110"/>
    <w:rsid w:val="0026616D"/>
    <w:rsid w:val="0026637A"/>
    <w:rsid w:val="002664E0"/>
    <w:rsid w:val="0026657F"/>
    <w:rsid w:val="0026661B"/>
    <w:rsid w:val="002668F2"/>
    <w:rsid w:val="00266A26"/>
    <w:rsid w:val="00266B02"/>
    <w:rsid w:val="00266CC2"/>
    <w:rsid w:val="00266DE0"/>
    <w:rsid w:val="00266DEC"/>
    <w:rsid w:val="00266E5D"/>
    <w:rsid w:val="00267057"/>
    <w:rsid w:val="0026719F"/>
    <w:rsid w:val="002671C4"/>
    <w:rsid w:val="00267590"/>
    <w:rsid w:val="002677CB"/>
    <w:rsid w:val="00267BE8"/>
    <w:rsid w:val="00267CAC"/>
    <w:rsid w:val="00267CDB"/>
    <w:rsid w:val="002701CC"/>
    <w:rsid w:val="00270A15"/>
    <w:rsid w:val="00270A3C"/>
    <w:rsid w:val="00270A90"/>
    <w:rsid w:val="00270AE7"/>
    <w:rsid w:val="00270AEB"/>
    <w:rsid w:val="00270D95"/>
    <w:rsid w:val="00271212"/>
    <w:rsid w:val="002715EE"/>
    <w:rsid w:val="00271D02"/>
    <w:rsid w:val="00271D23"/>
    <w:rsid w:val="00271DB0"/>
    <w:rsid w:val="00271DCF"/>
    <w:rsid w:val="002723B7"/>
    <w:rsid w:val="00272B70"/>
    <w:rsid w:val="00272CF5"/>
    <w:rsid w:val="00272D0B"/>
    <w:rsid w:val="00272DC5"/>
    <w:rsid w:val="00272ED7"/>
    <w:rsid w:val="00273435"/>
    <w:rsid w:val="002735E1"/>
    <w:rsid w:val="00273711"/>
    <w:rsid w:val="002738BA"/>
    <w:rsid w:val="00273E5E"/>
    <w:rsid w:val="00273FE3"/>
    <w:rsid w:val="00274170"/>
    <w:rsid w:val="00274272"/>
    <w:rsid w:val="002746F7"/>
    <w:rsid w:val="00274CC7"/>
    <w:rsid w:val="00274DE7"/>
    <w:rsid w:val="002751D3"/>
    <w:rsid w:val="002753D9"/>
    <w:rsid w:val="002755A3"/>
    <w:rsid w:val="0027582C"/>
    <w:rsid w:val="002758AD"/>
    <w:rsid w:val="00275EAF"/>
    <w:rsid w:val="00275F86"/>
    <w:rsid w:val="00276391"/>
    <w:rsid w:val="002765EF"/>
    <w:rsid w:val="00276698"/>
    <w:rsid w:val="002766A9"/>
    <w:rsid w:val="002769EE"/>
    <w:rsid w:val="00276D74"/>
    <w:rsid w:val="00276E55"/>
    <w:rsid w:val="00276F7B"/>
    <w:rsid w:val="0027710D"/>
    <w:rsid w:val="0027720A"/>
    <w:rsid w:val="00277379"/>
    <w:rsid w:val="002773DF"/>
    <w:rsid w:val="002775E5"/>
    <w:rsid w:val="002778B4"/>
    <w:rsid w:val="00280280"/>
    <w:rsid w:val="002802BC"/>
    <w:rsid w:val="002803B7"/>
    <w:rsid w:val="002803BC"/>
    <w:rsid w:val="00280618"/>
    <w:rsid w:val="00280678"/>
    <w:rsid w:val="00280AB5"/>
    <w:rsid w:val="00280BBB"/>
    <w:rsid w:val="00280CA8"/>
    <w:rsid w:val="00280F0A"/>
    <w:rsid w:val="00281035"/>
    <w:rsid w:val="002811D9"/>
    <w:rsid w:val="0028125B"/>
    <w:rsid w:val="002816BB"/>
    <w:rsid w:val="0028184F"/>
    <w:rsid w:val="00281B64"/>
    <w:rsid w:val="00281BBE"/>
    <w:rsid w:val="002820A9"/>
    <w:rsid w:val="0028284D"/>
    <w:rsid w:val="002828BA"/>
    <w:rsid w:val="00282D9A"/>
    <w:rsid w:val="00282FC1"/>
    <w:rsid w:val="0028300F"/>
    <w:rsid w:val="0028305A"/>
    <w:rsid w:val="0028315F"/>
    <w:rsid w:val="0028328A"/>
    <w:rsid w:val="002832B4"/>
    <w:rsid w:val="002833E4"/>
    <w:rsid w:val="0028349F"/>
    <w:rsid w:val="0028367B"/>
    <w:rsid w:val="00283B38"/>
    <w:rsid w:val="00283DDC"/>
    <w:rsid w:val="00283E02"/>
    <w:rsid w:val="00283E20"/>
    <w:rsid w:val="00283E85"/>
    <w:rsid w:val="00283F77"/>
    <w:rsid w:val="00284380"/>
    <w:rsid w:val="00284A5B"/>
    <w:rsid w:val="00284B21"/>
    <w:rsid w:val="0028580A"/>
    <w:rsid w:val="00285A17"/>
    <w:rsid w:val="002861E7"/>
    <w:rsid w:val="00286A5F"/>
    <w:rsid w:val="00286DC9"/>
    <w:rsid w:val="002871CE"/>
    <w:rsid w:val="00287505"/>
    <w:rsid w:val="002876DE"/>
    <w:rsid w:val="00287896"/>
    <w:rsid w:val="002879C6"/>
    <w:rsid w:val="00287B17"/>
    <w:rsid w:val="00287C9D"/>
    <w:rsid w:val="00287EAA"/>
    <w:rsid w:val="002900AB"/>
    <w:rsid w:val="002900AE"/>
    <w:rsid w:val="002900CF"/>
    <w:rsid w:val="0029042D"/>
    <w:rsid w:val="00290AFB"/>
    <w:rsid w:val="00290C1D"/>
    <w:rsid w:val="00290DD9"/>
    <w:rsid w:val="00290DEC"/>
    <w:rsid w:val="00290E76"/>
    <w:rsid w:val="002914AA"/>
    <w:rsid w:val="0029189B"/>
    <w:rsid w:val="00291B7F"/>
    <w:rsid w:val="00292039"/>
    <w:rsid w:val="00292891"/>
    <w:rsid w:val="00292A65"/>
    <w:rsid w:val="00292FAF"/>
    <w:rsid w:val="00292FB9"/>
    <w:rsid w:val="00293022"/>
    <w:rsid w:val="002930B7"/>
    <w:rsid w:val="0029382E"/>
    <w:rsid w:val="00293A44"/>
    <w:rsid w:val="00293CCD"/>
    <w:rsid w:val="00293D9F"/>
    <w:rsid w:val="00293E7B"/>
    <w:rsid w:val="00294177"/>
    <w:rsid w:val="00294AC3"/>
    <w:rsid w:val="00294B99"/>
    <w:rsid w:val="00294C2D"/>
    <w:rsid w:val="0029594E"/>
    <w:rsid w:val="002959D0"/>
    <w:rsid w:val="002959F0"/>
    <w:rsid w:val="00295D5A"/>
    <w:rsid w:val="00296052"/>
    <w:rsid w:val="00296334"/>
    <w:rsid w:val="00296386"/>
    <w:rsid w:val="002967B4"/>
    <w:rsid w:val="002968C0"/>
    <w:rsid w:val="00296BD4"/>
    <w:rsid w:val="00296C87"/>
    <w:rsid w:val="00296C9E"/>
    <w:rsid w:val="002971C4"/>
    <w:rsid w:val="0029727E"/>
    <w:rsid w:val="00297770"/>
    <w:rsid w:val="00297E1A"/>
    <w:rsid w:val="002A007D"/>
    <w:rsid w:val="002A02EE"/>
    <w:rsid w:val="002A040F"/>
    <w:rsid w:val="002A0A52"/>
    <w:rsid w:val="002A1043"/>
    <w:rsid w:val="002A14D5"/>
    <w:rsid w:val="002A17E4"/>
    <w:rsid w:val="002A1BF7"/>
    <w:rsid w:val="002A1ED9"/>
    <w:rsid w:val="002A21C8"/>
    <w:rsid w:val="002A233E"/>
    <w:rsid w:val="002A26A5"/>
    <w:rsid w:val="002A2833"/>
    <w:rsid w:val="002A2A47"/>
    <w:rsid w:val="002A2E99"/>
    <w:rsid w:val="002A3214"/>
    <w:rsid w:val="002A33B5"/>
    <w:rsid w:val="002A34B5"/>
    <w:rsid w:val="002A34CD"/>
    <w:rsid w:val="002A358A"/>
    <w:rsid w:val="002A3BFD"/>
    <w:rsid w:val="002A3FC6"/>
    <w:rsid w:val="002A40A2"/>
    <w:rsid w:val="002A4382"/>
    <w:rsid w:val="002A45A2"/>
    <w:rsid w:val="002A49BC"/>
    <w:rsid w:val="002A4A13"/>
    <w:rsid w:val="002A4A25"/>
    <w:rsid w:val="002A4AFD"/>
    <w:rsid w:val="002A4CBC"/>
    <w:rsid w:val="002A4D7A"/>
    <w:rsid w:val="002A4E45"/>
    <w:rsid w:val="002A508D"/>
    <w:rsid w:val="002A5872"/>
    <w:rsid w:val="002A5BB2"/>
    <w:rsid w:val="002A5D98"/>
    <w:rsid w:val="002A6078"/>
    <w:rsid w:val="002A64E3"/>
    <w:rsid w:val="002A6733"/>
    <w:rsid w:val="002A6845"/>
    <w:rsid w:val="002A69DD"/>
    <w:rsid w:val="002A6A97"/>
    <w:rsid w:val="002A6C6D"/>
    <w:rsid w:val="002A6FDD"/>
    <w:rsid w:val="002A7141"/>
    <w:rsid w:val="002A71DF"/>
    <w:rsid w:val="002A72AF"/>
    <w:rsid w:val="002A7436"/>
    <w:rsid w:val="002A7888"/>
    <w:rsid w:val="002A7BEE"/>
    <w:rsid w:val="002A7CF8"/>
    <w:rsid w:val="002B02AD"/>
    <w:rsid w:val="002B06B8"/>
    <w:rsid w:val="002B0AC2"/>
    <w:rsid w:val="002B0B47"/>
    <w:rsid w:val="002B0EBD"/>
    <w:rsid w:val="002B14EF"/>
    <w:rsid w:val="002B1555"/>
    <w:rsid w:val="002B1966"/>
    <w:rsid w:val="002B1E3B"/>
    <w:rsid w:val="002B2854"/>
    <w:rsid w:val="002B2A26"/>
    <w:rsid w:val="002B2DBA"/>
    <w:rsid w:val="002B30E4"/>
    <w:rsid w:val="002B35D4"/>
    <w:rsid w:val="002B3746"/>
    <w:rsid w:val="002B3AA8"/>
    <w:rsid w:val="002B3B49"/>
    <w:rsid w:val="002B3D3D"/>
    <w:rsid w:val="002B401D"/>
    <w:rsid w:val="002B44CF"/>
    <w:rsid w:val="002B4C17"/>
    <w:rsid w:val="002B4D45"/>
    <w:rsid w:val="002B5081"/>
    <w:rsid w:val="002B5221"/>
    <w:rsid w:val="002B5602"/>
    <w:rsid w:val="002B561C"/>
    <w:rsid w:val="002B59D1"/>
    <w:rsid w:val="002B59D4"/>
    <w:rsid w:val="002B5D17"/>
    <w:rsid w:val="002B618D"/>
    <w:rsid w:val="002B635A"/>
    <w:rsid w:val="002B63AD"/>
    <w:rsid w:val="002B6430"/>
    <w:rsid w:val="002B66F5"/>
    <w:rsid w:val="002B68D8"/>
    <w:rsid w:val="002B6913"/>
    <w:rsid w:val="002B6ABD"/>
    <w:rsid w:val="002B6C31"/>
    <w:rsid w:val="002B6D80"/>
    <w:rsid w:val="002B7024"/>
    <w:rsid w:val="002B73E1"/>
    <w:rsid w:val="002B74B2"/>
    <w:rsid w:val="002B779C"/>
    <w:rsid w:val="002B7877"/>
    <w:rsid w:val="002B78E8"/>
    <w:rsid w:val="002B7BC2"/>
    <w:rsid w:val="002B7BEF"/>
    <w:rsid w:val="002B7EC4"/>
    <w:rsid w:val="002C044A"/>
    <w:rsid w:val="002C0523"/>
    <w:rsid w:val="002C0597"/>
    <w:rsid w:val="002C0767"/>
    <w:rsid w:val="002C07A4"/>
    <w:rsid w:val="002C088F"/>
    <w:rsid w:val="002C0D29"/>
    <w:rsid w:val="002C0D44"/>
    <w:rsid w:val="002C0E75"/>
    <w:rsid w:val="002C1128"/>
    <w:rsid w:val="002C146F"/>
    <w:rsid w:val="002C1695"/>
    <w:rsid w:val="002C1877"/>
    <w:rsid w:val="002C1A23"/>
    <w:rsid w:val="002C1C86"/>
    <w:rsid w:val="002C1ECA"/>
    <w:rsid w:val="002C219C"/>
    <w:rsid w:val="002C285B"/>
    <w:rsid w:val="002C2A30"/>
    <w:rsid w:val="002C2A83"/>
    <w:rsid w:val="002C2B8C"/>
    <w:rsid w:val="002C2BB9"/>
    <w:rsid w:val="002C2EC9"/>
    <w:rsid w:val="002C32E0"/>
    <w:rsid w:val="002C3329"/>
    <w:rsid w:val="002C3890"/>
    <w:rsid w:val="002C3935"/>
    <w:rsid w:val="002C3E49"/>
    <w:rsid w:val="002C4443"/>
    <w:rsid w:val="002C4C35"/>
    <w:rsid w:val="002C54B4"/>
    <w:rsid w:val="002C56DF"/>
    <w:rsid w:val="002C5C97"/>
    <w:rsid w:val="002C5D92"/>
    <w:rsid w:val="002C5F55"/>
    <w:rsid w:val="002C60D0"/>
    <w:rsid w:val="002C6CAC"/>
    <w:rsid w:val="002C6E01"/>
    <w:rsid w:val="002C6F19"/>
    <w:rsid w:val="002C72D7"/>
    <w:rsid w:val="002C74BB"/>
    <w:rsid w:val="002C7614"/>
    <w:rsid w:val="002C77EC"/>
    <w:rsid w:val="002C79EF"/>
    <w:rsid w:val="002C7FB6"/>
    <w:rsid w:val="002D0081"/>
    <w:rsid w:val="002D0467"/>
    <w:rsid w:val="002D04E7"/>
    <w:rsid w:val="002D0ACB"/>
    <w:rsid w:val="002D1583"/>
    <w:rsid w:val="002D1FBD"/>
    <w:rsid w:val="002D2276"/>
    <w:rsid w:val="002D26F3"/>
    <w:rsid w:val="002D2B01"/>
    <w:rsid w:val="002D2E6A"/>
    <w:rsid w:val="002D3AFF"/>
    <w:rsid w:val="002D4348"/>
    <w:rsid w:val="002D4455"/>
    <w:rsid w:val="002D450F"/>
    <w:rsid w:val="002D4521"/>
    <w:rsid w:val="002D459A"/>
    <w:rsid w:val="002D45D4"/>
    <w:rsid w:val="002D5135"/>
    <w:rsid w:val="002D525D"/>
    <w:rsid w:val="002D54D9"/>
    <w:rsid w:val="002D57A7"/>
    <w:rsid w:val="002D5CE5"/>
    <w:rsid w:val="002D5CFD"/>
    <w:rsid w:val="002D5EA5"/>
    <w:rsid w:val="002D61A7"/>
    <w:rsid w:val="002D66D9"/>
    <w:rsid w:val="002D68B9"/>
    <w:rsid w:val="002D696C"/>
    <w:rsid w:val="002D764A"/>
    <w:rsid w:val="002D7752"/>
    <w:rsid w:val="002D7835"/>
    <w:rsid w:val="002D798C"/>
    <w:rsid w:val="002D7FEE"/>
    <w:rsid w:val="002E0225"/>
    <w:rsid w:val="002E05B4"/>
    <w:rsid w:val="002E0FB3"/>
    <w:rsid w:val="002E1155"/>
    <w:rsid w:val="002E1241"/>
    <w:rsid w:val="002E20AA"/>
    <w:rsid w:val="002E28B3"/>
    <w:rsid w:val="002E2C5A"/>
    <w:rsid w:val="002E2CCE"/>
    <w:rsid w:val="002E2CD0"/>
    <w:rsid w:val="002E2DF3"/>
    <w:rsid w:val="002E2EBB"/>
    <w:rsid w:val="002E314A"/>
    <w:rsid w:val="002E31CB"/>
    <w:rsid w:val="002E3734"/>
    <w:rsid w:val="002E37D2"/>
    <w:rsid w:val="002E389F"/>
    <w:rsid w:val="002E3D5C"/>
    <w:rsid w:val="002E4221"/>
    <w:rsid w:val="002E4357"/>
    <w:rsid w:val="002E45A1"/>
    <w:rsid w:val="002E4688"/>
    <w:rsid w:val="002E46D3"/>
    <w:rsid w:val="002E481C"/>
    <w:rsid w:val="002E4A27"/>
    <w:rsid w:val="002E4A2E"/>
    <w:rsid w:val="002E4D31"/>
    <w:rsid w:val="002E5140"/>
    <w:rsid w:val="002E54A3"/>
    <w:rsid w:val="002E5629"/>
    <w:rsid w:val="002E56F1"/>
    <w:rsid w:val="002E5D84"/>
    <w:rsid w:val="002E6138"/>
    <w:rsid w:val="002E624B"/>
    <w:rsid w:val="002E6367"/>
    <w:rsid w:val="002E6B3A"/>
    <w:rsid w:val="002E6CE5"/>
    <w:rsid w:val="002E6E17"/>
    <w:rsid w:val="002E7159"/>
    <w:rsid w:val="002E736B"/>
    <w:rsid w:val="002E7382"/>
    <w:rsid w:val="002E7422"/>
    <w:rsid w:val="002E7848"/>
    <w:rsid w:val="002E7A0F"/>
    <w:rsid w:val="002E7A28"/>
    <w:rsid w:val="002E7A36"/>
    <w:rsid w:val="002E7C48"/>
    <w:rsid w:val="002E7E14"/>
    <w:rsid w:val="002F0096"/>
    <w:rsid w:val="002F0488"/>
    <w:rsid w:val="002F0866"/>
    <w:rsid w:val="002F0D11"/>
    <w:rsid w:val="002F0EA5"/>
    <w:rsid w:val="002F0FB1"/>
    <w:rsid w:val="002F1154"/>
    <w:rsid w:val="002F14FD"/>
    <w:rsid w:val="002F1C1B"/>
    <w:rsid w:val="002F1D10"/>
    <w:rsid w:val="002F2D37"/>
    <w:rsid w:val="002F2E9C"/>
    <w:rsid w:val="002F2EB2"/>
    <w:rsid w:val="002F3072"/>
    <w:rsid w:val="002F3164"/>
    <w:rsid w:val="002F356D"/>
    <w:rsid w:val="002F36B2"/>
    <w:rsid w:val="002F37BB"/>
    <w:rsid w:val="002F37D6"/>
    <w:rsid w:val="002F397F"/>
    <w:rsid w:val="002F3F43"/>
    <w:rsid w:val="002F3F65"/>
    <w:rsid w:val="002F3FA9"/>
    <w:rsid w:val="002F42F5"/>
    <w:rsid w:val="002F4310"/>
    <w:rsid w:val="002F43CB"/>
    <w:rsid w:val="002F452A"/>
    <w:rsid w:val="002F4722"/>
    <w:rsid w:val="002F4AC0"/>
    <w:rsid w:val="002F4AFD"/>
    <w:rsid w:val="002F4D8E"/>
    <w:rsid w:val="002F4DCD"/>
    <w:rsid w:val="002F500D"/>
    <w:rsid w:val="002F5180"/>
    <w:rsid w:val="002F548D"/>
    <w:rsid w:val="002F5949"/>
    <w:rsid w:val="002F5EDC"/>
    <w:rsid w:val="002F6326"/>
    <w:rsid w:val="002F66AB"/>
    <w:rsid w:val="002F67B9"/>
    <w:rsid w:val="002F690B"/>
    <w:rsid w:val="002F6964"/>
    <w:rsid w:val="002F6B4F"/>
    <w:rsid w:val="002F6D1A"/>
    <w:rsid w:val="002F6E59"/>
    <w:rsid w:val="002F7091"/>
    <w:rsid w:val="002F70EA"/>
    <w:rsid w:val="002F7165"/>
    <w:rsid w:val="002F74C2"/>
    <w:rsid w:val="002F756C"/>
    <w:rsid w:val="002F7B4E"/>
    <w:rsid w:val="002F7C21"/>
    <w:rsid w:val="002F7CC2"/>
    <w:rsid w:val="0030009A"/>
    <w:rsid w:val="0030032C"/>
    <w:rsid w:val="0030093A"/>
    <w:rsid w:val="00300BDD"/>
    <w:rsid w:val="00300DBA"/>
    <w:rsid w:val="003010F1"/>
    <w:rsid w:val="00301738"/>
    <w:rsid w:val="003019F6"/>
    <w:rsid w:val="00301B16"/>
    <w:rsid w:val="00301C8F"/>
    <w:rsid w:val="00301FDD"/>
    <w:rsid w:val="0030205F"/>
    <w:rsid w:val="0030212B"/>
    <w:rsid w:val="003021D7"/>
    <w:rsid w:val="003022CC"/>
    <w:rsid w:val="00302568"/>
    <w:rsid w:val="0030298C"/>
    <w:rsid w:val="00302A6C"/>
    <w:rsid w:val="00302C1A"/>
    <w:rsid w:val="00302FD1"/>
    <w:rsid w:val="00302FF7"/>
    <w:rsid w:val="00303310"/>
    <w:rsid w:val="003035F2"/>
    <w:rsid w:val="00303646"/>
    <w:rsid w:val="00303852"/>
    <w:rsid w:val="00303E2D"/>
    <w:rsid w:val="0030409E"/>
    <w:rsid w:val="0030439B"/>
    <w:rsid w:val="00304406"/>
    <w:rsid w:val="00304834"/>
    <w:rsid w:val="00305205"/>
    <w:rsid w:val="00305496"/>
    <w:rsid w:val="00305541"/>
    <w:rsid w:val="0030593F"/>
    <w:rsid w:val="003059D9"/>
    <w:rsid w:val="003063F5"/>
    <w:rsid w:val="003064BA"/>
    <w:rsid w:val="00306828"/>
    <w:rsid w:val="003068ED"/>
    <w:rsid w:val="00306B52"/>
    <w:rsid w:val="00306D0F"/>
    <w:rsid w:val="00306F1C"/>
    <w:rsid w:val="00307369"/>
    <w:rsid w:val="0030736F"/>
    <w:rsid w:val="00307457"/>
    <w:rsid w:val="0030799D"/>
    <w:rsid w:val="00307AF0"/>
    <w:rsid w:val="00307E53"/>
    <w:rsid w:val="00307FA1"/>
    <w:rsid w:val="00310A25"/>
    <w:rsid w:val="00310D04"/>
    <w:rsid w:val="00310DAB"/>
    <w:rsid w:val="00310DE1"/>
    <w:rsid w:val="00310EFD"/>
    <w:rsid w:val="003117F5"/>
    <w:rsid w:val="00311A95"/>
    <w:rsid w:val="00311B38"/>
    <w:rsid w:val="003120B0"/>
    <w:rsid w:val="003121BD"/>
    <w:rsid w:val="003122A7"/>
    <w:rsid w:val="003125DA"/>
    <w:rsid w:val="00312F97"/>
    <w:rsid w:val="003130D5"/>
    <w:rsid w:val="003135A1"/>
    <w:rsid w:val="003137AE"/>
    <w:rsid w:val="003142A6"/>
    <w:rsid w:val="00314310"/>
    <w:rsid w:val="003147EA"/>
    <w:rsid w:val="00314870"/>
    <w:rsid w:val="00314D3B"/>
    <w:rsid w:val="00315090"/>
    <w:rsid w:val="003151E5"/>
    <w:rsid w:val="00315701"/>
    <w:rsid w:val="00315BDC"/>
    <w:rsid w:val="00315E29"/>
    <w:rsid w:val="00316021"/>
    <w:rsid w:val="003161AC"/>
    <w:rsid w:val="003161FB"/>
    <w:rsid w:val="00316764"/>
    <w:rsid w:val="00316803"/>
    <w:rsid w:val="0031686B"/>
    <w:rsid w:val="00316EE5"/>
    <w:rsid w:val="0031726D"/>
    <w:rsid w:val="00317A69"/>
    <w:rsid w:val="00317BD5"/>
    <w:rsid w:val="00317F3A"/>
    <w:rsid w:val="00320019"/>
    <w:rsid w:val="0032049C"/>
    <w:rsid w:val="00320AF1"/>
    <w:rsid w:val="00320C89"/>
    <w:rsid w:val="00320FEB"/>
    <w:rsid w:val="003211BC"/>
    <w:rsid w:val="003213AA"/>
    <w:rsid w:val="00321444"/>
    <w:rsid w:val="0032147A"/>
    <w:rsid w:val="0032150A"/>
    <w:rsid w:val="0032164A"/>
    <w:rsid w:val="003217A9"/>
    <w:rsid w:val="00321AB0"/>
    <w:rsid w:val="00321C31"/>
    <w:rsid w:val="003229CC"/>
    <w:rsid w:val="0032308C"/>
    <w:rsid w:val="003235A5"/>
    <w:rsid w:val="003236FD"/>
    <w:rsid w:val="00323A23"/>
    <w:rsid w:val="00323CB0"/>
    <w:rsid w:val="00324050"/>
    <w:rsid w:val="0032411B"/>
    <w:rsid w:val="0032426A"/>
    <w:rsid w:val="003245CB"/>
    <w:rsid w:val="00324830"/>
    <w:rsid w:val="003251B3"/>
    <w:rsid w:val="0032523F"/>
    <w:rsid w:val="00325809"/>
    <w:rsid w:val="00325DDD"/>
    <w:rsid w:val="00325F5F"/>
    <w:rsid w:val="00325FC5"/>
    <w:rsid w:val="003260A1"/>
    <w:rsid w:val="00326429"/>
    <w:rsid w:val="00326479"/>
    <w:rsid w:val="0032679D"/>
    <w:rsid w:val="003267E3"/>
    <w:rsid w:val="00326B46"/>
    <w:rsid w:val="003275D7"/>
    <w:rsid w:val="00327722"/>
    <w:rsid w:val="003278A5"/>
    <w:rsid w:val="003278C9"/>
    <w:rsid w:val="00327C36"/>
    <w:rsid w:val="003301A6"/>
    <w:rsid w:val="00330473"/>
    <w:rsid w:val="003306A6"/>
    <w:rsid w:val="00330A93"/>
    <w:rsid w:val="00331654"/>
    <w:rsid w:val="003318D5"/>
    <w:rsid w:val="00331AD9"/>
    <w:rsid w:val="00331BD0"/>
    <w:rsid w:val="00331DE2"/>
    <w:rsid w:val="00331E32"/>
    <w:rsid w:val="00331E9C"/>
    <w:rsid w:val="00331F8A"/>
    <w:rsid w:val="003320FF"/>
    <w:rsid w:val="00332AC5"/>
    <w:rsid w:val="00332ED1"/>
    <w:rsid w:val="00332F17"/>
    <w:rsid w:val="00333124"/>
    <w:rsid w:val="00333381"/>
    <w:rsid w:val="0033355C"/>
    <w:rsid w:val="00333650"/>
    <w:rsid w:val="003336A5"/>
    <w:rsid w:val="00333747"/>
    <w:rsid w:val="00333D2D"/>
    <w:rsid w:val="00333E65"/>
    <w:rsid w:val="003341EE"/>
    <w:rsid w:val="003346FA"/>
    <w:rsid w:val="00334B51"/>
    <w:rsid w:val="003351EB"/>
    <w:rsid w:val="003352CB"/>
    <w:rsid w:val="00335A4A"/>
    <w:rsid w:val="00335AF8"/>
    <w:rsid w:val="0033641E"/>
    <w:rsid w:val="00336DBF"/>
    <w:rsid w:val="00336DCE"/>
    <w:rsid w:val="00336EAC"/>
    <w:rsid w:val="00337243"/>
    <w:rsid w:val="0033743F"/>
    <w:rsid w:val="0033752F"/>
    <w:rsid w:val="0033777E"/>
    <w:rsid w:val="003378CD"/>
    <w:rsid w:val="00337A6A"/>
    <w:rsid w:val="00337AD4"/>
    <w:rsid w:val="00337B40"/>
    <w:rsid w:val="00337B55"/>
    <w:rsid w:val="00337EC1"/>
    <w:rsid w:val="0034013E"/>
    <w:rsid w:val="00340203"/>
    <w:rsid w:val="003403DE"/>
    <w:rsid w:val="00340D63"/>
    <w:rsid w:val="00340F02"/>
    <w:rsid w:val="003410B6"/>
    <w:rsid w:val="00341C56"/>
    <w:rsid w:val="00342995"/>
    <w:rsid w:val="00342B46"/>
    <w:rsid w:val="003431C9"/>
    <w:rsid w:val="0034336D"/>
    <w:rsid w:val="0034346E"/>
    <w:rsid w:val="0034396C"/>
    <w:rsid w:val="00343A43"/>
    <w:rsid w:val="00343BD4"/>
    <w:rsid w:val="0034401E"/>
    <w:rsid w:val="003440F7"/>
    <w:rsid w:val="003444E0"/>
    <w:rsid w:val="00344E99"/>
    <w:rsid w:val="0034532A"/>
    <w:rsid w:val="003457B7"/>
    <w:rsid w:val="00346515"/>
    <w:rsid w:val="00346529"/>
    <w:rsid w:val="00346DD1"/>
    <w:rsid w:val="00346E93"/>
    <w:rsid w:val="00346EAD"/>
    <w:rsid w:val="00347001"/>
    <w:rsid w:val="00347B42"/>
    <w:rsid w:val="003500A7"/>
    <w:rsid w:val="003502E1"/>
    <w:rsid w:val="003507EC"/>
    <w:rsid w:val="00350983"/>
    <w:rsid w:val="00350BFF"/>
    <w:rsid w:val="00350D11"/>
    <w:rsid w:val="00350E70"/>
    <w:rsid w:val="00351108"/>
    <w:rsid w:val="003511EC"/>
    <w:rsid w:val="00351380"/>
    <w:rsid w:val="0035215F"/>
    <w:rsid w:val="0035225B"/>
    <w:rsid w:val="0035250E"/>
    <w:rsid w:val="00352560"/>
    <w:rsid w:val="0035286B"/>
    <w:rsid w:val="00352B34"/>
    <w:rsid w:val="00352F53"/>
    <w:rsid w:val="00352F6A"/>
    <w:rsid w:val="00353336"/>
    <w:rsid w:val="00353AE5"/>
    <w:rsid w:val="00353AEC"/>
    <w:rsid w:val="00353EBC"/>
    <w:rsid w:val="00354300"/>
    <w:rsid w:val="00354532"/>
    <w:rsid w:val="00354859"/>
    <w:rsid w:val="00354A76"/>
    <w:rsid w:val="003551F0"/>
    <w:rsid w:val="00355C73"/>
    <w:rsid w:val="00355F30"/>
    <w:rsid w:val="0035626A"/>
    <w:rsid w:val="003566B2"/>
    <w:rsid w:val="00356790"/>
    <w:rsid w:val="00356967"/>
    <w:rsid w:val="00356981"/>
    <w:rsid w:val="00356EF6"/>
    <w:rsid w:val="00356FAC"/>
    <w:rsid w:val="00357126"/>
    <w:rsid w:val="003572F4"/>
    <w:rsid w:val="00357301"/>
    <w:rsid w:val="00357387"/>
    <w:rsid w:val="003573B7"/>
    <w:rsid w:val="003574D8"/>
    <w:rsid w:val="00357768"/>
    <w:rsid w:val="003579B9"/>
    <w:rsid w:val="00357BB0"/>
    <w:rsid w:val="003600F9"/>
    <w:rsid w:val="0036017B"/>
    <w:rsid w:val="0036053B"/>
    <w:rsid w:val="003605E8"/>
    <w:rsid w:val="00360B5E"/>
    <w:rsid w:val="0036129F"/>
    <w:rsid w:val="0036148A"/>
    <w:rsid w:val="00361565"/>
    <w:rsid w:val="003617F3"/>
    <w:rsid w:val="00361B4C"/>
    <w:rsid w:val="00361FA0"/>
    <w:rsid w:val="003622AD"/>
    <w:rsid w:val="00362A4F"/>
    <w:rsid w:val="003631B2"/>
    <w:rsid w:val="003634DF"/>
    <w:rsid w:val="003635C3"/>
    <w:rsid w:val="0036384D"/>
    <w:rsid w:val="00364473"/>
    <w:rsid w:val="00364890"/>
    <w:rsid w:val="00364C09"/>
    <w:rsid w:val="003651FC"/>
    <w:rsid w:val="00365BB6"/>
    <w:rsid w:val="0036626E"/>
    <w:rsid w:val="003667FE"/>
    <w:rsid w:val="00366C93"/>
    <w:rsid w:val="00366D1F"/>
    <w:rsid w:val="00366D30"/>
    <w:rsid w:val="00367158"/>
    <w:rsid w:val="00367311"/>
    <w:rsid w:val="003676DF"/>
    <w:rsid w:val="00367AEA"/>
    <w:rsid w:val="003702CB"/>
    <w:rsid w:val="00370456"/>
    <w:rsid w:val="003705BE"/>
    <w:rsid w:val="00370779"/>
    <w:rsid w:val="00370946"/>
    <w:rsid w:val="00370B22"/>
    <w:rsid w:val="00370B9F"/>
    <w:rsid w:val="00370BCA"/>
    <w:rsid w:val="00370DBC"/>
    <w:rsid w:val="00370E72"/>
    <w:rsid w:val="00370FD0"/>
    <w:rsid w:val="00371264"/>
    <w:rsid w:val="0037156B"/>
    <w:rsid w:val="003716CC"/>
    <w:rsid w:val="003719BF"/>
    <w:rsid w:val="00371B81"/>
    <w:rsid w:val="00371F02"/>
    <w:rsid w:val="00371F9F"/>
    <w:rsid w:val="0037207E"/>
    <w:rsid w:val="003722D6"/>
    <w:rsid w:val="0037244F"/>
    <w:rsid w:val="003724EB"/>
    <w:rsid w:val="0037267B"/>
    <w:rsid w:val="00372AEC"/>
    <w:rsid w:val="00372F19"/>
    <w:rsid w:val="00372F96"/>
    <w:rsid w:val="00373100"/>
    <w:rsid w:val="003735FC"/>
    <w:rsid w:val="00373639"/>
    <w:rsid w:val="00373781"/>
    <w:rsid w:val="00373A99"/>
    <w:rsid w:val="00373BA1"/>
    <w:rsid w:val="00373BFE"/>
    <w:rsid w:val="003741F8"/>
    <w:rsid w:val="003746B8"/>
    <w:rsid w:val="0037473D"/>
    <w:rsid w:val="00374823"/>
    <w:rsid w:val="0037486B"/>
    <w:rsid w:val="003749CB"/>
    <w:rsid w:val="00374A28"/>
    <w:rsid w:val="00374CE4"/>
    <w:rsid w:val="0037506D"/>
    <w:rsid w:val="00375166"/>
    <w:rsid w:val="003752F2"/>
    <w:rsid w:val="003755BA"/>
    <w:rsid w:val="00375864"/>
    <w:rsid w:val="00375BCB"/>
    <w:rsid w:val="00375C69"/>
    <w:rsid w:val="00375E6F"/>
    <w:rsid w:val="00375EF9"/>
    <w:rsid w:val="003762E9"/>
    <w:rsid w:val="00376318"/>
    <w:rsid w:val="00376353"/>
    <w:rsid w:val="0037646E"/>
    <w:rsid w:val="0037659A"/>
    <w:rsid w:val="00376AC9"/>
    <w:rsid w:val="00377075"/>
    <w:rsid w:val="003770B0"/>
    <w:rsid w:val="003771B7"/>
    <w:rsid w:val="00377256"/>
    <w:rsid w:val="003772DD"/>
    <w:rsid w:val="00377372"/>
    <w:rsid w:val="0037742C"/>
    <w:rsid w:val="003776B4"/>
    <w:rsid w:val="00377782"/>
    <w:rsid w:val="003779B2"/>
    <w:rsid w:val="00377DCB"/>
    <w:rsid w:val="00380471"/>
    <w:rsid w:val="00380554"/>
    <w:rsid w:val="00380600"/>
    <w:rsid w:val="00380AC7"/>
    <w:rsid w:val="00380B92"/>
    <w:rsid w:val="00380C1C"/>
    <w:rsid w:val="00380F0C"/>
    <w:rsid w:val="00381587"/>
    <w:rsid w:val="00381E94"/>
    <w:rsid w:val="00381EA8"/>
    <w:rsid w:val="00382162"/>
    <w:rsid w:val="0038264A"/>
    <w:rsid w:val="003826DC"/>
    <w:rsid w:val="00382A1C"/>
    <w:rsid w:val="00382B99"/>
    <w:rsid w:val="00382DB5"/>
    <w:rsid w:val="00382EF5"/>
    <w:rsid w:val="003837AD"/>
    <w:rsid w:val="00383862"/>
    <w:rsid w:val="00384021"/>
    <w:rsid w:val="0038402D"/>
    <w:rsid w:val="00384201"/>
    <w:rsid w:val="00384302"/>
    <w:rsid w:val="00384822"/>
    <w:rsid w:val="003848D7"/>
    <w:rsid w:val="00384998"/>
    <w:rsid w:val="00384F46"/>
    <w:rsid w:val="0038514E"/>
    <w:rsid w:val="0038534A"/>
    <w:rsid w:val="0038541B"/>
    <w:rsid w:val="003854EA"/>
    <w:rsid w:val="00385B1A"/>
    <w:rsid w:val="003860B2"/>
    <w:rsid w:val="003864EF"/>
    <w:rsid w:val="0038681B"/>
    <w:rsid w:val="00387074"/>
    <w:rsid w:val="0038718F"/>
    <w:rsid w:val="003871F8"/>
    <w:rsid w:val="0038737F"/>
    <w:rsid w:val="003879A8"/>
    <w:rsid w:val="003879C2"/>
    <w:rsid w:val="00387A09"/>
    <w:rsid w:val="00387F6F"/>
    <w:rsid w:val="00390028"/>
    <w:rsid w:val="003900E4"/>
    <w:rsid w:val="00390717"/>
    <w:rsid w:val="0039075D"/>
    <w:rsid w:val="0039089B"/>
    <w:rsid w:val="00390947"/>
    <w:rsid w:val="0039098A"/>
    <w:rsid w:val="00390A24"/>
    <w:rsid w:val="00390AF2"/>
    <w:rsid w:val="00391683"/>
    <w:rsid w:val="00391692"/>
    <w:rsid w:val="003916D3"/>
    <w:rsid w:val="00391B1A"/>
    <w:rsid w:val="00391CEB"/>
    <w:rsid w:val="003922E8"/>
    <w:rsid w:val="00392367"/>
    <w:rsid w:val="00392A17"/>
    <w:rsid w:val="00392B55"/>
    <w:rsid w:val="00392C39"/>
    <w:rsid w:val="00392D93"/>
    <w:rsid w:val="003932DB"/>
    <w:rsid w:val="0039362B"/>
    <w:rsid w:val="0039377D"/>
    <w:rsid w:val="0039378B"/>
    <w:rsid w:val="003938DC"/>
    <w:rsid w:val="0039395B"/>
    <w:rsid w:val="00393A29"/>
    <w:rsid w:val="00393A9E"/>
    <w:rsid w:val="00393C15"/>
    <w:rsid w:val="00393FEB"/>
    <w:rsid w:val="0039409B"/>
    <w:rsid w:val="00394293"/>
    <w:rsid w:val="003942E0"/>
    <w:rsid w:val="00394354"/>
    <w:rsid w:val="00394465"/>
    <w:rsid w:val="003944A0"/>
    <w:rsid w:val="003944CD"/>
    <w:rsid w:val="00394548"/>
    <w:rsid w:val="0039471B"/>
    <w:rsid w:val="00394CF8"/>
    <w:rsid w:val="0039526D"/>
    <w:rsid w:val="00395615"/>
    <w:rsid w:val="00395693"/>
    <w:rsid w:val="0039569B"/>
    <w:rsid w:val="003956BB"/>
    <w:rsid w:val="0039572F"/>
    <w:rsid w:val="00395BF2"/>
    <w:rsid w:val="00395E1D"/>
    <w:rsid w:val="00396367"/>
    <w:rsid w:val="00396921"/>
    <w:rsid w:val="00396A5B"/>
    <w:rsid w:val="00396E7E"/>
    <w:rsid w:val="003972F3"/>
    <w:rsid w:val="003973FD"/>
    <w:rsid w:val="003977F0"/>
    <w:rsid w:val="00397D2F"/>
    <w:rsid w:val="00397E2B"/>
    <w:rsid w:val="003A0079"/>
    <w:rsid w:val="003A0105"/>
    <w:rsid w:val="003A0493"/>
    <w:rsid w:val="003A0948"/>
    <w:rsid w:val="003A0C73"/>
    <w:rsid w:val="003A0C7D"/>
    <w:rsid w:val="003A15F9"/>
    <w:rsid w:val="003A1901"/>
    <w:rsid w:val="003A19F1"/>
    <w:rsid w:val="003A1B66"/>
    <w:rsid w:val="003A1BDF"/>
    <w:rsid w:val="003A1C08"/>
    <w:rsid w:val="003A1F0A"/>
    <w:rsid w:val="003A22F9"/>
    <w:rsid w:val="003A2323"/>
    <w:rsid w:val="003A23BB"/>
    <w:rsid w:val="003A274D"/>
    <w:rsid w:val="003A278D"/>
    <w:rsid w:val="003A28C7"/>
    <w:rsid w:val="003A2BB6"/>
    <w:rsid w:val="003A2CAF"/>
    <w:rsid w:val="003A356B"/>
    <w:rsid w:val="003A357C"/>
    <w:rsid w:val="003A386D"/>
    <w:rsid w:val="003A3F7A"/>
    <w:rsid w:val="003A4175"/>
    <w:rsid w:val="003A41C4"/>
    <w:rsid w:val="003A481A"/>
    <w:rsid w:val="003A4E34"/>
    <w:rsid w:val="003A5052"/>
    <w:rsid w:val="003A515E"/>
    <w:rsid w:val="003A5277"/>
    <w:rsid w:val="003A528D"/>
    <w:rsid w:val="003A5346"/>
    <w:rsid w:val="003A552E"/>
    <w:rsid w:val="003A5BB3"/>
    <w:rsid w:val="003A62A8"/>
    <w:rsid w:val="003A65EA"/>
    <w:rsid w:val="003A67D2"/>
    <w:rsid w:val="003A702E"/>
    <w:rsid w:val="003A70F0"/>
    <w:rsid w:val="003A7201"/>
    <w:rsid w:val="003A723C"/>
    <w:rsid w:val="003A7251"/>
    <w:rsid w:val="003A7269"/>
    <w:rsid w:val="003A7426"/>
    <w:rsid w:val="003A75A0"/>
    <w:rsid w:val="003A75C3"/>
    <w:rsid w:val="003A7CE7"/>
    <w:rsid w:val="003A7D8A"/>
    <w:rsid w:val="003A7F9E"/>
    <w:rsid w:val="003B0073"/>
    <w:rsid w:val="003B02BD"/>
    <w:rsid w:val="003B036F"/>
    <w:rsid w:val="003B0ACB"/>
    <w:rsid w:val="003B10BA"/>
    <w:rsid w:val="003B10D3"/>
    <w:rsid w:val="003B1B27"/>
    <w:rsid w:val="003B1E25"/>
    <w:rsid w:val="003B1ED3"/>
    <w:rsid w:val="003B1F41"/>
    <w:rsid w:val="003B2143"/>
    <w:rsid w:val="003B21F2"/>
    <w:rsid w:val="003B2347"/>
    <w:rsid w:val="003B269D"/>
    <w:rsid w:val="003B291D"/>
    <w:rsid w:val="003B2B60"/>
    <w:rsid w:val="003B2F75"/>
    <w:rsid w:val="003B2FE2"/>
    <w:rsid w:val="003B34A3"/>
    <w:rsid w:val="003B35D1"/>
    <w:rsid w:val="003B36A2"/>
    <w:rsid w:val="003B36C5"/>
    <w:rsid w:val="003B3A38"/>
    <w:rsid w:val="003B3A87"/>
    <w:rsid w:val="003B3DF8"/>
    <w:rsid w:val="003B3F3F"/>
    <w:rsid w:val="003B429C"/>
    <w:rsid w:val="003B4353"/>
    <w:rsid w:val="003B45B7"/>
    <w:rsid w:val="003B47CF"/>
    <w:rsid w:val="003B4ABF"/>
    <w:rsid w:val="003B5105"/>
    <w:rsid w:val="003B511B"/>
    <w:rsid w:val="003B5171"/>
    <w:rsid w:val="003B5747"/>
    <w:rsid w:val="003B578C"/>
    <w:rsid w:val="003B5C0B"/>
    <w:rsid w:val="003B5DAB"/>
    <w:rsid w:val="003B6584"/>
    <w:rsid w:val="003B6622"/>
    <w:rsid w:val="003B6A05"/>
    <w:rsid w:val="003B6B4E"/>
    <w:rsid w:val="003B74DA"/>
    <w:rsid w:val="003B7519"/>
    <w:rsid w:val="003B7669"/>
    <w:rsid w:val="003B7848"/>
    <w:rsid w:val="003C021E"/>
    <w:rsid w:val="003C048C"/>
    <w:rsid w:val="003C072D"/>
    <w:rsid w:val="003C093A"/>
    <w:rsid w:val="003C0A63"/>
    <w:rsid w:val="003C0B78"/>
    <w:rsid w:val="003C0C58"/>
    <w:rsid w:val="003C0E9A"/>
    <w:rsid w:val="003C123E"/>
    <w:rsid w:val="003C1588"/>
    <w:rsid w:val="003C18BE"/>
    <w:rsid w:val="003C18D3"/>
    <w:rsid w:val="003C1FA0"/>
    <w:rsid w:val="003C1FE8"/>
    <w:rsid w:val="003C1FEA"/>
    <w:rsid w:val="003C2122"/>
    <w:rsid w:val="003C2132"/>
    <w:rsid w:val="003C2377"/>
    <w:rsid w:val="003C2872"/>
    <w:rsid w:val="003C28C5"/>
    <w:rsid w:val="003C2DAA"/>
    <w:rsid w:val="003C2DC6"/>
    <w:rsid w:val="003C3044"/>
    <w:rsid w:val="003C3246"/>
    <w:rsid w:val="003C324E"/>
    <w:rsid w:val="003C32C0"/>
    <w:rsid w:val="003C3A6D"/>
    <w:rsid w:val="003C3AD0"/>
    <w:rsid w:val="003C3AE0"/>
    <w:rsid w:val="003C3CF7"/>
    <w:rsid w:val="003C3FF3"/>
    <w:rsid w:val="003C4315"/>
    <w:rsid w:val="003C43E1"/>
    <w:rsid w:val="003C4876"/>
    <w:rsid w:val="003C49AD"/>
    <w:rsid w:val="003C4E47"/>
    <w:rsid w:val="003C528B"/>
    <w:rsid w:val="003C545A"/>
    <w:rsid w:val="003C581E"/>
    <w:rsid w:val="003C5EB4"/>
    <w:rsid w:val="003C6715"/>
    <w:rsid w:val="003C68B4"/>
    <w:rsid w:val="003C68C8"/>
    <w:rsid w:val="003C69D5"/>
    <w:rsid w:val="003C6B3C"/>
    <w:rsid w:val="003C6D9E"/>
    <w:rsid w:val="003C6DA7"/>
    <w:rsid w:val="003C72C4"/>
    <w:rsid w:val="003C7818"/>
    <w:rsid w:val="003C7C9E"/>
    <w:rsid w:val="003C7E3C"/>
    <w:rsid w:val="003C7F0E"/>
    <w:rsid w:val="003C7F43"/>
    <w:rsid w:val="003C7FBA"/>
    <w:rsid w:val="003D0120"/>
    <w:rsid w:val="003D0151"/>
    <w:rsid w:val="003D048E"/>
    <w:rsid w:val="003D17E5"/>
    <w:rsid w:val="003D1990"/>
    <w:rsid w:val="003D1A00"/>
    <w:rsid w:val="003D1BC6"/>
    <w:rsid w:val="003D1DD4"/>
    <w:rsid w:val="003D1DF8"/>
    <w:rsid w:val="003D1EC5"/>
    <w:rsid w:val="003D1EE5"/>
    <w:rsid w:val="003D2217"/>
    <w:rsid w:val="003D226A"/>
    <w:rsid w:val="003D24DC"/>
    <w:rsid w:val="003D26F4"/>
    <w:rsid w:val="003D2720"/>
    <w:rsid w:val="003D273D"/>
    <w:rsid w:val="003D290C"/>
    <w:rsid w:val="003D2A7D"/>
    <w:rsid w:val="003D2C0F"/>
    <w:rsid w:val="003D2F4F"/>
    <w:rsid w:val="003D2FAD"/>
    <w:rsid w:val="003D3093"/>
    <w:rsid w:val="003D3609"/>
    <w:rsid w:val="003D3828"/>
    <w:rsid w:val="003D38F1"/>
    <w:rsid w:val="003D3941"/>
    <w:rsid w:val="003D3C9F"/>
    <w:rsid w:val="003D4079"/>
    <w:rsid w:val="003D4328"/>
    <w:rsid w:val="003D45EA"/>
    <w:rsid w:val="003D4C1C"/>
    <w:rsid w:val="003D4F52"/>
    <w:rsid w:val="003D4F74"/>
    <w:rsid w:val="003D547F"/>
    <w:rsid w:val="003D5FCE"/>
    <w:rsid w:val="003D62CB"/>
    <w:rsid w:val="003D636A"/>
    <w:rsid w:val="003D644E"/>
    <w:rsid w:val="003D6453"/>
    <w:rsid w:val="003D6494"/>
    <w:rsid w:val="003D6511"/>
    <w:rsid w:val="003D6A0A"/>
    <w:rsid w:val="003D6BC0"/>
    <w:rsid w:val="003D6DAB"/>
    <w:rsid w:val="003D72B4"/>
    <w:rsid w:val="003D744F"/>
    <w:rsid w:val="003D7503"/>
    <w:rsid w:val="003D7B93"/>
    <w:rsid w:val="003D7EF5"/>
    <w:rsid w:val="003E0236"/>
    <w:rsid w:val="003E05DD"/>
    <w:rsid w:val="003E0F88"/>
    <w:rsid w:val="003E1854"/>
    <w:rsid w:val="003E1A9A"/>
    <w:rsid w:val="003E1BA1"/>
    <w:rsid w:val="003E1C11"/>
    <w:rsid w:val="003E1C6E"/>
    <w:rsid w:val="003E1D98"/>
    <w:rsid w:val="003E1EFB"/>
    <w:rsid w:val="003E1FDF"/>
    <w:rsid w:val="003E201F"/>
    <w:rsid w:val="003E231A"/>
    <w:rsid w:val="003E24CA"/>
    <w:rsid w:val="003E25AA"/>
    <w:rsid w:val="003E26B0"/>
    <w:rsid w:val="003E2B26"/>
    <w:rsid w:val="003E2F59"/>
    <w:rsid w:val="003E3DEB"/>
    <w:rsid w:val="003E3E1E"/>
    <w:rsid w:val="003E405B"/>
    <w:rsid w:val="003E449E"/>
    <w:rsid w:val="003E4610"/>
    <w:rsid w:val="003E484E"/>
    <w:rsid w:val="003E494F"/>
    <w:rsid w:val="003E4D9B"/>
    <w:rsid w:val="003E571B"/>
    <w:rsid w:val="003E5C97"/>
    <w:rsid w:val="003E5CB0"/>
    <w:rsid w:val="003E5CB3"/>
    <w:rsid w:val="003E5CCA"/>
    <w:rsid w:val="003E5EE1"/>
    <w:rsid w:val="003E604F"/>
    <w:rsid w:val="003E61A5"/>
    <w:rsid w:val="003E6212"/>
    <w:rsid w:val="003E625E"/>
    <w:rsid w:val="003E6347"/>
    <w:rsid w:val="003E68AA"/>
    <w:rsid w:val="003E6BEC"/>
    <w:rsid w:val="003E701C"/>
    <w:rsid w:val="003E7072"/>
    <w:rsid w:val="003E740F"/>
    <w:rsid w:val="003E7A18"/>
    <w:rsid w:val="003E7C73"/>
    <w:rsid w:val="003F01CB"/>
    <w:rsid w:val="003F0E74"/>
    <w:rsid w:val="003F1891"/>
    <w:rsid w:val="003F1B4F"/>
    <w:rsid w:val="003F1D05"/>
    <w:rsid w:val="003F1D62"/>
    <w:rsid w:val="003F202D"/>
    <w:rsid w:val="003F24D9"/>
    <w:rsid w:val="003F27B8"/>
    <w:rsid w:val="003F2921"/>
    <w:rsid w:val="003F2992"/>
    <w:rsid w:val="003F2A18"/>
    <w:rsid w:val="003F2E3D"/>
    <w:rsid w:val="003F32B6"/>
    <w:rsid w:val="003F3667"/>
    <w:rsid w:val="003F3761"/>
    <w:rsid w:val="003F37BF"/>
    <w:rsid w:val="003F3A0F"/>
    <w:rsid w:val="003F3BBE"/>
    <w:rsid w:val="003F449A"/>
    <w:rsid w:val="003F4E31"/>
    <w:rsid w:val="003F5524"/>
    <w:rsid w:val="003F5698"/>
    <w:rsid w:val="003F57E7"/>
    <w:rsid w:val="003F5CAD"/>
    <w:rsid w:val="003F5D65"/>
    <w:rsid w:val="003F68C6"/>
    <w:rsid w:val="003F6C16"/>
    <w:rsid w:val="003F6CA1"/>
    <w:rsid w:val="003F6DDB"/>
    <w:rsid w:val="003F73A3"/>
    <w:rsid w:val="003F74B9"/>
    <w:rsid w:val="003F7566"/>
    <w:rsid w:val="003F7741"/>
    <w:rsid w:val="003F7999"/>
    <w:rsid w:val="003F7A89"/>
    <w:rsid w:val="003F7F06"/>
    <w:rsid w:val="004000A9"/>
    <w:rsid w:val="004001FB"/>
    <w:rsid w:val="00400389"/>
    <w:rsid w:val="004003CD"/>
    <w:rsid w:val="00400606"/>
    <w:rsid w:val="00400619"/>
    <w:rsid w:val="00400B1E"/>
    <w:rsid w:val="00400EC5"/>
    <w:rsid w:val="00400F6E"/>
    <w:rsid w:val="004014E0"/>
    <w:rsid w:val="0040169D"/>
    <w:rsid w:val="0040194C"/>
    <w:rsid w:val="004019DE"/>
    <w:rsid w:val="00402341"/>
    <w:rsid w:val="0040266E"/>
    <w:rsid w:val="00402C44"/>
    <w:rsid w:val="00402CCB"/>
    <w:rsid w:val="00403340"/>
    <w:rsid w:val="004034E0"/>
    <w:rsid w:val="00403612"/>
    <w:rsid w:val="00403BEB"/>
    <w:rsid w:val="00403DBA"/>
    <w:rsid w:val="00404074"/>
    <w:rsid w:val="00404199"/>
    <w:rsid w:val="004043BC"/>
    <w:rsid w:val="0040440A"/>
    <w:rsid w:val="00404512"/>
    <w:rsid w:val="0040452F"/>
    <w:rsid w:val="00404712"/>
    <w:rsid w:val="00404B89"/>
    <w:rsid w:val="00404E56"/>
    <w:rsid w:val="004050EF"/>
    <w:rsid w:val="004051B1"/>
    <w:rsid w:val="0040529B"/>
    <w:rsid w:val="004054A2"/>
    <w:rsid w:val="00405B10"/>
    <w:rsid w:val="00405B16"/>
    <w:rsid w:val="00405E63"/>
    <w:rsid w:val="004061F4"/>
    <w:rsid w:val="004068BA"/>
    <w:rsid w:val="00406C23"/>
    <w:rsid w:val="00406CFA"/>
    <w:rsid w:val="00407137"/>
    <w:rsid w:val="00407294"/>
    <w:rsid w:val="004076B3"/>
    <w:rsid w:val="004078C2"/>
    <w:rsid w:val="00407EC1"/>
    <w:rsid w:val="004101FA"/>
    <w:rsid w:val="00410281"/>
    <w:rsid w:val="00410322"/>
    <w:rsid w:val="00410454"/>
    <w:rsid w:val="00410CE0"/>
    <w:rsid w:val="004112A3"/>
    <w:rsid w:val="0041144B"/>
    <w:rsid w:val="00411660"/>
    <w:rsid w:val="00411890"/>
    <w:rsid w:val="00412102"/>
    <w:rsid w:val="004123C7"/>
    <w:rsid w:val="004123CE"/>
    <w:rsid w:val="00412459"/>
    <w:rsid w:val="0041259C"/>
    <w:rsid w:val="00412A77"/>
    <w:rsid w:val="00412C0D"/>
    <w:rsid w:val="00412ECB"/>
    <w:rsid w:val="00412FD9"/>
    <w:rsid w:val="00413348"/>
    <w:rsid w:val="0041356E"/>
    <w:rsid w:val="00413607"/>
    <w:rsid w:val="004138B4"/>
    <w:rsid w:val="00413924"/>
    <w:rsid w:val="00413DEC"/>
    <w:rsid w:val="00413F54"/>
    <w:rsid w:val="00414037"/>
    <w:rsid w:val="0041443C"/>
    <w:rsid w:val="00414CCB"/>
    <w:rsid w:val="00414D2D"/>
    <w:rsid w:val="004150A0"/>
    <w:rsid w:val="004151E1"/>
    <w:rsid w:val="00415854"/>
    <w:rsid w:val="00415899"/>
    <w:rsid w:val="00415ACC"/>
    <w:rsid w:val="00415C91"/>
    <w:rsid w:val="00415F14"/>
    <w:rsid w:val="0041639C"/>
    <w:rsid w:val="00416774"/>
    <w:rsid w:val="00416822"/>
    <w:rsid w:val="0041692D"/>
    <w:rsid w:val="00416B1D"/>
    <w:rsid w:val="00416B23"/>
    <w:rsid w:val="00417002"/>
    <w:rsid w:val="00417220"/>
    <w:rsid w:val="004173FB"/>
    <w:rsid w:val="00417A13"/>
    <w:rsid w:val="00417B13"/>
    <w:rsid w:val="00417E1B"/>
    <w:rsid w:val="00417FFE"/>
    <w:rsid w:val="00420531"/>
    <w:rsid w:val="00420F74"/>
    <w:rsid w:val="00421027"/>
    <w:rsid w:val="004219D7"/>
    <w:rsid w:val="00421B51"/>
    <w:rsid w:val="004220D5"/>
    <w:rsid w:val="00422147"/>
    <w:rsid w:val="00422576"/>
    <w:rsid w:val="004225FE"/>
    <w:rsid w:val="00422768"/>
    <w:rsid w:val="004228C9"/>
    <w:rsid w:val="00422C8A"/>
    <w:rsid w:val="00422D19"/>
    <w:rsid w:val="00423050"/>
    <w:rsid w:val="00423054"/>
    <w:rsid w:val="004236CF"/>
    <w:rsid w:val="00423C26"/>
    <w:rsid w:val="00423CAB"/>
    <w:rsid w:val="00423F14"/>
    <w:rsid w:val="00423F9C"/>
    <w:rsid w:val="00423FF0"/>
    <w:rsid w:val="004240D8"/>
    <w:rsid w:val="004243ED"/>
    <w:rsid w:val="004243FA"/>
    <w:rsid w:val="0042443C"/>
    <w:rsid w:val="0042461C"/>
    <w:rsid w:val="00424B83"/>
    <w:rsid w:val="00424C06"/>
    <w:rsid w:val="00424C8F"/>
    <w:rsid w:val="00424CB0"/>
    <w:rsid w:val="00424E8A"/>
    <w:rsid w:val="004251EC"/>
    <w:rsid w:val="004255C6"/>
    <w:rsid w:val="0042586A"/>
    <w:rsid w:val="00425A76"/>
    <w:rsid w:val="00425B3A"/>
    <w:rsid w:val="00426084"/>
    <w:rsid w:val="0042611C"/>
    <w:rsid w:val="00426304"/>
    <w:rsid w:val="004264A3"/>
    <w:rsid w:val="0042650F"/>
    <w:rsid w:val="00426655"/>
    <w:rsid w:val="00426955"/>
    <w:rsid w:val="00426CA3"/>
    <w:rsid w:val="00426F1E"/>
    <w:rsid w:val="00426FC0"/>
    <w:rsid w:val="00427477"/>
    <w:rsid w:val="004277AD"/>
    <w:rsid w:val="0042789B"/>
    <w:rsid w:val="00427A9A"/>
    <w:rsid w:val="00430290"/>
    <w:rsid w:val="004302AC"/>
    <w:rsid w:val="004309F8"/>
    <w:rsid w:val="0043116B"/>
    <w:rsid w:val="00431764"/>
    <w:rsid w:val="00431AD4"/>
    <w:rsid w:val="00431BCD"/>
    <w:rsid w:val="00431BED"/>
    <w:rsid w:val="00432028"/>
    <w:rsid w:val="004322CC"/>
    <w:rsid w:val="00432958"/>
    <w:rsid w:val="00432A94"/>
    <w:rsid w:val="00432AAA"/>
    <w:rsid w:val="00432B0D"/>
    <w:rsid w:val="004335EE"/>
    <w:rsid w:val="0043366B"/>
    <w:rsid w:val="004337B4"/>
    <w:rsid w:val="00433924"/>
    <w:rsid w:val="004339C4"/>
    <w:rsid w:val="00433D0C"/>
    <w:rsid w:val="00434624"/>
    <w:rsid w:val="004348BA"/>
    <w:rsid w:val="004348E8"/>
    <w:rsid w:val="00434D1D"/>
    <w:rsid w:val="00435444"/>
    <w:rsid w:val="00435603"/>
    <w:rsid w:val="00435688"/>
    <w:rsid w:val="00435885"/>
    <w:rsid w:val="004358C9"/>
    <w:rsid w:val="004363CC"/>
    <w:rsid w:val="00436AA6"/>
    <w:rsid w:val="00436BAC"/>
    <w:rsid w:val="00436E81"/>
    <w:rsid w:val="004371EF"/>
    <w:rsid w:val="004374DA"/>
    <w:rsid w:val="00440114"/>
    <w:rsid w:val="00440134"/>
    <w:rsid w:val="0044015A"/>
    <w:rsid w:val="004401CD"/>
    <w:rsid w:val="004404E9"/>
    <w:rsid w:val="00440560"/>
    <w:rsid w:val="00440664"/>
    <w:rsid w:val="00440D0F"/>
    <w:rsid w:val="00440DC8"/>
    <w:rsid w:val="00440EB3"/>
    <w:rsid w:val="00440EBA"/>
    <w:rsid w:val="00440F2C"/>
    <w:rsid w:val="004412C1"/>
    <w:rsid w:val="004414F8"/>
    <w:rsid w:val="004418E1"/>
    <w:rsid w:val="00441B74"/>
    <w:rsid w:val="00441C8F"/>
    <w:rsid w:val="00441E86"/>
    <w:rsid w:val="00441F0B"/>
    <w:rsid w:val="00441F52"/>
    <w:rsid w:val="0044204D"/>
    <w:rsid w:val="004420DD"/>
    <w:rsid w:val="004424AD"/>
    <w:rsid w:val="0044283D"/>
    <w:rsid w:val="004428BC"/>
    <w:rsid w:val="00442BF9"/>
    <w:rsid w:val="004437ED"/>
    <w:rsid w:val="004438A9"/>
    <w:rsid w:val="00443AC1"/>
    <w:rsid w:val="00443AC6"/>
    <w:rsid w:val="00443AEF"/>
    <w:rsid w:val="00443C3B"/>
    <w:rsid w:val="00443C41"/>
    <w:rsid w:val="00444371"/>
    <w:rsid w:val="004443CC"/>
    <w:rsid w:val="00444405"/>
    <w:rsid w:val="00444B3C"/>
    <w:rsid w:val="00444B8B"/>
    <w:rsid w:val="00444BA0"/>
    <w:rsid w:val="00444C54"/>
    <w:rsid w:val="00445115"/>
    <w:rsid w:val="004452B0"/>
    <w:rsid w:val="00445CC3"/>
    <w:rsid w:val="00445E32"/>
    <w:rsid w:val="00446153"/>
    <w:rsid w:val="00446515"/>
    <w:rsid w:val="00446698"/>
    <w:rsid w:val="0044706E"/>
    <w:rsid w:val="00447176"/>
    <w:rsid w:val="004471D9"/>
    <w:rsid w:val="004476F5"/>
    <w:rsid w:val="00447B64"/>
    <w:rsid w:val="00450751"/>
    <w:rsid w:val="00450764"/>
    <w:rsid w:val="00450C31"/>
    <w:rsid w:val="0045115B"/>
    <w:rsid w:val="00451301"/>
    <w:rsid w:val="00451492"/>
    <w:rsid w:val="00451730"/>
    <w:rsid w:val="004519DE"/>
    <w:rsid w:val="00451C36"/>
    <w:rsid w:val="00451D75"/>
    <w:rsid w:val="00451DAA"/>
    <w:rsid w:val="00451EC9"/>
    <w:rsid w:val="00452A7A"/>
    <w:rsid w:val="00452AF4"/>
    <w:rsid w:val="00452D54"/>
    <w:rsid w:val="004533EA"/>
    <w:rsid w:val="00453C7D"/>
    <w:rsid w:val="00454077"/>
    <w:rsid w:val="004543B3"/>
    <w:rsid w:val="00454546"/>
    <w:rsid w:val="004545CA"/>
    <w:rsid w:val="004546C6"/>
    <w:rsid w:val="004548C2"/>
    <w:rsid w:val="004549F3"/>
    <w:rsid w:val="00454BD0"/>
    <w:rsid w:val="00455205"/>
    <w:rsid w:val="0045528B"/>
    <w:rsid w:val="00455917"/>
    <w:rsid w:val="00455C9B"/>
    <w:rsid w:val="00455D55"/>
    <w:rsid w:val="00455DB7"/>
    <w:rsid w:val="00455F5D"/>
    <w:rsid w:val="00455FF4"/>
    <w:rsid w:val="0045608F"/>
    <w:rsid w:val="004560E6"/>
    <w:rsid w:val="00456340"/>
    <w:rsid w:val="00456409"/>
    <w:rsid w:val="0045649D"/>
    <w:rsid w:val="004565F8"/>
    <w:rsid w:val="00456B81"/>
    <w:rsid w:val="00456FAA"/>
    <w:rsid w:val="00457043"/>
    <w:rsid w:val="0045721B"/>
    <w:rsid w:val="00457517"/>
    <w:rsid w:val="00457CE7"/>
    <w:rsid w:val="00457F0B"/>
    <w:rsid w:val="004600D9"/>
    <w:rsid w:val="0046021F"/>
    <w:rsid w:val="00460377"/>
    <w:rsid w:val="00460474"/>
    <w:rsid w:val="00460BC8"/>
    <w:rsid w:val="00460E1B"/>
    <w:rsid w:val="00460E31"/>
    <w:rsid w:val="0046112F"/>
    <w:rsid w:val="0046142D"/>
    <w:rsid w:val="004615F2"/>
    <w:rsid w:val="004619FE"/>
    <w:rsid w:val="00461A90"/>
    <w:rsid w:val="00461B31"/>
    <w:rsid w:val="00461EAC"/>
    <w:rsid w:val="00461EDD"/>
    <w:rsid w:val="0046228B"/>
    <w:rsid w:val="004629F4"/>
    <w:rsid w:val="00462A57"/>
    <w:rsid w:val="00462B70"/>
    <w:rsid w:val="00462C3F"/>
    <w:rsid w:val="00462E5C"/>
    <w:rsid w:val="00462F07"/>
    <w:rsid w:val="00462F3F"/>
    <w:rsid w:val="004633D6"/>
    <w:rsid w:val="004636A7"/>
    <w:rsid w:val="004638E0"/>
    <w:rsid w:val="00463A3F"/>
    <w:rsid w:val="00463D1E"/>
    <w:rsid w:val="00463F9D"/>
    <w:rsid w:val="0046400D"/>
    <w:rsid w:val="00464062"/>
    <w:rsid w:val="0046492F"/>
    <w:rsid w:val="00464E1A"/>
    <w:rsid w:val="00464EF5"/>
    <w:rsid w:val="004650F0"/>
    <w:rsid w:val="004653EC"/>
    <w:rsid w:val="00465516"/>
    <w:rsid w:val="004659A9"/>
    <w:rsid w:val="00465C9D"/>
    <w:rsid w:val="00465FB4"/>
    <w:rsid w:val="004661EA"/>
    <w:rsid w:val="00466394"/>
    <w:rsid w:val="00466400"/>
    <w:rsid w:val="004665A4"/>
    <w:rsid w:val="00466C7E"/>
    <w:rsid w:val="00466CAA"/>
    <w:rsid w:val="00466E36"/>
    <w:rsid w:val="00466F2D"/>
    <w:rsid w:val="00466FCA"/>
    <w:rsid w:val="00467147"/>
    <w:rsid w:val="00467154"/>
    <w:rsid w:val="00467231"/>
    <w:rsid w:val="004678B2"/>
    <w:rsid w:val="004702F1"/>
    <w:rsid w:val="0047050D"/>
    <w:rsid w:val="00470524"/>
    <w:rsid w:val="004708E2"/>
    <w:rsid w:val="0047095B"/>
    <w:rsid w:val="00470DA0"/>
    <w:rsid w:val="00471396"/>
    <w:rsid w:val="0047158F"/>
    <w:rsid w:val="004719F5"/>
    <w:rsid w:val="00472200"/>
    <w:rsid w:val="00472467"/>
    <w:rsid w:val="00472587"/>
    <w:rsid w:val="00472A5D"/>
    <w:rsid w:val="00472B9F"/>
    <w:rsid w:val="004731C5"/>
    <w:rsid w:val="0047335F"/>
    <w:rsid w:val="00473526"/>
    <w:rsid w:val="00473ECF"/>
    <w:rsid w:val="00473FE6"/>
    <w:rsid w:val="00474044"/>
    <w:rsid w:val="004748AE"/>
    <w:rsid w:val="00474E61"/>
    <w:rsid w:val="0047505D"/>
    <w:rsid w:val="00475237"/>
    <w:rsid w:val="0047545A"/>
    <w:rsid w:val="004754AE"/>
    <w:rsid w:val="00475993"/>
    <w:rsid w:val="00475DEF"/>
    <w:rsid w:val="0047627E"/>
    <w:rsid w:val="004765D2"/>
    <w:rsid w:val="0047662F"/>
    <w:rsid w:val="004767A2"/>
    <w:rsid w:val="00476D08"/>
    <w:rsid w:val="00476D76"/>
    <w:rsid w:val="00476DCA"/>
    <w:rsid w:val="00476EBB"/>
    <w:rsid w:val="00477110"/>
    <w:rsid w:val="00477179"/>
    <w:rsid w:val="00477257"/>
    <w:rsid w:val="004772C0"/>
    <w:rsid w:val="004774EE"/>
    <w:rsid w:val="00477513"/>
    <w:rsid w:val="00477671"/>
    <w:rsid w:val="0047769D"/>
    <w:rsid w:val="00477A81"/>
    <w:rsid w:val="00477B07"/>
    <w:rsid w:val="00477D54"/>
    <w:rsid w:val="00477DB8"/>
    <w:rsid w:val="004804F5"/>
    <w:rsid w:val="004807D7"/>
    <w:rsid w:val="00480A40"/>
    <w:rsid w:val="00480F91"/>
    <w:rsid w:val="00481285"/>
    <w:rsid w:val="004813B1"/>
    <w:rsid w:val="00481621"/>
    <w:rsid w:val="00481747"/>
    <w:rsid w:val="004821DC"/>
    <w:rsid w:val="00482745"/>
    <w:rsid w:val="00482818"/>
    <w:rsid w:val="00482981"/>
    <w:rsid w:val="00483267"/>
    <w:rsid w:val="004834D5"/>
    <w:rsid w:val="004837A4"/>
    <w:rsid w:val="00483AF2"/>
    <w:rsid w:val="00483C4D"/>
    <w:rsid w:val="00483DE7"/>
    <w:rsid w:val="00484398"/>
    <w:rsid w:val="00484447"/>
    <w:rsid w:val="0048454D"/>
    <w:rsid w:val="0048492B"/>
    <w:rsid w:val="00484A96"/>
    <w:rsid w:val="00484B3A"/>
    <w:rsid w:val="00484F7C"/>
    <w:rsid w:val="004854DA"/>
    <w:rsid w:val="0048583F"/>
    <w:rsid w:val="004859D2"/>
    <w:rsid w:val="00485AA4"/>
    <w:rsid w:val="00485B63"/>
    <w:rsid w:val="00485CB1"/>
    <w:rsid w:val="00485E6E"/>
    <w:rsid w:val="00485F04"/>
    <w:rsid w:val="00486028"/>
    <w:rsid w:val="00486051"/>
    <w:rsid w:val="00486225"/>
    <w:rsid w:val="004864ED"/>
    <w:rsid w:val="00486588"/>
    <w:rsid w:val="0048666C"/>
    <w:rsid w:val="00486C9F"/>
    <w:rsid w:val="00486E75"/>
    <w:rsid w:val="00487110"/>
    <w:rsid w:val="004878E3"/>
    <w:rsid w:val="004879BC"/>
    <w:rsid w:val="00487ADE"/>
    <w:rsid w:val="00487C31"/>
    <w:rsid w:val="00487DE0"/>
    <w:rsid w:val="004900F2"/>
    <w:rsid w:val="004902F6"/>
    <w:rsid w:val="004905BA"/>
    <w:rsid w:val="00490695"/>
    <w:rsid w:val="00490824"/>
    <w:rsid w:val="0049087A"/>
    <w:rsid w:val="004908D0"/>
    <w:rsid w:val="00490D11"/>
    <w:rsid w:val="004910E1"/>
    <w:rsid w:val="004911DF"/>
    <w:rsid w:val="004912C3"/>
    <w:rsid w:val="00491306"/>
    <w:rsid w:val="00491C15"/>
    <w:rsid w:val="004921B7"/>
    <w:rsid w:val="0049226B"/>
    <w:rsid w:val="004923E9"/>
    <w:rsid w:val="00492469"/>
    <w:rsid w:val="004925DB"/>
    <w:rsid w:val="0049290C"/>
    <w:rsid w:val="00492BBA"/>
    <w:rsid w:val="00492C2F"/>
    <w:rsid w:val="004931DB"/>
    <w:rsid w:val="004934B2"/>
    <w:rsid w:val="004934E2"/>
    <w:rsid w:val="0049379A"/>
    <w:rsid w:val="00493BEA"/>
    <w:rsid w:val="00493D09"/>
    <w:rsid w:val="00493DAC"/>
    <w:rsid w:val="00494460"/>
    <w:rsid w:val="004945AC"/>
    <w:rsid w:val="00494613"/>
    <w:rsid w:val="00494767"/>
    <w:rsid w:val="00494C95"/>
    <w:rsid w:val="00494DA1"/>
    <w:rsid w:val="00494EE0"/>
    <w:rsid w:val="0049509C"/>
    <w:rsid w:val="004956A2"/>
    <w:rsid w:val="00495951"/>
    <w:rsid w:val="00495A16"/>
    <w:rsid w:val="00495D8F"/>
    <w:rsid w:val="004960EC"/>
    <w:rsid w:val="004964A9"/>
    <w:rsid w:val="00496534"/>
    <w:rsid w:val="00496922"/>
    <w:rsid w:val="0049698F"/>
    <w:rsid w:val="00496D39"/>
    <w:rsid w:val="0049718D"/>
    <w:rsid w:val="00497987"/>
    <w:rsid w:val="00497CA0"/>
    <w:rsid w:val="00497EE7"/>
    <w:rsid w:val="004A01BB"/>
    <w:rsid w:val="004A0560"/>
    <w:rsid w:val="004A05ED"/>
    <w:rsid w:val="004A098A"/>
    <w:rsid w:val="004A09E0"/>
    <w:rsid w:val="004A0B60"/>
    <w:rsid w:val="004A0B61"/>
    <w:rsid w:val="004A11F2"/>
    <w:rsid w:val="004A1311"/>
    <w:rsid w:val="004A1602"/>
    <w:rsid w:val="004A17AB"/>
    <w:rsid w:val="004A19F3"/>
    <w:rsid w:val="004A1B2E"/>
    <w:rsid w:val="004A1DCB"/>
    <w:rsid w:val="004A1F1D"/>
    <w:rsid w:val="004A21F3"/>
    <w:rsid w:val="004A261A"/>
    <w:rsid w:val="004A278F"/>
    <w:rsid w:val="004A29A5"/>
    <w:rsid w:val="004A2DD0"/>
    <w:rsid w:val="004A3335"/>
    <w:rsid w:val="004A33C9"/>
    <w:rsid w:val="004A36A2"/>
    <w:rsid w:val="004A3E8B"/>
    <w:rsid w:val="004A414A"/>
    <w:rsid w:val="004A41E7"/>
    <w:rsid w:val="004A429C"/>
    <w:rsid w:val="004A45C0"/>
    <w:rsid w:val="004A5097"/>
    <w:rsid w:val="004A5551"/>
    <w:rsid w:val="004A5660"/>
    <w:rsid w:val="004A5795"/>
    <w:rsid w:val="004A58AB"/>
    <w:rsid w:val="004A5B1E"/>
    <w:rsid w:val="004A5E24"/>
    <w:rsid w:val="004A6138"/>
    <w:rsid w:val="004A64D2"/>
    <w:rsid w:val="004A6571"/>
    <w:rsid w:val="004A6B22"/>
    <w:rsid w:val="004A6B72"/>
    <w:rsid w:val="004A6C29"/>
    <w:rsid w:val="004A7613"/>
    <w:rsid w:val="004A7682"/>
    <w:rsid w:val="004A77A6"/>
    <w:rsid w:val="004A783A"/>
    <w:rsid w:val="004A787B"/>
    <w:rsid w:val="004A7B61"/>
    <w:rsid w:val="004A7E36"/>
    <w:rsid w:val="004B01CB"/>
    <w:rsid w:val="004B0424"/>
    <w:rsid w:val="004B05DF"/>
    <w:rsid w:val="004B0657"/>
    <w:rsid w:val="004B06A1"/>
    <w:rsid w:val="004B086E"/>
    <w:rsid w:val="004B0918"/>
    <w:rsid w:val="004B09BF"/>
    <w:rsid w:val="004B0B8A"/>
    <w:rsid w:val="004B0CB4"/>
    <w:rsid w:val="004B0CDF"/>
    <w:rsid w:val="004B0FBC"/>
    <w:rsid w:val="004B13B7"/>
    <w:rsid w:val="004B1624"/>
    <w:rsid w:val="004B20CD"/>
    <w:rsid w:val="004B215D"/>
    <w:rsid w:val="004B23AB"/>
    <w:rsid w:val="004B2CCA"/>
    <w:rsid w:val="004B2E64"/>
    <w:rsid w:val="004B30B7"/>
    <w:rsid w:val="004B327D"/>
    <w:rsid w:val="004B35C4"/>
    <w:rsid w:val="004B3803"/>
    <w:rsid w:val="004B3A19"/>
    <w:rsid w:val="004B3E74"/>
    <w:rsid w:val="004B424C"/>
    <w:rsid w:val="004B5163"/>
    <w:rsid w:val="004B5196"/>
    <w:rsid w:val="004B53FC"/>
    <w:rsid w:val="004B607B"/>
    <w:rsid w:val="004B612D"/>
    <w:rsid w:val="004B6148"/>
    <w:rsid w:val="004B685F"/>
    <w:rsid w:val="004B6B99"/>
    <w:rsid w:val="004B6DE6"/>
    <w:rsid w:val="004B6FA0"/>
    <w:rsid w:val="004B74DC"/>
    <w:rsid w:val="004B790E"/>
    <w:rsid w:val="004B7919"/>
    <w:rsid w:val="004C0356"/>
    <w:rsid w:val="004C071F"/>
    <w:rsid w:val="004C0CF1"/>
    <w:rsid w:val="004C0DEA"/>
    <w:rsid w:val="004C0E98"/>
    <w:rsid w:val="004C0EB5"/>
    <w:rsid w:val="004C0F70"/>
    <w:rsid w:val="004C104F"/>
    <w:rsid w:val="004C1095"/>
    <w:rsid w:val="004C158E"/>
    <w:rsid w:val="004C15F3"/>
    <w:rsid w:val="004C1653"/>
    <w:rsid w:val="004C17B2"/>
    <w:rsid w:val="004C17FD"/>
    <w:rsid w:val="004C19F7"/>
    <w:rsid w:val="004C1B20"/>
    <w:rsid w:val="004C1F27"/>
    <w:rsid w:val="004C1F92"/>
    <w:rsid w:val="004C1FC5"/>
    <w:rsid w:val="004C2048"/>
    <w:rsid w:val="004C218F"/>
    <w:rsid w:val="004C25C3"/>
    <w:rsid w:val="004C2975"/>
    <w:rsid w:val="004C2A81"/>
    <w:rsid w:val="004C2BCB"/>
    <w:rsid w:val="004C317E"/>
    <w:rsid w:val="004C31FD"/>
    <w:rsid w:val="004C3580"/>
    <w:rsid w:val="004C36A7"/>
    <w:rsid w:val="004C3712"/>
    <w:rsid w:val="004C3828"/>
    <w:rsid w:val="004C396C"/>
    <w:rsid w:val="004C39DF"/>
    <w:rsid w:val="004C3D55"/>
    <w:rsid w:val="004C45E8"/>
    <w:rsid w:val="004C4646"/>
    <w:rsid w:val="004C486E"/>
    <w:rsid w:val="004C4C60"/>
    <w:rsid w:val="004C4CA9"/>
    <w:rsid w:val="004C5078"/>
    <w:rsid w:val="004C5099"/>
    <w:rsid w:val="004C5115"/>
    <w:rsid w:val="004C577A"/>
    <w:rsid w:val="004C5A61"/>
    <w:rsid w:val="004C5BF0"/>
    <w:rsid w:val="004C5C6F"/>
    <w:rsid w:val="004C5C8E"/>
    <w:rsid w:val="004C5DE9"/>
    <w:rsid w:val="004C6467"/>
    <w:rsid w:val="004C671D"/>
    <w:rsid w:val="004C6773"/>
    <w:rsid w:val="004C6792"/>
    <w:rsid w:val="004C6968"/>
    <w:rsid w:val="004C6BE9"/>
    <w:rsid w:val="004C6FBE"/>
    <w:rsid w:val="004C71CB"/>
    <w:rsid w:val="004C7630"/>
    <w:rsid w:val="004C77B7"/>
    <w:rsid w:val="004C7F6A"/>
    <w:rsid w:val="004D0207"/>
    <w:rsid w:val="004D03DC"/>
    <w:rsid w:val="004D057C"/>
    <w:rsid w:val="004D0773"/>
    <w:rsid w:val="004D0879"/>
    <w:rsid w:val="004D08C6"/>
    <w:rsid w:val="004D0B16"/>
    <w:rsid w:val="004D0BD7"/>
    <w:rsid w:val="004D0D7C"/>
    <w:rsid w:val="004D0E37"/>
    <w:rsid w:val="004D0EA4"/>
    <w:rsid w:val="004D10E3"/>
    <w:rsid w:val="004D1419"/>
    <w:rsid w:val="004D141D"/>
    <w:rsid w:val="004D174B"/>
    <w:rsid w:val="004D1C39"/>
    <w:rsid w:val="004D2345"/>
    <w:rsid w:val="004D243B"/>
    <w:rsid w:val="004D24CC"/>
    <w:rsid w:val="004D2A93"/>
    <w:rsid w:val="004D2D08"/>
    <w:rsid w:val="004D3786"/>
    <w:rsid w:val="004D3A51"/>
    <w:rsid w:val="004D3AFE"/>
    <w:rsid w:val="004D3D2A"/>
    <w:rsid w:val="004D3FA5"/>
    <w:rsid w:val="004D438E"/>
    <w:rsid w:val="004D479C"/>
    <w:rsid w:val="004D47B7"/>
    <w:rsid w:val="004D4947"/>
    <w:rsid w:val="004D5349"/>
    <w:rsid w:val="004D575A"/>
    <w:rsid w:val="004D580E"/>
    <w:rsid w:val="004D5A86"/>
    <w:rsid w:val="004D5BCD"/>
    <w:rsid w:val="004D5CA0"/>
    <w:rsid w:val="004D5F76"/>
    <w:rsid w:val="004D6E9E"/>
    <w:rsid w:val="004D6FF4"/>
    <w:rsid w:val="004D706F"/>
    <w:rsid w:val="004D7262"/>
    <w:rsid w:val="004D74A9"/>
    <w:rsid w:val="004D74D2"/>
    <w:rsid w:val="004D77E3"/>
    <w:rsid w:val="004D7AA4"/>
    <w:rsid w:val="004D7B2E"/>
    <w:rsid w:val="004D7CC9"/>
    <w:rsid w:val="004D7D1C"/>
    <w:rsid w:val="004D7D7F"/>
    <w:rsid w:val="004D7DD2"/>
    <w:rsid w:val="004E0488"/>
    <w:rsid w:val="004E0532"/>
    <w:rsid w:val="004E07F1"/>
    <w:rsid w:val="004E0915"/>
    <w:rsid w:val="004E0D40"/>
    <w:rsid w:val="004E1419"/>
    <w:rsid w:val="004E141F"/>
    <w:rsid w:val="004E15DF"/>
    <w:rsid w:val="004E15EC"/>
    <w:rsid w:val="004E16E5"/>
    <w:rsid w:val="004E17FE"/>
    <w:rsid w:val="004E1CFD"/>
    <w:rsid w:val="004E1FED"/>
    <w:rsid w:val="004E22E7"/>
    <w:rsid w:val="004E258A"/>
    <w:rsid w:val="004E284B"/>
    <w:rsid w:val="004E2882"/>
    <w:rsid w:val="004E2955"/>
    <w:rsid w:val="004E298E"/>
    <w:rsid w:val="004E2CA9"/>
    <w:rsid w:val="004E2D45"/>
    <w:rsid w:val="004E3182"/>
    <w:rsid w:val="004E321C"/>
    <w:rsid w:val="004E34F0"/>
    <w:rsid w:val="004E35B5"/>
    <w:rsid w:val="004E36F3"/>
    <w:rsid w:val="004E39AB"/>
    <w:rsid w:val="004E3DAB"/>
    <w:rsid w:val="004E3EA2"/>
    <w:rsid w:val="004E40B1"/>
    <w:rsid w:val="004E445C"/>
    <w:rsid w:val="004E462B"/>
    <w:rsid w:val="004E4CDE"/>
    <w:rsid w:val="004E4D87"/>
    <w:rsid w:val="004E5048"/>
    <w:rsid w:val="004E517C"/>
    <w:rsid w:val="004E5339"/>
    <w:rsid w:val="004E5532"/>
    <w:rsid w:val="004E587B"/>
    <w:rsid w:val="004E5C6E"/>
    <w:rsid w:val="004E60FD"/>
    <w:rsid w:val="004E6158"/>
    <w:rsid w:val="004E6688"/>
    <w:rsid w:val="004E6B7E"/>
    <w:rsid w:val="004E6B85"/>
    <w:rsid w:val="004E6E05"/>
    <w:rsid w:val="004E7518"/>
    <w:rsid w:val="004E75F4"/>
    <w:rsid w:val="004E7998"/>
    <w:rsid w:val="004E7E2C"/>
    <w:rsid w:val="004F01F6"/>
    <w:rsid w:val="004F0326"/>
    <w:rsid w:val="004F0432"/>
    <w:rsid w:val="004F08DB"/>
    <w:rsid w:val="004F0DD0"/>
    <w:rsid w:val="004F1022"/>
    <w:rsid w:val="004F1579"/>
    <w:rsid w:val="004F1A85"/>
    <w:rsid w:val="004F1F99"/>
    <w:rsid w:val="004F22FD"/>
    <w:rsid w:val="004F248D"/>
    <w:rsid w:val="004F2504"/>
    <w:rsid w:val="004F25CF"/>
    <w:rsid w:val="004F2E6C"/>
    <w:rsid w:val="004F2F0A"/>
    <w:rsid w:val="004F2FDA"/>
    <w:rsid w:val="004F3025"/>
    <w:rsid w:val="004F304E"/>
    <w:rsid w:val="004F35A2"/>
    <w:rsid w:val="004F36EF"/>
    <w:rsid w:val="004F3707"/>
    <w:rsid w:val="004F371E"/>
    <w:rsid w:val="004F3971"/>
    <w:rsid w:val="004F4547"/>
    <w:rsid w:val="004F4745"/>
    <w:rsid w:val="004F47B6"/>
    <w:rsid w:val="004F5403"/>
    <w:rsid w:val="004F5545"/>
    <w:rsid w:val="004F59A5"/>
    <w:rsid w:val="004F59AA"/>
    <w:rsid w:val="004F59F5"/>
    <w:rsid w:val="004F5F8C"/>
    <w:rsid w:val="004F6163"/>
    <w:rsid w:val="004F6337"/>
    <w:rsid w:val="004F63C1"/>
    <w:rsid w:val="004F66AF"/>
    <w:rsid w:val="004F672B"/>
    <w:rsid w:val="004F680C"/>
    <w:rsid w:val="004F68D5"/>
    <w:rsid w:val="004F6956"/>
    <w:rsid w:val="004F6DBC"/>
    <w:rsid w:val="004F6E25"/>
    <w:rsid w:val="004F711D"/>
    <w:rsid w:val="004F7404"/>
    <w:rsid w:val="004F7A70"/>
    <w:rsid w:val="004F7BC0"/>
    <w:rsid w:val="004F7D6D"/>
    <w:rsid w:val="005001F7"/>
    <w:rsid w:val="00500558"/>
    <w:rsid w:val="005007C9"/>
    <w:rsid w:val="0050098F"/>
    <w:rsid w:val="005009CD"/>
    <w:rsid w:val="00500A83"/>
    <w:rsid w:val="00500CD5"/>
    <w:rsid w:val="00500D4D"/>
    <w:rsid w:val="005015DB"/>
    <w:rsid w:val="005017C7"/>
    <w:rsid w:val="00501B13"/>
    <w:rsid w:val="00501BCF"/>
    <w:rsid w:val="00501C56"/>
    <w:rsid w:val="005021C4"/>
    <w:rsid w:val="005021EA"/>
    <w:rsid w:val="00502235"/>
    <w:rsid w:val="0050277E"/>
    <w:rsid w:val="00502CD7"/>
    <w:rsid w:val="00502FB3"/>
    <w:rsid w:val="00503049"/>
    <w:rsid w:val="0050317C"/>
    <w:rsid w:val="005033BB"/>
    <w:rsid w:val="0050379B"/>
    <w:rsid w:val="00503C93"/>
    <w:rsid w:val="00503D65"/>
    <w:rsid w:val="00503EAB"/>
    <w:rsid w:val="00504545"/>
    <w:rsid w:val="005049D8"/>
    <w:rsid w:val="00504B07"/>
    <w:rsid w:val="00504D26"/>
    <w:rsid w:val="0050512E"/>
    <w:rsid w:val="005056C3"/>
    <w:rsid w:val="005057FE"/>
    <w:rsid w:val="00506058"/>
    <w:rsid w:val="005062F0"/>
    <w:rsid w:val="0050638B"/>
    <w:rsid w:val="005064DD"/>
    <w:rsid w:val="005067EF"/>
    <w:rsid w:val="005068AD"/>
    <w:rsid w:val="005069F8"/>
    <w:rsid w:val="00506E66"/>
    <w:rsid w:val="00506E73"/>
    <w:rsid w:val="00506EDE"/>
    <w:rsid w:val="00506EE6"/>
    <w:rsid w:val="00507165"/>
    <w:rsid w:val="0050745B"/>
    <w:rsid w:val="00507528"/>
    <w:rsid w:val="0050796D"/>
    <w:rsid w:val="00507CD7"/>
    <w:rsid w:val="005102A9"/>
    <w:rsid w:val="005106E0"/>
    <w:rsid w:val="005107E2"/>
    <w:rsid w:val="005108CE"/>
    <w:rsid w:val="00510BED"/>
    <w:rsid w:val="00511222"/>
    <w:rsid w:val="00511632"/>
    <w:rsid w:val="0051168C"/>
    <w:rsid w:val="0051180C"/>
    <w:rsid w:val="00511EFC"/>
    <w:rsid w:val="00512166"/>
    <w:rsid w:val="005123A0"/>
    <w:rsid w:val="00512513"/>
    <w:rsid w:val="0051271E"/>
    <w:rsid w:val="00512C4C"/>
    <w:rsid w:val="00512DD2"/>
    <w:rsid w:val="0051324D"/>
    <w:rsid w:val="00513B90"/>
    <w:rsid w:val="00513FAC"/>
    <w:rsid w:val="00514A03"/>
    <w:rsid w:val="00514BA0"/>
    <w:rsid w:val="00515083"/>
    <w:rsid w:val="005151BE"/>
    <w:rsid w:val="00515758"/>
    <w:rsid w:val="00515825"/>
    <w:rsid w:val="0051587F"/>
    <w:rsid w:val="00515B60"/>
    <w:rsid w:val="00515DD2"/>
    <w:rsid w:val="00515EB9"/>
    <w:rsid w:val="0051617F"/>
    <w:rsid w:val="00516384"/>
    <w:rsid w:val="00516415"/>
    <w:rsid w:val="0051652B"/>
    <w:rsid w:val="005168A7"/>
    <w:rsid w:val="005169E4"/>
    <w:rsid w:val="00516CB8"/>
    <w:rsid w:val="00516E4F"/>
    <w:rsid w:val="005175B5"/>
    <w:rsid w:val="00517D9A"/>
    <w:rsid w:val="005200AC"/>
    <w:rsid w:val="005201CD"/>
    <w:rsid w:val="00520B71"/>
    <w:rsid w:val="00520BAC"/>
    <w:rsid w:val="00520CD5"/>
    <w:rsid w:val="00521376"/>
    <w:rsid w:val="0052153D"/>
    <w:rsid w:val="005218FB"/>
    <w:rsid w:val="005219C4"/>
    <w:rsid w:val="00521B65"/>
    <w:rsid w:val="00521D33"/>
    <w:rsid w:val="00521D5D"/>
    <w:rsid w:val="00521E3A"/>
    <w:rsid w:val="00521FCA"/>
    <w:rsid w:val="005221DA"/>
    <w:rsid w:val="005222AF"/>
    <w:rsid w:val="005222F5"/>
    <w:rsid w:val="005223F9"/>
    <w:rsid w:val="00522472"/>
    <w:rsid w:val="005229BD"/>
    <w:rsid w:val="00522FD4"/>
    <w:rsid w:val="00523002"/>
    <w:rsid w:val="00523020"/>
    <w:rsid w:val="00523653"/>
    <w:rsid w:val="005237AD"/>
    <w:rsid w:val="00523C22"/>
    <w:rsid w:val="00523C7F"/>
    <w:rsid w:val="00523CFC"/>
    <w:rsid w:val="00524326"/>
    <w:rsid w:val="00524493"/>
    <w:rsid w:val="005244F4"/>
    <w:rsid w:val="00524A11"/>
    <w:rsid w:val="00524D09"/>
    <w:rsid w:val="00524EBF"/>
    <w:rsid w:val="00524FC1"/>
    <w:rsid w:val="0052506B"/>
    <w:rsid w:val="00525178"/>
    <w:rsid w:val="005251BC"/>
    <w:rsid w:val="005251C5"/>
    <w:rsid w:val="005253AF"/>
    <w:rsid w:val="005257F9"/>
    <w:rsid w:val="00525B84"/>
    <w:rsid w:val="00525C4C"/>
    <w:rsid w:val="00525F5A"/>
    <w:rsid w:val="005261EF"/>
    <w:rsid w:val="00526649"/>
    <w:rsid w:val="005269FA"/>
    <w:rsid w:val="00526AC9"/>
    <w:rsid w:val="00526D41"/>
    <w:rsid w:val="00526E8B"/>
    <w:rsid w:val="0052719F"/>
    <w:rsid w:val="0052722C"/>
    <w:rsid w:val="00527247"/>
    <w:rsid w:val="00527484"/>
    <w:rsid w:val="005278DB"/>
    <w:rsid w:val="00527DA1"/>
    <w:rsid w:val="00527F91"/>
    <w:rsid w:val="0053000A"/>
    <w:rsid w:val="00530205"/>
    <w:rsid w:val="005302F2"/>
    <w:rsid w:val="00530403"/>
    <w:rsid w:val="005307D6"/>
    <w:rsid w:val="005307D7"/>
    <w:rsid w:val="00530805"/>
    <w:rsid w:val="00530AA7"/>
    <w:rsid w:val="00530BE1"/>
    <w:rsid w:val="0053103A"/>
    <w:rsid w:val="00531496"/>
    <w:rsid w:val="00531706"/>
    <w:rsid w:val="00531B05"/>
    <w:rsid w:val="00531D30"/>
    <w:rsid w:val="00531E24"/>
    <w:rsid w:val="00531F17"/>
    <w:rsid w:val="00532468"/>
    <w:rsid w:val="00532519"/>
    <w:rsid w:val="0053298E"/>
    <w:rsid w:val="00533123"/>
    <w:rsid w:val="005331A2"/>
    <w:rsid w:val="0053351D"/>
    <w:rsid w:val="00533766"/>
    <w:rsid w:val="00533794"/>
    <w:rsid w:val="005339F3"/>
    <w:rsid w:val="00533A02"/>
    <w:rsid w:val="00533AC4"/>
    <w:rsid w:val="00533D56"/>
    <w:rsid w:val="00533DD3"/>
    <w:rsid w:val="00533E5A"/>
    <w:rsid w:val="00534414"/>
    <w:rsid w:val="0053472F"/>
    <w:rsid w:val="005347C7"/>
    <w:rsid w:val="00534874"/>
    <w:rsid w:val="0053488C"/>
    <w:rsid w:val="005349A3"/>
    <w:rsid w:val="00534C7A"/>
    <w:rsid w:val="00535528"/>
    <w:rsid w:val="005358CC"/>
    <w:rsid w:val="00535A78"/>
    <w:rsid w:val="00535B50"/>
    <w:rsid w:val="00535D3F"/>
    <w:rsid w:val="00535ED2"/>
    <w:rsid w:val="0053624B"/>
    <w:rsid w:val="00536ADD"/>
    <w:rsid w:val="00536D7D"/>
    <w:rsid w:val="00536F1E"/>
    <w:rsid w:val="00536F2D"/>
    <w:rsid w:val="0053713A"/>
    <w:rsid w:val="005373C8"/>
    <w:rsid w:val="00537891"/>
    <w:rsid w:val="005402CE"/>
    <w:rsid w:val="00540447"/>
    <w:rsid w:val="005406D0"/>
    <w:rsid w:val="0054094D"/>
    <w:rsid w:val="005409D8"/>
    <w:rsid w:val="00540F4E"/>
    <w:rsid w:val="00541049"/>
    <w:rsid w:val="00541152"/>
    <w:rsid w:val="005411A8"/>
    <w:rsid w:val="005412DF"/>
    <w:rsid w:val="0054153F"/>
    <w:rsid w:val="005416F1"/>
    <w:rsid w:val="00541747"/>
    <w:rsid w:val="005418A7"/>
    <w:rsid w:val="00542042"/>
    <w:rsid w:val="0054221F"/>
    <w:rsid w:val="00542390"/>
    <w:rsid w:val="0054296F"/>
    <w:rsid w:val="00542A2B"/>
    <w:rsid w:val="00542BE1"/>
    <w:rsid w:val="005430B1"/>
    <w:rsid w:val="0054311D"/>
    <w:rsid w:val="0054333B"/>
    <w:rsid w:val="005433DF"/>
    <w:rsid w:val="005440F1"/>
    <w:rsid w:val="005442BA"/>
    <w:rsid w:val="005446E6"/>
    <w:rsid w:val="005447DB"/>
    <w:rsid w:val="00544DFD"/>
    <w:rsid w:val="00544E1F"/>
    <w:rsid w:val="00545457"/>
    <w:rsid w:val="00545697"/>
    <w:rsid w:val="00545B48"/>
    <w:rsid w:val="00545D2D"/>
    <w:rsid w:val="00545E5B"/>
    <w:rsid w:val="00546209"/>
    <w:rsid w:val="0054620A"/>
    <w:rsid w:val="005462CD"/>
    <w:rsid w:val="00546389"/>
    <w:rsid w:val="00546396"/>
    <w:rsid w:val="0054643C"/>
    <w:rsid w:val="005464F2"/>
    <w:rsid w:val="00546500"/>
    <w:rsid w:val="0054659B"/>
    <w:rsid w:val="00546815"/>
    <w:rsid w:val="0054681E"/>
    <w:rsid w:val="00546A60"/>
    <w:rsid w:val="00546B72"/>
    <w:rsid w:val="00546E06"/>
    <w:rsid w:val="005470FA"/>
    <w:rsid w:val="00547143"/>
    <w:rsid w:val="0054770A"/>
    <w:rsid w:val="005477CD"/>
    <w:rsid w:val="0054782A"/>
    <w:rsid w:val="00547AD9"/>
    <w:rsid w:val="00547EE7"/>
    <w:rsid w:val="00550436"/>
    <w:rsid w:val="00550962"/>
    <w:rsid w:val="005509EC"/>
    <w:rsid w:val="00550A62"/>
    <w:rsid w:val="00550B20"/>
    <w:rsid w:val="00551479"/>
    <w:rsid w:val="00551772"/>
    <w:rsid w:val="005518C5"/>
    <w:rsid w:val="00551E7C"/>
    <w:rsid w:val="0055223A"/>
    <w:rsid w:val="005522D7"/>
    <w:rsid w:val="00552817"/>
    <w:rsid w:val="0055299A"/>
    <w:rsid w:val="00552CE7"/>
    <w:rsid w:val="00552EAF"/>
    <w:rsid w:val="00552FCE"/>
    <w:rsid w:val="0055317E"/>
    <w:rsid w:val="0055362A"/>
    <w:rsid w:val="00553820"/>
    <w:rsid w:val="005538AD"/>
    <w:rsid w:val="005538E1"/>
    <w:rsid w:val="00553C62"/>
    <w:rsid w:val="00553D5F"/>
    <w:rsid w:val="00553E06"/>
    <w:rsid w:val="00554058"/>
    <w:rsid w:val="005544AC"/>
    <w:rsid w:val="00554A98"/>
    <w:rsid w:val="00554AE3"/>
    <w:rsid w:val="005552EB"/>
    <w:rsid w:val="005556DD"/>
    <w:rsid w:val="0055585F"/>
    <w:rsid w:val="005558DC"/>
    <w:rsid w:val="00555C32"/>
    <w:rsid w:val="005563C1"/>
    <w:rsid w:val="0055641B"/>
    <w:rsid w:val="005564FE"/>
    <w:rsid w:val="00556590"/>
    <w:rsid w:val="0055673E"/>
    <w:rsid w:val="00556C5A"/>
    <w:rsid w:val="00556C86"/>
    <w:rsid w:val="00556C9A"/>
    <w:rsid w:val="0055731A"/>
    <w:rsid w:val="0055733C"/>
    <w:rsid w:val="0055796F"/>
    <w:rsid w:val="00557D5A"/>
    <w:rsid w:val="00560326"/>
    <w:rsid w:val="00560AEF"/>
    <w:rsid w:val="00560B64"/>
    <w:rsid w:val="00560BCC"/>
    <w:rsid w:val="00560E1F"/>
    <w:rsid w:val="00561604"/>
    <w:rsid w:val="00561898"/>
    <w:rsid w:val="00561AA3"/>
    <w:rsid w:val="00561BC6"/>
    <w:rsid w:val="00562714"/>
    <w:rsid w:val="00562742"/>
    <w:rsid w:val="00562AC8"/>
    <w:rsid w:val="00562BEE"/>
    <w:rsid w:val="00562D4A"/>
    <w:rsid w:val="00562DC9"/>
    <w:rsid w:val="00562EA4"/>
    <w:rsid w:val="00563934"/>
    <w:rsid w:val="00563BBC"/>
    <w:rsid w:val="00563FD7"/>
    <w:rsid w:val="00565088"/>
    <w:rsid w:val="005650A1"/>
    <w:rsid w:val="0056510D"/>
    <w:rsid w:val="00565202"/>
    <w:rsid w:val="005655CE"/>
    <w:rsid w:val="00565807"/>
    <w:rsid w:val="0056580D"/>
    <w:rsid w:val="00565F45"/>
    <w:rsid w:val="005661F3"/>
    <w:rsid w:val="005668D1"/>
    <w:rsid w:val="0056696B"/>
    <w:rsid w:val="00566B50"/>
    <w:rsid w:val="00566E3A"/>
    <w:rsid w:val="0056708F"/>
    <w:rsid w:val="005670FB"/>
    <w:rsid w:val="0056766C"/>
    <w:rsid w:val="00567A0C"/>
    <w:rsid w:val="00567A14"/>
    <w:rsid w:val="00567C77"/>
    <w:rsid w:val="00567D1A"/>
    <w:rsid w:val="00570079"/>
    <w:rsid w:val="0057044E"/>
    <w:rsid w:val="005708EB"/>
    <w:rsid w:val="0057148E"/>
    <w:rsid w:val="005714BD"/>
    <w:rsid w:val="005715B3"/>
    <w:rsid w:val="00571D8D"/>
    <w:rsid w:val="00571E28"/>
    <w:rsid w:val="00571F19"/>
    <w:rsid w:val="0057221C"/>
    <w:rsid w:val="00572595"/>
    <w:rsid w:val="0057262F"/>
    <w:rsid w:val="0057266C"/>
    <w:rsid w:val="00572AF9"/>
    <w:rsid w:val="00572E1B"/>
    <w:rsid w:val="00573006"/>
    <w:rsid w:val="0057301B"/>
    <w:rsid w:val="005731D9"/>
    <w:rsid w:val="005733B5"/>
    <w:rsid w:val="0057390F"/>
    <w:rsid w:val="00573928"/>
    <w:rsid w:val="00573AD5"/>
    <w:rsid w:val="00573B70"/>
    <w:rsid w:val="00573DF1"/>
    <w:rsid w:val="005740BC"/>
    <w:rsid w:val="0057421E"/>
    <w:rsid w:val="00574610"/>
    <w:rsid w:val="00574659"/>
    <w:rsid w:val="00574A82"/>
    <w:rsid w:val="00574B72"/>
    <w:rsid w:val="00575332"/>
    <w:rsid w:val="00575452"/>
    <w:rsid w:val="00575776"/>
    <w:rsid w:val="00575872"/>
    <w:rsid w:val="00575D90"/>
    <w:rsid w:val="005764BD"/>
    <w:rsid w:val="0057656F"/>
    <w:rsid w:val="00576774"/>
    <w:rsid w:val="005769BC"/>
    <w:rsid w:val="00576AD2"/>
    <w:rsid w:val="00576DBA"/>
    <w:rsid w:val="00576F05"/>
    <w:rsid w:val="00577153"/>
    <w:rsid w:val="005773FA"/>
    <w:rsid w:val="00577459"/>
    <w:rsid w:val="00577DF2"/>
    <w:rsid w:val="0058020A"/>
    <w:rsid w:val="00580714"/>
    <w:rsid w:val="00580819"/>
    <w:rsid w:val="00580B55"/>
    <w:rsid w:val="005810B0"/>
    <w:rsid w:val="005810EB"/>
    <w:rsid w:val="0058113B"/>
    <w:rsid w:val="0058149D"/>
    <w:rsid w:val="00581562"/>
    <w:rsid w:val="00581658"/>
    <w:rsid w:val="00581AD8"/>
    <w:rsid w:val="00581BBC"/>
    <w:rsid w:val="00581BED"/>
    <w:rsid w:val="00581C13"/>
    <w:rsid w:val="00581CED"/>
    <w:rsid w:val="00581D7D"/>
    <w:rsid w:val="00581F0F"/>
    <w:rsid w:val="005820A2"/>
    <w:rsid w:val="00582128"/>
    <w:rsid w:val="0058246B"/>
    <w:rsid w:val="0058256A"/>
    <w:rsid w:val="00582A34"/>
    <w:rsid w:val="00582A70"/>
    <w:rsid w:val="00582F5F"/>
    <w:rsid w:val="00583128"/>
    <w:rsid w:val="00583282"/>
    <w:rsid w:val="00583397"/>
    <w:rsid w:val="0058342A"/>
    <w:rsid w:val="0058379B"/>
    <w:rsid w:val="005838DE"/>
    <w:rsid w:val="005839DA"/>
    <w:rsid w:val="00583A7B"/>
    <w:rsid w:val="00584011"/>
    <w:rsid w:val="00584064"/>
    <w:rsid w:val="0058492B"/>
    <w:rsid w:val="0058498A"/>
    <w:rsid w:val="00584EE4"/>
    <w:rsid w:val="0058513F"/>
    <w:rsid w:val="005858D5"/>
    <w:rsid w:val="0058590E"/>
    <w:rsid w:val="00585B95"/>
    <w:rsid w:val="00585D18"/>
    <w:rsid w:val="00585D3D"/>
    <w:rsid w:val="00585E24"/>
    <w:rsid w:val="005864EF"/>
    <w:rsid w:val="00586663"/>
    <w:rsid w:val="005867F2"/>
    <w:rsid w:val="00586B2F"/>
    <w:rsid w:val="00586B9D"/>
    <w:rsid w:val="00586C5A"/>
    <w:rsid w:val="00586D40"/>
    <w:rsid w:val="00586DB5"/>
    <w:rsid w:val="0058712E"/>
    <w:rsid w:val="0058748B"/>
    <w:rsid w:val="00587567"/>
    <w:rsid w:val="005877EE"/>
    <w:rsid w:val="0058792E"/>
    <w:rsid w:val="00587BBB"/>
    <w:rsid w:val="00587CE8"/>
    <w:rsid w:val="00590072"/>
    <w:rsid w:val="005900BC"/>
    <w:rsid w:val="00590CFB"/>
    <w:rsid w:val="00590D8F"/>
    <w:rsid w:val="00590DAB"/>
    <w:rsid w:val="00590F17"/>
    <w:rsid w:val="005913A6"/>
    <w:rsid w:val="00591499"/>
    <w:rsid w:val="005914FD"/>
    <w:rsid w:val="005916DA"/>
    <w:rsid w:val="00591707"/>
    <w:rsid w:val="00591831"/>
    <w:rsid w:val="00591843"/>
    <w:rsid w:val="00591DF5"/>
    <w:rsid w:val="00591E08"/>
    <w:rsid w:val="00591F56"/>
    <w:rsid w:val="005920CF"/>
    <w:rsid w:val="0059219F"/>
    <w:rsid w:val="005921D6"/>
    <w:rsid w:val="005922AD"/>
    <w:rsid w:val="0059247B"/>
    <w:rsid w:val="005924B1"/>
    <w:rsid w:val="005929EE"/>
    <w:rsid w:val="00592BCD"/>
    <w:rsid w:val="00592CE4"/>
    <w:rsid w:val="00592D83"/>
    <w:rsid w:val="00592DA7"/>
    <w:rsid w:val="00592E7D"/>
    <w:rsid w:val="00592F3C"/>
    <w:rsid w:val="00593300"/>
    <w:rsid w:val="00593595"/>
    <w:rsid w:val="00593BAA"/>
    <w:rsid w:val="00593BEF"/>
    <w:rsid w:val="00593CCC"/>
    <w:rsid w:val="00593F10"/>
    <w:rsid w:val="00594B27"/>
    <w:rsid w:val="00594C79"/>
    <w:rsid w:val="00595027"/>
    <w:rsid w:val="005951CE"/>
    <w:rsid w:val="00595255"/>
    <w:rsid w:val="00595283"/>
    <w:rsid w:val="005954EE"/>
    <w:rsid w:val="00595523"/>
    <w:rsid w:val="005955F2"/>
    <w:rsid w:val="00595A8D"/>
    <w:rsid w:val="00595FBA"/>
    <w:rsid w:val="00596190"/>
    <w:rsid w:val="00596472"/>
    <w:rsid w:val="005968D0"/>
    <w:rsid w:val="00596A33"/>
    <w:rsid w:val="00596A62"/>
    <w:rsid w:val="00596BF3"/>
    <w:rsid w:val="00596E98"/>
    <w:rsid w:val="005970C8"/>
    <w:rsid w:val="005971DA"/>
    <w:rsid w:val="00597614"/>
    <w:rsid w:val="00597BBA"/>
    <w:rsid w:val="005A0240"/>
    <w:rsid w:val="005A09A5"/>
    <w:rsid w:val="005A0DFE"/>
    <w:rsid w:val="005A21CC"/>
    <w:rsid w:val="005A2B56"/>
    <w:rsid w:val="005A304A"/>
    <w:rsid w:val="005A34BE"/>
    <w:rsid w:val="005A35D8"/>
    <w:rsid w:val="005A3707"/>
    <w:rsid w:val="005A3BCE"/>
    <w:rsid w:val="005A461D"/>
    <w:rsid w:val="005A4747"/>
    <w:rsid w:val="005A5572"/>
    <w:rsid w:val="005A5B5F"/>
    <w:rsid w:val="005A5BF1"/>
    <w:rsid w:val="005A5C1B"/>
    <w:rsid w:val="005A5EE3"/>
    <w:rsid w:val="005A5FF9"/>
    <w:rsid w:val="005A61D3"/>
    <w:rsid w:val="005A632D"/>
    <w:rsid w:val="005A6D12"/>
    <w:rsid w:val="005A6F9B"/>
    <w:rsid w:val="005A71F7"/>
    <w:rsid w:val="005A72B3"/>
    <w:rsid w:val="005A72B7"/>
    <w:rsid w:val="005A7B0D"/>
    <w:rsid w:val="005A7B81"/>
    <w:rsid w:val="005B095C"/>
    <w:rsid w:val="005B0AA7"/>
    <w:rsid w:val="005B1291"/>
    <w:rsid w:val="005B1816"/>
    <w:rsid w:val="005B193C"/>
    <w:rsid w:val="005B1E53"/>
    <w:rsid w:val="005B21CC"/>
    <w:rsid w:val="005B2217"/>
    <w:rsid w:val="005B239E"/>
    <w:rsid w:val="005B2558"/>
    <w:rsid w:val="005B29FA"/>
    <w:rsid w:val="005B2E85"/>
    <w:rsid w:val="005B2FB3"/>
    <w:rsid w:val="005B3155"/>
    <w:rsid w:val="005B34DA"/>
    <w:rsid w:val="005B3C0C"/>
    <w:rsid w:val="005B3D17"/>
    <w:rsid w:val="005B3F88"/>
    <w:rsid w:val="005B42F3"/>
    <w:rsid w:val="005B4607"/>
    <w:rsid w:val="005B557D"/>
    <w:rsid w:val="005B5AFA"/>
    <w:rsid w:val="005B5C64"/>
    <w:rsid w:val="005B5D0D"/>
    <w:rsid w:val="005B5FC2"/>
    <w:rsid w:val="005B60E6"/>
    <w:rsid w:val="005B6DB7"/>
    <w:rsid w:val="005B6F05"/>
    <w:rsid w:val="005B6F93"/>
    <w:rsid w:val="005B7196"/>
    <w:rsid w:val="005B72D5"/>
    <w:rsid w:val="005B764E"/>
    <w:rsid w:val="005B7C53"/>
    <w:rsid w:val="005B7CD8"/>
    <w:rsid w:val="005C0092"/>
    <w:rsid w:val="005C00AE"/>
    <w:rsid w:val="005C0342"/>
    <w:rsid w:val="005C0349"/>
    <w:rsid w:val="005C0482"/>
    <w:rsid w:val="005C051A"/>
    <w:rsid w:val="005C06DD"/>
    <w:rsid w:val="005C0957"/>
    <w:rsid w:val="005C0B50"/>
    <w:rsid w:val="005C0FFD"/>
    <w:rsid w:val="005C103C"/>
    <w:rsid w:val="005C1446"/>
    <w:rsid w:val="005C1AFF"/>
    <w:rsid w:val="005C1B06"/>
    <w:rsid w:val="005C1EA5"/>
    <w:rsid w:val="005C1EF9"/>
    <w:rsid w:val="005C2175"/>
    <w:rsid w:val="005C24B0"/>
    <w:rsid w:val="005C3693"/>
    <w:rsid w:val="005C3D32"/>
    <w:rsid w:val="005C3EE6"/>
    <w:rsid w:val="005C4125"/>
    <w:rsid w:val="005C41F4"/>
    <w:rsid w:val="005C4524"/>
    <w:rsid w:val="005C49F9"/>
    <w:rsid w:val="005C4AE2"/>
    <w:rsid w:val="005C4B12"/>
    <w:rsid w:val="005C4F9C"/>
    <w:rsid w:val="005C5659"/>
    <w:rsid w:val="005C5813"/>
    <w:rsid w:val="005C58A0"/>
    <w:rsid w:val="005C5918"/>
    <w:rsid w:val="005C65BE"/>
    <w:rsid w:val="005C67BA"/>
    <w:rsid w:val="005C67DB"/>
    <w:rsid w:val="005C6805"/>
    <w:rsid w:val="005C6C1A"/>
    <w:rsid w:val="005C6DEE"/>
    <w:rsid w:val="005C6E79"/>
    <w:rsid w:val="005C7065"/>
    <w:rsid w:val="005C724C"/>
    <w:rsid w:val="005C7304"/>
    <w:rsid w:val="005C7F01"/>
    <w:rsid w:val="005D032E"/>
    <w:rsid w:val="005D0C6E"/>
    <w:rsid w:val="005D0CB7"/>
    <w:rsid w:val="005D0E97"/>
    <w:rsid w:val="005D1450"/>
    <w:rsid w:val="005D1610"/>
    <w:rsid w:val="005D1681"/>
    <w:rsid w:val="005D17BB"/>
    <w:rsid w:val="005D1EED"/>
    <w:rsid w:val="005D20CD"/>
    <w:rsid w:val="005D218C"/>
    <w:rsid w:val="005D2223"/>
    <w:rsid w:val="005D274B"/>
    <w:rsid w:val="005D27CF"/>
    <w:rsid w:val="005D28A0"/>
    <w:rsid w:val="005D2910"/>
    <w:rsid w:val="005D2D9F"/>
    <w:rsid w:val="005D36FC"/>
    <w:rsid w:val="005D37E5"/>
    <w:rsid w:val="005D385B"/>
    <w:rsid w:val="005D3A66"/>
    <w:rsid w:val="005D485D"/>
    <w:rsid w:val="005D4E78"/>
    <w:rsid w:val="005D51ED"/>
    <w:rsid w:val="005D521B"/>
    <w:rsid w:val="005D5713"/>
    <w:rsid w:val="005D591B"/>
    <w:rsid w:val="005D59B6"/>
    <w:rsid w:val="005D5EFB"/>
    <w:rsid w:val="005D637B"/>
    <w:rsid w:val="005D64EB"/>
    <w:rsid w:val="005D66EA"/>
    <w:rsid w:val="005D67F9"/>
    <w:rsid w:val="005D6E72"/>
    <w:rsid w:val="005D6FA1"/>
    <w:rsid w:val="005D73F4"/>
    <w:rsid w:val="005D781A"/>
    <w:rsid w:val="005D7DF6"/>
    <w:rsid w:val="005D7E20"/>
    <w:rsid w:val="005E0573"/>
    <w:rsid w:val="005E060C"/>
    <w:rsid w:val="005E067F"/>
    <w:rsid w:val="005E0FCD"/>
    <w:rsid w:val="005E10EF"/>
    <w:rsid w:val="005E139D"/>
    <w:rsid w:val="005E19E4"/>
    <w:rsid w:val="005E1A45"/>
    <w:rsid w:val="005E1EF8"/>
    <w:rsid w:val="005E2195"/>
    <w:rsid w:val="005E2296"/>
    <w:rsid w:val="005E238B"/>
    <w:rsid w:val="005E269C"/>
    <w:rsid w:val="005E2A6B"/>
    <w:rsid w:val="005E2AA5"/>
    <w:rsid w:val="005E2ED5"/>
    <w:rsid w:val="005E2F77"/>
    <w:rsid w:val="005E33B9"/>
    <w:rsid w:val="005E36BF"/>
    <w:rsid w:val="005E3777"/>
    <w:rsid w:val="005E382A"/>
    <w:rsid w:val="005E391E"/>
    <w:rsid w:val="005E3B46"/>
    <w:rsid w:val="005E3CA9"/>
    <w:rsid w:val="005E3DC3"/>
    <w:rsid w:val="005E423B"/>
    <w:rsid w:val="005E43ED"/>
    <w:rsid w:val="005E453E"/>
    <w:rsid w:val="005E45DB"/>
    <w:rsid w:val="005E49A1"/>
    <w:rsid w:val="005E4D3B"/>
    <w:rsid w:val="005E4FC6"/>
    <w:rsid w:val="005E5021"/>
    <w:rsid w:val="005E5085"/>
    <w:rsid w:val="005E50CC"/>
    <w:rsid w:val="005E5225"/>
    <w:rsid w:val="005E527D"/>
    <w:rsid w:val="005E54D0"/>
    <w:rsid w:val="005E560C"/>
    <w:rsid w:val="005E5E1F"/>
    <w:rsid w:val="005E6A79"/>
    <w:rsid w:val="005E6C0A"/>
    <w:rsid w:val="005E6C73"/>
    <w:rsid w:val="005E6E3F"/>
    <w:rsid w:val="005E6E45"/>
    <w:rsid w:val="005E6F61"/>
    <w:rsid w:val="005E7242"/>
    <w:rsid w:val="005E74A8"/>
    <w:rsid w:val="005E7545"/>
    <w:rsid w:val="005E770E"/>
    <w:rsid w:val="005E7C71"/>
    <w:rsid w:val="005E7E78"/>
    <w:rsid w:val="005E7E96"/>
    <w:rsid w:val="005E7F5E"/>
    <w:rsid w:val="005F0251"/>
    <w:rsid w:val="005F0897"/>
    <w:rsid w:val="005F097E"/>
    <w:rsid w:val="005F0994"/>
    <w:rsid w:val="005F12F0"/>
    <w:rsid w:val="005F14B3"/>
    <w:rsid w:val="005F14B4"/>
    <w:rsid w:val="005F1E2D"/>
    <w:rsid w:val="005F2599"/>
    <w:rsid w:val="005F265E"/>
    <w:rsid w:val="005F269E"/>
    <w:rsid w:val="005F2788"/>
    <w:rsid w:val="005F2950"/>
    <w:rsid w:val="005F2990"/>
    <w:rsid w:val="005F29C5"/>
    <w:rsid w:val="005F2A3A"/>
    <w:rsid w:val="005F2EBC"/>
    <w:rsid w:val="005F335A"/>
    <w:rsid w:val="005F339F"/>
    <w:rsid w:val="005F3585"/>
    <w:rsid w:val="005F397F"/>
    <w:rsid w:val="005F3998"/>
    <w:rsid w:val="005F39A6"/>
    <w:rsid w:val="005F3BC5"/>
    <w:rsid w:val="005F3F09"/>
    <w:rsid w:val="005F4046"/>
    <w:rsid w:val="005F404B"/>
    <w:rsid w:val="005F4173"/>
    <w:rsid w:val="005F4606"/>
    <w:rsid w:val="005F464F"/>
    <w:rsid w:val="005F4A1F"/>
    <w:rsid w:val="005F4DDA"/>
    <w:rsid w:val="005F50F4"/>
    <w:rsid w:val="005F5845"/>
    <w:rsid w:val="005F5999"/>
    <w:rsid w:val="005F5F5D"/>
    <w:rsid w:val="005F66EF"/>
    <w:rsid w:val="005F67C3"/>
    <w:rsid w:val="005F6C53"/>
    <w:rsid w:val="005F6D3D"/>
    <w:rsid w:val="005F7028"/>
    <w:rsid w:val="005F71DB"/>
    <w:rsid w:val="005F774E"/>
    <w:rsid w:val="005F7DB3"/>
    <w:rsid w:val="00600B12"/>
    <w:rsid w:val="00600D9D"/>
    <w:rsid w:val="00600E93"/>
    <w:rsid w:val="0060163F"/>
    <w:rsid w:val="00601C66"/>
    <w:rsid w:val="0060228B"/>
    <w:rsid w:val="00602589"/>
    <w:rsid w:val="00602B8E"/>
    <w:rsid w:val="00602D4A"/>
    <w:rsid w:val="00602EC7"/>
    <w:rsid w:val="00602F8B"/>
    <w:rsid w:val="0060300E"/>
    <w:rsid w:val="006030E8"/>
    <w:rsid w:val="006032B7"/>
    <w:rsid w:val="006033C4"/>
    <w:rsid w:val="00603A3C"/>
    <w:rsid w:val="00603AA9"/>
    <w:rsid w:val="00603CFA"/>
    <w:rsid w:val="00603D2C"/>
    <w:rsid w:val="00605171"/>
    <w:rsid w:val="00605364"/>
    <w:rsid w:val="00605544"/>
    <w:rsid w:val="006059B1"/>
    <w:rsid w:val="006059E2"/>
    <w:rsid w:val="00605DC7"/>
    <w:rsid w:val="00605E0E"/>
    <w:rsid w:val="00606098"/>
    <w:rsid w:val="00606545"/>
    <w:rsid w:val="006067DB"/>
    <w:rsid w:val="00606887"/>
    <w:rsid w:val="006068A7"/>
    <w:rsid w:val="00606C37"/>
    <w:rsid w:val="00606C7D"/>
    <w:rsid w:val="00606DB3"/>
    <w:rsid w:val="00607239"/>
    <w:rsid w:val="006072F3"/>
    <w:rsid w:val="006074C4"/>
    <w:rsid w:val="006077F1"/>
    <w:rsid w:val="00607BDC"/>
    <w:rsid w:val="00607CDA"/>
    <w:rsid w:val="00610296"/>
    <w:rsid w:val="00610568"/>
    <w:rsid w:val="0061059A"/>
    <w:rsid w:val="0061078C"/>
    <w:rsid w:val="00610991"/>
    <w:rsid w:val="00610B0E"/>
    <w:rsid w:val="00610BA5"/>
    <w:rsid w:val="00610E6F"/>
    <w:rsid w:val="00610ECE"/>
    <w:rsid w:val="006110F1"/>
    <w:rsid w:val="00611125"/>
    <w:rsid w:val="006111B7"/>
    <w:rsid w:val="006113F7"/>
    <w:rsid w:val="00611B73"/>
    <w:rsid w:val="006120FF"/>
    <w:rsid w:val="00612118"/>
    <w:rsid w:val="0061275C"/>
    <w:rsid w:val="00612D53"/>
    <w:rsid w:val="006131F4"/>
    <w:rsid w:val="006132C6"/>
    <w:rsid w:val="00613375"/>
    <w:rsid w:val="00613868"/>
    <w:rsid w:val="00613D78"/>
    <w:rsid w:val="00613F0C"/>
    <w:rsid w:val="00613FE8"/>
    <w:rsid w:val="00614210"/>
    <w:rsid w:val="006146B4"/>
    <w:rsid w:val="00614B1C"/>
    <w:rsid w:val="00614ECB"/>
    <w:rsid w:val="00614FA2"/>
    <w:rsid w:val="0061555C"/>
    <w:rsid w:val="006155F4"/>
    <w:rsid w:val="00615A41"/>
    <w:rsid w:val="00615E5A"/>
    <w:rsid w:val="0061609A"/>
    <w:rsid w:val="00616106"/>
    <w:rsid w:val="0061651B"/>
    <w:rsid w:val="00616745"/>
    <w:rsid w:val="00616841"/>
    <w:rsid w:val="00616E1E"/>
    <w:rsid w:val="00617109"/>
    <w:rsid w:val="00617485"/>
    <w:rsid w:val="006175FB"/>
    <w:rsid w:val="006178E5"/>
    <w:rsid w:val="00617E3C"/>
    <w:rsid w:val="0062033C"/>
    <w:rsid w:val="006204B0"/>
    <w:rsid w:val="006207C8"/>
    <w:rsid w:val="006209A4"/>
    <w:rsid w:val="00620BDF"/>
    <w:rsid w:val="00620C43"/>
    <w:rsid w:val="00620E12"/>
    <w:rsid w:val="00620F2E"/>
    <w:rsid w:val="00621093"/>
    <w:rsid w:val="006211CF"/>
    <w:rsid w:val="006214E6"/>
    <w:rsid w:val="00621A8D"/>
    <w:rsid w:val="00621B5C"/>
    <w:rsid w:val="00621F45"/>
    <w:rsid w:val="00621F94"/>
    <w:rsid w:val="0062232A"/>
    <w:rsid w:val="00622A75"/>
    <w:rsid w:val="00622C56"/>
    <w:rsid w:val="00622CD2"/>
    <w:rsid w:val="00622F9A"/>
    <w:rsid w:val="00623017"/>
    <w:rsid w:val="00623047"/>
    <w:rsid w:val="00623253"/>
    <w:rsid w:val="006234D2"/>
    <w:rsid w:val="00623756"/>
    <w:rsid w:val="006239A9"/>
    <w:rsid w:val="00623A02"/>
    <w:rsid w:val="00623CB6"/>
    <w:rsid w:val="00623D5A"/>
    <w:rsid w:val="00623E99"/>
    <w:rsid w:val="006241D3"/>
    <w:rsid w:val="006243C5"/>
    <w:rsid w:val="006247A1"/>
    <w:rsid w:val="00624AA5"/>
    <w:rsid w:val="00624B25"/>
    <w:rsid w:val="00624BF9"/>
    <w:rsid w:val="00624CD2"/>
    <w:rsid w:val="006251EE"/>
    <w:rsid w:val="00625292"/>
    <w:rsid w:val="00625925"/>
    <w:rsid w:val="00625966"/>
    <w:rsid w:val="006259EE"/>
    <w:rsid w:val="00625B3B"/>
    <w:rsid w:val="00625B92"/>
    <w:rsid w:val="00625F05"/>
    <w:rsid w:val="00626087"/>
    <w:rsid w:val="0062610C"/>
    <w:rsid w:val="0062622E"/>
    <w:rsid w:val="00626407"/>
    <w:rsid w:val="00626878"/>
    <w:rsid w:val="00626D7A"/>
    <w:rsid w:val="006270A0"/>
    <w:rsid w:val="00627276"/>
    <w:rsid w:val="00627469"/>
    <w:rsid w:val="0062785E"/>
    <w:rsid w:val="00627A00"/>
    <w:rsid w:val="00627B8F"/>
    <w:rsid w:val="00627C16"/>
    <w:rsid w:val="00627C61"/>
    <w:rsid w:val="00630006"/>
    <w:rsid w:val="006300F0"/>
    <w:rsid w:val="00630173"/>
    <w:rsid w:val="0063023E"/>
    <w:rsid w:val="0063027F"/>
    <w:rsid w:val="00630485"/>
    <w:rsid w:val="006307C3"/>
    <w:rsid w:val="0063081A"/>
    <w:rsid w:val="006309CC"/>
    <w:rsid w:val="00630BD3"/>
    <w:rsid w:val="00630C5C"/>
    <w:rsid w:val="00630DF5"/>
    <w:rsid w:val="00630E1C"/>
    <w:rsid w:val="00631352"/>
    <w:rsid w:val="006317BB"/>
    <w:rsid w:val="00631B3D"/>
    <w:rsid w:val="00631C95"/>
    <w:rsid w:val="00631FD0"/>
    <w:rsid w:val="006322BD"/>
    <w:rsid w:val="00632549"/>
    <w:rsid w:val="00632841"/>
    <w:rsid w:val="00632871"/>
    <w:rsid w:val="00632999"/>
    <w:rsid w:val="00632B5B"/>
    <w:rsid w:val="006332A0"/>
    <w:rsid w:val="006336A3"/>
    <w:rsid w:val="006340D1"/>
    <w:rsid w:val="00634296"/>
    <w:rsid w:val="00634670"/>
    <w:rsid w:val="006346EF"/>
    <w:rsid w:val="00634844"/>
    <w:rsid w:val="006349DD"/>
    <w:rsid w:val="00634ECB"/>
    <w:rsid w:val="0063516F"/>
    <w:rsid w:val="00635243"/>
    <w:rsid w:val="006357CC"/>
    <w:rsid w:val="00635903"/>
    <w:rsid w:val="00635C65"/>
    <w:rsid w:val="00635C6C"/>
    <w:rsid w:val="006366C2"/>
    <w:rsid w:val="0063688A"/>
    <w:rsid w:val="006371D5"/>
    <w:rsid w:val="006372A6"/>
    <w:rsid w:val="0063738B"/>
    <w:rsid w:val="00637433"/>
    <w:rsid w:val="00637E74"/>
    <w:rsid w:val="00637F8D"/>
    <w:rsid w:val="0064002C"/>
    <w:rsid w:val="00640036"/>
    <w:rsid w:val="006405CA"/>
    <w:rsid w:val="006405FB"/>
    <w:rsid w:val="0064063E"/>
    <w:rsid w:val="00640C54"/>
    <w:rsid w:val="00640DD6"/>
    <w:rsid w:val="0064170C"/>
    <w:rsid w:val="006417BE"/>
    <w:rsid w:val="00641B2A"/>
    <w:rsid w:val="00642890"/>
    <w:rsid w:val="00642A97"/>
    <w:rsid w:val="00642CBC"/>
    <w:rsid w:val="00642DCF"/>
    <w:rsid w:val="00643063"/>
    <w:rsid w:val="006439B7"/>
    <w:rsid w:val="0064411B"/>
    <w:rsid w:val="0064464D"/>
    <w:rsid w:val="006447EA"/>
    <w:rsid w:val="00644B14"/>
    <w:rsid w:val="00644C0E"/>
    <w:rsid w:val="00644DAD"/>
    <w:rsid w:val="00644F82"/>
    <w:rsid w:val="006451E4"/>
    <w:rsid w:val="006452C3"/>
    <w:rsid w:val="006453C8"/>
    <w:rsid w:val="006456DF"/>
    <w:rsid w:val="0064572D"/>
    <w:rsid w:val="0064597A"/>
    <w:rsid w:val="00645C9A"/>
    <w:rsid w:val="00645CBB"/>
    <w:rsid w:val="00645E1B"/>
    <w:rsid w:val="00645ECF"/>
    <w:rsid w:val="00645F77"/>
    <w:rsid w:val="00645FC2"/>
    <w:rsid w:val="00646993"/>
    <w:rsid w:val="00646BC2"/>
    <w:rsid w:val="00646DB9"/>
    <w:rsid w:val="00647352"/>
    <w:rsid w:val="00647383"/>
    <w:rsid w:val="006476D9"/>
    <w:rsid w:val="00647B5B"/>
    <w:rsid w:val="00647BD6"/>
    <w:rsid w:val="0065006C"/>
    <w:rsid w:val="006502BE"/>
    <w:rsid w:val="0065036D"/>
    <w:rsid w:val="0065082C"/>
    <w:rsid w:val="00650958"/>
    <w:rsid w:val="00650B27"/>
    <w:rsid w:val="00650BC6"/>
    <w:rsid w:val="00650D3F"/>
    <w:rsid w:val="00650D5C"/>
    <w:rsid w:val="00650E42"/>
    <w:rsid w:val="00650FD3"/>
    <w:rsid w:val="006513D1"/>
    <w:rsid w:val="00651530"/>
    <w:rsid w:val="00652121"/>
    <w:rsid w:val="00652267"/>
    <w:rsid w:val="0065228B"/>
    <w:rsid w:val="006522E3"/>
    <w:rsid w:val="006526E9"/>
    <w:rsid w:val="00652869"/>
    <w:rsid w:val="00652AB3"/>
    <w:rsid w:val="00652E60"/>
    <w:rsid w:val="00652EB2"/>
    <w:rsid w:val="00652F3D"/>
    <w:rsid w:val="006533DB"/>
    <w:rsid w:val="00653559"/>
    <w:rsid w:val="006543AF"/>
    <w:rsid w:val="00654564"/>
    <w:rsid w:val="00654B11"/>
    <w:rsid w:val="00654F11"/>
    <w:rsid w:val="006550D9"/>
    <w:rsid w:val="0065515F"/>
    <w:rsid w:val="00655172"/>
    <w:rsid w:val="006552FB"/>
    <w:rsid w:val="0065587E"/>
    <w:rsid w:val="00655B60"/>
    <w:rsid w:val="00655DBF"/>
    <w:rsid w:val="0065634C"/>
    <w:rsid w:val="0065645E"/>
    <w:rsid w:val="006565B3"/>
    <w:rsid w:val="006569C1"/>
    <w:rsid w:val="00656A71"/>
    <w:rsid w:val="00656BE7"/>
    <w:rsid w:val="00656E55"/>
    <w:rsid w:val="006579EC"/>
    <w:rsid w:val="00657AEB"/>
    <w:rsid w:val="00657F2E"/>
    <w:rsid w:val="00660269"/>
    <w:rsid w:val="0066037F"/>
    <w:rsid w:val="00660C67"/>
    <w:rsid w:val="00660FD1"/>
    <w:rsid w:val="00661617"/>
    <w:rsid w:val="00661875"/>
    <w:rsid w:val="006619CB"/>
    <w:rsid w:val="00661D2D"/>
    <w:rsid w:val="00661E2B"/>
    <w:rsid w:val="00662076"/>
    <w:rsid w:val="006621A3"/>
    <w:rsid w:val="0066239B"/>
    <w:rsid w:val="00662471"/>
    <w:rsid w:val="0066250F"/>
    <w:rsid w:val="006627F1"/>
    <w:rsid w:val="006628A3"/>
    <w:rsid w:val="006629C3"/>
    <w:rsid w:val="00662DF2"/>
    <w:rsid w:val="00662F11"/>
    <w:rsid w:val="00663251"/>
    <w:rsid w:val="0066344E"/>
    <w:rsid w:val="00663564"/>
    <w:rsid w:val="006637C3"/>
    <w:rsid w:val="00663959"/>
    <w:rsid w:val="0066399E"/>
    <w:rsid w:val="00663A27"/>
    <w:rsid w:val="006643C7"/>
    <w:rsid w:val="00664559"/>
    <w:rsid w:val="006645AA"/>
    <w:rsid w:val="00664873"/>
    <w:rsid w:val="006649E1"/>
    <w:rsid w:val="006649EF"/>
    <w:rsid w:val="00664B86"/>
    <w:rsid w:val="00664D37"/>
    <w:rsid w:val="00664DDC"/>
    <w:rsid w:val="00664EDA"/>
    <w:rsid w:val="00665053"/>
    <w:rsid w:val="00665459"/>
    <w:rsid w:val="006659BC"/>
    <w:rsid w:val="00665A25"/>
    <w:rsid w:val="00665A6B"/>
    <w:rsid w:val="00666001"/>
    <w:rsid w:val="00666185"/>
    <w:rsid w:val="006661DB"/>
    <w:rsid w:val="00666288"/>
    <w:rsid w:val="00666574"/>
    <w:rsid w:val="00666761"/>
    <w:rsid w:val="006669B5"/>
    <w:rsid w:val="006673F2"/>
    <w:rsid w:val="0066752C"/>
    <w:rsid w:val="00667B7D"/>
    <w:rsid w:val="00667DE2"/>
    <w:rsid w:val="00667E56"/>
    <w:rsid w:val="00667EEB"/>
    <w:rsid w:val="006702BE"/>
    <w:rsid w:val="00670701"/>
    <w:rsid w:val="006709C3"/>
    <w:rsid w:val="006709E1"/>
    <w:rsid w:val="00670ABE"/>
    <w:rsid w:val="00670AC8"/>
    <w:rsid w:val="00670B01"/>
    <w:rsid w:val="00670C28"/>
    <w:rsid w:val="00670F4C"/>
    <w:rsid w:val="00671286"/>
    <w:rsid w:val="00671675"/>
    <w:rsid w:val="00671827"/>
    <w:rsid w:val="00671835"/>
    <w:rsid w:val="006718B0"/>
    <w:rsid w:val="00671AF6"/>
    <w:rsid w:val="00671B1D"/>
    <w:rsid w:val="00671DE0"/>
    <w:rsid w:val="00672286"/>
    <w:rsid w:val="006724C1"/>
    <w:rsid w:val="006725A2"/>
    <w:rsid w:val="00672760"/>
    <w:rsid w:val="00672EE5"/>
    <w:rsid w:val="00672F45"/>
    <w:rsid w:val="00672FE4"/>
    <w:rsid w:val="0067308F"/>
    <w:rsid w:val="00673423"/>
    <w:rsid w:val="006738A1"/>
    <w:rsid w:val="00673CA6"/>
    <w:rsid w:val="00673D3F"/>
    <w:rsid w:val="00673E26"/>
    <w:rsid w:val="0067401C"/>
    <w:rsid w:val="006740C3"/>
    <w:rsid w:val="006743E0"/>
    <w:rsid w:val="006747E2"/>
    <w:rsid w:val="00674D49"/>
    <w:rsid w:val="00674FCA"/>
    <w:rsid w:val="0067526D"/>
    <w:rsid w:val="00675680"/>
    <w:rsid w:val="006759E5"/>
    <w:rsid w:val="0067609B"/>
    <w:rsid w:val="006760BF"/>
    <w:rsid w:val="00676620"/>
    <w:rsid w:val="00676B67"/>
    <w:rsid w:val="00676CD2"/>
    <w:rsid w:val="006770A1"/>
    <w:rsid w:val="00677128"/>
    <w:rsid w:val="0067751D"/>
    <w:rsid w:val="006777A6"/>
    <w:rsid w:val="006779E9"/>
    <w:rsid w:val="00677CB8"/>
    <w:rsid w:val="00680031"/>
    <w:rsid w:val="006802F4"/>
    <w:rsid w:val="00680667"/>
    <w:rsid w:val="0068081C"/>
    <w:rsid w:val="00680CB2"/>
    <w:rsid w:val="00681001"/>
    <w:rsid w:val="006811F1"/>
    <w:rsid w:val="0068133C"/>
    <w:rsid w:val="00681501"/>
    <w:rsid w:val="00681777"/>
    <w:rsid w:val="00681A84"/>
    <w:rsid w:val="00681B62"/>
    <w:rsid w:val="00681F6E"/>
    <w:rsid w:val="00681F9F"/>
    <w:rsid w:val="0068250D"/>
    <w:rsid w:val="0068256C"/>
    <w:rsid w:val="00682715"/>
    <w:rsid w:val="00682D6D"/>
    <w:rsid w:val="00682F0A"/>
    <w:rsid w:val="006833B5"/>
    <w:rsid w:val="00683500"/>
    <w:rsid w:val="0068394F"/>
    <w:rsid w:val="00683B03"/>
    <w:rsid w:val="00683B76"/>
    <w:rsid w:val="00683E90"/>
    <w:rsid w:val="006841F2"/>
    <w:rsid w:val="0068492D"/>
    <w:rsid w:val="00684AC0"/>
    <w:rsid w:val="00684B35"/>
    <w:rsid w:val="00684D47"/>
    <w:rsid w:val="00685171"/>
    <w:rsid w:val="006852D1"/>
    <w:rsid w:val="00685472"/>
    <w:rsid w:val="006854D6"/>
    <w:rsid w:val="0068562C"/>
    <w:rsid w:val="006857FF"/>
    <w:rsid w:val="00685B66"/>
    <w:rsid w:val="00686202"/>
    <w:rsid w:val="00686261"/>
    <w:rsid w:val="006862C2"/>
    <w:rsid w:val="00686487"/>
    <w:rsid w:val="00686AC9"/>
    <w:rsid w:val="006870DC"/>
    <w:rsid w:val="0068725B"/>
    <w:rsid w:val="006872B8"/>
    <w:rsid w:val="006876BD"/>
    <w:rsid w:val="00687750"/>
    <w:rsid w:val="00687A5E"/>
    <w:rsid w:val="00687A7C"/>
    <w:rsid w:val="00687B1F"/>
    <w:rsid w:val="00687B38"/>
    <w:rsid w:val="00687C66"/>
    <w:rsid w:val="00687CE3"/>
    <w:rsid w:val="006903E2"/>
    <w:rsid w:val="006904AD"/>
    <w:rsid w:val="006904D1"/>
    <w:rsid w:val="0069064C"/>
    <w:rsid w:val="006906D9"/>
    <w:rsid w:val="006909F3"/>
    <w:rsid w:val="00690C48"/>
    <w:rsid w:val="00691096"/>
    <w:rsid w:val="006910CF"/>
    <w:rsid w:val="006914B0"/>
    <w:rsid w:val="00691579"/>
    <w:rsid w:val="006915F8"/>
    <w:rsid w:val="0069170C"/>
    <w:rsid w:val="00691881"/>
    <w:rsid w:val="00691A79"/>
    <w:rsid w:val="00691DCD"/>
    <w:rsid w:val="006922F1"/>
    <w:rsid w:val="00692453"/>
    <w:rsid w:val="006927EB"/>
    <w:rsid w:val="006928B9"/>
    <w:rsid w:val="00692906"/>
    <w:rsid w:val="00692BEA"/>
    <w:rsid w:val="00692BEF"/>
    <w:rsid w:val="00692C28"/>
    <w:rsid w:val="006931A9"/>
    <w:rsid w:val="0069331B"/>
    <w:rsid w:val="006936E8"/>
    <w:rsid w:val="00693902"/>
    <w:rsid w:val="006939D5"/>
    <w:rsid w:val="006939DF"/>
    <w:rsid w:val="00693F05"/>
    <w:rsid w:val="00693FF8"/>
    <w:rsid w:val="0069413B"/>
    <w:rsid w:val="006941F0"/>
    <w:rsid w:val="0069454D"/>
    <w:rsid w:val="00694A85"/>
    <w:rsid w:val="00694DF5"/>
    <w:rsid w:val="006953D9"/>
    <w:rsid w:val="006953E0"/>
    <w:rsid w:val="006958C3"/>
    <w:rsid w:val="00695BC9"/>
    <w:rsid w:val="00695D73"/>
    <w:rsid w:val="00696318"/>
    <w:rsid w:val="00696326"/>
    <w:rsid w:val="006966BA"/>
    <w:rsid w:val="006970F0"/>
    <w:rsid w:val="00697105"/>
    <w:rsid w:val="006971EF"/>
    <w:rsid w:val="006973F6"/>
    <w:rsid w:val="0069760F"/>
    <w:rsid w:val="00697BEC"/>
    <w:rsid w:val="006A0272"/>
    <w:rsid w:val="006A0282"/>
    <w:rsid w:val="006A062D"/>
    <w:rsid w:val="006A0660"/>
    <w:rsid w:val="006A08A1"/>
    <w:rsid w:val="006A090B"/>
    <w:rsid w:val="006A097E"/>
    <w:rsid w:val="006A0B3F"/>
    <w:rsid w:val="006A0D15"/>
    <w:rsid w:val="006A0F1B"/>
    <w:rsid w:val="006A16E7"/>
    <w:rsid w:val="006A1708"/>
    <w:rsid w:val="006A18C8"/>
    <w:rsid w:val="006A1960"/>
    <w:rsid w:val="006A1C1B"/>
    <w:rsid w:val="006A1D3D"/>
    <w:rsid w:val="006A2198"/>
    <w:rsid w:val="006A245D"/>
    <w:rsid w:val="006A2522"/>
    <w:rsid w:val="006A2641"/>
    <w:rsid w:val="006A2881"/>
    <w:rsid w:val="006A2C53"/>
    <w:rsid w:val="006A2DA2"/>
    <w:rsid w:val="006A2DD5"/>
    <w:rsid w:val="006A2FCD"/>
    <w:rsid w:val="006A3DBA"/>
    <w:rsid w:val="006A404C"/>
    <w:rsid w:val="006A4198"/>
    <w:rsid w:val="006A47DC"/>
    <w:rsid w:val="006A48B3"/>
    <w:rsid w:val="006A4C46"/>
    <w:rsid w:val="006A5012"/>
    <w:rsid w:val="006A51C9"/>
    <w:rsid w:val="006A5A06"/>
    <w:rsid w:val="006A60CD"/>
    <w:rsid w:val="006A62E3"/>
    <w:rsid w:val="006A6526"/>
    <w:rsid w:val="006A66E4"/>
    <w:rsid w:val="006A6A23"/>
    <w:rsid w:val="006A6C23"/>
    <w:rsid w:val="006A6D89"/>
    <w:rsid w:val="006A6DFD"/>
    <w:rsid w:val="006A6EE6"/>
    <w:rsid w:val="006A7090"/>
    <w:rsid w:val="006A7466"/>
    <w:rsid w:val="006A7602"/>
    <w:rsid w:val="006A7643"/>
    <w:rsid w:val="006A77BE"/>
    <w:rsid w:val="006A781D"/>
    <w:rsid w:val="006A7B05"/>
    <w:rsid w:val="006A7D99"/>
    <w:rsid w:val="006A7F62"/>
    <w:rsid w:val="006B01FC"/>
    <w:rsid w:val="006B02E4"/>
    <w:rsid w:val="006B04CB"/>
    <w:rsid w:val="006B04FF"/>
    <w:rsid w:val="006B0799"/>
    <w:rsid w:val="006B0979"/>
    <w:rsid w:val="006B0DEF"/>
    <w:rsid w:val="006B0EA2"/>
    <w:rsid w:val="006B124F"/>
    <w:rsid w:val="006B158E"/>
    <w:rsid w:val="006B1769"/>
    <w:rsid w:val="006B1950"/>
    <w:rsid w:val="006B1CA6"/>
    <w:rsid w:val="006B21A7"/>
    <w:rsid w:val="006B23D4"/>
    <w:rsid w:val="006B266D"/>
    <w:rsid w:val="006B28E3"/>
    <w:rsid w:val="006B29E2"/>
    <w:rsid w:val="006B3109"/>
    <w:rsid w:val="006B312C"/>
    <w:rsid w:val="006B31B5"/>
    <w:rsid w:val="006B338E"/>
    <w:rsid w:val="006B33B6"/>
    <w:rsid w:val="006B369C"/>
    <w:rsid w:val="006B3F99"/>
    <w:rsid w:val="006B3FF3"/>
    <w:rsid w:val="006B43BA"/>
    <w:rsid w:val="006B4579"/>
    <w:rsid w:val="006B4739"/>
    <w:rsid w:val="006B47F4"/>
    <w:rsid w:val="006B4C99"/>
    <w:rsid w:val="006B4DA7"/>
    <w:rsid w:val="006B500D"/>
    <w:rsid w:val="006B52D9"/>
    <w:rsid w:val="006B5340"/>
    <w:rsid w:val="006B5569"/>
    <w:rsid w:val="006B55AE"/>
    <w:rsid w:val="006B577F"/>
    <w:rsid w:val="006B5D1E"/>
    <w:rsid w:val="006B5DE5"/>
    <w:rsid w:val="006B6250"/>
    <w:rsid w:val="006B6FE2"/>
    <w:rsid w:val="006B73F7"/>
    <w:rsid w:val="006B7590"/>
    <w:rsid w:val="006B79CE"/>
    <w:rsid w:val="006B7D90"/>
    <w:rsid w:val="006B7E86"/>
    <w:rsid w:val="006B7F8F"/>
    <w:rsid w:val="006C01B8"/>
    <w:rsid w:val="006C02C9"/>
    <w:rsid w:val="006C0457"/>
    <w:rsid w:val="006C053F"/>
    <w:rsid w:val="006C0594"/>
    <w:rsid w:val="006C05BE"/>
    <w:rsid w:val="006C0D6D"/>
    <w:rsid w:val="006C0F56"/>
    <w:rsid w:val="006C1340"/>
    <w:rsid w:val="006C1B2B"/>
    <w:rsid w:val="006C2183"/>
    <w:rsid w:val="006C273E"/>
    <w:rsid w:val="006C2770"/>
    <w:rsid w:val="006C29FF"/>
    <w:rsid w:val="006C2AAD"/>
    <w:rsid w:val="006C2E2A"/>
    <w:rsid w:val="006C2EA4"/>
    <w:rsid w:val="006C2EA6"/>
    <w:rsid w:val="006C304C"/>
    <w:rsid w:val="006C30F4"/>
    <w:rsid w:val="006C311A"/>
    <w:rsid w:val="006C3495"/>
    <w:rsid w:val="006C3789"/>
    <w:rsid w:val="006C4194"/>
    <w:rsid w:val="006C54EE"/>
    <w:rsid w:val="006C54FA"/>
    <w:rsid w:val="006C5DEA"/>
    <w:rsid w:val="006C5F49"/>
    <w:rsid w:val="006C6014"/>
    <w:rsid w:val="006C6261"/>
    <w:rsid w:val="006C6456"/>
    <w:rsid w:val="006C65E3"/>
    <w:rsid w:val="006C6A96"/>
    <w:rsid w:val="006C6C5F"/>
    <w:rsid w:val="006C6FAC"/>
    <w:rsid w:val="006C72AC"/>
    <w:rsid w:val="006C7429"/>
    <w:rsid w:val="006C76E5"/>
    <w:rsid w:val="006C78DB"/>
    <w:rsid w:val="006C78F0"/>
    <w:rsid w:val="006C78FC"/>
    <w:rsid w:val="006C793F"/>
    <w:rsid w:val="006C7B21"/>
    <w:rsid w:val="006D0A99"/>
    <w:rsid w:val="006D0B25"/>
    <w:rsid w:val="006D0C98"/>
    <w:rsid w:val="006D116D"/>
    <w:rsid w:val="006D14DC"/>
    <w:rsid w:val="006D1620"/>
    <w:rsid w:val="006D1E40"/>
    <w:rsid w:val="006D1E7C"/>
    <w:rsid w:val="006D2000"/>
    <w:rsid w:val="006D2006"/>
    <w:rsid w:val="006D225E"/>
    <w:rsid w:val="006D2623"/>
    <w:rsid w:val="006D28FB"/>
    <w:rsid w:val="006D292C"/>
    <w:rsid w:val="006D29F7"/>
    <w:rsid w:val="006D2AAA"/>
    <w:rsid w:val="006D2B9E"/>
    <w:rsid w:val="006D2BEB"/>
    <w:rsid w:val="006D2CBA"/>
    <w:rsid w:val="006D2E74"/>
    <w:rsid w:val="006D3851"/>
    <w:rsid w:val="006D3C90"/>
    <w:rsid w:val="006D3E06"/>
    <w:rsid w:val="006D3E85"/>
    <w:rsid w:val="006D4116"/>
    <w:rsid w:val="006D4679"/>
    <w:rsid w:val="006D48AD"/>
    <w:rsid w:val="006D4FE8"/>
    <w:rsid w:val="006D508B"/>
    <w:rsid w:val="006D50D9"/>
    <w:rsid w:val="006D575F"/>
    <w:rsid w:val="006D5888"/>
    <w:rsid w:val="006D58D1"/>
    <w:rsid w:val="006D5E96"/>
    <w:rsid w:val="006D5F3B"/>
    <w:rsid w:val="006D67E0"/>
    <w:rsid w:val="006D6A04"/>
    <w:rsid w:val="006D6BA2"/>
    <w:rsid w:val="006D6E26"/>
    <w:rsid w:val="006D725F"/>
    <w:rsid w:val="006D7432"/>
    <w:rsid w:val="006D7493"/>
    <w:rsid w:val="006D7BB9"/>
    <w:rsid w:val="006D7DED"/>
    <w:rsid w:val="006E0132"/>
    <w:rsid w:val="006E0647"/>
    <w:rsid w:val="006E07EC"/>
    <w:rsid w:val="006E094A"/>
    <w:rsid w:val="006E1124"/>
    <w:rsid w:val="006E12E1"/>
    <w:rsid w:val="006E1568"/>
    <w:rsid w:val="006E1631"/>
    <w:rsid w:val="006E191E"/>
    <w:rsid w:val="006E192A"/>
    <w:rsid w:val="006E1EC5"/>
    <w:rsid w:val="006E1F37"/>
    <w:rsid w:val="006E1FB3"/>
    <w:rsid w:val="006E1FF9"/>
    <w:rsid w:val="006E226B"/>
    <w:rsid w:val="006E22E4"/>
    <w:rsid w:val="006E25AA"/>
    <w:rsid w:val="006E2626"/>
    <w:rsid w:val="006E26F1"/>
    <w:rsid w:val="006E27E8"/>
    <w:rsid w:val="006E30B6"/>
    <w:rsid w:val="006E30DB"/>
    <w:rsid w:val="006E30F5"/>
    <w:rsid w:val="006E3352"/>
    <w:rsid w:val="006E35F7"/>
    <w:rsid w:val="006E384E"/>
    <w:rsid w:val="006E3887"/>
    <w:rsid w:val="006E39F8"/>
    <w:rsid w:val="006E3B59"/>
    <w:rsid w:val="006E3C67"/>
    <w:rsid w:val="006E3D8B"/>
    <w:rsid w:val="006E3EDD"/>
    <w:rsid w:val="006E3EFC"/>
    <w:rsid w:val="006E3FB4"/>
    <w:rsid w:val="006E4912"/>
    <w:rsid w:val="006E495F"/>
    <w:rsid w:val="006E4D49"/>
    <w:rsid w:val="006E515B"/>
    <w:rsid w:val="006E568E"/>
    <w:rsid w:val="006E5A83"/>
    <w:rsid w:val="006E5CAF"/>
    <w:rsid w:val="006E5D65"/>
    <w:rsid w:val="006E5EB7"/>
    <w:rsid w:val="006E6707"/>
    <w:rsid w:val="006E6E24"/>
    <w:rsid w:val="006E6EB4"/>
    <w:rsid w:val="006E70EF"/>
    <w:rsid w:val="006E71B6"/>
    <w:rsid w:val="006E73EF"/>
    <w:rsid w:val="006E7B68"/>
    <w:rsid w:val="006E7C67"/>
    <w:rsid w:val="006F0434"/>
    <w:rsid w:val="006F079B"/>
    <w:rsid w:val="006F0DC3"/>
    <w:rsid w:val="006F1025"/>
    <w:rsid w:val="006F126F"/>
    <w:rsid w:val="006F1626"/>
    <w:rsid w:val="006F17E8"/>
    <w:rsid w:val="006F1E77"/>
    <w:rsid w:val="006F1E90"/>
    <w:rsid w:val="006F1EAC"/>
    <w:rsid w:val="006F1F28"/>
    <w:rsid w:val="006F1F9E"/>
    <w:rsid w:val="006F201A"/>
    <w:rsid w:val="006F261A"/>
    <w:rsid w:val="006F2A01"/>
    <w:rsid w:val="006F2B73"/>
    <w:rsid w:val="006F2E30"/>
    <w:rsid w:val="006F32D4"/>
    <w:rsid w:val="006F3352"/>
    <w:rsid w:val="006F3520"/>
    <w:rsid w:val="006F357B"/>
    <w:rsid w:val="006F3B49"/>
    <w:rsid w:val="006F3B57"/>
    <w:rsid w:val="006F3EA3"/>
    <w:rsid w:val="006F3FAD"/>
    <w:rsid w:val="006F47F8"/>
    <w:rsid w:val="006F4B5E"/>
    <w:rsid w:val="006F4F3B"/>
    <w:rsid w:val="006F4FF4"/>
    <w:rsid w:val="006F5269"/>
    <w:rsid w:val="006F5416"/>
    <w:rsid w:val="006F57F5"/>
    <w:rsid w:val="006F5A02"/>
    <w:rsid w:val="006F5A66"/>
    <w:rsid w:val="006F5B64"/>
    <w:rsid w:val="006F5B9A"/>
    <w:rsid w:val="006F644A"/>
    <w:rsid w:val="006F6BAB"/>
    <w:rsid w:val="006F6E67"/>
    <w:rsid w:val="006F6F4E"/>
    <w:rsid w:val="006F72AD"/>
    <w:rsid w:val="006F754B"/>
    <w:rsid w:val="006F765E"/>
    <w:rsid w:val="006F779F"/>
    <w:rsid w:val="006F789E"/>
    <w:rsid w:val="006F7BB9"/>
    <w:rsid w:val="006F7C4B"/>
    <w:rsid w:val="006F7CF7"/>
    <w:rsid w:val="00700080"/>
    <w:rsid w:val="00700791"/>
    <w:rsid w:val="007009E0"/>
    <w:rsid w:val="00700B9F"/>
    <w:rsid w:val="00700C0F"/>
    <w:rsid w:val="00700C88"/>
    <w:rsid w:val="00700C9A"/>
    <w:rsid w:val="00700F0C"/>
    <w:rsid w:val="00701182"/>
    <w:rsid w:val="00701332"/>
    <w:rsid w:val="007018C5"/>
    <w:rsid w:val="00701AB2"/>
    <w:rsid w:val="00701F00"/>
    <w:rsid w:val="00701F37"/>
    <w:rsid w:val="0070211B"/>
    <w:rsid w:val="00702245"/>
    <w:rsid w:val="007024A8"/>
    <w:rsid w:val="007028E6"/>
    <w:rsid w:val="00702923"/>
    <w:rsid w:val="00702AE1"/>
    <w:rsid w:val="00702F44"/>
    <w:rsid w:val="0070313C"/>
    <w:rsid w:val="00703352"/>
    <w:rsid w:val="00703501"/>
    <w:rsid w:val="007035BC"/>
    <w:rsid w:val="007035FF"/>
    <w:rsid w:val="00703844"/>
    <w:rsid w:val="00703AC4"/>
    <w:rsid w:val="00703CF9"/>
    <w:rsid w:val="00703FF5"/>
    <w:rsid w:val="0070432E"/>
    <w:rsid w:val="00704BE5"/>
    <w:rsid w:val="00705248"/>
    <w:rsid w:val="00705417"/>
    <w:rsid w:val="0070567F"/>
    <w:rsid w:val="00705F9D"/>
    <w:rsid w:val="0070626E"/>
    <w:rsid w:val="0070679B"/>
    <w:rsid w:val="007070ED"/>
    <w:rsid w:val="0070716F"/>
    <w:rsid w:val="0070727F"/>
    <w:rsid w:val="007073D3"/>
    <w:rsid w:val="0070780F"/>
    <w:rsid w:val="00707990"/>
    <w:rsid w:val="00707B8D"/>
    <w:rsid w:val="00707DCB"/>
    <w:rsid w:val="00710016"/>
    <w:rsid w:val="007100F2"/>
    <w:rsid w:val="00710268"/>
    <w:rsid w:val="007102E4"/>
    <w:rsid w:val="007103F4"/>
    <w:rsid w:val="00710611"/>
    <w:rsid w:val="00710B25"/>
    <w:rsid w:val="00710E52"/>
    <w:rsid w:val="00711208"/>
    <w:rsid w:val="0071128B"/>
    <w:rsid w:val="00711411"/>
    <w:rsid w:val="0071178C"/>
    <w:rsid w:val="00712118"/>
    <w:rsid w:val="007121AE"/>
    <w:rsid w:val="0071298D"/>
    <w:rsid w:val="007133D9"/>
    <w:rsid w:val="00713433"/>
    <w:rsid w:val="00714376"/>
    <w:rsid w:val="007143E2"/>
    <w:rsid w:val="00714974"/>
    <w:rsid w:val="00714E08"/>
    <w:rsid w:val="00714EDE"/>
    <w:rsid w:val="00714F4C"/>
    <w:rsid w:val="007151E7"/>
    <w:rsid w:val="0071542B"/>
    <w:rsid w:val="007154CD"/>
    <w:rsid w:val="007159FA"/>
    <w:rsid w:val="00715BB3"/>
    <w:rsid w:val="00715E2E"/>
    <w:rsid w:val="0071607F"/>
    <w:rsid w:val="0071617C"/>
    <w:rsid w:val="00716358"/>
    <w:rsid w:val="007164F9"/>
    <w:rsid w:val="007168A0"/>
    <w:rsid w:val="00716B09"/>
    <w:rsid w:val="00716D48"/>
    <w:rsid w:val="00716D6C"/>
    <w:rsid w:val="00716E5B"/>
    <w:rsid w:val="007173BC"/>
    <w:rsid w:val="00717544"/>
    <w:rsid w:val="00717C55"/>
    <w:rsid w:val="00717D4D"/>
    <w:rsid w:val="00717E60"/>
    <w:rsid w:val="00717EE2"/>
    <w:rsid w:val="00717F20"/>
    <w:rsid w:val="00720533"/>
    <w:rsid w:val="0072056F"/>
    <w:rsid w:val="007207EE"/>
    <w:rsid w:val="00720A3D"/>
    <w:rsid w:val="00721072"/>
    <w:rsid w:val="007216AE"/>
    <w:rsid w:val="00721C27"/>
    <w:rsid w:val="00721DDA"/>
    <w:rsid w:val="00721F6D"/>
    <w:rsid w:val="00722236"/>
    <w:rsid w:val="00722D1D"/>
    <w:rsid w:val="00722D4B"/>
    <w:rsid w:val="00722DA1"/>
    <w:rsid w:val="007232B4"/>
    <w:rsid w:val="0072373B"/>
    <w:rsid w:val="007237AF"/>
    <w:rsid w:val="00723A31"/>
    <w:rsid w:val="00723C0F"/>
    <w:rsid w:val="00723EA0"/>
    <w:rsid w:val="00723F0F"/>
    <w:rsid w:val="0072436E"/>
    <w:rsid w:val="0072451E"/>
    <w:rsid w:val="00724631"/>
    <w:rsid w:val="00724E73"/>
    <w:rsid w:val="00724EF6"/>
    <w:rsid w:val="00725023"/>
    <w:rsid w:val="007251CD"/>
    <w:rsid w:val="00725230"/>
    <w:rsid w:val="007255F3"/>
    <w:rsid w:val="00725AE9"/>
    <w:rsid w:val="007262BF"/>
    <w:rsid w:val="00726411"/>
    <w:rsid w:val="00726422"/>
    <w:rsid w:val="00726675"/>
    <w:rsid w:val="007267AA"/>
    <w:rsid w:val="0072693F"/>
    <w:rsid w:val="00726ADE"/>
    <w:rsid w:val="00726B5B"/>
    <w:rsid w:val="00726D9B"/>
    <w:rsid w:val="00726FF8"/>
    <w:rsid w:val="0072705C"/>
    <w:rsid w:val="00727181"/>
    <w:rsid w:val="00727246"/>
    <w:rsid w:val="007277D7"/>
    <w:rsid w:val="00727F1B"/>
    <w:rsid w:val="00730291"/>
    <w:rsid w:val="007303FF"/>
    <w:rsid w:val="00730556"/>
    <w:rsid w:val="007305D0"/>
    <w:rsid w:val="00730C8B"/>
    <w:rsid w:val="00731006"/>
    <w:rsid w:val="007313EF"/>
    <w:rsid w:val="0073178E"/>
    <w:rsid w:val="00731897"/>
    <w:rsid w:val="00731AA9"/>
    <w:rsid w:val="00731B2F"/>
    <w:rsid w:val="00731C48"/>
    <w:rsid w:val="00731DBD"/>
    <w:rsid w:val="00731FEF"/>
    <w:rsid w:val="0073203A"/>
    <w:rsid w:val="00732114"/>
    <w:rsid w:val="00732228"/>
    <w:rsid w:val="007327DC"/>
    <w:rsid w:val="00732F54"/>
    <w:rsid w:val="0073311F"/>
    <w:rsid w:val="007333A7"/>
    <w:rsid w:val="00733607"/>
    <w:rsid w:val="007337FF"/>
    <w:rsid w:val="007339DA"/>
    <w:rsid w:val="007349F0"/>
    <w:rsid w:val="00734A6C"/>
    <w:rsid w:val="00734C1A"/>
    <w:rsid w:val="00734F75"/>
    <w:rsid w:val="007350DF"/>
    <w:rsid w:val="007358A6"/>
    <w:rsid w:val="007358E3"/>
    <w:rsid w:val="00735B39"/>
    <w:rsid w:val="00735C4C"/>
    <w:rsid w:val="00735D9D"/>
    <w:rsid w:val="00736207"/>
    <w:rsid w:val="00736476"/>
    <w:rsid w:val="0073661B"/>
    <w:rsid w:val="0073673E"/>
    <w:rsid w:val="007367F1"/>
    <w:rsid w:val="00736CCB"/>
    <w:rsid w:val="00736E50"/>
    <w:rsid w:val="00737308"/>
    <w:rsid w:val="007373F8"/>
    <w:rsid w:val="00737618"/>
    <w:rsid w:val="007379C6"/>
    <w:rsid w:val="00737E9C"/>
    <w:rsid w:val="00740427"/>
    <w:rsid w:val="00740574"/>
    <w:rsid w:val="00741087"/>
    <w:rsid w:val="00741168"/>
    <w:rsid w:val="0074116A"/>
    <w:rsid w:val="00741613"/>
    <w:rsid w:val="00741751"/>
    <w:rsid w:val="00741A0D"/>
    <w:rsid w:val="00741F80"/>
    <w:rsid w:val="0074214C"/>
    <w:rsid w:val="007422A2"/>
    <w:rsid w:val="007425AE"/>
    <w:rsid w:val="00742F9B"/>
    <w:rsid w:val="0074308A"/>
    <w:rsid w:val="0074310B"/>
    <w:rsid w:val="0074314B"/>
    <w:rsid w:val="00743405"/>
    <w:rsid w:val="00743834"/>
    <w:rsid w:val="007439A2"/>
    <w:rsid w:val="00743B42"/>
    <w:rsid w:val="0074460F"/>
    <w:rsid w:val="00744D72"/>
    <w:rsid w:val="00745343"/>
    <w:rsid w:val="007455B3"/>
    <w:rsid w:val="00745624"/>
    <w:rsid w:val="00745701"/>
    <w:rsid w:val="00745820"/>
    <w:rsid w:val="007458E3"/>
    <w:rsid w:val="00745973"/>
    <w:rsid w:val="00745A45"/>
    <w:rsid w:val="00745A6B"/>
    <w:rsid w:val="00745DCC"/>
    <w:rsid w:val="00745EAD"/>
    <w:rsid w:val="00745F28"/>
    <w:rsid w:val="00746038"/>
    <w:rsid w:val="007460EA"/>
    <w:rsid w:val="0074614E"/>
    <w:rsid w:val="007461CB"/>
    <w:rsid w:val="00746C97"/>
    <w:rsid w:val="00746E67"/>
    <w:rsid w:val="00747567"/>
    <w:rsid w:val="00747827"/>
    <w:rsid w:val="0074795D"/>
    <w:rsid w:val="00747ED1"/>
    <w:rsid w:val="00750184"/>
    <w:rsid w:val="00750550"/>
    <w:rsid w:val="0075093E"/>
    <w:rsid w:val="00750B55"/>
    <w:rsid w:val="007510A0"/>
    <w:rsid w:val="0075167D"/>
    <w:rsid w:val="00751891"/>
    <w:rsid w:val="00751EE1"/>
    <w:rsid w:val="00751F09"/>
    <w:rsid w:val="00752668"/>
    <w:rsid w:val="00752744"/>
    <w:rsid w:val="00753137"/>
    <w:rsid w:val="00753211"/>
    <w:rsid w:val="007533B7"/>
    <w:rsid w:val="0075364D"/>
    <w:rsid w:val="00753731"/>
    <w:rsid w:val="00753A66"/>
    <w:rsid w:val="00753B4F"/>
    <w:rsid w:val="00753D09"/>
    <w:rsid w:val="00753FE9"/>
    <w:rsid w:val="00754091"/>
    <w:rsid w:val="007541B8"/>
    <w:rsid w:val="007541CA"/>
    <w:rsid w:val="00754401"/>
    <w:rsid w:val="007545B1"/>
    <w:rsid w:val="00754755"/>
    <w:rsid w:val="007549C4"/>
    <w:rsid w:val="00755801"/>
    <w:rsid w:val="00755C04"/>
    <w:rsid w:val="00755E99"/>
    <w:rsid w:val="00755F16"/>
    <w:rsid w:val="007563A3"/>
    <w:rsid w:val="00756499"/>
    <w:rsid w:val="0075691A"/>
    <w:rsid w:val="00756FC1"/>
    <w:rsid w:val="007572DE"/>
    <w:rsid w:val="00757568"/>
    <w:rsid w:val="007577BC"/>
    <w:rsid w:val="007579D5"/>
    <w:rsid w:val="00757CD2"/>
    <w:rsid w:val="00757E06"/>
    <w:rsid w:val="00757F23"/>
    <w:rsid w:val="00760037"/>
    <w:rsid w:val="00760072"/>
    <w:rsid w:val="00760D0A"/>
    <w:rsid w:val="00760E13"/>
    <w:rsid w:val="00760E73"/>
    <w:rsid w:val="007611D5"/>
    <w:rsid w:val="007614FF"/>
    <w:rsid w:val="0076151D"/>
    <w:rsid w:val="00761849"/>
    <w:rsid w:val="007619F6"/>
    <w:rsid w:val="00761DBC"/>
    <w:rsid w:val="00761DE6"/>
    <w:rsid w:val="00761EC8"/>
    <w:rsid w:val="0076207A"/>
    <w:rsid w:val="007620A5"/>
    <w:rsid w:val="00762343"/>
    <w:rsid w:val="0076258F"/>
    <w:rsid w:val="00762CF4"/>
    <w:rsid w:val="00762F22"/>
    <w:rsid w:val="007630EF"/>
    <w:rsid w:val="00763165"/>
    <w:rsid w:val="007631E3"/>
    <w:rsid w:val="007633E3"/>
    <w:rsid w:val="0076378C"/>
    <w:rsid w:val="00763B01"/>
    <w:rsid w:val="00763DF6"/>
    <w:rsid w:val="00763E4F"/>
    <w:rsid w:val="00764194"/>
    <w:rsid w:val="007644A5"/>
    <w:rsid w:val="00764754"/>
    <w:rsid w:val="00764822"/>
    <w:rsid w:val="00764928"/>
    <w:rsid w:val="00764C60"/>
    <w:rsid w:val="00765187"/>
    <w:rsid w:val="00765287"/>
    <w:rsid w:val="00765788"/>
    <w:rsid w:val="00765D8C"/>
    <w:rsid w:val="00765E1F"/>
    <w:rsid w:val="00765EEE"/>
    <w:rsid w:val="0076631B"/>
    <w:rsid w:val="00766894"/>
    <w:rsid w:val="007668D4"/>
    <w:rsid w:val="00766ACA"/>
    <w:rsid w:val="00766B62"/>
    <w:rsid w:val="00766CBD"/>
    <w:rsid w:val="00766D9D"/>
    <w:rsid w:val="00766F49"/>
    <w:rsid w:val="00767131"/>
    <w:rsid w:val="007675EC"/>
    <w:rsid w:val="007678E2"/>
    <w:rsid w:val="0077004A"/>
    <w:rsid w:val="007700BB"/>
    <w:rsid w:val="007702CA"/>
    <w:rsid w:val="0077073F"/>
    <w:rsid w:val="00770DBB"/>
    <w:rsid w:val="00770DDA"/>
    <w:rsid w:val="00770F95"/>
    <w:rsid w:val="0077106D"/>
    <w:rsid w:val="00771957"/>
    <w:rsid w:val="007719EA"/>
    <w:rsid w:val="0077201F"/>
    <w:rsid w:val="007721A6"/>
    <w:rsid w:val="00772512"/>
    <w:rsid w:val="00772B56"/>
    <w:rsid w:val="00772B94"/>
    <w:rsid w:val="00772C03"/>
    <w:rsid w:val="00772E73"/>
    <w:rsid w:val="007737CA"/>
    <w:rsid w:val="00773CD6"/>
    <w:rsid w:val="0077429D"/>
    <w:rsid w:val="007744AA"/>
    <w:rsid w:val="007745A9"/>
    <w:rsid w:val="007747EA"/>
    <w:rsid w:val="0077490D"/>
    <w:rsid w:val="00774A35"/>
    <w:rsid w:val="00774F6E"/>
    <w:rsid w:val="00775B0B"/>
    <w:rsid w:val="00775C5A"/>
    <w:rsid w:val="00775CC1"/>
    <w:rsid w:val="00775DE3"/>
    <w:rsid w:val="0077612C"/>
    <w:rsid w:val="00776158"/>
    <w:rsid w:val="0077682C"/>
    <w:rsid w:val="007769B0"/>
    <w:rsid w:val="00777055"/>
    <w:rsid w:val="0077720F"/>
    <w:rsid w:val="007776DE"/>
    <w:rsid w:val="00777C3D"/>
    <w:rsid w:val="00777D59"/>
    <w:rsid w:val="00780443"/>
    <w:rsid w:val="00780C34"/>
    <w:rsid w:val="00780ED3"/>
    <w:rsid w:val="00780ED7"/>
    <w:rsid w:val="00781183"/>
    <w:rsid w:val="00781268"/>
    <w:rsid w:val="0078160C"/>
    <w:rsid w:val="007819A5"/>
    <w:rsid w:val="00781AEC"/>
    <w:rsid w:val="00781B27"/>
    <w:rsid w:val="00781D86"/>
    <w:rsid w:val="00781FDA"/>
    <w:rsid w:val="0078270C"/>
    <w:rsid w:val="00782840"/>
    <w:rsid w:val="0078335D"/>
    <w:rsid w:val="007833F8"/>
    <w:rsid w:val="0078373D"/>
    <w:rsid w:val="007837B5"/>
    <w:rsid w:val="00783960"/>
    <w:rsid w:val="007839EE"/>
    <w:rsid w:val="00783C44"/>
    <w:rsid w:val="00783FE2"/>
    <w:rsid w:val="0078441A"/>
    <w:rsid w:val="0078457D"/>
    <w:rsid w:val="00784C3D"/>
    <w:rsid w:val="00784D9C"/>
    <w:rsid w:val="00784E6E"/>
    <w:rsid w:val="00784E9A"/>
    <w:rsid w:val="00784EE1"/>
    <w:rsid w:val="00785298"/>
    <w:rsid w:val="007853AD"/>
    <w:rsid w:val="00785692"/>
    <w:rsid w:val="00785BBA"/>
    <w:rsid w:val="00785E09"/>
    <w:rsid w:val="00786042"/>
    <w:rsid w:val="00786119"/>
    <w:rsid w:val="00786904"/>
    <w:rsid w:val="007876A7"/>
    <w:rsid w:val="00787B86"/>
    <w:rsid w:val="00787F6D"/>
    <w:rsid w:val="007900B2"/>
    <w:rsid w:val="00790589"/>
    <w:rsid w:val="007908F3"/>
    <w:rsid w:val="00790E06"/>
    <w:rsid w:val="00790EB5"/>
    <w:rsid w:val="00790EFB"/>
    <w:rsid w:val="007910ED"/>
    <w:rsid w:val="007911B2"/>
    <w:rsid w:val="00791318"/>
    <w:rsid w:val="00791443"/>
    <w:rsid w:val="0079162E"/>
    <w:rsid w:val="00791752"/>
    <w:rsid w:val="00791C44"/>
    <w:rsid w:val="00791D75"/>
    <w:rsid w:val="00791E64"/>
    <w:rsid w:val="007921D8"/>
    <w:rsid w:val="00792292"/>
    <w:rsid w:val="00792350"/>
    <w:rsid w:val="0079264C"/>
    <w:rsid w:val="00792690"/>
    <w:rsid w:val="00793205"/>
    <w:rsid w:val="007933A6"/>
    <w:rsid w:val="0079362A"/>
    <w:rsid w:val="007938B0"/>
    <w:rsid w:val="00793900"/>
    <w:rsid w:val="00793E0B"/>
    <w:rsid w:val="00794145"/>
    <w:rsid w:val="007944BA"/>
    <w:rsid w:val="00794B21"/>
    <w:rsid w:val="007951EE"/>
    <w:rsid w:val="0079539B"/>
    <w:rsid w:val="0079570E"/>
    <w:rsid w:val="00795E7A"/>
    <w:rsid w:val="00795F29"/>
    <w:rsid w:val="00796272"/>
    <w:rsid w:val="007964A0"/>
    <w:rsid w:val="007964F8"/>
    <w:rsid w:val="007965CB"/>
    <w:rsid w:val="00796B63"/>
    <w:rsid w:val="00796BD2"/>
    <w:rsid w:val="00797248"/>
    <w:rsid w:val="007972F5"/>
    <w:rsid w:val="00797C40"/>
    <w:rsid w:val="00797C89"/>
    <w:rsid w:val="00797D8A"/>
    <w:rsid w:val="00797F80"/>
    <w:rsid w:val="007A00A9"/>
    <w:rsid w:val="007A0292"/>
    <w:rsid w:val="007A0AC1"/>
    <w:rsid w:val="007A0D1D"/>
    <w:rsid w:val="007A0DDB"/>
    <w:rsid w:val="007A1434"/>
    <w:rsid w:val="007A1549"/>
    <w:rsid w:val="007A156E"/>
    <w:rsid w:val="007A1882"/>
    <w:rsid w:val="007A19D5"/>
    <w:rsid w:val="007A1C1D"/>
    <w:rsid w:val="007A1C40"/>
    <w:rsid w:val="007A1DBA"/>
    <w:rsid w:val="007A24F2"/>
    <w:rsid w:val="007A281E"/>
    <w:rsid w:val="007A3198"/>
    <w:rsid w:val="007A368A"/>
    <w:rsid w:val="007A3CC9"/>
    <w:rsid w:val="007A474F"/>
    <w:rsid w:val="007A48F5"/>
    <w:rsid w:val="007A4AA7"/>
    <w:rsid w:val="007A4C54"/>
    <w:rsid w:val="007A4D0A"/>
    <w:rsid w:val="007A5189"/>
    <w:rsid w:val="007A51AF"/>
    <w:rsid w:val="007A51E5"/>
    <w:rsid w:val="007A5449"/>
    <w:rsid w:val="007A54F9"/>
    <w:rsid w:val="007A5885"/>
    <w:rsid w:val="007A5C4C"/>
    <w:rsid w:val="007A5E9F"/>
    <w:rsid w:val="007A63EC"/>
    <w:rsid w:val="007A6562"/>
    <w:rsid w:val="007A68BE"/>
    <w:rsid w:val="007A694D"/>
    <w:rsid w:val="007A6B94"/>
    <w:rsid w:val="007A6BB2"/>
    <w:rsid w:val="007A6C46"/>
    <w:rsid w:val="007A6D9D"/>
    <w:rsid w:val="007A6F92"/>
    <w:rsid w:val="007A71B8"/>
    <w:rsid w:val="007A7674"/>
    <w:rsid w:val="007A76D6"/>
    <w:rsid w:val="007B004A"/>
    <w:rsid w:val="007B008D"/>
    <w:rsid w:val="007B01BA"/>
    <w:rsid w:val="007B025B"/>
    <w:rsid w:val="007B03B4"/>
    <w:rsid w:val="007B082D"/>
    <w:rsid w:val="007B096D"/>
    <w:rsid w:val="007B133D"/>
    <w:rsid w:val="007B15F7"/>
    <w:rsid w:val="007B17EB"/>
    <w:rsid w:val="007B1B7E"/>
    <w:rsid w:val="007B2360"/>
    <w:rsid w:val="007B2CE5"/>
    <w:rsid w:val="007B3284"/>
    <w:rsid w:val="007B36C7"/>
    <w:rsid w:val="007B3BE7"/>
    <w:rsid w:val="007B3E1F"/>
    <w:rsid w:val="007B407D"/>
    <w:rsid w:val="007B4283"/>
    <w:rsid w:val="007B43BE"/>
    <w:rsid w:val="007B4469"/>
    <w:rsid w:val="007B4728"/>
    <w:rsid w:val="007B476A"/>
    <w:rsid w:val="007B4BA3"/>
    <w:rsid w:val="007B52A8"/>
    <w:rsid w:val="007B5734"/>
    <w:rsid w:val="007B5E5B"/>
    <w:rsid w:val="007B6185"/>
    <w:rsid w:val="007B656B"/>
    <w:rsid w:val="007B66A3"/>
    <w:rsid w:val="007B67AC"/>
    <w:rsid w:val="007B6920"/>
    <w:rsid w:val="007B7129"/>
    <w:rsid w:val="007B72F2"/>
    <w:rsid w:val="007B7365"/>
    <w:rsid w:val="007B7A56"/>
    <w:rsid w:val="007B7C85"/>
    <w:rsid w:val="007B7CA2"/>
    <w:rsid w:val="007C0003"/>
    <w:rsid w:val="007C0102"/>
    <w:rsid w:val="007C0807"/>
    <w:rsid w:val="007C0FC6"/>
    <w:rsid w:val="007C137F"/>
    <w:rsid w:val="007C19B0"/>
    <w:rsid w:val="007C1B6F"/>
    <w:rsid w:val="007C1C97"/>
    <w:rsid w:val="007C1CDE"/>
    <w:rsid w:val="007C1E79"/>
    <w:rsid w:val="007C1E81"/>
    <w:rsid w:val="007C1E92"/>
    <w:rsid w:val="007C2060"/>
    <w:rsid w:val="007C254C"/>
    <w:rsid w:val="007C2B1A"/>
    <w:rsid w:val="007C2FD6"/>
    <w:rsid w:val="007C334A"/>
    <w:rsid w:val="007C34FC"/>
    <w:rsid w:val="007C35A6"/>
    <w:rsid w:val="007C3846"/>
    <w:rsid w:val="007C397D"/>
    <w:rsid w:val="007C3D33"/>
    <w:rsid w:val="007C4101"/>
    <w:rsid w:val="007C4138"/>
    <w:rsid w:val="007C4155"/>
    <w:rsid w:val="007C4264"/>
    <w:rsid w:val="007C43B7"/>
    <w:rsid w:val="007C44BB"/>
    <w:rsid w:val="007C46DD"/>
    <w:rsid w:val="007C47B6"/>
    <w:rsid w:val="007C47C5"/>
    <w:rsid w:val="007C485C"/>
    <w:rsid w:val="007C4D46"/>
    <w:rsid w:val="007C4DBC"/>
    <w:rsid w:val="007C529B"/>
    <w:rsid w:val="007C550B"/>
    <w:rsid w:val="007C5659"/>
    <w:rsid w:val="007C5B52"/>
    <w:rsid w:val="007C5E03"/>
    <w:rsid w:val="007C5F2E"/>
    <w:rsid w:val="007C5F49"/>
    <w:rsid w:val="007C6111"/>
    <w:rsid w:val="007C6364"/>
    <w:rsid w:val="007C65FF"/>
    <w:rsid w:val="007C76C3"/>
    <w:rsid w:val="007C7785"/>
    <w:rsid w:val="007C78AC"/>
    <w:rsid w:val="007C7C7D"/>
    <w:rsid w:val="007C7EC3"/>
    <w:rsid w:val="007D01CC"/>
    <w:rsid w:val="007D031C"/>
    <w:rsid w:val="007D059F"/>
    <w:rsid w:val="007D0FFA"/>
    <w:rsid w:val="007D138E"/>
    <w:rsid w:val="007D14C6"/>
    <w:rsid w:val="007D1803"/>
    <w:rsid w:val="007D183A"/>
    <w:rsid w:val="007D1A0E"/>
    <w:rsid w:val="007D1BA5"/>
    <w:rsid w:val="007D1DE0"/>
    <w:rsid w:val="007D214A"/>
    <w:rsid w:val="007D21BD"/>
    <w:rsid w:val="007D259A"/>
    <w:rsid w:val="007D2681"/>
    <w:rsid w:val="007D2857"/>
    <w:rsid w:val="007D29B0"/>
    <w:rsid w:val="007D2AFD"/>
    <w:rsid w:val="007D2D7D"/>
    <w:rsid w:val="007D3954"/>
    <w:rsid w:val="007D3A3F"/>
    <w:rsid w:val="007D3DEB"/>
    <w:rsid w:val="007D3E98"/>
    <w:rsid w:val="007D422F"/>
    <w:rsid w:val="007D454F"/>
    <w:rsid w:val="007D4575"/>
    <w:rsid w:val="007D45FA"/>
    <w:rsid w:val="007D4D39"/>
    <w:rsid w:val="007D5181"/>
    <w:rsid w:val="007D52C2"/>
    <w:rsid w:val="007D5355"/>
    <w:rsid w:val="007D54F9"/>
    <w:rsid w:val="007D574D"/>
    <w:rsid w:val="007D6221"/>
    <w:rsid w:val="007D6345"/>
    <w:rsid w:val="007D6835"/>
    <w:rsid w:val="007D6B8F"/>
    <w:rsid w:val="007D70B5"/>
    <w:rsid w:val="007D772C"/>
    <w:rsid w:val="007D7C2D"/>
    <w:rsid w:val="007E0184"/>
    <w:rsid w:val="007E029A"/>
    <w:rsid w:val="007E02B6"/>
    <w:rsid w:val="007E05E9"/>
    <w:rsid w:val="007E0778"/>
    <w:rsid w:val="007E09F8"/>
    <w:rsid w:val="007E0A71"/>
    <w:rsid w:val="007E0A73"/>
    <w:rsid w:val="007E0AA0"/>
    <w:rsid w:val="007E0EAD"/>
    <w:rsid w:val="007E0F99"/>
    <w:rsid w:val="007E100D"/>
    <w:rsid w:val="007E106D"/>
    <w:rsid w:val="007E14FB"/>
    <w:rsid w:val="007E15AF"/>
    <w:rsid w:val="007E18C9"/>
    <w:rsid w:val="007E1B15"/>
    <w:rsid w:val="007E29DE"/>
    <w:rsid w:val="007E2C67"/>
    <w:rsid w:val="007E2ED0"/>
    <w:rsid w:val="007E31B1"/>
    <w:rsid w:val="007E333C"/>
    <w:rsid w:val="007E36B0"/>
    <w:rsid w:val="007E403B"/>
    <w:rsid w:val="007E42F1"/>
    <w:rsid w:val="007E524B"/>
    <w:rsid w:val="007E589D"/>
    <w:rsid w:val="007E5A2E"/>
    <w:rsid w:val="007E5C69"/>
    <w:rsid w:val="007E5C96"/>
    <w:rsid w:val="007E5F6A"/>
    <w:rsid w:val="007E60DC"/>
    <w:rsid w:val="007E6199"/>
    <w:rsid w:val="007E62DF"/>
    <w:rsid w:val="007E6794"/>
    <w:rsid w:val="007E6EA9"/>
    <w:rsid w:val="007E6EEE"/>
    <w:rsid w:val="007E7121"/>
    <w:rsid w:val="007E76F5"/>
    <w:rsid w:val="007F0029"/>
    <w:rsid w:val="007F03AF"/>
    <w:rsid w:val="007F08A5"/>
    <w:rsid w:val="007F11D1"/>
    <w:rsid w:val="007F1431"/>
    <w:rsid w:val="007F15D1"/>
    <w:rsid w:val="007F19B1"/>
    <w:rsid w:val="007F19F0"/>
    <w:rsid w:val="007F1A8B"/>
    <w:rsid w:val="007F1FEE"/>
    <w:rsid w:val="007F20B7"/>
    <w:rsid w:val="007F2272"/>
    <w:rsid w:val="007F25B4"/>
    <w:rsid w:val="007F2D4A"/>
    <w:rsid w:val="007F3331"/>
    <w:rsid w:val="007F35D5"/>
    <w:rsid w:val="007F3C10"/>
    <w:rsid w:val="007F3CCD"/>
    <w:rsid w:val="007F3E76"/>
    <w:rsid w:val="007F416D"/>
    <w:rsid w:val="007F465D"/>
    <w:rsid w:val="007F4674"/>
    <w:rsid w:val="007F4753"/>
    <w:rsid w:val="007F4828"/>
    <w:rsid w:val="007F4BDA"/>
    <w:rsid w:val="007F4F46"/>
    <w:rsid w:val="007F5021"/>
    <w:rsid w:val="007F51BA"/>
    <w:rsid w:val="007F53BB"/>
    <w:rsid w:val="007F5518"/>
    <w:rsid w:val="007F558F"/>
    <w:rsid w:val="007F585F"/>
    <w:rsid w:val="007F5A07"/>
    <w:rsid w:val="007F617A"/>
    <w:rsid w:val="007F650D"/>
    <w:rsid w:val="007F65EB"/>
    <w:rsid w:val="007F66F2"/>
    <w:rsid w:val="007F6BE9"/>
    <w:rsid w:val="007F6E06"/>
    <w:rsid w:val="007F7140"/>
    <w:rsid w:val="007F7202"/>
    <w:rsid w:val="007F726F"/>
    <w:rsid w:val="007F74DA"/>
    <w:rsid w:val="007F7675"/>
    <w:rsid w:val="007F7702"/>
    <w:rsid w:val="007F7A7A"/>
    <w:rsid w:val="007F7ED9"/>
    <w:rsid w:val="0080003A"/>
    <w:rsid w:val="008001A0"/>
    <w:rsid w:val="0080111E"/>
    <w:rsid w:val="0080118D"/>
    <w:rsid w:val="0080162D"/>
    <w:rsid w:val="00801636"/>
    <w:rsid w:val="00801901"/>
    <w:rsid w:val="0080190A"/>
    <w:rsid w:val="00801915"/>
    <w:rsid w:val="00801B48"/>
    <w:rsid w:val="00801E70"/>
    <w:rsid w:val="00801ED9"/>
    <w:rsid w:val="008020B2"/>
    <w:rsid w:val="00802198"/>
    <w:rsid w:val="00802544"/>
    <w:rsid w:val="00802FA7"/>
    <w:rsid w:val="00803067"/>
    <w:rsid w:val="008036BE"/>
    <w:rsid w:val="00803801"/>
    <w:rsid w:val="00803913"/>
    <w:rsid w:val="00803971"/>
    <w:rsid w:val="0080399B"/>
    <w:rsid w:val="00803A23"/>
    <w:rsid w:val="00803AAF"/>
    <w:rsid w:val="00803C7E"/>
    <w:rsid w:val="00803E7F"/>
    <w:rsid w:val="00803ECD"/>
    <w:rsid w:val="0080401E"/>
    <w:rsid w:val="008041D8"/>
    <w:rsid w:val="00804250"/>
    <w:rsid w:val="008043C5"/>
    <w:rsid w:val="00804957"/>
    <w:rsid w:val="00804965"/>
    <w:rsid w:val="00804A7F"/>
    <w:rsid w:val="00804B7C"/>
    <w:rsid w:val="00804D06"/>
    <w:rsid w:val="00804ED5"/>
    <w:rsid w:val="00804F19"/>
    <w:rsid w:val="00804F2B"/>
    <w:rsid w:val="00804FB2"/>
    <w:rsid w:val="00805034"/>
    <w:rsid w:val="0080522B"/>
    <w:rsid w:val="00805234"/>
    <w:rsid w:val="008053A1"/>
    <w:rsid w:val="00805AED"/>
    <w:rsid w:val="00806211"/>
    <w:rsid w:val="0080646C"/>
    <w:rsid w:val="00806D31"/>
    <w:rsid w:val="00806E4D"/>
    <w:rsid w:val="00807039"/>
    <w:rsid w:val="00807A41"/>
    <w:rsid w:val="00807BD1"/>
    <w:rsid w:val="00807DBA"/>
    <w:rsid w:val="00807E7F"/>
    <w:rsid w:val="00807FF6"/>
    <w:rsid w:val="008101B2"/>
    <w:rsid w:val="008101BF"/>
    <w:rsid w:val="008103BC"/>
    <w:rsid w:val="00810A69"/>
    <w:rsid w:val="00810A80"/>
    <w:rsid w:val="00810B13"/>
    <w:rsid w:val="00810DA9"/>
    <w:rsid w:val="00810E27"/>
    <w:rsid w:val="00810FAA"/>
    <w:rsid w:val="008110DB"/>
    <w:rsid w:val="0081117C"/>
    <w:rsid w:val="008122C3"/>
    <w:rsid w:val="008122C4"/>
    <w:rsid w:val="008123E3"/>
    <w:rsid w:val="00812854"/>
    <w:rsid w:val="008129EB"/>
    <w:rsid w:val="0081300A"/>
    <w:rsid w:val="0081321B"/>
    <w:rsid w:val="008132F0"/>
    <w:rsid w:val="00813BCE"/>
    <w:rsid w:val="00813E80"/>
    <w:rsid w:val="00814601"/>
    <w:rsid w:val="00814A11"/>
    <w:rsid w:val="00814B12"/>
    <w:rsid w:val="00814D16"/>
    <w:rsid w:val="008151EB"/>
    <w:rsid w:val="0081542D"/>
    <w:rsid w:val="0081589B"/>
    <w:rsid w:val="00815AED"/>
    <w:rsid w:val="00816005"/>
    <w:rsid w:val="00816279"/>
    <w:rsid w:val="0081693D"/>
    <w:rsid w:val="00816CA5"/>
    <w:rsid w:val="0081706E"/>
    <w:rsid w:val="00817323"/>
    <w:rsid w:val="0081765F"/>
    <w:rsid w:val="00817737"/>
    <w:rsid w:val="00817A87"/>
    <w:rsid w:val="00817B32"/>
    <w:rsid w:val="00817BD2"/>
    <w:rsid w:val="00817CAE"/>
    <w:rsid w:val="00817D5A"/>
    <w:rsid w:val="00817EBF"/>
    <w:rsid w:val="00820E96"/>
    <w:rsid w:val="00820F14"/>
    <w:rsid w:val="00820F6E"/>
    <w:rsid w:val="0082114F"/>
    <w:rsid w:val="008212C3"/>
    <w:rsid w:val="0082143F"/>
    <w:rsid w:val="00821A71"/>
    <w:rsid w:val="00821C5D"/>
    <w:rsid w:val="00821E3E"/>
    <w:rsid w:val="00821E76"/>
    <w:rsid w:val="008220CD"/>
    <w:rsid w:val="00822282"/>
    <w:rsid w:val="00822A3D"/>
    <w:rsid w:val="008230E9"/>
    <w:rsid w:val="008233D6"/>
    <w:rsid w:val="0082375F"/>
    <w:rsid w:val="008238C0"/>
    <w:rsid w:val="00823C16"/>
    <w:rsid w:val="00823D0B"/>
    <w:rsid w:val="00823DB8"/>
    <w:rsid w:val="00823EC6"/>
    <w:rsid w:val="0082418F"/>
    <w:rsid w:val="00824429"/>
    <w:rsid w:val="008245EB"/>
    <w:rsid w:val="00824983"/>
    <w:rsid w:val="00824E1F"/>
    <w:rsid w:val="00824F56"/>
    <w:rsid w:val="00825068"/>
    <w:rsid w:val="00825544"/>
    <w:rsid w:val="0082567A"/>
    <w:rsid w:val="008258DF"/>
    <w:rsid w:val="00825B18"/>
    <w:rsid w:val="00825EC0"/>
    <w:rsid w:val="00826222"/>
    <w:rsid w:val="0082660B"/>
    <w:rsid w:val="00826626"/>
    <w:rsid w:val="00826928"/>
    <w:rsid w:val="0082695C"/>
    <w:rsid w:val="00826B5F"/>
    <w:rsid w:val="00826D99"/>
    <w:rsid w:val="00826DAD"/>
    <w:rsid w:val="00826DE2"/>
    <w:rsid w:val="00826F70"/>
    <w:rsid w:val="0082712C"/>
    <w:rsid w:val="0082716D"/>
    <w:rsid w:val="008271EE"/>
    <w:rsid w:val="00827274"/>
    <w:rsid w:val="00827275"/>
    <w:rsid w:val="0082737E"/>
    <w:rsid w:val="00827590"/>
    <w:rsid w:val="00827A51"/>
    <w:rsid w:val="00830A05"/>
    <w:rsid w:val="00831117"/>
    <w:rsid w:val="00831233"/>
    <w:rsid w:val="008312B8"/>
    <w:rsid w:val="00831601"/>
    <w:rsid w:val="00831842"/>
    <w:rsid w:val="008319A2"/>
    <w:rsid w:val="008321E8"/>
    <w:rsid w:val="0083267D"/>
    <w:rsid w:val="0083268A"/>
    <w:rsid w:val="0083292A"/>
    <w:rsid w:val="00832B57"/>
    <w:rsid w:val="00833266"/>
    <w:rsid w:val="0083352E"/>
    <w:rsid w:val="00833772"/>
    <w:rsid w:val="008337C9"/>
    <w:rsid w:val="0083390F"/>
    <w:rsid w:val="00833C3A"/>
    <w:rsid w:val="00833EB3"/>
    <w:rsid w:val="00833F57"/>
    <w:rsid w:val="00834D0B"/>
    <w:rsid w:val="00834E2F"/>
    <w:rsid w:val="0083541F"/>
    <w:rsid w:val="008354B2"/>
    <w:rsid w:val="008356DF"/>
    <w:rsid w:val="008357F6"/>
    <w:rsid w:val="00835D98"/>
    <w:rsid w:val="008362E4"/>
    <w:rsid w:val="0083637D"/>
    <w:rsid w:val="008364A2"/>
    <w:rsid w:val="00836892"/>
    <w:rsid w:val="00836910"/>
    <w:rsid w:val="00836B1C"/>
    <w:rsid w:val="00836B38"/>
    <w:rsid w:val="00836BBD"/>
    <w:rsid w:val="00837166"/>
    <w:rsid w:val="008371D8"/>
    <w:rsid w:val="0083723D"/>
    <w:rsid w:val="008375E0"/>
    <w:rsid w:val="008375FC"/>
    <w:rsid w:val="00837A72"/>
    <w:rsid w:val="00837B1B"/>
    <w:rsid w:val="00837C2F"/>
    <w:rsid w:val="008400CF"/>
    <w:rsid w:val="008404B9"/>
    <w:rsid w:val="008405B5"/>
    <w:rsid w:val="008407E8"/>
    <w:rsid w:val="00840D2D"/>
    <w:rsid w:val="00840FBF"/>
    <w:rsid w:val="008415E4"/>
    <w:rsid w:val="0084164D"/>
    <w:rsid w:val="00841B90"/>
    <w:rsid w:val="00841D40"/>
    <w:rsid w:val="00842068"/>
    <w:rsid w:val="00842728"/>
    <w:rsid w:val="00842863"/>
    <w:rsid w:val="008429FA"/>
    <w:rsid w:val="00842BA1"/>
    <w:rsid w:val="00842D8B"/>
    <w:rsid w:val="00842FF2"/>
    <w:rsid w:val="00843498"/>
    <w:rsid w:val="00843599"/>
    <w:rsid w:val="008436B2"/>
    <w:rsid w:val="00844007"/>
    <w:rsid w:val="0084429C"/>
    <w:rsid w:val="0084435D"/>
    <w:rsid w:val="008444A8"/>
    <w:rsid w:val="00844F77"/>
    <w:rsid w:val="00845145"/>
    <w:rsid w:val="0084552C"/>
    <w:rsid w:val="00845620"/>
    <w:rsid w:val="00845C06"/>
    <w:rsid w:val="008465AD"/>
    <w:rsid w:val="00846783"/>
    <w:rsid w:val="0084683C"/>
    <w:rsid w:val="0084697A"/>
    <w:rsid w:val="00846E70"/>
    <w:rsid w:val="00846F0A"/>
    <w:rsid w:val="0084713D"/>
    <w:rsid w:val="00847461"/>
    <w:rsid w:val="00847545"/>
    <w:rsid w:val="00847629"/>
    <w:rsid w:val="00847C8B"/>
    <w:rsid w:val="00847CBF"/>
    <w:rsid w:val="00847E7B"/>
    <w:rsid w:val="00850121"/>
    <w:rsid w:val="008503F6"/>
    <w:rsid w:val="0085070B"/>
    <w:rsid w:val="00850F95"/>
    <w:rsid w:val="00850FAE"/>
    <w:rsid w:val="00851143"/>
    <w:rsid w:val="00851263"/>
    <w:rsid w:val="00851321"/>
    <w:rsid w:val="008515FC"/>
    <w:rsid w:val="0085177C"/>
    <w:rsid w:val="0085198A"/>
    <w:rsid w:val="00851A67"/>
    <w:rsid w:val="00851B94"/>
    <w:rsid w:val="00851BCC"/>
    <w:rsid w:val="00851DC3"/>
    <w:rsid w:val="00851DFA"/>
    <w:rsid w:val="00852243"/>
    <w:rsid w:val="00852899"/>
    <w:rsid w:val="00852A80"/>
    <w:rsid w:val="00852D1D"/>
    <w:rsid w:val="00852E5C"/>
    <w:rsid w:val="00853164"/>
    <w:rsid w:val="008531BD"/>
    <w:rsid w:val="00853337"/>
    <w:rsid w:val="00853787"/>
    <w:rsid w:val="008538E9"/>
    <w:rsid w:val="0085395F"/>
    <w:rsid w:val="008542DA"/>
    <w:rsid w:val="00854936"/>
    <w:rsid w:val="00854D85"/>
    <w:rsid w:val="00854F41"/>
    <w:rsid w:val="00855047"/>
    <w:rsid w:val="00855BD6"/>
    <w:rsid w:val="008566DF"/>
    <w:rsid w:val="00856AB4"/>
    <w:rsid w:val="00856DC0"/>
    <w:rsid w:val="00856EF0"/>
    <w:rsid w:val="00857217"/>
    <w:rsid w:val="008572B3"/>
    <w:rsid w:val="00857C25"/>
    <w:rsid w:val="00857D56"/>
    <w:rsid w:val="00857EE5"/>
    <w:rsid w:val="0086032C"/>
    <w:rsid w:val="008603B1"/>
    <w:rsid w:val="00860518"/>
    <w:rsid w:val="008605C9"/>
    <w:rsid w:val="008606EC"/>
    <w:rsid w:val="008608C7"/>
    <w:rsid w:val="0086094D"/>
    <w:rsid w:val="00860A60"/>
    <w:rsid w:val="00860C4E"/>
    <w:rsid w:val="00861635"/>
    <w:rsid w:val="008619AD"/>
    <w:rsid w:val="00861DDD"/>
    <w:rsid w:val="00861E17"/>
    <w:rsid w:val="00861FC2"/>
    <w:rsid w:val="0086205E"/>
    <w:rsid w:val="00862429"/>
    <w:rsid w:val="00862695"/>
    <w:rsid w:val="00862872"/>
    <w:rsid w:val="00862B63"/>
    <w:rsid w:val="00862B98"/>
    <w:rsid w:val="00862C18"/>
    <w:rsid w:val="00863043"/>
    <w:rsid w:val="008631C2"/>
    <w:rsid w:val="00863345"/>
    <w:rsid w:val="008633D2"/>
    <w:rsid w:val="00863473"/>
    <w:rsid w:val="008634C0"/>
    <w:rsid w:val="00863566"/>
    <w:rsid w:val="00863794"/>
    <w:rsid w:val="008638E7"/>
    <w:rsid w:val="00863A0A"/>
    <w:rsid w:val="008647E9"/>
    <w:rsid w:val="00864D11"/>
    <w:rsid w:val="00864D2B"/>
    <w:rsid w:val="008650E8"/>
    <w:rsid w:val="00865593"/>
    <w:rsid w:val="00865D3C"/>
    <w:rsid w:val="00866436"/>
    <w:rsid w:val="00866524"/>
    <w:rsid w:val="00866637"/>
    <w:rsid w:val="00866679"/>
    <w:rsid w:val="00866A21"/>
    <w:rsid w:val="00866A60"/>
    <w:rsid w:val="00866B44"/>
    <w:rsid w:val="00866FD7"/>
    <w:rsid w:val="00867598"/>
    <w:rsid w:val="008675E4"/>
    <w:rsid w:val="00867925"/>
    <w:rsid w:val="00867E13"/>
    <w:rsid w:val="00867EF2"/>
    <w:rsid w:val="00870301"/>
    <w:rsid w:val="00870305"/>
    <w:rsid w:val="0087084A"/>
    <w:rsid w:val="00870C06"/>
    <w:rsid w:val="00870F2B"/>
    <w:rsid w:val="00870F36"/>
    <w:rsid w:val="00870FB2"/>
    <w:rsid w:val="0087115E"/>
    <w:rsid w:val="00871FF1"/>
    <w:rsid w:val="00872A7F"/>
    <w:rsid w:val="00873026"/>
    <w:rsid w:val="0087308D"/>
    <w:rsid w:val="008731BD"/>
    <w:rsid w:val="00873543"/>
    <w:rsid w:val="008737C0"/>
    <w:rsid w:val="00873A25"/>
    <w:rsid w:val="00873BEA"/>
    <w:rsid w:val="0087416C"/>
    <w:rsid w:val="00874315"/>
    <w:rsid w:val="0087463D"/>
    <w:rsid w:val="0087485A"/>
    <w:rsid w:val="00874E14"/>
    <w:rsid w:val="00874FA9"/>
    <w:rsid w:val="008750D2"/>
    <w:rsid w:val="0087585A"/>
    <w:rsid w:val="00875A3D"/>
    <w:rsid w:val="00875B54"/>
    <w:rsid w:val="00875D11"/>
    <w:rsid w:val="00875D1B"/>
    <w:rsid w:val="00876656"/>
    <w:rsid w:val="008766DE"/>
    <w:rsid w:val="00876A33"/>
    <w:rsid w:val="00876A39"/>
    <w:rsid w:val="00876AEC"/>
    <w:rsid w:val="008778B6"/>
    <w:rsid w:val="00877B80"/>
    <w:rsid w:val="00877D23"/>
    <w:rsid w:val="00877D2C"/>
    <w:rsid w:val="00877D50"/>
    <w:rsid w:val="00880110"/>
    <w:rsid w:val="008804FF"/>
    <w:rsid w:val="0088071D"/>
    <w:rsid w:val="00880C8D"/>
    <w:rsid w:val="00880CEE"/>
    <w:rsid w:val="00880DDF"/>
    <w:rsid w:val="00880E78"/>
    <w:rsid w:val="00880E9A"/>
    <w:rsid w:val="00881328"/>
    <w:rsid w:val="008814E8"/>
    <w:rsid w:val="008818DA"/>
    <w:rsid w:val="00881F6A"/>
    <w:rsid w:val="0088227C"/>
    <w:rsid w:val="00882547"/>
    <w:rsid w:val="00882B74"/>
    <w:rsid w:val="00882E3A"/>
    <w:rsid w:val="00882EF4"/>
    <w:rsid w:val="00883187"/>
    <w:rsid w:val="00883554"/>
    <w:rsid w:val="0088369C"/>
    <w:rsid w:val="00883777"/>
    <w:rsid w:val="00883D4D"/>
    <w:rsid w:val="00884426"/>
    <w:rsid w:val="00884509"/>
    <w:rsid w:val="00884547"/>
    <w:rsid w:val="008848A6"/>
    <w:rsid w:val="008848D9"/>
    <w:rsid w:val="00884946"/>
    <w:rsid w:val="00884A42"/>
    <w:rsid w:val="00885A46"/>
    <w:rsid w:val="00885C03"/>
    <w:rsid w:val="008861E8"/>
    <w:rsid w:val="00886784"/>
    <w:rsid w:val="00886AE4"/>
    <w:rsid w:val="00886BFE"/>
    <w:rsid w:val="00886DA2"/>
    <w:rsid w:val="00886F75"/>
    <w:rsid w:val="008877AF"/>
    <w:rsid w:val="00887E6E"/>
    <w:rsid w:val="0089010D"/>
    <w:rsid w:val="0089011D"/>
    <w:rsid w:val="00890214"/>
    <w:rsid w:val="008902A9"/>
    <w:rsid w:val="0089040C"/>
    <w:rsid w:val="008908BA"/>
    <w:rsid w:val="00890A73"/>
    <w:rsid w:val="00890A8E"/>
    <w:rsid w:val="00890CCE"/>
    <w:rsid w:val="00890DE7"/>
    <w:rsid w:val="00891096"/>
    <w:rsid w:val="0089119F"/>
    <w:rsid w:val="0089164A"/>
    <w:rsid w:val="008916D6"/>
    <w:rsid w:val="00891701"/>
    <w:rsid w:val="00891737"/>
    <w:rsid w:val="00891971"/>
    <w:rsid w:val="00891B47"/>
    <w:rsid w:val="00891BB5"/>
    <w:rsid w:val="00891E40"/>
    <w:rsid w:val="00891F1C"/>
    <w:rsid w:val="00892611"/>
    <w:rsid w:val="00892801"/>
    <w:rsid w:val="008928A4"/>
    <w:rsid w:val="00893216"/>
    <w:rsid w:val="0089327A"/>
    <w:rsid w:val="00893626"/>
    <w:rsid w:val="00893995"/>
    <w:rsid w:val="008940DF"/>
    <w:rsid w:val="008941B4"/>
    <w:rsid w:val="0089445C"/>
    <w:rsid w:val="00894BCD"/>
    <w:rsid w:val="0089514F"/>
    <w:rsid w:val="00895370"/>
    <w:rsid w:val="00895760"/>
    <w:rsid w:val="00895926"/>
    <w:rsid w:val="008959DF"/>
    <w:rsid w:val="00895D42"/>
    <w:rsid w:val="00895F14"/>
    <w:rsid w:val="00896209"/>
    <w:rsid w:val="008964B2"/>
    <w:rsid w:val="0089654C"/>
    <w:rsid w:val="00896956"/>
    <w:rsid w:val="00896FF1"/>
    <w:rsid w:val="00897674"/>
    <w:rsid w:val="00897676"/>
    <w:rsid w:val="00897A0D"/>
    <w:rsid w:val="00897FA4"/>
    <w:rsid w:val="00897FEF"/>
    <w:rsid w:val="008A039F"/>
    <w:rsid w:val="008A06BD"/>
    <w:rsid w:val="008A0763"/>
    <w:rsid w:val="008A07BA"/>
    <w:rsid w:val="008A081C"/>
    <w:rsid w:val="008A0BBA"/>
    <w:rsid w:val="008A0D40"/>
    <w:rsid w:val="008A0EAB"/>
    <w:rsid w:val="008A1026"/>
    <w:rsid w:val="008A11DD"/>
    <w:rsid w:val="008A1348"/>
    <w:rsid w:val="008A15F0"/>
    <w:rsid w:val="008A18D2"/>
    <w:rsid w:val="008A1CAB"/>
    <w:rsid w:val="008A1F18"/>
    <w:rsid w:val="008A2107"/>
    <w:rsid w:val="008A21EE"/>
    <w:rsid w:val="008A27BC"/>
    <w:rsid w:val="008A293E"/>
    <w:rsid w:val="008A2CF4"/>
    <w:rsid w:val="008A2DCC"/>
    <w:rsid w:val="008A33F5"/>
    <w:rsid w:val="008A3B35"/>
    <w:rsid w:val="008A4350"/>
    <w:rsid w:val="008A4680"/>
    <w:rsid w:val="008A4772"/>
    <w:rsid w:val="008A49CA"/>
    <w:rsid w:val="008A4A0A"/>
    <w:rsid w:val="008A4B25"/>
    <w:rsid w:val="008A4B48"/>
    <w:rsid w:val="008A4BA4"/>
    <w:rsid w:val="008A5600"/>
    <w:rsid w:val="008A5727"/>
    <w:rsid w:val="008A5975"/>
    <w:rsid w:val="008A5E2C"/>
    <w:rsid w:val="008A6261"/>
    <w:rsid w:val="008A6481"/>
    <w:rsid w:val="008A6AB5"/>
    <w:rsid w:val="008A6BCC"/>
    <w:rsid w:val="008A6D28"/>
    <w:rsid w:val="008A719A"/>
    <w:rsid w:val="008A7361"/>
    <w:rsid w:val="008A777F"/>
    <w:rsid w:val="008A7D4E"/>
    <w:rsid w:val="008A7F02"/>
    <w:rsid w:val="008B0175"/>
    <w:rsid w:val="008B026D"/>
    <w:rsid w:val="008B0974"/>
    <w:rsid w:val="008B0B75"/>
    <w:rsid w:val="008B0FB8"/>
    <w:rsid w:val="008B0FD3"/>
    <w:rsid w:val="008B1815"/>
    <w:rsid w:val="008B18D7"/>
    <w:rsid w:val="008B1927"/>
    <w:rsid w:val="008B1A8D"/>
    <w:rsid w:val="008B1C4F"/>
    <w:rsid w:val="008B209E"/>
    <w:rsid w:val="008B2148"/>
    <w:rsid w:val="008B21EB"/>
    <w:rsid w:val="008B2600"/>
    <w:rsid w:val="008B2601"/>
    <w:rsid w:val="008B288E"/>
    <w:rsid w:val="008B2959"/>
    <w:rsid w:val="008B2A8C"/>
    <w:rsid w:val="008B2B22"/>
    <w:rsid w:val="008B30E4"/>
    <w:rsid w:val="008B319B"/>
    <w:rsid w:val="008B3444"/>
    <w:rsid w:val="008B3791"/>
    <w:rsid w:val="008B3D32"/>
    <w:rsid w:val="008B4573"/>
    <w:rsid w:val="008B48BA"/>
    <w:rsid w:val="008B4A14"/>
    <w:rsid w:val="008B4B4D"/>
    <w:rsid w:val="008B4BA0"/>
    <w:rsid w:val="008B5505"/>
    <w:rsid w:val="008B5B58"/>
    <w:rsid w:val="008B5CE3"/>
    <w:rsid w:val="008B5F06"/>
    <w:rsid w:val="008B622D"/>
    <w:rsid w:val="008B68CE"/>
    <w:rsid w:val="008B6CBB"/>
    <w:rsid w:val="008B6D79"/>
    <w:rsid w:val="008B7785"/>
    <w:rsid w:val="008B7977"/>
    <w:rsid w:val="008B7B0E"/>
    <w:rsid w:val="008C0441"/>
    <w:rsid w:val="008C0701"/>
    <w:rsid w:val="008C094C"/>
    <w:rsid w:val="008C0C11"/>
    <w:rsid w:val="008C171D"/>
    <w:rsid w:val="008C195D"/>
    <w:rsid w:val="008C1D63"/>
    <w:rsid w:val="008C20A7"/>
    <w:rsid w:val="008C227A"/>
    <w:rsid w:val="008C22C7"/>
    <w:rsid w:val="008C2377"/>
    <w:rsid w:val="008C2A9C"/>
    <w:rsid w:val="008C3026"/>
    <w:rsid w:val="008C333B"/>
    <w:rsid w:val="008C33C6"/>
    <w:rsid w:val="008C3489"/>
    <w:rsid w:val="008C370E"/>
    <w:rsid w:val="008C37EF"/>
    <w:rsid w:val="008C3A11"/>
    <w:rsid w:val="008C3AE2"/>
    <w:rsid w:val="008C4145"/>
    <w:rsid w:val="008C42C7"/>
    <w:rsid w:val="008C464C"/>
    <w:rsid w:val="008C4664"/>
    <w:rsid w:val="008C46F2"/>
    <w:rsid w:val="008C4B63"/>
    <w:rsid w:val="008C5135"/>
    <w:rsid w:val="008C54DD"/>
    <w:rsid w:val="008C55F2"/>
    <w:rsid w:val="008C5B56"/>
    <w:rsid w:val="008C5D37"/>
    <w:rsid w:val="008C5D59"/>
    <w:rsid w:val="008C6045"/>
    <w:rsid w:val="008C6069"/>
    <w:rsid w:val="008C614B"/>
    <w:rsid w:val="008C6550"/>
    <w:rsid w:val="008C6B31"/>
    <w:rsid w:val="008C6BA9"/>
    <w:rsid w:val="008C6D18"/>
    <w:rsid w:val="008C70E5"/>
    <w:rsid w:val="008C76DC"/>
    <w:rsid w:val="008C7709"/>
    <w:rsid w:val="008C7800"/>
    <w:rsid w:val="008C7AB4"/>
    <w:rsid w:val="008C7B1C"/>
    <w:rsid w:val="008C7BE5"/>
    <w:rsid w:val="008C7D20"/>
    <w:rsid w:val="008C7E40"/>
    <w:rsid w:val="008D0761"/>
    <w:rsid w:val="008D0AAA"/>
    <w:rsid w:val="008D0D21"/>
    <w:rsid w:val="008D14C0"/>
    <w:rsid w:val="008D1B8E"/>
    <w:rsid w:val="008D1C2F"/>
    <w:rsid w:val="008D1D3E"/>
    <w:rsid w:val="008D1D7C"/>
    <w:rsid w:val="008D1ED5"/>
    <w:rsid w:val="008D1EFA"/>
    <w:rsid w:val="008D22C0"/>
    <w:rsid w:val="008D244E"/>
    <w:rsid w:val="008D281A"/>
    <w:rsid w:val="008D2984"/>
    <w:rsid w:val="008D2CA6"/>
    <w:rsid w:val="008D2EBA"/>
    <w:rsid w:val="008D30FB"/>
    <w:rsid w:val="008D3112"/>
    <w:rsid w:val="008D3182"/>
    <w:rsid w:val="008D31AF"/>
    <w:rsid w:val="008D3356"/>
    <w:rsid w:val="008D33C3"/>
    <w:rsid w:val="008D3844"/>
    <w:rsid w:val="008D3C57"/>
    <w:rsid w:val="008D3D58"/>
    <w:rsid w:val="008D439E"/>
    <w:rsid w:val="008D450B"/>
    <w:rsid w:val="008D48E2"/>
    <w:rsid w:val="008D4FBA"/>
    <w:rsid w:val="008D568F"/>
    <w:rsid w:val="008D5AD9"/>
    <w:rsid w:val="008D5AFD"/>
    <w:rsid w:val="008D5BFA"/>
    <w:rsid w:val="008D5C1D"/>
    <w:rsid w:val="008D5FD2"/>
    <w:rsid w:val="008D607D"/>
    <w:rsid w:val="008D6142"/>
    <w:rsid w:val="008D6868"/>
    <w:rsid w:val="008D6944"/>
    <w:rsid w:val="008D6A09"/>
    <w:rsid w:val="008D6B25"/>
    <w:rsid w:val="008D6B4D"/>
    <w:rsid w:val="008D6ECF"/>
    <w:rsid w:val="008D6F94"/>
    <w:rsid w:val="008D7018"/>
    <w:rsid w:val="008D706A"/>
    <w:rsid w:val="008D74A0"/>
    <w:rsid w:val="008D7544"/>
    <w:rsid w:val="008D76A5"/>
    <w:rsid w:val="008D7837"/>
    <w:rsid w:val="008D7C57"/>
    <w:rsid w:val="008D7E6F"/>
    <w:rsid w:val="008E007D"/>
    <w:rsid w:val="008E00CC"/>
    <w:rsid w:val="008E066A"/>
    <w:rsid w:val="008E074E"/>
    <w:rsid w:val="008E09B3"/>
    <w:rsid w:val="008E0A23"/>
    <w:rsid w:val="008E0A2E"/>
    <w:rsid w:val="008E1648"/>
    <w:rsid w:val="008E1ABD"/>
    <w:rsid w:val="008E1B0A"/>
    <w:rsid w:val="008E1E79"/>
    <w:rsid w:val="008E1FEB"/>
    <w:rsid w:val="008E26F7"/>
    <w:rsid w:val="008E2C01"/>
    <w:rsid w:val="008E2F05"/>
    <w:rsid w:val="008E2F69"/>
    <w:rsid w:val="008E310F"/>
    <w:rsid w:val="008E317B"/>
    <w:rsid w:val="008E3397"/>
    <w:rsid w:val="008E3541"/>
    <w:rsid w:val="008E35F8"/>
    <w:rsid w:val="008E3815"/>
    <w:rsid w:val="008E3BFA"/>
    <w:rsid w:val="008E3C7C"/>
    <w:rsid w:val="008E48FE"/>
    <w:rsid w:val="008E4C26"/>
    <w:rsid w:val="008E4D23"/>
    <w:rsid w:val="008E4D5B"/>
    <w:rsid w:val="008E4D76"/>
    <w:rsid w:val="008E4DD8"/>
    <w:rsid w:val="008E5810"/>
    <w:rsid w:val="008E596F"/>
    <w:rsid w:val="008E5AB6"/>
    <w:rsid w:val="008E61E6"/>
    <w:rsid w:val="008E6297"/>
    <w:rsid w:val="008E65D5"/>
    <w:rsid w:val="008E66FD"/>
    <w:rsid w:val="008E6812"/>
    <w:rsid w:val="008E6D01"/>
    <w:rsid w:val="008E6D2B"/>
    <w:rsid w:val="008E6F6A"/>
    <w:rsid w:val="008E737C"/>
    <w:rsid w:val="008E7504"/>
    <w:rsid w:val="008E77EF"/>
    <w:rsid w:val="008E7AAC"/>
    <w:rsid w:val="008E7E33"/>
    <w:rsid w:val="008F034C"/>
    <w:rsid w:val="008F058A"/>
    <w:rsid w:val="008F0B8D"/>
    <w:rsid w:val="008F0CDD"/>
    <w:rsid w:val="008F0D36"/>
    <w:rsid w:val="008F0DF2"/>
    <w:rsid w:val="008F0FC7"/>
    <w:rsid w:val="008F111D"/>
    <w:rsid w:val="008F164E"/>
    <w:rsid w:val="008F183F"/>
    <w:rsid w:val="008F1E9D"/>
    <w:rsid w:val="008F1EC4"/>
    <w:rsid w:val="008F1F80"/>
    <w:rsid w:val="008F22BE"/>
    <w:rsid w:val="008F235A"/>
    <w:rsid w:val="008F2564"/>
    <w:rsid w:val="008F2C12"/>
    <w:rsid w:val="008F30D1"/>
    <w:rsid w:val="008F316A"/>
    <w:rsid w:val="008F3196"/>
    <w:rsid w:val="008F31DC"/>
    <w:rsid w:val="008F32E7"/>
    <w:rsid w:val="008F3816"/>
    <w:rsid w:val="008F384C"/>
    <w:rsid w:val="008F3971"/>
    <w:rsid w:val="008F398F"/>
    <w:rsid w:val="008F3A08"/>
    <w:rsid w:val="008F3ABD"/>
    <w:rsid w:val="008F3D73"/>
    <w:rsid w:val="008F40DE"/>
    <w:rsid w:val="008F4638"/>
    <w:rsid w:val="008F4702"/>
    <w:rsid w:val="008F4761"/>
    <w:rsid w:val="008F49F7"/>
    <w:rsid w:val="008F4DC5"/>
    <w:rsid w:val="008F4E2C"/>
    <w:rsid w:val="008F5056"/>
    <w:rsid w:val="008F50B8"/>
    <w:rsid w:val="008F5395"/>
    <w:rsid w:val="008F54D6"/>
    <w:rsid w:val="008F54EC"/>
    <w:rsid w:val="008F5DEE"/>
    <w:rsid w:val="008F5EAC"/>
    <w:rsid w:val="008F5FF1"/>
    <w:rsid w:val="008F6016"/>
    <w:rsid w:val="008F60E6"/>
    <w:rsid w:val="008F60F1"/>
    <w:rsid w:val="008F61EF"/>
    <w:rsid w:val="008F621F"/>
    <w:rsid w:val="008F63A9"/>
    <w:rsid w:val="008F66AD"/>
    <w:rsid w:val="008F6790"/>
    <w:rsid w:val="008F6856"/>
    <w:rsid w:val="008F6F1B"/>
    <w:rsid w:val="008F72CE"/>
    <w:rsid w:val="008F75AB"/>
    <w:rsid w:val="009000A0"/>
    <w:rsid w:val="009002DF"/>
    <w:rsid w:val="0090072A"/>
    <w:rsid w:val="00900C4B"/>
    <w:rsid w:val="00901289"/>
    <w:rsid w:val="00901735"/>
    <w:rsid w:val="0090188E"/>
    <w:rsid w:val="00901A85"/>
    <w:rsid w:val="00901B90"/>
    <w:rsid w:val="00901EEE"/>
    <w:rsid w:val="00902355"/>
    <w:rsid w:val="009025D6"/>
    <w:rsid w:val="00902E6E"/>
    <w:rsid w:val="00902E73"/>
    <w:rsid w:val="00902F79"/>
    <w:rsid w:val="0090319B"/>
    <w:rsid w:val="0090335C"/>
    <w:rsid w:val="00903854"/>
    <w:rsid w:val="00903A9B"/>
    <w:rsid w:val="00903AD0"/>
    <w:rsid w:val="00903EC0"/>
    <w:rsid w:val="00904619"/>
    <w:rsid w:val="009046DE"/>
    <w:rsid w:val="009047C2"/>
    <w:rsid w:val="0090487D"/>
    <w:rsid w:val="0090496C"/>
    <w:rsid w:val="00904C1F"/>
    <w:rsid w:val="00905459"/>
    <w:rsid w:val="00905558"/>
    <w:rsid w:val="00905AE1"/>
    <w:rsid w:val="00905C1F"/>
    <w:rsid w:val="00906418"/>
    <w:rsid w:val="00906624"/>
    <w:rsid w:val="00906640"/>
    <w:rsid w:val="009069AB"/>
    <w:rsid w:val="00906AF6"/>
    <w:rsid w:val="00906B0A"/>
    <w:rsid w:val="00906C1D"/>
    <w:rsid w:val="00906F7E"/>
    <w:rsid w:val="009071A4"/>
    <w:rsid w:val="00907611"/>
    <w:rsid w:val="00907802"/>
    <w:rsid w:val="0090780E"/>
    <w:rsid w:val="009078C4"/>
    <w:rsid w:val="00907992"/>
    <w:rsid w:val="00907BF1"/>
    <w:rsid w:val="00907EEC"/>
    <w:rsid w:val="00907F73"/>
    <w:rsid w:val="009100A9"/>
    <w:rsid w:val="00910B66"/>
    <w:rsid w:val="00910F8F"/>
    <w:rsid w:val="00911116"/>
    <w:rsid w:val="00911260"/>
    <w:rsid w:val="009118F2"/>
    <w:rsid w:val="00911984"/>
    <w:rsid w:val="00912105"/>
    <w:rsid w:val="00912122"/>
    <w:rsid w:val="009124DD"/>
    <w:rsid w:val="00912999"/>
    <w:rsid w:val="00912A7F"/>
    <w:rsid w:val="00912B2E"/>
    <w:rsid w:val="00912E8F"/>
    <w:rsid w:val="00912FA6"/>
    <w:rsid w:val="00912FE4"/>
    <w:rsid w:val="00913234"/>
    <w:rsid w:val="0091357D"/>
    <w:rsid w:val="0091360A"/>
    <w:rsid w:val="00913931"/>
    <w:rsid w:val="00913F43"/>
    <w:rsid w:val="00913FD1"/>
    <w:rsid w:val="009141F9"/>
    <w:rsid w:val="009145B6"/>
    <w:rsid w:val="009145D2"/>
    <w:rsid w:val="00914922"/>
    <w:rsid w:val="009153D2"/>
    <w:rsid w:val="009153DB"/>
    <w:rsid w:val="00915484"/>
    <w:rsid w:val="00915794"/>
    <w:rsid w:val="00915929"/>
    <w:rsid w:val="00915ACA"/>
    <w:rsid w:val="00915C6B"/>
    <w:rsid w:val="00915CF1"/>
    <w:rsid w:val="00915F24"/>
    <w:rsid w:val="00915F73"/>
    <w:rsid w:val="00915F89"/>
    <w:rsid w:val="00916199"/>
    <w:rsid w:val="009162CC"/>
    <w:rsid w:val="00916405"/>
    <w:rsid w:val="0091654F"/>
    <w:rsid w:val="009169D3"/>
    <w:rsid w:val="009170D3"/>
    <w:rsid w:val="0091714C"/>
    <w:rsid w:val="009172D9"/>
    <w:rsid w:val="00917508"/>
    <w:rsid w:val="00917892"/>
    <w:rsid w:val="009178AE"/>
    <w:rsid w:val="00917DC1"/>
    <w:rsid w:val="009207DA"/>
    <w:rsid w:val="00920A7C"/>
    <w:rsid w:val="00920BBD"/>
    <w:rsid w:val="00920D67"/>
    <w:rsid w:val="009213DE"/>
    <w:rsid w:val="00921DCF"/>
    <w:rsid w:val="00921F1E"/>
    <w:rsid w:val="00921FF6"/>
    <w:rsid w:val="00922C5B"/>
    <w:rsid w:val="009235DF"/>
    <w:rsid w:val="009236DC"/>
    <w:rsid w:val="00923B26"/>
    <w:rsid w:val="00923C39"/>
    <w:rsid w:val="00923D51"/>
    <w:rsid w:val="009241CB"/>
    <w:rsid w:val="009244AB"/>
    <w:rsid w:val="009244C7"/>
    <w:rsid w:val="0092451E"/>
    <w:rsid w:val="00924624"/>
    <w:rsid w:val="00924C82"/>
    <w:rsid w:val="00924D1B"/>
    <w:rsid w:val="00925AFF"/>
    <w:rsid w:val="00925E07"/>
    <w:rsid w:val="009263C3"/>
    <w:rsid w:val="00926412"/>
    <w:rsid w:val="009268F6"/>
    <w:rsid w:val="00926E5D"/>
    <w:rsid w:val="00926FDA"/>
    <w:rsid w:val="00927292"/>
    <w:rsid w:val="0092748D"/>
    <w:rsid w:val="009276FD"/>
    <w:rsid w:val="00927C01"/>
    <w:rsid w:val="00927C38"/>
    <w:rsid w:val="00930053"/>
    <w:rsid w:val="00930146"/>
    <w:rsid w:val="009301A6"/>
    <w:rsid w:val="009305FF"/>
    <w:rsid w:val="009307E7"/>
    <w:rsid w:val="00930A85"/>
    <w:rsid w:val="00930E8B"/>
    <w:rsid w:val="00930ECA"/>
    <w:rsid w:val="009311D3"/>
    <w:rsid w:val="009311EC"/>
    <w:rsid w:val="009315CC"/>
    <w:rsid w:val="009317F7"/>
    <w:rsid w:val="00931D57"/>
    <w:rsid w:val="00931DBF"/>
    <w:rsid w:val="00932216"/>
    <w:rsid w:val="0093262A"/>
    <w:rsid w:val="009326FB"/>
    <w:rsid w:val="00932753"/>
    <w:rsid w:val="00932828"/>
    <w:rsid w:val="00932DE8"/>
    <w:rsid w:val="00932FCE"/>
    <w:rsid w:val="00933023"/>
    <w:rsid w:val="0093318B"/>
    <w:rsid w:val="00933274"/>
    <w:rsid w:val="0093345C"/>
    <w:rsid w:val="009335A1"/>
    <w:rsid w:val="00933627"/>
    <w:rsid w:val="009337DB"/>
    <w:rsid w:val="009337EE"/>
    <w:rsid w:val="009338D4"/>
    <w:rsid w:val="00933F2C"/>
    <w:rsid w:val="00934231"/>
    <w:rsid w:val="009344A6"/>
    <w:rsid w:val="00934AA1"/>
    <w:rsid w:val="00934D68"/>
    <w:rsid w:val="009350B5"/>
    <w:rsid w:val="0093529D"/>
    <w:rsid w:val="00935499"/>
    <w:rsid w:val="00935550"/>
    <w:rsid w:val="00935580"/>
    <w:rsid w:val="00935AD3"/>
    <w:rsid w:val="00935D32"/>
    <w:rsid w:val="00935F4C"/>
    <w:rsid w:val="00935FAB"/>
    <w:rsid w:val="00936C5C"/>
    <w:rsid w:val="00937756"/>
    <w:rsid w:val="00937A77"/>
    <w:rsid w:val="00937B18"/>
    <w:rsid w:val="00937B93"/>
    <w:rsid w:val="009401A2"/>
    <w:rsid w:val="009406D6"/>
    <w:rsid w:val="00940A4B"/>
    <w:rsid w:val="00941216"/>
    <w:rsid w:val="0094187C"/>
    <w:rsid w:val="00942173"/>
    <w:rsid w:val="009421A8"/>
    <w:rsid w:val="00942346"/>
    <w:rsid w:val="00942427"/>
    <w:rsid w:val="0094268C"/>
    <w:rsid w:val="0094288A"/>
    <w:rsid w:val="009429DC"/>
    <w:rsid w:val="00942CCE"/>
    <w:rsid w:val="0094320B"/>
    <w:rsid w:val="009436E7"/>
    <w:rsid w:val="00943900"/>
    <w:rsid w:val="00943B33"/>
    <w:rsid w:val="00944392"/>
    <w:rsid w:val="009443E7"/>
    <w:rsid w:val="00944531"/>
    <w:rsid w:val="009445E4"/>
    <w:rsid w:val="00944EF3"/>
    <w:rsid w:val="009450B7"/>
    <w:rsid w:val="00945245"/>
    <w:rsid w:val="0094526F"/>
    <w:rsid w:val="00945526"/>
    <w:rsid w:val="00945AA6"/>
    <w:rsid w:val="009460D7"/>
    <w:rsid w:val="009468B0"/>
    <w:rsid w:val="00946F6D"/>
    <w:rsid w:val="009473BC"/>
    <w:rsid w:val="009473D4"/>
    <w:rsid w:val="0094777E"/>
    <w:rsid w:val="00947BAC"/>
    <w:rsid w:val="00947C39"/>
    <w:rsid w:val="00950073"/>
    <w:rsid w:val="00950287"/>
    <w:rsid w:val="00950340"/>
    <w:rsid w:val="009508FF"/>
    <w:rsid w:val="00950B8B"/>
    <w:rsid w:val="00950EA7"/>
    <w:rsid w:val="0095153A"/>
    <w:rsid w:val="0095156D"/>
    <w:rsid w:val="00951584"/>
    <w:rsid w:val="009516F8"/>
    <w:rsid w:val="009517B1"/>
    <w:rsid w:val="009518E1"/>
    <w:rsid w:val="009519A8"/>
    <w:rsid w:val="00951D64"/>
    <w:rsid w:val="00951F1B"/>
    <w:rsid w:val="009520D1"/>
    <w:rsid w:val="009526B1"/>
    <w:rsid w:val="00952ADD"/>
    <w:rsid w:val="00952B34"/>
    <w:rsid w:val="00952C36"/>
    <w:rsid w:val="00952CFA"/>
    <w:rsid w:val="00952F73"/>
    <w:rsid w:val="00952FC2"/>
    <w:rsid w:val="00952FEF"/>
    <w:rsid w:val="00953039"/>
    <w:rsid w:val="009530D9"/>
    <w:rsid w:val="009531B8"/>
    <w:rsid w:val="00953228"/>
    <w:rsid w:val="0095362E"/>
    <w:rsid w:val="0095373B"/>
    <w:rsid w:val="0095377A"/>
    <w:rsid w:val="00953958"/>
    <w:rsid w:val="009540A8"/>
    <w:rsid w:val="00954266"/>
    <w:rsid w:val="009543F8"/>
    <w:rsid w:val="00954479"/>
    <w:rsid w:val="009545B6"/>
    <w:rsid w:val="009545D9"/>
    <w:rsid w:val="00954BC5"/>
    <w:rsid w:val="0095551D"/>
    <w:rsid w:val="0095559D"/>
    <w:rsid w:val="009557C2"/>
    <w:rsid w:val="00955A7E"/>
    <w:rsid w:val="00955B53"/>
    <w:rsid w:val="00955BFC"/>
    <w:rsid w:val="00955DDE"/>
    <w:rsid w:val="00955E29"/>
    <w:rsid w:val="00956036"/>
    <w:rsid w:val="009564C9"/>
    <w:rsid w:val="00956AA8"/>
    <w:rsid w:val="00956E77"/>
    <w:rsid w:val="0095716A"/>
    <w:rsid w:val="00957176"/>
    <w:rsid w:val="009573EB"/>
    <w:rsid w:val="00957809"/>
    <w:rsid w:val="00960080"/>
    <w:rsid w:val="00960157"/>
    <w:rsid w:val="009606BE"/>
    <w:rsid w:val="00960780"/>
    <w:rsid w:val="009607F5"/>
    <w:rsid w:val="00960C2B"/>
    <w:rsid w:val="00960ECA"/>
    <w:rsid w:val="009617D2"/>
    <w:rsid w:val="009618BF"/>
    <w:rsid w:val="009619E1"/>
    <w:rsid w:val="00961BD6"/>
    <w:rsid w:val="00961C7C"/>
    <w:rsid w:val="00961D1E"/>
    <w:rsid w:val="009627FB"/>
    <w:rsid w:val="00962A9E"/>
    <w:rsid w:val="009630D2"/>
    <w:rsid w:val="0096316C"/>
    <w:rsid w:val="009632F9"/>
    <w:rsid w:val="0096333C"/>
    <w:rsid w:val="009636A8"/>
    <w:rsid w:val="009636B1"/>
    <w:rsid w:val="009637F1"/>
    <w:rsid w:val="00963AE3"/>
    <w:rsid w:val="00963B13"/>
    <w:rsid w:val="00963C7F"/>
    <w:rsid w:val="009649D3"/>
    <w:rsid w:val="00964E10"/>
    <w:rsid w:val="00964E74"/>
    <w:rsid w:val="00965262"/>
    <w:rsid w:val="00965B6C"/>
    <w:rsid w:val="0096667E"/>
    <w:rsid w:val="009666B4"/>
    <w:rsid w:val="009667EE"/>
    <w:rsid w:val="00966829"/>
    <w:rsid w:val="00966C47"/>
    <w:rsid w:val="00966C9B"/>
    <w:rsid w:val="00966E3C"/>
    <w:rsid w:val="009671E4"/>
    <w:rsid w:val="0096745C"/>
    <w:rsid w:val="009674F4"/>
    <w:rsid w:val="0096757C"/>
    <w:rsid w:val="009676DE"/>
    <w:rsid w:val="00967825"/>
    <w:rsid w:val="00967900"/>
    <w:rsid w:val="00967A20"/>
    <w:rsid w:val="00967CE4"/>
    <w:rsid w:val="00967E4B"/>
    <w:rsid w:val="0097055C"/>
    <w:rsid w:val="00970788"/>
    <w:rsid w:val="00970A12"/>
    <w:rsid w:val="009710AD"/>
    <w:rsid w:val="009714EB"/>
    <w:rsid w:val="00971632"/>
    <w:rsid w:val="0097175C"/>
    <w:rsid w:val="00971952"/>
    <w:rsid w:val="00971B94"/>
    <w:rsid w:val="00972543"/>
    <w:rsid w:val="009728E0"/>
    <w:rsid w:val="00972C77"/>
    <w:rsid w:val="009731FC"/>
    <w:rsid w:val="00973559"/>
    <w:rsid w:val="00973766"/>
    <w:rsid w:val="0097386F"/>
    <w:rsid w:val="00973C8E"/>
    <w:rsid w:val="00973DB0"/>
    <w:rsid w:val="0097445D"/>
    <w:rsid w:val="00974857"/>
    <w:rsid w:val="00974B5F"/>
    <w:rsid w:val="00974D51"/>
    <w:rsid w:val="009753CC"/>
    <w:rsid w:val="0097540F"/>
    <w:rsid w:val="00975715"/>
    <w:rsid w:val="00975786"/>
    <w:rsid w:val="0097580F"/>
    <w:rsid w:val="00975AB8"/>
    <w:rsid w:val="00975BDD"/>
    <w:rsid w:val="00975D0A"/>
    <w:rsid w:val="00975EB9"/>
    <w:rsid w:val="00975EE6"/>
    <w:rsid w:val="00975F38"/>
    <w:rsid w:val="00976A6A"/>
    <w:rsid w:val="009770E8"/>
    <w:rsid w:val="00977112"/>
    <w:rsid w:val="00977566"/>
    <w:rsid w:val="00977866"/>
    <w:rsid w:val="0097798B"/>
    <w:rsid w:val="00977B7C"/>
    <w:rsid w:val="0098005B"/>
    <w:rsid w:val="009801FA"/>
    <w:rsid w:val="00980210"/>
    <w:rsid w:val="0098036F"/>
    <w:rsid w:val="0098054F"/>
    <w:rsid w:val="00980781"/>
    <w:rsid w:val="00980815"/>
    <w:rsid w:val="00980D33"/>
    <w:rsid w:val="00980E0D"/>
    <w:rsid w:val="00980F14"/>
    <w:rsid w:val="00981102"/>
    <w:rsid w:val="009811BE"/>
    <w:rsid w:val="00981303"/>
    <w:rsid w:val="00981DED"/>
    <w:rsid w:val="00982ACF"/>
    <w:rsid w:val="00982CD0"/>
    <w:rsid w:val="009833D7"/>
    <w:rsid w:val="0098351C"/>
    <w:rsid w:val="00983ADF"/>
    <w:rsid w:val="00983C6C"/>
    <w:rsid w:val="009843D4"/>
    <w:rsid w:val="00984515"/>
    <w:rsid w:val="00984C33"/>
    <w:rsid w:val="00984FB3"/>
    <w:rsid w:val="00985676"/>
    <w:rsid w:val="0098570E"/>
    <w:rsid w:val="00985810"/>
    <w:rsid w:val="009859D8"/>
    <w:rsid w:val="00985B3D"/>
    <w:rsid w:val="0098604E"/>
    <w:rsid w:val="00986172"/>
    <w:rsid w:val="009864C1"/>
    <w:rsid w:val="0098697D"/>
    <w:rsid w:val="00986B81"/>
    <w:rsid w:val="00986E47"/>
    <w:rsid w:val="00987061"/>
    <w:rsid w:val="0098739E"/>
    <w:rsid w:val="00987485"/>
    <w:rsid w:val="009874D5"/>
    <w:rsid w:val="00987C0F"/>
    <w:rsid w:val="00987C58"/>
    <w:rsid w:val="00987C86"/>
    <w:rsid w:val="00987CA1"/>
    <w:rsid w:val="00990047"/>
    <w:rsid w:val="009901C2"/>
    <w:rsid w:val="0099089D"/>
    <w:rsid w:val="00990A60"/>
    <w:rsid w:val="00990A8B"/>
    <w:rsid w:val="00990B37"/>
    <w:rsid w:val="009913DB"/>
    <w:rsid w:val="009917CF"/>
    <w:rsid w:val="00991D4D"/>
    <w:rsid w:val="00991FE9"/>
    <w:rsid w:val="00992093"/>
    <w:rsid w:val="00992CCB"/>
    <w:rsid w:val="00992D1D"/>
    <w:rsid w:val="00992D7A"/>
    <w:rsid w:val="00992E0B"/>
    <w:rsid w:val="009931DC"/>
    <w:rsid w:val="00993AA7"/>
    <w:rsid w:val="00993DD6"/>
    <w:rsid w:val="00993E4D"/>
    <w:rsid w:val="009941A9"/>
    <w:rsid w:val="00994E2F"/>
    <w:rsid w:val="00994E5C"/>
    <w:rsid w:val="00994FC9"/>
    <w:rsid w:val="0099520B"/>
    <w:rsid w:val="009952F9"/>
    <w:rsid w:val="00995365"/>
    <w:rsid w:val="009953D3"/>
    <w:rsid w:val="00995441"/>
    <w:rsid w:val="009955AA"/>
    <w:rsid w:val="009957CF"/>
    <w:rsid w:val="00995B9F"/>
    <w:rsid w:val="00995C08"/>
    <w:rsid w:val="00995E5A"/>
    <w:rsid w:val="009961B0"/>
    <w:rsid w:val="00996508"/>
    <w:rsid w:val="00996542"/>
    <w:rsid w:val="00996D21"/>
    <w:rsid w:val="00996DD3"/>
    <w:rsid w:val="00996E45"/>
    <w:rsid w:val="00996E53"/>
    <w:rsid w:val="00997748"/>
    <w:rsid w:val="00997A10"/>
    <w:rsid w:val="00997A33"/>
    <w:rsid w:val="00997A36"/>
    <w:rsid w:val="00997B47"/>
    <w:rsid w:val="00997C15"/>
    <w:rsid w:val="00997F7C"/>
    <w:rsid w:val="009A01A8"/>
    <w:rsid w:val="009A0234"/>
    <w:rsid w:val="009A0545"/>
    <w:rsid w:val="009A0B9D"/>
    <w:rsid w:val="009A0BB8"/>
    <w:rsid w:val="009A0C32"/>
    <w:rsid w:val="009A0FA1"/>
    <w:rsid w:val="009A12F1"/>
    <w:rsid w:val="009A14B6"/>
    <w:rsid w:val="009A1555"/>
    <w:rsid w:val="009A1740"/>
    <w:rsid w:val="009A189B"/>
    <w:rsid w:val="009A1AE5"/>
    <w:rsid w:val="009A1BE0"/>
    <w:rsid w:val="009A1EF2"/>
    <w:rsid w:val="009A2268"/>
    <w:rsid w:val="009A238D"/>
    <w:rsid w:val="009A2502"/>
    <w:rsid w:val="009A2558"/>
    <w:rsid w:val="009A2AEE"/>
    <w:rsid w:val="009A2B58"/>
    <w:rsid w:val="009A2BE2"/>
    <w:rsid w:val="009A2D2C"/>
    <w:rsid w:val="009A2FCA"/>
    <w:rsid w:val="009A315F"/>
    <w:rsid w:val="009A318B"/>
    <w:rsid w:val="009A31CB"/>
    <w:rsid w:val="009A33AC"/>
    <w:rsid w:val="009A384D"/>
    <w:rsid w:val="009A3982"/>
    <w:rsid w:val="009A3D64"/>
    <w:rsid w:val="009A3FAF"/>
    <w:rsid w:val="009A400D"/>
    <w:rsid w:val="009A403E"/>
    <w:rsid w:val="009A41BC"/>
    <w:rsid w:val="009A42ED"/>
    <w:rsid w:val="009A435F"/>
    <w:rsid w:val="009A43A8"/>
    <w:rsid w:val="009A43E1"/>
    <w:rsid w:val="009A43F2"/>
    <w:rsid w:val="009A4F43"/>
    <w:rsid w:val="009A57AD"/>
    <w:rsid w:val="009A589F"/>
    <w:rsid w:val="009A58C7"/>
    <w:rsid w:val="009A5E5F"/>
    <w:rsid w:val="009A62AD"/>
    <w:rsid w:val="009A663F"/>
    <w:rsid w:val="009A67C5"/>
    <w:rsid w:val="009A6B1D"/>
    <w:rsid w:val="009A6D93"/>
    <w:rsid w:val="009A6DAF"/>
    <w:rsid w:val="009A7200"/>
    <w:rsid w:val="009A753B"/>
    <w:rsid w:val="009A7BD1"/>
    <w:rsid w:val="009A7DF0"/>
    <w:rsid w:val="009A7F98"/>
    <w:rsid w:val="009A7FD6"/>
    <w:rsid w:val="009B00B1"/>
    <w:rsid w:val="009B037E"/>
    <w:rsid w:val="009B0A60"/>
    <w:rsid w:val="009B0F3D"/>
    <w:rsid w:val="009B1053"/>
    <w:rsid w:val="009B19FB"/>
    <w:rsid w:val="009B20FB"/>
    <w:rsid w:val="009B22DC"/>
    <w:rsid w:val="009B2431"/>
    <w:rsid w:val="009B252C"/>
    <w:rsid w:val="009B266C"/>
    <w:rsid w:val="009B2829"/>
    <w:rsid w:val="009B2C1D"/>
    <w:rsid w:val="009B2F6A"/>
    <w:rsid w:val="009B2FAE"/>
    <w:rsid w:val="009B341A"/>
    <w:rsid w:val="009B341C"/>
    <w:rsid w:val="009B3893"/>
    <w:rsid w:val="009B3ADB"/>
    <w:rsid w:val="009B3B83"/>
    <w:rsid w:val="009B4409"/>
    <w:rsid w:val="009B44BE"/>
    <w:rsid w:val="009B4908"/>
    <w:rsid w:val="009B4952"/>
    <w:rsid w:val="009B4B12"/>
    <w:rsid w:val="009B4F88"/>
    <w:rsid w:val="009B5109"/>
    <w:rsid w:val="009B51A4"/>
    <w:rsid w:val="009B51F7"/>
    <w:rsid w:val="009B5AD7"/>
    <w:rsid w:val="009B6138"/>
    <w:rsid w:val="009B691C"/>
    <w:rsid w:val="009B6E81"/>
    <w:rsid w:val="009B705E"/>
    <w:rsid w:val="009B7088"/>
    <w:rsid w:val="009B70C7"/>
    <w:rsid w:val="009B724F"/>
    <w:rsid w:val="009B740C"/>
    <w:rsid w:val="009B7466"/>
    <w:rsid w:val="009B78AD"/>
    <w:rsid w:val="009B7AA9"/>
    <w:rsid w:val="009B7F39"/>
    <w:rsid w:val="009B7FBD"/>
    <w:rsid w:val="009B7FF2"/>
    <w:rsid w:val="009C02F9"/>
    <w:rsid w:val="009C07E7"/>
    <w:rsid w:val="009C0C87"/>
    <w:rsid w:val="009C0FDF"/>
    <w:rsid w:val="009C1066"/>
    <w:rsid w:val="009C1497"/>
    <w:rsid w:val="009C1CE2"/>
    <w:rsid w:val="009C21AE"/>
    <w:rsid w:val="009C22BF"/>
    <w:rsid w:val="009C246C"/>
    <w:rsid w:val="009C2525"/>
    <w:rsid w:val="009C2711"/>
    <w:rsid w:val="009C2967"/>
    <w:rsid w:val="009C29B6"/>
    <w:rsid w:val="009C2CE7"/>
    <w:rsid w:val="009C334E"/>
    <w:rsid w:val="009C4167"/>
    <w:rsid w:val="009C44DD"/>
    <w:rsid w:val="009C46E5"/>
    <w:rsid w:val="009C524F"/>
    <w:rsid w:val="009C5403"/>
    <w:rsid w:val="009C54E4"/>
    <w:rsid w:val="009C55D9"/>
    <w:rsid w:val="009C570F"/>
    <w:rsid w:val="009C589C"/>
    <w:rsid w:val="009C59D6"/>
    <w:rsid w:val="009C5AC2"/>
    <w:rsid w:val="009C5C7D"/>
    <w:rsid w:val="009C5D45"/>
    <w:rsid w:val="009C5FA8"/>
    <w:rsid w:val="009C61C2"/>
    <w:rsid w:val="009C6437"/>
    <w:rsid w:val="009C6598"/>
    <w:rsid w:val="009C676F"/>
    <w:rsid w:val="009C6A7D"/>
    <w:rsid w:val="009C6B49"/>
    <w:rsid w:val="009C6E58"/>
    <w:rsid w:val="009C6E76"/>
    <w:rsid w:val="009C6ECE"/>
    <w:rsid w:val="009C709C"/>
    <w:rsid w:val="009C7866"/>
    <w:rsid w:val="009C7A24"/>
    <w:rsid w:val="009C7DF8"/>
    <w:rsid w:val="009C7FB9"/>
    <w:rsid w:val="009C7FBE"/>
    <w:rsid w:val="009D013B"/>
    <w:rsid w:val="009D020D"/>
    <w:rsid w:val="009D02C0"/>
    <w:rsid w:val="009D0381"/>
    <w:rsid w:val="009D04CA"/>
    <w:rsid w:val="009D0931"/>
    <w:rsid w:val="009D0969"/>
    <w:rsid w:val="009D0A30"/>
    <w:rsid w:val="009D0A42"/>
    <w:rsid w:val="009D0A6F"/>
    <w:rsid w:val="009D0BB7"/>
    <w:rsid w:val="009D0D5E"/>
    <w:rsid w:val="009D0FAA"/>
    <w:rsid w:val="009D14FF"/>
    <w:rsid w:val="009D1609"/>
    <w:rsid w:val="009D17E1"/>
    <w:rsid w:val="009D1847"/>
    <w:rsid w:val="009D19CF"/>
    <w:rsid w:val="009D1C66"/>
    <w:rsid w:val="009D1DF8"/>
    <w:rsid w:val="009D1E44"/>
    <w:rsid w:val="009D1F8C"/>
    <w:rsid w:val="009D222A"/>
    <w:rsid w:val="009D276A"/>
    <w:rsid w:val="009D2820"/>
    <w:rsid w:val="009D2835"/>
    <w:rsid w:val="009D2BD1"/>
    <w:rsid w:val="009D2D77"/>
    <w:rsid w:val="009D300F"/>
    <w:rsid w:val="009D32E1"/>
    <w:rsid w:val="009D3507"/>
    <w:rsid w:val="009D37E6"/>
    <w:rsid w:val="009D38F4"/>
    <w:rsid w:val="009D39E7"/>
    <w:rsid w:val="009D3AEE"/>
    <w:rsid w:val="009D3BE7"/>
    <w:rsid w:val="009D3F91"/>
    <w:rsid w:val="009D425D"/>
    <w:rsid w:val="009D4379"/>
    <w:rsid w:val="009D43AC"/>
    <w:rsid w:val="009D4793"/>
    <w:rsid w:val="009D4F52"/>
    <w:rsid w:val="009D4FCB"/>
    <w:rsid w:val="009D515E"/>
    <w:rsid w:val="009D5319"/>
    <w:rsid w:val="009D53CB"/>
    <w:rsid w:val="009D5642"/>
    <w:rsid w:val="009D5AD3"/>
    <w:rsid w:val="009D5E3F"/>
    <w:rsid w:val="009D5E7D"/>
    <w:rsid w:val="009D5F6B"/>
    <w:rsid w:val="009D61A3"/>
    <w:rsid w:val="009D62BA"/>
    <w:rsid w:val="009D65AD"/>
    <w:rsid w:val="009D67DC"/>
    <w:rsid w:val="009D6B1D"/>
    <w:rsid w:val="009D6B99"/>
    <w:rsid w:val="009D7138"/>
    <w:rsid w:val="009D7304"/>
    <w:rsid w:val="009D7670"/>
    <w:rsid w:val="009D7692"/>
    <w:rsid w:val="009D7860"/>
    <w:rsid w:val="009D797C"/>
    <w:rsid w:val="009D7B3B"/>
    <w:rsid w:val="009D7EC5"/>
    <w:rsid w:val="009E0007"/>
    <w:rsid w:val="009E03CB"/>
    <w:rsid w:val="009E03EE"/>
    <w:rsid w:val="009E0F9F"/>
    <w:rsid w:val="009E14E5"/>
    <w:rsid w:val="009E1928"/>
    <w:rsid w:val="009E1EE6"/>
    <w:rsid w:val="009E2239"/>
    <w:rsid w:val="009E2314"/>
    <w:rsid w:val="009E262A"/>
    <w:rsid w:val="009E2F50"/>
    <w:rsid w:val="009E346C"/>
    <w:rsid w:val="009E3D05"/>
    <w:rsid w:val="009E3E74"/>
    <w:rsid w:val="009E4327"/>
    <w:rsid w:val="009E43CD"/>
    <w:rsid w:val="009E4F7E"/>
    <w:rsid w:val="009E4FBE"/>
    <w:rsid w:val="009E500D"/>
    <w:rsid w:val="009E5064"/>
    <w:rsid w:val="009E5200"/>
    <w:rsid w:val="009E566E"/>
    <w:rsid w:val="009E58C2"/>
    <w:rsid w:val="009E5BB2"/>
    <w:rsid w:val="009E5BDA"/>
    <w:rsid w:val="009E610C"/>
    <w:rsid w:val="009E6431"/>
    <w:rsid w:val="009E67E7"/>
    <w:rsid w:val="009E6B09"/>
    <w:rsid w:val="009E6BE1"/>
    <w:rsid w:val="009E6C18"/>
    <w:rsid w:val="009E7556"/>
    <w:rsid w:val="009E7673"/>
    <w:rsid w:val="009E7680"/>
    <w:rsid w:val="009E78EB"/>
    <w:rsid w:val="009E78F6"/>
    <w:rsid w:val="009E7912"/>
    <w:rsid w:val="009E7B62"/>
    <w:rsid w:val="009E7E2E"/>
    <w:rsid w:val="009F036A"/>
    <w:rsid w:val="009F0416"/>
    <w:rsid w:val="009F0720"/>
    <w:rsid w:val="009F08C7"/>
    <w:rsid w:val="009F0914"/>
    <w:rsid w:val="009F0DF5"/>
    <w:rsid w:val="009F0E33"/>
    <w:rsid w:val="009F1114"/>
    <w:rsid w:val="009F1294"/>
    <w:rsid w:val="009F139D"/>
    <w:rsid w:val="009F16D4"/>
    <w:rsid w:val="009F1722"/>
    <w:rsid w:val="009F1D53"/>
    <w:rsid w:val="009F22C8"/>
    <w:rsid w:val="009F2418"/>
    <w:rsid w:val="009F2534"/>
    <w:rsid w:val="009F2A91"/>
    <w:rsid w:val="009F3124"/>
    <w:rsid w:val="009F34A5"/>
    <w:rsid w:val="009F35CF"/>
    <w:rsid w:val="009F37D4"/>
    <w:rsid w:val="009F3AB7"/>
    <w:rsid w:val="009F3B49"/>
    <w:rsid w:val="009F3C3E"/>
    <w:rsid w:val="009F3FCC"/>
    <w:rsid w:val="009F3FE0"/>
    <w:rsid w:val="009F4298"/>
    <w:rsid w:val="009F4426"/>
    <w:rsid w:val="009F4463"/>
    <w:rsid w:val="009F45CC"/>
    <w:rsid w:val="009F45F7"/>
    <w:rsid w:val="009F4669"/>
    <w:rsid w:val="009F4A18"/>
    <w:rsid w:val="009F4B15"/>
    <w:rsid w:val="009F4B50"/>
    <w:rsid w:val="009F515B"/>
    <w:rsid w:val="009F5368"/>
    <w:rsid w:val="009F54FB"/>
    <w:rsid w:val="009F5704"/>
    <w:rsid w:val="009F5787"/>
    <w:rsid w:val="009F5D22"/>
    <w:rsid w:val="009F61E6"/>
    <w:rsid w:val="009F6548"/>
    <w:rsid w:val="009F6DBE"/>
    <w:rsid w:val="009F6E96"/>
    <w:rsid w:val="009F6F66"/>
    <w:rsid w:val="009F6F94"/>
    <w:rsid w:val="009F781F"/>
    <w:rsid w:val="009F783B"/>
    <w:rsid w:val="009F7A99"/>
    <w:rsid w:val="009F7F38"/>
    <w:rsid w:val="00A001FD"/>
    <w:rsid w:val="00A00487"/>
    <w:rsid w:val="00A008E5"/>
    <w:rsid w:val="00A00C37"/>
    <w:rsid w:val="00A00CDE"/>
    <w:rsid w:val="00A010C8"/>
    <w:rsid w:val="00A01122"/>
    <w:rsid w:val="00A012E5"/>
    <w:rsid w:val="00A012F3"/>
    <w:rsid w:val="00A01329"/>
    <w:rsid w:val="00A016AA"/>
    <w:rsid w:val="00A016CD"/>
    <w:rsid w:val="00A0189E"/>
    <w:rsid w:val="00A01921"/>
    <w:rsid w:val="00A01A31"/>
    <w:rsid w:val="00A02297"/>
    <w:rsid w:val="00A0254D"/>
    <w:rsid w:val="00A02552"/>
    <w:rsid w:val="00A02571"/>
    <w:rsid w:val="00A025E6"/>
    <w:rsid w:val="00A026F6"/>
    <w:rsid w:val="00A0282A"/>
    <w:rsid w:val="00A02841"/>
    <w:rsid w:val="00A0284E"/>
    <w:rsid w:val="00A028DE"/>
    <w:rsid w:val="00A02A21"/>
    <w:rsid w:val="00A02A26"/>
    <w:rsid w:val="00A02AE9"/>
    <w:rsid w:val="00A03022"/>
    <w:rsid w:val="00A030CE"/>
    <w:rsid w:val="00A03134"/>
    <w:rsid w:val="00A033D1"/>
    <w:rsid w:val="00A03968"/>
    <w:rsid w:val="00A039E6"/>
    <w:rsid w:val="00A03C06"/>
    <w:rsid w:val="00A03C34"/>
    <w:rsid w:val="00A03C8C"/>
    <w:rsid w:val="00A03D54"/>
    <w:rsid w:val="00A041A6"/>
    <w:rsid w:val="00A0426D"/>
    <w:rsid w:val="00A04E58"/>
    <w:rsid w:val="00A0505C"/>
    <w:rsid w:val="00A05112"/>
    <w:rsid w:val="00A051D5"/>
    <w:rsid w:val="00A059CB"/>
    <w:rsid w:val="00A05D2A"/>
    <w:rsid w:val="00A06388"/>
    <w:rsid w:val="00A0649A"/>
    <w:rsid w:val="00A06690"/>
    <w:rsid w:val="00A06F2A"/>
    <w:rsid w:val="00A07231"/>
    <w:rsid w:val="00A07310"/>
    <w:rsid w:val="00A07474"/>
    <w:rsid w:val="00A074D7"/>
    <w:rsid w:val="00A078FA"/>
    <w:rsid w:val="00A07A22"/>
    <w:rsid w:val="00A07B24"/>
    <w:rsid w:val="00A07CFA"/>
    <w:rsid w:val="00A07E17"/>
    <w:rsid w:val="00A10003"/>
    <w:rsid w:val="00A101B7"/>
    <w:rsid w:val="00A10543"/>
    <w:rsid w:val="00A105BD"/>
    <w:rsid w:val="00A105F2"/>
    <w:rsid w:val="00A10B74"/>
    <w:rsid w:val="00A10ED4"/>
    <w:rsid w:val="00A112E7"/>
    <w:rsid w:val="00A113B1"/>
    <w:rsid w:val="00A116A5"/>
    <w:rsid w:val="00A1187E"/>
    <w:rsid w:val="00A1190D"/>
    <w:rsid w:val="00A11DC8"/>
    <w:rsid w:val="00A11F4C"/>
    <w:rsid w:val="00A11F8A"/>
    <w:rsid w:val="00A1207F"/>
    <w:rsid w:val="00A12353"/>
    <w:rsid w:val="00A123F6"/>
    <w:rsid w:val="00A124FB"/>
    <w:rsid w:val="00A129FD"/>
    <w:rsid w:val="00A1306A"/>
    <w:rsid w:val="00A131FD"/>
    <w:rsid w:val="00A1345E"/>
    <w:rsid w:val="00A138BF"/>
    <w:rsid w:val="00A13FB4"/>
    <w:rsid w:val="00A14240"/>
    <w:rsid w:val="00A14473"/>
    <w:rsid w:val="00A14804"/>
    <w:rsid w:val="00A148C1"/>
    <w:rsid w:val="00A1494F"/>
    <w:rsid w:val="00A150BC"/>
    <w:rsid w:val="00A1531E"/>
    <w:rsid w:val="00A15329"/>
    <w:rsid w:val="00A153D2"/>
    <w:rsid w:val="00A1542A"/>
    <w:rsid w:val="00A154EB"/>
    <w:rsid w:val="00A156A6"/>
    <w:rsid w:val="00A15708"/>
    <w:rsid w:val="00A15A4E"/>
    <w:rsid w:val="00A15AB3"/>
    <w:rsid w:val="00A15ADB"/>
    <w:rsid w:val="00A15CFC"/>
    <w:rsid w:val="00A15DF0"/>
    <w:rsid w:val="00A15FC1"/>
    <w:rsid w:val="00A16347"/>
    <w:rsid w:val="00A165A0"/>
    <w:rsid w:val="00A17071"/>
    <w:rsid w:val="00A1715A"/>
    <w:rsid w:val="00A1736F"/>
    <w:rsid w:val="00A174DB"/>
    <w:rsid w:val="00A17752"/>
    <w:rsid w:val="00A17784"/>
    <w:rsid w:val="00A17807"/>
    <w:rsid w:val="00A20240"/>
    <w:rsid w:val="00A2052F"/>
    <w:rsid w:val="00A20560"/>
    <w:rsid w:val="00A20686"/>
    <w:rsid w:val="00A20722"/>
    <w:rsid w:val="00A2081B"/>
    <w:rsid w:val="00A20858"/>
    <w:rsid w:val="00A20915"/>
    <w:rsid w:val="00A20B74"/>
    <w:rsid w:val="00A21247"/>
    <w:rsid w:val="00A21345"/>
    <w:rsid w:val="00A21B36"/>
    <w:rsid w:val="00A220FC"/>
    <w:rsid w:val="00A22762"/>
    <w:rsid w:val="00A22E27"/>
    <w:rsid w:val="00A22EB4"/>
    <w:rsid w:val="00A22FF3"/>
    <w:rsid w:val="00A23006"/>
    <w:rsid w:val="00A236E3"/>
    <w:rsid w:val="00A23A45"/>
    <w:rsid w:val="00A23D0A"/>
    <w:rsid w:val="00A23FF1"/>
    <w:rsid w:val="00A2421F"/>
    <w:rsid w:val="00A24379"/>
    <w:rsid w:val="00A24611"/>
    <w:rsid w:val="00A2474C"/>
    <w:rsid w:val="00A24850"/>
    <w:rsid w:val="00A24C57"/>
    <w:rsid w:val="00A24F07"/>
    <w:rsid w:val="00A25267"/>
    <w:rsid w:val="00A25356"/>
    <w:rsid w:val="00A25703"/>
    <w:rsid w:val="00A2603D"/>
    <w:rsid w:val="00A2629A"/>
    <w:rsid w:val="00A267E8"/>
    <w:rsid w:val="00A26866"/>
    <w:rsid w:val="00A27028"/>
    <w:rsid w:val="00A277BA"/>
    <w:rsid w:val="00A27D46"/>
    <w:rsid w:val="00A27E10"/>
    <w:rsid w:val="00A27F3D"/>
    <w:rsid w:val="00A3003C"/>
    <w:rsid w:val="00A30727"/>
    <w:rsid w:val="00A30BC8"/>
    <w:rsid w:val="00A30D04"/>
    <w:rsid w:val="00A30E74"/>
    <w:rsid w:val="00A3117D"/>
    <w:rsid w:val="00A31225"/>
    <w:rsid w:val="00A31520"/>
    <w:rsid w:val="00A31CE7"/>
    <w:rsid w:val="00A31F79"/>
    <w:rsid w:val="00A323C9"/>
    <w:rsid w:val="00A32A5B"/>
    <w:rsid w:val="00A32B4A"/>
    <w:rsid w:val="00A32CEA"/>
    <w:rsid w:val="00A32E2B"/>
    <w:rsid w:val="00A33592"/>
    <w:rsid w:val="00A335FC"/>
    <w:rsid w:val="00A336EB"/>
    <w:rsid w:val="00A33708"/>
    <w:rsid w:val="00A3382F"/>
    <w:rsid w:val="00A338AF"/>
    <w:rsid w:val="00A33CB6"/>
    <w:rsid w:val="00A33D52"/>
    <w:rsid w:val="00A3401A"/>
    <w:rsid w:val="00A345EA"/>
    <w:rsid w:val="00A34683"/>
    <w:rsid w:val="00A34840"/>
    <w:rsid w:val="00A34E06"/>
    <w:rsid w:val="00A34E3B"/>
    <w:rsid w:val="00A34F59"/>
    <w:rsid w:val="00A350F0"/>
    <w:rsid w:val="00A35851"/>
    <w:rsid w:val="00A35E08"/>
    <w:rsid w:val="00A35F8B"/>
    <w:rsid w:val="00A3605C"/>
    <w:rsid w:val="00A36376"/>
    <w:rsid w:val="00A364D3"/>
    <w:rsid w:val="00A368FA"/>
    <w:rsid w:val="00A36BBA"/>
    <w:rsid w:val="00A36CB0"/>
    <w:rsid w:val="00A370E9"/>
    <w:rsid w:val="00A372A3"/>
    <w:rsid w:val="00A377E6"/>
    <w:rsid w:val="00A37AFF"/>
    <w:rsid w:val="00A40035"/>
    <w:rsid w:val="00A40369"/>
    <w:rsid w:val="00A403F8"/>
    <w:rsid w:val="00A40770"/>
    <w:rsid w:val="00A408FE"/>
    <w:rsid w:val="00A40A4B"/>
    <w:rsid w:val="00A40B54"/>
    <w:rsid w:val="00A40C12"/>
    <w:rsid w:val="00A40D46"/>
    <w:rsid w:val="00A40D97"/>
    <w:rsid w:val="00A41240"/>
    <w:rsid w:val="00A41806"/>
    <w:rsid w:val="00A41967"/>
    <w:rsid w:val="00A419D4"/>
    <w:rsid w:val="00A41EFF"/>
    <w:rsid w:val="00A41FD2"/>
    <w:rsid w:val="00A42229"/>
    <w:rsid w:val="00A426BC"/>
    <w:rsid w:val="00A42E1E"/>
    <w:rsid w:val="00A42F07"/>
    <w:rsid w:val="00A42FB1"/>
    <w:rsid w:val="00A42FD8"/>
    <w:rsid w:val="00A43037"/>
    <w:rsid w:val="00A43078"/>
    <w:rsid w:val="00A43387"/>
    <w:rsid w:val="00A436DD"/>
    <w:rsid w:val="00A4373B"/>
    <w:rsid w:val="00A43966"/>
    <w:rsid w:val="00A440E0"/>
    <w:rsid w:val="00A44238"/>
    <w:rsid w:val="00A44313"/>
    <w:rsid w:val="00A4460C"/>
    <w:rsid w:val="00A449F5"/>
    <w:rsid w:val="00A44AE9"/>
    <w:rsid w:val="00A44AFE"/>
    <w:rsid w:val="00A44D4C"/>
    <w:rsid w:val="00A44F9C"/>
    <w:rsid w:val="00A452D8"/>
    <w:rsid w:val="00A45324"/>
    <w:rsid w:val="00A455E7"/>
    <w:rsid w:val="00A45667"/>
    <w:rsid w:val="00A459F5"/>
    <w:rsid w:val="00A4611A"/>
    <w:rsid w:val="00A46134"/>
    <w:rsid w:val="00A466AE"/>
    <w:rsid w:val="00A47288"/>
    <w:rsid w:val="00A47466"/>
    <w:rsid w:val="00A47898"/>
    <w:rsid w:val="00A478F9"/>
    <w:rsid w:val="00A47A9F"/>
    <w:rsid w:val="00A47B1D"/>
    <w:rsid w:val="00A47C35"/>
    <w:rsid w:val="00A5048C"/>
    <w:rsid w:val="00A50648"/>
    <w:rsid w:val="00A50781"/>
    <w:rsid w:val="00A50831"/>
    <w:rsid w:val="00A50DDF"/>
    <w:rsid w:val="00A517A8"/>
    <w:rsid w:val="00A518C2"/>
    <w:rsid w:val="00A519D5"/>
    <w:rsid w:val="00A52118"/>
    <w:rsid w:val="00A52542"/>
    <w:rsid w:val="00A5263D"/>
    <w:rsid w:val="00A527A9"/>
    <w:rsid w:val="00A52819"/>
    <w:rsid w:val="00A52F1C"/>
    <w:rsid w:val="00A52F8A"/>
    <w:rsid w:val="00A530EA"/>
    <w:rsid w:val="00A5310D"/>
    <w:rsid w:val="00A534E6"/>
    <w:rsid w:val="00A537C4"/>
    <w:rsid w:val="00A53B41"/>
    <w:rsid w:val="00A53C41"/>
    <w:rsid w:val="00A53DDA"/>
    <w:rsid w:val="00A53E04"/>
    <w:rsid w:val="00A54050"/>
    <w:rsid w:val="00A54267"/>
    <w:rsid w:val="00A54433"/>
    <w:rsid w:val="00A54502"/>
    <w:rsid w:val="00A547EE"/>
    <w:rsid w:val="00A5491C"/>
    <w:rsid w:val="00A54921"/>
    <w:rsid w:val="00A5499C"/>
    <w:rsid w:val="00A552A2"/>
    <w:rsid w:val="00A557D5"/>
    <w:rsid w:val="00A55B5F"/>
    <w:rsid w:val="00A55B64"/>
    <w:rsid w:val="00A55E5E"/>
    <w:rsid w:val="00A55F2D"/>
    <w:rsid w:val="00A5624C"/>
    <w:rsid w:val="00A562D5"/>
    <w:rsid w:val="00A569CF"/>
    <w:rsid w:val="00A56A4F"/>
    <w:rsid w:val="00A56CEA"/>
    <w:rsid w:val="00A56EF7"/>
    <w:rsid w:val="00A57251"/>
    <w:rsid w:val="00A572E8"/>
    <w:rsid w:val="00A5762B"/>
    <w:rsid w:val="00A57813"/>
    <w:rsid w:val="00A57999"/>
    <w:rsid w:val="00A57B4E"/>
    <w:rsid w:val="00A60D6A"/>
    <w:rsid w:val="00A61191"/>
    <w:rsid w:val="00A61450"/>
    <w:rsid w:val="00A614AA"/>
    <w:rsid w:val="00A615CB"/>
    <w:rsid w:val="00A61636"/>
    <w:rsid w:val="00A61C2A"/>
    <w:rsid w:val="00A61CE5"/>
    <w:rsid w:val="00A61DDF"/>
    <w:rsid w:val="00A61E06"/>
    <w:rsid w:val="00A621B8"/>
    <w:rsid w:val="00A6239A"/>
    <w:rsid w:val="00A62E99"/>
    <w:rsid w:val="00A633BC"/>
    <w:rsid w:val="00A634DA"/>
    <w:rsid w:val="00A63664"/>
    <w:rsid w:val="00A6386A"/>
    <w:rsid w:val="00A6392F"/>
    <w:rsid w:val="00A63FAD"/>
    <w:rsid w:val="00A63FFA"/>
    <w:rsid w:val="00A6441F"/>
    <w:rsid w:val="00A647D7"/>
    <w:rsid w:val="00A648A5"/>
    <w:rsid w:val="00A64A3F"/>
    <w:rsid w:val="00A64A5D"/>
    <w:rsid w:val="00A64D34"/>
    <w:rsid w:val="00A64E65"/>
    <w:rsid w:val="00A6583A"/>
    <w:rsid w:val="00A65B16"/>
    <w:rsid w:val="00A65BF0"/>
    <w:rsid w:val="00A65FD4"/>
    <w:rsid w:val="00A6671C"/>
    <w:rsid w:val="00A66723"/>
    <w:rsid w:val="00A667D0"/>
    <w:rsid w:val="00A66A4D"/>
    <w:rsid w:val="00A66F1B"/>
    <w:rsid w:val="00A67315"/>
    <w:rsid w:val="00A67C80"/>
    <w:rsid w:val="00A67D32"/>
    <w:rsid w:val="00A67ECB"/>
    <w:rsid w:val="00A67F60"/>
    <w:rsid w:val="00A70353"/>
    <w:rsid w:val="00A70526"/>
    <w:rsid w:val="00A708B7"/>
    <w:rsid w:val="00A70B67"/>
    <w:rsid w:val="00A70CCF"/>
    <w:rsid w:val="00A70DD4"/>
    <w:rsid w:val="00A70F5D"/>
    <w:rsid w:val="00A710C5"/>
    <w:rsid w:val="00A713F0"/>
    <w:rsid w:val="00A714AC"/>
    <w:rsid w:val="00A71723"/>
    <w:rsid w:val="00A718E7"/>
    <w:rsid w:val="00A719BE"/>
    <w:rsid w:val="00A71A62"/>
    <w:rsid w:val="00A71AC4"/>
    <w:rsid w:val="00A71DF5"/>
    <w:rsid w:val="00A71EA6"/>
    <w:rsid w:val="00A71EDC"/>
    <w:rsid w:val="00A720D7"/>
    <w:rsid w:val="00A7215B"/>
    <w:rsid w:val="00A72206"/>
    <w:rsid w:val="00A722A9"/>
    <w:rsid w:val="00A72474"/>
    <w:rsid w:val="00A7253A"/>
    <w:rsid w:val="00A7276C"/>
    <w:rsid w:val="00A72999"/>
    <w:rsid w:val="00A729A0"/>
    <w:rsid w:val="00A72AE7"/>
    <w:rsid w:val="00A72D0F"/>
    <w:rsid w:val="00A72F18"/>
    <w:rsid w:val="00A72FD7"/>
    <w:rsid w:val="00A73070"/>
    <w:rsid w:val="00A730C1"/>
    <w:rsid w:val="00A7317B"/>
    <w:rsid w:val="00A73342"/>
    <w:rsid w:val="00A73961"/>
    <w:rsid w:val="00A73AB5"/>
    <w:rsid w:val="00A73D84"/>
    <w:rsid w:val="00A73E45"/>
    <w:rsid w:val="00A73F86"/>
    <w:rsid w:val="00A740CE"/>
    <w:rsid w:val="00A74192"/>
    <w:rsid w:val="00A742D8"/>
    <w:rsid w:val="00A74732"/>
    <w:rsid w:val="00A74AA6"/>
    <w:rsid w:val="00A74DB9"/>
    <w:rsid w:val="00A74F4A"/>
    <w:rsid w:val="00A75177"/>
    <w:rsid w:val="00A752E4"/>
    <w:rsid w:val="00A75434"/>
    <w:rsid w:val="00A755ED"/>
    <w:rsid w:val="00A75660"/>
    <w:rsid w:val="00A76269"/>
    <w:rsid w:val="00A76515"/>
    <w:rsid w:val="00A76829"/>
    <w:rsid w:val="00A7702E"/>
    <w:rsid w:val="00A77074"/>
    <w:rsid w:val="00A777D8"/>
    <w:rsid w:val="00A77820"/>
    <w:rsid w:val="00A77A2C"/>
    <w:rsid w:val="00A77C3D"/>
    <w:rsid w:val="00A80553"/>
    <w:rsid w:val="00A80610"/>
    <w:rsid w:val="00A80BC4"/>
    <w:rsid w:val="00A80D0F"/>
    <w:rsid w:val="00A80E84"/>
    <w:rsid w:val="00A81270"/>
    <w:rsid w:val="00A81385"/>
    <w:rsid w:val="00A814E1"/>
    <w:rsid w:val="00A816C6"/>
    <w:rsid w:val="00A8177C"/>
    <w:rsid w:val="00A81BAF"/>
    <w:rsid w:val="00A81C36"/>
    <w:rsid w:val="00A82100"/>
    <w:rsid w:val="00A821F1"/>
    <w:rsid w:val="00A8270D"/>
    <w:rsid w:val="00A8271B"/>
    <w:rsid w:val="00A831C7"/>
    <w:rsid w:val="00A83418"/>
    <w:rsid w:val="00A835CB"/>
    <w:rsid w:val="00A83672"/>
    <w:rsid w:val="00A83AFF"/>
    <w:rsid w:val="00A83B16"/>
    <w:rsid w:val="00A83BE0"/>
    <w:rsid w:val="00A83C4D"/>
    <w:rsid w:val="00A83F78"/>
    <w:rsid w:val="00A844AE"/>
    <w:rsid w:val="00A849FE"/>
    <w:rsid w:val="00A84A1C"/>
    <w:rsid w:val="00A84A63"/>
    <w:rsid w:val="00A84C94"/>
    <w:rsid w:val="00A84EBF"/>
    <w:rsid w:val="00A84F5E"/>
    <w:rsid w:val="00A853A7"/>
    <w:rsid w:val="00A857E1"/>
    <w:rsid w:val="00A857F6"/>
    <w:rsid w:val="00A85A64"/>
    <w:rsid w:val="00A85D1E"/>
    <w:rsid w:val="00A85F7B"/>
    <w:rsid w:val="00A864CC"/>
    <w:rsid w:val="00A86752"/>
    <w:rsid w:val="00A868C6"/>
    <w:rsid w:val="00A86B0C"/>
    <w:rsid w:val="00A8729D"/>
    <w:rsid w:val="00A872C7"/>
    <w:rsid w:val="00A87314"/>
    <w:rsid w:val="00A87BAE"/>
    <w:rsid w:val="00A87CED"/>
    <w:rsid w:val="00A90140"/>
    <w:rsid w:val="00A911A2"/>
    <w:rsid w:val="00A911BE"/>
    <w:rsid w:val="00A91234"/>
    <w:rsid w:val="00A912F7"/>
    <w:rsid w:val="00A9145C"/>
    <w:rsid w:val="00A91658"/>
    <w:rsid w:val="00A9173A"/>
    <w:rsid w:val="00A91B55"/>
    <w:rsid w:val="00A91C49"/>
    <w:rsid w:val="00A91C80"/>
    <w:rsid w:val="00A92278"/>
    <w:rsid w:val="00A92305"/>
    <w:rsid w:val="00A92413"/>
    <w:rsid w:val="00A924B2"/>
    <w:rsid w:val="00A926CF"/>
    <w:rsid w:val="00A92717"/>
    <w:rsid w:val="00A92DAF"/>
    <w:rsid w:val="00A92EE9"/>
    <w:rsid w:val="00A9359A"/>
    <w:rsid w:val="00A935B8"/>
    <w:rsid w:val="00A93B97"/>
    <w:rsid w:val="00A93EBD"/>
    <w:rsid w:val="00A942CE"/>
    <w:rsid w:val="00A945B0"/>
    <w:rsid w:val="00A945F9"/>
    <w:rsid w:val="00A9479A"/>
    <w:rsid w:val="00A94847"/>
    <w:rsid w:val="00A957D2"/>
    <w:rsid w:val="00A95CC8"/>
    <w:rsid w:val="00A95CCF"/>
    <w:rsid w:val="00A95D46"/>
    <w:rsid w:val="00A95E6F"/>
    <w:rsid w:val="00A96184"/>
    <w:rsid w:val="00A96331"/>
    <w:rsid w:val="00A96576"/>
    <w:rsid w:val="00A967C6"/>
    <w:rsid w:val="00A96C4E"/>
    <w:rsid w:val="00A96FC0"/>
    <w:rsid w:val="00A973AB"/>
    <w:rsid w:val="00A97415"/>
    <w:rsid w:val="00A974B9"/>
    <w:rsid w:val="00A97556"/>
    <w:rsid w:val="00A975CE"/>
    <w:rsid w:val="00A976E7"/>
    <w:rsid w:val="00A97D72"/>
    <w:rsid w:val="00A97FAE"/>
    <w:rsid w:val="00A97FD0"/>
    <w:rsid w:val="00AA0177"/>
    <w:rsid w:val="00AA017D"/>
    <w:rsid w:val="00AA055F"/>
    <w:rsid w:val="00AA0615"/>
    <w:rsid w:val="00AA0A6D"/>
    <w:rsid w:val="00AA0BEB"/>
    <w:rsid w:val="00AA0CAC"/>
    <w:rsid w:val="00AA0CE4"/>
    <w:rsid w:val="00AA0F0B"/>
    <w:rsid w:val="00AA19B4"/>
    <w:rsid w:val="00AA1DD7"/>
    <w:rsid w:val="00AA2029"/>
    <w:rsid w:val="00AA20C5"/>
    <w:rsid w:val="00AA2307"/>
    <w:rsid w:val="00AA2471"/>
    <w:rsid w:val="00AA2906"/>
    <w:rsid w:val="00AA2924"/>
    <w:rsid w:val="00AA2A22"/>
    <w:rsid w:val="00AA2A8C"/>
    <w:rsid w:val="00AA2CED"/>
    <w:rsid w:val="00AA2D71"/>
    <w:rsid w:val="00AA2EE7"/>
    <w:rsid w:val="00AA334C"/>
    <w:rsid w:val="00AA34F7"/>
    <w:rsid w:val="00AA353E"/>
    <w:rsid w:val="00AA3552"/>
    <w:rsid w:val="00AA403F"/>
    <w:rsid w:val="00AA470F"/>
    <w:rsid w:val="00AA48EF"/>
    <w:rsid w:val="00AA5018"/>
    <w:rsid w:val="00AA5224"/>
    <w:rsid w:val="00AA5AC0"/>
    <w:rsid w:val="00AA5B86"/>
    <w:rsid w:val="00AA5C33"/>
    <w:rsid w:val="00AA611F"/>
    <w:rsid w:val="00AA633B"/>
    <w:rsid w:val="00AA6698"/>
    <w:rsid w:val="00AA676D"/>
    <w:rsid w:val="00AA6BB5"/>
    <w:rsid w:val="00AA6CC7"/>
    <w:rsid w:val="00AA7023"/>
    <w:rsid w:val="00AA73B2"/>
    <w:rsid w:val="00AA741F"/>
    <w:rsid w:val="00AA756B"/>
    <w:rsid w:val="00AA758B"/>
    <w:rsid w:val="00AA764F"/>
    <w:rsid w:val="00AA76B6"/>
    <w:rsid w:val="00AA77FA"/>
    <w:rsid w:val="00AA7B11"/>
    <w:rsid w:val="00AA7B7A"/>
    <w:rsid w:val="00AA7E00"/>
    <w:rsid w:val="00AB0049"/>
    <w:rsid w:val="00AB0204"/>
    <w:rsid w:val="00AB0C10"/>
    <w:rsid w:val="00AB0C82"/>
    <w:rsid w:val="00AB16CC"/>
    <w:rsid w:val="00AB19FF"/>
    <w:rsid w:val="00AB1A7C"/>
    <w:rsid w:val="00AB1B7C"/>
    <w:rsid w:val="00AB1EC0"/>
    <w:rsid w:val="00AB200D"/>
    <w:rsid w:val="00AB2321"/>
    <w:rsid w:val="00AB2584"/>
    <w:rsid w:val="00AB2995"/>
    <w:rsid w:val="00AB2B5D"/>
    <w:rsid w:val="00AB2BB2"/>
    <w:rsid w:val="00AB2DEE"/>
    <w:rsid w:val="00AB2E36"/>
    <w:rsid w:val="00AB3584"/>
    <w:rsid w:val="00AB39EF"/>
    <w:rsid w:val="00AB3A85"/>
    <w:rsid w:val="00AB3AB6"/>
    <w:rsid w:val="00AB3CD0"/>
    <w:rsid w:val="00AB3FC9"/>
    <w:rsid w:val="00AB4366"/>
    <w:rsid w:val="00AB496E"/>
    <w:rsid w:val="00AB4CD1"/>
    <w:rsid w:val="00AB5FD0"/>
    <w:rsid w:val="00AB63F0"/>
    <w:rsid w:val="00AB649D"/>
    <w:rsid w:val="00AB64EC"/>
    <w:rsid w:val="00AB6CE8"/>
    <w:rsid w:val="00AB6FB6"/>
    <w:rsid w:val="00AB7006"/>
    <w:rsid w:val="00AB7183"/>
    <w:rsid w:val="00AB71AE"/>
    <w:rsid w:val="00AB7288"/>
    <w:rsid w:val="00AB787B"/>
    <w:rsid w:val="00AB7BB3"/>
    <w:rsid w:val="00AB7FB4"/>
    <w:rsid w:val="00AC0240"/>
    <w:rsid w:val="00AC04DB"/>
    <w:rsid w:val="00AC0A26"/>
    <w:rsid w:val="00AC0B4E"/>
    <w:rsid w:val="00AC114E"/>
    <w:rsid w:val="00AC1406"/>
    <w:rsid w:val="00AC1793"/>
    <w:rsid w:val="00AC18D0"/>
    <w:rsid w:val="00AC1B2E"/>
    <w:rsid w:val="00AC1BFE"/>
    <w:rsid w:val="00AC27E2"/>
    <w:rsid w:val="00AC2822"/>
    <w:rsid w:val="00AC291D"/>
    <w:rsid w:val="00AC297D"/>
    <w:rsid w:val="00AC2EC9"/>
    <w:rsid w:val="00AC3169"/>
    <w:rsid w:val="00AC3203"/>
    <w:rsid w:val="00AC3289"/>
    <w:rsid w:val="00AC337F"/>
    <w:rsid w:val="00AC3462"/>
    <w:rsid w:val="00AC35E9"/>
    <w:rsid w:val="00AC39EF"/>
    <w:rsid w:val="00AC3C85"/>
    <w:rsid w:val="00AC3F9E"/>
    <w:rsid w:val="00AC4123"/>
    <w:rsid w:val="00AC4842"/>
    <w:rsid w:val="00AC4889"/>
    <w:rsid w:val="00AC497F"/>
    <w:rsid w:val="00AC4C69"/>
    <w:rsid w:val="00AC4F33"/>
    <w:rsid w:val="00AC529D"/>
    <w:rsid w:val="00AC536E"/>
    <w:rsid w:val="00AC5415"/>
    <w:rsid w:val="00AC573E"/>
    <w:rsid w:val="00AC58D1"/>
    <w:rsid w:val="00AC59AD"/>
    <w:rsid w:val="00AC5BCB"/>
    <w:rsid w:val="00AC5C27"/>
    <w:rsid w:val="00AC5C42"/>
    <w:rsid w:val="00AC5D46"/>
    <w:rsid w:val="00AC6504"/>
    <w:rsid w:val="00AC6756"/>
    <w:rsid w:val="00AC6AEB"/>
    <w:rsid w:val="00AC6B3B"/>
    <w:rsid w:val="00AC6F3F"/>
    <w:rsid w:val="00AC7333"/>
    <w:rsid w:val="00AC74E5"/>
    <w:rsid w:val="00AC77B0"/>
    <w:rsid w:val="00AC7948"/>
    <w:rsid w:val="00AC7A9C"/>
    <w:rsid w:val="00AC7E02"/>
    <w:rsid w:val="00AC7F4C"/>
    <w:rsid w:val="00AD12F3"/>
    <w:rsid w:val="00AD14EE"/>
    <w:rsid w:val="00AD1B57"/>
    <w:rsid w:val="00AD1C26"/>
    <w:rsid w:val="00AD1CAE"/>
    <w:rsid w:val="00AD1D0B"/>
    <w:rsid w:val="00AD1E24"/>
    <w:rsid w:val="00AD1E81"/>
    <w:rsid w:val="00AD229F"/>
    <w:rsid w:val="00AD22A3"/>
    <w:rsid w:val="00AD25A6"/>
    <w:rsid w:val="00AD265C"/>
    <w:rsid w:val="00AD2C6E"/>
    <w:rsid w:val="00AD2D75"/>
    <w:rsid w:val="00AD2DCB"/>
    <w:rsid w:val="00AD2FBE"/>
    <w:rsid w:val="00AD30FB"/>
    <w:rsid w:val="00AD318B"/>
    <w:rsid w:val="00AD348B"/>
    <w:rsid w:val="00AD3881"/>
    <w:rsid w:val="00AD3A2B"/>
    <w:rsid w:val="00AD3A30"/>
    <w:rsid w:val="00AD3ADD"/>
    <w:rsid w:val="00AD3B3A"/>
    <w:rsid w:val="00AD3BC4"/>
    <w:rsid w:val="00AD3BCC"/>
    <w:rsid w:val="00AD4333"/>
    <w:rsid w:val="00AD44BC"/>
    <w:rsid w:val="00AD4E52"/>
    <w:rsid w:val="00AD52A3"/>
    <w:rsid w:val="00AD5383"/>
    <w:rsid w:val="00AD5619"/>
    <w:rsid w:val="00AD5874"/>
    <w:rsid w:val="00AD588B"/>
    <w:rsid w:val="00AD59EE"/>
    <w:rsid w:val="00AD5E33"/>
    <w:rsid w:val="00AD5E66"/>
    <w:rsid w:val="00AD5E83"/>
    <w:rsid w:val="00AD63DB"/>
    <w:rsid w:val="00AD675A"/>
    <w:rsid w:val="00AD6B19"/>
    <w:rsid w:val="00AD6E7F"/>
    <w:rsid w:val="00AD6FF3"/>
    <w:rsid w:val="00AD735C"/>
    <w:rsid w:val="00AD73F8"/>
    <w:rsid w:val="00AD760D"/>
    <w:rsid w:val="00AD7A2A"/>
    <w:rsid w:val="00AD7B36"/>
    <w:rsid w:val="00AD7C9F"/>
    <w:rsid w:val="00AD7DE2"/>
    <w:rsid w:val="00AD7E61"/>
    <w:rsid w:val="00AD7E97"/>
    <w:rsid w:val="00AE0209"/>
    <w:rsid w:val="00AE039C"/>
    <w:rsid w:val="00AE03D4"/>
    <w:rsid w:val="00AE055E"/>
    <w:rsid w:val="00AE067F"/>
    <w:rsid w:val="00AE0D2C"/>
    <w:rsid w:val="00AE0E1F"/>
    <w:rsid w:val="00AE14EE"/>
    <w:rsid w:val="00AE159C"/>
    <w:rsid w:val="00AE1BD6"/>
    <w:rsid w:val="00AE1CD8"/>
    <w:rsid w:val="00AE236B"/>
    <w:rsid w:val="00AE2382"/>
    <w:rsid w:val="00AE2434"/>
    <w:rsid w:val="00AE2825"/>
    <w:rsid w:val="00AE2DCB"/>
    <w:rsid w:val="00AE2EB6"/>
    <w:rsid w:val="00AE2EDA"/>
    <w:rsid w:val="00AE3105"/>
    <w:rsid w:val="00AE3169"/>
    <w:rsid w:val="00AE31F2"/>
    <w:rsid w:val="00AE36BF"/>
    <w:rsid w:val="00AE36EE"/>
    <w:rsid w:val="00AE3B5A"/>
    <w:rsid w:val="00AE3BEF"/>
    <w:rsid w:val="00AE43B3"/>
    <w:rsid w:val="00AE445C"/>
    <w:rsid w:val="00AE463F"/>
    <w:rsid w:val="00AE484D"/>
    <w:rsid w:val="00AE4ABE"/>
    <w:rsid w:val="00AE4AD5"/>
    <w:rsid w:val="00AE506C"/>
    <w:rsid w:val="00AE5332"/>
    <w:rsid w:val="00AE5AE4"/>
    <w:rsid w:val="00AE6664"/>
    <w:rsid w:val="00AE6716"/>
    <w:rsid w:val="00AE750D"/>
    <w:rsid w:val="00AE7616"/>
    <w:rsid w:val="00AE7681"/>
    <w:rsid w:val="00AE7811"/>
    <w:rsid w:val="00AE7D47"/>
    <w:rsid w:val="00AF0121"/>
    <w:rsid w:val="00AF0166"/>
    <w:rsid w:val="00AF01B6"/>
    <w:rsid w:val="00AF0204"/>
    <w:rsid w:val="00AF0264"/>
    <w:rsid w:val="00AF0392"/>
    <w:rsid w:val="00AF0ADB"/>
    <w:rsid w:val="00AF0E75"/>
    <w:rsid w:val="00AF16F6"/>
    <w:rsid w:val="00AF1AD2"/>
    <w:rsid w:val="00AF1B07"/>
    <w:rsid w:val="00AF1D91"/>
    <w:rsid w:val="00AF1F22"/>
    <w:rsid w:val="00AF257A"/>
    <w:rsid w:val="00AF2703"/>
    <w:rsid w:val="00AF28FD"/>
    <w:rsid w:val="00AF293F"/>
    <w:rsid w:val="00AF2999"/>
    <w:rsid w:val="00AF2BA7"/>
    <w:rsid w:val="00AF3401"/>
    <w:rsid w:val="00AF3A06"/>
    <w:rsid w:val="00AF3DDF"/>
    <w:rsid w:val="00AF3F0C"/>
    <w:rsid w:val="00AF3F62"/>
    <w:rsid w:val="00AF4524"/>
    <w:rsid w:val="00AF4921"/>
    <w:rsid w:val="00AF4A69"/>
    <w:rsid w:val="00AF4AA2"/>
    <w:rsid w:val="00AF4CD8"/>
    <w:rsid w:val="00AF5012"/>
    <w:rsid w:val="00AF50FF"/>
    <w:rsid w:val="00AF531B"/>
    <w:rsid w:val="00AF556E"/>
    <w:rsid w:val="00AF58BE"/>
    <w:rsid w:val="00AF5BD7"/>
    <w:rsid w:val="00AF6816"/>
    <w:rsid w:val="00AF6865"/>
    <w:rsid w:val="00AF6904"/>
    <w:rsid w:val="00AF69FC"/>
    <w:rsid w:val="00AF6A38"/>
    <w:rsid w:val="00AF6C91"/>
    <w:rsid w:val="00AF71AF"/>
    <w:rsid w:val="00AF7202"/>
    <w:rsid w:val="00AF7235"/>
    <w:rsid w:val="00AF73D8"/>
    <w:rsid w:val="00AF74B6"/>
    <w:rsid w:val="00AF7661"/>
    <w:rsid w:val="00AF7815"/>
    <w:rsid w:val="00AF79A3"/>
    <w:rsid w:val="00AF7B74"/>
    <w:rsid w:val="00AF7B8F"/>
    <w:rsid w:val="00AF7CB8"/>
    <w:rsid w:val="00B00203"/>
    <w:rsid w:val="00B005F0"/>
    <w:rsid w:val="00B0060B"/>
    <w:rsid w:val="00B00AB2"/>
    <w:rsid w:val="00B00D7C"/>
    <w:rsid w:val="00B010DF"/>
    <w:rsid w:val="00B014FB"/>
    <w:rsid w:val="00B0151E"/>
    <w:rsid w:val="00B01AAE"/>
    <w:rsid w:val="00B01DF0"/>
    <w:rsid w:val="00B01EBE"/>
    <w:rsid w:val="00B01F21"/>
    <w:rsid w:val="00B01FB8"/>
    <w:rsid w:val="00B02227"/>
    <w:rsid w:val="00B02237"/>
    <w:rsid w:val="00B02438"/>
    <w:rsid w:val="00B024F1"/>
    <w:rsid w:val="00B02516"/>
    <w:rsid w:val="00B02A10"/>
    <w:rsid w:val="00B02B6F"/>
    <w:rsid w:val="00B02FA3"/>
    <w:rsid w:val="00B0319D"/>
    <w:rsid w:val="00B03343"/>
    <w:rsid w:val="00B03894"/>
    <w:rsid w:val="00B039DA"/>
    <w:rsid w:val="00B03D6E"/>
    <w:rsid w:val="00B03F8A"/>
    <w:rsid w:val="00B04319"/>
    <w:rsid w:val="00B04464"/>
    <w:rsid w:val="00B045C1"/>
    <w:rsid w:val="00B04A8B"/>
    <w:rsid w:val="00B04AD2"/>
    <w:rsid w:val="00B04FFB"/>
    <w:rsid w:val="00B052AB"/>
    <w:rsid w:val="00B05492"/>
    <w:rsid w:val="00B0549E"/>
    <w:rsid w:val="00B05B70"/>
    <w:rsid w:val="00B05B75"/>
    <w:rsid w:val="00B05CB7"/>
    <w:rsid w:val="00B05E41"/>
    <w:rsid w:val="00B05F4A"/>
    <w:rsid w:val="00B05FAE"/>
    <w:rsid w:val="00B06268"/>
    <w:rsid w:val="00B06C1C"/>
    <w:rsid w:val="00B06DCD"/>
    <w:rsid w:val="00B06E1B"/>
    <w:rsid w:val="00B06EBD"/>
    <w:rsid w:val="00B0740F"/>
    <w:rsid w:val="00B07CCC"/>
    <w:rsid w:val="00B07D2A"/>
    <w:rsid w:val="00B1053F"/>
    <w:rsid w:val="00B10B3D"/>
    <w:rsid w:val="00B1115C"/>
    <w:rsid w:val="00B11200"/>
    <w:rsid w:val="00B11492"/>
    <w:rsid w:val="00B115FE"/>
    <w:rsid w:val="00B116C4"/>
    <w:rsid w:val="00B11731"/>
    <w:rsid w:val="00B119D8"/>
    <w:rsid w:val="00B1203E"/>
    <w:rsid w:val="00B121A6"/>
    <w:rsid w:val="00B1238A"/>
    <w:rsid w:val="00B12967"/>
    <w:rsid w:val="00B12DA0"/>
    <w:rsid w:val="00B12FF8"/>
    <w:rsid w:val="00B130B1"/>
    <w:rsid w:val="00B1343E"/>
    <w:rsid w:val="00B13550"/>
    <w:rsid w:val="00B135E0"/>
    <w:rsid w:val="00B137A2"/>
    <w:rsid w:val="00B137AC"/>
    <w:rsid w:val="00B1386B"/>
    <w:rsid w:val="00B13DF3"/>
    <w:rsid w:val="00B13E07"/>
    <w:rsid w:val="00B13E3A"/>
    <w:rsid w:val="00B13E74"/>
    <w:rsid w:val="00B13F3A"/>
    <w:rsid w:val="00B13FD2"/>
    <w:rsid w:val="00B14403"/>
    <w:rsid w:val="00B144F3"/>
    <w:rsid w:val="00B147B7"/>
    <w:rsid w:val="00B14880"/>
    <w:rsid w:val="00B148E7"/>
    <w:rsid w:val="00B14BC8"/>
    <w:rsid w:val="00B14C81"/>
    <w:rsid w:val="00B14C8B"/>
    <w:rsid w:val="00B15077"/>
    <w:rsid w:val="00B151FF"/>
    <w:rsid w:val="00B1551B"/>
    <w:rsid w:val="00B15556"/>
    <w:rsid w:val="00B15632"/>
    <w:rsid w:val="00B15D95"/>
    <w:rsid w:val="00B161FC"/>
    <w:rsid w:val="00B1641E"/>
    <w:rsid w:val="00B165EB"/>
    <w:rsid w:val="00B168BA"/>
    <w:rsid w:val="00B16979"/>
    <w:rsid w:val="00B16A1E"/>
    <w:rsid w:val="00B16C1D"/>
    <w:rsid w:val="00B172A4"/>
    <w:rsid w:val="00B176F8"/>
    <w:rsid w:val="00B17A55"/>
    <w:rsid w:val="00B17BF9"/>
    <w:rsid w:val="00B17C8D"/>
    <w:rsid w:val="00B17CC2"/>
    <w:rsid w:val="00B17DDB"/>
    <w:rsid w:val="00B2026C"/>
    <w:rsid w:val="00B203E6"/>
    <w:rsid w:val="00B20B2D"/>
    <w:rsid w:val="00B20E0D"/>
    <w:rsid w:val="00B211EF"/>
    <w:rsid w:val="00B212DE"/>
    <w:rsid w:val="00B2132B"/>
    <w:rsid w:val="00B213F7"/>
    <w:rsid w:val="00B21598"/>
    <w:rsid w:val="00B21A82"/>
    <w:rsid w:val="00B21B53"/>
    <w:rsid w:val="00B2243F"/>
    <w:rsid w:val="00B22482"/>
    <w:rsid w:val="00B22AB4"/>
    <w:rsid w:val="00B22F23"/>
    <w:rsid w:val="00B231BA"/>
    <w:rsid w:val="00B231BB"/>
    <w:rsid w:val="00B23DDA"/>
    <w:rsid w:val="00B2418F"/>
    <w:rsid w:val="00B2458E"/>
    <w:rsid w:val="00B249E9"/>
    <w:rsid w:val="00B24A15"/>
    <w:rsid w:val="00B24A44"/>
    <w:rsid w:val="00B24C80"/>
    <w:rsid w:val="00B25322"/>
    <w:rsid w:val="00B254E2"/>
    <w:rsid w:val="00B257B8"/>
    <w:rsid w:val="00B2590E"/>
    <w:rsid w:val="00B25A9B"/>
    <w:rsid w:val="00B25B18"/>
    <w:rsid w:val="00B261A3"/>
    <w:rsid w:val="00B26A3A"/>
    <w:rsid w:val="00B26A5B"/>
    <w:rsid w:val="00B26CE0"/>
    <w:rsid w:val="00B26EEE"/>
    <w:rsid w:val="00B27435"/>
    <w:rsid w:val="00B274EF"/>
    <w:rsid w:val="00B27513"/>
    <w:rsid w:val="00B276B8"/>
    <w:rsid w:val="00B278ED"/>
    <w:rsid w:val="00B27992"/>
    <w:rsid w:val="00B27DAD"/>
    <w:rsid w:val="00B300B1"/>
    <w:rsid w:val="00B30495"/>
    <w:rsid w:val="00B30505"/>
    <w:rsid w:val="00B306EB"/>
    <w:rsid w:val="00B3097B"/>
    <w:rsid w:val="00B3097F"/>
    <w:rsid w:val="00B30A22"/>
    <w:rsid w:val="00B30B13"/>
    <w:rsid w:val="00B30B32"/>
    <w:rsid w:val="00B31393"/>
    <w:rsid w:val="00B31502"/>
    <w:rsid w:val="00B31E27"/>
    <w:rsid w:val="00B32049"/>
    <w:rsid w:val="00B3218D"/>
    <w:rsid w:val="00B321B1"/>
    <w:rsid w:val="00B324C4"/>
    <w:rsid w:val="00B3287B"/>
    <w:rsid w:val="00B32881"/>
    <w:rsid w:val="00B32A3A"/>
    <w:rsid w:val="00B32B3C"/>
    <w:rsid w:val="00B32CB4"/>
    <w:rsid w:val="00B33252"/>
    <w:rsid w:val="00B33488"/>
    <w:rsid w:val="00B335AF"/>
    <w:rsid w:val="00B33702"/>
    <w:rsid w:val="00B33820"/>
    <w:rsid w:val="00B33A65"/>
    <w:rsid w:val="00B33A9B"/>
    <w:rsid w:val="00B34069"/>
    <w:rsid w:val="00B34441"/>
    <w:rsid w:val="00B344C7"/>
    <w:rsid w:val="00B34722"/>
    <w:rsid w:val="00B347CA"/>
    <w:rsid w:val="00B3485C"/>
    <w:rsid w:val="00B34971"/>
    <w:rsid w:val="00B34A1B"/>
    <w:rsid w:val="00B34A8F"/>
    <w:rsid w:val="00B34B27"/>
    <w:rsid w:val="00B34B9F"/>
    <w:rsid w:val="00B35808"/>
    <w:rsid w:val="00B35BF3"/>
    <w:rsid w:val="00B35C6F"/>
    <w:rsid w:val="00B35DA9"/>
    <w:rsid w:val="00B35F2C"/>
    <w:rsid w:val="00B361B5"/>
    <w:rsid w:val="00B362A4"/>
    <w:rsid w:val="00B365B1"/>
    <w:rsid w:val="00B3673D"/>
    <w:rsid w:val="00B36A56"/>
    <w:rsid w:val="00B36AB5"/>
    <w:rsid w:val="00B36E1F"/>
    <w:rsid w:val="00B36E41"/>
    <w:rsid w:val="00B3735D"/>
    <w:rsid w:val="00B37405"/>
    <w:rsid w:val="00B37555"/>
    <w:rsid w:val="00B376A4"/>
    <w:rsid w:val="00B37802"/>
    <w:rsid w:val="00B37A01"/>
    <w:rsid w:val="00B37A8A"/>
    <w:rsid w:val="00B37CEB"/>
    <w:rsid w:val="00B40261"/>
    <w:rsid w:val="00B402BA"/>
    <w:rsid w:val="00B40A6E"/>
    <w:rsid w:val="00B40DB5"/>
    <w:rsid w:val="00B40F0E"/>
    <w:rsid w:val="00B41137"/>
    <w:rsid w:val="00B411CB"/>
    <w:rsid w:val="00B412B3"/>
    <w:rsid w:val="00B413FD"/>
    <w:rsid w:val="00B416A8"/>
    <w:rsid w:val="00B417BF"/>
    <w:rsid w:val="00B41A21"/>
    <w:rsid w:val="00B41BC7"/>
    <w:rsid w:val="00B41DBB"/>
    <w:rsid w:val="00B41F4D"/>
    <w:rsid w:val="00B420B8"/>
    <w:rsid w:val="00B4240E"/>
    <w:rsid w:val="00B4283B"/>
    <w:rsid w:val="00B42BCD"/>
    <w:rsid w:val="00B431B1"/>
    <w:rsid w:val="00B4320C"/>
    <w:rsid w:val="00B439A8"/>
    <w:rsid w:val="00B43A58"/>
    <w:rsid w:val="00B43D82"/>
    <w:rsid w:val="00B43E68"/>
    <w:rsid w:val="00B4417B"/>
    <w:rsid w:val="00B4459D"/>
    <w:rsid w:val="00B448EE"/>
    <w:rsid w:val="00B44A42"/>
    <w:rsid w:val="00B44A5D"/>
    <w:rsid w:val="00B44B6F"/>
    <w:rsid w:val="00B44DF9"/>
    <w:rsid w:val="00B44DFE"/>
    <w:rsid w:val="00B45002"/>
    <w:rsid w:val="00B452AE"/>
    <w:rsid w:val="00B45347"/>
    <w:rsid w:val="00B453FE"/>
    <w:rsid w:val="00B456F1"/>
    <w:rsid w:val="00B45F44"/>
    <w:rsid w:val="00B46F21"/>
    <w:rsid w:val="00B470B5"/>
    <w:rsid w:val="00B47169"/>
    <w:rsid w:val="00B478FE"/>
    <w:rsid w:val="00B47CC7"/>
    <w:rsid w:val="00B502B2"/>
    <w:rsid w:val="00B502DF"/>
    <w:rsid w:val="00B5089C"/>
    <w:rsid w:val="00B50CC9"/>
    <w:rsid w:val="00B510CA"/>
    <w:rsid w:val="00B5117B"/>
    <w:rsid w:val="00B51839"/>
    <w:rsid w:val="00B518B9"/>
    <w:rsid w:val="00B51EF4"/>
    <w:rsid w:val="00B52251"/>
    <w:rsid w:val="00B524EA"/>
    <w:rsid w:val="00B52535"/>
    <w:rsid w:val="00B52794"/>
    <w:rsid w:val="00B52A6E"/>
    <w:rsid w:val="00B52B18"/>
    <w:rsid w:val="00B52EBA"/>
    <w:rsid w:val="00B5337E"/>
    <w:rsid w:val="00B53581"/>
    <w:rsid w:val="00B53685"/>
    <w:rsid w:val="00B539B2"/>
    <w:rsid w:val="00B53B20"/>
    <w:rsid w:val="00B53ED6"/>
    <w:rsid w:val="00B54477"/>
    <w:rsid w:val="00B54705"/>
    <w:rsid w:val="00B5482C"/>
    <w:rsid w:val="00B54BFF"/>
    <w:rsid w:val="00B55A14"/>
    <w:rsid w:val="00B5605B"/>
    <w:rsid w:val="00B5648D"/>
    <w:rsid w:val="00B568D5"/>
    <w:rsid w:val="00B56C14"/>
    <w:rsid w:val="00B570A7"/>
    <w:rsid w:val="00B57166"/>
    <w:rsid w:val="00B5722B"/>
    <w:rsid w:val="00B575AB"/>
    <w:rsid w:val="00B57681"/>
    <w:rsid w:val="00B606DF"/>
    <w:rsid w:val="00B6074C"/>
    <w:rsid w:val="00B60755"/>
    <w:rsid w:val="00B607C0"/>
    <w:rsid w:val="00B615F1"/>
    <w:rsid w:val="00B61B3C"/>
    <w:rsid w:val="00B61C8B"/>
    <w:rsid w:val="00B61E83"/>
    <w:rsid w:val="00B62428"/>
    <w:rsid w:val="00B62488"/>
    <w:rsid w:val="00B627A5"/>
    <w:rsid w:val="00B62B37"/>
    <w:rsid w:val="00B62E73"/>
    <w:rsid w:val="00B630AD"/>
    <w:rsid w:val="00B63208"/>
    <w:rsid w:val="00B639C9"/>
    <w:rsid w:val="00B643C3"/>
    <w:rsid w:val="00B64487"/>
    <w:rsid w:val="00B646A3"/>
    <w:rsid w:val="00B64ABB"/>
    <w:rsid w:val="00B651E2"/>
    <w:rsid w:val="00B652C9"/>
    <w:rsid w:val="00B65417"/>
    <w:rsid w:val="00B658E0"/>
    <w:rsid w:val="00B65AF3"/>
    <w:rsid w:val="00B65BF7"/>
    <w:rsid w:val="00B66211"/>
    <w:rsid w:val="00B6645F"/>
    <w:rsid w:val="00B66868"/>
    <w:rsid w:val="00B66881"/>
    <w:rsid w:val="00B66A87"/>
    <w:rsid w:val="00B66A98"/>
    <w:rsid w:val="00B66AD9"/>
    <w:rsid w:val="00B66D20"/>
    <w:rsid w:val="00B67137"/>
    <w:rsid w:val="00B67513"/>
    <w:rsid w:val="00B67735"/>
    <w:rsid w:val="00B679CE"/>
    <w:rsid w:val="00B67BE4"/>
    <w:rsid w:val="00B67D7B"/>
    <w:rsid w:val="00B70032"/>
    <w:rsid w:val="00B70047"/>
    <w:rsid w:val="00B700B9"/>
    <w:rsid w:val="00B70359"/>
    <w:rsid w:val="00B70626"/>
    <w:rsid w:val="00B70881"/>
    <w:rsid w:val="00B712C7"/>
    <w:rsid w:val="00B714FB"/>
    <w:rsid w:val="00B71533"/>
    <w:rsid w:val="00B715A0"/>
    <w:rsid w:val="00B71623"/>
    <w:rsid w:val="00B7184F"/>
    <w:rsid w:val="00B71BCB"/>
    <w:rsid w:val="00B71F23"/>
    <w:rsid w:val="00B7205C"/>
    <w:rsid w:val="00B72908"/>
    <w:rsid w:val="00B729AC"/>
    <w:rsid w:val="00B72F14"/>
    <w:rsid w:val="00B72F31"/>
    <w:rsid w:val="00B73182"/>
    <w:rsid w:val="00B7337A"/>
    <w:rsid w:val="00B73494"/>
    <w:rsid w:val="00B734E4"/>
    <w:rsid w:val="00B7367B"/>
    <w:rsid w:val="00B737AB"/>
    <w:rsid w:val="00B737D5"/>
    <w:rsid w:val="00B73952"/>
    <w:rsid w:val="00B73D37"/>
    <w:rsid w:val="00B7441A"/>
    <w:rsid w:val="00B744FC"/>
    <w:rsid w:val="00B7455E"/>
    <w:rsid w:val="00B7562D"/>
    <w:rsid w:val="00B75C9A"/>
    <w:rsid w:val="00B75E7A"/>
    <w:rsid w:val="00B7605A"/>
    <w:rsid w:val="00B76B62"/>
    <w:rsid w:val="00B76D55"/>
    <w:rsid w:val="00B771FA"/>
    <w:rsid w:val="00B772C4"/>
    <w:rsid w:val="00B7776E"/>
    <w:rsid w:val="00B777FE"/>
    <w:rsid w:val="00B77D25"/>
    <w:rsid w:val="00B77F2F"/>
    <w:rsid w:val="00B80003"/>
    <w:rsid w:val="00B80126"/>
    <w:rsid w:val="00B80478"/>
    <w:rsid w:val="00B804AB"/>
    <w:rsid w:val="00B8092C"/>
    <w:rsid w:val="00B81644"/>
    <w:rsid w:val="00B81ABE"/>
    <w:rsid w:val="00B81E47"/>
    <w:rsid w:val="00B81FD0"/>
    <w:rsid w:val="00B821D5"/>
    <w:rsid w:val="00B824FC"/>
    <w:rsid w:val="00B8289F"/>
    <w:rsid w:val="00B82E56"/>
    <w:rsid w:val="00B82EE6"/>
    <w:rsid w:val="00B830EE"/>
    <w:rsid w:val="00B83227"/>
    <w:rsid w:val="00B833C7"/>
    <w:rsid w:val="00B83430"/>
    <w:rsid w:val="00B838A7"/>
    <w:rsid w:val="00B83CCB"/>
    <w:rsid w:val="00B83D3B"/>
    <w:rsid w:val="00B83D8A"/>
    <w:rsid w:val="00B83E96"/>
    <w:rsid w:val="00B83EF6"/>
    <w:rsid w:val="00B842D0"/>
    <w:rsid w:val="00B8435B"/>
    <w:rsid w:val="00B8444C"/>
    <w:rsid w:val="00B8450C"/>
    <w:rsid w:val="00B848F8"/>
    <w:rsid w:val="00B84F49"/>
    <w:rsid w:val="00B85525"/>
    <w:rsid w:val="00B859D4"/>
    <w:rsid w:val="00B85AAE"/>
    <w:rsid w:val="00B85BEC"/>
    <w:rsid w:val="00B85D9C"/>
    <w:rsid w:val="00B85EEC"/>
    <w:rsid w:val="00B861E9"/>
    <w:rsid w:val="00B862EE"/>
    <w:rsid w:val="00B863CD"/>
    <w:rsid w:val="00B86D2A"/>
    <w:rsid w:val="00B87052"/>
    <w:rsid w:val="00B8705F"/>
    <w:rsid w:val="00B8750D"/>
    <w:rsid w:val="00B8754F"/>
    <w:rsid w:val="00B87629"/>
    <w:rsid w:val="00B876D4"/>
    <w:rsid w:val="00B87A36"/>
    <w:rsid w:val="00B87B0E"/>
    <w:rsid w:val="00B87D8F"/>
    <w:rsid w:val="00B9003F"/>
    <w:rsid w:val="00B903C2"/>
    <w:rsid w:val="00B904CC"/>
    <w:rsid w:val="00B911A4"/>
    <w:rsid w:val="00B911B5"/>
    <w:rsid w:val="00B914BD"/>
    <w:rsid w:val="00B91530"/>
    <w:rsid w:val="00B917A3"/>
    <w:rsid w:val="00B917AD"/>
    <w:rsid w:val="00B91D1C"/>
    <w:rsid w:val="00B91D73"/>
    <w:rsid w:val="00B91EA3"/>
    <w:rsid w:val="00B924F3"/>
    <w:rsid w:val="00B92691"/>
    <w:rsid w:val="00B92A61"/>
    <w:rsid w:val="00B933C8"/>
    <w:rsid w:val="00B934F6"/>
    <w:rsid w:val="00B9395B"/>
    <w:rsid w:val="00B93A08"/>
    <w:rsid w:val="00B93BCE"/>
    <w:rsid w:val="00B93BE1"/>
    <w:rsid w:val="00B93E38"/>
    <w:rsid w:val="00B940BD"/>
    <w:rsid w:val="00B9445F"/>
    <w:rsid w:val="00B94635"/>
    <w:rsid w:val="00B947E7"/>
    <w:rsid w:val="00B9484A"/>
    <w:rsid w:val="00B94933"/>
    <w:rsid w:val="00B94BD1"/>
    <w:rsid w:val="00B94FE0"/>
    <w:rsid w:val="00B95836"/>
    <w:rsid w:val="00B95C6A"/>
    <w:rsid w:val="00B95D14"/>
    <w:rsid w:val="00B95F33"/>
    <w:rsid w:val="00B9619F"/>
    <w:rsid w:val="00B961B2"/>
    <w:rsid w:val="00B962EA"/>
    <w:rsid w:val="00B96378"/>
    <w:rsid w:val="00B9639E"/>
    <w:rsid w:val="00B967C7"/>
    <w:rsid w:val="00B970D2"/>
    <w:rsid w:val="00B9789D"/>
    <w:rsid w:val="00B97AC2"/>
    <w:rsid w:val="00B97B2E"/>
    <w:rsid w:val="00BA0023"/>
    <w:rsid w:val="00BA0353"/>
    <w:rsid w:val="00BA043F"/>
    <w:rsid w:val="00BA0609"/>
    <w:rsid w:val="00BA07CE"/>
    <w:rsid w:val="00BA0813"/>
    <w:rsid w:val="00BA09A5"/>
    <w:rsid w:val="00BA0B18"/>
    <w:rsid w:val="00BA0BB8"/>
    <w:rsid w:val="00BA0BF0"/>
    <w:rsid w:val="00BA0CAE"/>
    <w:rsid w:val="00BA0D78"/>
    <w:rsid w:val="00BA144B"/>
    <w:rsid w:val="00BA16A1"/>
    <w:rsid w:val="00BA2489"/>
    <w:rsid w:val="00BA2891"/>
    <w:rsid w:val="00BA2955"/>
    <w:rsid w:val="00BA2A5A"/>
    <w:rsid w:val="00BA2C3D"/>
    <w:rsid w:val="00BA2C89"/>
    <w:rsid w:val="00BA3055"/>
    <w:rsid w:val="00BA310D"/>
    <w:rsid w:val="00BA3131"/>
    <w:rsid w:val="00BA319C"/>
    <w:rsid w:val="00BA33D1"/>
    <w:rsid w:val="00BA3696"/>
    <w:rsid w:val="00BA3981"/>
    <w:rsid w:val="00BA3B31"/>
    <w:rsid w:val="00BA3E39"/>
    <w:rsid w:val="00BA41E3"/>
    <w:rsid w:val="00BA42EB"/>
    <w:rsid w:val="00BA4427"/>
    <w:rsid w:val="00BA4589"/>
    <w:rsid w:val="00BA4824"/>
    <w:rsid w:val="00BA4B19"/>
    <w:rsid w:val="00BA4B49"/>
    <w:rsid w:val="00BA4C93"/>
    <w:rsid w:val="00BA50CD"/>
    <w:rsid w:val="00BA53F4"/>
    <w:rsid w:val="00BA54E9"/>
    <w:rsid w:val="00BA5640"/>
    <w:rsid w:val="00BA5A11"/>
    <w:rsid w:val="00BA5A7E"/>
    <w:rsid w:val="00BA60F8"/>
    <w:rsid w:val="00BA6194"/>
    <w:rsid w:val="00BA649D"/>
    <w:rsid w:val="00BA65CE"/>
    <w:rsid w:val="00BA676E"/>
    <w:rsid w:val="00BA693F"/>
    <w:rsid w:val="00BA698C"/>
    <w:rsid w:val="00BA742D"/>
    <w:rsid w:val="00BA7984"/>
    <w:rsid w:val="00BA7A44"/>
    <w:rsid w:val="00BA7CDB"/>
    <w:rsid w:val="00BA7DF5"/>
    <w:rsid w:val="00BB0040"/>
    <w:rsid w:val="00BB0079"/>
    <w:rsid w:val="00BB024E"/>
    <w:rsid w:val="00BB028B"/>
    <w:rsid w:val="00BB0511"/>
    <w:rsid w:val="00BB052F"/>
    <w:rsid w:val="00BB0AE7"/>
    <w:rsid w:val="00BB0F77"/>
    <w:rsid w:val="00BB1358"/>
    <w:rsid w:val="00BB1B4D"/>
    <w:rsid w:val="00BB2004"/>
    <w:rsid w:val="00BB2692"/>
    <w:rsid w:val="00BB285D"/>
    <w:rsid w:val="00BB2C01"/>
    <w:rsid w:val="00BB2C5E"/>
    <w:rsid w:val="00BB2D6E"/>
    <w:rsid w:val="00BB3203"/>
    <w:rsid w:val="00BB3CC7"/>
    <w:rsid w:val="00BB4549"/>
    <w:rsid w:val="00BB45FC"/>
    <w:rsid w:val="00BB47E1"/>
    <w:rsid w:val="00BB4ACC"/>
    <w:rsid w:val="00BB513B"/>
    <w:rsid w:val="00BB5165"/>
    <w:rsid w:val="00BB5417"/>
    <w:rsid w:val="00BB54A2"/>
    <w:rsid w:val="00BB551C"/>
    <w:rsid w:val="00BB5834"/>
    <w:rsid w:val="00BB58ED"/>
    <w:rsid w:val="00BB5BFA"/>
    <w:rsid w:val="00BB5CAA"/>
    <w:rsid w:val="00BB639D"/>
    <w:rsid w:val="00BB6506"/>
    <w:rsid w:val="00BB6864"/>
    <w:rsid w:val="00BB6AA3"/>
    <w:rsid w:val="00BB6BCC"/>
    <w:rsid w:val="00BB6C49"/>
    <w:rsid w:val="00BB6D3E"/>
    <w:rsid w:val="00BB714C"/>
    <w:rsid w:val="00BB7C5D"/>
    <w:rsid w:val="00BB7CDC"/>
    <w:rsid w:val="00BB7F66"/>
    <w:rsid w:val="00BC0023"/>
    <w:rsid w:val="00BC019D"/>
    <w:rsid w:val="00BC022B"/>
    <w:rsid w:val="00BC07E6"/>
    <w:rsid w:val="00BC0879"/>
    <w:rsid w:val="00BC0900"/>
    <w:rsid w:val="00BC0E48"/>
    <w:rsid w:val="00BC0E98"/>
    <w:rsid w:val="00BC0FFD"/>
    <w:rsid w:val="00BC124C"/>
    <w:rsid w:val="00BC14CA"/>
    <w:rsid w:val="00BC1C3D"/>
    <w:rsid w:val="00BC1E56"/>
    <w:rsid w:val="00BC3683"/>
    <w:rsid w:val="00BC3B37"/>
    <w:rsid w:val="00BC3FE5"/>
    <w:rsid w:val="00BC45DE"/>
    <w:rsid w:val="00BC4B3C"/>
    <w:rsid w:val="00BC5577"/>
    <w:rsid w:val="00BC55D9"/>
    <w:rsid w:val="00BC56E0"/>
    <w:rsid w:val="00BC586F"/>
    <w:rsid w:val="00BC5970"/>
    <w:rsid w:val="00BC68FC"/>
    <w:rsid w:val="00BC692B"/>
    <w:rsid w:val="00BC74C7"/>
    <w:rsid w:val="00BC7506"/>
    <w:rsid w:val="00BC750A"/>
    <w:rsid w:val="00BC75F3"/>
    <w:rsid w:val="00BD024D"/>
    <w:rsid w:val="00BD03DC"/>
    <w:rsid w:val="00BD04B0"/>
    <w:rsid w:val="00BD0500"/>
    <w:rsid w:val="00BD06BE"/>
    <w:rsid w:val="00BD0F03"/>
    <w:rsid w:val="00BD0FFA"/>
    <w:rsid w:val="00BD105A"/>
    <w:rsid w:val="00BD1140"/>
    <w:rsid w:val="00BD1160"/>
    <w:rsid w:val="00BD127A"/>
    <w:rsid w:val="00BD1376"/>
    <w:rsid w:val="00BD1D2C"/>
    <w:rsid w:val="00BD1D3C"/>
    <w:rsid w:val="00BD1EA4"/>
    <w:rsid w:val="00BD1F54"/>
    <w:rsid w:val="00BD204A"/>
    <w:rsid w:val="00BD20E3"/>
    <w:rsid w:val="00BD2170"/>
    <w:rsid w:val="00BD22FC"/>
    <w:rsid w:val="00BD2347"/>
    <w:rsid w:val="00BD2718"/>
    <w:rsid w:val="00BD288B"/>
    <w:rsid w:val="00BD28B8"/>
    <w:rsid w:val="00BD2A1E"/>
    <w:rsid w:val="00BD2D42"/>
    <w:rsid w:val="00BD2E53"/>
    <w:rsid w:val="00BD305A"/>
    <w:rsid w:val="00BD309E"/>
    <w:rsid w:val="00BD33D9"/>
    <w:rsid w:val="00BD360C"/>
    <w:rsid w:val="00BD3640"/>
    <w:rsid w:val="00BD365E"/>
    <w:rsid w:val="00BD3D46"/>
    <w:rsid w:val="00BD41DC"/>
    <w:rsid w:val="00BD4217"/>
    <w:rsid w:val="00BD43B2"/>
    <w:rsid w:val="00BD444F"/>
    <w:rsid w:val="00BD45B8"/>
    <w:rsid w:val="00BD4658"/>
    <w:rsid w:val="00BD4B86"/>
    <w:rsid w:val="00BD4BB9"/>
    <w:rsid w:val="00BD4E4D"/>
    <w:rsid w:val="00BD517E"/>
    <w:rsid w:val="00BD548D"/>
    <w:rsid w:val="00BD56ED"/>
    <w:rsid w:val="00BD58C0"/>
    <w:rsid w:val="00BD5BE6"/>
    <w:rsid w:val="00BD5DF0"/>
    <w:rsid w:val="00BD61D3"/>
    <w:rsid w:val="00BD68A5"/>
    <w:rsid w:val="00BD6EE5"/>
    <w:rsid w:val="00BD75A7"/>
    <w:rsid w:val="00BD7777"/>
    <w:rsid w:val="00BD7813"/>
    <w:rsid w:val="00BD797A"/>
    <w:rsid w:val="00BD7A33"/>
    <w:rsid w:val="00BE009F"/>
    <w:rsid w:val="00BE00F4"/>
    <w:rsid w:val="00BE0F8B"/>
    <w:rsid w:val="00BE1268"/>
    <w:rsid w:val="00BE133C"/>
    <w:rsid w:val="00BE1373"/>
    <w:rsid w:val="00BE13BB"/>
    <w:rsid w:val="00BE1540"/>
    <w:rsid w:val="00BE19EC"/>
    <w:rsid w:val="00BE1FC6"/>
    <w:rsid w:val="00BE288B"/>
    <w:rsid w:val="00BE2943"/>
    <w:rsid w:val="00BE2C41"/>
    <w:rsid w:val="00BE3590"/>
    <w:rsid w:val="00BE36EE"/>
    <w:rsid w:val="00BE378C"/>
    <w:rsid w:val="00BE3A60"/>
    <w:rsid w:val="00BE3C34"/>
    <w:rsid w:val="00BE3C46"/>
    <w:rsid w:val="00BE4156"/>
    <w:rsid w:val="00BE464B"/>
    <w:rsid w:val="00BE46F8"/>
    <w:rsid w:val="00BE4869"/>
    <w:rsid w:val="00BE4EA2"/>
    <w:rsid w:val="00BE4EAD"/>
    <w:rsid w:val="00BE51D5"/>
    <w:rsid w:val="00BE59F2"/>
    <w:rsid w:val="00BE5A8B"/>
    <w:rsid w:val="00BE61C0"/>
    <w:rsid w:val="00BE6A0D"/>
    <w:rsid w:val="00BE7355"/>
    <w:rsid w:val="00BE7390"/>
    <w:rsid w:val="00BE767D"/>
    <w:rsid w:val="00BE7998"/>
    <w:rsid w:val="00BE7C74"/>
    <w:rsid w:val="00BE7D9D"/>
    <w:rsid w:val="00BE7E21"/>
    <w:rsid w:val="00BF099A"/>
    <w:rsid w:val="00BF0ED0"/>
    <w:rsid w:val="00BF109A"/>
    <w:rsid w:val="00BF129E"/>
    <w:rsid w:val="00BF1505"/>
    <w:rsid w:val="00BF186F"/>
    <w:rsid w:val="00BF1EA0"/>
    <w:rsid w:val="00BF1FAE"/>
    <w:rsid w:val="00BF21AC"/>
    <w:rsid w:val="00BF2480"/>
    <w:rsid w:val="00BF24D3"/>
    <w:rsid w:val="00BF2587"/>
    <w:rsid w:val="00BF280C"/>
    <w:rsid w:val="00BF2933"/>
    <w:rsid w:val="00BF29E7"/>
    <w:rsid w:val="00BF2C24"/>
    <w:rsid w:val="00BF2D0F"/>
    <w:rsid w:val="00BF2EA4"/>
    <w:rsid w:val="00BF309A"/>
    <w:rsid w:val="00BF32F1"/>
    <w:rsid w:val="00BF3949"/>
    <w:rsid w:val="00BF3A84"/>
    <w:rsid w:val="00BF3B9A"/>
    <w:rsid w:val="00BF3C40"/>
    <w:rsid w:val="00BF3E98"/>
    <w:rsid w:val="00BF47AB"/>
    <w:rsid w:val="00BF4955"/>
    <w:rsid w:val="00BF4960"/>
    <w:rsid w:val="00BF4978"/>
    <w:rsid w:val="00BF4AA9"/>
    <w:rsid w:val="00BF4D16"/>
    <w:rsid w:val="00BF530B"/>
    <w:rsid w:val="00BF574B"/>
    <w:rsid w:val="00BF5865"/>
    <w:rsid w:val="00BF597D"/>
    <w:rsid w:val="00BF5999"/>
    <w:rsid w:val="00BF5BCE"/>
    <w:rsid w:val="00BF5C4E"/>
    <w:rsid w:val="00BF6430"/>
    <w:rsid w:val="00BF675A"/>
    <w:rsid w:val="00BF69BC"/>
    <w:rsid w:val="00BF6B80"/>
    <w:rsid w:val="00BF7124"/>
    <w:rsid w:val="00BF72BD"/>
    <w:rsid w:val="00BF7397"/>
    <w:rsid w:val="00BF7701"/>
    <w:rsid w:val="00BF77AB"/>
    <w:rsid w:val="00BF7A88"/>
    <w:rsid w:val="00BF7B49"/>
    <w:rsid w:val="00BF7D6E"/>
    <w:rsid w:val="00C002AC"/>
    <w:rsid w:val="00C006F5"/>
    <w:rsid w:val="00C00782"/>
    <w:rsid w:val="00C00A1C"/>
    <w:rsid w:val="00C00C6E"/>
    <w:rsid w:val="00C00CC6"/>
    <w:rsid w:val="00C010A5"/>
    <w:rsid w:val="00C012D0"/>
    <w:rsid w:val="00C015CB"/>
    <w:rsid w:val="00C0194C"/>
    <w:rsid w:val="00C019D3"/>
    <w:rsid w:val="00C01B45"/>
    <w:rsid w:val="00C01C5B"/>
    <w:rsid w:val="00C01F56"/>
    <w:rsid w:val="00C01FFA"/>
    <w:rsid w:val="00C0271A"/>
    <w:rsid w:val="00C02E0A"/>
    <w:rsid w:val="00C02E0F"/>
    <w:rsid w:val="00C03131"/>
    <w:rsid w:val="00C03469"/>
    <w:rsid w:val="00C03619"/>
    <w:rsid w:val="00C03804"/>
    <w:rsid w:val="00C038A9"/>
    <w:rsid w:val="00C039C3"/>
    <w:rsid w:val="00C03A1A"/>
    <w:rsid w:val="00C04162"/>
    <w:rsid w:val="00C043A8"/>
    <w:rsid w:val="00C043B0"/>
    <w:rsid w:val="00C046EF"/>
    <w:rsid w:val="00C04763"/>
    <w:rsid w:val="00C04969"/>
    <w:rsid w:val="00C04BA7"/>
    <w:rsid w:val="00C04BA9"/>
    <w:rsid w:val="00C05584"/>
    <w:rsid w:val="00C05B50"/>
    <w:rsid w:val="00C05C84"/>
    <w:rsid w:val="00C05CC7"/>
    <w:rsid w:val="00C05F47"/>
    <w:rsid w:val="00C0619C"/>
    <w:rsid w:val="00C06426"/>
    <w:rsid w:val="00C06580"/>
    <w:rsid w:val="00C06BD2"/>
    <w:rsid w:val="00C06C10"/>
    <w:rsid w:val="00C06F21"/>
    <w:rsid w:val="00C06F76"/>
    <w:rsid w:val="00C07038"/>
    <w:rsid w:val="00C0751D"/>
    <w:rsid w:val="00C07B20"/>
    <w:rsid w:val="00C07BEA"/>
    <w:rsid w:val="00C103CA"/>
    <w:rsid w:val="00C104ED"/>
    <w:rsid w:val="00C1068C"/>
    <w:rsid w:val="00C10972"/>
    <w:rsid w:val="00C1099D"/>
    <w:rsid w:val="00C11346"/>
    <w:rsid w:val="00C1142A"/>
    <w:rsid w:val="00C114E2"/>
    <w:rsid w:val="00C115AD"/>
    <w:rsid w:val="00C11B45"/>
    <w:rsid w:val="00C11D73"/>
    <w:rsid w:val="00C127BE"/>
    <w:rsid w:val="00C1285A"/>
    <w:rsid w:val="00C12C41"/>
    <w:rsid w:val="00C12C96"/>
    <w:rsid w:val="00C12D56"/>
    <w:rsid w:val="00C12E2D"/>
    <w:rsid w:val="00C13203"/>
    <w:rsid w:val="00C13412"/>
    <w:rsid w:val="00C135B1"/>
    <w:rsid w:val="00C13653"/>
    <w:rsid w:val="00C13689"/>
    <w:rsid w:val="00C138CF"/>
    <w:rsid w:val="00C13FFF"/>
    <w:rsid w:val="00C1442C"/>
    <w:rsid w:val="00C1444C"/>
    <w:rsid w:val="00C146C5"/>
    <w:rsid w:val="00C14AB4"/>
    <w:rsid w:val="00C14ACD"/>
    <w:rsid w:val="00C14B66"/>
    <w:rsid w:val="00C153BE"/>
    <w:rsid w:val="00C15976"/>
    <w:rsid w:val="00C15A31"/>
    <w:rsid w:val="00C15E99"/>
    <w:rsid w:val="00C15EA2"/>
    <w:rsid w:val="00C161BA"/>
    <w:rsid w:val="00C163AC"/>
    <w:rsid w:val="00C164CE"/>
    <w:rsid w:val="00C169B8"/>
    <w:rsid w:val="00C16BEE"/>
    <w:rsid w:val="00C16DEE"/>
    <w:rsid w:val="00C1725B"/>
    <w:rsid w:val="00C179BC"/>
    <w:rsid w:val="00C17D02"/>
    <w:rsid w:val="00C17D3B"/>
    <w:rsid w:val="00C20079"/>
    <w:rsid w:val="00C20254"/>
    <w:rsid w:val="00C204AB"/>
    <w:rsid w:val="00C2051B"/>
    <w:rsid w:val="00C207BE"/>
    <w:rsid w:val="00C20923"/>
    <w:rsid w:val="00C20C2E"/>
    <w:rsid w:val="00C20F95"/>
    <w:rsid w:val="00C2127B"/>
    <w:rsid w:val="00C21746"/>
    <w:rsid w:val="00C221EC"/>
    <w:rsid w:val="00C225E0"/>
    <w:rsid w:val="00C22760"/>
    <w:rsid w:val="00C22B05"/>
    <w:rsid w:val="00C22B90"/>
    <w:rsid w:val="00C22DFE"/>
    <w:rsid w:val="00C2312C"/>
    <w:rsid w:val="00C231F4"/>
    <w:rsid w:val="00C239DD"/>
    <w:rsid w:val="00C23CAF"/>
    <w:rsid w:val="00C23F27"/>
    <w:rsid w:val="00C24066"/>
    <w:rsid w:val="00C24B64"/>
    <w:rsid w:val="00C24E51"/>
    <w:rsid w:val="00C25041"/>
    <w:rsid w:val="00C25363"/>
    <w:rsid w:val="00C25450"/>
    <w:rsid w:val="00C25AA3"/>
    <w:rsid w:val="00C25D0B"/>
    <w:rsid w:val="00C261EE"/>
    <w:rsid w:val="00C263AF"/>
    <w:rsid w:val="00C264A3"/>
    <w:rsid w:val="00C2655E"/>
    <w:rsid w:val="00C266ED"/>
    <w:rsid w:val="00C267EB"/>
    <w:rsid w:val="00C26BEC"/>
    <w:rsid w:val="00C26EFE"/>
    <w:rsid w:val="00C271F8"/>
    <w:rsid w:val="00C27219"/>
    <w:rsid w:val="00C27230"/>
    <w:rsid w:val="00C275AD"/>
    <w:rsid w:val="00C278CD"/>
    <w:rsid w:val="00C279FF"/>
    <w:rsid w:val="00C27A8C"/>
    <w:rsid w:val="00C27D6A"/>
    <w:rsid w:val="00C27D90"/>
    <w:rsid w:val="00C27DC1"/>
    <w:rsid w:val="00C27FC7"/>
    <w:rsid w:val="00C302E5"/>
    <w:rsid w:val="00C3085D"/>
    <w:rsid w:val="00C30F92"/>
    <w:rsid w:val="00C3147A"/>
    <w:rsid w:val="00C314E7"/>
    <w:rsid w:val="00C31AC7"/>
    <w:rsid w:val="00C31C76"/>
    <w:rsid w:val="00C32013"/>
    <w:rsid w:val="00C3230F"/>
    <w:rsid w:val="00C32990"/>
    <w:rsid w:val="00C334B7"/>
    <w:rsid w:val="00C33CD8"/>
    <w:rsid w:val="00C33DF1"/>
    <w:rsid w:val="00C346E2"/>
    <w:rsid w:val="00C34943"/>
    <w:rsid w:val="00C3495E"/>
    <w:rsid w:val="00C34A5B"/>
    <w:rsid w:val="00C34A88"/>
    <w:rsid w:val="00C34A8C"/>
    <w:rsid w:val="00C34C2B"/>
    <w:rsid w:val="00C34C59"/>
    <w:rsid w:val="00C34CFC"/>
    <w:rsid w:val="00C34F13"/>
    <w:rsid w:val="00C350BE"/>
    <w:rsid w:val="00C350D8"/>
    <w:rsid w:val="00C35404"/>
    <w:rsid w:val="00C35480"/>
    <w:rsid w:val="00C3570F"/>
    <w:rsid w:val="00C358C8"/>
    <w:rsid w:val="00C35AA2"/>
    <w:rsid w:val="00C35B0E"/>
    <w:rsid w:val="00C35DBB"/>
    <w:rsid w:val="00C35EDD"/>
    <w:rsid w:val="00C35FE0"/>
    <w:rsid w:val="00C3609F"/>
    <w:rsid w:val="00C36282"/>
    <w:rsid w:val="00C3632D"/>
    <w:rsid w:val="00C366B7"/>
    <w:rsid w:val="00C366D5"/>
    <w:rsid w:val="00C37369"/>
    <w:rsid w:val="00C3772D"/>
    <w:rsid w:val="00C3786B"/>
    <w:rsid w:val="00C37CD1"/>
    <w:rsid w:val="00C37E7F"/>
    <w:rsid w:val="00C4003F"/>
    <w:rsid w:val="00C40141"/>
    <w:rsid w:val="00C403A6"/>
    <w:rsid w:val="00C40421"/>
    <w:rsid w:val="00C407A3"/>
    <w:rsid w:val="00C407BF"/>
    <w:rsid w:val="00C40A5D"/>
    <w:rsid w:val="00C40C53"/>
    <w:rsid w:val="00C411F5"/>
    <w:rsid w:val="00C41783"/>
    <w:rsid w:val="00C417D7"/>
    <w:rsid w:val="00C4215A"/>
    <w:rsid w:val="00C42972"/>
    <w:rsid w:val="00C42BB9"/>
    <w:rsid w:val="00C42BE7"/>
    <w:rsid w:val="00C43680"/>
    <w:rsid w:val="00C4410A"/>
    <w:rsid w:val="00C44378"/>
    <w:rsid w:val="00C443DA"/>
    <w:rsid w:val="00C44505"/>
    <w:rsid w:val="00C44650"/>
    <w:rsid w:val="00C4490B"/>
    <w:rsid w:val="00C44D11"/>
    <w:rsid w:val="00C45268"/>
    <w:rsid w:val="00C454FE"/>
    <w:rsid w:val="00C457C9"/>
    <w:rsid w:val="00C45D3A"/>
    <w:rsid w:val="00C46144"/>
    <w:rsid w:val="00C46617"/>
    <w:rsid w:val="00C46656"/>
    <w:rsid w:val="00C467AD"/>
    <w:rsid w:val="00C46AA8"/>
    <w:rsid w:val="00C46C2C"/>
    <w:rsid w:val="00C46D6C"/>
    <w:rsid w:val="00C47059"/>
    <w:rsid w:val="00C47577"/>
    <w:rsid w:val="00C4774F"/>
    <w:rsid w:val="00C4785E"/>
    <w:rsid w:val="00C47A36"/>
    <w:rsid w:val="00C47A60"/>
    <w:rsid w:val="00C47CDD"/>
    <w:rsid w:val="00C47D19"/>
    <w:rsid w:val="00C47F9D"/>
    <w:rsid w:val="00C47FA1"/>
    <w:rsid w:val="00C509DC"/>
    <w:rsid w:val="00C50A2F"/>
    <w:rsid w:val="00C50BCA"/>
    <w:rsid w:val="00C50C55"/>
    <w:rsid w:val="00C51179"/>
    <w:rsid w:val="00C51867"/>
    <w:rsid w:val="00C51EC3"/>
    <w:rsid w:val="00C52016"/>
    <w:rsid w:val="00C52334"/>
    <w:rsid w:val="00C523CA"/>
    <w:rsid w:val="00C52674"/>
    <w:rsid w:val="00C52857"/>
    <w:rsid w:val="00C52890"/>
    <w:rsid w:val="00C52908"/>
    <w:rsid w:val="00C52A68"/>
    <w:rsid w:val="00C52E71"/>
    <w:rsid w:val="00C53013"/>
    <w:rsid w:val="00C53256"/>
    <w:rsid w:val="00C533C8"/>
    <w:rsid w:val="00C533EC"/>
    <w:rsid w:val="00C5358C"/>
    <w:rsid w:val="00C53617"/>
    <w:rsid w:val="00C53745"/>
    <w:rsid w:val="00C5381B"/>
    <w:rsid w:val="00C54409"/>
    <w:rsid w:val="00C5468B"/>
    <w:rsid w:val="00C54826"/>
    <w:rsid w:val="00C54B97"/>
    <w:rsid w:val="00C54C17"/>
    <w:rsid w:val="00C54EE4"/>
    <w:rsid w:val="00C55316"/>
    <w:rsid w:val="00C5596B"/>
    <w:rsid w:val="00C5597E"/>
    <w:rsid w:val="00C55AE5"/>
    <w:rsid w:val="00C55DB7"/>
    <w:rsid w:val="00C55E58"/>
    <w:rsid w:val="00C566BF"/>
    <w:rsid w:val="00C5693F"/>
    <w:rsid w:val="00C56B0D"/>
    <w:rsid w:val="00C56D4E"/>
    <w:rsid w:val="00C57041"/>
    <w:rsid w:val="00C57466"/>
    <w:rsid w:val="00C57AE0"/>
    <w:rsid w:val="00C57B96"/>
    <w:rsid w:val="00C57FAC"/>
    <w:rsid w:val="00C60101"/>
    <w:rsid w:val="00C601FE"/>
    <w:rsid w:val="00C609D4"/>
    <w:rsid w:val="00C60AA4"/>
    <w:rsid w:val="00C60D0D"/>
    <w:rsid w:val="00C619A5"/>
    <w:rsid w:val="00C61D09"/>
    <w:rsid w:val="00C6238A"/>
    <w:rsid w:val="00C62C2A"/>
    <w:rsid w:val="00C62DE5"/>
    <w:rsid w:val="00C6378C"/>
    <w:rsid w:val="00C639F4"/>
    <w:rsid w:val="00C63A57"/>
    <w:rsid w:val="00C63AB9"/>
    <w:rsid w:val="00C63B86"/>
    <w:rsid w:val="00C63F03"/>
    <w:rsid w:val="00C6428A"/>
    <w:rsid w:val="00C642D3"/>
    <w:rsid w:val="00C647FC"/>
    <w:rsid w:val="00C648F4"/>
    <w:rsid w:val="00C6492B"/>
    <w:rsid w:val="00C64E06"/>
    <w:rsid w:val="00C64E45"/>
    <w:rsid w:val="00C65090"/>
    <w:rsid w:val="00C659D6"/>
    <w:rsid w:val="00C65E56"/>
    <w:rsid w:val="00C66290"/>
    <w:rsid w:val="00C6651C"/>
    <w:rsid w:val="00C66D36"/>
    <w:rsid w:val="00C66D89"/>
    <w:rsid w:val="00C66E4E"/>
    <w:rsid w:val="00C66FD4"/>
    <w:rsid w:val="00C67494"/>
    <w:rsid w:val="00C67687"/>
    <w:rsid w:val="00C67C2A"/>
    <w:rsid w:val="00C67D1A"/>
    <w:rsid w:val="00C67DEF"/>
    <w:rsid w:val="00C67E19"/>
    <w:rsid w:val="00C70116"/>
    <w:rsid w:val="00C70872"/>
    <w:rsid w:val="00C70941"/>
    <w:rsid w:val="00C70F1E"/>
    <w:rsid w:val="00C710EF"/>
    <w:rsid w:val="00C71584"/>
    <w:rsid w:val="00C71BF5"/>
    <w:rsid w:val="00C71D0B"/>
    <w:rsid w:val="00C7211E"/>
    <w:rsid w:val="00C7221C"/>
    <w:rsid w:val="00C722D5"/>
    <w:rsid w:val="00C723C9"/>
    <w:rsid w:val="00C723F0"/>
    <w:rsid w:val="00C72481"/>
    <w:rsid w:val="00C72742"/>
    <w:rsid w:val="00C72864"/>
    <w:rsid w:val="00C729E7"/>
    <w:rsid w:val="00C72A05"/>
    <w:rsid w:val="00C72B5F"/>
    <w:rsid w:val="00C72C36"/>
    <w:rsid w:val="00C73031"/>
    <w:rsid w:val="00C73308"/>
    <w:rsid w:val="00C737D0"/>
    <w:rsid w:val="00C73998"/>
    <w:rsid w:val="00C73D5B"/>
    <w:rsid w:val="00C73E71"/>
    <w:rsid w:val="00C73F58"/>
    <w:rsid w:val="00C74732"/>
    <w:rsid w:val="00C74838"/>
    <w:rsid w:val="00C749FE"/>
    <w:rsid w:val="00C74A09"/>
    <w:rsid w:val="00C74A77"/>
    <w:rsid w:val="00C74D48"/>
    <w:rsid w:val="00C74F5B"/>
    <w:rsid w:val="00C75249"/>
    <w:rsid w:val="00C7540A"/>
    <w:rsid w:val="00C7560E"/>
    <w:rsid w:val="00C75839"/>
    <w:rsid w:val="00C75A22"/>
    <w:rsid w:val="00C75AF7"/>
    <w:rsid w:val="00C75BF3"/>
    <w:rsid w:val="00C760CE"/>
    <w:rsid w:val="00C76CEE"/>
    <w:rsid w:val="00C7700B"/>
    <w:rsid w:val="00C771B6"/>
    <w:rsid w:val="00C77296"/>
    <w:rsid w:val="00C7741E"/>
    <w:rsid w:val="00C77873"/>
    <w:rsid w:val="00C77884"/>
    <w:rsid w:val="00C77CD7"/>
    <w:rsid w:val="00C80540"/>
    <w:rsid w:val="00C80729"/>
    <w:rsid w:val="00C807C3"/>
    <w:rsid w:val="00C81223"/>
    <w:rsid w:val="00C81C4D"/>
    <w:rsid w:val="00C81D58"/>
    <w:rsid w:val="00C81EE5"/>
    <w:rsid w:val="00C81EEA"/>
    <w:rsid w:val="00C8222C"/>
    <w:rsid w:val="00C8225D"/>
    <w:rsid w:val="00C827F1"/>
    <w:rsid w:val="00C82A22"/>
    <w:rsid w:val="00C82A96"/>
    <w:rsid w:val="00C82C4A"/>
    <w:rsid w:val="00C82F56"/>
    <w:rsid w:val="00C82FE6"/>
    <w:rsid w:val="00C831E6"/>
    <w:rsid w:val="00C83664"/>
    <w:rsid w:val="00C83665"/>
    <w:rsid w:val="00C8370E"/>
    <w:rsid w:val="00C83975"/>
    <w:rsid w:val="00C83D53"/>
    <w:rsid w:val="00C8401E"/>
    <w:rsid w:val="00C847AB"/>
    <w:rsid w:val="00C849F8"/>
    <w:rsid w:val="00C84B62"/>
    <w:rsid w:val="00C84E6A"/>
    <w:rsid w:val="00C8539D"/>
    <w:rsid w:val="00C85520"/>
    <w:rsid w:val="00C85593"/>
    <w:rsid w:val="00C855A4"/>
    <w:rsid w:val="00C855E0"/>
    <w:rsid w:val="00C85647"/>
    <w:rsid w:val="00C85CD3"/>
    <w:rsid w:val="00C85E50"/>
    <w:rsid w:val="00C85F98"/>
    <w:rsid w:val="00C862EA"/>
    <w:rsid w:val="00C8680A"/>
    <w:rsid w:val="00C86B31"/>
    <w:rsid w:val="00C86EA0"/>
    <w:rsid w:val="00C8768D"/>
    <w:rsid w:val="00C87923"/>
    <w:rsid w:val="00C87BBE"/>
    <w:rsid w:val="00C902E7"/>
    <w:rsid w:val="00C90551"/>
    <w:rsid w:val="00C91126"/>
    <w:rsid w:val="00C9129F"/>
    <w:rsid w:val="00C912F6"/>
    <w:rsid w:val="00C9136B"/>
    <w:rsid w:val="00C9173D"/>
    <w:rsid w:val="00C918C4"/>
    <w:rsid w:val="00C91B46"/>
    <w:rsid w:val="00C91CCA"/>
    <w:rsid w:val="00C921AB"/>
    <w:rsid w:val="00C922A0"/>
    <w:rsid w:val="00C923A0"/>
    <w:rsid w:val="00C92A3A"/>
    <w:rsid w:val="00C92CA5"/>
    <w:rsid w:val="00C92CEB"/>
    <w:rsid w:val="00C92D16"/>
    <w:rsid w:val="00C92E88"/>
    <w:rsid w:val="00C931F7"/>
    <w:rsid w:val="00C93368"/>
    <w:rsid w:val="00C93760"/>
    <w:rsid w:val="00C9385C"/>
    <w:rsid w:val="00C94007"/>
    <w:rsid w:val="00C941C7"/>
    <w:rsid w:val="00C94306"/>
    <w:rsid w:val="00C94674"/>
    <w:rsid w:val="00C946F2"/>
    <w:rsid w:val="00C9495E"/>
    <w:rsid w:val="00C94BE2"/>
    <w:rsid w:val="00C9500F"/>
    <w:rsid w:val="00C95107"/>
    <w:rsid w:val="00C95CBD"/>
    <w:rsid w:val="00C95DEA"/>
    <w:rsid w:val="00C962CB"/>
    <w:rsid w:val="00C96B32"/>
    <w:rsid w:val="00C96C5E"/>
    <w:rsid w:val="00C96C88"/>
    <w:rsid w:val="00C96D33"/>
    <w:rsid w:val="00C96EDC"/>
    <w:rsid w:val="00C9700A"/>
    <w:rsid w:val="00C9706E"/>
    <w:rsid w:val="00C971C3"/>
    <w:rsid w:val="00C9725B"/>
    <w:rsid w:val="00C97710"/>
    <w:rsid w:val="00C978D2"/>
    <w:rsid w:val="00C97EC8"/>
    <w:rsid w:val="00C97F14"/>
    <w:rsid w:val="00CA015D"/>
    <w:rsid w:val="00CA0360"/>
    <w:rsid w:val="00CA03FE"/>
    <w:rsid w:val="00CA0A1F"/>
    <w:rsid w:val="00CA0AE9"/>
    <w:rsid w:val="00CA0BF5"/>
    <w:rsid w:val="00CA0C3B"/>
    <w:rsid w:val="00CA0CC5"/>
    <w:rsid w:val="00CA0D63"/>
    <w:rsid w:val="00CA1167"/>
    <w:rsid w:val="00CA1435"/>
    <w:rsid w:val="00CA1489"/>
    <w:rsid w:val="00CA17AE"/>
    <w:rsid w:val="00CA194B"/>
    <w:rsid w:val="00CA2062"/>
    <w:rsid w:val="00CA23E9"/>
    <w:rsid w:val="00CA240B"/>
    <w:rsid w:val="00CA242D"/>
    <w:rsid w:val="00CA2552"/>
    <w:rsid w:val="00CA2782"/>
    <w:rsid w:val="00CA28EA"/>
    <w:rsid w:val="00CA28F8"/>
    <w:rsid w:val="00CA2F65"/>
    <w:rsid w:val="00CA2FA1"/>
    <w:rsid w:val="00CA37B9"/>
    <w:rsid w:val="00CA39B2"/>
    <w:rsid w:val="00CA3A19"/>
    <w:rsid w:val="00CA3B14"/>
    <w:rsid w:val="00CA3E49"/>
    <w:rsid w:val="00CA413A"/>
    <w:rsid w:val="00CA414A"/>
    <w:rsid w:val="00CA4310"/>
    <w:rsid w:val="00CA446A"/>
    <w:rsid w:val="00CA4A7D"/>
    <w:rsid w:val="00CA4AB2"/>
    <w:rsid w:val="00CA4E6C"/>
    <w:rsid w:val="00CA53C5"/>
    <w:rsid w:val="00CA53E3"/>
    <w:rsid w:val="00CA5408"/>
    <w:rsid w:val="00CA5596"/>
    <w:rsid w:val="00CA58C2"/>
    <w:rsid w:val="00CA5B1A"/>
    <w:rsid w:val="00CA5F98"/>
    <w:rsid w:val="00CA64EC"/>
    <w:rsid w:val="00CA66F6"/>
    <w:rsid w:val="00CA69FA"/>
    <w:rsid w:val="00CA6AAF"/>
    <w:rsid w:val="00CA6DEE"/>
    <w:rsid w:val="00CA71D9"/>
    <w:rsid w:val="00CA7427"/>
    <w:rsid w:val="00CA75D1"/>
    <w:rsid w:val="00CA7630"/>
    <w:rsid w:val="00CA763F"/>
    <w:rsid w:val="00CA78C5"/>
    <w:rsid w:val="00CB03E6"/>
    <w:rsid w:val="00CB0959"/>
    <w:rsid w:val="00CB099E"/>
    <w:rsid w:val="00CB09F6"/>
    <w:rsid w:val="00CB0F2D"/>
    <w:rsid w:val="00CB0F49"/>
    <w:rsid w:val="00CB13DC"/>
    <w:rsid w:val="00CB1A83"/>
    <w:rsid w:val="00CB1BF7"/>
    <w:rsid w:val="00CB1D63"/>
    <w:rsid w:val="00CB1DA4"/>
    <w:rsid w:val="00CB231C"/>
    <w:rsid w:val="00CB23D1"/>
    <w:rsid w:val="00CB2556"/>
    <w:rsid w:val="00CB27CA"/>
    <w:rsid w:val="00CB2869"/>
    <w:rsid w:val="00CB287C"/>
    <w:rsid w:val="00CB2F80"/>
    <w:rsid w:val="00CB32F8"/>
    <w:rsid w:val="00CB383E"/>
    <w:rsid w:val="00CB3857"/>
    <w:rsid w:val="00CB38A9"/>
    <w:rsid w:val="00CB3C2C"/>
    <w:rsid w:val="00CB3E0E"/>
    <w:rsid w:val="00CB3E23"/>
    <w:rsid w:val="00CB4445"/>
    <w:rsid w:val="00CB44EB"/>
    <w:rsid w:val="00CB4649"/>
    <w:rsid w:val="00CB47BE"/>
    <w:rsid w:val="00CB48BE"/>
    <w:rsid w:val="00CB4C80"/>
    <w:rsid w:val="00CB5270"/>
    <w:rsid w:val="00CB5428"/>
    <w:rsid w:val="00CB5686"/>
    <w:rsid w:val="00CB5C80"/>
    <w:rsid w:val="00CB5FCF"/>
    <w:rsid w:val="00CB6321"/>
    <w:rsid w:val="00CB6389"/>
    <w:rsid w:val="00CB6457"/>
    <w:rsid w:val="00CB6466"/>
    <w:rsid w:val="00CB6572"/>
    <w:rsid w:val="00CB68BF"/>
    <w:rsid w:val="00CB6C51"/>
    <w:rsid w:val="00CB6DA7"/>
    <w:rsid w:val="00CB7484"/>
    <w:rsid w:val="00CB7755"/>
    <w:rsid w:val="00CB7973"/>
    <w:rsid w:val="00CB798F"/>
    <w:rsid w:val="00CB7C0D"/>
    <w:rsid w:val="00CC0107"/>
    <w:rsid w:val="00CC04C4"/>
    <w:rsid w:val="00CC0541"/>
    <w:rsid w:val="00CC077E"/>
    <w:rsid w:val="00CC0903"/>
    <w:rsid w:val="00CC0BFA"/>
    <w:rsid w:val="00CC0FF0"/>
    <w:rsid w:val="00CC107D"/>
    <w:rsid w:val="00CC12EA"/>
    <w:rsid w:val="00CC1412"/>
    <w:rsid w:val="00CC15FE"/>
    <w:rsid w:val="00CC16C2"/>
    <w:rsid w:val="00CC1A6E"/>
    <w:rsid w:val="00CC1B36"/>
    <w:rsid w:val="00CC1BDE"/>
    <w:rsid w:val="00CC1D72"/>
    <w:rsid w:val="00CC1E51"/>
    <w:rsid w:val="00CC1ED0"/>
    <w:rsid w:val="00CC22D5"/>
    <w:rsid w:val="00CC230E"/>
    <w:rsid w:val="00CC2380"/>
    <w:rsid w:val="00CC2A77"/>
    <w:rsid w:val="00CC2F05"/>
    <w:rsid w:val="00CC31A6"/>
    <w:rsid w:val="00CC34D0"/>
    <w:rsid w:val="00CC36AD"/>
    <w:rsid w:val="00CC37DD"/>
    <w:rsid w:val="00CC3B36"/>
    <w:rsid w:val="00CC3E6F"/>
    <w:rsid w:val="00CC401C"/>
    <w:rsid w:val="00CC4297"/>
    <w:rsid w:val="00CC442D"/>
    <w:rsid w:val="00CC4948"/>
    <w:rsid w:val="00CC50AB"/>
    <w:rsid w:val="00CC50C5"/>
    <w:rsid w:val="00CC5557"/>
    <w:rsid w:val="00CC563A"/>
    <w:rsid w:val="00CC59B2"/>
    <w:rsid w:val="00CC5B6A"/>
    <w:rsid w:val="00CC5EF7"/>
    <w:rsid w:val="00CC60C0"/>
    <w:rsid w:val="00CC614E"/>
    <w:rsid w:val="00CC668C"/>
    <w:rsid w:val="00CC697B"/>
    <w:rsid w:val="00CC6980"/>
    <w:rsid w:val="00CC6A92"/>
    <w:rsid w:val="00CC6E0E"/>
    <w:rsid w:val="00CC702A"/>
    <w:rsid w:val="00CC7540"/>
    <w:rsid w:val="00CC79B0"/>
    <w:rsid w:val="00CC7C26"/>
    <w:rsid w:val="00CC7D8E"/>
    <w:rsid w:val="00CC7F72"/>
    <w:rsid w:val="00CD0613"/>
    <w:rsid w:val="00CD0CF2"/>
    <w:rsid w:val="00CD0E9A"/>
    <w:rsid w:val="00CD11D0"/>
    <w:rsid w:val="00CD1245"/>
    <w:rsid w:val="00CD15C6"/>
    <w:rsid w:val="00CD1A52"/>
    <w:rsid w:val="00CD1BA5"/>
    <w:rsid w:val="00CD1C7C"/>
    <w:rsid w:val="00CD1DC6"/>
    <w:rsid w:val="00CD24DC"/>
    <w:rsid w:val="00CD2558"/>
    <w:rsid w:val="00CD29D2"/>
    <w:rsid w:val="00CD29DF"/>
    <w:rsid w:val="00CD2A46"/>
    <w:rsid w:val="00CD2A5E"/>
    <w:rsid w:val="00CD2E07"/>
    <w:rsid w:val="00CD3358"/>
    <w:rsid w:val="00CD34A2"/>
    <w:rsid w:val="00CD3664"/>
    <w:rsid w:val="00CD3DB5"/>
    <w:rsid w:val="00CD4072"/>
    <w:rsid w:val="00CD411A"/>
    <w:rsid w:val="00CD4AF7"/>
    <w:rsid w:val="00CD4DAA"/>
    <w:rsid w:val="00CD4F45"/>
    <w:rsid w:val="00CD4F8C"/>
    <w:rsid w:val="00CD5027"/>
    <w:rsid w:val="00CD5566"/>
    <w:rsid w:val="00CD5629"/>
    <w:rsid w:val="00CD56EA"/>
    <w:rsid w:val="00CD5F2F"/>
    <w:rsid w:val="00CD609D"/>
    <w:rsid w:val="00CD6517"/>
    <w:rsid w:val="00CD6A46"/>
    <w:rsid w:val="00CD6CD9"/>
    <w:rsid w:val="00CD6E19"/>
    <w:rsid w:val="00CD72DD"/>
    <w:rsid w:val="00CD76CD"/>
    <w:rsid w:val="00CD77E4"/>
    <w:rsid w:val="00CD799F"/>
    <w:rsid w:val="00CD79A4"/>
    <w:rsid w:val="00CD7CA1"/>
    <w:rsid w:val="00CD7CE0"/>
    <w:rsid w:val="00CD7DF5"/>
    <w:rsid w:val="00CE0010"/>
    <w:rsid w:val="00CE0160"/>
    <w:rsid w:val="00CE0373"/>
    <w:rsid w:val="00CE04F8"/>
    <w:rsid w:val="00CE0628"/>
    <w:rsid w:val="00CE074A"/>
    <w:rsid w:val="00CE0AFB"/>
    <w:rsid w:val="00CE0D8F"/>
    <w:rsid w:val="00CE0EE8"/>
    <w:rsid w:val="00CE106C"/>
    <w:rsid w:val="00CE1315"/>
    <w:rsid w:val="00CE13EF"/>
    <w:rsid w:val="00CE1473"/>
    <w:rsid w:val="00CE15BD"/>
    <w:rsid w:val="00CE15DD"/>
    <w:rsid w:val="00CE1775"/>
    <w:rsid w:val="00CE1882"/>
    <w:rsid w:val="00CE18EB"/>
    <w:rsid w:val="00CE2BF7"/>
    <w:rsid w:val="00CE2C50"/>
    <w:rsid w:val="00CE2D1F"/>
    <w:rsid w:val="00CE301F"/>
    <w:rsid w:val="00CE3139"/>
    <w:rsid w:val="00CE328E"/>
    <w:rsid w:val="00CE32D2"/>
    <w:rsid w:val="00CE34ED"/>
    <w:rsid w:val="00CE373B"/>
    <w:rsid w:val="00CE37CB"/>
    <w:rsid w:val="00CE39A3"/>
    <w:rsid w:val="00CE3E62"/>
    <w:rsid w:val="00CE3F0D"/>
    <w:rsid w:val="00CE4015"/>
    <w:rsid w:val="00CE4288"/>
    <w:rsid w:val="00CE4585"/>
    <w:rsid w:val="00CE4615"/>
    <w:rsid w:val="00CE49E7"/>
    <w:rsid w:val="00CE4D54"/>
    <w:rsid w:val="00CE4DB3"/>
    <w:rsid w:val="00CE4E26"/>
    <w:rsid w:val="00CE59DE"/>
    <w:rsid w:val="00CE5BDB"/>
    <w:rsid w:val="00CE61F8"/>
    <w:rsid w:val="00CE6775"/>
    <w:rsid w:val="00CE6A9C"/>
    <w:rsid w:val="00CE6AB7"/>
    <w:rsid w:val="00CE6F09"/>
    <w:rsid w:val="00CE70DB"/>
    <w:rsid w:val="00CE7132"/>
    <w:rsid w:val="00CE7603"/>
    <w:rsid w:val="00CE79AA"/>
    <w:rsid w:val="00CE7AC7"/>
    <w:rsid w:val="00CE7CE6"/>
    <w:rsid w:val="00CE7D17"/>
    <w:rsid w:val="00CF0143"/>
    <w:rsid w:val="00CF01B3"/>
    <w:rsid w:val="00CF02E8"/>
    <w:rsid w:val="00CF043B"/>
    <w:rsid w:val="00CF0443"/>
    <w:rsid w:val="00CF0493"/>
    <w:rsid w:val="00CF0E1F"/>
    <w:rsid w:val="00CF1168"/>
    <w:rsid w:val="00CF13A6"/>
    <w:rsid w:val="00CF1A4E"/>
    <w:rsid w:val="00CF1B96"/>
    <w:rsid w:val="00CF221D"/>
    <w:rsid w:val="00CF22D3"/>
    <w:rsid w:val="00CF2574"/>
    <w:rsid w:val="00CF2664"/>
    <w:rsid w:val="00CF2741"/>
    <w:rsid w:val="00CF2792"/>
    <w:rsid w:val="00CF2867"/>
    <w:rsid w:val="00CF2B03"/>
    <w:rsid w:val="00CF30E1"/>
    <w:rsid w:val="00CF3231"/>
    <w:rsid w:val="00CF34D0"/>
    <w:rsid w:val="00CF35A3"/>
    <w:rsid w:val="00CF35C0"/>
    <w:rsid w:val="00CF35DC"/>
    <w:rsid w:val="00CF3D0E"/>
    <w:rsid w:val="00CF3D94"/>
    <w:rsid w:val="00CF4529"/>
    <w:rsid w:val="00CF45B6"/>
    <w:rsid w:val="00CF46AA"/>
    <w:rsid w:val="00CF478F"/>
    <w:rsid w:val="00CF4961"/>
    <w:rsid w:val="00CF4A74"/>
    <w:rsid w:val="00CF4AE0"/>
    <w:rsid w:val="00CF4FAD"/>
    <w:rsid w:val="00CF500F"/>
    <w:rsid w:val="00CF5697"/>
    <w:rsid w:val="00CF571F"/>
    <w:rsid w:val="00CF5866"/>
    <w:rsid w:val="00CF60A3"/>
    <w:rsid w:val="00CF62D9"/>
    <w:rsid w:val="00CF68D1"/>
    <w:rsid w:val="00CF697B"/>
    <w:rsid w:val="00CF69B6"/>
    <w:rsid w:val="00CF6B21"/>
    <w:rsid w:val="00CF6BD5"/>
    <w:rsid w:val="00CF71DB"/>
    <w:rsid w:val="00CF73F7"/>
    <w:rsid w:val="00CF7A83"/>
    <w:rsid w:val="00CF7B37"/>
    <w:rsid w:val="00CF7CDF"/>
    <w:rsid w:val="00CF7DD1"/>
    <w:rsid w:val="00D00476"/>
    <w:rsid w:val="00D005EE"/>
    <w:rsid w:val="00D0061E"/>
    <w:rsid w:val="00D007B4"/>
    <w:rsid w:val="00D00F9E"/>
    <w:rsid w:val="00D0165F"/>
    <w:rsid w:val="00D016BE"/>
    <w:rsid w:val="00D01881"/>
    <w:rsid w:val="00D0197B"/>
    <w:rsid w:val="00D01B08"/>
    <w:rsid w:val="00D01D6E"/>
    <w:rsid w:val="00D023B2"/>
    <w:rsid w:val="00D0246D"/>
    <w:rsid w:val="00D02475"/>
    <w:rsid w:val="00D02566"/>
    <w:rsid w:val="00D025E1"/>
    <w:rsid w:val="00D029C8"/>
    <w:rsid w:val="00D02AE3"/>
    <w:rsid w:val="00D02B26"/>
    <w:rsid w:val="00D03079"/>
    <w:rsid w:val="00D03343"/>
    <w:rsid w:val="00D0354D"/>
    <w:rsid w:val="00D03952"/>
    <w:rsid w:val="00D03B2D"/>
    <w:rsid w:val="00D03E78"/>
    <w:rsid w:val="00D049F5"/>
    <w:rsid w:val="00D04BE4"/>
    <w:rsid w:val="00D04DAF"/>
    <w:rsid w:val="00D04ECC"/>
    <w:rsid w:val="00D04EDB"/>
    <w:rsid w:val="00D05102"/>
    <w:rsid w:val="00D05A46"/>
    <w:rsid w:val="00D05B3B"/>
    <w:rsid w:val="00D05C8E"/>
    <w:rsid w:val="00D05DB1"/>
    <w:rsid w:val="00D06564"/>
    <w:rsid w:val="00D066E9"/>
    <w:rsid w:val="00D06970"/>
    <w:rsid w:val="00D06BB0"/>
    <w:rsid w:val="00D06EDA"/>
    <w:rsid w:val="00D070CC"/>
    <w:rsid w:val="00D070FF"/>
    <w:rsid w:val="00D07731"/>
    <w:rsid w:val="00D07AAC"/>
    <w:rsid w:val="00D100A1"/>
    <w:rsid w:val="00D10171"/>
    <w:rsid w:val="00D101A8"/>
    <w:rsid w:val="00D10A6D"/>
    <w:rsid w:val="00D10C3D"/>
    <w:rsid w:val="00D10C45"/>
    <w:rsid w:val="00D10F79"/>
    <w:rsid w:val="00D110CC"/>
    <w:rsid w:val="00D11278"/>
    <w:rsid w:val="00D117B7"/>
    <w:rsid w:val="00D11C3C"/>
    <w:rsid w:val="00D11D01"/>
    <w:rsid w:val="00D11DD9"/>
    <w:rsid w:val="00D12262"/>
    <w:rsid w:val="00D124C5"/>
    <w:rsid w:val="00D1272E"/>
    <w:rsid w:val="00D127C8"/>
    <w:rsid w:val="00D127FE"/>
    <w:rsid w:val="00D13435"/>
    <w:rsid w:val="00D1347B"/>
    <w:rsid w:val="00D13D1B"/>
    <w:rsid w:val="00D13F38"/>
    <w:rsid w:val="00D140A9"/>
    <w:rsid w:val="00D1428D"/>
    <w:rsid w:val="00D14329"/>
    <w:rsid w:val="00D14556"/>
    <w:rsid w:val="00D14962"/>
    <w:rsid w:val="00D149BE"/>
    <w:rsid w:val="00D14B47"/>
    <w:rsid w:val="00D14CBC"/>
    <w:rsid w:val="00D14EB7"/>
    <w:rsid w:val="00D14F39"/>
    <w:rsid w:val="00D14FC5"/>
    <w:rsid w:val="00D15220"/>
    <w:rsid w:val="00D152BA"/>
    <w:rsid w:val="00D153A8"/>
    <w:rsid w:val="00D1547F"/>
    <w:rsid w:val="00D155A1"/>
    <w:rsid w:val="00D1590C"/>
    <w:rsid w:val="00D159D3"/>
    <w:rsid w:val="00D15B9B"/>
    <w:rsid w:val="00D160B2"/>
    <w:rsid w:val="00D164AB"/>
    <w:rsid w:val="00D16660"/>
    <w:rsid w:val="00D16782"/>
    <w:rsid w:val="00D168C4"/>
    <w:rsid w:val="00D16A2F"/>
    <w:rsid w:val="00D16DE0"/>
    <w:rsid w:val="00D16F59"/>
    <w:rsid w:val="00D1747A"/>
    <w:rsid w:val="00D17C7B"/>
    <w:rsid w:val="00D202D5"/>
    <w:rsid w:val="00D20833"/>
    <w:rsid w:val="00D2089C"/>
    <w:rsid w:val="00D20937"/>
    <w:rsid w:val="00D20A29"/>
    <w:rsid w:val="00D20AEA"/>
    <w:rsid w:val="00D20C4D"/>
    <w:rsid w:val="00D20E57"/>
    <w:rsid w:val="00D20FEC"/>
    <w:rsid w:val="00D21171"/>
    <w:rsid w:val="00D213F0"/>
    <w:rsid w:val="00D21756"/>
    <w:rsid w:val="00D21C20"/>
    <w:rsid w:val="00D22078"/>
    <w:rsid w:val="00D220B7"/>
    <w:rsid w:val="00D223A3"/>
    <w:rsid w:val="00D226F7"/>
    <w:rsid w:val="00D22C4C"/>
    <w:rsid w:val="00D22E9E"/>
    <w:rsid w:val="00D23616"/>
    <w:rsid w:val="00D23720"/>
    <w:rsid w:val="00D23A31"/>
    <w:rsid w:val="00D23C06"/>
    <w:rsid w:val="00D23CC0"/>
    <w:rsid w:val="00D23E84"/>
    <w:rsid w:val="00D2402D"/>
    <w:rsid w:val="00D24668"/>
    <w:rsid w:val="00D249B8"/>
    <w:rsid w:val="00D24C4C"/>
    <w:rsid w:val="00D24E7E"/>
    <w:rsid w:val="00D25243"/>
    <w:rsid w:val="00D25A2B"/>
    <w:rsid w:val="00D25B9A"/>
    <w:rsid w:val="00D25C0E"/>
    <w:rsid w:val="00D25C78"/>
    <w:rsid w:val="00D265F6"/>
    <w:rsid w:val="00D26694"/>
    <w:rsid w:val="00D26896"/>
    <w:rsid w:val="00D268E8"/>
    <w:rsid w:val="00D26CDF"/>
    <w:rsid w:val="00D270A5"/>
    <w:rsid w:val="00D27367"/>
    <w:rsid w:val="00D275A3"/>
    <w:rsid w:val="00D27F56"/>
    <w:rsid w:val="00D301B5"/>
    <w:rsid w:val="00D30544"/>
    <w:rsid w:val="00D3076A"/>
    <w:rsid w:val="00D30771"/>
    <w:rsid w:val="00D30848"/>
    <w:rsid w:val="00D308B5"/>
    <w:rsid w:val="00D309DC"/>
    <w:rsid w:val="00D30DAC"/>
    <w:rsid w:val="00D30DD9"/>
    <w:rsid w:val="00D30EF0"/>
    <w:rsid w:val="00D30F9D"/>
    <w:rsid w:val="00D3102E"/>
    <w:rsid w:val="00D311AD"/>
    <w:rsid w:val="00D3131C"/>
    <w:rsid w:val="00D313DB"/>
    <w:rsid w:val="00D315C0"/>
    <w:rsid w:val="00D31634"/>
    <w:rsid w:val="00D316F9"/>
    <w:rsid w:val="00D31915"/>
    <w:rsid w:val="00D31B82"/>
    <w:rsid w:val="00D31CE2"/>
    <w:rsid w:val="00D31F80"/>
    <w:rsid w:val="00D320E4"/>
    <w:rsid w:val="00D3265C"/>
    <w:rsid w:val="00D3297D"/>
    <w:rsid w:val="00D32BA8"/>
    <w:rsid w:val="00D32F5C"/>
    <w:rsid w:val="00D33083"/>
    <w:rsid w:val="00D33751"/>
    <w:rsid w:val="00D33A35"/>
    <w:rsid w:val="00D33C74"/>
    <w:rsid w:val="00D33D64"/>
    <w:rsid w:val="00D33DE0"/>
    <w:rsid w:val="00D341DB"/>
    <w:rsid w:val="00D341E9"/>
    <w:rsid w:val="00D34533"/>
    <w:rsid w:val="00D345E9"/>
    <w:rsid w:val="00D3463F"/>
    <w:rsid w:val="00D346A1"/>
    <w:rsid w:val="00D3507C"/>
    <w:rsid w:val="00D352FD"/>
    <w:rsid w:val="00D355E6"/>
    <w:rsid w:val="00D3579E"/>
    <w:rsid w:val="00D3592E"/>
    <w:rsid w:val="00D3595F"/>
    <w:rsid w:val="00D35F44"/>
    <w:rsid w:val="00D361E9"/>
    <w:rsid w:val="00D36292"/>
    <w:rsid w:val="00D36306"/>
    <w:rsid w:val="00D36493"/>
    <w:rsid w:val="00D36603"/>
    <w:rsid w:val="00D36FB3"/>
    <w:rsid w:val="00D37026"/>
    <w:rsid w:val="00D37034"/>
    <w:rsid w:val="00D37226"/>
    <w:rsid w:val="00D3780B"/>
    <w:rsid w:val="00D378AD"/>
    <w:rsid w:val="00D37989"/>
    <w:rsid w:val="00D3799E"/>
    <w:rsid w:val="00D37A10"/>
    <w:rsid w:val="00D37B75"/>
    <w:rsid w:val="00D37DA6"/>
    <w:rsid w:val="00D400D8"/>
    <w:rsid w:val="00D4028E"/>
    <w:rsid w:val="00D409C9"/>
    <w:rsid w:val="00D40C1D"/>
    <w:rsid w:val="00D40E1C"/>
    <w:rsid w:val="00D415F6"/>
    <w:rsid w:val="00D417B0"/>
    <w:rsid w:val="00D41E53"/>
    <w:rsid w:val="00D420A6"/>
    <w:rsid w:val="00D421CC"/>
    <w:rsid w:val="00D42743"/>
    <w:rsid w:val="00D42782"/>
    <w:rsid w:val="00D42A56"/>
    <w:rsid w:val="00D42C30"/>
    <w:rsid w:val="00D42C5F"/>
    <w:rsid w:val="00D42E47"/>
    <w:rsid w:val="00D43132"/>
    <w:rsid w:val="00D43598"/>
    <w:rsid w:val="00D435A5"/>
    <w:rsid w:val="00D436A7"/>
    <w:rsid w:val="00D436C5"/>
    <w:rsid w:val="00D437BC"/>
    <w:rsid w:val="00D43C21"/>
    <w:rsid w:val="00D43E61"/>
    <w:rsid w:val="00D43F73"/>
    <w:rsid w:val="00D441CA"/>
    <w:rsid w:val="00D4455B"/>
    <w:rsid w:val="00D445AA"/>
    <w:rsid w:val="00D44C80"/>
    <w:rsid w:val="00D44CEC"/>
    <w:rsid w:val="00D4571A"/>
    <w:rsid w:val="00D45825"/>
    <w:rsid w:val="00D4585A"/>
    <w:rsid w:val="00D459D2"/>
    <w:rsid w:val="00D45BB8"/>
    <w:rsid w:val="00D45C95"/>
    <w:rsid w:val="00D45E45"/>
    <w:rsid w:val="00D465C9"/>
    <w:rsid w:val="00D465ED"/>
    <w:rsid w:val="00D466C1"/>
    <w:rsid w:val="00D4679F"/>
    <w:rsid w:val="00D469AC"/>
    <w:rsid w:val="00D469CB"/>
    <w:rsid w:val="00D46CB6"/>
    <w:rsid w:val="00D46D3F"/>
    <w:rsid w:val="00D471B9"/>
    <w:rsid w:val="00D4769F"/>
    <w:rsid w:val="00D47F85"/>
    <w:rsid w:val="00D47FC6"/>
    <w:rsid w:val="00D5020E"/>
    <w:rsid w:val="00D50810"/>
    <w:rsid w:val="00D5085A"/>
    <w:rsid w:val="00D50A7E"/>
    <w:rsid w:val="00D50C64"/>
    <w:rsid w:val="00D50D50"/>
    <w:rsid w:val="00D50E94"/>
    <w:rsid w:val="00D51253"/>
    <w:rsid w:val="00D51538"/>
    <w:rsid w:val="00D51851"/>
    <w:rsid w:val="00D5203B"/>
    <w:rsid w:val="00D521CC"/>
    <w:rsid w:val="00D52704"/>
    <w:rsid w:val="00D528B6"/>
    <w:rsid w:val="00D52CC9"/>
    <w:rsid w:val="00D52EA4"/>
    <w:rsid w:val="00D5305D"/>
    <w:rsid w:val="00D53222"/>
    <w:rsid w:val="00D53845"/>
    <w:rsid w:val="00D53FA0"/>
    <w:rsid w:val="00D53FC2"/>
    <w:rsid w:val="00D5438C"/>
    <w:rsid w:val="00D544A0"/>
    <w:rsid w:val="00D54718"/>
    <w:rsid w:val="00D54FE4"/>
    <w:rsid w:val="00D5506D"/>
    <w:rsid w:val="00D55811"/>
    <w:rsid w:val="00D55B0F"/>
    <w:rsid w:val="00D5612C"/>
    <w:rsid w:val="00D566E1"/>
    <w:rsid w:val="00D56CE2"/>
    <w:rsid w:val="00D56E42"/>
    <w:rsid w:val="00D56F1C"/>
    <w:rsid w:val="00D56FDE"/>
    <w:rsid w:val="00D56FE4"/>
    <w:rsid w:val="00D570C3"/>
    <w:rsid w:val="00D57369"/>
    <w:rsid w:val="00D5736B"/>
    <w:rsid w:val="00D57864"/>
    <w:rsid w:val="00D57B98"/>
    <w:rsid w:val="00D603EC"/>
    <w:rsid w:val="00D60431"/>
    <w:rsid w:val="00D605BF"/>
    <w:rsid w:val="00D606A7"/>
    <w:rsid w:val="00D60D3C"/>
    <w:rsid w:val="00D60DCA"/>
    <w:rsid w:val="00D61168"/>
    <w:rsid w:val="00D6118A"/>
    <w:rsid w:val="00D61740"/>
    <w:rsid w:val="00D61D71"/>
    <w:rsid w:val="00D620F3"/>
    <w:rsid w:val="00D62121"/>
    <w:rsid w:val="00D6215A"/>
    <w:rsid w:val="00D6236D"/>
    <w:rsid w:val="00D628B5"/>
    <w:rsid w:val="00D62C2C"/>
    <w:rsid w:val="00D62D44"/>
    <w:rsid w:val="00D62FAA"/>
    <w:rsid w:val="00D6333A"/>
    <w:rsid w:val="00D633C3"/>
    <w:rsid w:val="00D6375F"/>
    <w:rsid w:val="00D63A52"/>
    <w:rsid w:val="00D63CD7"/>
    <w:rsid w:val="00D63D80"/>
    <w:rsid w:val="00D63D8E"/>
    <w:rsid w:val="00D63E6A"/>
    <w:rsid w:val="00D63E6E"/>
    <w:rsid w:val="00D6403C"/>
    <w:rsid w:val="00D64172"/>
    <w:rsid w:val="00D64278"/>
    <w:rsid w:val="00D643F1"/>
    <w:rsid w:val="00D64921"/>
    <w:rsid w:val="00D64BD3"/>
    <w:rsid w:val="00D64C21"/>
    <w:rsid w:val="00D64FC6"/>
    <w:rsid w:val="00D65276"/>
    <w:rsid w:val="00D658E5"/>
    <w:rsid w:val="00D65946"/>
    <w:rsid w:val="00D65FA2"/>
    <w:rsid w:val="00D6642B"/>
    <w:rsid w:val="00D66662"/>
    <w:rsid w:val="00D667AF"/>
    <w:rsid w:val="00D6686F"/>
    <w:rsid w:val="00D67616"/>
    <w:rsid w:val="00D678FE"/>
    <w:rsid w:val="00D67961"/>
    <w:rsid w:val="00D67A58"/>
    <w:rsid w:val="00D67A93"/>
    <w:rsid w:val="00D67C57"/>
    <w:rsid w:val="00D70311"/>
    <w:rsid w:val="00D704B9"/>
    <w:rsid w:val="00D70717"/>
    <w:rsid w:val="00D70775"/>
    <w:rsid w:val="00D70986"/>
    <w:rsid w:val="00D70CC9"/>
    <w:rsid w:val="00D70CE8"/>
    <w:rsid w:val="00D70FEC"/>
    <w:rsid w:val="00D71945"/>
    <w:rsid w:val="00D72468"/>
    <w:rsid w:val="00D72BC2"/>
    <w:rsid w:val="00D7314C"/>
    <w:rsid w:val="00D735AC"/>
    <w:rsid w:val="00D73C1E"/>
    <w:rsid w:val="00D7402E"/>
    <w:rsid w:val="00D7439C"/>
    <w:rsid w:val="00D74BF0"/>
    <w:rsid w:val="00D74CAB"/>
    <w:rsid w:val="00D74CEC"/>
    <w:rsid w:val="00D74E4C"/>
    <w:rsid w:val="00D74EF9"/>
    <w:rsid w:val="00D756A2"/>
    <w:rsid w:val="00D75AA3"/>
    <w:rsid w:val="00D75AD5"/>
    <w:rsid w:val="00D75C3D"/>
    <w:rsid w:val="00D75D96"/>
    <w:rsid w:val="00D75F58"/>
    <w:rsid w:val="00D760C9"/>
    <w:rsid w:val="00D76925"/>
    <w:rsid w:val="00D76BDA"/>
    <w:rsid w:val="00D76C5E"/>
    <w:rsid w:val="00D779B6"/>
    <w:rsid w:val="00D77D38"/>
    <w:rsid w:val="00D77F7E"/>
    <w:rsid w:val="00D8016C"/>
    <w:rsid w:val="00D805AF"/>
    <w:rsid w:val="00D80674"/>
    <w:rsid w:val="00D80899"/>
    <w:rsid w:val="00D80A06"/>
    <w:rsid w:val="00D80AA9"/>
    <w:rsid w:val="00D80DF9"/>
    <w:rsid w:val="00D811E6"/>
    <w:rsid w:val="00D81525"/>
    <w:rsid w:val="00D81B92"/>
    <w:rsid w:val="00D81FF0"/>
    <w:rsid w:val="00D82384"/>
    <w:rsid w:val="00D8288C"/>
    <w:rsid w:val="00D82A0C"/>
    <w:rsid w:val="00D82CBC"/>
    <w:rsid w:val="00D82F3C"/>
    <w:rsid w:val="00D836BB"/>
    <w:rsid w:val="00D837BD"/>
    <w:rsid w:val="00D83858"/>
    <w:rsid w:val="00D83AA9"/>
    <w:rsid w:val="00D83EB3"/>
    <w:rsid w:val="00D83F63"/>
    <w:rsid w:val="00D84670"/>
    <w:rsid w:val="00D84735"/>
    <w:rsid w:val="00D84DA6"/>
    <w:rsid w:val="00D84F0A"/>
    <w:rsid w:val="00D850B2"/>
    <w:rsid w:val="00D850E4"/>
    <w:rsid w:val="00D85F37"/>
    <w:rsid w:val="00D85F64"/>
    <w:rsid w:val="00D85F9B"/>
    <w:rsid w:val="00D866A2"/>
    <w:rsid w:val="00D86AEC"/>
    <w:rsid w:val="00D86BEA"/>
    <w:rsid w:val="00D86D1E"/>
    <w:rsid w:val="00D86F70"/>
    <w:rsid w:val="00D87121"/>
    <w:rsid w:val="00D877FD"/>
    <w:rsid w:val="00D878A9"/>
    <w:rsid w:val="00D87F6F"/>
    <w:rsid w:val="00D900D9"/>
    <w:rsid w:val="00D90807"/>
    <w:rsid w:val="00D90872"/>
    <w:rsid w:val="00D90ACA"/>
    <w:rsid w:val="00D90ACB"/>
    <w:rsid w:val="00D912A1"/>
    <w:rsid w:val="00D9165F"/>
    <w:rsid w:val="00D918ED"/>
    <w:rsid w:val="00D91CE8"/>
    <w:rsid w:val="00D9228F"/>
    <w:rsid w:val="00D92369"/>
    <w:rsid w:val="00D923EA"/>
    <w:rsid w:val="00D9267C"/>
    <w:rsid w:val="00D92D36"/>
    <w:rsid w:val="00D932CD"/>
    <w:rsid w:val="00D9365B"/>
    <w:rsid w:val="00D93BB3"/>
    <w:rsid w:val="00D94701"/>
    <w:rsid w:val="00D9470D"/>
    <w:rsid w:val="00D94958"/>
    <w:rsid w:val="00D94DCD"/>
    <w:rsid w:val="00D95091"/>
    <w:rsid w:val="00D95BF3"/>
    <w:rsid w:val="00D967F5"/>
    <w:rsid w:val="00D968E5"/>
    <w:rsid w:val="00D96A96"/>
    <w:rsid w:val="00D96E3D"/>
    <w:rsid w:val="00D97741"/>
    <w:rsid w:val="00D977DC"/>
    <w:rsid w:val="00D97A16"/>
    <w:rsid w:val="00D97EEF"/>
    <w:rsid w:val="00DA01CA"/>
    <w:rsid w:val="00DA0208"/>
    <w:rsid w:val="00DA0362"/>
    <w:rsid w:val="00DA0A58"/>
    <w:rsid w:val="00DA0DF9"/>
    <w:rsid w:val="00DA1C2F"/>
    <w:rsid w:val="00DA1DD6"/>
    <w:rsid w:val="00DA23E7"/>
    <w:rsid w:val="00DA243B"/>
    <w:rsid w:val="00DA27B3"/>
    <w:rsid w:val="00DA2816"/>
    <w:rsid w:val="00DA2A00"/>
    <w:rsid w:val="00DA2A0B"/>
    <w:rsid w:val="00DA2A5A"/>
    <w:rsid w:val="00DA322D"/>
    <w:rsid w:val="00DA3414"/>
    <w:rsid w:val="00DA37CA"/>
    <w:rsid w:val="00DA3B6E"/>
    <w:rsid w:val="00DA3D14"/>
    <w:rsid w:val="00DA3DE9"/>
    <w:rsid w:val="00DA3EA1"/>
    <w:rsid w:val="00DA3F4A"/>
    <w:rsid w:val="00DA45A6"/>
    <w:rsid w:val="00DA493C"/>
    <w:rsid w:val="00DA4FF9"/>
    <w:rsid w:val="00DA58DE"/>
    <w:rsid w:val="00DA594D"/>
    <w:rsid w:val="00DA59C8"/>
    <w:rsid w:val="00DA5CDA"/>
    <w:rsid w:val="00DA5D01"/>
    <w:rsid w:val="00DA60E8"/>
    <w:rsid w:val="00DA61B2"/>
    <w:rsid w:val="00DA63E5"/>
    <w:rsid w:val="00DA6ADF"/>
    <w:rsid w:val="00DA6C34"/>
    <w:rsid w:val="00DA6CA7"/>
    <w:rsid w:val="00DA6D27"/>
    <w:rsid w:val="00DA6DEF"/>
    <w:rsid w:val="00DA6EB7"/>
    <w:rsid w:val="00DA70F9"/>
    <w:rsid w:val="00DA722D"/>
    <w:rsid w:val="00DA78D3"/>
    <w:rsid w:val="00DA7FAC"/>
    <w:rsid w:val="00DB001D"/>
    <w:rsid w:val="00DB00CB"/>
    <w:rsid w:val="00DB0154"/>
    <w:rsid w:val="00DB0271"/>
    <w:rsid w:val="00DB0925"/>
    <w:rsid w:val="00DB0B03"/>
    <w:rsid w:val="00DB0B1D"/>
    <w:rsid w:val="00DB0B25"/>
    <w:rsid w:val="00DB0B8D"/>
    <w:rsid w:val="00DB0BBF"/>
    <w:rsid w:val="00DB0C86"/>
    <w:rsid w:val="00DB0EC2"/>
    <w:rsid w:val="00DB0FE8"/>
    <w:rsid w:val="00DB140F"/>
    <w:rsid w:val="00DB17DB"/>
    <w:rsid w:val="00DB17E5"/>
    <w:rsid w:val="00DB1922"/>
    <w:rsid w:val="00DB1CC8"/>
    <w:rsid w:val="00DB1CF2"/>
    <w:rsid w:val="00DB1D44"/>
    <w:rsid w:val="00DB1E0A"/>
    <w:rsid w:val="00DB2774"/>
    <w:rsid w:val="00DB2AFC"/>
    <w:rsid w:val="00DB31BD"/>
    <w:rsid w:val="00DB31D8"/>
    <w:rsid w:val="00DB32E1"/>
    <w:rsid w:val="00DB37B8"/>
    <w:rsid w:val="00DB37E4"/>
    <w:rsid w:val="00DB3932"/>
    <w:rsid w:val="00DB3A18"/>
    <w:rsid w:val="00DB40A2"/>
    <w:rsid w:val="00DB4275"/>
    <w:rsid w:val="00DB4821"/>
    <w:rsid w:val="00DB48DA"/>
    <w:rsid w:val="00DB4A01"/>
    <w:rsid w:val="00DB4AF9"/>
    <w:rsid w:val="00DB4F2A"/>
    <w:rsid w:val="00DB55A5"/>
    <w:rsid w:val="00DB5A8F"/>
    <w:rsid w:val="00DB5B80"/>
    <w:rsid w:val="00DB5D11"/>
    <w:rsid w:val="00DB5E29"/>
    <w:rsid w:val="00DB60B0"/>
    <w:rsid w:val="00DB625A"/>
    <w:rsid w:val="00DB6631"/>
    <w:rsid w:val="00DB67D1"/>
    <w:rsid w:val="00DB699E"/>
    <w:rsid w:val="00DB6C56"/>
    <w:rsid w:val="00DB6E4E"/>
    <w:rsid w:val="00DB72AB"/>
    <w:rsid w:val="00DB7494"/>
    <w:rsid w:val="00DB7801"/>
    <w:rsid w:val="00DB79FF"/>
    <w:rsid w:val="00DB7BD6"/>
    <w:rsid w:val="00DB7D04"/>
    <w:rsid w:val="00DC092F"/>
    <w:rsid w:val="00DC1773"/>
    <w:rsid w:val="00DC1E65"/>
    <w:rsid w:val="00DC2030"/>
    <w:rsid w:val="00DC2704"/>
    <w:rsid w:val="00DC2A93"/>
    <w:rsid w:val="00DC2D6A"/>
    <w:rsid w:val="00DC2D8D"/>
    <w:rsid w:val="00DC2E81"/>
    <w:rsid w:val="00DC31EE"/>
    <w:rsid w:val="00DC3554"/>
    <w:rsid w:val="00DC3596"/>
    <w:rsid w:val="00DC3598"/>
    <w:rsid w:val="00DC36BF"/>
    <w:rsid w:val="00DC3D3C"/>
    <w:rsid w:val="00DC3D4C"/>
    <w:rsid w:val="00DC3E95"/>
    <w:rsid w:val="00DC41F8"/>
    <w:rsid w:val="00DC43E9"/>
    <w:rsid w:val="00DC456C"/>
    <w:rsid w:val="00DC4AE4"/>
    <w:rsid w:val="00DC4AEA"/>
    <w:rsid w:val="00DC515D"/>
    <w:rsid w:val="00DC5362"/>
    <w:rsid w:val="00DC53A1"/>
    <w:rsid w:val="00DC569F"/>
    <w:rsid w:val="00DC581D"/>
    <w:rsid w:val="00DC5E67"/>
    <w:rsid w:val="00DC63DE"/>
    <w:rsid w:val="00DC6628"/>
    <w:rsid w:val="00DC6743"/>
    <w:rsid w:val="00DC6871"/>
    <w:rsid w:val="00DC6907"/>
    <w:rsid w:val="00DC6989"/>
    <w:rsid w:val="00DC6990"/>
    <w:rsid w:val="00DC726C"/>
    <w:rsid w:val="00DC73C5"/>
    <w:rsid w:val="00DC73C6"/>
    <w:rsid w:val="00DC773D"/>
    <w:rsid w:val="00DC79F7"/>
    <w:rsid w:val="00DC7ABD"/>
    <w:rsid w:val="00DC7B53"/>
    <w:rsid w:val="00DC7DD8"/>
    <w:rsid w:val="00DC7E40"/>
    <w:rsid w:val="00DC7F16"/>
    <w:rsid w:val="00DD00F6"/>
    <w:rsid w:val="00DD0ADA"/>
    <w:rsid w:val="00DD0EEB"/>
    <w:rsid w:val="00DD101D"/>
    <w:rsid w:val="00DD11AC"/>
    <w:rsid w:val="00DD181B"/>
    <w:rsid w:val="00DD1A59"/>
    <w:rsid w:val="00DD1DC1"/>
    <w:rsid w:val="00DD234D"/>
    <w:rsid w:val="00DD2569"/>
    <w:rsid w:val="00DD25E6"/>
    <w:rsid w:val="00DD26EA"/>
    <w:rsid w:val="00DD2B03"/>
    <w:rsid w:val="00DD2EE9"/>
    <w:rsid w:val="00DD327F"/>
    <w:rsid w:val="00DD3297"/>
    <w:rsid w:val="00DD351E"/>
    <w:rsid w:val="00DD366B"/>
    <w:rsid w:val="00DD36A5"/>
    <w:rsid w:val="00DD376D"/>
    <w:rsid w:val="00DD3873"/>
    <w:rsid w:val="00DD3944"/>
    <w:rsid w:val="00DD3A36"/>
    <w:rsid w:val="00DD3A94"/>
    <w:rsid w:val="00DD3CD0"/>
    <w:rsid w:val="00DD3DCC"/>
    <w:rsid w:val="00DD3EC2"/>
    <w:rsid w:val="00DD413D"/>
    <w:rsid w:val="00DD42D7"/>
    <w:rsid w:val="00DD446B"/>
    <w:rsid w:val="00DD45FC"/>
    <w:rsid w:val="00DD4621"/>
    <w:rsid w:val="00DD4689"/>
    <w:rsid w:val="00DD46CF"/>
    <w:rsid w:val="00DD496B"/>
    <w:rsid w:val="00DD4DD0"/>
    <w:rsid w:val="00DD543B"/>
    <w:rsid w:val="00DD55B2"/>
    <w:rsid w:val="00DD55EA"/>
    <w:rsid w:val="00DD5603"/>
    <w:rsid w:val="00DD5656"/>
    <w:rsid w:val="00DD587D"/>
    <w:rsid w:val="00DD59F1"/>
    <w:rsid w:val="00DD5E2B"/>
    <w:rsid w:val="00DD609B"/>
    <w:rsid w:val="00DD60DF"/>
    <w:rsid w:val="00DD6215"/>
    <w:rsid w:val="00DD6480"/>
    <w:rsid w:val="00DD695B"/>
    <w:rsid w:val="00DD6B00"/>
    <w:rsid w:val="00DD6EBD"/>
    <w:rsid w:val="00DD7056"/>
    <w:rsid w:val="00DD71E4"/>
    <w:rsid w:val="00DD7222"/>
    <w:rsid w:val="00DD7A45"/>
    <w:rsid w:val="00DD7C59"/>
    <w:rsid w:val="00DD7D92"/>
    <w:rsid w:val="00DD7DC4"/>
    <w:rsid w:val="00DD7E57"/>
    <w:rsid w:val="00DE024A"/>
    <w:rsid w:val="00DE0454"/>
    <w:rsid w:val="00DE0497"/>
    <w:rsid w:val="00DE0544"/>
    <w:rsid w:val="00DE0693"/>
    <w:rsid w:val="00DE07A0"/>
    <w:rsid w:val="00DE0A45"/>
    <w:rsid w:val="00DE0B83"/>
    <w:rsid w:val="00DE0BF6"/>
    <w:rsid w:val="00DE0F6A"/>
    <w:rsid w:val="00DE0F87"/>
    <w:rsid w:val="00DE14E5"/>
    <w:rsid w:val="00DE1503"/>
    <w:rsid w:val="00DE1762"/>
    <w:rsid w:val="00DE1C63"/>
    <w:rsid w:val="00DE1CA7"/>
    <w:rsid w:val="00DE237D"/>
    <w:rsid w:val="00DE245A"/>
    <w:rsid w:val="00DE29CA"/>
    <w:rsid w:val="00DE2A8B"/>
    <w:rsid w:val="00DE2F31"/>
    <w:rsid w:val="00DE30C8"/>
    <w:rsid w:val="00DE335A"/>
    <w:rsid w:val="00DE3522"/>
    <w:rsid w:val="00DE35D3"/>
    <w:rsid w:val="00DE368D"/>
    <w:rsid w:val="00DE3723"/>
    <w:rsid w:val="00DE39F5"/>
    <w:rsid w:val="00DE3A12"/>
    <w:rsid w:val="00DE3E3D"/>
    <w:rsid w:val="00DE4229"/>
    <w:rsid w:val="00DE422F"/>
    <w:rsid w:val="00DE427E"/>
    <w:rsid w:val="00DE42FE"/>
    <w:rsid w:val="00DE4C04"/>
    <w:rsid w:val="00DE4EE8"/>
    <w:rsid w:val="00DE4F20"/>
    <w:rsid w:val="00DE503B"/>
    <w:rsid w:val="00DE5380"/>
    <w:rsid w:val="00DE53F8"/>
    <w:rsid w:val="00DE57DD"/>
    <w:rsid w:val="00DE5A7D"/>
    <w:rsid w:val="00DE5E56"/>
    <w:rsid w:val="00DE60A5"/>
    <w:rsid w:val="00DE6482"/>
    <w:rsid w:val="00DE6515"/>
    <w:rsid w:val="00DE656C"/>
    <w:rsid w:val="00DE6715"/>
    <w:rsid w:val="00DE68C0"/>
    <w:rsid w:val="00DE6CA6"/>
    <w:rsid w:val="00DE6F9E"/>
    <w:rsid w:val="00DE7001"/>
    <w:rsid w:val="00DE72E5"/>
    <w:rsid w:val="00DE73E8"/>
    <w:rsid w:val="00DE79CD"/>
    <w:rsid w:val="00DE7A5B"/>
    <w:rsid w:val="00DE7CC3"/>
    <w:rsid w:val="00DE7EBF"/>
    <w:rsid w:val="00DF01C0"/>
    <w:rsid w:val="00DF0328"/>
    <w:rsid w:val="00DF040F"/>
    <w:rsid w:val="00DF0661"/>
    <w:rsid w:val="00DF16A9"/>
    <w:rsid w:val="00DF179C"/>
    <w:rsid w:val="00DF1A70"/>
    <w:rsid w:val="00DF1D33"/>
    <w:rsid w:val="00DF2157"/>
    <w:rsid w:val="00DF21D1"/>
    <w:rsid w:val="00DF23C1"/>
    <w:rsid w:val="00DF28C0"/>
    <w:rsid w:val="00DF2D45"/>
    <w:rsid w:val="00DF2E6F"/>
    <w:rsid w:val="00DF2FA9"/>
    <w:rsid w:val="00DF35F8"/>
    <w:rsid w:val="00DF3780"/>
    <w:rsid w:val="00DF3949"/>
    <w:rsid w:val="00DF3DE1"/>
    <w:rsid w:val="00DF3E97"/>
    <w:rsid w:val="00DF412D"/>
    <w:rsid w:val="00DF467A"/>
    <w:rsid w:val="00DF472E"/>
    <w:rsid w:val="00DF47E3"/>
    <w:rsid w:val="00DF4A02"/>
    <w:rsid w:val="00DF4B0E"/>
    <w:rsid w:val="00DF5197"/>
    <w:rsid w:val="00DF5227"/>
    <w:rsid w:val="00DF52E1"/>
    <w:rsid w:val="00DF540A"/>
    <w:rsid w:val="00DF5A19"/>
    <w:rsid w:val="00DF5ABA"/>
    <w:rsid w:val="00DF6D61"/>
    <w:rsid w:val="00DF6E84"/>
    <w:rsid w:val="00DF7142"/>
    <w:rsid w:val="00DF74B6"/>
    <w:rsid w:val="00DF7575"/>
    <w:rsid w:val="00DF791F"/>
    <w:rsid w:val="00DF795C"/>
    <w:rsid w:val="00DF7D68"/>
    <w:rsid w:val="00DF7EAF"/>
    <w:rsid w:val="00E003FD"/>
    <w:rsid w:val="00E00407"/>
    <w:rsid w:val="00E00473"/>
    <w:rsid w:val="00E0093D"/>
    <w:rsid w:val="00E00F48"/>
    <w:rsid w:val="00E0128A"/>
    <w:rsid w:val="00E01771"/>
    <w:rsid w:val="00E02080"/>
    <w:rsid w:val="00E02086"/>
    <w:rsid w:val="00E0216B"/>
    <w:rsid w:val="00E02437"/>
    <w:rsid w:val="00E024FE"/>
    <w:rsid w:val="00E0277D"/>
    <w:rsid w:val="00E02820"/>
    <w:rsid w:val="00E02AEA"/>
    <w:rsid w:val="00E02E0E"/>
    <w:rsid w:val="00E03AE3"/>
    <w:rsid w:val="00E0400D"/>
    <w:rsid w:val="00E04184"/>
    <w:rsid w:val="00E041B6"/>
    <w:rsid w:val="00E042FC"/>
    <w:rsid w:val="00E04403"/>
    <w:rsid w:val="00E0471F"/>
    <w:rsid w:val="00E04897"/>
    <w:rsid w:val="00E04936"/>
    <w:rsid w:val="00E04FE5"/>
    <w:rsid w:val="00E05356"/>
    <w:rsid w:val="00E055F1"/>
    <w:rsid w:val="00E05662"/>
    <w:rsid w:val="00E05695"/>
    <w:rsid w:val="00E056F5"/>
    <w:rsid w:val="00E057A0"/>
    <w:rsid w:val="00E05F02"/>
    <w:rsid w:val="00E05F18"/>
    <w:rsid w:val="00E05F31"/>
    <w:rsid w:val="00E05F9F"/>
    <w:rsid w:val="00E0603D"/>
    <w:rsid w:val="00E063CB"/>
    <w:rsid w:val="00E0642C"/>
    <w:rsid w:val="00E06648"/>
    <w:rsid w:val="00E06911"/>
    <w:rsid w:val="00E06B09"/>
    <w:rsid w:val="00E06C32"/>
    <w:rsid w:val="00E06C8F"/>
    <w:rsid w:val="00E0744F"/>
    <w:rsid w:val="00E0749C"/>
    <w:rsid w:val="00E075AA"/>
    <w:rsid w:val="00E076D5"/>
    <w:rsid w:val="00E07A49"/>
    <w:rsid w:val="00E07A60"/>
    <w:rsid w:val="00E1002C"/>
    <w:rsid w:val="00E10234"/>
    <w:rsid w:val="00E10505"/>
    <w:rsid w:val="00E10B0B"/>
    <w:rsid w:val="00E10D4F"/>
    <w:rsid w:val="00E10DA6"/>
    <w:rsid w:val="00E11198"/>
    <w:rsid w:val="00E1127B"/>
    <w:rsid w:val="00E112A5"/>
    <w:rsid w:val="00E113E9"/>
    <w:rsid w:val="00E116EC"/>
    <w:rsid w:val="00E11836"/>
    <w:rsid w:val="00E1190F"/>
    <w:rsid w:val="00E11AF6"/>
    <w:rsid w:val="00E1307E"/>
    <w:rsid w:val="00E13260"/>
    <w:rsid w:val="00E132C8"/>
    <w:rsid w:val="00E133CB"/>
    <w:rsid w:val="00E1380D"/>
    <w:rsid w:val="00E1399B"/>
    <w:rsid w:val="00E139D2"/>
    <w:rsid w:val="00E13B63"/>
    <w:rsid w:val="00E13BE9"/>
    <w:rsid w:val="00E1459E"/>
    <w:rsid w:val="00E14BDD"/>
    <w:rsid w:val="00E14FCC"/>
    <w:rsid w:val="00E1513C"/>
    <w:rsid w:val="00E1524A"/>
    <w:rsid w:val="00E154CC"/>
    <w:rsid w:val="00E15A5D"/>
    <w:rsid w:val="00E15BD9"/>
    <w:rsid w:val="00E15D1C"/>
    <w:rsid w:val="00E160F5"/>
    <w:rsid w:val="00E1617A"/>
    <w:rsid w:val="00E16242"/>
    <w:rsid w:val="00E163F6"/>
    <w:rsid w:val="00E16690"/>
    <w:rsid w:val="00E1676E"/>
    <w:rsid w:val="00E16D8B"/>
    <w:rsid w:val="00E16EC7"/>
    <w:rsid w:val="00E16ECE"/>
    <w:rsid w:val="00E16F20"/>
    <w:rsid w:val="00E1735C"/>
    <w:rsid w:val="00E17B36"/>
    <w:rsid w:val="00E20072"/>
    <w:rsid w:val="00E20090"/>
    <w:rsid w:val="00E2026A"/>
    <w:rsid w:val="00E20419"/>
    <w:rsid w:val="00E20533"/>
    <w:rsid w:val="00E2077A"/>
    <w:rsid w:val="00E20784"/>
    <w:rsid w:val="00E20B36"/>
    <w:rsid w:val="00E20DD1"/>
    <w:rsid w:val="00E212C3"/>
    <w:rsid w:val="00E2149F"/>
    <w:rsid w:val="00E214FB"/>
    <w:rsid w:val="00E2163E"/>
    <w:rsid w:val="00E21830"/>
    <w:rsid w:val="00E2197B"/>
    <w:rsid w:val="00E22476"/>
    <w:rsid w:val="00E22A56"/>
    <w:rsid w:val="00E22B3C"/>
    <w:rsid w:val="00E22F60"/>
    <w:rsid w:val="00E23771"/>
    <w:rsid w:val="00E239F5"/>
    <w:rsid w:val="00E23BD4"/>
    <w:rsid w:val="00E23F2B"/>
    <w:rsid w:val="00E24067"/>
    <w:rsid w:val="00E242F4"/>
    <w:rsid w:val="00E243EF"/>
    <w:rsid w:val="00E244B9"/>
    <w:rsid w:val="00E247A6"/>
    <w:rsid w:val="00E24AB0"/>
    <w:rsid w:val="00E24AD2"/>
    <w:rsid w:val="00E24F11"/>
    <w:rsid w:val="00E254B5"/>
    <w:rsid w:val="00E255C5"/>
    <w:rsid w:val="00E2594D"/>
    <w:rsid w:val="00E25ABA"/>
    <w:rsid w:val="00E2621A"/>
    <w:rsid w:val="00E265F0"/>
    <w:rsid w:val="00E2695C"/>
    <w:rsid w:val="00E27048"/>
    <w:rsid w:val="00E270D0"/>
    <w:rsid w:val="00E2710C"/>
    <w:rsid w:val="00E271C5"/>
    <w:rsid w:val="00E2722D"/>
    <w:rsid w:val="00E2727E"/>
    <w:rsid w:val="00E27284"/>
    <w:rsid w:val="00E27675"/>
    <w:rsid w:val="00E27886"/>
    <w:rsid w:val="00E27932"/>
    <w:rsid w:val="00E27A73"/>
    <w:rsid w:val="00E27B1C"/>
    <w:rsid w:val="00E27E5E"/>
    <w:rsid w:val="00E3006D"/>
    <w:rsid w:val="00E300BA"/>
    <w:rsid w:val="00E3034A"/>
    <w:rsid w:val="00E304E7"/>
    <w:rsid w:val="00E312A1"/>
    <w:rsid w:val="00E31745"/>
    <w:rsid w:val="00E31DC2"/>
    <w:rsid w:val="00E321C4"/>
    <w:rsid w:val="00E32260"/>
    <w:rsid w:val="00E324EF"/>
    <w:rsid w:val="00E32554"/>
    <w:rsid w:val="00E326DC"/>
    <w:rsid w:val="00E32992"/>
    <w:rsid w:val="00E3299B"/>
    <w:rsid w:val="00E32A6E"/>
    <w:rsid w:val="00E32A9E"/>
    <w:rsid w:val="00E330B1"/>
    <w:rsid w:val="00E33741"/>
    <w:rsid w:val="00E3378B"/>
    <w:rsid w:val="00E33935"/>
    <w:rsid w:val="00E33A7E"/>
    <w:rsid w:val="00E34002"/>
    <w:rsid w:val="00E341E9"/>
    <w:rsid w:val="00E343DD"/>
    <w:rsid w:val="00E3441E"/>
    <w:rsid w:val="00E34692"/>
    <w:rsid w:val="00E34864"/>
    <w:rsid w:val="00E34975"/>
    <w:rsid w:val="00E349D9"/>
    <w:rsid w:val="00E3502E"/>
    <w:rsid w:val="00E35184"/>
    <w:rsid w:val="00E35417"/>
    <w:rsid w:val="00E357AE"/>
    <w:rsid w:val="00E3585F"/>
    <w:rsid w:val="00E358DB"/>
    <w:rsid w:val="00E3593D"/>
    <w:rsid w:val="00E3599F"/>
    <w:rsid w:val="00E35B7B"/>
    <w:rsid w:val="00E36087"/>
    <w:rsid w:val="00E36252"/>
    <w:rsid w:val="00E3662D"/>
    <w:rsid w:val="00E36A28"/>
    <w:rsid w:val="00E36EA1"/>
    <w:rsid w:val="00E3709E"/>
    <w:rsid w:val="00E370B9"/>
    <w:rsid w:val="00E37116"/>
    <w:rsid w:val="00E3735A"/>
    <w:rsid w:val="00E373FB"/>
    <w:rsid w:val="00E3777D"/>
    <w:rsid w:val="00E37C12"/>
    <w:rsid w:val="00E37DE4"/>
    <w:rsid w:val="00E37FEA"/>
    <w:rsid w:val="00E407DB"/>
    <w:rsid w:val="00E40A1F"/>
    <w:rsid w:val="00E40AAD"/>
    <w:rsid w:val="00E40F23"/>
    <w:rsid w:val="00E41136"/>
    <w:rsid w:val="00E41173"/>
    <w:rsid w:val="00E41466"/>
    <w:rsid w:val="00E41698"/>
    <w:rsid w:val="00E41706"/>
    <w:rsid w:val="00E4170F"/>
    <w:rsid w:val="00E417CD"/>
    <w:rsid w:val="00E41979"/>
    <w:rsid w:val="00E41D18"/>
    <w:rsid w:val="00E41E74"/>
    <w:rsid w:val="00E42442"/>
    <w:rsid w:val="00E425DC"/>
    <w:rsid w:val="00E4272D"/>
    <w:rsid w:val="00E42A8A"/>
    <w:rsid w:val="00E42CFD"/>
    <w:rsid w:val="00E42E9B"/>
    <w:rsid w:val="00E43079"/>
    <w:rsid w:val="00E43081"/>
    <w:rsid w:val="00E43117"/>
    <w:rsid w:val="00E4370F"/>
    <w:rsid w:val="00E43757"/>
    <w:rsid w:val="00E43C48"/>
    <w:rsid w:val="00E43C64"/>
    <w:rsid w:val="00E43D1D"/>
    <w:rsid w:val="00E44233"/>
    <w:rsid w:val="00E442EB"/>
    <w:rsid w:val="00E44500"/>
    <w:rsid w:val="00E44865"/>
    <w:rsid w:val="00E44CAB"/>
    <w:rsid w:val="00E44DB5"/>
    <w:rsid w:val="00E4536F"/>
    <w:rsid w:val="00E453D1"/>
    <w:rsid w:val="00E459AA"/>
    <w:rsid w:val="00E45B0D"/>
    <w:rsid w:val="00E45E7D"/>
    <w:rsid w:val="00E462CA"/>
    <w:rsid w:val="00E466A2"/>
    <w:rsid w:val="00E4675F"/>
    <w:rsid w:val="00E4710E"/>
    <w:rsid w:val="00E471C4"/>
    <w:rsid w:val="00E47484"/>
    <w:rsid w:val="00E47D5D"/>
    <w:rsid w:val="00E47E2F"/>
    <w:rsid w:val="00E47EE4"/>
    <w:rsid w:val="00E50149"/>
    <w:rsid w:val="00E50164"/>
    <w:rsid w:val="00E509FD"/>
    <w:rsid w:val="00E50A75"/>
    <w:rsid w:val="00E50A87"/>
    <w:rsid w:val="00E50B06"/>
    <w:rsid w:val="00E50DBE"/>
    <w:rsid w:val="00E50DDA"/>
    <w:rsid w:val="00E51078"/>
    <w:rsid w:val="00E51193"/>
    <w:rsid w:val="00E5131F"/>
    <w:rsid w:val="00E51837"/>
    <w:rsid w:val="00E51D3C"/>
    <w:rsid w:val="00E51E12"/>
    <w:rsid w:val="00E51ED9"/>
    <w:rsid w:val="00E51F2A"/>
    <w:rsid w:val="00E52595"/>
    <w:rsid w:val="00E525B2"/>
    <w:rsid w:val="00E526E7"/>
    <w:rsid w:val="00E52CDA"/>
    <w:rsid w:val="00E52D62"/>
    <w:rsid w:val="00E52F77"/>
    <w:rsid w:val="00E52FBE"/>
    <w:rsid w:val="00E533DB"/>
    <w:rsid w:val="00E533ED"/>
    <w:rsid w:val="00E53A63"/>
    <w:rsid w:val="00E53E28"/>
    <w:rsid w:val="00E53EAA"/>
    <w:rsid w:val="00E53EE7"/>
    <w:rsid w:val="00E540EF"/>
    <w:rsid w:val="00E54178"/>
    <w:rsid w:val="00E54DAF"/>
    <w:rsid w:val="00E55925"/>
    <w:rsid w:val="00E55AB1"/>
    <w:rsid w:val="00E560EE"/>
    <w:rsid w:val="00E5652F"/>
    <w:rsid w:val="00E56748"/>
    <w:rsid w:val="00E56B2B"/>
    <w:rsid w:val="00E56BE5"/>
    <w:rsid w:val="00E56CFD"/>
    <w:rsid w:val="00E56D04"/>
    <w:rsid w:val="00E57059"/>
    <w:rsid w:val="00E57369"/>
    <w:rsid w:val="00E5753D"/>
    <w:rsid w:val="00E576AE"/>
    <w:rsid w:val="00E57A18"/>
    <w:rsid w:val="00E57C9B"/>
    <w:rsid w:val="00E6000D"/>
    <w:rsid w:val="00E60030"/>
    <w:rsid w:val="00E6006D"/>
    <w:rsid w:val="00E601F9"/>
    <w:rsid w:val="00E60523"/>
    <w:rsid w:val="00E606B7"/>
    <w:rsid w:val="00E60B6D"/>
    <w:rsid w:val="00E60DA1"/>
    <w:rsid w:val="00E60E61"/>
    <w:rsid w:val="00E60EE8"/>
    <w:rsid w:val="00E61E2C"/>
    <w:rsid w:val="00E61EA2"/>
    <w:rsid w:val="00E62095"/>
    <w:rsid w:val="00E621B4"/>
    <w:rsid w:val="00E6228D"/>
    <w:rsid w:val="00E626B4"/>
    <w:rsid w:val="00E626C1"/>
    <w:rsid w:val="00E62707"/>
    <w:rsid w:val="00E6277E"/>
    <w:rsid w:val="00E6278C"/>
    <w:rsid w:val="00E629D6"/>
    <w:rsid w:val="00E630BA"/>
    <w:rsid w:val="00E635AB"/>
    <w:rsid w:val="00E63955"/>
    <w:rsid w:val="00E639E8"/>
    <w:rsid w:val="00E63CD9"/>
    <w:rsid w:val="00E641AB"/>
    <w:rsid w:val="00E64549"/>
    <w:rsid w:val="00E6469E"/>
    <w:rsid w:val="00E65045"/>
    <w:rsid w:val="00E6516E"/>
    <w:rsid w:val="00E65895"/>
    <w:rsid w:val="00E65EB5"/>
    <w:rsid w:val="00E65FD9"/>
    <w:rsid w:val="00E6602B"/>
    <w:rsid w:val="00E66119"/>
    <w:rsid w:val="00E66148"/>
    <w:rsid w:val="00E6616F"/>
    <w:rsid w:val="00E6617E"/>
    <w:rsid w:val="00E661AE"/>
    <w:rsid w:val="00E66652"/>
    <w:rsid w:val="00E66A17"/>
    <w:rsid w:val="00E66A76"/>
    <w:rsid w:val="00E66B2D"/>
    <w:rsid w:val="00E66C69"/>
    <w:rsid w:val="00E67111"/>
    <w:rsid w:val="00E67237"/>
    <w:rsid w:val="00E674A9"/>
    <w:rsid w:val="00E6784C"/>
    <w:rsid w:val="00E678AA"/>
    <w:rsid w:val="00E678EA"/>
    <w:rsid w:val="00E67A62"/>
    <w:rsid w:val="00E67A82"/>
    <w:rsid w:val="00E67BA9"/>
    <w:rsid w:val="00E67BC1"/>
    <w:rsid w:val="00E67D27"/>
    <w:rsid w:val="00E67E2B"/>
    <w:rsid w:val="00E67F63"/>
    <w:rsid w:val="00E67FC8"/>
    <w:rsid w:val="00E70843"/>
    <w:rsid w:val="00E708F6"/>
    <w:rsid w:val="00E70C84"/>
    <w:rsid w:val="00E70F2B"/>
    <w:rsid w:val="00E71118"/>
    <w:rsid w:val="00E7113E"/>
    <w:rsid w:val="00E71161"/>
    <w:rsid w:val="00E712F9"/>
    <w:rsid w:val="00E71785"/>
    <w:rsid w:val="00E71EA4"/>
    <w:rsid w:val="00E722A7"/>
    <w:rsid w:val="00E729E7"/>
    <w:rsid w:val="00E72D60"/>
    <w:rsid w:val="00E72F43"/>
    <w:rsid w:val="00E7301F"/>
    <w:rsid w:val="00E73972"/>
    <w:rsid w:val="00E7429F"/>
    <w:rsid w:val="00E74884"/>
    <w:rsid w:val="00E748EF"/>
    <w:rsid w:val="00E749AC"/>
    <w:rsid w:val="00E74DC7"/>
    <w:rsid w:val="00E7512A"/>
    <w:rsid w:val="00E7578B"/>
    <w:rsid w:val="00E7583C"/>
    <w:rsid w:val="00E75AC9"/>
    <w:rsid w:val="00E75B6D"/>
    <w:rsid w:val="00E75F32"/>
    <w:rsid w:val="00E760AE"/>
    <w:rsid w:val="00E764DC"/>
    <w:rsid w:val="00E7718D"/>
    <w:rsid w:val="00E7729C"/>
    <w:rsid w:val="00E779BE"/>
    <w:rsid w:val="00E77A03"/>
    <w:rsid w:val="00E77A67"/>
    <w:rsid w:val="00E77CB9"/>
    <w:rsid w:val="00E77D26"/>
    <w:rsid w:val="00E77DFC"/>
    <w:rsid w:val="00E80050"/>
    <w:rsid w:val="00E806DF"/>
    <w:rsid w:val="00E807A4"/>
    <w:rsid w:val="00E80B4B"/>
    <w:rsid w:val="00E80E32"/>
    <w:rsid w:val="00E80E7D"/>
    <w:rsid w:val="00E80FD4"/>
    <w:rsid w:val="00E811B0"/>
    <w:rsid w:val="00E811F7"/>
    <w:rsid w:val="00E815F2"/>
    <w:rsid w:val="00E81D0F"/>
    <w:rsid w:val="00E82AEB"/>
    <w:rsid w:val="00E82C38"/>
    <w:rsid w:val="00E82C9A"/>
    <w:rsid w:val="00E8312A"/>
    <w:rsid w:val="00E8339F"/>
    <w:rsid w:val="00E834CF"/>
    <w:rsid w:val="00E835FB"/>
    <w:rsid w:val="00E84274"/>
    <w:rsid w:val="00E84397"/>
    <w:rsid w:val="00E844D6"/>
    <w:rsid w:val="00E84706"/>
    <w:rsid w:val="00E84872"/>
    <w:rsid w:val="00E84ACE"/>
    <w:rsid w:val="00E84B40"/>
    <w:rsid w:val="00E84EDF"/>
    <w:rsid w:val="00E851AC"/>
    <w:rsid w:val="00E855B2"/>
    <w:rsid w:val="00E856C1"/>
    <w:rsid w:val="00E8594E"/>
    <w:rsid w:val="00E85AA5"/>
    <w:rsid w:val="00E85AE1"/>
    <w:rsid w:val="00E85B8A"/>
    <w:rsid w:val="00E85B98"/>
    <w:rsid w:val="00E85C4A"/>
    <w:rsid w:val="00E85D39"/>
    <w:rsid w:val="00E8608A"/>
    <w:rsid w:val="00E86ADD"/>
    <w:rsid w:val="00E86EB1"/>
    <w:rsid w:val="00E8704D"/>
    <w:rsid w:val="00E87344"/>
    <w:rsid w:val="00E876E3"/>
    <w:rsid w:val="00E877E6"/>
    <w:rsid w:val="00E8780A"/>
    <w:rsid w:val="00E87D74"/>
    <w:rsid w:val="00E87D9E"/>
    <w:rsid w:val="00E87EF9"/>
    <w:rsid w:val="00E9029A"/>
    <w:rsid w:val="00E90508"/>
    <w:rsid w:val="00E90631"/>
    <w:rsid w:val="00E909F8"/>
    <w:rsid w:val="00E91060"/>
    <w:rsid w:val="00E917E7"/>
    <w:rsid w:val="00E919CB"/>
    <w:rsid w:val="00E91C27"/>
    <w:rsid w:val="00E91F1D"/>
    <w:rsid w:val="00E927D0"/>
    <w:rsid w:val="00E92C47"/>
    <w:rsid w:val="00E92E6D"/>
    <w:rsid w:val="00E92EA5"/>
    <w:rsid w:val="00E92F51"/>
    <w:rsid w:val="00E931C4"/>
    <w:rsid w:val="00E933FD"/>
    <w:rsid w:val="00E93449"/>
    <w:rsid w:val="00E9344D"/>
    <w:rsid w:val="00E934EC"/>
    <w:rsid w:val="00E937A7"/>
    <w:rsid w:val="00E93908"/>
    <w:rsid w:val="00E93A62"/>
    <w:rsid w:val="00E93A75"/>
    <w:rsid w:val="00E93FA1"/>
    <w:rsid w:val="00E94264"/>
    <w:rsid w:val="00E942EE"/>
    <w:rsid w:val="00E946BF"/>
    <w:rsid w:val="00E94B59"/>
    <w:rsid w:val="00E94E01"/>
    <w:rsid w:val="00E94FB9"/>
    <w:rsid w:val="00E94FF8"/>
    <w:rsid w:val="00E9515B"/>
    <w:rsid w:val="00E9518D"/>
    <w:rsid w:val="00E952A4"/>
    <w:rsid w:val="00E95315"/>
    <w:rsid w:val="00E95668"/>
    <w:rsid w:val="00E9572D"/>
    <w:rsid w:val="00E9592C"/>
    <w:rsid w:val="00E959CA"/>
    <w:rsid w:val="00E959F5"/>
    <w:rsid w:val="00E95EBA"/>
    <w:rsid w:val="00E96243"/>
    <w:rsid w:val="00E96447"/>
    <w:rsid w:val="00E96552"/>
    <w:rsid w:val="00E9669B"/>
    <w:rsid w:val="00E96979"/>
    <w:rsid w:val="00E96B06"/>
    <w:rsid w:val="00E96BE8"/>
    <w:rsid w:val="00E97039"/>
    <w:rsid w:val="00E97301"/>
    <w:rsid w:val="00E9789A"/>
    <w:rsid w:val="00E97D9B"/>
    <w:rsid w:val="00E97EA7"/>
    <w:rsid w:val="00E97ED4"/>
    <w:rsid w:val="00EA06CB"/>
    <w:rsid w:val="00EA0783"/>
    <w:rsid w:val="00EA0A3A"/>
    <w:rsid w:val="00EA0D09"/>
    <w:rsid w:val="00EA0DB0"/>
    <w:rsid w:val="00EA0DE1"/>
    <w:rsid w:val="00EA1004"/>
    <w:rsid w:val="00EA11A4"/>
    <w:rsid w:val="00EA1244"/>
    <w:rsid w:val="00EA1B39"/>
    <w:rsid w:val="00EA1F26"/>
    <w:rsid w:val="00EA2292"/>
    <w:rsid w:val="00EA2535"/>
    <w:rsid w:val="00EA2744"/>
    <w:rsid w:val="00EA28CF"/>
    <w:rsid w:val="00EA294D"/>
    <w:rsid w:val="00EA2D18"/>
    <w:rsid w:val="00EA34C6"/>
    <w:rsid w:val="00EA36A4"/>
    <w:rsid w:val="00EA39BC"/>
    <w:rsid w:val="00EA4104"/>
    <w:rsid w:val="00EA4384"/>
    <w:rsid w:val="00EA479D"/>
    <w:rsid w:val="00EA4A9D"/>
    <w:rsid w:val="00EA4F04"/>
    <w:rsid w:val="00EA5696"/>
    <w:rsid w:val="00EA57A2"/>
    <w:rsid w:val="00EA5833"/>
    <w:rsid w:val="00EA594C"/>
    <w:rsid w:val="00EA59BF"/>
    <w:rsid w:val="00EA5AE4"/>
    <w:rsid w:val="00EA5EB4"/>
    <w:rsid w:val="00EA62A7"/>
    <w:rsid w:val="00EA66B6"/>
    <w:rsid w:val="00EA6756"/>
    <w:rsid w:val="00EA68C2"/>
    <w:rsid w:val="00EA695C"/>
    <w:rsid w:val="00EA696A"/>
    <w:rsid w:val="00EA70A8"/>
    <w:rsid w:val="00EA74EE"/>
    <w:rsid w:val="00EA7A1A"/>
    <w:rsid w:val="00EA7AA7"/>
    <w:rsid w:val="00EA7D57"/>
    <w:rsid w:val="00EB0AEC"/>
    <w:rsid w:val="00EB0B67"/>
    <w:rsid w:val="00EB103D"/>
    <w:rsid w:val="00EB1209"/>
    <w:rsid w:val="00EB171B"/>
    <w:rsid w:val="00EB18BE"/>
    <w:rsid w:val="00EB1C5B"/>
    <w:rsid w:val="00EB20B1"/>
    <w:rsid w:val="00EB2395"/>
    <w:rsid w:val="00EB2C3D"/>
    <w:rsid w:val="00EB2D0C"/>
    <w:rsid w:val="00EB2F4A"/>
    <w:rsid w:val="00EB3210"/>
    <w:rsid w:val="00EB324B"/>
    <w:rsid w:val="00EB338C"/>
    <w:rsid w:val="00EB4489"/>
    <w:rsid w:val="00EB44AC"/>
    <w:rsid w:val="00EB4549"/>
    <w:rsid w:val="00EB454C"/>
    <w:rsid w:val="00EB46FA"/>
    <w:rsid w:val="00EB474D"/>
    <w:rsid w:val="00EB49EB"/>
    <w:rsid w:val="00EB49EF"/>
    <w:rsid w:val="00EB4B4A"/>
    <w:rsid w:val="00EB4D7A"/>
    <w:rsid w:val="00EB4E46"/>
    <w:rsid w:val="00EB4F39"/>
    <w:rsid w:val="00EB5366"/>
    <w:rsid w:val="00EB5371"/>
    <w:rsid w:val="00EB5390"/>
    <w:rsid w:val="00EB564B"/>
    <w:rsid w:val="00EB56DC"/>
    <w:rsid w:val="00EB5A28"/>
    <w:rsid w:val="00EB5DA3"/>
    <w:rsid w:val="00EB651C"/>
    <w:rsid w:val="00EB6851"/>
    <w:rsid w:val="00EB6B92"/>
    <w:rsid w:val="00EB7207"/>
    <w:rsid w:val="00EB7472"/>
    <w:rsid w:val="00EB7762"/>
    <w:rsid w:val="00EB798E"/>
    <w:rsid w:val="00EB7CD4"/>
    <w:rsid w:val="00EC00FF"/>
    <w:rsid w:val="00EC03CB"/>
    <w:rsid w:val="00EC044C"/>
    <w:rsid w:val="00EC0913"/>
    <w:rsid w:val="00EC0A1D"/>
    <w:rsid w:val="00EC10FB"/>
    <w:rsid w:val="00EC1242"/>
    <w:rsid w:val="00EC135B"/>
    <w:rsid w:val="00EC18F7"/>
    <w:rsid w:val="00EC1B2B"/>
    <w:rsid w:val="00EC1D50"/>
    <w:rsid w:val="00EC1DE0"/>
    <w:rsid w:val="00EC1E87"/>
    <w:rsid w:val="00EC2826"/>
    <w:rsid w:val="00EC2C3F"/>
    <w:rsid w:val="00EC3405"/>
    <w:rsid w:val="00EC3484"/>
    <w:rsid w:val="00EC39B3"/>
    <w:rsid w:val="00EC3A13"/>
    <w:rsid w:val="00EC3B17"/>
    <w:rsid w:val="00EC3D38"/>
    <w:rsid w:val="00EC44FE"/>
    <w:rsid w:val="00EC4C80"/>
    <w:rsid w:val="00EC530D"/>
    <w:rsid w:val="00EC5563"/>
    <w:rsid w:val="00EC59BB"/>
    <w:rsid w:val="00EC61DB"/>
    <w:rsid w:val="00EC63A0"/>
    <w:rsid w:val="00EC65C6"/>
    <w:rsid w:val="00EC668B"/>
    <w:rsid w:val="00EC688A"/>
    <w:rsid w:val="00EC6A66"/>
    <w:rsid w:val="00EC6ABC"/>
    <w:rsid w:val="00EC6BAB"/>
    <w:rsid w:val="00EC6D85"/>
    <w:rsid w:val="00EC6F53"/>
    <w:rsid w:val="00EC71CD"/>
    <w:rsid w:val="00EC72FE"/>
    <w:rsid w:val="00EC751E"/>
    <w:rsid w:val="00EC75D7"/>
    <w:rsid w:val="00EC76F5"/>
    <w:rsid w:val="00EC79F9"/>
    <w:rsid w:val="00EC7C18"/>
    <w:rsid w:val="00EC7EBE"/>
    <w:rsid w:val="00EC7F1D"/>
    <w:rsid w:val="00ED0706"/>
    <w:rsid w:val="00ED0888"/>
    <w:rsid w:val="00ED0BF7"/>
    <w:rsid w:val="00ED0F2E"/>
    <w:rsid w:val="00ED10E5"/>
    <w:rsid w:val="00ED12C3"/>
    <w:rsid w:val="00ED1641"/>
    <w:rsid w:val="00ED1702"/>
    <w:rsid w:val="00ED1890"/>
    <w:rsid w:val="00ED1C14"/>
    <w:rsid w:val="00ED1CFE"/>
    <w:rsid w:val="00ED1DDA"/>
    <w:rsid w:val="00ED1E3A"/>
    <w:rsid w:val="00ED22FB"/>
    <w:rsid w:val="00ED243A"/>
    <w:rsid w:val="00ED2A54"/>
    <w:rsid w:val="00ED2DAF"/>
    <w:rsid w:val="00ED2E5C"/>
    <w:rsid w:val="00ED30A0"/>
    <w:rsid w:val="00ED32AD"/>
    <w:rsid w:val="00ED339B"/>
    <w:rsid w:val="00ED3429"/>
    <w:rsid w:val="00ED3A4E"/>
    <w:rsid w:val="00ED3A4F"/>
    <w:rsid w:val="00ED43DC"/>
    <w:rsid w:val="00ED47CE"/>
    <w:rsid w:val="00ED48F1"/>
    <w:rsid w:val="00ED48FC"/>
    <w:rsid w:val="00ED4F85"/>
    <w:rsid w:val="00ED512B"/>
    <w:rsid w:val="00ED51E7"/>
    <w:rsid w:val="00ED5485"/>
    <w:rsid w:val="00ED5BDD"/>
    <w:rsid w:val="00ED5D52"/>
    <w:rsid w:val="00ED5E32"/>
    <w:rsid w:val="00ED5FE1"/>
    <w:rsid w:val="00ED6053"/>
    <w:rsid w:val="00ED6283"/>
    <w:rsid w:val="00ED62A3"/>
    <w:rsid w:val="00ED62B6"/>
    <w:rsid w:val="00ED64C2"/>
    <w:rsid w:val="00ED65CF"/>
    <w:rsid w:val="00ED6625"/>
    <w:rsid w:val="00ED66FA"/>
    <w:rsid w:val="00ED673B"/>
    <w:rsid w:val="00ED6782"/>
    <w:rsid w:val="00ED6C88"/>
    <w:rsid w:val="00ED774D"/>
    <w:rsid w:val="00ED79DC"/>
    <w:rsid w:val="00ED7B4B"/>
    <w:rsid w:val="00ED7BC3"/>
    <w:rsid w:val="00EE0330"/>
    <w:rsid w:val="00EE0626"/>
    <w:rsid w:val="00EE0E8B"/>
    <w:rsid w:val="00EE0F2B"/>
    <w:rsid w:val="00EE0F5F"/>
    <w:rsid w:val="00EE199B"/>
    <w:rsid w:val="00EE1E00"/>
    <w:rsid w:val="00EE1EA3"/>
    <w:rsid w:val="00EE1F3B"/>
    <w:rsid w:val="00EE2399"/>
    <w:rsid w:val="00EE25A9"/>
    <w:rsid w:val="00EE25BB"/>
    <w:rsid w:val="00EE26F9"/>
    <w:rsid w:val="00EE2C61"/>
    <w:rsid w:val="00EE328C"/>
    <w:rsid w:val="00EE3295"/>
    <w:rsid w:val="00EE32E9"/>
    <w:rsid w:val="00EE3301"/>
    <w:rsid w:val="00EE3315"/>
    <w:rsid w:val="00EE3360"/>
    <w:rsid w:val="00EE337C"/>
    <w:rsid w:val="00EE3D11"/>
    <w:rsid w:val="00EE3DF6"/>
    <w:rsid w:val="00EE3E2D"/>
    <w:rsid w:val="00EE41FF"/>
    <w:rsid w:val="00EE45FF"/>
    <w:rsid w:val="00EE4677"/>
    <w:rsid w:val="00EE46BE"/>
    <w:rsid w:val="00EE470E"/>
    <w:rsid w:val="00EE4C45"/>
    <w:rsid w:val="00EE4D85"/>
    <w:rsid w:val="00EE4D99"/>
    <w:rsid w:val="00EE4FCE"/>
    <w:rsid w:val="00EE5149"/>
    <w:rsid w:val="00EE5213"/>
    <w:rsid w:val="00EE5284"/>
    <w:rsid w:val="00EE5585"/>
    <w:rsid w:val="00EE558D"/>
    <w:rsid w:val="00EE5706"/>
    <w:rsid w:val="00EE5764"/>
    <w:rsid w:val="00EE5AC0"/>
    <w:rsid w:val="00EE5F8B"/>
    <w:rsid w:val="00EE621C"/>
    <w:rsid w:val="00EE63FD"/>
    <w:rsid w:val="00EE647D"/>
    <w:rsid w:val="00EE6499"/>
    <w:rsid w:val="00EE66F1"/>
    <w:rsid w:val="00EE69EF"/>
    <w:rsid w:val="00EE75E3"/>
    <w:rsid w:val="00EE7D2E"/>
    <w:rsid w:val="00EF0224"/>
    <w:rsid w:val="00EF03CE"/>
    <w:rsid w:val="00EF03D6"/>
    <w:rsid w:val="00EF0565"/>
    <w:rsid w:val="00EF062E"/>
    <w:rsid w:val="00EF06B2"/>
    <w:rsid w:val="00EF07DF"/>
    <w:rsid w:val="00EF0BF8"/>
    <w:rsid w:val="00EF0D3E"/>
    <w:rsid w:val="00EF1B76"/>
    <w:rsid w:val="00EF2568"/>
    <w:rsid w:val="00EF2643"/>
    <w:rsid w:val="00EF281A"/>
    <w:rsid w:val="00EF29C7"/>
    <w:rsid w:val="00EF2B6D"/>
    <w:rsid w:val="00EF2C81"/>
    <w:rsid w:val="00EF2DA3"/>
    <w:rsid w:val="00EF2E27"/>
    <w:rsid w:val="00EF38E6"/>
    <w:rsid w:val="00EF3BB6"/>
    <w:rsid w:val="00EF3DB9"/>
    <w:rsid w:val="00EF42EE"/>
    <w:rsid w:val="00EF467D"/>
    <w:rsid w:val="00EF4804"/>
    <w:rsid w:val="00EF4BCE"/>
    <w:rsid w:val="00EF50B2"/>
    <w:rsid w:val="00EF56EA"/>
    <w:rsid w:val="00EF5A72"/>
    <w:rsid w:val="00EF5C6F"/>
    <w:rsid w:val="00EF6024"/>
    <w:rsid w:val="00EF638F"/>
    <w:rsid w:val="00EF69DA"/>
    <w:rsid w:val="00EF6C18"/>
    <w:rsid w:val="00EF6D3D"/>
    <w:rsid w:val="00EF6FB0"/>
    <w:rsid w:val="00EF6FF4"/>
    <w:rsid w:val="00EF72AA"/>
    <w:rsid w:val="00EF76EE"/>
    <w:rsid w:val="00EF77E9"/>
    <w:rsid w:val="00EF7C2A"/>
    <w:rsid w:val="00EF7F0D"/>
    <w:rsid w:val="00F0016E"/>
    <w:rsid w:val="00F0033C"/>
    <w:rsid w:val="00F00792"/>
    <w:rsid w:val="00F00AD0"/>
    <w:rsid w:val="00F00B7F"/>
    <w:rsid w:val="00F00BE6"/>
    <w:rsid w:val="00F011E2"/>
    <w:rsid w:val="00F0127B"/>
    <w:rsid w:val="00F014D7"/>
    <w:rsid w:val="00F017A5"/>
    <w:rsid w:val="00F01B41"/>
    <w:rsid w:val="00F01C54"/>
    <w:rsid w:val="00F01C9C"/>
    <w:rsid w:val="00F01D37"/>
    <w:rsid w:val="00F01E7B"/>
    <w:rsid w:val="00F01EA6"/>
    <w:rsid w:val="00F021DE"/>
    <w:rsid w:val="00F02580"/>
    <w:rsid w:val="00F029FF"/>
    <w:rsid w:val="00F02A5A"/>
    <w:rsid w:val="00F02E34"/>
    <w:rsid w:val="00F032D0"/>
    <w:rsid w:val="00F032F3"/>
    <w:rsid w:val="00F035A9"/>
    <w:rsid w:val="00F03AD8"/>
    <w:rsid w:val="00F03ADE"/>
    <w:rsid w:val="00F03B09"/>
    <w:rsid w:val="00F03D24"/>
    <w:rsid w:val="00F03F70"/>
    <w:rsid w:val="00F03FC0"/>
    <w:rsid w:val="00F04085"/>
    <w:rsid w:val="00F0418E"/>
    <w:rsid w:val="00F04232"/>
    <w:rsid w:val="00F045E4"/>
    <w:rsid w:val="00F04A00"/>
    <w:rsid w:val="00F04BA6"/>
    <w:rsid w:val="00F04E3E"/>
    <w:rsid w:val="00F050C6"/>
    <w:rsid w:val="00F05513"/>
    <w:rsid w:val="00F05605"/>
    <w:rsid w:val="00F05755"/>
    <w:rsid w:val="00F0599C"/>
    <w:rsid w:val="00F059FD"/>
    <w:rsid w:val="00F05CF4"/>
    <w:rsid w:val="00F06030"/>
    <w:rsid w:val="00F06167"/>
    <w:rsid w:val="00F0642B"/>
    <w:rsid w:val="00F064D6"/>
    <w:rsid w:val="00F069D4"/>
    <w:rsid w:val="00F06B0C"/>
    <w:rsid w:val="00F06B5B"/>
    <w:rsid w:val="00F06DBB"/>
    <w:rsid w:val="00F073C6"/>
    <w:rsid w:val="00F07E7F"/>
    <w:rsid w:val="00F10339"/>
    <w:rsid w:val="00F10736"/>
    <w:rsid w:val="00F109BA"/>
    <w:rsid w:val="00F11071"/>
    <w:rsid w:val="00F1121F"/>
    <w:rsid w:val="00F11349"/>
    <w:rsid w:val="00F11B13"/>
    <w:rsid w:val="00F11F39"/>
    <w:rsid w:val="00F1200F"/>
    <w:rsid w:val="00F1232E"/>
    <w:rsid w:val="00F1242A"/>
    <w:rsid w:val="00F12A6C"/>
    <w:rsid w:val="00F12D5C"/>
    <w:rsid w:val="00F1301B"/>
    <w:rsid w:val="00F136B4"/>
    <w:rsid w:val="00F136DE"/>
    <w:rsid w:val="00F139AD"/>
    <w:rsid w:val="00F13FA7"/>
    <w:rsid w:val="00F1429D"/>
    <w:rsid w:val="00F14478"/>
    <w:rsid w:val="00F147C0"/>
    <w:rsid w:val="00F14EEE"/>
    <w:rsid w:val="00F1500C"/>
    <w:rsid w:val="00F153D9"/>
    <w:rsid w:val="00F15B26"/>
    <w:rsid w:val="00F15BE7"/>
    <w:rsid w:val="00F15CA8"/>
    <w:rsid w:val="00F16037"/>
    <w:rsid w:val="00F16182"/>
    <w:rsid w:val="00F16297"/>
    <w:rsid w:val="00F1660D"/>
    <w:rsid w:val="00F16969"/>
    <w:rsid w:val="00F16A3C"/>
    <w:rsid w:val="00F16E03"/>
    <w:rsid w:val="00F16EC1"/>
    <w:rsid w:val="00F16FD2"/>
    <w:rsid w:val="00F172E9"/>
    <w:rsid w:val="00F1744D"/>
    <w:rsid w:val="00F176DB"/>
    <w:rsid w:val="00F17719"/>
    <w:rsid w:val="00F177D8"/>
    <w:rsid w:val="00F17925"/>
    <w:rsid w:val="00F17CEB"/>
    <w:rsid w:val="00F17F0C"/>
    <w:rsid w:val="00F201D0"/>
    <w:rsid w:val="00F202AA"/>
    <w:rsid w:val="00F203A8"/>
    <w:rsid w:val="00F20798"/>
    <w:rsid w:val="00F208AD"/>
    <w:rsid w:val="00F2135A"/>
    <w:rsid w:val="00F216D7"/>
    <w:rsid w:val="00F21A81"/>
    <w:rsid w:val="00F21B0B"/>
    <w:rsid w:val="00F221D3"/>
    <w:rsid w:val="00F22299"/>
    <w:rsid w:val="00F2248F"/>
    <w:rsid w:val="00F2272E"/>
    <w:rsid w:val="00F22931"/>
    <w:rsid w:val="00F22C5A"/>
    <w:rsid w:val="00F22C5D"/>
    <w:rsid w:val="00F22DA3"/>
    <w:rsid w:val="00F22E51"/>
    <w:rsid w:val="00F22E58"/>
    <w:rsid w:val="00F2304D"/>
    <w:rsid w:val="00F2328A"/>
    <w:rsid w:val="00F23293"/>
    <w:rsid w:val="00F233E3"/>
    <w:rsid w:val="00F23541"/>
    <w:rsid w:val="00F23D32"/>
    <w:rsid w:val="00F23D36"/>
    <w:rsid w:val="00F23EEA"/>
    <w:rsid w:val="00F240B2"/>
    <w:rsid w:val="00F2456B"/>
    <w:rsid w:val="00F24589"/>
    <w:rsid w:val="00F247D3"/>
    <w:rsid w:val="00F247F6"/>
    <w:rsid w:val="00F24A57"/>
    <w:rsid w:val="00F254EE"/>
    <w:rsid w:val="00F25659"/>
    <w:rsid w:val="00F25DBF"/>
    <w:rsid w:val="00F2601D"/>
    <w:rsid w:val="00F2658C"/>
    <w:rsid w:val="00F272FA"/>
    <w:rsid w:val="00F273E5"/>
    <w:rsid w:val="00F274BC"/>
    <w:rsid w:val="00F27772"/>
    <w:rsid w:val="00F277C9"/>
    <w:rsid w:val="00F27F5E"/>
    <w:rsid w:val="00F27F60"/>
    <w:rsid w:val="00F30322"/>
    <w:rsid w:val="00F308DA"/>
    <w:rsid w:val="00F309DB"/>
    <w:rsid w:val="00F30C58"/>
    <w:rsid w:val="00F30CFC"/>
    <w:rsid w:val="00F30DB6"/>
    <w:rsid w:val="00F30DCA"/>
    <w:rsid w:val="00F30FC5"/>
    <w:rsid w:val="00F311D9"/>
    <w:rsid w:val="00F31613"/>
    <w:rsid w:val="00F31900"/>
    <w:rsid w:val="00F319BF"/>
    <w:rsid w:val="00F31BFA"/>
    <w:rsid w:val="00F31D21"/>
    <w:rsid w:val="00F31F2D"/>
    <w:rsid w:val="00F31F60"/>
    <w:rsid w:val="00F32075"/>
    <w:rsid w:val="00F32296"/>
    <w:rsid w:val="00F32301"/>
    <w:rsid w:val="00F325CD"/>
    <w:rsid w:val="00F32B0B"/>
    <w:rsid w:val="00F330DF"/>
    <w:rsid w:val="00F3353E"/>
    <w:rsid w:val="00F336AE"/>
    <w:rsid w:val="00F33D03"/>
    <w:rsid w:val="00F33D9A"/>
    <w:rsid w:val="00F3405A"/>
    <w:rsid w:val="00F34228"/>
    <w:rsid w:val="00F3437E"/>
    <w:rsid w:val="00F34456"/>
    <w:rsid w:val="00F34B73"/>
    <w:rsid w:val="00F34DB2"/>
    <w:rsid w:val="00F3530F"/>
    <w:rsid w:val="00F354A4"/>
    <w:rsid w:val="00F35847"/>
    <w:rsid w:val="00F35929"/>
    <w:rsid w:val="00F35E67"/>
    <w:rsid w:val="00F3605E"/>
    <w:rsid w:val="00F3608A"/>
    <w:rsid w:val="00F36262"/>
    <w:rsid w:val="00F366B0"/>
    <w:rsid w:val="00F3673F"/>
    <w:rsid w:val="00F367C8"/>
    <w:rsid w:val="00F36946"/>
    <w:rsid w:val="00F36AC6"/>
    <w:rsid w:val="00F36F57"/>
    <w:rsid w:val="00F36F7F"/>
    <w:rsid w:val="00F37A98"/>
    <w:rsid w:val="00F37AF3"/>
    <w:rsid w:val="00F40217"/>
    <w:rsid w:val="00F41873"/>
    <w:rsid w:val="00F41BE6"/>
    <w:rsid w:val="00F41E8E"/>
    <w:rsid w:val="00F41EC4"/>
    <w:rsid w:val="00F41EFE"/>
    <w:rsid w:val="00F41FD0"/>
    <w:rsid w:val="00F42282"/>
    <w:rsid w:val="00F423E0"/>
    <w:rsid w:val="00F424CB"/>
    <w:rsid w:val="00F42651"/>
    <w:rsid w:val="00F42F23"/>
    <w:rsid w:val="00F43121"/>
    <w:rsid w:val="00F4317B"/>
    <w:rsid w:val="00F4323F"/>
    <w:rsid w:val="00F4332F"/>
    <w:rsid w:val="00F435AD"/>
    <w:rsid w:val="00F4370E"/>
    <w:rsid w:val="00F43A2D"/>
    <w:rsid w:val="00F43C95"/>
    <w:rsid w:val="00F43CCF"/>
    <w:rsid w:val="00F43DE0"/>
    <w:rsid w:val="00F448DE"/>
    <w:rsid w:val="00F44AA0"/>
    <w:rsid w:val="00F44E10"/>
    <w:rsid w:val="00F44E22"/>
    <w:rsid w:val="00F455FC"/>
    <w:rsid w:val="00F457A9"/>
    <w:rsid w:val="00F4593E"/>
    <w:rsid w:val="00F45A03"/>
    <w:rsid w:val="00F45DDE"/>
    <w:rsid w:val="00F45EBF"/>
    <w:rsid w:val="00F4601E"/>
    <w:rsid w:val="00F461E9"/>
    <w:rsid w:val="00F4630B"/>
    <w:rsid w:val="00F464A1"/>
    <w:rsid w:val="00F46AC5"/>
    <w:rsid w:val="00F46E8D"/>
    <w:rsid w:val="00F47282"/>
    <w:rsid w:val="00F473F6"/>
    <w:rsid w:val="00F4760C"/>
    <w:rsid w:val="00F47734"/>
    <w:rsid w:val="00F47B0F"/>
    <w:rsid w:val="00F47C15"/>
    <w:rsid w:val="00F5008A"/>
    <w:rsid w:val="00F5026E"/>
    <w:rsid w:val="00F50271"/>
    <w:rsid w:val="00F50476"/>
    <w:rsid w:val="00F504D6"/>
    <w:rsid w:val="00F50937"/>
    <w:rsid w:val="00F50D7A"/>
    <w:rsid w:val="00F50DBD"/>
    <w:rsid w:val="00F511F9"/>
    <w:rsid w:val="00F51448"/>
    <w:rsid w:val="00F5155E"/>
    <w:rsid w:val="00F516AB"/>
    <w:rsid w:val="00F51BEF"/>
    <w:rsid w:val="00F52590"/>
    <w:rsid w:val="00F527B3"/>
    <w:rsid w:val="00F527C0"/>
    <w:rsid w:val="00F52ADC"/>
    <w:rsid w:val="00F54280"/>
    <w:rsid w:val="00F5439B"/>
    <w:rsid w:val="00F54575"/>
    <w:rsid w:val="00F54BA9"/>
    <w:rsid w:val="00F54F06"/>
    <w:rsid w:val="00F550B9"/>
    <w:rsid w:val="00F556FB"/>
    <w:rsid w:val="00F5579E"/>
    <w:rsid w:val="00F557BB"/>
    <w:rsid w:val="00F5595B"/>
    <w:rsid w:val="00F55E07"/>
    <w:rsid w:val="00F55F0D"/>
    <w:rsid w:val="00F55FB1"/>
    <w:rsid w:val="00F5659C"/>
    <w:rsid w:val="00F56A13"/>
    <w:rsid w:val="00F56E6F"/>
    <w:rsid w:val="00F572C7"/>
    <w:rsid w:val="00F57460"/>
    <w:rsid w:val="00F57581"/>
    <w:rsid w:val="00F5791C"/>
    <w:rsid w:val="00F5797A"/>
    <w:rsid w:val="00F57ABD"/>
    <w:rsid w:val="00F601CF"/>
    <w:rsid w:val="00F60293"/>
    <w:rsid w:val="00F602F4"/>
    <w:rsid w:val="00F608A1"/>
    <w:rsid w:val="00F608E3"/>
    <w:rsid w:val="00F6095B"/>
    <w:rsid w:val="00F60B7F"/>
    <w:rsid w:val="00F60C1A"/>
    <w:rsid w:val="00F60C89"/>
    <w:rsid w:val="00F615B9"/>
    <w:rsid w:val="00F61BBB"/>
    <w:rsid w:val="00F6204B"/>
    <w:rsid w:val="00F62199"/>
    <w:rsid w:val="00F621C6"/>
    <w:rsid w:val="00F6262B"/>
    <w:rsid w:val="00F62666"/>
    <w:rsid w:val="00F626D9"/>
    <w:rsid w:val="00F62A80"/>
    <w:rsid w:val="00F62AF0"/>
    <w:rsid w:val="00F62F4B"/>
    <w:rsid w:val="00F6314C"/>
    <w:rsid w:val="00F6331C"/>
    <w:rsid w:val="00F633EC"/>
    <w:rsid w:val="00F635EB"/>
    <w:rsid w:val="00F63BA7"/>
    <w:rsid w:val="00F63E07"/>
    <w:rsid w:val="00F64192"/>
    <w:rsid w:val="00F64480"/>
    <w:rsid w:val="00F64AF1"/>
    <w:rsid w:val="00F64B0D"/>
    <w:rsid w:val="00F64B9D"/>
    <w:rsid w:val="00F64FAE"/>
    <w:rsid w:val="00F64FD7"/>
    <w:rsid w:val="00F65201"/>
    <w:rsid w:val="00F65244"/>
    <w:rsid w:val="00F654CA"/>
    <w:rsid w:val="00F6598D"/>
    <w:rsid w:val="00F65CB8"/>
    <w:rsid w:val="00F67B63"/>
    <w:rsid w:val="00F67B85"/>
    <w:rsid w:val="00F702F8"/>
    <w:rsid w:val="00F70727"/>
    <w:rsid w:val="00F70D31"/>
    <w:rsid w:val="00F71055"/>
    <w:rsid w:val="00F71188"/>
    <w:rsid w:val="00F713EE"/>
    <w:rsid w:val="00F714EE"/>
    <w:rsid w:val="00F7192C"/>
    <w:rsid w:val="00F71B63"/>
    <w:rsid w:val="00F71BF0"/>
    <w:rsid w:val="00F720DD"/>
    <w:rsid w:val="00F721F1"/>
    <w:rsid w:val="00F726E8"/>
    <w:rsid w:val="00F72781"/>
    <w:rsid w:val="00F72AB5"/>
    <w:rsid w:val="00F72FDA"/>
    <w:rsid w:val="00F73699"/>
    <w:rsid w:val="00F737A3"/>
    <w:rsid w:val="00F737FB"/>
    <w:rsid w:val="00F738B8"/>
    <w:rsid w:val="00F73A53"/>
    <w:rsid w:val="00F73CD2"/>
    <w:rsid w:val="00F73D84"/>
    <w:rsid w:val="00F73D8C"/>
    <w:rsid w:val="00F73DFC"/>
    <w:rsid w:val="00F73E3F"/>
    <w:rsid w:val="00F73E69"/>
    <w:rsid w:val="00F73EA6"/>
    <w:rsid w:val="00F741C8"/>
    <w:rsid w:val="00F74BAE"/>
    <w:rsid w:val="00F74E1C"/>
    <w:rsid w:val="00F74E4F"/>
    <w:rsid w:val="00F752A4"/>
    <w:rsid w:val="00F75B7C"/>
    <w:rsid w:val="00F75BD6"/>
    <w:rsid w:val="00F75DBD"/>
    <w:rsid w:val="00F760D6"/>
    <w:rsid w:val="00F76161"/>
    <w:rsid w:val="00F761A3"/>
    <w:rsid w:val="00F762BB"/>
    <w:rsid w:val="00F76658"/>
    <w:rsid w:val="00F76B6E"/>
    <w:rsid w:val="00F76C5D"/>
    <w:rsid w:val="00F76C7B"/>
    <w:rsid w:val="00F7746B"/>
    <w:rsid w:val="00F77EAE"/>
    <w:rsid w:val="00F807F6"/>
    <w:rsid w:val="00F80E7F"/>
    <w:rsid w:val="00F81056"/>
    <w:rsid w:val="00F81236"/>
    <w:rsid w:val="00F81480"/>
    <w:rsid w:val="00F81E9A"/>
    <w:rsid w:val="00F82354"/>
    <w:rsid w:val="00F8274F"/>
    <w:rsid w:val="00F82B3D"/>
    <w:rsid w:val="00F836DF"/>
    <w:rsid w:val="00F8389A"/>
    <w:rsid w:val="00F83989"/>
    <w:rsid w:val="00F83C7B"/>
    <w:rsid w:val="00F8432E"/>
    <w:rsid w:val="00F8433D"/>
    <w:rsid w:val="00F84351"/>
    <w:rsid w:val="00F84564"/>
    <w:rsid w:val="00F8467A"/>
    <w:rsid w:val="00F848A5"/>
    <w:rsid w:val="00F848AA"/>
    <w:rsid w:val="00F84B49"/>
    <w:rsid w:val="00F84CAF"/>
    <w:rsid w:val="00F84E7A"/>
    <w:rsid w:val="00F84F20"/>
    <w:rsid w:val="00F850A5"/>
    <w:rsid w:val="00F850FC"/>
    <w:rsid w:val="00F85146"/>
    <w:rsid w:val="00F85BD5"/>
    <w:rsid w:val="00F85C4B"/>
    <w:rsid w:val="00F85CFA"/>
    <w:rsid w:val="00F85E6B"/>
    <w:rsid w:val="00F86942"/>
    <w:rsid w:val="00F869A6"/>
    <w:rsid w:val="00F86BA0"/>
    <w:rsid w:val="00F86C41"/>
    <w:rsid w:val="00F87033"/>
    <w:rsid w:val="00F87170"/>
    <w:rsid w:val="00F874FE"/>
    <w:rsid w:val="00F876CD"/>
    <w:rsid w:val="00F876F3"/>
    <w:rsid w:val="00F87EE4"/>
    <w:rsid w:val="00F90167"/>
    <w:rsid w:val="00F902D9"/>
    <w:rsid w:val="00F9081F"/>
    <w:rsid w:val="00F90883"/>
    <w:rsid w:val="00F909CD"/>
    <w:rsid w:val="00F90A8B"/>
    <w:rsid w:val="00F90B4E"/>
    <w:rsid w:val="00F90CAC"/>
    <w:rsid w:val="00F90E17"/>
    <w:rsid w:val="00F90E65"/>
    <w:rsid w:val="00F9132E"/>
    <w:rsid w:val="00F919A0"/>
    <w:rsid w:val="00F91E3E"/>
    <w:rsid w:val="00F920F6"/>
    <w:rsid w:val="00F921BF"/>
    <w:rsid w:val="00F9223D"/>
    <w:rsid w:val="00F92624"/>
    <w:rsid w:val="00F93072"/>
    <w:rsid w:val="00F931BB"/>
    <w:rsid w:val="00F93264"/>
    <w:rsid w:val="00F93406"/>
    <w:rsid w:val="00F93AE5"/>
    <w:rsid w:val="00F93BB1"/>
    <w:rsid w:val="00F93D63"/>
    <w:rsid w:val="00F9405D"/>
    <w:rsid w:val="00F940EB"/>
    <w:rsid w:val="00F947F5"/>
    <w:rsid w:val="00F94BF1"/>
    <w:rsid w:val="00F94F92"/>
    <w:rsid w:val="00F95307"/>
    <w:rsid w:val="00F95540"/>
    <w:rsid w:val="00F95965"/>
    <w:rsid w:val="00F95990"/>
    <w:rsid w:val="00F95A36"/>
    <w:rsid w:val="00F95B03"/>
    <w:rsid w:val="00F96193"/>
    <w:rsid w:val="00F961D3"/>
    <w:rsid w:val="00F966EE"/>
    <w:rsid w:val="00F96762"/>
    <w:rsid w:val="00F967BE"/>
    <w:rsid w:val="00F96B60"/>
    <w:rsid w:val="00F972ED"/>
    <w:rsid w:val="00F97DEA"/>
    <w:rsid w:val="00F97E48"/>
    <w:rsid w:val="00FA00D8"/>
    <w:rsid w:val="00FA019C"/>
    <w:rsid w:val="00FA0428"/>
    <w:rsid w:val="00FA057B"/>
    <w:rsid w:val="00FA0965"/>
    <w:rsid w:val="00FA0A05"/>
    <w:rsid w:val="00FA0C62"/>
    <w:rsid w:val="00FA12A7"/>
    <w:rsid w:val="00FA133F"/>
    <w:rsid w:val="00FA143B"/>
    <w:rsid w:val="00FA14EC"/>
    <w:rsid w:val="00FA1BD0"/>
    <w:rsid w:val="00FA1DFD"/>
    <w:rsid w:val="00FA1EBA"/>
    <w:rsid w:val="00FA2598"/>
    <w:rsid w:val="00FA2603"/>
    <w:rsid w:val="00FA2B5D"/>
    <w:rsid w:val="00FA2B7A"/>
    <w:rsid w:val="00FA2D19"/>
    <w:rsid w:val="00FA3C6E"/>
    <w:rsid w:val="00FA3E5E"/>
    <w:rsid w:val="00FA47CB"/>
    <w:rsid w:val="00FA4810"/>
    <w:rsid w:val="00FA4B1A"/>
    <w:rsid w:val="00FA561C"/>
    <w:rsid w:val="00FA5E75"/>
    <w:rsid w:val="00FA5F77"/>
    <w:rsid w:val="00FA63D5"/>
    <w:rsid w:val="00FA65E5"/>
    <w:rsid w:val="00FA67B0"/>
    <w:rsid w:val="00FA68EE"/>
    <w:rsid w:val="00FA6F47"/>
    <w:rsid w:val="00FA6FA5"/>
    <w:rsid w:val="00FA74CF"/>
    <w:rsid w:val="00FA74DD"/>
    <w:rsid w:val="00FA79A2"/>
    <w:rsid w:val="00FA7B6A"/>
    <w:rsid w:val="00FB0515"/>
    <w:rsid w:val="00FB12B9"/>
    <w:rsid w:val="00FB136E"/>
    <w:rsid w:val="00FB161F"/>
    <w:rsid w:val="00FB1623"/>
    <w:rsid w:val="00FB1861"/>
    <w:rsid w:val="00FB1F1F"/>
    <w:rsid w:val="00FB2000"/>
    <w:rsid w:val="00FB218B"/>
    <w:rsid w:val="00FB245E"/>
    <w:rsid w:val="00FB2470"/>
    <w:rsid w:val="00FB297B"/>
    <w:rsid w:val="00FB2BB1"/>
    <w:rsid w:val="00FB2CDF"/>
    <w:rsid w:val="00FB2DCF"/>
    <w:rsid w:val="00FB320E"/>
    <w:rsid w:val="00FB335D"/>
    <w:rsid w:val="00FB3482"/>
    <w:rsid w:val="00FB3596"/>
    <w:rsid w:val="00FB3766"/>
    <w:rsid w:val="00FB379E"/>
    <w:rsid w:val="00FB3A7A"/>
    <w:rsid w:val="00FB3EDF"/>
    <w:rsid w:val="00FB42F5"/>
    <w:rsid w:val="00FB4478"/>
    <w:rsid w:val="00FB4A22"/>
    <w:rsid w:val="00FB4A68"/>
    <w:rsid w:val="00FB4DE0"/>
    <w:rsid w:val="00FB4E43"/>
    <w:rsid w:val="00FB4E8F"/>
    <w:rsid w:val="00FB5018"/>
    <w:rsid w:val="00FB50EE"/>
    <w:rsid w:val="00FB5435"/>
    <w:rsid w:val="00FB5535"/>
    <w:rsid w:val="00FB55D9"/>
    <w:rsid w:val="00FB592E"/>
    <w:rsid w:val="00FB5A1F"/>
    <w:rsid w:val="00FB5BFA"/>
    <w:rsid w:val="00FB5C11"/>
    <w:rsid w:val="00FB5D12"/>
    <w:rsid w:val="00FB5F64"/>
    <w:rsid w:val="00FB643A"/>
    <w:rsid w:val="00FB6949"/>
    <w:rsid w:val="00FB6BD8"/>
    <w:rsid w:val="00FB6F52"/>
    <w:rsid w:val="00FB71E4"/>
    <w:rsid w:val="00FB793C"/>
    <w:rsid w:val="00FB7AF8"/>
    <w:rsid w:val="00FB7B0D"/>
    <w:rsid w:val="00FB7DBF"/>
    <w:rsid w:val="00FB7E55"/>
    <w:rsid w:val="00FC0405"/>
    <w:rsid w:val="00FC0433"/>
    <w:rsid w:val="00FC04C0"/>
    <w:rsid w:val="00FC084C"/>
    <w:rsid w:val="00FC08EC"/>
    <w:rsid w:val="00FC0F0F"/>
    <w:rsid w:val="00FC104C"/>
    <w:rsid w:val="00FC1956"/>
    <w:rsid w:val="00FC1B33"/>
    <w:rsid w:val="00FC1BF9"/>
    <w:rsid w:val="00FC1D7A"/>
    <w:rsid w:val="00FC1E65"/>
    <w:rsid w:val="00FC2B5B"/>
    <w:rsid w:val="00FC2D3A"/>
    <w:rsid w:val="00FC2DE7"/>
    <w:rsid w:val="00FC3582"/>
    <w:rsid w:val="00FC36BD"/>
    <w:rsid w:val="00FC39BD"/>
    <w:rsid w:val="00FC3A11"/>
    <w:rsid w:val="00FC3A3F"/>
    <w:rsid w:val="00FC3A92"/>
    <w:rsid w:val="00FC3BA8"/>
    <w:rsid w:val="00FC3E32"/>
    <w:rsid w:val="00FC3FD8"/>
    <w:rsid w:val="00FC4236"/>
    <w:rsid w:val="00FC443E"/>
    <w:rsid w:val="00FC48E2"/>
    <w:rsid w:val="00FC4D09"/>
    <w:rsid w:val="00FC4F83"/>
    <w:rsid w:val="00FC5139"/>
    <w:rsid w:val="00FC53D5"/>
    <w:rsid w:val="00FC53E1"/>
    <w:rsid w:val="00FC5C86"/>
    <w:rsid w:val="00FC5D72"/>
    <w:rsid w:val="00FC5E6C"/>
    <w:rsid w:val="00FC5F97"/>
    <w:rsid w:val="00FC631C"/>
    <w:rsid w:val="00FC6420"/>
    <w:rsid w:val="00FC6456"/>
    <w:rsid w:val="00FC6870"/>
    <w:rsid w:val="00FC6C34"/>
    <w:rsid w:val="00FC6F6F"/>
    <w:rsid w:val="00FC6F9A"/>
    <w:rsid w:val="00FC7049"/>
    <w:rsid w:val="00FC71F6"/>
    <w:rsid w:val="00FC741C"/>
    <w:rsid w:val="00FC74D5"/>
    <w:rsid w:val="00FC75C2"/>
    <w:rsid w:val="00FC7A59"/>
    <w:rsid w:val="00FC7E97"/>
    <w:rsid w:val="00FD01D6"/>
    <w:rsid w:val="00FD02FC"/>
    <w:rsid w:val="00FD08F3"/>
    <w:rsid w:val="00FD0A6F"/>
    <w:rsid w:val="00FD0C1E"/>
    <w:rsid w:val="00FD11BA"/>
    <w:rsid w:val="00FD1653"/>
    <w:rsid w:val="00FD1732"/>
    <w:rsid w:val="00FD1BF2"/>
    <w:rsid w:val="00FD1F53"/>
    <w:rsid w:val="00FD2064"/>
    <w:rsid w:val="00FD22A3"/>
    <w:rsid w:val="00FD26F7"/>
    <w:rsid w:val="00FD2B26"/>
    <w:rsid w:val="00FD2BE2"/>
    <w:rsid w:val="00FD3183"/>
    <w:rsid w:val="00FD36FF"/>
    <w:rsid w:val="00FD377D"/>
    <w:rsid w:val="00FD3AD4"/>
    <w:rsid w:val="00FD3E41"/>
    <w:rsid w:val="00FD3E53"/>
    <w:rsid w:val="00FD400D"/>
    <w:rsid w:val="00FD428D"/>
    <w:rsid w:val="00FD4330"/>
    <w:rsid w:val="00FD4D1A"/>
    <w:rsid w:val="00FD50DB"/>
    <w:rsid w:val="00FD534C"/>
    <w:rsid w:val="00FD5477"/>
    <w:rsid w:val="00FD5531"/>
    <w:rsid w:val="00FD5577"/>
    <w:rsid w:val="00FD56B4"/>
    <w:rsid w:val="00FD57D0"/>
    <w:rsid w:val="00FD59E5"/>
    <w:rsid w:val="00FD59F6"/>
    <w:rsid w:val="00FD5AFE"/>
    <w:rsid w:val="00FD5C4B"/>
    <w:rsid w:val="00FD6116"/>
    <w:rsid w:val="00FD6135"/>
    <w:rsid w:val="00FD6500"/>
    <w:rsid w:val="00FD6662"/>
    <w:rsid w:val="00FD6665"/>
    <w:rsid w:val="00FD6A74"/>
    <w:rsid w:val="00FD6AC6"/>
    <w:rsid w:val="00FD6DA5"/>
    <w:rsid w:val="00FD721F"/>
    <w:rsid w:val="00FD7393"/>
    <w:rsid w:val="00FD77F8"/>
    <w:rsid w:val="00FD796E"/>
    <w:rsid w:val="00FE0261"/>
    <w:rsid w:val="00FE0551"/>
    <w:rsid w:val="00FE09E7"/>
    <w:rsid w:val="00FE0AFB"/>
    <w:rsid w:val="00FE0CB5"/>
    <w:rsid w:val="00FE0E39"/>
    <w:rsid w:val="00FE0EC6"/>
    <w:rsid w:val="00FE0F05"/>
    <w:rsid w:val="00FE15F5"/>
    <w:rsid w:val="00FE182F"/>
    <w:rsid w:val="00FE18EF"/>
    <w:rsid w:val="00FE1B26"/>
    <w:rsid w:val="00FE1F2C"/>
    <w:rsid w:val="00FE20F8"/>
    <w:rsid w:val="00FE26C4"/>
    <w:rsid w:val="00FE2781"/>
    <w:rsid w:val="00FE2FDC"/>
    <w:rsid w:val="00FE3A84"/>
    <w:rsid w:val="00FE3B7D"/>
    <w:rsid w:val="00FE3C51"/>
    <w:rsid w:val="00FE3D5F"/>
    <w:rsid w:val="00FE3E75"/>
    <w:rsid w:val="00FE46C3"/>
    <w:rsid w:val="00FE4BC9"/>
    <w:rsid w:val="00FE512D"/>
    <w:rsid w:val="00FE5522"/>
    <w:rsid w:val="00FE5BC4"/>
    <w:rsid w:val="00FE5D32"/>
    <w:rsid w:val="00FE5E08"/>
    <w:rsid w:val="00FE5EB6"/>
    <w:rsid w:val="00FE663F"/>
    <w:rsid w:val="00FE6733"/>
    <w:rsid w:val="00FE6738"/>
    <w:rsid w:val="00FE6774"/>
    <w:rsid w:val="00FE69DB"/>
    <w:rsid w:val="00FE6B9C"/>
    <w:rsid w:val="00FE6CF1"/>
    <w:rsid w:val="00FE705E"/>
    <w:rsid w:val="00FE710B"/>
    <w:rsid w:val="00FE734E"/>
    <w:rsid w:val="00FE770D"/>
    <w:rsid w:val="00FE7AF8"/>
    <w:rsid w:val="00FE7B09"/>
    <w:rsid w:val="00FE7C83"/>
    <w:rsid w:val="00FF002F"/>
    <w:rsid w:val="00FF075C"/>
    <w:rsid w:val="00FF07E9"/>
    <w:rsid w:val="00FF0C0F"/>
    <w:rsid w:val="00FF0DDE"/>
    <w:rsid w:val="00FF0F09"/>
    <w:rsid w:val="00FF1405"/>
    <w:rsid w:val="00FF15B7"/>
    <w:rsid w:val="00FF1C4D"/>
    <w:rsid w:val="00FF1CDD"/>
    <w:rsid w:val="00FF1F10"/>
    <w:rsid w:val="00FF2187"/>
    <w:rsid w:val="00FF2214"/>
    <w:rsid w:val="00FF27A5"/>
    <w:rsid w:val="00FF29A4"/>
    <w:rsid w:val="00FF2C08"/>
    <w:rsid w:val="00FF2DE6"/>
    <w:rsid w:val="00FF3244"/>
    <w:rsid w:val="00FF352B"/>
    <w:rsid w:val="00FF3C87"/>
    <w:rsid w:val="00FF3D21"/>
    <w:rsid w:val="00FF3F08"/>
    <w:rsid w:val="00FF45D9"/>
    <w:rsid w:val="00FF45F6"/>
    <w:rsid w:val="00FF4915"/>
    <w:rsid w:val="00FF4ADA"/>
    <w:rsid w:val="00FF4AF2"/>
    <w:rsid w:val="00FF50E8"/>
    <w:rsid w:val="00FF54C6"/>
    <w:rsid w:val="00FF5711"/>
    <w:rsid w:val="00FF5939"/>
    <w:rsid w:val="00FF5B10"/>
    <w:rsid w:val="00FF6116"/>
    <w:rsid w:val="00FF6218"/>
    <w:rsid w:val="00FF66C7"/>
    <w:rsid w:val="00FF6AAE"/>
    <w:rsid w:val="00FF6ED4"/>
    <w:rsid w:val="00FF6F8D"/>
    <w:rsid w:val="00FF7334"/>
    <w:rsid w:val="00FF744E"/>
    <w:rsid w:val="00FF7490"/>
    <w:rsid w:val="00FF7708"/>
    <w:rsid w:val="00FF7A67"/>
    <w:rsid w:val="00FF7A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14EC0F"/>
  <w15:docId w15:val="{A52903E2-D3B4-437C-99C3-F45640B7D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B6BCC"/>
  </w:style>
  <w:style w:type="paragraph" w:styleId="Heading1">
    <w:name w:val="heading 1"/>
    <w:basedOn w:val="Normal"/>
    <w:next w:val="Normal"/>
    <w:link w:val="Heading1Char"/>
    <w:qFormat/>
    <w:rsid w:val="00F714EE"/>
    <w:pPr>
      <w:keepNext/>
      <w:outlineLvl w:val="0"/>
    </w:pPr>
    <w:rPr>
      <w:rFonts w:ascii="Arial" w:hAnsi="Arial"/>
      <w:b/>
      <w:sz w:val="24"/>
    </w:rPr>
  </w:style>
  <w:style w:type="paragraph" w:styleId="Heading2">
    <w:name w:val="heading 2"/>
    <w:basedOn w:val="Normal"/>
    <w:next w:val="Normal"/>
    <w:link w:val="Heading2Char"/>
    <w:qFormat/>
    <w:rsid w:val="00F714EE"/>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F714EE"/>
    <w:pPr>
      <w:keepNext/>
      <w:outlineLvl w:val="2"/>
    </w:pPr>
    <w:rPr>
      <w:rFonts w:ascii="Arial" w:hAnsi="Arial"/>
      <w:b/>
      <w:i/>
      <w:sz w:val="24"/>
    </w:rPr>
  </w:style>
  <w:style w:type="paragraph" w:styleId="Heading4">
    <w:name w:val="heading 4"/>
    <w:basedOn w:val="Normal"/>
    <w:next w:val="Normal"/>
    <w:link w:val="Heading4Char"/>
    <w:qFormat/>
    <w:rsid w:val="00F714EE"/>
    <w:pPr>
      <w:keepNext/>
      <w:spacing w:before="240" w:after="60"/>
      <w:outlineLvl w:val="3"/>
    </w:pPr>
    <w:rPr>
      <w:b/>
      <w:bCs/>
      <w:sz w:val="28"/>
      <w:szCs w:val="28"/>
    </w:rPr>
  </w:style>
  <w:style w:type="paragraph" w:styleId="Heading5">
    <w:name w:val="heading 5"/>
    <w:basedOn w:val="Normal"/>
    <w:next w:val="Normal"/>
    <w:link w:val="Heading5Char"/>
    <w:qFormat/>
    <w:rsid w:val="00F714EE"/>
    <w:pPr>
      <w:keepNext/>
      <w:ind w:left="540"/>
      <w:outlineLvl w:val="4"/>
    </w:pPr>
    <w:rPr>
      <w:rFonts w:ascii="Arial" w:hAnsi="Arial"/>
      <w:i/>
      <w:sz w:val="24"/>
    </w:rPr>
  </w:style>
  <w:style w:type="paragraph" w:styleId="Heading6">
    <w:name w:val="heading 6"/>
    <w:basedOn w:val="Normal"/>
    <w:next w:val="Normal"/>
    <w:link w:val="Heading6Char"/>
    <w:qFormat/>
    <w:rsid w:val="00F714EE"/>
    <w:pPr>
      <w:keepNext/>
      <w:spacing w:after="240"/>
      <w:outlineLvl w:val="5"/>
    </w:pPr>
    <w:rPr>
      <w:rFonts w:ascii="Arial" w:hAnsi="Arial"/>
      <w:sz w:val="24"/>
      <w:u w:val="single"/>
    </w:rPr>
  </w:style>
  <w:style w:type="paragraph" w:styleId="Heading7">
    <w:name w:val="heading 7"/>
    <w:basedOn w:val="Normal"/>
    <w:next w:val="Normal"/>
    <w:link w:val="Heading7Char"/>
    <w:qFormat/>
    <w:rsid w:val="00F714EE"/>
    <w:pPr>
      <w:spacing w:before="240" w:after="60"/>
      <w:outlineLvl w:val="6"/>
    </w:pPr>
    <w:rPr>
      <w:sz w:val="24"/>
      <w:szCs w:val="24"/>
    </w:rPr>
  </w:style>
  <w:style w:type="paragraph" w:styleId="Heading8">
    <w:name w:val="heading 8"/>
    <w:basedOn w:val="Normal"/>
    <w:next w:val="Normal"/>
    <w:link w:val="Heading8Char"/>
    <w:qFormat/>
    <w:rsid w:val="00F714EE"/>
    <w:pPr>
      <w:keepNext/>
      <w:jc w:val="center"/>
      <w:outlineLvl w:val="7"/>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F714EE"/>
    <w:pPr>
      <w:jc w:val="center"/>
    </w:pPr>
    <w:rPr>
      <w:rFonts w:ascii="Arial" w:hAnsi="Arial"/>
      <w:b/>
      <w:sz w:val="32"/>
    </w:rPr>
  </w:style>
  <w:style w:type="paragraph" w:styleId="CommentText">
    <w:name w:val="annotation text"/>
    <w:basedOn w:val="Normal"/>
    <w:link w:val="CommentTextChar"/>
    <w:uiPriority w:val="99"/>
    <w:rsid w:val="00F714EE"/>
    <w:rPr>
      <w:rFonts w:ascii="Arial" w:hAnsi="Arial"/>
    </w:rPr>
  </w:style>
  <w:style w:type="paragraph" w:styleId="Footer">
    <w:name w:val="footer"/>
    <w:basedOn w:val="Normal"/>
    <w:link w:val="FooterChar"/>
    <w:uiPriority w:val="99"/>
    <w:rsid w:val="00F714EE"/>
    <w:pPr>
      <w:tabs>
        <w:tab w:val="center" w:pos="4153"/>
        <w:tab w:val="right" w:pos="8306"/>
      </w:tabs>
    </w:pPr>
    <w:rPr>
      <w:rFonts w:ascii="Arial" w:hAnsi="Arial"/>
      <w:sz w:val="24"/>
    </w:rPr>
  </w:style>
  <w:style w:type="character" w:styleId="CommentReference">
    <w:name w:val="annotation reference"/>
    <w:uiPriority w:val="99"/>
    <w:semiHidden/>
    <w:rsid w:val="00F714EE"/>
    <w:rPr>
      <w:sz w:val="16"/>
      <w:szCs w:val="16"/>
    </w:rPr>
  </w:style>
  <w:style w:type="paragraph" w:styleId="BodyText3">
    <w:name w:val="Body Text 3"/>
    <w:basedOn w:val="Normal"/>
    <w:link w:val="BodyText3Char"/>
    <w:rsid w:val="00F714EE"/>
    <w:rPr>
      <w:rFonts w:ascii="Arial" w:hAnsi="Arial"/>
      <w:color w:val="FF0000"/>
      <w:sz w:val="24"/>
    </w:rPr>
  </w:style>
  <w:style w:type="paragraph" w:styleId="BodyText2">
    <w:name w:val="Body Text 2"/>
    <w:basedOn w:val="Normal"/>
    <w:link w:val="BodyText2Char"/>
    <w:uiPriority w:val="99"/>
    <w:rsid w:val="00F714EE"/>
    <w:pPr>
      <w:ind w:right="29"/>
    </w:pPr>
    <w:rPr>
      <w:rFonts w:ascii="Arial" w:hAnsi="Arial"/>
      <w:color w:val="0000FF"/>
      <w:sz w:val="24"/>
    </w:rPr>
  </w:style>
  <w:style w:type="paragraph" w:styleId="Caption">
    <w:name w:val="caption"/>
    <w:basedOn w:val="Normal"/>
    <w:next w:val="Normal"/>
    <w:qFormat/>
    <w:rsid w:val="00F714EE"/>
    <w:rPr>
      <w:rFonts w:ascii="Arial" w:hAnsi="Arial"/>
      <w:sz w:val="24"/>
      <w:u w:val="single"/>
    </w:rPr>
  </w:style>
  <w:style w:type="paragraph" w:styleId="BodyTextIndent2">
    <w:name w:val="Body Text Indent 2"/>
    <w:basedOn w:val="Normal"/>
    <w:link w:val="BodyTextIndent2Char"/>
    <w:rsid w:val="00F714EE"/>
    <w:pPr>
      <w:ind w:left="1440" w:hanging="720"/>
    </w:pPr>
    <w:rPr>
      <w:rFonts w:ascii="Arial" w:hAnsi="Arial"/>
      <w:sz w:val="24"/>
    </w:rPr>
  </w:style>
  <w:style w:type="paragraph" w:customStyle="1" w:styleId="Bodyindent">
    <w:name w:val="Body indent"/>
    <w:basedOn w:val="Normal"/>
    <w:uiPriority w:val="99"/>
    <w:rsid w:val="00F714EE"/>
    <w:pPr>
      <w:widowControl w:val="0"/>
      <w:spacing w:before="140" w:line="290" w:lineRule="atLeast"/>
      <w:ind w:left="680"/>
    </w:pPr>
    <w:rPr>
      <w:rFonts w:ascii="Sabon" w:hAnsi="Sabon"/>
      <w:color w:val="000000"/>
      <w:sz w:val="21"/>
      <w:lang w:val="en-US"/>
    </w:rPr>
  </w:style>
  <w:style w:type="paragraph" w:styleId="BodyText">
    <w:name w:val="Body Text"/>
    <w:basedOn w:val="Normal"/>
    <w:link w:val="BodyTextChar"/>
    <w:rsid w:val="00F714EE"/>
    <w:rPr>
      <w:rFonts w:ascii="Arial" w:hAnsi="Arial"/>
      <w:i/>
      <w:sz w:val="24"/>
    </w:rPr>
  </w:style>
  <w:style w:type="paragraph" w:styleId="BodyTextIndent">
    <w:name w:val="Body Text Indent"/>
    <w:basedOn w:val="Normal"/>
    <w:link w:val="BodyTextIndentChar"/>
    <w:rsid w:val="00F714EE"/>
    <w:pPr>
      <w:ind w:left="720" w:hanging="720"/>
    </w:pPr>
    <w:rPr>
      <w:rFonts w:ascii="Arial" w:hAnsi="Arial"/>
      <w:i/>
      <w:sz w:val="24"/>
    </w:rPr>
  </w:style>
  <w:style w:type="paragraph" w:styleId="BlockText">
    <w:name w:val="Block Text"/>
    <w:basedOn w:val="Normal"/>
    <w:rsid w:val="00F714EE"/>
    <w:pPr>
      <w:tabs>
        <w:tab w:val="left" w:pos="720"/>
        <w:tab w:val="right" w:pos="5760"/>
      </w:tabs>
      <w:ind w:left="720" w:right="-331"/>
    </w:pPr>
    <w:rPr>
      <w:rFonts w:ascii="Arial" w:hAnsi="Arial"/>
      <w:sz w:val="24"/>
    </w:rPr>
  </w:style>
  <w:style w:type="paragraph" w:styleId="BodyTextIndent3">
    <w:name w:val="Body Text Indent 3"/>
    <w:basedOn w:val="Normal"/>
    <w:link w:val="BodyTextIndent3Char"/>
    <w:rsid w:val="00F714EE"/>
    <w:pPr>
      <w:tabs>
        <w:tab w:val="left" w:pos="720"/>
        <w:tab w:val="right" w:pos="7200"/>
        <w:tab w:val="right" w:pos="8640"/>
      </w:tabs>
      <w:ind w:left="720" w:hanging="720"/>
    </w:pPr>
    <w:rPr>
      <w:rFonts w:ascii="Arial" w:hAnsi="Arial"/>
      <w:sz w:val="24"/>
    </w:rPr>
  </w:style>
  <w:style w:type="character" w:styleId="PageNumber">
    <w:name w:val="page number"/>
    <w:basedOn w:val="DefaultParagraphFont"/>
    <w:rsid w:val="00F714EE"/>
  </w:style>
  <w:style w:type="paragraph" w:customStyle="1" w:styleId="Body">
    <w:name w:val="Body"/>
    <w:basedOn w:val="Normal"/>
    <w:uiPriority w:val="99"/>
    <w:rsid w:val="00F714EE"/>
    <w:pPr>
      <w:widowControl w:val="0"/>
      <w:spacing w:before="140" w:line="290" w:lineRule="atLeast"/>
      <w:ind w:left="680" w:hanging="454"/>
    </w:pPr>
    <w:rPr>
      <w:rFonts w:ascii="Sabon" w:hAnsi="Sabon"/>
      <w:color w:val="000000"/>
      <w:sz w:val="21"/>
      <w:lang w:val="en-US"/>
    </w:rPr>
  </w:style>
  <w:style w:type="paragraph" w:styleId="BalloonText">
    <w:name w:val="Balloon Text"/>
    <w:basedOn w:val="Normal"/>
    <w:link w:val="BalloonTextChar"/>
    <w:semiHidden/>
    <w:rsid w:val="00F714EE"/>
    <w:rPr>
      <w:rFonts w:ascii="Tahoma" w:hAnsi="Tahoma" w:cs="Tahoma"/>
      <w:sz w:val="16"/>
      <w:szCs w:val="16"/>
    </w:rPr>
  </w:style>
  <w:style w:type="paragraph" w:styleId="Header">
    <w:name w:val="header"/>
    <w:basedOn w:val="Normal"/>
    <w:link w:val="HeaderChar"/>
    <w:uiPriority w:val="99"/>
    <w:rsid w:val="00F714EE"/>
    <w:pPr>
      <w:tabs>
        <w:tab w:val="center" w:pos="4153"/>
        <w:tab w:val="right" w:pos="8306"/>
      </w:tabs>
    </w:pPr>
  </w:style>
  <w:style w:type="paragraph" w:styleId="CommentSubject">
    <w:name w:val="annotation subject"/>
    <w:basedOn w:val="CommentText"/>
    <w:next w:val="CommentText"/>
    <w:link w:val="CommentSubjectChar"/>
    <w:semiHidden/>
    <w:rsid w:val="00F714EE"/>
    <w:rPr>
      <w:rFonts w:ascii="Times New Roman" w:hAnsi="Times New Roman"/>
      <w:b/>
      <w:bCs/>
    </w:rPr>
  </w:style>
  <w:style w:type="paragraph" w:styleId="NormalWeb">
    <w:name w:val="Normal (Web)"/>
    <w:basedOn w:val="Normal"/>
    <w:uiPriority w:val="99"/>
    <w:rsid w:val="00B9445F"/>
    <w:pPr>
      <w:spacing w:before="100" w:beforeAutospacing="1" w:after="100" w:afterAutospacing="1"/>
    </w:pPr>
    <w:rPr>
      <w:sz w:val="24"/>
      <w:szCs w:val="24"/>
    </w:rPr>
  </w:style>
  <w:style w:type="paragraph" w:styleId="FootnoteText">
    <w:name w:val="footnote text"/>
    <w:basedOn w:val="Normal"/>
    <w:link w:val="FootnoteTextChar"/>
    <w:semiHidden/>
    <w:rsid w:val="005A5BF1"/>
    <w:rPr>
      <w:rFonts w:ascii="Arial" w:hAnsi="Arial"/>
    </w:rPr>
  </w:style>
  <w:style w:type="character" w:styleId="FootnoteReference">
    <w:name w:val="footnote reference"/>
    <w:semiHidden/>
    <w:rsid w:val="005A5BF1"/>
    <w:rPr>
      <w:vertAlign w:val="superscript"/>
    </w:rPr>
  </w:style>
  <w:style w:type="paragraph" w:customStyle="1" w:styleId="ReportHeading">
    <w:name w:val="Report Heading"/>
    <w:basedOn w:val="Normal"/>
    <w:rsid w:val="00A80553"/>
    <w:pPr>
      <w:overflowPunct w:val="0"/>
      <w:autoSpaceDE w:val="0"/>
      <w:autoSpaceDN w:val="0"/>
      <w:adjustRightInd w:val="0"/>
      <w:jc w:val="center"/>
      <w:textAlignment w:val="baseline"/>
    </w:pPr>
    <w:rPr>
      <w:rFonts w:ascii="Arial" w:hAnsi="Arial"/>
      <w:b/>
      <w:color w:val="000000"/>
      <w:sz w:val="24"/>
      <w:u w:val="single"/>
      <w:lang w:val="en-US" w:eastAsia="en-US"/>
    </w:rPr>
  </w:style>
  <w:style w:type="character" w:styleId="Hyperlink">
    <w:name w:val="Hyperlink"/>
    <w:rsid w:val="00D50C64"/>
    <w:rPr>
      <w:color w:val="0000FF"/>
      <w:u w:val="single"/>
    </w:rPr>
  </w:style>
  <w:style w:type="paragraph" w:styleId="ListParagraph">
    <w:name w:val="List Paragraph"/>
    <w:aliases w:val="F5 List Paragraph,List Paragraph1,Dot pt,No Spacing1,List Paragraph Char Char Char,Indicator Text,Colorful List - Accent 11,Numbered Para 1,Bullet 1,Bullet Points,MAIN CONTENT,List Paragraph12,Bullet Style,List Paragraph2,Normal numbered"/>
    <w:basedOn w:val="Normal"/>
    <w:link w:val="ListParagraphChar"/>
    <w:qFormat/>
    <w:rsid w:val="007563A3"/>
    <w:pPr>
      <w:spacing w:after="200" w:line="276" w:lineRule="auto"/>
      <w:ind w:left="720"/>
      <w:contextualSpacing/>
    </w:pPr>
    <w:rPr>
      <w:rFonts w:ascii="Calibri" w:eastAsia="Calibri" w:hAnsi="Calibri"/>
      <w:sz w:val="22"/>
      <w:szCs w:val="22"/>
      <w:lang w:eastAsia="en-US"/>
    </w:rPr>
  </w:style>
  <w:style w:type="character" w:customStyle="1" w:styleId="article-table-text1">
    <w:name w:val="article-table-text1"/>
    <w:rsid w:val="00B26EEE"/>
    <w:rPr>
      <w:rFonts w:ascii="Tahoma" w:hAnsi="Tahoma" w:cs="Tahoma" w:hint="default"/>
      <w:sz w:val="29"/>
      <w:szCs w:val="29"/>
    </w:rPr>
  </w:style>
  <w:style w:type="paragraph" w:customStyle="1" w:styleId="exampletext">
    <w:name w:val="exampletext"/>
    <w:basedOn w:val="Normal"/>
    <w:rsid w:val="009D020D"/>
    <w:pPr>
      <w:spacing w:before="100" w:beforeAutospacing="1" w:after="100" w:afterAutospacing="1"/>
    </w:pPr>
    <w:rPr>
      <w:rFonts w:ascii="Verdana" w:hAnsi="Verdana"/>
      <w:color w:val="666666"/>
      <w:sz w:val="18"/>
      <w:szCs w:val="18"/>
    </w:rPr>
  </w:style>
  <w:style w:type="paragraph" w:customStyle="1" w:styleId="examplebullet">
    <w:name w:val="examplebullet"/>
    <w:basedOn w:val="Normal"/>
    <w:rsid w:val="009D020D"/>
    <w:pPr>
      <w:spacing w:after="100" w:afterAutospacing="1"/>
    </w:pPr>
    <w:rPr>
      <w:rFonts w:ascii="Verdana" w:hAnsi="Verdana"/>
      <w:color w:val="666666"/>
      <w:sz w:val="18"/>
      <w:szCs w:val="18"/>
    </w:rPr>
  </w:style>
  <w:style w:type="character" w:customStyle="1" w:styleId="italic1">
    <w:name w:val="italic1"/>
    <w:rsid w:val="009D020D"/>
    <w:rPr>
      <w:i/>
      <w:iCs/>
    </w:rPr>
  </w:style>
  <w:style w:type="paragraph" w:customStyle="1" w:styleId="Default">
    <w:name w:val="Default"/>
    <w:rsid w:val="00B1053F"/>
    <w:pPr>
      <w:autoSpaceDE w:val="0"/>
      <w:autoSpaceDN w:val="0"/>
      <w:adjustRightInd w:val="0"/>
    </w:pPr>
    <w:rPr>
      <w:rFonts w:ascii="Gill Sans MT Pro Medium" w:hAnsi="Gill Sans MT Pro Medium" w:cs="Gill Sans MT Pro Medium"/>
      <w:color w:val="000000"/>
      <w:sz w:val="24"/>
      <w:szCs w:val="24"/>
    </w:rPr>
  </w:style>
  <w:style w:type="paragraph" w:styleId="Revision">
    <w:name w:val="Revision"/>
    <w:hidden/>
    <w:uiPriority w:val="99"/>
    <w:semiHidden/>
    <w:rsid w:val="002C2BB9"/>
  </w:style>
  <w:style w:type="paragraph" w:customStyle="1" w:styleId="bodyindent0">
    <w:name w:val="bodyindent"/>
    <w:basedOn w:val="Normal"/>
    <w:rsid w:val="003A1C08"/>
    <w:pPr>
      <w:spacing w:before="100" w:beforeAutospacing="1" w:after="100" w:afterAutospacing="1"/>
    </w:pPr>
    <w:rPr>
      <w:rFonts w:ascii="Verdana" w:hAnsi="Verdana"/>
      <w:color w:val="000000"/>
    </w:rPr>
  </w:style>
  <w:style w:type="paragraph" w:customStyle="1" w:styleId="secbody">
    <w:name w:val="secbody"/>
    <w:basedOn w:val="Normal"/>
    <w:rsid w:val="003A1C08"/>
    <w:pPr>
      <w:spacing w:before="100" w:beforeAutospacing="1" w:after="100" w:afterAutospacing="1"/>
    </w:pPr>
    <w:rPr>
      <w:rFonts w:ascii="Verdana" w:hAnsi="Verdana"/>
      <w:color w:val="60227B"/>
    </w:rPr>
  </w:style>
  <w:style w:type="paragraph" w:customStyle="1" w:styleId="secbullets">
    <w:name w:val="secbullets"/>
    <w:basedOn w:val="Normal"/>
    <w:rsid w:val="003A1C08"/>
    <w:pPr>
      <w:spacing w:after="100" w:afterAutospacing="1"/>
    </w:pPr>
    <w:rPr>
      <w:rFonts w:ascii="Verdana" w:hAnsi="Verdana"/>
      <w:color w:val="60227B"/>
    </w:rPr>
  </w:style>
  <w:style w:type="paragraph" w:customStyle="1" w:styleId="secheadc">
    <w:name w:val="secheadc"/>
    <w:basedOn w:val="Normal"/>
    <w:rsid w:val="003A1C08"/>
    <w:pPr>
      <w:spacing w:before="100" w:beforeAutospacing="1" w:after="100" w:afterAutospacing="1"/>
    </w:pPr>
    <w:rPr>
      <w:rFonts w:ascii="Verdana" w:hAnsi="Verdana"/>
      <w:b/>
      <w:bCs/>
      <w:color w:val="60227B"/>
    </w:rPr>
  </w:style>
  <w:style w:type="paragraph" w:customStyle="1" w:styleId="secbodyindent01">
    <w:name w:val="secbodyindent01"/>
    <w:basedOn w:val="Normal"/>
    <w:rsid w:val="003A1C08"/>
    <w:pPr>
      <w:spacing w:before="100" w:beforeAutospacing="1" w:after="100" w:afterAutospacing="1"/>
    </w:pPr>
    <w:rPr>
      <w:rFonts w:ascii="Verdana" w:hAnsi="Verdana"/>
      <w:color w:val="60227B"/>
    </w:rPr>
  </w:style>
  <w:style w:type="character" w:styleId="Strong">
    <w:name w:val="Strong"/>
    <w:uiPriority w:val="22"/>
    <w:qFormat/>
    <w:rsid w:val="00D72468"/>
    <w:rPr>
      <w:b/>
      <w:bCs/>
    </w:rPr>
  </w:style>
  <w:style w:type="paragraph" w:customStyle="1" w:styleId="00-Normal-BB">
    <w:name w:val="00-Normal-BB"/>
    <w:rsid w:val="00D72468"/>
    <w:pPr>
      <w:jc w:val="both"/>
    </w:pPr>
    <w:rPr>
      <w:rFonts w:ascii="Arial" w:hAnsi="Arial"/>
      <w:sz w:val="22"/>
      <w:lang w:eastAsia="en-US"/>
    </w:rPr>
  </w:style>
  <w:style w:type="paragraph" w:customStyle="1" w:styleId="01-NormInd1-BB">
    <w:name w:val="01-NormInd1-BB"/>
    <w:basedOn w:val="00-Normal-BB"/>
    <w:rsid w:val="00D72468"/>
    <w:pPr>
      <w:ind w:left="720"/>
    </w:pPr>
  </w:style>
  <w:style w:type="character" w:customStyle="1" w:styleId="FooterChar">
    <w:name w:val="Footer Char"/>
    <w:link w:val="Footer"/>
    <w:uiPriority w:val="99"/>
    <w:rsid w:val="003573B7"/>
    <w:rPr>
      <w:rFonts w:ascii="Arial" w:hAnsi="Arial"/>
      <w:sz w:val="24"/>
    </w:rPr>
  </w:style>
  <w:style w:type="character" w:customStyle="1" w:styleId="BodyText2Char">
    <w:name w:val="Body Text 2 Char"/>
    <w:link w:val="BodyText2"/>
    <w:uiPriority w:val="99"/>
    <w:locked/>
    <w:rsid w:val="00102BB8"/>
    <w:rPr>
      <w:rFonts w:ascii="Arial" w:hAnsi="Arial"/>
      <w:color w:val="0000FF"/>
      <w:sz w:val="24"/>
    </w:rPr>
  </w:style>
  <w:style w:type="character" w:customStyle="1" w:styleId="BodyTextIndentChar">
    <w:name w:val="Body Text Indent Char"/>
    <w:link w:val="BodyTextIndent"/>
    <w:rsid w:val="00B27DAD"/>
    <w:rPr>
      <w:rFonts w:ascii="Arial" w:hAnsi="Arial"/>
      <w:i/>
      <w:sz w:val="24"/>
    </w:rPr>
  </w:style>
  <w:style w:type="paragraph" w:styleId="ListBullet5">
    <w:name w:val="List Bullet 5"/>
    <w:basedOn w:val="Normal"/>
    <w:rsid w:val="00533794"/>
    <w:pPr>
      <w:spacing w:before="100" w:after="100"/>
      <w:ind w:left="1415" w:hanging="283"/>
      <w:jc w:val="both"/>
    </w:pPr>
    <w:rPr>
      <w:rFonts w:ascii="Garamond" w:hAnsi="Garamond"/>
      <w:lang w:eastAsia="en-US"/>
    </w:rPr>
  </w:style>
  <w:style w:type="character" w:customStyle="1" w:styleId="Heading1Char">
    <w:name w:val="Heading 1 Char"/>
    <w:link w:val="Heading1"/>
    <w:rsid w:val="00DB55A5"/>
    <w:rPr>
      <w:rFonts w:ascii="Arial" w:hAnsi="Arial"/>
      <w:b/>
      <w:sz w:val="24"/>
    </w:rPr>
  </w:style>
  <w:style w:type="character" w:customStyle="1" w:styleId="Heading6Char">
    <w:name w:val="Heading 6 Char"/>
    <w:link w:val="Heading6"/>
    <w:rsid w:val="00DB55A5"/>
    <w:rPr>
      <w:rFonts w:ascii="Arial" w:hAnsi="Arial"/>
      <w:sz w:val="24"/>
      <w:u w:val="single"/>
    </w:rPr>
  </w:style>
  <w:style w:type="character" w:customStyle="1" w:styleId="Heading8Char">
    <w:name w:val="Heading 8 Char"/>
    <w:link w:val="Heading8"/>
    <w:rsid w:val="00DB55A5"/>
    <w:rPr>
      <w:rFonts w:ascii="Arial" w:hAnsi="Arial"/>
      <w:b/>
      <w:sz w:val="28"/>
    </w:rPr>
  </w:style>
  <w:style w:type="character" w:customStyle="1" w:styleId="CommentTextChar">
    <w:name w:val="Comment Text Char"/>
    <w:link w:val="CommentText"/>
    <w:uiPriority w:val="99"/>
    <w:rsid w:val="00DB55A5"/>
    <w:rPr>
      <w:rFonts w:ascii="Arial" w:hAnsi="Arial"/>
    </w:rPr>
  </w:style>
  <w:style w:type="character" w:styleId="FollowedHyperlink">
    <w:name w:val="FollowedHyperlink"/>
    <w:rsid w:val="00AB2BB2"/>
    <w:rPr>
      <w:color w:val="800080"/>
      <w:u w:val="single"/>
    </w:rPr>
  </w:style>
  <w:style w:type="character" w:customStyle="1" w:styleId="HeaderChar">
    <w:name w:val="Header Char"/>
    <w:basedOn w:val="DefaultParagraphFont"/>
    <w:link w:val="Header"/>
    <w:uiPriority w:val="99"/>
    <w:rsid w:val="0098005B"/>
  </w:style>
  <w:style w:type="paragraph" w:customStyle="1" w:styleId="inlinenormal">
    <w:name w:val="inlinenormal"/>
    <w:basedOn w:val="Normal"/>
    <w:rsid w:val="00AA403F"/>
    <w:pPr>
      <w:autoSpaceDN w:val="0"/>
      <w:spacing w:before="120" w:after="60" w:line="264" w:lineRule="auto"/>
    </w:pPr>
    <w:rPr>
      <w:rFonts w:ascii="Arial" w:hAnsi="Arial" w:cs="Arial"/>
      <w:sz w:val="24"/>
      <w:szCs w:val="24"/>
    </w:rPr>
  </w:style>
  <w:style w:type="character" w:styleId="Emphasis">
    <w:name w:val="Emphasis"/>
    <w:uiPriority w:val="20"/>
    <w:qFormat/>
    <w:rsid w:val="00AA403F"/>
    <w:rPr>
      <w:i/>
      <w:iCs/>
    </w:rPr>
  </w:style>
  <w:style w:type="paragraph" w:customStyle="1" w:styleId="tabletext">
    <w:name w:val="tabletext"/>
    <w:basedOn w:val="Normal"/>
    <w:rsid w:val="003A22F9"/>
    <w:pPr>
      <w:shd w:val="clear" w:color="auto" w:fill="EBEBEB"/>
      <w:spacing w:line="300" w:lineRule="atLeast"/>
      <w:ind w:left="45"/>
      <w:textAlignment w:val="top"/>
    </w:pPr>
    <w:rPr>
      <w:rFonts w:ascii="Verdana" w:hAnsi="Verdana"/>
      <w:sz w:val="15"/>
      <w:szCs w:val="15"/>
    </w:rPr>
  </w:style>
  <w:style w:type="paragraph" w:customStyle="1" w:styleId="tablebullet">
    <w:name w:val="tablebullet"/>
    <w:basedOn w:val="Normal"/>
    <w:rsid w:val="003A22F9"/>
    <w:pPr>
      <w:shd w:val="clear" w:color="auto" w:fill="EBEBEB"/>
      <w:spacing w:line="300" w:lineRule="atLeast"/>
      <w:ind w:left="45"/>
    </w:pPr>
    <w:rPr>
      <w:rFonts w:ascii="Verdana" w:hAnsi="Verdana"/>
      <w:sz w:val="15"/>
      <w:szCs w:val="15"/>
    </w:rPr>
  </w:style>
  <w:style w:type="paragraph" w:styleId="NoSpacing">
    <w:name w:val="No Spacing"/>
    <w:uiPriority w:val="1"/>
    <w:qFormat/>
    <w:rsid w:val="007E0184"/>
    <w:rPr>
      <w:rFonts w:ascii="Calibri" w:eastAsia="Calibri" w:hAnsi="Calibri" w:cs="Calibri"/>
      <w:sz w:val="22"/>
      <w:szCs w:val="22"/>
      <w:lang w:val="en-US" w:eastAsia="en-US"/>
    </w:rPr>
  </w:style>
  <w:style w:type="paragraph" w:customStyle="1" w:styleId="headd">
    <w:name w:val="headd"/>
    <w:basedOn w:val="Normal"/>
    <w:rsid w:val="00A50DDF"/>
    <w:pPr>
      <w:spacing w:before="100" w:beforeAutospacing="1" w:after="100" w:afterAutospacing="1"/>
    </w:pPr>
    <w:rPr>
      <w:rFonts w:ascii="Verdana" w:hAnsi="Verdana"/>
      <w:i/>
      <w:iCs/>
      <w:sz w:val="18"/>
      <w:szCs w:val="18"/>
    </w:rPr>
  </w:style>
  <w:style w:type="paragraph" w:customStyle="1" w:styleId="ab">
    <w:name w:val="ab"/>
    <w:basedOn w:val="Normal"/>
    <w:rsid w:val="00A50DDF"/>
    <w:pPr>
      <w:spacing w:before="100" w:beforeAutospacing="1" w:after="100" w:afterAutospacing="1"/>
    </w:pPr>
    <w:rPr>
      <w:rFonts w:ascii="Verdana" w:hAnsi="Verdana"/>
      <w:color w:val="000000"/>
      <w:sz w:val="18"/>
      <w:szCs w:val="18"/>
    </w:rPr>
  </w:style>
  <w:style w:type="paragraph" w:customStyle="1" w:styleId="iii">
    <w:name w:val="iii"/>
    <w:basedOn w:val="Normal"/>
    <w:rsid w:val="00A50DDF"/>
    <w:pPr>
      <w:spacing w:before="100" w:beforeAutospacing="1" w:after="100" w:afterAutospacing="1"/>
    </w:pPr>
    <w:rPr>
      <w:rFonts w:ascii="Verdana" w:hAnsi="Verdana"/>
      <w:color w:val="000000"/>
      <w:sz w:val="18"/>
      <w:szCs w:val="18"/>
    </w:rPr>
  </w:style>
  <w:style w:type="paragraph" w:customStyle="1" w:styleId="ab2">
    <w:name w:val="ab2"/>
    <w:basedOn w:val="Normal"/>
    <w:rsid w:val="00A50DDF"/>
    <w:pPr>
      <w:spacing w:before="100" w:beforeAutospacing="1" w:after="100" w:afterAutospacing="1"/>
    </w:pPr>
    <w:rPr>
      <w:rFonts w:ascii="Verdana" w:hAnsi="Verdana"/>
      <w:color w:val="000000"/>
      <w:sz w:val="18"/>
      <w:szCs w:val="18"/>
    </w:rPr>
  </w:style>
  <w:style w:type="character" w:customStyle="1" w:styleId="small">
    <w:name w:val="small"/>
    <w:basedOn w:val="DefaultParagraphFont"/>
    <w:rsid w:val="00A50DDF"/>
  </w:style>
  <w:style w:type="paragraph" w:customStyle="1" w:styleId="exampleend">
    <w:name w:val="exampleend"/>
    <w:basedOn w:val="Normal"/>
    <w:rsid w:val="003C4315"/>
    <w:pPr>
      <w:pBdr>
        <w:bottom w:val="single" w:sz="6" w:space="4" w:color="60227B"/>
      </w:pBdr>
      <w:spacing w:before="100" w:beforeAutospacing="1" w:after="100" w:afterAutospacing="1"/>
    </w:pPr>
    <w:rPr>
      <w:rFonts w:ascii="Verdana" w:hAnsi="Verdana"/>
      <w:color w:val="60227B"/>
      <w:sz w:val="18"/>
      <w:szCs w:val="18"/>
    </w:rPr>
  </w:style>
  <w:style w:type="paragraph" w:customStyle="1" w:styleId="Pa314">
    <w:name w:val="Pa3+14"/>
    <w:basedOn w:val="Normal"/>
    <w:next w:val="Normal"/>
    <w:rsid w:val="0068256C"/>
    <w:pPr>
      <w:autoSpaceDE w:val="0"/>
      <w:autoSpaceDN w:val="0"/>
      <w:adjustRightInd w:val="0"/>
      <w:spacing w:line="181" w:lineRule="atLeast"/>
    </w:pPr>
    <w:rPr>
      <w:rFonts w:ascii="Vodafone Lt" w:hAnsi="Vodafone Lt"/>
      <w:sz w:val="24"/>
      <w:szCs w:val="24"/>
    </w:rPr>
  </w:style>
  <w:style w:type="table" w:styleId="TableGrid">
    <w:name w:val="Table Grid"/>
    <w:basedOn w:val="TableNormal"/>
    <w:uiPriority w:val="39"/>
    <w:rsid w:val="00BE7C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locked/>
    <w:rsid w:val="0061056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F0551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locked/>
    <w:rsid w:val="00E52F77"/>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C34CFC"/>
    <w:rPr>
      <w:rFonts w:ascii="Calibri" w:eastAsia="Calibri" w:hAnsi="Calibri"/>
      <w:sz w:val="22"/>
      <w:szCs w:val="22"/>
      <w:lang w:eastAsia="en-US"/>
    </w:rPr>
  </w:style>
  <w:style w:type="table" w:customStyle="1" w:styleId="TableGrid4">
    <w:name w:val="Table Grid4"/>
    <w:basedOn w:val="TableNormal"/>
    <w:next w:val="TableGrid"/>
    <w:locked/>
    <w:rsid w:val="008F0DF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locked/>
    <w:rsid w:val="00EB18BE"/>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locked/>
    <w:rsid w:val="00692C2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3B74DA"/>
    <w:rPr>
      <w:rFonts w:ascii="Arial" w:hAnsi="Arial" w:cs="Arial"/>
      <w:b/>
      <w:bCs/>
      <w:i/>
      <w:iCs/>
      <w:sz w:val="28"/>
      <w:szCs w:val="28"/>
    </w:rPr>
  </w:style>
  <w:style w:type="character" w:customStyle="1" w:styleId="Heading3Char">
    <w:name w:val="Heading 3 Char"/>
    <w:basedOn w:val="DefaultParagraphFont"/>
    <w:link w:val="Heading3"/>
    <w:rsid w:val="003B74DA"/>
    <w:rPr>
      <w:rFonts w:ascii="Arial" w:hAnsi="Arial"/>
      <w:b/>
      <w:i/>
      <w:sz w:val="24"/>
    </w:rPr>
  </w:style>
  <w:style w:type="character" w:customStyle="1" w:styleId="Heading4Char">
    <w:name w:val="Heading 4 Char"/>
    <w:basedOn w:val="DefaultParagraphFont"/>
    <w:link w:val="Heading4"/>
    <w:rsid w:val="003B74DA"/>
    <w:rPr>
      <w:b/>
      <w:bCs/>
      <w:sz w:val="28"/>
      <w:szCs w:val="28"/>
    </w:rPr>
  </w:style>
  <w:style w:type="character" w:customStyle="1" w:styleId="Heading5Char">
    <w:name w:val="Heading 5 Char"/>
    <w:basedOn w:val="DefaultParagraphFont"/>
    <w:link w:val="Heading5"/>
    <w:rsid w:val="003B74DA"/>
    <w:rPr>
      <w:rFonts w:ascii="Arial" w:hAnsi="Arial"/>
      <w:i/>
      <w:sz w:val="24"/>
    </w:rPr>
  </w:style>
  <w:style w:type="character" w:customStyle="1" w:styleId="Heading7Char">
    <w:name w:val="Heading 7 Char"/>
    <w:basedOn w:val="DefaultParagraphFont"/>
    <w:link w:val="Heading7"/>
    <w:rsid w:val="003B74DA"/>
    <w:rPr>
      <w:sz w:val="24"/>
      <w:szCs w:val="24"/>
    </w:rPr>
  </w:style>
  <w:style w:type="character" w:customStyle="1" w:styleId="TitleChar">
    <w:name w:val="Title Char"/>
    <w:basedOn w:val="DefaultParagraphFont"/>
    <w:link w:val="Title"/>
    <w:rsid w:val="003B74DA"/>
    <w:rPr>
      <w:rFonts w:ascii="Arial" w:hAnsi="Arial"/>
      <w:b/>
      <w:sz w:val="32"/>
    </w:rPr>
  </w:style>
  <w:style w:type="character" w:customStyle="1" w:styleId="BodyText3Char">
    <w:name w:val="Body Text 3 Char"/>
    <w:basedOn w:val="DefaultParagraphFont"/>
    <w:link w:val="BodyText3"/>
    <w:rsid w:val="003B74DA"/>
    <w:rPr>
      <w:rFonts w:ascii="Arial" w:hAnsi="Arial"/>
      <w:color w:val="FF0000"/>
      <w:sz w:val="24"/>
    </w:rPr>
  </w:style>
  <w:style w:type="character" w:customStyle="1" w:styleId="BodyTextIndent2Char">
    <w:name w:val="Body Text Indent 2 Char"/>
    <w:basedOn w:val="DefaultParagraphFont"/>
    <w:link w:val="BodyTextIndent2"/>
    <w:rsid w:val="003B74DA"/>
    <w:rPr>
      <w:rFonts w:ascii="Arial" w:hAnsi="Arial"/>
      <w:sz w:val="24"/>
    </w:rPr>
  </w:style>
  <w:style w:type="character" w:customStyle="1" w:styleId="BodyTextChar">
    <w:name w:val="Body Text Char"/>
    <w:basedOn w:val="DefaultParagraphFont"/>
    <w:link w:val="BodyText"/>
    <w:rsid w:val="003B74DA"/>
    <w:rPr>
      <w:rFonts w:ascii="Arial" w:hAnsi="Arial"/>
      <w:i/>
      <w:sz w:val="24"/>
    </w:rPr>
  </w:style>
  <w:style w:type="character" w:customStyle="1" w:styleId="BodyTextIndent3Char">
    <w:name w:val="Body Text Indent 3 Char"/>
    <w:basedOn w:val="DefaultParagraphFont"/>
    <w:link w:val="BodyTextIndent3"/>
    <w:rsid w:val="003B74DA"/>
    <w:rPr>
      <w:rFonts w:ascii="Arial" w:hAnsi="Arial"/>
      <w:sz w:val="24"/>
    </w:rPr>
  </w:style>
  <w:style w:type="character" w:customStyle="1" w:styleId="BalloonTextChar">
    <w:name w:val="Balloon Text Char"/>
    <w:basedOn w:val="DefaultParagraphFont"/>
    <w:link w:val="BalloonText"/>
    <w:semiHidden/>
    <w:rsid w:val="003B74DA"/>
    <w:rPr>
      <w:rFonts w:ascii="Tahoma" w:hAnsi="Tahoma" w:cs="Tahoma"/>
      <w:sz w:val="16"/>
      <w:szCs w:val="16"/>
    </w:rPr>
  </w:style>
  <w:style w:type="character" w:customStyle="1" w:styleId="CommentSubjectChar">
    <w:name w:val="Comment Subject Char"/>
    <w:basedOn w:val="CommentTextChar"/>
    <w:link w:val="CommentSubject"/>
    <w:semiHidden/>
    <w:rsid w:val="003B74DA"/>
    <w:rPr>
      <w:rFonts w:ascii="Arial" w:hAnsi="Arial"/>
      <w:b/>
      <w:bCs/>
    </w:rPr>
  </w:style>
  <w:style w:type="character" w:customStyle="1" w:styleId="FootnoteTextChar">
    <w:name w:val="Footnote Text Char"/>
    <w:basedOn w:val="DefaultParagraphFont"/>
    <w:link w:val="FootnoteText"/>
    <w:semiHidden/>
    <w:rsid w:val="003B74DA"/>
    <w:rPr>
      <w:rFonts w:ascii="Arial" w:hAnsi="Arial"/>
    </w:rPr>
  </w:style>
  <w:style w:type="table" w:customStyle="1" w:styleId="TableGrid7">
    <w:name w:val="Table Grid7"/>
    <w:basedOn w:val="TableNormal"/>
    <w:next w:val="TableGrid"/>
    <w:locked/>
    <w:rsid w:val="00282FC1"/>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44C80"/>
    <w:rPr>
      <w:color w:val="605E5C"/>
      <w:shd w:val="clear" w:color="auto" w:fill="E1DFDD"/>
    </w:rPr>
  </w:style>
  <w:style w:type="table" w:customStyle="1" w:styleId="TableGrid8">
    <w:name w:val="Table Grid8"/>
    <w:basedOn w:val="TableNormal"/>
    <w:next w:val="TableGrid"/>
    <w:uiPriority w:val="39"/>
    <w:rsid w:val="00677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6779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semiHidden/>
    <w:unhideWhenUsed/>
    <w:rsid w:val="00E04184"/>
    <w:pPr>
      <w:numPr>
        <w:numId w:val="30"/>
      </w:numPr>
      <w:contextualSpacing/>
    </w:pPr>
  </w:style>
  <w:style w:type="paragraph" w:styleId="ListBullet2">
    <w:name w:val="List Bullet 2"/>
    <w:basedOn w:val="Normal"/>
    <w:semiHidden/>
    <w:unhideWhenUsed/>
    <w:rsid w:val="00E04184"/>
    <w:pPr>
      <w:numPr>
        <w:numId w:val="31"/>
      </w:numPr>
      <w:contextualSpacing/>
    </w:pPr>
  </w:style>
  <w:style w:type="paragraph" w:styleId="ListBullet3">
    <w:name w:val="List Bullet 3"/>
    <w:basedOn w:val="Normal"/>
    <w:semiHidden/>
    <w:unhideWhenUsed/>
    <w:rsid w:val="00E04184"/>
    <w:pPr>
      <w:numPr>
        <w:numId w:val="32"/>
      </w:numPr>
      <w:contextualSpacing/>
    </w:pPr>
  </w:style>
  <w:style w:type="table" w:customStyle="1" w:styleId="TableGrid10">
    <w:name w:val="Table Grid10"/>
    <w:basedOn w:val="TableNormal"/>
    <w:next w:val="TableGrid"/>
    <w:uiPriority w:val="39"/>
    <w:rsid w:val="008F53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8122C4"/>
    <w:rPr>
      <w:rFonts w:ascii="Calibri" w:hAnsi="Calibri"/>
      <w:kern w:val="2"/>
      <w:sz w:val="22"/>
      <w:szCs w:val="22"/>
      <w14:ligatures w14:val="standardContextual"/>
    </w:rPr>
    <w:tblPr>
      <w:tblCellMar>
        <w:top w:w="0" w:type="dxa"/>
        <w:left w:w="0" w:type="dxa"/>
        <w:bottom w:w="0" w:type="dxa"/>
        <w:right w:w="0" w:type="dxa"/>
      </w:tblCellMar>
    </w:tblPr>
  </w:style>
  <w:style w:type="character" w:customStyle="1" w:styleId="font321">
    <w:name w:val="font321"/>
    <w:basedOn w:val="DefaultParagraphFont"/>
    <w:rsid w:val="00307457"/>
    <w:rPr>
      <w:rFonts w:ascii="Times New Roman" w:hAnsi="Times New Roman" w:cs="Times New Roman" w:hint="default"/>
      <w:b w:val="0"/>
      <w:bCs w:val="0"/>
      <w:i w:val="0"/>
      <w:iCs w:val="0"/>
      <w:strike w:val="0"/>
      <w:dstrike w:val="0"/>
      <w:color w:val="000000"/>
      <w:sz w:val="14"/>
      <w:szCs w:val="14"/>
      <w:u w:val="none"/>
      <w:effect w:val="none"/>
    </w:rPr>
  </w:style>
  <w:style w:type="character" w:customStyle="1" w:styleId="font281">
    <w:name w:val="font281"/>
    <w:basedOn w:val="DefaultParagraphFont"/>
    <w:rsid w:val="00307457"/>
    <w:rPr>
      <w:rFonts w:ascii="Arial" w:hAnsi="Arial" w:cs="Arial" w:hint="default"/>
      <w:b w:val="0"/>
      <w:bCs w:val="0"/>
      <w:i w:val="0"/>
      <w:iCs w:val="0"/>
      <w:strike w:val="0"/>
      <w:dstrike w:val="0"/>
      <w:color w:val="000000"/>
      <w:sz w:val="20"/>
      <w:szCs w:val="20"/>
      <w:u w:val="none"/>
      <w:effect w:val="none"/>
    </w:rPr>
  </w:style>
  <w:style w:type="character" w:customStyle="1" w:styleId="font311">
    <w:name w:val="font311"/>
    <w:basedOn w:val="DefaultParagraphFont"/>
    <w:rsid w:val="00307457"/>
    <w:rPr>
      <w:rFonts w:ascii="Symbol" w:hAnsi="Symbol" w:hint="default"/>
      <w:b w:val="0"/>
      <w:bCs w:val="0"/>
      <w:i w:val="0"/>
      <w:iCs w:val="0"/>
      <w:strike w:val="0"/>
      <w:dstrike w:val="0"/>
      <w:color w:val="000000"/>
      <w:sz w:val="20"/>
      <w:szCs w:val="20"/>
      <w:u w:val="none"/>
      <w:effect w:val="none"/>
    </w:rPr>
  </w:style>
  <w:style w:type="character" w:customStyle="1" w:styleId="font71">
    <w:name w:val="font71"/>
    <w:basedOn w:val="DefaultParagraphFont"/>
    <w:rsid w:val="00E96552"/>
    <w:rPr>
      <w:rFonts w:ascii="Arial" w:hAnsi="Arial" w:cs="Arial" w:hint="default"/>
      <w:b w:val="0"/>
      <w:bCs w:val="0"/>
      <w:i w:val="0"/>
      <w:iCs w:val="0"/>
      <w:strike w:val="0"/>
      <w:dstrike w:val="0"/>
      <w:color w:val="000000"/>
      <w:sz w:val="16"/>
      <w:szCs w:val="16"/>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64660">
      <w:bodyDiv w:val="1"/>
      <w:marLeft w:val="0"/>
      <w:marRight w:val="0"/>
      <w:marTop w:val="0"/>
      <w:marBottom w:val="0"/>
      <w:divBdr>
        <w:top w:val="none" w:sz="0" w:space="0" w:color="auto"/>
        <w:left w:val="none" w:sz="0" w:space="0" w:color="auto"/>
        <w:bottom w:val="none" w:sz="0" w:space="0" w:color="auto"/>
        <w:right w:val="none" w:sz="0" w:space="0" w:color="auto"/>
      </w:divBdr>
    </w:div>
    <w:div w:id="9180781">
      <w:bodyDiv w:val="1"/>
      <w:marLeft w:val="0"/>
      <w:marRight w:val="0"/>
      <w:marTop w:val="0"/>
      <w:marBottom w:val="0"/>
      <w:divBdr>
        <w:top w:val="none" w:sz="0" w:space="0" w:color="auto"/>
        <w:left w:val="none" w:sz="0" w:space="0" w:color="auto"/>
        <w:bottom w:val="none" w:sz="0" w:space="0" w:color="auto"/>
        <w:right w:val="none" w:sz="0" w:space="0" w:color="auto"/>
      </w:divBdr>
    </w:div>
    <w:div w:id="12584179">
      <w:bodyDiv w:val="1"/>
      <w:marLeft w:val="0"/>
      <w:marRight w:val="0"/>
      <w:marTop w:val="0"/>
      <w:marBottom w:val="0"/>
      <w:divBdr>
        <w:top w:val="none" w:sz="0" w:space="0" w:color="auto"/>
        <w:left w:val="none" w:sz="0" w:space="0" w:color="auto"/>
        <w:bottom w:val="none" w:sz="0" w:space="0" w:color="auto"/>
        <w:right w:val="none" w:sz="0" w:space="0" w:color="auto"/>
      </w:divBdr>
    </w:div>
    <w:div w:id="20935519">
      <w:bodyDiv w:val="1"/>
      <w:marLeft w:val="0"/>
      <w:marRight w:val="0"/>
      <w:marTop w:val="0"/>
      <w:marBottom w:val="0"/>
      <w:divBdr>
        <w:top w:val="none" w:sz="0" w:space="0" w:color="auto"/>
        <w:left w:val="none" w:sz="0" w:space="0" w:color="auto"/>
        <w:bottom w:val="none" w:sz="0" w:space="0" w:color="auto"/>
        <w:right w:val="none" w:sz="0" w:space="0" w:color="auto"/>
      </w:divBdr>
    </w:div>
    <w:div w:id="25303337">
      <w:bodyDiv w:val="1"/>
      <w:marLeft w:val="0"/>
      <w:marRight w:val="0"/>
      <w:marTop w:val="0"/>
      <w:marBottom w:val="0"/>
      <w:divBdr>
        <w:top w:val="none" w:sz="0" w:space="0" w:color="auto"/>
        <w:left w:val="none" w:sz="0" w:space="0" w:color="auto"/>
        <w:bottom w:val="none" w:sz="0" w:space="0" w:color="auto"/>
        <w:right w:val="none" w:sz="0" w:space="0" w:color="auto"/>
      </w:divBdr>
    </w:div>
    <w:div w:id="29958571">
      <w:bodyDiv w:val="1"/>
      <w:marLeft w:val="0"/>
      <w:marRight w:val="0"/>
      <w:marTop w:val="0"/>
      <w:marBottom w:val="0"/>
      <w:divBdr>
        <w:top w:val="none" w:sz="0" w:space="0" w:color="auto"/>
        <w:left w:val="none" w:sz="0" w:space="0" w:color="auto"/>
        <w:bottom w:val="none" w:sz="0" w:space="0" w:color="auto"/>
        <w:right w:val="none" w:sz="0" w:space="0" w:color="auto"/>
      </w:divBdr>
    </w:div>
    <w:div w:id="36198410">
      <w:bodyDiv w:val="1"/>
      <w:marLeft w:val="0"/>
      <w:marRight w:val="0"/>
      <w:marTop w:val="0"/>
      <w:marBottom w:val="0"/>
      <w:divBdr>
        <w:top w:val="none" w:sz="0" w:space="0" w:color="auto"/>
        <w:left w:val="none" w:sz="0" w:space="0" w:color="auto"/>
        <w:bottom w:val="none" w:sz="0" w:space="0" w:color="auto"/>
        <w:right w:val="none" w:sz="0" w:space="0" w:color="auto"/>
      </w:divBdr>
    </w:div>
    <w:div w:id="38480894">
      <w:bodyDiv w:val="1"/>
      <w:marLeft w:val="0"/>
      <w:marRight w:val="0"/>
      <w:marTop w:val="0"/>
      <w:marBottom w:val="0"/>
      <w:divBdr>
        <w:top w:val="none" w:sz="0" w:space="0" w:color="auto"/>
        <w:left w:val="none" w:sz="0" w:space="0" w:color="auto"/>
        <w:bottom w:val="none" w:sz="0" w:space="0" w:color="auto"/>
        <w:right w:val="none" w:sz="0" w:space="0" w:color="auto"/>
      </w:divBdr>
    </w:div>
    <w:div w:id="44528630">
      <w:bodyDiv w:val="1"/>
      <w:marLeft w:val="0"/>
      <w:marRight w:val="0"/>
      <w:marTop w:val="0"/>
      <w:marBottom w:val="0"/>
      <w:divBdr>
        <w:top w:val="none" w:sz="0" w:space="0" w:color="auto"/>
        <w:left w:val="none" w:sz="0" w:space="0" w:color="auto"/>
        <w:bottom w:val="none" w:sz="0" w:space="0" w:color="auto"/>
        <w:right w:val="none" w:sz="0" w:space="0" w:color="auto"/>
      </w:divBdr>
      <w:divsChild>
        <w:div w:id="1093670537">
          <w:marLeft w:val="0"/>
          <w:marRight w:val="0"/>
          <w:marTop w:val="0"/>
          <w:marBottom w:val="0"/>
          <w:divBdr>
            <w:top w:val="none" w:sz="0" w:space="0" w:color="auto"/>
            <w:left w:val="none" w:sz="0" w:space="0" w:color="auto"/>
            <w:bottom w:val="none" w:sz="0" w:space="0" w:color="auto"/>
            <w:right w:val="none" w:sz="0" w:space="0" w:color="auto"/>
          </w:divBdr>
          <w:divsChild>
            <w:div w:id="63308261">
              <w:marLeft w:val="0"/>
              <w:marRight w:val="0"/>
              <w:marTop w:val="0"/>
              <w:marBottom w:val="0"/>
              <w:divBdr>
                <w:top w:val="none" w:sz="0" w:space="0" w:color="auto"/>
                <w:left w:val="none" w:sz="0" w:space="0" w:color="auto"/>
                <w:bottom w:val="none" w:sz="0" w:space="0" w:color="auto"/>
                <w:right w:val="none" w:sz="0" w:space="0" w:color="auto"/>
              </w:divBdr>
              <w:divsChild>
                <w:div w:id="508835173">
                  <w:marLeft w:val="0"/>
                  <w:marRight w:val="0"/>
                  <w:marTop w:val="0"/>
                  <w:marBottom w:val="0"/>
                  <w:divBdr>
                    <w:top w:val="none" w:sz="0" w:space="0" w:color="auto"/>
                    <w:left w:val="none" w:sz="0" w:space="0" w:color="auto"/>
                    <w:bottom w:val="none" w:sz="0" w:space="0" w:color="auto"/>
                    <w:right w:val="none" w:sz="0" w:space="0" w:color="auto"/>
                  </w:divBdr>
                  <w:divsChild>
                    <w:div w:id="1714428644">
                      <w:marLeft w:val="0"/>
                      <w:marRight w:val="0"/>
                      <w:marTop w:val="0"/>
                      <w:marBottom w:val="0"/>
                      <w:divBdr>
                        <w:top w:val="none" w:sz="0" w:space="0" w:color="auto"/>
                        <w:left w:val="none" w:sz="0" w:space="0" w:color="auto"/>
                        <w:bottom w:val="none" w:sz="0" w:space="0" w:color="auto"/>
                        <w:right w:val="none" w:sz="0" w:space="0" w:color="auto"/>
                      </w:divBdr>
                      <w:divsChild>
                        <w:div w:id="995766311">
                          <w:marLeft w:val="0"/>
                          <w:marRight w:val="0"/>
                          <w:marTop w:val="0"/>
                          <w:marBottom w:val="0"/>
                          <w:divBdr>
                            <w:top w:val="none" w:sz="0" w:space="0" w:color="auto"/>
                            <w:left w:val="none" w:sz="0" w:space="0" w:color="auto"/>
                            <w:bottom w:val="none" w:sz="0" w:space="0" w:color="auto"/>
                            <w:right w:val="none" w:sz="0" w:space="0" w:color="auto"/>
                          </w:divBdr>
                          <w:divsChild>
                            <w:div w:id="579412519">
                              <w:marLeft w:val="0"/>
                              <w:marRight w:val="0"/>
                              <w:marTop w:val="0"/>
                              <w:marBottom w:val="0"/>
                              <w:divBdr>
                                <w:top w:val="none" w:sz="0" w:space="0" w:color="auto"/>
                                <w:left w:val="none" w:sz="0" w:space="0" w:color="auto"/>
                                <w:bottom w:val="none" w:sz="0" w:space="0" w:color="auto"/>
                                <w:right w:val="none" w:sz="0" w:space="0" w:color="auto"/>
                              </w:divBdr>
                              <w:divsChild>
                                <w:div w:id="1347832648">
                                  <w:marLeft w:val="0"/>
                                  <w:marRight w:val="0"/>
                                  <w:marTop w:val="0"/>
                                  <w:marBottom w:val="0"/>
                                  <w:divBdr>
                                    <w:top w:val="none" w:sz="0" w:space="0" w:color="auto"/>
                                    <w:left w:val="none" w:sz="0" w:space="0" w:color="auto"/>
                                    <w:bottom w:val="none" w:sz="0" w:space="0" w:color="auto"/>
                                    <w:right w:val="none" w:sz="0" w:space="0" w:color="auto"/>
                                  </w:divBdr>
                                  <w:divsChild>
                                    <w:div w:id="874151376">
                                      <w:marLeft w:val="0"/>
                                      <w:marRight w:val="0"/>
                                      <w:marTop w:val="0"/>
                                      <w:marBottom w:val="0"/>
                                      <w:divBdr>
                                        <w:top w:val="none" w:sz="0" w:space="0" w:color="auto"/>
                                        <w:left w:val="none" w:sz="0" w:space="0" w:color="auto"/>
                                        <w:bottom w:val="none" w:sz="0" w:space="0" w:color="auto"/>
                                        <w:right w:val="none" w:sz="0" w:space="0" w:color="auto"/>
                                      </w:divBdr>
                                      <w:divsChild>
                                        <w:div w:id="2125615768">
                                          <w:marLeft w:val="0"/>
                                          <w:marRight w:val="0"/>
                                          <w:marTop w:val="0"/>
                                          <w:marBottom w:val="0"/>
                                          <w:divBdr>
                                            <w:top w:val="none" w:sz="0" w:space="0" w:color="auto"/>
                                            <w:left w:val="none" w:sz="0" w:space="0" w:color="auto"/>
                                            <w:bottom w:val="none" w:sz="0" w:space="0" w:color="auto"/>
                                            <w:right w:val="none" w:sz="0" w:space="0" w:color="auto"/>
                                          </w:divBdr>
                                          <w:divsChild>
                                            <w:div w:id="2100977344">
                                              <w:marLeft w:val="0"/>
                                              <w:marRight w:val="0"/>
                                              <w:marTop w:val="0"/>
                                              <w:marBottom w:val="0"/>
                                              <w:divBdr>
                                                <w:top w:val="none" w:sz="0" w:space="0" w:color="auto"/>
                                                <w:left w:val="none" w:sz="0" w:space="0" w:color="auto"/>
                                                <w:bottom w:val="none" w:sz="0" w:space="0" w:color="auto"/>
                                                <w:right w:val="none" w:sz="0" w:space="0" w:color="auto"/>
                                              </w:divBdr>
                                              <w:divsChild>
                                                <w:div w:id="440806843">
                                                  <w:marLeft w:val="0"/>
                                                  <w:marRight w:val="0"/>
                                                  <w:marTop w:val="0"/>
                                                  <w:marBottom w:val="0"/>
                                                  <w:divBdr>
                                                    <w:top w:val="none" w:sz="0" w:space="0" w:color="auto"/>
                                                    <w:left w:val="none" w:sz="0" w:space="0" w:color="auto"/>
                                                    <w:bottom w:val="none" w:sz="0" w:space="0" w:color="auto"/>
                                                    <w:right w:val="none" w:sz="0" w:space="0" w:color="auto"/>
                                                  </w:divBdr>
                                                  <w:divsChild>
                                                    <w:div w:id="999191841">
                                                      <w:marLeft w:val="0"/>
                                                      <w:marRight w:val="0"/>
                                                      <w:marTop w:val="0"/>
                                                      <w:marBottom w:val="0"/>
                                                      <w:divBdr>
                                                        <w:top w:val="none" w:sz="0" w:space="0" w:color="auto"/>
                                                        <w:left w:val="none" w:sz="0" w:space="0" w:color="auto"/>
                                                        <w:bottom w:val="none" w:sz="0" w:space="0" w:color="auto"/>
                                                        <w:right w:val="none" w:sz="0" w:space="0" w:color="auto"/>
                                                      </w:divBdr>
                                                      <w:divsChild>
                                                        <w:div w:id="117994399">
                                                          <w:marLeft w:val="0"/>
                                                          <w:marRight w:val="0"/>
                                                          <w:marTop w:val="0"/>
                                                          <w:marBottom w:val="0"/>
                                                          <w:divBdr>
                                                            <w:top w:val="none" w:sz="0" w:space="0" w:color="auto"/>
                                                            <w:left w:val="none" w:sz="0" w:space="0" w:color="auto"/>
                                                            <w:bottom w:val="none" w:sz="0" w:space="0" w:color="auto"/>
                                                            <w:right w:val="none" w:sz="0" w:space="0" w:color="auto"/>
                                                          </w:divBdr>
                                                          <w:divsChild>
                                                            <w:div w:id="159173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9614561">
      <w:bodyDiv w:val="1"/>
      <w:marLeft w:val="0"/>
      <w:marRight w:val="0"/>
      <w:marTop w:val="0"/>
      <w:marBottom w:val="0"/>
      <w:divBdr>
        <w:top w:val="none" w:sz="0" w:space="0" w:color="auto"/>
        <w:left w:val="none" w:sz="0" w:space="0" w:color="auto"/>
        <w:bottom w:val="none" w:sz="0" w:space="0" w:color="auto"/>
        <w:right w:val="none" w:sz="0" w:space="0" w:color="auto"/>
      </w:divBdr>
    </w:div>
    <w:div w:id="51926173">
      <w:bodyDiv w:val="1"/>
      <w:marLeft w:val="0"/>
      <w:marRight w:val="0"/>
      <w:marTop w:val="0"/>
      <w:marBottom w:val="0"/>
      <w:divBdr>
        <w:top w:val="none" w:sz="0" w:space="0" w:color="auto"/>
        <w:left w:val="none" w:sz="0" w:space="0" w:color="auto"/>
        <w:bottom w:val="none" w:sz="0" w:space="0" w:color="auto"/>
        <w:right w:val="none" w:sz="0" w:space="0" w:color="auto"/>
      </w:divBdr>
    </w:div>
    <w:div w:id="52312791">
      <w:bodyDiv w:val="1"/>
      <w:marLeft w:val="0"/>
      <w:marRight w:val="0"/>
      <w:marTop w:val="0"/>
      <w:marBottom w:val="0"/>
      <w:divBdr>
        <w:top w:val="none" w:sz="0" w:space="0" w:color="auto"/>
        <w:left w:val="none" w:sz="0" w:space="0" w:color="auto"/>
        <w:bottom w:val="none" w:sz="0" w:space="0" w:color="auto"/>
        <w:right w:val="none" w:sz="0" w:space="0" w:color="auto"/>
      </w:divBdr>
    </w:div>
    <w:div w:id="55592776">
      <w:bodyDiv w:val="1"/>
      <w:marLeft w:val="0"/>
      <w:marRight w:val="0"/>
      <w:marTop w:val="0"/>
      <w:marBottom w:val="0"/>
      <w:divBdr>
        <w:top w:val="none" w:sz="0" w:space="0" w:color="auto"/>
        <w:left w:val="none" w:sz="0" w:space="0" w:color="auto"/>
        <w:bottom w:val="none" w:sz="0" w:space="0" w:color="auto"/>
        <w:right w:val="none" w:sz="0" w:space="0" w:color="auto"/>
      </w:divBdr>
    </w:div>
    <w:div w:id="56131078">
      <w:bodyDiv w:val="1"/>
      <w:marLeft w:val="0"/>
      <w:marRight w:val="0"/>
      <w:marTop w:val="0"/>
      <w:marBottom w:val="0"/>
      <w:divBdr>
        <w:top w:val="none" w:sz="0" w:space="0" w:color="auto"/>
        <w:left w:val="none" w:sz="0" w:space="0" w:color="auto"/>
        <w:bottom w:val="none" w:sz="0" w:space="0" w:color="auto"/>
        <w:right w:val="none" w:sz="0" w:space="0" w:color="auto"/>
      </w:divBdr>
    </w:div>
    <w:div w:id="56243435">
      <w:bodyDiv w:val="1"/>
      <w:marLeft w:val="0"/>
      <w:marRight w:val="0"/>
      <w:marTop w:val="0"/>
      <w:marBottom w:val="0"/>
      <w:divBdr>
        <w:top w:val="none" w:sz="0" w:space="0" w:color="auto"/>
        <w:left w:val="none" w:sz="0" w:space="0" w:color="auto"/>
        <w:bottom w:val="none" w:sz="0" w:space="0" w:color="auto"/>
        <w:right w:val="none" w:sz="0" w:space="0" w:color="auto"/>
      </w:divBdr>
    </w:div>
    <w:div w:id="59251833">
      <w:bodyDiv w:val="1"/>
      <w:marLeft w:val="0"/>
      <w:marRight w:val="0"/>
      <w:marTop w:val="0"/>
      <w:marBottom w:val="0"/>
      <w:divBdr>
        <w:top w:val="none" w:sz="0" w:space="0" w:color="auto"/>
        <w:left w:val="none" w:sz="0" w:space="0" w:color="auto"/>
        <w:bottom w:val="none" w:sz="0" w:space="0" w:color="auto"/>
        <w:right w:val="none" w:sz="0" w:space="0" w:color="auto"/>
      </w:divBdr>
    </w:div>
    <w:div w:id="59259412">
      <w:bodyDiv w:val="1"/>
      <w:marLeft w:val="0"/>
      <w:marRight w:val="0"/>
      <w:marTop w:val="0"/>
      <w:marBottom w:val="0"/>
      <w:divBdr>
        <w:top w:val="none" w:sz="0" w:space="0" w:color="auto"/>
        <w:left w:val="none" w:sz="0" w:space="0" w:color="auto"/>
        <w:bottom w:val="none" w:sz="0" w:space="0" w:color="auto"/>
        <w:right w:val="none" w:sz="0" w:space="0" w:color="auto"/>
      </w:divBdr>
    </w:div>
    <w:div w:id="73207381">
      <w:bodyDiv w:val="1"/>
      <w:marLeft w:val="0"/>
      <w:marRight w:val="0"/>
      <w:marTop w:val="0"/>
      <w:marBottom w:val="0"/>
      <w:divBdr>
        <w:top w:val="none" w:sz="0" w:space="0" w:color="auto"/>
        <w:left w:val="none" w:sz="0" w:space="0" w:color="auto"/>
        <w:bottom w:val="none" w:sz="0" w:space="0" w:color="auto"/>
        <w:right w:val="none" w:sz="0" w:space="0" w:color="auto"/>
      </w:divBdr>
    </w:div>
    <w:div w:id="74255191">
      <w:bodyDiv w:val="1"/>
      <w:marLeft w:val="0"/>
      <w:marRight w:val="0"/>
      <w:marTop w:val="0"/>
      <w:marBottom w:val="0"/>
      <w:divBdr>
        <w:top w:val="none" w:sz="0" w:space="0" w:color="auto"/>
        <w:left w:val="none" w:sz="0" w:space="0" w:color="auto"/>
        <w:bottom w:val="none" w:sz="0" w:space="0" w:color="auto"/>
        <w:right w:val="none" w:sz="0" w:space="0" w:color="auto"/>
      </w:divBdr>
    </w:div>
    <w:div w:id="77991751">
      <w:bodyDiv w:val="1"/>
      <w:marLeft w:val="0"/>
      <w:marRight w:val="0"/>
      <w:marTop w:val="0"/>
      <w:marBottom w:val="0"/>
      <w:divBdr>
        <w:top w:val="none" w:sz="0" w:space="0" w:color="auto"/>
        <w:left w:val="none" w:sz="0" w:space="0" w:color="auto"/>
        <w:bottom w:val="none" w:sz="0" w:space="0" w:color="auto"/>
        <w:right w:val="none" w:sz="0" w:space="0" w:color="auto"/>
      </w:divBdr>
    </w:div>
    <w:div w:id="78261169">
      <w:bodyDiv w:val="1"/>
      <w:marLeft w:val="0"/>
      <w:marRight w:val="0"/>
      <w:marTop w:val="0"/>
      <w:marBottom w:val="0"/>
      <w:divBdr>
        <w:top w:val="none" w:sz="0" w:space="0" w:color="auto"/>
        <w:left w:val="none" w:sz="0" w:space="0" w:color="auto"/>
        <w:bottom w:val="none" w:sz="0" w:space="0" w:color="auto"/>
        <w:right w:val="none" w:sz="0" w:space="0" w:color="auto"/>
      </w:divBdr>
    </w:div>
    <w:div w:id="81755403">
      <w:bodyDiv w:val="1"/>
      <w:marLeft w:val="0"/>
      <w:marRight w:val="0"/>
      <w:marTop w:val="0"/>
      <w:marBottom w:val="0"/>
      <w:divBdr>
        <w:top w:val="none" w:sz="0" w:space="0" w:color="auto"/>
        <w:left w:val="none" w:sz="0" w:space="0" w:color="auto"/>
        <w:bottom w:val="none" w:sz="0" w:space="0" w:color="auto"/>
        <w:right w:val="none" w:sz="0" w:space="0" w:color="auto"/>
      </w:divBdr>
    </w:div>
    <w:div w:id="86386788">
      <w:bodyDiv w:val="1"/>
      <w:marLeft w:val="0"/>
      <w:marRight w:val="0"/>
      <w:marTop w:val="0"/>
      <w:marBottom w:val="0"/>
      <w:divBdr>
        <w:top w:val="none" w:sz="0" w:space="0" w:color="auto"/>
        <w:left w:val="none" w:sz="0" w:space="0" w:color="auto"/>
        <w:bottom w:val="none" w:sz="0" w:space="0" w:color="auto"/>
        <w:right w:val="none" w:sz="0" w:space="0" w:color="auto"/>
      </w:divBdr>
    </w:div>
    <w:div w:id="101463286">
      <w:bodyDiv w:val="1"/>
      <w:marLeft w:val="0"/>
      <w:marRight w:val="0"/>
      <w:marTop w:val="0"/>
      <w:marBottom w:val="0"/>
      <w:divBdr>
        <w:top w:val="none" w:sz="0" w:space="0" w:color="auto"/>
        <w:left w:val="none" w:sz="0" w:space="0" w:color="auto"/>
        <w:bottom w:val="none" w:sz="0" w:space="0" w:color="auto"/>
        <w:right w:val="none" w:sz="0" w:space="0" w:color="auto"/>
      </w:divBdr>
    </w:div>
    <w:div w:id="104353936">
      <w:bodyDiv w:val="1"/>
      <w:marLeft w:val="0"/>
      <w:marRight w:val="0"/>
      <w:marTop w:val="0"/>
      <w:marBottom w:val="0"/>
      <w:divBdr>
        <w:top w:val="none" w:sz="0" w:space="0" w:color="auto"/>
        <w:left w:val="none" w:sz="0" w:space="0" w:color="auto"/>
        <w:bottom w:val="none" w:sz="0" w:space="0" w:color="auto"/>
        <w:right w:val="none" w:sz="0" w:space="0" w:color="auto"/>
      </w:divBdr>
    </w:div>
    <w:div w:id="105471872">
      <w:bodyDiv w:val="1"/>
      <w:marLeft w:val="0"/>
      <w:marRight w:val="0"/>
      <w:marTop w:val="0"/>
      <w:marBottom w:val="0"/>
      <w:divBdr>
        <w:top w:val="none" w:sz="0" w:space="0" w:color="auto"/>
        <w:left w:val="none" w:sz="0" w:space="0" w:color="auto"/>
        <w:bottom w:val="none" w:sz="0" w:space="0" w:color="auto"/>
        <w:right w:val="none" w:sz="0" w:space="0" w:color="auto"/>
      </w:divBdr>
    </w:div>
    <w:div w:id="108014531">
      <w:bodyDiv w:val="1"/>
      <w:marLeft w:val="0"/>
      <w:marRight w:val="0"/>
      <w:marTop w:val="0"/>
      <w:marBottom w:val="0"/>
      <w:divBdr>
        <w:top w:val="none" w:sz="0" w:space="0" w:color="auto"/>
        <w:left w:val="none" w:sz="0" w:space="0" w:color="auto"/>
        <w:bottom w:val="none" w:sz="0" w:space="0" w:color="auto"/>
        <w:right w:val="none" w:sz="0" w:space="0" w:color="auto"/>
      </w:divBdr>
    </w:div>
    <w:div w:id="109665867">
      <w:bodyDiv w:val="1"/>
      <w:marLeft w:val="0"/>
      <w:marRight w:val="0"/>
      <w:marTop w:val="0"/>
      <w:marBottom w:val="0"/>
      <w:divBdr>
        <w:top w:val="none" w:sz="0" w:space="0" w:color="auto"/>
        <w:left w:val="none" w:sz="0" w:space="0" w:color="auto"/>
        <w:bottom w:val="none" w:sz="0" w:space="0" w:color="auto"/>
        <w:right w:val="none" w:sz="0" w:space="0" w:color="auto"/>
      </w:divBdr>
    </w:div>
    <w:div w:id="115566881">
      <w:bodyDiv w:val="1"/>
      <w:marLeft w:val="0"/>
      <w:marRight w:val="0"/>
      <w:marTop w:val="0"/>
      <w:marBottom w:val="0"/>
      <w:divBdr>
        <w:top w:val="none" w:sz="0" w:space="0" w:color="auto"/>
        <w:left w:val="none" w:sz="0" w:space="0" w:color="auto"/>
        <w:bottom w:val="none" w:sz="0" w:space="0" w:color="auto"/>
        <w:right w:val="none" w:sz="0" w:space="0" w:color="auto"/>
      </w:divBdr>
    </w:div>
    <w:div w:id="117340056">
      <w:bodyDiv w:val="1"/>
      <w:marLeft w:val="0"/>
      <w:marRight w:val="0"/>
      <w:marTop w:val="0"/>
      <w:marBottom w:val="0"/>
      <w:divBdr>
        <w:top w:val="none" w:sz="0" w:space="0" w:color="auto"/>
        <w:left w:val="none" w:sz="0" w:space="0" w:color="auto"/>
        <w:bottom w:val="none" w:sz="0" w:space="0" w:color="auto"/>
        <w:right w:val="none" w:sz="0" w:space="0" w:color="auto"/>
      </w:divBdr>
    </w:div>
    <w:div w:id="122582053">
      <w:bodyDiv w:val="1"/>
      <w:marLeft w:val="0"/>
      <w:marRight w:val="0"/>
      <w:marTop w:val="0"/>
      <w:marBottom w:val="0"/>
      <w:divBdr>
        <w:top w:val="none" w:sz="0" w:space="0" w:color="auto"/>
        <w:left w:val="none" w:sz="0" w:space="0" w:color="auto"/>
        <w:bottom w:val="none" w:sz="0" w:space="0" w:color="auto"/>
        <w:right w:val="none" w:sz="0" w:space="0" w:color="auto"/>
      </w:divBdr>
      <w:divsChild>
        <w:div w:id="294412448">
          <w:marLeft w:val="0"/>
          <w:marRight w:val="0"/>
          <w:marTop w:val="0"/>
          <w:marBottom w:val="0"/>
          <w:divBdr>
            <w:top w:val="none" w:sz="0" w:space="0" w:color="auto"/>
            <w:left w:val="none" w:sz="0" w:space="0" w:color="auto"/>
            <w:bottom w:val="none" w:sz="0" w:space="0" w:color="auto"/>
            <w:right w:val="none" w:sz="0" w:space="0" w:color="auto"/>
          </w:divBdr>
          <w:divsChild>
            <w:div w:id="1885945040">
              <w:marLeft w:val="0"/>
              <w:marRight w:val="0"/>
              <w:marTop w:val="0"/>
              <w:marBottom w:val="0"/>
              <w:divBdr>
                <w:top w:val="none" w:sz="0" w:space="0" w:color="auto"/>
                <w:left w:val="none" w:sz="0" w:space="0" w:color="auto"/>
                <w:bottom w:val="none" w:sz="0" w:space="0" w:color="auto"/>
                <w:right w:val="none" w:sz="0" w:space="0" w:color="auto"/>
              </w:divBdr>
              <w:divsChild>
                <w:div w:id="2127842492">
                  <w:marLeft w:val="0"/>
                  <w:marRight w:val="0"/>
                  <w:marTop w:val="0"/>
                  <w:marBottom w:val="0"/>
                  <w:divBdr>
                    <w:top w:val="none" w:sz="0" w:space="0" w:color="auto"/>
                    <w:left w:val="none" w:sz="0" w:space="0" w:color="auto"/>
                    <w:bottom w:val="none" w:sz="0" w:space="0" w:color="auto"/>
                    <w:right w:val="none" w:sz="0" w:space="0" w:color="auto"/>
                  </w:divBdr>
                  <w:divsChild>
                    <w:div w:id="1028606988">
                      <w:marLeft w:val="150"/>
                      <w:marRight w:val="150"/>
                      <w:marTop w:val="150"/>
                      <w:marBottom w:val="150"/>
                      <w:divBdr>
                        <w:top w:val="none" w:sz="0" w:space="0" w:color="auto"/>
                        <w:left w:val="none" w:sz="0" w:space="0" w:color="auto"/>
                        <w:bottom w:val="none" w:sz="0" w:space="0" w:color="auto"/>
                        <w:right w:val="none" w:sz="0" w:space="0" w:color="auto"/>
                      </w:divBdr>
                      <w:divsChild>
                        <w:div w:id="1326207100">
                          <w:marLeft w:val="0"/>
                          <w:marRight w:val="0"/>
                          <w:marTop w:val="0"/>
                          <w:marBottom w:val="0"/>
                          <w:divBdr>
                            <w:top w:val="none" w:sz="0" w:space="0" w:color="auto"/>
                            <w:left w:val="none" w:sz="0" w:space="0" w:color="auto"/>
                            <w:bottom w:val="none" w:sz="0" w:space="0" w:color="auto"/>
                            <w:right w:val="none" w:sz="0" w:space="0" w:color="auto"/>
                          </w:divBdr>
                          <w:divsChild>
                            <w:div w:id="2142993222">
                              <w:marLeft w:val="0"/>
                              <w:marRight w:val="0"/>
                              <w:marTop w:val="0"/>
                              <w:marBottom w:val="0"/>
                              <w:divBdr>
                                <w:top w:val="none" w:sz="0" w:space="0" w:color="auto"/>
                                <w:left w:val="none" w:sz="0" w:space="0" w:color="auto"/>
                                <w:bottom w:val="none" w:sz="0" w:space="0" w:color="auto"/>
                                <w:right w:val="none" w:sz="0" w:space="0" w:color="auto"/>
                              </w:divBdr>
                              <w:divsChild>
                                <w:div w:id="603928943">
                                  <w:marLeft w:val="0"/>
                                  <w:marRight w:val="0"/>
                                  <w:marTop w:val="0"/>
                                  <w:marBottom w:val="0"/>
                                  <w:divBdr>
                                    <w:top w:val="none" w:sz="0" w:space="0" w:color="auto"/>
                                    <w:left w:val="none" w:sz="0" w:space="0" w:color="auto"/>
                                    <w:bottom w:val="none" w:sz="0" w:space="0" w:color="auto"/>
                                    <w:right w:val="none" w:sz="0" w:space="0" w:color="auto"/>
                                  </w:divBdr>
                                  <w:divsChild>
                                    <w:div w:id="140136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901158">
      <w:bodyDiv w:val="1"/>
      <w:marLeft w:val="0"/>
      <w:marRight w:val="0"/>
      <w:marTop w:val="0"/>
      <w:marBottom w:val="0"/>
      <w:divBdr>
        <w:top w:val="none" w:sz="0" w:space="0" w:color="auto"/>
        <w:left w:val="none" w:sz="0" w:space="0" w:color="auto"/>
        <w:bottom w:val="none" w:sz="0" w:space="0" w:color="auto"/>
        <w:right w:val="none" w:sz="0" w:space="0" w:color="auto"/>
      </w:divBdr>
    </w:div>
    <w:div w:id="138353685">
      <w:bodyDiv w:val="1"/>
      <w:marLeft w:val="0"/>
      <w:marRight w:val="0"/>
      <w:marTop w:val="0"/>
      <w:marBottom w:val="0"/>
      <w:divBdr>
        <w:top w:val="none" w:sz="0" w:space="0" w:color="auto"/>
        <w:left w:val="none" w:sz="0" w:space="0" w:color="auto"/>
        <w:bottom w:val="none" w:sz="0" w:space="0" w:color="auto"/>
        <w:right w:val="none" w:sz="0" w:space="0" w:color="auto"/>
      </w:divBdr>
    </w:div>
    <w:div w:id="143083631">
      <w:bodyDiv w:val="1"/>
      <w:marLeft w:val="0"/>
      <w:marRight w:val="0"/>
      <w:marTop w:val="0"/>
      <w:marBottom w:val="0"/>
      <w:divBdr>
        <w:top w:val="none" w:sz="0" w:space="0" w:color="auto"/>
        <w:left w:val="none" w:sz="0" w:space="0" w:color="auto"/>
        <w:bottom w:val="none" w:sz="0" w:space="0" w:color="auto"/>
        <w:right w:val="none" w:sz="0" w:space="0" w:color="auto"/>
      </w:divBdr>
    </w:div>
    <w:div w:id="143666663">
      <w:bodyDiv w:val="1"/>
      <w:marLeft w:val="0"/>
      <w:marRight w:val="0"/>
      <w:marTop w:val="0"/>
      <w:marBottom w:val="0"/>
      <w:divBdr>
        <w:top w:val="none" w:sz="0" w:space="0" w:color="auto"/>
        <w:left w:val="none" w:sz="0" w:space="0" w:color="auto"/>
        <w:bottom w:val="none" w:sz="0" w:space="0" w:color="auto"/>
        <w:right w:val="none" w:sz="0" w:space="0" w:color="auto"/>
      </w:divBdr>
    </w:div>
    <w:div w:id="144519028">
      <w:bodyDiv w:val="1"/>
      <w:marLeft w:val="0"/>
      <w:marRight w:val="0"/>
      <w:marTop w:val="0"/>
      <w:marBottom w:val="0"/>
      <w:divBdr>
        <w:top w:val="none" w:sz="0" w:space="0" w:color="auto"/>
        <w:left w:val="none" w:sz="0" w:space="0" w:color="auto"/>
        <w:bottom w:val="none" w:sz="0" w:space="0" w:color="auto"/>
        <w:right w:val="none" w:sz="0" w:space="0" w:color="auto"/>
      </w:divBdr>
    </w:div>
    <w:div w:id="147787320">
      <w:bodyDiv w:val="1"/>
      <w:marLeft w:val="0"/>
      <w:marRight w:val="0"/>
      <w:marTop w:val="0"/>
      <w:marBottom w:val="0"/>
      <w:divBdr>
        <w:top w:val="none" w:sz="0" w:space="0" w:color="auto"/>
        <w:left w:val="none" w:sz="0" w:space="0" w:color="auto"/>
        <w:bottom w:val="none" w:sz="0" w:space="0" w:color="auto"/>
        <w:right w:val="none" w:sz="0" w:space="0" w:color="auto"/>
      </w:divBdr>
    </w:div>
    <w:div w:id="149100999">
      <w:bodyDiv w:val="1"/>
      <w:marLeft w:val="0"/>
      <w:marRight w:val="0"/>
      <w:marTop w:val="0"/>
      <w:marBottom w:val="0"/>
      <w:divBdr>
        <w:top w:val="none" w:sz="0" w:space="0" w:color="auto"/>
        <w:left w:val="none" w:sz="0" w:space="0" w:color="auto"/>
        <w:bottom w:val="none" w:sz="0" w:space="0" w:color="auto"/>
        <w:right w:val="none" w:sz="0" w:space="0" w:color="auto"/>
      </w:divBdr>
    </w:div>
    <w:div w:id="152382924">
      <w:bodyDiv w:val="1"/>
      <w:marLeft w:val="0"/>
      <w:marRight w:val="0"/>
      <w:marTop w:val="0"/>
      <w:marBottom w:val="0"/>
      <w:divBdr>
        <w:top w:val="none" w:sz="0" w:space="0" w:color="auto"/>
        <w:left w:val="none" w:sz="0" w:space="0" w:color="auto"/>
        <w:bottom w:val="none" w:sz="0" w:space="0" w:color="auto"/>
        <w:right w:val="none" w:sz="0" w:space="0" w:color="auto"/>
      </w:divBdr>
    </w:div>
    <w:div w:id="162017594">
      <w:bodyDiv w:val="1"/>
      <w:marLeft w:val="0"/>
      <w:marRight w:val="0"/>
      <w:marTop w:val="0"/>
      <w:marBottom w:val="0"/>
      <w:divBdr>
        <w:top w:val="none" w:sz="0" w:space="0" w:color="auto"/>
        <w:left w:val="none" w:sz="0" w:space="0" w:color="auto"/>
        <w:bottom w:val="none" w:sz="0" w:space="0" w:color="auto"/>
        <w:right w:val="none" w:sz="0" w:space="0" w:color="auto"/>
      </w:divBdr>
    </w:div>
    <w:div w:id="172885479">
      <w:bodyDiv w:val="1"/>
      <w:marLeft w:val="0"/>
      <w:marRight w:val="0"/>
      <w:marTop w:val="0"/>
      <w:marBottom w:val="0"/>
      <w:divBdr>
        <w:top w:val="none" w:sz="0" w:space="0" w:color="auto"/>
        <w:left w:val="none" w:sz="0" w:space="0" w:color="auto"/>
        <w:bottom w:val="none" w:sz="0" w:space="0" w:color="auto"/>
        <w:right w:val="none" w:sz="0" w:space="0" w:color="auto"/>
      </w:divBdr>
    </w:div>
    <w:div w:id="177163524">
      <w:bodyDiv w:val="1"/>
      <w:marLeft w:val="0"/>
      <w:marRight w:val="0"/>
      <w:marTop w:val="0"/>
      <w:marBottom w:val="0"/>
      <w:divBdr>
        <w:top w:val="none" w:sz="0" w:space="0" w:color="auto"/>
        <w:left w:val="none" w:sz="0" w:space="0" w:color="auto"/>
        <w:bottom w:val="none" w:sz="0" w:space="0" w:color="auto"/>
        <w:right w:val="none" w:sz="0" w:space="0" w:color="auto"/>
      </w:divBdr>
    </w:div>
    <w:div w:id="181748034">
      <w:bodyDiv w:val="1"/>
      <w:marLeft w:val="0"/>
      <w:marRight w:val="0"/>
      <w:marTop w:val="0"/>
      <w:marBottom w:val="0"/>
      <w:divBdr>
        <w:top w:val="none" w:sz="0" w:space="0" w:color="auto"/>
        <w:left w:val="none" w:sz="0" w:space="0" w:color="auto"/>
        <w:bottom w:val="none" w:sz="0" w:space="0" w:color="auto"/>
        <w:right w:val="none" w:sz="0" w:space="0" w:color="auto"/>
      </w:divBdr>
    </w:div>
    <w:div w:id="186254456">
      <w:bodyDiv w:val="1"/>
      <w:marLeft w:val="0"/>
      <w:marRight w:val="0"/>
      <w:marTop w:val="0"/>
      <w:marBottom w:val="0"/>
      <w:divBdr>
        <w:top w:val="none" w:sz="0" w:space="0" w:color="auto"/>
        <w:left w:val="none" w:sz="0" w:space="0" w:color="auto"/>
        <w:bottom w:val="none" w:sz="0" w:space="0" w:color="auto"/>
        <w:right w:val="none" w:sz="0" w:space="0" w:color="auto"/>
      </w:divBdr>
    </w:div>
    <w:div w:id="186675350">
      <w:bodyDiv w:val="1"/>
      <w:marLeft w:val="0"/>
      <w:marRight w:val="0"/>
      <w:marTop w:val="0"/>
      <w:marBottom w:val="0"/>
      <w:divBdr>
        <w:top w:val="none" w:sz="0" w:space="0" w:color="auto"/>
        <w:left w:val="none" w:sz="0" w:space="0" w:color="auto"/>
        <w:bottom w:val="none" w:sz="0" w:space="0" w:color="auto"/>
        <w:right w:val="none" w:sz="0" w:space="0" w:color="auto"/>
      </w:divBdr>
    </w:div>
    <w:div w:id="191917133">
      <w:bodyDiv w:val="1"/>
      <w:marLeft w:val="0"/>
      <w:marRight w:val="0"/>
      <w:marTop w:val="0"/>
      <w:marBottom w:val="0"/>
      <w:divBdr>
        <w:top w:val="none" w:sz="0" w:space="0" w:color="auto"/>
        <w:left w:val="none" w:sz="0" w:space="0" w:color="auto"/>
        <w:bottom w:val="none" w:sz="0" w:space="0" w:color="auto"/>
        <w:right w:val="none" w:sz="0" w:space="0" w:color="auto"/>
      </w:divBdr>
    </w:div>
    <w:div w:id="197858669">
      <w:bodyDiv w:val="1"/>
      <w:marLeft w:val="0"/>
      <w:marRight w:val="0"/>
      <w:marTop w:val="0"/>
      <w:marBottom w:val="0"/>
      <w:divBdr>
        <w:top w:val="none" w:sz="0" w:space="0" w:color="auto"/>
        <w:left w:val="none" w:sz="0" w:space="0" w:color="auto"/>
        <w:bottom w:val="none" w:sz="0" w:space="0" w:color="auto"/>
        <w:right w:val="none" w:sz="0" w:space="0" w:color="auto"/>
      </w:divBdr>
    </w:div>
    <w:div w:id="205802022">
      <w:bodyDiv w:val="1"/>
      <w:marLeft w:val="0"/>
      <w:marRight w:val="0"/>
      <w:marTop w:val="0"/>
      <w:marBottom w:val="0"/>
      <w:divBdr>
        <w:top w:val="none" w:sz="0" w:space="0" w:color="auto"/>
        <w:left w:val="none" w:sz="0" w:space="0" w:color="auto"/>
        <w:bottom w:val="none" w:sz="0" w:space="0" w:color="auto"/>
        <w:right w:val="none" w:sz="0" w:space="0" w:color="auto"/>
      </w:divBdr>
    </w:div>
    <w:div w:id="207650661">
      <w:bodyDiv w:val="1"/>
      <w:marLeft w:val="0"/>
      <w:marRight w:val="0"/>
      <w:marTop w:val="0"/>
      <w:marBottom w:val="0"/>
      <w:divBdr>
        <w:top w:val="none" w:sz="0" w:space="0" w:color="auto"/>
        <w:left w:val="none" w:sz="0" w:space="0" w:color="auto"/>
        <w:bottom w:val="none" w:sz="0" w:space="0" w:color="auto"/>
        <w:right w:val="none" w:sz="0" w:space="0" w:color="auto"/>
      </w:divBdr>
    </w:div>
    <w:div w:id="208224019">
      <w:bodyDiv w:val="1"/>
      <w:marLeft w:val="0"/>
      <w:marRight w:val="0"/>
      <w:marTop w:val="0"/>
      <w:marBottom w:val="0"/>
      <w:divBdr>
        <w:top w:val="none" w:sz="0" w:space="0" w:color="auto"/>
        <w:left w:val="none" w:sz="0" w:space="0" w:color="auto"/>
        <w:bottom w:val="none" w:sz="0" w:space="0" w:color="auto"/>
        <w:right w:val="none" w:sz="0" w:space="0" w:color="auto"/>
      </w:divBdr>
    </w:div>
    <w:div w:id="213582089">
      <w:bodyDiv w:val="1"/>
      <w:marLeft w:val="0"/>
      <w:marRight w:val="0"/>
      <w:marTop w:val="0"/>
      <w:marBottom w:val="0"/>
      <w:divBdr>
        <w:top w:val="none" w:sz="0" w:space="0" w:color="auto"/>
        <w:left w:val="none" w:sz="0" w:space="0" w:color="auto"/>
        <w:bottom w:val="none" w:sz="0" w:space="0" w:color="auto"/>
        <w:right w:val="none" w:sz="0" w:space="0" w:color="auto"/>
      </w:divBdr>
    </w:div>
    <w:div w:id="214389857">
      <w:bodyDiv w:val="1"/>
      <w:marLeft w:val="0"/>
      <w:marRight w:val="0"/>
      <w:marTop w:val="0"/>
      <w:marBottom w:val="0"/>
      <w:divBdr>
        <w:top w:val="none" w:sz="0" w:space="0" w:color="auto"/>
        <w:left w:val="none" w:sz="0" w:space="0" w:color="auto"/>
        <w:bottom w:val="none" w:sz="0" w:space="0" w:color="auto"/>
        <w:right w:val="none" w:sz="0" w:space="0" w:color="auto"/>
      </w:divBdr>
      <w:divsChild>
        <w:div w:id="1786078672">
          <w:marLeft w:val="0"/>
          <w:marRight w:val="0"/>
          <w:marTop w:val="0"/>
          <w:marBottom w:val="0"/>
          <w:divBdr>
            <w:top w:val="none" w:sz="0" w:space="0" w:color="auto"/>
            <w:left w:val="none" w:sz="0" w:space="0" w:color="auto"/>
            <w:bottom w:val="none" w:sz="0" w:space="0" w:color="auto"/>
            <w:right w:val="none" w:sz="0" w:space="0" w:color="auto"/>
          </w:divBdr>
        </w:div>
      </w:divsChild>
    </w:div>
    <w:div w:id="214853031">
      <w:bodyDiv w:val="1"/>
      <w:marLeft w:val="0"/>
      <w:marRight w:val="0"/>
      <w:marTop w:val="0"/>
      <w:marBottom w:val="0"/>
      <w:divBdr>
        <w:top w:val="none" w:sz="0" w:space="0" w:color="auto"/>
        <w:left w:val="none" w:sz="0" w:space="0" w:color="auto"/>
        <w:bottom w:val="none" w:sz="0" w:space="0" w:color="auto"/>
        <w:right w:val="none" w:sz="0" w:space="0" w:color="auto"/>
      </w:divBdr>
      <w:divsChild>
        <w:div w:id="12270391">
          <w:marLeft w:val="0"/>
          <w:marRight w:val="0"/>
          <w:marTop w:val="0"/>
          <w:marBottom w:val="0"/>
          <w:divBdr>
            <w:top w:val="none" w:sz="0" w:space="0" w:color="auto"/>
            <w:left w:val="none" w:sz="0" w:space="0" w:color="auto"/>
            <w:bottom w:val="none" w:sz="0" w:space="0" w:color="auto"/>
            <w:right w:val="none" w:sz="0" w:space="0" w:color="auto"/>
          </w:divBdr>
          <w:divsChild>
            <w:div w:id="150491083">
              <w:marLeft w:val="0"/>
              <w:marRight w:val="0"/>
              <w:marTop w:val="0"/>
              <w:marBottom w:val="0"/>
              <w:divBdr>
                <w:top w:val="none" w:sz="0" w:space="0" w:color="auto"/>
                <w:left w:val="none" w:sz="0" w:space="0" w:color="auto"/>
                <w:bottom w:val="none" w:sz="0" w:space="0" w:color="auto"/>
                <w:right w:val="none" w:sz="0" w:space="0" w:color="auto"/>
              </w:divBdr>
            </w:div>
            <w:div w:id="592275805">
              <w:marLeft w:val="0"/>
              <w:marRight w:val="0"/>
              <w:marTop w:val="0"/>
              <w:marBottom w:val="0"/>
              <w:divBdr>
                <w:top w:val="none" w:sz="0" w:space="0" w:color="auto"/>
                <w:left w:val="none" w:sz="0" w:space="0" w:color="auto"/>
                <w:bottom w:val="none" w:sz="0" w:space="0" w:color="auto"/>
                <w:right w:val="none" w:sz="0" w:space="0" w:color="auto"/>
              </w:divBdr>
            </w:div>
            <w:div w:id="642081770">
              <w:marLeft w:val="0"/>
              <w:marRight w:val="0"/>
              <w:marTop w:val="0"/>
              <w:marBottom w:val="0"/>
              <w:divBdr>
                <w:top w:val="none" w:sz="0" w:space="0" w:color="auto"/>
                <w:left w:val="none" w:sz="0" w:space="0" w:color="auto"/>
                <w:bottom w:val="none" w:sz="0" w:space="0" w:color="auto"/>
                <w:right w:val="none" w:sz="0" w:space="0" w:color="auto"/>
              </w:divBdr>
            </w:div>
            <w:div w:id="644747419">
              <w:marLeft w:val="0"/>
              <w:marRight w:val="0"/>
              <w:marTop w:val="0"/>
              <w:marBottom w:val="0"/>
              <w:divBdr>
                <w:top w:val="none" w:sz="0" w:space="0" w:color="auto"/>
                <w:left w:val="none" w:sz="0" w:space="0" w:color="auto"/>
                <w:bottom w:val="none" w:sz="0" w:space="0" w:color="auto"/>
                <w:right w:val="none" w:sz="0" w:space="0" w:color="auto"/>
              </w:divBdr>
            </w:div>
            <w:div w:id="794328843">
              <w:marLeft w:val="0"/>
              <w:marRight w:val="0"/>
              <w:marTop w:val="0"/>
              <w:marBottom w:val="0"/>
              <w:divBdr>
                <w:top w:val="none" w:sz="0" w:space="0" w:color="auto"/>
                <w:left w:val="none" w:sz="0" w:space="0" w:color="auto"/>
                <w:bottom w:val="none" w:sz="0" w:space="0" w:color="auto"/>
                <w:right w:val="none" w:sz="0" w:space="0" w:color="auto"/>
              </w:divBdr>
            </w:div>
            <w:div w:id="821114967">
              <w:marLeft w:val="0"/>
              <w:marRight w:val="0"/>
              <w:marTop w:val="0"/>
              <w:marBottom w:val="0"/>
              <w:divBdr>
                <w:top w:val="none" w:sz="0" w:space="0" w:color="auto"/>
                <w:left w:val="none" w:sz="0" w:space="0" w:color="auto"/>
                <w:bottom w:val="none" w:sz="0" w:space="0" w:color="auto"/>
                <w:right w:val="none" w:sz="0" w:space="0" w:color="auto"/>
              </w:divBdr>
            </w:div>
            <w:div w:id="956913435">
              <w:marLeft w:val="0"/>
              <w:marRight w:val="0"/>
              <w:marTop w:val="0"/>
              <w:marBottom w:val="0"/>
              <w:divBdr>
                <w:top w:val="none" w:sz="0" w:space="0" w:color="auto"/>
                <w:left w:val="none" w:sz="0" w:space="0" w:color="auto"/>
                <w:bottom w:val="none" w:sz="0" w:space="0" w:color="auto"/>
                <w:right w:val="none" w:sz="0" w:space="0" w:color="auto"/>
              </w:divBdr>
            </w:div>
            <w:div w:id="964508599">
              <w:marLeft w:val="0"/>
              <w:marRight w:val="0"/>
              <w:marTop w:val="0"/>
              <w:marBottom w:val="0"/>
              <w:divBdr>
                <w:top w:val="none" w:sz="0" w:space="0" w:color="auto"/>
                <w:left w:val="none" w:sz="0" w:space="0" w:color="auto"/>
                <w:bottom w:val="none" w:sz="0" w:space="0" w:color="auto"/>
                <w:right w:val="none" w:sz="0" w:space="0" w:color="auto"/>
              </w:divBdr>
            </w:div>
            <w:div w:id="1207450397">
              <w:marLeft w:val="0"/>
              <w:marRight w:val="0"/>
              <w:marTop w:val="0"/>
              <w:marBottom w:val="0"/>
              <w:divBdr>
                <w:top w:val="none" w:sz="0" w:space="0" w:color="auto"/>
                <w:left w:val="none" w:sz="0" w:space="0" w:color="auto"/>
                <w:bottom w:val="none" w:sz="0" w:space="0" w:color="auto"/>
                <w:right w:val="none" w:sz="0" w:space="0" w:color="auto"/>
              </w:divBdr>
            </w:div>
            <w:div w:id="1344286332">
              <w:marLeft w:val="0"/>
              <w:marRight w:val="0"/>
              <w:marTop w:val="0"/>
              <w:marBottom w:val="0"/>
              <w:divBdr>
                <w:top w:val="none" w:sz="0" w:space="0" w:color="auto"/>
                <w:left w:val="none" w:sz="0" w:space="0" w:color="auto"/>
                <w:bottom w:val="none" w:sz="0" w:space="0" w:color="auto"/>
                <w:right w:val="none" w:sz="0" w:space="0" w:color="auto"/>
              </w:divBdr>
            </w:div>
            <w:div w:id="1366566950">
              <w:marLeft w:val="0"/>
              <w:marRight w:val="0"/>
              <w:marTop w:val="0"/>
              <w:marBottom w:val="0"/>
              <w:divBdr>
                <w:top w:val="none" w:sz="0" w:space="0" w:color="auto"/>
                <w:left w:val="none" w:sz="0" w:space="0" w:color="auto"/>
                <w:bottom w:val="none" w:sz="0" w:space="0" w:color="auto"/>
                <w:right w:val="none" w:sz="0" w:space="0" w:color="auto"/>
              </w:divBdr>
            </w:div>
            <w:div w:id="1455367896">
              <w:marLeft w:val="0"/>
              <w:marRight w:val="0"/>
              <w:marTop w:val="0"/>
              <w:marBottom w:val="0"/>
              <w:divBdr>
                <w:top w:val="none" w:sz="0" w:space="0" w:color="auto"/>
                <w:left w:val="none" w:sz="0" w:space="0" w:color="auto"/>
                <w:bottom w:val="none" w:sz="0" w:space="0" w:color="auto"/>
                <w:right w:val="none" w:sz="0" w:space="0" w:color="auto"/>
              </w:divBdr>
            </w:div>
            <w:div w:id="1493066720">
              <w:marLeft w:val="0"/>
              <w:marRight w:val="0"/>
              <w:marTop w:val="0"/>
              <w:marBottom w:val="0"/>
              <w:divBdr>
                <w:top w:val="none" w:sz="0" w:space="0" w:color="auto"/>
                <w:left w:val="none" w:sz="0" w:space="0" w:color="auto"/>
                <w:bottom w:val="none" w:sz="0" w:space="0" w:color="auto"/>
                <w:right w:val="none" w:sz="0" w:space="0" w:color="auto"/>
              </w:divBdr>
            </w:div>
            <w:div w:id="1567642599">
              <w:marLeft w:val="0"/>
              <w:marRight w:val="0"/>
              <w:marTop w:val="0"/>
              <w:marBottom w:val="0"/>
              <w:divBdr>
                <w:top w:val="none" w:sz="0" w:space="0" w:color="auto"/>
                <w:left w:val="none" w:sz="0" w:space="0" w:color="auto"/>
                <w:bottom w:val="none" w:sz="0" w:space="0" w:color="auto"/>
                <w:right w:val="none" w:sz="0" w:space="0" w:color="auto"/>
              </w:divBdr>
            </w:div>
            <w:div w:id="1599092762">
              <w:marLeft w:val="0"/>
              <w:marRight w:val="0"/>
              <w:marTop w:val="0"/>
              <w:marBottom w:val="0"/>
              <w:divBdr>
                <w:top w:val="none" w:sz="0" w:space="0" w:color="auto"/>
                <w:left w:val="none" w:sz="0" w:space="0" w:color="auto"/>
                <w:bottom w:val="none" w:sz="0" w:space="0" w:color="auto"/>
                <w:right w:val="none" w:sz="0" w:space="0" w:color="auto"/>
              </w:divBdr>
            </w:div>
            <w:div w:id="1713453865">
              <w:marLeft w:val="0"/>
              <w:marRight w:val="0"/>
              <w:marTop w:val="0"/>
              <w:marBottom w:val="0"/>
              <w:divBdr>
                <w:top w:val="none" w:sz="0" w:space="0" w:color="auto"/>
                <w:left w:val="none" w:sz="0" w:space="0" w:color="auto"/>
                <w:bottom w:val="none" w:sz="0" w:space="0" w:color="auto"/>
                <w:right w:val="none" w:sz="0" w:space="0" w:color="auto"/>
              </w:divBdr>
            </w:div>
            <w:div w:id="1838375921">
              <w:marLeft w:val="0"/>
              <w:marRight w:val="0"/>
              <w:marTop w:val="0"/>
              <w:marBottom w:val="0"/>
              <w:divBdr>
                <w:top w:val="none" w:sz="0" w:space="0" w:color="auto"/>
                <w:left w:val="none" w:sz="0" w:space="0" w:color="auto"/>
                <w:bottom w:val="none" w:sz="0" w:space="0" w:color="auto"/>
                <w:right w:val="none" w:sz="0" w:space="0" w:color="auto"/>
              </w:divBdr>
            </w:div>
            <w:div w:id="1945990612">
              <w:marLeft w:val="0"/>
              <w:marRight w:val="0"/>
              <w:marTop w:val="0"/>
              <w:marBottom w:val="0"/>
              <w:divBdr>
                <w:top w:val="none" w:sz="0" w:space="0" w:color="auto"/>
                <w:left w:val="none" w:sz="0" w:space="0" w:color="auto"/>
                <w:bottom w:val="none" w:sz="0" w:space="0" w:color="auto"/>
                <w:right w:val="none" w:sz="0" w:space="0" w:color="auto"/>
              </w:divBdr>
            </w:div>
            <w:div w:id="1979601608">
              <w:marLeft w:val="0"/>
              <w:marRight w:val="0"/>
              <w:marTop w:val="0"/>
              <w:marBottom w:val="0"/>
              <w:divBdr>
                <w:top w:val="none" w:sz="0" w:space="0" w:color="auto"/>
                <w:left w:val="none" w:sz="0" w:space="0" w:color="auto"/>
                <w:bottom w:val="none" w:sz="0" w:space="0" w:color="auto"/>
                <w:right w:val="none" w:sz="0" w:space="0" w:color="auto"/>
              </w:divBdr>
            </w:div>
            <w:div w:id="2146652247">
              <w:marLeft w:val="0"/>
              <w:marRight w:val="0"/>
              <w:marTop w:val="0"/>
              <w:marBottom w:val="0"/>
              <w:divBdr>
                <w:top w:val="none" w:sz="0" w:space="0" w:color="auto"/>
                <w:left w:val="none" w:sz="0" w:space="0" w:color="auto"/>
                <w:bottom w:val="none" w:sz="0" w:space="0" w:color="auto"/>
                <w:right w:val="none" w:sz="0" w:space="0" w:color="auto"/>
              </w:divBdr>
            </w:div>
          </w:divsChild>
        </w:div>
        <w:div w:id="36325056">
          <w:marLeft w:val="0"/>
          <w:marRight w:val="0"/>
          <w:marTop w:val="0"/>
          <w:marBottom w:val="0"/>
          <w:divBdr>
            <w:top w:val="none" w:sz="0" w:space="0" w:color="auto"/>
            <w:left w:val="none" w:sz="0" w:space="0" w:color="auto"/>
            <w:bottom w:val="none" w:sz="0" w:space="0" w:color="auto"/>
            <w:right w:val="none" w:sz="0" w:space="0" w:color="auto"/>
          </w:divBdr>
          <w:divsChild>
            <w:div w:id="165482761">
              <w:marLeft w:val="0"/>
              <w:marRight w:val="0"/>
              <w:marTop w:val="0"/>
              <w:marBottom w:val="0"/>
              <w:divBdr>
                <w:top w:val="none" w:sz="0" w:space="0" w:color="auto"/>
                <w:left w:val="none" w:sz="0" w:space="0" w:color="auto"/>
                <w:bottom w:val="none" w:sz="0" w:space="0" w:color="auto"/>
                <w:right w:val="none" w:sz="0" w:space="0" w:color="auto"/>
              </w:divBdr>
            </w:div>
            <w:div w:id="279924728">
              <w:marLeft w:val="0"/>
              <w:marRight w:val="0"/>
              <w:marTop w:val="0"/>
              <w:marBottom w:val="0"/>
              <w:divBdr>
                <w:top w:val="none" w:sz="0" w:space="0" w:color="auto"/>
                <w:left w:val="none" w:sz="0" w:space="0" w:color="auto"/>
                <w:bottom w:val="none" w:sz="0" w:space="0" w:color="auto"/>
                <w:right w:val="none" w:sz="0" w:space="0" w:color="auto"/>
              </w:divBdr>
            </w:div>
            <w:div w:id="730930969">
              <w:marLeft w:val="0"/>
              <w:marRight w:val="0"/>
              <w:marTop w:val="0"/>
              <w:marBottom w:val="0"/>
              <w:divBdr>
                <w:top w:val="none" w:sz="0" w:space="0" w:color="auto"/>
                <w:left w:val="none" w:sz="0" w:space="0" w:color="auto"/>
                <w:bottom w:val="none" w:sz="0" w:space="0" w:color="auto"/>
                <w:right w:val="none" w:sz="0" w:space="0" w:color="auto"/>
              </w:divBdr>
            </w:div>
            <w:div w:id="740906772">
              <w:marLeft w:val="0"/>
              <w:marRight w:val="0"/>
              <w:marTop w:val="0"/>
              <w:marBottom w:val="0"/>
              <w:divBdr>
                <w:top w:val="none" w:sz="0" w:space="0" w:color="auto"/>
                <w:left w:val="none" w:sz="0" w:space="0" w:color="auto"/>
                <w:bottom w:val="none" w:sz="0" w:space="0" w:color="auto"/>
                <w:right w:val="none" w:sz="0" w:space="0" w:color="auto"/>
              </w:divBdr>
            </w:div>
            <w:div w:id="783040251">
              <w:marLeft w:val="0"/>
              <w:marRight w:val="0"/>
              <w:marTop w:val="0"/>
              <w:marBottom w:val="0"/>
              <w:divBdr>
                <w:top w:val="none" w:sz="0" w:space="0" w:color="auto"/>
                <w:left w:val="none" w:sz="0" w:space="0" w:color="auto"/>
                <w:bottom w:val="none" w:sz="0" w:space="0" w:color="auto"/>
                <w:right w:val="none" w:sz="0" w:space="0" w:color="auto"/>
              </w:divBdr>
            </w:div>
            <w:div w:id="816187047">
              <w:marLeft w:val="0"/>
              <w:marRight w:val="0"/>
              <w:marTop w:val="0"/>
              <w:marBottom w:val="0"/>
              <w:divBdr>
                <w:top w:val="none" w:sz="0" w:space="0" w:color="auto"/>
                <w:left w:val="none" w:sz="0" w:space="0" w:color="auto"/>
                <w:bottom w:val="none" w:sz="0" w:space="0" w:color="auto"/>
                <w:right w:val="none" w:sz="0" w:space="0" w:color="auto"/>
              </w:divBdr>
            </w:div>
            <w:div w:id="1061949390">
              <w:marLeft w:val="0"/>
              <w:marRight w:val="0"/>
              <w:marTop w:val="0"/>
              <w:marBottom w:val="0"/>
              <w:divBdr>
                <w:top w:val="none" w:sz="0" w:space="0" w:color="auto"/>
                <w:left w:val="none" w:sz="0" w:space="0" w:color="auto"/>
                <w:bottom w:val="none" w:sz="0" w:space="0" w:color="auto"/>
                <w:right w:val="none" w:sz="0" w:space="0" w:color="auto"/>
              </w:divBdr>
            </w:div>
            <w:div w:id="1106925567">
              <w:marLeft w:val="0"/>
              <w:marRight w:val="0"/>
              <w:marTop w:val="0"/>
              <w:marBottom w:val="0"/>
              <w:divBdr>
                <w:top w:val="none" w:sz="0" w:space="0" w:color="auto"/>
                <w:left w:val="none" w:sz="0" w:space="0" w:color="auto"/>
                <w:bottom w:val="none" w:sz="0" w:space="0" w:color="auto"/>
                <w:right w:val="none" w:sz="0" w:space="0" w:color="auto"/>
              </w:divBdr>
            </w:div>
            <w:div w:id="1176652697">
              <w:marLeft w:val="0"/>
              <w:marRight w:val="0"/>
              <w:marTop w:val="0"/>
              <w:marBottom w:val="0"/>
              <w:divBdr>
                <w:top w:val="none" w:sz="0" w:space="0" w:color="auto"/>
                <w:left w:val="none" w:sz="0" w:space="0" w:color="auto"/>
                <w:bottom w:val="none" w:sz="0" w:space="0" w:color="auto"/>
                <w:right w:val="none" w:sz="0" w:space="0" w:color="auto"/>
              </w:divBdr>
            </w:div>
            <w:div w:id="1229919197">
              <w:marLeft w:val="0"/>
              <w:marRight w:val="0"/>
              <w:marTop w:val="0"/>
              <w:marBottom w:val="0"/>
              <w:divBdr>
                <w:top w:val="none" w:sz="0" w:space="0" w:color="auto"/>
                <w:left w:val="none" w:sz="0" w:space="0" w:color="auto"/>
                <w:bottom w:val="none" w:sz="0" w:space="0" w:color="auto"/>
                <w:right w:val="none" w:sz="0" w:space="0" w:color="auto"/>
              </w:divBdr>
            </w:div>
            <w:div w:id="1330987613">
              <w:marLeft w:val="0"/>
              <w:marRight w:val="0"/>
              <w:marTop w:val="0"/>
              <w:marBottom w:val="0"/>
              <w:divBdr>
                <w:top w:val="none" w:sz="0" w:space="0" w:color="auto"/>
                <w:left w:val="none" w:sz="0" w:space="0" w:color="auto"/>
                <w:bottom w:val="none" w:sz="0" w:space="0" w:color="auto"/>
                <w:right w:val="none" w:sz="0" w:space="0" w:color="auto"/>
              </w:divBdr>
            </w:div>
            <w:div w:id="1361320892">
              <w:marLeft w:val="0"/>
              <w:marRight w:val="0"/>
              <w:marTop w:val="0"/>
              <w:marBottom w:val="0"/>
              <w:divBdr>
                <w:top w:val="none" w:sz="0" w:space="0" w:color="auto"/>
                <w:left w:val="none" w:sz="0" w:space="0" w:color="auto"/>
                <w:bottom w:val="none" w:sz="0" w:space="0" w:color="auto"/>
                <w:right w:val="none" w:sz="0" w:space="0" w:color="auto"/>
              </w:divBdr>
            </w:div>
            <w:div w:id="1381976567">
              <w:marLeft w:val="0"/>
              <w:marRight w:val="0"/>
              <w:marTop w:val="0"/>
              <w:marBottom w:val="0"/>
              <w:divBdr>
                <w:top w:val="none" w:sz="0" w:space="0" w:color="auto"/>
                <w:left w:val="none" w:sz="0" w:space="0" w:color="auto"/>
                <w:bottom w:val="none" w:sz="0" w:space="0" w:color="auto"/>
                <w:right w:val="none" w:sz="0" w:space="0" w:color="auto"/>
              </w:divBdr>
            </w:div>
            <w:div w:id="1497913038">
              <w:marLeft w:val="0"/>
              <w:marRight w:val="0"/>
              <w:marTop w:val="0"/>
              <w:marBottom w:val="0"/>
              <w:divBdr>
                <w:top w:val="none" w:sz="0" w:space="0" w:color="auto"/>
                <w:left w:val="none" w:sz="0" w:space="0" w:color="auto"/>
                <w:bottom w:val="none" w:sz="0" w:space="0" w:color="auto"/>
                <w:right w:val="none" w:sz="0" w:space="0" w:color="auto"/>
              </w:divBdr>
            </w:div>
            <w:div w:id="1585215719">
              <w:marLeft w:val="0"/>
              <w:marRight w:val="0"/>
              <w:marTop w:val="0"/>
              <w:marBottom w:val="0"/>
              <w:divBdr>
                <w:top w:val="none" w:sz="0" w:space="0" w:color="auto"/>
                <w:left w:val="none" w:sz="0" w:space="0" w:color="auto"/>
                <w:bottom w:val="none" w:sz="0" w:space="0" w:color="auto"/>
                <w:right w:val="none" w:sz="0" w:space="0" w:color="auto"/>
              </w:divBdr>
            </w:div>
            <w:div w:id="1669361767">
              <w:marLeft w:val="0"/>
              <w:marRight w:val="0"/>
              <w:marTop w:val="0"/>
              <w:marBottom w:val="0"/>
              <w:divBdr>
                <w:top w:val="none" w:sz="0" w:space="0" w:color="auto"/>
                <w:left w:val="none" w:sz="0" w:space="0" w:color="auto"/>
                <w:bottom w:val="none" w:sz="0" w:space="0" w:color="auto"/>
                <w:right w:val="none" w:sz="0" w:space="0" w:color="auto"/>
              </w:divBdr>
            </w:div>
            <w:div w:id="1879273371">
              <w:marLeft w:val="0"/>
              <w:marRight w:val="0"/>
              <w:marTop w:val="0"/>
              <w:marBottom w:val="0"/>
              <w:divBdr>
                <w:top w:val="none" w:sz="0" w:space="0" w:color="auto"/>
                <w:left w:val="none" w:sz="0" w:space="0" w:color="auto"/>
                <w:bottom w:val="none" w:sz="0" w:space="0" w:color="auto"/>
                <w:right w:val="none" w:sz="0" w:space="0" w:color="auto"/>
              </w:divBdr>
            </w:div>
            <w:div w:id="1935700456">
              <w:marLeft w:val="0"/>
              <w:marRight w:val="0"/>
              <w:marTop w:val="0"/>
              <w:marBottom w:val="0"/>
              <w:divBdr>
                <w:top w:val="none" w:sz="0" w:space="0" w:color="auto"/>
                <w:left w:val="none" w:sz="0" w:space="0" w:color="auto"/>
                <w:bottom w:val="none" w:sz="0" w:space="0" w:color="auto"/>
                <w:right w:val="none" w:sz="0" w:space="0" w:color="auto"/>
              </w:divBdr>
            </w:div>
            <w:div w:id="2057974142">
              <w:marLeft w:val="0"/>
              <w:marRight w:val="0"/>
              <w:marTop w:val="0"/>
              <w:marBottom w:val="0"/>
              <w:divBdr>
                <w:top w:val="none" w:sz="0" w:space="0" w:color="auto"/>
                <w:left w:val="none" w:sz="0" w:space="0" w:color="auto"/>
                <w:bottom w:val="none" w:sz="0" w:space="0" w:color="auto"/>
                <w:right w:val="none" w:sz="0" w:space="0" w:color="auto"/>
              </w:divBdr>
            </w:div>
            <w:div w:id="2065641014">
              <w:marLeft w:val="0"/>
              <w:marRight w:val="0"/>
              <w:marTop w:val="0"/>
              <w:marBottom w:val="0"/>
              <w:divBdr>
                <w:top w:val="none" w:sz="0" w:space="0" w:color="auto"/>
                <w:left w:val="none" w:sz="0" w:space="0" w:color="auto"/>
                <w:bottom w:val="none" w:sz="0" w:space="0" w:color="auto"/>
                <w:right w:val="none" w:sz="0" w:space="0" w:color="auto"/>
              </w:divBdr>
            </w:div>
          </w:divsChild>
        </w:div>
        <w:div w:id="75589911">
          <w:marLeft w:val="0"/>
          <w:marRight w:val="0"/>
          <w:marTop w:val="0"/>
          <w:marBottom w:val="0"/>
          <w:divBdr>
            <w:top w:val="none" w:sz="0" w:space="0" w:color="auto"/>
            <w:left w:val="none" w:sz="0" w:space="0" w:color="auto"/>
            <w:bottom w:val="none" w:sz="0" w:space="0" w:color="auto"/>
            <w:right w:val="none" w:sz="0" w:space="0" w:color="auto"/>
          </w:divBdr>
        </w:div>
        <w:div w:id="110562869">
          <w:marLeft w:val="0"/>
          <w:marRight w:val="0"/>
          <w:marTop w:val="0"/>
          <w:marBottom w:val="0"/>
          <w:divBdr>
            <w:top w:val="none" w:sz="0" w:space="0" w:color="auto"/>
            <w:left w:val="none" w:sz="0" w:space="0" w:color="auto"/>
            <w:bottom w:val="none" w:sz="0" w:space="0" w:color="auto"/>
            <w:right w:val="none" w:sz="0" w:space="0" w:color="auto"/>
          </w:divBdr>
        </w:div>
        <w:div w:id="131216308">
          <w:marLeft w:val="0"/>
          <w:marRight w:val="0"/>
          <w:marTop w:val="0"/>
          <w:marBottom w:val="0"/>
          <w:divBdr>
            <w:top w:val="none" w:sz="0" w:space="0" w:color="auto"/>
            <w:left w:val="none" w:sz="0" w:space="0" w:color="auto"/>
            <w:bottom w:val="none" w:sz="0" w:space="0" w:color="auto"/>
            <w:right w:val="none" w:sz="0" w:space="0" w:color="auto"/>
          </w:divBdr>
        </w:div>
        <w:div w:id="197936645">
          <w:marLeft w:val="0"/>
          <w:marRight w:val="0"/>
          <w:marTop w:val="0"/>
          <w:marBottom w:val="0"/>
          <w:divBdr>
            <w:top w:val="none" w:sz="0" w:space="0" w:color="auto"/>
            <w:left w:val="none" w:sz="0" w:space="0" w:color="auto"/>
            <w:bottom w:val="none" w:sz="0" w:space="0" w:color="auto"/>
            <w:right w:val="none" w:sz="0" w:space="0" w:color="auto"/>
          </w:divBdr>
        </w:div>
        <w:div w:id="248126349">
          <w:marLeft w:val="0"/>
          <w:marRight w:val="0"/>
          <w:marTop w:val="0"/>
          <w:marBottom w:val="0"/>
          <w:divBdr>
            <w:top w:val="none" w:sz="0" w:space="0" w:color="auto"/>
            <w:left w:val="none" w:sz="0" w:space="0" w:color="auto"/>
            <w:bottom w:val="none" w:sz="0" w:space="0" w:color="auto"/>
            <w:right w:val="none" w:sz="0" w:space="0" w:color="auto"/>
          </w:divBdr>
        </w:div>
        <w:div w:id="251476554">
          <w:marLeft w:val="0"/>
          <w:marRight w:val="0"/>
          <w:marTop w:val="0"/>
          <w:marBottom w:val="0"/>
          <w:divBdr>
            <w:top w:val="none" w:sz="0" w:space="0" w:color="auto"/>
            <w:left w:val="none" w:sz="0" w:space="0" w:color="auto"/>
            <w:bottom w:val="none" w:sz="0" w:space="0" w:color="auto"/>
            <w:right w:val="none" w:sz="0" w:space="0" w:color="auto"/>
          </w:divBdr>
        </w:div>
        <w:div w:id="259224179">
          <w:marLeft w:val="0"/>
          <w:marRight w:val="0"/>
          <w:marTop w:val="0"/>
          <w:marBottom w:val="0"/>
          <w:divBdr>
            <w:top w:val="none" w:sz="0" w:space="0" w:color="auto"/>
            <w:left w:val="none" w:sz="0" w:space="0" w:color="auto"/>
            <w:bottom w:val="none" w:sz="0" w:space="0" w:color="auto"/>
            <w:right w:val="none" w:sz="0" w:space="0" w:color="auto"/>
          </w:divBdr>
        </w:div>
        <w:div w:id="295528550">
          <w:marLeft w:val="0"/>
          <w:marRight w:val="0"/>
          <w:marTop w:val="0"/>
          <w:marBottom w:val="0"/>
          <w:divBdr>
            <w:top w:val="none" w:sz="0" w:space="0" w:color="auto"/>
            <w:left w:val="none" w:sz="0" w:space="0" w:color="auto"/>
            <w:bottom w:val="none" w:sz="0" w:space="0" w:color="auto"/>
            <w:right w:val="none" w:sz="0" w:space="0" w:color="auto"/>
          </w:divBdr>
        </w:div>
        <w:div w:id="392780786">
          <w:marLeft w:val="0"/>
          <w:marRight w:val="0"/>
          <w:marTop w:val="0"/>
          <w:marBottom w:val="0"/>
          <w:divBdr>
            <w:top w:val="none" w:sz="0" w:space="0" w:color="auto"/>
            <w:left w:val="none" w:sz="0" w:space="0" w:color="auto"/>
            <w:bottom w:val="none" w:sz="0" w:space="0" w:color="auto"/>
            <w:right w:val="none" w:sz="0" w:space="0" w:color="auto"/>
          </w:divBdr>
          <w:divsChild>
            <w:div w:id="189880902">
              <w:marLeft w:val="0"/>
              <w:marRight w:val="0"/>
              <w:marTop w:val="0"/>
              <w:marBottom w:val="0"/>
              <w:divBdr>
                <w:top w:val="none" w:sz="0" w:space="0" w:color="auto"/>
                <w:left w:val="none" w:sz="0" w:space="0" w:color="auto"/>
                <w:bottom w:val="none" w:sz="0" w:space="0" w:color="auto"/>
                <w:right w:val="none" w:sz="0" w:space="0" w:color="auto"/>
              </w:divBdr>
            </w:div>
            <w:div w:id="355473397">
              <w:marLeft w:val="0"/>
              <w:marRight w:val="0"/>
              <w:marTop w:val="0"/>
              <w:marBottom w:val="0"/>
              <w:divBdr>
                <w:top w:val="none" w:sz="0" w:space="0" w:color="auto"/>
                <w:left w:val="none" w:sz="0" w:space="0" w:color="auto"/>
                <w:bottom w:val="none" w:sz="0" w:space="0" w:color="auto"/>
                <w:right w:val="none" w:sz="0" w:space="0" w:color="auto"/>
              </w:divBdr>
            </w:div>
            <w:div w:id="609817379">
              <w:marLeft w:val="0"/>
              <w:marRight w:val="0"/>
              <w:marTop w:val="0"/>
              <w:marBottom w:val="0"/>
              <w:divBdr>
                <w:top w:val="none" w:sz="0" w:space="0" w:color="auto"/>
                <w:left w:val="none" w:sz="0" w:space="0" w:color="auto"/>
                <w:bottom w:val="none" w:sz="0" w:space="0" w:color="auto"/>
                <w:right w:val="none" w:sz="0" w:space="0" w:color="auto"/>
              </w:divBdr>
            </w:div>
            <w:div w:id="737244084">
              <w:marLeft w:val="0"/>
              <w:marRight w:val="0"/>
              <w:marTop w:val="0"/>
              <w:marBottom w:val="0"/>
              <w:divBdr>
                <w:top w:val="none" w:sz="0" w:space="0" w:color="auto"/>
                <w:left w:val="none" w:sz="0" w:space="0" w:color="auto"/>
                <w:bottom w:val="none" w:sz="0" w:space="0" w:color="auto"/>
                <w:right w:val="none" w:sz="0" w:space="0" w:color="auto"/>
              </w:divBdr>
            </w:div>
            <w:div w:id="801113683">
              <w:marLeft w:val="0"/>
              <w:marRight w:val="0"/>
              <w:marTop w:val="0"/>
              <w:marBottom w:val="0"/>
              <w:divBdr>
                <w:top w:val="none" w:sz="0" w:space="0" w:color="auto"/>
                <w:left w:val="none" w:sz="0" w:space="0" w:color="auto"/>
                <w:bottom w:val="none" w:sz="0" w:space="0" w:color="auto"/>
                <w:right w:val="none" w:sz="0" w:space="0" w:color="auto"/>
              </w:divBdr>
            </w:div>
            <w:div w:id="917713139">
              <w:marLeft w:val="0"/>
              <w:marRight w:val="0"/>
              <w:marTop w:val="0"/>
              <w:marBottom w:val="0"/>
              <w:divBdr>
                <w:top w:val="none" w:sz="0" w:space="0" w:color="auto"/>
                <w:left w:val="none" w:sz="0" w:space="0" w:color="auto"/>
                <w:bottom w:val="none" w:sz="0" w:space="0" w:color="auto"/>
                <w:right w:val="none" w:sz="0" w:space="0" w:color="auto"/>
              </w:divBdr>
            </w:div>
            <w:div w:id="1075207350">
              <w:marLeft w:val="0"/>
              <w:marRight w:val="0"/>
              <w:marTop w:val="0"/>
              <w:marBottom w:val="0"/>
              <w:divBdr>
                <w:top w:val="none" w:sz="0" w:space="0" w:color="auto"/>
                <w:left w:val="none" w:sz="0" w:space="0" w:color="auto"/>
                <w:bottom w:val="none" w:sz="0" w:space="0" w:color="auto"/>
                <w:right w:val="none" w:sz="0" w:space="0" w:color="auto"/>
              </w:divBdr>
            </w:div>
            <w:div w:id="1098913489">
              <w:marLeft w:val="0"/>
              <w:marRight w:val="0"/>
              <w:marTop w:val="0"/>
              <w:marBottom w:val="0"/>
              <w:divBdr>
                <w:top w:val="none" w:sz="0" w:space="0" w:color="auto"/>
                <w:left w:val="none" w:sz="0" w:space="0" w:color="auto"/>
                <w:bottom w:val="none" w:sz="0" w:space="0" w:color="auto"/>
                <w:right w:val="none" w:sz="0" w:space="0" w:color="auto"/>
              </w:divBdr>
            </w:div>
            <w:div w:id="1103037611">
              <w:marLeft w:val="0"/>
              <w:marRight w:val="0"/>
              <w:marTop w:val="0"/>
              <w:marBottom w:val="0"/>
              <w:divBdr>
                <w:top w:val="none" w:sz="0" w:space="0" w:color="auto"/>
                <w:left w:val="none" w:sz="0" w:space="0" w:color="auto"/>
                <w:bottom w:val="none" w:sz="0" w:space="0" w:color="auto"/>
                <w:right w:val="none" w:sz="0" w:space="0" w:color="auto"/>
              </w:divBdr>
            </w:div>
            <w:div w:id="1156259767">
              <w:marLeft w:val="0"/>
              <w:marRight w:val="0"/>
              <w:marTop w:val="0"/>
              <w:marBottom w:val="0"/>
              <w:divBdr>
                <w:top w:val="none" w:sz="0" w:space="0" w:color="auto"/>
                <w:left w:val="none" w:sz="0" w:space="0" w:color="auto"/>
                <w:bottom w:val="none" w:sz="0" w:space="0" w:color="auto"/>
                <w:right w:val="none" w:sz="0" w:space="0" w:color="auto"/>
              </w:divBdr>
            </w:div>
            <w:div w:id="1239902263">
              <w:marLeft w:val="0"/>
              <w:marRight w:val="0"/>
              <w:marTop w:val="0"/>
              <w:marBottom w:val="0"/>
              <w:divBdr>
                <w:top w:val="none" w:sz="0" w:space="0" w:color="auto"/>
                <w:left w:val="none" w:sz="0" w:space="0" w:color="auto"/>
                <w:bottom w:val="none" w:sz="0" w:space="0" w:color="auto"/>
                <w:right w:val="none" w:sz="0" w:space="0" w:color="auto"/>
              </w:divBdr>
            </w:div>
            <w:div w:id="1267805330">
              <w:marLeft w:val="0"/>
              <w:marRight w:val="0"/>
              <w:marTop w:val="0"/>
              <w:marBottom w:val="0"/>
              <w:divBdr>
                <w:top w:val="none" w:sz="0" w:space="0" w:color="auto"/>
                <w:left w:val="none" w:sz="0" w:space="0" w:color="auto"/>
                <w:bottom w:val="none" w:sz="0" w:space="0" w:color="auto"/>
                <w:right w:val="none" w:sz="0" w:space="0" w:color="auto"/>
              </w:divBdr>
            </w:div>
            <w:div w:id="1462529730">
              <w:marLeft w:val="0"/>
              <w:marRight w:val="0"/>
              <w:marTop w:val="0"/>
              <w:marBottom w:val="0"/>
              <w:divBdr>
                <w:top w:val="none" w:sz="0" w:space="0" w:color="auto"/>
                <w:left w:val="none" w:sz="0" w:space="0" w:color="auto"/>
                <w:bottom w:val="none" w:sz="0" w:space="0" w:color="auto"/>
                <w:right w:val="none" w:sz="0" w:space="0" w:color="auto"/>
              </w:divBdr>
            </w:div>
            <w:div w:id="1782260176">
              <w:marLeft w:val="0"/>
              <w:marRight w:val="0"/>
              <w:marTop w:val="0"/>
              <w:marBottom w:val="0"/>
              <w:divBdr>
                <w:top w:val="none" w:sz="0" w:space="0" w:color="auto"/>
                <w:left w:val="none" w:sz="0" w:space="0" w:color="auto"/>
                <w:bottom w:val="none" w:sz="0" w:space="0" w:color="auto"/>
                <w:right w:val="none" w:sz="0" w:space="0" w:color="auto"/>
              </w:divBdr>
            </w:div>
            <w:div w:id="1843156361">
              <w:marLeft w:val="0"/>
              <w:marRight w:val="0"/>
              <w:marTop w:val="0"/>
              <w:marBottom w:val="0"/>
              <w:divBdr>
                <w:top w:val="none" w:sz="0" w:space="0" w:color="auto"/>
                <w:left w:val="none" w:sz="0" w:space="0" w:color="auto"/>
                <w:bottom w:val="none" w:sz="0" w:space="0" w:color="auto"/>
                <w:right w:val="none" w:sz="0" w:space="0" w:color="auto"/>
              </w:divBdr>
            </w:div>
            <w:div w:id="1867861439">
              <w:marLeft w:val="0"/>
              <w:marRight w:val="0"/>
              <w:marTop w:val="0"/>
              <w:marBottom w:val="0"/>
              <w:divBdr>
                <w:top w:val="none" w:sz="0" w:space="0" w:color="auto"/>
                <w:left w:val="none" w:sz="0" w:space="0" w:color="auto"/>
                <w:bottom w:val="none" w:sz="0" w:space="0" w:color="auto"/>
                <w:right w:val="none" w:sz="0" w:space="0" w:color="auto"/>
              </w:divBdr>
            </w:div>
            <w:div w:id="1918126617">
              <w:marLeft w:val="0"/>
              <w:marRight w:val="0"/>
              <w:marTop w:val="0"/>
              <w:marBottom w:val="0"/>
              <w:divBdr>
                <w:top w:val="none" w:sz="0" w:space="0" w:color="auto"/>
                <w:left w:val="none" w:sz="0" w:space="0" w:color="auto"/>
                <w:bottom w:val="none" w:sz="0" w:space="0" w:color="auto"/>
                <w:right w:val="none" w:sz="0" w:space="0" w:color="auto"/>
              </w:divBdr>
            </w:div>
            <w:div w:id="2018191682">
              <w:marLeft w:val="0"/>
              <w:marRight w:val="0"/>
              <w:marTop w:val="0"/>
              <w:marBottom w:val="0"/>
              <w:divBdr>
                <w:top w:val="none" w:sz="0" w:space="0" w:color="auto"/>
                <w:left w:val="none" w:sz="0" w:space="0" w:color="auto"/>
                <w:bottom w:val="none" w:sz="0" w:space="0" w:color="auto"/>
                <w:right w:val="none" w:sz="0" w:space="0" w:color="auto"/>
              </w:divBdr>
            </w:div>
            <w:div w:id="2028828333">
              <w:marLeft w:val="0"/>
              <w:marRight w:val="0"/>
              <w:marTop w:val="0"/>
              <w:marBottom w:val="0"/>
              <w:divBdr>
                <w:top w:val="none" w:sz="0" w:space="0" w:color="auto"/>
                <w:left w:val="none" w:sz="0" w:space="0" w:color="auto"/>
                <w:bottom w:val="none" w:sz="0" w:space="0" w:color="auto"/>
                <w:right w:val="none" w:sz="0" w:space="0" w:color="auto"/>
              </w:divBdr>
            </w:div>
            <w:div w:id="2112120952">
              <w:marLeft w:val="0"/>
              <w:marRight w:val="0"/>
              <w:marTop w:val="0"/>
              <w:marBottom w:val="0"/>
              <w:divBdr>
                <w:top w:val="none" w:sz="0" w:space="0" w:color="auto"/>
                <w:left w:val="none" w:sz="0" w:space="0" w:color="auto"/>
                <w:bottom w:val="none" w:sz="0" w:space="0" w:color="auto"/>
                <w:right w:val="none" w:sz="0" w:space="0" w:color="auto"/>
              </w:divBdr>
            </w:div>
          </w:divsChild>
        </w:div>
        <w:div w:id="493685068">
          <w:marLeft w:val="0"/>
          <w:marRight w:val="0"/>
          <w:marTop w:val="0"/>
          <w:marBottom w:val="0"/>
          <w:divBdr>
            <w:top w:val="none" w:sz="0" w:space="0" w:color="auto"/>
            <w:left w:val="none" w:sz="0" w:space="0" w:color="auto"/>
            <w:bottom w:val="none" w:sz="0" w:space="0" w:color="auto"/>
            <w:right w:val="none" w:sz="0" w:space="0" w:color="auto"/>
          </w:divBdr>
        </w:div>
        <w:div w:id="497187542">
          <w:marLeft w:val="0"/>
          <w:marRight w:val="0"/>
          <w:marTop w:val="0"/>
          <w:marBottom w:val="0"/>
          <w:divBdr>
            <w:top w:val="none" w:sz="0" w:space="0" w:color="auto"/>
            <w:left w:val="none" w:sz="0" w:space="0" w:color="auto"/>
            <w:bottom w:val="none" w:sz="0" w:space="0" w:color="auto"/>
            <w:right w:val="none" w:sz="0" w:space="0" w:color="auto"/>
          </w:divBdr>
          <w:divsChild>
            <w:div w:id="27343611">
              <w:marLeft w:val="0"/>
              <w:marRight w:val="0"/>
              <w:marTop w:val="0"/>
              <w:marBottom w:val="0"/>
              <w:divBdr>
                <w:top w:val="none" w:sz="0" w:space="0" w:color="auto"/>
                <w:left w:val="none" w:sz="0" w:space="0" w:color="auto"/>
                <w:bottom w:val="none" w:sz="0" w:space="0" w:color="auto"/>
                <w:right w:val="none" w:sz="0" w:space="0" w:color="auto"/>
              </w:divBdr>
            </w:div>
            <w:div w:id="113793625">
              <w:marLeft w:val="0"/>
              <w:marRight w:val="0"/>
              <w:marTop w:val="0"/>
              <w:marBottom w:val="0"/>
              <w:divBdr>
                <w:top w:val="none" w:sz="0" w:space="0" w:color="auto"/>
                <w:left w:val="none" w:sz="0" w:space="0" w:color="auto"/>
                <w:bottom w:val="none" w:sz="0" w:space="0" w:color="auto"/>
                <w:right w:val="none" w:sz="0" w:space="0" w:color="auto"/>
              </w:divBdr>
            </w:div>
            <w:div w:id="678430901">
              <w:marLeft w:val="0"/>
              <w:marRight w:val="0"/>
              <w:marTop w:val="0"/>
              <w:marBottom w:val="0"/>
              <w:divBdr>
                <w:top w:val="none" w:sz="0" w:space="0" w:color="auto"/>
                <w:left w:val="none" w:sz="0" w:space="0" w:color="auto"/>
                <w:bottom w:val="none" w:sz="0" w:space="0" w:color="auto"/>
                <w:right w:val="none" w:sz="0" w:space="0" w:color="auto"/>
              </w:divBdr>
            </w:div>
            <w:div w:id="699084670">
              <w:marLeft w:val="0"/>
              <w:marRight w:val="0"/>
              <w:marTop w:val="0"/>
              <w:marBottom w:val="0"/>
              <w:divBdr>
                <w:top w:val="none" w:sz="0" w:space="0" w:color="auto"/>
                <w:left w:val="none" w:sz="0" w:space="0" w:color="auto"/>
                <w:bottom w:val="none" w:sz="0" w:space="0" w:color="auto"/>
                <w:right w:val="none" w:sz="0" w:space="0" w:color="auto"/>
              </w:divBdr>
            </w:div>
            <w:div w:id="702755878">
              <w:marLeft w:val="0"/>
              <w:marRight w:val="0"/>
              <w:marTop w:val="0"/>
              <w:marBottom w:val="0"/>
              <w:divBdr>
                <w:top w:val="none" w:sz="0" w:space="0" w:color="auto"/>
                <w:left w:val="none" w:sz="0" w:space="0" w:color="auto"/>
                <w:bottom w:val="none" w:sz="0" w:space="0" w:color="auto"/>
                <w:right w:val="none" w:sz="0" w:space="0" w:color="auto"/>
              </w:divBdr>
            </w:div>
            <w:div w:id="810177760">
              <w:marLeft w:val="0"/>
              <w:marRight w:val="0"/>
              <w:marTop w:val="0"/>
              <w:marBottom w:val="0"/>
              <w:divBdr>
                <w:top w:val="none" w:sz="0" w:space="0" w:color="auto"/>
                <w:left w:val="none" w:sz="0" w:space="0" w:color="auto"/>
                <w:bottom w:val="none" w:sz="0" w:space="0" w:color="auto"/>
                <w:right w:val="none" w:sz="0" w:space="0" w:color="auto"/>
              </w:divBdr>
            </w:div>
            <w:div w:id="1070233880">
              <w:marLeft w:val="0"/>
              <w:marRight w:val="0"/>
              <w:marTop w:val="0"/>
              <w:marBottom w:val="0"/>
              <w:divBdr>
                <w:top w:val="none" w:sz="0" w:space="0" w:color="auto"/>
                <w:left w:val="none" w:sz="0" w:space="0" w:color="auto"/>
                <w:bottom w:val="none" w:sz="0" w:space="0" w:color="auto"/>
                <w:right w:val="none" w:sz="0" w:space="0" w:color="auto"/>
              </w:divBdr>
            </w:div>
            <w:div w:id="1074887688">
              <w:marLeft w:val="0"/>
              <w:marRight w:val="0"/>
              <w:marTop w:val="0"/>
              <w:marBottom w:val="0"/>
              <w:divBdr>
                <w:top w:val="none" w:sz="0" w:space="0" w:color="auto"/>
                <w:left w:val="none" w:sz="0" w:space="0" w:color="auto"/>
                <w:bottom w:val="none" w:sz="0" w:space="0" w:color="auto"/>
                <w:right w:val="none" w:sz="0" w:space="0" w:color="auto"/>
              </w:divBdr>
            </w:div>
            <w:div w:id="1090003028">
              <w:marLeft w:val="0"/>
              <w:marRight w:val="0"/>
              <w:marTop w:val="0"/>
              <w:marBottom w:val="0"/>
              <w:divBdr>
                <w:top w:val="none" w:sz="0" w:space="0" w:color="auto"/>
                <w:left w:val="none" w:sz="0" w:space="0" w:color="auto"/>
                <w:bottom w:val="none" w:sz="0" w:space="0" w:color="auto"/>
                <w:right w:val="none" w:sz="0" w:space="0" w:color="auto"/>
              </w:divBdr>
            </w:div>
            <w:div w:id="1129007498">
              <w:marLeft w:val="0"/>
              <w:marRight w:val="0"/>
              <w:marTop w:val="0"/>
              <w:marBottom w:val="0"/>
              <w:divBdr>
                <w:top w:val="none" w:sz="0" w:space="0" w:color="auto"/>
                <w:left w:val="none" w:sz="0" w:space="0" w:color="auto"/>
                <w:bottom w:val="none" w:sz="0" w:space="0" w:color="auto"/>
                <w:right w:val="none" w:sz="0" w:space="0" w:color="auto"/>
              </w:divBdr>
            </w:div>
            <w:div w:id="1216626274">
              <w:marLeft w:val="0"/>
              <w:marRight w:val="0"/>
              <w:marTop w:val="0"/>
              <w:marBottom w:val="0"/>
              <w:divBdr>
                <w:top w:val="none" w:sz="0" w:space="0" w:color="auto"/>
                <w:left w:val="none" w:sz="0" w:space="0" w:color="auto"/>
                <w:bottom w:val="none" w:sz="0" w:space="0" w:color="auto"/>
                <w:right w:val="none" w:sz="0" w:space="0" w:color="auto"/>
              </w:divBdr>
            </w:div>
            <w:div w:id="1241790493">
              <w:marLeft w:val="0"/>
              <w:marRight w:val="0"/>
              <w:marTop w:val="0"/>
              <w:marBottom w:val="0"/>
              <w:divBdr>
                <w:top w:val="none" w:sz="0" w:space="0" w:color="auto"/>
                <w:left w:val="none" w:sz="0" w:space="0" w:color="auto"/>
                <w:bottom w:val="none" w:sz="0" w:space="0" w:color="auto"/>
                <w:right w:val="none" w:sz="0" w:space="0" w:color="auto"/>
              </w:divBdr>
            </w:div>
            <w:div w:id="1368216241">
              <w:marLeft w:val="0"/>
              <w:marRight w:val="0"/>
              <w:marTop w:val="0"/>
              <w:marBottom w:val="0"/>
              <w:divBdr>
                <w:top w:val="none" w:sz="0" w:space="0" w:color="auto"/>
                <w:left w:val="none" w:sz="0" w:space="0" w:color="auto"/>
                <w:bottom w:val="none" w:sz="0" w:space="0" w:color="auto"/>
                <w:right w:val="none" w:sz="0" w:space="0" w:color="auto"/>
              </w:divBdr>
            </w:div>
            <w:div w:id="1455438219">
              <w:marLeft w:val="0"/>
              <w:marRight w:val="0"/>
              <w:marTop w:val="0"/>
              <w:marBottom w:val="0"/>
              <w:divBdr>
                <w:top w:val="none" w:sz="0" w:space="0" w:color="auto"/>
                <w:left w:val="none" w:sz="0" w:space="0" w:color="auto"/>
                <w:bottom w:val="none" w:sz="0" w:space="0" w:color="auto"/>
                <w:right w:val="none" w:sz="0" w:space="0" w:color="auto"/>
              </w:divBdr>
            </w:div>
            <w:div w:id="1819876812">
              <w:marLeft w:val="0"/>
              <w:marRight w:val="0"/>
              <w:marTop w:val="0"/>
              <w:marBottom w:val="0"/>
              <w:divBdr>
                <w:top w:val="none" w:sz="0" w:space="0" w:color="auto"/>
                <w:left w:val="none" w:sz="0" w:space="0" w:color="auto"/>
                <w:bottom w:val="none" w:sz="0" w:space="0" w:color="auto"/>
                <w:right w:val="none" w:sz="0" w:space="0" w:color="auto"/>
              </w:divBdr>
            </w:div>
            <w:div w:id="1826899557">
              <w:marLeft w:val="0"/>
              <w:marRight w:val="0"/>
              <w:marTop w:val="0"/>
              <w:marBottom w:val="0"/>
              <w:divBdr>
                <w:top w:val="none" w:sz="0" w:space="0" w:color="auto"/>
                <w:left w:val="none" w:sz="0" w:space="0" w:color="auto"/>
                <w:bottom w:val="none" w:sz="0" w:space="0" w:color="auto"/>
                <w:right w:val="none" w:sz="0" w:space="0" w:color="auto"/>
              </w:divBdr>
            </w:div>
            <w:div w:id="1853303606">
              <w:marLeft w:val="0"/>
              <w:marRight w:val="0"/>
              <w:marTop w:val="0"/>
              <w:marBottom w:val="0"/>
              <w:divBdr>
                <w:top w:val="none" w:sz="0" w:space="0" w:color="auto"/>
                <w:left w:val="none" w:sz="0" w:space="0" w:color="auto"/>
                <w:bottom w:val="none" w:sz="0" w:space="0" w:color="auto"/>
                <w:right w:val="none" w:sz="0" w:space="0" w:color="auto"/>
              </w:divBdr>
            </w:div>
            <w:div w:id="1889876946">
              <w:marLeft w:val="0"/>
              <w:marRight w:val="0"/>
              <w:marTop w:val="0"/>
              <w:marBottom w:val="0"/>
              <w:divBdr>
                <w:top w:val="none" w:sz="0" w:space="0" w:color="auto"/>
                <w:left w:val="none" w:sz="0" w:space="0" w:color="auto"/>
                <w:bottom w:val="none" w:sz="0" w:space="0" w:color="auto"/>
                <w:right w:val="none" w:sz="0" w:space="0" w:color="auto"/>
              </w:divBdr>
            </w:div>
            <w:div w:id="1919095829">
              <w:marLeft w:val="0"/>
              <w:marRight w:val="0"/>
              <w:marTop w:val="0"/>
              <w:marBottom w:val="0"/>
              <w:divBdr>
                <w:top w:val="none" w:sz="0" w:space="0" w:color="auto"/>
                <w:left w:val="none" w:sz="0" w:space="0" w:color="auto"/>
                <w:bottom w:val="none" w:sz="0" w:space="0" w:color="auto"/>
                <w:right w:val="none" w:sz="0" w:space="0" w:color="auto"/>
              </w:divBdr>
            </w:div>
            <w:div w:id="1937861157">
              <w:marLeft w:val="0"/>
              <w:marRight w:val="0"/>
              <w:marTop w:val="0"/>
              <w:marBottom w:val="0"/>
              <w:divBdr>
                <w:top w:val="none" w:sz="0" w:space="0" w:color="auto"/>
                <w:left w:val="none" w:sz="0" w:space="0" w:color="auto"/>
                <w:bottom w:val="none" w:sz="0" w:space="0" w:color="auto"/>
                <w:right w:val="none" w:sz="0" w:space="0" w:color="auto"/>
              </w:divBdr>
            </w:div>
          </w:divsChild>
        </w:div>
        <w:div w:id="605968687">
          <w:marLeft w:val="0"/>
          <w:marRight w:val="0"/>
          <w:marTop w:val="0"/>
          <w:marBottom w:val="0"/>
          <w:divBdr>
            <w:top w:val="none" w:sz="0" w:space="0" w:color="auto"/>
            <w:left w:val="none" w:sz="0" w:space="0" w:color="auto"/>
            <w:bottom w:val="none" w:sz="0" w:space="0" w:color="auto"/>
            <w:right w:val="none" w:sz="0" w:space="0" w:color="auto"/>
          </w:divBdr>
        </w:div>
        <w:div w:id="736712483">
          <w:marLeft w:val="0"/>
          <w:marRight w:val="0"/>
          <w:marTop w:val="0"/>
          <w:marBottom w:val="0"/>
          <w:divBdr>
            <w:top w:val="none" w:sz="0" w:space="0" w:color="auto"/>
            <w:left w:val="none" w:sz="0" w:space="0" w:color="auto"/>
            <w:bottom w:val="none" w:sz="0" w:space="0" w:color="auto"/>
            <w:right w:val="none" w:sz="0" w:space="0" w:color="auto"/>
          </w:divBdr>
        </w:div>
        <w:div w:id="741299203">
          <w:marLeft w:val="0"/>
          <w:marRight w:val="0"/>
          <w:marTop w:val="0"/>
          <w:marBottom w:val="0"/>
          <w:divBdr>
            <w:top w:val="none" w:sz="0" w:space="0" w:color="auto"/>
            <w:left w:val="none" w:sz="0" w:space="0" w:color="auto"/>
            <w:bottom w:val="none" w:sz="0" w:space="0" w:color="auto"/>
            <w:right w:val="none" w:sz="0" w:space="0" w:color="auto"/>
          </w:divBdr>
        </w:div>
        <w:div w:id="767896250">
          <w:marLeft w:val="0"/>
          <w:marRight w:val="0"/>
          <w:marTop w:val="0"/>
          <w:marBottom w:val="0"/>
          <w:divBdr>
            <w:top w:val="none" w:sz="0" w:space="0" w:color="auto"/>
            <w:left w:val="none" w:sz="0" w:space="0" w:color="auto"/>
            <w:bottom w:val="none" w:sz="0" w:space="0" w:color="auto"/>
            <w:right w:val="none" w:sz="0" w:space="0" w:color="auto"/>
          </w:divBdr>
        </w:div>
        <w:div w:id="806776279">
          <w:marLeft w:val="0"/>
          <w:marRight w:val="0"/>
          <w:marTop w:val="0"/>
          <w:marBottom w:val="0"/>
          <w:divBdr>
            <w:top w:val="none" w:sz="0" w:space="0" w:color="auto"/>
            <w:left w:val="none" w:sz="0" w:space="0" w:color="auto"/>
            <w:bottom w:val="none" w:sz="0" w:space="0" w:color="auto"/>
            <w:right w:val="none" w:sz="0" w:space="0" w:color="auto"/>
          </w:divBdr>
        </w:div>
        <w:div w:id="824395290">
          <w:marLeft w:val="0"/>
          <w:marRight w:val="0"/>
          <w:marTop w:val="0"/>
          <w:marBottom w:val="0"/>
          <w:divBdr>
            <w:top w:val="none" w:sz="0" w:space="0" w:color="auto"/>
            <w:left w:val="none" w:sz="0" w:space="0" w:color="auto"/>
            <w:bottom w:val="none" w:sz="0" w:space="0" w:color="auto"/>
            <w:right w:val="none" w:sz="0" w:space="0" w:color="auto"/>
          </w:divBdr>
        </w:div>
        <w:div w:id="846794558">
          <w:marLeft w:val="0"/>
          <w:marRight w:val="0"/>
          <w:marTop w:val="0"/>
          <w:marBottom w:val="0"/>
          <w:divBdr>
            <w:top w:val="none" w:sz="0" w:space="0" w:color="auto"/>
            <w:left w:val="none" w:sz="0" w:space="0" w:color="auto"/>
            <w:bottom w:val="none" w:sz="0" w:space="0" w:color="auto"/>
            <w:right w:val="none" w:sz="0" w:space="0" w:color="auto"/>
          </w:divBdr>
        </w:div>
        <w:div w:id="882865917">
          <w:marLeft w:val="0"/>
          <w:marRight w:val="0"/>
          <w:marTop w:val="0"/>
          <w:marBottom w:val="0"/>
          <w:divBdr>
            <w:top w:val="none" w:sz="0" w:space="0" w:color="auto"/>
            <w:left w:val="none" w:sz="0" w:space="0" w:color="auto"/>
            <w:bottom w:val="none" w:sz="0" w:space="0" w:color="auto"/>
            <w:right w:val="none" w:sz="0" w:space="0" w:color="auto"/>
          </w:divBdr>
        </w:div>
        <w:div w:id="889464686">
          <w:marLeft w:val="0"/>
          <w:marRight w:val="0"/>
          <w:marTop w:val="0"/>
          <w:marBottom w:val="0"/>
          <w:divBdr>
            <w:top w:val="none" w:sz="0" w:space="0" w:color="auto"/>
            <w:left w:val="none" w:sz="0" w:space="0" w:color="auto"/>
            <w:bottom w:val="none" w:sz="0" w:space="0" w:color="auto"/>
            <w:right w:val="none" w:sz="0" w:space="0" w:color="auto"/>
          </w:divBdr>
        </w:div>
        <w:div w:id="1009597204">
          <w:marLeft w:val="0"/>
          <w:marRight w:val="0"/>
          <w:marTop w:val="0"/>
          <w:marBottom w:val="0"/>
          <w:divBdr>
            <w:top w:val="none" w:sz="0" w:space="0" w:color="auto"/>
            <w:left w:val="none" w:sz="0" w:space="0" w:color="auto"/>
            <w:bottom w:val="none" w:sz="0" w:space="0" w:color="auto"/>
            <w:right w:val="none" w:sz="0" w:space="0" w:color="auto"/>
          </w:divBdr>
        </w:div>
        <w:div w:id="1025785511">
          <w:marLeft w:val="0"/>
          <w:marRight w:val="0"/>
          <w:marTop w:val="0"/>
          <w:marBottom w:val="0"/>
          <w:divBdr>
            <w:top w:val="none" w:sz="0" w:space="0" w:color="auto"/>
            <w:left w:val="none" w:sz="0" w:space="0" w:color="auto"/>
            <w:bottom w:val="none" w:sz="0" w:space="0" w:color="auto"/>
            <w:right w:val="none" w:sz="0" w:space="0" w:color="auto"/>
          </w:divBdr>
        </w:div>
        <w:div w:id="1128091526">
          <w:marLeft w:val="0"/>
          <w:marRight w:val="0"/>
          <w:marTop w:val="0"/>
          <w:marBottom w:val="0"/>
          <w:divBdr>
            <w:top w:val="none" w:sz="0" w:space="0" w:color="auto"/>
            <w:left w:val="none" w:sz="0" w:space="0" w:color="auto"/>
            <w:bottom w:val="none" w:sz="0" w:space="0" w:color="auto"/>
            <w:right w:val="none" w:sz="0" w:space="0" w:color="auto"/>
          </w:divBdr>
          <w:divsChild>
            <w:div w:id="8987453">
              <w:marLeft w:val="0"/>
              <w:marRight w:val="0"/>
              <w:marTop w:val="0"/>
              <w:marBottom w:val="0"/>
              <w:divBdr>
                <w:top w:val="none" w:sz="0" w:space="0" w:color="auto"/>
                <w:left w:val="none" w:sz="0" w:space="0" w:color="auto"/>
                <w:bottom w:val="none" w:sz="0" w:space="0" w:color="auto"/>
                <w:right w:val="none" w:sz="0" w:space="0" w:color="auto"/>
              </w:divBdr>
            </w:div>
            <w:div w:id="77412342">
              <w:marLeft w:val="0"/>
              <w:marRight w:val="0"/>
              <w:marTop w:val="0"/>
              <w:marBottom w:val="0"/>
              <w:divBdr>
                <w:top w:val="none" w:sz="0" w:space="0" w:color="auto"/>
                <w:left w:val="none" w:sz="0" w:space="0" w:color="auto"/>
                <w:bottom w:val="none" w:sz="0" w:space="0" w:color="auto"/>
                <w:right w:val="none" w:sz="0" w:space="0" w:color="auto"/>
              </w:divBdr>
            </w:div>
            <w:div w:id="102696014">
              <w:marLeft w:val="0"/>
              <w:marRight w:val="0"/>
              <w:marTop w:val="0"/>
              <w:marBottom w:val="0"/>
              <w:divBdr>
                <w:top w:val="none" w:sz="0" w:space="0" w:color="auto"/>
                <w:left w:val="none" w:sz="0" w:space="0" w:color="auto"/>
                <w:bottom w:val="none" w:sz="0" w:space="0" w:color="auto"/>
                <w:right w:val="none" w:sz="0" w:space="0" w:color="auto"/>
              </w:divBdr>
            </w:div>
            <w:div w:id="174271309">
              <w:marLeft w:val="0"/>
              <w:marRight w:val="0"/>
              <w:marTop w:val="0"/>
              <w:marBottom w:val="0"/>
              <w:divBdr>
                <w:top w:val="none" w:sz="0" w:space="0" w:color="auto"/>
                <w:left w:val="none" w:sz="0" w:space="0" w:color="auto"/>
                <w:bottom w:val="none" w:sz="0" w:space="0" w:color="auto"/>
                <w:right w:val="none" w:sz="0" w:space="0" w:color="auto"/>
              </w:divBdr>
            </w:div>
            <w:div w:id="313609340">
              <w:marLeft w:val="0"/>
              <w:marRight w:val="0"/>
              <w:marTop w:val="0"/>
              <w:marBottom w:val="0"/>
              <w:divBdr>
                <w:top w:val="none" w:sz="0" w:space="0" w:color="auto"/>
                <w:left w:val="none" w:sz="0" w:space="0" w:color="auto"/>
                <w:bottom w:val="none" w:sz="0" w:space="0" w:color="auto"/>
                <w:right w:val="none" w:sz="0" w:space="0" w:color="auto"/>
              </w:divBdr>
            </w:div>
            <w:div w:id="383065050">
              <w:marLeft w:val="0"/>
              <w:marRight w:val="0"/>
              <w:marTop w:val="0"/>
              <w:marBottom w:val="0"/>
              <w:divBdr>
                <w:top w:val="none" w:sz="0" w:space="0" w:color="auto"/>
                <w:left w:val="none" w:sz="0" w:space="0" w:color="auto"/>
                <w:bottom w:val="none" w:sz="0" w:space="0" w:color="auto"/>
                <w:right w:val="none" w:sz="0" w:space="0" w:color="auto"/>
              </w:divBdr>
            </w:div>
            <w:div w:id="622856243">
              <w:marLeft w:val="0"/>
              <w:marRight w:val="0"/>
              <w:marTop w:val="0"/>
              <w:marBottom w:val="0"/>
              <w:divBdr>
                <w:top w:val="none" w:sz="0" w:space="0" w:color="auto"/>
                <w:left w:val="none" w:sz="0" w:space="0" w:color="auto"/>
                <w:bottom w:val="none" w:sz="0" w:space="0" w:color="auto"/>
                <w:right w:val="none" w:sz="0" w:space="0" w:color="auto"/>
              </w:divBdr>
            </w:div>
            <w:div w:id="681511751">
              <w:marLeft w:val="0"/>
              <w:marRight w:val="0"/>
              <w:marTop w:val="0"/>
              <w:marBottom w:val="0"/>
              <w:divBdr>
                <w:top w:val="none" w:sz="0" w:space="0" w:color="auto"/>
                <w:left w:val="none" w:sz="0" w:space="0" w:color="auto"/>
                <w:bottom w:val="none" w:sz="0" w:space="0" w:color="auto"/>
                <w:right w:val="none" w:sz="0" w:space="0" w:color="auto"/>
              </w:divBdr>
            </w:div>
            <w:div w:id="762411297">
              <w:marLeft w:val="0"/>
              <w:marRight w:val="0"/>
              <w:marTop w:val="0"/>
              <w:marBottom w:val="0"/>
              <w:divBdr>
                <w:top w:val="none" w:sz="0" w:space="0" w:color="auto"/>
                <w:left w:val="none" w:sz="0" w:space="0" w:color="auto"/>
                <w:bottom w:val="none" w:sz="0" w:space="0" w:color="auto"/>
                <w:right w:val="none" w:sz="0" w:space="0" w:color="auto"/>
              </w:divBdr>
            </w:div>
            <w:div w:id="823814200">
              <w:marLeft w:val="0"/>
              <w:marRight w:val="0"/>
              <w:marTop w:val="0"/>
              <w:marBottom w:val="0"/>
              <w:divBdr>
                <w:top w:val="none" w:sz="0" w:space="0" w:color="auto"/>
                <w:left w:val="none" w:sz="0" w:space="0" w:color="auto"/>
                <w:bottom w:val="none" w:sz="0" w:space="0" w:color="auto"/>
                <w:right w:val="none" w:sz="0" w:space="0" w:color="auto"/>
              </w:divBdr>
            </w:div>
            <w:div w:id="1029573175">
              <w:marLeft w:val="0"/>
              <w:marRight w:val="0"/>
              <w:marTop w:val="0"/>
              <w:marBottom w:val="0"/>
              <w:divBdr>
                <w:top w:val="none" w:sz="0" w:space="0" w:color="auto"/>
                <w:left w:val="none" w:sz="0" w:space="0" w:color="auto"/>
                <w:bottom w:val="none" w:sz="0" w:space="0" w:color="auto"/>
                <w:right w:val="none" w:sz="0" w:space="0" w:color="auto"/>
              </w:divBdr>
            </w:div>
            <w:div w:id="1154031754">
              <w:marLeft w:val="0"/>
              <w:marRight w:val="0"/>
              <w:marTop w:val="0"/>
              <w:marBottom w:val="0"/>
              <w:divBdr>
                <w:top w:val="none" w:sz="0" w:space="0" w:color="auto"/>
                <w:left w:val="none" w:sz="0" w:space="0" w:color="auto"/>
                <w:bottom w:val="none" w:sz="0" w:space="0" w:color="auto"/>
                <w:right w:val="none" w:sz="0" w:space="0" w:color="auto"/>
              </w:divBdr>
            </w:div>
            <w:div w:id="1211653513">
              <w:marLeft w:val="0"/>
              <w:marRight w:val="0"/>
              <w:marTop w:val="0"/>
              <w:marBottom w:val="0"/>
              <w:divBdr>
                <w:top w:val="none" w:sz="0" w:space="0" w:color="auto"/>
                <w:left w:val="none" w:sz="0" w:space="0" w:color="auto"/>
                <w:bottom w:val="none" w:sz="0" w:space="0" w:color="auto"/>
                <w:right w:val="none" w:sz="0" w:space="0" w:color="auto"/>
              </w:divBdr>
            </w:div>
            <w:div w:id="1538201554">
              <w:marLeft w:val="0"/>
              <w:marRight w:val="0"/>
              <w:marTop w:val="0"/>
              <w:marBottom w:val="0"/>
              <w:divBdr>
                <w:top w:val="none" w:sz="0" w:space="0" w:color="auto"/>
                <w:left w:val="none" w:sz="0" w:space="0" w:color="auto"/>
                <w:bottom w:val="none" w:sz="0" w:space="0" w:color="auto"/>
                <w:right w:val="none" w:sz="0" w:space="0" w:color="auto"/>
              </w:divBdr>
            </w:div>
            <w:div w:id="1591235481">
              <w:marLeft w:val="0"/>
              <w:marRight w:val="0"/>
              <w:marTop w:val="0"/>
              <w:marBottom w:val="0"/>
              <w:divBdr>
                <w:top w:val="none" w:sz="0" w:space="0" w:color="auto"/>
                <w:left w:val="none" w:sz="0" w:space="0" w:color="auto"/>
                <w:bottom w:val="none" w:sz="0" w:space="0" w:color="auto"/>
                <w:right w:val="none" w:sz="0" w:space="0" w:color="auto"/>
              </w:divBdr>
            </w:div>
            <w:div w:id="1795754540">
              <w:marLeft w:val="0"/>
              <w:marRight w:val="0"/>
              <w:marTop w:val="0"/>
              <w:marBottom w:val="0"/>
              <w:divBdr>
                <w:top w:val="none" w:sz="0" w:space="0" w:color="auto"/>
                <w:left w:val="none" w:sz="0" w:space="0" w:color="auto"/>
                <w:bottom w:val="none" w:sz="0" w:space="0" w:color="auto"/>
                <w:right w:val="none" w:sz="0" w:space="0" w:color="auto"/>
              </w:divBdr>
            </w:div>
            <w:div w:id="1805661888">
              <w:marLeft w:val="0"/>
              <w:marRight w:val="0"/>
              <w:marTop w:val="0"/>
              <w:marBottom w:val="0"/>
              <w:divBdr>
                <w:top w:val="none" w:sz="0" w:space="0" w:color="auto"/>
                <w:left w:val="none" w:sz="0" w:space="0" w:color="auto"/>
                <w:bottom w:val="none" w:sz="0" w:space="0" w:color="auto"/>
                <w:right w:val="none" w:sz="0" w:space="0" w:color="auto"/>
              </w:divBdr>
            </w:div>
            <w:div w:id="1843742673">
              <w:marLeft w:val="0"/>
              <w:marRight w:val="0"/>
              <w:marTop w:val="0"/>
              <w:marBottom w:val="0"/>
              <w:divBdr>
                <w:top w:val="none" w:sz="0" w:space="0" w:color="auto"/>
                <w:left w:val="none" w:sz="0" w:space="0" w:color="auto"/>
                <w:bottom w:val="none" w:sz="0" w:space="0" w:color="auto"/>
                <w:right w:val="none" w:sz="0" w:space="0" w:color="auto"/>
              </w:divBdr>
            </w:div>
            <w:div w:id="1908491006">
              <w:marLeft w:val="0"/>
              <w:marRight w:val="0"/>
              <w:marTop w:val="0"/>
              <w:marBottom w:val="0"/>
              <w:divBdr>
                <w:top w:val="none" w:sz="0" w:space="0" w:color="auto"/>
                <w:left w:val="none" w:sz="0" w:space="0" w:color="auto"/>
                <w:bottom w:val="none" w:sz="0" w:space="0" w:color="auto"/>
                <w:right w:val="none" w:sz="0" w:space="0" w:color="auto"/>
              </w:divBdr>
            </w:div>
            <w:div w:id="2017927469">
              <w:marLeft w:val="0"/>
              <w:marRight w:val="0"/>
              <w:marTop w:val="0"/>
              <w:marBottom w:val="0"/>
              <w:divBdr>
                <w:top w:val="none" w:sz="0" w:space="0" w:color="auto"/>
                <w:left w:val="none" w:sz="0" w:space="0" w:color="auto"/>
                <w:bottom w:val="none" w:sz="0" w:space="0" w:color="auto"/>
                <w:right w:val="none" w:sz="0" w:space="0" w:color="auto"/>
              </w:divBdr>
            </w:div>
          </w:divsChild>
        </w:div>
        <w:div w:id="1146122438">
          <w:marLeft w:val="0"/>
          <w:marRight w:val="0"/>
          <w:marTop w:val="0"/>
          <w:marBottom w:val="0"/>
          <w:divBdr>
            <w:top w:val="none" w:sz="0" w:space="0" w:color="auto"/>
            <w:left w:val="none" w:sz="0" w:space="0" w:color="auto"/>
            <w:bottom w:val="none" w:sz="0" w:space="0" w:color="auto"/>
            <w:right w:val="none" w:sz="0" w:space="0" w:color="auto"/>
          </w:divBdr>
        </w:div>
        <w:div w:id="1151094375">
          <w:marLeft w:val="0"/>
          <w:marRight w:val="0"/>
          <w:marTop w:val="0"/>
          <w:marBottom w:val="0"/>
          <w:divBdr>
            <w:top w:val="none" w:sz="0" w:space="0" w:color="auto"/>
            <w:left w:val="none" w:sz="0" w:space="0" w:color="auto"/>
            <w:bottom w:val="none" w:sz="0" w:space="0" w:color="auto"/>
            <w:right w:val="none" w:sz="0" w:space="0" w:color="auto"/>
          </w:divBdr>
        </w:div>
        <w:div w:id="1210265368">
          <w:marLeft w:val="0"/>
          <w:marRight w:val="0"/>
          <w:marTop w:val="0"/>
          <w:marBottom w:val="0"/>
          <w:divBdr>
            <w:top w:val="none" w:sz="0" w:space="0" w:color="auto"/>
            <w:left w:val="none" w:sz="0" w:space="0" w:color="auto"/>
            <w:bottom w:val="none" w:sz="0" w:space="0" w:color="auto"/>
            <w:right w:val="none" w:sz="0" w:space="0" w:color="auto"/>
          </w:divBdr>
        </w:div>
        <w:div w:id="1361855552">
          <w:marLeft w:val="0"/>
          <w:marRight w:val="0"/>
          <w:marTop w:val="0"/>
          <w:marBottom w:val="0"/>
          <w:divBdr>
            <w:top w:val="none" w:sz="0" w:space="0" w:color="auto"/>
            <w:left w:val="none" w:sz="0" w:space="0" w:color="auto"/>
            <w:bottom w:val="none" w:sz="0" w:space="0" w:color="auto"/>
            <w:right w:val="none" w:sz="0" w:space="0" w:color="auto"/>
          </w:divBdr>
        </w:div>
        <w:div w:id="1407264106">
          <w:marLeft w:val="0"/>
          <w:marRight w:val="0"/>
          <w:marTop w:val="0"/>
          <w:marBottom w:val="0"/>
          <w:divBdr>
            <w:top w:val="none" w:sz="0" w:space="0" w:color="auto"/>
            <w:left w:val="none" w:sz="0" w:space="0" w:color="auto"/>
            <w:bottom w:val="none" w:sz="0" w:space="0" w:color="auto"/>
            <w:right w:val="none" w:sz="0" w:space="0" w:color="auto"/>
          </w:divBdr>
        </w:div>
        <w:div w:id="1413114810">
          <w:marLeft w:val="0"/>
          <w:marRight w:val="0"/>
          <w:marTop w:val="0"/>
          <w:marBottom w:val="0"/>
          <w:divBdr>
            <w:top w:val="none" w:sz="0" w:space="0" w:color="auto"/>
            <w:left w:val="none" w:sz="0" w:space="0" w:color="auto"/>
            <w:bottom w:val="none" w:sz="0" w:space="0" w:color="auto"/>
            <w:right w:val="none" w:sz="0" w:space="0" w:color="auto"/>
          </w:divBdr>
          <w:divsChild>
            <w:div w:id="2088261573">
              <w:marLeft w:val="-75"/>
              <w:marRight w:val="0"/>
              <w:marTop w:val="30"/>
              <w:marBottom w:val="30"/>
              <w:divBdr>
                <w:top w:val="none" w:sz="0" w:space="0" w:color="auto"/>
                <w:left w:val="none" w:sz="0" w:space="0" w:color="auto"/>
                <w:bottom w:val="none" w:sz="0" w:space="0" w:color="auto"/>
                <w:right w:val="none" w:sz="0" w:space="0" w:color="auto"/>
              </w:divBdr>
              <w:divsChild>
                <w:div w:id="188841148">
                  <w:marLeft w:val="0"/>
                  <w:marRight w:val="0"/>
                  <w:marTop w:val="0"/>
                  <w:marBottom w:val="0"/>
                  <w:divBdr>
                    <w:top w:val="none" w:sz="0" w:space="0" w:color="auto"/>
                    <w:left w:val="none" w:sz="0" w:space="0" w:color="auto"/>
                    <w:bottom w:val="none" w:sz="0" w:space="0" w:color="auto"/>
                    <w:right w:val="none" w:sz="0" w:space="0" w:color="auto"/>
                  </w:divBdr>
                  <w:divsChild>
                    <w:div w:id="1907060410">
                      <w:marLeft w:val="0"/>
                      <w:marRight w:val="0"/>
                      <w:marTop w:val="0"/>
                      <w:marBottom w:val="0"/>
                      <w:divBdr>
                        <w:top w:val="none" w:sz="0" w:space="0" w:color="auto"/>
                        <w:left w:val="none" w:sz="0" w:space="0" w:color="auto"/>
                        <w:bottom w:val="none" w:sz="0" w:space="0" w:color="auto"/>
                        <w:right w:val="none" w:sz="0" w:space="0" w:color="auto"/>
                      </w:divBdr>
                    </w:div>
                    <w:div w:id="1951930629">
                      <w:marLeft w:val="0"/>
                      <w:marRight w:val="0"/>
                      <w:marTop w:val="0"/>
                      <w:marBottom w:val="0"/>
                      <w:divBdr>
                        <w:top w:val="none" w:sz="0" w:space="0" w:color="auto"/>
                        <w:left w:val="none" w:sz="0" w:space="0" w:color="auto"/>
                        <w:bottom w:val="none" w:sz="0" w:space="0" w:color="auto"/>
                        <w:right w:val="none" w:sz="0" w:space="0" w:color="auto"/>
                      </w:divBdr>
                    </w:div>
                  </w:divsChild>
                </w:div>
                <w:div w:id="202137143">
                  <w:marLeft w:val="0"/>
                  <w:marRight w:val="0"/>
                  <w:marTop w:val="0"/>
                  <w:marBottom w:val="0"/>
                  <w:divBdr>
                    <w:top w:val="none" w:sz="0" w:space="0" w:color="auto"/>
                    <w:left w:val="none" w:sz="0" w:space="0" w:color="auto"/>
                    <w:bottom w:val="none" w:sz="0" w:space="0" w:color="auto"/>
                    <w:right w:val="none" w:sz="0" w:space="0" w:color="auto"/>
                  </w:divBdr>
                  <w:divsChild>
                    <w:div w:id="1241720204">
                      <w:marLeft w:val="0"/>
                      <w:marRight w:val="0"/>
                      <w:marTop w:val="0"/>
                      <w:marBottom w:val="0"/>
                      <w:divBdr>
                        <w:top w:val="none" w:sz="0" w:space="0" w:color="auto"/>
                        <w:left w:val="none" w:sz="0" w:space="0" w:color="auto"/>
                        <w:bottom w:val="none" w:sz="0" w:space="0" w:color="auto"/>
                        <w:right w:val="none" w:sz="0" w:space="0" w:color="auto"/>
                      </w:divBdr>
                    </w:div>
                  </w:divsChild>
                </w:div>
                <w:div w:id="513881744">
                  <w:marLeft w:val="0"/>
                  <w:marRight w:val="0"/>
                  <w:marTop w:val="0"/>
                  <w:marBottom w:val="0"/>
                  <w:divBdr>
                    <w:top w:val="none" w:sz="0" w:space="0" w:color="auto"/>
                    <w:left w:val="none" w:sz="0" w:space="0" w:color="auto"/>
                    <w:bottom w:val="none" w:sz="0" w:space="0" w:color="auto"/>
                    <w:right w:val="none" w:sz="0" w:space="0" w:color="auto"/>
                  </w:divBdr>
                  <w:divsChild>
                    <w:div w:id="461534584">
                      <w:marLeft w:val="0"/>
                      <w:marRight w:val="0"/>
                      <w:marTop w:val="0"/>
                      <w:marBottom w:val="0"/>
                      <w:divBdr>
                        <w:top w:val="none" w:sz="0" w:space="0" w:color="auto"/>
                        <w:left w:val="none" w:sz="0" w:space="0" w:color="auto"/>
                        <w:bottom w:val="none" w:sz="0" w:space="0" w:color="auto"/>
                        <w:right w:val="none" w:sz="0" w:space="0" w:color="auto"/>
                      </w:divBdr>
                    </w:div>
                    <w:div w:id="1468624117">
                      <w:marLeft w:val="0"/>
                      <w:marRight w:val="0"/>
                      <w:marTop w:val="0"/>
                      <w:marBottom w:val="0"/>
                      <w:divBdr>
                        <w:top w:val="none" w:sz="0" w:space="0" w:color="auto"/>
                        <w:left w:val="none" w:sz="0" w:space="0" w:color="auto"/>
                        <w:bottom w:val="none" w:sz="0" w:space="0" w:color="auto"/>
                        <w:right w:val="none" w:sz="0" w:space="0" w:color="auto"/>
                      </w:divBdr>
                    </w:div>
                  </w:divsChild>
                </w:div>
                <w:div w:id="990983485">
                  <w:marLeft w:val="0"/>
                  <w:marRight w:val="0"/>
                  <w:marTop w:val="0"/>
                  <w:marBottom w:val="0"/>
                  <w:divBdr>
                    <w:top w:val="none" w:sz="0" w:space="0" w:color="auto"/>
                    <w:left w:val="none" w:sz="0" w:space="0" w:color="auto"/>
                    <w:bottom w:val="none" w:sz="0" w:space="0" w:color="auto"/>
                    <w:right w:val="none" w:sz="0" w:space="0" w:color="auto"/>
                  </w:divBdr>
                  <w:divsChild>
                    <w:div w:id="1902012832">
                      <w:marLeft w:val="0"/>
                      <w:marRight w:val="0"/>
                      <w:marTop w:val="0"/>
                      <w:marBottom w:val="0"/>
                      <w:divBdr>
                        <w:top w:val="none" w:sz="0" w:space="0" w:color="auto"/>
                        <w:left w:val="none" w:sz="0" w:space="0" w:color="auto"/>
                        <w:bottom w:val="none" w:sz="0" w:space="0" w:color="auto"/>
                        <w:right w:val="none" w:sz="0" w:space="0" w:color="auto"/>
                      </w:divBdr>
                    </w:div>
                    <w:div w:id="2113820578">
                      <w:marLeft w:val="0"/>
                      <w:marRight w:val="0"/>
                      <w:marTop w:val="0"/>
                      <w:marBottom w:val="0"/>
                      <w:divBdr>
                        <w:top w:val="none" w:sz="0" w:space="0" w:color="auto"/>
                        <w:left w:val="none" w:sz="0" w:space="0" w:color="auto"/>
                        <w:bottom w:val="none" w:sz="0" w:space="0" w:color="auto"/>
                        <w:right w:val="none" w:sz="0" w:space="0" w:color="auto"/>
                      </w:divBdr>
                    </w:div>
                  </w:divsChild>
                </w:div>
                <w:div w:id="1109423260">
                  <w:marLeft w:val="0"/>
                  <w:marRight w:val="0"/>
                  <w:marTop w:val="0"/>
                  <w:marBottom w:val="0"/>
                  <w:divBdr>
                    <w:top w:val="none" w:sz="0" w:space="0" w:color="auto"/>
                    <w:left w:val="none" w:sz="0" w:space="0" w:color="auto"/>
                    <w:bottom w:val="none" w:sz="0" w:space="0" w:color="auto"/>
                    <w:right w:val="none" w:sz="0" w:space="0" w:color="auto"/>
                  </w:divBdr>
                  <w:divsChild>
                    <w:div w:id="1075861725">
                      <w:marLeft w:val="0"/>
                      <w:marRight w:val="0"/>
                      <w:marTop w:val="0"/>
                      <w:marBottom w:val="0"/>
                      <w:divBdr>
                        <w:top w:val="none" w:sz="0" w:space="0" w:color="auto"/>
                        <w:left w:val="none" w:sz="0" w:space="0" w:color="auto"/>
                        <w:bottom w:val="none" w:sz="0" w:space="0" w:color="auto"/>
                        <w:right w:val="none" w:sz="0" w:space="0" w:color="auto"/>
                      </w:divBdr>
                    </w:div>
                    <w:div w:id="1165047403">
                      <w:marLeft w:val="0"/>
                      <w:marRight w:val="0"/>
                      <w:marTop w:val="0"/>
                      <w:marBottom w:val="0"/>
                      <w:divBdr>
                        <w:top w:val="none" w:sz="0" w:space="0" w:color="auto"/>
                        <w:left w:val="none" w:sz="0" w:space="0" w:color="auto"/>
                        <w:bottom w:val="none" w:sz="0" w:space="0" w:color="auto"/>
                        <w:right w:val="none" w:sz="0" w:space="0" w:color="auto"/>
                      </w:divBdr>
                    </w:div>
                  </w:divsChild>
                </w:div>
                <w:div w:id="1732803357">
                  <w:marLeft w:val="0"/>
                  <w:marRight w:val="0"/>
                  <w:marTop w:val="0"/>
                  <w:marBottom w:val="0"/>
                  <w:divBdr>
                    <w:top w:val="none" w:sz="0" w:space="0" w:color="auto"/>
                    <w:left w:val="none" w:sz="0" w:space="0" w:color="auto"/>
                    <w:bottom w:val="none" w:sz="0" w:space="0" w:color="auto"/>
                    <w:right w:val="none" w:sz="0" w:space="0" w:color="auto"/>
                  </w:divBdr>
                  <w:divsChild>
                    <w:div w:id="1113206910">
                      <w:marLeft w:val="0"/>
                      <w:marRight w:val="0"/>
                      <w:marTop w:val="0"/>
                      <w:marBottom w:val="0"/>
                      <w:divBdr>
                        <w:top w:val="none" w:sz="0" w:space="0" w:color="auto"/>
                        <w:left w:val="none" w:sz="0" w:space="0" w:color="auto"/>
                        <w:bottom w:val="none" w:sz="0" w:space="0" w:color="auto"/>
                        <w:right w:val="none" w:sz="0" w:space="0" w:color="auto"/>
                      </w:divBdr>
                    </w:div>
                    <w:div w:id="1462380736">
                      <w:marLeft w:val="0"/>
                      <w:marRight w:val="0"/>
                      <w:marTop w:val="0"/>
                      <w:marBottom w:val="0"/>
                      <w:divBdr>
                        <w:top w:val="none" w:sz="0" w:space="0" w:color="auto"/>
                        <w:left w:val="none" w:sz="0" w:space="0" w:color="auto"/>
                        <w:bottom w:val="none" w:sz="0" w:space="0" w:color="auto"/>
                        <w:right w:val="none" w:sz="0" w:space="0" w:color="auto"/>
                      </w:divBdr>
                    </w:div>
                    <w:div w:id="1666469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6293535">
          <w:marLeft w:val="0"/>
          <w:marRight w:val="0"/>
          <w:marTop w:val="0"/>
          <w:marBottom w:val="0"/>
          <w:divBdr>
            <w:top w:val="none" w:sz="0" w:space="0" w:color="auto"/>
            <w:left w:val="none" w:sz="0" w:space="0" w:color="auto"/>
            <w:bottom w:val="none" w:sz="0" w:space="0" w:color="auto"/>
            <w:right w:val="none" w:sz="0" w:space="0" w:color="auto"/>
          </w:divBdr>
          <w:divsChild>
            <w:div w:id="105076979">
              <w:marLeft w:val="0"/>
              <w:marRight w:val="0"/>
              <w:marTop w:val="0"/>
              <w:marBottom w:val="0"/>
              <w:divBdr>
                <w:top w:val="none" w:sz="0" w:space="0" w:color="auto"/>
                <w:left w:val="none" w:sz="0" w:space="0" w:color="auto"/>
                <w:bottom w:val="none" w:sz="0" w:space="0" w:color="auto"/>
                <w:right w:val="none" w:sz="0" w:space="0" w:color="auto"/>
              </w:divBdr>
            </w:div>
            <w:div w:id="169956510">
              <w:marLeft w:val="0"/>
              <w:marRight w:val="0"/>
              <w:marTop w:val="0"/>
              <w:marBottom w:val="0"/>
              <w:divBdr>
                <w:top w:val="none" w:sz="0" w:space="0" w:color="auto"/>
                <w:left w:val="none" w:sz="0" w:space="0" w:color="auto"/>
                <w:bottom w:val="none" w:sz="0" w:space="0" w:color="auto"/>
                <w:right w:val="none" w:sz="0" w:space="0" w:color="auto"/>
              </w:divBdr>
            </w:div>
            <w:div w:id="243414454">
              <w:marLeft w:val="0"/>
              <w:marRight w:val="0"/>
              <w:marTop w:val="0"/>
              <w:marBottom w:val="0"/>
              <w:divBdr>
                <w:top w:val="none" w:sz="0" w:space="0" w:color="auto"/>
                <w:left w:val="none" w:sz="0" w:space="0" w:color="auto"/>
                <w:bottom w:val="none" w:sz="0" w:space="0" w:color="auto"/>
                <w:right w:val="none" w:sz="0" w:space="0" w:color="auto"/>
              </w:divBdr>
            </w:div>
            <w:div w:id="265427795">
              <w:marLeft w:val="0"/>
              <w:marRight w:val="0"/>
              <w:marTop w:val="0"/>
              <w:marBottom w:val="0"/>
              <w:divBdr>
                <w:top w:val="none" w:sz="0" w:space="0" w:color="auto"/>
                <w:left w:val="none" w:sz="0" w:space="0" w:color="auto"/>
                <w:bottom w:val="none" w:sz="0" w:space="0" w:color="auto"/>
                <w:right w:val="none" w:sz="0" w:space="0" w:color="auto"/>
              </w:divBdr>
            </w:div>
            <w:div w:id="412508145">
              <w:marLeft w:val="0"/>
              <w:marRight w:val="0"/>
              <w:marTop w:val="0"/>
              <w:marBottom w:val="0"/>
              <w:divBdr>
                <w:top w:val="none" w:sz="0" w:space="0" w:color="auto"/>
                <w:left w:val="none" w:sz="0" w:space="0" w:color="auto"/>
                <w:bottom w:val="none" w:sz="0" w:space="0" w:color="auto"/>
                <w:right w:val="none" w:sz="0" w:space="0" w:color="auto"/>
              </w:divBdr>
            </w:div>
            <w:div w:id="611061505">
              <w:marLeft w:val="0"/>
              <w:marRight w:val="0"/>
              <w:marTop w:val="0"/>
              <w:marBottom w:val="0"/>
              <w:divBdr>
                <w:top w:val="none" w:sz="0" w:space="0" w:color="auto"/>
                <w:left w:val="none" w:sz="0" w:space="0" w:color="auto"/>
                <w:bottom w:val="none" w:sz="0" w:space="0" w:color="auto"/>
                <w:right w:val="none" w:sz="0" w:space="0" w:color="auto"/>
              </w:divBdr>
            </w:div>
            <w:div w:id="941912891">
              <w:marLeft w:val="0"/>
              <w:marRight w:val="0"/>
              <w:marTop w:val="0"/>
              <w:marBottom w:val="0"/>
              <w:divBdr>
                <w:top w:val="none" w:sz="0" w:space="0" w:color="auto"/>
                <w:left w:val="none" w:sz="0" w:space="0" w:color="auto"/>
                <w:bottom w:val="none" w:sz="0" w:space="0" w:color="auto"/>
                <w:right w:val="none" w:sz="0" w:space="0" w:color="auto"/>
              </w:divBdr>
            </w:div>
            <w:div w:id="1022127452">
              <w:marLeft w:val="0"/>
              <w:marRight w:val="0"/>
              <w:marTop w:val="0"/>
              <w:marBottom w:val="0"/>
              <w:divBdr>
                <w:top w:val="none" w:sz="0" w:space="0" w:color="auto"/>
                <w:left w:val="none" w:sz="0" w:space="0" w:color="auto"/>
                <w:bottom w:val="none" w:sz="0" w:space="0" w:color="auto"/>
                <w:right w:val="none" w:sz="0" w:space="0" w:color="auto"/>
              </w:divBdr>
            </w:div>
            <w:div w:id="1116607878">
              <w:marLeft w:val="0"/>
              <w:marRight w:val="0"/>
              <w:marTop w:val="0"/>
              <w:marBottom w:val="0"/>
              <w:divBdr>
                <w:top w:val="none" w:sz="0" w:space="0" w:color="auto"/>
                <w:left w:val="none" w:sz="0" w:space="0" w:color="auto"/>
                <w:bottom w:val="none" w:sz="0" w:space="0" w:color="auto"/>
                <w:right w:val="none" w:sz="0" w:space="0" w:color="auto"/>
              </w:divBdr>
            </w:div>
            <w:div w:id="1142308595">
              <w:marLeft w:val="0"/>
              <w:marRight w:val="0"/>
              <w:marTop w:val="0"/>
              <w:marBottom w:val="0"/>
              <w:divBdr>
                <w:top w:val="none" w:sz="0" w:space="0" w:color="auto"/>
                <w:left w:val="none" w:sz="0" w:space="0" w:color="auto"/>
                <w:bottom w:val="none" w:sz="0" w:space="0" w:color="auto"/>
                <w:right w:val="none" w:sz="0" w:space="0" w:color="auto"/>
              </w:divBdr>
            </w:div>
            <w:div w:id="1178275428">
              <w:marLeft w:val="0"/>
              <w:marRight w:val="0"/>
              <w:marTop w:val="0"/>
              <w:marBottom w:val="0"/>
              <w:divBdr>
                <w:top w:val="none" w:sz="0" w:space="0" w:color="auto"/>
                <w:left w:val="none" w:sz="0" w:space="0" w:color="auto"/>
                <w:bottom w:val="none" w:sz="0" w:space="0" w:color="auto"/>
                <w:right w:val="none" w:sz="0" w:space="0" w:color="auto"/>
              </w:divBdr>
            </w:div>
            <w:div w:id="1232471081">
              <w:marLeft w:val="0"/>
              <w:marRight w:val="0"/>
              <w:marTop w:val="0"/>
              <w:marBottom w:val="0"/>
              <w:divBdr>
                <w:top w:val="none" w:sz="0" w:space="0" w:color="auto"/>
                <w:left w:val="none" w:sz="0" w:space="0" w:color="auto"/>
                <w:bottom w:val="none" w:sz="0" w:space="0" w:color="auto"/>
                <w:right w:val="none" w:sz="0" w:space="0" w:color="auto"/>
              </w:divBdr>
            </w:div>
            <w:div w:id="1281952754">
              <w:marLeft w:val="0"/>
              <w:marRight w:val="0"/>
              <w:marTop w:val="0"/>
              <w:marBottom w:val="0"/>
              <w:divBdr>
                <w:top w:val="none" w:sz="0" w:space="0" w:color="auto"/>
                <w:left w:val="none" w:sz="0" w:space="0" w:color="auto"/>
                <w:bottom w:val="none" w:sz="0" w:space="0" w:color="auto"/>
                <w:right w:val="none" w:sz="0" w:space="0" w:color="auto"/>
              </w:divBdr>
            </w:div>
            <w:div w:id="1359038303">
              <w:marLeft w:val="0"/>
              <w:marRight w:val="0"/>
              <w:marTop w:val="0"/>
              <w:marBottom w:val="0"/>
              <w:divBdr>
                <w:top w:val="none" w:sz="0" w:space="0" w:color="auto"/>
                <w:left w:val="none" w:sz="0" w:space="0" w:color="auto"/>
                <w:bottom w:val="none" w:sz="0" w:space="0" w:color="auto"/>
                <w:right w:val="none" w:sz="0" w:space="0" w:color="auto"/>
              </w:divBdr>
            </w:div>
            <w:div w:id="1434590412">
              <w:marLeft w:val="0"/>
              <w:marRight w:val="0"/>
              <w:marTop w:val="0"/>
              <w:marBottom w:val="0"/>
              <w:divBdr>
                <w:top w:val="none" w:sz="0" w:space="0" w:color="auto"/>
                <w:left w:val="none" w:sz="0" w:space="0" w:color="auto"/>
                <w:bottom w:val="none" w:sz="0" w:space="0" w:color="auto"/>
                <w:right w:val="none" w:sz="0" w:space="0" w:color="auto"/>
              </w:divBdr>
            </w:div>
            <w:div w:id="1475366971">
              <w:marLeft w:val="0"/>
              <w:marRight w:val="0"/>
              <w:marTop w:val="0"/>
              <w:marBottom w:val="0"/>
              <w:divBdr>
                <w:top w:val="none" w:sz="0" w:space="0" w:color="auto"/>
                <w:left w:val="none" w:sz="0" w:space="0" w:color="auto"/>
                <w:bottom w:val="none" w:sz="0" w:space="0" w:color="auto"/>
                <w:right w:val="none" w:sz="0" w:space="0" w:color="auto"/>
              </w:divBdr>
            </w:div>
            <w:div w:id="1505391113">
              <w:marLeft w:val="0"/>
              <w:marRight w:val="0"/>
              <w:marTop w:val="0"/>
              <w:marBottom w:val="0"/>
              <w:divBdr>
                <w:top w:val="none" w:sz="0" w:space="0" w:color="auto"/>
                <w:left w:val="none" w:sz="0" w:space="0" w:color="auto"/>
                <w:bottom w:val="none" w:sz="0" w:space="0" w:color="auto"/>
                <w:right w:val="none" w:sz="0" w:space="0" w:color="auto"/>
              </w:divBdr>
            </w:div>
            <w:div w:id="1836190023">
              <w:marLeft w:val="0"/>
              <w:marRight w:val="0"/>
              <w:marTop w:val="0"/>
              <w:marBottom w:val="0"/>
              <w:divBdr>
                <w:top w:val="none" w:sz="0" w:space="0" w:color="auto"/>
                <w:left w:val="none" w:sz="0" w:space="0" w:color="auto"/>
                <w:bottom w:val="none" w:sz="0" w:space="0" w:color="auto"/>
                <w:right w:val="none" w:sz="0" w:space="0" w:color="auto"/>
              </w:divBdr>
            </w:div>
            <w:div w:id="2084403473">
              <w:marLeft w:val="0"/>
              <w:marRight w:val="0"/>
              <w:marTop w:val="0"/>
              <w:marBottom w:val="0"/>
              <w:divBdr>
                <w:top w:val="none" w:sz="0" w:space="0" w:color="auto"/>
                <w:left w:val="none" w:sz="0" w:space="0" w:color="auto"/>
                <w:bottom w:val="none" w:sz="0" w:space="0" w:color="auto"/>
                <w:right w:val="none" w:sz="0" w:space="0" w:color="auto"/>
              </w:divBdr>
            </w:div>
            <w:div w:id="2143649249">
              <w:marLeft w:val="0"/>
              <w:marRight w:val="0"/>
              <w:marTop w:val="0"/>
              <w:marBottom w:val="0"/>
              <w:divBdr>
                <w:top w:val="none" w:sz="0" w:space="0" w:color="auto"/>
                <w:left w:val="none" w:sz="0" w:space="0" w:color="auto"/>
                <w:bottom w:val="none" w:sz="0" w:space="0" w:color="auto"/>
                <w:right w:val="none" w:sz="0" w:space="0" w:color="auto"/>
              </w:divBdr>
            </w:div>
          </w:divsChild>
        </w:div>
        <w:div w:id="1629702104">
          <w:marLeft w:val="0"/>
          <w:marRight w:val="0"/>
          <w:marTop w:val="0"/>
          <w:marBottom w:val="0"/>
          <w:divBdr>
            <w:top w:val="none" w:sz="0" w:space="0" w:color="auto"/>
            <w:left w:val="none" w:sz="0" w:space="0" w:color="auto"/>
            <w:bottom w:val="none" w:sz="0" w:space="0" w:color="auto"/>
            <w:right w:val="none" w:sz="0" w:space="0" w:color="auto"/>
          </w:divBdr>
        </w:div>
        <w:div w:id="1715353528">
          <w:marLeft w:val="0"/>
          <w:marRight w:val="0"/>
          <w:marTop w:val="0"/>
          <w:marBottom w:val="0"/>
          <w:divBdr>
            <w:top w:val="none" w:sz="0" w:space="0" w:color="auto"/>
            <w:left w:val="none" w:sz="0" w:space="0" w:color="auto"/>
            <w:bottom w:val="none" w:sz="0" w:space="0" w:color="auto"/>
            <w:right w:val="none" w:sz="0" w:space="0" w:color="auto"/>
          </w:divBdr>
        </w:div>
        <w:div w:id="1766998221">
          <w:marLeft w:val="0"/>
          <w:marRight w:val="0"/>
          <w:marTop w:val="0"/>
          <w:marBottom w:val="0"/>
          <w:divBdr>
            <w:top w:val="none" w:sz="0" w:space="0" w:color="auto"/>
            <w:left w:val="none" w:sz="0" w:space="0" w:color="auto"/>
            <w:bottom w:val="none" w:sz="0" w:space="0" w:color="auto"/>
            <w:right w:val="none" w:sz="0" w:space="0" w:color="auto"/>
          </w:divBdr>
        </w:div>
        <w:div w:id="1793281970">
          <w:marLeft w:val="0"/>
          <w:marRight w:val="0"/>
          <w:marTop w:val="0"/>
          <w:marBottom w:val="0"/>
          <w:divBdr>
            <w:top w:val="none" w:sz="0" w:space="0" w:color="auto"/>
            <w:left w:val="none" w:sz="0" w:space="0" w:color="auto"/>
            <w:bottom w:val="none" w:sz="0" w:space="0" w:color="auto"/>
            <w:right w:val="none" w:sz="0" w:space="0" w:color="auto"/>
          </w:divBdr>
        </w:div>
        <w:div w:id="1811510328">
          <w:marLeft w:val="0"/>
          <w:marRight w:val="0"/>
          <w:marTop w:val="0"/>
          <w:marBottom w:val="0"/>
          <w:divBdr>
            <w:top w:val="none" w:sz="0" w:space="0" w:color="auto"/>
            <w:left w:val="none" w:sz="0" w:space="0" w:color="auto"/>
            <w:bottom w:val="none" w:sz="0" w:space="0" w:color="auto"/>
            <w:right w:val="none" w:sz="0" w:space="0" w:color="auto"/>
          </w:divBdr>
        </w:div>
        <w:div w:id="1824809000">
          <w:marLeft w:val="0"/>
          <w:marRight w:val="0"/>
          <w:marTop w:val="0"/>
          <w:marBottom w:val="0"/>
          <w:divBdr>
            <w:top w:val="none" w:sz="0" w:space="0" w:color="auto"/>
            <w:left w:val="none" w:sz="0" w:space="0" w:color="auto"/>
            <w:bottom w:val="none" w:sz="0" w:space="0" w:color="auto"/>
            <w:right w:val="none" w:sz="0" w:space="0" w:color="auto"/>
          </w:divBdr>
        </w:div>
        <w:div w:id="1983843717">
          <w:marLeft w:val="0"/>
          <w:marRight w:val="0"/>
          <w:marTop w:val="0"/>
          <w:marBottom w:val="0"/>
          <w:divBdr>
            <w:top w:val="none" w:sz="0" w:space="0" w:color="auto"/>
            <w:left w:val="none" w:sz="0" w:space="0" w:color="auto"/>
            <w:bottom w:val="none" w:sz="0" w:space="0" w:color="auto"/>
            <w:right w:val="none" w:sz="0" w:space="0" w:color="auto"/>
          </w:divBdr>
        </w:div>
        <w:div w:id="1987858752">
          <w:marLeft w:val="0"/>
          <w:marRight w:val="0"/>
          <w:marTop w:val="0"/>
          <w:marBottom w:val="0"/>
          <w:divBdr>
            <w:top w:val="none" w:sz="0" w:space="0" w:color="auto"/>
            <w:left w:val="none" w:sz="0" w:space="0" w:color="auto"/>
            <w:bottom w:val="none" w:sz="0" w:space="0" w:color="auto"/>
            <w:right w:val="none" w:sz="0" w:space="0" w:color="auto"/>
          </w:divBdr>
        </w:div>
      </w:divsChild>
    </w:div>
    <w:div w:id="225651069">
      <w:bodyDiv w:val="1"/>
      <w:marLeft w:val="0"/>
      <w:marRight w:val="0"/>
      <w:marTop w:val="0"/>
      <w:marBottom w:val="0"/>
      <w:divBdr>
        <w:top w:val="none" w:sz="0" w:space="0" w:color="auto"/>
        <w:left w:val="none" w:sz="0" w:space="0" w:color="auto"/>
        <w:bottom w:val="none" w:sz="0" w:space="0" w:color="auto"/>
        <w:right w:val="none" w:sz="0" w:space="0" w:color="auto"/>
      </w:divBdr>
    </w:div>
    <w:div w:id="226376409">
      <w:bodyDiv w:val="1"/>
      <w:marLeft w:val="0"/>
      <w:marRight w:val="0"/>
      <w:marTop w:val="0"/>
      <w:marBottom w:val="0"/>
      <w:divBdr>
        <w:top w:val="none" w:sz="0" w:space="0" w:color="auto"/>
        <w:left w:val="none" w:sz="0" w:space="0" w:color="auto"/>
        <w:bottom w:val="none" w:sz="0" w:space="0" w:color="auto"/>
        <w:right w:val="none" w:sz="0" w:space="0" w:color="auto"/>
      </w:divBdr>
    </w:div>
    <w:div w:id="235407226">
      <w:bodyDiv w:val="1"/>
      <w:marLeft w:val="0"/>
      <w:marRight w:val="0"/>
      <w:marTop w:val="0"/>
      <w:marBottom w:val="0"/>
      <w:divBdr>
        <w:top w:val="none" w:sz="0" w:space="0" w:color="auto"/>
        <w:left w:val="none" w:sz="0" w:space="0" w:color="auto"/>
        <w:bottom w:val="none" w:sz="0" w:space="0" w:color="auto"/>
        <w:right w:val="none" w:sz="0" w:space="0" w:color="auto"/>
      </w:divBdr>
    </w:div>
    <w:div w:id="244388607">
      <w:bodyDiv w:val="1"/>
      <w:marLeft w:val="0"/>
      <w:marRight w:val="0"/>
      <w:marTop w:val="0"/>
      <w:marBottom w:val="0"/>
      <w:divBdr>
        <w:top w:val="none" w:sz="0" w:space="0" w:color="auto"/>
        <w:left w:val="none" w:sz="0" w:space="0" w:color="auto"/>
        <w:bottom w:val="none" w:sz="0" w:space="0" w:color="auto"/>
        <w:right w:val="none" w:sz="0" w:space="0" w:color="auto"/>
      </w:divBdr>
    </w:div>
    <w:div w:id="251621654">
      <w:bodyDiv w:val="1"/>
      <w:marLeft w:val="0"/>
      <w:marRight w:val="0"/>
      <w:marTop w:val="0"/>
      <w:marBottom w:val="0"/>
      <w:divBdr>
        <w:top w:val="none" w:sz="0" w:space="0" w:color="auto"/>
        <w:left w:val="none" w:sz="0" w:space="0" w:color="auto"/>
        <w:bottom w:val="none" w:sz="0" w:space="0" w:color="auto"/>
        <w:right w:val="none" w:sz="0" w:space="0" w:color="auto"/>
      </w:divBdr>
    </w:div>
    <w:div w:id="259408819">
      <w:bodyDiv w:val="1"/>
      <w:marLeft w:val="0"/>
      <w:marRight w:val="0"/>
      <w:marTop w:val="0"/>
      <w:marBottom w:val="0"/>
      <w:divBdr>
        <w:top w:val="none" w:sz="0" w:space="0" w:color="auto"/>
        <w:left w:val="none" w:sz="0" w:space="0" w:color="auto"/>
        <w:bottom w:val="none" w:sz="0" w:space="0" w:color="auto"/>
        <w:right w:val="none" w:sz="0" w:space="0" w:color="auto"/>
      </w:divBdr>
    </w:div>
    <w:div w:id="263264970">
      <w:bodyDiv w:val="1"/>
      <w:marLeft w:val="0"/>
      <w:marRight w:val="0"/>
      <w:marTop w:val="0"/>
      <w:marBottom w:val="0"/>
      <w:divBdr>
        <w:top w:val="none" w:sz="0" w:space="0" w:color="auto"/>
        <w:left w:val="none" w:sz="0" w:space="0" w:color="auto"/>
        <w:bottom w:val="none" w:sz="0" w:space="0" w:color="auto"/>
        <w:right w:val="none" w:sz="0" w:space="0" w:color="auto"/>
      </w:divBdr>
    </w:div>
    <w:div w:id="268506724">
      <w:bodyDiv w:val="1"/>
      <w:marLeft w:val="0"/>
      <w:marRight w:val="0"/>
      <w:marTop w:val="0"/>
      <w:marBottom w:val="0"/>
      <w:divBdr>
        <w:top w:val="none" w:sz="0" w:space="0" w:color="auto"/>
        <w:left w:val="none" w:sz="0" w:space="0" w:color="auto"/>
        <w:bottom w:val="none" w:sz="0" w:space="0" w:color="auto"/>
        <w:right w:val="none" w:sz="0" w:space="0" w:color="auto"/>
      </w:divBdr>
    </w:div>
    <w:div w:id="268659480">
      <w:bodyDiv w:val="1"/>
      <w:marLeft w:val="0"/>
      <w:marRight w:val="0"/>
      <w:marTop w:val="0"/>
      <w:marBottom w:val="0"/>
      <w:divBdr>
        <w:top w:val="none" w:sz="0" w:space="0" w:color="auto"/>
        <w:left w:val="none" w:sz="0" w:space="0" w:color="auto"/>
        <w:bottom w:val="none" w:sz="0" w:space="0" w:color="auto"/>
        <w:right w:val="none" w:sz="0" w:space="0" w:color="auto"/>
      </w:divBdr>
    </w:div>
    <w:div w:id="273758586">
      <w:bodyDiv w:val="1"/>
      <w:marLeft w:val="0"/>
      <w:marRight w:val="0"/>
      <w:marTop w:val="0"/>
      <w:marBottom w:val="0"/>
      <w:divBdr>
        <w:top w:val="none" w:sz="0" w:space="0" w:color="auto"/>
        <w:left w:val="none" w:sz="0" w:space="0" w:color="auto"/>
        <w:bottom w:val="none" w:sz="0" w:space="0" w:color="auto"/>
        <w:right w:val="none" w:sz="0" w:space="0" w:color="auto"/>
      </w:divBdr>
    </w:div>
    <w:div w:id="287205060">
      <w:bodyDiv w:val="1"/>
      <w:marLeft w:val="0"/>
      <w:marRight w:val="0"/>
      <w:marTop w:val="0"/>
      <w:marBottom w:val="0"/>
      <w:divBdr>
        <w:top w:val="none" w:sz="0" w:space="0" w:color="auto"/>
        <w:left w:val="none" w:sz="0" w:space="0" w:color="auto"/>
        <w:bottom w:val="none" w:sz="0" w:space="0" w:color="auto"/>
        <w:right w:val="none" w:sz="0" w:space="0" w:color="auto"/>
      </w:divBdr>
    </w:div>
    <w:div w:id="287249164">
      <w:bodyDiv w:val="1"/>
      <w:marLeft w:val="0"/>
      <w:marRight w:val="0"/>
      <w:marTop w:val="0"/>
      <w:marBottom w:val="0"/>
      <w:divBdr>
        <w:top w:val="none" w:sz="0" w:space="0" w:color="auto"/>
        <w:left w:val="none" w:sz="0" w:space="0" w:color="auto"/>
        <w:bottom w:val="none" w:sz="0" w:space="0" w:color="auto"/>
        <w:right w:val="none" w:sz="0" w:space="0" w:color="auto"/>
      </w:divBdr>
    </w:div>
    <w:div w:id="302077080">
      <w:bodyDiv w:val="1"/>
      <w:marLeft w:val="0"/>
      <w:marRight w:val="0"/>
      <w:marTop w:val="0"/>
      <w:marBottom w:val="0"/>
      <w:divBdr>
        <w:top w:val="none" w:sz="0" w:space="0" w:color="auto"/>
        <w:left w:val="none" w:sz="0" w:space="0" w:color="auto"/>
        <w:bottom w:val="none" w:sz="0" w:space="0" w:color="auto"/>
        <w:right w:val="none" w:sz="0" w:space="0" w:color="auto"/>
      </w:divBdr>
    </w:div>
    <w:div w:id="303193584">
      <w:bodyDiv w:val="1"/>
      <w:marLeft w:val="0"/>
      <w:marRight w:val="0"/>
      <w:marTop w:val="0"/>
      <w:marBottom w:val="0"/>
      <w:divBdr>
        <w:top w:val="none" w:sz="0" w:space="0" w:color="auto"/>
        <w:left w:val="none" w:sz="0" w:space="0" w:color="auto"/>
        <w:bottom w:val="none" w:sz="0" w:space="0" w:color="auto"/>
        <w:right w:val="none" w:sz="0" w:space="0" w:color="auto"/>
      </w:divBdr>
    </w:div>
    <w:div w:id="303505292">
      <w:bodyDiv w:val="1"/>
      <w:marLeft w:val="0"/>
      <w:marRight w:val="0"/>
      <w:marTop w:val="0"/>
      <w:marBottom w:val="0"/>
      <w:divBdr>
        <w:top w:val="none" w:sz="0" w:space="0" w:color="auto"/>
        <w:left w:val="none" w:sz="0" w:space="0" w:color="auto"/>
        <w:bottom w:val="none" w:sz="0" w:space="0" w:color="auto"/>
        <w:right w:val="none" w:sz="0" w:space="0" w:color="auto"/>
      </w:divBdr>
    </w:div>
    <w:div w:id="312413971">
      <w:bodyDiv w:val="1"/>
      <w:marLeft w:val="0"/>
      <w:marRight w:val="0"/>
      <w:marTop w:val="0"/>
      <w:marBottom w:val="0"/>
      <w:divBdr>
        <w:top w:val="none" w:sz="0" w:space="0" w:color="auto"/>
        <w:left w:val="none" w:sz="0" w:space="0" w:color="auto"/>
        <w:bottom w:val="none" w:sz="0" w:space="0" w:color="auto"/>
        <w:right w:val="none" w:sz="0" w:space="0" w:color="auto"/>
      </w:divBdr>
    </w:div>
    <w:div w:id="320281985">
      <w:bodyDiv w:val="1"/>
      <w:marLeft w:val="0"/>
      <w:marRight w:val="0"/>
      <w:marTop w:val="0"/>
      <w:marBottom w:val="0"/>
      <w:divBdr>
        <w:top w:val="none" w:sz="0" w:space="0" w:color="auto"/>
        <w:left w:val="none" w:sz="0" w:space="0" w:color="auto"/>
        <w:bottom w:val="none" w:sz="0" w:space="0" w:color="auto"/>
        <w:right w:val="none" w:sz="0" w:space="0" w:color="auto"/>
      </w:divBdr>
    </w:div>
    <w:div w:id="324556494">
      <w:bodyDiv w:val="1"/>
      <w:marLeft w:val="0"/>
      <w:marRight w:val="0"/>
      <w:marTop w:val="0"/>
      <w:marBottom w:val="0"/>
      <w:divBdr>
        <w:top w:val="none" w:sz="0" w:space="0" w:color="auto"/>
        <w:left w:val="none" w:sz="0" w:space="0" w:color="auto"/>
        <w:bottom w:val="none" w:sz="0" w:space="0" w:color="auto"/>
        <w:right w:val="none" w:sz="0" w:space="0" w:color="auto"/>
      </w:divBdr>
    </w:div>
    <w:div w:id="329678509">
      <w:bodyDiv w:val="1"/>
      <w:marLeft w:val="0"/>
      <w:marRight w:val="0"/>
      <w:marTop w:val="0"/>
      <w:marBottom w:val="0"/>
      <w:divBdr>
        <w:top w:val="none" w:sz="0" w:space="0" w:color="auto"/>
        <w:left w:val="none" w:sz="0" w:space="0" w:color="auto"/>
        <w:bottom w:val="none" w:sz="0" w:space="0" w:color="auto"/>
        <w:right w:val="none" w:sz="0" w:space="0" w:color="auto"/>
      </w:divBdr>
    </w:div>
    <w:div w:id="331153633">
      <w:bodyDiv w:val="1"/>
      <w:marLeft w:val="0"/>
      <w:marRight w:val="0"/>
      <w:marTop w:val="0"/>
      <w:marBottom w:val="0"/>
      <w:divBdr>
        <w:top w:val="none" w:sz="0" w:space="0" w:color="auto"/>
        <w:left w:val="none" w:sz="0" w:space="0" w:color="auto"/>
        <w:bottom w:val="none" w:sz="0" w:space="0" w:color="auto"/>
        <w:right w:val="none" w:sz="0" w:space="0" w:color="auto"/>
      </w:divBdr>
    </w:div>
    <w:div w:id="333151783">
      <w:bodyDiv w:val="1"/>
      <w:marLeft w:val="0"/>
      <w:marRight w:val="0"/>
      <w:marTop w:val="0"/>
      <w:marBottom w:val="0"/>
      <w:divBdr>
        <w:top w:val="none" w:sz="0" w:space="0" w:color="auto"/>
        <w:left w:val="none" w:sz="0" w:space="0" w:color="auto"/>
        <w:bottom w:val="none" w:sz="0" w:space="0" w:color="auto"/>
        <w:right w:val="none" w:sz="0" w:space="0" w:color="auto"/>
      </w:divBdr>
    </w:div>
    <w:div w:id="333267088">
      <w:bodyDiv w:val="1"/>
      <w:marLeft w:val="0"/>
      <w:marRight w:val="0"/>
      <w:marTop w:val="0"/>
      <w:marBottom w:val="0"/>
      <w:divBdr>
        <w:top w:val="none" w:sz="0" w:space="0" w:color="auto"/>
        <w:left w:val="none" w:sz="0" w:space="0" w:color="auto"/>
        <w:bottom w:val="none" w:sz="0" w:space="0" w:color="auto"/>
        <w:right w:val="none" w:sz="0" w:space="0" w:color="auto"/>
      </w:divBdr>
    </w:div>
    <w:div w:id="343896726">
      <w:bodyDiv w:val="1"/>
      <w:marLeft w:val="0"/>
      <w:marRight w:val="0"/>
      <w:marTop w:val="0"/>
      <w:marBottom w:val="0"/>
      <w:divBdr>
        <w:top w:val="none" w:sz="0" w:space="0" w:color="auto"/>
        <w:left w:val="none" w:sz="0" w:space="0" w:color="auto"/>
        <w:bottom w:val="none" w:sz="0" w:space="0" w:color="auto"/>
        <w:right w:val="none" w:sz="0" w:space="0" w:color="auto"/>
      </w:divBdr>
    </w:div>
    <w:div w:id="349528292">
      <w:bodyDiv w:val="1"/>
      <w:marLeft w:val="0"/>
      <w:marRight w:val="0"/>
      <w:marTop w:val="0"/>
      <w:marBottom w:val="0"/>
      <w:divBdr>
        <w:top w:val="none" w:sz="0" w:space="0" w:color="auto"/>
        <w:left w:val="none" w:sz="0" w:space="0" w:color="auto"/>
        <w:bottom w:val="none" w:sz="0" w:space="0" w:color="auto"/>
        <w:right w:val="none" w:sz="0" w:space="0" w:color="auto"/>
      </w:divBdr>
    </w:div>
    <w:div w:id="353381333">
      <w:bodyDiv w:val="1"/>
      <w:marLeft w:val="0"/>
      <w:marRight w:val="0"/>
      <w:marTop w:val="0"/>
      <w:marBottom w:val="0"/>
      <w:divBdr>
        <w:top w:val="none" w:sz="0" w:space="0" w:color="auto"/>
        <w:left w:val="none" w:sz="0" w:space="0" w:color="auto"/>
        <w:bottom w:val="none" w:sz="0" w:space="0" w:color="auto"/>
        <w:right w:val="none" w:sz="0" w:space="0" w:color="auto"/>
      </w:divBdr>
    </w:div>
    <w:div w:id="364064779">
      <w:bodyDiv w:val="1"/>
      <w:marLeft w:val="0"/>
      <w:marRight w:val="0"/>
      <w:marTop w:val="0"/>
      <w:marBottom w:val="0"/>
      <w:divBdr>
        <w:top w:val="none" w:sz="0" w:space="0" w:color="auto"/>
        <w:left w:val="none" w:sz="0" w:space="0" w:color="auto"/>
        <w:bottom w:val="none" w:sz="0" w:space="0" w:color="auto"/>
        <w:right w:val="none" w:sz="0" w:space="0" w:color="auto"/>
      </w:divBdr>
    </w:div>
    <w:div w:id="366443501">
      <w:bodyDiv w:val="1"/>
      <w:marLeft w:val="0"/>
      <w:marRight w:val="0"/>
      <w:marTop w:val="0"/>
      <w:marBottom w:val="0"/>
      <w:divBdr>
        <w:top w:val="none" w:sz="0" w:space="0" w:color="auto"/>
        <w:left w:val="none" w:sz="0" w:space="0" w:color="auto"/>
        <w:bottom w:val="none" w:sz="0" w:space="0" w:color="auto"/>
        <w:right w:val="none" w:sz="0" w:space="0" w:color="auto"/>
      </w:divBdr>
    </w:div>
    <w:div w:id="369306701">
      <w:bodyDiv w:val="1"/>
      <w:marLeft w:val="0"/>
      <w:marRight w:val="0"/>
      <w:marTop w:val="0"/>
      <w:marBottom w:val="0"/>
      <w:divBdr>
        <w:top w:val="none" w:sz="0" w:space="0" w:color="auto"/>
        <w:left w:val="none" w:sz="0" w:space="0" w:color="auto"/>
        <w:bottom w:val="none" w:sz="0" w:space="0" w:color="auto"/>
        <w:right w:val="none" w:sz="0" w:space="0" w:color="auto"/>
      </w:divBdr>
    </w:div>
    <w:div w:id="372467402">
      <w:bodyDiv w:val="1"/>
      <w:marLeft w:val="0"/>
      <w:marRight w:val="0"/>
      <w:marTop w:val="0"/>
      <w:marBottom w:val="0"/>
      <w:divBdr>
        <w:top w:val="none" w:sz="0" w:space="0" w:color="auto"/>
        <w:left w:val="none" w:sz="0" w:space="0" w:color="auto"/>
        <w:bottom w:val="none" w:sz="0" w:space="0" w:color="auto"/>
        <w:right w:val="none" w:sz="0" w:space="0" w:color="auto"/>
      </w:divBdr>
    </w:div>
    <w:div w:id="373046219">
      <w:bodyDiv w:val="1"/>
      <w:marLeft w:val="0"/>
      <w:marRight w:val="0"/>
      <w:marTop w:val="0"/>
      <w:marBottom w:val="0"/>
      <w:divBdr>
        <w:top w:val="none" w:sz="0" w:space="0" w:color="auto"/>
        <w:left w:val="none" w:sz="0" w:space="0" w:color="auto"/>
        <w:bottom w:val="none" w:sz="0" w:space="0" w:color="auto"/>
        <w:right w:val="none" w:sz="0" w:space="0" w:color="auto"/>
      </w:divBdr>
    </w:div>
    <w:div w:id="375348766">
      <w:bodyDiv w:val="1"/>
      <w:marLeft w:val="0"/>
      <w:marRight w:val="0"/>
      <w:marTop w:val="0"/>
      <w:marBottom w:val="0"/>
      <w:divBdr>
        <w:top w:val="none" w:sz="0" w:space="0" w:color="auto"/>
        <w:left w:val="none" w:sz="0" w:space="0" w:color="auto"/>
        <w:bottom w:val="none" w:sz="0" w:space="0" w:color="auto"/>
        <w:right w:val="none" w:sz="0" w:space="0" w:color="auto"/>
      </w:divBdr>
    </w:div>
    <w:div w:id="377434648">
      <w:bodyDiv w:val="1"/>
      <w:marLeft w:val="0"/>
      <w:marRight w:val="0"/>
      <w:marTop w:val="0"/>
      <w:marBottom w:val="0"/>
      <w:divBdr>
        <w:top w:val="none" w:sz="0" w:space="0" w:color="auto"/>
        <w:left w:val="none" w:sz="0" w:space="0" w:color="auto"/>
        <w:bottom w:val="none" w:sz="0" w:space="0" w:color="auto"/>
        <w:right w:val="none" w:sz="0" w:space="0" w:color="auto"/>
      </w:divBdr>
    </w:div>
    <w:div w:id="379935869">
      <w:bodyDiv w:val="1"/>
      <w:marLeft w:val="0"/>
      <w:marRight w:val="0"/>
      <w:marTop w:val="0"/>
      <w:marBottom w:val="0"/>
      <w:divBdr>
        <w:top w:val="none" w:sz="0" w:space="0" w:color="auto"/>
        <w:left w:val="none" w:sz="0" w:space="0" w:color="auto"/>
        <w:bottom w:val="none" w:sz="0" w:space="0" w:color="auto"/>
        <w:right w:val="none" w:sz="0" w:space="0" w:color="auto"/>
      </w:divBdr>
    </w:div>
    <w:div w:id="380983789">
      <w:bodyDiv w:val="1"/>
      <w:marLeft w:val="0"/>
      <w:marRight w:val="0"/>
      <w:marTop w:val="0"/>
      <w:marBottom w:val="0"/>
      <w:divBdr>
        <w:top w:val="none" w:sz="0" w:space="0" w:color="auto"/>
        <w:left w:val="none" w:sz="0" w:space="0" w:color="auto"/>
        <w:bottom w:val="none" w:sz="0" w:space="0" w:color="auto"/>
        <w:right w:val="none" w:sz="0" w:space="0" w:color="auto"/>
      </w:divBdr>
    </w:div>
    <w:div w:id="384255892">
      <w:bodyDiv w:val="1"/>
      <w:marLeft w:val="0"/>
      <w:marRight w:val="0"/>
      <w:marTop w:val="0"/>
      <w:marBottom w:val="0"/>
      <w:divBdr>
        <w:top w:val="none" w:sz="0" w:space="0" w:color="auto"/>
        <w:left w:val="none" w:sz="0" w:space="0" w:color="auto"/>
        <w:bottom w:val="none" w:sz="0" w:space="0" w:color="auto"/>
        <w:right w:val="none" w:sz="0" w:space="0" w:color="auto"/>
      </w:divBdr>
    </w:div>
    <w:div w:id="384572857">
      <w:bodyDiv w:val="1"/>
      <w:marLeft w:val="0"/>
      <w:marRight w:val="0"/>
      <w:marTop w:val="0"/>
      <w:marBottom w:val="0"/>
      <w:divBdr>
        <w:top w:val="none" w:sz="0" w:space="0" w:color="auto"/>
        <w:left w:val="none" w:sz="0" w:space="0" w:color="auto"/>
        <w:bottom w:val="none" w:sz="0" w:space="0" w:color="auto"/>
        <w:right w:val="none" w:sz="0" w:space="0" w:color="auto"/>
      </w:divBdr>
    </w:div>
    <w:div w:id="386074330">
      <w:bodyDiv w:val="1"/>
      <w:marLeft w:val="0"/>
      <w:marRight w:val="0"/>
      <w:marTop w:val="0"/>
      <w:marBottom w:val="0"/>
      <w:divBdr>
        <w:top w:val="none" w:sz="0" w:space="0" w:color="auto"/>
        <w:left w:val="none" w:sz="0" w:space="0" w:color="auto"/>
        <w:bottom w:val="none" w:sz="0" w:space="0" w:color="auto"/>
        <w:right w:val="none" w:sz="0" w:space="0" w:color="auto"/>
      </w:divBdr>
    </w:div>
    <w:div w:id="395517861">
      <w:bodyDiv w:val="1"/>
      <w:marLeft w:val="0"/>
      <w:marRight w:val="0"/>
      <w:marTop w:val="0"/>
      <w:marBottom w:val="0"/>
      <w:divBdr>
        <w:top w:val="none" w:sz="0" w:space="0" w:color="auto"/>
        <w:left w:val="none" w:sz="0" w:space="0" w:color="auto"/>
        <w:bottom w:val="none" w:sz="0" w:space="0" w:color="auto"/>
        <w:right w:val="none" w:sz="0" w:space="0" w:color="auto"/>
      </w:divBdr>
    </w:div>
    <w:div w:id="397556662">
      <w:bodyDiv w:val="1"/>
      <w:marLeft w:val="0"/>
      <w:marRight w:val="0"/>
      <w:marTop w:val="0"/>
      <w:marBottom w:val="0"/>
      <w:divBdr>
        <w:top w:val="none" w:sz="0" w:space="0" w:color="auto"/>
        <w:left w:val="none" w:sz="0" w:space="0" w:color="auto"/>
        <w:bottom w:val="none" w:sz="0" w:space="0" w:color="auto"/>
        <w:right w:val="none" w:sz="0" w:space="0" w:color="auto"/>
      </w:divBdr>
    </w:div>
    <w:div w:id="403725155">
      <w:bodyDiv w:val="1"/>
      <w:marLeft w:val="0"/>
      <w:marRight w:val="0"/>
      <w:marTop w:val="0"/>
      <w:marBottom w:val="0"/>
      <w:divBdr>
        <w:top w:val="none" w:sz="0" w:space="0" w:color="auto"/>
        <w:left w:val="none" w:sz="0" w:space="0" w:color="auto"/>
        <w:bottom w:val="none" w:sz="0" w:space="0" w:color="auto"/>
        <w:right w:val="none" w:sz="0" w:space="0" w:color="auto"/>
      </w:divBdr>
    </w:div>
    <w:div w:id="411926256">
      <w:bodyDiv w:val="1"/>
      <w:marLeft w:val="0"/>
      <w:marRight w:val="0"/>
      <w:marTop w:val="0"/>
      <w:marBottom w:val="0"/>
      <w:divBdr>
        <w:top w:val="none" w:sz="0" w:space="0" w:color="auto"/>
        <w:left w:val="none" w:sz="0" w:space="0" w:color="auto"/>
        <w:bottom w:val="none" w:sz="0" w:space="0" w:color="auto"/>
        <w:right w:val="none" w:sz="0" w:space="0" w:color="auto"/>
      </w:divBdr>
    </w:div>
    <w:div w:id="415908904">
      <w:bodyDiv w:val="1"/>
      <w:marLeft w:val="0"/>
      <w:marRight w:val="0"/>
      <w:marTop w:val="0"/>
      <w:marBottom w:val="0"/>
      <w:divBdr>
        <w:top w:val="none" w:sz="0" w:space="0" w:color="auto"/>
        <w:left w:val="none" w:sz="0" w:space="0" w:color="auto"/>
        <w:bottom w:val="none" w:sz="0" w:space="0" w:color="auto"/>
        <w:right w:val="none" w:sz="0" w:space="0" w:color="auto"/>
      </w:divBdr>
      <w:divsChild>
        <w:div w:id="802624928">
          <w:marLeft w:val="0"/>
          <w:marRight w:val="0"/>
          <w:marTop w:val="0"/>
          <w:marBottom w:val="0"/>
          <w:divBdr>
            <w:top w:val="none" w:sz="0" w:space="0" w:color="auto"/>
            <w:left w:val="none" w:sz="0" w:space="0" w:color="auto"/>
            <w:bottom w:val="none" w:sz="0" w:space="0" w:color="auto"/>
            <w:right w:val="none" w:sz="0" w:space="0" w:color="auto"/>
          </w:divBdr>
          <w:divsChild>
            <w:div w:id="462623099">
              <w:marLeft w:val="0"/>
              <w:marRight w:val="0"/>
              <w:marTop w:val="0"/>
              <w:marBottom w:val="0"/>
              <w:divBdr>
                <w:top w:val="none" w:sz="0" w:space="0" w:color="auto"/>
                <w:left w:val="none" w:sz="0" w:space="0" w:color="auto"/>
                <w:bottom w:val="none" w:sz="0" w:space="0" w:color="auto"/>
                <w:right w:val="none" w:sz="0" w:space="0" w:color="auto"/>
              </w:divBdr>
              <w:divsChild>
                <w:div w:id="1733577917">
                  <w:marLeft w:val="0"/>
                  <w:marRight w:val="0"/>
                  <w:marTop w:val="0"/>
                  <w:marBottom w:val="0"/>
                  <w:divBdr>
                    <w:top w:val="none" w:sz="0" w:space="0" w:color="auto"/>
                    <w:left w:val="none" w:sz="0" w:space="0" w:color="auto"/>
                    <w:bottom w:val="none" w:sz="0" w:space="0" w:color="auto"/>
                    <w:right w:val="none" w:sz="0" w:space="0" w:color="auto"/>
                  </w:divBdr>
                  <w:divsChild>
                    <w:div w:id="1223298458">
                      <w:marLeft w:val="0"/>
                      <w:marRight w:val="0"/>
                      <w:marTop w:val="0"/>
                      <w:marBottom w:val="0"/>
                      <w:divBdr>
                        <w:top w:val="none" w:sz="0" w:space="0" w:color="auto"/>
                        <w:left w:val="none" w:sz="0" w:space="0" w:color="auto"/>
                        <w:bottom w:val="none" w:sz="0" w:space="0" w:color="auto"/>
                        <w:right w:val="none" w:sz="0" w:space="0" w:color="auto"/>
                      </w:divBdr>
                      <w:divsChild>
                        <w:div w:id="172694865">
                          <w:marLeft w:val="0"/>
                          <w:marRight w:val="0"/>
                          <w:marTop w:val="0"/>
                          <w:marBottom w:val="0"/>
                          <w:divBdr>
                            <w:top w:val="none" w:sz="0" w:space="0" w:color="auto"/>
                            <w:left w:val="none" w:sz="0" w:space="0" w:color="auto"/>
                            <w:bottom w:val="none" w:sz="0" w:space="0" w:color="auto"/>
                            <w:right w:val="none" w:sz="0" w:space="0" w:color="auto"/>
                          </w:divBdr>
                          <w:divsChild>
                            <w:div w:id="84571391">
                              <w:marLeft w:val="0"/>
                              <w:marRight w:val="0"/>
                              <w:marTop w:val="0"/>
                              <w:marBottom w:val="0"/>
                              <w:divBdr>
                                <w:top w:val="none" w:sz="0" w:space="0" w:color="auto"/>
                                <w:left w:val="none" w:sz="0" w:space="0" w:color="auto"/>
                                <w:bottom w:val="none" w:sz="0" w:space="0" w:color="auto"/>
                                <w:right w:val="none" w:sz="0" w:space="0" w:color="auto"/>
                              </w:divBdr>
                              <w:divsChild>
                                <w:div w:id="1016884785">
                                  <w:marLeft w:val="0"/>
                                  <w:marRight w:val="0"/>
                                  <w:marTop w:val="0"/>
                                  <w:marBottom w:val="0"/>
                                  <w:divBdr>
                                    <w:top w:val="none" w:sz="0" w:space="0" w:color="auto"/>
                                    <w:left w:val="none" w:sz="0" w:space="0" w:color="auto"/>
                                    <w:bottom w:val="none" w:sz="0" w:space="0" w:color="auto"/>
                                    <w:right w:val="none" w:sz="0" w:space="0" w:color="auto"/>
                                  </w:divBdr>
                                  <w:divsChild>
                                    <w:div w:id="456031095">
                                      <w:marLeft w:val="0"/>
                                      <w:marRight w:val="0"/>
                                      <w:marTop w:val="0"/>
                                      <w:marBottom w:val="0"/>
                                      <w:divBdr>
                                        <w:top w:val="none" w:sz="0" w:space="0" w:color="auto"/>
                                        <w:left w:val="none" w:sz="0" w:space="0" w:color="auto"/>
                                        <w:bottom w:val="none" w:sz="0" w:space="0" w:color="auto"/>
                                        <w:right w:val="none" w:sz="0" w:space="0" w:color="auto"/>
                                      </w:divBdr>
                                      <w:divsChild>
                                        <w:div w:id="1497455630">
                                          <w:marLeft w:val="0"/>
                                          <w:marRight w:val="0"/>
                                          <w:marTop w:val="0"/>
                                          <w:marBottom w:val="0"/>
                                          <w:divBdr>
                                            <w:top w:val="none" w:sz="0" w:space="0" w:color="auto"/>
                                            <w:left w:val="none" w:sz="0" w:space="0" w:color="auto"/>
                                            <w:bottom w:val="none" w:sz="0" w:space="0" w:color="auto"/>
                                            <w:right w:val="none" w:sz="0" w:space="0" w:color="auto"/>
                                          </w:divBdr>
                                          <w:divsChild>
                                            <w:div w:id="882330938">
                                              <w:marLeft w:val="0"/>
                                              <w:marRight w:val="0"/>
                                              <w:marTop w:val="0"/>
                                              <w:marBottom w:val="0"/>
                                              <w:divBdr>
                                                <w:top w:val="none" w:sz="0" w:space="0" w:color="auto"/>
                                                <w:left w:val="none" w:sz="0" w:space="0" w:color="auto"/>
                                                <w:bottom w:val="none" w:sz="0" w:space="0" w:color="auto"/>
                                                <w:right w:val="none" w:sz="0" w:space="0" w:color="auto"/>
                                              </w:divBdr>
                                              <w:divsChild>
                                                <w:div w:id="1569026724">
                                                  <w:marLeft w:val="0"/>
                                                  <w:marRight w:val="0"/>
                                                  <w:marTop w:val="0"/>
                                                  <w:marBottom w:val="0"/>
                                                  <w:divBdr>
                                                    <w:top w:val="none" w:sz="0" w:space="0" w:color="auto"/>
                                                    <w:left w:val="none" w:sz="0" w:space="0" w:color="auto"/>
                                                    <w:bottom w:val="none" w:sz="0" w:space="0" w:color="auto"/>
                                                    <w:right w:val="none" w:sz="0" w:space="0" w:color="auto"/>
                                                  </w:divBdr>
                                                  <w:divsChild>
                                                    <w:div w:id="1854109446">
                                                      <w:marLeft w:val="0"/>
                                                      <w:marRight w:val="0"/>
                                                      <w:marTop w:val="0"/>
                                                      <w:marBottom w:val="0"/>
                                                      <w:divBdr>
                                                        <w:top w:val="none" w:sz="0" w:space="0" w:color="auto"/>
                                                        <w:left w:val="none" w:sz="0" w:space="0" w:color="auto"/>
                                                        <w:bottom w:val="none" w:sz="0" w:space="0" w:color="auto"/>
                                                        <w:right w:val="none" w:sz="0" w:space="0" w:color="auto"/>
                                                      </w:divBdr>
                                                      <w:divsChild>
                                                        <w:div w:id="516695783">
                                                          <w:marLeft w:val="0"/>
                                                          <w:marRight w:val="0"/>
                                                          <w:marTop w:val="0"/>
                                                          <w:marBottom w:val="0"/>
                                                          <w:divBdr>
                                                            <w:top w:val="none" w:sz="0" w:space="0" w:color="auto"/>
                                                            <w:left w:val="none" w:sz="0" w:space="0" w:color="auto"/>
                                                            <w:bottom w:val="none" w:sz="0" w:space="0" w:color="auto"/>
                                                            <w:right w:val="none" w:sz="0" w:space="0" w:color="auto"/>
                                                          </w:divBdr>
                                                          <w:divsChild>
                                                            <w:div w:id="834419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18335010">
      <w:bodyDiv w:val="1"/>
      <w:marLeft w:val="0"/>
      <w:marRight w:val="0"/>
      <w:marTop w:val="0"/>
      <w:marBottom w:val="0"/>
      <w:divBdr>
        <w:top w:val="none" w:sz="0" w:space="0" w:color="auto"/>
        <w:left w:val="none" w:sz="0" w:space="0" w:color="auto"/>
        <w:bottom w:val="none" w:sz="0" w:space="0" w:color="auto"/>
        <w:right w:val="none" w:sz="0" w:space="0" w:color="auto"/>
      </w:divBdr>
    </w:div>
    <w:div w:id="421417771">
      <w:bodyDiv w:val="1"/>
      <w:marLeft w:val="0"/>
      <w:marRight w:val="0"/>
      <w:marTop w:val="0"/>
      <w:marBottom w:val="0"/>
      <w:divBdr>
        <w:top w:val="none" w:sz="0" w:space="0" w:color="auto"/>
        <w:left w:val="none" w:sz="0" w:space="0" w:color="auto"/>
        <w:bottom w:val="none" w:sz="0" w:space="0" w:color="auto"/>
        <w:right w:val="none" w:sz="0" w:space="0" w:color="auto"/>
      </w:divBdr>
    </w:div>
    <w:div w:id="422801904">
      <w:bodyDiv w:val="1"/>
      <w:marLeft w:val="0"/>
      <w:marRight w:val="0"/>
      <w:marTop w:val="0"/>
      <w:marBottom w:val="0"/>
      <w:divBdr>
        <w:top w:val="none" w:sz="0" w:space="0" w:color="auto"/>
        <w:left w:val="none" w:sz="0" w:space="0" w:color="auto"/>
        <w:bottom w:val="none" w:sz="0" w:space="0" w:color="auto"/>
        <w:right w:val="none" w:sz="0" w:space="0" w:color="auto"/>
      </w:divBdr>
    </w:div>
    <w:div w:id="427847332">
      <w:bodyDiv w:val="1"/>
      <w:marLeft w:val="0"/>
      <w:marRight w:val="0"/>
      <w:marTop w:val="0"/>
      <w:marBottom w:val="0"/>
      <w:divBdr>
        <w:top w:val="none" w:sz="0" w:space="0" w:color="auto"/>
        <w:left w:val="none" w:sz="0" w:space="0" w:color="auto"/>
        <w:bottom w:val="none" w:sz="0" w:space="0" w:color="auto"/>
        <w:right w:val="none" w:sz="0" w:space="0" w:color="auto"/>
      </w:divBdr>
    </w:div>
    <w:div w:id="430780990">
      <w:bodyDiv w:val="1"/>
      <w:marLeft w:val="0"/>
      <w:marRight w:val="0"/>
      <w:marTop w:val="0"/>
      <w:marBottom w:val="0"/>
      <w:divBdr>
        <w:top w:val="none" w:sz="0" w:space="0" w:color="auto"/>
        <w:left w:val="none" w:sz="0" w:space="0" w:color="auto"/>
        <w:bottom w:val="none" w:sz="0" w:space="0" w:color="auto"/>
        <w:right w:val="none" w:sz="0" w:space="0" w:color="auto"/>
      </w:divBdr>
    </w:div>
    <w:div w:id="437800515">
      <w:bodyDiv w:val="1"/>
      <w:marLeft w:val="0"/>
      <w:marRight w:val="0"/>
      <w:marTop w:val="0"/>
      <w:marBottom w:val="0"/>
      <w:divBdr>
        <w:top w:val="none" w:sz="0" w:space="0" w:color="auto"/>
        <w:left w:val="none" w:sz="0" w:space="0" w:color="auto"/>
        <w:bottom w:val="none" w:sz="0" w:space="0" w:color="auto"/>
        <w:right w:val="none" w:sz="0" w:space="0" w:color="auto"/>
      </w:divBdr>
    </w:div>
    <w:div w:id="438381346">
      <w:bodyDiv w:val="1"/>
      <w:marLeft w:val="0"/>
      <w:marRight w:val="0"/>
      <w:marTop w:val="0"/>
      <w:marBottom w:val="0"/>
      <w:divBdr>
        <w:top w:val="none" w:sz="0" w:space="0" w:color="auto"/>
        <w:left w:val="none" w:sz="0" w:space="0" w:color="auto"/>
        <w:bottom w:val="none" w:sz="0" w:space="0" w:color="auto"/>
        <w:right w:val="none" w:sz="0" w:space="0" w:color="auto"/>
      </w:divBdr>
    </w:div>
    <w:div w:id="439882976">
      <w:bodyDiv w:val="1"/>
      <w:marLeft w:val="0"/>
      <w:marRight w:val="0"/>
      <w:marTop w:val="0"/>
      <w:marBottom w:val="0"/>
      <w:divBdr>
        <w:top w:val="none" w:sz="0" w:space="0" w:color="auto"/>
        <w:left w:val="none" w:sz="0" w:space="0" w:color="auto"/>
        <w:bottom w:val="none" w:sz="0" w:space="0" w:color="auto"/>
        <w:right w:val="none" w:sz="0" w:space="0" w:color="auto"/>
      </w:divBdr>
    </w:div>
    <w:div w:id="443883966">
      <w:bodyDiv w:val="1"/>
      <w:marLeft w:val="0"/>
      <w:marRight w:val="0"/>
      <w:marTop w:val="0"/>
      <w:marBottom w:val="0"/>
      <w:divBdr>
        <w:top w:val="none" w:sz="0" w:space="0" w:color="auto"/>
        <w:left w:val="none" w:sz="0" w:space="0" w:color="auto"/>
        <w:bottom w:val="none" w:sz="0" w:space="0" w:color="auto"/>
        <w:right w:val="none" w:sz="0" w:space="0" w:color="auto"/>
      </w:divBdr>
    </w:div>
    <w:div w:id="449593160">
      <w:bodyDiv w:val="1"/>
      <w:marLeft w:val="0"/>
      <w:marRight w:val="0"/>
      <w:marTop w:val="0"/>
      <w:marBottom w:val="0"/>
      <w:divBdr>
        <w:top w:val="none" w:sz="0" w:space="0" w:color="auto"/>
        <w:left w:val="none" w:sz="0" w:space="0" w:color="auto"/>
        <w:bottom w:val="none" w:sz="0" w:space="0" w:color="auto"/>
        <w:right w:val="none" w:sz="0" w:space="0" w:color="auto"/>
      </w:divBdr>
    </w:div>
    <w:div w:id="452135906">
      <w:bodyDiv w:val="1"/>
      <w:marLeft w:val="0"/>
      <w:marRight w:val="0"/>
      <w:marTop w:val="0"/>
      <w:marBottom w:val="0"/>
      <w:divBdr>
        <w:top w:val="none" w:sz="0" w:space="0" w:color="auto"/>
        <w:left w:val="none" w:sz="0" w:space="0" w:color="auto"/>
        <w:bottom w:val="none" w:sz="0" w:space="0" w:color="auto"/>
        <w:right w:val="none" w:sz="0" w:space="0" w:color="auto"/>
      </w:divBdr>
    </w:div>
    <w:div w:id="453788316">
      <w:bodyDiv w:val="1"/>
      <w:marLeft w:val="0"/>
      <w:marRight w:val="0"/>
      <w:marTop w:val="0"/>
      <w:marBottom w:val="0"/>
      <w:divBdr>
        <w:top w:val="none" w:sz="0" w:space="0" w:color="auto"/>
        <w:left w:val="none" w:sz="0" w:space="0" w:color="auto"/>
        <w:bottom w:val="none" w:sz="0" w:space="0" w:color="auto"/>
        <w:right w:val="none" w:sz="0" w:space="0" w:color="auto"/>
      </w:divBdr>
      <w:divsChild>
        <w:div w:id="31852017">
          <w:marLeft w:val="0"/>
          <w:marRight w:val="0"/>
          <w:marTop w:val="0"/>
          <w:marBottom w:val="0"/>
          <w:divBdr>
            <w:top w:val="none" w:sz="0" w:space="0" w:color="auto"/>
            <w:left w:val="none" w:sz="0" w:space="0" w:color="auto"/>
            <w:bottom w:val="none" w:sz="0" w:space="0" w:color="auto"/>
            <w:right w:val="none" w:sz="0" w:space="0" w:color="auto"/>
          </w:divBdr>
        </w:div>
        <w:div w:id="67966734">
          <w:marLeft w:val="0"/>
          <w:marRight w:val="0"/>
          <w:marTop w:val="0"/>
          <w:marBottom w:val="0"/>
          <w:divBdr>
            <w:top w:val="none" w:sz="0" w:space="0" w:color="auto"/>
            <w:left w:val="none" w:sz="0" w:space="0" w:color="auto"/>
            <w:bottom w:val="none" w:sz="0" w:space="0" w:color="auto"/>
            <w:right w:val="none" w:sz="0" w:space="0" w:color="auto"/>
          </w:divBdr>
          <w:divsChild>
            <w:div w:id="60374619">
              <w:marLeft w:val="0"/>
              <w:marRight w:val="0"/>
              <w:marTop w:val="0"/>
              <w:marBottom w:val="0"/>
              <w:divBdr>
                <w:top w:val="none" w:sz="0" w:space="0" w:color="auto"/>
                <w:left w:val="none" w:sz="0" w:space="0" w:color="auto"/>
                <w:bottom w:val="none" w:sz="0" w:space="0" w:color="auto"/>
                <w:right w:val="none" w:sz="0" w:space="0" w:color="auto"/>
              </w:divBdr>
            </w:div>
            <w:div w:id="193353464">
              <w:marLeft w:val="0"/>
              <w:marRight w:val="0"/>
              <w:marTop w:val="0"/>
              <w:marBottom w:val="0"/>
              <w:divBdr>
                <w:top w:val="none" w:sz="0" w:space="0" w:color="auto"/>
                <w:left w:val="none" w:sz="0" w:space="0" w:color="auto"/>
                <w:bottom w:val="none" w:sz="0" w:space="0" w:color="auto"/>
                <w:right w:val="none" w:sz="0" w:space="0" w:color="auto"/>
              </w:divBdr>
            </w:div>
            <w:div w:id="265888693">
              <w:marLeft w:val="0"/>
              <w:marRight w:val="0"/>
              <w:marTop w:val="0"/>
              <w:marBottom w:val="0"/>
              <w:divBdr>
                <w:top w:val="none" w:sz="0" w:space="0" w:color="auto"/>
                <w:left w:val="none" w:sz="0" w:space="0" w:color="auto"/>
                <w:bottom w:val="none" w:sz="0" w:space="0" w:color="auto"/>
                <w:right w:val="none" w:sz="0" w:space="0" w:color="auto"/>
              </w:divBdr>
            </w:div>
            <w:div w:id="417413149">
              <w:marLeft w:val="0"/>
              <w:marRight w:val="0"/>
              <w:marTop w:val="0"/>
              <w:marBottom w:val="0"/>
              <w:divBdr>
                <w:top w:val="none" w:sz="0" w:space="0" w:color="auto"/>
                <w:left w:val="none" w:sz="0" w:space="0" w:color="auto"/>
                <w:bottom w:val="none" w:sz="0" w:space="0" w:color="auto"/>
                <w:right w:val="none" w:sz="0" w:space="0" w:color="auto"/>
              </w:divBdr>
            </w:div>
            <w:div w:id="733049140">
              <w:marLeft w:val="0"/>
              <w:marRight w:val="0"/>
              <w:marTop w:val="0"/>
              <w:marBottom w:val="0"/>
              <w:divBdr>
                <w:top w:val="none" w:sz="0" w:space="0" w:color="auto"/>
                <w:left w:val="none" w:sz="0" w:space="0" w:color="auto"/>
                <w:bottom w:val="none" w:sz="0" w:space="0" w:color="auto"/>
                <w:right w:val="none" w:sz="0" w:space="0" w:color="auto"/>
              </w:divBdr>
            </w:div>
            <w:div w:id="761999104">
              <w:marLeft w:val="0"/>
              <w:marRight w:val="0"/>
              <w:marTop w:val="0"/>
              <w:marBottom w:val="0"/>
              <w:divBdr>
                <w:top w:val="none" w:sz="0" w:space="0" w:color="auto"/>
                <w:left w:val="none" w:sz="0" w:space="0" w:color="auto"/>
                <w:bottom w:val="none" w:sz="0" w:space="0" w:color="auto"/>
                <w:right w:val="none" w:sz="0" w:space="0" w:color="auto"/>
              </w:divBdr>
            </w:div>
            <w:div w:id="843668982">
              <w:marLeft w:val="0"/>
              <w:marRight w:val="0"/>
              <w:marTop w:val="0"/>
              <w:marBottom w:val="0"/>
              <w:divBdr>
                <w:top w:val="none" w:sz="0" w:space="0" w:color="auto"/>
                <w:left w:val="none" w:sz="0" w:space="0" w:color="auto"/>
                <w:bottom w:val="none" w:sz="0" w:space="0" w:color="auto"/>
                <w:right w:val="none" w:sz="0" w:space="0" w:color="auto"/>
              </w:divBdr>
            </w:div>
            <w:div w:id="1002126290">
              <w:marLeft w:val="0"/>
              <w:marRight w:val="0"/>
              <w:marTop w:val="0"/>
              <w:marBottom w:val="0"/>
              <w:divBdr>
                <w:top w:val="none" w:sz="0" w:space="0" w:color="auto"/>
                <w:left w:val="none" w:sz="0" w:space="0" w:color="auto"/>
                <w:bottom w:val="none" w:sz="0" w:space="0" w:color="auto"/>
                <w:right w:val="none" w:sz="0" w:space="0" w:color="auto"/>
              </w:divBdr>
            </w:div>
            <w:div w:id="1091200416">
              <w:marLeft w:val="0"/>
              <w:marRight w:val="0"/>
              <w:marTop w:val="0"/>
              <w:marBottom w:val="0"/>
              <w:divBdr>
                <w:top w:val="none" w:sz="0" w:space="0" w:color="auto"/>
                <w:left w:val="none" w:sz="0" w:space="0" w:color="auto"/>
                <w:bottom w:val="none" w:sz="0" w:space="0" w:color="auto"/>
                <w:right w:val="none" w:sz="0" w:space="0" w:color="auto"/>
              </w:divBdr>
            </w:div>
            <w:div w:id="1094207421">
              <w:marLeft w:val="0"/>
              <w:marRight w:val="0"/>
              <w:marTop w:val="0"/>
              <w:marBottom w:val="0"/>
              <w:divBdr>
                <w:top w:val="none" w:sz="0" w:space="0" w:color="auto"/>
                <w:left w:val="none" w:sz="0" w:space="0" w:color="auto"/>
                <w:bottom w:val="none" w:sz="0" w:space="0" w:color="auto"/>
                <w:right w:val="none" w:sz="0" w:space="0" w:color="auto"/>
              </w:divBdr>
            </w:div>
            <w:div w:id="1098134992">
              <w:marLeft w:val="0"/>
              <w:marRight w:val="0"/>
              <w:marTop w:val="0"/>
              <w:marBottom w:val="0"/>
              <w:divBdr>
                <w:top w:val="none" w:sz="0" w:space="0" w:color="auto"/>
                <w:left w:val="none" w:sz="0" w:space="0" w:color="auto"/>
                <w:bottom w:val="none" w:sz="0" w:space="0" w:color="auto"/>
                <w:right w:val="none" w:sz="0" w:space="0" w:color="auto"/>
              </w:divBdr>
            </w:div>
            <w:div w:id="1124926548">
              <w:marLeft w:val="0"/>
              <w:marRight w:val="0"/>
              <w:marTop w:val="0"/>
              <w:marBottom w:val="0"/>
              <w:divBdr>
                <w:top w:val="none" w:sz="0" w:space="0" w:color="auto"/>
                <w:left w:val="none" w:sz="0" w:space="0" w:color="auto"/>
                <w:bottom w:val="none" w:sz="0" w:space="0" w:color="auto"/>
                <w:right w:val="none" w:sz="0" w:space="0" w:color="auto"/>
              </w:divBdr>
            </w:div>
            <w:div w:id="1149512705">
              <w:marLeft w:val="0"/>
              <w:marRight w:val="0"/>
              <w:marTop w:val="0"/>
              <w:marBottom w:val="0"/>
              <w:divBdr>
                <w:top w:val="none" w:sz="0" w:space="0" w:color="auto"/>
                <w:left w:val="none" w:sz="0" w:space="0" w:color="auto"/>
                <w:bottom w:val="none" w:sz="0" w:space="0" w:color="auto"/>
                <w:right w:val="none" w:sz="0" w:space="0" w:color="auto"/>
              </w:divBdr>
            </w:div>
            <w:div w:id="1295867925">
              <w:marLeft w:val="0"/>
              <w:marRight w:val="0"/>
              <w:marTop w:val="0"/>
              <w:marBottom w:val="0"/>
              <w:divBdr>
                <w:top w:val="none" w:sz="0" w:space="0" w:color="auto"/>
                <w:left w:val="none" w:sz="0" w:space="0" w:color="auto"/>
                <w:bottom w:val="none" w:sz="0" w:space="0" w:color="auto"/>
                <w:right w:val="none" w:sz="0" w:space="0" w:color="auto"/>
              </w:divBdr>
            </w:div>
            <w:div w:id="1374886428">
              <w:marLeft w:val="0"/>
              <w:marRight w:val="0"/>
              <w:marTop w:val="0"/>
              <w:marBottom w:val="0"/>
              <w:divBdr>
                <w:top w:val="none" w:sz="0" w:space="0" w:color="auto"/>
                <w:left w:val="none" w:sz="0" w:space="0" w:color="auto"/>
                <w:bottom w:val="none" w:sz="0" w:space="0" w:color="auto"/>
                <w:right w:val="none" w:sz="0" w:space="0" w:color="auto"/>
              </w:divBdr>
            </w:div>
            <w:div w:id="1571233514">
              <w:marLeft w:val="0"/>
              <w:marRight w:val="0"/>
              <w:marTop w:val="0"/>
              <w:marBottom w:val="0"/>
              <w:divBdr>
                <w:top w:val="none" w:sz="0" w:space="0" w:color="auto"/>
                <w:left w:val="none" w:sz="0" w:space="0" w:color="auto"/>
                <w:bottom w:val="none" w:sz="0" w:space="0" w:color="auto"/>
                <w:right w:val="none" w:sz="0" w:space="0" w:color="auto"/>
              </w:divBdr>
            </w:div>
            <w:div w:id="1857232440">
              <w:marLeft w:val="0"/>
              <w:marRight w:val="0"/>
              <w:marTop w:val="0"/>
              <w:marBottom w:val="0"/>
              <w:divBdr>
                <w:top w:val="none" w:sz="0" w:space="0" w:color="auto"/>
                <w:left w:val="none" w:sz="0" w:space="0" w:color="auto"/>
                <w:bottom w:val="none" w:sz="0" w:space="0" w:color="auto"/>
                <w:right w:val="none" w:sz="0" w:space="0" w:color="auto"/>
              </w:divBdr>
            </w:div>
            <w:div w:id="1994674485">
              <w:marLeft w:val="0"/>
              <w:marRight w:val="0"/>
              <w:marTop w:val="0"/>
              <w:marBottom w:val="0"/>
              <w:divBdr>
                <w:top w:val="none" w:sz="0" w:space="0" w:color="auto"/>
                <w:left w:val="none" w:sz="0" w:space="0" w:color="auto"/>
                <w:bottom w:val="none" w:sz="0" w:space="0" w:color="auto"/>
                <w:right w:val="none" w:sz="0" w:space="0" w:color="auto"/>
              </w:divBdr>
            </w:div>
            <w:div w:id="2121756337">
              <w:marLeft w:val="0"/>
              <w:marRight w:val="0"/>
              <w:marTop w:val="0"/>
              <w:marBottom w:val="0"/>
              <w:divBdr>
                <w:top w:val="none" w:sz="0" w:space="0" w:color="auto"/>
                <w:left w:val="none" w:sz="0" w:space="0" w:color="auto"/>
                <w:bottom w:val="none" w:sz="0" w:space="0" w:color="auto"/>
                <w:right w:val="none" w:sz="0" w:space="0" w:color="auto"/>
              </w:divBdr>
            </w:div>
            <w:div w:id="2123719829">
              <w:marLeft w:val="0"/>
              <w:marRight w:val="0"/>
              <w:marTop w:val="0"/>
              <w:marBottom w:val="0"/>
              <w:divBdr>
                <w:top w:val="none" w:sz="0" w:space="0" w:color="auto"/>
                <w:left w:val="none" w:sz="0" w:space="0" w:color="auto"/>
                <w:bottom w:val="none" w:sz="0" w:space="0" w:color="auto"/>
                <w:right w:val="none" w:sz="0" w:space="0" w:color="auto"/>
              </w:divBdr>
            </w:div>
          </w:divsChild>
        </w:div>
        <w:div w:id="137958537">
          <w:marLeft w:val="0"/>
          <w:marRight w:val="0"/>
          <w:marTop w:val="0"/>
          <w:marBottom w:val="0"/>
          <w:divBdr>
            <w:top w:val="none" w:sz="0" w:space="0" w:color="auto"/>
            <w:left w:val="none" w:sz="0" w:space="0" w:color="auto"/>
            <w:bottom w:val="none" w:sz="0" w:space="0" w:color="auto"/>
            <w:right w:val="none" w:sz="0" w:space="0" w:color="auto"/>
          </w:divBdr>
        </w:div>
        <w:div w:id="169149251">
          <w:marLeft w:val="0"/>
          <w:marRight w:val="0"/>
          <w:marTop w:val="0"/>
          <w:marBottom w:val="0"/>
          <w:divBdr>
            <w:top w:val="none" w:sz="0" w:space="0" w:color="auto"/>
            <w:left w:val="none" w:sz="0" w:space="0" w:color="auto"/>
            <w:bottom w:val="none" w:sz="0" w:space="0" w:color="auto"/>
            <w:right w:val="none" w:sz="0" w:space="0" w:color="auto"/>
          </w:divBdr>
        </w:div>
        <w:div w:id="261258126">
          <w:marLeft w:val="0"/>
          <w:marRight w:val="0"/>
          <w:marTop w:val="0"/>
          <w:marBottom w:val="0"/>
          <w:divBdr>
            <w:top w:val="none" w:sz="0" w:space="0" w:color="auto"/>
            <w:left w:val="none" w:sz="0" w:space="0" w:color="auto"/>
            <w:bottom w:val="none" w:sz="0" w:space="0" w:color="auto"/>
            <w:right w:val="none" w:sz="0" w:space="0" w:color="auto"/>
          </w:divBdr>
          <w:divsChild>
            <w:div w:id="12734318">
              <w:marLeft w:val="0"/>
              <w:marRight w:val="0"/>
              <w:marTop w:val="0"/>
              <w:marBottom w:val="0"/>
              <w:divBdr>
                <w:top w:val="none" w:sz="0" w:space="0" w:color="auto"/>
                <w:left w:val="none" w:sz="0" w:space="0" w:color="auto"/>
                <w:bottom w:val="none" w:sz="0" w:space="0" w:color="auto"/>
                <w:right w:val="none" w:sz="0" w:space="0" w:color="auto"/>
              </w:divBdr>
            </w:div>
            <w:div w:id="22413826">
              <w:marLeft w:val="0"/>
              <w:marRight w:val="0"/>
              <w:marTop w:val="0"/>
              <w:marBottom w:val="0"/>
              <w:divBdr>
                <w:top w:val="none" w:sz="0" w:space="0" w:color="auto"/>
                <w:left w:val="none" w:sz="0" w:space="0" w:color="auto"/>
                <w:bottom w:val="none" w:sz="0" w:space="0" w:color="auto"/>
                <w:right w:val="none" w:sz="0" w:space="0" w:color="auto"/>
              </w:divBdr>
            </w:div>
            <w:div w:id="169953685">
              <w:marLeft w:val="0"/>
              <w:marRight w:val="0"/>
              <w:marTop w:val="0"/>
              <w:marBottom w:val="0"/>
              <w:divBdr>
                <w:top w:val="none" w:sz="0" w:space="0" w:color="auto"/>
                <w:left w:val="none" w:sz="0" w:space="0" w:color="auto"/>
                <w:bottom w:val="none" w:sz="0" w:space="0" w:color="auto"/>
                <w:right w:val="none" w:sz="0" w:space="0" w:color="auto"/>
              </w:divBdr>
            </w:div>
            <w:div w:id="247277603">
              <w:marLeft w:val="0"/>
              <w:marRight w:val="0"/>
              <w:marTop w:val="0"/>
              <w:marBottom w:val="0"/>
              <w:divBdr>
                <w:top w:val="none" w:sz="0" w:space="0" w:color="auto"/>
                <w:left w:val="none" w:sz="0" w:space="0" w:color="auto"/>
                <w:bottom w:val="none" w:sz="0" w:space="0" w:color="auto"/>
                <w:right w:val="none" w:sz="0" w:space="0" w:color="auto"/>
              </w:divBdr>
            </w:div>
            <w:div w:id="575628846">
              <w:marLeft w:val="0"/>
              <w:marRight w:val="0"/>
              <w:marTop w:val="0"/>
              <w:marBottom w:val="0"/>
              <w:divBdr>
                <w:top w:val="none" w:sz="0" w:space="0" w:color="auto"/>
                <w:left w:val="none" w:sz="0" w:space="0" w:color="auto"/>
                <w:bottom w:val="none" w:sz="0" w:space="0" w:color="auto"/>
                <w:right w:val="none" w:sz="0" w:space="0" w:color="auto"/>
              </w:divBdr>
            </w:div>
            <w:div w:id="613633522">
              <w:marLeft w:val="0"/>
              <w:marRight w:val="0"/>
              <w:marTop w:val="0"/>
              <w:marBottom w:val="0"/>
              <w:divBdr>
                <w:top w:val="none" w:sz="0" w:space="0" w:color="auto"/>
                <w:left w:val="none" w:sz="0" w:space="0" w:color="auto"/>
                <w:bottom w:val="none" w:sz="0" w:space="0" w:color="auto"/>
                <w:right w:val="none" w:sz="0" w:space="0" w:color="auto"/>
              </w:divBdr>
            </w:div>
            <w:div w:id="697244144">
              <w:marLeft w:val="0"/>
              <w:marRight w:val="0"/>
              <w:marTop w:val="0"/>
              <w:marBottom w:val="0"/>
              <w:divBdr>
                <w:top w:val="none" w:sz="0" w:space="0" w:color="auto"/>
                <w:left w:val="none" w:sz="0" w:space="0" w:color="auto"/>
                <w:bottom w:val="none" w:sz="0" w:space="0" w:color="auto"/>
                <w:right w:val="none" w:sz="0" w:space="0" w:color="auto"/>
              </w:divBdr>
            </w:div>
            <w:div w:id="1099788177">
              <w:marLeft w:val="0"/>
              <w:marRight w:val="0"/>
              <w:marTop w:val="0"/>
              <w:marBottom w:val="0"/>
              <w:divBdr>
                <w:top w:val="none" w:sz="0" w:space="0" w:color="auto"/>
                <w:left w:val="none" w:sz="0" w:space="0" w:color="auto"/>
                <w:bottom w:val="none" w:sz="0" w:space="0" w:color="auto"/>
                <w:right w:val="none" w:sz="0" w:space="0" w:color="auto"/>
              </w:divBdr>
            </w:div>
            <w:div w:id="1143498451">
              <w:marLeft w:val="0"/>
              <w:marRight w:val="0"/>
              <w:marTop w:val="0"/>
              <w:marBottom w:val="0"/>
              <w:divBdr>
                <w:top w:val="none" w:sz="0" w:space="0" w:color="auto"/>
                <w:left w:val="none" w:sz="0" w:space="0" w:color="auto"/>
                <w:bottom w:val="none" w:sz="0" w:space="0" w:color="auto"/>
                <w:right w:val="none" w:sz="0" w:space="0" w:color="auto"/>
              </w:divBdr>
            </w:div>
            <w:div w:id="1154420480">
              <w:marLeft w:val="0"/>
              <w:marRight w:val="0"/>
              <w:marTop w:val="0"/>
              <w:marBottom w:val="0"/>
              <w:divBdr>
                <w:top w:val="none" w:sz="0" w:space="0" w:color="auto"/>
                <w:left w:val="none" w:sz="0" w:space="0" w:color="auto"/>
                <w:bottom w:val="none" w:sz="0" w:space="0" w:color="auto"/>
                <w:right w:val="none" w:sz="0" w:space="0" w:color="auto"/>
              </w:divBdr>
            </w:div>
            <w:div w:id="1171986196">
              <w:marLeft w:val="0"/>
              <w:marRight w:val="0"/>
              <w:marTop w:val="0"/>
              <w:marBottom w:val="0"/>
              <w:divBdr>
                <w:top w:val="none" w:sz="0" w:space="0" w:color="auto"/>
                <w:left w:val="none" w:sz="0" w:space="0" w:color="auto"/>
                <w:bottom w:val="none" w:sz="0" w:space="0" w:color="auto"/>
                <w:right w:val="none" w:sz="0" w:space="0" w:color="auto"/>
              </w:divBdr>
            </w:div>
            <w:div w:id="1272929753">
              <w:marLeft w:val="0"/>
              <w:marRight w:val="0"/>
              <w:marTop w:val="0"/>
              <w:marBottom w:val="0"/>
              <w:divBdr>
                <w:top w:val="none" w:sz="0" w:space="0" w:color="auto"/>
                <w:left w:val="none" w:sz="0" w:space="0" w:color="auto"/>
                <w:bottom w:val="none" w:sz="0" w:space="0" w:color="auto"/>
                <w:right w:val="none" w:sz="0" w:space="0" w:color="auto"/>
              </w:divBdr>
            </w:div>
            <w:div w:id="1345748351">
              <w:marLeft w:val="0"/>
              <w:marRight w:val="0"/>
              <w:marTop w:val="0"/>
              <w:marBottom w:val="0"/>
              <w:divBdr>
                <w:top w:val="none" w:sz="0" w:space="0" w:color="auto"/>
                <w:left w:val="none" w:sz="0" w:space="0" w:color="auto"/>
                <w:bottom w:val="none" w:sz="0" w:space="0" w:color="auto"/>
                <w:right w:val="none" w:sz="0" w:space="0" w:color="auto"/>
              </w:divBdr>
            </w:div>
            <w:div w:id="1457332341">
              <w:marLeft w:val="0"/>
              <w:marRight w:val="0"/>
              <w:marTop w:val="0"/>
              <w:marBottom w:val="0"/>
              <w:divBdr>
                <w:top w:val="none" w:sz="0" w:space="0" w:color="auto"/>
                <w:left w:val="none" w:sz="0" w:space="0" w:color="auto"/>
                <w:bottom w:val="none" w:sz="0" w:space="0" w:color="auto"/>
                <w:right w:val="none" w:sz="0" w:space="0" w:color="auto"/>
              </w:divBdr>
            </w:div>
            <w:div w:id="1475753208">
              <w:marLeft w:val="0"/>
              <w:marRight w:val="0"/>
              <w:marTop w:val="0"/>
              <w:marBottom w:val="0"/>
              <w:divBdr>
                <w:top w:val="none" w:sz="0" w:space="0" w:color="auto"/>
                <w:left w:val="none" w:sz="0" w:space="0" w:color="auto"/>
                <w:bottom w:val="none" w:sz="0" w:space="0" w:color="auto"/>
                <w:right w:val="none" w:sz="0" w:space="0" w:color="auto"/>
              </w:divBdr>
            </w:div>
            <w:div w:id="1552964644">
              <w:marLeft w:val="0"/>
              <w:marRight w:val="0"/>
              <w:marTop w:val="0"/>
              <w:marBottom w:val="0"/>
              <w:divBdr>
                <w:top w:val="none" w:sz="0" w:space="0" w:color="auto"/>
                <w:left w:val="none" w:sz="0" w:space="0" w:color="auto"/>
                <w:bottom w:val="none" w:sz="0" w:space="0" w:color="auto"/>
                <w:right w:val="none" w:sz="0" w:space="0" w:color="auto"/>
              </w:divBdr>
            </w:div>
            <w:div w:id="1714041949">
              <w:marLeft w:val="0"/>
              <w:marRight w:val="0"/>
              <w:marTop w:val="0"/>
              <w:marBottom w:val="0"/>
              <w:divBdr>
                <w:top w:val="none" w:sz="0" w:space="0" w:color="auto"/>
                <w:left w:val="none" w:sz="0" w:space="0" w:color="auto"/>
                <w:bottom w:val="none" w:sz="0" w:space="0" w:color="auto"/>
                <w:right w:val="none" w:sz="0" w:space="0" w:color="auto"/>
              </w:divBdr>
            </w:div>
            <w:div w:id="1828862032">
              <w:marLeft w:val="0"/>
              <w:marRight w:val="0"/>
              <w:marTop w:val="0"/>
              <w:marBottom w:val="0"/>
              <w:divBdr>
                <w:top w:val="none" w:sz="0" w:space="0" w:color="auto"/>
                <w:left w:val="none" w:sz="0" w:space="0" w:color="auto"/>
                <w:bottom w:val="none" w:sz="0" w:space="0" w:color="auto"/>
                <w:right w:val="none" w:sz="0" w:space="0" w:color="auto"/>
              </w:divBdr>
            </w:div>
            <w:div w:id="1913538064">
              <w:marLeft w:val="0"/>
              <w:marRight w:val="0"/>
              <w:marTop w:val="0"/>
              <w:marBottom w:val="0"/>
              <w:divBdr>
                <w:top w:val="none" w:sz="0" w:space="0" w:color="auto"/>
                <w:left w:val="none" w:sz="0" w:space="0" w:color="auto"/>
                <w:bottom w:val="none" w:sz="0" w:space="0" w:color="auto"/>
                <w:right w:val="none" w:sz="0" w:space="0" w:color="auto"/>
              </w:divBdr>
            </w:div>
            <w:div w:id="2090231902">
              <w:marLeft w:val="0"/>
              <w:marRight w:val="0"/>
              <w:marTop w:val="0"/>
              <w:marBottom w:val="0"/>
              <w:divBdr>
                <w:top w:val="none" w:sz="0" w:space="0" w:color="auto"/>
                <w:left w:val="none" w:sz="0" w:space="0" w:color="auto"/>
                <w:bottom w:val="none" w:sz="0" w:space="0" w:color="auto"/>
                <w:right w:val="none" w:sz="0" w:space="0" w:color="auto"/>
              </w:divBdr>
            </w:div>
          </w:divsChild>
        </w:div>
        <w:div w:id="265814390">
          <w:marLeft w:val="0"/>
          <w:marRight w:val="0"/>
          <w:marTop w:val="0"/>
          <w:marBottom w:val="0"/>
          <w:divBdr>
            <w:top w:val="none" w:sz="0" w:space="0" w:color="auto"/>
            <w:left w:val="none" w:sz="0" w:space="0" w:color="auto"/>
            <w:bottom w:val="none" w:sz="0" w:space="0" w:color="auto"/>
            <w:right w:val="none" w:sz="0" w:space="0" w:color="auto"/>
          </w:divBdr>
        </w:div>
        <w:div w:id="306015780">
          <w:marLeft w:val="0"/>
          <w:marRight w:val="0"/>
          <w:marTop w:val="0"/>
          <w:marBottom w:val="0"/>
          <w:divBdr>
            <w:top w:val="none" w:sz="0" w:space="0" w:color="auto"/>
            <w:left w:val="none" w:sz="0" w:space="0" w:color="auto"/>
            <w:bottom w:val="none" w:sz="0" w:space="0" w:color="auto"/>
            <w:right w:val="none" w:sz="0" w:space="0" w:color="auto"/>
          </w:divBdr>
        </w:div>
        <w:div w:id="307327546">
          <w:marLeft w:val="0"/>
          <w:marRight w:val="0"/>
          <w:marTop w:val="0"/>
          <w:marBottom w:val="0"/>
          <w:divBdr>
            <w:top w:val="none" w:sz="0" w:space="0" w:color="auto"/>
            <w:left w:val="none" w:sz="0" w:space="0" w:color="auto"/>
            <w:bottom w:val="none" w:sz="0" w:space="0" w:color="auto"/>
            <w:right w:val="none" w:sz="0" w:space="0" w:color="auto"/>
          </w:divBdr>
        </w:div>
        <w:div w:id="365108535">
          <w:marLeft w:val="0"/>
          <w:marRight w:val="0"/>
          <w:marTop w:val="0"/>
          <w:marBottom w:val="0"/>
          <w:divBdr>
            <w:top w:val="none" w:sz="0" w:space="0" w:color="auto"/>
            <w:left w:val="none" w:sz="0" w:space="0" w:color="auto"/>
            <w:bottom w:val="none" w:sz="0" w:space="0" w:color="auto"/>
            <w:right w:val="none" w:sz="0" w:space="0" w:color="auto"/>
          </w:divBdr>
        </w:div>
        <w:div w:id="414323300">
          <w:marLeft w:val="0"/>
          <w:marRight w:val="0"/>
          <w:marTop w:val="0"/>
          <w:marBottom w:val="0"/>
          <w:divBdr>
            <w:top w:val="none" w:sz="0" w:space="0" w:color="auto"/>
            <w:left w:val="none" w:sz="0" w:space="0" w:color="auto"/>
            <w:bottom w:val="none" w:sz="0" w:space="0" w:color="auto"/>
            <w:right w:val="none" w:sz="0" w:space="0" w:color="auto"/>
          </w:divBdr>
        </w:div>
        <w:div w:id="424880352">
          <w:marLeft w:val="0"/>
          <w:marRight w:val="0"/>
          <w:marTop w:val="0"/>
          <w:marBottom w:val="0"/>
          <w:divBdr>
            <w:top w:val="none" w:sz="0" w:space="0" w:color="auto"/>
            <w:left w:val="none" w:sz="0" w:space="0" w:color="auto"/>
            <w:bottom w:val="none" w:sz="0" w:space="0" w:color="auto"/>
            <w:right w:val="none" w:sz="0" w:space="0" w:color="auto"/>
          </w:divBdr>
        </w:div>
        <w:div w:id="734819143">
          <w:marLeft w:val="0"/>
          <w:marRight w:val="0"/>
          <w:marTop w:val="0"/>
          <w:marBottom w:val="0"/>
          <w:divBdr>
            <w:top w:val="none" w:sz="0" w:space="0" w:color="auto"/>
            <w:left w:val="none" w:sz="0" w:space="0" w:color="auto"/>
            <w:bottom w:val="none" w:sz="0" w:space="0" w:color="auto"/>
            <w:right w:val="none" w:sz="0" w:space="0" w:color="auto"/>
          </w:divBdr>
        </w:div>
        <w:div w:id="749541268">
          <w:marLeft w:val="0"/>
          <w:marRight w:val="0"/>
          <w:marTop w:val="0"/>
          <w:marBottom w:val="0"/>
          <w:divBdr>
            <w:top w:val="none" w:sz="0" w:space="0" w:color="auto"/>
            <w:left w:val="none" w:sz="0" w:space="0" w:color="auto"/>
            <w:bottom w:val="none" w:sz="0" w:space="0" w:color="auto"/>
            <w:right w:val="none" w:sz="0" w:space="0" w:color="auto"/>
          </w:divBdr>
        </w:div>
        <w:div w:id="767584248">
          <w:marLeft w:val="0"/>
          <w:marRight w:val="0"/>
          <w:marTop w:val="0"/>
          <w:marBottom w:val="0"/>
          <w:divBdr>
            <w:top w:val="none" w:sz="0" w:space="0" w:color="auto"/>
            <w:left w:val="none" w:sz="0" w:space="0" w:color="auto"/>
            <w:bottom w:val="none" w:sz="0" w:space="0" w:color="auto"/>
            <w:right w:val="none" w:sz="0" w:space="0" w:color="auto"/>
          </w:divBdr>
        </w:div>
        <w:div w:id="841815313">
          <w:marLeft w:val="0"/>
          <w:marRight w:val="0"/>
          <w:marTop w:val="0"/>
          <w:marBottom w:val="0"/>
          <w:divBdr>
            <w:top w:val="none" w:sz="0" w:space="0" w:color="auto"/>
            <w:left w:val="none" w:sz="0" w:space="0" w:color="auto"/>
            <w:bottom w:val="none" w:sz="0" w:space="0" w:color="auto"/>
            <w:right w:val="none" w:sz="0" w:space="0" w:color="auto"/>
          </w:divBdr>
        </w:div>
        <w:div w:id="891959546">
          <w:marLeft w:val="0"/>
          <w:marRight w:val="0"/>
          <w:marTop w:val="0"/>
          <w:marBottom w:val="0"/>
          <w:divBdr>
            <w:top w:val="none" w:sz="0" w:space="0" w:color="auto"/>
            <w:left w:val="none" w:sz="0" w:space="0" w:color="auto"/>
            <w:bottom w:val="none" w:sz="0" w:space="0" w:color="auto"/>
            <w:right w:val="none" w:sz="0" w:space="0" w:color="auto"/>
          </w:divBdr>
        </w:div>
        <w:div w:id="956907936">
          <w:marLeft w:val="0"/>
          <w:marRight w:val="0"/>
          <w:marTop w:val="0"/>
          <w:marBottom w:val="0"/>
          <w:divBdr>
            <w:top w:val="none" w:sz="0" w:space="0" w:color="auto"/>
            <w:left w:val="none" w:sz="0" w:space="0" w:color="auto"/>
            <w:bottom w:val="none" w:sz="0" w:space="0" w:color="auto"/>
            <w:right w:val="none" w:sz="0" w:space="0" w:color="auto"/>
          </w:divBdr>
        </w:div>
        <w:div w:id="959845244">
          <w:marLeft w:val="0"/>
          <w:marRight w:val="0"/>
          <w:marTop w:val="0"/>
          <w:marBottom w:val="0"/>
          <w:divBdr>
            <w:top w:val="none" w:sz="0" w:space="0" w:color="auto"/>
            <w:left w:val="none" w:sz="0" w:space="0" w:color="auto"/>
            <w:bottom w:val="none" w:sz="0" w:space="0" w:color="auto"/>
            <w:right w:val="none" w:sz="0" w:space="0" w:color="auto"/>
          </w:divBdr>
        </w:div>
        <w:div w:id="1077093038">
          <w:marLeft w:val="0"/>
          <w:marRight w:val="0"/>
          <w:marTop w:val="0"/>
          <w:marBottom w:val="0"/>
          <w:divBdr>
            <w:top w:val="none" w:sz="0" w:space="0" w:color="auto"/>
            <w:left w:val="none" w:sz="0" w:space="0" w:color="auto"/>
            <w:bottom w:val="none" w:sz="0" w:space="0" w:color="auto"/>
            <w:right w:val="none" w:sz="0" w:space="0" w:color="auto"/>
          </w:divBdr>
          <w:divsChild>
            <w:div w:id="127672631">
              <w:marLeft w:val="0"/>
              <w:marRight w:val="0"/>
              <w:marTop w:val="0"/>
              <w:marBottom w:val="0"/>
              <w:divBdr>
                <w:top w:val="none" w:sz="0" w:space="0" w:color="auto"/>
                <w:left w:val="none" w:sz="0" w:space="0" w:color="auto"/>
                <w:bottom w:val="none" w:sz="0" w:space="0" w:color="auto"/>
                <w:right w:val="none" w:sz="0" w:space="0" w:color="auto"/>
              </w:divBdr>
            </w:div>
            <w:div w:id="280916208">
              <w:marLeft w:val="0"/>
              <w:marRight w:val="0"/>
              <w:marTop w:val="0"/>
              <w:marBottom w:val="0"/>
              <w:divBdr>
                <w:top w:val="none" w:sz="0" w:space="0" w:color="auto"/>
                <w:left w:val="none" w:sz="0" w:space="0" w:color="auto"/>
                <w:bottom w:val="none" w:sz="0" w:space="0" w:color="auto"/>
                <w:right w:val="none" w:sz="0" w:space="0" w:color="auto"/>
              </w:divBdr>
            </w:div>
            <w:div w:id="282198648">
              <w:marLeft w:val="0"/>
              <w:marRight w:val="0"/>
              <w:marTop w:val="0"/>
              <w:marBottom w:val="0"/>
              <w:divBdr>
                <w:top w:val="none" w:sz="0" w:space="0" w:color="auto"/>
                <w:left w:val="none" w:sz="0" w:space="0" w:color="auto"/>
                <w:bottom w:val="none" w:sz="0" w:space="0" w:color="auto"/>
                <w:right w:val="none" w:sz="0" w:space="0" w:color="auto"/>
              </w:divBdr>
            </w:div>
            <w:div w:id="450636054">
              <w:marLeft w:val="0"/>
              <w:marRight w:val="0"/>
              <w:marTop w:val="0"/>
              <w:marBottom w:val="0"/>
              <w:divBdr>
                <w:top w:val="none" w:sz="0" w:space="0" w:color="auto"/>
                <w:left w:val="none" w:sz="0" w:space="0" w:color="auto"/>
                <w:bottom w:val="none" w:sz="0" w:space="0" w:color="auto"/>
                <w:right w:val="none" w:sz="0" w:space="0" w:color="auto"/>
              </w:divBdr>
            </w:div>
            <w:div w:id="618071961">
              <w:marLeft w:val="0"/>
              <w:marRight w:val="0"/>
              <w:marTop w:val="0"/>
              <w:marBottom w:val="0"/>
              <w:divBdr>
                <w:top w:val="none" w:sz="0" w:space="0" w:color="auto"/>
                <w:left w:val="none" w:sz="0" w:space="0" w:color="auto"/>
                <w:bottom w:val="none" w:sz="0" w:space="0" w:color="auto"/>
                <w:right w:val="none" w:sz="0" w:space="0" w:color="auto"/>
              </w:divBdr>
            </w:div>
            <w:div w:id="766540175">
              <w:marLeft w:val="0"/>
              <w:marRight w:val="0"/>
              <w:marTop w:val="0"/>
              <w:marBottom w:val="0"/>
              <w:divBdr>
                <w:top w:val="none" w:sz="0" w:space="0" w:color="auto"/>
                <w:left w:val="none" w:sz="0" w:space="0" w:color="auto"/>
                <w:bottom w:val="none" w:sz="0" w:space="0" w:color="auto"/>
                <w:right w:val="none" w:sz="0" w:space="0" w:color="auto"/>
              </w:divBdr>
            </w:div>
            <w:div w:id="872495941">
              <w:marLeft w:val="0"/>
              <w:marRight w:val="0"/>
              <w:marTop w:val="0"/>
              <w:marBottom w:val="0"/>
              <w:divBdr>
                <w:top w:val="none" w:sz="0" w:space="0" w:color="auto"/>
                <w:left w:val="none" w:sz="0" w:space="0" w:color="auto"/>
                <w:bottom w:val="none" w:sz="0" w:space="0" w:color="auto"/>
                <w:right w:val="none" w:sz="0" w:space="0" w:color="auto"/>
              </w:divBdr>
            </w:div>
            <w:div w:id="1123616553">
              <w:marLeft w:val="0"/>
              <w:marRight w:val="0"/>
              <w:marTop w:val="0"/>
              <w:marBottom w:val="0"/>
              <w:divBdr>
                <w:top w:val="none" w:sz="0" w:space="0" w:color="auto"/>
                <w:left w:val="none" w:sz="0" w:space="0" w:color="auto"/>
                <w:bottom w:val="none" w:sz="0" w:space="0" w:color="auto"/>
                <w:right w:val="none" w:sz="0" w:space="0" w:color="auto"/>
              </w:divBdr>
            </w:div>
            <w:div w:id="1370767128">
              <w:marLeft w:val="0"/>
              <w:marRight w:val="0"/>
              <w:marTop w:val="0"/>
              <w:marBottom w:val="0"/>
              <w:divBdr>
                <w:top w:val="none" w:sz="0" w:space="0" w:color="auto"/>
                <w:left w:val="none" w:sz="0" w:space="0" w:color="auto"/>
                <w:bottom w:val="none" w:sz="0" w:space="0" w:color="auto"/>
                <w:right w:val="none" w:sz="0" w:space="0" w:color="auto"/>
              </w:divBdr>
            </w:div>
            <w:div w:id="1391229626">
              <w:marLeft w:val="0"/>
              <w:marRight w:val="0"/>
              <w:marTop w:val="0"/>
              <w:marBottom w:val="0"/>
              <w:divBdr>
                <w:top w:val="none" w:sz="0" w:space="0" w:color="auto"/>
                <w:left w:val="none" w:sz="0" w:space="0" w:color="auto"/>
                <w:bottom w:val="none" w:sz="0" w:space="0" w:color="auto"/>
                <w:right w:val="none" w:sz="0" w:space="0" w:color="auto"/>
              </w:divBdr>
            </w:div>
            <w:div w:id="1410693969">
              <w:marLeft w:val="0"/>
              <w:marRight w:val="0"/>
              <w:marTop w:val="0"/>
              <w:marBottom w:val="0"/>
              <w:divBdr>
                <w:top w:val="none" w:sz="0" w:space="0" w:color="auto"/>
                <w:left w:val="none" w:sz="0" w:space="0" w:color="auto"/>
                <w:bottom w:val="none" w:sz="0" w:space="0" w:color="auto"/>
                <w:right w:val="none" w:sz="0" w:space="0" w:color="auto"/>
              </w:divBdr>
            </w:div>
            <w:div w:id="1462118285">
              <w:marLeft w:val="0"/>
              <w:marRight w:val="0"/>
              <w:marTop w:val="0"/>
              <w:marBottom w:val="0"/>
              <w:divBdr>
                <w:top w:val="none" w:sz="0" w:space="0" w:color="auto"/>
                <w:left w:val="none" w:sz="0" w:space="0" w:color="auto"/>
                <w:bottom w:val="none" w:sz="0" w:space="0" w:color="auto"/>
                <w:right w:val="none" w:sz="0" w:space="0" w:color="auto"/>
              </w:divBdr>
            </w:div>
            <w:div w:id="1550335303">
              <w:marLeft w:val="0"/>
              <w:marRight w:val="0"/>
              <w:marTop w:val="0"/>
              <w:marBottom w:val="0"/>
              <w:divBdr>
                <w:top w:val="none" w:sz="0" w:space="0" w:color="auto"/>
                <w:left w:val="none" w:sz="0" w:space="0" w:color="auto"/>
                <w:bottom w:val="none" w:sz="0" w:space="0" w:color="auto"/>
                <w:right w:val="none" w:sz="0" w:space="0" w:color="auto"/>
              </w:divBdr>
            </w:div>
            <w:div w:id="1585337553">
              <w:marLeft w:val="0"/>
              <w:marRight w:val="0"/>
              <w:marTop w:val="0"/>
              <w:marBottom w:val="0"/>
              <w:divBdr>
                <w:top w:val="none" w:sz="0" w:space="0" w:color="auto"/>
                <w:left w:val="none" w:sz="0" w:space="0" w:color="auto"/>
                <w:bottom w:val="none" w:sz="0" w:space="0" w:color="auto"/>
                <w:right w:val="none" w:sz="0" w:space="0" w:color="auto"/>
              </w:divBdr>
            </w:div>
            <w:div w:id="1626541683">
              <w:marLeft w:val="0"/>
              <w:marRight w:val="0"/>
              <w:marTop w:val="0"/>
              <w:marBottom w:val="0"/>
              <w:divBdr>
                <w:top w:val="none" w:sz="0" w:space="0" w:color="auto"/>
                <w:left w:val="none" w:sz="0" w:space="0" w:color="auto"/>
                <w:bottom w:val="none" w:sz="0" w:space="0" w:color="auto"/>
                <w:right w:val="none" w:sz="0" w:space="0" w:color="auto"/>
              </w:divBdr>
            </w:div>
            <w:div w:id="1769228053">
              <w:marLeft w:val="0"/>
              <w:marRight w:val="0"/>
              <w:marTop w:val="0"/>
              <w:marBottom w:val="0"/>
              <w:divBdr>
                <w:top w:val="none" w:sz="0" w:space="0" w:color="auto"/>
                <w:left w:val="none" w:sz="0" w:space="0" w:color="auto"/>
                <w:bottom w:val="none" w:sz="0" w:space="0" w:color="auto"/>
                <w:right w:val="none" w:sz="0" w:space="0" w:color="auto"/>
              </w:divBdr>
            </w:div>
            <w:div w:id="1831753453">
              <w:marLeft w:val="0"/>
              <w:marRight w:val="0"/>
              <w:marTop w:val="0"/>
              <w:marBottom w:val="0"/>
              <w:divBdr>
                <w:top w:val="none" w:sz="0" w:space="0" w:color="auto"/>
                <w:left w:val="none" w:sz="0" w:space="0" w:color="auto"/>
                <w:bottom w:val="none" w:sz="0" w:space="0" w:color="auto"/>
                <w:right w:val="none" w:sz="0" w:space="0" w:color="auto"/>
              </w:divBdr>
            </w:div>
            <w:div w:id="1884630681">
              <w:marLeft w:val="0"/>
              <w:marRight w:val="0"/>
              <w:marTop w:val="0"/>
              <w:marBottom w:val="0"/>
              <w:divBdr>
                <w:top w:val="none" w:sz="0" w:space="0" w:color="auto"/>
                <w:left w:val="none" w:sz="0" w:space="0" w:color="auto"/>
                <w:bottom w:val="none" w:sz="0" w:space="0" w:color="auto"/>
                <w:right w:val="none" w:sz="0" w:space="0" w:color="auto"/>
              </w:divBdr>
            </w:div>
            <w:div w:id="1941987348">
              <w:marLeft w:val="0"/>
              <w:marRight w:val="0"/>
              <w:marTop w:val="0"/>
              <w:marBottom w:val="0"/>
              <w:divBdr>
                <w:top w:val="none" w:sz="0" w:space="0" w:color="auto"/>
                <w:left w:val="none" w:sz="0" w:space="0" w:color="auto"/>
                <w:bottom w:val="none" w:sz="0" w:space="0" w:color="auto"/>
                <w:right w:val="none" w:sz="0" w:space="0" w:color="auto"/>
              </w:divBdr>
            </w:div>
            <w:div w:id="1953515557">
              <w:marLeft w:val="0"/>
              <w:marRight w:val="0"/>
              <w:marTop w:val="0"/>
              <w:marBottom w:val="0"/>
              <w:divBdr>
                <w:top w:val="none" w:sz="0" w:space="0" w:color="auto"/>
                <w:left w:val="none" w:sz="0" w:space="0" w:color="auto"/>
                <w:bottom w:val="none" w:sz="0" w:space="0" w:color="auto"/>
                <w:right w:val="none" w:sz="0" w:space="0" w:color="auto"/>
              </w:divBdr>
            </w:div>
          </w:divsChild>
        </w:div>
        <w:div w:id="1080448389">
          <w:marLeft w:val="0"/>
          <w:marRight w:val="0"/>
          <w:marTop w:val="0"/>
          <w:marBottom w:val="0"/>
          <w:divBdr>
            <w:top w:val="none" w:sz="0" w:space="0" w:color="auto"/>
            <w:left w:val="none" w:sz="0" w:space="0" w:color="auto"/>
            <w:bottom w:val="none" w:sz="0" w:space="0" w:color="auto"/>
            <w:right w:val="none" w:sz="0" w:space="0" w:color="auto"/>
          </w:divBdr>
        </w:div>
        <w:div w:id="1091317770">
          <w:marLeft w:val="0"/>
          <w:marRight w:val="0"/>
          <w:marTop w:val="0"/>
          <w:marBottom w:val="0"/>
          <w:divBdr>
            <w:top w:val="none" w:sz="0" w:space="0" w:color="auto"/>
            <w:left w:val="none" w:sz="0" w:space="0" w:color="auto"/>
            <w:bottom w:val="none" w:sz="0" w:space="0" w:color="auto"/>
            <w:right w:val="none" w:sz="0" w:space="0" w:color="auto"/>
          </w:divBdr>
        </w:div>
        <w:div w:id="1157459607">
          <w:marLeft w:val="0"/>
          <w:marRight w:val="0"/>
          <w:marTop w:val="0"/>
          <w:marBottom w:val="0"/>
          <w:divBdr>
            <w:top w:val="none" w:sz="0" w:space="0" w:color="auto"/>
            <w:left w:val="none" w:sz="0" w:space="0" w:color="auto"/>
            <w:bottom w:val="none" w:sz="0" w:space="0" w:color="auto"/>
            <w:right w:val="none" w:sz="0" w:space="0" w:color="auto"/>
          </w:divBdr>
        </w:div>
        <w:div w:id="1168406510">
          <w:marLeft w:val="0"/>
          <w:marRight w:val="0"/>
          <w:marTop w:val="0"/>
          <w:marBottom w:val="0"/>
          <w:divBdr>
            <w:top w:val="none" w:sz="0" w:space="0" w:color="auto"/>
            <w:left w:val="none" w:sz="0" w:space="0" w:color="auto"/>
            <w:bottom w:val="none" w:sz="0" w:space="0" w:color="auto"/>
            <w:right w:val="none" w:sz="0" w:space="0" w:color="auto"/>
          </w:divBdr>
        </w:div>
        <w:div w:id="1234045194">
          <w:marLeft w:val="0"/>
          <w:marRight w:val="0"/>
          <w:marTop w:val="0"/>
          <w:marBottom w:val="0"/>
          <w:divBdr>
            <w:top w:val="none" w:sz="0" w:space="0" w:color="auto"/>
            <w:left w:val="none" w:sz="0" w:space="0" w:color="auto"/>
            <w:bottom w:val="none" w:sz="0" w:space="0" w:color="auto"/>
            <w:right w:val="none" w:sz="0" w:space="0" w:color="auto"/>
          </w:divBdr>
          <w:divsChild>
            <w:div w:id="98795156">
              <w:marLeft w:val="0"/>
              <w:marRight w:val="0"/>
              <w:marTop w:val="0"/>
              <w:marBottom w:val="0"/>
              <w:divBdr>
                <w:top w:val="none" w:sz="0" w:space="0" w:color="auto"/>
                <w:left w:val="none" w:sz="0" w:space="0" w:color="auto"/>
                <w:bottom w:val="none" w:sz="0" w:space="0" w:color="auto"/>
                <w:right w:val="none" w:sz="0" w:space="0" w:color="auto"/>
              </w:divBdr>
            </w:div>
            <w:div w:id="253587315">
              <w:marLeft w:val="0"/>
              <w:marRight w:val="0"/>
              <w:marTop w:val="0"/>
              <w:marBottom w:val="0"/>
              <w:divBdr>
                <w:top w:val="none" w:sz="0" w:space="0" w:color="auto"/>
                <w:left w:val="none" w:sz="0" w:space="0" w:color="auto"/>
                <w:bottom w:val="none" w:sz="0" w:space="0" w:color="auto"/>
                <w:right w:val="none" w:sz="0" w:space="0" w:color="auto"/>
              </w:divBdr>
            </w:div>
            <w:div w:id="305473289">
              <w:marLeft w:val="0"/>
              <w:marRight w:val="0"/>
              <w:marTop w:val="0"/>
              <w:marBottom w:val="0"/>
              <w:divBdr>
                <w:top w:val="none" w:sz="0" w:space="0" w:color="auto"/>
                <w:left w:val="none" w:sz="0" w:space="0" w:color="auto"/>
                <w:bottom w:val="none" w:sz="0" w:space="0" w:color="auto"/>
                <w:right w:val="none" w:sz="0" w:space="0" w:color="auto"/>
              </w:divBdr>
            </w:div>
            <w:div w:id="357972380">
              <w:marLeft w:val="0"/>
              <w:marRight w:val="0"/>
              <w:marTop w:val="0"/>
              <w:marBottom w:val="0"/>
              <w:divBdr>
                <w:top w:val="none" w:sz="0" w:space="0" w:color="auto"/>
                <w:left w:val="none" w:sz="0" w:space="0" w:color="auto"/>
                <w:bottom w:val="none" w:sz="0" w:space="0" w:color="auto"/>
                <w:right w:val="none" w:sz="0" w:space="0" w:color="auto"/>
              </w:divBdr>
            </w:div>
            <w:div w:id="494106537">
              <w:marLeft w:val="0"/>
              <w:marRight w:val="0"/>
              <w:marTop w:val="0"/>
              <w:marBottom w:val="0"/>
              <w:divBdr>
                <w:top w:val="none" w:sz="0" w:space="0" w:color="auto"/>
                <w:left w:val="none" w:sz="0" w:space="0" w:color="auto"/>
                <w:bottom w:val="none" w:sz="0" w:space="0" w:color="auto"/>
                <w:right w:val="none" w:sz="0" w:space="0" w:color="auto"/>
              </w:divBdr>
            </w:div>
            <w:div w:id="519248137">
              <w:marLeft w:val="0"/>
              <w:marRight w:val="0"/>
              <w:marTop w:val="0"/>
              <w:marBottom w:val="0"/>
              <w:divBdr>
                <w:top w:val="none" w:sz="0" w:space="0" w:color="auto"/>
                <w:left w:val="none" w:sz="0" w:space="0" w:color="auto"/>
                <w:bottom w:val="none" w:sz="0" w:space="0" w:color="auto"/>
                <w:right w:val="none" w:sz="0" w:space="0" w:color="auto"/>
              </w:divBdr>
            </w:div>
            <w:div w:id="650328842">
              <w:marLeft w:val="0"/>
              <w:marRight w:val="0"/>
              <w:marTop w:val="0"/>
              <w:marBottom w:val="0"/>
              <w:divBdr>
                <w:top w:val="none" w:sz="0" w:space="0" w:color="auto"/>
                <w:left w:val="none" w:sz="0" w:space="0" w:color="auto"/>
                <w:bottom w:val="none" w:sz="0" w:space="0" w:color="auto"/>
                <w:right w:val="none" w:sz="0" w:space="0" w:color="auto"/>
              </w:divBdr>
            </w:div>
            <w:div w:id="661857728">
              <w:marLeft w:val="0"/>
              <w:marRight w:val="0"/>
              <w:marTop w:val="0"/>
              <w:marBottom w:val="0"/>
              <w:divBdr>
                <w:top w:val="none" w:sz="0" w:space="0" w:color="auto"/>
                <w:left w:val="none" w:sz="0" w:space="0" w:color="auto"/>
                <w:bottom w:val="none" w:sz="0" w:space="0" w:color="auto"/>
                <w:right w:val="none" w:sz="0" w:space="0" w:color="auto"/>
              </w:divBdr>
            </w:div>
            <w:div w:id="691299502">
              <w:marLeft w:val="0"/>
              <w:marRight w:val="0"/>
              <w:marTop w:val="0"/>
              <w:marBottom w:val="0"/>
              <w:divBdr>
                <w:top w:val="none" w:sz="0" w:space="0" w:color="auto"/>
                <w:left w:val="none" w:sz="0" w:space="0" w:color="auto"/>
                <w:bottom w:val="none" w:sz="0" w:space="0" w:color="auto"/>
                <w:right w:val="none" w:sz="0" w:space="0" w:color="auto"/>
              </w:divBdr>
            </w:div>
            <w:div w:id="716204885">
              <w:marLeft w:val="0"/>
              <w:marRight w:val="0"/>
              <w:marTop w:val="0"/>
              <w:marBottom w:val="0"/>
              <w:divBdr>
                <w:top w:val="none" w:sz="0" w:space="0" w:color="auto"/>
                <w:left w:val="none" w:sz="0" w:space="0" w:color="auto"/>
                <w:bottom w:val="none" w:sz="0" w:space="0" w:color="auto"/>
                <w:right w:val="none" w:sz="0" w:space="0" w:color="auto"/>
              </w:divBdr>
            </w:div>
            <w:div w:id="1030834830">
              <w:marLeft w:val="0"/>
              <w:marRight w:val="0"/>
              <w:marTop w:val="0"/>
              <w:marBottom w:val="0"/>
              <w:divBdr>
                <w:top w:val="none" w:sz="0" w:space="0" w:color="auto"/>
                <w:left w:val="none" w:sz="0" w:space="0" w:color="auto"/>
                <w:bottom w:val="none" w:sz="0" w:space="0" w:color="auto"/>
                <w:right w:val="none" w:sz="0" w:space="0" w:color="auto"/>
              </w:divBdr>
            </w:div>
            <w:div w:id="1200780582">
              <w:marLeft w:val="0"/>
              <w:marRight w:val="0"/>
              <w:marTop w:val="0"/>
              <w:marBottom w:val="0"/>
              <w:divBdr>
                <w:top w:val="none" w:sz="0" w:space="0" w:color="auto"/>
                <w:left w:val="none" w:sz="0" w:space="0" w:color="auto"/>
                <w:bottom w:val="none" w:sz="0" w:space="0" w:color="auto"/>
                <w:right w:val="none" w:sz="0" w:space="0" w:color="auto"/>
              </w:divBdr>
            </w:div>
            <w:div w:id="1383670742">
              <w:marLeft w:val="0"/>
              <w:marRight w:val="0"/>
              <w:marTop w:val="0"/>
              <w:marBottom w:val="0"/>
              <w:divBdr>
                <w:top w:val="none" w:sz="0" w:space="0" w:color="auto"/>
                <w:left w:val="none" w:sz="0" w:space="0" w:color="auto"/>
                <w:bottom w:val="none" w:sz="0" w:space="0" w:color="auto"/>
                <w:right w:val="none" w:sz="0" w:space="0" w:color="auto"/>
              </w:divBdr>
            </w:div>
            <w:div w:id="1440487649">
              <w:marLeft w:val="0"/>
              <w:marRight w:val="0"/>
              <w:marTop w:val="0"/>
              <w:marBottom w:val="0"/>
              <w:divBdr>
                <w:top w:val="none" w:sz="0" w:space="0" w:color="auto"/>
                <w:left w:val="none" w:sz="0" w:space="0" w:color="auto"/>
                <w:bottom w:val="none" w:sz="0" w:space="0" w:color="auto"/>
                <w:right w:val="none" w:sz="0" w:space="0" w:color="auto"/>
              </w:divBdr>
            </w:div>
            <w:div w:id="1535458242">
              <w:marLeft w:val="0"/>
              <w:marRight w:val="0"/>
              <w:marTop w:val="0"/>
              <w:marBottom w:val="0"/>
              <w:divBdr>
                <w:top w:val="none" w:sz="0" w:space="0" w:color="auto"/>
                <w:left w:val="none" w:sz="0" w:space="0" w:color="auto"/>
                <w:bottom w:val="none" w:sz="0" w:space="0" w:color="auto"/>
                <w:right w:val="none" w:sz="0" w:space="0" w:color="auto"/>
              </w:divBdr>
            </w:div>
            <w:div w:id="1744914455">
              <w:marLeft w:val="0"/>
              <w:marRight w:val="0"/>
              <w:marTop w:val="0"/>
              <w:marBottom w:val="0"/>
              <w:divBdr>
                <w:top w:val="none" w:sz="0" w:space="0" w:color="auto"/>
                <w:left w:val="none" w:sz="0" w:space="0" w:color="auto"/>
                <w:bottom w:val="none" w:sz="0" w:space="0" w:color="auto"/>
                <w:right w:val="none" w:sz="0" w:space="0" w:color="auto"/>
              </w:divBdr>
            </w:div>
            <w:div w:id="1951889185">
              <w:marLeft w:val="0"/>
              <w:marRight w:val="0"/>
              <w:marTop w:val="0"/>
              <w:marBottom w:val="0"/>
              <w:divBdr>
                <w:top w:val="none" w:sz="0" w:space="0" w:color="auto"/>
                <w:left w:val="none" w:sz="0" w:space="0" w:color="auto"/>
                <w:bottom w:val="none" w:sz="0" w:space="0" w:color="auto"/>
                <w:right w:val="none" w:sz="0" w:space="0" w:color="auto"/>
              </w:divBdr>
            </w:div>
            <w:div w:id="2000621124">
              <w:marLeft w:val="0"/>
              <w:marRight w:val="0"/>
              <w:marTop w:val="0"/>
              <w:marBottom w:val="0"/>
              <w:divBdr>
                <w:top w:val="none" w:sz="0" w:space="0" w:color="auto"/>
                <w:left w:val="none" w:sz="0" w:space="0" w:color="auto"/>
                <w:bottom w:val="none" w:sz="0" w:space="0" w:color="auto"/>
                <w:right w:val="none" w:sz="0" w:space="0" w:color="auto"/>
              </w:divBdr>
            </w:div>
            <w:div w:id="2112241232">
              <w:marLeft w:val="0"/>
              <w:marRight w:val="0"/>
              <w:marTop w:val="0"/>
              <w:marBottom w:val="0"/>
              <w:divBdr>
                <w:top w:val="none" w:sz="0" w:space="0" w:color="auto"/>
                <w:left w:val="none" w:sz="0" w:space="0" w:color="auto"/>
                <w:bottom w:val="none" w:sz="0" w:space="0" w:color="auto"/>
                <w:right w:val="none" w:sz="0" w:space="0" w:color="auto"/>
              </w:divBdr>
            </w:div>
            <w:div w:id="2116826058">
              <w:marLeft w:val="0"/>
              <w:marRight w:val="0"/>
              <w:marTop w:val="0"/>
              <w:marBottom w:val="0"/>
              <w:divBdr>
                <w:top w:val="none" w:sz="0" w:space="0" w:color="auto"/>
                <w:left w:val="none" w:sz="0" w:space="0" w:color="auto"/>
                <w:bottom w:val="none" w:sz="0" w:space="0" w:color="auto"/>
                <w:right w:val="none" w:sz="0" w:space="0" w:color="auto"/>
              </w:divBdr>
            </w:div>
          </w:divsChild>
        </w:div>
        <w:div w:id="1241139913">
          <w:marLeft w:val="0"/>
          <w:marRight w:val="0"/>
          <w:marTop w:val="0"/>
          <w:marBottom w:val="0"/>
          <w:divBdr>
            <w:top w:val="none" w:sz="0" w:space="0" w:color="auto"/>
            <w:left w:val="none" w:sz="0" w:space="0" w:color="auto"/>
            <w:bottom w:val="none" w:sz="0" w:space="0" w:color="auto"/>
            <w:right w:val="none" w:sz="0" w:space="0" w:color="auto"/>
          </w:divBdr>
        </w:div>
        <w:div w:id="1281373391">
          <w:marLeft w:val="0"/>
          <w:marRight w:val="0"/>
          <w:marTop w:val="0"/>
          <w:marBottom w:val="0"/>
          <w:divBdr>
            <w:top w:val="none" w:sz="0" w:space="0" w:color="auto"/>
            <w:left w:val="none" w:sz="0" w:space="0" w:color="auto"/>
            <w:bottom w:val="none" w:sz="0" w:space="0" w:color="auto"/>
            <w:right w:val="none" w:sz="0" w:space="0" w:color="auto"/>
          </w:divBdr>
        </w:div>
        <w:div w:id="1281911046">
          <w:marLeft w:val="0"/>
          <w:marRight w:val="0"/>
          <w:marTop w:val="0"/>
          <w:marBottom w:val="0"/>
          <w:divBdr>
            <w:top w:val="none" w:sz="0" w:space="0" w:color="auto"/>
            <w:left w:val="none" w:sz="0" w:space="0" w:color="auto"/>
            <w:bottom w:val="none" w:sz="0" w:space="0" w:color="auto"/>
            <w:right w:val="none" w:sz="0" w:space="0" w:color="auto"/>
          </w:divBdr>
        </w:div>
        <w:div w:id="1301305952">
          <w:marLeft w:val="0"/>
          <w:marRight w:val="0"/>
          <w:marTop w:val="0"/>
          <w:marBottom w:val="0"/>
          <w:divBdr>
            <w:top w:val="none" w:sz="0" w:space="0" w:color="auto"/>
            <w:left w:val="none" w:sz="0" w:space="0" w:color="auto"/>
            <w:bottom w:val="none" w:sz="0" w:space="0" w:color="auto"/>
            <w:right w:val="none" w:sz="0" w:space="0" w:color="auto"/>
          </w:divBdr>
        </w:div>
        <w:div w:id="1376276069">
          <w:marLeft w:val="0"/>
          <w:marRight w:val="0"/>
          <w:marTop w:val="0"/>
          <w:marBottom w:val="0"/>
          <w:divBdr>
            <w:top w:val="none" w:sz="0" w:space="0" w:color="auto"/>
            <w:left w:val="none" w:sz="0" w:space="0" w:color="auto"/>
            <w:bottom w:val="none" w:sz="0" w:space="0" w:color="auto"/>
            <w:right w:val="none" w:sz="0" w:space="0" w:color="auto"/>
          </w:divBdr>
        </w:div>
        <w:div w:id="1400975758">
          <w:marLeft w:val="0"/>
          <w:marRight w:val="0"/>
          <w:marTop w:val="0"/>
          <w:marBottom w:val="0"/>
          <w:divBdr>
            <w:top w:val="none" w:sz="0" w:space="0" w:color="auto"/>
            <w:left w:val="none" w:sz="0" w:space="0" w:color="auto"/>
            <w:bottom w:val="none" w:sz="0" w:space="0" w:color="auto"/>
            <w:right w:val="none" w:sz="0" w:space="0" w:color="auto"/>
          </w:divBdr>
        </w:div>
        <w:div w:id="1488201903">
          <w:marLeft w:val="0"/>
          <w:marRight w:val="0"/>
          <w:marTop w:val="0"/>
          <w:marBottom w:val="0"/>
          <w:divBdr>
            <w:top w:val="none" w:sz="0" w:space="0" w:color="auto"/>
            <w:left w:val="none" w:sz="0" w:space="0" w:color="auto"/>
            <w:bottom w:val="none" w:sz="0" w:space="0" w:color="auto"/>
            <w:right w:val="none" w:sz="0" w:space="0" w:color="auto"/>
          </w:divBdr>
          <w:divsChild>
            <w:div w:id="36593411">
              <w:marLeft w:val="0"/>
              <w:marRight w:val="0"/>
              <w:marTop w:val="0"/>
              <w:marBottom w:val="0"/>
              <w:divBdr>
                <w:top w:val="none" w:sz="0" w:space="0" w:color="auto"/>
                <w:left w:val="none" w:sz="0" w:space="0" w:color="auto"/>
                <w:bottom w:val="none" w:sz="0" w:space="0" w:color="auto"/>
                <w:right w:val="none" w:sz="0" w:space="0" w:color="auto"/>
              </w:divBdr>
            </w:div>
            <w:div w:id="141312938">
              <w:marLeft w:val="0"/>
              <w:marRight w:val="0"/>
              <w:marTop w:val="0"/>
              <w:marBottom w:val="0"/>
              <w:divBdr>
                <w:top w:val="none" w:sz="0" w:space="0" w:color="auto"/>
                <w:left w:val="none" w:sz="0" w:space="0" w:color="auto"/>
                <w:bottom w:val="none" w:sz="0" w:space="0" w:color="auto"/>
                <w:right w:val="none" w:sz="0" w:space="0" w:color="auto"/>
              </w:divBdr>
            </w:div>
            <w:div w:id="293222482">
              <w:marLeft w:val="0"/>
              <w:marRight w:val="0"/>
              <w:marTop w:val="0"/>
              <w:marBottom w:val="0"/>
              <w:divBdr>
                <w:top w:val="none" w:sz="0" w:space="0" w:color="auto"/>
                <w:left w:val="none" w:sz="0" w:space="0" w:color="auto"/>
                <w:bottom w:val="none" w:sz="0" w:space="0" w:color="auto"/>
                <w:right w:val="none" w:sz="0" w:space="0" w:color="auto"/>
              </w:divBdr>
            </w:div>
            <w:div w:id="375350032">
              <w:marLeft w:val="0"/>
              <w:marRight w:val="0"/>
              <w:marTop w:val="0"/>
              <w:marBottom w:val="0"/>
              <w:divBdr>
                <w:top w:val="none" w:sz="0" w:space="0" w:color="auto"/>
                <w:left w:val="none" w:sz="0" w:space="0" w:color="auto"/>
                <w:bottom w:val="none" w:sz="0" w:space="0" w:color="auto"/>
                <w:right w:val="none" w:sz="0" w:space="0" w:color="auto"/>
              </w:divBdr>
            </w:div>
            <w:div w:id="394667070">
              <w:marLeft w:val="0"/>
              <w:marRight w:val="0"/>
              <w:marTop w:val="0"/>
              <w:marBottom w:val="0"/>
              <w:divBdr>
                <w:top w:val="none" w:sz="0" w:space="0" w:color="auto"/>
                <w:left w:val="none" w:sz="0" w:space="0" w:color="auto"/>
                <w:bottom w:val="none" w:sz="0" w:space="0" w:color="auto"/>
                <w:right w:val="none" w:sz="0" w:space="0" w:color="auto"/>
              </w:divBdr>
            </w:div>
            <w:div w:id="433324286">
              <w:marLeft w:val="0"/>
              <w:marRight w:val="0"/>
              <w:marTop w:val="0"/>
              <w:marBottom w:val="0"/>
              <w:divBdr>
                <w:top w:val="none" w:sz="0" w:space="0" w:color="auto"/>
                <w:left w:val="none" w:sz="0" w:space="0" w:color="auto"/>
                <w:bottom w:val="none" w:sz="0" w:space="0" w:color="auto"/>
                <w:right w:val="none" w:sz="0" w:space="0" w:color="auto"/>
              </w:divBdr>
            </w:div>
            <w:div w:id="596058154">
              <w:marLeft w:val="0"/>
              <w:marRight w:val="0"/>
              <w:marTop w:val="0"/>
              <w:marBottom w:val="0"/>
              <w:divBdr>
                <w:top w:val="none" w:sz="0" w:space="0" w:color="auto"/>
                <w:left w:val="none" w:sz="0" w:space="0" w:color="auto"/>
                <w:bottom w:val="none" w:sz="0" w:space="0" w:color="auto"/>
                <w:right w:val="none" w:sz="0" w:space="0" w:color="auto"/>
              </w:divBdr>
            </w:div>
            <w:div w:id="718864464">
              <w:marLeft w:val="0"/>
              <w:marRight w:val="0"/>
              <w:marTop w:val="0"/>
              <w:marBottom w:val="0"/>
              <w:divBdr>
                <w:top w:val="none" w:sz="0" w:space="0" w:color="auto"/>
                <w:left w:val="none" w:sz="0" w:space="0" w:color="auto"/>
                <w:bottom w:val="none" w:sz="0" w:space="0" w:color="auto"/>
                <w:right w:val="none" w:sz="0" w:space="0" w:color="auto"/>
              </w:divBdr>
            </w:div>
            <w:div w:id="870533090">
              <w:marLeft w:val="0"/>
              <w:marRight w:val="0"/>
              <w:marTop w:val="0"/>
              <w:marBottom w:val="0"/>
              <w:divBdr>
                <w:top w:val="none" w:sz="0" w:space="0" w:color="auto"/>
                <w:left w:val="none" w:sz="0" w:space="0" w:color="auto"/>
                <w:bottom w:val="none" w:sz="0" w:space="0" w:color="auto"/>
                <w:right w:val="none" w:sz="0" w:space="0" w:color="auto"/>
              </w:divBdr>
            </w:div>
            <w:div w:id="914633256">
              <w:marLeft w:val="0"/>
              <w:marRight w:val="0"/>
              <w:marTop w:val="0"/>
              <w:marBottom w:val="0"/>
              <w:divBdr>
                <w:top w:val="none" w:sz="0" w:space="0" w:color="auto"/>
                <w:left w:val="none" w:sz="0" w:space="0" w:color="auto"/>
                <w:bottom w:val="none" w:sz="0" w:space="0" w:color="auto"/>
                <w:right w:val="none" w:sz="0" w:space="0" w:color="auto"/>
              </w:divBdr>
            </w:div>
            <w:div w:id="949776748">
              <w:marLeft w:val="0"/>
              <w:marRight w:val="0"/>
              <w:marTop w:val="0"/>
              <w:marBottom w:val="0"/>
              <w:divBdr>
                <w:top w:val="none" w:sz="0" w:space="0" w:color="auto"/>
                <w:left w:val="none" w:sz="0" w:space="0" w:color="auto"/>
                <w:bottom w:val="none" w:sz="0" w:space="0" w:color="auto"/>
                <w:right w:val="none" w:sz="0" w:space="0" w:color="auto"/>
              </w:divBdr>
            </w:div>
            <w:div w:id="1388064857">
              <w:marLeft w:val="0"/>
              <w:marRight w:val="0"/>
              <w:marTop w:val="0"/>
              <w:marBottom w:val="0"/>
              <w:divBdr>
                <w:top w:val="none" w:sz="0" w:space="0" w:color="auto"/>
                <w:left w:val="none" w:sz="0" w:space="0" w:color="auto"/>
                <w:bottom w:val="none" w:sz="0" w:space="0" w:color="auto"/>
                <w:right w:val="none" w:sz="0" w:space="0" w:color="auto"/>
              </w:divBdr>
            </w:div>
            <w:div w:id="1535533297">
              <w:marLeft w:val="0"/>
              <w:marRight w:val="0"/>
              <w:marTop w:val="0"/>
              <w:marBottom w:val="0"/>
              <w:divBdr>
                <w:top w:val="none" w:sz="0" w:space="0" w:color="auto"/>
                <w:left w:val="none" w:sz="0" w:space="0" w:color="auto"/>
                <w:bottom w:val="none" w:sz="0" w:space="0" w:color="auto"/>
                <w:right w:val="none" w:sz="0" w:space="0" w:color="auto"/>
              </w:divBdr>
            </w:div>
            <w:div w:id="1548301582">
              <w:marLeft w:val="0"/>
              <w:marRight w:val="0"/>
              <w:marTop w:val="0"/>
              <w:marBottom w:val="0"/>
              <w:divBdr>
                <w:top w:val="none" w:sz="0" w:space="0" w:color="auto"/>
                <w:left w:val="none" w:sz="0" w:space="0" w:color="auto"/>
                <w:bottom w:val="none" w:sz="0" w:space="0" w:color="auto"/>
                <w:right w:val="none" w:sz="0" w:space="0" w:color="auto"/>
              </w:divBdr>
            </w:div>
            <w:div w:id="1579746376">
              <w:marLeft w:val="0"/>
              <w:marRight w:val="0"/>
              <w:marTop w:val="0"/>
              <w:marBottom w:val="0"/>
              <w:divBdr>
                <w:top w:val="none" w:sz="0" w:space="0" w:color="auto"/>
                <w:left w:val="none" w:sz="0" w:space="0" w:color="auto"/>
                <w:bottom w:val="none" w:sz="0" w:space="0" w:color="auto"/>
                <w:right w:val="none" w:sz="0" w:space="0" w:color="auto"/>
              </w:divBdr>
            </w:div>
            <w:div w:id="1864584886">
              <w:marLeft w:val="0"/>
              <w:marRight w:val="0"/>
              <w:marTop w:val="0"/>
              <w:marBottom w:val="0"/>
              <w:divBdr>
                <w:top w:val="none" w:sz="0" w:space="0" w:color="auto"/>
                <w:left w:val="none" w:sz="0" w:space="0" w:color="auto"/>
                <w:bottom w:val="none" w:sz="0" w:space="0" w:color="auto"/>
                <w:right w:val="none" w:sz="0" w:space="0" w:color="auto"/>
              </w:divBdr>
            </w:div>
            <w:div w:id="1906060714">
              <w:marLeft w:val="0"/>
              <w:marRight w:val="0"/>
              <w:marTop w:val="0"/>
              <w:marBottom w:val="0"/>
              <w:divBdr>
                <w:top w:val="none" w:sz="0" w:space="0" w:color="auto"/>
                <w:left w:val="none" w:sz="0" w:space="0" w:color="auto"/>
                <w:bottom w:val="none" w:sz="0" w:space="0" w:color="auto"/>
                <w:right w:val="none" w:sz="0" w:space="0" w:color="auto"/>
              </w:divBdr>
            </w:div>
            <w:div w:id="1993216377">
              <w:marLeft w:val="0"/>
              <w:marRight w:val="0"/>
              <w:marTop w:val="0"/>
              <w:marBottom w:val="0"/>
              <w:divBdr>
                <w:top w:val="none" w:sz="0" w:space="0" w:color="auto"/>
                <w:left w:val="none" w:sz="0" w:space="0" w:color="auto"/>
                <w:bottom w:val="none" w:sz="0" w:space="0" w:color="auto"/>
                <w:right w:val="none" w:sz="0" w:space="0" w:color="auto"/>
              </w:divBdr>
            </w:div>
            <w:div w:id="2001615137">
              <w:marLeft w:val="0"/>
              <w:marRight w:val="0"/>
              <w:marTop w:val="0"/>
              <w:marBottom w:val="0"/>
              <w:divBdr>
                <w:top w:val="none" w:sz="0" w:space="0" w:color="auto"/>
                <w:left w:val="none" w:sz="0" w:space="0" w:color="auto"/>
                <w:bottom w:val="none" w:sz="0" w:space="0" w:color="auto"/>
                <w:right w:val="none" w:sz="0" w:space="0" w:color="auto"/>
              </w:divBdr>
            </w:div>
            <w:div w:id="2137527902">
              <w:marLeft w:val="0"/>
              <w:marRight w:val="0"/>
              <w:marTop w:val="0"/>
              <w:marBottom w:val="0"/>
              <w:divBdr>
                <w:top w:val="none" w:sz="0" w:space="0" w:color="auto"/>
                <w:left w:val="none" w:sz="0" w:space="0" w:color="auto"/>
                <w:bottom w:val="none" w:sz="0" w:space="0" w:color="auto"/>
                <w:right w:val="none" w:sz="0" w:space="0" w:color="auto"/>
              </w:divBdr>
            </w:div>
          </w:divsChild>
        </w:div>
        <w:div w:id="1557737130">
          <w:marLeft w:val="0"/>
          <w:marRight w:val="0"/>
          <w:marTop w:val="0"/>
          <w:marBottom w:val="0"/>
          <w:divBdr>
            <w:top w:val="none" w:sz="0" w:space="0" w:color="auto"/>
            <w:left w:val="none" w:sz="0" w:space="0" w:color="auto"/>
            <w:bottom w:val="none" w:sz="0" w:space="0" w:color="auto"/>
            <w:right w:val="none" w:sz="0" w:space="0" w:color="auto"/>
          </w:divBdr>
        </w:div>
        <w:div w:id="1561863173">
          <w:marLeft w:val="0"/>
          <w:marRight w:val="0"/>
          <w:marTop w:val="0"/>
          <w:marBottom w:val="0"/>
          <w:divBdr>
            <w:top w:val="none" w:sz="0" w:space="0" w:color="auto"/>
            <w:left w:val="none" w:sz="0" w:space="0" w:color="auto"/>
            <w:bottom w:val="none" w:sz="0" w:space="0" w:color="auto"/>
            <w:right w:val="none" w:sz="0" w:space="0" w:color="auto"/>
          </w:divBdr>
          <w:divsChild>
            <w:div w:id="22026407">
              <w:marLeft w:val="0"/>
              <w:marRight w:val="0"/>
              <w:marTop w:val="0"/>
              <w:marBottom w:val="0"/>
              <w:divBdr>
                <w:top w:val="none" w:sz="0" w:space="0" w:color="auto"/>
                <w:left w:val="none" w:sz="0" w:space="0" w:color="auto"/>
                <w:bottom w:val="none" w:sz="0" w:space="0" w:color="auto"/>
                <w:right w:val="none" w:sz="0" w:space="0" w:color="auto"/>
              </w:divBdr>
            </w:div>
            <w:div w:id="57216785">
              <w:marLeft w:val="0"/>
              <w:marRight w:val="0"/>
              <w:marTop w:val="0"/>
              <w:marBottom w:val="0"/>
              <w:divBdr>
                <w:top w:val="none" w:sz="0" w:space="0" w:color="auto"/>
                <w:left w:val="none" w:sz="0" w:space="0" w:color="auto"/>
                <w:bottom w:val="none" w:sz="0" w:space="0" w:color="auto"/>
                <w:right w:val="none" w:sz="0" w:space="0" w:color="auto"/>
              </w:divBdr>
            </w:div>
            <w:div w:id="122115484">
              <w:marLeft w:val="0"/>
              <w:marRight w:val="0"/>
              <w:marTop w:val="0"/>
              <w:marBottom w:val="0"/>
              <w:divBdr>
                <w:top w:val="none" w:sz="0" w:space="0" w:color="auto"/>
                <w:left w:val="none" w:sz="0" w:space="0" w:color="auto"/>
                <w:bottom w:val="none" w:sz="0" w:space="0" w:color="auto"/>
                <w:right w:val="none" w:sz="0" w:space="0" w:color="auto"/>
              </w:divBdr>
            </w:div>
            <w:div w:id="137000596">
              <w:marLeft w:val="0"/>
              <w:marRight w:val="0"/>
              <w:marTop w:val="0"/>
              <w:marBottom w:val="0"/>
              <w:divBdr>
                <w:top w:val="none" w:sz="0" w:space="0" w:color="auto"/>
                <w:left w:val="none" w:sz="0" w:space="0" w:color="auto"/>
                <w:bottom w:val="none" w:sz="0" w:space="0" w:color="auto"/>
                <w:right w:val="none" w:sz="0" w:space="0" w:color="auto"/>
              </w:divBdr>
            </w:div>
            <w:div w:id="203105326">
              <w:marLeft w:val="0"/>
              <w:marRight w:val="0"/>
              <w:marTop w:val="0"/>
              <w:marBottom w:val="0"/>
              <w:divBdr>
                <w:top w:val="none" w:sz="0" w:space="0" w:color="auto"/>
                <w:left w:val="none" w:sz="0" w:space="0" w:color="auto"/>
                <w:bottom w:val="none" w:sz="0" w:space="0" w:color="auto"/>
                <w:right w:val="none" w:sz="0" w:space="0" w:color="auto"/>
              </w:divBdr>
            </w:div>
            <w:div w:id="338238246">
              <w:marLeft w:val="0"/>
              <w:marRight w:val="0"/>
              <w:marTop w:val="0"/>
              <w:marBottom w:val="0"/>
              <w:divBdr>
                <w:top w:val="none" w:sz="0" w:space="0" w:color="auto"/>
                <w:left w:val="none" w:sz="0" w:space="0" w:color="auto"/>
                <w:bottom w:val="none" w:sz="0" w:space="0" w:color="auto"/>
                <w:right w:val="none" w:sz="0" w:space="0" w:color="auto"/>
              </w:divBdr>
            </w:div>
            <w:div w:id="390810999">
              <w:marLeft w:val="0"/>
              <w:marRight w:val="0"/>
              <w:marTop w:val="0"/>
              <w:marBottom w:val="0"/>
              <w:divBdr>
                <w:top w:val="none" w:sz="0" w:space="0" w:color="auto"/>
                <w:left w:val="none" w:sz="0" w:space="0" w:color="auto"/>
                <w:bottom w:val="none" w:sz="0" w:space="0" w:color="auto"/>
                <w:right w:val="none" w:sz="0" w:space="0" w:color="auto"/>
              </w:divBdr>
            </w:div>
            <w:div w:id="392124082">
              <w:marLeft w:val="0"/>
              <w:marRight w:val="0"/>
              <w:marTop w:val="0"/>
              <w:marBottom w:val="0"/>
              <w:divBdr>
                <w:top w:val="none" w:sz="0" w:space="0" w:color="auto"/>
                <w:left w:val="none" w:sz="0" w:space="0" w:color="auto"/>
                <w:bottom w:val="none" w:sz="0" w:space="0" w:color="auto"/>
                <w:right w:val="none" w:sz="0" w:space="0" w:color="auto"/>
              </w:divBdr>
            </w:div>
            <w:div w:id="398096287">
              <w:marLeft w:val="0"/>
              <w:marRight w:val="0"/>
              <w:marTop w:val="0"/>
              <w:marBottom w:val="0"/>
              <w:divBdr>
                <w:top w:val="none" w:sz="0" w:space="0" w:color="auto"/>
                <w:left w:val="none" w:sz="0" w:space="0" w:color="auto"/>
                <w:bottom w:val="none" w:sz="0" w:space="0" w:color="auto"/>
                <w:right w:val="none" w:sz="0" w:space="0" w:color="auto"/>
              </w:divBdr>
            </w:div>
            <w:div w:id="745884474">
              <w:marLeft w:val="0"/>
              <w:marRight w:val="0"/>
              <w:marTop w:val="0"/>
              <w:marBottom w:val="0"/>
              <w:divBdr>
                <w:top w:val="none" w:sz="0" w:space="0" w:color="auto"/>
                <w:left w:val="none" w:sz="0" w:space="0" w:color="auto"/>
                <w:bottom w:val="none" w:sz="0" w:space="0" w:color="auto"/>
                <w:right w:val="none" w:sz="0" w:space="0" w:color="auto"/>
              </w:divBdr>
            </w:div>
            <w:div w:id="751198838">
              <w:marLeft w:val="0"/>
              <w:marRight w:val="0"/>
              <w:marTop w:val="0"/>
              <w:marBottom w:val="0"/>
              <w:divBdr>
                <w:top w:val="none" w:sz="0" w:space="0" w:color="auto"/>
                <w:left w:val="none" w:sz="0" w:space="0" w:color="auto"/>
                <w:bottom w:val="none" w:sz="0" w:space="0" w:color="auto"/>
                <w:right w:val="none" w:sz="0" w:space="0" w:color="auto"/>
              </w:divBdr>
            </w:div>
            <w:div w:id="810556012">
              <w:marLeft w:val="0"/>
              <w:marRight w:val="0"/>
              <w:marTop w:val="0"/>
              <w:marBottom w:val="0"/>
              <w:divBdr>
                <w:top w:val="none" w:sz="0" w:space="0" w:color="auto"/>
                <w:left w:val="none" w:sz="0" w:space="0" w:color="auto"/>
                <w:bottom w:val="none" w:sz="0" w:space="0" w:color="auto"/>
                <w:right w:val="none" w:sz="0" w:space="0" w:color="auto"/>
              </w:divBdr>
            </w:div>
            <w:div w:id="847908531">
              <w:marLeft w:val="0"/>
              <w:marRight w:val="0"/>
              <w:marTop w:val="0"/>
              <w:marBottom w:val="0"/>
              <w:divBdr>
                <w:top w:val="none" w:sz="0" w:space="0" w:color="auto"/>
                <w:left w:val="none" w:sz="0" w:space="0" w:color="auto"/>
                <w:bottom w:val="none" w:sz="0" w:space="0" w:color="auto"/>
                <w:right w:val="none" w:sz="0" w:space="0" w:color="auto"/>
              </w:divBdr>
            </w:div>
            <w:div w:id="1168246938">
              <w:marLeft w:val="0"/>
              <w:marRight w:val="0"/>
              <w:marTop w:val="0"/>
              <w:marBottom w:val="0"/>
              <w:divBdr>
                <w:top w:val="none" w:sz="0" w:space="0" w:color="auto"/>
                <w:left w:val="none" w:sz="0" w:space="0" w:color="auto"/>
                <w:bottom w:val="none" w:sz="0" w:space="0" w:color="auto"/>
                <w:right w:val="none" w:sz="0" w:space="0" w:color="auto"/>
              </w:divBdr>
            </w:div>
            <w:div w:id="1577981457">
              <w:marLeft w:val="0"/>
              <w:marRight w:val="0"/>
              <w:marTop w:val="0"/>
              <w:marBottom w:val="0"/>
              <w:divBdr>
                <w:top w:val="none" w:sz="0" w:space="0" w:color="auto"/>
                <w:left w:val="none" w:sz="0" w:space="0" w:color="auto"/>
                <w:bottom w:val="none" w:sz="0" w:space="0" w:color="auto"/>
                <w:right w:val="none" w:sz="0" w:space="0" w:color="auto"/>
              </w:divBdr>
            </w:div>
            <w:div w:id="1640108589">
              <w:marLeft w:val="0"/>
              <w:marRight w:val="0"/>
              <w:marTop w:val="0"/>
              <w:marBottom w:val="0"/>
              <w:divBdr>
                <w:top w:val="none" w:sz="0" w:space="0" w:color="auto"/>
                <w:left w:val="none" w:sz="0" w:space="0" w:color="auto"/>
                <w:bottom w:val="none" w:sz="0" w:space="0" w:color="auto"/>
                <w:right w:val="none" w:sz="0" w:space="0" w:color="auto"/>
              </w:divBdr>
            </w:div>
            <w:div w:id="1675641555">
              <w:marLeft w:val="0"/>
              <w:marRight w:val="0"/>
              <w:marTop w:val="0"/>
              <w:marBottom w:val="0"/>
              <w:divBdr>
                <w:top w:val="none" w:sz="0" w:space="0" w:color="auto"/>
                <w:left w:val="none" w:sz="0" w:space="0" w:color="auto"/>
                <w:bottom w:val="none" w:sz="0" w:space="0" w:color="auto"/>
                <w:right w:val="none" w:sz="0" w:space="0" w:color="auto"/>
              </w:divBdr>
            </w:div>
            <w:div w:id="1797337519">
              <w:marLeft w:val="0"/>
              <w:marRight w:val="0"/>
              <w:marTop w:val="0"/>
              <w:marBottom w:val="0"/>
              <w:divBdr>
                <w:top w:val="none" w:sz="0" w:space="0" w:color="auto"/>
                <w:left w:val="none" w:sz="0" w:space="0" w:color="auto"/>
                <w:bottom w:val="none" w:sz="0" w:space="0" w:color="auto"/>
                <w:right w:val="none" w:sz="0" w:space="0" w:color="auto"/>
              </w:divBdr>
            </w:div>
            <w:div w:id="1844857601">
              <w:marLeft w:val="0"/>
              <w:marRight w:val="0"/>
              <w:marTop w:val="0"/>
              <w:marBottom w:val="0"/>
              <w:divBdr>
                <w:top w:val="none" w:sz="0" w:space="0" w:color="auto"/>
                <w:left w:val="none" w:sz="0" w:space="0" w:color="auto"/>
                <w:bottom w:val="none" w:sz="0" w:space="0" w:color="auto"/>
                <w:right w:val="none" w:sz="0" w:space="0" w:color="auto"/>
              </w:divBdr>
            </w:div>
            <w:div w:id="1890602980">
              <w:marLeft w:val="0"/>
              <w:marRight w:val="0"/>
              <w:marTop w:val="0"/>
              <w:marBottom w:val="0"/>
              <w:divBdr>
                <w:top w:val="none" w:sz="0" w:space="0" w:color="auto"/>
                <w:left w:val="none" w:sz="0" w:space="0" w:color="auto"/>
                <w:bottom w:val="none" w:sz="0" w:space="0" w:color="auto"/>
                <w:right w:val="none" w:sz="0" w:space="0" w:color="auto"/>
              </w:divBdr>
            </w:div>
          </w:divsChild>
        </w:div>
        <w:div w:id="1698703138">
          <w:marLeft w:val="0"/>
          <w:marRight w:val="0"/>
          <w:marTop w:val="0"/>
          <w:marBottom w:val="0"/>
          <w:divBdr>
            <w:top w:val="none" w:sz="0" w:space="0" w:color="auto"/>
            <w:left w:val="none" w:sz="0" w:space="0" w:color="auto"/>
            <w:bottom w:val="none" w:sz="0" w:space="0" w:color="auto"/>
            <w:right w:val="none" w:sz="0" w:space="0" w:color="auto"/>
          </w:divBdr>
        </w:div>
        <w:div w:id="1726105485">
          <w:marLeft w:val="0"/>
          <w:marRight w:val="0"/>
          <w:marTop w:val="0"/>
          <w:marBottom w:val="0"/>
          <w:divBdr>
            <w:top w:val="none" w:sz="0" w:space="0" w:color="auto"/>
            <w:left w:val="none" w:sz="0" w:space="0" w:color="auto"/>
            <w:bottom w:val="none" w:sz="0" w:space="0" w:color="auto"/>
            <w:right w:val="none" w:sz="0" w:space="0" w:color="auto"/>
          </w:divBdr>
        </w:div>
        <w:div w:id="1793597467">
          <w:marLeft w:val="0"/>
          <w:marRight w:val="0"/>
          <w:marTop w:val="0"/>
          <w:marBottom w:val="0"/>
          <w:divBdr>
            <w:top w:val="none" w:sz="0" w:space="0" w:color="auto"/>
            <w:left w:val="none" w:sz="0" w:space="0" w:color="auto"/>
            <w:bottom w:val="none" w:sz="0" w:space="0" w:color="auto"/>
            <w:right w:val="none" w:sz="0" w:space="0" w:color="auto"/>
          </w:divBdr>
          <w:divsChild>
            <w:div w:id="1696152473">
              <w:marLeft w:val="-75"/>
              <w:marRight w:val="0"/>
              <w:marTop w:val="30"/>
              <w:marBottom w:val="30"/>
              <w:divBdr>
                <w:top w:val="none" w:sz="0" w:space="0" w:color="auto"/>
                <w:left w:val="none" w:sz="0" w:space="0" w:color="auto"/>
                <w:bottom w:val="none" w:sz="0" w:space="0" w:color="auto"/>
                <w:right w:val="none" w:sz="0" w:space="0" w:color="auto"/>
              </w:divBdr>
              <w:divsChild>
                <w:div w:id="498885025">
                  <w:marLeft w:val="0"/>
                  <w:marRight w:val="0"/>
                  <w:marTop w:val="0"/>
                  <w:marBottom w:val="0"/>
                  <w:divBdr>
                    <w:top w:val="none" w:sz="0" w:space="0" w:color="auto"/>
                    <w:left w:val="none" w:sz="0" w:space="0" w:color="auto"/>
                    <w:bottom w:val="none" w:sz="0" w:space="0" w:color="auto"/>
                    <w:right w:val="none" w:sz="0" w:space="0" w:color="auto"/>
                  </w:divBdr>
                  <w:divsChild>
                    <w:div w:id="365713071">
                      <w:marLeft w:val="0"/>
                      <w:marRight w:val="0"/>
                      <w:marTop w:val="0"/>
                      <w:marBottom w:val="0"/>
                      <w:divBdr>
                        <w:top w:val="none" w:sz="0" w:space="0" w:color="auto"/>
                        <w:left w:val="none" w:sz="0" w:space="0" w:color="auto"/>
                        <w:bottom w:val="none" w:sz="0" w:space="0" w:color="auto"/>
                        <w:right w:val="none" w:sz="0" w:space="0" w:color="auto"/>
                      </w:divBdr>
                    </w:div>
                    <w:div w:id="694424341">
                      <w:marLeft w:val="0"/>
                      <w:marRight w:val="0"/>
                      <w:marTop w:val="0"/>
                      <w:marBottom w:val="0"/>
                      <w:divBdr>
                        <w:top w:val="none" w:sz="0" w:space="0" w:color="auto"/>
                        <w:left w:val="none" w:sz="0" w:space="0" w:color="auto"/>
                        <w:bottom w:val="none" w:sz="0" w:space="0" w:color="auto"/>
                        <w:right w:val="none" w:sz="0" w:space="0" w:color="auto"/>
                      </w:divBdr>
                    </w:div>
                  </w:divsChild>
                </w:div>
                <w:div w:id="534345152">
                  <w:marLeft w:val="0"/>
                  <w:marRight w:val="0"/>
                  <w:marTop w:val="0"/>
                  <w:marBottom w:val="0"/>
                  <w:divBdr>
                    <w:top w:val="none" w:sz="0" w:space="0" w:color="auto"/>
                    <w:left w:val="none" w:sz="0" w:space="0" w:color="auto"/>
                    <w:bottom w:val="none" w:sz="0" w:space="0" w:color="auto"/>
                    <w:right w:val="none" w:sz="0" w:space="0" w:color="auto"/>
                  </w:divBdr>
                  <w:divsChild>
                    <w:div w:id="444807877">
                      <w:marLeft w:val="0"/>
                      <w:marRight w:val="0"/>
                      <w:marTop w:val="0"/>
                      <w:marBottom w:val="0"/>
                      <w:divBdr>
                        <w:top w:val="none" w:sz="0" w:space="0" w:color="auto"/>
                        <w:left w:val="none" w:sz="0" w:space="0" w:color="auto"/>
                        <w:bottom w:val="none" w:sz="0" w:space="0" w:color="auto"/>
                        <w:right w:val="none" w:sz="0" w:space="0" w:color="auto"/>
                      </w:divBdr>
                    </w:div>
                    <w:div w:id="1477064171">
                      <w:marLeft w:val="0"/>
                      <w:marRight w:val="0"/>
                      <w:marTop w:val="0"/>
                      <w:marBottom w:val="0"/>
                      <w:divBdr>
                        <w:top w:val="none" w:sz="0" w:space="0" w:color="auto"/>
                        <w:left w:val="none" w:sz="0" w:space="0" w:color="auto"/>
                        <w:bottom w:val="none" w:sz="0" w:space="0" w:color="auto"/>
                        <w:right w:val="none" w:sz="0" w:space="0" w:color="auto"/>
                      </w:divBdr>
                    </w:div>
                  </w:divsChild>
                </w:div>
                <w:div w:id="661157795">
                  <w:marLeft w:val="0"/>
                  <w:marRight w:val="0"/>
                  <w:marTop w:val="0"/>
                  <w:marBottom w:val="0"/>
                  <w:divBdr>
                    <w:top w:val="none" w:sz="0" w:space="0" w:color="auto"/>
                    <w:left w:val="none" w:sz="0" w:space="0" w:color="auto"/>
                    <w:bottom w:val="none" w:sz="0" w:space="0" w:color="auto"/>
                    <w:right w:val="none" w:sz="0" w:space="0" w:color="auto"/>
                  </w:divBdr>
                  <w:divsChild>
                    <w:div w:id="252125416">
                      <w:marLeft w:val="0"/>
                      <w:marRight w:val="0"/>
                      <w:marTop w:val="0"/>
                      <w:marBottom w:val="0"/>
                      <w:divBdr>
                        <w:top w:val="none" w:sz="0" w:space="0" w:color="auto"/>
                        <w:left w:val="none" w:sz="0" w:space="0" w:color="auto"/>
                        <w:bottom w:val="none" w:sz="0" w:space="0" w:color="auto"/>
                        <w:right w:val="none" w:sz="0" w:space="0" w:color="auto"/>
                      </w:divBdr>
                    </w:div>
                    <w:div w:id="523783922">
                      <w:marLeft w:val="0"/>
                      <w:marRight w:val="0"/>
                      <w:marTop w:val="0"/>
                      <w:marBottom w:val="0"/>
                      <w:divBdr>
                        <w:top w:val="none" w:sz="0" w:space="0" w:color="auto"/>
                        <w:left w:val="none" w:sz="0" w:space="0" w:color="auto"/>
                        <w:bottom w:val="none" w:sz="0" w:space="0" w:color="auto"/>
                        <w:right w:val="none" w:sz="0" w:space="0" w:color="auto"/>
                      </w:divBdr>
                    </w:div>
                    <w:div w:id="2024938559">
                      <w:marLeft w:val="0"/>
                      <w:marRight w:val="0"/>
                      <w:marTop w:val="0"/>
                      <w:marBottom w:val="0"/>
                      <w:divBdr>
                        <w:top w:val="none" w:sz="0" w:space="0" w:color="auto"/>
                        <w:left w:val="none" w:sz="0" w:space="0" w:color="auto"/>
                        <w:bottom w:val="none" w:sz="0" w:space="0" w:color="auto"/>
                        <w:right w:val="none" w:sz="0" w:space="0" w:color="auto"/>
                      </w:divBdr>
                    </w:div>
                  </w:divsChild>
                </w:div>
                <w:div w:id="1122766613">
                  <w:marLeft w:val="0"/>
                  <w:marRight w:val="0"/>
                  <w:marTop w:val="0"/>
                  <w:marBottom w:val="0"/>
                  <w:divBdr>
                    <w:top w:val="none" w:sz="0" w:space="0" w:color="auto"/>
                    <w:left w:val="none" w:sz="0" w:space="0" w:color="auto"/>
                    <w:bottom w:val="none" w:sz="0" w:space="0" w:color="auto"/>
                    <w:right w:val="none" w:sz="0" w:space="0" w:color="auto"/>
                  </w:divBdr>
                  <w:divsChild>
                    <w:div w:id="109980079">
                      <w:marLeft w:val="0"/>
                      <w:marRight w:val="0"/>
                      <w:marTop w:val="0"/>
                      <w:marBottom w:val="0"/>
                      <w:divBdr>
                        <w:top w:val="none" w:sz="0" w:space="0" w:color="auto"/>
                        <w:left w:val="none" w:sz="0" w:space="0" w:color="auto"/>
                        <w:bottom w:val="none" w:sz="0" w:space="0" w:color="auto"/>
                        <w:right w:val="none" w:sz="0" w:space="0" w:color="auto"/>
                      </w:divBdr>
                    </w:div>
                    <w:div w:id="1611666170">
                      <w:marLeft w:val="0"/>
                      <w:marRight w:val="0"/>
                      <w:marTop w:val="0"/>
                      <w:marBottom w:val="0"/>
                      <w:divBdr>
                        <w:top w:val="none" w:sz="0" w:space="0" w:color="auto"/>
                        <w:left w:val="none" w:sz="0" w:space="0" w:color="auto"/>
                        <w:bottom w:val="none" w:sz="0" w:space="0" w:color="auto"/>
                        <w:right w:val="none" w:sz="0" w:space="0" w:color="auto"/>
                      </w:divBdr>
                    </w:div>
                  </w:divsChild>
                </w:div>
                <w:div w:id="1645158621">
                  <w:marLeft w:val="0"/>
                  <w:marRight w:val="0"/>
                  <w:marTop w:val="0"/>
                  <w:marBottom w:val="0"/>
                  <w:divBdr>
                    <w:top w:val="none" w:sz="0" w:space="0" w:color="auto"/>
                    <w:left w:val="none" w:sz="0" w:space="0" w:color="auto"/>
                    <w:bottom w:val="none" w:sz="0" w:space="0" w:color="auto"/>
                    <w:right w:val="none" w:sz="0" w:space="0" w:color="auto"/>
                  </w:divBdr>
                  <w:divsChild>
                    <w:div w:id="1465540437">
                      <w:marLeft w:val="0"/>
                      <w:marRight w:val="0"/>
                      <w:marTop w:val="0"/>
                      <w:marBottom w:val="0"/>
                      <w:divBdr>
                        <w:top w:val="none" w:sz="0" w:space="0" w:color="auto"/>
                        <w:left w:val="none" w:sz="0" w:space="0" w:color="auto"/>
                        <w:bottom w:val="none" w:sz="0" w:space="0" w:color="auto"/>
                        <w:right w:val="none" w:sz="0" w:space="0" w:color="auto"/>
                      </w:divBdr>
                    </w:div>
                  </w:divsChild>
                </w:div>
                <w:div w:id="2100832716">
                  <w:marLeft w:val="0"/>
                  <w:marRight w:val="0"/>
                  <w:marTop w:val="0"/>
                  <w:marBottom w:val="0"/>
                  <w:divBdr>
                    <w:top w:val="none" w:sz="0" w:space="0" w:color="auto"/>
                    <w:left w:val="none" w:sz="0" w:space="0" w:color="auto"/>
                    <w:bottom w:val="none" w:sz="0" w:space="0" w:color="auto"/>
                    <w:right w:val="none" w:sz="0" w:space="0" w:color="auto"/>
                  </w:divBdr>
                  <w:divsChild>
                    <w:div w:id="16077875">
                      <w:marLeft w:val="0"/>
                      <w:marRight w:val="0"/>
                      <w:marTop w:val="0"/>
                      <w:marBottom w:val="0"/>
                      <w:divBdr>
                        <w:top w:val="none" w:sz="0" w:space="0" w:color="auto"/>
                        <w:left w:val="none" w:sz="0" w:space="0" w:color="auto"/>
                        <w:bottom w:val="none" w:sz="0" w:space="0" w:color="auto"/>
                        <w:right w:val="none" w:sz="0" w:space="0" w:color="auto"/>
                      </w:divBdr>
                    </w:div>
                    <w:div w:id="970595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169217">
          <w:marLeft w:val="0"/>
          <w:marRight w:val="0"/>
          <w:marTop w:val="0"/>
          <w:marBottom w:val="0"/>
          <w:divBdr>
            <w:top w:val="none" w:sz="0" w:space="0" w:color="auto"/>
            <w:left w:val="none" w:sz="0" w:space="0" w:color="auto"/>
            <w:bottom w:val="none" w:sz="0" w:space="0" w:color="auto"/>
            <w:right w:val="none" w:sz="0" w:space="0" w:color="auto"/>
          </w:divBdr>
        </w:div>
        <w:div w:id="1907719527">
          <w:marLeft w:val="0"/>
          <w:marRight w:val="0"/>
          <w:marTop w:val="0"/>
          <w:marBottom w:val="0"/>
          <w:divBdr>
            <w:top w:val="none" w:sz="0" w:space="0" w:color="auto"/>
            <w:left w:val="none" w:sz="0" w:space="0" w:color="auto"/>
            <w:bottom w:val="none" w:sz="0" w:space="0" w:color="auto"/>
            <w:right w:val="none" w:sz="0" w:space="0" w:color="auto"/>
          </w:divBdr>
        </w:div>
        <w:div w:id="2052803774">
          <w:marLeft w:val="0"/>
          <w:marRight w:val="0"/>
          <w:marTop w:val="0"/>
          <w:marBottom w:val="0"/>
          <w:divBdr>
            <w:top w:val="none" w:sz="0" w:space="0" w:color="auto"/>
            <w:left w:val="none" w:sz="0" w:space="0" w:color="auto"/>
            <w:bottom w:val="none" w:sz="0" w:space="0" w:color="auto"/>
            <w:right w:val="none" w:sz="0" w:space="0" w:color="auto"/>
          </w:divBdr>
        </w:div>
        <w:div w:id="2062442688">
          <w:marLeft w:val="0"/>
          <w:marRight w:val="0"/>
          <w:marTop w:val="0"/>
          <w:marBottom w:val="0"/>
          <w:divBdr>
            <w:top w:val="none" w:sz="0" w:space="0" w:color="auto"/>
            <w:left w:val="none" w:sz="0" w:space="0" w:color="auto"/>
            <w:bottom w:val="none" w:sz="0" w:space="0" w:color="auto"/>
            <w:right w:val="none" w:sz="0" w:space="0" w:color="auto"/>
          </w:divBdr>
        </w:div>
      </w:divsChild>
    </w:div>
    <w:div w:id="454912993">
      <w:bodyDiv w:val="1"/>
      <w:marLeft w:val="0"/>
      <w:marRight w:val="0"/>
      <w:marTop w:val="0"/>
      <w:marBottom w:val="0"/>
      <w:divBdr>
        <w:top w:val="none" w:sz="0" w:space="0" w:color="auto"/>
        <w:left w:val="none" w:sz="0" w:space="0" w:color="auto"/>
        <w:bottom w:val="none" w:sz="0" w:space="0" w:color="auto"/>
        <w:right w:val="none" w:sz="0" w:space="0" w:color="auto"/>
      </w:divBdr>
    </w:div>
    <w:div w:id="458887756">
      <w:bodyDiv w:val="1"/>
      <w:marLeft w:val="0"/>
      <w:marRight w:val="0"/>
      <w:marTop w:val="0"/>
      <w:marBottom w:val="0"/>
      <w:divBdr>
        <w:top w:val="none" w:sz="0" w:space="0" w:color="auto"/>
        <w:left w:val="none" w:sz="0" w:space="0" w:color="auto"/>
        <w:bottom w:val="none" w:sz="0" w:space="0" w:color="auto"/>
        <w:right w:val="none" w:sz="0" w:space="0" w:color="auto"/>
      </w:divBdr>
    </w:div>
    <w:div w:id="464278683">
      <w:bodyDiv w:val="1"/>
      <w:marLeft w:val="0"/>
      <w:marRight w:val="0"/>
      <w:marTop w:val="0"/>
      <w:marBottom w:val="0"/>
      <w:divBdr>
        <w:top w:val="none" w:sz="0" w:space="0" w:color="auto"/>
        <w:left w:val="none" w:sz="0" w:space="0" w:color="auto"/>
        <w:bottom w:val="none" w:sz="0" w:space="0" w:color="auto"/>
        <w:right w:val="none" w:sz="0" w:space="0" w:color="auto"/>
      </w:divBdr>
    </w:div>
    <w:div w:id="471557950">
      <w:bodyDiv w:val="1"/>
      <w:marLeft w:val="0"/>
      <w:marRight w:val="0"/>
      <w:marTop w:val="0"/>
      <w:marBottom w:val="0"/>
      <w:divBdr>
        <w:top w:val="none" w:sz="0" w:space="0" w:color="auto"/>
        <w:left w:val="none" w:sz="0" w:space="0" w:color="auto"/>
        <w:bottom w:val="none" w:sz="0" w:space="0" w:color="auto"/>
        <w:right w:val="none" w:sz="0" w:space="0" w:color="auto"/>
      </w:divBdr>
    </w:div>
    <w:div w:id="480999519">
      <w:bodyDiv w:val="1"/>
      <w:marLeft w:val="0"/>
      <w:marRight w:val="0"/>
      <w:marTop w:val="0"/>
      <w:marBottom w:val="0"/>
      <w:divBdr>
        <w:top w:val="none" w:sz="0" w:space="0" w:color="auto"/>
        <w:left w:val="none" w:sz="0" w:space="0" w:color="auto"/>
        <w:bottom w:val="none" w:sz="0" w:space="0" w:color="auto"/>
        <w:right w:val="none" w:sz="0" w:space="0" w:color="auto"/>
      </w:divBdr>
    </w:div>
    <w:div w:id="482547640">
      <w:bodyDiv w:val="1"/>
      <w:marLeft w:val="0"/>
      <w:marRight w:val="0"/>
      <w:marTop w:val="0"/>
      <w:marBottom w:val="0"/>
      <w:divBdr>
        <w:top w:val="none" w:sz="0" w:space="0" w:color="auto"/>
        <w:left w:val="none" w:sz="0" w:space="0" w:color="auto"/>
        <w:bottom w:val="none" w:sz="0" w:space="0" w:color="auto"/>
        <w:right w:val="none" w:sz="0" w:space="0" w:color="auto"/>
      </w:divBdr>
    </w:div>
    <w:div w:id="484207417">
      <w:bodyDiv w:val="1"/>
      <w:marLeft w:val="0"/>
      <w:marRight w:val="0"/>
      <w:marTop w:val="0"/>
      <w:marBottom w:val="0"/>
      <w:divBdr>
        <w:top w:val="none" w:sz="0" w:space="0" w:color="auto"/>
        <w:left w:val="none" w:sz="0" w:space="0" w:color="auto"/>
        <w:bottom w:val="none" w:sz="0" w:space="0" w:color="auto"/>
        <w:right w:val="none" w:sz="0" w:space="0" w:color="auto"/>
      </w:divBdr>
    </w:div>
    <w:div w:id="485166451">
      <w:bodyDiv w:val="1"/>
      <w:marLeft w:val="0"/>
      <w:marRight w:val="0"/>
      <w:marTop w:val="0"/>
      <w:marBottom w:val="0"/>
      <w:divBdr>
        <w:top w:val="none" w:sz="0" w:space="0" w:color="auto"/>
        <w:left w:val="none" w:sz="0" w:space="0" w:color="auto"/>
        <w:bottom w:val="none" w:sz="0" w:space="0" w:color="auto"/>
        <w:right w:val="none" w:sz="0" w:space="0" w:color="auto"/>
      </w:divBdr>
    </w:div>
    <w:div w:id="487795217">
      <w:bodyDiv w:val="1"/>
      <w:marLeft w:val="0"/>
      <w:marRight w:val="0"/>
      <w:marTop w:val="0"/>
      <w:marBottom w:val="0"/>
      <w:divBdr>
        <w:top w:val="none" w:sz="0" w:space="0" w:color="auto"/>
        <w:left w:val="none" w:sz="0" w:space="0" w:color="auto"/>
        <w:bottom w:val="none" w:sz="0" w:space="0" w:color="auto"/>
        <w:right w:val="none" w:sz="0" w:space="0" w:color="auto"/>
      </w:divBdr>
    </w:div>
    <w:div w:id="487863391">
      <w:bodyDiv w:val="1"/>
      <w:marLeft w:val="0"/>
      <w:marRight w:val="0"/>
      <w:marTop w:val="0"/>
      <w:marBottom w:val="0"/>
      <w:divBdr>
        <w:top w:val="none" w:sz="0" w:space="0" w:color="auto"/>
        <w:left w:val="none" w:sz="0" w:space="0" w:color="auto"/>
        <w:bottom w:val="none" w:sz="0" w:space="0" w:color="auto"/>
        <w:right w:val="none" w:sz="0" w:space="0" w:color="auto"/>
      </w:divBdr>
    </w:div>
    <w:div w:id="497620467">
      <w:bodyDiv w:val="1"/>
      <w:marLeft w:val="0"/>
      <w:marRight w:val="0"/>
      <w:marTop w:val="0"/>
      <w:marBottom w:val="0"/>
      <w:divBdr>
        <w:top w:val="none" w:sz="0" w:space="0" w:color="auto"/>
        <w:left w:val="none" w:sz="0" w:space="0" w:color="auto"/>
        <w:bottom w:val="none" w:sz="0" w:space="0" w:color="auto"/>
        <w:right w:val="none" w:sz="0" w:space="0" w:color="auto"/>
      </w:divBdr>
    </w:div>
    <w:div w:id="502167012">
      <w:bodyDiv w:val="1"/>
      <w:marLeft w:val="0"/>
      <w:marRight w:val="0"/>
      <w:marTop w:val="0"/>
      <w:marBottom w:val="0"/>
      <w:divBdr>
        <w:top w:val="none" w:sz="0" w:space="0" w:color="auto"/>
        <w:left w:val="none" w:sz="0" w:space="0" w:color="auto"/>
        <w:bottom w:val="none" w:sz="0" w:space="0" w:color="auto"/>
        <w:right w:val="none" w:sz="0" w:space="0" w:color="auto"/>
      </w:divBdr>
    </w:div>
    <w:div w:id="505678109">
      <w:bodyDiv w:val="1"/>
      <w:marLeft w:val="0"/>
      <w:marRight w:val="0"/>
      <w:marTop w:val="0"/>
      <w:marBottom w:val="0"/>
      <w:divBdr>
        <w:top w:val="none" w:sz="0" w:space="0" w:color="auto"/>
        <w:left w:val="none" w:sz="0" w:space="0" w:color="auto"/>
        <w:bottom w:val="none" w:sz="0" w:space="0" w:color="auto"/>
        <w:right w:val="none" w:sz="0" w:space="0" w:color="auto"/>
      </w:divBdr>
    </w:div>
    <w:div w:id="509831114">
      <w:bodyDiv w:val="1"/>
      <w:marLeft w:val="0"/>
      <w:marRight w:val="0"/>
      <w:marTop w:val="0"/>
      <w:marBottom w:val="0"/>
      <w:divBdr>
        <w:top w:val="none" w:sz="0" w:space="0" w:color="auto"/>
        <w:left w:val="none" w:sz="0" w:space="0" w:color="auto"/>
        <w:bottom w:val="none" w:sz="0" w:space="0" w:color="auto"/>
        <w:right w:val="none" w:sz="0" w:space="0" w:color="auto"/>
      </w:divBdr>
    </w:div>
    <w:div w:id="510142625">
      <w:bodyDiv w:val="1"/>
      <w:marLeft w:val="0"/>
      <w:marRight w:val="0"/>
      <w:marTop w:val="0"/>
      <w:marBottom w:val="0"/>
      <w:divBdr>
        <w:top w:val="none" w:sz="0" w:space="0" w:color="auto"/>
        <w:left w:val="none" w:sz="0" w:space="0" w:color="auto"/>
        <w:bottom w:val="none" w:sz="0" w:space="0" w:color="auto"/>
        <w:right w:val="none" w:sz="0" w:space="0" w:color="auto"/>
      </w:divBdr>
    </w:div>
    <w:div w:id="518350759">
      <w:bodyDiv w:val="1"/>
      <w:marLeft w:val="0"/>
      <w:marRight w:val="0"/>
      <w:marTop w:val="0"/>
      <w:marBottom w:val="0"/>
      <w:divBdr>
        <w:top w:val="none" w:sz="0" w:space="0" w:color="auto"/>
        <w:left w:val="none" w:sz="0" w:space="0" w:color="auto"/>
        <w:bottom w:val="none" w:sz="0" w:space="0" w:color="auto"/>
        <w:right w:val="none" w:sz="0" w:space="0" w:color="auto"/>
      </w:divBdr>
    </w:div>
    <w:div w:id="520557789">
      <w:bodyDiv w:val="1"/>
      <w:marLeft w:val="0"/>
      <w:marRight w:val="0"/>
      <w:marTop w:val="0"/>
      <w:marBottom w:val="0"/>
      <w:divBdr>
        <w:top w:val="none" w:sz="0" w:space="0" w:color="auto"/>
        <w:left w:val="none" w:sz="0" w:space="0" w:color="auto"/>
        <w:bottom w:val="none" w:sz="0" w:space="0" w:color="auto"/>
        <w:right w:val="none" w:sz="0" w:space="0" w:color="auto"/>
      </w:divBdr>
    </w:div>
    <w:div w:id="523058762">
      <w:bodyDiv w:val="1"/>
      <w:marLeft w:val="0"/>
      <w:marRight w:val="0"/>
      <w:marTop w:val="0"/>
      <w:marBottom w:val="0"/>
      <w:divBdr>
        <w:top w:val="none" w:sz="0" w:space="0" w:color="auto"/>
        <w:left w:val="none" w:sz="0" w:space="0" w:color="auto"/>
        <w:bottom w:val="none" w:sz="0" w:space="0" w:color="auto"/>
        <w:right w:val="none" w:sz="0" w:space="0" w:color="auto"/>
      </w:divBdr>
    </w:div>
    <w:div w:id="524368600">
      <w:bodyDiv w:val="1"/>
      <w:marLeft w:val="0"/>
      <w:marRight w:val="0"/>
      <w:marTop w:val="0"/>
      <w:marBottom w:val="0"/>
      <w:divBdr>
        <w:top w:val="none" w:sz="0" w:space="0" w:color="auto"/>
        <w:left w:val="none" w:sz="0" w:space="0" w:color="auto"/>
        <w:bottom w:val="none" w:sz="0" w:space="0" w:color="auto"/>
        <w:right w:val="none" w:sz="0" w:space="0" w:color="auto"/>
      </w:divBdr>
    </w:div>
    <w:div w:id="528180445">
      <w:bodyDiv w:val="1"/>
      <w:marLeft w:val="0"/>
      <w:marRight w:val="0"/>
      <w:marTop w:val="0"/>
      <w:marBottom w:val="0"/>
      <w:divBdr>
        <w:top w:val="none" w:sz="0" w:space="0" w:color="auto"/>
        <w:left w:val="none" w:sz="0" w:space="0" w:color="auto"/>
        <w:bottom w:val="none" w:sz="0" w:space="0" w:color="auto"/>
        <w:right w:val="none" w:sz="0" w:space="0" w:color="auto"/>
      </w:divBdr>
    </w:div>
    <w:div w:id="530383867">
      <w:bodyDiv w:val="1"/>
      <w:marLeft w:val="0"/>
      <w:marRight w:val="0"/>
      <w:marTop w:val="0"/>
      <w:marBottom w:val="0"/>
      <w:divBdr>
        <w:top w:val="none" w:sz="0" w:space="0" w:color="auto"/>
        <w:left w:val="none" w:sz="0" w:space="0" w:color="auto"/>
        <w:bottom w:val="none" w:sz="0" w:space="0" w:color="auto"/>
        <w:right w:val="none" w:sz="0" w:space="0" w:color="auto"/>
      </w:divBdr>
    </w:div>
    <w:div w:id="530916296">
      <w:bodyDiv w:val="1"/>
      <w:marLeft w:val="0"/>
      <w:marRight w:val="0"/>
      <w:marTop w:val="0"/>
      <w:marBottom w:val="0"/>
      <w:divBdr>
        <w:top w:val="none" w:sz="0" w:space="0" w:color="auto"/>
        <w:left w:val="none" w:sz="0" w:space="0" w:color="auto"/>
        <w:bottom w:val="none" w:sz="0" w:space="0" w:color="auto"/>
        <w:right w:val="none" w:sz="0" w:space="0" w:color="auto"/>
      </w:divBdr>
    </w:div>
    <w:div w:id="535167651">
      <w:bodyDiv w:val="1"/>
      <w:marLeft w:val="0"/>
      <w:marRight w:val="0"/>
      <w:marTop w:val="0"/>
      <w:marBottom w:val="0"/>
      <w:divBdr>
        <w:top w:val="none" w:sz="0" w:space="0" w:color="auto"/>
        <w:left w:val="none" w:sz="0" w:space="0" w:color="auto"/>
        <w:bottom w:val="none" w:sz="0" w:space="0" w:color="auto"/>
        <w:right w:val="none" w:sz="0" w:space="0" w:color="auto"/>
      </w:divBdr>
    </w:div>
    <w:div w:id="536629051">
      <w:bodyDiv w:val="1"/>
      <w:marLeft w:val="0"/>
      <w:marRight w:val="0"/>
      <w:marTop w:val="0"/>
      <w:marBottom w:val="0"/>
      <w:divBdr>
        <w:top w:val="none" w:sz="0" w:space="0" w:color="auto"/>
        <w:left w:val="none" w:sz="0" w:space="0" w:color="auto"/>
        <w:bottom w:val="none" w:sz="0" w:space="0" w:color="auto"/>
        <w:right w:val="none" w:sz="0" w:space="0" w:color="auto"/>
      </w:divBdr>
    </w:div>
    <w:div w:id="544678100">
      <w:bodyDiv w:val="1"/>
      <w:marLeft w:val="0"/>
      <w:marRight w:val="0"/>
      <w:marTop w:val="0"/>
      <w:marBottom w:val="0"/>
      <w:divBdr>
        <w:top w:val="none" w:sz="0" w:space="0" w:color="auto"/>
        <w:left w:val="none" w:sz="0" w:space="0" w:color="auto"/>
        <w:bottom w:val="none" w:sz="0" w:space="0" w:color="auto"/>
        <w:right w:val="none" w:sz="0" w:space="0" w:color="auto"/>
      </w:divBdr>
    </w:div>
    <w:div w:id="547307000">
      <w:bodyDiv w:val="1"/>
      <w:marLeft w:val="0"/>
      <w:marRight w:val="0"/>
      <w:marTop w:val="0"/>
      <w:marBottom w:val="0"/>
      <w:divBdr>
        <w:top w:val="none" w:sz="0" w:space="0" w:color="auto"/>
        <w:left w:val="none" w:sz="0" w:space="0" w:color="auto"/>
        <w:bottom w:val="none" w:sz="0" w:space="0" w:color="auto"/>
        <w:right w:val="none" w:sz="0" w:space="0" w:color="auto"/>
      </w:divBdr>
    </w:div>
    <w:div w:id="550268578">
      <w:bodyDiv w:val="1"/>
      <w:marLeft w:val="0"/>
      <w:marRight w:val="0"/>
      <w:marTop w:val="0"/>
      <w:marBottom w:val="0"/>
      <w:divBdr>
        <w:top w:val="none" w:sz="0" w:space="0" w:color="auto"/>
        <w:left w:val="none" w:sz="0" w:space="0" w:color="auto"/>
        <w:bottom w:val="none" w:sz="0" w:space="0" w:color="auto"/>
        <w:right w:val="none" w:sz="0" w:space="0" w:color="auto"/>
      </w:divBdr>
    </w:div>
    <w:div w:id="557864922">
      <w:bodyDiv w:val="1"/>
      <w:marLeft w:val="0"/>
      <w:marRight w:val="0"/>
      <w:marTop w:val="0"/>
      <w:marBottom w:val="0"/>
      <w:divBdr>
        <w:top w:val="none" w:sz="0" w:space="0" w:color="auto"/>
        <w:left w:val="none" w:sz="0" w:space="0" w:color="auto"/>
        <w:bottom w:val="none" w:sz="0" w:space="0" w:color="auto"/>
        <w:right w:val="none" w:sz="0" w:space="0" w:color="auto"/>
      </w:divBdr>
    </w:div>
    <w:div w:id="562955748">
      <w:bodyDiv w:val="1"/>
      <w:marLeft w:val="0"/>
      <w:marRight w:val="0"/>
      <w:marTop w:val="0"/>
      <w:marBottom w:val="0"/>
      <w:divBdr>
        <w:top w:val="none" w:sz="0" w:space="0" w:color="auto"/>
        <w:left w:val="none" w:sz="0" w:space="0" w:color="auto"/>
        <w:bottom w:val="none" w:sz="0" w:space="0" w:color="auto"/>
        <w:right w:val="none" w:sz="0" w:space="0" w:color="auto"/>
      </w:divBdr>
    </w:div>
    <w:div w:id="564537276">
      <w:bodyDiv w:val="1"/>
      <w:marLeft w:val="0"/>
      <w:marRight w:val="0"/>
      <w:marTop w:val="0"/>
      <w:marBottom w:val="0"/>
      <w:divBdr>
        <w:top w:val="none" w:sz="0" w:space="0" w:color="auto"/>
        <w:left w:val="none" w:sz="0" w:space="0" w:color="auto"/>
        <w:bottom w:val="none" w:sz="0" w:space="0" w:color="auto"/>
        <w:right w:val="none" w:sz="0" w:space="0" w:color="auto"/>
      </w:divBdr>
    </w:div>
    <w:div w:id="571544390">
      <w:bodyDiv w:val="1"/>
      <w:marLeft w:val="0"/>
      <w:marRight w:val="0"/>
      <w:marTop w:val="0"/>
      <w:marBottom w:val="0"/>
      <w:divBdr>
        <w:top w:val="none" w:sz="0" w:space="0" w:color="auto"/>
        <w:left w:val="none" w:sz="0" w:space="0" w:color="auto"/>
        <w:bottom w:val="none" w:sz="0" w:space="0" w:color="auto"/>
        <w:right w:val="none" w:sz="0" w:space="0" w:color="auto"/>
      </w:divBdr>
    </w:div>
    <w:div w:id="583808764">
      <w:bodyDiv w:val="1"/>
      <w:marLeft w:val="0"/>
      <w:marRight w:val="0"/>
      <w:marTop w:val="0"/>
      <w:marBottom w:val="0"/>
      <w:divBdr>
        <w:top w:val="none" w:sz="0" w:space="0" w:color="auto"/>
        <w:left w:val="none" w:sz="0" w:space="0" w:color="auto"/>
        <w:bottom w:val="none" w:sz="0" w:space="0" w:color="auto"/>
        <w:right w:val="none" w:sz="0" w:space="0" w:color="auto"/>
      </w:divBdr>
    </w:div>
    <w:div w:id="584268307">
      <w:bodyDiv w:val="1"/>
      <w:marLeft w:val="0"/>
      <w:marRight w:val="0"/>
      <w:marTop w:val="0"/>
      <w:marBottom w:val="0"/>
      <w:divBdr>
        <w:top w:val="none" w:sz="0" w:space="0" w:color="auto"/>
        <w:left w:val="none" w:sz="0" w:space="0" w:color="auto"/>
        <w:bottom w:val="none" w:sz="0" w:space="0" w:color="auto"/>
        <w:right w:val="none" w:sz="0" w:space="0" w:color="auto"/>
      </w:divBdr>
    </w:div>
    <w:div w:id="587810613">
      <w:bodyDiv w:val="1"/>
      <w:marLeft w:val="0"/>
      <w:marRight w:val="0"/>
      <w:marTop w:val="0"/>
      <w:marBottom w:val="0"/>
      <w:divBdr>
        <w:top w:val="none" w:sz="0" w:space="0" w:color="auto"/>
        <w:left w:val="none" w:sz="0" w:space="0" w:color="auto"/>
        <w:bottom w:val="none" w:sz="0" w:space="0" w:color="auto"/>
        <w:right w:val="none" w:sz="0" w:space="0" w:color="auto"/>
      </w:divBdr>
    </w:div>
    <w:div w:id="591740550">
      <w:bodyDiv w:val="1"/>
      <w:marLeft w:val="0"/>
      <w:marRight w:val="0"/>
      <w:marTop w:val="0"/>
      <w:marBottom w:val="0"/>
      <w:divBdr>
        <w:top w:val="none" w:sz="0" w:space="0" w:color="auto"/>
        <w:left w:val="none" w:sz="0" w:space="0" w:color="auto"/>
        <w:bottom w:val="none" w:sz="0" w:space="0" w:color="auto"/>
        <w:right w:val="none" w:sz="0" w:space="0" w:color="auto"/>
      </w:divBdr>
    </w:div>
    <w:div w:id="594050831">
      <w:bodyDiv w:val="1"/>
      <w:marLeft w:val="0"/>
      <w:marRight w:val="0"/>
      <w:marTop w:val="0"/>
      <w:marBottom w:val="0"/>
      <w:divBdr>
        <w:top w:val="none" w:sz="0" w:space="0" w:color="auto"/>
        <w:left w:val="none" w:sz="0" w:space="0" w:color="auto"/>
        <w:bottom w:val="none" w:sz="0" w:space="0" w:color="auto"/>
        <w:right w:val="none" w:sz="0" w:space="0" w:color="auto"/>
      </w:divBdr>
    </w:div>
    <w:div w:id="597448036">
      <w:bodyDiv w:val="1"/>
      <w:marLeft w:val="0"/>
      <w:marRight w:val="0"/>
      <w:marTop w:val="0"/>
      <w:marBottom w:val="0"/>
      <w:divBdr>
        <w:top w:val="none" w:sz="0" w:space="0" w:color="auto"/>
        <w:left w:val="none" w:sz="0" w:space="0" w:color="auto"/>
        <w:bottom w:val="none" w:sz="0" w:space="0" w:color="auto"/>
        <w:right w:val="none" w:sz="0" w:space="0" w:color="auto"/>
      </w:divBdr>
    </w:div>
    <w:div w:id="602305413">
      <w:bodyDiv w:val="1"/>
      <w:marLeft w:val="0"/>
      <w:marRight w:val="0"/>
      <w:marTop w:val="0"/>
      <w:marBottom w:val="0"/>
      <w:divBdr>
        <w:top w:val="none" w:sz="0" w:space="0" w:color="auto"/>
        <w:left w:val="none" w:sz="0" w:space="0" w:color="auto"/>
        <w:bottom w:val="none" w:sz="0" w:space="0" w:color="auto"/>
        <w:right w:val="none" w:sz="0" w:space="0" w:color="auto"/>
      </w:divBdr>
    </w:div>
    <w:div w:id="605498627">
      <w:bodyDiv w:val="1"/>
      <w:marLeft w:val="0"/>
      <w:marRight w:val="0"/>
      <w:marTop w:val="0"/>
      <w:marBottom w:val="0"/>
      <w:divBdr>
        <w:top w:val="none" w:sz="0" w:space="0" w:color="auto"/>
        <w:left w:val="none" w:sz="0" w:space="0" w:color="auto"/>
        <w:bottom w:val="none" w:sz="0" w:space="0" w:color="auto"/>
        <w:right w:val="none" w:sz="0" w:space="0" w:color="auto"/>
      </w:divBdr>
    </w:div>
    <w:div w:id="608507536">
      <w:bodyDiv w:val="1"/>
      <w:marLeft w:val="0"/>
      <w:marRight w:val="0"/>
      <w:marTop w:val="0"/>
      <w:marBottom w:val="0"/>
      <w:divBdr>
        <w:top w:val="none" w:sz="0" w:space="0" w:color="auto"/>
        <w:left w:val="none" w:sz="0" w:space="0" w:color="auto"/>
        <w:bottom w:val="none" w:sz="0" w:space="0" w:color="auto"/>
        <w:right w:val="none" w:sz="0" w:space="0" w:color="auto"/>
      </w:divBdr>
    </w:div>
    <w:div w:id="612399987">
      <w:bodyDiv w:val="1"/>
      <w:marLeft w:val="0"/>
      <w:marRight w:val="0"/>
      <w:marTop w:val="0"/>
      <w:marBottom w:val="0"/>
      <w:divBdr>
        <w:top w:val="none" w:sz="0" w:space="0" w:color="auto"/>
        <w:left w:val="none" w:sz="0" w:space="0" w:color="auto"/>
        <w:bottom w:val="none" w:sz="0" w:space="0" w:color="auto"/>
        <w:right w:val="none" w:sz="0" w:space="0" w:color="auto"/>
      </w:divBdr>
    </w:div>
    <w:div w:id="627319178">
      <w:bodyDiv w:val="1"/>
      <w:marLeft w:val="0"/>
      <w:marRight w:val="0"/>
      <w:marTop w:val="0"/>
      <w:marBottom w:val="0"/>
      <w:divBdr>
        <w:top w:val="none" w:sz="0" w:space="0" w:color="auto"/>
        <w:left w:val="none" w:sz="0" w:space="0" w:color="auto"/>
        <w:bottom w:val="none" w:sz="0" w:space="0" w:color="auto"/>
        <w:right w:val="none" w:sz="0" w:space="0" w:color="auto"/>
      </w:divBdr>
      <w:divsChild>
        <w:div w:id="2100380">
          <w:marLeft w:val="0"/>
          <w:marRight w:val="0"/>
          <w:marTop w:val="0"/>
          <w:marBottom w:val="0"/>
          <w:divBdr>
            <w:top w:val="none" w:sz="0" w:space="0" w:color="auto"/>
            <w:left w:val="none" w:sz="0" w:space="0" w:color="auto"/>
            <w:bottom w:val="none" w:sz="0" w:space="0" w:color="auto"/>
            <w:right w:val="none" w:sz="0" w:space="0" w:color="auto"/>
          </w:divBdr>
        </w:div>
        <w:div w:id="22445639">
          <w:marLeft w:val="0"/>
          <w:marRight w:val="0"/>
          <w:marTop w:val="0"/>
          <w:marBottom w:val="0"/>
          <w:divBdr>
            <w:top w:val="none" w:sz="0" w:space="0" w:color="auto"/>
            <w:left w:val="none" w:sz="0" w:space="0" w:color="auto"/>
            <w:bottom w:val="none" w:sz="0" w:space="0" w:color="auto"/>
            <w:right w:val="none" w:sz="0" w:space="0" w:color="auto"/>
          </w:divBdr>
        </w:div>
        <w:div w:id="288366425">
          <w:marLeft w:val="0"/>
          <w:marRight w:val="0"/>
          <w:marTop w:val="0"/>
          <w:marBottom w:val="0"/>
          <w:divBdr>
            <w:top w:val="none" w:sz="0" w:space="0" w:color="auto"/>
            <w:left w:val="none" w:sz="0" w:space="0" w:color="auto"/>
            <w:bottom w:val="none" w:sz="0" w:space="0" w:color="auto"/>
            <w:right w:val="none" w:sz="0" w:space="0" w:color="auto"/>
          </w:divBdr>
          <w:divsChild>
            <w:div w:id="46034713">
              <w:marLeft w:val="0"/>
              <w:marRight w:val="0"/>
              <w:marTop w:val="0"/>
              <w:marBottom w:val="0"/>
              <w:divBdr>
                <w:top w:val="none" w:sz="0" w:space="0" w:color="auto"/>
                <w:left w:val="none" w:sz="0" w:space="0" w:color="auto"/>
                <w:bottom w:val="none" w:sz="0" w:space="0" w:color="auto"/>
                <w:right w:val="none" w:sz="0" w:space="0" w:color="auto"/>
              </w:divBdr>
            </w:div>
            <w:div w:id="172108547">
              <w:marLeft w:val="0"/>
              <w:marRight w:val="0"/>
              <w:marTop w:val="0"/>
              <w:marBottom w:val="0"/>
              <w:divBdr>
                <w:top w:val="none" w:sz="0" w:space="0" w:color="auto"/>
                <w:left w:val="none" w:sz="0" w:space="0" w:color="auto"/>
                <w:bottom w:val="none" w:sz="0" w:space="0" w:color="auto"/>
                <w:right w:val="none" w:sz="0" w:space="0" w:color="auto"/>
              </w:divBdr>
            </w:div>
            <w:div w:id="184175504">
              <w:marLeft w:val="0"/>
              <w:marRight w:val="0"/>
              <w:marTop w:val="0"/>
              <w:marBottom w:val="0"/>
              <w:divBdr>
                <w:top w:val="none" w:sz="0" w:space="0" w:color="auto"/>
                <w:left w:val="none" w:sz="0" w:space="0" w:color="auto"/>
                <w:bottom w:val="none" w:sz="0" w:space="0" w:color="auto"/>
                <w:right w:val="none" w:sz="0" w:space="0" w:color="auto"/>
              </w:divBdr>
            </w:div>
            <w:div w:id="207884456">
              <w:marLeft w:val="0"/>
              <w:marRight w:val="0"/>
              <w:marTop w:val="0"/>
              <w:marBottom w:val="0"/>
              <w:divBdr>
                <w:top w:val="none" w:sz="0" w:space="0" w:color="auto"/>
                <w:left w:val="none" w:sz="0" w:space="0" w:color="auto"/>
                <w:bottom w:val="none" w:sz="0" w:space="0" w:color="auto"/>
                <w:right w:val="none" w:sz="0" w:space="0" w:color="auto"/>
              </w:divBdr>
            </w:div>
            <w:div w:id="273683231">
              <w:marLeft w:val="0"/>
              <w:marRight w:val="0"/>
              <w:marTop w:val="0"/>
              <w:marBottom w:val="0"/>
              <w:divBdr>
                <w:top w:val="none" w:sz="0" w:space="0" w:color="auto"/>
                <w:left w:val="none" w:sz="0" w:space="0" w:color="auto"/>
                <w:bottom w:val="none" w:sz="0" w:space="0" w:color="auto"/>
                <w:right w:val="none" w:sz="0" w:space="0" w:color="auto"/>
              </w:divBdr>
            </w:div>
            <w:div w:id="478688690">
              <w:marLeft w:val="0"/>
              <w:marRight w:val="0"/>
              <w:marTop w:val="0"/>
              <w:marBottom w:val="0"/>
              <w:divBdr>
                <w:top w:val="none" w:sz="0" w:space="0" w:color="auto"/>
                <w:left w:val="none" w:sz="0" w:space="0" w:color="auto"/>
                <w:bottom w:val="none" w:sz="0" w:space="0" w:color="auto"/>
                <w:right w:val="none" w:sz="0" w:space="0" w:color="auto"/>
              </w:divBdr>
            </w:div>
            <w:div w:id="612977440">
              <w:marLeft w:val="0"/>
              <w:marRight w:val="0"/>
              <w:marTop w:val="0"/>
              <w:marBottom w:val="0"/>
              <w:divBdr>
                <w:top w:val="none" w:sz="0" w:space="0" w:color="auto"/>
                <w:left w:val="none" w:sz="0" w:space="0" w:color="auto"/>
                <w:bottom w:val="none" w:sz="0" w:space="0" w:color="auto"/>
                <w:right w:val="none" w:sz="0" w:space="0" w:color="auto"/>
              </w:divBdr>
            </w:div>
            <w:div w:id="738290005">
              <w:marLeft w:val="0"/>
              <w:marRight w:val="0"/>
              <w:marTop w:val="0"/>
              <w:marBottom w:val="0"/>
              <w:divBdr>
                <w:top w:val="none" w:sz="0" w:space="0" w:color="auto"/>
                <w:left w:val="none" w:sz="0" w:space="0" w:color="auto"/>
                <w:bottom w:val="none" w:sz="0" w:space="0" w:color="auto"/>
                <w:right w:val="none" w:sz="0" w:space="0" w:color="auto"/>
              </w:divBdr>
            </w:div>
            <w:div w:id="792283426">
              <w:marLeft w:val="0"/>
              <w:marRight w:val="0"/>
              <w:marTop w:val="0"/>
              <w:marBottom w:val="0"/>
              <w:divBdr>
                <w:top w:val="none" w:sz="0" w:space="0" w:color="auto"/>
                <w:left w:val="none" w:sz="0" w:space="0" w:color="auto"/>
                <w:bottom w:val="none" w:sz="0" w:space="0" w:color="auto"/>
                <w:right w:val="none" w:sz="0" w:space="0" w:color="auto"/>
              </w:divBdr>
            </w:div>
            <w:div w:id="802886347">
              <w:marLeft w:val="0"/>
              <w:marRight w:val="0"/>
              <w:marTop w:val="0"/>
              <w:marBottom w:val="0"/>
              <w:divBdr>
                <w:top w:val="none" w:sz="0" w:space="0" w:color="auto"/>
                <w:left w:val="none" w:sz="0" w:space="0" w:color="auto"/>
                <w:bottom w:val="none" w:sz="0" w:space="0" w:color="auto"/>
                <w:right w:val="none" w:sz="0" w:space="0" w:color="auto"/>
              </w:divBdr>
            </w:div>
            <w:div w:id="958337698">
              <w:marLeft w:val="0"/>
              <w:marRight w:val="0"/>
              <w:marTop w:val="0"/>
              <w:marBottom w:val="0"/>
              <w:divBdr>
                <w:top w:val="none" w:sz="0" w:space="0" w:color="auto"/>
                <w:left w:val="none" w:sz="0" w:space="0" w:color="auto"/>
                <w:bottom w:val="none" w:sz="0" w:space="0" w:color="auto"/>
                <w:right w:val="none" w:sz="0" w:space="0" w:color="auto"/>
              </w:divBdr>
            </w:div>
            <w:div w:id="1096247140">
              <w:marLeft w:val="0"/>
              <w:marRight w:val="0"/>
              <w:marTop w:val="0"/>
              <w:marBottom w:val="0"/>
              <w:divBdr>
                <w:top w:val="none" w:sz="0" w:space="0" w:color="auto"/>
                <w:left w:val="none" w:sz="0" w:space="0" w:color="auto"/>
                <w:bottom w:val="none" w:sz="0" w:space="0" w:color="auto"/>
                <w:right w:val="none" w:sz="0" w:space="0" w:color="auto"/>
              </w:divBdr>
            </w:div>
            <w:div w:id="1301616315">
              <w:marLeft w:val="0"/>
              <w:marRight w:val="0"/>
              <w:marTop w:val="0"/>
              <w:marBottom w:val="0"/>
              <w:divBdr>
                <w:top w:val="none" w:sz="0" w:space="0" w:color="auto"/>
                <w:left w:val="none" w:sz="0" w:space="0" w:color="auto"/>
                <w:bottom w:val="none" w:sz="0" w:space="0" w:color="auto"/>
                <w:right w:val="none" w:sz="0" w:space="0" w:color="auto"/>
              </w:divBdr>
            </w:div>
            <w:div w:id="1594049988">
              <w:marLeft w:val="0"/>
              <w:marRight w:val="0"/>
              <w:marTop w:val="0"/>
              <w:marBottom w:val="0"/>
              <w:divBdr>
                <w:top w:val="none" w:sz="0" w:space="0" w:color="auto"/>
                <w:left w:val="none" w:sz="0" w:space="0" w:color="auto"/>
                <w:bottom w:val="none" w:sz="0" w:space="0" w:color="auto"/>
                <w:right w:val="none" w:sz="0" w:space="0" w:color="auto"/>
              </w:divBdr>
            </w:div>
            <w:div w:id="1772890108">
              <w:marLeft w:val="0"/>
              <w:marRight w:val="0"/>
              <w:marTop w:val="0"/>
              <w:marBottom w:val="0"/>
              <w:divBdr>
                <w:top w:val="none" w:sz="0" w:space="0" w:color="auto"/>
                <w:left w:val="none" w:sz="0" w:space="0" w:color="auto"/>
                <w:bottom w:val="none" w:sz="0" w:space="0" w:color="auto"/>
                <w:right w:val="none" w:sz="0" w:space="0" w:color="auto"/>
              </w:divBdr>
            </w:div>
            <w:div w:id="1876042760">
              <w:marLeft w:val="0"/>
              <w:marRight w:val="0"/>
              <w:marTop w:val="0"/>
              <w:marBottom w:val="0"/>
              <w:divBdr>
                <w:top w:val="none" w:sz="0" w:space="0" w:color="auto"/>
                <w:left w:val="none" w:sz="0" w:space="0" w:color="auto"/>
                <w:bottom w:val="none" w:sz="0" w:space="0" w:color="auto"/>
                <w:right w:val="none" w:sz="0" w:space="0" w:color="auto"/>
              </w:divBdr>
            </w:div>
            <w:div w:id="1932155813">
              <w:marLeft w:val="0"/>
              <w:marRight w:val="0"/>
              <w:marTop w:val="0"/>
              <w:marBottom w:val="0"/>
              <w:divBdr>
                <w:top w:val="none" w:sz="0" w:space="0" w:color="auto"/>
                <w:left w:val="none" w:sz="0" w:space="0" w:color="auto"/>
                <w:bottom w:val="none" w:sz="0" w:space="0" w:color="auto"/>
                <w:right w:val="none" w:sz="0" w:space="0" w:color="auto"/>
              </w:divBdr>
            </w:div>
            <w:div w:id="1939866158">
              <w:marLeft w:val="0"/>
              <w:marRight w:val="0"/>
              <w:marTop w:val="0"/>
              <w:marBottom w:val="0"/>
              <w:divBdr>
                <w:top w:val="none" w:sz="0" w:space="0" w:color="auto"/>
                <w:left w:val="none" w:sz="0" w:space="0" w:color="auto"/>
                <w:bottom w:val="none" w:sz="0" w:space="0" w:color="auto"/>
                <w:right w:val="none" w:sz="0" w:space="0" w:color="auto"/>
              </w:divBdr>
            </w:div>
            <w:div w:id="1967197211">
              <w:marLeft w:val="0"/>
              <w:marRight w:val="0"/>
              <w:marTop w:val="0"/>
              <w:marBottom w:val="0"/>
              <w:divBdr>
                <w:top w:val="none" w:sz="0" w:space="0" w:color="auto"/>
                <w:left w:val="none" w:sz="0" w:space="0" w:color="auto"/>
                <w:bottom w:val="none" w:sz="0" w:space="0" w:color="auto"/>
                <w:right w:val="none" w:sz="0" w:space="0" w:color="auto"/>
              </w:divBdr>
            </w:div>
            <w:div w:id="2114275723">
              <w:marLeft w:val="0"/>
              <w:marRight w:val="0"/>
              <w:marTop w:val="0"/>
              <w:marBottom w:val="0"/>
              <w:divBdr>
                <w:top w:val="none" w:sz="0" w:space="0" w:color="auto"/>
                <w:left w:val="none" w:sz="0" w:space="0" w:color="auto"/>
                <w:bottom w:val="none" w:sz="0" w:space="0" w:color="auto"/>
                <w:right w:val="none" w:sz="0" w:space="0" w:color="auto"/>
              </w:divBdr>
            </w:div>
          </w:divsChild>
        </w:div>
        <w:div w:id="338050288">
          <w:marLeft w:val="0"/>
          <w:marRight w:val="0"/>
          <w:marTop w:val="0"/>
          <w:marBottom w:val="0"/>
          <w:divBdr>
            <w:top w:val="none" w:sz="0" w:space="0" w:color="auto"/>
            <w:left w:val="none" w:sz="0" w:space="0" w:color="auto"/>
            <w:bottom w:val="none" w:sz="0" w:space="0" w:color="auto"/>
            <w:right w:val="none" w:sz="0" w:space="0" w:color="auto"/>
          </w:divBdr>
        </w:div>
        <w:div w:id="362629970">
          <w:marLeft w:val="0"/>
          <w:marRight w:val="0"/>
          <w:marTop w:val="0"/>
          <w:marBottom w:val="0"/>
          <w:divBdr>
            <w:top w:val="none" w:sz="0" w:space="0" w:color="auto"/>
            <w:left w:val="none" w:sz="0" w:space="0" w:color="auto"/>
            <w:bottom w:val="none" w:sz="0" w:space="0" w:color="auto"/>
            <w:right w:val="none" w:sz="0" w:space="0" w:color="auto"/>
          </w:divBdr>
          <w:divsChild>
            <w:div w:id="19622844">
              <w:marLeft w:val="0"/>
              <w:marRight w:val="0"/>
              <w:marTop w:val="0"/>
              <w:marBottom w:val="0"/>
              <w:divBdr>
                <w:top w:val="none" w:sz="0" w:space="0" w:color="auto"/>
                <w:left w:val="none" w:sz="0" w:space="0" w:color="auto"/>
                <w:bottom w:val="none" w:sz="0" w:space="0" w:color="auto"/>
                <w:right w:val="none" w:sz="0" w:space="0" w:color="auto"/>
              </w:divBdr>
            </w:div>
            <w:div w:id="153031945">
              <w:marLeft w:val="0"/>
              <w:marRight w:val="0"/>
              <w:marTop w:val="0"/>
              <w:marBottom w:val="0"/>
              <w:divBdr>
                <w:top w:val="none" w:sz="0" w:space="0" w:color="auto"/>
                <w:left w:val="none" w:sz="0" w:space="0" w:color="auto"/>
                <w:bottom w:val="none" w:sz="0" w:space="0" w:color="auto"/>
                <w:right w:val="none" w:sz="0" w:space="0" w:color="auto"/>
              </w:divBdr>
            </w:div>
            <w:div w:id="394857239">
              <w:marLeft w:val="0"/>
              <w:marRight w:val="0"/>
              <w:marTop w:val="0"/>
              <w:marBottom w:val="0"/>
              <w:divBdr>
                <w:top w:val="none" w:sz="0" w:space="0" w:color="auto"/>
                <w:left w:val="none" w:sz="0" w:space="0" w:color="auto"/>
                <w:bottom w:val="none" w:sz="0" w:space="0" w:color="auto"/>
                <w:right w:val="none" w:sz="0" w:space="0" w:color="auto"/>
              </w:divBdr>
            </w:div>
            <w:div w:id="617640384">
              <w:marLeft w:val="0"/>
              <w:marRight w:val="0"/>
              <w:marTop w:val="0"/>
              <w:marBottom w:val="0"/>
              <w:divBdr>
                <w:top w:val="none" w:sz="0" w:space="0" w:color="auto"/>
                <w:left w:val="none" w:sz="0" w:space="0" w:color="auto"/>
                <w:bottom w:val="none" w:sz="0" w:space="0" w:color="auto"/>
                <w:right w:val="none" w:sz="0" w:space="0" w:color="auto"/>
              </w:divBdr>
            </w:div>
            <w:div w:id="643508184">
              <w:marLeft w:val="0"/>
              <w:marRight w:val="0"/>
              <w:marTop w:val="0"/>
              <w:marBottom w:val="0"/>
              <w:divBdr>
                <w:top w:val="none" w:sz="0" w:space="0" w:color="auto"/>
                <w:left w:val="none" w:sz="0" w:space="0" w:color="auto"/>
                <w:bottom w:val="none" w:sz="0" w:space="0" w:color="auto"/>
                <w:right w:val="none" w:sz="0" w:space="0" w:color="auto"/>
              </w:divBdr>
            </w:div>
            <w:div w:id="678892862">
              <w:marLeft w:val="0"/>
              <w:marRight w:val="0"/>
              <w:marTop w:val="0"/>
              <w:marBottom w:val="0"/>
              <w:divBdr>
                <w:top w:val="none" w:sz="0" w:space="0" w:color="auto"/>
                <w:left w:val="none" w:sz="0" w:space="0" w:color="auto"/>
                <w:bottom w:val="none" w:sz="0" w:space="0" w:color="auto"/>
                <w:right w:val="none" w:sz="0" w:space="0" w:color="auto"/>
              </w:divBdr>
            </w:div>
            <w:div w:id="860625608">
              <w:marLeft w:val="0"/>
              <w:marRight w:val="0"/>
              <w:marTop w:val="0"/>
              <w:marBottom w:val="0"/>
              <w:divBdr>
                <w:top w:val="none" w:sz="0" w:space="0" w:color="auto"/>
                <w:left w:val="none" w:sz="0" w:space="0" w:color="auto"/>
                <w:bottom w:val="none" w:sz="0" w:space="0" w:color="auto"/>
                <w:right w:val="none" w:sz="0" w:space="0" w:color="auto"/>
              </w:divBdr>
            </w:div>
            <w:div w:id="926421037">
              <w:marLeft w:val="0"/>
              <w:marRight w:val="0"/>
              <w:marTop w:val="0"/>
              <w:marBottom w:val="0"/>
              <w:divBdr>
                <w:top w:val="none" w:sz="0" w:space="0" w:color="auto"/>
                <w:left w:val="none" w:sz="0" w:space="0" w:color="auto"/>
                <w:bottom w:val="none" w:sz="0" w:space="0" w:color="auto"/>
                <w:right w:val="none" w:sz="0" w:space="0" w:color="auto"/>
              </w:divBdr>
            </w:div>
            <w:div w:id="966471286">
              <w:marLeft w:val="0"/>
              <w:marRight w:val="0"/>
              <w:marTop w:val="0"/>
              <w:marBottom w:val="0"/>
              <w:divBdr>
                <w:top w:val="none" w:sz="0" w:space="0" w:color="auto"/>
                <w:left w:val="none" w:sz="0" w:space="0" w:color="auto"/>
                <w:bottom w:val="none" w:sz="0" w:space="0" w:color="auto"/>
                <w:right w:val="none" w:sz="0" w:space="0" w:color="auto"/>
              </w:divBdr>
            </w:div>
            <w:div w:id="1307004469">
              <w:marLeft w:val="0"/>
              <w:marRight w:val="0"/>
              <w:marTop w:val="0"/>
              <w:marBottom w:val="0"/>
              <w:divBdr>
                <w:top w:val="none" w:sz="0" w:space="0" w:color="auto"/>
                <w:left w:val="none" w:sz="0" w:space="0" w:color="auto"/>
                <w:bottom w:val="none" w:sz="0" w:space="0" w:color="auto"/>
                <w:right w:val="none" w:sz="0" w:space="0" w:color="auto"/>
              </w:divBdr>
            </w:div>
            <w:div w:id="1344237771">
              <w:marLeft w:val="0"/>
              <w:marRight w:val="0"/>
              <w:marTop w:val="0"/>
              <w:marBottom w:val="0"/>
              <w:divBdr>
                <w:top w:val="none" w:sz="0" w:space="0" w:color="auto"/>
                <w:left w:val="none" w:sz="0" w:space="0" w:color="auto"/>
                <w:bottom w:val="none" w:sz="0" w:space="0" w:color="auto"/>
                <w:right w:val="none" w:sz="0" w:space="0" w:color="auto"/>
              </w:divBdr>
            </w:div>
            <w:div w:id="1372607678">
              <w:marLeft w:val="0"/>
              <w:marRight w:val="0"/>
              <w:marTop w:val="0"/>
              <w:marBottom w:val="0"/>
              <w:divBdr>
                <w:top w:val="none" w:sz="0" w:space="0" w:color="auto"/>
                <w:left w:val="none" w:sz="0" w:space="0" w:color="auto"/>
                <w:bottom w:val="none" w:sz="0" w:space="0" w:color="auto"/>
                <w:right w:val="none" w:sz="0" w:space="0" w:color="auto"/>
              </w:divBdr>
            </w:div>
            <w:div w:id="1826042752">
              <w:marLeft w:val="0"/>
              <w:marRight w:val="0"/>
              <w:marTop w:val="0"/>
              <w:marBottom w:val="0"/>
              <w:divBdr>
                <w:top w:val="none" w:sz="0" w:space="0" w:color="auto"/>
                <w:left w:val="none" w:sz="0" w:space="0" w:color="auto"/>
                <w:bottom w:val="none" w:sz="0" w:space="0" w:color="auto"/>
                <w:right w:val="none" w:sz="0" w:space="0" w:color="auto"/>
              </w:divBdr>
            </w:div>
            <w:div w:id="1842815520">
              <w:marLeft w:val="0"/>
              <w:marRight w:val="0"/>
              <w:marTop w:val="0"/>
              <w:marBottom w:val="0"/>
              <w:divBdr>
                <w:top w:val="none" w:sz="0" w:space="0" w:color="auto"/>
                <w:left w:val="none" w:sz="0" w:space="0" w:color="auto"/>
                <w:bottom w:val="none" w:sz="0" w:space="0" w:color="auto"/>
                <w:right w:val="none" w:sz="0" w:space="0" w:color="auto"/>
              </w:divBdr>
            </w:div>
            <w:div w:id="1853956970">
              <w:marLeft w:val="0"/>
              <w:marRight w:val="0"/>
              <w:marTop w:val="0"/>
              <w:marBottom w:val="0"/>
              <w:divBdr>
                <w:top w:val="none" w:sz="0" w:space="0" w:color="auto"/>
                <w:left w:val="none" w:sz="0" w:space="0" w:color="auto"/>
                <w:bottom w:val="none" w:sz="0" w:space="0" w:color="auto"/>
                <w:right w:val="none" w:sz="0" w:space="0" w:color="auto"/>
              </w:divBdr>
            </w:div>
            <w:div w:id="1892226940">
              <w:marLeft w:val="0"/>
              <w:marRight w:val="0"/>
              <w:marTop w:val="0"/>
              <w:marBottom w:val="0"/>
              <w:divBdr>
                <w:top w:val="none" w:sz="0" w:space="0" w:color="auto"/>
                <w:left w:val="none" w:sz="0" w:space="0" w:color="auto"/>
                <w:bottom w:val="none" w:sz="0" w:space="0" w:color="auto"/>
                <w:right w:val="none" w:sz="0" w:space="0" w:color="auto"/>
              </w:divBdr>
            </w:div>
            <w:div w:id="1989550822">
              <w:marLeft w:val="0"/>
              <w:marRight w:val="0"/>
              <w:marTop w:val="0"/>
              <w:marBottom w:val="0"/>
              <w:divBdr>
                <w:top w:val="none" w:sz="0" w:space="0" w:color="auto"/>
                <w:left w:val="none" w:sz="0" w:space="0" w:color="auto"/>
                <w:bottom w:val="none" w:sz="0" w:space="0" w:color="auto"/>
                <w:right w:val="none" w:sz="0" w:space="0" w:color="auto"/>
              </w:divBdr>
            </w:div>
            <w:div w:id="2059936000">
              <w:marLeft w:val="0"/>
              <w:marRight w:val="0"/>
              <w:marTop w:val="0"/>
              <w:marBottom w:val="0"/>
              <w:divBdr>
                <w:top w:val="none" w:sz="0" w:space="0" w:color="auto"/>
                <w:left w:val="none" w:sz="0" w:space="0" w:color="auto"/>
                <w:bottom w:val="none" w:sz="0" w:space="0" w:color="auto"/>
                <w:right w:val="none" w:sz="0" w:space="0" w:color="auto"/>
              </w:divBdr>
            </w:div>
            <w:div w:id="2063212915">
              <w:marLeft w:val="0"/>
              <w:marRight w:val="0"/>
              <w:marTop w:val="0"/>
              <w:marBottom w:val="0"/>
              <w:divBdr>
                <w:top w:val="none" w:sz="0" w:space="0" w:color="auto"/>
                <w:left w:val="none" w:sz="0" w:space="0" w:color="auto"/>
                <w:bottom w:val="none" w:sz="0" w:space="0" w:color="auto"/>
                <w:right w:val="none" w:sz="0" w:space="0" w:color="auto"/>
              </w:divBdr>
            </w:div>
            <w:div w:id="2073382899">
              <w:marLeft w:val="0"/>
              <w:marRight w:val="0"/>
              <w:marTop w:val="0"/>
              <w:marBottom w:val="0"/>
              <w:divBdr>
                <w:top w:val="none" w:sz="0" w:space="0" w:color="auto"/>
                <w:left w:val="none" w:sz="0" w:space="0" w:color="auto"/>
                <w:bottom w:val="none" w:sz="0" w:space="0" w:color="auto"/>
                <w:right w:val="none" w:sz="0" w:space="0" w:color="auto"/>
              </w:divBdr>
            </w:div>
          </w:divsChild>
        </w:div>
        <w:div w:id="378359315">
          <w:marLeft w:val="0"/>
          <w:marRight w:val="0"/>
          <w:marTop w:val="0"/>
          <w:marBottom w:val="0"/>
          <w:divBdr>
            <w:top w:val="none" w:sz="0" w:space="0" w:color="auto"/>
            <w:left w:val="none" w:sz="0" w:space="0" w:color="auto"/>
            <w:bottom w:val="none" w:sz="0" w:space="0" w:color="auto"/>
            <w:right w:val="none" w:sz="0" w:space="0" w:color="auto"/>
          </w:divBdr>
          <w:divsChild>
            <w:div w:id="11298076">
              <w:marLeft w:val="0"/>
              <w:marRight w:val="0"/>
              <w:marTop w:val="0"/>
              <w:marBottom w:val="0"/>
              <w:divBdr>
                <w:top w:val="none" w:sz="0" w:space="0" w:color="auto"/>
                <w:left w:val="none" w:sz="0" w:space="0" w:color="auto"/>
                <w:bottom w:val="none" w:sz="0" w:space="0" w:color="auto"/>
                <w:right w:val="none" w:sz="0" w:space="0" w:color="auto"/>
              </w:divBdr>
            </w:div>
            <w:div w:id="113790925">
              <w:marLeft w:val="0"/>
              <w:marRight w:val="0"/>
              <w:marTop w:val="0"/>
              <w:marBottom w:val="0"/>
              <w:divBdr>
                <w:top w:val="none" w:sz="0" w:space="0" w:color="auto"/>
                <w:left w:val="none" w:sz="0" w:space="0" w:color="auto"/>
                <w:bottom w:val="none" w:sz="0" w:space="0" w:color="auto"/>
                <w:right w:val="none" w:sz="0" w:space="0" w:color="auto"/>
              </w:divBdr>
            </w:div>
            <w:div w:id="169495092">
              <w:marLeft w:val="0"/>
              <w:marRight w:val="0"/>
              <w:marTop w:val="0"/>
              <w:marBottom w:val="0"/>
              <w:divBdr>
                <w:top w:val="none" w:sz="0" w:space="0" w:color="auto"/>
                <w:left w:val="none" w:sz="0" w:space="0" w:color="auto"/>
                <w:bottom w:val="none" w:sz="0" w:space="0" w:color="auto"/>
                <w:right w:val="none" w:sz="0" w:space="0" w:color="auto"/>
              </w:divBdr>
            </w:div>
            <w:div w:id="175310653">
              <w:marLeft w:val="0"/>
              <w:marRight w:val="0"/>
              <w:marTop w:val="0"/>
              <w:marBottom w:val="0"/>
              <w:divBdr>
                <w:top w:val="none" w:sz="0" w:space="0" w:color="auto"/>
                <w:left w:val="none" w:sz="0" w:space="0" w:color="auto"/>
                <w:bottom w:val="none" w:sz="0" w:space="0" w:color="auto"/>
                <w:right w:val="none" w:sz="0" w:space="0" w:color="auto"/>
              </w:divBdr>
            </w:div>
            <w:div w:id="277571816">
              <w:marLeft w:val="0"/>
              <w:marRight w:val="0"/>
              <w:marTop w:val="0"/>
              <w:marBottom w:val="0"/>
              <w:divBdr>
                <w:top w:val="none" w:sz="0" w:space="0" w:color="auto"/>
                <w:left w:val="none" w:sz="0" w:space="0" w:color="auto"/>
                <w:bottom w:val="none" w:sz="0" w:space="0" w:color="auto"/>
                <w:right w:val="none" w:sz="0" w:space="0" w:color="auto"/>
              </w:divBdr>
            </w:div>
            <w:div w:id="298455772">
              <w:marLeft w:val="0"/>
              <w:marRight w:val="0"/>
              <w:marTop w:val="0"/>
              <w:marBottom w:val="0"/>
              <w:divBdr>
                <w:top w:val="none" w:sz="0" w:space="0" w:color="auto"/>
                <w:left w:val="none" w:sz="0" w:space="0" w:color="auto"/>
                <w:bottom w:val="none" w:sz="0" w:space="0" w:color="auto"/>
                <w:right w:val="none" w:sz="0" w:space="0" w:color="auto"/>
              </w:divBdr>
            </w:div>
            <w:div w:id="303118527">
              <w:marLeft w:val="0"/>
              <w:marRight w:val="0"/>
              <w:marTop w:val="0"/>
              <w:marBottom w:val="0"/>
              <w:divBdr>
                <w:top w:val="none" w:sz="0" w:space="0" w:color="auto"/>
                <w:left w:val="none" w:sz="0" w:space="0" w:color="auto"/>
                <w:bottom w:val="none" w:sz="0" w:space="0" w:color="auto"/>
                <w:right w:val="none" w:sz="0" w:space="0" w:color="auto"/>
              </w:divBdr>
            </w:div>
            <w:div w:id="371928300">
              <w:marLeft w:val="0"/>
              <w:marRight w:val="0"/>
              <w:marTop w:val="0"/>
              <w:marBottom w:val="0"/>
              <w:divBdr>
                <w:top w:val="none" w:sz="0" w:space="0" w:color="auto"/>
                <w:left w:val="none" w:sz="0" w:space="0" w:color="auto"/>
                <w:bottom w:val="none" w:sz="0" w:space="0" w:color="auto"/>
                <w:right w:val="none" w:sz="0" w:space="0" w:color="auto"/>
              </w:divBdr>
            </w:div>
            <w:div w:id="552887640">
              <w:marLeft w:val="0"/>
              <w:marRight w:val="0"/>
              <w:marTop w:val="0"/>
              <w:marBottom w:val="0"/>
              <w:divBdr>
                <w:top w:val="none" w:sz="0" w:space="0" w:color="auto"/>
                <w:left w:val="none" w:sz="0" w:space="0" w:color="auto"/>
                <w:bottom w:val="none" w:sz="0" w:space="0" w:color="auto"/>
                <w:right w:val="none" w:sz="0" w:space="0" w:color="auto"/>
              </w:divBdr>
            </w:div>
            <w:div w:id="658384089">
              <w:marLeft w:val="0"/>
              <w:marRight w:val="0"/>
              <w:marTop w:val="0"/>
              <w:marBottom w:val="0"/>
              <w:divBdr>
                <w:top w:val="none" w:sz="0" w:space="0" w:color="auto"/>
                <w:left w:val="none" w:sz="0" w:space="0" w:color="auto"/>
                <w:bottom w:val="none" w:sz="0" w:space="0" w:color="auto"/>
                <w:right w:val="none" w:sz="0" w:space="0" w:color="auto"/>
              </w:divBdr>
            </w:div>
            <w:div w:id="709451168">
              <w:marLeft w:val="0"/>
              <w:marRight w:val="0"/>
              <w:marTop w:val="0"/>
              <w:marBottom w:val="0"/>
              <w:divBdr>
                <w:top w:val="none" w:sz="0" w:space="0" w:color="auto"/>
                <w:left w:val="none" w:sz="0" w:space="0" w:color="auto"/>
                <w:bottom w:val="none" w:sz="0" w:space="0" w:color="auto"/>
                <w:right w:val="none" w:sz="0" w:space="0" w:color="auto"/>
              </w:divBdr>
            </w:div>
            <w:div w:id="724792608">
              <w:marLeft w:val="0"/>
              <w:marRight w:val="0"/>
              <w:marTop w:val="0"/>
              <w:marBottom w:val="0"/>
              <w:divBdr>
                <w:top w:val="none" w:sz="0" w:space="0" w:color="auto"/>
                <w:left w:val="none" w:sz="0" w:space="0" w:color="auto"/>
                <w:bottom w:val="none" w:sz="0" w:space="0" w:color="auto"/>
                <w:right w:val="none" w:sz="0" w:space="0" w:color="auto"/>
              </w:divBdr>
            </w:div>
            <w:div w:id="760682138">
              <w:marLeft w:val="0"/>
              <w:marRight w:val="0"/>
              <w:marTop w:val="0"/>
              <w:marBottom w:val="0"/>
              <w:divBdr>
                <w:top w:val="none" w:sz="0" w:space="0" w:color="auto"/>
                <w:left w:val="none" w:sz="0" w:space="0" w:color="auto"/>
                <w:bottom w:val="none" w:sz="0" w:space="0" w:color="auto"/>
                <w:right w:val="none" w:sz="0" w:space="0" w:color="auto"/>
              </w:divBdr>
            </w:div>
            <w:div w:id="763458310">
              <w:marLeft w:val="0"/>
              <w:marRight w:val="0"/>
              <w:marTop w:val="0"/>
              <w:marBottom w:val="0"/>
              <w:divBdr>
                <w:top w:val="none" w:sz="0" w:space="0" w:color="auto"/>
                <w:left w:val="none" w:sz="0" w:space="0" w:color="auto"/>
                <w:bottom w:val="none" w:sz="0" w:space="0" w:color="auto"/>
                <w:right w:val="none" w:sz="0" w:space="0" w:color="auto"/>
              </w:divBdr>
            </w:div>
            <w:div w:id="1611090004">
              <w:marLeft w:val="0"/>
              <w:marRight w:val="0"/>
              <w:marTop w:val="0"/>
              <w:marBottom w:val="0"/>
              <w:divBdr>
                <w:top w:val="none" w:sz="0" w:space="0" w:color="auto"/>
                <w:left w:val="none" w:sz="0" w:space="0" w:color="auto"/>
                <w:bottom w:val="none" w:sz="0" w:space="0" w:color="auto"/>
                <w:right w:val="none" w:sz="0" w:space="0" w:color="auto"/>
              </w:divBdr>
            </w:div>
            <w:div w:id="1783962052">
              <w:marLeft w:val="0"/>
              <w:marRight w:val="0"/>
              <w:marTop w:val="0"/>
              <w:marBottom w:val="0"/>
              <w:divBdr>
                <w:top w:val="none" w:sz="0" w:space="0" w:color="auto"/>
                <w:left w:val="none" w:sz="0" w:space="0" w:color="auto"/>
                <w:bottom w:val="none" w:sz="0" w:space="0" w:color="auto"/>
                <w:right w:val="none" w:sz="0" w:space="0" w:color="auto"/>
              </w:divBdr>
            </w:div>
            <w:div w:id="1933971594">
              <w:marLeft w:val="0"/>
              <w:marRight w:val="0"/>
              <w:marTop w:val="0"/>
              <w:marBottom w:val="0"/>
              <w:divBdr>
                <w:top w:val="none" w:sz="0" w:space="0" w:color="auto"/>
                <w:left w:val="none" w:sz="0" w:space="0" w:color="auto"/>
                <w:bottom w:val="none" w:sz="0" w:space="0" w:color="auto"/>
                <w:right w:val="none" w:sz="0" w:space="0" w:color="auto"/>
              </w:divBdr>
            </w:div>
            <w:div w:id="2013222061">
              <w:marLeft w:val="0"/>
              <w:marRight w:val="0"/>
              <w:marTop w:val="0"/>
              <w:marBottom w:val="0"/>
              <w:divBdr>
                <w:top w:val="none" w:sz="0" w:space="0" w:color="auto"/>
                <w:left w:val="none" w:sz="0" w:space="0" w:color="auto"/>
                <w:bottom w:val="none" w:sz="0" w:space="0" w:color="auto"/>
                <w:right w:val="none" w:sz="0" w:space="0" w:color="auto"/>
              </w:divBdr>
            </w:div>
            <w:div w:id="2013333297">
              <w:marLeft w:val="0"/>
              <w:marRight w:val="0"/>
              <w:marTop w:val="0"/>
              <w:marBottom w:val="0"/>
              <w:divBdr>
                <w:top w:val="none" w:sz="0" w:space="0" w:color="auto"/>
                <w:left w:val="none" w:sz="0" w:space="0" w:color="auto"/>
                <w:bottom w:val="none" w:sz="0" w:space="0" w:color="auto"/>
                <w:right w:val="none" w:sz="0" w:space="0" w:color="auto"/>
              </w:divBdr>
            </w:div>
            <w:div w:id="2122990358">
              <w:marLeft w:val="0"/>
              <w:marRight w:val="0"/>
              <w:marTop w:val="0"/>
              <w:marBottom w:val="0"/>
              <w:divBdr>
                <w:top w:val="none" w:sz="0" w:space="0" w:color="auto"/>
                <w:left w:val="none" w:sz="0" w:space="0" w:color="auto"/>
                <w:bottom w:val="none" w:sz="0" w:space="0" w:color="auto"/>
                <w:right w:val="none" w:sz="0" w:space="0" w:color="auto"/>
              </w:divBdr>
            </w:div>
          </w:divsChild>
        </w:div>
        <w:div w:id="529147378">
          <w:marLeft w:val="0"/>
          <w:marRight w:val="0"/>
          <w:marTop w:val="0"/>
          <w:marBottom w:val="0"/>
          <w:divBdr>
            <w:top w:val="none" w:sz="0" w:space="0" w:color="auto"/>
            <w:left w:val="none" w:sz="0" w:space="0" w:color="auto"/>
            <w:bottom w:val="none" w:sz="0" w:space="0" w:color="auto"/>
            <w:right w:val="none" w:sz="0" w:space="0" w:color="auto"/>
          </w:divBdr>
        </w:div>
        <w:div w:id="618533100">
          <w:marLeft w:val="0"/>
          <w:marRight w:val="0"/>
          <w:marTop w:val="0"/>
          <w:marBottom w:val="0"/>
          <w:divBdr>
            <w:top w:val="none" w:sz="0" w:space="0" w:color="auto"/>
            <w:left w:val="none" w:sz="0" w:space="0" w:color="auto"/>
            <w:bottom w:val="none" w:sz="0" w:space="0" w:color="auto"/>
            <w:right w:val="none" w:sz="0" w:space="0" w:color="auto"/>
          </w:divBdr>
        </w:div>
        <w:div w:id="665985025">
          <w:marLeft w:val="0"/>
          <w:marRight w:val="0"/>
          <w:marTop w:val="0"/>
          <w:marBottom w:val="0"/>
          <w:divBdr>
            <w:top w:val="none" w:sz="0" w:space="0" w:color="auto"/>
            <w:left w:val="none" w:sz="0" w:space="0" w:color="auto"/>
            <w:bottom w:val="none" w:sz="0" w:space="0" w:color="auto"/>
            <w:right w:val="none" w:sz="0" w:space="0" w:color="auto"/>
          </w:divBdr>
        </w:div>
        <w:div w:id="687606466">
          <w:marLeft w:val="0"/>
          <w:marRight w:val="0"/>
          <w:marTop w:val="0"/>
          <w:marBottom w:val="0"/>
          <w:divBdr>
            <w:top w:val="none" w:sz="0" w:space="0" w:color="auto"/>
            <w:left w:val="none" w:sz="0" w:space="0" w:color="auto"/>
            <w:bottom w:val="none" w:sz="0" w:space="0" w:color="auto"/>
            <w:right w:val="none" w:sz="0" w:space="0" w:color="auto"/>
          </w:divBdr>
        </w:div>
        <w:div w:id="698160481">
          <w:marLeft w:val="0"/>
          <w:marRight w:val="0"/>
          <w:marTop w:val="0"/>
          <w:marBottom w:val="0"/>
          <w:divBdr>
            <w:top w:val="none" w:sz="0" w:space="0" w:color="auto"/>
            <w:left w:val="none" w:sz="0" w:space="0" w:color="auto"/>
            <w:bottom w:val="none" w:sz="0" w:space="0" w:color="auto"/>
            <w:right w:val="none" w:sz="0" w:space="0" w:color="auto"/>
          </w:divBdr>
        </w:div>
        <w:div w:id="861092747">
          <w:marLeft w:val="0"/>
          <w:marRight w:val="0"/>
          <w:marTop w:val="0"/>
          <w:marBottom w:val="0"/>
          <w:divBdr>
            <w:top w:val="none" w:sz="0" w:space="0" w:color="auto"/>
            <w:left w:val="none" w:sz="0" w:space="0" w:color="auto"/>
            <w:bottom w:val="none" w:sz="0" w:space="0" w:color="auto"/>
            <w:right w:val="none" w:sz="0" w:space="0" w:color="auto"/>
          </w:divBdr>
        </w:div>
        <w:div w:id="866917418">
          <w:marLeft w:val="0"/>
          <w:marRight w:val="0"/>
          <w:marTop w:val="0"/>
          <w:marBottom w:val="0"/>
          <w:divBdr>
            <w:top w:val="none" w:sz="0" w:space="0" w:color="auto"/>
            <w:left w:val="none" w:sz="0" w:space="0" w:color="auto"/>
            <w:bottom w:val="none" w:sz="0" w:space="0" w:color="auto"/>
            <w:right w:val="none" w:sz="0" w:space="0" w:color="auto"/>
          </w:divBdr>
          <w:divsChild>
            <w:div w:id="140778857">
              <w:marLeft w:val="0"/>
              <w:marRight w:val="0"/>
              <w:marTop w:val="0"/>
              <w:marBottom w:val="0"/>
              <w:divBdr>
                <w:top w:val="none" w:sz="0" w:space="0" w:color="auto"/>
                <w:left w:val="none" w:sz="0" w:space="0" w:color="auto"/>
                <w:bottom w:val="none" w:sz="0" w:space="0" w:color="auto"/>
                <w:right w:val="none" w:sz="0" w:space="0" w:color="auto"/>
              </w:divBdr>
            </w:div>
            <w:div w:id="449054962">
              <w:marLeft w:val="0"/>
              <w:marRight w:val="0"/>
              <w:marTop w:val="0"/>
              <w:marBottom w:val="0"/>
              <w:divBdr>
                <w:top w:val="none" w:sz="0" w:space="0" w:color="auto"/>
                <w:left w:val="none" w:sz="0" w:space="0" w:color="auto"/>
                <w:bottom w:val="none" w:sz="0" w:space="0" w:color="auto"/>
                <w:right w:val="none" w:sz="0" w:space="0" w:color="auto"/>
              </w:divBdr>
            </w:div>
            <w:div w:id="651521777">
              <w:marLeft w:val="0"/>
              <w:marRight w:val="0"/>
              <w:marTop w:val="0"/>
              <w:marBottom w:val="0"/>
              <w:divBdr>
                <w:top w:val="none" w:sz="0" w:space="0" w:color="auto"/>
                <w:left w:val="none" w:sz="0" w:space="0" w:color="auto"/>
                <w:bottom w:val="none" w:sz="0" w:space="0" w:color="auto"/>
                <w:right w:val="none" w:sz="0" w:space="0" w:color="auto"/>
              </w:divBdr>
            </w:div>
            <w:div w:id="660156806">
              <w:marLeft w:val="0"/>
              <w:marRight w:val="0"/>
              <w:marTop w:val="0"/>
              <w:marBottom w:val="0"/>
              <w:divBdr>
                <w:top w:val="none" w:sz="0" w:space="0" w:color="auto"/>
                <w:left w:val="none" w:sz="0" w:space="0" w:color="auto"/>
                <w:bottom w:val="none" w:sz="0" w:space="0" w:color="auto"/>
                <w:right w:val="none" w:sz="0" w:space="0" w:color="auto"/>
              </w:divBdr>
            </w:div>
            <w:div w:id="904879455">
              <w:marLeft w:val="0"/>
              <w:marRight w:val="0"/>
              <w:marTop w:val="0"/>
              <w:marBottom w:val="0"/>
              <w:divBdr>
                <w:top w:val="none" w:sz="0" w:space="0" w:color="auto"/>
                <w:left w:val="none" w:sz="0" w:space="0" w:color="auto"/>
                <w:bottom w:val="none" w:sz="0" w:space="0" w:color="auto"/>
                <w:right w:val="none" w:sz="0" w:space="0" w:color="auto"/>
              </w:divBdr>
            </w:div>
            <w:div w:id="930116174">
              <w:marLeft w:val="0"/>
              <w:marRight w:val="0"/>
              <w:marTop w:val="0"/>
              <w:marBottom w:val="0"/>
              <w:divBdr>
                <w:top w:val="none" w:sz="0" w:space="0" w:color="auto"/>
                <w:left w:val="none" w:sz="0" w:space="0" w:color="auto"/>
                <w:bottom w:val="none" w:sz="0" w:space="0" w:color="auto"/>
                <w:right w:val="none" w:sz="0" w:space="0" w:color="auto"/>
              </w:divBdr>
            </w:div>
            <w:div w:id="945691576">
              <w:marLeft w:val="0"/>
              <w:marRight w:val="0"/>
              <w:marTop w:val="0"/>
              <w:marBottom w:val="0"/>
              <w:divBdr>
                <w:top w:val="none" w:sz="0" w:space="0" w:color="auto"/>
                <w:left w:val="none" w:sz="0" w:space="0" w:color="auto"/>
                <w:bottom w:val="none" w:sz="0" w:space="0" w:color="auto"/>
                <w:right w:val="none" w:sz="0" w:space="0" w:color="auto"/>
              </w:divBdr>
            </w:div>
            <w:div w:id="1029911894">
              <w:marLeft w:val="0"/>
              <w:marRight w:val="0"/>
              <w:marTop w:val="0"/>
              <w:marBottom w:val="0"/>
              <w:divBdr>
                <w:top w:val="none" w:sz="0" w:space="0" w:color="auto"/>
                <w:left w:val="none" w:sz="0" w:space="0" w:color="auto"/>
                <w:bottom w:val="none" w:sz="0" w:space="0" w:color="auto"/>
                <w:right w:val="none" w:sz="0" w:space="0" w:color="auto"/>
              </w:divBdr>
            </w:div>
            <w:div w:id="1076781314">
              <w:marLeft w:val="0"/>
              <w:marRight w:val="0"/>
              <w:marTop w:val="0"/>
              <w:marBottom w:val="0"/>
              <w:divBdr>
                <w:top w:val="none" w:sz="0" w:space="0" w:color="auto"/>
                <w:left w:val="none" w:sz="0" w:space="0" w:color="auto"/>
                <w:bottom w:val="none" w:sz="0" w:space="0" w:color="auto"/>
                <w:right w:val="none" w:sz="0" w:space="0" w:color="auto"/>
              </w:divBdr>
            </w:div>
            <w:div w:id="1157303715">
              <w:marLeft w:val="0"/>
              <w:marRight w:val="0"/>
              <w:marTop w:val="0"/>
              <w:marBottom w:val="0"/>
              <w:divBdr>
                <w:top w:val="none" w:sz="0" w:space="0" w:color="auto"/>
                <w:left w:val="none" w:sz="0" w:space="0" w:color="auto"/>
                <w:bottom w:val="none" w:sz="0" w:space="0" w:color="auto"/>
                <w:right w:val="none" w:sz="0" w:space="0" w:color="auto"/>
              </w:divBdr>
            </w:div>
            <w:div w:id="1228610544">
              <w:marLeft w:val="0"/>
              <w:marRight w:val="0"/>
              <w:marTop w:val="0"/>
              <w:marBottom w:val="0"/>
              <w:divBdr>
                <w:top w:val="none" w:sz="0" w:space="0" w:color="auto"/>
                <w:left w:val="none" w:sz="0" w:space="0" w:color="auto"/>
                <w:bottom w:val="none" w:sz="0" w:space="0" w:color="auto"/>
                <w:right w:val="none" w:sz="0" w:space="0" w:color="auto"/>
              </w:divBdr>
            </w:div>
            <w:div w:id="1229656395">
              <w:marLeft w:val="0"/>
              <w:marRight w:val="0"/>
              <w:marTop w:val="0"/>
              <w:marBottom w:val="0"/>
              <w:divBdr>
                <w:top w:val="none" w:sz="0" w:space="0" w:color="auto"/>
                <w:left w:val="none" w:sz="0" w:space="0" w:color="auto"/>
                <w:bottom w:val="none" w:sz="0" w:space="0" w:color="auto"/>
                <w:right w:val="none" w:sz="0" w:space="0" w:color="auto"/>
              </w:divBdr>
            </w:div>
            <w:div w:id="1285771776">
              <w:marLeft w:val="0"/>
              <w:marRight w:val="0"/>
              <w:marTop w:val="0"/>
              <w:marBottom w:val="0"/>
              <w:divBdr>
                <w:top w:val="none" w:sz="0" w:space="0" w:color="auto"/>
                <w:left w:val="none" w:sz="0" w:space="0" w:color="auto"/>
                <w:bottom w:val="none" w:sz="0" w:space="0" w:color="auto"/>
                <w:right w:val="none" w:sz="0" w:space="0" w:color="auto"/>
              </w:divBdr>
            </w:div>
            <w:div w:id="1329141129">
              <w:marLeft w:val="0"/>
              <w:marRight w:val="0"/>
              <w:marTop w:val="0"/>
              <w:marBottom w:val="0"/>
              <w:divBdr>
                <w:top w:val="none" w:sz="0" w:space="0" w:color="auto"/>
                <w:left w:val="none" w:sz="0" w:space="0" w:color="auto"/>
                <w:bottom w:val="none" w:sz="0" w:space="0" w:color="auto"/>
                <w:right w:val="none" w:sz="0" w:space="0" w:color="auto"/>
              </w:divBdr>
            </w:div>
            <w:div w:id="1564101625">
              <w:marLeft w:val="0"/>
              <w:marRight w:val="0"/>
              <w:marTop w:val="0"/>
              <w:marBottom w:val="0"/>
              <w:divBdr>
                <w:top w:val="none" w:sz="0" w:space="0" w:color="auto"/>
                <w:left w:val="none" w:sz="0" w:space="0" w:color="auto"/>
                <w:bottom w:val="none" w:sz="0" w:space="0" w:color="auto"/>
                <w:right w:val="none" w:sz="0" w:space="0" w:color="auto"/>
              </w:divBdr>
            </w:div>
            <w:div w:id="1604070146">
              <w:marLeft w:val="0"/>
              <w:marRight w:val="0"/>
              <w:marTop w:val="0"/>
              <w:marBottom w:val="0"/>
              <w:divBdr>
                <w:top w:val="none" w:sz="0" w:space="0" w:color="auto"/>
                <w:left w:val="none" w:sz="0" w:space="0" w:color="auto"/>
                <w:bottom w:val="none" w:sz="0" w:space="0" w:color="auto"/>
                <w:right w:val="none" w:sz="0" w:space="0" w:color="auto"/>
              </w:divBdr>
            </w:div>
            <w:div w:id="1823497541">
              <w:marLeft w:val="0"/>
              <w:marRight w:val="0"/>
              <w:marTop w:val="0"/>
              <w:marBottom w:val="0"/>
              <w:divBdr>
                <w:top w:val="none" w:sz="0" w:space="0" w:color="auto"/>
                <w:left w:val="none" w:sz="0" w:space="0" w:color="auto"/>
                <w:bottom w:val="none" w:sz="0" w:space="0" w:color="auto"/>
                <w:right w:val="none" w:sz="0" w:space="0" w:color="auto"/>
              </w:divBdr>
            </w:div>
            <w:div w:id="1933272983">
              <w:marLeft w:val="0"/>
              <w:marRight w:val="0"/>
              <w:marTop w:val="0"/>
              <w:marBottom w:val="0"/>
              <w:divBdr>
                <w:top w:val="none" w:sz="0" w:space="0" w:color="auto"/>
                <w:left w:val="none" w:sz="0" w:space="0" w:color="auto"/>
                <w:bottom w:val="none" w:sz="0" w:space="0" w:color="auto"/>
                <w:right w:val="none" w:sz="0" w:space="0" w:color="auto"/>
              </w:divBdr>
            </w:div>
            <w:div w:id="2018342550">
              <w:marLeft w:val="0"/>
              <w:marRight w:val="0"/>
              <w:marTop w:val="0"/>
              <w:marBottom w:val="0"/>
              <w:divBdr>
                <w:top w:val="none" w:sz="0" w:space="0" w:color="auto"/>
                <w:left w:val="none" w:sz="0" w:space="0" w:color="auto"/>
                <w:bottom w:val="none" w:sz="0" w:space="0" w:color="auto"/>
                <w:right w:val="none" w:sz="0" w:space="0" w:color="auto"/>
              </w:divBdr>
            </w:div>
            <w:div w:id="2136868736">
              <w:marLeft w:val="0"/>
              <w:marRight w:val="0"/>
              <w:marTop w:val="0"/>
              <w:marBottom w:val="0"/>
              <w:divBdr>
                <w:top w:val="none" w:sz="0" w:space="0" w:color="auto"/>
                <w:left w:val="none" w:sz="0" w:space="0" w:color="auto"/>
                <w:bottom w:val="none" w:sz="0" w:space="0" w:color="auto"/>
                <w:right w:val="none" w:sz="0" w:space="0" w:color="auto"/>
              </w:divBdr>
            </w:div>
          </w:divsChild>
        </w:div>
        <w:div w:id="944773259">
          <w:marLeft w:val="0"/>
          <w:marRight w:val="0"/>
          <w:marTop w:val="0"/>
          <w:marBottom w:val="0"/>
          <w:divBdr>
            <w:top w:val="none" w:sz="0" w:space="0" w:color="auto"/>
            <w:left w:val="none" w:sz="0" w:space="0" w:color="auto"/>
            <w:bottom w:val="none" w:sz="0" w:space="0" w:color="auto"/>
            <w:right w:val="none" w:sz="0" w:space="0" w:color="auto"/>
          </w:divBdr>
        </w:div>
        <w:div w:id="1030910083">
          <w:marLeft w:val="0"/>
          <w:marRight w:val="0"/>
          <w:marTop w:val="0"/>
          <w:marBottom w:val="0"/>
          <w:divBdr>
            <w:top w:val="none" w:sz="0" w:space="0" w:color="auto"/>
            <w:left w:val="none" w:sz="0" w:space="0" w:color="auto"/>
            <w:bottom w:val="none" w:sz="0" w:space="0" w:color="auto"/>
            <w:right w:val="none" w:sz="0" w:space="0" w:color="auto"/>
          </w:divBdr>
        </w:div>
        <w:div w:id="1056198076">
          <w:marLeft w:val="0"/>
          <w:marRight w:val="0"/>
          <w:marTop w:val="0"/>
          <w:marBottom w:val="0"/>
          <w:divBdr>
            <w:top w:val="none" w:sz="0" w:space="0" w:color="auto"/>
            <w:left w:val="none" w:sz="0" w:space="0" w:color="auto"/>
            <w:bottom w:val="none" w:sz="0" w:space="0" w:color="auto"/>
            <w:right w:val="none" w:sz="0" w:space="0" w:color="auto"/>
          </w:divBdr>
        </w:div>
        <w:div w:id="1080367962">
          <w:marLeft w:val="0"/>
          <w:marRight w:val="0"/>
          <w:marTop w:val="0"/>
          <w:marBottom w:val="0"/>
          <w:divBdr>
            <w:top w:val="none" w:sz="0" w:space="0" w:color="auto"/>
            <w:left w:val="none" w:sz="0" w:space="0" w:color="auto"/>
            <w:bottom w:val="none" w:sz="0" w:space="0" w:color="auto"/>
            <w:right w:val="none" w:sz="0" w:space="0" w:color="auto"/>
          </w:divBdr>
        </w:div>
        <w:div w:id="1090853004">
          <w:marLeft w:val="0"/>
          <w:marRight w:val="0"/>
          <w:marTop w:val="0"/>
          <w:marBottom w:val="0"/>
          <w:divBdr>
            <w:top w:val="none" w:sz="0" w:space="0" w:color="auto"/>
            <w:left w:val="none" w:sz="0" w:space="0" w:color="auto"/>
            <w:bottom w:val="none" w:sz="0" w:space="0" w:color="auto"/>
            <w:right w:val="none" w:sz="0" w:space="0" w:color="auto"/>
          </w:divBdr>
        </w:div>
        <w:div w:id="1109202231">
          <w:marLeft w:val="0"/>
          <w:marRight w:val="0"/>
          <w:marTop w:val="0"/>
          <w:marBottom w:val="0"/>
          <w:divBdr>
            <w:top w:val="none" w:sz="0" w:space="0" w:color="auto"/>
            <w:left w:val="none" w:sz="0" w:space="0" w:color="auto"/>
            <w:bottom w:val="none" w:sz="0" w:space="0" w:color="auto"/>
            <w:right w:val="none" w:sz="0" w:space="0" w:color="auto"/>
          </w:divBdr>
        </w:div>
        <w:div w:id="1139228761">
          <w:marLeft w:val="0"/>
          <w:marRight w:val="0"/>
          <w:marTop w:val="0"/>
          <w:marBottom w:val="0"/>
          <w:divBdr>
            <w:top w:val="none" w:sz="0" w:space="0" w:color="auto"/>
            <w:left w:val="none" w:sz="0" w:space="0" w:color="auto"/>
            <w:bottom w:val="none" w:sz="0" w:space="0" w:color="auto"/>
            <w:right w:val="none" w:sz="0" w:space="0" w:color="auto"/>
          </w:divBdr>
        </w:div>
        <w:div w:id="1177616650">
          <w:marLeft w:val="0"/>
          <w:marRight w:val="0"/>
          <w:marTop w:val="0"/>
          <w:marBottom w:val="0"/>
          <w:divBdr>
            <w:top w:val="none" w:sz="0" w:space="0" w:color="auto"/>
            <w:left w:val="none" w:sz="0" w:space="0" w:color="auto"/>
            <w:bottom w:val="none" w:sz="0" w:space="0" w:color="auto"/>
            <w:right w:val="none" w:sz="0" w:space="0" w:color="auto"/>
          </w:divBdr>
        </w:div>
        <w:div w:id="1220215761">
          <w:marLeft w:val="0"/>
          <w:marRight w:val="0"/>
          <w:marTop w:val="0"/>
          <w:marBottom w:val="0"/>
          <w:divBdr>
            <w:top w:val="none" w:sz="0" w:space="0" w:color="auto"/>
            <w:left w:val="none" w:sz="0" w:space="0" w:color="auto"/>
            <w:bottom w:val="none" w:sz="0" w:space="0" w:color="auto"/>
            <w:right w:val="none" w:sz="0" w:space="0" w:color="auto"/>
          </w:divBdr>
        </w:div>
        <w:div w:id="1352678900">
          <w:marLeft w:val="0"/>
          <w:marRight w:val="0"/>
          <w:marTop w:val="0"/>
          <w:marBottom w:val="0"/>
          <w:divBdr>
            <w:top w:val="none" w:sz="0" w:space="0" w:color="auto"/>
            <w:left w:val="none" w:sz="0" w:space="0" w:color="auto"/>
            <w:bottom w:val="none" w:sz="0" w:space="0" w:color="auto"/>
            <w:right w:val="none" w:sz="0" w:space="0" w:color="auto"/>
          </w:divBdr>
        </w:div>
        <w:div w:id="1354385373">
          <w:marLeft w:val="0"/>
          <w:marRight w:val="0"/>
          <w:marTop w:val="0"/>
          <w:marBottom w:val="0"/>
          <w:divBdr>
            <w:top w:val="none" w:sz="0" w:space="0" w:color="auto"/>
            <w:left w:val="none" w:sz="0" w:space="0" w:color="auto"/>
            <w:bottom w:val="none" w:sz="0" w:space="0" w:color="auto"/>
            <w:right w:val="none" w:sz="0" w:space="0" w:color="auto"/>
          </w:divBdr>
        </w:div>
        <w:div w:id="1418284021">
          <w:marLeft w:val="0"/>
          <w:marRight w:val="0"/>
          <w:marTop w:val="0"/>
          <w:marBottom w:val="0"/>
          <w:divBdr>
            <w:top w:val="none" w:sz="0" w:space="0" w:color="auto"/>
            <w:left w:val="none" w:sz="0" w:space="0" w:color="auto"/>
            <w:bottom w:val="none" w:sz="0" w:space="0" w:color="auto"/>
            <w:right w:val="none" w:sz="0" w:space="0" w:color="auto"/>
          </w:divBdr>
        </w:div>
        <w:div w:id="1423603642">
          <w:marLeft w:val="0"/>
          <w:marRight w:val="0"/>
          <w:marTop w:val="0"/>
          <w:marBottom w:val="0"/>
          <w:divBdr>
            <w:top w:val="none" w:sz="0" w:space="0" w:color="auto"/>
            <w:left w:val="none" w:sz="0" w:space="0" w:color="auto"/>
            <w:bottom w:val="none" w:sz="0" w:space="0" w:color="auto"/>
            <w:right w:val="none" w:sz="0" w:space="0" w:color="auto"/>
          </w:divBdr>
          <w:divsChild>
            <w:div w:id="1322827">
              <w:marLeft w:val="0"/>
              <w:marRight w:val="0"/>
              <w:marTop w:val="0"/>
              <w:marBottom w:val="0"/>
              <w:divBdr>
                <w:top w:val="none" w:sz="0" w:space="0" w:color="auto"/>
                <w:left w:val="none" w:sz="0" w:space="0" w:color="auto"/>
                <w:bottom w:val="none" w:sz="0" w:space="0" w:color="auto"/>
                <w:right w:val="none" w:sz="0" w:space="0" w:color="auto"/>
              </w:divBdr>
            </w:div>
            <w:div w:id="168107810">
              <w:marLeft w:val="0"/>
              <w:marRight w:val="0"/>
              <w:marTop w:val="0"/>
              <w:marBottom w:val="0"/>
              <w:divBdr>
                <w:top w:val="none" w:sz="0" w:space="0" w:color="auto"/>
                <w:left w:val="none" w:sz="0" w:space="0" w:color="auto"/>
                <w:bottom w:val="none" w:sz="0" w:space="0" w:color="auto"/>
                <w:right w:val="none" w:sz="0" w:space="0" w:color="auto"/>
              </w:divBdr>
            </w:div>
            <w:div w:id="278026699">
              <w:marLeft w:val="0"/>
              <w:marRight w:val="0"/>
              <w:marTop w:val="0"/>
              <w:marBottom w:val="0"/>
              <w:divBdr>
                <w:top w:val="none" w:sz="0" w:space="0" w:color="auto"/>
                <w:left w:val="none" w:sz="0" w:space="0" w:color="auto"/>
                <w:bottom w:val="none" w:sz="0" w:space="0" w:color="auto"/>
                <w:right w:val="none" w:sz="0" w:space="0" w:color="auto"/>
              </w:divBdr>
            </w:div>
            <w:div w:id="322122265">
              <w:marLeft w:val="0"/>
              <w:marRight w:val="0"/>
              <w:marTop w:val="0"/>
              <w:marBottom w:val="0"/>
              <w:divBdr>
                <w:top w:val="none" w:sz="0" w:space="0" w:color="auto"/>
                <w:left w:val="none" w:sz="0" w:space="0" w:color="auto"/>
                <w:bottom w:val="none" w:sz="0" w:space="0" w:color="auto"/>
                <w:right w:val="none" w:sz="0" w:space="0" w:color="auto"/>
              </w:divBdr>
            </w:div>
            <w:div w:id="412974256">
              <w:marLeft w:val="0"/>
              <w:marRight w:val="0"/>
              <w:marTop w:val="0"/>
              <w:marBottom w:val="0"/>
              <w:divBdr>
                <w:top w:val="none" w:sz="0" w:space="0" w:color="auto"/>
                <w:left w:val="none" w:sz="0" w:space="0" w:color="auto"/>
                <w:bottom w:val="none" w:sz="0" w:space="0" w:color="auto"/>
                <w:right w:val="none" w:sz="0" w:space="0" w:color="auto"/>
              </w:divBdr>
            </w:div>
            <w:div w:id="458184599">
              <w:marLeft w:val="0"/>
              <w:marRight w:val="0"/>
              <w:marTop w:val="0"/>
              <w:marBottom w:val="0"/>
              <w:divBdr>
                <w:top w:val="none" w:sz="0" w:space="0" w:color="auto"/>
                <w:left w:val="none" w:sz="0" w:space="0" w:color="auto"/>
                <w:bottom w:val="none" w:sz="0" w:space="0" w:color="auto"/>
                <w:right w:val="none" w:sz="0" w:space="0" w:color="auto"/>
              </w:divBdr>
            </w:div>
            <w:div w:id="603224188">
              <w:marLeft w:val="0"/>
              <w:marRight w:val="0"/>
              <w:marTop w:val="0"/>
              <w:marBottom w:val="0"/>
              <w:divBdr>
                <w:top w:val="none" w:sz="0" w:space="0" w:color="auto"/>
                <w:left w:val="none" w:sz="0" w:space="0" w:color="auto"/>
                <w:bottom w:val="none" w:sz="0" w:space="0" w:color="auto"/>
                <w:right w:val="none" w:sz="0" w:space="0" w:color="auto"/>
              </w:divBdr>
            </w:div>
            <w:div w:id="790902514">
              <w:marLeft w:val="0"/>
              <w:marRight w:val="0"/>
              <w:marTop w:val="0"/>
              <w:marBottom w:val="0"/>
              <w:divBdr>
                <w:top w:val="none" w:sz="0" w:space="0" w:color="auto"/>
                <w:left w:val="none" w:sz="0" w:space="0" w:color="auto"/>
                <w:bottom w:val="none" w:sz="0" w:space="0" w:color="auto"/>
                <w:right w:val="none" w:sz="0" w:space="0" w:color="auto"/>
              </w:divBdr>
            </w:div>
            <w:div w:id="997002981">
              <w:marLeft w:val="0"/>
              <w:marRight w:val="0"/>
              <w:marTop w:val="0"/>
              <w:marBottom w:val="0"/>
              <w:divBdr>
                <w:top w:val="none" w:sz="0" w:space="0" w:color="auto"/>
                <w:left w:val="none" w:sz="0" w:space="0" w:color="auto"/>
                <w:bottom w:val="none" w:sz="0" w:space="0" w:color="auto"/>
                <w:right w:val="none" w:sz="0" w:space="0" w:color="auto"/>
              </w:divBdr>
            </w:div>
            <w:div w:id="1289048817">
              <w:marLeft w:val="0"/>
              <w:marRight w:val="0"/>
              <w:marTop w:val="0"/>
              <w:marBottom w:val="0"/>
              <w:divBdr>
                <w:top w:val="none" w:sz="0" w:space="0" w:color="auto"/>
                <w:left w:val="none" w:sz="0" w:space="0" w:color="auto"/>
                <w:bottom w:val="none" w:sz="0" w:space="0" w:color="auto"/>
                <w:right w:val="none" w:sz="0" w:space="0" w:color="auto"/>
              </w:divBdr>
            </w:div>
            <w:div w:id="1436441070">
              <w:marLeft w:val="0"/>
              <w:marRight w:val="0"/>
              <w:marTop w:val="0"/>
              <w:marBottom w:val="0"/>
              <w:divBdr>
                <w:top w:val="none" w:sz="0" w:space="0" w:color="auto"/>
                <w:left w:val="none" w:sz="0" w:space="0" w:color="auto"/>
                <w:bottom w:val="none" w:sz="0" w:space="0" w:color="auto"/>
                <w:right w:val="none" w:sz="0" w:space="0" w:color="auto"/>
              </w:divBdr>
            </w:div>
            <w:div w:id="1742218689">
              <w:marLeft w:val="0"/>
              <w:marRight w:val="0"/>
              <w:marTop w:val="0"/>
              <w:marBottom w:val="0"/>
              <w:divBdr>
                <w:top w:val="none" w:sz="0" w:space="0" w:color="auto"/>
                <w:left w:val="none" w:sz="0" w:space="0" w:color="auto"/>
                <w:bottom w:val="none" w:sz="0" w:space="0" w:color="auto"/>
                <w:right w:val="none" w:sz="0" w:space="0" w:color="auto"/>
              </w:divBdr>
            </w:div>
            <w:div w:id="1766458367">
              <w:marLeft w:val="0"/>
              <w:marRight w:val="0"/>
              <w:marTop w:val="0"/>
              <w:marBottom w:val="0"/>
              <w:divBdr>
                <w:top w:val="none" w:sz="0" w:space="0" w:color="auto"/>
                <w:left w:val="none" w:sz="0" w:space="0" w:color="auto"/>
                <w:bottom w:val="none" w:sz="0" w:space="0" w:color="auto"/>
                <w:right w:val="none" w:sz="0" w:space="0" w:color="auto"/>
              </w:divBdr>
            </w:div>
            <w:div w:id="1771391495">
              <w:marLeft w:val="0"/>
              <w:marRight w:val="0"/>
              <w:marTop w:val="0"/>
              <w:marBottom w:val="0"/>
              <w:divBdr>
                <w:top w:val="none" w:sz="0" w:space="0" w:color="auto"/>
                <w:left w:val="none" w:sz="0" w:space="0" w:color="auto"/>
                <w:bottom w:val="none" w:sz="0" w:space="0" w:color="auto"/>
                <w:right w:val="none" w:sz="0" w:space="0" w:color="auto"/>
              </w:divBdr>
            </w:div>
            <w:div w:id="1787039589">
              <w:marLeft w:val="0"/>
              <w:marRight w:val="0"/>
              <w:marTop w:val="0"/>
              <w:marBottom w:val="0"/>
              <w:divBdr>
                <w:top w:val="none" w:sz="0" w:space="0" w:color="auto"/>
                <w:left w:val="none" w:sz="0" w:space="0" w:color="auto"/>
                <w:bottom w:val="none" w:sz="0" w:space="0" w:color="auto"/>
                <w:right w:val="none" w:sz="0" w:space="0" w:color="auto"/>
              </w:divBdr>
            </w:div>
            <w:div w:id="1845583889">
              <w:marLeft w:val="0"/>
              <w:marRight w:val="0"/>
              <w:marTop w:val="0"/>
              <w:marBottom w:val="0"/>
              <w:divBdr>
                <w:top w:val="none" w:sz="0" w:space="0" w:color="auto"/>
                <w:left w:val="none" w:sz="0" w:space="0" w:color="auto"/>
                <w:bottom w:val="none" w:sz="0" w:space="0" w:color="auto"/>
                <w:right w:val="none" w:sz="0" w:space="0" w:color="auto"/>
              </w:divBdr>
            </w:div>
            <w:div w:id="1958096678">
              <w:marLeft w:val="0"/>
              <w:marRight w:val="0"/>
              <w:marTop w:val="0"/>
              <w:marBottom w:val="0"/>
              <w:divBdr>
                <w:top w:val="none" w:sz="0" w:space="0" w:color="auto"/>
                <w:left w:val="none" w:sz="0" w:space="0" w:color="auto"/>
                <w:bottom w:val="none" w:sz="0" w:space="0" w:color="auto"/>
                <w:right w:val="none" w:sz="0" w:space="0" w:color="auto"/>
              </w:divBdr>
            </w:div>
            <w:div w:id="2118715229">
              <w:marLeft w:val="0"/>
              <w:marRight w:val="0"/>
              <w:marTop w:val="0"/>
              <w:marBottom w:val="0"/>
              <w:divBdr>
                <w:top w:val="none" w:sz="0" w:space="0" w:color="auto"/>
                <w:left w:val="none" w:sz="0" w:space="0" w:color="auto"/>
                <w:bottom w:val="none" w:sz="0" w:space="0" w:color="auto"/>
                <w:right w:val="none" w:sz="0" w:space="0" w:color="auto"/>
              </w:divBdr>
            </w:div>
            <w:div w:id="2139182870">
              <w:marLeft w:val="0"/>
              <w:marRight w:val="0"/>
              <w:marTop w:val="0"/>
              <w:marBottom w:val="0"/>
              <w:divBdr>
                <w:top w:val="none" w:sz="0" w:space="0" w:color="auto"/>
                <w:left w:val="none" w:sz="0" w:space="0" w:color="auto"/>
                <w:bottom w:val="none" w:sz="0" w:space="0" w:color="auto"/>
                <w:right w:val="none" w:sz="0" w:space="0" w:color="auto"/>
              </w:divBdr>
            </w:div>
            <w:div w:id="2146922596">
              <w:marLeft w:val="0"/>
              <w:marRight w:val="0"/>
              <w:marTop w:val="0"/>
              <w:marBottom w:val="0"/>
              <w:divBdr>
                <w:top w:val="none" w:sz="0" w:space="0" w:color="auto"/>
                <w:left w:val="none" w:sz="0" w:space="0" w:color="auto"/>
                <w:bottom w:val="none" w:sz="0" w:space="0" w:color="auto"/>
                <w:right w:val="none" w:sz="0" w:space="0" w:color="auto"/>
              </w:divBdr>
            </w:div>
          </w:divsChild>
        </w:div>
        <w:div w:id="1437990934">
          <w:marLeft w:val="0"/>
          <w:marRight w:val="0"/>
          <w:marTop w:val="0"/>
          <w:marBottom w:val="0"/>
          <w:divBdr>
            <w:top w:val="none" w:sz="0" w:space="0" w:color="auto"/>
            <w:left w:val="none" w:sz="0" w:space="0" w:color="auto"/>
            <w:bottom w:val="none" w:sz="0" w:space="0" w:color="auto"/>
            <w:right w:val="none" w:sz="0" w:space="0" w:color="auto"/>
          </w:divBdr>
        </w:div>
        <w:div w:id="1514418540">
          <w:marLeft w:val="0"/>
          <w:marRight w:val="0"/>
          <w:marTop w:val="0"/>
          <w:marBottom w:val="0"/>
          <w:divBdr>
            <w:top w:val="none" w:sz="0" w:space="0" w:color="auto"/>
            <w:left w:val="none" w:sz="0" w:space="0" w:color="auto"/>
            <w:bottom w:val="none" w:sz="0" w:space="0" w:color="auto"/>
            <w:right w:val="none" w:sz="0" w:space="0" w:color="auto"/>
          </w:divBdr>
        </w:div>
        <w:div w:id="1541671825">
          <w:marLeft w:val="0"/>
          <w:marRight w:val="0"/>
          <w:marTop w:val="0"/>
          <w:marBottom w:val="0"/>
          <w:divBdr>
            <w:top w:val="none" w:sz="0" w:space="0" w:color="auto"/>
            <w:left w:val="none" w:sz="0" w:space="0" w:color="auto"/>
            <w:bottom w:val="none" w:sz="0" w:space="0" w:color="auto"/>
            <w:right w:val="none" w:sz="0" w:space="0" w:color="auto"/>
          </w:divBdr>
        </w:div>
        <w:div w:id="1624774043">
          <w:marLeft w:val="0"/>
          <w:marRight w:val="0"/>
          <w:marTop w:val="0"/>
          <w:marBottom w:val="0"/>
          <w:divBdr>
            <w:top w:val="none" w:sz="0" w:space="0" w:color="auto"/>
            <w:left w:val="none" w:sz="0" w:space="0" w:color="auto"/>
            <w:bottom w:val="none" w:sz="0" w:space="0" w:color="auto"/>
            <w:right w:val="none" w:sz="0" w:space="0" w:color="auto"/>
          </w:divBdr>
        </w:div>
        <w:div w:id="1631014386">
          <w:marLeft w:val="0"/>
          <w:marRight w:val="0"/>
          <w:marTop w:val="0"/>
          <w:marBottom w:val="0"/>
          <w:divBdr>
            <w:top w:val="none" w:sz="0" w:space="0" w:color="auto"/>
            <w:left w:val="none" w:sz="0" w:space="0" w:color="auto"/>
            <w:bottom w:val="none" w:sz="0" w:space="0" w:color="auto"/>
            <w:right w:val="none" w:sz="0" w:space="0" w:color="auto"/>
          </w:divBdr>
        </w:div>
        <w:div w:id="1670600454">
          <w:marLeft w:val="0"/>
          <w:marRight w:val="0"/>
          <w:marTop w:val="0"/>
          <w:marBottom w:val="0"/>
          <w:divBdr>
            <w:top w:val="none" w:sz="0" w:space="0" w:color="auto"/>
            <w:left w:val="none" w:sz="0" w:space="0" w:color="auto"/>
            <w:bottom w:val="none" w:sz="0" w:space="0" w:color="auto"/>
            <w:right w:val="none" w:sz="0" w:space="0" w:color="auto"/>
          </w:divBdr>
        </w:div>
        <w:div w:id="1726485898">
          <w:marLeft w:val="0"/>
          <w:marRight w:val="0"/>
          <w:marTop w:val="0"/>
          <w:marBottom w:val="0"/>
          <w:divBdr>
            <w:top w:val="none" w:sz="0" w:space="0" w:color="auto"/>
            <w:left w:val="none" w:sz="0" w:space="0" w:color="auto"/>
            <w:bottom w:val="none" w:sz="0" w:space="0" w:color="auto"/>
            <w:right w:val="none" w:sz="0" w:space="0" w:color="auto"/>
          </w:divBdr>
        </w:div>
        <w:div w:id="1799177058">
          <w:marLeft w:val="0"/>
          <w:marRight w:val="0"/>
          <w:marTop w:val="0"/>
          <w:marBottom w:val="0"/>
          <w:divBdr>
            <w:top w:val="none" w:sz="0" w:space="0" w:color="auto"/>
            <w:left w:val="none" w:sz="0" w:space="0" w:color="auto"/>
            <w:bottom w:val="none" w:sz="0" w:space="0" w:color="auto"/>
            <w:right w:val="none" w:sz="0" w:space="0" w:color="auto"/>
          </w:divBdr>
          <w:divsChild>
            <w:div w:id="1247762801">
              <w:marLeft w:val="-75"/>
              <w:marRight w:val="0"/>
              <w:marTop w:val="30"/>
              <w:marBottom w:val="30"/>
              <w:divBdr>
                <w:top w:val="none" w:sz="0" w:space="0" w:color="auto"/>
                <w:left w:val="none" w:sz="0" w:space="0" w:color="auto"/>
                <w:bottom w:val="none" w:sz="0" w:space="0" w:color="auto"/>
                <w:right w:val="none" w:sz="0" w:space="0" w:color="auto"/>
              </w:divBdr>
              <w:divsChild>
                <w:div w:id="308946339">
                  <w:marLeft w:val="0"/>
                  <w:marRight w:val="0"/>
                  <w:marTop w:val="0"/>
                  <w:marBottom w:val="0"/>
                  <w:divBdr>
                    <w:top w:val="none" w:sz="0" w:space="0" w:color="auto"/>
                    <w:left w:val="none" w:sz="0" w:space="0" w:color="auto"/>
                    <w:bottom w:val="none" w:sz="0" w:space="0" w:color="auto"/>
                    <w:right w:val="none" w:sz="0" w:space="0" w:color="auto"/>
                  </w:divBdr>
                  <w:divsChild>
                    <w:div w:id="349524598">
                      <w:marLeft w:val="0"/>
                      <w:marRight w:val="0"/>
                      <w:marTop w:val="0"/>
                      <w:marBottom w:val="0"/>
                      <w:divBdr>
                        <w:top w:val="none" w:sz="0" w:space="0" w:color="auto"/>
                        <w:left w:val="none" w:sz="0" w:space="0" w:color="auto"/>
                        <w:bottom w:val="none" w:sz="0" w:space="0" w:color="auto"/>
                        <w:right w:val="none" w:sz="0" w:space="0" w:color="auto"/>
                      </w:divBdr>
                    </w:div>
                    <w:div w:id="692076038">
                      <w:marLeft w:val="0"/>
                      <w:marRight w:val="0"/>
                      <w:marTop w:val="0"/>
                      <w:marBottom w:val="0"/>
                      <w:divBdr>
                        <w:top w:val="none" w:sz="0" w:space="0" w:color="auto"/>
                        <w:left w:val="none" w:sz="0" w:space="0" w:color="auto"/>
                        <w:bottom w:val="none" w:sz="0" w:space="0" w:color="auto"/>
                        <w:right w:val="none" w:sz="0" w:space="0" w:color="auto"/>
                      </w:divBdr>
                    </w:div>
                  </w:divsChild>
                </w:div>
                <w:div w:id="375932050">
                  <w:marLeft w:val="0"/>
                  <w:marRight w:val="0"/>
                  <w:marTop w:val="0"/>
                  <w:marBottom w:val="0"/>
                  <w:divBdr>
                    <w:top w:val="none" w:sz="0" w:space="0" w:color="auto"/>
                    <w:left w:val="none" w:sz="0" w:space="0" w:color="auto"/>
                    <w:bottom w:val="none" w:sz="0" w:space="0" w:color="auto"/>
                    <w:right w:val="none" w:sz="0" w:space="0" w:color="auto"/>
                  </w:divBdr>
                  <w:divsChild>
                    <w:div w:id="62530029">
                      <w:marLeft w:val="0"/>
                      <w:marRight w:val="0"/>
                      <w:marTop w:val="0"/>
                      <w:marBottom w:val="0"/>
                      <w:divBdr>
                        <w:top w:val="none" w:sz="0" w:space="0" w:color="auto"/>
                        <w:left w:val="none" w:sz="0" w:space="0" w:color="auto"/>
                        <w:bottom w:val="none" w:sz="0" w:space="0" w:color="auto"/>
                        <w:right w:val="none" w:sz="0" w:space="0" w:color="auto"/>
                      </w:divBdr>
                    </w:div>
                  </w:divsChild>
                </w:div>
                <w:div w:id="411439648">
                  <w:marLeft w:val="0"/>
                  <w:marRight w:val="0"/>
                  <w:marTop w:val="0"/>
                  <w:marBottom w:val="0"/>
                  <w:divBdr>
                    <w:top w:val="none" w:sz="0" w:space="0" w:color="auto"/>
                    <w:left w:val="none" w:sz="0" w:space="0" w:color="auto"/>
                    <w:bottom w:val="none" w:sz="0" w:space="0" w:color="auto"/>
                    <w:right w:val="none" w:sz="0" w:space="0" w:color="auto"/>
                  </w:divBdr>
                  <w:divsChild>
                    <w:div w:id="331878873">
                      <w:marLeft w:val="0"/>
                      <w:marRight w:val="0"/>
                      <w:marTop w:val="0"/>
                      <w:marBottom w:val="0"/>
                      <w:divBdr>
                        <w:top w:val="none" w:sz="0" w:space="0" w:color="auto"/>
                        <w:left w:val="none" w:sz="0" w:space="0" w:color="auto"/>
                        <w:bottom w:val="none" w:sz="0" w:space="0" w:color="auto"/>
                        <w:right w:val="none" w:sz="0" w:space="0" w:color="auto"/>
                      </w:divBdr>
                    </w:div>
                    <w:div w:id="890851411">
                      <w:marLeft w:val="0"/>
                      <w:marRight w:val="0"/>
                      <w:marTop w:val="0"/>
                      <w:marBottom w:val="0"/>
                      <w:divBdr>
                        <w:top w:val="none" w:sz="0" w:space="0" w:color="auto"/>
                        <w:left w:val="none" w:sz="0" w:space="0" w:color="auto"/>
                        <w:bottom w:val="none" w:sz="0" w:space="0" w:color="auto"/>
                        <w:right w:val="none" w:sz="0" w:space="0" w:color="auto"/>
                      </w:divBdr>
                    </w:div>
                  </w:divsChild>
                </w:div>
                <w:div w:id="526456232">
                  <w:marLeft w:val="0"/>
                  <w:marRight w:val="0"/>
                  <w:marTop w:val="0"/>
                  <w:marBottom w:val="0"/>
                  <w:divBdr>
                    <w:top w:val="none" w:sz="0" w:space="0" w:color="auto"/>
                    <w:left w:val="none" w:sz="0" w:space="0" w:color="auto"/>
                    <w:bottom w:val="none" w:sz="0" w:space="0" w:color="auto"/>
                    <w:right w:val="none" w:sz="0" w:space="0" w:color="auto"/>
                  </w:divBdr>
                  <w:divsChild>
                    <w:div w:id="823200082">
                      <w:marLeft w:val="0"/>
                      <w:marRight w:val="0"/>
                      <w:marTop w:val="0"/>
                      <w:marBottom w:val="0"/>
                      <w:divBdr>
                        <w:top w:val="none" w:sz="0" w:space="0" w:color="auto"/>
                        <w:left w:val="none" w:sz="0" w:space="0" w:color="auto"/>
                        <w:bottom w:val="none" w:sz="0" w:space="0" w:color="auto"/>
                        <w:right w:val="none" w:sz="0" w:space="0" w:color="auto"/>
                      </w:divBdr>
                    </w:div>
                    <w:div w:id="1641494670">
                      <w:marLeft w:val="0"/>
                      <w:marRight w:val="0"/>
                      <w:marTop w:val="0"/>
                      <w:marBottom w:val="0"/>
                      <w:divBdr>
                        <w:top w:val="none" w:sz="0" w:space="0" w:color="auto"/>
                        <w:left w:val="none" w:sz="0" w:space="0" w:color="auto"/>
                        <w:bottom w:val="none" w:sz="0" w:space="0" w:color="auto"/>
                        <w:right w:val="none" w:sz="0" w:space="0" w:color="auto"/>
                      </w:divBdr>
                    </w:div>
                  </w:divsChild>
                </w:div>
                <w:div w:id="1062948753">
                  <w:marLeft w:val="0"/>
                  <w:marRight w:val="0"/>
                  <w:marTop w:val="0"/>
                  <w:marBottom w:val="0"/>
                  <w:divBdr>
                    <w:top w:val="none" w:sz="0" w:space="0" w:color="auto"/>
                    <w:left w:val="none" w:sz="0" w:space="0" w:color="auto"/>
                    <w:bottom w:val="none" w:sz="0" w:space="0" w:color="auto"/>
                    <w:right w:val="none" w:sz="0" w:space="0" w:color="auto"/>
                  </w:divBdr>
                  <w:divsChild>
                    <w:div w:id="875652982">
                      <w:marLeft w:val="0"/>
                      <w:marRight w:val="0"/>
                      <w:marTop w:val="0"/>
                      <w:marBottom w:val="0"/>
                      <w:divBdr>
                        <w:top w:val="none" w:sz="0" w:space="0" w:color="auto"/>
                        <w:left w:val="none" w:sz="0" w:space="0" w:color="auto"/>
                        <w:bottom w:val="none" w:sz="0" w:space="0" w:color="auto"/>
                        <w:right w:val="none" w:sz="0" w:space="0" w:color="auto"/>
                      </w:divBdr>
                    </w:div>
                    <w:div w:id="1111128874">
                      <w:marLeft w:val="0"/>
                      <w:marRight w:val="0"/>
                      <w:marTop w:val="0"/>
                      <w:marBottom w:val="0"/>
                      <w:divBdr>
                        <w:top w:val="none" w:sz="0" w:space="0" w:color="auto"/>
                        <w:left w:val="none" w:sz="0" w:space="0" w:color="auto"/>
                        <w:bottom w:val="none" w:sz="0" w:space="0" w:color="auto"/>
                        <w:right w:val="none" w:sz="0" w:space="0" w:color="auto"/>
                      </w:divBdr>
                    </w:div>
                  </w:divsChild>
                </w:div>
                <w:div w:id="1439522230">
                  <w:marLeft w:val="0"/>
                  <w:marRight w:val="0"/>
                  <w:marTop w:val="0"/>
                  <w:marBottom w:val="0"/>
                  <w:divBdr>
                    <w:top w:val="none" w:sz="0" w:space="0" w:color="auto"/>
                    <w:left w:val="none" w:sz="0" w:space="0" w:color="auto"/>
                    <w:bottom w:val="none" w:sz="0" w:space="0" w:color="auto"/>
                    <w:right w:val="none" w:sz="0" w:space="0" w:color="auto"/>
                  </w:divBdr>
                  <w:divsChild>
                    <w:div w:id="438452841">
                      <w:marLeft w:val="0"/>
                      <w:marRight w:val="0"/>
                      <w:marTop w:val="0"/>
                      <w:marBottom w:val="0"/>
                      <w:divBdr>
                        <w:top w:val="none" w:sz="0" w:space="0" w:color="auto"/>
                        <w:left w:val="none" w:sz="0" w:space="0" w:color="auto"/>
                        <w:bottom w:val="none" w:sz="0" w:space="0" w:color="auto"/>
                        <w:right w:val="none" w:sz="0" w:space="0" w:color="auto"/>
                      </w:divBdr>
                    </w:div>
                    <w:div w:id="1550998126">
                      <w:marLeft w:val="0"/>
                      <w:marRight w:val="0"/>
                      <w:marTop w:val="0"/>
                      <w:marBottom w:val="0"/>
                      <w:divBdr>
                        <w:top w:val="none" w:sz="0" w:space="0" w:color="auto"/>
                        <w:left w:val="none" w:sz="0" w:space="0" w:color="auto"/>
                        <w:bottom w:val="none" w:sz="0" w:space="0" w:color="auto"/>
                        <w:right w:val="none" w:sz="0" w:space="0" w:color="auto"/>
                      </w:divBdr>
                    </w:div>
                    <w:div w:id="167746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046191">
          <w:marLeft w:val="0"/>
          <w:marRight w:val="0"/>
          <w:marTop w:val="0"/>
          <w:marBottom w:val="0"/>
          <w:divBdr>
            <w:top w:val="none" w:sz="0" w:space="0" w:color="auto"/>
            <w:left w:val="none" w:sz="0" w:space="0" w:color="auto"/>
            <w:bottom w:val="none" w:sz="0" w:space="0" w:color="auto"/>
            <w:right w:val="none" w:sz="0" w:space="0" w:color="auto"/>
          </w:divBdr>
        </w:div>
        <w:div w:id="1835417155">
          <w:marLeft w:val="0"/>
          <w:marRight w:val="0"/>
          <w:marTop w:val="0"/>
          <w:marBottom w:val="0"/>
          <w:divBdr>
            <w:top w:val="none" w:sz="0" w:space="0" w:color="auto"/>
            <w:left w:val="none" w:sz="0" w:space="0" w:color="auto"/>
            <w:bottom w:val="none" w:sz="0" w:space="0" w:color="auto"/>
            <w:right w:val="none" w:sz="0" w:space="0" w:color="auto"/>
          </w:divBdr>
        </w:div>
        <w:div w:id="1950165742">
          <w:marLeft w:val="0"/>
          <w:marRight w:val="0"/>
          <w:marTop w:val="0"/>
          <w:marBottom w:val="0"/>
          <w:divBdr>
            <w:top w:val="none" w:sz="0" w:space="0" w:color="auto"/>
            <w:left w:val="none" w:sz="0" w:space="0" w:color="auto"/>
            <w:bottom w:val="none" w:sz="0" w:space="0" w:color="auto"/>
            <w:right w:val="none" w:sz="0" w:space="0" w:color="auto"/>
          </w:divBdr>
        </w:div>
        <w:div w:id="1979264729">
          <w:marLeft w:val="0"/>
          <w:marRight w:val="0"/>
          <w:marTop w:val="0"/>
          <w:marBottom w:val="0"/>
          <w:divBdr>
            <w:top w:val="none" w:sz="0" w:space="0" w:color="auto"/>
            <w:left w:val="none" w:sz="0" w:space="0" w:color="auto"/>
            <w:bottom w:val="none" w:sz="0" w:space="0" w:color="auto"/>
            <w:right w:val="none" w:sz="0" w:space="0" w:color="auto"/>
          </w:divBdr>
        </w:div>
        <w:div w:id="2011517630">
          <w:marLeft w:val="0"/>
          <w:marRight w:val="0"/>
          <w:marTop w:val="0"/>
          <w:marBottom w:val="0"/>
          <w:divBdr>
            <w:top w:val="none" w:sz="0" w:space="0" w:color="auto"/>
            <w:left w:val="none" w:sz="0" w:space="0" w:color="auto"/>
            <w:bottom w:val="none" w:sz="0" w:space="0" w:color="auto"/>
            <w:right w:val="none" w:sz="0" w:space="0" w:color="auto"/>
          </w:divBdr>
          <w:divsChild>
            <w:div w:id="194270525">
              <w:marLeft w:val="0"/>
              <w:marRight w:val="0"/>
              <w:marTop w:val="0"/>
              <w:marBottom w:val="0"/>
              <w:divBdr>
                <w:top w:val="none" w:sz="0" w:space="0" w:color="auto"/>
                <w:left w:val="none" w:sz="0" w:space="0" w:color="auto"/>
                <w:bottom w:val="none" w:sz="0" w:space="0" w:color="auto"/>
                <w:right w:val="none" w:sz="0" w:space="0" w:color="auto"/>
              </w:divBdr>
            </w:div>
            <w:div w:id="209808463">
              <w:marLeft w:val="0"/>
              <w:marRight w:val="0"/>
              <w:marTop w:val="0"/>
              <w:marBottom w:val="0"/>
              <w:divBdr>
                <w:top w:val="none" w:sz="0" w:space="0" w:color="auto"/>
                <w:left w:val="none" w:sz="0" w:space="0" w:color="auto"/>
                <w:bottom w:val="none" w:sz="0" w:space="0" w:color="auto"/>
                <w:right w:val="none" w:sz="0" w:space="0" w:color="auto"/>
              </w:divBdr>
            </w:div>
            <w:div w:id="349110646">
              <w:marLeft w:val="0"/>
              <w:marRight w:val="0"/>
              <w:marTop w:val="0"/>
              <w:marBottom w:val="0"/>
              <w:divBdr>
                <w:top w:val="none" w:sz="0" w:space="0" w:color="auto"/>
                <w:left w:val="none" w:sz="0" w:space="0" w:color="auto"/>
                <w:bottom w:val="none" w:sz="0" w:space="0" w:color="auto"/>
                <w:right w:val="none" w:sz="0" w:space="0" w:color="auto"/>
              </w:divBdr>
            </w:div>
            <w:div w:id="360277536">
              <w:marLeft w:val="0"/>
              <w:marRight w:val="0"/>
              <w:marTop w:val="0"/>
              <w:marBottom w:val="0"/>
              <w:divBdr>
                <w:top w:val="none" w:sz="0" w:space="0" w:color="auto"/>
                <w:left w:val="none" w:sz="0" w:space="0" w:color="auto"/>
                <w:bottom w:val="none" w:sz="0" w:space="0" w:color="auto"/>
                <w:right w:val="none" w:sz="0" w:space="0" w:color="auto"/>
              </w:divBdr>
            </w:div>
            <w:div w:id="488905346">
              <w:marLeft w:val="0"/>
              <w:marRight w:val="0"/>
              <w:marTop w:val="0"/>
              <w:marBottom w:val="0"/>
              <w:divBdr>
                <w:top w:val="none" w:sz="0" w:space="0" w:color="auto"/>
                <w:left w:val="none" w:sz="0" w:space="0" w:color="auto"/>
                <w:bottom w:val="none" w:sz="0" w:space="0" w:color="auto"/>
                <w:right w:val="none" w:sz="0" w:space="0" w:color="auto"/>
              </w:divBdr>
            </w:div>
            <w:div w:id="781844838">
              <w:marLeft w:val="0"/>
              <w:marRight w:val="0"/>
              <w:marTop w:val="0"/>
              <w:marBottom w:val="0"/>
              <w:divBdr>
                <w:top w:val="none" w:sz="0" w:space="0" w:color="auto"/>
                <w:left w:val="none" w:sz="0" w:space="0" w:color="auto"/>
                <w:bottom w:val="none" w:sz="0" w:space="0" w:color="auto"/>
                <w:right w:val="none" w:sz="0" w:space="0" w:color="auto"/>
              </w:divBdr>
            </w:div>
            <w:div w:id="795487942">
              <w:marLeft w:val="0"/>
              <w:marRight w:val="0"/>
              <w:marTop w:val="0"/>
              <w:marBottom w:val="0"/>
              <w:divBdr>
                <w:top w:val="none" w:sz="0" w:space="0" w:color="auto"/>
                <w:left w:val="none" w:sz="0" w:space="0" w:color="auto"/>
                <w:bottom w:val="none" w:sz="0" w:space="0" w:color="auto"/>
                <w:right w:val="none" w:sz="0" w:space="0" w:color="auto"/>
              </w:divBdr>
            </w:div>
            <w:div w:id="850219522">
              <w:marLeft w:val="0"/>
              <w:marRight w:val="0"/>
              <w:marTop w:val="0"/>
              <w:marBottom w:val="0"/>
              <w:divBdr>
                <w:top w:val="none" w:sz="0" w:space="0" w:color="auto"/>
                <w:left w:val="none" w:sz="0" w:space="0" w:color="auto"/>
                <w:bottom w:val="none" w:sz="0" w:space="0" w:color="auto"/>
                <w:right w:val="none" w:sz="0" w:space="0" w:color="auto"/>
              </w:divBdr>
            </w:div>
            <w:div w:id="877282986">
              <w:marLeft w:val="0"/>
              <w:marRight w:val="0"/>
              <w:marTop w:val="0"/>
              <w:marBottom w:val="0"/>
              <w:divBdr>
                <w:top w:val="none" w:sz="0" w:space="0" w:color="auto"/>
                <w:left w:val="none" w:sz="0" w:space="0" w:color="auto"/>
                <w:bottom w:val="none" w:sz="0" w:space="0" w:color="auto"/>
                <w:right w:val="none" w:sz="0" w:space="0" w:color="auto"/>
              </w:divBdr>
            </w:div>
            <w:div w:id="1006981052">
              <w:marLeft w:val="0"/>
              <w:marRight w:val="0"/>
              <w:marTop w:val="0"/>
              <w:marBottom w:val="0"/>
              <w:divBdr>
                <w:top w:val="none" w:sz="0" w:space="0" w:color="auto"/>
                <w:left w:val="none" w:sz="0" w:space="0" w:color="auto"/>
                <w:bottom w:val="none" w:sz="0" w:space="0" w:color="auto"/>
                <w:right w:val="none" w:sz="0" w:space="0" w:color="auto"/>
              </w:divBdr>
            </w:div>
            <w:div w:id="1063715989">
              <w:marLeft w:val="0"/>
              <w:marRight w:val="0"/>
              <w:marTop w:val="0"/>
              <w:marBottom w:val="0"/>
              <w:divBdr>
                <w:top w:val="none" w:sz="0" w:space="0" w:color="auto"/>
                <w:left w:val="none" w:sz="0" w:space="0" w:color="auto"/>
                <w:bottom w:val="none" w:sz="0" w:space="0" w:color="auto"/>
                <w:right w:val="none" w:sz="0" w:space="0" w:color="auto"/>
              </w:divBdr>
            </w:div>
            <w:div w:id="1271161152">
              <w:marLeft w:val="0"/>
              <w:marRight w:val="0"/>
              <w:marTop w:val="0"/>
              <w:marBottom w:val="0"/>
              <w:divBdr>
                <w:top w:val="none" w:sz="0" w:space="0" w:color="auto"/>
                <w:left w:val="none" w:sz="0" w:space="0" w:color="auto"/>
                <w:bottom w:val="none" w:sz="0" w:space="0" w:color="auto"/>
                <w:right w:val="none" w:sz="0" w:space="0" w:color="auto"/>
              </w:divBdr>
            </w:div>
            <w:div w:id="1474176192">
              <w:marLeft w:val="0"/>
              <w:marRight w:val="0"/>
              <w:marTop w:val="0"/>
              <w:marBottom w:val="0"/>
              <w:divBdr>
                <w:top w:val="none" w:sz="0" w:space="0" w:color="auto"/>
                <w:left w:val="none" w:sz="0" w:space="0" w:color="auto"/>
                <w:bottom w:val="none" w:sz="0" w:space="0" w:color="auto"/>
                <w:right w:val="none" w:sz="0" w:space="0" w:color="auto"/>
              </w:divBdr>
            </w:div>
            <w:div w:id="1571815434">
              <w:marLeft w:val="0"/>
              <w:marRight w:val="0"/>
              <w:marTop w:val="0"/>
              <w:marBottom w:val="0"/>
              <w:divBdr>
                <w:top w:val="none" w:sz="0" w:space="0" w:color="auto"/>
                <w:left w:val="none" w:sz="0" w:space="0" w:color="auto"/>
                <w:bottom w:val="none" w:sz="0" w:space="0" w:color="auto"/>
                <w:right w:val="none" w:sz="0" w:space="0" w:color="auto"/>
              </w:divBdr>
            </w:div>
            <w:div w:id="1867870604">
              <w:marLeft w:val="0"/>
              <w:marRight w:val="0"/>
              <w:marTop w:val="0"/>
              <w:marBottom w:val="0"/>
              <w:divBdr>
                <w:top w:val="none" w:sz="0" w:space="0" w:color="auto"/>
                <w:left w:val="none" w:sz="0" w:space="0" w:color="auto"/>
                <w:bottom w:val="none" w:sz="0" w:space="0" w:color="auto"/>
                <w:right w:val="none" w:sz="0" w:space="0" w:color="auto"/>
              </w:divBdr>
            </w:div>
            <w:div w:id="1891184856">
              <w:marLeft w:val="0"/>
              <w:marRight w:val="0"/>
              <w:marTop w:val="0"/>
              <w:marBottom w:val="0"/>
              <w:divBdr>
                <w:top w:val="none" w:sz="0" w:space="0" w:color="auto"/>
                <w:left w:val="none" w:sz="0" w:space="0" w:color="auto"/>
                <w:bottom w:val="none" w:sz="0" w:space="0" w:color="auto"/>
                <w:right w:val="none" w:sz="0" w:space="0" w:color="auto"/>
              </w:divBdr>
            </w:div>
            <w:div w:id="1914467926">
              <w:marLeft w:val="0"/>
              <w:marRight w:val="0"/>
              <w:marTop w:val="0"/>
              <w:marBottom w:val="0"/>
              <w:divBdr>
                <w:top w:val="none" w:sz="0" w:space="0" w:color="auto"/>
                <w:left w:val="none" w:sz="0" w:space="0" w:color="auto"/>
                <w:bottom w:val="none" w:sz="0" w:space="0" w:color="auto"/>
                <w:right w:val="none" w:sz="0" w:space="0" w:color="auto"/>
              </w:divBdr>
            </w:div>
            <w:div w:id="1974477905">
              <w:marLeft w:val="0"/>
              <w:marRight w:val="0"/>
              <w:marTop w:val="0"/>
              <w:marBottom w:val="0"/>
              <w:divBdr>
                <w:top w:val="none" w:sz="0" w:space="0" w:color="auto"/>
                <w:left w:val="none" w:sz="0" w:space="0" w:color="auto"/>
                <w:bottom w:val="none" w:sz="0" w:space="0" w:color="auto"/>
                <w:right w:val="none" w:sz="0" w:space="0" w:color="auto"/>
              </w:divBdr>
            </w:div>
            <w:div w:id="2003854167">
              <w:marLeft w:val="0"/>
              <w:marRight w:val="0"/>
              <w:marTop w:val="0"/>
              <w:marBottom w:val="0"/>
              <w:divBdr>
                <w:top w:val="none" w:sz="0" w:space="0" w:color="auto"/>
                <w:left w:val="none" w:sz="0" w:space="0" w:color="auto"/>
                <w:bottom w:val="none" w:sz="0" w:space="0" w:color="auto"/>
                <w:right w:val="none" w:sz="0" w:space="0" w:color="auto"/>
              </w:divBdr>
            </w:div>
            <w:div w:id="2101873732">
              <w:marLeft w:val="0"/>
              <w:marRight w:val="0"/>
              <w:marTop w:val="0"/>
              <w:marBottom w:val="0"/>
              <w:divBdr>
                <w:top w:val="none" w:sz="0" w:space="0" w:color="auto"/>
                <w:left w:val="none" w:sz="0" w:space="0" w:color="auto"/>
                <w:bottom w:val="none" w:sz="0" w:space="0" w:color="auto"/>
                <w:right w:val="none" w:sz="0" w:space="0" w:color="auto"/>
              </w:divBdr>
            </w:div>
          </w:divsChild>
        </w:div>
        <w:div w:id="2138643029">
          <w:marLeft w:val="0"/>
          <w:marRight w:val="0"/>
          <w:marTop w:val="0"/>
          <w:marBottom w:val="0"/>
          <w:divBdr>
            <w:top w:val="none" w:sz="0" w:space="0" w:color="auto"/>
            <w:left w:val="none" w:sz="0" w:space="0" w:color="auto"/>
            <w:bottom w:val="none" w:sz="0" w:space="0" w:color="auto"/>
            <w:right w:val="none" w:sz="0" w:space="0" w:color="auto"/>
          </w:divBdr>
        </w:div>
      </w:divsChild>
    </w:div>
    <w:div w:id="627853558">
      <w:bodyDiv w:val="1"/>
      <w:marLeft w:val="0"/>
      <w:marRight w:val="0"/>
      <w:marTop w:val="0"/>
      <w:marBottom w:val="0"/>
      <w:divBdr>
        <w:top w:val="none" w:sz="0" w:space="0" w:color="auto"/>
        <w:left w:val="none" w:sz="0" w:space="0" w:color="auto"/>
        <w:bottom w:val="none" w:sz="0" w:space="0" w:color="auto"/>
        <w:right w:val="none" w:sz="0" w:space="0" w:color="auto"/>
      </w:divBdr>
    </w:div>
    <w:div w:id="656105530">
      <w:bodyDiv w:val="1"/>
      <w:marLeft w:val="0"/>
      <w:marRight w:val="0"/>
      <w:marTop w:val="0"/>
      <w:marBottom w:val="0"/>
      <w:divBdr>
        <w:top w:val="none" w:sz="0" w:space="0" w:color="auto"/>
        <w:left w:val="none" w:sz="0" w:space="0" w:color="auto"/>
        <w:bottom w:val="none" w:sz="0" w:space="0" w:color="auto"/>
        <w:right w:val="none" w:sz="0" w:space="0" w:color="auto"/>
      </w:divBdr>
      <w:divsChild>
        <w:div w:id="202984905">
          <w:marLeft w:val="0"/>
          <w:marRight w:val="0"/>
          <w:marTop w:val="0"/>
          <w:marBottom w:val="0"/>
          <w:divBdr>
            <w:top w:val="none" w:sz="0" w:space="0" w:color="auto"/>
            <w:left w:val="none" w:sz="0" w:space="0" w:color="auto"/>
            <w:bottom w:val="none" w:sz="0" w:space="0" w:color="auto"/>
            <w:right w:val="none" w:sz="0" w:space="0" w:color="auto"/>
          </w:divBdr>
        </w:div>
      </w:divsChild>
    </w:div>
    <w:div w:id="662198582">
      <w:bodyDiv w:val="1"/>
      <w:marLeft w:val="0"/>
      <w:marRight w:val="0"/>
      <w:marTop w:val="0"/>
      <w:marBottom w:val="0"/>
      <w:divBdr>
        <w:top w:val="none" w:sz="0" w:space="0" w:color="auto"/>
        <w:left w:val="none" w:sz="0" w:space="0" w:color="auto"/>
        <w:bottom w:val="none" w:sz="0" w:space="0" w:color="auto"/>
        <w:right w:val="none" w:sz="0" w:space="0" w:color="auto"/>
      </w:divBdr>
    </w:div>
    <w:div w:id="678777486">
      <w:bodyDiv w:val="1"/>
      <w:marLeft w:val="0"/>
      <w:marRight w:val="0"/>
      <w:marTop w:val="0"/>
      <w:marBottom w:val="0"/>
      <w:divBdr>
        <w:top w:val="none" w:sz="0" w:space="0" w:color="auto"/>
        <w:left w:val="none" w:sz="0" w:space="0" w:color="auto"/>
        <w:bottom w:val="none" w:sz="0" w:space="0" w:color="auto"/>
        <w:right w:val="none" w:sz="0" w:space="0" w:color="auto"/>
      </w:divBdr>
    </w:div>
    <w:div w:id="688604637">
      <w:bodyDiv w:val="1"/>
      <w:marLeft w:val="0"/>
      <w:marRight w:val="0"/>
      <w:marTop w:val="0"/>
      <w:marBottom w:val="0"/>
      <w:divBdr>
        <w:top w:val="none" w:sz="0" w:space="0" w:color="auto"/>
        <w:left w:val="none" w:sz="0" w:space="0" w:color="auto"/>
        <w:bottom w:val="none" w:sz="0" w:space="0" w:color="auto"/>
        <w:right w:val="none" w:sz="0" w:space="0" w:color="auto"/>
      </w:divBdr>
    </w:div>
    <w:div w:id="694304499">
      <w:bodyDiv w:val="1"/>
      <w:marLeft w:val="0"/>
      <w:marRight w:val="0"/>
      <w:marTop w:val="0"/>
      <w:marBottom w:val="0"/>
      <w:divBdr>
        <w:top w:val="none" w:sz="0" w:space="0" w:color="auto"/>
        <w:left w:val="none" w:sz="0" w:space="0" w:color="auto"/>
        <w:bottom w:val="none" w:sz="0" w:space="0" w:color="auto"/>
        <w:right w:val="none" w:sz="0" w:space="0" w:color="auto"/>
      </w:divBdr>
    </w:div>
    <w:div w:id="695230103">
      <w:bodyDiv w:val="1"/>
      <w:marLeft w:val="0"/>
      <w:marRight w:val="0"/>
      <w:marTop w:val="0"/>
      <w:marBottom w:val="0"/>
      <w:divBdr>
        <w:top w:val="none" w:sz="0" w:space="0" w:color="auto"/>
        <w:left w:val="none" w:sz="0" w:space="0" w:color="auto"/>
        <w:bottom w:val="none" w:sz="0" w:space="0" w:color="auto"/>
        <w:right w:val="none" w:sz="0" w:space="0" w:color="auto"/>
      </w:divBdr>
    </w:div>
    <w:div w:id="697655973">
      <w:bodyDiv w:val="1"/>
      <w:marLeft w:val="0"/>
      <w:marRight w:val="0"/>
      <w:marTop w:val="0"/>
      <w:marBottom w:val="0"/>
      <w:divBdr>
        <w:top w:val="none" w:sz="0" w:space="0" w:color="auto"/>
        <w:left w:val="none" w:sz="0" w:space="0" w:color="auto"/>
        <w:bottom w:val="none" w:sz="0" w:space="0" w:color="auto"/>
        <w:right w:val="none" w:sz="0" w:space="0" w:color="auto"/>
      </w:divBdr>
    </w:div>
    <w:div w:id="699400356">
      <w:bodyDiv w:val="1"/>
      <w:marLeft w:val="0"/>
      <w:marRight w:val="0"/>
      <w:marTop w:val="0"/>
      <w:marBottom w:val="0"/>
      <w:divBdr>
        <w:top w:val="none" w:sz="0" w:space="0" w:color="auto"/>
        <w:left w:val="none" w:sz="0" w:space="0" w:color="auto"/>
        <w:bottom w:val="none" w:sz="0" w:space="0" w:color="auto"/>
        <w:right w:val="none" w:sz="0" w:space="0" w:color="auto"/>
      </w:divBdr>
    </w:div>
    <w:div w:id="701512820">
      <w:bodyDiv w:val="1"/>
      <w:marLeft w:val="0"/>
      <w:marRight w:val="0"/>
      <w:marTop w:val="0"/>
      <w:marBottom w:val="0"/>
      <w:divBdr>
        <w:top w:val="none" w:sz="0" w:space="0" w:color="auto"/>
        <w:left w:val="none" w:sz="0" w:space="0" w:color="auto"/>
        <w:bottom w:val="none" w:sz="0" w:space="0" w:color="auto"/>
        <w:right w:val="none" w:sz="0" w:space="0" w:color="auto"/>
      </w:divBdr>
    </w:div>
    <w:div w:id="723212980">
      <w:bodyDiv w:val="1"/>
      <w:marLeft w:val="0"/>
      <w:marRight w:val="0"/>
      <w:marTop w:val="0"/>
      <w:marBottom w:val="0"/>
      <w:divBdr>
        <w:top w:val="none" w:sz="0" w:space="0" w:color="auto"/>
        <w:left w:val="none" w:sz="0" w:space="0" w:color="auto"/>
        <w:bottom w:val="none" w:sz="0" w:space="0" w:color="auto"/>
        <w:right w:val="none" w:sz="0" w:space="0" w:color="auto"/>
      </w:divBdr>
    </w:div>
    <w:div w:id="732311279">
      <w:bodyDiv w:val="1"/>
      <w:marLeft w:val="0"/>
      <w:marRight w:val="0"/>
      <w:marTop w:val="0"/>
      <w:marBottom w:val="0"/>
      <w:divBdr>
        <w:top w:val="none" w:sz="0" w:space="0" w:color="auto"/>
        <w:left w:val="none" w:sz="0" w:space="0" w:color="auto"/>
        <w:bottom w:val="none" w:sz="0" w:space="0" w:color="auto"/>
        <w:right w:val="none" w:sz="0" w:space="0" w:color="auto"/>
      </w:divBdr>
    </w:div>
    <w:div w:id="733504065">
      <w:bodyDiv w:val="1"/>
      <w:marLeft w:val="0"/>
      <w:marRight w:val="0"/>
      <w:marTop w:val="0"/>
      <w:marBottom w:val="0"/>
      <w:divBdr>
        <w:top w:val="none" w:sz="0" w:space="0" w:color="auto"/>
        <w:left w:val="none" w:sz="0" w:space="0" w:color="auto"/>
        <w:bottom w:val="none" w:sz="0" w:space="0" w:color="auto"/>
        <w:right w:val="none" w:sz="0" w:space="0" w:color="auto"/>
      </w:divBdr>
    </w:div>
    <w:div w:id="734397798">
      <w:bodyDiv w:val="1"/>
      <w:marLeft w:val="0"/>
      <w:marRight w:val="0"/>
      <w:marTop w:val="0"/>
      <w:marBottom w:val="0"/>
      <w:divBdr>
        <w:top w:val="none" w:sz="0" w:space="0" w:color="auto"/>
        <w:left w:val="none" w:sz="0" w:space="0" w:color="auto"/>
        <w:bottom w:val="none" w:sz="0" w:space="0" w:color="auto"/>
        <w:right w:val="none" w:sz="0" w:space="0" w:color="auto"/>
      </w:divBdr>
    </w:div>
    <w:div w:id="737095474">
      <w:bodyDiv w:val="1"/>
      <w:marLeft w:val="0"/>
      <w:marRight w:val="0"/>
      <w:marTop w:val="0"/>
      <w:marBottom w:val="0"/>
      <w:divBdr>
        <w:top w:val="none" w:sz="0" w:space="0" w:color="auto"/>
        <w:left w:val="none" w:sz="0" w:space="0" w:color="auto"/>
        <w:bottom w:val="none" w:sz="0" w:space="0" w:color="auto"/>
        <w:right w:val="none" w:sz="0" w:space="0" w:color="auto"/>
      </w:divBdr>
    </w:div>
    <w:div w:id="744451388">
      <w:bodyDiv w:val="1"/>
      <w:marLeft w:val="0"/>
      <w:marRight w:val="0"/>
      <w:marTop w:val="0"/>
      <w:marBottom w:val="0"/>
      <w:divBdr>
        <w:top w:val="none" w:sz="0" w:space="0" w:color="auto"/>
        <w:left w:val="none" w:sz="0" w:space="0" w:color="auto"/>
        <w:bottom w:val="none" w:sz="0" w:space="0" w:color="auto"/>
        <w:right w:val="none" w:sz="0" w:space="0" w:color="auto"/>
      </w:divBdr>
    </w:div>
    <w:div w:id="745684486">
      <w:bodyDiv w:val="1"/>
      <w:marLeft w:val="0"/>
      <w:marRight w:val="0"/>
      <w:marTop w:val="0"/>
      <w:marBottom w:val="0"/>
      <w:divBdr>
        <w:top w:val="none" w:sz="0" w:space="0" w:color="auto"/>
        <w:left w:val="none" w:sz="0" w:space="0" w:color="auto"/>
        <w:bottom w:val="none" w:sz="0" w:space="0" w:color="auto"/>
        <w:right w:val="none" w:sz="0" w:space="0" w:color="auto"/>
      </w:divBdr>
    </w:div>
    <w:div w:id="749229425">
      <w:bodyDiv w:val="1"/>
      <w:marLeft w:val="0"/>
      <w:marRight w:val="0"/>
      <w:marTop w:val="0"/>
      <w:marBottom w:val="0"/>
      <w:divBdr>
        <w:top w:val="none" w:sz="0" w:space="0" w:color="auto"/>
        <w:left w:val="none" w:sz="0" w:space="0" w:color="auto"/>
        <w:bottom w:val="none" w:sz="0" w:space="0" w:color="auto"/>
        <w:right w:val="none" w:sz="0" w:space="0" w:color="auto"/>
      </w:divBdr>
    </w:div>
    <w:div w:id="753628368">
      <w:bodyDiv w:val="1"/>
      <w:marLeft w:val="0"/>
      <w:marRight w:val="0"/>
      <w:marTop w:val="0"/>
      <w:marBottom w:val="0"/>
      <w:divBdr>
        <w:top w:val="none" w:sz="0" w:space="0" w:color="auto"/>
        <w:left w:val="none" w:sz="0" w:space="0" w:color="auto"/>
        <w:bottom w:val="none" w:sz="0" w:space="0" w:color="auto"/>
        <w:right w:val="none" w:sz="0" w:space="0" w:color="auto"/>
      </w:divBdr>
    </w:div>
    <w:div w:id="756244453">
      <w:bodyDiv w:val="1"/>
      <w:marLeft w:val="0"/>
      <w:marRight w:val="0"/>
      <w:marTop w:val="0"/>
      <w:marBottom w:val="0"/>
      <w:divBdr>
        <w:top w:val="none" w:sz="0" w:space="0" w:color="auto"/>
        <w:left w:val="none" w:sz="0" w:space="0" w:color="auto"/>
        <w:bottom w:val="none" w:sz="0" w:space="0" w:color="auto"/>
        <w:right w:val="none" w:sz="0" w:space="0" w:color="auto"/>
      </w:divBdr>
    </w:div>
    <w:div w:id="757943590">
      <w:bodyDiv w:val="1"/>
      <w:marLeft w:val="0"/>
      <w:marRight w:val="0"/>
      <w:marTop w:val="0"/>
      <w:marBottom w:val="0"/>
      <w:divBdr>
        <w:top w:val="none" w:sz="0" w:space="0" w:color="auto"/>
        <w:left w:val="none" w:sz="0" w:space="0" w:color="auto"/>
        <w:bottom w:val="none" w:sz="0" w:space="0" w:color="auto"/>
        <w:right w:val="none" w:sz="0" w:space="0" w:color="auto"/>
      </w:divBdr>
    </w:div>
    <w:div w:id="758524470">
      <w:bodyDiv w:val="1"/>
      <w:marLeft w:val="0"/>
      <w:marRight w:val="0"/>
      <w:marTop w:val="0"/>
      <w:marBottom w:val="0"/>
      <w:divBdr>
        <w:top w:val="none" w:sz="0" w:space="0" w:color="auto"/>
        <w:left w:val="none" w:sz="0" w:space="0" w:color="auto"/>
        <w:bottom w:val="none" w:sz="0" w:space="0" w:color="auto"/>
        <w:right w:val="none" w:sz="0" w:space="0" w:color="auto"/>
      </w:divBdr>
    </w:div>
    <w:div w:id="766929912">
      <w:bodyDiv w:val="1"/>
      <w:marLeft w:val="0"/>
      <w:marRight w:val="0"/>
      <w:marTop w:val="0"/>
      <w:marBottom w:val="0"/>
      <w:divBdr>
        <w:top w:val="none" w:sz="0" w:space="0" w:color="auto"/>
        <w:left w:val="none" w:sz="0" w:space="0" w:color="auto"/>
        <w:bottom w:val="none" w:sz="0" w:space="0" w:color="auto"/>
        <w:right w:val="none" w:sz="0" w:space="0" w:color="auto"/>
      </w:divBdr>
    </w:div>
    <w:div w:id="768047698">
      <w:bodyDiv w:val="1"/>
      <w:marLeft w:val="0"/>
      <w:marRight w:val="0"/>
      <w:marTop w:val="0"/>
      <w:marBottom w:val="0"/>
      <w:divBdr>
        <w:top w:val="none" w:sz="0" w:space="0" w:color="auto"/>
        <w:left w:val="none" w:sz="0" w:space="0" w:color="auto"/>
        <w:bottom w:val="none" w:sz="0" w:space="0" w:color="auto"/>
        <w:right w:val="none" w:sz="0" w:space="0" w:color="auto"/>
      </w:divBdr>
    </w:div>
    <w:div w:id="770275406">
      <w:bodyDiv w:val="1"/>
      <w:marLeft w:val="0"/>
      <w:marRight w:val="0"/>
      <w:marTop w:val="0"/>
      <w:marBottom w:val="0"/>
      <w:divBdr>
        <w:top w:val="none" w:sz="0" w:space="0" w:color="auto"/>
        <w:left w:val="none" w:sz="0" w:space="0" w:color="auto"/>
        <w:bottom w:val="none" w:sz="0" w:space="0" w:color="auto"/>
        <w:right w:val="none" w:sz="0" w:space="0" w:color="auto"/>
      </w:divBdr>
    </w:div>
    <w:div w:id="773406722">
      <w:bodyDiv w:val="1"/>
      <w:marLeft w:val="0"/>
      <w:marRight w:val="0"/>
      <w:marTop w:val="0"/>
      <w:marBottom w:val="0"/>
      <w:divBdr>
        <w:top w:val="none" w:sz="0" w:space="0" w:color="auto"/>
        <w:left w:val="none" w:sz="0" w:space="0" w:color="auto"/>
        <w:bottom w:val="none" w:sz="0" w:space="0" w:color="auto"/>
        <w:right w:val="none" w:sz="0" w:space="0" w:color="auto"/>
      </w:divBdr>
    </w:div>
    <w:div w:id="775632844">
      <w:bodyDiv w:val="1"/>
      <w:marLeft w:val="0"/>
      <w:marRight w:val="0"/>
      <w:marTop w:val="0"/>
      <w:marBottom w:val="0"/>
      <w:divBdr>
        <w:top w:val="none" w:sz="0" w:space="0" w:color="auto"/>
        <w:left w:val="none" w:sz="0" w:space="0" w:color="auto"/>
        <w:bottom w:val="none" w:sz="0" w:space="0" w:color="auto"/>
        <w:right w:val="none" w:sz="0" w:space="0" w:color="auto"/>
      </w:divBdr>
    </w:div>
    <w:div w:id="780414482">
      <w:bodyDiv w:val="1"/>
      <w:marLeft w:val="0"/>
      <w:marRight w:val="0"/>
      <w:marTop w:val="0"/>
      <w:marBottom w:val="0"/>
      <w:divBdr>
        <w:top w:val="none" w:sz="0" w:space="0" w:color="auto"/>
        <w:left w:val="none" w:sz="0" w:space="0" w:color="auto"/>
        <w:bottom w:val="none" w:sz="0" w:space="0" w:color="auto"/>
        <w:right w:val="none" w:sz="0" w:space="0" w:color="auto"/>
      </w:divBdr>
      <w:divsChild>
        <w:div w:id="934910">
          <w:marLeft w:val="0"/>
          <w:marRight w:val="0"/>
          <w:marTop w:val="0"/>
          <w:marBottom w:val="0"/>
          <w:divBdr>
            <w:top w:val="none" w:sz="0" w:space="0" w:color="auto"/>
            <w:left w:val="none" w:sz="0" w:space="0" w:color="auto"/>
            <w:bottom w:val="none" w:sz="0" w:space="0" w:color="auto"/>
            <w:right w:val="none" w:sz="0" w:space="0" w:color="auto"/>
          </w:divBdr>
        </w:div>
        <w:div w:id="21831351">
          <w:marLeft w:val="0"/>
          <w:marRight w:val="0"/>
          <w:marTop w:val="0"/>
          <w:marBottom w:val="0"/>
          <w:divBdr>
            <w:top w:val="none" w:sz="0" w:space="0" w:color="auto"/>
            <w:left w:val="none" w:sz="0" w:space="0" w:color="auto"/>
            <w:bottom w:val="none" w:sz="0" w:space="0" w:color="auto"/>
            <w:right w:val="none" w:sz="0" w:space="0" w:color="auto"/>
          </w:divBdr>
        </w:div>
        <w:div w:id="29190550">
          <w:marLeft w:val="0"/>
          <w:marRight w:val="0"/>
          <w:marTop w:val="0"/>
          <w:marBottom w:val="0"/>
          <w:divBdr>
            <w:top w:val="none" w:sz="0" w:space="0" w:color="auto"/>
            <w:left w:val="none" w:sz="0" w:space="0" w:color="auto"/>
            <w:bottom w:val="none" w:sz="0" w:space="0" w:color="auto"/>
            <w:right w:val="none" w:sz="0" w:space="0" w:color="auto"/>
          </w:divBdr>
        </w:div>
        <w:div w:id="104887794">
          <w:marLeft w:val="0"/>
          <w:marRight w:val="0"/>
          <w:marTop w:val="0"/>
          <w:marBottom w:val="0"/>
          <w:divBdr>
            <w:top w:val="none" w:sz="0" w:space="0" w:color="auto"/>
            <w:left w:val="none" w:sz="0" w:space="0" w:color="auto"/>
            <w:bottom w:val="none" w:sz="0" w:space="0" w:color="auto"/>
            <w:right w:val="none" w:sz="0" w:space="0" w:color="auto"/>
          </w:divBdr>
        </w:div>
        <w:div w:id="131094621">
          <w:marLeft w:val="0"/>
          <w:marRight w:val="0"/>
          <w:marTop w:val="0"/>
          <w:marBottom w:val="0"/>
          <w:divBdr>
            <w:top w:val="none" w:sz="0" w:space="0" w:color="auto"/>
            <w:left w:val="none" w:sz="0" w:space="0" w:color="auto"/>
            <w:bottom w:val="none" w:sz="0" w:space="0" w:color="auto"/>
            <w:right w:val="none" w:sz="0" w:space="0" w:color="auto"/>
          </w:divBdr>
        </w:div>
        <w:div w:id="185024574">
          <w:marLeft w:val="0"/>
          <w:marRight w:val="0"/>
          <w:marTop w:val="0"/>
          <w:marBottom w:val="0"/>
          <w:divBdr>
            <w:top w:val="none" w:sz="0" w:space="0" w:color="auto"/>
            <w:left w:val="none" w:sz="0" w:space="0" w:color="auto"/>
            <w:bottom w:val="none" w:sz="0" w:space="0" w:color="auto"/>
            <w:right w:val="none" w:sz="0" w:space="0" w:color="auto"/>
          </w:divBdr>
        </w:div>
        <w:div w:id="256984264">
          <w:marLeft w:val="0"/>
          <w:marRight w:val="0"/>
          <w:marTop w:val="0"/>
          <w:marBottom w:val="0"/>
          <w:divBdr>
            <w:top w:val="none" w:sz="0" w:space="0" w:color="auto"/>
            <w:left w:val="none" w:sz="0" w:space="0" w:color="auto"/>
            <w:bottom w:val="none" w:sz="0" w:space="0" w:color="auto"/>
            <w:right w:val="none" w:sz="0" w:space="0" w:color="auto"/>
          </w:divBdr>
        </w:div>
        <w:div w:id="333997047">
          <w:marLeft w:val="0"/>
          <w:marRight w:val="0"/>
          <w:marTop w:val="0"/>
          <w:marBottom w:val="0"/>
          <w:divBdr>
            <w:top w:val="none" w:sz="0" w:space="0" w:color="auto"/>
            <w:left w:val="none" w:sz="0" w:space="0" w:color="auto"/>
            <w:bottom w:val="none" w:sz="0" w:space="0" w:color="auto"/>
            <w:right w:val="none" w:sz="0" w:space="0" w:color="auto"/>
          </w:divBdr>
        </w:div>
        <w:div w:id="472991595">
          <w:marLeft w:val="0"/>
          <w:marRight w:val="0"/>
          <w:marTop w:val="0"/>
          <w:marBottom w:val="0"/>
          <w:divBdr>
            <w:top w:val="none" w:sz="0" w:space="0" w:color="auto"/>
            <w:left w:val="none" w:sz="0" w:space="0" w:color="auto"/>
            <w:bottom w:val="none" w:sz="0" w:space="0" w:color="auto"/>
            <w:right w:val="none" w:sz="0" w:space="0" w:color="auto"/>
          </w:divBdr>
        </w:div>
        <w:div w:id="670957733">
          <w:marLeft w:val="0"/>
          <w:marRight w:val="0"/>
          <w:marTop w:val="0"/>
          <w:marBottom w:val="0"/>
          <w:divBdr>
            <w:top w:val="none" w:sz="0" w:space="0" w:color="auto"/>
            <w:left w:val="none" w:sz="0" w:space="0" w:color="auto"/>
            <w:bottom w:val="none" w:sz="0" w:space="0" w:color="auto"/>
            <w:right w:val="none" w:sz="0" w:space="0" w:color="auto"/>
          </w:divBdr>
          <w:divsChild>
            <w:div w:id="229582138">
              <w:marLeft w:val="0"/>
              <w:marRight w:val="0"/>
              <w:marTop w:val="0"/>
              <w:marBottom w:val="0"/>
              <w:divBdr>
                <w:top w:val="none" w:sz="0" w:space="0" w:color="auto"/>
                <w:left w:val="none" w:sz="0" w:space="0" w:color="auto"/>
                <w:bottom w:val="none" w:sz="0" w:space="0" w:color="auto"/>
                <w:right w:val="none" w:sz="0" w:space="0" w:color="auto"/>
              </w:divBdr>
            </w:div>
            <w:div w:id="285741054">
              <w:marLeft w:val="0"/>
              <w:marRight w:val="0"/>
              <w:marTop w:val="0"/>
              <w:marBottom w:val="0"/>
              <w:divBdr>
                <w:top w:val="none" w:sz="0" w:space="0" w:color="auto"/>
                <w:left w:val="none" w:sz="0" w:space="0" w:color="auto"/>
                <w:bottom w:val="none" w:sz="0" w:space="0" w:color="auto"/>
                <w:right w:val="none" w:sz="0" w:space="0" w:color="auto"/>
              </w:divBdr>
            </w:div>
            <w:div w:id="457529265">
              <w:marLeft w:val="0"/>
              <w:marRight w:val="0"/>
              <w:marTop w:val="0"/>
              <w:marBottom w:val="0"/>
              <w:divBdr>
                <w:top w:val="none" w:sz="0" w:space="0" w:color="auto"/>
                <w:left w:val="none" w:sz="0" w:space="0" w:color="auto"/>
                <w:bottom w:val="none" w:sz="0" w:space="0" w:color="auto"/>
                <w:right w:val="none" w:sz="0" w:space="0" w:color="auto"/>
              </w:divBdr>
            </w:div>
            <w:div w:id="552037532">
              <w:marLeft w:val="0"/>
              <w:marRight w:val="0"/>
              <w:marTop w:val="0"/>
              <w:marBottom w:val="0"/>
              <w:divBdr>
                <w:top w:val="none" w:sz="0" w:space="0" w:color="auto"/>
                <w:left w:val="none" w:sz="0" w:space="0" w:color="auto"/>
                <w:bottom w:val="none" w:sz="0" w:space="0" w:color="auto"/>
                <w:right w:val="none" w:sz="0" w:space="0" w:color="auto"/>
              </w:divBdr>
            </w:div>
            <w:div w:id="639921187">
              <w:marLeft w:val="0"/>
              <w:marRight w:val="0"/>
              <w:marTop w:val="0"/>
              <w:marBottom w:val="0"/>
              <w:divBdr>
                <w:top w:val="none" w:sz="0" w:space="0" w:color="auto"/>
                <w:left w:val="none" w:sz="0" w:space="0" w:color="auto"/>
                <w:bottom w:val="none" w:sz="0" w:space="0" w:color="auto"/>
                <w:right w:val="none" w:sz="0" w:space="0" w:color="auto"/>
              </w:divBdr>
            </w:div>
            <w:div w:id="699473446">
              <w:marLeft w:val="0"/>
              <w:marRight w:val="0"/>
              <w:marTop w:val="0"/>
              <w:marBottom w:val="0"/>
              <w:divBdr>
                <w:top w:val="none" w:sz="0" w:space="0" w:color="auto"/>
                <w:left w:val="none" w:sz="0" w:space="0" w:color="auto"/>
                <w:bottom w:val="none" w:sz="0" w:space="0" w:color="auto"/>
                <w:right w:val="none" w:sz="0" w:space="0" w:color="auto"/>
              </w:divBdr>
            </w:div>
            <w:div w:id="704521363">
              <w:marLeft w:val="0"/>
              <w:marRight w:val="0"/>
              <w:marTop w:val="0"/>
              <w:marBottom w:val="0"/>
              <w:divBdr>
                <w:top w:val="none" w:sz="0" w:space="0" w:color="auto"/>
                <w:left w:val="none" w:sz="0" w:space="0" w:color="auto"/>
                <w:bottom w:val="none" w:sz="0" w:space="0" w:color="auto"/>
                <w:right w:val="none" w:sz="0" w:space="0" w:color="auto"/>
              </w:divBdr>
            </w:div>
            <w:div w:id="766772157">
              <w:marLeft w:val="0"/>
              <w:marRight w:val="0"/>
              <w:marTop w:val="0"/>
              <w:marBottom w:val="0"/>
              <w:divBdr>
                <w:top w:val="none" w:sz="0" w:space="0" w:color="auto"/>
                <w:left w:val="none" w:sz="0" w:space="0" w:color="auto"/>
                <w:bottom w:val="none" w:sz="0" w:space="0" w:color="auto"/>
                <w:right w:val="none" w:sz="0" w:space="0" w:color="auto"/>
              </w:divBdr>
            </w:div>
            <w:div w:id="819007258">
              <w:marLeft w:val="0"/>
              <w:marRight w:val="0"/>
              <w:marTop w:val="0"/>
              <w:marBottom w:val="0"/>
              <w:divBdr>
                <w:top w:val="none" w:sz="0" w:space="0" w:color="auto"/>
                <w:left w:val="none" w:sz="0" w:space="0" w:color="auto"/>
                <w:bottom w:val="none" w:sz="0" w:space="0" w:color="auto"/>
                <w:right w:val="none" w:sz="0" w:space="0" w:color="auto"/>
              </w:divBdr>
            </w:div>
            <w:div w:id="951474223">
              <w:marLeft w:val="0"/>
              <w:marRight w:val="0"/>
              <w:marTop w:val="0"/>
              <w:marBottom w:val="0"/>
              <w:divBdr>
                <w:top w:val="none" w:sz="0" w:space="0" w:color="auto"/>
                <w:left w:val="none" w:sz="0" w:space="0" w:color="auto"/>
                <w:bottom w:val="none" w:sz="0" w:space="0" w:color="auto"/>
                <w:right w:val="none" w:sz="0" w:space="0" w:color="auto"/>
              </w:divBdr>
            </w:div>
            <w:div w:id="1093551792">
              <w:marLeft w:val="0"/>
              <w:marRight w:val="0"/>
              <w:marTop w:val="0"/>
              <w:marBottom w:val="0"/>
              <w:divBdr>
                <w:top w:val="none" w:sz="0" w:space="0" w:color="auto"/>
                <w:left w:val="none" w:sz="0" w:space="0" w:color="auto"/>
                <w:bottom w:val="none" w:sz="0" w:space="0" w:color="auto"/>
                <w:right w:val="none" w:sz="0" w:space="0" w:color="auto"/>
              </w:divBdr>
            </w:div>
            <w:div w:id="1125001529">
              <w:marLeft w:val="0"/>
              <w:marRight w:val="0"/>
              <w:marTop w:val="0"/>
              <w:marBottom w:val="0"/>
              <w:divBdr>
                <w:top w:val="none" w:sz="0" w:space="0" w:color="auto"/>
                <w:left w:val="none" w:sz="0" w:space="0" w:color="auto"/>
                <w:bottom w:val="none" w:sz="0" w:space="0" w:color="auto"/>
                <w:right w:val="none" w:sz="0" w:space="0" w:color="auto"/>
              </w:divBdr>
            </w:div>
            <w:div w:id="1125469350">
              <w:marLeft w:val="0"/>
              <w:marRight w:val="0"/>
              <w:marTop w:val="0"/>
              <w:marBottom w:val="0"/>
              <w:divBdr>
                <w:top w:val="none" w:sz="0" w:space="0" w:color="auto"/>
                <w:left w:val="none" w:sz="0" w:space="0" w:color="auto"/>
                <w:bottom w:val="none" w:sz="0" w:space="0" w:color="auto"/>
                <w:right w:val="none" w:sz="0" w:space="0" w:color="auto"/>
              </w:divBdr>
            </w:div>
            <w:div w:id="1383558724">
              <w:marLeft w:val="0"/>
              <w:marRight w:val="0"/>
              <w:marTop w:val="0"/>
              <w:marBottom w:val="0"/>
              <w:divBdr>
                <w:top w:val="none" w:sz="0" w:space="0" w:color="auto"/>
                <w:left w:val="none" w:sz="0" w:space="0" w:color="auto"/>
                <w:bottom w:val="none" w:sz="0" w:space="0" w:color="auto"/>
                <w:right w:val="none" w:sz="0" w:space="0" w:color="auto"/>
              </w:divBdr>
            </w:div>
            <w:div w:id="1676374861">
              <w:marLeft w:val="0"/>
              <w:marRight w:val="0"/>
              <w:marTop w:val="0"/>
              <w:marBottom w:val="0"/>
              <w:divBdr>
                <w:top w:val="none" w:sz="0" w:space="0" w:color="auto"/>
                <w:left w:val="none" w:sz="0" w:space="0" w:color="auto"/>
                <w:bottom w:val="none" w:sz="0" w:space="0" w:color="auto"/>
                <w:right w:val="none" w:sz="0" w:space="0" w:color="auto"/>
              </w:divBdr>
            </w:div>
            <w:div w:id="1790541456">
              <w:marLeft w:val="0"/>
              <w:marRight w:val="0"/>
              <w:marTop w:val="0"/>
              <w:marBottom w:val="0"/>
              <w:divBdr>
                <w:top w:val="none" w:sz="0" w:space="0" w:color="auto"/>
                <w:left w:val="none" w:sz="0" w:space="0" w:color="auto"/>
                <w:bottom w:val="none" w:sz="0" w:space="0" w:color="auto"/>
                <w:right w:val="none" w:sz="0" w:space="0" w:color="auto"/>
              </w:divBdr>
            </w:div>
            <w:div w:id="1808693908">
              <w:marLeft w:val="0"/>
              <w:marRight w:val="0"/>
              <w:marTop w:val="0"/>
              <w:marBottom w:val="0"/>
              <w:divBdr>
                <w:top w:val="none" w:sz="0" w:space="0" w:color="auto"/>
                <w:left w:val="none" w:sz="0" w:space="0" w:color="auto"/>
                <w:bottom w:val="none" w:sz="0" w:space="0" w:color="auto"/>
                <w:right w:val="none" w:sz="0" w:space="0" w:color="auto"/>
              </w:divBdr>
            </w:div>
            <w:div w:id="1883667869">
              <w:marLeft w:val="0"/>
              <w:marRight w:val="0"/>
              <w:marTop w:val="0"/>
              <w:marBottom w:val="0"/>
              <w:divBdr>
                <w:top w:val="none" w:sz="0" w:space="0" w:color="auto"/>
                <w:left w:val="none" w:sz="0" w:space="0" w:color="auto"/>
                <w:bottom w:val="none" w:sz="0" w:space="0" w:color="auto"/>
                <w:right w:val="none" w:sz="0" w:space="0" w:color="auto"/>
              </w:divBdr>
            </w:div>
            <w:div w:id="1996106989">
              <w:marLeft w:val="0"/>
              <w:marRight w:val="0"/>
              <w:marTop w:val="0"/>
              <w:marBottom w:val="0"/>
              <w:divBdr>
                <w:top w:val="none" w:sz="0" w:space="0" w:color="auto"/>
                <w:left w:val="none" w:sz="0" w:space="0" w:color="auto"/>
                <w:bottom w:val="none" w:sz="0" w:space="0" w:color="auto"/>
                <w:right w:val="none" w:sz="0" w:space="0" w:color="auto"/>
              </w:divBdr>
            </w:div>
            <w:div w:id="2052336830">
              <w:marLeft w:val="0"/>
              <w:marRight w:val="0"/>
              <w:marTop w:val="0"/>
              <w:marBottom w:val="0"/>
              <w:divBdr>
                <w:top w:val="none" w:sz="0" w:space="0" w:color="auto"/>
                <w:left w:val="none" w:sz="0" w:space="0" w:color="auto"/>
                <w:bottom w:val="none" w:sz="0" w:space="0" w:color="auto"/>
                <w:right w:val="none" w:sz="0" w:space="0" w:color="auto"/>
              </w:divBdr>
            </w:div>
          </w:divsChild>
        </w:div>
        <w:div w:id="695085068">
          <w:marLeft w:val="0"/>
          <w:marRight w:val="0"/>
          <w:marTop w:val="0"/>
          <w:marBottom w:val="0"/>
          <w:divBdr>
            <w:top w:val="none" w:sz="0" w:space="0" w:color="auto"/>
            <w:left w:val="none" w:sz="0" w:space="0" w:color="auto"/>
            <w:bottom w:val="none" w:sz="0" w:space="0" w:color="auto"/>
            <w:right w:val="none" w:sz="0" w:space="0" w:color="auto"/>
          </w:divBdr>
        </w:div>
        <w:div w:id="799497928">
          <w:marLeft w:val="0"/>
          <w:marRight w:val="0"/>
          <w:marTop w:val="0"/>
          <w:marBottom w:val="0"/>
          <w:divBdr>
            <w:top w:val="none" w:sz="0" w:space="0" w:color="auto"/>
            <w:left w:val="none" w:sz="0" w:space="0" w:color="auto"/>
            <w:bottom w:val="none" w:sz="0" w:space="0" w:color="auto"/>
            <w:right w:val="none" w:sz="0" w:space="0" w:color="auto"/>
          </w:divBdr>
        </w:div>
        <w:div w:id="1002122720">
          <w:marLeft w:val="0"/>
          <w:marRight w:val="0"/>
          <w:marTop w:val="0"/>
          <w:marBottom w:val="0"/>
          <w:divBdr>
            <w:top w:val="none" w:sz="0" w:space="0" w:color="auto"/>
            <w:left w:val="none" w:sz="0" w:space="0" w:color="auto"/>
            <w:bottom w:val="none" w:sz="0" w:space="0" w:color="auto"/>
            <w:right w:val="none" w:sz="0" w:space="0" w:color="auto"/>
          </w:divBdr>
        </w:div>
        <w:div w:id="1010833201">
          <w:marLeft w:val="0"/>
          <w:marRight w:val="0"/>
          <w:marTop w:val="0"/>
          <w:marBottom w:val="0"/>
          <w:divBdr>
            <w:top w:val="none" w:sz="0" w:space="0" w:color="auto"/>
            <w:left w:val="none" w:sz="0" w:space="0" w:color="auto"/>
            <w:bottom w:val="none" w:sz="0" w:space="0" w:color="auto"/>
            <w:right w:val="none" w:sz="0" w:space="0" w:color="auto"/>
          </w:divBdr>
        </w:div>
        <w:div w:id="1016036548">
          <w:marLeft w:val="0"/>
          <w:marRight w:val="0"/>
          <w:marTop w:val="0"/>
          <w:marBottom w:val="0"/>
          <w:divBdr>
            <w:top w:val="none" w:sz="0" w:space="0" w:color="auto"/>
            <w:left w:val="none" w:sz="0" w:space="0" w:color="auto"/>
            <w:bottom w:val="none" w:sz="0" w:space="0" w:color="auto"/>
            <w:right w:val="none" w:sz="0" w:space="0" w:color="auto"/>
          </w:divBdr>
        </w:div>
        <w:div w:id="1129710422">
          <w:marLeft w:val="0"/>
          <w:marRight w:val="0"/>
          <w:marTop w:val="0"/>
          <w:marBottom w:val="0"/>
          <w:divBdr>
            <w:top w:val="none" w:sz="0" w:space="0" w:color="auto"/>
            <w:left w:val="none" w:sz="0" w:space="0" w:color="auto"/>
            <w:bottom w:val="none" w:sz="0" w:space="0" w:color="auto"/>
            <w:right w:val="none" w:sz="0" w:space="0" w:color="auto"/>
          </w:divBdr>
        </w:div>
        <w:div w:id="1133250314">
          <w:marLeft w:val="0"/>
          <w:marRight w:val="0"/>
          <w:marTop w:val="0"/>
          <w:marBottom w:val="0"/>
          <w:divBdr>
            <w:top w:val="none" w:sz="0" w:space="0" w:color="auto"/>
            <w:left w:val="none" w:sz="0" w:space="0" w:color="auto"/>
            <w:bottom w:val="none" w:sz="0" w:space="0" w:color="auto"/>
            <w:right w:val="none" w:sz="0" w:space="0" w:color="auto"/>
          </w:divBdr>
        </w:div>
        <w:div w:id="1139807550">
          <w:marLeft w:val="0"/>
          <w:marRight w:val="0"/>
          <w:marTop w:val="0"/>
          <w:marBottom w:val="0"/>
          <w:divBdr>
            <w:top w:val="none" w:sz="0" w:space="0" w:color="auto"/>
            <w:left w:val="none" w:sz="0" w:space="0" w:color="auto"/>
            <w:bottom w:val="none" w:sz="0" w:space="0" w:color="auto"/>
            <w:right w:val="none" w:sz="0" w:space="0" w:color="auto"/>
          </w:divBdr>
        </w:div>
        <w:div w:id="1173302381">
          <w:marLeft w:val="0"/>
          <w:marRight w:val="0"/>
          <w:marTop w:val="0"/>
          <w:marBottom w:val="0"/>
          <w:divBdr>
            <w:top w:val="none" w:sz="0" w:space="0" w:color="auto"/>
            <w:left w:val="none" w:sz="0" w:space="0" w:color="auto"/>
            <w:bottom w:val="none" w:sz="0" w:space="0" w:color="auto"/>
            <w:right w:val="none" w:sz="0" w:space="0" w:color="auto"/>
          </w:divBdr>
        </w:div>
        <w:div w:id="1199271522">
          <w:marLeft w:val="0"/>
          <w:marRight w:val="0"/>
          <w:marTop w:val="0"/>
          <w:marBottom w:val="0"/>
          <w:divBdr>
            <w:top w:val="none" w:sz="0" w:space="0" w:color="auto"/>
            <w:left w:val="none" w:sz="0" w:space="0" w:color="auto"/>
            <w:bottom w:val="none" w:sz="0" w:space="0" w:color="auto"/>
            <w:right w:val="none" w:sz="0" w:space="0" w:color="auto"/>
          </w:divBdr>
        </w:div>
        <w:div w:id="1215435826">
          <w:marLeft w:val="0"/>
          <w:marRight w:val="0"/>
          <w:marTop w:val="0"/>
          <w:marBottom w:val="0"/>
          <w:divBdr>
            <w:top w:val="none" w:sz="0" w:space="0" w:color="auto"/>
            <w:left w:val="none" w:sz="0" w:space="0" w:color="auto"/>
            <w:bottom w:val="none" w:sz="0" w:space="0" w:color="auto"/>
            <w:right w:val="none" w:sz="0" w:space="0" w:color="auto"/>
          </w:divBdr>
        </w:div>
        <w:div w:id="1239944690">
          <w:marLeft w:val="0"/>
          <w:marRight w:val="0"/>
          <w:marTop w:val="0"/>
          <w:marBottom w:val="0"/>
          <w:divBdr>
            <w:top w:val="none" w:sz="0" w:space="0" w:color="auto"/>
            <w:left w:val="none" w:sz="0" w:space="0" w:color="auto"/>
            <w:bottom w:val="none" w:sz="0" w:space="0" w:color="auto"/>
            <w:right w:val="none" w:sz="0" w:space="0" w:color="auto"/>
          </w:divBdr>
          <w:divsChild>
            <w:div w:id="33504517">
              <w:marLeft w:val="0"/>
              <w:marRight w:val="0"/>
              <w:marTop w:val="0"/>
              <w:marBottom w:val="0"/>
              <w:divBdr>
                <w:top w:val="none" w:sz="0" w:space="0" w:color="auto"/>
                <w:left w:val="none" w:sz="0" w:space="0" w:color="auto"/>
                <w:bottom w:val="none" w:sz="0" w:space="0" w:color="auto"/>
                <w:right w:val="none" w:sz="0" w:space="0" w:color="auto"/>
              </w:divBdr>
            </w:div>
            <w:div w:id="91778594">
              <w:marLeft w:val="0"/>
              <w:marRight w:val="0"/>
              <w:marTop w:val="0"/>
              <w:marBottom w:val="0"/>
              <w:divBdr>
                <w:top w:val="none" w:sz="0" w:space="0" w:color="auto"/>
                <w:left w:val="none" w:sz="0" w:space="0" w:color="auto"/>
                <w:bottom w:val="none" w:sz="0" w:space="0" w:color="auto"/>
                <w:right w:val="none" w:sz="0" w:space="0" w:color="auto"/>
              </w:divBdr>
            </w:div>
            <w:div w:id="116412261">
              <w:marLeft w:val="0"/>
              <w:marRight w:val="0"/>
              <w:marTop w:val="0"/>
              <w:marBottom w:val="0"/>
              <w:divBdr>
                <w:top w:val="none" w:sz="0" w:space="0" w:color="auto"/>
                <w:left w:val="none" w:sz="0" w:space="0" w:color="auto"/>
                <w:bottom w:val="none" w:sz="0" w:space="0" w:color="auto"/>
                <w:right w:val="none" w:sz="0" w:space="0" w:color="auto"/>
              </w:divBdr>
            </w:div>
            <w:div w:id="349794723">
              <w:marLeft w:val="0"/>
              <w:marRight w:val="0"/>
              <w:marTop w:val="0"/>
              <w:marBottom w:val="0"/>
              <w:divBdr>
                <w:top w:val="none" w:sz="0" w:space="0" w:color="auto"/>
                <w:left w:val="none" w:sz="0" w:space="0" w:color="auto"/>
                <w:bottom w:val="none" w:sz="0" w:space="0" w:color="auto"/>
                <w:right w:val="none" w:sz="0" w:space="0" w:color="auto"/>
              </w:divBdr>
            </w:div>
            <w:div w:id="533538651">
              <w:marLeft w:val="0"/>
              <w:marRight w:val="0"/>
              <w:marTop w:val="0"/>
              <w:marBottom w:val="0"/>
              <w:divBdr>
                <w:top w:val="none" w:sz="0" w:space="0" w:color="auto"/>
                <w:left w:val="none" w:sz="0" w:space="0" w:color="auto"/>
                <w:bottom w:val="none" w:sz="0" w:space="0" w:color="auto"/>
                <w:right w:val="none" w:sz="0" w:space="0" w:color="auto"/>
              </w:divBdr>
            </w:div>
            <w:div w:id="655493666">
              <w:marLeft w:val="0"/>
              <w:marRight w:val="0"/>
              <w:marTop w:val="0"/>
              <w:marBottom w:val="0"/>
              <w:divBdr>
                <w:top w:val="none" w:sz="0" w:space="0" w:color="auto"/>
                <w:left w:val="none" w:sz="0" w:space="0" w:color="auto"/>
                <w:bottom w:val="none" w:sz="0" w:space="0" w:color="auto"/>
                <w:right w:val="none" w:sz="0" w:space="0" w:color="auto"/>
              </w:divBdr>
            </w:div>
            <w:div w:id="735199283">
              <w:marLeft w:val="0"/>
              <w:marRight w:val="0"/>
              <w:marTop w:val="0"/>
              <w:marBottom w:val="0"/>
              <w:divBdr>
                <w:top w:val="none" w:sz="0" w:space="0" w:color="auto"/>
                <w:left w:val="none" w:sz="0" w:space="0" w:color="auto"/>
                <w:bottom w:val="none" w:sz="0" w:space="0" w:color="auto"/>
                <w:right w:val="none" w:sz="0" w:space="0" w:color="auto"/>
              </w:divBdr>
            </w:div>
            <w:div w:id="920792855">
              <w:marLeft w:val="0"/>
              <w:marRight w:val="0"/>
              <w:marTop w:val="0"/>
              <w:marBottom w:val="0"/>
              <w:divBdr>
                <w:top w:val="none" w:sz="0" w:space="0" w:color="auto"/>
                <w:left w:val="none" w:sz="0" w:space="0" w:color="auto"/>
                <w:bottom w:val="none" w:sz="0" w:space="0" w:color="auto"/>
                <w:right w:val="none" w:sz="0" w:space="0" w:color="auto"/>
              </w:divBdr>
            </w:div>
            <w:div w:id="975337843">
              <w:marLeft w:val="0"/>
              <w:marRight w:val="0"/>
              <w:marTop w:val="0"/>
              <w:marBottom w:val="0"/>
              <w:divBdr>
                <w:top w:val="none" w:sz="0" w:space="0" w:color="auto"/>
                <w:left w:val="none" w:sz="0" w:space="0" w:color="auto"/>
                <w:bottom w:val="none" w:sz="0" w:space="0" w:color="auto"/>
                <w:right w:val="none" w:sz="0" w:space="0" w:color="auto"/>
              </w:divBdr>
            </w:div>
            <w:div w:id="1263685339">
              <w:marLeft w:val="0"/>
              <w:marRight w:val="0"/>
              <w:marTop w:val="0"/>
              <w:marBottom w:val="0"/>
              <w:divBdr>
                <w:top w:val="none" w:sz="0" w:space="0" w:color="auto"/>
                <w:left w:val="none" w:sz="0" w:space="0" w:color="auto"/>
                <w:bottom w:val="none" w:sz="0" w:space="0" w:color="auto"/>
                <w:right w:val="none" w:sz="0" w:space="0" w:color="auto"/>
              </w:divBdr>
            </w:div>
            <w:div w:id="1438866454">
              <w:marLeft w:val="0"/>
              <w:marRight w:val="0"/>
              <w:marTop w:val="0"/>
              <w:marBottom w:val="0"/>
              <w:divBdr>
                <w:top w:val="none" w:sz="0" w:space="0" w:color="auto"/>
                <w:left w:val="none" w:sz="0" w:space="0" w:color="auto"/>
                <w:bottom w:val="none" w:sz="0" w:space="0" w:color="auto"/>
                <w:right w:val="none" w:sz="0" w:space="0" w:color="auto"/>
              </w:divBdr>
            </w:div>
            <w:div w:id="1484812531">
              <w:marLeft w:val="0"/>
              <w:marRight w:val="0"/>
              <w:marTop w:val="0"/>
              <w:marBottom w:val="0"/>
              <w:divBdr>
                <w:top w:val="none" w:sz="0" w:space="0" w:color="auto"/>
                <w:left w:val="none" w:sz="0" w:space="0" w:color="auto"/>
                <w:bottom w:val="none" w:sz="0" w:space="0" w:color="auto"/>
                <w:right w:val="none" w:sz="0" w:space="0" w:color="auto"/>
              </w:divBdr>
            </w:div>
            <w:div w:id="1501311514">
              <w:marLeft w:val="0"/>
              <w:marRight w:val="0"/>
              <w:marTop w:val="0"/>
              <w:marBottom w:val="0"/>
              <w:divBdr>
                <w:top w:val="none" w:sz="0" w:space="0" w:color="auto"/>
                <w:left w:val="none" w:sz="0" w:space="0" w:color="auto"/>
                <w:bottom w:val="none" w:sz="0" w:space="0" w:color="auto"/>
                <w:right w:val="none" w:sz="0" w:space="0" w:color="auto"/>
              </w:divBdr>
            </w:div>
            <w:div w:id="1573152422">
              <w:marLeft w:val="0"/>
              <w:marRight w:val="0"/>
              <w:marTop w:val="0"/>
              <w:marBottom w:val="0"/>
              <w:divBdr>
                <w:top w:val="none" w:sz="0" w:space="0" w:color="auto"/>
                <w:left w:val="none" w:sz="0" w:space="0" w:color="auto"/>
                <w:bottom w:val="none" w:sz="0" w:space="0" w:color="auto"/>
                <w:right w:val="none" w:sz="0" w:space="0" w:color="auto"/>
              </w:divBdr>
            </w:div>
            <w:div w:id="1669943863">
              <w:marLeft w:val="0"/>
              <w:marRight w:val="0"/>
              <w:marTop w:val="0"/>
              <w:marBottom w:val="0"/>
              <w:divBdr>
                <w:top w:val="none" w:sz="0" w:space="0" w:color="auto"/>
                <w:left w:val="none" w:sz="0" w:space="0" w:color="auto"/>
                <w:bottom w:val="none" w:sz="0" w:space="0" w:color="auto"/>
                <w:right w:val="none" w:sz="0" w:space="0" w:color="auto"/>
              </w:divBdr>
            </w:div>
            <w:div w:id="1795100189">
              <w:marLeft w:val="0"/>
              <w:marRight w:val="0"/>
              <w:marTop w:val="0"/>
              <w:marBottom w:val="0"/>
              <w:divBdr>
                <w:top w:val="none" w:sz="0" w:space="0" w:color="auto"/>
                <w:left w:val="none" w:sz="0" w:space="0" w:color="auto"/>
                <w:bottom w:val="none" w:sz="0" w:space="0" w:color="auto"/>
                <w:right w:val="none" w:sz="0" w:space="0" w:color="auto"/>
              </w:divBdr>
            </w:div>
            <w:div w:id="1819805699">
              <w:marLeft w:val="0"/>
              <w:marRight w:val="0"/>
              <w:marTop w:val="0"/>
              <w:marBottom w:val="0"/>
              <w:divBdr>
                <w:top w:val="none" w:sz="0" w:space="0" w:color="auto"/>
                <w:left w:val="none" w:sz="0" w:space="0" w:color="auto"/>
                <w:bottom w:val="none" w:sz="0" w:space="0" w:color="auto"/>
                <w:right w:val="none" w:sz="0" w:space="0" w:color="auto"/>
              </w:divBdr>
            </w:div>
            <w:div w:id="2043939302">
              <w:marLeft w:val="0"/>
              <w:marRight w:val="0"/>
              <w:marTop w:val="0"/>
              <w:marBottom w:val="0"/>
              <w:divBdr>
                <w:top w:val="none" w:sz="0" w:space="0" w:color="auto"/>
                <w:left w:val="none" w:sz="0" w:space="0" w:color="auto"/>
                <w:bottom w:val="none" w:sz="0" w:space="0" w:color="auto"/>
                <w:right w:val="none" w:sz="0" w:space="0" w:color="auto"/>
              </w:divBdr>
            </w:div>
            <w:div w:id="2067411643">
              <w:marLeft w:val="0"/>
              <w:marRight w:val="0"/>
              <w:marTop w:val="0"/>
              <w:marBottom w:val="0"/>
              <w:divBdr>
                <w:top w:val="none" w:sz="0" w:space="0" w:color="auto"/>
                <w:left w:val="none" w:sz="0" w:space="0" w:color="auto"/>
                <w:bottom w:val="none" w:sz="0" w:space="0" w:color="auto"/>
                <w:right w:val="none" w:sz="0" w:space="0" w:color="auto"/>
              </w:divBdr>
            </w:div>
            <w:div w:id="2139761259">
              <w:marLeft w:val="0"/>
              <w:marRight w:val="0"/>
              <w:marTop w:val="0"/>
              <w:marBottom w:val="0"/>
              <w:divBdr>
                <w:top w:val="none" w:sz="0" w:space="0" w:color="auto"/>
                <w:left w:val="none" w:sz="0" w:space="0" w:color="auto"/>
                <w:bottom w:val="none" w:sz="0" w:space="0" w:color="auto"/>
                <w:right w:val="none" w:sz="0" w:space="0" w:color="auto"/>
              </w:divBdr>
            </w:div>
          </w:divsChild>
        </w:div>
        <w:div w:id="1341541408">
          <w:marLeft w:val="0"/>
          <w:marRight w:val="0"/>
          <w:marTop w:val="0"/>
          <w:marBottom w:val="0"/>
          <w:divBdr>
            <w:top w:val="none" w:sz="0" w:space="0" w:color="auto"/>
            <w:left w:val="none" w:sz="0" w:space="0" w:color="auto"/>
            <w:bottom w:val="none" w:sz="0" w:space="0" w:color="auto"/>
            <w:right w:val="none" w:sz="0" w:space="0" w:color="auto"/>
          </w:divBdr>
        </w:div>
        <w:div w:id="1341733780">
          <w:marLeft w:val="0"/>
          <w:marRight w:val="0"/>
          <w:marTop w:val="0"/>
          <w:marBottom w:val="0"/>
          <w:divBdr>
            <w:top w:val="none" w:sz="0" w:space="0" w:color="auto"/>
            <w:left w:val="none" w:sz="0" w:space="0" w:color="auto"/>
            <w:bottom w:val="none" w:sz="0" w:space="0" w:color="auto"/>
            <w:right w:val="none" w:sz="0" w:space="0" w:color="auto"/>
          </w:divBdr>
        </w:div>
        <w:div w:id="1371685287">
          <w:marLeft w:val="0"/>
          <w:marRight w:val="0"/>
          <w:marTop w:val="0"/>
          <w:marBottom w:val="0"/>
          <w:divBdr>
            <w:top w:val="none" w:sz="0" w:space="0" w:color="auto"/>
            <w:left w:val="none" w:sz="0" w:space="0" w:color="auto"/>
            <w:bottom w:val="none" w:sz="0" w:space="0" w:color="auto"/>
            <w:right w:val="none" w:sz="0" w:space="0" w:color="auto"/>
          </w:divBdr>
        </w:div>
        <w:div w:id="1419905021">
          <w:marLeft w:val="0"/>
          <w:marRight w:val="0"/>
          <w:marTop w:val="0"/>
          <w:marBottom w:val="0"/>
          <w:divBdr>
            <w:top w:val="none" w:sz="0" w:space="0" w:color="auto"/>
            <w:left w:val="none" w:sz="0" w:space="0" w:color="auto"/>
            <w:bottom w:val="none" w:sz="0" w:space="0" w:color="auto"/>
            <w:right w:val="none" w:sz="0" w:space="0" w:color="auto"/>
          </w:divBdr>
          <w:divsChild>
            <w:div w:id="488403398">
              <w:marLeft w:val="-75"/>
              <w:marRight w:val="0"/>
              <w:marTop w:val="30"/>
              <w:marBottom w:val="30"/>
              <w:divBdr>
                <w:top w:val="none" w:sz="0" w:space="0" w:color="auto"/>
                <w:left w:val="none" w:sz="0" w:space="0" w:color="auto"/>
                <w:bottom w:val="none" w:sz="0" w:space="0" w:color="auto"/>
                <w:right w:val="none" w:sz="0" w:space="0" w:color="auto"/>
              </w:divBdr>
              <w:divsChild>
                <w:div w:id="664556688">
                  <w:marLeft w:val="0"/>
                  <w:marRight w:val="0"/>
                  <w:marTop w:val="0"/>
                  <w:marBottom w:val="0"/>
                  <w:divBdr>
                    <w:top w:val="none" w:sz="0" w:space="0" w:color="auto"/>
                    <w:left w:val="none" w:sz="0" w:space="0" w:color="auto"/>
                    <w:bottom w:val="none" w:sz="0" w:space="0" w:color="auto"/>
                    <w:right w:val="none" w:sz="0" w:space="0" w:color="auto"/>
                  </w:divBdr>
                  <w:divsChild>
                    <w:div w:id="1153838755">
                      <w:marLeft w:val="0"/>
                      <w:marRight w:val="0"/>
                      <w:marTop w:val="0"/>
                      <w:marBottom w:val="0"/>
                      <w:divBdr>
                        <w:top w:val="none" w:sz="0" w:space="0" w:color="auto"/>
                        <w:left w:val="none" w:sz="0" w:space="0" w:color="auto"/>
                        <w:bottom w:val="none" w:sz="0" w:space="0" w:color="auto"/>
                        <w:right w:val="none" w:sz="0" w:space="0" w:color="auto"/>
                      </w:divBdr>
                    </w:div>
                    <w:div w:id="1910387964">
                      <w:marLeft w:val="0"/>
                      <w:marRight w:val="0"/>
                      <w:marTop w:val="0"/>
                      <w:marBottom w:val="0"/>
                      <w:divBdr>
                        <w:top w:val="none" w:sz="0" w:space="0" w:color="auto"/>
                        <w:left w:val="none" w:sz="0" w:space="0" w:color="auto"/>
                        <w:bottom w:val="none" w:sz="0" w:space="0" w:color="auto"/>
                        <w:right w:val="none" w:sz="0" w:space="0" w:color="auto"/>
                      </w:divBdr>
                    </w:div>
                  </w:divsChild>
                </w:div>
                <w:div w:id="895817364">
                  <w:marLeft w:val="0"/>
                  <w:marRight w:val="0"/>
                  <w:marTop w:val="0"/>
                  <w:marBottom w:val="0"/>
                  <w:divBdr>
                    <w:top w:val="none" w:sz="0" w:space="0" w:color="auto"/>
                    <w:left w:val="none" w:sz="0" w:space="0" w:color="auto"/>
                    <w:bottom w:val="none" w:sz="0" w:space="0" w:color="auto"/>
                    <w:right w:val="none" w:sz="0" w:space="0" w:color="auto"/>
                  </w:divBdr>
                  <w:divsChild>
                    <w:div w:id="900410242">
                      <w:marLeft w:val="0"/>
                      <w:marRight w:val="0"/>
                      <w:marTop w:val="0"/>
                      <w:marBottom w:val="0"/>
                      <w:divBdr>
                        <w:top w:val="none" w:sz="0" w:space="0" w:color="auto"/>
                        <w:left w:val="none" w:sz="0" w:space="0" w:color="auto"/>
                        <w:bottom w:val="none" w:sz="0" w:space="0" w:color="auto"/>
                        <w:right w:val="none" w:sz="0" w:space="0" w:color="auto"/>
                      </w:divBdr>
                    </w:div>
                    <w:div w:id="1987927375">
                      <w:marLeft w:val="0"/>
                      <w:marRight w:val="0"/>
                      <w:marTop w:val="0"/>
                      <w:marBottom w:val="0"/>
                      <w:divBdr>
                        <w:top w:val="none" w:sz="0" w:space="0" w:color="auto"/>
                        <w:left w:val="none" w:sz="0" w:space="0" w:color="auto"/>
                        <w:bottom w:val="none" w:sz="0" w:space="0" w:color="auto"/>
                        <w:right w:val="none" w:sz="0" w:space="0" w:color="auto"/>
                      </w:divBdr>
                    </w:div>
                  </w:divsChild>
                </w:div>
                <w:div w:id="973876242">
                  <w:marLeft w:val="0"/>
                  <w:marRight w:val="0"/>
                  <w:marTop w:val="0"/>
                  <w:marBottom w:val="0"/>
                  <w:divBdr>
                    <w:top w:val="none" w:sz="0" w:space="0" w:color="auto"/>
                    <w:left w:val="none" w:sz="0" w:space="0" w:color="auto"/>
                    <w:bottom w:val="none" w:sz="0" w:space="0" w:color="auto"/>
                    <w:right w:val="none" w:sz="0" w:space="0" w:color="auto"/>
                  </w:divBdr>
                  <w:divsChild>
                    <w:div w:id="110320370">
                      <w:marLeft w:val="0"/>
                      <w:marRight w:val="0"/>
                      <w:marTop w:val="0"/>
                      <w:marBottom w:val="0"/>
                      <w:divBdr>
                        <w:top w:val="none" w:sz="0" w:space="0" w:color="auto"/>
                        <w:left w:val="none" w:sz="0" w:space="0" w:color="auto"/>
                        <w:bottom w:val="none" w:sz="0" w:space="0" w:color="auto"/>
                        <w:right w:val="none" w:sz="0" w:space="0" w:color="auto"/>
                      </w:divBdr>
                    </w:div>
                    <w:div w:id="601298987">
                      <w:marLeft w:val="0"/>
                      <w:marRight w:val="0"/>
                      <w:marTop w:val="0"/>
                      <w:marBottom w:val="0"/>
                      <w:divBdr>
                        <w:top w:val="none" w:sz="0" w:space="0" w:color="auto"/>
                        <w:left w:val="none" w:sz="0" w:space="0" w:color="auto"/>
                        <w:bottom w:val="none" w:sz="0" w:space="0" w:color="auto"/>
                        <w:right w:val="none" w:sz="0" w:space="0" w:color="auto"/>
                      </w:divBdr>
                    </w:div>
                  </w:divsChild>
                </w:div>
                <w:div w:id="1760977876">
                  <w:marLeft w:val="0"/>
                  <w:marRight w:val="0"/>
                  <w:marTop w:val="0"/>
                  <w:marBottom w:val="0"/>
                  <w:divBdr>
                    <w:top w:val="none" w:sz="0" w:space="0" w:color="auto"/>
                    <w:left w:val="none" w:sz="0" w:space="0" w:color="auto"/>
                    <w:bottom w:val="none" w:sz="0" w:space="0" w:color="auto"/>
                    <w:right w:val="none" w:sz="0" w:space="0" w:color="auto"/>
                  </w:divBdr>
                  <w:divsChild>
                    <w:div w:id="873153557">
                      <w:marLeft w:val="0"/>
                      <w:marRight w:val="0"/>
                      <w:marTop w:val="0"/>
                      <w:marBottom w:val="0"/>
                      <w:divBdr>
                        <w:top w:val="none" w:sz="0" w:space="0" w:color="auto"/>
                        <w:left w:val="none" w:sz="0" w:space="0" w:color="auto"/>
                        <w:bottom w:val="none" w:sz="0" w:space="0" w:color="auto"/>
                        <w:right w:val="none" w:sz="0" w:space="0" w:color="auto"/>
                      </w:divBdr>
                    </w:div>
                    <w:div w:id="1861040672">
                      <w:marLeft w:val="0"/>
                      <w:marRight w:val="0"/>
                      <w:marTop w:val="0"/>
                      <w:marBottom w:val="0"/>
                      <w:divBdr>
                        <w:top w:val="none" w:sz="0" w:space="0" w:color="auto"/>
                        <w:left w:val="none" w:sz="0" w:space="0" w:color="auto"/>
                        <w:bottom w:val="none" w:sz="0" w:space="0" w:color="auto"/>
                        <w:right w:val="none" w:sz="0" w:space="0" w:color="auto"/>
                      </w:divBdr>
                    </w:div>
                  </w:divsChild>
                </w:div>
                <w:div w:id="1824657108">
                  <w:marLeft w:val="0"/>
                  <w:marRight w:val="0"/>
                  <w:marTop w:val="0"/>
                  <w:marBottom w:val="0"/>
                  <w:divBdr>
                    <w:top w:val="none" w:sz="0" w:space="0" w:color="auto"/>
                    <w:left w:val="none" w:sz="0" w:space="0" w:color="auto"/>
                    <w:bottom w:val="none" w:sz="0" w:space="0" w:color="auto"/>
                    <w:right w:val="none" w:sz="0" w:space="0" w:color="auto"/>
                  </w:divBdr>
                  <w:divsChild>
                    <w:div w:id="630480301">
                      <w:marLeft w:val="0"/>
                      <w:marRight w:val="0"/>
                      <w:marTop w:val="0"/>
                      <w:marBottom w:val="0"/>
                      <w:divBdr>
                        <w:top w:val="none" w:sz="0" w:space="0" w:color="auto"/>
                        <w:left w:val="none" w:sz="0" w:space="0" w:color="auto"/>
                        <w:bottom w:val="none" w:sz="0" w:space="0" w:color="auto"/>
                        <w:right w:val="none" w:sz="0" w:space="0" w:color="auto"/>
                      </w:divBdr>
                    </w:div>
                  </w:divsChild>
                </w:div>
                <w:div w:id="2092584452">
                  <w:marLeft w:val="0"/>
                  <w:marRight w:val="0"/>
                  <w:marTop w:val="0"/>
                  <w:marBottom w:val="0"/>
                  <w:divBdr>
                    <w:top w:val="none" w:sz="0" w:space="0" w:color="auto"/>
                    <w:left w:val="none" w:sz="0" w:space="0" w:color="auto"/>
                    <w:bottom w:val="none" w:sz="0" w:space="0" w:color="auto"/>
                    <w:right w:val="none" w:sz="0" w:space="0" w:color="auto"/>
                  </w:divBdr>
                  <w:divsChild>
                    <w:div w:id="1230651632">
                      <w:marLeft w:val="0"/>
                      <w:marRight w:val="0"/>
                      <w:marTop w:val="0"/>
                      <w:marBottom w:val="0"/>
                      <w:divBdr>
                        <w:top w:val="none" w:sz="0" w:space="0" w:color="auto"/>
                        <w:left w:val="none" w:sz="0" w:space="0" w:color="auto"/>
                        <w:bottom w:val="none" w:sz="0" w:space="0" w:color="auto"/>
                        <w:right w:val="none" w:sz="0" w:space="0" w:color="auto"/>
                      </w:divBdr>
                    </w:div>
                    <w:div w:id="1609388818">
                      <w:marLeft w:val="0"/>
                      <w:marRight w:val="0"/>
                      <w:marTop w:val="0"/>
                      <w:marBottom w:val="0"/>
                      <w:divBdr>
                        <w:top w:val="none" w:sz="0" w:space="0" w:color="auto"/>
                        <w:left w:val="none" w:sz="0" w:space="0" w:color="auto"/>
                        <w:bottom w:val="none" w:sz="0" w:space="0" w:color="auto"/>
                        <w:right w:val="none" w:sz="0" w:space="0" w:color="auto"/>
                      </w:divBdr>
                    </w:div>
                    <w:div w:id="2132506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143471">
          <w:marLeft w:val="0"/>
          <w:marRight w:val="0"/>
          <w:marTop w:val="0"/>
          <w:marBottom w:val="0"/>
          <w:divBdr>
            <w:top w:val="none" w:sz="0" w:space="0" w:color="auto"/>
            <w:left w:val="none" w:sz="0" w:space="0" w:color="auto"/>
            <w:bottom w:val="none" w:sz="0" w:space="0" w:color="auto"/>
            <w:right w:val="none" w:sz="0" w:space="0" w:color="auto"/>
          </w:divBdr>
        </w:div>
        <w:div w:id="1547257724">
          <w:marLeft w:val="0"/>
          <w:marRight w:val="0"/>
          <w:marTop w:val="0"/>
          <w:marBottom w:val="0"/>
          <w:divBdr>
            <w:top w:val="none" w:sz="0" w:space="0" w:color="auto"/>
            <w:left w:val="none" w:sz="0" w:space="0" w:color="auto"/>
            <w:bottom w:val="none" w:sz="0" w:space="0" w:color="auto"/>
            <w:right w:val="none" w:sz="0" w:space="0" w:color="auto"/>
          </w:divBdr>
          <w:divsChild>
            <w:div w:id="9795066">
              <w:marLeft w:val="0"/>
              <w:marRight w:val="0"/>
              <w:marTop w:val="0"/>
              <w:marBottom w:val="0"/>
              <w:divBdr>
                <w:top w:val="none" w:sz="0" w:space="0" w:color="auto"/>
                <w:left w:val="none" w:sz="0" w:space="0" w:color="auto"/>
                <w:bottom w:val="none" w:sz="0" w:space="0" w:color="auto"/>
                <w:right w:val="none" w:sz="0" w:space="0" w:color="auto"/>
              </w:divBdr>
            </w:div>
            <w:div w:id="12415649">
              <w:marLeft w:val="0"/>
              <w:marRight w:val="0"/>
              <w:marTop w:val="0"/>
              <w:marBottom w:val="0"/>
              <w:divBdr>
                <w:top w:val="none" w:sz="0" w:space="0" w:color="auto"/>
                <w:left w:val="none" w:sz="0" w:space="0" w:color="auto"/>
                <w:bottom w:val="none" w:sz="0" w:space="0" w:color="auto"/>
                <w:right w:val="none" w:sz="0" w:space="0" w:color="auto"/>
              </w:divBdr>
            </w:div>
            <w:div w:id="72745949">
              <w:marLeft w:val="0"/>
              <w:marRight w:val="0"/>
              <w:marTop w:val="0"/>
              <w:marBottom w:val="0"/>
              <w:divBdr>
                <w:top w:val="none" w:sz="0" w:space="0" w:color="auto"/>
                <w:left w:val="none" w:sz="0" w:space="0" w:color="auto"/>
                <w:bottom w:val="none" w:sz="0" w:space="0" w:color="auto"/>
                <w:right w:val="none" w:sz="0" w:space="0" w:color="auto"/>
              </w:divBdr>
            </w:div>
            <w:div w:id="199972436">
              <w:marLeft w:val="0"/>
              <w:marRight w:val="0"/>
              <w:marTop w:val="0"/>
              <w:marBottom w:val="0"/>
              <w:divBdr>
                <w:top w:val="none" w:sz="0" w:space="0" w:color="auto"/>
                <w:left w:val="none" w:sz="0" w:space="0" w:color="auto"/>
                <w:bottom w:val="none" w:sz="0" w:space="0" w:color="auto"/>
                <w:right w:val="none" w:sz="0" w:space="0" w:color="auto"/>
              </w:divBdr>
            </w:div>
            <w:div w:id="368341038">
              <w:marLeft w:val="0"/>
              <w:marRight w:val="0"/>
              <w:marTop w:val="0"/>
              <w:marBottom w:val="0"/>
              <w:divBdr>
                <w:top w:val="none" w:sz="0" w:space="0" w:color="auto"/>
                <w:left w:val="none" w:sz="0" w:space="0" w:color="auto"/>
                <w:bottom w:val="none" w:sz="0" w:space="0" w:color="auto"/>
                <w:right w:val="none" w:sz="0" w:space="0" w:color="auto"/>
              </w:divBdr>
            </w:div>
            <w:div w:id="818614300">
              <w:marLeft w:val="0"/>
              <w:marRight w:val="0"/>
              <w:marTop w:val="0"/>
              <w:marBottom w:val="0"/>
              <w:divBdr>
                <w:top w:val="none" w:sz="0" w:space="0" w:color="auto"/>
                <w:left w:val="none" w:sz="0" w:space="0" w:color="auto"/>
                <w:bottom w:val="none" w:sz="0" w:space="0" w:color="auto"/>
                <w:right w:val="none" w:sz="0" w:space="0" w:color="auto"/>
              </w:divBdr>
            </w:div>
            <w:div w:id="930089359">
              <w:marLeft w:val="0"/>
              <w:marRight w:val="0"/>
              <w:marTop w:val="0"/>
              <w:marBottom w:val="0"/>
              <w:divBdr>
                <w:top w:val="none" w:sz="0" w:space="0" w:color="auto"/>
                <w:left w:val="none" w:sz="0" w:space="0" w:color="auto"/>
                <w:bottom w:val="none" w:sz="0" w:space="0" w:color="auto"/>
                <w:right w:val="none" w:sz="0" w:space="0" w:color="auto"/>
              </w:divBdr>
            </w:div>
            <w:div w:id="1132675135">
              <w:marLeft w:val="0"/>
              <w:marRight w:val="0"/>
              <w:marTop w:val="0"/>
              <w:marBottom w:val="0"/>
              <w:divBdr>
                <w:top w:val="none" w:sz="0" w:space="0" w:color="auto"/>
                <w:left w:val="none" w:sz="0" w:space="0" w:color="auto"/>
                <w:bottom w:val="none" w:sz="0" w:space="0" w:color="auto"/>
                <w:right w:val="none" w:sz="0" w:space="0" w:color="auto"/>
              </w:divBdr>
            </w:div>
            <w:div w:id="1169834071">
              <w:marLeft w:val="0"/>
              <w:marRight w:val="0"/>
              <w:marTop w:val="0"/>
              <w:marBottom w:val="0"/>
              <w:divBdr>
                <w:top w:val="none" w:sz="0" w:space="0" w:color="auto"/>
                <w:left w:val="none" w:sz="0" w:space="0" w:color="auto"/>
                <w:bottom w:val="none" w:sz="0" w:space="0" w:color="auto"/>
                <w:right w:val="none" w:sz="0" w:space="0" w:color="auto"/>
              </w:divBdr>
            </w:div>
            <w:div w:id="1385718489">
              <w:marLeft w:val="0"/>
              <w:marRight w:val="0"/>
              <w:marTop w:val="0"/>
              <w:marBottom w:val="0"/>
              <w:divBdr>
                <w:top w:val="none" w:sz="0" w:space="0" w:color="auto"/>
                <w:left w:val="none" w:sz="0" w:space="0" w:color="auto"/>
                <w:bottom w:val="none" w:sz="0" w:space="0" w:color="auto"/>
                <w:right w:val="none" w:sz="0" w:space="0" w:color="auto"/>
              </w:divBdr>
            </w:div>
            <w:div w:id="1401513974">
              <w:marLeft w:val="0"/>
              <w:marRight w:val="0"/>
              <w:marTop w:val="0"/>
              <w:marBottom w:val="0"/>
              <w:divBdr>
                <w:top w:val="none" w:sz="0" w:space="0" w:color="auto"/>
                <w:left w:val="none" w:sz="0" w:space="0" w:color="auto"/>
                <w:bottom w:val="none" w:sz="0" w:space="0" w:color="auto"/>
                <w:right w:val="none" w:sz="0" w:space="0" w:color="auto"/>
              </w:divBdr>
            </w:div>
            <w:div w:id="1461726615">
              <w:marLeft w:val="0"/>
              <w:marRight w:val="0"/>
              <w:marTop w:val="0"/>
              <w:marBottom w:val="0"/>
              <w:divBdr>
                <w:top w:val="none" w:sz="0" w:space="0" w:color="auto"/>
                <w:left w:val="none" w:sz="0" w:space="0" w:color="auto"/>
                <w:bottom w:val="none" w:sz="0" w:space="0" w:color="auto"/>
                <w:right w:val="none" w:sz="0" w:space="0" w:color="auto"/>
              </w:divBdr>
            </w:div>
            <w:div w:id="1473406119">
              <w:marLeft w:val="0"/>
              <w:marRight w:val="0"/>
              <w:marTop w:val="0"/>
              <w:marBottom w:val="0"/>
              <w:divBdr>
                <w:top w:val="none" w:sz="0" w:space="0" w:color="auto"/>
                <w:left w:val="none" w:sz="0" w:space="0" w:color="auto"/>
                <w:bottom w:val="none" w:sz="0" w:space="0" w:color="auto"/>
                <w:right w:val="none" w:sz="0" w:space="0" w:color="auto"/>
              </w:divBdr>
            </w:div>
            <w:div w:id="1705593120">
              <w:marLeft w:val="0"/>
              <w:marRight w:val="0"/>
              <w:marTop w:val="0"/>
              <w:marBottom w:val="0"/>
              <w:divBdr>
                <w:top w:val="none" w:sz="0" w:space="0" w:color="auto"/>
                <w:left w:val="none" w:sz="0" w:space="0" w:color="auto"/>
                <w:bottom w:val="none" w:sz="0" w:space="0" w:color="auto"/>
                <w:right w:val="none" w:sz="0" w:space="0" w:color="auto"/>
              </w:divBdr>
            </w:div>
            <w:div w:id="1865053942">
              <w:marLeft w:val="0"/>
              <w:marRight w:val="0"/>
              <w:marTop w:val="0"/>
              <w:marBottom w:val="0"/>
              <w:divBdr>
                <w:top w:val="none" w:sz="0" w:space="0" w:color="auto"/>
                <w:left w:val="none" w:sz="0" w:space="0" w:color="auto"/>
                <w:bottom w:val="none" w:sz="0" w:space="0" w:color="auto"/>
                <w:right w:val="none" w:sz="0" w:space="0" w:color="auto"/>
              </w:divBdr>
            </w:div>
            <w:div w:id="1924335026">
              <w:marLeft w:val="0"/>
              <w:marRight w:val="0"/>
              <w:marTop w:val="0"/>
              <w:marBottom w:val="0"/>
              <w:divBdr>
                <w:top w:val="none" w:sz="0" w:space="0" w:color="auto"/>
                <w:left w:val="none" w:sz="0" w:space="0" w:color="auto"/>
                <w:bottom w:val="none" w:sz="0" w:space="0" w:color="auto"/>
                <w:right w:val="none" w:sz="0" w:space="0" w:color="auto"/>
              </w:divBdr>
            </w:div>
            <w:div w:id="1951085534">
              <w:marLeft w:val="0"/>
              <w:marRight w:val="0"/>
              <w:marTop w:val="0"/>
              <w:marBottom w:val="0"/>
              <w:divBdr>
                <w:top w:val="none" w:sz="0" w:space="0" w:color="auto"/>
                <w:left w:val="none" w:sz="0" w:space="0" w:color="auto"/>
                <w:bottom w:val="none" w:sz="0" w:space="0" w:color="auto"/>
                <w:right w:val="none" w:sz="0" w:space="0" w:color="auto"/>
              </w:divBdr>
            </w:div>
            <w:div w:id="2001738106">
              <w:marLeft w:val="0"/>
              <w:marRight w:val="0"/>
              <w:marTop w:val="0"/>
              <w:marBottom w:val="0"/>
              <w:divBdr>
                <w:top w:val="none" w:sz="0" w:space="0" w:color="auto"/>
                <w:left w:val="none" w:sz="0" w:space="0" w:color="auto"/>
                <w:bottom w:val="none" w:sz="0" w:space="0" w:color="auto"/>
                <w:right w:val="none" w:sz="0" w:space="0" w:color="auto"/>
              </w:divBdr>
            </w:div>
            <w:div w:id="2053385598">
              <w:marLeft w:val="0"/>
              <w:marRight w:val="0"/>
              <w:marTop w:val="0"/>
              <w:marBottom w:val="0"/>
              <w:divBdr>
                <w:top w:val="none" w:sz="0" w:space="0" w:color="auto"/>
                <w:left w:val="none" w:sz="0" w:space="0" w:color="auto"/>
                <w:bottom w:val="none" w:sz="0" w:space="0" w:color="auto"/>
                <w:right w:val="none" w:sz="0" w:space="0" w:color="auto"/>
              </w:divBdr>
            </w:div>
            <w:div w:id="2087651385">
              <w:marLeft w:val="0"/>
              <w:marRight w:val="0"/>
              <w:marTop w:val="0"/>
              <w:marBottom w:val="0"/>
              <w:divBdr>
                <w:top w:val="none" w:sz="0" w:space="0" w:color="auto"/>
                <w:left w:val="none" w:sz="0" w:space="0" w:color="auto"/>
                <w:bottom w:val="none" w:sz="0" w:space="0" w:color="auto"/>
                <w:right w:val="none" w:sz="0" w:space="0" w:color="auto"/>
              </w:divBdr>
            </w:div>
          </w:divsChild>
        </w:div>
        <w:div w:id="1560748680">
          <w:marLeft w:val="0"/>
          <w:marRight w:val="0"/>
          <w:marTop w:val="0"/>
          <w:marBottom w:val="0"/>
          <w:divBdr>
            <w:top w:val="none" w:sz="0" w:space="0" w:color="auto"/>
            <w:left w:val="none" w:sz="0" w:space="0" w:color="auto"/>
            <w:bottom w:val="none" w:sz="0" w:space="0" w:color="auto"/>
            <w:right w:val="none" w:sz="0" w:space="0" w:color="auto"/>
          </w:divBdr>
        </w:div>
        <w:div w:id="1588146435">
          <w:marLeft w:val="0"/>
          <w:marRight w:val="0"/>
          <w:marTop w:val="0"/>
          <w:marBottom w:val="0"/>
          <w:divBdr>
            <w:top w:val="none" w:sz="0" w:space="0" w:color="auto"/>
            <w:left w:val="none" w:sz="0" w:space="0" w:color="auto"/>
            <w:bottom w:val="none" w:sz="0" w:space="0" w:color="auto"/>
            <w:right w:val="none" w:sz="0" w:space="0" w:color="auto"/>
          </w:divBdr>
        </w:div>
        <w:div w:id="1625696098">
          <w:marLeft w:val="0"/>
          <w:marRight w:val="0"/>
          <w:marTop w:val="0"/>
          <w:marBottom w:val="0"/>
          <w:divBdr>
            <w:top w:val="none" w:sz="0" w:space="0" w:color="auto"/>
            <w:left w:val="none" w:sz="0" w:space="0" w:color="auto"/>
            <w:bottom w:val="none" w:sz="0" w:space="0" w:color="auto"/>
            <w:right w:val="none" w:sz="0" w:space="0" w:color="auto"/>
          </w:divBdr>
          <w:divsChild>
            <w:div w:id="151415229">
              <w:marLeft w:val="0"/>
              <w:marRight w:val="0"/>
              <w:marTop w:val="0"/>
              <w:marBottom w:val="0"/>
              <w:divBdr>
                <w:top w:val="none" w:sz="0" w:space="0" w:color="auto"/>
                <w:left w:val="none" w:sz="0" w:space="0" w:color="auto"/>
                <w:bottom w:val="none" w:sz="0" w:space="0" w:color="auto"/>
                <w:right w:val="none" w:sz="0" w:space="0" w:color="auto"/>
              </w:divBdr>
            </w:div>
            <w:div w:id="175967302">
              <w:marLeft w:val="0"/>
              <w:marRight w:val="0"/>
              <w:marTop w:val="0"/>
              <w:marBottom w:val="0"/>
              <w:divBdr>
                <w:top w:val="none" w:sz="0" w:space="0" w:color="auto"/>
                <w:left w:val="none" w:sz="0" w:space="0" w:color="auto"/>
                <w:bottom w:val="none" w:sz="0" w:space="0" w:color="auto"/>
                <w:right w:val="none" w:sz="0" w:space="0" w:color="auto"/>
              </w:divBdr>
            </w:div>
            <w:div w:id="221871595">
              <w:marLeft w:val="0"/>
              <w:marRight w:val="0"/>
              <w:marTop w:val="0"/>
              <w:marBottom w:val="0"/>
              <w:divBdr>
                <w:top w:val="none" w:sz="0" w:space="0" w:color="auto"/>
                <w:left w:val="none" w:sz="0" w:space="0" w:color="auto"/>
                <w:bottom w:val="none" w:sz="0" w:space="0" w:color="auto"/>
                <w:right w:val="none" w:sz="0" w:space="0" w:color="auto"/>
              </w:divBdr>
            </w:div>
            <w:div w:id="286359009">
              <w:marLeft w:val="0"/>
              <w:marRight w:val="0"/>
              <w:marTop w:val="0"/>
              <w:marBottom w:val="0"/>
              <w:divBdr>
                <w:top w:val="none" w:sz="0" w:space="0" w:color="auto"/>
                <w:left w:val="none" w:sz="0" w:space="0" w:color="auto"/>
                <w:bottom w:val="none" w:sz="0" w:space="0" w:color="auto"/>
                <w:right w:val="none" w:sz="0" w:space="0" w:color="auto"/>
              </w:divBdr>
            </w:div>
            <w:div w:id="287005334">
              <w:marLeft w:val="0"/>
              <w:marRight w:val="0"/>
              <w:marTop w:val="0"/>
              <w:marBottom w:val="0"/>
              <w:divBdr>
                <w:top w:val="none" w:sz="0" w:space="0" w:color="auto"/>
                <w:left w:val="none" w:sz="0" w:space="0" w:color="auto"/>
                <w:bottom w:val="none" w:sz="0" w:space="0" w:color="auto"/>
                <w:right w:val="none" w:sz="0" w:space="0" w:color="auto"/>
              </w:divBdr>
            </w:div>
            <w:div w:id="358699033">
              <w:marLeft w:val="0"/>
              <w:marRight w:val="0"/>
              <w:marTop w:val="0"/>
              <w:marBottom w:val="0"/>
              <w:divBdr>
                <w:top w:val="none" w:sz="0" w:space="0" w:color="auto"/>
                <w:left w:val="none" w:sz="0" w:space="0" w:color="auto"/>
                <w:bottom w:val="none" w:sz="0" w:space="0" w:color="auto"/>
                <w:right w:val="none" w:sz="0" w:space="0" w:color="auto"/>
              </w:divBdr>
            </w:div>
            <w:div w:id="510796851">
              <w:marLeft w:val="0"/>
              <w:marRight w:val="0"/>
              <w:marTop w:val="0"/>
              <w:marBottom w:val="0"/>
              <w:divBdr>
                <w:top w:val="none" w:sz="0" w:space="0" w:color="auto"/>
                <w:left w:val="none" w:sz="0" w:space="0" w:color="auto"/>
                <w:bottom w:val="none" w:sz="0" w:space="0" w:color="auto"/>
                <w:right w:val="none" w:sz="0" w:space="0" w:color="auto"/>
              </w:divBdr>
            </w:div>
            <w:div w:id="549998282">
              <w:marLeft w:val="0"/>
              <w:marRight w:val="0"/>
              <w:marTop w:val="0"/>
              <w:marBottom w:val="0"/>
              <w:divBdr>
                <w:top w:val="none" w:sz="0" w:space="0" w:color="auto"/>
                <w:left w:val="none" w:sz="0" w:space="0" w:color="auto"/>
                <w:bottom w:val="none" w:sz="0" w:space="0" w:color="auto"/>
                <w:right w:val="none" w:sz="0" w:space="0" w:color="auto"/>
              </w:divBdr>
            </w:div>
            <w:div w:id="739790283">
              <w:marLeft w:val="0"/>
              <w:marRight w:val="0"/>
              <w:marTop w:val="0"/>
              <w:marBottom w:val="0"/>
              <w:divBdr>
                <w:top w:val="none" w:sz="0" w:space="0" w:color="auto"/>
                <w:left w:val="none" w:sz="0" w:space="0" w:color="auto"/>
                <w:bottom w:val="none" w:sz="0" w:space="0" w:color="auto"/>
                <w:right w:val="none" w:sz="0" w:space="0" w:color="auto"/>
              </w:divBdr>
            </w:div>
            <w:div w:id="1033044913">
              <w:marLeft w:val="0"/>
              <w:marRight w:val="0"/>
              <w:marTop w:val="0"/>
              <w:marBottom w:val="0"/>
              <w:divBdr>
                <w:top w:val="none" w:sz="0" w:space="0" w:color="auto"/>
                <w:left w:val="none" w:sz="0" w:space="0" w:color="auto"/>
                <w:bottom w:val="none" w:sz="0" w:space="0" w:color="auto"/>
                <w:right w:val="none" w:sz="0" w:space="0" w:color="auto"/>
              </w:divBdr>
            </w:div>
            <w:div w:id="1067266449">
              <w:marLeft w:val="0"/>
              <w:marRight w:val="0"/>
              <w:marTop w:val="0"/>
              <w:marBottom w:val="0"/>
              <w:divBdr>
                <w:top w:val="none" w:sz="0" w:space="0" w:color="auto"/>
                <w:left w:val="none" w:sz="0" w:space="0" w:color="auto"/>
                <w:bottom w:val="none" w:sz="0" w:space="0" w:color="auto"/>
                <w:right w:val="none" w:sz="0" w:space="0" w:color="auto"/>
              </w:divBdr>
            </w:div>
            <w:div w:id="1074277636">
              <w:marLeft w:val="0"/>
              <w:marRight w:val="0"/>
              <w:marTop w:val="0"/>
              <w:marBottom w:val="0"/>
              <w:divBdr>
                <w:top w:val="none" w:sz="0" w:space="0" w:color="auto"/>
                <w:left w:val="none" w:sz="0" w:space="0" w:color="auto"/>
                <w:bottom w:val="none" w:sz="0" w:space="0" w:color="auto"/>
                <w:right w:val="none" w:sz="0" w:space="0" w:color="auto"/>
              </w:divBdr>
            </w:div>
            <w:div w:id="1409034653">
              <w:marLeft w:val="0"/>
              <w:marRight w:val="0"/>
              <w:marTop w:val="0"/>
              <w:marBottom w:val="0"/>
              <w:divBdr>
                <w:top w:val="none" w:sz="0" w:space="0" w:color="auto"/>
                <w:left w:val="none" w:sz="0" w:space="0" w:color="auto"/>
                <w:bottom w:val="none" w:sz="0" w:space="0" w:color="auto"/>
                <w:right w:val="none" w:sz="0" w:space="0" w:color="auto"/>
              </w:divBdr>
            </w:div>
            <w:div w:id="1422532779">
              <w:marLeft w:val="0"/>
              <w:marRight w:val="0"/>
              <w:marTop w:val="0"/>
              <w:marBottom w:val="0"/>
              <w:divBdr>
                <w:top w:val="none" w:sz="0" w:space="0" w:color="auto"/>
                <w:left w:val="none" w:sz="0" w:space="0" w:color="auto"/>
                <w:bottom w:val="none" w:sz="0" w:space="0" w:color="auto"/>
                <w:right w:val="none" w:sz="0" w:space="0" w:color="auto"/>
              </w:divBdr>
            </w:div>
            <w:div w:id="1434127750">
              <w:marLeft w:val="0"/>
              <w:marRight w:val="0"/>
              <w:marTop w:val="0"/>
              <w:marBottom w:val="0"/>
              <w:divBdr>
                <w:top w:val="none" w:sz="0" w:space="0" w:color="auto"/>
                <w:left w:val="none" w:sz="0" w:space="0" w:color="auto"/>
                <w:bottom w:val="none" w:sz="0" w:space="0" w:color="auto"/>
                <w:right w:val="none" w:sz="0" w:space="0" w:color="auto"/>
              </w:divBdr>
            </w:div>
            <w:div w:id="1545942971">
              <w:marLeft w:val="0"/>
              <w:marRight w:val="0"/>
              <w:marTop w:val="0"/>
              <w:marBottom w:val="0"/>
              <w:divBdr>
                <w:top w:val="none" w:sz="0" w:space="0" w:color="auto"/>
                <w:left w:val="none" w:sz="0" w:space="0" w:color="auto"/>
                <w:bottom w:val="none" w:sz="0" w:space="0" w:color="auto"/>
                <w:right w:val="none" w:sz="0" w:space="0" w:color="auto"/>
              </w:divBdr>
            </w:div>
            <w:div w:id="1634746792">
              <w:marLeft w:val="0"/>
              <w:marRight w:val="0"/>
              <w:marTop w:val="0"/>
              <w:marBottom w:val="0"/>
              <w:divBdr>
                <w:top w:val="none" w:sz="0" w:space="0" w:color="auto"/>
                <w:left w:val="none" w:sz="0" w:space="0" w:color="auto"/>
                <w:bottom w:val="none" w:sz="0" w:space="0" w:color="auto"/>
                <w:right w:val="none" w:sz="0" w:space="0" w:color="auto"/>
              </w:divBdr>
            </w:div>
            <w:div w:id="1676105929">
              <w:marLeft w:val="0"/>
              <w:marRight w:val="0"/>
              <w:marTop w:val="0"/>
              <w:marBottom w:val="0"/>
              <w:divBdr>
                <w:top w:val="none" w:sz="0" w:space="0" w:color="auto"/>
                <w:left w:val="none" w:sz="0" w:space="0" w:color="auto"/>
                <w:bottom w:val="none" w:sz="0" w:space="0" w:color="auto"/>
                <w:right w:val="none" w:sz="0" w:space="0" w:color="auto"/>
              </w:divBdr>
            </w:div>
            <w:div w:id="1728332019">
              <w:marLeft w:val="0"/>
              <w:marRight w:val="0"/>
              <w:marTop w:val="0"/>
              <w:marBottom w:val="0"/>
              <w:divBdr>
                <w:top w:val="none" w:sz="0" w:space="0" w:color="auto"/>
                <w:left w:val="none" w:sz="0" w:space="0" w:color="auto"/>
                <w:bottom w:val="none" w:sz="0" w:space="0" w:color="auto"/>
                <w:right w:val="none" w:sz="0" w:space="0" w:color="auto"/>
              </w:divBdr>
            </w:div>
            <w:div w:id="1863089388">
              <w:marLeft w:val="0"/>
              <w:marRight w:val="0"/>
              <w:marTop w:val="0"/>
              <w:marBottom w:val="0"/>
              <w:divBdr>
                <w:top w:val="none" w:sz="0" w:space="0" w:color="auto"/>
                <w:left w:val="none" w:sz="0" w:space="0" w:color="auto"/>
                <w:bottom w:val="none" w:sz="0" w:space="0" w:color="auto"/>
                <w:right w:val="none" w:sz="0" w:space="0" w:color="auto"/>
              </w:divBdr>
            </w:div>
          </w:divsChild>
        </w:div>
        <w:div w:id="1637101278">
          <w:marLeft w:val="0"/>
          <w:marRight w:val="0"/>
          <w:marTop w:val="0"/>
          <w:marBottom w:val="0"/>
          <w:divBdr>
            <w:top w:val="none" w:sz="0" w:space="0" w:color="auto"/>
            <w:left w:val="none" w:sz="0" w:space="0" w:color="auto"/>
            <w:bottom w:val="none" w:sz="0" w:space="0" w:color="auto"/>
            <w:right w:val="none" w:sz="0" w:space="0" w:color="auto"/>
          </w:divBdr>
          <w:divsChild>
            <w:div w:id="253368844">
              <w:marLeft w:val="0"/>
              <w:marRight w:val="0"/>
              <w:marTop w:val="0"/>
              <w:marBottom w:val="0"/>
              <w:divBdr>
                <w:top w:val="none" w:sz="0" w:space="0" w:color="auto"/>
                <w:left w:val="none" w:sz="0" w:space="0" w:color="auto"/>
                <w:bottom w:val="none" w:sz="0" w:space="0" w:color="auto"/>
                <w:right w:val="none" w:sz="0" w:space="0" w:color="auto"/>
              </w:divBdr>
            </w:div>
            <w:div w:id="276329089">
              <w:marLeft w:val="0"/>
              <w:marRight w:val="0"/>
              <w:marTop w:val="0"/>
              <w:marBottom w:val="0"/>
              <w:divBdr>
                <w:top w:val="none" w:sz="0" w:space="0" w:color="auto"/>
                <w:left w:val="none" w:sz="0" w:space="0" w:color="auto"/>
                <w:bottom w:val="none" w:sz="0" w:space="0" w:color="auto"/>
                <w:right w:val="none" w:sz="0" w:space="0" w:color="auto"/>
              </w:divBdr>
            </w:div>
            <w:div w:id="535854991">
              <w:marLeft w:val="0"/>
              <w:marRight w:val="0"/>
              <w:marTop w:val="0"/>
              <w:marBottom w:val="0"/>
              <w:divBdr>
                <w:top w:val="none" w:sz="0" w:space="0" w:color="auto"/>
                <w:left w:val="none" w:sz="0" w:space="0" w:color="auto"/>
                <w:bottom w:val="none" w:sz="0" w:space="0" w:color="auto"/>
                <w:right w:val="none" w:sz="0" w:space="0" w:color="auto"/>
              </w:divBdr>
            </w:div>
            <w:div w:id="577634501">
              <w:marLeft w:val="0"/>
              <w:marRight w:val="0"/>
              <w:marTop w:val="0"/>
              <w:marBottom w:val="0"/>
              <w:divBdr>
                <w:top w:val="none" w:sz="0" w:space="0" w:color="auto"/>
                <w:left w:val="none" w:sz="0" w:space="0" w:color="auto"/>
                <w:bottom w:val="none" w:sz="0" w:space="0" w:color="auto"/>
                <w:right w:val="none" w:sz="0" w:space="0" w:color="auto"/>
              </w:divBdr>
            </w:div>
            <w:div w:id="732001341">
              <w:marLeft w:val="0"/>
              <w:marRight w:val="0"/>
              <w:marTop w:val="0"/>
              <w:marBottom w:val="0"/>
              <w:divBdr>
                <w:top w:val="none" w:sz="0" w:space="0" w:color="auto"/>
                <w:left w:val="none" w:sz="0" w:space="0" w:color="auto"/>
                <w:bottom w:val="none" w:sz="0" w:space="0" w:color="auto"/>
                <w:right w:val="none" w:sz="0" w:space="0" w:color="auto"/>
              </w:divBdr>
            </w:div>
            <w:div w:id="886066203">
              <w:marLeft w:val="0"/>
              <w:marRight w:val="0"/>
              <w:marTop w:val="0"/>
              <w:marBottom w:val="0"/>
              <w:divBdr>
                <w:top w:val="none" w:sz="0" w:space="0" w:color="auto"/>
                <w:left w:val="none" w:sz="0" w:space="0" w:color="auto"/>
                <w:bottom w:val="none" w:sz="0" w:space="0" w:color="auto"/>
                <w:right w:val="none" w:sz="0" w:space="0" w:color="auto"/>
              </w:divBdr>
            </w:div>
            <w:div w:id="919675517">
              <w:marLeft w:val="0"/>
              <w:marRight w:val="0"/>
              <w:marTop w:val="0"/>
              <w:marBottom w:val="0"/>
              <w:divBdr>
                <w:top w:val="none" w:sz="0" w:space="0" w:color="auto"/>
                <w:left w:val="none" w:sz="0" w:space="0" w:color="auto"/>
                <w:bottom w:val="none" w:sz="0" w:space="0" w:color="auto"/>
                <w:right w:val="none" w:sz="0" w:space="0" w:color="auto"/>
              </w:divBdr>
            </w:div>
            <w:div w:id="1031614399">
              <w:marLeft w:val="0"/>
              <w:marRight w:val="0"/>
              <w:marTop w:val="0"/>
              <w:marBottom w:val="0"/>
              <w:divBdr>
                <w:top w:val="none" w:sz="0" w:space="0" w:color="auto"/>
                <w:left w:val="none" w:sz="0" w:space="0" w:color="auto"/>
                <w:bottom w:val="none" w:sz="0" w:space="0" w:color="auto"/>
                <w:right w:val="none" w:sz="0" w:space="0" w:color="auto"/>
              </w:divBdr>
            </w:div>
            <w:div w:id="1225947901">
              <w:marLeft w:val="0"/>
              <w:marRight w:val="0"/>
              <w:marTop w:val="0"/>
              <w:marBottom w:val="0"/>
              <w:divBdr>
                <w:top w:val="none" w:sz="0" w:space="0" w:color="auto"/>
                <w:left w:val="none" w:sz="0" w:space="0" w:color="auto"/>
                <w:bottom w:val="none" w:sz="0" w:space="0" w:color="auto"/>
                <w:right w:val="none" w:sz="0" w:space="0" w:color="auto"/>
              </w:divBdr>
            </w:div>
            <w:div w:id="1335645932">
              <w:marLeft w:val="0"/>
              <w:marRight w:val="0"/>
              <w:marTop w:val="0"/>
              <w:marBottom w:val="0"/>
              <w:divBdr>
                <w:top w:val="none" w:sz="0" w:space="0" w:color="auto"/>
                <w:left w:val="none" w:sz="0" w:space="0" w:color="auto"/>
                <w:bottom w:val="none" w:sz="0" w:space="0" w:color="auto"/>
                <w:right w:val="none" w:sz="0" w:space="0" w:color="auto"/>
              </w:divBdr>
            </w:div>
            <w:div w:id="1575120774">
              <w:marLeft w:val="0"/>
              <w:marRight w:val="0"/>
              <w:marTop w:val="0"/>
              <w:marBottom w:val="0"/>
              <w:divBdr>
                <w:top w:val="none" w:sz="0" w:space="0" w:color="auto"/>
                <w:left w:val="none" w:sz="0" w:space="0" w:color="auto"/>
                <w:bottom w:val="none" w:sz="0" w:space="0" w:color="auto"/>
                <w:right w:val="none" w:sz="0" w:space="0" w:color="auto"/>
              </w:divBdr>
            </w:div>
            <w:div w:id="1591347646">
              <w:marLeft w:val="0"/>
              <w:marRight w:val="0"/>
              <w:marTop w:val="0"/>
              <w:marBottom w:val="0"/>
              <w:divBdr>
                <w:top w:val="none" w:sz="0" w:space="0" w:color="auto"/>
                <w:left w:val="none" w:sz="0" w:space="0" w:color="auto"/>
                <w:bottom w:val="none" w:sz="0" w:space="0" w:color="auto"/>
                <w:right w:val="none" w:sz="0" w:space="0" w:color="auto"/>
              </w:divBdr>
            </w:div>
            <w:div w:id="1807889368">
              <w:marLeft w:val="0"/>
              <w:marRight w:val="0"/>
              <w:marTop w:val="0"/>
              <w:marBottom w:val="0"/>
              <w:divBdr>
                <w:top w:val="none" w:sz="0" w:space="0" w:color="auto"/>
                <w:left w:val="none" w:sz="0" w:space="0" w:color="auto"/>
                <w:bottom w:val="none" w:sz="0" w:space="0" w:color="auto"/>
                <w:right w:val="none" w:sz="0" w:space="0" w:color="auto"/>
              </w:divBdr>
            </w:div>
            <w:div w:id="1877082970">
              <w:marLeft w:val="0"/>
              <w:marRight w:val="0"/>
              <w:marTop w:val="0"/>
              <w:marBottom w:val="0"/>
              <w:divBdr>
                <w:top w:val="none" w:sz="0" w:space="0" w:color="auto"/>
                <w:left w:val="none" w:sz="0" w:space="0" w:color="auto"/>
                <w:bottom w:val="none" w:sz="0" w:space="0" w:color="auto"/>
                <w:right w:val="none" w:sz="0" w:space="0" w:color="auto"/>
              </w:divBdr>
            </w:div>
            <w:div w:id="1951929410">
              <w:marLeft w:val="0"/>
              <w:marRight w:val="0"/>
              <w:marTop w:val="0"/>
              <w:marBottom w:val="0"/>
              <w:divBdr>
                <w:top w:val="none" w:sz="0" w:space="0" w:color="auto"/>
                <w:left w:val="none" w:sz="0" w:space="0" w:color="auto"/>
                <w:bottom w:val="none" w:sz="0" w:space="0" w:color="auto"/>
                <w:right w:val="none" w:sz="0" w:space="0" w:color="auto"/>
              </w:divBdr>
            </w:div>
            <w:div w:id="2008825937">
              <w:marLeft w:val="0"/>
              <w:marRight w:val="0"/>
              <w:marTop w:val="0"/>
              <w:marBottom w:val="0"/>
              <w:divBdr>
                <w:top w:val="none" w:sz="0" w:space="0" w:color="auto"/>
                <w:left w:val="none" w:sz="0" w:space="0" w:color="auto"/>
                <w:bottom w:val="none" w:sz="0" w:space="0" w:color="auto"/>
                <w:right w:val="none" w:sz="0" w:space="0" w:color="auto"/>
              </w:divBdr>
            </w:div>
            <w:div w:id="2017805983">
              <w:marLeft w:val="0"/>
              <w:marRight w:val="0"/>
              <w:marTop w:val="0"/>
              <w:marBottom w:val="0"/>
              <w:divBdr>
                <w:top w:val="none" w:sz="0" w:space="0" w:color="auto"/>
                <w:left w:val="none" w:sz="0" w:space="0" w:color="auto"/>
                <w:bottom w:val="none" w:sz="0" w:space="0" w:color="auto"/>
                <w:right w:val="none" w:sz="0" w:space="0" w:color="auto"/>
              </w:divBdr>
            </w:div>
            <w:div w:id="2057197523">
              <w:marLeft w:val="0"/>
              <w:marRight w:val="0"/>
              <w:marTop w:val="0"/>
              <w:marBottom w:val="0"/>
              <w:divBdr>
                <w:top w:val="none" w:sz="0" w:space="0" w:color="auto"/>
                <w:left w:val="none" w:sz="0" w:space="0" w:color="auto"/>
                <w:bottom w:val="none" w:sz="0" w:space="0" w:color="auto"/>
                <w:right w:val="none" w:sz="0" w:space="0" w:color="auto"/>
              </w:divBdr>
            </w:div>
            <w:div w:id="2107115914">
              <w:marLeft w:val="0"/>
              <w:marRight w:val="0"/>
              <w:marTop w:val="0"/>
              <w:marBottom w:val="0"/>
              <w:divBdr>
                <w:top w:val="none" w:sz="0" w:space="0" w:color="auto"/>
                <w:left w:val="none" w:sz="0" w:space="0" w:color="auto"/>
                <w:bottom w:val="none" w:sz="0" w:space="0" w:color="auto"/>
                <w:right w:val="none" w:sz="0" w:space="0" w:color="auto"/>
              </w:divBdr>
            </w:div>
            <w:div w:id="2136214540">
              <w:marLeft w:val="0"/>
              <w:marRight w:val="0"/>
              <w:marTop w:val="0"/>
              <w:marBottom w:val="0"/>
              <w:divBdr>
                <w:top w:val="none" w:sz="0" w:space="0" w:color="auto"/>
                <w:left w:val="none" w:sz="0" w:space="0" w:color="auto"/>
                <w:bottom w:val="none" w:sz="0" w:space="0" w:color="auto"/>
                <w:right w:val="none" w:sz="0" w:space="0" w:color="auto"/>
              </w:divBdr>
            </w:div>
          </w:divsChild>
        </w:div>
        <w:div w:id="1774202538">
          <w:marLeft w:val="0"/>
          <w:marRight w:val="0"/>
          <w:marTop w:val="0"/>
          <w:marBottom w:val="0"/>
          <w:divBdr>
            <w:top w:val="none" w:sz="0" w:space="0" w:color="auto"/>
            <w:left w:val="none" w:sz="0" w:space="0" w:color="auto"/>
            <w:bottom w:val="none" w:sz="0" w:space="0" w:color="auto"/>
            <w:right w:val="none" w:sz="0" w:space="0" w:color="auto"/>
          </w:divBdr>
          <w:divsChild>
            <w:div w:id="162136136">
              <w:marLeft w:val="0"/>
              <w:marRight w:val="0"/>
              <w:marTop w:val="0"/>
              <w:marBottom w:val="0"/>
              <w:divBdr>
                <w:top w:val="none" w:sz="0" w:space="0" w:color="auto"/>
                <w:left w:val="none" w:sz="0" w:space="0" w:color="auto"/>
                <w:bottom w:val="none" w:sz="0" w:space="0" w:color="auto"/>
                <w:right w:val="none" w:sz="0" w:space="0" w:color="auto"/>
              </w:divBdr>
            </w:div>
            <w:div w:id="403453850">
              <w:marLeft w:val="0"/>
              <w:marRight w:val="0"/>
              <w:marTop w:val="0"/>
              <w:marBottom w:val="0"/>
              <w:divBdr>
                <w:top w:val="none" w:sz="0" w:space="0" w:color="auto"/>
                <w:left w:val="none" w:sz="0" w:space="0" w:color="auto"/>
                <w:bottom w:val="none" w:sz="0" w:space="0" w:color="auto"/>
                <w:right w:val="none" w:sz="0" w:space="0" w:color="auto"/>
              </w:divBdr>
            </w:div>
            <w:div w:id="456023693">
              <w:marLeft w:val="0"/>
              <w:marRight w:val="0"/>
              <w:marTop w:val="0"/>
              <w:marBottom w:val="0"/>
              <w:divBdr>
                <w:top w:val="none" w:sz="0" w:space="0" w:color="auto"/>
                <w:left w:val="none" w:sz="0" w:space="0" w:color="auto"/>
                <w:bottom w:val="none" w:sz="0" w:space="0" w:color="auto"/>
                <w:right w:val="none" w:sz="0" w:space="0" w:color="auto"/>
              </w:divBdr>
            </w:div>
            <w:div w:id="593393396">
              <w:marLeft w:val="0"/>
              <w:marRight w:val="0"/>
              <w:marTop w:val="0"/>
              <w:marBottom w:val="0"/>
              <w:divBdr>
                <w:top w:val="none" w:sz="0" w:space="0" w:color="auto"/>
                <w:left w:val="none" w:sz="0" w:space="0" w:color="auto"/>
                <w:bottom w:val="none" w:sz="0" w:space="0" w:color="auto"/>
                <w:right w:val="none" w:sz="0" w:space="0" w:color="auto"/>
              </w:divBdr>
            </w:div>
            <w:div w:id="794252265">
              <w:marLeft w:val="0"/>
              <w:marRight w:val="0"/>
              <w:marTop w:val="0"/>
              <w:marBottom w:val="0"/>
              <w:divBdr>
                <w:top w:val="none" w:sz="0" w:space="0" w:color="auto"/>
                <w:left w:val="none" w:sz="0" w:space="0" w:color="auto"/>
                <w:bottom w:val="none" w:sz="0" w:space="0" w:color="auto"/>
                <w:right w:val="none" w:sz="0" w:space="0" w:color="auto"/>
              </w:divBdr>
            </w:div>
            <w:div w:id="870070394">
              <w:marLeft w:val="0"/>
              <w:marRight w:val="0"/>
              <w:marTop w:val="0"/>
              <w:marBottom w:val="0"/>
              <w:divBdr>
                <w:top w:val="none" w:sz="0" w:space="0" w:color="auto"/>
                <w:left w:val="none" w:sz="0" w:space="0" w:color="auto"/>
                <w:bottom w:val="none" w:sz="0" w:space="0" w:color="auto"/>
                <w:right w:val="none" w:sz="0" w:space="0" w:color="auto"/>
              </w:divBdr>
            </w:div>
            <w:div w:id="945580943">
              <w:marLeft w:val="0"/>
              <w:marRight w:val="0"/>
              <w:marTop w:val="0"/>
              <w:marBottom w:val="0"/>
              <w:divBdr>
                <w:top w:val="none" w:sz="0" w:space="0" w:color="auto"/>
                <w:left w:val="none" w:sz="0" w:space="0" w:color="auto"/>
                <w:bottom w:val="none" w:sz="0" w:space="0" w:color="auto"/>
                <w:right w:val="none" w:sz="0" w:space="0" w:color="auto"/>
              </w:divBdr>
            </w:div>
            <w:div w:id="1003825320">
              <w:marLeft w:val="0"/>
              <w:marRight w:val="0"/>
              <w:marTop w:val="0"/>
              <w:marBottom w:val="0"/>
              <w:divBdr>
                <w:top w:val="none" w:sz="0" w:space="0" w:color="auto"/>
                <w:left w:val="none" w:sz="0" w:space="0" w:color="auto"/>
                <w:bottom w:val="none" w:sz="0" w:space="0" w:color="auto"/>
                <w:right w:val="none" w:sz="0" w:space="0" w:color="auto"/>
              </w:divBdr>
            </w:div>
            <w:div w:id="1004555651">
              <w:marLeft w:val="0"/>
              <w:marRight w:val="0"/>
              <w:marTop w:val="0"/>
              <w:marBottom w:val="0"/>
              <w:divBdr>
                <w:top w:val="none" w:sz="0" w:space="0" w:color="auto"/>
                <w:left w:val="none" w:sz="0" w:space="0" w:color="auto"/>
                <w:bottom w:val="none" w:sz="0" w:space="0" w:color="auto"/>
                <w:right w:val="none" w:sz="0" w:space="0" w:color="auto"/>
              </w:divBdr>
            </w:div>
            <w:div w:id="1071537458">
              <w:marLeft w:val="0"/>
              <w:marRight w:val="0"/>
              <w:marTop w:val="0"/>
              <w:marBottom w:val="0"/>
              <w:divBdr>
                <w:top w:val="none" w:sz="0" w:space="0" w:color="auto"/>
                <w:left w:val="none" w:sz="0" w:space="0" w:color="auto"/>
                <w:bottom w:val="none" w:sz="0" w:space="0" w:color="auto"/>
                <w:right w:val="none" w:sz="0" w:space="0" w:color="auto"/>
              </w:divBdr>
            </w:div>
            <w:div w:id="1114863150">
              <w:marLeft w:val="0"/>
              <w:marRight w:val="0"/>
              <w:marTop w:val="0"/>
              <w:marBottom w:val="0"/>
              <w:divBdr>
                <w:top w:val="none" w:sz="0" w:space="0" w:color="auto"/>
                <w:left w:val="none" w:sz="0" w:space="0" w:color="auto"/>
                <w:bottom w:val="none" w:sz="0" w:space="0" w:color="auto"/>
                <w:right w:val="none" w:sz="0" w:space="0" w:color="auto"/>
              </w:divBdr>
            </w:div>
            <w:div w:id="1170022116">
              <w:marLeft w:val="0"/>
              <w:marRight w:val="0"/>
              <w:marTop w:val="0"/>
              <w:marBottom w:val="0"/>
              <w:divBdr>
                <w:top w:val="none" w:sz="0" w:space="0" w:color="auto"/>
                <w:left w:val="none" w:sz="0" w:space="0" w:color="auto"/>
                <w:bottom w:val="none" w:sz="0" w:space="0" w:color="auto"/>
                <w:right w:val="none" w:sz="0" w:space="0" w:color="auto"/>
              </w:divBdr>
            </w:div>
            <w:div w:id="1242301908">
              <w:marLeft w:val="0"/>
              <w:marRight w:val="0"/>
              <w:marTop w:val="0"/>
              <w:marBottom w:val="0"/>
              <w:divBdr>
                <w:top w:val="none" w:sz="0" w:space="0" w:color="auto"/>
                <w:left w:val="none" w:sz="0" w:space="0" w:color="auto"/>
                <w:bottom w:val="none" w:sz="0" w:space="0" w:color="auto"/>
                <w:right w:val="none" w:sz="0" w:space="0" w:color="auto"/>
              </w:divBdr>
            </w:div>
            <w:div w:id="1402749649">
              <w:marLeft w:val="0"/>
              <w:marRight w:val="0"/>
              <w:marTop w:val="0"/>
              <w:marBottom w:val="0"/>
              <w:divBdr>
                <w:top w:val="none" w:sz="0" w:space="0" w:color="auto"/>
                <w:left w:val="none" w:sz="0" w:space="0" w:color="auto"/>
                <w:bottom w:val="none" w:sz="0" w:space="0" w:color="auto"/>
                <w:right w:val="none" w:sz="0" w:space="0" w:color="auto"/>
              </w:divBdr>
            </w:div>
            <w:div w:id="1620257255">
              <w:marLeft w:val="0"/>
              <w:marRight w:val="0"/>
              <w:marTop w:val="0"/>
              <w:marBottom w:val="0"/>
              <w:divBdr>
                <w:top w:val="none" w:sz="0" w:space="0" w:color="auto"/>
                <w:left w:val="none" w:sz="0" w:space="0" w:color="auto"/>
                <w:bottom w:val="none" w:sz="0" w:space="0" w:color="auto"/>
                <w:right w:val="none" w:sz="0" w:space="0" w:color="auto"/>
              </w:divBdr>
            </w:div>
            <w:div w:id="1630090129">
              <w:marLeft w:val="0"/>
              <w:marRight w:val="0"/>
              <w:marTop w:val="0"/>
              <w:marBottom w:val="0"/>
              <w:divBdr>
                <w:top w:val="none" w:sz="0" w:space="0" w:color="auto"/>
                <w:left w:val="none" w:sz="0" w:space="0" w:color="auto"/>
                <w:bottom w:val="none" w:sz="0" w:space="0" w:color="auto"/>
                <w:right w:val="none" w:sz="0" w:space="0" w:color="auto"/>
              </w:divBdr>
            </w:div>
            <w:div w:id="1898473616">
              <w:marLeft w:val="0"/>
              <w:marRight w:val="0"/>
              <w:marTop w:val="0"/>
              <w:marBottom w:val="0"/>
              <w:divBdr>
                <w:top w:val="none" w:sz="0" w:space="0" w:color="auto"/>
                <w:left w:val="none" w:sz="0" w:space="0" w:color="auto"/>
                <w:bottom w:val="none" w:sz="0" w:space="0" w:color="auto"/>
                <w:right w:val="none" w:sz="0" w:space="0" w:color="auto"/>
              </w:divBdr>
            </w:div>
            <w:div w:id="1962884563">
              <w:marLeft w:val="0"/>
              <w:marRight w:val="0"/>
              <w:marTop w:val="0"/>
              <w:marBottom w:val="0"/>
              <w:divBdr>
                <w:top w:val="none" w:sz="0" w:space="0" w:color="auto"/>
                <w:left w:val="none" w:sz="0" w:space="0" w:color="auto"/>
                <w:bottom w:val="none" w:sz="0" w:space="0" w:color="auto"/>
                <w:right w:val="none" w:sz="0" w:space="0" w:color="auto"/>
              </w:divBdr>
            </w:div>
            <w:div w:id="1994529299">
              <w:marLeft w:val="0"/>
              <w:marRight w:val="0"/>
              <w:marTop w:val="0"/>
              <w:marBottom w:val="0"/>
              <w:divBdr>
                <w:top w:val="none" w:sz="0" w:space="0" w:color="auto"/>
                <w:left w:val="none" w:sz="0" w:space="0" w:color="auto"/>
                <w:bottom w:val="none" w:sz="0" w:space="0" w:color="auto"/>
                <w:right w:val="none" w:sz="0" w:space="0" w:color="auto"/>
              </w:divBdr>
            </w:div>
            <w:div w:id="2059620199">
              <w:marLeft w:val="0"/>
              <w:marRight w:val="0"/>
              <w:marTop w:val="0"/>
              <w:marBottom w:val="0"/>
              <w:divBdr>
                <w:top w:val="none" w:sz="0" w:space="0" w:color="auto"/>
                <w:left w:val="none" w:sz="0" w:space="0" w:color="auto"/>
                <w:bottom w:val="none" w:sz="0" w:space="0" w:color="auto"/>
                <w:right w:val="none" w:sz="0" w:space="0" w:color="auto"/>
              </w:divBdr>
            </w:div>
          </w:divsChild>
        </w:div>
        <w:div w:id="1908804367">
          <w:marLeft w:val="0"/>
          <w:marRight w:val="0"/>
          <w:marTop w:val="0"/>
          <w:marBottom w:val="0"/>
          <w:divBdr>
            <w:top w:val="none" w:sz="0" w:space="0" w:color="auto"/>
            <w:left w:val="none" w:sz="0" w:space="0" w:color="auto"/>
            <w:bottom w:val="none" w:sz="0" w:space="0" w:color="auto"/>
            <w:right w:val="none" w:sz="0" w:space="0" w:color="auto"/>
          </w:divBdr>
        </w:div>
        <w:div w:id="1914731969">
          <w:marLeft w:val="0"/>
          <w:marRight w:val="0"/>
          <w:marTop w:val="0"/>
          <w:marBottom w:val="0"/>
          <w:divBdr>
            <w:top w:val="none" w:sz="0" w:space="0" w:color="auto"/>
            <w:left w:val="none" w:sz="0" w:space="0" w:color="auto"/>
            <w:bottom w:val="none" w:sz="0" w:space="0" w:color="auto"/>
            <w:right w:val="none" w:sz="0" w:space="0" w:color="auto"/>
          </w:divBdr>
        </w:div>
        <w:div w:id="1945112000">
          <w:marLeft w:val="0"/>
          <w:marRight w:val="0"/>
          <w:marTop w:val="0"/>
          <w:marBottom w:val="0"/>
          <w:divBdr>
            <w:top w:val="none" w:sz="0" w:space="0" w:color="auto"/>
            <w:left w:val="none" w:sz="0" w:space="0" w:color="auto"/>
            <w:bottom w:val="none" w:sz="0" w:space="0" w:color="auto"/>
            <w:right w:val="none" w:sz="0" w:space="0" w:color="auto"/>
          </w:divBdr>
        </w:div>
        <w:div w:id="1952282255">
          <w:marLeft w:val="0"/>
          <w:marRight w:val="0"/>
          <w:marTop w:val="0"/>
          <w:marBottom w:val="0"/>
          <w:divBdr>
            <w:top w:val="none" w:sz="0" w:space="0" w:color="auto"/>
            <w:left w:val="none" w:sz="0" w:space="0" w:color="auto"/>
            <w:bottom w:val="none" w:sz="0" w:space="0" w:color="auto"/>
            <w:right w:val="none" w:sz="0" w:space="0" w:color="auto"/>
          </w:divBdr>
        </w:div>
        <w:div w:id="2020499828">
          <w:marLeft w:val="0"/>
          <w:marRight w:val="0"/>
          <w:marTop w:val="0"/>
          <w:marBottom w:val="0"/>
          <w:divBdr>
            <w:top w:val="none" w:sz="0" w:space="0" w:color="auto"/>
            <w:left w:val="none" w:sz="0" w:space="0" w:color="auto"/>
            <w:bottom w:val="none" w:sz="0" w:space="0" w:color="auto"/>
            <w:right w:val="none" w:sz="0" w:space="0" w:color="auto"/>
          </w:divBdr>
        </w:div>
        <w:div w:id="2048288090">
          <w:marLeft w:val="0"/>
          <w:marRight w:val="0"/>
          <w:marTop w:val="0"/>
          <w:marBottom w:val="0"/>
          <w:divBdr>
            <w:top w:val="none" w:sz="0" w:space="0" w:color="auto"/>
            <w:left w:val="none" w:sz="0" w:space="0" w:color="auto"/>
            <w:bottom w:val="none" w:sz="0" w:space="0" w:color="auto"/>
            <w:right w:val="none" w:sz="0" w:space="0" w:color="auto"/>
          </w:divBdr>
        </w:div>
        <w:div w:id="2125345707">
          <w:marLeft w:val="0"/>
          <w:marRight w:val="0"/>
          <w:marTop w:val="0"/>
          <w:marBottom w:val="0"/>
          <w:divBdr>
            <w:top w:val="none" w:sz="0" w:space="0" w:color="auto"/>
            <w:left w:val="none" w:sz="0" w:space="0" w:color="auto"/>
            <w:bottom w:val="none" w:sz="0" w:space="0" w:color="auto"/>
            <w:right w:val="none" w:sz="0" w:space="0" w:color="auto"/>
          </w:divBdr>
        </w:div>
      </w:divsChild>
    </w:div>
    <w:div w:id="783033985">
      <w:bodyDiv w:val="1"/>
      <w:marLeft w:val="0"/>
      <w:marRight w:val="0"/>
      <w:marTop w:val="0"/>
      <w:marBottom w:val="0"/>
      <w:divBdr>
        <w:top w:val="none" w:sz="0" w:space="0" w:color="auto"/>
        <w:left w:val="none" w:sz="0" w:space="0" w:color="auto"/>
        <w:bottom w:val="none" w:sz="0" w:space="0" w:color="auto"/>
        <w:right w:val="none" w:sz="0" w:space="0" w:color="auto"/>
      </w:divBdr>
    </w:div>
    <w:div w:id="785198264">
      <w:bodyDiv w:val="1"/>
      <w:marLeft w:val="0"/>
      <w:marRight w:val="0"/>
      <w:marTop w:val="0"/>
      <w:marBottom w:val="0"/>
      <w:divBdr>
        <w:top w:val="none" w:sz="0" w:space="0" w:color="auto"/>
        <w:left w:val="none" w:sz="0" w:space="0" w:color="auto"/>
        <w:bottom w:val="none" w:sz="0" w:space="0" w:color="auto"/>
        <w:right w:val="none" w:sz="0" w:space="0" w:color="auto"/>
      </w:divBdr>
    </w:div>
    <w:div w:id="787822968">
      <w:bodyDiv w:val="1"/>
      <w:marLeft w:val="0"/>
      <w:marRight w:val="0"/>
      <w:marTop w:val="0"/>
      <w:marBottom w:val="0"/>
      <w:divBdr>
        <w:top w:val="none" w:sz="0" w:space="0" w:color="auto"/>
        <w:left w:val="none" w:sz="0" w:space="0" w:color="auto"/>
        <w:bottom w:val="none" w:sz="0" w:space="0" w:color="auto"/>
        <w:right w:val="none" w:sz="0" w:space="0" w:color="auto"/>
      </w:divBdr>
    </w:div>
    <w:div w:id="791755195">
      <w:bodyDiv w:val="1"/>
      <w:marLeft w:val="0"/>
      <w:marRight w:val="0"/>
      <w:marTop w:val="0"/>
      <w:marBottom w:val="0"/>
      <w:divBdr>
        <w:top w:val="none" w:sz="0" w:space="0" w:color="auto"/>
        <w:left w:val="none" w:sz="0" w:space="0" w:color="auto"/>
        <w:bottom w:val="none" w:sz="0" w:space="0" w:color="auto"/>
        <w:right w:val="none" w:sz="0" w:space="0" w:color="auto"/>
      </w:divBdr>
    </w:div>
    <w:div w:id="794904474">
      <w:bodyDiv w:val="1"/>
      <w:marLeft w:val="0"/>
      <w:marRight w:val="0"/>
      <w:marTop w:val="0"/>
      <w:marBottom w:val="0"/>
      <w:divBdr>
        <w:top w:val="none" w:sz="0" w:space="0" w:color="auto"/>
        <w:left w:val="none" w:sz="0" w:space="0" w:color="auto"/>
        <w:bottom w:val="none" w:sz="0" w:space="0" w:color="auto"/>
        <w:right w:val="none" w:sz="0" w:space="0" w:color="auto"/>
      </w:divBdr>
    </w:div>
    <w:div w:id="796989913">
      <w:bodyDiv w:val="1"/>
      <w:marLeft w:val="0"/>
      <w:marRight w:val="0"/>
      <w:marTop w:val="0"/>
      <w:marBottom w:val="0"/>
      <w:divBdr>
        <w:top w:val="none" w:sz="0" w:space="0" w:color="auto"/>
        <w:left w:val="none" w:sz="0" w:space="0" w:color="auto"/>
        <w:bottom w:val="none" w:sz="0" w:space="0" w:color="auto"/>
        <w:right w:val="none" w:sz="0" w:space="0" w:color="auto"/>
      </w:divBdr>
    </w:div>
    <w:div w:id="797989446">
      <w:bodyDiv w:val="1"/>
      <w:marLeft w:val="0"/>
      <w:marRight w:val="0"/>
      <w:marTop w:val="0"/>
      <w:marBottom w:val="0"/>
      <w:divBdr>
        <w:top w:val="none" w:sz="0" w:space="0" w:color="auto"/>
        <w:left w:val="none" w:sz="0" w:space="0" w:color="auto"/>
        <w:bottom w:val="none" w:sz="0" w:space="0" w:color="auto"/>
        <w:right w:val="none" w:sz="0" w:space="0" w:color="auto"/>
      </w:divBdr>
    </w:div>
    <w:div w:id="800268972">
      <w:bodyDiv w:val="1"/>
      <w:marLeft w:val="0"/>
      <w:marRight w:val="0"/>
      <w:marTop w:val="0"/>
      <w:marBottom w:val="0"/>
      <w:divBdr>
        <w:top w:val="none" w:sz="0" w:space="0" w:color="auto"/>
        <w:left w:val="none" w:sz="0" w:space="0" w:color="auto"/>
        <w:bottom w:val="none" w:sz="0" w:space="0" w:color="auto"/>
        <w:right w:val="none" w:sz="0" w:space="0" w:color="auto"/>
      </w:divBdr>
    </w:div>
    <w:div w:id="801270309">
      <w:bodyDiv w:val="1"/>
      <w:marLeft w:val="0"/>
      <w:marRight w:val="0"/>
      <w:marTop w:val="0"/>
      <w:marBottom w:val="0"/>
      <w:divBdr>
        <w:top w:val="none" w:sz="0" w:space="0" w:color="auto"/>
        <w:left w:val="none" w:sz="0" w:space="0" w:color="auto"/>
        <w:bottom w:val="none" w:sz="0" w:space="0" w:color="auto"/>
        <w:right w:val="none" w:sz="0" w:space="0" w:color="auto"/>
      </w:divBdr>
    </w:div>
    <w:div w:id="806361744">
      <w:bodyDiv w:val="1"/>
      <w:marLeft w:val="0"/>
      <w:marRight w:val="0"/>
      <w:marTop w:val="0"/>
      <w:marBottom w:val="0"/>
      <w:divBdr>
        <w:top w:val="none" w:sz="0" w:space="0" w:color="auto"/>
        <w:left w:val="none" w:sz="0" w:space="0" w:color="auto"/>
        <w:bottom w:val="none" w:sz="0" w:space="0" w:color="auto"/>
        <w:right w:val="none" w:sz="0" w:space="0" w:color="auto"/>
      </w:divBdr>
    </w:div>
    <w:div w:id="811336354">
      <w:bodyDiv w:val="1"/>
      <w:marLeft w:val="0"/>
      <w:marRight w:val="0"/>
      <w:marTop w:val="0"/>
      <w:marBottom w:val="0"/>
      <w:divBdr>
        <w:top w:val="none" w:sz="0" w:space="0" w:color="auto"/>
        <w:left w:val="none" w:sz="0" w:space="0" w:color="auto"/>
        <w:bottom w:val="none" w:sz="0" w:space="0" w:color="auto"/>
        <w:right w:val="none" w:sz="0" w:space="0" w:color="auto"/>
      </w:divBdr>
    </w:div>
    <w:div w:id="818152466">
      <w:bodyDiv w:val="1"/>
      <w:marLeft w:val="0"/>
      <w:marRight w:val="0"/>
      <w:marTop w:val="0"/>
      <w:marBottom w:val="0"/>
      <w:divBdr>
        <w:top w:val="none" w:sz="0" w:space="0" w:color="auto"/>
        <w:left w:val="none" w:sz="0" w:space="0" w:color="auto"/>
        <w:bottom w:val="none" w:sz="0" w:space="0" w:color="auto"/>
        <w:right w:val="none" w:sz="0" w:space="0" w:color="auto"/>
      </w:divBdr>
      <w:divsChild>
        <w:div w:id="2073455051">
          <w:marLeft w:val="0"/>
          <w:marRight w:val="0"/>
          <w:marTop w:val="0"/>
          <w:marBottom w:val="0"/>
          <w:divBdr>
            <w:top w:val="none" w:sz="0" w:space="0" w:color="auto"/>
            <w:left w:val="none" w:sz="0" w:space="0" w:color="auto"/>
            <w:bottom w:val="none" w:sz="0" w:space="0" w:color="auto"/>
            <w:right w:val="none" w:sz="0" w:space="0" w:color="auto"/>
          </w:divBdr>
          <w:divsChild>
            <w:div w:id="887572258">
              <w:marLeft w:val="0"/>
              <w:marRight w:val="0"/>
              <w:marTop w:val="0"/>
              <w:marBottom w:val="0"/>
              <w:divBdr>
                <w:top w:val="none" w:sz="0" w:space="0" w:color="auto"/>
                <w:left w:val="none" w:sz="0" w:space="0" w:color="auto"/>
                <w:bottom w:val="none" w:sz="0" w:space="0" w:color="auto"/>
                <w:right w:val="none" w:sz="0" w:space="0" w:color="auto"/>
              </w:divBdr>
              <w:divsChild>
                <w:div w:id="1032654143">
                  <w:marLeft w:val="0"/>
                  <w:marRight w:val="0"/>
                  <w:marTop w:val="0"/>
                  <w:marBottom w:val="0"/>
                  <w:divBdr>
                    <w:top w:val="none" w:sz="0" w:space="0" w:color="auto"/>
                    <w:left w:val="none" w:sz="0" w:space="0" w:color="auto"/>
                    <w:bottom w:val="none" w:sz="0" w:space="0" w:color="auto"/>
                    <w:right w:val="none" w:sz="0" w:space="0" w:color="auto"/>
                  </w:divBdr>
                  <w:divsChild>
                    <w:div w:id="551237427">
                      <w:marLeft w:val="0"/>
                      <w:marRight w:val="0"/>
                      <w:marTop w:val="0"/>
                      <w:marBottom w:val="0"/>
                      <w:divBdr>
                        <w:top w:val="none" w:sz="0" w:space="0" w:color="auto"/>
                        <w:left w:val="none" w:sz="0" w:space="0" w:color="auto"/>
                        <w:bottom w:val="none" w:sz="0" w:space="0" w:color="auto"/>
                        <w:right w:val="none" w:sz="0" w:space="0" w:color="auto"/>
                      </w:divBdr>
                      <w:divsChild>
                        <w:div w:id="1777402377">
                          <w:marLeft w:val="0"/>
                          <w:marRight w:val="0"/>
                          <w:marTop w:val="0"/>
                          <w:marBottom w:val="0"/>
                          <w:divBdr>
                            <w:top w:val="none" w:sz="0" w:space="0" w:color="auto"/>
                            <w:left w:val="none" w:sz="0" w:space="0" w:color="auto"/>
                            <w:bottom w:val="none" w:sz="0" w:space="0" w:color="auto"/>
                            <w:right w:val="none" w:sz="0" w:space="0" w:color="auto"/>
                          </w:divBdr>
                          <w:divsChild>
                            <w:div w:id="640306541">
                              <w:marLeft w:val="0"/>
                              <w:marRight w:val="0"/>
                              <w:marTop w:val="0"/>
                              <w:marBottom w:val="0"/>
                              <w:divBdr>
                                <w:top w:val="none" w:sz="0" w:space="0" w:color="auto"/>
                                <w:left w:val="none" w:sz="0" w:space="0" w:color="auto"/>
                                <w:bottom w:val="none" w:sz="0" w:space="0" w:color="auto"/>
                                <w:right w:val="none" w:sz="0" w:space="0" w:color="auto"/>
                              </w:divBdr>
                              <w:divsChild>
                                <w:div w:id="746340971">
                                  <w:marLeft w:val="0"/>
                                  <w:marRight w:val="0"/>
                                  <w:marTop w:val="0"/>
                                  <w:marBottom w:val="0"/>
                                  <w:divBdr>
                                    <w:top w:val="none" w:sz="0" w:space="0" w:color="auto"/>
                                    <w:left w:val="none" w:sz="0" w:space="0" w:color="auto"/>
                                    <w:bottom w:val="none" w:sz="0" w:space="0" w:color="auto"/>
                                    <w:right w:val="none" w:sz="0" w:space="0" w:color="auto"/>
                                  </w:divBdr>
                                  <w:divsChild>
                                    <w:div w:id="1240211836">
                                      <w:marLeft w:val="0"/>
                                      <w:marRight w:val="0"/>
                                      <w:marTop w:val="0"/>
                                      <w:marBottom w:val="0"/>
                                      <w:divBdr>
                                        <w:top w:val="none" w:sz="0" w:space="0" w:color="auto"/>
                                        <w:left w:val="none" w:sz="0" w:space="0" w:color="auto"/>
                                        <w:bottom w:val="none" w:sz="0" w:space="0" w:color="auto"/>
                                        <w:right w:val="none" w:sz="0" w:space="0" w:color="auto"/>
                                      </w:divBdr>
                                      <w:divsChild>
                                        <w:div w:id="19010273">
                                          <w:marLeft w:val="0"/>
                                          <w:marRight w:val="0"/>
                                          <w:marTop w:val="0"/>
                                          <w:marBottom w:val="0"/>
                                          <w:divBdr>
                                            <w:top w:val="none" w:sz="0" w:space="0" w:color="auto"/>
                                            <w:left w:val="none" w:sz="0" w:space="0" w:color="auto"/>
                                            <w:bottom w:val="none" w:sz="0" w:space="0" w:color="auto"/>
                                            <w:right w:val="none" w:sz="0" w:space="0" w:color="auto"/>
                                          </w:divBdr>
                                          <w:divsChild>
                                            <w:div w:id="1353847329">
                                              <w:marLeft w:val="0"/>
                                              <w:marRight w:val="0"/>
                                              <w:marTop w:val="0"/>
                                              <w:marBottom w:val="0"/>
                                              <w:divBdr>
                                                <w:top w:val="none" w:sz="0" w:space="0" w:color="auto"/>
                                                <w:left w:val="none" w:sz="0" w:space="0" w:color="auto"/>
                                                <w:bottom w:val="none" w:sz="0" w:space="0" w:color="auto"/>
                                                <w:right w:val="none" w:sz="0" w:space="0" w:color="auto"/>
                                              </w:divBdr>
                                              <w:divsChild>
                                                <w:div w:id="1529296932">
                                                  <w:marLeft w:val="0"/>
                                                  <w:marRight w:val="0"/>
                                                  <w:marTop w:val="0"/>
                                                  <w:marBottom w:val="0"/>
                                                  <w:divBdr>
                                                    <w:top w:val="none" w:sz="0" w:space="0" w:color="auto"/>
                                                    <w:left w:val="none" w:sz="0" w:space="0" w:color="auto"/>
                                                    <w:bottom w:val="none" w:sz="0" w:space="0" w:color="auto"/>
                                                    <w:right w:val="none" w:sz="0" w:space="0" w:color="auto"/>
                                                  </w:divBdr>
                                                  <w:divsChild>
                                                    <w:div w:id="1205600832">
                                                      <w:marLeft w:val="0"/>
                                                      <w:marRight w:val="0"/>
                                                      <w:marTop w:val="0"/>
                                                      <w:marBottom w:val="0"/>
                                                      <w:divBdr>
                                                        <w:top w:val="none" w:sz="0" w:space="0" w:color="auto"/>
                                                        <w:left w:val="none" w:sz="0" w:space="0" w:color="auto"/>
                                                        <w:bottom w:val="none" w:sz="0" w:space="0" w:color="auto"/>
                                                        <w:right w:val="none" w:sz="0" w:space="0" w:color="auto"/>
                                                      </w:divBdr>
                                                      <w:divsChild>
                                                        <w:div w:id="355009171">
                                                          <w:marLeft w:val="0"/>
                                                          <w:marRight w:val="0"/>
                                                          <w:marTop w:val="0"/>
                                                          <w:marBottom w:val="0"/>
                                                          <w:divBdr>
                                                            <w:top w:val="none" w:sz="0" w:space="0" w:color="auto"/>
                                                            <w:left w:val="none" w:sz="0" w:space="0" w:color="auto"/>
                                                            <w:bottom w:val="none" w:sz="0" w:space="0" w:color="auto"/>
                                                            <w:right w:val="none" w:sz="0" w:space="0" w:color="auto"/>
                                                          </w:divBdr>
                                                          <w:divsChild>
                                                            <w:div w:id="16514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1653768">
      <w:bodyDiv w:val="1"/>
      <w:marLeft w:val="0"/>
      <w:marRight w:val="0"/>
      <w:marTop w:val="0"/>
      <w:marBottom w:val="0"/>
      <w:divBdr>
        <w:top w:val="none" w:sz="0" w:space="0" w:color="auto"/>
        <w:left w:val="none" w:sz="0" w:space="0" w:color="auto"/>
        <w:bottom w:val="none" w:sz="0" w:space="0" w:color="auto"/>
        <w:right w:val="none" w:sz="0" w:space="0" w:color="auto"/>
      </w:divBdr>
    </w:div>
    <w:div w:id="844173532">
      <w:bodyDiv w:val="1"/>
      <w:marLeft w:val="0"/>
      <w:marRight w:val="0"/>
      <w:marTop w:val="0"/>
      <w:marBottom w:val="0"/>
      <w:divBdr>
        <w:top w:val="none" w:sz="0" w:space="0" w:color="auto"/>
        <w:left w:val="none" w:sz="0" w:space="0" w:color="auto"/>
        <w:bottom w:val="none" w:sz="0" w:space="0" w:color="auto"/>
        <w:right w:val="none" w:sz="0" w:space="0" w:color="auto"/>
      </w:divBdr>
    </w:div>
    <w:div w:id="855533180">
      <w:bodyDiv w:val="1"/>
      <w:marLeft w:val="0"/>
      <w:marRight w:val="0"/>
      <w:marTop w:val="0"/>
      <w:marBottom w:val="0"/>
      <w:divBdr>
        <w:top w:val="none" w:sz="0" w:space="0" w:color="auto"/>
        <w:left w:val="none" w:sz="0" w:space="0" w:color="auto"/>
        <w:bottom w:val="none" w:sz="0" w:space="0" w:color="auto"/>
        <w:right w:val="none" w:sz="0" w:space="0" w:color="auto"/>
      </w:divBdr>
    </w:div>
    <w:div w:id="858931991">
      <w:bodyDiv w:val="1"/>
      <w:marLeft w:val="0"/>
      <w:marRight w:val="0"/>
      <w:marTop w:val="0"/>
      <w:marBottom w:val="0"/>
      <w:divBdr>
        <w:top w:val="none" w:sz="0" w:space="0" w:color="auto"/>
        <w:left w:val="none" w:sz="0" w:space="0" w:color="auto"/>
        <w:bottom w:val="none" w:sz="0" w:space="0" w:color="auto"/>
        <w:right w:val="none" w:sz="0" w:space="0" w:color="auto"/>
      </w:divBdr>
    </w:div>
    <w:div w:id="871116995">
      <w:bodyDiv w:val="1"/>
      <w:marLeft w:val="0"/>
      <w:marRight w:val="0"/>
      <w:marTop w:val="0"/>
      <w:marBottom w:val="0"/>
      <w:divBdr>
        <w:top w:val="none" w:sz="0" w:space="0" w:color="auto"/>
        <w:left w:val="none" w:sz="0" w:space="0" w:color="auto"/>
        <w:bottom w:val="none" w:sz="0" w:space="0" w:color="auto"/>
        <w:right w:val="none" w:sz="0" w:space="0" w:color="auto"/>
      </w:divBdr>
    </w:div>
    <w:div w:id="871725418">
      <w:bodyDiv w:val="1"/>
      <w:marLeft w:val="0"/>
      <w:marRight w:val="0"/>
      <w:marTop w:val="0"/>
      <w:marBottom w:val="0"/>
      <w:divBdr>
        <w:top w:val="none" w:sz="0" w:space="0" w:color="auto"/>
        <w:left w:val="none" w:sz="0" w:space="0" w:color="auto"/>
        <w:bottom w:val="none" w:sz="0" w:space="0" w:color="auto"/>
        <w:right w:val="none" w:sz="0" w:space="0" w:color="auto"/>
      </w:divBdr>
      <w:divsChild>
        <w:div w:id="17199987">
          <w:marLeft w:val="0"/>
          <w:marRight w:val="0"/>
          <w:marTop w:val="0"/>
          <w:marBottom w:val="0"/>
          <w:divBdr>
            <w:top w:val="none" w:sz="0" w:space="0" w:color="auto"/>
            <w:left w:val="none" w:sz="0" w:space="0" w:color="auto"/>
            <w:bottom w:val="none" w:sz="0" w:space="0" w:color="auto"/>
            <w:right w:val="none" w:sz="0" w:space="0" w:color="auto"/>
          </w:divBdr>
          <w:divsChild>
            <w:div w:id="249196565">
              <w:marLeft w:val="0"/>
              <w:marRight w:val="0"/>
              <w:marTop w:val="0"/>
              <w:marBottom w:val="0"/>
              <w:divBdr>
                <w:top w:val="none" w:sz="0" w:space="0" w:color="auto"/>
                <w:left w:val="none" w:sz="0" w:space="0" w:color="auto"/>
                <w:bottom w:val="none" w:sz="0" w:space="0" w:color="auto"/>
                <w:right w:val="none" w:sz="0" w:space="0" w:color="auto"/>
              </w:divBdr>
            </w:div>
            <w:div w:id="617836404">
              <w:marLeft w:val="0"/>
              <w:marRight w:val="0"/>
              <w:marTop w:val="0"/>
              <w:marBottom w:val="0"/>
              <w:divBdr>
                <w:top w:val="none" w:sz="0" w:space="0" w:color="auto"/>
                <w:left w:val="none" w:sz="0" w:space="0" w:color="auto"/>
                <w:bottom w:val="none" w:sz="0" w:space="0" w:color="auto"/>
                <w:right w:val="none" w:sz="0" w:space="0" w:color="auto"/>
              </w:divBdr>
            </w:div>
            <w:div w:id="706221249">
              <w:marLeft w:val="0"/>
              <w:marRight w:val="0"/>
              <w:marTop w:val="0"/>
              <w:marBottom w:val="0"/>
              <w:divBdr>
                <w:top w:val="none" w:sz="0" w:space="0" w:color="auto"/>
                <w:left w:val="none" w:sz="0" w:space="0" w:color="auto"/>
                <w:bottom w:val="none" w:sz="0" w:space="0" w:color="auto"/>
                <w:right w:val="none" w:sz="0" w:space="0" w:color="auto"/>
              </w:divBdr>
            </w:div>
            <w:div w:id="769549076">
              <w:marLeft w:val="0"/>
              <w:marRight w:val="0"/>
              <w:marTop w:val="0"/>
              <w:marBottom w:val="0"/>
              <w:divBdr>
                <w:top w:val="none" w:sz="0" w:space="0" w:color="auto"/>
                <w:left w:val="none" w:sz="0" w:space="0" w:color="auto"/>
                <w:bottom w:val="none" w:sz="0" w:space="0" w:color="auto"/>
                <w:right w:val="none" w:sz="0" w:space="0" w:color="auto"/>
              </w:divBdr>
            </w:div>
            <w:div w:id="841360899">
              <w:marLeft w:val="0"/>
              <w:marRight w:val="0"/>
              <w:marTop w:val="0"/>
              <w:marBottom w:val="0"/>
              <w:divBdr>
                <w:top w:val="none" w:sz="0" w:space="0" w:color="auto"/>
                <w:left w:val="none" w:sz="0" w:space="0" w:color="auto"/>
                <w:bottom w:val="none" w:sz="0" w:space="0" w:color="auto"/>
                <w:right w:val="none" w:sz="0" w:space="0" w:color="auto"/>
              </w:divBdr>
            </w:div>
            <w:div w:id="1137264721">
              <w:marLeft w:val="0"/>
              <w:marRight w:val="0"/>
              <w:marTop w:val="0"/>
              <w:marBottom w:val="0"/>
              <w:divBdr>
                <w:top w:val="none" w:sz="0" w:space="0" w:color="auto"/>
                <w:left w:val="none" w:sz="0" w:space="0" w:color="auto"/>
                <w:bottom w:val="none" w:sz="0" w:space="0" w:color="auto"/>
                <w:right w:val="none" w:sz="0" w:space="0" w:color="auto"/>
              </w:divBdr>
            </w:div>
            <w:div w:id="1215045316">
              <w:marLeft w:val="0"/>
              <w:marRight w:val="0"/>
              <w:marTop w:val="0"/>
              <w:marBottom w:val="0"/>
              <w:divBdr>
                <w:top w:val="none" w:sz="0" w:space="0" w:color="auto"/>
                <w:left w:val="none" w:sz="0" w:space="0" w:color="auto"/>
                <w:bottom w:val="none" w:sz="0" w:space="0" w:color="auto"/>
                <w:right w:val="none" w:sz="0" w:space="0" w:color="auto"/>
              </w:divBdr>
            </w:div>
            <w:div w:id="1251892330">
              <w:marLeft w:val="0"/>
              <w:marRight w:val="0"/>
              <w:marTop w:val="0"/>
              <w:marBottom w:val="0"/>
              <w:divBdr>
                <w:top w:val="none" w:sz="0" w:space="0" w:color="auto"/>
                <w:left w:val="none" w:sz="0" w:space="0" w:color="auto"/>
                <w:bottom w:val="none" w:sz="0" w:space="0" w:color="auto"/>
                <w:right w:val="none" w:sz="0" w:space="0" w:color="auto"/>
              </w:divBdr>
            </w:div>
            <w:div w:id="1341739120">
              <w:marLeft w:val="0"/>
              <w:marRight w:val="0"/>
              <w:marTop w:val="0"/>
              <w:marBottom w:val="0"/>
              <w:divBdr>
                <w:top w:val="none" w:sz="0" w:space="0" w:color="auto"/>
                <w:left w:val="none" w:sz="0" w:space="0" w:color="auto"/>
                <w:bottom w:val="none" w:sz="0" w:space="0" w:color="auto"/>
                <w:right w:val="none" w:sz="0" w:space="0" w:color="auto"/>
              </w:divBdr>
            </w:div>
            <w:div w:id="1452088122">
              <w:marLeft w:val="0"/>
              <w:marRight w:val="0"/>
              <w:marTop w:val="0"/>
              <w:marBottom w:val="0"/>
              <w:divBdr>
                <w:top w:val="none" w:sz="0" w:space="0" w:color="auto"/>
                <w:left w:val="none" w:sz="0" w:space="0" w:color="auto"/>
                <w:bottom w:val="none" w:sz="0" w:space="0" w:color="auto"/>
                <w:right w:val="none" w:sz="0" w:space="0" w:color="auto"/>
              </w:divBdr>
            </w:div>
            <w:div w:id="1521435163">
              <w:marLeft w:val="0"/>
              <w:marRight w:val="0"/>
              <w:marTop w:val="0"/>
              <w:marBottom w:val="0"/>
              <w:divBdr>
                <w:top w:val="none" w:sz="0" w:space="0" w:color="auto"/>
                <w:left w:val="none" w:sz="0" w:space="0" w:color="auto"/>
                <w:bottom w:val="none" w:sz="0" w:space="0" w:color="auto"/>
                <w:right w:val="none" w:sz="0" w:space="0" w:color="auto"/>
              </w:divBdr>
            </w:div>
            <w:div w:id="1616520883">
              <w:marLeft w:val="0"/>
              <w:marRight w:val="0"/>
              <w:marTop w:val="0"/>
              <w:marBottom w:val="0"/>
              <w:divBdr>
                <w:top w:val="none" w:sz="0" w:space="0" w:color="auto"/>
                <w:left w:val="none" w:sz="0" w:space="0" w:color="auto"/>
                <w:bottom w:val="none" w:sz="0" w:space="0" w:color="auto"/>
                <w:right w:val="none" w:sz="0" w:space="0" w:color="auto"/>
              </w:divBdr>
            </w:div>
            <w:div w:id="1621572219">
              <w:marLeft w:val="0"/>
              <w:marRight w:val="0"/>
              <w:marTop w:val="0"/>
              <w:marBottom w:val="0"/>
              <w:divBdr>
                <w:top w:val="none" w:sz="0" w:space="0" w:color="auto"/>
                <w:left w:val="none" w:sz="0" w:space="0" w:color="auto"/>
                <w:bottom w:val="none" w:sz="0" w:space="0" w:color="auto"/>
                <w:right w:val="none" w:sz="0" w:space="0" w:color="auto"/>
              </w:divBdr>
            </w:div>
            <w:div w:id="1807357215">
              <w:marLeft w:val="0"/>
              <w:marRight w:val="0"/>
              <w:marTop w:val="0"/>
              <w:marBottom w:val="0"/>
              <w:divBdr>
                <w:top w:val="none" w:sz="0" w:space="0" w:color="auto"/>
                <w:left w:val="none" w:sz="0" w:space="0" w:color="auto"/>
                <w:bottom w:val="none" w:sz="0" w:space="0" w:color="auto"/>
                <w:right w:val="none" w:sz="0" w:space="0" w:color="auto"/>
              </w:divBdr>
            </w:div>
            <w:div w:id="1867598055">
              <w:marLeft w:val="0"/>
              <w:marRight w:val="0"/>
              <w:marTop w:val="0"/>
              <w:marBottom w:val="0"/>
              <w:divBdr>
                <w:top w:val="none" w:sz="0" w:space="0" w:color="auto"/>
                <w:left w:val="none" w:sz="0" w:space="0" w:color="auto"/>
                <w:bottom w:val="none" w:sz="0" w:space="0" w:color="auto"/>
                <w:right w:val="none" w:sz="0" w:space="0" w:color="auto"/>
              </w:divBdr>
            </w:div>
            <w:div w:id="1871412027">
              <w:marLeft w:val="0"/>
              <w:marRight w:val="0"/>
              <w:marTop w:val="0"/>
              <w:marBottom w:val="0"/>
              <w:divBdr>
                <w:top w:val="none" w:sz="0" w:space="0" w:color="auto"/>
                <w:left w:val="none" w:sz="0" w:space="0" w:color="auto"/>
                <w:bottom w:val="none" w:sz="0" w:space="0" w:color="auto"/>
                <w:right w:val="none" w:sz="0" w:space="0" w:color="auto"/>
              </w:divBdr>
            </w:div>
            <w:div w:id="1890073386">
              <w:marLeft w:val="0"/>
              <w:marRight w:val="0"/>
              <w:marTop w:val="0"/>
              <w:marBottom w:val="0"/>
              <w:divBdr>
                <w:top w:val="none" w:sz="0" w:space="0" w:color="auto"/>
                <w:left w:val="none" w:sz="0" w:space="0" w:color="auto"/>
                <w:bottom w:val="none" w:sz="0" w:space="0" w:color="auto"/>
                <w:right w:val="none" w:sz="0" w:space="0" w:color="auto"/>
              </w:divBdr>
            </w:div>
            <w:div w:id="1988124952">
              <w:marLeft w:val="0"/>
              <w:marRight w:val="0"/>
              <w:marTop w:val="0"/>
              <w:marBottom w:val="0"/>
              <w:divBdr>
                <w:top w:val="none" w:sz="0" w:space="0" w:color="auto"/>
                <w:left w:val="none" w:sz="0" w:space="0" w:color="auto"/>
                <w:bottom w:val="none" w:sz="0" w:space="0" w:color="auto"/>
                <w:right w:val="none" w:sz="0" w:space="0" w:color="auto"/>
              </w:divBdr>
            </w:div>
            <w:div w:id="2017075913">
              <w:marLeft w:val="0"/>
              <w:marRight w:val="0"/>
              <w:marTop w:val="0"/>
              <w:marBottom w:val="0"/>
              <w:divBdr>
                <w:top w:val="none" w:sz="0" w:space="0" w:color="auto"/>
                <w:left w:val="none" w:sz="0" w:space="0" w:color="auto"/>
                <w:bottom w:val="none" w:sz="0" w:space="0" w:color="auto"/>
                <w:right w:val="none" w:sz="0" w:space="0" w:color="auto"/>
              </w:divBdr>
            </w:div>
            <w:div w:id="2030251217">
              <w:marLeft w:val="0"/>
              <w:marRight w:val="0"/>
              <w:marTop w:val="0"/>
              <w:marBottom w:val="0"/>
              <w:divBdr>
                <w:top w:val="none" w:sz="0" w:space="0" w:color="auto"/>
                <w:left w:val="none" w:sz="0" w:space="0" w:color="auto"/>
                <w:bottom w:val="none" w:sz="0" w:space="0" w:color="auto"/>
                <w:right w:val="none" w:sz="0" w:space="0" w:color="auto"/>
              </w:divBdr>
            </w:div>
          </w:divsChild>
        </w:div>
        <w:div w:id="116028545">
          <w:marLeft w:val="0"/>
          <w:marRight w:val="0"/>
          <w:marTop w:val="0"/>
          <w:marBottom w:val="0"/>
          <w:divBdr>
            <w:top w:val="none" w:sz="0" w:space="0" w:color="auto"/>
            <w:left w:val="none" w:sz="0" w:space="0" w:color="auto"/>
            <w:bottom w:val="none" w:sz="0" w:space="0" w:color="auto"/>
            <w:right w:val="none" w:sz="0" w:space="0" w:color="auto"/>
          </w:divBdr>
        </w:div>
        <w:div w:id="211117004">
          <w:marLeft w:val="0"/>
          <w:marRight w:val="0"/>
          <w:marTop w:val="0"/>
          <w:marBottom w:val="0"/>
          <w:divBdr>
            <w:top w:val="none" w:sz="0" w:space="0" w:color="auto"/>
            <w:left w:val="none" w:sz="0" w:space="0" w:color="auto"/>
            <w:bottom w:val="none" w:sz="0" w:space="0" w:color="auto"/>
            <w:right w:val="none" w:sz="0" w:space="0" w:color="auto"/>
          </w:divBdr>
        </w:div>
        <w:div w:id="334038328">
          <w:marLeft w:val="0"/>
          <w:marRight w:val="0"/>
          <w:marTop w:val="0"/>
          <w:marBottom w:val="0"/>
          <w:divBdr>
            <w:top w:val="none" w:sz="0" w:space="0" w:color="auto"/>
            <w:left w:val="none" w:sz="0" w:space="0" w:color="auto"/>
            <w:bottom w:val="none" w:sz="0" w:space="0" w:color="auto"/>
            <w:right w:val="none" w:sz="0" w:space="0" w:color="auto"/>
          </w:divBdr>
        </w:div>
        <w:div w:id="395517971">
          <w:marLeft w:val="0"/>
          <w:marRight w:val="0"/>
          <w:marTop w:val="0"/>
          <w:marBottom w:val="0"/>
          <w:divBdr>
            <w:top w:val="none" w:sz="0" w:space="0" w:color="auto"/>
            <w:left w:val="none" w:sz="0" w:space="0" w:color="auto"/>
            <w:bottom w:val="none" w:sz="0" w:space="0" w:color="auto"/>
            <w:right w:val="none" w:sz="0" w:space="0" w:color="auto"/>
          </w:divBdr>
        </w:div>
        <w:div w:id="405222294">
          <w:marLeft w:val="0"/>
          <w:marRight w:val="0"/>
          <w:marTop w:val="0"/>
          <w:marBottom w:val="0"/>
          <w:divBdr>
            <w:top w:val="none" w:sz="0" w:space="0" w:color="auto"/>
            <w:left w:val="none" w:sz="0" w:space="0" w:color="auto"/>
            <w:bottom w:val="none" w:sz="0" w:space="0" w:color="auto"/>
            <w:right w:val="none" w:sz="0" w:space="0" w:color="auto"/>
          </w:divBdr>
        </w:div>
        <w:div w:id="457382579">
          <w:marLeft w:val="0"/>
          <w:marRight w:val="0"/>
          <w:marTop w:val="0"/>
          <w:marBottom w:val="0"/>
          <w:divBdr>
            <w:top w:val="none" w:sz="0" w:space="0" w:color="auto"/>
            <w:left w:val="none" w:sz="0" w:space="0" w:color="auto"/>
            <w:bottom w:val="none" w:sz="0" w:space="0" w:color="auto"/>
            <w:right w:val="none" w:sz="0" w:space="0" w:color="auto"/>
          </w:divBdr>
        </w:div>
        <w:div w:id="474835576">
          <w:marLeft w:val="0"/>
          <w:marRight w:val="0"/>
          <w:marTop w:val="0"/>
          <w:marBottom w:val="0"/>
          <w:divBdr>
            <w:top w:val="none" w:sz="0" w:space="0" w:color="auto"/>
            <w:left w:val="none" w:sz="0" w:space="0" w:color="auto"/>
            <w:bottom w:val="none" w:sz="0" w:space="0" w:color="auto"/>
            <w:right w:val="none" w:sz="0" w:space="0" w:color="auto"/>
          </w:divBdr>
        </w:div>
        <w:div w:id="520244316">
          <w:marLeft w:val="0"/>
          <w:marRight w:val="0"/>
          <w:marTop w:val="0"/>
          <w:marBottom w:val="0"/>
          <w:divBdr>
            <w:top w:val="none" w:sz="0" w:space="0" w:color="auto"/>
            <w:left w:val="none" w:sz="0" w:space="0" w:color="auto"/>
            <w:bottom w:val="none" w:sz="0" w:space="0" w:color="auto"/>
            <w:right w:val="none" w:sz="0" w:space="0" w:color="auto"/>
          </w:divBdr>
        </w:div>
        <w:div w:id="623079900">
          <w:marLeft w:val="0"/>
          <w:marRight w:val="0"/>
          <w:marTop w:val="0"/>
          <w:marBottom w:val="0"/>
          <w:divBdr>
            <w:top w:val="none" w:sz="0" w:space="0" w:color="auto"/>
            <w:left w:val="none" w:sz="0" w:space="0" w:color="auto"/>
            <w:bottom w:val="none" w:sz="0" w:space="0" w:color="auto"/>
            <w:right w:val="none" w:sz="0" w:space="0" w:color="auto"/>
          </w:divBdr>
        </w:div>
        <w:div w:id="639455562">
          <w:marLeft w:val="0"/>
          <w:marRight w:val="0"/>
          <w:marTop w:val="0"/>
          <w:marBottom w:val="0"/>
          <w:divBdr>
            <w:top w:val="none" w:sz="0" w:space="0" w:color="auto"/>
            <w:left w:val="none" w:sz="0" w:space="0" w:color="auto"/>
            <w:bottom w:val="none" w:sz="0" w:space="0" w:color="auto"/>
            <w:right w:val="none" w:sz="0" w:space="0" w:color="auto"/>
          </w:divBdr>
        </w:div>
        <w:div w:id="799344741">
          <w:marLeft w:val="0"/>
          <w:marRight w:val="0"/>
          <w:marTop w:val="0"/>
          <w:marBottom w:val="0"/>
          <w:divBdr>
            <w:top w:val="none" w:sz="0" w:space="0" w:color="auto"/>
            <w:left w:val="none" w:sz="0" w:space="0" w:color="auto"/>
            <w:bottom w:val="none" w:sz="0" w:space="0" w:color="auto"/>
            <w:right w:val="none" w:sz="0" w:space="0" w:color="auto"/>
          </w:divBdr>
        </w:div>
        <w:div w:id="871457474">
          <w:marLeft w:val="0"/>
          <w:marRight w:val="0"/>
          <w:marTop w:val="0"/>
          <w:marBottom w:val="0"/>
          <w:divBdr>
            <w:top w:val="none" w:sz="0" w:space="0" w:color="auto"/>
            <w:left w:val="none" w:sz="0" w:space="0" w:color="auto"/>
            <w:bottom w:val="none" w:sz="0" w:space="0" w:color="auto"/>
            <w:right w:val="none" w:sz="0" w:space="0" w:color="auto"/>
          </w:divBdr>
        </w:div>
        <w:div w:id="873157401">
          <w:marLeft w:val="0"/>
          <w:marRight w:val="0"/>
          <w:marTop w:val="0"/>
          <w:marBottom w:val="0"/>
          <w:divBdr>
            <w:top w:val="none" w:sz="0" w:space="0" w:color="auto"/>
            <w:left w:val="none" w:sz="0" w:space="0" w:color="auto"/>
            <w:bottom w:val="none" w:sz="0" w:space="0" w:color="auto"/>
            <w:right w:val="none" w:sz="0" w:space="0" w:color="auto"/>
          </w:divBdr>
        </w:div>
        <w:div w:id="906572642">
          <w:marLeft w:val="0"/>
          <w:marRight w:val="0"/>
          <w:marTop w:val="0"/>
          <w:marBottom w:val="0"/>
          <w:divBdr>
            <w:top w:val="none" w:sz="0" w:space="0" w:color="auto"/>
            <w:left w:val="none" w:sz="0" w:space="0" w:color="auto"/>
            <w:bottom w:val="none" w:sz="0" w:space="0" w:color="auto"/>
            <w:right w:val="none" w:sz="0" w:space="0" w:color="auto"/>
          </w:divBdr>
          <w:divsChild>
            <w:div w:id="243345262">
              <w:marLeft w:val="0"/>
              <w:marRight w:val="0"/>
              <w:marTop w:val="0"/>
              <w:marBottom w:val="0"/>
              <w:divBdr>
                <w:top w:val="none" w:sz="0" w:space="0" w:color="auto"/>
                <w:left w:val="none" w:sz="0" w:space="0" w:color="auto"/>
                <w:bottom w:val="none" w:sz="0" w:space="0" w:color="auto"/>
                <w:right w:val="none" w:sz="0" w:space="0" w:color="auto"/>
              </w:divBdr>
            </w:div>
            <w:div w:id="282033521">
              <w:marLeft w:val="0"/>
              <w:marRight w:val="0"/>
              <w:marTop w:val="0"/>
              <w:marBottom w:val="0"/>
              <w:divBdr>
                <w:top w:val="none" w:sz="0" w:space="0" w:color="auto"/>
                <w:left w:val="none" w:sz="0" w:space="0" w:color="auto"/>
                <w:bottom w:val="none" w:sz="0" w:space="0" w:color="auto"/>
                <w:right w:val="none" w:sz="0" w:space="0" w:color="auto"/>
              </w:divBdr>
            </w:div>
            <w:div w:id="351424331">
              <w:marLeft w:val="0"/>
              <w:marRight w:val="0"/>
              <w:marTop w:val="0"/>
              <w:marBottom w:val="0"/>
              <w:divBdr>
                <w:top w:val="none" w:sz="0" w:space="0" w:color="auto"/>
                <w:left w:val="none" w:sz="0" w:space="0" w:color="auto"/>
                <w:bottom w:val="none" w:sz="0" w:space="0" w:color="auto"/>
                <w:right w:val="none" w:sz="0" w:space="0" w:color="auto"/>
              </w:divBdr>
            </w:div>
            <w:div w:id="375160233">
              <w:marLeft w:val="0"/>
              <w:marRight w:val="0"/>
              <w:marTop w:val="0"/>
              <w:marBottom w:val="0"/>
              <w:divBdr>
                <w:top w:val="none" w:sz="0" w:space="0" w:color="auto"/>
                <w:left w:val="none" w:sz="0" w:space="0" w:color="auto"/>
                <w:bottom w:val="none" w:sz="0" w:space="0" w:color="auto"/>
                <w:right w:val="none" w:sz="0" w:space="0" w:color="auto"/>
              </w:divBdr>
            </w:div>
            <w:div w:id="414596381">
              <w:marLeft w:val="0"/>
              <w:marRight w:val="0"/>
              <w:marTop w:val="0"/>
              <w:marBottom w:val="0"/>
              <w:divBdr>
                <w:top w:val="none" w:sz="0" w:space="0" w:color="auto"/>
                <w:left w:val="none" w:sz="0" w:space="0" w:color="auto"/>
                <w:bottom w:val="none" w:sz="0" w:space="0" w:color="auto"/>
                <w:right w:val="none" w:sz="0" w:space="0" w:color="auto"/>
              </w:divBdr>
            </w:div>
            <w:div w:id="539786526">
              <w:marLeft w:val="0"/>
              <w:marRight w:val="0"/>
              <w:marTop w:val="0"/>
              <w:marBottom w:val="0"/>
              <w:divBdr>
                <w:top w:val="none" w:sz="0" w:space="0" w:color="auto"/>
                <w:left w:val="none" w:sz="0" w:space="0" w:color="auto"/>
                <w:bottom w:val="none" w:sz="0" w:space="0" w:color="auto"/>
                <w:right w:val="none" w:sz="0" w:space="0" w:color="auto"/>
              </w:divBdr>
            </w:div>
            <w:div w:id="633490735">
              <w:marLeft w:val="0"/>
              <w:marRight w:val="0"/>
              <w:marTop w:val="0"/>
              <w:marBottom w:val="0"/>
              <w:divBdr>
                <w:top w:val="none" w:sz="0" w:space="0" w:color="auto"/>
                <w:left w:val="none" w:sz="0" w:space="0" w:color="auto"/>
                <w:bottom w:val="none" w:sz="0" w:space="0" w:color="auto"/>
                <w:right w:val="none" w:sz="0" w:space="0" w:color="auto"/>
              </w:divBdr>
            </w:div>
            <w:div w:id="812793150">
              <w:marLeft w:val="0"/>
              <w:marRight w:val="0"/>
              <w:marTop w:val="0"/>
              <w:marBottom w:val="0"/>
              <w:divBdr>
                <w:top w:val="none" w:sz="0" w:space="0" w:color="auto"/>
                <w:left w:val="none" w:sz="0" w:space="0" w:color="auto"/>
                <w:bottom w:val="none" w:sz="0" w:space="0" w:color="auto"/>
                <w:right w:val="none" w:sz="0" w:space="0" w:color="auto"/>
              </w:divBdr>
            </w:div>
            <w:div w:id="893851124">
              <w:marLeft w:val="0"/>
              <w:marRight w:val="0"/>
              <w:marTop w:val="0"/>
              <w:marBottom w:val="0"/>
              <w:divBdr>
                <w:top w:val="none" w:sz="0" w:space="0" w:color="auto"/>
                <w:left w:val="none" w:sz="0" w:space="0" w:color="auto"/>
                <w:bottom w:val="none" w:sz="0" w:space="0" w:color="auto"/>
                <w:right w:val="none" w:sz="0" w:space="0" w:color="auto"/>
              </w:divBdr>
            </w:div>
            <w:div w:id="918370777">
              <w:marLeft w:val="0"/>
              <w:marRight w:val="0"/>
              <w:marTop w:val="0"/>
              <w:marBottom w:val="0"/>
              <w:divBdr>
                <w:top w:val="none" w:sz="0" w:space="0" w:color="auto"/>
                <w:left w:val="none" w:sz="0" w:space="0" w:color="auto"/>
                <w:bottom w:val="none" w:sz="0" w:space="0" w:color="auto"/>
                <w:right w:val="none" w:sz="0" w:space="0" w:color="auto"/>
              </w:divBdr>
            </w:div>
            <w:div w:id="941692024">
              <w:marLeft w:val="0"/>
              <w:marRight w:val="0"/>
              <w:marTop w:val="0"/>
              <w:marBottom w:val="0"/>
              <w:divBdr>
                <w:top w:val="none" w:sz="0" w:space="0" w:color="auto"/>
                <w:left w:val="none" w:sz="0" w:space="0" w:color="auto"/>
                <w:bottom w:val="none" w:sz="0" w:space="0" w:color="auto"/>
                <w:right w:val="none" w:sz="0" w:space="0" w:color="auto"/>
              </w:divBdr>
            </w:div>
            <w:div w:id="997269828">
              <w:marLeft w:val="0"/>
              <w:marRight w:val="0"/>
              <w:marTop w:val="0"/>
              <w:marBottom w:val="0"/>
              <w:divBdr>
                <w:top w:val="none" w:sz="0" w:space="0" w:color="auto"/>
                <w:left w:val="none" w:sz="0" w:space="0" w:color="auto"/>
                <w:bottom w:val="none" w:sz="0" w:space="0" w:color="auto"/>
                <w:right w:val="none" w:sz="0" w:space="0" w:color="auto"/>
              </w:divBdr>
            </w:div>
            <w:div w:id="1169293700">
              <w:marLeft w:val="0"/>
              <w:marRight w:val="0"/>
              <w:marTop w:val="0"/>
              <w:marBottom w:val="0"/>
              <w:divBdr>
                <w:top w:val="none" w:sz="0" w:space="0" w:color="auto"/>
                <w:left w:val="none" w:sz="0" w:space="0" w:color="auto"/>
                <w:bottom w:val="none" w:sz="0" w:space="0" w:color="auto"/>
                <w:right w:val="none" w:sz="0" w:space="0" w:color="auto"/>
              </w:divBdr>
            </w:div>
            <w:div w:id="1313365277">
              <w:marLeft w:val="0"/>
              <w:marRight w:val="0"/>
              <w:marTop w:val="0"/>
              <w:marBottom w:val="0"/>
              <w:divBdr>
                <w:top w:val="none" w:sz="0" w:space="0" w:color="auto"/>
                <w:left w:val="none" w:sz="0" w:space="0" w:color="auto"/>
                <w:bottom w:val="none" w:sz="0" w:space="0" w:color="auto"/>
                <w:right w:val="none" w:sz="0" w:space="0" w:color="auto"/>
              </w:divBdr>
            </w:div>
            <w:div w:id="1566379694">
              <w:marLeft w:val="0"/>
              <w:marRight w:val="0"/>
              <w:marTop w:val="0"/>
              <w:marBottom w:val="0"/>
              <w:divBdr>
                <w:top w:val="none" w:sz="0" w:space="0" w:color="auto"/>
                <w:left w:val="none" w:sz="0" w:space="0" w:color="auto"/>
                <w:bottom w:val="none" w:sz="0" w:space="0" w:color="auto"/>
                <w:right w:val="none" w:sz="0" w:space="0" w:color="auto"/>
              </w:divBdr>
            </w:div>
            <w:div w:id="1702629745">
              <w:marLeft w:val="0"/>
              <w:marRight w:val="0"/>
              <w:marTop w:val="0"/>
              <w:marBottom w:val="0"/>
              <w:divBdr>
                <w:top w:val="none" w:sz="0" w:space="0" w:color="auto"/>
                <w:left w:val="none" w:sz="0" w:space="0" w:color="auto"/>
                <w:bottom w:val="none" w:sz="0" w:space="0" w:color="auto"/>
                <w:right w:val="none" w:sz="0" w:space="0" w:color="auto"/>
              </w:divBdr>
            </w:div>
            <w:div w:id="1744178363">
              <w:marLeft w:val="0"/>
              <w:marRight w:val="0"/>
              <w:marTop w:val="0"/>
              <w:marBottom w:val="0"/>
              <w:divBdr>
                <w:top w:val="none" w:sz="0" w:space="0" w:color="auto"/>
                <w:left w:val="none" w:sz="0" w:space="0" w:color="auto"/>
                <w:bottom w:val="none" w:sz="0" w:space="0" w:color="auto"/>
                <w:right w:val="none" w:sz="0" w:space="0" w:color="auto"/>
              </w:divBdr>
            </w:div>
            <w:div w:id="2118059422">
              <w:marLeft w:val="0"/>
              <w:marRight w:val="0"/>
              <w:marTop w:val="0"/>
              <w:marBottom w:val="0"/>
              <w:divBdr>
                <w:top w:val="none" w:sz="0" w:space="0" w:color="auto"/>
                <w:left w:val="none" w:sz="0" w:space="0" w:color="auto"/>
                <w:bottom w:val="none" w:sz="0" w:space="0" w:color="auto"/>
                <w:right w:val="none" w:sz="0" w:space="0" w:color="auto"/>
              </w:divBdr>
            </w:div>
            <w:div w:id="2119060672">
              <w:marLeft w:val="0"/>
              <w:marRight w:val="0"/>
              <w:marTop w:val="0"/>
              <w:marBottom w:val="0"/>
              <w:divBdr>
                <w:top w:val="none" w:sz="0" w:space="0" w:color="auto"/>
                <w:left w:val="none" w:sz="0" w:space="0" w:color="auto"/>
                <w:bottom w:val="none" w:sz="0" w:space="0" w:color="auto"/>
                <w:right w:val="none" w:sz="0" w:space="0" w:color="auto"/>
              </w:divBdr>
            </w:div>
            <w:div w:id="2144348092">
              <w:marLeft w:val="0"/>
              <w:marRight w:val="0"/>
              <w:marTop w:val="0"/>
              <w:marBottom w:val="0"/>
              <w:divBdr>
                <w:top w:val="none" w:sz="0" w:space="0" w:color="auto"/>
                <w:left w:val="none" w:sz="0" w:space="0" w:color="auto"/>
                <w:bottom w:val="none" w:sz="0" w:space="0" w:color="auto"/>
                <w:right w:val="none" w:sz="0" w:space="0" w:color="auto"/>
              </w:divBdr>
            </w:div>
          </w:divsChild>
        </w:div>
        <w:div w:id="963343611">
          <w:marLeft w:val="0"/>
          <w:marRight w:val="0"/>
          <w:marTop w:val="0"/>
          <w:marBottom w:val="0"/>
          <w:divBdr>
            <w:top w:val="none" w:sz="0" w:space="0" w:color="auto"/>
            <w:left w:val="none" w:sz="0" w:space="0" w:color="auto"/>
            <w:bottom w:val="none" w:sz="0" w:space="0" w:color="auto"/>
            <w:right w:val="none" w:sz="0" w:space="0" w:color="auto"/>
          </w:divBdr>
          <w:divsChild>
            <w:div w:id="64230966">
              <w:marLeft w:val="0"/>
              <w:marRight w:val="0"/>
              <w:marTop w:val="0"/>
              <w:marBottom w:val="0"/>
              <w:divBdr>
                <w:top w:val="none" w:sz="0" w:space="0" w:color="auto"/>
                <w:left w:val="none" w:sz="0" w:space="0" w:color="auto"/>
                <w:bottom w:val="none" w:sz="0" w:space="0" w:color="auto"/>
                <w:right w:val="none" w:sz="0" w:space="0" w:color="auto"/>
              </w:divBdr>
            </w:div>
            <w:div w:id="109787584">
              <w:marLeft w:val="0"/>
              <w:marRight w:val="0"/>
              <w:marTop w:val="0"/>
              <w:marBottom w:val="0"/>
              <w:divBdr>
                <w:top w:val="none" w:sz="0" w:space="0" w:color="auto"/>
                <w:left w:val="none" w:sz="0" w:space="0" w:color="auto"/>
                <w:bottom w:val="none" w:sz="0" w:space="0" w:color="auto"/>
                <w:right w:val="none" w:sz="0" w:space="0" w:color="auto"/>
              </w:divBdr>
            </w:div>
            <w:div w:id="168101578">
              <w:marLeft w:val="0"/>
              <w:marRight w:val="0"/>
              <w:marTop w:val="0"/>
              <w:marBottom w:val="0"/>
              <w:divBdr>
                <w:top w:val="none" w:sz="0" w:space="0" w:color="auto"/>
                <w:left w:val="none" w:sz="0" w:space="0" w:color="auto"/>
                <w:bottom w:val="none" w:sz="0" w:space="0" w:color="auto"/>
                <w:right w:val="none" w:sz="0" w:space="0" w:color="auto"/>
              </w:divBdr>
            </w:div>
            <w:div w:id="181281293">
              <w:marLeft w:val="0"/>
              <w:marRight w:val="0"/>
              <w:marTop w:val="0"/>
              <w:marBottom w:val="0"/>
              <w:divBdr>
                <w:top w:val="none" w:sz="0" w:space="0" w:color="auto"/>
                <w:left w:val="none" w:sz="0" w:space="0" w:color="auto"/>
                <w:bottom w:val="none" w:sz="0" w:space="0" w:color="auto"/>
                <w:right w:val="none" w:sz="0" w:space="0" w:color="auto"/>
              </w:divBdr>
            </w:div>
            <w:div w:id="568540988">
              <w:marLeft w:val="0"/>
              <w:marRight w:val="0"/>
              <w:marTop w:val="0"/>
              <w:marBottom w:val="0"/>
              <w:divBdr>
                <w:top w:val="none" w:sz="0" w:space="0" w:color="auto"/>
                <w:left w:val="none" w:sz="0" w:space="0" w:color="auto"/>
                <w:bottom w:val="none" w:sz="0" w:space="0" w:color="auto"/>
                <w:right w:val="none" w:sz="0" w:space="0" w:color="auto"/>
              </w:divBdr>
            </w:div>
            <w:div w:id="600256790">
              <w:marLeft w:val="0"/>
              <w:marRight w:val="0"/>
              <w:marTop w:val="0"/>
              <w:marBottom w:val="0"/>
              <w:divBdr>
                <w:top w:val="none" w:sz="0" w:space="0" w:color="auto"/>
                <w:left w:val="none" w:sz="0" w:space="0" w:color="auto"/>
                <w:bottom w:val="none" w:sz="0" w:space="0" w:color="auto"/>
                <w:right w:val="none" w:sz="0" w:space="0" w:color="auto"/>
              </w:divBdr>
            </w:div>
            <w:div w:id="651300319">
              <w:marLeft w:val="0"/>
              <w:marRight w:val="0"/>
              <w:marTop w:val="0"/>
              <w:marBottom w:val="0"/>
              <w:divBdr>
                <w:top w:val="none" w:sz="0" w:space="0" w:color="auto"/>
                <w:left w:val="none" w:sz="0" w:space="0" w:color="auto"/>
                <w:bottom w:val="none" w:sz="0" w:space="0" w:color="auto"/>
                <w:right w:val="none" w:sz="0" w:space="0" w:color="auto"/>
              </w:divBdr>
            </w:div>
            <w:div w:id="776174658">
              <w:marLeft w:val="0"/>
              <w:marRight w:val="0"/>
              <w:marTop w:val="0"/>
              <w:marBottom w:val="0"/>
              <w:divBdr>
                <w:top w:val="none" w:sz="0" w:space="0" w:color="auto"/>
                <w:left w:val="none" w:sz="0" w:space="0" w:color="auto"/>
                <w:bottom w:val="none" w:sz="0" w:space="0" w:color="auto"/>
                <w:right w:val="none" w:sz="0" w:space="0" w:color="auto"/>
              </w:divBdr>
            </w:div>
            <w:div w:id="840389716">
              <w:marLeft w:val="0"/>
              <w:marRight w:val="0"/>
              <w:marTop w:val="0"/>
              <w:marBottom w:val="0"/>
              <w:divBdr>
                <w:top w:val="none" w:sz="0" w:space="0" w:color="auto"/>
                <w:left w:val="none" w:sz="0" w:space="0" w:color="auto"/>
                <w:bottom w:val="none" w:sz="0" w:space="0" w:color="auto"/>
                <w:right w:val="none" w:sz="0" w:space="0" w:color="auto"/>
              </w:divBdr>
            </w:div>
            <w:div w:id="1017271614">
              <w:marLeft w:val="0"/>
              <w:marRight w:val="0"/>
              <w:marTop w:val="0"/>
              <w:marBottom w:val="0"/>
              <w:divBdr>
                <w:top w:val="none" w:sz="0" w:space="0" w:color="auto"/>
                <w:left w:val="none" w:sz="0" w:space="0" w:color="auto"/>
                <w:bottom w:val="none" w:sz="0" w:space="0" w:color="auto"/>
                <w:right w:val="none" w:sz="0" w:space="0" w:color="auto"/>
              </w:divBdr>
            </w:div>
            <w:div w:id="1104807275">
              <w:marLeft w:val="0"/>
              <w:marRight w:val="0"/>
              <w:marTop w:val="0"/>
              <w:marBottom w:val="0"/>
              <w:divBdr>
                <w:top w:val="none" w:sz="0" w:space="0" w:color="auto"/>
                <w:left w:val="none" w:sz="0" w:space="0" w:color="auto"/>
                <w:bottom w:val="none" w:sz="0" w:space="0" w:color="auto"/>
                <w:right w:val="none" w:sz="0" w:space="0" w:color="auto"/>
              </w:divBdr>
            </w:div>
            <w:div w:id="1146319592">
              <w:marLeft w:val="0"/>
              <w:marRight w:val="0"/>
              <w:marTop w:val="0"/>
              <w:marBottom w:val="0"/>
              <w:divBdr>
                <w:top w:val="none" w:sz="0" w:space="0" w:color="auto"/>
                <w:left w:val="none" w:sz="0" w:space="0" w:color="auto"/>
                <w:bottom w:val="none" w:sz="0" w:space="0" w:color="auto"/>
                <w:right w:val="none" w:sz="0" w:space="0" w:color="auto"/>
              </w:divBdr>
            </w:div>
            <w:div w:id="1275668490">
              <w:marLeft w:val="0"/>
              <w:marRight w:val="0"/>
              <w:marTop w:val="0"/>
              <w:marBottom w:val="0"/>
              <w:divBdr>
                <w:top w:val="none" w:sz="0" w:space="0" w:color="auto"/>
                <w:left w:val="none" w:sz="0" w:space="0" w:color="auto"/>
                <w:bottom w:val="none" w:sz="0" w:space="0" w:color="auto"/>
                <w:right w:val="none" w:sz="0" w:space="0" w:color="auto"/>
              </w:divBdr>
            </w:div>
            <w:div w:id="1375882171">
              <w:marLeft w:val="0"/>
              <w:marRight w:val="0"/>
              <w:marTop w:val="0"/>
              <w:marBottom w:val="0"/>
              <w:divBdr>
                <w:top w:val="none" w:sz="0" w:space="0" w:color="auto"/>
                <w:left w:val="none" w:sz="0" w:space="0" w:color="auto"/>
                <w:bottom w:val="none" w:sz="0" w:space="0" w:color="auto"/>
                <w:right w:val="none" w:sz="0" w:space="0" w:color="auto"/>
              </w:divBdr>
            </w:div>
            <w:div w:id="1400982726">
              <w:marLeft w:val="0"/>
              <w:marRight w:val="0"/>
              <w:marTop w:val="0"/>
              <w:marBottom w:val="0"/>
              <w:divBdr>
                <w:top w:val="none" w:sz="0" w:space="0" w:color="auto"/>
                <w:left w:val="none" w:sz="0" w:space="0" w:color="auto"/>
                <w:bottom w:val="none" w:sz="0" w:space="0" w:color="auto"/>
                <w:right w:val="none" w:sz="0" w:space="0" w:color="auto"/>
              </w:divBdr>
            </w:div>
            <w:div w:id="1454903913">
              <w:marLeft w:val="0"/>
              <w:marRight w:val="0"/>
              <w:marTop w:val="0"/>
              <w:marBottom w:val="0"/>
              <w:divBdr>
                <w:top w:val="none" w:sz="0" w:space="0" w:color="auto"/>
                <w:left w:val="none" w:sz="0" w:space="0" w:color="auto"/>
                <w:bottom w:val="none" w:sz="0" w:space="0" w:color="auto"/>
                <w:right w:val="none" w:sz="0" w:space="0" w:color="auto"/>
              </w:divBdr>
            </w:div>
            <w:div w:id="1485123392">
              <w:marLeft w:val="0"/>
              <w:marRight w:val="0"/>
              <w:marTop w:val="0"/>
              <w:marBottom w:val="0"/>
              <w:divBdr>
                <w:top w:val="none" w:sz="0" w:space="0" w:color="auto"/>
                <w:left w:val="none" w:sz="0" w:space="0" w:color="auto"/>
                <w:bottom w:val="none" w:sz="0" w:space="0" w:color="auto"/>
                <w:right w:val="none" w:sz="0" w:space="0" w:color="auto"/>
              </w:divBdr>
            </w:div>
            <w:div w:id="1547597689">
              <w:marLeft w:val="0"/>
              <w:marRight w:val="0"/>
              <w:marTop w:val="0"/>
              <w:marBottom w:val="0"/>
              <w:divBdr>
                <w:top w:val="none" w:sz="0" w:space="0" w:color="auto"/>
                <w:left w:val="none" w:sz="0" w:space="0" w:color="auto"/>
                <w:bottom w:val="none" w:sz="0" w:space="0" w:color="auto"/>
                <w:right w:val="none" w:sz="0" w:space="0" w:color="auto"/>
              </w:divBdr>
            </w:div>
            <w:div w:id="1942567178">
              <w:marLeft w:val="0"/>
              <w:marRight w:val="0"/>
              <w:marTop w:val="0"/>
              <w:marBottom w:val="0"/>
              <w:divBdr>
                <w:top w:val="none" w:sz="0" w:space="0" w:color="auto"/>
                <w:left w:val="none" w:sz="0" w:space="0" w:color="auto"/>
                <w:bottom w:val="none" w:sz="0" w:space="0" w:color="auto"/>
                <w:right w:val="none" w:sz="0" w:space="0" w:color="auto"/>
              </w:divBdr>
            </w:div>
            <w:div w:id="1985154657">
              <w:marLeft w:val="0"/>
              <w:marRight w:val="0"/>
              <w:marTop w:val="0"/>
              <w:marBottom w:val="0"/>
              <w:divBdr>
                <w:top w:val="none" w:sz="0" w:space="0" w:color="auto"/>
                <w:left w:val="none" w:sz="0" w:space="0" w:color="auto"/>
                <w:bottom w:val="none" w:sz="0" w:space="0" w:color="auto"/>
                <w:right w:val="none" w:sz="0" w:space="0" w:color="auto"/>
              </w:divBdr>
            </w:div>
          </w:divsChild>
        </w:div>
        <w:div w:id="996422878">
          <w:marLeft w:val="0"/>
          <w:marRight w:val="0"/>
          <w:marTop w:val="0"/>
          <w:marBottom w:val="0"/>
          <w:divBdr>
            <w:top w:val="none" w:sz="0" w:space="0" w:color="auto"/>
            <w:left w:val="none" w:sz="0" w:space="0" w:color="auto"/>
            <w:bottom w:val="none" w:sz="0" w:space="0" w:color="auto"/>
            <w:right w:val="none" w:sz="0" w:space="0" w:color="auto"/>
          </w:divBdr>
        </w:div>
        <w:div w:id="1024209143">
          <w:marLeft w:val="0"/>
          <w:marRight w:val="0"/>
          <w:marTop w:val="0"/>
          <w:marBottom w:val="0"/>
          <w:divBdr>
            <w:top w:val="none" w:sz="0" w:space="0" w:color="auto"/>
            <w:left w:val="none" w:sz="0" w:space="0" w:color="auto"/>
            <w:bottom w:val="none" w:sz="0" w:space="0" w:color="auto"/>
            <w:right w:val="none" w:sz="0" w:space="0" w:color="auto"/>
          </w:divBdr>
        </w:div>
        <w:div w:id="1052460709">
          <w:marLeft w:val="0"/>
          <w:marRight w:val="0"/>
          <w:marTop w:val="0"/>
          <w:marBottom w:val="0"/>
          <w:divBdr>
            <w:top w:val="none" w:sz="0" w:space="0" w:color="auto"/>
            <w:left w:val="none" w:sz="0" w:space="0" w:color="auto"/>
            <w:bottom w:val="none" w:sz="0" w:space="0" w:color="auto"/>
            <w:right w:val="none" w:sz="0" w:space="0" w:color="auto"/>
          </w:divBdr>
        </w:div>
        <w:div w:id="1083262256">
          <w:marLeft w:val="0"/>
          <w:marRight w:val="0"/>
          <w:marTop w:val="0"/>
          <w:marBottom w:val="0"/>
          <w:divBdr>
            <w:top w:val="none" w:sz="0" w:space="0" w:color="auto"/>
            <w:left w:val="none" w:sz="0" w:space="0" w:color="auto"/>
            <w:bottom w:val="none" w:sz="0" w:space="0" w:color="auto"/>
            <w:right w:val="none" w:sz="0" w:space="0" w:color="auto"/>
          </w:divBdr>
        </w:div>
        <w:div w:id="1179462896">
          <w:marLeft w:val="0"/>
          <w:marRight w:val="0"/>
          <w:marTop w:val="0"/>
          <w:marBottom w:val="0"/>
          <w:divBdr>
            <w:top w:val="none" w:sz="0" w:space="0" w:color="auto"/>
            <w:left w:val="none" w:sz="0" w:space="0" w:color="auto"/>
            <w:bottom w:val="none" w:sz="0" w:space="0" w:color="auto"/>
            <w:right w:val="none" w:sz="0" w:space="0" w:color="auto"/>
          </w:divBdr>
        </w:div>
        <w:div w:id="1226334533">
          <w:marLeft w:val="0"/>
          <w:marRight w:val="0"/>
          <w:marTop w:val="0"/>
          <w:marBottom w:val="0"/>
          <w:divBdr>
            <w:top w:val="none" w:sz="0" w:space="0" w:color="auto"/>
            <w:left w:val="none" w:sz="0" w:space="0" w:color="auto"/>
            <w:bottom w:val="none" w:sz="0" w:space="0" w:color="auto"/>
            <w:right w:val="none" w:sz="0" w:space="0" w:color="auto"/>
          </w:divBdr>
        </w:div>
        <w:div w:id="1259413702">
          <w:marLeft w:val="0"/>
          <w:marRight w:val="0"/>
          <w:marTop w:val="0"/>
          <w:marBottom w:val="0"/>
          <w:divBdr>
            <w:top w:val="none" w:sz="0" w:space="0" w:color="auto"/>
            <w:left w:val="none" w:sz="0" w:space="0" w:color="auto"/>
            <w:bottom w:val="none" w:sz="0" w:space="0" w:color="auto"/>
            <w:right w:val="none" w:sz="0" w:space="0" w:color="auto"/>
          </w:divBdr>
          <w:divsChild>
            <w:div w:id="14237256">
              <w:marLeft w:val="0"/>
              <w:marRight w:val="0"/>
              <w:marTop w:val="0"/>
              <w:marBottom w:val="0"/>
              <w:divBdr>
                <w:top w:val="none" w:sz="0" w:space="0" w:color="auto"/>
                <w:left w:val="none" w:sz="0" w:space="0" w:color="auto"/>
                <w:bottom w:val="none" w:sz="0" w:space="0" w:color="auto"/>
                <w:right w:val="none" w:sz="0" w:space="0" w:color="auto"/>
              </w:divBdr>
            </w:div>
            <w:div w:id="211428036">
              <w:marLeft w:val="0"/>
              <w:marRight w:val="0"/>
              <w:marTop w:val="0"/>
              <w:marBottom w:val="0"/>
              <w:divBdr>
                <w:top w:val="none" w:sz="0" w:space="0" w:color="auto"/>
                <w:left w:val="none" w:sz="0" w:space="0" w:color="auto"/>
                <w:bottom w:val="none" w:sz="0" w:space="0" w:color="auto"/>
                <w:right w:val="none" w:sz="0" w:space="0" w:color="auto"/>
              </w:divBdr>
            </w:div>
            <w:div w:id="386150283">
              <w:marLeft w:val="0"/>
              <w:marRight w:val="0"/>
              <w:marTop w:val="0"/>
              <w:marBottom w:val="0"/>
              <w:divBdr>
                <w:top w:val="none" w:sz="0" w:space="0" w:color="auto"/>
                <w:left w:val="none" w:sz="0" w:space="0" w:color="auto"/>
                <w:bottom w:val="none" w:sz="0" w:space="0" w:color="auto"/>
                <w:right w:val="none" w:sz="0" w:space="0" w:color="auto"/>
              </w:divBdr>
            </w:div>
            <w:div w:id="425810121">
              <w:marLeft w:val="0"/>
              <w:marRight w:val="0"/>
              <w:marTop w:val="0"/>
              <w:marBottom w:val="0"/>
              <w:divBdr>
                <w:top w:val="none" w:sz="0" w:space="0" w:color="auto"/>
                <w:left w:val="none" w:sz="0" w:space="0" w:color="auto"/>
                <w:bottom w:val="none" w:sz="0" w:space="0" w:color="auto"/>
                <w:right w:val="none" w:sz="0" w:space="0" w:color="auto"/>
              </w:divBdr>
            </w:div>
            <w:div w:id="780806636">
              <w:marLeft w:val="0"/>
              <w:marRight w:val="0"/>
              <w:marTop w:val="0"/>
              <w:marBottom w:val="0"/>
              <w:divBdr>
                <w:top w:val="none" w:sz="0" w:space="0" w:color="auto"/>
                <w:left w:val="none" w:sz="0" w:space="0" w:color="auto"/>
                <w:bottom w:val="none" w:sz="0" w:space="0" w:color="auto"/>
                <w:right w:val="none" w:sz="0" w:space="0" w:color="auto"/>
              </w:divBdr>
            </w:div>
            <w:div w:id="795292426">
              <w:marLeft w:val="0"/>
              <w:marRight w:val="0"/>
              <w:marTop w:val="0"/>
              <w:marBottom w:val="0"/>
              <w:divBdr>
                <w:top w:val="none" w:sz="0" w:space="0" w:color="auto"/>
                <w:left w:val="none" w:sz="0" w:space="0" w:color="auto"/>
                <w:bottom w:val="none" w:sz="0" w:space="0" w:color="auto"/>
                <w:right w:val="none" w:sz="0" w:space="0" w:color="auto"/>
              </w:divBdr>
            </w:div>
            <w:div w:id="963854045">
              <w:marLeft w:val="0"/>
              <w:marRight w:val="0"/>
              <w:marTop w:val="0"/>
              <w:marBottom w:val="0"/>
              <w:divBdr>
                <w:top w:val="none" w:sz="0" w:space="0" w:color="auto"/>
                <w:left w:val="none" w:sz="0" w:space="0" w:color="auto"/>
                <w:bottom w:val="none" w:sz="0" w:space="0" w:color="auto"/>
                <w:right w:val="none" w:sz="0" w:space="0" w:color="auto"/>
              </w:divBdr>
            </w:div>
            <w:div w:id="970788097">
              <w:marLeft w:val="0"/>
              <w:marRight w:val="0"/>
              <w:marTop w:val="0"/>
              <w:marBottom w:val="0"/>
              <w:divBdr>
                <w:top w:val="none" w:sz="0" w:space="0" w:color="auto"/>
                <w:left w:val="none" w:sz="0" w:space="0" w:color="auto"/>
                <w:bottom w:val="none" w:sz="0" w:space="0" w:color="auto"/>
                <w:right w:val="none" w:sz="0" w:space="0" w:color="auto"/>
              </w:divBdr>
            </w:div>
            <w:div w:id="992954270">
              <w:marLeft w:val="0"/>
              <w:marRight w:val="0"/>
              <w:marTop w:val="0"/>
              <w:marBottom w:val="0"/>
              <w:divBdr>
                <w:top w:val="none" w:sz="0" w:space="0" w:color="auto"/>
                <w:left w:val="none" w:sz="0" w:space="0" w:color="auto"/>
                <w:bottom w:val="none" w:sz="0" w:space="0" w:color="auto"/>
                <w:right w:val="none" w:sz="0" w:space="0" w:color="auto"/>
              </w:divBdr>
            </w:div>
            <w:div w:id="1031537294">
              <w:marLeft w:val="0"/>
              <w:marRight w:val="0"/>
              <w:marTop w:val="0"/>
              <w:marBottom w:val="0"/>
              <w:divBdr>
                <w:top w:val="none" w:sz="0" w:space="0" w:color="auto"/>
                <w:left w:val="none" w:sz="0" w:space="0" w:color="auto"/>
                <w:bottom w:val="none" w:sz="0" w:space="0" w:color="auto"/>
                <w:right w:val="none" w:sz="0" w:space="0" w:color="auto"/>
              </w:divBdr>
            </w:div>
            <w:div w:id="1085032675">
              <w:marLeft w:val="0"/>
              <w:marRight w:val="0"/>
              <w:marTop w:val="0"/>
              <w:marBottom w:val="0"/>
              <w:divBdr>
                <w:top w:val="none" w:sz="0" w:space="0" w:color="auto"/>
                <w:left w:val="none" w:sz="0" w:space="0" w:color="auto"/>
                <w:bottom w:val="none" w:sz="0" w:space="0" w:color="auto"/>
                <w:right w:val="none" w:sz="0" w:space="0" w:color="auto"/>
              </w:divBdr>
            </w:div>
            <w:div w:id="1143356176">
              <w:marLeft w:val="0"/>
              <w:marRight w:val="0"/>
              <w:marTop w:val="0"/>
              <w:marBottom w:val="0"/>
              <w:divBdr>
                <w:top w:val="none" w:sz="0" w:space="0" w:color="auto"/>
                <w:left w:val="none" w:sz="0" w:space="0" w:color="auto"/>
                <w:bottom w:val="none" w:sz="0" w:space="0" w:color="auto"/>
                <w:right w:val="none" w:sz="0" w:space="0" w:color="auto"/>
              </w:divBdr>
            </w:div>
            <w:div w:id="1294601880">
              <w:marLeft w:val="0"/>
              <w:marRight w:val="0"/>
              <w:marTop w:val="0"/>
              <w:marBottom w:val="0"/>
              <w:divBdr>
                <w:top w:val="none" w:sz="0" w:space="0" w:color="auto"/>
                <w:left w:val="none" w:sz="0" w:space="0" w:color="auto"/>
                <w:bottom w:val="none" w:sz="0" w:space="0" w:color="auto"/>
                <w:right w:val="none" w:sz="0" w:space="0" w:color="auto"/>
              </w:divBdr>
            </w:div>
            <w:div w:id="1334607824">
              <w:marLeft w:val="0"/>
              <w:marRight w:val="0"/>
              <w:marTop w:val="0"/>
              <w:marBottom w:val="0"/>
              <w:divBdr>
                <w:top w:val="none" w:sz="0" w:space="0" w:color="auto"/>
                <w:left w:val="none" w:sz="0" w:space="0" w:color="auto"/>
                <w:bottom w:val="none" w:sz="0" w:space="0" w:color="auto"/>
                <w:right w:val="none" w:sz="0" w:space="0" w:color="auto"/>
              </w:divBdr>
            </w:div>
            <w:div w:id="1344168711">
              <w:marLeft w:val="0"/>
              <w:marRight w:val="0"/>
              <w:marTop w:val="0"/>
              <w:marBottom w:val="0"/>
              <w:divBdr>
                <w:top w:val="none" w:sz="0" w:space="0" w:color="auto"/>
                <w:left w:val="none" w:sz="0" w:space="0" w:color="auto"/>
                <w:bottom w:val="none" w:sz="0" w:space="0" w:color="auto"/>
                <w:right w:val="none" w:sz="0" w:space="0" w:color="auto"/>
              </w:divBdr>
            </w:div>
            <w:div w:id="1508599959">
              <w:marLeft w:val="0"/>
              <w:marRight w:val="0"/>
              <w:marTop w:val="0"/>
              <w:marBottom w:val="0"/>
              <w:divBdr>
                <w:top w:val="none" w:sz="0" w:space="0" w:color="auto"/>
                <w:left w:val="none" w:sz="0" w:space="0" w:color="auto"/>
                <w:bottom w:val="none" w:sz="0" w:space="0" w:color="auto"/>
                <w:right w:val="none" w:sz="0" w:space="0" w:color="auto"/>
              </w:divBdr>
            </w:div>
            <w:div w:id="1724480295">
              <w:marLeft w:val="0"/>
              <w:marRight w:val="0"/>
              <w:marTop w:val="0"/>
              <w:marBottom w:val="0"/>
              <w:divBdr>
                <w:top w:val="none" w:sz="0" w:space="0" w:color="auto"/>
                <w:left w:val="none" w:sz="0" w:space="0" w:color="auto"/>
                <w:bottom w:val="none" w:sz="0" w:space="0" w:color="auto"/>
                <w:right w:val="none" w:sz="0" w:space="0" w:color="auto"/>
              </w:divBdr>
            </w:div>
            <w:div w:id="1792478100">
              <w:marLeft w:val="0"/>
              <w:marRight w:val="0"/>
              <w:marTop w:val="0"/>
              <w:marBottom w:val="0"/>
              <w:divBdr>
                <w:top w:val="none" w:sz="0" w:space="0" w:color="auto"/>
                <w:left w:val="none" w:sz="0" w:space="0" w:color="auto"/>
                <w:bottom w:val="none" w:sz="0" w:space="0" w:color="auto"/>
                <w:right w:val="none" w:sz="0" w:space="0" w:color="auto"/>
              </w:divBdr>
            </w:div>
            <w:div w:id="1954703918">
              <w:marLeft w:val="0"/>
              <w:marRight w:val="0"/>
              <w:marTop w:val="0"/>
              <w:marBottom w:val="0"/>
              <w:divBdr>
                <w:top w:val="none" w:sz="0" w:space="0" w:color="auto"/>
                <w:left w:val="none" w:sz="0" w:space="0" w:color="auto"/>
                <w:bottom w:val="none" w:sz="0" w:space="0" w:color="auto"/>
                <w:right w:val="none" w:sz="0" w:space="0" w:color="auto"/>
              </w:divBdr>
            </w:div>
            <w:div w:id="2095122972">
              <w:marLeft w:val="0"/>
              <w:marRight w:val="0"/>
              <w:marTop w:val="0"/>
              <w:marBottom w:val="0"/>
              <w:divBdr>
                <w:top w:val="none" w:sz="0" w:space="0" w:color="auto"/>
                <w:left w:val="none" w:sz="0" w:space="0" w:color="auto"/>
                <w:bottom w:val="none" w:sz="0" w:space="0" w:color="auto"/>
                <w:right w:val="none" w:sz="0" w:space="0" w:color="auto"/>
              </w:divBdr>
            </w:div>
          </w:divsChild>
        </w:div>
        <w:div w:id="1261765064">
          <w:marLeft w:val="0"/>
          <w:marRight w:val="0"/>
          <w:marTop w:val="0"/>
          <w:marBottom w:val="0"/>
          <w:divBdr>
            <w:top w:val="none" w:sz="0" w:space="0" w:color="auto"/>
            <w:left w:val="none" w:sz="0" w:space="0" w:color="auto"/>
            <w:bottom w:val="none" w:sz="0" w:space="0" w:color="auto"/>
            <w:right w:val="none" w:sz="0" w:space="0" w:color="auto"/>
          </w:divBdr>
        </w:div>
        <w:div w:id="1329482879">
          <w:marLeft w:val="0"/>
          <w:marRight w:val="0"/>
          <w:marTop w:val="0"/>
          <w:marBottom w:val="0"/>
          <w:divBdr>
            <w:top w:val="none" w:sz="0" w:space="0" w:color="auto"/>
            <w:left w:val="none" w:sz="0" w:space="0" w:color="auto"/>
            <w:bottom w:val="none" w:sz="0" w:space="0" w:color="auto"/>
            <w:right w:val="none" w:sz="0" w:space="0" w:color="auto"/>
          </w:divBdr>
        </w:div>
        <w:div w:id="1390612770">
          <w:marLeft w:val="0"/>
          <w:marRight w:val="0"/>
          <w:marTop w:val="0"/>
          <w:marBottom w:val="0"/>
          <w:divBdr>
            <w:top w:val="none" w:sz="0" w:space="0" w:color="auto"/>
            <w:left w:val="none" w:sz="0" w:space="0" w:color="auto"/>
            <w:bottom w:val="none" w:sz="0" w:space="0" w:color="auto"/>
            <w:right w:val="none" w:sz="0" w:space="0" w:color="auto"/>
          </w:divBdr>
          <w:divsChild>
            <w:div w:id="17322379">
              <w:marLeft w:val="0"/>
              <w:marRight w:val="0"/>
              <w:marTop w:val="0"/>
              <w:marBottom w:val="0"/>
              <w:divBdr>
                <w:top w:val="none" w:sz="0" w:space="0" w:color="auto"/>
                <w:left w:val="none" w:sz="0" w:space="0" w:color="auto"/>
                <w:bottom w:val="none" w:sz="0" w:space="0" w:color="auto"/>
                <w:right w:val="none" w:sz="0" w:space="0" w:color="auto"/>
              </w:divBdr>
            </w:div>
            <w:div w:id="217664487">
              <w:marLeft w:val="0"/>
              <w:marRight w:val="0"/>
              <w:marTop w:val="0"/>
              <w:marBottom w:val="0"/>
              <w:divBdr>
                <w:top w:val="none" w:sz="0" w:space="0" w:color="auto"/>
                <w:left w:val="none" w:sz="0" w:space="0" w:color="auto"/>
                <w:bottom w:val="none" w:sz="0" w:space="0" w:color="auto"/>
                <w:right w:val="none" w:sz="0" w:space="0" w:color="auto"/>
              </w:divBdr>
            </w:div>
            <w:div w:id="250965891">
              <w:marLeft w:val="0"/>
              <w:marRight w:val="0"/>
              <w:marTop w:val="0"/>
              <w:marBottom w:val="0"/>
              <w:divBdr>
                <w:top w:val="none" w:sz="0" w:space="0" w:color="auto"/>
                <w:left w:val="none" w:sz="0" w:space="0" w:color="auto"/>
                <w:bottom w:val="none" w:sz="0" w:space="0" w:color="auto"/>
                <w:right w:val="none" w:sz="0" w:space="0" w:color="auto"/>
              </w:divBdr>
            </w:div>
            <w:div w:id="423846104">
              <w:marLeft w:val="0"/>
              <w:marRight w:val="0"/>
              <w:marTop w:val="0"/>
              <w:marBottom w:val="0"/>
              <w:divBdr>
                <w:top w:val="none" w:sz="0" w:space="0" w:color="auto"/>
                <w:left w:val="none" w:sz="0" w:space="0" w:color="auto"/>
                <w:bottom w:val="none" w:sz="0" w:space="0" w:color="auto"/>
                <w:right w:val="none" w:sz="0" w:space="0" w:color="auto"/>
              </w:divBdr>
            </w:div>
            <w:div w:id="432626878">
              <w:marLeft w:val="0"/>
              <w:marRight w:val="0"/>
              <w:marTop w:val="0"/>
              <w:marBottom w:val="0"/>
              <w:divBdr>
                <w:top w:val="none" w:sz="0" w:space="0" w:color="auto"/>
                <w:left w:val="none" w:sz="0" w:space="0" w:color="auto"/>
                <w:bottom w:val="none" w:sz="0" w:space="0" w:color="auto"/>
                <w:right w:val="none" w:sz="0" w:space="0" w:color="auto"/>
              </w:divBdr>
            </w:div>
            <w:div w:id="647587237">
              <w:marLeft w:val="0"/>
              <w:marRight w:val="0"/>
              <w:marTop w:val="0"/>
              <w:marBottom w:val="0"/>
              <w:divBdr>
                <w:top w:val="none" w:sz="0" w:space="0" w:color="auto"/>
                <w:left w:val="none" w:sz="0" w:space="0" w:color="auto"/>
                <w:bottom w:val="none" w:sz="0" w:space="0" w:color="auto"/>
                <w:right w:val="none" w:sz="0" w:space="0" w:color="auto"/>
              </w:divBdr>
            </w:div>
            <w:div w:id="893934696">
              <w:marLeft w:val="0"/>
              <w:marRight w:val="0"/>
              <w:marTop w:val="0"/>
              <w:marBottom w:val="0"/>
              <w:divBdr>
                <w:top w:val="none" w:sz="0" w:space="0" w:color="auto"/>
                <w:left w:val="none" w:sz="0" w:space="0" w:color="auto"/>
                <w:bottom w:val="none" w:sz="0" w:space="0" w:color="auto"/>
                <w:right w:val="none" w:sz="0" w:space="0" w:color="auto"/>
              </w:divBdr>
            </w:div>
            <w:div w:id="985015763">
              <w:marLeft w:val="0"/>
              <w:marRight w:val="0"/>
              <w:marTop w:val="0"/>
              <w:marBottom w:val="0"/>
              <w:divBdr>
                <w:top w:val="none" w:sz="0" w:space="0" w:color="auto"/>
                <w:left w:val="none" w:sz="0" w:space="0" w:color="auto"/>
                <w:bottom w:val="none" w:sz="0" w:space="0" w:color="auto"/>
                <w:right w:val="none" w:sz="0" w:space="0" w:color="auto"/>
              </w:divBdr>
            </w:div>
            <w:div w:id="1025591983">
              <w:marLeft w:val="0"/>
              <w:marRight w:val="0"/>
              <w:marTop w:val="0"/>
              <w:marBottom w:val="0"/>
              <w:divBdr>
                <w:top w:val="none" w:sz="0" w:space="0" w:color="auto"/>
                <w:left w:val="none" w:sz="0" w:space="0" w:color="auto"/>
                <w:bottom w:val="none" w:sz="0" w:space="0" w:color="auto"/>
                <w:right w:val="none" w:sz="0" w:space="0" w:color="auto"/>
              </w:divBdr>
            </w:div>
            <w:div w:id="1375274254">
              <w:marLeft w:val="0"/>
              <w:marRight w:val="0"/>
              <w:marTop w:val="0"/>
              <w:marBottom w:val="0"/>
              <w:divBdr>
                <w:top w:val="none" w:sz="0" w:space="0" w:color="auto"/>
                <w:left w:val="none" w:sz="0" w:space="0" w:color="auto"/>
                <w:bottom w:val="none" w:sz="0" w:space="0" w:color="auto"/>
                <w:right w:val="none" w:sz="0" w:space="0" w:color="auto"/>
              </w:divBdr>
            </w:div>
            <w:div w:id="1626694046">
              <w:marLeft w:val="0"/>
              <w:marRight w:val="0"/>
              <w:marTop w:val="0"/>
              <w:marBottom w:val="0"/>
              <w:divBdr>
                <w:top w:val="none" w:sz="0" w:space="0" w:color="auto"/>
                <w:left w:val="none" w:sz="0" w:space="0" w:color="auto"/>
                <w:bottom w:val="none" w:sz="0" w:space="0" w:color="auto"/>
                <w:right w:val="none" w:sz="0" w:space="0" w:color="auto"/>
              </w:divBdr>
            </w:div>
            <w:div w:id="1668899506">
              <w:marLeft w:val="0"/>
              <w:marRight w:val="0"/>
              <w:marTop w:val="0"/>
              <w:marBottom w:val="0"/>
              <w:divBdr>
                <w:top w:val="none" w:sz="0" w:space="0" w:color="auto"/>
                <w:left w:val="none" w:sz="0" w:space="0" w:color="auto"/>
                <w:bottom w:val="none" w:sz="0" w:space="0" w:color="auto"/>
                <w:right w:val="none" w:sz="0" w:space="0" w:color="auto"/>
              </w:divBdr>
            </w:div>
            <w:div w:id="1672366304">
              <w:marLeft w:val="0"/>
              <w:marRight w:val="0"/>
              <w:marTop w:val="0"/>
              <w:marBottom w:val="0"/>
              <w:divBdr>
                <w:top w:val="none" w:sz="0" w:space="0" w:color="auto"/>
                <w:left w:val="none" w:sz="0" w:space="0" w:color="auto"/>
                <w:bottom w:val="none" w:sz="0" w:space="0" w:color="auto"/>
                <w:right w:val="none" w:sz="0" w:space="0" w:color="auto"/>
              </w:divBdr>
            </w:div>
            <w:div w:id="1799688053">
              <w:marLeft w:val="0"/>
              <w:marRight w:val="0"/>
              <w:marTop w:val="0"/>
              <w:marBottom w:val="0"/>
              <w:divBdr>
                <w:top w:val="none" w:sz="0" w:space="0" w:color="auto"/>
                <w:left w:val="none" w:sz="0" w:space="0" w:color="auto"/>
                <w:bottom w:val="none" w:sz="0" w:space="0" w:color="auto"/>
                <w:right w:val="none" w:sz="0" w:space="0" w:color="auto"/>
              </w:divBdr>
            </w:div>
            <w:div w:id="1844474160">
              <w:marLeft w:val="0"/>
              <w:marRight w:val="0"/>
              <w:marTop w:val="0"/>
              <w:marBottom w:val="0"/>
              <w:divBdr>
                <w:top w:val="none" w:sz="0" w:space="0" w:color="auto"/>
                <w:left w:val="none" w:sz="0" w:space="0" w:color="auto"/>
                <w:bottom w:val="none" w:sz="0" w:space="0" w:color="auto"/>
                <w:right w:val="none" w:sz="0" w:space="0" w:color="auto"/>
              </w:divBdr>
            </w:div>
            <w:div w:id="2039817282">
              <w:marLeft w:val="0"/>
              <w:marRight w:val="0"/>
              <w:marTop w:val="0"/>
              <w:marBottom w:val="0"/>
              <w:divBdr>
                <w:top w:val="none" w:sz="0" w:space="0" w:color="auto"/>
                <w:left w:val="none" w:sz="0" w:space="0" w:color="auto"/>
                <w:bottom w:val="none" w:sz="0" w:space="0" w:color="auto"/>
                <w:right w:val="none" w:sz="0" w:space="0" w:color="auto"/>
              </w:divBdr>
            </w:div>
            <w:div w:id="2044554741">
              <w:marLeft w:val="0"/>
              <w:marRight w:val="0"/>
              <w:marTop w:val="0"/>
              <w:marBottom w:val="0"/>
              <w:divBdr>
                <w:top w:val="none" w:sz="0" w:space="0" w:color="auto"/>
                <w:left w:val="none" w:sz="0" w:space="0" w:color="auto"/>
                <w:bottom w:val="none" w:sz="0" w:space="0" w:color="auto"/>
                <w:right w:val="none" w:sz="0" w:space="0" w:color="auto"/>
              </w:divBdr>
            </w:div>
            <w:div w:id="2067220774">
              <w:marLeft w:val="0"/>
              <w:marRight w:val="0"/>
              <w:marTop w:val="0"/>
              <w:marBottom w:val="0"/>
              <w:divBdr>
                <w:top w:val="none" w:sz="0" w:space="0" w:color="auto"/>
                <w:left w:val="none" w:sz="0" w:space="0" w:color="auto"/>
                <w:bottom w:val="none" w:sz="0" w:space="0" w:color="auto"/>
                <w:right w:val="none" w:sz="0" w:space="0" w:color="auto"/>
              </w:divBdr>
            </w:div>
            <w:div w:id="2090803864">
              <w:marLeft w:val="0"/>
              <w:marRight w:val="0"/>
              <w:marTop w:val="0"/>
              <w:marBottom w:val="0"/>
              <w:divBdr>
                <w:top w:val="none" w:sz="0" w:space="0" w:color="auto"/>
                <w:left w:val="none" w:sz="0" w:space="0" w:color="auto"/>
                <w:bottom w:val="none" w:sz="0" w:space="0" w:color="auto"/>
                <w:right w:val="none" w:sz="0" w:space="0" w:color="auto"/>
              </w:divBdr>
            </w:div>
            <w:div w:id="2104688991">
              <w:marLeft w:val="0"/>
              <w:marRight w:val="0"/>
              <w:marTop w:val="0"/>
              <w:marBottom w:val="0"/>
              <w:divBdr>
                <w:top w:val="none" w:sz="0" w:space="0" w:color="auto"/>
                <w:left w:val="none" w:sz="0" w:space="0" w:color="auto"/>
                <w:bottom w:val="none" w:sz="0" w:space="0" w:color="auto"/>
                <w:right w:val="none" w:sz="0" w:space="0" w:color="auto"/>
              </w:divBdr>
            </w:div>
          </w:divsChild>
        </w:div>
        <w:div w:id="1397849794">
          <w:marLeft w:val="0"/>
          <w:marRight w:val="0"/>
          <w:marTop w:val="0"/>
          <w:marBottom w:val="0"/>
          <w:divBdr>
            <w:top w:val="none" w:sz="0" w:space="0" w:color="auto"/>
            <w:left w:val="none" w:sz="0" w:space="0" w:color="auto"/>
            <w:bottom w:val="none" w:sz="0" w:space="0" w:color="auto"/>
            <w:right w:val="none" w:sz="0" w:space="0" w:color="auto"/>
          </w:divBdr>
        </w:div>
        <w:div w:id="1402488461">
          <w:marLeft w:val="0"/>
          <w:marRight w:val="0"/>
          <w:marTop w:val="0"/>
          <w:marBottom w:val="0"/>
          <w:divBdr>
            <w:top w:val="none" w:sz="0" w:space="0" w:color="auto"/>
            <w:left w:val="none" w:sz="0" w:space="0" w:color="auto"/>
            <w:bottom w:val="none" w:sz="0" w:space="0" w:color="auto"/>
            <w:right w:val="none" w:sz="0" w:space="0" w:color="auto"/>
          </w:divBdr>
        </w:div>
        <w:div w:id="1413237828">
          <w:marLeft w:val="0"/>
          <w:marRight w:val="0"/>
          <w:marTop w:val="0"/>
          <w:marBottom w:val="0"/>
          <w:divBdr>
            <w:top w:val="none" w:sz="0" w:space="0" w:color="auto"/>
            <w:left w:val="none" w:sz="0" w:space="0" w:color="auto"/>
            <w:bottom w:val="none" w:sz="0" w:space="0" w:color="auto"/>
            <w:right w:val="none" w:sz="0" w:space="0" w:color="auto"/>
          </w:divBdr>
        </w:div>
        <w:div w:id="1417360496">
          <w:marLeft w:val="0"/>
          <w:marRight w:val="0"/>
          <w:marTop w:val="0"/>
          <w:marBottom w:val="0"/>
          <w:divBdr>
            <w:top w:val="none" w:sz="0" w:space="0" w:color="auto"/>
            <w:left w:val="none" w:sz="0" w:space="0" w:color="auto"/>
            <w:bottom w:val="none" w:sz="0" w:space="0" w:color="auto"/>
            <w:right w:val="none" w:sz="0" w:space="0" w:color="auto"/>
          </w:divBdr>
        </w:div>
        <w:div w:id="1624072127">
          <w:marLeft w:val="0"/>
          <w:marRight w:val="0"/>
          <w:marTop w:val="0"/>
          <w:marBottom w:val="0"/>
          <w:divBdr>
            <w:top w:val="none" w:sz="0" w:space="0" w:color="auto"/>
            <w:left w:val="none" w:sz="0" w:space="0" w:color="auto"/>
            <w:bottom w:val="none" w:sz="0" w:space="0" w:color="auto"/>
            <w:right w:val="none" w:sz="0" w:space="0" w:color="auto"/>
          </w:divBdr>
        </w:div>
        <w:div w:id="1682663863">
          <w:marLeft w:val="0"/>
          <w:marRight w:val="0"/>
          <w:marTop w:val="0"/>
          <w:marBottom w:val="0"/>
          <w:divBdr>
            <w:top w:val="none" w:sz="0" w:space="0" w:color="auto"/>
            <w:left w:val="none" w:sz="0" w:space="0" w:color="auto"/>
            <w:bottom w:val="none" w:sz="0" w:space="0" w:color="auto"/>
            <w:right w:val="none" w:sz="0" w:space="0" w:color="auto"/>
          </w:divBdr>
          <w:divsChild>
            <w:div w:id="76219150">
              <w:marLeft w:val="0"/>
              <w:marRight w:val="0"/>
              <w:marTop w:val="0"/>
              <w:marBottom w:val="0"/>
              <w:divBdr>
                <w:top w:val="none" w:sz="0" w:space="0" w:color="auto"/>
                <w:left w:val="none" w:sz="0" w:space="0" w:color="auto"/>
                <w:bottom w:val="none" w:sz="0" w:space="0" w:color="auto"/>
                <w:right w:val="none" w:sz="0" w:space="0" w:color="auto"/>
              </w:divBdr>
            </w:div>
            <w:div w:id="155269307">
              <w:marLeft w:val="0"/>
              <w:marRight w:val="0"/>
              <w:marTop w:val="0"/>
              <w:marBottom w:val="0"/>
              <w:divBdr>
                <w:top w:val="none" w:sz="0" w:space="0" w:color="auto"/>
                <w:left w:val="none" w:sz="0" w:space="0" w:color="auto"/>
                <w:bottom w:val="none" w:sz="0" w:space="0" w:color="auto"/>
                <w:right w:val="none" w:sz="0" w:space="0" w:color="auto"/>
              </w:divBdr>
            </w:div>
            <w:div w:id="165562135">
              <w:marLeft w:val="0"/>
              <w:marRight w:val="0"/>
              <w:marTop w:val="0"/>
              <w:marBottom w:val="0"/>
              <w:divBdr>
                <w:top w:val="none" w:sz="0" w:space="0" w:color="auto"/>
                <w:left w:val="none" w:sz="0" w:space="0" w:color="auto"/>
                <w:bottom w:val="none" w:sz="0" w:space="0" w:color="auto"/>
                <w:right w:val="none" w:sz="0" w:space="0" w:color="auto"/>
              </w:divBdr>
            </w:div>
            <w:div w:id="459539199">
              <w:marLeft w:val="0"/>
              <w:marRight w:val="0"/>
              <w:marTop w:val="0"/>
              <w:marBottom w:val="0"/>
              <w:divBdr>
                <w:top w:val="none" w:sz="0" w:space="0" w:color="auto"/>
                <w:left w:val="none" w:sz="0" w:space="0" w:color="auto"/>
                <w:bottom w:val="none" w:sz="0" w:space="0" w:color="auto"/>
                <w:right w:val="none" w:sz="0" w:space="0" w:color="auto"/>
              </w:divBdr>
            </w:div>
            <w:div w:id="462819845">
              <w:marLeft w:val="0"/>
              <w:marRight w:val="0"/>
              <w:marTop w:val="0"/>
              <w:marBottom w:val="0"/>
              <w:divBdr>
                <w:top w:val="none" w:sz="0" w:space="0" w:color="auto"/>
                <w:left w:val="none" w:sz="0" w:space="0" w:color="auto"/>
                <w:bottom w:val="none" w:sz="0" w:space="0" w:color="auto"/>
                <w:right w:val="none" w:sz="0" w:space="0" w:color="auto"/>
              </w:divBdr>
            </w:div>
            <w:div w:id="506099096">
              <w:marLeft w:val="0"/>
              <w:marRight w:val="0"/>
              <w:marTop w:val="0"/>
              <w:marBottom w:val="0"/>
              <w:divBdr>
                <w:top w:val="none" w:sz="0" w:space="0" w:color="auto"/>
                <w:left w:val="none" w:sz="0" w:space="0" w:color="auto"/>
                <w:bottom w:val="none" w:sz="0" w:space="0" w:color="auto"/>
                <w:right w:val="none" w:sz="0" w:space="0" w:color="auto"/>
              </w:divBdr>
            </w:div>
            <w:div w:id="576863812">
              <w:marLeft w:val="0"/>
              <w:marRight w:val="0"/>
              <w:marTop w:val="0"/>
              <w:marBottom w:val="0"/>
              <w:divBdr>
                <w:top w:val="none" w:sz="0" w:space="0" w:color="auto"/>
                <w:left w:val="none" w:sz="0" w:space="0" w:color="auto"/>
                <w:bottom w:val="none" w:sz="0" w:space="0" w:color="auto"/>
                <w:right w:val="none" w:sz="0" w:space="0" w:color="auto"/>
              </w:divBdr>
            </w:div>
            <w:div w:id="644972396">
              <w:marLeft w:val="0"/>
              <w:marRight w:val="0"/>
              <w:marTop w:val="0"/>
              <w:marBottom w:val="0"/>
              <w:divBdr>
                <w:top w:val="none" w:sz="0" w:space="0" w:color="auto"/>
                <w:left w:val="none" w:sz="0" w:space="0" w:color="auto"/>
                <w:bottom w:val="none" w:sz="0" w:space="0" w:color="auto"/>
                <w:right w:val="none" w:sz="0" w:space="0" w:color="auto"/>
              </w:divBdr>
            </w:div>
            <w:div w:id="699431275">
              <w:marLeft w:val="0"/>
              <w:marRight w:val="0"/>
              <w:marTop w:val="0"/>
              <w:marBottom w:val="0"/>
              <w:divBdr>
                <w:top w:val="none" w:sz="0" w:space="0" w:color="auto"/>
                <w:left w:val="none" w:sz="0" w:space="0" w:color="auto"/>
                <w:bottom w:val="none" w:sz="0" w:space="0" w:color="auto"/>
                <w:right w:val="none" w:sz="0" w:space="0" w:color="auto"/>
              </w:divBdr>
            </w:div>
            <w:div w:id="803084136">
              <w:marLeft w:val="0"/>
              <w:marRight w:val="0"/>
              <w:marTop w:val="0"/>
              <w:marBottom w:val="0"/>
              <w:divBdr>
                <w:top w:val="none" w:sz="0" w:space="0" w:color="auto"/>
                <w:left w:val="none" w:sz="0" w:space="0" w:color="auto"/>
                <w:bottom w:val="none" w:sz="0" w:space="0" w:color="auto"/>
                <w:right w:val="none" w:sz="0" w:space="0" w:color="auto"/>
              </w:divBdr>
            </w:div>
            <w:div w:id="898441768">
              <w:marLeft w:val="0"/>
              <w:marRight w:val="0"/>
              <w:marTop w:val="0"/>
              <w:marBottom w:val="0"/>
              <w:divBdr>
                <w:top w:val="none" w:sz="0" w:space="0" w:color="auto"/>
                <w:left w:val="none" w:sz="0" w:space="0" w:color="auto"/>
                <w:bottom w:val="none" w:sz="0" w:space="0" w:color="auto"/>
                <w:right w:val="none" w:sz="0" w:space="0" w:color="auto"/>
              </w:divBdr>
            </w:div>
            <w:div w:id="965967555">
              <w:marLeft w:val="0"/>
              <w:marRight w:val="0"/>
              <w:marTop w:val="0"/>
              <w:marBottom w:val="0"/>
              <w:divBdr>
                <w:top w:val="none" w:sz="0" w:space="0" w:color="auto"/>
                <w:left w:val="none" w:sz="0" w:space="0" w:color="auto"/>
                <w:bottom w:val="none" w:sz="0" w:space="0" w:color="auto"/>
                <w:right w:val="none" w:sz="0" w:space="0" w:color="auto"/>
              </w:divBdr>
            </w:div>
            <w:div w:id="1283269905">
              <w:marLeft w:val="0"/>
              <w:marRight w:val="0"/>
              <w:marTop w:val="0"/>
              <w:marBottom w:val="0"/>
              <w:divBdr>
                <w:top w:val="none" w:sz="0" w:space="0" w:color="auto"/>
                <w:left w:val="none" w:sz="0" w:space="0" w:color="auto"/>
                <w:bottom w:val="none" w:sz="0" w:space="0" w:color="auto"/>
                <w:right w:val="none" w:sz="0" w:space="0" w:color="auto"/>
              </w:divBdr>
            </w:div>
            <w:div w:id="1597714463">
              <w:marLeft w:val="0"/>
              <w:marRight w:val="0"/>
              <w:marTop w:val="0"/>
              <w:marBottom w:val="0"/>
              <w:divBdr>
                <w:top w:val="none" w:sz="0" w:space="0" w:color="auto"/>
                <w:left w:val="none" w:sz="0" w:space="0" w:color="auto"/>
                <w:bottom w:val="none" w:sz="0" w:space="0" w:color="auto"/>
                <w:right w:val="none" w:sz="0" w:space="0" w:color="auto"/>
              </w:divBdr>
            </w:div>
            <w:div w:id="1629429184">
              <w:marLeft w:val="0"/>
              <w:marRight w:val="0"/>
              <w:marTop w:val="0"/>
              <w:marBottom w:val="0"/>
              <w:divBdr>
                <w:top w:val="none" w:sz="0" w:space="0" w:color="auto"/>
                <w:left w:val="none" w:sz="0" w:space="0" w:color="auto"/>
                <w:bottom w:val="none" w:sz="0" w:space="0" w:color="auto"/>
                <w:right w:val="none" w:sz="0" w:space="0" w:color="auto"/>
              </w:divBdr>
            </w:div>
            <w:div w:id="1680154195">
              <w:marLeft w:val="0"/>
              <w:marRight w:val="0"/>
              <w:marTop w:val="0"/>
              <w:marBottom w:val="0"/>
              <w:divBdr>
                <w:top w:val="none" w:sz="0" w:space="0" w:color="auto"/>
                <w:left w:val="none" w:sz="0" w:space="0" w:color="auto"/>
                <w:bottom w:val="none" w:sz="0" w:space="0" w:color="auto"/>
                <w:right w:val="none" w:sz="0" w:space="0" w:color="auto"/>
              </w:divBdr>
            </w:div>
            <w:div w:id="1864979099">
              <w:marLeft w:val="0"/>
              <w:marRight w:val="0"/>
              <w:marTop w:val="0"/>
              <w:marBottom w:val="0"/>
              <w:divBdr>
                <w:top w:val="none" w:sz="0" w:space="0" w:color="auto"/>
                <w:left w:val="none" w:sz="0" w:space="0" w:color="auto"/>
                <w:bottom w:val="none" w:sz="0" w:space="0" w:color="auto"/>
                <w:right w:val="none" w:sz="0" w:space="0" w:color="auto"/>
              </w:divBdr>
            </w:div>
            <w:div w:id="1931815006">
              <w:marLeft w:val="0"/>
              <w:marRight w:val="0"/>
              <w:marTop w:val="0"/>
              <w:marBottom w:val="0"/>
              <w:divBdr>
                <w:top w:val="none" w:sz="0" w:space="0" w:color="auto"/>
                <w:left w:val="none" w:sz="0" w:space="0" w:color="auto"/>
                <w:bottom w:val="none" w:sz="0" w:space="0" w:color="auto"/>
                <w:right w:val="none" w:sz="0" w:space="0" w:color="auto"/>
              </w:divBdr>
            </w:div>
            <w:div w:id="1936817533">
              <w:marLeft w:val="0"/>
              <w:marRight w:val="0"/>
              <w:marTop w:val="0"/>
              <w:marBottom w:val="0"/>
              <w:divBdr>
                <w:top w:val="none" w:sz="0" w:space="0" w:color="auto"/>
                <w:left w:val="none" w:sz="0" w:space="0" w:color="auto"/>
                <w:bottom w:val="none" w:sz="0" w:space="0" w:color="auto"/>
                <w:right w:val="none" w:sz="0" w:space="0" w:color="auto"/>
              </w:divBdr>
            </w:div>
            <w:div w:id="1989162568">
              <w:marLeft w:val="0"/>
              <w:marRight w:val="0"/>
              <w:marTop w:val="0"/>
              <w:marBottom w:val="0"/>
              <w:divBdr>
                <w:top w:val="none" w:sz="0" w:space="0" w:color="auto"/>
                <w:left w:val="none" w:sz="0" w:space="0" w:color="auto"/>
                <w:bottom w:val="none" w:sz="0" w:space="0" w:color="auto"/>
                <w:right w:val="none" w:sz="0" w:space="0" w:color="auto"/>
              </w:divBdr>
            </w:div>
          </w:divsChild>
        </w:div>
        <w:div w:id="1701514001">
          <w:marLeft w:val="0"/>
          <w:marRight w:val="0"/>
          <w:marTop w:val="0"/>
          <w:marBottom w:val="0"/>
          <w:divBdr>
            <w:top w:val="none" w:sz="0" w:space="0" w:color="auto"/>
            <w:left w:val="none" w:sz="0" w:space="0" w:color="auto"/>
            <w:bottom w:val="none" w:sz="0" w:space="0" w:color="auto"/>
            <w:right w:val="none" w:sz="0" w:space="0" w:color="auto"/>
          </w:divBdr>
        </w:div>
        <w:div w:id="1703165554">
          <w:marLeft w:val="0"/>
          <w:marRight w:val="0"/>
          <w:marTop w:val="0"/>
          <w:marBottom w:val="0"/>
          <w:divBdr>
            <w:top w:val="none" w:sz="0" w:space="0" w:color="auto"/>
            <w:left w:val="none" w:sz="0" w:space="0" w:color="auto"/>
            <w:bottom w:val="none" w:sz="0" w:space="0" w:color="auto"/>
            <w:right w:val="none" w:sz="0" w:space="0" w:color="auto"/>
          </w:divBdr>
        </w:div>
        <w:div w:id="1715885447">
          <w:marLeft w:val="0"/>
          <w:marRight w:val="0"/>
          <w:marTop w:val="0"/>
          <w:marBottom w:val="0"/>
          <w:divBdr>
            <w:top w:val="none" w:sz="0" w:space="0" w:color="auto"/>
            <w:left w:val="none" w:sz="0" w:space="0" w:color="auto"/>
            <w:bottom w:val="none" w:sz="0" w:space="0" w:color="auto"/>
            <w:right w:val="none" w:sz="0" w:space="0" w:color="auto"/>
          </w:divBdr>
        </w:div>
        <w:div w:id="1754814001">
          <w:marLeft w:val="0"/>
          <w:marRight w:val="0"/>
          <w:marTop w:val="0"/>
          <w:marBottom w:val="0"/>
          <w:divBdr>
            <w:top w:val="none" w:sz="0" w:space="0" w:color="auto"/>
            <w:left w:val="none" w:sz="0" w:space="0" w:color="auto"/>
            <w:bottom w:val="none" w:sz="0" w:space="0" w:color="auto"/>
            <w:right w:val="none" w:sz="0" w:space="0" w:color="auto"/>
          </w:divBdr>
        </w:div>
        <w:div w:id="1860388471">
          <w:marLeft w:val="0"/>
          <w:marRight w:val="0"/>
          <w:marTop w:val="0"/>
          <w:marBottom w:val="0"/>
          <w:divBdr>
            <w:top w:val="none" w:sz="0" w:space="0" w:color="auto"/>
            <w:left w:val="none" w:sz="0" w:space="0" w:color="auto"/>
            <w:bottom w:val="none" w:sz="0" w:space="0" w:color="auto"/>
            <w:right w:val="none" w:sz="0" w:space="0" w:color="auto"/>
          </w:divBdr>
          <w:divsChild>
            <w:div w:id="1477918253">
              <w:marLeft w:val="-75"/>
              <w:marRight w:val="0"/>
              <w:marTop w:val="30"/>
              <w:marBottom w:val="30"/>
              <w:divBdr>
                <w:top w:val="none" w:sz="0" w:space="0" w:color="auto"/>
                <w:left w:val="none" w:sz="0" w:space="0" w:color="auto"/>
                <w:bottom w:val="none" w:sz="0" w:space="0" w:color="auto"/>
                <w:right w:val="none" w:sz="0" w:space="0" w:color="auto"/>
              </w:divBdr>
              <w:divsChild>
                <w:div w:id="751970932">
                  <w:marLeft w:val="0"/>
                  <w:marRight w:val="0"/>
                  <w:marTop w:val="0"/>
                  <w:marBottom w:val="0"/>
                  <w:divBdr>
                    <w:top w:val="none" w:sz="0" w:space="0" w:color="auto"/>
                    <w:left w:val="none" w:sz="0" w:space="0" w:color="auto"/>
                    <w:bottom w:val="none" w:sz="0" w:space="0" w:color="auto"/>
                    <w:right w:val="none" w:sz="0" w:space="0" w:color="auto"/>
                  </w:divBdr>
                  <w:divsChild>
                    <w:div w:id="190609674">
                      <w:marLeft w:val="0"/>
                      <w:marRight w:val="0"/>
                      <w:marTop w:val="0"/>
                      <w:marBottom w:val="0"/>
                      <w:divBdr>
                        <w:top w:val="none" w:sz="0" w:space="0" w:color="auto"/>
                        <w:left w:val="none" w:sz="0" w:space="0" w:color="auto"/>
                        <w:bottom w:val="none" w:sz="0" w:space="0" w:color="auto"/>
                        <w:right w:val="none" w:sz="0" w:space="0" w:color="auto"/>
                      </w:divBdr>
                    </w:div>
                    <w:div w:id="869730785">
                      <w:marLeft w:val="0"/>
                      <w:marRight w:val="0"/>
                      <w:marTop w:val="0"/>
                      <w:marBottom w:val="0"/>
                      <w:divBdr>
                        <w:top w:val="none" w:sz="0" w:space="0" w:color="auto"/>
                        <w:left w:val="none" w:sz="0" w:space="0" w:color="auto"/>
                        <w:bottom w:val="none" w:sz="0" w:space="0" w:color="auto"/>
                        <w:right w:val="none" w:sz="0" w:space="0" w:color="auto"/>
                      </w:divBdr>
                    </w:div>
                    <w:div w:id="2031569830">
                      <w:marLeft w:val="0"/>
                      <w:marRight w:val="0"/>
                      <w:marTop w:val="0"/>
                      <w:marBottom w:val="0"/>
                      <w:divBdr>
                        <w:top w:val="none" w:sz="0" w:space="0" w:color="auto"/>
                        <w:left w:val="none" w:sz="0" w:space="0" w:color="auto"/>
                        <w:bottom w:val="none" w:sz="0" w:space="0" w:color="auto"/>
                        <w:right w:val="none" w:sz="0" w:space="0" w:color="auto"/>
                      </w:divBdr>
                    </w:div>
                  </w:divsChild>
                </w:div>
                <w:div w:id="910239089">
                  <w:marLeft w:val="0"/>
                  <w:marRight w:val="0"/>
                  <w:marTop w:val="0"/>
                  <w:marBottom w:val="0"/>
                  <w:divBdr>
                    <w:top w:val="none" w:sz="0" w:space="0" w:color="auto"/>
                    <w:left w:val="none" w:sz="0" w:space="0" w:color="auto"/>
                    <w:bottom w:val="none" w:sz="0" w:space="0" w:color="auto"/>
                    <w:right w:val="none" w:sz="0" w:space="0" w:color="auto"/>
                  </w:divBdr>
                  <w:divsChild>
                    <w:div w:id="914320226">
                      <w:marLeft w:val="0"/>
                      <w:marRight w:val="0"/>
                      <w:marTop w:val="0"/>
                      <w:marBottom w:val="0"/>
                      <w:divBdr>
                        <w:top w:val="none" w:sz="0" w:space="0" w:color="auto"/>
                        <w:left w:val="none" w:sz="0" w:space="0" w:color="auto"/>
                        <w:bottom w:val="none" w:sz="0" w:space="0" w:color="auto"/>
                        <w:right w:val="none" w:sz="0" w:space="0" w:color="auto"/>
                      </w:divBdr>
                    </w:div>
                    <w:div w:id="1770082481">
                      <w:marLeft w:val="0"/>
                      <w:marRight w:val="0"/>
                      <w:marTop w:val="0"/>
                      <w:marBottom w:val="0"/>
                      <w:divBdr>
                        <w:top w:val="none" w:sz="0" w:space="0" w:color="auto"/>
                        <w:left w:val="none" w:sz="0" w:space="0" w:color="auto"/>
                        <w:bottom w:val="none" w:sz="0" w:space="0" w:color="auto"/>
                        <w:right w:val="none" w:sz="0" w:space="0" w:color="auto"/>
                      </w:divBdr>
                    </w:div>
                  </w:divsChild>
                </w:div>
                <w:div w:id="1173185794">
                  <w:marLeft w:val="0"/>
                  <w:marRight w:val="0"/>
                  <w:marTop w:val="0"/>
                  <w:marBottom w:val="0"/>
                  <w:divBdr>
                    <w:top w:val="none" w:sz="0" w:space="0" w:color="auto"/>
                    <w:left w:val="none" w:sz="0" w:space="0" w:color="auto"/>
                    <w:bottom w:val="none" w:sz="0" w:space="0" w:color="auto"/>
                    <w:right w:val="none" w:sz="0" w:space="0" w:color="auto"/>
                  </w:divBdr>
                  <w:divsChild>
                    <w:div w:id="1202133199">
                      <w:marLeft w:val="0"/>
                      <w:marRight w:val="0"/>
                      <w:marTop w:val="0"/>
                      <w:marBottom w:val="0"/>
                      <w:divBdr>
                        <w:top w:val="none" w:sz="0" w:space="0" w:color="auto"/>
                        <w:left w:val="none" w:sz="0" w:space="0" w:color="auto"/>
                        <w:bottom w:val="none" w:sz="0" w:space="0" w:color="auto"/>
                        <w:right w:val="none" w:sz="0" w:space="0" w:color="auto"/>
                      </w:divBdr>
                    </w:div>
                  </w:divsChild>
                </w:div>
                <w:div w:id="1409959406">
                  <w:marLeft w:val="0"/>
                  <w:marRight w:val="0"/>
                  <w:marTop w:val="0"/>
                  <w:marBottom w:val="0"/>
                  <w:divBdr>
                    <w:top w:val="none" w:sz="0" w:space="0" w:color="auto"/>
                    <w:left w:val="none" w:sz="0" w:space="0" w:color="auto"/>
                    <w:bottom w:val="none" w:sz="0" w:space="0" w:color="auto"/>
                    <w:right w:val="none" w:sz="0" w:space="0" w:color="auto"/>
                  </w:divBdr>
                  <w:divsChild>
                    <w:div w:id="275329330">
                      <w:marLeft w:val="0"/>
                      <w:marRight w:val="0"/>
                      <w:marTop w:val="0"/>
                      <w:marBottom w:val="0"/>
                      <w:divBdr>
                        <w:top w:val="none" w:sz="0" w:space="0" w:color="auto"/>
                        <w:left w:val="none" w:sz="0" w:space="0" w:color="auto"/>
                        <w:bottom w:val="none" w:sz="0" w:space="0" w:color="auto"/>
                        <w:right w:val="none" w:sz="0" w:space="0" w:color="auto"/>
                      </w:divBdr>
                    </w:div>
                    <w:div w:id="1820615509">
                      <w:marLeft w:val="0"/>
                      <w:marRight w:val="0"/>
                      <w:marTop w:val="0"/>
                      <w:marBottom w:val="0"/>
                      <w:divBdr>
                        <w:top w:val="none" w:sz="0" w:space="0" w:color="auto"/>
                        <w:left w:val="none" w:sz="0" w:space="0" w:color="auto"/>
                        <w:bottom w:val="none" w:sz="0" w:space="0" w:color="auto"/>
                        <w:right w:val="none" w:sz="0" w:space="0" w:color="auto"/>
                      </w:divBdr>
                    </w:div>
                  </w:divsChild>
                </w:div>
                <w:div w:id="1558978078">
                  <w:marLeft w:val="0"/>
                  <w:marRight w:val="0"/>
                  <w:marTop w:val="0"/>
                  <w:marBottom w:val="0"/>
                  <w:divBdr>
                    <w:top w:val="none" w:sz="0" w:space="0" w:color="auto"/>
                    <w:left w:val="none" w:sz="0" w:space="0" w:color="auto"/>
                    <w:bottom w:val="none" w:sz="0" w:space="0" w:color="auto"/>
                    <w:right w:val="none" w:sz="0" w:space="0" w:color="auto"/>
                  </w:divBdr>
                  <w:divsChild>
                    <w:div w:id="1024284274">
                      <w:marLeft w:val="0"/>
                      <w:marRight w:val="0"/>
                      <w:marTop w:val="0"/>
                      <w:marBottom w:val="0"/>
                      <w:divBdr>
                        <w:top w:val="none" w:sz="0" w:space="0" w:color="auto"/>
                        <w:left w:val="none" w:sz="0" w:space="0" w:color="auto"/>
                        <w:bottom w:val="none" w:sz="0" w:space="0" w:color="auto"/>
                        <w:right w:val="none" w:sz="0" w:space="0" w:color="auto"/>
                      </w:divBdr>
                    </w:div>
                    <w:div w:id="1794250422">
                      <w:marLeft w:val="0"/>
                      <w:marRight w:val="0"/>
                      <w:marTop w:val="0"/>
                      <w:marBottom w:val="0"/>
                      <w:divBdr>
                        <w:top w:val="none" w:sz="0" w:space="0" w:color="auto"/>
                        <w:left w:val="none" w:sz="0" w:space="0" w:color="auto"/>
                        <w:bottom w:val="none" w:sz="0" w:space="0" w:color="auto"/>
                        <w:right w:val="none" w:sz="0" w:space="0" w:color="auto"/>
                      </w:divBdr>
                    </w:div>
                  </w:divsChild>
                </w:div>
                <w:div w:id="1649700061">
                  <w:marLeft w:val="0"/>
                  <w:marRight w:val="0"/>
                  <w:marTop w:val="0"/>
                  <w:marBottom w:val="0"/>
                  <w:divBdr>
                    <w:top w:val="none" w:sz="0" w:space="0" w:color="auto"/>
                    <w:left w:val="none" w:sz="0" w:space="0" w:color="auto"/>
                    <w:bottom w:val="none" w:sz="0" w:space="0" w:color="auto"/>
                    <w:right w:val="none" w:sz="0" w:space="0" w:color="auto"/>
                  </w:divBdr>
                  <w:divsChild>
                    <w:div w:id="900678015">
                      <w:marLeft w:val="0"/>
                      <w:marRight w:val="0"/>
                      <w:marTop w:val="0"/>
                      <w:marBottom w:val="0"/>
                      <w:divBdr>
                        <w:top w:val="none" w:sz="0" w:space="0" w:color="auto"/>
                        <w:left w:val="none" w:sz="0" w:space="0" w:color="auto"/>
                        <w:bottom w:val="none" w:sz="0" w:space="0" w:color="auto"/>
                        <w:right w:val="none" w:sz="0" w:space="0" w:color="auto"/>
                      </w:divBdr>
                    </w:div>
                    <w:div w:id="1011684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309206">
          <w:marLeft w:val="0"/>
          <w:marRight w:val="0"/>
          <w:marTop w:val="0"/>
          <w:marBottom w:val="0"/>
          <w:divBdr>
            <w:top w:val="none" w:sz="0" w:space="0" w:color="auto"/>
            <w:left w:val="none" w:sz="0" w:space="0" w:color="auto"/>
            <w:bottom w:val="none" w:sz="0" w:space="0" w:color="auto"/>
            <w:right w:val="none" w:sz="0" w:space="0" w:color="auto"/>
          </w:divBdr>
        </w:div>
        <w:div w:id="2055081529">
          <w:marLeft w:val="0"/>
          <w:marRight w:val="0"/>
          <w:marTop w:val="0"/>
          <w:marBottom w:val="0"/>
          <w:divBdr>
            <w:top w:val="none" w:sz="0" w:space="0" w:color="auto"/>
            <w:left w:val="none" w:sz="0" w:space="0" w:color="auto"/>
            <w:bottom w:val="none" w:sz="0" w:space="0" w:color="auto"/>
            <w:right w:val="none" w:sz="0" w:space="0" w:color="auto"/>
          </w:divBdr>
        </w:div>
        <w:div w:id="2146266616">
          <w:marLeft w:val="0"/>
          <w:marRight w:val="0"/>
          <w:marTop w:val="0"/>
          <w:marBottom w:val="0"/>
          <w:divBdr>
            <w:top w:val="none" w:sz="0" w:space="0" w:color="auto"/>
            <w:left w:val="none" w:sz="0" w:space="0" w:color="auto"/>
            <w:bottom w:val="none" w:sz="0" w:space="0" w:color="auto"/>
            <w:right w:val="none" w:sz="0" w:space="0" w:color="auto"/>
          </w:divBdr>
        </w:div>
      </w:divsChild>
    </w:div>
    <w:div w:id="873735218">
      <w:bodyDiv w:val="1"/>
      <w:marLeft w:val="0"/>
      <w:marRight w:val="0"/>
      <w:marTop w:val="0"/>
      <w:marBottom w:val="0"/>
      <w:divBdr>
        <w:top w:val="none" w:sz="0" w:space="0" w:color="auto"/>
        <w:left w:val="none" w:sz="0" w:space="0" w:color="auto"/>
        <w:bottom w:val="none" w:sz="0" w:space="0" w:color="auto"/>
        <w:right w:val="none" w:sz="0" w:space="0" w:color="auto"/>
      </w:divBdr>
    </w:div>
    <w:div w:id="874662329">
      <w:bodyDiv w:val="1"/>
      <w:marLeft w:val="0"/>
      <w:marRight w:val="0"/>
      <w:marTop w:val="0"/>
      <w:marBottom w:val="0"/>
      <w:divBdr>
        <w:top w:val="none" w:sz="0" w:space="0" w:color="auto"/>
        <w:left w:val="none" w:sz="0" w:space="0" w:color="auto"/>
        <w:bottom w:val="none" w:sz="0" w:space="0" w:color="auto"/>
        <w:right w:val="none" w:sz="0" w:space="0" w:color="auto"/>
      </w:divBdr>
    </w:div>
    <w:div w:id="882905521">
      <w:bodyDiv w:val="1"/>
      <w:marLeft w:val="0"/>
      <w:marRight w:val="0"/>
      <w:marTop w:val="0"/>
      <w:marBottom w:val="0"/>
      <w:divBdr>
        <w:top w:val="none" w:sz="0" w:space="0" w:color="auto"/>
        <w:left w:val="none" w:sz="0" w:space="0" w:color="auto"/>
        <w:bottom w:val="none" w:sz="0" w:space="0" w:color="auto"/>
        <w:right w:val="none" w:sz="0" w:space="0" w:color="auto"/>
      </w:divBdr>
    </w:div>
    <w:div w:id="898133884">
      <w:bodyDiv w:val="1"/>
      <w:marLeft w:val="0"/>
      <w:marRight w:val="0"/>
      <w:marTop w:val="0"/>
      <w:marBottom w:val="0"/>
      <w:divBdr>
        <w:top w:val="none" w:sz="0" w:space="0" w:color="auto"/>
        <w:left w:val="none" w:sz="0" w:space="0" w:color="auto"/>
        <w:bottom w:val="none" w:sz="0" w:space="0" w:color="auto"/>
        <w:right w:val="none" w:sz="0" w:space="0" w:color="auto"/>
      </w:divBdr>
    </w:div>
    <w:div w:id="904492245">
      <w:bodyDiv w:val="1"/>
      <w:marLeft w:val="0"/>
      <w:marRight w:val="0"/>
      <w:marTop w:val="0"/>
      <w:marBottom w:val="0"/>
      <w:divBdr>
        <w:top w:val="none" w:sz="0" w:space="0" w:color="auto"/>
        <w:left w:val="none" w:sz="0" w:space="0" w:color="auto"/>
        <w:bottom w:val="none" w:sz="0" w:space="0" w:color="auto"/>
        <w:right w:val="none" w:sz="0" w:space="0" w:color="auto"/>
      </w:divBdr>
    </w:div>
    <w:div w:id="910038108">
      <w:bodyDiv w:val="1"/>
      <w:marLeft w:val="0"/>
      <w:marRight w:val="0"/>
      <w:marTop w:val="0"/>
      <w:marBottom w:val="0"/>
      <w:divBdr>
        <w:top w:val="none" w:sz="0" w:space="0" w:color="auto"/>
        <w:left w:val="none" w:sz="0" w:space="0" w:color="auto"/>
        <w:bottom w:val="none" w:sz="0" w:space="0" w:color="auto"/>
        <w:right w:val="none" w:sz="0" w:space="0" w:color="auto"/>
      </w:divBdr>
    </w:div>
    <w:div w:id="917667248">
      <w:bodyDiv w:val="1"/>
      <w:marLeft w:val="0"/>
      <w:marRight w:val="0"/>
      <w:marTop w:val="0"/>
      <w:marBottom w:val="0"/>
      <w:divBdr>
        <w:top w:val="none" w:sz="0" w:space="0" w:color="auto"/>
        <w:left w:val="none" w:sz="0" w:space="0" w:color="auto"/>
        <w:bottom w:val="none" w:sz="0" w:space="0" w:color="auto"/>
        <w:right w:val="none" w:sz="0" w:space="0" w:color="auto"/>
      </w:divBdr>
    </w:div>
    <w:div w:id="918950250">
      <w:bodyDiv w:val="1"/>
      <w:marLeft w:val="0"/>
      <w:marRight w:val="0"/>
      <w:marTop w:val="0"/>
      <w:marBottom w:val="0"/>
      <w:divBdr>
        <w:top w:val="none" w:sz="0" w:space="0" w:color="auto"/>
        <w:left w:val="none" w:sz="0" w:space="0" w:color="auto"/>
        <w:bottom w:val="none" w:sz="0" w:space="0" w:color="auto"/>
        <w:right w:val="none" w:sz="0" w:space="0" w:color="auto"/>
      </w:divBdr>
    </w:div>
    <w:div w:id="919872800">
      <w:bodyDiv w:val="1"/>
      <w:marLeft w:val="0"/>
      <w:marRight w:val="0"/>
      <w:marTop w:val="0"/>
      <w:marBottom w:val="0"/>
      <w:divBdr>
        <w:top w:val="none" w:sz="0" w:space="0" w:color="auto"/>
        <w:left w:val="none" w:sz="0" w:space="0" w:color="auto"/>
        <w:bottom w:val="none" w:sz="0" w:space="0" w:color="auto"/>
        <w:right w:val="none" w:sz="0" w:space="0" w:color="auto"/>
      </w:divBdr>
    </w:div>
    <w:div w:id="921455305">
      <w:bodyDiv w:val="1"/>
      <w:marLeft w:val="0"/>
      <w:marRight w:val="0"/>
      <w:marTop w:val="0"/>
      <w:marBottom w:val="0"/>
      <w:divBdr>
        <w:top w:val="none" w:sz="0" w:space="0" w:color="auto"/>
        <w:left w:val="none" w:sz="0" w:space="0" w:color="auto"/>
        <w:bottom w:val="none" w:sz="0" w:space="0" w:color="auto"/>
        <w:right w:val="none" w:sz="0" w:space="0" w:color="auto"/>
      </w:divBdr>
    </w:div>
    <w:div w:id="925000431">
      <w:bodyDiv w:val="1"/>
      <w:marLeft w:val="0"/>
      <w:marRight w:val="0"/>
      <w:marTop w:val="0"/>
      <w:marBottom w:val="0"/>
      <w:divBdr>
        <w:top w:val="none" w:sz="0" w:space="0" w:color="auto"/>
        <w:left w:val="none" w:sz="0" w:space="0" w:color="auto"/>
        <w:bottom w:val="none" w:sz="0" w:space="0" w:color="auto"/>
        <w:right w:val="none" w:sz="0" w:space="0" w:color="auto"/>
      </w:divBdr>
    </w:div>
    <w:div w:id="926040508">
      <w:bodyDiv w:val="1"/>
      <w:marLeft w:val="0"/>
      <w:marRight w:val="0"/>
      <w:marTop w:val="0"/>
      <w:marBottom w:val="0"/>
      <w:divBdr>
        <w:top w:val="none" w:sz="0" w:space="0" w:color="auto"/>
        <w:left w:val="none" w:sz="0" w:space="0" w:color="auto"/>
        <w:bottom w:val="none" w:sz="0" w:space="0" w:color="auto"/>
        <w:right w:val="none" w:sz="0" w:space="0" w:color="auto"/>
      </w:divBdr>
    </w:div>
    <w:div w:id="936327624">
      <w:bodyDiv w:val="1"/>
      <w:marLeft w:val="0"/>
      <w:marRight w:val="0"/>
      <w:marTop w:val="0"/>
      <w:marBottom w:val="0"/>
      <w:divBdr>
        <w:top w:val="none" w:sz="0" w:space="0" w:color="auto"/>
        <w:left w:val="none" w:sz="0" w:space="0" w:color="auto"/>
        <w:bottom w:val="none" w:sz="0" w:space="0" w:color="auto"/>
        <w:right w:val="none" w:sz="0" w:space="0" w:color="auto"/>
      </w:divBdr>
    </w:div>
    <w:div w:id="942302531">
      <w:bodyDiv w:val="1"/>
      <w:marLeft w:val="0"/>
      <w:marRight w:val="0"/>
      <w:marTop w:val="0"/>
      <w:marBottom w:val="0"/>
      <w:divBdr>
        <w:top w:val="none" w:sz="0" w:space="0" w:color="auto"/>
        <w:left w:val="none" w:sz="0" w:space="0" w:color="auto"/>
        <w:bottom w:val="none" w:sz="0" w:space="0" w:color="auto"/>
        <w:right w:val="none" w:sz="0" w:space="0" w:color="auto"/>
      </w:divBdr>
    </w:div>
    <w:div w:id="942609595">
      <w:bodyDiv w:val="1"/>
      <w:marLeft w:val="0"/>
      <w:marRight w:val="0"/>
      <w:marTop w:val="0"/>
      <w:marBottom w:val="0"/>
      <w:divBdr>
        <w:top w:val="none" w:sz="0" w:space="0" w:color="auto"/>
        <w:left w:val="none" w:sz="0" w:space="0" w:color="auto"/>
        <w:bottom w:val="none" w:sz="0" w:space="0" w:color="auto"/>
        <w:right w:val="none" w:sz="0" w:space="0" w:color="auto"/>
      </w:divBdr>
    </w:div>
    <w:div w:id="950666122">
      <w:bodyDiv w:val="1"/>
      <w:marLeft w:val="0"/>
      <w:marRight w:val="0"/>
      <w:marTop w:val="0"/>
      <w:marBottom w:val="0"/>
      <w:divBdr>
        <w:top w:val="none" w:sz="0" w:space="0" w:color="auto"/>
        <w:left w:val="none" w:sz="0" w:space="0" w:color="auto"/>
        <w:bottom w:val="none" w:sz="0" w:space="0" w:color="auto"/>
        <w:right w:val="none" w:sz="0" w:space="0" w:color="auto"/>
      </w:divBdr>
    </w:div>
    <w:div w:id="951787565">
      <w:bodyDiv w:val="1"/>
      <w:marLeft w:val="0"/>
      <w:marRight w:val="0"/>
      <w:marTop w:val="0"/>
      <w:marBottom w:val="0"/>
      <w:divBdr>
        <w:top w:val="none" w:sz="0" w:space="0" w:color="auto"/>
        <w:left w:val="none" w:sz="0" w:space="0" w:color="auto"/>
        <w:bottom w:val="none" w:sz="0" w:space="0" w:color="auto"/>
        <w:right w:val="none" w:sz="0" w:space="0" w:color="auto"/>
      </w:divBdr>
    </w:div>
    <w:div w:id="957106387">
      <w:bodyDiv w:val="1"/>
      <w:marLeft w:val="0"/>
      <w:marRight w:val="0"/>
      <w:marTop w:val="0"/>
      <w:marBottom w:val="0"/>
      <w:divBdr>
        <w:top w:val="none" w:sz="0" w:space="0" w:color="auto"/>
        <w:left w:val="none" w:sz="0" w:space="0" w:color="auto"/>
        <w:bottom w:val="none" w:sz="0" w:space="0" w:color="auto"/>
        <w:right w:val="none" w:sz="0" w:space="0" w:color="auto"/>
      </w:divBdr>
    </w:div>
    <w:div w:id="958418175">
      <w:bodyDiv w:val="1"/>
      <w:marLeft w:val="0"/>
      <w:marRight w:val="0"/>
      <w:marTop w:val="0"/>
      <w:marBottom w:val="0"/>
      <w:divBdr>
        <w:top w:val="none" w:sz="0" w:space="0" w:color="auto"/>
        <w:left w:val="none" w:sz="0" w:space="0" w:color="auto"/>
        <w:bottom w:val="none" w:sz="0" w:space="0" w:color="auto"/>
        <w:right w:val="none" w:sz="0" w:space="0" w:color="auto"/>
      </w:divBdr>
    </w:div>
    <w:div w:id="960957890">
      <w:bodyDiv w:val="1"/>
      <w:marLeft w:val="0"/>
      <w:marRight w:val="0"/>
      <w:marTop w:val="0"/>
      <w:marBottom w:val="0"/>
      <w:divBdr>
        <w:top w:val="none" w:sz="0" w:space="0" w:color="auto"/>
        <w:left w:val="none" w:sz="0" w:space="0" w:color="auto"/>
        <w:bottom w:val="none" w:sz="0" w:space="0" w:color="auto"/>
        <w:right w:val="none" w:sz="0" w:space="0" w:color="auto"/>
      </w:divBdr>
    </w:div>
    <w:div w:id="991717792">
      <w:bodyDiv w:val="1"/>
      <w:marLeft w:val="0"/>
      <w:marRight w:val="0"/>
      <w:marTop w:val="0"/>
      <w:marBottom w:val="0"/>
      <w:divBdr>
        <w:top w:val="none" w:sz="0" w:space="0" w:color="auto"/>
        <w:left w:val="none" w:sz="0" w:space="0" w:color="auto"/>
        <w:bottom w:val="none" w:sz="0" w:space="0" w:color="auto"/>
        <w:right w:val="none" w:sz="0" w:space="0" w:color="auto"/>
      </w:divBdr>
    </w:div>
    <w:div w:id="1004092698">
      <w:bodyDiv w:val="1"/>
      <w:marLeft w:val="0"/>
      <w:marRight w:val="0"/>
      <w:marTop w:val="0"/>
      <w:marBottom w:val="0"/>
      <w:divBdr>
        <w:top w:val="none" w:sz="0" w:space="0" w:color="auto"/>
        <w:left w:val="none" w:sz="0" w:space="0" w:color="auto"/>
        <w:bottom w:val="none" w:sz="0" w:space="0" w:color="auto"/>
        <w:right w:val="none" w:sz="0" w:space="0" w:color="auto"/>
      </w:divBdr>
    </w:div>
    <w:div w:id="1018700135">
      <w:bodyDiv w:val="1"/>
      <w:marLeft w:val="0"/>
      <w:marRight w:val="0"/>
      <w:marTop w:val="0"/>
      <w:marBottom w:val="0"/>
      <w:divBdr>
        <w:top w:val="none" w:sz="0" w:space="0" w:color="auto"/>
        <w:left w:val="none" w:sz="0" w:space="0" w:color="auto"/>
        <w:bottom w:val="none" w:sz="0" w:space="0" w:color="auto"/>
        <w:right w:val="none" w:sz="0" w:space="0" w:color="auto"/>
      </w:divBdr>
    </w:div>
    <w:div w:id="1018963538">
      <w:bodyDiv w:val="1"/>
      <w:marLeft w:val="0"/>
      <w:marRight w:val="0"/>
      <w:marTop w:val="0"/>
      <w:marBottom w:val="0"/>
      <w:divBdr>
        <w:top w:val="none" w:sz="0" w:space="0" w:color="auto"/>
        <w:left w:val="none" w:sz="0" w:space="0" w:color="auto"/>
        <w:bottom w:val="none" w:sz="0" w:space="0" w:color="auto"/>
        <w:right w:val="none" w:sz="0" w:space="0" w:color="auto"/>
      </w:divBdr>
      <w:divsChild>
        <w:div w:id="862436">
          <w:marLeft w:val="0"/>
          <w:marRight w:val="0"/>
          <w:marTop w:val="0"/>
          <w:marBottom w:val="0"/>
          <w:divBdr>
            <w:top w:val="none" w:sz="0" w:space="0" w:color="auto"/>
            <w:left w:val="none" w:sz="0" w:space="0" w:color="auto"/>
            <w:bottom w:val="none" w:sz="0" w:space="0" w:color="auto"/>
            <w:right w:val="none" w:sz="0" w:space="0" w:color="auto"/>
          </w:divBdr>
        </w:div>
        <w:div w:id="47268203">
          <w:marLeft w:val="0"/>
          <w:marRight w:val="0"/>
          <w:marTop w:val="0"/>
          <w:marBottom w:val="0"/>
          <w:divBdr>
            <w:top w:val="none" w:sz="0" w:space="0" w:color="auto"/>
            <w:left w:val="none" w:sz="0" w:space="0" w:color="auto"/>
            <w:bottom w:val="none" w:sz="0" w:space="0" w:color="auto"/>
            <w:right w:val="none" w:sz="0" w:space="0" w:color="auto"/>
          </w:divBdr>
        </w:div>
        <w:div w:id="90662396">
          <w:marLeft w:val="0"/>
          <w:marRight w:val="0"/>
          <w:marTop w:val="0"/>
          <w:marBottom w:val="0"/>
          <w:divBdr>
            <w:top w:val="none" w:sz="0" w:space="0" w:color="auto"/>
            <w:left w:val="none" w:sz="0" w:space="0" w:color="auto"/>
            <w:bottom w:val="none" w:sz="0" w:space="0" w:color="auto"/>
            <w:right w:val="none" w:sz="0" w:space="0" w:color="auto"/>
          </w:divBdr>
        </w:div>
        <w:div w:id="99103343">
          <w:marLeft w:val="0"/>
          <w:marRight w:val="0"/>
          <w:marTop w:val="0"/>
          <w:marBottom w:val="0"/>
          <w:divBdr>
            <w:top w:val="none" w:sz="0" w:space="0" w:color="auto"/>
            <w:left w:val="none" w:sz="0" w:space="0" w:color="auto"/>
            <w:bottom w:val="none" w:sz="0" w:space="0" w:color="auto"/>
            <w:right w:val="none" w:sz="0" w:space="0" w:color="auto"/>
          </w:divBdr>
        </w:div>
        <w:div w:id="104469442">
          <w:marLeft w:val="0"/>
          <w:marRight w:val="0"/>
          <w:marTop w:val="0"/>
          <w:marBottom w:val="0"/>
          <w:divBdr>
            <w:top w:val="none" w:sz="0" w:space="0" w:color="auto"/>
            <w:left w:val="none" w:sz="0" w:space="0" w:color="auto"/>
            <w:bottom w:val="none" w:sz="0" w:space="0" w:color="auto"/>
            <w:right w:val="none" w:sz="0" w:space="0" w:color="auto"/>
          </w:divBdr>
        </w:div>
        <w:div w:id="116262530">
          <w:marLeft w:val="0"/>
          <w:marRight w:val="0"/>
          <w:marTop w:val="0"/>
          <w:marBottom w:val="0"/>
          <w:divBdr>
            <w:top w:val="none" w:sz="0" w:space="0" w:color="auto"/>
            <w:left w:val="none" w:sz="0" w:space="0" w:color="auto"/>
            <w:bottom w:val="none" w:sz="0" w:space="0" w:color="auto"/>
            <w:right w:val="none" w:sz="0" w:space="0" w:color="auto"/>
          </w:divBdr>
        </w:div>
        <w:div w:id="121314886">
          <w:marLeft w:val="0"/>
          <w:marRight w:val="0"/>
          <w:marTop w:val="0"/>
          <w:marBottom w:val="0"/>
          <w:divBdr>
            <w:top w:val="none" w:sz="0" w:space="0" w:color="auto"/>
            <w:left w:val="none" w:sz="0" w:space="0" w:color="auto"/>
            <w:bottom w:val="none" w:sz="0" w:space="0" w:color="auto"/>
            <w:right w:val="none" w:sz="0" w:space="0" w:color="auto"/>
          </w:divBdr>
        </w:div>
        <w:div w:id="145903271">
          <w:marLeft w:val="0"/>
          <w:marRight w:val="0"/>
          <w:marTop w:val="0"/>
          <w:marBottom w:val="0"/>
          <w:divBdr>
            <w:top w:val="none" w:sz="0" w:space="0" w:color="auto"/>
            <w:left w:val="none" w:sz="0" w:space="0" w:color="auto"/>
            <w:bottom w:val="none" w:sz="0" w:space="0" w:color="auto"/>
            <w:right w:val="none" w:sz="0" w:space="0" w:color="auto"/>
          </w:divBdr>
        </w:div>
        <w:div w:id="149834257">
          <w:marLeft w:val="0"/>
          <w:marRight w:val="0"/>
          <w:marTop w:val="0"/>
          <w:marBottom w:val="0"/>
          <w:divBdr>
            <w:top w:val="none" w:sz="0" w:space="0" w:color="auto"/>
            <w:left w:val="none" w:sz="0" w:space="0" w:color="auto"/>
            <w:bottom w:val="none" w:sz="0" w:space="0" w:color="auto"/>
            <w:right w:val="none" w:sz="0" w:space="0" w:color="auto"/>
          </w:divBdr>
        </w:div>
        <w:div w:id="178659911">
          <w:marLeft w:val="0"/>
          <w:marRight w:val="0"/>
          <w:marTop w:val="0"/>
          <w:marBottom w:val="0"/>
          <w:divBdr>
            <w:top w:val="none" w:sz="0" w:space="0" w:color="auto"/>
            <w:left w:val="none" w:sz="0" w:space="0" w:color="auto"/>
            <w:bottom w:val="none" w:sz="0" w:space="0" w:color="auto"/>
            <w:right w:val="none" w:sz="0" w:space="0" w:color="auto"/>
          </w:divBdr>
        </w:div>
        <w:div w:id="199322402">
          <w:marLeft w:val="0"/>
          <w:marRight w:val="0"/>
          <w:marTop w:val="0"/>
          <w:marBottom w:val="0"/>
          <w:divBdr>
            <w:top w:val="none" w:sz="0" w:space="0" w:color="auto"/>
            <w:left w:val="none" w:sz="0" w:space="0" w:color="auto"/>
            <w:bottom w:val="none" w:sz="0" w:space="0" w:color="auto"/>
            <w:right w:val="none" w:sz="0" w:space="0" w:color="auto"/>
          </w:divBdr>
        </w:div>
        <w:div w:id="207228008">
          <w:marLeft w:val="0"/>
          <w:marRight w:val="0"/>
          <w:marTop w:val="0"/>
          <w:marBottom w:val="0"/>
          <w:divBdr>
            <w:top w:val="none" w:sz="0" w:space="0" w:color="auto"/>
            <w:left w:val="none" w:sz="0" w:space="0" w:color="auto"/>
            <w:bottom w:val="none" w:sz="0" w:space="0" w:color="auto"/>
            <w:right w:val="none" w:sz="0" w:space="0" w:color="auto"/>
          </w:divBdr>
          <w:divsChild>
            <w:div w:id="146829036">
              <w:marLeft w:val="0"/>
              <w:marRight w:val="0"/>
              <w:marTop w:val="0"/>
              <w:marBottom w:val="0"/>
              <w:divBdr>
                <w:top w:val="none" w:sz="0" w:space="0" w:color="auto"/>
                <w:left w:val="none" w:sz="0" w:space="0" w:color="auto"/>
                <w:bottom w:val="none" w:sz="0" w:space="0" w:color="auto"/>
                <w:right w:val="none" w:sz="0" w:space="0" w:color="auto"/>
              </w:divBdr>
            </w:div>
            <w:div w:id="147944305">
              <w:marLeft w:val="0"/>
              <w:marRight w:val="0"/>
              <w:marTop w:val="0"/>
              <w:marBottom w:val="0"/>
              <w:divBdr>
                <w:top w:val="none" w:sz="0" w:space="0" w:color="auto"/>
                <w:left w:val="none" w:sz="0" w:space="0" w:color="auto"/>
                <w:bottom w:val="none" w:sz="0" w:space="0" w:color="auto"/>
                <w:right w:val="none" w:sz="0" w:space="0" w:color="auto"/>
              </w:divBdr>
            </w:div>
            <w:div w:id="199246110">
              <w:marLeft w:val="0"/>
              <w:marRight w:val="0"/>
              <w:marTop w:val="0"/>
              <w:marBottom w:val="0"/>
              <w:divBdr>
                <w:top w:val="none" w:sz="0" w:space="0" w:color="auto"/>
                <w:left w:val="none" w:sz="0" w:space="0" w:color="auto"/>
                <w:bottom w:val="none" w:sz="0" w:space="0" w:color="auto"/>
                <w:right w:val="none" w:sz="0" w:space="0" w:color="auto"/>
              </w:divBdr>
            </w:div>
            <w:div w:id="229966177">
              <w:marLeft w:val="0"/>
              <w:marRight w:val="0"/>
              <w:marTop w:val="0"/>
              <w:marBottom w:val="0"/>
              <w:divBdr>
                <w:top w:val="none" w:sz="0" w:space="0" w:color="auto"/>
                <w:left w:val="none" w:sz="0" w:space="0" w:color="auto"/>
                <w:bottom w:val="none" w:sz="0" w:space="0" w:color="auto"/>
                <w:right w:val="none" w:sz="0" w:space="0" w:color="auto"/>
              </w:divBdr>
            </w:div>
            <w:div w:id="304816654">
              <w:marLeft w:val="0"/>
              <w:marRight w:val="0"/>
              <w:marTop w:val="0"/>
              <w:marBottom w:val="0"/>
              <w:divBdr>
                <w:top w:val="none" w:sz="0" w:space="0" w:color="auto"/>
                <w:left w:val="none" w:sz="0" w:space="0" w:color="auto"/>
                <w:bottom w:val="none" w:sz="0" w:space="0" w:color="auto"/>
                <w:right w:val="none" w:sz="0" w:space="0" w:color="auto"/>
              </w:divBdr>
            </w:div>
            <w:div w:id="614872479">
              <w:marLeft w:val="0"/>
              <w:marRight w:val="0"/>
              <w:marTop w:val="0"/>
              <w:marBottom w:val="0"/>
              <w:divBdr>
                <w:top w:val="none" w:sz="0" w:space="0" w:color="auto"/>
                <w:left w:val="none" w:sz="0" w:space="0" w:color="auto"/>
                <w:bottom w:val="none" w:sz="0" w:space="0" w:color="auto"/>
                <w:right w:val="none" w:sz="0" w:space="0" w:color="auto"/>
              </w:divBdr>
            </w:div>
            <w:div w:id="972909288">
              <w:marLeft w:val="0"/>
              <w:marRight w:val="0"/>
              <w:marTop w:val="0"/>
              <w:marBottom w:val="0"/>
              <w:divBdr>
                <w:top w:val="none" w:sz="0" w:space="0" w:color="auto"/>
                <w:left w:val="none" w:sz="0" w:space="0" w:color="auto"/>
                <w:bottom w:val="none" w:sz="0" w:space="0" w:color="auto"/>
                <w:right w:val="none" w:sz="0" w:space="0" w:color="auto"/>
              </w:divBdr>
            </w:div>
            <w:div w:id="1066801660">
              <w:marLeft w:val="0"/>
              <w:marRight w:val="0"/>
              <w:marTop w:val="0"/>
              <w:marBottom w:val="0"/>
              <w:divBdr>
                <w:top w:val="none" w:sz="0" w:space="0" w:color="auto"/>
                <w:left w:val="none" w:sz="0" w:space="0" w:color="auto"/>
                <w:bottom w:val="none" w:sz="0" w:space="0" w:color="auto"/>
                <w:right w:val="none" w:sz="0" w:space="0" w:color="auto"/>
              </w:divBdr>
            </w:div>
            <w:div w:id="1241404316">
              <w:marLeft w:val="0"/>
              <w:marRight w:val="0"/>
              <w:marTop w:val="0"/>
              <w:marBottom w:val="0"/>
              <w:divBdr>
                <w:top w:val="none" w:sz="0" w:space="0" w:color="auto"/>
                <w:left w:val="none" w:sz="0" w:space="0" w:color="auto"/>
                <w:bottom w:val="none" w:sz="0" w:space="0" w:color="auto"/>
                <w:right w:val="none" w:sz="0" w:space="0" w:color="auto"/>
              </w:divBdr>
            </w:div>
            <w:div w:id="1328439377">
              <w:marLeft w:val="0"/>
              <w:marRight w:val="0"/>
              <w:marTop w:val="0"/>
              <w:marBottom w:val="0"/>
              <w:divBdr>
                <w:top w:val="none" w:sz="0" w:space="0" w:color="auto"/>
                <w:left w:val="none" w:sz="0" w:space="0" w:color="auto"/>
                <w:bottom w:val="none" w:sz="0" w:space="0" w:color="auto"/>
                <w:right w:val="none" w:sz="0" w:space="0" w:color="auto"/>
              </w:divBdr>
            </w:div>
            <w:div w:id="1455633784">
              <w:marLeft w:val="0"/>
              <w:marRight w:val="0"/>
              <w:marTop w:val="0"/>
              <w:marBottom w:val="0"/>
              <w:divBdr>
                <w:top w:val="none" w:sz="0" w:space="0" w:color="auto"/>
                <w:left w:val="none" w:sz="0" w:space="0" w:color="auto"/>
                <w:bottom w:val="none" w:sz="0" w:space="0" w:color="auto"/>
                <w:right w:val="none" w:sz="0" w:space="0" w:color="auto"/>
              </w:divBdr>
            </w:div>
            <w:div w:id="1466193468">
              <w:marLeft w:val="0"/>
              <w:marRight w:val="0"/>
              <w:marTop w:val="0"/>
              <w:marBottom w:val="0"/>
              <w:divBdr>
                <w:top w:val="none" w:sz="0" w:space="0" w:color="auto"/>
                <w:left w:val="none" w:sz="0" w:space="0" w:color="auto"/>
                <w:bottom w:val="none" w:sz="0" w:space="0" w:color="auto"/>
                <w:right w:val="none" w:sz="0" w:space="0" w:color="auto"/>
              </w:divBdr>
            </w:div>
            <w:div w:id="1481733144">
              <w:marLeft w:val="0"/>
              <w:marRight w:val="0"/>
              <w:marTop w:val="0"/>
              <w:marBottom w:val="0"/>
              <w:divBdr>
                <w:top w:val="none" w:sz="0" w:space="0" w:color="auto"/>
                <w:left w:val="none" w:sz="0" w:space="0" w:color="auto"/>
                <w:bottom w:val="none" w:sz="0" w:space="0" w:color="auto"/>
                <w:right w:val="none" w:sz="0" w:space="0" w:color="auto"/>
              </w:divBdr>
            </w:div>
            <w:div w:id="1602879916">
              <w:marLeft w:val="0"/>
              <w:marRight w:val="0"/>
              <w:marTop w:val="0"/>
              <w:marBottom w:val="0"/>
              <w:divBdr>
                <w:top w:val="none" w:sz="0" w:space="0" w:color="auto"/>
                <w:left w:val="none" w:sz="0" w:space="0" w:color="auto"/>
                <w:bottom w:val="none" w:sz="0" w:space="0" w:color="auto"/>
                <w:right w:val="none" w:sz="0" w:space="0" w:color="auto"/>
              </w:divBdr>
            </w:div>
            <w:div w:id="1637638720">
              <w:marLeft w:val="0"/>
              <w:marRight w:val="0"/>
              <w:marTop w:val="0"/>
              <w:marBottom w:val="0"/>
              <w:divBdr>
                <w:top w:val="none" w:sz="0" w:space="0" w:color="auto"/>
                <w:left w:val="none" w:sz="0" w:space="0" w:color="auto"/>
                <w:bottom w:val="none" w:sz="0" w:space="0" w:color="auto"/>
                <w:right w:val="none" w:sz="0" w:space="0" w:color="auto"/>
              </w:divBdr>
            </w:div>
            <w:div w:id="1868988003">
              <w:marLeft w:val="0"/>
              <w:marRight w:val="0"/>
              <w:marTop w:val="0"/>
              <w:marBottom w:val="0"/>
              <w:divBdr>
                <w:top w:val="none" w:sz="0" w:space="0" w:color="auto"/>
                <w:left w:val="none" w:sz="0" w:space="0" w:color="auto"/>
                <w:bottom w:val="none" w:sz="0" w:space="0" w:color="auto"/>
                <w:right w:val="none" w:sz="0" w:space="0" w:color="auto"/>
              </w:divBdr>
            </w:div>
            <w:div w:id="1881088909">
              <w:marLeft w:val="0"/>
              <w:marRight w:val="0"/>
              <w:marTop w:val="0"/>
              <w:marBottom w:val="0"/>
              <w:divBdr>
                <w:top w:val="none" w:sz="0" w:space="0" w:color="auto"/>
                <w:left w:val="none" w:sz="0" w:space="0" w:color="auto"/>
                <w:bottom w:val="none" w:sz="0" w:space="0" w:color="auto"/>
                <w:right w:val="none" w:sz="0" w:space="0" w:color="auto"/>
              </w:divBdr>
            </w:div>
            <w:div w:id="2019304605">
              <w:marLeft w:val="0"/>
              <w:marRight w:val="0"/>
              <w:marTop w:val="0"/>
              <w:marBottom w:val="0"/>
              <w:divBdr>
                <w:top w:val="none" w:sz="0" w:space="0" w:color="auto"/>
                <w:left w:val="none" w:sz="0" w:space="0" w:color="auto"/>
                <w:bottom w:val="none" w:sz="0" w:space="0" w:color="auto"/>
                <w:right w:val="none" w:sz="0" w:space="0" w:color="auto"/>
              </w:divBdr>
            </w:div>
            <w:div w:id="2084981325">
              <w:marLeft w:val="0"/>
              <w:marRight w:val="0"/>
              <w:marTop w:val="0"/>
              <w:marBottom w:val="0"/>
              <w:divBdr>
                <w:top w:val="none" w:sz="0" w:space="0" w:color="auto"/>
                <w:left w:val="none" w:sz="0" w:space="0" w:color="auto"/>
                <w:bottom w:val="none" w:sz="0" w:space="0" w:color="auto"/>
                <w:right w:val="none" w:sz="0" w:space="0" w:color="auto"/>
              </w:divBdr>
            </w:div>
            <w:div w:id="2089426333">
              <w:marLeft w:val="0"/>
              <w:marRight w:val="0"/>
              <w:marTop w:val="0"/>
              <w:marBottom w:val="0"/>
              <w:divBdr>
                <w:top w:val="none" w:sz="0" w:space="0" w:color="auto"/>
                <w:left w:val="none" w:sz="0" w:space="0" w:color="auto"/>
                <w:bottom w:val="none" w:sz="0" w:space="0" w:color="auto"/>
                <w:right w:val="none" w:sz="0" w:space="0" w:color="auto"/>
              </w:divBdr>
            </w:div>
          </w:divsChild>
        </w:div>
        <w:div w:id="225187750">
          <w:marLeft w:val="0"/>
          <w:marRight w:val="0"/>
          <w:marTop w:val="0"/>
          <w:marBottom w:val="0"/>
          <w:divBdr>
            <w:top w:val="none" w:sz="0" w:space="0" w:color="auto"/>
            <w:left w:val="none" w:sz="0" w:space="0" w:color="auto"/>
            <w:bottom w:val="none" w:sz="0" w:space="0" w:color="auto"/>
            <w:right w:val="none" w:sz="0" w:space="0" w:color="auto"/>
          </w:divBdr>
        </w:div>
        <w:div w:id="264968363">
          <w:marLeft w:val="0"/>
          <w:marRight w:val="0"/>
          <w:marTop w:val="0"/>
          <w:marBottom w:val="0"/>
          <w:divBdr>
            <w:top w:val="none" w:sz="0" w:space="0" w:color="auto"/>
            <w:left w:val="none" w:sz="0" w:space="0" w:color="auto"/>
            <w:bottom w:val="none" w:sz="0" w:space="0" w:color="auto"/>
            <w:right w:val="none" w:sz="0" w:space="0" w:color="auto"/>
          </w:divBdr>
          <w:divsChild>
            <w:div w:id="883177820">
              <w:marLeft w:val="-75"/>
              <w:marRight w:val="0"/>
              <w:marTop w:val="30"/>
              <w:marBottom w:val="30"/>
              <w:divBdr>
                <w:top w:val="none" w:sz="0" w:space="0" w:color="auto"/>
                <w:left w:val="none" w:sz="0" w:space="0" w:color="auto"/>
                <w:bottom w:val="none" w:sz="0" w:space="0" w:color="auto"/>
                <w:right w:val="none" w:sz="0" w:space="0" w:color="auto"/>
              </w:divBdr>
              <w:divsChild>
                <w:div w:id="125512504">
                  <w:marLeft w:val="0"/>
                  <w:marRight w:val="0"/>
                  <w:marTop w:val="0"/>
                  <w:marBottom w:val="0"/>
                  <w:divBdr>
                    <w:top w:val="none" w:sz="0" w:space="0" w:color="auto"/>
                    <w:left w:val="none" w:sz="0" w:space="0" w:color="auto"/>
                    <w:bottom w:val="none" w:sz="0" w:space="0" w:color="auto"/>
                    <w:right w:val="none" w:sz="0" w:space="0" w:color="auto"/>
                  </w:divBdr>
                  <w:divsChild>
                    <w:div w:id="680279521">
                      <w:marLeft w:val="0"/>
                      <w:marRight w:val="0"/>
                      <w:marTop w:val="0"/>
                      <w:marBottom w:val="0"/>
                      <w:divBdr>
                        <w:top w:val="none" w:sz="0" w:space="0" w:color="auto"/>
                        <w:left w:val="none" w:sz="0" w:space="0" w:color="auto"/>
                        <w:bottom w:val="none" w:sz="0" w:space="0" w:color="auto"/>
                        <w:right w:val="none" w:sz="0" w:space="0" w:color="auto"/>
                      </w:divBdr>
                    </w:div>
                  </w:divsChild>
                </w:div>
                <w:div w:id="311328667">
                  <w:marLeft w:val="0"/>
                  <w:marRight w:val="0"/>
                  <w:marTop w:val="0"/>
                  <w:marBottom w:val="0"/>
                  <w:divBdr>
                    <w:top w:val="none" w:sz="0" w:space="0" w:color="auto"/>
                    <w:left w:val="none" w:sz="0" w:space="0" w:color="auto"/>
                    <w:bottom w:val="none" w:sz="0" w:space="0" w:color="auto"/>
                    <w:right w:val="none" w:sz="0" w:space="0" w:color="auto"/>
                  </w:divBdr>
                  <w:divsChild>
                    <w:div w:id="1726562072">
                      <w:marLeft w:val="0"/>
                      <w:marRight w:val="0"/>
                      <w:marTop w:val="0"/>
                      <w:marBottom w:val="0"/>
                      <w:divBdr>
                        <w:top w:val="none" w:sz="0" w:space="0" w:color="auto"/>
                        <w:left w:val="none" w:sz="0" w:space="0" w:color="auto"/>
                        <w:bottom w:val="none" w:sz="0" w:space="0" w:color="auto"/>
                        <w:right w:val="none" w:sz="0" w:space="0" w:color="auto"/>
                      </w:divBdr>
                    </w:div>
                  </w:divsChild>
                </w:div>
                <w:div w:id="503397348">
                  <w:marLeft w:val="0"/>
                  <w:marRight w:val="0"/>
                  <w:marTop w:val="0"/>
                  <w:marBottom w:val="0"/>
                  <w:divBdr>
                    <w:top w:val="none" w:sz="0" w:space="0" w:color="auto"/>
                    <w:left w:val="none" w:sz="0" w:space="0" w:color="auto"/>
                    <w:bottom w:val="none" w:sz="0" w:space="0" w:color="auto"/>
                    <w:right w:val="none" w:sz="0" w:space="0" w:color="auto"/>
                  </w:divBdr>
                  <w:divsChild>
                    <w:div w:id="1575507478">
                      <w:marLeft w:val="0"/>
                      <w:marRight w:val="0"/>
                      <w:marTop w:val="0"/>
                      <w:marBottom w:val="0"/>
                      <w:divBdr>
                        <w:top w:val="none" w:sz="0" w:space="0" w:color="auto"/>
                        <w:left w:val="none" w:sz="0" w:space="0" w:color="auto"/>
                        <w:bottom w:val="none" w:sz="0" w:space="0" w:color="auto"/>
                        <w:right w:val="none" w:sz="0" w:space="0" w:color="auto"/>
                      </w:divBdr>
                    </w:div>
                  </w:divsChild>
                </w:div>
                <w:div w:id="585501646">
                  <w:marLeft w:val="0"/>
                  <w:marRight w:val="0"/>
                  <w:marTop w:val="0"/>
                  <w:marBottom w:val="0"/>
                  <w:divBdr>
                    <w:top w:val="none" w:sz="0" w:space="0" w:color="auto"/>
                    <w:left w:val="none" w:sz="0" w:space="0" w:color="auto"/>
                    <w:bottom w:val="none" w:sz="0" w:space="0" w:color="auto"/>
                    <w:right w:val="none" w:sz="0" w:space="0" w:color="auto"/>
                  </w:divBdr>
                  <w:divsChild>
                    <w:div w:id="54789815">
                      <w:marLeft w:val="0"/>
                      <w:marRight w:val="0"/>
                      <w:marTop w:val="0"/>
                      <w:marBottom w:val="0"/>
                      <w:divBdr>
                        <w:top w:val="none" w:sz="0" w:space="0" w:color="auto"/>
                        <w:left w:val="none" w:sz="0" w:space="0" w:color="auto"/>
                        <w:bottom w:val="none" w:sz="0" w:space="0" w:color="auto"/>
                        <w:right w:val="none" w:sz="0" w:space="0" w:color="auto"/>
                      </w:divBdr>
                    </w:div>
                  </w:divsChild>
                </w:div>
                <w:div w:id="633827649">
                  <w:marLeft w:val="0"/>
                  <w:marRight w:val="0"/>
                  <w:marTop w:val="0"/>
                  <w:marBottom w:val="0"/>
                  <w:divBdr>
                    <w:top w:val="none" w:sz="0" w:space="0" w:color="auto"/>
                    <w:left w:val="none" w:sz="0" w:space="0" w:color="auto"/>
                    <w:bottom w:val="none" w:sz="0" w:space="0" w:color="auto"/>
                    <w:right w:val="none" w:sz="0" w:space="0" w:color="auto"/>
                  </w:divBdr>
                  <w:divsChild>
                    <w:div w:id="99767820">
                      <w:marLeft w:val="0"/>
                      <w:marRight w:val="0"/>
                      <w:marTop w:val="0"/>
                      <w:marBottom w:val="0"/>
                      <w:divBdr>
                        <w:top w:val="none" w:sz="0" w:space="0" w:color="auto"/>
                        <w:left w:val="none" w:sz="0" w:space="0" w:color="auto"/>
                        <w:bottom w:val="none" w:sz="0" w:space="0" w:color="auto"/>
                        <w:right w:val="none" w:sz="0" w:space="0" w:color="auto"/>
                      </w:divBdr>
                    </w:div>
                  </w:divsChild>
                </w:div>
                <w:div w:id="975449248">
                  <w:marLeft w:val="0"/>
                  <w:marRight w:val="0"/>
                  <w:marTop w:val="0"/>
                  <w:marBottom w:val="0"/>
                  <w:divBdr>
                    <w:top w:val="none" w:sz="0" w:space="0" w:color="auto"/>
                    <w:left w:val="none" w:sz="0" w:space="0" w:color="auto"/>
                    <w:bottom w:val="none" w:sz="0" w:space="0" w:color="auto"/>
                    <w:right w:val="none" w:sz="0" w:space="0" w:color="auto"/>
                  </w:divBdr>
                  <w:divsChild>
                    <w:div w:id="1125076065">
                      <w:marLeft w:val="0"/>
                      <w:marRight w:val="0"/>
                      <w:marTop w:val="0"/>
                      <w:marBottom w:val="0"/>
                      <w:divBdr>
                        <w:top w:val="none" w:sz="0" w:space="0" w:color="auto"/>
                        <w:left w:val="none" w:sz="0" w:space="0" w:color="auto"/>
                        <w:bottom w:val="none" w:sz="0" w:space="0" w:color="auto"/>
                        <w:right w:val="none" w:sz="0" w:space="0" w:color="auto"/>
                      </w:divBdr>
                    </w:div>
                  </w:divsChild>
                </w:div>
                <w:div w:id="1326055662">
                  <w:marLeft w:val="0"/>
                  <w:marRight w:val="0"/>
                  <w:marTop w:val="0"/>
                  <w:marBottom w:val="0"/>
                  <w:divBdr>
                    <w:top w:val="none" w:sz="0" w:space="0" w:color="auto"/>
                    <w:left w:val="none" w:sz="0" w:space="0" w:color="auto"/>
                    <w:bottom w:val="none" w:sz="0" w:space="0" w:color="auto"/>
                    <w:right w:val="none" w:sz="0" w:space="0" w:color="auto"/>
                  </w:divBdr>
                  <w:divsChild>
                    <w:div w:id="1450512177">
                      <w:marLeft w:val="0"/>
                      <w:marRight w:val="0"/>
                      <w:marTop w:val="0"/>
                      <w:marBottom w:val="0"/>
                      <w:divBdr>
                        <w:top w:val="none" w:sz="0" w:space="0" w:color="auto"/>
                        <w:left w:val="none" w:sz="0" w:space="0" w:color="auto"/>
                        <w:bottom w:val="none" w:sz="0" w:space="0" w:color="auto"/>
                        <w:right w:val="none" w:sz="0" w:space="0" w:color="auto"/>
                      </w:divBdr>
                    </w:div>
                  </w:divsChild>
                </w:div>
                <w:div w:id="1540780876">
                  <w:marLeft w:val="0"/>
                  <w:marRight w:val="0"/>
                  <w:marTop w:val="0"/>
                  <w:marBottom w:val="0"/>
                  <w:divBdr>
                    <w:top w:val="none" w:sz="0" w:space="0" w:color="auto"/>
                    <w:left w:val="none" w:sz="0" w:space="0" w:color="auto"/>
                    <w:bottom w:val="none" w:sz="0" w:space="0" w:color="auto"/>
                    <w:right w:val="none" w:sz="0" w:space="0" w:color="auto"/>
                  </w:divBdr>
                  <w:divsChild>
                    <w:div w:id="1878421774">
                      <w:marLeft w:val="0"/>
                      <w:marRight w:val="0"/>
                      <w:marTop w:val="0"/>
                      <w:marBottom w:val="0"/>
                      <w:divBdr>
                        <w:top w:val="none" w:sz="0" w:space="0" w:color="auto"/>
                        <w:left w:val="none" w:sz="0" w:space="0" w:color="auto"/>
                        <w:bottom w:val="none" w:sz="0" w:space="0" w:color="auto"/>
                        <w:right w:val="none" w:sz="0" w:space="0" w:color="auto"/>
                      </w:divBdr>
                    </w:div>
                  </w:divsChild>
                </w:div>
                <w:div w:id="1875455716">
                  <w:marLeft w:val="0"/>
                  <w:marRight w:val="0"/>
                  <w:marTop w:val="0"/>
                  <w:marBottom w:val="0"/>
                  <w:divBdr>
                    <w:top w:val="none" w:sz="0" w:space="0" w:color="auto"/>
                    <w:left w:val="none" w:sz="0" w:space="0" w:color="auto"/>
                    <w:bottom w:val="none" w:sz="0" w:space="0" w:color="auto"/>
                    <w:right w:val="none" w:sz="0" w:space="0" w:color="auto"/>
                  </w:divBdr>
                  <w:divsChild>
                    <w:div w:id="22050340">
                      <w:marLeft w:val="0"/>
                      <w:marRight w:val="0"/>
                      <w:marTop w:val="0"/>
                      <w:marBottom w:val="0"/>
                      <w:divBdr>
                        <w:top w:val="none" w:sz="0" w:space="0" w:color="auto"/>
                        <w:left w:val="none" w:sz="0" w:space="0" w:color="auto"/>
                        <w:bottom w:val="none" w:sz="0" w:space="0" w:color="auto"/>
                        <w:right w:val="none" w:sz="0" w:space="0" w:color="auto"/>
                      </w:divBdr>
                    </w:div>
                  </w:divsChild>
                </w:div>
                <w:div w:id="1916207482">
                  <w:marLeft w:val="0"/>
                  <w:marRight w:val="0"/>
                  <w:marTop w:val="0"/>
                  <w:marBottom w:val="0"/>
                  <w:divBdr>
                    <w:top w:val="none" w:sz="0" w:space="0" w:color="auto"/>
                    <w:left w:val="none" w:sz="0" w:space="0" w:color="auto"/>
                    <w:bottom w:val="none" w:sz="0" w:space="0" w:color="auto"/>
                    <w:right w:val="none" w:sz="0" w:space="0" w:color="auto"/>
                  </w:divBdr>
                  <w:divsChild>
                    <w:div w:id="488519400">
                      <w:marLeft w:val="0"/>
                      <w:marRight w:val="0"/>
                      <w:marTop w:val="0"/>
                      <w:marBottom w:val="0"/>
                      <w:divBdr>
                        <w:top w:val="none" w:sz="0" w:space="0" w:color="auto"/>
                        <w:left w:val="none" w:sz="0" w:space="0" w:color="auto"/>
                        <w:bottom w:val="none" w:sz="0" w:space="0" w:color="auto"/>
                        <w:right w:val="none" w:sz="0" w:space="0" w:color="auto"/>
                      </w:divBdr>
                    </w:div>
                  </w:divsChild>
                </w:div>
                <w:div w:id="1984694034">
                  <w:marLeft w:val="0"/>
                  <w:marRight w:val="0"/>
                  <w:marTop w:val="0"/>
                  <w:marBottom w:val="0"/>
                  <w:divBdr>
                    <w:top w:val="none" w:sz="0" w:space="0" w:color="auto"/>
                    <w:left w:val="none" w:sz="0" w:space="0" w:color="auto"/>
                    <w:bottom w:val="none" w:sz="0" w:space="0" w:color="auto"/>
                    <w:right w:val="none" w:sz="0" w:space="0" w:color="auto"/>
                  </w:divBdr>
                  <w:divsChild>
                    <w:div w:id="910115868">
                      <w:marLeft w:val="0"/>
                      <w:marRight w:val="0"/>
                      <w:marTop w:val="0"/>
                      <w:marBottom w:val="0"/>
                      <w:divBdr>
                        <w:top w:val="none" w:sz="0" w:space="0" w:color="auto"/>
                        <w:left w:val="none" w:sz="0" w:space="0" w:color="auto"/>
                        <w:bottom w:val="none" w:sz="0" w:space="0" w:color="auto"/>
                        <w:right w:val="none" w:sz="0" w:space="0" w:color="auto"/>
                      </w:divBdr>
                    </w:div>
                  </w:divsChild>
                </w:div>
                <w:div w:id="2006128138">
                  <w:marLeft w:val="0"/>
                  <w:marRight w:val="0"/>
                  <w:marTop w:val="0"/>
                  <w:marBottom w:val="0"/>
                  <w:divBdr>
                    <w:top w:val="none" w:sz="0" w:space="0" w:color="auto"/>
                    <w:left w:val="none" w:sz="0" w:space="0" w:color="auto"/>
                    <w:bottom w:val="none" w:sz="0" w:space="0" w:color="auto"/>
                    <w:right w:val="none" w:sz="0" w:space="0" w:color="auto"/>
                  </w:divBdr>
                  <w:divsChild>
                    <w:div w:id="274797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7415665">
          <w:marLeft w:val="0"/>
          <w:marRight w:val="0"/>
          <w:marTop w:val="0"/>
          <w:marBottom w:val="0"/>
          <w:divBdr>
            <w:top w:val="none" w:sz="0" w:space="0" w:color="auto"/>
            <w:left w:val="none" w:sz="0" w:space="0" w:color="auto"/>
            <w:bottom w:val="none" w:sz="0" w:space="0" w:color="auto"/>
            <w:right w:val="none" w:sz="0" w:space="0" w:color="auto"/>
          </w:divBdr>
        </w:div>
        <w:div w:id="350496816">
          <w:marLeft w:val="0"/>
          <w:marRight w:val="0"/>
          <w:marTop w:val="0"/>
          <w:marBottom w:val="0"/>
          <w:divBdr>
            <w:top w:val="none" w:sz="0" w:space="0" w:color="auto"/>
            <w:left w:val="none" w:sz="0" w:space="0" w:color="auto"/>
            <w:bottom w:val="none" w:sz="0" w:space="0" w:color="auto"/>
            <w:right w:val="none" w:sz="0" w:space="0" w:color="auto"/>
          </w:divBdr>
          <w:divsChild>
            <w:div w:id="1395047">
              <w:marLeft w:val="0"/>
              <w:marRight w:val="0"/>
              <w:marTop w:val="0"/>
              <w:marBottom w:val="0"/>
              <w:divBdr>
                <w:top w:val="none" w:sz="0" w:space="0" w:color="auto"/>
                <w:left w:val="none" w:sz="0" w:space="0" w:color="auto"/>
                <w:bottom w:val="none" w:sz="0" w:space="0" w:color="auto"/>
                <w:right w:val="none" w:sz="0" w:space="0" w:color="auto"/>
              </w:divBdr>
            </w:div>
            <w:div w:id="302739005">
              <w:marLeft w:val="0"/>
              <w:marRight w:val="0"/>
              <w:marTop w:val="0"/>
              <w:marBottom w:val="0"/>
              <w:divBdr>
                <w:top w:val="none" w:sz="0" w:space="0" w:color="auto"/>
                <w:left w:val="none" w:sz="0" w:space="0" w:color="auto"/>
                <w:bottom w:val="none" w:sz="0" w:space="0" w:color="auto"/>
                <w:right w:val="none" w:sz="0" w:space="0" w:color="auto"/>
              </w:divBdr>
            </w:div>
            <w:div w:id="497354262">
              <w:marLeft w:val="0"/>
              <w:marRight w:val="0"/>
              <w:marTop w:val="0"/>
              <w:marBottom w:val="0"/>
              <w:divBdr>
                <w:top w:val="none" w:sz="0" w:space="0" w:color="auto"/>
                <w:left w:val="none" w:sz="0" w:space="0" w:color="auto"/>
                <w:bottom w:val="none" w:sz="0" w:space="0" w:color="auto"/>
                <w:right w:val="none" w:sz="0" w:space="0" w:color="auto"/>
              </w:divBdr>
            </w:div>
            <w:div w:id="552430118">
              <w:marLeft w:val="0"/>
              <w:marRight w:val="0"/>
              <w:marTop w:val="0"/>
              <w:marBottom w:val="0"/>
              <w:divBdr>
                <w:top w:val="none" w:sz="0" w:space="0" w:color="auto"/>
                <w:left w:val="none" w:sz="0" w:space="0" w:color="auto"/>
                <w:bottom w:val="none" w:sz="0" w:space="0" w:color="auto"/>
                <w:right w:val="none" w:sz="0" w:space="0" w:color="auto"/>
              </w:divBdr>
            </w:div>
            <w:div w:id="735855085">
              <w:marLeft w:val="0"/>
              <w:marRight w:val="0"/>
              <w:marTop w:val="0"/>
              <w:marBottom w:val="0"/>
              <w:divBdr>
                <w:top w:val="none" w:sz="0" w:space="0" w:color="auto"/>
                <w:left w:val="none" w:sz="0" w:space="0" w:color="auto"/>
                <w:bottom w:val="none" w:sz="0" w:space="0" w:color="auto"/>
                <w:right w:val="none" w:sz="0" w:space="0" w:color="auto"/>
              </w:divBdr>
            </w:div>
            <w:div w:id="820385864">
              <w:marLeft w:val="0"/>
              <w:marRight w:val="0"/>
              <w:marTop w:val="0"/>
              <w:marBottom w:val="0"/>
              <w:divBdr>
                <w:top w:val="none" w:sz="0" w:space="0" w:color="auto"/>
                <w:left w:val="none" w:sz="0" w:space="0" w:color="auto"/>
                <w:bottom w:val="none" w:sz="0" w:space="0" w:color="auto"/>
                <w:right w:val="none" w:sz="0" w:space="0" w:color="auto"/>
              </w:divBdr>
            </w:div>
            <w:div w:id="831988104">
              <w:marLeft w:val="0"/>
              <w:marRight w:val="0"/>
              <w:marTop w:val="0"/>
              <w:marBottom w:val="0"/>
              <w:divBdr>
                <w:top w:val="none" w:sz="0" w:space="0" w:color="auto"/>
                <w:left w:val="none" w:sz="0" w:space="0" w:color="auto"/>
                <w:bottom w:val="none" w:sz="0" w:space="0" w:color="auto"/>
                <w:right w:val="none" w:sz="0" w:space="0" w:color="auto"/>
              </w:divBdr>
            </w:div>
            <w:div w:id="966814871">
              <w:marLeft w:val="0"/>
              <w:marRight w:val="0"/>
              <w:marTop w:val="0"/>
              <w:marBottom w:val="0"/>
              <w:divBdr>
                <w:top w:val="none" w:sz="0" w:space="0" w:color="auto"/>
                <w:left w:val="none" w:sz="0" w:space="0" w:color="auto"/>
                <w:bottom w:val="none" w:sz="0" w:space="0" w:color="auto"/>
                <w:right w:val="none" w:sz="0" w:space="0" w:color="auto"/>
              </w:divBdr>
            </w:div>
            <w:div w:id="989092880">
              <w:marLeft w:val="0"/>
              <w:marRight w:val="0"/>
              <w:marTop w:val="0"/>
              <w:marBottom w:val="0"/>
              <w:divBdr>
                <w:top w:val="none" w:sz="0" w:space="0" w:color="auto"/>
                <w:left w:val="none" w:sz="0" w:space="0" w:color="auto"/>
                <w:bottom w:val="none" w:sz="0" w:space="0" w:color="auto"/>
                <w:right w:val="none" w:sz="0" w:space="0" w:color="auto"/>
              </w:divBdr>
            </w:div>
            <w:div w:id="1066145339">
              <w:marLeft w:val="0"/>
              <w:marRight w:val="0"/>
              <w:marTop w:val="0"/>
              <w:marBottom w:val="0"/>
              <w:divBdr>
                <w:top w:val="none" w:sz="0" w:space="0" w:color="auto"/>
                <w:left w:val="none" w:sz="0" w:space="0" w:color="auto"/>
                <w:bottom w:val="none" w:sz="0" w:space="0" w:color="auto"/>
                <w:right w:val="none" w:sz="0" w:space="0" w:color="auto"/>
              </w:divBdr>
            </w:div>
            <w:div w:id="1160581970">
              <w:marLeft w:val="0"/>
              <w:marRight w:val="0"/>
              <w:marTop w:val="0"/>
              <w:marBottom w:val="0"/>
              <w:divBdr>
                <w:top w:val="none" w:sz="0" w:space="0" w:color="auto"/>
                <w:left w:val="none" w:sz="0" w:space="0" w:color="auto"/>
                <w:bottom w:val="none" w:sz="0" w:space="0" w:color="auto"/>
                <w:right w:val="none" w:sz="0" w:space="0" w:color="auto"/>
              </w:divBdr>
            </w:div>
            <w:div w:id="1342899619">
              <w:marLeft w:val="0"/>
              <w:marRight w:val="0"/>
              <w:marTop w:val="0"/>
              <w:marBottom w:val="0"/>
              <w:divBdr>
                <w:top w:val="none" w:sz="0" w:space="0" w:color="auto"/>
                <w:left w:val="none" w:sz="0" w:space="0" w:color="auto"/>
                <w:bottom w:val="none" w:sz="0" w:space="0" w:color="auto"/>
                <w:right w:val="none" w:sz="0" w:space="0" w:color="auto"/>
              </w:divBdr>
            </w:div>
            <w:div w:id="1430661098">
              <w:marLeft w:val="0"/>
              <w:marRight w:val="0"/>
              <w:marTop w:val="0"/>
              <w:marBottom w:val="0"/>
              <w:divBdr>
                <w:top w:val="none" w:sz="0" w:space="0" w:color="auto"/>
                <w:left w:val="none" w:sz="0" w:space="0" w:color="auto"/>
                <w:bottom w:val="none" w:sz="0" w:space="0" w:color="auto"/>
                <w:right w:val="none" w:sz="0" w:space="0" w:color="auto"/>
              </w:divBdr>
            </w:div>
            <w:div w:id="1490975758">
              <w:marLeft w:val="0"/>
              <w:marRight w:val="0"/>
              <w:marTop w:val="0"/>
              <w:marBottom w:val="0"/>
              <w:divBdr>
                <w:top w:val="none" w:sz="0" w:space="0" w:color="auto"/>
                <w:left w:val="none" w:sz="0" w:space="0" w:color="auto"/>
                <w:bottom w:val="none" w:sz="0" w:space="0" w:color="auto"/>
                <w:right w:val="none" w:sz="0" w:space="0" w:color="auto"/>
              </w:divBdr>
            </w:div>
            <w:div w:id="1525512283">
              <w:marLeft w:val="0"/>
              <w:marRight w:val="0"/>
              <w:marTop w:val="0"/>
              <w:marBottom w:val="0"/>
              <w:divBdr>
                <w:top w:val="none" w:sz="0" w:space="0" w:color="auto"/>
                <w:left w:val="none" w:sz="0" w:space="0" w:color="auto"/>
                <w:bottom w:val="none" w:sz="0" w:space="0" w:color="auto"/>
                <w:right w:val="none" w:sz="0" w:space="0" w:color="auto"/>
              </w:divBdr>
            </w:div>
            <w:div w:id="1607884479">
              <w:marLeft w:val="0"/>
              <w:marRight w:val="0"/>
              <w:marTop w:val="0"/>
              <w:marBottom w:val="0"/>
              <w:divBdr>
                <w:top w:val="none" w:sz="0" w:space="0" w:color="auto"/>
                <w:left w:val="none" w:sz="0" w:space="0" w:color="auto"/>
                <w:bottom w:val="none" w:sz="0" w:space="0" w:color="auto"/>
                <w:right w:val="none" w:sz="0" w:space="0" w:color="auto"/>
              </w:divBdr>
            </w:div>
            <w:div w:id="1612737919">
              <w:marLeft w:val="0"/>
              <w:marRight w:val="0"/>
              <w:marTop w:val="0"/>
              <w:marBottom w:val="0"/>
              <w:divBdr>
                <w:top w:val="none" w:sz="0" w:space="0" w:color="auto"/>
                <w:left w:val="none" w:sz="0" w:space="0" w:color="auto"/>
                <w:bottom w:val="none" w:sz="0" w:space="0" w:color="auto"/>
                <w:right w:val="none" w:sz="0" w:space="0" w:color="auto"/>
              </w:divBdr>
            </w:div>
            <w:div w:id="1684092198">
              <w:marLeft w:val="0"/>
              <w:marRight w:val="0"/>
              <w:marTop w:val="0"/>
              <w:marBottom w:val="0"/>
              <w:divBdr>
                <w:top w:val="none" w:sz="0" w:space="0" w:color="auto"/>
                <w:left w:val="none" w:sz="0" w:space="0" w:color="auto"/>
                <w:bottom w:val="none" w:sz="0" w:space="0" w:color="auto"/>
                <w:right w:val="none" w:sz="0" w:space="0" w:color="auto"/>
              </w:divBdr>
            </w:div>
            <w:div w:id="1840389581">
              <w:marLeft w:val="0"/>
              <w:marRight w:val="0"/>
              <w:marTop w:val="0"/>
              <w:marBottom w:val="0"/>
              <w:divBdr>
                <w:top w:val="none" w:sz="0" w:space="0" w:color="auto"/>
                <w:left w:val="none" w:sz="0" w:space="0" w:color="auto"/>
                <w:bottom w:val="none" w:sz="0" w:space="0" w:color="auto"/>
                <w:right w:val="none" w:sz="0" w:space="0" w:color="auto"/>
              </w:divBdr>
            </w:div>
            <w:div w:id="1999266051">
              <w:marLeft w:val="0"/>
              <w:marRight w:val="0"/>
              <w:marTop w:val="0"/>
              <w:marBottom w:val="0"/>
              <w:divBdr>
                <w:top w:val="none" w:sz="0" w:space="0" w:color="auto"/>
                <w:left w:val="none" w:sz="0" w:space="0" w:color="auto"/>
                <w:bottom w:val="none" w:sz="0" w:space="0" w:color="auto"/>
                <w:right w:val="none" w:sz="0" w:space="0" w:color="auto"/>
              </w:divBdr>
            </w:div>
          </w:divsChild>
        </w:div>
        <w:div w:id="354383688">
          <w:marLeft w:val="0"/>
          <w:marRight w:val="0"/>
          <w:marTop w:val="0"/>
          <w:marBottom w:val="0"/>
          <w:divBdr>
            <w:top w:val="none" w:sz="0" w:space="0" w:color="auto"/>
            <w:left w:val="none" w:sz="0" w:space="0" w:color="auto"/>
            <w:bottom w:val="none" w:sz="0" w:space="0" w:color="auto"/>
            <w:right w:val="none" w:sz="0" w:space="0" w:color="auto"/>
          </w:divBdr>
        </w:div>
        <w:div w:id="381097413">
          <w:marLeft w:val="0"/>
          <w:marRight w:val="0"/>
          <w:marTop w:val="0"/>
          <w:marBottom w:val="0"/>
          <w:divBdr>
            <w:top w:val="none" w:sz="0" w:space="0" w:color="auto"/>
            <w:left w:val="none" w:sz="0" w:space="0" w:color="auto"/>
            <w:bottom w:val="none" w:sz="0" w:space="0" w:color="auto"/>
            <w:right w:val="none" w:sz="0" w:space="0" w:color="auto"/>
          </w:divBdr>
        </w:div>
        <w:div w:id="422265138">
          <w:marLeft w:val="0"/>
          <w:marRight w:val="0"/>
          <w:marTop w:val="0"/>
          <w:marBottom w:val="0"/>
          <w:divBdr>
            <w:top w:val="none" w:sz="0" w:space="0" w:color="auto"/>
            <w:left w:val="none" w:sz="0" w:space="0" w:color="auto"/>
            <w:bottom w:val="none" w:sz="0" w:space="0" w:color="auto"/>
            <w:right w:val="none" w:sz="0" w:space="0" w:color="auto"/>
          </w:divBdr>
        </w:div>
        <w:div w:id="429276366">
          <w:marLeft w:val="0"/>
          <w:marRight w:val="0"/>
          <w:marTop w:val="0"/>
          <w:marBottom w:val="0"/>
          <w:divBdr>
            <w:top w:val="none" w:sz="0" w:space="0" w:color="auto"/>
            <w:left w:val="none" w:sz="0" w:space="0" w:color="auto"/>
            <w:bottom w:val="none" w:sz="0" w:space="0" w:color="auto"/>
            <w:right w:val="none" w:sz="0" w:space="0" w:color="auto"/>
          </w:divBdr>
        </w:div>
        <w:div w:id="447898697">
          <w:marLeft w:val="0"/>
          <w:marRight w:val="0"/>
          <w:marTop w:val="0"/>
          <w:marBottom w:val="0"/>
          <w:divBdr>
            <w:top w:val="none" w:sz="0" w:space="0" w:color="auto"/>
            <w:left w:val="none" w:sz="0" w:space="0" w:color="auto"/>
            <w:bottom w:val="none" w:sz="0" w:space="0" w:color="auto"/>
            <w:right w:val="none" w:sz="0" w:space="0" w:color="auto"/>
          </w:divBdr>
        </w:div>
        <w:div w:id="456216021">
          <w:marLeft w:val="0"/>
          <w:marRight w:val="0"/>
          <w:marTop w:val="0"/>
          <w:marBottom w:val="0"/>
          <w:divBdr>
            <w:top w:val="none" w:sz="0" w:space="0" w:color="auto"/>
            <w:left w:val="none" w:sz="0" w:space="0" w:color="auto"/>
            <w:bottom w:val="none" w:sz="0" w:space="0" w:color="auto"/>
            <w:right w:val="none" w:sz="0" w:space="0" w:color="auto"/>
          </w:divBdr>
        </w:div>
        <w:div w:id="476726358">
          <w:marLeft w:val="0"/>
          <w:marRight w:val="0"/>
          <w:marTop w:val="0"/>
          <w:marBottom w:val="0"/>
          <w:divBdr>
            <w:top w:val="none" w:sz="0" w:space="0" w:color="auto"/>
            <w:left w:val="none" w:sz="0" w:space="0" w:color="auto"/>
            <w:bottom w:val="none" w:sz="0" w:space="0" w:color="auto"/>
            <w:right w:val="none" w:sz="0" w:space="0" w:color="auto"/>
          </w:divBdr>
        </w:div>
        <w:div w:id="510029067">
          <w:marLeft w:val="0"/>
          <w:marRight w:val="0"/>
          <w:marTop w:val="0"/>
          <w:marBottom w:val="0"/>
          <w:divBdr>
            <w:top w:val="none" w:sz="0" w:space="0" w:color="auto"/>
            <w:left w:val="none" w:sz="0" w:space="0" w:color="auto"/>
            <w:bottom w:val="none" w:sz="0" w:space="0" w:color="auto"/>
            <w:right w:val="none" w:sz="0" w:space="0" w:color="auto"/>
          </w:divBdr>
        </w:div>
        <w:div w:id="525405167">
          <w:marLeft w:val="0"/>
          <w:marRight w:val="0"/>
          <w:marTop w:val="0"/>
          <w:marBottom w:val="0"/>
          <w:divBdr>
            <w:top w:val="none" w:sz="0" w:space="0" w:color="auto"/>
            <w:left w:val="none" w:sz="0" w:space="0" w:color="auto"/>
            <w:bottom w:val="none" w:sz="0" w:space="0" w:color="auto"/>
            <w:right w:val="none" w:sz="0" w:space="0" w:color="auto"/>
          </w:divBdr>
        </w:div>
        <w:div w:id="548036961">
          <w:marLeft w:val="0"/>
          <w:marRight w:val="0"/>
          <w:marTop w:val="0"/>
          <w:marBottom w:val="0"/>
          <w:divBdr>
            <w:top w:val="none" w:sz="0" w:space="0" w:color="auto"/>
            <w:left w:val="none" w:sz="0" w:space="0" w:color="auto"/>
            <w:bottom w:val="none" w:sz="0" w:space="0" w:color="auto"/>
            <w:right w:val="none" w:sz="0" w:space="0" w:color="auto"/>
          </w:divBdr>
        </w:div>
        <w:div w:id="553852094">
          <w:marLeft w:val="0"/>
          <w:marRight w:val="0"/>
          <w:marTop w:val="0"/>
          <w:marBottom w:val="0"/>
          <w:divBdr>
            <w:top w:val="none" w:sz="0" w:space="0" w:color="auto"/>
            <w:left w:val="none" w:sz="0" w:space="0" w:color="auto"/>
            <w:bottom w:val="none" w:sz="0" w:space="0" w:color="auto"/>
            <w:right w:val="none" w:sz="0" w:space="0" w:color="auto"/>
          </w:divBdr>
          <w:divsChild>
            <w:div w:id="10844422">
              <w:marLeft w:val="0"/>
              <w:marRight w:val="0"/>
              <w:marTop w:val="0"/>
              <w:marBottom w:val="0"/>
              <w:divBdr>
                <w:top w:val="none" w:sz="0" w:space="0" w:color="auto"/>
                <w:left w:val="none" w:sz="0" w:space="0" w:color="auto"/>
                <w:bottom w:val="none" w:sz="0" w:space="0" w:color="auto"/>
                <w:right w:val="none" w:sz="0" w:space="0" w:color="auto"/>
              </w:divBdr>
            </w:div>
            <w:div w:id="27336197">
              <w:marLeft w:val="0"/>
              <w:marRight w:val="0"/>
              <w:marTop w:val="0"/>
              <w:marBottom w:val="0"/>
              <w:divBdr>
                <w:top w:val="none" w:sz="0" w:space="0" w:color="auto"/>
                <w:left w:val="none" w:sz="0" w:space="0" w:color="auto"/>
                <w:bottom w:val="none" w:sz="0" w:space="0" w:color="auto"/>
                <w:right w:val="none" w:sz="0" w:space="0" w:color="auto"/>
              </w:divBdr>
            </w:div>
            <w:div w:id="66265949">
              <w:marLeft w:val="0"/>
              <w:marRight w:val="0"/>
              <w:marTop w:val="0"/>
              <w:marBottom w:val="0"/>
              <w:divBdr>
                <w:top w:val="none" w:sz="0" w:space="0" w:color="auto"/>
                <w:left w:val="none" w:sz="0" w:space="0" w:color="auto"/>
                <w:bottom w:val="none" w:sz="0" w:space="0" w:color="auto"/>
                <w:right w:val="none" w:sz="0" w:space="0" w:color="auto"/>
              </w:divBdr>
            </w:div>
            <w:div w:id="151214505">
              <w:marLeft w:val="0"/>
              <w:marRight w:val="0"/>
              <w:marTop w:val="0"/>
              <w:marBottom w:val="0"/>
              <w:divBdr>
                <w:top w:val="none" w:sz="0" w:space="0" w:color="auto"/>
                <w:left w:val="none" w:sz="0" w:space="0" w:color="auto"/>
                <w:bottom w:val="none" w:sz="0" w:space="0" w:color="auto"/>
                <w:right w:val="none" w:sz="0" w:space="0" w:color="auto"/>
              </w:divBdr>
            </w:div>
            <w:div w:id="458496634">
              <w:marLeft w:val="0"/>
              <w:marRight w:val="0"/>
              <w:marTop w:val="0"/>
              <w:marBottom w:val="0"/>
              <w:divBdr>
                <w:top w:val="none" w:sz="0" w:space="0" w:color="auto"/>
                <w:left w:val="none" w:sz="0" w:space="0" w:color="auto"/>
                <w:bottom w:val="none" w:sz="0" w:space="0" w:color="auto"/>
                <w:right w:val="none" w:sz="0" w:space="0" w:color="auto"/>
              </w:divBdr>
            </w:div>
            <w:div w:id="458688396">
              <w:marLeft w:val="0"/>
              <w:marRight w:val="0"/>
              <w:marTop w:val="0"/>
              <w:marBottom w:val="0"/>
              <w:divBdr>
                <w:top w:val="none" w:sz="0" w:space="0" w:color="auto"/>
                <w:left w:val="none" w:sz="0" w:space="0" w:color="auto"/>
                <w:bottom w:val="none" w:sz="0" w:space="0" w:color="auto"/>
                <w:right w:val="none" w:sz="0" w:space="0" w:color="auto"/>
              </w:divBdr>
            </w:div>
            <w:div w:id="543758427">
              <w:marLeft w:val="0"/>
              <w:marRight w:val="0"/>
              <w:marTop w:val="0"/>
              <w:marBottom w:val="0"/>
              <w:divBdr>
                <w:top w:val="none" w:sz="0" w:space="0" w:color="auto"/>
                <w:left w:val="none" w:sz="0" w:space="0" w:color="auto"/>
                <w:bottom w:val="none" w:sz="0" w:space="0" w:color="auto"/>
                <w:right w:val="none" w:sz="0" w:space="0" w:color="auto"/>
              </w:divBdr>
            </w:div>
            <w:div w:id="664208024">
              <w:marLeft w:val="0"/>
              <w:marRight w:val="0"/>
              <w:marTop w:val="0"/>
              <w:marBottom w:val="0"/>
              <w:divBdr>
                <w:top w:val="none" w:sz="0" w:space="0" w:color="auto"/>
                <w:left w:val="none" w:sz="0" w:space="0" w:color="auto"/>
                <w:bottom w:val="none" w:sz="0" w:space="0" w:color="auto"/>
                <w:right w:val="none" w:sz="0" w:space="0" w:color="auto"/>
              </w:divBdr>
            </w:div>
            <w:div w:id="718554471">
              <w:marLeft w:val="0"/>
              <w:marRight w:val="0"/>
              <w:marTop w:val="0"/>
              <w:marBottom w:val="0"/>
              <w:divBdr>
                <w:top w:val="none" w:sz="0" w:space="0" w:color="auto"/>
                <w:left w:val="none" w:sz="0" w:space="0" w:color="auto"/>
                <w:bottom w:val="none" w:sz="0" w:space="0" w:color="auto"/>
                <w:right w:val="none" w:sz="0" w:space="0" w:color="auto"/>
              </w:divBdr>
            </w:div>
            <w:div w:id="1024599331">
              <w:marLeft w:val="0"/>
              <w:marRight w:val="0"/>
              <w:marTop w:val="0"/>
              <w:marBottom w:val="0"/>
              <w:divBdr>
                <w:top w:val="none" w:sz="0" w:space="0" w:color="auto"/>
                <w:left w:val="none" w:sz="0" w:space="0" w:color="auto"/>
                <w:bottom w:val="none" w:sz="0" w:space="0" w:color="auto"/>
                <w:right w:val="none" w:sz="0" w:space="0" w:color="auto"/>
              </w:divBdr>
            </w:div>
            <w:div w:id="1053889091">
              <w:marLeft w:val="0"/>
              <w:marRight w:val="0"/>
              <w:marTop w:val="0"/>
              <w:marBottom w:val="0"/>
              <w:divBdr>
                <w:top w:val="none" w:sz="0" w:space="0" w:color="auto"/>
                <w:left w:val="none" w:sz="0" w:space="0" w:color="auto"/>
                <w:bottom w:val="none" w:sz="0" w:space="0" w:color="auto"/>
                <w:right w:val="none" w:sz="0" w:space="0" w:color="auto"/>
              </w:divBdr>
            </w:div>
            <w:div w:id="1088771879">
              <w:marLeft w:val="0"/>
              <w:marRight w:val="0"/>
              <w:marTop w:val="0"/>
              <w:marBottom w:val="0"/>
              <w:divBdr>
                <w:top w:val="none" w:sz="0" w:space="0" w:color="auto"/>
                <w:left w:val="none" w:sz="0" w:space="0" w:color="auto"/>
                <w:bottom w:val="none" w:sz="0" w:space="0" w:color="auto"/>
                <w:right w:val="none" w:sz="0" w:space="0" w:color="auto"/>
              </w:divBdr>
            </w:div>
            <w:div w:id="1133863779">
              <w:marLeft w:val="0"/>
              <w:marRight w:val="0"/>
              <w:marTop w:val="0"/>
              <w:marBottom w:val="0"/>
              <w:divBdr>
                <w:top w:val="none" w:sz="0" w:space="0" w:color="auto"/>
                <w:left w:val="none" w:sz="0" w:space="0" w:color="auto"/>
                <w:bottom w:val="none" w:sz="0" w:space="0" w:color="auto"/>
                <w:right w:val="none" w:sz="0" w:space="0" w:color="auto"/>
              </w:divBdr>
            </w:div>
            <w:div w:id="1233739711">
              <w:marLeft w:val="0"/>
              <w:marRight w:val="0"/>
              <w:marTop w:val="0"/>
              <w:marBottom w:val="0"/>
              <w:divBdr>
                <w:top w:val="none" w:sz="0" w:space="0" w:color="auto"/>
                <w:left w:val="none" w:sz="0" w:space="0" w:color="auto"/>
                <w:bottom w:val="none" w:sz="0" w:space="0" w:color="auto"/>
                <w:right w:val="none" w:sz="0" w:space="0" w:color="auto"/>
              </w:divBdr>
            </w:div>
            <w:div w:id="1455247783">
              <w:marLeft w:val="0"/>
              <w:marRight w:val="0"/>
              <w:marTop w:val="0"/>
              <w:marBottom w:val="0"/>
              <w:divBdr>
                <w:top w:val="none" w:sz="0" w:space="0" w:color="auto"/>
                <w:left w:val="none" w:sz="0" w:space="0" w:color="auto"/>
                <w:bottom w:val="none" w:sz="0" w:space="0" w:color="auto"/>
                <w:right w:val="none" w:sz="0" w:space="0" w:color="auto"/>
              </w:divBdr>
            </w:div>
            <w:div w:id="1714579855">
              <w:marLeft w:val="0"/>
              <w:marRight w:val="0"/>
              <w:marTop w:val="0"/>
              <w:marBottom w:val="0"/>
              <w:divBdr>
                <w:top w:val="none" w:sz="0" w:space="0" w:color="auto"/>
                <w:left w:val="none" w:sz="0" w:space="0" w:color="auto"/>
                <w:bottom w:val="none" w:sz="0" w:space="0" w:color="auto"/>
                <w:right w:val="none" w:sz="0" w:space="0" w:color="auto"/>
              </w:divBdr>
            </w:div>
            <w:div w:id="1924340193">
              <w:marLeft w:val="0"/>
              <w:marRight w:val="0"/>
              <w:marTop w:val="0"/>
              <w:marBottom w:val="0"/>
              <w:divBdr>
                <w:top w:val="none" w:sz="0" w:space="0" w:color="auto"/>
                <w:left w:val="none" w:sz="0" w:space="0" w:color="auto"/>
                <w:bottom w:val="none" w:sz="0" w:space="0" w:color="auto"/>
                <w:right w:val="none" w:sz="0" w:space="0" w:color="auto"/>
              </w:divBdr>
            </w:div>
            <w:div w:id="1999116119">
              <w:marLeft w:val="0"/>
              <w:marRight w:val="0"/>
              <w:marTop w:val="0"/>
              <w:marBottom w:val="0"/>
              <w:divBdr>
                <w:top w:val="none" w:sz="0" w:space="0" w:color="auto"/>
                <w:left w:val="none" w:sz="0" w:space="0" w:color="auto"/>
                <w:bottom w:val="none" w:sz="0" w:space="0" w:color="auto"/>
                <w:right w:val="none" w:sz="0" w:space="0" w:color="auto"/>
              </w:divBdr>
            </w:div>
            <w:div w:id="2023781397">
              <w:marLeft w:val="0"/>
              <w:marRight w:val="0"/>
              <w:marTop w:val="0"/>
              <w:marBottom w:val="0"/>
              <w:divBdr>
                <w:top w:val="none" w:sz="0" w:space="0" w:color="auto"/>
                <w:left w:val="none" w:sz="0" w:space="0" w:color="auto"/>
                <w:bottom w:val="none" w:sz="0" w:space="0" w:color="auto"/>
                <w:right w:val="none" w:sz="0" w:space="0" w:color="auto"/>
              </w:divBdr>
            </w:div>
            <w:div w:id="2074230820">
              <w:marLeft w:val="0"/>
              <w:marRight w:val="0"/>
              <w:marTop w:val="0"/>
              <w:marBottom w:val="0"/>
              <w:divBdr>
                <w:top w:val="none" w:sz="0" w:space="0" w:color="auto"/>
                <w:left w:val="none" w:sz="0" w:space="0" w:color="auto"/>
                <w:bottom w:val="none" w:sz="0" w:space="0" w:color="auto"/>
                <w:right w:val="none" w:sz="0" w:space="0" w:color="auto"/>
              </w:divBdr>
            </w:div>
          </w:divsChild>
        </w:div>
        <w:div w:id="558589717">
          <w:marLeft w:val="0"/>
          <w:marRight w:val="0"/>
          <w:marTop w:val="0"/>
          <w:marBottom w:val="0"/>
          <w:divBdr>
            <w:top w:val="none" w:sz="0" w:space="0" w:color="auto"/>
            <w:left w:val="none" w:sz="0" w:space="0" w:color="auto"/>
            <w:bottom w:val="none" w:sz="0" w:space="0" w:color="auto"/>
            <w:right w:val="none" w:sz="0" w:space="0" w:color="auto"/>
          </w:divBdr>
        </w:div>
        <w:div w:id="559025552">
          <w:marLeft w:val="0"/>
          <w:marRight w:val="0"/>
          <w:marTop w:val="0"/>
          <w:marBottom w:val="0"/>
          <w:divBdr>
            <w:top w:val="none" w:sz="0" w:space="0" w:color="auto"/>
            <w:left w:val="none" w:sz="0" w:space="0" w:color="auto"/>
            <w:bottom w:val="none" w:sz="0" w:space="0" w:color="auto"/>
            <w:right w:val="none" w:sz="0" w:space="0" w:color="auto"/>
          </w:divBdr>
        </w:div>
        <w:div w:id="568610362">
          <w:marLeft w:val="0"/>
          <w:marRight w:val="0"/>
          <w:marTop w:val="0"/>
          <w:marBottom w:val="0"/>
          <w:divBdr>
            <w:top w:val="none" w:sz="0" w:space="0" w:color="auto"/>
            <w:left w:val="none" w:sz="0" w:space="0" w:color="auto"/>
            <w:bottom w:val="none" w:sz="0" w:space="0" w:color="auto"/>
            <w:right w:val="none" w:sz="0" w:space="0" w:color="auto"/>
          </w:divBdr>
        </w:div>
        <w:div w:id="605117036">
          <w:marLeft w:val="0"/>
          <w:marRight w:val="0"/>
          <w:marTop w:val="0"/>
          <w:marBottom w:val="0"/>
          <w:divBdr>
            <w:top w:val="none" w:sz="0" w:space="0" w:color="auto"/>
            <w:left w:val="none" w:sz="0" w:space="0" w:color="auto"/>
            <w:bottom w:val="none" w:sz="0" w:space="0" w:color="auto"/>
            <w:right w:val="none" w:sz="0" w:space="0" w:color="auto"/>
          </w:divBdr>
          <w:divsChild>
            <w:div w:id="2065249872">
              <w:marLeft w:val="-75"/>
              <w:marRight w:val="0"/>
              <w:marTop w:val="30"/>
              <w:marBottom w:val="30"/>
              <w:divBdr>
                <w:top w:val="none" w:sz="0" w:space="0" w:color="auto"/>
                <w:left w:val="none" w:sz="0" w:space="0" w:color="auto"/>
                <w:bottom w:val="none" w:sz="0" w:space="0" w:color="auto"/>
                <w:right w:val="none" w:sz="0" w:space="0" w:color="auto"/>
              </w:divBdr>
              <w:divsChild>
                <w:div w:id="13506564">
                  <w:marLeft w:val="0"/>
                  <w:marRight w:val="0"/>
                  <w:marTop w:val="0"/>
                  <w:marBottom w:val="0"/>
                  <w:divBdr>
                    <w:top w:val="none" w:sz="0" w:space="0" w:color="auto"/>
                    <w:left w:val="none" w:sz="0" w:space="0" w:color="auto"/>
                    <w:bottom w:val="none" w:sz="0" w:space="0" w:color="auto"/>
                    <w:right w:val="none" w:sz="0" w:space="0" w:color="auto"/>
                  </w:divBdr>
                  <w:divsChild>
                    <w:div w:id="2069331073">
                      <w:marLeft w:val="0"/>
                      <w:marRight w:val="0"/>
                      <w:marTop w:val="0"/>
                      <w:marBottom w:val="0"/>
                      <w:divBdr>
                        <w:top w:val="none" w:sz="0" w:space="0" w:color="auto"/>
                        <w:left w:val="none" w:sz="0" w:space="0" w:color="auto"/>
                        <w:bottom w:val="none" w:sz="0" w:space="0" w:color="auto"/>
                        <w:right w:val="none" w:sz="0" w:space="0" w:color="auto"/>
                      </w:divBdr>
                    </w:div>
                  </w:divsChild>
                </w:div>
                <w:div w:id="14425837">
                  <w:marLeft w:val="0"/>
                  <w:marRight w:val="0"/>
                  <w:marTop w:val="0"/>
                  <w:marBottom w:val="0"/>
                  <w:divBdr>
                    <w:top w:val="none" w:sz="0" w:space="0" w:color="auto"/>
                    <w:left w:val="none" w:sz="0" w:space="0" w:color="auto"/>
                    <w:bottom w:val="none" w:sz="0" w:space="0" w:color="auto"/>
                    <w:right w:val="none" w:sz="0" w:space="0" w:color="auto"/>
                  </w:divBdr>
                  <w:divsChild>
                    <w:div w:id="1289968149">
                      <w:marLeft w:val="0"/>
                      <w:marRight w:val="0"/>
                      <w:marTop w:val="0"/>
                      <w:marBottom w:val="0"/>
                      <w:divBdr>
                        <w:top w:val="none" w:sz="0" w:space="0" w:color="auto"/>
                        <w:left w:val="none" w:sz="0" w:space="0" w:color="auto"/>
                        <w:bottom w:val="none" w:sz="0" w:space="0" w:color="auto"/>
                        <w:right w:val="none" w:sz="0" w:space="0" w:color="auto"/>
                      </w:divBdr>
                    </w:div>
                  </w:divsChild>
                </w:div>
                <w:div w:id="16010609">
                  <w:marLeft w:val="0"/>
                  <w:marRight w:val="0"/>
                  <w:marTop w:val="0"/>
                  <w:marBottom w:val="0"/>
                  <w:divBdr>
                    <w:top w:val="none" w:sz="0" w:space="0" w:color="auto"/>
                    <w:left w:val="none" w:sz="0" w:space="0" w:color="auto"/>
                    <w:bottom w:val="none" w:sz="0" w:space="0" w:color="auto"/>
                    <w:right w:val="none" w:sz="0" w:space="0" w:color="auto"/>
                  </w:divBdr>
                  <w:divsChild>
                    <w:div w:id="1797678627">
                      <w:marLeft w:val="0"/>
                      <w:marRight w:val="0"/>
                      <w:marTop w:val="0"/>
                      <w:marBottom w:val="0"/>
                      <w:divBdr>
                        <w:top w:val="none" w:sz="0" w:space="0" w:color="auto"/>
                        <w:left w:val="none" w:sz="0" w:space="0" w:color="auto"/>
                        <w:bottom w:val="none" w:sz="0" w:space="0" w:color="auto"/>
                        <w:right w:val="none" w:sz="0" w:space="0" w:color="auto"/>
                      </w:divBdr>
                    </w:div>
                  </w:divsChild>
                </w:div>
                <w:div w:id="39594634">
                  <w:marLeft w:val="0"/>
                  <w:marRight w:val="0"/>
                  <w:marTop w:val="0"/>
                  <w:marBottom w:val="0"/>
                  <w:divBdr>
                    <w:top w:val="none" w:sz="0" w:space="0" w:color="auto"/>
                    <w:left w:val="none" w:sz="0" w:space="0" w:color="auto"/>
                    <w:bottom w:val="none" w:sz="0" w:space="0" w:color="auto"/>
                    <w:right w:val="none" w:sz="0" w:space="0" w:color="auto"/>
                  </w:divBdr>
                  <w:divsChild>
                    <w:div w:id="711342251">
                      <w:marLeft w:val="0"/>
                      <w:marRight w:val="0"/>
                      <w:marTop w:val="0"/>
                      <w:marBottom w:val="0"/>
                      <w:divBdr>
                        <w:top w:val="none" w:sz="0" w:space="0" w:color="auto"/>
                        <w:left w:val="none" w:sz="0" w:space="0" w:color="auto"/>
                        <w:bottom w:val="none" w:sz="0" w:space="0" w:color="auto"/>
                        <w:right w:val="none" w:sz="0" w:space="0" w:color="auto"/>
                      </w:divBdr>
                    </w:div>
                  </w:divsChild>
                </w:div>
                <w:div w:id="40399602">
                  <w:marLeft w:val="0"/>
                  <w:marRight w:val="0"/>
                  <w:marTop w:val="0"/>
                  <w:marBottom w:val="0"/>
                  <w:divBdr>
                    <w:top w:val="none" w:sz="0" w:space="0" w:color="auto"/>
                    <w:left w:val="none" w:sz="0" w:space="0" w:color="auto"/>
                    <w:bottom w:val="none" w:sz="0" w:space="0" w:color="auto"/>
                    <w:right w:val="none" w:sz="0" w:space="0" w:color="auto"/>
                  </w:divBdr>
                  <w:divsChild>
                    <w:div w:id="2115051836">
                      <w:marLeft w:val="0"/>
                      <w:marRight w:val="0"/>
                      <w:marTop w:val="0"/>
                      <w:marBottom w:val="0"/>
                      <w:divBdr>
                        <w:top w:val="none" w:sz="0" w:space="0" w:color="auto"/>
                        <w:left w:val="none" w:sz="0" w:space="0" w:color="auto"/>
                        <w:bottom w:val="none" w:sz="0" w:space="0" w:color="auto"/>
                        <w:right w:val="none" w:sz="0" w:space="0" w:color="auto"/>
                      </w:divBdr>
                    </w:div>
                  </w:divsChild>
                </w:div>
                <w:div w:id="40596964">
                  <w:marLeft w:val="0"/>
                  <w:marRight w:val="0"/>
                  <w:marTop w:val="0"/>
                  <w:marBottom w:val="0"/>
                  <w:divBdr>
                    <w:top w:val="none" w:sz="0" w:space="0" w:color="auto"/>
                    <w:left w:val="none" w:sz="0" w:space="0" w:color="auto"/>
                    <w:bottom w:val="none" w:sz="0" w:space="0" w:color="auto"/>
                    <w:right w:val="none" w:sz="0" w:space="0" w:color="auto"/>
                  </w:divBdr>
                  <w:divsChild>
                    <w:div w:id="1049035696">
                      <w:marLeft w:val="0"/>
                      <w:marRight w:val="0"/>
                      <w:marTop w:val="0"/>
                      <w:marBottom w:val="0"/>
                      <w:divBdr>
                        <w:top w:val="none" w:sz="0" w:space="0" w:color="auto"/>
                        <w:left w:val="none" w:sz="0" w:space="0" w:color="auto"/>
                        <w:bottom w:val="none" w:sz="0" w:space="0" w:color="auto"/>
                        <w:right w:val="none" w:sz="0" w:space="0" w:color="auto"/>
                      </w:divBdr>
                    </w:div>
                  </w:divsChild>
                </w:div>
                <w:div w:id="40911894">
                  <w:marLeft w:val="0"/>
                  <w:marRight w:val="0"/>
                  <w:marTop w:val="0"/>
                  <w:marBottom w:val="0"/>
                  <w:divBdr>
                    <w:top w:val="none" w:sz="0" w:space="0" w:color="auto"/>
                    <w:left w:val="none" w:sz="0" w:space="0" w:color="auto"/>
                    <w:bottom w:val="none" w:sz="0" w:space="0" w:color="auto"/>
                    <w:right w:val="none" w:sz="0" w:space="0" w:color="auto"/>
                  </w:divBdr>
                  <w:divsChild>
                    <w:div w:id="951857939">
                      <w:marLeft w:val="0"/>
                      <w:marRight w:val="0"/>
                      <w:marTop w:val="0"/>
                      <w:marBottom w:val="0"/>
                      <w:divBdr>
                        <w:top w:val="none" w:sz="0" w:space="0" w:color="auto"/>
                        <w:left w:val="none" w:sz="0" w:space="0" w:color="auto"/>
                        <w:bottom w:val="none" w:sz="0" w:space="0" w:color="auto"/>
                        <w:right w:val="none" w:sz="0" w:space="0" w:color="auto"/>
                      </w:divBdr>
                    </w:div>
                  </w:divsChild>
                </w:div>
                <w:div w:id="61025317">
                  <w:marLeft w:val="0"/>
                  <w:marRight w:val="0"/>
                  <w:marTop w:val="0"/>
                  <w:marBottom w:val="0"/>
                  <w:divBdr>
                    <w:top w:val="none" w:sz="0" w:space="0" w:color="auto"/>
                    <w:left w:val="none" w:sz="0" w:space="0" w:color="auto"/>
                    <w:bottom w:val="none" w:sz="0" w:space="0" w:color="auto"/>
                    <w:right w:val="none" w:sz="0" w:space="0" w:color="auto"/>
                  </w:divBdr>
                  <w:divsChild>
                    <w:div w:id="1379086987">
                      <w:marLeft w:val="0"/>
                      <w:marRight w:val="0"/>
                      <w:marTop w:val="0"/>
                      <w:marBottom w:val="0"/>
                      <w:divBdr>
                        <w:top w:val="none" w:sz="0" w:space="0" w:color="auto"/>
                        <w:left w:val="none" w:sz="0" w:space="0" w:color="auto"/>
                        <w:bottom w:val="none" w:sz="0" w:space="0" w:color="auto"/>
                        <w:right w:val="none" w:sz="0" w:space="0" w:color="auto"/>
                      </w:divBdr>
                    </w:div>
                  </w:divsChild>
                </w:div>
                <w:div w:id="74517610">
                  <w:marLeft w:val="0"/>
                  <w:marRight w:val="0"/>
                  <w:marTop w:val="0"/>
                  <w:marBottom w:val="0"/>
                  <w:divBdr>
                    <w:top w:val="none" w:sz="0" w:space="0" w:color="auto"/>
                    <w:left w:val="none" w:sz="0" w:space="0" w:color="auto"/>
                    <w:bottom w:val="none" w:sz="0" w:space="0" w:color="auto"/>
                    <w:right w:val="none" w:sz="0" w:space="0" w:color="auto"/>
                  </w:divBdr>
                  <w:divsChild>
                    <w:div w:id="266501519">
                      <w:marLeft w:val="0"/>
                      <w:marRight w:val="0"/>
                      <w:marTop w:val="0"/>
                      <w:marBottom w:val="0"/>
                      <w:divBdr>
                        <w:top w:val="none" w:sz="0" w:space="0" w:color="auto"/>
                        <w:left w:val="none" w:sz="0" w:space="0" w:color="auto"/>
                        <w:bottom w:val="none" w:sz="0" w:space="0" w:color="auto"/>
                        <w:right w:val="none" w:sz="0" w:space="0" w:color="auto"/>
                      </w:divBdr>
                    </w:div>
                  </w:divsChild>
                </w:div>
                <w:div w:id="180124709">
                  <w:marLeft w:val="0"/>
                  <w:marRight w:val="0"/>
                  <w:marTop w:val="0"/>
                  <w:marBottom w:val="0"/>
                  <w:divBdr>
                    <w:top w:val="none" w:sz="0" w:space="0" w:color="auto"/>
                    <w:left w:val="none" w:sz="0" w:space="0" w:color="auto"/>
                    <w:bottom w:val="none" w:sz="0" w:space="0" w:color="auto"/>
                    <w:right w:val="none" w:sz="0" w:space="0" w:color="auto"/>
                  </w:divBdr>
                  <w:divsChild>
                    <w:div w:id="971053762">
                      <w:marLeft w:val="0"/>
                      <w:marRight w:val="0"/>
                      <w:marTop w:val="0"/>
                      <w:marBottom w:val="0"/>
                      <w:divBdr>
                        <w:top w:val="none" w:sz="0" w:space="0" w:color="auto"/>
                        <w:left w:val="none" w:sz="0" w:space="0" w:color="auto"/>
                        <w:bottom w:val="none" w:sz="0" w:space="0" w:color="auto"/>
                        <w:right w:val="none" w:sz="0" w:space="0" w:color="auto"/>
                      </w:divBdr>
                    </w:div>
                  </w:divsChild>
                </w:div>
                <w:div w:id="209074917">
                  <w:marLeft w:val="0"/>
                  <w:marRight w:val="0"/>
                  <w:marTop w:val="0"/>
                  <w:marBottom w:val="0"/>
                  <w:divBdr>
                    <w:top w:val="none" w:sz="0" w:space="0" w:color="auto"/>
                    <w:left w:val="none" w:sz="0" w:space="0" w:color="auto"/>
                    <w:bottom w:val="none" w:sz="0" w:space="0" w:color="auto"/>
                    <w:right w:val="none" w:sz="0" w:space="0" w:color="auto"/>
                  </w:divBdr>
                  <w:divsChild>
                    <w:div w:id="589048258">
                      <w:marLeft w:val="0"/>
                      <w:marRight w:val="0"/>
                      <w:marTop w:val="0"/>
                      <w:marBottom w:val="0"/>
                      <w:divBdr>
                        <w:top w:val="none" w:sz="0" w:space="0" w:color="auto"/>
                        <w:left w:val="none" w:sz="0" w:space="0" w:color="auto"/>
                        <w:bottom w:val="none" w:sz="0" w:space="0" w:color="auto"/>
                        <w:right w:val="none" w:sz="0" w:space="0" w:color="auto"/>
                      </w:divBdr>
                    </w:div>
                  </w:divsChild>
                </w:div>
                <w:div w:id="218054365">
                  <w:marLeft w:val="0"/>
                  <w:marRight w:val="0"/>
                  <w:marTop w:val="0"/>
                  <w:marBottom w:val="0"/>
                  <w:divBdr>
                    <w:top w:val="none" w:sz="0" w:space="0" w:color="auto"/>
                    <w:left w:val="none" w:sz="0" w:space="0" w:color="auto"/>
                    <w:bottom w:val="none" w:sz="0" w:space="0" w:color="auto"/>
                    <w:right w:val="none" w:sz="0" w:space="0" w:color="auto"/>
                  </w:divBdr>
                  <w:divsChild>
                    <w:div w:id="172578315">
                      <w:marLeft w:val="0"/>
                      <w:marRight w:val="0"/>
                      <w:marTop w:val="0"/>
                      <w:marBottom w:val="0"/>
                      <w:divBdr>
                        <w:top w:val="none" w:sz="0" w:space="0" w:color="auto"/>
                        <w:left w:val="none" w:sz="0" w:space="0" w:color="auto"/>
                        <w:bottom w:val="none" w:sz="0" w:space="0" w:color="auto"/>
                        <w:right w:val="none" w:sz="0" w:space="0" w:color="auto"/>
                      </w:divBdr>
                    </w:div>
                  </w:divsChild>
                </w:div>
                <w:div w:id="222328216">
                  <w:marLeft w:val="0"/>
                  <w:marRight w:val="0"/>
                  <w:marTop w:val="0"/>
                  <w:marBottom w:val="0"/>
                  <w:divBdr>
                    <w:top w:val="none" w:sz="0" w:space="0" w:color="auto"/>
                    <w:left w:val="none" w:sz="0" w:space="0" w:color="auto"/>
                    <w:bottom w:val="none" w:sz="0" w:space="0" w:color="auto"/>
                    <w:right w:val="none" w:sz="0" w:space="0" w:color="auto"/>
                  </w:divBdr>
                  <w:divsChild>
                    <w:div w:id="695499011">
                      <w:marLeft w:val="0"/>
                      <w:marRight w:val="0"/>
                      <w:marTop w:val="0"/>
                      <w:marBottom w:val="0"/>
                      <w:divBdr>
                        <w:top w:val="none" w:sz="0" w:space="0" w:color="auto"/>
                        <w:left w:val="none" w:sz="0" w:space="0" w:color="auto"/>
                        <w:bottom w:val="none" w:sz="0" w:space="0" w:color="auto"/>
                        <w:right w:val="none" w:sz="0" w:space="0" w:color="auto"/>
                      </w:divBdr>
                    </w:div>
                  </w:divsChild>
                </w:div>
                <w:div w:id="241305059">
                  <w:marLeft w:val="0"/>
                  <w:marRight w:val="0"/>
                  <w:marTop w:val="0"/>
                  <w:marBottom w:val="0"/>
                  <w:divBdr>
                    <w:top w:val="none" w:sz="0" w:space="0" w:color="auto"/>
                    <w:left w:val="none" w:sz="0" w:space="0" w:color="auto"/>
                    <w:bottom w:val="none" w:sz="0" w:space="0" w:color="auto"/>
                    <w:right w:val="none" w:sz="0" w:space="0" w:color="auto"/>
                  </w:divBdr>
                  <w:divsChild>
                    <w:div w:id="2023971563">
                      <w:marLeft w:val="0"/>
                      <w:marRight w:val="0"/>
                      <w:marTop w:val="0"/>
                      <w:marBottom w:val="0"/>
                      <w:divBdr>
                        <w:top w:val="none" w:sz="0" w:space="0" w:color="auto"/>
                        <w:left w:val="none" w:sz="0" w:space="0" w:color="auto"/>
                        <w:bottom w:val="none" w:sz="0" w:space="0" w:color="auto"/>
                        <w:right w:val="none" w:sz="0" w:space="0" w:color="auto"/>
                      </w:divBdr>
                    </w:div>
                  </w:divsChild>
                </w:div>
                <w:div w:id="306784197">
                  <w:marLeft w:val="0"/>
                  <w:marRight w:val="0"/>
                  <w:marTop w:val="0"/>
                  <w:marBottom w:val="0"/>
                  <w:divBdr>
                    <w:top w:val="none" w:sz="0" w:space="0" w:color="auto"/>
                    <w:left w:val="none" w:sz="0" w:space="0" w:color="auto"/>
                    <w:bottom w:val="none" w:sz="0" w:space="0" w:color="auto"/>
                    <w:right w:val="none" w:sz="0" w:space="0" w:color="auto"/>
                  </w:divBdr>
                  <w:divsChild>
                    <w:div w:id="1734155183">
                      <w:marLeft w:val="0"/>
                      <w:marRight w:val="0"/>
                      <w:marTop w:val="0"/>
                      <w:marBottom w:val="0"/>
                      <w:divBdr>
                        <w:top w:val="none" w:sz="0" w:space="0" w:color="auto"/>
                        <w:left w:val="none" w:sz="0" w:space="0" w:color="auto"/>
                        <w:bottom w:val="none" w:sz="0" w:space="0" w:color="auto"/>
                        <w:right w:val="none" w:sz="0" w:space="0" w:color="auto"/>
                      </w:divBdr>
                    </w:div>
                  </w:divsChild>
                </w:div>
                <w:div w:id="336078320">
                  <w:marLeft w:val="0"/>
                  <w:marRight w:val="0"/>
                  <w:marTop w:val="0"/>
                  <w:marBottom w:val="0"/>
                  <w:divBdr>
                    <w:top w:val="none" w:sz="0" w:space="0" w:color="auto"/>
                    <w:left w:val="none" w:sz="0" w:space="0" w:color="auto"/>
                    <w:bottom w:val="none" w:sz="0" w:space="0" w:color="auto"/>
                    <w:right w:val="none" w:sz="0" w:space="0" w:color="auto"/>
                  </w:divBdr>
                  <w:divsChild>
                    <w:div w:id="1356879398">
                      <w:marLeft w:val="0"/>
                      <w:marRight w:val="0"/>
                      <w:marTop w:val="0"/>
                      <w:marBottom w:val="0"/>
                      <w:divBdr>
                        <w:top w:val="none" w:sz="0" w:space="0" w:color="auto"/>
                        <w:left w:val="none" w:sz="0" w:space="0" w:color="auto"/>
                        <w:bottom w:val="none" w:sz="0" w:space="0" w:color="auto"/>
                        <w:right w:val="none" w:sz="0" w:space="0" w:color="auto"/>
                      </w:divBdr>
                    </w:div>
                  </w:divsChild>
                </w:div>
                <w:div w:id="341933022">
                  <w:marLeft w:val="0"/>
                  <w:marRight w:val="0"/>
                  <w:marTop w:val="0"/>
                  <w:marBottom w:val="0"/>
                  <w:divBdr>
                    <w:top w:val="none" w:sz="0" w:space="0" w:color="auto"/>
                    <w:left w:val="none" w:sz="0" w:space="0" w:color="auto"/>
                    <w:bottom w:val="none" w:sz="0" w:space="0" w:color="auto"/>
                    <w:right w:val="none" w:sz="0" w:space="0" w:color="auto"/>
                  </w:divBdr>
                  <w:divsChild>
                    <w:div w:id="1369181542">
                      <w:marLeft w:val="0"/>
                      <w:marRight w:val="0"/>
                      <w:marTop w:val="0"/>
                      <w:marBottom w:val="0"/>
                      <w:divBdr>
                        <w:top w:val="none" w:sz="0" w:space="0" w:color="auto"/>
                        <w:left w:val="none" w:sz="0" w:space="0" w:color="auto"/>
                        <w:bottom w:val="none" w:sz="0" w:space="0" w:color="auto"/>
                        <w:right w:val="none" w:sz="0" w:space="0" w:color="auto"/>
                      </w:divBdr>
                    </w:div>
                  </w:divsChild>
                </w:div>
                <w:div w:id="356661903">
                  <w:marLeft w:val="0"/>
                  <w:marRight w:val="0"/>
                  <w:marTop w:val="0"/>
                  <w:marBottom w:val="0"/>
                  <w:divBdr>
                    <w:top w:val="none" w:sz="0" w:space="0" w:color="auto"/>
                    <w:left w:val="none" w:sz="0" w:space="0" w:color="auto"/>
                    <w:bottom w:val="none" w:sz="0" w:space="0" w:color="auto"/>
                    <w:right w:val="none" w:sz="0" w:space="0" w:color="auto"/>
                  </w:divBdr>
                  <w:divsChild>
                    <w:div w:id="1681156504">
                      <w:marLeft w:val="0"/>
                      <w:marRight w:val="0"/>
                      <w:marTop w:val="0"/>
                      <w:marBottom w:val="0"/>
                      <w:divBdr>
                        <w:top w:val="none" w:sz="0" w:space="0" w:color="auto"/>
                        <w:left w:val="none" w:sz="0" w:space="0" w:color="auto"/>
                        <w:bottom w:val="none" w:sz="0" w:space="0" w:color="auto"/>
                        <w:right w:val="none" w:sz="0" w:space="0" w:color="auto"/>
                      </w:divBdr>
                    </w:div>
                  </w:divsChild>
                </w:div>
                <w:div w:id="362093818">
                  <w:marLeft w:val="0"/>
                  <w:marRight w:val="0"/>
                  <w:marTop w:val="0"/>
                  <w:marBottom w:val="0"/>
                  <w:divBdr>
                    <w:top w:val="none" w:sz="0" w:space="0" w:color="auto"/>
                    <w:left w:val="none" w:sz="0" w:space="0" w:color="auto"/>
                    <w:bottom w:val="none" w:sz="0" w:space="0" w:color="auto"/>
                    <w:right w:val="none" w:sz="0" w:space="0" w:color="auto"/>
                  </w:divBdr>
                  <w:divsChild>
                    <w:div w:id="2111705193">
                      <w:marLeft w:val="0"/>
                      <w:marRight w:val="0"/>
                      <w:marTop w:val="0"/>
                      <w:marBottom w:val="0"/>
                      <w:divBdr>
                        <w:top w:val="none" w:sz="0" w:space="0" w:color="auto"/>
                        <w:left w:val="none" w:sz="0" w:space="0" w:color="auto"/>
                        <w:bottom w:val="none" w:sz="0" w:space="0" w:color="auto"/>
                        <w:right w:val="none" w:sz="0" w:space="0" w:color="auto"/>
                      </w:divBdr>
                    </w:div>
                  </w:divsChild>
                </w:div>
                <w:div w:id="371155591">
                  <w:marLeft w:val="0"/>
                  <w:marRight w:val="0"/>
                  <w:marTop w:val="0"/>
                  <w:marBottom w:val="0"/>
                  <w:divBdr>
                    <w:top w:val="none" w:sz="0" w:space="0" w:color="auto"/>
                    <w:left w:val="none" w:sz="0" w:space="0" w:color="auto"/>
                    <w:bottom w:val="none" w:sz="0" w:space="0" w:color="auto"/>
                    <w:right w:val="none" w:sz="0" w:space="0" w:color="auto"/>
                  </w:divBdr>
                  <w:divsChild>
                    <w:div w:id="1419134428">
                      <w:marLeft w:val="0"/>
                      <w:marRight w:val="0"/>
                      <w:marTop w:val="0"/>
                      <w:marBottom w:val="0"/>
                      <w:divBdr>
                        <w:top w:val="none" w:sz="0" w:space="0" w:color="auto"/>
                        <w:left w:val="none" w:sz="0" w:space="0" w:color="auto"/>
                        <w:bottom w:val="none" w:sz="0" w:space="0" w:color="auto"/>
                        <w:right w:val="none" w:sz="0" w:space="0" w:color="auto"/>
                      </w:divBdr>
                    </w:div>
                  </w:divsChild>
                </w:div>
                <w:div w:id="383024431">
                  <w:marLeft w:val="0"/>
                  <w:marRight w:val="0"/>
                  <w:marTop w:val="0"/>
                  <w:marBottom w:val="0"/>
                  <w:divBdr>
                    <w:top w:val="none" w:sz="0" w:space="0" w:color="auto"/>
                    <w:left w:val="none" w:sz="0" w:space="0" w:color="auto"/>
                    <w:bottom w:val="none" w:sz="0" w:space="0" w:color="auto"/>
                    <w:right w:val="none" w:sz="0" w:space="0" w:color="auto"/>
                  </w:divBdr>
                  <w:divsChild>
                    <w:div w:id="1343045800">
                      <w:marLeft w:val="0"/>
                      <w:marRight w:val="0"/>
                      <w:marTop w:val="0"/>
                      <w:marBottom w:val="0"/>
                      <w:divBdr>
                        <w:top w:val="none" w:sz="0" w:space="0" w:color="auto"/>
                        <w:left w:val="none" w:sz="0" w:space="0" w:color="auto"/>
                        <w:bottom w:val="none" w:sz="0" w:space="0" w:color="auto"/>
                        <w:right w:val="none" w:sz="0" w:space="0" w:color="auto"/>
                      </w:divBdr>
                    </w:div>
                  </w:divsChild>
                </w:div>
                <w:div w:id="404301506">
                  <w:marLeft w:val="0"/>
                  <w:marRight w:val="0"/>
                  <w:marTop w:val="0"/>
                  <w:marBottom w:val="0"/>
                  <w:divBdr>
                    <w:top w:val="none" w:sz="0" w:space="0" w:color="auto"/>
                    <w:left w:val="none" w:sz="0" w:space="0" w:color="auto"/>
                    <w:bottom w:val="none" w:sz="0" w:space="0" w:color="auto"/>
                    <w:right w:val="none" w:sz="0" w:space="0" w:color="auto"/>
                  </w:divBdr>
                  <w:divsChild>
                    <w:div w:id="1104227558">
                      <w:marLeft w:val="0"/>
                      <w:marRight w:val="0"/>
                      <w:marTop w:val="0"/>
                      <w:marBottom w:val="0"/>
                      <w:divBdr>
                        <w:top w:val="none" w:sz="0" w:space="0" w:color="auto"/>
                        <w:left w:val="none" w:sz="0" w:space="0" w:color="auto"/>
                        <w:bottom w:val="none" w:sz="0" w:space="0" w:color="auto"/>
                        <w:right w:val="none" w:sz="0" w:space="0" w:color="auto"/>
                      </w:divBdr>
                    </w:div>
                  </w:divsChild>
                </w:div>
                <w:div w:id="407731111">
                  <w:marLeft w:val="0"/>
                  <w:marRight w:val="0"/>
                  <w:marTop w:val="0"/>
                  <w:marBottom w:val="0"/>
                  <w:divBdr>
                    <w:top w:val="none" w:sz="0" w:space="0" w:color="auto"/>
                    <w:left w:val="none" w:sz="0" w:space="0" w:color="auto"/>
                    <w:bottom w:val="none" w:sz="0" w:space="0" w:color="auto"/>
                    <w:right w:val="none" w:sz="0" w:space="0" w:color="auto"/>
                  </w:divBdr>
                  <w:divsChild>
                    <w:div w:id="1759907661">
                      <w:marLeft w:val="0"/>
                      <w:marRight w:val="0"/>
                      <w:marTop w:val="0"/>
                      <w:marBottom w:val="0"/>
                      <w:divBdr>
                        <w:top w:val="none" w:sz="0" w:space="0" w:color="auto"/>
                        <w:left w:val="none" w:sz="0" w:space="0" w:color="auto"/>
                        <w:bottom w:val="none" w:sz="0" w:space="0" w:color="auto"/>
                        <w:right w:val="none" w:sz="0" w:space="0" w:color="auto"/>
                      </w:divBdr>
                    </w:div>
                  </w:divsChild>
                </w:div>
                <w:div w:id="419181017">
                  <w:marLeft w:val="0"/>
                  <w:marRight w:val="0"/>
                  <w:marTop w:val="0"/>
                  <w:marBottom w:val="0"/>
                  <w:divBdr>
                    <w:top w:val="none" w:sz="0" w:space="0" w:color="auto"/>
                    <w:left w:val="none" w:sz="0" w:space="0" w:color="auto"/>
                    <w:bottom w:val="none" w:sz="0" w:space="0" w:color="auto"/>
                    <w:right w:val="none" w:sz="0" w:space="0" w:color="auto"/>
                  </w:divBdr>
                  <w:divsChild>
                    <w:div w:id="1943296460">
                      <w:marLeft w:val="0"/>
                      <w:marRight w:val="0"/>
                      <w:marTop w:val="0"/>
                      <w:marBottom w:val="0"/>
                      <w:divBdr>
                        <w:top w:val="none" w:sz="0" w:space="0" w:color="auto"/>
                        <w:left w:val="none" w:sz="0" w:space="0" w:color="auto"/>
                        <w:bottom w:val="none" w:sz="0" w:space="0" w:color="auto"/>
                        <w:right w:val="none" w:sz="0" w:space="0" w:color="auto"/>
                      </w:divBdr>
                    </w:div>
                  </w:divsChild>
                </w:div>
                <w:div w:id="448092180">
                  <w:marLeft w:val="0"/>
                  <w:marRight w:val="0"/>
                  <w:marTop w:val="0"/>
                  <w:marBottom w:val="0"/>
                  <w:divBdr>
                    <w:top w:val="none" w:sz="0" w:space="0" w:color="auto"/>
                    <w:left w:val="none" w:sz="0" w:space="0" w:color="auto"/>
                    <w:bottom w:val="none" w:sz="0" w:space="0" w:color="auto"/>
                    <w:right w:val="none" w:sz="0" w:space="0" w:color="auto"/>
                  </w:divBdr>
                  <w:divsChild>
                    <w:div w:id="1104882795">
                      <w:marLeft w:val="0"/>
                      <w:marRight w:val="0"/>
                      <w:marTop w:val="0"/>
                      <w:marBottom w:val="0"/>
                      <w:divBdr>
                        <w:top w:val="none" w:sz="0" w:space="0" w:color="auto"/>
                        <w:left w:val="none" w:sz="0" w:space="0" w:color="auto"/>
                        <w:bottom w:val="none" w:sz="0" w:space="0" w:color="auto"/>
                        <w:right w:val="none" w:sz="0" w:space="0" w:color="auto"/>
                      </w:divBdr>
                    </w:div>
                  </w:divsChild>
                </w:div>
                <w:div w:id="520776624">
                  <w:marLeft w:val="0"/>
                  <w:marRight w:val="0"/>
                  <w:marTop w:val="0"/>
                  <w:marBottom w:val="0"/>
                  <w:divBdr>
                    <w:top w:val="none" w:sz="0" w:space="0" w:color="auto"/>
                    <w:left w:val="none" w:sz="0" w:space="0" w:color="auto"/>
                    <w:bottom w:val="none" w:sz="0" w:space="0" w:color="auto"/>
                    <w:right w:val="none" w:sz="0" w:space="0" w:color="auto"/>
                  </w:divBdr>
                  <w:divsChild>
                    <w:div w:id="1868760575">
                      <w:marLeft w:val="0"/>
                      <w:marRight w:val="0"/>
                      <w:marTop w:val="0"/>
                      <w:marBottom w:val="0"/>
                      <w:divBdr>
                        <w:top w:val="none" w:sz="0" w:space="0" w:color="auto"/>
                        <w:left w:val="none" w:sz="0" w:space="0" w:color="auto"/>
                        <w:bottom w:val="none" w:sz="0" w:space="0" w:color="auto"/>
                        <w:right w:val="none" w:sz="0" w:space="0" w:color="auto"/>
                      </w:divBdr>
                    </w:div>
                  </w:divsChild>
                </w:div>
                <w:div w:id="541208815">
                  <w:marLeft w:val="0"/>
                  <w:marRight w:val="0"/>
                  <w:marTop w:val="0"/>
                  <w:marBottom w:val="0"/>
                  <w:divBdr>
                    <w:top w:val="none" w:sz="0" w:space="0" w:color="auto"/>
                    <w:left w:val="none" w:sz="0" w:space="0" w:color="auto"/>
                    <w:bottom w:val="none" w:sz="0" w:space="0" w:color="auto"/>
                    <w:right w:val="none" w:sz="0" w:space="0" w:color="auto"/>
                  </w:divBdr>
                  <w:divsChild>
                    <w:div w:id="1774936545">
                      <w:marLeft w:val="0"/>
                      <w:marRight w:val="0"/>
                      <w:marTop w:val="0"/>
                      <w:marBottom w:val="0"/>
                      <w:divBdr>
                        <w:top w:val="none" w:sz="0" w:space="0" w:color="auto"/>
                        <w:left w:val="none" w:sz="0" w:space="0" w:color="auto"/>
                        <w:bottom w:val="none" w:sz="0" w:space="0" w:color="auto"/>
                        <w:right w:val="none" w:sz="0" w:space="0" w:color="auto"/>
                      </w:divBdr>
                    </w:div>
                  </w:divsChild>
                </w:div>
                <w:div w:id="556477195">
                  <w:marLeft w:val="0"/>
                  <w:marRight w:val="0"/>
                  <w:marTop w:val="0"/>
                  <w:marBottom w:val="0"/>
                  <w:divBdr>
                    <w:top w:val="none" w:sz="0" w:space="0" w:color="auto"/>
                    <w:left w:val="none" w:sz="0" w:space="0" w:color="auto"/>
                    <w:bottom w:val="none" w:sz="0" w:space="0" w:color="auto"/>
                    <w:right w:val="none" w:sz="0" w:space="0" w:color="auto"/>
                  </w:divBdr>
                  <w:divsChild>
                    <w:div w:id="1323463782">
                      <w:marLeft w:val="0"/>
                      <w:marRight w:val="0"/>
                      <w:marTop w:val="0"/>
                      <w:marBottom w:val="0"/>
                      <w:divBdr>
                        <w:top w:val="none" w:sz="0" w:space="0" w:color="auto"/>
                        <w:left w:val="none" w:sz="0" w:space="0" w:color="auto"/>
                        <w:bottom w:val="none" w:sz="0" w:space="0" w:color="auto"/>
                        <w:right w:val="none" w:sz="0" w:space="0" w:color="auto"/>
                      </w:divBdr>
                    </w:div>
                  </w:divsChild>
                </w:div>
                <w:div w:id="574240561">
                  <w:marLeft w:val="0"/>
                  <w:marRight w:val="0"/>
                  <w:marTop w:val="0"/>
                  <w:marBottom w:val="0"/>
                  <w:divBdr>
                    <w:top w:val="none" w:sz="0" w:space="0" w:color="auto"/>
                    <w:left w:val="none" w:sz="0" w:space="0" w:color="auto"/>
                    <w:bottom w:val="none" w:sz="0" w:space="0" w:color="auto"/>
                    <w:right w:val="none" w:sz="0" w:space="0" w:color="auto"/>
                  </w:divBdr>
                  <w:divsChild>
                    <w:div w:id="1693384858">
                      <w:marLeft w:val="0"/>
                      <w:marRight w:val="0"/>
                      <w:marTop w:val="0"/>
                      <w:marBottom w:val="0"/>
                      <w:divBdr>
                        <w:top w:val="none" w:sz="0" w:space="0" w:color="auto"/>
                        <w:left w:val="none" w:sz="0" w:space="0" w:color="auto"/>
                        <w:bottom w:val="none" w:sz="0" w:space="0" w:color="auto"/>
                        <w:right w:val="none" w:sz="0" w:space="0" w:color="auto"/>
                      </w:divBdr>
                    </w:div>
                  </w:divsChild>
                </w:div>
                <w:div w:id="587344777">
                  <w:marLeft w:val="0"/>
                  <w:marRight w:val="0"/>
                  <w:marTop w:val="0"/>
                  <w:marBottom w:val="0"/>
                  <w:divBdr>
                    <w:top w:val="none" w:sz="0" w:space="0" w:color="auto"/>
                    <w:left w:val="none" w:sz="0" w:space="0" w:color="auto"/>
                    <w:bottom w:val="none" w:sz="0" w:space="0" w:color="auto"/>
                    <w:right w:val="none" w:sz="0" w:space="0" w:color="auto"/>
                  </w:divBdr>
                  <w:divsChild>
                    <w:div w:id="903296842">
                      <w:marLeft w:val="0"/>
                      <w:marRight w:val="0"/>
                      <w:marTop w:val="0"/>
                      <w:marBottom w:val="0"/>
                      <w:divBdr>
                        <w:top w:val="none" w:sz="0" w:space="0" w:color="auto"/>
                        <w:left w:val="none" w:sz="0" w:space="0" w:color="auto"/>
                        <w:bottom w:val="none" w:sz="0" w:space="0" w:color="auto"/>
                        <w:right w:val="none" w:sz="0" w:space="0" w:color="auto"/>
                      </w:divBdr>
                    </w:div>
                  </w:divsChild>
                </w:div>
                <w:div w:id="604964921">
                  <w:marLeft w:val="0"/>
                  <w:marRight w:val="0"/>
                  <w:marTop w:val="0"/>
                  <w:marBottom w:val="0"/>
                  <w:divBdr>
                    <w:top w:val="none" w:sz="0" w:space="0" w:color="auto"/>
                    <w:left w:val="none" w:sz="0" w:space="0" w:color="auto"/>
                    <w:bottom w:val="none" w:sz="0" w:space="0" w:color="auto"/>
                    <w:right w:val="none" w:sz="0" w:space="0" w:color="auto"/>
                  </w:divBdr>
                  <w:divsChild>
                    <w:div w:id="1600869983">
                      <w:marLeft w:val="0"/>
                      <w:marRight w:val="0"/>
                      <w:marTop w:val="0"/>
                      <w:marBottom w:val="0"/>
                      <w:divBdr>
                        <w:top w:val="none" w:sz="0" w:space="0" w:color="auto"/>
                        <w:left w:val="none" w:sz="0" w:space="0" w:color="auto"/>
                        <w:bottom w:val="none" w:sz="0" w:space="0" w:color="auto"/>
                        <w:right w:val="none" w:sz="0" w:space="0" w:color="auto"/>
                      </w:divBdr>
                    </w:div>
                  </w:divsChild>
                </w:div>
                <w:div w:id="651644086">
                  <w:marLeft w:val="0"/>
                  <w:marRight w:val="0"/>
                  <w:marTop w:val="0"/>
                  <w:marBottom w:val="0"/>
                  <w:divBdr>
                    <w:top w:val="none" w:sz="0" w:space="0" w:color="auto"/>
                    <w:left w:val="none" w:sz="0" w:space="0" w:color="auto"/>
                    <w:bottom w:val="none" w:sz="0" w:space="0" w:color="auto"/>
                    <w:right w:val="none" w:sz="0" w:space="0" w:color="auto"/>
                  </w:divBdr>
                  <w:divsChild>
                    <w:div w:id="1341657660">
                      <w:marLeft w:val="0"/>
                      <w:marRight w:val="0"/>
                      <w:marTop w:val="0"/>
                      <w:marBottom w:val="0"/>
                      <w:divBdr>
                        <w:top w:val="none" w:sz="0" w:space="0" w:color="auto"/>
                        <w:left w:val="none" w:sz="0" w:space="0" w:color="auto"/>
                        <w:bottom w:val="none" w:sz="0" w:space="0" w:color="auto"/>
                        <w:right w:val="none" w:sz="0" w:space="0" w:color="auto"/>
                      </w:divBdr>
                    </w:div>
                  </w:divsChild>
                </w:div>
                <w:div w:id="653340505">
                  <w:marLeft w:val="0"/>
                  <w:marRight w:val="0"/>
                  <w:marTop w:val="0"/>
                  <w:marBottom w:val="0"/>
                  <w:divBdr>
                    <w:top w:val="none" w:sz="0" w:space="0" w:color="auto"/>
                    <w:left w:val="none" w:sz="0" w:space="0" w:color="auto"/>
                    <w:bottom w:val="none" w:sz="0" w:space="0" w:color="auto"/>
                    <w:right w:val="none" w:sz="0" w:space="0" w:color="auto"/>
                  </w:divBdr>
                  <w:divsChild>
                    <w:div w:id="233124892">
                      <w:marLeft w:val="0"/>
                      <w:marRight w:val="0"/>
                      <w:marTop w:val="0"/>
                      <w:marBottom w:val="0"/>
                      <w:divBdr>
                        <w:top w:val="none" w:sz="0" w:space="0" w:color="auto"/>
                        <w:left w:val="none" w:sz="0" w:space="0" w:color="auto"/>
                        <w:bottom w:val="none" w:sz="0" w:space="0" w:color="auto"/>
                        <w:right w:val="none" w:sz="0" w:space="0" w:color="auto"/>
                      </w:divBdr>
                    </w:div>
                  </w:divsChild>
                </w:div>
                <w:div w:id="663437363">
                  <w:marLeft w:val="0"/>
                  <w:marRight w:val="0"/>
                  <w:marTop w:val="0"/>
                  <w:marBottom w:val="0"/>
                  <w:divBdr>
                    <w:top w:val="none" w:sz="0" w:space="0" w:color="auto"/>
                    <w:left w:val="none" w:sz="0" w:space="0" w:color="auto"/>
                    <w:bottom w:val="none" w:sz="0" w:space="0" w:color="auto"/>
                    <w:right w:val="none" w:sz="0" w:space="0" w:color="auto"/>
                  </w:divBdr>
                  <w:divsChild>
                    <w:div w:id="1761097729">
                      <w:marLeft w:val="0"/>
                      <w:marRight w:val="0"/>
                      <w:marTop w:val="0"/>
                      <w:marBottom w:val="0"/>
                      <w:divBdr>
                        <w:top w:val="none" w:sz="0" w:space="0" w:color="auto"/>
                        <w:left w:val="none" w:sz="0" w:space="0" w:color="auto"/>
                        <w:bottom w:val="none" w:sz="0" w:space="0" w:color="auto"/>
                        <w:right w:val="none" w:sz="0" w:space="0" w:color="auto"/>
                      </w:divBdr>
                    </w:div>
                  </w:divsChild>
                </w:div>
                <w:div w:id="746995372">
                  <w:marLeft w:val="0"/>
                  <w:marRight w:val="0"/>
                  <w:marTop w:val="0"/>
                  <w:marBottom w:val="0"/>
                  <w:divBdr>
                    <w:top w:val="none" w:sz="0" w:space="0" w:color="auto"/>
                    <w:left w:val="none" w:sz="0" w:space="0" w:color="auto"/>
                    <w:bottom w:val="none" w:sz="0" w:space="0" w:color="auto"/>
                    <w:right w:val="none" w:sz="0" w:space="0" w:color="auto"/>
                  </w:divBdr>
                  <w:divsChild>
                    <w:div w:id="284770706">
                      <w:marLeft w:val="0"/>
                      <w:marRight w:val="0"/>
                      <w:marTop w:val="0"/>
                      <w:marBottom w:val="0"/>
                      <w:divBdr>
                        <w:top w:val="none" w:sz="0" w:space="0" w:color="auto"/>
                        <w:left w:val="none" w:sz="0" w:space="0" w:color="auto"/>
                        <w:bottom w:val="none" w:sz="0" w:space="0" w:color="auto"/>
                        <w:right w:val="none" w:sz="0" w:space="0" w:color="auto"/>
                      </w:divBdr>
                    </w:div>
                  </w:divsChild>
                </w:div>
                <w:div w:id="816805499">
                  <w:marLeft w:val="0"/>
                  <w:marRight w:val="0"/>
                  <w:marTop w:val="0"/>
                  <w:marBottom w:val="0"/>
                  <w:divBdr>
                    <w:top w:val="none" w:sz="0" w:space="0" w:color="auto"/>
                    <w:left w:val="none" w:sz="0" w:space="0" w:color="auto"/>
                    <w:bottom w:val="none" w:sz="0" w:space="0" w:color="auto"/>
                    <w:right w:val="none" w:sz="0" w:space="0" w:color="auto"/>
                  </w:divBdr>
                  <w:divsChild>
                    <w:div w:id="1442722731">
                      <w:marLeft w:val="0"/>
                      <w:marRight w:val="0"/>
                      <w:marTop w:val="0"/>
                      <w:marBottom w:val="0"/>
                      <w:divBdr>
                        <w:top w:val="none" w:sz="0" w:space="0" w:color="auto"/>
                        <w:left w:val="none" w:sz="0" w:space="0" w:color="auto"/>
                        <w:bottom w:val="none" w:sz="0" w:space="0" w:color="auto"/>
                        <w:right w:val="none" w:sz="0" w:space="0" w:color="auto"/>
                      </w:divBdr>
                    </w:div>
                  </w:divsChild>
                </w:div>
                <w:div w:id="832842421">
                  <w:marLeft w:val="0"/>
                  <w:marRight w:val="0"/>
                  <w:marTop w:val="0"/>
                  <w:marBottom w:val="0"/>
                  <w:divBdr>
                    <w:top w:val="none" w:sz="0" w:space="0" w:color="auto"/>
                    <w:left w:val="none" w:sz="0" w:space="0" w:color="auto"/>
                    <w:bottom w:val="none" w:sz="0" w:space="0" w:color="auto"/>
                    <w:right w:val="none" w:sz="0" w:space="0" w:color="auto"/>
                  </w:divBdr>
                  <w:divsChild>
                    <w:div w:id="810175728">
                      <w:marLeft w:val="0"/>
                      <w:marRight w:val="0"/>
                      <w:marTop w:val="0"/>
                      <w:marBottom w:val="0"/>
                      <w:divBdr>
                        <w:top w:val="none" w:sz="0" w:space="0" w:color="auto"/>
                        <w:left w:val="none" w:sz="0" w:space="0" w:color="auto"/>
                        <w:bottom w:val="none" w:sz="0" w:space="0" w:color="auto"/>
                        <w:right w:val="none" w:sz="0" w:space="0" w:color="auto"/>
                      </w:divBdr>
                    </w:div>
                  </w:divsChild>
                </w:div>
                <w:div w:id="866328665">
                  <w:marLeft w:val="0"/>
                  <w:marRight w:val="0"/>
                  <w:marTop w:val="0"/>
                  <w:marBottom w:val="0"/>
                  <w:divBdr>
                    <w:top w:val="none" w:sz="0" w:space="0" w:color="auto"/>
                    <w:left w:val="none" w:sz="0" w:space="0" w:color="auto"/>
                    <w:bottom w:val="none" w:sz="0" w:space="0" w:color="auto"/>
                    <w:right w:val="none" w:sz="0" w:space="0" w:color="auto"/>
                  </w:divBdr>
                  <w:divsChild>
                    <w:div w:id="1307125287">
                      <w:marLeft w:val="0"/>
                      <w:marRight w:val="0"/>
                      <w:marTop w:val="0"/>
                      <w:marBottom w:val="0"/>
                      <w:divBdr>
                        <w:top w:val="none" w:sz="0" w:space="0" w:color="auto"/>
                        <w:left w:val="none" w:sz="0" w:space="0" w:color="auto"/>
                        <w:bottom w:val="none" w:sz="0" w:space="0" w:color="auto"/>
                        <w:right w:val="none" w:sz="0" w:space="0" w:color="auto"/>
                      </w:divBdr>
                    </w:div>
                  </w:divsChild>
                </w:div>
                <w:div w:id="868106072">
                  <w:marLeft w:val="0"/>
                  <w:marRight w:val="0"/>
                  <w:marTop w:val="0"/>
                  <w:marBottom w:val="0"/>
                  <w:divBdr>
                    <w:top w:val="none" w:sz="0" w:space="0" w:color="auto"/>
                    <w:left w:val="none" w:sz="0" w:space="0" w:color="auto"/>
                    <w:bottom w:val="none" w:sz="0" w:space="0" w:color="auto"/>
                    <w:right w:val="none" w:sz="0" w:space="0" w:color="auto"/>
                  </w:divBdr>
                  <w:divsChild>
                    <w:div w:id="909340594">
                      <w:marLeft w:val="0"/>
                      <w:marRight w:val="0"/>
                      <w:marTop w:val="0"/>
                      <w:marBottom w:val="0"/>
                      <w:divBdr>
                        <w:top w:val="none" w:sz="0" w:space="0" w:color="auto"/>
                        <w:left w:val="none" w:sz="0" w:space="0" w:color="auto"/>
                        <w:bottom w:val="none" w:sz="0" w:space="0" w:color="auto"/>
                        <w:right w:val="none" w:sz="0" w:space="0" w:color="auto"/>
                      </w:divBdr>
                    </w:div>
                  </w:divsChild>
                </w:div>
                <w:div w:id="950014589">
                  <w:marLeft w:val="0"/>
                  <w:marRight w:val="0"/>
                  <w:marTop w:val="0"/>
                  <w:marBottom w:val="0"/>
                  <w:divBdr>
                    <w:top w:val="none" w:sz="0" w:space="0" w:color="auto"/>
                    <w:left w:val="none" w:sz="0" w:space="0" w:color="auto"/>
                    <w:bottom w:val="none" w:sz="0" w:space="0" w:color="auto"/>
                    <w:right w:val="none" w:sz="0" w:space="0" w:color="auto"/>
                  </w:divBdr>
                  <w:divsChild>
                    <w:div w:id="2032223749">
                      <w:marLeft w:val="0"/>
                      <w:marRight w:val="0"/>
                      <w:marTop w:val="0"/>
                      <w:marBottom w:val="0"/>
                      <w:divBdr>
                        <w:top w:val="none" w:sz="0" w:space="0" w:color="auto"/>
                        <w:left w:val="none" w:sz="0" w:space="0" w:color="auto"/>
                        <w:bottom w:val="none" w:sz="0" w:space="0" w:color="auto"/>
                        <w:right w:val="none" w:sz="0" w:space="0" w:color="auto"/>
                      </w:divBdr>
                    </w:div>
                  </w:divsChild>
                </w:div>
                <w:div w:id="962492331">
                  <w:marLeft w:val="0"/>
                  <w:marRight w:val="0"/>
                  <w:marTop w:val="0"/>
                  <w:marBottom w:val="0"/>
                  <w:divBdr>
                    <w:top w:val="none" w:sz="0" w:space="0" w:color="auto"/>
                    <w:left w:val="none" w:sz="0" w:space="0" w:color="auto"/>
                    <w:bottom w:val="none" w:sz="0" w:space="0" w:color="auto"/>
                    <w:right w:val="none" w:sz="0" w:space="0" w:color="auto"/>
                  </w:divBdr>
                  <w:divsChild>
                    <w:div w:id="1871643957">
                      <w:marLeft w:val="0"/>
                      <w:marRight w:val="0"/>
                      <w:marTop w:val="0"/>
                      <w:marBottom w:val="0"/>
                      <w:divBdr>
                        <w:top w:val="none" w:sz="0" w:space="0" w:color="auto"/>
                        <w:left w:val="none" w:sz="0" w:space="0" w:color="auto"/>
                        <w:bottom w:val="none" w:sz="0" w:space="0" w:color="auto"/>
                        <w:right w:val="none" w:sz="0" w:space="0" w:color="auto"/>
                      </w:divBdr>
                    </w:div>
                  </w:divsChild>
                </w:div>
                <w:div w:id="988094012">
                  <w:marLeft w:val="0"/>
                  <w:marRight w:val="0"/>
                  <w:marTop w:val="0"/>
                  <w:marBottom w:val="0"/>
                  <w:divBdr>
                    <w:top w:val="none" w:sz="0" w:space="0" w:color="auto"/>
                    <w:left w:val="none" w:sz="0" w:space="0" w:color="auto"/>
                    <w:bottom w:val="none" w:sz="0" w:space="0" w:color="auto"/>
                    <w:right w:val="none" w:sz="0" w:space="0" w:color="auto"/>
                  </w:divBdr>
                  <w:divsChild>
                    <w:div w:id="438331487">
                      <w:marLeft w:val="0"/>
                      <w:marRight w:val="0"/>
                      <w:marTop w:val="0"/>
                      <w:marBottom w:val="0"/>
                      <w:divBdr>
                        <w:top w:val="none" w:sz="0" w:space="0" w:color="auto"/>
                        <w:left w:val="none" w:sz="0" w:space="0" w:color="auto"/>
                        <w:bottom w:val="none" w:sz="0" w:space="0" w:color="auto"/>
                        <w:right w:val="none" w:sz="0" w:space="0" w:color="auto"/>
                      </w:divBdr>
                    </w:div>
                  </w:divsChild>
                </w:div>
                <w:div w:id="1001354871">
                  <w:marLeft w:val="0"/>
                  <w:marRight w:val="0"/>
                  <w:marTop w:val="0"/>
                  <w:marBottom w:val="0"/>
                  <w:divBdr>
                    <w:top w:val="none" w:sz="0" w:space="0" w:color="auto"/>
                    <w:left w:val="none" w:sz="0" w:space="0" w:color="auto"/>
                    <w:bottom w:val="none" w:sz="0" w:space="0" w:color="auto"/>
                    <w:right w:val="none" w:sz="0" w:space="0" w:color="auto"/>
                  </w:divBdr>
                  <w:divsChild>
                    <w:div w:id="38827548">
                      <w:marLeft w:val="0"/>
                      <w:marRight w:val="0"/>
                      <w:marTop w:val="0"/>
                      <w:marBottom w:val="0"/>
                      <w:divBdr>
                        <w:top w:val="none" w:sz="0" w:space="0" w:color="auto"/>
                        <w:left w:val="none" w:sz="0" w:space="0" w:color="auto"/>
                        <w:bottom w:val="none" w:sz="0" w:space="0" w:color="auto"/>
                        <w:right w:val="none" w:sz="0" w:space="0" w:color="auto"/>
                      </w:divBdr>
                    </w:div>
                  </w:divsChild>
                </w:div>
                <w:div w:id="1028676092">
                  <w:marLeft w:val="0"/>
                  <w:marRight w:val="0"/>
                  <w:marTop w:val="0"/>
                  <w:marBottom w:val="0"/>
                  <w:divBdr>
                    <w:top w:val="none" w:sz="0" w:space="0" w:color="auto"/>
                    <w:left w:val="none" w:sz="0" w:space="0" w:color="auto"/>
                    <w:bottom w:val="none" w:sz="0" w:space="0" w:color="auto"/>
                    <w:right w:val="none" w:sz="0" w:space="0" w:color="auto"/>
                  </w:divBdr>
                  <w:divsChild>
                    <w:div w:id="1141581882">
                      <w:marLeft w:val="0"/>
                      <w:marRight w:val="0"/>
                      <w:marTop w:val="0"/>
                      <w:marBottom w:val="0"/>
                      <w:divBdr>
                        <w:top w:val="none" w:sz="0" w:space="0" w:color="auto"/>
                        <w:left w:val="none" w:sz="0" w:space="0" w:color="auto"/>
                        <w:bottom w:val="none" w:sz="0" w:space="0" w:color="auto"/>
                        <w:right w:val="none" w:sz="0" w:space="0" w:color="auto"/>
                      </w:divBdr>
                    </w:div>
                  </w:divsChild>
                </w:div>
                <w:div w:id="1033120182">
                  <w:marLeft w:val="0"/>
                  <w:marRight w:val="0"/>
                  <w:marTop w:val="0"/>
                  <w:marBottom w:val="0"/>
                  <w:divBdr>
                    <w:top w:val="none" w:sz="0" w:space="0" w:color="auto"/>
                    <w:left w:val="none" w:sz="0" w:space="0" w:color="auto"/>
                    <w:bottom w:val="none" w:sz="0" w:space="0" w:color="auto"/>
                    <w:right w:val="none" w:sz="0" w:space="0" w:color="auto"/>
                  </w:divBdr>
                  <w:divsChild>
                    <w:div w:id="883104501">
                      <w:marLeft w:val="0"/>
                      <w:marRight w:val="0"/>
                      <w:marTop w:val="0"/>
                      <w:marBottom w:val="0"/>
                      <w:divBdr>
                        <w:top w:val="none" w:sz="0" w:space="0" w:color="auto"/>
                        <w:left w:val="none" w:sz="0" w:space="0" w:color="auto"/>
                        <w:bottom w:val="none" w:sz="0" w:space="0" w:color="auto"/>
                        <w:right w:val="none" w:sz="0" w:space="0" w:color="auto"/>
                      </w:divBdr>
                    </w:div>
                  </w:divsChild>
                </w:div>
                <w:div w:id="1056583399">
                  <w:marLeft w:val="0"/>
                  <w:marRight w:val="0"/>
                  <w:marTop w:val="0"/>
                  <w:marBottom w:val="0"/>
                  <w:divBdr>
                    <w:top w:val="none" w:sz="0" w:space="0" w:color="auto"/>
                    <w:left w:val="none" w:sz="0" w:space="0" w:color="auto"/>
                    <w:bottom w:val="none" w:sz="0" w:space="0" w:color="auto"/>
                    <w:right w:val="none" w:sz="0" w:space="0" w:color="auto"/>
                  </w:divBdr>
                  <w:divsChild>
                    <w:div w:id="543904629">
                      <w:marLeft w:val="0"/>
                      <w:marRight w:val="0"/>
                      <w:marTop w:val="0"/>
                      <w:marBottom w:val="0"/>
                      <w:divBdr>
                        <w:top w:val="none" w:sz="0" w:space="0" w:color="auto"/>
                        <w:left w:val="none" w:sz="0" w:space="0" w:color="auto"/>
                        <w:bottom w:val="none" w:sz="0" w:space="0" w:color="auto"/>
                        <w:right w:val="none" w:sz="0" w:space="0" w:color="auto"/>
                      </w:divBdr>
                    </w:div>
                  </w:divsChild>
                </w:div>
                <w:div w:id="1061174166">
                  <w:marLeft w:val="0"/>
                  <w:marRight w:val="0"/>
                  <w:marTop w:val="0"/>
                  <w:marBottom w:val="0"/>
                  <w:divBdr>
                    <w:top w:val="none" w:sz="0" w:space="0" w:color="auto"/>
                    <w:left w:val="none" w:sz="0" w:space="0" w:color="auto"/>
                    <w:bottom w:val="none" w:sz="0" w:space="0" w:color="auto"/>
                    <w:right w:val="none" w:sz="0" w:space="0" w:color="auto"/>
                  </w:divBdr>
                  <w:divsChild>
                    <w:div w:id="779027074">
                      <w:marLeft w:val="0"/>
                      <w:marRight w:val="0"/>
                      <w:marTop w:val="0"/>
                      <w:marBottom w:val="0"/>
                      <w:divBdr>
                        <w:top w:val="none" w:sz="0" w:space="0" w:color="auto"/>
                        <w:left w:val="none" w:sz="0" w:space="0" w:color="auto"/>
                        <w:bottom w:val="none" w:sz="0" w:space="0" w:color="auto"/>
                        <w:right w:val="none" w:sz="0" w:space="0" w:color="auto"/>
                      </w:divBdr>
                    </w:div>
                  </w:divsChild>
                </w:div>
                <w:div w:id="1069616571">
                  <w:marLeft w:val="0"/>
                  <w:marRight w:val="0"/>
                  <w:marTop w:val="0"/>
                  <w:marBottom w:val="0"/>
                  <w:divBdr>
                    <w:top w:val="none" w:sz="0" w:space="0" w:color="auto"/>
                    <w:left w:val="none" w:sz="0" w:space="0" w:color="auto"/>
                    <w:bottom w:val="none" w:sz="0" w:space="0" w:color="auto"/>
                    <w:right w:val="none" w:sz="0" w:space="0" w:color="auto"/>
                  </w:divBdr>
                  <w:divsChild>
                    <w:div w:id="1439716723">
                      <w:marLeft w:val="0"/>
                      <w:marRight w:val="0"/>
                      <w:marTop w:val="0"/>
                      <w:marBottom w:val="0"/>
                      <w:divBdr>
                        <w:top w:val="none" w:sz="0" w:space="0" w:color="auto"/>
                        <w:left w:val="none" w:sz="0" w:space="0" w:color="auto"/>
                        <w:bottom w:val="none" w:sz="0" w:space="0" w:color="auto"/>
                        <w:right w:val="none" w:sz="0" w:space="0" w:color="auto"/>
                      </w:divBdr>
                    </w:div>
                  </w:divsChild>
                </w:div>
                <w:div w:id="1076394750">
                  <w:marLeft w:val="0"/>
                  <w:marRight w:val="0"/>
                  <w:marTop w:val="0"/>
                  <w:marBottom w:val="0"/>
                  <w:divBdr>
                    <w:top w:val="none" w:sz="0" w:space="0" w:color="auto"/>
                    <w:left w:val="none" w:sz="0" w:space="0" w:color="auto"/>
                    <w:bottom w:val="none" w:sz="0" w:space="0" w:color="auto"/>
                    <w:right w:val="none" w:sz="0" w:space="0" w:color="auto"/>
                  </w:divBdr>
                  <w:divsChild>
                    <w:div w:id="422535590">
                      <w:marLeft w:val="0"/>
                      <w:marRight w:val="0"/>
                      <w:marTop w:val="0"/>
                      <w:marBottom w:val="0"/>
                      <w:divBdr>
                        <w:top w:val="none" w:sz="0" w:space="0" w:color="auto"/>
                        <w:left w:val="none" w:sz="0" w:space="0" w:color="auto"/>
                        <w:bottom w:val="none" w:sz="0" w:space="0" w:color="auto"/>
                        <w:right w:val="none" w:sz="0" w:space="0" w:color="auto"/>
                      </w:divBdr>
                    </w:div>
                  </w:divsChild>
                </w:div>
                <w:div w:id="1085222477">
                  <w:marLeft w:val="0"/>
                  <w:marRight w:val="0"/>
                  <w:marTop w:val="0"/>
                  <w:marBottom w:val="0"/>
                  <w:divBdr>
                    <w:top w:val="none" w:sz="0" w:space="0" w:color="auto"/>
                    <w:left w:val="none" w:sz="0" w:space="0" w:color="auto"/>
                    <w:bottom w:val="none" w:sz="0" w:space="0" w:color="auto"/>
                    <w:right w:val="none" w:sz="0" w:space="0" w:color="auto"/>
                  </w:divBdr>
                  <w:divsChild>
                    <w:div w:id="1959678586">
                      <w:marLeft w:val="0"/>
                      <w:marRight w:val="0"/>
                      <w:marTop w:val="0"/>
                      <w:marBottom w:val="0"/>
                      <w:divBdr>
                        <w:top w:val="none" w:sz="0" w:space="0" w:color="auto"/>
                        <w:left w:val="none" w:sz="0" w:space="0" w:color="auto"/>
                        <w:bottom w:val="none" w:sz="0" w:space="0" w:color="auto"/>
                        <w:right w:val="none" w:sz="0" w:space="0" w:color="auto"/>
                      </w:divBdr>
                    </w:div>
                  </w:divsChild>
                </w:div>
                <w:div w:id="1091780927">
                  <w:marLeft w:val="0"/>
                  <w:marRight w:val="0"/>
                  <w:marTop w:val="0"/>
                  <w:marBottom w:val="0"/>
                  <w:divBdr>
                    <w:top w:val="none" w:sz="0" w:space="0" w:color="auto"/>
                    <w:left w:val="none" w:sz="0" w:space="0" w:color="auto"/>
                    <w:bottom w:val="none" w:sz="0" w:space="0" w:color="auto"/>
                    <w:right w:val="none" w:sz="0" w:space="0" w:color="auto"/>
                  </w:divBdr>
                  <w:divsChild>
                    <w:div w:id="1959213302">
                      <w:marLeft w:val="0"/>
                      <w:marRight w:val="0"/>
                      <w:marTop w:val="0"/>
                      <w:marBottom w:val="0"/>
                      <w:divBdr>
                        <w:top w:val="none" w:sz="0" w:space="0" w:color="auto"/>
                        <w:left w:val="none" w:sz="0" w:space="0" w:color="auto"/>
                        <w:bottom w:val="none" w:sz="0" w:space="0" w:color="auto"/>
                        <w:right w:val="none" w:sz="0" w:space="0" w:color="auto"/>
                      </w:divBdr>
                    </w:div>
                  </w:divsChild>
                </w:div>
                <w:div w:id="1147622318">
                  <w:marLeft w:val="0"/>
                  <w:marRight w:val="0"/>
                  <w:marTop w:val="0"/>
                  <w:marBottom w:val="0"/>
                  <w:divBdr>
                    <w:top w:val="none" w:sz="0" w:space="0" w:color="auto"/>
                    <w:left w:val="none" w:sz="0" w:space="0" w:color="auto"/>
                    <w:bottom w:val="none" w:sz="0" w:space="0" w:color="auto"/>
                    <w:right w:val="none" w:sz="0" w:space="0" w:color="auto"/>
                  </w:divBdr>
                  <w:divsChild>
                    <w:div w:id="1872301552">
                      <w:marLeft w:val="0"/>
                      <w:marRight w:val="0"/>
                      <w:marTop w:val="0"/>
                      <w:marBottom w:val="0"/>
                      <w:divBdr>
                        <w:top w:val="none" w:sz="0" w:space="0" w:color="auto"/>
                        <w:left w:val="none" w:sz="0" w:space="0" w:color="auto"/>
                        <w:bottom w:val="none" w:sz="0" w:space="0" w:color="auto"/>
                        <w:right w:val="none" w:sz="0" w:space="0" w:color="auto"/>
                      </w:divBdr>
                    </w:div>
                  </w:divsChild>
                </w:div>
                <w:div w:id="1160317424">
                  <w:marLeft w:val="0"/>
                  <w:marRight w:val="0"/>
                  <w:marTop w:val="0"/>
                  <w:marBottom w:val="0"/>
                  <w:divBdr>
                    <w:top w:val="none" w:sz="0" w:space="0" w:color="auto"/>
                    <w:left w:val="none" w:sz="0" w:space="0" w:color="auto"/>
                    <w:bottom w:val="none" w:sz="0" w:space="0" w:color="auto"/>
                    <w:right w:val="none" w:sz="0" w:space="0" w:color="auto"/>
                  </w:divBdr>
                  <w:divsChild>
                    <w:div w:id="1185555967">
                      <w:marLeft w:val="0"/>
                      <w:marRight w:val="0"/>
                      <w:marTop w:val="0"/>
                      <w:marBottom w:val="0"/>
                      <w:divBdr>
                        <w:top w:val="none" w:sz="0" w:space="0" w:color="auto"/>
                        <w:left w:val="none" w:sz="0" w:space="0" w:color="auto"/>
                        <w:bottom w:val="none" w:sz="0" w:space="0" w:color="auto"/>
                        <w:right w:val="none" w:sz="0" w:space="0" w:color="auto"/>
                      </w:divBdr>
                    </w:div>
                  </w:divsChild>
                </w:div>
                <w:div w:id="1213732953">
                  <w:marLeft w:val="0"/>
                  <w:marRight w:val="0"/>
                  <w:marTop w:val="0"/>
                  <w:marBottom w:val="0"/>
                  <w:divBdr>
                    <w:top w:val="none" w:sz="0" w:space="0" w:color="auto"/>
                    <w:left w:val="none" w:sz="0" w:space="0" w:color="auto"/>
                    <w:bottom w:val="none" w:sz="0" w:space="0" w:color="auto"/>
                    <w:right w:val="none" w:sz="0" w:space="0" w:color="auto"/>
                  </w:divBdr>
                  <w:divsChild>
                    <w:div w:id="113524605">
                      <w:marLeft w:val="0"/>
                      <w:marRight w:val="0"/>
                      <w:marTop w:val="0"/>
                      <w:marBottom w:val="0"/>
                      <w:divBdr>
                        <w:top w:val="none" w:sz="0" w:space="0" w:color="auto"/>
                        <w:left w:val="none" w:sz="0" w:space="0" w:color="auto"/>
                        <w:bottom w:val="none" w:sz="0" w:space="0" w:color="auto"/>
                        <w:right w:val="none" w:sz="0" w:space="0" w:color="auto"/>
                      </w:divBdr>
                    </w:div>
                  </w:divsChild>
                </w:div>
                <w:div w:id="1233007230">
                  <w:marLeft w:val="0"/>
                  <w:marRight w:val="0"/>
                  <w:marTop w:val="0"/>
                  <w:marBottom w:val="0"/>
                  <w:divBdr>
                    <w:top w:val="none" w:sz="0" w:space="0" w:color="auto"/>
                    <w:left w:val="none" w:sz="0" w:space="0" w:color="auto"/>
                    <w:bottom w:val="none" w:sz="0" w:space="0" w:color="auto"/>
                    <w:right w:val="none" w:sz="0" w:space="0" w:color="auto"/>
                  </w:divBdr>
                  <w:divsChild>
                    <w:div w:id="1805733512">
                      <w:marLeft w:val="0"/>
                      <w:marRight w:val="0"/>
                      <w:marTop w:val="0"/>
                      <w:marBottom w:val="0"/>
                      <w:divBdr>
                        <w:top w:val="none" w:sz="0" w:space="0" w:color="auto"/>
                        <w:left w:val="none" w:sz="0" w:space="0" w:color="auto"/>
                        <w:bottom w:val="none" w:sz="0" w:space="0" w:color="auto"/>
                        <w:right w:val="none" w:sz="0" w:space="0" w:color="auto"/>
                      </w:divBdr>
                    </w:div>
                  </w:divsChild>
                </w:div>
                <w:div w:id="1246837495">
                  <w:marLeft w:val="0"/>
                  <w:marRight w:val="0"/>
                  <w:marTop w:val="0"/>
                  <w:marBottom w:val="0"/>
                  <w:divBdr>
                    <w:top w:val="none" w:sz="0" w:space="0" w:color="auto"/>
                    <w:left w:val="none" w:sz="0" w:space="0" w:color="auto"/>
                    <w:bottom w:val="none" w:sz="0" w:space="0" w:color="auto"/>
                    <w:right w:val="none" w:sz="0" w:space="0" w:color="auto"/>
                  </w:divBdr>
                  <w:divsChild>
                    <w:div w:id="423110330">
                      <w:marLeft w:val="0"/>
                      <w:marRight w:val="0"/>
                      <w:marTop w:val="0"/>
                      <w:marBottom w:val="0"/>
                      <w:divBdr>
                        <w:top w:val="none" w:sz="0" w:space="0" w:color="auto"/>
                        <w:left w:val="none" w:sz="0" w:space="0" w:color="auto"/>
                        <w:bottom w:val="none" w:sz="0" w:space="0" w:color="auto"/>
                        <w:right w:val="none" w:sz="0" w:space="0" w:color="auto"/>
                      </w:divBdr>
                    </w:div>
                  </w:divsChild>
                </w:div>
                <w:div w:id="1271621173">
                  <w:marLeft w:val="0"/>
                  <w:marRight w:val="0"/>
                  <w:marTop w:val="0"/>
                  <w:marBottom w:val="0"/>
                  <w:divBdr>
                    <w:top w:val="none" w:sz="0" w:space="0" w:color="auto"/>
                    <w:left w:val="none" w:sz="0" w:space="0" w:color="auto"/>
                    <w:bottom w:val="none" w:sz="0" w:space="0" w:color="auto"/>
                    <w:right w:val="none" w:sz="0" w:space="0" w:color="auto"/>
                  </w:divBdr>
                  <w:divsChild>
                    <w:div w:id="280385337">
                      <w:marLeft w:val="0"/>
                      <w:marRight w:val="0"/>
                      <w:marTop w:val="0"/>
                      <w:marBottom w:val="0"/>
                      <w:divBdr>
                        <w:top w:val="none" w:sz="0" w:space="0" w:color="auto"/>
                        <w:left w:val="none" w:sz="0" w:space="0" w:color="auto"/>
                        <w:bottom w:val="none" w:sz="0" w:space="0" w:color="auto"/>
                        <w:right w:val="none" w:sz="0" w:space="0" w:color="auto"/>
                      </w:divBdr>
                    </w:div>
                  </w:divsChild>
                </w:div>
                <w:div w:id="1274751003">
                  <w:marLeft w:val="0"/>
                  <w:marRight w:val="0"/>
                  <w:marTop w:val="0"/>
                  <w:marBottom w:val="0"/>
                  <w:divBdr>
                    <w:top w:val="none" w:sz="0" w:space="0" w:color="auto"/>
                    <w:left w:val="none" w:sz="0" w:space="0" w:color="auto"/>
                    <w:bottom w:val="none" w:sz="0" w:space="0" w:color="auto"/>
                    <w:right w:val="none" w:sz="0" w:space="0" w:color="auto"/>
                  </w:divBdr>
                  <w:divsChild>
                    <w:div w:id="956183554">
                      <w:marLeft w:val="0"/>
                      <w:marRight w:val="0"/>
                      <w:marTop w:val="0"/>
                      <w:marBottom w:val="0"/>
                      <w:divBdr>
                        <w:top w:val="none" w:sz="0" w:space="0" w:color="auto"/>
                        <w:left w:val="none" w:sz="0" w:space="0" w:color="auto"/>
                        <w:bottom w:val="none" w:sz="0" w:space="0" w:color="auto"/>
                        <w:right w:val="none" w:sz="0" w:space="0" w:color="auto"/>
                      </w:divBdr>
                    </w:div>
                  </w:divsChild>
                </w:div>
                <w:div w:id="1282763872">
                  <w:marLeft w:val="0"/>
                  <w:marRight w:val="0"/>
                  <w:marTop w:val="0"/>
                  <w:marBottom w:val="0"/>
                  <w:divBdr>
                    <w:top w:val="none" w:sz="0" w:space="0" w:color="auto"/>
                    <w:left w:val="none" w:sz="0" w:space="0" w:color="auto"/>
                    <w:bottom w:val="none" w:sz="0" w:space="0" w:color="auto"/>
                    <w:right w:val="none" w:sz="0" w:space="0" w:color="auto"/>
                  </w:divBdr>
                  <w:divsChild>
                    <w:div w:id="1304697419">
                      <w:marLeft w:val="0"/>
                      <w:marRight w:val="0"/>
                      <w:marTop w:val="0"/>
                      <w:marBottom w:val="0"/>
                      <w:divBdr>
                        <w:top w:val="none" w:sz="0" w:space="0" w:color="auto"/>
                        <w:left w:val="none" w:sz="0" w:space="0" w:color="auto"/>
                        <w:bottom w:val="none" w:sz="0" w:space="0" w:color="auto"/>
                        <w:right w:val="none" w:sz="0" w:space="0" w:color="auto"/>
                      </w:divBdr>
                    </w:div>
                  </w:divsChild>
                </w:div>
                <w:div w:id="1283464530">
                  <w:marLeft w:val="0"/>
                  <w:marRight w:val="0"/>
                  <w:marTop w:val="0"/>
                  <w:marBottom w:val="0"/>
                  <w:divBdr>
                    <w:top w:val="none" w:sz="0" w:space="0" w:color="auto"/>
                    <w:left w:val="none" w:sz="0" w:space="0" w:color="auto"/>
                    <w:bottom w:val="none" w:sz="0" w:space="0" w:color="auto"/>
                    <w:right w:val="none" w:sz="0" w:space="0" w:color="auto"/>
                  </w:divBdr>
                  <w:divsChild>
                    <w:div w:id="127555048">
                      <w:marLeft w:val="0"/>
                      <w:marRight w:val="0"/>
                      <w:marTop w:val="0"/>
                      <w:marBottom w:val="0"/>
                      <w:divBdr>
                        <w:top w:val="none" w:sz="0" w:space="0" w:color="auto"/>
                        <w:left w:val="none" w:sz="0" w:space="0" w:color="auto"/>
                        <w:bottom w:val="none" w:sz="0" w:space="0" w:color="auto"/>
                        <w:right w:val="none" w:sz="0" w:space="0" w:color="auto"/>
                      </w:divBdr>
                    </w:div>
                  </w:divsChild>
                </w:div>
                <w:div w:id="1302346370">
                  <w:marLeft w:val="0"/>
                  <w:marRight w:val="0"/>
                  <w:marTop w:val="0"/>
                  <w:marBottom w:val="0"/>
                  <w:divBdr>
                    <w:top w:val="none" w:sz="0" w:space="0" w:color="auto"/>
                    <w:left w:val="none" w:sz="0" w:space="0" w:color="auto"/>
                    <w:bottom w:val="none" w:sz="0" w:space="0" w:color="auto"/>
                    <w:right w:val="none" w:sz="0" w:space="0" w:color="auto"/>
                  </w:divBdr>
                  <w:divsChild>
                    <w:div w:id="434404403">
                      <w:marLeft w:val="0"/>
                      <w:marRight w:val="0"/>
                      <w:marTop w:val="0"/>
                      <w:marBottom w:val="0"/>
                      <w:divBdr>
                        <w:top w:val="none" w:sz="0" w:space="0" w:color="auto"/>
                        <w:left w:val="none" w:sz="0" w:space="0" w:color="auto"/>
                        <w:bottom w:val="none" w:sz="0" w:space="0" w:color="auto"/>
                        <w:right w:val="none" w:sz="0" w:space="0" w:color="auto"/>
                      </w:divBdr>
                    </w:div>
                  </w:divsChild>
                </w:div>
                <w:div w:id="1307248496">
                  <w:marLeft w:val="0"/>
                  <w:marRight w:val="0"/>
                  <w:marTop w:val="0"/>
                  <w:marBottom w:val="0"/>
                  <w:divBdr>
                    <w:top w:val="none" w:sz="0" w:space="0" w:color="auto"/>
                    <w:left w:val="none" w:sz="0" w:space="0" w:color="auto"/>
                    <w:bottom w:val="none" w:sz="0" w:space="0" w:color="auto"/>
                    <w:right w:val="none" w:sz="0" w:space="0" w:color="auto"/>
                  </w:divBdr>
                  <w:divsChild>
                    <w:div w:id="221597727">
                      <w:marLeft w:val="0"/>
                      <w:marRight w:val="0"/>
                      <w:marTop w:val="0"/>
                      <w:marBottom w:val="0"/>
                      <w:divBdr>
                        <w:top w:val="none" w:sz="0" w:space="0" w:color="auto"/>
                        <w:left w:val="none" w:sz="0" w:space="0" w:color="auto"/>
                        <w:bottom w:val="none" w:sz="0" w:space="0" w:color="auto"/>
                        <w:right w:val="none" w:sz="0" w:space="0" w:color="auto"/>
                      </w:divBdr>
                    </w:div>
                  </w:divsChild>
                </w:div>
                <w:div w:id="1360855747">
                  <w:marLeft w:val="0"/>
                  <w:marRight w:val="0"/>
                  <w:marTop w:val="0"/>
                  <w:marBottom w:val="0"/>
                  <w:divBdr>
                    <w:top w:val="none" w:sz="0" w:space="0" w:color="auto"/>
                    <w:left w:val="none" w:sz="0" w:space="0" w:color="auto"/>
                    <w:bottom w:val="none" w:sz="0" w:space="0" w:color="auto"/>
                    <w:right w:val="none" w:sz="0" w:space="0" w:color="auto"/>
                  </w:divBdr>
                  <w:divsChild>
                    <w:div w:id="1569613246">
                      <w:marLeft w:val="0"/>
                      <w:marRight w:val="0"/>
                      <w:marTop w:val="0"/>
                      <w:marBottom w:val="0"/>
                      <w:divBdr>
                        <w:top w:val="none" w:sz="0" w:space="0" w:color="auto"/>
                        <w:left w:val="none" w:sz="0" w:space="0" w:color="auto"/>
                        <w:bottom w:val="none" w:sz="0" w:space="0" w:color="auto"/>
                        <w:right w:val="none" w:sz="0" w:space="0" w:color="auto"/>
                      </w:divBdr>
                    </w:div>
                  </w:divsChild>
                </w:div>
                <w:div w:id="1369329674">
                  <w:marLeft w:val="0"/>
                  <w:marRight w:val="0"/>
                  <w:marTop w:val="0"/>
                  <w:marBottom w:val="0"/>
                  <w:divBdr>
                    <w:top w:val="none" w:sz="0" w:space="0" w:color="auto"/>
                    <w:left w:val="none" w:sz="0" w:space="0" w:color="auto"/>
                    <w:bottom w:val="none" w:sz="0" w:space="0" w:color="auto"/>
                    <w:right w:val="none" w:sz="0" w:space="0" w:color="auto"/>
                  </w:divBdr>
                  <w:divsChild>
                    <w:div w:id="1812290618">
                      <w:marLeft w:val="0"/>
                      <w:marRight w:val="0"/>
                      <w:marTop w:val="0"/>
                      <w:marBottom w:val="0"/>
                      <w:divBdr>
                        <w:top w:val="none" w:sz="0" w:space="0" w:color="auto"/>
                        <w:left w:val="none" w:sz="0" w:space="0" w:color="auto"/>
                        <w:bottom w:val="none" w:sz="0" w:space="0" w:color="auto"/>
                        <w:right w:val="none" w:sz="0" w:space="0" w:color="auto"/>
                      </w:divBdr>
                    </w:div>
                  </w:divsChild>
                </w:div>
                <w:div w:id="1374961816">
                  <w:marLeft w:val="0"/>
                  <w:marRight w:val="0"/>
                  <w:marTop w:val="0"/>
                  <w:marBottom w:val="0"/>
                  <w:divBdr>
                    <w:top w:val="none" w:sz="0" w:space="0" w:color="auto"/>
                    <w:left w:val="none" w:sz="0" w:space="0" w:color="auto"/>
                    <w:bottom w:val="none" w:sz="0" w:space="0" w:color="auto"/>
                    <w:right w:val="none" w:sz="0" w:space="0" w:color="auto"/>
                  </w:divBdr>
                  <w:divsChild>
                    <w:div w:id="858205219">
                      <w:marLeft w:val="0"/>
                      <w:marRight w:val="0"/>
                      <w:marTop w:val="0"/>
                      <w:marBottom w:val="0"/>
                      <w:divBdr>
                        <w:top w:val="none" w:sz="0" w:space="0" w:color="auto"/>
                        <w:left w:val="none" w:sz="0" w:space="0" w:color="auto"/>
                        <w:bottom w:val="none" w:sz="0" w:space="0" w:color="auto"/>
                        <w:right w:val="none" w:sz="0" w:space="0" w:color="auto"/>
                      </w:divBdr>
                    </w:div>
                  </w:divsChild>
                </w:div>
                <w:div w:id="1384862753">
                  <w:marLeft w:val="0"/>
                  <w:marRight w:val="0"/>
                  <w:marTop w:val="0"/>
                  <w:marBottom w:val="0"/>
                  <w:divBdr>
                    <w:top w:val="none" w:sz="0" w:space="0" w:color="auto"/>
                    <w:left w:val="none" w:sz="0" w:space="0" w:color="auto"/>
                    <w:bottom w:val="none" w:sz="0" w:space="0" w:color="auto"/>
                    <w:right w:val="none" w:sz="0" w:space="0" w:color="auto"/>
                  </w:divBdr>
                  <w:divsChild>
                    <w:div w:id="468016820">
                      <w:marLeft w:val="0"/>
                      <w:marRight w:val="0"/>
                      <w:marTop w:val="0"/>
                      <w:marBottom w:val="0"/>
                      <w:divBdr>
                        <w:top w:val="none" w:sz="0" w:space="0" w:color="auto"/>
                        <w:left w:val="none" w:sz="0" w:space="0" w:color="auto"/>
                        <w:bottom w:val="none" w:sz="0" w:space="0" w:color="auto"/>
                        <w:right w:val="none" w:sz="0" w:space="0" w:color="auto"/>
                      </w:divBdr>
                    </w:div>
                  </w:divsChild>
                </w:div>
                <w:div w:id="1417677953">
                  <w:marLeft w:val="0"/>
                  <w:marRight w:val="0"/>
                  <w:marTop w:val="0"/>
                  <w:marBottom w:val="0"/>
                  <w:divBdr>
                    <w:top w:val="none" w:sz="0" w:space="0" w:color="auto"/>
                    <w:left w:val="none" w:sz="0" w:space="0" w:color="auto"/>
                    <w:bottom w:val="none" w:sz="0" w:space="0" w:color="auto"/>
                    <w:right w:val="none" w:sz="0" w:space="0" w:color="auto"/>
                  </w:divBdr>
                  <w:divsChild>
                    <w:div w:id="1174220966">
                      <w:marLeft w:val="0"/>
                      <w:marRight w:val="0"/>
                      <w:marTop w:val="0"/>
                      <w:marBottom w:val="0"/>
                      <w:divBdr>
                        <w:top w:val="none" w:sz="0" w:space="0" w:color="auto"/>
                        <w:left w:val="none" w:sz="0" w:space="0" w:color="auto"/>
                        <w:bottom w:val="none" w:sz="0" w:space="0" w:color="auto"/>
                        <w:right w:val="none" w:sz="0" w:space="0" w:color="auto"/>
                      </w:divBdr>
                    </w:div>
                  </w:divsChild>
                </w:div>
                <w:div w:id="1448770691">
                  <w:marLeft w:val="0"/>
                  <w:marRight w:val="0"/>
                  <w:marTop w:val="0"/>
                  <w:marBottom w:val="0"/>
                  <w:divBdr>
                    <w:top w:val="none" w:sz="0" w:space="0" w:color="auto"/>
                    <w:left w:val="none" w:sz="0" w:space="0" w:color="auto"/>
                    <w:bottom w:val="none" w:sz="0" w:space="0" w:color="auto"/>
                    <w:right w:val="none" w:sz="0" w:space="0" w:color="auto"/>
                  </w:divBdr>
                  <w:divsChild>
                    <w:div w:id="2123962155">
                      <w:marLeft w:val="0"/>
                      <w:marRight w:val="0"/>
                      <w:marTop w:val="0"/>
                      <w:marBottom w:val="0"/>
                      <w:divBdr>
                        <w:top w:val="none" w:sz="0" w:space="0" w:color="auto"/>
                        <w:left w:val="none" w:sz="0" w:space="0" w:color="auto"/>
                        <w:bottom w:val="none" w:sz="0" w:space="0" w:color="auto"/>
                        <w:right w:val="none" w:sz="0" w:space="0" w:color="auto"/>
                      </w:divBdr>
                    </w:div>
                  </w:divsChild>
                </w:div>
                <w:div w:id="1463228854">
                  <w:marLeft w:val="0"/>
                  <w:marRight w:val="0"/>
                  <w:marTop w:val="0"/>
                  <w:marBottom w:val="0"/>
                  <w:divBdr>
                    <w:top w:val="none" w:sz="0" w:space="0" w:color="auto"/>
                    <w:left w:val="none" w:sz="0" w:space="0" w:color="auto"/>
                    <w:bottom w:val="none" w:sz="0" w:space="0" w:color="auto"/>
                    <w:right w:val="none" w:sz="0" w:space="0" w:color="auto"/>
                  </w:divBdr>
                  <w:divsChild>
                    <w:div w:id="761487582">
                      <w:marLeft w:val="0"/>
                      <w:marRight w:val="0"/>
                      <w:marTop w:val="0"/>
                      <w:marBottom w:val="0"/>
                      <w:divBdr>
                        <w:top w:val="none" w:sz="0" w:space="0" w:color="auto"/>
                        <w:left w:val="none" w:sz="0" w:space="0" w:color="auto"/>
                        <w:bottom w:val="none" w:sz="0" w:space="0" w:color="auto"/>
                        <w:right w:val="none" w:sz="0" w:space="0" w:color="auto"/>
                      </w:divBdr>
                    </w:div>
                  </w:divsChild>
                </w:div>
                <w:div w:id="1464277524">
                  <w:marLeft w:val="0"/>
                  <w:marRight w:val="0"/>
                  <w:marTop w:val="0"/>
                  <w:marBottom w:val="0"/>
                  <w:divBdr>
                    <w:top w:val="none" w:sz="0" w:space="0" w:color="auto"/>
                    <w:left w:val="none" w:sz="0" w:space="0" w:color="auto"/>
                    <w:bottom w:val="none" w:sz="0" w:space="0" w:color="auto"/>
                    <w:right w:val="none" w:sz="0" w:space="0" w:color="auto"/>
                  </w:divBdr>
                  <w:divsChild>
                    <w:div w:id="346449773">
                      <w:marLeft w:val="0"/>
                      <w:marRight w:val="0"/>
                      <w:marTop w:val="0"/>
                      <w:marBottom w:val="0"/>
                      <w:divBdr>
                        <w:top w:val="none" w:sz="0" w:space="0" w:color="auto"/>
                        <w:left w:val="none" w:sz="0" w:space="0" w:color="auto"/>
                        <w:bottom w:val="none" w:sz="0" w:space="0" w:color="auto"/>
                        <w:right w:val="none" w:sz="0" w:space="0" w:color="auto"/>
                      </w:divBdr>
                    </w:div>
                  </w:divsChild>
                </w:div>
                <w:div w:id="1466007496">
                  <w:marLeft w:val="0"/>
                  <w:marRight w:val="0"/>
                  <w:marTop w:val="0"/>
                  <w:marBottom w:val="0"/>
                  <w:divBdr>
                    <w:top w:val="none" w:sz="0" w:space="0" w:color="auto"/>
                    <w:left w:val="none" w:sz="0" w:space="0" w:color="auto"/>
                    <w:bottom w:val="none" w:sz="0" w:space="0" w:color="auto"/>
                    <w:right w:val="none" w:sz="0" w:space="0" w:color="auto"/>
                  </w:divBdr>
                  <w:divsChild>
                    <w:div w:id="2070109586">
                      <w:marLeft w:val="0"/>
                      <w:marRight w:val="0"/>
                      <w:marTop w:val="0"/>
                      <w:marBottom w:val="0"/>
                      <w:divBdr>
                        <w:top w:val="none" w:sz="0" w:space="0" w:color="auto"/>
                        <w:left w:val="none" w:sz="0" w:space="0" w:color="auto"/>
                        <w:bottom w:val="none" w:sz="0" w:space="0" w:color="auto"/>
                        <w:right w:val="none" w:sz="0" w:space="0" w:color="auto"/>
                      </w:divBdr>
                    </w:div>
                  </w:divsChild>
                </w:div>
                <w:div w:id="1473980787">
                  <w:marLeft w:val="0"/>
                  <w:marRight w:val="0"/>
                  <w:marTop w:val="0"/>
                  <w:marBottom w:val="0"/>
                  <w:divBdr>
                    <w:top w:val="none" w:sz="0" w:space="0" w:color="auto"/>
                    <w:left w:val="none" w:sz="0" w:space="0" w:color="auto"/>
                    <w:bottom w:val="none" w:sz="0" w:space="0" w:color="auto"/>
                    <w:right w:val="none" w:sz="0" w:space="0" w:color="auto"/>
                  </w:divBdr>
                  <w:divsChild>
                    <w:div w:id="16198014">
                      <w:marLeft w:val="0"/>
                      <w:marRight w:val="0"/>
                      <w:marTop w:val="0"/>
                      <w:marBottom w:val="0"/>
                      <w:divBdr>
                        <w:top w:val="none" w:sz="0" w:space="0" w:color="auto"/>
                        <w:left w:val="none" w:sz="0" w:space="0" w:color="auto"/>
                        <w:bottom w:val="none" w:sz="0" w:space="0" w:color="auto"/>
                        <w:right w:val="none" w:sz="0" w:space="0" w:color="auto"/>
                      </w:divBdr>
                    </w:div>
                  </w:divsChild>
                </w:div>
                <w:div w:id="1503621236">
                  <w:marLeft w:val="0"/>
                  <w:marRight w:val="0"/>
                  <w:marTop w:val="0"/>
                  <w:marBottom w:val="0"/>
                  <w:divBdr>
                    <w:top w:val="none" w:sz="0" w:space="0" w:color="auto"/>
                    <w:left w:val="none" w:sz="0" w:space="0" w:color="auto"/>
                    <w:bottom w:val="none" w:sz="0" w:space="0" w:color="auto"/>
                    <w:right w:val="none" w:sz="0" w:space="0" w:color="auto"/>
                  </w:divBdr>
                  <w:divsChild>
                    <w:div w:id="1625961454">
                      <w:marLeft w:val="0"/>
                      <w:marRight w:val="0"/>
                      <w:marTop w:val="0"/>
                      <w:marBottom w:val="0"/>
                      <w:divBdr>
                        <w:top w:val="none" w:sz="0" w:space="0" w:color="auto"/>
                        <w:left w:val="none" w:sz="0" w:space="0" w:color="auto"/>
                        <w:bottom w:val="none" w:sz="0" w:space="0" w:color="auto"/>
                        <w:right w:val="none" w:sz="0" w:space="0" w:color="auto"/>
                      </w:divBdr>
                    </w:div>
                  </w:divsChild>
                </w:div>
                <w:div w:id="1514412596">
                  <w:marLeft w:val="0"/>
                  <w:marRight w:val="0"/>
                  <w:marTop w:val="0"/>
                  <w:marBottom w:val="0"/>
                  <w:divBdr>
                    <w:top w:val="none" w:sz="0" w:space="0" w:color="auto"/>
                    <w:left w:val="none" w:sz="0" w:space="0" w:color="auto"/>
                    <w:bottom w:val="none" w:sz="0" w:space="0" w:color="auto"/>
                    <w:right w:val="none" w:sz="0" w:space="0" w:color="auto"/>
                  </w:divBdr>
                  <w:divsChild>
                    <w:div w:id="1241209835">
                      <w:marLeft w:val="0"/>
                      <w:marRight w:val="0"/>
                      <w:marTop w:val="0"/>
                      <w:marBottom w:val="0"/>
                      <w:divBdr>
                        <w:top w:val="none" w:sz="0" w:space="0" w:color="auto"/>
                        <w:left w:val="none" w:sz="0" w:space="0" w:color="auto"/>
                        <w:bottom w:val="none" w:sz="0" w:space="0" w:color="auto"/>
                        <w:right w:val="none" w:sz="0" w:space="0" w:color="auto"/>
                      </w:divBdr>
                    </w:div>
                  </w:divsChild>
                </w:div>
                <w:div w:id="1536693253">
                  <w:marLeft w:val="0"/>
                  <w:marRight w:val="0"/>
                  <w:marTop w:val="0"/>
                  <w:marBottom w:val="0"/>
                  <w:divBdr>
                    <w:top w:val="none" w:sz="0" w:space="0" w:color="auto"/>
                    <w:left w:val="none" w:sz="0" w:space="0" w:color="auto"/>
                    <w:bottom w:val="none" w:sz="0" w:space="0" w:color="auto"/>
                    <w:right w:val="none" w:sz="0" w:space="0" w:color="auto"/>
                  </w:divBdr>
                  <w:divsChild>
                    <w:div w:id="1619874934">
                      <w:marLeft w:val="0"/>
                      <w:marRight w:val="0"/>
                      <w:marTop w:val="0"/>
                      <w:marBottom w:val="0"/>
                      <w:divBdr>
                        <w:top w:val="none" w:sz="0" w:space="0" w:color="auto"/>
                        <w:left w:val="none" w:sz="0" w:space="0" w:color="auto"/>
                        <w:bottom w:val="none" w:sz="0" w:space="0" w:color="auto"/>
                        <w:right w:val="none" w:sz="0" w:space="0" w:color="auto"/>
                      </w:divBdr>
                    </w:div>
                  </w:divsChild>
                </w:div>
                <w:div w:id="1556425793">
                  <w:marLeft w:val="0"/>
                  <w:marRight w:val="0"/>
                  <w:marTop w:val="0"/>
                  <w:marBottom w:val="0"/>
                  <w:divBdr>
                    <w:top w:val="none" w:sz="0" w:space="0" w:color="auto"/>
                    <w:left w:val="none" w:sz="0" w:space="0" w:color="auto"/>
                    <w:bottom w:val="none" w:sz="0" w:space="0" w:color="auto"/>
                    <w:right w:val="none" w:sz="0" w:space="0" w:color="auto"/>
                  </w:divBdr>
                  <w:divsChild>
                    <w:div w:id="70467838">
                      <w:marLeft w:val="0"/>
                      <w:marRight w:val="0"/>
                      <w:marTop w:val="0"/>
                      <w:marBottom w:val="0"/>
                      <w:divBdr>
                        <w:top w:val="none" w:sz="0" w:space="0" w:color="auto"/>
                        <w:left w:val="none" w:sz="0" w:space="0" w:color="auto"/>
                        <w:bottom w:val="none" w:sz="0" w:space="0" w:color="auto"/>
                        <w:right w:val="none" w:sz="0" w:space="0" w:color="auto"/>
                      </w:divBdr>
                    </w:div>
                  </w:divsChild>
                </w:div>
                <w:div w:id="1561406112">
                  <w:marLeft w:val="0"/>
                  <w:marRight w:val="0"/>
                  <w:marTop w:val="0"/>
                  <w:marBottom w:val="0"/>
                  <w:divBdr>
                    <w:top w:val="none" w:sz="0" w:space="0" w:color="auto"/>
                    <w:left w:val="none" w:sz="0" w:space="0" w:color="auto"/>
                    <w:bottom w:val="none" w:sz="0" w:space="0" w:color="auto"/>
                    <w:right w:val="none" w:sz="0" w:space="0" w:color="auto"/>
                  </w:divBdr>
                  <w:divsChild>
                    <w:div w:id="1293368323">
                      <w:marLeft w:val="0"/>
                      <w:marRight w:val="0"/>
                      <w:marTop w:val="0"/>
                      <w:marBottom w:val="0"/>
                      <w:divBdr>
                        <w:top w:val="none" w:sz="0" w:space="0" w:color="auto"/>
                        <w:left w:val="none" w:sz="0" w:space="0" w:color="auto"/>
                        <w:bottom w:val="none" w:sz="0" w:space="0" w:color="auto"/>
                        <w:right w:val="none" w:sz="0" w:space="0" w:color="auto"/>
                      </w:divBdr>
                    </w:div>
                  </w:divsChild>
                </w:div>
                <w:div w:id="1593393684">
                  <w:marLeft w:val="0"/>
                  <w:marRight w:val="0"/>
                  <w:marTop w:val="0"/>
                  <w:marBottom w:val="0"/>
                  <w:divBdr>
                    <w:top w:val="none" w:sz="0" w:space="0" w:color="auto"/>
                    <w:left w:val="none" w:sz="0" w:space="0" w:color="auto"/>
                    <w:bottom w:val="none" w:sz="0" w:space="0" w:color="auto"/>
                    <w:right w:val="none" w:sz="0" w:space="0" w:color="auto"/>
                  </w:divBdr>
                  <w:divsChild>
                    <w:div w:id="1968050346">
                      <w:marLeft w:val="0"/>
                      <w:marRight w:val="0"/>
                      <w:marTop w:val="0"/>
                      <w:marBottom w:val="0"/>
                      <w:divBdr>
                        <w:top w:val="none" w:sz="0" w:space="0" w:color="auto"/>
                        <w:left w:val="none" w:sz="0" w:space="0" w:color="auto"/>
                        <w:bottom w:val="none" w:sz="0" w:space="0" w:color="auto"/>
                        <w:right w:val="none" w:sz="0" w:space="0" w:color="auto"/>
                      </w:divBdr>
                    </w:div>
                  </w:divsChild>
                </w:div>
                <w:div w:id="1659575021">
                  <w:marLeft w:val="0"/>
                  <w:marRight w:val="0"/>
                  <w:marTop w:val="0"/>
                  <w:marBottom w:val="0"/>
                  <w:divBdr>
                    <w:top w:val="none" w:sz="0" w:space="0" w:color="auto"/>
                    <w:left w:val="none" w:sz="0" w:space="0" w:color="auto"/>
                    <w:bottom w:val="none" w:sz="0" w:space="0" w:color="auto"/>
                    <w:right w:val="none" w:sz="0" w:space="0" w:color="auto"/>
                  </w:divBdr>
                  <w:divsChild>
                    <w:div w:id="1975482195">
                      <w:marLeft w:val="0"/>
                      <w:marRight w:val="0"/>
                      <w:marTop w:val="0"/>
                      <w:marBottom w:val="0"/>
                      <w:divBdr>
                        <w:top w:val="none" w:sz="0" w:space="0" w:color="auto"/>
                        <w:left w:val="none" w:sz="0" w:space="0" w:color="auto"/>
                        <w:bottom w:val="none" w:sz="0" w:space="0" w:color="auto"/>
                        <w:right w:val="none" w:sz="0" w:space="0" w:color="auto"/>
                      </w:divBdr>
                    </w:div>
                  </w:divsChild>
                </w:div>
                <w:div w:id="1661274695">
                  <w:marLeft w:val="0"/>
                  <w:marRight w:val="0"/>
                  <w:marTop w:val="0"/>
                  <w:marBottom w:val="0"/>
                  <w:divBdr>
                    <w:top w:val="none" w:sz="0" w:space="0" w:color="auto"/>
                    <w:left w:val="none" w:sz="0" w:space="0" w:color="auto"/>
                    <w:bottom w:val="none" w:sz="0" w:space="0" w:color="auto"/>
                    <w:right w:val="none" w:sz="0" w:space="0" w:color="auto"/>
                  </w:divBdr>
                  <w:divsChild>
                    <w:div w:id="1081609092">
                      <w:marLeft w:val="0"/>
                      <w:marRight w:val="0"/>
                      <w:marTop w:val="0"/>
                      <w:marBottom w:val="0"/>
                      <w:divBdr>
                        <w:top w:val="none" w:sz="0" w:space="0" w:color="auto"/>
                        <w:left w:val="none" w:sz="0" w:space="0" w:color="auto"/>
                        <w:bottom w:val="none" w:sz="0" w:space="0" w:color="auto"/>
                        <w:right w:val="none" w:sz="0" w:space="0" w:color="auto"/>
                      </w:divBdr>
                    </w:div>
                  </w:divsChild>
                </w:div>
                <w:div w:id="1721900004">
                  <w:marLeft w:val="0"/>
                  <w:marRight w:val="0"/>
                  <w:marTop w:val="0"/>
                  <w:marBottom w:val="0"/>
                  <w:divBdr>
                    <w:top w:val="none" w:sz="0" w:space="0" w:color="auto"/>
                    <w:left w:val="none" w:sz="0" w:space="0" w:color="auto"/>
                    <w:bottom w:val="none" w:sz="0" w:space="0" w:color="auto"/>
                    <w:right w:val="none" w:sz="0" w:space="0" w:color="auto"/>
                  </w:divBdr>
                  <w:divsChild>
                    <w:div w:id="1848906749">
                      <w:marLeft w:val="0"/>
                      <w:marRight w:val="0"/>
                      <w:marTop w:val="0"/>
                      <w:marBottom w:val="0"/>
                      <w:divBdr>
                        <w:top w:val="none" w:sz="0" w:space="0" w:color="auto"/>
                        <w:left w:val="none" w:sz="0" w:space="0" w:color="auto"/>
                        <w:bottom w:val="none" w:sz="0" w:space="0" w:color="auto"/>
                        <w:right w:val="none" w:sz="0" w:space="0" w:color="auto"/>
                      </w:divBdr>
                    </w:div>
                  </w:divsChild>
                </w:div>
                <w:div w:id="1727291267">
                  <w:marLeft w:val="0"/>
                  <w:marRight w:val="0"/>
                  <w:marTop w:val="0"/>
                  <w:marBottom w:val="0"/>
                  <w:divBdr>
                    <w:top w:val="none" w:sz="0" w:space="0" w:color="auto"/>
                    <w:left w:val="none" w:sz="0" w:space="0" w:color="auto"/>
                    <w:bottom w:val="none" w:sz="0" w:space="0" w:color="auto"/>
                    <w:right w:val="none" w:sz="0" w:space="0" w:color="auto"/>
                  </w:divBdr>
                  <w:divsChild>
                    <w:div w:id="575668387">
                      <w:marLeft w:val="0"/>
                      <w:marRight w:val="0"/>
                      <w:marTop w:val="0"/>
                      <w:marBottom w:val="0"/>
                      <w:divBdr>
                        <w:top w:val="none" w:sz="0" w:space="0" w:color="auto"/>
                        <w:left w:val="none" w:sz="0" w:space="0" w:color="auto"/>
                        <w:bottom w:val="none" w:sz="0" w:space="0" w:color="auto"/>
                        <w:right w:val="none" w:sz="0" w:space="0" w:color="auto"/>
                      </w:divBdr>
                    </w:div>
                  </w:divsChild>
                </w:div>
                <w:div w:id="1727487260">
                  <w:marLeft w:val="0"/>
                  <w:marRight w:val="0"/>
                  <w:marTop w:val="0"/>
                  <w:marBottom w:val="0"/>
                  <w:divBdr>
                    <w:top w:val="none" w:sz="0" w:space="0" w:color="auto"/>
                    <w:left w:val="none" w:sz="0" w:space="0" w:color="auto"/>
                    <w:bottom w:val="none" w:sz="0" w:space="0" w:color="auto"/>
                    <w:right w:val="none" w:sz="0" w:space="0" w:color="auto"/>
                  </w:divBdr>
                  <w:divsChild>
                    <w:div w:id="1364600070">
                      <w:marLeft w:val="0"/>
                      <w:marRight w:val="0"/>
                      <w:marTop w:val="0"/>
                      <w:marBottom w:val="0"/>
                      <w:divBdr>
                        <w:top w:val="none" w:sz="0" w:space="0" w:color="auto"/>
                        <w:left w:val="none" w:sz="0" w:space="0" w:color="auto"/>
                        <w:bottom w:val="none" w:sz="0" w:space="0" w:color="auto"/>
                        <w:right w:val="none" w:sz="0" w:space="0" w:color="auto"/>
                      </w:divBdr>
                    </w:div>
                  </w:divsChild>
                </w:div>
                <w:div w:id="1728644895">
                  <w:marLeft w:val="0"/>
                  <w:marRight w:val="0"/>
                  <w:marTop w:val="0"/>
                  <w:marBottom w:val="0"/>
                  <w:divBdr>
                    <w:top w:val="none" w:sz="0" w:space="0" w:color="auto"/>
                    <w:left w:val="none" w:sz="0" w:space="0" w:color="auto"/>
                    <w:bottom w:val="none" w:sz="0" w:space="0" w:color="auto"/>
                    <w:right w:val="none" w:sz="0" w:space="0" w:color="auto"/>
                  </w:divBdr>
                  <w:divsChild>
                    <w:div w:id="2133013440">
                      <w:marLeft w:val="0"/>
                      <w:marRight w:val="0"/>
                      <w:marTop w:val="0"/>
                      <w:marBottom w:val="0"/>
                      <w:divBdr>
                        <w:top w:val="none" w:sz="0" w:space="0" w:color="auto"/>
                        <w:left w:val="none" w:sz="0" w:space="0" w:color="auto"/>
                        <w:bottom w:val="none" w:sz="0" w:space="0" w:color="auto"/>
                        <w:right w:val="none" w:sz="0" w:space="0" w:color="auto"/>
                      </w:divBdr>
                    </w:div>
                  </w:divsChild>
                </w:div>
                <w:div w:id="1753890341">
                  <w:marLeft w:val="0"/>
                  <w:marRight w:val="0"/>
                  <w:marTop w:val="0"/>
                  <w:marBottom w:val="0"/>
                  <w:divBdr>
                    <w:top w:val="none" w:sz="0" w:space="0" w:color="auto"/>
                    <w:left w:val="none" w:sz="0" w:space="0" w:color="auto"/>
                    <w:bottom w:val="none" w:sz="0" w:space="0" w:color="auto"/>
                    <w:right w:val="none" w:sz="0" w:space="0" w:color="auto"/>
                  </w:divBdr>
                  <w:divsChild>
                    <w:div w:id="1340425804">
                      <w:marLeft w:val="0"/>
                      <w:marRight w:val="0"/>
                      <w:marTop w:val="0"/>
                      <w:marBottom w:val="0"/>
                      <w:divBdr>
                        <w:top w:val="none" w:sz="0" w:space="0" w:color="auto"/>
                        <w:left w:val="none" w:sz="0" w:space="0" w:color="auto"/>
                        <w:bottom w:val="none" w:sz="0" w:space="0" w:color="auto"/>
                        <w:right w:val="none" w:sz="0" w:space="0" w:color="auto"/>
                      </w:divBdr>
                    </w:div>
                  </w:divsChild>
                </w:div>
                <w:div w:id="1758401210">
                  <w:marLeft w:val="0"/>
                  <w:marRight w:val="0"/>
                  <w:marTop w:val="0"/>
                  <w:marBottom w:val="0"/>
                  <w:divBdr>
                    <w:top w:val="none" w:sz="0" w:space="0" w:color="auto"/>
                    <w:left w:val="none" w:sz="0" w:space="0" w:color="auto"/>
                    <w:bottom w:val="none" w:sz="0" w:space="0" w:color="auto"/>
                    <w:right w:val="none" w:sz="0" w:space="0" w:color="auto"/>
                  </w:divBdr>
                  <w:divsChild>
                    <w:div w:id="461388193">
                      <w:marLeft w:val="0"/>
                      <w:marRight w:val="0"/>
                      <w:marTop w:val="0"/>
                      <w:marBottom w:val="0"/>
                      <w:divBdr>
                        <w:top w:val="none" w:sz="0" w:space="0" w:color="auto"/>
                        <w:left w:val="none" w:sz="0" w:space="0" w:color="auto"/>
                        <w:bottom w:val="none" w:sz="0" w:space="0" w:color="auto"/>
                        <w:right w:val="none" w:sz="0" w:space="0" w:color="auto"/>
                      </w:divBdr>
                    </w:div>
                  </w:divsChild>
                </w:div>
                <w:div w:id="1807813274">
                  <w:marLeft w:val="0"/>
                  <w:marRight w:val="0"/>
                  <w:marTop w:val="0"/>
                  <w:marBottom w:val="0"/>
                  <w:divBdr>
                    <w:top w:val="none" w:sz="0" w:space="0" w:color="auto"/>
                    <w:left w:val="none" w:sz="0" w:space="0" w:color="auto"/>
                    <w:bottom w:val="none" w:sz="0" w:space="0" w:color="auto"/>
                    <w:right w:val="none" w:sz="0" w:space="0" w:color="auto"/>
                  </w:divBdr>
                  <w:divsChild>
                    <w:div w:id="375740398">
                      <w:marLeft w:val="0"/>
                      <w:marRight w:val="0"/>
                      <w:marTop w:val="0"/>
                      <w:marBottom w:val="0"/>
                      <w:divBdr>
                        <w:top w:val="none" w:sz="0" w:space="0" w:color="auto"/>
                        <w:left w:val="none" w:sz="0" w:space="0" w:color="auto"/>
                        <w:bottom w:val="none" w:sz="0" w:space="0" w:color="auto"/>
                        <w:right w:val="none" w:sz="0" w:space="0" w:color="auto"/>
                      </w:divBdr>
                    </w:div>
                  </w:divsChild>
                </w:div>
                <w:div w:id="1816682226">
                  <w:marLeft w:val="0"/>
                  <w:marRight w:val="0"/>
                  <w:marTop w:val="0"/>
                  <w:marBottom w:val="0"/>
                  <w:divBdr>
                    <w:top w:val="none" w:sz="0" w:space="0" w:color="auto"/>
                    <w:left w:val="none" w:sz="0" w:space="0" w:color="auto"/>
                    <w:bottom w:val="none" w:sz="0" w:space="0" w:color="auto"/>
                    <w:right w:val="none" w:sz="0" w:space="0" w:color="auto"/>
                  </w:divBdr>
                  <w:divsChild>
                    <w:div w:id="1761415846">
                      <w:marLeft w:val="0"/>
                      <w:marRight w:val="0"/>
                      <w:marTop w:val="0"/>
                      <w:marBottom w:val="0"/>
                      <w:divBdr>
                        <w:top w:val="none" w:sz="0" w:space="0" w:color="auto"/>
                        <w:left w:val="none" w:sz="0" w:space="0" w:color="auto"/>
                        <w:bottom w:val="none" w:sz="0" w:space="0" w:color="auto"/>
                        <w:right w:val="none" w:sz="0" w:space="0" w:color="auto"/>
                      </w:divBdr>
                    </w:div>
                  </w:divsChild>
                </w:div>
                <w:div w:id="1829398563">
                  <w:marLeft w:val="0"/>
                  <w:marRight w:val="0"/>
                  <w:marTop w:val="0"/>
                  <w:marBottom w:val="0"/>
                  <w:divBdr>
                    <w:top w:val="none" w:sz="0" w:space="0" w:color="auto"/>
                    <w:left w:val="none" w:sz="0" w:space="0" w:color="auto"/>
                    <w:bottom w:val="none" w:sz="0" w:space="0" w:color="auto"/>
                    <w:right w:val="none" w:sz="0" w:space="0" w:color="auto"/>
                  </w:divBdr>
                  <w:divsChild>
                    <w:div w:id="29258623">
                      <w:marLeft w:val="0"/>
                      <w:marRight w:val="0"/>
                      <w:marTop w:val="0"/>
                      <w:marBottom w:val="0"/>
                      <w:divBdr>
                        <w:top w:val="none" w:sz="0" w:space="0" w:color="auto"/>
                        <w:left w:val="none" w:sz="0" w:space="0" w:color="auto"/>
                        <w:bottom w:val="none" w:sz="0" w:space="0" w:color="auto"/>
                        <w:right w:val="none" w:sz="0" w:space="0" w:color="auto"/>
                      </w:divBdr>
                    </w:div>
                  </w:divsChild>
                </w:div>
                <w:div w:id="1830779883">
                  <w:marLeft w:val="0"/>
                  <w:marRight w:val="0"/>
                  <w:marTop w:val="0"/>
                  <w:marBottom w:val="0"/>
                  <w:divBdr>
                    <w:top w:val="none" w:sz="0" w:space="0" w:color="auto"/>
                    <w:left w:val="none" w:sz="0" w:space="0" w:color="auto"/>
                    <w:bottom w:val="none" w:sz="0" w:space="0" w:color="auto"/>
                    <w:right w:val="none" w:sz="0" w:space="0" w:color="auto"/>
                  </w:divBdr>
                  <w:divsChild>
                    <w:div w:id="93746917">
                      <w:marLeft w:val="0"/>
                      <w:marRight w:val="0"/>
                      <w:marTop w:val="0"/>
                      <w:marBottom w:val="0"/>
                      <w:divBdr>
                        <w:top w:val="none" w:sz="0" w:space="0" w:color="auto"/>
                        <w:left w:val="none" w:sz="0" w:space="0" w:color="auto"/>
                        <w:bottom w:val="none" w:sz="0" w:space="0" w:color="auto"/>
                        <w:right w:val="none" w:sz="0" w:space="0" w:color="auto"/>
                      </w:divBdr>
                    </w:div>
                  </w:divsChild>
                </w:div>
                <w:div w:id="1832720273">
                  <w:marLeft w:val="0"/>
                  <w:marRight w:val="0"/>
                  <w:marTop w:val="0"/>
                  <w:marBottom w:val="0"/>
                  <w:divBdr>
                    <w:top w:val="none" w:sz="0" w:space="0" w:color="auto"/>
                    <w:left w:val="none" w:sz="0" w:space="0" w:color="auto"/>
                    <w:bottom w:val="none" w:sz="0" w:space="0" w:color="auto"/>
                    <w:right w:val="none" w:sz="0" w:space="0" w:color="auto"/>
                  </w:divBdr>
                  <w:divsChild>
                    <w:div w:id="386031298">
                      <w:marLeft w:val="0"/>
                      <w:marRight w:val="0"/>
                      <w:marTop w:val="0"/>
                      <w:marBottom w:val="0"/>
                      <w:divBdr>
                        <w:top w:val="none" w:sz="0" w:space="0" w:color="auto"/>
                        <w:left w:val="none" w:sz="0" w:space="0" w:color="auto"/>
                        <w:bottom w:val="none" w:sz="0" w:space="0" w:color="auto"/>
                        <w:right w:val="none" w:sz="0" w:space="0" w:color="auto"/>
                      </w:divBdr>
                    </w:div>
                  </w:divsChild>
                </w:div>
                <w:div w:id="1851025949">
                  <w:marLeft w:val="0"/>
                  <w:marRight w:val="0"/>
                  <w:marTop w:val="0"/>
                  <w:marBottom w:val="0"/>
                  <w:divBdr>
                    <w:top w:val="none" w:sz="0" w:space="0" w:color="auto"/>
                    <w:left w:val="none" w:sz="0" w:space="0" w:color="auto"/>
                    <w:bottom w:val="none" w:sz="0" w:space="0" w:color="auto"/>
                    <w:right w:val="none" w:sz="0" w:space="0" w:color="auto"/>
                  </w:divBdr>
                  <w:divsChild>
                    <w:div w:id="2002460981">
                      <w:marLeft w:val="0"/>
                      <w:marRight w:val="0"/>
                      <w:marTop w:val="0"/>
                      <w:marBottom w:val="0"/>
                      <w:divBdr>
                        <w:top w:val="none" w:sz="0" w:space="0" w:color="auto"/>
                        <w:left w:val="none" w:sz="0" w:space="0" w:color="auto"/>
                        <w:bottom w:val="none" w:sz="0" w:space="0" w:color="auto"/>
                        <w:right w:val="none" w:sz="0" w:space="0" w:color="auto"/>
                      </w:divBdr>
                    </w:div>
                  </w:divsChild>
                </w:div>
                <w:div w:id="1867016656">
                  <w:marLeft w:val="0"/>
                  <w:marRight w:val="0"/>
                  <w:marTop w:val="0"/>
                  <w:marBottom w:val="0"/>
                  <w:divBdr>
                    <w:top w:val="none" w:sz="0" w:space="0" w:color="auto"/>
                    <w:left w:val="none" w:sz="0" w:space="0" w:color="auto"/>
                    <w:bottom w:val="none" w:sz="0" w:space="0" w:color="auto"/>
                    <w:right w:val="none" w:sz="0" w:space="0" w:color="auto"/>
                  </w:divBdr>
                  <w:divsChild>
                    <w:div w:id="524713305">
                      <w:marLeft w:val="0"/>
                      <w:marRight w:val="0"/>
                      <w:marTop w:val="0"/>
                      <w:marBottom w:val="0"/>
                      <w:divBdr>
                        <w:top w:val="none" w:sz="0" w:space="0" w:color="auto"/>
                        <w:left w:val="none" w:sz="0" w:space="0" w:color="auto"/>
                        <w:bottom w:val="none" w:sz="0" w:space="0" w:color="auto"/>
                        <w:right w:val="none" w:sz="0" w:space="0" w:color="auto"/>
                      </w:divBdr>
                    </w:div>
                  </w:divsChild>
                </w:div>
                <w:div w:id="1867407271">
                  <w:marLeft w:val="0"/>
                  <w:marRight w:val="0"/>
                  <w:marTop w:val="0"/>
                  <w:marBottom w:val="0"/>
                  <w:divBdr>
                    <w:top w:val="none" w:sz="0" w:space="0" w:color="auto"/>
                    <w:left w:val="none" w:sz="0" w:space="0" w:color="auto"/>
                    <w:bottom w:val="none" w:sz="0" w:space="0" w:color="auto"/>
                    <w:right w:val="none" w:sz="0" w:space="0" w:color="auto"/>
                  </w:divBdr>
                  <w:divsChild>
                    <w:div w:id="1003971537">
                      <w:marLeft w:val="0"/>
                      <w:marRight w:val="0"/>
                      <w:marTop w:val="0"/>
                      <w:marBottom w:val="0"/>
                      <w:divBdr>
                        <w:top w:val="none" w:sz="0" w:space="0" w:color="auto"/>
                        <w:left w:val="none" w:sz="0" w:space="0" w:color="auto"/>
                        <w:bottom w:val="none" w:sz="0" w:space="0" w:color="auto"/>
                        <w:right w:val="none" w:sz="0" w:space="0" w:color="auto"/>
                      </w:divBdr>
                    </w:div>
                  </w:divsChild>
                </w:div>
                <w:div w:id="1875774762">
                  <w:marLeft w:val="0"/>
                  <w:marRight w:val="0"/>
                  <w:marTop w:val="0"/>
                  <w:marBottom w:val="0"/>
                  <w:divBdr>
                    <w:top w:val="none" w:sz="0" w:space="0" w:color="auto"/>
                    <w:left w:val="none" w:sz="0" w:space="0" w:color="auto"/>
                    <w:bottom w:val="none" w:sz="0" w:space="0" w:color="auto"/>
                    <w:right w:val="none" w:sz="0" w:space="0" w:color="auto"/>
                  </w:divBdr>
                  <w:divsChild>
                    <w:div w:id="938180349">
                      <w:marLeft w:val="0"/>
                      <w:marRight w:val="0"/>
                      <w:marTop w:val="0"/>
                      <w:marBottom w:val="0"/>
                      <w:divBdr>
                        <w:top w:val="none" w:sz="0" w:space="0" w:color="auto"/>
                        <w:left w:val="none" w:sz="0" w:space="0" w:color="auto"/>
                        <w:bottom w:val="none" w:sz="0" w:space="0" w:color="auto"/>
                        <w:right w:val="none" w:sz="0" w:space="0" w:color="auto"/>
                      </w:divBdr>
                    </w:div>
                  </w:divsChild>
                </w:div>
                <w:div w:id="1900509830">
                  <w:marLeft w:val="0"/>
                  <w:marRight w:val="0"/>
                  <w:marTop w:val="0"/>
                  <w:marBottom w:val="0"/>
                  <w:divBdr>
                    <w:top w:val="none" w:sz="0" w:space="0" w:color="auto"/>
                    <w:left w:val="none" w:sz="0" w:space="0" w:color="auto"/>
                    <w:bottom w:val="none" w:sz="0" w:space="0" w:color="auto"/>
                    <w:right w:val="none" w:sz="0" w:space="0" w:color="auto"/>
                  </w:divBdr>
                  <w:divsChild>
                    <w:div w:id="706098733">
                      <w:marLeft w:val="0"/>
                      <w:marRight w:val="0"/>
                      <w:marTop w:val="0"/>
                      <w:marBottom w:val="0"/>
                      <w:divBdr>
                        <w:top w:val="none" w:sz="0" w:space="0" w:color="auto"/>
                        <w:left w:val="none" w:sz="0" w:space="0" w:color="auto"/>
                        <w:bottom w:val="none" w:sz="0" w:space="0" w:color="auto"/>
                        <w:right w:val="none" w:sz="0" w:space="0" w:color="auto"/>
                      </w:divBdr>
                    </w:div>
                  </w:divsChild>
                </w:div>
                <w:div w:id="1909152187">
                  <w:marLeft w:val="0"/>
                  <w:marRight w:val="0"/>
                  <w:marTop w:val="0"/>
                  <w:marBottom w:val="0"/>
                  <w:divBdr>
                    <w:top w:val="none" w:sz="0" w:space="0" w:color="auto"/>
                    <w:left w:val="none" w:sz="0" w:space="0" w:color="auto"/>
                    <w:bottom w:val="none" w:sz="0" w:space="0" w:color="auto"/>
                    <w:right w:val="none" w:sz="0" w:space="0" w:color="auto"/>
                  </w:divBdr>
                  <w:divsChild>
                    <w:div w:id="1496649705">
                      <w:marLeft w:val="0"/>
                      <w:marRight w:val="0"/>
                      <w:marTop w:val="0"/>
                      <w:marBottom w:val="0"/>
                      <w:divBdr>
                        <w:top w:val="none" w:sz="0" w:space="0" w:color="auto"/>
                        <w:left w:val="none" w:sz="0" w:space="0" w:color="auto"/>
                        <w:bottom w:val="none" w:sz="0" w:space="0" w:color="auto"/>
                        <w:right w:val="none" w:sz="0" w:space="0" w:color="auto"/>
                      </w:divBdr>
                    </w:div>
                  </w:divsChild>
                </w:div>
                <w:div w:id="1915235285">
                  <w:marLeft w:val="0"/>
                  <w:marRight w:val="0"/>
                  <w:marTop w:val="0"/>
                  <w:marBottom w:val="0"/>
                  <w:divBdr>
                    <w:top w:val="none" w:sz="0" w:space="0" w:color="auto"/>
                    <w:left w:val="none" w:sz="0" w:space="0" w:color="auto"/>
                    <w:bottom w:val="none" w:sz="0" w:space="0" w:color="auto"/>
                    <w:right w:val="none" w:sz="0" w:space="0" w:color="auto"/>
                  </w:divBdr>
                  <w:divsChild>
                    <w:div w:id="1638952727">
                      <w:marLeft w:val="0"/>
                      <w:marRight w:val="0"/>
                      <w:marTop w:val="0"/>
                      <w:marBottom w:val="0"/>
                      <w:divBdr>
                        <w:top w:val="none" w:sz="0" w:space="0" w:color="auto"/>
                        <w:left w:val="none" w:sz="0" w:space="0" w:color="auto"/>
                        <w:bottom w:val="none" w:sz="0" w:space="0" w:color="auto"/>
                        <w:right w:val="none" w:sz="0" w:space="0" w:color="auto"/>
                      </w:divBdr>
                    </w:div>
                  </w:divsChild>
                </w:div>
                <w:div w:id="1964115405">
                  <w:marLeft w:val="0"/>
                  <w:marRight w:val="0"/>
                  <w:marTop w:val="0"/>
                  <w:marBottom w:val="0"/>
                  <w:divBdr>
                    <w:top w:val="none" w:sz="0" w:space="0" w:color="auto"/>
                    <w:left w:val="none" w:sz="0" w:space="0" w:color="auto"/>
                    <w:bottom w:val="none" w:sz="0" w:space="0" w:color="auto"/>
                    <w:right w:val="none" w:sz="0" w:space="0" w:color="auto"/>
                  </w:divBdr>
                  <w:divsChild>
                    <w:div w:id="1377310871">
                      <w:marLeft w:val="0"/>
                      <w:marRight w:val="0"/>
                      <w:marTop w:val="0"/>
                      <w:marBottom w:val="0"/>
                      <w:divBdr>
                        <w:top w:val="none" w:sz="0" w:space="0" w:color="auto"/>
                        <w:left w:val="none" w:sz="0" w:space="0" w:color="auto"/>
                        <w:bottom w:val="none" w:sz="0" w:space="0" w:color="auto"/>
                        <w:right w:val="none" w:sz="0" w:space="0" w:color="auto"/>
                      </w:divBdr>
                    </w:div>
                  </w:divsChild>
                </w:div>
                <w:div w:id="1972591141">
                  <w:marLeft w:val="0"/>
                  <w:marRight w:val="0"/>
                  <w:marTop w:val="0"/>
                  <w:marBottom w:val="0"/>
                  <w:divBdr>
                    <w:top w:val="none" w:sz="0" w:space="0" w:color="auto"/>
                    <w:left w:val="none" w:sz="0" w:space="0" w:color="auto"/>
                    <w:bottom w:val="none" w:sz="0" w:space="0" w:color="auto"/>
                    <w:right w:val="none" w:sz="0" w:space="0" w:color="auto"/>
                  </w:divBdr>
                  <w:divsChild>
                    <w:div w:id="914169474">
                      <w:marLeft w:val="0"/>
                      <w:marRight w:val="0"/>
                      <w:marTop w:val="0"/>
                      <w:marBottom w:val="0"/>
                      <w:divBdr>
                        <w:top w:val="none" w:sz="0" w:space="0" w:color="auto"/>
                        <w:left w:val="none" w:sz="0" w:space="0" w:color="auto"/>
                        <w:bottom w:val="none" w:sz="0" w:space="0" w:color="auto"/>
                        <w:right w:val="none" w:sz="0" w:space="0" w:color="auto"/>
                      </w:divBdr>
                    </w:div>
                  </w:divsChild>
                </w:div>
                <w:div w:id="1996911837">
                  <w:marLeft w:val="0"/>
                  <w:marRight w:val="0"/>
                  <w:marTop w:val="0"/>
                  <w:marBottom w:val="0"/>
                  <w:divBdr>
                    <w:top w:val="none" w:sz="0" w:space="0" w:color="auto"/>
                    <w:left w:val="none" w:sz="0" w:space="0" w:color="auto"/>
                    <w:bottom w:val="none" w:sz="0" w:space="0" w:color="auto"/>
                    <w:right w:val="none" w:sz="0" w:space="0" w:color="auto"/>
                  </w:divBdr>
                  <w:divsChild>
                    <w:div w:id="543759985">
                      <w:marLeft w:val="0"/>
                      <w:marRight w:val="0"/>
                      <w:marTop w:val="0"/>
                      <w:marBottom w:val="0"/>
                      <w:divBdr>
                        <w:top w:val="none" w:sz="0" w:space="0" w:color="auto"/>
                        <w:left w:val="none" w:sz="0" w:space="0" w:color="auto"/>
                        <w:bottom w:val="none" w:sz="0" w:space="0" w:color="auto"/>
                        <w:right w:val="none" w:sz="0" w:space="0" w:color="auto"/>
                      </w:divBdr>
                    </w:div>
                  </w:divsChild>
                </w:div>
                <w:div w:id="2010281470">
                  <w:marLeft w:val="0"/>
                  <w:marRight w:val="0"/>
                  <w:marTop w:val="0"/>
                  <w:marBottom w:val="0"/>
                  <w:divBdr>
                    <w:top w:val="none" w:sz="0" w:space="0" w:color="auto"/>
                    <w:left w:val="none" w:sz="0" w:space="0" w:color="auto"/>
                    <w:bottom w:val="none" w:sz="0" w:space="0" w:color="auto"/>
                    <w:right w:val="none" w:sz="0" w:space="0" w:color="auto"/>
                  </w:divBdr>
                  <w:divsChild>
                    <w:div w:id="997920665">
                      <w:marLeft w:val="0"/>
                      <w:marRight w:val="0"/>
                      <w:marTop w:val="0"/>
                      <w:marBottom w:val="0"/>
                      <w:divBdr>
                        <w:top w:val="none" w:sz="0" w:space="0" w:color="auto"/>
                        <w:left w:val="none" w:sz="0" w:space="0" w:color="auto"/>
                        <w:bottom w:val="none" w:sz="0" w:space="0" w:color="auto"/>
                        <w:right w:val="none" w:sz="0" w:space="0" w:color="auto"/>
                      </w:divBdr>
                    </w:div>
                  </w:divsChild>
                </w:div>
                <w:div w:id="2012684679">
                  <w:marLeft w:val="0"/>
                  <w:marRight w:val="0"/>
                  <w:marTop w:val="0"/>
                  <w:marBottom w:val="0"/>
                  <w:divBdr>
                    <w:top w:val="none" w:sz="0" w:space="0" w:color="auto"/>
                    <w:left w:val="none" w:sz="0" w:space="0" w:color="auto"/>
                    <w:bottom w:val="none" w:sz="0" w:space="0" w:color="auto"/>
                    <w:right w:val="none" w:sz="0" w:space="0" w:color="auto"/>
                  </w:divBdr>
                  <w:divsChild>
                    <w:div w:id="2065328612">
                      <w:marLeft w:val="0"/>
                      <w:marRight w:val="0"/>
                      <w:marTop w:val="0"/>
                      <w:marBottom w:val="0"/>
                      <w:divBdr>
                        <w:top w:val="none" w:sz="0" w:space="0" w:color="auto"/>
                        <w:left w:val="none" w:sz="0" w:space="0" w:color="auto"/>
                        <w:bottom w:val="none" w:sz="0" w:space="0" w:color="auto"/>
                        <w:right w:val="none" w:sz="0" w:space="0" w:color="auto"/>
                      </w:divBdr>
                    </w:div>
                  </w:divsChild>
                </w:div>
                <w:div w:id="2039889801">
                  <w:marLeft w:val="0"/>
                  <w:marRight w:val="0"/>
                  <w:marTop w:val="0"/>
                  <w:marBottom w:val="0"/>
                  <w:divBdr>
                    <w:top w:val="none" w:sz="0" w:space="0" w:color="auto"/>
                    <w:left w:val="none" w:sz="0" w:space="0" w:color="auto"/>
                    <w:bottom w:val="none" w:sz="0" w:space="0" w:color="auto"/>
                    <w:right w:val="none" w:sz="0" w:space="0" w:color="auto"/>
                  </w:divBdr>
                  <w:divsChild>
                    <w:div w:id="1854564119">
                      <w:marLeft w:val="0"/>
                      <w:marRight w:val="0"/>
                      <w:marTop w:val="0"/>
                      <w:marBottom w:val="0"/>
                      <w:divBdr>
                        <w:top w:val="none" w:sz="0" w:space="0" w:color="auto"/>
                        <w:left w:val="none" w:sz="0" w:space="0" w:color="auto"/>
                        <w:bottom w:val="none" w:sz="0" w:space="0" w:color="auto"/>
                        <w:right w:val="none" w:sz="0" w:space="0" w:color="auto"/>
                      </w:divBdr>
                    </w:div>
                  </w:divsChild>
                </w:div>
                <w:div w:id="2076125590">
                  <w:marLeft w:val="0"/>
                  <w:marRight w:val="0"/>
                  <w:marTop w:val="0"/>
                  <w:marBottom w:val="0"/>
                  <w:divBdr>
                    <w:top w:val="none" w:sz="0" w:space="0" w:color="auto"/>
                    <w:left w:val="none" w:sz="0" w:space="0" w:color="auto"/>
                    <w:bottom w:val="none" w:sz="0" w:space="0" w:color="auto"/>
                    <w:right w:val="none" w:sz="0" w:space="0" w:color="auto"/>
                  </w:divBdr>
                  <w:divsChild>
                    <w:div w:id="560992067">
                      <w:marLeft w:val="0"/>
                      <w:marRight w:val="0"/>
                      <w:marTop w:val="0"/>
                      <w:marBottom w:val="0"/>
                      <w:divBdr>
                        <w:top w:val="none" w:sz="0" w:space="0" w:color="auto"/>
                        <w:left w:val="none" w:sz="0" w:space="0" w:color="auto"/>
                        <w:bottom w:val="none" w:sz="0" w:space="0" w:color="auto"/>
                        <w:right w:val="none" w:sz="0" w:space="0" w:color="auto"/>
                      </w:divBdr>
                    </w:div>
                  </w:divsChild>
                </w:div>
                <w:div w:id="2092504048">
                  <w:marLeft w:val="0"/>
                  <w:marRight w:val="0"/>
                  <w:marTop w:val="0"/>
                  <w:marBottom w:val="0"/>
                  <w:divBdr>
                    <w:top w:val="none" w:sz="0" w:space="0" w:color="auto"/>
                    <w:left w:val="none" w:sz="0" w:space="0" w:color="auto"/>
                    <w:bottom w:val="none" w:sz="0" w:space="0" w:color="auto"/>
                    <w:right w:val="none" w:sz="0" w:space="0" w:color="auto"/>
                  </w:divBdr>
                  <w:divsChild>
                    <w:div w:id="969239219">
                      <w:marLeft w:val="0"/>
                      <w:marRight w:val="0"/>
                      <w:marTop w:val="0"/>
                      <w:marBottom w:val="0"/>
                      <w:divBdr>
                        <w:top w:val="none" w:sz="0" w:space="0" w:color="auto"/>
                        <w:left w:val="none" w:sz="0" w:space="0" w:color="auto"/>
                        <w:bottom w:val="none" w:sz="0" w:space="0" w:color="auto"/>
                        <w:right w:val="none" w:sz="0" w:space="0" w:color="auto"/>
                      </w:divBdr>
                    </w:div>
                  </w:divsChild>
                </w:div>
                <w:div w:id="2096245011">
                  <w:marLeft w:val="0"/>
                  <w:marRight w:val="0"/>
                  <w:marTop w:val="0"/>
                  <w:marBottom w:val="0"/>
                  <w:divBdr>
                    <w:top w:val="none" w:sz="0" w:space="0" w:color="auto"/>
                    <w:left w:val="none" w:sz="0" w:space="0" w:color="auto"/>
                    <w:bottom w:val="none" w:sz="0" w:space="0" w:color="auto"/>
                    <w:right w:val="none" w:sz="0" w:space="0" w:color="auto"/>
                  </w:divBdr>
                  <w:divsChild>
                    <w:div w:id="865294582">
                      <w:marLeft w:val="0"/>
                      <w:marRight w:val="0"/>
                      <w:marTop w:val="0"/>
                      <w:marBottom w:val="0"/>
                      <w:divBdr>
                        <w:top w:val="none" w:sz="0" w:space="0" w:color="auto"/>
                        <w:left w:val="none" w:sz="0" w:space="0" w:color="auto"/>
                        <w:bottom w:val="none" w:sz="0" w:space="0" w:color="auto"/>
                        <w:right w:val="none" w:sz="0" w:space="0" w:color="auto"/>
                      </w:divBdr>
                    </w:div>
                  </w:divsChild>
                </w:div>
                <w:div w:id="2123527400">
                  <w:marLeft w:val="0"/>
                  <w:marRight w:val="0"/>
                  <w:marTop w:val="0"/>
                  <w:marBottom w:val="0"/>
                  <w:divBdr>
                    <w:top w:val="none" w:sz="0" w:space="0" w:color="auto"/>
                    <w:left w:val="none" w:sz="0" w:space="0" w:color="auto"/>
                    <w:bottom w:val="none" w:sz="0" w:space="0" w:color="auto"/>
                    <w:right w:val="none" w:sz="0" w:space="0" w:color="auto"/>
                  </w:divBdr>
                  <w:divsChild>
                    <w:div w:id="1375500526">
                      <w:marLeft w:val="0"/>
                      <w:marRight w:val="0"/>
                      <w:marTop w:val="0"/>
                      <w:marBottom w:val="0"/>
                      <w:divBdr>
                        <w:top w:val="none" w:sz="0" w:space="0" w:color="auto"/>
                        <w:left w:val="none" w:sz="0" w:space="0" w:color="auto"/>
                        <w:bottom w:val="none" w:sz="0" w:space="0" w:color="auto"/>
                        <w:right w:val="none" w:sz="0" w:space="0" w:color="auto"/>
                      </w:divBdr>
                    </w:div>
                  </w:divsChild>
                </w:div>
                <w:div w:id="2129082715">
                  <w:marLeft w:val="0"/>
                  <w:marRight w:val="0"/>
                  <w:marTop w:val="0"/>
                  <w:marBottom w:val="0"/>
                  <w:divBdr>
                    <w:top w:val="none" w:sz="0" w:space="0" w:color="auto"/>
                    <w:left w:val="none" w:sz="0" w:space="0" w:color="auto"/>
                    <w:bottom w:val="none" w:sz="0" w:space="0" w:color="auto"/>
                    <w:right w:val="none" w:sz="0" w:space="0" w:color="auto"/>
                  </w:divBdr>
                  <w:divsChild>
                    <w:div w:id="48077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582888">
          <w:marLeft w:val="0"/>
          <w:marRight w:val="0"/>
          <w:marTop w:val="0"/>
          <w:marBottom w:val="0"/>
          <w:divBdr>
            <w:top w:val="none" w:sz="0" w:space="0" w:color="auto"/>
            <w:left w:val="none" w:sz="0" w:space="0" w:color="auto"/>
            <w:bottom w:val="none" w:sz="0" w:space="0" w:color="auto"/>
            <w:right w:val="none" w:sz="0" w:space="0" w:color="auto"/>
          </w:divBdr>
        </w:div>
        <w:div w:id="649871761">
          <w:marLeft w:val="0"/>
          <w:marRight w:val="0"/>
          <w:marTop w:val="0"/>
          <w:marBottom w:val="0"/>
          <w:divBdr>
            <w:top w:val="none" w:sz="0" w:space="0" w:color="auto"/>
            <w:left w:val="none" w:sz="0" w:space="0" w:color="auto"/>
            <w:bottom w:val="none" w:sz="0" w:space="0" w:color="auto"/>
            <w:right w:val="none" w:sz="0" w:space="0" w:color="auto"/>
          </w:divBdr>
        </w:div>
        <w:div w:id="680619360">
          <w:marLeft w:val="0"/>
          <w:marRight w:val="0"/>
          <w:marTop w:val="0"/>
          <w:marBottom w:val="0"/>
          <w:divBdr>
            <w:top w:val="none" w:sz="0" w:space="0" w:color="auto"/>
            <w:left w:val="none" w:sz="0" w:space="0" w:color="auto"/>
            <w:bottom w:val="none" w:sz="0" w:space="0" w:color="auto"/>
            <w:right w:val="none" w:sz="0" w:space="0" w:color="auto"/>
          </w:divBdr>
        </w:div>
        <w:div w:id="693963642">
          <w:marLeft w:val="0"/>
          <w:marRight w:val="0"/>
          <w:marTop w:val="0"/>
          <w:marBottom w:val="0"/>
          <w:divBdr>
            <w:top w:val="none" w:sz="0" w:space="0" w:color="auto"/>
            <w:left w:val="none" w:sz="0" w:space="0" w:color="auto"/>
            <w:bottom w:val="none" w:sz="0" w:space="0" w:color="auto"/>
            <w:right w:val="none" w:sz="0" w:space="0" w:color="auto"/>
          </w:divBdr>
          <w:divsChild>
            <w:div w:id="921988532">
              <w:marLeft w:val="-75"/>
              <w:marRight w:val="0"/>
              <w:marTop w:val="30"/>
              <w:marBottom w:val="30"/>
              <w:divBdr>
                <w:top w:val="none" w:sz="0" w:space="0" w:color="auto"/>
                <w:left w:val="none" w:sz="0" w:space="0" w:color="auto"/>
                <w:bottom w:val="none" w:sz="0" w:space="0" w:color="auto"/>
                <w:right w:val="none" w:sz="0" w:space="0" w:color="auto"/>
              </w:divBdr>
              <w:divsChild>
                <w:div w:id="252052925">
                  <w:marLeft w:val="0"/>
                  <w:marRight w:val="0"/>
                  <w:marTop w:val="0"/>
                  <w:marBottom w:val="0"/>
                  <w:divBdr>
                    <w:top w:val="none" w:sz="0" w:space="0" w:color="auto"/>
                    <w:left w:val="none" w:sz="0" w:space="0" w:color="auto"/>
                    <w:bottom w:val="none" w:sz="0" w:space="0" w:color="auto"/>
                    <w:right w:val="none" w:sz="0" w:space="0" w:color="auto"/>
                  </w:divBdr>
                  <w:divsChild>
                    <w:div w:id="1610896884">
                      <w:marLeft w:val="0"/>
                      <w:marRight w:val="0"/>
                      <w:marTop w:val="0"/>
                      <w:marBottom w:val="0"/>
                      <w:divBdr>
                        <w:top w:val="none" w:sz="0" w:space="0" w:color="auto"/>
                        <w:left w:val="none" w:sz="0" w:space="0" w:color="auto"/>
                        <w:bottom w:val="none" w:sz="0" w:space="0" w:color="auto"/>
                        <w:right w:val="none" w:sz="0" w:space="0" w:color="auto"/>
                      </w:divBdr>
                    </w:div>
                  </w:divsChild>
                </w:div>
                <w:div w:id="544634284">
                  <w:marLeft w:val="0"/>
                  <w:marRight w:val="0"/>
                  <w:marTop w:val="0"/>
                  <w:marBottom w:val="0"/>
                  <w:divBdr>
                    <w:top w:val="none" w:sz="0" w:space="0" w:color="auto"/>
                    <w:left w:val="none" w:sz="0" w:space="0" w:color="auto"/>
                    <w:bottom w:val="none" w:sz="0" w:space="0" w:color="auto"/>
                    <w:right w:val="none" w:sz="0" w:space="0" w:color="auto"/>
                  </w:divBdr>
                  <w:divsChild>
                    <w:div w:id="1087076164">
                      <w:marLeft w:val="0"/>
                      <w:marRight w:val="0"/>
                      <w:marTop w:val="0"/>
                      <w:marBottom w:val="0"/>
                      <w:divBdr>
                        <w:top w:val="none" w:sz="0" w:space="0" w:color="auto"/>
                        <w:left w:val="none" w:sz="0" w:space="0" w:color="auto"/>
                        <w:bottom w:val="none" w:sz="0" w:space="0" w:color="auto"/>
                        <w:right w:val="none" w:sz="0" w:space="0" w:color="auto"/>
                      </w:divBdr>
                    </w:div>
                  </w:divsChild>
                </w:div>
                <w:div w:id="712077821">
                  <w:marLeft w:val="0"/>
                  <w:marRight w:val="0"/>
                  <w:marTop w:val="0"/>
                  <w:marBottom w:val="0"/>
                  <w:divBdr>
                    <w:top w:val="none" w:sz="0" w:space="0" w:color="auto"/>
                    <w:left w:val="none" w:sz="0" w:space="0" w:color="auto"/>
                    <w:bottom w:val="none" w:sz="0" w:space="0" w:color="auto"/>
                    <w:right w:val="none" w:sz="0" w:space="0" w:color="auto"/>
                  </w:divBdr>
                  <w:divsChild>
                    <w:div w:id="1071973604">
                      <w:marLeft w:val="0"/>
                      <w:marRight w:val="0"/>
                      <w:marTop w:val="0"/>
                      <w:marBottom w:val="0"/>
                      <w:divBdr>
                        <w:top w:val="none" w:sz="0" w:space="0" w:color="auto"/>
                        <w:left w:val="none" w:sz="0" w:space="0" w:color="auto"/>
                        <w:bottom w:val="none" w:sz="0" w:space="0" w:color="auto"/>
                        <w:right w:val="none" w:sz="0" w:space="0" w:color="auto"/>
                      </w:divBdr>
                    </w:div>
                  </w:divsChild>
                </w:div>
                <w:div w:id="980578447">
                  <w:marLeft w:val="0"/>
                  <w:marRight w:val="0"/>
                  <w:marTop w:val="0"/>
                  <w:marBottom w:val="0"/>
                  <w:divBdr>
                    <w:top w:val="none" w:sz="0" w:space="0" w:color="auto"/>
                    <w:left w:val="none" w:sz="0" w:space="0" w:color="auto"/>
                    <w:bottom w:val="none" w:sz="0" w:space="0" w:color="auto"/>
                    <w:right w:val="none" w:sz="0" w:space="0" w:color="auto"/>
                  </w:divBdr>
                  <w:divsChild>
                    <w:div w:id="667638245">
                      <w:marLeft w:val="0"/>
                      <w:marRight w:val="0"/>
                      <w:marTop w:val="0"/>
                      <w:marBottom w:val="0"/>
                      <w:divBdr>
                        <w:top w:val="none" w:sz="0" w:space="0" w:color="auto"/>
                        <w:left w:val="none" w:sz="0" w:space="0" w:color="auto"/>
                        <w:bottom w:val="none" w:sz="0" w:space="0" w:color="auto"/>
                        <w:right w:val="none" w:sz="0" w:space="0" w:color="auto"/>
                      </w:divBdr>
                    </w:div>
                  </w:divsChild>
                </w:div>
                <w:div w:id="1045329111">
                  <w:marLeft w:val="0"/>
                  <w:marRight w:val="0"/>
                  <w:marTop w:val="0"/>
                  <w:marBottom w:val="0"/>
                  <w:divBdr>
                    <w:top w:val="none" w:sz="0" w:space="0" w:color="auto"/>
                    <w:left w:val="none" w:sz="0" w:space="0" w:color="auto"/>
                    <w:bottom w:val="none" w:sz="0" w:space="0" w:color="auto"/>
                    <w:right w:val="none" w:sz="0" w:space="0" w:color="auto"/>
                  </w:divBdr>
                  <w:divsChild>
                    <w:div w:id="2067878396">
                      <w:marLeft w:val="0"/>
                      <w:marRight w:val="0"/>
                      <w:marTop w:val="0"/>
                      <w:marBottom w:val="0"/>
                      <w:divBdr>
                        <w:top w:val="none" w:sz="0" w:space="0" w:color="auto"/>
                        <w:left w:val="none" w:sz="0" w:space="0" w:color="auto"/>
                        <w:bottom w:val="none" w:sz="0" w:space="0" w:color="auto"/>
                        <w:right w:val="none" w:sz="0" w:space="0" w:color="auto"/>
                      </w:divBdr>
                    </w:div>
                  </w:divsChild>
                </w:div>
                <w:div w:id="1249385080">
                  <w:marLeft w:val="0"/>
                  <w:marRight w:val="0"/>
                  <w:marTop w:val="0"/>
                  <w:marBottom w:val="0"/>
                  <w:divBdr>
                    <w:top w:val="none" w:sz="0" w:space="0" w:color="auto"/>
                    <w:left w:val="none" w:sz="0" w:space="0" w:color="auto"/>
                    <w:bottom w:val="none" w:sz="0" w:space="0" w:color="auto"/>
                    <w:right w:val="none" w:sz="0" w:space="0" w:color="auto"/>
                  </w:divBdr>
                  <w:divsChild>
                    <w:div w:id="1120219338">
                      <w:marLeft w:val="0"/>
                      <w:marRight w:val="0"/>
                      <w:marTop w:val="0"/>
                      <w:marBottom w:val="0"/>
                      <w:divBdr>
                        <w:top w:val="none" w:sz="0" w:space="0" w:color="auto"/>
                        <w:left w:val="none" w:sz="0" w:space="0" w:color="auto"/>
                        <w:bottom w:val="none" w:sz="0" w:space="0" w:color="auto"/>
                        <w:right w:val="none" w:sz="0" w:space="0" w:color="auto"/>
                      </w:divBdr>
                    </w:div>
                  </w:divsChild>
                </w:div>
                <w:div w:id="1270893708">
                  <w:marLeft w:val="0"/>
                  <w:marRight w:val="0"/>
                  <w:marTop w:val="0"/>
                  <w:marBottom w:val="0"/>
                  <w:divBdr>
                    <w:top w:val="none" w:sz="0" w:space="0" w:color="auto"/>
                    <w:left w:val="none" w:sz="0" w:space="0" w:color="auto"/>
                    <w:bottom w:val="none" w:sz="0" w:space="0" w:color="auto"/>
                    <w:right w:val="none" w:sz="0" w:space="0" w:color="auto"/>
                  </w:divBdr>
                  <w:divsChild>
                    <w:div w:id="224731414">
                      <w:marLeft w:val="0"/>
                      <w:marRight w:val="0"/>
                      <w:marTop w:val="0"/>
                      <w:marBottom w:val="0"/>
                      <w:divBdr>
                        <w:top w:val="none" w:sz="0" w:space="0" w:color="auto"/>
                        <w:left w:val="none" w:sz="0" w:space="0" w:color="auto"/>
                        <w:bottom w:val="none" w:sz="0" w:space="0" w:color="auto"/>
                        <w:right w:val="none" w:sz="0" w:space="0" w:color="auto"/>
                      </w:divBdr>
                    </w:div>
                  </w:divsChild>
                </w:div>
                <w:div w:id="1318455279">
                  <w:marLeft w:val="0"/>
                  <w:marRight w:val="0"/>
                  <w:marTop w:val="0"/>
                  <w:marBottom w:val="0"/>
                  <w:divBdr>
                    <w:top w:val="none" w:sz="0" w:space="0" w:color="auto"/>
                    <w:left w:val="none" w:sz="0" w:space="0" w:color="auto"/>
                    <w:bottom w:val="none" w:sz="0" w:space="0" w:color="auto"/>
                    <w:right w:val="none" w:sz="0" w:space="0" w:color="auto"/>
                  </w:divBdr>
                  <w:divsChild>
                    <w:div w:id="184250828">
                      <w:marLeft w:val="0"/>
                      <w:marRight w:val="0"/>
                      <w:marTop w:val="0"/>
                      <w:marBottom w:val="0"/>
                      <w:divBdr>
                        <w:top w:val="none" w:sz="0" w:space="0" w:color="auto"/>
                        <w:left w:val="none" w:sz="0" w:space="0" w:color="auto"/>
                        <w:bottom w:val="none" w:sz="0" w:space="0" w:color="auto"/>
                        <w:right w:val="none" w:sz="0" w:space="0" w:color="auto"/>
                      </w:divBdr>
                    </w:div>
                  </w:divsChild>
                </w:div>
                <w:div w:id="1453674854">
                  <w:marLeft w:val="0"/>
                  <w:marRight w:val="0"/>
                  <w:marTop w:val="0"/>
                  <w:marBottom w:val="0"/>
                  <w:divBdr>
                    <w:top w:val="none" w:sz="0" w:space="0" w:color="auto"/>
                    <w:left w:val="none" w:sz="0" w:space="0" w:color="auto"/>
                    <w:bottom w:val="none" w:sz="0" w:space="0" w:color="auto"/>
                    <w:right w:val="none" w:sz="0" w:space="0" w:color="auto"/>
                  </w:divBdr>
                  <w:divsChild>
                    <w:div w:id="1497838888">
                      <w:marLeft w:val="0"/>
                      <w:marRight w:val="0"/>
                      <w:marTop w:val="0"/>
                      <w:marBottom w:val="0"/>
                      <w:divBdr>
                        <w:top w:val="none" w:sz="0" w:space="0" w:color="auto"/>
                        <w:left w:val="none" w:sz="0" w:space="0" w:color="auto"/>
                        <w:bottom w:val="none" w:sz="0" w:space="0" w:color="auto"/>
                        <w:right w:val="none" w:sz="0" w:space="0" w:color="auto"/>
                      </w:divBdr>
                    </w:div>
                  </w:divsChild>
                </w:div>
                <w:div w:id="1641879065">
                  <w:marLeft w:val="0"/>
                  <w:marRight w:val="0"/>
                  <w:marTop w:val="0"/>
                  <w:marBottom w:val="0"/>
                  <w:divBdr>
                    <w:top w:val="none" w:sz="0" w:space="0" w:color="auto"/>
                    <w:left w:val="none" w:sz="0" w:space="0" w:color="auto"/>
                    <w:bottom w:val="none" w:sz="0" w:space="0" w:color="auto"/>
                    <w:right w:val="none" w:sz="0" w:space="0" w:color="auto"/>
                  </w:divBdr>
                  <w:divsChild>
                    <w:div w:id="1262838476">
                      <w:marLeft w:val="0"/>
                      <w:marRight w:val="0"/>
                      <w:marTop w:val="0"/>
                      <w:marBottom w:val="0"/>
                      <w:divBdr>
                        <w:top w:val="none" w:sz="0" w:space="0" w:color="auto"/>
                        <w:left w:val="none" w:sz="0" w:space="0" w:color="auto"/>
                        <w:bottom w:val="none" w:sz="0" w:space="0" w:color="auto"/>
                        <w:right w:val="none" w:sz="0" w:space="0" w:color="auto"/>
                      </w:divBdr>
                    </w:div>
                  </w:divsChild>
                </w:div>
                <w:div w:id="1770082273">
                  <w:marLeft w:val="0"/>
                  <w:marRight w:val="0"/>
                  <w:marTop w:val="0"/>
                  <w:marBottom w:val="0"/>
                  <w:divBdr>
                    <w:top w:val="none" w:sz="0" w:space="0" w:color="auto"/>
                    <w:left w:val="none" w:sz="0" w:space="0" w:color="auto"/>
                    <w:bottom w:val="none" w:sz="0" w:space="0" w:color="auto"/>
                    <w:right w:val="none" w:sz="0" w:space="0" w:color="auto"/>
                  </w:divBdr>
                  <w:divsChild>
                    <w:div w:id="408625687">
                      <w:marLeft w:val="0"/>
                      <w:marRight w:val="0"/>
                      <w:marTop w:val="0"/>
                      <w:marBottom w:val="0"/>
                      <w:divBdr>
                        <w:top w:val="none" w:sz="0" w:space="0" w:color="auto"/>
                        <w:left w:val="none" w:sz="0" w:space="0" w:color="auto"/>
                        <w:bottom w:val="none" w:sz="0" w:space="0" w:color="auto"/>
                        <w:right w:val="none" w:sz="0" w:space="0" w:color="auto"/>
                      </w:divBdr>
                    </w:div>
                  </w:divsChild>
                </w:div>
                <w:div w:id="1843231687">
                  <w:marLeft w:val="0"/>
                  <w:marRight w:val="0"/>
                  <w:marTop w:val="0"/>
                  <w:marBottom w:val="0"/>
                  <w:divBdr>
                    <w:top w:val="none" w:sz="0" w:space="0" w:color="auto"/>
                    <w:left w:val="none" w:sz="0" w:space="0" w:color="auto"/>
                    <w:bottom w:val="none" w:sz="0" w:space="0" w:color="auto"/>
                    <w:right w:val="none" w:sz="0" w:space="0" w:color="auto"/>
                  </w:divBdr>
                  <w:divsChild>
                    <w:div w:id="1269583810">
                      <w:marLeft w:val="0"/>
                      <w:marRight w:val="0"/>
                      <w:marTop w:val="0"/>
                      <w:marBottom w:val="0"/>
                      <w:divBdr>
                        <w:top w:val="none" w:sz="0" w:space="0" w:color="auto"/>
                        <w:left w:val="none" w:sz="0" w:space="0" w:color="auto"/>
                        <w:bottom w:val="none" w:sz="0" w:space="0" w:color="auto"/>
                        <w:right w:val="none" w:sz="0" w:space="0" w:color="auto"/>
                      </w:divBdr>
                    </w:div>
                  </w:divsChild>
                </w:div>
                <w:div w:id="1876428635">
                  <w:marLeft w:val="0"/>
                  <w:marRight w:val="0"/>
                  <w:marTop w:val="0"/>
                  <w:marBottom w:val="0"/>
                  <w:divBdr>
                    <w:top w:val="none" w:sz="0" w:space="0" w:color="auto"/>
                    <w:left w:val="none" w:sz="0" w:space="0" w:color="auto"/>
                    <w:bottom w:val="none" w:sz="0" w:space="0" w:color="auto"/>
                    <w:right w:val="none" w:sz="0" w:space="0" w:color="auto"/>
                  </w:divBdr>
                  <w:divsChild>
                    <w:div w:id="1982148387">
                      <w:marLeft w:val="0"/>
                      <w:marRight w:val="0"/>
                      <w:marTop w:val="0"/>
                      <w:marBottom w:val="0"/>
                      <w:divBdr>
                        <w:top w:val="none" w:sz="0" w:space="0" w:color="auto"/>
                        <w:left w:val="none" w:sz="0" w:space="0" w:color="auto"/>
                        <w:bottom w:val="none" w:sz="0" w:space="0" w:color="auto"/>
                        <w:right w:val="none" w:sz="0" w:space="0" w:color="auto"/>
                      </w:divBdr>
                    </w:div>
                  </w:divsChild>
                </w:div>
                <w:div w:id="2080711150">
                  <w:marLeft w:val="0"/>
                  <w:marRight w:val="0"/>
                  <w:marTop w:val="0"/>
                  <w:marBottom w:val="0"/>
                  <w:divBdr>
                    <w:top w:val="none" w:sz="0" w:space="0" w:color="auto"/>
                    <w:left w:val="none" w:sz="0" w:space="0" w:color="auto"/>
                    <w:bottom w:val="none" w:sz="0" w:space="0" w:color="auto"/>
                    <w:right w:val="none" w:sz="0" w:space="0" w:color="auto"/>
                  </w:divBdr>
                  <w:divsChild>
                    <w:div w:id="483084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548389">
          <w:marLeft w:val="0"/>
          <w:marRight w:val="0"/>
          <w:marTop w:val="0"/>
          <w:marBottom w:val="0"/>
          <w:divBdr>
            <w:top w:val="none" w:sz="0" w:space="0" w:color="auto"/>
            <w:left w:val="none" w:sz="0" w:space="0" w:color="auto"/>
            <w:bottom w:val="none" w:sz="0" w:space="0" w:color="auto"/>
            <w:right w:val="none" w:sz="0" w:space="0" w:color="auto"/>
          </w:divBdr>
          <w:divsChild>
            <w:div w:id="33777022">
              <w:marLeft w:val="0"/>
              <w:marRight w:val="0"/>
              <w:marTop w:val="0"/>
              <w:marBottom w:val="0"/>
              <w:divBdr>
                <w:top w:val="none" w:sz="0" w:space="0" w:color="auto"/>
                <w:left w:val="none" w:sz="0" w:space="0" w:color="auto"/>
                <w:bottom w:val="none" w:sz="0" w:space="0" w:color="auto"/>
                <w:right w:val="none" w:sz="0" w:space="0" w:color="auto"/>
              </w:divBdr>
            </w:div>
            <w:div w:id="89476590">
              <w:marLeft w:val="0"/>
              <w:marRight w:val="0"/>
              <w:marTop w:val="0"/>
              <w:marBottom w:val="0"/>
              <w:divBdr>
                <w:top w:val="none" w:sz="0" w:space="0" w:color="auto"/>
                <w:left w:val="none" w:sz="0" w:space="0" w:color="auto"/>
                <w:bottom w:val="none" w:sz="0" w:space="0" w:color="auto"/>
                <w:right w:val="none" w:sz="0" w:space="0" w:color="auto"/>
              </w:divBdr>
            </w:div>
            <w:div w:id="366563539">
              <w:marLeft w:val="0"/>
              <w:marRight w:val="0"/>
              <w:marTop w:val="0"/>
              <w:marBottom w:val="0"/>
              <w:divBdr>
                <w:top w:val="none" w:sz="0" w:space="0" w:color="auto"/>
                <w:left w:val="none" w:sz="0" w:space="0" w:color="auto"/>
                <w:bottom w:val="none" w:sz="0" w:space="0" w:color="auto"/>
                <w:right w:val="none" w:sz="0" w:space="0" w:color="auto"/>
              </w:divBdr>
            </w:div>
            <w:div w:id="478810382">
              <w:marLeft w:val="0"/>
              <w:marRight w:val="0"/>
              <w:marTop w:val="0"/>
              <w:marBottom w:val="0"/>
              <w:divBdr>
                <w:top w:val="none" w:sz="0" w:space="0" w:color="auto"/>
                <w:left w:val="none" w:sz="0" w:space="0" w:color="auto"/>
                <w:bottom w:val="none" w:sz="0" w:space="0" w:color="auto"/>
                <w:right w:val="none" w:sz="0" w:space="0" w:color="auto"/>
              </w:divBdr>
            </w:div>
            <w:div w:id="879975193">
              <w:marLeft w:val="0"/>
              <w:marRight w:val="0"/>
              <w:marTop w:val="0"/>
              <w:marBottom w:val="0"/>
              <w:divBdr>
                <w:top w:val="none" w:sz="0" w:space="0" w:color="auto"/>
                <w:left w:val="none" w:sz="0" w:space="0" w:color="auto"/>
                <w:bottom w:val="none" w:sz="0" w:space="0" w:color="auto"/>
                <w:right w:val="none" w:sz="0" w:space="0" w:color="auto"/>
              </w:divBdr>
            </w:div>
            <w:div w:id="885794473">
              <w:marLeft w:val="0"/>
              <w:marRight w:val="0"/>
              <w:marTop w:val="0"/>
              <w:marBottom w:val="0"/>
              <w:divBdr>
                <w:top w:val="none" w:sz="0" w:space="0" w:color="auto"/>
                <w:left w:val="none" w:sz="0" w:space="0" w:color="auto"/>
                <w:bottom w:val="none" w:sz="0" w:space="0" w:color="auto"/>
                <w:right w:val="none" w:sz="0" w:space="0" w:color="auto"/>
              </w:divBdr>
            </w:div>
            <w:div w:id="922379354">
              <w:marLeft w:val="0"/>
              <w:marRight w:val="0"/>
              <w:marTop w:val="0"/>
              <w:marBottom w:val="0"/>
              <w:divBdr>
                <w:top w:val="none" w:sz="0" w:space="0" w:color="auto"/>
                <w:left w:val="none" w:sz="0" w:space="0" w:color="auto"/>
                <w:bottom w:val="none" w:sz="0" w:space="0" w:color="auto"/>
                <w:right w:val="none" w:sz="0" w:space="0" w:color="auto"/>
              </w:divBdr>
            </w:div>
            <w:div w:id="1282570904">
              <w:marLeft w:val="0"/>
              <w:marRight w:val="0"/>
              <w:marTop w:val="0"/>
              <w:marBottom w:val="0"/>
              <w:divBdr>
                <w:top w:val="none" w:sz="0" w:space="0" w:color="auto"/>
                <w:left w:val="none" w:sz="0" w:space="0" w:color="auto"/>
                <w:bottom w:val="none" w:sz="0" w:space="0" w:color="auto"/>
                <w:right w:val="none" w:sz="0" w:space="0" w:color="auto"/>
              </w:divBdr>
            </w:div>
            <w:div w:id="1405179303">
              <w:marLeft w:val="0"/>
              <w:marRight w:val="0"/>
              <w:marTop w:val="0"/>
              <w:marBottom w:val="0"/>
              <w:divBdr>
                <w:top w:val="none" w:sz="0" w:space="0" w:color="auto"/>
                <w:left w:val="none" w:sz="0" w:space="0" w:color="auto"/>
                <w:bottom w:val="none" w:sz="0" w:space="0" w:color="auto"/>
                <w:right w:val="none" w:sz="0" w:space="0" w:color="auto"/>
              </w:divBdr>
            </w:div>
            <w:div w:id="1641958653">
              <w:marLeft w:val="0"/>
              <w:marRight w:val="0"/>
              <w:marTop w:val="0"/>
              <w:marBottom w:val="0"/>
              <w:divBdr>
                <w:top w:val="none" w:sz="0" w:space="0" w:color="auto"/>
                <w:left w:val="none" w:sz="0" w:space="0" w:color="auto"/>
                <w:bottom w:val="none" w:sz="0" w:space="0" w:color="auto"/>
                <w:right w:val="none" w:sz="0" w:space="0" w:color="auto"/>
              </w:divBdr>
            </w:div>
            <w:div w:id="1775200365">
              <w:marLeft w:val="0"/>
              <w:marRight w:val="0"/>
              <w:marTop w:val="0"/>
              <w:marBottom w:val="0"/>
              <w:divBdr>
                <w:top w:val="none" w:sz="0" w:space="0" w:color="auto"/>
                <w:left w:val="none" w:sz="0" w:space="0" w:color="auto"/>
                <w:bottom w:val="none" w:sz="0" w:space="0" w:color="auto"/>
                <w:right w:val="none" w:sz="0" w:space="0" w:color="auto"/>
              </w:divBdr>
            </w:div>
            <w:div w:id="1783383275">
              <w:marLeft w:val="0"/>
              <w:marRight w:val="0"/>
              <w:marTop w:val="0"/>
              <w:marBottom w:val="0"/>
              <w:divBdr>
                <w:top w:val="none" w:sz="0" w:space="0" w:color="auto"/>
                <w:left w:val="none" w:sz="0" w:space="0" w:color="auto"/>
                <w:bottom w:val="none" w:sz="0" w:space="0" w:color="auto"/>
                <w:right w:val="none" w:sz="0" w:space="0" w:color="auto"/>
              </w:divBdr>
            </w:div>
            <w:div w:id="1974556970">
              <w:marLeft w:val="0"/>
              <w:marRight w:val="0"/>
              <w:marTop w:val="0"/>
              <w:marBottom w:val="0"/>
              <w:divBdr>
                <w:top w:val="none" w:sz="0" w:space="0" w:color="auto"/>
                <w:left w:val="none" w:sz="0" w:space="0" w:color="auto"/>
                <w:bottom w:val="none" w:sz="0" w:space="0" w:color="auto"/>
                <w:right w:val="none" w:sz="0" w:space="0" w:color="auto"/>
              </w:divBdr>
            </w:div>
            <w:div w:id="2032947620">
              <w:marLeft w:val="0"/>
              <w:marRight w:val="0"/>
              <w:marTop w:val="0"/>
              <w:marBottom w:val="0"/>
              <w:divBdr>
                <w:top w:val="none" w:sz="0" w:space="0" w:color="auto"/>
                <w:left w:val="none" w:sz="0" w:space="0" w:color="auto"/>
                <w:bottom w:val="none" w:sz="0" w:space="0" w:color="auto"/>
                <w:right w:val="none" w:sz="0" w:space="0" w:color="auto"/>
              </w:divBdr>
            </w:div>
            <w:div w:id="2146195590">
              <w:marLeft w:val="0"/>
              <w:marRight w:val="0"/>
              <w:marTop w:val="0"/>
              <w:marBottom w:val="0"/>
              <w:divBdr>
                <w:top w:val="none" w:sz="0" w:space="0" w:color="auto"/>
                <w:left w:val="none" w:sz="0" w:space="0" w:color="auto"/>
                <w:bottom w:val="none" w:sz="0" w:space="0" w:color="auto"/>
                <w:right w:val="none" w:sz="0" w:space="0" w:color="auto"/>
              </w:divBdr>
            </w:div>
          </w:divsChild>
        </w:div>
        <w:div w:id="702173276">
          <w:marLeft w:val="0"/>
          <w:marRight w:val="0"/>
          <w:marTop w:val="0"/>
          <w:marBottom w:val="0"/>
          <w:divBdr>
            <w:top w:val="none" w:sz="0" w:space="0" w:color="auto"/>
            <w:left w:val="none" w:sz="0" w:space="0" w:color="auto"/>
            <w:bottom w:val="none" w:sz="0" w:space="0" w:color="auto"/>
            <w:right w:val="none" w:sz="0" w:space="0" w:color="auto"/>
          </w:divBdr>
        </w:div>
        <w:div w:id="708847239">
          <w:marLeft w:val="0"/>
          <w:marRight w:val="0"/>
          <w:marTop w:val="0"/>
          <w:marBottom w:val="0"/>
          <w:divBdr>
            <w:top w:val="none" w:sz="0" w:space="0" w:color="auto"/>
            <w:left w:val="none" w:sz="0" w:space="0" w:color="auto"/>
            <w:bottom w:val="none" w:sz="0" w:space="0" w:color="auto"/>
            <w:right w:val="none" w:sz="0" w:space="0" w:color="auto"/>
          </w:divBdr>
        </w:div>
        <w:div w:id="710497594">
          <w:marLeft w:val="0"/>
          <w:marRight w:val="0"/>
          <w:marTop w:val="0"/>
          <w:marBottom w:val="0"/>
          <w:divBdr>
            <w:top w:val="none" w:sz="0" w:space="0" w:color="auto"/>
            <w:left w:val="none" w:sz="0" w:space="0" w:color="auto"/>
            <w:bottom w:val="none" w:sz="0" w:space="0" w:color="auto"/>
            <w:right w:val="none" w:sz="0" w:space="0" w:color="auto"/>
          </w:divBdr>
        </w:div>
        <w:div w:id="723529918">
          <w:marLeft w:val="0"/>
          <w:marRight w:val="0"/>
          <w:marTop w:val="0"/>
          <w:marBottom w:val="0"/>
          <w:divBdr>
            <w:top w:val="none" w:sz="0" w:space="0" w:color="auto"/>
            <w:left w:val="none" w:sz="0" w:space="0" w:color="auto"/>
            <w:bottom w:val="none" w:sz="0" w:space="0" w:color="auto"/>
            <w:right w:val="none" w:sz="0" w:space="0" w:color="auto"/>
          </w:divBdr>
        </w:div>
        <w:div w:id="725878958">
          <w:marLeft w:val="0"/>
          <w:marRight w:val="0"/>
          <w:marTop w:val="0"/>
          <w:marBottom w:val="0"/>
          <w:divBdr>
            <w:top w:val="none" w:sz="0" w:space="0" w:color="auto"/>
            <w:left w:val="none" w:sz="0" w:space="0" w:color="auto"/>
            <w:bottom w:val="none" w:sz="0" w:space="0" w:color="auto"/>
            <w:right w:val="none" w:sz="0" w:space="0" w:color="auto"/>
          </w:divBdr>
        </w:div>
        <w:div w:id="754742243">
          <w:marLeft w:val="0"/>
          <w:marRight w:val="0"/>
          <w:marTop w:val="0"/>
          <w:marBottom w:val="0"/>
          <w:divBdr>
            <w:top w:val="none" w:sz="0" w:space="0" w:color="auto"/>
            <w:left w:val="none" w:sz="0" w:space="0" w:color="auto"/>
            <w:bottom w:val="none" w:sz="0" w:space="0" w:color="auto"/>
            <w:right w:val="none" w:sz="0" w:space="0" w:color="auto"/>
          </w:divBdr>
        </w:div>
        <w:div w:id="757210900">
          <w:marLeft w:val="0"/>
          <w:marRight w:val="0"/>
          <w:marTop w:val="0"/>
          <w:marBottom w:val="0"/>
          <w:divBdr>
            <w:top w:val="none" w:sz="0" w:space="0" w:color="auto"/>
            <w:left w:val="none" w:sz="0" w:space="0" w:color="auto"/>
            <w:bottom w:val="none" w:sz="0" w:space="0" w:color="auto"/>
            <w:right w:val="none" w:sz="0" w:space="0" w:color="auto"/>
          </w:divBdr>
        </w:div>
        <w:div w:id="784662589">
          <w:marLeft w:val="0"/>
          <w:marRight w:val="0"/>
          <w:marTop w:val="0"/>
          <w:marBottom w:val="0"/>
          <w:divBdr>
            <w:top w:val="none" w:sz="0" w:space="0" w:color="auto"/>
            <w:left w:val="none" w:sz="0" w:space="0" w:color="auto"/>
            <w:bottom w:val="none" w:sz="0" w:space="0" w:color="auto"/>
            <w:right w:val="none" w:sz="0" w:space="0" w:color="auto"/>
          </w:divBdr>
        </w:div>
        <w:div w:id="789277564">
          <w:marLeft w:val="0"/>
          <w:marRight w:val="0"/>
          <w:marTop w:val="0"/>
          <w:marBottom w:val="0"/>
          <w:divBdr>
            <w:top w:val="none" w:sz="0" w:space="0" w:color="auto"/>
            <w:left w:val="none" w:sz="0" w:space="0" w:color="auto"/>
            <w:bottom w:val="none" w:sz="0" w:space="0" w:color="auto"/>
            <w:right w:val="none" w:sz="0" w:space="0" w:color="auto"/>
          </w:divBdr>
        </w:div>
        <w:div w:id="803960628">
          <w:marLeft w:val="0"/>
          <w:marRight w:val="0"/>
          <w:marTop w:val="0"/>
          <w:marBottom w:val="0"/>
          <w:divBdr>
            <w:top w:val="none" w:sz="0" w:space="0" w:color="auto"/>
            <w:left w:val="none" w:sz="0" w:space="0" w:color="auto"/>
            <w:bottom w:val="none" w:sz="0" w:space="0" w:color="auto"/>
            <w:right w:val="none" w:sz="0" w:space="0" w:color="auto"/>
          </w:divBdr>
        </w:div>
        <w:div w:id="814444187">
          <w:marLeft w:val="0"/>
          <w:marRight w:val="0"/>
          <w:marTop w:val="0"/>
          <w:marBottom w:val="0"/>
          <w:divBdr>
            <w:top w:val="none" w:sz="0" w:space="0" w:color="auto"/>
            <w:left w:val="none" w:sz="0" w:space="0" w:color="auto"/>
            <w:bottom w:val="none" w:sz="0" w:space="0" w:color="auto"/>
            <w:right w:val="none" w:sz="0" w:space="0" w:color="auto"/>
          </w:divBdr>
          <w:divsChild>
            <w:div w:id="861479015">
              <w:marLeft w:val="-75"/>
              <w:marRight w:val="0"/>
              <w:marTop w:val="30"/>
              <w:marBottom w:val="30"/>
              <w:divBdr>
                <w:top w:val="none" w:sz="0" w:space="0" w:color="auto"/>
                <w:left w:val="none" w:sz="0" w:space="0" w:color="auto"/>
                <w:bottom w:val="none" w:sz="0" w:space="0" w:color="auto"/>
                <w:right w:val="none" w:sz="0" w:space="0" w:color="auto"/>
              </w:divBdr>
              <w:divsChild>
                <w:div w:id="60639283">
                  <w:marLeft w:val="0"/>
                  <w:marRight w:val="0"/>
                  <w:marTop w:val="0"/>
                  <w:marBottom w:val="0"/>
                  <w:divBdr>
                    <w:top w:val="none" w:sz="0" w:space="0" w:color="auto"/>
                    <w:left w:val="none" w:sz="0" w:space="0" w:color="auto"/>
                    <w:bottom w:val="none" w:sz="0" w:space="0" w:color="auto"/>
                    <w:right w:val="none" w:sz="0" w:space="0" w:color="auto"/>
                  </w:divBdr>
                  <w:divsChild>
                    <w:div w:id="899706501">
                      <w:marLeft w:val="0"/>
                      <w:marRight w:val="0"/>
                      <w:marTop w:val="0"/>
                      <w:marBottom w:val="0"/>
                      <w:divBdr>
                        <w:top w:val="none" w:sz="0" w:space="0" w:color="auto"/>
                        <w:left w:val="none" w:sz="0" w:space="0" w:color="auto"/>
                        <w:bottom w:val="none" w:sz="0" w:space="0" w:color="auto"/>
                        <w:right w:val="none" w:sz="0" w:space="0" w:color="auto"/>
                      </w:divBdr>
                    </w:div>
                  </w:divsChild>
                </w:div>
                <w:div w:id="95904356">
                  <w:marLeft w:val="0"/>
                  <w:marRight w:val="0"/>
                  <w:marTop w:val="0"/>
                  <w:marBottom w:val="0"/>
                  <w:divBdr>
                    <w:top w:val="none" w:sz="0" w:space="0" w:color="auto"/>
                    <w:left w:val="none" w:sz="0" w:space="0" w:color="auto"/>
                    <w:bottom w:val="none" w:sz="0" w:space="0" w:color="auto"/>
                    <w:right w:val="none" w:sz="0" w:space="0" w:color="auto"/>
                  </w:divBdr>
                  <w:divsChild>
                    <w:div w:id="1709640308">
                      <w:marLeft w:val="0"/>
                      <w:marRight w:val="0"/>
                      <w:marTop w:val="0"/>
                      <w:marBottom w:val="0"/>
                      <w:divBdr>
                        <w:top w:val="none" w:sz="0" w:space="0" w:color="auto"/>
                        <w:left w:val="none" w:sz="0" w:space="0" w:color="auto"/>
                        <w:bottom w:val="none" w:sz="0" w:space="0" w:color="auto"/>
                        <w:right w:val="none" w:sz="0" w:space="0" w:color="auto"/>
                      </w:divBdr>
                    </w:div>
                  </w:divsChild>
                </w:div>
                <w:div w:id="125125588">
                  <w:marLeft w:val="0"/>
                  <w:marRight w:val="0"/>
                  <w:marTop w:val="0"/>
                  <w:marBottom w:val="0"/>
                  <w:divBdr>
                    <w:top w:val="none" w:sz="0" w:space="0" w:color="auto"/>
                    <w:left w:val="none" w:sz="0" w:space="0" w:color="auto"/>
                    <w:bottom w:val="none" w:sz="0" w:space="0" w:color="auto"/>
                    <w:right w:val="none" w:sz="0" w:space="0" w:color="auto"/>
                  </w:divBdr>
                  <w:divsChild>
                    <w:div w:id="404378533">
                      <w:marLeft w:val="0"/>
                      <w:marRight w:val="0"/>
                      <w:marTop w:val="0"/>
                      <w:marBottom w:val="0"/>
                      <w:divBdr>
                        <w:top w:val="none" w:sz="0" w:space="0" w:color="auto"/>
                        <w:left w:val="none" w:sz="0" w:space="0" w:color="auto"/>
                        <w:bottom w:val="none" w:sz="0" w:space="0" w:color="auto"/>
                        <w:right w:val="none" w:sz="0" w:space="0" w:color="auto"/>
                      </w:divBdr>
                    </w:div>
                  </w:divsChild>
                </w:div>
                <w:div w:id="139006586">
                  <w:marLeft w:val="0"/>
                  <w:marRight w:val="0"/>
                  <w:marTop w:val="0"/>
                  <w:marBottom w:val="0"/>
                  <w:divBdr>
                    <w:top w:val="none" w:sz="0" w:space="0" w:color="auto"/>
                    <w:left w:val="none" w:sz="0" w:space="0" w:color="auto"/>
                    <w:bottom w:val="none" w:sz="0" w:space="0" w:color="auto"/>
                    <w:right w:val="none" w:sz="0" w:space="0" w:color="auto"/>
                  </w:divBdr>
                  <w:divsChild>
                    <w:div w:id="351565509">
                      <w:marLeft w:val="0"/>
                      <w:marRight w:val="0"/>
                      <w:marTop w:val="0"/>
                      <w:marBottom w:val="0"/>
                      <w:divBdr>
                        <w:top w:val="none" w:sz="0" w:space="0" w:color="auto"/>
                        <w:left w:val="none" w:sz="0" w:space="0" w:color="auto"/>
                        <w:bottom w:val="none" w:sz="0" w:space="0" w:color="auto"/>
                        <w:right w:val="none" w:sz="0" w:space="0" w:color="auto"/>
                      </w:divBdr>
                    </w:div>
                    <w:div w:id="507984466">
                      <w:marLeft w:val="0"/>
                      <w:marRight w:val="0"/>
                      <w:marTop w:val="0"/>
                      <w:marBottom w:val="0"/>
                      <w:divBdr>
                        <w:top w:val="none" w:sz="0" w:space="0" w:color="auto"/>
                        <w:left w:val="none" w:sz="0" w:space="0" w:color="auto"/>
                        <w:bottom w:val="none" w:sz="0" w:space="0" w:color="auto"/>
                        <w:right w:val="none" w:sz="0" w:space="0" w:color="auto"/>
                      </w:divBdr>
                    </w:div>
                  </w:divsChild>
                </w:div>
                <w:div w:id="172843792">
                  <w:marLeft w:val="0"/>
                  <w:marRight w:val="0"/>
                  <w:marTop w:val="0"/>
                  <w:marBottom w:val="0"/>
                  <w:divBdr>
                    <w:top w:val="none" w:sz="0" w:space="0" w:color="auto"/>
                    <w:left w:val="none" w:sz="0" w:space="0" w:color="auto"/>
                    <w:bottom w:val="none" w:sz="0" w:space="0" w:color="auto"/>
                    <w:right w:val="none" w:sz="0" w:space="0" w:color="auto"/>
                  </w:divBdr>
                  <w:divsChild>
                    <w:div w:id="175114541">
                      <w:marLeft w:val="0"/>
                      <w:marRight w:val="0"/>
                      <w:marTop w:val="0"/>
                      <w:marBottom w:val="0"/>
                      <w:divBdr>
                        <w:top w:val="none" w:sz="0" w:space="0" w:color="auto"/>
                        <w:left w:val="none" w:sz="0" w:space="0" w:color="auto"/>
                        <w:bottom w:val="none" w:sz="0" w:space="0" w:color="auto"/>
                        <w:right w:val="none" w:sz="0" w:space="0" w:color="auto"/>
                      </w:divBdr>
                    </w:div>
                  </w:divsChild>
                </w:div>
                <w:div w:id="199635378">
                  <w:marLeft w:val="0"/>
                  <w:marRight w:val="0"/>
                  <w:marTop w:val="0"/>
                  <w:marBottom w:val="0"/>
                  <w:divBdr>
                    <w:top w:val="none" w:sz="0" w:space="0" w:color="auto"/>
                    <w:left w:val="none" w:sz="0" w:space="0" w:color="auto"/>
                    <w:bottom w:val="none" w:sz="0" w:space="0" w:color="auto"/>
                    <w:right w:val="none" w:sz="0" w:space="0" w:color="auto"/>
                  </w:divBdr>
                  <w:divsChild>
                    <w:div w:id="940800255">
                      <w:marLeft w:val="0"/>
                      <w:marRight w:val="0"/>
                      <w:marTop w:val="0"/>
                      <w:marBottom w:val="0"/>
                      <w:divBdr>
                        <w:top w:val="none" w:sz="0" w:space="0" w:color="auto"/>
                        <w:left w:val="none" w:sz="0" w:space="0" w:color="auto"/>
                        <w:bottom w:val="none" w:sz="0" w:space="0" w:color="auto"/>
                        <w:right w:val="none" w:sz="0" w:space="0" w:color="auto"/>
                      </w:divBdr>
                    </w:div>
                  </w:divsChild>
                </w:div>
                <w:div w:id="233205810">
                  <w:marLeft w:val="0"/>
                  <w:marRight w:val="0"/>
                  <w:marTop w:val="0"/>
                  <w:marBottom w:val="0"/>
                  <w:divBdr>
                    <w:top w:val="none" w:sz="0" w:space="0" w:color="auto"/>
                    <w:left w:val="none" w:sz="0" w:space="0" w:color="auto"/>
                    <w:bottom w:val="none" w:sz="0" w:space="0" w:color="auto"/>
                    <w:right w:val="none" w:sz="0" w:space="0" w:color="auto"/>
                  </w:divBdr>
                  <w:divsChild>
                    <w:div w:id="177433588">
                      <w:marLeft w:val="0"/>
                      <w:marRight w:val="0"/>
                      <w:marTop w:val="0"/>
                      <w:marBottom w:val="0"/>
                      <w:divBdr>
                        <w:top w:val="none" w:sz="0" w:space="0" w:color="auto"/>
                        <w:left w:val="none" w:sz="0" w:space="0" w:color="auto"/>
                        <w:bottom w:val="none" w:sz="0" w:space="0" w:color="auto"/>
                        <w:right w:val="none" w:sz="0" w:space="0" w:color="auto"/>
                      </w:divBdr>
                    </w:div>
                  </w:divsChild>
                </w:div>
                <w:div w:id="256787945">
                  <w:marLeft w:val="0"/>
                  <w:marRight w:val="0"/>
                  <w:marTop w:val="0"/>
                  <w:marBottom w:val="0"/>
                  <w:divBdr>
                    <w:top w:val="none" w:sz="0" w:space="0" w:color="auto"/>
                    <w:left w:val="none" w:sz="0" w:space="0" w:color="auto"/>
                    <w:bottom w:val="none" w:sz="0" w:space="0" w:color="auto"/>
                    <w:right w:val="none" w:sz="0" w:space="0" w:color="auto"/>
                  </w:divBdr>
                  <w:divsChild>
                    <w:div w:id="204105369">
                      <w:marLeft w:val="0"/>
                      <w:marRight w:val="0"/>
                      <w:marTop w:val="0"/>
                      <w:marBottom w:val="0"/>
                      <w:divBdr>
                        <w:top w:val="none" w:sz="0" w:space="0" w:color="auto"/>
                        <w:left w:val="none" w:sz="0" w:space="0" w:color="auto"/>
                        <w:bottom w:val="none" w:sz="0" w:space="0" w:color="auto"/>
                        <w:right w:val="none" w:sz="0" w:space="0" w:color="auto"/>
                      </w:divBdr>
                    </w:div>
                  </w:divsChild>
                </w:div>
                <w:div w:id="272906778">
                  <w:marLeft w:val="0"/>
                  <w:marRight w:val="0"/>
                  <w:marTop w:val="0"/>
                  <w:marBottom w:val="0"/>
                  <w:divBdr>
                    <w:top w:val="none" w:sz="0" w:space="0" w:color="auto"/>
                    <w:left w:val="none" w:sz="0" w:space="0" w:color="auto"/>
                    <w:bottom w:val="none" w:sz="0" w:space="0" w:color="auto"/>
                    <w:right w:val="none" w:sz="0" w:space="0" w:color="auto"/>
                  </w:divBdr>
                  <w:divsChild>
                    <w:div w:id="1225071261">
                      <w:marLeft w:val="0"/>
                      <w:marRight w:val="0"/>
                      <w:marTop w:val="0"/>
                      <w:marBottom w:val="0"/>
                      <w:divBdr>
                        <w:top w:val="none" w:sz="0" w:space="0" w:color="auto"/>
                        <w:left w:val="none" w:sz="0" w:space="0" w:color="auto"/>
                        <w:bottom w:val="none" w:sz="0" w:space="0" w:color="auto"/>
                        <w:right w:val="none" w:sz="0" w:space="0" w:color="auto"/>
                      </w:divBdr>
                    </w:div>
                  </w:divsChild>
                </w:div>
                <w:div w:id="308824908">
                  <w:marLeft w:val="0"/>
                  <w:marRight w:val="0"/>
                  <w:marTop w:val="0"/>
                  <w:marBottom w:val="0"/>
                  <w:divBdr>
                    <w:top w:val="none" w:sz="0" w:space="0" w:color="auto"/>
                    <w:left w:val="none" w:sz="0" w:space="0" w:color="auto"/>
                    <w:bottom w:val="none" w:sz="0" w:space="0" w:color="auto"/>
                    <w:right w:val="none" w:sz="0" w:space="0" w:color="auto"/>
                  </w:divBdr>
                  <w:divsChild>
                    <w:div w:id="660281813">
                      <w:marLeft w:val="0"/>
                      <w:marRight w:val="0"/>
                      <w:marTop w:val="0"/>
                      <w:marBottom w:val="0"/>
                      <w:divBdr>
                        <w:top w:val="none" w:sz="0" w:space="0" w:color="auto"/>
                        <w:left w:val="none" w:sz="0" w:space="0" w:color="auto"/>
                        <w:bottom w:val="none" w:sz="0" w:space="0" w:color="auto"/>
                        <w:right w:val="none" w:sz="0" w:space="0" w:color="auto"/>
                      </w:divBdr>
                    </w:div>
                  </w:divsChild>
                </w:div>
                <w:div w:id="596602012">
                  <w:marLeft w:val="0"/>
                  <w:marRight w:val="0"/>
                  <w:marTop w:val="0"/>
                  <w:marBottom w:val="0"/>
                  <w:divBdr>
                    <w:top w:val="none" w:sz="0" w:space="0" w:color="auto"/>
                    <w:left w:val="none" w:sz="0" w:space="0" w:color="auto"/>
                    <w:bottom w:val="none" w:sz="0" w:space="0" w:color="auto"/>
                    <w:right w:val="none" w:sz="0" w:space="0" w:color="auto"/>
                  </w:divBdr>
                  <w:divsChild>
                    <w:div w:id="1915506017">
                      <w:marLeft w:val="0"/>
                      <w:marRight w:val="0"/>
                      <w:marTop w:val="0"/>
                      <w:marBottom w:val="0"/>
                      <w:divBdr>
                        <w:top w:val="none" w:sz="0" w:space="0" w:color="auto"/>
                        <w:left w:val="none" w:sz="0" w:space="0" w:color="auto"/>
                        <w:bottom w:val="none" w:sz="0" w:space="0" w:color="auto"/>
                        <w:right w:val="none" w:sz="0" w:space="0" w:color="auto"/>
                      </w:divBdr>
                    </w:div>
                  </w:divsChild>
                </w:div>
                <w:div w:id="636766773">
                  <w:marLeft w:val="0"/>
                  <w:marRight w:val="0"/>
                  <w:marTop w:val="0"/>
                  <w:marBottom w:val="0"/>
                  <w:divBdr>
                    <w:top w:val="none" w:sz="0" w:space="0" w:color="auto"/>
                    <w:left w:val="none" w:sz="0" w:space="0" w:color="auto"/>
                    <w:bottom w:val="none" w:sz="0" w:space="0" w:color="auto"/>
                    <w:right w:val="none" w:sz="0" w:space="0" w:color="auto"/>
                  </w:divBdr>
                  <w:divsChild>
                    <w:div w:id="1257787475">
                      <w:marLeft w:val="0"/>
                      <w:marRight w:val="0"/>
                      <w:marTop w:val="0"/>
                      <w:marBottom w:val="0"/>
                      <w:divBdr>
                        <w:top w:val="none" w:sz="0" w:space="0" w:color="auto"/>
                        <w:left w:val="none" w:sz="0" w:space="0" w:color="auto"/>
                        <w:bottom w:val="none" w:sz="0" w:space="0" w:color="auto"/>
                        <w:right w:val="none" w:sz="0" w:space="0" w:color="auto"/>
                      </w:divBdr>
                    </w:div>
                  </w:divsChild>
                </w:div>
                <w:div w:id="840895713">
                  <w:marLeft w:val="0"/>
                  <w:marRight w:val="0"/>
                  <w:marTop w:val="0"/>
                  <w:marBottom w:val="0"/>
                  <w:divBdr>
                    <w:top w:val="none" w:sz="0" w:space="0" w:color="auto"/>
                    <w:left w:val="none" w:sz="0" w:space="0" w:color="auto"/>
                    <w:bottom w:val="none" w:sz="0" w:space="0" w:color="auto"/>
                    <w:right w:val="none" w:sz="0" w:space="0" w:color="auto"/>
                  </w:divBdr>
                  <w:divsChild>
                    <w:div w:id="1989552135">
                      <w:marLeft w:val="0"/>
                      <w:marRight w:val="0"/>
                      <w:marTop w:val="0"/>
                      <w:marBottom w:val="0"/>
                      <w:divBdr>
                        <w:top w:val="none" w:sz="0" w:space="0" w:color="auto"/>
                        <w:left w:val="none" w:sz="0" w:space="0" w:color="auto"/>
                        <w:bottom w:val="none" w:sz="0" w:space="0" w:color="auto"/>
                        <w:right w:val="none" w:sz="0" w:space="0" w:color="auto"/>
                      </w:divBdr>
                    </w:div>
                  </w:divsChild>
                </w:div>
                <w:div w:id="869759490">
                  <w:marLeft w:val="0"/>
                  <w:marRight w:val="0"/>
                  <w:marTop w:val="0"/>
                  <w:marBottom w:val="0"/>
                  <w:divBdr>
                    <w:top w:val="none" w:sz="0" w:space="0" w:color="auto"/>
                    <w:left w:val="none" w:sz="0" w:space="0" w:color="auto"/>
                    <w:bottom w:val="none" w:sz="0" w:space="0" w:color="auto"/>
                    <w:right w:val="none" w:sz="0" w:space="0" w:color="auto"/>
                  </w:divBdr>
                  <w:divsChild>
                    <w:div w:id="23485031">
                      <w:marLeft w:val="0"/>
                      <w:marRight w:val="0"/>
                      <w:marTop w:val="0"/>
                      <w:marBottom w:val="0"/>
                      <w:divBdr>
                        <w:top w:val="none" w:sz="0" w:space="0" w:color="auto"/>
                        <w:left w:val="none" w:sz="0" w:space="0" w:color="auto"/>
                        <w:bottom w:val="none" w:sz="0" w:space="0" w:color="auto"/>
                        <w:right w:val="none" w:sz="0" w:space="0" w:color="auto"/>
                      </w:divBdr>
                    </w:div>
                  </w:divsChild>
                </w:div>
                <w:div w:id="886919733">
                  <w:marLeft w:val="0"/>
                  <w:marRight w:val="0"/>
                  <w:marTop w:val="0"/>
                  <w:marBottom w:val="0"/>
                  <w:divBdr>
                    <w:top w:val="none" w:sz="0" w:space="0" w:color="auto"/>
                    <w:left w:val="none" w:sz="0" w:space="0" w:color="auto"/>
                    <w:bottom w:val="none" w:sz="0" w:space="0" w:color="auto"/>
                    <w:right w:val="none" w:sz="0" w:space="0" w:color="auto"/>
                  </w:divBdr>
                  <w:divsChild>
                    <w:div w:id="1342396614">
                      <w:marLeft w:val="0"/>
                      <w:marRight w:val="0"/>
                      <w:marTop w:val="0"/>
                      <w:marBottom w:val="0"/>
                      <w:divBdr>
                        <w:top w:val="none" w:sz="0" w:space="0" w:color="auto"/>
                        <w:left w:val="none" w:sz="0" w:space="0" w:color="auto"/>
                        <w:bottom w:val="none" w:sz="0" w:space="0" w:color="auto"/>
                        <w:right w:val="none" w:sz="0" w:space="0" w:color="auto"/>
                      </w:divBdr>
                    </w:div>
                  </w:divsChild>
                </w:div>
                <w:div w:id="897714033">
                  <w:marLeft w:val="0"/>
                  <w:marRight w:val="0"/>
                  <w:marTop w:val="0"/>
                  <w:marBottom w:val="0"/>
                  <w:divBdr>
                    <w:top w:val="none" w:sz="0" w:space="0" w:color="auto"/>
                    <w:left w:val="none" w:sz="0" w:space="0" w:color="auto"/>
                    <w:bottom w:val="none" w:sz="0" w:space="0" w:color="auto"/>
                    <w:right w:val="none" w:sz="0" w:space="0" w:color="auto"/>
                  </w:divBdr>
                  <w:divsChild>
                    <w:div w:id="404189116">
                      <w:marLeft w:val="0"/>
                      <w:marRight w:val="0"/>
                      <w:marTop w:val="0"/>
                      <w:marBottom w:val="0"/>
                      <w:divBdr>
                        <w:top w:val="none" w:sz="0" w:space="0" w:color="auto"/>
                        <w:left w:val="none" w:sz="0" w:space="0" w:color="auto"/>
                        <w:bottom w:val="none" w:sz="0" w:space="0" w:color="auto"/>
                        <w:right w:val="none" w:sz="0" w:space="0" w:color="auto"/>
                      </w:divBdr>
                    </w:div>
                  </w:divsChild>
                </w:div>
                <w:div w:id="1009910831">
                  <w:marLeft w:val="0"/>
                  <w:marRight w:val="0"/>
                  <w:marTop w:val="0"/>
                  <w:marBottom w:val="0"/>
                  <w:divBdr>
                    <w:top w:val="none" w:sz="0" w:space="0" w:color="auto"/>
                    <w:left w:val="none" w:sz="0" w:space="0" w:color="auto"/>
                    <w:bottom w:val="none" w:sz="0" w:space="0" w:color="auto"/>
                    <w:right w:val="none" w:sz="0" w:space="0" w:color="auto"/>
                  </w:divBdr>
                  <w:divsChild>
                    <w:div w:id="1957714508">
                      <w:marLeft w:val="0"/>
                      <w:marRight w:val="0"/>
                      <w:marTop w:val="0"/>
                      <w:marBottom w:val="0"/>
                      <w:divBdr>
                        <w:top w:val="none" w:sz="0" w:space="0" w:color="auto"/>
                        <w:left w:val="none" w:sz="0" w:space="0" w:color="auto"/>
                        <w:bottom w:val="none" w:sz="0" w:space="0" w:color="auto"/>
                        <w:right w:val="none" w:sz="0" w:space="0" w:color="auto"/>
                      </w:divBdr>
                    </w:div>
                  </w:divsChild>
                </w:div>
                <w:div w:id="1040975021">
                  <w:marLeft w:val="0"/>
                  <w:marRight w:val="0"/>
                  <w:marTop w:val="0"/>
                  <w:marBottom w:val="0"/>
                  <w:divBdr>
                    <w:top w:val="none" w:sz="0" w:space="0" w:color="auto"/>
                    <w:left w:val="none" w:sz="0" w:space="0" w:color="auto"/>
                    <w:bottom w:val="none" w:sz="0" w:space="0" w:color="auto"/>
                    <w:right w:val="none" w:sz="0" w:space="0" w:color="auto"/>
                  </w:divBdr>
                  <w:divsChild>
                    <w:div w:id="994332422">
                      <w:marLeft w:val="0"/>
                      <w:marRight w:val="0"/>
                      <w:marTop w:val="0"/>
                      <w:marBottom w:val="0"/>
                      <w:divBdr>
                        <w:top w:val="none" w:sz="0" w:space="0" w:color="auto"/>
                        <w:left w:val="none" w:sz="0" w:space="0" w:color="auto"/>
                        <w:bottom w:val="none" w:sz="0" w:space="0" w:color="auto"/>
                        <w:right w:val="none" w:sz="0" w:space="0" w:color="auto"/>
                      </w:divBdr>
                    </w:div>
                  </w:divsChild>
                </w:div>
                <w:div w:id="1089274480">
                  <w:marLeft w:val="0"/>
                  <w:marRight w:val="0"/>
                  <w:marTop w:val="0"/>
                  <w:marBottom w:val="0"/>
                  <w:divBdr>
                    <w:top w:val="none" w:sz="0" w:space="0" w:color="auto"/>
                    <w:left w:val="none" w:sz="0" w:space="0" w:color="auto"/>
                    <w:bottom w:val="none" w:sz="0" w:space="0" w:color="auto"/>
                    <w:right w:val="none" w:sz="0" w:space="0" w:color="auto"/>
                  </w:divBdr>
                  <w:divsChild>
                    <w:div w:id="503401596">
                      <w:marLeft w:val="0"/>
                      <w:marRight w:val="0"/>
                      <w:marTop w:val="0"/>
                      <w:marBottom w:val="0"/>
                      <w:divBdr>
                        <w:top w:val="none" w:sz="0" w:space="0" w:color="auto"/>
                        <w:left w:val="none" w:sz="0" w:space="0" w:color="auto"/>
                        <w:bottom w:val="none" w:sz="0" w:space="0" w:color="auto"/>
                        <w:right w:val="none" w:sz="0" w:space="0" w:color="auto"/>
                      </w:divBdr>
                    </w:div>
                  </w:divsChild>
                </w:div>
                <w:div w:id="1459567054">
                  <w:marLeft w:val="0"/>
                  <w:marRight w:val="0"/>
                  <w:marTop w:val="0"/>
                  <w:marBottom w:val="0"/>
                  <w:divBdr>
                    <w:top w:val="none" w:sz="0" w:space="0" w:color="auto"/>
                    <w:left w:val="none" w:sz="0" w:space="0" w:color="auto"/>
                    <w:bottom w:val="none" w:sz="0" w:space="0" w:color="auto"/>
                    <w:right w:val="none" w:sz="0" w:space="0" w:color="auto"/>
                  </w:divBdr>
                  <w:divsChild>
                    <w:div w:id="134030190">
                      <w:marLeft w:val="0"/>
                      <w:marRight w:val="0"/>
                      <w:marTop w:val="0"/>
                      <w:marBottom w:val="0"/>
                      <w:divBdr>
                        <w:top w:val="none" w:sz="0" w:space="0" w:color="auto"/>
                        <w:left w:val="none" w:sz="0" w:space="0" w:color="auto"/>
                        <w:bottom w:val="none" w:sz="0" w:space="0" w:color="auto"/>
                        <w:right w:val="none" w:sz="0" w:space="0" w:color="auto"/>
                      </w:divBdr>
                    </w:div>
                  </w:divsChild>
                </w:div>
                <w:div w:id="1462503015">
                  <w:marLeft w:val="0"/>
                  <w:marRight w:val="0"/>
                  <w:marTop w:val="0"/>
                  <w:marBottom w:val="0"/>
                  <w:divBdr>
                    <w:top w:val="none" w:sz="0" w:space="0" w:color="auto"/>
                    <w:left w:val="none" w:sz="0" w:space="0" w:color="auto"/>
                    <w:bottom w:val="none" w:sz="0" w:space="0" w:color="auto"/>
                    <w:right w:val="none" w:sz="0" w:space="0" w:color="auto"/>
                  </w:divBdr>
                  <w:divsChild>
                    <w:div w:id="1999260076">
                      <w:marLeft w:val="0"/>
                      <w:marRight w:val="0"/>
                      <w:marTop w:val="0"/>
                      <w:marBottom w:val="0"/>
                      <w:divBdr>
                        <w:top w:val="none" w:sz="0" w:space="0" w:color="auto"/>
                        <w:left w:val="none" w:sz="0" w:space="0" w:color="auto"/>
                        <w:bottom w:val="none" w:sz="0" w:space="0" w:color="auto"/>
                        <w:right w:val="none" w:sz="0" w:space="0" w:color="auto"/>
                      </w:divBdr>
                    </w:div>
                  </w:divsChild>
                </w:div>
                <w:div w:id="1476799427">
                  <w:marLeft w:val="0"/>
                  <w:marRight w:val="0"/>
                  <w:marTop w:val="0"/>
                  <w:marBottom w:val="0"/>
                  <w:divBdr>
                    <w:top w:val="none" w:sz="0" w:space="0" w:color="auto"/>
                    <w:left w:val="none" w:sz="0" w:space="0" w:color="auto"/>
                    <w:bottom w:val="none" w:sz="0" w:space="0" w:color="auto"/>
                    <w:right w:val="none" w:sz="0" w:space="0" w:color="auto"/>
                  </w:divBdr>
                  <w:divsChild>
                    <w:div w:id="571819552">
                      <w:marLeft w:val="0"/>
                      <w:marRight w:val="0"/>
                      <w:marTop w:val="0"/>
                      <w:marBottom w:val="0"/>
                      <w:divBdr>
                        <w:top w:val="none" w:sz="0" w:space="0" w:color="auto"/>
                        <w:left w:val="none" w:sz="0" w:space="0" w:color="auto"/>
                        <w:bottom w:val="none" w:sz="0" w:space="0" w:color="auto"/>
                        <w:right w:val="none" w:sz="0" w:space="0" w:color="auto"/>
                      </w:divBdr>
                    </w:div>
                  </w:divsChild>
                </w:div>
                <w:div w:id="1495686021">
                  <w:marLeft w:val="0"/>
                  <w:marRight w:val="0"/>
                  <w:marTop w:val="0"/>
                  <w:marBottom w:val="0"/>
                  <w:divBdr>
                    <w:top w:val="none" w:sz="0" w:space="0" w:color="auto"/>
                    <w:left w:val="none" w:sz="0" w:space="0" w:color="auto"/>
                    <w:bottom w:val="none" w:sz="0" w:space="0" w:color="auto"/>
                    <w:right w:val="none" w:sz="0" w:space="0" w:color="auto"/>
                  </w:divBdr>
                  <w:divsChild>
                    <w:div w:id="1690327802">
                      <w:marLeft w:val="0"/>
                      <w:marRight w:val="0"/>
                      <w:marTop w:val="0"/>
                      <w:marBottom w:val="0"/>
                      <w:divBdr>
                        <w:top w:val="none" w:sz="0" w:space="0" w:color="auto"/>
                        <w:left w:val="none" w:sz="0" w:space="0" w:color="auto"/>
                        <w:bottom w:val="none" w:sz="0" w:space="0" w:color="auto"/>
                        <w:right w:val="none" w:sz="0" w:space="0" w:color="auto"/>
                      </w:divBdr>
                    </w:div>
                  </w:divsChild>
                </w:div>
                <w:div w:id="1764455615">
                  <w:marLeft w:val="0"/>
                  <w:marRight w:val="0"/>
                  <w:marTop w:val="0"/>
                  <w:marBottom w:val="0"/>
                  <w:divBdr>
                    <w:top w:val="none" w:sz="0" w:space="0" w:color="auto"/>
                    <w:left w:val="none" w:sz="0" w:space="0" w:color="auto"/>
                    <w:bottom w:val="none" w:sz="0" w:space="0" w:color="auto"/>
                    <w:right w:val="none" w:sz="0" w:space="0" w:color="auto"/>
                  </w:divBdr>
                  <w:divsChild>
                    <w:div w:id="338238522">
                      <w:marLeft w:val="0"/>
                      <w:marRight w:val="0"/>
                      <w:marTop w:val="0"/>
                      <w:marBottom w:val="0"/>
                      <w:divBdr>
                        <w:top w:val="none" w:sz="0" w:space="0" w:color="auto"/>
                        <w:left w:val="none" w:sz="0" w:space="0" w:color="auto"/>
                        <w:bottom w:val="none" w:sz="0" w:space="0" w:color="auto"/>
                        <w:right w:val="none" w:sz="0" w:space="0" w:color="auto"/>
                      </w:divBdr>
                    </w:div>
                  </w:divsChild>
                </w:div>
                <w:div w:id="1875116734">
                  <w:marLeft w:val="0"/>
                  <w:marRight w:val="0"/>
                  <w:marTop w:val="0"/>
                  <w:marBottom w:val="0"/>
                  <w:divBdr>
                    <w:top w:val="none" w:sz="0" w:space="0" w:color="auto"/>
                    <w:left w:val="none" w:sz="0" w:space="0" w:color="auto"/>
                    <w:bottom w:val="none" w:sz="0" w:space="0" w:color="auto"/>
                    <w:right w:val="none" w:sz="0" w:space="0" w:color="auto"/>
                  </w:divBdr>
                  <w:divsChild>
                    <w:div w:id="2007779493">
                      <w:marLeft w:val="0"/>
                      <w:marRight w:val="0"/>
                      <w:marTop w:val="0"/>
                      <w:marBottom w:val="0"/>
                      <w:divBdr>
                        <w:top w:val="none" w:sz="0" w:space="0" w:color="auto"/>
                        <w:left w:val="none" w:sz="0" w:space="0" w:color="auto"/>
                        <w:bottom w:val="none" w:sz="0" w:space="0" w:color="auto"/>
                        <w:right w:val="none" w:sz="0" w:space="0" w:color="auto"/>
                      </w:divBdr>
                    </w:div>
                  </w:divsChild>
                </w:div>
                <w:div w:id="2002197589">
                  <w:marLeft w:val="0"/>
                  <w:marRight w:val="0"/>
                  <w:marTop w:val="0"/>
                  <w:marBottom w:val="0"/>
                  <w:divBdr>
                    <w:top w:val="none" w:sz="0" w:space="0" w:color="auto"/>
                    <w:left w:val="none" w:sz="0" w:space="0" w:color="auto"/>
                    <w:bottom w:val="none" w:sz="0" w:space="0" w:color="auto"/>
                    <w:right w:val="none" w:sz="0" w:space="0" w:color="auto"/>
                  </w:divBdr>
                  <w:divsChild>
                    <w:div w:id="1421025288">
                      <w:marLeft w:val="0"/>
                      <w:marRight w:val="0"/>
                      <w:marTop w:val="0"/>
                      <w:marBottom w:val="0"/>
                      <w:divBdr>
                        <w:top w:val="none" w:sz="0" w:space="0" w:color="auto"/>
                        <w:left w:val="none" w:sz="0" w:space="0" w:color="auto"/>
                        <w:bottom w:val="none" w:sz="0" w:space="0" w:color="auto"/>
                        <w:right w:val="none" w:sz="0" w:space="0" w:color="auto"/>
                      </w:divBdr>
                    </w:div>
                  </w:divsChild>
                </w:div>
                <w:div w:id="2038043032">
                  <w:marLeft w:val="0"/>
                  <w:marRight w:val="0"/>
                  <w:marTop w:val="0"/>
                  <w:marBottom w:val="0"/>
                  <w:divBdr>
                    <w:top w:val="none" w:sz="0" w:space="0" w:color="auto"/>
                    <w:left w:val="none" w:sz="0" w:space="0" w:color="auto"/>
                    <w:bottom w:val="none" w:sz="0" w:space="0" w:color="auto"/>
                    <w:right w:val="none" w:sz="0" w:space="0" w:color="auto"/>
                  </w:divBdr>
                  <w:divsChild>
                    <w:div w:id="1246497072">
                      <w:marLeft w:val="0"/>
                      <w:marRight w:val="0"/>
                      <w:marTop w:val="0"/>
                      <w:marBottom w:val="0"/>
                      <w:divBdr>
                        <w:top w:val="none" w:sz="0" w:space="0" w:color="auto"/>
                        <w:left w:val="none" w:sz="0" w:space="0" w:color="auto"/>
                        <w:bottom w:val="none" w:sz="0" w:space="0" w:color="auto"/>
                        <w:right w:val="none" w:sz="0" w:space="0" w:color="auto"/>
                      </w:divBdr>
                    </w:div>
                  </w:divsChild>
                </w:div>
                <w:div w:id="2055540574">
                  <w:marLeft w:val="0"/>
                  <w:marRight w:val="0"/>
                  <w:marTop w:val="0"/>
                  <w:marBottom w:val="0"/>
                  <w:divBdr>
                    <w:top w:val="none" w:sz="0" w:space="0" w:color="auto"/>
                    <w:left w:val="none" w:sz="0" w:space="0" w:color="auto"/>
                    <w:bottom w:val="none" w:sz="0" w:space="0" w:color="auto"/>
                    <w:right w:val="none" w:sz="0" w:space="0" w:color="auto"/>
                  </w:divBdr>
                  <w:divsChild>
                    <w:div w:id="1868524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5216631">
          <w:marLeft w:val="0"/>
          <w:marRight w:val="0"/>
          <w:marTop w:val="0"/>
          <w:marBottom w:val="0"/>
          <w:divBdr>
            <w:top w:val="none" w:sz="0" w:space="0" w:color="auto"/>
            <w:left w:val="none" w:sz="0" w:space="0" w:color="auto"/>
            <w:bottom w:val="none" w:sz="0" w:space="0" w:color="auto"/>
            <w:right w:val="none" w:sz="0" w:space="0" w:color="auto"/>
          </w:divBdr>
        </w:div>
        <w:div w:id="891430386">
          <w:marLeft w:val="0"/>
          <w:marRight w:val="0"/>
          <w:marTop w:val="0"/>
          <w:marBottom w:val="0"/>
          <w:divBdr>
            <w:top w:val="none" w:sz="0" w:space="0" w:color="auto"/>
            <w:left w:val="none" w:sz="0" w:space="0" w:color="auto"/>
            <w:bottom w:val="none" w:sz="0" w:space="0" w:color="auto"/>
            <w:right w:val="none" w:sz="0" w:space="0" w:color="auto"/>
          </w:divBdr>
        </w:div>
        <w:div w:id="895894395">
          <w:marLeft w:val="0"/>
          <w:marRight w:val="0"/>
          <w:marTop w:val="0"/>
          <w:marBottom w:val="0"/>
          <w:divBdr>
            <w:top w:val="none" w:sz="0" w:space="0" w:color="auto"/>
            <w:left w:val="none" w:sz="0" w:space="0" w:color="auto"/>
            <w:bottom w:val="none" w:sz="0" w:space="0" w:color="auto"/>
            <w:right w:val="none" w:sz="0" w:space="0" w:color="auto"/>
          </w:divBdr>
        </w:div>
        <w:div w:id="931008763">
          <w:marLeft w:val="0"/>
          <w:marRight w:val="0"/>
          <w:marTop w:val="0"/>
          <w:marBottom w:val="0"/>
          <w:divBdr>
            <w:top w:val="none" w:sz="0" w:space="0" w:color="auto"/>
            <w:left w:val="none" w:sz="0" w:space="0" w:color="auto"/>
            <w:bottom w:val="none" w:sz="0" w:space="0" w:color="auto"/>
            <w:right w:val="none" w:sz="0" w:space="0" w:color="auto"/>
          </w:divBdr>
        </w:div>
        <w:div w:id="955016706">
          <w:marLeft w:val="0"/>
          <w:marRight w:val="0"/>
          <w:marTop w:val="0"/>
          <w:marBottom w:val="0"/>
          <w:divBdr>
            <w:top w:val="none" w:sz="0" w:space="0" w:color="auto"/>
            <w:left w:val="none" w:sz="0" w:space="0" w:color="auto"/>
            <w:bottom w:val="none" w:sz="0" w:space="0" w:color="auto"/>
            <w:right w:val="none" w:sz="0" w:space="0" w:color="auto"/>
          </w:divBdr>
        </w:div>
        <w:div w:id="965550814">
          <w:marLeft w:val="0"/>
          <w:marRight w:val="0"/>
          <w:marTop w:val="0"/>
          <w:marBottom w:val="0"/>
          <w:divBdr>
            <w:top w:val="none" w:sz="0" w:space="0" w:color="auto"/>
            <w:left w:val="none" w:sz="0" w:space="0" w:color="auto"/>
            <w:bottom w:val="none" w:sz="0" w:space="0" w:color="auto"/>
            <w:right w:val="none" w:sz="0" w:space="0" w:color="auto"/>
          </w:divBdr>
        </w:div>
        <w:div w:id="970940253">
          <w:marLeft w:val="0"/>
          <w:marRight w:val="0"/>
          <w:marTop w:val="0"/>
          <w:marBottom w:val="0"/>
          <w:divBdr>
            <w:top w:val="none" w:sz="0" w:space="0" w:color="auto"/>
            <w:left w:val="none" w:sz="0" w:space="0" w:color="auto"/>
            <w:bottom w:val="none" w:sz="0" w:space="0" w:color="auto"/>
            <w:right w:val="none" w:sz="0" w:space="0" w:color="auto"/>
          </w:divBdr>
        </w:div>
        <w:div w:id="976764059">
          <w:marLeft w:val="0"/>
          <w:marRight w:val="0"/>
          <w:marTop w:val="0"/>
          <w:marBottom w:val="0"/>
          <w:divBdr>
            <w:top w:val="none" w:sz="0" w:space="0" w:color="auto"/>
            <w:left w:val="none" w:sz="0" w:space="0" w:color="auto"/>
            <w:bottom w:val="none" w:sz="0" w:space="0" w:color="auto"/>
            <w:right w:val="none" w:sz="0" w:space="0" w:color="auto"/>
          </w:divBdr>
        </w:div>
        <w:div w:id="987516697">
          <w:marLeft w:val="0"/>
          <w:marRight w:val="0"/>
          <w:marTop w:val="0"/>
          <w:marBottom w:val="0"/>
          <w:divBdr>
            <w:top w:val="none" w:sz="0" w:space="0" w:color="auto"/>
            <w:left w:val="none" w:sz="0" w:space="0" w:color="auto"/>
            <w:bottom w:val="none" w:sz="0" w:space="0" w:color="auto"/>
            <w:right w:val="none" w:sz="0" w:space="0" w:color="auto"/>
          </w:divBdr>
        </w:div>
        <w:div w:id="1004090043">
          <w:marLeft w:val="0"/>
          <w:marRight w:val="0"/>
          <w:marTop w:val="0"/>
          <w:marBottom w:val="0"/>
          <w:divBdr>
            <w:top w:val="none" w:sz="0" w:space="0" w:color="auto"/>
            <w:left w:val="none" w:sz="0" w:space="0" w:color="auto"/>
            <w:bottom w:val="none" w:sz="0" w:space="0" w:color="auto"/>
            <w:right w:val="none" w:sz="0" w:space="0" w:color="auto"/>
          </w:divBdr>
        </w:div>
        <w:div w:id="1006519323">
          <w:marLeft w:val="0"/>
          <w:marRight w:val="0"/>
          <w:marTop w:val="0"/>
          <w:marBottom w:val="0"/>
          <w:divBdr>
            <w:top w:val="none" w:sz="0" w:space="0" w:color="auto"/>
            <w:left w:val="none" w:sz="0" w:space="0" w:color="auto"/>
            <w:bottom w:val="none" w:sz="0" w:space="0" w:color="auto"/>
            <w:right w:val="none" w:sz="0" w:space="0" w:color="auto"/>
          </w:divBdr>
        </w:div>
        <w:div w:id="1031684092">
          <w:marLeft w:val="0"/>
          <w:marRight w:val="0"/>
          <w:marTop w:val="0"/>
          <w:marBottom w:val="0"/>
          <w:divBdr>
            <w:top w:val="none" w:sz="0" w:space="0" w:color="auto"/>
            <w:left w:val="none" w:sz="0" w:space="0" w:color="auto"/>
            <w:bottom w:val="none" w:sz="0" w:space="0" w:color="auto"/>
            <w:right w:val="none" w:sz="0" w:space="0" w:color="auto"/>
          </w:divBdr>
        </w:div>
        <w:div w:id="1033925359">
          <w:marLeft w:val="0"/>
          <w:marRight w:val="0"/>
          <w:marTop w:val="0"/>
          <w:marBottom w:val="0"/>
          <w:divBdr>
            <w:top w:val="none" w:sz="0" w:space="0" w:color="auto"/>
            <w:left w:val="none" w:sz="0" w:space="0" w:color="auto"/>
            <w:bottom w:val="none" w:sz="0" w:space="0" w:color="auto"/>
            <w:right w:val="none" w:sz="0" w:space="0" w:color="auto"/>
          </w:divBdr>
        </w:div>
        <w:div w:id="1138255212">
          <w:marLeft w:val="0"/>
          <w:marRight w:val="0"/>
          <w:marTop w:val="0"/>
          <w:marBottom w:val="0"/>
          <w:divBdr>
            <w:top w:val="none" w:sz="0" w:space="0" w:color="auto"/>
            <w:left w:val="none" w:sz="0" w:space="0" w:color="auto"/>
            <w:bottom w:val="none" w:sz="0" w:space="0" w:color="auto"/>
            <w:right w:val="none" w:sz="0" w:space="0" w:color="auto"/>
          </w:divBdr>
        </w:div>
        <w:div w:id="1142848799">
          <w:marLeft w:val="0"/>
          <w:marRight w:val="0"/>
          <w:marTop w:val="0"/>
          <w:marBottom w:val="0"/>
          <w:divBdr>
            <w:top w:val="none" w:sz="0" w:space="0" w:color="auto"/>
            <w:left w:val="none" w:sz="0" w:space="0" w:color="auto"/>
            <w:bottom w:val="none" w:sz="0" w:space="0" w:color="auto"/>
            <w:right w:val="none" w:sz="0" w:space="0" w:color="auto"/>
          </w:divBdr>
        </w:div>
        <w:div w:id="1145898928">
          <w:marLeft w:val="0"/>
          <w:marRight w:val="0"/>
          <w:marTop w:val="0"/>
          <w:marBottom w:val="0"/>
          <w:divBdr>
            <w:top w:val="none" w:sz="0" w:space="0" w:color="auto"/>
            <w:left w:val="none" w:sz="0" w:space="0" w:color="auto"/>
            <w:bottom w:val="none" w:sz="0" w:space="0" w:color="auto"/>
            <w:right w:val="none" w:sz="0" w:space="0" w:color="auto"/>
          </w:divBdr>
          <w:divsChild>
            <w:div w:id="691341051">
              <w:marLeft w:val="-75"/>
              <w:marRight w:val="0"/>
              <w:marTop w:val="30"/>
              <w:marBottom w:val="30"/>
              <w:divBdr>
                <w:top w:val="none" w:sz="0" w:space="0" w:color="auto"/>
                <w:left w:val="none" w:sz="0" w:space="0" w:color="auto"/>
                <w:bottom w:val="none" w:sz="0" w:space="0" w:color="auto"/>
                <w:right w:val="none" w:sz="0" w:space="0" w:color="auto"/>
              </w:divBdr>
              <w:divsChild>
                <w:div w:id="363480664">
                  <w:marLeft w:val="0"/>
                  <w:marRight w:val="0"/>
                  <w:marTop w:val="0"/>
                  <w:marBottom w:val="0"/>
                  <w:divBdr>
                    <w:top w:val="none" w:sz="0" w:space="0" w:color="auto"/>
                    <w:left w:val="none" w:sz="0" w:space="0" w:color="auto"/>
                    <w:bottom w:val="none" w:sz="0" w:space="0" w:color="auto"/>
                    <w:right w:val="none" w:sz="0" w:space="0" w:color="auto"/>
                  </w:divBdr>
                  <w:divsChild>
                    <w:div w:id="936904064">
                      <w:marLeft w:val="0"/>
                      <w:marRight w:val="0"/>
                      <w:marTop w:val="0"/>
                      <w:marBottom w:val="0"/>
                      <w:divBdr>
                        <w:top w:val="none" w:sz="0" w:space="0" w:color="auto"/>
                        <w:left w:val="none" w:sz="0" w:space="0" w:color="auto"/>
                        <w:bottom w:val="none" w:sz="0" w:space="0" w:color="auto"/>
                        <w:right w:val="none" w:sz="0" w:space="0" w:color="auto"/>
                      </w:divBdr>
                    </w:div>
                  </w:divsChild>
                </w:div>
                <w:div w:id="985622523">
                  <w:marLeft w:val="0"/>
                  <w:marRight w:val="0"/>
                  <w:marTop w:val="0"/>
                  <w:marBottom w:val="0"/>
                  <w:divBdr>
                    <w:top w:val="none" w:sz="0" w:space="0" w:color="auto"/>
                    <w:left w:val="none" w:sz="0" w:space="0" w:color="auto"/>
                    <w:bottom w:val="none" w:sz="0" w:space="0" w:color="auto"/>
                    <w:right w:val="none" w:sz="0" w:space="0" w:color="auto"/>
                  </w:divBdr>
                  <w:divsChild>
                    <w:div w:id="1322470784">
                      <w:marLeft w:val="0"/>
                      <w:marRight w:val="0"/>
                      <w:marTop w:val="0"/>
                      <w:marBottom w:val="0"/>
                      <w:divBdr>
                        <w:top w:val="none" w:sz="0" w:space="0" w:color="auto"/>
                        <w:left w:val="none" w:sz="0" w:space="0" w:color="auto"/>
                        <w:bottom w:val="none" w:sz="0" w:space="0" w:color="auto"/>
                        <w:right w:val="none" w:sz="0" w:space="0" w:color="auto"/>
                      </w:divBdr>
                    </w:div>
                  </w:divsChild>
                </w:div>
                <w:div w:id="1294748576">
                  <w:marLeft w:val="0"/>
                  <w:marRight w:val="0"/>
                  <w:marTop w:val="0"/>
                  <w:marBottom w:val="0"/>
                  <w:divBdr>
                    <w:top w:val="none" w:sz="0" w:space="0" w:color="auto"/>
                    <w:left w:val="none" w:sz="0" w:space="0" w:color="auto"/>
                    <w:bottom w:val="none" w:sz="0" w:space="0" w:color="auto"/>
                    <w:right w:val="none" w:sz="0" w:space="0" w:color="auto"/>
                  </w:divBdr>
                  <w:divsChild>
                    <w:div w:id="1219393089">
                      <w:marLeft w:val="0"/>
                      <w:marRight w:val="0"/>
                      <w:marTop w:val="0"/>
                      <w:marBottom w:val="0"/>
                      <w:divBdr>
                        <w:top w:val="none" w:sz="0" w:space="0" w:color="auto"/>
                        <w:left w:val="none" w:sz="0" w:space="0" w:color="auto"/>
                        <w:bottom w:val="none" w:sz="0" w:space="0" w:color="auto"/>
                        <w:right w:val="none" w:sz="0" w:space="0" w:color="auto"/>
                      </w:divBdr>
                    </w:div>
                  </w:divsChild>
                </w:div>
                <w:div w:id="1356005748">
                  <w:marLeft w:val="0"/>
                  <w:marRight w:val="0"/>
                  <w:marTop w:val="0"/>
                  <w:marBottom w:val="0"/>
                  <w:divBdr>
                    <w:top w:val="none" w:sz="0" w:space="0" w:color="auto"/>
                    <w:left w:val="none" w:sz="0" w:space="0" w:color="auto"/>
                    <w:bottom w:val="none" w:sz="0" w:space="0" w:color="auto"/>
                    <w:right w:val="none" w:sz="0" w:space="0" w:color="auto"/>
                  </w:divBdr>
                  <w:divsChild>
                    <w:div w:id="1097367376">
                      <w:marLeft w:val="0"/>
                      <w:marRight w:val="0"/>
                      <w:marTop w:val="0"/>
                      <w:marBottom w:val="0"/>
                      <w:divBdr>
                        <w:top w:val="none" w:sz="0" w:space="0" w:color="auto"/>
                        <w:left w:val="none" w:sz="0" w:space="0" w:color="auto"/>
                        <w:bottom w:val="none" w:sz="0" w:space="0" w:color="auto"/>
                        <w:right w:val="none" w:sz="0" w:space="0" w:color="auto"/>
                      </w:divBdr>
                    </w:div>
                  </w:divsChild>
                </w:div>
                <w:div w:id="1759477070">
                  <w:marLeft w:val="0"/>
                  <w:marRight w:val="0"/>
                  <w:marTop w:val="0"/>
                  <w:marBottom w:val="0"/>
                  <w:divBdr>
                    <w:top w:val="none" w:sz="0" w:space="0" w:color="auto"/>
                    <w:left w:val="none" w:sz="0" w:space="0" w:color="auto"/>
                    <w:bottom w:val="none" w:sz="0" w:space="0" w:color="auto"/>
                    <w:right w:val="none" w:sz="0" w:space="0" w:color="auto"/>
                  </w:divBdr>
                  <w:divsChild>
                    <w:div w:id="1286739495">
                      <w:marLeft w:val="0"/>
                      <w:marRight w:val="0"/>
                      <w:marTop w:val="0"/>
                      <w:marBottom w:val="0"/>
                      <w:divBdr>
                        <w:top w:val="none" w:sz="0" w:space="0" w:color="auto"/>
                        <w:left w:val="none" w:sz="0" w:space="0" w:color="auto"/>
                        <w:bottom w:val="none" w:sz="0" w:space="0" w:color="auto"/>
                        <w:right w:val="none" w:sz="0" w:space="0" w:color="auto"/>
                      </w:divBdr>
                    </w:div>
                  </w:divsChild>
                </w:div>
                <w:div w:id="1982349474">
                  <w:marLeft w:val="0"/>
                  <w:marRight w:val="0"/>
                  <w:marTop w:val="0"/>
                  <w:marBottom w:val="0"/>
                  <w:divBdr>
                    <w:top w:val="none" w:sz="0" w:space="0" w:color="auto"/>
                    <w:left w:val="none" w:sz="0" w:space="0" w:color="auto"/>
                    <w:bottom w:val="none" w:sz="0" w:space="0" w:color="auto"/>
                    <w:right w:val="none" w:sz="0" w:space="0" w:color="auto"/>
                  </w:divBdr>
                  <w:divsChild>
                    <w:div w:id="1094327581">
                      <w:marLeft w:val="0"/>
                      <w:marRight w:val="0"/>
                      <w:marTop w:val="0"/>
                      <w:marBottom w:val="0"/>
                      <w:divBdr>
                        <w:top w:val="none" w:sz="0" w:space="0" w:color="auto"/>
                        <w:left w:val="none" w:sz="0" w:space="0" w:color="auto"/>
                        <w:bottom w:val="none" w:sz="0" w:space="0" w:color="auto"/>
                        <w:right w:val="none" w:sz="0" w:space="0" w:color="auto"/>
                      </w:divBdr>
                    </w:div>
                  </w:divsChild>
                </w:div>
                <w:div w:id="2060470487">
                  <w:marLeft w:val="0"/>
                  <w:marRight w:val="0"/>
                  <w:marTop w:val="0"/>
                  <w:marBottom w:val="0"/>
                  <w:divBdr>
                    <w:top w:val="none" w:sz="0" w:space="0" w:color="auto"/>
                    <w:left w:val="none" w:sz="0" w:space="0" w:color="auto"/>
                    <w:bottom w:val="none" w:sz="0" w:space="0" w:color="auto"/>
                    <w:right w:val="none" w:sz="0" w:space="0" w:color="auto"/>
                  </w:divBdr>
                  <w:divsChild>
                    <w:div w:id="529877584">
                      <w:marLeft w:val="0"/>
                      <w:marRight w:val="0"/>
                      <w:marTop w:val="0"/>
                      <w:marBottom w:val="0"/>
                      <w:divBdr>
                        <w:top w:val="none" w:sz="0" w:space="0" w:color="auto"/>
                        <w:left w:val="none" w:sz="0" w:space="0" w:color="auto"/>
                        <w:bottom w:val="none" w:sz="0" w:space="0" w:color="auto"/>
                        <w:right w:val="none" w:sz="0" w:space="0" w:color="auto"/>
                      </w:divBdr>
                    </w:div>
                  </w:divsChild>
                </w:div>
                <w:div w:id="2080010286">
                  <w:marLeft w:val="0"/>
                  <w:marRight w:val="0"/>
                  <w:marTop w:val="0"/>
                  <w:marBottom w:val="0"/>
                  <w:divBdr>
                    <w:top w:val="none" w:sz="0" w:space="0" w:color="auto"/>
                    <w:left w:val="none" w:sz="0" w:space="0" w:color="auto"/>
                    <w:bottom w:val="none" w:sz="0" w:space="0" w:color="auto"/>
                    <w:right w:val="none" w:sz="0" w:space="0" w:color="auto"/>
                  </w:divBdr>
                  <w:divsChild>
                    <w:div w:id="1577544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398428">
          <w:marLeft w:val="0"/>
          <w:marRight w:val="0"/>
          <w:marTop w:val="0"/>
          <w:marBottom w:val="0"/>
          <w:divBdr>
            <w:top w:val="none" w:sz="0" w:space="0" w:color="auto"/>
            <w:left w:val="none" w:sz="0" w:space="0" w:color="auto"/>
            <w:bottom w:val="none" w:sz="0" w:space="0" w:color="auto"/>
            <w:right w:val="none" w:sz="0" w:space="0" w:color="auto"/>
          </w:divBdr>
        </w:div>
        <w:div w:id="1188642010">
          <w:marLeft w:val="0"/>
          <w:marRight w:val="0"/>
          <w:marTop w:val="0"/>
          <w:marBottom w:val="0"/>
          <w:divBdr>
            <w:top w:val="none" w:sz="0" w:space="0" w:color="auto"/>
            <w:left w:val="none" w:sz="0" w:space="0" w:color="auto"/>
            <w:bottom w:val="none" w:sz="0" w:space="0" w:color="auto"/>
            <w:right w:val="none" w:sz="0" w:space="0" w:color="auto"/>
          </w:divBdr>
        </w:div>
        <w:div w:id="1202788490">
          <w:marLeft w:val="0"/>
          <w:marRight w:val="0"/>
          <w:marTop w:val="0"/>
          <w:marBottom w:val="0"/>
          <w:divBdr>
            <w:top w:val="none" w:sz="0" w:space="0" w:color="auto"/>
            <w:left w:val="none" w:sz="0" w:space="0" w:color="auto"/>
            <w:bottom w:val="none" w:sz="0" w:space="0" w:color="auto"/>
            <w:right w:val="none" w:sz="0" w:space="0" w:color="auto"/>
          </w:divBdr>
          <w:divsChild>
            <w:div w:id="396131118">
              <w:marLeft w:val="-75"/>
              <w:marRight w:val="0"/>
              <w:marTop w:val="30"/>
              <w:marBottom w:val="30"/>
              <w:divBdr>
                <w:top w:val="none" w:sz="0" w:space="0" w:color="auto"/>
                <w:left w:val="none" w:sz="0" w:space="0" w:color="auto"/>
                <w:bottom w:val="none" w:sz="0" w:space="0" w:color="auto"/>
                <w:right w:val="none" w:sz="0" w:space="0" w:color="auto"/>
              </w:divBdr>
              <w:divsChild>
                <w:div w:id="87044381">
                  <w:marLeft w:val="0"/>
                  <w:marRight w:val="0"/>
                  <w:marTop w:val="0"/>
                  <w:marBottom w:val="0"/>
                  <w:divBdr>
                    <w:top w:val="none" w:sz="0" w:space="0" w:color="auto"/>
                    <w:left w:val="none" w:sz="0" w:space="0" w:color="auto"/>
                    <w:bottom w:val="none" w:sz="0" w:space="0" w:color="auto"/>
                    <w:right w:val="none" w:sz="0" w:space="0" w:color="auto"/>
                  </w:divBdr>
                  <w:divsChild>
                    <w:div w:id="2076464628">
                      <w:marLeft w:val="0"/>
                      <w:marRight w:val="0"/>
                      <w:marTop w:val="0"/>
                      <w:marBottom w:val="0"/>
                      <w:divBdr>
                        <w:top w:val="none" w:sz="0" w:space="0" w:color="auto"/>
                        <w:left w:val="none" w:sz="0" w:space="0" w:color="auto"/>
                        <w:bottom w:val="none" w:sz="0" w:space="0" w:color="auto"/>
                        <w:right w:val="none" w:sz="0" w:space="0" w:color="auto"/>
                      </w:divBdr>
                    </w:div>
                  </w:divsChild>
                </w:div>
                <w:div w:id="417137510">
                  <w:marLeft w:val="0"/>
                  <w:marRight w:val="0"/>
                  <w:marTop w:val="0"/>
                  <w:marBottom w:val="0"/>
                  <w:divBdr>
                    <w:top w:val="none" w:sz="0" w:space="0" w:color="auto"/>
                    <w:left w:val="none" w:sz="0" w:space="0" w:color="auto"/>
                    <w:bottom w:val="none" w:sz="0" w:space="0" w:color="auto"/>
                    <w:right w:val="none" w:sz="0" w:space="0" w:color="auto"/>
                  </w:divBdr>
                  <w:divsChild>
                    <w:div w:id="1706905212">
                      <w:marLeft w:val="0"/>
                      <w:marRight w:val="0"/>
                      <w:marTop w:val="0"/>
                      <w:marBottom w:val="0"/>
                      <w:divBdr>
                        <w:top w:val="none" w:sz="0" w:space="0" w:color="auto"/>
                        <w:left w:val="none" w:sz="0" w:space="0" w:color="auto"/>
                        <w:bottom w:val="none" w:sz="0" w:space="0" w:color="auto"/>
                        <w:right w:val="none" w:sz="0" w:space="0" w:color="auto"/>
                      </w:divBdr>
                    </w:div>
                  </w:divsChild>
                </w:div>
                <w:div w:id="539827794">
                  <w:marLeft w:val="0"/>
                  <w:marRight w:val="0"/>
                  <w:marTop w:val="0"/>
                  <w:marBottom w:val="0"/>
                  <w:divBdr>
                    <w:top w:val="none" w:sz="0" w:space="0" w:color="auto"/>
                    <w:left w:val="none" w:sz="0" w:space="0" w:color="auto"/>
                    <w:bottom w:val="none" w:sz="0" w:space="0" w:color="auto"/>
                    <w:right w:val="none" w:sz="0" w:space="0" w:color="auto"/>
                  </w:divBdr>
                  <w:divsChild>
                    <w:div w:id="692995321">
                      <w:marLeft w:val="0"/>
                      <w:marRight w:val="0"/>
                      <w:marTop w:val="0"/>
                      <w:marBottom w:val="0"/>
                      <w:divBdr>
                        <w:top w:val="none" w:sz="0" w:space="0" w:color="auto"/>
                        <w:left w:val="none" w:sz="0" w:space="0" w:color="auto"/>
                        <w:bottom w:val="none" w:sz="0" w:space="0" w:color="auto"/>
                        <w:right w:val="none" w:sz="0" w:space="0" w:color="auto"/>
                      </w:divBdr>
                    </w:div>
                  </w:divsChild>
                </w:div>
                <w:div w:id="760101788">
                  <w:marLeft w:val="0"/>
                  <w:marRight w:val="0"/>
                  <w:marTop w:val="0"/>
                  <w:marBottom w:val="0"/>
                  <w:divBdr>
                    <w:top w:val="none" w:sz="0" w:space="0" w:color="auto"/>
                    <w:left w:val="none" w:sz="0" w:space="0" w:color="auto"/>
                    <w:bottom w:val="none" w:sz="0" w:space="0" w:color="auto"/>
                    <w:right w:val="none" w:sz="0" w:space="0" w:color="auto"/>
                  </w:divBdr>
                  <w:divsChild>
                    <w:div w:id="809324270">
                      <w:marLeft w:val="0"/>
                      <w:marRight w:val="0"/>
                      <w:marTop w:val="0"/>
                      <w:marBottom w:val="0"/>
                      <w:divBdr>
                        <w:top w:val="none" w:sz="0" w:space="0" w:color="auto"/>
                        <w:left w:val="none" w:sz="0" w:space="0" w:color="auto"/>
                        <w:bottom w:val="none" w:sz="0" w:space="0" w:color="auto"/>
                        <w:right w:val="none" w:sz="0" w:space="0" w:color="auto"/>
                      </w:divBdr>
                    </w:div>
                  </w:divsChild>
                </w:div>
                <w:div w:id="1135217898">
                  <w:marLeft w:val="0"/>
                  <w:marRight w:val="0"/>
                  <w:marTop w:val="0"/>
                  <w:marBottom w:val="0"/>
                  <w:divBdr>
                    <w:top w:val="none" w:sz="0" w:space="0" w:color="auto"/>
                    <w:left w:val="none" w:sz="0" w:space="0" w:color="auto"/>
                    <w:bottom w:val="none" w:sz="0" w:space="0" w:color="auto"/>
                    <w:right w:val="none" w:sz="0" w:space="0" w:color="auto"/>
                  </w:divBdr>
                  <w:divsChild>
                    <w:div w:id="1774204073">
                      <w:marLeft w:val="0"/>
                      <w:marRight w:val="0"/>
                      <w:marTop w:val="0"/>
                      <w:marBottom w:val="0"/>
                      <w:divBdr>
                        <w:top w:val="none" w:sz="0" w:space="0" w:color="auto"/>
                        <w:left w:val="none" w:sz="0" w:space="0" w:color="auto"/>
                        <w:bottom w:val="none" w:sz="0" w:space="0" w:color="auto"/>
                        <w:right w:val="none" w:sz="0" w:space="0" w:color="auto"/>
                      </w:divBdr>
                    </w:div>
                  </w:divsChild>
                </w:div>
                <w:div w:id="1494686139">
                  <w:marLeft w:val="0"/>
                  <w:marRight w:val="0"/>
                  <w:marTop w:val="0"/>
                  <w:marBottom w:val="0"/>
                  <w:divBdr>
                    <w:top w:val="none" w:sz="0" w:space="0" w:color="auto"/>
                    <w:left w:val="none" w:sz="0" w:space="0" w:color="auto"/>
                    <w:bottom w:val="none" w:sz="0" w:space="0" w:color="auto"/>
                    <w:right w:val="none" w:sz="0" w:space="0" w:color="auto"/>
                  </w:divBdr>
                  <w:divsChild>
                    <w:div w:id="1491871432">
                      <w:marLeft w:val="0"/>
                      <w:marRight w:val="0"/>
                      <w:marTop w:val="0"/>
                      <w:marBottom w:val="0"/>
                      <w:divBdr>
                        <w:top w:val="none" w:sz="0" w:space="0" w:color="auto"/>
                        <w:left w:val="none" w:sz="0" w:space="0" w:color="auto"/>
                        <w:bottom w:val="none" w:sz="0" w:space="0" w:color="auto"/>
                        <w:right w:val="none" w:sz="0" w:space="0" w:color="auto"/>
                      </w:divBdr>
                    </w:div>
                  </w:divsChild>
                </w:div>
                <w:div w:id="1520704687">
                  <w:marLeft w:val="0"/>
                  <w:marRight w:val="0"/>
                  <w:marTop w:val="0"/>
                  <w:marBottom w:val="0"/>
                  <w:divBdr>
                    <w:top w:val="none" w:sz="0" w:space="0" w:color="auto"/>
                    <w:left w:val="none" w:sz="0" w:space="0" w:color="auto"/>
                    <w:bottom w:val="none" w:sz="0" w:space="0" w:color="auto"/>
                    <w:right w:val="none" w:sz="0" w:space="0" w:color="auto"/>
                  </w:divBdr>
                  <w:divsChild>
                    <w:div w:id="160774237">
                      <w:marLeft w:val="0"/>
                      <w:marRight w:val="0"/>
                      <w:marTop w:val="0"/>
                      <w:marBottom w:val="0"/>
                      <w:divBdr>
                        <w:top w:val="none" w:sz="0" w:space="0" w:color="auto"/>
                        <w:left w:val="none" w:sz="0" w:space="0" w:color="auto"/>
                        <w:bottom w:val="none" w:sz="0" w:space="0" w:color="auto"/>
                        <w:right w:val="none" w:sz="0" w:space="0" w:color="auto"/>
                      </w:divBdr>
                    </w:div>
                  </w:divsChild>
                </w:div>
                <w:div w:id="1575506608">
                  <w:marLeft w:val="0"/>
                  <w:marRight w:val="0"/>
                  <w:marTop w:val="0"/>
                  <w:marBottom w:val="0"/>
                  <w:divBdr>
                    <w:top w:val="none" w:sz="0" w:space="0" w:color="auto"/>
                    <w:left w:val="none" w:sz="0" w:space="0" w:color="auto"/>
                    <w:bottom w:val="none" w:sz="0" w:space="0" w:color="auto"/>
                    <w:right w:val="none" w:sz="0" w:space="0" w:color="auto"/>
                  </w:divBdr>
                  <w:divsChild>
                    <w:div w:id="1571117525">
                      <w:marLeft w:val="0"/>
                      <w:marRight w:val="0"/>
                      <w:marTop w:val="0"/>
                      <w:marBottom w:val="0"/>
                      <w:divBdr>
                        <w:top w:val="none" w:sz="0" w:space="0" w:color="auto"/>
                        <w:left w:val="none" w:sz="0" w:space="0" w:color="auto"/>
                        <w:bottom w:val="none" w:sz="0" w:space="0" w:color="auto"/>
                        <w:right w:val="none" w:sz="0" w:space="0" w:color="auto"/>
                      </w:divBdr>
                    </w:div>
                  </w:divsChild>
                </w:div>
                <w:div w:id="1582444569">
                  <w:marLeft w:val="0"/>
                  <w:marRight w:val="0"/>
                  <w:marTop w:val="0"/>
                  <w:marBottom w:val="0"/>
                  <w:divBdr>
                    <w:top w:val="none" w:sz="0" w:space="0" w:color="auto"/>
                    <w:left w:val="none" w:sz="0" w:space="0" w:color="auto"/>
                    <w:bottom w:val="none" w:sz="0" w:space="0" w:color="auto"/>
                    <w:right w:val="none" w:sz="0" w:space="0" w:color="auto"/>
                  </w:divBdr>
                  <w:divsChild>
                    <w:div w:id="949049122">
                      <w:marLeft w:val="0"/>
                      <w:marRight w:val="0"/>
                      <w:marTop w:val="0"/>
                      <w:marBottom w:val="0"/>
                      <w:divBdr>
                        <w:top w:val="none" w:sz="0" w:space="0" w:color="auto"/>
                        <w:left w:val="none" w:sz="0" w:space="0" w:color="auto"/>
                        <w:bottom w:val="none" w:sz="0" w:space="0" w:color="auto"/>
                        <w:right w:val="none" w:sz="0" w:space="0" w:color="auto"/>
                      </w:divBdr>
                    </w:div>
                  </w:divsChild>
                </w:div>
                <w:div w:id="1684547782">
                  <w:marLeft w:val="0"/>
                  <w:marRight w:val="0"/>
                  <w:marTop w:val="0"/>
                  <w:marBottom w:val="0"/>
                  <w:divBdr>
                    <w:top w:val="none" w:sz="0" w:space="0" w:color="auto"/>
                    <w:left w:val="none" w:sz="0" w:space="0" w:color="auto"/>
                    <w:bottom w:val="none" w:sz="0" w:space="0" w:color="auto"/>
                    <w:right w:val="none" w:sz="0" w:space="0" w:color="auto"/>
                  </w:divBdr>
                  <w:divsChild>
                    <w:div w:id="1319652423">
                      <w:marLeft w:val="0"/>
                      <w:marRight w:val="0"/>
                      <w:marTop w:val="0"/>
                      <w:marBottom w:val="0"/>
                      <w:divBdr>
                        <w:top w:val="none" w:sz="0" w:space="0" w:color="auto"/>
                        <w:left w:val="none" w:sz="0" w:space="0" w:color="auto"/>
                        <w:bottom w:val="none" w:sz="0" w:space="0" w:color="auto"/>
                        <w:right w:val="none" w:sz="0" w:space="0" w:color="auto"/>
                      </w:divBdr>
                    </w:div>
                  </w:divsChild>
                </w:div>
                <w:div w:id="1888102775">
                  <w:marLeft w:val="0"/>
                  <w:marRight w:val="0"/>
                  <w:marTop w:val="0"/>
                  <w:marBottom w:val="0"/>
                  <w:divBdr>
                    <w:top w:val="none" w:sz="0" w:space="0" w:color="auto"/>
                    <w:left w:val="none" w:sz="0" w:space="0" w:color="auto"/>
                    <w:bottom w:val="none" w:sz="0" w:space="0" w:color="auto"/>
                    <w:right w:val="none" w:sz="0" w:space="0" w:color="auto"/>
                  </w:divBdr>
                  <w:divsChild>
                    <w:div w:id="1980838842">
                      <w:marLeft w:val="0"/>
                      <w:marRight w:val="0"/>
                      <w:marTop w:val="0"/>
                      <w:marBottom w:val="0"/>
                      <w:divBdr>
                        <w:top w:val="none" w:sz="0" w:space="0" w:color="auto"/>
                        <w:left w:val="none" w:sz="0" w:space="0" w:color="auto"/>
                        <w:bottom w:val="none" w:sz="0" w:space="0" w:color="auto"/>
                        <w:right w:val="none" w:sz="0" w:space="0" w:color="auto"/>
                      </w:divBdr>
                    </w:div>
                  </w:divsChild>
                </w:div>
                <w:div w:id="2123957114">
                  <w:marLeft w:val="0"/>
                  <w:marRight w:val="0"/>
                  <w:marTop w:val="0"/>
                  <w:marBottom w:val="0"/>
                  <w:divBdr>
                    <w:top w:val="none" w:sz="0" w:space="0" w:color="auto"/>
                    <w:left w:val="none" w:sz="0" w:space="0" w:color="auto"/>
                    <w:bottom w:val="none" w:sz="0" w:space="0" w:color="auto"/>
                    <w:right w:val="none" w:sz="0" w:space="0" w:color="auto"/>
                  </w:divBdr>
                  <w:divsChild>
                    <w:div w:id="157130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5485021">
          <w:marLeft w:val="0"/>
          <w:marRight w:val="0"/>
          <w:marTop w:val="0"/>
          <w:marBottom w:val="0"/>
          <w:divBdr>
            <w:top w:val="none" w:sz="0" w:space="0" w:color="auto"/>
            <w:left w:val="none" w:sz="0" w:space="0" w:color="auto"/>
            <w:bottom w:val="none" w:sz="0" w:space="0" w:color="auto"/>
            <w:right w:val="none" w:sz="0" w:space="0" w:color="auto"/>
          </w:divBdr>
        </w:div>
        <w:div w:id="1272400859">
          <w:marLeft w:val="0"/>
          <w:marRight w:val="0"/>
          <w:marTop w:val="0"/>
          <w:marBottom w:val="0"/>
          <w:divBdr>
            <w:top w:val="none" w:sz="0" w:space="0" w:color="auto"/>
            <w:left w:val="none" w:sz="0" w:space="0" w:color="auto"/>
            <w:bottom w:val="none" w:sz="0" w:space="0" w:color="auto"/>
            <w:right w:val="none" w:sz="0" w:space="0" w:color="auto"/>
          </w:divBdr>
        </w:div>
        <w:div w:id="1336153798">
          <w:marLeft w:val="0"/>
          <w:marRight w:val="0"/>
          <w:marTop w:val="0"/>
          <w:marBottom w:val="0"/>
          <w:divBdr>
            <w:top w:val="none" w:sz="0" w:space="0" w:color="auto"/>
            <w:left w:val="none" w:sz="0" w:space="0" w:color="auto"/>
            <w:bottom w:val="none" w:sz="0" w:space="0" w:color="auto"/>
            <w:right w:val="none" w:sz="0" w:space="0" w:color="auto"/>
          </w:divBdr>
        </w:div>
        <w:div w:id="1397895955">
          <w:marLeft w:val="0"/>
          <w:marRight w:val="0"/>
          <w:marTop w:val="0"/>
          <w:marBottom w:val="0"/>
          <w:divBdr>
            <w:top w:val="none" w:sz="0" w:space="0" w:color="auto"/>
            <w:left w:val="none" w:sz="0" w:space="0" w:color="auto"/>
            <w:bottom w:val="none" w:sz="0" w:space="0" w:color="auto"/>
            <w:right w:val="none" w:sz="0" w:space="0" w:color="auto"/>
          </w:divBdr>
        </w:div>
        <w:div w:id="1461877756">
          <w:marLeft w:val="0"/>
          <w:marRight w:val="0"/>
          <w:marTop w:val="0"/>
          <w:marBottom w:val="0"/>
          <w:divBdr>
            <w:top w:val="none" w:sz="0" w:space="0" w:color="auto"/>
            <w:left w:val="none" w:sz="0" w:space="0" w:color="auto"/>
            <w:bottom w:val="none" w:sz="0" w:space="0" w:color="auto"/>
            <w:right w:val="none" w:sz="0" w:space="0" w:color="auto"/>
          </w:divBdr>
        </w:div>
        <w:div w:id="1481119792">
          <w:marLeft w:val="0"/>
          <w:marRight w:val="0"/>
          <w:marTop w:val="0"/>
          <w:marBottom w:val="0"/>
          <w:divBdr>
            <w:top w:val="none" w:sz="0" w:space="0" w:color="auto"/>
            <w:left w:val="none" w:sz="0" w:space="0" w:color="auto"/>
            <w:bottom w:val="none" w:sz="0" w:space="0" w:color="auto"/>
            <w:right w:val="none" w:sz="0" w:space="0" w:color="auto"/>
          </w:divBdr>
        </w:div>
        <w:div w:id="1536694398">
          <w:marLeft w:val="0"/>
          <w:marRight w:val="0"/>
          <w:marTop w:val="0"/>
          <w:marBottom w:val="0"/>
          <w:divBdr>
            <w:top w:val="none" w:sz="0" w:space="0" w:color="auto"/>
            <w:left w:val="none" w:sz="0" w:space="0" w:color="auto"/>
            <w:bottom w:val="none" w:sz="0" w:space="0" w:color="auto"/>
            <w:right w:val="none" w:sz="0" w:space="0" w:color="auto"/>
          </w:divBdr>
        </w:div>
        <w:div w:id="1546596611">
          <w:marLeft w:val="0"/>
          <w:marRight w:val="0"/>
          <w:marTop w:val="0"/>
          <w:marBottom w:val="0"/>
          <w:divBdr>
            <w:top w:val="none" w:sz="0" w:space="0" w:color="auto"/>
            <w:left w:val="none" w:sz="0" w:space="0" w:color="auto"/>
            <w:bottom w:val="none" w:sz="0" w:space="0" w:color="auto"/>
            <w:right w:val="none" w:sz="0" w:space="0" w:color="auto"/>
          </w:divBdr>
        </w:div>
        <w:div w:id="1590502515">
          <w:marLeft w:val="0"/>
          <w:marRight w:val="0"/>
          <w:marTop w:val="0"/>
          <w:marBottom w:val="0"/>
          <w:divBdr>
            <w:top w:val="none" w:sz="0" w:space="0" w:color="auto"/>
            <w:left w:val="none" w:sz="0" w:space="0" w:color="auto"/>
            <w:bottom w:val="none" w:sz="0" w:space="0" w:color="auto"/>
            <w:right w:val="none" w:sz="0" w:space="0" w:color="auto"/>
          </w:divBdr>
        </w:div>
        <w:div w:id="1625189638">
          <w:marLeft w:val="0"/>
          <w:marRight w:val="0"/>
          <w:marTop w:val="0"/>
          <w:marBottom w:val="0"/>
          <w:divBdr>
            <w:top w:val="none" w:sz="0" w:space="0" w:color="auto"/>
            <w:left w:val="none" w:sz="0" w:space="0" w:color="auto"/>
            <w:bottom w:val="none" w:sz="0" w:space="0" w:color="auto"/>
            <w:right w:val="none" w:sz="0" w:space="0" w:color="auto"/>
          </w:divBdr>
        </w:div>
        <w:div w:id="1631932576">
          <w:marLeft w:val="0"/>
          <w:marRight w:val="0"/>
          <w:marTop w:val="0"/>
          <w:marBottom w:val="0"/>
          <w:divBdr>
            <w:top w:val="none" w:sz="0" w:space="0" w:color="auto"/>
            <w:left w:val="none" w:sz="0" w:space="0" w:color="auto"/>
            <w:bottom w:val="none" w:sz="0" w:space="0" w:color="auto"/>
            <w:right w:val="none" w:sz="0" w:space="0" w:color="auto"/>
          </w:divBdr>
        </w:div>
        <w:div w:id="1665159575">
          <w:marLeft w:val="0"/>
          <w:marRight w:val="0"/>
          <w:marTop w:val="0"/>
          <w:marBottom w:val="0"/>
          <w:divBdr>
            <w:top w:val="none" w:sz="0" w:space="0" w:color="auto"/>
            <w:left w:val="none" w:sz="0" w:space="0" w:color="auto"/>
            <w:bottom w:val="none" w:sz="0" w:space="0" w:color="auto"/>
            <w:right w:val="none" w:sz="0" w:space="0" w:color="auto"/>
          </w:divBdr>
        </w:div>
        <w:div w:id="1718122178">
          <w:marLeft w:val="0"/>
          <w:marRight w:val="0"/>
          <w:marTop w:val="0"/>
          <w:marBottom w:val="0"/>
          <w:divBdr>
            <w:top w:val="none" w:sz="0" w:space="0" w:color="auto"/>
            <w:left w:val="none" w:sz="0" w:space="0" w:color="auto"/>
            <w:bottom w:val="none" w:sz="0" w:space="0" w:color="auto"/>
            <w:right w:val="none" w:sz="0" w:space="0" w:color="auto"/>
          </w:divBdr>
        </w:div>
        <w:div w:id="1736320174">
          <w:marLeft w:val="0"/>
          <w:marRight w:val="0"/>
          <w:marTop w:val="0"/>
          <w:marBottom w:val="0"/>
          <w:divBdr>
            <w:top w:val="none" w:sz="0" w:space="0" w:color="auto"/>
            <w:left w:val="none" w:sz="0" w:space="0" w:color="auto"/>
            <w:bottom w:val="none" w:sz="0" w:space="0" w:color="auto"/>
            <w:right w:val="none" w:sz="0" w:space="0" w:color="auto"/>
          </w:divBdr>
        </w:div>
        <w:div w:id="1751005603">
          <w:marLeft w:val="0"/>
          <w:marRight w:val="0"/>
          <w:marTop w:val="0"/>
          <w:marBottom w:val="0"/>
          <w:divBdr>
            <w:top w:val="none" w:sz="0" w:space="0" w:color="auto"/>
            <w:left w:val="none" w:sz="0" w:space="0" w:color="auto"/>
            <w:bottom w:val="none" w:sz="0" w:space="0" w:color="auto"/>
            <w:right w:val="none" w:sz="0" w:space="0" w:color="auto"/>
          </w:divBdr>
        </w:div>
        <w:div w:id="1789010809">
          <w:marLeft w:val="0"/>
          <w:marRight w:val="0"/>
          <w:marTop w:val="0"/>
          <w:marBottom w:val="0"/>
          <w:divBdr>
            <w:top w:val="none" w:sz="0" w:space="0" w:color="auto"/>
            <w:left w:val="none" w:sz="0" w:space="0" w:color="auto"/>
            <w:bottom w:val="none" w:sz="0" w:space="0" w:color="auto"/>
            <w:right w:val="none" w:sz="0" w:space="0" w:color="auto"/>
          </w:divBdr>
        </w:div>
        <w:div w:id="1793283629">
          <w:marLeft w:val="0"/>
          <w:marRight w:val="0"/>
          <w:marTop w:val="0"/>
          <w:marBottom w:val="0"/>
          <w:divBdr>
            <w:top w:val="none" w:sz="0" w:space="0" w:color="auto"/>
            <w:left w:val="none" w:sz="0" w:space="0" w:color="auto"/>
            <w:bottom w:val="none" w:sz="0" w:space="0" w:color="auto"/>
            <w:right w:val="none" w:sz="0" w:space="0" w:color="auto"/>
          </w:divBdr>
        </w:div>
        <w:div w:id="1821190091">
          <w:marLeft w:val="0"/>
          <w:marRight w:val="0"/>
          <w:marTop w:val="0"/>
          <w:marBottom w:val="0"/>
          <w:divBdr>
            <w:top w:val="none" w:sz="0" w:space="0" w:color="auto"/>
            <w:left w:val="none" w:sz="0" w:space="0" w:color="auto"/>
            <w:bottom w:val="none" w:sz="0" w:space="0" w:color="auto"/>
            <w:right w:val="none" w:sz="0" w:space="0" w:color="auto"/>
          </w:divBdr>
        </w:div>
        <w:div w:id="1823086489">
          <w:marLeft w:val="0"/>
          <w:marRight w:val="0"/>
          <w:marTop w:val="0"/>
          <w:marBottom w:val="0"/>
          <w:divBdr>
            <w:top w:val="none" w:sz="0" w:space="0" w:color="auto"/>
            <w:left w:val="none" w:sz="0" w:space="0" w:color="auto"/>
            <w:bottom w:val="none" w:sz="0" w:space="0" w:color="auto"/>
            <w:right w:val="none" w:sz="0" w:space="0" w:color="auto"/>
          </w:divBdr>
        </w:div>
        <w:div w:id="1835948256">
          <w:marLeft w:val="0"/>
          <w:marRight w:val="0"/>
          <w:marTop w:val="0"/>
          <w:marBottom w:val="0"/>
          <w:divBdr>
            <w:top w:val="none" w:sz="0" w:space="0" w:color="auto"/>
            <w:left w:val="none" w:sz="0" w:space="0" w:color="auto"/>
            <w:bottom w:val="none" w:sz="0" w:space="0" w:color="auto"/>
            <w:right w:val="none" w:sz="0" w:space="0" w:color="auto"/>
          </w:divBdr>
          <w:divsChild>
            <w:div w:id="2438872">
              <w:marLeft w:val="0"/>
              <w:marRight w:val="0"/>
              <w:marTop w:val="0"/>
              <w:marBottom w:val="0"/>
              <w:divBdr>
                <w:top w:val="none" w:sz="0" w:space="0" w:color="auto"/>
                <w:left w:val="none" w:sz="0" w:space="0" w:color="auto"/>
                <w:bottom w:val="none" w:sz="0" w:space="0" w:color="auto"/>
                <w:right w:val="none" w:sz="0" w:space="0" w:color="auto"/>
              </w:divBdr>
            </w:div>
            <w:div w:id="25374221">
              <w:marLeft w:val="0"/>
              <w:marRight w:val="0"/>
              <w:marTop w:val="0"/>
              <w:marBottom w:val="0"/>
              <w:divBdr>
                <w:top w:val="none" w:sz="0" w:space="0" w:color="auto"/>
                <w:left w:val="none" w:sz="0" w:space="0" w:color="auto"/>
                <w:bottom w:val="none" w:sz="0" w:space="0" w:color="auto"/>
                <w:right w:val="none" w:sz="0" w:space="0" w:color="auto"/>
              </w:divBdr>
            </w:div>
            <w:div w:id="258148061">
              <w:marLeft w:val="0"/>
              <w:marRight w:val="0"/>
              <w:marTop w:val="0"/>
              <w:marBottom w:val="0"/>
              <w:divBdr>
                <w:top w:val="none" w:sz="0" w:space="0" w:color="auto"/>
                <w:left w:val="none" w:sz="0" w:space="0" w:color="auto"/>
                <w:bottom w:val="none" w:sz="0" w:space="0" w:color="auto"/>
                <w:right w:val="none" w:sz="0" w:space="0" w:color="auto"/>
              </w:divBdr>
            </w:div>
            <w:div w:id="381292767">
              <w:marLeft w:val="0"/>
              <w:marRight w:val="0"/>
              <w:marTop w:val="0"/>
              <w:marBottom w:val="0"/>
              <w:divBdr>
                <w:top w:val="none" w:sz="0" w:space="0" w:color="auto"/>
                <w:left w:val="none" w:sz="0" w:space="0" w:color="auto"/>
                <w:bottom w:val="none" w:sz="0" w:space="0" w:color="auto"/>
                <w:right w:val="none" w:sz="0" w:space="0" w:color="auto"/>
              </w:divBdr>
            </w:div>
            <w:div w:id="388308552">
              <w:marLeft w:val="0"/>
              <w:marRight w:val="0"/>
              <w:marTop w:val="0"/>
              <w:marBottom w:val="0"/>
              <w:divBdr>
                <w:top w:val="none" w:sz="0" w:space="0" w:color="auto"/>
                <w:left w:val="none" w:sz="0" w:space="0" w:color="auto"/>
                <w:bottom w:val="none" w:sz="0" w:space="0" w:color="auto"/>
                <w:right w:val="none" w:sz="0" w:space="0" w:color="auto"/>
              </w:divBdr>
            </w:div>
            <w:div w:id="781071185">
              <w:marLeft w:val="0"/>
              <w:marRight w:val="0"/>
              <w:marTop w:val="0"/>
              <w:marBottom w:val="0"/>
              <w:divBdr>
                <w:top w:val="none" w:sz="0" w:space="0" w:color="auto"/>
                <w:left w:val="none" w:sz="0" w:space="0" w:color="auto"/>
                <w:bottom w:val="none" w:sz="0" w:space="0" w:color="auto"/>
                <w:right w:val="none" w:sz="0" w:space="0" w:color="auto"/>
              </w:divBdr>
            </w:div>
            <w:div w:id="930896105">
              <w:marLeft w:val="0"/>
              <w:marRight w:val="0"/>
              <w:marTop w:val="0"/>
              <w:marBottom w:val="0"/>
              <w:divBdr>
                <w:top w:val="none" w:sz="0" w:space="0" w:color="auto"/>
                <w:left w:val="none" w:sz="0" w:space="0" w:color="auto"/>
                <w:bottom w:val="none" w:sz="0" w:space="0" w:color="auto"/>
                <w:right w:val="none" w:sz="0" w:space="0" w:color="auto"/>
              </w:divBdr>
            </w:div>
            <w:div w:id="1156607382">
              <w:marLeft w:val="0"/>
              <w:marRight w:val="0"/>
              <w:marTop w:val="0"/>
              <w:marBottom w:val="0"/>
              <w:divBdr>
                <w:top w:val="none" w:sz="0" w:space="0" w:color="auto"/>
                <w:left w:val="none" w:sz="0" w:space="0" w:color="auto"/>
                <w:bottom w:val="none" w:sz="0" w:space="0" w:color="auto"/>
                <w:right w:val="none" w:sz="0" w:space="0" w:color="auto"/>
              </w:divBdr>
            </w:div>
            <w:div w:id="1173645112">
              <w:marLeft w:val="0"/>
              <w:marRight w:val="0"/>
              <w:marTop w:val="0"/>
              <w:marBottom w:val="0"/>
              <w:divBdr>
                <w:top w:val="none" w:sz="0" w:space="0" w:color="auto"/>
                <w:left w:val="none" w:sz="0" w:space="0" w:color="auto"/>
                <w:bottom w:val="none" w:sz="0" w:space="0" w:color="auto"/>
                <w:right w:val="none" w:sz="0" w:space="0" w:color="auto"/>
              </w:divBdr>
            </w:div>
            <w:div w:id="1240628037">
              <w:marLeft w:val="0"/>
              <w:marRight w:val="0"/>
              <w:marTop w:val="0"/>
              <w:marBottom w:val="0"/>
              <w:divBdr>
                <w:top w:val="none" w:sz="0" w:space="0" w:color="auto"/>
                <w:left w:val="none" w:sz="0" w:space="0" w:color="auto"/>
                <w:bottom w:val="none" w:sz="0" w:space="0" w:color="auto"/>
                <w:right w:val="none" w:sz="0" w:space="0" w:color="auto"/>
              </w:divBdr>
            </w:div>
            <w:div w:id="1360663060">
              <w:marLeft w:val="0"/>
              <w:marRight w:val="0"/>
              <w:marTop w:val="0"/>
              <w:marBottom w:val="0"/>
              <w:divBdr>
                <w:top w:val="none" w:sz="0" w:space="0" w:color="auto"/>
                <w:left w:val="none" w:sz="0" w:space="0" w:color="auto"/>
                <w:bottom w:val="none" w:sz="0" w:space="0" w:color="auto"/>
                <w:right w:val="none" w:sz="0" w:space="0" w:color="auto"/>
              </w:divBdr>
            </w:div>
            <w:div w:id="1780106518">
              <w:marLeft w:val="0"/>
              <w:marRight w:val="0"/>
              <w:marTop w:val="0"/>
              <w:marBottom w:val="0"/>
              <w:divBdr>
                <w:top w:val="none" w:sz="0" w:space="0" w:color="auto"/>
                <w:left w:val="none" w:sz="0" w:space="0" w:color="auto"/>
                <w:bottom w:val="none" w:sz="0" w:space="0" w:color="auto"/>
                <w:right w:val="none" w:sz="0" w:space="0" w:color="auto"/>
              </w:divBdr>
            </w:div>
            <w:div w:id="1784298921">
              <w:marLeft w:val="0"/>
              <w:marRight w:val="0"/>
              <w:marTop w:val="0"/>
              <w:marBottom w:val="0"/>
              <w:divBdr>
                <w:top w:val="none" w:sz="0" w:space="0" w:color="auto"/>
                <w:left w:val="none" w:sz="0" w:space="0" w:color="auto"/>
                <w:bottom w:val="none" w:sz="0" w:space="0" w:color="auto"/>
                <w:right w:val="none" w:sz="0" w:space="0" w:color="auto"/>
              </w:divBdr>
            </w:div>
            <w:div w:id="2036466305">
              <w:marLeft w:val="0"/>
              <w:marRight w:val="0"/>
              <w:marTop w:val="0"/>
              <w:marBottom w:val="0"/>
              <w:divBdr>
                <w:top w:val="none" w:sz="0" w:space="0" w:color="auto"/>
                <w:left w:val="none" w:sz="0" w:space="0" w:color="auto"/>
                <w:bottom w:val="none" w:sz="0" w:space="0" w:color="auto"/>
                <w:right w:val="none" w:sz="0" w:space="0" w:color="auto"/>
              </w:divBdr>
            </w:div>
            <w:div w:id="2053382492">
              <w:marLeft w:val="0"/>
              <w:marRight w:val="0"/>
              <w:marTop w:val="0"/>
              <w:marBottom w:val="0"/>
              <w:divBdr>
                <w:top w:val="none" w:sz="0" w:space="0" w:color="auto"/>
                <w:left w:val="none" w:sz="0" w:space="0" w:color="auto"/>
                <w:bottom w:val="none" w:sz="0" w:space="0" w:color="auto"/>
                <w:right w:val="none" w:sz="0" w:space="0" w:color="auto"/>
              </w:divBdr>
            </w:div>
            <w:div w:id="2106145228">
              <w:marLeft w:val="0"/>
              <w:marRight w:val="0"/>
              <w:marTop w:val="0"/>
              <w:marBottom w:val="0"/>
              <w:divBdr>
                <w:top w:val="none" w:sz="0" w:space="0" w:color="auto"/>
                <w:left w:val="none" w:sz="0" w:space="0" w:color="auto"/>
                <w:bottom w:val="none" w:sz="0" w:space="0" w:color="auto"/>
                <w:right w:val="none" w:sz="0" w:space="0" w:color="auto"/>
              </w:divBdr>
            </w:div>
          </w:divsChild>
        </w:div>
        <w:div w:id="1845583835">
          <w:marLeft w:val="0"/>
          <w:marRight w:val="0"/>
          <w:marTop w:val="0"/>
          <w:marBottom w:val="0"/>
          <w:divBdr>
            <w:top w:val="none" w:sz="0" w:space="0" w:color="auto"/>
            <w:left w:val="none" w:sz="0" w:space="0" w:color="auto"/>
            <w:bottom w:val="none" w:sz="0" w:space="0" w:color="auto"/>
            <w:right w:val="none" w:sz="0" w:space="0" w:color="auto"/>
          </w:divBdr>
        </w:div>
        <w:div w:id="1850214420">
          <w:marLeft w:val="0"/>
          <w:marRight w:val="0"/>
          <w:marTop w:val="0"/>
          <w:marBottom w:val="0"/>
          <w:divBdr>
            <w:top w:val="none" w:sz="0" w:space="0" w:color="auto"/>
            <w:left w:val="none" w:sz="0" w:space="0" w:color="auto"/>
            <w:bottom w:val="none" w:sz="0" w:space="0" w:color="auto"/>
            <w:right w:val="none" w:sz="0" w:space="0" w:color="auto"/>
          </w:divBdr>
        </w:div>
        <w:div w:id="1889611165">
          <w:marLeft w:val="0"/>
          <w:marRight w:val="0"/>
          <w:marTop w:val="0"/>
          <w:marBottom w:val="0"/>
          <w:divBdr>
            <w:top w:val="none" w:sz="0" w:space="0" w:color="auto"/>
            <w:left w:val="none" w:sz="0" w:space="0" w:color="auto"/>
            <w:bottom w:val="none" w:sz="0" w:space="0" w:color="auto"/>
            <w:right w:val="none" w:sz="0" w:space="0" w:color="auto"/>
          </w:divBdr>
        </w:div>
        <w:div w:id="1893881237">
          <w:marLeft w:val="0"/>
          <w:marRight w:val="0"/>
          <w:marTop w:val="0"/>
          <w:marBottom w:val="0"/>
          <w:divBdr>
            <w:top w:val="none" w:sz="0" w:space="0" w:color="auto"/>
            <w:left w:val="none" w:sz="0" w:space="0" w:color="auto"/>
            <w:bottom w:val="none" w:sz="0" w:space="0" w:color="auto"/>
            <w:right w:val="none" w:sz="0" w:space="0" w:color="auto"/>
          </w:divBdr>
        </w:div>
        <w:div w:id="1949508364">
          <w:marLeft w:val="0"/>
          <w:marRight w:val="0"/>
          <w:marTop w:val="0"/>
          <w:marBottom w:val="0"/>
          <w:divBdr>
            <w:top w:val="none" w:sz="0" w:space="0" w:color="auto"/>
            <w:left w:val="none" w:sz="0" w:space="0" w:color="auto"/>
            <w:bottom w:val="none" w:sz="0" w:space="0" w:color="auto"/>
            <w:right w:val="none" w:sz="0" w:space="0" w:color="auto"/>
          </w:divBdr>
        </w:div>
        <w:div w:id="1970823289">
          <w:marLeft w:val="0"/>
          <w:marRight w:val="0"/>
          <w:marTop w:val="0"/>
          <w:marBottom w:val="0"/>
          <w:divBdr>
            <w:top w:val="none" w:sz="0" w:space="0" w:color="auto"/>
            <w:left w:val="none" w:sz="0" w:space="0" w:color="auto"/>
            <w:bottom w:val="none" w:sz="0" w:space="0" w:color="auto"/>
            <w:right w:val="none" w:sz="0" w:space="0" w:color="auto"/>
          </w:divBdr>
        </w:div>
        <w:div w:id="1972514979">
          <w:marLeft w:val="0"/>
          <w:marRight w:val="0"/>
          <w:marTop w:val="0"/>
          <w:marBottom w:val="0"/>
          <w:divBdr>
            <w:top w:val="none" w:sz="0" w:space="0" w:color="auto"/>
            <w:left w:val="none" w:sz="0" w:space="0" w:color="auto"/>
            <w:bottom w:val="none" w:sz="0" w:space="0" w:color="auto"/>
            <w:right w:val="none" w:sz="0" w:space="0" w:color="auto"/>
          </w:divBdr>
        </w:div>
        <w:div w:id="1981885266">
          <w:marLeft w:val="0"/>
          <w:marRight w:val="0"/>
          <w:marTop w:val="0"/>
          <w:marBottom w:val="0"/>
          <w:divBdr>
            <w:top w:val="none" w:sz="0" w:space="0" w:color="auto"/>
            <w:left w:val="none" w:sz="0" w:space="0" w:color="auto"/>
            <w:bottom w:val="none" w:sz="0" w:space="0" w:color="auto"/>
            <w:right w:val="none" w:sz="0" w:space="0" w:color="auto"/>
          </w:divBdr>
        </w:div>
        <w:div w:id="1982464549">
          <w:marLeft w:val="0"/>
          <w:marRight w:val="0"/>
          <w:marTop w:val="0"/>
          <w:marBottom w:val="0"/>
          <w:divBdr>
            <w:top w:val="none" w:sz="0" w:space="0" w:color="auto"/>
            <w:left w:val="none" w:sz="0" w:space="0" w:color="auto"/>
            <w:bottom w:val="none" w:sz="0" w:space="0" w:color="auto"/>
            <w:right w:val="none" w:sz="0" w:space="0" w:color="auto"/>
          </w:divBdr>
        </w:div>
        <w:div w:id="2028213811">
          <w:marLeft w:val="0"/>
          <w:marRight w:val="0"/>
          <w:marTop w:val="0"/>
          <w:marBottom w:val="0"/>
          <w:divBdr>
            <w:top w:val="none" w:sz="0" w:space="0" w:color="auto"/>
            <w:left w:val="none" w:sz="0" w:space="0" w:color="auto"/>
            <w:bottom w:val="none" w:sz="0" w:space="0" w:color="auto"/>
            <w:right w:val="none" w:sz="0" w:space="0" w:color="auto"/>
          </w:divBdr>
        </w:div>
        <w:div w:id="2028747596">
          <w:marLeft w:val="0"/>
          <w:marRight w:val="0"/>
          <w:marTop w:val="0"/>
          <w:marBottom w:val="0"/>
          <w:divBdr>
            <w:top w:val="none" w:sz="0" w:space="0" w:color="auto"/>
            <w:left w:val="none" w:sz="0" w:space="0" w:color="auto"/>
            <w:bottom w:val="none" w:sz="0" w:space="0" w:color="auto"/>
            <w:right w:val="none" w:sz="0" w:space="0" w:color="auto"/>
          </w:divBdr>
        </w:div>
        <w:div w:id="2071032733">
          <w:marLeft w:val="0"/>
          <w:marRight w:val="0"/>
          <w:marTop w:val="0"/>
          <w:marBottom w:val="0"/>
          <w:divBdr>
            <w:top w:val="none" w:sz="0" w:space="0" w:color="auto"/>
            <w:left w:val="none" w:sz="0" w:space="0" w:color="auto"/>
            <w:bottom w:val="none" w:sz="0" w:space="0" w:color="auto"/>
            <w:right w:val="none" w:sz="0" w:space="0" w:color="auto"/>
          </w:divBdr>
        </w:div>
        <w:div w:id="2089884886">
          <w:marLeft w:val="0"/>
          <w:marRight w:val="0"/>
          <w:marTop w:val="0"/>
          <w:marBottom w:val="0"/>
          <w:divBdr>
            <w:top w:val="none" w:sz="0" w:space="0" w:color="auto"/>
            <w:left w:val="none" w:sz="0" w:space="0" w:color="auto"/>
            <w:bottom w:val="none" w:sz="0" w:space="0" w:color="auto"/>
            <w:right w:val="none" w:sz="0" w:space="0" w:color="auto"/>
          </w:divBdr>
        </w:div>
        <w:div w:id="2122257150">
          <w:marLeft w:val="0"/>
          <w:marRight w:val="0"/>
          <w:marTop w:val="0"/>
          <w:marBottom w:val="0"/>
          <w:divBdr>
            <w:top w:val="none" w:sz="0" w:space="0" w:color="auto"/>
            <w:left w:val="none" w:sz="0" w:space="0" w:color="auto"/>
            <w:bottom w:val="none" w:sz="0" w:space="0" w:color="auto"/>
            <w:right w:val="none" w:sz="0" w:space="0" w:color="auto"/>
          </w:divBdr>
        </w:div>
        <w:div w:id="2124422484">
          <w:marLeft w:val="0"/>
          <w:marRight w:val="0"/>
          <w:marTop w:val="0"/>
          <w:marBottom w:val="0"/>
          <w:divBdr>
            <w:top w:val="none" w:sz="0" w:space="0" w:color="auto"/>
            <w:left w:val="none" w:sz="0" w:space="0" w:color="auto"/>
            <w:bottom w:val="none" w:sz="0" w:space="0" w:color="auto"/>
            <w:right w:val="none" w:sz="0" w:space="0" w:color="auto"/>
          </w:divBdr>
        </w:div>
        <w:div w:id="2126580761">
          <w:marLeft w:val="0"/>
          <w:marRight w:val="0"/>
          <w:marTop w:val="0"/>
          <w:marBottom w:val="0"/>
          <w:divBdr>
            <w:top w:val="none" w:sz="0" w:space="0" w:color="auto"/>
            <w:left w:val="none" w:sz="0" w:space="0" w:color="auto"/>
            <w:bottom w:val="none" w:sz="0" w:space="0" w:color="auto"/>
            <w:right w:val="none" w:sz="0" w:space="0" w:color="auto"/>
          </w:divBdr>
        </w:div>
      </w:divsChild>
    </w:div>
    <w:div w:id="1019626363">
      <w:bodyDiv w:val="1"/>
      <w:marLeft w:val="0"/>
      <w:marRight w:val="0"/>
      <w:marTop w:val="0"/>
      <w:marBottom w:val="0"/>
      <w:divBdr>
        <w:top w:val="none" w:sz="0" w:space="0" w:color="auto"/>
        <w:left w:val="none" w:sz="0" w:space="0" w:color="auto"/>
        <w:bottom w:val="none" w:sz="0" w:space="0" w:color="auto"/>
        <w:right w:val="none" w:sz="0" w:space="0" w:color="auto"/>
      </w:divBdr>
    </w:div>
    <w:div w:id="1023439394">
      <w:bodyDiv w:val="1"/>
      <w:marLeft w:val="0"/>
      <w:marRight w:val="0"/>
      <w:marTop w:val="0"/>
      <w:marBottom w:val="0"/>
      <w:divBdr>
        <w:top w:val="none" w:sz="0" w:space="0" w:color="auto"/>
        <w:left w:val="none" w:sz="0" w:space="0" w:color="auto"/>
        <w:bottom w:val="none" w:sz="0" w:space="0" w:color="auto"/>
        <w:right w:val="none" w:sz="0" w:space="0" w:color="auto"/>
      </w:divBdr>
    </w:div>
    <w:div w:id="1031996365">
      <w:bodyDiv w:val="1"/>
      <w:marLeft w:val="0"/>
      <w:marRight w:val="0"/>
      <w:marTop w:val="0"/>
      <w:marBottom w:val="0"/>
      <w:divBdr>
        <w:top w:val="none" w:sz="0" w:space="0" w:color="auto"/>
        <w:left w:val="none" w:sz="0" w:space="0" w:color="auto"/>
        <w:bottom w:val="none" w:sz="0" w:space="0" w:color="auto"/>
        <w:right w:val="none" w:sz="0" w:space="0" w:color="auto"/>
      </w:divBdr>
    </w:div>
    <w:div w:id="1033918380">
      <w:bodyDiv w:val="1"/>
      <w:marLeft w:val="0"/>
      <w:marRight w:val="0"/>
      <w:marTop w:val="0"/>
      <w:marBottom w:val="0"/>
      <w:divBdr>
        <w:top w:val="none" w:sz="0" w:space="0" w:color="auto"/>
        <w:left w:val="none" w:sz="0" w:space="0" w:color="auto"/>
        <w:bottom w:val="none" w:sz="0" w:space="0" w:color="auto"/>
        <w:right w:val="none" w:sz="0" w:space="0" w:color="auto"/>
      </w:divBdr>
    </w:div>
    <w:div w:id="1040058885">
      <w:bodyDiv w:val="1"/>
      <w:marLeft w:val="0"/>
      <w:marRight w:val="0"/>
      <w:marTop w:val="0"/>
      <w:marBottom w:val="0"/>
      <w:divBdr>
        <w:top w:val="none" w:sz="0" w:space="0" w:color="auto"/>
        <w:left w:val="none" w:sz="0" w:space="0" w:color="auto"/>
        <w:bottom w:val="none" w:sz="0" w:space="0" w:color="auto"/>
        <w:right w:val="none" w:sz="0" w:space="0" w:color="auto"/>
      </w:divBdr>
    </w:div>
    <w:div w:id="1061752771">
      <w:bodyDiv w:val="1"/>
      <w:marLeft w:val="0"/>
      <w:marRight w:val="0"/>
      <w:marTop w:val="0"/>
      <w:marBottom w:val="0"/>
      <w:divBdr>
        <w:top w:val="none" w:sz="0" w:space="0" w:color="auto"/>
        <w:left w:val="none" w:sz="0" w:space="0" w:color="auto"/>
        <w:bottom w:val="none" w:sz="0" w:space="0" w:color="auto"/>
        <w:right w:val="none" w:sz="0" w:space="0" w:color="auto"/>
      </w:divBdr>
    </w:div>
    <w:div w:id="1063336496">
      <w:bodyDiv w:val="1"/>
      <w:marLeft w:val="0"/>
      <w:marRight w:val="0"/>
      <w:marTop w:val="0"/>
      <w:marBottom w:val="0"/>
      <w:divBdr>
        <w:top w:val="none" w:sz="0" w:space="0" w:color="auto"/>
        <w:left w:val="none" w:sz="0" w:space="0" w:color="auto"/>
        <w:bottom w:val="none" w:sz="0" w:space="0" w:color="auto"/>
        <w:right w:val="none" w:sz="0" w:space="0" w:color="auto"/>
      </w:divBdr>
    </w:div>
    <w:div w:id="1067267386">
      <w:bodyDiv w:val="1"/>
      <w:marLeft w:val="0"/>
      <w:marRight w:val="0"/>
      <w:marTop w:val="0"/>
      <w:marBottom w:val="0"/>
      <w:divBdr>
        <w:top w:val="none" w:sz="0" w:space="0" w:color="auto"/>
        <w:left w:val="none" w:sz="0" w:space="0" w:color="auto"/>
        <w:bottom w:val="none" w:sz="0" w:space="0" w:color="auto"/>
        <w:right w:val="none" w:sz="0" w:space="0" w:color="auto"/>
      </w:divBdr>
    </w:div>
    <w:div w:id="1067873241">
      <w:bodyDiv w:val="1"/>
      <w:marLeft w:val="0"/>
      <w:marRight w:val="0"/>
      <w:marTop w:val="0"/>
      <w:marBottom w:val="0"/>
      <w:divBdr>
        <w:top w:val="none" w:sz="0" w:space="0" w:color="auto"/>
        <w:left w:val="none" w:sz="0" w:space="0" w:color="auto"/>
        <w:bottom w:val="none" w:sz="0" w:space="0" w:color="auto"/>
        <w:right w:val="none" w:sz="0" w:space="0" w:color="auto"/>
      </w:divBdr>
    </w:div>
    <w:div w:id="1071581714">
      <w:bodyDiv w:val="1"/>
      <w:marLeft w:val="0"/>
      <w:marRight w:val="0"/>
      <w:marTop w:val="0"/>
      <w:marBottom w:val="0"/>
      <w:divBdr>
        <w:top w:val="none" w:sz="0" w:space="0" w:color="auto"/>
        <w:left w:val="none" w:sz="0" w:space="0" w:color="auto"/>
        <w:bottom w:val="none" w:sz="0" w:space="0" w:color="auto"/>
        <w:right w:val="none" w:sz="0" w:space="0" w:color="auto"/>
      </w:divBdr>
    </w:div>
    <w:div w:id="1077173529">
      <w:bodyDiv w:val="1"/>
      <w:marLeft w:val="0"/>
      <w:marRight w:val="0"/>
      <w:marTop w:val="0"/>
      <w:marBottom w:val="0"/>
      <w:divBdr>
        <w:top w:val="none" w:sz="0" w:space="0" w:color="auto"/>
        <w:left w:val="none" w:sz="0" w:space="0" w:color="auto"/>
        <w:bottom w:val="none" w:sz="0" w:space="0" w:color="auto"/>
        <w:right w:val="none" w:sz="0" w:space="0" w:color="auto"/>
      </w:divBdr>
    </w:div>
    <w:div w:id="1081024448">
      <w:bodyDiv w:val="1"/>
      <w:marLeft w:val="0"/>
      <w:marRight w:val="0"/>
      <w:marTop w:val="0"/>
      <w:marBottom w:val="0"/>
      <w:divBdr>
        <w:top w:val="none" w:sz="0" w:space="0" w:color="auto"/>
        <w:left w:val="none" w:sz="0" w:space="0" w:color="auto"/>
        <w:bottom w:val="none" w:sz="0" w:space="0" w:color="auto"/>
        <w:right w:val="none" w:sz="0" w:space="0" w:color="auto"/>
      </w:divBdr>
    </w:div>
    <w:div w:id="1081830263">
      <w:bodyDiv w:val="1"/>
      <w:marLeft w:val="0"/>
      <w:marRight w:val="0"/>
      <w:marTop w:val="0"/>
      <w:marBottom w:val="0"/>
      <w:divBdr>
        <w:top w:val="none" w:sz="0" w:space="0" w:color="auto"/>
        <w:left w:val="none" w:sz="0" w:space="0" w:color="auto"/>
        <w:bottom w:val="none" w:sz="0" w:space="0" w:color="auto"/>
        <w:right w:val="none" w:sz="0" w:space="0" w:color="auto"/>
      </w:divBdr>
    </w:div>
    <w:div w:id="1086533938">
      <w:bodyDiv w:val="1"/>
      <w:marLeft w:val="0"/>
      <w:marRight w:val="0"/>
      <w:marTop w:val="0"/>
      <w:marBottom w:val="0"/>
      <w:divBdr>
        <w:top w:val="none" w:sz="0" w:space="0" w:color="auto"/>
        <w:left w:val="none" w:sz="0" w:space="0" w:color="auto"/>
        <w:bottom w:val="none" w:sz="0" w:space="0" w:color="auto"/>
        <w:right w:val="none" w:sz="0" w:space="0" w:color="auto"/>
      </w:divBdr>
    </w:div>
    <w:div w:id="1088773745">
      <w:bodyDiv w:val="1"/>
      <w:marLeft w:val="0"/>
      <w:marRight w:val="0"/>
      <w:marTop w:val="0"/>
      <w:marBottom w:val="0"/>
      <w:divBdr>
        <w:top w:val="none" w:sz="0" w:space="0" w:color="auto"/>
        <w:left w:val="none" w:sz="0" w:space="0" w:color="auto"/>
        <w:bottom w:val="none" w:sz="0" w:space="0" w:color="auto"/>
        <w:right w:val="none" w:sz="0" w:space="0" w:color="auto"/>
      </w:divBdr>
    </w:div>
    <w:div w:id="1090195795">
      <w:bodyDiv w:val="1"/>
      <w:marLeft w:val="0"/>
      <w:marRight w:val="0"/>
      <w:marTop w:val="0"/>
      <w:marBottom w:val="0"/>
      <w:divBdr>
        <w:top w:val="none" w:sz="0" w:space="0" w:color="auto"/>
        <w:left w:val="none" w:sz="0" w:space="0" w:color="auto"/>
        <w:bottom w:val="none" w:sz="0" w:space="0" w:color="auto"/>
        <w:right w:val="none" w:sz="0" w:space="0" w:color="auto"/>
      </w:divBdr>
    </w:div>
    <w:div w:id="1091007428">
      <w:bodyDiv w:val="1"/>
      <w:marLeft w:val="0"/>
      <w:marRight w:val="0"/>
      <w:marTop w:val="0"/>
      <w:marBottom w:val="0"/>
      <w:divBdr>
        <w:top w:val="none" w:sz="0" w:space="0" w:color="auto"/>
        <w:left w:val="none" w:sz="0" w:space="0" w:color="auto"/>
        <w:bottom w:val="none" w:sz="0" w:space="0" w:color="auto"/>
        <w:right w:val="none" w:sz="0" w:space="0" w:color="auto"/>
      </w:divBdr>
    </w:div>
    <w:div w:id="1093624045">
      <w:bodyDiv w:val="1"/>
      <w:marLeft w:val="0"/>
      <w:marRight w:val="0"/>
      <w:marTop w:val="0"/>
      <w:marBottom w:val="0"/>
      <w:divBdr>
        <w:top w:val="none" w:sz="0" w:space="0" w:color="auto"/>
        <w:left w:val="none" w:sz="0" w:space="0" w:color="auto"/>
        <w:bottom w:val="none" w:sz="0" w:space="0" w:color="auto"/>
        <w:right w:val="none" w:sz="0" w:space="0" w:color="auto"/>
      </w:divBdr>
    </w:div>
    <w:div w:id="1104035769">
      <w:bodyDiv w:val="1"/>
      <w:marLeft w:val="0"/>
      <w:marRight w:val="0"/>
      <w:marTop w:val="0"/>
      <w:marBottom w:val="0"/>
      <w:divBdr>
        <w:top w:val="none" w:sz="0" w:space="0" w:color="auto"/>
        <w:left w:val="none" w:sz="0" w:space="0" w:color="auto"/>
        <w:bottom w:val="none" w:sz="0" w:space="0" w:color="auto"/>
        <w:right w:val="none" w:sz="0" w:space="0" w:color="auto"/>
      </w:divBdr>
    </w:div>
    <w:div w:id="1109200030">
      <w:bodyDiv w:val="1"/>
      <w:marLeft w:val="0"/>
      <w:marRight w:val="0"/>
      <w:marTop w:val="0"/>
      <w:marBottom w:val="0"/>
      <w:divBdr>
        <w:top w:val="none" w:sz="0" w:space="0" w:color="auto"/>
        <w:left w:val="none" w:sz="0" w:space="0" w:color="auto"/>
        <w:bottom w:val="none" w:sz="0" w:space="0" w:color="auto"/>
        <w:right w:val="none" w:sz="0" w:space="0" w:color="auto"/>
      </w:divBdr>
      <w:divsChild>
        <w:div w:id="1264922225">
          <w:marLeft w:val="0"/>
          <w:marRight w:val="0"/>
          <w:marTop w:val="0"/>
          <w:marBottom w:val="0"/>
          <w:divBdr>
            <w:top w:val="none" w:sz="0" w:space="0" w:color="auto"/>
            <w:left w:val="none" w:sz="0" w:space="0" w:color="auto"/>
            <w:bottom w:val="none" w:sz="0" w:space="0" w:color="auto"/>
            <w:right w:val="none" w:sz="0" w:space="0" w:color="auto"/>
          </w:divBdr>
        </w:div>
      </w:divsChild>
    </w:div>
    <w:div w:id="1112743561">
      <w:bodyDiv w:val="1"/>
      <w:marLeft w:val="0"/>
      <w:marRight w:val="0"/>
      <w:marTop w:val="0"/>
      <w:marBottom w:val="0"/>
      <w:divBdr>
        <w:top w:val="none" w:sz="0" w:space="0" w:color="auto"/>
        <w:left w:val="none" w:sz="0" w:space="0" w:color="auto"/>
        <w:bottom w:val="none" w:sz="0" w:space="0" w:color="auto"/>
        <w:right w:val="none" w:sz="0" w:space="0" w:color="auto"/>
      </w:divBdr>
    </w:div>
    <w:div w:id="1122964515">
      <w:bodyDiv w:val="1"/>
      <w:marLeft w:val="0"/>
      <w:marRight w:val="0"/>
      <w:marTop w:val="0"/>
      <w:marBottom w:val="0"/>
      <w:divBdr>
        <w:top w:val="none" w:sz="0" w:space="0" w:color="auto"/>
        <w:left w:val="none" w:sz="0" w:space="0" w:color="auto"/>
        <w:bottom w:val="none" w:sz="0" w:space="0" w:color="auto"/>
        <w:right w:val="none" w:sz="0" w:space="0" w:color="auto"/>
      </w:divBdr>
    </w:div>
    <w:div w:id="1125392304">
      <w:bodyDiv w:val="1"/>
      <w:marLeft w:val="0"/>
      <w:marRight w:val="0"/>
      <w:marTop w:val="0"/>
      <w:marBottom w:val="0"/>
      <w:divBdr>
        <w:top w:val="none" w:sz="0" w:space="0" w:color="auto"/>
        <w:left w:val="none" w:sz="0" w:space="0" w:color="auto"/>
        <w:bottom w:val="none" w:sz="0" w:space="0" w:color="auto"/>
        <w:right w:val="none" w:sz="0" w:space="0" w:color="auto"/>
      </w:divBdr>
    </w:div>
    <w:div w:id="1127578575">
      <w:bodyDiv w:val="1"/>
      <w:marLeft w:val="0"/>
      <w:marRight w:val="0"/>
      <w:marTop w:val="0"/>
      <w:marBottom w:val="0"/>
      <w:divBdr>
        <w:top w:val="none" w:sz="0" w:space="0" w:color="auto"/>
        <w:left w:val="none" w:sz="0" w:space="0" w:color="auto"/>
        <w:bottom w:val="none" w:sz="0" w:space="0" w:color="auto"/>
        <w:right w:val="none" w:sz="0" w:space="0" w:color="auto"/>
      </w:divBdr>
    </w:div>
    <w:div w:id="1130365006">
      <w:bodyDiv w:val="1"/>
      <w:marLeft w:val="0"/>
      <w:marRight w:val="0"/>
      <w:marTop w:val="0"/>
      <w:marBottom w:val="0"/>
      <w:divBdr>
        <w:top w:val="none" w:sz="0" w:space="0" w:color="auto"/>
        <w:left w:val="none" w:sz="0" w:space="0" w:color="auto"/>
        <w:bottom w:val="none" w:sz="0" w:space="0" w:color="auto"/>
        <w:right w:val="none" w:sz="0" w:space="0" w:color="auto"/>
      </w:divBdr>
    </w:div>
    <w:div w:id="1130899624">
      <w:bodyDiv w:val="1"/>
      <w:marLeft w:val="0"/>
      <w:marRight w:val="0"/>
      <w:marTop w:val="0"/>
      <w:marBottom w:val="0"/>
      <w:divBdr>
        <w:top w:val="none" w:sz="0" w:space="0" w:color="auto"/>
        <w:left w:val="none" w:sz="0" w:space="0" w:color="auto"/>
        <w:bottom w:val="none" w:sz="0" w:space="0" w:color="auto"/>
        <w:right w:val="none" w:sz="0" w:space="0" w:color="auto"/>
      </w:divBdr>
    </w:div>
    <w:div w:id="1133794807">
      <w:bodyDiv w:val="1"/>
      <w:marLeft w:val="0"/>
      <w:marRight w:val="0"/>
      <w:marTop w:val="0"/>
      <w:marBottom w:val="0"/>
      <w:divBdr>
        <w:top w:val="none" w:sz="0" w:space="0" w:color="auto"/>
        <w:left w:val="none" w:sz="0" w:space="0" w:color="auto"/>
        <w:bottom w:val="none" w:sz="0" w:space="0" w:color="auto"/>
        <w:right w:val="none" w:sz="0" w:space="0" w:color="auto"/>
      </w:divBdr>
    </w:div>
    <w:div w:id="1148786349">
      <w:bodyDiv w:val="1"/>
      <w:marLeft w:val="0"/>
      <w:marRight w:val="0"/>
      <w:marTop w:val="0"/>
      <w:marBottom w:val="0"/>
      <w:divBdr>
        <w:top w:val="none" w:sz="0" w:space="0" w:color="auto"/>
        <w:left w:val="none" w:sz="0" w:space="0" w:color="auto"/>
        <w:bottom w:val="none" w:sz="0" w:space="0" w:color="auto"/>
        <w:right w:val="none" w:sz="0" w:space="0" w:color="auto"/>
      </w:divBdr>
    </w:div>
    <w:div w:id="1150056970">
      <w:bodyDiv w:val="1"/>
      <w:marLeft w:val="0"/>
      <w:marRight w:val="0"/>
      <w:marTop w:val="0"/>
      <w:marBottom w:val="0"/>
      <w:divBdr>
        <w:top w:val="none" w:sz="0" w:space="0" w:color="auto"/>
        <w:left w:val="none" w:sz="0" w:space="0" w:color="auto"/>
        <w:bottom w:val="none" w:sz="0" w:space="0" w:color="auto"/>
        <w:right w:val="none" w:sz="0" w:space="0" w:color="auto"/>
      </w:divBdr>
    </w:div>
    <w:div w:id="1150903882">
      <w:bodyDiv w:val="1"/>
      <w:marLeft w:val="0"/>
      <w:marRight w:val="0"/>
      <w:marTop w:val="0"/>
      <w:marBottom w:val="0"/>
      <w:divBdr>
        <w:top w:val="none" w:sz="0" w:space="0" w:color="auto"/>
        <w:left w:val="none" w:sz="0" w:space="0" w:color="auto"/>
        <w:bottom w:val="none" w:sz="0" w:space="0" w:color="auto"/>
        <w:right w:val="none" w:sz="0" w:space="0" w:color="auto"/>
      </w:divBdr>
    </w:div>
    <w:div w:id="1156218206">
      <w:bodyDiv w:val="1"/>
      <w:marLeft w:val="0"/>
      <w:marRight w:val="0"/>
      <w:marTop w:val="0"/>
      <w:marBottom w:val="0"/>
      <w:divBdr>
        <w:top w:val="none" w:sz="0" w:space="0" w:color="auto"/>
        <w:left w:val="none" w:sz="0" w:space="0" w:color="auto"/>
        <w:bottom w:val="none" w:sz="0" w:space="0" w:color="auto"/>
        <w:right w:val="none" w:sz="0" w:space="0" w:color="auto"/>
      </w:divBdr>
    </w:div>
    <w:div w:id="1159728621">
      <w:bodyDiv w:val="1"/>
      <w:marLeft w:val="0"/>
      <w:marRight w:val="0"/>
      <w:marTop w:val="0"/>
      <w:marBottom w:val="0"/>
      <w:divBdr>
        <w:top w:val="none" w:sz="0" w:space="0" w:color="auto"/>
        <w:left w:val="none" w:sz="0" w:space="0" w:color="auto"/>
        <w:bottom w:val="none" w:sz="0" w:space="0" w:color="auto"/>
        <w:right w:val="none" w:sz="0" w:space="0" w:color="auto"/>
      </w:divBdr>
    </w:div>
    <w:div w:id="1176846148">
      <w:bodyDiv w:val="1"/>
      <w:marLeft w:val="0"/>
      <w:marRight w:val="0"/>
      <w:marTop w:val="0"/>
      <w:marBottom w:val="0"/>
      <w:divBdr>
        <w:top w:val="none" w:sz="0" w:space="0" w:color="auto"/>
        <w:left w:val="none" w:sz="0" w:space="0" w:color="auto"/>
        <w:bottom w:val="none" w:sz="0" w:space="0" w:color="auto"/>
        <w:right w:val="none" w:sz="0" w:space="0" w:color="auto"/>
      </w:divBdr>
    </w:div>
    <w:div w:id="1180507657">
      <w:bodyDiv w:val="1"/>
      <w:marLeft w:val="0"/>
      <w:marRight w:val="0"/>
      <w:marTop w:val="0"/>
      <w:marBottom w:val="0"/>
      <w:divBdr>
        <w:top w:val="none" w:sz="0" w:space="0" w:color="auto"/>
        <w:left w:val="none" w:sz="0" w:space="0" w:color="auto"/>
        <w:bottom w:val="none" w:sz="0" w:space="0" w:color="auto"/>
        <w:right w:val="none" w:sz="0" w:space="0" w:color="auto"/>
      </w:divBdr>
    </w:div>
    <w:div w:id="1197036833">
      <w:bodyDiv w:val="1"/>
      <w:marLeft w:val="0"/>
      <w:marRight w:val="0"/>
      <w:marTop w:val="0"/>
      <w:marBottom w:val="0"/>
      <w:divBdr>
        <w:top w:val="none" w:sz="0" w:space="0" w:color="auto"/>
        <w:left w:val="none" w:sz="0" w:space="0" w:color="auto"/>
        <w:bottom w:val="none" w:sz="0" w:space="0" w:color="auto"/>
        <w:right w:val="none" w:sz="0" w:space="0" w:color="auto"/>
      </w:divBdr>
    </w:div>
    <w:div w:id="1197741198">
      <w:bodyDiv w:val="1"/>
      <w:marLeft w:val="0"/>
      <w:marRight w:val="0"/>
      <w:marTop w:val="0"/>
      <w:marBottom w:val="0"/>
      <w:divBdr>
        <w:top w:val="none" w:sz="0" w:space="0" w:color="auto"/>
        <w:left w:val="none" w:sz="0" w:space="0" w:color="auto"/>
        <w:bottom w:val="none" w:sz="0" w:space="0" w:color="auto"/>
        <w:right w:val="none" w:sz="0" w:space="0" w:color="auto"/>
      </w:divBdr>
    </w:div>
    <w:div w:id="1197884897">
      <w:bodyDiv w:val="1"/>
      <w:marLeft w:val="0"/>
      <w:marRight w:val="0"/>
      <w:marTop w:val="0"/>
      <w:marBottom w:val="0"/>
      <w:divBdr>
        <w:top w:val="none" w:sz="0" w:space="0" w:color="auto"/>
        <w:left w:val="none" w:sz="0" w:space="0" w:color="auto"/>
        <w:bottom w:val="none" w:sz="0" w:space="0" w:color="auto"/>
        <w:right w:val="none" w:sz="0" w:space="0" w:color="auto"/>
      </w:divBdr>
    </w:div>
    <w:div w:id="1200052242">
      <w:bodyDiv w:val="1"/>
      <w:marLeft w:val="0"/>
      <w:marRight w:val="0"/>
      <w:marTop w:val="0"/>
      <w:marBottom w:val="0"/>
      <w:divBdr>
        <w:top w:val="none" w:sz="0" w:space="0" w:color="auto"/>
        <w:left w:val="none" w:sz="0" w:space="0" w:color="auto"/>
        <w:bottom w:val="none" w:sz="0" w:space="0" w:color="auto"/>
        <w:right w:val="none" w:sz="0" w:space="0" w:color="auto"/>
      </w:divBdr>
      <w:divsChild>
        <w:div w:id="17968026">
          <w:marLeft w:val="0"/>
          <w:marRight w:val="0"/>
          <w:marTop w:val="0"/>
          <w:marBottom w:val="0"/>
          <w:divBdr>
            <w:top w:val="none" w:sz="0" w:space="0" w:color="auto"/>
            <w:left w:val="none" w:sz="0" w:space="0" w:color="auto"/>
            <w:bottom w:val="none" w:sz="0" w:space="0" w:color="auto"/>
            <w:right w:val="none" w:sz="0" w:space="0" w:color="auto"/>
          </w:divBdr>
          <w:divsChild>
            <w:div w:id="131366903">
              <w:marLeft w:val="0"/>
              <w:marRight w:val="0"/>
              <w:marTop w:val="0"/>
              <w:marBottom w:val="0"/>
              <w:divBdr>
                <w:top w:val="none" w:sz="0" w:space="0" w:color="auto"/>
                <w:left w:val="none" w:sz="0" w:space="0" w:color="auto"/>
                <w:bottom w:val="none" w:sz="0" w:space="0" w:color="auto"/>
                <w:right w:val="none" w:sz="0" w:space="0" w:color="auto"/>
              </w:divBdr>
            </w:div>
            <w:div w:id="290406173">
              <w:marLeft w:val="0"/>
              <w:marRight w:val="0"/>
              <w:marTop w:val="0"/>
              <w:marBottom w:val="0"/>
              <w:divBdr>
                <w:top w:val="none" w:sz="0" w:space="0" w:color="auto"/>
                <w:left w:val="none" w:sz="0" w:space="0" w:color="auto"/>
                <w:bottom w:val="none" w:sz="0" w:space="0" w:color="auto"/>
                <w:right w:val="none" w:sz="0" w:space="0" w:color="auto"/>
              </w:divBdr>
            </w:div>
            <w:div w:id="488713334">
              <w:marLeft w:val="0"/>
              <w:marRight w:val="0"/>
              <w:marTop w:val="0"/>
              <w:marBottom w:val="0"/>
              <w:divBdr>
                <w:top w:val="none" w:sz="0" w:space="0" w:color="auto"/>
                <w:left w:val="none" w:sz="0" w:space="0" w:color="auto"/>
                <w:bottom w:val="none" w:sz="0" w:space="0" w:color="auto"/>
                <w:right w:val="none" w:sz="0" w:space="0" w:color="auto"/>
              </w:divBdr>
            </w:div>
            <w:div w:id="696665560">
              <w:marLeft w:val="0"/>
              <w:marRight w:val="0"/>
              <w:marTop w:val="0"/>
              <w:marBottom w:val="0"/>
              <w:divBdr>
                <w:top w:val="none" w:sz="0" w:space="0" w:color="auto"/>
                <w:left w:val="none" w:sz="0" w:space="0" w:color="auto"/>
                <w:bottom w:val="none" w:sz="0" w:space="0" w:color="auto"/>
                <w:right w:val="none" w:sz="0" w:space="0" w:color="auto"/>
              </w:divBdr>
            </w:div>
            <w:div w:id="772628359">
              <w:marLeft w:val="0"/>
              <w:marRight w:val="0"/>
              <w:marTop w:val="0"/>
              <w:marBottom w:val="0"/>
              <w:divBdr>
                <w:top w:val="none" w:sz="0" w:space="0" w:color="auto"/>
                <w:left w:val="none" w:sz="0" w:space="0" w:color="auto"/>
                <w:bottom w:val="none" w:sz="0" w:space="0" w:color="auto"/>
                <w:right w:val="none" w:sz="0" w:space="0" w:color="auto"/>
              </w:divBdr>
            </w:div>
            <w:div w:id="772628841">
              <w:marLeft w:val="0"/>
              <w:marRight w:val="0"/>
              <w:marTop w:val="0"/>
              <w:marBottom w:val="0"/>
              <w:divBdr>
                <w:top w:val="none" w:sz="0" w:space="0" w:color="auto"/>
                <w:left w:val="none" w:sz="0" w:space="0" w:color="auto"/>
                <w:bottom w:val="none" w:sz="0" w:space="0" w:color="auto"/>
                <w:right w:val="none" w:sz="0" w:space="0" w:color="auto"/>
              </w:divBdr>
            </w:div>
            <w:div w:id="837110030">
              <w:marLeft w:val="0"/>
              <w:marRight w:val="0"/>
              <w:marTop w:val="0"/>
              <w:marBottom w:val="0"/>
              <w:divBdr>
                <w:top w:val="none" w:sz="0" w:space="0" w:color="auto"/>
                <w:left w:val="none" w:sz="0" w:space="0" w:color="auto"/>
                <w:bottom w:val="none" w:sz="0" w:space="0" w:color="auto"/>
                <w:right w:val="none" w:sz="0" w:space="0" w:color="auto"/>
              </w:divBdr>
            </w:div>
            <w:div w:id="918443224">
              <w:marLeft w:val="0"/>
              <w:marRight w:val="0"/>
              <w:marTop w:val="0"/>
              <w:marBottom w:val="0"/>
              <w:divBdr>
                <w:top w:val="none" w:sz="0" w:space="0" w:color="auto"/>
                <w:left w:val="none" w:sz="0" w:space="0" w:color="auto"/>
                <w:bottom w:val="none" w:sz="0" w:space="0" w:color="auto"/>
                <w:right w:val="none" w:sz="0" w:space="0" w:color="auto"/>
              </w:divBdr>
            </w:div>
            <w:div w:id="1013218048">
              <w:marLeft w:val="0"/>
              <w:marRight w:val="0"/>
              <w:marTop w:val="0"/>
              <w:marBottom w:val="0"/>
              <w:divBdr>
                <w:top w:val="none" w:sz="0" w:space="0" w:color="auto"/>
                <w:left w:val="none" w:sz="0" w:space="0" w:color="auto"/>
                <w:bottom w:val="none" w:sz="0" w:space="0" w:color="auto"/>
                <w:right w:val="none" w:sz="0" w:space="0" w:color="auto"/>
              </w:divBdr>
            </w:div>
            <w:div w:id="1032652434">
              <w:marLeft w:val="0"/>
              <w:marRight w:val="0"/>
              <w:marTop w:val="0"/>
              <w:marBottom w:val="0"/>
              <w:divBdr>
                <w:top w:val="none" w:sz="0" w:space="0" w:color="auto"/>
                <w:left w:val="none" w:sz="0" w:space="0" w:color="auto"/>
                <w:bottom w:val="none" w:sz="0" w:space="0" w:color="auto"/>
                <w:right w:val="none" w:sz="0" w:space="0" w:color="auto"/>
              </w:divBdr>
            </w:div>
            <w:div w:id="1101102230">
              <w:marLeft w:val="0"/>
              <w:marRight w:val="0"/>
              <w:marTop w:val="0"/>
              <w:marBottom w:val="0"/>
              <w:divBdr>
                <w:top w:val="none" w:sz="0" w:space="0" w:color="auto"/>
                <w:left w:val="none" w:sz="0" w:space="0" w:color="auto"/>
                <w:bottom w:val="none" w:sz="0" w:space="0" w:color="auto"/>
                <w:right w:val="none" w:sz="0" w:space="0" w:color="auto"/>
              </w:divBdr>
            </w:div>
            <w:div w:id="1119493864">
              <w:marLeft w:val="0"/>
              <w:marRight w:val="0"/>
              <w:marTop w:val="0"/>
              <w:marBottom w:val="0"/>
              <w:divBdr>
                <w:top w:val="none" w:sz="0" w:space="0" w:color="auto"/>
                <w:left w:val="none" w:sz="0" w:space="0" w:color="auto"/>
                <w:bottom w:val="none" w:sz="0" w:space="0" w:color="auto"/>
                <w:right w:val="none" w:sz="0" w:space="0" w:color="auto"/>
              </w:divBdr>
            </w:div>
            <w:div w:id="1269921551">
              <w:marLeft w:val="0"/>
              <w:marRight w:val="0"/>
              <w:marTop w:val="0"/>
              <w:marBottom w:val="0"/>
              <w:divBdr>
                <w:top w:val="none" w:sz="0" w:space="0" w:color="auto"/>
                <w:left w:val="none" w:sz="0" w:space="0" w:color="auto"/>
                <w:bottom w:val="none" w:sz="0" w:space="0" w:color="auto"/>
                <w:right w:val="none" w:sz="0" w:space="0" w:color="auto"/>
              </w:divBdr>
            </w:div>
            <w:div w:id="1514756341">
              <w:marLeft w:val="0"/>
              <w:marRight w:val="0"/>
              <w:marTop w:val="0"/>
              <w:marBottom w:val="0"/>
              <w:divBdr>
                <w:top w:val="none" w:sz="0" w:space="0" w:color="auto"/>
                <w:left w:val="none" w:sz="0" w:space="0" w:color="auto"/>
                <w:bottom w:val="none" w:sz="0" w:space="0" w:color="auto"/>
                <w:right w:val="none" w:sz="0" w:space="0" w:color="auto"/>
              </w:divBdr>
            </w:div>
            <w:div w:id="1540124112">
              <w:marLeft w:val="0"/>
              <w:marRight w:val="0"/>
              <w:marTop w:val="0"/>
              <w:marBottom w:val="0"/>
              <w:divBdr>
                <w:top w:val="none" w:sz="0" w:space="0" w:color="auto"/>
                <w:left w:val="none" w:sz="0" w:space="0" w:color="auto"/>
                <w:bottom w:val="none" w:sz="0" w:space="0" w:color="auto"/>
                <w:right w:val="none" w:sz="0" w:space="0" w:color="auto"/>
              </w:divBdr>
            </w:div>
            <w:div w:id="1550218317">
              <w:marLeft w:val="0"/>
              <w:marRight w:val="0"/>
              <w:marTop w:val="0"/>
              <w:marBottom w:val="0"/>
              <w:divBdr>
                <w:top w:val="none" w:sz="0" w:space="0" w:color="auto"/>
                <w:left w:val="none" w:sz="0" w:space="0" w:color="auto"/>
                <w:bottom w:val="none" w:sz="0" w:space="0" w:color="auto"/>
                <w:right w:val="none" w:sz="0" w:space="0" w:color="auto"/>
              </w:divBdr>
            </w:div>
            <w:div w:id="1551261543">
              <w:marLeft w:val="0"/>
              <w:marRight w:val="0"/>
              <w:marTop w:val="0"/>
              <w:marBottom w:val="0"/>
              <w:divBdr>
                <w:top w:val="none" w:sz="0" w:space="0" w:color="auto"/>
                <w:left w:val="none" w:sz="0" w:space="0" w:color="auto"/>
                <w:bottom w:val="none" w:sz="0" w:space="0" w:color="auto"/>
                <w:right w:val="none" w:sz="0" w:space="0" w:color="auto"/>
              </w:divBdr>
            </w:div>
            <w:div w:id="1778134056">
              <w:marLeft w:val="0"/>
              <w:marRight w:val="0"/>
              <w:marTop w:val="0"/>
              <w:marBottom w:val="0"/>
              <w:divBdr>
                <w:top w:val="none" w:sz="0" w:space="0" w:color="auto"/>
                <w:left w:val="none" w:sz="0" w:space="0" w:color="auto"/>
                <w:bottom w:val="none" w:sz="0" w:space="0" w:color="auto"/>
                <w:right w:val="none" w:sz="0" w:space="0" w:color="auto"/>
              </w:divBdr>
            </w:div>
            <w:div w:id="1999991903">
              <w:marLeft w:val="0"/>
              <w:marRight w:val="0"/>
              <w:marTop w:val="0"/>
              <w:marBottom w:val="0"/>
              <w:divBdr>
                <w:top w:val="none" w:sz="0" w:space="0" w:color="auto"/>
                <w:left w:val="none" w:sz="0" w:space="0" w:color="auto"/>
                <w:bottom w:val="none" w:sz="0" w:space="0" w:color="auto"/>
                <w:right w:val="none" w:sz="0" w:space="0" w:color="auto"/>
              </w:divBdr>
            </w:div>
            <w:div w:id="2039889925">
              <w:marLeft w:val="0"/>
              <w:marRight w:val="0"/>
              <w:marTop w:val="0"/>
              <w:marBottom w:val="0"/>
              <w:divBdr>
                <w:top w:val="none" w:sz="0" w:space="0" w:color="auto"/>
                <w:left w:val="none" w:sz="0" w:space="0" w:color="auto"/>
                <w:bottom w:val="none" w:sz="0" w:space="0" w:color="auto"/>
                <w:right w:val="none" w:sz="0" w:space="0" w:color="auto"/>
              </w:divBdr>
            </w:div>
          </w:divsChild>
        </w:div>
        <w:div w:id="29689633">
          <w:marLeft w:val="0"/>
          <w:marRight w:val="0"/>
          <w:marTop w:val="0"/>
          <w:marBottom w:val="0"/>
          <w:divBdr>
            <w:top w:val="none" w:sz="0" w:space="0" w:color="auto"/>
            <w:left w:val="none" w:sz="0" w:space="0" w:color="auto"/>
            <w:bottom w:val="none" w:sz="0" w:space="0" w:color="auto"/>
            <w:right w:val="none" w:sz="0" w:space="0" w:color="auto"/>
          </w:divBdr>
        </w:div>
        <w:div w:id="32660037">
          <w:marLeft w:val="0"/>
          <w:marRight w:val="0"/>
          <w:marTop w:val="0"/>
          <w:marBottom w:val="0"/>
          <w:divBdr>
            <w:top w:val="none" w:sz="0" w:space="0" w:color="auto"/>
            <w:left w:val="none" w:sz="0" w:space="0" w:color="auto"/>
            <w:bottom w:val="none" w:sz="0" w:space="0" w:color="auto"/>
            <w:right w:val="none" w:sz="0" w:space="0" w:color="auto"/>
          </w:divBdr>
        </w:div>
        <w:div w:id="235088700">
          <w:marLeft w:val="0"/>
          <w:marRight w:val="0"/>
          <w:marTop w:val="0"/>
          <w:marBottom w:val="0"/>
          <w:divBdr>
            <w:top w:val="none" w:sz="0" w:space="0" w:color="auto"/>
            <w:left w:val="none" w:sz="0" w:space="0" w:color="auto"/>
            <w:bottom w:val="none" w:sz="0" w:space="0" w:color="auto"/>
            <w:right w:val="none" w:sz="0" w:space="0" w:color="auto"/>
          </w:divBdr>
        </w:div>
        <w:div w:id="305282598">
          <w:marLeft w:val="0"/>
          <w:marRight w:val="0"/>
          <w:marTop w:val="0"/>
          <w:marBottom w:val="0"/>
          <w:divBdr>
            <w:top w:val="none" w:sz="0" w:space="0" w:color="auto"/>
            <w:left w:val="none" w:sz="0" w:space="0" w:color="auto"/>
            <w:bottom w:val="none" w:sz="0" w:space="0" w:color="auto"/>
            <w:right w:val="none" w:sz="0" w:space="0" w:color="auto"/>
          </w:divBdr>
        </w:div>
        <w:div w:id="336226036">
          <w:marLeft w:val="0"/>
          <w:marRight w:val="0"/>
          <w:marTop w:val="0"/>
          <w:marBottom w:val="0"/>
          <w:divBdr>
            <w:top w:val="none" w:sz="0" w:space="0" w:color="auto"/>
            <w:left w:val="none" w:sz="0" w:space="0" w:color="auto"/>
            <w:bottom w:val="none" w:sz="0" w:space="0" w:color="auto"/>
            <w:right w:val="none" w:sz="0" w:space="0" w:color="auto"/>
          </w:divBdr>
        </w:div>
        <w:div w:id="360008874">
          <w:marLeft w:val="0"/>
          <w:marRight w:val="0"/>
          <w:marTop w:val="0"/>
          <w:marBottom w:val="0"/>
          <w:divBdr>
            <w:top w:val="none" w:sz="0" w:space="0" w:color="auto"/>
            <w:left w:val="none" w:sz="0" w:space="0" w:color="auto"/>
            <w:bottom w:val="none" w:sz="0" w:space="0" w:color="auto"/>
            <w:right w:val="none" w:sz="0" w:space="0" w:color="auto"/>
          </w:divBdr>
          <w:divsChild>
            <w:div w:id="132328861">
              <w:marLeft w:val="0"/>
              <w:marRight w:val="0"/>
              <w:marTop w:val="0"/>
              <w:marBottom w:val="0"/>
              <w:divBdr>
                <w:top w:val="none" w:sz="0" w:space="0" w:color="auto"/>
                <w:left w:val="none" w:sz="0" w:space="0" w:color="auto"/>
                <w:bottom w:val="none" w:sz="0" w:space="0" w:color="auto"/>
                <w:right w:val="none" w:sz="0" w:space="0" w:color="auto"/>
              </w:divBdr>
            </w:div>
            <w:div w:id="268704195">
              <w:marLeft w:val="0"/>
              <w:marRight w:val="0"/>
              <w:marTop w:val="0"/>
              <w:marBottom w:val="0"/>
              <w:divBdr>
                <w:top w:val="none" w:sz="0" w:space="0" w:color="auto"/>
                <w:left w:val="none" w:sz="0" w:space="0" w:color="auto"/>
                <w:bottom w:val="none" w:sz="0" w:space="0" w:color="auto"/>
                <w:right w:val="none" w:sz="0" w:space="0" w:color="auto"/>
              </w:divBdr>
            </w:div>
            <w:div w:id="480851577">
              <w:marLeft w:val="0"/>
              <w:marRight w:val="0"/>
              <w:marTop w:val="0"/>
              <w:marBottom w:val="0"/>
              <w:divBdr>
                <w:top w:val="none" w:sz="0" w:space="0" w:color="auto"/>
                <w:left w:val="none" w:sz="0" w:space="0" w:color="auto"/>
                <w:bottom w:val="none" w:sz="0" w:space="0" w:color="auto"/>
                <w:right w:val="none" w:sz="0" w:space="0" w:color="auto"/>
              </w:divBdr>
            </w:div>
            <w:div w:id="486677494">
              <w:marLeft w:val="0"/>
              <w:marRight w:val="0"/>
              <w:marTop w:val="0"/>
              <w:marBottom w:val="0"/>
              <w:divBdr>
                <w:top w:val="none" w:sz="0" w:space="0" w:color="auto"/>
                <w:left w:val="none" w:sz="0" w:space="0" w:color="auto"/>
                <w:bottom w:val="none" w:sz="0" w:space="0" w:color="auto"/>
                <w:right w:val="none" w:sz="0" w:space="0" w:color="auto"/>
              </w:divBdr>
            </w:div>
            <w:div w:id="499545237">
              <w:marLeft w:val="0"/>
              <w:marRight w:val="0"/>
              <w:marTop w:val="0"/>
              <w:marBottom w:val="0"/>
              <w:divBdr>
                <w:top w:val="none" w:sz="0" w:space="0" w:color="auto"/>
                <w:left w:val="none" w:sz="0" w:space="0" w:color="auto"/>
                <w:bottom w:val="none" w:sz="0" w:space="0" w:color="auto"/>
                <w:right w:val="none" w:sz="0" w:space="0" w:color="auto"/>
              </w:divBdr>
            </w:div>
            <w:div w:id="582763775">
              <w:marLeft w:val="0"/>
              <w:marRight w:val="0"/>
              <w:marTop w:val="0"/>
              <w:marBottom w:val="0"/>
              <w:divBdr>
                <w:top w:val="none" w:sz="0" w:space="0" w:color="auto"/>
                <w:left w:val="none" w:sz="0" w:space="0" w:color="auto"/>
                <w:bottom w:val="none" w:sz="0" w:space="0" w:color="auto"/>
                <w:right w:val="none" w:sz="0" w:space="0" w:color="auto"/>
              </w:divBdr>
            </w:div>
            <w:div w:id="584648969">
              <w:marLeft w:val="0"/>
              <w:marRight w:val="0"/>
              <w:marTop w:val="0"/>
              <w:marBottom w:val="0"/>
              <w:divBdr>
                <w:top w:val="none" w:sz="0" w:space="0" w:color="auto"/>
                <w:left w:val="none" w:sz="0" w:space="0" w:color="auto"/>
                <w:bottom w:val="none" w:sz="0" w:space="0" w:color="auto"/>
                <w:right w:val="none" w:sz="0" w:space="0" w:color="auto"/>
              </w:divBdr>
            </w:div>
            <w:div w:id="970668199">
              <w:marLeft w:val="0"/>
              <w:marRight w:val="0"/>
              <w:marTop w:val="0"/>
              <w:marBottom w:val="0"/>
              <w:divBdr>
                <w:top w:val="none" w:sz="0" w:space="0" w:color="auto"/>
                <w:left w:val="none" w:sz="0" w:space="0" w:color="auto"/>
                <w:bottom w:val="none" w:sz="0" w:space="0" w:color="auto"/>
                <w:right w:val="none" w:sz="0" w:space="0" w:color="auto"/>
              </w:divBdr>
            </w:div>
            <w:div w:id="972368336">
              <w:marLeft w:val="0"/>
              <w:marRight w:val="0"/>
              <w:marTop w:val="0"/>
              <w:marBottom w:val="0"/>
              <w:divBdr>
                <w:top w:val="none" w:sz="0" w:space="0" w:color="auto"/>
                <w:left w:val="none" w:sz="0" w:space="0" w:color="auto"/>
                <w:bottom w:val="none" w:sz="0" w:space="0" w:color="auto"/>
                <w:right w:val="none" w:sz="0" w:space="0" w:color="auto"/>
              </w:divBdr>
            </w:div>
            <w:div w:id="1011568366">
              <w:marLeft w:val="0"/>
              <w:marRight w:val="0"/>
              <w:marTop w:val="0"/>
              <w:marBottom w:val="0"/>
              <w:divBdr>
                <w:top w:val="none" w:sz="0" w:space="0" w:color="auto"/>
                <w:left w:val="none" w:sz="0" w:space="0" w:color="auto"/>
                <w:bottom w:val="none" w:sz="0" w:space="0" w:color="auto"/>
                <w:right w:val="none" w:sz="0" w:space="0" w:color="auto"/>
              </w:divBdr>
            </w:div>
            <w:div w:id="1038504054">
              <w:marLeft w:val="0"/>
              <w:marRight w:val="0"/>
              <w:marTop w:val="0"/>
              <w:marBottom w:val="0"/>
              <w:divBdr>
                <w:top w:val="none" w:sz="0" w:space="0" w:color="auto"/>
                <w:left w:val="none" w:sz="0" w:space="0" w:color="auto"/>
                <w:bottom w:val="none" w:sz="0" w:space="0" w:color="auto"/>
                <w:right w:val="none" w:sz="0" w:space="0" w:color="auto"/>
              </w:divBdr>
            </w:div>
            <w:div w:id="1046413550">
              <w:marLeft w:val="0"/>
              <w:marRight w:val="0"/>
              <w:marTop w:val="0"/>
              <w:marBottom w:val="0"/>
              <w:divBdr>
                <w:top w:val="none" w:sz="0" w:space="0" w:color="auto"/>
                <w:left w:val="none" w:sz="0" w:space="0" w:color="auto"/>
                <w:bottom w:val="none" w:sz="0" w:space="0" w:color="auto"/>
                <w:right w:val="none" w:sz="0" w:space="0" w:color="auto"/>
              </w:divBdr>
            </w:div>
            <w:div w:id="1076704087">
              <w:marLeft w:val="0"/>
              <w:marRight w:val="0"/>
              <w:marTop w:val="0"/>
              <w:marBottom w:val="0"/>
              <w:divBdr>
                <w:top w:val="none" w:sz="0" w:space="0" w:color="auto"/>
                <w:left w:val="none" w:sz="0" w:space="0" w:color="auto"/>
                <w:bottom w:val="none" w:sz="0" w:space="0" w:color="auto"/>
                <w:right w:val="none" w:sz="0" w:space="0" w:color="auto"/>
              </w:divBdr>
            </w:div>
            <w:div w:id="1253276275">
              <w:marLeft w:val="0"/>
              <w:marRight w:val="0"/>
              <w:marTop w:val="0"/>
              <w:marBottom w:val="0"/>
              <w:divBdr>
                <w:top w:val="none" w:sz="0" w:space="0" w:color="auto"/>
                <w:left w:val="none" w:sz="0" w:space="0" w:color="auto"/>
                <w:bottom w:val="none" w:sz="0" w:space="0" w:color="auto"/>
                <w:right w:val="none" w:sz="0" w:space="0" w:color="auto"/>
              </w:divBdr>
            </w:div>
            <w:div w:id="1316572714">
              <w:marLeft w:val="0"/>
              <w:marRight w:val="0"/>
              <w:marTop w:val="0"/>
              <w:marBottom w:val="0"/>
              <w:divBdr>
                <w:top w:val="none" w:sz="0" w:space="0" w:color="auto"/>
                <w:left w:val="none" w:sz="0" w:space="0" w:color="auto"/>
                <w:bottom w:val="none" w:sz="0" w:space="0" w:color="auto"/>
                <w:right w:val="none" w:sz="0" w:space="0" w:color="auto"/>
              </w:divBdr>
            </w:div>
            <w:div w:id="1363897585">
              <w:marLeft w:val="0"/>
              <w:marRight w:val="0"/>
              <w:marTop w:val="0"/>
              <w:marBottom w:val="0"/>
              <w:divBdr>
                <w:top w:val="none" w:sz="0" w:space="0" w:color="auto"/>
                <w:left w:val="none" w:sz="0" w:space="0" w:color="auto"/>
                <w:bottom w:val="none" w:sz="0" w:space="0" w:color="auto"/>
                <w:right w:val="none" w:sz="0" w:space="0" w:color="auto"/>
              </w:divBdr>
            </w:div>
            <w:div w:id="1548296585">
              <w:marLeft w:val="0"/>
              <w:marRight w:val="0"/>
              <w:marTop w:val="0"/>
              <w:marBottom w:val="0"/>
              <w:divBdr>
                <w:top w:val="none" w:sz="0" w:space="0" w:color="auto"/>
                <w:left w:val="none" w:sz="0" w:space="0" w:color="auto"/>
                <w:bottom w:val="none" w:sz="0" w:space="0" w:color="auto"/>
                <w:right w:val="none" w:sz="0" w:space="0" w:color="auto"/>
              </w:divBdr>
            </w:div>
            <w:div w:id="1655144131">
              <w:marLeft w:val="0"/>
              <w:marRight w:val="0"/>
              <w:marTop w:val="0"/>
              <w:marBottom w:val="0"/>
              <w:divBdr>
                <w:top w:val="none" w:sz="0" w:space="0" w:color="auto"/>
                <w:left w:val="none" w:sz="0" w:space="0" w:color="auto"/>
                <w:bottom w:val="none" w:sz="0" w:space="0" w:color="auto"/>
                <w:right w:val="none" w:sz="0" w:space="0" w:color="auto"/>
              </w:divBdr>
            </w:div>
            <w:div w:id="1846548940">
              <w:marLeft w:val="0"/>
              <w:marRight w:val="0"/>
              <w:marTop w:val="0"/>
              <w:marBottom w:val="0"/>
              <w:divBdr>
                <w:top w:val="none" w:sz="0" w:space="0" w:color="auto"/>
                <w:left w:val="none" w:sz="0" w:space="0" w:color="auto"/>
                <w:bottom w:val="none" w:sz="0" w:space="0" w:color="auto"/>
                <w:right w:val="none" w:sz="0" w:space="0" w:color="auto"/>
              </w:divBdr>
            </w:div>
            <w:div w:id="1959139868">
              <w:marLeft w:val="0"/>
              <w:marRight w:val="0"/>
              <w:marTop w:val="0"/>
              <w:marBottom w:val="0"/>
              <w:divBdr>
                <w:top w:val="none" w:sz="0" w:space="0" w:color="auto"/>
                <w:left w:val="none" w:sz="0" w:space="0" w:color="auto"/>
                <w:bottom w:val="none" w:sz="0" w:space="0" w:color="auto"/>
                <w:right w:val="none" w:sz="0" w:space="0" w:color="auto"/>
              </w:divBdr>
            </w:div>
          </w:divsChild>
        </w:div>
        <w:div w:id="395785827">
          <w:marLeft w:val="0"/>
          <w:marRight w:val="0"/>
          <w:marTop w:val="0"/>
          <w:marBottom w:val="0"/>
          <w:divBdr>
            <w:top w:val="none" w:sz="0" w:space="0" w:color="auto"/>
            <w:left w:val="none" w:sz="0" w:space="0" w:color="auto"/>
            <w:bottom w:val="none" w:sz="0" w:space="0" w:color="auto"/>
            <w:right w:val="none" w:sz="0" w:space="0" w:color="auto"/>
          </w:divBdr>
        </w:div>
        <w:div w:id="405109975">
          <w:marLeft w:val="0"/>
          <w:marRight w:val="0"/>
          <w:marTop w:val="0"/>
          <w:marBottom w:val="0"/>
          <w:divBdr>
            <w:top w:val="none" w:sz="0" w:space="0" w:color="auto"/>
            <w:left w:val="none" w:sz="0" w:space="0" w:color="auto"/>
            <w:bottom w:val="none" w:sz="0" w:space="0" w:color="auto"/>
            <w:right w:val="none" w:sz="0" w:space="0" w:color="auto"/>
          </w:divBdr>
        </w:div>
        <w:div w:id="497960770">
          <w:marLeft w:val="0"/>
          <w:marRight w:val="0"/>
          <w:marTop w:val="0"/>
          <w:marBottom w:val="0"/>
          <w:divBdr>
            <w:top w:val="none" w:sz="0" w:space="0" w:color="auto"/>
            <w:left w:val="none" w:sz="0" w:space="0" w:color="auto"/>
            <w:bottom w:val="none" w:sz="0" w:space="0" w:color="auto"/>
            <w:right w:val="none" w:sz="0" w:space="0" w:color="auto"/>
          </w:divBdr>
        </w:div>
        <w:div w:id="512959481">
          <w:marLeft w:val="0"/>
          <w:marRight w:val="0"/>
          <w:marTop w:val="0"/>
          <w:marBottom w:val="0"/>
          <w:divBdr>
            <w:top w:val="none" w:sz="0" w:space="0" w:color="auto"/>
            <w:left w:val="none" w:sz="0" w:space="0" w:color="auto"/>
            <w:bottom w:val="none" w:sz="0" w:space="0" w:color="auto"/>
            <w:right w:val="none" w:sz="0" w:space="0" w:color="auto"/>
          </w:divBdr>
        </w:div>
        <w:div w:id="550461785">
          <w:marLeft w:val="0"/>
          <w:marRight w:val="0"/>
          <w:marTop w:val="0"/>
          <w:marBottom w:val="0"/>
          <w:divBdr>
            <w:top w:val="none" w:sz="0" w:space="0" w:color="auto"/>
            <w:left w:val="none" w:sz="0" w:space="0" w:color="auto"/>
            <w:bottom w:val="none" w:sz="0" w:space="0" w:color="auto"/>
            <w:right w:val="none" w:sz="0" w:space="0" w:color="auto"/>
          </w:divBdr>
        </w:div>
        <w:div w:id="561185769">
          <w:marLeft w:val="0"/>
          <w:marRight w:val="0"/>
          <w:marTop w:val="0"/>
          <w:marBottom w:val="0"/>
          <w:divBdr>
            <w:top w:val="none" w:sz="0" w:space="0" w:color="auto"/>
            <w:left w:val="none" w:sz="0" w:space="0" w:color="auto"/>
            <w:bottom w:val="none" w:sz="0" w:space="0" w:color="auto"/>
            <w:right w:val="none" w:sz="0" w:space="0" w:color="auto"/>
          </w:divBdr>
        </w:div>
        <w:div w:id="620383190">
          <w:marLeft w:val="0"/>
          <w:marRight w:val="0"/>
          <w:marTop w:val="0"/>
          <w:marBottom w:val="0"/>
          <w:divBdr>
            <w:top w:val="none" w:sz="0" w:space="0" w:color="auto"/>
            <w:left w:val="none" w:sz="0" w:space="0" w:color="auto"/>
            <w:bottom w:val="none" w:sz="0" w:space="0" w:color="auto"/>
            <w:right w:val="none" w:sz="0" w:space="0" w:color="auto"/>
          </w:divBdr>
        </w:div>
        <w:div w:id="709377238">
          <w:marLeft w:val="0"/>
          <w:marRight w:val="0"/>
          <w:marTop w:val="0"/>
          <w:marBottom w:val="0"/>
          <w:divBdr>
            <w:top w:val="none" w:sz="0" w:space="0" w:color="auto"/>
            <w:left w:val="none" w:sz="0" w:space="0" w:color="auto"/>
            <w:bottom w:val="none" w:sz="0" w:space="0" w:color="auto"/>
            <w:right w:val="none" w:sz="0" w:space="0" w:color="auto"/>
          </w:divBdr>
        </w:div>
        <w:div w:id="757288609">
          <w:marLeft w:val="0"/>
          <w:marRight w:val="0"/>
          <w:marTop w:val="0"/>
          <w:marBottom w:val="0"/>
          <w:divBdr>
            <w:top w:val="none" w:sz="0" w:space="0" w:color="auto"/>
            <w:left w:val="none" w:sz="0" w:space="0" w:color="auto"/>
            <w:bottom w:val="none" w:sz="0" w:space="0" w:color="auto"/>
            <w:right w:val="none" w:sz="0" w:space="0" w:color="auto"/>
          </w:divBdr>
        </w:div>
        <w:div w:id="803423391">
          <w:marLeft w:val="0"/>
          <w:marRight w:val="0"/>
          <w:marTop w:val="0"/>
          <w:marBottom w:val="0"/>
          <w:divBdr>
            <w:top w:val="none" w:sz="0" w:space="0" w:color="auto"/>
            <w:left w:val="none" w:sz="0" w:space="0" w:color="auto"/>
            <w:bottom w:val="none" w:sz="0" w:space="0" w:color="auto"/>
            <w:right w:val="none" w:sz="0" w:space="0" w:color="auto"/>
          </w:divBdr>
        </w:div>
        <w:div w:id="917790880">
          <w:marLeft w:val="0"/>
          <w:marRight w:val="0"/>
          <w:marTop w:val="0"/>
          <w:marBottom w:val="0"/>
          <w:divBdr>
            <w:top w:val="none" w:sz="0" w:space="0" w:color="auto"/>
            <w:left w:val="none" w:sz="0" w:space="0" w:color="auto"/>
            <w:bottom w:val="none" w:sz="0" w:space="0" w:color="auto"/>
            <w:right w:val="none" w:sz="0" w:space="0" w:color="auto"/>
          </w:divBdr>
        </w:div>
        <w:div w:id="1050499319">
          <w:marLeft w:val="0"/>
          <w:marRight w:val="0"/>
          <w:marTop w:val="0"/>
          <w:marBottom w:val="0"/>
          <w:divBdr>
            <w:top w:val="none" w:sz="0" w:space="0" w:color="auto"/>
            <w:left w:val="none" w:sz="0" w:space="0" w:color="auto"/>
            <w:bottom w:val="none" w:sz="0" w:space="0" w:color="auto"/>
            <w:right w:val="none" w:sz="0" w:space="0" w:color="auto"/>
          </w:divBdr>
        </w:div>
        <w:div w:id="1077049191">
          <w:marLeft w:val="0"/>
          <w:marRight w:val="0"/>
          <w:marTop w:val="0"/>
          <w:marBottom w:val="0"/>
          <w:divBdr>
            <w:top w:val="none" w:sz="0" w:space="0" w:color="auto"/>
            <w:left w:val="none" w:sz="0" w:space="0" w:color="auto"/>
            <w:bottom w:val="none" w:sz="0" w:space="0" w:color="auto"/>
            <w:right w:val="none" w:sz="0" w:space="0" w:color="auto"/>
          </w:divBdr>
        </w:div>
        <w:div w:id="1131366707">
          <w:marLeft w:val="0"/>
          <w:marRight w:val="0"/>
          <w:marTop w:val="0"/>
          <w:marBottom w:val="0"/>
          <w:divBdr>
            <w:top w:val="none" w:sz="0" w:space="0" w:color="auto"/>
            <w:left w:val="none" w:sz="0" w:space="0" w:color="auto"/>
            <w:bottom w:val="none" w:sz="0" w:space="0" w:color="auto"/>
            <w:right w:val="none" w:sz="0" w:space="0" w:color="auto"/>
          </w:divBdr>
          <w:divsChild>
            <w:div w:id="111485490">
              <w:marLeft w:val="0"/>
              <w:marRight w:val="0"/>
              <w:marTop w:val="0"/>
              <w:marBottom w:val="0"/>
              <w:divBdr>
                <w:top w:val="none" w:sz="0" w:space="0" w:color="auto"/>
                <w:left w:val="none" w:sz="0" w:space="0" w:color="auto"/>
                <w:bottom w:val="none" w:sz="0" w:space="0" w:color="auto"/>
                <w:right w:val="none" w:sz="0" w:space="0" w:color="auto"/>
              </w:divBdr>
            </w:div>
            <w:div w:id="266548870">
              <w:marLeft w:val="0"/>
              <w:marRight w:val="0"/>
              <w:marTop w:val="0"/>
              <w:marBottom w:val="0"/>
              <w:divBdr>
                <w:top w:val="none" w:sz="0" w:space="0" w:color="auto"/>
                <w:left w:val="none" w:sz="0" w:space="0" w:color="auto"/>
                <w:bottom w:val="none" w:sz="0" w:space="0" w:color="auto"/>
                <w:right w:val="none" w:sz="0" w:space="0" w:color="auto"/>
              </w:divBdr>
            </w:div>
            <w:div w:id="289240180">
              <w:marLeft w:val="0"/>
              <w:marRight w:val="0"/>
              <w:marTop w:val="0"/>
              <w:marBottom w:val="0"/>
              <w:divBdr>
                <w:top w:val="none" w:sz="0" w:space="0" w:color="auto"/>
                <w:left w:val="none" w:sz="0" w:space="0" w:color="auto"/>
                <w:bottom w:val="none" w:sz="0" w:space="0" w:color="auto"/>
                <w:right w:val="none" w:sz="0" w:space="0" w:color="auto"/>
              </w:divBdr>
            </w:div>
            <w:div w:id="542403073">
              <w:marLeft w:val="0"/>
              <w:marRight w:val="0"/>
              <w:marTop w:val="0"/>
              <w:marBottom w:val="0"/>
              <w:divBdr>
                <w:top w:val="none" w:sz="0" w:space="0" w:color="auto"/>
                <w:left w:val="none" w:sz="0" w:space="0" w:color="auto"/>
                <w:bottom w:val="none" w:sz="0" w:space="0" w:color="auto"/>
                <w:right w:val="none" w:sz="0" w:space="0" w:color="auto"/>
              </w:divBdr>
            </w:div>
            <w:div w:id="603735091">
              <w:marLeft w:val="0"/>
              <w:marRight w:val="0"/>
              <w:marTop w:val="0"/>
              <w:marBottom w:val="0"/>
              <w:divBdr>
                <w:top w:val="none" w:sz="0" w:space="0" w:color="auto"/>
                <w:left w:val="none" w:sz="0" w:space="0" w:color="auto"/>
                <w:bottom w:val="none" w:sz="0" w:space="0" w:color="auto"/>
                <w:right w:val="none" w:sz="0" w:space="0" w:color="auto"/>
              </w:divBdr>
            </w:div>
            <w:div w:id="733746147">
              <w:marLeft w:val="0"/>
              <w:marRight w:val="0"/>
              <w:marTop w:val="0"/>
              <w:marBottom w:val="0"/>
              <w:divBdr>
                <w:top w:val="none" w:sz="0" w:space="0" w:color="auto"/>
                <w:left w:val="none" w:sz="0" w:space="0" w:color="auto"/>
                <w:bottom w:val="none" w:sz="0" w:space="0" w:color="auto"/>
                <w:right w:val="none" w:sz="0" w:space="0" w:color="auto"/>
              </w:divBdr>
            </w:div>
            <w:div w:id="838691915">
              <w:marLeft w:val="0"/>
              <w:marRight w:val="0"/>
              <w:marTop w:val="0"/>
              <w:marBottom w:val="0"/>
              <w:divBdr>
                <w:top w:val="none" w:sz="0" w:space="0" w:color="auto"/>
                <w:left w:val="none" w:sz="0" w:space="0" w:color="auto"/>
                <w:bottom w:val="none" w:sz="0" w:space="0" w:color="auto"/>
                <w:right w:val="none" w:sz="0" w:space="0" w:color="auto"/>
              </w:divBdr>
            </w:div>
            <w:div w:id="895702931">
              <w:marLeft w:val="0"/>
              <w:marRight w:val="0"/>
              <w:marTop w:val="0"/>
              <w:marBottom w:val="0"/>
              <w:divBdr>
                <w:top w:val="none" w:sz="0" w:space="0" w:color="auto"/>
                <w:left w:val="none" w:sz="0" w:space="0" w:color="auto"/>
                <w:bottom w:val="none" w:sz="0" w:space="0" w:color="auto"/>
                <w:right w:val="none" w:sz="0" w:space="0" w:color="auto"/>
              </w:divBdr>
            </w:div>
            <w:div w:id="1009522662">
              <w:marLeft w:val="0"/>
              <w:marRight w:val="0"/>
              <w:marTop w:val="0"/>
              <w:marBottom w:val="0"/>
              <w:divBdr>
                <w:top w:val="none" w:sz="0" w:space="0" w:color="auto"/>
                <w:left w:val="none" w:sz="0" w:space="0" w:color="auto"/>
                <w:bottom w:val="none" w:sz="0" w:space="0" w:color="auto"/>
                <w:right w:val="none" w:sz="0" w:space="0" w:color="auto"/>
              </w:divBdr>
            </w:div>
            <w:div w:id="1019509049">
              <w:marLeft w:val="0"/>
              <w:marRight w:val="0"/>
              <w:marTop w:val="0"/>
              <w:marBottom w:val="0"/>
              <w:divBdr>
                <w:top w:val="none" w:sz="0" w:space="0" w:color="auto"/>
                <w:left w:val="none" w:sz="0" w:space="0" w:color="auto"/>
                <w:bottom w:val="none" w:sz="0" w:space="0" w:color="auto"/>
                <w:right w:val="none" w:sz="0" w:space="0" w:color="auto"/>
              </w:divBdr>
            </w:div>
            <w:div w:id="1026711360">
              <w:marLeft w:val="0"/>
              <w:marRight w:val="0"/>
              <w:marTop w:val="0"/>
              <w:marBottom w:val="0"/>
              <w:divBdr>
                <w:top w:val="none" w:sz="0" w:space="0" w:color="auto"/>
                <w:left w:val="none" w:sz="0" w:space="0" w:color="auto"/>
                <w:bottom w:val="none" w:sz="0" w:space="0" w:color="auto"/>
                <w:right w:val="none" w:sz="0" w:space="0" w:color="auto"/>
              </w:divBdr>
            </w:div>
            <w:div w:id="1080638388">
              <w:marLeft w:val="0"/>
              <w:marRight w:val="0"/>
              <w:marTop w:val="0"/>
              <w:marBottom w:val="0"/>
              <w:divBdr>
                <w:top w:val="none" w:sz="0" w:space="0" w:color="auto"/>
                <w:left w:val="none" w:sz="0" w:space="0" w:color="auto"/>
                <w:bottom w:val="none" w:sz="0" w:space="0" w:color="auto"/>
                <w:right w:val="none" w:sz="0" w:space="0" w:color="auto"/>
              </w:divBdr>
            </w:div>
            <w:div w:id="1327367577">
              <w:marLeft w:val="0"/>
              <w:marRight w:val="0"/>
              <w:marTop w:val="0"/>
              <w:marBottom w:val="0"/>
              <w:divBdr>
                <w:top w:val="none" w:sz="0" w:space="0" w:color="auto"/>
                <w:left w:val="none" w:sz="0" w:space="0" w:color="auto"/>
                <w:bottom w:val="none" w:sz="0" w:space="0" w:color="auto"/>
                <w:right w:val="none" w:sz="0" w:space="0" w:color="auto"/>
              </w:divBdr>
            </w:div>
            <w:div w:id="1493912640">
              <w:marLeft w:val="0"/>
              <w:marRight w:val="0"/>
              <w:marTop w:val="0"/>
              <w:marBottom w:val="0"/>
              <w:divBdr>
                <w:top w:val="none" w:sz="0" w:space="0" w:color="auto"/>
                <w:left w:val="none" w:sz="0" w:space="0" w:color="auto"/>
                <w:bottom w:val="none" w:sz="0" w:space="0" w:color="auto"/>
                <w:right w:val="none" w:sz="0" w:space="0" w:color="auto"/>
              </w:divBdr>
            </w:div>
            <w:div w:id="1499997285">
              <w:marLeft w:val="0"/>
              <w:marRight w:val="0"/>
              <w:marTop w:val="0"/>
              <w:marBottom w:val="0"/>
              <w:divBdr>
                <w:top w:val="none" w:sz="0" w:space="0" w:color="auto"/>
                <w:left w:val="none" w:sz="0" w:space="0" w:color="auto"/>
                <w:bottom w:val="none" w:sz="0" w:space="0" w:color="auto"/>
                <w:right w:val="none" w:sz="0" w:space="0" w:color="auto"/>
              </w:divBdr>
            </w:div>
            <w:div w:id="1521893489">
              <w:marLeft w:val="0"/>
              <w:marRight w:val="0"/>
              <w:marTop w:val="0"/>
              <w:marBottom w:val="0"/>
              <w:divBdr>
                <w:top w:val="none" w:sz="0" w:space="0" w:color="auto"/>
                <w:left w:val="none" w:sz="0" w:space="0" w:color="auto"/>
                <w:bottom w:val="none" w:sz="0" w:space="0" w:color="auto"/>
                <w:right w:val="none" w:sz="0" w:space="0" w:color="auto"/>
              </w:divBdr>
            </w:div>
            <w:div w:id="1841195409">
              <w:marLeft w:val="0"/>
              <w:marRight w:val="0"/>
              <w:marTop w:val="0"/>
              <w:marBottom w:val="0"/>
              <w:divBdr>
                <w:top w:val="none" w:sz="0" w:space="0" w:color="auto"/>
                <w:left w:val="none" w:sz="0" w:space="0" w:color="auto"/>
                <w:bottom w:val="none" w:sz="0" w:space="0" w:color="auto"/>
                <w:right w:val="none" w:sz="0" w:space="0" w:color="auto"/>
              </w:divBdr>
            </w:div>
            <w:div w:id="1862624575">
              <w:marLeft w:val="0"/>
              <w:marRight w:val="0"/>
              <w:marTop w:val="0"/>
              <w:marBottom w:val="0"/>
              <w:divBdr>
                <w:top w:val="none" w:sz="0" w:space="0" w:color="auto"/>
                <w:left w:val="none" w:sz="0" w:space="0" w:color="auto"/>
                <w:bottom w:val="none" w:sz="0" w:space="0" w:color="auto"/>
                <w:right w:val="none" w:sz="0" w:space="0" w:color="auto"/>
              </w:divBdr>
            </w:div>
            <w:div w:id="2024238299">
              <w:marLeft w:val="0"/>
              <w:marRight w:val="0"/>
              <w:marTop w:val="0"/>
              <w:marBottom w:val="0"/>
              <w:divBdr>
                <w:top w:val="none" w:sz="0" w:space="0" w:color="auto"/>
                <w:left w:val="none" w:sz="0" w:space="0" w:color="auto"/>
                <w:bottom w:val="none" w:sz="0" w:space="0" w:color="auto"/>
                <w:right w:val="none" w:sz="0" w:space="0" w:color="auto"/>
              </w:divBdr>
            </w:div>
            <w:div w:id="2059894405">
              <w:marLeft w:val="0"/>
              <w:marRight w:val="0"/>
              <w:marTop w:val="0"/>
              <w:marBottom w:val="0"/>
              <w:divBdr>
                <w:top w:val="none" w:sz="0" w:space="0" w:color="auto"/>
                <w:left w:val="none" w:sz="0" w:space="0" w:color="auto"/>
                <w:bottom w:val="none" w:sz="0" w:space="0" w:color="auto"/>
                <w:right w:val="none" w:sz="0" w:space="0" w:color="auto"/>
              </w:divBdr>
            </w:div>
          </w:divsChild>
        </w:div>
        <w:div w:id="1154953461">
          <w:marLeft w:val="0"/>
          <w:marRight w:val="0"/>
          <w:marTop w:val="0"/>
          <w:marBottom w:val="0"/>
          <w:divBdr>
            <w:top w:val="none" w:sz="0" w:space="0" w:color="auto"/>
            <w:left w:val="none" w:sz="0" w:space="0" w:color="auto"/>
            <w:bottom w:val="none" w:sz="0" w:space="0" w:color="auto"/>
            <w:right w:val="none" w:sz="0" w:space="0" w:color="auto"/>
          </w:divBdr>
          <w:divsChild>
            <w:div w:id="108353874">
              <w:marLeft w:val="0"/>
              <w:marRight w:val="0"/>
              <w:marTop w:val="0"/>
              <w:marBottom w:val="0"/>
              <w:divBdr>
                <w:top w:val="none" w:sz="0" w:space="0" w:color="auto"/>
                <w:left w:val="none" w:sz="0" w:space="0" w:color="auto"/>
                <w:bottom w:val="none" w:sz="0" w:space="0" w:color="auto"/>
                <w:right w:val="none" w:sz="0" w:space="0" w:color="auto"/>
              </w:divBdr>
            </w:div>
            <w:div w:id="161241420">
              <w:marLeft w:val="0"/>
              <w:marRight w:val="0"/>
              <w:marTop w:val="0"/>
              <w:marBottom w:val="0"/>
              <w:divBdr>
                <w:top w:val="none" w:sz="0" w:space="0" w:color="auto"/>
                <w:left w:val="none" w:sz="0" w:space="0" w:color="auto"/>
                <w:bottom w:val="none" w:sz="0" w:space="0" w:color="auto"/>
                <w:right w:val="none" w:sz="0" w:space="0" w:color="auto"/>
              </w:divBdr>
            </w:div>
            <w:div w:id="187918032">
              <w:marLeft w:val="0"/>
              <w:marRight w:val="0"/>
              <w:marTop w:val="0"/>
              <w:marBottom w:val="0"/>
              <w:divBdr>
                <w:top w:val="none" w:sz="0" w:space="0" w:color="auto"/>
                <w:left w:val="none" w:sz="0" w:space="0" w:color="auto"/>
                <w:bottom w:val="none" w:sz="0" w:space="0" w:color="auto"/>
                <w:right w:val="none" w:sz="0" w:space="0" w:color="auto"/>
              </w:divBdr>
            </w:div>
            <w:div w:id="387339994">
              <w:marLeft w:val="0"/>
              <w:marRight w:val="0"/>
              <w:marTop w:val="0"/>
              <w:marBottom w:val="0"/>
              <w:divBdr>
                <w:top w:val="none" w:sz="0" w:space="0" w:color="auto"/>
                <w:left w:val="none" w:sz="0" w:space="0" w:color="auto"/>
                <w:bottom w:val="none" w:sz="0" w:space="0" w:color="auto"/>
                <w:right w:val="none" w:sz="0" w:space="0" w:color="auto"/>
              </w:divBdr>
            </w:div>
            <w:div w:id="614361105">
              <w:marLeft w:val="0"/>
              <w:marRight w:val="0"/>
              <w:marTop w:val="0"/>
              <w:marBottom w:val="0"/>
              <w:divBdr>
                <w:top w:val="none" w:sz="0" w:space="0" w:color="auto"/>
                <w:left w:val="none" w:sz="0" w:space="0" w:color="auto"/>
                <w:bottom w:val="none" w:sz="0" w:space="0" w:color="auto"/>
                <w:right w:val="none" w:sz="0" w:space="0" w:color="auto"/>
              </w:divBdr>
            </w:div>
            <w:div w:id="950431901">
              <w:marLeft w:val="0"/>
              <w:marRight w:val="0"/>
              <w:marTop w:val="0"/>
              <w:marBottom w:val="0"/>
              <w:divBdr>
                <w:top w:val="none" w:sz="0" w:space="0" w:color="auto"/>
                <w:left w:val="none" w:sz="0" w:space="0" w:color="auto"/>
                <w:bottom w:val="none" w:sz="0" w:space="0" w:color="auto"/>
                <w:right w:val="none" w:sz="0" w:space="0" w:color="auto"/>
              </w:divBdr>
            </w:div>
            <w:div w:id="1015424249">
              <w:marLeft w:val="0"/>
              <w:marRight w:val="0"/>
              <w:marTop w:val="0"/>
              <w:marBottom w:val="0"/>
              <w:divBdr>
                <w:top w:val="none" w:sz="0" w:space="0" w:color="auto"/>
                <w:left w:val="none" w:sz="0" w:space="0" w:color="auto"/>
                <w:bottom w:val="none" w:sz="0" w:space="0" w:color="auto"/>
                <w:right w:val="none" w:sz="0" w:space="0" w:color="auto"/>
              </w:divBdr>
            </w:div>
            <w:div w:id="1094128920">
              <w:marLeft w:val="0"/>
              <w:marRight w:val="0"/>
              <w:marTop w:val="0"/>
              <w:marBottom w:val="0"/>
              <w:divBdr>
                <w:top w:val="none" w:sz="0" w:space="0" w:color="auto"/>
                <w:left w:val="none" w:sz="0" w:space="0" w:color="auto"/>
                <w:bottom w:val="none" w:sz="0" w:space="0" w:color="auto"/>
                <w:right w:val="none" w:sz="0" w:space="0" w:color="auto"/>
              </w:divBdr>
            </w:div>
            <w:div w:id="1162545836">
              <w:marLeft w:val="0"/>
              <w:marRight w:val="0"/>
              <w:marTop w:val="0"/>
              <w:marBottom w:val="0"/>
              <w:divBdr>
                <w:top w:val="none" w:sz="0" w:space="0" w:color="auto"/>
                <w:left w:val="none" w:sz="0" w:space="0" w:color="auto"/>
                <w:bottom w:val="none" w:sz="0" w:space="0" w:color="auto"/>
                <w:right w:val="none" w:sz="0" w:space="0" w:color="auto"/>
              </w:divBdr>
            </w:div>
            <w:div w:id="1439326047">
              <w:marLeft w:val="0"/>
              <w:marRight w:val="0"/>
              <w:marTop w:val="0"/>
              <w:marBottom w:val="0"/>
              <w:divBdr>
                <w:top w:val="none" w:sz="0" w:space="0" w:color="auto"/>
                <w:left w:val="none" w:sz="0" w:space="0" w:color="auto"/>
                <w:bottom w:val="none" w:sz="0" w:space="0" w:color="auto"/>
                <w:right w:val="none" w:sz="0" w:space="0" w:color="auto"/>
              </w:divBdr>
            </w:div>
            <w:div w:id="1521973406">
              <w:marLeft w:val="0"/>
              <w:marRight w:val="0"/>
              <w:marTop w:val="0"/>
              <w:marBottom w:val="0"/>
              <w:divBdr>
                <w:top w:val="none" w:sz="0" w:space="0" w:color="auto"/>
                <w:left w:val="none" w:sz="0" w:space="0" w:color="auto"/>
                <w:bottom w:val="none" w:sz="0" w:space="0" w:color="auto"/>
                <w:right w:val="none" w:sz="0" w:space="0" w:color="auto"/>
              </w:divBdr>
            </w:div>
            <w:div w:id="1704593918">
              <w:marLeft w:val="0"/>
              <w:marRight w:val="0"/>
              <w:marTop w:val="0"/>
              <w:marBottom w:val="0"/>
              <w:divBdr>
                <w:top w:val="none" w:sz="0" w:space="0" w:color="auto"/>
                <w:left w:val="none" w:sz="0" w:space="0" w:color="auto"/>
                <w:bottom w:val="none" w:sz="0" w:space="0" w:color="auto"/>
                <w:right w:val="none" w:sz="0" w:space="0" w:color="auto"/>
              </w:divBdr>
            </w:div>
            <w:div w:id="1774084299">
              <w:marLeft w:val="0"/>
              <w:marRight w:val="0"/>
              <w:marTop w:val="0"/>
              <w:marBottom w:val="0"/>
              <w:divBdr>
                <w:top w:val="none" w:sz="0" w:space="0" w:color="auto"/>
                <w:left w:val="none" w:sz="0" w:space="0" w:color="auto"/>
                <w:bottom w:val="none" w:sz="0" w:space="0" w:color="auto"/>
                <w:right w:val="none" w:sz="0" w:space="0" w:color="auto"/>
              </w:divBdr>
            </w:div>
            <w:div w:id="1811971617">
              <w:marLeft w:val="0"/>
              <w:marRight w:val="0"/>
              <w:marTop w:val="0"/>
              <w:marBottom w:val="0"/>
              <w:divBdr>
                <w:top w:val="none" w:sz="0" w:space="0" w:color="auto"/>
                <w:left w:val="none" w:sz="0" w:space="0" w:color="auto"/>
                <w:bottom w:val="none" w:sz="0" w:space="0" w:color="auto"/>
                <w:right w:val="none" w:sz="0" w:space="0" w:color="auto"/>
              </w:divBdr>
            </w:div>
            <w:div w:id="1832212062">
              <w:marLeft w:val="0"/>
              <w:marRight w:val="0"/>
              <w:marTop w:val="0"/>
              <w:marBottom w:val="0"/>
              <w:divBdr>
                <w:top w:val="none" w:sz="0" w:space="0" w:color="auto"/>
                <w:left w:val="none" w:sz="0" w:space="0" w:color="auto"/>
                <w:bottom w:val="none" w:sz="0" w:space="0" w:color="auto"/>
                <w:right w:val="none" w:sz="0" w:space="0" w:color="auto"/>
              </w:divBdr>
            </w:div>
            <w:div w:id="1895894512">
              <w:marLeft w:val="0"/>
              <w:marRight w:val="0"/>
              <w:marTop w:val="0"/>
              <w:marBottom w:val="0"/>
              <w:divBdr>
                <w:top w:val="none" w:sz="0" w:space="0" w:color="auto"/>
                <w:left w:val="none" w:sz="0" w:space="0" w:color="auto"/>
                <w:bottom w:val="none" w:sz="0" w:space="0" w:color="auto"/>
                <w:right w:val="none" w:sz="0" w:space="0" w:color="auto"/>
              </w:divBdr>
            </w:div>
            <w:div w:id="1900093436">
              <w:marLeft w:val="0"/>
              <w:marRight w:val="0"/>
              <w:marTop w:val="0"/>
              <w:marBottom w:val="0"/>
              <w:divBdr>
                <w:top w:val="none" w:sz="0" w:space="0" w:color="auto"/>
                <w:left w:val="none" w:sz="0" w:space="0" w:color="auto"/>
                <w:bottom w:val="none" w:sz="0" w:space="0" w:color="auto"/>
                <w:right w:val="none" w:sz="0" w:space="0" w:color="auto"/>
              </w:divBdr>
            </w:div>
            <w:div w:id="1954288854">
              <w:marLeft w:val="0"/>
              <w:marRight w:val="0"/>
              <w:marTop w:val="0"/>
              <w:marBottom w:val="0"/>
              <w:divBdr>
                <w:top w:val="none" w:sz="0" w:space="0" w:color="auto"/>
                <w:left w:val="none" w:sz="0" w:space="0" w:color="auto"/>
                <w:bottom w:val="none" w:sz="0" w:space="0" w:color="auto"/>
                <w:right w:val="none" w:sz="0" w:space="0" w:color="auto"/>
              </w:divBdr>
            </w:div>
            <w:div w:id="1984892058">
              <w:marLeft w:val="0"/>
              <w:marRight w:val="0"/>
              <w:marTop w:val="0"/>
              <w:marBottom w:val="0"/>
              <w:divBdr>
                <w:top w:val="none" w:sz="0" w:space="0" w:color="auto"/>
                <w:left w:val="none" w:sz="0" w:space="0" w:color="auto"/>
                <w:bottom w:val="none" w:sz="0" w:space="0" w:color="auto"/>
                <w:right w:val="none" w:sz="0" w:space="0" w:color="auto"/>
              </w:divBdr>
            </w:div>
            <w:div w:id="2140805193">
              <w:marLeft w:val="0"/>
              <w:marRight w:val="0"/>
              <w:marTop w:val="0"/>
              <w:marBottom w:val="0"/>
              <w:divBdr>
                <w:top w:val="none" w:sz="0" w:space="0" w:color="auto"/>
                <w:left w:val="none" w:sz="0" w:space="0" w:color="auto"/>
                <w:bottom w:val="none" w:sz="0" w:space="0" w:color="auto"/>
                <w:right w:val="none" w:sz="0" w:space="0" w:color="auto"/>
              </w:divBdr>
            </w:div>
          </w:divsChild>
        </w:div>
        <w:div w:id="1237278898">
          <w:marLeft w:val="0"/>
          <w:marRight w:val="0"/>
          <w:marTop w:val="0"/>
          <w:marBottom w:val="0"/>
          <w:divBdr>
            <w:top w:val="none" w:sz="0" w:space="0" w:color="auto"/>
            <w:left w:val="none" w:sz="0" w:space="0" w:color="auto"/>
            <w:bottom w:val="none" w:sz="0" w:space="0" w:color="auto"/>
            <w:right w:val="none" w:sz="0" w:space="0" w:color="auto"/>
          </w:divBdr>
          <w:divsChild>
            <w:div w:id="68424979">
              <w:marLeft w:val="0"/>
              <w:marRight w:val="0"/>
              <w:marTop w:val="0"/>
              <w:marBottom w:val="0"/>
              <w:divBdr>
                <w:top w:val="none" w:sz="0" w:space="0" w:color="auto"/>
                <w:left w:val="none" w:sz="0" w:space="0" w:color="auto"/>
                <w:bottom w:val="none" w:sz="0" w:space="0" w:color="auto"/>
                <w:right w:val="none" w:sz="0" w:space="0" w:color="auto"/>
              </w:divBdr>
            </w:div>
            <w:div w:id="174810905">
              <w:marLeft w:val="0"/>
              <w:marRight w:val="0"/>
              <w:marTop w:val="0"/>
              <w:marBottom w:val="0"/>
              <w:divBdr>
                <w:top w:val="none" w:sz="0" w:space="0" w:color="auto"/>
                <w:left w:val="none" w:sz="0" w:space="0" w:color="auto"/>
                <w:bottom w:val="none" w:sz="0" w:space="0" w:color="auto"/>
                <w:right w:val="none" w:sz="0" w:space="0" w:color="auto"/>
              </w:divBdr>
            </w:div>
            <w:div w:id="204831932">
              <w:marLeft w:val="0"/>
              <w:marRight w:val="0"/>
              <w:marTop w:val="0"/>
              <w:marBottom w:val="0"/>
              <w:divBdr>
                <w:top w:val="none" w:sz="0" w:space="0" w:color="auto"/>
                <w:left w:val="none" w:sz="0" w:space="0" w:color="auto"/>
                <w:bottom w:val="none" w:sz="0" w:space="0" w:color="auto"/>
                <w:right w:val="none" w:sz="0" w:space="0" w:color="auto"/>
              </w:divBdr>
            </w:div>
            <w:div w:id="283655528">
              <w:marLeft w:val="0"/>
              <w:marRight w:val="0"/>
              <w:marTop w:val="0"/>
              <w:marBottom w:val="0"/>
              <w:divBdr>
                <w:top w:val="none" w:sz="0" w:space="0" w:color="auto"/>
                <w:left w:val="none" w:sz="0" w:space="0" w:color="auto"/>
                <w:bottom w:val="none" w:sz="0" w:space="0" w:color="auto"/>
                <w:right w:val="none" w:sz="0" w:space="0" w:color="auto"/>
              </w:divBdr>
            </w:div>
            <w:div w:id="343629455">
              <w:marLeft w:val="0"/>
              <w:marRight w:val="0"/>
              <w:marTop w:val="0"/>
              <w:marBottom w:val="0"/>
              <w:divBdr>
                <w:top w:val="none" w:sz="0" w:space="0" w:color="auto"/>
                <w:left w:val="none" w:sz="0" w:space="0" w:color="auto"/>
                <w:bottom w:val="none" w:sz="0" w:space="0" w:color="auto"/>
                <w:right w:val="none" w:sz="0" w:space="0" w:color="auto"/>
              </w:divBdr>
            </w:div>
            <w:div w:id="407921566">
              <w:marLeft w:val="0"/>
              <w:marRight w:val="0"/>
              <w:marTop w:val="0"/>
              <w:marBottom w:val="0"/>
              <w:divBdr>
                <w:top w:val="none" w:sz="0" w:space="0" w:color="auto"/>
                <w:left w:val="none" w:sz="0" w:space="0" w:color="auto"/>
                <w:bottom w:val="none" w:sz="0" w:space="0" w:color="auto"/>
                <w:right w:val="none" w:sz="0" w:space="0" w:color="auto"/>
              </w:divBdr>
            </w:div>
            <w:div w:id="796728679">
              <w:marLeft w:val="0"/>
              <w:marRight w:val="0"/>
              <w:marTop w:val="0"/>
              <w:marBottom w:val="0"/>
              <w:divBdr>
                <w:top w:val="none" w:sz="0" w:space="0" w:color="auto"/>
                <w:left w:val="none" w:sz="0" w:space="0" w:color="auto"/>
                <w:bottom w:val="none" w:sz="0" w:space="0" w:color="auto"/>
                <w:right w:val="none" w:sz="0" w:space="0" w:color="auto"/>
              </w:divBdr>
            </w:div>
            <w:div w:id="822165831">
              <w:marLeft w:val="0"/>
              <w:marRight w:val="0"/>
              <w:marTop w:val="0"/>
              <w:marBottom w:val="0"/>
              <w:divBdr>
                <w:top w:val="none" w:sz="0" w:space="0" w:color="auto"/>
                <w:left w:val="none" w:sz="0" w:space="0" w:color="auto"/>
                <w:bottom w:val="none" w:sz="0" w:space="0" w:color="auto"/>
                <w:right w:val="none" w:sz="0" w:space="0" w:color="auto"/>
              </w:divBdr>
            </w:div>
            <w:div w:id="1031146250">
              <w:marLeft w:val="0"/>
              <w:marRight w:val="0"/>
              <w:marTop w:val="0"/>
              <w:marBottom w:val="0"/>
              <w:divBdr>
                <w:top w:val="none" w:sz="0" w:space="0" w:color="auto"/>
                <w:left w:val="none" w:sz="0" w:space="0" w:color="auto"/>
                <w:bottom w:val="none" w:sz="0" w:space="0" w:color="auto"/>
                <w:right w:val="none" w:sz="0" w:space="0" w:color="auto"/>
              </w:divBdr>
            </w:div>
            <w:div w:id="1044869157">
              <w:marLeft w:val="0"/>
              <w:marRight w:val="0"/>
              <w:marTop w:val="0"/>
              <w:marBottom w:val="0"/>
              <w:divBdr>
                <w:top w:val="none" w:sz="0" w:space="0" w:color="auto"/>
                <w:left w:val="none" w:sz="0" w:space="0" w:color="auto"/>
                <w:bottom w:val="none" w:sz="0" w:space="0" w:color="auto"/>
                <w:right w:val="none" w:sz="0" w:space="0" w:color="auto"/>
              </w:divBdr>
            </w:div>
            <w:div w:id="1157919705">
              <w:marLeft w:val="0"/>
              <w:marRight w:val="0"/>
              <w:marTop w:val="0"/>
              <w:marBottom w:val="0"/>
              <w:divBdr>
                <w:top w:val="none" w:sz="0" w:space="0" w:color="auto"/>
                <w:left w:val="none" w:sz="0" w:space="0" w:color="auto"/>
                <w:bottom w:val="none" w:sz="0" w:space="0" w:color="auto"/>
                <w:right w:val="none" w:sz="0" w:space="0" w:color="auto"/>
              </w:divBdr>
            </w:div>
            <w:div w:id="1297679423">
              <w:marLeft w:val="0"/>
              <w:marRight w:val="0"/>
              <w:marTop w:val="0"/>
              <w:marBottom w:val="0"/>
              <w:divBdr>
                <w:top w:val="none" w:sz="0" w:space="0" w:color="auto"/>
                <w:left w:val="none" w:sz="0" w:space="0" w:color="auto"/>
                <w:bottom w:val="none" w:sz="0" w:space="0" w:color="auto"/>
                <w:right w:val="none" w:sz="0" w:space="0" w:color="auto"/>
              </w:divBdr>
            </w:div>
            <w:div w:id="1339113371">
              <w:marLeft w:val="0"/>
              <w:marRight w:val="0"/>
              <w:marTop w:val="0"/>
              <w:marBottom w:val="0"/>
              <w:divBdr>
                <w:top w:val="none" w:sz="0" w:space="0" w:color="auto"/>
                <w:left w:val="none" w:sz="0" w:space="0" w:color="auto"/>
                <w:bottom w:val="none" w:sz="0" w:space="0" w:color="auto"/>
                <w:right w:val="none" w:sz="0" w:space="0" w:color="auto"/>
              </w:divBdr>
            </w:div>
            <w:div w:id="1557276927">
              <w:marLeft w:val="0"/>
              <w:marRight w:val="0"/>
              <w:marTop w:val="0"/>
              <w:marBottom w:val="0"/>
              <w:divBdr>
                <w:top w:val="none" w:sz="0" w:space="0" w:color="auto"/>
                <w:left w:val="none" w:sz="0" w:space="0" w:color="auto"/>
                <w:bottom w:val="none" w:sz="0" w:space="0" w:color="auto"/>
                <w:right w:val="none" w:sz="0" w:space="0" w:color="auto"/>
              </w:divBdr>
            </w:div>
            <w:div w:id="1764646368">
              <w:marLeft w:val="0"/>
              <w:marRight w:val="0"/>
              <w:marTop w:val="0"/>
              <w:marBottom w:val="0"/>
              <w:divBdr>
                <w:top w:val="none" w:sz="0" w:space="0" w:color="auto"/>
                <w:left w:val="none" w:sz="0" w:space="0" w:color="auto"/>
                <w:bottom w:val="none" w:sz="0" w:space="0" w:color="auto"/>
                <w:right w:val="none" w:sz="0" w:space="0" w:color="auto"/>
              </w:divBdr>
            </w:div>
            <w:div w:id="1775592773">
              <w:marLeft w:val="0"/>
              <w:marRight w:val="0"/>
              <w:marTop w:val="0"/>
              <w:marBottom w:val="0"/>
              <w:divBdr>
                <w:top w:val="none" w:sz="0" w:space="0" w:color="auto"/>
                <w:left w:val="none" w:sz="0" w:space="0" w:color="auto"/>
                <w:bottom w:val="none" w:sz="0" w:space="0" w:color="auto"/>
                <w:right w:val="none" w:sz="0" w:space="0" w:color="auto"/>
              </w:divBdr>
            </w:div>
            <w:div w:id="1787309905">
              <w:marLeft w:val="0"/>
              <w:marRight w:val="0"/>
              <w:marTop w:val="0"/>
              <w:marBottom w:val="0"/>
              <w:divBdr>
                <w:top w:val="none" w:sz="0" w:space="0" w:color="auto"/>
                <w:left w:val="none" w:sz="0" w:space="0" w:color="auto"/>
                <w:bottom w:val="none" w:sz="0" w:space="0" w:color="auto"/>
                <w:right w:val="none" w:sz="0" w:space="0" w:color="auto"/>
              </w:divBdr>
            </w:div>
            <w:div w:id="1800420688">
              <w:marLeft w:val="0"/>
              <w:marRight w:val="0"/>
              <w:marTop w:val="0"/>
              <w:marBottom w:val="0"/>
              <w:divBdr>
                <w:top w:val="none" w:sz="0" w:space="0" w:color="auto"/>
                <w:left w:val="none" w:sz="0" w:space="0" w:color="auto"/>
                <w:bottom w:val="none" w:sz="0" w:space="0" w:color="auto"/>
                <w:right w:val="none" w:sz="0" w:space="0" w:color="auto"/>
              </w:divBdr>
            </w:div>
            <w:div w:id="1873758798">
              <w:marLeft w:val="0"/>
              <w:marRight w:val="0"/>
              <w:marTop w:val="0"/>
              <w:marBottom w:val="0"/>
              <w:divBdr>
                <w:top w:val="none" w:sz="0" w:space="0" w:color="auto"/>
                <w:left w:val="none" w:sz="0" w:space="0" w:color="auto"/>
                <w:bottom w:val="none" w:sz="0" w:space="0" w:color="auto"/>
                <w:right w:val="none" w:sz="0" w:space="0" w:color="auto"/>
              </w:divBdr>
            </w:div>
            <w:div w:id="2008482522">
              <w:marLeft w:val="0"/>
              <w:marRight w:val="0"/>
              <w:marTop w:val="0"/>
              <w:marBottom w:val="0"/>
              <w:divBdr>
                <w:top w:val="none" w:sz="0" w:space="0" w:color="auto"/>
                <w:left w:val="none" w:sz="0" w:space="0" w:color="auto"/>
                <w:bottom w:val="none" w:sz="0" w:space="0" w:color="auto"/>
                <w:right w:val="none" w:sz="0" w:space="0" w:color="auto"/>
              </w:divBdr>
            </w:div>
          </w:divsChild>
        </w:div>
        <w:div w:id="1240170060">
          <w:marLeft w:val="0"/>
          <w:marRight w:val="0"/>
          <w:marTop w:val="0"/>
          <w:marBottom w:val="0"/>
          <w:divBdr>
            <w:top w:val="none" w:sz="0" w:space="0" w:color="auto"/>
            <w:left w:val="none" w:sz="0" w:space="0" w:color="auto"/>
            <w:bottom w:val="none" w:sz="0" w:space="0" w:color="auto"/>
            <w:right w:val="none" w:sz="0" w:space="0" w:color="auto"/>
          </w:divBdr>
        </w:div>
        <w:div w:id="1259219442">
          <w:marLeft w:val="0"/>
          <w:marRight w:val="0"/>
          <w:marTop w:val="0"/>
          <w:marBottom w:val="0"/>
          <w:divBdr>
            <w:top w:val="none" w:sz="0" w:space="0" w:color="auto"/>
            <w:left w:val="none" w:sz="0" w:space="0" w:color="auto"/>
            <w:bottom w:val="none" w:sz="0" w:space="0" w:color="auto"/>
            <w:right w:val="none" w:sz="0" w:space="0" w:color="auto"/>
          </w:divBdr>
          <w:divsChild>
            <w:div w:id="36198750">
              <w:marLeft w:val="0"/>
              <w:marRight w:val="0"/>
              <w:marTop w:val="0"/>
              <w:marBottom w:val="0"/>
              <w:divBdr>
                <w:top w:val="none" w:sz="0" w:space="0" w:color="auto"/>
                <w:left w:val="none" w:sz="0" w:space="0" w:color="auto"/>
                <w:bottom w:val="none" w:sz="0" w:space="0" w:color="auto"/>
                <w:right w:val="none" w:sz="0" w:space="0" w:color="auto"/>
              </w:divBdr>
            </w:div>
            <w:div w:id="57091021">
              <w:marLeft w:val="0"/>
              <w:marRight w:val="0"/>
              <w:marTop w:val="0"/>
              <w:marBottom w:val="0"/>
              <w:divBdr>
                <w:top w:val="none" w:sz="0" w:space="0" w:color="auto"/>
                <w:left w:val="none" w:sz="0" w:space="0" w:color="auto"/>
                <w:bottom w:val="none" w:sz="0" w:space="0" w:color="auto"/>
                <w:right w:val="none" w:sz="0" w:space="0" w:color="auto"/>
              </w:divBdr>
            </w:div>
            <w:div w:id="142042011">
              <w:marLeft w:val="0"/>
              <w:marRight w:val="0"/>
              <w:marTop w:val="0"/>
              <w:marBottom w:val="0"/>
              <w:divBdr>
                <w:top w:val="none" w:sz="0" w:space="0" w:color="auto"/>
                <w:left w:val="none" w:sz="0" w:space="0" w:color="auto"/>
                <w:bottom w:val="none" w:sz="0" w:space="0" w:color="auto"/>
                <w:right w:val="none" w:sz="0" w:space="0" w:color="auto"/>
              </w:divBdr>
            </w:div>
            <w:div w:id="350955657">
              <w:marLeft w:val="0"/>
              <w:marRight w:val="0"/>
              <w:marTop w:val="0"/>
              <w:marBottom w:val="0"/>
              <w:divBdr>
                <w:top w:val="none" w:sz="0" w:space="0" w:color="auto"/>
                <w:left w:val="none" w:sz="0" w:space="0" w:color="auto"/>
                <w:bottom w:val="none" w:sz="0" w:space="0" w:color="auto"/>
                <w:right w:val="none" w:sz="0" w:space="0" w:color="auto"/>
              </w:divBdr>
            </w:div>
            <w:div w:id="437481637">
              <w:marLeft w:val="0"/>
              <w:marRight w:val="0"/>
              <w:marTop w:val="0"/>
              <w:marBottom w:val="0"/>
              <w:divBdr>
                <w:top w:val="none" w:sz="0" w:space="0" w:color="auto"/>
                <w:left w:val="none" w:sz="0" w:space="0" w:color="auto"/>
                <w:bottom w:val="none" w:sz="0" w:space="0" w:color="auto"/>
                <w:right w:val="none" w:sz="0" w:space="0" w:color="auto"/>
              </w:divBdr>
            </w:div>
            <w:div w:id="472874167">
              <w:marLeft w:val="0"/>
              <w:marRight w:val="0"/>
              <w:marTop w:val="0"/>
              <w:marBottom w:val="0"/>
              <w:divBdr>
                <w:top w:val="none" w:sz="0" w:space="0" w:color="auto"/>
                <w:left w:val="none" w:sz="0" w:space="0" w:color="auto"/>
                <w:bottom w:val="none" w:sz="0" w:space="0" w:color="auto"/>
                <w:right w:val="none" w:sz="0" w:space="0" w:color="auto"/>
              </w:divBdr>
            </w:div>
            <w:div w:id="503015322">
              <w:marLeft w:val="0"/>
              <w:marRight w:val="0"/>
              <w:marTop w:val="0"/>
              <w:marBottom w:val="0"/>
              <w:divBdr>
                <w:top w:val="none" w:sz="0" w:space="0" w:color="auto"/>
                <w:left w:val="none" w:sz="0" w:space="0" w:color="auto"/>
                <w:bottom w:val="none" w:sz="0" w:space="0" w:color="auto"/>
                <w:right w:val="none" w:sz="0" w:space="0" w:color="auto"/>
              </w:divBdr>
            </w:div>
            <w:div w:id="505826741">
              <w:marLeft w:val="0"/>
              <w:marRight w:val="0"/>
              <w:marTop w:val="0"/>
              <w:marBottom w:val="0"/>
              <w:divBdr>
                <w:top w:val="none" w:sz="0" w:space="0" w:color="auto"/>
                <w:left w:val="none" w:sz="0" w:space="0" w:color="auto"/>
                <w:bottom w:val="none" w:sz="0" w:space="0" w:color="auto"/>
                <w:right w:val="none" w:sz="0" w:space="0" w:color="auto"/>
              </w:divBdr>
            </w:div>
            <w:div w:id="525097934">
              <w:marLeft w:val="0"/>
              <w:marRight w:val="0"/>
              <w:marTop w:val="0"/>
              <w:marBottom w:val="0"/>
              <w:divBdr>
                <w:top w:val="none" w:sz="0" w:space="0" w:color="auto"/>
                <w:left w:val="none" w:sz="0" w:space="0" w:color="auto"/>
                <w:bottom w:val="none" w:sz="0" w:space="0" w:color="auto"/>
                <w:right w:val="none" w:sz="0" w:space="0" w:color="auto"/>
              </w:divBdr>
            </w:div>
            <w:div w:id="554463146">
              <w:marLeft w:val="0"/>
              <w:marRight w:val="0"/>
              <w:marTop w:val="0"/>
              <w:marBottom w:val="0"/>
              <w:divBdr>
                <w:top w:val="none" w:sz="0" w:space="0" w:color="auto"/>
                <w:left w:val="none" w:sz="0" w:space="0" w:color="auto"/>
                <w:bottom w:val="none" w:sz="0" w:space="0" w:color="auto"/>
                <w:right w:val="none" w:sz="0" w:space="0" w:color="auto"/>
              </w:divBdr>
            </w:div>
            <w:div w:id="1025710773">
              <w:marLeft w:val="0"/>
              <w:marRight w:val="0"/>
              <w:marTop w:val="0"/>
              <w:marBottom w:val="0"/>
              <w:divBdr>
                <w:top w:val="none" w:sz="0" w:space="0" w:color="auto"/>
                <w:left w:val="none" w:sz="0" w:space="0" w:color="auto"/>
                <w:bottom w:val="none" w:sz="0" w:space="0" w:color="auto"/>
                <w:right w:val="none" w:sz="0" w:space="0" w:color="auto"/>
              </w:divBdr>
            </w:div>
            <w:div w:id="1060060482">
              <w:marLeft w:val="0"/>
              <w:marRight w:val="0"/>
              <w:marTop w:val="0"/>
              <w:marBottom w:val="0"/>
              <w:divBdr>
                <w:top w:val="none" w:sz="0" w:space="0" w:color="auto"/>
                <w:left w:val="none" w:sz="0" w:space="0" w:color="auto"/>
                <w:bottom w:val="none" w:sz="0" w:space="0" w:color="auto"/>
                <w:right w:val="none" w:sz="0" w:space="0" w:color="auto"/>
              </w:divBdr>
            </w:div>
            <w:div w:id="1096170443">
              <w:marLeft w:val="0"/>
              <w:marRight w:val="0"/>
              <w:marTop w:val="0"/>
              <w:marBottom w:val="0"/>
              <w:divBdr>
                <w:top w:val="none" w:sz="0" w:space="0" w:color="auto"/>
                <w:left w:val="none" w:sz="0" w:space="0" w:color="auto"/>
                <w:bottom w:val="none" w:sz="0" w:space="0" w:color="auto"/>
                <w:right w:val="none" w:sz="0" w:space="0" w:color="auto"/>
              </w:divBdr>
            </w:div>
            <w:div w:id="1327704687">
              <w:marLeft w:val="0"/>
              <w:marRight w:val="0"/>
              <w:marTop w:val="0"/>
              <w:marBottom w:val="0"/>
              <w:divBdr>
                <w:top w:val="none" w:sz="0" w:space="0" w:color="auto"/>
                <w:left w:val="none" w:sz="0" w:space="0" w:color="auto"/>
                <w:bottom w:val="none" w:sz="0" w:space="0" w:color="auto"/>
                <w:right w:val="none" w:sz="0" w:space="0" w:color="auto"/>
              </w:divBdr>
            </w:div>
            <w:div w:id="1605117800">
              <w:marLeft w:val="0"/>
              <w:marRight w:val="0"/>
              <w:marTop w:val="0"/>
              <w:marBottom w:val="0"/>
              <w:divBdr>
                <w:top w:val="none" w:sz="0" w:space="0" w:color="auto"/>
                <w:left w:val="none" w:sz="0" w:space="0" w:color="auto"/>
                <w:bottom w:val="none" w:sz="0" w:space="0" w:color="auto"/>
                <w:right w:val="none" w:sz="0" w:space="0" w:color="auto"/>
              </w:divBdr>
            </w:div>
            <w:div w:id="1684474635">
              <w:marLeft w:val="0"/>
              <w:marRight w:val="0"/>
              <w:marTop w:val="0"/>
              <w:marBottom w:val="0"/>
              <w:divBdr>
                <w:top w:val="none" w:sz="0" w:space="0" w:color="auto"/>
                <w:left w:val="none" w:sz="0" w:space="0" w:color="auto"/>
                <w:bottom w:val="none" w:sz="0" w:space="0" w:color="auto"/>
                <w:right w:val="none" w:sz="0" w:space="0" w:color="auto"/>
              </w:divBdr>
            </w:div>
            <w:div w:id="1864391989">
              <w:marLeft w:val="0"/>
              <w:marRight w:val="0"/>
              <w:marTop w:val="0"/>
              <w:marBottom w:val="0"/>
              <w:divBdr>
                <w:top w:val="none" w:sz="0" w:space="0" w:color="auto"/>
                <w:left w:val="none" w:sz="0" w:space="0" w:color="auto"/>
                <w:bottom w:val="none" w:sz="0" w:space="0" w:color="auto"/>
                <w:right w:val="none" w:sz="0" w:space="0" w:color="auto"/>
              </w:divBdr>
            </w:div>
            <w:div w:id="1924414647">
              <w:marLeft w:val="0"/>
              <w:marRight w:val="0"/>
              <w:marTop w:val="0"/>
              <w:marBottom w:val="0"/>
              <w:divBdr>
                <w:top w:val="none" w:sz="0" w:space="0" w:color="auto"/>
                <w:left w:val="none" w:sz="0" w:space="0" w:color="auto"/>
                <w:bottom w:val="none" w:sz="0" w:space="0" w:color="auto"/>
                <w:right w:val="none" w:sz="0" w:space="0" w:color="auto"/>
              </w:divBdr>
            </w:div>
            <w:div w:id="2118133929">
              <w:marLeft w:val="0"/>
              <w:marRight w:val="0"/>
              <w:marTop w:val="0"/>
              <w:marBottom w:val="0"/>
              <w:divBdr>
                <w:top w:val="none" w:sz="0" w:space="0" w:color="auto"/>
                <w:left w:val="none" w:sz="0" w:space="0" w:color="auto"/>
                <w:bottom w:val="none" w:sz="0" w:space="0" w:color="auto"/>
                <w:right w:val="none" w:sz="0" w:space="0" w:color="auto"/>
              </w:divBdr>
            </w:div>
            <w:div w:id="2124885956">
              <w:marLeft w:val="0"/>
              <w:marRight w:val="0"/>
              <w:marTop w:val="0"/>
              <w:marBottom w:val="0"/>
              <w:divBdr>
                <w:top w:val="none" w:sz="0" w:space="0" w:color="auto"/>
                <w:left w:val="none" w:sz="0" w:space="0" w:color="auto"/>
                <w:bottom w:val="none" w:sz="0" w:space="0" w:color="auto"/>
                <w:right w:val="none" w:sz="0" w:space="0" w:color="auto"/>
              </w:divBdr>
            </w:div>
          </w:divsChild>
        </w:div>
        <w:div w:id="1350251604">
          <w:marLeft w:val="0"/>
          <w:marRight w:val="0"/>
          <w:marTop w:val="0"/>
          <w:marBottom w:val="0"/>
          <w:divBdr>
            <w:top w:val="none" w:sz="0" w:space="0" w:color="auto"/>
            <w:left w:val="none" w:sz="0" w:space="0" w:color="auto"/>
            <w:bottom w:val="none" w:sz="0" w:space="0" w:color="auto"/>
            <w:right w:val="none" w:sz="0" w:space="0" w:color="auto"/>
          </w:divBdr>
          <w:divsChild>
            <w:div w:id="2060005601">
              <w:marLeft w:val="-75"/>
              <w:marRight w:val="0"/>
              <w:marTop w:val="30"/>
              <w:marBottom w:val="30"/>
              <w:divBdr>
                <w:top w:val="none" w:sz="0" w:space="0" w:color="auto"/>
                <w:left w:val="none" w:sz="0" w:space="0" w:color="auto"/>
                <w:bottom w:val="none" w:sz="0" w:space="0" w:color="auto"/>
                <w:right w:val="none" w:sz="0" w:space="0" w:color="auto"/>
              </w:divBdr>
              <w:divsChild>
                <w:div w:id="10299086">
                  <w:marLeft w:val="0"/>
                  <w:marRight w:val="0"/>
                  <w:marTop w:val="0"/>
                  <w:marBottom w:val="0"/>
                  <w:divBdr>
                    <w:top w:val="none" w:sz="0" w:space="0" w:color="auto"/>
                    <w:left w:val="none" w:sz="0" w:space="0" w:color="auto"/>
                    <w:bottom w:val="none" w:sz="0" w:space="0" w:color="auto"/>
                    <w:right w:val="none" w:sz="0" w:space="0" w:color="auto"/>
                  </w:divBdr>
                  <w:divsChild>
                    <w:div w:id="478838221">
                      <w:marLeft w:val="0"/>
                      <w:marRight w:val="0"/>
                      <w:marTop w:val="0"/>
                      <w:marBottom w:val="0"/>
                      <w:divBdr>
                        <w:top w:val="none" w:sz="0" w:space="0" w:color="auto"/>
                        <w:left w:val="none" w:sz="0" w:space="0" w:color="auto"/>
                        <w:bottom w:val="none" w:sz="0" w:space="0" w:color="auto"/>
                        <w:right w:val="none" w:sz="0" w:space="0" w:color="auto"/>
                      </w:divBdr>
                    </w:div>
                    <w:div w:id="1601451204">
                      <w:marLeft w:val="0"/>
                      <w:marRight w:val="0"/>
                      <w:marTop w:val="0"/>
                      <w:marBottom w:val="0"/>
                      <w:divBdr>
                        <w:top w:val="none" w:sz="0" w:space="0" w:color="auto"/>
                        <w:left w:val="none" w:sz="0" w:space="0" w:color="auto"/>
                        <w:bottom w:val="none" w:sz="0" w:space="0" w:color="auto"/>
                        <w:right w:val="none" w:sz="0" w:space="0" w:color="auto"/>
                      </w:divBdr>
                    </w:div>
                    <w:div w:id="1837185301">
                      <w:marLeft w:val="0"/>
                      <w:marRight w:val="0"/>
                      <w:marTop w:val="0"/>
                      <w:marBottom w:val="0"/>
                      <w:divBdr>
                        <w:top w:val="none" w:sz="0" w:space="0" w:color="auto"/>
                        <w:left w:val="none" w:sz="0" w:space="0" w:color="auto"/>
                        <w:bottom w:val="none" w:sz="0" w:space="0" w:color="auto"/>
                        <w:right w:val="none" w:sz="0" w:space="0" w:color="auto"/>
                      </w:divBdr>
                    </w:div>
                  </w:divsChild>
                </w:div>
                <w:div w:id="1064178293">
                  <w:marLeft w:val="0"/>
                  <w:marRight w:val="0"/>
                  <w:marTop w:val="0"/>
                  <w:marBottom w:val="0"/>
                  <w:divBdr>
                    <w:top w:val="none" w:sz="0" w:space="0" w:color="auto"/>
                    <w:left w:val="none" w:sz="0" w:space="0" w:color="auto"/>
                    <w:bottom w:val="none" w:sz="0" w:space="0" w:color="auto"/>
                    <w:right w:val="none" w:sz="0" w:space="0" w:color="auto"/>
                  </w:divBdr>
                  <w:divsChild>
                    <w:div w:id="1325627303">
                      <w:marLeft w:val="0"/>
                      <w:marRight w:val="0"/>
                      <w:marTop w:val="0"/>
                      <w:marBottom w:val="0"/>
                      <w:divBdr>
                        <w:top w:val="none" w:sz="0" w:space="0" w:color="auto"/>
                        <w:left w:val="none" w:sz="0" w:space="0" w:color="auto"/>
                        <w:bottom w:val="none" w:sz="0" w:space="0" w:color="auto"/>
                        <w:right w:val="none" w:sz="0" w:space="0" w:color="auto"/>
                      </w:divBdr>
                    </w:div>
                    <w:div w:id="1830898641">
                      <w:marLeft w:val="0"/>
                      <w:marRight w:val="0"/>
                      <w:marTop w:val="0"/>
                      <w:marBottom w:val="0"/>
                      <w:divBdr>
                        <w:top w:val="none" w:sz="0" w:space="0" w:color="auto"/>
                        <w:left w:val="none" w:sz="0" w:space="0" w:color="auto"/>
                        <w:bottom w:val="none" w:sz="0" w:space="0" w:color="auto"/>
                        <w:right w:val="none" w:sz="0" w:space="0" w:color="auto"/>
                      </w:divBdr>
                    </w:div>
                  </w:divsChild>
                </w:div>
                <w:div w:id="1077821440">
                  <w:marLeft w:val="0"/>
                  <w:marRight w:val="0"/>
                  <w:marTop w:val="0"/>
                  <w:marBottom w:val="0"/>
                  <w:divBdr>
                    <w:top w:val="none" w:sz="0" w:space="0" w:color="auto"/>
                    <w:left w:val="none" w:sz="0" w:space="0" w:color="auto"/>
                    <w:bottom w:val="none" w:sz="0" w:space="0" w:color="auto"/>
                    <w:right w:val="none" w:sz="0" w:space="0" w:color="auto"/>
                  </w:divBdr>
                  <w:divsChild>
                    <w:div w:id="1853061111">
                      <w:marLeft w:val="0"/>
                      <w:marRight w:val="0"/>
                      <w:marTop w:val="0"/>
                      <w:marBottom w:val="0"/>
                      <w:divBdr>
                        <w:top w:val="none" w:sz="0" w:space="0" w:color="auto"/>
                        <w:left w:val="none" w:sz="0" w:space="0" w:color="auto"/>
                        <w:bottom w:val="none" w:sz="0" w:space="0" w:color="auto"/>
                        <w:right w:val="none" w:sz="0" w:space="0" w:color="auto"/>
                      </w:divBdr>
                    </w:div>
                    <w:div w:id="1871649045">
                      <w:marLeft w:val="0"/>
                      <w:marRight w:val="0"/>
                      <w:marTop w:val="0"/>
                      <w:marBottom w:val="0"/>
                      <w:divBdr>
                        <w:top w:val="none" w:sz="0" w:space="0" w:color="auto"/>
                        <w:left w:val="none" w:sz="0" w:space="0" w:color="auto"/>
                        <w:bottom w:val="none" w:sz="0" w:space="0" w:color="auto"/>
                        <w:right w:val="none" w:sz="0" w:space="0" w:color="auto"/>
                      </w:divBdr>
                    </w:div>
                  </w:divsChild>
                </w:div>
                <w:div w:id="1657219185">
                  <w:marLeft w:val="0"/>
                  <w:marRight w:val="0"/>
                  <w:marTop w:val="0"/>
                  <w:marBottom w:val="0"/>
                  <w:divBdr>
                    <w:top w:val="none" w:sz="0" w:space="0" w:color="auto"/>
                    <w:left w:val="none" w:sz="0" w:space="0" w:color="auto"/>
                    <w:bottom w:val="none" w:sz="0" w:space="0" w:color="auto"/>
                    <w:right w:val="none" w:sz="0" w:space="0" w:color="auto"/>
                  </w:divBdr>
                  <w:divsChild>
                    <w:div w:id="639261691">
                      <w:marLeft w:val="0"/>
                      <w:marRight w:val="0"/>
                      <w:marTop w:val="0"/>
                      <w:marBottom w:val="0"/>
                      <w:divBdr>
                        <w:top w:val="none" w:sz="0" w:space="0" w:color="auto"/>
                        <w:left w:val="none" w:sz="0" w:space="0" w:color="auto"/>
                        <w:bottom w:val="none" w:sz="0" w:space="0" w:color="auto"/>
                        <w:right w:val="none" w:sz="0" w:space="0" w:color="auto"/>
                      </w:divBdr>
                    </w:div>
                  </w:divsChild>
                </w:div>
                <w:div w:id="1773285767">
                  <w:marLeft w:val="0"/>
                  <w:marRight w:val="0"/>
                  <w:marTop w:val="0"/>
                  <w:marBottom w:val="0"/>
                  <w:divBdr>
                    <w:top w:val="none" w:sz="0" w:space="0" w:color="auto"/>
                    <w:left w:val="none" w:sz="0" w:space="0" w:color="auto"/>
                    <w:bottom w:val="none" w:sz="0" w:space="0" w:color="auto"/>
                    <w:right w:val="none" w:sz="0" w:space="0" w:color="auto"/>
                  </w:divBdr>
                  <w:divsChild>
                    <w:div w:id="1263757843">
                      <w:marLeft w:val="0"/>
                      <w:marRight w:val="0"/>
                      <w:marTop w:val="0"/>
                      <w:marBottom w:val="0"/>
                      <w:divBdr>
                        <w:top w:val="none" w:sz="0" w:space="0" w:color="auto"/>
                        <w:left w:val="none" w:sz="0" w:space="0" w:color="auto"/>
                        <w:bottom w:val="none" w:sz="0" w:space="0" w:color="auto"/>
                        <w:right w:val="none" w:sz="0" w:space="0" w:color="auto"/>
                      </w:divBdr>
                    </w:div>
                    <w:div w:id="1881084795">
                      <w:marLeft w:val="0"/>
                      <w:marRight w:val="0"/>
                      <w:marTop w:val="0"/>
                      <w:marBottom w:val="0"/>
                      <w:divBdr>
                        <w:top w:val="none" w:sz="0" w:space="0" w:color="auto"/>
                        <w:left w:val="none" w:sz="0" w:space="0" w:color="auto"/>
                        <w:bottom w:val="none" w:sz="0" w:space="0" w:color="auto"/>
                        <w:right w:val="none" w:sz="0" w:space="0" w:color="auto"/>
                      </w:divBdr>
                    </w:div>
                  </w:divsChild>
                </w:div>
                <w:div w:id="2099906813">
                  <w:marLeft w:val="0"/>
                  <w:marRight w:val="0"/>
                  <w:marTop w:val="0"/>
                  <w:marBottom w:val="0"/>
                  <w:divBdr>
                    <w:top w:val="none" w:sz="0" w:space="0" w:color="auto"/>
                    <w:left w:val="none" w:sz="0" w:space="0" w:color="auto"/>
                    <w:bottom w:val="none" w:sz="0" w:space="0" w:color="auto"/>
                    <w:right w:val="none" w:sz="0" w:space="0" w:color="auto"/>
                  </w:divBdr>
                  <w:divsChild>
                    <w:div w:id="226963235">
                      <w:marLeft w:val="0"/>
                      <w:marRight w:val="0"/>
                      <w:marTop w:val="0"/>
                      <w:marBottom w:val="0"/>
                      <w:divBdr>
                        <w:top w:val="none" w:sz="0" w:space="0" w:color="auto"/>
                        <w:left w:val="none" w:sz="0" w:space="0" w:color="auto"/>
                        <w:bottom w:val="none" w:sz="0" w:space="0" w:color="auto"/>
                        <w:right w:val="none" w:sz="0" w:space="0" w:color="auto"/>
                      </w:divBdr>
                    </w:div>
                    <w:div w:id="170355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4424159">
          <w:marLeft w:val="0"/>
          <w:marRight w:val="0"/>
          <w:marTop w:val="0"/>
          <w:marBottom w:val="0"/>
          <w:divBdr>
            <w:top w:val="none" w:sz="0" w:space="0" w:color="auto"/>
            <w:left w:val="none" w:sz="0" w:space="0" w:color="auto"/>
            <w:bottom w:val="none" w:sz="0" w:space="0" w:color="auto"/>
            <w:right w:val="none" w:sz="0" w:space="0" w:color="auto"/>
          </w:divBdr>
        </w:div>
        <w:div w:id="1563521665">
          <w:marLeft w:val="0"/>
          <w:marRight w:val="0"/>
          <w:marTop w:val="0"/>
          <w:marBottom w:val="0"/>
          <w:divBdr>
            <w:top w:val="none" w:sz="0" w:space="0" w:color="auto"/>
            <w:left w:val="none" w:sz="0" w:space="0" w:color="auto"/>
            <w:bottom w:val="none" w:sz="0" w:space="0" w:color="auto"/>
            <w:right w:val="none" w:sz="0" w:space="0" w:color="auto"/>
          </w:divBdr>
        </w:div>
        <w:div w:id="1587227419">
          <w:marLeft w:val="0"/>
          <w:marRight w:val="0"/>
          <w:marTop w:val="0"/>
          <w:marBottom w:val="0"/>
          <w:divBdr>
            <w:top w:val="none" w:sz="0" w:space="0" w:color="auto"/>
            <w:left w:val="none" w:sz="0" w:space="0" w:color="auto"/>
            <w:bottom w:val="none" w:sz="0" w:space="0" w:color="auto"/>
            <w:right w:val="none" w:sz="0" w:space="0" w:color="auto"/>
          </w:divBdr>
        </w:div>
        <w:div w:id="1589342603">
          <w:marLeft w:val="0"/>
          <w:marRight w:val="0"/>
          <w:marTop w:val="0"/>
          <w:marBottom w:val="0"/>
          <w:divBdr>
            <w:top w:val="none" w:sz="0" w:space="0" w:color="auto"/>
            <w:left w:val="none" w:sz="0" w:space="0" w:color="auto"/>
            <w:bottom w:val="none" w:sz="0" w:space="0" w:color="auto"/>
            <w:right w:val="none" w:sz="0" w:space="0" w:color="auto"/>
          </w:divBdr>
        </w:div>
        <w:div w:id="1602370966">
          <w:marLeft w:val="0"/>
          <w:marRight w:val="0"/>
          <w:marTop w:val="0"/>
          <w:marBottom w:val="0"/>
          <w:divBdr>
            <w:top w:val="none" w:sz="0" w:space="0" w:color="auto"/>
            <w:left w:val="none" w:sz="0" w:space="0" w:color="auto"/>
            <w:bottom w:val="none" w:sz="0" w:space="0" w:color="auto"/>
            <w:right w:val="none" w:sz="0" w:space="0" w:color="auto"/>
          </w:divBdr>
        </w:div>
        <w:div w:id="1617061627">
          <w:marLeft w:val="0"/>
          <w:marRight w:val="0"/>
          <w:marTop w:val="0"/>
          <w:marBottom w:val="0"/>
          <w:divBdr>
            <w:top w:val="none" w:sz="0" w:space="0" w:color="auto"/>
            <w:left w:val="none" w:sz="0" w:space="0" w:color="auto"/>
            <w:bottom w:val="none" w:sz="0" w:space="0" w:color="auto"/>
            <w:right w:val="none" w:sz="0" w:space="0" w:color="auto"/>
          </w:divBdr>
        </w:div>
        <w:div w:id="1618487353">
          <w:marLeft w:val="0"/>
          <w:marRight w:val="0"/>
          <w:marTop w:val="0"/>
          <w:marBottom w:val="0"/>
          <w:divBdr>
            <w:top w:val="none" w:sz="0" w:space="0" w:color="auto"/>
            <w:left w:val="none" w:sz="0" w:space="0" w:color="auto"/>
            <w:bottom w:val="none" w:sz="0" w:space="0" w:color="auto"/>
            <w:right w:val="none" w:sz="0" w:space="0" w:color="auto"/>
          </w:divBdr>
        </w:div>
        <w:div w:id="1726490611">
          <w:marLeft w:val="0"/>
          <w:marRight w:val="0"/>
          <w:marTop w:val="0"/>
          <w:marBottom w:val="0"/>
          <w:divBdr>
            <w:top w:val="none" w:sz="0" w:space="0" w:color="auto"/>
            <w:left w:val="none" w:sz="0" w:space="0" w:color="auto"/>
            <w:bottom w:val="none" w:sz="0" w:space="0" w:color="auto"/>
            <w:right w:val="none" w:sz="0" w:space="0" w:color="auto"/>
          </w:divBdr>
        </w:div>
        <w:div w:id="1730222126">
          <w:marLeft w:val="0"/>
          <w:marRight w:val="0"/>
          <w:marTop w:val="0"/>
          <w:marBottom w:val="0"/>
          <w:divBdr>
            <w:top w:val="none" w:sz="0" w:space="0" w:color="auto"/>
            <w:left w:val="none" w:sz="0" w:space="0" w:color="auto"/>
            <w:bottom w:val="none" w:sz="0" w:space="0" w:color="auto"/>
            <w:right w:val="none" w:sz="0" w:space="0" w:color="auto"/>
          </w:divBdr>
        </w:div>
        <w:div w:id="1810902476">
          <w:marLeft w:val="0"/>
          <w:marRight w:val="0"/>
          <w:marTop w:val="0"/>
          <w:marBottom w:val="0"/>
          <w:divBdr>
            <w:top w:val="none" w:sz="0" w:space="0" w:color="auto"/>
            <w:left w:val="none" w:sz="0" w:space="0" w:color="auto"/>
            <w:bottom w:val="none" w:sz="0" w:space="0" w:color="auto"/>
            <w:right w:val="none" w:sz="0" w:space="0" w:color="auto"/>
          </w:divBdr>
        </w:div>
        <w:div w:id="1819029274">
          <w:marLeft w:val="0"/>
          <w:marRight w:val="0"/>
          <w:marTop w:val="0"/>
          <w:marBottom w:val="0"/>
          <w:divBdr>
            <w:top w:val="none" w:sz="0" w:space="0" w:color="auto"/>
            <w:left w:val="none" w:sz="0" w:space="0" w:color="auto"/>
            <w:bottom w:val="none" w:sz="0" w:space="0" w:color="auto"/>
            <w:right w:val="none" w:sz="0" w:space="0" w:color="auto"/>
          </w:divBdr>
        </w:div>
        <w:div w:id="2018068751">
          <w:marLeft w:val="0"/>
          <w:marRight w:val="0"/>
          <w:marTop w:val="0"/>
          <w:marBottom w:val="0"/>
          <w:divBdr>
            <w:top w:val="none" w:sz="0" w:space="0" w:color="auto"/>
            <w:left w:val="none" w:sz="0" w:space="0" w:color="auto"/>
            <w:bottom w:val="none" w:sz="0" w:space="0" w:color="auto"/>
            <w:right w:val="none" w:sz="0" w:space="0" w:color="auto"/>
          </w:divBdr>
        </w:div>
        <w:div w:id="2019310322">
          <w:marLeft w:val="0"/>
          <w:marRight w:val="0"/>
          <w:marTop w:val="0"/>
          <w:marBottom w:val="0"/>
          <w:divBdr>
            <w:top w:val="none" w:sz="0" w:space="0" w:color="auto"/>
            <w:left w:val="none" w:sz="0" w:space="0" w:color="auto"/>
            <w:bottom w:val="none" w:sz="0" w:space="0" w:color="auto"/>
            <w:right w:val="none" w:sz="0" w:space="0" w:color="auto"/>
          </w:divBdr>
        </w:div>
        <w:div w:id="2048723160">
          <w:marLeft w:val="0"/>
          <w:marRight w:val="0"/>
          <w:marTop w:val="0"/>
          <w:marBottom w:val="0"/>
          <w:divBdr>
            <w:top w:val="none" w:sz="0" w:space="0" w:color="auto"/>
            <w:left w:val="none" w:sz="0" w:space="0" w:color="auto"/>
            <w:bottom w:val="none" w:sz="0" w:space="0" w:color="auto"/>
            <w:right w:val="none" w:sz="0" w:space="0" w:color="auto"/>
          </w:divBdr>
        </w:div>
      </w:divsChild>
    </w:div>
    <w:div w:id="1206940931">
      <w:bodyDiv w:val="1"/>
      <w:marLeft w:val="0"/>
      <w:marRight w:val="0"/>
      <w:marTop w:val="0"/>
      <w:marBottom w:val="0"/>
      <w:divBdr>
        <w:top w:val="none" w:sz="0" w:space="0" w:color="auto"/>
        <w:left w:val="none" w:sz="0" w:space="0" w:color="auto"/>
        <w:bottom w:val="none" w:sz="0" w:space="0" w:color="auto"/>
        <w:right w:val="none" w:sz="0" w:space="0" w:color="auto"/>
      </w:divBdr>
    </w:div>
    <w:div w:id="1208840512">
      <w:bodyDiv w:val="1"/>
      <w:marLeft w:val="0"/>
      <w:marRight w:val="0"/>
      <w:marTop w:val="0"/>
      <w:marBottom w:val="0"/>
      <w:divBdr>
        <w:top w:val="none" w:sz="0" w:space="0" w:color="auto"/>
        <w:left w:val="none" w:sz="0" w:space="0" w:color="auto"/>
        <w:bottom w:val="none" w:sz="0" w:space="0" w:color="auto"/>
        <w:right w:val="none" w:sz="0" w:space="0" w:color="auto"/>
      </w:divBdr>
    </w:div>
    <w:div w:id="1209688858">
      <w:bodyDiv w:val="1"/>
      <w:marLeft w:val="0"/>
      <w:marRight w:val="0"/>
      <w:marTop w:val="0"/>
      <w:marBottom w:val="0"/>
      <w:divBdr>
        <w:top w:val="none" w:sz="0" w:space="0" w:color="auto"/>
        <w:left w:val="none" w:sz="0" w:space="0" w:color="auto"/>
        <w:bottom w:val="none" w:sz="0" w:space="0" w:color="auto"/>
        <w:right w:val="none" w:sz="0" w:space="0" w:color="auto"/>
      </w:divBdr>
    </w:div>
    <w:div w:id="1211500991">
      <w:bodyDiv w:val="1"/>
      <w:marLeft w:val="0"/>
      <w:marRight w:val="0"/>
      <w:marTop w:val="0"/>
      <w:marBottom w:val="0"/>
      <w:divBdr>
        <w:top w:val="none" w:sz="0" w:space="0" w:color="auto"/>
        <w:left w:val="none" w:sz="0" w:space="0" w:color="auto"/>
        <w:bottom w:val="none" w:sz="0" w:space="0" w:color="auto"/>
        <w:right w:val="none" w:sz="0" w:space="0" w:color="auto"/>
      </w:divBdr>
    </w:div>
    <w:div w:id="1212154008">
      <w:bodyDiv w:val="1"/>
      <w:marLeft w:val="0"/>
      <w:marRight w:val="0"/>
      <w:marTop w:val="0"/>
      <w:marBottom w:val="0"/>
      <w:divBdr>
        <w:top w:val="none" w:sz="0" w:space="0" w:color="auto"/>
        <w:left w:val="none" w:sz="0" w:space="0" w:color="auto"/>
        <w:bottom w:val="none" w:sz="0" w:space="0" w:color="auto"/>
        <w:right w:val="none" w:sz="0" w:space="0" w:color="auto"/>
      </w:divBdr>
    </w:div>
    <w:div w:id="1214466800">
      <w:bodyDiv w:val="1"/>
      <w:marLeft w:val="0"/>
      <w:marRight w:val="0"/>
      <w:marTop w:val="0"/>
      <w:marBottom w:val="0"/>
      <w:divBdr>
        <w:top w:val="none" w:sz="0" w:space="0" w:color="auto"/>
        <w:left w:val="none" w:sz="0" w:space="0" w:color="auto"/>
        <w:bottom w:val="none" w:sz="0" w:space="0" w:color="auto"/>
        <w:right w:val="none" w:sz="0" w:space="0" w:color="auto"/>
      </w:divBdr>
    </w:div>
    <w:div w:id="1222324748">
      <w:bodyDiv w:val="1"/>
      <w:marLeft w:val="0"/>
      <w:marRight w:val="0"/>
      <w:marTop w:val="0"/>
      <w:marBottom w:val="0"/>
      <w:divBdr>
        <w:top w:val="none" w:sz="0" w:space="0" w:color="auto"/>
        <w:left w:val="none" w:sz="0" w:space="0" w:color="auto"/>
        <w:bottom w:val="none" w:sz="0" w:space="0" w:color="auto"/>
        <w:right w:val="none" w:sz="0" w:space="0" w:color="auto"/>
      </w:divBdr>
    </w:div>
    <w:div w:id="1222520010">
      <w:bodyDiv w:val="1"/>
      <w:marLeft w:val="0"/>
      <w:marRight w:val="0"/>
      <w:marTop w:val="0"/>
      <w:marBottom w:val="0"/>
      <w:divBdr>
        <w:top w:val="none" w:sz="0" w:space="0" w:color="auto"/>
        <w:left w:val="none" w:sz="0" w:space="0" w:color="auto"/>
        <w:bottom w:val="none" w:sz="0" w:space="0" w:color="auto"/>
        <w:right w:val="none" w:sz="0" w:space="0" w:color="auto"/>
      </w:divBdr>
    </w:div>
    <w:div w:id="1226841852">
      <w:bodyDiv w:val="1"/>
      <w:marLeft w:val="0"/>
      <w:marRight w:val="0"/>
      <w:marTop w:val="0"/>
      <w:marBottom w:val="0"/>
      <w:divBdr>
        <w:top w:val="none" w:sz="0" w:space="0" w:color="auto"/>
        <w:left w:val="none" w:sz="0" w:space="0" w:color="auto"/>
        <w:bottom w:val="none" w:sz="0" w:space="0" w:color="auto"/>
        <w:right w:val="none" w:sz="0" w:space="0" w:color="auto"/>
      </w:divBdr>
    </w:div>
    <w:div w:id="1229926363">
      <w:bodyDiv w:val="1"/>
      <w:marLeft w:val="0"/>
      <w:marRight w:val="0"/>
      <w:marTop w:val="0"/>
      <w:marBottom w:val="0"/>
      <w:divBdr>
        <w:top w:val="none" w:sz="0" w:space="0" w:color="auto"/>
        <w:left w:val="none" w:sz="0" w:space="0" w:color="auto"/>
        <w:bottom w:val="none" w:sz="0" w:space="0" w:color="auto"/>
        <w:right w:val="none" w:sz="0" w:space="0" w:color="auto"/>
      </w:divBdr>
    </w:div>
    <w:div w:id="1231232949">
      <w:bodyDiv w:val="1"/>
      <w:marLeft w:val="0"/>
      <w:marRight w:val="0"/>
      <w:marTop w:val="0"/>
      <w:marBottom w:val="0"/>
      <w:divBdr>
        <w:top w:val="none" w:sz="0" w:space="0" w:color="auto"/>
        <w:left w:val="none" w:sz="0" w:space="0" w:color="auto"/>
        <w:bottom w:val="none" w:sz="0" w:space="0" w:color="auto"/>
        <w:right w:val="none" w:sz="0" w:space="0" w:color="auto"/>
      </w:divBdr>
    </w:div>
    <w:div w:id="1237478510">
      <w:bodyDiv w:val="1"/>
      <w:marLeft w:val="0"/>
      <w:marRight w:val="0"/>
      <w:marTop w:val="0"/>
      <w:marBottom w:val="0"/>
      <w:divBdr>
        <w:top w:val="none" w:sz="0" w:space="0" w:color="auto"/>
        <w:left w:val="none" w:sz="0" w:space="0" w:color="auto"/>
        <w:bottom w:val="none" w:sz="0" w:space="0" w:color="auto"/>
        <w:right w:val="none" w:sz="0" w:space="0" w:color="auto"/>
      </w:divBdr>
    </w:div>
    <w:div w:id="1263033484">
      <w:bodyDiv w:val="1"/>
      <w:marLeft w:val="0"/>
      <w:marRight w:val="0"/>
      <w:marTop w:val="0"/>
      <w:marBottom w:val="0"/>
      <w:divBdr>
        <w:top w:val="none" w:sz="0" w:space="0" w:color="auto"/>
        <w:left w:val="none" w:sz="0" w:space="0" w:color="auto"/>
        <w:bottom w:val="none" w:sz="0" w:space="0" w:color="auto"/>
        <w:right w:val="none" w:sz="0" w:space="0" w:color="auto"/>
      </w:divBdr>
    </w:div>
    <w:div w:id="1274744412">
      <w:bodyDiv w:val="1"/>
      <w:marLeft w:val="0"/>
      <w:marRight w:val="0"/>
      <w:marTop w:val="0"/>
      <w:marBottom w:val="0"/>
      <w:divBdr>
        <w:top w:val="none" w:sz="0" w:space="0" w:color="auto"/>
        <w:left w:val="none" w:sz="0" w:space="0" w:color="auto"/>
        <w:bottom w:val="none" w:sz="0" w:space="0" w:color="auto"/>
        <w:right w:val="none" w:sz="0" w:space="0" w:color="auto"/>
      </w:divBdr>
    </w:div>
    <w:div w:id="1277831567">
      <w:bodyDiv w:val="1"/>
      <w:marLeft w:val="0"/>
      <w:marRight w:val="0"/>
      <w:marTop w:val="0"/>
      <w:marBottom w:val="0"/>
      <w:divBdr>
        <w:top w:val="none" w:sz="0" w:space="0" w:color="auto"/>
        <w:left w:val="none" w:sz="0" w:space="0" w:color="auto"/>
        <w:bottom w:val="none" w:sz="0" w:space="0" w:color="auto"/>
        <w:right w:val="none" w:sz="0" w:space="0" w:color="auto"/>
      </w:divBdr>
    </w:div>
    <w:div w:id="1295064446">
      <w:bodyDiv w:val="1"/>
      <w:marLeft w:val="0"/>
      <w:marRight w:val="0"/>
      <w:marTop w:val="0"/>
      <w:marBottom w:val="0"/>
      <w:divBdr>
        <w:top w:val="none" w:sz="0" w:space="0" w:color="auto"/>
        <w:left w:val="none" w:sz="0" w:space="0" w:color="auto"/>
        <w:bottom w:val="none" w:sz="0" w:space="0" w:color="auto"/>
        <w:right w:val="none" w:sz="0" w:space="0" w:color="auto"/>
      </w:divBdr>
    </w:div>
    <w:div w:id="1296133896">
      <w:bodyDiv w:val="1"/>
      <w:marLeft w:val="0"/>
      <w:marRight w:val="0"/>
      <w:marTop w:val="0"/>
      <w:marBottom w:val="0"/>
      <w:divBdr>
        <w:top w:val="none" w:sz="0" w:space="0" w:color="auto"/>
        <w:left w:val="none" w:sz="0" w:space="0" w:color="auto"/>
        <w:bottom w:val="none" w:sz="0" w:space="0" w:color="auto"/>
        <w:right w:val="none" w:sz="0" w:space="0" w:color="auto"/>
      </w:divBdr>
    </w:div>
    <w:div w:id="1299846766">
      <w:bodyDiv w:val="1"/>
      <w:marLeft w:val="0"/>
      <w:marRight w:val="0"/>
      <w:marTop w:val="0"/>
      <w:marBottom w:val="0"/>
      <w:divBdr>
        <w:top w:val="none" w:sz="0" w:space="0" w:color="auto"/>
        <w:left w:val="none" w:sz="0" w:space="0" w:color="auto"/>
        <w:bottom w:val="none" w:sz="0" w:space="0" w:color="auto"/>
        <w:right w:val="none" w:sz="0" w:space="0" w:color="auto"/>
      </w:divBdr>
    </w:div>
    <w:div w:id="1311521788">
      <w:bodyDiv w:val="1"/>
      <w:marLeft w:val="0"/>
      <w:marRight w:val="0"/>
      <w:marTop w:val="0"/>
      <w:marBottom w:val="0"/>
      <w:divBdr>
        <w:top w:val="none" w:sz="0" w:space="0" w:color="auto"/>
        <w:left w:val="none" w:sz="0" w:space="0" w:color="auto"/>
        <w:bottom w:val="none" w:sz="0" w:space="0" w:color="auto"/>
        <w:right w:val="none" w:sz="0" w:space="0" w:color="auto"/>
      </w:divBdr>
    </w:div>
    <w:div w:id="1312441915">
      <w:bodyDiv w:val="1"/>
      <w:marLeft w:val="0"/>
      <w:marRight w:val="0"/>
      <w:marTop w:val="0"/>
      <w:marBottom w:val="0"/>
      <w:divBdr>
        <w:top w:val="none" w:sz="0" w:space="0" w:color="auto"/>
        <w:left w:val="none" w:sz="0" w:space="0" w:color="auto"/>
        <w:bottom w:val="none" w:sz="0" w:space="0" w:color="auto"/>
        <w:right w:val="none" w:sz="0" w:space="0" w:color="auto"/>
      </w:divBdr>
    </w:div>
    <w:div w:id="1328823359">
      <w:bodyDiv w:val="1"/>
      <w:marLeft w:val="0"/>
      <w:marRight w:val="0"/>
      <w:marTop w:val="0"/>
      <w:marBottom w:val="0"/>
      <w:divBdr>
        <w:top w:val="none" w:sz="0" w:space="0" w:color="auto"/>
        <w:left w:val="none" w:sz="0" w:space="0" w:color="auto"/>
        <w:bottom w:val="none" w:sz="0" w:space="0" w:color="auto"/>
        <w:right w:val="none" w:sz="0" w:space="0" w:color="auto"/>
      </w:divBdr>
    </w:div>
    <w:div w:id="1329212028">
      <w:bodyDiv w:val="1"/>
      <w:marLeft w:val="0"/>
      <w:marRight w:val="0"/>
      <w:marTop w:val="0"/>
      <w:marBottom w:val="0"/>
      <w:divBdr>
        <w:top w:val="none" w:sz="0" w:space="0" w:color="auto"/>
        <w:left w:val="none" w:sz="0" w:space="0" w:color="auto"/>
        <w:bottom w:val="none" w:sz="0" w:space="0" w:color="auto"/>
        <w:right w:val="none" w:sz="0" w:space="0" w:color="auto"/>
      </w:divBdr>
    </w:div>
    <w:div w:id="1338726212">
      <w:bodyDiv w:val="1"/>
      <w:marLeft w:val="0"/>
      <w:marRight w:val="0"/>
      <w:marTop w:val="0"/>
      <w:marBottom w:val="0"/>
      <w:divBdr>
        <w:top w:val="none" w:sz="0" w:space="0" w:color="auto"/>
        <w:left w:val="none" w:sz="0" w:space="0" w:color="auto"/>
        <w:bottom w:val="none" w:sz="0" w:space="0" w:color="auto"/>
        <w:right w:val="none" w:sz="0" w:space="0" w:color="auto"/>
      </w:divBdr>
    </w:div>
    <w:div w:id="1339238601">
      <w:bodyDiv w:val="1"/>
      <w:marLeft w:val="0"/>
      <w:marRight w:val="0"/>
      <w:marTop w:val="0"/>
      <w:marBottom w:val="0"/>
      <w:divBdr>
        <w:top w:val="none" w:sz="0" w:space="0" w:color="auto"/>
        <w:left w:val="none" w:sz="0" w:space="0" w:color="auto"/>
        <w:bottom w:val="none" w:sz="0" w:space="0" w:color="auto"/>
        <w:right w:val="none" w:sz="0" w:space="0" w:color="auto"/>
      </w:divBdr>
    </w:div>
    <w:div w:id="1346053936">
      <w:bodyDiv w:val="1"/>
      <w:marLeft w:val="0"/>
      <w:marRight w:val="0"/>
      <w:marTop w:val="0"/>
      <w:marBottom w:val="0"/>
      <w:divBdr>
        <w:top w:val="none" w:sz="0" w:space="0" w:color="auto"/>
        <w:left w:val="none" w:sz="0" w:space="0" w:color="auto"/>
        <w:bottom w:val="none" w:sz="0" w:space="0" w:color="auto"/>
        <w:right w:val="none" w:sz="0" w:space="0" w:color="auto"/>
      </w:divBdr>
    </w:div>
    <w:div w:id="1349020327">
      <w:bodyDiv w:val="1"/>
      <w:marLeft w:val="0"/>
      <w:marRight w:val="0"/>
      <w:marTop w:val="0"/>
      <w:marBottom w:val="0"/>
      <w:divBdr>
        <w:top w:val="none" w:sz="0" w:space="0" w:color="auto"/>
        <w:left w:val="none" w:sz="0" w:space="0" w:color="auto"/>
        <w:bottom w:val="none" w:sz="0" w:space="0" w:color="auto"/>
        <w:right w:val="none" w:sz="0" w:space="0" w:color="auto"/>
      </w:divBdr>
    </w:div>
    <w:div w:id="1349940608">
      <w:bodyDiv w:val="1"/>
      <w:marLeft w:val="0"/>
      <w:marRight w:val="0"/>
      <w:marTop w:val="0"/>
      <w:marBottom w:val="0"/>
      <w:divBdr>
        <w:top w:val="none" w:sz="0" w:space="0" w:color="auto"/>
        <w:left w:val="none" w:sz="0" w:space="0" w:color="auto"/>
        <w:bottom w:val="none" w:sz="0" w:space="0" w:color="auto"/>
        <w:right w:val="none" w:sz="0" w:space="0" w:color="auto"/>
      </w:divBdr>
    </w:div>
    <w:div w:id="1361660758">
      <w:bodyDiv w:val="1"/>
      <w:marLeft w:val="0"/>
      <w:marRight w:val="0"/>
      <w:marTop w:val="0"/>
      <w:marBottom w:val="0"/>
      <w:divBdr>
        <w:top w:val="none" w:sz="0" w:space="0" w:color="auto"/>
        <w:left w:val="none" w:sz="0" w:space="0" w:color="auto"/>
        <w:bottom w:val="none" w:sz="0" w:space="0" w:color="auto"/>
        <w:right w:val="none" w:sz="0" w:space="0" w:color="auto"/>
      </w:divBdr>
    </w:div>
    <w:div w:id="1361860714">
      <w:bodyDiv w:val="1"/>
      <w:marLeft w:val="0"/>
      <w:marRight w:val="0"/>
      <w:marTop w:val="0"/>
      <w:marBottom w:val="0"/>
      <w:divBdr>
        <w:top w:val="none" w:sz="0" w:space="0" w:color="auto"/>
        <w:left w:val="none" w:sz="0" w:space="0" w:color="auto"/>
        <w:bottom w:val="none" w:sz="0" w:space="0" w:color="auto"/>
        <w:right w:val="none" w:sz="0" w:space="0" w:color="auto"/>
      </w:divBdr>
    </w:div>
    <w:div w:id="1362171383">
      <w:bodyDiv w:val="1"/>
      <w:marLeft w:val="0"/>
      <w:marRight w:val="0"/>
      <w:marTop w:val="0"/>
      <w:marBottom w:val="0"/>
      <w:divBdr>
        <w:top w:val="none" w:sz="0" w:space="0" w:color="auto"/>
        <w:left w:val="none" w:sz="0" w:space="0" w:color="auto"/>
        <w:bottom w:val="none" w:sz="0" w:space="0" w:color="auto"/>
        <w:right w:val="none" w:sz="0" w:space="0" w:color="auto"/>
      </w:divBdr>
    </w:div>
    <w:div w:id="1366441744">
      <w:bodyDiv w:val="1"/>
      <w:marLeft w:val="0"/>
      <w:marRight w:val="0"/>
      <w:marTop w:val="0"/>
      <w:marBottom w:val="0"/>
      <w:divBdr>
        <w:top w:val="none" w:sz="0" w:space="0" w:color="auto"/>
        <w:left w:val="none" w:sz="0" w:space="0" w:color="auto"/>
        <w:bottom w:val="none" w:sz="0" w:space="0" w:color="auto"/>
        <w:right w:val="none" w:sz="0" w:space="0" w:color="auto"/>
      </w:divBdr>
    </w:div>
    <w:div w:id="1369985726">
      <w:bodyDiv w:val="1"/>
      <w:marLeft w:val="0"/>
      <w:marRight w:val="0"/>
      <w:marTop w:val="0"/>
      <w:marBottom w:val="0"/>
      <w:divBdr>
        <w:top w:val="none" w:sz="0" w:space="0" w:color="auto"/>
        <w:left w:val="none" w:sz="0" w:space="0" w:color="auto"/>
        <w:bottom w:val="none" w:sz="0" w:space="0" w:color="auto"/>
        <w:right w:val="none" w:sz="0" w:space="0" w:color="auto"/>
      </w:divBdr>
    </w:div>
    <w:div w:id="1371876501">
      <w:bodyDiv w:val="1"/>
      <w:marLeft w:val="0"/>
      <w:marRight w:val="0"/>
      <w:marTop w:val="0"/>
      <w:marBottom w:val="0"/>
      <w:divBdr>
        <w:top w:val="none" w:sz="0" w:space="0" w:color="auto"/>
        <w:left w:val="none" w:sz="0" w:space="0" w:color="auto"/>
        <w:bottom w:val="none" w:sz="0" w:space="0" w:color="auto"/>
        <w:right w:val="none" w:sz="0" w:space="0" w:color="auto"/>
      </w:divBdr>
    </w:div>
    <w:div w:id="1375346814">
      <w:bodyDiv w:val="1"/>
      <w:marLeft w:val="0"/>
      <w:marRight w:val="0"/>
      <w:marTop w:val="0"/>
      <w:marBottom w:val="0"/>
      <w:divBdr>
        <w:top w:val="none" w:sz="0" w:space="0" w:color="auto"/>
        <w:left w:val="none" w:sz="0" w:space="0" w:color="auto"/>
        <w:bottom w:val="none" w:sz="0" w:space="0" w:color="auto"/>
        <w:right w:val="none" w:sz="0" w:space="0" w:color="auto"/>
      </w:divBdr>
    </w:div>
    <w:div w:id="1377584657">
      <w:bodyDiv w:val="1"/>
      <w:marLeft w:val="0"/>
      <w:marRight w:val="0"/>
      <w:marTop w:val="0"/>
      <w:marBottom w:val="0"/>
      <w:divBdr>
        <w:top w:val="none" w:sz="0" w:space="0" w:color="auto"/>
        <w:left w:val="none" w:sz="0" w:space="0" w:color="auto"/>
        <w:bottom w:val="none" w:sz="0" w:space="0" w:color="auto"/>
        <w:right w:val="none" w:sz="0" w:space="0" w:color="auto"/>
      </w:divBdr>
    </w:div>
    <w:div w:id="1378048762">
      <w:bodyDiv w:val="1"/>
      <w:marLeft w:val="0"/>
      <w:marRight w:val="0"/>
      <w:marTop w:val="0"/>
      <w:marBottom w:val="0"/>
      <w:divBdr>
        <w:top w:val="none" w:sz="0" w:space="0" w:color="auto"/>
        <w:left w:val="none" w:sz="0" w:space="0" w:color="auto"/>
        <w:bottom w:val="none" w:sz="0" w:space="0" w:color="auto"/>
        <w:right w:val="none" w:sz="0" w:space="0" w:color="auto"/>
      </w:divBdr>
    </w:div>
    <w:div w:id="1379473934">
      <w:bodyDiv w:val="1"/>
      <w:marLeft w:val="0"/>
      <w:marRight w:val="0"/>
      <w:marTop w:val="0"/>
      <w:marBottom w:val="0"/>
      <w:divBdr>
        <w:top w:val="none" w:sz="0" w:space="0" w:color="auto"/>
        <w:left w:val="none" w:sz="0" w:space="0" w:color="auto"/>
        <w:bottom w:val="none" w:sz="0" w:space="0" w:color="auto"/>
        <w:right w:val="none" w:sz="0" w:space="0" w:color="auto"/>
      </w:divBdr>
    </w:div>
    <w:div w:id="1379478261">
      <w:bodyDiv w:val="1"/>
      <w:marLeft w:val="0"/>
      <w:marRight w:val="0"/>
      <w:marTop w:val="0"/>
      <w:marBottom w:val="0"/>
      <w:divBdr>
        <w:top w:val="none" w:sz="0" w:space="0" w:color="auto"/>
        <w:left w:val="none" w:sz="0" w:space="0" w:color="auto"/>
        <w:bottom w:val="none" w:sz="0" w:space="0" w:color="auto"/>
        <w:right w:val="none" w:sz="0" w:space="0" w:color="auto"/>
      </w:divBdr>
    </w:div>
    <w:div w:id="1379548760">
      <w:bodyDiv w:val="1"/>
      <w:marLeft w:val="0"/>
      <w:marRight w:val="0"/>
      <w:marTop w:val="0"/>
      <w:marBottom w:val="0"/>
      <w:divBdr>
        <w:top w:val="none" w:sz="0" w:space="0" w:color="auto"/>
        <w:left w:val="none" w:sz="0" w:space="0" w:color="auto"/>
        <w:bottom w:val="none" w:sz="0" w:space="0" w:color="auto"/>
        <w:right w:val="none" w:sz="0" w:space="0" w:color="auto"/>
      </w:divBdr>
    </w:div>
    <w:div w:id="1389917550">
      <w:bodyDiv w:val="1"/>
      <w:marLeft w:val="0"/>
      <w:marRight w:val="0"/>
      <w:marTop w:val="0"/>
      <w:marBottom w:val="0"/>
      <w:divBdr>
        <w:top w:val="none" w:sz="0" w:space="0" w:color="auto"/>
        <w:left w:val="none" w:sz="0" w:space="0" w:color="auto"/>
        <w:bottom w:val="none" w:sz="0" w:space="0" w:color="auto"/>
        <w:right w:val="none" w:sz="0" w:space="0" w:color="auto"/>
      </w:divBdr>
    </w:div>
    <w:div w:id="1396319347">
      <w:bodyDiv w:val="1"/>
      <w:marLeft w:val="0"/>
      <w:marRight w:val="0"/>
      <w:marTop w:val="0"/>
      <w:marBottom w:val="0"/>
      <w:divBdr>
        <w:top w:val="none" w:sz="0" w:space="0" w:color="auto"/>
        <w:left w:val="none" w:sz="0" w:space="0" w:color="auto"/>
        <w:bottom w:val="none" w:sz="0" w:space="0" w:color="auto"/>
        <w:right w:val="none" w:sz="0" w:space="0" w:color="auto"/>
      </w:divBdr>
    </w:div>
    <w:div w:id="1399280317">
      <w:bodyDiv w:val="1"/>
      <w:marLeft w:val="0"/>
      <w:marRight w:val="0"/>
      <w:marTop w:val="0"/>
      <w:marBottom w:val="0"/>
      <w:divBdr>
        <w:top w:val="none" w:sz="0" w:space="0" w:color="auto"/>
        <w:left w:val="none" w:sz="0" w:space="0" w:color="auto"/>
        <w:bottom w:val="none" w:sz="0" w:space="0" w:color="auto"/>
        <w:right w:val="none" w:sz="0" w:space="0" w:color="auto"/>
      </w:divBdr>
    </w:div>
    <w:div w:id="1410346143">
      <w:bodyDiv w:val="1"/>
      <w:marLeft w:val="0"/>
      <w:marRight w:val="0"/>
      <w:marTop w:val="0"/>
      <w:marBottom w:val="0"/>
      <w:divBdr>
        <w:top w:val="none" w:sz="0" w:space="0" w:color="auto"/>
        <w:left w:val="none" w:sz="0" w:space="0" w:color="auto"/>
        <w:bottom w:val="none" w:sz="0" w:space="0" w:color="auto"/>
        <w:right w:val="none" w:sz="0" w:space="0" w:color="auto"/>
      </w:divBdr>
      <w:divsChild>
        <w:div w:id="35006000">
          <w:marLeft w:val="0"/>
          <w:marRight w:val="0"/>
          <w:marTop w:val="0"/>
          <w:marBottom w:val="0"/>
          <w:divBdr>
            <w:top w:val="none" w:sz="0" w:space="0" w:color="auto"/>
            <w:left w:val="none" w:sz="0" w:space="0" w:color="auto"/>
            <w:bottom w:val="none" w:sz="0" w:space="0" w:color="auto"/>
            <w:right w:val="none" w:sz="0" w:space="0" w:color="auto"/>
          </w:divBdr>
        </w:div>
        <w:div w:id="35740979">
          <w:marLeft w:val="0"/>
          <w:marRight w:val="0"/>
          <w:marTop w:val="0"/>
          <w:marBottom w:val="0"/>
          <w:divBdr>
            <w:top w:val="none" w:sz="0" w:space="0" w:color="auto"/>
            <w:left w:val="none" w:sz="0" w:space="0" w:color="auto"/>
            <w:bottom w:val="none" w:sz="0" w:space="0" w:color="auto"/>
            <w:right w:val="none" w:sz="0" w:space="0" w:color="auto"/>
          </w:divBdr>
        </w:div>
        <w:div w:id="52774943">
          <w:marLeft w:val="0"/>
          <w:marRight w:val="0"/>
          <w:marTop w:val="0"/>
          <w:marBottom w:val="0"/>
          <w:divBdr>
            <w:top w:val="none" w:sz="0" w:space="0" w:color="auto"/>
            <w:left w:val="none" w:sz="0" w:space="0" w:color="auto"/>
            <w:bottom w:val="none" w:sz="0" w:space="0" w:color="auto"/>
            <w:right w:val="none" w:sz="0" w:space="0" w:color="auto"/>
          </w:divBdr>
        </w:div>
        <w:div w:id="55473732">
          <w:marLeft w:val="0"/>
          <w:marRight w:val="0"/>
          <w:marTop w:val="0"/>
          <w:marBottom w:val="0"/>
          <w:divBdr>
            <w:top w:val="none" w:sz="0" w:space="0" w:color="auto"/>
            <w:left w:val="none" w:sz="0" w:space="0" w:color="auto"/>
            <w:bottom w:val="none" w:sz="0" w:space="0" w:color="auto"/>
            <w:right w:val="none" w:sz="0" w:space="0" w:color="auto"/>
          </w:divBdr>
        </w:div>
        <w:div w:id="96945283">
          <w:marLeft w:val="0"/>
          <w:marRight w:val="0"/>
          <w:marTop w:val="0"/>
          <w:marBottom w:val="0"/>
          <w:divBdr>
            <w:top w:val="none" w:sz="0" w:space="0" w:color="auto"/>
            <w:left w:val="none" w:sz="0" w:space="0" w:color="auto"/>
            <w:bottom w:val="none" w:sz="0" w:space="0" w:color="auto"/>
            <w:right w:val="none" w:sz="0" w:space="0" w:color="auto"/>
          </w:divBdr>
        </w:div>
        <w:div w:id="98720358">
          <w:marLeft w:val="0"/>
          <w:marRight w:val="0"/>
          <w:marTop w:val="0"/>
          <w:marBottom w:val="0"/>
          <w:divBdr>
            <w:top w:val="none" w:sz="0" w:space="0" w:color="auto"/>
            <w:left w:val="none" w:sz="0" w:space="0" w:color="auto"/>
            <w:bottom w:val="none" w:sz="0" w:space="0" w:color="auto"/>
            <w:right w:val="none" w:sz="0" w:space="0" w:color="auto"/>
          </w:divBdr>
          <w:divsChild>
            <w:div w:id="968630478">
              <w:marLeft w:val="-75"/>
              <w:marRight w:val="0"/>
              <w:marTop w:val="30"/>
              <w:marBottom w:val="30"/>
              <w:divBdr>
                <w:top w:val="none" w:sz="0" w:space="0" w:color="auto"/>
                <w:left w:val="none" w:sz="0" w:space="0" w:color="auto"/>
                <w:bottom w:val="none" w:sz="0" w:space="0" w:color="auto"/>
                <w:right w:val="none" w:sz="0" w:space="0" w:color="auto"/>
              </w:divBdr>
              <w:divsChild>
                <w:div w:id="19860526">
                  <w:marLeft w:val="0"/>
                  <w:marRight w:val="0"/>
                  <w:marTop w:val="0"/>
                  <w:marBottom w:val="0"/>
                  <w:divBdr>
                    <w:top w:val="none" w:sz="0" w:space="0" w:color="auto"/>
                    <w:left w:val="none" w:sz="0" w:space="0" w:color="auto"/>
                    <w:bottom w:val="none" w:sz="0" w:space="0" w:color="auto"/>
                    <w:right w:val="none" w:sz="0" w:space="0" w:color="auto"/>
                  </w:divBdr>
                  <w:divsChild>
                    <w:div w:id="651912065">
                      <w:marLeft w:val="0"/>
                      <w:marRight w:val="0"/>
                      <w:marTop w:val="0"/>
                      <w:marBottom w:val="0"/>
                      <w:divBdr>
                        <w:top w:val="none" w:sz="0" w:space="0" w:color="auto"/>
                        <w:left w:val="none" w:sz="0" w:space="0" w:color="auto"/>
                        <w:bottom w:val="none" w:sz="0" w:space="0" w:color="auto"/>
                        <w:right w:val="none" w:sz="0" w:space="0" w:color="auto"/>
                      </w:divBdr>
                    </w:div>
                  </w:divsChild>
                </w:div>
                <w:div w:id="551697742">
                  <w:marLeft w:val="0"/>
                  <w:marRight w:val="0"/>
                  <w:marTop w:val="0"/>
                  <w:marBottom w:val="0"/>
                  <w:divBdr>
                    <w:top w:val="none" w:sz="0" w:space="0" w:color="auto"/>
                    <w:left w:val="none" w:sz="0" w:space="0" w:color="auto"/>
                    <w:bottom w:val="none" w:sz="0" w:space="0" w:color="auto"/>
                    <w:right w:val="none" w:sz="0" w:space="0" w:color="auto"/>
                  </w:divBdr>
                  <w:divsChild>
                    <w:div w:id="62146542">
                      <w:marLeft w:val="0"/>
                      <w:marRight w:val="0"/>
                      <w:marTop w:val="0"/>
                      <w:marBottom w:val="0"/>
                      <w:divBdr>
                        <w:top w:val="none" w:sz="0" w:space="0" w:color="auto"/>
                        <w:left w:val="none" w:sz="0" w:space="0" w:color="auto"/>
                        <w:bottom w:val="none" w:sz="0" w:space="0" w:color="auto"/>
                        <w:right w:val="none" w:sz="0" w:space="0" w:color="auto"/>
                      </w:divBdr>
                    </w:div>
                  </w:divsChild>
                </w:div>
                <w:div w:id="926420484">
                  <w:marLeft w:val="0"/>
                  <w:marRight w:val="0"/>
                  <w:marTop w:val="0"/>
                  <w:marBottom w:val="0"/>
                  <w:divBdr>
                    <w:top w:val="none" w:sz="0" w:space="0" w:color="auto"/>
                    <w:left w:val="none" w:sz="0" w:space="0" w:color="auto"/>
                    <w:bottom w:val="none" w:sz="0" w:space="0" w:color="auto"/>
                    <w:right w:val="none" w:sz="0" w:space="0" w:color="auto"/>
                  </w:divBdr>
                  <w:divsChild>
                    <w:div w:id="1427772415">
                      <w:marLeft w:val="0"/>
                      <w:marRight w:val="0"/>
                      <w:marTop w:val="0"/>
                      <w:marBottom w:val="0"/>
                      <w:divBdr>
                        <w:top w:val="none" w:sz="0" w:space="0" w:color="auto"/>
                        <w:left w:val="none" w:sz="0" w:space="0" w:color="auto"/>
                        <w:bottom w:val="none" w:sz="0" w:space="0" w:color="auto"/>
                        <w:right w:val="none" w:sz="0" w:space="0" w:color="auto"/>
                      </w:divBdr>
                    </w:div>
                  </w:divsChild>
                </w:div>
                <w:div w:id="952901128">
                  <w:marLeft w:val="0"/>
                  <w:marRight w:val="0"/>
                  <w:marTop w:val="0"/>
                  <w:marBottom w:val="0"/>
                  <w:divBdr>
                    <w:top w:val="none" w:sz="0" w:space="0" w:color="auto"/>
                    <w:left w:val="none" w:sz="0" w:space="0" w:color="auto"/>
                    <w:bottom w:val="none" w:sz="0" w:space="0" w:color="auto"/>
                    <w:right w:val="none" w:sz="0" w:space="0" w:color="auto"/>
                  </w:divBdr>
                  <w:divsChild>
                    <w:div w:id="1106272905">
                      <w:marLeft w:val="0"/>
                      <w:marRight w:val="0"/>
                      <w:marTop w:val="0"/>
                      <w:marBottom w:val="0"/>
                      <w:divBdr>
                        <w:top w:val="none" w:sz="0" w:space="0" w:color="auto"/>
                        <w:left w:val="none" w:sz="0" w:space="0" w:color="auto"/>
                        <w:bottom w:val="none" w:sz="0" w:space="0" w:color="auto"/>
                        <w:right w:val="none" w:sz="0" w:space="0" w:color="auto"/>
                      </w:divBdr>
                    </w:div>
                  </w:divsChild>
                </w:div>
                <w:div w:id="1027412728">
                  <w:marLeft w:val="0"/>
                  <w:marRight w:val="0"/>
                  <w:marTop w:val="0"/>
                  <w:marBottom w:val="0"/>
                  <w:divBdr>
                    <w:top w:val="none" w:sz="0" w:space="0" w:color="auto"/>
                    <w:left w:val="none" w:sz="0" w:space="0" w:color="auto"/>
                    <w:bottom w:val="none" w:sz="0" w:space="0" w:color="auto"/>
                    <w:right w:val="none" w:sz="0" w:space="0" w:color="auto"/>
                  </w:divBdr>
                  <w:divsChild>
                    <w:div w:id="1063797259">
                      <w:marLeft w:val="0"/>
                      <w:marRight w:val="0"/>
                      <w:marTop w:val="0"/>
                      <w:marBottom w:val="0"/>
                      <w:divBdr>
                        <w:top w:val="none" w:sz="0" w:space="0" w:color="auto"/>
                        <w:left w:val="none" w:sz="0" w:space="0" w:color="auto"/>
                        <w:bottom w:val="none" w:sz="0" w:space="0" w:color="auto"/>
                        <w:right w:val="none" w:sz="0" w:space="0" w:color="auto"/>
                      </w:divBdr>
                    </w:div>
                  </w:divsChild>
                </w:div>
                <w:div w:id="1099987198">
                  <w:marLeft w:val="0"/>
                  <w:marRight w:val="0"/>
                  <w:marTop w:val="0"/>
                  <w:marBottom w:val="0"/>
                  <w:divBdr>
                    <w:top w:val="none" w:sz="0" w:space="0" w:color="auto"/>
                    <w:left w:val="none" w:sz="0" w:space="0" w:color="auto"/>
                    <w:bottom w:val="none" w:sz="0" w:space="0" w:color="auto"/>
                    <w:right w:val="none" w:sz="0" w:space="0" w:color="auto"/>
                  </w:divBdr>
                  <w:divsChild>
                    <w:div w:id="1769158161">
                      <w:marLeft w:val="0"/>
                      <w:marRight w:val="0"/>
                      <w:marTop w:val="0"/>
                      <w:marBottom w:val="0"/>
                      <w:divBdr>
                        <w:top w:val="none" w:sz="0" w:space="0" w:color="auto"/>
                        <w:left w:val="none" w:sz="0" w:space="0" w:color="auto"/>
                        <w:bottom w:val="none" w:sz="0" w:space="0" w:color="auto"/>
                        <w:right w:val="none" w:sz="0" w:space="0" w:color="auto"/>
                      </w:divBdr>
                    </w:div>
                  </w:divsChild>
                </w:div>
                <w:div w:id="1208375243">
                  <w:marLeft w:val="0"/>
                  <w:marRight w:val="0"/>
                  <w:marTop w:val="0"/>
                  <w:marBottom w:val="0"/>
                  <w:divBdr>
                    <w:top w:val="none" w:sz="0" w:space="0" w:color="auto"/>
                    <w:left w:val="none" w:sz="0" w:space="0" w:color="auto"/>
                    <w:bottom w:val="none" w:sz="0" w:space="0" w:color="auto"/>
                    <w:right w:val="none" w:sz="0" w:space="0" w:color="auto"/>
                  </w:divBdr>
                  <w:divsChild>
                    <w:div w:id="1140079508">
                      <w:marLeft w:val="0"/>
                      <w:marRight w:val="0"/>
                      <w:marTop w:val="0"/>
                      <w:marBottom w:val="0"/>
                      <w:divBdr>
                        <w:top w:val="none" w:sz="0" w:space="0" w:color="auto"/>
                        <w:left w:val="none" w:sz="0" w:space="0" w:color="auto"/>
                        <w:bottom w:val="none" w:sz="0" w:space="0" w:color="auto"/>
                        <w:right w:val="none" w:sz="0" w:space="0" w:color="auto"/>
                      </w:divBdr>
                    </w:div>
                  </w:divsChild>
                </w:div>
                <w:div w:id="1314873034">
                  <w:marLeft w:val="0"/>
                  <w:marRight w:val="0"/>
                  <w:marTop w:val="0"/>
                  <w:marBottom w:val="0"/>
                  <w:divBdr>
                    <w:top w:val="none" w:sz="0" w:space="0" w:color="auto"/>
                    <w:left w:val="none" w:sz="0" w:space="0" w:color="auto"/>
                    <w:bottom w:val="none" w:sz="0" w:space="0" w:color="auto"/>
                    <w:right w:val="none" w:sz="0" w:space="0" w:color="auto"/>
                  </w:divBdr>
                  <w:divsChild>
                    <w:div w:id="1386295882">
                      <w:marLeft w:val="0"/>
                      <w:marRight w:val="0"/>
                      <w:marTop w:val="0"/>
                      <w:marBottom w:val="0"/>
                      <w:divBdr>
                        <w:top w:val="none" w:sz="0" w:space="0" w:color="auto"/>
                        <w:left w:val="none" w:sz="0" w:space="0" w:color="auto"/>
                        <w:bottom w:val="none" w:sz="0" w:space="0" w:color="auto"/>
                        <w:right w:val="none" w:sz="0" w:space="0" w:color="auto"/>
                      </w:divBdr>
                    </w:div>
                  </w:divsChild>
                </w:div>
                <w:div w:id="1467506027">
                  <w:marLeft w:val="0"/>
                  <w:marRight w:val="0"/>
                  <w:marTop w:val="0"/>
                  <w:marBottom w:val="0"/>
                  <w:divBdr>
                    <w:top w:val="none" w:sz="0" w:space="0" w:color="auto"/>
                    <w:left w:val="none" w:sz="0" w:space="0" w:color="auto"/>
                    <w:bottom w:val="none" w:sz="0" w:space="0" w:color="auto"/>
                    <w:right w:val="none" w:sz="0" w:space="0" w:color="auto"/>
                  </w:divBdr>
                  <w:divsChild>
                    <w:div w:id="559556773">
                      <w:marLeft w:val="0"/>
                      <w:marRight w:val="0"/>
                      <w:marTop w:val="0"/>
                      <w:marBottom w:val="0"/>
                      <w:divBdr>
                        <w:top w:val="none" w:sz="0" w:space="0" w:color="auto"/>
                        <w:left w:val="none" w:sz="0" w:space="0" w:color="auto"/>
                        <w:bottom w:val="none" w:sz="0" w:space="0" w:color="auto"/>
                        <w:right w:val="none" w:sz="0" w:space="0" w:color="auto"/>
                      </w:divBdr>
                    </w:div>
                  </w:divsChild>
                </w:div>
                <w:div w:id="1766420228">
                  <w:marLeft w:val="0"/>
                  <w:marRight w:val="0"/>
                  <w:marTop w:val="0"/>
                  <w:marBottom w:val="0"/>
                  <w:divBdr>
                    <w:top w:val="none" w:sz="0" w:space="0" w:color="auto"/>
                    <w:left w:val="none" w:sz="0" w:space="0" w:color="auto"/>
                    <w:bottom w:val="none" w:sz="0" w:space="0" w:color="auto"/>
                    <w:right w:val="none" w:sz="0" w:space="0" w:color="auto"/>
                  </w:divBdr>
                  <w:divsChild>
                    <w:div w:id="1763843157">
                      <w:marLeft w:val="0"/>
                      <w:marRight w:val="0"/>
                      <w:marTop w:val="0"/>
                      <w:marBottom w:val="0"/>
                      <w:divBdr>
                        <w:top w:val="none" w:sz="0" w:space="0" w:color="auto"/>
                        <w:left w:val="none" w:sz="0" w:space="0" w:color="auto"/>
                        <w:bottom w:val="none" w:sz="0" w:space="0" w:color="auto"/>
                        <w:right w:val="none" w:sz="0" w:space="0" w:color="auto"/>
                      </w:divBdr>
                    </w:div>
                  </w:divsChild>
                </w:div>
                <w:div w:id="1999264146">
                  <w:marLeft w:val="0"/>
                  <w:marRight w:val="0"/>
                  <w:marTop w:val="0"/>
                  <w:marBottom w:val="0"/>
                  <w:divBdr>
                    <w:top w:val="none" w:sz="0" w:space="0" w:color="auto"/>
                    <w:left w:val="none" w:sz="0" w:space="0" w:color="auto"/>
                    <w:bottom w:val="none" w:sz="0" w:space="0" w:color="auto"/>
                    <w:right w:val="none" w:sz="0" w:space="0" w:color="auto"/>
                  </w:divBdr>
                  <w:divsChild>
                    <w:div w:id="883979215">
                      <w:marLeft w:val="0"/>
                      <w:marRight w:val="0"/>
                      <w:marTop w:val="0"/>
                      <w:marBottom w:val="0"/>
                      <w:divBdr>
                        <w:top w:val="none" w:sz="0" w:space="0" w:color="auto"/>
                        <w:left w:val="none" w:sz="0" w:space="0" w:color="auto"/>
                        <w:bottom w:val="none" w:sz="0" w:space="0" w:color="auto"/>
                        <w:right w:val="none" w:sz="0" w:space="0" w:color="auto"/>
                      </w:divBdr>
                    </w:div>
                  </w:divsChild>
                </w:div>
                <w:div w:id="2095473235">
                  <w:marLeft w:val="0"/>
                  <w:marRight w:val="0"/>
                  <w:marTop w:val="0"/>
                  <w:marBottom w:val="0"/>
                  <w:divBdr>
                    <w:top w:val="none" w:sz="0" w:space="0" w:color="auto"/>
                    <w:left w:val="none" w:sz="0" w:space="0" w:color="auto"/>
                    <w:bottom w:val="none" w:sz="0" w:space="0" w:color="auto"/>
                    <w:right w:val="none" w:sz="0" w:space="0" w:color="auto"/>
                  </w:divBdr>
                  <w:divsChild>
                    <w:div w:id="9013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66540">
          <w:marLeft w:val="0"/>
          <w:marRight w:val="0"/>
          <w:marTop w:val="0"/>
          <w:marBottom w:val="0"/>
          <w:divBdr>
            <w:top w:val="none" w:sz="0" w:space="0" w:color="auto"/>
            <w:left w:val="none" w:sz="0" w:space="0" w:color="auto"/>
            <w:bottom w:val="none" w:sz="0" w:space="0" w:color="auto"/>
            <w:right w:val="none" w:sz="0" w:space="0" w:color="auto"/>
          </w:divBdr>
        </w:div>
        <w:div w:id="123159789">
          <w:marLeft w:val="0"/>
          <w:marRight w:val="0"/>
          <w:marTop w:val="0"/>
          <w:marBottom w:val="0"/>
          <w:divBdr>
            <w:top w:val="none" w:sz="0" w:space="0" w:color="auto"/>
            <w:left w:val="none" w:sz="0" w:space="0" w:color="auto"/>
            <w:bottom w:val="none" w:sz="0" w:space="0" w:color="auto"/>
            <w:right w:val="none" w:sz="0" w:space="0" w:color="auto"/>
          </w:divBdr>
        </w:div>
        <w:div w:id="149634528">
          <w:marLeft w:val="0"/>
          <w:marRight w:val="0"/>
          <w:marTop w:val="0"/>
          <w:marBottom w:val="0"/>
          <w:divBdr>
            <w:top w:val="none" w:sz="0" w:space="0" w:color="auto"/>
            <w:left w:val="none" w:sz="0" w:space="0" w:color="auto"/>
            <w:bottom w:val="none" w:sz="0" w:space="0" w:color="auto"/>
            <w:right w:val="none" w:sz="0" w:space="0" w:color="auto"/>
          </w:divBdr>
        </w:div>
        <w:div w:id="165366419">
          <w:marLeft w:val="0"/>
          <w:marRight w:val="0"/>
          <w:marTop w:val="0"/>
          <w:marBottom w:val="0"/>
          <w:divBdr>
            <w:top w:val="none" w:sz="0" w:space="0" w:color="auto"/>
            <w:left w:val="none" w:sz="0" w:space="0" w:color="auto"/>
            <w:bottom w:val="none" w:sz="0" w:space="0" w:color="auto"/>
            <w:right w:val="none" w:sz="0" w:space="0" w:color="auto"/>
          </w:divBdr>
        </w:div>
        <w:div w:id="201598474">
          <w:marLeft w:val="0"/>
          <w:marRight w:val="0"/>
          <w:marTop w:val="0"/>
          <w:marBottom w:val="0"/>
          <w:divBdr>
            <w:top w:val="none" w:sz="0" w:space="0" w:color="auto"/>
            <w:left w:val="none" w:sz="0" w:space="0" w:color="auto"/>
            <w:bottom w:val="none" w:sz="0" w:space="0" w:color="auto"/>
            <w:right w:val="none" w:sz="0" w:space="0" w:color="auto"/>
          </w:divBdr>
          <w:divsChild>
            <w:div w:id="76488632">
              <w:marLeft w:val="0"/>
              <w:marRight w:val="0"/>
              <w:marTop w:val="0"/>
              <w:marBottom w:val="0"/>
              <w:divBdr>
                <w:top w:val="none" w:sz="0" w:space="0" w:color="auto"/>
                <w:left w:val="none" w:sz="0" w:space="0" w:color="auto"/>
                <w:bottom w:val="none" w:sz="0" w:space="0" w:color="auto"/>
                <w:right w:val="none" w:sz="0" w:space="0" w:color="auto"/>
              </w:divBdr>
            </w:div>
            <w:div w:id="76951396">
              <w:marLeft w:val="0"/>
              <w:marRight w:val="0"/>
              <w:marTop w:val="0"/>
              <w:marBottom w:val="0"/>
              <w:divBdr>
                <w:top w:val="none" w:sz="0" w:space="0" w:color="auto"/>
                <w:left w:val="none" w:sz="0" w:space="0" w:color="auto"/>
                <w:bottom w:val="none" w:sz="0" w:space="0" w:color="auto"/>
                <w:right w:val="none" w:sz="0" w:space="0" w:color="auto"/>
              </w:divBdr>
            </w:div>
            <w:div w:id="115949911">
              <w:marLeft w:val="0"/>
              <w:marRight w:val="0"/>
              <w:marTop w:val="0"/>
              <w:marBottom w:val="0"/>
              <w:divBdr>
                <w:top w:val="none" w:sz="0" w:space="0" w:color="auto"/>
                <w:left w:val="none" w:sz="0" w:space="0" w:color="auto"/>
                <w:bottom w:val="none" w:sz="0" w:space="0" w:color="auto"/>
                <w:right w:val="none" w:sz="0" w:space="0" w:color="auto"/>
              </w:divBdr>
            </w:div>
            <w:div w:id="162206847">
              <w:marLeft w:val="0"/>
              <w:marRight w:val="0"/>
              <w:marTop w:val="0"/>
              <w:marBottom w:val="0"/>
              <w:divBdr>
                <w:top w:val="none" w:sz="0" w:space="0" w:color="auto"/>
                <w:left w:val="none" w:sz="0" w:space="0" w:color="auto"/>
                <w:bottom w:val="none" w:sz="0" w:space="0" w:color="auto"/>
                <w:right w:val="none" w:sz="0" w:space="0" w:color="auto"/>
              </w:divBdr>
            </w:div>
            <w:div w:id="208148869">
              <w:marLeft w:val="0"/>
              <w:marRight w:val="0"/>
              <w:marTop w:val="0"/>
              <w:marBottom w:val="0"/>
              <w:divBdr>
                <w:top w:val="none" w:sz="0" w:space="0" w:color="auto"/>
                <w:left w:val="none" w:sz="0" w:space="0" w:color="auto"/>
                <w:bottom w:val="none" w:sz="0" w:space="0" w:color="auto"/>
                <w:right w:val="none" w:sz="0" w:space="0" w:color="auto"/>
              </w:divBdr>
            </w:div>
            <w:div w:id="446968404">
              <w:marLeft w:val="0"/>
              <w:marRight w:val="0"/>
              <w:marTop w:val="0"/>
              <w:marBottom w:val="0"/>
              <w:divBdr>
                <w:top w:val="none" w:sz="0" w:space="0" w:color="auto"/>
                <w:left w:val="none" w:sz="0" w:space="0" w:color="auto"/>
                <w:bottom w:val="none" w:sz="0" w:space="0" w:color="auto"/>
                <w:right w:val="none" w:sz="0" w:space="0" w:color="auto"/>
              </w:divBdr>
            </w:div>
            <w:div w:id="521012988">
              <w:marLeft w:val="0"/>
              <w:marRight w:val="0"/>
              <w:marTop w:val="0"/>
              <w:marBottom w:val="0"/>
              <w:divBdr>
                <w:top w:val="none" w:sz="0" w:space="0" w:color="auto"/>
                <w:left w:val="none" w:sz="0" w:space="0" w:color="auto"/>
                <w:bottom w:val="none" w:sz="0" w:space="0" w:color="auto"/>
                <w:right w:val="none" w:sz="0" w:space="0" w:color="auto"/>
              </w:divBdr>
            </w:div>
            <w:div w:id="566841893">
              <w:marLeft w:val="0"/>
              <w:marRight w:val="0"/>
              <w:marTop w:val="0"/>
              <w:marBottom w:val="0"/>
              <w:divBdr>
                <w:top w:val="none" w:sz="0" w:space="0" w:color="auto"/>
                <w:left w:val="none" w:sz="0" w:space="0" w:color="auto"/>
                <w:bottom w:val="none" w:sz="0" w:space="0" w:color="auto"/>
                <w:right w:val="none" w:sz="0" w:space="0" w:color="auto"/>
              </w:divBdr>
            </w:div>
            <w:div w:id="920479941">
              <w:marLeft w:val="0"/>
              <w:marRight w:val="0"/>
              <w:marTop w:val="0"/>
              <w:marBottom w:val="0"/>
              <w:divBdr>
                <w:top w:val="none" w:sz="0" w:space="0" w:color="auto"/>
                <w:left w:val="none" w:sz="0" w:space="0" w:color="auto"/>
                <w:bottom w:val="none" w:sz="0" w:space="0" w:color="auto"/>
                <w:right w:val="none" w:sz="0" w:space="0" w:color="auto"/>
              </w:divBdr>
            </w:div>
            <w:div w:id="1029062368">
              <w:marLeft w:val="0"/>
              <w:marRight w:val="0"/>
              <w:marTop w:val="0"/>
              <w:marBottom w:val="0"/>
              <w:divBdr>
                <w:top w:val="none" w:sz="0" w:space="0" w:color="auto"/>
                <w:left w:val="none" w:sz="0" w:space="0" w:color="auto"/>
                <w:bottom w:val="none" w:sz="0" w:space="0" w:color="auto"/>
                <w:right w:val="none" w:sz="0" w:space="0" w:color="auto"/>
              </w:divBdr>
            </w:div>
            <w:div w:id="1091658569">
              <w:marLeft w:val="0"/>
              <w:marRight w:val="0"/>
              <w:marTop w:val="0"/>
              <w:marBottom w:val="0"/>
              <w:divBdr>
                <w:top w:val="none" w:sz="0" w:space="0" w:color="auto"/>
                <w:left w:val="none" w:sz="0" w:space="0" w:color="auto"/>
                <w:bottom w:val="none" w:sz="0" w:space="0" w:color="auto"/>
                <w:right w:val="none" w:sz="0" w:space="0" w:color="auto"/>
              </w:divBdr>
            </w:div>
            <w:div w:id="1197474086">
              <w:marLeft w:val="0"/>
              <w:marRight w:val="0"/>
              <w:marTop w:val="0"/>
              <w:marBottom w:val="0"/>
              <w:divBdr>
                <w:top w:val="none" w:sz="0" w:space="0" w:color="auto"/>
                <w:left w:val="none" w:sz="0" w:space="0" w:color="auto"/>
                <w:bottom w:val="none" w:sz="0" w:space="0" w:color="auto"/>
                <w:right w:val="none" w:sz="0" w:space="0" w:color="auto"/>
              </w:divBdr>
            </w:div>
            <w:div w:id="1290354947">
              <w:marLeft w:val="0"/>
              <w:marRight w:val="0"/>
              <w:marTop w:val="0"/>
              <w:marBottom w:val="0"/>
              <w:divBdr>
                <w:top w:val="none" w:sz="0" w:space="0" w:color="auto"/>
                <w:left w:val="none" w:sz="0" w:space="0" w:color="auto"/>
                <w:bottom w:val="none" w:sz="0" w:space="0" w:color="auto"/>
                <w:right w:val="none" w:sz="0" w:space="0" w:color="auto"/>
              </w:divBdr>
            </w:div>
            <w:div w:id="1291396839">
              <w:marLeft w:val="0"/>
              <w:marRight w:val="0"/>
              <w:marTop w:val="0"/>
              <w:marBottom w:val="0"/>
              <w:divBdr>
                <w:top w:val="none" w:sz="0" w:space="0" w:color="auto"/>
                <w:left w:val="none" w:sz="0" w:space="0" w:color="auto"/>
                <w:bottom w:val="none" w:sz="0" w:space="0" w:color="auto"/>
                <w:right w:val="none" w:sz="0" w:space="0" w:color="auto"/>
              </w:divBdr>
            </w:div>
            <w:div w:id="1373264916">
              <w:marLeft w:val="0"/>
              <w:marRight w:val="0"/>
              <w:marTop w:val="0"/>
              <w:marBottom w:val="0"/>
              <w:divBdr>
                <w:top w:val="none" w:sz="0" w:space="0" w:color="auto"/>
                <w:left w:val="none" w:sz="0" w:space="0" w:color="auto"/>
                <w:bottom w:val="none" w:sz="0" w:space="0" w:color="auto"/>
                <w:right w:val="none" w:sz="0" w:space="0" w:color="auto"/>
              </w:divBdr>
            </w:div>
            <w:div w:id="1712732496">
              <w:marLeft w:val="0"/>
              <w:marRight w:val="0"/>
              <w:marTop w:val="0"/>
              <w:marBottom w:val="0"/>
              <w:divBdr>
                <w:top w:val="none" w:sz="0" w:space="0" w:color="auto"/>
                <w:left w:val="none" w:sz="0" w:space="0" w:color="auto"/>
                <w:bottom w:val="none" w:sz="0" w:space="0" w:color="auto"/>
                <w:right w:val="none" w:sz="0" w:space="0" w:color="auto"/>
              </w:divBdr>
            </w:div>
            <w:div w:id="1818104248">
              <w:marLeft w:val="0"/>
              <w:marRight w:val="0"/>
              <w:marTop w:val="0"/>
              <w:marBottom w:val="0"/>
              <w:divBdr>
                <w:top w:val="none" w:sz="0" w:space="0" w:color="auto"/>
                <w:left w:val="none" w:sz="0" w:space="0" w:color="auto"/>
                <w:bottom w:val="none" w:sz="0" w:space="0" w:color="auto"/>
                <w:right w:val="none" w:sz="0" w:space="0" w:color="auto"/>
              </w:divBdr>
            </w:div>
            <w:div w:id="1831945518">
              <w:marLeft w:val="0"/>
              <w:marRight w:val="0"/>
              <w:marTop w:val="0"/>
              <w:marBottom w:val="0"/>
              <w:divBdr>
                <w:top w:val="none" w:sz="0" w:space="0" w:color="auto"/>
                <w:left w:val="none" w:sz="0" w:space="0" w:color="auto"/>
                <w:bottom w:val="none" w:sz="0" w:space="0" w:color="auto"/>
                <w:right w:val="none" w:sz="0" w:space="0" w:color="auto"/>
              </w:divBdr>
            </w:div>
            <w:div w:id="1925644490">
              <w:marLeft w:val="0"/>
              <w:marRight w:val="0"/>
              <w:marTop w:val="0"/>
              <w:marBottom w:val="0"/>
              <w:divBdr>
                <w:top w:val="none" w:sz="0" w:space="0" w:color="auto"/>
                <w:left w:val="none" w:sz="0" w:space="0" w:color="auto"/>
                <w:bottom w:val="none" w:sz="0" w:space="0" w:color="auto"/>
                <w:right w:val="none" w:sz="0" w:space="0" w:color="auto"/>
              </w:divBdr>
            </w:div>
            <w:div w:id="2144106541">
              <w:marLeft w:val="0"/>
              <w:marRight w:val="0"/>
              <w:marTop w:val="0"/>
              <w:marBottom w:val="0"/>
              <w:divBdr>
                <w:top w:val="none" w:sz="0" w:space="0" w:color="auto"/>
                <w:left w:val="none" w:sz="0" w:space="0" w:color="auto"/>
                <w:bottom w:val="none" w:sz="0" w:space="0" w:color="auto"/>
                <w:right w:val="none" w:sz="0" w:space="0" w:color="auto"/>
              </w:divBdr>
            </w:div>
          </w:divsChild>
        </w:div>
        <w:div w:id="207887484">
          <w:marLeft w:val="0"/>
          <w:marRight w:val="0"/>
          <w:marTop w:val="0"/>
          <w:marBottom w:val="0"/>
          <w:divBdr>
            <w:top w:val="none" w:sz="0" w:space="0" w:color="auto"/>
            <w:left w:val="none" w:sz="0" w:space="0" w:color="auto"/>
            <w:bottom w:val="none" w:sz="0" w:space="0" w:color="auto"/>
            <w:right w:val="none" w:sz="0" w:space="0" w:color="auto"/>
          </w:divBdr>
        </w:div>
        <w:div w:id="212737359">
          <w:marLeft w:val="0"/>
          <w:marRight w:val="0"/>
          <w:marTop w:val="0"/>
          <w:marBottom w:val="0"/>
          <w:divBdr>
            <w:top w:val="none" w:sz="0" w:space="0" w:color="auto"/>
            <w:left w:val="none" w:sz="0" w:space="0" w:color="auto"/>
            <w:bottom w:val="none" w:sz="0" w:space="0" w:color="auto"/>
            <w:right w:val="none" w:sz="0" w:space="0" w:color="auto"/>
          </w:divBdr>
        </w:div>
        <w:div w:id="221067726">
          <w:marLeft w:val="0"/>
          <w:marRight w:val="0"/>
          <w:marTop w:val="0"/>
          <w:marBottom w:val="0"/>
          <w:divBdr>
            <w:top w:val="none" w:sz="0" w:space="0" w:color="auto"/>
            <w:left w:val="none" w:sz="0" w:space="0" w:color="auto"/>
            <w:bottom w:val="none" w:sz="0" w:space="0" w:color="auto"/>
            <w:right w:val="none" w:sz="0" w:space="0" w:color="auto"/>
          </w:divBdr>
        </w:div>
        <w:div w:id="240680400">
          <w:marLeft w:val="0"/>
          <w:marRight w:val="0"/>
          <w:marTop w:val="0"/>
          <w:marBottom w:val="0"/>
          <w:divBdr>
            <w:top w:val="none" w:sz="0" w:space="0" w:color="auto"/>
            <w:left w:val="none" w:sz="0" w:space="0" w:color="auto"/>
            <w:bottom w:val="none" w:sz="0" w:space="0" w:color="auto"/>
            <w:right w:val="none" w:sz="0" w:space="0" w:color="auto"/>
          </w:divBdr>
        </w:div>
        <w:div w:id="242380065">
          <w:marLeft w:val="0"/>
          <w:marRight w:val="0"/>
          <w:marTop w:val="0"/>
          <w:marBottom w:val="0"/>
          <w:divBdr>
            <w:top w:val="none" w:sz="0" w:space="0" w:color="auto"/>
            <w:left w:val="none" w:sz="0" w:space="0" w:color="auto"/>
            <w:bottom w:val="none" w:sz="0" w:space="0" w:color="auto"/>
            <w:right w:val="none" w:sz="0" w:space="0" w:color="auto"/>
          </w:divBdr>
        </w:div>
        <w:div w:id="262960304">
          <w:marLeft w:val="0"/>
          <w:marRight w:val="0"/>
          <w:marTop w:val="0"/>
          <w:marBottom w:val="0"/>
          <w:divBdr>
            <w:top w:val="none" w:sz="0" w:space="0" w:color="auto"/>
            <w:left w:val="none" w:sz="0" w:space="0" w:color="auto"/>
            <w:bottom w:val="none" w:sz="0" w:space="0" w:color="auto"/>
            <w:right w:val="none" w:sz="0" w:space="0" w:color="auto"/>
          </w:divBdr>
        </w:div>
        <w:div w:id="284846127">
          <w:marLeft w:val="0"/>
          <w:marRight w:val="0"/>
          <w:marTop w:val="0"/>
          <w:marBottom w:val="0"/>
          <w:divBdr>
            <w:top w:val="none" w:sz="0" w:space="0" w:color="auto"/>
            <w:left w:val="none" w:sz="0" w:space="0" w:color="auto"/>
            <w:bottom w:val="none" w:sz="0" w:space="0" w:color="auto"/>
            <w:right w:val="none" w:sz="0" w:space="0" w:color="auto"/>
          </w:divBdr>
        </w:div>
        <w:div w:id="292903379">
          <w:marLeft w:val="0"/>
          <w:marRight w:val="0"/>
          <w:marTop w:val="0"/>
          <w:marBottom w:val="0"/>
          <w:divBdr>
            <w:top w:val="none" w:sz="0" w:space="0" w:color="auto"/>
            <w:left w:val="none" w:sz="0" w:space="0" w:color="auto"/>
            <w:bottom w:val="none" w:sz="0" w:space="0" w:color="auto"/>
            <w:right w:val="none" w:sz="0" w:space="0" w:color="auto"/>
          </w:divBdr>
          <w:divsChild>
            <w:div w:id="352003905">
              <w:marLeft w:val="0"/>
              <w:marRight w:val="0"/>
              <w:marTop w:val="0"/>
              <w:marBottom w:val="0"/>
              <w:divBdr>
                <w:top w:val="none" w:sz="0" w:space="0" w:color="auto"/>
                <w:left w:val="none" w:sz="0" w:space="0" w:color="auto"/>
                <w:bottom w:val="none" w:sz="0" w:space="0" w:color="auto"/>
                <w:right w:val="none" w:sz="0" w:space="0" w:color="auto"/>
              </w:divBdr>
            </w:div>
            <w:div w:id="417943846">
              <w:marLeft w:val="0"/>
              <w:marRight w:val="0"/>
              <w:marTop w:val="0"/>
              <w:marBottom w:val="0"/>
              <w:divBdr>
                <w:top w:val="none" w:sz="0" w:space="0" w:color="auto"/>
                <w:left w:val="none" w:sz="0" w:space="0" w:color="auto"/>
                <w:bottom w:val="none" w:sz="0" w:space="0" w:color="auto"/>
                <w:right w:val="none" w:sz="0" w:space="0" w:color="auto"/>
              </w:divBdr>
            </w:div>
            <w:div w:id="480465162">
              <w:marLeft w:val="0"/>
              <w:marRight w:val="0"/>
              <w:marTop w:val="0"/>
              <w:marBottom w:val="0"/>
              <w:divBdr>
                <w:top w:val="none" w:sz="0" w:space="0" w:color="auto"/>
                <w:left w:val="none" w:sz="0" w:space="0" w:color="auto"/>
                <w:bottom w:val="none" w:sz="0" w:space="0" w:color="auto"/>
                <w:right w:val="none" w:sz="0" w:space="0" w:color="auto"/>
              </w:divBdr>
            </w:div>
            <w:div w:id="501698544">
              <w:marLeft w:val="0"/>
              <w:marRight w:val="0"/>
              <w:marTop w:val="0"/>
              <w:marBottom w:val="0"/>
              <w:divBdr>
                <w:top w:val="none" w:sz="0" w:space="0" w:color="auto"/>
                <w:left w:val="none" w:sz="0" w:space="0" w:color="auto"/>
                <w:bottom w:val="none" w:sz="0" w:space="0" w:color="auto"/>
                <w:right w:val="none" w:sz="0" w:space="0" w:color="auto"/>
              </w:divBdr>
            </w:div>
            <w:div w:id="626471937">
              <w:marLeft w:val="0"/>
              <w:marRight w:val="0"/>
              <w:marTop w:val="0"/>
              <w:marBottom w:val="0"/>
              <w:divBdr>
                <w:top w:val="none" w:sz="0" w:space="0" w:color="auto"/>
                <w:left w:val="none" w:sz="0" w:space="0" w:color="auto"/>
                <w:bottom w:val="none" w:sz="0" w:space="0" w:color="auto"/>
                <w:right w:val="none" w:sz="0" w:space="0" w:color="auto"/>
              </w:divBdr>
            </w:div>
            <w:div w:id="662973519">
              <w:marLeft w:val="0"/>
              <w:marRight w:val="0"/>
              <w:marTop w:val="0"/>
              <w:marBottom w:val="0"/>
              <w:divBdr>
                <w:top w:val="none" w:sz="0" w:space="0" w:color="auto"/>
                <w:left w:val="none" w:sz="0" w:space="0" w:color="auto"/>
                <w:bottom w:val="none" w:sz="0" w:space="0" w:color="auto"/>
                <w:right w:val="none" w:sz="0" w:space="0" w:color="auto"/>
              </w:divBdr>
            </w:div>
            <w:div w:id="797800551">
              <w:marLeft w:val="0"/>
              <w:marRight w:val="0"/>
              <w:marTop w:val="0"/>
              <w:marBottom w:val="0"/>
              <w:divBdr>
                <w:top w:val="none" w:sz="0" w:space="0" w:color="auto"/>
                <w:left w:val="none" w:sz="0" w:space="0" w:color="auto"/>
                <w:bottom w:val="none" w:sz="0" w:space="0" w:color="auto"/>
                <w:right w:val="none" w:sz="0" w:space="0" w:color="auto"/>
              </w:divBdr>
            </w:div>
            <w:div w:id="804158365">
              <w:marLeft w:val="0"/>
              <w:marRight w:val="0"/>
              <w:marTop w:val="0"/>
              <w:marBottom w:val="0"/>
              <w:divBdr>
                <w:top w:val="none" w:sz="0" w:space="0" w:color="auto"/>
                <w:left w:val="none" w:sz="0" w:space="0" w:color="auto"/>
                <w:bottom w:val="none" w:sz="0" w:space="0" w:color="auto"/>
                <w:right w:val="none" w:sz="0" w:space="0" w:color="auto"/>
              </w:divBdr>
            </w:div>
            <w:div w:id="814220158">
              <w:marLeft w:val="0"/>
              <w:marRight w:val="0"/>
              <w:marTop w:val="0"/>
              <w:marBottom w:val="0"/>
              <w:divBdr>
                <w:top w:val="none" w:sz="0" w:space="0" w:color="auto"/>
                <w:left w:val="none" w:sz="0" w:space="0" w:color="auto"/>
                <w:bottom w:val="none" w:sz="0" w:space="0" w:color="auto"/>
                <w:right w:val="none" w:sz="0" w:space="0" w:color="auto"/>
              </w:divBdr>
            </w:div>
            <w:div w:id="1362975511">
              <w:marLeft w:val="0"/>
              <w:marRight w:val="0"/>
              <w:marTop w:val="0"/>
              <w:marBottom w:val="0"/>
              <w:divBdr>
                <w:top w:val="none" w:sz="0" w:space="0" w:color="auto"/>
                <w:left w:val="none" w:sz="0" w:space="0" w:color="auto"/>
                <w:bottom w:val="none" w:sz="0" w:space="0" w:color="auto"/>
                <w:right w:val="none" w:sz="0" w:space="0" w:color="auto"/>
              </w:divBdr>
            </w:div>
            <w:div w:id="1374619851">
              <w:marLeft w:val="0"/>
              <w:marRight w:val="0"/>
              <w:marTop w:val="0"/>
              <w:marBottom w:val="0"/>
              <w:divBdr>
                <w:top w:val="none" w:sz="0" w:space="0" w:color="auto"/>
                <w:left w:val="none" w:sz="0" w:space="0" w:color="auto"/>
                <w:bottom w:val="none" w:sz="0" w:space="0" w:color="auto"/>
                <w:right w:val="none" w:sz="0" w:space="0" w:color="auto"/>
              </w:divBdr>
            </w:div>
            <w:div w:id="1537304415">
              <w:marLeft w:val="0"/>
              <w:marRight w:val="0"/>
              <w:marTop w:val="0"/>
              <w:marBottom w:val="0"/>
              <w:divBdr>
                <w:top w:val="none" w:sz="0" w:space="0" w:color="auto"/>
                <w:left w:val="none" w:sz="0" w:space="0" w:color="auto"/>
                <w:bottom w:val="none" w:sz="0" w:space="0" w:color="auto"/>
                <w:right w:val="none" w:sz="0" w:space="0" w:color="auto"/>
              </w:divBdr>
            </w:div>
            <w:div w:id="1640115285">
              <w:marLeft w:val="0"/>
              <w:marRight w:val="0"/>
              <w:marTop w:val="0"/>
              <w:marBottom w:val="0"/>
              <w:divBdr>
                <w:top w:val="none" w:sz="0" w:space="0" w:color="auto"/>
                <w:left w:val="none" w:sz="0" w:space="0" w:color="auto"/>
                <w:bottom w:val="none" w:sz="0" w:space="0" w:color="auto"/>
                <w:right w:val="none" w:sz="0" w:space="0" w:color="auto"/>
              </w:divBdr>
            </w:div>
            <w:div w:id="1780025836">
              <w:marLeft w:val="0"/>
              <w:marRight w:val="0"/>
              <w:marTop w:val="0"/>
              <w:marBottom w:val="0"/>
              <w:divBdr>
                <w:top w:val="none" w:sz="0" w:space="0" w:color="auto"/>
                <w:left w:val="none" w:sz="0" w:space="0" w:color="auto"/>
                <w:bottom w:val="none" w:sz="0" w:space="0" w:color="auto"/>
                <w:right w:val="none" w:sz="0" w:space="0" w:color="auto"/>
              </w:divBdr>
            </w:div>
            <w:div w:id="1825927844">
              <w:marLeft w:val="0"/>
              <w:marRight w:val="0"/>
              <w:marTop w:val="0"/>
              <w:marBottom w:val="0"/>
              <w:divBdr>
                <w:top w:val="none" w:sz="0" w:space="0" w:color="auto"/>
                <w:left w:val="none" w:sz="0" w:space="0" w:color="auto"/>
                <w:bottom w:val="none" w:sz="0" w:space="0" w:color="auto"/>
                <w:right w:val="none" w:sz="0" w:space="0" w:color="auto"/>
              </w:divBdr>
            </w:div>
            <w:div w:id="1833717934">
              <w:marLeft w:val="0"/>
              <w:marRight w:val="0"/>
              <w:marTop w:val="0"/>
              <w:marBottom w:val="0"/>
              <w:divBdr>
                <w:top w:val="none" w:sz="0" w:space="0" w:color="auto"/>
                <w:left w:val="none" w:sz="0" w:space="0" w:color="auto"/>
                <w:bottom w:val="none" w:sz="0" w:space="0" w:color="auto"/>
                <w:right w:val="none" w:sz="0" w:space="0" w:color="auto"/>
              </w:divBdr>
            </w:div>
          </w:divsChild>
        </w:div>
        <w:div w:id="309670744">
          <w:marLeft w:val="0"/>
          <w:marRight w:val="0"/>
          <w:marTop w:val="0"/>
          <w:marBottom w:val="0"/>
          <w:divBdr>
            <w:top w:val="none" w:sz="0" w:space="0" w:color="auto"/>
            <w:left w:val="none" w:sz="0" w:space="0" w:color="auto"/>
            <w:bottom w:val="none" w:sz="0" w:space="0" w:color="auto"/>
            <w:right w:val="none" w:sz="0" w:space="0" w:color="auto"/>
          </w:divBdr>
        </w:div>
        <w:div w:id="330377604">
          <w:marLeft w:val="0"/>
          <w:marRight w:val="0"/>
          <w:marTop w:val="0"/>
          <w:marBottom w:val="0"/>
          <w:divBdr>
            <w:top w:val="none" w:sz="0" w:space="0" w:color="auto"/>
            <w:left w:val="none" w:sz="0" w:space="0" w:color="auto"/>
            <w:bottom w:val="none" w:sz="0" w:space="0" w:color="auto"/>
            <w:right w:val="none" w:sz="0" w:space="0" w:color="auto"/>
          </w:divBdr>
          <w:divsChild>
            <w:div w:id="117726415">
              <w:marLeft w:val="0"/>
              <w:marRight w:val="0"/>
              <w:marTop w:val="0"/>
              <w:marBottom w:val="0"/>
              <w:divBdr>
                <w:top w:val="none" w:sz="0" w:space="0" w:color="auto"/>
                <w:left w:val="none" w:sz="0" w:space="0" w:color="auto"/>
                <w:bottom w:val="none" w:sz="0" w:space="0" w:color="auto"/>
                <w:right w:val="none" w:sz="0" w:space="0" w:color="auto"/>
              </w:divBdr>
            </w:div>
            <w:div w:id="200435943">
              <w:marLeft w:val="0"/>
              <w:marRight w:val="0"/>
              <w:marTop w:val="0"/>
              <w:marBottom w:val="0"/>
              <w:divBdr>
                <w:top w:val="none" w:sz="0" w:space="0" w:color="auto"/>
                <w:left w:val="none" w:sz="0" w:space="0" w:color="auto"/>
                <w:bottom w:val="none" w:sz="0" w:space="0" w:color="auto"/>
                <w:right w:val="none" w:sz="0" w:space="0" w:color="auto"/>
              </w:divBdr>
            </w:div>
            <w:div w:id="284822411">
              <w:marLeft w:val="0"/>
              <w:marRight w:val="0"/>
              <w:marTop w:val="0"/>
              <w:marBottom w:val="0"/>
              <w:divBdr>
                <w:top w:val="none" w:sz="0" w:space="0" w:color="auto"/>
                <w:left w:val="none" w:sz="0" w:space="0" w:color="auto"/>
                <w:bottom w:val="none" w:sz="0" w:space="0" w:color="auto"/>
                <w:right w:val="none" w:sz="0" w:space="0" w:color="auto"/>
              </w:divBdr>
            </w:div>
            <w:div w:id="348217459">
              <w:marLeft w:val="0"/>
              <w:marRight w:val="0"/>
              <w:marTop w:val="0"/>
              <w:marBottom w:val="0"/>
              <w:divBdr>
                <w:top w:val="none" w:sz="0" w:space="0" w:color="auto"/>
                <w:left w:val="none" w:sz="0" w:space="0" w:color="auto"/>
                <w:bottom w:val="none" w:sz="0" w:space="0" w:color="auto"/>
                <w:right w:val="none" w:sz="0" w:space="0" w:color="auto"/>
              </w:divBdr>
            </w:div>
            <w:div w:id="407192657">
              <w:marLeft w:val="0"/>
              <w:marRight w:val="0"/>
              <w:marTop w:val="0"/>
              <w:marBottom w:val="0"/>
              <w:divBdr>
                <w:top w:val="none" w:sz="0" w:space="0" w:color="auto"/>
                <w:left w:val="none" w:sz="0" w:space="0" w:color="auto"/>
                <w:bottom w:val="none" w:sz="0" w:space="0" w:color="auto"/>
                <w:right w:val="none" w:sz="0" w:space="0" w:color="auto"/>
              </w:divBdr>
            </w:div>
            <w:div w:id="580331722">
              <w:marLeft w:val="0"/>
              <w:marRight w:val="0"/>
              <w:marTop w:val="0"/>
              <w:marBottom w:val="0"/>
              <w:divBdr>
                <w:top w:val="none" w:sz="0" w:space="0" w:color="auto"/>
                <w:left w:val="none" w:sz="0" w:space="0" w:color="auto"/>
                <w:bottom w:val="none" w:sz="0" w:space="0" w:color="auto"/>
                <w:right w:val="none" w:sz="0" w:space="0" w:color="auto"/>
              </w:divBdr>
            </w:div>
            <w:div w:id="639305871">
              <w:marLeft w:val="0"/>
              <w:marRight w:val="0"/>
              <w:marTop w:val="0"/>
              <w:marBottom w:val="0"/>
              <w:divBdr>
                <w:top w:val="none" w:sz="0" w:space="0" w:color="auto"/>
                <w:left w:val="none" w:sz="0" w:space="0" w:color="auto"/>
                <w:bottom w:val="none" w:sz="0" w:space="0" w:color="auto"/>
                <w:right w:val="none" w:sz="0" w:space="0" w:color="auto"/>
              </w:divBdr>
            </w:div>
            <w:div w:id="745953291">
              <w:marLeft w:val="0"/>
              <w:marRight w:val="0"/>
              <w:marTop w:val="0"/>
              <w:marBottom w:val="0"/>
              <w:divBdr>
                <w:top w:val="none" w:sz="0" w:space="0" w:color="auto"/>
                <w:left w:val="none" w:sz="0" w:space="0" w:color="auto"/>
                <w:bottom w:val="none" w:sz="0" w:space="0" w:color="auto"/>
                <w:right w:val="none" w:sz="0" w:space="0" w:color="auto"/>
              </w:divBdr>
            </w:div>
            <w:div w:id="901450536">
              <w:marLeft w:val="0"/>
              <w:marRight w:val="0"/>
              <w:marTop w:val="0"/>
              <w:marBottom w:val="0"/>
              <w:divBdr>
                <w:top w:val="none" w:sz="0" w:space="0" w:color="auto"/>
                <w:left w:val="none" w:sz="0" w:space="0" w:color="auto"/>
                <w:bottom w:val="none" w:sz="0" w:space="0" w:color="auto"/>
                <w:right w:val="none" w:sz="0" w:space="0" w:color="auto"/>
              </w:divBdr>
            </w:div>
            <w:div w:id="948783005">
              <w:marLeft w:val="0"/>
              <w:marRight w:val="0"/>
              <w:marTop w:val="0"/>
              <w:marBottom w:val="0"/>
              <w:divBdr>
                <w:top w:val="none" w:sz="0" w:space="0" w:color="auto"/>
                <w:left w:val="none" w:sz="0" w:space="0" w:color="auto"/>
                <w:bottom w:val="none" w:sz="0" w:space="0" w:color="auto"/>
                <w:right w:val="none" w:sz="0" w:space="0" w:color="auto"/>
              </w:divBdr>
            </w:div>
            <w:div w:id="1170098332">
              <w:marLeft w:val="0"/>
              <w:marRight w:val="0"/>
              <w:marTop w:val="0"/>
              <w:marBottom w:val="0"/>
              <w:divBdr>
                <w:top w:val="none" w:sz="0" w:space="0" w:color="auto"/>
                <w:left w:val="none" w:sz="0" w:space="0" w:color="auto"/>
                <w:bottom w:val="none" w:sz="0" w:space="0" w:color="auto"/>
                <w:right w:val="none" w:sz="0" w:space="0" w:color="auto"/>
              </w:divBdr>
            </w:div>
            <w:div w:id="1278220974">
              <w:marLeft w:val="0"/>
              <w:marRight w:val="0"/>
              <w:marTop w:val="0"/>
              <w:marBottom w:val="0"/>
              <w:divBdr>
                <w:top w:val="none" w:sz="0" w:space="0" w:color="auto"/>
                <w:left w:val="none" w:sz="0" w:space="0" w:color="auto"/>
                <w:bottom w:val="none" w:sz="0" w:space="0" w:color="auto"/>
                <w:right w:val="none" w:sz="0" w:space="0" w:color="auto"/>
              </w:divBdr>
            </w:div>
            <w:div w:id="1316686836">
              <w:marLeft w:val="0"/>
              <w:marRight w:val="0"/>
              <w:marTop w:val="0"/>
              <w:marBottom w:val="0"/>
              <w:divBdr>
                <w:top w:val="none" w:sz="0" w:space="0" w:color="auto"/>
                <w:left w:val="none" w:sz="0" w:space="0" w:color="auto"/>
                <w:bottom w:val="none" w:sz="0" w:space="0" w:color="auto"/>
                <w:right w:val="none" w:sz="0" w:space="0" w:color="auto"/>
              </w:divBdr>
            </w:div>
            <w:div w:id="1320383154">
              <w:marLeft w:val="0"/>
              <w:marRight w:val="0"/>
              <w:marTop w:val="0"/>
              <w:marBottom w:val="0"/>
              <w:divBdr>
                <w:top w:val="none" w:sz="0" w:space="0" w:color="auto"/>
                <w:left w:val="none" w:sz="0" w:space="0" w:color="auto"/>
                <w:bottom w:val="none" w:sz="0" w:space="0" w:color="auto"/>
                <w:right w:val="none" w:sz="0" w:space="0" w:color="auto"/>
              </w:divBdr>
            </w:div>
            <w:div w:id="1360082725">
              <w:marLeft w:val="0"/>
              <w:marRight w:val="0"/>
              <w:marTop w:val="0"/>
              <w:marBottom w:val="0"/>
              <w:divBdr>
                <w:top w:val="none" w:sz="0" w:space="0" w:color="auto"/>
                <w:left w:val="none" w:sz="0" w:space="0" w:color="auto"/>
                <w:bottom w:val="none" w:sz="0" w:space="0" w:color="auto"/>
                <w:right w:val="none" w:sz="0" w:space="0" w:color="auto"/>
              </w:divBdr>
            </w:div>
            <w:div w:id="1572042852">
              <w:marLeft w:val="0"/>
              <w:marRight w:val="0"/>
              <w:marTop w:val="0"/>
              <w:marBottom w:val="0"/>
              <w:divBdr>
                <w:top w:val="none" w:sz="0" w:space="0" w:color="auto"/>
                <w:left w:val="none" w:sz="0" w:space="0" w:color="auto"/>
                <w:bottom w:val="none" w:sz="0" w:space="0" w:color="auto"/>
                <w:right w:val="none" w:sz="0" w:space="0" w:color="auto"/>
              </w:divBdr>
            </w:div>
            <w:div w:id="1658917573">
              <w:marLeft w:val="0"/>
              <w:marRight w:val="0"/>
              <w:marTop w:val="0"/>
              <w:marBottom w:val="0"/>
              <w:divBdr>
                <w:top w:val="none" w:sz="0" w:space="0" w:color="auto"/>
                <w:left w:val="none" w:sz="0" w:space="0" w:color="auto"/>
                <w:bottom w:val="none" w:sz="0" w:space="0" w:color="auto"/>
                <w:right w:val="none" w:sz="0" w:space="0" w:color="auto"/>
              </w:divBdr>
            </w:div>
            <w:div w:id="1688870855">
              <w:marLeft w:val="0"/>
              <w:marRight w:val="0"/>
              <w:marTop w:val="0"/>
              <w:marBottom w:val="0"/>
              <w:divBdr>
                <w:top w:val="none" w:sz="0" w:space="0" w:color="auto"/>
                <w:left w:val="none" w:sz="0" w:space="0" w:color="auto"/>
                <w:bottom w:val="none" w:sz="0" w:space="0" w:color="auto"/>
                <w:right w:val="none" w:sz="0" w:space="0" w:color="auto"/>
              </w:divBdr>
            </w:div>
            <w:div w:id="1698046920">
              <w:marLeft w:val="0"/>
              <w:marRight w:val="0"/>
              <w:marTop w:val="0"/>
              <w:marBottom w:val="0"/>
              <w:divBdr>
                <w:top w:val="none" w:sz="0" w:space="0" w:color="auto"/>
                <w:left w:val="none" w:sz="0" w:space="0" w:color="auto"/>
                <w:bottom w:val="none" w:sz="0" w:space="0" w:color="auto"/>
                <w:right w:val="none" w:sz="0" w:space="0" w:color="auto"/>
              </w:divBdr>
            </w:div>
            <w:div w:id="1766802317">
              <w:marLeft w:val="0"/>
              <w:marRight w:val="0"/>
              <w:marTop w:val="0"/>
              <w:marBottom w:val="0"/>
              <w:divBdr>
                <w:top w:val="none" w:sz="0" w:space="0" w:color="auto"/>
                <w:left w:val="none" w:sz="0" w:space="0" w:color="auto"/>
                <w:bottom w:val="none" w:sz="0" w:space="0" w:color="auto"/>
                <w:right w:val="none" w:sz="0" w:space="0" w:color="auto"/>
              </w:divBdr>
            </w:div>
          </w:divsChild>
        </w:div>
        <w:div w:id="340281848">
          <w:marLeft w:val="0"/>
          <w:marRight w:val="0"/>
          <w:marTop w:val="0"/>
          <w:marBottom w:val="0"/>
          <w:divBdr>
            <w:top w:val="none" w:sz="0" w:space="0" w:color="auto"/>
            <w:left w:val="none" w:sz="0" w:space="0" w:color="auto"/>
            <w:bottom w:val="none" w:sz="0" w:space="0" w:color="auto"/>
            <w:right w:val="none" w:sz="0" w:space="0" w:color="auto"/>
          </w:divBdr>
        </w:div>
        <w:div w:id="372466831">
          <w:marLeft w:val="0"/>
          <w:marRight w:val="0"/>
          <w:marTop w:val="0"/>
          <w:marBottom w:val="0"/>
          <w:divBdr>
            <w:top w:val="none" w:sz="0" w:space="0" w:color="auto"/>
            <w:left w:val="none" w:sz="0" w:space="0" w:color="auto"/>
            <w:bottom w:val="none" w:sz="0" w:space="0" w:color="auto"/>
            <w:right w:val="none" w:sz="0" w:space="0" w:color="auto"/>
          </w:divBdr>
        </w:div>
        <w:div w:id="375473411">
          <w:marLeft w:val="0"/>
          <w:marRight w:val="0"/>
          <w:marTop w:val="0"/>
          <w:marBottom w:val="0"/>
          <w:divBdr>
            <w:top w:val="none" w:sz="0" w:space="0" w:color="auto"/>
            <w:left w:val="none" w:sz="0" w:space="0" w:color="auto"/>
            <w:bottom w:val="none" w:sz="0" w:space="0" w:color="auto"/>
            <w:right w:val="none" w:sz="0" w:space="0" w:color="auto"/>
          </w:divBdr>
        </w:div>
        <w:div w:id="445003976">
          <w:marLeft w:val="0"/>
          <w:marRight w:val="0"/>
          <w:marTop w:val="0"/>
          <w:marBottom w:val="0"/>
          <w:divBdr>
            <w:top w:val="none" w:sz="0" w:space="0" w:color="auto"/>
            <w:left w:val="none" w:sz="0" w:space="0" w:color="auto"/>
            <w:bottom w:val="none" w:sz="0" w:space="0" w:color="auto"/>
            <w:right w:val="none" w:sz="0" w:space="0" w:color="auto"/>
          </w:divBdr>
        </w:div>
        <w:div w:id="458039913">
          <w:marLeft w:val="0"/>
          <w:marRight w:val="0"/>
          <w:marTop w:val="0"/>
          <w:marBottom w:val="0"/>
          <w:divBdr>
            <w:top w:val="none" w:sz="0" w:space="0" w:color="auto"/>
            <w:left w:val="none" w:sz="0" w:space="0" w:color="auto"/>
            <w:bottom w:val="none" w:sz="0" w:space="0" w:color="auto"/>
            <w:right w:val="none" w:sz="0" w:space="0" w:color="auto"/>
          </w:divBdr>
        </w:div>
        <w:div w:id="480344453">
          <w:marLeft w:val="0"/>
          <w:marRight w:val="0"/>
          <w:marTop w:val="0"/>
          <w:marBottom w:val="0"/>
          <w:divBdr>
            <w:top w:val="none" w:sz="0" w:space="0" w:color="auto"/>
            <w:left w:val="none" w:sz="0" w:space="0" w:color="auto"/>
            <w:bottom w:val="none" w:sz="0" w:space="0" w:color="auto"/>
            <w:right w:val="none" w:sz="0" w:space="0" w:color="auto"/>
          </w:divBdr>
        </w:div>
        <w:div w:id="556747500">
          <w:marLeft w:val="0"/>
          <w:marRight w:val="0"/>
          <w:marTop w:val="0"/>
          <w:marBottom w:val="0"/>
          <w:divBdr>
            <w:top w:val="none" w:sz="0" w:space="0" w:color="auto"/>
            <w:left w:val="none" w:sz="0" w:space="0" w:color="auto"/>
            <w:bottom w:val="none" w:sz="0" w:space="0" w:color="auto"/>
            <w:right w:val="none" w:sz="0" w:space="0" w:color="auto"/>
          </w:divBdr>
        </w:div>
        <w:div w:id="571893707">
          <w:marLeft w:val="0"/>
          <w:marRight w:val="0"/>
          <w:marTop w:val="0"/>
          <w:marBottom w:val="0"/>
          <w:divBdr>
            <w:top w:val="none" w:sz="0" w:space="0" w:color="auto"/>
            <w:left w:val="none" w:sz="0" w:space="0" w:color="auto"/>
            <w:bottom w:val="none" w:sz="0" w:space="0" w:color="auto"/>
            <w:right w:val="none" w:sz="0" w:space="0" w:color="auto"/>
          </w:divBdr>
        </w:div>
        <w:div w:id="581640592">
          <w:marLeft w:val="0"/>
          <w:marRight w:val="0"/>
          <w:marTop w:val="0"/>
          <w:marBottom w:val="0"/>
          <w:divBdr>
            <w:top w:val="none" w:sz="0" w:space="0" w:color="auto"/>
            <w:left w:val="none" w:sz="0" w:space="0" w:color="auto"/>
            <w:bottom w:val="none" w:sz="0" w:space="0" w:color="auto"/>
            <w:right w:val="none" w:sz="0" w:space="0" w:color="auto"/>
          </w:divBdr>
        </w:div>
        <w:div w:id="586620690">
          <w:marLeft w:val="0"/>
          <w:marRight w:val="0"/>
          <w:marTop w:val="0"/>
          <w:marBottom w:val="0"/>
          <w:divBdr>
            <w:top w:val="none" w:sz="0" w:space="0" w:color="auto"/>
            <w:left w:val="none" w:sz="0" w:space="0" w:color="auto"/>
            <w:bottom w:val="none" w:sz="0" w:space="0" w:color="auto"/>
            <w:right w:val="none" w:sz="0" w:space="0" w:color="auto"/>
          </w:divBdr>
        </w:div>
        <w:div w:id="612059219">
          <w:marLeft w:val="0"/>
          <w:marRight w:val="0"/>
          <w:marTop w:val="0"/>
          <w:marBottom w:val="0"/>
          <w:divBdr>
            <w:top w:val="none" w:sz="0" w:space="0" w:color="auto"/>
            <w:left w:val="none" w:sz="0" w:space="0" w:color="auto"/>
            <w:bottom w:val="none" w:sz="0" w:space="0" w:color="auto"/>
            <w:right w:val="none" w:sz="0" w:space="0" w:color="auto"/>
          </w:divBdr>
        </w:div>
        <w:div w:id="617756310">
          <w:marLeft w:val="0"/>
          <w:marRight w:val="0"/>
          <w:marTop w:val="0"/>
          <w:marBottom w:val="0"/>
          <w:divBdr>
            <w:top w:val="none" w:sz="0" w:space="0" w:color="auto"/>
            <w:left w:val="none" w:sz="0" w:space="0" w:color="auto"/>
            <w:bottom w:val="none" w:sz="0" w:space="0" w:color="auto"/>
            <w:right w:val="none" w:sz="0" w:space="0" w:color="auto"/>
          </w:divBdr>
        </w:div>
        <w:div w:id="657347578">
          <w:marLeft w:val="0"/>
          <w:marRight w:val="0"/>
          <w:marTop w:val="0"/>
          <w:marBottom w:val="0"/>
          <w:divBdr>
            <w:top w:val="none" w:sz="0" w:space="0" w:color="auto"/>
            <w:left w:val="none" w:sz="0" w:space="0" w:color="auto"/>
            <w:bottom w:val="none" w:sz="0" w:space="0" w:color="auto"/>
            <w:right w:val="none" w:sz="0" w:space="0" w:color="auto"/>
          </w:divBdr>
        </w:div>
        <w:div w:id="732200956">
          <w:marLeft w:val="0"/>
          <w:marRight w:val="0"/>
          <w:marTop w:val="0"/>
          <w:marBottom w:val="0"/>
          <w:divBdr>
            <w:top w:val="none" w:sz="0" w:space="0" w:color="auto"/>
            <w:left w:val="none" w:sz="0" w:space="0" w:color="auto"/>
            <w:bottom w:val="none" w:sz="0" w:space="0" w:color="auto"/>
            <w:right w:val="none" w:sz="0" w:space="0" w:color="auto"/>
          </w:divBdr>
        </w:div>
        <w:div w:id="755126822">
          <w:marLeft w:val="0"/>
          <w:marRight w:val="0"/>
          <w:marTop w:val="0"/>
          <w:marBottom w:val="0"/>
          <w:divBdr>
            <w:top w:val="none" w:sz="0" w:space="0" w:color="auto"/>
            <w:left w:val="none" w:sz="0" w:space="0" w:color="auto"/>
            <w:bottom w:val="none" w:sz="0" w:space="0" w:color="auto"/>
            <w:right w:val="none" w:sz="0" w:space="0" w:color="auto"/>
          </w:divBdr>
        </w:div>
        <w:div w:id="761605323">
          <w:marLeft w:val="0"/>
          <w:marRight w:val="0"/>
          <w:marTop w:val="0"/>
          <w:marBottom w:val="0"/>
          <w:divBdr>
            <w:top w:val="none" w:sz="0" w:space="0" w:color="auto"/>
            <w:left w:val="none" w:sz="0" w:space="0" w:color="auto"/>
            <w:bottom w:val="none" w:sz="0" w:space="0" w:color="auto"/>
            <w:right w:val="none" w:sz="0" w:space="0" w:color="auto"/>
          </w:divBdr>
        </w:div>
        <w:div w:id="815343229">
          <w:marLeft w:val="0"/>
          <w:marRight w:val="0"/>
          <w:marTop w:val="0"/>
          <w:marBottom w:val="0"/>
          <w:divBdr>
            <w:top w:val="none" w:sz="0" w:space="0" w:color="auto"/>
            <w:left w:val="none" w:sz="0" w:space="0" w:color="auto"/>
            <w:bottom w:val="none" w:sz="0" w:space="0" w:color="auto"/>
            <w:right w:val="none" w:sz="0" w:space="0" w:color="auto"/>
          </w:divBdr>
        </w:div>
        <w:div w:id="826821944">
          <w:marLeft w:val="0"/>
          <w:marRight w:val="0"/>
          <w:marTop w:val="0"/>
          <w:marBottom w:val="0"/>
          <w:divBdr>
            <w:top w:val="none" w:sz="0" w:space="0" w:color="auto"/>
            <w:left w:val="none" w:sz="0" w:space="0" w:color="auto"/>
            <w:bottom w:val="none" w:sz="0" w:space="0" w:color="auto"/>
            <w:right w:val="none" w:sz="0" w:space="0" w:color="auto"/>
          </w:divBdr>
          <w:divsChild>
            <w:div w:id="1698311002">
              <w:marLeft w:val="-75"/>
              <w:marRight w:val="0"/>
              <w:marTop w:val="30"/>
              <w:marBottom w:val="30"/>
              <w:divBdr>
                <w:top w:val="none" w:sz="0" w:space="0" w:color="auto"/>
                <w:left w:val="none" w:sz="0" w:space="0" w:color="auto"/>
                <w:bottom w:val="none" w:sz="0" w:space="0" w:color="auto"/>
                <w:right w:val="none" w:sz="0" w:space="0" w:color="auto"/>
              </w:divBdr>
              <w:divsChild>
                <w:div w:id="278413951">
                  <w:marLeft w:val="0"/>
                  <w:marRight w:val="0"/>
                  <w:marTop w:val="0"/>
                  <w:marBottom w:val="0"/>
                  <w:divBdr>
                    <w:top w:val="none" w:sz="0" w:space="0" w:color="auto"/>
                    <w:left w:val="none" w:sz="0" w:space="0" w:color="auto"/>
                    <w:bottom w:val="none" w:sz="0" w:space="0" w:color="auto"/>
                    <w:right w:val="none" w:sz="0" w:space="0" w:color="auto"/>
                  </w:divBdr>
                  <w:divsChild>
                    <w:div w:id="802817772">
                      <w:marLeft w:val="0"/>
                      <w:marRight w:val="0"/>
                      <w:marTop w:val="0"/>
                      <w:marBottom w:val="0"/>
                      <w:divBdr>
                        <w:top w:val="none" w:sz="0" w:space="0" w:color="auto"/>
                        <w:left w:val="none" w:sz="0" w:space="0" w:color="auto"/>
                        <w:bottom w:val="none" w:sz="0" w:space="0" w:color="auto"/>
                        <w:right w:val="none" w:sz="0" w:space="0" w:color="auto"/>
                      </w:divBdr>
                    </w:div>
                  </w:divsChild>
                </w:div>
                <w:div w:id="422608433">
                  <w:marLeft w:val="0"/>
                  <w:marRight w:val="0"/>
                  <w:marTop w:val="0"/>
                  <w:marBottom w:val="0"/>
                  <w:divBdr>
                    <w:top w:val="none" w:sz="0" w:space="0" w:color="auto"/>
                    <w:left w:val="none" w:sz="0" w:space="0" w:color="auto"/>
                    <w:bottom w:val="none" w:sz="0" w:space="0" w:color="auto"/>
                    <w:right w:val="none" w:sz="0" w:space="0" w:color="auto"/>
                  </w:divBdr>
                  <w:divsChild>
                    <w:div w:id="688483303">
                      <w:marLeft w:val="0"/>
                      <w:marRight w:val="0"/>
                      <w:marTop w:val="0"/>
                      <w:marBottom w:val="0"/>
                      <w:divBdr>
                        <w:top w:val="none" w:sz="0" w:space="0" w:color="auto"/>
                        <w:left w:val="none" w:sz="0" w:space="0" w:color="auto"/>
                        <w:bottom w:val="none" w:sz="0" w:space="0" w:color="auto"/>
                        <w:right w:val="none" w:sz="0" w:space="0" w:color="auto"/>
                      </w:divBdr>
                    </w:div>
                  </w:divsChild>
                </w:div>
                <w:div w:id="688069758">
                  <w:marLeft w:val="0"/>
                  <w:marRight w:val="0"/>
                  <w:marTop w:val="0"/>
                  <w:marBottom w:val="0"/>
                  <w:divBdr>
                    <w:top w:val="none" w:sz="0" w:space="0" w:color="auto"/>
                    <w:left w:val="none" w:sz="0" w:space="0" w:color="auto"/>
                    <w:bottom w:val="none" w:sz="0" w:space="0" w:color="auto"/>
                    <w:right w:val="none" w:sz="0" w:space="0" w:color="auto"/>
                  </w:divBdr>
                  <w:divsChild>
                    <w:div w:id="1073432689">
                      <w:marLeft w:val="0"/>
                      <w:marRight w:val="0"/>
                      <w:marTop w:val="0"/>
                      <w:marBottom w:val="0"/>
                      <w:divBdr>
                        <w:top w:val="none" w:sz="0" w:space="0" w:color="auto"/>
                        <w:left w:val="none" w:sz="0" w:space="0" w:color="auto"/>
                        <w:bottom w:val="none" w:sz="0" w:space="0" w:color="auto"/>
                        <w:right w:val="none" w:sz="0" w:space="0" w:color="auto"/>
                      </w:divBdr>
                    </w:div>
                  </w:divsChild>
                </w:div>
                <w:div w:id="806825394">
                  <w:marLeft w:val="0"/>
                  <w:marRight w:val="0"/>
                  <w:marTop w:val="0"/>
                  <w:marBottom w:val="0"/>
                  <w:divBdr>
                    <w:top w:val="none" w:sz="0" w:space="0" w:color="auto"/>
                    <w:left w:val="none" w:sz="0" w:space="0" w:color="auto"/>
                    <w:bottom w:val="none" w:sz="0" w:space="0" w:color="auto"/>
                    <w:right w:val="none" w:sz="0" w:space="0" w:color="auto"/>
                  </w:divBdr>
                  <w:divsChild>
                    <w:div w:id="1504593019">
                      <w:marLeft w:val="0"/>
                      <w:marRight w:val="0"/>
                      <w:marTop w:val="0"/>
                      <w:marBottom w:val="0"/>
                      <w:divBdr>
                        <w:top w:val="none" w:sz="0" w:space="0" w:color="auto"/>
                        <w:left w:val="none" w:sz="0" w:space="0" w:color="auto"/>
                        <w:bottom w:val="none" w:sz="0" w:space="0" w:color="auto"/>
                        <w:right w:val="none" w:sz="0" w:space="0" w:color="auto"/>
                      </w:divBdr>
                    </w:div>
                  </w:divsChild>
                </w:div>
                <w:div w:id="905606547">
                  <w:marLeft w:val="0"/>
                  <w:marRight w:val="0"/>
                  <w:marTop w:val="0"/>
                  <w:marBottom w:val="0"/>
                  <w:divBdr>
                    <w:top w:val="none" w:sz="0" w:space="0" w:color="auto"/>
                    <w:left w:val="none" w:sz="0" w:space="0" w:color="auto"/>
                    <w:bottom w:val="none" w:sz="0" w:space="0" w:color="auto"/>
                    <w:right w:val="none" w:sz="0" w:space="0" w:color="auto"/>
                  </w:divBdr>
                  <w:divsChild>
                    <w:div w:id="1075668974">
                      <w:marLeft w:val="0"/>
                      <w:marRight w:val="0"/>
                      <w:marTop w:val="0"/>
                      <w:marBottom w:val="0"/>
                      <w:divBdr>
                        <w:top w:val="none" w:sz="0" w:space="0" w:color="auto"/>
                        <w:left w:val="none" w:sz="0" w:space="0" w:color="auto"/>
                        <w:bottom w:val="none" w:sz="0" w:space="0" w:color="auto"/>
                        <w:right w:val="none" w:sz="0" w:space="0" w:color="auto"/>
                      </w:divBdr>
                    </w:div>
                  </w:divsChild>
                </w:div>
                <w:div w:id="1002001753">
                  <w:marLeft w:val="0"/>
                  <w:marRight w:val="0"/>
                  <w:marTop w:val="0"/>
                  <w:marBottom w:val="0"/>
                  <w:divBdr>
                    <w:top w:val="none" w:sz="0" w:space="0" w:color="auto"/>
                    <w:left w:val="none" w:sz="0" w:space="0" w:color="auto"/>
                    <w:bottom w:val="none" w:sz="0" w:space="0" w:color="auto"/>
                    <w:right w:val="none" w:sz="0" w:space="0" w:color="auto"/>
                  </w:divBdr>
                  <w:divsChild>
                    <w:div w:id="1467817551">
                      <w:marLeft w:val="0"/>
                      <w:marRight w:val="0"/>
                      <w:marTop w:val="0"/>
                      <w:marBottom w:val="0"/>
                      <w:divBdr>
                        <w:top w:val="none" w:sz="0" w:space="0" w:color="auto"/>
                        <w:left w:val="none" w:sz="0" w:space="0" w:color="auto"/>
                        <w:bottom w:val="none" w:sz="0" w:space="0" w:color="auto"/>
                        <w:right w:val="none" w:sz="0" w:space="0" w:color="auto"/>
                      </w:divBdr>
                    </w:div>
                  </w:divsChild>
                </w:div>
                <w:div w:id="1322781490">
                  <w:marLeft w:val="0"/>
                  <w:marRight w:val="0"/>
                  <w:marTop w:val="0"/>
                  <w:marBottom w:val="0"/>
                  <w:divBdr>
                    <w:top w:val="none" w:sz="0" w:space="0" w:color="auto"/>
                    <w:left w:val="none" w:sz="0" w:space="0" w:color="auto"/>
                    <w:bottom w:val="none" w:sz="0" w:space="0" w:color="auto"/>
                    <w:right w:val="none" w:sz="0" w:space="0" w:color="auto"/>
                  </w:divBdr>
                  <w:divsChild>
                    <w:div w:id="535965795">
                      <w:marLeft w:val="0"/>
                      <w:marRight w:val="0"/>
                      <w:marTop w:val="0"/>
                      <w:marBottom w:val="0"/>
                      <w:divBdr>
                        <w:top w:val="none" w:sz="0" w:space="0" w:color="auto"/>
                        <w:left w:val="none" w:sz="0" w:space="0" w:color="auto"/>
                        <w:bottom w:val="none" w:sz="0" w:space="0" w:color="auto"/>
                        <w:right w:val="none" w:sz="0" w:space="0" w:color="auto"/>
                      </w:divBdr>
                    </w:div>
                  </w:divsChild>
                </w:div>
                <w:div w:id="1590652629">
                  <w:marLeft w:val="0"/>
                  <w:marRight w:val="0"/>
                  <w:marTop w:val="0"/>
                  <w:marBottom w:val="0"/>
                  <w:divBdr>
                    <w:top w:val="none" w:sz="0" w:space="0" w:color="auto"/>
                    <w:left w:val="none" w:sz="0" w:space="0" w:color="auto"/>
                    <w:bottom w:val="none" w:sz="0" w:space="0" w:color="auto"/>
                    <w:right w:val="none" w:sz="0" w:space="0" w:color="auto"/>
                  </w:divBdr>
                  <w:divsChild>
                    <w:div w:id="841969681">
                      <w:marLeft w:val="0"/>
                      <w:marRight w:val="0"/>
                      <w:marTop w:val="0"/>
                      <w:marBottom w:val="0"/>
                      <w:divBdr>
                        <w:top w:val="none" w:sz="0" w:space="0" w:color="auto"/>
                        <w:left w:val="none" w:sz="0" w:space="0" w:color="auto"/>
                        <w:bottom w:val="none" w:sz="0" w:space="0" w:color="auto"/>
                        <w:right w:val="none" w:sz="0" w:space="0" w:color="auto"/>
                      </w:divBdr>
                    </w:div>
                  </w:divsChild>
                </w:div>
                <w:div w:id="1614093986">
                  <w:marLeft w:val="0"/>
                  <w:marRight w:val="0"/>
                  <w:marTop w:val="0"/>
                  <w:marBottom w:val="0"/>
                  <w:divBdr>
                    <w:top w:val="none" w:sz="0" w:space="0" w:color="auto"/>
                    <w:left w:val="none" w:sz="0" w:space="0" w:color="auto"/>
                    <w:bottom w:val="none" w:sz="0" w:space="0" w:color="auto"/>
                    <w:right w:val="none" w:sz="0" w:space="0" w:color="auto"/>
                  </w:divBdr>
                  <w:divsChild>
                    <w:div w:id="658388728">
                      <w:marLeft w:val="0"/>
                      <w:marRight w:val="0"/>
                      <w:marTop w:val="0"/>
                      <w:marBottom w:val="0"/>
                      <w:divBdr>
                        <w:top w:val="none" w:sz="0" w:space="0" w:color="auto"/>
                        <w:left w:val="none" w:sz="0" w:space="0" w:color="auto"/>
                        <w:bottom w:val="none" w:sz="0" w:space="0" w:color="auto"/>
                        <w:right w:val="none" w:sz="0" w:space="0" w:color="auto"/>
                      </w:divBdr>
                    </w:div>
                  </w:divsChild>
                </w:div>
                <w:div w:id="1671062547">
                  <w:marLeft w:val="0"/>
                  <w:marRight w:val="0"/>
                  <w:marTop w:val="0"/>
                  <w:marBottom w:val="0"/>
                  <w:divBdr>
                    <w:top w:val="none" w:sz="0" w:space="0" w:color="auto"/>
                    <w:left w:val="none" w:sz="0" w:space="0" w:color="auto"/>
                    <w:bottom w:val="none" w:sz="0" w:space="0" w:color="auto"/>
                    <w:right w:val="none" w:sz="0" w:space="0" w:color="auto"/>
                  </w:divBdr>
                  <w:divsChild>
                    <w:div w:id="184633211">
                      <w:marLeft w:val="0"/>
                      <w:marRight w:val="0"/>
                      <w:marTop w:val="0"/>
                      <w:marBottom w:val="0"/>
                      <w:divBdr>
                        <w:top w:val="none" w:sz="0" w:space="0" w:color="auto"/>
                        <w:left w:val="none" w:sz="0" w:space="0" w:color="auto"/>
                        <w:bottom w:val="none" w:sz="0" w:space="0" w:color="auto"/>
                        <w:right w:val="none" w:sz="0" w:space="0" w:color="auto"/>
                      </w:divBdr>
                    </w:div>
                  </w:divsChild>
                </w:div>
                <w:div w:id="1673410186">
                  <w:marLeft w:val="0"/>
                  <w:marRight w:val="0"/>
                  <w:marTop w:val="0"/>
                  <w:marBottom w:val="0"/>
                  <w:divBdr>
                    <w:top w:val="none" w:sz="0" w:space="0" w:color="auto"/>
                    <w:left w:val="none" w:sz="0" w:space="0" w:color="auto"/>
                    <w:bottom w:val="none" w:sz="0" w:space="0" w:color="auto"/>
                    <w:right w:val="none" w:sz="0" w:space="0" w:color="auto"/>
                  </w:divBdr>
                  <w:divsChild>
                    <w:div w:id="330648584">
                      <w:marLeft w:val="0"/>
                      <w:marRight w:val="0"/>
                      <w:marTop w:val="0"/>
                      <w:marBottom w:val="0"/>
                      <w:divBdr>
                        <w:top w:val="none" w:sz="0" w:space="0" w:color="auto"/>
                        <w:left w:val="none" w:sz="0" w:space="0" w:color="auto"/>
                        <w:bottom w:val="none" w:sz="0" w:space="0" w:color="auto"/>
                        <w:right w:val="none" w:sz="0" w:space="0" w:color="auto"/>
                      </w:divBdr>
                    </w:div>
                  </w:divsChild>
                </w:div>
                <w:div w:id="1739867165">
                  <w:marLeft w:val="0"/>
                  <w:marRight w:val="0"/>
                  <w:marTop w:val="0"/>
                  <w:marBottom w:val="0"/>
                  <w:divBdr>
                    <w:top w:val="none" w:sz="0" w:space="0" w:color="auto"/>
                    <w:left w:val="none" w:sz="0" w:space="0" w:color="auto"/>
                    <w:bottom w:val="none" w:sz="0" w:space="0" w:color="auto"/>
                    <w:right w:val="none" w:sz="0" w:space="0" w:color="auto"/>
                  </w:divBdr>
                  <w:divsChild>
                    <w:div w:id="1404526851">
                      <w:marLeft w:val="0"/>
                      <w:marRight w:val="0"/>
                      <w:marTop w:val="0"/>
                      <w:marBottom w:val="0"/>
                      <w:divBdr>
                        <w:top w:val="none" w:sz="0" w:space="0" w:color="auto"/>
                        <w:left w:val="none" w:sz="0" w:space="0" w:color="auto"/>
                        <w:bottom w:val="none" w:sz="0" w:space="0" w:color="auto"/>
                        <w:right w:val="none" w:sz="0" w:space="0" w:color="auto"/>
                      </w:divBdr>
                    </w:div>
                  </w:divsChild>
                </w:div>
                <w:div w:id="1995599233">
                  <w:marLeft w:val="0"/>
                  <w:marRight w:val="0"/>
                  <w:marTop w:val="0"/>
                  <w:marBottom w:val="0"/>
                  <w:divBdr>
                    <w:top w:val="none" w:sz="0" w:space="0" w:color="auto"/>
                    <w:left w:val="none" w:sz="0" w:space="0" w:color="auto"/>
                    <w:bottom w:val="none" w:sz="0" w:space="0" w:color="auto"/>
                    <w:right w:val="none" w:sz="0" w:space="0" w:color="auto"/>
                  </w:divBdr>
                  <w:divsChild>
                    <w:div w:id="9307403">
                      <w:marLeft w:val="0"/>
                      <w:marRight w:val="0"/>
                      <w:marTop w:val="0"/>
                      <w:marBottom w:val="0"/>
                      <w:divBdr>
                        <w:top w:val="none" w:sz="0" w:space="0" w:color="auto"/>
                        <w:left w:val="none" w:sz="0" w:space="0" w:color="auto"/>
                        <w:bottom w:val="none" w:sz="0" w:space="0" w:color="auto"/>
                        <w:right w:val="none" w:sz="0" w:space="0" w:color="auto"/>
                      </w:divBdr>
                    </w:div>
                  </w:divsChild>
                </w:div>
                <w:div w:id="2046100942">
                  <w:marLeft w:val="0"/>
                  <w:marRight w:val="0"/>
                  <w:marTop w:val="0"/>
                  <w:marBottom w:val="0"/>
                  <w:divBdr>
                    <w:top w:val="none" w:sz="0" w:space="0" w:color="auto"/>
                    <w:left w:val="none" w:sz="0" w:space="0" w:color="auto"/>
                    <w:bottom w:val="none" w:sz="0" w:space="0" w:color="auto"/>
                    <w:right w:val="none" w:sz="0" w:space="0" w:color="auto"/>
                  </w:divBdr>
                  <w:divsChild>
                    <w:div w:id="77386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8082152">
          <w:marLeft w:val="0"/>
          <w:marRight w:val="0"/>
          <w:marTop w:val="0"/>
          <w:marBottom w:val="0"/>
          <w:divBdr>
            <w:top w:val="none" w:sz="0" w:space="0" w:color="auto"/>
            <w:left w:val="none" w:sz="0" w:space="0" w:color="auto"/>
            <w:bottom w:val="none" w:sz="0" w:space="0" w:color="auto"/>
            <w:right w:val="none" w:sz="0" w:space="0" w:color="auto"/>
          </w:divBdr>
        </w:div>
        <w:div w:id="864094149">
          <w:marLeft w:val="0"/>
          <w:marRight w:val="0"/>
          <w:marTop w:val="0"/>
          <w:marBottom w:val="0"/>
          <w:divBdr>
            <w:top w:val="none" w:sz="0" w:space="0" w:color="auto"/>
            <w:left w:val="none" w:sz="0" w:space="0" w:color="auto"/>
            <w:bottom w:val="none" w:sz="0" w:space="0" w:color="auto"/>
            <w:right w:val="none" w:sz="0" w:space="0" w:color="auto"/>
          </w:divBdr>
        </w:div>
        <w:div w:id="880556095">
          <w:marLeft w:val="0"/>
          <w:marRight w:val="0"/>
          <w:marTop w:val="0"/>
          <w:marBottom w:val="0"/>
          <w:divBdr>
            <w:top w:val="none" w:sz="0" w:space="0" w:color="auto"/>
            <w:left w:val="none" w:sz="0" w:space="0" w:color="auto"/>
            <w:bottom w:val="none" w:sz="0" w:space="0" w:color="auto"/>
            <w:right w:val="none" w:sz="0" w:space="0" w:color="auto"/>
          </w:divBdr>
        </w:div>
        <w:div w:id="881405031">
          <w:marLeft w:val="0"/>
          <w:marRight w:val="0"/>
          <w:marTop w:val="0"/>
          <w:marBottom w:val="0"/>
          <w:divBdr>
            <w:top w:val="none" w:sz="0" w:space="0" w:color="auto"/>
            <w:left w:val="none" w:sz="0" w:space="0" w:color="auto"/>
            <w:bottom w:val="none" w:sz="0" w:space="0" w:color="auto"/>
            <w:right w:val="none" w:sz="0" w:space="0" w:color="auto"/>
          </w:divBdr>
        </w:div>
        <w:div w:id="911699107">
          <w:marLeft w:val="0"/>
          <w:marRight w:val="0"/>
          <w:marTop w:val="0"/>
          <w:marBottom w:val="0"/>
          <w:divBdr>
            <w:top w:val="none" w:sz="0" w:space="0" w:color="auto"/>
            <w:left w:val="none" w:sz="0" w:space="0" w:color="auto"/>
            <w:bottom w:val="none" w:sz="0" w:space="0" w:color="auto"/>
            <w:right w:val="none" w:sz="0" w:space="0" w:color="auto"/>
          </w:divBdr>
        </w:div>
        <w:div w:id="911934411">
          <w:marLeft w:val="0"/>
          <w:marRight w:val="0"/>
          <w:marTop w:val="0"/>
          <w:marBottom w:val="0"/>
          <w:divBdr>
            <w:top w:val="none" w:sz="0" w:space="0" w:color="auto"/>
            <w:left w:val="none" w:sz="0" w:space="0" w:color="auto"/>
            <w:bottom w:val="none" w:sz="0" w:space="0" w:color="auto"/>
            <w:right w:val="none" w:sz="0" w:space="0" w:color="auto"/>
          </w:divBdr>
        </w:div>
        <w:div w:id="919951454">
          <w:marLeft w:val="0"/>
          <w:marRight w:val="0"/>
          <w:marTop w:val="0"/>
          <w:marBottom w:val="0"/>
          <w:divBdr>
            <w:top w:val="none" w:sz="0" w:space="0" w:color="auto"/>
            <w:left w:val="none" w:sz="0" w:space="0" w:color="auto"/>
            <w:bottom w:val="none" w:sz="0" w:space="0" w:color="auto"/>
            <w:right w:val="none" w:sz="0" w:space="0" w:color="auto"/>
          </w:divBdr>
        </w:div>
        <w:div w:id="956373251">
          <w:marLeft w:val="0"/>
          <w:marRight w:val="0"/>
          <w:marTop w:val="0"/>
          <w:marBottom w:val="0"/>
          <w:divBdr>
            <w:top w:val="none" w:sz="0" w:space="0" w:color="auto"/>
            <w:left w:val="none" w:sz="0" w:space="0" w:color="auto"/>
            <w:bottom w:val="none" w:sz="0" w:space="0" w:color="auto"/>
            <w:right w:val="none" w:sz="0" w:space="0" w:color="auto"/>
          </w:divBdr>
        </w:div>
        <w:div w:id="1022439697">
          <w:marLeft w:val="0"/>
          <w:marRight w:val="0"/>
          <w:marTop w:val="0"/>
          <w:marBottom w:val="0"/>
          <w:divBdr>
            <w:top w:val="none" w:sz="0" w:space="0" w:color="auto"/>
            <w:left w:val="none" w:sz="0" w:space="0" w:color="auto"/>
            <w:bottom w:val="none" w:sz="0" w:space="0" w:color="auto"/>
            <w:right w:val="none" w:sz="0" w:space="0" w:color="auto"/>
          </w:divBdr>
        </w:div>
        <w:div w:id="1026784813">
          <w:marLeft w:val="0"/>
          <w:marRight w:val="0"/>
          <w:marTop w:val="0"/>
          <w:marBottom w:val="0"/>
          <w:divBdr>
            <w:top w:val="none" w:sz="0" w:space="0" w:color="auto"/>
            <w:left w:val="none" w:sz="0" w:space="0" w:color="auto"/>
            <w:bottom w:val="none" w:sz="0" w:space="0" w:color="auto"/>
            <w:right w:val="none" w:sz="0" w:space="0" w:color="auto"/>
          </w:divBdr>
        </w:div>
        <w:div w:id="1073742609">
          <w:marLeft w:val="0"/>
          <w:marRight w:val="0"/>
          <w:marTop w:val="0"/>
          <w:marBottom w:val="0"/>
          <w:divBdr>
            <w:top w:val="none" w:sz="0" w:space="0" w:color="auto"/>
            <w:left w:val="none" w:sz="0" w:space="0" w:color="auto"/>
            <w:bottom w:val="none" w:sz="0" w:space="0" w:color="auto"/>
            <w:right w:val="none" w:sz="0" w:space="0" w:color="auto"/>
          </w:divBdr>
        </w:div>
        <w:div w:id="1108693077">
          <w:marLeft w:val="0"/>
          <w:marRight w:val="0"/>
          <w:marTop w:val="0"/>
          <w:marBottom w:val="0"/>
          <w:divBdr>
            <w:top w:val="none" w:sz="0" w:space="0" w:color="auto"/>
            <w:left w:val="none" w:sz="0" w:space="0" w:color="auto"/>
            <w:bottom w:val="none" w:sz="0" w:space="0" w:color="auto"/>
            <w:right w:val="none" w:sz="0" w:space="0" w:color="auto"/>
          </w:divBdr>
        </w:div>
        <w:div w:id="1207177267">
          <w:marLeft w:val="0"/>
          <w:marRight w:val="0"/>
          <w:marTop w:val="0"/>
          <w:marBottom w:val="0"/>
          <w:divBdr>
            <w:top w:val="none" w:sz="0" w:space="0" w:color="auto"/>
            <w:left w:val="none" w:sz="0" w:space="0" w:color="auto"/>
            <w:bottom w:val="none" w:sz="0" w:space="0" w:color="auto"/>
            <w:right w:val="none" w:sz="0" w:space="0" w:color="auto"/>
          </w:divBdr>
        </w:div>
        <w:div w:id="1228493906">
          <w:marLeft w:val="0"/>
          <w:marRight w:val="0"/>
          <w:marTop w:val="0"/>
          <w:marBottom w:val="0"/>
          <w:divBdr>
            <w:top w:val="none" w:sz="0" w:space="0" w:color="auto"/>
            <w:left w:val="none" w:sz="0" w:space="0" w:color="auto"/>
            <w:bottom w:val="none" w:sz="0" w:space="0" w:color="auto"/>
            <w:right w:val="none" w:sz="0" w:space="0" w:color="auto"/>
          </w:divBdr>
        </w:div>
        <w:div w:id="1260867582">
          <w:marLeft w:val="0"/>
          <w:marRight w:val="0"/>
          <w:marTop w:val="0"/>
          <w:marBottom w:val="0"/>
          <w:divBdr>
            <w:top w:val="none" w:sz="0" w:space="0" w:color="auto"/>
            <w:left w:val="none" w:sz="0" w:space="0" w:color="auto"/>
            <w:bottom w:val="none" w:sz="0" w:space="0" w:color="auto"/>
            <w:right w:val="none" w:sz="0" w:space="0" w:color="auto"/>
          </w:divBdr>
        </w:div>
        <w:div w:id="1272084187">
          <w:marLeft w:val="0"/>
          <w:marRight w:val="0"/>
          <w:marTop w:val="0"/>
          <w:marBottom w:val="0"/>
          <w:divBdr>
            <w:top w:val="none" w:sz="0" w:space="0" w:color="auto"/>
            <w:left w:val="none" w:sz="0" w:space="0" w:color="auto"/>
            <w:bottom w:val="none" w:sz="0" w:space="0" w:color="auto"/>
            <w:right w:val="none" w:sz="0" w:space="0" w:color="auto"/>
          </w:divBdr>
        </w:div>
        <w:div w:id="1291978268">
          <w:marLeft w:val="0"/>
          <w:marRight w:val="0"/>
          <w:marTop w:val="0"/>
          <w:marBottom w:val="0"/>
          <w:divBdr>
            <w:top w:val="none" w:sz="0" w:space="0" w:color="auto"/>
            <w:left w:val="none" w:sz="0" w:space="0" w:color="auto"/>
            <w:bottom w:val="none" w:sz="0" w:space="0" w:color="auto"/>
            <w:right w:val="none" w:sz="0" w:space="0" w:color="auto"/>
          </w:divBdr>
        </w:div>
        <w:div w:id="1292979867">
          <w:marLeft w:val="0"/>
          <w:marRight w:val="0"/>
          <w:marTop w:val="0"/>
          <w:marBottom w:val="0"/>
          <w:divBdr>
            <w:top w:val="none" w:sz="0" w:space="0" w:color="auto"/>
            <w:left w:val="none" w:sz="0" w:space="0" w:color="auto"/>
            <w:bottom w:val="none" w:sz="0" w:space="0" w:color="auto"/>
            <w:right w:val="none" w:sz="0" w:space="0" w:color="auto"/>
          </w:divBdr>
        </w:div>
        <w:div w:id="1299140726">
          <w:marLeft w:val="0"/>
          <w:marRight w:val="0"/>
          <w:marTop w:val="0"/>
          <w:marBottom w:val="0"/>
          <w:divBdr>
            <w:top w:val="none" w:sz="0" w:space="0" w:color="auto"/>
            <w:left w:val="none" w:sz="0" w:space="0" w:color="auto"/>
            <w:bottom w:val="none" w:sz="0" w:space="0" w:color="auto"/>
            <w:right w:val="none" w:sz="0" w:space="0" w:color="auto"/>
          </w:divBdr>
          <w:divsChild>
            <w:div w:id="901673400">
              <w:marLeft w:val="-75"/>
              <w:marRight w:val="0"/>
              <w:marTop w:val="30"/>
              <w:marBottom w:val="30"/>
              <w:divBdr>
                <w:top w:val="none" w:sz="0" w:space="0" w:color="auto"/>
                <w:left w:val="none" w:sz="0" w:space="0" w:color="auto"/>
                <w:bottom w:val="none" w:sz="0" w:space="0" w:color="auto"/>
                <w:right w:val="none" w:sz="0" w:space="0" w:color="auto"/>
              </w:divBdr>
              <w:divsChild>
                <w:div w:id="14771149">
                  <w:marLeft w:val="0"/>
                  <w:marRight w:val="0"/>
                  <w:marTop w:val="0"/>
                  <w:marBottom w:val="0"/>
                  <w:divBdr>
                    <w:top w:val="none" w:sz="0" w:space="0" w:color="auto"/>
                    <w:left w:val="none" w:sz="0" w:space="0" w:color="auto"/>
                    <w:bottom w:val="none" w:sz="0" w:space="0" w:color="auto"/>
                    <w:right w:val="none" w:sz="0" w:space="0" w:color="auto"/>
                  </w:divBdr>
                  <w:divsChild>
                    <w:div w:id="1294628592">
                      <w:marLeft w:val="0"/>
                      <w:marRight w:val="0"/>
                      <w:marTop w:val="0"/>
                      <w:marBottom w:val="0"/>
                      <w:divBdr>
                        <w:top w:val="none" w:sz="0" w:space="0" w:color="auto"/>
                        <w:left w:val="none" w:sz="0" w:space="0" w:color="auto"/>
                        <w:bottom w:val="none" w:sz="0" w:space="0" w:color="auto"/>
                        <w:right w:val="none" w:sz="0" w:space="0" w:color="auto"/>
                      </w:divBdr>
                    </w:div>
                  </w:divsChild>
                </w:div>
                <w:div w:id="686560039">
                  <w:marLeft w:val="0"/>
                  <w:marRight w:val="0"/>
                  <w:marTop w:val="0"/>
                  <w:marBottom w:val="0"/>
                  <w:divBdr>
                    <w:top w:val="none" w:sz="0" w:space="0" w:color="auto"/>
                    <w:left w:val="none" w:sz="0" w:space="0" w:color="auto"/>
                    <w:bottom w:val="none" w:sz="0" w:space="0" w:color="auto"/>
                    <w:right w:val="none" w:sz="0" w:space="0" w:color="auto"/>
                  </w:divBdr>
                  <w:divsChild>
                    <w:div w:id="710616618">
                      <w:marLeft w:val="0"/>
                      <w:marRight w:val="0"/>
                      <w:marTop w:val="0"/>
                      <w:marBottom w:val="0"/>
                      <w:divBdr>
                        <w:top w:val="none" w:sz="0" w:space="0" w:color="auto"/>
                        <w:left w:val="none" w:sz="0" w:space="0" w:color="auto"/>
                        <w:bottom w:val="none" w:sz="0" w:space="0" w:color="auto"/>
                        <w:right w:val="none" w:sz="0" w:space="0" w:color="auto"/>
                      </w:divBdr>
                    </w:div>
                  </w:divsChild>
                </w:div>
                <w:div w:id="1554537007">
                  <w:marLeft w:val="0"/>
                  <w:marRight w:val="0"/>
                  <w:marTop w:val="0"/>
                  <w:marBottom w:val="0"/>
                  <w:divBdr>
                    <w:top w:val="none" w:sz="0" w:space="0" w:color="auto"/>
                    <w:left w:val="none" w:sz="0" w:space="0" w:color="auto"/>
                    <w:bottom w:val="none" w:sz="0" w:space="0" w:color="auto"/>
                    <w:right w:val="none" w:sz="0" w:space="0" w:color="auto"/>
                  </w:divBdr>
                  <w:divsChild>
                    <w:div w:id="199056029">
                      <w:marLeft w:val="0"/>
                      <w:marRight w:val="0"/>
                      <w:marTop w:val="0"/>
                      <w:marBottom w:val="0"/>
                      <w:divBdr>
                        <w:top w:val="none" w:sz="0" w:space="0" w:color="auto"/>
                        <w:left w:val="none" w:sz="0" w:space="0" w:color="auto"/>
                        <w:bottom w:val="none" w:sz="0" w:space="0" w:color="auto"/>
                        <w:right w:val="none" w:sz="0" w:space="0" w:color="auto"/>
                      </w:divBdr>
                    </w:div>
                  </w:divsChild>
                </w:div>
                <w:div w:id="1627933088">
                  <w:marLeft w:val="0"/>
                  <w:marRight w:val="0"/>
                  <w:marTop w:val="0"/>
                  <w:marBottom w:val="0"/>
                  <w:divBdr>
                    <w:top w:val="none" w:sz="0" w:space="0" w:color="auto"/>
                    <w:left w:val="none" w:sz="0" w:space="0" w:color="auto"/>
                    <w:bottom w:val="none" w:sz="0" w:space="0" w:color="auto"/>
                    <w:right w:val="none" w:sz="0" w:space="0" w:color="auto"/>
                  </w:divBdr>
                  <w:divsChild>
                    <w:div w:id="217281373">
                      <w:marLeft w:val="0"/>
                      <w:marRight w:val="0"/>
                      <w:marTop w:val="0"/>
                      <w:marBottom w:val="0"/>
                      <w:divBdr>
                        <w:top w:val="none" w:sz="0" w:space="0" w:color="auto"/>
                        <w:left w:val="none" w:sz="0" w:space="0" w:color="auto"/>
                        <w:bottom w:val="none" w:sz="0" w:space="0" w:color="auto"/>
                        <w:right w:val="none" w:sz="0" w:space="0" w:color="auto"/>
                      </w:divBdr>
                    </w:div>
                  </w:divsChild>
                </w:div>
                <w:div w:id="1852182579">
                  <w:marLeft w:val="0"/>
                  <w:marRight w:val="0"/>
                  <w:marTop w:val="0"/>
                  <w:marBottom w:val="0"/>
                  <w:divBdr>
                    <w:top w:val="none" w:sz="0" w:space="0" w:color="auto"/>
                    <w:left w:val="none" w:sz="0" w:space="0" w:color="auto"/>
                    <w:bottom w:val="none" w:sz="0" w:space="0" w:color="auto"/>
                    <w:right w:val="none" w:sz="0" w:space="0" w:color="auto"/>
                  </w:divBdr>
                  <w:divsChild>
                    <w:div w:id="1312713818">
                      <w:marLeft w:val="0"/>
                      <w:marRight w:val="0"/>
                      <w:marTop w:val="0"/>
                      <w:marBottom w:val="0"/>
                      <w:divBdr>
                        <w:top w:val="none" w:sz="0" w:space="0" w:color="auto"/>
                        <w:left w:val="none" w:sz="0" w:space="0" w:color="auto"/>
                        <w:bottom w:val="none" w:sz="0" w:space="0" w:color="auto"/>
                        <w:right w:val="none" w:sz="0" w:space="0" w:color="auto"/>
                      </w:divBdr>
                    </w:div>
                  </w:divsChild>
                </w:div>
                <w:div w:id="1880312822">
                  <w:marLeft w:val="0"/>
                  <w:marRight w:val="0"/>
                  <w:marTop w:val="0"/>
                  <w:marBottom w:val="0"/>
                  <w:divBdr>
                    <w:top w:val="none" w:sz="0" w:space="0" w:color="auto"/>
                    <w:left w:val="none" w:sz="0" w:space="0" w:color="auto"/>
                    <w:bottom w:val="none" w:sz="0" w:space="0" w:color="auto"/>
                    <w:right w:val="none" w:sz="0" w:space="0" w:color="auto"/>
                  </w:divBdr>
                  <w:divsChild>
                    <w:div w:id="1901206126">
                      <w:marLeft w:val="0"/>
                      <w:marRight w:val="0"/>
                      <w:marTop w:val="0"/>
                      <w:marBottom w:val="0"/>
                      <w:divBdr>
                        <w:top w:val="none" w:sz="0" w:space="0" w:color="auto"/>
                        <w:left w:val="none" w:sz="0" w:space="0" w:color="auto"/>
                        <w:bottom w:val="none" w:sz="0" w:space="0" w:color="auto"/>
                        <w:right w:val="none" w:sz="0" w:space="0" w:color="auto"/>
                      </w:divBdr>
                    </w:div>
                  </w:divsChild>
                </w:div>
                <w:div w:id="2054573164">
                  <w:marLeft w:val="0"/>
                  <w:marRight w:val="0"/>
                  <w:marTop w:val="0"/>
                  <w:marBottom w:val="0"/>
                  <w:divBdr>
                    <w:top w:val="none" w:sz="0" w:space="0" w:color="auto"/>
                    <w:left w:val="none" w:sz="0" w:space="0" w:color="auto"/>
                    <w:bottom w:val="none" w:sz="0" w:space="0" w:color="auto"/>
                    <w:right w:val="none" w:sz="0" w:space="0" w:color="auto"/>
                  </w:divBdr>
                  <w:divsChild>
                    <w:div w:id="1841966930">
                      <w:marLeft w:val="0"/>
                      <w:marRight w:val="0"/>
                      <w:marTop w:val="0"/>
                      <w:marBottom w:val="0"/>
                      <w:divBdr>
                        <w:top w:val="none" w:sz="0" w:space="0" w:color="auto"/>
                        <w:left w:val="none" w:sz="0" w:space="0" w:color="auto"/>
                        <w:bottom w:val="none" w:sz="0" w:space="0" w:color="auto"/>
                        <w:right w:val="none" w:sz="0" w:space="0" w:color="auto"/>
                      </w:divBdr>
                    </w:div>
                  </w:divsChild>
                </w:div>
                <w:div w:id="2116901004">
                  <w:marLeft w:val="0"/>
                  <w:marRight w:val="0"/>
                  <w:marTop w:val="0"/>
                  <w:marBottom w:val="0"/>
                  <w:divBdr>
                    <w:top w:val="none" w:sz="0" w:space="0" w:color="auto"/>
                    <w:left w:val="none" w:sz="0" w:space="0" w:color="auto"/>
                    <w:bottom w:val="none" w:sz="0" w:space="0" w:color="auto"/>
                    <w:right w:val="none" w:sz="0" w:space="0" w:color="auto"/>
                  </w:divBdr>
                  <w:divsChild>
                    <w:div w:id="1480459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893940">
          <w:marLeft w:val="0"/>
          <w:marRight w:val="0"/>
          <w:marTop w:val="0"/>
          <w:marBottom w:val="0"/>
          <w:divBdr>
            <w:top w:val="none" w:sz="0" w:space="0" w:color="auto"/>
            <w:left w:val="none" w:sz="0" w:space="0" w:color="auto"/>
            <w:bottom w:val="none" w:sz="0" w:space="0" w:color="auto"/>
            <w:right w:val="none" w:sz="0" w:space="0" w:color="auto"/>
          </w:divBdr>
        </w:div>
        <w:div w:id="1333798152">
          <w:marLeft w:val="0"/>
          <w:marRight w:val="0"/>
          <w:marTop w:val="0"/>
          <w:marBottom w:val="0"/>
          <w:divBdr>
            <w:top w:val="none" w:sz="0" w:space="0" w:color="auto"/>
            <w:left w:val="none" w:sz="0" w:space="0" w:color="auto"/>
            <w:bottom w:val="none" w:sz="0" w:space="0" w:color="auto"/>
            <w:right w:val="none" w:sz="0" w:space="0" w:color="auto"/>
          </w:divBdr>
        </w:div>
        <w:div w:id="1407874173">
          <w:marLeft w:val="0"/>
          <w:marRight w:val="0"/>
          <w:marTop w:val="0"/>
          <w:marBottom w:val="0"/>
          <w:divBdr>
            <w:top w:val="none" w:sz="0" w:space="0" w:color="auto"/>
            <w:left w:val="none" w:sz="0" w:space="0" w:color="auto"/>
            <w:bottom w:val="none" w:sz="0" w:space="0" w:color="auto"/>
            <w:right w:val="none" w:sz="0" w:space="0" w:color="auto"/>
          </w:divBdr>
        </w:div>
        <w:div w:id="1414551371">
          <w:marLeft w:val="0"/>
          <w:marRight w:val="0"/>
          <w:marTop w:val="0"/>
          <w:marBottom w:val="0"/>
          <w:divBdr>
            <w:top w:val="none" w:sz="0" w:space="0" w:color="auto"/>
            <w:left w:val="none" w:sz="0" w:space="0" w:color="auto"/>
            <w:bottom w:val="none" w:sz="0" w:space="0" w:color="auto"/>
            <w:right w:val="none" w:sz="0" w:space="0" w:color="auto"/>
          </w:divBdr>
          <w:divsChild>
            <w:div w:id="1481926428">
              <w:marLeft w:val="-75"/>
              <w:marRight w:val="0"/>
              <w:marTop w:val="30"/>
              <w:marBottom w:val="30"/>
              <w:divBdr>
                <w:top w:val="none" w:sz="0" w:space="0" w:color="auto"/>
                <w:left w:val="none" w:sz="0" w:space="0" w:color="auto"/>
                <w:bottom w:val="none" w:sz="0" w:space="0" w:color="auto"/>
                <w:right w:val="none" w:sz="0" w:space="0" w:color="auto"/>
              </w:divBdr>
              <w:divsChild>
                <w:div w:id="45491746">
                  <w:marLeft w:val="0"/>
                  <w:marRight w:val="0"/>
                  <w:marTop w:val="0"/>
                  <w:marBottom w:val="0"/>
                  <w:divBdr>
                    <w:top w:val="none" w:sz="0" w:space="0" w:color="auto"/>
                    <w:left w:val="none" w:sz="0" w:space="0" w:color="auto"/>
                    <w:bottom w:val="none" w:sz="0" w:space="0" w:color="auto"/>
                    <w:right w:val="none" w:sz="0" w:space="0" w:color="auto"/>
                  </w:divBdr>
                  <w:divsChild>
                    <w:div w:id="743062349">
                      <w:marLeft w:val="0"/>
                      <w:marRight w:val="0"/>
                      <w:marTop w:val="0"/>
                      <w:marBottom w:val="0"/>
                      <w:divBdr>
                        <w:top w:val="none" w:sz="0" w:space="0" w:color="auto"/>
                        <w:left w:val="none" w:sz="0" w:space="0" w:color="auto"/>
                        <w:bottom w:val="none" w:sz="0" w:space="0" w:color="auto"/>
                        <w:right w:val="none" w:sz="0" w:space="0" w:color="auto"/>
                      </w:divBdr>
                    </w:div>
                  </w:divsChild>
                </w:div>
                <w:div w:id="58289303">
                  <w:marLeft w:val="0"/>
                  <w:marRight w:val="0"/>
                  <w:marTop w:val="0"/>
                  <w:marBottom w:val="0"/>
                  <w:divBdr>
                    <w:top w:val="none" w:sz="0" w:space="0" w:color="auto"/>
                    <w:left w:val="none" w:sz="0" w:space="0" w:color="auto"/>
                    <w:bottom w:val="none" w:sz="0" w:space="0" w:color="auto"/>
                    <w:right w:val="none" w:sz="0" w:space="0" w:color="auto"/>
                  </w:divBdr>
                  <w:divsChild>
                    <w:div w:id="1509558239">
                      <w:marLeft w:val="0"/>
                      <w:marRight w:val="0"/>
                      <w:marTop w:val="0"/>
                      <w:marBottom w:val="0"/>
                      <w:divBdr>
                        <w:top w:val="none" w:sz="0" w:space="0" w:color="auto"/>
                        <w:left w:val="none" w:sz="0" w:space="0" w:color="auto"/>
                        <w:bottom w:val="none" w:sz="0" w:space="0" w:color="auto"/>
                        <w:right w:val="none" w:sz="0" w:space="0" w:color="auto"/>
                      </w:divBdr>
                    </w:div>
                  </w:divsChild>
                </w:div>
                <w:div w:id="65498024">
                  <w:marLeft w:val="0"/>
                  <w:marRight w:val="0"/>
                  <w:marTop w:val="0"/>
                  <w:marBottom w:val="0"/>
                  <w:divBdr>
                    <w:top w:val="none" w:sz="0" w:space="0" w:color="auto"/>
                    <w:left w:val="none" w:sz="0" w:space="0" w:color="auto"/>
                    <w:bottom w:val="none" w:sz="0" w:space="0" w:color="auto"/>
                    <w:right w:val="none" w:sz="0" w:space="0" w:color="auto"/>
                  </w:divBdr>
                  <w:divsChild>
                    <w:div w:id="2121534318">
                      <w:marLeft w:val="0"/>
                      <w:marRight w:val="0"/>
                      <w:marTop w:val="0"/>
                      <w:marBottom w:val="0"/>
                      <w:divBdr>
                        <w:top w:val="none" w:sz="0" w:space="0" w:color="auto"/>
                        <w:left w:val="none" w:sz="0" w:space="0" w:color="auto"/>
                        <w:bottom w:val="none" w:sz="0" w:space="0" w:color="auto"/>
                        <w:right w:val="none" w:sz="0" w:space="0" w:color="auto"/>
                      </w:divBdr>
                    </w:div>
                  </w:divsChild>
                </w:div>
                <w:div w:id="141240132">
                  <w:marLeft w:val="0"/>
                  <w:marRight w:val="0"/>
                  <w:marTop w:val="0"/>
                  <w:marBottom w:val="0"/>
                  <w:divBdr>
                    <w:top w:val="none" w:sz="0" w:space="0" w:color="auto"/>
                    <w:left w:val="none" w:sz="0" w:space="0" w:color="auto"/>
                    <w:bottom w:val="none" w:sz="0" w:space="0" w:color="auto"/>
                    <w:right w:val="none" w:sz="0" w:space="0" w:color="auto"/>
                  </w:divBdr>
                  <w:divsChild>
                    <w:div w:id="376054276">
                      <w:marLeft w:val="0"/>
                      <w:marRight w:val="0"/>
                      <w:marTop w:val="0"/>
                      <w:marBottom w:val="0"/>
                      <w:divBdr>
                        <w:top w:val="none" w:sz="0" w:space="0" w:color="auto"/>
                        <w:left w:val="none" w:sz="0" w:space="0" w:color="auto"/>
                        <w:bottom w:val="none" w:sz="0" w:space="0" w:color="auto"/>
                        <w:right w:val="none" w:sz="0" w:space="0" w:color="auto"/>
                      </w:divBdr>
                    </w:div>
                  </w:divsChild>
                </w:div>
                <w:div w:id="227812958">
                  <w:marLeft w:val="0"/>
                  <w:marRight w:val="0"/>
                  <w:marTop w:val="0"/>
                  <w:marBottom w:val="0"/>
                  <w:divBdr>
                    <w:top w:val="none" w:sz="0" w:space="0" w:color="auto"/>
                    <w:left w:val="none" w:sz="0" w:space="0" w:color="auto"/>
                    <w:bottom w:val="none" w:sz="0" w:space="0" w:color="auto"/>
                    <w:right w:val="none" w:sz="0" w:space="0" w:color="auto"/>
                  </w:divBdr>
                  <w:divsChild>
                    <w:div w:id="1925725839">
                      <w:marLeft w:val="0"/>
                      <w:marRight w:val="0"/>
                      <w:marTop w:val="0"/>
                      <w:marBottom w:val="0"/>
                      <w:divBdr>
                        <w:top w:val="none" w:sz="0" w:space="0" w:color="auto"/>
                        <w:left w:val="none" w:sz="0" w:space="0" w:color="auto"/>
                        <w:bottom w:val="none" w:sz="0" w:space="0" w:color="auto"/>
                        <w:right w:val="none" w:sz="0" w:space="0" w:color="auto"/>
                      </w:divBdr>
                    </w:div>
                  </w:divsChild>
                </w:div>
                <w:div w:id="372578575">
                  <w:marLeft w:val="0"/>
                  <w:marRight w:val="0"/>
                  <w:marTop w:val="0"/>
                  <w:marBottom w:val="0"/>
                  <w:divBdr>
                    <w:top w:val="none" w:sz="0" w:space="0" w:color="auto"/>
                    <w:left w:val="none" w:sz="0" w:space="0" w:color="auto"/>
                    <w:bottom w:val="none" w:sz="0" w:space="0" w:color="auto"/>
                    <w:right w:val="none" w:sz="0" w:space="0" w:color="auto"/>
                  </w:divBdr>
                  <w:divsChild>
                    <w:div w:id="1014262282">
                      <w:marLeft w:val="0"/>
                      <w:marRight w:val="0"/>
                      <w:marTop w:val="0"/>
                      <w:marBottom w:val="0"/>
                      <w:divBdr>
                        <w:top w:val="none" w:sz="0" w:space="0" w:color="auto"/>
                        <w:left w:val="none" w:sz="0" w:space="0" w:color="auto"/>
                        <w:bottom w:val="none" w:sz="0" w:space="0" w:color="auto"/>
                        <w:right w:val="none" w:sz="0" w:space="0" w:color="auto"/>
                      </w:divBdr>
                    </w:div>
                  </w:divsChild>
                </w:div>
                <w:div w:id="412970473">
                  <w:marLeft w:val="0"/>
                  <w:marRight w:val="0"/>
                  <w:marTop w:val="0"/>
                  <w:marBottom w:val="0"/>
                  <w:divBdr>
                    <w:top w:val="none" w:sz="0" w:space="0" w:color="auto"/>
                    <w:left w:val="none" w:sz="0" w:space="0" w:color="auto"/>
                    <w:bottom w:val="none" w:sz="0" w:space="0" w:color="auto"/>
                    <w:right w:val="none" w:sz="0" w:space="0" w:color="auto"/>
                  </w:divBdr>
                  <w:divsChild>
                    <w:div w:id="1325281968">
                      <w:marLeft w:val="0"/>
                      <w:marRight w:val="0"/>
                      <w:marTop w:val="0"/>
                      <w:marBottom w:val="0"/>
                      <w:divBdr>
                        <w:top w:val="none" w:sz="0" w:space="0" w:color="auto"/>
                        <w:left w:val="none" w:sz="0" w:space="0" w:color="auto"/>
                        <w:bottom w:val="none" w:sz="0" w:space="0" w:color="auto"/>
                        <w:right w:val="none" w:sz="0" w:space="0" w:color="auto"/>
                      </w:divBdr>
                    </w:div>
                  </w:divsChild>
                </w:div>
                <w:div w:id="413236542">
                  <w:marLeft w:val="0"/>
                  <w:marRight w:val="0"/>
                  <w:marTop w:val="0"/>
                  <w:marBottom w:val="0"/>
                  <w:divBdr>
                    <w:top w:val="none" w:sz="0" w:space="0" w:color="auto"/>
                    <w:left w:val="none" w:sz="0" w:space="0" w:color="auto"/>
                    <w:bottom w:val="none" w:sz="0" w:space="0" w:color="auto"/>
                    <w:right w:val="none" w:sz="0" w:space="0" w:color="auto"/>
                  </w:divBdr>
                  <w:divsChild>
                    <w:div w:id="1787043112">
                      <w:marLeft w:val="0"/>
                      <w:marRight w:val="0"/>
                      <w:marTop w:val="0"/>
                      <w:marBottom w:val="0"/>
                      <w:divBdr>
                        <w:top w:val="none" w:sz="0" w:space="0" w:color="auto"/>
                        <w:left w:val="none" w:sz="0" w:space="0" w:color="auto"/>
                        <w:bottom w:val="none" w:sz="0" w:space="0" w:color="auto"/>
                        <w:right w:val="none" w:sz="0" w:space="0" w:color="auto"/>
                      </w:divBdr>
                    </w:div>
                  </w:divsChild>
                </w:div>
                <w:div w:id="437455804">
                  <w:marLeft w:val="0"/>
                  <w:marRight w:val="0"/>
                  <w:marTop w:val="0"/>
                  <w:marBottom w:val="0"/>
                  <w:divBdr>
                    <w:top w:val="none" w:sz="0" w:space="0" w:color="auto"/>
                    <w:left w:val="none" w:sz="0" w:space="0" w:color="auto"/>
                    <w:bottom w:val="none" w:sz="0" w:space="0" w:color="auto"/>
                    <w:right w:val="none" w:sz="0" w:space="0" w:color="auto"/>
                  </w:divBdr>
                  <w:divsChild>
                    <w:div w:id="1041126650">
                      <w:marLeft w:val="0"/>
                      <w:marRight w:val="0"/>
                      <w:marTop w:val="0"/>
                      <w:marBottom w:val="0"/>
                      <w:divBdr>
                        <w:top w:val="none" w:sz="0" w:space="0" w:color="auto"/>
                        <w:left w:val="none" w:sz="0" w:space="0" w:color="auto"/>
                        <w:bottom w:val="none" w:sz="0" w:space="0" w:color="auto"/>
                        <w:right w:val="none" w:sz="0" w:space="0" w:color="auto"/>
                      </w:divBdr>
                    </w:div>
                  </w:divsChild>
                </w:div>
                <w:div w:id="474488577">
                  <w:marLeft w:val="0"/>
                  <w:marRight w:val="0"/>
                  <w:marTop w:val="0"/>
                  <w:marBottom w:val="0"/>
                  <w:divBdr>
                    <w:top w:val="none" w:sz="0" w:space="0" w:color="auto"/>
                    <w:left w:val="none" w:sz="0" w:space="0" w:color="auto"/>
                    <w:bottom w:val="none" w:sz="0" w:space="0" w:color="auto"/>
                    <w:right w:val="none" w:sz="0" w:space="0" w:color="auto"/>
                  </w:divBdr>
                  <w:divsChild>
                    <w:div w:id="1647933589">
                      <w:marLeft w:val="0"/>
                      <w:marRight w:val="0"/>
                      <w:marTop w:val="0"/>
                      <w:marBottom w:val="0"/>
                      <w:divBdr>
                        <w:top w:val="none" w:sz="0" w:space="0" w:color="auto"/>
                        <w:left w:val="none" w:sz="0" w:space="0" w:color="auto"/>
                        <w:bottom w:val="none" w:sz="0" w:space="0" w:color="auto"/>
                        <w:right w:val="none" w:sz="0" w:space="0" w:color="auto"/>
                      </w:divBdr>
                    </w:div>
                  </w:divsChild>
                </w:div>
                <w:div w:id="807863721">
                  <w:marLeft w:val="0"/>
                  <w:marRight w:val="0"/>
                  <w:marTop w:val="0"/>
                  <w:marBottom w:val="0"/>
                  <w:divBdr>
                    <w:top w:val="none" w:sz="0" w:space="0" w:color="auto"/>
                    <w:left w:val="none" w:sz="0" w:space="0" w:color="auto"/>
                    <w:bottom w:val="none" w:sz="0" w:space="0" w:color="auto"/>
                    <w:right w:val="none" w:sz="0" w:space="0" w:color="auto"/>
                  </w:divBdr>
                  <w:divsChild>
                    <w:div w:id="1917280124">
                      <w:marLeft w:val="0"/>
                      <w:marRight w:val="0"/>
                      <w:marTop w:val="0"/>
                      <w:marBottom w:val="0"/>
                      <w:divBdr>
                        <w:top w:val="none" w:sz="0" w:space="0" w:color="auto"/>
                        <w:left w:val="none" w:sz="0" w:space="0" w:color="auto"/>
                        <w:bottom w:val="none" w:sz="0" w:space="0" w:color="auto"/>
                        <w:right w:val="none" w:sz="0" w:space="0" w:color="auto"/>
                      </w:divBdr>
                    </w:div>
                  </w:divsChild>
                </w:div>
                <w:div w:id="812258957">
                  <w:marLeft w:val="0"/>
                  <w:marRight w:val="0"/>
                  <w:marTop w:val="0"/>
                  <w:marBottom w:val="0"/>
                  <w:divBdr>
                    <w:top w:val="none" w:sz="0" w:space="0" w:color="auto"/>
                    <w:left w:val="none" w:sz="0" w:space="0" w:color="auto"/>
                    <w:bottom w:val="none" w:sz="0" w:space="0" w:color="auto"/>
                    <w:right w:val="none" w:sz="0" w:space="0" w:color="auto"/>
                  </w:divBdr>
                  <w:divsChild>
                    <w:div w:id="885947505">
                      <w:marLeft w:val="0"/>
                      <w:marRight w:val="0"/>
                      <w:marTop w:val="0"/>
                      <w:marBottom w:val="0"/>
                      <w:divBdr>
                        <w:top w:val="none" w:sz="0" w:space="0" w:color="auto"/>
                        <w:left w:val="none" w:sz="0" w:space="0" w:color="auto"/>
                        <w:bottom w:val="none" w:sz="0" w:space="0" w:color="auto"/>
                        <w:right w:val="none" w:sz="0" w:space="0" w:color="auto"/>
                      </w:divBdr>
                    </w:div>
                  </w:divsChild>
                </w:div>
                <w:div w:id="860121811">
                  <w:marLeft w:val="0"/>
                  <w:marRight w:val="0"/>
                  <w:marTop w:val="0"/>
                  <w:marBottom w:val="0"/>
                  <w:divBdr>
                    <w:top w:val="none" w:sz="0" w:space="0" w:color="auto"/>
                    <w:left w:val="none" w:sz="0" w:space="0" w:color="auto"/>
                    <w:bottom w:val="none" w:sz="0" w:space="0" w:color="auto"/>
                    <w:right w:val="none" w:sz="0" w:space="0" w:color="auto"/>
                  </w:divBdr>
                  <w:divsChild>
                    <w:div w:id="78137177">
                      <w:marLeft w:val="0"/>
                      <w:marRight w:val="0"/>
                      <w:marTop w:val="0"/>
                      <w:marBottom w:val="0"/>
                      <w:divBdr>
                        <w:top w:val="none" w:sz="0" w:space="0" w:color="auto"/>
                        <w:left w:val="none" w:sz="0" w:space="0" w:color="auto"/>
                        <w:bottom w:val="none" w:sz="0" w:space="0" w:color="auto"/>
                        <w:right w:val="none" w:sz="0" w:space="0" w:color="auto"/>
                      </w:divBdr>
                    </w:div>
                  </w:divsChild>
                </w:div>
                <w:div w:id="889729650">
                  <w:marLeft w:val="0"/>
                  <w:marRight w:val="0"/>
                  <w:marTop w:val="0"/>
                  <w:marBottom w:val="0"/>
                  <w:divBdr>
                    <w:top w:val="none" w:sz="0" w:space="0" w:color="auto"/>
                    <w:left w:val="none" w:sz="0" w:space="0" w:color="auto"/>
                    <w:bottom w:val="none" w:sz="0" w:space="0" w:color="auto"/>
                    <w:right w:val="none" w:sz="0" w:space="0" w:color="auto"/>
                  </w:divBdr>
                  <w:divsChild>
                    <w:div w:id="170532220">
                      <w:marLeft w:val="0"/>
                      <w:marRight w:val="0"/>
                      <w:marTop w:val="0"/>
                      <w:marBottom w:val="0"/>
                      <w:divBdr>
                        <w:top w:val="none" w:sz="0" w:space="0" w:color="auto"/>
                        <w:left w:val="none" w:sz="0" w:space="0" w:color="auto"/>
                        <w:bottom w:val="none" w:sz="0" w:space="0" w:color="auto"/>
                        <w:right w:val="none" w:sz="0" w:space="0" w:color="auto"/>
                      </w:divBdr>
                    </w:div>
                  </w:divsChild>
                </w:div>
                <w:div w:id="950477026">
                  <w:marLeft w:val="0"/>
                  <w:marRight w:val="0"/>
                  <w:marTop w:val="0"/>
                  <w:marBottom w:val="0"/>
                  <w:divBdr>
                    <w:top w:val="none" w:sz="0" w:space="0" w:color="auto"/>
                    <w:left w:val="none" w:sz="0" w:space="0" w:color="auto"/>
                    <w:bottom w:val="none" w:sz="0" w:space="0" w:color="auto"/>
                    <w:right w:val="none" w:sz="0" w:space="0" w:color="auto"/>
                  </w:divBdr>
                  <w:divsChild>
                    <w:div w:id="2008167659">
                      <w:marLeft w:val="0"/>
                      <w:marRight w:val="0"/>
                      <w:marTop w:val="0"/>
                      <w:marBottom w:val="0"/>
                      <w:divBdr>
                        <w:top w:val="none" w:sz="0" w:space="0" w:color="auto"/>
                        <w:left w:val="none" w:sz="0" w:space="0" w:color="auto"/>
                        <w:bottom w:val="none" w:sz="0" w:space="0" w:color="auto"/>
                        <w:right w:val="none" w:sz="0" w:space="0" w:color="auto"/>
                      </w:divBdr>
                    </w:div>
                  </w:divsChild>
                </w:div>
                <w:div w:id="1012994012">
                  <w:marLeft w:val="0"/>
                  <w:marRight w:val="0"/>
                  <w:marTop w:val="0"/>
                  <w:marBottom w:val="0"/>
                  <w:divBdr>
                    <w:top w:val="none" w:sz="0" w:space="0" w:color="auto"/>
                    <w:left w:val="none" w:sz="0" w:space="0" w:color="auto"/>
                    <w:bottom w:val="none" w:sz="0" w:space="0" w:color="auto"/>
                    <w:right w:val="none" w:sz="0" w:space="0" w:color="auto"/>
                  </w:divBdr>
                  <w:divsChild>
                    <w:div w:id="265163382">
                      <w:marLeft w:val="0"/>
                      <w:marRight w:val="0"/>
                      <w:marTop w:val="0"/>
                      <w:marBottom w:val="0"/>
                      <w:divBdr>
                        <w:top w:val="none" w:sz="0" w:space="0" w:color="auto"/>
                        <w:left w:val="none" w:sz="0" w:space="0" w:color="auto"/>
                        <w:bottom w:val="none" w:sz="0" w:space="0" w:color="auto"/>
                        <w:right w:val="none" w:sz="0" w:space="0" w:color="auto"/>
                      </w:divBdr>
                    </w:div>
                  </w:divsChild>
                </w:div>
                <w:div w:id="1489440078">
                  <w:marLeft w:val="0"/>
                  <w:marRight w:val="0"/>
                  <w:marTop w:val="0"/>
                  <w:marBottom w:val="0"/>
                  <w:divBdr>
                    <w:top w:val="none" w:sz="0" w:space="0" w:color="auto"/>
                    <w:left w:val="none" w:sz="0" w:space="0" w:color="auto"/>
                    <w:bottom w:val="none" w:sz="0" w:space="0" w:color="auto"/>
                    <w:right w:val="none" w:sz="0" w:space="0" w:color="auto"/>
                  </w:divBdr>
                  <w:divsChild>
                    <w:div w:id="1966693455">
                      <w:marLeft w:val="0"/>
                      <w:marRight w:val="0"/>
                      <w:marTop w:val="0"/>
                      <w:marBottom w:val="0"/>
                      <w:divBdr>
                        <w:top w:val="none" w:sz="0" w:space="0" w:color="auto"/>
                        <w:left w:val="none" w:sz="0" w:space="0" w:color="auto"/>
                        <w:bottom w:val="none" w:sz="0" w:space="0" w:color="auto"/>
                        <w:right w:val="none" w:sz="0" w:space="0" w:color="auto"/>
                      </w:divBdr>
                    </w:div>
                  </w:divsChild>
                </w:div>
                <w:div w:id="1570770116">
                  <w:marLeft w:val="0"/>
                  <w:marRight w:val="0"/>
                  <w:marTop w:val="0"/>
                  <w:marBottom w:val="0"/>
                  <w:divBdr>
                    <w:top w:val="none" w:sz="0" w:space="0" w:color="auto"/>
                    <w:left w:val="none" w:sz="0" w:space="0" w:color="auto"/>
                    <w:bottom w:val="none" w:sz="0" w:space="0" w:color="auto"/>
                    <w:right w:val="none" w:sz="0" w:space="0" w:color="auto"/>
                  </w:divBdr>
                  <w:divsChild>
                    <w:div w:id="1731803566">
                      <w:marLeft w:val="0"/>
                      <w:marRight w:val="0"/>
                      <w:marTop w:val="0"/>
                      <w:marBottom w:val="0"/>
                      <w:divBdr>
                        <w:top w:val="none" w:sz="0" w:space="0" w:color="auto"/>
                        <w:left w:val="none" w:sz="0" w:space="0" w:color="auto"/>
                        <w:bottom w:val="none" w:sz="0" w:space="0" w:color="auto"/>
                        <w:right w:val="none" w:sz="0" w:space="0" w:color="auto"/>
                      </w:divBdr>
                    </w:div>
                  </w:divsChild>
                </w:div>
                <w:div w:id="1608344200">
                  <w:marLeft w:val="0"/>
                  <w:marRight w:val="0"/>
                  <w:marTop w:val="0"/>
                  <w:marBottom w:val="0"/>
                  <w:divBdr>
                    <w:top w:val="none" w:sz="0" w:space="0" w:color="auto"/>
                    <w:left w:val="none" w:sz="0" w:space="0" w:color="auto"/>
                    <w:bottom w:val="none" w:sz="0" w:space="0" w:color="auto"/>
                    <w:right w:val="none" w:sz="0" w:space="0" w:color="auto"/>
                  </w:divBdr>
                  <w:divsChild>
                    <w:div w:id="954753213">
                      <w:marLeft w:val="0"/>
                      <w:marRight w:val="0"/>
                      <w:marTop w:val="0"/>
                      <w:marBottom w:val="0"/>
                      <w:divBdr>
                        <w:top w:val="none" w:sz="0" w:space="0" w:color="auto"/>
                        <w:left w:val="none" w:sz="0" w:space="0" w:color="auto"/>
                        <w:bottom w:val="none" w:sz="0" w:space="0" w:color="auto"/>
                        <w:right w:val="none" w:sz="0" w:space="0" w:color="auto"/>
                      </w:divBdr>
                    </w:div>
                  </w:divsChild>
                </w:div>
                <w:div w:id="1635476644">
                  <w:marLeft w:val="0"/>
                  <w:marRight w:val="0"/>
                  <w:marTop w:val="0"/>
                  <w:marBottom w:val="0"/>
                  <w:divBdr>
                    <w:top w:val="none" w:sz="0" w:space="0" w:color="auto"/>
                    <w:left w:val="none" w:sz="0" w:space="0" w:color="auto"/>
                    <w:bottom w:val="none" w:sz="0" w:space="0" w:color="auto"/>
                    <w:right w:val="none" w:sz="0" w:space="0" w:color="auto"/>
                  </w:divBdr>
                  <w:divsChild>
                    <w:div w:id="861865600">
                      <w:marLeft w:val="0"/>
                      <w:marRight w:val="0"/>
                      <w:marTop w:val="0"/>
                      <w:marBottom w:val="0"/>
                      <w:divBdr>
                        <w:top w:val="none" w:sz="0" w:space="0" w:color="auto"/>
                        <w:left w:val="none" w:sz="0" w:space="0" w:color="auto"/>
                        <w:bottom w:val="none" w:sz="0" w:space="0" w:color="auto"/>
                        <w:right w:val="none" w:sz="0" w:space="0" w:color="auto"/>
                      </w:divBdr>
                    </w:div>
                  </w:divsChild>
                </w:div>
                <w:div w:id="1639065579">
                  <w:marLeft w:val="0"/>
                  <w:marRight w:val="0"/>
                  <w:marTop w:val="0"/>
                  <w:marBottom w:val="0"/>
                  <w:divBdr>
                    <w:top w:val="none" w:sz="0" w:space="0" w:color="auto"/>
                    <w:left w:val="none" w:sz="0" w:space="0" w:color="auto"/>
                    <w:bottom w:val="none" w:sz="0" w:space="0" w:color="auto"/>
                    <w:right w:val="none" w:sz="0" w:space="0" w:color="auto"/>
                  </w:divBdr>
                  <w:divsChild>
                    <w:div w:id="1988048966">
                      <w:marLeft w:val="0"/>
                      <w:marRight w:val="0"/>
                      <w:marTop w:val="0"/>
                      <w:marBottom w:val="0"/>
                      <w:divBdr>
                        <w:top w:val="none" w:sz="0" w:space="0" w:color="auto"/>
                        <w:left w:val="none" w:sz="0" w:space="0" w:color="auto"/>
                        <w:bottom w:val="none" w:sz="0" w:space="0" w:color="auto"/>
                        <w:right w:val="none" w:sz="0" w:space="0" w:color="auto"/>
                      </w:divBdr>
                    </w:div>
                  </w:divsChild>
                </w:div>
                <w:div w:id="1704671320">
                  <w:marLeft w:val="0"/>
                  <w:marRight w:val="0"/>
                  <w:marTop w:val="0"/>
                  <w:marBottom w:val="0"/>
                  <w:divBdr>
                    <w:top w:val="none" w:sz="0" w:space="0" w:color="auto"/>
                    <w:left w:val="none" w:sz="0" w:space="0" w:color="auto"/>
                    <w:bottom w:val="none" w:sz="0" w:space="0" w:color="auto"/>
                    <w:right w:val="none" w:sz="0" w:space="0" w:color="auto"/>
                  </w:divBdr>
                  <w:divsChild>
                    <w:div w:id="1615747264">
                      <w:marLeft w:val="0"/>
                      <w:marRight w:val="0"/>
                      <w:marTop w:val="0"/>
                      <w:marBottom w:val="0"/>
                      <w:divBdr>
                        <w:top w:val="none" w:sz="0" w:space="0" w:color="auto"/>
                        <w:left w:val="none" w:sz="0" w:space="0" w:color="auto"/>
                        <w:bottom w:val="none" w:sz="0" w:space="0" w:color="auto"/>
                        <w:right w:val="none" w:sz="0" w:space="0" w:color="auto"/>
                      </w:divBdr>
                    </w:div>
                  </w:divsChild>
                </w:div>
                <w:div w:id="1730500090">
                  <w:marLeft w:val="0"/>
                  <w:marRight w:val="0"/>
                  <w:marTop w:val="0"/>
                  <w:marBottom w:val="0"/>
                  <w:divBdr>
                    <w:top w:val="none" w:sz="0" w:space="0" w:color="auto"/>
                    <w:left w:val="none" w:sz="0" w:space="0" w:color="auto"/>
                    <w:bottom w:val="none" w:sz="0" w:space="0" w:color="auto"/>
                    <w:right w:val="none" w:sz="0" w:space="0" w:color="auto"/>
                  </w:divBdr>
                  <w:divsChild>
                    <w:div w:id="298145500">
                      <w:marLeft w:val="0"/>
                      <w:marRight w:val="0"/>
                      <w:marTop w:val="0"/>
                      <w:marBottom w:val="0"/>
                      <w:divBdr>
                        <w:top w:val="none" w:sz="0" w:space="0" w:color="auto"/>
                        <w:left w:val="none" w:sz="0" w:space="0" w:color="auto"/>
                        <w:bottom w:val="none" w:sz="0" w:space="0" w:color="auto"/>
                        <w:right w:val="none" w:sz="0" w:space="0" w:color="auto"/>
                      </w:divBdr>
                    </w:div>
                  </w:divsChild>
                </w:div>
                <w:div w:id="1976642425">
                  <w:marLeft w:val="0"/>
                  <w:marRight w:val="0"/>
                  <w:marTop w:val="0"/>
                  <w:marBottom w:val="0"/>
                  <w:divBdr>
                    <w:top w:val="none" w:sz="0" w:space="0" w:color="auto"/>
                    <w:left w:val="none" w:sz="0" w:space="0" w:color="auto"/>
                    <w:bottom w:val="none" w:sz="0" w:space="0" w:color="auto"/>
                    <w:right w:val="none" w:sz="0" w:space="0" w:color="auto"/>
                  </w:divBdr>
                  <w:divsChild>
                    <w:div w:id="1579434755">
                      <w:marLeft w:val="0"/>
                      <w:marRight w:val="0"/>
                      <w:marTop w:val="0"/>
                      <w:marBottom w:val="0"/>
                      <w:divBdr>
                        <w:top w:val="none" w:sz="0" w:space="0" w:color="auto"/>
                        <w:left w:val="none" w:sz="0" w:space="0" w:color="auto"/>
                        <w:bottom w:val="none" w:sz="0" w:space="0" w:color="auto"/>
                        <w:right w:val="none" w:sz="0" w:space="0" w:color="auto"/>
                      </w:divBdr>
                    </w:div>
                  </w:divsChild>
                </w:div>
                <w:div w:id="1980568215">
                  <w:marLeft w:val="0"/>
                  <w:marRight w:val="0"/>
                  <w:marTop w:val="0"/>
                  <w:marBottom w:val="0"/>
                  <w:divBdr>
                    <w:top w:val="none" w:sz="0" w:space="0" w:color="auto"/>
                    <w:left w:val="none" w:sz="0" w:space="0" w:color="auto"/>
                    <w:bottom w:val="none" w:sz="0" w:space="0" w:color="auto"/>
                    <w:right w:val="none" w:sz="0" w:space="0" w:color="auto"/>
                  </w:divBdr>
                  <w:divsChild>
                    <w:div w:id="708073371">
                      <w:marLeft w:val="0"/>
                      <w:marRight w:val="0"/>
                      <w:marTop w:val="0"/>
                      <w:marBottom w:val="0"/>
                      <w:divBdr>
                        <w:top w:val="none" w:sz="0" w:space="0" w:color="auto"/>
                        <w:left w:val="none" w:sz="0" w:space="0" w:color="auto"/>
                        <w:bottom w:val="none" w:sz="0" w:space="0" w:color="auto"/>
                        <w:right w:val="none" w:sz="0" w:space="0" w:color="auto"/>
                      </w:divBdr>
                    </w:div>
                  </w:divsChild>
                </w:div>
                <w:div w:id="2038463977">
                  <w:marLeft w:val="0"/>
                  <w:marRight w:val="0"/>
                  <w:marTop w:val="0"/>
                  <w:marBottom w:val="0"/>
                  <w:divBdr>
                    <w:top w:val="none" w:sz="0" w:space="0" w:color="auto"/>
                    <w:left w:val="none" w:sz="0" w:space="0" w:color="auto"/>
                    <w:bottom w:val="none" w:sz="0" w:space="0" w:color="auto"/>
                    <w:right w:val="none" w:sz="0" w:space="0" w:color="auto"/>
                  </w:divBdr>
                  <w:divsChild>
                    <w:div w:id="546602983">
                      <w:marLeft w:val="0"/>
                      <w:marRight w:val="0"/>
                      <w:marTop w:val="0"/>
                      <w:marBottom w:val="0"/>
                      <w:divBdr>
                        <w:top w:val="none" w:sz="0" w:space="0" w:color="auto"/>
                        <w:left w:val="none" w:sz="0" w:space="0" w:color="auto"/>
                        <w:bottom w:val="none" w:sz="0" w:space="0" w:color="auto"/>
                        <w:right w:val="none" w:sz="0" w:space="0" w:color="auto"/>
                      </w:divBdr>
                    </w:div>
                  </w:divsChild>
                </w:div>
                <w:div w:id="2045669724">
                  <w:marLeft w:val="0"/>
                  <w:marRight w:val="0"/>
                  <w:marTop w:val="0"/>
                  <w:marBottom w:val="0"/>
                  <w:divBdr>
                    <w:top w:val="none" w:sz="0" w:space="0" w:color="auto"/>
                    <w:left w:val="none" w:sz="0" w:space="0" w:color="auto"/>
                    <w:bottom w:val="none" w:sz="0" w:space="0" w:color="auto"/>
                    <w:right w:val="none" w:sz="0" w:space="0" w:color="auto"/>
                  </w:divBdr>
                  <w:divsChild>
                    <w:div w:id="452215872">
                      <w:marLeft w:val="0"/>
                      <w:marRight w:val="0"/>
                      <w:marTop w:val="0"/>
                      <w:marBottom w:val="0"/>
                      <w:divBdr>
                        <w:top w:val="none" w:sz="0" w:space="0" w:color="auto"/>
                        <w:left w:val="none" w:sz="0" w:space="0" w:color="auto"/>
                        <w:bottom w:val="none" w:sz="0" w:space="0" w:color="auto"/>
                        <w:right w:val="none" w:sz="0" w:space="0" w:color="auto"/>
                      </w:divBdr>
                    </w:div>
                    <w:div w:id="691371811">
                      <w:marLeft w:val="0"/>
                      <w:marRight w:val="0"/>
                      <w:marTop w:val="0"/>
                      <w:marBottom w:val="0"/>
                      <w:divBdr>
                        <w:top w:val="none" w:sz="0" w:space="0" w:color="auto"/>
                        <w:left w:val="none" w:sz="0" w:space="0" w:color="auto"/>
                        <w:bottom w:val="none" w:sz="0" w:space="0" w:color="auto"/>
                        <w:right w:val="none" w:sz="0" w:space="0" w:color="auto"/>
                      </w:divBdr>
                    </w:div>
                  </w:divsChild>
                </w:div>
                <w:div w:id="2135362517">
                  <w:marLeft w:val="0"/>
                  <w:marRight w:val="0"/>
                  <w:marTop w:val="0"/>
                  <w:marBottom w:val="0"/>
                  <w:divBdr>
                    <w:top w:val="none" w:sz="0" w:space="0" w:color="auto"/>
                    <w:left w:val="none" w:sz="0" w:space="0" w:color="auto"/>
                    <w:bottom w:val="none" w:sz="0" w:space="0" w:color="auto"/>
                    <w:right w:val="none" w:sz="0" w:space="0" w:color="auto"/>
                  </w:divBdr>
                  <w:divsChild>
                    <w:div w:id="115110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500261">
          <w:marLeft w:val="0"/>
          <w:marRight w:val="0"/>
          <w:marTop w:val="0"/>
          <w:marBottom w:val="0"/>
          <w:divBdr>
            <w:top w:val="none" w:sz="0" w:space="0" w:color="auto"/>
            <w:left w:val="none" w:sz="0" w:space="0" w:color="auto"/>
            <w:bottom w:val="none" w:sz="0" w:space="0" w:color="auto"/>
            <w:right w:val="none" w:sz="0" w:space="0" w:color="auto"/>
          </w:divBdr>
        </w:div>
        <w:div w:id="1496142828">
          <w:marLeft w:val="0"/>
          <w:marRight w:val="0"/>
          <w:marTop w:val="0"/>
          <w:marBottom w:val="0"/>
          <w:divBdr>
            <w:top w:val="none" w:sz="0" w:space="0" w:color="auto"/>
            <w:left w:val="none" w:sz="0" w:space="0" w:color="auto"/>
            <w:bottom w:val="none" w:sz="0" w:space="0" w:color="auto"/>
            <w:right w:val="none" w:sz="0" w:space="0" w:color="auto"/>
          </w:divBdr>
        </w:div>
        <w:div w:id="1522476808">
          <w:marLeft w:val="0"/>
          <w:marRight w:val="0"/>
          <w:marTop w:val="0"/>
          <w:marBottom w:val="0"/>
          <w:divBdr>
            <w:top w:val="none" w:sz="0" w:space="0" w:color="auto"/>
            <w:left w:val="none" w:sz="0" w:space="0" w:color="auto"/>
            <w:bottom w:val="none" w:sz="0" w:space="0" w:color="auto"/>
            <w:right w:val="none" w:sz="0" w:space="0" w:color="auto"/>
          </w:divBdr>
          <w:divsChild>
            <w:div w:id="1811552897">
              <w:marLeft w:val="-75"/>
              <w:marRight w:val="0"/>
              <w:marTop w:val="30"/>
              <w:marBottom w:val="30"/>
              <w:divBdr>
                <w:top w:val="none" w:sz="0" w:space="0" w:color="auto"/>
                <w:left w:val="none" w:sz="0" w:space="0" w:color="auto"/>
                <w:bottom w:val="none" w:sz="0" w:space="0" w:color="auto"/>
                <w:right w:val="none" w:sz="0" w:space="0" w:color="auto"/>
              </w:divBdr>
              <w:divsChild>
                <w:div w:id="17053721">
                  <w:marLeft w:val="0"/>
                  <w:marRight w:val="0"/>
                  <w:marTop w:val="0"/>
                  <w:marBottom w:val="0"/>
                  <w:divBdr>
                    <w:top w:val="none" w:sz="0" w:space="0" w:color="auto"/>
                    <w:left w:val="none" w:sz="0" w:space="0" w:color="auto"/>
                    <w:bottom w:val="none" w:sz="0" w:space="0" w:color="auto"/>
                    <w:right w:val="none" w:sz="0" w:space="0" w:color="auto"/>
                  </w:divBdr>
                  <w:divsChild>
                    <w:div w:id="1714622482">
                      <w:marLeft w:val="0"/>
                      <w:marRight w:val="0"/>
                      <w:marTop w:val="0"/>
                      <w:marBottom w:val="0"/>
                      <w:divBdr>
                        <w:top w:val="none" w:sz="0" w:space="0" w:color="auto"/>
                        <w:left w:val="none" w:sz="0" w:space="0" w:color="auto"/>
                        <w:bottom w:val="none" w:sz="0" w:space="0" w:color="auto"/>
                        <w:right w:val="none" w:sz="0" w:space="0" w:color="auto"/>
                      </w:divBdr>
                    </w:div>
                  </w:divsChild>
                </w:div>
                <w:div w:id="29310328">
                  <w:marLeft w:val="0"/>
                  <w:marRight w:val="0"/>
                  <w:marTop w:val="0"/>
                  <w:marBottom w:val="0"/>
                  <w:divBdr>
                    <w:top w:val="none" w:sz="0" w:space="0" w:color="auto"/>
                    <w:left w:val="none" w:sz="0" w:space="0" w:color="auto"/>
                    <w:bottom w:val="none" w:sz="0" w:space="0" w:color="auto"/>
                    <w:right w:val="none" w:sz="0" w:space="0" w:color="auto"/>
                  </w:divBdr>
                  <w:divsChild>
                    <w:div w:id="915818361">
                      <w:marLeft w:val="0"/>
                      <w:marRight w:val="0"/>
                      <w:marTop w:val="0"/>
                      <w:marBottom w:val="0"/>
                      <w:divBdr>
                        <w:top w:val="none" w:sz="0" w:space="0" w:color="auto"/>
                        <w:left w:val="none" w:sz="0" w:space="0" w:color="auto"/>
                        <w:bottom w:val="none" w:sz="0" w:space="0" w:color="auto"/>
                        <w:right w:val="none" w:sz="0" w:space="0" w:color="auto"/>
                      </w:divBdr>
                    </w:div>
                  </w:divsChild>
                </w:div>
                <w:div w:id="33578205">
                  <w:marLeft w:val="0"/>
                  <w:marRight w:val="0"/>
                  <w:marTop w:val="0"/>
                  <w:marBottom w:val="0"/>
                  <w:divBdr>
                    <w:top w:val="none" w:sz="0" w:space="0" w:color="auto"/>
                    <w:left w:val="none" w:sz="0" w:space="0" w:color="auto"/>
                    <w:bottom w:val="none" w:sz="0" w:space="0" w:color="auto"/>
                    <w:right w:val="none" w:sz="0" w:space="0" w:color="auto"/>
                  </w:divBdr>
                  <w:divsChild>
                    <w:div w:id="325714220">
                      <w:marLeft w:val="0"/>
                      <w:marRight w:val="0"/>
                      <w:marTop w:val="0"/>
                      <w:marBottom w:val="0"/>
                      <w:divBdr>
                        <w:top w:val="none" w:sz="0" w:space="0" w:color="auto"/>
                        <w:left w:val="none" w:sz="0" w:space="0" w:color="auto"/>
                        <w:bottom w:val="none" w:sz="0" w:space="0" w:color="auto"/>
                        <w:right w:val="none" w:sz="0" w:space="0" w:color="auto"/>
                      </w:divBdr>
                    </w:div>
                  </w:divsChild>
                </w:div>
                <w:div w:id="35129206">
                  <w:marLeft w:val="0"/>
                  <w:marRight w:val="0"/>
                  <w:marTop w:val="0"/>
                  <w:marBottom w:val="0"/>
                  <w:divBdr>
                    <w:top w:val="none" w:sz="0" w:space="0" w:color="auto"/>
                    <w:left w:val="none" w:sz="0" w:space="0" w:color="auto"/>
                    <w:bottom w:val="none" w:sz="0" w:space="0" w:color="auto"/>
                    <w:right w:val="none" w:sz="0" w:space="0" w:color="auto"/>
                  </w:divBdr>
                  <w:divsChild>
                    <w:div w:id="433869546">
                      <w:marLeft w:val="0"/>
                      <w:marRight w:val="0"/>
                      <w:marTop w:val="0"/>
                      <w:marBottom w:val="0"/>
                      <w:divBdr>
                        <w:top w:val="none" w:sz="0" w:space="0" w:color="auto"/>
                        <w:left w:val="none" w:sz="0" w:space="0" w:color="auto"/>
                        <w:bottom w:val="none" w:sz="0" w:space="0" w:color="auto"/>
                        <w:right w:val="none" w:sz="0" w:space="0" w:color="auto"/>
                      </w:divBdr>
                    </w:div>
                  </w:divsChild>
                </w:div>
                <w:div w:id="63651444">
                  <w:marLeft w:val="0"/>
                  <w:marRight w:val="0"/>
                  <w:marTop w:val="0"/>
                  <w:marBottom w:val="0"/>
                  <w:divBdr>
                    <w:top w:val="none" w:sz="0" w:space="0" w:color="auto"/>
                    <w:left w:val="none" w:sz="0" w:space="0" w:color="auto"/>
                    <w:bottom w:val="none" w:sz="0" w:space="0" w:color="auto"/>
                    <w:right w:val="none" w:sz="0" w:space="0" w:color="auto"/>
                  </w:divBdr>
                  <w:divsChild>
                    <w:div w:id="34697971">
                      <w:marLeft w:val="0"/>
                      <w:marRight w:val="0"/>
                      <w:marTop w:val="0"/>
                      <w:marBottom w:val="0"/>
                      <w:divBdr>
                        <w:top w:val="none" w:sz="0" w:space="0" w:color="auto"/>
                        <w:left w:val="none" w:sz="0" w:space="0" w:color="auto"/>
                        <w:bottom w:val="none" w:sz="0" w:space="0" w:color="auto"/>
                        <w:right w:val="none" w:sz="0" w:space="0" w:color="auto"/>
                      </w:divBdr>
                    </w:div>
                  </w:divsChild>
                </w:div>
                <w:div w:id="95751908">
                  <w:marLeft w:val="0"/>
                  <w:marRight w:val="0"/>
                  <w:marTop w:val="0"/>
                  <w:marBottom w:val="0"/>
                  <w:divBdr>
                    <w:top w:val="none" w:sz="0" w:space="0" w:color="auto"/>
                    <w:left w:val="none" w:sz="0" w:space="0" w:color="auto"/>
                    <w:bottom w:val="none" w:sz="0" w:space="0" w:color="auto"/>
                    <w:right w:val="none" w:sz="0" w:space="0" w:color="auto"/>
                  </w:divBdr>
                  <w:divsChild>
                    <w:div w:id="1639993533">
                      <w:marLeft w:val="0"/>
                      <w:marRight w:val="0"/>
                      <w:marTop w:val="0"/>
                      <w:marBottom w:val="0"/>
                      <w:divBdr>
                        <w:top w:val="none" w:sz="0" w:space="0" w:color="auto"/>
                        <w:left w:val="none" w:sz="0" w:space="0" w:color="auto"/>
                        <w:bottom w:val="none" w:sz="0" w:space="0" w:color="auto"/>
                        <w:right w:val="none" w:sz="0" w:space="0" w:color="auto"/>
                      </w:divBdr>
                    </w:div>
                  </w:divsChild>
                </w:div>
                <w:div w:id="111637502">
                  <w:marLeft w:val="0"/>
                  <w:marRight w:val="0"/>
                  <w:marTop w:val="0"/>
                  <w:marBottom w:val="0"/>
                  <w:divBdr>
                    <w:top w:val="none" w:sz="0" w:space="0" w:color="auto"/>
                    <w:left w:val="none" w:sz="0" w:space="0" w:color="auto"/>
                    <w:bottom w:val="none" w:sz="0" w:space="0" w:color="auto"/>
                    <w:right w:val="none" w:sz="0" w:space="0" w:color="auto"/>
                  </w:divBdr>
                  <w:divsChild>
                    <w:div w:id="636380544">
                      <w:marLeft w:val="0"/>
                      <w:marRight w:val="0"/>
                      <w:marTop w:val="0"/>
                      <w:marBottom w:val="0"/>
                      <w:divBdr>
                        <w:top w:val="none" w:sz="0" w:space="0" w:color="auto"/>
                        <w:left w:val="none" w:sz="0" w:space="0" w:color="auto"/>
                        <w:bottom w:val="none" w:sz="0" w:space="0" w:color="auto"/>
                        <w:right w:val="none" w:sz="0" w:space="0" w:color="auto"/>
                      </w:divBdr>
                    </w:div>
                  </w:divsChild>
                </w:div>
                <w:div w:id="153956645">
                  <w:marLeft w:val="0"/>
                  <w:marRight w:val="0"/>
                  <w:marTop w:val="0"/>
                  <w:marBottom w:val="0"/>
                  <w:divBdr>
                    <w:top w:val="none" w:sz="0" w:space="0" w:color="auto"/>
                    <w:left w:val="none" w:sz="0" w:space="0" w:color="auto"/>
                    <w:bottom w:val="none" w:sz="0" w:space="0" w:color="auto"/>
                    <w:right w:val="none" w:sz="0" w:space="0" w:color="auto"/>
                  </w:divBdr>
                  <w:divsChild>
                    <w:div w:id="532426739">
                      <w:marLeft w:val="0"/>
                      <w:marRight w:val="0"/>
                      <w:marTop w:val="0"/>
                      <w:marBottom w:val="0"/>
                      <w:divBdr>
                        <w:top w:val="none" w:sz="0" w:space="0" w:color="auto"/>
                        <w:left w:val="none" w:sz="0" w:space="0" w:color="auto"/>
                        <w:bottom w:val="none" w:sz="0" w:space="0" w:color="auto"/>
                        <w:right w:val="none" w:sz="0" w:space="0" w:color="auto"/>
                      </w:divBdr>
                    </w:div>
                  </w:divsChild>
                </w:div>
                <w:div w:id="196503366">
                  <w:marLeft w:val="0"/>
                  <w:marRight w:val="0"/>
                  <w:marTop w:val="0"/>
                  <w:marBottom w:val="0"/>
                  <w:divBdr>
                    <w:top w:val="none" w:sz="0" w:space="0" w:color="auto"/>
                    <w:left w:val="none" w:sz="0" w:space="0" w:color="auto"/>
                    <w:bottom w:val="none" w:sz="0" w:space="0" w:color="auto"/>
                    <w:right w:val="none" w:sz="0" w:space="0" w:color="auto"/>
                  </w:divBdr>
                  <w:divsChild>
                    <w:div w:id="1141458175">
                      <w:marLeft w:val="0"/>
                      <w:marRight w:val="0"/>
                      <w:marTop w:val="0"/>
                      <w:marBottom w:val="0"/>
                      <w:divBdr>
                        <w:top w:val="none" w:sz="0" w:space="0" w:color="auto"/>
                        <w:left w:val="none" w:sz="0" w:space="0" w:color="auto"/>
                        <w:bottom w:val="none" w:sz="0" w:space="0" w:color="auto"/>
                        <w:right w:val="none" w:sz="0" w:space="0" w:color="auto"/>
                      </w:divBdr>
                    </w:div>
                  </w:divsChild>
                </w:div>
                <w:div w:id="198323357">
                  <w:marLeft w:val="0"/>
                  <w:marRight w:val="0"/>
                  <w:marTop w:val="0"/>
                  <w:marBottom w:val="0"/>
                  <w:divBdr>
                    <w:top w:val="none" w:sz="0" w:space="0" w:color="auto"/>
                    <w:left w:val="none" w:sz="0" w:space="0" w:color="auto"/>
                    <w:bottom w:val="none" w:sz="0" w:space="0" w:color="auto"/>
                    <w:right w:val="none" w:sz="0" w:space="0" w:color="auto"/>
                  </w:divBdr>
                  <w:divsChild>
                    <w:div w:id="1348363545">
                      <w:marLeft w:val="0"/>
                      <w:marRight w:val="0"/>
                      <w:marTop w:val="0"/>
                      <w:marBottom w:val="0"/>
                      <w:divBdr>
                        <w:top w:val="none" w:sz="0" w:space="0" w:color="auto"/>
                        <w:left w:val="none" w:sz="0" w:space="0" w:color="auto"/>
                        <w:bottom w:val="none" w:sz="0" w:space="0" w:color="auto"/>
                        <w:right w:val="none" w:sz="0" w:space="0" w:color="auto"/>
                      </w:divBdr>
                    </w:div>
                  </w:divsChild>
                </w:div>
                <w:div w:id="225796721">
                  <w:marLeft w:val="0"/>
                  <w:marRight w:val="0"/>
                  <w:marTop w:val="0"/>
                  <w:marBottom w:val="0"/>
                  <w:divBdr>
                    <w:top w:val="none" w:sz="0" w:space="0" w:color="auto"/>
                    <w:left w:val="none" w:sz="0" w:space="0" w:color="auto"/>
                    <w:bottom w:val="none" w:sz="0" w:space="0" w:color="auto"/>
                    <w:right w:val="none" w:sz="0" w:space="0" w:color="auto"/>
                  </w:divBdr>
                  <w:divsChild>
                    <w:div w:id="1327393112">
                      <w:marLeft w:val="0"/>
                      <w:marRight w:val="0"/>
                      <w:marTop w:val="0"/>
                      <w:marBottom w:val="0"/>
                      <w:divBdr>
                        <w:top w:val="none" w:sz="0" w:space="0" w:color="auto"/>
                        <w:left w:val="none" w:sz="0" w:space="0" w:color="auto"/>
                        <w:bottom w:val="none" w:sz="0" w:space="0" w:color="auto"/>
                        <w:right w:val="none" w:sz="0" w:space="0" w:color="auto"/>
                      </w:divBdr>
                    </w:div>
                  </w:divsChild>
                </w:div>
                <w:div w:id="225916792">
                  <w:marLeft w:val="0"/>
                  <w:marRight w:val="0"/>
                  <w:marTop w:val="0"/>
                  <w:marBottom w:val="0"/>
                  <w:divBdr>
                    <w:top w:val="none" w:sz="0" w:space="0" w:color="auto"/>
                    <w:left w:val="none" w:sz="0" w:space="0" w:color="auto"/>
                    <w:bottom w:val="none" w:sz="0" w:space="0" w:color="auto"/>
                    <w:right w:val="none" w:sz="0" w:space="0" w:color="auto"/>
                  </w:divBdr>
                  <w:divsChild>
                    <w:div w:id="85734370">
                      <w:marLeft w:val="0"/>
                      <w:marRight w:val="0"/>
                      <w:marTop w:val="0"/>
                      <w:marBottom w:val="0"/>
                      <w:divBdr>
                        <w:top w:val="none" w:sz="0" w:space="0" w:color="auto"/>
                        <w:left w:val="none" w:sz="0" w:space="0" w:color="auto"/>
                        <w:bottom w:val="none" w:sz="0" w:space="0" w:color="auto"/>
                        <w:right w:val="none" w:sz="0" w:space="0" w:color="auto"/>
                      </w:divBdr>
                    </w:div>
                  </w:divsChild>
                </w:div>
                <w:div w:id="279536096">
                  <w:marLeft w:val="0"/>
                  <w:marRight w:val="0"/>
                  <w:marTop w:val="0"/>
                  <w:marBottom w:val="0"/>
                  <w:divBdr>
                    <w:top w:val="none" w:sz="0" w:space="0" w:color="auto"/>
                    <w:left w:val="none" w:sz="0" w:space="0" w:color="auto"/>
                    <w:bottom w:val="none" w:sz="0" w:space="0" w:color="auto"/>
                    <w:right w:val="none" w:sz="0" w:space="0" w:color="auto"/>
                  </w:divBdr>
                  <w:divsChild>
                    <w:div w:id="59911708">
                      <w:marLeft w:val="0"/>
                      <w:marRight w:val="0"/>
                      <w:marTop w:val="0"/>
                      <w:marBottom w:val="0"/>
                      <w:divBdr>
                        <w:top w:val="none" w:sz="0" w:space="0" w:color="auto"/>
                        <w:left w:val="none" w:sz="0" w:space="0" w:color="auto"/>
                        <w:bottom w:val="none" w:sz="0" w:space="0" w:color="auto"/>
                        <w:right w:val="none" w:sz="0" w:space="0" w:color="auto"/>
                      </w:divBdr>
                    </w:div>
                  </w:divsChild>
                </w:div>
                <w:div w:id="291713938">
                  <w:marLeft w:val="0"/>
                  <w:marRight w:val="0"/>
                  <w:marTop w:val="0"/>
                  <w:marBottom w:val="0"/>
                  <w:divBdr>
                    <w:top w:val="none" w:sz="0" w:space="0" w:color="auto"/>
                    <w:left w:val="none" w:sz="0" w:space="0" w:color="auto"/>
                    <w:bottom w:val="none" w:sz="0" w:space="0" w:color="auto"/>
                    <w:right w:val="none" w:sz="0" w:space="0" w:color="auto"/>
                  </w:divBdr>
                  <w:divsChild>
                    <w:div w:id="781266254">
                      <w:marLeft w:val="0"/>
                      <w:marRight w:val="0"/>
                      <w:marTop w:val="0"/>
                      <w:marBottom w:val="0"/>
                      <w:divBdr>
                        <w:top w:val="none" w:sz="0" w:space="0" w:color="auto"/>
                        <w:left w:val="none" w:sz="0" w:space="0" w:color="auto"/>
                        <w:bottom w:val="none" w:sz="0" w:space="0" w:color="auto"/>
                        <w:right w:val="none" w:sz="0" w:space="0" w:color="auto"/>
                      </w:divBdr>
                    </w:div>
                  </w:divsChild>
                </w:div>
                <w:div w:id="294339930">
                  <w:marLeft w:val="0"/>
                  <w:marRight w:val="0"/>
                  <w:marTop w:val="0"/>
                  <w:marBottom w:val="0"/>
                  <w:divBdr>
                    <w:top w:val="none" w:sz="0" w:space="0" w:color="auto"/>
                    <w:left w:val="none" w:sz="0" w:space="0" w:color="auto"/>
                    <w:bottom w:val="none" w:sz="0" w:space="0" w:color="auto"/>
                    <w:right w:val="none" w:sz="0" w:space="0" w:color="auto"/>
                  </w:divBdr>
                  <w:divsChild>
                    <w:div w:id="291179985">
                      <w:marLeft w:val="0"/>
                      <w:marRight w:val="0"/>
                      <w:marTop w:val="0"/>
                      <w:marBottom w:val="0"/>
                      <w:divBdr>
                        <w:top w:val="none" w:sz="0" w:space="0" w:color="auto"/>
                        <w:left w:val="none" w:sz="0" w:space="0" w:color="auto"/>
                        <w:bottom w:val="none" w:sz="0" w:space="0" w:color="auto"/>
                        <w:right w:val="none" w:sz="0" w:space="0" w:color="auto"/>
                      </w:divBdr>
                    </w:div>
                  </w:divsChild>
                </w:div>
                <w:div w:id="299268428">
                  <w:marLeft w:val="0"/>
                  <w:marRight w:val="0"/>
                  <w:marTop w:val="0"/>
                  <w:marBottom w:val="0"/>
                  <w:divBdr>
                    <w:top w:val="none" w:sz="0" w:space="0" w:color="auto"/>
                    <w:left w:val="none" w:sz="0" w:space="0" w:color="auto"/>
                    <w:bottom w:val="none" w:sz="0" w:space="0" w:color="auto"/>
                    <w:right w:val="none" w:sz="0" w:space="0" w:color="auto"/>
                  </w:divBdr>
                  <w:divsChild>
                    <w:div w:id="17242151">
                      <w:marLeft w:val="0"/>
                      <w:marRight w:val="0"/>
                      <w:marTop w:val="0"/>
                      <w:marBottom w:val="0"/>
                      <w:divBdr>
                        <w:top w:val="none" w:sz="0" w:space="0" w:color="auto"/>
                        <w:left w:val="none" w:sz="0" w:space="0" w:color="auto"/>
                        <w:bottom w:val="none" w:sz="0" w:space="0" w:color="auto"/>
                        <w:right w:val="none" w:sz="0" w:space="0" w:color="auto"/>
                      </w:divBdr>
                    </w:div>
                  </w:divsChild>
                </w:div>
                <w:div w:id="306085306">
                  <w:marLeft w:val="0"/>
                  <w:marRight w:val="0"/>
                  <w:marTop w:val="0"/>
                  <w:marBottom w:val="0"/>
                  <w:divBdr>
                    <w:top w:val="none" w:sz="0" w:space="0" w:color="auto"/>
                    <w:left w:val="none" w:sz="0" w:space="0" w:color="auto"/>
                    <w:bottom w:val="none" w:sz="0" w:space="0" w:color="auto"/>
                    <w:right w:val="none" w:sz="0" w:space="0" w:color="auto"/>
                  </w:divBdr>
                  <w:divsChild>
                    <w:div w:id="1579054739">
                      <w:marLeft w:val="0"/>
                      <w:marRight w:val="0"/>
                      <w:marTop w:val="0"/>
                      <w:marBottom w:val="0"/>
                      <w:divBdr>
                        <w:top w:val="none" w:sz="0" w:space="0" w:color="auto"/>
                        <w:left w:val="none" w:sz="0" w:space="0" w:color="auto"/>
                        <w:bottom w:val="none" w:sz="0" w:space="0" w:color="auto"/>
                        <w:right w:val="none" w:sz="0" w:space="0" w:color="auto"/>
                      </w:divBdr>
                    </w:div>
                  </w:divsChild>
                </w:div>
                <w:div w:id="313262528">
                  <w:marLeft w:val="0"/>
                  <w:marRight w:val="0"/>
                  <w:marTop w:val="0"/>
                  <w:marBottom w:val="0"/>
                  <w:divBdr>
                    <w:top w:val="none" w:sz="0" w:space="0" w:color="auto"/>
                    <w:left w:val="none" w:sz="0" w:space="0" w:color="auto"/>
                    <w:bottom w:val="none" w:sz="0" w:space="0" w:color="auto"/>
                    <w:right w:val="none" w:sz="0" w:space="0" w:color="auto"/>
                  </w:divBdr>
                  <w:divsChild>
                    <w:div w:id="617564803">
                      <w:marLeft w:val="0"/>
                      <w:marRight w:val="0"/>
                      <w:marTop w:val="0"/>
                      <w:marBottom w:val="0"/>
                      <w:divBdr>
                        <w:top w:val="none" w:sz="0" w:space="0" w:color="auto"/>
                        <w:left w:val="none" w:sz="0" w:space="0" w:color="auto"/>
                        <w:bottom w:val="none" w:sz="0" w:space="0" w:color="auto"/>
                        <w:right w:val="none" w:sz="0" w:space="0" w:color="auto"/>
                      </w:divBdr>
                    </w:div>
                  </w:divsChild>
                </w:div>
                <w:div w:id="362445639">
                  <w:marLeft w:val="0"/>
                  <w:marRight w:val="0"/>
                  <w:marTop w:val="0"/>
                  <w:marBottom w:val="0"/>
                  <w:divBdr>
                    <w:top w:val="none" w:sz="0" w:space="0" w:color="auto"/>
                    <w:left w:val="none" w:sz="0" w:space="0" w:color="auto"/>
                    <w:bottom w:val="none" w:sz="0" w:space="0" w:color="auto"/>
                    <w:right w:val="none" w:sz="0" w:space="0" w:color="auto"/>
                  </w:divBdr>
                  <w:divsChild>
                    <w:div w:id="1016348427">
                      <w:marLeft w:val="0"/>
                      <w:marRight w:val="0"/>
                      <w:marTop w:val="0"/>
                      <w:marBottom w:val="0"/>
                      <w:divBdr>
                        <w:top w:val="none" w:sz="0" w:space="0" w:color="auto"/>
                        <w:left w:val="none" w:sz="0" w:space="0" w:color="auto"/>
                        <w:bottom w:val="none" w:sz="0" w:space="0" w:color="auto"/>
                        <w:right w:val="none" w:sz="0" w:space="0" w:color="auto"/>
                      </w:divBdr>
                    </w:div>
                  </w:divsChild>
                </w:div>
                <w:div w:id="375396731">
                  <w:marLeft w:val="0"/>
                  <w:marRight w:val="0"/>
                  <w:marTop w:val="0"/>
                  <w:marBottom w:val="0"/>
                  <w:divBdr>
                    <w:top w:val="none" w:sz="0" w:space="0" w:color="auto"/>
                    <w:left w:val="none" w:sz="0" w:space="0" w:color="auto"/>
                    <w:bottom w:val="none" w:sz="0" w:space="0" w:color="auto"/>
                    <w:right w:val="none" w:sz="0" w:space="0" w:color="auto"/>
                  </w:divBdr>
                  <w:divsChild>
                    <w:div w:id="1814760186">
                      <w:marLeft w:val="0"/>
                      <w:marRight w:val="0"/>
                      <w:marTop w:val="0"/>
                      <w:marBottom w:val="0"/>
                      <w:divBdr>
                        <w:top w:val="none" w:sz="0" w:space="0" w:color="auto"/>
                        <w:left w:val="none" w:sz="0" w:space="0" w:color="auto"/>
                        <w:bottom w:val="none" w:sz="0" w:space="0" w:color="auto"/>
                        <w:right w:val="none" w:sz="0" w:space="0" w:color="auto"/>
                      </w:divBdr>
                    </w:div>
                  </w:divsChild>
                </w:div>
                <w:div w:id="412362964">
                  <w:marLeft w:val="0"/>
                  <w:marRight w:val="0"/>
                  <w:marTop w:val="0"/>
                  <w:marBottom w:val="0"/>
                  <w:divBdr>
                    <w:top w:val="none" w:sz="0" w:space="0" w:color="auto"/>
                    <w:left w:val="none" w:sz="0" w:space="0" w:color="auto"/>
                    <w:bottom w:val="none" w:sz="0" w:space="0" w:color="auto"/>
                    <w:right w:val="none" w:sz="0" w:space="0" w:color="auto"/>
                  </w:divBdr>
                  <w:divsChild>
                    <w:div w:id="1961447250">
                      <w:marLeft w:val="0"/>
                      <w:marRight w:val="0"/>
                      <w:marTop w:val="0"/>
                      <w:marBottom w:val="0"/>
                      <w:divBdr>
                        <w:top w:val="none" w:sz="0" w:space="0" w:color="auto"/>
                        <w:left w:val="none" w:sz="0" w:space="0" w:color="auto"/>
                        <w:bottom w:val="none" w:sz="0" w:space="0" w:color="auto"/>
                        <w:right w:val="none" w:sz="0" w:space="0" w:color="auto"/>
                      </w:divBdr>
                    </w:div>
                  </w:divsChild>
                </w:div>
                <w:div w:id="428622910">
                  <w:marLeft w:val="0"/>
                  <w:marRight w:val="0"/>
                  <w:marTop w:val="0"/>
                  <w:marBottom w:val="0"/>
                  <w:divBdr>
                    <w:top w:val="none" w:sz="0" w:space="0" w:color="auto"/>
                    <w:left w:val="none" w:sz="0" w:space="0" w:color="auto"/>
                    <w:bottom w:val="none" w:sz="0" w:space="0" w:color="auto"/>
                    <w:right w:val="none" w:sz="0" w:space="0" w:color="auto"/>
                  </w:divBdr>
                  <w:divsChild>
                    <w:div w:id="1584754520">
                      <w:marLeft w:val="0"/>
                      <w:marRight w:val="0"/>
                      <w:marTop w:val="0"/>
                      <w:marBottom w:val="0"/>
                      <w:divBdr>
                        <w:top w:val="none" w:sz="0" w:space="0" w:color="auto"/>
                        <w:left w:val="none" w:sz="0" w:space="0" w:color="auto"/>
                        <w:bottom w:val="none" w:sz="0" w:space="0" w:color="auto"/>
                        <w:right w:val="none" w:sz="0" w:space="0" w:color="auto"/>
                      </w:divBdr>
                    </w:div>
                  </w:divsChild>
                </w:div>
                <w:div w:id="439181576">
                  <w:marLeft w:val="0"/>
                  <w:marRight w:val="0"/>
                  <w:marTop w:val="0"/>
                  <w:marBottom w:val="0"/>
                  <w:divBdr>
                    <w:top w:val="none" w:sz="0" w:space="0" w:color="auto"/>
                    <w:left w:val="none" w:sz="0" w:space="0" w:color="auto"/>
                    <w:bottom w:val="none" w:sz="0" w:space="0" w:color="auto"/>
                    <w:right w:val="none" w:sz="0" w:space="0" w:color="auto"/>
                  </w:divBdr>
                  <w:divsChild>
                    <w:div w:id="133914358">
                      <w:marLeft w:val="0"/>
                      <w:marRight w:val="0"/>
                      <w:marTop w:val="0"/>
                      <w:marBottom w:val="0"/>
                      <w:divBdr>
                        <w:top w:val="none" w:sz="0" w:space="0" w:color="auto"/>
                        <w:left w:val="none" w:sz="0" w:space="0" w:color="auto"/>
                        <w:bottom w:val="none" w:sz="0" w:space="0" w:color="auto"/>
                        <w:right w:val="none" w:sz="0" w:space="0" w:color="auto"/>
                      </w:divBdr>
                    </w:div>
                  </w:divsChild>
                </w:div>
                <w:div w:id="460272243">
                  <w:marLeft w:val="0"/>
                  <w:marRight w:val="0"/>
                  <w:marTop w:val="0"/>
                  <w:marBottom w:val="0"/>
                  <w:divBdr>
                    <w:top w:val="none" w:sz="0" w:space="0" w:color="auto"/>
                    <w:left w:val="none" w:sz="0" w:space="0" w:color="auto"/>
                    <w:bottom w:val="none" w:sz="0" w:space="0" w:color="auto"/>
                    <w:right w:val="none" w:sz="0" w:space="0" w:color="auto"/>
                  </w:divBdr>
                  <w:divsChild>
                    <w:div w:id="430396452">
                      <w:marLeft w:val="0"/>
                      <w:marRight w:val="0"/>
                      <w:marTop w:val="0"/>
                      <w:marBottom w:val="0"/>
                      <w:divBdr>
                        <w:top w:val="none" w:sz="0" w:space="0" w:color="auto"/>
                        <w:left w:val="none" w:sz="0" w:space="0" w:color="auto"/>
                        <w:bottom w:val="none" w:sz="0" w:space="0" w:color="auto"/>
                        <w:right w:val="none" w:sz="0" w:space="0" w:color="auto"/>
                      </w:divBdr>
                    </w:div>
                  </w:divsChild>
                </w:div>
                <w:div w:id="462620331">
                  <w:marLeft w:val="0"/>
                  <w:marRight w:val="0"/>
                  <w:marTop w:val="0"/>
                  <w:marBottom w:val="0"/>
                  <w:divBdr>
                    <w:top w:val="none" w:sz="0" w:space="0" w:color="auto"/>
                    <w:left w:val="none" w:sz="0" w:space="0" w:color="auto"/>
                    <w:bottom w:val="none" w:sz="0" w:space="0" w:color="auto"/>
                    <w:right w:val="none" w:sz="0" w:space="0" w:color="auto"/>
                  </w:divBdr>
                  <w:divsChild>
                    <w:div w:id="432437881">
                      <w:marLeft w:val="0"/>
                      <w:marRight w:val="0"/>
                      <w:marTop w:val="0"/>
                      <w:marBottom w:val="0"/>
                      <w:divBdr>
                        <w:top w:val="none" w:sz="0" w:space="0" w:color="auto"/>
                        <w:left w:val="none" w:sz="0" w:space="0" w:color="auto"/>
                        <w:bottom w:val="none" w:sz="0" w:space="0" w:color="auto"/>
                        <w:right w:val="none" w:sz="0" w:space="0" w:color="auto"/>
                      </w:divBdr>
                    </w:div>
                  </w:divsChild>
                </w:div>
                <w:div w:id="481625220">
                  <w:marLeft w:val="0"/>
                  <w:marRight w:val="0"/>
                  <w:marTop w:val="0"/>
                  <w:marBottom w:val="0"/>
                  <w:divBdr>
                    <w:top w:val="none" w:sz="0" w:space="0" w:color="auto"/>
                    <w:left w:val="none" w:sz="0" w:space="0" w:color="auto"/>
                    <w:bottom w:val="none" w:sz="0" w:space="0" w:color="auto"/>
                    <w:right w:val="none" w:sz="0" w:space="0" w:color="auto"/>
                  </w:divBdr>
                  <w:divsChild>
                    <w:div w:id="2097823289">
                      <w:marLeft w:val="0"/>
                      <w:marRight w:val="0"/>
                      <w:marTop w:val="0"/>
                      <w:marBottom w:val="0"/>
                      <w:divBdr>
                        <w:top w:val="none" w:sz="0" w:space="0" w:color="auto"/>
                        <w:left w:val="none" w:sz="0" w:space="0" w:color="auto"/>
                        <w:bottom w:val="none" w:sz="0" w:space="0" w:color="auto"/>
                        <w:right w:val="none" w:sz="0" w:space="0" w:color="auto"/>
                      </w:divBdr>
                    </w:div>
                  </w:divsChild>
                </w:div>
                <w:div w:id="499122689">
                  <w:marLeft w:val="0"/>
                  <w:marRight w:val="0"/>
                  <w:marTop w:val="0"/>
                  <w:marBottom w:val="0"/>
                  <w:divBdr>
                    <w:top w:val="none" w:sz="0" w:space="0" w:color="auto"/>
                    <w:left w:val="none" w:sz="0" w:space="0" w:color="auto"/>
                    <w:bottom w:val="none" w:sz="0" w:space="0" w:color="auto"/>
                    <w:right w:val="none" w:sz="0" w:space="0" w:color="auto"/>
                  </w:divBdr>
                  <w:divsChild>
                    <w:div w:id="1276446955">
                      <w:marLeft w:val="0"/>
                      <w:marRight w:val="0"/>
                      <w:marTop w:val="0"/>
                      <w:marBottom w:val="0"/>
                      <w:divBdr>
                        <w:top w:val="none" w:sz="0" w:space="0" w:color="auto"/>
                        <w:left w:val="none" w:sz="0" w:space="0" w:color="auto"/>
                        <w:bottom w:val="none" w:sz="0" w:space="0" w:color="auto"/>
                        <w:right w:val="none" w:sz="0" w:space="0" w:color="auto"/>
                      </w:divBdr>
                    </w:div>
                  </w:divsChild>
                </w:div>
                <w:div w:id="508719971">
                  <w:marLeft w:val="0"/>
                  <w:marRight w:val="0"/>
                  <w:marTop w:val="0"/>
                  <w:marBottom w:val="0"/>
                  <w:divBdr>
                    <w:top w:val="none" w:sz="0" w:space="0" w:color="auto"/>
                    <w:left w:val="none" w:sz="0" w:space="0" w:color="auto"/>
                    <w:bottom w:val="none" w:sz="0" w:space="0" w:color="auto"/>
                    <w:right w:val="none" w:sz="0" w:space="0" w:color="auto"/>
                  </w:divBdr>
                  <w:divsChild>
                    <w:div w:id="1103692884">
                      <w:marLeft w:val="0"/>
                      <w:marRight w:val="0"/>
                      <w:marTop w:val="0"/>
                      <w:marBottom w:val="0"/>
                      <w:divBdr>
                        <w:top w:val="none" w:sz="0" w:space="0" w:color="auto"/>
                        <w:left w:val="none" w:sz="0" w:space="0" w:color="auto"/>
                        <w:bottom w:val="none" w:sz="0" w:space="0" w:color="auto"/>
                        <w:right w:val="none" w:sz="0" w:space="0" w:color="auto"/>
                      </w:divBdr>
                    </w:div>
                  </w:divsChild>
                </w:div>
                <w:div w:id="575895412">
                  <w:marLeft w:val="0"/>
                  <w:marRight w:val="0"/>
                  <w:marTop w:val="0"/>
                  <w:marBottom w:val="0"/>
                  <w:divBdr>
                    <w:top w:val="none" w:sz="0" w:space="0" w:color="auto"/>
                    <w:left w:val="none" w:sz="0" w:space="0" w:color="auto"/>
                    <w:bottom w:val="none" w:sz="0" w:space="0" w:color="auto"/>
                    <w:right w:val="none" w:sz="0" w:space="0" w:color="auto"/>
                  </w:divBdr>
                  <w:divsChild>
                    <w:div w:id="521435999">
                      <w:marLeft w:val="0"/>
                      <w:marRight w:val="0"/>
                      <w:marTop w:val="0"/>
                      <w:marBottom w:val="0"/>
                      <w:divBdr>
                        <w:top w:val="none" w:sz="0" w:space="0" w:color="auto"/>
                        <w:left w:val="none" w:sz="0" w:space="0" w:color="auto"/>
                        <w:bottom w:val="none" w:sz="0" w:space="0" w:color="auto"/>
                        <w:right w:val="none" w:sz="0" w:space="0" w:color="auto"/>
                      </w:divBdr>
                    </w:div>
                  </w:divsChild>
                </w:div>
                <w:div w:id="586690202">
                  <w:marLeft w:val="0"/>
                  <w:marRight w:val="0"/>
                  <w:marTop w:val="0"/>
                  <w:marBottom w:val="0"/>
                  <w:divBdr>
                    <w:top w:val="none" w:sz="0" w:space="0" w:color="auto"/>
                    <w:left w:val="none" w:sz="0" w:space="0" w:color="auto"/>
                    <w:bottom w:val="none" w:sz="0" w:space="0" w:color="auto"/>
                    <w:right w:val="none" w:sz="0" w:space="0" w:color="auto"/>
                  </w:divBdr>
                  <w:divsChild>
                    <w:div w:id="637299650">
                      <w:marLeft w:val="0"/>
                      <w:marRight w:val="0"/>
                      <w:marTop w:val="0"/>
                      <w:marBottom w:val="0"/>
                      <w:divBdr>
                        <w:top w:val="none" w:sz="0" w:space="0" w:color="auto"/>
                        <w:left w:val="none" w:sz="0" w:space="0" w:color="auto"/>
                        <w:bottom w:val="none" w:sz="0" w:space="0" w:color="auto"/>
                        <w:right w:val="none" w:sz="0" w:space="0" w:color="auto"/>
                      </w:divBdr>
                    </w:div>
                  </w:divsChild>
                </w:div>
                <w:div w:id="599407988">
                  <w:marLeft w:val="0"/>
                  <w:marRight w:val="0"/>
                  <w:marTop w:val="0"/>
                  <w:marBottom w:val="0"/>
                  <w:divBdr>
                    <w:top w:val="none" w:sz="0" w:space="0" w:color="auto"/>
                    <w:left w:val="none" w:sz="0" w:space="0" w:color="auto"/>
                    <w:bottom w:val="none" w:sz="0" w:space="0" w:color="auto"/>
                    <w:right w:val="none" w:sz="0" w:space="0" w:color="auto"/>
                  </w:divBdr>
                  <w:divsChild>
                    <w:div w:id="1695110314">
                      <w:marLeft w:val="0"/>
                      <w:marRight w:val="0"/>
                      <w:marTop w:val="0"/>
                      <w:marBottom w:val="0"/>
                      <w:divBdr>
                        <w:top w:val="none" w:sz="0" w:space="0" w:color="auto"/>
                        <w:left w:val="none" w:sz="0" w:space="0" w:color="auto"/>
                        <w:bottom w:val="none" w:sz="0" w:space="0" w:color="auto"/>
                        <w:right w:val="none" w:sz="0" w:space="0" w:color="auto"/>
                      </w:divBdr>
                    </w:div>
                  </w:divsChild>
                </w:div>
                <w:div w:id="660156238">
                  <w:marLeft w:val="0"/>
                  <w:marRight w:val="0"/>
                  <w:marTop w:val="0"/>
                  <w:marBottom w:val="0"/>
                  <w:divBdr>
                    <w:top w:val="none" w:sz="0" w:space="0" w:color="auto"/>
                    <w:left w:val="none" w:sz="0" w:space="0" w:color="auto"/>
                    <w:bottom w:val="none" w:sz="0" w:space="0" w:color="auto"/>
                    <w:right w:val="none" w:sz="0" w:space="0" w:color="auto"/>
                  </w:divBdr>
                  <w:divsChild>
                    <w:div w:id="1858689812">
                      <w:marLeft w:val="0"/>
                      <w:marRight w:val="0"/>
                      <w:marTop w:val="0"/>
                      <w:marBottom w:val="0"/>
                      <w:divBdr>
                        <w:top w:val="none" w:sz="0" w:space="0" w:color="auto"/>
                        <w:left w:val="none" w:sz="0" w:space="0" w:color="auto"/>
                        <w:bottom w:val="none" w:sz="0" w:space="0" w:color="auto"/>
                        <w:right w:val="none" w:sz="0" w:space="0" w:color="auto"/>
                      </w:divBdr>
                    </w:div>
                  </w:divsChild>
                </w:div>
                <w:div w:id="691035215">
                  <w:marLeft w:val="0"/>
                  <w:marRight w:val="0"/>
                  <w:marTop w:val="0"/>
                  <w:marBottom w:val="0"/>
                  <w:divBdr>
                    <w:top w:val="none" w:sz="0" w:space="0" w:color="auto"/>
                    <w:left w:val="none" w:sz="0" w:space="0" w:color="auto"/>
                    <w:bottom w:val="none" w:sz="0" w:space="0" w:color="auto"/>
                    <w:right w:val="none" w:sz="0" w:space="0" w:color="auto"/>
                  </w:divBdr>
                  <w:divsChild>
                    <w:div w:id="2098862516">
                      <w:marLeft w:val="0"/>
                      <w:marRight w:val="0"/>
                      <w:marTop w:val="0"/>
                      <w:marBottom w:val="0"/>
                      <w:divBdr>
                        <w:top w:val="none" w:sz="0" w:space="0" w:color="auto"/>
                        <w:left w:val="none" w:sz="0" w:space="0" w:color="auto"/>
                        <w:bottom w:val="none" w:sz="0" w:space="0" w:color="auto"/>
                        <w:right w:val="none" w:sz="0" w:space="0" w:color="auto"/>
                      </w:divBdr>
                    </w:div>
                  </w:divsChild>
                </w:div>
                <w:div w:id="715738681">
                  <w:marLeft w:val="0"/>
                  <w:marRight w:val="0"/>
                  <w:marTop w:val="0"/>
                  <w:marBottom w:val="0"/>
                  <w:divBdr>
                    <w:top w:val="none" w:sz="0" w:space="0" w:color="auto"/>
                    <w:left w:val="none" w:sz="0" w:space="0" w:color="auto"/>
                    <w:bottom w:val="none" w:sz="0" w:space="0" w:color="auto"/>
                    <w:right w:val="none" w:sz="0" w:space="0" w:color="auto"/>
                  </w:divBdr>
                  <w:divsChild>
                    <w:div w:id="809711387">
                      <w:marLeft w:val="0"/>
                      <w:marRight w:val="0"/>
                      <w:marTop w:val="0"/>
                      <w:marBottom w:val="0"/>
                      <w:divBdr>
                        <w:top w:val="none" w:sz="0" w:space="0" w:color="auto"/>
                        <w:left w:val="none" w:sz="0" w:space="0" w:color="auto"/>
                        <w:bottom w:val="none" w:sz="0" w:space="0" w:color="auto"/>
                        <w:right w:val="none" w:sz="0" w:space="0" w:color="auto"/>
                      </w:divBdr>
                    </w:div>
                  </w:divsChild>
                </w:div>
                <w:div w:id="717046603">
                  <w:marLeft w:val="0"/>
                  <w:marRight w:val="0"/>
                  <w:marTop w:val="0"/>
                  <w:marBottom w:val="0"/>
                  <w:divBdr>
                    <w:top w:val="none" w:sz="0" w:space="0" w:color="auto"/>
                    <w:left w:val="none" w:sz="0" w:space="0" w:color="auto"/>
                    <w:bottom w:val="none" w:sz="0" w:space="0" w:color="auto"/>
                    <w:right w:val="none" w:sz="0" w:space="0" w:color="auto"/>
                  </w:divBdr>
                  <w:divsChild>
                    <w:div w:id="825437255">
                      <w:marLeft w:val="0"/>
                      <w:marRight w:val="0"/>
                      <w:marTop w:val="0"/>
                      <w:marBottom w:val="0"/>
                      <w:divBdr>
                        <w:top w:val="none" w:sz="0" w:space="0" w:color="auto"/>
                        <w:left w:val="none" w:sz="0" w:space="0" w:color="auto"/>
                        <w:bottom w:val="none" w:sz="0" w:space="0" w:color="auto"/>
                        <w:right w:val="none" w:sz="0" w:space="0" w:color="auto"/>
                      </w:divBdr>
                    </w:div>
                  </w:divsChild>
                </w:div>
                <w:div w:id="777257983">
                  <w:marLeft w:val="0"/>
                  <w:marRight w:val="0"/>
                  <w:marTop w:val="0"/>
                  <w:marBottom w:val="0"/>
                  <w:divBdr>
                    <w:top w:val="none" w:sz="0" w:space="0" w:color="auto"/>
                    <w:left w:val="none" w:sz="0" w:space="0" w:color="auto"/>
                    <w:bottom w:val="none" w:sz="0" w:space="0" w:color="auto"/>
                    <w:right w:val="none" w:sz="0" w:space="0" w:color="auto"/>
                  </w:divBdr>
                  <w:divsChild>
                    <w:div w:id="685328353">
                      <w:marLeft w:val="0"/>
                      <w:marRight w:val="0"/>
                      <w:marTop w:val="0"/>
                      <w:marBottom w:val="0"/>
                      <w:divBdr>
                        <w:top w:val="none" w:sz="0" w:space="0" w:color="auto"/>
                        <w:left w:val="none" w:sz="0" w:space="0" w:color="auto"/>
                        <w:bottom w:val="none" w:sz="0" w:space="0" w:color="auto"/>
                        <w:right w:val="none" w:sz="0" w:space="0" w:color="auto"/>
                      </w:divBdr>
                    </w:div>
                  </w:divsChild>
                </w:div>
                <w:div w:id="786319144">
                  <w:marLeft w:val="0"/>
                  <w:marRight w:val="0"/>
                  <w:marTop w:val="0"/>
                  <w:marBottom w:val="0"/>
                  <w:divBdr>
                    <w:top w:val="none" w:sz="0" w:space="0" w:color="auto"/>
                    <w:left w:val="none" w:sz="0" w:space="0" w:color="auto"/>
                    <w:bottom w:val="none" w:sz="0" w:space="0" w:color="auto"/>
                    <w:right w:val="none" w:sz="0" w:space="0" w:color="auto"/>
                  </w:divBdr>
                  <w:divsChild>
                    <w:div w:id="157766593">
                      <w:marLeft w:val="0"/>
                      <w:marRight w:val="0"/>
                      <w:marTop w:val="0"/>
                      <w:marBottom w:val="0"/>
                      <w:divBdr>
                        <w:top w:val="none" w:sz="0" w:space="0" w:color="auto"/>
                        <w:left w:val="none" w:sz="0" w:space="0" w:color="auto"/>
                        <w:bottom w:val="none" w:sz="0" w:space="0" w:color="auto"/>
                        <w:right w:val="none" w:sz="0" w:space="0" w:color="auto"/>
                      </w:divBdr>
                    </w:div>
                  </w:divsChild>
                </w:div>
                <w:div w:id="787702064">
                  <w:marLeft w:val="0"/>
                  <w:marRight w:val="0"/>
                  <w:marTop w:val="0"/>
                  <w:marBottom w:val="0"/>
                  <w:divBdr>
                    <w:top w:val="none" w:sz="0" w:space="0" w:color="auto"/>
                    <w:left w:val="none" w:sz="0" w:space="0" w:color="auto"/>
                    <w:bottom w:val="none" w:sz="0" w:space="0" w:color="auto"/>
                    <w:right w:val="none" w:sz="0" w:space="0" w:color="auto"/>
                  </w:divBdr>
                  <w:divsChild>
                    <w:div w:id="48309302">
                      <w:marLeft w:val="0"/>
                      <w:marRight w:val="0"/>
                      <w:marTop w:val="0"/>
                      <w:marBottom w:val="0"/>
                      <w:divBdr>
                        <w:top w:val="none" w:sz="0" w:space="0" w:color="auto"/>
                        <w:left w:val="none" w:sz="0" w:space="0" w:color="auto"/>
                        <w:bottom w:val="none" w:sz="0" w:space="0" w:color="auto"/>
                        <w:right w:val="none" w:sz="0" w:space="0" w:color="auto"/>
                      </w:divBdr>
                    </w:div>
                  </w:divsChild>
                </w:div>
                <w:div w:id="792207915">
                  <w:marLeft w:val="0"/>
                  <w:marRight w:val="0"/>
                  <w:marTop w:val="0"/>
                  <w:marBottom w:val="0"/>
                  <w:divBdr>
                    <w:top w:val="none" w:sz="0" w:space="0" w:color="auto"/>
                    <w:left w:val="none" w:sz="0" w:space="0" w:color="auto"/>
                    <w:bottom w:val="none" w:sz="0" w:space="0" w:color="auto"/>
                    <w:right w:val="none" w:sz="0" w:space="0" w:color="auto"/>
                  </w:divBdr>
                  <w:divsChild>
                    <w:div w:id="918056138">
                      <w:marLeft w:val="0"/>
                      <w:marRight w:val="0"/>
                      <w:marTop w:val="0"/>
                      <w:marBottom w:val="0"/>
                      <w:divBdr>
                        <w:top w:val="none" w:sz="0" w:space="0" w:color="auto"/>
                        <w:left w:val="none" w:sz="0" w:space="0" w:color="auto"/>
                        <w:bottom w:val="none" w:sz="0" w:space="0" w:color="auto"/>
                        <w:right w:val="none" w:sz="0" w:space="0" w:color="auto"/>
                      </w:divBdr>
                    </w:div>
                  </w:divsChild>
                </w:div>
                <w:div w:id="802425076">
                  <w:marLeft w:val="0"/>
                  <w:marRight w:val="0"/>
                  <w:marTop w:val="0"/>
                  <w:marBottom w:val="0"/>
                  <w:divBdr>
                    <w:top w:val="none" w:sz="0" w:space="0" w:color="auto"/>
                    <w:left w:val="none" w:sz="0" w:space="0" w:color="auto"/>
                    <w:bottom w:val="none" w:sz="0" w:space="0" w:color="auto"/>
                    <w:right w:val="none" w:sz="0" w:space="0" w:color="auto"/>
                  </w:divBdr>
                  <w:divsChild>
                    <w:div w:id="711418024">
                      <w:marLeft w:val="0"/>
                      <w:marRight w:val="0"/>
                      <w:marTop w:val="0"/>
                      <w:marBottom w:val="0"/>
                      <w:divBdr>
                        <w:top w:val="none" w:sz="0" w:space="0" w:color="auto"/>
                        <w:left w:val="none" w:sz="0" w:space="0" w:color="auto"/>
                        <w:bottom w:val="none" w:sz="0" w:space="0" w:color="auto"/>
                        <w:right w:val="none" w:sz="0" w:space="0" w:color="auto"/>
                      </w:divBdr>
                    </w:div>
                  </w:divsChild>
                </w:div>
                <w:div w:id="816411564">
                  <w:marLeft w:val="0"/>
                  <w:marRight w:val="0"/>
                  <w:marTop w:val="0"/>
                  <w:marBottom w:val="0"/>
                  <w:divBdr>
                    <w:top w:val="none" w:sz="0" w:space="0" w:color="auto"/>
                    <w:left w:val="none" w:sz="0" w:space="0" w:color="auto"/>
                    <w:bottom w:val="none" w:sz="0" w:space="0" w:color="auto"/>
                    <w:right w:val="none" w:sz="0" w:space="0" w:color="auto"/>
                  </w:divBdr>
                  <w:divsChild>
                    <w:div w:id="1689679678">
                      <w:marLeft w:val="0"/>
                      <w:marRight w:val="0"/>
                      <w:marTop w:val="0"/>
                      <w:marBottom w:val="0"/>
                      <w:divBdr>
                        <w:top w:val="none" w:sz="0" w:space="0" w:color="auto"/>
                        <w:left w:val="none" w:sz="0" w:space="0" w:color="auto"/>
                        <w:bottom w:val="none" w:sz="0" w:space="0" w:color="auto"/>
                        <w:right w:val="none" w:sz="0" w:space="0" w:color="auto"/>
                      </w:divBdr>
                    </w:div>
                  </w:divsChild>
                </w:div>
                <w:div w:id="852644450">
                  <w:marLeft w:val="0"/>
                  <w:marRight w:val="0"/>
                  <w:marTop w:val="0"/>
                  <w:marBottom w:val="0"/>
                  <w:divBdr>
                    <w:top w:val="none" w:sz="0" w:space="0" w:color="auto"/>
                    <w:left w:val="none" w:sz="0" w:space="0" w:color="auto"/>
                    <w:bottom w:val="none" w:sz="0" w:space="0" w:color="auto"/>
                    <w:right w:val="none" w:sz="0" w:space="0" w:color="auto"/>
                  </w:divBdr>
                  <w:divsChild>
                    <w:div w:id="686103568">
                      <w:marLeft w:val="0"/>
                      <w:marRight w:val="0"/>
                      <w:marTop w:val="0"/>
                      <w:marBottom w:val="0"/>
                      <w:divBdr>
                        <w:top w:val="none" w:sz="0" w:space="0" w:color="auto"/>
                        <w:left w:val="none" w:sz="0" w:space="0" w:color="auto"/>
                        <w:bottom w:val="none" w:sz="0" w:space="0" w:color="auto"/>
                        <w:right w:val="none" w:sz="0" w:space="0" w:color="auto"/>
                      </w:divBdr>
                    </w:div>
                  </w:divsChild>
                </w:div>
                <w:div w:id="861556771">
                  <w:marLeft w:val="0"/>
                  <w:marRight w:val="0"/>
                  <w:marTop w:val="0"/>
                  <w:marBottom w:val="0"/>
                  <w:divBdr>
                    <w:top w:val="none" w:sz="0" w:space="0" w:color="auto"/>
                    <w:left w:val="none" w:sz="0" w:space="0" w:color="auto"/>
                    <w:bottom w:val="none" w:sz="0" w:space="0" w:color="auto"/>
                    <w:right w:val="none" w:sz="0" w:space="0" w:color="auto"/>
                  </w:divBdr>
                  <w:divsChild>
                    <w:div w:id="558249442">
                      <w:marLeft w:val="0"/>
                      <w:marRight w:val="0"/>
                      <w:marTop w:val="0"/>
                      <w:marBottom w:val="0"/>
                      <w:divBdr>
                        <w:top w:val="none" w:sz="0" w:space="0" w:color="auto"/>
                        <w:left w:val="none" w:sz="0" w:space="0" w:color="auto"/>
                        <w:bottom w:val="none" w:sz="0" w:space="0" w:color="auto"/>
                        <w:right w:val="none" w:sz="0" w:space="0" w:color="auto"/>
                      </w:divBdr>
                    </w:div>
                  </w:divsChild>
                </w:div>
                <w:div w:id="888104137">
                  <w:marLeft w:val="0"/>
                  <w:marRight w:val="0"/>
                  <w:marTop w:val="0"/>
                  <w:marBottom w:val="0"/>
                  <w:divBdr>
                    <w:top w:val="none" w:sz="0" w:space="0" w:color="auto"/>
                    <w:left w:val="none" w:sz="0" w:space="0" w:color="auto"/>
                    <w:bottom w:val="none" w:sz="0" w:space="0" w:color="auto"/>
                    <w:right w:val="none" w:sz="0" w:space="0" w:color="auto"/>
                  </w:divBdr>
                  <w:divsChild>
                    <w:div w:id="1990671789">
                      <w:marLeft w:val="0"/>
                      <w:marRight w:val="0"/>
                      <w:marTop w:val="0"/>
                      <w:marBottom w:val="0"/>
                      <w:divBdr>
                        <w:top w:val="none" w:sz="0" w:space="0" w:color="auto"/>
                        <w:left w:val="none" w:sz="0" w:space="0" w:color="auto"/>
                        <w:bottom w:val="none" w:sz="0" w:space="0" w:color="auto"/>
                        <w:right w:val="none" w:sz="0" w:space="0" w:color="auto"/>
                      </w:divBdr>
                    </w:div>
                  </w:divsChild>
                </w:div>
                <w:div w:id="894509806">
                  <w:marLeft w:val="0"/>
                  <w:marRight w:val="0"/>
                  <w:marTop w:val="0"/>
                  <w:marBottom w:val="0"/>
                  <w:divBdr>
                    <w:top w:val="none" w:sz="0" w:space="0" w:color="auto"/>
                    <w:left w:val="none" w:sz="0" w:space="0" w:color="auto"/>
                    <w:bottom w:val="none" w:sz="0" w:space="0" w:color="auto"/>
                    <w:right w:val="none" w:sz="0" w:space="0" w:color="auto"/>
                  </w:divBdr>
                  <w:divsChild>
                    <w:div w:id="1495485503">
                      <w:marLeft w:val="0"/>
                      <w:marRight w:val="0"/>
                      <w:marTop w:val="0"/>
                      <w:marBottom w:val="0"/>
                      <w:divBdr>
                        <w:top w:val="none" w:sz="0" w:space="0" w:color="auto"/>
                        <w:left w:val="none" w:sz="0" w:space="0" w:color="auto"/>
                        <w:bottom w:val="none" w:sz="0" w:space="0" w:color="auto"/>
                        <w:right w:val="none" w:sz="0" w:space="0" w:color="auto"/>
                      </w:divBdr>
                    </w:div>
                  </w:divsChild>
                </w:div>
                <w:div w:id="905383845">
                  <w:marLeft w:val="0"/>
                  <w:marRight w:val="0"/>
                  <w:marTop w:val="0"/>
                  <w:marBottom w:val="0"/>
                  <w:divBdr>
                    <w:top w:val="none" w:sz="0" w:space="0" w:color="auto"/>
                    <w:left w:val="none" w:sz="0" w:space="0" w:color="auto"/>
                    <w:bottom w:val="none" w:sz="0" w:space="0" w:color="auto"/>
                    <w:right w:val="none" w:sz="0" w:space="0" w:color="auto"/>
                  </w:divBdr>
                  <w:divsChild>
                    <w:div w:id="1371954057">
                      <w:marLeft w:val="0"/>
                      <w:marRight w:val="0"/>
                      <w:marTop w:val="0"/>
                      <w:marBottom w:val="0"/>
                      <w:divBdr>
                        <w:top w:val="none" w:sz="0" w:space="0" w:color="auto"/>
                        <w:left w:val="none" w:sz="0" w:space="0" w:color="auto"/>
                        <w:bottom w:val="none" w:sz="0" w:space="0" w:color="auto"/>
                        <w:right w:val="none" w:sz="0" w:space="0" w:color="auto"/>
                      </w:divBdr>
                    </w:div>
                  </w:divsChild>
                </w:div>
                <w:div w:id="942615685">
                  <w:marLeft w:val="0"/>
                  <w:marRight w:val="0"/>
                  <w:marTop w:val="0"/>
                  <w:marBottom w:val="0"/>
                  <w:divBdr>
                    <w:top w:val="none" w:sz="0" w:space="0" w:color="auto"/>
                    <w:left w:val="none" w:sz="0" w:space="0" w:color="auto"/>
                    <w:bottom w:val="none" w:sz="0" w:space="0" w:color="auto"/>
                    <w:right w:val="none" w:sz="0" w:space="0" w:color="auto"/>
                  </w:divBdr>
                  <w:divsChild>
                    <w:div w:id="698701451">
                      <w:marLeft w:val="0"/>
                      <w:marRight w:val="0"/>
                      <w:marTop w:val="0"/>
                      <w:marBottom w:val="0"/>
                      <w:divBdr>
                        <w:top w:val="none" w:sz="0" w:space="0" w:color="auto"/>
                        <w:left w:val="none" w:sz="0" w:space="0" w:color="auto"/>
                        <w:bottom w:val="none" w:sz="0" w:space="0" w:color="auto"/>
                        <w:right w:val="none" w:sz="0" w:space="0" w:color="auto"/>
                      </w:divBdr>
                    </w:div>
                  </w:divsChild>
                </w:div>
                <w:div w:id="1004019743">
                  <w:marLeft w:val="0"/>
                  <w:marRight w:val="0"/>
                  <w:marTop w:val="0"/>
                  <w:marBottom w:val="0"/>
                  <w:divBdr>
                    <w:top w:val="none" w:sz="0" w:space="0" w:color="auto"/>
                    <w:left w:val="none" w:sz="0" w:space="0" w:color="auto"/>
                    <w:bottom w:val="none" w:sz="0" w:space="0" w:color="auto"/>
                    <w:right w:val="none" w:sz="0" w:space="0" w:color="auto"/>
                  </w:divBdr>
                  <w:divsChild>
                    <w:div w:id="2079132167">
                      <w:marLeft w:val="0"/>
                      <w:marRight w:val="0"/>
                      <w:marTop w:val="0"/>
                      <w:marBottom w:val="0"/>
                      <w:divBdr>
                        <w:top w:val="none" w:sz="0" w:space="0" w:color="auto"/>
                        <w:left w:val="none" w:sz="0" w:space="0" w:color="auto"/>
                        <w:bottom w:val="none" w:sz="0" w:space="0" w:color="auto"/>
                        <w:right w:val="none" w:sz="0" w:space="0" w:color="auto"/>
                      </w:divBdr>
                    </w:div>
                  </w:divsChild>
                </w:div>
                <w:div w:id="1035426951">
                  <w:marLeft w:val="0"/>
                  <w:marRight w:val="0"/>
                  <w:marTop w:val="0"/>
                  <w:marBottom w:val="0"/>
                  <w:divBdr>
                    <w:top w:val="none" w:sz="0" w:space="0" w:color="auto"/>
                    <w:left w:val="none" w:sz="0" w:space="0" w:color="auto"/>
                    <w:bottom w:val="none" w:sz="0" w:space="0" w:color="auto"/>
                    <w:right w:val="none" w:sz="0" w:space="0" w:color="auto"/>
                  </w:divBdr>
                  <w:divsChild>
                    <w:div w:id="246699045">
                      <w:marLeft w:val="0"/>
                      <w:marRight w:val="0"/>
                      <w:marTop w:val="0"/>
                      <w:marBottom w:val="0"/>
                      <w:divBdr>
                        <w:top w:val="none" w:sz="0" w:space="0" w:color="auto"/>
                        <w:left w:val="none" w:sz="0" w:space="0" w:color="auto"/>
                        <w:bottom w:val="none" w:sz="0" w:space="0" w:color="auto"/>
                        <w:right w:val="none" w:sz="0" w:space="0" w:color="auto"/>
                      </w:divBdr>
                    </w:div>
                  </w:divsChild>
                </w:div>
                <w:div w:id="1128085602">
                  <w:marLeft w:val="0"/>
                  <w:marRight w:val="0"/>
                  <w:marTop w:val="0"/>
                  <w:marBottom w:val="0"/>
                  <w:divBdr>
                    <w:top w:val="none" w:sz="0" w:space="0" w:color="auto"/>
                    <w:left w:val="none" w:sz="0" w:space="0" w:color="auto"/>
                    <w:bottom w:val="none" w:sz="0" w:space="0" w:color="auto"/>
                    <w:right w:val="none" w:sz="0" w:space="0" w:color="auto"/>
                  </w:divBdr>
                  <w:divsChild>
                    <w:div w:id="1000237389">
                      <w:marLeft w:val="0"/>
                      <w:marRight w:val="0"/>
                      <w:marTop w:val="0"/>
                      <w:marBottom w:val="0"/>
                      <w:divBdr>
                        <w:top w:val="none" w:sz="0" w:space="0" w:color="auto"/>
                        <w:left w:val="none" w:sz="0" w:space="0" w:color="auto"/>
                        <w:bottom w:val="none" w:sz="0" w:space="0" w:color="auto"/>
                        <w:right w:val="none" w:sz="0" w:space="0" w:color="auto"/>
                      </w:divBdr>
                    </w:div>
                  </w:divsChild>
                </w:div>
                <w:div w:id="1132559439">
                  <w:marLeft w:val="0"/>
                  <w:marRight w:val="0"/>
                  <w:marTop w:val="0"/>
                  <w:marBottom w:val="0"/>
                  <w:divBdr>
                    <w:top w:val="none" w:sz="0" w:space="0" w:color="auto"/>
                    <w:left w:val="none" w:sz="0" w:space="0" w:color="auto"/>
                    <w:bottom w:val="none" w:sz="0" w:space="0" w:color="auto"/>
                    <w:right w:val="none" w:sz="0" w:space="0" w:color="auto"/>
                  </w:divBdr>
                  <w:divsChild>
                    <w:div w:id="1621109998">
                      <w:marLeft w:val="0"/>
                      <w:marRight w:val="0"/>
                      <w:marTop w:val="0"/>
                      <w:marBottom w:val="0"/>
                      <w:divBdr>
                        <w:top w:val="none" w:sz="0" w:space="0" w:color="auto"/>
                        <w:left w:val="none" w:sz="0" w:space="0" w:color="auto"/>
                        <w:bottom w:val="none" w:sz="0" w:space="0" w:color="auto"/>
                        <w:right w:val="none" w:sz="0" w:space="0" w:color="auto"/>
                      </w:divBdr>
                    </w:div>
                  </w:divsChild>
                </w:div>
                <w:div w:id="1152521586">
                  <w:marLeft w:val="0"/>
                  <w:marRight w:val="0"/>
                  <w:marTop w:val="0"/>
                  <w:marBottom w:val="0"/>
                  <w:divBdr>
                    <w:top w:val="none" w:sz="0" w:space="0" w:color="auto"/>
                    <w:left w:val="none" w:sz="0" w:space="0" w:color="auto"/>
                    <w:bottom w:val="none" w:sz="0" w:space="0" w:color="auto"/>
                    <w:right w:val="none" w:sz="0" w:space="0" w:color="auto"/>
                  </w:divBdr>
                  <w:divsChild>
                    <w:div w:id="925723053">
                      <w:marLeft w:val="0"/>
                      <w:marRight w:val="0"/>
                      <w:marTop w:val="0"/>
                      <w:marBottom w:val="0"/>
                      <w:divBdr>
                        <w:top w:val="none" w:sz="0" w:space="0" w:color="auto"/>
                        <w:left w:val="none" w:sz="0" w:space="0" w:color="auto"/>
                        <w:bottom w:val="none" w:sz="0" w:space="0" w:color="auto"/>
                        <w:right w:val="none" w:sz="0" w:space="0" w:color="auto"/>
                      </w:divBdr>
                    </w:div>
                  </w:divsChild>
                </w:div>
                <w:div w:id="1199659179">
                  <w:marLeft w:val="0"/>
                  <w:marRight w:val="0"/>
                  <w:marTop w:val="0"/>
                  <w:marBottom w:val="0"/>
                  <w:divBdr>
                    <w:top w:val="none" w:sz="0" w:space="0" w:color="auto"/>
                    <w:left w:val="none" w:sz="0" w:space="0" w:color="auto"/>
                    <w:bottom w:val="none" w:sz="0" w:space="0" w:color="auto"/>
                    <w:right w:val="none" w:sz="0" w:space="0" w:color="auto"/>
                  </w:divBdr>
                  <w:divsChild>
                    <w:div w:id="471750620">
                      <w:marLeft w:val="0"/>
                      <w:marRight w:val="0"/>
                      <w:marTop w:val="0"/>
                      <w:marBottom w:val="0"/>
                      <w:divBdr>
                        <w:top w:val="none" w:sz="0" w:space="0" w:color="auto"/>
                        <w:left w:val="none" w:sz="0" w:space="0" w:color="auto"/>
                        <w:bottom w:val="none" w:sz="0" w:space="0" w:color="auto"/>
                        <w:right w:val="none" w:sz="0" w:space="0" w:color="auto"/>
                      </w:divBdr>
                    </w:div>
                  </w:divsChild>
                </w:div>
                <w:div w:id="1205675364">
                  <w:marLeft w:val="0"/>
                  <w:marRight w:val="0"/>
                  <w:marTop w:val="0"/>
                  <w:marBottom w:val="0"/>
                  <w:divBdr>
                    <w:top w:val="none" w:sz="0" w:space="0" w:color="auto"/>
                    <w:left w:val="none" w:sz="0" w:space="0" w:color="auto"/>
                    <w:bottom w:val="none" w:sz="0" w:space="0" w:color="auto"/>
                    <w:right w:val="none" w:sz="0" w:space="0" w:color="auto"/>
                  </w:divBdr>
                  <w:divsChild>
                    <w:div w:id="441851184">
                      <w:marLeft w:val="0"/>
                      <w:marRight w:val="0"/>
                      <w:marTop w:val="0"/>
                      <w:marBottom w:val="0"/>
                      <w:divBdr>
                        <w:top w:val="none" w:sz="0" w:space="0" w:color="auto"/>
                        <w:left w:val="none" w:sz="0" w:space="0" w:color="auto"/>
                        <w:bottom w:val="none" w:sz="0" w:space="0" w:color="auto"/>
                        <w:right w:val="none" w:sz="0" w:space="0" w:color="auto"/>
                      </w:divBdr>
                    </w:div>
                  </w:divsChild>
                </w:div>
                <w:div w:id="1244728229">
                  <w:marLeft w:val="0"/>
                  <w:marRight w:val="0"/>
                  <w:marTop w:val="0"/>
                  <w:marBottom w:val="0"/>
                  <w:divBdr>
                    <w:top w:val="none" w:sz="0" w:space="0" w:color="auto"/>
                    <w:left w:val="none" w:sz="0" w:space="0" w:color="auto"/>
                    <w:bottom w:val="none" w:sz="0" w:space="0" w:color="auto"/>
                    <w:right w:val="none" w:sz="0" w:space="0" w:color="auto"/>
                  </w:divBdr>
                  <w:divsChild>
                    <w:div w:id="1236162738">
                      <w:marLeft w:val="0"/>
                      <w:marRight w:val="0"/>
                      <w:marTop w:val="0"/>
                      <w:marBottom w:val="0"/>
                      <w:divBdr>
                        <w:top w:val="none" w:sz="0" w:space="0" w:color="auto"/>
                        <w:left w:val="none" w:sz="0" w:space="0" w:color="auto"/>
                        <w:bottom w:val="none" w:sz="0" w:space="0" w:color="auto"/>
                        <w:right w:val="none" w:sz="0" w:space="0" w:color="auto"/>
                      </w:divBdr>
                    </w:div>
                  </w:divsChild>
                </w:div>
                <w:div w:id="1278755565">
                  <w:marLeft w:val="0"/>
                  <w:marRight w:val="0"/>
                  <w:marTop w:val="0"/>
                  <w:marBottom w:val="0"/>
                  <w:divBdr>
                    <w:top w:val="none" w:sz="0" w:space="0" w:color="auto"/>
                    <w:left w:val="none" w:sz="0" w:space="0" w:color="auto"/>
                    <w:bottom w:val="none" w:sz="0" w:space="0" w:color="auto"/>
                    <w:right w:val="none" w:sz="0" w:space="0" w:color="auto"/>
                  </w:divBdr>
                  <w:divsChild>
                    <w:div w:id="1688487216">
                      <w:marLeft w:val="0"/>
                      <w:marRight w:val="0"/>
                      <w:marTop w:val="0"/>
                      <w:marBottom w:val="0"/>
                      <w:divBdr>
                        <w:top w:val="none" w:sz="0" w:space="0" w:color="auto"/>
                        <w:left w:val="none" w:sz="0" w:space="0" w:color="auto"/>
                        <w:bottom w:val="none" w:sz="0" w:space="0" w:color="auto"/>
                        <w:right w:val="none" w:sz="0" w:space="0" w:color="auto"/>
                      </w:divBdr>
                    </w:div>
                  </w:divsChild>
                </w:div>
                <w:div w:id="1299068488">
                  <w:marLeft w:val="0"/>
                  <w:marRight w:val="0"/>
                  <w:marTop w:val="0"/>
                  <w:marBottom w:val="0"/>
                  <w:divBdr>
                    <w:top w:val="none" w:sz="0" w:space="0" w:color="auto"/>
                    <w:left w:val="none" w:sz="0" w:space="0" w:color="auto"/>
                    <w:bottom w:val="none" w:sz="0" w:space="0" w:color="auto"/>
                    <w:right w:val="none" w:sz="0" w:space="0" w:color="auto"/>
                  </w:divBdr>
                  <w:divsChild>
                    <w:div w:id="1660772718">
                      <w:marLeft w:val="0"/>
                      <w:marRight w:val="0"/>
                      <w:marTop w:val="0"/>
                      <w:marBottom w:val="0"/>
                      <w:divBdr>
                        <w:top w:val="none" w:sz="0" w:space="0" w:color="auto"/>
                        <w:left w:val="none" w:sz="0" w:space="0" w:color="auto"/>
                        <w:bottom w:val="none" w:sz="0" w:space="0" w:color="auto"/>
                        <w:right w:val="none" w:sz="0" w:space="0" w:color="auto"/>
                      </w:divBdr>
                    </w:div>
                  </w:divsChild>
                </w:div>
                <w:div w:id="1301810565">
                  <w:marLeft w:val="0"/>
                  <w:marRight w:val="0"/>
                  <w:marTop w:val="0"/>
                  <w:marBottom w:val="0"/>
                  <w:divBdr>
                    <w:top w:val="none" w:sz="0" w:space="0" w:color="auto"/>
                    <w:left w:val="none" w:sz="0" w:space="0" w:color="auto"/>
                    <w:bottom w:val="none" w:sz="0" w:space="0" w:color="auto"/>
                    <w:right w:val="none" w:sz="0" w:space="0" w:color="auto"/>
                  </w:divBdr>
                  <w:divsChild>
                    <w:div w:id="1379354628">
                      <w:marLeft w:val="0"/>
                      <w:marRight w:val="0"/>
                      <w:marTop w:val="0"/>
                      <w:marBottom w:val="0"/>
                      <w:divBdr>
                        <w:top w:val="none" w:sz="0" w:space="0" w:color="auto"/>
                        <w:left w:val="none" w:sz="0" w:space="0" w:color="auto"/>
                        <w:bottom w:val="none" w:sz="0" w:space="0" w:color="auto"/>
                        <w:right w:val="none" w:sz="0" w:space="0" w:color="auto"/>
                      </w:divBdr>
                    </w:div>
                  </w:divsChild>
                </w:div>
                <w:div w:id="1327637395">
                  <w:marLeft w:val="0"/>
                  <w:marRight w:val="0"/>
                  <w:marTop w:val="0"/>
                  <w:marBottom w:val="0"/>
                  <w:divBdr>
                    <w:top w:val="none" w:sz="0" w:space="0" w:color="auto"/>
                    <w:left w:val="none" w:sz="0" w:space="0" w:color="auto"/>
                    <w:bottom w:val="none" w:sz="0" w:space="0" w:color="auto"/>
                    <w:right w:val="none" w:sz="0" w:space="0" w:color="auto"/>
                  </w:divBdr>
                  <w:divsChild>
                    <w:div w:id="725836685">
                      <w:marLeft w:val="0"/>
                      <w:marRight w:val="0"/>
                      <w:marTop w:val="0"/>
                      <w:marBottom w:val="0"/>
                      <w:divBdr>
                        <w:top w:val="none" w:sz="0" w:space="0" w:color="auto"/>
                        <w:left w:val="none" w:sz="0" w:space="0" w:color="auto"/>
                        <w:bottom w:val="none" w:sz="0" w:space="0" w:color="auto"/>
                        <w:right w:val="none" w:sz="0" w:space="0" w:color="auto"/>
                      </w:divBdr>
                    </w:div>
                  </w:divsChild>
                </w:div>
                <w:div w:id="1351100925">
                  <w:marLeft w:val="0"/>
                  <w:marRight w:val="0"/>
                  <w:marTop w:val="0"/>
                  <w:marBottom w:val="0"/>
                  <w:divBdr>
                    <w:top w:val="none" w:sz="0" w:space="0" w:color="auto"/>
                    <w:left w:val="none" w:sz="0" w:space="0" w:color="auto"/>
                    <w:bottom w:val="none" w:sz="0" w:space="0" w:color="auto"/>
                    <w:right w:val="none" w:sz="0" w:space="0" w:color="auto"/>
                  </w:divBdr>
                  <w:divsChild>
                    <w:div w:id="421411482">
                      <w:marLeft w:val="0"/>
                      <w:marRight w:val="0"/>
                      <w:marTop w:val="0"/>
                      <w:marBottom w:val="0"/>
                      <w:divBdr>
                        <w:top w:val="none" w:sz="0" w:space="0" w:color="auto"/>
                        <w:left w:val="none" w:sz="0" w:space="0" w:color="auto"/>
                        <w:bottom w:val="none" w:sz="0" w:space="0" w:color="auto"/>
                        <w:right w:val="none" w:sz="0" w:space="0" w:color="auto"/>
                      </w:divBdr>
                    </w:div>
                  </w:divsChild>
                </w:div>
                <w:div w:id="1362047427">
                  <w:marLeft w:val="0"/>
                  <w:marRight w:val="0"/>
                  <w:marTop w:val="0"/>
                  <w:marBottom w:val="0"/>
                  <w:divBdr>
                    <w:top w:val="none" w:sz="0" w:space="0" w:color="auto"/>
                    <w:left w:val="none" w:sz="0" w:space="0" w:color="auto"/>
                    <w:bottom w:val="none" w:sz="0" w:space="0" w:color="auto"/>
                    <w:right w:val="none" w:sz="0" w:space="0" w:color="auto"/>
                  </w:divBdr>
                  <w:divsChild>
                    <w:div w:id="1980646547">
                      <w:marLeft w:val="0"/>
                      <w:marRight w:val="0"/>
                      <w:marTop w:val="0"/>
                      <w:marBottom w:val="0"/>
                      <w:divBdr>
                        <w:top w:val="none" w:sz="0" w:space="0" w:color="auto"/>
                        <w:left w:val="none" w:sz="0" w:space="0" w:color="auto"/>
                        <w:bottom w:val="none" w:sz="0" w:space="0" w:color="auto"/>
                        <w:right w:val="none" w:sz="0" w:space="0" w:color="auto"/>
                      </w:divBdr>
                    </w:div>
                  </w:divsChild>
                </w:div>
                <w:div w:id="1382440847">
                  <w:marLeft w:val="0"/>
                  <w:marRight w:val="0"/>
                  <w:marTop w:val="0"/>
                  <w:marBottom w:val="0"/>
                  <w:divBdr>
                    <w:top w:val="none" w:sz="0" w:space="0" w:color="auto"/>
                    <w:left w:val="none" w:sz="0" w:space="0" w:color="auto"/>
                    <w:bottom w:val="none" w:sz="0" w:space="0" w:color="auto"/>
                    <w:right w:val="none" w:sz="0" w:space="0" w:color="auto"/>
                  </w:divBdr>
                  <w:divsChild>
                    <w:div w:id="144130418">
                      <w:marLeft w:val="0"/>
                      <w:marRight w:val="0"/>
                      <w:marTop w:val="0"/>
                      <w:marBottom w:val="0"/>
                      <w:divBdr>
                        <w:top w:val="none" w:sz="0" w:space="0" w:color="auto"/>
                        <w:left w:val="none" w:sz="0" w:space="0" w:color="auto"/>
                        <w:bottom w:val="none" w:sz="0" w:space="0" w:color="auto"/>
                        <w:right w:val="none" w:sz="0" w:space="0" w:color="auto"/>
                      </w:divBdr>
                    </w:div>
                  </w:divsChild>
                </w:div>
                <w:div w:id="1399860255">
                  <w:marLeft w:val="0"/>
                  <w:marRight w:val="0"/>
                  <w:marTop w:val="0"/>
                  <w:marBottom w:val="0"/>
                  <w:divBdr>
                    <w:top w:val="none" w:sz="0" w:space="0" w:color="auto"/>
                    <w:left w:val="none" w:sz="0" w:space="0" w:color="auto"/>
                    <w:bottom w:val="none" w:sz="0" w:space="0" w:color="auto"/>
                    <w:right w:val="none" w:sz="0" w:space="0" w:color="auto"/>
                  </w:divBdr>
                  <w:divsChild>
                    <w:div w:id="1780907356">
                      <w:marLeft w:val="0"/>
                      <w:marRight w:val="0"/>
                      <w:marTop w:val="0"/>
                      <w:marBottom w:val="0"/>
                      <w:divBdr>
                        <w:top w:val="none" w:sz="0" w:space="0" w:color="auto"/>
                        <w:left w:val="none" w:sz="0" w:space="0" w:color="auto"/>
                        <w:bottom w:val="none" w:sz="0" w:space="0" w:color="auto"/>
                        <w:right w:val="none" w:sz="0" w:space="0" w:color="auto"/>
                      </w:divBdr>
                    </w:div>
                  </w:divsChild>
                </w:div>
                <w:div w:id="1408309226">
                  <w:marLeft w:val="0"/>
                  <w:marRight w:val="0"/>
                  <w:marTop w:val="0"/>
                  <w:marBottom w:val="0"/>
                  <w:divBdr>
                    <w:top w:val="none" w:sz="0" w:space="0" w:color="auto"/>
                    <w:left w:val="none" w:sz="0" w:space="0" w:color="auto"/>
                    <w:bottom w:val="none" w:sz="0" w:space="0" w:color="auto"/>
                    <w:right w:val="none" w:sz="0" w:space="0" w:color="auto"/>
                  </w:divBdr>
                  <w:divsChild>
                    <w:div w:id="236742535">
                      <w:marLeft w:val="0"/>
                      <w:marRight w:val="0"/>
                      <w:marTop w:val="0"/>
                      <w:marBottom w:val="0"/>
                      <w:divBdr>
                        <w:top w:val="none" w:sz="0" w:space="0" w:color="auto"/>
                        <w:left w:val="none" w:sz="0" w:space="0" w:color="auto"/>
                        <w:bottom w:val="none" w:sz="0" w:space="0" w:color="auto"/>
                        <w:right w:val="none" w:sz="0" w:space="0" w:color="auto"/>
                      </w:divBdr>
                    </w:div>
                  </w:divsChild>
                </w:div>
                <w:div w:id="1409613906">
                  <w:marLeft w:val="0"/>
                  <w:marRight w:val="0"/>
                  <w:marTop w:val="0"/>
                  <w:marBottom w:val="0"/>
                  <w:divBdr>
                    <w:top w:val="none" w:sz="0" w:space="0" w:color="auto"/>
                    <w:left w:val="none" w:sz="0" w:space="0" w:color="auto"/>
                    <w:bottom w:val="none" w:sz="0" w:space="0" w:color="auto"/>
                    <w:right w:val="none" w:sz="0" w:space="0" w:color="auto"/>
                  </w:divBdr>
                  <w:divsChild>
                    <w:div w:id="1764717561">
                      <w:marLeft w:val="0"/>
                      <w:marRight w:val="0"/>
                      <w:marTop w:val="0"/>
                      <w:marBottom w:val="0"/>
                      <w:divBdr>
                        <w:top w:val="none" w:sz="0" w:space="0" w:color="auto"/>
                        <w:left w:val="none" w:sz="0" w:space="0" w:color="auto"/>
                        <w:bottom w:val="none" w:sz="0" w:space="0" w:color="auto"/>
                        <w:right w:val="none" w:sz="0" w:space="0" w:color="auto"/>
                      </w:divBdr>
                    </w:div>
                  </w:divsChild>
                </w:div>
                <w:div w:id="1424380528">
                  <w:marLeft w:val="0"/>
                  <w:marRight w:val="0"/>
                  <w:marTop w:val="0"/>
                  <w:marBottom w:val="0"/>
                  <w:divBdr>
                    <w:top w:val="none" w:sz="0" w:space="0" w:color="auto"/>
                    <w:left w:val="none" w:sz="0" w:space="0" w:color="auto"/>
                    <w:bottom w:val="none" w:sz="0" w:space="0" w:color="auto"/>
                    <w:right w:val="none" w:sz="0" w:space="0" w:color="auto"/>
                  </w:divBdr>
                  <w:divsChild>
                    <w:div w:id="199440153">
                      <w:marLeft w:val="0"/>
                      <w:marRight w:val="0"/>
                      <w:marTop w:val="0"/>
                      <w:marBottom w:val="0"/>
                      <w:divBdr>
                        <w:top w:val="none" w:sz="0" w:space="0" w:color="auto"/>
                        <w:left w:val="none" w:sz="0" w:space="0" w:color="auto"/>
                        <w:bottom w:val="none" w:sz="0" w:space="0" w:color="auto"/>
                        <w:right w:val="none" w:sz="0" w:space="0" w:color="auto"/>
                      </w:divBdr>
                    </w:div>
                  </w:divsChild>
                </w:div>
                <w:div w:id="1440954203">
                  <w:marLeft w:val="0"/>
                  <w:marRight w:val="0"/>
                  <w:marTop w:val="0"/>
                  <w:marBottom w:val="0"/>
                  <w:divBdr>
                    <w:top w:val="none" w:sz="0" w:space="0" w:color="auto"/>
                    <w:left w:val="none" w:sz="0" w:space="0" w:color="auto"/>
                    <w:bottom w:val="none" w:sz="0" w:space="0" w:color="auto"/>
                    <w:right w:val="none" w:sz="0" w:space="0" w:color="auto"/>
                  </w:divBdr>
                  <w:divsChild>
                    <w:div w:id="670840414">
                      <w:marLeft w:val="0"/>
                      <w:marRight w:val="0"/>
                      <w:marTop w:val="0"/>
                      <w:marBottom w:val="0"/>
                      <w:divBdr>
                        <w:top w:val="none" w:sz="0" w:space="0" w:color="auto"/>
                        <w:left w:val="none" w:sz="0" w:space="0" w:color="auto"/>
                        <w:bottom w:val="none" w:sz="0" w:space="0" w:color="auto"/>
                        <w:right w:val="none" w:sz="0" w:space="0" w:color="auto"/>
                      </w:divBdr>
                    </w:div>
                  </w:divsChild>
                </w:div>
                <w:div w:id="1481002154">
                  <w:marLeft w:val="0"/>
                  <w:marRight w:val="0"/>
                  <w:marTop w:val="0"/>
                  <w:marBottom w:val="0"/>
                  <w:divBdr>
                    <w:top w:val="none" w:sz="0" w:space="0" w:color="auto"/>
                    <w:left w:val="none" w:sz="0" w:space="0" w:color="auto"/>
                    <w:bottom w:val="none" w:sz="0" w:space="0" w:color="auto"/>
                    <w:right w:val="none" w:sz="0" w:space="0" w:color="auto"/>
                  </w:divBdr>
                  <w:divsChild>
                    <w:div w:id="1345327648">
                      <w:marLeft w:val="0"/>
                      <w:marRight w:val="0"/>
                      <w:marTop w:val="0"/>
                      <w:marBottom w:val="0"/>
                      <w:divBdr>
                        <w:top w:val="none" w:sz="0" w:space="0" w:color="auto"/>
                        <w:left w:val="none" w:sz="0" w:space="0" w:color="auto"/>
                        <w:bottom w:val="none" w:sz="0" w:space="0" w:color="auto"/>
                        <w:right w:val="none" w:sz="0" w:space="0" w:color="auto"/>
                      </w:divBdr>
                    </w:div>
                  </w:divsChild>
                </w:div>
                <w:div w:id="1490318693">
                  <w:marLeft w:val="0"/>
                  <w:marRight w:val="0"/>
                  <w:marTop w:val="0"/>
                  <w:marBottom w:val="0"/>
                  <w:divBdr>
                    <w:top w:val="none" w:sz="0" w:space="0" w:color="auto"/>
                    <w:left w:val="none" w:sz="0" w:space="0" w:color="auto"/>
                    <w:bottom w:val="none" w:sz="0" w:space="0" w:color="auto"/>
                    <w:right w:val="none" w:sz="0" w:space="0" w:color="auto"/>
                  </w:divBdr>
                  <w:divsChild>
                    <w:div w:id="1478185238">
                      <w:marLeft w:val="0"/>
                      <w:marRight w:val="0"/>
                      <w:marTop w:val="0"/>
                      <w:marBottom w:val="0"/>
                      <w:divBdr>
                        <w:top w:val="none" w:sz="0" w:space="0" w:color="auto"/>
                        <w:left w:val="none" w:sz="0" w:space="0" w:color="auto"/>
                        <w:bottom w:val="none" w:sz="0" w:space="0" w:color="auto"/>
                        <w:right w:val="none" w:sz="0" w:space="0" w:color="auto"/>
                      </w:divBdr>
                    </w:div>
                  </w:divsChild>
                </w:div>
                <w:div w:id="1495799763">
                  <w:marLeft w:val="0"/>
                  <w:marRight w:val="0"/>
                  <w:marTop w:val="0"/>
                  <w:marBottom w:val="0"/>
                  <w:divBdr>
                    <w:top w:val="none" w:sz="0" w:space="0" w:color="auto"/>
                    <w:left w:val="none" w:sz="0" w:space="0" w:color="auto"/>
                    <w:bottom w:val="none" w:sz="0" w:space="0" w:color="auto"/>
                    <w:right w:val="none" w:sz="0" w:space="0" w:color="auto"/>
                  </w:divBdr>
                  <w:divsChild>
                    <w:div w:id="1666013309">
                      <w:marLeft w:val="0"/>
                      <w:marRight w:val="0"/>
                      <w:marTop w:val="0"/>
                      <w:marBottom w:val="0"/>
                      <w:divBdr>
                        <w:top w:val="none" w:sz="0" w:space="0" w:color="auto"/>
                        <w:left w:val="none" w:sz="0" w:space="0" w:color="auto"/>
                        <w:bottom w:val="none" w:sz="0" w:space="0" w:color="auto"/>
                        <w:right w:val="none" w:sz="0" w:space="0" w:color="auto"/>
                      </w:divBdr>
                    </w:div>
                  </w:divsChild>
                </w:div>
                <w:div w:id="1498039825">
                  <w:marLeft w:val="0"/>
                  <w:marRight w:val="0"/>
                  <w:marTop w:val="0"/>
                  <w:marBottom w:val="0"/>
                  <w:divBdr>
                    <w:top w:val="none" w:sz="0" w:space="0" w:color="auto"/>
                    <w:left w:val="none" w:sz="0" w:space="0" w:color="auto"/>
                    <w:bottom w:val="none" w:sz="0" w:space="0" w:color="auto"/>
                    <w:right w:val="none" w:sz="0" w:space="0" w:color="auto"/>
                  </w:divBdr>
                  <w:divsChild>
                    <w:div w:id="1651789962">
                      <w:marLeft w:val="0"/>
                      <w:marRight w:val="0"/>
                      <w:marTop w:val="0"/>
                      <w:marBottom w:val="0"/>
                      <w:divBdr>
                        <w:top w:val="none" w:sz="0" w:space="0" w:color="auto"/>
                        <w:left w:val="none" w:sz="0" w:space="0" w:color="auto"/>
                        <w:bottom w:val="none" w:sz="0" w:space="0" w:color="auto"/>
                        <w:right w:val="none" w:sz="0" w:space="0" w:color="auto"/>
                      </w:divBdr>
                    </w:div>
                  </w:divsChild>
                </w:div>
                <w:div w:id="1502507903">
                  <w:marLeft w:val="0"/>
                  <w:marRight w:val="0"/>
                  <w:marTop w:val="0"/>
                  <w:marBottom w:val="0"/>
                  <w:divBdr>
                    <w:top w:val="none" w:sz="0" w:space="0" w:color="auto"/>
                    <w:left w:val="none" w:sz="0" w:space="0" w:color="auto"/>
                    <w:bottom w:val="none" w:sz="0" w:space="0" w:color="auto"/>
                    <w:right w:val="none" w:sz="0" w:space="0" w:color="auto"/>
                  </w:divBdr>
                  <w:divsChild>
                    <w:div w:id="1289780312">
                      <w:marLeft w:val="0"/>
                      <w:marRight w:val="0"/>
                      <w:marTop w:val="0"/>
                      <w:marBottom w:val="0"/>
                      <w:divBdr>
                        <w:top w:val="none" w:sz="0" w:space="0" w:color="auto"/>
                        <w:left w:val="none" w:sz="0" w:space="0" w:color="auto"/>
                        <w:bottom w:val="none" w:sz="0" w:space="0" w:color="auto"/>
                        <w:right w:val="none" w:sz="0" w:space="0" w:color="auto"/>
                      </w:divBdr>
                    </w:div>
                  </w:divsChild>
                </w:div>
                <w:div w:id="1513032881">
                  <w:marLeft w:val="0"/>
                  <w:marRight w:val="0"/>
                  <w:marTop w:val="0"/>
                  <w:marBottom w:val="0"/>
                  <w:divBdr>
                    <w:top w:val="none" w:sz="0" w:space="0" w:color="auto"/>
                    <w:left w:val="none" w:sz="0" w:space="0" w:color="auto"/>
                    <w:bottom w:val="none" w:sz="0" w:space="0" w:color="auto"/>
                    <w:right w:val="none" w:sz="0" w:space="0" w:color="auto"/>
                  </w:divBdr>
                  <w:divsChild>
                    <w:div w:id="942229555">
                      <w:marLeft w:val="0"/>
                      <w:marRight w:val="0"/>
                      <w:marTop w:val="0"/>
                      <w:marBottom w:val="0"/>
                      <w:divBdr>
                        <w:top w:val="none" w:sz="0" w:space="0" w:color="auto"/>
                        <w:left w:val="none" w:sz="0" w:space="0" w:color="auto"/>
                        <w:bottom w:val="none" w:sz="0" w:space="0" w:color="auto"/>
                        <w:right w:val="none" w:sz="0" w:space="0" w:color="auto"/>
                      </w:divBdr>
                    </w:div>
                  </w:divsChild>
                </w:div>
                <w:div w:id="1531793661">
                  <w:marLeft w:val="0"/>
                  <w:marRight w:val="0"/>
                  <w:marTop w:val="0"/>
                  <w:marBottom w:val="0"/>
                  <w:divBdr>
                    <w:top w:val="none" w:sz="0" w:space="0" w:color="auto"/>
                    <w:left w:val="none" w:sz="0" w:space="0" w:color="auto"/>
                    <w:bottom w:val="none" w:sz="0" w:space="0" w:color="auto"/>
                    <w:right w:val="none" w:sz="0" w:space="0" w:color="auto"/>
                  </w:divBdr>
                  <w:divsChild>
                    <w:div w:id="1715737727">
                      <w:marLeft w:val="0"/>
                      <w:marRight w:val="0"/>
                      <w:marTop w:val="0"/>
                      <w:marBottom w:val="0"/>
                      <w:divBdr>
                        <w:top w:val="none" w:sz="0" w:space="0" w:color="auto"/>
                        <w:left w:val="none" w:sz="0" w:space="0" w:color="auto"/>
                        <w:bottom w:val="none" w:sz="0" w:space="0" w:color="auto"/>
                        <w:right w:val="none" w:sz="0" w:space="0" w:color="auto"/>
                      </w:divBdr>
                    </w:div>
                  </w:divsChild>
                </w:div>
                <w:div w:id="1564559729">
                  <w:marLeft w:val="0"/>
                  <w:marRight w:val="0"/>
                  <w:marTop w:val="0"/>
                  <w:marBottom w:val="0"/>
                  <w:divBdr>
                    <w:top w:val="none" w:sz="0" w:space="0" w:color="auto"/>
                    <w:left w:val="none" w:sz="0" w:space="0" w:color="auto"/>
                    <w:bottom w:val="none" w:sz="0" w:space="0" w:color="auto"/>
                    <w:right w:val="none" w:sz="0" w:space="0" w:color="auto"/>
                  </w:divBdr>
                  <w:divsChild>
                    <w:div w:id="1582910919">
                      <w:marLeft w:val="0"/>
                      <w:marRight w:val="0"/>
                      <w:marTop w:val="0"/>
                      <w:marBottom w:val="0"/>
                      <w:divBdr>
                        <w:top w:val="none" w:sz="0" w:space="0" w:color="auto"/>
                        <w:left w:val="none" w:sz="0" w:space="0" w:color="auto"/>
                        <w:bottom w:val="none" w:sz="0" w:space="0" w:color="auto"/>
                        <w:right w:val="none" w:sz="0" w:space="0" w:color="auto"/>
                      </w:divBdr>
                    </w:div>
                  </w:divsChild>
                </w:div>
                <w:div w:id="1569799285">
                  <w:marLeft w:val="0"/>
                  <w:marRight w:val="0"/>
                  <w:marTop w:val="0"/>
                  <w:marBottom w:val="0"/>
                  <w:divBdr>
                    <w:top w:val="none" w:sz="0" w:space="0" w:color="auto"/>
                    <w:left w:val="none" w:sz="0" w:space="0" w:color="auto"/>
                    <w:bottom w:val="none" w:sz="0" w:space="0" w:color="auto"/>
                    <w:right w:val="none" w:sz="0" w:space="0" w:color="auto"/>
                  </w:divBdr>
                  <w:divsChild>
                    <w:div w:id="334189987">
                      <w:marLeft w:val="0"/>
                      <w:marRight w:val="0"/>
                      <w:marTop w:val="0"/>
                      <w:marBottom w:val="0"/>
                      <w:divBdr>
                        <w:top w:val="none" w:sz="0" w:space="0" w:color="auto"/>
                        <w:left w:val="none" w:sz="0" w:space="0" w:color="auto"/>
                        <w:bottom w:val="none" w:sz="0" w:space="0" w:color="auto"/>
                        <w:right w:val="none" w:sz="0" w:space="0" w:color="auto"/>
                      </w:divBdr>
                    </w:div>
                  </w:divsChild>
                </w:div>
                <w:div w:id="1569875820">
                  <w:marLeft w:val="0"/>
                  <w:marRight w:val="0"/>
                  <w:marTop w:val="0"/>
                  <w:marBottom w:val="0"/>
                  <w:divBdr>
                    <w:top w:val="none" w:sz="0" w:space="0" w:color="auto"/>
                    <w:left w:val="none" w:sz="0" w:space="0" w:color="auto"/>
                    <w:bottom w:val="none" w:sz="0" w:space="0" w:color="auto"/>
                    <w:right w:val="none" w:sz="0" w:space="0" w:color="auto"/>
                  </w:divBdr>
                  <w:divsChild>
                    <w:div w:id="473568013">
                      <w:marLeft w:val="0"/>
                      <w:marRight w:val="0"/>
                      <w:marTop w:val="0"/>
                      <w:marBottom w:val="0"/>
                      <w:divBdr>
                        <w:top w:val="none" w:sz="0" w:space="0" w:color="auto"/>
                        <w:left w:val="none" w:sz="0" w:space="0" w:color="auto"/>
                        <w:bottom w:val="none" w:sz="0" w:space="0" w:color="auto"/>
                        <w:right w:val="none" w:sz="0" w:space="0" w:color="auto"/>
                      </w:divBdr>
                    </w:div>
                  </w:divsChild>
                </w:div>
                <w:div w:id="1574201221">
                  <w:marLeft w:val="0"/>
                  <w:marRight w:val="0"/>
                  <w:marTop w:val="0"/>
                  <w:marBottom w:val="0"/>
                  <w:divBdr>
                    <w:top w:val="none" w:sz="0" w:space="0" w:color="auto"/>
                    <w:left w:val="none" w:sz="0" w:space="0" w:color="auto"/>
                    <w:bottom w:val="none" w:sz="0" w:space="0" w:color="auto"/>
                    <w:right w:val="none" w:sz="0" w:space="0" w:color="auto"/>
                  </w:divBdr>
                  <w:divsChild>
                    <w:div w:id="611479475">
                      <w:marLeft w:val="0"/>
                      <w:marRight w:val="0"/>
                      <w:marTop w:val="0"/>
                      <w:marBottom w:val="0"/>
                      <w:divBdr>
                        <w:top w:val="none" w:sz="0" w:space="0" w:color="auto"/>
                        <w:left w:val="none" w:sz="0" w:space="0" w:color="auto"/>
                        <w:bottom w:val="none" w:sz="0" w:space="0" w:color="auto"/>
                        <w:right w:val="none" w:sz="0" w:space="0" w:color="auto"/>
                      </w:divBdr>
                    </w:div>
                  </w:divsChild>
                </w:div>
                <w:div w:id="1579635326">
                  <w:marLeft w:val="0"/>
                  <w:marRight w:val="0"/>
                  <w:marTop w:val="0"/>
                  <w:marBottom w:val="0"/>
                  <w:divBdr>
                    <w:top w:val="none" w:sz="0" w:space="0" w:color="auto"/>
                    <w:left w:val="none" w:sz="0" w:space="0" w:color="auto"/>
                    <w:bottom w:val="none" w:sz="0" w:space="0" w:color="auto"/>
                    <w:right w:val="none" w:sz="0" w:space="0" w:color="auto"/>
                  </w:divBdr>
                  <w:divsChild>
                    <w:div w:id="1945533981">
                      <w:marLeft w:val="0"/>
                      <w:marRight w:val="0"/>
                      <w:marTop w:val="0"/>
                      <w:marBottom w:val="0"/>
                      <w:divBdr>
                        <w:top w:val="none" w:sz="0" w:space="0" w:color="auto"/>
                        <w:left w:val="none" w:sz="0" w:space="0" w:color="auto"/>
                        <w:bottom w:val="none" w:sz="0" w:space="0" w:color="auto"/>
                        <w:right w:val="none" w:sz="0" w:space="0" w:color="auto"/>
                      </w:divBdr>
                    </w:div>
                  </w:divsChild>
                </w:div>
                <w:div w:id="1589994344">
                  <w:marLeft w:val="0"/>
                  <w:marRight w:val="0"/>
                  <w:marTop w:val="0"/>
                  <w:marBottom w:val="0"/>
                  <w:divBdr>
                    <w:top w:val="none" w:sz="0" w:space="0" w:color="auto"/>
                    <w:left w:val="none" w:sz="0" w:space="0" w:color="auto"/>
                    <w:bottom w:val="none" w:sz="0" w:space="0" w:color="auto"/>
                    <w:right w:val="none" w:sz="0" w:space="0" w:color="auto"/>
                  </w:divBdr>
                  <w:divsChild>
                    <w:div w:id="180321541">
                      <w:marLeft w:val="0"/>
                      <w:marRight w:val="0"/>
                      <w:marTop w:val="0"/>
                      <w:marBottom w:val="0"/>
                      <w:divBdr>
                        <w:top w:val="none" w:sz="0" w:space="0" w:color="auto"/>
                        <w:left w:val="none" w:sz="0" w:space="0" w:color="auto"/>
                        <w:bottom w:val="none" w:sz="0" w:space="0" w:color="auto"/>
                        <w:right w:val="none" w:sz="0" w:space="0" w:color="auto"/>
                      </w:divBdr>
                    </w:div>
                  </w:divsChild>
                </w:div>
                <w:div w:id="1598557427">
                  <w:marLeft w:val="0"/>
                  <w:marRight w:val="0"/>
                  <w:marTop w:val="0"/>
                  <w:marBottom w:val="0"/>
                  <w:divBdr>
                    <w:top w:val="none" w:sz="0" w:space="0" w:color="auto"/>
                    <w:left w:val="none" w:sz="0" w:space="0" w:color="auto"/>
                    <w:bottom w:val="none" w:sz="0" w:space="0" w:color="auto"/>
                    <w:right w:val="none" w:sz="0" w:space="0" w:color="auto"/>
                  </w:divBdr>
                  <w:divsChild>
                    <w:div w:id="221605318">
                      <w:marLeft w:val="0"/>
                      <w:marRight w:val="0"/>
                      <w:marTop w:val="0"/>
                      <w:marBottom w:val="0"/>
                      <w:divBdr>
                        <w:top w:val="none" w:sz="0" w:space="0" w:color="auto"/>
                        <w:left w:val="none" w:sz="0" w:space="0" w:color="auto"/>
                        <w:bottom w:val="none" w:sz="0" w:space="0" w:color="auto"/>
                        <w:right w:val="none" w:sz="0" w:space="0" w:color="auto"/>
                      </w:divBdr>
                    </w:div>
                  </w:divsChild>
                </w:div>
                <w:div w:id="1629356236">
                  <w:marLeft w:val="0"/>
                  <w:marRight w:val="0"/>
                  <w:marTop w:val="0"/>
                  <w:marBottom w:val="0"/>
                  <w:divBdr>
                    <w:top w:val="none" w:sz="0" w:space="0" w:color="auto"/>
                    <w:left w:val="none" w:sz="0" w:space="0" w:color="auto"/>
                    <w:bottom w:val="none" w:sz="0" w:space="0" w:color="auto"/>
                    <w:right w:val="none" w:sz="0" w:space="0" w:color="auto"/>
                  </w:divBdr>
                  <w:divsChild>
                    <w:div w:id="229194932">
                      <w:marLeft w:val="0"/>
                      <w:marRight w:val="0"/>
                      <w:marTop w:val="0"/>
                      <w:marBottom w:val="0"/>
                      <w:divBdr>
                        <w:top w:val="none" w:sz="0" w:space="0" w:color="auto"/>
                        <w:left w:val="none" w:sz="0" w:space="0" w:color="auto"/>
                        <w:bottom w:val="none" w:sz="0" w:space="0" w:color="auto"/>
                        <w:right w:val="none" w:sz="0" w:space="0" w:color="auto"/>
                      </w:divBdr>
                    </w:div>
                  </w:divsChild>
                </w:div>
                <w:div w:id="1655185227">
                  <w:marLeft w:val="0"/>
                  <w:marRight w:val="0"/>
                  <w:marTop w:val="0"/>
                  <w:marBottom w:val="0"/>
                  <w:divBdr>
                    <w:top w:val="none" w:sz="0" w:space="0" w:color="auto"/>
                    <w:left w:val="none" w:sz="0" w:space="0" w:color="auto"/>
                    <w:bottom w:val="none" w:sz="0" w:space="0" w:color="auto"/>
                    <w:right w:val="none" w:sz="0" w:space="0" w:color="auto"/>
                  </w:divBdr>
                  <w:divsChild>
                    <w:div w:id="2067991962">
                      <w:marLeft w:val="0"/>
                      <w:marRight w:val="0"/>
                      <w:marTop w:val="0"/>
                      <w:marBottom w:val="0"/>
                      <w:divBdr>
                        <w:top w:val="none" w:sz="0" w:space="0" w:color="auto"/>
                        <w:left w:val="none" w:sz="0" w:space="0" w:color="auto"/>
                        <w:bottom w:val="none" w:sz="0" w:space="0" w:color="auto"/>
                        <w:right w:val="none" w:sz="0" w:space="0" w:color="auto"/>
                      </w:divBdr>
                    </w:div>
                  </w:divsChild>
                </w:div>
                <w:div w:id="1657956539">
                  <w:marLeft w:val="0"/>
                  <w:marRight w:val="0"/>
                  <w:marTop w:val="0"/>
                  <w:marBottom w:val="0"/>
                  <w:divBdr>
                    <w:top w:val="none" w:sz="0" w:space="0" w:color="auto"/>
                    <w:left w:val="none" w:sz="0" w:space="0" w:color="auto"/>
                    <w:bottom w:val="none" w:sz="0" w:space="0" w:color="auto"/>
                    <w:right w:val="none" w:sz="0" w:space="0" w:color="auto"/>
                  </w:divBdr>
                  <w:divsChild>
                    <w:div w:id="737359468">
                      <w:marLeft w:val="0"/>
                      <w:marRight w:val="0"/>
                      <w:marTop w:val="0"/>
                      <w:marBottom w:val="0"/>
                      <w:divBdr>
                        <w:top w:val="none" w:sz="0" w:space="0" w:color="auto"/>
                        <w:left w:val="none" w:sz="0" w:space="0" w:color="auto"/>
                        <w:bottom w:val="none" w:sz="0" w:space="0" w:color="auto"/>
                        <w:right w:val="none" w:sz="0" w:space="0" w:color="auto"/>
                      </w:divBdr>
                    </w:div>
                  </w:divsChild>
                </w:div>
                <w:div w:id="1698921575">
                  <w:marLeft w:val="0"/>
                  <w:marRight w:val="0"/>
                  <w:marTop w:val="0"/>
                  <w:marBottom w:val="0"/>
                  <w:divBdr>
                    <w:top w:val="none" w:sz="0" w:space="0" w:color="auto"/>
                    <w:left w:val="none" w:sz="0" w:space="0" w:color="auto"/>
                    <w:bottom w:val="none" w:sz="0" w:space="0" w:color="auto"/>
                    <w:right w:val="none" w:sz="0" w:space="0" w:color="auto"/>
                  </w:divBdr>
                  <w:divsChild>
                    <w:div w:id="1017659599">
                      <w:marLeft w:val="0"/>
                      <w:marRight w:val="0"/>
                      <w:marTop w:val="0"/>
                      <w:marBottom w:val="0"/>
                      <w:divBdr>
                        <w:top w:val="none" w:sz="0" w:space="0" w:color="auto"/>
                        <w:left w:val="none" w:sz="0" w:space="0" w:color="auto"/>
                        <w:bottom w:val="none" w:sz="0" w:space="0" w:color="auto"/>
                        <w:right w:val="none" w:sz="0" w:space="0" w:color="auto"/>
                      </w:divBdr>
                    </w:div>
                  </w:divsChild>
                </w:div>
                <w:div w:id="1699971018">
                  <w:marLeft w:val="0"/>
                  <w:marRight w:val="0"/>
                  <w:marTop w:val="0"/>
                  <w:marBottom w:val="0"/>
                  <w:divBdr>
                    <w:top w:val="none" w:sz="0" w:space="0" w:color="auto"/>
                    <w:left w:val="none" w:sz="0" w:space="0" w:color="auto"/>
                    <w:bottom w:val="none" w:sz="0" w:space="0" w:color="auto"/>
                    <w:right w:val="none" w:sz="0" w:space="0" w:color="auto"/>
                  </w:divBdr>
                  <w:divsChild>
                    <w:div w:id="494683787">
                      <w:marLeft w:val="0"/>
                      <w:marRight w:val="0"/>
                      <w:marTop w:val="0"/>
                      <w:marBottom w:val="0"/>
                      <w:divBdr>
                        <w:top w:val="none" w:sz="0" w:space="0" w:color="auto"/>
                        <w:left w:val="none" w:sz="0" w:space="0" w:color="auto"/>
                        <w:bottom w:val="none" w:sz="0" w:space="0" w:color="auto"/>
                        <w:right w:val="none" w:sz="0" w:space="0" w:color="auto"/>
                      </w:divBdr>
                    </w:div>
                  </w:divsChild>
                </w:div>
                <w:div w:id="1701202781">
                  <w:marLeft w:val="0"/>
                  <w:marRight w:val="0"/>
                  <w:marTop w:val="0"/>
                  <w:marBottom w:val="0"/>
                  <w:divBdr>
                    <w:top w:val="none" w:sz="0" w:space="0" w:color="auto"/>
                    <w:left w:val="none" w:sz="0" w:space="0" w:color="auto"/>
                    <w:bottom w:val="none" w:sz="0" w:space="0" w:color="auto"/>
                    <w:right w:val="none" w:sz="0" w:space="0" w:color="auto"/>
                  </w:divBdr>
                  <w:divsChild>
                    <w:div w:id="291711335">
                      <w:marLeft w:val="0"/>
                      <w:marRight w:val="0"/>
                      <w:marTop w:val="0"/>
                      <w:marBottom w:val="0"/>
                      <w:divBdr>
                        <w:top w:val="none" w:sz="0" w:space="0" w:color="auto"/>
                        <w:left w:val="none" w:sz="0" w:space="0" w:color="auto"/>
                        <w:bottom w:val="none" w:sz="0" w:space="0" w:color="auto"/>
                        <w:right w:val="none" w:sz="0" w:space="0" w:color="auto"/>
                      </w:divBdr>
                    </w:div>
                  </w:divsChild>
                </w:div>
                <w:div w:id="1711808320">
                  <w:marLeft w:val="0"/>
                  <w:marRight w:val="0"/>
                  <w:marTop w:val="0"/>
                  <w:marBottom w:val="0"/>
                  <w:divBdr>
                    <w:top w:val="none" w:sz="0" w:space="0" w:color="auto"/>
                    <w:left w:val="none" w:sz="0" w:space="0" w:color="auto"/>
                    <w:bottom w:val="none" w:sz="0" w:space="0" w:color="auto"/>
                    <w:right w:val="none" w:sz="0" w:space="0" w:color="auto"/>
                  </w:divBdr>
                  <w:divsChild>
                    <w:div w:id="509759099">
                      <w:marLeft w:val="0"/>
                      <w:marRight w:val="0"/>
                      <w:marTop w:val="0"/>
                      <w:marBottom w:val="0"/>
                      <w:divBdr>
                        <w:top w:val="none" w:sz="0" w:space="0" w:color="auto"/>
                        <w:left w:val="none" w:sz="0" w:space="0" w:color="auto"/>
                        <w:bottom w:val="none" w:sz="0" w:space="0" w:color="auto"/>
                        <w:right w:val="none" w:sz="0" w:space="0" w:color="auto"/>
                      </w:divBdr>
                    </w:div>
                  </w:divsChild>
                </w:div>
                <w:div w:id="1737166424">
                  <w:marLeft w:val="0"/>
                  <w:marRight w:val="0"/>
                  <w:marTop w:val="0"/>
                  <w:marBottom w:val="0"/>
                  <w:divBdr>
                    <w:top w:val="none" w:sz="0" w:space="0" w:color="auto"/>
                    <w:left w:val="none" w:sz="0" w:space="0" w:color="auto"/>
                    <w:bottom w:val="none" w:sz="0" w:space="0" w:color="auto"/>
                    <w:right w:val="none" w:sz="0" w:space="0" w:color="auto"/>
                  </w:divBdr>
                  <w:divsChild>
                    <w:div w:id="256867466">
                      <w:marLeft w:val="0"/>
                      <w:marRight w:val="0"/>
                      <w:marTop w:val="0"/>
                      <w:marBottom w:val="0"/>
                      <w:divBdr>
                        <w:top w:val="none" w:sz="0" w:space="0" w:color="auto"/>
                        <w:left w:val="none" w:sz="0" w:space="0" w:color="auto"/>
                        <w:bottom w:val="none" w:sz="0" w:space="0" w:color="auto"/>
                        <w:right w:val="none" w:sz="0" w:space="0" w:color="auto"/>
                      </w:divBdr>
                    </w:div>
                  </w:divsChild>
                </w:div>
                <w:div w:id="1741323513">
                  <w:marLeft w:val="0"/>
                  <w:marRight w:val="0"/>
                  <w:marTop w:val="0"/>
                  <w:marBottom w:val="0"/>
                  <w:divBdr>
                    <w:top w:val="none" w:sz="0" w:space="0" w:color="auto"/>
                    <w:left w:val="none" w:sz="0" w:space="0" w:color="auto"/>
                    <w:bottom w:val="none" w:sz="0" w:space="0" w:color="auto"/>
                    <w:right w:val="none" w:sz="0" w:space="0" w:color="auto"/>
                  </w:divBdr>
                  <w:divsChild>
                    <w:div w:id="218711354">
                      <w:marLeft w:val="0"/>
                      <w:marRight w:val="0"/>
                      <w:marTop w:val="0"/>
                      <w:marBottom w:val="0"/>
                      <w:divBdr>
                        <w:top w:val="none" w:sz="0" w:space="0" w:color="auto"/>
                        <w:left w:val="none" w:sz="0" w:space="0" w:color="auto"/>
                        <w:bottom w:val="none" w:sz="0" w:space="0" w:color="auto"/>
                        <w:right w:val="none" w:sz="0" w:space="0" w:color="auto"/>
                      </w:divBdr>
                    </w:div>
                  </w:divsChild>
                </w:div>
                <w:div w:id="1756709439">
                  <w:marLeft w:val="0"/>
                  <w:marRight w:val="0"/>
                  <w:marTop w:val="0"/>
                  <w:marBottom w:val="0"/>
                  <w:divBdr>
                    <w:top w:val="none" w:sz="0" w:space="0" w:color="auto"/>
                    <w:left w:val="none" w:sz="0" w:space="0" w:color="auto"/>
                    <w:bottom w:val="none" w:sz="0" w:space="0" w:color="auto"/>
                    <w:right w:val="none" w:sz="0" w:space="0" w:color="auto"/>
                  </w:divBdr>
                  <w:divsChild>
                    <w:div w:id="639385874">
                      <w:marLeft w:val="0"/>
                      <w:marRight w:val="0"/>
                      <w:marTop w:val="0"/>
                      <w:marBottom w:val="0"/>
                      <w:divBdr>
                        <w:top w:val="none" w:sz="0" w:space="0" w:color="auto"/>
                        <w:left w:val="none" w:sz="0" w:space="0" w:color="auto"/>
                        <w:bottom w:val="none" w:sz="0" w:space="0" w:color="auto"/>
                        <w:right w:val="none" w:sz="0" w:space="0" w:color="auto"/>
                      </w:divBdr>
                    </w:div>
                  </w:divsChild>
                </w:div>
                <w:div w:id="1843230586">
                  <w:marLeft w:val="0"/>
                  <w:marRight w:val="0"/>
                  <w:marTop w:val="0"/>
                  <w:marBottom w:val="0"/>
                  <w:divBdr>
                    <w:top w:val="none" w:sz="0" w:space="0" w:color="auto"/>
                    <w:left w:val="none" w:sz="0" w:space="0" w:color="auto"/>
                    <w:bottom w:val="none" w:sz="0" w:space="0" w:color="auto"/>
                    <w:right w:val="none" w:sz="0" w:space="0" w:color="auto"/>
                  </w:divBdr>
                  <w:divsChild>
                    <w:div w:id="864248285">
                      <w:marLeft w:val="0"/>
                      <w:marRight w:val="0"/>
                      <w:marTop w:val="0"/>
                      <w:marBottom w:val="0"/>
                      <w:divBdr>
                        <w:top w:val="none" w:sz="0" w:space="0" w:color="auto"/>
                        <w:left w:val="none" w:sz="0" w:space="0" w:color="auto"/>
                        <w:bottom w:val="none" w:sz="0" w:space="0" w:color="auto"/>
                        <w:right w:val="none" w:sz="0" w:space="0" w:color="auto"/>
                      </w:divBdr>
                    </w:div>
                  </w:divsChild>
                </w:div>
                <w:div w:id="1853301897">
                  <w:marLeft w:val="0"/>
                  <w:marRight w:val="0"/>
                  <w:marTop w:val="0"/>
                  <w:marBottom w:val="0"/>
                  <w:divBdr>
                    <w:top w:val="none" w:sz="0" w:space="0" w:color="auto"/>
                    <w:left w:val="none" w:sz="0" w:space="0" w:color="auto"/>
                    <w:bottom w:val="none" w:sz="0" w:space="0" w:color="auto"/>
                    <w:right w:val="none" w:sz="0" w:space="0" w:color="auto"/>
                  </w:divBdr>
                  <w:divsChild>
                    <w:div w:id="174999560">
                      <w:marLeft w:val="0"/>
                      <w:marRight w:val="0"/>
                      <w:marTop w:val="0"/>
                      <w:marBottom w:val="0"/>
                      <w:divBdr>
                        <w:top w:val="none" w:sz="0" w:space="0" w:color="auto"/>
                        <w:left w:val="none" w:sz="0" w:space="0" w:color="auto"/>
                        <w:bottom w:val="none" w:sz="0" w:space="0" w:color="auto"/>
                        <w:right w:val="none" w:sz="0" w:space="0" w:color="auto"/>
                      </w:divBdr>
                    </w:div>
                  </w:divsChild>
                </w:div>
                <w:div w:id="1865286029">
                  <w:marLeft w:val="0"/>
                  <w:marRight w:val="0"/>
                  <w:marTop w:val="0"/>
                  <w:marBottom w:val="0"/>
                  <w:divBdr>
                    <w:top w:val="none" w:sz="0" w:space="0" w:color="auto"/>
                    <w:left w:val="none" w:sz="0" w:space="0" w:color="auto"/>
                    <w:bottom w:val="none" w:sz="0" w:space="0" w:color="auto"/>
                    <w:right w:val="none" w:sz="0" w:space="0" w:color="auto"/>
                  </w:divBdr>
                  <w:divsChild>
                    <w:div w:id="453672204">
                      <w:marLeft w:val="0"/>
                      <w:marRight w:val="0"/>
                      <w:marTop w:val="0"/>
                      <w:marBottom w:val="0"/>
                      <w:divBdr>
                        <w:top w:val="none" w:sz="0" w:space="0" w:color="auto"/>
                        <w:left w:val="none" w:sz="0" w:space="0" w:color="auto"/>
                        <w:bottom w:val="none" w:sz="0" w:space="0" w:color="auto"/>
                        <w:right w:val="none" w:sz="0" w:space="0" w:color="auto"/>
                      </w:divBdr>
                    </w:div>
                  </w:divsChild>
                </w:div>
                <w:div w:id="1871451940">
                  <w:marLeft w:val="0"/>
                  <w:marRight w:val="0"/>
                  <w:marTop w:val="0"/>
                  <w:marBottom w:val="0"/>
                  <w:divBdr>
                    <w:top w:val="none" w:sz="0" w:space="0" w:color="auto"/>
                    <w:left w:val="none" w:sz="0" w:space="0" w:color="auto"/>
                    <w:bottom w:val="none" w:sz="0" w:space="0" w:color="auto"/>
                    <w:right w:val="none" w:sz="0" w:space="0" w:color="auto"/>
                  </w:divBdr>
                  <w:divsChild>
                    <w:div w:id="598684565">
                      <w:marLeft w:val="0"/>
                      <w:marRight w:val="0"/>
                      <w:marTop w:val="0"/>
                      <w:marBottom w:val="0"/>
                      <w:divBdr>
                        <w:top w:val="none" w:sz="0" w:space="0" w:color="auto"/>
                        <w:left w:val="none" w:sz="0" w:space="0" w:color="auto"/>
                        <w:bottom w:val="none" w:sz="0" w:space="0" w:color="auto"/>
                        <w:right w:val="none" w:sz="0" w:space="0" w:color="auto"/>
                      </w:divBdr>
                    </w:div>
                  </w:divsChild>
                </w:div>
                <w:div w:id="1877505051">
                  <w:marLeft w:val="0"/>
                  <w:marRight w:val="0"/>
                  <w:marTop w:val="0"/>
                  <w:marBottom w:val="0"/>
                  <w:divBdr>
                    <w:top w:val="none" w:sz="0" w:space="0" w:color="auto"/>
                    <w:left w:val="none" w:sz="0" w:space="0" w:color="auto"/>
                    <w:bottom w:val="none" w:sz="0" w:space="0" w:color="auto"/>
                    <w:right w:val="none" w:sz="0" w:space="0" w:color="auto"/>
                  </w:divBdr>
                  <w:divsChild>
                    <w:div w:id="1949310454">
                      <w:marLeft w:val="0"/>
                      <w:marRight w:val="0"/>
                      <w:marTop w:val="0"/>
                      <w:marBottom w:val="0"/>
                      <w:divBdr>
                        <w:top w:val="none" w:sz="0" w:space="0" w:color="auto"/>
                        <w:left w:val="none" w:sz="0" w:space="0" w:color="auto"/>
                        <w:bottom w:val="none" w:sz="0" w:space="0" w:color="auto"/>
                        <w:right w:val="none" w:sz="0" w:space="0" w:color="auto"/>
                      </w:divBdr>
                    </w:div>
                  </w:divsChild>
                </w:div>
                <w:div w:id="1893881772">
                  <w:marLeft w:val="0"/>
                  <w:marRight w:val="0"/>
                  <w:marTop w:val="0"/>
                  <w:marBottom w:val="0"/>
                  <w:divBdr>
                    <w:top w:val="none" w:sz="0" w:space="0" w:color="auto"/>
                    <w:left w:val="none" w:sz="0" w:space="0" w:color="auto"/>
                    <w:bottom w:val="none" w:sz="0" w:space="0" w:color="auto"/>
                    <w:right w:val="none" w:sz="0" w:space="0" w:color="auto"/>
                  </w:divBdr>
                  <w:divsChild>
                    <w:div w:id="511146392">
                      <w:marLeft w:val="0"/>
                      <w:marRight w:val="0"/>
                      <w:marTop w:val="0"/>
                      <w:marBottom w:val="0"/>
                      <w:divBdr>
                        <w:top w:val="none" w:sz="0" w:space="0" w:color="auto"/>
                        <w:left w:val="none" w:sz="0" w:space="0" w:color="auto"/>
                        <w:bottom w:val="none" w:sz="0" w:space="0" w:color="auto"/>
                        <w:right w:val="none" w:sz="0" w:space="0" w:color="auto"/>
                      </w:divBdr>
                    </w:div>
                  </w:divsChild>
                </w:div>
                <w:div w:id="1905598232">
                  <w:marLeft w:val="0"/>
                  <w:marRight w:val="0"/>
                  <w:marTop w:val="0"/>
                  <w:marBottom w:val="0"/>
                  <w:divBdr>
                    <w:top w:val="none" w:sz="0" w:space="0" w:color="auto"/>
                    <w:left w:val="none" w:sz="0" w:space="0" w:color="auto"/>
                    <w:bottom w:val="none" w:sz="0" w:space="0" w:color="auto"/>
                    <w:right w:val="none" w:sz="0" w:space="0" w:color="auto"/>
                  </w:divBdr>
                  <w:divsChild>
                    <w:div w:id="1017736583">
                      <w:marLeft w:val="0"/>
                      <w:marRight w:val="0"/>
                      <w:marTop w:val="0"/>
                      <w:marBottom w:val="0"/>
                      <w:divBdr>
                        <w:top w:val="none" w:sz="0" w:space="0" w:color="auto"/>
                        <w:left w:val="none" w:sz="0" w:space="0" w:color="auto"/>
                        <w:bottom w:val="none" w:sz="0" w:space="0" w:color="auto"/>
                        <w:right w:val="none" w:sz="0" w:space="0" w:color="auto"/>
                      </w:divBdr>
                    </w:div>
                  </w:divsChild>
                </w:div>
                <w:div w:id="1939673987">
                  <w:marLeft w:val="0"/>
                  <w:marRight w:val="0"/>
                  <w:marTop w:val="0"/>
                  <w:marBottom w:val="0"/>
                  <w:divBdr>
                    <w:top w:val="none" w:sz="0" w:space="0" w:color="auto"/>
                    <w:left w:val="none" w:sz="0" w:space="0" w:color="auto"/>
                    <w:bottom w:val="none" w:sz="0" w:space="0" w:color="auto"/>
                    <w:right w:val="none" w:sz="0" w:space="0" w:color="auto"/>
                  </w:divBdr>
                  <w:divsChild>
                    <w:div w:id="1026637368">
                      <w:marLeft w:val="0"/>
                      <w:marRight w:val="0"/>
                      <w:marTop w:val="0"/>
                      <w:marBottom w:val="0"/>
                      <w:divBdr>
                        <w:top w:val="none" w:sz="0" w:space="0" w:color="auto"/>
                        <w:left w:val="none" w:sz="0" w:space="0" w:color="auto"/>
                        <w:bottom w:val="none" w:sz="0" w:space="0" w:color="auto"/>
                        <w:right w:val="none" w:sz="0" w:space="0" w:color="auto"/>
                      </w:divBdr>
                    </w:div>
                  </w:divsChild>
                </w:div>
                <w:div w:id="1950887211">
                  <w:marLeft w:val="0"/>
                  <w:marRight w:val="0"/>
                  <w:marTop w:val="0"/>
                  <w:marBottom w:val="0"/>
                  <w:divBdr>
                    <w:top w:val="none" w:sz="0" w:space="0" w:color="auto"/>
                    <w:left w:val="none" w:sz="0" w:space="0" w:color="auto"/>
                    <w:bottom w:val="none" w:sz="0" w:space="0" w:color="auto"/>
                    <w:right w:val="none" w:sz="0" w:space="0" w:color="auto"/>
                  </w:divBdr>
                  <w:divsChild>
                    <w:div w:id="586572133">
                      <w:marLeft w:val="0"/>
                      <w:marRight w:val="0"/>
                      <w:marTop w:val="0"/>
                      <w:marBottom w:val="0"/>
                      <w:divBdr>
                        <w:top w:val="none" w:sz="0" w:space="0" w:color="auto"/>
                        <w:left w:val="none" w:sz="0" w:space="0" w:color="auto"/>
                        <w:bottom w:val="none" w:sz="0" w:space="0" w:color="auto"/>
                        <w:right w:val="none" w:sz="0" w:space="0" w:color="auto"/>
                      </w:divBdr>
                    </w:div>
                  </w:divsChild>
                </w:div>
                <w:div w:id="1972782029">
                  <w:marLeft w:val="0"/>
                  <w:marRight w:val="0"/>
                  <w:marTop w:val="0"/>
                  <w:marBottom w:val="0"/>
                  <w:divBdr>
                    <w:top w:val="none" w:sz="0" w:space="0" w:color="auto"/>
                    <w:left w:val="none" w:sz="0" w:space="0" w:color="auto"/>
                    <w:bottom w:val="none" w:sz="0" w:space="0" w:color="auto"/>
                    <w:right w:val="none" w:sz="0" w:space="0" w:color="auto"/>
                  </w:divBdr>
                  <w:divsChild>
                    <w:div w:id="315912470">
                      <w:marLeft w:val="0"/>
                      <w:marRight w:val="0"/>
                      <w:marTop w:val="0"/>
                      <w:marBottom w:val="0"/>
                      <w:divBdr>
                        <w:top w:val="none" w:sz="0" w:space="0" w:color="auto"/>
                        <w:left w:val="none" w:sz="0" w:space="0" w:color="auto"/>
                        <w:bottom w:val="none" w:sz="0" w:space="0" w:color="auto"/>
                        <w:right w:val="none" w:sz="0" w:space="0" w:color="auto"/>
                      </w:divBdr>
                    </w:div>
                  </w:divsChild>
                </w:div>
                <w:div w:id="1985616538">
                  <w:marLeft w:val="0"/>
                  <w:marRight w:val="0"/>
                  <w:marTop w:val="0"/>
                  <w:marBottom w:val="0"/>
                  <w:divBdr>
                    <w:top w:val="none" w:sz="0" w:space="0" w:color="auto"/>
                    <w:left w:val="none" w:sz="0" w:space="0" w:color="auto"/>
                    <w:bottom w:val="none" w:sz="0" w:space="0" w:color="auto"/>
                    <w:right w:val="none" w:sz="0" w:space="0" w:color="auto"/>
                  </w:divBdr>
                  <w:divsChild>
                    <w:div w:id="1688363882">
                      <w:marLeft w:val="0"/>
                      <w:marRight w:val="0"/>
                      <w:marTop w:val="0"/>
                      <w:marBottom w:val="0"/>
                      <w:divBdr>
                        <w:top w:val="none" w:sz="0" w:space="0" w:color="auto"/>
                        <w:left w:val="none" w:sz="0" w:space="0" w:color="auto"/>
                        <w:bottom w:val="none" w:sz="0" w:space="0" w:color="auto"/>
                        <w:right w:val="none" w:sz="0" w:space="0" w:color="auto"/>
                      </w:divBdr>
                    </w:div>
                  </w:divsChild>
                </w:div>
                <w:div w:id="1991977230">
                  <w:marLeft w:val="0"/>
                  <w:marRight w:val="0"/>
                  <w:marTop w:val="0"/>
                  <w:marBottom w:val="0"/>
                  <w:divBdr>
                    <w:top w:val="none" w:sz="0" w:space="0" w:color="auto"/>
                    <w:left w:val="none" w:sz="0" w:space="0" w:color="auto"/>
                    <w:bottom w:val="none" w:sz="0" w:space="0" w:color="auto"/>
                    <w:right w:val="none" w:sz="0" w:space="0" w:color="auto"/>
                  </w:divBdr>
                  <w:divsChild>
                    <w:div w:id="1823040552">
                      <w:marLeft w:val="0"/>
                      <w:marRight w:val="0"/>
                      <w:marTop w:val="0"/>
                      <w:marBottom w:val="0"/>
                      <w:divBdr>
                        <w:top w:val="none" w:sz="0" w:space="0" w:color="auto"/>
                        <w:left w:val="none" w:sz="0" w:space="0" w:color="auto"/>
                        <w:bottom w:val="none" w:sz="0" w:space="0" w:color="auto"/>
                        <w:right w:val="none" w:sz="0" w:space="0" w:color="auto"/>
                      </w:divBdr>
                    </w:div>
                  </w:divsChild>
                </w:div>
                <w:div w:id="2042826084">
                  <w:marLeft w:val="0"/>
                  <w:marRight w:val="0"/>
                  <w:marTop w:val="0"/>
                  <w:marBottom w:val="0"/>
                  <w:divBdr>
                    <w:top w:val="none" w:sz="0" w:space="0" w:color="auto"/>
                    <w:left w:val="none" w:sz="0" w:space="0" w:color="auto"/>
                    <w:bottom w:val="none" w:sz="0" w:space="0" w:color="auto"/>
                    <w:right w:val="none" w:sz="0" w:space="0" w:color="auto"/>
                  </w:divBdr>
                  <w:divsChild>
                    <w:div w:id="1643777111">
                      <w:marLeft w:val="0"/>
                      <w:marRight w:val="0"/>
                      <w:marTop w:val="0"/>
                      <w:marBottom w:val="0"/>
                      <w:divBdr>
                        <w:top w:val="none" w:sz="0" w:space="0" w:color="auto"/>
                        <w:left w:val="none" w:sz="0" w:space="0" w:color="auto"/>
                        <w:bottom w:val="none" w:sz="0" w:space="0" w:color="auto"/>
                        <w:right w:val="none" w:sz="0" w:space="0" w:color="auto"/>
                      </w:divBdr>
                    </w:div>
                  </w:divsChild>
                </w:div>
                <w:div w:id="2098791285">
                  <w:marLeft w:val="0"/>
                  <w:marRight w:val="0"/>
                  <w:marTop w:val="0"/>
                  <w:marBottom w:val="0"/>
                  <w:divBdr>
                    <w:top w:val="none" w:sz="0" w:space="0" w:color="auto"/>
                    <w:left w:val="none" w:sz="0" w:space="0" w:color="auto"/>
                    <w:bottom w:val="none" w:sz="0" w:space="0" w:color="auto"/>
                    <w:right w:val="none" w:sz="0" w:space="0" w:color="auto"/>
                  </w:divBdr>
                  <w:divsChild>
                    <w:div w:id="717700510">
                      <w:marLeft w:val="0"/>
                      <w:marRight w:val="0"/>
                      <w:marTop w:val="0"/>
                      <w:marBottom w:val="0"/>
                      <w:divBdr>
                        <w:top w:val="none" w:sz="0" w:space="0" w:color="auto"/>
                        <w:left w:val="none" w:sz="0" w:space="0" w:color="auto"/>
                        <w:bottom w:val="none" w:sz="0" w:space="0" w:color="auto"/>
                        <w:right w:val="none" w:sz="0" w:space="0" w:color="auto"/>
                      </w:divBdr>
                    </w:div>
                  </w:divsChild>
                </w:div>
                <w:div w:id="2102676352">
                  <w:marLeft w:val="0"/>
                  <w:marRight w:val="0"/>
                  <w:marTop w:val="0"/>
                  <w:marBottom w:val="0"/>
                  <w:divBdr>
                    <w:top w:val="none" w:sz="0" w:space="0" w:color="auto"/>
                    <w:left w:val="none" w:sz="0" w:space="0" w:color="auto"/>
                    <w:bottom w:val="none" w:sz="0" w:space="0" w:color="auto"/>
                    <w:right w:val="none" w:sz="0" w:space="0" w:color="auto"/>
                  </w:divBdr>
                  <w:divsChild>
                    <w:div w:id="1416197959">
                      <w:marLeft w:val="0"/>
                      <w:marRight w:val="0"/>
                      <w:marTop w:val="0"/>
                      <w:marBottom w:val="0"/>
                      <w:divBdr>
                        <w:top w:val="none" w:sz="0" w:space="0" w:color="auto"/>
                        <w:left w:val="none" w:sz="0" w:space="0" w:color="auto"/>
                        <w:bottom w:val="none" w:sz="0" w:space="0" w:color="auto"/>
                        <w:right w:val="none" w:sz="0" w:space="0" w:color="auto"/>
                      </w:divBdr>
                    </w:div>
                  </w:divsChild>
                </w:div>
                <w:div w:id="2124761895">
                  <w:marLeft w:val="0"/>
                  <w:marRight w:val="0"/>
                  <w:marTop w:val="0"/>
                  <w:marBottom w:val="0"/>
                  <w:divBdr>
                    <w:top w:val="none" w:sz="0" w:space="0" w:color="auto"/>
                    <w:left w:val="none" w:sz="0" w:space="0" w:color="auto"/>
                    <w:bottom w:val="none" w:sz="0" w:space="0" w:color="auto"/>
                    <w:right w:val="none" w:sz="0" w:space="0" w:color="auto"/>
                  </w:divBdr>
                  <w:divsChild>
                    <w:div w:id="1007515963">
                      <w:marLeft w:val="0"/>
                      <w:marRight w:val="0"/>
                      <w:marTop w:val="0"/>
                      <w:marBottom w:val="0"/>
                      <w:divBdr>
                        <w:top w:val="none" w:sz="0" w:space="0" w:color="auto"/>
                        <w:left w:val="none" w:sz="0" w:space="0" w:color="auto"/>
                        <w:bottom w:val="none" w:sz="0" w:space="0" w:color="auto"/>
                        <w:right w:val="none" w:sz="0" w:space="0" w:color="auto"/>
                      </w:divBdr>
                    </w:div>
                  </w:divsChild>
                </w:div>
                <w:div w:id="2141872495">
                  <w:marLeft w:val="0"/>
                  <w:marRight w:val="0"/>
                  <w:marTop w:val="0"/>
                  <w:marBottom w:val="0"/>
                  <w:divBdr>
                    <w:top w:val="none" w:sz="0" w:space="0" w:color="auto"/>
                    <w:left w:val="none" w:sz="0" w:space="0" w:color="auto"/>
                    <w:bottom w:val="none" w:sz="0" w:space="0" w:color="auto"/>
                    <w:right w:val="none" w:sz="0" w:space="0" w:color="auto"/>
                  </w:divBdr>
                  <w:divsChild>
                    <w:div w:id="1122653470">
                      <w:marLeft w:val="0"/>
                      <w:marRight w:val="0"/>
                      <w:marTop w:val="0"/>
                      <w:marBottom w:val="0"/>
                      <w:divBdr>
                        <w:top w:val="none" w:sz="0" w:space="0" w:color="auto"/>
                        <w:left w:val="none" w:sz="0" w:space="0" w:color="auto"/>
                        <w:bottom w:val="none" w:sz="0" w:space="0" w:color="auto"/>
                        <w:right w:val="none" w:sz="0" w:space="0" w:color="auto"/>
                      </w:divBdr>
                    </w:div>
                  </w:divsChild>
                </w:div>
                <w:div w:id="2143232997">
                  <w:marLeft w:val="0"/>
                  <w:marRight w:val="0"/>
                  <w:marTop w:val="0"/>
                  <w:marBottom w:val="0"/>
                  <w:divBdr>
                    <w:top w:val="none" w:sz="0" w:space="0" w:color="auto"/>
                    <w:left w:val="none" w:sz="0" w:space="0" w:color="auto"/>
                    <w:bottom w:val="none" w:sz="0" w:space="0" w:color="auto"/>
                    <w:right w:val="none" w:sz="0" w:space="0" w:color="auto"/>
                  </w:divBdr>
                  <w:divsChild>
                    <w:div w:id="1242177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2156846">
          <w:marLeft w:val="0"/>
          <w:marRight w:val="0"/>
          <w:marTop w:val="0"/>
          <w:marBottom w:val="0"/>
          <w:divBdr>
            <w:top w:val="none" w:sz="0" w:space="0" w:color="auto"/>
            <w:left w:val="none" w:sz="0" w:space="0" w:color="auto"/>
            <w:bottom w:val="none" w:sz="0" w:space="0" w:color="auto"/>
            <w:right w:val="none" w:sz="0" w:space="0" w:color="auto"/>
          </w:divBdr>
        </w:div>
        <w:div w:id="1558397045">
          <w:marLeft w:val="0"/>
          <w:marRight w:val="0"/>
          <w:marTop w:val="0"/>
          <w:marBottom w:val="0"/>
          <w:divBdr>
            <w:top w:val="none" w:sz="0" w:space="0" w:color="auto"/>
            <w:left w:val="none" w:sz="0" w:space="0" w:color="auto"/>
            <w:bottom w:val="none" w:sz="0" w:space="0" w:color="auto"/>
            <w:right w:val="none" w:sz="0" w:space="0" w:color="auto"/>
          </w:divBdr>
        </w:div>
        <w:div w:id="1563641857">
          <w:marLeft w:val="0"/>
          <w:marRight w:val="0"/>
          <w:marTop w:val="0"/>
          <w:marBottom w:val="0"/>
          <w:divBdr>
            <w:top w:val="none" w:sz="0" w:space="0" w:color="auto"/>
            <w:left w:val="none" w:sz="0" w:space="0" w:color="auto"/>
            <w:bottom w:val="none" w:sz="0" w:space="0" w:color="auto"/>
            <w:right w:val="none" w:sz="0" w:space="0" w:color="auto"/>
          </w:divBdr>
        </w:div>
        <w:div w:id="1570849305">
          <w:marLeft w:val="0"/>
          <w:marRight w:val="0"/>
          <w:marTop w:val="0"/>
          <w:marBottom w:val="0"/>
          <w:divBdr>
            <w:top w:val="none" w:sz="0" w:space="0" w:color="auto"/>
            <w:left w:val="none" w:sz="0" w:space="0" w:color="auto"/>
            <w:bottom w:val="none" w:sz="0" w:space="0" w:color="auto"/>
            <w:right w:val="none" w:sz="0" w:space="0" w:color="auto"/>
          </w:divBdr>
        </w:div>
        <w:div w:id="1577324286">
          <w:marLeft w:val="0"/>
          <w:marRight w:val="0"/>
          <w:marTop w:val="0"/>
          <w:marBottom w:val="0"/>
          <w:divBdr>
            <w:top w:val="none" w:sz="0" w:space="0" w:color="auto"/>
            <w:left w:val="none" w:sz="0" w:space="0" w:color="auto"/>
            <w:bottom w:val="none" w:sz="0" w:space="0" w:color="auto"/>
            <w:right w:val="none" w:sz="0" w:space="0" w:color="auto"/>
          </w:divBdr>
        </w:div>
        <w:div w:id="1612932180">
          <w:marLeft w:val="0"/>
          <w:marRight w:val="0"/>
          <w:marTop w:val="0"/>
          <w:marBottom w:val="0"/>
          <w:divBdr>
            <w:top w:val="none" w:sz="0" w:space="0" w:color="auto"/>
            <w:left w:val="none" w:sz="0" w:space="0" w:color="auto"/>
            <w:bottom w:val="none" w:sz="0" w:space="0" w:color="auto"/>
            <w:right w:val="none" w:sz="0" w:space="0" w:color="auto"/>
          </w:divBdr>
        </w:div>
        <w:div w:id="1613050392">
          <w:marLeft w:val="0"/>
          <w:marRight w:val="0"/>
          <w:marTop w:val="0"/>
          <w:marBottom w:val="0"/>
          <w:divBdr>
            <w:top w:val="none" w:sz="0" w:space="0" w:color="auto"/>
            <w:left w:val="none" w:sz="0" w:space="0" w:color="auto"/>
            <w:bottom w:val="none" w:sz="0" w:space="0" w:color="auto"/>
            <w:right w:val="none" w:sz="0" w:space="0" w:color="auto"/>
          </w:divBdr>
        </w:div>
        <w:div w:id="1622881789">
          <w:marLeft w:val="0"/>
          <w:marRight w:val="0"/>
          <w:marTop w:val="0"/>
          <w:marBottom w:val="0"/>
          <w:divBdr>
            <w:top w:val="none" w:sz="0" w:space="0" w:color="auto"/>
            <w:left w:val="none" w:sz="0" w:space="0" w:color="auto"/>
            <w:bottom w:val="none" w:sz="0" w:space="0" w:color="auto"/>
            <w:right w:val="none" w:sz="0" w:space="0" w:color="auto"/>
          </w:divBdr>
          <w:divsChild>
            <w:div w:id="218900802">
              <w:marLeft w:val="-75"/>
              <w:marRight w:val="0"/>
              <w:marTop w:val="30"/>
              <w:marBottom w:val="30"/>
              <w:divBdr>
                <w:top w:val="none" w:sz="0" w:space="0" w:color="auto"/>
                <w:left w:val="none" w:sz="0" w:space="0" w:color="auto"/>
                <w:bottom w:val="none" w:sz="0" w:space="0" w:color="auto"/>
                <w:right w:val="none" w:sz="0" w:space="0" w:color="auto"/>
              </w:divBdr>
              <w:divsChild>
                <w:div w:id="522474929">
                  <w:marLeft w:val="0"/>
                  <w:marRight w:val="0"/>
                  <w:marTop w:val="0"/>
                  <w:marBottom w:val="0"/>
                  <w:divBdr>
                    <w:top w:val="none" w:sz="0" w:space="0" w:color="auto"/>
                    <w:left w:val="none" w:sz="0" w:space="0" w:color="auto"/>
                    <w:bottom w:val="none" w:sz="0" w:space="0" w:color="auto"/>
                    <w:right w:val="none" w:sz="0" w:space="0" w:color="auto"/>
                  </w:divBdr>
                  <w:divsChild>
                    <w:div w:id="1813017085">
                      <w:marLeft w:val="0"/>
                      <w:marRight w:val="0"/>
                      <w:marTop w:val="0"/>
                      <w:marBottom w:val="0"/>
                      <w:divBdr>
                        <w:top w:val="none" w:sz="0" w:space="0" w:color="auto"/>
                        <w:left w:val="none" w:sz="0" w:space="0" w:color="auto"/>
                        <w:bottom w:val="none" w:sz="0" w:space="0" w:color="auto"/>
                        <w:right w:val="none" w:sz="0" w:space="0" w:color="auto"/>
                      </w:divBdr>
                    </w:div>
                  </w:divsChild>
                </w:div>
                <w:div w:id="685791458">
                  <w:marLeft w:val="0"/>
                  <w:marRight w:val="0"/>
                  <w:marTop w:val="0"/>
                  <w:marBottom w:val="0"/>
                  <w:divBdr>
                    <w:top w:val="none" w:sz="0" w:space="0" w:color="auto"/>
                    <w:left w:val="none" w:sz="0" w:space="0" w:color="auto"/>
                    <w:bottom w:val="none" w:sz="0" w:space="0" w:color="auto"/>
                    <w:right w:val="none" w:sz="0" w:space="0" w:color="auto"/>
                  </w:divBdr>
                  <w:divsChild>
                    <w:div w:id="90975356">
                      <w:marLeft w:val="0"/>
                      <w:marRight w:val="0"/>
                      <w:marTop w:val="0"/>
                      <w:marBottom w:val="0"/>
                      <w:divBdr>
                        <w:top w:val="none" w:sz="0" w:space="0" w:color="auto"/>
                        <w:left w:val="none" w:sz="0" w:space="0" w:color="auto"/>
                        <w:bottom w:val="none" w:sz="0" w:space="0" w:color="auto"/>
                        <w:right w:val="none" w:sz="0" w:space="0" w:color="auto"/>
                      </w:divBdr>
                    </w:div>
                  </w:divsChild>
                </w:div>
                <w:div w:id="748967778">
                  <w:marLeft w:val="0"/>
                  <w:marRight w:val="0"/>
                  <w:marTop w:val="0"/>
                  <w:marBottom w:val="0"/>
                  <w:divBdr>
                    <w:top w:val="none" w:sz="0" w:space="0" w:color="auto"/>
                    <w:left w:val="none" w:sz="0" w:space="0" w:color="auto"/>
                    <w:bottom w:val="none" w:sz="0" w:space="0" w:color="auto"/>
                    <w:right w:val="none" w:sz="0" w:space="0" w:color="auto"/>
                  </w:divBdr>
                  <w:divsChild>
                    <w:div w:id="1623195659">
                      <w:marLeft w:val="0"/>
                      <w:marRight w:val="0"/>
                      <w:marTop w:val="0"/>
                      <w:marBottom w:val="0"/>
                      <w:divBdr>
                        <w:top w:val="none" w:sz="0" w:space="0" w:color="auto"/>
                        <w:left w:val="none" w:sz="0" w:space="0" w:color="auto"/>
                        <w:bottom w:val="none" w:sz="0" w:space="0" w:color="auto"/>
                        <w:right w:val="none" w:sz="0" w:space="0" w:color="auto"/>
                      </w:divBdr>
                    </w:div>
                  </w:divsChild>
                </w:div>
                <w:div w:id="772944165">
                  <w:marLeft w:val="0"/>
                  <w:marRight w:val="0"/>
                  <w:marTop w:val="0"/>
                  <w:marBottom w:val="0"/>
                  <w:divBdr>
                    <w:top w:val="none" w:sz="0" w:space="0" w:color="auto"/>
                    <w:left w:val="none" w:sz="0" w:space="0" w:color="auto"/>
                    <w:bottom w:val="none" w:sz="0" w:space="0" w:color="auto"/>
                    <w:right w:val="none" w:sz="0" w:space="0" w:color="auto"/>
                  </w:divBdr>
                  <w:divsChild>
                    <w:div w:id="956988252">
                      <w:marLeft w:val="0"/>
                      <w:marRight w:val="0"/>
                      <w:marTop w:val="0"/>
                      <w:marBottom w:val="0"/>
                      <w:divBdr>
                        <w:top w:val="none" w:sz="0" w:space="0" w:color="auto"/>
                        <w:left w:val="none" w:sz="0" w:space="0" w:color="auto"/>
                        <w:bottom w:val="none" w:sz="0" w:space="0" w:color="auto"/>
                        <w:right w:val="none" w:sz="0" w:space="0" w:color="auto"/>
                      </w:divBdr>
                    </w:div>
                  </w:divsChild>
                </w:div>
                <w:div w:id="867958885">
                  <w:marLeft w:val="0"/>
                  <w:marRight w:val="0"/>
                  <w:marTop w:val="0"/>
                  <w:marBottom w:val="0"/>
                  <w:divBdr>
                    <w:top w:val="none" w:sz="0" w:space="0" w:color="auto"/>
                    <w:left w:val="none" w:sz="0" w:space="0" w:color="auto"/>
                    <w:bottom w:val="none" w:sz="0" w:space="0" w:color="auto"/>
                    <w:right w:val="none" w:sz="0" w:space="0" w:color="auto"/>
                  </w:divBdr>
                  <w:divsChild>
                    <w:div w:id="378866350">
                      <w:marLeft w:val="0"/>
                      <w:marRight w:val="0"/>
                      <w:marTop w:val="0"/>
                      <w:marBottom w:val="0"/>
                      <w:divBdr>
                        <w:top w:val="none" w:sz="0" w:space="0" w:color="auto"/>
                        <w:left w:val="none" w:sz="0" w:space="0" w:color="auto"/>
                        <w:bottom w:val="none" w:sz="0" w:space="0" w:color="auto"/>
                        <w:right w:val="none" w:sz="0" w:space="0" w:color="auto"/>
                      </w:divBdr>
                    </w:div>
                  </w:divsChild>
                </w:div>
                <w:div w:id="1092361325">
                  <w:marLeft w:val="0"/>
                  <w:marRight w:val="0"/>
                  <w:marTop w:val="0"/>
                  <w:marBottom w:val="0"/>
                  <w:divBdr>
                    <w:top w:val="none" w:sz="0" w:space="0" w:color="auto"/>
                    <w:left w:val="none" w:sz="0" w:space="0" w:color="auto"/>
                    <w:bottom w:val="none" w:sz="0" w:space="0" w:color="auto"/>
                    <w:right w:val="none" w:sz="0" w:space="0" w:color="auto"/>
                  </w:divBdr>
                  <w:divsChild>
                    <w:div w:id="2087342624">
                      <w:marLeft w:val="0"/>
                      <w:marRight w:val="0"/>
                      <w:marTop w:val="0"/>
                      <w:marBottom w:val="0"/>
                      <w:divBdr>
                        <w:top w:val="none" w:sz="0" w:space="0" w:color="auto"/>
                        <w:left w:val="none" w:sz="0" w:space="0" w:color="auto"/>
                        <w:bottom w:val="none" w:sz="0" w:space="0" w:color="auto"/>
                        <w:right w:val="none" w:sz="0" w:space="0" w:color="auto"/>
                      </w:divBdr>
                    </w:div>
                  </w:divsChild>
                </w:div>
                <w:div w:id="1126504183">
                  <w:marLeft w:val="0"/>
                  <w:marRight w:val="0"/>
                  <w:marTop w:val="0"/>
                  <w:marBottom w:val="0"/>
                  <w:divBdr>
                    <w:top w:val="none" w:sz="0" w:space="0" w:color="auto"/>
                    <w:left w:val="none" w:sz="0" w:space="0" w:color="auto"/>
                    <w:bottom w:val="none" w:sz="0" w:space="0" w:color="auto"/>
                    <w:right w:val="none" w:sz="0" w:space="0" w:color="auto"/>
                  </w:divBdr>
                  <w:divsChild>
                    <w:div w:id="563639970">
                      <w:marLeft w:val="0"/>
                      <w:marRight w:val="0"/>
                      <w:marTop w:val="0"/>
                      <w:marBottom w:val="0"/>
                      <w:divBdr>
                        <w:top w:val="none" w:sz="0" w:space="0" w:color="auto"/>
                        <w:left w:val="none" w:sz="0" w:space="0" w:color="auto"/>
                        <w:bottom w:val="none" w:sz="0" w:space="0" w:color="auto"/>
                        <w:right w:val="none" w:sz="0" w:space="0" w:color="auto"/>
                      </w:divBdr>
                    </w:div>
                  </w:divsChild>
                </w:div>
                <w:div w:id="1557743831">
                  <w:marLeft w:val="0"/>
                  <w:marRight w:val="0"/>
                  <w:marTop w:val="0"/>
                  <w:marBottom w:val="0"/>
                  <w:divBdr>
                    <w:top w:val="none" w:sz="0" w:space="0" w:color="auto"/>
                    <w:left w:val="none" w:sz="0" w:space="0" w:color="auto"/>
                    <w:bottom w:val="none" w:sz="0" w:space="0" w:color="auto"/>
                    <w:right w:val="none" w:sz="0" w:space="0" w:color="auto"/>
                  </w:divBdr>
                  <w:divsChild>
                    <w:div w:id="749501534">
                      <w:marLeft w:val="0"/>
                      <w:marRight w:val="0"/>
                      <w:marTop w:val="0"/>
                      <w:marBottom w:val="0"/>
                      <w:divBdr>
                        <w:top w:val="none" w:sz="0" w:space="0" w:color="auto"/>
                        <w:left w:val="none" w:sz="0" w:space="0" w:color="auto"/>
                        <w:bottom w:val="none" w:sz="0" w:space="0" w:color="auto"/>
                        <w:right w:val="none" w:sz="0" w:space="0" w:color="auto"/>
                      </w:divBdr>
                    </w:div>
                  </w:divsChild>
                </w:div>
                <w:div w:id="1663896763">
                  <w:marLeft w:val="0"/>
                  <w:marRight w:val="0"/>
                  <w:marTop w:val="0"/>
                  <w:marBottom w:val="0"/>
                  <w:divBdr>
                    <w:top w:val="none" w:sz="0" w:space="0" w:color="auto"/>
                    <w:left w:val="none" w:sz="0" w:space="0" w:color="auto"/>
                    <w:bottom w:val="none" w:sz="0" w:space="0" w:color="auto"/>
                    <w:right w:val="none" w:sz="0" w:space="0" w:color="auto"/>
                  </w:divBdr>
                  <w:divsChild>
                    <w:div w:id="348872103">
                      <w:marLeft w:val="0"/>
                      <w:marRight w:val="0"/>
                      <w:marTop w:val="0"/>
                      <w:marBottom w:val="0"/>
                      <w:divBdr>
                        <w:top w:val="none" w:sz="0" w:space="0" w:color="auto"/>
                        <w:left w:val="none" w:sz="0" w:space="0" w:color="auto"/>
                        <w:bottom w:val="none" w:sz="0" w:space="0" w:color="auto"/>
                        <w:right w:val="none" w:sz="0" w:space="0" w:color="auto"/>
                      </w:divBdr>
                    </w:div>
                  </w:divsChild>
                </w:div>
                <w:div w:id="1679892763">
                  <w:marLeft w:val="0"/>
                  <w:marRight w:val="0"/>
                  <w:marTop w:val="0"/>
                  <w:marBottom w:val="0"/>
                  <w:divBdr>
                    <w:top w:val="none" w:sz="0" w:space="0" w:color="auto"/>
                    <w:left w:val="none" w:sz="0" w:space="0" w:color="auto"/>
                    <w:bottom w:val="none" w:sz="0" w:space="0" w:color="auto"/>
                    <w:right w:val="none" w:sz="0" w:space="0" w:color="auto"/>
                  </w:divBdr>
                  <w:divsChild>
                    <w:div w:id="846215478">
                      <w:marLeft w:val="0"/>
                      <w:marRight w:val="0"/>
                      <w:marTop w:val="0"/>
                      <w:marBottom w:val="0"/>
                      <w:divBdr>
                        <w:top w:val="none" w:sz="0" w:space="0" w:color="auto"/>
                        <w:left w:val="none" w:sz="0" w:space="0" w:color="auto"/>
                        <w:bottom w:val="none" w:sz="0" w:space="0" w:color="auto"/>
                        <w:right w:val="none" w:sz="0" w:space="0" w:color="auto"/>
                      </w:divBdr>
                    </w:div>
                  </w:divsChild>
                </w:div>
                <w:div w:id="1808627742">
                  <w:marLeft w:val="0"/>
                  <w:marRight w:val="0"/>
                  <w:marTop w:val="0"/>
                  <w:marBottom w:val="0"/>
                  <w:divBdr>
                    <w:top w:val="none" w:sz="0" w:space="0" w:color="auto"/>
                    <w:left w:val="none" w:sz="0" w:space="0" w:color="auto"/>
                    <w:bottom w:val="none" w:sz="0" w:space="0" w:color="auto"/>
                    <w:right w:val="none" w:sz="0" w:space="0" w:color="auto"/>
                  </w:divBdr>
                  <w:divsChild>
                    <w:div w:id="2038769616">
                      <w:marLeft w:val="0"/>
                      <w:marRight w:val="0"/>
                      <w:marTop w:val="0"/>
                      <w:marBottom w:val="0"/>
                      <w:divBdr>
                        <w:top w:val="none" w:sz="0" w:space="0" w:color="auto"/>
                        <w:left w:val="none" w:sz="0" w:space="0" w:color="auto"/>
                        <w:bottom w:val="none" w:sz="0" w:space="0" w:color="auto"/>
                        <w:right w:val="none" w:sz="0" w:space="0" w:color="auto"/>
                      </w:divBdr>
                    </w:div>
                  </w:divsChild>
                </w:div>
                <w:div w:id="2010400440">
                  <w:marLeft w:val="0"/>
                  <w:marRight w:val="0"/>
                  <w:marTop w:val="0"/>
                  <w:marBottom w:val="0"/>
                  <w:divBdr>
                    <w:top w:val="none" w:sz="0" w:space="0" w:color="auto"/>
                    <w:left w:val="none" w:sz="0" w:space="0" w:color="auto"/>
                    <w:bottom w:val="none" w:sz="0" w:space="0" w:color="auto"/>
                    <w:right w:val="none" w:sz="0" w:space="0" w:color="auto"/>
                  </w:divBdr>
                  <w:divsChild>
                    <w:div w:id="191381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65599">
          <w:marLeft w:val="0"/>
          <w:marRight w:val="0"/>
          <w:marTop w:val="0"/>
          <w:marBottom w:val="0"/>
          <w:divBdr>
            <w:top w:val="none" w:sz="0" w:space="0" w:color="auto"/>
            <w:left w:val="none" w:sz="0" w:space="0" w:color="auto"/>
            <w:bottom w:val="none" w:sz="0" w:space="0" w:color="auto"/>
            <w:right w:val="none" w:sz="0" w:space="0" w:color="auto"/>
          </w:divBdr>
        </w:div>
        <w:div w:id="1765495053">
          <w:marLeft w:val="0"/>
          <w:marRight w:val="0"/>
          <w:marTop w:val="0"/>
          <w:marBottom w:val="0"/>
          <w:divBdr>
            <w:top w:val="none" w:sz="0" w:space="0" w:color="auto"/>
            <w:left w:val="none" w:sz="0" w:space="0" w:color="auto"/>
            <w:bottom w:val="none" w:sz="0" w:space="0" w:color="auto"/>
            <w:right w:val="none" w:sz="0" w:space="0" w:color="auto"/>
          </w:divBdr>
        </w:div>
        <w:div w:id="1766075077">
          <w:marLeft w:val="0"/>
          <w:marRight w:val="0"/>
          <w:marTop w:val="0"/>
          <w:marBottom w:val="0"/>
          <w:divBdr>
            <w:top w:val="none" w:sz="0" w:space="0" w:color="auto"/>
            <w:left w:val="none" w:sz="0" w:space="0" w:color="auto"/>
            <w:bottom w:val="none" w:sz="0" w:space="0" w:color="auto"/>
            <w:right w:val="none" w:sz="0" w:space="0" w:color="auto"/>
          </w:divBdr>
        </w:div>
        <w:div w:id="1775395503">
          <w:marLeft w:val="0"/>
          <w:marRight w:val="0"/>
          <w:marTop w:val="0"/>
          <w:marBottom w:val="0"/>
          <w:divBdr>
            <w:top w:val="none" w:sz="0" w:space="0" w:color="auto"/>
            <w:left w:val="none" w:sz="0" w:space="0" w:color="auto"/>
            <w:bottom w:val="none" w:sz="0" w:space="0" w:color="auto"/>
            <w:right w:val="none" w:sz="0" w:space="0" w:color="auto"/>
          </w:divBdr>
        </w:div>
        <w:div w:id="1798713964">
          <w:marLeft w:val="0"/>
          <w:marRight w:val="0"/>
          <w:marTop w:val="0"/>
          <w:marBottom w:val="0"/>
          <w:divBdr>
            <w:top w:val="none" w:sz="0" w:space="0" w:color="auto"/>
            <w:left w:val="none" w:sz="0" w:space="0" w:color="auto"/>
            <w:bottom w:val="none" w:sz="0" w:space="0" w:color="auto"/>
            <w:right w:val="none" w:sz="0" w:space="0" w:color="auto"/>
          </w:divBdr>
        </w:div>
        <w:div w:id="1820345465">
          <w:marLeft w:val="0"/>
          <w:marRight w:val="0"/>
          <w:marTop w:val="0"/>
          <w:marBottom w:val="0"/>
          <w:divBdr>
            <w:top w:val="none" w:sz="0" w:space="0" w:color="auto"/>
            <w:left w:val="none" w:sz="0" w:space="0" w:color="auto"/>
            <w:bottom w:val="none" w:sz="0" w:space="0" w:color="auto"/>
            <w:right w:val="none" w:sz="0" w:space="0" w:color="auto"/>
          </w:divBdr>
        </w:div>
        <w:div w:id="1829125726">
          <w:marLeft w:val="0"/>
          <w:marRight w:val="0"/>
          <w:marTop w:val="0"/>
          <w:marBottom w:val="0"/>
          <w:divBdr>
            <w:top w:val="none" w:sz="0" w:space="0" w:color="auto"/>
            <w:left w:val="none" w:sz="0" w:space="0" w:color="auto"/>
            <w:bottom w:val="none" w:sz="0" w:space="0" w:color="auto"/>
            <w:right w:val="none" w:sz="0" w:space="0" w:color="auto"/>
          </w:divBdr>
        </w:div>
        <w:div w:id="1830825540">
          <w:marLeft w:val="0"/>
          <w:marRight w:val="0"/>
          <w:marTop w:val="0"/>
          <w:marBottom w:val="0"/>
          <w:divBdr>
            <w:top w:val="none" w:sz="0" w:space="0" w:color="auto"/>
            <w:left w:val="none" w:sz="0" w:space="0" w:color="auto"/>
            <w:bottom w:val="none" w:sz="0" w:space="0" w:color="auto"/>
            <w:right w:val="none" w:sz="0" w:space="0" w:color="auto"/>
          </w:divBdr>
        </w:div>
        <w:div w:id="1842768970">
          <w:marLeft w:val="0"/>
          <w:marRight w:val="0"/>
          <w:marTop w:val="0"/>
          <w:marBottom w:val="0"/>
          <w:divBdr>
            <w:top w:val="none" w:sz="0" w:space="0" w:color="auto"/>
            <w:left w:val="none" w:sz="0" w:space="0" w:color="auto"/>
            <w:bottom w:val="none" w:sz="0" w:space="0" w:color="auto"/>
            <w:right w:val="none" w:sz="0" w:space="0" w:color="auto"/>
          </w:divBdr>
        </w:div>
        <w:div w:id="1843812424">
          <w:marLeft w:val="0"/>
          <w:marRight w:val="0"/>
          <w:marTop w:val="0"/>
          <w:marBottom w:val="0"/>
          <w:divBdr>
            <w:top w:val="none" w:sz="0" w:space="0" w:color="auto"/>
            <w:left w:val="none" w:sz="0" w:space="0" w:color="auto"/>
            <w:bottom w:val="none" w:sz="0" w:space="0" w:color="auto"/>
            <w:right w:val="none" w:sz="0" w:space="0" w:color="auto"/>
          </w:divBdr>
        </w:div>
        <w:div w:id="1858080586">
          <w:marLeft w:val="0"/>
          <w:marRight w:val="0"/>
          <w:marTop w:val="0"/>
          <w:marBottom w:val="0"/>
          <w:divBdr>
            <w:top w:val="none" w:sz="0" w:space="0" w:color="auto"/>
            <w:left w:val="none" w:sz="0" w:space="0" w:color="auto"/>
            <w:bottom w:val="none" w:sz="0" w:space="0" w:color="auto"/>
            <w:right w:val="none" w:sz="0" w:space="0" w:color="auto"/>
          </w:divBdr>
          <w:divsChild>
            <w:div w:id="453253094">
              <w:marLeft w:val="0"/>
              <w:marRight w:val="0"/>
              <w:marTop w:val="0"/>
              <w:marBottom w:val="0"/>
              <w:divBdr>
                <w:top w:val="none" w:sz="0" w:space="0" w:color="auto"/>
                <w:left w:val="none" w:sz="0" w:space="0" w:color="auto"/>
                <w:bottom w:val="none" w:sz="0" w:space="0" w:color="auto"/>
                <w:right w:val="none" w:sz="0" w:space="0" w:color="auto"/>
              </w:divBdr>
            </w:div>
            <w:div w:id="761338958">
              <w:marLeft w:val="0"/>
              <w:marRight w:val="0"/>
              <w:marTop w:val="0"/>
              <w:marBottom w:val="0"/>
              <w:divBdr>
                <w:top w:val="none" w:sz="0" w:space="0" w:color="auto"/>
                <w:left w:val="none" w:sz="0" w:space="0" w:color="auto"/>
                <w:bottom w:val="none" w:sz="0" w:space="0" w:color="auto"/>
                <w:right w:val="none" w:sz="0" w:space="0" w:color="auto"/>
              </w:divBdr>
            </w:div>
            <w:div w:id="770441989">
              <w:marLeft w:val="0"/>
              <w:marRight w:val="0"/>
              <w:marTop w:val="0"/>
              <w:marBottom w:val="0"/>
              <w:divBdr>
                <w:top w:val="none" w:sz="0" w:space="0" w:color="auto"/>
                <w:left w:val="none" w:sz="0" w:space="0" w:color="auto"/>
                <w:bottom w:val="none" w:sz="0" w:space="0" w:color="auto"/>
                <w:right w:val="none" w:sz="0" w:space="0" w:color="auto"/>
              </w:divBdr>
            </w:div>
            <w:div w:id="1045838899">
              <w:marLeft w:val="0"/>
              <w:marRight w:val="0"/>
              <w:marTop w:val="0"/>
              <w:marBottom w:val="0"/>
              <w:divBdr>
                <w:top w:val="none" w:sz="0" w:space="0" w:color="auto"/>
                <w:left w:val="none" w:sz="0" w:space="0" w:color="auto"/>
                <w:bottom w:val="none" w:sz="0" w:space="0" w:color="auto"/>
                <w:right w:val="none" w:sz="0" w:space="0" w:color="auto"/>
              </w:divBdr>
            </w:div>
            <w:div w:id="1131745739">
              <w:marLeft w:val="0"/>
              <w:marRight w:val="0"/>
              <w:marTop w:val="0"/>
              <w:marBottom w:val="0"/>
              <w:divBdr>
                <w:top w:val="none" w:sz="0" w:space="0" w:color="auto"/>
                <w:left w:val="none" w:sz="0" w:space="0" w:color="auto"/>
                <w:bottom w:val="none" w:sz="0" w:space="0" w:color="auto"/>
                <w:right w:val="none" w:sz="0" w:space="0" w:color="auto"/>
              </w:divBdr>
            </w:div>
            <w:div w:id="1179348696">
              <w:marLeft w:val="0"/>
              <w:marRight w:val="0"/>
              <w:marTop w:val="0"/>
              <w:marBottom w:val="0"/>
              <w:divBdr>
                <w:top w:val="none" w:sz="0" w:space="0" w:color="auto"/>
                <w:left w:val="none" w:sz="0" w:space="0" w:color="auto"/>
                <w:bottom w:val="none" w:sz="0" w:space="0" w:color="auto"/>
                <w:right w:val="none" w:sz="0" w:space="0" w:color="auto"/>
              </w:divBdr>
            </w:div>
            <w:div w:id="1337610688">
              <w:marLeft w:val="0"/>
              <w:marRight w:val="0"/>
              <w:marTop w:val="0"/>
              <w:marBottom w:val="0"/>
              <w:divBdr>
                <w:top w:val="none" w:sz="0" w:space="0" w:color="auto"/>
                <w:left w:val="none" w:sz="0" w:space="0" w:color="auto"/>
                <w:bottom w:val="none" w:sz="0" w:space="0" w:color="auto"/>
                <w:right w:val="none" w:sz="0" w:space="0" w:color="auto"/>
              </w:divBdr>
            </w:div>
            <w:div w:id="1506240188">
              <w:marLeft w:val="0"/>
              <w:marRight w:val="0"/>
              <w:marTop w:val="0"/>
              <w:marBottom w:val="0"/>
              <w:divBdr>
                <w:top w:val="none" w:sz="0" w:space="0" w:color="auto"/>
                <w:left w:val="none" w:sz="0" w:space="0" w:color="auto"/>
                <w:bottom w:val="none" w:sz="0" w:space="0" w:color="auto"/>
                <w:right w:val="none" w:sz="0" w:space="0" w:color="auto"/>
              </w:divBdr>
            </w:div>
            <w:div w:id="1506895116">
              <w:marLeft w:val="0"/>
              <w:marRight w:val="0"/>
              <w:marTop w:val="0"/>
              <w:marBottom w:val="0"/>
              <w:divBdr>
                <w:top w:val="none" w:sz="0" w:space="0" w:color="auto"/>
                <w:left w:val="none" w:sz="0" w:space="0" w:color="auto"/>
                <w:bottom w:val="none" w:sz="0" w:space="0" w:color="auto"/>
                <w:right w:val="none" w:sz="0" w:space="0" w:color="auto"/>
              </w:divBdr>
            </w:div>
            <w:div w:id="1554585513">
              <w:marLeft w:val="0"/>
              <w:marRight w:val="0"/>
              <w:marTop w:val="0"/>
              <w:marBottom w:val="0"/>
              <w:divBdr>
                <w:top w:val="none" w:sz="0" w:space="0" w:color="auto"/>
                <w:left w:val="none" w:sz="0" w:space="0" w:color="auto"/>
                <w:bottom w:val="none" w:sz="0" w:space="0" w:color="auto"/>
                <w:right w:val="none" w:sz="0" w:space="0" w:color="auto"/>
              </w:divBdr>
            </w:div>
            <w:div w:id="1568300121">
              <w:marLeft w:val="0"/>
              <w:marRight w:val="0"/>
              <w:marTop w:val="0"/>
              <w:marBottom w:val="0"/>
              <w:divBdr>
                <w:top w:val="none" w:sz="0" w:space="0" w:color="auto"/>
                <w:left w:val="none" w:sz="0" w:space="0" w:color="auto"/>
                <w:bottom w:val="none" w:sz="0" w:space="0" w:color="auto"/>
                <w:right w:val="none" w:sz="0" w:space="0" w:color="auto"/>
              </w:divBdr>
            </w:div>
            <w:div w:id="1622109359">
              <w:marLeft w:val="0"/>
              <w:marRight w:val="0"/>
              <w:marTop w:val="0"/>
              <w:marBottom w:val="0"/>
              <w:divBdr>
                <w:top w:val="none" w:sz="0" w:space="0" w:color="auto"/>
                <w:left w:val="none" w:sz="0" w:space="0" w:color="auto"/>
                <w:bottom w:val="none" w:sz="0" w:space="0" w:color="auto"/>
                <w:right w:val="none" w:sz="0" w:space="0" w:color="auto"/>
              </w:divBdr>
            </w:div>
            <w:div w:id="1700232816">
              <w:marLeft w:val="0"/>
              <w:marRight w:val="0"/>
              <w:marTop w:val="0"/>
              <w:marBottom w:val="0"/>
              <w:divBdr>
                <w:top w:val="none" w:sz="0" w:space="0" w:color="auto"/>
                <w:left w:val="none" w:sz="0" w:space="0" w:color="auto"/>
                <w:bottom w:val="none" w:sz="0" w:space="0" w:color="auto"/>
                <w:right w:val="none" w:sz="0" w:space="0" w:color="auto"/>
              </w:divBdr>
            </w:div>
            <w:div w:id="1737706499">
              <w:marLeft w:val="0"/>
              <w:marRight w:val="0"/>
              <w:marTop w:val="0"/>
              <w:marBottom w:val="0"/>
              <w:divBdr>
                <w:top w:val="none" w:sz="0" w:space="0" w:color="auto"/>
                <w:left w:val="none" w:sz="0" w:space="0" w:color="auto"/>
                <w:bottom w:val="none" w:sz="0" w:space="0" w:color="auto"/>
                <w:right w:val="none" w:sz="0" w:space="0" w:color="auto"/>
              </w:divBdr>
            </w:div>
            <w:div w:id="1931430593">
              <w:marLeft w:val="0"/>
              <w:marRight w:val="0"/>
              <w:marTop w:val="0"/>
              <w:marBottom w:val="0"/>
              <w:divBdr>
                <w:top w:val="none" w:sz="0" w:space="0" w:color="auto"/>
                <w:left w:val="none" w:sz="0" w:space="0" w:color="auto"/>
                <w:bottom w:val="none" w:sz="0" w:space="0" w:color="auto"/>
                <w:right w:val="none" w:sz="0" w:space="0" w:color="auto"/>
              </w:divBdr>
            </w:div>
            <w:div w:id="1945652785">
              <w:marLeft w:val="0"/>
              <w:marRight w:val="0"/>
              <w:marTop w:val="0"/>
              <w:marBottom w:val="0"/>
              <w:divBdr>
                <w:top w:val="none" w:sz="0" w:space="0" w:color="auto"/>
                <w:left w:val="none" w:sz="0" w:space="0" w:color="auto"/>
                <w:bottom w:val="none" w:sz="0" w:space="0" w:color="auto"/>
                <w:right w:val="none" w:sz="0" w:space="0" w:color="auto"/>
              </w:divBdr>
            </w:div>
            <w:div w:id="1978297126">
              <w:marLeft w:val="0"/>
              <w:marRight w:val="0"/>
              <w:marTop w:val="0"/>
              <w:marBottom w:val="0"/>
              <w:divBdr>
                <w:top w:val="none" w:sz="0" w:space="0" w:color="auto"/>
                <w:left w:val="none" w:sz="0" w:space="0" w:color="auto"/>
                <w:bottom w:val="none" w:sz="0" w:space="0" w:color="auto"/>
                <w:right w:val="none" w:sz="0" w:space="0" w:color="auto"/>
              </w:divBdr>
            </w:div>
            <w:div w:id="2005088431">
              <w:marLeft w:val="0"/>
              <w:marRight w:val="0"/>
              <w:marTop w:val="0"/>
              <w:marBottom w:val="0"/>
              <w:divBdr>
                <w:top w:val="none" w:sz="0" w:space="0" w:color="auto"/>
                <w:left w:val="none" w:sz="0" w:space="0" w:color="auto"/>
                <w:bottom w:val="none" w:sz="0" w:space="0" w:color="auto"/>
                <w:right w:val="none" w:sz="0" w:space="0" w:color="auto"/>
              </w:divBdr>
            </w:div>
            <w:div w:id="2014331701">
              <w:marLeft w:val="0"/>
              <w:marRight w:val="0"/>
              <w:marTop w:val="0"/>
              <w:marBottom w:val="0"/>
              <w:divBdr>
                <w:top w:val="none" w:sz="0" w:space="0" w:color="auto"/>
                <w:left w:val="none" w:sz="0" w:space="0" w:color="auto"/>
                <w:bottom w:val="none" w:sz="0" w:space="0" w:color="auto"/>
                <w:right w:val="none" w:sz="0" w:space="0" w:color="auto"/>
              </w:divBdr>
            </w:div>
            <w:div w:id="2026327875">
              <w:marLeft w:val="0"/>
              <w:marRight w:val="0"/>
              <w:marTop w:val="0"/>
              <w:marBottom w:val="0"/>
              <w:divBdr>
                <w:top w:val="none" w:sz="0" w:space="0" w:color="auto"/>
                <w:left w:val="none" w:sz="0" w:space="0" w:color="auto"/>
                <w:bottom w:val="none" w:sz="0" w:space="0" w:color="auto"/>
                <w:right w:val="none" w:sz="0" w:space="0" w:color="auto"/>
              </w:divBdr>
            </w:div>
          </w:divsChild>
        </w:div>
        <w:div w:id="1865513642">
          <w:marLeft w:val="0"/>
          <w:marRight w:val="0"/>
          <w:marTop w:val="0"/>
          <w:marBottom w:val="0"/>
          <w:divBdr>
            <w:top w:val="none" w:sz="0" w:space="0" w:color="auto"/>
            <w:left w:val="none" w:sz="0" w:space="0" w:color="auto"/>
            <w:bottom w:val="none" w:sz="0" w:space="0" w:color="auto"/>
            <w:right w:val="none" w:sz="0" w:space="0" w:color="auto"/>
          </w:divBdr>
        </w:div>
        <w:div w:id="1892494141">
          <w:marLeft w:val="0"/>
          <w:marRight w:val="0"/>
          <w:marTop w:val="0"/>
          <w:marBottom w:val="0"/>
          <w:divBdr>
            <w:top w:val="none" w:sz="0" w:space="0" w:color="auto"/>
            <w:left w:val="none" w:sz="0" w:space="0" w:color="auto"/>
            <w:bottom w:val="none" w:sz="0" w:space="0" w:color="auto"/>
            <w:right w:val="none" w:sz="0" w:space="0" w:color="auto"/>
          </w:divBdr>
        </w:div>
        <w:div w:id="1904756473">
          <w:marLeft w:val="0"/>
          <w:marRight w:val="0"/>
          <w:marTop w:val="0"/>
          <w:marBottom w:val="0"/>
          <w:divBdr>
            <w:top w:val="none" w:sz="0" w:space="0" w:color="auto"/>
            <w:left w:val="none" w:sz="0" w:space="0" w:color="auto"/>
            <w:bottom w:val="none" w:sz="0" w:space="0" w:color="auto"/>
            <w:right w:val="none" w:sz="0" w:space="0" w:color="auto"/>
          </w:divBdr>
        </w:div>
        <w:div w:id="1921673602">
          <w:marLeft w:val="0"/>
          <w:marRight w:val="0"/>
          <w:marTop w:val="0"/>
          <w:marBottom w:val="0"/>
          <w:divBdr>
            <w:top w:val="none" w:sz="0" w:space="0" w:color="auto"/>
            <w:left w:val="none" w:sz="0" w:space="0" w:color="auto"/>
            <w:bottom w:val="none" w:sz="0" w:space="0" w:color="auto"/>
            <w:right w:val="none" w:sz="0" w:space="0" w:color="auto"/>
          </w:divBdr>
        </w:div>
        <w:div w:id="1944265791">
          <w:marLeft w:val="0"/>
          <w:marRight w:val="0"/>
          <w:marTop w:val="0"/>
          <w:marBottom w:val="0"/>
          <w:divBdr>
            <w:top w:val="none" w:sz="0" w:space="0" w:color="auto"/>
            <w:left w:val="none" w:sz="0" w:space="0" w:color="auto"/>
            <w:bottom w:val="none" w:sz="0" w:space="0" w:color="auto"/>
            <w:right w:val="none" w:sz="0" w:space="0" w:color="auto"/>
          </w:divBdr>
        </w:div>
        <w:div w:id="1957370466">
          <w:marLeft w:val="0"/>
          <w:marRight w:val="0"/>
          <w:marTop w:val="0"/>
          <w:marBottom w:val="0"/>
          <w:divBdr>
            <w:top w:val="none" w:sz="0" w:space="0" w:color="auto"/>
            <w:left w:val="none" w:sz="0" w:space="0" w:color="auto"/>
            <w:bottom w:val="none" w:sz="0" w:space="0" w:color="auto"/>
            <w:right w:val="none" w:sz="0" w:space="0" w:color="auto"/>
          </w:divBdr>
          <w:divsChild>
            <w:div w:id="860197">
              <w:marLeft w:val="0"/>
              <w:marRight w:val="0"/>
              <w:marTop w:val="0"/>
              <w:marBottom w:val="0"/>
              <w:divBdr>
                <w:top w:val="none" w:sz="0" w:space="0" w:color="auto"/>
                <w:left w:val="none" w:sz="0" w:space="0" w:color="auto"/>
                <w:bottom w:val="none" w:sz="0" w:space="0" w:color="auto"/>
                <w:right w:val="none" w:sz="0" w:space="0" w:color="auto"/>
              </w:divBdr>
            </w:div>
            <w:div w:id="171720513">
              <w:marLeft w:val="0"/>
              <w:marRight w:val="0"/>
              <w:marTop w:val="0"/>
              <w:marBottom w:val="0"/>
              <w:divBdr>
                <w:top w:val="none" w:sz="0" w:space="0" w:color="auto"/>
                <w:left w:val="none" w:sz="0" w:space="0" w:color="auto"/>
                <w:bottom w:val="none" w:sz="0" w:space="0" w:color="auto"/>
                <w:right w:val="none" w:sz="0" w:space="0" w:color="auto"/>
              </w:divBdr>
            </w:div>
            <w:div w:id="252320389">
              <w:marLeft w:val="0"/>
              <w:marRight w:val="0"/>
              <w:marTop w:val="0"/>
              <w:marBottom w:val="0"/>
              <w:divBdr>
                <w:top w:val="none" w:sz="0" w:space="0" w:color="auto"/>
                <w:left w:val="none" w:sz="0" w:space="0" w:color="auto"/>
                <w:bottom w:val="none" w:sz="0" w:space="0" w:color="auto"/>
                <w:right w:val="none" w:sz="0" w:space="0" w:color="auto"/>
              </w:divBdr>
            </w:div>
            <w:div w:id="440150160">
              <w:marLeft w:val="0"/>
              <w:marRight w:val="0"/>
              <w:marTop w:val="0"/>
              <w:marBottom w:val="0"/>
              <w:divBdr>
                <w:top w:val="none" w:sz="0" w:space="0" w:color="auto"/>
                <w:left w:val="none" w:sz="0" w:space="0" w:color="auto"/>
                <w:bottom w:val="none" w:sz="0" w:space="0" w:color="auto"/>
                <w:right w:val="none" w:sz="0" w:space="0" w:color="auto"/>
              </w:divBdr>
            </w:div>
            <w:div w:id="442918619">
              <w:marLeft w:val="0"/>
              <w:marRight w:val="0"/>
              <w:marTop w:val="0"/>
              <w:marBottom w:val="0"/>
              <w:divBdr>
                <w:top w:val="none" w:sz="0" w:space="0" w:color="auto"/>
                <w:left w:val="none" w:sz="0" w:space="0" w:color="auto"/>
                <w:bottom w:val="none" w:sz="0" w:space="0" w:color="auto"/>
                <w:right w:val="none" w:sz="0" w:space="0" w:color="auto"/>
              </w:divBdr>
            </w:div>
            <w:div w:id="488787410">
              <w:marLeft w:val="0"/>
              <w:marRight w:val="0"/>
              <w:marTop w:val="0"/>
              <w:marBottom w:val="0"/>
              <w:divBdr>
                <w:top w:val="none" w:sz="0" w:space="0" w:color="auto"/>
                <w:left w:val="none" w:sz="0" w:space="0" w:color="auto"/>
                <w:bottom w:val="none" w:sz="0" w:space="0" w:color="auto"/>
                <w:right w:val="none" w:sz="0" w:space="0" w:color="auto"/>
              </w:divBdr>
            </w:div>
            <w:div w:id="585656182">
              <w:marLeft w:val="0"/>
              <w:marRight w:val="0"/>
              <w:marTop w:val="0"/>
              <w:marBottom w:val="0"/>
              <w:divBdr>
                <w:top w:val="none" w:sz="0" w:space="0" w:color="auto"/>
                <w:left w:val="none" w:sz="0" w:space="0" w:color="auto"/>
                <w:bottom w:val="none" w:sz="0" w:space="0" w:color="auto"/>
                <w:right w:val="none" w:sz="0" w:space="0" w:color="auto"/>
              </w:divBdr>
            </w:div>
            <w:div w:id="630014244">
              <w:marLeft w:val="0"/>
              <w:marRight w:val="0"/>
              <w:marTop w:val="0"/>
              <w:marBottom w:val="0"/>
              <w:divBdr>
                <w:top w:val="none" w:sz="0" w:space="0" w:color="auto"/>
                <w:left w:val="none" w:sz="0" w:space="0" w:color="auto"/>
                <w:bottom w:val="none" w:sz="0" w:space="0" w:color="auto"/>
                <w:right w:val="none" w:sz="0" w:space="0" w:color="auto"/>
              </w:divBdr>
            </w:div>
            <w:div w:id="743600320">
              <w:marLeft w:val="0"/>
              <w:marRight w:val="0"/>
              <w:marTop w:val="0"/>
              <w:marBottom w:val="0"/>
              <w:divBdr>
                <w:top w:val="none" w:sz="0" w:space="0" w:color="auto"/>
                <w:left w:val="none" w:sz="0" w:space="0" w:color="auto"/>
                <w:bottom w:val="none" w:sz="0" w:space="0" w:color="auto"/>
                <w:right w:val="none" w:sz="0" w:space="0" w:color="auto"/>
              </w:divBdr>
            </w:div>
            <w:div w:id="990645331">
              <w:marLeft w:val="0"/>
              <w:marRight w:val="0"/>
              <w:marTop w:val="0"/>
              <w:marBottom w:val="0"/>
              <w:divBdr>
                <w:top w:val="none" w:sz="0" w:space="0" w:color="auto"/>
                <w:left w:val="none" w:sz="0" w:space="0" w:color="auto"/>
                <w:bottom w:val="none" w:sz="0" w:space="0" w:color="auto"/>
                <w:right w:val="none" w:sz="0" w:space="0" w:color="auto"/>
              </w:divBdr>
            </w:div>
            <w:div w:id="1536886617">
              <w:marLeft w:val="0"/>
              <w:marRight w:val="0"/>
              <w:marTop w:val="0"/>
              <w:marBottom w:val="0"/>
              <w:divBdr>
                <w:top w:val="none" w:sz="0" w:space="0" w:color="auto"/>
                <w:left w:val="none" w:sz="0" w:space="0" w:color="auto"/>
                <w:bottom w:val="none" w:sz="0" w:space="0" w:color="auto"/>
                <w:right w:val="none" w:sz="0" w:space="0" w:color="auto"/>
              </w:divBdr>
            </w:div>
            <w:div w:id="1557737316">
              <w:marLeft w:val="0"/>
              <w:marRight w:val="0"/>
              <w:marTop w:val="0"/>
              <w:marBottom w:val="0"/>
              <w:divBdr>
                <w:top w:val="none" w:sz="0" w:space="0" w:color="auto"/>
                <w:left w:val="none" w:sz="0" w:space="0" w:color="auto"/>
                <w:bottom w:val="none" w:sz="0" w:space="0" w:color="auto"/>
                <w:right w:val="none" w:sz="0" w:space="0" w:color="auto"/>
              </w:divBdr>
            </w:div>
            <w:div w:id="1574776149">
              <w:marLeft w:val="0"/>
              <w:marRight w:val="0"/>
              <w:marTop w:val="0"/>
              <w:marBottom w:val="0"/>
              <w:divBdr>
                <w:top w:val="none" w:sz="0" w:space="0" w:color="auto"/>
                <w:left w:val="none" w:sz="0" w:space="0" w:color="auto"/>
                <w:bottom w:val="none" w:sz="0" w:space="0" w:color="auto"/>
                <w:right w:val="none" w:sz="0" w:space="0" w:color="auto"/>
              </w:divBdr>
            </w:div>
            <w:div w:id="1777948053">
              <w:marLeft w:val="0"/>
              <w:marRight w:val="0"/>
              <w:marTop w:val="0"/>
              <w:marBottom w:val="0"/>
              <w:divBdr>
                <w:top w:val="none" w:sz="0" w:space="0" w:color="auto"/>
                <w:left w:val="none" w:sz="0" w:space="0" w:color="auto"/>
                <w:bottom w:val="none" w:sz="0" w:space="0" w:color="auto"/>
                <w:right w:val="none" w:sz="0" w:space="0" w:color="auto"/>
              </w:divBdr>
            </w:div>
            <w:div w:id="2047951114">
              <w:marLeft w:val="0"/>
              <w:marRight w:val="0"/>
              <w:marTop w:val="0"/>
              <w:marBottom w:val="0"/>
              <w:divBdr>
                <w:top w:val="none" w:sz="0" w:space="0" w:color="auto"/>
                <w:left w:val="none" w:sz="0" w:space="0" w:color="auto"/>
                <w:bottom w:val="none" w:sz="0" w:space="0" w:color="auto"/>
                <w:right w:val="none" w:sz="0" w:space="0" w:color="auto"/>
              </w:divBdr>
            </w:div>
          </w:divsChild>
        </w:div>
        <w:div w:id="1957980151">
          <w:marLeft w:val="0"/>
          <w:marRight w:val="0"/>
          <w:marTop w:val="0"/>
          <w:marBottom w:val="0"/>
          <w:divBdr>
            <w:top w:val="none" w:sz="0" w:space="0" w:color="auto"/>
            <w:left w:val="none" w:sz="0" w:space="0" w:color="auto"/>
            <w:bottom w:val="none" w:sz="0" w:space="0" w:color="auto"/>
            <w:right w:val="none" w:sz="0" w:space="0" w:color="auto"/>
          </w:divBdr>
        </w:div>
        <w:div w:id="1980768003">
          <w:marLeft w:val="0"/>
          <w:marRight w:val="0"/>
          <w:marTop w:val="0"/>
          <w:marBottom w:val="0"/>
          <w:divBdr>
            <w:top w:val="none" w:sz="0" w:space="0" w:color="auto"/>
            <w:left w:val="none" w:sz="0" w:space="0" w:color="auto"/>
            <w:bottom w:val="none" w:sz="0" w:space="0" w:color="auto"/>
            <w:right w:val="none" w:sz="0" w:space="0" w:color="auto"/>
          </w:divBdr>
        </w:div>
        <w:div w:id="1982997650">
          <w:marLeft w:val="0"/>
          <w:marRight w:val="0"/>
          <w:marTop w:val="0"/>
          <w:marBottom w:val="0"/>
          <w:divBdr>
            <w:top w:val="none" w:sz="0" w:space="0" w:color="auto"/>
            <w:left w:val="none" w:sz="0" w:space="0" w:color="auto"/>
            <w:bottom w:val="none" w:sz="0" w:space="0" w:color="auto"/>
            <w:right w:val="none" w:sz="0" w:space="0" w:color="auto"/>
          </w:divBdr>
        </w:div>
        <w:div w:id="1999724737">
          <w:marLeft w:val="0"/>
          <w:marRight w:val="0"/>
          <w:marTop w:val="0"/>
          <w:marBottom w:val="0"/>
          <w:divBdr>
            <w:top w:val="none" w:sz="0" w:space="0" w:color="auto"/>
            <w:left w:val="none" w:sz="0" w:space="0" w:color="auto"/>
            <w:bottom w:val="none" w:sz="0" w:space="0" w:color="auto"/>
            <w:right w:val="none" w:sz="0" w:space="0" w:color="auto"/>
          </w:divBdr>
        </w:div>
        <w:div w:id="2008316784">
          <w:marLeft w:val="0"/>
          <w:marRight w:val="0"/>
          <w:marTop w:val="0"/>
          <w:marBottom w:val="0"/>
          <w:divBdr>
            <w:top w:val="none" w:sz="0" w:space="0" w:color="auto"/>
            <w:left w:val="none" w:sz="0" w:space="0" w:color="auto"/>
            <w:bottom w:val="none" w:sz="0" w:space="0" w:color="auto"/>
            <w:right w:val="none" w:sz="0" w:space="0" w:color="auto"/>
          </w:divBdr>
        </w:div>
        <w:div w:id="2011133189">
          <w:marLeft w:val="0"/>
          <w:marRight w:val="0"/>
          <w:marTop w:val="0"/>
          <w:marBottom w:val="0"/>
          <w:divBdr>
            <w:top w:val="none" w:sz="0" w:space="0" w:color="auto"/>
            <w:left w:val="none" w:sz="0" w:space="0" w:color="auto"/>
            <w:bottom w:val="none" w:sz="0" w:space="0" w:color="auto"/>
            <w:right w:val="none" w:sz="0" w:space="0" w:color="auto"/>
          </w:divBdr>
        </w:div>
        <w:div w:id="2053843497">
          <w:marLeft w:val="0"/>
          <w:marRight w:val="0"/>
          <w:marTop w:val="0"/>
          <w:marBottom w:val="0"/>
          <w:divBdr>
            <w:top w:val="none" w:sz="0" w:space="0" w:color="auto"/>
            <w:left w:val="none" w:sz="0" w:space="0" w:color="auto"/>
            <w:bottom w:val="none" w:sz="0" w:space="0" w:color="auto"/>
            <w:right w:val="none" w:sz="0" w:space="0" w:color="auto"/>
          </w:divBdr>
        </w:div>
        <w:div w:id="2058360209">
          <w:marLeft w:val="0"/>
          <w:marRight w:val="0"/>
          <w:marTop w:val="0"/>
          <w:marBottom w:val="0"/>
          <w:divBdr>
            <w:top w:val="none" w:sz="0" w:space="0" w:color="auto"/>
            <w:left w:val="none" w:sz="0" w:space="0" w:color="auto"/>
            <w:bottom w:val="none" w:sz="0" w:space="0" w:color="auto"/>
            <w:right w:val="none" w:sz="0" w:space="0" w:color="auto"/>
          </w:divBdr>
        </w:div>
        <w:div w:id="2058506591">
          <w:marLeft w:val="0"/>
          <w:marRight w:val="0"/>
          <w:marTop w:val="0"/>
          <w:marBottom w:val="0"/>
          <w:divBdr>
            <w:top w:val="none" w:sz="0" w:space="0" w:color="auto"/>
            <w:left w:val="none" w:sz="0" w:space="0" w:color="auto"/>
            <w:bottom w:val="none" w:sz="0" w:space="0" w:color="auto"/>
            <w:right w:val="none" w:sz="0" w:space="0" w:color="auto"/>
          </w:divBdr>
        </w:div>
        <w:div w:id="2074352866">
          <w:marLeft w:val="0"/>
          <w:marRight w:val="0"/>
          <w:marTop w:val="0"/>
          <w:marBottom w:val="0"/>
          <w:divBdr>
            <w:top w:val="none" w:sz="0" w:space="0" w:color="auto"/>
            <w:left w:val="none" w:sz="0" w:space="0" w:color="auto"/>
            <w:bottom w:val="none" w:sz="0" w:space="0" w:color="auto"/>
            <w:right w:val="none" w:sz="0" w:space="0" w:color="auto"/>
          </w:divBdr>
        </w:div>
        <w:div w:id="2123500258">
          <w:marLeft w:val="0"/>
          <w:marRight w:val="0"/>
          <w:marTop w:val="0"/>
          <w:marBottom w:val="0"/>
          <w:divBdr>
            <w:top w:val="none" w:sz="0" w:space="0" w:color="auto"/>
            <w:left w:val="none" w:sz="0" w:space="0" w:color="auto"/>
            <w:bottom w:val="none" w:sz="0" w:space="0" w:color="auto"/>
            <w:right w:val="none" w:sz="0" w:space="0" w:color="auto"/>
          </w:divBdr>
        </w:div>
        <w:div w:id="2132508220">
          <w:marLeft w:val="0"/>
          <w:marRight w:val="0"/>
          <w:marTop w:val="0"/>
          <w:marBottom w:val="0"/>
          <w:divBdr>
            <w:top w:val="none" w:sz="0" w:space="0" w:color="auto"/>
            <w:left w:val="none" w:sz="0" w:space="0" w:color="auto"/>
            <w:bottom w:val="none" w:sz="0" w:space="0" w:color="auto"/>
            <w:right w:val="none" w:sz="0" w:space="0" w:color="auto"/>
          </w:divBdr>
        </w:div>
      </w:divsChild>
    </w:div>
    <w:div w:id="1413354839">
      <w:bodyDiv w:val="1"/>
      <w:marLeft w:val="0"/>
      <w:marRight w:val="0"/>
      <w:marTop w:val="0"/>
      <w:marBottom w:val="0"/>
      <w:divBdr>
        <w:top w:val="none" w:sz="0" w:space="0" w:color="auto"/>
        <w:left w:val="none" w:sz="0" w:space="0" w:color="auto"/>
        <w:bottom w:val="none" w:sz="0" w:space="0" w:color="auto"/>
        <w:right w:val="none" w:sz="0" w:space="0" w:color="auto"/>
      </w:divBdr>
    </w:div>
    <w:div w:id="1414936638">
      <w:bodyDiv w:val="1"/>
      <w:marLeft w:val="0"/>
      <w:marRight w:val="0"/>
      <w:marTop w:val="0"/>
      <w:marBottom w:val="0"/>
      <w:divBdr>
        <w:top w:val="none" w:sz="0" w:space="0" w:color="auto"/>
        <w:left w:val="none" w:sz="0" w:space="0" w:color="auto"/>
        <w:bottom w:val="none" w:sz="0" w:space="0" w:color="auto"/>
        <w:right w:val="none" w:sz="0" w:space="0" w:color="auto"/>
      </w:divBdr>
      <w:divsChild>
        <w:div w:id="1890798342">
          <w:marLeft w:val="0"/>
          <w:marRight w:val="0"/>
          <w:marTop w:val="0"/>
          <w:marBottom w:val="0"/>
          <w:divBdr>
            <w:top w:val="none" w:sz="0" w:space="0" w:color="auto"/>
            <w:left w:val="none" w:sz="0" w:space="0" w:color="auto"/>
            <w:bottom w:val="none" w:sz="0" w:space="0" w:color="auto"/>
            <w:right w:val="none" w:sz="0" w:space="0" w:color="auto"/>
          </w:divBdr>
        </w:div>
      </w:divsChild>
    </w:div>
    <w:div w:id="1432242111">
      <w:bodyDiv w:val="1"/>
      <w:marLeft w:val="0"/>
      <w:marRight w:val="0"/>
      <w:marTop w:val="0"/>
      <w:marBottom w:val="0"/>
      <w:divBdr>
        <w:top w:val="none" w:sz="0" w:space="0" w:color="auto"/>
        <w:left w:val="none" w:sz="0" w:space="0" w:color="auto"/>
        <w:bottom w:val="none" w:sz="0" w:space="0" w:color="auto"/>
        <w:right w:val="none" w:sz="0" w:space="0" w:color="auto"/>
      </w:divBdr>
    </w:div>
    <w:div w:id="1437826747">
      <w:bodyDiv w:val="1"/>
      <w:marLeft w:val="0"/>
      <w:marRight w:val="0"/>
      <w:marTop w:val="0"/>
      <w:marBottom w:val="0"/>
      <w:divBdr>
        <w:top w:val="none" w:sz="0" w:space="0" w:color="auto"/>
        <w:left w:val="none" w:sz="0" w:space="0" w:color="auto"/>
        <w:bottom w:val="none" w:sz="0" w:space="0" w:color="auto"/>
        <w:right w:val="none" w:sz="0" w:space="0" w:color="auto"/>
      </w:divBdr>
    </w:div>
    <w:div w:id="1442065636">
      <w:bodyDiv w:val="1"/>
      <w:marLeft w:val="0"/>
      <w:marRight w:val="0"/>
      <w:marTop w:val="0"/>
      <w:marBottom w:val="0"/>
      <w:divBdr>
        <w:top w:val="none" w:sz="0" w:space="0" w:color="auto"/>
        <w:left w:val="none" w:sz="0" w:space="0" w:color="auto"/>
        <w:bottom w:val="none" w:sz="0" w:space="0" w:color="auto"/>
        <w:right w:val="none" w:sz="0" w:space="0" w:color="auto"/>
      </w:divBdr>
    </w:div>
    <w:div w:id="1443260424">
      <w:bodyDiv w:val="1"/>
      <w:marLeft w:val="0"/>
      <w:marRight w:val="0"/>
      <w:marTop w:val="0"/>
      <w:marBottom w:val="0"/>
      <w:divBdr>
        <w:top w:val="none" w:sz="0" w:space="0" w:color="auto"/>
        <w:left w:val="none" w:sz="0" w:space="0" w:color="auto"/>
        <w:bottom w:val="none" w:sz="0" w:space="0" w:color="auto"/>
        <w:right w:val="none" w:sz="0" w:space="0" w:color="auto"/>
      </w:divBdr>
    </w:div>
    <w:div w:id="1443692713">
      <w:bodyDiv w:val="1"/>
      <w:marLeft w:val="0"/>
      <w:marRight w:val="0"/>
      <w:marTop w:val="0"/>
      <w:marBottom w:val="0"/>
      <w:divBdr>
        <w:top w:val="none" w:sz="0" w:space="0" w:color="auto"/>
        <w:left w:val="none" w:sz="0" w:space="0" w:color="auto"/>
        <w:bottom w:val="none" w:sz="0" w:space="0" w:color="auto"/>
        <w:right w:val="none" w:sz="0" w:space="0" w:color="auto"/>
      </w:divBdr>
    </w:div>
    <w:div w:id="1447315172">
      <w:bodyDiv w:val="1"/>
      <w:marLeft w:val="0"/>
      <w:marRight w:val="0"/>
      <w:marTop w:val="0"/>
      <w:marBottom w:val="0"/>
      <w:divBdr>
        <w:top w:val="none" w:sz="0" w:space="0" w:color="auto"/>
        <w:left w:val="none" w:sz="0" w:space="0" w:color="auto"/>
        <w:bottom w:val="none" w:sz="0" w:space="0" w:color="auto"/>
        <w:right w:val="none" w:sz="0" w:space="0" w:color="auto"/>
      </w:divBdr>
    </w:div>
    <w:div w:id="1448236757">
      <w:bodyDiv w:val="1"/>
      <w:marLeft w:val="0"/>
      <w:marRight w:val="0"/>
      <w:marTop w:val="0"/>
      <w:marBottom w:val="0"/>
      <w:divBdr>
        <w:top w:val="none" w:sz="0" w:space="0" w:color="auto"/>
        <w:left w:val="none" w:sz="0" w:space="0" w:color="auto"/>
        <w:bottom w:val="none" w:sz="0" w:space="0" w:color="auto"/>
        <w:right w:val="none" w:sz="0" w:space="0" w:color="auto"/>
      </w:divBdr>
    </w:div>
    <w:div w:id="1452434869">
      <w:bodyDiv w:val="1"/>
      <w:marLeft w:val="0"/>
      <w:marRight w:val="0"/>
      <w:marTop w:val="0"/>
      <w:marBottom w:val="0"/>
      <w:divBdr>
        <w:top w:val="none" w:sz="0" w:space="0" w:color="auto"/>
        <w:left w:val="none" w:sz="0" w:space="0" w:color="auto"/>
        <w:bottom w:val="none" w:sz="0" w:space="0" w:color="auto"/>
        <w:right w:val="none" w:sz="0" w:space="0" w:color="auto"/>
      </w:divBdr>
    </w:div>
    <w:div w:id="1474447251">
      <w:bodyDiv w:val="1"/>
      <w:marLeft w:val="0"/>
      <w:marRight w:val="0"/>
      <w:marTop w:val="0"/>
      <w:marBottom w:val="0"/>
      <w:divBdr>
        <w:top w:val="none" w:sz="0" w:space="0" w:color="auto"/>
        <w:left w:val="none" w:sz="0" w:space="0" w:color="auto"/>
        <w:bottom w:val="none" w:sz="0" w:space="0" w:color="auto"/>
        <w:right w:val="none" w:sz="0" w:space="0" w:color="auto"/>
      </w:divBdr>
    </w:div>
    <w:div w:id="1478231259">
      <w:bodyDiv w:val="1"/>
      <w:marLeft w:val="0"/>
      <w:marRight w:val="0"/>
      <w:marTop w:val="0"/>
      <w:marBottom w:val="0"/>
      <w:divBdr>
        <w:top w:val="none" w:sz="0" w:space="0" w:color="auto"/>
        <w:left w:val="none" w:sz="0" w:space="0" w:color="auto"/>
        <w:bottom w:val="none" w:sz="0" w:space="0" w:color="auto"/>
        <w:right w:val="none" w:sz="0" w:space="0" w:color="auto"/>
      </w:divBdr>
    </w:div>
    <w:div w:id="1478691808">
      <w:bodyDiv w:val="1"/>
      <w:marLeft w:val="0"/>
      <w:marRight w:val="0"/>
      <w:marTop w:val="0"/>
      <w:marBottom w:val="0"/>
      <w:divBdr>
        <w:top w:val="none" w:sz="0" w:space="0" w:color="auto"/>
        <w:left w:val="none" w:sz="0" w:space="0" w:color="auto"/>
        <w:bottom w:val="none" w:sz="0" w:space="0" w:color="auto"/>
        <w:right w:val="none" w:sz="0" w:space="0" w:color="auto"/>
      </w:divBdr>
    </w:div>
    <w:div w:id="1481995265">
      <w:bodyDiv w:val="1"/>
      <w:marLeft w:val="0"/>
      <w:marRight w:val="0"/>
      <w:marTop w:val="0"/>
      <w:marBottom w:val="0"/>
      <w:divBdr>
        <w:top w:val="none" w:sz="0" w:space="0" w:color="auto"/>
        <w:left w:val="none" w:sz="0" w:space="0" w:color="auto"/>
        <w:bottom w:val="none" w:sz="0" w:space="0" w:color="auto"/>
        <w:right w:val="none" w:sz="0" w:space="0" w:color="auto"/>
      </w:divBdr>
    </w:div>
    <w:div w:id="1484545008">
      <w:bodyDiv w:val="1"/>
      <w:marLeft w:val="0"/>
      <w:marRight w:val="0"/>
      <w:marTop w:val="0"/>
      <w:marBottom w:val="0"/>
      <w:divBdr>
        <w:top w:val="none" w:sz="0" w:space="0" w:color="auto"/>
        <w:left w:val="none" w:sz="0" w:space="0" w:color="auto"/>
        <w:bottom w:val="none" w:sz="0" w:space="0" w:color="auto"/>
        <w:right w:val="none" w:sz="0" w:space="0" w:color="auto"/>
      </w:divBdr>
    </w:div>
    <w:div w:id="1493251830">
      <w:bodyDiv w:val="1"/>
      <w:marLeft w:val="0"/>
      <w:marRight w:val="0"/>
      <w:marTop w:val="0"/>
      <w:marBottom w:val="0"/>
      <w:divBdr>
        <w:top w:val="none" w:sz="0" w:space="0" w:color="auto"/>
        <w:left w:val="none" w:sz="0" w:space="0" w:color="auto"/>
        <w:bottom w:val="none" w:sz="0" w:space="0" w:color="auto"/>
        <w:right w:val="none" w:sz="0" w:space="0" w:color="auto"/>
      </w:divBdr>
    </w:div>
    <w:div w:id="1494104083">
      <w:bodyDiv w:val="1"/>
      <w:marLeft w:val="0"/>
      <w:marRight w:val="0"/>
      <w:marTop w:val="0"/>
      <w:marBottom w:val="0"/>
      <w:divBdr>
        <w:top w:val="none" w:sz="0" w:space="0" w:color="auto"/>
        <w:left w:val="none" w:sz="0" w:space="0" w:color="auto"/>
        <w:bottom w:val="none" w:sz="0" w:space="0" w:color="auto"/>
        <w:right w:val="none" w:sz="0" w:space="0" w:color="auto"/>
      </w:divBdr>
    </w:div>
    <w:div w:id="1507131714">
      <w:bodyDiv w:val="1"/>
      <w:marLeft w:val="0"/>
      <w:marRight w:val="0"/>
      <w:marTop w:val="0"/>
      <w:marBottom w:val="0"/>
      <w:divBdr>
        <w:top w:val="none" w:sz="0" w:space="0" w:color="auto"/>
        <w:left w:val="none" w:sz="0" w:space="0" w:color="auto"/>
        <w:bottom w:val="none" w:sz="0" w:space="0" w:color="auto"/>
        <w:right w:val="none" w:sz="0" w:space="0" w:color="auto"/>
      </w:divBdr>
    </w:div>
    <w:div w:id="1508212127">
      <w:bodyDiv w:val="1"/>
      <w:marLeft w:val="0"/>
      <w:marRight w:val="0"/>
      <w:marTop w:val="0"/>
      <w:marBottom w:val="0"/>
      <w:divBdr>
        <w:top w:val="none" w:sz="0" w:space="0" w:color="auto"/>
        <w:left w:val="none" w:sz="0" w:space="0" w:color="auto"/>
        <w:bottom w:val="none" w:sz="0" w:space="0" w:color="auto"/>
        <w:right w:val="none" w:sz="0" w:space="0" w:color="auto"/>
      </w:divBdr>
    </w:div>
    <w:div w:id="1519657162">
      <w:bodyDiv w:val="1"/>
      <w:marLeft w:val="0"/>
      <w:marRight w:val="0"/>
      <w:marTop w:val="0"/>
      <w:marBottom w:val="0"/>
      <w:divBdr>
        <w:top w:val="none" w:sz="0" w:space="0" w:color="auto"/>
        <w:left w:val="none" w:sz="0" w:space="0" w:color="auto"/>
        <w:bottom w:val="none" w:sz="0" w:space="0" w:color="auto"/>
        <w:right w:val="none" w:sz="0" w:space="0" w:color="auto"/>
      </w:divBdr>
    </w:div>
    <w:div w:id="1519806176">
      <w:bodyDiv w:val="1"/>
      <w:marLeft w:val="0"/>
      <w:marRight w:val="0"/>
      <w:marTop w:val="0"/>
      <w:marBottom w:val="0"/>
      <w:divBdr>
        <w:top w:val="none" w:sz="0" w:space="0" w:color="auto"/>
        <w:left w:val="none" w:sz="0" w:space="0" w:color="auto"/>
        <w:bottom w:val="none" w:sz="0" w:space="0" w:color="auto"/>
        <w:right w:val="none" w:sz="0" w:space="0" w:color="auto"/>
      </w:divBdr>
    </w:div>
    <w:div w:id="1520050787">
      <w:bodyDiv w:val="1"/>
      <w:marLeft w:val="0"/>
      <w:marRight w:val="0"/>
      <w:marTop w:val="0"/>
      <w:marBottom w:val="0"/>
      <w:divBdr>
        <w:top w:val="none" w:sz="0" w:space="0" w:color="auto"/>
        <w:left w:val="none" w:sz="0" w:space="0" w:color="auto"/>
        <w:bottom w:val="none" w:sz="0" w:space="0" w:color="auto"/>
        <w:right w:val="none" w:sz="0" w:space="0" w:color="auto"/>
      </w:divBdr>
    </w:div>
    <w:div w:id="1522278469">
      <w:bodyDiv w:val="1"/>
      <w:marLeft w:val="0"/>
      <w:marRight w:val="0"/>
      <w:marTop w:val="0"/>
      <w:marBottom w:val="0"/>
      <w:divBdr>
        <w:top w:val="none" w:sz="0" w:space="0" w:color="auto"/>
        <w:left w:val="none" w:sz="0" w:space="0" w:color="auto"/>
        <w:bottom w:val="none" w:sz="0" w:space="0" w:color="auto"/>
        <w:right w:val="none" w:sz="0" w:space="0" w:color="auto"/>
      </w:divBdr>
    </w:div>
    <w:div w:id="1528055636">
      <w:bodyDiv w:val="1"/>
      <w:marLeft w:val="0"/>
      <w:marRight w:val="0"/>
      <w:marTop w:val="0"/>
      <w:marBottom w:val="0"/>
      <w:divBdr>
        <w:top w:val="none" w:sz="0" w:space="0" w:color="auto"/>
        <w:left w:val="none" w:sz="0" w:space="0" w:color="auto"/>
        <w:bottom w:val="none" w:sz="0" w:space="0" w:color="auto"/>
        <w:right w:val="none" w:sz="0" w:space="0" w:color="auto"/>
      </w:divBdr>
    </w:div>
    <w:div w:id="1529835561">
      <w:bodyDiv w:val="1"/>
      <w:marLeft w:val="0"/>
      <w:marRight w:val="0"/>
      <w:marTop w:val="0"/>
      <w:marBottom w:val="0"/>
      <w:divBdr>
        <w:top w:val="none" w:sz="0" w:space="0" w:color="auto"/>
        <w:left w:val="none" w:sz="0" w:space="0" w:color="auto"/>
        <w:bottom w:val="none" w:sz="0" w:space="0" w:color="auto"/>
        <w:right w:val="none" w:sz="0" w:space="0" w:color="auto"/>
      </w:divBdr>
    </w:div>
    <w:div w:id="1538546360">
      <w:bodyDiv w:val="1"/>
      <w:marLeft w:val="0"/>
      <w:marRight w:val="0"/>
      <w:marTop w:val="0"/>
      <w:marBottom w:val="0"/>
      <w:divBdr>
        <w:top w:val="none" w:sz="0" w:space="0" w:color="auto"/>
        <w:left w:val="none" w:sz="0" w:space="0" w:color="auto"/>
        <w:bottom w:val="none" w:sz="0" w:space="0" w:color="auto"/>
        <w:right w:val="none" w:sz="0" w:space="0" w:color="auto"/>
      </w:divBdr>
    </w:div>
    <w:div w:id="1541044323">
      <w:bodyDiv w:val="1"/>
      <w:marLeft w:val="0"/>
      <w:marRight w:val="0"/>
      <w:marTop w:val="0"/>
      <w:marBottom w:val="0"/>
      <w:divBdr>
        <w:top w:val="none" w:sz="0" w:space="0" w:color="auto"/>
        <w:left w:val="none" w:sz="0" w:space="0" w:color="auto"/>
        <w:bottom w:val="none" w:sz="0" w:space="0" w:color="auto"/>
        <w:right w:val="none" w:sz="0" w:space="0" w:color="auto"/>
      </w:divBdr>
    </w:div>
    <w:div w:id="1541628350">
      <w:bodyDiv w:val="1"/>
      <w:marLeft w:val="0"/>
      <w:marRight w:val="0"/>
      <w:marTop w:val="0"/>
      <w:marBottom w:val="0"/>
      <w:divBdr>
        <w:top w:val="none" w:sz="0" w:space="0" w:color="auto"/>
        <w:left w:val="none" w:sz="0" w:space="0" w:color="auto"/>
        <w:bottom w:val="none" w:sz="0" w:space="0" w:color="auto"/>
        <w:right w:val="none" w:sz="0" w:space="0" w:color="auto"/>
      </w:divBdr>
    </w:div>
    <w:div w:id="1543983693">
      <w:bodyDiv w:val="1"/>
      <w:marLeft w:val="0"/>
      <w:marRight w:val="0"/>
      <w:marTop w:val="0"/>
      <w:marBottom w:val="0"/>
      <w:divBdr>
        <w:top w:val="none" w:sz="0" w:space="0" w:color="auto"/>
        <w:left w:val="none" w:sz="0" w:space="0" w:color="auto"/>
        <w:bottom w:val="none" w:sz="0" w:space="0" w:color="auto"/>
        <w:right w:val="none" w:sz="0" w:space="0" w:color="auto"/>
      </w:divBdr>
    </w:div>
    <w:div w:id="1544368011">
      <w:bodyDiv w:val="1"/>
      <w:marLeft w:val="0"/>
      <w:marRight w:val="0"/>
      <w:marTop w:val="0"/>
      <w:marBottom w:val="0"/>
      <w:divBdr>
        <w:top w:val="none" w:sz="0" w:space="0" w:color="auto"/>
        <w:left w:val="none" w:sz="0" w:space="0" w:color="auto"/>
        <w:bottom w:val="none" w:sz="0" w:space="0" w:color="auto"/>
        <w:right w:val="none" w:sz="0" w:space="0" w:color="auto"/>
      </w:divBdr>
    </w:div>
    <w:div w:id="1549998109">
      <w:bodyDiv w:val="1"/>
      <w:marLeft w:val="0"/>
      <w:marRight w:val="0"/>
      <w:marTop w:val="0"/>
      <w:marBottom w:val="0"/>
      <w:divBdr>
        <w:top w:val="none" w:sz="0" w:space="0" w:color="auto"/>
        <w:left w:val="none" w:sz="0" w:space="0" w:color="auto"/>
        <w:bottom w:val="none" w:sz="0" w:space="0" w:color="auto"/>
        <w:right w:val="none" w:sz="0" w:space="0" w:color="auto"/>
      </w:divBdr>
    </w:div>
    <w:div w:id="1570534905">
      <w:bodyDiv w:val="1"/>
      <w:marLeft w:val="0"/>
      <w:marRight w:val="0"/>
      <w:marTop w:val="0"/>
      <w:marBottom w:val="0"/>
      <w:divBdr>
        <w:top w:val="none" w:sz="0" w:space="0" w:color="auto"/>
        <w:left w:val="none" w:sz="0" w:space="0" w:color="auto"/>
        <w:bottom w:val="none" w:sz="0" w:space="0" w:color="auto"/>
        <w:right w:val="none" w:sz="0" w:space="0" w:color="auto"/>
      </w:divBdr>
    </w:div>
    <w:div w:id="1577519165">
      <w:bodyDiv w:val="1"/>
      <w:marLeft w:val="0"/>
      <w:marRight w:val="0"/>
      <w:marTop w:val="0"/>
      <w:marBottom w:val="0"/>
      <w:divBdr>
        <w:top w:val="none" w:sz="0" w:space="0" w:color="auto"/>
        <w:left w:val="none" w:sz="0" w:space="0" w:color="auto"/>
        <w:bottom w:val="none" w:sz="0" w:space="0" w:color="auto"/>
        <w:right w:val="none" w:sz="0" w:space="0" w:color="auto"/>
      </w:divBdr>
    </w:div>
    <w:div w:id="1591305993">
      <w:bodyDiv w:val="1"/>
      <w:marLeft w:val="0"/>
      <w:marRight w:val="0"/>
      <w:marTop w:val="0"/>
      <w:marBottom w:val="0"/>
      <w:divBdr>
        <w:top w:val="none" w:sz="0" w:space="0" w:color="auto"/>
        <w:left w:val="none" w:sz="0" w:space="0" w:color="auto"/>
        <w:bottom w:val="none" w:sz="0" w:space="0" w:color="auto"/>
        <w:right w:val="none" w:sz="0" w:space="0" w:color="auto"/>
      </w:divBdr>
    </w:div>
    <w:div w:id="1601258712">
      <w:bodyDiv w:val="1"/>
      <w:marLeft w:val="0"/>
      <w:marRight w:val="0"/>
      <w:marTop w:val="0"/>
      <w:marBottom w:val="0"/>
      <w:divBdr>
        <w:top w:val="none" w:sz="0" w:space="0" w:color="auto"/>
        <w:left w:val="none" w:sz="0" w:space="0" w:color="auto"/>
        <w:bottom w:val="none" w:sz="0" w:space="0" w:color="auto"/>
        <w:right w:val="none" w:sz="0" w:space="0" w:color="auto"/>
      </w:divBdr>
    </w:div>
    <w:div w:id="1603148399">
      <w:bodyDiv w:val="1"/>
      <w:marLeft w:val="0"/>
      <w:marRight w:val="0"/>
      <w:marTop w:val="0"/>
      <w:marBottom w:val="0"/>
      <w:divBdr>
        <w:top w:val="none" w:sz="0" w:space="0" w:color="auto"/>
        <w:left w:val="none" w:sz="0" w:space="0" w:color="auto"/>
        <w:bottom w:val="none" w:sz="0" w:space="0" w:color="auto"/>
        <w:right w:val="none" w:sz="0" w:space="0" w:color="auto"/>
      </w:divBdr>
    </w:div>
    <w:div w:id="1606881780">
      <w:bodyDiv w:val="1"/>
      <w:marLeft w:val="0"/>
      <w:marRight w:val="0"/>
      <w:marTop w:val="0"/>
      <w:marBottom w:val="0"/>
      <w:divBdr>
        <w:top w:val="none" w:sz="0" w:space="0" w:color="auto"/>
        <w:left w:val="none" w:sz="0" w:space="0" w:color="auto"/>
        <w:bottom w:val="none" w:sz="0" w:space="0" w:color="auto"/>
        <w:right w:val="none" w:sz="0" w:space="0" w:color="auto"/>
      </w:divBdr>
    </w:div>
    <w:div w:id="1609659182">
      <w:bodyDiv w:val="1"/>
      <w:marLeft w:val="0"/>
      <w:marRight w:val="0"/>
      <w:marTop w:val="0"/>
      <w:marBottom w:val="0"/>
      <w:divBdr>
        <w:top w:val="none" w:sz="0" w:space="0" w:color="auto"/>
        <w:left w:val="none" w:sz="0" w:space="0" w:color="auto"/>
        <w:bottom w:val="none" w:sz="0" w:space="0" w:color="auto"/>
        <w:right w:val="none" w:sz="0" w:space="0" w:color="auto"/>
      </w:divBdr>
    </w:div>
    <w:div w:id="1613247677">
      <w:bodyDiv w:val="1"/>
      <w:marLeft w:val="0"/>
      <w:marRight w:val="0"/>
      <w:marTop w:val="0"/>
      <w:marBottom w:val="0"/>
      <w:divBdr>
        <w:top w:val="none" w:sz="0" w:space="0" w:color="auto"/>
        <w:left w:val="none" w:sz="0" w:space="0" w:color="auto"/>
        <w:bottom w:val="none" w:sz="0" w:space="0" w:color="auto"/>
        <w:right w:val="none" w:sz="0" w:space="0" w:color="auto"/>
      </w:divBdr>
    </w:div>
    <w:div w:id="1615670953">
      <w:bodyDiv w:val="1"/>
      <w:marLeft w:val="0"/>
      <w:marRight w:val="0"/>
      <w:marTop w:val="0"/>
      <w:marBottom w:val="0"/>
      <w:divBdr>
        <w:top w:val="none" w:sz="0" w:space="0" w:color="auto"/>
        <w:left w:val="none" w:sz="0" w:space="0" w:color="auto"/>
        <w:bottom w:val="none" w:sz="0" w:space="0" w:color="auto"/>
        <w:right w:val="none" w:sz="0" w:space="0" w:color="auto"/>
      </w:divBdr>
    </w:div>
    <w:div w:id="1621380415">
      <w:bodyDiv w:val="1"/>
      <w:marLeft w:val="0"/>
      <w:marRight w:val="0"/>
      <w:marTop w:val="0"/>
      <w:marBottom w:val="0"/>
      <w:divBdr>
        <w:top w:val="none" w:sz="0" w:space="0" w:color="auto"/>
        <w:left w:val="none" w:sz="0" w:space="0" w:color="auto"/>
        <w:bottom w:val="none" w:sz="0" w:space="0" w:color="auto"/>
        <w:right w:val="none" w:sz="0" w:space="0" w:color="auto"/>
      </w:divBdr>
    </w:div>
    <w:div w:id="1625651268">
      <w:bodyDiv w:val="1"/>
      <w:marLeft w:val="0"/>
      <w:marRight w:val="0"/>
      <w:marTop w:val="0"/>
      <w:marBottom w:val="0"/>
      <w:divBdr>
        <w:top w:val="none" w:sz="0" w:space="0" w:color="auto"/>
        <w:left w:val="none" w:sz="0" w:space="0" w:color="auto"/>
        <w:bottom w:val="none" w:sz="0" w:space="0" w:color="auto"/>
        <w:right w:val="none" w:sz="0" w:space="0" w:color="auto"/>
      </w:divBdr>
    </w:div>
    <w:div w:id="1633290432">
      <w:bodyDiv w:val="1"/>
      <w:marLeft w:val="0"/>
      <w:marRight w:val="0"/>
      <w:marTop w:val="0"/>
      <w:marBottom w:val="0"/>
      <w:divBdr>
        <w:top w:val="none" w:sz="0" w:space="0" w:color="auto"/>
        <w:left w:val="none" w:sz="0" w:space="0" w:color="auto"/>
        <w:bottom w:val="none" w:sz="0" w:space="0" w:color="auto"/>
        <w:right w:val="none" w:sz="0" w:space="0" w:color="auto"/>
      </w:divBdr>
    </w:div>
    <w:div w:id="1635020572">
      <w:bodyDiv w:val="1"/>
      <w:marLeft w:val="0"/>
      <w:marRight w:val="0"/>
      <w:marTop w:val="0"/>
      <w:marBottom w:val="0"/>
      <w:divBdr>
        <w:top w:val="none" w:sz="0" w:space="0" w:color="auto"/>
        <w:left w:val="none" w:sz="0" w:space="0" w:color="auto"/>
        <w:bottom w:val="none" w:sz="0" w:space="0" w:color="auto"/>
        <w:right w:val="none" w:sz="0" w:space="0" w:color="auto"/>
      </w:divBdr>
    </w:div>
    <w:div w:id="1643583414">
      <w:bodyDiv w:val="1"/>
      <w:marLeft w:val="0"/>
      <w:marRight w:val="0"/>
      <w:marTop w:val="0"/>
      <w:marBottom w:val="0"/>
      <w:divBdr>
        <w:top w:val="none" w:sz="0" w:space="0" w:color="auto"/>
        <w:left w:val="none" w:sz="0" w:space="0" w:color="auto"/>
        <w:bottom w:val="none" w:sz="0" w:space="0" w:color="auto"/>
        <w:right w:val="none" w:sz="0" w:space="0" w:color="auto"/>
      </w:divBdr>
    </w:div>
    <w:div w:id="1647279468">
      <w:bodyDiv w:val="1"/>
      <w:marLeft w:val="0"/>
      <w:marRight w:val="0"/>
      <w:marTop w:val="0"/>
      <w:marBottom w:val="0"/>
      <w:divBdr>
        <w:top w:val="none" w:sz="0" w:space="0" w:color="auto"/>
        <w:left w:val="none" w:sz="0" w:space="0" w:color="auto"/>
        <w:bottom w:val="none" w:sz="0" w:space="0" w:color="auto"/>
        <w:right w:val="none" w:sz="0" w:space="0" w:color="auto"/>
      </w:divBdr>
    </w:div>
    <w:div w:id="1648364154">
      <w:bodyDiv w:val="1"/>
      <w:marLeft w:val="0"/>
      <w:marRight w:val="0"/>
      <w:marTop w:val="0"/>
      <w:marBottom w:val="0"/>
      <w:divBdr>
        <w:top w:val="none" w:sz="0" w:space="0" w:color="auto"/>
        <w:left w:val="none" w:sz="0" w:space="0" w:color="auto"/>
        <w:bottom w:val="none" w:sz="0" w:space="0" w:color="auto"/>
        <w:right w:val="none" w:sz="0" w:space="0" w:color="auto"/>
      </w:divBdr>
    </w:div>
    <w:div w:id="1652320399">
      <w:bodyDiv w:val="1"/>
      <w:marLeft w:val="0"/>
      <w:marRight w:val="0"/>
      <w:marTop w:val="0"/>
      <w:marBottom w:val="0"/>
      <w:divBdr>
        <w:top w:val="none" w:sz="0" w:space="0" w:color="auto"/>
        <w:left w:val="none" w:sz="0" w:space="0" w:color="auto"/>
        <w:bottom w:val="none" w:sz="0" w:space="0" w:color="auto"/>
        <w:right w:val="none" w:sz="0" w:space="0" w:color="auto"/>
      </w:divBdr>
    </w:div>
    <w:div w:id="1654021839">
      <w:bodyDiv w:val="1"/>
      <w:marLeft w:val="0"/>
      <w:marRight w:val="0"/>
      <w:marTop w:val="0"/>
      <w:marBottom w:val="0"/>
      <w:divBdr>
        <w:top w:val="none" w:sz="0" w:space="0" w:color="auto"/>
        <w:left w:val="none" w:sz="0" w:space="0" w:color="auto"/>
        <w:bottom w:val="none" w:sz="0" w:space="0" w:color="auto"/>
        <w:right w:val="none" w:sz="0" w:space="0" w:color="auto"/>
      </w:divBdr>
      <w:divsChild>
        <w:div w:id="1811558169">
          <w:marLeft w:val="0"/>
          <w:marRight w:val="0"/>
          <w:marTop w:val="0"/>
          <w:marBottom w:val="0"/>
          <w:divBdr>
            <w:top w:val="none" w:sz="0" w:space="0" w:color="auto"/>
            <w:left w:val="none" w:sz="0" w:space="0" w:color="auto"/>
            <w:bottom w:val="none" w:sz="0" w:space="0" w:color="auto"/>
            <w:right w:val="none" w:sz="0" w:space="0" w:color="auto"/>
          </w:divBdr>
          <w:divsChild>
            <w:div w:id="335620192">
              <w:marLeft w:val="0"/>
              <w:marRight w:val="0"/>
              <w:marTop w:val="0"/>
              <w:marBottom w:val="0"/>
              <w:divBdr>
                <w:top w:val="none" w:sz="0" w:space="0" w:color="auto"/>
                <w:left w:val="none" w:sz="0" w:space="0" w:color="auto"/>
                <w:bottom w:val="none" w:sz="0" w:space="0" w:color="auto"/>
                <w:right w:val="none" w:sz="0" w:space="0" w:color="auto"/>
              </w:divBdr>
              <w:divsChild>
                <w:div w:id="778599807">
                  <w:marLeft w:val="0"/>
                  <w:marRight w:val="0"/>
                  <w:marTop w:val="0"/>
                  <w:marBottom w:val="0"/>
                  <w:divBdr>
                    <w:top w:val="none" w:sz="0" w:space="0" w:color="auto"/>
                    <w:left w:val="none" w:sz="0" w:space="0" w:color="auto"/>
                    <w:bottom w:val="none" w:sz="0" w:space="0" w:color="auto"/>
                    <w:right w:val="none" w:sz="0" w:space="0" w:color="auto"/>
                  </w:divBdr>
                  <w:divsChild>
                    <w:div w:id="1702978865">
                      <w:marLeft w:val="167"/>
                      <w:marRight w:val="167"/>
                      <w:marTop w:val="167"/>
                      <w:marBottom w:val="167"/>
                      <w:divBdr>
                        <w:top w:val="none" w:sz="0" w:space="0" w:color="auto"/>
                        <w:left w:val="none" w:sz="0" w:space="0" w:color="auto"/>
                        <w:bottom w:val="none" w:sz="0" w:space="0" w:color="auto"/>
                        <w:right w:val="none" w:sz="0" w:space="0" w:color="auto"/>
                      </w:divBdr>
                      <w:divsChild>
                        <w:div w:id="1767187018">
                          <w:marLeft w:val="0"/>
                          <w:marRight w:val="0"/>
                          <w:marTop w:val="0"/>
                          <w:marBottom w:val="0"/>
                          <w:divBdr>
                            <w:top w:val="none" w:sz="0" w:space="0" w:color="auto"/>
                            <w:left w:val="none" w:sz="0" w:space="0" w:color="auto"/>
                            <w:bottom w:val="none" w:sz="0" w:space="0" w:color="auto"/>
                            <w:right w:val="none" w:sz="0" w:space="0" w:color="auto"/>
                          </w:divBdr>
                          <w:divsChild>
                            <w:div w:id="1995991460">
                              <w:marLeft w:val="0"/>
                              <w:marRight w:val="0"/>
                              <w:marTop w:val="0"/>
                              <w:marBottom w:val="0"/>
                              <w:divBdr>
                                <w:top w:val="none" w:sz="0" w:space="0" w:color="auto"/>
                                <w:left w:val="none" w:sz="0" w:space="0" w:color="auto"/>
                                <w:bottom w:val="none" w:sz="0" w:space="0" w:color="auto"/>
                                <w:right w:val="none" w:sz="0" w:space="0" w:color="auto"/>
                              </w:divBdr>
                              <w:divsChild>
                                <w:div w:id="707411678">
                                  <w:marLeft w:val="0"/>
                                  <w:marRight w:val="0"/>
                                  <w:marTop w:val="0"/>
                                  <w:marBottom w:val="0"/>
                                  <w:divBdr>
                                    <w:top w:val="none" w:sz="0" w:space="0" w:color="auto"/>
                                    <w:left w:val="none" w:sz="0" w:space="0" w:color="auto"/>
                                    <w:bottom w:val="none" w:sz="0" w:space="0" w:color="auto"/>
                                    <w:right w:val="none" w:sz="0" w:space="0" w:color="auto"/>
                                  </w:divBdr>
                                  <w:divsChild>
                                    <w:div w:id="31020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0773247">
                          <w:marLeft w:val="0"/>
                          <w:marRight w:val="0"/>
                          <w:marTop w:val="0"/>
                          <w:marBottom w:val="0"/>
                          <w:divBdr>
                            <w:top w:val="none" w:sz="0" w:space="0" w:color="auto"/>
                            <w:left w:val="none" w:sz="0" w:space="0" w:color="auto"/>
                            <w:bottom w:val="none" w:sz="0" w:space="0" w:color="auto"/>
                            <w:right w:val="none" w:sz="0" w:space="0" w:color="auto"/>
                          </w:divBdr>
                          <w:divsChild>
                            <w:div w:id="72823292">
                              <w:marLeft w:val="0"/>
                              <w:marRight w:val="0"/>
                              <w:marTop w:val="0"/>
                              <w:marBottom w:val="0"/>
                              <w:divBdr>
                                <w:top w:val="none" w:sz="0" w:space="0" w:color="auto"/>
                                <w:left w:val="none" w:sz="0" w:space="0" w:color="auto"/>
                                <w:bottom w:val="none" w:sz="0" w:space="0" w:color="auto"/>
                                <w:right w:val="none" w:sz="0" w:space="0" w:color="auto"/>
                              </w:divBdr>
                            </w:div>
                            <w:div w:id="326828939">
                              <w:marLeft w:val="0"/>
                              <w:marRight w:val="0"/>
                              <w:marTop w:val="0"/>
                              <w:marBottom w:val="0"/>
                              <w:divBdr>
                                <w:top w:val="none" w:sz="0" w:space="0" w:color="auto"/>
                                <w:left w:val="none" w:sz="0" w:space="0" w:color="auto"/>
                                <w:bottom w:val="none" w:sz="0" w:space="0" w:color="auto"/>
                                <w:right w:val="none" w:sz="0" w:space="0" w:color="auto"/>
                              </w:divBdr>
                              <w:divsChild>
                                <w:div w:id="1334332982">
                                  <w:marLeft w:val="0"/>
                                  <w:marRight w:val="0"/>
                                  <w:marTop w:val="0"/>
                                  <w:marBottom w:val="0"/>
                                  <w:divBdr>
                                    <w:top w:val="none" w:sz="0" w:space="0" w:color="auto"/>
                                    <w:left w:val="none" w:sz="0" w:space="0" w:color="auto"/>
                                    <w:bottom w:val="none" w:sz="0" w:space="0" w:color="auto"/>
                                    <w:right w:val="none" w:sz="0" w:space="0" w:color="auto"/>
                                  </w:divBdr>
                                </w:div>
                              </w:divsChild>
                            </w:div>
                            <w:div w:id="768893113">
                              <w:marLeft w:val="0"/>
                              <w:marRight w:val="0"/>
                              <w:marTop w:val="0"/>
                              <w:marBottom w:val="0"/>
                              <w:divBdr>
                                <w:top w:val="none" w:sz="0" w:space="0" w:color="auto"/>
                                <w:left w:val="none" w:sz="0" w:space="0" w:color="auto"/>
                                <w:bottom w:val="none" w:sz="0" w:space="0" w:color="auto"/>
                                <w:right w:val="none" w:sz="0" w:space="0" w:color="auto"/>
                              </w:divBdr>
                            </w:div>
                            <w:div w:id="106032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5375834">
      <w:bodyDiv w:val="1"/>
      <w:marLeft w:val="0"/>
      <w:marRight w:val="0"/>
      <w:marTop w:val="0"/>
      <w:marBottom w:val="0"/>
      <w:divBdr>
        <w:top w:val="none" w:sz="0" w:space="0" w:color="auto"/>
        <w:left w:val="none" w:sz="0" w:space="0" w:color="auto"/>
        <w:bottom w:val="none" w:sz="0" w:space="0" w:color="auto"/>
        <w:right w:val="none" w:sz="0" w:space="0" w:color="auto"/>
      </w:divBdr>
    </w:div>
    <w:div w:id="1658338176">
      <w:bodyDiv w:val="1"/>
      <w:marLeft w:val="0"/>
      <w:marRight w:val="0"/>
      <w:marTop w:val="0"/>
      <w:marBottom w:val="0"/>
      <w:divBdr>
        <w:top w:val="none" w:sz="0" w:space="0" w:color="auto"/>
        <w:left w:val="none" w:sz="0" w:space="0" w:color="auto"/>
        <w:bottom w:val="none" w:sz="0" w:space="0" w:color="auto"/>
        <w:right w:val="none" w:sz="0" w:space="0" w:color="auto"/>
      </w:divBdr>
    </w:div>
    <w:div w:id="1659118443">
      <w:bodyDiv w:val="1"/>
      <w:marLeft w:val="0"/>
      <w:marRight w:val="0"/>
      <w:marTop w:val="0"/>
      <w:marBottom w:val="0"/>
      <w:divBdr>
        <w:top w:val="none" w:sz="0" w:space="0" w:color="auto"/>
        <w:left w:val="none" w:sz="0" w:space="0" w:color="auto"/>
        <w:bottom w:val="none" w:sz="0" w:space="0" w:color="auto"/>
        <w:right w:val="none" w:sz="0" w:space="0" w:color="auto"/>
      </w:divBdr>
    </w:div>
    <w:div w:id="1663851629">
      <w:bodyDiv w:val="1"/>
      <w:marLeft w:val="0"/>
      <w:marRight w:val="0"/>
      <w:marTop w:val="0"/>
      <w:marBottom w:val="0"/>
      <w:divBdr>
        <w:top w:val="none" w:sz="0" w:space="0" w:color="auto"/>
        <w:left w:val="none" w:sz="0" w:space="0" w:color="auto"/>
        <w:bottom w:val="none" w:sz="0" w:space="0" w:color="auto"/>
        <w:right w:val="none" w:sz="0" w:space="0" w:color="auto"/>
      </w:divBdr>
    </w:div>
    <w:div w:id="1668165918">
      <w:bodyDiv w:val="1"/>
      <w:marLeft w:val="0"/>
      <w:marRight w:val="0"/>
      <w:marTop w:val="0"/>
      <w:marBottom w:val="0"/>
      <w:divBdr>
        <w:top w:val="none" w:sz="0" w:space="0" w:color="auto"/>
        <w:left w:val="none" w:sz="0" w:space="0" w:color="auto"/>
        <w:bottom w:val="none" w:sz="0" w:space="0" w:color="auto"/>
        <w:right w:val="none" w:sz="0" w:space="0" w:color="auto"/>
      </w:divBdr>
    </w:div>
    <w:div w:id="1670017639">
      <w:bodyDiv w:val="1"/>
      <w:marLeft w:val="0"/>
      <w:marRight w:val="0"/>
      <w:marTop w:val="0"/>
      <w:marBottom w:val="0"/>
      <w:divBdr>
        <w:top w:val="none" w:sz="0" w:space="0" w:color="auto"/>
        <w:left w:val="none" w:sz="0" w:space="0" w:color="auto"/>
        <w:bottom w:val="none" w:sz="0" w:space="0" w:color="auto"/>
        <w:right w:val="none" w:sz="0" w:space="0" w:color="auto"/>
      </w:divBdr>
    </w:div>
    <w:div w:id="1679389118">
      <w:bodyDiv w:val="1"/>
      <w:marLeft w:val="0"/>
      <w:marRight w:val="0"/>
      <w:marTop w:val="0"/>
      <w:marBottom w:val="0"/>
      <w:divBdr>
        <w:top w:val="none" w:sz="0" w:space="0" w:color="auto"/>
        <w:left w:val="none" w:sz="0" w:space="0" w:color="auto"/>
        <w:bottom w:val="none" w:sz="0" w:space="0" w:color="auto"/>
        <w:right w:val="none" w:sz="0" w:space="0" w:color="auto"/>
      </w:divBdr>
    </w:div>
    <w:div w:id="1681397037">
      <w:bodyDiv w:val="1"/>
      <w:marLeft w:val="0"/>
      <w:marRight w:val="0"/>
      <w:marTop w:val="0"/>
      <w:marBottom w:val="0"/>
      <w:divBdr>
        <w:top w:val="none" w:sz="0" w:space="0" w:color="auto"/>
        <w:left w:val="none" w:sz="0" w:space="0" w:color="auto"/>
        <w:bottom w:val="none" w:sz="0" w:space="0" w:color="auto"/>
        <w:right w:val="none" w:sz="0" w:space="0" w:color="auto"/>
      </w:divBdr>
    </w:div>
    <w:div w:id="1683436141">
      <w:bodyDiv w:val="1"/>
      <w:marLeft w:val="0"/>
      <w:marRight w:val="0"/>
      <w:marTop w:val="0"/>
      <w:marBottom w:val="0"/>
      <w:divBdr>
        <w:top w:val="none" w:sz="0" w:space="0" w:color="auto"/>
        <w:left w:val="none" w:sz="0" w:space="0" w:color="auto"/>
        <w:bottom w:val="none" w:sz="0" w:space="0" w:color="auto"/>
        <w:right w:val="none" w:sz="0" w:space="0" w:color="auto"/>
      </w:divBdr>
    </w:div>
    <w:div w:id="1691757561">
      <w:bodyDiv w:val="1"/>
      <w:marLeft w:val="0"/>
      <w:marRight w:val="0"/>
      <w:marTop w:val="0"/>
      <w:marBottom w:val="0"/>
      <w:divBdr>
        <w:top w:val="none" w:sz="0" w:space="0" w:color="auto"/>
        <w:left w:val="none" w:sz="0" w:space="0" w:color="auto"/>
        <w:bottom w:val="none" w:sz="0" w:space="0" w:color="auto"/>
        <w:right w:val="none" w:sz="0" w:space="0" w:color="auto"/>
      </w:divBdr>
    </w:div>
    <w:div w:id="1701198585">
      <w:bodyDiv w:val="1"/>
      <w:marLeft w:val="0"/>
      <w:marRight w:val="0"/>
      <w:marTop w:val="0"/>
      <w:marBottom w:val="0"/>
      <w:divBdr>
        <w:top w:val="none" w:sz="0" w:space="0" w:color="auto"/>
        <w:left w:val="none" w:sz="0" w:space="0" w:color="auto"/>
        <w:bottom w:val="none" w:sz="0" w:space="0" w:color="auto"/>
        <w:right w:val="none" w:sz="0" w:space="0" w:color="auto"/>
      </w:divBdr>
    </w:div>
    <w:div w:id="1714228836">
      <w:bodyDiv w:val="1"/>
      <w:marLeft w:val="0"/>
      <w:marRight w:val="0"/>
      <w:marTop w:val="0"/>
      <w:marBottom w:val="0"/>
      <w:divBdr>
        <w:top w:val="none" w:sz="0" w:space="0" w:color="auto"/>
        <w:left w:val="none" w:sz="0" w:space="0" w:color="auto"/>
        <w:bottom w:val="none" w:sz="0" w:space="0" w:color="auto"/>
        <w:right w:val="none" w:sz="0" w:space="0" w:color="auto"/>
      </w:divBdr>
      <w:divsChild>
        <w:div w:id="498036469">
          <w:marLeft w:val="0"/>
          <w:marRight w:val="0"/>
          <w:marTop w:val="0"/>
          <w:marBottom w:val="0"/>
          <w:divBdr>
            <w:top w:val="none" w:sz="0" w:space="0" w:color="auto"/>
            <w:left w:val="none" w:sz="0" w:space="0" w:color="auto"/>
            <w:bottom w:val="none" w:sz="0" w:space="0" w:color="auto"/>
            <w:right w:val="none" w:sz="0" w:space="0" w:color="auto"/>
          </w:divBdr>
        </w:div>
      </w:divsChild>
    </w:div>
    <w:div w:id="1718973589">
      <w:bodyDiv w:val="1"/>
      <w:marLeft w:val="0"/>
      <w:marRight w:val="0"/>
      <w:marTop w:val="0"/>
      <w:marBottom w:val="0"/>
      <w:divBdr>
        <w:top w:val="none" w:sz="0" w:space="0" w:color="auto"/>
        <w:left w:val="none" w:sz="0" w:space="0" w:color="auto"/>
        <w:bottom w:val="none" w:sz="0" w:space="0" w:color="auto"/>
        <w:right w:val="none" w:sz="0" w:space="0" w:color="auto"/>
      </w:divBdr>
    </w:div>
    <w:div w:id="1721173314">
      <w:bodyDiv w:val="1"/>
      <w:marLeft w:val="0"/>
      <w:marRight w:val="0"/>
      <w:marTop w:val="0"/>
      <w:marBottom w:val="0"/>
      <w:divBdr>
        <w:top w:val="none" w:sz="0" w:space="0" w:color="auto"/>
        <w:left w:val="none" w:sz="0" w:space="0" w:color="auto"/>
        <w:bottom w:val="none" w:sz="0" w:space="0" w:color="auto"/>
        <w:right w:val="none" w:sz="0" w:space="0" w:color="auto"/>
      </w:divBdr>
      <w:divsChild>
        <w:div w:id="1308707351">
          <w:marLeft w:val="0"/>
          <w:marRight w:val="0"/>
          <w:marTop w:val="0"/>
          <w:marBottom w:val="0"/>
          <w:divBdr>
            <w:top w:val="none" w:sz="0" w:space="0" w:color="auto"/>
            <w:left w:val="none" w:sz="0" w:space="0" w:color="auto"/>
            <w:bottom w:val="none" w:sz="0" w:space="0" w:color="auto"/>
            <w:right w:val="none" w:sz="0" w:space="0" w:color="auto"/>
          </w:divBdr>
        </w:div>
      </w:divsChild>
    </w:div>
    <w:div w:id="1724014187">
      <w:bodyDiv w:val="1"/>
      <w:marLeft w:val="0"/>
      <w:marRight w:val="0"/>
      <w:marTop w:val="0"/>
      <w:marBottom w:val="0"/>
      <w:divBdr>
        <w:top w:val="none" w:sz="0" w:space="0" w:color="auto"/>
        <w:left w:val="none" w:sz="0" w:space="0" w:color="auto"/>
        <w:bottom w:val="none" w:sz="0" w:space="0" w:color="auto"/>
        <w:right w:val="none" w:sz="0" w:space="0" w:color="auto"/>
      </w:divBdr>
    </w:div>
    <w:div w:id="1733036763">
      <w:bodyDiv w:val="1"/>
      <w:marLeft w:val="0"/>
      <w:marRight w:val="0"/>
      <w:marTop w:val="0"/>
      <w:marBottom w:val="0"/>
      <w:divBdr>
        <w:top w:val="none" w:sz="0" w:space="0" w:color="auto"/>
        <w:left w:val="none" w:sz="0" w:space="0" w:color="auto"/>
        <w:bottom w:val="none" w:sz="0" w:space="0" w:color="auto"/>
        <w:right w:val="none" w:sz="0" w:space="0" w:color="auto"/>
      </w:divBdr>
    </w:div>
    <w:div w:id="1735005852">
      <w:bodyDiv w:val="1"/>
      <w:marLeft w:val="0"/>
      <w:marRight w:val="0"/>
      <w:marTop w:val="0"/>
      <w:marBottom w:val="0"/>
      <w:divBdr>
        <w:top w:val="none" w:sz="0" w:space="0" w:color="auto"/>
        <w:left w:val="none" w:sz="0" w:space="0" w:color="auto"/>
        <w:bottom w:val="none" w:sz="0" w:space="0" w:color="auto"/>
        <w:right w:val="none" w:sz="0" w:space="0" w:color="auto"/>
      </w:divBdr>
    </w:div>
    <w:div w:id="1739397953">
      <w:bodyDiv w:val="1"/>
      <w:marLeft w:val="0"/>
      <w:marRight w:val="0"/>
      <w:marTop w:val="0"/>
      <w:marBottom w:val="0"/>
      <w:divBdr>
        <w:top w:val="none" w:sz="0" w:space="0" w:color="auto"/>
        <w:left w:val="none" w:sz="0" w:space="0" w:color="auto"/>
        <w:bottom w:val="none" w:sz="0" w:space="0" w:color="auto"/>
        <w:right w:val="none" w:sz="0" w:space="0" w:color="auto"/>
      </w:divBdr>
    </w:div>
    <w:div w:id="1742020354">
      <w:bodyDiv w:val="1"/>
      <w:marLeft w:val="0"/>
      <w:marRight w:val="0"/>
      <w:marTop w:val="0"/>
      <w:marBottom w:val="0"/>
      <w:divBdr>
        <w:top w:val="none" w:sz="0" w:space="0" w:color="auto"/>
        <w:left w:val="none" w:sz="0" w:space="0" w:color="auto"/>
        <w:bottom w:val="none" w:sz="0" w:space="0" w:color="auto"/>
        <w:right w:val="none" w:sz="0" w:space="0" w:color="auto"/>
      </w:divBdr>
    </w:div>
    <w:div w:id="1750733798">
      <w:bodyDiv w:val="1"/>
      <w:marLeft w:val="0"/>
      <w:marRight w:val="0"/>
      <w:marTop w:val="0"/>
      <w:marBottom w:val="0"/>
      <w:divBdr>
        <w:top w:val="none" w:sz="0" w:space="0" w:color="auto"/>
        <w:left w:val="none" w:sz="0" w:space="0" w:color="auto"/>
        <w:bottom w:val="none" w:sz="0" w:space="0" w:color="auto"/>
        <w:right w:val="none" w:sz="0" w:space="0" w:color="auto"/>
      </w:divBdr>
    </w:div>
    <w:div w:id="1752115957">
      <w:bodyDiv w:val="1"/>
      <w:marLeft w:val="0"/>
      <w:marRight w:val="0"/>
      <w:marTop w:val="0"/>
      <w:marBottom w:val="0"/>
      <w:divBdr>
        <w:top w:val="none" w:sz="0" w:space="0" w:color="auto"/>
        <w:left w:val="none" w:sz="0" w:space="0" w:color="auto"/>
        <w:bottom w:val="none" w:sz="0" w:space="0" w:color="auto"/>
        <w:right w:val="none" w:sz="0" w:space="0" w:color="auto"/>
      </w:divBdr>
    </w:div>
    <w:div w:id="1753551381">
      <w:bodyDiv w:val="1"/>
      <w:marLeft w:val="0"/>
      <w:marRight w:val="0"/>
      <w:marTop w:val="0"/>
      <w:marBottom w:val="0"/>
      <w:divBdr>
        <w:top w:val="none" w:sz="0" w:space="0" w:color="auto"/>
        <w:left w:val="none" w:sz="0" w:space="0" w:color="auto"/>
        <w:bottom w:val="none" w:sz="0" w:space="0" w:color="auto"/>
        <w:right w:val="none" w:sz="0" w:space="0" w:color="auto"/>
      </w:divBdr>
    </w:div>
    <w:div w:id="1753697650">
      <w:bodyDiv w:val="1"/>
      <w:marLeft w:val="0"/>
      <w:marRight w:val="0"/>
      <w:marTop w:val="0"/>
      <w:marBottom w:val="0"/>
      <w:divBdr>
        <w:top w:val="none" w:sz="0" w:space="0" w:color="auto"/>
        <w:left w:val="none" w:sz="0" w:space="0" w:color="auto"/>
        <w:bottom w:val="none" w:sz="0" w:space="0" w:color="auto"/>
        <w:right w:val="none" w:sz="0" w:space="0" w:color="auto"/>
      </w:divBdr>
      <w:divsChild>
        <w:div w:id="578560635">
          <w:marLeft w:val="0"/>
          <w:marRight w:val="0"/>
          <w:marTop w:val="0"/>
          <w:marBottom w:val="0"/>
          <w:divBdr>
            <w:top w:val="none" w:sz="0" w:space="0" w:color="auto"/>
            <w:left w:val="none" w:sz="0" w:space="0" w:color="auto"/>
            <w:bottom w:val="none" w:sz="0" w:space="0" w:color="auto"/>
            <w:right w:val="none" w:sz="0" w:space="0" w:color="auto"/>
          </w:divBdr>
        </w:div>
      </w:divsChild>
    </w:div>
    <w:div w:id="1763069621">
      <w:bodyDiv w:val="1"/>
      <w:marLeft w:val="0"/>
      <w:marRight w:val="0"/>
      <w:marTop w:val="0"/>
      <w:marBottom w:val="0"/>
      <w:divBdr>
        <w:top w:val="none" w:sz="0" w:space="0" w:color="auto"/>
        <w:left w:val="none" w:sz="0" w:space="0" w:color="auto"/>
        <w:bottom w:val="none" w:sz="0" w:space="0" w:color="auto"/>
        <w:right w:val="none" w:sz="0" w:space="0" w:color="auto"/>
      </w:divBdr>
    </w:div>
    <w:div w:id="1765567076">
      <w:bodyDiv w:val="1"/>
      <w:marLeft w:val="0"/>
      <w:marRight w:val="0"/>
      <w:marTop w:val="0"/>
      <w:marBottom w:val="0"/>
      <w:divBdr>
        <w:top w:val="none" w:sz="0" w:space="0" w:color="auto"/>
        <w:left w:val="none" w:sz="0" w:space="0" w:color="auto"/>
        <w:bottom w:val="none" w:sz="0" w:space="0" w:color="auto"/>
        <w:right w:val="none" w:sz="0" w:space="0" w:color="auto"/>
      </w:divBdr>
    </w:div>
    <w:div w:id="1767650446">
      <w:bodyDiv w:val="1"/>
      <w:marLeft w:val="0"/>
      <w:marRight w:val="0"/>
      <w:marTop w:val="0"/>
      <w:marBottom w:val="0"/>
      <w:divBdr>
        <w:top w:val="none" w:sz="0" w:space="0" w:color="auto"/>
        <w:left w:val="none" w:sz="0" w:space="0" w:color="auto"/>
        <w:bottom w:val="none" w:sz="0" w:space="0" w:color="auto"/>
        <w:right w:val="none" w:sz="0" w:space="0" w:color="auto"/>
      </w:divBdr>
      <w:divsChild>
        <w:div w:id="143930284">
          <w:marLeft w:val="0"/>
          <w:marRight w:val="0"/>
          <w:marTop w:val="0"/>
          <w:marBottom w:val="0"/>
          <w:divBdr>
            <w:top w:val="none" w:sz="0" w:space="0" w:color="auto"/>
            <w:left w:val="none" w:sz="0" w:space="0" w:color="auto"/>
            <w:bottom w:val="none" w:sz="0" w:space="0" w:color="auto"/>
            <w:right w:val="none" w:sz="0" w:space="0" w:color="auto"/>
          </w:divBdr>
        </w:div>
      </w:divsChild>
    </w:div>
    <w:div w:id="1774325353">
      <w:bodyDiv w:val="1"/>
      <w:marLeft w:val="0"/>
      <w:marRight w:val="0"/>
      <w:marTop w:val="0"/>
      <w:marBottom w:val="0"/>
      <w:divBdr>
        <w:top w:val="none" w:sz="0" w:space="0" w:color="auto"/>
        <w:left w:val="none" w:sz="0" w:space="0" w:color="auto"/>
        <w:bottom w:val="none" w:sz="0" w:space="0" w:color="auto"/>
        <w:right w:val="none" w:sz="0" w:space="0" w:color="auto"/>
      </w:divBdr>
    </w:div>
    <w:div w:id="1780023538">
      <w:bodyDiv w:val="1"/>
      <w:marLeft w:val="0"/>
      <w:marRight w:val="0"/>
      <w:marTop w:val="0"/>
      <w:marBottom w:val="0"/>
      <w:divBdr>
        <w:top w:val="none" w:sz="0" w:space="0" w:color="auto"/>
        <w:left w:val="none" w:sz="0" w:space="0" w:color="auto"/>
        <w:bottom w:val="none" w:sz="0" w:space="0" w:color="auto"/>
        <w:right w:val="none" w:sz="0" w:space="0" w:color="auto"/>
      </w:divBdr>
    </w:div>
    <w:div w:id="1780756800">
      <w:bodyDiv w:val="1"/>
      <w:marLeft w:val="0"/>
      <w:marRight w:val="0"/>
      <w:marTop w:val="0"/>
      <w:marBottom w:val="0"/>
      <w:divBdr>
        <w:top w:val="none" w:sz="0" w:space="0" w:color="auto"/>
        <w:left w:val="none" w:sz="0" w:space="0" w:color="auto"/>
        <w:bottom w:val="none" w:sz="0" w:space="0" w:color="auto"/>
        <w:right w:val="none" w:sz="0" w:space="0" w:color="auto"/>
      </w:divBdr>
    </w:div>
    <w:div w:id="1784231051">
      <w:bodyDiv w:val="1"/>
      <w:marLeft w:val="0"/>
      <w:marRight w:val="0"/>
      <w:marTop w:val="0"/>
      <w:marBottom w:val="0"/>
      <w:divBdr>
        <w:top w:val="none" w:sz="0" w:space="0" w:color="auto"/>
        <w:left w:val="none" w:sz="0" w:space="0" w:color="auto"/>
        <w:bottom w:val="none" w:sz="0" w:space="0" w:color="auto"/>
        <w:right w:val="none" w:sz="0" w:space="0" w:color="auto"/>
      </w:divBdr>
    </w:div>
    <w:div w:id="1788767083">
      <w:bodyDiv w:val="1"/>
      <w:marLeft w:val="0"/>
      <w:marRight w:val="0"/>
      <w:marTop w:val="0"/>
      <w:marBottom w:val="0"/>
      <w:divBdr>
        <w:top w:val="none" w:sz="0" w:space="0" w:color="auto"/>
        <w:left w:val="none" w:sz="0" w:space="0" w:color="auto"/>
        <w:bottom w:val="none" w:sz="0" w:space="0" w:color="auto"/>
        <w:right w:val="none" w:sz="0" w:space="0" w:color="auto"/>
      </w:divBdr>
    </w:div>
    <w:div w:id="1789859127">
      <w:bodyDiv w:val="1"/>
      <w:marLeft w:val="0"/>
      <w:marRight w:val="0"/>
      <w:marTop w:val="0"/>
      <w:marBottom w:val="0"/>
      <w:divBdr>
        <w:top w:val="none" w:sz="0" w:space="0" w:color="auto"/>
        <w:left w:val="none" w:sz="0" w:space="0" w:color="auto"/>
        <w:bottom w:val="none" w:sz="0" w:space="0" w:color="auto"/>
        <w:right w:val="none" w:sz="0" w:space="0" w:color="auto"/>
      </w:divBdr>
    </w:div>
    <w:div w:id="1791581678">
      <w:bodyDiv w:val="1"/>
      <w:marLeft w:val="0"/>
      <w:marRight w:val="0"/>
      <w:marTop w:val="0"/>
      <w:marBottom w:val="0"/>
      <w:divBdr>
        <w:top w:val="none" w:sz="0" w:space="0" w:color="auto"/>
        <w:left w:val="none" w:sz="0" w:space="0" w:color="auto"/>
        <w:bottom w:val="none" w:sz="0" w:space="0" w:color="auto"/>
        <w:right w:val="none" w:sz="0" w:space="0" w:color="auto"/>
      </w:divBdr>
    </w:div>
    <w:div w:id="1795830530">
      <w:bodyDiv w:val="1"/>
      <w:marLeft w:val="0"/>
      <w:marRight w:val="0"/>
      <w:marTop w:val="0"/>
      <w:marBottom w:val="0"/>
      <w:divBdr>
        <w:top w:val="none" w:sz="0" w:space="0" w:color="auto"/>
        <w:left w:val="none" w:sz="0" w:space="0" w:color="auto"/>
        <w:bottom w:val="none" w:sz="0" w:space="0" w:color="auto"/>
        <w:right w:val="none" w:sz="0" w:space="0" w:color="auto"/>
      </w:divBdr>
    </w:div>
    <w:div w:id="1797139348">
      <w:bodyDiv w:val="1"/>
      <w:marLeft w:val="0"/>
      <w:marRight w:val="0"/>
      <w:marTop w:val="0"/>
      <w:marBottom w:val="0"/>
      <w:divBdr>
        <w:top w:val="none" w:sz="0" w:space="0" w:color="auto"/>
        <w:left w:val="none" w:sz="0" w:space="0" w:color="auto"/>
        <w:bottom w:val="none" w:sz="0" w:space="0" w:color="auto"/>
        <w:right w:val="none" w:sz="0" w:space="0" w:color="auto"/>
      </w:divBdr>
    </w:div>
    <w:div w:id="1805854223">
      <w:bodyDiv w:val="1"/>
      <w:marLeft w:val="0"/>
      <w:marRight w:val="0"/>
      <w:marTop w:val="0"/>
      <w:marBottom w:val="0"/>
      <w:divBdr>
        <w:top w:val="none" w:sz="0" w:space="0" w:color="auto"/>
        <w:left w:val="none" w:sz="0" w:space="0" w:color="auto"/>
        <w:bottom w:val="none" w:sz="0" w:space="0" w:color="auto"/>
        <w:right w:val="none" w:sz="0" w:space="0" w:color="auto"/>
      </w:divBdr>
    </w:div>
    <w:div w:id="1808469969">
      <w:bodyDiv w:val="1"/>
      <w:marLeft w:val="0"/>
      <w:marRight w:val="0"/>
      <w:marTop w:val="0"/>
      <w:marBottom w:val="0"/>
      <w:divBdr>
        <w:top w:val="none" w:sz="0" w:space="0" w:color="auto"/>
        <w:left w:val="none" w:sz="0" w:space="0" w:color="auto"/>
        <w:bottom w:val="none" w:sz="0" w:space="0" w:color="auto"/>
        <w:right w:val="none" w:sz="0" w:space="0" w:color="auto"/>
      </w:divBdr>
    </w:div>
    <w:div w:id="1818646154">
      <w:bodyDiv w:val="1"/>
      <w:marLeft w:val="0"/>
      <w:marRight w:val="0"/>
      <w:marTop w:val="0"/>
      <w:marBottom w:val="0"/>
      <w:divBdr>
        <w:top w:val="none" w:sz="0" w:space="0" w:color="auto"/>
        <w:left w:val="none" w:sz="0" w:space="0" w:color="auto"/>
        <w:bottom w:val="none" w:sz="0" w:space="0" w:color="auto"/>
        <w:right w:val="none" w:sz="0" w:space="0" w:color="auto"/>
      </w:divBdr>
    </w:div>
    <w:div w:id="1821195143">
      <w:bodyDiv w:val="1"/>
      <w:marLeft w:val="0"/>
      <w:marRight w:val="0"/>
      <w:marTop w:val="0"/>
      <w:marBottom w:val="0"/>
      <w:divBdr>
        <w:top w:val="none" w:sz="0" w:space="0" w:color="auto"/>
        <w:left w:val="none" w:sz="0" w:space="0" w:color="auto"/>
        <w:bottom w:val="none" w:sz="0" w:space="0" w:color="auto"/>
        <w:right w:val="none" w:sz="0" w:space="0" w:color="auto"/>
      </w:divBdr>
    </w:div>
    <w:div w:id="1823036160">
      <w:bodyDiv w:val="1"/>
      <w:marLeft w:val="0"/>
      <w:marRight w:val="0"/>
      <w:marTop w:val="0"/>
      <w:marBottom w:val="0"/>
      <w:divBdr>
        <w:top w:val="none" w:sz="0" w:space="0" w:color="auto"/>
        <w:left w:val="none" w:sz="0" w:space="0" w:color="auto"/>
        <w:bottom w:val="none" w:sz="0" w:space="0" w:color="auto"/>
        <w:right w:val="none" w:sz="0" w:space="0" w:color="auto"/>
      </w:divBdr>
    </w:div>
    <w:div w:id="1834682235">
      <w:bodyDiv w:val="1"/>
      <w:marLeft w:val="0"/>
      <w:marRight w:val="0"/>
      <w:marTop w:val="0"/>
      <w:marBottom w:val="0"/>
      <w:divBdr>
        <w:top w:val="none" w:sz="0" w:space="0" w:color="auto"/>
        <w:left w:val="none" w:sz="0" w:space="0" w:color="auto"/>
        <w:bottom w:val="none" w:sz="0" w:space="0" w:color="auto"/>
        <w:right w:val="none" w:sz="0" w:space="0" w:color="auto"/>
      </w:divBdr>
    </w:div>
    <w:div w:id="1835103730">
      <w:bodyDiv w:val="1"/>
      <w:marLeft w:val="0"/>
      <w:marRight w:val="0"/>
      <w:marTop w:val="0"/>
      <w:marBottom w:val="0"/>
      <w:divBdr>
        <w:top w:val="none" w:sz="0" w:space="0" w:color="auto"/>
        <w:left w:val="none" w:sz="0" w:space="0" w:color="auto"/>
        <w:bottom w:val="none" w:sz="0" w:space="0" w:color="auto"/>
        <w:right w:val="none" w:sz="0" w:space="0" w:color="auto"/>
      </w:divBdr>
    </w:div>
    <w:div w:id="1837379214">
      <w:bodyDiv w:val="1"/>
      <w:marLeft w:val="0"/>
      <w:marRight w:val="0"/>
      <w:marTop w:val="0"/>
      <w:marBottom w:val="0"/>
      <w:divBdr>
        <w:top w:val="none" w:sz="0" w:space="0" w:color="auto"/>
        <w:left w:val="none" w:sz="0" w:space="0" w:color="auto"/>
        <w:bottom w:val="none" w:sz="0" w:space="0" w:color="auto"/>
        <w:right w:val="none" w:sz="0" w:space="0" w:color="auto"/>
      </w:divBdr>
    </w:div>
    <w:div w:id="1841845884">
      <w:bodyDiv w:val="1"/>
      <w:marLeft w:val="0"/>
      <w:marRight w:val="0"/>
      <w:marTop w:val="0"/>
      <w:marBottom w:val="0"/>
      <w:divBdr>
        <w:top w:val="none" w:sz="0" w:space="0" w:color="auto"/>
        <w:left w:val="none" w:sz="0" w:space="0" w:color="auto"/>
        <w:bottom w:val="none" w:sz="0" w:space="0" w:color="auto"/>
        <w:right w:val="none" w:sz="0" w:space="0" w:color="auto"/>
      </w:divBdr>
    </w:div>
    <w:div w:id="1842549640">
      <w:bodyDiv w:val="1"/>
      <w:marLeft w:val="0"/>
      <w:marRight w:val="0"/>
      <w:marTop w:val="0"/>
      <w:marBottom w:val="0"/>
      <w:divBdr>
        <w:top w:val="none" w:sz="0" w:space="0" w:color="auto"/>
        <w:left w:val="none" w:sz="0" w:space="0" w:color="auto"/>
        <w:bottom w:val="none" w:sz="0" w:space="0" w:color="auto"/>
        <w:right w:val="none" w:sz="0" w:space="0" w:color="auto"/>
      </w:divBdr>
    </w:div>
    <w:div w:id="1845779437">
      <w:bodyDiv w:val="1"/>
      <w:marLeft w:val="0"/>
      <w:marRight w:val="0"/>
      <w:marTop w:val="0"/>
      <w:marBottom w:val="0"/>
      <w:divBdr>
        <w:top w:val="none" w:sz="0" w:space="0" w:color="auto"/>
        <w:left w:val="none" w:sz="0" w:space="0" w:color="auto"/>
        <w:bottom w:val="none" w:sz="0" w:space="0" w:color="auto"/>
        <w:right w:val="none" w:sz="0" w:space="0" w:color="auto"/>
      </w:divBdr>
    </w:div>
    <w:div w:id="1849127683">
      <w:bodyDiv w:val="1"/>
      <w:marLeft w:val="0"/>
      <w:marRight w:val="0"/>
      <w:marTop w:val="0"/>
      <w:marBottom w:val="0"/>
      <w:divBdr>
        <w:top w:val="none" w:sz="0" w:space="0" w:color="auto"/>
        <w:left w:val="none" w:sz="0" w:space="0" w:color="auto"/>
        <w:bottom w:val="none" w:sz="0" w:space="0" w:color="auto"/>
        <w:right w:val="none" w:sz="0" w:space="0" w:color="auto"/>
      </w:divBdr>
    </w:div>
    <w:div w:id="1850409428">
      <w:bodyDiv w:val="1"/>
      <w:marLeft w:val="0"/>
      <w:marRight w:val="0"/>
      <w:marTop w:val="0"/>
      <w:marBottom w:val="0"/>
      <w:divBdr>
        <w:top w:val="none" w:sz="0" w:space="0" w:color="auto"/>
        <w:left w:val="none" w:sz="0" w:space="0" w:color="auto"/>
        <w:bottom w:val="none" w:sz="0" w:space="0" w:color="auto"/>
        <w:right w:val="none" w:sz="0" w:space="0" w:color="auto"/>
      </w:divBdr>
    </w:div>
    <w:div w:id="1850558251">
      <w:bodyDiv w:val="1"/>
      <w:marLeft w:val="0"/>
      <w:marRight w:val="0"/>
      <w:marTop w:val="0"/>
      <w:marBottom w:val="0"/>
      <w:divBdr>
        <w:top w:val="none" w:sz="0" w:space="0" w:color="auto"/>
        <w:left w:val="none" w:sz="0" w:space="0" w:color="auto"/>
        <w:bottom w:val="none" w:sz="0" w:space="0" w:color="auto"/>
        <w:right w:val="none" w:sz="0" w:space="0" w:color="auto"/>
      </w:divBdr>
    </w:div>
    <w:div w:id="1851337596">
      <w:bodyDiv w:val="1"/>
      <w:marLeft w:val="0"/>
      <w:marRight w:val="0"/>
      <w:marTop w:val="0"/>
      <w:marBottom w:val="0"/>
      <w:divBdr>
        <w:top w:val="none" w:sz="0" w:space="0" w:color="auto"/>
        <w:left w:val="none" w:sz="0" w:space="0" w:color="auto"/>
        <w:bottom w:val="none" w:sz="0" w:space="0" w:color="auto"/>
        <w:right w:val="none" w:sz="0" w:space="0" w:color="auto"/>
      </w:divBdr>
    </w:div>
    <w:div w:id="1853375119">
      <w:bodyDiv w:val="1"/>
      <w:marLeft w:val="0"/>
      <w:marRight w:val="0"/>
      <w:marTop w:val="0"/>
      <w:marBottom w:val="0"/>
      <w:divBdr>
        <w:top w:val="none" w:sz="0" w:space="0" w:color="auto"/>
        <w:left w:val="none" w:sz="0" w:space="0" w:color="auto"/>
        <w:bottom w:val="none" w:sz="0" w:space="0" w:color="auto"/>
        <w:right w:val="none" w:sz="0" w:space="0" w:color="auto"/>
      </w:divBdr>
    </w:div>
    <w:div w:id="1856773000">
      <w:bodyDiv w:val="1"/>
      <w:marLeft w:val="0"/>
      <w:marRight w:val="0"/>
      <w:marTop w:val="0"/>
      <w:marBottom w:val="0"/>
      <w:divBdr>
        <w:top w:val="none" w:sz="0" w:space="0" w:color="auto"/>
        <w:left w:val="none" w:sz="0" w:space="0" w:color="auto"/>
        <w:bottom w:val="none" w:sz="0" w:space="0" w:color="auto"/>
        <w:right w:val="none" w:sz="0" w:space="0" w:color="auto"/>
      </w:divBdr>
    </w:div>
    <w:div w:id="1857305633">
      <w:bodyDiv w:val="1"/>
      <w:marLeft w:val="0"/>
      <w:marRight w:val="0"/>
      <w:marTop w:val="0"/>
      <w:marBottom w:val="0"/>
      <w:divBdr>
        <w:top w:val="none" w:sz="0" w:space="0" w:color="auto"/>
        <w:left w:val="none" w:sz="0" w:space="0" w:color="auto"/>
        <w:bottom w:val="none" w:sz="0" w:space="0" w:color="auto"/>
        <w:right w:val="none" w:sz="0" w:space="0" w:color="auto"/>
      </w:divBdr>
    </w:div>
    <w:div w:id="1860199523">
      <w:bodyDiv w:val="1"/>
      <w:marLeft w:val="0"/>
      <w:marRight w:val="0"/>
      <w:marTop w:val="0"/>
      <w:marBottom w:val="0"/>
      <w:divBdr>
        <w:top w:val="none" w:sz="0" w:space="0" w:color="auto"/>
        <w:left w:val="none" w:sz="0" w:space="0" w:color="auto"/>
        <w:bottom w:val="none" w:sz="0" w:space="0" w:color="auto"/>
        <w:right w:val="none" w:sz="0" w:space="0" w:color="auto"/>
      </w:divBdr>
    </w:div>
    <w:div w:id="1861550519">
      <w:bodyDiv w:val="1"/>
      <w:marLeft w:val="0"/>
      <w:marRight w:val="0"/>
      <w:marTop w:val="0"/>
      <w:marBottom w:val="0"/>
      <w:divBdr>
        <w:top w:val="none" w:sz="0" w:space="0" w:color="auto"/>
        <w:left w:val="none" w:sz="0" w:space="0" w:color="auto"/>
        <w:bottom w:val="none" w:sz="0" w:space="0" w:color="auto"/>
        <w:right w:val="none" w:sz="0" w:space="0" w:color="auto"/>
      </w:divBdr>
    </w:div>
    <w:div w:id="1868367729">
      <w:bodyDiv w:val="1"/>
      <w:marLeft w:val="0"/>
      <w:marRight w:val="0"/>
      <w:marTop w:val="0"/>
      <w:marBottom w:val="0"/>
      <w:divBdr>
        <w:top w:val="none" w:sz="0" w:space="0" w:color="auto"/>
        <w:left w:val="none" w:sz="0" w:space="0" w:color="auto"/>
        <w:bottom w:val="none" w:sz="0" w:space="0" w:color="auto"/>
        <w:right w:val="none" w:sz="0" w:space="0" w:color="auto"/>
      </w:divBdr>
    </w:div>
    <w:div w:id="1869634016">
      <w:bodyDiv w:val="1"/>
      <w:marLeft w:val="0"/>
      <w:marRight w:val="0"/>
      <w:marTop w:val="0"/>
      <w:marBottom w:val="0"/>
      <w:divBdr>
        <w:top w:val="none" w:sz="0" w:space="0" w:color="auto"/>
        <w:left w:val="none" w:sz="0" w:space="0" w:color="auto"/>
        <w:bottom w:val="none" w:sz="0" w:space="0" w:color="auto"/>
        <w:right w:val="none" w:sz="0" w:space="0" w:color="auto"/>
      </w:divBdr>
    </w:div>
    <w:div w:id="1871718744">
      <w:bodyDiv w:val="1"/>
      <w:marLeft w:val="0"/>
      <w:marRight w:val="0"/>
      <w:marTop w:val="0"/>
      <w:marBottom w:val="0"/>
      <w:divBdr>
        <w:top w:val="none" w:sz="0" w:space="0" w:color="auto"/>
        <w:left w:val="none" w:sz="0" w:space="0" w:color="auto"/>
        <w:bottom w:val="none" w:sz="0" w:space="0" w:color="auto"/>
        <w:right w:val="none" w:sz="0" w:space="0" w:color="auto"/>
      </w:divBdr>
      <w:divsChild>
        <w:div w:id="1453555036">
          <w:marLeft w:val="0"/>
          <w:marRight w:val="0"/>
          <w:marTop w:val="0"/>
          <w:marBottom w:val="0"/>
          <w:divBdr>
            <w:top w:val="none" w:sz="0" w:space="0" w:color="auto"/>
            <w:left w:val="none" w:sz="0" w:space="0" w:color="auto"/>
            <w:bottom w:val="none" w:sz="0" w:space="0" w:color="auto"/>
            <w:right w:val="none" w:sz="0" w:space="0" w:color="auto"/>
          </w:divBdr>
          <w:divsChild>
            <w:div w:id="1313218795">
              <w:marLeft w:val="0"/>
              <w:marRight w:val="0"/>
              <w:marTop w:val="0"/>
              <w:marBottom w:val="0"/>
              <w:divBdr>
                <w:top w:val="none" w:sz="0" w:space="0" w:color="auto"/>
                <w:left w:val="none" w:sz="0" w:space="0" w:color="auto"/>
                <w:bottom w:val="none" w:sz="0" w:space="0" w:color="auto"/>
                <w:right w:val="none" w:sz="0" w:space="0" w:color="auto"/>
              </w:divBdr>
              <w:divsChild>
                <w:div w:id="1937245056">
                  <w:marLeft w:val="0"/>
                  <w:marRight w:val="0"/>
                  <w:marTop w:val="0"/>
                  <w:marBottom w:val="0"/>
                  <w:divBdr>
                    <w:top w:val="none" w:sz="0" w:space="0" w:color="auto"/>
                    <w:left w:val="none" w:sz="0" w:space="0" w:color="auto"/>
                    <w:bottom w:val="none" w:sz="0" w:space="0" w:color="auto"/>
                    <w:right w:val="none" w:sz="0" w:space="0" w:color="auto"/>
                  </w:divBdr>
                  <w:divsChild>
                    <w:div w:id="1004632392">
                      <w:marLeft w:val="0"/>
                      <w:marRight w:val="0"/>
                      <w:marTop w:val="0"/>
                      <w:marBottom w:val="0"/>
                      <w:divBdr>
                        <w:top w:val="none" w:sz="0" w:space="0" w:color="auto"/>
                        <w:left w:val="none" w:sz="0" w:space="0" w:color="auto"/>
                        <w:bottom w:val="none" w:sz="0" w:space="0" w:color="auto"/>
                        <w:right w:val="none" w:sz="0" w:space="0" w:color="auto"/>
                      </w:divBdr>
                      <w:divsChild>
                        <w:div w:id="1871412948">
                          <w:marLeft w:val="0"/>
                          <w:marRight w:val="0"/>
                          <w:marTop w:val="0"/>
                          <w:marBottom w:val="0"/>
                          <w:divBdr>
                            <w:top w:val="none" w:sz="0" w:space="0" w:color="auto"/>
                            <w:left w:val="none" w:sz="0" w:space="0" w:color="auto"/>
                            <w:bottom w:val="none" w:sz="0" w:space="0" w:color="auto"/>
                            <w:right w:val="none" w:sz="0" w:space="0" w:color="auto"/>
                          </w:divBdr>
                          <w:divsChild>
                            <w:div w:id="15168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774161">
      <w:bodyDiv w:val="1"/>
      <w:marLeft w:val="0"/>
      <w:marRight w:val="0"/>
      <w:marTop w:val="0"/>
      <w:marBottom w:val="0"/>
      <w:divBdr>
        <w:top w:val="none" w:sz="0" w:space="0" w:color="auto"/>
        <w:left w:val="none" w:sz="0" w:space="0" w:color="auto"/>
        <w:bottom w:val="none" w:sz="0" w:space="0" w:color="auto"/>
        <w:right w:val="none" w:sz="0" w:space="0" w:color="auto"/>
      </w:divBdr>
    </w:div>
    <w:div w:id="1877623093">
      <w:bodyDiv w:val="1"/>
      <w:marLeft w:val="0"/>
      <w:marRight w:val="0"/>
      <w:marTop w:val="0"/>
      <w:marBottom w:val="0"/>
      <w:divBdr>
        <w:top w:val="none" w:sz="0" w:space="0" w:color="auto"/>
        <w:left w:val="none" w:sz="0" w:space="0" w:color="auto"/>
        <w:bottom w:val="none" w:sz="0" w:space="0" w:color="auto"/>
        <w:right w:val="none" w:sz="0" w:space="0" w:color="auto"/>
      </w:divBdr>
    </w:div>
    <w:div w:id="1879464798">
      <w:bodyDiv w:val="1"/>
      <w:marLeft w:val="0"/>
      <w:marRight w:val="0"/>
      <w:marTop w:val="0"/>
      <w:marBottom w:val="0"/>
      <w:divBdr>
        <w:top w:val="none" w:sz="0" w:space="0" w:color="auto"/>
        <w:left w:val="none" w:sz="0" w:space="0" w:color="auto"/>
        <w:bottom w:val="none" w:sz="0" w:space="0" w:color="auto"/>
        <w:right w:val="none" w:sz="0" w:space="0" w:color="auto"/>
      </w:divBdr>
    </w:div>
    <w:div w:id="1887134933">
      <w:bodyDiv w:val="1"/>
      <w:marLeft w:val="0"/>
      <w:marRight w:val="0"/>
      <w:marTop w:val="0"/>
      <w:marBottom w:val="0"/>
      <w:divBdr>
        <w:top w:val="none" w:sz="0" w:space="0" w:color="auto"/>
        <w:left w:val="none" w:sz="0" w:space="0" w:color="auto"/>
        <w:bottom w:val="none" w:sz="0" w:space="0" w:color="auto"/>
        <w:right w:val="none" w:sz="0" w:space="0" w:color="auto"/>
      </w:divBdr>
    </w:div>
    <w:div w:id="1887449536">
      <w:bodyDiv w:val="1"/>
      <w:marLeft w:val="0"/>
      <w:marRight w:val="0"/>
      <w:marTop w:val="0"/>
      <w:marBottom w:val="0"/>
      <w:divBdr>
        <w:top w:val="none" w:sz="0" w:space="0" w:color="auto"/>
        <w:left w:val="none" w:sz="0" w:space="0" w:color="auto"/>
        <w:bottom w:val="none" w:sz="0" w:space="0" w:color="auto"/>
        <w:right w:val="none" w:sz="0" w:space="0" w:color="auto"/>
      </w:divBdr>
    </w:div>
    <w:div w:id="1898013245">
      <w:bodyDiv w:val="1"/>
      <w:marLeft w:val="0"/>
      <w:marRight w:val="0"/>
      <w:marTop w:val="0"/>
      <w:marBottom w:val="0"/>
      <w:divBdr>
        <w:top w:val="none" w:sz="0" w:space="0" w:color="auto"/>
        <w:left w:val="none" w:sz="0" w:space="0" w:color="auto"/>
        <w:bottom w:val="none" w:sz="0" w:space="0" w:color="auto"/>
        <w:right w:val="none" w:sz="0" w:space="0" w:color="auto"/>
      </w:divBdr>
    </w:div>
    <w:div w:id="1918976759">
      <w:bodyDiv w:val="1"/>
      <w:marLeft w:val="0"/>
      <w:marRight w:val="0"/>
      <w:marTop w:val="0"/>
      <w:marBottom w:val="0"/>
      <w:divBdr>
        <w:top w:val="none" w:sz="0" w:space="0" w:color="auto"/>
        <w:left w:val="none" w:sz="0" w:space="0" w:color="auto"/>
        <w:bottom w:val="none" w:sz="0" w:space="0" w:color="auto"/>
        <w:right w:val="none" w:sz="0" w:space="0" w:color="auto"/>
      </w:divBdr>
    </w:div>
    <w:div w:id="1919826006">
      <w:bodyDiv w:val="1"/>
      <w:marLeft w:val="0"/>
      <w:marRight w:val="0"/>
      <w:marTop w:val="0"/>
      <w:marBottom w:val="0"/>
      <w:divBdr>
        <w:top w:val="none" w:sz="0" w:space="0" w:color="auto"/>
        <w:left w:val="none" w:sz="0" w:space="0" w:color="auto"/>
        <w:bottom w:val="none" w:sz="0" w:space="0" w:color="auto"/>
        <w:right w:val="none" w:sz="0" w:space="0" w:color="auto"/>
      </w:divBdr>
    </w:div>
    <w:div w:id="1922374873">
      <w:bodyDiv w:val="1"/>
      <w:marLeft w:val="0"/>
      <w:marRight w:val="0"/>
      <w:marTop w:val="0"/>
      <w:marBottom w:val="0"/>
      <w:divBdr>
        <w:top w:val="none" w:sz="0" w:space="0" w:color="auto"/>
        <w:left w:val="none" w:sz="0" w:space="0" w:color="auto"/>
        <w:bottom w:val="none" w:sz="0" w:space="0" w:color="auto"/>
        <w:right w:val="none" w:sz="0" w:space="0" w:color="auto"/>
      </w:divBdr>
    </w:div>
    <w:div w:id="1923639712">
      <w:bodyDiv w:val="1"/>
      <w:marLeft w:val="0"/>
      <w:marRight w:val="0"/>
      <w:marTop w:val="0"/>
      <w:marBottom w:val="0"/>
      <w:divBdr>
        <w:top w:val="none" w:sz="0" w:space="0" w:color="auto"/>
        <w:left w:val="none" w:sz="0" w:space="0" w:color="auto"/>
        <w:bottom w:val="none" w:sz="0" w:space="0" w:color="auto"/>
        <w:right w:val="none" w:sz="0" w:space="0" w:color="auto"/>
      </w:divBdr>
    </w:div>
    <w:div w:id="1924993519">
      <w:bodyDiv w:val="1"/>
      <w:marLeft w:val="0"/>
      <w:marRight w:val="0"/>
      <w:marTop w:val="0"/>
      <w:marBottom w:val="0"/>
      <w:divBdr>
        <w:top w:val="none" w:sz="0" w:space="0" w:color="auto"/>
        <w:left w:val="none" w:sz="0" w:space="0" w:color="auto"/>
        <w:bottom w:val="none" w:sz="0" w:space="0" w:color="auto"/>
        <w:right w:val="none" w:sz="0" w:space="0" w:color="auto"/>
      </w:divBdr>
    </w:div>
    <w:div w:id="1925800072">
      <w:bodyDiv w:val="1"/>
      <w:marLeft w:val="0"/>
      <w:marRight w:val="0"/>
      <w:marTop w:val="0"/>
      <w:marBottom w:val="0"/>
      <w:divBdr>
        <w:top w:val="none" w:sz="0" w:space="0" w:color="auto"/>
        <w:left w:val="none" w:sz="0" w:space="0" w:color="auto"/>
        <w:bottom w:val="none" w:sz="0" w:space="0" w:color="auto"/>
        <w:right w:val="none" w:sz="0" w:space="0" w:color="auto"/>
      </w:divBdr>
      <w:divsChild>
        <w:div w:id="47775983">
          <w:marLeft w:val="0"/>
          <w:marRight w:val="0"/>
          <w:marTop w:val="0"/>
          <w:marBottom w:val="0"/>
          <w:divBdr>
            <w:top w:val="none" w:sz="0" w:space="0" w:color="auto"/>
            <w:left w:val="none" w:sz="0" w:space="0" w:color="auto"/>
            <w:bottom w:val="none" w:sz="0" w:space="0" w:color="auto"/>
            <w:right w:val="none" w:sz="0" w:space="0" w:color="auto"/>
          </w:divBdr>
        </w:div>
        <w:div w:id="53936628">
          <w:marLeft w:val="0"/>
          <w:marRight w:val="0"/>
          <w:marTop w:val="0"/>
          <w:marBottom w:val="0"/>
          <w:divBdr>
            <w:top w:val="none" w:sz="0" w:space="0" w:color="auto"/>
            <w:left w:val="none" w:sz="0" w:space="0" w:color="auto"/>
            <w:bottom w:val="none" w:sz="0" w:space="0" w:color="auto"/>
            <w:right w:val="none" w:sz="0" w:space="0" w:color="auto"/>
          </w:divBdr>
        </w:div>
        <w:div w:id="60909492">
          <w:marLeft w:val="0"/>
          <w:marRight w:val="0"/>
          <w:marTop w:val="0"/>
          <w:marBottom w:val="0"/>
          <w:divBdr>
            <w:top w:val="none" w:sz="0" w:space="0" w:color="auto"/>
            <w:left w:val="none" w:sz="0" w:space="0" w:color="auto"/>
            <w:bottom w:val="none" w:sz="0" w:space="0" w:color="auto"/>
            <w:right w:val="none" w:sz="0" w:space="0" w:color="auto"/>
          </w:divBdr>
        </w:div>
        <w:div w:id="80101762">
          <w:marLeft w:val="0"/>
          <w:marRight w:val="0"/>
          <w:marTop w:val="0"/>
          <w:marBottom w:val="0"/>
          <w:divBdr>
            <w:top w:val="none" w:sz="0" w:space="0" w:color="auto"/>
            <w:left w:val="none" w:sz="0" w:space="0" w:color="auto"/>
            <w:bottom w:val="none" w:sz="0" w:space="0" w:color="auto"/>
            <w:right w:val="none" w:sz="0" w:space="0" w:color="auto"/>
          </w:divBdr>
        </w:div>
        <w:div w:id="113064547">
          <w:marLeft w:val="0"/>
          <w:marRight w:val="0"/>
          <w:marTop w:val="0"/>
          <w:marBottom w:val="0"/>
          <w:divBdr>
            <w:top w:val="none" w:sz="0" w:space="0" w:color="auto"/>
            <w:left w:val="none" w:sz="0" w:space="0" w:color="auto"/>
            <w:bottom w:val="none" w:sz="0" w:space="0" w:color="auto"/>
            <w:right w:val="none" w:sz="0" w:space="0" w:color="auto"/>
          </w:divBdr>
        </w:div>
        <w:div w:id="178282509">
          <w:marLeft w:val="0"/>
          <w:marRight w:val="0"/>
          <w:marTop w:val="0"/>
          <w:marBottom w:val="0"/>
          <w:divBdr>
            <w:top w:val="none" w:sz="0" w:space="0" w:color="auto"/>
            <w:left w:val="none" w:sz="0" w:space="0" w:color="auto"/>
            <w:bottom w:val="none" w:sz="0" w:space="0" w:color="auto"/>
            <w:right w:val="none" w:sz="0" w:space="0" w:color="auto"/>
          </w:divBdr>
        </w:div>
        <w:div w:id="187723062">
          <w:marLeft w:val="0"/>
          <w:marRight w:val="0"/>
          <w:marTop w:val="0"/>
          <w:marBottom w:val="0"/>
          <w:divBdr>
            <w:top w:val="none" w:sz="0" w:space="0" w:color="auto"/>
            <w:left w:val="none" w:sz="0" w:space="0" w:color="auto"/>
            <w:bottom w:val="none" w:sz="0" w:space="0" w:color="auto"/>
            <w:right w:val="none" w:sz="0" w:space="0" w:color="auto"/>
          </w:divBdr>
        </w:div>
        <w:div w:id="188495082">
          <w:marLeft w:val="0"/>
          <w:marRight w:val="0"/>
          <w:marTop w:val="0"/>
          <w:marBottom w:val="0"/>
          <w:divBdr>
            <w:top w:val="none" w:sz="0" w:space="0" w:color="auto"/>
            <w:left w:val="none" w:sz="0" w:space="0" w:color="auto"/>
            <w:bottom w:val="none" w:sz="0" w:space="0" w:color="auto"/>
            <w:right w:val="none" w:sz="0" w:space="0" w:color="auto"/>
          </w:divBdr>
        </w:div>
        <w:div w:id="200671523">
          <w:marLeft w:val="0"/>
          <w:marRight w:val="0"/>
          <w:marTop w:val="0"/>
          <w:marBottom w:val="0"/>
          <w:divBdr>
            <w:top w:val="none" w:sz="0" w:space="0" w:color="auto"/>
            <w:left w:val="none" w:sz="0" w:space="0" w:color="auto"/>
            <w:bottom w:val="none" w:sz="0" w:space="0" w:color="auto"/>
            <w:right w:val="none" w:sz="0" w:space="0" w:color="auto"/>
          </w:divBdr>
        </w:div>
        <w:div w:id="211432101">
          <w:marLeft w:val="0"/>
          <w:marRight w:val="0"/>
          <w:marTop w:val="0"/>
          <w:marBottom w:val="0"/>
          <w:divBdr>
            <w:top w:val="none" w:sz="0" w:space="0" w:color="auto"/>
            <w:left w:val="none" w:sz="0" w:space="0" w:color="auto"/>
            <w:bottom w:val="none" w:sz="0" w:space="0" w:color="auto"/>
            <w:right w:val="none" w:sz="0" w:space="0" w:color="auto"/>
          </w:divBdr>
        </w:div>
        <w:div w:id="222910648">
          <w:marLeft w:val="0"/>
          <w:marRight w:val="0"/>
          <w:marTop w:val="0"/>
          <w:marBottom w:val="0"/>
          <w:divBdr>
            <w:top w:val="none" w:sz="0" w:space="0" w:color="auto"/>
            <w:left w:val="none" w:sz="0" w:space="0" w:color="auto"/>
            <w:bottom w:val="none" w:sz="0" w:space="0" w:color="auto"/>
            <w:right w:val="none" w:sz="0" w:space="0" w:color="auto"/>
          </w:divBdr>
        </w:div>
        <w:div w:id="239487588">
          <w:marLeft w:val="0"/>
          <w:marRight w:val="0"/>
          <w:marTop w:val="0"/>
          <w:marBottom w:val="0"/>
          <w:divBdr>
            <w:top w:val="none" w:sz="0" w:space="0" w:color="auto"/>
            <w:left w:val="none" w:sz="0" w:space="0" w:color="auto"/>
            <w:bottom w:val="none" w:sz="0" w:space="0" w:color="auto"/>
            <w:right w:val="none" w:sz="0" w:space="0" w:color="auto"/>
          </w:divBdr>
        </w:div>
        <w:div w:id="278076026">
          <w:marLeft w:val="0"/>
          <w:marRight w:val="0"/>
          <w:marTop w:val="0"/>
          <w:marBottom w:val="0"/>
          <w:divBdr>
            <w:top w:val="none" w:sz="0" w:space="0" w:color="auto"/>
            <w:left w:val="none" w:sz="0" w:space="0" w:color="auto"/>
            <w:bottom w:val="none" w:sz="0" w:space="0" w:color="auto"/>
            <w:right w:val="none" w:sz="0" w:space="0" w:color="auto"/>
          </w:divBdr>
        </w:div>
        <w:div w:id="278296922">
          <w:marLeft w:val="0"/>
          <w:marRight w:val="0"/>
          <w:marTop w:val="0"/>
          <w:marBottom w:val="0"/>
          <w:divBdr>
            <w:top w:val="none" w:sz="0" w:space="0" w:color="auto"/>
            <w:left w:val="none" w:sz="0" w:space="0" w:color="auto"/>
            <w:bottom w:val="none" w:sz="0" w:space="0" w:color="auto"/>
            <w:right w:val="none" w:sz="0" w:space="0" w:color="auto"/>
          </w:divBdr>
        </w:div>
        <w:div w:id="319582605">
          <w:marLeft w:val="0"/>
          <w:marRight w:val="0"/>
          <w:marTop w:val="0"/>
          <w:marBottom w:val="0"/>
          <w:divBdr>
            <w:top w:val="none" w:sz="0" w:space="0" w:color="auto"/>
            <w:left w:val="none" w:sz="0" w:space="0" w:color="auto"/>
            <w:bottom w:val="none" w:sz="0" w:space="0" w:color="auto"/>
            <w:right w:val="none" w:sz="0" w:space="0" w:color="auto"/>
          </w:divBdr>
        </w:div>
        <w:div w:id="329530334">
          <w:marLeft w:val="0"/>
          <w:marRight w:val="0"/>
          <w:marTop w:val="0"/>
          <w:marBottom w:val="0"/>
          <w:divBdr>
            <w:top w:val="none" w:sz="0" w:space="0" w:color="auto"/>
            <w:left w:val="none" w:sz="0" w:space="0" w:color="auto"/>
            <w:bottom w:val="none" w:sz="0" w:space="0" w:color="auto"/>
            <w:right w:val="none" w:sz="0" w:space="0" w:color="auto"/>
          </w:divBdr>
        </w:div>
        <w:div w:id="331184983">
          <w:marLeft w:val="0"/>
          <w:marRight w:val="0"/>
          <w:marTop w:val="0"/>
          <w:marBottom w:val="0"/>
          <w:divBdr>
            <w:top w:val="none" w:sz="0" w:space="0" w:color="auto"/>
            <w:left w:val="none" w:sz="0" w:space="0" w:color="auto"/>
            <w:bottom w:val="none" w:sz="0" w:space="0" w:color="auto"/>
            <w:right w:val="none" w:sz="0" w:space="0" w:color="auto"/>
          </w:divBdr>
        </w:div>
        <w:div w:id="333462601">
          <w:marLeft w:val="0"/>
          <w:marRight w:val="0"/>
          <w:marTop w:val="0"/>
          <w:marBottom w:val="0"/>
          <w:divBdr>
            <w:top w:val="none" w:sz="0" w:space="0" w:color="auto"/>
            <w:left w:val="none" w:sz="0" w:space="0" w:color="auto"/>
            <w:bottom w:val="none" w:sz="0" w:space="0" w:color="auto"/>
            <w:right w:val="none" w:sz="0" w:space="0" w:color="auto"/>
          </w:divBdr>
        </w:div>
        <w:div w:id="396586695">
          <w:marLeft w:val="0"/>
          <w:marRight w:val="0"/>
          <w:marTop w:val="0"/>
          <w:marBottom w:val="0"/>
          <w:divBdr>
            <w:top w:val="none" w:sz="0" w:space="0" w:color="auto"/>
            <w:left w:val="none" w:sz="0" w:space="0" w:color="auto"/>
            <w:bottom w:val="none" w:sz="0" w:space="0" w:color="auto"/>
            <w:right w:val="none" w:sz="0" w:space="0" w:color="auto"/>
          </w:divBdr>
        </w:div>
        <w:div w:id="418216320">
          <w:marLeft w:val="0"/>
          <w:marRight w:val="0"/>
          <w:marTop w:val="0"/>
          <w:marBottom w:val="0"/>
          <w:divBdr>
            <w:top w:val="none" w:sz="0" w:space="0" w:color="auto"/>
            <w:left w:val="none" w:sz="0" w:space="0" w:color="auto"/>
            <w:bottom w:val="none" w:sz="0" w:space="0" w:color="auto"/>
            <w:right w:val="none" w:sz="0" w:space="0" w:color="auto"/>
          </w:divBdr>
          <w:divsChild>
            <w:div w:id="1946839208">
              <w:marLeft w:val="-75"/>
              <w:marRight w:val="0"/>
              <w:marTop w:val="30"/>
              <w:marBottom w:val="30"/>
              <w:divBdr>
                <w:top w:val="none" w:sz="0" w:space="0" w:color="auto"/>
                <w:left w:val="none" w:sz="0" w:space="0" w:color="auto"/>
                <w:bottom w:val="none" w:sz="0" w:space="0" w:color="auto"/>
                <w:right w:val="none" w:sz="0" w:space="0" w:color="auto"/>
              </w:divBdr>
              <w:divsChild>
                <w:div w:id="69935670">
                  <w:marLeft w:val="0"/>
                  <w:marRight w:val="0"/>
                  <w:marTop w:val="0"/>
                  <w:marBottom w:val="0"/>
                  <w:divBdr>
                    <w:top w:val="none" w:sz="0" w:space="0" w:color="auto"/>
                    <w:left w:val="none" w:sz="0" w:space="0" w:color="auto"/>
                    <w:bottom w:val="none" w:sz="0" w:space="0" w:color="auto"/>
                    <w:right w:val="none" w:sz="0" w:space="0" w:color="auto"/>
                  </w:divBdr>
                  <w:divsChild>
                    <w:div w:id="522208821">
                      <w:marLeft w:val="0"/>
                      <w:marRight w:val="0"/>
                      <w:marTop w:val="0"/>
                      <w:marBottom w:val="0"/>
                      <w:divBdr>
                        <w:top w:val="none" w:sz="0" w:space="0" w:color="auto"/>
                        <w:left w:val="none" w:sz="0" w:space="0" w:color="auto"/>
                        <w:bottom w:val="none" w:sz="0" w:space="0" w:color="auto"/>
                        <w:right w:val="none" w:sz="0" w:space="0" w:color="auto"/>
                      </w:divBdr>
                    </w:div>
                  </w:divsChild>
                </w:div>
                <w:div w:id="71634229">
                  <w:marLeft w:val="0"/>
                  <w:marRight w:val="0"/>
                  <w:marTop w:val="0"/>
                  <w:marBottom w:val="0"/>
                  <w:divBdr>
                    <w:top w:val="none" w:sz="0" w:space="0" w:color="auto"/>
                    <w:left w:val="none" w:sz="0" w:space="0" w:color="auto"/>
                    <w:bottom w:val="none" w:sz="0" w:space="0" w:color="auto"/>
                    <w:right w:val="none" w:sz="0" w:space="0" w:color="auto"/>
                  </w:divBdr>
                  <w:divsChild>
                    <w:div w:id="2016181127">
                      <w:marLeft w:val="0"/>
                      <w:marRight w:val="0"/>
                      <w:marTop w:val="0"/>
                      <w:marBottom w:val="0"/>
                      <w:divBdr>
                        <w:top w:val="none" w:sz="0" w:space="0" w:color="auto"/>
                        <w:left w:val="none" w:sz="0" w:space="0" w:color="auto"/>
                        <w:bottom w:val="none" w:sz="0" w:space="0" w:color="auto"/>
                        <w:right w:val="none" w:sz="0" w:space="0" w:color="auto"/>
                      </w:divBdr>
                    </w:div>
                  </w:divsChild>
                </w:div>
                <w:div w:id="173543393">
                  <w:marLeft w:val="0"/>
                  <w:marRight w:val="0"/>
                  <w:marTop w:val="0"/>
                  <w:marBottom w:val="0"/>
                  <w:divBdr>
                    <w:top w:val="none" w:sz="0" w:space="0" w:color="auto"/>
                    <w:left w:val="none" w:sz="0" w:space="0" w:color="auto"/>
                    <w:bottom w:val="none" w:sz="0" w:space="0" w:color="auto"/>
                    <w:right w:val="none" w:sz="0" w:space="0" w:color="auto"/>
                  </w:divBdr>
                  <w:divsChild>
                    <w:div w:id="1658262987">
                      <w:marLeft w:val="0"/>
                      <w:marRight w:val="0"/>
                      <w:marTop w:val="0"/>
                      <w:marBottom w:val="0"/>
                      <w:divBdr>
                        <w:top w:val="none" w:sz="0" w:space="0" w:color="auto"/>
                        <w:left w:val="none" w:sz="0" w:space="0" w:color="auto"/>
                        <w:bottom w:val="none" w:sz="0" w:space="0" w:color="auto"/>
                        <w:right w:val="none" w:sz="0" w:space="0" w:color="auto"/>
                      </w:divBdr>
                    </w:div>
                  </w:divsChild>
                </w:div>
                <w:div w:id="322585100">
                  <w:marLeft w:val="0"/>
                  <w:marRight w:val="0"/>
                  <w:marTop w:val="0"/>
                  <w:marBottom w:val="0"/>
                  <w:divBdr>
                    <w:top w:val="none" w:sz="0" w:space="0" w:color="auto"/>
                    <w:left w:val="none" w:sz="0" w:space="0" w:color="auto"/>
                    <w:bottom w:val="none" w:sz="0" w:space="0" w:color="auto"/>
                    <w:right w:val="none" w:sz="0" w:space="0" w:color="auto"/>
                  </w:divBdr>
                  <w:divsChild>
                    <w:div w:id="1814446959">
                      <w:marLeft w:val="0"/>
                      <w:marRight w:val="0"/>
                      <w:marTop w:val="0"/>
                      <w:marBottom w:val="0"/>
                      <w:divBdr>
                        <w:top w:val="none" w:sz="0" w:space="0" w:color="auto"/>
                        <w:left w:val="none" w:sz="0" w:space="0" w:color="auto"/>
                        <w:bottom w:val="none" w:sz="0" w:space="0" w:color="auto"/>
                        <w:right w:val="none" w:sz="0" w:space="0" w:color="auto"/>
                      </w:divBdr>
                    </w:div>
                  </w:divsChild>
                </w:div>
                <w:div w:id="336925943">
                  <w:marLeft w:val="0"/>
                  <w:marRight w:val="0"/>
                  <w:marTop w:val="0"/>
                  <w:marBottom w:val="0"/>
                  <w:divBdr>
                    <w:top w:val="none" w:sz="0" w:space="0" w:color="auto"/>
                    <w:left w:val="none" w:sz="0" w:space="0" w:color="auto"/>
                    <w:bottom w:val="none" w:sz="0" w:space="0" w:color="auto"/>
                    <w:right w:val="none" w:sz="0" w:space="0" w:color="auto"/>
                  </w:divBdr>
                  <w:divsChild>
                    <w:div w:id="92826015">
                      <w:marLeft w:val="0"/>
                      <w:marRight w:val="0"/>
                      <w:marTop w:val="0"/>
                      <w:marBottom w:val="0"/>
                      <w:divBdr>
                        <w:top w:val="none" w:sz="0" w:space="0" w:color="auto"/>
                        <w:left w:val="none" w:sz="0" w:space="0" w:color="auto"/>
                        <w:bottom w:val="none" w:sz="0" w:space="0" w:color="auto"/>
                        <w:right w:val="none" w:sz="0" w:space="0" w:color="auto"/>
                      </w:divBdr>
                    </w:div>
                  </w:divsChild>
                </w:div>
                <w:div w:id="344406048">
                  <w:marLeft w:val="0"/>
                  <w:marRight w:val="0"/>
                  <w:marTop w:val="0"/>
                  <w:marBottom w:val="0"/>
                  <w:divBdr>
                    <w:top w:val="none" w:sz="0" w:space="0" w:color="auto"/>
                    <w:left w:val="none" w:sz="0" w:space="0" w:color="auto"/>
                    <w:bottom w:val="none" w:sz="0" w:space="0" w:color="auto"/>
                    <w:right w:val="none" w:sz="0" w:space="0" w:color="auto"/>
                  </w:divBdr>
                  <w:divsChild>
                    <w:div w:id="1923029111">
                      <w:marLeft w:val="0"/>
                      <w:marRight w:val="0"/>
                      <w:marTop w:val="0"/>
                      <w:marBottom w:val="0"/>
                      <w:divBdr>
                        <w:top w:val="none" w:sz="0" w:space="0" w:color="auto"/>
                        <w:left w:val="none" w:sz="0" w:space="0" w:color="auto"/>
                        <w:bottom w:val="none" w:sz="0" w:space="0" w:color="auto"/>
                        <w:right w:val="none" w:sz="0" w:space="0" w:color="auto"/>
                      </w:divBdr>
                    </w:div>
                  </w:divsChild>
                </w:div>
                <w:div w:id="372967510">
                  <w:marLeft w:val="0"/>
                  <w:marRight w:val="0"/>
                  <w:marTop w:val="0"/>
                  <w:marBottom w:val="0"/>
                  <w:divBdr>
                    <w:top w:val="none" w:sz="0" w:space="0" w:color="auto"/>
                    <w:left w:val="none" w:sz="0" w:space="0" w:color="auto"/>
                    <w:bottom w:val="none" w:sz="0" w:space="0" w:color="auto"/>
                    <w:right w:val="none" w:sz="0" w:space="0" w:color="auto"/>
                  </w:divBdr>
                  <w:divsChild>
                    <w:div w:id="1313757688">
                      <w:marLeft w:val="0"/>
                      <w:marRight w:val="0"/>
                      <w:marTop w:val="0"/>
                      <w:marBottom w:val="0"/>
                      <w:divBdr>
                        <w:top w:val="none" w:sz="0" w:space="0" w:color="auto"/>
                        <w:left w:val="none" w:sz="0" w:space="0" w:color="auto"/>
                        <w:bottom w:val="none" w:sz="0" w:space="0" w:color="auto"/>
                        <w:right w:val="none" w:sz="0" w:space="0" w:color="auto"/>
                      </w:divBdr>
                    </w:div>
                  </w:divsChild>
                </w:div>
                <w:div w:id="421993894">
                  <w:marLeft w:val="0"/>
                  <w:marRight w:val="0"/>
                  <w:marTop w:val="0"/>
                  <w:marBottom w:val="0"/>
                  <w:divBdr>
                    <w:top w:val="none" w:sz="0" w:space="0" w:color="auto"/>
                    <w:left w:val="none" w:sz="0" w:space="0" w:color="auto"/>
                    <w:bottom w:val="none" w:sz="0" w:space="0" w:color="auto"/>
                    <w:right w:val="none" w:sz="0" w:space="0" w:color="auto"/>
                  </w:divBdr>
                  <w:divsChild>
                    <w:div w:id="1188102582">
                      <w:marLeft w:val="0"/>
                      <w:marRight w:val="0"/>
                      <w:marTop w:val="0"/>
                      <w:marBottom w:val="0"/>
                      <w:divBdr>
                        <w:top w:val="none" w:sz="0" w:space="0" w:color="auto"/>
                        <w:left w:val="none" w:sz="0" w:space="0" w:color="auto"/>
                        <w:bottom w:val="none" w:sz="0" w:space="0" w:color="auto"/>
                        <w:right w:val="none" w:sz="0" w:space="0" w:color="auto"/>
                      </w:divBdr>
                    </w:div>
                  </w:divsChild>
                </w:div>
                <w:div w:id="437407883">
                  <w:marLeft w:val="0"/>
                  <w:marRight w:val="0"/>
                  <w:marTop w:val="0"/>
                  <w:marBottom w:val="0"/>
                  <w:divBdr>
                    <w:top w:val="none" w:sz="0" w:space="0" w:color="auto"/>
                    <w:left w:val="none" w:sz="0" w:space="0" w:color="auto"/>
                    <w:bottom w:val="none" w:sz="0" w:space="0" w:color="auto"/>
                    <w:right w:val="none" w:sz="0" w:space="0" w:color="auto"/>
                  </w:divBdr>
                  <w:divsChild>
                    <w:div w:id="741677125">
                      <w:marLeft w:val="0"/>
                      <w:marRight w:val="0"/>
                      <w:marTop w:val="0"/>
                      <w:marBottom w:val="0"/>
                      <w:divBdr>
                        <w:top w:val="none" w:sz="0" w:space="0" w:color="auto"/>
                        <w:left w:val="none" w:sz="0" w:space="0" w:color="auto"/>
                        <w:bottom w:val="none" w:sz="0" w:space="0" w:color="auto"/>
                        <w:right w:val="none" w:sz="0" w:space="0" w:color="auto"/>
                      </w:divBdr>
                    </w:div>
                  </w:divsChild>
                </w:div>
                <w:div w:id="441342922">
                  <w:marLeft w:val="0"/>
                  <w:marRight w:val="0"/>
                  <w:marTop w:val="0"/>
                  <w:marBottom w:val="0"/>
                  <w:divBdr>
                    <w:top w:val="none" w:sz="0" w:space="0" w:color="auto"/>
                    <w:left w:val="none" w:sz="0" w:space="0" w:color="auto"/>
                    <w:bottom w:val="none" w:sz="0" w:space="0" w:color="auto"/>
                    <w:right w:val="none" w:sz="0" w:space="0" w:color="auto"/>
                  </w:divBdr>
                  <w:divsChild>
                    <w:div w:id="1963997369">
                      <w:marLeft w:val="0"/>
                      <w:marRight w:val="0"/>
                      <w:marTop w:val="0"/>
                      <w:marBottom w:val="0"/>
                      <w:divBdr>
                        <w:top w:val="none" w:sz="0" w:space="0" w:color="auto"/>
                        <w:left w:val="none" w:sz="0" w:space="0" w:color="auto"/>
                        <w:bottom w:val="none" w:sz="0" w:space="0" w:color="auto"/>
                        <w:right w:val="none" w:sz="0" w:space="0" w:color="auto"/>
                      </w:divBdr>
                    </w:div>
                  </w:divsChild>
                </w:div>
                <w:div w:id="527069030">
                  <w:marLeft w:val="0"/>
                  <w:marRight w:val="0"/>
                  <w:marTop w:val="0"/>
                  <w:marBottom w:val="0"/>
                  <w:divBdr>
                    <w:top w:val="none" w:sz="0" w:space="0" w:color="auto"/>
                    <w:left w:val="none" w:sz="0" w:space="0" w:color="auto"/>
                    <w:bottom w:val="none" w:sz="0" w:space="0" w:color="auto"/>
                    <w:right w:val="none" w:sz="0" w:space="0" w:color="auto"/>
                  </w:divBdr>
                  <w:divsChild>
                    <w:div w:id="1840078812">
                      <w:marLeft w:val="0"/>
                      <w:marRight w:val="0"/>
                      <w:marTop w:val="0"/>
                      <w:marBottom w:val="0"/>
                      <w:divBdr>
                        <w:top w:val="none" w:sz="0" w:space="0" w:color="auto"/>
                        <w:left w:val="none" w:sz="0" w:space="0" w:color="auto"/>
                        <w:bottom w:val="none" w:sz="0" w:space="0" w:color="auto"/>
                        <w:right w:val="none" w:sz="0" w:space="0" w:color="auto"/>
                      </w:divBdr>
                    </w:div>
                  </w:divsChild>
                </w:div>
                <w:div w:id="549651777">
                  <w:marLeft w:val="0"/>
                  <w:marRight w:val="0"/>
                  <w:marTop w:val="0"/>
                  <w:marBottom w:val="0"/>
                  <w:divBdr>
                    <w:top w:val="none" w:sz="0" w:space="0" w:color="auto"/>
                    <w:left w:val="none" w:sz="0" w:space="0" w:color="auto"/>
                    <w:bottom w:val="none" w:sz="0" w:space="0" w:color="auto"/>
                    <w:right w:val="none" w:sz="0" w:space="0" w:color="auto"/>
                  </w:divBdr>
                  <w:divsChild>
                    <w:div w:id="1707829997">
                      <w:marLeft w:val="0"/>
                      <w:marRight w:val="0"/>
                      <w:marTop w:val="0"/>
                      <w:marBottom w:val="0"/>
                      <w:divBdr>
                        <w:top w:val="none" w:sz="0" w:space="0" w:color="auto"/>
                        <w:left w:val="none" w:sz="0" w:space="0" w:color="auto"/>
                        <w:bottom w:val="none" w:sz="0" w:space="0" w:color="auto"/>
                        <w:right w:val="none" w:sz="0" w:space="0" w:color="auto"/>
                      </w:divBdr>
                    </w:div>
                  </w:divsChild>
                </w:div>
                <w:div w:id="648051992">
                  <w:marLeft w:val="0"/>
                  <w:marRight w:val="0"/>
                  <w:marTop w:val="0"/>
                  <w:marBottom w:val="0"/>
                  <w:divBdr>
                    <w:top w:val="none" w:sz="0" w:space="0" w:color="auto"/>
                    <w:left w:val="none" w:sz="0" w:space="0" w:color="auto"/>
                    <w:bottom w:val="none" w:sz="0" w:space="0" w:color="auto"/>
                    <w:right w:val="none" w:sz="0" w:space="0" w:color="auto"/>
                  </w:divBdr>
                  <w:divsChild>
                    <w:div w:id="1128742714">
                      <w:marLeft w:val="0"/>
                      <w:marRight w:val="0"/>
                      <w:marTop w:val="0"/>
                      <w:marBottom w:val="0"/>
                      <w:divBdr>
                        <w:top w:val="none" w:sz="0" w:space="0" w:color="auto"/>
                        <w:left w:val="none" w:sz="0" w:space="0" w:color="auto"/>
                        <w:bottom w:val="none" w:sz="0" w:space="0" w:color="auto"/>
                        <w:right w:val="none" w:sz="0" w:space="0" w:color="auto"/>
                      </w:divBdr>
                    </w:div>
                  </w:divsChild>
                </w:div>
                <w:div w:id="773474501">
                  <w:marLeft w:val="0"/>
                  <w:marRight w:val="0"/>
                  <w:marTop w:val="0"/>
                  <w:marBottom w:val="0"/>
                  <w:divBdr>
                    <w:top w:val="none" w:sz="0" w:space="0" w:color="auto"/>
                    <w:left w:val="none" w:sz="0" w:space="0" w:color="auto"/>
                    <w:bottom w:val="none" w:sz="0" w:space="0" w:color="auto"/>
                    <w:right w:val="none" w:sz="0" w:space="0" w:color="auto"/>
                  </w:divBdr>
                  <w:divsChild>
                    <w:div w:id="945842775">
                      <w:marLeft w:val="0"/>
                      <w:marRight w:val="0"/>
                      <w:marTop w:val="0"/>
                      <w:marBottom w:val="0"/>
                      <w:divBdr>
                        <w:top w:val="none" w:sz="0" w:space="0" w:color="auto"/>
                        <w:left w:val="none" w:sz="0" w:space="0" w:color="auto"/>
                        <w:bottom w:val="none" w:sz="0" w:space="0" w:color="auto"/>
                        <w:right w:val="none" w:sz="0" w:space="0" w:color="auto"/>
                      </w:divBdr>
                    </w:div>
                  </w:divsChild>
                </w:div>
                <w:div w:id="883060964">
                  <w:marLeft w:val="0"/>
                  <w:marRight w:val="0"/>
                  <w:marTop w:val="0"/>
                  <w:marBottom w:val="0"/>
                  <w:divBdr>
                    <w:top w:val="none" w:sz="0" w:space="0" w:color="auto"/>
                    <w:left w:val="none" w:sz="0" w:space="0" w:color="auto"/>
                    <w:bottom w:val="none" w:sz="0" w:space="0" w:color="auto"/>
                    <w:right w:val="none" w:sz="0" w:space="0" w:color="auto"/>
                  </w:divBdr>
                  <w:divsChild>
                    <w:div w:id="152914010">
                      <w:marLeft w:val="0"/>
                      <w:marRight w:val="0"/>
                      <w:marTop w:val="0"/>
                      <w:marBottom w:val="0"/>
                      <w:divBdr>
                        <w:top w:val="none" w:sz="0" w:space="0" w:color="auto"/>
                        <w:left w:val="none" w:sz="0" w:space="0" w:color="auto"/>
                        <w:bottom w:val="none" w:sz="0" w:space="0" w:color="auto"/>
                        <w:right w:val="none" w:sz="0" w:space="0" w:color="auto"/>
                      </w:divBdr>
                    </w:div>
                  </w:divsChild>
                </w:div>
                <w:div w:id="925647051">
                  <w:marLeft w:val="0"/>
                  <w:marRight w:val="0"/>
                  <w:marTop w:val="0"/>
                  <w:marBottom w:val="0"/>
                  <w:divBdr>
                    <w:top w:val="none" w:sz="0" w:space="0" w:color="auto"/>
                    <w:left w:val="none" w:sz="0" w:space="0" w:color="auto"/>
                    <w:bottom w:val="none" w:sz="0" w:space="0" w:color="auto"/>
                    <w:right w:val="none" w:sz="0" w:space="0" w:color="auto"/>
                  </w:divBdr>
                  <w:divsChild>
                    <w:div w:id="1101337279">
                      <w:marLeft w:val="0"/>
                      <w:marRight w:val="0"/>
                      <w:marTop w:val="0"/>
                      <w:marBottom w:val="0"/>
                      <w:divBdr>
                        <w:top w:val="none" w:sz="0" w:space="0" w:color="auto"/>
                        <w:left w:val="none" w:sz="0" w:space="0" w:color="auto"/>
                        <w:bottom w:val="none" w:sz="0" w:space="0" w:color="auto"/>
                        <w:right w:val="none" w:sz="0" w:space="0" w:color="auto"/>
                      </w:divBdr>
                    </w:div>
                  </w:divsChild>
                </w:div>
                <w:div w:id="1044255236">
                  <w:marLeft w:val="0"/>
                  <w:marRight w:val="0"/>
                  <w:marTop w:val="0"/>
                  <w:marBottom w:val="0"/>
                  <w:divBdr>
                    <w:top w:val="none" w:sz="0" w:space="0" w:color="auto"/>
                    <w:left w:val="none" w:sz="0" w:space="0" w:color="auto"/>
                    <w:bottom w:val="none" w:sz="0" w:space="0" w:color="auto"/>
                    <w:right w:val="none" w:sz="0" w:space="0" w:color="auto"/>
                  </w:divBdr>
                  <w:divsChild>
                    <w:div w:id="187723608">
                      <w:marLeft w:val="0"/>
                      <w:marRight w:val="0"/>
                      <w:marTop w:val="0"/>
                      <w:marBottom w:val="0"/>
                      <w:divBdr>
                        <w:top w:val="none" w:sz="0" w:space="0" w:color="auto"/>
                        <w:left w:val="none" w:sz="0" w:space="0" w:color="auto"/>
                        <w:bottom w:val="none" w:sz="0" w:space="0" w:color="auto"/>
                        <w:right w:val="none" w:sz="0" w:space="0" w:color="auto"/>
                      </w:divBdr>
                    </w:div>
                  </w:divsChild>
                </w:div>
                <w:div w:id="1222787180">
                  <w:marLeft w:val="0"/>
                  <w:marRight w:val="0"/>
                  <w:marTop w:val="0"/>
                  <w:marBottom w:val="0"/>
                  <w:divBdr>
                    <w:top w:val="none" w:sz="0" w:space="0" w:color="auto"/>
                    <w:left w:val="none" w:sz="0" w:space="0" w:color="auto"/>
                    <w:bottom w:val="none" w:sz="0" w:space="0" w:color="auto"/>
                    <w:right w:val="none" w:sz="0" w:space="0" w:color="auto"/>
                  </w:divBdr>
                  <w:divsChild>
                    <w:div w:id="65690098">
                      <w:marLeft w:val="0"/>
                      <w:marRight w:val="0"/>
                      <w:marTop w:val="0"/>
                      <w:marBottom w:val="0"/>
                      <w:divBdr>
                        <w:top w:val="none" w:sz="0" w:space="0" w:color="auto"/>
                        <w:left w:val="none" w:sz="0" w:space="0" w:color="auto"/>
                        <w:bottom w:val="none" w:sz="0" w:space="0" w:color="auto"/>
                        <w:right w:val="none" w:sz="0" w:space="0" w:color="auto"/>
                      </w:divBdr>
                    </w:div>
                  </w:divsChild>
                </w:div>
                <w:div w:id="1232890411">
                  <w:marLeft w:val="0"/>
                  <w:marRight w:val="0"/>
                  <w:marTop w:val="0"/>
                  <w:marBottom w:val="0"/>
                  <w:divBdr>
                    <w:top w:val="none" w:sz="0" w:space="0" w:color="auto"/>
                    <w:left w:val="none" w:sz="0" w:space="0" w:color="auto"/>
                    <w:bottom w:val="none" w:sz="0" w:space="0" w:color="auto"/>
                    <w:right w:val="none" w:sz="0" w:space="0" w:color="auto"/>
                  </w:divBdr>
                  <w:divsChild>
                    <w:div w:id="501817598">
                      <w:marLeft w:val="0"/>
                      <w:marRight w:val="0"/>
                      <w:marTop w:val="0"/>
                      <w:marBottom w:val="0"/>
                      <w:divBdr>
                        <w:top w:val="none" w:sz="0" w:space="0" w:color="auto"/>
                        <w:left w:val="none" w:sz="0" w:space="0" w:color="auto"/>
                        <w:bottom w:val="none" w:sz="0" w:space="0" w:color="auto"/>
                        <w:right w:val="none" w:sz="0" w:space="0" w:color="auto"/>
                      </w:divBdr>
                    </w:div>
                    <w:div w:id="1166483889">
                      <w:marLeft w:val="0"/>
                      <w:marRight w:val="0"/>
                      <w:marTop w:val="0"/>
                      <w:marBottom w:val="0"/>
                      <w:divBdr>
                        <w:top w:val="none" w:sz="0" w:space="0" w:color="auto"/>
                        <w:left w:val="none" w:sz="0" w:space="0" w:color="auto"/>
                        <w:bottom w:val="none" w:sz="0" w:space="0" w:color="auto"/>
                        <w:right w:val="none" w:sz="0" w:space="0" w:color="auto"/>
                      </w:divBdr>
                    </w:div>
                  </w:divsChild>
                </w:div>
                <w:div w:id="1393504983">
                  <w:marLeft w:val="0"/>
                  <w:marRight w:val="0"/>
                  <w:marTop w:val="0"/>
                  <w:marBottom w:val="0"/>
                  <w:divBdr>
                    <w:top w:val="none" w:sz="0" w:space="0" w:color="auto"/>
                    <w:left w:val="none" w:sz="0" w:space="0" w:color="auto"/>
                    <w:bottom w:val="none" w:sz="0" w:space="0" w:color="auto"/>
                    <w:right w:val="none" w:sz="0" w:space="0" w:color="auto"/>
                  </w:divBdr>
                  <w:divsChild>
                    <w:div w:id="326858482">
                      <w:marLeft w:val="0"/>
                      <w:marRight w:val="0"/>
                      <w:marTop w:val="0"/>
                      <w:marBottom w:val="0"/>
                      <w:divBdr>
                        <w:top w:val="none" w:sz="0" w:space="0" w:color="auto"/>
                        <w:left w:val="none" w:sz="0" w:space="0" w:color="auto"/>
                        <w:bottom w:val="none" w:sz="0" w:space="0" w:color="auto"/>
                        <w:right w:val="none" w:sz="0" w:space="0" w:color="auto"/>
                      </w:divBdr>
                    </w:div>
                  </w:divsChild>
                </w:div>
                <w:div w:id="1423143207">
                  <w:marLeft w:val="0"/>
                  <w:marRight w:val="0"/>
                  <w:marTop w:val="0"/>
                  <w:marBottom w:val="0"/>
                  <w:divBdr>
                    <w:top w:val="none" w:sz="0" w:space="0" w:color="auto"/>
                    <w:left w:val="none" w:sz="0" w:space="0" w:color="auto"/>
                    <w:bottom w:val="none" w:sz="0" w:space="0" w:color="auto"/>
                    <w:right w:val="none" w:sz="0" w:space="0" w:color="auto"/>
                  </w:divBdr>
                  <w:divsChild>
                    <w:div w:id="1439375925">
                      <w:marLeft w:val="0"/>
                      <w:marRight w:val="0"/>
                      <w:marTop w:val="0"/>
                      <w:marBottom w:val="0"/>
                      <w:divBdr>
                        <w:top w:val="none" w:sz="0" w:space="0" w:color="auto"/>
                        <w:left w:val="none" w:sz="0" w:space="0" w:color="auto"/>
                        <w:bottom w:val="none" w:sz="0" w:space="0" w:color="auto"/>
                        <w:right w:val="none" w:sz="0" w:space="0" w:color="auto"/>
                      </w:divBdr>
                    </w:div>
                  </w:divsChild>
                </w:div>
                <w:div w:id="1443381469">
                  <w:marLeft w:val="0"/>
                  <w:marRight w:val="0"/>
                  <w:marTop w:val="0"/>
                  <w:marBottom w:val="0"/>
                  <w:divBdr>
                    <w:top w:val="none" w:sz="0" w:space="0" w:color="auto"/>
                    <w:left w:val="none" w:sz="0" w:space="0" w:color="auto"/>
                    <w:bottom w:val="none" w:sz="0" w:space="0" w:color="auto"/>
                    <w:right w:val="none" w:sz="0" w:space="0" w:color="auto"/>
                  </w:divBdr>
                  <w:divsChild>
                    <w:div w:id="108670961">
                      <w:marLeft w:val="0"/>
                      <w:marRight w:val="0"/>
                      <w:marTop w:val="0"/>
                      <w:marBottom w:val="0"/>
                      <w:divBdr>
                        <w:top w:val="none" w:sz="0" w:space="0" w:color="auto"/>
                        <w:left w:val="none" w:sz="0" w:space="0" w:color="auto"/>
                        <w:bottom w:val="none" w:sz="0" w:space="0" w:color="auto"/>
                        <w:right w:val="none" w:sz="0" w:space="0" w:color="auto"/>
                      </w:divBdr>
                    </w:div>
                  </w:divsChild>
                </w:div>
                <w:div w:id="1484589996">
                  <w:marLeft w:val="0"/>
                  <w:marRight w:val="0"/>
                  <w:marTop w:val="0"/>
                  <w:marBottom w:val="0"/>
                  <w:divBdr>
                    <w:top w:val="none" w:sz="0" w:space="0" w:color="auto"/>
                    <w:left w:val="none" w:sz="0" w:space="0" w:color="auto"/>
                    <w:bottom w:val="none" w:sz="0" w:space="0" w:color="auto"/>
                    <w:right w:val="none" w:sz="0" w:space="0" w:color="auto"/>
                  </w:divBdr>
                  <w:divsChild>
                    <w:div w:id="274479817">
                      <w:marLeft w:val="0"/>
                      <w:marRight w:val="0"/>
                      <w:marTop w:val="0"/>
                      <w:marBottom w:val="0"/>
                      <w:divBdr>
                        <w:top w:val="none" w:sz="0" w:space="0" w:color="auto"/>
                        <w:left w:val="none" w:sz="0" w:space="0" w:color="auto"/>
                        <w:bottom w:val="none" w:sz="0" w:space="0" w:color="auto"/>
                        <w:right w:val="none" w:sz="0" w:space="0" w:color="auto"/>
                      </w:divBdr>
                    </w:div>
                  </w:divsChild>
                </w:div>
                <w:div w:id="1778986130">
                  <w:marLeft w:val="0"/>
                  <w:marRight w:val="0"/>
                  <w:marTop w:val="0"/>
                  <w:marBottom w:val="0"/>
                  <w:divBdr>
                    <w:top w:val="none" w:sz="0" w:space="0" w:color="auto"/>
                    <w:left w:val="none" w:sz="0" w:space="0" w:color="auto"/>
                    <w:bottom w:val="none" w:sz="0" w:space="0" w:color="auto"/>
                    <w:right w:val="none" w:sz="0" w:space="0" w:color="auto"/>
                  </w:divBdr>
                  <w:divsChild>
                    <w:div w:id="1165780688">
                      <w:marLeft w:val="0"/>
                      <w:marRight w:val="0"/>
                      <w:marTop w:val="0"/>
                      <w:marBottom w:val="0"/>
                      <w:divBdr>
                        <w:top w:val="none" w:sz="0" w:space="0" w:color="auto"/>
                        <w:left w:val="none" w:sz="0" w:space="0" w:color="auto"/>
                        <w:bottom w:val="none" w:sz="0" w:space="0" w:color="auto"/>
                        <w:right w:val="none" w:sz="0" w:space="0" w:color="auto"/>
                      </w:divBdr>
                    </w:div>
                  </w:divsChild>
                </w:div>
                <w:div w:id="1817868456">
                  <w:marLeft w:val="0"/>
                  <w:marRight w:val="0"/>
                  <w:marTop w:val="0"/>
                  <w:marBottom w:val="0"/>
                  <w:divBdr>
                    <w:top w:val="none" w:sz="0" w:space="0" w:color="auto"/>
                    <w:left w:val="none" w:sz="0" w:space="0" w:color="auto"/>
                    <w:bottom w:val="none" w:sz="0" w:space="0" w:color="auto"/>
                    <w:right w:val="none" w:sz="0" w:space="0" w:color="auto"/>
                  </w:divBdr>
                  <w:divsChild>
                    <w:div w:id="1165969709">
                      <w:marLeft w:val="0"/>
                      <w:marRight w:val="0"/>
                      <w:marTop w:val="0"/>
                      <w:marBottom w:val="0"/>
                      <w:divBdr>
                        <w:top w:val="none" w:sz="0" w:space="0" w:color="auto"/>
                        <w:left w:val="none" w:sz="0" w:space="0" w:color="auto"/>
                        <w:bottom w:val="none" w:sz="0" w:space="0" w:color="auto"/>
                        <w:right w:val="none" w:sz="0" w:space="0" w:color="auto"/>
                      </w:divBdr>
                    </w:div>
                  </w:divsChild>
                </w:div>
                <w:div w:id="1860241523">
                  <w:marLeft w:val="0"/>
                  <w:marRight w:val="0"/>
                  <w:marTop w:val="0"/>
                  <w:marBottom w:val="0"/>
                  <w:divBdr>
                    <w:top w:val="none" w:sz="0" w:space="0" w:color="auto"/>
                    <w:left w:val="none" w:sz="0" w:space="0" w:color="auto"/>
                    <w:bottom w:val="none" w:sz="0" w:space="0" w:color="auto"/>
                    <w:right w:val="none" w:sz="0" w:space="0" w:color="auto"/>
                  </w:divBdr>
                  <w:divsChild>
                    <w:div w:id="78254638">
                      <w:marLeft w:val="0"/>
                      <w:marRight w:val="0"/>
                      <w:marTop w:val="0"/>
                      <w:marBottom w:val="0"/>
                      <w:divBdr>
                        <w:top w:val="none" w:sz="0" w:space="0" w:color="auto"/>
                        <w:left w:val="none" w:sz="0" w:space="0" w:color="auto"/>
                        <w:bottom w:val="none" w:sz="0" w:space="0" w:color="auto"/>
                        <w:right w:val="none" w:sz="0" w:space="0" w:color="auto"/>
                      </w:divBdr>
                    </w:div>
                  </w:divsChild>
                </w:div>
                <w:div w:id="2070229869">
                  <w:marLeft w:val="0"/>
                  <w:marRight w:val="0"/>
                  <w:marTop w:val="0"/>
                  <w:marBottom w:val="0"/>
                  <w:divBdr>
                    <w:top w:val="none" w:sz="0" w:space="0" w:color="auto"/>
                    <w:left w:val="none" w:sz="0" w:space="0" w:color="auto"/>
                    <w:bottom w:val="none" w:sz="0" w:space="0" w:color="auto"/>
                    <w:right w:val="none" w:sz="0" w:space="0" w:color="auto"/>
                  </w:divBdr>
                  <w:divsChild>
                    <w:div w:id="1398669842">
                      <w:marLeft w:val="0"/>
                      <w:marRight w:val="0"/>
                      <w:marTop w:val="0"/>
                      <w:marBottom w:val="0"/>
                      <w:divBdr>
                        <w:top w:val="none" w:sz="0" w:space="0" w:color="auto"/>
                        <w:left w:val="none" w:sz="0" w:space="0" w:color="auto"/>
                        <w:bottom w:val="none" w:sz="0" w:space="0" w:color="auto"/>
                        <w:right w:val="none" w:sz="0" w:space="0" w:color="auto"/>
                      </w:divBdr>
                    </w:div>
                  </w:divsChild>
                </w:div>
                <w:div w:id="2111772926">
                  <w:marLeft w:val="0"/>
                  <w:marRight w:val="0"/>
                  <w:marTop w:val="0"/>
                  <w:marBottom w:val="0"/>
                  <w:divBdr>
                    <w:top w:val="none" w:sz="0" w:space="0" w:color="auto"/>
                    <w:left w:val="none" w:sz="0" w:space="0" w:color="auto"/>
                    <w:bottom w:val="none" w:sz="0" w:space="0" w:color="auto"/>
                    <w:right w:val="none" w:sz="0" w:space="0" w:color="auto"/>
                  </w:divBdr>
                  <w:divsChild>
                    <w:div w:id="6394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2752655">
          <w:marLeft w:val="0"/>
          <w:marRight w:val="0"/>
          <w:marTop w:val="0"/>
          <w:marBottom w:val="0"/>
          <w:divBdr>
            <w:top w:val="none" w:sz="0" w:space="0" w:color="auto"/>
            <w:left w:val="none" w:sz="0" w:space="0" w:color="auto"/>
            <w:bottom w:val="none" w:sz="0" w:space="0" w:color="auto"/>
            <w:right w:val="none" w:sz="0" w:space="0" w:color="auto"/>
          </w:divBdr>
        </w:div>
        <w:div w:id="474880160">
          <w:marLeft w:val="0"/>
          <w:marRight w:val="0"/>
          <w:marTop w:val="0"/>
          <w:marBottom w:val="0"/>
          <w:divBdr>
            <w:top w:val="none" w:sz="0" w:space="0" w:color="auto"/>
            <w:left w:val="none" w:sz="0" w:space="0" w:color="auto"/>
            <w:bottom w:val="none" w:sz="0" w:space="0" w:color="auto"/>
            <w:right w:val="none" w:sz="0" w:space="0" w:color="auto"/>
          </w:divBdr>
          <w:divsChild>
            <w:div w:id="121965748">
              <w:marLeft w:val="0"/>
              <w:marRight w:val="0"/>
              <w:marTop w:val="0"/>
              <w:marBottom w:val="0"/>
              <w:divBdr>
                <w:top w:val="none" w:sz="0" w:space="0" w:color="auto"/>
                <w:left w:val="none" w:sz="0" w:space="0" w:color="auto"/>
                <w:bottom w:val="none" w:sz="0" w:space="0" w:color="auto"/>
                <w:right w:val="none" w:sz="0" w:space="0" w:color="auto"/>
              </w:divBdr>
            </w:div>
            <w:div w:id="153959728">
              <w:marLeft w:val="0"/>
              <w:marRight w:val="0"/>
              <w:marTop w:val="0"/>
              <w:marBottom w:val="0"/>
              <w:divBdr>
                <w:top w:val="none" w:sz="0" w:space="0" w:color="auto"/>
                <w:left w:val="none" w:sz="0" w:space="0" w:color="auto"/>
                <w:bottom w:val="none" w:sz="0" w:space="0" w:color="auto"/>
                <w:right w:val="none" w:sz="0" w:space="0" w:color="auto"/>
              </w:divBdr>
            </w:div>
            <w:div w:id="347214767">
              <w:marLeft w:val="0"/>
              <w:marRight w:val="0"/>
              <w:marTop w:val="0"/>
              <w:marBottom w:val="0"/>
              <w:divBdr>
                <w:top w:val="none" w:sz="0" w:space="0" w:color="auto"/>
                <w:left w:val="none" w:sz="0" w:space="0" w:color="auto"/>
                <w:bottom w:val="none" w:sz="0" w:space="0" w:color="auto"/>
                <w:right w:val="none" w:sz="0" w:space="0" w:color="auto"/>
              </w:divBdr>
            </w:div>
            <w:div w:id="433940724">
              <w:marLeft w:val="0"/>
              <w:marRight w:val="0"/>
              <w:marTop w:val="0"/>
              <w:marBottom w:val="0"/>
              <w:divBdr>
                <w:top w:val="none" w:sz="0" w:space="0" w:color="auto"/>
                <w:left w:val="none" w:sz="0" w:space="0" w:color="auto"/>
                <w:bottom w:val="none" w:sz="0" w:space="0" w:color="auto"/>
                <w:right w:val="none" w:sz="0" w:space="0" w:color="auto"/>
              </w:divBdr>
            </w:div>
            <w:div w:id="566571986">
              <w:marLeft w:val="0"/>
              <w:marRight w:val="0"/>
              <w:marTop w:val="0"/>
              <w:marBottom w:val="0"/>
              <w:divBdr>
                <w:top w:val="none" w:sz="0" w:space="0" w:color="auto"/>
                <w:left w:val="none" w:sz="0" w:space="0" w:color="auto"/>
                <w:bottom w:val="none" w:sz="0" w:space="0" w:color="auto"/>
                <w:right w:val="none" w:sz="0" w:space="0" w:color="auto"/>
              </w:divBdr>
            </w:div>
            <w:div w:id="791483005">
              <w:marLeft w:val="0"/>
              <w:marRight w:val="0"/>
              <w:marTop w:val="0"/>
              <w:marBottom w:val="0"/>
              <w:divBdr>
                <w:top w:val="none" w:sz="0" w:space="0" w:color="auto"/>
                <w:left w:val="none" w:sz="0" w:space="0" w:color="auto"/>
                <w:bottom w:val="none" w:sz="0" w:space="0" w:color="auto"/>
                <w:right w:val="none" w:sz="0" w:space="0" w:color="auto"/>
              </w:divBdr>
            </w:div>
            <w:div w:id="804393423">
              <w:marLeft w:val="0"/>
              <w:marRight w:val="0"/>
              <w:marTop w:val="0"/>
              <w:marBottom w:val="0"/>
              <w:divBdr>
                <w:top w:val="none" w:sz="0" w:space="0" w:color="auto"/>
                <w:left w:val="none" w:sz="0" w:space="0" w:color="auto"/>
                <w:bottom w:val="none" w:sz="0" w:space="0" w:color="auto"/>
                <w:right w:val="none" w:sz="0" w:space="0" w:color="auto"/>
              </w:divBdr>
            </w:div>
            <w:div w:id="865673314">
              <w:marLeft w:val="0"/>
              <w:marRight w:val="0"/>
              <w:marTop w:val="0"/>
              <w:marBottom w:val="0"/>
              <w:divBdr>
                <w:top w:val="none" w:sz="0" w:space="0" w:color="auto"/>
                <w:left w:val="none" w:sz="0" w:space="0" w:color="auto"/>
                <w:bottom w:val="none" w:sz="0" w:space="0" w:color="auto"/>
                <w:right w:val="none" w:sz="0" w:space="0" w:color="auto"/>
              </w:divBdr>
            </w:div>
            <w:div w:id="889806847">
              <w:marLeft w:val="0"/>
              <w:marRight w:val="0"/>
              <w:marTop w:val="0"/>
              <w:marBottom w:val="0"/>
              <w:divBdr>
                <w:top w:val="none" w:sz="0" w:space="0" w:color="auto"/>
                <w:left w:val="none" w:sz="0" w:space="0" w:color="auto"/>
                <w:bottom w:val="none" w:sz="0" w:space="0" w:color="auto"/>
                <w:right w:val="none" w:sz="0" w:space="0" w:color="auto"/>
              </w:divBdr>
            </w:div>
            <w:div w:id="988637260">
              <w:marLeft w:val="0"/>
              <w:marRight w:val="0"/>
              <w:marTop w:val="0"/>
              <w:marBottom w:val="0"/>
              <w:divBdr>
                <w:top w:val="none" w:sz="0" w:space="0" w:color="auto"/>
                <w:left w:val="none" w:sz="0" w:space="0" w:color="auto"/>
                <w:bottom w:val="none" w:sz="0" w:space="0" w:color="auto"/>
                <w:right w:val="none" w:sz="0" w:space="0" w:color="auto"/>
              </w:divBdr>
            </w:div>
            <w:div w:id="1087575507">
              <w:marLeft w:val="0"/>
              <w:marRight w:val="0"/>
              <w:marTop w:val="0"/>
              <w:marBottom w:val="0"/>
              <w:divBdr>
                <w:top w:val="none" w:sz="0" w:space="0" w:color="auto"/>
                <w:left w:val="none" w:sz="0" w:space="0" w:color="auto"/>
                <w:bottom w:val="none" w:sz="0" w:space="0" w:color="auto"/>
                <w:right w:val="none" w:sz="0" w:space="0" w:color="auto"/>
              </w:divBdr>
            </w:div>
            <w:div w:id="1353608743">
              <w:marLeft w:val="0"/>
              <w:marRight w:val="0"/>
              <w:marTop w:val="0"/>
              <w:marBottom w:val="0"/>
              <w:divBdr>
                <w:top w:val="none" w:sz="0" w:space="0" w:color="auto"/>
                <w:left w:val="none" w:sz="0" w:space="0" w:color="auto"/>
                <w:bottom w:val="none" w:sz="0" w:space="0" w:color="auto"/>
                <w:right w:val="none" w:sz="0" w:space="0" w:color="auto"/>
              </w:divBdr>
            </w:div>
            <w:div w:id="1452869287">
              <w:marLeft w:val="0"/>
              <w:marRight w:val="0"/>
              <w:marTop w:val="0"/>
              <w:marBottom w:val="0"/>
              <w:divBdr>
                <w:top w:val="none" w:sz="0" w:space="0" w:color="auto"/>
                <w:left w:val="none" w:sz="0" w:space="0" w:color="auto"/>
                <w:bottom w:val="none" w:sz="0" w:space="0" w:color="auto"/>
                <w:right w:val="none" w:sz="0" w:space="0" w:color="auto"/>
              </w:divBdr>
            </w:div>
            <w:div w:id="1555000738">
              <w:marLeft w:val="0"/>
              <w:marRight w:val="0"/>
              <w:marTop w:val="0"/>
              <w:marBottom w:val="0"/>
              <w:divBdr>
                <w:top w:val="none" w:sz="0" w:space="0" w:color="auto"/>
                <w:left w:val="none" w:sz="0" w:space="0" w:color="auto"/>
                <w:bottom w:val="none" w:sz="0" w:space="0" w:color="auto"/>
                <w:right w:val="none" w:sz="0" w:space="0" w:color="auto"/>
              </w:divBdr>
            </w:div>
            <w:div w:id="1613436756">
              <w:marLeft w:val="0"/>
              <w:marRight w:val="0"/>
              <w:marTop w:val="0"/>
              <w:marBottom w:val="0"/>
              <w:divBdr>
                <w:top w:val="none" w:sz="0" w:space="0" w:color="auto"/>
                <w:left w:val="none" w:sz="0" w:space="0" w:color="auto"/>
                <w:bottom w:val="none" w:sz="0" w:space="0" w:color="auto"/>
                <w:right w:val="none" w:sz="0" w:space="0" w:color="auto"/>
              </w:divBdr>
            </w:div>
            <w:div w:id="1637493100">
              <w:marLeft w:val="0"/>
              <w:marRight w:val="0"/>
              <w:marTop w:val="0"/>
              <w:marBottom w:val="0"/>
              <w:divBdr>
                <w:top w:val="none" w:sz="0" w:space="0" w:color="auto"/>
                <w:left w:val="none" w:sz="0" w:space="0" w:color="auto"/>
                <w:bottom w:val="none" w:sz="0" w:space="0" w:color="auto"/>
                <w:right w:val="none" w:sz="0" w:space="0" w:color="auto"/>
              </w:divBdr>
            </w:div>
            <w:div w:id="1810321506">
              <w:marLeft w:val="0"/>
              <w:marRight w:val="0"/>
              <w:marTop w:val="0"/>
              <w:marBottom w:val="0"/>
              <w:divBdr>
                <w:top w:val="none" w:sz="0" w:space="0" w:color="auto"/>
                <w:left w:val="none" w:sz="0" w:space="0" w:color="auto"/>
                <w:bottom w:val="none" w:sz="0" w:space="0" w:color="auto"/>
                <w:right w:val="none" w:sz="0" w:space="0" w:color="auto"/>
              </w:divBdr>
            </w:div>
            <w:div w:id="1837452351">
              <w:marLeft w:val="0"/>
              <w:marRight w:val="0"/>
              <w:marTop w:val="0"/>
              <w:marBottom w:val="0"/>
              <w:divBdr>
                <w:top w:val="none" w:sz="0" w:space="0" w:color="auto"/>
                <w:left w:val="none" w:sz="0" w:space="0" w:color="auto"/>
                <w:bottom w:val="none" w:sz="0" w:space="0" w:color="auto"/>
                <w:right w:val="none" w:sz="0" w:space="0" w:color="auto"/>
              </w:divBdr>
            </w:div>
            <w:div w:id="1852523902">
              <w:marLeft w:val="0"/>
              <w:marRight w:val="0"/>
              <w:marTop w:val="0"/>
              <w:marBottom w:val="0"/>
              <w:divBdr>
                <w:top w:val="none" w:sz="0" w:space="0" w:color="auto"/>
                <w:left w:val="none" w:sz="0" w:space="0" w:color="auto"/>
                <w:bottom w:val="none" w:sz="0" w:space="0" w:color="auto"/>
                <w:right w:val="none" w:sz="0" w:space="0" w:color="auto"/>
              </w:divBdr>
            </w:div>
            <w:div w:id="1858888693">
              <w:marLeft w:val="0"/>
              <w:marRight w:val="0"/>
              <w:marTop w:val="0"/>
              <w:marBottom w:val="0"/>
              <w:divBdr>
                <w:top w:val="none" w:sz="0" w:space="0" w:color="auto"/>
                <w:left w:val="none" w:sz="0" w:space="0" w:color="auto"/>
                <w:bottom w:val="none" w:sz="0" w:space="0" w:color="auto"/>
                <w:right w:val="none" w:sz="0" w:space="0" w:color="auto"/>
              </w:divBdr>
            </w:div>
          </w:divsChild>
        </w:div>
        <w:div w:id="523716606">
          <w:marLeft w:val="0"/>
          <w:marRight w:val="0"/>
          <w:marTop w:val="0"/>
          <w:marBottom w:val="0"/>
          <w:divBdr>
            <w:top w:val="none" w:sz="0" w:space="0" w:color="auto"/>
            <w:left w:val="none" w:sz="0" w:space="0" w:color="auto"/>
            <w:bottom w:val="none" w:sz="0" w:space="0" w:color="auto"/>
            <w:right w:val="none" w:sz="0" w:space="0" w:color="auto"/>
          </w:divBdr>
        </w:div>
        <w:div w:id="527304659">
          <w:marLeft w:val="0"/>
          <w:marRight w:val="0"/>
          <w:marTop w:val="0"/>
          <w:marBottom w:val="0"/>
          <w:divBdr>
            <w:top w:val="none" w:sz="0" w:space="0" w:color="auto"/>
            <w:left w:val="none" w:sz="0" w:space="0" w:color="auto"/>
            <w:bottom w:val="none" w:sz="0" w:space="0" w:color="auto"/>
            <w:right w:val="none" w:sz="0" w:space="0" w:color="auto"/>
          </w:divBdr>
        </w:div>
        <w:div w:id="531529408">
          <w:marLeft w:val="0"/>
          <w:marRight w:val="0"/>
          <w:marTop w:val="0"/>
          <w:marBottom w:val="0"/>
          <w:divBdr>
            <w:top w:val="none" w:sz="0" w:space="0" w:color="auto"/>
            <w:left w:val="none" w:sz="0" w:space="0" w:color="auto"/>
            <w:bottom w:val="none" w:sz="0" w:space="0" w:color="auto"/>
            <w:right w:val="none" w:sz="0" w:space="0" w:color="auto"/>
          </w:divBdr>
        </w:div>
        <w:div w:id="572475613">
          <w:marLeft w:val="0"/>
          <w:marRight w:val="0"/>
          <w:marTop w:val="0"/>
          <w:marBottom w:val="0"/>
          <w:divBdr>
            <w:top w:val="none" w:sz="0" w:space="0" w:color="auto"/>
            <w:left w:val="none" w:sz="0" w:space="0" w:color="auto"/>
            <w:bottom w:val="none" w:sz="0" w:space="0" w:color="auto"/>
            <w:right w:val="none" w:sz="0" w:space="0" w:color="auto"/>
          </w:divBdr>
        </w:div>
        <w:div w:id="576131832">
          <w:marLeft w:val="0"/>
          <w:marRight w:val="0"/>
          <w:marTop w:val="0"/>
          <w:marBottom w:val="0"/>
          <w:divBdr>
            <w:top w:val="none" w:sz="0" w:space="0" w:color="auto"/>
            <w:left w:val="none" w:sz="0" w:space="0" w:color="auto"/>
            <w:bottom w:val="none" w:sz="0" w:space="0" w:color="auto"/>
            <w:right w:val="none" w:sz="0" w:space="0" w:color="auto"/>
          </w:divBdr>
        </w:div>
        <w:div w:id="598832387">
          <w:marLeft w:val="0"/>
          <w:marRight w:val="0"/>
          <w:marTop w:val="0"/>
          <w:marBottom w:val="0"/>
          <w:divBdr>
            <w:top w:val="none" w:sz="0" w:space="0" w:color="auto"/>
            <w:left w:val="none" w:sz="0" w:space="0" w:color="auto"/>
            <w:bottom w:val="none" w:sz="0" w:space="0" w:color="auto"/>
            <w:right w:val="none" w:sz="0" w:space="0" w:color="auto"/>
          </w:divBdr>
        </w:div>
        <w:div w:id="599488891">
          <w:marLeft w:val="0"/>
          <w:marRight w:val="0"/>
          <w:marTop w:val="0"/>
          <w:marBottom w:val="0"/>
          <w:divBdr>
            <w:top w:val="none" w:sz="0" w:space="0" w:color="auto"/>
            <w:left w:val="none" w:sz="0" w:space="0" w:color="auto"/>
            <w:bottom w:val="none" w:sz="0" w:space="0" w:color="auto"/>
            <w:right w:val="none" w:sz="0" w:space="0" w:color="auto"/>
          </w:divBdr>
        </w:div>
        <w:div w:id="633680472">
          <w:marLeft w:val="0"/>
          <w:marRight w:val="0"/>
          <w:marTop w:val="0"/>
          <w:marBottom w:val="0"/>
          <w:divBdr>
            <w:top w:val="none" w:sz="0" w:space="0" w:color="auto"/>
            <w:left w:val="none" w:sz="0" w:space="0" w:color="auto"/>
            <w:bottom w:val="none" w:sz="0" w:space="0" w:color="auto"/>
            <w:right w:val="none" w:sz="0" w:space="0" w:color="auto"/>
          </w:divBdr>
          <w:divsChild>
            <w:div w:id="35198456">
              <w:marLeft w:val="0"/>
              <w:marRight w:val="0"/>
              <w:marTop w:val="0"/>
              <w:marBottom w:val="0"/>
              <w:divBdr>
                <w:top w:val="none" w:sz="0" w:space="0" w:color="auto"/>
                <w:left w:val="none" w:sz="0" w:space="0" w:color="auto"/>
                <w:bottom w:val="none" w:sz="0" w:space="0" w:color="auto"/>
                <w:right w:val="none" w:sz="0" w:space="0" w:color="auto"/>
              </w:divBdr>
            </w:div>
            <w:div w:id="36660081">
              <w:marLeft w:val="0"/>
              <w:marRight w:val="0"/>
              <w:marTop w:val="0"/>
              <w:marBottom w:val="0"/>
              <w:divBdr>
                <w:top w:val="none" w:sz="0" w:space="0" w:color="auto"/>
                <w:left w:val="none" w:sz="0" w:space="0" w:color="auto"/>
                <w:bottom w:val="none" w:sz="0" w:space="0" w:color="auto"/>
                <w:right w:val="none" w:sz="0" w:space="0" w:color="auto"/>
              </w:divBdr>
            </w:div>
            <w:div w:id="40713216">
              <w:marLeft w:val="0"/>
              <w:marRight w:val="0"/>
              <w:marTop w:val="0"/>
              <w:marBottom w:val="0"/>
              <w:divBdr>
                <w:top w:val="none" w:sz="0" w:space="0" w:color="auto"/>
                <w:left w:val="none" w:sz="0" w:space="0" w:color="auto"/>
                <w:bottom w:val="none" w:sz="0" w:space="0" w:color="auto"/>
                <w:right w:val="none" w:sz="0" w:space="0" w:color="auto"/>
              </w:divBdr>
            </w:div>
            <w:div w:id="261767127">
              <w:marLeft w:val="0"/>
              <w:marRight w:val="0"/>
              <w:marTop w:val="0"/>
              <w:marBottom w:val="0"/>
              <w:divBdr>
                <w:top w:val="none" w:sz="0" w:space="0" w:color="auto"/>
                <w:left w:val="none" w:sz="0" w:space="0" w:color="auto"/>
                <w:bottom w:val="none" w:sz="0" w:space="0" w:color="auto"/>
                <w:right w:val="none" w:sz="0" w:space="0" w:color="auto"/>
              </w:divBdr>
            </w:div>
            <w:div w:id="328294640">
              <w:marLeft w:val="0"/>
              <w:marRight w:val="0"/>
              <w:marTop w:val="0"/>
              <w:marBottom w:val="0"/>
              <w:divBdr>
                <w:top w:val="none" w:sz="0" w:space="0" w:color="auto"/>
                <w:left w:val="none" w:sz="0" w:space="0" w:color="auto"/>
                <w:bottom w:val="none" w:sz="0" w:space="0" w:color="auto"/>
                <w:right w:val="none" w:sz="0" w:space="0" w:color="auto"/>
              </w:divBdr>
            </w:div>
            <w:div w:id="808521522">
              <w:marLeft w:val="0"/>
              <w:marRight w:val="0"/>
              <w:marTop w:val="0"/>
              <w:marBottom w:val="0"/>
              <w:divBdr>
                <w:top w:val="none" w:sz="0" w:space="0" w:color="auto"/>
                <w:left w:val="none" w:sz="0" w:space="0" w:color="auto"/>
                <w:bottom w:val="none" w:sz="0" w:space="0" w:color="auto"/>
                <w:right w:val="none" w:sz="0" w:space="0" w:color="auto"/>
              </w:divBdr>
            </w:div>
            <w:div w:id="1030884339">
              <w:marLeft w:val="0"/>
              <w:marRight w:val="0"/>
              <w:marTop w:val="0"/>
              <w:marBottom w:val="0"/>
              <w:divBdr>
                <w:top w:val="none" w:sz="0" w:space="0" w:color="auto"/>
                <w:left w:val="none" w:sz="0" w:space="0" w:color="auto"/>
                <w:bottom w:val="none" w:sz="0" w:space="0" w:color="auto"/>
                <w:right w:val="none" w:sz="0" w:space="0" w:color="auto"/>
              </w:divBdr>
            </w:div>
            <w:div w:id="1113209660">
              <w:marLeft w:val="0"/>
              <w:marRight w:val="0"/>
              <w:marTop w:val="0"/>
              <w:marBottom w:val="0"/>
              <w:divBdr>
                <w:top w:val="none" w:sz="0" w:space="0" w:color="auto"/>
                <w:left w:val="none" w:sz="0" w:space="0" w:color="auto"/>
                <w:bottom w:val="none" w:sz="0" w:space="0" w:color="auto"/>
                <w:right w:val="none" w:sz="0" w:space="0" w:color="auto"/>
              </w:divBdr>
            </w:div>
            <w:div w:id="1239555947">
              <w:marLeft w:val="0"/>
              <w:marRight w:val="0"/>
              <w:marTop w:val="0"/>
              <w:marBottom w:val="0"/>
              <w:divBdr>
                <w:top w:val="none" w:sz="0" w:space="0" w:color="auto"/>
                <w:left w:val="none" w:sz="0" w:space="0" w:color="auto"/>
                <w:bottom w:val="none" w:sz="0" w:space="0" w:color="auto"/>
                <w:right w:val="none" w:sz="0" w:space="0" w:color="auto"/>
              </w:divBdr>
            </w:div>
            <w:div w:id="1481003017">
              <w:marLeft w:val="0"/>
              <w:marRight w:val="0"/>
              <w:marTop w:val="0"/>
              <w:marBottom w:val="0"/>
              <w:divBdr>
                <w:top w:val="none" w:sz="0" w:space="0" w:color="auto"/>
                <w:left w:val="none" w:sz="0" w:space="0" w:color="auto"/>
                <w:bottom w:val="none" w:sz="0" w:space="0" w:color="auto"/>
                <w:right w:val="none" w:sz="0" w:space="0" w:color="auto"/>
              </w:divBdr>
            </w:div>
            <w:div w:id="1484858694">
              <w:marLeft w:val="0"/>
              <w:marRight w:val="0"/>
              <w:marTop w:val="0"/>
              <w:marBottom w:val="0"/>
              <w:divBdr>
                <w:top w:val="none" w:sz="0" w:space="0" w:color="auto"/>
                <w:left w:val="none" w:sz="0" w:space="0" w:color="auto"/>
                <w:bottom w:val="none" w:sz="0" w:space="0" w:color="auto"/>
                <w:right w:val="none" w:sz="0" w:space="0" w:color="auto"/>
              </w:divBdr>
            </w:div>
            <w:div w:id="1488206939">
              <w:marLeft w:val="0"/>
              <w:marRight w:val="0"/>
              <w:marTop w:val="0"/>
              <w:marBottom w:val="0"/>
              <w:divBdr>
                <w:top w:val="none" w:sz="0" w:space="0" w:color="auto"/>
                <w:left w:val="none" w:sz="0" w:space="0" w:color="auto"/>
                <w:bottom w:val="none" w:sz="0" w:space="0" w:color="auto"/>
                <w:right w:val="none" w:sz="0" w:space="0" w:color="auto"/>
              </w:divBdr>
            </w:div>
            <w:div w:id="1581209102">
              <w:marLeft w:val="0"/>
              <w:marRight w:val="0"/>
              <w:marTop w:val="0"/>
              <w:marBottom w:val="0"/>
              <w:divBdr>
                <w:top w:val="none" w:sz="0" w:space="0" w:color="auto"/>
                <w:left w:val="none" w:sz="0" w:space="0" w:color="auto"/>
                <w:bottom w:val="none" w:sz="0" w:space="0" w:color="auto"/>
                <w:right w:val="none" w:sz="0" w:space="0" w:color="auto"/>
              </w:divBdr>
            </w:div>
            <w:div w:id="1627352320">
              <w:marLeft w:val="0"/>
              <w:marRight w:val="0"/>
              <w:marTop w:val="0"/>
              <w:marBottom w:val="0"/>
              <w:divBdr>
                <w:top w:val="none" w:sz="0" w:space="0" w:color="auto"/>
                <w:left w:val="none" w:sz="0" w:space="0" w:color="auto"/>
                <w:bottom w:val="none" w:sz="0" w:space="0" w:color="auto"/>
                <w:right w:val="none" w:sz="0" w:space="0" w:color="auto"/>
              </w:divBdr>
            </w:div>
            <w:div w:id="1712337040">
              <w:marLeft w:val="0"/>
              <w:marRight w:val="0"/>
              <w:marTop w:val="0"/>
              <w:marBottom w:val="0"/>
              <w:divBdr>
                <w:top w:val="none" w:sz="0" w:space="0" w:color="auto"/>
                <w:left w:val="none" w:sz="0" w:space="0" w:color="auto"/>
                <w:bottom w:val="none" w:sz="0" w:space="0" w:color="auto"/>
                <w:right w:val="none" w:sz="0" w:space="0" w:color="auto"/>
              </w:divBdr>
            </w:div>
            <w:div w:id="1827893793">
              <w:marLeft w:val="0"/>
              <w:marRight w:val="0"/>
              <w:marTop w:val="0"/>
              <w:marBottom w:val="0"/>
              <w:divBdr>
                <w:top w:val="none" w:sz="0" w:space="0" w:color="auto"/>
                <w:left w:val="none" w:sz="0" w:space="0" w:color="auto"/>
                <w:bottom w:val="none" w:sz="0" w:space="0" w:color="auto"/>
                <w:right w:val="none" w:sz="0" w:space="0" w:color="auto"/>
              </w:divBdr>
            </w:div>
            <w:div w:id="1860850398">
              <w:marLeft w:val="0"/>
              <w:marRight w:val="0"/>
              <w:marTop w:val="0"/>
              <w:marBottom w:val="0"/>
              <w:divBdr>
                <w:top w:val="none" w:sz="0" w:space="0" w:color="auto"/>
                <w:left w:val="none" w:sz="0" w:space="0" w:color="auto"/>
                <w:bottom w:val="none" w:sz="0" w:space="0" w:color="auto"/>
                <w:right w:val="none" w:sz="0" w:space="0" w:color="auto"/>
              </w:divBdr>
            </w:div>
            <w:div w:id="1939630415">
              <w:marLeft w:val="0"/>
              <w:marRight w:val="0"/>
              <w:marTop w:val="0"/>
              <w:marBottom w:val="0"/>
              <w:divBdr>
                <w:top w:val="none" w:sz="0" w:space="0" w:color="auto"/>
                <w:left w:val="none" w:sz="0" w:space="0" w:color="auto"/>
                <w:bottom w:val="none" w:sz="0" w:space="0" w:color="auto"/>
                <w:right w:val="none" w:sz="0" w:space="0" w:color="auto"/>
              </w:divBdr>
            </w:div>
            <w:div w:id="2059936515">
              <w:marLeft w:val="0"/>
              <w:marRight w:val="0"/>
              <w:marTop w:val="0"/>
              <w:marBottom w:val="0"/>
              <w:divBdr>
                <w:top w:val="none" w:sz="0" w:space="0" w:color="auto"/>
                <w:left w:val="none" w:sz="0" w:space="0" w:color="auto"/>
                <w:bottom w:val="none" w:sz="0" w:space="0" w:color="auto"/>
                <w:right w:val="none" w:sz="0" w:space="0" w:color="auto"/>
              </w:divBdr>
            </w:div>
            <w:div w:id="2106144558">
              <w:marLeft w:val="0"/>
              <w:marRight w:val="0"/>
              <w:marTop w:val="0"/>
              <w:marBottom w:val="0"/>
              <w:divBdr>
                <w:top w:val="none" w:sz="0" w:space="0" w:color="auto"/>
                <w:left w:val="none" w:sz="0" w:space="0" w:color="auto"/>
                <w:bottom w:val="none" w:sz="0" w:space="0" w:color="auto"/>
                <w:right w:val="none" w:sz="0" w:space="0" w:color="auto"/>
              </w:divBdr>
            </w:div>
          </w:divsChild>
        </w:div>
        <w:div w:id="635262798">
          <w:marLeft w:val="0"/>
          <w:marRight w:val="0"/>
          <w:marTop w:val="0"/>
          <w:marBottom w:val="0"/>
          <w:divBdr>
            <w:top w:val="none" w:sz="0" w:space="0" w:color="auto"/>
            <w:left w:val="none" w:sz="0" w:space="0" w:color="auto"/>
            <w:bottom w:val="none" w:sz="0" w:space="0" w:color="auto"/>
            <w:right w:val="none" w:sz="0" w:space="0" w:color="auto"/>
          </w:divBdr>
          <w:divsChild>
            <w:div w:id="37626924">
              <w:marLeft w:val="0"/>
              <w:marRight w:val="0"/>
              <w:marTop w:val="0"/>
              <w:marBottom w:val="0"/>
              <w:divBdr>
                <w:top w:val="none" w:sz="0" w:space="0" w:color="auto"/>
                <w:left w:val="none" w:sz="0" w:space="0" w:color="auto"/>
                <w:bottom w:val="none" w:sz="0" w:space="0" w:color="auto"/>
                <w:right w:val="none" w:sz="0" w:space="0" w:color="auto"/>
              </w:divBdr>
            </w:div>
            <w:div w:id="41710510">
              <w:marLeft w:val="0"/>
              <w:marRight w:val="0"/>
              <w:marTop w:val="0"/>
              <w:marBottom w:val="0"/>
              <w:divBdr>
                <w:top w:val="none" w:sz="0" w:space="0" w:color="auto"/>
                <w:left w:val="none" w:sz="0" w:space="0" w:color="auto"/>
                <w:bottom w:val="none" w:sz="0" w:space="0" w:color="auto"/>
                <w:right w:val="none" w:sz="0" w:space="0" w:color="auto"/>
              </w:divBdr>
            </w:div>
            <w:div w:id="75135456">
              <w:marLeft w:val="0"/>
              <w:marRight w:val="0"/>
              <w:marTop w:val="0"/>
              <w:marBottom w:val="0"/>
              <w:divBdr>
                <w:top w:val="none" w:sz="0" w:space="0" w:color="auto"/>
                <w:left w:val="none" w:sz="0" w:space="0" w:color="auto"/>
                <w:bottom w:val="none" w:sz="0" w:space="0" w:color="auto"/>
                <w:right w:val="none" w:sz="0" w:space="0" w:color="auto"/>
              </w:divBdr>
            </w:div>
            <w:div w:id="159463738">
              <w:marLeft w:val="0"/>
              <w:marRight w:val="0"/>
              <w:marTop w:val="0"/>
              <w:marBottom w:val="0"/>
              <w:divBdr>
                <w:top w:val="none" w:sz="0" w:space="0" w:color="auto"/>
                <w:left w:val="none" w:sz="0" w:space="0" w:color="auto"/>
                <w:bottom w:val="none" w:sz="0" w:space="0" w:color="auto"/>
                <w:right w:val="none" w:sz="0" w:space="0" w:color="auto"/>
              </w:divBdr>
            </w:div>
            <w:div w:id="553856141">
              <w:marLeft w:val="0"/>
              <w:marRight w:val="0"/>
              <w:marTop w:val="0"/>
              <w:marBottom w:val="0"/>
              <w:divBdr>
                <w:top w:val="none" w:sz="0" w:space="0" w:color="auto"/>
                <w:left w:val="none" w:sz="0" w:space="0" w:color="auto"/>
                <w:bottom w:val="none" w:sz="0" w:space="0" w:color="auto"/>
                <w:right w:val="none" w:sz="0" w:space="0" w:color="auto"/>
              </w:divBdr>
            </w:div>
            <w:div w:id="652635531">
              <w:marLeft w:val="0"/>
              <w:marRight w:val="0"/>
              <w:marTop w:val="0"/>
              <w:marBottom w:val="0"/>
              <w:divBdr>
                <w:top w:val="none" w:sz="0" w:space="0" w:color="auto"/>
                <w:left w:val="none" w:sz="0" w:space="0" w:color="auto"/>
                <w:bottom w:val="none" w:sz="0" w:space="0" w:color="auto"/>
                <w:right w:val="none" w:sz="0" w:space="0" w:color="auto"/>
              </w:divBdr>
            </w:div>
            <w:div w:id="695616366">
              <w:marLeft w:val="0"/>
              <w:marRight w:val="0"/>
              <w:marTop w:val="0"/>
              <w:marBottom w:val="0"/>
              <w:divBdr>
                <w:top w:val="none" w:sz="0" w:space="0" w:color="auto"/>
                <w:left w:val="none" w:sz="0" w:space="0" w:color="auto"/>
                <w:bottom w:val="none" w:sz="0" w:space="0" w:color="auto"/>
                <w:right w:val="none" w:sz="0" w:space="0" w:color="auto"/>
              </w:divBdr>
            </w:div>
            <w:div w:id="879320749">
              <w:marLeft w:val="0"/>
              <w:marRight w:val="0"/>
              <w:marTop w:val="0"/>
              <w:marBottom w:val="0"/>
              <w:divBdr>
                <w:top w:val="none" w:sz="0" w:space="0" w:color="auto"/>
                <w:left w:val="none" w:sz="0" w:space="0" w:color="auto"/>
                <w:bottom w:val="none" w:sz="0" w:space="0" w:color="auto"/>
                <w:right w:val="none" w:sz="0" w:space="0" w:color="auto"/>
              </w:divBdr>
            </w:div>
            <w:div w:id="888147053">
              <w:marLeft w:val="0"/>
              <w:marRight w:val="0"/>
              <w:marTop w:val="0"/>
              <w:marBottom w:val="0"/>
              <w:divBdr>
                <w:top w:val="none" w:sz="0" w:space="0" w:color="auto"/>
                <w:left w:val="none" w:sz="0" w:space="0" w:color="auto"/>
                <w:bottom w:val="none" w:sz="0" w:space="0" w:color="auto"/>
                <w:right w:val="none" w:sz="0" w:space="0" w:color="auto"/>
              </w:divBdr>
            </w:div>
            <w:div w:id="933589257">
              <w:marLeft w:val="0"/>
              <w:marRight w:val="0"/>
              <w:marTop w:val="0"/>
              <w:marBottom w:val="0"/>
              <w:divBdr>
                <w:top w:val="none" w:sz="0" w:space="0" w:color="auto"/>
                <w:left w:val="none" w:sz="0" w:space="0" w:color="auto"/>
                <w:bottom w:val="none" w:sz="0" w:space="0" w:color="auto"/>
                <w:right w:val="none" w:sz="0" w:space="0" w:color="auto"/>
              </w:divBdr>
            </w:div>
            <w:div w:id="1528786486">
              <w:marLeft w:val="0"/>
              <w:marRight w:val="0"/>
              <w:marTop w:val="0"/>
              <w:marBottom w:val="0"/>
              <w:divBdr>
                <w:top w:val="none" w:sz="0" w:space="0" w:color="auto"/>
                <w:left w:val="none" w:sz="0" w:space="0" w:color="auto"/>
                <w:bottom w:val="none" w:sz="0" w:space="0" w:color="auto"/>
                <w:right w:val="none" w:sz="0" w:space="0" w:color="auto"/>
              </w:divBdr>
            </w:div>
            <w:div w:id="1598562940">
              <w:marLeft w:val="0"/>
              <w:marRight w:val="0"/>
              <w:marTop w:val="0"/>
              <w:marBottom w:val="0"/>
              <w:divBdr>
                <w:top w:val="none" w:sz="0" w:space="0" w:color="auto"/>
                <w:left w:val="none" w:sz="0" w:space="0" w:color="auto"/>
                <w:bottom w:val="none" w:sz="0" w:space="0" w:color="auto"/>
                <w:right w:val="none" w:sz="0" w:space="0" w:color="auto"/>
              </w:divBdr>
            </w:div>
            <w:div w:id="1639065003">
              <w:marLeft w:val="0"/>
              <w:marRight w:val="0"/>
              <w:marTop w:val="0"/>
              <w:marBottom w:val="0"/>
              <w:divBdr>
                <w:top w:val="none" w:sz="0" w:space="0" w:color="auto"/>
                <w:left w:val="none" w:sz="0" w:space="0" w:color="auto"/>
                <w:bottom w:val="none" w:sz="0" w:space="0" w:color="auto"/>
                <w:right w:val="none" w:sz="0" w:space="0" w:color="auto"/>
              </w:divBdr>
            </w:div>
            <w:div w:id="1809124392">
              <w:marLeft w:val="0"/>
              <w:marRight w:val="0"/>
              <w:marTop w:val="0"/>
              <w:marBottom w:val="0"/>
              <w:divBdr>
                <w:top w:val="none" w:sz="0" w:space="0" w:color="auto"/>
                <w:left w:val="none" w:sz="0" w:space="0" w:color="auto"/>
                <w:bottom w:val="none" w:sz="0" w:space="0" w:color="auto"/>
                <w:right w:val="none" w:sz="0" w:space="0" w:color="auto"/>
              </w:divBdr>
            </w:div>
            <w:div w:id="1974939666">
              <w:marLeft w:val="0"/>
              <w:marRight w:val="0"/>
              <w:marTop w:val="0"/>
              <w:marBottom w:val="0"/>
              <w:divBdr>
                <w:top w:val="none" w:sz="0" w:space="0" w:color="auto"/>
                <w:left w:val="none" w:sz="0" w:space="0" w:color="auto"/>
                <w:bottom w:val="none" w:sz="0" w:space="0" w:color="auto"/>
                <w:right w:val="none" w:sz="0" w:space="0" w:color="auto"/>
              </w:divBdr>
            </w:div>
            <w:div w:id="2086881174">
              <w:marLeft w:val="0"/>
              <w:marRight w:val="0"/>
              <w:marTop w:val="0"/>
              <w:marBottom w:val="0"/>
              <w:divBdr>
                <w:top w:val="none" w:sz="0" w:space="0" w:color="auto"/>
                <w:left w:val="none" w:sz="0" w:space="0" w:color="auto"/>
                <w:bottom w:val="none" w:sz="0" w:space="0" w:color="auto"/>
                <w:right w:val="none" w:sz="0" w:space="0" w:color="auto"/>
              </w:divBdr>
            </w:div>
          </w:divsChild>
        </w:div>
        <w:div w:id="639698223">
          <w:marLeft w:val="0"/>
          <w:marRight w:val="0"/>
          <w:marTop w:val="0"/>
          <w:marBottom w:val="0"/>
          <w:divBdr>
            <w:top w:val="none" w:sz="0" w:space="0" w:color="auto"/>
            <w:left w:val="none" w:sz="0" w:space="0" w:color="auto"/>
            <w:bottom w:val="none" w:sz="0" w:space="0" w:color="auto"/>
            <w:right w:val="none" w:sz="0" w:space="0" w:color="auto"/>
          </w:divBdr>
        </w:div>
        <w:div w:id="653752679">
          <w:marLeft w:val="0"/>
          <w:marRight w:val="0"/>
          <w:marTop w:val="0"/>
          <w:marBottom w:val="0"/>
          <w:divBdr>
            <w:top w:val="none" w:sz="0" w:space="0" w:color="auto"/>
            <w:left w:val="none" w:sz="0" w:space="0" w:color="auto"/>
            <w:bottom w:val="none" w:sz="0" w:space="0" w:color="auto"/>
            <w:right w:val="none" w:sz="0" w:space="0" w:color="auto"/>
          </w:divBdr>
        </w:div>
        <w:div w:id="668601853">
          <w:marLeft w:val="0"/>
          <w:marRight w:val="0"/>
          <w:marTop w:val="0"/>
          <w:marBottom w:val="0"/>
          <w:divBdr>
            <w:top w:val="none" w:sz="0" w:space="0" w:color="auto"/>
            <w:left w:val="none" w:sz="0" w:space="0" w:color="auto"/>
            <w:bottom w:val="none" w:sz="0" w:space="0" w:color="auto"/>
            <w:right w:val="none" w:sz="0" w:space="0" w:color="auto"/>
          </w:divBdr>
        </w:div>
        <w:div w:id="692195075">
          <w:marLeft w:val="0"/>
          <w:marRight w:val="0"/>
          <w:marTop w:val="0"/>
          <w:marBottom w:val="0"/>
          <w:divBdr>
            <w:top w:val="none" w:sz="0" w:space="0" w:color="auto"/>
            <w:left w:val="none" w:sz="0" w:space="0" w:color="auto"/>
            <w:bottom w:val="none" w:sz="0" w:space="0" w:color="auto"/>
            <w:right w:val="none" w:sz="0" w:space="0" w:color="auto"/>
          </w:divBdr>
          <w:divsChild>
            <w:div w:id="44379692">
              <w:marLeft w:val="0"/>
              <w:marRight w:val="0"/>
              <w:marTop w:val="0"/>
              <w:marBottom w:val="0"/>
              <w:divBdr>
                <w:top w:val="none" w:sz="0" w:space="0" w:color="auto"/>
                <w:left w:val="none" w:sz="0" w:space="0" w:color="auto"/>
                <w:bottom w:val="none" w:sz="0" w:space="0" w:color="auto"/>
                <w:right w:val="none" w:sz="0" w:space="0" w:color="auto"/>
              </w:divBdr>
            </w:div>
            <w:div w:id="120922658">
              <w:marLeft w:val="0"/>
              <w:marRight w:val="0"/>
              <w:marTop w:val="0"/>
              <w:marBottom w:val="0"/>
              <w:divBdr>
                <w:top w:val="none" w:sz="0" w:space="0" w:color="auto"/>
                <w:left w:val="none" w:sz="0" w:space="0" w:color="auto"/>
                <w:bottom w:val="none" w:sz="0" w:space="0" w:color="auto"/>
                <w:right w:val="none" w:sz="0" w:space="0" w:color="auto"/>
              </w:divBdr>
            </w:div>
            <w:div w:id="313726864">
              <w:marLeft w:val="0"/>
              <w:marRight w:val="0"/>
              <w:marTop w:val="0"/>
              <w:marBottom w:val="0"/>
              <w:divBdr>
                <w:top w:val="none" w:sz="0" w:space="0" w:color="auto"/>
                <w:left w:val="none" w:sz="0" w:space="0" w:color="auto"/>
                <w:bottom w:val="none" w:sz="0" w:space="0" w:color="auto"/>
                <w:right w:val="none" w:sz="0" w:space="0" w:color="auto"/>
              </w:divBdr>
            </w:div>
            <w:div w:id="361563088">
              <w:marLeft w:val="0"/>
              <w:marRight w:val="0"/>
              <w:marTop w:val="0"/>
              <w:marBottom w:val="0"/>
              <w:divBdr>
                <w:top w:val="none" w:sz="0" w:space="0" w:color="auto"/>
                <w:left w:val="none" w:sz="0" w:space="0" w:color="auto"/>
                <w:bottom w:val="none" w:sz="0" w:space="0" w:color="auto"/>
                <w:right w:val="none" w:sz="0" w:space="0" w:color="auto"/>
              </w:divBdr>
            </w:div>
            <w:div w:id="431903722">
              <w:marLeft w:val="0"/>
              <w:marRight w:val="0"/>
              <w:marTop w:val="0"/>
              <w:marBottom w:val="0"/>
              <w:divBdr>
                <w:top w:val="none" w:sz="0" w:space="0" w:color="auto"/>
                <w:left w:val="none" w:sz="0" w:space="0" w:color="auto"/>
                <w:bottom w:val="none" w:sz="0" w:space="0" w:color="auto"/>
                <w:right w:val="none" w:sz="0" w:space="0" w:color="auto"/>
              </w:divBdr>
            </w:div>
            <w:div w:id="772822133">
              <w:marLeft w:val="0"/>
              <w:marRight w:val="0"/>
              <w:marTop w:val="0"/>
              <w:marBottom w:val="0"/>
              <w:divBdr>
                <w:top w:val="none" w:sz="0" w:space="0" w:color="auto"/>
                <w:left w:val="none" w:sz="0" w:space="0" w:color="auto"/>
                <w:bottom w:val="none" w:sz="0" w:space="0" w:color="auto"/>
                <w:right w:val="none" w:sz="0" w:space="0" w:color="auto"/>
              </w:divBdr>
            </w:div>
            <w:div w:id="941762046">
              <w:marLeft w:val="0"/>
              <w:marRight w:val="0"/>
              <w:marTop w:val="0"/>
              <w:marBottom w:val="0"/>
              <w:divBdr>
                <w:top w:val="none" w:sz="0" w:space="0" w:color="auto"/>
                <w:left w:val="none" w:sz="0" w:space="0" w:color="auto"/>
                <w:bottom w:val="none" w:sz="0" w:space="0" w:color="auto"/>
                <w:right w:val="none" w:sz="0" w:space="0" w:color="auto"/>
              </w:divBdr>
            </w:div>
            <w:div w:id="1003700990">
              <w:marLeft w:val="0"/>
              <w:marRight w:val="0"/>
              <w:marTop w:val="0"/>
              <w:marBottom w:val="0"/>
              <w:divBdr>
                <w:top w:val="none" w:sz="0" w:space="0" w:color="auto"/>
                <w:left w:val="none" w:sz="0" w:space="0" w:color="auto"/>
                <w:bottom w:val="none" w:sz="0" w:space="0" w:color="auto"/>
                <w:right w:val="none" w:sz="0" w:space="0" w:color="auto"/>
              </w:divBdr>
            </w:div>
            <w:div w:id="1283611792">
              <w:marLeft w:val="0"/>
              <w:marRight w:val="0"/>
              <w:marTop w:val="0"/>
              <w:marBottom w:val="0"/>
              <w:divBdr>
                <w:top w:val="none" w:sz="0" w:space="0" w:color="auto"/>
                <w:left w:val="none" w:sz="0" w:space="0" w:color="auto"/>
                <w:bottom w:val="none" w:sz="0" w:space="0" w:color="auto"/>
                <w:right w:val="none" w:sz="0" w:space="0" w:color="auto"/>
              </w:divBdr>
            </w:div>
            <w:div w:id="1323511116">
              <w:marLeft w:val="0"/>
              <w:marRight w:val="0"/>
              <w:marTop w:val="0"/>
              <w:marBottom w:val="0"/>
              <w:divBdr>
                <w:top w:val="none" w:sz="0" w:space="0" w:color="auto"/>
                <w:left w:val="none" w:sz="0" w:space="0" w:color="auto"/>
                <w:bottom w:val="none" w:sz="0" w:space="0" w:color="auto"/>
                <w:right w:val="none" w:sz="0" w:space="0" w:color="auto"/>
              </w:divBdr>
            </w:div>
            <w:div w:id="1680036462">
              <w:marLeft w:val="0"/>
              <w:marRight w:val="0"/>
              <w:marTop w:val="0"/>
              <w:marBottom w:val="0"/>
              <w:divBdr>
                <w:top w:val="none" w:sz="0" w:space="0" w:color="auto"/>
                <w:left w:val="none" w:sz="0" w:space="0" w:color="auto"/>
                <w:bottom w:val="none" w:sz="0" w:space="0" w:color="auto"/>
                <w:right w:val="none" w:sz="0" w:space="0" w:color="auto"/>
              </w:divBdr>
            </w:div>
            <w:div w:id="1824349131">
              <w:marLeft w:val="0"/>
              <w:marRight w:val="0"/>
              <w:marTop w:val="0"/>
              <w:marBottom w:val="0"/>
              <w:divBdr>
                <w:top w:val="none" w:sz="0" w:space="0" w:color="auto"/>
                <w:left w:val="none" w:sz="0" w:space="0" w:color="auto"/>
                <w:bottom w:val="none" w:sz="0" w:space="0" w:color="auto"/>
                <w:right w:val="none" w:sz="0" w:space="0" w:color="auto"/>
              </w:divBdr>
            </w:div>
            <w:div w:id="1940289214">
              <w:marLeft w:val="0"/>
              <w:marRight w:val="0"/>
              <w:marTop w:val="0"/>
              <w:marBottom w:val="0"/>
              <w:divBdr>
                <w:top w:val="none" w:sz="0" w:space="0" w:color="auto"/>
                <w:left w:val="none" w:sz="0" w:space="0" w:color="auto"/>
                <w:bottom w:val="none" w:sz="0" w:space="0" w:color="auto"/>
                <w:right w:val="none" w:sz="0" w:space="0" w:color="auto"/>
              </w:divBdr>
            </w:div>
            <w:div w:id="1956598547">
              <w:marLeft w:val="0"/>
              <w:marRight w:val="0"/>
              <w:marTop w:val="0"/>
              <w:marBottom w:val="0"/>
              <w:divBdr>
                <w:top w:val="none" w:sz="0" w:space="0" w:color="auto"/>
                <w:left w:val="none" w:sz="0" w:space="0" w:color="auto"/>
                <w:bottom w:val="none" w:sz="0" w:space="0" w:color="auto"/>
                <w:right w:val="none" w:sz="0" w:space="0" w:color="auto"/>
              </w:divBdr>
            </w:div>
            <w:div w:id="2052609758">
              <w:marLeft w:val="0"/>
              <w:marRight w:val="0"/>
              <w:marTop w:val="0"/>
              <w:marBottom w:val="0"/>
              <w:divBdr>
                <w:top w:val="none" w:sz="0" w:space="0" w:color="auto"/>
                <w:left w:val="none" w:sz="0" w:space="0" w:color="auto"/>
                <w:bottom w:val="none" w:sz="0" w:space="0" w:color="auto"/>
                <w:right w:val="none" w:sz="0" w:space="0" w:color="auto"/>
              </w:divBdr>
            </w:div>
          </w:divsChild>
        </w:div>
        <w:div w:id="722677208">
          <w:marLeft w:val="0"/>
          <w:marRight w:val="0"/>
          <w:marTop w:val="0"/>
          <w:marBottom w:val="0"/>
          <w:divBdr>
            <w:top w:val="none" w:sz="0" w:space="0" w:color="auto"/>
            <w:left w:val="none" w:sz="0" w:space="0" w:color="auto"/>
            <w:bottom w:val="none" w:sz="0" w:space="0" w:color="auto"/>
            <w:right w:val="none" w:sz="0" w:space="0" w:color="auto"/>
          </w:divBdr>
        </w:div>
        <w:div w:id="763457531">
          <w:marLeft w:val="0"/>
          <w:marRight w:val="0"/>
          <w:marTop w:val="0"/>
          <w:marBottom w:val="0"/>
          <w:divBdr>
            <w:top w:val="none" w:sz="0" w:space="0" w:color="auto"/>
            <w:left w:val="none" w:sz="0" w:space="0" w:color="auto"/>
            <w:bottom w:val="none" w:sz="0" w:space="0" w:color="auto"/>
            <w:right w:val="none" w:sz="0" w:space="0" w:color="auto"/>
          </w:divBdr>
        </w:div>
        <w:div w:id="768547142">
          <w:marLeft w:val="0"/>
          <w:marRight w:val="0"/>
          <w:marTop w:val="0"/>
          <w:marBottom w:val="0"/>
          <w:divBdr>
            <w:top w:val="none" w:sz="0" w:space="0" w:color="auto"/>
            <w:left w:val="none" w:sz="0" w:space="0" w:color="auto"/>
            <w:bottom w:val="none" w:sz="0" w:space="0" w:color="auto"/>
            <w:right w:val="none" w:sz="0" w:space="0" w:color="auto"/>
          </w:divBdr>
        </w:div>
        <w:div w:id="810906344">
          <w:marLeft w:val="0"/>
          <w:marRight w:val="0"/>
          <w:marTop w:val="0"/>
          <w:marBottom w:val="0"/>
          <w:divBdr>
            <w:top w:val="none" w:sz="0" w:space="0" w:color="auto"/>
            <w:left w:val="none" w:sz="0" w:space="0" w:color="auto"/>
            <w:bottom w:val="none" w:sz="0" w:space="0" w:color="auto"/>
            <w:right w:val="none" w:sz="0" w:space="0" w:color="auto"/>
          </w:divBdr>
        </w:div>
        <w:div w:id="814834039">
          <w:marLeft w:val="0"/>
          <w:marRight w:val="0"/>
          <w:marTop w:val="0"/>
          <w:marBottom w:val="0"/>
          <w:divBdr>
            <w:top w:val="none" w:sz="0" w:space="0" w:color="auto"/>
            <w:left w:val="none" w:sz="0" w:space="0" w:color="auto"/>
            <w:bottom w:val="none" w:sz="0" w:space="0" w:color="auto"/>
            <w:right w:val="none" w:sz="0" w:space="0" w:color="auto"/>
          </w:divBdr>
        </w:div>
        <w:div w:id="822429360">
          <w:marLeft w:val="0"/>
          <w:marRight w:val="0"/>
          <w:marTop w:val="0"/>
          <w:marBottom w:val="0"/>
          <w:divBdr>
            <w:top w:val="none" w:sz="0" w:space="0" w:color="auto"/>
            <w:left w:val="none" w:sz="0" w:space="0" w:color="auto"/>
            <w:bottom w:val="none" w:sz="0" w:space="0" w:color="auto"/>
            <w:right w:val="none" w:sz="0" w:space="0" w:color="auto"/>
          </w:divBdr>
        </w:div>
        <w:div w:id="857158510">
          <w:marLeft w:val="0"/>
          <w:marRight w:val="0"/>
          <w:marTop w:val="0"/>
          <w:marBottom w:val="0"/>
          <w:divBdr>
            <w:top w:val="none" w:sz="0" w:space="0" w:color="auto"/>
            <w:left w:val="none" w:sz="0" w:space="0" w:color="auto"/>
            <w:bottom w:val="none" w:sz="0" w:space="0" w:color="auto"/>
            <w:right w:val="none" w:sz="0" w:space="0" w:color="auto"/>
          </w:divBdr>
        </w:div>
        <w:div w:id="932589439">
          <w:marLeft w:val="0"/>
          <w:marRight w:val="0"/>
          <w:marTop w:val="0"/>
          <w:marBottom w:val="0"/>
          <w:divBdr>
            <w:top w:val="none" w:sz="0" w:space="0" w:color="auto"/>
            <w:left w:val="none" w:sz="0" w:space="0" w:color="auto"/>
            <w:bottom w:val="none" w:sz="0" w:space="0" w:color="auto"/>
            <w:right w:val="none" w:sz="0" w:space="0" w:color="auto"/>
          </w:divBdr>
        </w:div>
        <w:div w:id="961882078">
          <w:marLeft w:val="0"/>
          <w:marRight w:val="0"/>
          <w:marTop w:val="0"/>
          <w:marBottom w:val="0"/>
          <w:divBdr>
            <w:top w:val="none" w:sz="0" w:space="0" w:color="auto"/>
            <w:left w:val="none" w:sz="0" w:space="0" w:color="auto"/>
            <w:bottom w:val="none" w:sz="0" w:space="0" w:color="auto"/>
            <w:right w:val="none" w:sz="0" w:space="0" w:color="auto"/>
          </w:divBdr>
        </w:div>
        <w:div w:id="972370153">
          <w:marLeft w:val="0"/>
          <w:marRight w:val="0"/>
          <w:marTop w:val="0"/>
          <w:marBottom w:val="0"/>
          <w:divBdr>
            <w:top w:val="none" w:sz="0" w:space="0" w:color="auto"/>
            <w:left w:val="none" w:sz="0" w:space="0" w:color="auto"/>
            <w:bottom w:val="none" w:sz="0" w:space="0" w:color="auto"/>
            <w:right w:val="none" w:sz="0" w:space="0" w:color="auto"/>
          </w:divBdr>
        </w:div>
        <w:div w:id="975524466">
          <w:marLeft w:val="0"/>
          <w:marRight w:val="0"/>
          <w:marTop w:val="0"/>
          <w:marBottom w:val="0"/>
          <w:divBdr>
            <w:top w:val="none" w:sz="0" w:space="0" w:color="auto"/>
            <w:left w:val="none" w:sz="0" w:space="0" w:color="auto"/>
            <w:bottom w:val="none" w:sz="0" w:space="0" w:color="auto"/>
            <w:right w:val="none" w:sz="0" w:space="0" w:color="auto"/>
          </w:divBdr>
          <w:divsChild>
            <w:div w:id="317225954">
              <w:marLeft w:val="-75"/>
              <w:marRight w:val="0"/>
              <w:marTop w:val="30"/>
              <w:marBottom w:val="30"/>
              <w:divBdr>
                <w:top w:val="none" w:sz="0" w:space="0" w:color="auto"/>
                <w:left w:val="none" w:sz="0" w:space="0" w:color="auto"/>
                <w:bottom w:val="none" w:sz="0" w:space="0" w:color="auto"/>
                <w:right w:val="none" w:sz="0" w:space="0" w:color="auto"/>
              </w:divBdr>
              <w:divsChild>
                <w:div w:id="487208653">
                  <w:marLeft w:val="0"/>
                  <w:marRight w:val="0"/>
                  <w:marTop w:val="0"/>
                  <w:marBottom w:val="0"/>
                  <w:divBdr>
                    <w:top w:val="none" w:sz="0" w:space="0" w:color="auto"/>
                    <w:left w:val="none" w:sz="0" w:space="0" w:color="auto"/>
                    <w:bottom w:val="none" w:sz="0" w:space="0" w:color="auto"/>
                    <w:right w:val="none" w:sz="0" w:space="0" w:color="auto"/>
                  </w:divBdr>
                  <w:divsChild>
                    <w:div w:id="1926957751">
                      <w:marLeft w:val="0"/>
                      <w:marRight w:val="0"/>
                      <w:marTop w:val="0"/>
                      <w:marBottom w:val="0"/>
                      <w:divBdr>
                        <w:top w:val="none" w:sz="0" w:space="0" w:color="auto"/>
                        <w:left w:val="none" w:sz="0" w:space="0" w:color="auto"/>
                        <w:bottom w:val="none" w:sz="0" w:space="0" w:color="auto"/>
                        <w:right w:val="none" w:sz="0" w:space="0" w:color="auto"/>
                      </w:divBdr>
                    </w:div>
                  </w:divsChild>
                </w:div>
                <w:div w:id="506098161">
                  <w:marLeft w:val="0"/>
                  <w:marRight w:val="0"/>
                  <w:marTop w:val="0"/>
                  <w:marBottom w:val="0"/>
                  <w:divBdr>
                    <w:top w:val="none" w:sz="0" w:space="0" w:color="auto"/>
                    <w:left w:val="none" w:sz="0" w:space="0" w:color="auto"/>
                    <w:bottom w:val="none" w:sz="0" w:space="0" w:color="auto"/>
                    <w:right w:val="none" w:sz="0" w:space="0" w:color="auto"/>
                  </w:divBdr>
                  <w:divsChild>
                    <w:div w:id="1483304625">
                      <w:marLeft w:val="0"/>
                      <w:marRight w:val="0"/>
                      <w:marTop w:val="0"/>
                      <w:marBottom w:val="0"/>
                      <w:divBdr>
                        <w:top w:val="none" w:sz="0" w:space="0" w:color="auto"/>
                        <w:left w:val="none" w:sz="0" w:space="0" w:color="auto"/>
                        <w:bottom w:val="none" w:sz="0" w:space="0" w:color="auto"/>
                        <w:right w:val="none" w:sz="0" w:space="0" w:color="auto"/>
                      </w:divBdr>
                    </w:div>
                  </w:divsChild>
                </w:div>
                <w:div w:id="541792562">
                  <w:marLeft w:val="0"/>
                  <w:marRight w:val="0"/>
                  <w:marTop w:val="0"/>
                  <w:marBottom w:val="0"/>
                  <w:divBdr>
                    <w:top w:val="none" w:sz="0" w:space="0" w:color="auto"/>
                    <w:left w:val="none" w:sz="0" w:space="0" w:color="auto"/>
                    <w:bottom w:val="none" w:sz="0" w:space="0" w:color="auto"/>
                    <w:right w:val="none" w:sz="0" w:space="0" w:color="auto"/>
                  </w:divBdr>
                  <w:divsChild>
                    <w:div w:id="1895390799">
                      <w:marLeft w:val="0"/>
                      <w:marRight w:val="0"/>
                      <w:marTop w:val="0"/>
                      <w:marBottom w:val="0"/>
                      <w:divBdr>
                        <w:top w:val="none" w:sz="0" w:space="0" w:color="auto"/>
                        <w:left w:val="none" w:sz="0" w:space="0" w:color="auto"/>
                        <w:bottom w:val="none" w:sz="0" w:space="0" w:color="auto"/>
                        <w:right w:val="none" w:sz="0" w:space="0" w:color="auto"/>
                      </w:divBdr>
                    </w:div>
                  </w:divsChild>
                </w:div>
                <w:div w:id="971136794">
                  <w:marLeft w:val="0"/>
                  <w:marRight w:val="0"/>
                  <w:marTop w:val="0"/>
                  <w:marBottom w:val="0"/>
                  <w:divBdr>
                    <w:top w:val="none" w:sz="0" w:space="0" w:color="auto"/>
                    <w:left w:val="none" w:sz="0" w:space="0" w:color="auto"/>
                    <w:bottom w:val="none" w:sz="0" w:space="0" w:color="auto"/>
                    <w:right w:val="none" w:sz="0" w:space="0" w:color="auto"/>
                  </w:divBdr>
                  <w:divsChild>
                    <w:div w:id="1403795441">
                      <w:marLeft w:val="0"/>
                      <w:marRight w:val="0"/>
                      <w:marTop w:val="0"/>
                      <w:marBottom w:val="0"/>
                      <w:divBdr>
                        <w:top w:val="none" w:sz="0" w:space="0" w:color="auto"/>
                        <w:left w:val="none" w:sz="0" w:space="0" w:color="auto"/>
                        <w:bottom w:val="none" w:sz="0" w:space="0" w:color="auto"/>
                        <w:right w:val="none" w:sz="0" w:space="0" w:color="auto"/>
                      </w:divBdr>
                    </w:div>
                  </w:divsChild>
                </w:div>
                <w:div w:id="1456366321">
                  <w:marLeft w:val="0"/>
                  <w:marRight w:val="0"/>
                  <w:marTop w:val="0"/>
                  <w:marBottom w:val="0"/>
                  <w:divBdr>
                    <w:top w:val="none" w:sz="0" w:space="0" w:color="auto"/>
                    <w:left w:val="none" w:sz="0" w:space="0" w:color="auto"/>
                    <w:bottom w:val="none" w:sz="0" w:space="0" w:color="auto"/>
                    <w:right w:val="none" w:sz="0" w:space="0" w:color="auto"/>
                  </w:divBdr>
                  <w:divsChild>
                    <w:div w:id="1937513730">
                      <w:marLeft w:val="0"/>
                      <w:marRight w:val="0"/>
                      <w:marTop w:val="0"/>
                      <w:marBottom w:val="0"/>
                      <w:divBdr>
                        <w:top w:val="none" w:sz="0" w:space="0" w:color="auto"/>
                        <w:left w:val="none" w:sz="0" w:space="0" w:color="auto"/>
                        <w:bottom w:val="none" w:sz="0" w:space="0" w:color="auto"/>
                        <w:right w:val="none" w:sz="0" w:space="0" w:color="auto"/>
                      </w:divBdr>
                    </w:div>
                  </w:divsChild>
                </w:div>
                <w:div w:id="1595816360">
                  <w:marLeft w:val="0"/>
                  <w:marRight w:val="0"/>
                  <w:marTop w:val="0"/>
                  <w:marBottom w:val="0"/>
                  <w:divBdr>
                    <w:top w:val="none" w:sz="0" w:space="0" w:color="auto"/>
                    <w:left w:val="none" w:sz="0" w:space="0" w:color="auto"/>
                    <w:bottom w:val="none" w:sz="0" w:space="0" w:color="auto"/>
                    <w:right w:val="none" w:sz="0" w:space="0" w:color="auto"/>
                  </w:divBdr>
                  <w:divsChild>
                    <w:div w:id="1578978869">
                      <w:marLeft w:val="0"/>
                      <w:marRight w:val="0"/>
                      <w:marTop w:val="0"/>
                      <w:marBottom w:val="0"/>
                      <w:divBdr>
                        <w:top w:val="none" w:sz="0" w:space="0" w:color="auto"/>
                        <w:left w:val="none" w:sz="0" w:space="0" w:color="auto"/>
                        <w:bottom w:val="none" w:sz="0" w:space="0" w:color="auto"/>
                        <w:right w:val="none" w:sz="0" w:space="0" w:color="auto"/>
                      </w:divBdr>
                    </w:div>
                  </w:divsChild>
                </w:div>
                <w:div w:id="1608074411">
                  <w:marLeft w:val="0"/>
                  <w:marRight w:val="0"/>
                  <w:marTop w:val="0"/>
                  <w:marBottom w:val="0"/>
                  <w:divBdr>
                    <w:top w:val="none" w:sz="0" w:space="0" w:color="auto"/>
                    <w:left w:val="none" w:sz="0" w:space="0" w:color="auto"/>
                    <w:bottom w:val="none" w:sz="0" w:space="0" w:color="auto"/>
                    <w:right w:val="none" w:sz="0" w:space="0" w:color="auto"/>
                  </w:divBdr>
                  <w:divsChild>
                    <w:div w:id="1269115949">
                      <w:marLeft w:val="0"/>
                      <w:marRight w:val="0"/>
                      <w:marTop w:val="0"/>
                      <w:marBottom w:val="0"/>
                      <w:divBdr>
                        <w:top w:val="none" w:sz="0" w:space="0" w:color="auto"/>
                        <w:left w:val="none" w:sz="0" w:space="0" w:color="auto"/>
                        <w:bottom w:val="none" w:sz="0" w:space="0" w:color="auto"/>
                        <w:right w:val="none" w:sz="0" w:space="0" w:color="auto"/>
                      </w:divBdr>
                    </w:div>
                  </w:divsChild>
                </w:div>
                <w:div w:id="1621188098">
                  <w:marLeft w:val="0"/>
                  <w:marRight w:val="0"/>
                  <w:marTop w:val="0"/>
                  <w:marBottom w:val="0"/>
                  <w:divBdr>
                    <w:top w:val="none" w:sz="0" w:space="0" w:color="auto"/>
                    <w:left w:val="none" w:sz="0" w:space="0" w:color="auto"/>
                    <w:bottom w:val="none" w:sz="0" w:space="0" w:color="auto"/>
                    <w:right w:val="none" w:sz="0" w:space="0" w:color="auto"/>
                  </w:divBdr>
                  <w:divsChild>
                    <w:div w:id="376977918">
                      <w:marLeft w:val="0"/>
                      <w:marRight w:val="0"/>
                      <w:marTop w:val="0"/>
                      <w:marBottom w:val="0"/>
                      <w:divBdr>
                        <w:top w:val="none" w:sz="0" w:space="0" w:color="auto"/>
                        <w:left w:val="none" w:sz="0" w:space="0" w:color="auto"/>
                        <w:bottom w:val="none" w:sz="0" w:space="0" w:color="auto"/>
                        <w:right w:val="none" w:sz="0" w:space="0" w:color="auto"/>
                      </w:divBdr>
                    </w:div>
                  </w:divsChild>
                </w:div>
                <w:div w:id="1650673397">
                  <w:marLeft w:val="0"/>
                  <w:marRight w:val="0"/>
                  <w:marTop w:val="0"/>
                  <w:marBottom w:val="0"/>
                  <w:divBdr>
                    <w:top w:val="none" w:sz="0" w:space="0" w:color="auto"/>
                    <w:left w:val="none" w:sz="0" w:space="0" w:color="auto"/>
                    <w:bottom w:val="none" w:sz="0" w:space="0" w:color="auto"/>
                    <w:right w:val="none" w:sz="0" w:space="0" w:color="auto"/>
                  </w:divBdr>
                  <w:divsChild>
                    <w:div w:id="549532801">
                      <w:marLeft w:val="0"/>
                      <w:marRight w:val="0"/>
                      <w:marTop w:val="0"/>
                      <w:marBottom w:val="0"/>
                      <w:divBdr>
                        <w:top w:val="none" w:sz="0" w:space="0" w:color="auto"/>
                        <w:left w:val="none" w:sz="0" w:space="0" w:color="auto"/>
                        <w:bottom w:val="none" w:sz="0" w:space="0" w:color="auto"/>
                        <w:right w:val="none" w:sz="0" w:space="0" w:color="auto"/>
                      </w:divBdr>
                    </w:div>
                  </w:divsChild>
                </w:div>
                <w:div w:id="1721633141">
                  <w:marLeft w:val="0"/>
                  <w:marRight w:val="0"/>
                  <w:marTop w:val="0"/>
                  <w:marBottom w:val="0"/>
                  <w:divBdr>
                    <w:top w:val="none" w:sz="0" w:space="0" w:color="auto"/>
                    <w:left w:val="none" w:sz="0" w:space="0" w:color="auto"/>
                    <w:bottom w:val="none" w:sz="0" w:space="0" w:color="auto"/>
                    <w:right w:val="none" w:sz="0" w:space="0" w:color="auto"/>
                  </w:divBdr>
                  <w:divsChild>
                    <w:div w:id="1350597490">
                      <w:marLeft w:val="0"/>
                      <w:marRight w:val="0"/>
                      <w:marTop w:val="0"/>
                      <w:marBottom w:val="0"/>
                      <w:divBdr>
                        <w:top w:val="none" w:sz="0" w:space="0" w:color="auto"/>
                        <w:left w:val="none" w:sz="0" w:space="0" w:color="auto"/>
                        <w:bottom w:val="none" w:sz="0" w:space="0" w:color="auto"/>
                        <w:right w:val="none" w:sz="0" w:space="0" w:color="auto"/>
                      </w:divBdr>
                    </w:div>
                  </w:divsChild>
                </w:div>
                <w:div w:id="1965967040">
                  <w:marLeft w:val="0"/>
                  <w:marRight w:val="0"/>
                  <w:marTop w:val="0"/>
                  <w:marBottom w:val="0"/>
                  <w:divBdr>
                    <w:top w:val="none" w:sz="0" w:space="0" w:color="auto"/>
                    <w:left w:val="none" w:sz="0" w:space="0" w:color="auto"/>
                    <w:bottom w:val="none" w:sz="0" w:space="0" w:color="auto"/>
                    <w:right w:val="none" w:sz="0" w:space="0" w:color="auto"/>
                  </w:divBdr>
                  <w:divsChild>
                    <w:div w:id="1204635239">
                      <w:marLeft w:val="0"/>
                      <w:marRight w:val="0"/>
                      <w:marTop w:val="0"/>
                      <w:marBottom w:val="0"/>
                      <w:divBdr>
                        <w:top w:val="none" w:sz="0" w:space="0" w:color="auto"/>
                        <w:left w:val="none" w:sz="0" w:space="0" w:color="auto"/>
                        <w:bottom w:val="none" w:sz="0" w:space="0" w:color="auto"/>
                        <w:right w:val="none" w:sz="0" w:space="0" w:color="auto"/>
                      </w:divBdr>
                    </w:div>
                  </w:divsChild>
                </w:div>
                <w:div w:id="2124301480">
                  <w:marLeft w:val="0"/>
                  <w:marRight w:val="0"/>
                  <w:marTop w:val="0"/>
                  <w:marBottom w:val="0"/>
                  <w:divBdr>
                    <w:top w:val="none" w:sz="0" w:space="0" w:color="auto"/>
                    <w:left w:val="none" w:sz="0" w:space="0" w:color="auto"/>
                    <w:bottom w:val="none" w:sz="0" w:space="0" w:color="auto"/>
                    <w:right w:val="none" w:sz="0" w:space="0" w:color="auto"/>
                  </w:divBdr>
                  <w:divsChild>
                    <w:div w:id="2051690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0057377">
          <w:marLeft w:val="0"/>
          <w:marRight w:val="0"/>
          <w:marTop w:val="0"/>
          <w:marBottom w:val="0"/>
          <w:divBdr>
            <w:top w:val="none" w:sz="0" w:space="0" w:color="auto"/>
            <w:left w:val="none" w:sz="0" w:space="0" w:color="auto"/>
            <w:bottom w:val="none" w:sz="0" w:space="0" w:color="auto"/>
            <w:right w:val="none" w:sz="0" w:space="0" w:color="auto"/>
          </w:divBdr>
        </w:div>
        <w:div w:id="998077275">
          <w:marLeft w:val="0"/>
          <w:marRight w:val="0"/>
          <w:marTop w:val="0"/>
          <w:marBottom w:val="0"/>
          <w:divBdr>
            <w:top w:val="none" w:sz="0" w:space="0" w:color="auto"/>
            <w:left w:val="none" w:sz="0" w:space="0" w:color="auto"/>
            <w:bottom w:val="none" w:sz="0" w:space="0" w:color="auto"/>
            <w:right w:val="none" w:sz="0" w:space="0" w:color="auto"/>
          </w:divBdr>
        </w:div>
        <w:div w:id="1009796084">
          <w:marLeft w:val="0"/>
          <w:marRight w:val="0"/>
          <w:marTop w:val="0"/>
          <w:marBottom w:val="0"/>
          <w:divBdr>
            <w:top w:val="none" w:sz="0" w:space="0" w:color="auto"/>
            <w:left w:val="none" w:sz="0" w:space="0" w:color="auto"/>
            <w:bottom w:val="none" w:sz="0" w:space="0" w:color="auto"/>
            <w:right w:val="none" w:sz="0" w:space="0" w:color="auto"/>
          </w:divBdr>
        </w:div>
        <w:div w:id="1012606581">
          <w:marLeft w:val="0"/>
          <w:marRight w:val="0"/>
          <w:marTop w:val="0"/>
          <w:marBottom w:val="0"/>
          <w:divBdr>
            <w:top w:val="none" w:sz="0" w:space="0" w:color="auto"/>
            <w:left w:val="none" w:sz="0" w:space="0" w:color="auto"/>
            <w:bottom w:val="none" w:sz="0" w:space="0" w:color="auto"/>
            <w:right w:val="none" w:sz="0" w:space="0" w:color="auto"/>
          </w:divBdr>
        </w:div>
        <w:div w:id="1071972481">
          <w:marLeft w:val="0"/>
          <w:marRight w:val="0"/>
          <w:marTop w:val="0"/>
          <w:marBottom w:val="0"/>
          <w:divBdr>
            <w:top w:val="none" w:sz="0" w:space="0" w:color="auto"/>
            <w:left w:val="none" w:sz="0" w:space="0" w:color="auto"/>
            <w:bottom w:val="none" w:sz="0" w:space="0" w:color="auto"/>
            <w:right w:val="none" w:sz="0" w:space="0" w:color="auto"/>
          </w:divBdr>
        </w:div>
        <w:div w:id="1093670905">
          <w:marLeft w:val="0"/>
          <w:marRight w:val="0"/>
          <w:marTop w:val="0"/>
          <w:marBottom w:val="0"/>
          <w:divBdr>
            <w:top w:val="none" w:sz="0" w:space="0" w:color="auto"/>
            <w:left w:val="none" w:sz="0" w:space="0" w:color="auto"/>
            <w:bottom w:val="none" w:sz="0" w:space="0" w:color="auto"/>
            <w:right w:val="none" w:sz="0" w:space="0" w:color="auto"/>
          </w:divBdr>
        </w:div>
        <w:div w:id="1124807593">
          <w:marLeft w:val="0"/>
          <w:marRight w:val="0"/>
          <w:marTop w:val="0"/>
          <w:marBottom w:val="0"/>
          <w:divBdr>
            <w:top w:val="none" w:sz="0" w:space="0" w:color="auto"/>
            <w:left w:val="none" w:sz="0" w:space="0" w:color="auto"/>
            <w:bottom w:val="none" w:sz="0" w:space="0" w:color="auto"/>
            <w:right w:val="none" w:sz="0" w:space="0" w:color="auto"/>
          </w:divBdr>
        </w:div>
        <w:div w:id="1163592680">
          <w:marLeft w:val="0"/>
          <w:marRight w:val="0"/>
          <w:marTop w:val="0"/>
          <w:marBottom w:val="0"/>
          <w:divBdr>
            <w:top w:val="none" w:sz="0" w:space="0" w:color="auto"/>
            <w:left w:val="none" w:sz="0" w:space="0" w:color="auto"/>
            <w:bottom w:val="none" w:sz="0" w:space="0" w:color="auto"/>
            <w:right w:val="none" w:sz="0" w:space="0" w:color="auto"/>
          </w:divBdr>
        </w:div>
        <w:div w:id="1168982702">
          <w:marLeft w:val="0"/>
          <w:marRight w:val="0"/>
          <w:marTop w:val="0"/>
          <w:marBottom w:val="0"/>
          <w:divBdr>
            <w:top w:val="none" w:sz="0" w:space="0" w:color="auto"/>
            <w:left w:val="none" w:sz="0" w:space="0" w:color="auto"/>
            <w:bottom w:val="none" w:sz="0" w:space="0" w:color="auto"/>
            <w:right w:val="none" w:sz="0" w:space="0" w:color="auto"/>
          </w:divBdr>
          <w:divsChild>
            <w:div w:id="257369783">
              <w:marLeft w:val="0"/>
              <w:marRight w:val="0"/>
              <w:marTop w:val="0"/>
              <w:marBottom w:val="0"/>
              <w:divBdr>
                <w:top w:val="none" w:sz="0" w:space="0" w:color="auto"/>
                <w:left w:val="none" w:sz="0" w:space="0" w:color="auto"/>
                <w:bottom w:val="none" w:sz="0" w:space="0" w:color="auto"/>
                <w:right w:val="none" w:sz="0" w:space="0" w:color="auto"/>
              </w:divBdr>
            </w:div>
            <w:div w:id="615404246">
              <w:marLeft w:val="0"/>
              <w:marRight w:val="0"/>
              <w:marTop w:val="0"/>
              <w:marBottom w:val="0"/>
              <w:divBdr>
                <w:top w:val="none" w:sz="0" w:space="0" w:color="auto"/>
                <w:left w:val="none" w:sz="0" w:space="0" w:color="auto"/>
                <w:bottom w:val="none" w:sz="0" w:space="0" w:color="auto"/>
                <w:right w:val="none" w:sz="0" w:space="0" w:color="auto"/>
              </w:divBdr>
            </w:div>
            <w:div w:id="677465859">
              <w:marLeft w:val="0"/>
              <w:marRight w:val="0"/>
              <w:marTop w:val="0"/>
              <w:marBottom w:val="0"/>
              <w:divBdr>
                <w:top w:val="none" w:sz="0" w:space="0" w:color="auto"/>
                <w:left w:val="none" w:sz="0" w:space="0" w:color="auto"/>
                <w:bottom w:val="none" w:sz="0" w:space="0" w:color="auto"/>
                <w:right w:val="none" w:sz="0" w:space="0" w:color="auto"/>
              </w:divBdr>
            </w:div>
            <w:div w:id="678430795">
              <w:marLeft w:val="0"/>
              <w:marRight w:val="0"/>
              <w:marTop w:val="0"/>
              <w:marBottom w:val="0"/>
              <w:divBdr>
                <w:top w:val="none" w:sz="0" w:space="0" w:color="auto"/>
                <w:left w:val="none" w:sz="0" w:space="0" w:color="auto"/>
                <w:bottom w:val="none" w:sz="0" w:space="0" w:color="auto"/>
                <w:right w:val="none" w:sz="0" w:space="0" w:color="auto"/>
              </w:divBdr>
            </w:div>
            <w:div w:id="692726274">
              <w:marLeft w:val="0"/>
              <w:marRight w:val="0"/>
              <w:marTop w:val="0"/>
              <w:marBottom w:val="0"/>
              <w:divBdr>
                <w:top w:val="none" w:sz="0" w:space="0" w:color="auto"/>
                <w:left w:val="none" w:sz="0" w:space="0" w:color="auto"/>
                <w:bottom w:val="none" w:sz="0" w:space="0" w:color="auto"/>
                <w:right w:val="none" w:sz="0" w:space="0" w:color="auto"/>
              </w:divBdr>
            </w:div>
            <w:div w:id="1018510479">
              <w:marLeft w:val="0"/>
              <w:marRight w:val="0"/>
              <w:marTop w:val="0"/>
              <w:marBottom w:val="0"/>
              <w:divBdr>
                <w:top w:val="none" w:sz="0" w:space="0" w:color="auto"/>
                <w:left w:val="none" w:sz="0" w:space="0" w:color="auto"/>
                <w:bottom w:val="none" w:sz="0" w:space="0" w:color="auto"/>
                <w:right w:val="none" w:sz="0" w:space="0" w:color="auto"/>
              </w:divBdr>
            </w:div>
            <w:div w:id="1068190954">
              <w:marLeft w:val="0"/>
              <w:marRight w:val="0"/>
              <w:marTop w:val="0"/>
              <w:marBottom w:val="0"/>
              <w:divBdr>
                <w:top w:val="none" w:sz="0" w:space="0" w:color="auto"/>
                <w:left w:val="none" w:sz="0" w:space="0" w:color="auto"/>
                <w:bottom w:val="none" w:sz="0" w:space="0" w:color="auto"/>
                <w:right w:val="none" w:sz="0" w:space="0" w:color="auto"/>
              </w:divBdr>
            </w:div>
            <w:div w:id="1195729439">
              <w:marLeft w:val="0"/>
              <w:marRight w:val="0"/>
              <w:marTop w:val="0"/>
              <w:marBottom w:val="0"/>
              <w:divBdr>
                <w:top w:val="none" w:sz="0" w:space="0" w:color="auto"/>
                <w:left w:val="none" w:sz="0" w:space="0" w:color="auto"/>
                <w:bottom w:val="none" w:sz="0" w:space="0" w:color="auto"/>
                <w:right w:val="none" w:sz="0" w:space="0" w:color="auto"/>
              </w:divBdr>
            </w:div>
            <w:div w:id="1209800643">
              <w:marLeft w:val="0"/>
              <w:marRight w:val="0"/>
              <w:marTop w:val="0"/>
              <w:marBottom w:val="0"/>
              <w:divBdr>
                <w:top w:val="none" w:sz="0" w:space="0" w:color="auto"/>
                <w:left w:val="none" w:sz="0" w:space="0" w:color="auto"/>
                <w:bottom w:val="none" w:sz="0" w:space="0" w:color="auto"/>
                <w:right w:val="none" w:sz="0" w:space="0" w:color="auto"/>
              </w:divBdr>
            </w:div>
            <w:div w:id="1215315713">
              <w:marLeft w:val="0"/>
              <w:marRight w:val="0"/>
              <w:marTop w:val="0"/>
              <w:marBottom w:val="0"/>
              <w:divBdr>
                <w:top w:val="none" w:sz="0" w:space="0" w:color="auto"/>
                <w:left w:val="none" w:sz="0" w:space="0" w:color="auto"/>
                <w:bottom w:val="none" w:sz="0" w:space="0" w:color="auto"/>
                <w:right w:val="none" w:sz="0" w:space="0" w:color="auto"/>
              </w:divBdr>
            </w:div>
            <w:div w:id="1245064416">
              <w:marLeft w:val="0"/>
              <w:marRight w:val="0"/>
              <w:marTop w:val="0"/>
              <w:marBottom w:val="0"/>
              <w:divBdr>
                <w:top w:val="none" w:sz="0" w:space="0" w:color="auto"/>
                <w:left w:val="none" w:sz="0" w:space="0" w:color="auto"/>
                <w:bottom w:val="none" w:sz="0" w:space="0" w:color="auto"/>
                <w:right w:val="none" w:sz="0" w:space="0" w:color="auto"/>
              </w:divBdr>
            </w:div>
            <w:div w:id="1279869164">
              <w:marLeft w:val="0"/>
              <w:marRight w:val="0"/>
              <w:marTop w:val="0"/>
              <w:marBottom w:val="0"/>
              <w:divBdr>
                <w:top w:val="none" w:sz="0" w:space="0" w:color="auto"/>
                <w:left w:val="none" w:sz="0" w:space="0" w:color="auto"/>
                <w:bottom w:val="none" w:sz="0" w:space="0" w:color="auto"/>
                <w:right w:val="none" w:sz="0" w:space="0" w:color="auto"/>
              </w:divBdr>
            </w:div>
            <w:div w:id="1356154893">
              <w:marLeft w:val="0"/>
              <w:marRight w:val="0"/>
              <w:marTop w:val="0"/>
              <w:marBottom w:val="0"/>
              <w:divBdr>
                <w:top w:val="none" w:sz="0" w:space="0" w:color="auto"/>
                <w:left w:val="none" w:sz="0" w:space="0" w:color="auto"/>
                <w:bottom w:val="none" w:sz="0" w:space="0" w:color="auto"/>
                <w:right w:val="none" w:sz="0" w:space="0" w:color="auto"/>
              </w:divBdr>
            </w:div>
            <w:div w:id="1550996835">
              <w:marLeft w:val="0"/>
              <w:marRight w:val="0"/>
              <w:marTop w:val="0"/>
              <w:marBottom w:val="0"/>
              <w:divBdr>
                <w:top w:val="none" w:sz="0" w:space="0" w:color="auto"/>
                <w:left w:val="none" w:sz="0" w:space="0" w:color="auto"/>
                <w:bottom w:val="none" w:sz="0" w:space="0" w:color="auto"/>
                <w:right w:val="none" w:sz="0" w:space="0" w:color="auto"/>
              </w:divBdr>
            </w:div>
            <w:div w:id="1613777674">
              <w:marLeft w:val="0"/>
              <w:marRight w:val="0"/>
              <w:marTop w:val="0"/>
              <w:marBottom w:val="0"/>
              <w:divBdr>
                <w:top w:val="none" w:sz="0" w:space="0" w:color="auto"/>
                <w:left w:val="none" w:sz="0" w:space="0" w:color="auto"/>
                <w:bottom w:val="none" w:sz="0" w:space="0" w:color="auto"/>
                <w:right w:val="none" w:sz="0" w:space="0" w:color="auto"/>
              </w:divBdr>
            </w:div>
            <w:div w:id="1645701138">
              <w:marLeft w:val="0"/>
              <w:marRight w:val="0"/>
              <w:marTop w:val="0"/>
              <w:marBottom w:val="0"/>
              <w:divBdr>
                <w:top w:val="none" w:sz="0" w:space="0" w:color="auto"/>
                <w:left w:val="none" w:sz="0" w:space="0" w:color="auto"/>
                <w:bottom w:val="none" w:sz="0" w:space="0" w:color="auto"/>
                <w:right w:val="none" w:sz="0" w:space="0" w:color="auto"/>
              </w:divBdr>
            </w:div>
            <w:div w:id="1648168128">
              <w:marLeft w:val="0"/>
              <w:marRight w:val="0"/>
              <w:marTop w:val="0"/>
              <w:marBottom w:val="0"/>
              <w:divBdr>
                <w:top w:val="none" w:sz="0" w:space="0" w:color="auto"/>
                <w:left w:val="none" w:sz="0" w:space="0" w:color="auto"/>
                <w:bottom w:val="none" w:sz="0" w:space="0" w:color="auto"/>
                <w:right w:val="none" w:sz="0" w:space="0" w:color="auto"/>
              </w:divBdr>
            </w:div>
            <w:div w:id="1939678323">
              <w:marLeft w:val="0"/>
              <w:marRight w:val="0"/>
              <w:marTop w:val="0"/>
              <w:marBottom w:val="0"/>
              <w:divBdr>
                <w:top w:val="none" w:sz="0" w:space="0" w:color="auto"/>
                <w:left w:val="none" w:sz="0" w:space="0" w:color="auto"/>
                <w:bottom w:val="none" w:sz="0" w:space="0" w:color="auto"/>
                <w:right w:val="none" w:sz="0" w:space="0" w:color="auto"/>
              </w:divBdr>
            </w:div>
            <w:div w:id="2008096585">
              <w:marLeft w:val="0"/>
              <w:marRight w:val="0"/>
              <w:marTop w:val="0"/>
              <w:marBottom w:val="0"/>
              <w:divBdr>
                <w:top w:val="none" w:sz="0" w:space="0" w:color="auto"/>
                <w:left w:val="none" w:sz="0" w:space="0" w:color="auto"/>
                <w:bottom w:val="none" w:sz="0" w:space="0" w:color="auto"/>
                <w:right w:val="none" w:sz="0" w:space="0" w:color="auto"/>
              </w:divBdr>
            </w:div>
            <w:div w:id="2019384602">
              <w:marLeft w:val="0"/>
              <w:marRight w:val="0"/>
              <w:marTop w:val="0"/>
              <w:marBottom w:val="0"/>
              <w:divBdr>
                <w:top w:val="none" w:sz="0" w:space="0" w:color="auto"/>
                <w:left w:val="none" w:sz="0" w:space="0" w:color="auto"/>
                <w:bottom w:val="none" w:sz="0" w:space="0" w:color="auto"/>
                <w:right w:val="none" w:sz="0" w:space="0" w:color="auto"/>
              </w:divBdr>
            </w:div>
          </w:divsChild>
        </w:div>
        <w:div w:id="1171721316">
          <w:marLeft w:val="0"/>
          <w:marRight w:val="0"/>
          <w:marTop w:val="0"/>
          <w:marBottom w:val="0"/>
          <w:divBdr>
            <w:top w:val="none" w:sz="0" w:space="0" w:color="auto"/>
            <w:left w:val="none" w:sz="0" w:space="0" w:color="auto"/>
            <w:bottom w:val="none" w:sz="0" w:space="0" w:color="auto"/>
            <w:right w:val="none" w:sz="0" w:space="0" w:color="auto"/>
          </w:divBdr>
        </w:div>
        <w:div w:id="1239827819">
          <w:marLeft w:val="0"/>
          <w:marRight w:val="0"/>
          <w:marTop w:val="0"/>
          <w:marBottom w:val="0"/>
          <w:divBdr>
            <w:top w:val="none" w:sz="0" w:space="0" w:color="auto"/>
            <w:left w:val="none" w:sz="0" w:space="0" w:color="auto"/>
            <w:bottom w:val="none" w:sz="0" w:space="0" w:color="auto"/>
            <w:right w:val="none" w:sz="0" w:space="0" w:color="auto"/>
          </w:divBdr>
        </w:div>
        <w:div w:id="1297295098">
          <w:marLeft w:val="0"/>
          <w:marRight w:val="0"/>
          <w:marTop w:val="0"/>
          <w:marBottom w:val="0"/>
          <w:divBdr>
            <w:top w:val="none" w:sz="0" w:space="0" w:color="auto"/>
            <w:left w:val="none" w:sz="0" w:space="0" w:color="auto"/>
            <w:bottom w:val="none" w:sz="0" w:space="0" w:color="auto"/>
            <w:right w:val="none" w:sz="0" w:space="0" w:color="auto"/>
          </w:divBdr>
        </w:div>
        <w:div w:id="1298417300">
          <w:marLeft w:val="0"/>
          <w:marRight w:val="0"/>
          <w:marTop w:val="0"/>
          <w:marBottom w:val="0"/>
          <w:divBdr>
            <w:top w:val="none" w:sz="0" w:space="0" w:color="auto"/>
            <w:left w:val="none" w:sz="0" w:space="0" w:color="auto"/>
            <w:bottom w:val="none" w:sz="0" w:space="0" w:color="auto"/>
            <w:right w:val="none" w:sz="0" w:space="0" w:color="auto"/>
          </w:divBdr>
          <w:divsChild>
            <w:div w:id="768161374">
              <w:marLeft w:val="-75"/>
              <w:marRight w:val="0"/>
              <w:marTop w:val="30"/>
              <w:marBottom w:val="30"/>
              <w:divBdr>
                <w:top w:val="none" w:sz="0" w:space="0" w:color="auto"/>
                <w:left w:val="none" w:sz="0" w:space="0" w:color="auto"/>
                <w:bottom w:val="none" w:sz="0" w:space="0" w:color="auto"/>
                <w:right w:val="none" w:sz="0" w:space="0" w:color="auto"/>
              </w:divBdr>
              <w:divsChild>
                <w:div w:id="306708754">
                  <w:marLeft w:val="0"/>
                  <w:marRight w:val="0"/>
                  <w:marTop w:val="0"/>
                  <w:marBottom w:val="0"/>
                  <w:divBdr>
                    <w:top w:val="none" w:sz="0" w:space="0" w:color="auto"/>
                    <w:left w:val="none" w:sz="0" w:space="0" w:color="auto"/>
                    <w:bottom w:val="none" w:sz="0" w:space="0" w:color="auto"/>
                    <w:right w:val="none" w:sz="0" w:space="0" w:color="auto"/>
                  </w:divBdr>
                  <w:divsChild>
                    <w:div w:id="1671523836">
                      <w:marLeft w:val="0"/>
                      <w:marRight w:val="0"/>
                      <w:marTop w:val="0"/>
                      <w:marBottom w:val="0"/>
                      <w:divBdr>
                        <w:top w:val="none" w:sz="0" w:space="0" w:color="auto"/>
                        <w:left w:val="none" w:sz="0" w:space="0" w:color="auto"/>
                        <w:bottom w:val="none" w:sz="0" w:space="0" w:color="auto"/>
                        <w:right w:val="none" w:sz="0" w:space="0" w:color="auto"/>
                      </w:divBdr>
                    </w:div>
                  </w:divsChild>
                </w:div>
                <w:div w:id="415784499">
                  <w:marLeft w:val="0"/>
                  <w:marRight w:val="0"/>
                  <w:marTop w:val="0"/>
                  <w:marBottom w:val="0"/>
                  <w:divBdr>
                    <w:top w:val="none" w:sz="0" w:space="0" w:color="auto"/>
                    <w:left w:val="none" w:sz="0" w:space="0" w:color="auto"/>
                    <w:bottom w:val="none" w:sz="0" w:space="0" w:color="auto"/>
                    <w:right w:val="none" w:sz="0" w:space="0" w:color="auto"/>
                  </w:divBdr>
                  <w:divsChild>
                    <w:div w:id="2025159462">
                      <w:marLeft w:val="0"/>
                      <w:marRight w:val="0"/>
                      <w:marTop w:val="0"/>
                      <w:marBottom w:val="0"/>
                      <w:divBdr>
                        <w:top w:val="none" w:sz="0" w:space="0" w:color="auto"/>
                        <w:left w:val="none" w:sz="0" w:space="0" w:color="auto"/>
                        <w:bottom w:val="none" w:sz="0" w:space="0" w:color="auto"/>
                        <w:right w:val="none" w:sz="0" w:space="0" w:color="auto"/>
                      </w:divBdr>
                    </w:div>
                  </w:divsChild>
                </w:div>
                <w:div w:id="415907583">
                  <w:marLeft w:val="0"/>
                  <w:marRight w:val="0"/>
                  <w:marTop w:val="0"/>
                  <w:marBottom w:val="0"/>
                  <w:divBdr>
                    <w:top w:val="none" w:sz="0" w:space="0" w:color="auto"/>
                    <w:left w:val="none" w:sz="0" w:space="0" w:color="auto"/>
                    <w:bottom w:val="none" w:sz="0" w:space="0" w:color="auto"/>
                    <w:right w:val="none" w:sz="0" w:space="0" w:color="auto"/>
                  </w:divBdr>
                  <w:divsChild>
                    <w:div w:id="1653290205">
                      <w:marLeft w:val="0"/>
                      <w:marRight w:val="0"/>
                      <w:marTop w:val="0"/>
                      <w:marBottom w:val="0"/>
                      <w:divBdr>
                        <w:top w:val="none" w:sz="0" w:space="0" w:color="auto"/>
                        <w:left w:val="none" w:sz="0" w:space="0" w:color="auto"/>
                        <w:bottom w:val="none" w:sz="0" w:space="0" w:color="auto"/>
                        <w:right w:val="none" w:sz="0" w:space="0" w:color="auto"/>
                      </w:divBdr>
                    </w:div>
                  </w:divsChild>
                </w:div>
                <w:div w:id="482282285">
                  <w:marLeft w:val="0"/>
                  <w:marRight w:val="0"/>
                  <w:marTop w:val="0"/>
                  <w:marBottom w:val="0"/>
                  <w:divBdr>
                    <w:top w:val="none" w:sz="0" w:space="0" w:color="auto"/>
                    <w:left w:val="none" w:sz="0" w:space="0" w:color="auto"/>
                    <w:bottom w:val="none" w:sz="0" w:space="0" w:color="auto"/>
                    <w:right w:val="none" w:sz="0" w:space="0" w:color="auto"/>
                  </w:divBdr>
                  <w:divsChild>
                    <w:div w:id="2000425365">
                      <w:marLeft w:val="0"/>
                      <w:marRight w:val="0"/>
                      <w:marTop w:val="0"/>
                      <w:marBottom w:val="0"/>
                      <w:divBdr>
                        <w:top w:val="none" w:sz="0" w:space="0" w:color="auto"/>
                        <w:left w:val="none" w:sz="0" w:space="0" w:color="auto"/>
                        <w:bottom w:val="none" w:sz="0" w:space="0" w:color="auto"/>
                        <w:right w:val="none" w:sz="0" w:space="0" w:color="auto"/>
                      </w:divBdr>
                    </w:div>
                  </w:divsChild>
                </w:div>
                <w:div w:id="537622065">
                  <w:marLeft w:val="0"/>
                  <w:marRight w:val="0"/>
                  <w:marTop w:val="0"/>
                  <w:marBottom w:val="0"/>
                  <w:divBdr>
                    <w:top w:val="none" w:sz="0" w:space="0" w:color="auto"/>
                    <w:left w:val="none" w:sz="0" w:space="0" w:color="auto"/>
                    <w:bottom w:val="none" w:sz="0" w:space="0" w:color="auto"/>
                    <w:right w:val="none" w:sz="0" w:space="0" w:color="auto"/>
                  </w:divBdr>
                  <w:divsChild>
                    <w:div w:id="2048985173">
                      <w:marLeft w:val="0"/>
                      <w:marRight w:val="0"/>
                      <w:marTop w:val="0"/>
                      <w:marBottom w:val="0"/>
                      <w:divBdr>
                        <w:top w:val="none" w:sz="0" w:space="0" w:color="auto"/>
                        <w:left w:val="none" w:sz="0" w:space="0" w:color="auto"/>
                        <w:bottom w:val="none" w:sz="0" w:space="0" w:color="auto"/>
                        <w:right w:val="none" w:sz="0" w:space="0" w:color="auto"/>
                      </w:divBdr>
                    </w:div>
                  </w:divsChild>
                </w:div>
                <w:div w:id="585698729">
                  <w:marLeft w:val="0"/>
                  <w:marRight w:val="0"/>
                  <w:marTop w:val="0"/>
                  <w:marBottom w:val="0"/>
                  <w:divBdr>
                    <w:top w:val="none" w:sz="0" w:space="0" w:color="auto"/>
                    <w:left w:val="none" w:sz="0" w:space="0" w:color="auto"/>
                    <w:bottom w:val="none" w:sz="0" w:space="0" w:color="auto"/>
                    <w:right w:val="none" w:sz="0" w:space="0" w:color="auto"/>
                  </w:divBdr>
                  <w:divsChild>
                    <w:div w:id="1830751017">
                      <w:marLeft w:val="0"/>
                      <w:marRight w:val="0"/>
                      <w:marTop w:val="0"/>
                      <w:marBottom w:val="0"/>
                      <w:divBdr>
                        <w:top w:val="none" w:sz="0" w:space="0" w:color="auto"/>
                        <w:left w:val="none" w:sz="0" w:space="0" w:color="auto"/>
                        <w:bottom w:val="none" w:sz="0" w:space="0" w:color="auto"/>
                        <w:right w:val="none" w:sz="0" w:space="0" w:color="auto"/>
                      </w:divBdr>
                    </w:div>
                  </w:divsChild>
                </w:div>
                <w:div w:id="1002394563">
                  <w:marLeft w:val="0"/>
                  <w:marRight w:val="0"/>
                  <w:marTop w:val="0"/>
                  <w:marBottom w:val="0"/>
                  <w:divBdr>
                    <w:top w:val="none" w:sz="0" w:space="0" w:color="auto"/>
                    <w:left w:val="none" w:sz="0" w:space="0" w:color="auto"/>
                    <w:bottom w:val="none" w:sz="0" w:space="0" w:color="auto"/>
                    <w:right w:val="none" w:sz="0" w:space="0" w:color="auto"/>
                  </w:divBdr>
                  <w:divsChild>
                    <w:div w:id="962230479">
                      <w:marLeft w:val="0"/>
                      <w:marRight w:val="0"/>
                      <w:marTop w:val="0"/>
                      <w:marBottom w:val="0"/>
                      <w:divBdr>
                        <w:top w:val="none" w:sz="0" w:space="0" w:color="auto"/>
                        <w:left w:val="none" w:sz="0" w:space="0" w:color="auto"/>
                        <w:bottom w:val="none" w:sz="0" w:space="0" w:color="auto"/>
                        <w:right w:val="none" w:sz="0" w:space="0" w:color="auto"/>
                      </w:divBdr>
                    </w:div>
                  </w:divsChild>
                </w:div>
                <w:div w:id="1715301617">
                  <w:marLeft w:val="0"/>
                  <w:marRight w:val="0"/>
                  <w:marTop w:val="0"/>
                  <w:marBottom w:val="0"/>
                  <w:divBdr>
                    <w:top w:val="none" w:sz="0" w:space="0" w:color="auto"/>
                    <w:left w:val="none" w:sz="0" w:space="0" w:color="auto"/>
                    <w:bottom w:val="none" w:sz="0" w:space="0" w:color="auto"/>
                    <w:right w:val="none" w:sz="0" w:space="0" w:color="auto"/>
                  </w:divBdr>
                  <w:divsChild>
                    <w:div w:id="187648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956270">
          <w:marLeft w:val="0"/>
          <w:marRight w:val="0"/>
          <w:marTop w:val="0"/>
          <w:marBottom w:val="0"/>
          <w:divBdr>
            <w:top w:val="none" w:sz="0" w:space="0" w:color="auto"/>
            <w:left w:val="none" w:sz="0" w:space="0" w:color="auto"/>
            <w:bottom w:val="none" w:sz="0" w:space="0" w:color="auto"/>
            <w:right w:val="none" w:sz="0" w:space="0" w:color="auto"/>
          </w:divBdr>
        </w:div>
        <w:div w:id="1311863039">
          <w:marLeft w:val="0"/>
          <w:marRight w:val="0"/>
          <w:marTop w:val="0"/>
          <w:marBottom w:val="0"/>
          <w:divBdr>
            <w:top w:val="none" w:sz="0" w:space="0" w:color="auto"/>
            <w:left w:val="none" w:sz="0" w:space="0" w:color="auto"/>
            <w:bottom w:val="none" w:sz="0" w:space="0" w:color="auto"/>
            <w:right w:val="none" w:sz="0" w:space="0" w:color="auto"/>
          </w:divBdr>
        </w:div>
        <w:div w:id="1315795364">
          <w:marLeft w:val="0"/>
          <w:marRight w:val="0"/>
          <w:marTop w:val="0"/>
          <w:marBottom w:val="0"/>
          <w:divBdr>
            <w:top w:val="none" w:sz="0" w:space="0" w:color="auto"/>
            <w:left w:val="none" w:sz="0" w:space="0" w:color="auto"/>
            <w:bottom w:val="none" w:sz="0" w:space="0" w:color="auto"/>
            <w:right w:val="none" w:sz="0" w:space="0" w:color="auto"/>
          </w:divBdr>
        </w:div>
        <w:div w:id="1360738750">
          <w:marLeft w:val="0"/>
          <w:marRight w:val="0"/>
          <w:marTop w:val="0"/>
          <w:marBottom w:val="0"/>
          <w:divBdr>
            <w:top w:val="none" w:sz="0" w:space="0" w:color="auto"/>
            <w:left w:val="none" w:sz="0" w:space="0" w:color="auto"/>
            <w:bottom w:val="none" w:sz="0" w:space="0" w:color="auto"/>
            <w:right w:val="none" w:sz="0" w:space="0" w:color="auto"/>
          </w:divBdr>
        </w:div>
        <w:div w:id="1385252681">
          <w:marLeft w:val="0"/>
          <w:marRight w:val="0"/>
          <w:marTop w:val="0"/>
          <w:marBottom w:val="0"/>
          <w:divBdr>
            <w:top w:val="none" w:sz="0" w:space="0" w:color="auto"/>
            <w:left w:val="none" w:sz="0" w:space="0" w:color="auto"/>
            <w:bottom w:val="none" w:sz="0" w:space="0" w:color="auto"/>
            <w:right w:val="none" w:sz="0" w:space="0" w:color="auto"/>
          </w:divBdr>
        </w:div>
        <w:div w:id="1389525853">
          <w:marLeft w:val="0"/>
          <w:marRight w:val="0"/>
          <w:marTop w:val="0"/>
          <w:marBottom w:val="0"/>
          <w:divBdr>
            <w:top w:val="none" w:sz="0" w:space="0" w:color="auto"/>
            <w:left w:val="none" w:sz="0" w:space="0" w:color="auto"/>
            <w:bottom w:val="none" w:sz="0" w:space="0" w:color="auto"/>
            <w:right w:val="none" w:sz="0" w:space="0" w:color="auto"/>
          </w:divBdr>
        </w:div>
        <w:div w:id="1423913712">
          <w:marLeft w:val="0"/>
          <w:marRight w:val="0"/>
          <w:marTop w:val="0"/>
          <w:marBottom w:val="0"/>
          <w:divBdr>
            <w:top w:val="none" w:sz="0" w:space="0" w:color="auto"/>
            <w:left w:val="none" w:sz="0" w:space="0" w:color="auto"/>
            <w:bottom w:val="none" w:sz="0" w:space="0" w:color="auto"/>
            <w:right w:val="none" w:sz="0" w:space="0" w:color="auto"/>
          </w:divBdr>
        </w:div>
        <w:div w:id="1443301431">
          <w:marLeft w:val="0"/>
          <w:marRight w:val="0"/>
          <w:marTop w:val="0"/>
          <w:marBottom w:val="0"/>
          <w:divBdr>
            <w:top w:val="none" w:sz="0" w:space="0" w:color="auto"/>
            <w:left w:val="none" w:sz="0" w:space="0" w:color="auto"/>
            <w:bottom w:val="none" w:sz="0" w:space="0" w:color="auto"/>
            <w:right w:val="none" w:sz="0" w:space="0" w:color="auto"/>
          </w:divBdr>
        </w:div>
        <w:div w:id="1446077736">
          <w:marLeft w:val="0"/>
          <w:marRight w:val="0"/>
          <w:marTop w:val="0"/>
          <w:marBottom w:val="0"/>
          <w:divBdr>
            <w:top w:val="none" w:sz="0" w:space="0" w:color="auto"/>
            <w:left w:val="none" w:sz="0" w:space="0" w:color="auto"/>
            <w:bottom w:val="none" w:sz="0" w:space="0" w:color="auto"/>
            <w:right w:val="none" w:sz="0" w:space="0" w:color="auto"/>
          </w:divBdr>
        </w:div>
        <w:div w:id="1450396945">
          <w:marLeft w:val="0"/>
          <w:marRight w:val="0"/>
          <w:marTop w:val="0"/>
          <w:marBottom w:val="0"/>
          <w:divBdr>
            <w:top w:val="none" w:sz="0" w:space="0" w:color="auto"/>
            <w:left w:val="none" w:sz="0" w:space="0" w:color="auto"/>
            <w:bottom w:val="none" w:sz="0" w:space="0" w:color="auto"/>
            <w:right w:val="none" w:sz="0" w:space="0" w:color="auto"/>
          </w:divBdr>
        </w:div>
        <w:div w:id="1453327800">
          <w:marLeft w:val="0"/>
          <w:marRight w:val="0"/>
          <w:marTop w:val="0"/>
          <w:marBottom w:val="0"/>
          <w:divBdr>
            <w:top w:val="none" w:sz="0" w:space="0" w:color="auto"/>
            <w:left w:val="none" w:sz="0" w:space="0" w:color="auto"/>
            <w:bottom w:val="none" w:sz="0" w:space="0" w:color="auto"/>
            <w:right w:val="none" w:sz="0" w:space="0" w:color="auto"/>
          </w:divBdr>
        </w:div>
        <w:div w:id="1482309963">
          <w:marLeft w:val="0"/>
          <w:marRight w:val="0"/>
          <w:marTop w:val="0"/>
          <w:marBottom w:val="0"/>
          <w:divBdr>
            <w:top w:val="none" w:sz="0" w:space="0" w:color="auto"/>
            <w:left w:val="none" w:sz="0" w:space="0" w:color="auto"/>
            <w:bottom w:val="none" w:sz="0" w:space="0" w:color="auto"/>
            <w:right w:val="none" w:sz="0" w:space="0" w:color="auto"/>
          </w:divBdr>
        </w:div>
        <w:div w:id="1520386284">
          <w:marLeft w:val="0"/>
          <w:marRight w:val="0"/>
          <w:marTop w:val="0"/>
          <w:marBottom w:val="0"/>
          <w:divBdr>
            <w:top w:val="none" w:sz="0" w:space="0" w:color="auto"/>
            <w:left w:val="none" w:sz="0" w:space="0" w:color="auto"/>
            <w:bottom w:val="none" w:sz="0" w:space="0" w:color="auto"/>
            <w:right w:val="none" w:sz="0" w:space="0" w:color="auto"/>
          </w:divBdr>
        </w:div>
        <w:div w:id="1529485706">
          <w:marLeft w:val="0"/>
          <w:marRight w:val="0"/>
          <w:marTop w:val="0"/>
          <w:marBottom w:val="0"/>
          <w:divBdr>
            <w:top w:val="none" w:sz="0" w:space="0" w:color="auto"/>
            <w:left w:val="none" w:sz="0" w:space="0" w:color="auto"/>
            <w:bottom w:val="none" w:sz="0" w:space="0" w:color="auto"/>
            <w:right w:val="none" w:sz="0" w:space="0" w:color="auto"/>
          </w:divBdr>
        </w:div>
        <w:div w:id="1557086257">
          <w:marLeft w:val="0"/>
          <w:marRight w:val="0"/>
          <w:marTop w:val="0"/>
          <w:marBottom w:val="0"/>
          <w:divBdr>
            <w:top w:val="none" w:sz="0" w:space="0" w:color="auto"/>
            <w:left w:val="none" w:sz="0" w:space="0" w:color="auto"/>
            <w:bottom w:val="none" w:sz="0" w:space="0" w:color="auto"/>
            <w:right w:val="none" w:sz="0" w:space="0" w:color="auto"/>
          </w:divBdr>
          <w:divsChild>
            <w:div w:id="7106503">
              <w:marLeft w:val="-75"/>
              <w:marRight w:val="0"/>
              <w:marTop w:val="30"/>
              <w:marBottom w:val="30"/>
              <w:divBdr>
                <w:top w:val="none" w:sz="0" w:space="0" w:color="auto"/>
                <w:left w:val="none" w:sz="0" w:space="0" w:color="auto"/>
                <w:bottom w:val="none" w:sz="0" w:space="0" w:color="auto"/>
                <w:right w:val="none" w:sz="0" w:space="0" w:color="auto"/>
              </w:divBdr>
              <w:divsChild>
                <w:div w:id="7217280">
                  <w:marLeft w:val="0"/>
                  <w:marRight w:val="0"/>
                  <w:marTop w:val="0"/>
                  <w:marBottom w:val="0"/>
                  <w:divBdr>
                    <w:top w:val="none" w:sz="0" w:space="0" w:color="auto"/>
                    <w:left w:val="none" w:sz="0" w:space="0" w:color="auto"/>
                    <w:bottom w:val="none" w:sz="0" w:space="0" w:color="auto"/>
                    <w:right w:val="none" w:sz="0" w:space="0" w:color="auto"/>
                  </w:divBdr>
                  <w:divsChild>
                    <w:div w:id="885682154">
                      <w:marLeft w:val="0"/>
                      <w:marRight w:val="0"/>
                      <w:marTop w:val="0"/>
                      <w:marBottom w:val="0"/>
                      <w:divBdr>
                        <w:top w:val="none" w:sz="0" w:space="0" w:color="auto"/>
                        <w:left w:val="none" w:sz="0" w:space="0" w:color="auto"/>
                        <w:bottom w:val="none" w:sz="0" w:space="0" w:color="auto"/>
                        <w:right w:val="none" w:sz="0" w:space="0" w:color="auto"/>
                      </w:divBdr>
                    </w:div>
                  </w:divsChild>
                </w:div>
                <w:div w:id="8334814">
                  <w:marLeft w:val="0"/>
                  <w:marRight w:val="0"/>
                  <w:marTop w:val="0"/>
                  <w:marBottom w:val="0"/>
                  <w:divBdr>
                    <w:top w:val="none" w:sz="0" w:space="0" w:color="auto"/>
                    <w:left w:val="none" w:sz="0" w:space="0" w:color="auto"/>
                    <w:bottom w:val="none" w:sz="0" w:space="0" w:color="auto"/>
                    <w:right w:val="none" w:sz="0" w:space="0" w:color="auto"/>
                  </w:divBdr>
                  <w:divsChild>
                    <w:div w:id="70733489">
                      <w:marLeft w:val="0"/>
                      <w:marRight w:val="0"/>
                      <w:marTop w:val="0"/>
                      <w:marBottom w:val="0"/>
                      <w:divBdr>
                        <w:top w:val="none" w:sz="0" w:space="0" w:color="auto"/>
                        <w:left w:val="none" w:sz="0" w:space="0" w:color="auto"/>
                        <w:bottom w:val="none" w:sz="0" w:space="0" w:color="auto"/>
                        <w:right w:val="none" w:sz="0" w:space="0" w:color="auto"/>
                      </w:divBdr>
                    </w:div>
                  </w:divsChild>
                </w:div>
                <w:div w:id="49228122">
                  <w:marLeft w:val="0"/>
                  <w:marRight w:val="0"/>
                  <w:marTop w:val="0"/>
                  <w:marBottom w:val="0"/>
                  <w:divBdr>
                    <w:top w:val="none" w:sz="0" w:space="0" w:color="auto"/>
                    <w:left w:val="none" w:sz="0" w:space="0" w:color="auto"/>
                    <w:bottom w:val="none" w:sz="0" w:space="0" w:color="auto"/>
                    <w:right w:val="none" w:sz="0" w:space="0" w:color="auto"/>
                  </w:divBdr>
                  <w:divsChild>
                    <w:div w:id="1603608101">
                      <w:marLeft w:val="0"/>
                      <w:marRight w:val="0"/>
                      <w:marTop w:val="0"/>
                      <w:marBottom w:val="0"/>
                      <w:divBdr>
                        <w:top w:val="none" w:sz="0" w:space="0" w:color="auto"/>
                        <w:left w:val="none" w:sz="0" w:space="0" w:color="auto"/>
                        <w:bottom w:val="none" w:sz="0" w:space="0" w:color="auto"/>
                        <w:right w:val="none" w:sz="0" w:space="0" w:color="auto"/>
                      </w:divBdr>
                    </w:div>
                  </w:divsChild>
                </w:div>
                <w:div w:id="54740413">
                  <w:marLeft w:val="0"/>
                  <w:marRight w:val="0"/>
                  <w:marTop w:val="0"/>
                  <w:marBottom w:val="0"/>
                  <w:divBdr>
                    <w:top w:val="none" w:sz="0" w:space="0" w:color="auto"/>
                    <w:left w:val="none" w:sz="0" w:space="0" w:color="auto"/>
                    <w:bottom w:val="none" w:sz="0" w:space="0" w:color="auto"/>
                    <w:right w:val="none" w:sz="0" w:space="0" w:color="auto"/>
                  </w:divBdr>
                  <w:divsChild>
                    <w:div w:id="370809751">
                      <w:marLeft w:val="0"/>
                      <w:marRight w:val="0"/>
                      <w:marTop w:val="0"/>
                      <w:marBottom w:val="0"/>
                      <w:divBdr>
                        <w:top w:val="none" w:sz="0" w:space="0" w:color="auto"/>
                        <w:left w:val="none" w:sz="0" w:space="0" w:color="auto"/>
                        <w:bottom w:val="none" w:sz="0" w:space="0" w:color="auto"/>
                        <w:right w:val="none" w:sz="0" w:space="0" w:color="auto"/>
                      </w:divBdr>
                    </w:div>
                  </w:divsChild>
                </w:div>
                <w:div w:id="58328517">
                  <w:marLeft w:val="0"/>
                  <w:marRight w:val="0"/>
                  <w:marTop w:val="0"/>
                  <w:marBottom w:val="0"/>
                  <w:divBdr>
                    <w:top w:val="none" w:sz="0" w:space="0" w:color="auto"/>
                    <w:left w:val="none" w:sz="0" w:space="0" w:color="auto"/>
                    <w:bottom w:val="none" w:sz="0" w:space="0" w:color="auto"/>
                    <w:right w:val="none" w:sz="0" w:space="0" w:color="auto"/>
                  </w:divBdr>
                  <w:divsChild>
                    <w:div w:id="1027830589">
                      <w:marLeft w:val="0"/>
                      <w:marRight w:val="0"/>
                      <w:marTop w:val="0"/>
                      <w:marBottom w:val="0"/>
                      <w:divBdr>
                        <w:top w:val="none" w:sz="0" w:space="0" w:color="auto"/>
                        <w:left w:val="none" w:sz="0" w:space="0" w:color="auto"/>
                        <w:bottom w:val="none" w:sz="0" w:space="0" w:color="auto"/>
                        <w:right w:val="none" w:sz="0" w:space="0" w:color="auto"/>
                      </w:divBdr>
                    </w:div>
                  </w:divsChild>
                </w:div>
                <w:div w:id="64913142">
                  <w:marLeft w:val="0"/>
                  <w:marRight w:val="0"/>
                  <w:marTop w:val="0"/>
                  <w:marBottom w:val="0"/>
                  <w:divBdr>
                    <w:top w:val="none" w:sz="0" w:space="0" w:color="auto"/>
                    <w:left w:val="none" w:sz="0" w:space="0" w:color="auto"/>
                    <w:bottom w:val="none" w:sz="0" w:space="0" w:color="auto"/>
                    <w:right w:val="none" w:sz="0" w:space="0" w:color="auto"/>
                  </w:divBdr>
                  <w:divsChild>
                    <w:div w:id="1632593300">
                      <w:marLeft w:val="0"/>
                      <w:marRight w:val="0"/>
                      <w:marTop w:val="0"/>
                      <w:marBottom w:val="0"/>
                      <w:divBdr>
                        <w:top w:val="none" w:sz="0" w:space="0" w:color="auto"/>
                        <w:left w:val="none" w:sz="0" w:space="0" w:color="auto"/>
                        <w:bottom w:val="none" w:sz="0" w:space="0" w:color="auto"/>
                        <w:right w:val="none" w:sz="0" w:space="0" w:color="auto"/>
                      </w:divBdr>
                    </w:div>
                  </w:divsChild>
                </w:div>
                <w:div w:id="70274002">
                  <w:marLeft w:val="0"/>
                  <w:marRight w:val="0"/>
                  <w:marTop w:val="0"/>
                  <w:marBottom w:val="0"/>
                  <w:divBdr>
                    <w:top w:val="none" w:sz="0" w:space="0" w:color="auto"/>
                    <w:left w:val="none" w:sz="0" w:space="0" w:color="auto"/>
                    <w:bottom w:val="none" w:sz="0" w:space="0" w:color="auto"/>
                    <w:right w:val="none" w:sz="0" w:space="0" w:color="auto"/>
                  </w:divBdr>
                  <w:divsChild>
                    <w:div w:id="1097411337">
                      <w:marLeft w:val="0"/>
                      <w:marRight w:val="0"/>
                      <w:marTop w:val="0"/>
                      <w:marBottom w:val="0"/>
                      <w:divBdr>
                        <w:top w:val="none" w:sz="0" w:space="0" w:color="auto"/>
                        <w:left w:val="none" w:sz="0" w:space="0" w:color="auto"/>
                        <w:bottom w:val="none" w:sz="0" w:space="0" w:color="auto"/>
                        <w:right w:val="none" w:sz="0" w:space="0" w:color="auto"/>
                      </w:divBdr>
                    </w:div>
                  </w:divsChild>
                </w:div>
                <w:div w:id="88544085">
                  <w:marLeft w:val="0"/>
                  <w:marRight w:val="0"/>
                  <w:marTop w:val="0"/>
                  <w:marBottom w:val="0"/>
                  <w:divBdr>
                    <w:top w:val="none" w:sz="0" w:space="0" w:color="auto"/>
                    <w:left w:val="none" w:sz="0" w:space="0" w:color="auto"/>
                    <w:bottom w:val="none" w:sz="0" w:space="0" w:color="auto"/>
                    <w:right w:val="none" w:sz="0" w:space="0" w:color="auto"/>
                  </w:divBdr>
                  <w:divsChild>
                    <w:div w:id="37123657">
                      <w:marLeft w:val="0"/>
                      <w:marRight w:val="0"/>
                      <w:marTop w:val="0"/>
                      <w:marBottom w:val="0"/>
                      <w:divBdr>
                        <w:top w:val="none" w:sz="0" w:space="0" w:color="auto"/>
                        <w:left w:val="none" w:sz="0" w:space="0" w:color="auto"/>
                        <w:bottom w:val="none" w:sz="0" w:space="0" w:color="auto"/>
                        <w:right w:val="none" w:sz="0" w:space="0" w:color="auto"/>
                      </w:divBdr>
                    </w:div>
                  </w:divsChild>
                </w:div>
                <w:div w:id="92556236">
                  <w:marLeft w:val="0"/>
                  <w:marRight w:val="0"/>
                  <w:marTop w:val="0"/>
                  <w:marBottom w:val="0"/>
                  <w:divBdr>
                    <w:top w:val="none" w:sz="0" w:space="0" w:color="auto"/>
                    <w:left w:val="none" w:sz="0" w:space="0" w:color="auto"/>
                    <w:bottom w:val="none" w:sz="0" w:space="0" w:color="auto"/>
                    <w:right w:val="none" w:sz="0" w:space="0" w:color="auto"/>
                  </w:divBdr>
                  <w:divsChild>
                    <w:div w:id="1534423024">
                      <w:marLeft w:val="0"/>
                      <w:marRight w:val="0"/>
                      <w:marTop w:val="0"/>
                      <w:marBottom w:val="0"/>
                      <w:divBdr>
                        <w:top w:val="none" w:sz="0" w:space="0" w:color="auto"/>
                        <w:left w:val="none" w:sz="0" w:space="0" w:color="auto"/>
                        <w:bottom w:val="none" w:sz="0" w:space="0" w:color="auto"/>
                        <w:right w:val="none" w:sz="0" w:space="0" w:color="auto"/>
                      </w:divBdr>
                    </w:div>
                  </w:divsChild>
                </w:div>
                <w:div w:id="106239361">
                  <w:marLeft w:val="0"/>
                  <w:marRight w:val="0"/>
                  <w:marTop w:val="0"/>
                  <w:marBottom w:val="0"/>
                  <w:divBdr>
                    <w:top w:val="none" w:sz="0" w:space="0" w:color="auto"/>
                    <w:left w:val="none" w:sz="0" w:space="0" w:color="auto"/>
                    <w:bottom w:val="none" w:sz="0" w:space="0" w:color="auto"/>
                    <w:right w:val="none" w:sz="0" w:space="0" w:color="auto"/>
                  </w:divBdr>
                  <w:divsChild>
                    <w:div w:id="358749756">
                      <w:marLeft w:val="0"/>
                      <w:marRight w:val="0"/>
                      <w:marTop w:val="0"/>
                      <w:marBottom w:val="0"/>
                      <w:divBdr>
                        <w:top w:val="none" w:sz="0" w:space="0" w:color="auto"/>
                        <w:left w:val="none" w:sz="0" w:space="0" w:color="auto"/>
                        <w:bottom w:val="none" w:sz="0" w:space="0" w:color="auto"/>
                        <w:right w:val="none" w:sz="0" w:space="0" w:color="auto"/>
                      </w:divBdr>
                    </w:div>
                  </w:divsChild>
                </w:div>
                <w:div w:id="107166366">
                  <w:marLeft w:val="0"/>
                  <w:marRight w:val="0"/>
                  <w:marTop w:val="0"/>
                  <w:marBottom w:val="0"/>
                  <w:divBdr>
                    <w:top w:val="none" w:sz="0" w:space="0" w:color="auto"/>
                    <w:left w:val="none" w:sz="0" w:space="0" w:color="auto"/>
                    <w:bottom w:val="none" w:sz="0" w:space="0" w:color="auto"/>
                    <w:right w:val="none" w:sz="0" w:space="0" w:color="auto"/>
                  </w:divBdr>
                  <w:divsChild>
                    <w:div w:id="284191131">
                      <w:marLeft w:val="0"/>
                      <w:marRight w:val="0"/>
                      <w:marTop w:val="0"/>
                      <w:marBottom w:val="0"/>
                      <w:divBdr>
                        <w:top w:val="none" w:sz="0" w:space="0" w:color="auto"/>
                        <w:left w:val="none" w:sz="0" w:space="0" w:color="auto"/>
                        <w:bottom w:val="none" w:sz="0" w:space="0" w:color="auto"/>
                        <w:right w:val="none" w:sz="0" w:space="0" w:color="auto"/>
                      </w:divBdr>
                    </w:div>
                  </w:divsChild>
                </w:div>
                <w:div w:id="127089618">
                  <w:marLeft w:val="0"/>
                  <w:marRight w:val="0"/>
                  <w:marTop w:val="0"/>
                  <w:marBottom w:val="0"/>
                  <w:divBdr>
                    <w:top w:val="none" w:sz="0" w:space="0" w:color="auto"/>
                    <w:left w:val="none" w:sz="0" w:space="0" w:color="auto"/>
                    <w:bottom w:val="none" w:sz="0" w:space="0" w:color="auto"/>
                    <w:right w:val="none" w:sz="0" w:space="0" w:color="auto"/>
                  </w:divBdr>
                  <w:divsChild>
                    <w:div w:id="225116794">
                      <w:marLeft w:val="0"/>
                      <w:marRight w:val="0"/>
                      <w:marTop w:val="0"/>
                      <w:marBottom w:val="0"/>
                      <w:divBdr>
                        <w:top w:val="none" w:sz="0" w:space="0" w:color="auto"/>
                        <w:left w:val="none" w:sz="0" w:space="0" w:color="auto"/>
                        <w:bottom w:val="none" w:sz="0" w:space="0" w:color="auto"/>
                        <w:right w:val="none" w:sz="0" w:space="0" w:color="auto"/>
                      </w:divBdr>
                    </w:div>
                  </w:divsChild>
                </w:div>
                <w:div w:id="153838392">
                  <w:marLeft w:val="0"/>
                  <w:marRight w:val="0"/>
                  <w:marTop w:val="0"/>
                  <w:marBottom w:val="0"/>
                  <w:divBdr>
                    <w:top w:val="none" w:sz="0" w:space="0" w:color="auto"/>
                    <w:left w:val="none" w:sz="0" w:space="0" w:color="auto"/>
                    <w:bottom w:val="none" w:sz="0" w:space="0" w:color="auto"/>
                    <w:right w:val="none" w:sz="0" w:space="0" w:color="auto"/>
                  </w:divBdr>
                  <w:divsChild>
                    <w:div w:id="478617856">
                      <w:marLeft w:val="0"/>
                      <w:marRight w:val="0"/>
                      <w:marTop w:val="0"/>
                      <w:marBottom w:val="0"/>
                      <w:divBdr>
                        <w:top w:val="none" w:sz="0" w:space="0" w:color="auto"/>
                        <w:left w:val="none" w:sz="0" w:space="0" w:color="auto"/>
                        <w:bottom w:val="none" w:sz="0" w:space="0" w:color="auto"/>
                        <w:right w:val="none" w:sz="0" w:space="0" w:color="auto"/>
                      </w:divBdr>
                    </w:div>
                  </w:divsChild>
                </w:div>
                <w:div w:id="229393220">
                  <w:marLeft w:val="0"/>
                  <w:marRight w:val="0"/>
                  <w:marTop w:val="0"/>
                  <w:marBottom w:val="0"/>
                  <w:divBdr>
                    <w:top w:val="none" w:sz="0" w:space="0" w:color="auto"/>
                    <w:left w:val="none" w:sz="0" w:space="0" w:color="auto"/>
                    <w:bottom w:val="none" w:sz="0" w:space="0" w:color="auto"/>
                    <w:right w:val="none" w:sz="0" w:space="0" w:color="auto"/>
                  </w:divBdr>
                  <w:divsChild>
                    <w:div w:id="1966233827">
                      <w:marLeft w:val="0"/>
                      <w:marRight w:val="0"/>
                      <w:marTop w:val="0"/>
                      <w:marBottom w:val="0"/>
                      <w:divBdr>
                        <w:top w:val="none" w:sz="0" w:space="0" w:color="auto"/>
                        <w:left w:val="none" w:sz="0" w:space="0" w:color="auto"/>
                        <w:bottom w:val="none" w:sz="0" w:space="0" w:color="auto"/>
                        <w:right w:val="none" w:sz="0" w:space="0" w:color="auto"/>
                      </w:divBdr>
                    </w:div>
                  </w:divsChild>
                </w:div>
                <w:div w:id="239291487">
                  <w:marLeft w:val="0"/>
                  <w:marRight w:val="0"/>
                  <w:marTop w:val="0"/>
                  <w:marBottom w:val="0"/>
                  <w:divBdr>
                    <w:top w:val="none" w:sz="0" w:space="0" w:color="auto"/>
                    <w:left w:val="none" w:sz="0" w:space="0" w:color="auto"/>
                    <w:bottom w:val="none" w:sz="0" w:space="0" w:color="auto"/>
                    <w:right w:val="none" w:sz="0" w:space="0" w:color="auto"/>
                  </w:divBdr>
                  <w:divsChild>
                    <w:div w:id="1250702053">
                      <w:marLeft w:val="0"/>
                      <w:marRight w:val="0"/>
                      <w:marTop w:val="0"/>
                      <w:marBottom w:val="0"/>
                      <w:divBdr>
                        <w:top w:val="none" w:sz="0" w:space="0" w:color="auto"/>
                        <w:left w:val="none" w:sz="0" w:space="0" w:color="auto"/>
                        <w:bottom w:val="none" w:sz="0" w:space="0" w:color="auto"/>
                        <w:right w:val="none" w:sz="0" w:space="0" w:color="auto"/>
                      </w:divBdr>
                    </w:div>
                  </w:divsChild>
                </w:div>
                <w:div w:id="246810945">
                  <w:marLeft w:val="0"/>
                  <w:marRight w:val="0"/>
                  <w:marTop w:val="0"/>
                  <w:marBottom w:val="0"/>
                  <w:divBdr>
                    <w:top w:val="none" w:sz="0" w:space="0" w:color="auto"/>
                    <w:left w:val="none" w:sz="0" w:space="0" w:color="auto"/>
                    <w:bottom w:val="none" w:sz="0" w:space="0" w:color="auto"/>
                    <w:right w:val="none" w:sz="0" w:space="0" w:color="auto"/>
                  </w:divBdr>
                  <w:divsChild>
                    <w:div w:id="943419540">
                      <w:marLeft w:val="0"/>
                      <w:marRight w:val="0"/>
                      <w:marTop w:val="0"/>
                      <w:marBottom w:val="0"/>
                      <w:divBdr>
                        <w:top w:val="none" w:sz="0" w:space="0" w:color="auto"/>
                        <w:left w:val="none" w:sz="0" w:space="0" w:color="auto"/>
                        <w:bottom w:val="none" w:sz="0" w:space="0" w:color="auto"/>
                        <w:right w:val="none" w:sz="0" w:space="0" w:color="auto"/>
                      </w:divBdr>
                    </w:div>
                  </w:divsChild>
                </w:div>
                <w:div w:id="252209783">
                  <w:marLeft w:val="0"/>
                  <w:marRight w:val="0"/>
                  <w:marTop w:val="0"/>
                  <w:marBottom w:val="0"/>
                  <w:divBdr>
                    <w:top w:val="none" w:sz="0" w:space="0" w:color="auto"/>
                    <w:left w:val="none" w:sz="0" w:space="0" w:color="auto"/>
                    <w:bottom w:val="none" w:sz="0" w:space="0" w:color="auto"/>
                    <w:right w:val="none" w:sz="0" w:space="0" w:color="auto"/>
                  </w:divBdr>
                  <w:divsChild>
                    <w:div w:id="910695199">
                      <w:marLeft w:val="0"/>
                      <w:marRight w:val="0"/>
                      <w:marTop w:val="0"/>
                      <w:marBottom w:val="0"/>
                      <w:divBdr>
                        <w:top w:val="none" w:sz="0" w:space="0" w:color="auto"/>
                        <w:left w:val="none" w:sz="0" w:space="0" w:color="auto"/>
                        <w:bottom w:val="none" w:sz="0" w:space="0" w:color="auto"/>
                        <w:right w:val="none" w:sz="0" w:space="0" w:color="auto"/>
                      </w:divBdr>
                    </w:div>
                  </w:divsChild>
                </w:div>
                <w:div w:id="256982493">
                  <w:marLeft w:val="0"/>
                  <w:marRight w:val="0"/>
                  <w:marTop w:val="0"/>
                  <w:marBottom w:val="0"/>
                  <w:divBdr>
                    <w:top w:val="none" w:sz="0" w:space="0" w:color="auto"/>
                    <w:left w:val="none" w:sz="0" w:space="0" w:color="auto"/>
                    <w:bottom w:val="none" w:sz="0" w:space="0" w:color="auto"/>
                    <w:right w:val="none" w:sz="0" w:space="0" w:color="auto"/>
                  </w:divBdr>
                  <w:divsChild>
                    <w:div w:id="1285042867">
                      <w:marLeft w:val="0"/>
                      <w:marRight w:val="0"/>
                      <w:marTop w:val="0"/>
                      <w:marBottom w:val="0"/>
                      <w:divBdr>
                        <w:top w:val="none" w:sz="0" w:space="0" w:color="auto"/>
                        <w:left w:val="none" w:sz="0" w:space="0" w:color="auto"/>
                        <w:bottom w:val="none" w:sz="0" w:space="0" w:color="auto"/>
                        <w:right w:val="none" w:sz="0" w:space="0" w:color="auto"/>
                      </w:divBdr>
                    </w:div>
                  </w:divsChild>
                </w:div>
                <w:div w:id="291636137">
                  <w:marLeft w:val="0"/>
                  <w:marRight w:val="0"/>
                  <w:marTop w:val="0"/>
                  <w:marBottom w:val="0"/>
                  <w:divBdr>
                    <w:top w:val="none" w:sz="0" w:space="0" w:color="auto"/>
                    <w:left w:val="none" w:sz="0" w:space="0" w:color="auto"/>
                    <w:bottom w:val="none" w:sz="0" w:space="0" w:color="auto"/>
                    <w:right w:val="none" w:sz="0" w:space="0" w:color="auto"/>
                  </w:divBdr>
                  <w:divsChild>
                    <w:div w:id="1861165082">
                      <w:marLeft w:val="0"/>
                      <w:marRight w:val="0"/>
                      <w:marTop w:val="0"/>
                      <w:marBottom w:val="0"/>
                      <w:divBdr>
                        <w:top w:val="none" w:sz="0" w:space="0" w:color="auto"/>
                        <w:left w:val="none" w:sz="0" w:space="0" w:color="auto"/>
                        <w:bottom w:val="none" w:sz="0" w:space="0" w:color="auto"/>
                        <w:right w:val="none" w:sz="0" w:space="0" w:color="auto"/>
                      </w:divBdr>
                    </w:div>
                  </w:divsChild>
                </w:div>
                <w:div w:id="306017524">
                  <w:marLeft w:val="0"/>
                  <w:marRight w:val="0"/>
                  <w:marTop w:val="0"/>
                  <w:marBottom w:val="0"/>
                  <w:divBdr>
                    <w:top w:val="none" w:sz="0" w:space="0" w:color="auto"/>
                    <w:left w:val="none" w:sz="0" w:space="0" w:color="auto"/>
                    <w:bottom w:val="none" w:sz="0" w:space="0" w:color="auto"/>
                    <w:right w:val="none" w:sz="0" w:space="0" w:color="auto"/>
                  </w:divBdr>
                  <w:divsChild>
                    <w:div w:id="1171606077">
                      <w:marLeft w:val="0"/>
                      <w:marRight w:val="0"/>
                      <w:marTop w:val="0"/>
                      <w:marBottom w:val="0"/>
                      <w:divBdr>
                        <w:top w:val="none" w:sz="0" w:space="0" w:color="auto"/>
                        <w:left w:val="none" w:sz="0" w:space="0" w:color="auto"/>
                        <w:bottom w:val="none" w:sz="0" w:space="0" w:color="auto"/>
                        <w:right w:val="none" w:sz="0" w:space="0" w:color="auto"/>
                      </w:divBdr>
                    </w:div>
                  </w:divsChild>
                </w:div>
                <w:div w:id="338392025">
                  <w:marLeft w:val="0"/>
                  <w:marRight w:val="0"/>
                  <w:marTop w:val="0"/>
                  <w:marBottom w:val="0"/>
                  <w:divBdr>
                    <w:top w:val="none" w:sz="0" w:space="0" w:color="auto"/>
                    <w:left w:val="none" w:sz="0" w:space="0" w:color="auto"/>
                    <w:bottom w:val="none" w:sz="0" w:space="0" w:color="auto"/>
                    <w:right w:val="none" w:sz="0" w:space="0" w:color="auto"/>
                  </w:divBdr>
                  <w:divsChild>
                    <w:div w:id="132794854">
                      <w:marLeft w:val="0"/>
                      <w:marRight w:val="0"/>
                      <w:marTop w:val="0"/>
                      <w:marBottom w:val="0"/>
                      <w:divBdr>
                        <w:top w:val="none" w:sz="0" w:space="0" w:color="auto"/>
                        <w:left w:val="none" w:sz="0" w:space="0" w:color="auto"/>
                        <w:bottom w:val="none" w:sz="0" w:space="0" w:color="auto"/>
                        <w:right w:val="none" w:sz="0" w:space="0" w:color="auto"/>
                      </w:divBdr>
                    </w:div>
                  </w:divsChild>
                </w:div>
                <w:div w:id="348917993">
                  <w:marLeft w:val="0"/>
                  <w:marRight w:val="0"/>
                  <w:marTop w:val="0"/>
                  <w:marBottom w:val="0"/>
                  <w:divBdr>
                    <w:top w:val="none" w:sz="0" w:space="0" w:color="auto"/>
                    <w:left w:val="none" w:sz="0" w:space="0" w:color="auto"/>
                    <w:bottom w:val="none" w:sz="0" w:space="0" w:color="auto"/>
                    <w:right w:val="none" w:sz="0" w:space="0" w:color="auto"/>
                  </w:divBdr>
                  <w:divsChild>
                    <w:div w:id="374504530">
                      <w:marLeft w:val="0"/>
                      <w:marRight w:val="0"/>
                      <w:marTop w:val="0"/>
                      <w:marBottom w:val="0"/>
                      <w:divBdr>
                        <w:top w:val="none" w:sz="0" w:space="0" w:color="auto"/>
                        <w:left w:val="none" w:sz="0" w:space="0" w:color="auto"/>
                        <w:bottom w:val="none" w:sz="0" w:space="0" w:color="auto"/>
                        <w:right w:val="none" w:sz="0" w:space="0" w:color="auto"/>
                      </w:divBdr>
                    </w:div>
                  </w:divsChild>
                </w:div>
                <w:div w:id="402802997">
                  <w:marLeft w:val="0"/>
                  <w:marRight w:val="0"/>
                  <w:marTop w:val="0"/>
                  <w:marBottom w:val="0"/>
                  <w:divBdr>
                    <w:top w:val="none" w:sz="0" w:space="0" w:color="auto"/>
                    <w:left w:val="none" w:sz="0" w:space="0" w:color="auto"/>
                    <w:bottom w:val="none" w:sz="0" w:space="0" w:color="auto"/>
                    <w:right w:val="none" w:sz="0" w:space="0" w:color="auto"/>
                  </w:divBdr>
                  <w:divsChild>
                    <w:div w:id="800151505">
                      <w:marLeft w:val="0"/>
                      <w:marRight w:val="0"/>
                      <w:marTop w:val="0"/>
                      <w:marBottom w:val="0"/>
                      <w:divBdr>
                        <w:top w:val="none" w:sz="0" w:space="0" w:color="auto"/>
                        <w:left w:val="none" w:sz="0" w:space="0" w:color="auto"/>
                        <w:bottom w:val="none" w:sz="0" w:space="0" w:color="auto"/>
                        <w:right w:val="none" w:sz="0" w:space="0" w:color="auto"/>
                      </w:divBdr>
                    </w:div>
                  </w:divsChild>
                </w:div>
                <w:div w:id="414010496">
                  <w:marLeft w:val="0"/>
                  <w:marRight w:val="0"/>
                  <w:marTop w:val="0"/>
                  <w:marBottom w:val="0"/>
                  <w:divBdr>
                    <w:top w:val="none" w:sz="0" w:space="0" w:color="auto"/>
                    <w:left w:val="none" w:sz="0" w:space="0" w:color="auto"/>
                    <w:bottom w:val="none" w:sz="0" w:space="0" w:color="auto"/>
                    <w:right w:val="none" w:sz="0" w:space="0" w:color="auto"/>
                  </w:divBdr>
                  <w:divsChild>
                    <w:div w:id="612369269">
                      <w:marLeft w:val="0"/>
                      <w:marRight w:val="0"/>
                      <w:marTop w:val="0"/>
                      <w:marBottom w:val="0"/>
                      <w:divBdr>
                        <w:top w:val="none" w:sz="0" w:space="0" w:color="auto"/>
                        <w:left w:val="none" w:sz="0" w:space="0" w:color="auto"/>
                        <w:bottom w:val="none" w:sz="0" w:space="0" w:color="auto"/>
                        <w:right w:val="none" w:sz="0" w:space="0" w:color="auto"/>
                      </w:divBdr>
                    </w:div>
                  </w:divsChild>
                </w:div>
                <w:div w:id="425274361">
                  <w:marLeft w:val="0"/>
                  <w:marRight w:val="0"/>
                  <w:marTop w:val="0"/>
                  <w:marBottom w:val="0"/>
                  <w:divBdr>
                    <w:top w:val="none" w:sz="0" w:space="0" w:color="auto"/>
                    <w:left w:val="none" w:sz="0" w:space="0" w:color="auto"/>
                    <w:bottom w:val="none" w:sz="0" w:space="0" w:color="auto"/>
                    <w:right w:val="none" w:sz="0" w:space="0" w:color="auto"/>
                  </w:divBdr>
                  <w:divsChild>
                    <w:div w:id="49764796">
                      <w:marLeft w:val="0"/>
                      <w:marRight w:val="0"/>
                      <w:marTop w:val="0"/>
                      <w:marBottom w:val="0"/>
                      <w:divBdr>
                        <w:top w:val="none" w:sz="0" w:space="0" w:color="auto"/>
                        <w:left w:val="none" w:sz="0" w:space="0" w:color="auto"/>
                        <w:bottom w:val="none" w:sz="0" w:space="0" w:color="auto"/>
                        <w:right w:val="none" w:sz="0" w:space="0" w:color="auto"/>
                      </w:divBdr>
                    </w:div>
                  </w:divsChild>
                </w:div>
                <w:div w:id="437872923">
                  <w:marLeft w:val="0"/>
                  <w:marRight w:val="0"/>
                  <w:marTop w:val="0"/>
                  <w:marBottom w:val="0"/>
                  <w:divBdr>
                    <w:top w:val="none" w:sz="0" w:space="0" w:color="auto"/>
                    <w:left w:val="none" w:sz="0" w:space="0" w:color="auto"/>
                    <w:bottom w:val="none" w:sz="0" w:space="0" w:color="auto"/>
                    <w:right w:val="none" w:sz="0" w:space="0" w:color="auto"/>
                  </w:divBdr>
                  <w:divsChild>
                    <w:div w:id="684672242">
                      <w:marLeft w:val="0"/>
                      <w:marRight w:val="0"/>
                      <w:marTop w:val="0"/>
                      <w:marBottom w:val="0"/>
                      <w:divBdr>
                        <w:top w:val="none" w:sz="0" w:space="0" w:color="auto"/>
                        <w:left w:val="none" w:sz="0" w:space="0" w:color="auto"/>
                        <w:bottom w:val="none" w:sz="0" w:space="0" w:color="auto"/>
                        <w:right w:val="none" w:sz="0" w:space="0" w:color="auto"/>
                      </w:divBdr>
                    </w:div>
                  </w:divsChild>
                </w:div>
                <w:div w:id="441346189">
                  <w:marLeft w:val="0"/>
                  <w:marRight w:val="0"/>
                  <w:marTop w:val="0"/>
                  <w:marBottom w:val="0"/>
                  <w:divBdr>
                    <w:top w:val="none" w:sz="0" w:space="0" w:color="auto"/>
                    <w:left w:val="none" w:sz="0" w:space="0" w:color="auto"/>
                    <w:bottom w:val="none" w:sz="0" w:space="0" w:color="auto"/>
                    <w:right w:val="none" w:sz="0" w:space="0" w:color="auto"/>
                  </w:divBdr>
                  <w:divsChild>
                    <w:div w:id="1653750652">
                      <w:marLeft w:val="0"/>
                      <w:marRight w:val="0"/>
                      <w:marTop w:val="0"/>
                      <w:marBottom w:val="0"/>
                      <w:divBdr>
                        <w:top w:val="none" w:sz="0" w:space="0" w:color="auto"/>
                        <w:left w:val="none" w:sz="0" w:space="0" w:color="auto"/>
                        <w:bottom w:val="none" w:sz="0" w:space="0" w:color="auto"/>
                        <w:right w:val="none" w:sz="0" w:space="0" w:color="auto"/>
                      </w:divBdr>
                    </w:div>
                  </w:divsChild>
                </w:div>
                <w:div w:id="476151318">
                  <w:marLeft w:val="0"/>
                  <w:marRight w:val="0"/>
                  <w:marTop w:val="0"/>
                  <w:marBottom w:val="0"/>
                  <w:divBdr>
                    <w:top w:val="none" w:sz="0" w:space="0" w:color="auto"/>
                    <w:left w:val="none" w:sz="0" w:space="0" w:color="auto"/>
                    <w:bottom w:val="none" w:sz="0" w:space="0" w:color="auto"/>
                    <w:right w:val="none" w:sz="0" w:space="0" w:color="auto"/>
                  </w:divBdr>
                  <w:divsChild>
                    <w:div w:id="85007803">
                      <w:marLeft w:val="0"/>
                      <w:marRight w:val="0"/>
                      <w:marTop w:val="0"/>
                      <w:marBottom w:val="0"/>
                      <w:divBdr>
                        <w:top w:val="none" w:sz="0" w:space="0" w:color="auto"/>
                        <w:left w:val="none" w:sz="0" w:space="0" w:color="auto"/>
                        <w:bottom w:val="none" w:sz="0" w:space="0" w:color="auto"/>
                        <w:right w:val="none" w:sz="0" w:space="0" w:color="auto"/>
                      </w:divBdr>
                    </w:div>
                  </w:divsChild>
                </w:div>
                <w:div w:id="486869751">
                  <w:marLeft w:val="0"/>
                  <w:marRight w:val="0"/>
                  <w:marTop w:val="0"/>
                  <w:marBottom w:val="0"/>
                  <w:divBdr>
                    <w:top w:val="none" w:sz="0" w:space="0" w:color="auto"/>
                    <w:left w:val="none" w:sz="0" w:space="0" w:color="auto"/>
                    <w:bottom w:val="none" w:sz="0" w:space="0" w:color="auto"/>
                    <w:right w:val="none" w:sz="0" w:space="0" w:color="auto"/>
                  </w:divBdr>
                  <w:divsChild>
                    <w:div w:id="1984893327">
                      <w:marLeft w:val="0"/>
                      <w:marRight w:val="0"/>
                      <w:marTop w:val="0"/>
                      <w:marBottom w:val="0"/>
                      <w:divBdr>
                        <w:top w:val="none" w:sz="0" w:space="0" w:color="auto"/>
                        <w:left w:val="none" w:sz="0" w:space="0" w:color="auto"/>
                        <w:bottom w:val="none" w:sz="0" w:space="0" w:color="auto"/>
                        <w:right w:val="none" w:sz="0" w:space="0" w:color="auto"/>
                      </w:divBdr>
                    </w:div>
                  </w:divsChild>
                </w:div>
                <w:div w:id="489827182">
                  <w:marLeft w:val="0"/>
                  <w:marRight w:val="0"/>
                  <w:marTop w:val="0"/>
                  <w:marBottom w:val="0"/>
                  <w:divBdr>
                    <w:top w:val="none" w:sz="0" w:space="0" w:color="auto"/>
                    <w:left w:val="none" w:sz="0" w:space="0" w:color="auto"/>
                    <w:bottom w:val="none" w:sz="0" w:space="0" w:color="auto"/>
                    <w:right w:val="none" w:sz="0" w:space="0" w:color="auto"/>
                  </w:divBdr>
                  <w:divsChild>
                    <w:div w:id="1226600323">
                      <w:marLeft w:val="0"/>
                      <w:marRight w:val="0"/>
                      <w:marTop w:val="0"/>
                      <w:marBottom w:val="0"/>
                      <w:divBdr>
                        <w:top w:val="none" w:sz="0" w:space="0" w:color="auto"/>
                        <w:left w:val="none" w:sz="0" w:space="0" w:color="auto"/>
                        <w:bottom w:val="none" w:sz="0" w:space="0" w:color="auto"/>
                        <w:right w:val="none" w:sz="0" w:space="0" w:color="auto"/>
                      </w:divBdr>
                    </w:div>
                  </w:divsChild>
                </w:div>
                <w:div w:id="548300329">
                  <w:marLeft w:val="0"/>
                  <w:marRight w:val="0"/>
                  <w:marTop w:val="0"/>
                  <w:marBottom w:val="0"/>
                  <w:divBdr>
                    <w:top w:val="none" w:sz="0" w:space="0" w:color="auto"/>
                    <w:left w:val="none" w:sz="0" w:space="0" w:color="auto"/>
                    <w:bottom w:val="none" w:sz="0" w:space="0" w:color="auto"/>
                    <w:right w:val="none" w:sz="0" w:space="0" w:color="auto"/>
                  </w:divBdr>
                  <w:divsChild>
                    <w:div w:id="453980855">
                      <w:marLeft w:val="0"/>
                      <w:marRight w:val="0"/>
                      <w:marTop w:val="0"/>
                      <w:marBottom w:val="0"/>
                      <w:divBdr>
                        <w:top w:val="none" w:sz="0" w:space="0" w:color="auto"/>
                        <w:left w:val="none" w:sz="0" w:space="0" w:color="auto"/>
                        <w:bottom w:val="none" w:sz="0" w:space="0" w:color="auto"/>
                        <w:right w:val="none" w:sz="0" w:space="0" w:color="auto"/>
                      </w:divBdr>
                    </w:div>
                  </w:divsChild>
                </w:div>
                <w:div w:id="553197115">
                  <w:marLeft w:val="0"/>
                  <w:marRight w:val="0"/>
                  <w:marTop w:val="0"/>
                  <w:marBottom w:val="0"/>
                  <w:divBdr>
                    <w:top w:val="none" w:sz="0" w:space="0" w:color="auto"/>
                    <w:left w:val="none" w:sz="0" w:space="0" w:color="auto"/>
                    <w:bottom w:val="none" w:sz="0" w:space="0" w:color="auto"/>
                    <w:right w:val="none" w:sz="0" w:space="0" w:color="auto"/>
                  </w:divBdr>
                  <w:divsChild>
                    <w:div w:id="54203878">
                      <w:marLeft w:val="0"/>
                      <w:marRight w:val="0"/>
                      <w:marTop w:val="0"/>
                      <w:marBottom w:val="0"/>
                      <w:divBdr>
                        <w:top w:val="none" w:sz="0" w:space="0" w:color="auto"/>
                        <w:left w:val="none" w:sz="0" w:space="0" w:color="auto"/>
                        <w:bottom w:val="none" w:sz="0" w:space="0" w:color="auto"/>
                        <w:right w:val="none" w:sz="0" w:space="0" w:color="auto"/>
                      </w:divBdr>
                    </w:div>
                  </w:divsChild>
                </w:div>
                <w:div w:id="568154561">
                  <w:marLeft w:val="0"/>
                  <w:marRight w:val="0"/>
                  <w:marTop w:val="0"/>
                  <w:marBottom w:val="0"/>
                  <w:divBdr>
                    <w:top w:val="none" w:sz="0" w:space="0" w:color="auto"/>
                    <w:left w:val="none" w:sz="0" w:space="0" w:color="auto"/>
                    <w:bottom w:val="none" w:sz="0" w:space="0" w:color="auto"/>
                    <w:right w:val="none" w:sz="0" w:space="0" w:color="auto"/>
                  </w:divBdr>
                  <w:divsChild>
                    <w:div w:id="1209564910">
                      <w:marLeft w:val="0"/>
                      <w:marRight w:val="0"/>
                      <w:marTop w:val="0"/>
                      <w:marBottom w:val="0"/>
                      <w:divBdr>
                        <w:top w:val="none" w:sz="0" w:space="0" w:color="auto"/>
                        <w:left w:val="none" w:sz="0" w:space="0" w:color="auto"/>
                        <w:bottom w:val="none" w:sz="0" w:space="0" w:color="auto"/>
                        <w:right w:val="none" w:sz="0" w:space="0" w:color="auto"/>
                      </w:divBdr>
                    </w:div>
                  </w:divsChild>
                </w:div>
                <w:div w:id="568926657">
                  <w:marLeft w:val="0"/>
                  <w:marRight w:val="0"/>
                  <w:marTop w:val="0"/>
                  <w:marBottom w:val="0"/>
                  <w:divBdr>
                    <w:top w:val="none" w:sz="0" w:space="0" w:color="auto"/>
                    <w:left w:val="none" w:sz="0" w:space="0" w:color="auto"/>
                    <w:bottom w:val="none" w:sz="0" w:space="0" w:color="auto"/>
                    <w:right w:val="none" w:sz="0" w:space="0" w:color="auto"/>
                  </w:divBdr>
                  <w:divsChild>
                    <w:div w:id="1000691225">
                      <w:marLeft w:val="0"/>
                      <w:marRight w:val="0"/>
                      <w:marTop w:val="0"/>
                      <w:marBottom w:val="0"/>
                      <w:divBdr>
                        <w:top w:val="none" w:sz="0" w:space="0" w:color="auto"/>
                        <w:left w:val="none" w:sz="0" w:space="0" w:color="auto"/>
                        <w:bottom w:val="none" w:sz="0" w:space="0" w:color="auto"/>
                        <w:right w:val="none" w:sz="0" w:space="0" w:color="auto"/>
                      </w:divBdr>
                    </w:div>
                  </w:divsChild>
                </w:div>
                <w:div w:id="588125005">
                  <w:marLeft w:val="0"/>
                  <w:marRight w:val="0"/>
                  <w:marTop w:val="0"/>
                  <w:marBottom w:val="0"/>
                  <w:divBdr>
                    <w:top w:val="none" w:sz="0" w:space="0" w:color="auto"/>
                    <w:left w:val="none" w:sz="0" w:space="0" w:color="auto"/>
                    <w:bottom w:val="none" w:sz="0" w:space="0" w:color="auto"/>
                    <w:right w:val="none" w:sz="0" w:space="0" w:color="auto"/>
                  </w:divBdr>
                  <w:divsChild>
                    <w:div w:id="1592003766">
                      <w:marLeft w:val="0"/>
                      <w:marRight w:val="0"/>
                      <w:marTop w:val="0"/>
                      <w:marBottom w:val="0"/>
                      <w:divBdr>
                        <w:top w:val="none" w:sz="0" w:space="0" w:color="auto"/>
                        <w:left w:val="none" w:sz="0" w:space="0" w:color="auto"/>
                        <w:bottom w:val="none" w:sz="0" w:space="0" w:color="auto"/>
                        <w:right w:val="none" w:sz="0" w:space="0" w:color="auto"/>
                      </w:divBdr>
                    </w:div>
                  </w:divsChild>
                </w:div>
                <w:div w:id="611058900">
                  <w:marLeft w:val="0"/>
                  <w:marRight w:val="0"/>
                  <w:marTop w:val="0"/>
                  <w:marBottom w:val="0"/>
                  <w:divBdr>
                    <w:top w:val="none" w:sz="0" w:space="0" w:color="auto"/>
                    <w:left w:val="none" w:sz="0" w:space="0" w:color="auto"/>
                    <w:bottom w:val="none" w:sz="0" w:space="0" w:color="auto"/>
                    <w:right w:val="none" w:sz="0" w:space="0" w:color="auto"/>
                  </w:divBdr>
                  <w:divsChild>
                    <w:div w:id="1389918451">
                      <w:marLeft w:val="0"/>
                      <w:marRight w:val="0"/>
                      <w:marTop w:val="0"/>
                      <w:marBottom w:val="0"/>
                      <w:divBdr>
                        <w:top w:val="none" w:sz="0" w:space="0" w:color="auto"/>
                        <w:left w:val="none" w:sz="0" w:space="0" w:color="auto"/>
                        <w:bottom w:val="none" w:sz="0" w:space="0" w:color="auto"/>
                        <w:right w:val="none" w:sz="0" w:space="0" w:color="auto"/>
                      </w:divBdr>
                    </w:div>
                  </w:divsChild>
                </w:div>
                <w:div w:id="637341595">
                  <w:marLeft w:val="0"/>
                  <w:marRight w:val="0"/>
                  <w:marTop w:val="0"/>
                  <w:marBottom w:val="0"/>
                  <w:divBdr>
                    <w:top w:val="none" w:sz="0" w:space="0" w:color="auto"/>
                    <w:left w:val="none" w:sz="0" w:space="0" w:color="auto"/>
                    <w:bottom w:val="none" w:sz="0" w:space="0" w:color="auto"/>
                    <w:right w:val="none" w:sz="0" w:space="0" w:color="auto"/>
                  </w:divBdr>
                  <w:divsChild>
                    <w:div w:id="1786850058">
                      <w:marLeft w:val="0"/>
                      <w:marRight w:val="0"/>
                      <w:marTop w:val="0"/>
                      <w:marBottom w:val="0"/>
                      <w:divBdr>
                        <w:top w:val="none" w:sz="0" w:space="0" w:color="auto"/>
                        <w:left w:val="none" w:sz="0" w:space="0" w:color="auto"/>
                        <w:bottom w:val="none" w:sz="0" w:space="0" w:color="auto"/>
                        <w:right w:val="none" w:sz="0" w:space="0" w:color="auto"/>
                      </w:divBdr>
                    </w:div>
                  </w:divsChild>
                </w:div>
                <w:div w:id="639655860">
                  <w:marLeft w:val="0"/>
                  <w:marRight w:val="0"/>
                  <w:marTop w:val="0"/>
                  <w:marBottom w:val="0"/>
                  <w:divBdr>
                    <w:top w:val="none" w:sz="0" w:space="0" w:color="auto"/>
                    <w:left w:val="none" w:sz="0" w:space="0" w:color="auto"/>
                    <w:bottom w:val="none" w:sz="0" w:space="0" w:color="auto"/>
                    <w:right w:val="none" w:sz="0" w:space="0" w:color="auto"/>
                  </w:divBdr>
                  <w:divsChild>
                    <w:div w:id="717044945">
                      <w:marLeft w:val="0"/>
                      <w:marRight w:val="0"/>
                      <w:marTop w:val="0"/>
                      <w:marBottom w:val="0"/>
                      <w:divBdr>
                        <w:top w:val="none" w:sz="0" w:space="0" w:color="auto"/>
                        <w:left w:val="none" w:sz="0" w:space="0" w:color="auto"/>
                        <w:bottom w:val="none" w:sz="0" w:space="0" w:color="auto"/>
                        <w:right w:val="none" w:sz="0" w:space="0" w:color="auto"/>
                      </w:divBdr>
                    </w:div>
                  </w:divsChild>
                </w:div>
                <w:div w:id="658076289">
                  <w:marLeft w:val="0"/>
                  <w:marRight w:val="0"/>
                  <w:marTop w:val="0"/>
                  <w:marBottom w:val="0"/>
                  <w:divBdr>
                    <w:top w:val="none" w:sz="0" w:space="0" w:color="auto"/>
                    <w:left w:val="none" w:sz="0" w:space="0" w:color="auto"/>
                    <w:bottom w:val="none" w:sz="0" w:space="0" w:color="auto"/>
                    <w:right w:val="none" w:sz="0" w:space="0" w:color="auto"/>
                  </w:divBdr>
                  <w:divsChild>
                    <w:div w:id="1009412281">
                      <w:marLeft w:val="0"/>
                      <w:marRight w:val="0"/>
                      <w:marTop w:val="0"/>
                      <w:marBottom w:val="0"/>
                      <w:divBdr>
                        <w:top w:val="none" w:sz="0" w:space="0" w:color="auto"/>
                        <w:left w:val="none" w:sz="0" w:space="0" w:color="auto"/>
                        <w:bottom w:val="none" w:sz="0" w:space="0" w:color="auto"/>
                        <w:right w:val="none" w:sz="0" w:space="0" w:color="auto"/>
                      </w:divBdr>
                    </w:div>
                  </w:divsChild>
                </w:div>
                <w:div w:id="722867005">
                  <w:marLeft w:val="0"/>
                  <w:marRight w:val="0"/>
                  <w:marTop w:val="0"/>
                  <w:marBottom w:val="0"/>
                  <w:divBdr>
                    <w:top w:val="none" w:sz="0" w:space="0" w:color="auto"/>
                    <w:left w:val="none" w:sz="0" w:space="0" w:color="auto"/>
                    <w:bottom w:val="none" w:sz="0" w:space="0" w:color="auto"/>
                    <w:right w:val="none" w:sz="0" w:space="0" w:color="auto"/>
                  </w:divBdr>
                  <w:divsChild>
                    <w:div w:id="315450319">
                      <w:marLeft w:val="0"/>
                      <w:marRight w:val="0"/>
                      <w:marTop w:val="0"/>
                      <w:marBottom w:val="0"/>
                      <w:divBdr>
                        <w:top w:val="none" w:sz="0" w:space="0" w:color="auto"/>
                        <w:left w:val="none" w:sz="0" w:space="0" w:color="auto"/>
                        <w:bottom w:val="none" w:sz="0" w:space="0" w:color="auto"/>
                        <w:right w:val="none" w:sz="0" w:space="0" w:color="auto"/>
                      </w:divBdr>
                    </w:div>
                  </w:divsChild>
                </w:div>
                <w:div w:id="730275739">
                  <w:marLeft w:val="0"/>
                  <w:marRight w:val="0"/>
                  <w:marTop w:val="0"/>
                  <w:marBottom w:val="0"/>
                  <w:divBdr>
                    <w:top w:val="none" w:sz="0" w:space="0" w:color="auto"/>
                    <w:left w:val="none" w:sz="0" w:space="0" w:color="auto"/>
                    <w:bottom w:val="none" w:sz="0" w:space="0" w:color="auto"/>
                    <w:right w:val="none" w:sz="0" w:space="0" w:color="auto"/>
                  </w:divBdr>
                  <w:divsChild>
                    <w:div w:id="1817994148">
                      <w:marLeft w:val="0"/>
                      <w:marRight w:val="0"/>
                      <w:marTop w:val="0"/>
                      <w:marBottom w:val="0"/>
                      <w:divBdr>
                        <w:top w:val="none" w:sz="0" w:space="0" w:color="auto"/>
                        <w:left w:val="none" w:sz="0" w:space="0" w:color="auto"/>
                        <w:bottom w:val="none" w:sz="0" w:space="0" w:color="auto"/>
                        <w:right w:val="none" w:sz="0" w:space="0" w:color="auto"/>
                      </w:divBdr>
                    </w:div>
                  </w:divsChild>
                </w:div>
                <w:div w:id="732967243">
                  <w:marLeft w:val="0"/>
                  <w:marRight w:val="0"/>
                  <w:marTop w:val="0"/>
                  <w:marBottom w:val="0"/>
                  <w:divBdr>
                    <w:top w:val="none" w:sz="0" w:space="0" w:color="auto"/>
                    <w:left w:val="none" w:sz="0" w:space="0" w:color="auto"/>
                    <w:bottom w:val="none" w:sz="0" w:space="0" w:color="auto"/>
                    <w:right w:val="none" w:sz="0" w:space="0" w:color="auto"/>
                  </w:divBdr>
                  <w:divsChild>
                    <w:div w:id="540745067">
                      <w:marLeft w:val="0"/>
                      <w:marRight w:val="0"/>
                      <w:marTop w:val="0"/>
                      <w:marBottom w:val="0"/>
                      <w:divBdr>
                        <w:top w:val="none" w:sz="0" w:space="0" w:color="auto"/>
                        <w:left w:val="none" w:sz="0" w:space="0" w:color="auto"/>
                        <w:bottom w:val="none" w:sz="0" w:space="0" w:color="auto"/>
                        <w:right w:val="none" w:sz="0" w:space="0" w:color="auto"/>
                      </w:divBdr>
                    </w:div>
                  </w:divsChild>
                </w:div>
                <w:div w:id="745029343">
                  <w:marLeft w:val="0"/>
                  <w:marRight w:val="0"/>
                  <w:marTop w:val="0"/>
                  <w:marBottom w:val="0"/>
                  <w:divBdr>
                    <w:top w:val="none" w:sz="0" w:space="0" w:color="auto"/>
                    <w:left w:val="none" w:sz="0" w:space="0" w:color="auto"/>
                    <w:bottom w:val="none" w:sz="0" w:space="0" w:color="auto"/>
                    <w:right w:val="none" w:sz="0" w:space="0" w:color="auto"/>
                  </w:divBdr>
                  <w:divsChild>
                    <w:div w:id="1276248756">
                      <w:marLeft w:val="0"/>
                      <w:marRight w:val="0"/>
                      <w:marTop w:val="0"/>
                      <w:marBottom w:val="0"/>
                      <w:divBdr>
                        <w:top w:val="none" w:sz="0" w:space="0" w:color="auto"/>
                        <w:left w:val="none" w:sz="0" w:space="0" w:color="auto"/>
                        <w:bottom w:val="none" w:sz="0" w:space="0" w:color="auto"/>
                        <w:right w:val="none" w:sz="0" w:space="0" w:color="auto"/>
                      </w:divBdr>
                    </w:div>
                  </w:divsChild>
                </w:div>
                <w:div w:id="763646897">
                  <w:marLeft w:val="0"/>
                  <w:marRight w:val="0"/>
                  <w:marTop w:val="0"/>
                  <w:marBottom w:val="0"/>
                  <w:divBdr>
                    <w:top w:val="none" w:sz="0" w:space="0" w:color="auto"/>
                    <w:left w:val="none" w:sz="0" w:space="0" w:color="auto"/>
                    <w:bottom w:val="none" w:sz="0" w:space="0" w:color="auto"/>
                    <w:right w:val="none" w:sz="0" w:space="0" w:color="auto"/>
                  </w:divBdr>
                  <w:divsChild>
                    <w:div w:id="55201909">
                      <w:marLeft w:val="0"/>
                      <w:marRight w:val="0"/>
                      <w:marTop w:val="0"/>
                      <w:marBottom w:val="0"/>
                      <w:divBdr>
                        <w:top w:val="none" w:sz="0" w:space="0" w:color="auto"/>
                        <w:left w:val="none" w:sz="0" w:space="0" w:color="auto"/>
                        <w:bottom w:val="none" w:sz="0" w:space="0" w:color="auto"/>
                        <w:right w:val="none" w:sz="0" w:space="0" w:color="auto"/>
                      </w:divBdr>
                    </w:div>
                  </w:divsChild>
                </w:div>
                <w:div w:id="788745841">
                  <w:marLeft w:val="0"/>
                  <w:marRight w:val="0"/>
                  <w:marTop w:val="0"/>
                  <w:marBottom w:val="0"/>
                  <w:divBdr>
                    <w:top w:val="none" w:sz="0" w:space="0" w:color="auto"/>
                    <w:left w:val="none" w:sz="0" w:space="0" w:color="auto"/>
                    <w:bottom w:val="none" w:sz="0" w:space="0" w:color="auto"/>
                    <w:right w:val="none" w:sz="0" w:space="0" w:color="auto"/>
                  </w:divBdr>
                  <w:divsChild>
                    <w:div w:id="1692729378">
                      <w:marLeft w:val="0"/>
                      <w:marRight w:val="0"/>
                      <w:marTop w:val="0"/>
                      <w:marBottom w:val="0"/>
                      <w:divBdr>
                        <w:top w:val="none" w:sz="0" w:space="0" w:color="auto"/>
                        <w:left w:val="none" w:sz="0" w:space="0" w:color="auto"/>
                        <w:bottom w:val="none" w:sz="0" w:space="0" w:color="auto"/>
                        <w:right w:val="none" w:sz="0" w:space="0" w:color="auto"/>
                      </w:divBdr>
                    </w:div>
                  </w:divsChild>
                </w:div>
                <w:div w:id="790512666">
                  <w:marLeft w:val="0"/>
                  <w:marRight w:val="0"/>
                  <w:marTop w:val="0"/>
                  <w:marBottom w:val="0"/>
                  <w:divBdr>
                    <w:top w:val="none" w:sz="0" w:space="0" w:color="auto"/>
                    <w:left w:val="none" w:sz="0" w:space="0" w:color="auto"/>
                    <w:bottom w:val="none" w:sz="0" w:space="0" w:color="auto"/>
                    <w:right w:val="none" w:sz="0" w:space="0" w:color="auto"/>
                  </w:divBdr>
                  <w:divsChild>
                    <w:div w:id="1312711181">
                      <w:marLeft w:val="0"/>
                      <w:marRight w:val="0"/>
                      <w:marTop w:val="0"/>
                      <w:marBottom w:val="0"/>
                      <w:divBdr>
                        <w:top w:val="none" w:sz="0" w:space="0" w:color="auto"/>
                        <w:left w:val="none" w:sz="0" w:space="0" w:color="auto"/>
                        <w:bottom w:val="none" w:sz="0" w:space="0" w:color="auto"/>
                        <w:right w:val="none" w:sz="0" w:space="0" w:color="auto"/>
                      </w:divBdr>
                    </w:div>
                  </w:divsChild>
                </w:div>
                <w:div w:id="806363648">
                  <w:marLeft w:val="0"/>
                  <w:marRight w:val="0"/>
                  <w:marTop w:val="0"/>
                  <w:marBottom w:val="0"/>
                  <w:divBdr>
                    <w:top w:val="none" w:sz="0" w:space="0" w:color="auto"/>
                    <w:left w:val="none" w:sz="0" w:space="0" w:color="auto"/>
                    <w:bottom w:val="none" w:sz="0" w:space="0" w:color="auto"/>
                    <w:right w:val="none" w:sz="0" w:space="0" w:color="auto"/>
                  </w:divBdr>
                  <w:divsChild>
                    <w:div w:id="175660790">
                      <w:marLeft w:val="0"/>
                      <w:marRight w:val="0"/>
                      <w:marTop w:val="0"/>
                      <w:marBottom w:val="0"/>
                      <w:divBdr>
                        <w:top w:val="none" w:sz="0" w:space="0" w:color="auto"/>
                        <w:left w:val="none" w:sz="0" w:space="0" w:color="auto"/>
                        <w:bottom w:val="none" w:sz="0" w:space="0" w:color="auto"/>
                        <w:right w:val="none" w:sz="0" w:space="0" w:color="auto"/>
                      </w:divBdr>
                    </w:div>
                  </w:divsChild>
                </w:div>
                <w:div w:id="831262413">
                  <w:marLeft w:val="0"/>
                  <w:marRight w:val="0"/>
                  <w:marTop w:val="0"/>
                  <w:marBottom w:val="0"/>
                  <w:divBdr>
                    <w:top w:val="none" w:sz="0" w:space="0" w:color="auto"/>
                    <w:left w:val="none" w:sz="0" w:space="0" w:color="auto"/>
                    <w:bottom w:val="none" w:sz="0" w:space="0" w:color="auto"/>
                    <w:right w:val="none" w:sz="0" w:space="0" w:color="auto"/>
                  </w:divBdr>
                  <w:divsChild>
                    <w:div w:id="454718520">
                      <w:marLeft w:val="0"/>
                      <w:marRight w:val="0"/>
                      <w:marTop w:val="0"/>
                      <w:marBottom w:val="0"/>
                      <w:divBdr>
                        <w:top w:val="none" w:sz="0" w:space="0" w:color="auto"/>
                        <w:left w:val="none" w:sz="0" w:space="0" w:color="auto"/>
                        <w:bottom w:val="none" w:sz="0" w:space="0" w:color="auto"/>
                        <w:right w:val="none" w:sz="0" w:space="0" w:color="auto"/>
                      </w:divBdr>
                    </w:div>
                  </w:divsChild>
                </w:div>
                <w:div w:id="854422952">
                  <w:marLeft w:val="0"/>
                  <w:marRight w:val="0"/>
                  <w:marTop w:val="0"/>
                  <w:marBottom w:val="0"/>
                  <w:divBdr>
                    <w:top w:val="none" w:sz="0" w:space="0" w:color="auto"/>
                    <w:left w:val="none" w:sz="0" w:space="0" w:color="auto"/>
                    <w:bottom w:val="none" w:sz="0" w:space="0" w:color="auto"/>
                    <w:right w:val="none" w:sz="0" w:space="0" w:color="auto"/>
                  </w:divBdr>
                  <w:divsChild>
                    <w:div w:id="71662031">
                      <w:marLeft w:val="0"/>
                      <w:marRight w:val="0"/>
                      <w:marTop w:val="0"/>
                      <w:marBottom w:val="0"/>
                      <w:divBdr>
                        <w:top w:val="none" w:sz="0" w:space="0" w:color="auto"/>
                        <w:left w:val="none" w:sz="0" w:space="0" w:color="auto"/>
                        <w:bottom w:val="none" w:sz="0" w:space="0" w:color="auto"/>
                        <w:right w:val="none" w:sz="0" w:space="0" w:color="auto"/>
                      </w:divBdr>
                    </w:div>
                  </w:divsChild>
                </w:div>
                <w:div w:id="870262394">
                  <w:marLeft w:val="0"/>
                  <w:marRight w:val="0"/>
                  <w:marTop w:val="0"/>
                  <w:marBottom w:val="0"/>
                  <w:divBdr>
                    <w:top w:val="none" w:sz="0" w:space="0" w:color="auto"/>
                    <w:left w:val="none" w:sz="0" w:space="0" w:color="auto"/>
                    <w:bottom w:val="none" w:sz="0" w:space="0" w:color="auto"/>
                    <w:right w:val="none" w:sz="0" w:space="0" w:color="auto"/>
                  </w:divBdr>
                  <w:divsChild>
                    <w:div w:id="1070344266">
                      <w:marLeft w:val="0"/>
                      <w:marRight w:val="0"/>
                      <w:marTop w:val="0"/>
                      <w:marBottom w:val="0"/>
                      <w:divBdr>
                        <w:top w:val="none" w:sz="0" w:space="0" w:color="auto"/>
                        <w:left w:val="none" w:sz="0" w:space="0" w:color="auto"/>
                        <w:bottom w:val="none" w:sz="0" w:space="0" w:color="auto"/>
                        <w:right w:val="none" w:sz="0" w:space="0" w:color="auto"/>
                      </w:divBdr>
                    </w:div>
                  </w:divsChild>
                </w:div>
                <w:div w:id="895118305">
                  <w:marLeft w:val="0"/>
                  <w:marRight w:val="0"/>
                  <w:marTop w:val="0"/>
                  <w:marBottom w:val="0"/>
                  <w:divBdr>
                    <w:top w:val="none" w:sz="0" w:space="0" w:color="auto"/>
                    <w:left w:val="none" w:sz="0" w:space="0" w:color="auto"/>
                    <w:bottom w:val="none" w:sz="0" w:space="0" w:color="auto"/>
                    <w:right w:val="none" w:sz="0" w:space="0" w:color="auto"/>
                  </w:divBdr>
                  <w:divsChild>
                    <w:div w:id="768739974">
                      <w:marLeft w:val="0"/>
                      <w:marRight w:val="0"/>
                      <w:marTop w:val="0"/>
                      <w:marBottom w:val="0"/>
                      <w:divBdr>
                        <w:top w:val="none" w:sz="0" w:space="0" w:color="auto"/>
                        <w:left w:val="none" w:sz="0" w:space="0" w:color="auto"/>
                        <w:bottom w:val="none" w:sz="0" w:space="0" w:color="auto"/>
                        <w:right w:val="none" w:sz="0" w:space="0" w:color="auto"/>
                      </w:divBdr>
                    </w:div>
                  </w:divsChild>
                </w:div>
                <w:div w:id="906309263">
                  <w:marLeft w:val="0"/>
                  <w:marRight w:val="0"/>
                  <w:marTop w:val="0"/>
                  <w:marBottom w:val="0"/>
                  <w:divBdr>
                    <w:top w:val="none" w:sz="0" w:space="0" w:color="auto"/>
                    <w:left w:val="none" w:sz="0" w:space="0" w:color="auto"/>
                    <w:bottom w:val="none" w:sz="0" w:space="0" w:color="auto"/>
                    <w:right w:val="none" w:sz="0" w:space="0" w:color="auto"/>
                  </w:divBdr>
                  <w:divsChild>
                    <w:div w:id="1372266336">
                      <w:marLeft w:val="0"/>
                      <w:marRight w:val="0"/>
                      <w:marTop w:val="0"/>
                      <w:marBottom w:val="0"/>
                      <w:divBdr>
                        <w:top w:val="none" w:sz="0" w:space="0" w:color="auto"/>
                        <w:left w:val="none" w:sz="0" w:space="0" w:color="auto"/>
                        <w:bottom w:val="none" w:sz="0" w:space="0" w:color="auto"/>
                        <w:right w:val="none" w:sz="0" w:space="0" w:color="auto"/>
                      </w:divBdr>
                    </w:div>
                  </w:divsChild>
                </w:div>
                <w:div w:id="940335849">
                  <w:marLeft w:val="0"/>
                  <w:marRight w:val="0"/>
                  <w:marTop w:val="0"/>
                  <w:marBottom w:val="0"/>
                  <w:divBdr>
                    <w:top w:val="none" w:sz="0" w:space="0" w:color="auto"/>
                    <w:left w:val="none" w:sz="0" w:space="0" w:color="auto"/>
                    <w:bottom w:val="none" w:sz="0" w:space="0" w:color="auto"/>
                    <w:right w:val="none" w:sz="0" w:space="0" w:color="auto"/>
                  </w:divBdr>
                  <w:divsChild>
                    <w:div w:id="1950353964">
                      <w:marLeft w:val="0"/>
                      <w:marRight w:val="0"/>
                      <w:marTop w:val="0"/>
                      <w:marBottom w:val="0"/>
                      <w:divBdr>
                        <w:top w:val="none" w:sz="0" w:space="0" w:color="auto"/>
                        <w:left w:val="none" w:sz="0" w:space="0" w:color="auto"/>
                        <w:bottom w:val="none" w:sz="0" w:space="0" w:color="auto"/>
                        <w:right w:val="none" w:sz="0" w:space="0" w:color="auto"/>
                      </w:divBdr>
                    </w:div>
                  </w:divsChild>
                </w:div>
                <w:div w:id="953443518">
                  <w:marLeft w:val="0"/>
                  <w:marRight w:val="0"/>
                  <w:marTop w:val="0"/>
                  <w:marBottom w:val="0"/>
                  <w:divBdr>
                    <w:top w:val="none" w:sz="0" w:space="0" w:color="auto"/>
                    <w:left w:val="none" w:sz="0" w:space="0" w:color="auto"/>
                    <w:bottom w:val="none" w:sz="0" w:space="0" w:color="auto"/>
                    <w:right w:val="none" w:sz="0" w:space="0" w:color="auto"/>
                  </w:divBdr>
                  <w:divsChild>
                    <w:div w:id="182984991">
                      <w:marLeft w:val="0"/>
                      <w:marRight w:val="0"/>
                      <w:marTop w:val="0"/>
                      <w:marBottom w:val="0"/>
                      <w:divBdr>
                        <w:top w:val="none" w:sz="0" w:space="0" w:color="auto"/>
                        <w:left w:val="none" w:sz="0" w:space="0" w:color="auto"/>
                        <w:bottom w:val="none" w:sz="0" w:space="0" w:color="auto"/>
                        <w:right w:val="none" w:sz="0" w:space="0" w:color="auto"/>
                      </w:divBdr>
                    </w:div>
                  </w:divsChild>
                </w:div>
                <w:div w:id="976565657">
                  <w:marLeft w:val="0"/>
                  <w:marRight w:val="0"/>
                  <w:marTop w:val="0"/>
                  <w:marBottom w:val="0"/>
                  <w:divBdr>
                    <w:top w:val="none" w:sz="0" w:space="0" w:color="auto"/>
                    <w:left w:val="none" w:sz="0" w:space="0" w:color="auto"/>
                    <w:bottom w:val="none" w:sz="0" w:space="0" w:color="auto"/>
                    <w:right w:val="none" w:sz="0" w:space="0" w:color="auto"/>
                  </w:divBdr>
                  <w:divsChild>
                    <w:div w:id="1463227341">
                      <w:marLeft w:val="0"/>
                      <w:marRight w:val="0"/>
                      <w:marTop w:val="0"/>
                      <w:marBottom w:val="0"/>
                      <w:divBdr>
                        <w:top w:val="none" w:sz="0" w:space="0" w:color="auto"/>
                        <w:left w:val="none" w:sz="0" w:space="0" w:color="auto"/>
                        <w:bottom w:val="none" w:sz="0" w:space="0" w:color="auto"/>
                        <w:right w:val="none" w:sz="0" w:space="0" w:color="auto"/>
                      </w:divBdr>
                    </w:div>
                  </w:divsChild>
                </w:div>
                <w:div w:id="977225513">
                  <w:marLeft w:val="0"/>
                  <w:marRight w:val="0"/>
                  <w:marTop w:val="0"/>
                  <w:marBottom w:val="0"/>
                  <w:divBdr>
                    <w:top w:val="none" w:sz="0" w:space="0" w:color="auto"/>
                    <w:left w:val="none" w:sz="0" w:space="0" w:color="auto"/>
                    <w:bottom w:val="none" w:sz="0" w:space="0" w:color="auto"/>
                    <w:right w:val="none" w:sz="0" w:space="0" w:color="auto"/>
                  </w:divBdr>
                  <w:divsChild>
                    <w:div w:id="1130853993">
                      <w:marLeft w:val="0"/>
                      <w:marRight w:val="0"/>
                      <w:marTop w:val="0"/>
                      <w:marBottom w:val="0"/>
                      <w:divBdr>
                        <w:top w:val="none" w:sz="0" w:space="0" w:color="auto"/>
                        <w:left w:val="none" w:sz="0" w:space="0" w:color="auto"/>
                        <w:bottom w:val="none" w:sz="0" w:space="0" w:color="auto"/>
                        <w:right w:val="none" w:sz="0" w:space="0" w:color="auto"/>
                      </w:divBdr>
                    </w:div>
                  </w:divsChild>
                </w:div>
                <w:div w:id="981302591">
                  <w:marLeft w:val="0"/>
                  <w:marRight w:val="0"/>
                  <w:marTop w:val="0"/>
                  <w:marBottom w:val="0"/>
                  <w:divBdr>
                    <w:top w:val="none" w:sz="0" w:space="0" w:color="auto"/>
                    <w:left w:val="none" w:sz="0" w:space="0" w:color="auto"/>
                    <w:bottom w:val="none" w:sz="0" w:space="0" w:color="auto"/>
                    <w:right w:val="none" w:sz="0" w:space="0" w:color="auto"/>
                  </w:divBdr>
                  <w:divsChild>
                    <w:div w:id="782845081">
                      <w:marLeft w:val="0"/>
                      <w:marRight w:val="0"/>
                      <w:marTop w:val="0"/>
                      <w:marBottom w:val="0"/>
                      <w:divBdr>
                        <w:top w:val="none" w:sz="0" w:space="0" w:color="auto"/>
                        <w:left w:val="none" w:sz="0" w:space="0" w:color="auto"/>
                        <w:bottom w:val="none" w:sz="0" w:space="0" w:color="auto"/>
                        <w:right w:val="none" w:sz="0" w:space="0" w:color="auto"/>
                      </w:divBdr>
                    </w:div>
                  </w:divsChild>
                </w:div>
                <w:div w:id="1058089376">
                  <w:marLeft w:val="0"/>
                  <w:marRight w:val="0"/>
                  <w:marTop w:val="0"/>
                  <w:marBottom w:val="0"/>
                  <w:divBdr>
                    <w:top w:val="none" w:sz="0" w:space="0" w:color="auto"/>
                    <w:left w:val="none" w:sz="0" w:space="0" w:color="auto"/>
                    <w:bottom w:val="none" w:sz="0" w:space="0" w:color="auto"/>
                    <w:right w:val="none" w:sz="0" w:space="0" w:color="auto"/>
                  </w:divBdr>
                  <w:divsChild>
                    <w:div w:id="1855727080">
                      <w:marLeft w:val="0"/>
                      <w:marRight w:val="0"/>
                      <w:marTop w:val="0"/>
                      <w:marBottom w:val="0"/>
                      <w:divBdr>
                        <w:top w:val="none" w:sz="0" w:space="0" w:color="auto"/>
                        <w:left w:val="none" w:sz="0" w:space="0" w:color="auto"/>
                        <w:bottom w:val="none" w:sz="0" w:space="0" w:color="auto"/>
                        <w:right w:val="none" w:sz="0" w:space="0" w:color="auto"/>
                      </w:divBdr>
                    </w:div>
                  </w:divsChild>
                </w:div>
                <w:div w:id="1058625530">
                  <w:marLeft w:val="0"/>
                  <w:marRight w:val="0"/>
                  <w:marTop w:val="0"/>
                  <w:marBottom w:val="0"/>
                  <w:divBdr>
                    <w:top w:val="none" w:sz="0" w:space="0" w:color="auto"/>
                    <w:left w:val="none" w:sz="0" w:space="0" w:color="auto"/>
                    <w:bottom w:val="none" w:sz="0" w:space="0" w:color="auto"/>
                    <w:right w:val="none" w:sz="0" w:space="0" w:color="auto"/>
                  </w:divBdr>
                  <w:divsChild>
                    <w:div w:id="1925146563">
                      <w:marLeft w:val="0"/>
                      <w:marRight w:val="0"/>
                      <w:marTop w:val="0"/>
                      <w:marBottom w:val="0"/>
                      <w:divBdr>
                        <w:top w:val="none" w:sz="0" w:space="0" w:color="auto"/>
                        <w:left w:val="none" w:sz="0" w:space="0" w:color="auto"/>
                        <w:bottom w:val="none" w:sz="0" w:space="0" w:color="auto"/>
                        <w:right w:val="none" w:sz="0" w:space="0" w:color="auto"/>
                      </w:divBdr>
                    </w:div>
                  </w:divsChild>
                </w:div>
                <w:div w:id="1060011164">
                  <w:marLeft w:val="0"/>
                  <w:marRight w:val="0"/>
                  <w:marTop w:val="0"/>
                  <w:marBottom w:val="0"/>
                  <w:divBdr>
                    <w:top w:val="none" w:sz="0" w:space="0" w:color="auto"/>
                    <w:left w:val="none" w:sz="0" w:space="0" w:color="auto"/>
                    <w:bottom w:val="none" w:sz="0" w:space="0" w:color="auto"/>
                    <w:right w:val="none" w:sz="0" w:space="0" w:color="auto"/>
                  </w:divBdr>
                  <w:divsChild>
                    <w:div w:id="772362744">
                      <w:marLeft w:val="0"/>
                      <w:marRight w:val="0"/>
                      <w:marTop w:val="0"/>
                      <w:marBottom w:val="0"/>
                      <w:divBdr>
                        <w:top w:val="none" w:sz="0" w:space="0" w:color="auto"/>
                        <w:left w:val="none" w:sz="0" w:space="0" w:color="auto"/>
                        <w:bottom w:val="none" w:sz="0" w:space="0" w:color="auto"/>
                        <w:right w:val="none" w:sz="0" w:space="0" w:color="auto"/>
                      </w:divBdr>
                    </w:div>
                  </w:divsChild>
                </w:div>
                <w:div w:id="1089159691">
                  <w:marLeft w:val="0"/>
                  <w:marRight w:val="0"/>
                  <w:marTop w:val="0"/>
                  <w:marBottom w:val="0"/>
                  <w:divBdr>
                    <w:top w:val="none" w:sz="0" w:space="0" w:color="auto"/>
                    <w:left w:val="none" w:sz="0" w:space="0" w:color="auto"/>
                    <w:bottom w:val="none" w:sz="0" w:space="0" w:color="auto"/>
                    <w:right w:val="none" w:sz="0" w:space="0" w:color="auto"/>
                  </w:divBdr>
                  <w:divsChild>
                    <w:div w:id="36394505">
                      <w:marLeft w:val="0"/>
                      <w:marRight w:val="0"/>
                      <w:marTop w:val="0"/>
                      <w:marBottom w:val="0"/>
                      <w:divBdr>
                        <w:top w:val="none" w:sz="0" w:space="0" w:color="auto"/>
                        <w:left w:val="none" w:sz="0" w:space="0" w:color="auto"/>
                        <w:bottom w:val="none" w:sz="0" w:space="0" w:color="auto"/>
                        <w:right w:val="none" w:sz="0" w:space="0" w:color="auto"/>
                      </w:divBdr>
                    </w:div>
                  </w:divsChild>
                </w:div>
                <w:div w:id="1130588221">
                  <w:marLeft w:val="0"/>
                  <w:marRight w:val="0"/>
                  <w:marTop w:val="0"/>
                  <w:marBottom w:val="0"/>
                  <w:divBdr>
                    <w:top w:val="none" w:sz="0" w:space="0" w:color="auto"/>
                    <w:left w:val="none" w:sz="0" w:space="0" w:color="auto"/>
                    <w:bottom w:val="none" w:sz="0" w:space="0" w:color="auto"/>
                    <w:right w:val="none" w:sz="0" w:space="0" w:color="auto"/>
                  </w:divBdr>
                  <w:divsChild>
                    <w:div w:id="45497253">
                      <w:marLeft w:val="0"/>
                      <w:marRight w:val="0"/>
                      <w:marTop w:val="0"/>
                      <w:marBottom w:val="0"/>
                      <w:divBdr>
                        <w:top w:val="none" w:sz="0" w:space="0" w:color="auto"/>
                        <w:left w:val="none" w:sz="0" w:space="0" w:color="auto"/>
                        <w:bottom w:val="none" w:sz="0" w:space="0" w:color="auto"/>
                        <w:right w:val="none" w:sz="0" w:space="0" w:color="auto"/>
                      </w:divBdr>
                    </w:div>
                  </w:divsChild>
                </w:div>
                <w:div w:id="1166940053">
                  <w:marLeft w:val="0"/>
                  <w:marRight w:val="0"/>
                  <w:marTop w:val="0"/>
                  <w:marBottom w:val="0"/>
                  <w:divBdr>
                    <w:top w:val="none" w:sz="0" w:space="0" w:color="auto"/>
                    <w:left w:val="none" w:sz="0" w:space="0" w:color="auto"/>
                    <w:bottom w:val="none" w:sz="0" w:space="0" w:color="auto"/>
                    <w:right w:val="none" w:sz="0" w:space="0" w:color="auto"/>
                  </w:divBdr>
                  <w:divsChild>
                    <w:div w:id="56562407">
                      <w:marLeft w:val="0"/>
                      <w:marRight w:val="0"/>
                      <w:marTop w:val="0"/>
                      <w:marBottom w:val="0"/>
                      <w:divBdr>
                        <w:top w:val="none" w:sz="0" w:space="0" w:color="auto"/>
                        <w:left w:val="none" w:sz="0" w:space="0" w:color="auto"/>
                        <w:bottom w:val="none" w:sz="0" w:space="0" w:color="auto"/>
                        <w:right w:val="none" w:sz="0" w:space="0" w:color="auto"/>
                      </w:divBdr>
                    </w:div>
                  </w:divsChild>
                </w:div>
                <w:div w:id="1189876252">
                  <w:marLeft w:val="0"/>
                  <w:marRight w:val="0"/>
                  <w:marTop w:val="0"/>
                  <w:marBottom w:val="0"/>
                  <w:divBdr>
                    <w:top w:val="none" w:sz="0" w:space="0" w:color="auto"/>
                    <w:left w:val="none" w:sz="0" w:space="0" w:color="auto"/>
                    <w:bottom w:val="none" w:sz="0" w:space="0" w:color="auto"/>
                    <w:right w:val="none" w:sz="0" w:space="0" w:color="auto"/>
                  </w:divBdr>
                  <w:divsChild>
                    <w:div w:id="1161920212">
                      <w:marLeft w:val="0"/>
                      <w:marRight w:val="0"/>
                      <w:marTop w:val="0"/>
                      <w:marBottom w:val="0"/>
                      <w:divBdr>
                        <w:top w:val="none" w:sz="0" w:space="0" w:color="auto"/>
                        <w:left w:val="none" w:sz="0" w:space="0" w:color="auto"/>
                        <w:bottom w:val="none" w:sz="0" w:space="0" w:color="auto"/>
                        <w:right w:val="none" w:sz="0" w:space="0" w:color="auto"/>
                      </w:divBdr>
                    </w:div>
                  </w:divsChild>
                </w:div>
                <w:div w:id="1203860127">
                  <w:marLeft w:val="0"/>
                  <w:marRight w:val="0"/>
                  <w:marTop w:val="0"/>
                  <w:marBottom w:val="0"/>
                  <w:divBdr>
                    <w:top w:val="none" w:sz="0" w:space="0" w:color="auto"/>
                    <w:left w:val="none" w:sz="0" w:space="0" w:color="auto"/>
                    <w:bottom w:val="none" w:sz="0" w:space="0" w:color="auto"/>
                    <w:right w:val="none" w:sz="0" w:space="0" w:color="auto"/>
                  </w:divBdr>
                  <w:divsChild>
                    <w:div w:id="1601330845">
                      <w:marLeft w:val="0"/>
                      <w:marRight w:val="0"/>
                      <w:marTop w:val="0"/>
                      <w:marBottom w:val="0"/>
                      <w:divBdr>
                        <w:top w:val="none" w:sz="0" w:space="0" w:color="auto"/>
                        <w:left w:val="none" w:sz="0" w:space="0" w:color="auto"/>
                        <w:bottom w:val="none" w:sz="0" w:space="0" w:color="auto"/>
                        <w:right w:val="none" w:sz="0" w:space="0" w:color="auto"/>
                      </w:divBdr>
                    </w:div>
                  </w:divsChild>
                </w:div>
                <w:div w:id="1220629964">
                  <w:marLeft w:val="0"/>
                  <w:marRight w:val="0"/>
                  <w:marTop w:val="0"/>
                  <w:marBottom w:val="0"/>
                  <w:divBdr>
                    <w:top w:val="none" w:sz="0" w:space="0" w:color="auto"/>
                    <w:left w:val="none" w:sz="0" w:space="0" w:color="auto"/>
                    <w:bottom w:val="none" w:sz="0" w:space="0" w:color="auto"/>
                    <w:right w:val="none" w:sz="0" w:space="0" w:color="auto"/>
                  </w:divBdr>
                  <w:divsChild>
                    <w:div w:id="54595784">
                      <w:marLeft w:val="0"/>
                      <w:marRight w:val="0"/>
                      <w:marTop w:val="0"/>
                      <w:marBottom w:val="0"/>
                      <w:divBdr>
                        <w:top w:val="none" w:sz="0" w:space="0" w:color="auto"/>
                        <w:left w:val="none" w:sz="0" w:space="0" w:color="auto"/>
                        <w:bottom w:val="none" w:sz="0" w:space="0" w:color="auto"/>
                        <w:right w:val="none" w:sz="0" w:space="0" w:color="auto"/>
                      </w:divBdr>
                    </w:div>
                  </w:divsChild>
                </w:div>
                <w:div w:id="1246960327">
                  <w:marLeft w:val="0"/>
                  <w:marRight w:val="0"/>
                  <w:marTop w:val="0"/>
                  <w:marBottom w:val="0"/>
                  <w:divBdr>
                    <w:top w:val="none" w:sz="0" w:space="0" w:color="auto"/>
                    <w:left w:val="none" w:sz="0" w:space="0" w:color="auto"/>
                    <w:bottom w:val="none" w:sz="0" w:space="0" w:color="auto"/>
                    <w:right w:val="none" w:sz="0" w:space="0" w:color="auto"/>
                  </w:divBdr>
                  <w:divsChild>
                    <w:div w:id="500465468">
                      <w:marLeft w:val="0"/>
                      <w:marRight w:val="0"/>
                      <w:marTop w:val="0"/>
                      <w:marBottom w:val="0"/>
                      <w:divBdr>
                        <w:top w:val="none" w:sz="0" w:space="0" w:color="auto"/>
                        <w:left w:val="none" w:sz="0" w:space="0" w:color="auto"/>
                        <w:bottom w:val="none" w:sz="0" w:space="0" w:color="auto"/>
                        <w:right w:val="none" w:sz="0" w:space="0" w:color="auto"/>
                      </w:divBdr>
                    </w:div>
                  </w:divsChild>
                </w:div>
                <w:div w:id="1247570156">
                  <w:marLeft w:val="0"/>
                  <w:marRight w:val="0"/>
                  <w:marTop w:val="0"/>
                  <w:marBottom w:val="0"/>
                  <w:divBdr>
                    <w:top w:val="none" w:sz="0" w:space="0" w:color="auto"/>
                    <w:left w:val="none" w:sz="0" w:space="0" w:color="auto"/>
                    <w:bottom w:val="none" w:sz="0" w:space="0" w:color="auto"/>
                    <w:right w:val="none" w:sz="0" w:space="0" w:color="auto"/>
                  </w:divBdr>
                  <w:divsChild>
                    <w:div w:id="2088073777">
                      <w:marLeft w:val="0"/>
                      <w:marRight w:val="0"/>
                      <w:marTop w:val="0"/>
                      <w:marBottom w:val="0"/>
                      <w:divBdr>
                        <w:top w:val="none" w:sz="0" w:space="0" w:color="auto"/>
                        <w:left w:val="none" w:sz="0" w:space="0" w:color="auto"/>
                        <w:bottom w:val="none" w:sz="0" w:space="0" w:color="auto"/>
                        <w:right w:val="none" w:sz="0" w:space="0" w:color="auto"/>
                      </w:divBdr>
                    </w:div>
                  </w:divsChild>
                </w:div>
                <w:div w:id="1260941368">
                  <w:marLeft w:val="0"/>
                  <w:marRight w:val="0"/>
                  <w:marTop w:val="0"/>
                  <w:marBottom w:val="0"/>
                  <w:divBdr>
                    <w:top w:val="none" w:sz="0" w:space="0" w:color="auto"/>
                    <w:left w:val="none" w:sz="0" w:space="0" w:color="auto"/>
                    <w:bottom w:val="none" w:sz="0" w:space="0" w:color="auto"/>
                    <w:right w:val="none" w:sz="0" w:space="0" w:color="auto"/>
                  </w:divBdr>
                  <w:divsChild>
                    <w:div w:id="477961643">
                      <w:marLeft w:val="0"/>
                      <w:marRight w:val="0"/>
                      <w:marTop w:val="0"/>
                      <w:marBottom w:val="0"/>
                      <w:divBdr>
                        <w:top w:val="none" w:sz="0" w:space="0" w:color="auto"/>
                        <w:left w:val="none" w:sz="0" w:space="0" w:color="auto"/>
                        <w:bottom w:val="none" w:sz="0" w:space="0" w:color="auto"/>
                        <w:right w:val="none" w:sz="0" w:space="0" w:color="auto"/>
                      </w:divBdr>
                    </w:div>
                  </w:divsChild>
                </w:div>
                <w:div w:id="1306741212">
                  <w:marLeft w:val="0"/>
                  <w:marRight w:val="0"/>
                  <w:marTop w:val="0"/>
                  <w:marBottom w:val="0"/>
                  <w:divBdr>
                    <w:top w:val="none" w:sz="0" w:space="0" w:color="auto"/>
                    <w:left w:val="none" w:sz="0" w:space="0" w:color="auto"/>
                    <w:bottom w:val="none" w:sz="0" w:space="0" w:color="auto"/>
                    <w:right w:val="none" w:sz="0" w:space="0" w:color="auto"/>
                  </w:divBdr>
                  <w:divsChild>
                    <w:div w:id="1645501915">
                      <w:marLeft w:val="0"/>
                      <w:marRight w:val="0"/>
                      <w:marTop w:val="0"/>
                      <w:marBottom w:val="0"/>
                      <w:divBdr>
                        <w:top w:val="none" w:sz="0" w:space="0" w:color="auto"/>
                        <w:left w:val="none" w:sz="0" w:space="0" w:color="auto"/>
                        <w:bottom w:val="none" w:sz="0" w:space="0" w:color="auto"/>
                        <w:right w:val="none" w:sz="0" w:space="0" w:color="auto"/>
                      </w:divBdr>
                    </w:div>
                  </w:divsChild>
                </w:div>
                <w:div w:id="1312174856">
                  <w:marLeft w:val="0"/>
                  <w:marRight w:val="0"/>
                  <w:marTop w:val="0"/>
                  <w:marBottom w:val="0"/>
                  <w:divBdr>
                    <w:top w:val="none" w:sz="0" w:space="0" w:color="auto"/>
                    <w:left w:val="none" w:sz="0" w:space="0" w:color="auto"/>
                    <w:bottom w:val="none" w:sz="0" w:space="0" w:color="auto"/>
                    <w:right w:val="none" w:sz="0" w:space="0" w:color="auto"/>
                  </w:divBdr>
                  <w:divsChild>
                    <w:div w:id="1322393050">
                      <w:marLeft w:val="0"/>
                      <w:marRight w:val="0"/>
                      <w:marTop w:val="0"/>
                      <w:marBottom w:val="0"/>
                      <w:divBdr>
                        <w:top w:val="none" w:sz="0" w:space="0" w:color="auto"/>
                        <w:left w:val="none" w:sz="0" w:space="0" w:color="auto"/>
                        <w:bottom w:val="none" w:sz="0" w:space="0" w:color="auto"/>
                        <w:right w:val="none" w:sz="0" w:space="0" w:color="auto"/>
                      </w:divBdr>
                    </w:div>
                  </w:divsChild>
                </w:div>
                <w:div w:id="1337224329">
                  <w:marLeft w:val="0"/>
                  <w:marRight w:val="0"/>
                  <w:marTop w:val="0"/>
                  <w:marBottom w:val="0"/>
                  <w:divBdr>
                    <w:top w:val="none" w:sz="0" w:space="0" w:color="auto"/>
                    <w:left w:val="none" w:sz="0" w:space="0" w:color="auto"/>
                    <w:bottom w:val="none" w:sz="0" w:space="0" w:color="auto"/>
                    <w:right w:val="none" w:sz="0" w:space="0" w:color="auto"/>
                  </w:divBdr>
                  <w:divsChild>
                    <w:div w:id="1537696413">
                      <w:marLeft w:val="0"/>
                      <w:marRight w:val="0"/>
                      <w:marTop w:val="0"/>
                      <w:marBottom w:val="0"/>
                      <w:divBdr>
                        <w:top w:val="none" w:sz="0" w:space="0" w:color="auto"/>
                        <w:left w:val="none" w:sz="0" w:space="0" w:color="auto"/>
                        <w:bottom w:val="none" w:sz="0" w:space="0" w:color="auto"/>
                        <w:right w:val="none" w:sz="0" w:space="0" w:color="auto"/>
                      </w:divBdr>
                    </w:div>
                  </w:divsChild>
                </w:div>
                <w:div w:id="1344167619">
                  <w:marLeft w:val="0"/>
                  <w:marRight w:val="0"/>
                  <w:marTop w:val="0"/>
                  <w:marBottom w:val="0"/>
                  <w:divBdr>
                    <w:top w:val="none" w:sz="0" w:space="0" w:color="auto"/>
                    <w:left w:val="none" w:sz="0" w:space="0" w:color="auto"/>
                    <w:bottom w:val="none" w:sz="0" w:space="0" w:color="auto"/>
                    <w:right w:val="none" w:sz="0" w:space="0" w:color="auto"/>
                  </w:divBdr>
                  <w:divsChild>
                    <w:div w:id="535657142">
                      <w:marLeft w:val="0"/>
                      <w:marRight w:val="0"/>
                      <w:marTop w:val="0"/>
                      <w:marBottom w:val="0"/>
                      <w:divBdr>
                        <w:top w:val="none" w:sz="0" w:space="0" w:color="auto"/>
                        <w:left w:val="none" w:sz="0" w:space="0" w:color="auto"/>
                        <w:bottom w:val="none" w:sz="0" w:space="0" w:color="auto"/>
                        <w:right w:val="none" w:sz="0" w:space="0" w:color="auto"/>
                      </w:divBdr>
                    </w:div>
                  </w:divsChild>
                </w:div>
                <w:div w:id="1366563610">
                  <w:marLeft w:val="0"/>
                  <w:marRight w:val="0"/>
                  <w:marTop w:val="0"/>
                  <w:marBottom w:val="0"/>
                  <w:divBdr>
                    <w:top w:val="none" w:sz="0" w:space="0" w:color="auto"/>
                    <w:left w:val="none" w:sz="0" w:space="0" w:color="auto"/>
                    <w:bottom w:val="none" w:sz="0" w:space="0" w:color="auto"/>
                    <w:right w:val="none" w:sz="0" w:space="0" w:color="auto"/>
                  </w:divBdr>
                  <w:divsChild>
                    <w:div w:id="727142671">
                      <w:marLeft w:val="0"/>
                      <w:marRight w:val="0"/>
                      <w:marTop w:val="0"/>
                      <w:marBottom w:val="0"/>
                      <w:divBdr>
                        <w:top w:val="none" w:sz="0" w:space="0" w:color="auto"/>
                        <w:left w:val="none" w:sz="0" w:space="0" w:color="auto"/>
                        <w:bottom w:val="none" w:sz="0" w:space="0" w:color="auto"/>
                        <w:right w:val="none" w:sz="0" w:space="0" w:color="auto"/>
                      </w:divBdr>
                    </w:div>
                  </w:divsChild>
                </w:div>
                <w:div w:id="1390573916">
                  <w:marLeft w:val="0"/>
                  <w:marRight w:val="0"/>
                  <w:marTop w:val="0"/>
                  <w:marBottom w:val="0"/>
                  <w:divBdr>
                    <w:top w:val="none" w:sz="0" w:space="0" w:color="auto"/>
                    <w:left w:val="none" w:sz="0" w:space="0" w:color="auto"/>
                    <w:bottom w:val="none" w:sz="0" w:space="0" w:color="auto"/>
                    <w:right w:val="none" w:sz="0" w:space="0" w:color="auto"/>
                  </w:divBdr>
                  <w:divsChild>
                    <w:div w:id="2092656910">
                      <w:marLeft w:val="0"/>
                      <w:marRight w:val="0"/>
                      <w:marTop w:val="0"/>
                      <w:marBottom w:val="0"/>
                      <w:divBdr>
                        <w:top w:val="none" w:sz="0" w:space="0" w:color="auto"/>
                        <w:left w:val="none" w:sz="0" w:space="0" w:color="auto"/>
                        <w:bottom w:val="none" w:sz="0" w:space="0" w:color="auto"/>
                        <w:right w:val="none" w:sz="0" w:space="0" w:color="auto"/>
                      </w:divBdr>
                    </w:div>
                  </w:divsChild>
                </w:div>
                <w:div w:id="1443307082">
                  <w:marLeft w:val="0"/>
                  <w:marRight w:val="0"/>
                  <w:marTop w:val="0"/>
                  <w:marBottom w:val="0"/>
                  <w:divBdr>
                    <w:top w:val="none" w:sz="0" w:space="0" w:color="auto"/>
                    <w:left w:val="none" w:sz="0" w:space="0" w:color="auto"/>
                    <w:bottom w:val="none" w:sz="0" w:space="0" w:color="auto"/>
                    <w:right w:val="none" w:sz="0" w:space="0" w:color="auto"/>
                  </w:divBdr>
                  <w:divsChild>
                    <w:div w:id="1586571846">
                      <w:marLeft w:val="0"/>
                      <w:marRight w:val="0"/>
                      <w:marTop w:val="0"/>
                      <w:marBottom w:val="0"/>
                      <w:divBdr>
                        <w:top w:val="none" w:sz="0" w:space="0" w:color="auto"/>
                        <w:left w:val="none" w:sz="0" w:space="0" w:color="auto"/>
                        <w:bottom w:val="none" w:sz="0" w:space="0" w:color="auto"/>
                        <w:right w:val="none" w:sz="0" w:space="0" w:color="auto"/>
                      </w:divBdr>
                    </w:div>
                  </w:divsChild>
                </w:div>
                <w:div w:id="1465389399">
                  <w:marLeft w:val="0"/>
                  <w:marRight w:val="0"/>
                  <w:marTop w:val="0"/>
                  <w:marBottom w:val="0"/>
                  <w:divBdr>
                    <w:top w:val="none" w:sz="0" w:space="0" w:color="auto"/>
                    <w:left w:val="none" w:sz="0" w:space="0" w:color="auto"/>
                    <w:bottom w:val="none" w:sz="0" w:space="0" w:color="auto"/>
                    <w:right w:val="none" w:sz="0" w:space="0" w:color="auto"/>
                  </w:divBdr>
                  <w:divsChild>
                    <w:div w:id="487134332">
                      <w:marLeft w:val="0"/>
                      <w:marRight w:val="0"/>
                      <w:marTop w:val="0"/>
                      <w:marBottom w:val="0"/>
                      <w:divBdr>
                        <w:top w:val="none" w:sz="0" w:space="0" w:color="auto"/>
                        <w:left w:val="none" w:sz="0" w:space="0" w:color="auto"/>
                        <w:bottom w:val="none" w:sz="0" w:space="0" w:color="auto"/>
                        <w:right w:val="none" w:sz="0" w:space="0" w:color="auto"/>
                      </w:divBdr>
                    </w:div>
                  </w:divsChild>
                </w:div>
                <w:div w:id="1523206340">
                  <w:marLeft w:val="0"/>
                  <w:marRight w:val="0"/>
                  <w:marTop w:val="0"/>
                  <w:marBottom w:val="0"/>
                  <w:divBdr>
                    <w:top w:val="none" w:sz="0" w:space="0" w:color="auto"/>
                    <w:left w:val="none" w:sz="0" w:space="0" w:color="auto"/>
                    <w:bottom w:val="none" w:sz="0" w:space="0" w:color="auto"/>
                    <w:right w:val="none" w:sz="0" w:space="0" w:color="auto"/>
                  </w:divBdr>
                  <w:divsChild>
                    <w:div w:id="1792043601">
                      <w:marLeft w:val="0"/>
                      <w:marRight w:val="0"/>
                      <w:marTop w:val="0"/>
                      <w:marBottom w:val="0"/>
                      <w:divBdr>
                        <w:top w:val="none" w:sz="0" w:space="0" w:color="auto"/>
                        <w:left w:val="none" w:sz="0" w:space="0" w:color="auto"/>
                        <w:bottom w:val="none" w:sz="0" w:space="0" w:color="auto"/>
                        <w:right w:val="none" w:sz="0" w:space="0" w:color="auto"/>
                      </w:divBdr>
                    </w:div>
                  </w:divsChild>
                </w:div>
                <w:div w:id="1536772160">
                  <w:marLeft w:val="0"/>
                  <w:marRight w:val="0"/>
                  <w:marTop w:val="0"/>
                  <w:marBottom w:val="0"/>
                  <w:divBdr>
                    <w:top w:val="none" w:sz="0" w:space="0" w:color="auto"/>
                    <w:left w:val="none" w:sz="0" w:space="0" w:color="auto"/>
                    <w:bottom w:val="none" w:sz="0" w:space="0" w:color="auto"/>
                    <w:right w:val="none" w:sz="0" w:space="0" w:color="auto"/>
                  </w:divBdr>
                  <w:divsChild>
                    <w:div w:id="1909614231">
                      <w:marLeft w:val="0"/>
                      <w:marRight w:val="0"/>
                      <w:marTop w:val="0"/>
                      <w:marBottom w:val="0"/>
                      <w:divBdr>
                        <w:top w:val="none" w:sz="0" w:space="0" w:color="auto"/>
                        <w:left w:val="none" w:sz="0" w:space="0" w:color="auto"/>
                        <w:bottom w:val="none" w:sz="0" w:space="0" w:color="auto"/>
                        <w:right w:val="none" w:sz="0" w:space="0" w:color="auto"/>
                      </w:divBdr>
                    </w:div>
                  </w:divsChild>
                </w:div>
                <w:div w:id="1541740920">
                  <w:marLeft w:val="0"/>
                  <w:marRight w:val="0"/>
                  <w:marTop w:val="0"/>
                  <w:marBottom w:val="0"/>
                  <w:divBdr>
                    <w:top w:val="none" w:sz="0" w:space="0" w:color="auto"/>
                    <w:left w:val="none" w:sz="0" w:space="0" w:color="auto"/>
                    <w:bottom w:val="none" w:sz="0" w:space="0" w:color="auto"/>
                    <w:right w:val="none" w:sz="0" w:space="0" w:color="auto"/>
                  </w:divBdr>
                  <w:divsChild>
                    <w:div w:id="1501459757">
                      <w:marLeft w:val="0"/>
                      <w:marRight w:val="0"/>
                      <w:marTop w:val="0"/>
                      <w:marBottom w:val="0"/>
                      <w:divBdr>
                        <w:top w:val="none" w:sz="0" w:space="0" w:color="auto"/>
                        <w:left w:val="none" w:sz="0" w:space="0" w:color="auto"/>
                        <w:bottom w:val="none" w:sz="0" w:space="0" w:color="auto"/>
                        <w:right w:val="none" w:sz="0" w:space="0" w:color="auto"/>
                      </w:divBdr>
                    </w:div>
                  </w:divsChild>
                </w:div>
                <w:div w:id="1545828426">
                  <w:marLeft w:val="0"/>
                  <w:marRight w:val="0"/>
                  <w:marTop w:val="0"/>
                  <w:marBottom w:val="0"/>
                  <w:divBdr>
                    <w:top w:val="none" w:sz="0" w:space="0" w:color="auto"/>
                    <w:left w:val="none" w:sz="0" w:space="0" w:color="auto"/>
                    <w:bottom w:val="none" w:sz="0" w:space="0" w:color="auto"/>
                    <w:right w:val="none" w:sz="0" w:space="0" w:color="auto"/>
                  </w:divBdr>
                  <w:divsChild>
                    <w:div w:id="1642615389">
                      <w:marLeft w:val="0"/>
                      <w:marRight w:val="0"/>
                      <w:marTop w:val="0"/>
                      <w:marBottom w:val="0"/>
                      <w:divBdr>
                        <w:top w:val="none" w:sz="0" w:space="0" w:color="auto"/>
                        <w:left w:val="none" w:sz="0" w:space="0" w:color="auto"/>
                        <w:bottom w:val="none" w:sz="0" w:space="0" w:color="auto"/>
                        <w:right w:val="none" w:sz="0" w:space="0" w:color="auto"/>
                      </w:divBdr>
                    </w:div>
                  </w:divsChild>
                </w:div>
                <w:div w:id="1569733140">
                  <w:marLeft w:val="0"/>
                  <w:marRight w:val="0"/>
                  <w:marTop w:val="0"/>
                  <w:marBottom w:val="0"/>
                  <w:divBdr>
                    <w:top w:val="none" w:sz="0" w:space="0" w:color="auto"/>
                    <w:left w:val="none" w:sz="0" w:space="0" w:color="auto"/>
                    <w:bottom w:val="none" w:sz="0" w:space="0" w:color="auto"/>
                    <w:right w:val="none" w:sz="0" w:space="0" w:color="auto"/>
                  </w:divBdr>
                  <w:divsChild>
                    <w:div w:id="12994597">
                      <w:marLeft w:val="0"/>
                      <w:marRight w:val="0"/>
                      <w:marTop w:val="0"/>
                      <w:marBottom w:val="0"/>
                      <w:divBdr>
                        <w:top w:val="none" w:sz="0" w:space="0" w:color="auto"/>
                        <w:left w:val="none" w:sz="0" w:space="0" w:color="auto"/>
                        <w:bottom w:val="none" w:sz="0" w:space="0" w:color="auto"/>
                        <w:right w:val="none" w:sz="0" w:space="0" w:color="auto"/>
                      </w:divBdr>
                    </w:div>
                  </w:divsChild>
                </w:div>
                <w:div w:id="1583368015">
                  <w:marLeft w:val="0"/>
                  <w:marRight w:val="0"/>
                  <w:marTop w:val="0"/>
                  <w:marBottom w:val="0"/>
                  <w:divBdr>
                    <w:top w:val="none" w:sz="0" w:space="0" w:color="auto"/>
                    <w:left w:val="none" w:sz="0" w:space="0" w:color="auto"/>
                    <w:bottom w:val="none" w:sz="0" w:space="0" w:color="auto"/>
                    <w:right w:val="none" w:sz="0" w:space="0" w:color="auto"/>
                  </w:divBdr>
                  <w:divsChild>
                    <w:div w:id="1524829968">
                      <w:marLeft w:val="0"/>
                      <w:marRight w:val="0"/>
                      <w:marTop w:val="0"/>
                      <w:marBottom w:val="0"/>
                      <w:divBdr>
                        <w:top w:val="none" w:sz="0" w:space="0" w:color="auto"/>
                        <w:left w:val="none" w:sz="0" w:space="0" w:color="auto"/>
                        <w:bottom w:val="none" w:sz="0" w:space="0" w:color="auto"/>
                        <w:right w:val="none" w:sz="0" w:space="0" w:color="auto"/>
                      </w:divBdr>
                    </w:div>
                  </w:divsChild>
                </w:div>
                <w:div w:id="1584026198">
                  <w:marLeft w:val="0"/>
                  <w:marRight w:val="0"/>
                  <w:marTop w:val="0"/>
                  <w:marBottom w:val="0"/>
                  <w:divBdr>
                    <w:top w:val="none" w:sz="0" w:space="0" w:color="auto"/>
                    <w:left w:val="none" w:sz="0" w:space="0" w:color="auto"/>
                    <w:bottom w:val="none" w:sz="0" w:space="0" w:color="auto"/>
                    <w:right w:val="none" w:sz="0" w:space="0" w:color="auto"/>
                  </w:divBdr>
                  <w:divsChild>
                    <w:div w:id="979917542">
                      <w:marLeft w:val="0"/>
                      <w:marRight w:val="0"/>
                      <w:marTop w:val="0"/>
                      <w:marBottom w:val="0"/>
                      <w:divBdr>
                        <w:top w:val="none" w:sz="0" w:space="0" w:color="auto"/>
                        <w:left w:val="none" w:sz="0" w:space="0" w:color="auto"/>
                        <w:bottom w:val="none" w:sz="0" w:space="0" w:color="auto"/>
                        <w:right w:val="none" w:sz="0" w:space="0" w:color="auto"/>
                      </w:divBdr>
                    </w:div>
                  </w:divsChild>
                </w:div>
                <w:div w:id="1615088870">
                  <w:marLeft w:val="0"/>
                  <w:marRight w:val="0"/>
                  <w:marTop w:val="0"/>
                  <w:marBottom w:val="0"/>
                  <w:divBdr>
                    <w:top w:val="none" w:sz="0" w:space="0" w:color="auto"/>
                    <w:left w:val="none" w:sz="0" w:space="0" w:color="auto"/>
                    <w:bottom w:val="none" w:sz="0" w:space="0" w:color="auto"/>
                    <w:right w:val="none" w:sz="0" w:space="0" w:color="auto"/>
                  </w:divBdr>
                  <w:divsChild>
                    <w:div w:id="2132285160">
                      <w:marLeft w:val="0"/>
                      <w:marRight w:val="0"/>
                      <w:marTop w:val="0"/>
                      <w:marBottom w:val="0"/>
                      <w:divBdr>
                        <w:top w:val="none" w:sz="0" w:space="0" w:color="auto"/>
                        <w:left w:val="none" w:sz="0" w:space="0" w:color="auto"/>
                        <w:bottom w:val="none" w:sz="0" w:space="0" w:color="auto"/>
                        <w:right w:val="none" w:sz="0" w:space="0" w:color="auto"/>
                      </w:divBdr>
                    </w:div>
                  </w:divsChild>
                </w:div>
                <w:div w:id="1646155340">
                  <w:marLeft w:val="0"/>
                  <w:marRight w:val="0"/>
                  <w:marTop w:val="0"/>
                  <w:marBottom w:val="0"/>
                  <w:divBdr>
                    <w:top w:val="none" w:sz="0" w:space="0" w:color="auto"/>
                    <w:left w:val="none" w:sz="0" w:space="0" w:color="auto"/>
                    <w:bottom w:val="none" w:sz="0" w:space="0" w:color="auto"/>
                    <w:right w:val="none" w:sz="0" w:space="0" w:color="auto"/>
                  </w:divBdr>
                  <w:divsChild>
                    <w:div w:id="42221788">
                      <w:marLeft w:val="0"/>
                      <w:marRight w:val="0"/>
                      <w:marTop w:val="0"/>
                      <w:marBottom w:val="0"/>
                      <w:divBdr>
                        <w:top w:val="none" w:sz="0" w:space="0" w:color="auto"/>
                        <w:left w:val="none" w:sz="0" w:space="0" w:color="auto"/>
                        <w:bottom w:val="none" w:sz="0" w:space="0" w:color="auto"/>
                        <w:right w:val="none" w:sz="0" w:space="0" w:color="auto"/>
                      </w:divBdr>
                    </w:div>
                  </w:divsChild>
                </w:div>
                <w:div w:id="1659070976">
                  <w:marLeft w:val="0"/>
                  <w:marRight w:val="0"/>
                  <w:marTop w:val="0"/>
                  <w:marBottom w:val="0"/>
                  <w:divBdr>
                    <w:top w:val="none" w:sz="0" w:space="0" w:color="auto"/>
                    <w:left w:val="none" w:sz="0" w:space="0" w:color="auto"/>
                    <w:bottom w:val="none" w:sz="0" w:space="0" w:color="auto"/>
                    <w:right w:val="none" w:sz="0" w:space="0" w:color="auto"/>
                  </w:divBdr>
                  <w:divsChild>
                    <w:div w:id="1617515685">
                      <w:marLeft w:val="0"/>
                      <w:marRight w:val="0"/>
                      <w:marTop w:val="0"/>
                      <w:marBottom w:val="0"/>
                      <w:divBdr>
                        <w:top w:val="none" w:sz="0" w:space="0" w:color="auto"/>
                        <w:left w:val="none" w:sz="0" w:space="0" w:color="auto"/>
                        <w:bottom w:val="none" w:sz="0" w:space="0" w:color="auto"/>
                        <w:right w:val="none" w:sz="0" w:space="0" w:color="auto"/>
                      </w:divBdr>
                    </w:div>
                  </w:divsChild>
                </w:div>
                <w:div w:id="1708139564">
                  <w:marLeft w:val="0"/>
                  <w:marRight w:val="0"/>
                  <w:marTop w:val="0"/>
                  <w:marBottom w:val="0"/>
                  <w:divBdr>
                    <w:top w:val="none" w:sz="0" w:space="0" w:color="auto"/>
                    <w:left w:val="none" w:sz="0" w:space="0" w:color="auto"/>
                    <w:bottom w:val="none" w:sz="0" w:space="0" w:color="auto"/>
                    <w:right w:val="none" w:sz="0" w:space="0" w:color="auto"/>
                  </w:divBdr>
                  <w:divsChild>
                    <w:div w:id="2011448094">
                      <w:marLeft w:val="0"/>
                      <w:marRight w:val="0"/>
                      <w:marTop w:val="0"/>
                      <w:marBottom w:val="0"/>
                      <w:divBdr>
                        <w:top w:val="none" w:sz="0" w:space="0" w:color="auto"/>
                        <w:left w:val="none" w:sz="0" w:space="0" w:color="auto"/>
                        <w:bottom w:val="none" w:sz="0" w:space="0" w:color="auto"/>
                        <w:right w:val="none" w:sz="0" w:space="0" w:color="auto"/>
                      </w:divBdr>
                    </w:div>
                  </w:divsChild>
                </w:div>
                <w:div w:id="1738166127">
                  <w:marLeft w:val="0"/>
                  <w:marRight w:val="0"/>
                  <w:marTop w:val="0"/>
                  <w:marBottom w:val="0"/>
                  <w:divBdr>
                    <w:top w:val="none" w:sz="0" w:space="0" w:color="auto"/>
                    <w:left w:val="none" w:sz="0" w:space="0" w:color="auto"/>
                    <w:bottom w:val="none" w:sz="0" w:space="0" w:color="auto"/>
                    <w:right w:val="none" w:sz="0" w:space="0" w:color="auto"/>
                  </w:divBdr>
                  <w:divsChild>
                    <w:div w:id="935140093">
                      <w:marLeft w:val="0"/>
                      <w:marRight w:val="0"/>
                      <w:marTop w:val="0"/>
                      <w:marBottom w:val="0"/>
                      <w:divBdr>
                        <w:top w:val="none" w:sz="0" w:space="0" w:color="auto"/>
                        <w:left w:val="none" w:sz="0" w:space="0" w:color="auto"/>
                        <w:bottom w:val="none" w:sz="0" w:space="0" w:color="auto"/>
                        <w:right w:val="none" w:sz="0" w:space="0" w:color="auto"/>
                      </w:divBdr>
                    </w:div>
                  </w:divsChild>
                </w:div>
                <w:div w:id="1752581380">
                  <w:marLeft w:val="0"/>
                  <w:marRight w:val="0"/>
                  <w:marTop w:val="0"/>
                  <w:marBottom w:val="0"/>
                  <w:divBdr>
                    <w:top w:val="none" w:sz="0" w:space="0" w:color="auto"/>
                    <w:left w:val="none" w:sz="0" w:space="0" w:color="auto"/>
                    <w:bottom w:val="none" w:sz="0" w:space="0" w:color="auto"/>
                    <w:right w:val="none" w:sz="0" w:space="0" w:color="auto"/>
                  </w:divBdr>
                  <w:divsChild>
                    <w:div w:id="58213714">
                      <w:marLeft w:val="0"/>
                      <w:marRight w:val="0"/>
                      <w:marTop w:val="0"/>
                      <w:marBottom w:val="0"/>
                      <w:divBdr>
                        <w:top w:val="none" w:sz="0" w:space="0" w:color="auto"/>
                        <w:left w:val="none" w:sz="0" w:space="0" w:color="auto"/>
                        <w:bottom w:val="none" w:sz="0" w:space="0" w:color="auto"/>
                        <w:right w:val="none" w:sz="0" w:space="0" w:color="auto"/>
                      </w:divBdr>
                    </w:div>
                  </w:divsChild>
                </w:div>
                <w:div w:id="1781140314">
                  <w:marLeft w:val="0"/>
                  <w:marRight w:val="0"/>
                  <w:marTop w:val="0"/>
                  <w:marBottom w:val="0"/>
                  <w:divBdr>
                    <w:top w:val="none" w:sz="0" w:space="0" w:color="auto"/>
                    <w:left w:val="none" w:sz="0" w:space="0" w:color="auto"/>
                    <w:bottom w:val="none" w:sz="0" w:space="0" w:color="auto"/>
                    <w:right w:val="none" w:sz="0" w:space="0" w:color="auto"/>
                  </w:divBdr>
                  <w:divsChild>
                    <w:div w:id="1291518555">
                      <w:marLeft w:val="0"/>
                      <w:marRight w:val="0"/>
                      <w:marTop w:val="0"/>
                      <w:marBottom w:val="0"/>
                      <w:divBdr>
                        <w:top w:val="none" w:sz="0" w:space="0" w:color="auto"/>
                        <w:left w:val="none" w:sz="0" w:space="0" w:color="auto"/>
                        <w:bottom w:val="none" w:sz="0" w:space="0" w:color="auto"/>
                        <w:right w:val="none" w:sz="0" w:space="0" w:color="auto"/>
                      </w:divBdr>
                    </w:div>
                  </w:divsChild>
                </w:div>
                <w:div w:id="1783528349">
                  <w:marLeft w:val="0"/>
                  <w:marRight w:val="0"/>
                  <w:marTop w:val="0"/>
                  <w:marBottom w:val="0"/>
                  <w:divBdr>
                    <w:top w:val="none" w:sz="0" w:space="0" w:color="auto"/>
                    <w:left w:val="none" w:sz="0" w:space="0" w:color="auto"/>
                    <w:bottom w:val="none" w:sz="0" w:space="0" w:color="auto"/>
                    <w:right w:val="none" w:sz="0" w:space="0" w:color="auto"/>
                  </w:divBdr>
                  <w:divsChild>
                    <w:div w:id="974482532">
                      <w:marLeft w:val="0"/>
                      <w:marRight w:val="0"/>
                      <w:marTop w:val="0"/>
                      <w:marBottom w:val="0"/>
                      <w:divBdr>
                        <w:top w:val="none" w:sz="0" w:space="0" w:color="auto"/>
                        <w:left w:val="none" w:sz="0" w:space="0" w:color="auto"/>
                        <w:bottom w:val="none" w:sz="0" w:space="0" w:color="auto"/>
                        <w:right w:val="none" w:sz="0" w:space="0" w:color="auto"/>
                      </w:divBdr>
                    </w:div>
                  </w:divsChild>
                </w:div>
                <w:div w:id="1796096031">
                  <w:marLeft w:val="0"/>
                  <w:marRight w:val="0"/>
                  <w:marTop w:val="0"/>
                  <w:marBottom w:val="0"/>
                  <w:divBdr>
                    <w:top w:val="none" w:sz="0" w:space="0" w:color="auto"/>
                    <w:left w:val="none" w:sz="0" w:space="0" w:color="auto"/>
                    <w:bottom w:val="none" w:sz="0" w:space="0" w:color="auto"/>
                    <w:right w:val="none" w:sz="0" w:space="0" w:color="auto"/>
                  </w:divBdr>
                  <w:divsChild>
                    <w:div w:id="1613895224">
                      <w:marLeft w:val="0"/>
                      <w:marRight w:val="0"/>
                      <w:marTop w:val="0"/>
                      <w:marBottom w:val="0"/>
                      <w:divBdr>
                        <w:top w:val="none" w:sz="0" w:space="0" w:color="auto"/>
                        <w:left w:val="none" w:sz="0" w:space="0" w:color="auto"/>
                        <w:bottom w:val="none" w:sz="0" w:space="0" w:color="auto"/>
                        <w:right w:val="none" w:sz="0" w:space="0" w:color="auto"/>
                      </w:divBdr>
                    </w:div>
                  </w:divsChild>
                </w:div>
                <w:div w:id="1796873738">
                  <w:marLeft w:val="0"/>
                  <w:marRight w:val="0"/>
                  <w:marTop w:val="0"/>
                  <w:marBottom w:val="0"/>
                  <w:divBdr>
                    <w:top w:val="none" w:sz="0" w:space="0" w:color="auto"/>
                    <w:left w:val="none" w:sz="0" w:space="0" w:color="auto"/>
                    <w:bottom w:val="none" w:sz="0" w:space="0" w:color="auto"/>
                    <w:right w:val="none" w:sz="0" w:space="0" w:color="auto"/>
                  </w:divBdr>
                  <w:divsChild>
                    <w:div w:id="1161651490">
                      <w:marLeft w:val="0"/>
                      <w:marRight w:val="0"/>
                      <w:marTop w:val="0"/>
                      <w:marBottom w:val="0"/>
                      <w:divBdr>
                        <w:top w:val="none" w:sz="0" w:space="0" w:color="auto"/>
                        <w:left w:val="none" w:sz="0" w:space="0" w:color="auto"/>
                        <w:bottom w:val="none" w:sz="0" w:space="0" w:color="auto"/>
                        <w:right w:val="none" w:sz="0" w:space="0" w:color="auto"/>
                      </w:divBdr>
                    </w:div>
                  </w:divsChild>
                </w:div>
                <w:div w:id="1818105387">
                  <w:marLeft w:val="0"/>
                  <w:marRight w:val="0"/>
                  <w:marTop w:val="0"/>
                  <w:marBottom w:val="0"/>
                  <w:divBdr>
                    <w:top w:val="none" w:sz="0" w:space="0" w:color="auto"/>
                    <w:left w:val="none" w:sz="0" w:space="0" w:color="auto"/>
                    <w:bottom w:val="none" w:sz="0" w:space="0" w:color="auto"/>
                    <w:right w:val="none" w:sz="0" w:space="0" w:color="auto"/>
                  </w:divBdr>
                  <w:divsChild>
                    <w:div w:id="1584678112">
                      <w:marLeft w:val="0"/>
                      <w:marRight w:val="0"/>
                      <w:marTop w:val="0"/>
                      <w:marBottom w:val="0"/>
                      <w:divBdr>
                        <w:top w:val="none" w:sz="0" w:space="0" w:color="auto"/>
                        <w:left w:val="none" w:sz="0" w:space="0" w:color="auto"/>
                        <w:bottom w:val="none" w:sz="0" w:space="0" w:color="auto"/>
                        <w:right w:val="none" w:sz="0" w:space="0" w:color="auto"/>
                      </w:divBdr>
                    </w:div>
                  </w:divsChild>
                </w:div>
                <w:div w:id="1825656948">
                  <w:marLeft w:val="0"/>
                  <w:marRight w:val="0"/>
                  <w:marTop w:val="0"/>
                  <w:marBottom w:val="0"/>
                  <w:divBdr>
                    <w:top w:val="none" w:sz="0" w:space="0" w:color="auto"/>
                    <w:left w:val="none" w:sz="0" w:space="0" w:color="auto"/>
                    <w:bottom w:val="none" w:sz="0" w:space="0" w:color="auto"/>
                    <w:right w:val="none" w:sz="0" w:space="0" w:color="auto"/>
                  </w:divBdr>
                  <w:divsChild>
                    <w:div w:id="728726780">
                      <w:marLeft w:val="0"/>
                      <w:marRight w:val="0"/>
                      <w:marTop w:val="0"/>
                      <w:marBottom w:val="0"/>
                      <w:divBdr>
                        <w:top w:val="none" w:sz="0" w:space="0" w:color="auto"/>
                        <w:left w:val="none" w:sz="0" w:space="0" w:color="auto"/>
                        <w:bottom w:val="none" w:sz="0" w:space="0" w:color="auto"/>
                        <w:right w:val="none" w:sz="0" w:space="0" w:color="auto"/>
                      </w:divBdr>
                    </w:div>
                  </w:divsChild>
                </w:div>
                <w:div w:id="1830823590">
                  <w:marLeft w:val="0"/>
                  <w:marRight w:val="0"/>
                  <w:marTop w:val="0"/>
                  <w:marBottom w:val="0"/>
                  <w:divBdr>
                    <w:top w:val="none" w:sz="0" w:space="0" w:color="auto"/>
                    <w:left w:val="none" w:sz="0" w:space="0" w:color="auto"/>
                    <w:bottom w:val="none" w:sz="0" w:space="0" w:color="auto"/>
                    <w:right w:val="none" w:sz="0" w:space="0" w:color="auto"/>
                  </w:divBdr>
                  <w:divsChild>
                    <w:div w:id="865021654">
                      <w:marLeft w:val="0"/>
                      <w:marRight w:val="0"/>
                      <w:marTop w:val="0"/>
                      <w:marBottom w:val="0"/>
                      <w:divBdr>
                        <w:top w:val="none" w:sz="0" w:space="0" w:color="auto"/>
                        <w:left w:val="none" w:sz="0" w:space="0" w:color="auto"/>
                        <w:bottom w:val="none" w:sz="0" w:space="0" w:color="auto"/>
                        <w:right w:val="none" w:sz="0" w:space="0" w:color="auto"/>
                      </w:divBdr>
                    </w:div>
                  </w:divsChild>
                </w:div>
                <w:div w:id="1832405732">
                  <w:marLeft w:val="0"/>
                  <w:marRight w:val="0"/>
                  <w:marTop w:val="0"/>
                  <w:marBottom w:val="0"/>
                  <w:divBdr>
                    <w:top w:val="none" w:sz="0" w:space="0" w:color="auto"/>
                    <w:left w:val="none" w:sz="0" w:space="0" w:color="auto"/>
                    <w:bottom w:val="none" w:sz="0" w:space="0" w:color="auto"/>
                    <w:right w:val="none" w:sz="0" w:space="0" w:color="auto"/>
                  </w:divBdr>
                  <w:divsChild>
                    <w:div w:id="1245534183">
                      <w:marLeft w:val="0"/>
                      <w:marRight w:val="0"/>
                      <w:marTop w:val="0"/>
                      <w:marBottom w:val="0"/>
                      <w:divBdr>
                        <w:top w:val="none" w:sz="0" w:space="0" w:color="auto"/>
                        <w:left w:val="none" w:sz="0" w:space="0" w:color="auto"/>
                        <w:bottom w:val="none" w:sz="0" w:space="0" w:color="auto"/>
                        <w:right w:val="none" w:sz="0" w:space="0" w:color="auto"/>
                      </w:divBdr>
                    </w:div>
                  </w:divsChild>
                </w:div>
                <w:div w:id="1833179591">
                  <w:marLeft w:val="0"/>
                  <w:marRight w:val="0"/>
                  <w:marTop w:val="0"/>
                  <w:marBottom w:val="0"/>
                  <w:divBdr>
                    <w:top w:val="none" w:sz="0" w:space="0" w:color="auto"/>
                    <w:left w:val="none" w:sz="0" w:space="0" w:color="auto"/>
                    <w:bottom w:val="none" w:sz="0" w:space="0" w:color="auto"/>
                    <w:right w:val="none" w:sz="0" w:space="0" w:color="auto"/>
                  </w:divBdr>
                  <w:divsChild>
                    <w:div w:id="505872897">
                      <w:marLeft w:val="0"/>
                      <w:marRight w:val="0"/>
                      <w:marTop w:val="0"/>
                      <w:marBottom w:val="0"/>
                      <w:divBdr>
                        <w:top w:val="none" w:sz="0" w:space="0" w:color="auto"/>
                        <w:left w:val="none" w:sz="0" w:space="0" w:color="auto"/>
                        <w:bottom w:val="none" w:sz="0" w:space="0" w:color="auto"/>
                        <w:right w:val="none" w:sz="0" w:space="0" w:color="auto"/>
                      </w:divBdr>
                    </w:div>
                  </w:divsChild>
                </w:div>
                <w:div w:id="1847287552">
                  <w:marLeft w:val="0"/>
                  <w:marRight w:val="0"/>
                  <w:marTop w:val="0"/>
                  <w:marBottom w:val="0"/>
                  <w:divBdr>
                    <w:top w:val="none" w:sz="0" w:space="0" w:color="auto"/>
                    <w:left w:val="none" w:sz="0" w:space="0" w:color="auto"/>
                    <w:bottom w:val="none" w:sz="0" w:space="0" w:color="auto"/>
                    <w:right w:val="none" w:sz="0" w:space="0" w:color="auto"/>
                  </w:divBdr>
                  <w:divsChild>
                    <w:div w:id="1453785384">
                      <w:marLeft w:val="0"/>
                      <w:marRight w:val="0"/>
                      <w:marTop w:val="0"/>
                      <w:marBottom w:val="0"/>
                      <w:divBdr>
                        <w:top w:val="none" w:sz="0" w:space="0" w:color="auto"/>
                        <w:left w:val="none" w:sz="0" w:space="0" w:color="auto"/>
                        <w:bottom w:val="none" w:sz="0" w:space="0" w:color="auto"/>
                        <w:right w:val="none" w:sz="0" w:space="0" w:color="auto"/>
                      </w:divBdr>
                    </w:div>
                  </w:divsChild>
                </w:div>
                <w:div w:id="1871794265">
                  <w:marLeft w:val="0"/>
                  <w:marRight w:val="0"/>
                  <w:marTop w:val="0"/>
                  <w:marBottom w:val="0"/>
                  <w:divBdr>
                    <w:top w:val="none" w:sz="0" w:space="0" w:color="auto"/>
                    <w:left w:val="none" w:sz="0" w:space="0" w:color="auto"/>
                    <w:bottom w:val="none" w:sz="0" w:space="0" w:color="auto"/>
                    <w:right w:val="none" w:sz="0" w:space="0" w:color="auto"/>
                  </w:divBdr>
                  <w:divsChild>
                    <w:div w:id="1867793382">
                      <w:marLeft w:val="0"/>
                      <w:marRight w:val="0"/>
                      <w:marTop w:val="0"/>
                      <w:marBottom w:val="0"/>
                      <w:divBdr>
                        <w:top w:val="none" w:sz="0" w:space="0" w:color="auto"/>
                        <w:left w:val="none" w:sz="0" w:space="0" w:color="auto"/>
                        <w:bottom w:val="none" w:sz="0" w:space="0" w:color="auto"/>
                        <w:right w:val="none" w:sz="0" w:space="0" w:color="auto"/>
                      </w:divBdr>
                    </w:div>
                  </w:divsChild>
                </w:div>
                <w:div w:id="1891762426">
                  <w:marLeft w:val="0"/>
                  <w:marRight w:val="0"/>
                  <w:marTop w:val="0"/>
                  <w:marBottom w:val="0"/>
                  <w:divBdr>
                    <w:top w:val="none" w:sz="0" w:space="0" w:color="auto"/>
                    <w:left w:val="none" w:sz="0" w:space="0" w:color="auto"/>
                    <w:bottom w:val="none" w:sz="0" w:space="0" w:color="auto"/>
                    <w:right w:val="none" w:sz="0" w:space="0" w:color="auto"/>
                  </w:divBdr>
                  <w:divsChild>
                    <w:div w:id="432435538">
                      <w:marLeft w:val="0"/>
                      <w:marRight w:val="0"/>
                      <w:marTop w:val="0"/>
                      <w:marBottom w:val="0"/>
                      <w:divBdr>
                        <w:top w:val="none" w:sz="0" w:space="0" w:color="auto"/>
                        <w:left w:val="none" w:sz="0" w:space="0" w:color="auto"/>
                        <w:bottom w:val="none" w:sz="0" w:space="0" w:color="auto"/>
                        <w:right w:val="none" w:sz="0" w:space="0" w:color="auto"/>
                      </w:divBdr>
                    </w:div>
                  </w:divsChild>
                </w:div>
                <w:div w:id="1940141246">
                  <w:marLeft w:val="0"/>
                  <w:marRight w:val="0"/>
                  <w:marTop w:val="0"/>
                  <w:marBottom w:val="0"/>
                  <w:divBdr>
                    <w:top w:val="none" w:sz="0" w:space="0" w:color="auto"/>
                    <w:left w:val="none" w:sz="0" w:space="0" w:color="auto"/>
                    <w:bottom w:val="none" w:sz="0" w:space="0" w:color="auto"/>
                    <w:right w:val="none" w:sz="0" w:space="0" w:color="auto"/>
                  </w:divBdr>
                  <w:divsChild>
                    <w:div w:id="141773612">
                      <w:marLeft w:val="0"/>
                      <w:marRight w:val="0"/>
                      <w:marTop w:val="0"/>
                      <w:marBottom w:val="0"/>
                      <w:divBdr>
                        <w:top w:val="none" w:sz="0" w:space="0" w:color="auto"/>
                        <w:left w:val="none" w:sz="0" w:space="0" w:color="auto"/>
                        <w:bottom w:val="none" w:sz="0" w:space="0" w:color="auto"/>
                        <w:right w:val="none" w:sz="0" w:space="0" w:color="auto"/>
                      </w:divBdr>
                    </w:div>
                  </w:divsChild>
                </w:div>
                <w:div w:id="2000887599">
                  <w:marLeft w:val="0"/>
                  <w:marRight w:val="0"/>
                  <w:marTop w:val="0"/>
                  <w:marBottom w:val="0"/>
                  <w:divBdr>
                    <w:top w:val="none" w:sz="0" w:space="0" w:color="auto"/>
                    <w:left w:val="none" w:sz="0" w:space="0" w:color="auto"/>
                    <w:bottom w:val="none" w:sz="0" w:space="0" w:color="auto"/>
                    <w:right w:val="none" w:sz="0" w:space="0" w:color="auto"/>
                  </w:divBdr>
                  <w:divsChild>
                    <w:div w:id="296112100">
                      <w:marLeft w:val="0"/>
                      <w:marRight w:val="0"/>
                      <w:marTop w:val="0"/>
                      <w:marBottom w:val="0"/>
                      <w:divBdr>
                        <w:top w:val="none" w:sz="0" w:space="0" w:color="auto"/>
                        <w:left w:val="none" w:sz="0" w:space="0" w:color="auto"/>
                        <w:bottom w:val="none" w:sz="0" w:space="0" w:color="auto"/>
                        <w:right w:val="none" w:sz="0" w:space="0" w:color="auto"/>
                      </w:divBdr>
                    </w:div>
                  </w:divsChild>
                </w:div>
                <w:div w:id="2008054118">
                  <w:marLeft w:val="0"/>
                  <w:marRight w:val="0"/>
                  <w:marTop w:val="0"/>
                  <w:marBottom w:val="0"/>
                  <w:divBdr>
                    <w:top w:val="none" w:sz="0" w:space="0" w:color="auto"/>
                    <w:left w:val="none" w:sz="0" w:space="0" w:color="auto"/>
                    <w:bottom w:val="none" w:sz="0" w:space="0" w:color="auto"/>
                    <w:right w:val="none" w:sz="0" w:space="0" w:color="auto"/>
                  </w:divBdr>
                  <w:divsChild>
                    <w:div w:id="1826237006">
                      <w:marLeft w:val="0"/>
                      <w:marRight w:val="0"/>
                      <w:marTop w:val="0"/>
                      <w:marBottom w:val="0"/>
                      <w:divBdr>
                        <w:top w:val="none" w:sz="0" w:space="0" w:color="auto"/>
                        <w:left w:val="none" w:sz="0" w:space="0" w:color="auto"/>
                        <w:bottom w:val="none" w:sz="0" w:space="0" w:color="auto"/>
                        <w:right w:val="none" w:sz="0" w:space="0" w:color="auto"/>
                      </w:divBdr>
                    </w:div>
                  </w:divsChild>
                </w:div>
                <w:div w:id="2048526907">
                  <w:marLeft w:val="0"/>
                  <w:marRight w:val="0"/>
                  <w:marTop w:val="0"/>
                  <w:marBottom w:val="0"/>
                  <w:divBdr>
                    <w:top w:val="none" w:sz="0" w:space="0" w:color="auto"/>
                    <w:left w:val="none" w:sz="0" w:space="0" w:color="auto"/>
                    <w:bottom w:val="none" w:sz="0" w:space="0" w:color="auto"/>
                    <w:right w:val="none" w:sz="0" w:space="0" w:color="auto"/>
                  </w:divBdr>
                  <w:divsChild>
                    <w:div w:id="825508932">
                      <w:marLeft w:val="0"/>
                      <w:marRight w:val="0"/>
                      <w:marTop w:val="0"/>
                      <w:marBottom w:val="0"/>
                      <w:divBdr>
                        <w:top w:val="none" w:sz="0" w:space="0" w:color="auto"/>
                        <w:left w:val="none" w:sz="0" w:space="0" w:color="auto"/>
                        <w:bottom w:val="none" w:sz="0" w:space="0" w:color="auto"/>
                        <w:right w:val="none" w:sz="0" w:space="0" w:color="auto"/>
                      </w:divBdr>
                    </w:div>
                  </w:divsChild>
                </w:div>
                <w:div w:id="2071465235">
                  <w:marLeft w:val="0"/>
                  <w:marRight w:val="0"/>
                  <w:marTop w:val="0"/>
                  <w:marBottom w:val="0"/>
                  <w:divBdr>
                    <w:top w:val="none" w:sz="0" w:space="0" w:color="auto"/>
                    <w:left w:val="none" w:sz="0" w:space="0" w:color="auto"/>
                    <w:bottom w:val="none" w:sz="0" w:space="0" w:color="auto"/>
                    <w:right w:val="none" w:sz="0" w:space="0" w:color="auto"/>
                  </w:divBdr>
                  <w:divsChild>
                    <w:div w:id="858123">
                      <w:marLeft w:val="0"/>
                      <w:marRight w:val="0"/>
                      <w:marTop w:val="0"/>
                      <w:marBottom w:val="0"/>
                      <w:divBdr>
                        <w:top w:val="none" w:sz="0" w:space="0" w:color="auto"/>
                        <w:left w:val="none" w:sz="0" w:space="0" w:color="auto"/>
                        <w:bottom w:val="none" w:sz="0" w:space="0" w:color="auto"/>
                        <w:right w:val="none" w:sz="0" w:space="0" w:color="auto"/>
                      </w:divBdr>
                    </w:div>
                  </w:divsChild>
                </w:div>
                <w:div w:id="2077318601">
                  <w:marLeft w:val="0"/>
                  <w:marRight w:val="0"/>
                  <w:marTop w:val="0"/>
                  <w:marBottom w:val="0"/>
                  <w:divBdr>
                    <w:top w:val="none" w:sz="0" w:space="0" w:color="auto"/>
                    <w:left w:val="none" w:sz="0" w:space="0" w:color="auto"/>
                    <w:bottom w:val="none" w:sz="0" w:space="0" w:color="auto"/>
                    <w:right w:val="none" w:sz="0" w:space="0" w:color="auto"/>
                  </w:divBdr>
                  <w:divsChild>
                    <w:div w:id="1734348711">
                      <w:marLeft w:val="0"/>
                      <w:marRight w:val="0"/>
                      <w:marTop w:val="0"/>
                      <w:marBottom w:val="0"/>
                      <w:divBdr>
                        <w:top w:val="none" w:sz="0" w:space="0" w:color="auto"/>
                        <w:left w:val="none" w:sz="0" w:space="0" w:color="auto"/>
                        <w:bottom w:val="none" w:sz="0" w:space="0" w:color="auto"/>
                        <w:right w:val="none" w:sz="0" w:space="0" w:color="auto"/>
                      </w:divBdr>
                    </w:div>
                  </w:divsChild>
                </w:div>
                <w:div w:id="2096659596">
                  <w:marLeft w:val="0"/>
                  <w:marRight w:val="0"/>
                  <w:marTop w:val="0"/>
                  <w:marBottom w:val="0"/>
                  <w:divBdr>
                    <w:top w:val="none" w:sz="0" w:space="0" w:color="auto"/>
                    <w:left w:val="none" w:sz="0" w:space="0" w:color="auto"/>
                    <w:bottom w:val="none" w:sz="0" w:space="0" w:color="auto"/>
                    <w:right w:val="none" w:sz="0" w:space="0" w:color="auto"/>
                  </w:divBdr>
                  <w:divsChild>
                    <w:div w:id="291833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288207">
          <w:marLeft w:val="0"/>
          <w:marRight w:val="0"/>
          <w:marTop w:val="0"/>
          <w:marBottom w:val="0"/>
          <w:divBdr>
            <w:top w:val="none" w:sz="0" w:space="0" w:color="auto"/>
            <w:left w:val="none" w:sz="0" w:space="0" w:color="auto"/>
            <w:bottom w:val="none" w:sz="0" w:space="0" w:color="auto"/>
            <w:right w:val="none" w:sz="0" w:space="0" w:color="auto"/>
          </w:divBdr>
        </w:div>
        <w:div w:id="1580674141">
          <w:marLeft w:val="0"/>
          <w:marRight w:val="0"/>
          <w:marTop w:val="0"/>
          <w:marBottom w:val="0"/>
          <w:divBdr>
            <w:top w:val="none" w:sz="0" w:space="0" w:color="auto"/>
            <w:left w:val="none" w:sz="0" w:space="0" w:color="auto"/>
            <w:bottom w:val="none" w:sz="0" w:space="0" w:color="auto"/>
            <w:right w:val="none" w:sz="0" w:space="0" w:color="auto"/>
          </w:divBdr>
        </w:div>
        <w:div w:id="1657763234">
          <w:marLeft w:val="0"/>
          <w:marRight w:val="0"/>
          <w:marTop w:val="0"/>
          <w:marBottom w:val="0"/>
          <w:divBdr>
            <w:top w:val="none" w:sz="0" w:space="0" w:color="auto"/>
            <w:left w:val="none" w:sz="0" w:space="0" w:color="auto"/>
            <w:bottom w:val="none" w:sz="0" w:space="0" w:color="auto"/>
            <w:right w:val="none" w:sz="0" w:space="0" w:color="auto"/>
          </w:divBdr>
        </w:div>
        <w:div w:id="1675183901">
          <w:marLeft w:val="0"/>
          <w:marRight w:val="0"/>
          <w:marTop w:val="0"/>
          <w:marBottom w:val="0"/>
          <w:divBdr>
            <w:top w:val="none" w:sz="0" w:space="0" w:color="auto"/>
            <w:left w:val="none" w:sz="0" w:space="0" w:color="auto"/>
            <w:bottom w:val="none" w:sz="0" w:space="0" w:color="auto"/>
            <w:right w:val="none" w:sz="0" w:space="0" w:color="auto"/>
          </w:divBdr>
        </w:div>
        <w:div w:id="1729262420">
          <w:marLeft w:val="0"/>
          <w:marRight w:val="0"/>
          <w:marTop w:val="0"/>
          <w:marBottom w:val="0"/>
          <w:divBdr>
            <w:top w:val="none" w:sz="0" w:space="0" w:color="auto"/>
            <w:left w:val="none" w:sz="0" w:space="0" w:color="auto"/>
            <w:bottom w:val="none" w:sz="0" w:space="0" w:color="auto"/>
            <w:right w:val="none" w:sz="0" w:space="0" w:color="auto"/>
          </w:divBdr>
        </w:div>
        <w:div w:id="1736120044">
          <w:marLeft w:val="0"/>
          <w:marRight w:val="0"/>
          <w:marTop w:val="0"/>
          <w:marBottom w:val="0"/>
          <w:divBdr>
            <w:top w:val="none" w:sz="0" w:space="0" w:color="auto"/>
            <w:left w:val="none" w:sz="0" w:space="0" w:color="auto"/>
            <w:bottom w:val="none" w:sz="0" w:space="0" w:color="auto"/>
            <w:right w:val="none" w:sz="0" w:space="0" w:color="auto"/>
          </w:divBdr>
          <w:divsChild>
            <w:div w:id="991329121">
              <w:marLeft w:val="-75"/>
              <w:marRight w:val="0"/>
              <w:marTop w:val="30"/>
              <w:marBottom w:val="30"/>
              <w:divBdr>
                <w:top w:val="none" w:sz="0" w:space="0" w:color="auto"/>
                <w:left w:val="none" w:sz="0" w:space="0" w:color="auto"/>
                <w:bottom w:val="none" w:sz="0" w:space="0" w:color="auto"/>
                <w:right w:val="none" w:sz="0" w:space="0" w:color="auto"/>
              </w:divBdr>
              <w:divsChild>
                <w:div w:id="233050406">
                  <w:marLeft w:val="0"/>
                  <w:marRight w:val="0"/>
                  <w:marTop w:val="0"/>
                  <w:marBottom w:val="0"/>
                  <w:divBdr>
                    <w:top w:val="none" w:sz="0" w:space="0" w:color="auto"/>
                    <w:left w:val="none" w:sz="0" w:space="0" w:color="auto"/>
                    <w:bottom w:val="none" w:sz="0" w:space="0" w:color="auto"/>
                    <w:right w:val="none" w:sz="0" w:space="0" w:color="auto"/>
                  </w:divBdr>
                  <w:divsChild>
                    <w:div w:id="1713266114">
                      <w:marLeft w:val="0"/>
                      <w:marRight w:val="0"/>
                      <w:marTop w:val="0"/>
                      <w:marBottom w:val="0"/>
                      <w:divBdr>
                        <w:top w:val="none" w:sz="0" w:space="0" w:color="auto"/>
                        <w:left w:val="none" w:sz="0" w:space="0" w:color="auto"/>
                        <w:bottom w:val="none" w:sz="0" w:space="0" w:color="auto"/>
                        <w:right w:val="none" w:sz="0" w:space="0" w:color="auto"/>
                      </w:divBdr>
                    </w:div>
                  </w:divsChild>
                </w:div>
                <w:div w:id="296642773">
                  <w:marLeft w:val="0"/>
                  <w:marRight w:val="0"/>
                  <w:marTop w:val="0"/>
                  <w:marBottom w:val="0"/>
                  <w:divBdr>
                    <w:top w:val="none" w:sz="0" w:space="0" w:color="auto"/>
                    <w:left w:val="none" w:sz="0" w:space="0" w:color="auto"/>
                    <w:bottom w:val="none" w:sz="0" w:space="0" w:color="auto"/>
                    <w:right w:val="none" w:sz="0" w:space="0" w:color="auto"/>
                  </w:divBdr>
                  <w:divsChild>
                    <w:div w:id="1107653580">
                      <w:marLeft w:val="0"/>
                      <w:marRight w:val="0"/>
                      <w:marTop w:val="0"/>
                      <w:marBottom w:val="0"/>
                      <w:divBdr>
                        <w:top w:val="none" w:sz="0" w:space="0" w:color="auto"/>
                        <w:left w:val="none" w:sz="0" w:space="0" w:color="auto"/>
                        <w:bottom w:val="none" w:sz="0" w:space="0" w:color="auto"/>
                        <w:right w:val="none" w:sz="0" w:space="0" w:color="auto"/>
                      </w:divBdr>
                    </w:div>
                  </w:divsChild>
                </w:div>
                <w:div w:id="324482563">
                  <w:marLeft w:val="0"/>
                  <w:marRight w:val="0"/>
                  <w:marTop w:val="0"/>
                  <w:marBottom w:val="0"/>
                  <w:divBdr>
                    <w:top w:val="none" w:sz="0" w:space="0" w:color="auto"/>
                    <w:left w:val="none" w:sz="0" w:space="0" w:color="auto"/>
                    <w:bottom w:val="none" w:sz="0" w:space="0" w:color="auto"/>
                    <w:right w:val="none" w:sz="0" w:space="0" w:color="auto"/>
                  </w:divBdr>
                  <w:divsChild>
                    <w:div w:id="1818568223">
                      <w:marLeft w:val="0"/>
                      <w:marRight w:val="0"/>
                      <w:marTop w:val="0"/>
                      <w:marBottom w:val="0"/>
                      <w:divBdr>
                        <w:top w:val="none" w:sz="0" w:space="0" w:color="auto"/>
                        <w:left w:val="none" w:sz="0" w:space="0" w:color="auto"/>
                        <w:bottom w:val="none" w:sz="0" w:space="0" w:color="auto"/>
                        <w:right w:val="none" w:sz="0" w:space="0" w:color="auto"/>
                      </w:divBdr>
                    </w:div>
                  </w:divsChild>
                </w:div>
                <w:div w:id="618604852">
                  <w:marLeft w:val="0"/>
                  <w:marRight w:val="0"/>
                  <w:marTop w:val="0"/>
                  <w:marBottom w:val="0"/>
                  <w:divBdr>
                    <w:top w:val="none" w:sz="0" w:space="0" w:color="auto"/>
                    <w:left w:val="none" w:sz="0" w:space="0" w:color="auto"/>
                    <w:bottom w:val="none" w:sz="0" w:space="0" w:color="auto"/>
                    <w:right w:val="none" w:sz="0" w:space="0" w:color="auto"/>
                  </w:divBdr>
                  <w:divsChild>
                    <w:div w:id="1052391252">
                      <w:marLeft w:val="0"/>
                      <w:marRight w:val="0"/>
                      <w:marTop w:val="0"/>
                      <w:marBottom w:val="0"/>
                      <w:divBdr>
                        <w:top w:val="none" w:sz="0" w:space="0" w:color="auto"/>
                        <w:left w:val="none" w:sz="0" w:space="0" w:color="auto"/>
                        <w:bottom w:val="none" w:sz="0" w:space="0" w:color="auto"/>
                        <w:right w:val="none" w:sz="0" w:space="0" w:color="auto"/>
                      </w:divBdr>
                    </w:div>
                  </w:divsChild>
                </w:div>
                <w:div w:id="903494442">
                  <w:marLeft w:val="0"/>
                  <w:marRight w:val="0"/>
                  <w:marTop w:val="0"/>
                  <w:marBottom w:val="0"/>
                  <w:divBdr>
                    <w:top w:val="none" w:sz="0" w:space="0" w:color="auto"/>
                    <w:left w:val="none" w:sz="0" w:space="0" w:color="auto"/>
                    <w:bottom w:val="none" w:sz="0" w:space="0" w:color="auto"/>
                    <w:right w:val="none" w:sz="0" w:space="0" w:color="auto"/>
                  </w:divBdr>
                  <w:divsChild>
                    <w:div w:id="1434742293">
                      <w:marLeft w:val="0"/>
                      <w:marRight w:val="0"/>
                      <w:marTop w:val="0"/>
                      <w:marBottom w:val="0"/>
                      <w:divBdr>
                        <w:top w:val="none" w:sz="0" w:space="0" w:color="auto"/>
                        <w:left w:val="none" w:sz="0" w:space="0" w:color="auto"/>
                        <w:bottom w:val="none" w:sz="0" w:space="0" w:color="auto"/>
                        <w:right w:val="none" w:sz="0" w:space="0" w:color="auto"/>
                      </w:divBdr>
                    </w:div>
                  </w:divsChild>
                </w:div>
                <w:div w:id="1104616230">
                  <w:marLeft w:val="0"/>
                  <w:marRight w:val="0"/>
                  <w:marTop w:val="0"/>
                  <w:marBottom w:val="0"/>
                  <w:divBdr>
                    <w:top w:val="none" w:sz="0" w:space="0" w:color="auto"/>
                    <w:left w:val="none" w:sz="0" w:space="0" w:color="auto"/>
                    <w:bottom w:val="none" w:sz="0" w:space="0" w:color="auto"/>
                    <w:right w:val="none" w:sz="0" w:space="0" w:color="auto"/>
                  </w:divBdr>
                  <w:divsChild>
                    <w:div w:id="1122577770">
                      <w:marLeft w:val="0"/>
                      <w:marRight w:val="0"/>
                      <w:marTop w:val="0"/>
                      <w:marBottom w:val="0"/>
                      <w:divBdr>
                        <w:top w:val="none" w:sz="0" w:space="0" w:color="auto"/>
                        <w:left w:val="none" w:sz="0" w:space="0" w:color="auto"/>
                        <w:bottom w:val="none" w:sz="0" w:space="0" w:color="auto"/>
                        <w:right w:val="none" w:sz="0" w:space="0" w:color="auto"/>
                      </w:divBdr>
                    </w:div>
                  </w:divsChild>
                </w:div>
                <w:div w:id="1436052269">
                  <w:marLeft w:val="0"/>
                  <w:marRight w:val="0"/>
                  <w:marTop w:val="0"/>
                  <w:marBottom w:val="0"/>
                  <w:divBdr>
                    <w:top w:val="none" w:sz="0" w:space="0" w:color="auto"/>
                    <w:left w:val="none" w:sz="0" w:space="0" w:color="auto"/>
                    <w:bottom w:val="none" w:sz="0" w:space="0" w:color="auto"/>
                    <w:right w:val="none" w:sz="0" w:space="0" w:color="auto"/>
                  </w:divBdr>
                  <w:divsChild>
                    <w:div w:id="2121145518">
                      <w:marLeft w:val="0"/>
                      <w:marRight w:val="0"/>
                      <w:marTop w:val="0"/>
                      <w:marBottom w:val="0"/>
                      <w:divBdr>
                        <w:top w:val="none" w:sz="0" w:space="0" w:color="auto"/>
                        <w:left w:val="none" w:sz="0" w:space="0" w:color="auto"/>
                        <w:bottom w:val="none" w:sz="0" w:space="0" w:color="auto"/>
                        <w:right w:val="none" w:sz="0" w:space="0" w:color="auto"/>
                      </w:divBdr>
                    </w:div>
                  </w:divsChild>
                </w:div>
                <w:div w:id="1440294617">
                  <w:marLeft w:val="0"/>
                  <w:marRight w:val="0"/>
                  <w:marTop w:val="0"/>
                  <w:marBottom w:val="0"/>
                  <w:divBdr>
                    <w:top w:val="none" w:sz="0" w:space="0" w:color="auto"/>
                    <w:left w:val="none" w:sz="0" w:space="0" w:color="auto"/>
                    <w:bottom w:val="none" w:sz="0" w:space="0" w:color="auto"/>
                    <w:right w:val="none" w:sz="0" w:space="0" w:color="auto"/>
                  </w:divBdr>
                  <w:divsChild>
                    <w:div w:id="536697611">
                      <w:marLeft w:val="0"/>
                      <w:marRight w:val="0"/>
                      <w:marTop w:val="0"/>
                      <w:marBottom w:val="0"/>
                      <w:divBdr>
                        <w:top w:val="none" w:sz="0" w:space="0" w:color="auto"/>
                        <w:left w:val="none" w:sz="0" w:space="0" w:color="auto"/>
                        <w:bottom w:val="none" w:sz="0" w:space="0" w:color="auto"/>
                        <w:right w:val="none" w:sz="0" w:space="0" w:color="auto"/>
                      </w:divBdr>
                    </w:div>
                  </w:divsChild>
                </w:div>
                <w:div w:id="1441952661">
                  <w:marLeft w:val="0"/>
                  <w:marRight w:val="0"/>
                  <w:marTop w:val="0"/>
                  <w:marBottom w:val="0"/>
                  <w:divBdr>
                    <w:top w:val="none" w:sz="0" w:space="0" w:color="auto"/>
                    <w:left w:val="none" w:sz="0" w:space="0" w:color="auto"/>
                    <w:bottom w:val="none" w:sz="0" w:space="0" w:color="auto"/>
                    <w:right w:val="none" w:sz="0" w:space="0" w:color="auto"/>
                  </w:divBdr>
                  <w:divsChild>
                    <w:div w:id="1778014433">
                      <w:marLeft w:val="0"/>
                      <w:marRight w:val="0"/>
                      <w:marTop w:val="0"/>
                      <w:marBottom w:val="0"/>
                      <w:divBdr>
                        <w:top w:val="none" w:sz="0" w:space="0" w:color="auto"/>
                        <w:left w:val="none" w:sz="0" w:space="0" w:color="auto"/>
                        <w:bottom w:val="none" w:sz="0" w:space="0" w:color="auto"/>
                        <w:right w:val="none" w:sz="0" w:space="0" w:color="auto"/>
                      </w:divBdr>
                    </w:div>
                  </w:divsChild>
                </w:div>
                <w:div w:id="1520503557">
                  <w:marLeft w:val="0"/>
                  <w:marRight w:val="0"/>
                  <w:marTop w:val="0"/>
                  <w:marBottom w:val="0"/>
                  <w:divBdr>
                    <w:top w:val="none" w:sz="0" w:space="0" w:color="auto"/>
                    <w:left w:val="none" w:sz="0" w:space="0" w:color="auto"/>
                    <w:bottom w:val="none" w:sz="0" w:space="0" w:color="auto"/>
                    <w:right w:val="none" w:sz="0" w:space="0" w:color="auto"/>
                  </w:divBdr>
                  <w:divsChild>
                    <w:div w:id="483939299">
                      <w:marLeft w:val="0"/>
                      <w:marRight w:val="0"/>
                      <w:marTop w:val="0"/>
                      <w:marBottom w:val="0"/>
                      <w:divBdr>
                        <w:top w:val="none" w:sz="0" w:space="0" w:color="auto"/>
                        <w:left w:val="none" w:sz="0" w:space="0" w:color="auto"/>
                        <w:bottom w:val="none" w:sz="0" w:space="0" w:color="auto"/>
                        <w:right w:val="none" w:sz="0" w:space="0" w:color="auto"/>
                      </w:divBdr>
                    </w:div>
                  </w:divsChild>
                </w:div>
                <w:div w:id="1834225393">
                  <w:marLeft w:val="0"/>
                  <w:marRight w:val="0"/>
                  <w:marTop w:val="0"/>
                  <w:marBottom w:val="0"/>
                  <w:divBdr>
                    <w:top w:val="none" w:sz="0" w:space="0" w:color="auto"/>
                    <w:left w:val="none" w:sz="0" w:space="0" w:color="auto"/>
                    <w:bottom w:val="none" w:sz="0" w:space="0" w:color="auto"/>
                    <w:right w:val="none" w:sz="0" w:space="0" w:color="auto"/>
                  </w:divBdr>
                  <w:divsChild>
                    <w:div w:id="2036342052">
                      <w:marLeft w:val="0"/>
                      <w:marRight w:val="0"/>
                      <w:marTop w:val="0"/>
                      <w:marBottom w:val="0"/>
                      <w:divBdr>
                        <w:top w:val="none" w:sz="0" w:space="0" w:color="auto"/>
                        <w:left w:val="none" w:sz="0" w:space="0" w:color="auto"/>
                        <w:bottom w:val="none" w:sz="0" w:space="0" w:color="auto"/>
                        <w:right w:val="none" w:sz="0" w:space="0" w:color="auto"/>
                      </w:divBdr>
                    </w:div>
                  </w:divsChild>
                </w:div>
                <w:div w:id="1933276685">
                  <w:marLeft w:val="0"/>
                  <w:marRight w:val="0"/>
                  <w:marTop w:val="0"/>
                  <w:marBottom w:val="0"/>
                  <w:divBdr>
                    <w:top w:val="none" w:sz="0" w:space="0" w:color="auto"/>
                    <w:left w:val="none" w:sz="0" w:space="0" w:color="auto"/>
                    <w:bottom w:val="none" w:sz="0" w:space="0" w:color="auto"/>
                    <w:right w:val="none" w:sz="0" w:space="0" w:color="auto"/>
                  </w:divBdr>
                  <w:divsChild>
                    <w:div w:id="1031031873">
                      <w:marLeft w:val="0"/>
                      <w:marRight w:val="0"/>
                      <w:marTop w:val="0"/>
                      <w:marBottom w:val="0"/>
                      <w:divBdr>
                        <w:top w:val="none" w:sz="0" w:space="0" w:color="auto"/>
                        <w:left w:val="none" w:sz="0" w:space="0" w:color="auto"/>
                        <w:bottom w:val="none" w:sz="0" w:space="0" w:color="auto"/>
                        <w:right w:val="none" w:sz="0" w:space="0" w:color="auto"/>
                      </w:divBdr>
                    </w:div>
                  </w:divsChild>
                </w:div>
                <w:div w:id="1972830745">
                  <w:marLeft w:val="0"/>
                  <w:marRight w:val="0"/>
                  <w:marTop w:val="0"/>
                  <w:marBottom w:val="0"/>
                  <w:divBdr>
                    <w:top w:val="none" w:sz="0" w:space="0" w:color="auto"/>
                    <w:left w:val="none" w:sz="0" w:space="0" w:color="auto"/>
                    <w:bottom w:val="none" w:sz="0" w:space="0" w:color="auto"/>
                    <w:right w:val="none" w:sz="0" w:space="0" w:color="auto"/>
                  </w:divBdr>
                  <w:divsChild>
                    <w:div w:id="1875121170">
                      <w:marLeft w:val="0"/>
                      <w:marRight w:val="0"/>
                      <w:marTop w:val="0"/>
                      <w:marBottom w:val="0"/>
                      <w:divBdr>
                        <w:top w:val="none" w:sz="0" w:space="0" w:color="auto"/>
                        <w:left w:val="none" w:sz="0" w:space="0" w:color="auto"/>
                        <w:bottom w:val="none" w:sz="0" w:space="0" w:color="auto"/>
                        <w:right w:val="none" w:sz="0" w:space="0" w:color="auto"/>
                      </w:divBdr>
                    </w:div>
                  </w:divsChild>
                </w:div>
                <w:div w:id="1995599442">
                  <w:marLeft w:val="0"/>
                  <w:marRight w:val="0"/>
                  <w:marTop w:val="0"/>
                  <w:marBottom w:val="0"/>
                  <w:divBdr>
                    <w:top w:val="none" w:sz="0" w:space="0" w:color="auto"/>
                    <w:left w:val="none" w:sz="0" w:space="0" w:color="auto"/>
                    <w:bottom w:val="none" w:sz="0" w:space="0" w:color="auto"/>
                    <w:right w:val="none" w:sz="0" w:space="0" w:color="auto"/>
                  </w:divBdr>
                  <w:divsChild>
                    <w:div w:id="18767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386452">
          <w:marLeft w:val="0"/>
          <w:marRight w:val="0"/>
          <w:marTop w:val="0"/>
          <w:marBottom w:val="0"/>
          <w:divBdr>
            <w:top w:val="none" w:sz="0" w:space="0" w:color="auto"/>
            <w:left w:val="none" w:sz="0" w:space="0" w:color="auto"/>
            <w:bottom w:val="none" w:sz="0" w:space="0" w:color="auto"/>
            <w:right w:val="none" w:sz="0" w:space="0" w:color="auto"/>
          </w:divBdr>
        </w:div>
        <w:div w:id="1770731260">
          <w:marLeft w:val="0"/>
          <w:marRight w:val="0"/>
          <w:marTop w:val="0"/>
          <w:marBottom w:val="0"/>
          <w:divBdr>
            <w:top w:val="none" w:sz="0" w:space="0" w:color="auto"/>
            <w:left w:val="none" w:sz="0" w:space="0" w:color="auto"/>
            <w:bottom w:val="none" w:sz="0" w:space="0" w:color="auto"/>
            <w:right w:val="none" w:sz="0" w:space="0" w:color="auto"/>
          </w:divBdr>
        </w:div>
        <w:div w:id="1820268504">
          <w:marLeft w:val="0"/>
          <w:marRight w:val="0"/>
          <w:marTop w:val="0"/>
          <w:marBottom w:val="0"/>
          <w:divBdr>
            <w:top w:val="none" w:sz="0" w:space="0" w:color="auto"/>
            <w:left w:val="none" w:sz="0" w:space="0" w:color="auto"/>
            <w:bottom w:val="none" w:sz="0" w:space="0" w:color="auto"/>
            <w:right w:val="none" w:sz="0" w:space="0" w:color="auto"/>
          </w:divBdr>
        </w:div>
        <w:div w:id="1827016229">
          <w:marLeft w:val="0"/>
          <w:marRight w:val="0"/>
          <w:marTop w:val="0"/>
          <w:marBottom w:val="0"/>
          <w:divBdr>
            <w:top w:val="none" w:sz="0" w:space="0" w:color="auto"/>
            <w:left w:val="none" w:sz="0" w:space="0" w:color="auto"/>
            <w:bottom w:val="none" w:sz="0" w:space="0" w:color="auto"/>
            <w:right w:val="none" w:sz="0" w:space="0" w:color="auto"/>
          </w:divBdr>
        </w:div>
        <w:div w:id="1829974163">
          <w:marLeft w:val="0"/>
          <w:marRight w:val="0"/>
          <w:marTop w:val="0"/>
          <w:marBottom w:val="0"/>
          <w:divBdr>
            <w:top w:val="none" w:sz="0" w:space="0" w:color="auto"/>
            <w:left w:val="none" w:sz="0" w:space="0" w:color="auto"/>
            <w:bottom w:val="none" w:sz="0" w:space="0" w:color="auto"/>
            <w:right w:val="none" w:sz="0" w:space="0" w:color="auto"/>
          </w:divBdr>
        </w:div>
        <w:div w:id="1842551191">
          <w:marLeft w:val="0"/>
          <w:marRight w:val="0"/>
          <w:marTop w:val="0"/>
          <w:marBottom w:val="0"/>
          <w:divBdr>
            <w:top w:val="none" w:sz="0" w:space="0" w:color="auto"/>
            <w:left w:val="none" w:sz="0" w:space="0" w:color="auto"/>
            <w:bottom w:val="none" w:sz="0" w:space="0" w:color="auto"/>
            <w:right w:val="none" w:sz="0" w:space="0" w:color="auto"/>
          </w:divBdr>
        </w:div>
        <w:div w:id="1883713036">
          <w:marLeft w:val="0"/>
          <w:marRight w:val="0"/>
          <w:marTop w:val="0"/>
          <w:marBottom w:val="0"/>
          <w:divBdr>
            <w:top w:val="none" w:sz="0" w:space="0" w:color="auto"/>
            <w:left w:val="none" w:sz="0" w:space="0" w:color="auto"/>
            <w:bottom w:val="none" w:sz="0" w:space="0" w:color="auto"/>
            <w:right w:val="none" w:sz="0" w:space="0" w:color="auto"/>
          </w:divBdr>
        </w:div>
        <w:div w:id="1915428848">
          <w:marLeft w:val="0"/>
          <w:marRight w:val="0"/>
          <w:marTop w:val="0"/>
          <w:marBottom w:val="0"/>
          <w:divBdr>
            <w:top w:val="none" w:sz="0" w:space="0" w:color="auto"/>
            <w:left w:val="none" w:sz="0" w:space="0" w:color="auto"/>
            <w:bottom w:val="none" w:sz="0" w:space="0" w:color="auto"/>
            <w:right w:val="none" w:sz="0" w:space="0" w:color="auto"/>
          </w:divBdr>
        </w:div>
        <w:div w:id="1918519508">
          <w:marLeft w:val="0"/>
          <w:marRight w:val="0"/>
          <w:marTop w:val="0"/>
          <w:marBottom w:val="0"/>
          <w:divBdr>
            <w:top w:val="none" w:sz="0" w:space="0" w:color="auto"/>
            <w:left w:val="none" w:sz="0" w:space="0" w:color="auto"/>
            <w:bottom w:val="none" w:sz="0" w:space="0" w:color="auto"/>
            <w:right w:val="none" w:sz="0" w:space="0" w:color="auto"/>
          </w:divBdr>
        </w:div>
        <w:div w:id="1953169428">
          <w:marLeft w:val="0"/>
          <w:marRight w:val="0"/>
          <w:marTop w:val="0"/>
          <w:marBottom w:val="0"/>
          <w:divBdr>
            <w:top w:val="none" w:sz="0" w:space="0" w:color="auto"/>
            <w:left w:val="none" w:sz="0" w:space="0" w:color="auto"/>
            <w:bottom w:val="none" w:sz="0" w:space="0" w:color="auto"/>
            <w:right w:val="none" w:sz="0" w:space="0" w:color="auto"/>
          </w:divBdr>
        </w:div>
        <w:div w:id="1957520292">
          <w:marLeft w:val="0"/>
          <w:marRight w:val="0"/>
          <w:marTop w:val="0"/>
          <w:marBottom w:val="0"/>
          <w:divBdr>
            <w:top w:val="none" w:sz="0" w:space="0" w:color="auto"/>
            <w:left w:val="none" w:sz="0" w:space="0" w:color="auto"/>
            <w:bottom w:val="none" w:sz="0" w:space="0" w:color="auto"/>
            <w:right w:val="none" w:sz="0" w:space="0" w:color="auto"/>
          </w:divBdr>
        </w:div>
        <w:div w:id="1957906017">
          <w:marLeft w:val="0"/>
          <w:marRight w:val="0"/>
          <w:marTop w:val="0"/>
          <w:marBottom w:val="0"/>
          <w:divBdr>
            <w:top w:val="none" w:sz="0" w:space="0" w:color="auto"/>
            <w:left w:val="none" w:sz="0" w:space="0" w:color="auto"/>
            <w:bottom w:val="none" w:sz="0" w:space="0" w:color="auto"/>
            <w:right w:val="none" w:sz="0" w:space="0" w:color="auto"/>
          </w:divBdr>
        </w:div>
        <w:div w:id="1969624933">
          <w:marLeft w:val="0"/>
          <w:marRight w:val="0"/>
          <w:marTop w:val="0"/>
          <w:marBottom w:val="0"/>
          <w:divBdr>
            <w:top w:val="none" w:sz="0" w:space="0" w:color="auto"/>
            <w:left w:val="none" w:sz="0" w:space="0" w:color="auto"/>
            <w:bottom w:val="none" w:sz="0" w:space="0" w:color="auto"/>
            <w:right w:val="none" w:sz="0" w:space="0" w:color="auto"/>
          </w:divBdr>
        </w:div>
        <w:div w:id="1970629573">
          <w:marLeft w:val="0"/>
          <w:marRight w:val="0"/>
          <w:marTop w:val="0"/>
          <w:marBottom w:val="0"/>
          <w:divBdr>
            <w:top w:val="none" w:sz="0" w:space="0" w:color="auto"/>
            <w:left w:val="none" w:sz="0" w:space="0" w:color="auto"/>
            <w:bottom w:val="none" w:sz="0" w:space="0" w:color="auto"/>
            <w:right w:val="none" w:sz="0" w:space="0" w:color="auto"/>
          </w:divBdr>
        </w:div>
        <w:div w:id="1984501402">
          <w:marLeft w:val="0"/>
          <w:marRight w:val="0"/>
          <w:marTop w:val="0"/>
          <w:marBottom w:val="0"/>
          <w:divBdr>
            <w:top w:val="none" w:sz="0" w:space="0" w:color="auto"/>
            <w:left w:val="none" w:sz="0" w:space="0" w:color="auto"/>
            <w:bottom w:val="none" w:sz="0" w:space="0" w:color="auto"/>
            <w:right w:val="none" w:sz="0" w:space="0" w:color="auto"/>
          </w:divBdr>
        </w:div>
        <w:div w:id="1999187958">
          <w:marLeft w:val="0"/>
          <w:marRight w:val="0"/>
          <w:marTop w:val="0"/>
          <w:marBottom w:val="0"/>
          <w:divBdr>
            <w:top w:val="none" w:sz="0" w:space="0" w:color="auto"/>
            <w:left w:val="none" w:sz="0" w:space="0" w:color="auto"/>
            <w:bottom w:val="none" w:sz="0" w:space="0" w:color="auto"/>
            <w:right w:val="none" w:sz="0" w:space="0" w:color="auto"/>
          </w:divBdr>
        </w:div>
        <w:div w:id="2039549047">
          <w:marLeft w:val="0"/>
          <w:marRight w:val="0"/>
          <w:marTop w:val="0"/>
          <w:marBottom w:val="0"/>
          <w:divBdr>
            <w:top w:val="none" w:sz="0" w:space="0" w:color="auto"/>
            <w:left w:val="none" w:sz="0" w:space="0" w:color="auto"/>
            <w:bottom w:val="none" w:sz="0" w:space="0" w:color="auto"/>
            <w:right w:val="none" w:sz="0" w:space="0" w:color="auto"/>
          </w:divBdr>
          <w:divsChild>
            <w:div w:id="926770593">
              <w:marLeft w:val="-75"/>
              <w:marRight w:val="0"/>
              <w:marTop w:val="30"/>
              <w:marBottom w:val="30"/>
              <w:divBdr>
                <w:top w:val="none" w:sz="0" w:space="0" w:color="auto"/>
                <w:left w:val="none" w:sz="0" w:space="0" w:color="auto"/>
                <w:bottom w:val="none" w:sz="0" w:space="0" w:color="auto"/>
                <w:right w:val="none" w:sz="0" w:space="0" w:color="auto"/>
              </w:divBdr>
              <w:divsChild>
                <w:div w:id="53940566">
                  <w:marLeft w:val="0"/>
                  <w:marRight w:val="0"/>
                  <w:marTop w:val="0"/>
                  <w:marBottom w:val="0"/>
                  <w:divBdr>
                    <w:top w:val="none" w:sz="0" w:space="0" w:color="auto"/>
                    <w:left w:val="none" w:sz="0" w:space="0" w:color="auto"/>
                    <w:bottom w:val="none" w:sz="0" w:space="0" w:color="auto"/>
                    <w:right w:val="none" w:sz="0" w:space="0" w:color="auto"/>
                  </w:divBdr>
                  <w:divsChild>
                    <w:div w:id="1243560897">
                      <w:marLeft w:val="0"/>
                      <w:marRight w:val="0"/>
                      <w:marTop w:val="0"/>
                      <w:marBottom w:val="0"/>
                      <w:divBdr>
                        <w:top w:val="none" w:sz="0" w:space="0" w:color="auto"/>
                        <w:left w:val="none" w:sz="0" w:space="0" w:color="auto"/>
                        <w:bottom w:val="none" w:sz="0" w:space="0" w:color="auto"/>
                        <w:right w:val="none" w:sz="0" w:space="0" w:color="auto"/>
                      </w:divBdr>
                    </w:div>
                  </w:divsChild>
                </w:div>
                <w:div w:id="97986985">
                  <w:marLeft w:val="0"/>
                  <w:marRight w:val="0"/>
                  <w:marTop w:val="0"/>
                  <w:marBottom w:val="0"/>
                  <w:divBdr>
                    <w:top w:val="none" w:sz="0" w:space="0" w:color="auto"/>
                    <w:left w:val="none" w:sz="0" w:space="0" w:color="auto"/>
                    <w:bottom w:val="none" w:sz="0" w:space="0" w:color="auto"/>
                    <w:right w:val="none" w:sz="0" w:space="0" w:color="auto"/>
                  </w:divBdr>
                  <w:divsChild>
                    <w:div w:id="429931187">
                      <w:marLeft w:val="0"/>
                      <w:marRight w:val="0"/>
                      <w:marTop w:val="0"/>
                      <w:marBottom w:val="0"/>
                      <w:divBdr>
                        <w:top w:val="none" w:sz="0" w:space="0" w:color="auto"/>
                        <w:left w:val="none" w:sz="0" w:space="0" w:color="auto"/>
                        <w:bottom w:val="none" w:sz="0" w:space="0" w:color="auto"/>
                        <w:right w:val="none" w:sz="0" w:space="0" w:color="auto"/>
                      </w:divBdr>
                    </w:div>
                  </w:divsChild>
                </w:div>
                <w:div w:id="199517916">
                  <w:marLeft w:val="0"/>
                  <w:marRight w:val="0"/>
                  <w:marTop w:val="0"/>
                  <w:marBottom w:val="0"/>
                  <w:divBdr>
                    <w:top w:val="none" w:sz="0" w:space="0" w:color="auto"/>
                    <w:left w:val="none" w:sz="0" w:space="0" w:color="auto"/>
                    <w:bottom w:val="none" w:sz="0" w:space="0" w:color="auto"/>
                    <w:right w:val="none" w:sz="0" w:space="0" w:color="auto"/>
                  </w:divBdr>
                  <w:divsChild>
                    <w:div w:id="527834705">
                      <w:marLeft w:val="0"/>
                      <w:marRight w:val="0"/>
                      <w:marTop w:val="0"/>
                      <w:marBottom w:val="0"/>
                      <w:divBdr>
                        <w:top w:val="none" w:sz="0" w:space="0" w:color="auto"/>
                        <w:left w:val="none" w:sz="0" w:space="0" w:color="auto"/>
                        <w:bottom w:val="none" w:sz="0" w:space="0" w:color="auto"/>
                        <w:right w:val="none" w:sz="0" w:space="0" w:color="auto"/>
                      </w:divBdr>
                    </w:div>
                  </w:divsChild>
                </w:div>
                <w:div w:id="408506094">
                  <w:marLeft w:val="0"/>
                  <w:marRight w:val="0"/>
                  <w:marTop w:val="0"/>
                  <w:marBottom w:val="0"/>
                  <w:divBdr>
                    <w:top w:val="none" w:sz="0" w:space="0" w:color="auto"/>
                    <w:left w:val="none" w:sz="0" w:space="0" w:color="auto"/>
                    <w:bottom w:val="none" w:sz="0" w:space="0" w:color="auto"/>
                    <w:right w:val="none" w:sz="0" w:space="0" w:color="auto"/>
                  </w:divBdr>
                  <w:divsChild>
                    <w:div w:id="471797441">
                      <w:marLeft w:val="0"/>
                      <w:marRight w:val="0"/>
                      <w:marTop w:val="0"/>
                      <w:marBottom w:val="0"/>
                      <w:divBdr>
                        <w:top w:val="none" w:sz="0" w:space="0" w:color="auto"/>
                        <w:left w:val="none" w:sz="0" w:space="0" w:color="auto"/>
                        <w:bottom w:val="none" w:sz="0" w:space="0" w:color="auto"/>
                        <w:right w:val="none" w:sz="0" w:space="0" w:color="auto"/>
                      </w:divBdr>
                    </w:div>
                  </w:divsChild>
                </w:div>
                <w:div w:id="734737824">
                  <w:marLeft w:val="0"/>
                  <w:marRight w:val="0"/>
                  <w:marTop w:val="0"/>
                  <w:marBottom w:val="0"/>
                  <w:divBdr>
                    <w:top w:val="none" w:sz="0" w:space="0" w:color="auto"/>
                    <w:left w:val="none" w:sz="0" w:space="0" w:color="auto"/>
                    <w:bottom w:val="none" w:sz="0" w:space="0" w:color="auto"/>
                    <w:right w:val="none" w:sz="0" w:space="0" w:color="auto"/>
                  </w:divBdr>
                  <w:divsChild>
                    <w:div w:id="1804736661">
                      <w:marLeft w:val="0"/>
                      <w:marRight w:val="0"/>
                      <w:marTop w:val="0"/>
                      <w:marBottom w:val="0"/>
                      <w:divBdr>
                        <w:top w:val="none" w:sz="0" w:space="0" w:color="auto"/>
                        <w:left w:val="none" w:sz="0" w:space="0" w:color="auto"/>
                        <w:bottom w:val="none" w:sz="0" w:space="0" w:color="auto"/>
                        <w:right w:val="none" w:sz="0" w:space="0" w:color="auto"/>
                      </w:divBdr>
                    </w:div>
                  </w:divsChild>
                </w:div>
                <w:div w:id="1042707695">
                  <w:marLeft w:val="0"/>
                  <w:marRight w:val="0"/>
                  <w:marTop w:val="0"/>
                  <w:marBottom w:val="0"/>
                  <w:divBdr>
                    <w:top w:val="none" w:sz="0" w:space="0" w:color="auto"/>
                    <w:left w:val="none" w:sz="0" w:space="0" w:color="auto"/>
                    <w:bottom w:val="none" w:sz="0" w:space="0" w:color="auto"/>
                    <w:right w:val="none" w:sz="0" w:space="0" w:color="auto"/>
                  </w:divBdr>
                  <w:divsChild>
                    <w:div w:id="73281130">
                      <w:marLeft w:val="0"/>
                      <w:marRight w:val="0"/>
                      <w:marTop w:val="0"/>
                      <w:marBottom w:val="0"/>
                      <w:divBdr>
                        <w:top w:val="none" w:sz="0" w:space="0" w:color="auto"/>
                        <w:left w:val="none" w:sz="0" w:space="0" w:color="auto"/>
                        <w:bottom w:val="none" w:sz="0" w:space="0" w:color="auto"/>
                        <w:right w:val="none" w:sz="0" w:space="0" w:color="auto"/>
                      </w:divBdr>
                    </w:div>
                  </w:divsChild>
                </w:div>
                <w:div w:id="1276328832">
                  <w:marLeft w:val="0"/>
                  <w:marRight w:val="0"/>
                  <w:marTop w:val="0"/>
                  <w:marBottom w:val="0"/>
                  <w:divBdr>
                    <w:top w:val="none" w:sz="0" w:space="0" w:color="auto"/>
                    <w:left w:val="none" w:sz="0" w:space="0" w:color="auto"/>
                    <w:bottom w:val="none" w:sz="0" w:space="0" w:color="auto"/>
                    <w:right w:val="none" w:sz="0" w:space="0" w:color="auto"/>
                  </w:divBdr>
                  <w:divsChild>
                    <w:div w:id="667177358">
                      <w:marLeft w:val="0"/>
                      <w:marRight w:val="0"/>
                      <w:marTop w:val="0"/>
                      <w:marBottom w:val="0"/>
                      <w:divBdr>
                        <w:top w:val="none" w:sz="0" w:space="0" w:color="auto"/>
                        <w:left w:val="none" w:sz="0" w:space="0" w:color="auto"/>
                        <w:bottom w:val="none" w:sz="0" w:space="0" w:color="auto"/>
                        <w:right w:val="none" w:sz="0" w:space="0" w:color="auto"/>
                      </w:divBdr>
                    </w:div>
                  </w:divsChild>
                </w:div>
                <w:div w:id="1338574821">
                  <w:marLeft w:val="0"/>
                  <w:marRight w:val="0"/>
                  <w:marTop w:val="0"/>
                  <w:marBottom w:val="0"/>
                  <w:divBdr>
                    <w:top w:val="none" w:sz="0" w:space="0" w:color="auto"/>
                    <w:left w:val="none" w:sz="0" w:space="0" w:color="auto"/>
                    <w:bottom w:val="none" w:sz="0" w:space="0" w:color="auto"/>
                    <w:right w:val="none" w:sz="0" w:space="0" w:color="auto"/>
                  </w:divBdr>
                  <w:divsChild>
                    <w:div w:id="1296371208">
                      <w:marLeft w:val="0"/>
                      <w:marRight w:val="0"/>
                      <w:marTop w:val="0"/>
                      <w:marBottom w:val="0"/>
                      <w:divBdr>
                        <w:top w:val="none" w:sz="0" w:space="0" w:color="auto"/>
                        <w:left w:val="none" w:sz="0" w:space="0" w:color="auto"/>
                        <w:bottom w:val="none" w:sz="0" w:space="0" w:color="auto"/>
                        <w:right w:val="none" w:sz="0" w:space="0" w:color="auto"/>
                      </w:divBdr>
                    </w:div>
                  </w:divsChild>
                </w:div>
                <w:div w:id="1572109609">
                  <w:marLeft w:val="0"/>
                  <w:marRight w:val="0"/>
                  <w:marTop w:val="0"/>
                  <w:marBottom w:val="0"/>
                  <w:divBdr>
                    <w:top w:val="none" w:sz="0" w:space="0" w:color="auto"/>
                    <w:left w:val="none" w:sz="0" w:space="0" w:color="auto"/>
                    <w:bottom w:val="none" w:sz="0" w:space="0" w:color="auto"/>
                    <w:right w:val="none" w:sz="0" w:space="0" w:color="auto"/>
                  </w:divBdr>
                  <w:divsChild>
                    <w:div w:id="1445923496">
                      <w:marLeft w:val="0"/>
                      <w:marRight w:val="0"/>
                      <w:marTop w:val="0"/>
                      <w:marBottom w:val="0"/>
                      <w:divBdr>
                        <w:top w:val="none" w:sz="0" w:space="0" w:color="auto"/>
                        <w:left w:val="none" w:sz="0" w:space="0" w:color="auto"/>
                        <w:bottom w:val="none" w:sz="0" w:space="0" w:color="auto"/>
                        <w:right w:val="none" w:sz="0" w:space="0" w:color="auto"/>
                      </w:divBdr>
                    </w:div>
                  </w:divsChild>
                </w:div>
                <w:div w:id="1733503594">
                  <w:marLeft w:val="0"/>
                  <w:marRight w:val="0"/>
                  <w:marTop w:val="0"/>
                  <w:marBottom w:val="0"/>
                  <w:divBdr>
                    <w:top w:val="none" w:sz="0" w:space="0" w:color="auto"/>
                    <w:left w:val="none" w:sz="0" w:space="0" w:color="auto"/>
                    <w:bottom w:val="none" w:sz="0" w:space="0" w:color="auto"/>
                    <w:right w:val="none" w:sz="0" w:space="0" w:color="auto"/>
                  </w:divBdr>
                  <w:divsChild>
                    <w:div w:id="365374186">
                      <w:marLeft w:val="0"/>
                      <w:marRight w:val="0"/>
                      <w:marTop w:val="0"/>
                      <w:marBottom w:val="0"/>
                      <w:divBdr>
                        <w:top w:val="none" w:sz="0" w:space="0" w:color="auto"/>
                        <w:left w:val="none" w:sz="0" w:space="0" w:color="auto"/>
                        <w:bottom w:val="none" w:sz="0" w:space="0" w:color="auto"/>
                        <w:right w:val="none" w:sz="0" w:space="0" w:color="auto"/>
                      </w:divBdr>
                    </w:div>
                  </w:divsChild>
                </w:div>
                <w:div w:id="1829907194">
                  <w:marLeft w:val="0"/>
                  <w:marRight w:val="0"/>
                  <w:marTop w:val="0"/>
                  <w:marBottom w:val="0"/>
                  <w:divBdr>
                    <w:top w:val="none" w:sz="0" w:space="0" w:color="auto"/>
                    <w:left w:val="none" w:sz="0" w:space="0" w:color="auto"/>
                    <w:bottom w:val="none" w:sz="0" w:space="0" w:color="auto"/>
                    <w:right w:val="none" w:sz="0" w:space="0" w:color="auto"/>
                  </w:divBdr>
                  <w:divsChild>
                    <w:div w:id="1333725818">
                      <w:marLeft w:val="0"/>
                      <w:marRight w:val="0"/>
                      <w:marTop w:val="0"/>
                      <w:marBottom w:val="0"/>
                      <w:divBdr>
                        <w:top w:val="none" w:sz="0" w:space="0" w:color="auto"/>
                        <w:left w:val="none" w:sz="0" w:space="0" w:color="auto"/>
                        <w:bottom w:val="none" w:sz="0" w:space="0" w:color="auto"/>
                        <w:right w:val="none" w:sz="0" w:space="0" w:color="auto"/>
                      </w:divBdr>
                    </w:div>
                  </w:divsChild>
                </w:div>
                <w:div w:id="1994792605">
                  <w:marLeft w:val="0"/>
                  <w:marRight w:val="0"/>
                  <w:marTop w:val="0"/>
                  <w:marBottom w:val="0"/>
                  <w:divBdr>
                    <w:top w:val="none" w:sz="0" w:space="0" w:color="auto"/>
                    <w:left w:val="none" w:sz="0" w:space="0" w:color="auto"/>
                    <w:bottom w:val="none" w:sz="0" w:space="0" w:color="auto"/>
                    <w:right w:val="none" w:sz="0" w:space="0" w:color="auto"/>
                  </w:divBdr>
                  <w:divsChild>
                    <w:div w:id="79514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284450">
          <w:marLeft w:val="0"/>
          <w:marRight w:val="0"/>
          <w:marTop w:val="0"/>
          <w:marBottom w:val="0"/>
          <w:divBdr>
            <w:top w:val="none" w:sz="0" w:space="0" w:color="auto"/>
            <w:left w:val="none" w:sz="0" w:space="0" w:color="auto"/>
            <w:bottom w:val="none" w:sz="0" w:space="0" w:color="auto"/>
            <w:right w:val="none" w:sz="0" w:space="0" w:color="auto"/>
          </w:divBdr>
        </w:div>
        <w:div w:id="2098676246">
          <w:marLeft w:val="0"/>
          <w:marRight w:val="0"/>
          <w:marTop w:val="0"/>
          <w:marBottom w:val="0"/>
          <w:divBdr>
            <w:top w:val="none" w:sz="0" w:space="0" w:color="auto"/>
            <w:left w:val="none" w:sz="0" w:space="0" w:color="auto"/>
            <w:bottom w:val="none" w:sz="0" w:space="0" w:color="auto"/>
            <w:right w:val="none" w:sz="0" w:space="0" w:color="auto"/>
          </w:divBdr>
        </w:div>
        <w:div w:id="2117553268">
          <w:marLeft w:val="0"/>
          <w:marRight w:val="0"/>
          <w:marTop w:val="0"/>
          <w:marBottom w:val="0"/>
          <w:divBdr>
            <w:top w:val="none" w:sz="0" w:space="0" w:color="auto"/>
            <w:left w:val="none" w:sz="0" w:space="0" w:color="auto"/>
            <w:bottom w:val="none" w:sz="0" w:space="0" w:color="auto"/>
            <w:right w:val="none" w:sz="0" w:space="0" w:color="auto"/>
          </w:divBdr>
        </w:div>
        <w:div w:id="2134011011">
          <w:marLeft w:val="0"/>
          <w:marRight w:val="0"/>
          <w:marTop w:val="0"/>
          <w:marBottom w:val="0"/>
          <w:divBdr>
            <w:top w:val="none" w:sz="0" w:space="0" w:color="auto"/>
            <w:left w:val="none" w:sz="0" w:space="0" w:color="auto"/>
            <w:bottom w:val="none" w:sz="0" w:space="0" w:color="auto"/>
            <w:right w:val="none" w:sz="0" w:space="0" w:color="auto"/>
          </w:divBdr>
        </w:div>
        <w:div w:id="2140755353">
          <w:marLeft w:val="0"/>
          <w:marRight w:val="0"/>
          <w:marTop w:val="0"/>
          <w:marBottom w:val="0"/>
          <w:divBdr>
            <w:top w:val="none" w:sz="0" w:space="0" w:color="auto"/>
            <w:left w:val="none" w:sz="0" w:space="0" w:color="auto"/>
            <w:bottom w:val="none" w:sz="0" w:space="0" w:color="auto"/>
            <w:right w:val="none" w:sz="0" w:space="0" w:color="auto"/>
          </w:divBdr>
        </w:div>
      </w:divsChild>
    </w:div>
    <w:div w:id="1930657043">
      <w:bodyDiv w:val="1"/>
      <w:marLeft w:val="0"/>
      <w:marRight w:val="0"/>
      <w:marTop w:val="0"/>
      <w:marBottom w:val="0"/>
      <w:divBdr>
        <w:top w:val="none" w:sz="0" w:space="0" w:color="auto"/>
        <w:left w:val="none" w:sz="0" w:space="0" w:color="auto"/>
        <w:bottom w:val="none" w:sz="0" w:space="0" w:color="auto"/>
        <w:right w:val="none" w:sz="0" w:space="0" w:color="auto"/>
      </w:divBdr>
    </w:div>
    <w:div w:id="1936396837">
      <w:bodyDiv w:val="1"/>
      <w:marLeft w:val="0"/>
      <w:marRight w:val="0"/>
      <w:marTop w:val="0"/>
      <w:marBottom w:val="0"/>
      <w:divBdr>
        <w:top w:val="none" w:sz="0" w:space="0" w:color="auto"/>
        <w:left w:val="none" w:sz="0" w:space="0" w:color="auto"/>
        <w:bottom w:val="none" w:sz="0" w:space="0" w:color="auto"/>
        <w:right w:val="none" w:sz="0" w:space="0" w:color="auto"/>
      </w:divBdr>
    </w:div>
    <w:div w:id="1938826665">
      <w:bodyDiv w:val="1"/>
      <w:marLeft w:val="0"/>
      <w:marRight w:val="0"/>
      <w:marTop w:val="0"/>
      <w:marBottom w:val="0"/>
      <w:divBdr>
        <w:top w:val="none" w:sz="0" w:space="0" w:color="auto"/>
        <w:left w:val="none" w:sz="0" w:space="0" w:color="auto"/>
        <w:bottom w:val="none" w:sz="0" w:space="0" w:color="auto"/>
        <w:right w:val="none" w:sz="0" w:space="0" w:color="auto"/>
      </w:divBdr>
    </w:div>
    <w:div w:id="1946767570">
      <w:bodyDiv w:val="1"/>
      <w:marLeft w:val="0"/>
      <w:marRight w:val="0"/>
      <w:marTop w:val="0"/>
      <w:marBottom w:val="0"/>
      <w:divBdr>
        <w:top w:val="none" w:sz="0" w:space="0" w:color="auto"/>
        <w:left w:val="none" w:sz="0" w:space="0" w:color="auto"/>
        <w:bottom w:val="none" w:sz="0" w:space="0" w:color="auto"/>
        <w:right w:val="none" w:sz="0" w:space="0" w:color="auto"/>
      </w:divBdr>
    </w:div>
    <w:div w:id="1947302974">
      <w:bodyDiv w:val="1"/>
      <w:marLeft w:val="0"/>
      <w:marRight w:val="0"/>
      <w:marTop w:val="0"/>
      <w:marBottom w:val="0"/>
      <w:divBdr>
        <w:top w:val="none" w:sz="0" w:space="0" w:color="auto"/>
        <w:left w:val="none" w:sz="0" w:space="0" w:color="auto"/>
        <w:bottom w:val="none" w:sz="0" w:space="0" w:color="auto"/>
        <w:right w:val="none" w:sz="0" w:space="0" w:color="auto"/>
      </w:divBdr>
    </w:div>
    <w:div w:id="1952322241">
      <w:bodyDiv w:val="1"/>
      <w:marLeft w:val="0"/>
      <w:marRight w:val="0"/>
      <w:marTop w:val="0"/>
      <w:marBottom w:val="0"/>
      <w:divBdr>
        <w:top w:val="none" w:sz="0" w:space="0" w:color="auto"/>
        <w:left w:val="none" w:sz="0" w:space="0" w:color="auto"/>
        <w:bottom w:val="none" w:sz="0" w:space="0" w:color="auto"/>
        <w:right w:val="none" w:sz="0" w:space="0" w:color="auto"/>
      </w:divBdr>
    </w:div>
    <w:div w:id="1956249617">
      <w:bodyDiv w:val="1"/>
      <w:marLeft w:val="0"/>
      <w:marRight w:val="0"/>
      <w:marTop w:val="0"/>
      <w:marBottom w:val="0"/>
      <w:divBdr>
        <w:top w:val="none" w:sz="0" w:space="0" w:color="auto"/>
        <w:left w:val="none" w:sz="0" w:space="0" w:color="auto"/>
        <w:bottom w:val="none" w:sz="0" w:space="0" w:color="auto"/>
        <w:right w:val="none" w:sz="0" w:space="0" w:color="auto"/>
      </w:divBdr>
    </w:div>
    <w:div w:id="1963800810">
      <w:bodyDiv w:val="1"/>
      <w:marLeft w:val="0"/>
      <w:marRight w:val="0"/>
      <w:marTop w:val="0"/>
      <w:marBottom w:val="0"/>
      <w:divBdr>
        <w:top w:val="none" w:sz="0" w:space="0" w:color="auto"/>
        <w:left w:val="none" w:sz="0" w:space="0" w:color="auto"/>
        <w:bottom w:val="none" w:sz="0" w:space="0" w:color="auto"/>
        <w:right w:val="none" w:sz="0" w:space="0" w:color="auto"/>
      </w:divBdr>
    </w:div>
    <w:div w:id="1969116687">
      <w:bodyDiv w:val="1"/>
      <w:marLeft w:val="0"/>
      <w:marRight w:val="0"/>
      <w:marTop w:val="0"/>
      <w:marBottom w:val="0"/>
      <w:divBdr>
        <w:top w:val="none" w:sz="0" w:space="0" w:color="auto"/>
        <w:left w:val="none" w:sz="0" w:space="0" w:color="auto"/>
        <w:bottom w:val="none" w:sz="0" w:space="0" w:color="auto"/>
        <w:right w:val="none" w:sz="0" w:space="0" w:color="auto"/>
      </w:divBdr>
      <w:divsChild>
        <w:div w:id="50274053">
          <w:marLeft w:val="0"/>
          <w:marRight w:val="0"/>
          <w:marTop w:val="0"/>
          <w:marBottom w:val="0"/>
          <w:divBdr>
            <w:top w:val="none" w:sz="0" w:space="0" w:color="auto"/>
            <w:left w:val="none" w:sz="0" w:space="0" w:color="auto"/>
            <w:bottom w:val="none" w:sz="0" w:space="0" w:color="auto"/>
            <w:right w:val="none" w:sz="0" w:space="0" w:color="auto"/>
          </w:divBdr>
        </w:div>
        <w:div w:id="156851885">
          <w:marLeft w:val="0"/>
          <w:marRight w:val="0"/>
          <w:marTop w:val="0"/>
          <w:marBottom w:val="0"/>
          <w:divBdr>
            <w:top w:val="none" w:sz="0" w:space="0" w:color="auto"/>
            <w:left w:val="none" w:sz="0" w:space="0" w:color="auto"/>
            <w:bottom w:val="none" w:sz="0" w:space="0" w:color="auto"/>
            <w:right w:val="none" w:sz="0" w:space="0" w:color="auto"/>
          </w:divBdr>
        </w:div>
        <w:div w:id="186259366">
          <w:marLeft w:val="0"/>
          <w:marRight w:val="0"/>
          <w:marTop w:val="0"/>
          <w:marBottom w:val="0"/>
          <w:divBdr>
            <w:top w:val="none" w:sz="0" w:space="0" w:color="auto"/>
            <w:left w:val="none" w:sz="0" w:space="0" w:color="auto"/>
            <w:bottom w:val="none" w:sz="0" w:space="0" w:color="auto"/>
            <w:right w:val="none" w:sz="0" w:space="0" w:color="auto"/>
          </w:divBdr>
        </w:div>
        <w:div w:id="198318545">
          <w:marLeft w:val="0"/>
          <w:marRight w:val="0"/>
          <w:marTop w:val="0"/>
          <w:marBottom w:val="0"/>
          <w:divBdr>
            <w:top w:val="none" w:sz="0" w:space="0" w:color="auto"/>
            <w:left w:val="none" w:sz="0" w:space="0" w:color="auto"/>
            <w:bottom w:val="none" w:sz="0" w:space="0" w:color="auto"/>
            <w:right w:val="none" w:sz="0" w:space="0" w:color="auto"/>
          </w:divBdr>
        </w:div>
        <w:div w:id="273365065">
          <w:marLeft w:val="0"/>
          <w:marRight w:val="0"/>
          <w:marTop w:val="0"/>
          <w:marBottom w:val="0"/>
          <w:divBdr>
            <w:top w:val="none" w:sz="0" w:space="0" w:color="auto"/>
            <w:left w:val="none" w:sz="0" w:space="0" w:color="auto"/>
            <w:bottom w:val="none" w:sz="0" w:space="0" w:color="auto"/>
            <w:right w:val="none" w:sz="0" w:space="0" w:color="auto"/>
          </w:divBdr>
          <w:divsChild>
            <w:div w:id="40908232">
              <w:marLeft w:val="0"/>
              <w:marRight w:val="0"/>
              <w:marTop w:val="0"/>
              <w:marBottom w:val="0"/>
              <w:divBdr>
                <w:top w:val="none" w:sz="0" w:space="0" w:color="auto"/>
                <w:left w:val="none" w:sz="0" w:space="0" w:color="auto"/>
                <w:bottom w:val="none" w:sz="0" w:space="0" w:color="auto"/>
                <w:right w:val="none" w:sz="0" w:space="0" w:color="auto"/>
              </w:divBdr>
            </w:div>
            <w:div w:id="81029980">
              <w:marLeft w:val="0"/>
              <w:marRight w:val="0"/>
              <w:marTop w:val="0"/>
              <w:marBottom w:val="0"/>
              <w:divBdr>
                <w:top w:val="none" w:sz="0" w:space="0" w:color="auto"/>
                <w:left w:val="none" w:sz="0" w:space="0" w:color="auto"/>
                <w:bottom w:val="none" w:sz="0" w:space="0" w:color="auto"/>
                <w:right w:val="none" w:sz="0" w:space="0" w:color="auto"/>
              </w:divBdr>
            </w:div>
            <w:div w:id="366612448">
              <w:marLeft w:val="0"/>
              <w:marRight w:val="0"/>
              <w:marTop w:val="0"/>
              <w:marBottom w:val="0"/>
              <w:divBdr>
                <w:top w:val="none" w:sz="0" w:space="0" w:color="auto"/>
                <w:left w:val="none" w:sz="0" w:space="0" w:color="auto"/>
                <w:bottom w:val="none" w:sz="0" w:space="0" w:color="auto"/>
                <w:right w:val="none" w:sz="0" w:space="0" w:color="auto"/>
              </w:divBdr>
            </w:div>
            <w:div w:id="450976311">
              <w:marLeft w:val="0"/>
              <w:marRight w:val="0"/>
              <w:marTop w:val="0"/>
              <w:marBottom w:val="0"/>
              <w:divBdr>
                <w:top w:val="none" w:sz="0" w:space="0" w:color="auto"/>
                <w:left w:val="none" w:sz="0" w:space="0" w:color="auto"/>
                <w:bottom w:val="none" w:sz="0" w:space="0" w:color="auto"/>
                <w:right w:val="none" w:sz="0" w:space="0" w:color="auto"/>
              </w:divBdr>
            </w:div>
            <w:div w:id="465048729">
              <w:marLeft w:val="0"/>
              <w:marRight w:val="0"/>
              <w:marTop w:val="0"/>
              <w:marBottom w:val="0"/>
              <w:divBdr>
                <w:top w:val="none" w:sz="0" w:space="0" w:color="auto"/>
                <w:left w:val="none" w:sz="0" w:space="0" w:color="auto"/>
                <w:bottom w:val="none" w:sz="0" w:space="0" w:color="auto"/>
                <w:right w:val="none" w:sz="0" w:space="0" w:color="auto"/>
              </w:divBdr>
            </w:div>
            <w:div w:id="737049589">
              <w:marLeft w:val="0"/>
              <w:marRight w:val="0"/>
              <w:marTop w:val="0"/>
              <w:marBottom w:val="0"/>
              <w:divBdr>
                <w:top w:val="none" w:sz="0" w:space="0" w:color="auto"/>
                <w:left w:val="none" w:sz="0" w:space="0" w:color="auto"/>
                <w:bottom w:val="none" w:sz="0" w:space="0" w:color="auto"/>
                <w:right w:val="none" w:sz="0" w:space="0" w:color="auto"/>
              </w:divBdr>
            </w:div>
            <w:div w:id="955335132">
              <w:marLeft w:val="0"/>
              <w:marRight w:val="0"/>
              <w:marTop w:val="0"/>
              <w:marBottom w:val="0"/>
              <w:divBdr>
                <w:top w:val="none" w:sz="0" w:space="0" w:color="auto"/>
                <w:left w:val="none" w:sz="0" w:space="0" w:color="auto"/>
                <w:bottom w:val="none" w:sz="0" w:space="0" w:color="auto"/>
                <w:right w:val="none" w:sz="0" w:space="0" w:color="auto"/>
              </w:divBdr>
            </w:div>
            <w:div w:id="1046375237">
              <w:marLeft w:val="0"/>
              <w:marRight w:val="0"/>
              <w:marTop w:val="0"/>
              <w:marBottom w:val="0"/>
              <w:divBdr>
                <w:top w:val="none" w:sz="0" w:space="0" w:color="auto"/>
                <w:left w:val="none" w:sz="0" w:space="0" w:color="auto"/>
                <w:bottom w:val="none" w:sz="0" w:space="0" w:color="auto"/>
                <w:right w:val="none" w:sz="0" w:space="0" w:color="auto"/>
              </w:divBdr>
            </w:div>
            <w:div w:id="1055201587">
              <w:marLeft w:val="0"/>
              <w:marRight w:val="0"/>
              <w:marTop w:val="0"/>
              <w:marBottom w:val="0"/>
              <w:divBdr>
                <w:top w:val="none" w:sz="0" w:space="0" w:color="auto"/>
                <w:left w:val="none" w:sz="0" w:space="0" w:color="auto"/>
                <w:bottom w:val="none" w:sz="0" w:space="0" w:color="auto"/>
                <w:right w:val="none" w:sz="0" w:space="0" w:color="auto"/>
              </w:divBdr>
            </w:div>
            <w:div w:id="1105614294">
              <w:marLeft w:val="0"/>
              <w:marRight w:val="0"/>
              <w:marTop w:val="0"/>
              <w:marBottom w:val="0"/>
              <w:divBdr>
                <w:top w:val="none" w:sz="0" w:space="0" w:color="auto"/>
                <w:left w:val="none" w:sz="0" w:space="0" w:color="auto"/>
                <w:bottom w:val="none" w:sz="0" w:space="0" w:color="auto"/>
                <w:right w:val="none" w:sz="0" w:space="0" w:color="auto"/>
              </w:divBdr>
            </w:div>
            <w:div w:id="1134560534">
              <w:marLeft w:val="0"/>
              <w:marRight w:val="0"/>
              <w:marTop w:val="0"/>
              <w:marBottom w:val="0"/>
              <w:divBdr>
                <w:top w:val="none" w:sz="0" w:space="0" w:color="auto"/>
                <w:left w:val="none" w:sz="0" w:space="0" w:color="auto"/>
                <w:bottom w:val="none" w:sz="0" w:space="0" w:color="auto"/>
                <w:right w:val="none" w:sz="0" w:space="0" w:color="auto"/>
              </w:divBdr>
            </w:div>
            <w:div w:id="1198734590">
              <w:marLeft w:val="0"/>
              <w:marRight w:val="0"/>
              <w:marTop w:val="0"/>
              <w:marBottom w:val="0"/>
              <w:divBdr>
                <w:top w:val="none" w:sz="0" w:space="0" w:color="auto"/>
                <w:left w:val="none" w:sz="0" w:space="0" w:color="auto"/>
                <w:bottom w:val="none" w:sz="0" w:space="0" w:color="auto"/>
                <w:right w:val="none" w:sz="0" w:space="0" w:color="auto"/>
              </w:divBdr>
            </w:div>
            <w:div w:id="1294142781">
              <w:marLeft w:val="0"/>
              <w:marRight w:val="0"/>
              <w:marTop w:val="0"/>
              <w:marBottom w:val="0"/>
              <w:divBdr>
                <w:top w:val="none" w:sz="0" w:space="0" w:color="auto"/>
                <w:left w:val="none" w:sz="0" w:space="0" w:color="auto"/>
                <w:bottom w:val="none" w:sz="0" w:space="0" w:color="auto"/>
                <w:right w:val="none" w:sz="0" w:space="0" w:color="auto"/>
              </w:divBdr>
            </w:div>
            <w:div w:id="1555577086">
              <w:marLeft w:val="0"/>
              <w:marRight w:val="0"/>
              <w:marTop w:val="0"/>
              <w:marBottom w:val="0"/>
              <w:divBdr>
                <w:top w:val="none" w:sz="0" w:space="0" w:color="auto"/>
                <w:left w:val="none" w:sz="0" w:space="0" w:color="auto"/>
                <w:bottom w:val="none" w:sz="0" w:space="0" w:color="auto"/>
                <w:right w:val="none" w:sz="0" w:space="0" w:color="auto"/>
              </w:divBdr>
            </w:div>
            <w:div w:id="1789162919">
              <w:marLeft w:val="0"/>
              <w:marRight w:val="0"/>
              <w:marTop w:val="0"/>
              <w:marBottom w:val="0"/>
              <w:divBdr>
                <w:top w:val="none" w:sz="0" w:space="0" w:color="auto"/>
                <w:left w:val="none" w:sz="0" w:space="0" w:color="auto"/>
                <w:bottom w:val="none" w:sz="0" w:space="0" w:color="auto"/>
                <w:right w:val="none" w:sz="0" w:space="0" w:color="auto"/>
              </w:divBdr>
            </w:div>
            <w:div w:id="1811752091">
              <w:marLeft w:val="0"/>
              <w:marRight w:val="0"/>
              <w:marTop w:val="0"/>
              <w:marBottom w:val="0"/>
              <w:divBdr>
                <w:top w:val="none" w:sz="0" w:space="0" w:color="auto"/>
                <w:left w:val="none" w:sz="0" w:space="0" w:color="auto"/>
                <w:bottom w:val="none" w:sz="0" w:space="0" w:color="auto"/>
                <w:right w:val="none" w:sz="0" w:space="0" w:color="auto"/>
              </w:divBdr>
            </w:div>
            <w:div w:id="1903712526">
              <w:marLeft w:val="0"/>
              <w:marRight w:val="0"/>
              <w:marTop w:val="0"/>
              <w:marBottom w:val="0"/>
              <w:divBdr>
                <w:top w:val="none" w:sz="0" w:space="0" w:color="auto"/>
                <w:left w:val="none" w:sz="0" w:space="0" w:color="auto"/>
                <w:bottom w:val="none" w:sz="0" w:space="0" w:color="auto"/>
                <w:right w:val="none" w:sz="0" w:space="0" w:color="auto"/>
              </w:divBdr>
            </w:div>
            <w:div w:id="2080126511">
              <w:marLeft w:val="0"/>
              <w:marRight w:val="0"/>
              <w:marTop w:val="0"/>
              <w:marBottom w:val="0"/>
              <w:divBdr>
                <w:top w:val="none" w:sz="0" w:space="0" w:color="auto"/>
                <w:left w:val="none" w:sz="0" w:space="0" w:color="auto"/>
                <w:bottom w:val="none" w:sz="0" w:space="0" w:color="auto"/>
                <w:right w:val="none" w:sz="0" w:space="0" w:color="auto"/>
              </w:divBdr>
            </w:div>
            <w:div w:id="2087915601">
              <w:marLeft w:val="0"/>
              <w:marRight w:val="0"/>
              <w:marTop w:val="0"/>
              <w:marBottom w:val="0"/>
              <w:divBdr>
                <w:top w:val="none" w:sz="0" w:space="0" w:color="auto"/>
                <w:left w:val="none" w:sz="0" w:space="0" w:color="auto"/>
                <w:bottom w:val="none" w:sz="0" w:space="0" w:color="auto"/>
                <w:right w:val="none" w:sz="0" w:space="0" w:color="auto"/>
              </w:divBdr>
            </w:div>
            <w:div w:id="2107456576">
              <w:marLeft w:val="0"/>
              <w:marRight w:val="0"/>
              <w:marTop w:val="0"/>
              <w:marBottom w:val="0"/>
              <w:divBdr>
                <w:top w:val="none" w:sz="0" w:space="0" w:color="auto"/>
                <w:left w:val="none" w:sz="0" w:space="0" w:color="auto"/>
                <w:bottom w:val="none" w:sz="0" w:space="0" w:color="auto"/>
                <w:right w:val="none" w:sz="0" w:space="0" w:color="auto"/>
              </w:divBdr>
            </w:div>
          </w:divsChild>
        </w:div>
        <w:div w:id="344602730">
          <w:marLeft w:val="0"/>
          <w:marRight w:val="0"/>
          <w:marTop w:val="0"/>
          <w:marBottom w:val="0"/>
          <w:divBdr>
            <w:top w:val="none" w:sz="0" w:space="0" w:color="auto"/>
            <w:left w:val="none" w:sz="0" w:space="0" w:color="auto"/>
            <w:bottom w:val="none" w:sz="0" w:space="0" w:color="auto"/>
            <w:right w:val="none" w:sz="0" w:space="0" w:color="auto"/>
          </w:divBdr>
        </w:div>
        <w:div w:id="373429548">
          <w:marLeft w:val="0"/>
          <w:marRight w:val="0"/>
          <w:marTop w:val="0"/>
          <w:marBottom w:val="0"/>
          <w:divBdr>
            <w:top w:val="none" w:sz="0" w:space="0" w:color="auto"/>
            <w:left w:val="none" w:sz="0" w:space="0" w:color="auto"/>
            <w:bottom w:val="none" w:sz="0" w:space="0" w:color="auto"/>
            <w:right w:val="none" w:sz="0" w:space="0" w:color="auto"/>
          </w:divBdr>
        </w:div>
        <w:div w:id="608663309">
          <w:marLeft w:val="0"/>
          <w:marRight w:val="0"/>
          <w:marTop w:val="0"/>
          <w:marBottom w:val="0"/>
          <w:divBdr>
            <w:top w:val="none" w:sz="0" w:space="0" w:color="auto"/>
            <w:left w:val="none" w:sz="0" w:space="0" w:color="auto"/>
            <w:bottom w:val="none" w:sz="0" w:space="0" w:color="auto"/>
            <w:right w:val="none" w:sz="0" w:space="0" w:color="auto"/>
          </w:divBdr>
          <w:divsChild>
            <w:div w:id="47917467">
              <w:marLeft w:val="0"/>
              <w:marRight w:val="0"/>
              <w:marTop w:val="0"/>
              <w:marBottom w:val="0"/>
              <w:divBdr>
                <w:top w:val="none" w:sz="0" w:space="0" w:color="auto"/>
                <w:left w:val="none" w:sz="0" w:space="0" w:color="auto"/>
                <w:bottom w:val="none" w:sz="0" w:space="0" w:color="auto"/>
                <w:right w:val="none" w:sz="0" w:space="0" w:color="auto"/>
              </w:divBdr>
            </w:div>
            <w:div w:id="66806072">
              <w:marLeft w:val="0"/>
              <w:marRight w:val="0"/>
              <w:marTop w:val="0"/>
              <w:marBottom w:val="0"/>
              <w:divBdr>
                <w:top w:val="none" w:sz="0" w:space="0" w:color="auto"/>
                <w:left w:val="none" w:sz="0" w:space="0" w:color="auto"/>
                <w:bottom w:val="none" w:sz="0" w:space="0" w:color="auto"/>
                <w:right w:val="none" w:sz="0" w:space="0" w:color="auto"/>
              </w:divBdr>
            </w:div>
            <w:div w:id="73281451">
              <w:marLeft w:val="0"/>
              <w:marRight w:val="0"/>
              <w:marTop w:val="0"/>
              <w:marBottom w:val="0"/>
              <w:divBdr>
                <w:top w:val="none" w:sz="0" w:space="0" w:color="auto"/>
                <w:left w:val="none" w:sz="0" w:space="0" w:color="auto"/>
                <w:bottom w:val="none" w:sz="0" w:space="0" w:color="auto"/>
                <w:right w:val="none" w:sz="0" w:space="0" w:color="auto"/>
              </w:divBdr>
            </w:div>
            <w:div w:id="275600517">
              <w:marLeft w:val="0"/>
              <w:marRight w:val="0"/>
              <w:marTop w:val="0"/>
              <w:marBottom w:val="0"/>
              <w:divBdr>
                <w:top w:val="none" w:sz="0" w:space="0" w:color="auto"/>
                <w:left w:val="none" w:sz="0" w:space="0" w:color="auto"/>
                <w:bottom w:val="none" w:sz="0" w:space="0" w:color="auto"/>
                <w:right w:val="none" w:sz="0" w:space="0" w:color="auto"/>
              </w:divBdr>
            </w:div>
            <w:div w:id="389963275">
              <w:marLeft w:val="0"/>
              <w:marRight w:val="0"/>
              <w:marTop w:val="0"/>
              <w:marBottom w:val="0"/>
              <w:divBdr>
                <w:top w:val="none" w:sz="0" w:space="0" w:color="auto"/>
                <w:left w:val="none" w:sz="0" w:space="0" w:color="auto"/>
                <w:bottom w:val="none" w:sz="0" w:space="0" w:color="auto"/>
                <w:right w:val="none" w:sz="0" w:space="0" w:color="auto"/>
              </w:divBdr>
            </w:div>
            <w:div w:id="478964200">
              <w:marLeft w:val="0"/>
              <w:marRight w:val="0"/>
              <w:marTop w:val="0"/>
              <w:marBottom w:val="0"/>
              <w:divBdr>
                <w:top w:val="none" w:sz="0" w:space="0" w:color="auto"/>
                <w:left w:val="none" w:sz="0" w:space="0" w:color="auto"/>
                <w:bottom w:val="none" w:sz="0" w:space="0" w:color="auto"/>
                <w:right w:val="none" w:sz="0" w:space="0" w:color="auto"/>
              </w:divBdr>
            </w:div>
            <w:div w:id="494733102">
              <w:marLeft w:val="0"/>
              <w:marRight w:val="0"/>
              <w:marTop w:val="0"/>
              <w:marBottom w:val="0"/>
              <w:divBdr>
                <w:top w:val="none" w:sz="0" w:space="0" w:color="auto"/>
                <w:left w:val="none" w:sz="0" w:space="0" w:color="auto"/>
                <w:bottom w:val="none" w:sz="0" w:space="0" w:color="auto"/>
                <w:right w:val="none" w:sz="0" w:space="0" w:color="auto"/>
              </w:divBdr>
            </w:div>
            <w:div w:id="506215126">
              <w:marLeft w:val="0"/>
              <w:marRight w:val="0"/>
              <w:marTop w:val="0"/>
              <w:marBottom w:val="0"/>
              <w:divBdr>
                <w:top w:val="none" w:sz="0" w:space="0" w:color="auto"/>
                <w:left w:val="none" w:sz="0" w:space="0" w:color="auto"/>
                <w:bottom w:val="none" w:sz="0" w:space="0" w:color="auto"/>
                <w:right w:val="none" w:sz="0" w:space="0" w:color="auto"/>
              </w:divBdr>
            </w:div>
            <w:div w:id="695623264">
              <w:marLeft w:val="0"/>
              <w:marRight w:val="0"/>
              <w:marTop w:val="0"/>
              <w:marBottom w:val="0"/>
              <w:divBdr>
                <w:top w:val="none" w:sz="0" w:space="0" w:color="auto"/>
                <w:left w:val="none" w:sz="0" w:space="0" w:color="auto"/>
                <w:bottom w:val="none" w:sz="0" w:space="0" w:color="auto"/>
                <w:right w:val="none" w:sz="0" w:space="0" w:color="auto"/>
              </w:divBdr>
            </w:div>
            <w:div w:id="897284208">
              <w:marLeft w:val="0"/>
              <w:marRight w:val="0"/>
              <w:marTop w:val="0"/>
              <w:marBottom w:val="0"/>
              <w:divBdr>
                <w:top w:val="none" w:sz="0" w:space="0" w:color="auto"/>
                <w:left w:val="none" w:sz="0" w:space="0" w:color="auto"/>
                <w:bottom w:val="none" w:sz="0" w:space="0" w:color="auto"/>
                <w:right w:val="none" w:sz="0" w:space="0" w:color="auto"/>
              </w:divBdr>
            </w:div>
            <w:div w:id="1239711642">
              <w:marLeft w:val="0"/>
              <w:marRight w:val="0"/>
              <w:marTop w:val="0"/>
              <w:marBottom w:val="0"/>
              <w:divBdr>
                <w:top w:val="none" w:sz="0" w:space="0" w:color="auto"/>
                <w:left w:val="none" w:sz="0" w:space="0" w:color="auto"/>
                <w:bottom w:val="none" w:sz="0" w:space="0" w:color="auto"/>
                <w:right w:val="none" w:sz="0" w:space="0" w:color="auto"/>
              </w:divBdr>
            </w:div>
            <w:div w:id="1305499784">
              <w:marLeft w:val="0"/>
              <w:marRight w:val="0"/>
              <w:marTop w:val="0"/>
              <w:marBottom w:val="0"/>
              <w:divBdr>
                <w:top w:val="none" w:sz="0" w:space="0" w:color="auto"/>
                <w:left w:val="none" w:sz="0" w:space="0" w:color="auto"/>
                <w:bottom w:val="none" w:sz="0" w:space="0" w:color="auto"/>
                <w:right w:val="none" w:sz="0" w:space="0" w:color="auto"/>
              </w:divBdr>
            </w:div>
            <w:div w:id="1456363283">
              <w:marLeft w:val="0"/>
              <w:marRight w:val="0"/>
              <w:marTop w:val="0"/>
              <w:marBottom w:val="0"/>
              <w:divBdr>
                <w:top w:val="none" w:sz="0" w:space="0" w:color="auto"/>
                <w:left w:val="none" w:sz="0" w:space="0" w:color="auto"/>
                <w:bottom w:val="none" w:sz="0" w:space="0" w:color="auto"/>
                <w:right w:val="none" w:sz="0" w:space="0" w:color="auto"/>
              </w:divBdr>
            </w:div>
            <w:div w:id="1496795348">
              <w:marLeft w:val="0"/>
              <w:marRight w:val="0"/>
              <w:marTop w:val="0"/>
              <w:marBottom w:val="0"/>
              <w:divBdr>
                <w:top w:val="none" w:sz="0" w:space="0" w:color="auto"/>
                <w:left w:val="none" w:sz="0" w:space="0" w:color="auto"/>
                <w:bottom w:val="none" w:sz="0" w:space="0" w:color="auto"/>
                <w:right w:val="none" w:sz="0" w:space="0" w:color="auto"/>
              </w:divBdr>
            </w:div>
            <w:div w:id="1601797696">
              <w:marLeft w:val="0"/>
              <w:marRight w:val="0"/>
              <w:marTop w:val="0"/>
              <w:marBottom w:val="0"/>
              <w:divBdr>
                <w:top w:val="none" w:sz="0" w:space="0" w:color="auto"/>
                <w:left w:val="none" w:sz="0" w:space="0" w:color="auto"/>
                <w:bottom w:val="none" w:sz="0" w:space="0" w:color="auto"/>
                <w:right w:val="none" w:sz="0" w:space="0" w:color="auto"/>
              </w:divBdr>
            </w:div>
            <w:div w:id="1629125016">
              <w:marLeft w:val="0"/>
              <w:marRight w:val="0"/>
              <w:marTop w:val="0"/>
              <w:marBottom w:val="0"/>
              <w:divBdr>
                <w:top w:val="none" w:sz="0" w:space="0" w:color="auto"/>
                <w:left w:val="none" w:sz="0" w:space="0" w:color="auto"/>
                <w:bottom w:val="none" w:sz="0" w:space="0" w:color="auto"/>
                <w:right w:val="none" w:sz="0" w:space="0" w:color="auto"/>
              </w:divBdr>
            </w:div>
            <w:div w:id="1716194462">
              <w:marLeft w:val="0"/>
              <w:marRight w:val="0"/>
              <w:marTop w:val="0"/>
              <w:marBottom w:val="0"/>
              <w:divBdr>
                <w:top w:val="none" w:sz="0" w:space="0" w:color="auto"/>
                <w:left w:val="none" w:sz="0" w:space="0" w:color="auto"/>
                <w:bottom w:val="none" w:sz="0" w:space="0" w:color="auto"/>
                <w:right w:val="none" w:sz="0" w:space="0" w:color="auto"/>
              </w:divBdr>
            </w:div>
            <w:div w:id="1724328795">
              <w:marLeft w:val="0"/>
              <w:marRight w:val="0"/>
              <w:marTop w:val="0"/>
              <w:marBottom w:val="0"/>
              <w:divBdr>
                <w:top w:val="none" w:sz="0" w:space="0" w:color="auto"/>
                <w:left w:val="none" w:sz="0" w:space="0" w:color="auto"/>
                <w:bottom w:val="none" w:sz="0" w:space="0" w:color="auto"/>
                <w:right w:val="none" w:sz="0" w:space="0" w:color="auto"/>
              </w:divBdr>
            </w:div>
            <w:div w:id="1775320841">
              <w:marLeft w:val="0"/>
              <w:marRight w:val="0"/>
              <w:marTop w:val="0"/>
              <w:marBottom w:val="0"/>
              <w:divBdr>
                <w:top w:val="none" w:sz="0" w:space="0" w:color="auto"/>
                <w:left w:val="none" w:sz="0" w:space="0" w:color="auto"/>
                <w:bottom w:val="none" w:sz="0" w:space="0" w:color="auto"/>
                <w:right w:val="none" w:sz="0" w:space="0" w:color="auto"/>
              </w:divBdr>
            </w:div>
            <w:div w:id="2039500092">
              <w:marLeft w:val="0"/>
              <w:marRight w:val="0"/>
              <w:marTop w:val="0"/>
              <w:marBottom w:val="0"/>
              <w:divBdr>
                <w:top w:val="none" w:sz="0" w:space="0" w:color="auto"/>
                <w:left w:val="none" w:sz="0" w:space="0" w:color="auto"/>
                <w:bottom w:val="none" w:sz="0" w:space="0" w:color="auto"/>
                <w:right w:val="none" w:sz="0" w:space="0" w:color="auto"/>
              </w:divBdr>
            </w:div>
          </w:divsChild>
        </w:div>
        <w:div w:id="693925519">
          <w:marLeft w:val="0"/>
          <w:marRight w:val="0"/>
          <w:marTop w:val="0"/>
          <w:marBottom w:val="0"/>
          <w:divBdr>
            <w:top w:val="none" w:sz="0" w:space="0" w:color="auto"/>
            <w:left w:val="none" w:sz="0" w:space="0" w:color="auto"/>
            <w:bottom w:val="none" w:sz="0" w:space="0" w:color="auto"/>
            <w:right w:val="none" w:sz="0" w:space="0" w:color="auto"/>
          </w:divBdr>
        </w:div>
        <w:div w:id="842011244">
          <w:marLeft w:val="0"/>
          <w:marRight w:val="0"/>
          <w:marTop w:val="0"/>
          <w:marBottom w:val="0"/>
          <w:divBdr>
            <w:top w:val="none" w:sz="0" w:space="0" w:color="auto"/>
            <w:left w:val="none" w:sz="0" w:space="0" w:color="auto"/>
            <w:bottom w:val="none" w:sz="0" w:space="0" w:color="auto"/>
            <w:right w:val="none" w:sz="0" w:space="0" w:color="auto"/>
          </w:divBdr>
        </w:div>
        <w:div w:id="889997500">
          <w:marLeft w:val="0"/>
          <w:marRight w:val="0"/>
          <w:marTop w:val="0"/>
          <w:marBottom w:val="0"/>
          <w:divBdr>
            <w:top w:val="none" w:sz="0" w:space="0" w:color="auto"/>
            <w:left w:val="none" w:sz="0" w:space="0" w:color="auto"/>
            <w:bottom w:val="none" w:sz="0" w:space="0" w:color="auto"/>
            <w:right w:val="none" w:sz="0" w:space="0" w:color="auto"/>
          </w:divBdr>
          <w:divsChild>
            <w:div w:id="20396365">
              <w:marLeft w:val="0"/>
              <w:marRight w:val="0"/>
              <w:marTop w:val="0"/>
              <w:marBottom w:val="0"/>
              <w:divBdr>
                <w:top w:val="none" w:sz="0" w:space="0" w:color="auto"/>
                <w:left w:val="none" w:sz="0" w:space="0" w:color="auto"/>
                <w:bottom w:val="none" w:sz="0" w:space="0" w:color="auto"/>
                <w:right w:val="none" w:sz="0" w:space="0" w:color="auto"/>
              </w:divBdr>
            </w:div>
            <w:div w:id="85350286">
              <w:marLeft w:val="0"/>
              <w:marRight w:val="0"/>
              <w:marTop w:val="0"/>
              <w:marBottom w:val="0"/>
              <w:divBdr>
                <w:top w:val="none" w:sz="0" w:space="0" w:color="auto"/>
                <w:left w:val="none" w:sz="0" w:space="0" w:color="auto"/>
                <w:bottom w:val="none" w:sz="0" w:space="0" w:color="auto"/>
                <w:right w:val="none" w:sz="0" w:space="0" w:color="auto"/>
              </w:divBdr>
            </w:div>
            <w:div w:id="239293941">
              <w:marLeft w:val="0"/>
              <w:marRight w:val="0"/>
              <w:marTop w:val="0"/>
              <w:marBottom w:val="0"/>
              <w:divBdr>
                <w:top w:val="none" w:sz="0" w:space="0" w:color="auto"/>
                <w:left w:val="none" w:sz="0" w:space="0" w:color="auto"/>
                <w:bottom w:val="none" w:sz="0" w:space="0" w:color="auto"/>
                <w:right w:val="none" w:sz="0" w:space="0" w:color="auto"/>
              </w:divBdr>
            </w:div>
            <w:div w:id="245843616">
              <w:marLeft w:val="0"/>
              <w:marRight w:val="0"/>
              <w:marTop w:val="0"/>
              <w:marBottom w:val="0"/>
              <w:divBdr>
                <w:top w:val="none" w:sz="0" w:space="0" w:color="auto"/>
                <w:left w:val="none" w:sz="0" w:space="0" w:color="auto"/>
                <w:bottom w:val="none" w:sz="0" w:space="0" w:color="auto"/>
                <w:right w:val="none" w:sz="0" w:space="0" w:color="auto"/>
              </w:divBdr>
            </w:div>
            <w:div w:id="264117479">
              <w:marLeft w:val="0"/>
              <w:marRight w:val="0"/>
              <w:marTop w:val="0"/>
              <w:marBottom w:val="0"/>
              <w:divBdr>
                <w:top w:val="none" w:sz="0" w:space="0" w:color="auto"/>
                <w:left w:val="none" w:sz="0" w:space="0" w:color="auto"/>
                <w:bottom w:val="none" w:sz="0" w:space="0" w:color="auto"/>
                <w:right w:val="none" w:sz="0" w:space="0" w:color="auto"/>
              </w:divBdr>
            </w:div>
            <w:div w:id="343897392">
              <w:marLeft w:val="0"/>
              <w:marRight w:val="0"/>
              <w:marTop w:val="0"/>
              <w:marBottom w:val="0"/>
              <w:divBdr>
                <w:top w:val="none" w:sz="0" w:space="0" w:color="auto"/>
                <w:left w:val="none" w:sz="0" w:space="0" w:color="auto"/>
                <w:bottom w:val="none" w:sz="0" w:space="0" w:color="auto"/>
                <w:right w:val="none" w:sz="0" w:space="0" w:color="auto"/>
              </w:divBdr>
            </w:div>
            <w:div w:id="820149517">
              <w:marLeft w:val="0"/>
              <w:marRight w:val="0"/>
              <w:marTop w:val="0"/>
              <w:marBottom w:val="0"/>
              <w:divBdr>
                <w:top w:val="none" w:sz="0" w:space="0" w:color="auto"/>
                <w:left w:val="none" w:sz="0" w:space="0" w:color="auto"/>
                <w:bottom w:val="none" w:sz="0" w:space="0" w:color="auto"/>
                <w:right w:val="none" w:sz="0" w:space="0" w:color="auto"/>
              </w:divBdr>
            </w:div>
            <w:div w:id="1013537467">
              <w:marLeft w:val="0"/>
              <w:marRight w:val="0"/>
              <w:marTop w:val="0"/>
              <w:marBottom w:val="0"/>
              <w:divBdr>
                <w:top w:val="none" w:sz="0" w:space="0" w:color="auto"/>
                <w:left w:val="none" w:sz="0" w:space="0" w:color="auto"/>
                <w:bottom w:val="none" w:sz="0" w:space="0" w:color="auto"/>
                <w:right w:val="none" w:sz="0" w:space="0" w:color="auto"/>
              </w:divBdr>
            </w:div>
            <w:div w:id="1033731655">
              <w:marLeft w:val="0"/>
              <w:marRight w:val="0"/>
              <w:marTop w:val="0"/>
              <w:marBottom w:val="0"/>
              <w:divBdr>
                <w:top w:val="none" w:sz="0" w:space="0" w:color="auto"/>
                <w:left w:val="none" w:sz="0" w:space="0" w:color="auto"/>
                <w:bottom w:val="none" w:sz="0" w:space="0" w:color="auto"/>
                <w:right w:val="none" w:sz="0" w:space="0" w:color="auto"/>
              </w:divBdr>
            </w:div>
            <w:div w:id="1035278778">
              <w:marLeft w:val="0"/>
              <w:marRight w:val="0"/>
              <w:marTop w:val="0"/>
              <w:marBottom w:val="0"/>
              <w:divBdr>
                <w:top w:val="none" w:sz="0" w:space="0" w:color="auto"/>
                <w:left w:val="none" w:sz="0" w:space="0" w:color="auto"/>
                <w:bottom w:val="none" w:sz="0" w:space="0" w:color="auto"/>
                <w:right w:val="none" w:sz="0" w:space="0" w:color="auto"/>
              </w:divBdr>
            </w:div>
            <w:div w:id="1218783050">
              <w:marLeft w:val="0"/>
              <w:marRight w:val="0"/>
              <w:marTop w:val="0"/>
              <w:marBottom w:val="0"/>
              <w:divBdr>
                <w:top w:val="none" w:sz="0" w:space="0" w:color="auto"/>
                <w:left w:val="none" w:sz="0" w:space="0" w:color="auto"/>
                <w:bottom w:val="none" w:sz="0" w:space="0" w:color="auto"/>
                <w:right w:val="none" w:sz="0" w:space="0" w:color="auto"/>
              </w:divBdr>
            </w:div>
            <w:div w:id="1265966809">
              <w:marLeft w:val="0"/>
              <w:marRight w:val="0"/>
              <w:marTop w:val="0"/>
              <w:marBottom w:val="0"/>
              <w:divBdr>
                <w:top w:val="none" w:sz="0" w:space="0" w:color="auto"/>
                <w:left w:val="none" w:sz="0" w:space="0" w:color="auto"/>
                <w:bottom w:val="none" w:sz="0" w:space="0" w:color="auto"/>
                <w:right w:val="none" w:sz="0" w:space="0" w:color="auto"/>
              </w:divBdr>
            </w:div>
            <w:div w:id="1275821383">
              <w:marLeft w:val="0"/>
              <w:marRight w:val="0"/>
              <w:marTop w:val="0"/>
              <w:marBottom w:val="0"/>
              <w:divBdr>
                <w:top w:val="none" w:sz="0" w:space="0" w:color="auto"/>
                <w:left w:val="none" w:sz="0" w:space="0" w:color="auto"/>
                <w:bottom w:val="none" w:sz="0" w:space="0" w:color="auto"/>
                <w:right w:val="none" w:sz="0" w:space="0" w:color="auto"/>
              </w:divBdr>
            </w:div>
            <w:div w:id="1288393898">
              <w:marLeft w:val="0"/>
              <w:marRight w:val="0"/>
              <w:marTop w:val="0"/>
              <w:marBottom w:val="0"/>
              <w:divBdr>
                <w:top w:val="none" w:sz="0" w:space="0" w:color="auto"/>
                <w:left w:val="none" w:sz="0" w:space="0" w:color="auto"/>
                <w:bottom w:val="none" w:sz="0" w:space="0" w:color="auto"/>
                <w:right w:val="none" w:sz="0" w:space="0" w:color="auto"/>
              </w:divBdr>
            </w:div>
            <w:div w:id="1315067088">
              <w:marLeft w:val="0"/>
              <w:marRight w:val="0"/>
              <w:marTop w:val="0"/>
              <w:marBottom w:val="0"/>
              <w:divBdr>
                <w:top w:val="none" w:sz="0" w:space="0" w:color="auto"/>
                <w:left w:val="none" w:sz="0" w:space="0" w:color="auto"/>
                <w:bottom w:val="none" w:sz="0" w:space="0" w:color="auto"/>
                <w:right w:val="none" w:sz="0" w:space="0" w:color="auto"/>
              </w:divBdr>
            </w:div>
            <w:div w:id="1520661986">
              <w:marLeft w:val="0"/>
              <w:marRight w:val="0"/>
              <w:marTop w:val="0"/>
              <w:marBottom w:val="0"/>
              <w:divBdr>
                <w:top w:val="none" w:sz="0" w:space="0" w:color="auto"/>
                <w:left w:val="none" w:sz="0" w:space="0" w:color="auto"/>
                <w:bottom w:val="none" w:sz="0" w:space="0" w:color="auto"/>
                <w:right w:val="none" w:sz="0" w:space="0" w:color="auto"/>
              </w:divBdr>
            </w:div>
            <w:div w:id="1731154906">
              <w:marLeft w:val="0"/>
              <w:marRight w:val="0"/>
              <w:marTop w:val="0"/>
              <w:marBottom w:val="0"/>
              <w:divBdr>
                <w:top w:val="none" w:sz="0" w:space="0" w:color="auto"/>
                <w:left w:val="none" w:sz="0" w:space="0" w:color="auto"/>
                <w:bottom w:val="none" w:sz="0" w:space="0" w:color="auto"/>
                <w:right w:val="none" w:sz="0" w:space="0" w:color="auto"/>
              </w:divBdr>
            </w:div>
            <w:div w:id="1761100046">
              <w:marLeft w:val="0"/>
              <w:marRight w:val="0"/>
              <w:marTop w:val="0"/>
              <w:marBottom w:val="0"/>
              <w:divBdr>
                <w:top w:val="none" w:sz="0" w:space="0" w:color="auto"/>
                <w:left w:val="none" w:sz="0" w:space="0" w:color="auto"/>
                <w:bottom w:val="none" w:sz="0" w:space="0" w:color="auto"/>
                <w:right w:val="none" w:sz="0" w:space="0" w:color="auto"/>
              </w:divBdr>
            </w:div>
            <w:div w:id="1785616268">
              <w:marLeft w:val="0"/>
              <w:marRight w:val="0"/>
              <w:marTop w:val="0"/>
              <w:marBottom w:val="0"/>
              <w:divBdr>
                <w:top w:val="none" w:sz="0" w:space="0" w:color="auto"/>
                <w:left w:val="none" w:sz="0" w:space="0" w:color="auto"/>
                <w:bottom w:val="none" w:sz="0" w:space="0" w:color="auto"/>
                <w:right w:val="none" w:sz="0" w:space="0" w:color="auto"/>
              </w:divBdr>
            </w:div>
            <w:div w:id="2089882822">
              <w:marLeft w:val="0"/>
              <w:marRight w:val="0"/>
              <w:marTop w:val="0"/>
              <w:marBottom w:val="0"/>
              <w:divBdr>
                <w:top w:val="none" w:sz="0" w:space="0" w:color="auto"/>
                <w:left w:val="none" w:sz="0" w:space="0" w:color="auto"/>
                <w:bottom w:val="none" w:sz="0" w:space="0" w:color="auto"/>
                <w:right w:val="none" w:sz="0" w:space="0" w:color="auto"/>
              </w:divBdr>
            </w:div>
          </w:divsChild>
        </w:div>
        <w:div w:id="950891747">
          <w:marLeft w:val="0"/>
          <w:marRight w:val="0"/>
          <w:marTop w:val="0"/>
          <w:marBottom w:val="0"/>
          <w:divBdr>
            <w:top w:val="none" w:sz="0" w:space="0" w:color="auto"/>
            <w:left w:val="none" w:sz="0" w:space="0" w:color="auto"/>
            <w:bottom w:val="none" w:sz="0" w:space="0" w:color="auto"/>
            <w:right w:val="none" w:sz="0" w:space="0" w:color="auto"/>
          </w:divBdr>
        </w:div>
        <w:div w:id="979382777">
          <w:marLeft w:val="0"/>
          <w:marRight w:val="0"/>
          <w:marTop w:val="0"/>
          <w:marBottom w:val="0"/>
          <w:divBdr>
            <w:top w:val="none" w:sz="0" w:space="0" w:color="auto"/>
            <w:left w:val="none" w:sz="0" w:space="0" w:color="auto"/>
            <w:bottom w:val="none" w:sz="0" w:space="0" w:color="auto"/>
            <w:right w:val="none" w:sz="0" w:space="0" w:color="auto"/>
          </w:divBdr>
        </w:div>
        <w:div w:id="1077282484">
          <w:marLeft w:val="0"/>
          <w:marRight w:val="0"/>
          <w:marTop w:val="0"/>
          <w:marBottom w:val="0"/>
          <w:divBdr>
            <w:top w:val="none" w:sz="0" w:space="0" w:color="auto"/>
            <w:left w:val="none" w:sz="0" w:space="0" w:color="auto"/>
            <w:bottom w:val="none" w:sz="0" w:space="0" w:color="auto"/>
            <w:right w:val="none" w:sz="0" w:space="0" w:color="auto"/>
          </w:divBdr>
        </w:div>
        <w:div w:id="1124083694">
          <w:marLeft w:val="0"/>
          <w:marRight w:val="0"/>
          <w:marTop w:val="0"/>
          <w:marBottom w:val="0"/>
          <w:divBdr>
            <w:top w:val="none" w:sz="0" w:space="0" w:color="auto"/>
            <w:left w:val="none" w:sz="0" w:space="0" w:color="auto"/>
            <w:bottom w:val="none" w:sz="0" w:space="0" w:color="auto"/>
            <w:right w:val="none" w:sz="0" w:space="0" w:color="auto"/>
          </w:divBdr>
        </w:div>
        <w:div w:id="1155875691">
          <w:marLeft w:val="0"/>
          <w:marRight w:val="0"/>
          <w:marTop w:val="0"/>
          <w:marBottom w:val="0"/>
          <w:divBdr>
            <w:top w:val="none" w:sz="0" w:space="0" w:color="auto"/>
            <w:left w:val="none" w:sz="0" w:space="0" w:color="auto"/>
            <w:bottom w:val="none" w:sz="0" w:space="0" w:color="auto"/>
            <w:right w:val="none" w:sz="0" w:space="0" w:color="auto"/>
          </w:divBdr>
        </w:div>
        <w:div w:id="1189298172">
          <w:marLeft w:val="0"/>
          <w:marRight w:val="0"/>
          <w:marTop w:val="0"/>
          <w:marBottom w:val="0"/>
          <w:divBdr>
            <w:top w:val="none" w:sz="0" w:space="0" w:color="auto"/>
            <w:left w:val="none" w:sz="0" w:space="0" w:color="auto"/>
            <w:bottom w:val="none" w:sz="0" w:space="0" w:color="auto"/>
            <w:right w:val="none" w:sz="0" w:space="0" w:color="auto"/>
          </w:divBdr>
        </w:div>
        <w:div w:id="1231428123">
          <w:marLeft w:val="0"/>
          <w:marRight w:val="0"/>
          <w:marTop w:val="0"/>
          <w:marBottom w:val="0"/>
          <w:divBdr>
            <w:top w:val="none" w:sz="0" w:space="0" w:color="auto"/>
            <w:left w:val="none" w:sz="0" w:space="0" w:color="auto"/>
            <w:bottom w:val="none" w:sz="0" w:space="0" w:color="auto"/>
            <w:right w:val="none" w:sz="0" w:space="0" w:color="auto"/>
          </w:divBdr>
        </w:div>
        <w:div w:id="1240753065">
          <w:marLeft w:val="0"/>
          <w:marRight w:val="0"/>
          <w:marTop w:val="0"/>
          <w:marBottom w:val="0"/>
          <w:divBdr>
            <w:top w:val="none" w:sz="0" w:space="0" w:color="auto"/>
            <w:left w:val="none" w:sz="0" w:space="0" w:color="auto"/>
            <w:bottom w:val="none" w:sz="0" w:space="0" w:color="auto"/>
            <w:right w:val="none" w:sz="0" w:space="0" w:color="auto"/>
          </w:divBdr>
        </w:div>
        <w:div w:id="1265186342">
          <w:marLeft w:val="0"/>
          <w:marRight w:val="0"/>
          <w:marTop w:val="0"/>
          <w:marBottom w:val="0"/>
          <w:divBdr>
            <w:top w:val="none" w:sz="0" w:space="0" w:color="auto"/>
            <w:left w:val="none" w:sz="0" w:space="0" w:color="auto"/>
            <w:bottom w:val="none" w:sz="0" w:space="0" w:color="auto"/>
            <w:right w:val="none" w:sz="0" w:space="0" w:color="auto"/>
          </w:divBdr>
        </w:div>
        <w:div w:id="1270118835">
          <w:marLeft w:val="0"/>
          <w:marRight w:val="0"/>
          <w:marTop w:val="0"/>
          <w:marBottom w:val="0"/>
          <w:divBdr>
            <w:top w:val="none" w:sz="0" w:space="0" w:color="auto"/>
            <w:left w:val="none" w:sz="0" w:space="0" w:color="auto"/>
            <w:bottom w:val="none" w:sz="0" w:space="0" w:color="auto"/>
            <w:right w:val="none" w:sz="0" w:space="0" w:color="auto"/>
          </w:divBdr>
        </w:div>
        <w:div w:id="1278635026">
          <w:marLeft w:val="0"/>
          <w:marRight w:val="0"/>
          <w:marTop w:val="0"/>
          <w:marBottom w:val="0"/>
          <w:divBdr>
            <w:top w:val="none" w:sz="0" w:space="0" w:color="auto"/>
            <w:left w:val="none" w:sz="0" w:space="0" w:color="auto"/>
            <w:bottom w:val="none" w:sz="0" w:space="0" w:color="auto"/>
            <w:right w:val="none" w:sz="0" w:space="0" w:color="auto"/>
          </w:divBdr>
          <w:divsChild>
            <w:div w:id="3169693">
              <w:marLeft w:val="0"/>
              <w:marRight w:val="0"/>
              <w:marTop w:val="0"/>
              <w:marBottom w:val="0"/>
              <w:divBdr>
                <w:top w:val="none" w:sz="0" w:space="0" w:color="auto"/>
                <w:left w:val="none" w:sz="0" w:space="0" w:color="auto"/>
                <w:bottom w:val="none" w:sz="0" w:space="0" w:color="auto"/>
                <w:right w:val="none" w:sz="0" w:space="0" w:color="auto"/>
              </w:divBdr>
            </w:div>
            <w:div w:id="132723675">
              <w:marLeft w:val="0"/>
              <w:marRight w:val="0"/>
              <w:marTop w:val="0"/>
              <w:marBottom w:val="0"/>
              <w:divBdr>
                <w:top w:val="none" w:sz="0" w:space="0" w:color="auto"/>
                <w:left w:val="none" w:sz="0" w:space="0" w:color="auto"/>
                <w:bottom w:val="none" w:sz="0" w:space="0" w:color="auto"/>
                <w:right w:val="none" w:sz="0" w:space="0" w:color="auto"/>
              </w:divBdr>
            </w:div>
            <w:div w:id="169028210">
              <w:marLeft w:val="0"/>
              <w:marRight w:val="0"/>
              <w:marTop w:val="0"/>
              <w:marBottom w:val="0"/>
              <w:divBdr>
                <w:top w:val="none" w:sz="0" w:space="0" w:color="auto"/>
                <w:left w:val="none" w:sz="0" w:space="0" w:color="auto"/>
                <w:bottom w:val="none" w:sz="0" w:space="0" w:color="auto"/>
                <w:right w:val="none" w:sz="0" w:space="0" w:color="auto"/>
              </w:divBdr>
            </w:div>
            <w:div w:id="229003867">
              <w:marLeft w:val="0"/>
              <w:marRight w:val="0"/>
              <w:marTop w:val="0"/>
              <w:marBottom w:val="0"/>
              <w:divBdr>
                <w:top w:val="none" w:sz="0" w:space="0" w:color="auto"/>
                <w:left w:val="none" w:sz="0" w:space="0" w:color="auto"/>
                <w:bottom w:val="none" w:sz="0" w:space="0" w:color="auto"/>
                <w:right w:val="none" w:sz="0" w:space="0" w:color="auto"/>
              </w:divBdr>
            </w:div>
            <w:div w:id="293946799">
              <w:marLeft w:val="0"/>
              <w:marRight w:val="0"/>
              <w:marTop w:val="0"/>
              <w:marBottom w:val="0"/>
              <w:divBdr>
                <w:top w:val="none" w:sz="0" w:space="0" w:color="auto"/>
                <w:left w:val="none" w:sz="0" w:space="0" w:color="auto"/>
                <w:bottom w:val="none" w:sz="0" w:space="0" w:color="auto"/>
                <w:right w:val="none" w:sz="0" w:space="0" w:color="auto"/>
              </w:divBdr>
            </w:div>
            <w:div w:id="302467072">
              <w:marLeft w:val="0"/>
              <w:marRight w:val="0"/>
              <w:marTop w:val="0"/>
              <w:marBottom w:val="0"/>
              <w:divBdr>
                <w:top w:val="none" w:sz="0" w:space="0" w:color="auto"/>
                <w:left w:val="none" w:sz="0" w:space="0" w:color="auto"/>
                <w:bottom w:val="none" w:sz="0" w:space="0" w:color="auto"/>
                <w:right w:val="none" w:sz="0" w:space="0" w:color="auto"/>
              </w:divBdr>
            </w:div>
            <w:div w:id="467553999">
              <w:marLeft w:val="0"/>
              <w:marRight w:val="0"/>
              <w:marTop w:val="0"/>
              <w:marBottom w:val="0"/>
              <w:divBdr>
                <w:top w:val="none" w:sz="0" w:space="0" w:color="auto"/>
                <w:left w:val="none" w:sz="0" w:space="0" w:color="auto"/>
                <w:bottom w:val="none" w:sz="0" w:space="0" w:color="auto"/>
                <w:right w:val="none" w:sz="0" w:space="0" w:color="auto"/>
              </w:divBdr>
            </w:div>
            <w:div w:id="601843782">
              <w:marLeft w:val="0"/>
              <w:marRight w:val="0"/>
              <w:marTop w:val="0"/>
              <w:marBottom w:val="0"/>
              <w:divBdr>
                <w:top w:val="none" w:sz="0" w:space="0" w:color="auto"/>
                <w:left w:val="none" w:sz="0" w:space="0" w:color="auto"/>
                <w:bottom w:val="none" w:sz="0" w:space="0" w:color="auto"/>
                <w:right w:val="none" w:sz="0" w:space="0" w:color="auto"/>
              </w:divBdr>
            </w:div>
            <w:div w:id="1197810044">
              <w:marLeft w:val="0"/>
              <w:marRight w:val="0"/>
              <w:marTop w:val="0"/>
              <w:marBottom w:val="0"/>
              <w:divBdr>
                <w:top w:val="none" w:sz="0" w:space="0" w:color="auto"/>
                <w:left w:val="none" w:sz="0" w:space="0" w:color="auto"/>
                <w:bottom w:val="none" w:sz="0" w:space="0" w:color="auto"/>
                <w:right w:val="none" w:sz="0" w:space="0" w:color="auto"/>
              </w:divBdr>
            </w:div>
            <w:div w:id="1440367658">
              <w:marLeft w:val="0"/>
              <w:marRight w:val="0"/>
              <w:marTop w:val="0"/>
              <w:marBottom w:val="0"/>
              <w:divBdr>
                <w:top w:val="none" w:sz="0" w:space="0" w:color="auto"/>
                <w:left w:val="none" w:sz="0" w:space="0" w:color="auto"/>
                <w:bottom w:val="none" w:sz="0" w:space="0" w:color="auto"/>
                <w:right w:val="none" w:sz="0" w:space="0" w:color="auto"/>
              </w:divBdr>
            </w:div>
            <w:div w:id="1470240911">
              <w:marLeft w:val="0"/>
              <w:marRight w:val="0"/>
              <w:marTop w:val="0"/>
              <w:marBottom w:val="0"/>
              <w:divBdr>
                <w:top w:val="none" w:sz="0" w:space="0" w:color="auto"/>
                <w:left w:val="none" w:sz="0" w:space="0" w:color="auto"/>
                <w:bottom w:val="none" w:sz="0" w:space="0" w:color="auto"/>
                <w:right w:val="none" w:sz="0" w:space="0" w:color="auto"/>
              </w:divBdr>
            </w:div>
            <w:div w:id="1625649466">
              <w:marLeft w:val="0"/>
              <w:marRight w:val="0"/>
              <w:marTop w:val="0"/>
              <w:marBottom w:val="0"/>
              <w:divBdr>
                <w:top w:val="none" w:sz="0" w:space="0" w:color="auto"/>
                <w:left w:val="none" w:sz="0" w:space="0" w:color="auto"/>
                <w:bottom w:val="none" w:sz="0" w:space="0" w:color="auto"/>
                <w:right w:val="none" w:sz="0" w:space="0" w:color="auto"/>
              </w:divBdr>
            </w:div>
            <w:div w:id="1643390869">
              <w:marLeft w:val="0"/>
              <w:marRight w:val="0"/>
              <w:marTop w:val="0"/>
              <w:marBottom w:val="0"/>
              <w:divBdr>
                <w:top w:val="none" w:sz="0" w:space="0" w:color="auto"/>
                <w:left w:val="none" w:sz="0" w:space="0" w:color="auto"/>
                <w:bottom w:val="none" w:sz="0" w:space="0" w:color="auto"/>
                <w:right w:val="none" w:sz="0" w:space="0" w:color="auto"/>
              </w:divBdr>
            </w:div>
            <w:div w:id="1738505108">
              <w:marLeft w:val="0"/>
              <w:marRight w:val="0"/>
              <w:marTop w:val="0"/>
              <w:marBottom w:val="0"/>
              <w:divBdr>
                <w:top w:val="none" w:sz="0" w:space="0" w:color="auto"/>
                <w:left w:val="none" w:sz="0" w:space="0" w:color="auto"/>
                <w:bottom w:val="none" w:sz="0" w:space="0" w:color="auto"/>
                <w:right w:val="none" w:sz="0" w:space="0" w:color="auto"/>
              </w:divBdr>
            </w:div>
            <w:div w:id="1753625930">
              <w:marLeft w:val="0"/>
              <w:marRight w:val="0"/>
              <w:marTop w:val="0"/>
              <w:marBottom w:val="0"/>
              <w:divBdr>
                <w:top w:val="none" w:sz="0" w:space="0" w:color="auto"/>
                <w:left w:val="none" w:sz="0" w:space="0" w:color="auto"/>
                <w:bottom w:val="none" w:sz="0" w:space="0" w:color="auto"/>
                <w:right w:val="none" w:sz="0" w:space="0" w:color="auto"/>
              </w:divBdr>
            </w:div>
            <w:div w:id="1805806860">
              <w:marLeft w:val="0"/>
              <w:marRight w:val="0"/>
              <w:marTop w:val="0"/>
              <w:marBottom w:val="0"/>
              <w:divBdr>
                <w:top w:val="none" w:sz="0" w:space="0" w:color="auto"/>
                <w:left w:val="none" w:sz="0" w:space="0" w:color="auto"/>
                <w:bottom w:val="none" w:sz="0" w:space="0" w:color="auto"/>
                <w:right w:val="none" w:sz="0" w:space="0" w:color="auto"/>
              </w:divBdr>
            </w:div>
            <w:div w:id="1806507710">
              <w:marLeft w:val="0"/>
              <w:marRight w:val="0"/>
              <w:marTop w:val="0"/>
              <w:marBottom w:val="0"/>
              <w:divBdr>
                <w:top w:val="none" w:sz="0" w:space="0" w:color="auto"/>
                <w:left w:val="none" w:sz="0" w:space="0" w:color="auto"/>
                <w:bottom w:val="none" w:sz="0" w:space="0" w:color="auto"/>
                <w:right w:val="none" w:sz="0" w:space="0" w:color="auto"/>
              </w:divBdr>
            </w:div>
            <w:div w:id="1889029668">
              <w:marLeft w:val="0"/>
              <w:marRight w:val="0"/>
              <w:marTop w:val="0"/>
              <w:marBottom w:val="0"/>
              <w:divBdr>
                <w:top w:val="none" w:sz="0" w:space="0" w:color="auto"/>
                <w:left w:val="none" w:sz="0" w:space="0" w:color="auto"/>
                <w:bottom w:val="none" w:sz="0" w:space="0" w:color="auto"/>
                <w:right w:val="none" w:sz="0" w:space="0" w:color="auto"/>
              </w:divBdr>
            </w:div>
            <w:div w:id="1958609106">
              <w:marLeft w:val="0"/>
              <w:marRight w:val="0"/>
              <w:marTop w:val="0"/>
              <w:marBottom w:val="0"/>
              <w:divBdr>
                <w:top w:val="none" w:sz="0" w:space="0" w:color="auto"/>
                <w:left w:val="none" w:sz="0" w:space="0" w:color="auto"/>
                <w:bottom w:val="none" w:sz="0" w:space="0" w:color="auto"/>
                <w:right w:val="none" w:sz="0" w:space="0" w:color="auto"/>
              </w:divBdr>
            </w:div>
            <w:div w:id="2079476061">
              <w:marLeft w:val="0"/>
              <w:marRight w:val="0"/>
              <w:marTop w:val="0"/>
              <w:marBottom w:val="0"/>
              <w:divBdr>
                <w:top w:val="none" w:sz="0" w:space="0" w:color="auto"/>
                <w:left w:val="none" w:sz="0" w:space="0" w:color="auto"/>
                <w:bottom w:val="none" w:sz="0" w:space="0" w:color="auto"/>
                <w:right w:val="none" w:sz="0" w:space="0" w:color="auto"/>
              </w:divBdr>
            </w:div>
          </w:divsChild>
        </w:div>
        <w:div w:id="1390494897">
          <w:marLeft w:val="0"/>
          <w:marRight w:val="0"/>
          <w:marTop w:val="0"/>
          <w:marBottom w:val="0"/>
          <w:divBdr>
            <w:top w:val="none" w:sz="0" w:space="0" w:color="auto"/>
            <w:left w:val="none" w:sz="0" w:space="0" w:color="auto"/>
            <w:bottom w:val="none" w:sz="0" w:space="0" w:color="auto"/>
            <w:right w:val="none" w:sz="0" w:space="0" w:color="auto"/>
          </w:divBdr>
        </w:div>
        <w:div w:id="1398895900">
          <w:marLeft w:val="0"/>
          <w:marRight w:val="0"/>
          <w:marTop w:val="0"/>
          <w:marBottom w:val="0"/>
          <w:divBdr>
            <w:top w:val="none" w:sz="0" w:space="0" w:color="auto"/>
            <w:left w:val="none" w:sz="0" w:space="0" w:color="auto"/>
            <w:bottom w:val="none" w:sz="0" w:space="0" w:color="auto"/>
            <w:right w:val="none" w:sz="0" w:space="0" w:color="auto"/>
          </w:divBdr>
        </w:div>
        <w:div w:id="1412507320">
          <w:marLeft w:val="0"/>
          <w:marRight w:val="0"/>
          <w:marTop w:val="0"/>
          <w:marBottom w:val="0"/>
          <w:divBdr>
            <w:top w:val="none" w:sz="0" w:space="0" w:color="auto"/>
            <w:left w:val="none" w:sz="0" w:space="0" w:color="auto"/>
            <w:bottom w:val="none" w:sz="0" w:space="0" w:color="auto"/>
            <w:right w:val="none" w:sz="0" w:space="0" w:color="auto"/>
          </w:divBdr>
        </w:div>
        <w:div w:id="1453472537">
          <w:marLeft w:val="0"/>
          <w:marRight w:val="0"/>
          <w:marTop w:val="0"/>
          <w:marBottom w:val="0"/>
          <w:divBdr>
            <w:top w:val="none" w:sz="0" w:space="0" w:color="auto"/>
            <w:left w:val="none" w:sz="0" w:space="0" w:color="auto"/>
            <w:bottom w:val="none" w:sz="0" w:space="0" w:color="auto"/>
            <w:right w:val="none" w:sz="0" w:space="0" w:color="auto"/>
          </w:divBdr>
          <w:divsChild>
            <w:div w:id="34087648">
              <w:marLeft w:val="0"/>
              <w:marRight w:val="0"/>
              <w:marTop w:val="0"/>
              <w:marBottom w:val="0"/>
              <w:divBdr>
                <w:top w:val="none" w:sz="0" w:space="0" w:color="auto"/>
                <w:left w:val="none" w:sz="0" w:space="0" w:color="auto"/>
                <w:bottom w:val="none" w:sz="0" w:space="0" w:color="auto"/>
                <w:right w:val="none" w:sz="0" w:space="0" w:color="auto"/>
              </w:divBdr>
            </w:div>
            <w:div w:id="108667082">
              <w:marLeft w:val="0"/>
              <w:marRight w:val="0"/>
              <w:marTop w:val="0"/>
              <w:marBottom w:val="0"/>
              <w:divBdr>
                <w:top w:val="none" w:sz="0" w:space="0" w:color="auto"/>
                <w:left w:val="none" w:sz="0" w:space="0" w:color="auto"/>
                <w:bottom w:val="none" w:sz="0" w:space="0" w:color="auto"/>
                <w:right w:val="none" w:sz="0" w:space="0" w:color="auto"/>
              </w:divBdr>
            </w:div>
            <w:div w:id="128285877">
              <w:marLeft w:val="0"/>
              <w:marRight w:val="0"/>
              <w:marTop w:val="0"/>
              <w:marBottom w:val="0"/>
              <w:divBdr>
                <w:top w:val="none" w:sz="0" w:space="0" w:color="auto"/>
                <w:left w:val="none" w:sz="0" w:space="0" w:color="auto"/>
                <w:bottom w:val="none" w:sz="0" w:space="0" w:color="auto"/>
                <w:right w:val="none" w:sz="0" w:space="0" w:color="auto"/>
              </w:divBdr>
            </w:div>
            <w:div w:id="213780973">
              <w:marLeft w:val="0"/>
              <w:marRight w:val="0"/>
              <w:marTop w:val="0"/>
              <w:marBottom w:val="0"/>
              <w:divBdr>
                <w:top w:val="none" w:sz="0" w:space="0" w:color="auto"/>
                <w:left w:val="none" w:sz="0" w:space="0" w:color="auto"/>
                <w:bottom w:val="none" w:sz="0" w:space="0" w:color="auto"/>
                <w:right w:val="none" w:sz="0" w:space="0" w:color="auto"/>
              </w:divBdr>
            </w:div>
            <w:div w:id="306399303">
              <w:marLeft w:val="0"/>
              <w:marRight w:val="0"/>
              <w:marTop w:val="0"/>
              <w:marBottom w:val="0"/>
              <w:divBdr>
                <w:top w:val="none" w:sz="0" w:space="0" w:color="auto"/>
                <w:left w:val="none" w:sz="0" w:space="0" w:color="auto"/>
                <w:bottom w:val="none" w:sz="0" w:space="0" w:color="auto"/>
                <w:right w:val="none" w:sz="0" w:space="0" w:color="auto"/>
              </w:divBdr>
            </w:div>
            <w:div w:id="339427930">
              <w:marLeft w:val="0"/>
              <w:marRight w:val="0"/>
              <w:marTop w:val="0"/>
              <w:marBottom w:val="0"/>
              <w:divBdr>
                <w:top w:val="none" w:sz="0" w:space="0" w:color="auto"/>
                <w:left w:val="none" w:sz="0" w:space="0" w:color="auto"/>
                <w:bottom w:val="none" w:sz="0" w:space="0" w:color="auto"/>
                <w:right w:val="none" w:sz="0" w:space="0" w:color="auto"/>
              </w:divBdr>
            </w:div>
            <w:div w:id="575358573">
              <w:marLeft w:val="0"/>
              <w:marRight w:val="0"/>
              <w:marTop w:val="0"/>
              <w:marBottom w:val="0"/>
              <w:divBdr>
                <w:top w:val="none" w:sz="0" w:space="0" w:color="auto"/>
                <w:left w:val="none" w:sz="0" w:space="0" w:color="auto"/>
                <w:bottom w:val="none" w:sz="0" w:space="0" w:color="auto"/>
                <w:right w:val="none" w:sz="0" w:space="0" w:color="auto"/>
              </w:divBdr>
            </w:div>
            <w:div w:id="696736629">
              <w:marLeft w:val="0"/>
              <w:marRight w:val="0"/>
              <w:marTop w:val="0"/>
              <w:marBottom w:val="0"/>
              <w:divBdr>
                <w:top w:val="none" w:sz="0" w:space="0" w:color="auto"/>
                <w:left w:val="none" w:sz="0" w:space="0" w:color="auto"/>
                <w:bottom w:val="none" w:sz="0" w:space="0" w:color="auto"/>
                <w:right w:val="none" w:sz="0" w:space="0" w:color="auto"/>
              </w:divBdr>
            </w:div>
            <w:div w:id="1251424820">
              <w:marLeft w:val="0"/>
              <w:marRight w:val="0"/>
              <w:marTop w:val="0"/>
              <w:marBottom w:val="0"/>
              <w:divBdr>
                <w:top w:val="none" w:sz="0" w:space="0" w:color="auto"/>
                <w:left w:val="none" w:sz="0" w:space="0" w:color="auto"/>
                <w:bottom w:val="none" w:sz="0" w:space="0" w:color="auto"/>
                <w:right w:val="none" w:sz="0" w:space="0" w:color="auto"/>
              </w:divBdr>
            </w:div>
            <w:div w:id="1259437664">
              <w:marLeft w:val="0"/>
              <w:marRight w:val="0"/>
              <w:marTop w:val="0"/>
              <w:marBottom w:val="0"/>
              <w:divBdr>
                <w:top w:val="none" w:sz="0" w:space="0" w:color="auto"/>
                <w:left w:val="none" w:sz="0" w:space="0" w:color="auto"/>
                <w:bottom w:val="none" w:sz="0" w:space="0" w:color="auto"/>
                <w:right w:val="none" w:sz="0" w:space="0" w:color="auto"/>
              </w:divBdr>
            </w:div>
            <w:div w:id="1269194200">
              <w:marLeft w:val="0"/>
              <w:marRight w:val="0"/>
              <w:marTop w:val="0"/>
              <w:marBottom w:val="0"/>
              <w:divBdr>
                <w:top w:val="none" w:sz="0" w:space="0" w:color="auto"/>
                <w:left w:val="none" w:sz="0" w:space="0" w:color="auto"/>
                <w:bottom w:val="none" w:sz="0" w:space="0" w:color="auto"/>
                <w:right w:val="none" w:sz="0" w:space="0" w:color="auto"/>
              </w:divBdr>
            </w:div>
            <w:div w:id="1278754518">
              <w:marLeft w:val="0"/>
              <w:marRight w:val="0"/>
              <w:marTop w:val="0"/>
              <w:marBottom w:val="0"/>
              <w:divBdr>
                <w:top w:val="none" w:sz="0" w:space="0" w:color="auto"/>
                <w:left w:val="none" w:sz="0" w:space="0" w:color="auto"/>
                <w:bottom w:val="none" w:sz="0" w:space="0" w:color="auto"/>
                <w:right w:val="none" w:sz="0" w:space="0" w:color="auto"/>
              </w:divBdr>
            </w:div>
            <w:div w:id="1329746805">
              <w:marLeft w:val="0"/>
              <w:marRight w:val="0"/>
              <w:marTop w:val="0"/>
              <w:marBottom w:val="0"/>
              <w:divBdr>
                <w:top w:val="none" w:sz="0" w:space="0" w:color="auto"/>
                <w:left w:val="none" w:sz="0" w:space="0" w:color="auto"/>
                <w:bottom w:val="none" w:sz="0" w:space="0" w:color="auto"/>
                <w:right w:val="none" w:sz="0" w:space="0" w:color="auto"/>
              </w:divBdr>
            </w:div>
            <w:div w:id="1336298073">
              <w:marLeft w:val="0"/>
              <w:marRight w:val="0"/>
              <w:marTop w:val="0"/>
              <w:marBottom w:val="0"/>
              <w:divBdr>
                <w:top w:val="none" w:sz="0" w:space="0" w:color="auto"/>
                <w:left w:val="none" w:sz="0" w:space="0" w:color="auto"/>
                <w:bottom w:val="none" w:sz="0" w:space="0" w:color="auto"/>
                <w:right w:val="none" w:sz="0" w:space="0" w:color="auto"/>
              </w:divBdr>
            </w:div>
            <w:div w:id="1388996062">
              <w:marLeft w:val="0"/>
              <w:marRight w:val="0"/>
              <w:marTop w:val="0"/>
              <w:marBottom w:val="0"/>
              <w:divBdr>
                <w:top w:val="none" w:sz="0" w:space="0" w:color="auto"/>
                <w:left w:val="none" w:sz="0" w:space="0" w:color="auto"/>
                <w:bottom w:val="none" w:sz="0" w:space="0" w:color="auto"/>
                <w:right w:val="none" w:sz="0" w:space="0" w:color="auto"/>
              </w:divBdr>
            </w:div>
            <w:div w:id="1410149137">
              <w:marLeft w:val="0"/>
              <w:marRight w:val="0"/>
              <w:marTop w:val="0"/>
              <w:marBottom w:val="0"/>
              <w:divBdr>
                <w:top w:val="none" w:sz="0" w:space="0" w:color="auto"/>
                <w:left w:val="none" w:sz="0" w:space="0" w:color="auto"/>
                <w:bottom w:val="none" w:sz="0" w:space="0" w:color="auto"/>
                <w:right w:val="none" w:sz="0" w:space="0" w:color="auto"/>
              </w:divBdr>
            </w:div>
            <w:div w:id="1413238663">
              <w:marLeft w:val="0"/>
              <w:marRight w:val="0"/>
              <w:marTop w:val="0"/>
              <w:marBottom w:val="0"/>
              <w:divBdr>
                <w:top w:val="none" w:sz="0" w:space="0" w:color="auto"/>
                <w:left w:val="none" w:sz="0" w:space="0" w:color="auto"/>
                <w:bottom w:val="none" w:sz="0" w:space="0" w:color="auto"/>
                <w:right w:val="none" w:sz="0" w:space="0" w:color="auto"/>
              </w:divBdr>
            </w:div>
            <w:div w:id="1891578484">
              <w:marLeft w:val="0"/>
              <w:marRight w:val="0"/>
              <w:marTop w:val="0"/>
              <w:marBottom w:val="0"/>
              <w:divBdr>
                <w:top w:val="none" w:sz="0" w:space="0" w:color="auto"/>
                <w:left w:val="none" w:sz="0" w:space="0" w:color="auto"/>
                <w:bottom w:val="none" w:sz="0" w:space="0" w:color="auto"/>
                <w:right w:val="none" w:sz="0" w:space="0" w:color="auto"/>
              </w:divBdr>
            </w:div>
            <w:div w:id="1947423852">
              <w:marLeft w:val="0"/>
              <w:marRight w:val="0"/>
              <w:marTop w:val="0"/>
              <w:marBottom w:val="0"/>
              <w:divBdr>
                <w:top w:val="none" w:sz="0" w:space="0" w:color="auto"/>
                <w:left w:val="none" w:sz="0" w:space="0" w:color="auto"/>
                <w:bottom w:val="none" w:sz="0" w:space="0" w:color="auto"/>
                <w:right w:val="none" w:sz="0" w:space="0" w:color="auto"/>
              </w:divBdr>
            </w:div>
            <w:div w:id="1982927440">
              <w:marLeft w:val="0"/>
              <w:marRight w:val="0"/>
              <w:marTop w:val="0"/>
              <w:marBottom w:val="0"/>
              <w:divBdr>
                <w:top w:val="none" w:sz="0" w:space="0" w:color="auto"/>
                <w:left w:val="none" w:sz="0" w:space="0" w:color="auto"/>
                <w:bottom w:val="none" w:sz="0" w:space="0" w:color="auto"/>
                <w:right w:val="none" w:sz="0" w:space="0" w:color="auto"/>
              </w:divBdr>
            </w:div>
          </w:divsChild>
        </w:div>
        <w:div w:id="1540891921">
          <w:marLeft w:val="0"/>
          <w:marRight w:val="0"/>
          <w:marTop w:val="0"/>
          <w:marBottom w:val="0"/>
          <w:divBdr>
            <w:top w:val="none" w:sz="0" w:space="0" w:color="auto"/>
            <w:left w:val="none" w:sz="0" w:space="0" w:color="auto"/>
            <w:bottom w:val="none" w:sz="0" w:space="0" w:color="auto"/>
            <w:right w:val="none" w:sz="0" w:space="0" w:color="auto"/>
          </w:divBdr>
        </w:div>
        <w:div w:id="1579628137">
          <w:marLeft w:val="0"/>
          <w:marRight w:val="0"/>
          <w:marTop w:val="0"/>
          <w:marBottom w:val="0"/>
          <w:divBdr>
            <w:top w:val="none" w:sz="0" w:space="0" w:color="auto"/>
            <w:left w:val="none" w:sz="0" w:space="0" w:color="auto"/>
            <w:bottom w:val="none" w:sz="0" w:space="0" w:color="auto"/>
            <w:right w:val="none" w:sz="0" w:space="0" w:color="auto"/>
          </w:divBdr>
        </w:div>
        <w:div w:id="1666742401">
          <w:marLeft w:val="0"/>
          <w:marRight w:val="0"/>
          <w:marTop w:val="0"/>
          <w:marBottom w:val="0"/>
          <w:divBdr>
            <w:top w:val="none" w:sz="0" w:space="0" w:color="auto"/>
            <w:left w:val="none" w:sz="0" w:space="0" w:color="auto"/>
            <w:bottom w:val="none" w:sz="0" w:space="0" w:color="auto"/>
            <w:right w:val="none" w:sz="0" w:space="0" w:color="auto"/>
          </w:divBdr>
        </w:div>
        <w:div w:id="1716271303">
          <w:marLeft w:val="0"/>
          <w:marRight w:val="0"/>
          <w:marTop w:val="0"/>
          <w:marBottom w:val="0"/>
          <w:divBdr>
            <w:top w:val="none" w:sz="0" w:space="0" w:color="auto"/>
            <w:left w:val="none" w:sz="0" w:space="0" w:color="auto"/>
            <w:bottom w:val="none" w:sz="0" w:space="0" w:color="auto"/>
            <w:right w:val="none" w:sz="0" w:space="0" w:color="auto"/>
          </w:divBdr>
        </w:div>
        <w:div w:id="1784107656">
          <w:marLeft w:val="0"/>
          <w:marRight w:val="0"/>
          <w:marTop w:val="0"/>
          <w:marBottom w:val="0"/>
          <w:divBdr>
            <w:top w:val="none" w:sz="0" w:space="0" w:color="auto"/>
            <w:left w:val="none" w:sz="0" w:space="0" w:color="auto"/>
            <w:bottom w:val="none" w:sz="0" w:space="0" w:color="auto"/>
            <w:right w:val="none" w:sz="0" w:space="0" w:color="auto"/>
          </w:divBdr>
          <w:divsChild>
            <w:div w:id="12267152">
              <w:marLeft w:val="0"/>
              <w:marRight w:val="0"/>
              <w:marTop w:val="0"/>
              <w:marBottom w:val="0"/>
              <w:divBdr>
                <w:top w:val="none" w:sz="0" w:space="0" w:color="auto"/>
                <w:left w:val="none" w:sz="0" w:space="0" w:color="auto"/>
                <w:bottom w:val="none" w:sz="0" w:space="0" w:color="auto"/>
                <w:right w:val="none" w:sz="0" w:space="0" w:color="auto"/>
              </w:divBdr>
            </w:div>
            <w:div w:id="105470158">
              <w:marLeft w:val="0"/>
              <w:marRight w:val="0"/>
              <w:marTop w:val="0"/>
              <w:marBottom w:val="0"/>
              <w:divBdr>
                <w:top w:val="none" w:sz="0" w:space="0" w:color="auto"/>
                <w:left w:val="none" w:sz="0" w:space="0" w:color="auto"/>
                <w:bottom w:val="none" w:sz="0" w:space="0" w:color="auto"/>
                <w:right w:val="none" w:sz="0" w:space="0" w:color="auto"/>
              </w:divBdr>
            </w:div>
            <w:div w:id="149955087">
              <w:marLeft w:val="0"/>
              <w:marRight w:val="0"/>
              <w:marTop w:val="0"/>
              <w:marBottom w:val="0"/>
              <w:divBdr>
                <w:top w:val="none" w:sz="0" w:space="0" w:color="auto"/>
                <w:left w:val="none" w:sz="0" w:space="0" w:color="auto"/>
                <w:bottom w:val="none" w:sz="0" w:space="0" w:color="auto"/>
                <w:right w:val="none" w:sz="0" w:space="0" w:color="auto"/>
              </w:divBdr>
            </w:div>
            <w:div w:id="303462498">
              <w:marLeft w:val="0"/>
              <w:marRight w:val="0"/>
              <w:marTop w:val="0"/>
              <w:marBottom w:val="0"/>
              <w:divBdr>
                <w:top w:val="none" w:sz="0" w:space="0" w:color="auto"/>
                <w:left w:val="none" w:sz="0" w:space="0" w:color="auto"/>
                <w:bottom w:val="none" w:sz="0" w:space="0" w:color="auto"/>
                <w:right w:val="none" w:sz="0" w:space="0" w:color="auto"/>
              </w:divBdr>
            </w:div>
            <w:div w:id="498083520">
              <w:marLeft w:val="0"/>
              <w:marRight w:val="0"/>
              <w:marTop w:val="0"/>
              <w:marBottom w:val="0"/>
              <w:divBdr>
                <w:top w:val="none" w:sz="0" w:space="0" w:color="auto"/>
                <w:left w:val="none" w:sz="0" w:space="0" w:color="auto"/>
                <w:bottom w:val="none" w:sz="0" w:space="0" w:color="auto"/>
                <w:right w:val="none" w:sz="0" w:space="0" w:color="auto"/>
              </w:divBdr>
            </w:div>
            <w:div w:id="500045526">
              <w:marLeft w:val="0"/>
              <w:marRight w:val="0"/>
              <w:marTop w:val="0"/>
              <w:marBottom w:val="0"/>
              <w:divBdr>
                <w:top w:val="none" w:sz="0" w:space="0" w:color="auto"/>
                <w:left w:val="none" w:sz="0" w:space="0" w:color="auto"/>
                <w:bottom w:val="none" w:sz="0" w:space="0" w:color="auto"/>
                <w:right w:val="none" w:sz="0" w:space="0" w:color="auto"/>
              </w:divBdr>
            </w:div>
            <w:div w:id="532577580">
              <w:marLeft w:val="0"/>
              <w:marRight w:val="0"/>
              <w:marTop w:val="0"/>
              <w:marBottom w:val="0"/>
              <w:divBdr>
                <w:top w:val="none" w:sz="0" w:space="0" w:color="auto"/>
                <w:left w:val="none" w:sz="0" w:space="0" w:color="auto"/>
                <w:bottom w:val="none" w:sz="0" w:space="0" w:color="auto"/>
                <w:right w:val="none" w:sz="0" w:space="0" w:color="auto"/>
              </w:divBdr>
            </w:div>
            <w:div w:id="582183073">
              <w:marLeft w:val="0"/>
              <w:marRight w:val="0"/>
              <w:marTop w:val="0"/>
              <w:marBottom w:val="0"/>
              <w:divBdr>
                <w:top w:val="none" w:sz="0" w:space="0" w:color="auto"/>
                <w:left w:val="none" w:sz="0" w:space="0" w:color="auto"/>
                <w:bottom w:val="none" w:sz="0" w:space="0" w:color="auto"/>
                <w:right w:val="none" w:sz="0" w:space="0" w:color="auto"/>
              </w:divBdr>
            </w:div>
            <w:div w:id="633023936">
              <w:marLeft w:val="0"/>
              <w:marRight w:val="0"/>
              <w:marTop w:val="0"/>
              <w:marBottom w:val="0"/>
              <w:divBdr>
                <w:top w:val="none" w:sz="0" w:space="0" w:color="auto"/>
                <w:left w:val="none" w:sz="0" w:space="0" w:color="auto"/>
                <w:bottom w:val="none" w:sz="0" w:space="0" w:color="auto"/>
                <w:right w:val="none" w:sz="0" w:space="0" w:color="auto"/>
              </w:divBdr>
            </w:div>
            <w:div w:id="665744201">
              <w:marLeft w:val="0"/>
              <w:marRight w:val="0"/>
              <w:marTop w:val="0"/>
              <w:marBottom w:val="0"/>
              <w:divBdr>
                <w:top w:val="none" w:sz="0" w:space="0" w:color="auto"/>
                <w:left w:val="none" w:sz="0" w:space="0" w:color="auto"/>
                <w:bottom w:val="none" w:sz="0" w:space="0" w:color="auto"/>
                <w:right w:val="none" w:sz="0" w:space="0" w:color="auto"/>
              </w:divBdr>
            </w:div>
            <w:div w:id="778716825">
              <w:marLeft w:val="0"/>
              <w:marRight w:val="0"/>
              <w:marTop w:val="0"/>
              <w:marBottom w:val="0"/>
              <w:divBdr>
                <w:top w:val="none" w:sz="0" w:space="0" w:color="auto"/>
                <w:left w:val="none" w:sz="0" w:space="0" w:color="auto"/>
                <w:bottom w:val="none" w:sz="0" w:space="0" w:color="auto"/>
                <w:right w:val="none" w:sz="0" w:space="0" w:color="auto"/>
              </w:divBdr>
            </w:div>
            <w:div w:id="828714152">
              <w:marLeft w:val="0"/>
              <w:marRight w:val="0"/>
              <w:marTop w:val="0"/>
              <w:marBottom w:val="0"/>
              <w:divBdr>
                <w:top w:val="none" w:sz="0" w:space="0" w:color="auto"/>
                <w:left w:val="none" w:sz="0" w:space="0" w:color="auto"/>
                <w:bottom w:val="none" w:sz="0" w:space="0" w:color="auto"/>
                <w:right w:val="none" w:sz="0" w:space="0" w:color="auto"/>
              </w:divBdr>
            </w:div>
            <w:div w:id="990601991">
              <w:marLeft w:val="0"/>
              <w:marRight w:val="0"/>
              <w:marTop w:val="0"/>
              <w:marBottom w:val="0"/>
              <w:divBdr>
                <w:top w:val="none" w:sz="0" w:space="0" w:color="auto"/>
                <w:left w:val="none" w:sz="0" w:space="0" w:color="auto"/>
                <w:bottom w:val="none" w:sz="0" w:space="0" w:color="auto"/>
                <w:right w:val="none" w:sz="0" w:space="0" w:color="auto"/>
              </w:divBdr>
            </w:div>
            <w:div w:id="998075367">
              <w:marLeft w:val="0"/>
              <w:marRight w:val="0"/>
              <w:marTop w:val="0"/>
              <w:marBottom w:val="0"/>
              <w:divBdr>
                <w:top w:val="none" w:sz="0" w:space="0" w:color="auto"/>
                <w:left w:val="none" w:sz="0" w:space="0" w:color="auto"/>
                <w:bottom w:val="none" w:sz="0" w:space="0" w:color="auto"/>
                <w:right w:val="none" w:sz="0" w:space="0" w:color="auto"/>
              </w:divBdr>
            </w:div>
            <w:div w:id="1047990192">
              <w:marLeft w:val="0"/>
              <w:marRight w:val="0"/>
              <w:marTop w:val="0"/>
              <w:marBottom w:val="0"/>
              <w:divBdr>
                <w:top w:val="none" w:sz="0" w:space="0" w:color="auto"/>
                <w:left w:val="none" w:sz="0" w:space="0" w:color="auto"/>
                <w:bottom w:val="none" w:sz="0" w:space="0" w:color="auto"/>
                <w:right w:val="none" w:sz="0" w:space="0" w:color="auto"/>
              </w:divBdr>
            </w:div>
            <w:div w:id="1439524075">
              <w:marLeft w:val="0"/>
              <w:marRight w:val="0"/>
              <w:marTop w:val="0"/>
              <w:marBottom w:val="0"/>
              <w:divBdr>
                <w:top w:val="none" w:sz="0" w:space="0" w:color="auto"/>
                <w:left w:val="none" w:sz="0" w:space="0" w:color="auto"/>
                <w:bottom w:val="none" w:sz="0" w:space="0" w:color="auto"/>
                <w:right w:val="none" w:sz="0" w:space="0" w:color="auto"/>
              </w:divBdr>
            </w:div>
            <w:div w:id="1593707612">
              <w:marLeft w:val="0"/>
              <w:marRight w:val="0"/>
              <w:marTop w:val="0"/>
              <w:marBottom w:val="0"/>
              <w:divBdr>
                <w:top w:val="none" w:sz="0" w:space="0" w:color="auto"/>
                <w:left w:val="none" w:sz="0" w:space="0" w:color="auto"/>
                <w:bottom w:val="none" w:sz="0" w:space="0" w:color="auto"/>
                <w:right w:val="none" w:sz="0" w:space="0" w:color="auto"/>
              </w:divBdr>
            </w:div>
            <w:div w:id="1757556746">
              <w:marLeft w:val="0"/>
              <w:marRight w:val="0"/>
              <w:marTop w:val="0"/>
              <w:marBottom w:val="0"/>
              <w:divBdr>
                <w:top w:val="none" w:sz="0" w:space="0" w:color="auto"/>
                <w:left w:val="none" w:sz="0" w:space="0" w:color="auto"/>
                <w:bottom w:val="none" w:sz="0" w:space="0" w:color="auto"/>
                <w:right w:val="none" w:sz="0" w:space="0" w:color="auto"/>
              </w:divBdr>
            </w:div>
            <w:div w:id="1817068699">
              <w:marLeft w:val="0"/>
              <w:marRight w:val="0"/>
              <w:marTop w:val="0"/>
              <w:marBottom w:val="0"/>
              <w:divBdr>
                <w:top w:val="none" w:sz="0" w:space="0" w:color="auto"/>
                <w:left w:val="none" w:sz="0" w:space="0" w:color="auto"/>
                <w:bottom w:val="none" w:sz="0" w:space="0" w:color="auto"/>
                <w:right w:val="none" w:sz="0" w:space="0" w:color="auto"/>
              </w:divBdr>
            </w:div>
            <w:div w:id="2098089833">
              <w:marLeft w:val="0"/>
              <w:marRight w:val="0"/>
              <w:marTop w:val="0"/>
              <w:marBottom w:val="0"/>
              <w:divBdr>
                <w:top w:val="none" w:sz="0" w:space="0" w:color="auto"/>
                <w:left w:val="none" w:sz="0" w:space="0" w:color="auto"/>
                <w:bottom w:val="none" w:sz="0" w:space="0" w:color="auto"/>
                <w:right w:val="none" w:sz="0" w:space="0" w:color="auto"/>
              </w:divBdr>
            </w:div>
          </w:divsChild>
        </w:div>
        <w:div w:id="1804275483">
          <w:marLeft w:val="0"/>
          <w:marRight w:val="0"/>
          <w:marTop w:val="0"/>
          <w:marBottom w:val="0"/>
          <w:divBdr>
            <w:top w:val="none" w:sz="0" w:space="0" w:color="auto"/>
            <w:left w:val="none" w:sz="0" w:space="0" w:color="auto"/>
            <w:bottom w:val="none" w:sz="0" w:space="0" w:color="auto"/>
            <w:right w:val="none" w:sz="0" w:space="0" w:color="auto"/>
          </w:divBdr>
        </w:div>
        <w:div w:id="1813253546">
          <w:marLeft w:val="0"/>
          <w:marRight w:val="0"/>
          <w:marTop w:val="0"/>
          <w:marBottom w:val="0"/>
          <w:divBdr>
            <w:top w:val="none" w:sz="0" w:space="0" w:color="auto"/>
            <w:left w:val="none" w:sz="0" w:space="0" w:color="auto"/>
            <w:bottom w:val="none" w:sz="0" w:space="0" w:color="auto"/>
            <w:right w:val="none" w:sz="0" w:space="0" w:color="auto"/>
          </w:divBdr>
        </w:div>
        <w:div w:id="1969436705">
          <w:marLeft w:val="0"/>
          <w:marRight w:val="0"/>
          <w:marTop w:val="0"/>
          <w:marBottom w:val="0"/>
          <w:divBdr>
            <w:top w:val="none" w:sz="0" w:space="0" w:color="auto"/>
            <w:left w:val="none" w:sz="0" w:space="0" w:color="auto"/>
            <w:bottom w:val="none" w:sz="0" w:space="0" w:color="auto"/>
            <w:right w:val="none" w:sz="0" w:space="0" w:color="auto"/>
          </w:divBdr>
          <w:divsChild>
            <w:div w:id="2014146284">
              <w:marLeft w:val="-75"/>
              <w:marRight w:val="0"/>
              <w:marTop w:val="30"/>
              <w:marBottom w:val="30"/>
              <w:divBdr>
                <w:top w:val="none" w:sz="0" w:space="0" w:color="auto"/>
                <w:left w:val="none" w:sz="0" w:space="0" w:color="auto"/>
                <w:bottom w:val="none" w:sz="0" w:space="0" w:color="auto"/>
                <w:right w:val="none" w:sz="0" w:space="0" w:color="auto"/>
              </w:divBdr>
              <w:divsChild>
                <w:div w:id="145243893">
                  <w:marLeft w:val="0"/>
                  <w:marRight w:val="0"/>
                  <w:marTop w:val="0"/>
                  <w:marBottom w:val="0"/>
                  <w:divBdr>
                    <w:top w:val="none" w:sz="0" w:space="0" w:color="auto"/>
                    <w:left w:val="none" w:sz="0" w:space="0" w:color="auto"/>
                    <w:bottom w:val="none" w:sz="0" w:space="0" w:color="auto"/>
                    <w:right w:val="none" w:sz="0" w:space="0" w:color="auto"/>
                  </w:divBdr>
                  <w:divsChild>
                    <w:div w:id="512114774">
                      <w:marLeft w:val="0"/>
                      <w:marRight w:val="0"/>
                      <w:marTop w:val="0"/>
                      <w:marBottom w:val="0"/>
                      <w:divBdr>
                        <w:top w:val="none" w:sz="0" w:space="0" w:color="auto"/>
                        <w:left w:val="none" w:sz="0" w:space="0" w:color="auto"/>
                        <w:bottom w:val="none" w:sz="0" w:space="0" w:color="auto"/>
                        <w:right w:val="none" w:sz="0" w:space="0" w:color="auto"/>
                      </w:divBdr>
                    </w:div>
                    <w:div w:id="1008797009">
                      <w:marLeft w:val="0"/>
                      <w:marRight w:val="0"/>
                      <w:marTop w:val="0"/>
                      <w:marBottom w:val="0"/>
                      <w:divBdr>
                        <w:top w:val="none" w:sz="0" w:space="0" w:color="auto"/>
                        <w:left w:val="none" w:sz="0" w:space="0" w:color="auto"/>
                        <w:bottom w:val="none" w:sz="0" w:space="0" w:color="auto"/>
                        <w:right w:val="none" w:sz="0" w:space="0" w:color="auto"/>
                      </w:divBdr>
                    </w:div>
                  </w:divsChild>
                </w:div>
                <w:div w:id="179199870">
                  <w:marLeft w:val="0"/>
                  <w:marRight w:val="0"/>
                  <w:marTop w:val="0"/>
                  <w:marBottom w:val="0"/>
                  <w:divBdr>
                    <w:top w:val="none" w:sz="0" w:space="0" w:color="auto"/>
                    <w:left w:val="none" w:sz="0" w:space="0" w:color="auto"/>
                    <w:bottom w:val="none" w:sz="0" w:space="0" w:color="auto"/>
                    <w:right w:val="none" w:sz="0" w:space="0" w:color="auto"/>
                  </w:divBdr>
                  <w:divsChild>
                    <w:div w:id="1658412254">
                      <w:marLeft w:val="0"/>
                      <w:marRight w:val="0"/>
                      <w:marTop w:val="0"/>
                      <w:marBottom w:val="0"/>
                      <w:divBdr>
                        <w:top w:val="none" w:sz="0" w:space="0" w:color="auto"/>
                        <w:left w:val="none" w:sz="0" w:space="0" w:color="auto"/>
                        <w:bottom w:val="none" w:sz="0" w:space="0" w:color="auto"/>
                        <w:right w:val="none" w:sz="0" w:space="0" w:color="auto"/>
                      </w:divBdr>
                    </w:div>
                    <w:div w:id="1664972305">
                      <w:marLeft w:val="0"/>
                      <w:marRight w:val="0"/>
                      <w:marTop w:val="0"/>
                      <w:marBottom w:val="0"/>
                      <w:divBdr>
                        <w:top w:val="none" w:sz="0" w:space="0" w:color="auto"/>
                        <w:left w:val="none" w:sz="0" w:space="0" w:color="auto"/>
                        <w:bottom w:val="none" w:sz="0" w:space="0" w:color="auto"/>
                        <w:right w:val="none" w:sz="0" w:space="0" w:color="auto"/>
                      </w:divBdr>
                    </w:div>
                  </w:divsChild>
                </w:div>
                <w:div w:id="571038333">
                  <w:marLeft w:val="0"/>
                  <w:marRight w:val="0"/>
                  <w:marTop w:val="0"/>
                  <w:marBottom w:val="0"/>
                  <w:divBdr>
                    <w:top w:val="none" w:sz="0" w:space="0" w:color="auto"/>
                    <w:left w:val="none" w:sz="0" w:space="0" w:color="auto"/>
                    <w:bottom w:val="none" w:sz="0" w:space="0" w:color="auto"/>
                    <w:right w:val="none" w:sz="0" w:space="0" w:color="auto"/>
                  </w:divBdr>
                  <w:divsChild>
                    <w:div w:id="258149878">
                      <w:marLeft w:val="0"/>
                      <w:marRight w:val="0"/>
                      <w:marTop w:val="0"/>
                      <w:marBottom w:val="0"/>
                      <w:divBdr>
                        <w:top w:val="none" w:sz="0" w:space="0" w:color="auto"/>
                        <w:left w:val="none" w:sz="0" w:space="0" w:color="auto"/>
                        <w:bottom w:val="none" w:sz="0" w:space="0" w:color="auto"/>
                        <w:right w:val="none" w:sz="0" w:space="0" w:color="auto"/>
                      </w:divBdr>
                    </w:div>
                    <w:div w:id="279189888">
                      <w:marLeft w:val="0"/>
                      <w:marRight w:val="0"/>
                      <w:marTop w:val="0"/>
                      <w:marBottom w:val="0"/>
                      <w:divBdr>
                        <w:top w:val="none" w:sz="0" w:space="0" w:color="auto"/>
                        <w:left w:val="none" w:sz="0" w:space="0" w:color="auto"/>
                        <w:bottom w:val="none" w:sz="0" w:space="0" w:color="auto"/>
                        <w:right w:val="none" w:sz="0" w:space="0" w:color="auto"/>
                      </w:divBdr>
                    </w:div>
                    <w:div w:id="1662854527">
                      <w:marLeft w:val="0"/>
                      <w:marRight w:val="0"/>
                      <w:marTop w:val="0"/>
                      <w:marBottom w:val="0"/>
                      <w:divBdr>
                        <w:top w:val="none" w:sz="0" w:space="0" w:color="auto"/>
                        <w:left w:val="none" w:sz="0" w:space="0" w:color="auto"/>
                        <w:bottom w:val="none" w:sz="0" w:space="0" w:color="auto"/>
                        <w:right w:val="none" w:sz="0" w:space="0" w:color="auto"/>
                      </w:divBdr>
                    </w:div>
                  </w:divsChild>
                </w:div>
                <w:div w:id="699400662">
                  <w:marLeft w:val="0"/>
                  <w:marRight w:val="0"/>
                  <w:marTop w:val="0"/>
                  <w:marBottom w:val="0"/>
                  <w:divBdr>
                    <w:top w:val="none" w:sz="0" w:space="0" w:color="auto"/>
                    <w:left w:val="none" w:sz="0" w:space="0" w:color="auto"/>
                    <w:bottom w:val="none" w:sz="0" w:space="0" w:color="auto"/>
                    <w:right w:val="none" w:sz="0" w:space="0" w:color="auto"/>
                  </w:divBdr>
                  <w:divsChild>
                    <w:div w:id="1848592900">
                      <w:marLeft w:val="0"/>
                      <w:marRight w:val="0"/>
                      <w:marTop w:val="0"/>
                      <w:marBottom w:val="0"/>
                      <w:divBdr>
                        <w:top w:val="none" w:sz="0" w:space="0" w:color="auto"/>
                        <w:left w:val="none" w:sz="0" w:space="0" w:color="auto"/>
                        <w:bottom w:val="none" w:sz="0" w:space="0" w:color="auto"/>
                        <w:right w:val="none" w:sz="0" w:space="0" w:color="auto"/>
                      </w:divBdr>
                    </w:div>
                  </w:divsChild>
                </w:div>
                <w:div w:id="893124709">
                  <w:marLeft w:val="0"/>
                  <w:marRight w:val="0"/>
                  <w:marTop w:val="0"/>
                  <w:marBottom w:val="0"/>
                  <w:divBdr>
                    <w:top w:val="none" w:sz="0" w:space="0" w:color="auto"/>
                    <w:left w:val="none" w:sz="0" w:space="0" w:color="auto"/>
                    <w:bottom w:val="none" w:sz="0" w:space="0" w:color="auto"/>
                    <w:right w:val="none" w:sz="0" w:space="0" w:color="auto"/>
                  </w:divBdr>
                  <w:divsChild>
                    <w:div w:id="405733837">
                      <w:marLeft w:val="0"/>
                      <w:marRight w:val="0"/>
                      <w:marTop w:val="0"/>
                      <w:marBottom w:val="0"/>
                      <w:divBdr>
                        <w:top w:val="none" w:sz="0" w:space="0" w:color="auto"/>
                        <w:left w:val="none" w:sz="0" w:space="0" w:color="auto"/>
                        <w:bottom w:val="none" w:sz="0" w:space="0" w:color="auto"/>
                        <w:right w:val="none" w:sz="0" w:space="0" w:color="auto"/>
                      </w:divBdr>
                    </w:div>
                    <w:div w:id="815076038">
                      <w:marLeft w:val="0"/>
                      <w:marRight w:val="0"/>
                      <w:marTop w:val="0"/>
                      <w:marBottom w:val="0"/>
                      <w:divBdr>
                        <w:top w:val="none" w:sz="0" w:space="0" w:color="auto"/>
                        <w:left w:val="none" w:sz="0" w:space="0" w:color="auto"/>
                        <w:bottom w:val="none" w:sz="0" w:space="0" w:color="auto"/>
                        <w:right w:val="none" w:sz="0" w:space="0" w:color="auto"/>
                      </w:divBdr>
                    </w:div>
                  </w:divsChild>
                </w:div>
                <w:div w:id="1550992576">
                  <w:marLeft w:val="0"/>
                  <w:marRight w:val="0"/>
                  <w:marTop w:val="0"/>
                  <w:marBottom w:val="0"/>
                  <w:divBdr>
                    <w:top w:val="none" w:sz="0" w:space="0" w:color="auto"/>
                    <w:left w:val="none" w:sz="0" w:space="0" w:color="auto"/>
                    <w:bottom w:val="none" w:sz="0" w:space="0" w:color="auto"/>
                    <w:right w:val="none" w:sz="0" w:space="0" w:color="auto"/>
                  </w:divBdr>
                  <w:divsChild>
                    <w:div w:id="2066878267">
                      <w:marLeft w:val="0"/>
                      <w:marRight w:val="0"/>
                      <w:marTop w:val="0"/>
                      <w:marBottom w:val="0"/>
                      <w:divBdr>
                        <w:top w:val="none" w:sz="0" w:space="0" w:color="auto"/>
                        <w:left w:val="none" w:sz="0" w:space="0" w:color="auto"/>
                        <w:bottom w:val="none" w:sz="0" w:space="0" w:color="auto"/>
                        <w:right w:val="none" w:sz="0" w:space="0" w:color="auto"/>
                      </w:divBdr>
                    </w:div>
                    <w:div w:id="2136026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458673">
          <w:marLeft w:val="0"/>
          <w:marRight w:val="0"/>
          <w:marTop w:val="0"/>
          <w:marBottom w:val="0"/>
          <w:divBdr>
            <w:top w:val="none" w:sz="0" w:space="0" w:color="auto"/>
            <w:left w:val="none" w:sz="0" w:space="0" w:color="auto"/>
            <w:bottom w:val="none" w:sz="0" w:space="0" w:color="auto"/>
            <w:right w:val="none" w:sz="0" w:space="0" w:color="auto"/>
          </w:divBdr>
        </w:div>
        <w:div w:id="1987121677">
          <w:marLeft w:val="0"/>
          <w:marRight w:val="0"/>
          <w:marTop w:val="0"/>
          <w:marBottom w:val="0"/>
          <w:divBdr>
            <w:top w:val="none" w:sz="0" w:space="0" w:color="auto"/>
            <w:left w:val="none" w:sz="0" w:space="0" w:color="auto"/>
            <w:bottom w:val="none" w:sz="0" w:space="0" w:color="auto"/>
            <w:right w:val="none" w:sz="0" w:space="0" w:color="auto"/>
          </w:divBdr>
        </w:div>
        <w:div w:id="2041737184">
          <w:marLeft w:val="0"/>
          <w:marRight w:val="0"/>
          <w:marTop w:val="0"/>
          <w:marBottom w:val="0"/>
          <w:divBdr>
            <w:top w:val="none" w:sz="0" w:space="0" w:color="auto"/>
            <w:left w:val="none" w:sz="0" w:space="0" w:color="auto"/>
            <w:bottom w:val="none" w:sz="0" w:space="0" w:color="auto"/>
            <w:right w:val="none" w:sz="0" w:space="0" w:color="auto"/>
          </w:divBdr>
        </w:div>
        <w:div w:id="2104912812">
          <w:marLeft w:val="0"/>
          <w:marRight w:val="0"/>
          <w:marTop w:val="0"/>
          <w:marBottom w:val="0"/>
          <w:divBdr>
            <w:top w:val="none" w:sz="0" w:space="0" w:color="auto"/>
            <w:left w:val="none" w:sz="0" w:space="0" w:color="auto"/>
            <w:bottom w:val="none" w:sz="0" w:space="0" w:color="auto"/>
            <w:right w:val="none" w:sz="0" w:space="0" w:color="auto"/>
          </w:divBdr>
        </w:div>
        <w:div w:id="2122650588">
          <w:marLeft w:val="0"/>
          <w:marRight w:val="0"/>
          <w:marTop w:val="0"/>
          <w:marBottom w:val="0"/>
          <w:divBdr>
            <w:top w:val="none" w:sz="0" w:space="0" w:color="auto"/>
            <w:left w:val="none" w:sz="0" w:space="0" w:color="auto"/>
            <w:bottom w:val="none" w:sz="0" w:space="0" w:color="auto"/>
            <w:right w:val="none" w:sz="0" w:space="0" w:color="auto"/>
          </w:divBdr>
        </w:div>
        <w:div w:id="2130393499">
          <w:marLeft w:val="0"/>
          <w:marRight w:val="0"/>
          <w:marTop w:val="0"/>
          <w:marBottom w:val="0"/>
          <w:divBdr>
            <w:top w:val="none" w:sz="0" w:space="0" w:color="auto"/>
            <w:left w:val="none" w:sz="0" w:space="0" w:color="auto"/>
            <w:bottom w:val="none" w:sz="0" w:space="0" w:color="auto"/>
            <w:right w:val="none" w:sz="0" w:space="0" w:color="auto"/>
          </w:divBdr>
        </w:div>
      </w:divsChild>
    </w:div>
    <w:div w:id="1982148510">
      <w:bodyDiv w:val="1"/>
      <w:marLeft w:val="0"/>
      <w:marRight w:val="0"/>
      <w:marTop w:val="0"/>
      <w:marBottom w:val="0"/>
      <w:divBdr>
        <w:top w:val="none" w:sz="0" w:space="0" w:color="auto"/>
        <w:left w:val="none" w:sz="0" w:space="0" w:color="auto"/>
        <w:bottom w:val="none" w:sz="0" w:space="0" w:color="auto"/>
        <w:right w:val="none" w:sz="0" w:space="0" w:color="auto"/>
      </w:divBdr>
    </w:div>
    <w:div w:id="1998145610">
      <w:bodyDiv w:val="1"/>
      <w:marLeft w:val="0"/>
      <w:marRight w:val="0"/>
      <w:marTop w:val="0"/>
      <w:marBottom w:val="0"/>
      <w:divBdr>
        <w:top w:val="none" w:sz="0" w:space="0" w:color="auto"/>
        <w:left w:val="none" w:sz="0" w:space="0" w:color="auto"/>
        <w:bottom w:val="none" w:sz="0" w:space="0" w:color="auto"/>
        <w:right w:val="none" w:sz="0" w:space="0" w:color="auto"/>
      </w:divBdr>
    </w:div>
    <w:div w:id="2001732755">
      <w:bodyDiv w:val="1"/>
      <w:marLeft w:val="0"/>
      <w:marRight w:val="0"/>
      <w:marTop w:val="0"/>
      <w:marBottom w:val="0"/>
      <w:divBdr>
        <w:top w:val="none" w:sz="0" w:space="0" w:color="auto"/>
        <w:left w:val="none" w:sz="0" w:space="0" w:color="auto"/>
        <w:bottom w:val="none" w:sz="0" w:space="0" w:color="auto"/>
        <w:right w:val="none" w:sz="0" w:space="0" w:color="auto"/>
      </w:divBdr>
    </w:div>
    <w:div w:id="2002466545">
      <w:bodyDiv w:val="1"/>
      <w:marLeft w:val="0"/>
      <w:marRight w:val="0"/>
      <w:marTop w:val="0"/>
      <w:marBottom w:val="0"/>
      <w:divBdr>
        <w:top w:val="none" w:sz="0" w:space="0" w:color="auto"/>
        <w:left w:val="none" w:sz="0" w:space="0" w:color="auto"/>
        <w:bottom w:val="none" w:sz="0" w:space="0" w:color="auto"/>
        <w:right w:val="none" w:sz="0" w:space="0" w:color="auto"/>
      </w:divBdr>
    </w:div>
    <w:div w:id="2002846907">
      <w:bodyDiv w:val="1"/>
      <w:marLeft w:val="0"/>
      <w:marRight w:val="0"/>
      <w:marTop w:val="0"/>
      <w:marBottom w:val="0"/>
      <w:divBdr>
        <w:top w:val="none" w:sz="0" w:space="0" w:color="auto"/>
        <w:left w:val="none" w:sz="0" w:space="0" w:color="auto"/>
        <w:bottom w:val="none" w:sz="0" w:space="0" w:color="auto"/>
        <w:right w:val="none" w:sz="0" w:space="0" w:color="auto"/>
      </w:divBdr>
    </w:div>
    <w:div w:id="2004703705">
      <w:bodyDiv w:val="1"/>
      <w:marLeft w:val="0"/>
      <w:marRight w:val="0"/>
      <w:marTop w:val="0"/>
      <w:marBottom w:val="0"/>
      <w:divBdr>
        <w:top w:val="none" w:sz="0" w:space="0" w:color="auto"/>
        <w:left w:val="none" w:sz="0" w:space="0" w:color="auto"/>
        <w:bottom w:val="none" w:sz="0" w:space="0" w:color="auto"/>
        <w:right w:val="none" w:sz="0" w:space="0" w:color="auto"/>
      </w:divBdr>
    </w:div>
    <w:div w:id="2010595919">
      <w:bodyDiv w:val="1"/>
      <w:marLeft w:val="0"/>
      <w:marRight w:val="0"/>
      <w:marTop w:val="0"/>
      <w:marBottom w:val="0"/>
      <w:divBdr>
        <w:top w:val="none" w:sz="0" w:space="0" w:color="auto"/>
        <w:left w:val="none" w:sz="0" w:space="0" w:color="auto"/>
        <w:bottom w:val="none" w:sz="0" w:space="0" w:color="auto"/>
        <w:right w:val="none" w:sz="0" w:space="0" w:color="auto"/>
      </w:divBdr>
    </w:div>
    <w:div w:id="2018921405">
      <w:bodyDiv w:val="1"/>
      <w:marLeft w:val="0"/>
      <w:marRight w:val="0"/>
      <w:marTop w:val="0"/>
      <w:marBottom w:val="0"/>
      <w:divBdr>
        <w:top w:val="none" w:sz="0" w:space="0" w:color="auto"/>
        <w:left w:val="none" w:sz="0" w:space="0" w:color="auto"/>
        <w:bottom w:val="none" w:sz="0" w:space="0" w:color="auto"/>
        <w:right w:val="none" w:sz="0" w:space="0" w:color="auto"/>
      </w:divBdr>
    </w:div>
    <w:div w:id="2023242136">
      <w:bodyDiv w:val="1"/>
      <w:marLeft w:val="0"/>
      <w:marRight w:val="0"/>
      <w:marTop w:val="0"/>
      <w:marBottom w:val="0"/>
      <w:divBdr>
        <w:top w:val="none" w:sz="0" w:space="0" w:color="auto"/>
        <w:left w:val="none" w:sz="0" w:space="0" w:color="auto"/>
        <w:bottom w:val="none" w:sz="0" w:space="0" w:color="auto"/>
        <w:right w:val="none" w:sz="0" w:space="0" w:color="auto"/>
      </w:divBdr>
    </w:div>
    <w:div w:id="2023895350">
      <w:bodyDiv w:val="1"/>
      <w:marLeft w:val="0"/>
      <w:marRight w:val="0"/>
      <w:marTop w:val="0"/>
      <w:marBottom w:val="0"/>
      <w:divBdr>
        <w:top w:val="none" w:sz="0" w:space="0" w:color="auto"/>
        <w:left w:val="none" w:sz="0" w:space="0" w:color="auto"/>
        <w:bottom w:val="none" w:sz="0" w:space="0" w:color="auto"/>
        <w:right w:val="none" w:sz="0" w:space="0" w:color="auto"/>
      </w:divBdr>
    </w:div>
    <w:div w:id="2036228952">
      <w:bodyDiv w:val="1"/>
      <w:marLeft w:val="0"/>
      <w:marRight w:val="0"/>
      <w:marTop w:val="0"/>
      <w:marBottom w:val="0"/>
      <w:divBdr>
        <w:top w:val="none" w:sz="0" w:space="0" w:color="auto"/>
        <w:left w:val="none" w:sz="0" w:space="0" w:color="auto"/>
        <w:bottom w:val="none" w:sz="0" w:space="0" w:color="auto"/>
        <w:right w:val="none" w:sz="0" w:space="0" w:color="auto"/>
      </w:divBdr>
    </w:div>
    <w:div w:id="2040663425">
      <w:bodyDiv w:val="1"/>
      <w:marLeft w:val="0"/>
      <w:marRight w:val="0"/>
      <w:marTop w:val="0"/>
      <w:marBottom w:val="0"/>
      <w:divBdr>
        <w:top w:val="none" w:sz="0" w:space="0" w:color="auto"/>
        <w:left w:val="none" w:sz="0" w:space="0" w:color="auto"/>
        <w:bottom w:val="none" w:sz="0" w:space="0" w:color="auto"/>
        <w:right w:val="none" w:sz="0" w:space="0" w:color="auto"/>
      </w:divBdr>
    </w:div>
    <w:div w:id="2041122552">
      <w:bodyDiv w:val="1"/>
      <w:marLeft w:val="0"/>
      <w:marRight w:val="0"/>
      <w:marTop w:val="0"/>
      <w:marBottom w:val="0"/>
      <w:divBdr>
        <w:top w:val="none" w:sz="0" w:space="0" w:color="auto"/>
        <w:left w:val="none" w:sz="0" w:space="0" w:color="auto"/>
        <w:bottom w:val="none" w:sz="0" w:space="0" w:color="auto"/>
        <w:right w:val="none" w:sz="0" w:space="0" w:color="auto"/>
      </w:divBdr>
      <w:divsChild>
        <w:div w:id="1259827905">
          <w:marLeft w:val="0"/>
          <w:marRight w:val="0"/>
          <w:marTop w:val="0"/>
          <w:marBottom w:val="0"/>
          <w:divBdr>
            <w:top w:val="none" w:sz="0" w:space="0" w:color="auto"/>
            <w:left w:val="none" w:sz="0" w:space="0" w:color="auto"/>
            <w:bottom w:val="none" w:sz="0" w:space="0" w:color="auto"/>
            <w:right w:val="none" w:sz="0" w:space="0" w:color="auto"/>
          </w:divBdr>
        </w:div>
      </w:divsChild>
    </w:div>
    <w:div w:id="2065257058">
      <w:bodyDiv w:val="1"/>
      <w:marLeft w:val="0"/>
      <w:marRight w:val="0"/>
      <w:marTop w:val="0"/>
      <w:marBottom w:val="0"/>
      <w:divBdr>
        <w:top w:val="none" w:sz="0" w:space="0" w:color="auto"/>
        <w:left w:val="none" w:sz="0" w:space="0" w:color="auto"/>
        <w:bottom w:val="none" w:sz="0" w:space="0" w:color="auto"/>
        <w:right w:val="none" w:sz="0" w:space="0" w:color="auto"/>
      </w:divBdr>
    </w:div>
    <w:div w:id="2073887866">
      <w:bodyDiv w:val="1"/>
      <w:marLeft w:val="0"/>
      <w:marRight w:val="0"/>
      <w:marTop w:val="0"/>
      <w:marBottom w:val="0"/>
      <w:divBdr>
        <w:top w:val="none" w:sz="0" w:space="0" w:color="auto"/>
        <w:left w:val="none" w:sz="0" w:space="0" w:color="auto"/>
        <w:bottom w:val="none" w:sz="0" w:space="0" w:color="auto"/>
        <w:right w:val="none" w:sz="0" w:space="0" w:color="auto"/>
      </w:divBdr>
    </w:div>
    <w:div w:id="2080321964">
      <w:bodyDiv w:val="1"/>
      <w:marLeft w:val="0"/>
      <w:marRight w:val="0"/>
      <w:marTop w:val="0"/>
      <w:marBottom w:val="0"/>
      <w:divBdr>
        <w:top w:val="none" w:sz="0" w:space="0" w:color="auto"/>
        <w:left w:val="none" w:sz="0" w:space="0" w:color="auto"/>
        <w:bottom w:val="none" w:sz="0" w:space="0" w:color="auto"/>
        <w:right w:val="none" w:sz="0" w:space="0" w:color="auto"/>
      </w:divBdr>
    </w:div>
    <w:div w:id="2082406771">
      <w:bodyDiv w:val="1"/>
      <w:marLeft w:val="0"/>
      <w:marRight w:val="0"/>
      <w:marTop w:val="0"/>
      <w:marBottom w:val="0"/>
      <w:divBdr>
        <w:top w:val="none" w:sz="0" w:space="0" w:color="auto"/>
        <w:left w:val="none" w:sz="0" w:space="0" w:color="auto"/>
        <w:bottom w:val="none" w:sz="0" w:space="0" w:color="auto"/>
        <w:right w:val="none" w:sz="0" w:space="0" w:color="auto"/>
      </w:divBdr>
    </w:div>
    <w:div w:id="2087874280">
      <w:bodyDiv w:val="1"/>
      <w:marLeft w:val="0"/>
      <w:marRight w:val="0"/>
      <w:marTop w:val="0"/>
      <w:marBottom w:val="0"/>
      <w:divBdr>
        <w:top w:val="none" w:sz="0" w:space="0" w:color="auto"/>
        <w:left w:val="none" w:sz="0" w:space="0" w:color="auto"/>
        <w:bottom w:val="none" w:sz="0" w:space="0" w:color="auto"/>
        <w:right w:val="none" w:sz="0" w:space="0" w:color="auto"/>
      </w:divBdr>
    </w:div>
    <w:div w:id="2089038953">
      <w:bodyDiv w:val="1"/>
      <w:marLeft w:val="0"/>
      <w:marRight w:val="0"/>
      <w:marTop w:val="0"/>
      <w:marBottom w:val="0"/>
      <w:divBdr>
        <w:top w:val="none" w:sz="0" w:space="0" w:color="auto"/>
        <w:left w:val="none" w:sz="0" w:space="0" w:color="auto"/>
        <w:bottom w:val="none" w:sz="0" w:space="0" w:color="auto"/>
        <w:right w:val="none" w:sz="0" w:space="0" w:color="auto"/>
      </w:divBdr>
    </w:div>
    <w:div w:id="2093624055">
      <w:bodyDiv w:val="1"/>
      <w:marLeft w:val="0"/>
      <w:marRight w:val="0"/>
      <w:marTop w:val="0"/>
      <w:marBottom w:val="0"/>
      <w:divBdr>
        <w:top w:val="none" w:sz="0" w:space="0" w:color="auto"/>
        <w:left w:val="none" w:sz="0" w:space="0" w:color="auto"/>
        <w:bottom w:val="none" w:sz="0" w:space="0" w:color="auto"/>
        <w:right w:val="none" w:sz="0" w:space="0" w:color="auto"/>
      </w:divBdr>
    </w:div>
    <w:div w:id="2114587708">
      <w:bodyDiv w:val="1"/>
      <w:marLeft w:val="0"/>
      <w:marRight w:val="0"/>
      <w:marTop w:val="0"/>
      <w:marBottom w:val="0"/>
      <w:divBdr>
        <w:top w:val="none" w:sz="0" w:space="0" w:color="auto"/>
        <w:left w:val="none" w:sz="0" w:space="0" w:color="auto"/>
        <w:bottom w:val="none" w:sz="0" w:space="0" w:color="auto"/>
        <w:right w:val="none" w:sz="0" w:space="0" w:color="auto"/>
      </w:divBdr>
    </w:div>
    <w:div w:id="2120251650">
      <w:bodyDiv w:val="1"/>
      <w:marLeft w:val="0"/>
      <w:marRight w:val="0"/>
      <w:marTop w:val="0"/>
      <w:marBottom w:val="0"/>
      <w:divBdr>
        <w:top w:val="none" w:sz="0" w:space="0" w:color="auto"/>
        <w:left w:val="none" w:sz="0" w:space="0" w:color="auto"/>
        <w:bottom w:val="none" w:sz="0" w:space="0" w:color="auto"/>
        <w:right w:val="none" w:sz="0" w:space="0" w:color="auto"/>
      </w:divBdr>
    </w:div>
    <w:div w:id="2130001778">
      <w:bodyDiv w:val="1"/>
      <w:marLeft w:val="0"/>
      <w:marRight w:val="0"/>
      <w:marTop w:val="0"/>
      <w:marBottom w:val="0"/>
      <w:divBdr>
        <w:top w:val="none" w:sz="0" w:space="0" w:color="auto"/>
        <w:left w:val="none" w:sz="0" w:space="0" w:color="auto"/>
        <w:bottom w:val="none" w:sz="0" w:space="0" w:color="auto"/>
        <w:right w:val="none" w:sz="0" w:space="0" w:color="auto"/>
      </w:divBdr>
    </w:div>
    <w:div w:id="2133939999">
      <w:bodyDiv w:val="1"/>
      <w:marLeft w:val="0"/>
      <w:marRight w:val="0"/>
      <w:marTop w:val="0"/>
      <w:marBottom w:val="0"/>
      <w:divBdr>
        <w:top w:val="none" w:sz="0" w:space="0" w:color="auto"/>
        <w:left w:val="none" w:sz="0" w:space="0" w:color="auto"/>
        <w:bottom w:val="none" w:sz="0" w:space="0" w:color="auto"/>
        <w:right w:val="none" w:sz="0" w:space="0" w:color="auto"/>
      </w:divBdr>
    </w:div>
    <w:div w:id="2140604019">
      <w:bodyDiv w:val="1"/>
      <w:marLeft w:val="0"/>
      <w:marRight w:val="0"/>
      <w:marTop w:val="0"/>
      <w:marBottom w:val="0"/>
      <w:divBdr>
        <w:top w:val="none" w:sz="0" w:space="0" w:color="auto"/>
        <w:left w:val="none" w:sz="0" w:space="0" w:color="auto"/>
        <w:bottom w:val="none" w:sz="0" w:space="0" w:color="auto"/>
        <w:right w:val="none" w:sz="0" w:space="0" w:color="auto"/>
      </w:divBdr>
    </w:div>
    <w:div w:id="2143110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eader" Target="header9.xml"/><Relationship Id="rId21" Type="http://schemas.openxmlformats.org/officeDocument/2006/relationships/header" Target="header6.xml"/><Relationship Id="rId42" Type="http://schemas.openxmlformats.org/officeDocument/2006/relationships/header" Target="header24.xml"/><Relationship Id="rId47" Type="http://schemas.openxmlformats.org/officeDocument/2006/relationships/header" Target="header29.xml"/><Relationship Id="rId63" Type="http://schemas.openxmlformats.org/officeDocument/2006/relationships/header" Target="header45.xml"/><Relationship Id="rId68" Type="http://schemas.openxmlformats.org/officeDocument/2006/relationships/header" Target="header49.xml"/><Relationship Id="rId84" Type="http://schemas.openxmlformats.org/officeDocument/2006/relationships/header" Target="header65.xml"/><Relationship Id="rId89" Type="http://schemas.openxmlformats.org/officeDocument/2006/relationships/header" Target="header70.xml"/><Relationship Id="rId16" Type="http://schemas.openxmlformats.org/officeDocument/2006/relationships/header" Target="header3.xml"/><Relationship Id="rId107" Type="http://schemas.openxmlformats.org/officeDocument/2006/relationships/header" Target="header83.xml"/><Relationship Id="rId11" Type="http://schemas.openxmlformats.org/officeDocument/2006/relationships/endnotes" Target="endnotes.xml"/><Relationship Id="rId32" Type="http://schemas.openxmlformats.org/officeDocument/2006/relationships/header" Target="header14.xml"/><Relationship Id="rId37" Type="http://schemas.openxmlformats.org/officeDocument/2006/relationships/header" Target="header19.xml"/><Relationship Id="rId53" Type="http://schemas.openxmlformats.org/officeDocument/2006/relationships/header" Target="header35.xml"/><Relationship Id="rId58" Type="http://schemas.openxmlformats.org/officeDocument/2006/relationships/header" Target="header40.xml"/><Relationship Id="rId74" Type="http://schemas.openxmlformats.org/officeDocument/2006/relationships/header" Target="header55.xml"/><Relationship Id="rId79" Type="http://schemas.openxmlformats.org/officeDocument/2006/relationships/header" Target="header60.xml"/><Relationship Id="rId102" Type="http://schemas.openxmlformats.org/officeDocument/2006/relationships/image" Target="media/image5.jpeg"/><Relationship Id="rId5" Type="http://schemas.openxmlformats.org/officeDocument/2006/relationships/customXml" Target="../customXml/item5.xml"/><Relationship Id="rId90" Type="http://schemas.openxmlformats.org/officeDocument/2006/relationships/header" Target="header71.xml"/><Relationship Id="rId95" Type="http://schemas.openxmlformats.org/officeDocument/2006/relationships/header" Target="header76.xml"/><Relationship Id="rId22" Type="http://schemas.openxmlformats.org/officeDocument/2006/relationships/image" Target="media/image1.png"/><Relationship Id="rId27" Type="http://schemas.openxmlformats.org/officeDocument/2006/relationships/image" Target="media/image2.jpeg"/><Relationship Id="rId43" Type="http://schemas.openxmlformats.org/officeDocument/2006/relationships/header" Target="header25.xml"/><Relationship Id="rId48" Type="http://schemas.openxmlformats.org/officeDocument/2006/relationships/header" Target="header30.xml"/><Relationship Id="rId64" Type="http://schemas.openxmlformats.org/officeDocument/2006/relationships/header" Target="header46.xml"/><Relationship Id="rId69" Type="http://schemas.openxmlformats.org/officeDocument/2006/relationships/header" Target="header50.xml"/><Relationship Id="rId80" Type="http://schemas.openxmlformats.org/officeDocument/2006/relationships/header" Target="header61.xml"/><Relationship Id="rId85" Type="http://schemas.openxmlformats.org/officeDocument/2006/relationships/header" Target="header66.xm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eader" Target="header15.xml"/><Relationship Id="rId38" Type="http://schemas.openxmlformats.org/officeDocument/2006/relationships/header" Target="header20.xml"/><Relationship Id="rId59" Type="http://schemas.openxmlformats.org/officeDocument/2006/relationships/header" Target="header41.xml"/><Relationship Id="rId103" Type="http://schemas.openxmlformats.org/officeDocument/2006/relationships/image" Target="media/image6.png"/><Relationship Id="rId108" Type="http://schemas.openxmlformats.org/officeDocument/2006/relationships/header" Target="header84.xml"/><Relationship Id="rId54" Type="http://schemas.openxmlformats.org/officeDocument/2006/relationships/header" Target="header36.xml"/><Relationship Id="rId70" Type="http://schemas.openxmlformats.org/officeDocument/2006/relationships/header" Target="header51.xml"/><Relationship Id="rId75" Type="http://schemas.openxmlformats.org/officeDocument/2006/relationships/header" Target="header56.xml"/><Relationship Id="rId91" Type="http://schemas.openxmlformats.org/officeDocument/2006/relationships/header" Target="header72.xml"/><Relationship Id="rId96" Type="http://schemas.openxmlformats.org/officeDocument/2006/relationships/header" Target="header77.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eader" Target="header7.xml"/><Relationship Id="rId28" Type="http://schemas.openxmlformats.org/officeDocument/2006/relationships/header" Target="header10.xml"/><Relationship Id="rId36" Type="http://schemas.openxmlformats.org/officeDocument/2006/relationships/header" Target="header18.xml"/><Relationship Id="rId49" Type="http://schemas.openxmlformats.org/officeDocument/2006/relationships/header" Target="header31.xml"/><Relationship Id="rId57" Type="http://schemas.openxmlformats.org/officeDocument/2006/relationships/header" Target="header39.xml"/><Relationship Id="rId106" Type="http://schemas.openxmlformats.org/officeDocument/2006/relationships/header" Target="header82.xml"/><Relationship Id="rId10" Type="http://schemas.openxmlformats.org/officeDocument/2006/relationships/footnotes" Target="footnotes.xml"/><Relationship Id="rId31" Type="http://schemas.openxmlformats.org/officeDocument/2006/relationships/header" Target="header13.xml"/><Relationship Id="rId44" Type="http://schemas.openxmlformats.org/officeDocument/2006/relationships/header" Target="header26.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7.xml"/><Relationship Id="rId73" Type="http://schemas.openxmlformats.org/officeDocument/2006/relationships/header" Target="header54.xml"/><Relationship Id="rId78" Type="http://schemas.openxmlformats.org/officeDocument/2006/relationships/header" Target="header59.xml"/><Relationship Id="rId81" Type="http://schemas.openxmlformats.org/officeDocument/2006/relationships/header" Target="header62.xml"/><Relationship Id="rId86" Type="http://schemas.openxmlformats.org/officeDocument/2006/relationships/header" Target="header67.xml"/><Relationship Id="rId94" Type="http://schemas.openxmlformats.org/officeDocument/2006/relationships/header" Target="header75.xml"/><Relationship Id="rId99" Type="http://schemas.openxmlformats.org/officeDocument/2006/relationships/image" Target="media/image3.jpeg"/><Relationship Id="rId101" Type="http://schemas.openxmlformats.org/officeDocument/2006/relationships/image" Target="cid:image001.jpg@01DAD930.23548450" TargetMode="Externa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9" Type="http://schemas.openxmlformats.org/officeDocument/2006/relationships/header" Target="header21.xml"/><Relationship Id="rId109" Type="http://schemas.openxmlformats.org/officeDocument/2006/relationships/header" Target="header85.xml"/><Relationship Id="rId34" Type="http://schemas.openxmlformats.org/officeDocument/2006/relationships/header" Target="header16.xml"/><Relationship Id="rId50" Type="http://schemas.openxmlformats.org/officeDocument/2006/relationships/header" Target="header32.xml"/><Relationship Id="rId55" Type="http://schemas.openxmlformats.org/officeDocument/2006/relationships/header" Target="header37.xml"/><Relationship Id="rId76" Type="http://schemas.openxmlformats.org/officeDocument/2006/relationships/header" Target="header57.xml"/><Relationship Id="rId97" Type="http://schemas.openxmlformats.org/officeDocument/2006/relationships/header" Target="header78.xml"/><Relationship Id="rId104" Type="http://schemas.openxmlformats.org/officeDocument/2006/relationships/header" Target="header80.xml"/><Relationship Id="rId7" Type="http://schemas.openxmlformats.org/officeDocument/2006/relationships/styles" Target="styles.xml"/><Relationship Id="rId71" Type="http://schemas.openxmlformats.org/officeDocument/2006/relationships/header" Target="header52.xml"/><Relationship Id="rId92" Type="http://schemas.openxmlformats.org/officeDocument/2006/relationships/header" Target="header73.xml"/><Relationship Id="rId2" Type="http://schemas.openxmlformats.org/officeDocument/2006/relationships/customXml" Target="../customXml/item2.xml"/><Relationship Id="rId29" Type="http://schemas.openxmlformats.org/officeDocument/2006/relationships/header" Target="header11.xml"/><Relationship Id="rId24" Type="http://schemas.openxmlformats.org/officeDocument/2006/relationships/header" Target="header8.xml"/><Relationship Id="rId40" Type="http://schemas.openxmlformats.org/officeDocument/2006/relationships/header" Target="header22.xml"/><Relationship Id="rId45" Type="http://schemas.openxmlformats.org/officeDocument/2006/relationships/header" Target="header27.xml"/><Relationship Id="rId66" Type="http://schemas.openxmlformats.org/officeDocument/2006/relationships/header" Target="header48.xml"/><Relationship Id="rId87" Type="http://schemas.openxmlformats.org/officeDocument/2006/relationships/header" Target="header68.xml"/><Relationship Id="rId110" Type="http://schemas.openxmlformats.org/officeDocument/2006/relationships/fontTable" Target="fontTable.xml"/><Relationship Id="rId61" Type="http://schemas.openxmlformats.org/officeDocument/2006/relationships/header" Target="header43.xml"/><Relationship Id="rId82" Type="http://schemas.openxmlformats.org/officeDocument/2006/relationships/header" Target="header63.xml"/><Relationship Id="rId19" Type="http://schemas.openxmlformats.org/officeDocument/2006/relationships/header" Target="header5.xml"/><Relationship Id="rId14" Type="http://schemas.openxmlformats.org/officeDocument/2006/relationships/footer" Target="footer1.xml"/><Relationship Id="rId30" Type="http://schemas.openxmlformats.org/officeDocument/2006/relationships/header" Target="header12.xml"/><Relationship Id="rId35" Type="http://schemas.openxmlformats.org/officeDocument/2006/relationships/header" Target="header17.xml"/><Relationship Id="rId56" Type="http://schemas.openxmlformats.org/officeDocument/2006/relationships/header" Target="header38.xml"/><Relationship Id="rId77" Type="http://schemas.openxmlformats.org/officeDocument/2006/relationships/header" Target="header58.xml"/><Relationship Id="rId100" Type="http://schemas.openxmlformats.org/officeDocument/2006/relationships/image" Target="media/image4.jpeg"/><Relationship Id="rId105" Type="http://schemas.openxmlformats.org/officeDocument/2006/relationships/header" Target="header81.xml"/><Relationship Id="rId8" Type="http://schemas.openxmlformats.org/officeDocument/2006/relationships/settings" Target="settings.xml"/><Relationship Id="rId51" Type="http://schemas.openxmlformats.org/officeDocument/2006/relationships/header" Target="header33.xml"/><Relationship Id="rId72" Type="http://schemas.openxmlformats.org/officeDocument/2006/relationships/header" Target="header53.xml"/><Relationship Id="rId93" Type="http://schemas.openxmlformats.org/officeDocument/2006/relationships/header" Target="header74.xml"/><Relationship Id="rId98" Type="http://schemas.openxmlformats.org/officeDocument/2006/relationships/header" Target="header79.xml"/><Relationship Id="rId3" Type="http://schemas.openxmlformats.org/officeDocument/2006/relationships/customXml" Target="../customXml/item3.xml"/><Relationship Id="rId25" Type="http://schemas.openxmlformats.org/officeDocument/2006/relationships/footer" Target="footer5.xml"/><Relationship Id="rId46" Type="http://schemas.openxmlformats.org/officeDocument/2006/relationships/header" Target="header28.xml"/><Relationship Id="rId67" Type="http://schemas.openxmlformats.org/officeDocument/2006/relationships/footer" Target="footer6.xml"/><Relationship Id="rId20" Type="http://schemas.openxmlformats.org/officeDocument/2006/relationships/footer" Target="footer4.xml"/><Relationship Id="rId41" Type="http://schemas.openxmlformats.org/officeDocument/2006/relationships/header" Target="header23.xml"/><Relationship Id="rId62" Type="http://schemas.openxmlformats.org/officeDocument/2006/relationships/header" Target="header44.xml"/><Relationship Id="rId83" Type="http://schemas.openxmlformats.org/officeDocument/2006/relationships/header" Target="header64.xml"/><Relationship Id="rId88" Type="http://schemas.openxmlformats.org/officeDocument/2006/relationships/header" Target="header69.xml"/><Relationship Id="rId11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5ffdcbf-775f-4050-8921-2e4bb739d434">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17B3BFA248E644BAF29BC6664FC620" ma:contentTypeVersion="13" ma:contentTypeDescription="Create a new document." ma:contentTypeScope="" ma:versionID="4aea6d567655db9f9a93c00f6bf4381d">
  <xsd:schema xmlns:xsd="http://www.w3.org/2001/XMLSchema" xmlns:xs="http://www.w3.org/2001/XMLSchema" xmlns:p="http://schemas.microsoft.com/office/2006/metadata/properties" xmlns:ns2="75ffdcbf-775f-4050-8921-2e4bb739d434" xmlns:ns3="2b82d02c-9d4c-46e1-a556-f92ad1567168" targetNamespace="http://schemas.microsoft.com/office/2006/metadata/properties" ma:root="true" ma:fieldsID="f746fa271cf93a0591e5bc06ffba6284" ns2:_="" ns3:_="">
    <xsd:import namespace="75ffdcbf-775f-4050-8921-2e4bb739d434"/>
    <xsd:import namespace="2b82d02c-9d4c-46e1-a556-f92ad15671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ffdcbf-775f-4050-8921-2e4bb739d434"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3e59b09-e355-4cb8-9d77-fb51bf52fcd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b82d02c-9d4c-46e1-a556-f92ad156716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DCEBBE-2E99-43F6-A11E-E842287E832A}">
  <ds:schemaRefs>
    <ds:schemaRef ds:uri="http://schemas.microsoft.com/office/2006/metadata/properties"/>
    <ds:schemaRef ds:uri="http://schemas.microsoft.com/office/infopath/2007/PartnerControls"/>
    <ds:schemaRef ds:uri="75ffdcbf-775f-4050-8921-2e4bb739d434"/>
  </ds:schemaRefs>
</ds:datastoreItem>
</file>

<file path=customXml/itemProps2.xml><?xml version="1.0" encoding="utf-8"?>
<ds:datastoreItem xmlns:ds="http://schemas.openxmlformats.org/officeDocument/2006/customXml" ds:itemID="{DAF87A8C-9C87-462D-A027-ED5F0F95FD7B}">
  <ds:schemaRefs>
    <ds:schemaRef ds:uri="http://schemas.openxmlformats.org/officeDocument/2006/bibliography"/>
  </ds:schemaRefs>
</ds:datastoreItem>
</file>

<file path=customXml/itemProps3.xml><?xml version="1.0" encoding="utf-8"?>
<ds:datastoreItem xmlns:ds="http://schemas.openxmlformats.org/officeDocument/2006/customXml" ds:itemID="{99AF5213-151C-4A65-B17F-3C13A45A52B6}">
  <ds:schemaRefs>
    <ds:schemaRef ds:uri="http://schemas.microsoft.com/sharepoint/v3/contenttype/forms"/>
  </ds:schemaRefs>
</ds:datastoreItem>
</file>

<file path=customXml/itemProps4.xml><?xml version="1.0" encoding="utf-8"?>
<ds:datastoreItem xmlns:ds="http://schemas.openxmlformats.org/officeDocument/2006/customXml" ds:itemID="{759558EF-F35D-40A7-BA58-198ADBA5C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ffdcbf-775f-4050-8921-2e4bb739d434"/>
    <ds:schemaRef ds:uri="2b82d02c-9d4c-46e1-a556-f92ad15671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B5A3224-12FE-4B11-B60A-C38DED04A0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126</Pages>
  <Words>42014</Words>
  <Characters>232109</Characters>
  <Application>Microsoft Office Word</Application>
  <DocSecurity>0</DocSecurity>
  <Lines>11605</Lines>
  <Paragraphs>7832</Paragraphs>
  <ScaleCrop>false</ScaleCrop>
  <HeadingPairs>
    <vt:vector size="2" baseType="variant">
      <vt:variant>
        <vt:lpstr>Title</vt:lpstr>
      </vt:variant>
      <vt:variant>
        <vt:i4>1</vt:i4>
      </vt:variant>
    </vt:vector>
  </HeadingPairs>
  <TitlesOfParts>
    <vt:vector size="1" baseType="lpstr">
      <vt:lpstr>LANCASHIRE POLICE AUTHORITY</vt:lpstr>
    </vt:vector>
  </TitlesOfParts>
  <Company>LCC</Company>
  <LinksUpToDate>false</LinksUpToDate>
  <CharactersWithSpaces>266291</CharactersWithSpaces>
  <SharedDoc>false</SharedDoc>
  <HLinks>
    <vt:vector size="12" baseType="variant">
      <vt:variant>
        <vt:i4>7602234</vt:i4>
      </vt:variant>
      <vt:variant>
        <vt:i4>15</vt:i4>
      </vt:variant>
      <vt:variant>
        <vt:i4>0</vt:i4>
      </vt:variant>
      <vt:variant>
        <vt:i4>5</vt:i4>
      </vt:variant>
      <vt:variant>
        <vt:lpwstr>http://www.frc.org.uk/auditorsresponsibilities</vt:lpwstr>
      </vt:variant>
      <vt:variant>
        <vt:lpwstr/>
      </vt:variant>
      <vt:variant>
        <vt:i4>7602234</vt:i4>
      </vt:variant>
      <vt:variant>
        <vt:i4>12</vt:i4>
      </vt:variant>
      <vt:variant>
        <vt:i4>0</vt:i4>
      </vt:variant>
      <vt:variant>
        <vt:i4>5</vt:i4>
      </vt:variant>
      <vt:variant>
        <vt:lpwstr>http://www.frc.org.uk/auditorsresponsibilities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LANCASHIRE POLICE AUTHORITY</dc:title>
  <dc:subject/>
  <dc:creator>14896</dc:creator>
  <cp:keywords/>
  <cp:lastModifiedBy>Longland, Neil</cp:lastModifiedBy>
  <cp:revision>16</cp:revision>
  <cp:lastPrinted>2025-12-17T18:04:00Z</cp:lastPrinted>
  <dcterms:created xsi:type="dcterms:W3CDTF">2025-12-16T15:12:00Z</dcterms:created>
  <dcterms:modified xsi:type="dcterms:W3CDTF">2025-12-18T17:16:00Z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2040755875</vt:i4>
  </property>
  <property fmtid="{D5CDD505-2E9C-101B-9397-08002B2CF9AE}" pid="3" name="MSIP_Label_f199e5ce-74b9-4f55-9a70-2eed142e80cb_Enabled">
    <vt:lpwstr>true</vt:lpwstr>
  </property>
  <property fmtid="{D5CDD505-2E9C-101B-9397-08002B2CF9AE}" pid="4" name="MSIP_Label_f199e5ce-74b9-4f55-9a70-2eed142e80cb_SetDate">
    <vt:lpwstr>2021-06-30T08:57:18Z</vt:lpwstr>
  </property>
  <property fmtid="{D5CDD505-2E9C-101B-9397-08002B2CF9AE}" pid="5" name="MSIP_Label_f199e5ce-74b9-4f55-9a70-2eed142e80cb_Method">
    <vt:lpwstr>Standard</vt:lpwstr>
  </property>
  <property fmtid="{D5CDD505-2E9C-101B-9397-08002B2CF9AE}" pid="6" name="MSIP_Label_f199e5ce-74b9-4f55-9a70-2eed142e80cb_Name">
    <vt:lpwstr>OFFICIA</vt:lpwstr>
  </property>
  <property fmtid="{D5CDD505-2E9C-101B-9397-08002B2CF9AE}" pid="7" name="MSIP_Label_f199e5ce-74b9-4f55-9a70-2eed142e80cb_SiteId">
    <vt:lpwstr>5c524f10-3c77-423d-8c82-842fc2a22afb</vt:lpwstr>
  </property>
  <property fmtid="{D5CDD505-2E9C-101B-9397-08002B2CF9AE}" pid="8" name="MSIP_Label_f199e5ce-74b9-4f55-9a70-2eed142e80cb_ActionId">
    <vt:lpwstr>acf3276e-6a72-48c4-bd59-7872d35029e5</vt:lpwstr>
  </property>
  <property fmtid="{D5CDD505-2E9C-101B-9397-08002B2CF9AE}" pid="9" name="MSIP_Label_f199e5ce-74b9-4f55-9a70-2eed142e80cb_ContentBits">
    <vt:lpwstr>0</vt:lpwstr>
  </property>
  <property fmtid="{D5CDD505-2E9C-101B-9397-08002B2CF9AE}" pid="10" name="ContentTypeId">
    <vt:lpwstr>0x010100F017B3BFA248E644BAF29BC6664FC620</vt:lpwstr>
  </property>
  <property fmtid="{D5CDD505-2E9C-101B-9397-08002B2CF9AE}" pid="11" name="Order">
    <vt:r8>100</vt:r8>
  </property>
  <property fmtid="{D5CDD505-2E9C-101B-9397-08002B2CF9AE}" pid="12" name="MediaServiceImageTags">
    <vt:lpwstr/>
  </property>
</Properties>
</file>